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25415" w:rsidRPr="00511C97" w:rsidP="001E59EB" w14:paraId="548031B7" w14:textId="77777777">
      <w:pPr>
        <w:spacing w:after="0"/>
        <w:jc w:val="center"/>
        <w:rPr>
          <w:sz w:val="36"/>
        </w:rPr>
      </w:pPr>
      <w:r w:rsidRPr="00511C97">
        <w:rPr>
          <w:b/>
          <w:sz w:val="36"/>
        </w:rPr>
        <w:t>IN THE SUPREME COURT OF CALIFORNIA</w:t>
      </w:r>
    </w:p>
    <w:p w:rsidR="00025415" w:rsidRPr="00511C97" w:rsidP="005545B6" w14:paraId="548031B8" w14:textId="77777777">
      <w:pPr>
        <w:spacing w:after="0"/>
        <w:jc w:val="center"/>
      </w:pPr>
    </w:p>
    <w:p w:rsidR="00025415" w:rsidRPr="00511C97" w:rsidP="00442F5D" w14:paraId="548031B9" w14:textId="77777777">
      <w:pPr>
        <w:spacing w:after="0"/>
        <w:jc w:val="center"/>
      </w:pPr>
      <w:bookmarkStart w:id="0" w:name="plaintiff"/>
      <w:bookmarkEnd w:id="0"/>
      <w:r w:rsidRPr="00511C97">
        <w:t>THE PEOPLE,</w:t>
      </w:r>
    </w:p>
    <w:p w:rsidR="00025415" w:rsidRPr="00511C97" w:rsidP="00442F5D" w14:paraId="548031BA" w14:textId="77777777">
      <w:pPr>
        <w:spacing w:after="0"/>
        <w:jc w:val="center"/>
      </w:pPr>
      <w:bookmarkStart w:id="1" w:name="LD"/>
      <w:bookmarkEnd w:id="1"/>
      <w:r w:rsidRPr="00511C97">
        <w:t>Plaintiff and Respondent,</w:t>
      </w:r>
    </w:p>
    <w:p w:rsidR="00025415" w:rsidRPr="00511C97" w:rsidP="00025415" w14:paraId="548031BB" w14:textId="77777777">
      <w:pPr>
        <w:spacing w:after="0"/>
        <w:jc w:val="center"/>
      </w:pPr>
      <w:r w:rsidRPr="00511C97">
        <w:t>v.</w:t>
      </w:r>
    </w:p>
    <w:p w:rsidR="00025415" w:rsidRPr="00511C97" w:rsidP="00025415" w14:paraId="548031BC" w14:textId="77777777">
      <w:pPr>
        <w:spacing w:after="0"/>
        <w:jc w:val="center"/>
      </w:pPr>
      <w:r w:rsidRPr="00511C97">
        <w:t>DONTRAE RENAY GRAY,</w:t>
      </w:r>
    </w:p>
    <w:p w:rsidR="00025415" w:rsidRPr="00511C97" w:rsidP="00025415" w14:paraId="548031BD" w14:textId="77777777">
      <w:pPr>
        <w:spacing w:after="0"/>
        <w:jc w:val="center"/>
      </w:pPr>
      <w:r w:rsidRPr="00511C97">
        <w:t>Defendant and Appellant.</w:t>
      </w:r>
    </w:p>
    <w:p w:rsidR="00025415" w:rsidRPr="00511C97" w:rsidP="00025415" w14:paraId="548031BE" w14:textId="77777777">
      <w:pPr>
        <w:spacing w:after="0"/>
        <w:jc w:val="center"/>
      </w:pPr>
    </w:p>
    <w:p w:rsidR="00025415" w:rsidRPr="00511C97" w:rsidP="00442F5D" w14:paraId="548031BF" w14:textId="77777777">
      <w:pPr>
        <w:spacing w:after="0"/>
        <w:jc w:val="center"/>
      </w:pPr>
      <w:r w:rsidRPr="00511C97">
        <w:t>S</w:t>
      </w:r>
      <w:bookmarkStart w:id="2" w:name="casenum"/>
      <w:bookmarkEnd w:id="2"/>
      <w:r w:rsidRPr="00511C97">
        <w:t>269237</w:t>
      </w:r>
    </w:p>
    <w:p w:rsidR="00025415" w:rsidRPr="00511C97" w:rsidP="00025415" w14:paraId="548031C0" w14:textId="77777777">
      <w:pPr>
        <w:spacing w:after="0"/>
        <w:jc w:val="center"/>
      </w:pPr>
    </w:p>
    <w:p w:rsidR="00025415" w:rsidRPr="00511C97" w:rsidP="00025415" w14:paraId="548031C1" w14:textId="77777777">
      <w:pPr>
        <w:spacing w:after="0"/>
        <w:jc w:val="center"/>
      </w:pPr>
      <w:r w:rsidRPr="00511C97">
        <w:t>Second Appellate District, Division Two</w:t>
      </w:r>
    </w:p>
    <w:p w:rsidR="00025415" w:rsidRPr="00511C97" w:rsidP="00442F5D" w14:paraId="548031C2" w14:textId="77777777">
      <w:pPr>
        <w:spacing w:after="0"/>
        <w:jc w:val="center"/>
      </w:pPr>
      <w:r w:rsidRPr="00511C97">
        <w:t>B302236</w:t>
      </w:r>
    </w:p>
    <w:p w:rsidR="00025415" w:rsidRPr="00511C97" w:rsidP="00025415" w14:paraId="548031C3" w14:textId="77777777">
      <w:pPr>
        <w:spacing w:after="0"/>
        <w:jc w:val="center"/>
      </w:pPr>
      <w:bookmarkStart w:id="3" w:name="defendant"/>
      <w:bookmarkEnd w:id="3"/>
    </w:p>
    <w:p w:rsidR="00025415" w:rsidRPr="00511C97" w:rsidP="00442F5D" w14:paraId="548031C4" w14:textId="77777777">
      <w:pPr>
        <w:spacing w:after="0"/>
        <w:jc w:val="center"/>
      </w:pPr>
      <w:bookmarkStart w:id="4" w:name="county"/>
      <w:bookmarkEnd w:id="4"/>
      <w:r w:rsidRPr="00511C97">
        <w:t>Los Angeles County Superior Court</w:t>
      </w:r>
    </w:p>
    <w:p w:rsidR="00025415" w:rsidRPr="00511C97" w:rsidP="00442F5D" w14:paraId="548031C5" w14:textId="77777777">
      <w:pPr>
        <w:pBdr>
          <w:bottom w:val="single" w:sz="4" w:space="1" w:color="auto"/>
        </w:pBdr>
        <w:spacing w:after="0"/>
        <w:jc w:val="center"/>
      </w:pPr>
      <w:bookmarkStart w:id="5" w:name="VD"/>
      <w:bookmarkStart w:id="6" w:name="supernum"/>
      <w:bookmarkEnd w:id="5"/>
      <w:bookmarkEnd w:id="6"/>
      <w:r w:rsidRPr="00511C97">
        <w:t>MA065662</w:t>
      </w:r>
    </w:p>
    <w:p w:rsidR="002D5CA0" w:rsidRPr="00511C97" w:rsidP="00025415" w14:paraId="548031C6" w14:textId="77777777">
      <w:pPr>
        <w:pBdr>
          <w:bottom w:val="single" w:sz="4" w:space="1" w:color="auto"/>
        </w:pBdr>
        <w:spacing w:after="0"/>
        <w:jc w:val="center"/>
      </w:pPr>
      <w:bookmarkStart w:id="7" w:name="justice"/>
      <w:bookmarkEnd w:id="7"/>
    </w:p>
    <w:p w:rsidR="00025415" w:rsidRPr="00511C97" w:rsidP="00D22C45" w14:paraId="548031C7" w14:textId="77777777">
      <w:pPr>
        <w:spacing w:after="0"/>
      </w:pPr>
    </w:p>
    <w:p w:rsidR="00025415" w:rsidRPr="00511C97" w:rsidP="00025415" w14:paraId="548031C8" w14:textId="77777777">
      <w:pPr>
        <w:spacing w:after="0"/>
        <w:jc w:val="center"/>
      </w:pPr>
      <w:r>
        <w:t>August</w:t>
      </w:r>
      <w:r w:rsidRPr="00511C97">
        <w:t xml:space="preserve"> </w:t>
      </w:r>
      <w:r>
        <w:t>1</w:t>
      </w:r>
      <w:r w:rsidR="00A65D3C">
        <w:t>4</w:t>
      </w:r>
      <w:r w:rsidRPr="00511C97">
        <w:t>, 2023</w:t>
      </w:r>
    </w:p>
    <w:p w:rsidR="00025415" w:rsidRPr="00511C97" w:rsidP="00025415" w14:paraId="548031C9" w14:textId="77777777">
      <w:pPr>
        <w:spacing w:after="0"/>
        <w:jc w:val="center"/>
      </w:pPr>
    </w:p>
    <w:p w:rsidR="00F107C2" w:rsidP="00025415" w14:paraId="548031CA" w14:textId="77777777">
      <w:pPr>
        <w:spacing w:after="0"/>
        <w:jc w:val="left"/>
      </w:pPr>
      <w:r w:rsidRPr="00511C97">
        <w:t xml:space="preserve">Chief Justice Guerrero authored the opinion of the Court, in which </w:t>
      </w:r>
      <w:r w:rsidR="00F67DC8">
        <w:t>Justices Corrigan, Liu, Kruger, Groban, Jenkins, and Evans</w:t>
      </w:r>
      <w:r w:rsidRPr="00511C97">
        <w:t xml:space="preserve"> concurred.</w:t>
      </w:r>
    </w:p>
    <w:p w:rsidR="00E50FAC" w:rsidP="00025415" w14:paraId="548031CB" w14:textId="77777777">
      <w:pPr>
        <w:spacing w:after="0"/>
        <w:jc w:val="left"/>
      </w:pPr>
    </w:p>
    <w:p w:rsidR="00E50FAC" w:rsidRPr="00511C97" w:rsidP="00E50FAC" w14:paraId="548031CC" w14:textId="77777777">
      <w:pPr>
        <w:spacing w:after="0"/>
        <w:jc w:val="left"/>
      </w:pPr>
      <w:r>
        <w:t>Justice Groban filed a concurring opinion.</w:t>
      </w:r>
    </w:p>
    <w:p w:rsidR="00025415" w:rsidRPr="00511C97" w:rsidP="00025415" w14:paraId="548031CD" w14:textId="77777777">
      <w:pPr>
        <w:pBdr>
          <w:bottom w:val="single" w:sz="4" w:space="1" w:color="auto"/>
        </w:pBdr>
        <w:spacing w:after="0"/>
        <w:jc w:val="left"/>
      </w:pPr>
    </w:p>
    <w:p w:rsidR="00025415" w:rsidRPr="00511C97" w:rsidP="00025415" w14:paraId="548031CE" w14:textId="77777777">
      <w:pPr>
        <w:pBdr>
          <w:bottom w:val="single" w:sz="4" w:space="1" w:color="auto"/>
        </w:pBdr>
        <w:jc w:val="left"/>
        <w:sectPr w:rsidSect="00025415">
          <w:headerReference w:type="default" r:id="rId6"/>
          <w:footerReference w:type="default" r:id="rId7"/>
          <w:pgSz w:w="12240" w:h="15840"/>
          <w:pgMar w:top="1800" w:right="2160" w:bottom="1440" w:left="2160" w:header="720" w:footer="720" w:gutter="0"/>
          <w:cols w:space="720"/>
          <w:titlePg/>
          <w:docGrid w:linePitch="367"/>
        </w:sectPr>
      </w:pPr>
      <w:bookmarkStart w:id="8" w:name="Return"/>
      <w:bookmarkEnd w:id="8"/>
    </w:p>
    <w:p w:rsidR="00025415" w:rsidRPr="00511C97" w:rsidP="00A013EE" w14:paraId="548031CF" w14:textId="77777777">
      <w:pPr>
        <w:tabs>
          <w:tab w:val="left" w:pos="1440"/>
        </w:tabs>
        <w:jc w:val="center"/>
      </w:pPr>
      <w:r w:rsidRPr="00511C97">
        <w:t>PEOPLE v. GRAY</w:t>
      </w:r>
    </w:p>
    <w:p w:rsidR="00025415" w:rsidRPr="00511C97" w:rsidP="00A013EE" w14:paraId="548031D0" w14:textId="77777777">
      <w:pPr>
        <w:tabs>
          <w:tab w:val="left" w:pos="1440"/>
        </w:tabs>
        <w:jc w:val="center"/>
      </w:pPr>
      <w:r w:rsidRPr="00511C97">
        <w:t>S269237</w:t>
      </w:r>
    </w:p>
    <w:p w:rsidR="00025415" w:rsidRPr="00511C97" w:rsidP="00025415" w14:paraId="548031D1" w14:textId="77777777">
      <w:pPr>
        <w:tabs>
          <w:tab w:val="left" w:pos="1440"/>
        </w:tabs>
        <w:ind w:firstLine="720"/>
        <w:jc w:val="center"/>
      </w:pPr>
    </w:p>
    <w:p w:rsidR="00025415" w:rsidRPr="00511C97" w:rsidP="00A013EE" w14:paraId="548031D2" w14:textId="77777777">
      <w:pPr>
        <w:tabs>
          <w:tab w:val="left" w:pos="1440"/>
        </w:tabs>
        <w:jc w:val="center"/>
      </w:pPr>
      <w:r w:rsidRPr="00511C97">
        <w:t>Opinion of the Court by Guerrero, C. J.</w:t>
      </w:r>
    </w:p>
    <w:p w:rsidR="00F107C2" w:rsidRPr="00511C97" w:rsidP="00025415" w14:paraId="548031D3" w14:textId="77777777">
      <w:pPr>
        <w:tabs>
          <w:tab w:val="left" w:pos="1440"/>
        </w:tabs>
        <w:ind w:firstLine="720"/>
        <w:jc w:val="center"/>
      </w:pPr>
    </w:p>
    <w:p w:rsidR="00775030" w:rsidRPr="00511C97" w:rsidP="00987B64" w14:paraId="548031D4" w14:textId="77777777">
      <w:pPr>
        <w:tabs>
          <w:tab w:val="left" w:pos="1440"/>
        </w:tabs>
        <w:ind w:firstLine="720"/>
      </w:pPr>
      <w:r w:rsidRPr="00511C97">
        <w:t xml:space="preserve">We granted review </w:t>
      </w:r>
      <w:r w:rsidRPr="00511C97" w:rsidR="002063FE">
        <w:t xml:space="preserve">in this matter </w:t>
      </w:r>
      <w:r w:rsidRPr="00511C97">
        <w:t xml:space="preserve">to determine whether hearsay that qualifies as a spontaneous statement under Evidence Code section 1240 </w:t>
      </w:r>
      <w:r w:rsidRPr="00511C97" w:rsidR="00B06E39">
        <w:t xml:space="preserve">is </w:t>
      </w:r>
      <w:r w:rsidR="00F81B46">
        <w:t xml:space="preserve">always </w:t>
      </w:r>
      <w:r w:rsidRPr="00511C97" w:rsidR="00B06E39">
        <w:t>admissible</w:t>
      </w:r>
      <w:r w:rsidRPr="00511C97">
        <w:t xml:space="preserve"> at a probation revocation hearing without </w:t>
      </w:r>
      <w:r w:rsidR="007D144F">
        <w:t>consideration of the balance of relevant interests</w:t>
      </w:r>
      <w:r w:rsidRPr="00511C97">
        <w:t xml:space="preserve">.  The Court of Appeal </w:t>
      </w:r>
      <w:r w:rsidRPr="00511C97" w:rsidR="0037637D">
        <w:t xml:space="preserve">in this case </w:t>
      </w:r>
      <w:r w:rsidRPr="00511C97">
        <w:t xml:space="preserve">concluded that, because </w:t>
      </w:r>
      <w:r w:rsidRPr="00511C97" w:rsidR="00EC7C79">
        <w:t>the</w:t>
      </w:r>
      <w:r w:rsidRPr="00511C97">
        <w:t xml:space="preserve"> statements </w:t>
      </w:r>
      <w:r w:rsidRPr="00511C97" w:rsidR="00DF4D32">
        <w:t xml:space="preserve">at issue </w:t>
      </w:r>
      <w:r w:rsidRPr="00511C97">
        <w:t>f</w:t>
      </w:r>
      <w:r w:rsidRPr="00511C97" w:rsidR="001B45B0">
        <w:t>e</w:t>
      </w:r>
      <w:r w:rsidRPr="00511C97" w:rsidR="00DF4D32">
        <w:t xml:space="preserve">ll </w:t>
      </w:r>
      <w:r w:rsidRPr="00511C97">
        <w:t>within a firmly rooted hearsay exception, they automatically satisf</w:t>
      </w:r>
      <w:r w:rsidRPr="00511C97" w:rsidR="001B45B0">
        <w:t>ied</w:t>
      </w:r>
      <w:r w:rsidRPr="00511C97">
        <w:t xml:space="preserve"> the minimum due process requirements necessary for their admission into evidence.  According to that court, it </w:t>
      </w:r>
      <w:r w:rsidRPr="00511C97" w:rsidR="001B45B0">
        <w:t>wa</w:t>
      </w:r>
      <w:r w:rsidRPr="00511C97">
        <w:t xml:space="preserve">s </w:t>
      </w:r>
      <w:r w:rsidRPr="00511C97" w:rsidR="00F126E1">
        <w:t xml:space="preserve">not </w:t>
      </w:r>
      <w:r w:rsidRPr="00511C97">
        <w:t xml:space="preserve">necessary to balance defendant’s confrontation interests against any countervailing interests of the government.  We conclude that the Court of Appeal erred.  </w:t>
      </w:r>
      <w:r w:rsidRPr="00511C97" w:rsidR="00F6700E">
        <w:t>W</w:t>
      </w:r>
      <w:r w:rsidRPr="00511C97">
        <w:t xml:space="preserve">e </w:t>
      </w:r>
      <w:r w:rsidRPr="00511C97" w:rsidR="00B06E39">
        <w:t xml:space="preserve">therefore </w:t>
      </w:r>
      <w:r w:rsidRPr="00511C97">
        <w:t xml:space="preserve">reverse the court’s judgment and remand the matter for further proceedings consistent with this opinion.  </w:t>
      </w:r>
    </w:p>
    <w:p w:rsidR="009E497C" w:rsidRPr="00511C97" w:rsidP="00025415" w14:paraId="548031D5" w14:textId="77777777">
      <w:pPr>
        <w:pStyle w:val="Heading1"/>
      </w:pPr>
      <w:r w:rsidRPr="00511C97">
        <w:t>I.</w:t>
      </w:r>
      <w:r w:rsidRPr="00511C97" w:rsidR="004F6D06">
        <w:t xml:space="preserve"> </w:t>
      </w:r>
      <w:r w:rsidRPr="00511C97" w:rsidR="00BF0357">
        <w:t xml:space="preserve"> </w:t>
      </w:r>
      <w:r w:rsidRPr="00511C97" w:rsidR="000B03EB">
        <w:t>B</w:t>
      </w:r>
      <w:r w:rsidRPr="00511C97" w:rsidR="004F6D06">
        <w:t>ackground</w:t>
      </w:r>
    </w:p>
    <w:p w:rsidR="009E497C" w:rsidRPr="00511C97" w:rsidP="00CA777B" w14:paraId="548031D6" w14:textId="77777777">
      <w:pPr>
        <w:tabs>
          <w:tab w:val="left" w:pos="1440"/>
        </w:tabs>
        <w:ind w:firstLine="720"/>
      </w:pPr>
      <w:r w:rsidRPr="00511C97">
        <w:t xml:space="preserve">In September 2015, </w:t>
      </w:r>
      <w:r w:rsidRPr="00511C97" w:rsidR="004279CE">
        <w:t>defendant</w:t>
      </w:r>
      <w:r w:rsidRPr="00511C97" w:rsidR="00801D8F">
        <w:t xml:space="preserve"> </w:t>
      </w:r>
      <w:r w:rsidR="00BA4E22">
        <w:t xml:space="preserve">Dontrae Renay Gray </w:t>
      </w:r>
      <w:r w:rsidRPr="00511C97" w:rsidR="004279CE">
        <w:t xml:space="preserve">pleaded no contest to </w:t>
      </w:r>
      <w:r w:rsidRPr="00511C97" w:rsidR="00BF7A51">
        <w:t xml:space="preserve">one </w:t>
      </w:r>
      <w:r w:rsidRPr="00511C97" w:rsidR="004279CE">
        <w:t>count of assault with a deadly weapon (Pen. Code, § 245, subd.</w:t>
      </w:r>
      <w:r w:rsidRPr="00511C97" w:rsidR="00CA777B">
        <w:t> </w:t>
      </w:r>
      <w:r w:rsidRPr="00511C97" w:rsidR="004279CE">
        <w:t xml:space="preserve">(a)(1)) and admitted that he personally inflicted </w:t>
      </w:r>
      <w:r w:rsidRPr="00511C97" w:rsidR="00BE737A">
        <w:t xml:space="preserve">great bodily injury </w:t>
      </w:r>
      <w:r w:rsidRPr="00511C97" w:rsidR="0099404B">
        <w:t xml:space="preserve">in the commission of the offense </w:t>
      </w:r>
      <w:r w:rsidRPr="00511C97" w:rsidR="00BE737A">
        <w:t>(</w:t>
      </w:r>
      <w:r w:rsidRPr="00511C97" w:rsidR="00BE737A">
        <w:rPr>
          <w:i/>
          <w:iCs/>
        </w:rPr>
        <w:t>id</w:t>
      </w:r>
      <w:r w:rsidRPr="00511C97" w:rsidR="00BE737A">
        <w:t>., § 12022.7, subd. (a)).</w:t>
      </w:r>
      <w:r w:rsidRPr="00511C97" w:rsidR="007C1D1A">
        <w:t xml:space="preserve">  </w:t>
      </w:r>
      <w:r w:rsidRPr="00511C97" w:rsidR="003D114E">
        <w:t xml:space="preserve">The trial court imposed a </w:t>
      </w:r>
      <w:r w:rsidRPr="00511C97" w:rsidR="000011CD">
        <w:t>seven-year prison sentence</w:t>
      </w:r>
      <w:r w:rsidRPr="00511C97" w:rsidR="003D114E">
        <w:t>, suspended execution of that sentence, and placed defendant</w:t>
      </w:r>
      <w:r w:rsidRPr="00511C97" w:rsidR="00801D8F">
        <w:t xml:space="preserve"> </w:t>
      </w:r>
      <w:r w:rsidRPr="00511C97" w:rsidR="003D114E">
        <w:t xml:space="preserve">on </w:t>
      </w:r>
      <w:r w:rsidRPr="00511C97" w:rsidR="00EE36F6">
        <w:t xml:space="preserve">formal probation for five years.  As a condition of probation, </w:t>
      </w:r>
      <w:r w:rsidRPr="00511C97" w:rsidR="00CC7BF2">
        <w:t xml:space="preserve">defendant was required to </w:t>
      </w:r>
      <w:r w:rsidRPr="00511C97" w:rsidR="00D64A22">
        <w:t>obey</w:t>
      </w:r>
      <w:r w:rsidRPr="00511C97" w:rsidR="00CC7BF2">
        <w:t xml:space="preserve"> all laws.  </w:t>
      </w:r>
    </w:p>
    <w:p w:rsidR="00D34A23" w:rsidRPr="00511C97" w:rsidP="00CA777B" w14:paraId="548031D7" w14:textId="77777777">
      <w:pPr>
        <w:tabs>
          <w:tab w:val="left" w:pos="1440"/>
        </w:tabs>
        <w:ind w:firstLine="720"/>
      </w:pPr>
      <w:r w:rsidRPr="00511C97">
        <w:t>At approximately 8:00 a.m. o</w:t>
      </w:r>
      <w:r w:rsidRPr="00511C97" w:rsidR="009B49DC">
        <w:t xml:space="preserve">n March 30, 2019, </w:t>
      </w:r>
      <w:r w:rsidRPr="00511C97" w:rsidR="00A12702">
        <w:t xml:space="preserve">while defendant was still on probation, </w:t>
      </w:r>
      <w:r w:rsidRPr="00511C97" w:rsidR="00643453">
        <w:t xml:space="preserve">police officers received a 911 call from a </w:t>
      </w:r>
      <w:r w:rsidRPr="00511C97" w:rsidR="00AA0042">
        <w:t>woman</w:t>
      </w:r>
      <w:r w:rsidRPr="00511C97" w:rsidR="00B261B4">
        <w:t xml:space="preserve"> </w:t>
      </w:r>
      <w:r w:rsidRPr="00511C97" w:rsidR="002171BB">
        <w:t xml:space="preserve">reporting </w:t>
      </w:r>
      <w:r w:rsidRPr="00511C97" w:rsidR="005A6213">
        <w:t xml:space="preserve">that someone was </w:t>
      </w:r>
      <w:r w:rsidRPr="00511C97" w:rsidR="0072083C">
        <w:t>“trying to break” and “kick</w:t>
      </w:r>
      <w:r w:rsidRPr="00511C97" w:rsidR="00751139">
        <w:t> . . . in</w:t>
      </w:r>
      <w:r w:rsidRPr="00511C97" w:rsidR="0072083C">
        <w:t>” the door of a residenc</w:t>
      </w:r>
      <w:r w:rsidRPr="00511C97" w:rsidR="00B261B4">
        <w:t xml:space="preserve">e.  </w:t>
      </w:r>
      <w:r w:rsidRPr="00511C97" w:rsidR="00CF3C81">
        <w:t>Police arrived at the residence approximately four minutes later</w:t>
      </w:r>
      <w:r w:rsidRPr="00511C97" w:rsidR="00D36481">
        <w:t xml:space="preserve"> and </w:t>
      </w:r>
      <w:r w:rsidRPr="00511C97" w:rsidR="00E2287E">
        <w:t>encountered</w:t>
      </w:r>
      <w:r w:rsidRPr="00511C97" w:rsidR="00D36481">
        <w:t xml:space="preserve"> the caller, N.S</w:t>
      </w:r>
      <w:r w:rsidRPr="00511C97" w:rsidR="00CF3C81">
        <w:t>.</w:t>
      </w:r>
      <w:r w:rsidRPr="00511C97" w:rsidR="00B13EA0">
        <w:t>, at the front</w:t>
      </w:r>
      <w:r w:rsidRPr="00511C97" w:rsidR="00B670DB">
        <w:t xml:space="preserve"> </w:t>
      </w:r>
      <w:r w:rsidRPr="00511C97" w:rsidR="006B00C8">
        <w:t>of the residence</w:t>
      </w:r>
      <w:r w:rsidRPr="00511C97" w:rsidR="00B13EA0">
        <w:t>.</w:t>
      </w:r>
      <w:r w:rsidRPr="00511C97" w:rsidR="00CF3C81">
        <w:t xml:space="preserve">  </w:t>
      </w:r>
      <w:r w:rsidRPr="00511C97" w:rsidR="00004747">
        <w:t xml:space="preserve">Officers observed </w:t>
      </w:r>
      <w:r w:rsidRPr="00511C97" w:rsidR="00895207">
        <w:t xml:space="preserve">damage to the </w:t>
      </w:r>
      <w:r w:rsidRPr="00511C97" w:rsidR="00344DF5">
        <w:t>wooden front door</w:t>
      </w:r>
      <w:r w:rsidRPr="00511C97" w:rsidR="00895207">
        <w:t xml:space="preserve">.  </w:t>
      </w:r>
      <w:r w:rsidRPr="00511C97" w:rsidR="005F4137">
        <w:t>Two o</w:t>
      </w:r>
      <w:r w:rsidRPr="00511C97" w:rsidR="0005111A">
        <w:t xml:space="preserve">fficers went to the rear of the residence, </w:t>
      </w:r>
      <w:r w:rsidRPr="00511C97" w:rsidR="00472210">
        <w:t>located</w:t>
      </w:r>
      <w:r w:rsidRPr="00511C97" w:rsidR="0005111A">
        <w:t xml:space="preserve"> defendant, and detained him there.  </w:t>
      </w:r>
      <w:r w:rsidRPr="00511C97" w:rsidR="005F4137">
        <w:t>A</w:t>
      </w:r>
      <w:r w:rsidRPr="00511C97" w:rsidR="00006E98">
        <w:t xml:space="preserve">fter </w:t>
      </w:r>
      <w:r w:rsidRPr="00511C97" w:rsidR="00E5036F">
        <w:t>the officers had taken defendant into custody, a</w:t>
      </w:r>
      <w:r w:rsidRPr="00511C97" w:rsidR="005F4137">
        <w:t xml:space="preserve">nother officer </w:t>
      </w:r>
      <w:r w:rsidRPr="00511C97" w:rsidR="00E5036F">
        <w:t xml:space="preserve">entered the residence and </w:t>
      </w:r>
      <w:r w:rsidRPr="00511C97" w:rsidR="00444FB9">
        <w:t xml:space="preserve">spoke with N.S. in the living room. </w:t>
      </w:r>
      <w:r w:rsidRPr="00511C97" w:rsidR="00ED6EDA">
        <w:t xml:space="preserve"> N.S. appeared </w:t>
      </w:r>
      <w:r w:rsidRPr="00511C97" w:rsidR="008D612B">
        <w:t>frightened</w:t>
      </w:r>
      <w:r w:rsidRPr="00511C97" w:rsidR="00020B86">
        <w:t xml:space="preserve"> and</w:t>
      </w:r>
      <w:r w:rsidRPr="00511C97" w:rsidR="008D612B">
        <w:t xml:space="preserve"> was breathing heavily.  </w:t>
      </w:r>
      <w:r w:rsidRPr="00511C97">
        <w:t xml:space="preserve">She had several bruises </w:t>
      </w:r>
      <w:r w:rsidRPr="00511C97" w:rsidR="00020B86">
        <w:t xml:space="preserve">or red marks </w:t>
      </w:r>
      <w:r w:rsidRPr="00511C97" w:rsidR="00C849DA">
        <w:t xml:space="preserve">on her arms </w:t>
      </w:r>
      <w:r w:rsidRPr="00511C97">
        <w:t xml:space="preserve">and a small scratch on her cheek.  </w:t>
      </w:r>
    </w:p>
    <w:p w:rsidR="00921B40" w:rsidRPr="00511C97" w:rsidP="00921B40" w14:paraId="548031D8" w14:textId="77777777">
      <w:pPr>
        <w:tabs>
          <w:tab w:val="left" w:pos="1440"/>
        </w:tabs>
        <w:ind w:firstLine="720"/>
      </w:pPr>
      <w:r w:rsidRPr="00511C97">
        <w:t>A body</w:t>
      </w:r>
      <w:r w:rsidRPr="00511C97" w:rsidR="00CC212F">
        <w:t xml:space="preserve">-worn </w:t>
      </w:r>
      <w:r w:rsidRPr="00511C97">
        <w:t>cam</w:t>
      </w:r>
      <w:r w:rsidRPr="00511C97" w:rsidR="00CC212F">
        <w:t>era</w:t>
      </w:r>
      <w:r w:rsidRPr="00511C97">
        <w:t xml:space="preserve"> worn by one of the officers captured </w:t>
      </w:r>
      <w:r w:rsidRPr="00511C97" w:rsidR="00B728D3">
        <w:t>N.S.</w:t>
      </w:r>
      <w:r w:rsidRPr="00511C97" w:rsidR="00557C47">
        <w:t xml:space="preserve">’s </w:t>
      </w:r>
      <w:r w:rsidRPr="00511C97" w:rsidR="00CE1DD9">
        <w:t>statement</w:t>
      </w:r>
      <w:r w:rsidRPr="00511C97" w:rsidR="00E67708">
        <w:t>s</w:t>
      </w:r>
      <w:r w:rsidRPr="00511C97" w:rsidR="00CE1DD9">
        <w:t xml:space="preserve"> regarding the incident.  </w:t>
      </w:r>
      <w:r w:rsidRPr="00511C97" w:rsidR="00B37449">
        <w:t xml:space="preserve">N.S. was </w:t>
      </w:r>
      <w:r w:rsidRPr="00511C97" w:rsidR="002952E7">
        <w:t>record</w:t>
      </w:r>
      <w:r w:rsidRPr="00511C97" w:rsidR="00B37449">
        <w:t>ed stating</w:t>
      </w:r>
      <w:r w:rsidRPr="00511C97" w:rsidR="002952E7">
        <w:t xml:space="preserve"> </w:t>
      </w:r>
      <w:r w:rsidRPr="00511C97" w:rsidR="00D102AA">
        <w:t xml:space="preserve">that she and defendant had been dating for approximately two months, </w:t>
      </w:r>
      <w:r w:rsidRPr="00511C97" w:rsidR="00CB1E8C">
        <w:t xml:space="preserve">and </w:t>
      </w:r>
      <w:r w:rsidRPr="00511C97" w:rsidR="00D102AA">
        <w:t xml:space="preserve">that she had called the police </w:t>
      </w:r>
      <w:r w:rsidRPr="00511C97" w:rsidR="00784247">
        <w:t xml:space="preserve">twice the </w:t>
      </w:r>
      <w:r w:rsidRPr="00511C97" w:rsidR="00CB1E8C">
        <w:t xml:space="preserve">previous </w:t>
      </w:r>
      <w:r w:rsidRPr="00511C97" w:rsidR="00784247">
        <w:t xml:space="preserve">day because defendant </w:t>
      </w:r>
      <w:r w:rsidRPr="00511C97" w:rsidR="00CB1E8C">
        <w:t xml:space="preserve">had </w:t>
      </w:r>
      <w:r w:rsidRPr="00511C97" w:rsidR="00784247">
        <w:t>refused to leave the residence</w:t>
      </w:r>
      <w:r w:rsidR="00F504FE">
        <w:t>,</w:t>
      </w:r>
      <w:r w:rsidRPr="00511C97" w:rsidR="00784247">
        <w:t xml:space="preserve"> </w:t>
      </w:r>
      <w:r w:rsidRPr="00511C97" w:rsidR="004942D2">
        <w:t xml:space="preserve">where </w:t>
      </w:r>
      <w:r w:rsidRPr="00511C97" w:rsidR="00CB1E8C">
        <w:t>N.S.</w:t>
      </w:r>
      <w:r w:rsidRPr="00511C97" w:rsidR="004942D2">
        <w:t xml:space="preserve"> cared for a disabled woman</w:t>
      </w:r>
      <w:r w:rsidRPr="00511C97" w:rsidR="00D102AA">
        <w:t xml:space="preserve">.  </w:t>
      </w:r>
      <w:r w:rsidRPr="00511C97" w:rsidR="004942D2">
        <w:t xml:space="preserve">N.S. reported that the police had responded to </w:t>
      </w:r>
      <w:r w:rsidRPr="00511C97" w:rsidR="00AD3F29">
        <w:t xml:space="preserve">both calls and </w:t>
      </w:r>
      <w:r w:rsidRPr="00511C97" w:rsidR="004942D2">
        <w:t>had told defendant to leave</w:t>
      </w:r>
      <w:r w:rsidRPr="00511C97" w:rsidR="0037637D">
        <w:t xml:space="preserve"> after the second call</w:t>
      </w:r>
      <w:r w:rsidRPr="00511C97" w:rsidR="004942D2">
        <w:t xml:space="preserve">.  </w:t>
      </w:r>
      <w:r w:rsidRPr="00511C97" w:rsidR="00E276E4">
        <w:t xml:space="preserve">N.S. </w:t>
      </w:r>
      <w:r w:rsidRPr="00511C97" w:rsidR="00A15BD0">
        <w:t>said</w:t>
      </w:r>
      <w:r w:rsidRPr="00511C97" w:rsidR="00E276E4">
        <w:t xml:space="preserve"> that </w:t>
      </w:r>
      <w:r w:rsidRPr="00511C97" w:rsidR="00A15BD0">
        <w:t xml:space="preserve">when she </w:t>
      </w:r>
      <w:r w:rsidRPr="00511C97" w:rsidR="00ED1C4E">
        <w:t>a</w:t>
      </w:r>
      <w:r w:rsidRPr="00511C97" w:rsidR="00A15BD0">
        <w:t xml:space="preserve">woke the next morning and checked her phone, she saw that defendant had been calling her.  </w:t>
      </w:r>
      <w:r w:rsidRPr="00511C97" w:rsidR="00ED1C4E">
        <w:t xml:space="preserve">When </w:t>
      </w:r>
      <w:r w:rsidRPr="00511C97" w:rsidR="005B042D">
        <w:t>N.S.</w:t>
      </w:r>
      <w:r w:rsidRPr="00511C97" w:rsidR="005B0DBD">
        <w:t xml:space="preserve"> was assisting the woman, N.S. heard defendant </w:t>
      </w:r>
      <w:r w:rsidRPr="00511C97" w:rsidR="00B1173F">
        <w:t>yelling at her from the back door.</w:t>
      </w:r>
      <w:r w:rsidRPr="00511C97" w:rsidR="00AD2CA8">
        <w:t xml:space="preserve">  N.S. recounted that she </w:t>
      </w:r>
      <w:r w:rsidRPr="00511C97" w:rsidR="00DF5E69">
        <w:t xml:space="preserve">had </w:t>
      </w:r>
      <w:r w:rsidRPr="00511C97" w:rsidR="00AD2CA8">
        <w:t xml:space="preserve">told defendant that she was not going to open the door and that he was “always hitting [her] and everything else.”  </w:t>
      </w:r>
      <w:r w:rsidRPr="00511C97" w:rsidR="007C2CFF">
        <w:t xml:space="preserve">N.S. told the officer that defendant then went to the front </w:t>
      </w:r>
      <w:r w:rsidRPr="00511C97" w:rsidR="00C56EB6">
        <w:t xml:space="preserve">of the </w:t>
      </w:r>
      <w:r w:rsidRPr="00511C97" w:rsidR="007C2CFF">
        <w:t>r</w:t>
      </w:r>
      <w:r w:rsidRPr="00511C97" w:rsidR="00C56EB6">
        <w:t>esidence</w:t>
      </w:r>
      <w:r w:rsidRPr="00511C97" w:rsidR="007C2CFF">
        <w:t>, opened the screen door with a key he had stolen</w:t>
      </w:r>
      <w:r w:rsidRPr="00511C97" w:rsidR="00A127C8">
        <w:t>, and kicked in the front door.  N</w:t>
      </w:r>
      <w:r w:rsidRPr="00511C97" w:rsidR="00BD1EC8">
        <w:t xml:space="preserve">.S. </w:t>
      </w:r>
      <w:r w:rsidRPr="00511C97" w:rsidR="00222055">
        <w:t xml:space="preserve">relayed </w:t>
      </w:r>
      <w:r w:rsidRPr="00511C97" w:rsidR="00BD1EC8">
        <w:t xml:space="preserve">that defendant </w:t>
      </w:r>
      <w:r w:rsidRPr="00511C97" w:rsidR="00222055">
        <w:t xml:space="preserve">then </w:t>
      </w:r>
      <w:r w:rsidRPr="00511C97" w:rsidR="00B672EC">
        <w:t xml:space="preserve">entered the residence and started “punching [her] everywhere” and “stomping [her] out.”  </w:t>
      </w:r>
      <w:r w:rsidRPr="00511C97" w:rsidR="00FF4BF1">
        <w:t xml:space="preserve">She stated that defendant </w:t>
      </w:r>
      <w:r w:rsidRPr="00511C97" w:rsidR="00A95B53">
        <w:t xml:space="preserve">tried to </w:t>
      </w:r>
      <w:r w:rsidRPr="00511C97" w:rsidR="00A66D4C">
        <w:t>punch</w:t>
      </w:r>
      <w:r w:rsidRPr="00511C97" w:rsidR="00FF4BF1">
        <w:t xml:space="preserve"> her approximately 20</w:t>
      </w:r>
      <w:r w:rsidRPr="00511C97" w:rsidR="0037637D">
        <w:t> </w:t>
      </w:r>
      <w:r w:rsidRPr="00511C97" w:rsidR="00FF4BF1">
        <w:t>times</w:t>
      </w:r>
      <w:r w:rsidRPr="00511C97" w:rsidR="00912096">
        <w:t>, mainly on her arms, and that she fell to the ground</w:t>
      </w:r>
      <w:r w:rsidRPr="00511C97" w:rsidR="00FF4BF1">
        <w:t>.</w:t>
      </w:r>
      <w:r>
        <w:t xml:space="preserve">  She had visible injuries from defendant’s assault and reported that she was in pain.</w:t>
      </w:r>
    </w:p>
    <w:p w:rsidR="009B49DC" w:rsidRPr="00511C97" w:rsidP="00CA777B" w14:paraId="548031D9" w14:textId="77777777">
      <w:pPr>
        <w:tabs>
          <w:tab w:val="left" w:pos="1440"/>
        </w:tabs>
        <w:ind w:firstLine="720"/>
      </w:pPr>
      <w:r w:rsidRPr="00511C97">
        <w:t xml:space="preserve">Defendant was arrested </w:t>
      </w:r>
      <w:r w:rsidRPr="00511C97" w:rsidR="00E00EAB">
        <w:t>and charged with inflicting corporal inj</w:t>
      </w:r>
      <w:r w:rsidRPr="00511C97" w:rsidR="0042115C">
        <w:t>u</w:t>
      </w:r>
      <w:r w:rsidRPr="00511C97" w:rsidR="00E00EAB">
        <w:t>ry upon a person in a dating relationship</w:t>
      </w:r>
      <w:r w:rsidRPr="00511C97" w:rsidR="0042115C">
        <w:t xml:space="preserve"> (</w:t>
      </w:r>
      <w:r w:rsidRPr="00511C97" w:rsidR="00AA5EDD">
        <w:t xml:space="preserve">Pen. Code, </w:t>
      </w:r>
      <w:r w:rsidRPr="00511C97" w:rsidR="0042115C">
        <w:t>§ 273.5, subd. (a)) and residential burglary (</w:t>
      </w:r>
      <w:r w:rsidRPr="00511C97" w:rsidR="008A38D7">
        <w:rPr>
          <w:i/>
          <w:iCs/>
        </w:rPr>
        <w:t>id</w:t>
      </w:r>
      <w:r w:rsidRPr="00511C97" w:rsidR="008A38D7">
        <w:t>.,</w:t>
      </w:r>
      <w:r w:rsidRPr="00511C97" w:rsidR="008A38D7">
        <w:rPr>
          <w:i/>
          <w:iCs/>
        </w:rPr>
        <w:t xml:space="preserve"> </w:t>
      </w:r>
      <w:r w:rsidRPr="00511C97" w:rsidR="0042115C">
        <w:rPr>
          <w:caps/>
        </w:rPr>
        <w:t xml:space="preserve">§ 459).  </w:t>
      </w:r>
      <w:r w:rsidRPr="00511C97" w:rsidR="009B2329">
        <w:t>T</w:t>
      </w:r>
      <w:r w:rsidRPr="00511C97" w:rsidR="00E00EAB">
        <w:t>he prosecution filed a motion requesting that defendant’s probation be revoked</w:t>
      </w:r>
      <w:r w:rsidRPr="00511C97" w:rsidR="009B2329">
        <w:t xml:space="preserve"> based on the same incident</w:t>
      </w:r>
      <w:r w:rsidRPr="00511C97" w:rsidR="00E00EAB">
        <w:t xml:space="preserve">.  </w:t>
      </w:r>
    </w:p>
    <w:p w:rsidR="005B71AB" w:rsidRPr="00511C97" w:rsidP="00CA777B" w14:paraId="548031DA" w14:textId="77777777">
      <w:pPr>
        <w:tabs>
          <w:tab w:val="left" w:pos="1440"/>
        </w:tabs>
        <w:ind w:firstLine="720"/>
      </w:pPr>
      <w:r w:rsidRPr="00511C97">
        <w:t xml:space="preserve">N.S. </w:t>
      </w:r>
      <w:r w:rsidRPr="00511C97" w:rsidR="00154E32">
        <w:t>subsequently recante</w:t>
      </w:r>
      <w:r w:rsidRPr="00511C97" w:rsidR="00CA7045">
        <w:t xml:space="preserve">d in part.  A few days after the incident, N.S. informed a police detective that </w:t>
      </w:r>
      <w:r w:rsidRPr="00511C97" w:rsidR="00562CC9">
        <w:t>she had</w:t>
      </w:r>
      <w:r w:rsidRPr="00511C97" w:rsidR="0093340D">
        <w:t xml:space="preserve"> </w:t>
      </w:r>
      <w:r w:rsidRPr="00511C97" w:rsidR="00562CC9">
        <w:t xml:space="preserve">told police officers </w:t>
      </w:r>
      <w:r w:rsidRPr="00511C97" w:rsidR="009E5DB7">
        <w:t xml:space="preserve">that defendant had hit her </w:t>
      </w:r>
      <w:r w:rsidRPr="00511C97" w:rsidR="00032B39">
        <w:t xml:space="preserve">only </w:t>
      </w:r>
      <w:r w:rsidRPr="00511C97" w:rsidR="009E5DB7">
        <w:t>because</w:t>
      </w:r>
      <w:r w:rsidRPr="00511C97" w:rsidR="0030621A">
        <w:t xml:space="preserve"> she </w:t>
      </w:r>
      <w:r w:rsidRPr="00511C97" w:rsidR="00CA7045">
        <w:t xml:space="preserve">was mad at defendant and wanted him out of her house.  </w:t>
      </w:r>
      <w:r w:rsidRPr="00511C97" w:rsidR="00595C81">
        <w:t xml:space="preserve">N.S. </w:t>
      </w:r>
      <w:r w:rsidRPr="00511C97" w:rsidR="00B949A9">
        <w:t>averred</w:t>
      </w:r>
      <w:r w:rsidRPr="00511C97" w:rsidR="00890502">
        <w:t xml:space="preserve"> that </w:t>
      </w:r>
      <w:r w:rsidRPr="00511C97" w:rsidR="00BF3A1A">
        <w:t>she was injured</w:t>
      </w:r>
      <w:r w:rsidRPr="00511C97" w:rsidR="007116C6">
        <w:t xml:space="preserve"> </w:t>
      </w:r>
      <w:r w:rsidRPr="00511C97" w:rsidR="001A6DE9">
        <w:t xml:space="preserve">by </w:t>
      </w:r>
      <w:r w:rsidRPr="00511C97" w:rsidR="007116C6">
        <w:t>falling backward</w:t>
      </w:r>
      <w:r w:rsidRPr="00511C97" w:rsidR="00890502">
        <w:t xml:space="preserve"> after defendant kicked the </w:t>
      </w:r>
      <w:r w:rsidRPr="00511C97" w:rsidR="00B949A9">
        <w:t xml:space="preserve">front </w:t>
      </w:r>
      <w:r w:rsidRPr="00511C97" w:rsidR="00890502">
        <w:t>door open</w:t>
      </w:r>
      <w:r w:rsidRPr="00511C97" w:rsidR="00011ECE">
        <w:t>, and not by defendant</w:t>
      </w:r>
      <w:r w:rsidRPr="00511C97" w:rsidR="001F28C2">
        <w:t xml:space="preserve"> directly</w:t>
      </w:r>
      <w:r w:rsidRPr="00511C97" w:rsidR="00890502">
        <w:t xml:space="preserve">. </w:t>
      </w:r>
      <w:r w:rsidRPr="00511C97" w:rsidR="008A420B">
        <w:t xml:space="preserve"> </w:t>
      </w:r>
      <w:r w:rsidRPr="00511C97" w:rsidR="0066661F">
        <w:t>N.S.</w:t>
      </w:r>
      <w:r w:rsidRPr="00511C97" w:rsidR="00BF3A1A">
        <w:t xml:space="preserve"> also </w:t>
      </w:r>
      <w:r w:rsidRPr="00511C97" w:rsidR="00956029">
        <w:t xml:space="preserve">told the </w:t>
      </w:r>
      <w:r w:rsidRPr="00511C97" w:rsidR="0066661F">
        <w:t xml:space="preserve">prosecutor that she </w:t>
      </w:r>
      <w:r w:rsidRPr="00511C97" w:rsidR="00BF3A1A">
        <w:t>had previously been</w:t>
      </w:r>
      <w:r w:rsidRPr="00511C97" w:rsidR="0066661F">
        <w:t xml:space="preserve"> “lying about some things.”  </w:t>
      </w:r>
    </w:p>
    <w:p w:rsidR="000538F9" w:rsidRPr="00511C97" w:rsidP="00CA777B" w14:paraId="548031DB" w14:textId="77777777">
      <w:pPr>
        <w:tabs>
          <w:tab w:val="left" w:pos="1440"/>
        </w:tabs>
        <w:ind w:firstLine="720"/>
      </w:pPr>
      <w:r w:rsidRPr="00511C97">
        <w:t xml:space="preserve">N.S. </w:t>
      </w:r>
      <w:r w:rsidRPr="00511C97" w:rsidR="00342A36">
        <w:t xml:space="preserve">did not appear at defendant’s </w:t>
      </w:r>
      <w:r w:rsidRPr="00511C97" w:rsidR="00DC0D9A">
        <w:t xml:space="preserve">criminal </w:t>
      </w:r>
      <w:r w:rsidRPr="00511C97" w:rsidR="00A179A0">
        <w:t>trial</w:t>
      </w:r>
      <w:r w:rsidRPr="00511C97" w:rsidR="00AB1180">
        <w:t xml:space="preserve"> despite proper service of </w:t>
      </w:r>
      <w:r w:rsidRPr="00511C97" w:rsidR="00DA3640">
        <w:t xml:space="preserve">a </w:t>
      </w:r>
      <w:r w:rsidRPr="00511C97" w:rsidR="00AB1180">
        <w:t>subpoena</w:t>
      </w:r>
      <w:r w:rsidRPr="00511C97" w:rsidR="008B00AE">
        <w:t xml:space="preserve"> and</w:t>
      </w:r>
      <w:r w:rsidRPr="00511C97" w:rsidR="006B0891">
        <w:t xml:space="preserve"> the court’s issuance of a body attachment</w:t>
      </w:r>
      <w:r w:rsidRPr="00511C97" w:rsidR="005A2B35">
        <w:t xml:space="preserve"> order</w:t>
      </w:r>
      <w:r w:rsidRPr="00511C97" w:rsidR="00AB1180">
        <w:t>.  T</w:t>
      </w:r>
      <w:r w:rsidRPr="00511C97" w:rsidR="00A179A0">
        <w:t xml:space="preserve">he </w:t>
      </w:r>
      <w:r w:rsidRPr="00511C97" w:rsidR="005B6C7E">
        <w:t>prosecution sought to admit</w:t>
      </w:r>
      <w:r w:rsidRPr="00511C97" w:rsidR="00A179A0">
        <w:t xml:space="preserve"> </w:t>
      </w:r>
      <w:r w:rsidRPr="00511C97" w:rsidR="00AB1180">
        <w:t xml:space="preserve">N.S.’s </w:t>
      </w:r>
      <w:r w:rsidRPr="00511C97" w:rsidR="00A179A0">
        <w:t>statement</w:t>
      </w:r>
      <w:r w:rsidRPr="00511C97" w:rsidR="00437E66">
        <w:t>s</w:t>
      </w:r>
      <w:r w:rsidRPr="00511C97" w:rsidR="00A179A0">
        <w:t xml:space="preserve"> </w:t>
      </w:r>
      <w:r w:rsidRPr="00511C97" w:rsidR="00C5262A">
        <w:t xml:space="preserve">as recorded </w:t>
      </w:r>
      <w:r w:rsidRPr="00511C97" w:rsidR="00A179A0">
        <w:t>on the body</w:t>
      </w:r>
      <w:r w:rsidRPr="00511C97" w:rsidR="007C586D">
        <w:t xml:space="preserve">-worn </w:t>
      </w:r>
      <w:r w:rsidRPr="00511C97" w:rsidR="00A179A0">
        <w:t>cam</w:t>
      </w:r>
      <w:r w:rsidRPr="00511C97" w:rsidR="007C586D">
        <w:t>era</w:t>
      </w:r>
      <w:r w:rsidRPr="00511C97" w:rsidR="00A179A0">
        <w:t xml:space="preserve"> video</w:t>
      </w:r>
      <w:r w:rsidRPr="00511C97" w:rsidR="00AB1180">
        <w:t xml:space="preserve">, but the trial court ruled that </w:t>
      </w:r>
      <w:r w:rsidRPr="00511C97" w:rsidR="00437E66">
        <w:t>the</w:t>
      </w:r>
      <w:r w:rsidRPr="00511C97" w:rsidR="00C5262A">
        <w:t xml:space="preserve"> statements</w:t>
      </w:r>
      <w:r w:rsidRPr="00511C97" w:rsidR="00AB1180">
        <w:t xml:space="preserve"> </w:t>
      </w:r>
      <w:r w:rsidRPr="00511C97" w:rsidR="007C2664">
        <w:t>were</w:t>
      </w:r>
      <w:r w:rsidRPr="00511C97" w:rsidR="00A179A0">
        <w:t xml:space="preserve"> </w:t>
      </w:r>
      <w:r w:rsidRPr="00511C97" w:rsidR="00761B2B">
        <w:t xml:space="preserve">testimonial and </w:t>
      </w:r>
      <w:r w:rsidR="00295251">
        <w:t xml:space="preserve">therefore </w:t>
      </w:r>
      <w:r w:rsidRPr="00511C97" w:rsidR="00A179A0">
        <w:t xml:space="preserve">inadmissible under the </w:t>
      </w:r>
      <w:r w:rsidRPr="00511C97" w:rsidR="00FB2DD2">
        <w:t>c</w:t>
      </w:r>
      <w:r w:rsidRPr="00511C97" w:rsidR="00A179A0">
        <w:t xml:space="preserve">onfrontation </w:t>
      </w:r>
      <w:r w:rsidRPr="00511C97" w:rsidR="00FB2DD2">
        <w:t>c</w:t>
      </w:r>
      <w:r w:rsidRPr="00511C97" w:rsidR="00A179A0">
        <w:t>lause</w:t>
      </w:r>
      <w:r w:rsidRPr="00511C97" w:rsidR="00CD0B3E">
        <w:t xml:space="preserve"> of the Sixth Amendment</w:t>
      </w:r>
      <w:r w:rsidRPr="00511C97" w:rsidR="004A3BD0">
        <w:t xml:space="preserve"> </w:t>
      </w:r>
      <w:r w:rsidRPr="00511C97" w:rsidR="0011714E">
        <w:t>to the United States Constitution</w:t>
      </w:r>
      <w:r w:rsidRPr="00511C97" w:rsidR="00E41078">
        <w:t xml:space="preserve"> (U.S. Const., 6th Amend.) </w:t>
      </w:r>
      <w:r w:rsidRPr="00511C97" w:rsidR="00E657FE">
        <w:t xml:space="preserve">as </w:t>
      </w:r>
      <w:r w:rsidRPr="00511C97" w:rsidR="005A6791">
        <w:t xml:space="preserve">construed </w:t>
      </w:r>
      <w:r w:rsidRPr="00511C97" w:rsidR="001C0923">
        <w:t xml:space="preserve">in </w:t>
      </w:r>
      <w:r w:rsidRPr="00511C97" w:rsidR="00E06694">
        <w:rPr>
          <w:i/>
          <w:iCs/>
        </w:rPr>
        <w:t>Crawford v. Washington</w:t>
      </w:r>
      <w:r w:rsidRPr="00511C97" w:rsidR="00E06694">
        <w:t xml:space="preserve"> (2004) 541 U.S. 36 (</w:t>
      </w:r>
      <w:r w:rsidRPr="00511C97" w:rsidR="00E06694">
        <w:rPr>
          <w:i/>
          <w:iCs/>
        </w:rPr>
        <w:t>Crawford</w:t>
      </w:r>
      <w:r w:rsidRPr="00511C97" w:rsidR="00E06694">
        <w:t xml:space="preserve">). </w:t>
      </w:r>
      <w:r w:rsidRPr="00511C97" w:rsidR="00A179A0">
        <w:t xml:space="preserve"> </w:t>
      </w:r>
      <w:r w:rsidRPr="00511C97" w:rsidR="00AC25D1">
        <w:t xml:space="preserve">The prosecution </w:t>
      </w:r>
      <w:r w:rsidRPr="00511C97" w:rsidR="00377601">
        <w:t xml:space="preserve">then </w:t>
      </w:r>
      <w:r w:rsidRPr="00511C97" w:rsidR="00AC25D1">
        <w:t>announced that it was unable to proceed and the court granted defendant’s motion to dismiss</w:t>
      </w:r>
      <w:r w:rsidRPr="00511C97" w:rsidR="002D6824">
        <w:t xml:space="preserve"> the criminal </w:t>
      </w:r>
      <w:r w:rsidRPr="00511C97" w:rsidR="000C4BCC">
        <w:t>proceeding</w:t>
      </w:r>
      <w:r w:rsidRPr="00511C97" w:rsidR="00AC25D1">
        <w:t xml:space="preserve">.  </w:t>
      </w:r>
    </w:p>
    <w:p w:rsidR="009C7430" w:rsidRPr="00511C97" w:rsidP="00CA777B" w14:paraId="548031DC" w14:textId="77777777">
      <w:pPr>
        <w:tabs>
          <w:tab w:val="left" w:pos="1440"/>
        </w:tabs>
        <w:ind w:firstLine="720"/>
      </w:pPr>
      <w:r w:rsidRPr="00511C97">
        <w:t>T</w:t>
      </w:r>
      <w:r w:rsidRPr="00511C97" w:rsidR="001D4F55">
        <w:t xml:space="preserve">he </w:t>
      </w:r>
      <w:r w:rsidRPr="00511C97" w:rsidR="00540FBA">
        <w:t xml:space="preserve">trial court held </w:t>
      </w:r>
      <w:r w:rsidRPr="00511C97" w:rsidR="003C38F3">
        <w:t xml:space="preserve">a </w:t>
      </w:r>
      <w:r w:rsidRPr="00511C97" w:rsidR="001D4F55">
        <w:t>probation revocation hearing</w:t>
      </w:r>
      <w:r w:rsidRPr="00511C97">
        <w:t xml:space="preserve"> several weeks later</w:t>
      </w:r>
      <w:r w:rsidRPr="00511C97" w:rsidR="001D4F55">
        <w:t xml:space="preserve">.  </w:t>
      </w:r>
      <w:r w:rsidRPr="00511C97" w:rsidR="00351270">
        <w:t>D</w:t>
      </w:r>
      <w:r w:rsidRPr="00511C97" w:rsidR="00FD605B">
        <w:t xml:space="preserve">efendant </w:t>
      </w:r>
      <w:r w:rsidRPr="00511C97" w:rsidR="001F0BE3">
        <w:t xml:space="preserve">again </w:t>
      </w:r>
      <w:r w:rsidRPr="00511C97" w:rsidR="00FD605B">
        <w:t xml:space="preserve">objected </w:t>
      </w:r>
      <w:r w:rsidRPr="00511C97" w:rsidR="00351270">
        <w:t xml:space="preserve">that </w:t>
      </w:r>
      <w:r w:rsidRPr="00511C97" w:rsidR="00FD605B">
        <w:t xml:space="preserve">the admission of the video </w:t>
      </w:r>
      <w:r w:rsidRPr="00511C97" w:rsidR="0066354E">
        <w:t xml:space="preserve">containing N.S.’s statements </w:t>
      </w:r>
      <w:r w:rsidRPr="00511C97" w:rsidR="00E7455A">
        <w:t>violat</w:t>
      </w:r>
      <w:r w:rsidRPr="00511C97" w:rsidR="00351270">
        <w:t>ed</w:t>
      </w:r>
      <w:r w:rsidRPr="00511C97" w:rsidR="00FD605B">
        <w:t xml:space="preserve"> </w:t>
      </w:r>
      <w:r w:rsidRPr="00511C97" w:rsidR="00B37449">
        <w:t>his</w:t>
      </w:r>
      <w:r w:rsidRPr="00511C97" w:rsidR="00E029CF">
        <w:t xml:space="preserve"> Sixth Amendment rights under </w:t>
      </w:r>
      <w:r w:rsidRPr="00511C97" w:rsidR="00FD605B">
        <w:rPr>
          <w:i/>
          <w:iCs/>
        </w:rPr>
        <w:t xml:space="preserve">Crawford </w:t>
      </w:r>
      <w:r w:rsidRPr="00511C97" w:rsidR="00EE5C81">
        <w:t xml:space="preserve">as well as </w:t>
      </w:r>
      <w:r w:rsidRPr="00511C97" w:rsidR="00E029CF">
        <w:t>his</w:t>
      </w:r>
      <w:r w:rsidRPr="00511C97" w:rsidR="00FD605B">
        <w:t xml:space="preserve"> due process rights</w:t>
      </w:r>
      <w:r w:rsidRPr="00511C97" w:rsidR="00E029CF">
        <w:t xml:space="preserve"> under the Fourteenth Amendment</w:t>
      </w:r>
      <w:r w:rsidRPr="00511C97" w:rsidR="00FD605B">
        <w:t>.</w:t>
      </w:r>
      <w:r w:rsidRPr="00511C97" w:rsidR="00B40D45">
        <w:t xml:space="preserve">  </w:t>
      </w:r>
      <w:r w:rsidRPr="00511C97" w:rsidR="003C38F3">
        <w:t xml:space="preserve">The </w:t>
      </w:r>
      <w:r w:rsidRPr="00511C97" w:rsidR="00AE36FF">
        <w:t xml:space="preserve">trial </w:t>
      </w:r>
      <w:r w:rsidRPr="00511C97" w:rsidR="003C38F3">
        <w:t xml:space="preserve">court </w:t>
      </w:r>
      <w:r w:rsidRPr="00511C97" w:rsidR="00515335">
        <w:t xml:space="preserve">ruled </w:t>
      </w:r>
      <w:r w:rsidRPr="00511C97" w:rsidR="003C38F3">
        <w:t xml:space="preserve">that </w:t>
      </w:r>
      <w:r w:rsidR="00CF5D63">
        <w:t xml:space="preserve">the Sixth Amendment applied only in criminal proceedings and therefore did not apply at a probation </w:t>
      </w:r>
      <w:r w:rsidR="00F37DE2">
        <w:t>violation</w:t>
      </w:r>
      <w:r w:rsidR="00211F43">
        <w:t xml:space="preserve"> hearing.  The court then ruled that </w:t>
      </w:r>
      <w:r w:rsidRPr="00511C97" w:rsidR="003C38F3">
        <w:t xml:space="preserve">N.S.’s statements </w:t>
      </w:r>
      <w:r w:rsidRPr="00511C97" w:rsidR="00A73353">
        <w:t xml:space="preserve">within </w:t>
      </w:r>
      <w:r w:rsidRPr="00511C97" w:rsidR="003C38F3">
        <w:t xml:space="preserve">the first seven minutes of the video </w:t>
      </w:r>
      <w:r w:rsidRPr="00511C97" w:rsidR="00E770F8">
        <w:t>qualified as spontaneous statement</w:t>
      </w:r>
      <w:r w:rsidRPr="00511C97" w:rsidR="007301BE">
        <w:t>s</w:t>
      </w:r>
      <w:r w:rsidRPr="00511C97" w:rsidR="00E770F8">
        <w:t xml:space="preserve"> under Evidence Code section</w:t>
      </w:r>
      <w:r w:rsidRPr="00511C97" w:rsidR="00DC0D9A">
        <w:t> </w:t>
      </w:r>
      <w:r w:rsidRPr="00511C97" w:rsidR="00E770F8">
        <w:t xml:space="preserve">1240.  </w:t>
      </w:r>
      <w:r w:rsidRPr="00511C97" w:rsidR="0097497A">
        <w:t>Without making a</w:t>
      </w:r>
      <w:r w:rsidRPr="00511C97" w:rsidR="00346EF5">
        <w:t>n express</w:t>
      </w:r>
      <w:r w:rsidRPr="00511C97" w:rsidR="0097497A">
        <w:t xml:space="preserve"> finding of good cause </w:t>
      </w:r>
      <w:r w:rsidRPr="00511C97" w:rsidR="00293BAA">
        <w:t xml:space="preserve">for not securing </w:t>
      </w:r>
      <w:r w:rsidRPr="00511C97" w:rsidR="001D2A62">
        <w:t>N.S.’s</w:t>
      </w:r>
      <w:r w:rsidRPr="00511C97" w:rsidR="00293BAA">
        <w:t xml:space="preserve"> live testimony</w:t>
      </w:r>
      <w:r w:rsidRPr="00511C97" w:rsidR="001D2A62">
        <w:t xml:space="preserve"> </w:t>
      </w:r>
      <w:r w:rsidRPr="00511C97" w:rsidR="00293BAA">
        <w:t xml:space="preserve">at the </w:t>
      </w:r>
      <w:r w:rsidRPr="00511C97" w:rsidR="00A33F82">
        <w:t xml:space="preserve">revocation </w:t>
      </w:r>
      <w:r w:rsidRPr="00511C97" w:rsidR="00293BAA">
        <w:t>hearing, t</w:t>
      </w:r>
      <w:r w:rsidRPr="00511C97" w:rsidR="00204C9E">
        <w:t xml:space="preserve">he court </w:t>
      </w:r>
      <w:r w:rsidRPr="00511C97" w:rsidR="00BE14A2">
        <w:t xml:space="preserve">admitted </w:t>
      </w:r>
      <w:r w:rsidRPr="00511C97" w:rsidR="005C2E2C">
        <w:t xml:space="preserve">N.S.’s </w:t>
      </w:r>
      <w:r w:rsidRPr="00511C97" w:rsidR="00BE14A2">
        <w:t>recorded statement</w:t>
      </w:r>
      <w:r w:rsidRPr="00511C97" w:rsidR="00DD3E66">
        <w:t>s</w:t>
      </w:r>
      <w:r w:rsidRPr="00511C97" w:rsidR="00584496">
        <w:t xml:space="preserve">.  </w:t>
      </w:r>
      <w:r w:rsidRPr="00511C97" w:rsidR="007172EE">
        <w:t xml:space="preserve">It </w:t>
      </w:r>
      <w:r w:rsidRPr="00511C97" w:rsidR="00A70F68">
        <w:t xml:space="preserve">then </w:t>
      </w:r>
      <w:r w:rsidRPr="00511C97" w:rsidR="007172EE">
        <w:t>found</w:t>
      </w:r>
      <w:r w:rsidRPr="00511C97" w:rsidR="00386FE7">
        <w:t xml:space="preserve"> that</w:t>
      </w:r>
      <w:r w:rsidRPr="00511C97" w:rsidR="007172EE">
        <w:t xml:space="preserve"> defendant viol</w:t>
      </w:r>
      <w:r w:rsidRPr="00511C97" w:rsidR="00DC0D9A">
        <w:t xml:space="preserve">ated </w:t>
      </w:r>
      <w:r w:rsidRPr="00511C97" w:rsidR="007172EE">
        <w:t>his probation and imposed the previously suspended sentence of seven years</w:t>
      </w:r>
      <w:r w:rsidR="00F504FE">
        <w:t>’</w:t>
      </w:r>
      <w:r w:rsidRPr="00511C97" w:rsidR="007172EE">
        <w:t xml:space="preserve"> imprisonment.</w:t>
      </w:r>
      <w:r w:rsidRPr="00511C97" w:rsidR="00DC0D9A">
        <w:t xml:space="preserve">  </w:t>
      </w:r>
    </w:p>
    <w:p w:rsidR="0006295C" w:rsidRPr="00511C97" w:rsidP="00CA777B" w14:paraId="548031DD" w14:textId="77777777">
      <w:pPr>
        <w:tabs>
          <w:tab w:val="left" w:pos="1440"/>
        </w:tabs>
        <w:ind w:firstLine="720"/>
      </w:pPr>
      <w:r w:rsidRPr="00511C97">
        <w:t xml:space="preserve">Defendant appealed </w:t>
      </w:r>
      <w:r w:rsidRPr="00511C97" w:rsidR="00301D0C">
        <w:t xml:space="preserve">from the order revoking </w:t>
      </w:r>
      <w:r w:rsidRPr="00511C97" w:rsidR="00347648">
        <w:t xml:space="preserve">his </w:t>
      </w:r>
      <w:r w:rsidRPr="00511C97" w:rsidR="00301D0C">
        <w:t xml:space="preserve">probation, </w:t>
      </w:r>
      <w:r w:rsidRPr="00511C97">
        <w:t xml:space="preserve">and the Court of Appeal affirmed. </w:t>
      </w:r>
      <w:r w:rsidRPr="00511C97" w:rsidR="0092636B">
        <w:t xml:space="preserve"> (</w:t>
      </w:r>
      <w:r w:rsidRPr="00511C97" w:rsidR="0092636B">
        <w:rPr>
          <w:i/>
          <w:iCs/>
        </w:rPr>
        <w:t xml:space="preserve">People v. Gray </w:t>
      </w:r>
      <w:r w:rsidRPr="00511C97" w:rsidR="00473F82">
        <w:t>(2021) 63 Cal.App.</w:t>
      </w:r>
      <w:r w:rsidRPr="00511C97" w:rsidR="00A56515">
        <w:t>5th 947</w:t>
      </w:r>
      <w:r w:rsidRPr="00511C97" w:rsidR="00C518B4">
        <w:t xml:space="preserve"> (</w:t>
      </w:r>
      <w:r w:rsidRPr="00511C97" w:rsidR="00C518B4">
        <w:rPr>
          <w:i/>
          <w:iCs/>
        </w:rPr>
        <w:t>Gray</w:t>
      </w:r>
      <w:r w:rsidRPr="00511C97" w:rsidR="00C518B4">
        <w:t>)</w:t>
      </w:r>
      <w:r w:rsidRPr="00511C97" w:rsidR="00A56515">
        <w:t xml:space="preserve">.)  </w:t>
      </w:r>
      <w:r w:rsidRPr="00511C97" w:rsidR="000A5A78">
        <w:t xml:space="preserve">The Court of Appeal acknowledged that N.S.’s statements were testimonial under </w:t>
      </w:r>
      <w:r w:rsidRPr="00511C97" w:rsidR="000A5A78">
        <w:rPr>
          <w:i/>
          <w:iCs/>
        </w:rPr>
        <w:t>Crawford</w:t>
      </w:r>
      <w:r w:rsidRPr="00511C97" w:rsidR="000A5A78">
        <w:t xml:space="preserve"> and therefore inadmissible </w:t>
      </w:r>
      <w:r w:rsidR="00821619">
        <w:t>at</w:t>
      </w:r>
      <w:r w:rsidRPr="00511C97" w:rsidR="000A5A78">
        <w:t xml:space="preserve"> defendant’s criminal proceeding (</w:t>
      </w:r>
      <w:r w:rsidRPr="00511C97" w:rsidR="000A5A78">
        <w:rPr>
          <w:i/>
          <w:iCs/>
        </w:rPr>
        <w:t>id</w:t>
      </w:r>
      <w:r w:rsidRPr="00511C97" w:rsidR="000A5A78">
        <w:t xml:space="preserve">. at p. 949), but found that consideration irrelevant in determining whether the statements were admissible </w:t>
      </w:r>
      <w:r w:rsidR="00821619">
        <w:t>at</w:t>
      </w:r>
      <w:r w:rsidRPr="00511C97" w:rsidR="000A5A78">
        <w:t xml:space="preserve"> defendant’s probation revocation hearing (</w:t>
      </w:r>
      <w:r w:rsidRPr="00511C97" w:rsidR="000A5A78">
        <w:rPr>
          <w:i/>
          <w:iCs/>
        </w:rPr>
        <w:t>id</w:t>
      </w:r>
      <w:r w:rsidRPr="00511C97" w:rsidR="000A5A78">
        <w:t>. at pp. 956–957).</w:t>
      </w:r>
      <w:r>
        <w:rPr>
          <w:rStyle w:val="FootnoteReference"/>
        </w:rPr>
        <w:footnoteReference w:id="3"/>
      </w:r>
      <w:r w:rsidR="000A5A78">
        <w:t xml:space="preserve">  </w:t>
      </w:r>
      <w:r w:rsidRPr="00511C97" w:rsidR="00381A94">
        <w:t>The Court of Appeal</w:t>
      </w:r>
      <w:r w:rsidRPr="00511C97" w:rsidR="000C760C">
        <w:t xml:space="preserve"> </w:t>
      </w:r>
      <w:r w:rsidRPr="00511C97" w:rsidR="008607C7">
        <w:t xml:space="preserve">held that </w:t>
      </w:r>
      <w:r w:rsidRPr="00511C97" w:rsidR="00283961">
        <w:t xml:space="preserve">hearsay </w:t>
      </w:r>
      <w:r w:rsidRPr="00511C97" w:rsidR="00381A94">
        <w:t xml:space="preserve">that qualifies as a spontaneous </w:t>
      </w:r>
      <w:r w:rsidRPr="00511C97" w:rsidR="00283961">
        <w:t xml:space="preserve">statement </w:t>
      </w:r>
      <w:r w:rsidRPr="00511C97" w:rsidR="00C84347">
        <w:t xml:space="preserve">under Evidence Code section 1240 automatically satisfies the minimum </w:t>
      </w:r>
      <w:r w:rsidRPr="00511C97" w:rsidR="00F24DF2">
        <w:t xml:space="preserve">due process </w:t>
      </w:r>
      <w:r w:rsidRPr="00511C97" w:rsidR="00C84347">
        <w:t xml:space="preserve">requirements applicable at probation </w:t>
      </w:r>
      <w:r w:rsidRPr="00511C97" w:rsidR="00292ED7">
        <w:t>revocation</w:t>
      </w:r>
      <w:r w:rsidRPr="00511C97" w:rsidR="00C84347">
        <w:t xml:space="preserve"> hearings</w:t>
      </w:r>
      <w:r w:rsidRPr="00511C97" w:rsidR="00283961">
        <w:t>.  (</w:t>
      </w:r>
      <w:r w:rsidRPr="00511C97" w:rsidR="004D6ABB">
        <w:rPr>
          <w:i/>
          <w:iCs/>
        </w:rPr>
        <w:t>Gray</w:t>
      </w:r>
      <w:r w:rsidRPr="00511C97" w:rsidR="004D6ABB">
        <w:t>,</w:t>
      </w:r>
      <w:r w:rsidRPr="00511C97" w:rsidR="00283961">
        <w:t xml:space="preserve"> at p. </w:t>
      </w:r>
      <w:r w:rsidRPr="00511C97" w:rsidR="006E5CFA">
        <w:t>9</w:t>
      </w:r>
      <w:r w:rsidR="006E5CFA">
        <w:t>49</w:t>
      </w:r>
      <w:r w:rsidRPr="00511C97" w:rsidR="00283961">
        <w:t xml:space="preserve">.)  </w:t>
      </w:r>
      <w:r w:rsidRPr="00511C97" w:rsidR="000C760C">
        <w:t xml:space="preserve">It </w:t>
      </w:r>
      <w:r w:rsidRPr="00511C97" w:rsidR="00283961">
        <w:t xml:space="preserve">rejected defendant’s </w:t>
      </w:r>
      <w:r w:rsidRPr="00511C97">
        <w:t xml:space="preserve">argument </w:t>
      </w:r>
      <w:r w:rsidRPr="00511C97" w:rsidR="00283961">
        <w:t>that</w:t>
      </w:r>
      <w:r w:rsidRPr="00511C97" w:rsidR="000C760C">
        <w:t xml:space="preserve">, before </w:t>
      </w:r>
      <w:r w:rsidRPr="00511C97" w:rsidR="00F24DF2">
        <w:t xml:space="preserve">such </w:t>
      </w:r>
      <w:r w:rsidRPr="00511C97" w:rsidR="000C760C">
        <w:t xml:space="preserve">spontaneous statements </w:t>
      </w:r>
      <w:r w:rsidRPr="00511C97" w:rsidR="00F24DF2">
        <w:t xml:space="preserve">may </w:t>
      </w:r>
      <w:r w:rsidRPr="00511C97" w:rsidR="000C760C">
        <w:t>be admitted,</w:t>
      </w:r>
      <w:r w:rsidRPr="00511C97" w:rsidR="00283961">
        <w:t xml:space="preserve"> </w:t>
      </w:r>
      <w:r w:rsidRPr="00511C97" w:rsidR="00EC2996">
        <w:t xml:space="preserve">the </w:t>
      </w:r>
      <w:r w:rsidRPr="00511C97" w:rsidR="002F667A">
        <w:t xml:space="preserve">trial </w:t>
      </w:r>
      <w:r w:rsidRPr="00511C97" w:rsidR="000525ED">
        <w:t>court must make a finding of</w:t>
      </w:r>
      <w:r w:rsidRPr="00511C97" w:rsidR="00EC2996">
        <w:t xml:space="preserve"> good cause</w:t>
      </w:r>
      <w:r w:rsidRPr="00511C97" w:rsidR="00E322C9">
        <w:t xml:space="preserve"> to dispense with cross-examination</w:t>
      </w:r>
      <w:r w:rsidRPr="00511C97" w:rsidR="00F24DF2">
        <w:t>,</w:t>
      </w:r>
      <w:r w:rsidRPr="00511C97" w:rsidR="00E322C9">
        <w:t xml:space="preserve"> and </w:t>
      </w:r>
      <w:r w:rsidRPr="00511C97" w:rsidR="0092764D">
        <w:t xml:space="preserve">also </w:t>
      </w:r>
      <w:r w:rsidRPr="00511C97" w:rsidR="000525ED">
        <w:t>find</w:t>
      </w:r>
      <w:r w:rsidRPr="00511C97" w:rsidR="00500167">
        <w:t xml:space="preserve"> </w:t>
      </w:r>
      <w:r w:rsidRPr="00511C97" w:rsidR="00E322C9">
        <w:t>that this good cause outweigh</w:t>
      </w:r>
      <w:r w:rsidRPr="00511C97" w:rsidR="00801D8F">
        <w:t>ed</w:t>
      </w:r>
      <w:r w:rsidRPr="00511C97" w:rsidR="00E322C9">
        <w:t xml:space="preserve"> </w:t>
      </w:r>
      <w:r w:rsidRPr="00511C97" w:rsidR="006B764A">
        <w:t xml:space="preserve">defendant’s </w:t>
      </w:r>
      <w:r w:rsidRPr="00511C97" w:rsidR="00E322C9">
        <w:t>need for confrontation</w:t>
      </w:r>
      <w:r w:rsidRPr="00511C97">
        <w:t xml:space="preserve">.  </w:t>
      </w:r>
      <w:r w:rsidRPr="00511C97" w:rsidR="000C760C">
        <w:t>(</w:t>
      </w:r>
      <w:r w:rsidRPr="00511C97" w:rsidR="000C760C">
        <w:rPr>
          <w:i/>
          <w:iCs/>
        </w:rPr>
        <w:t>Id</w:t>
      </w:r>
      <w:r w:rsidRPr="00511C97" w:rsidR="000C760C">
        <w:t>. at pp. </w:t>
      </w:r>
      <w:r w:rsidRPr="00511C97" w:rsidR="00312FDF">
        <w:t>953</w:t>
      </w:r>
      <w:r w:rsidRPr="00511C97" w:rsidR="000C760C">
        <w:t>–</w:t>
      </w:r>
      <w:r w:rsidRPr="00511C97" w:rsidR="00312FDF">
        <w:t>955</w:t>
      </w:r>
      <w:r w:rsidRPr="00511C97" w:rsidR="000C760C">
        <w:t xml:space="preserve">.)  </w:t>
      </w:r>
    </w:p>
    <w:p w:rsidR="000C760C" w:rsidRPr="00511C97" w:rsidP="00CA777B" w14:paraId="548031DE" w14:textId="77777777">
      <w:pPr>
        <w:tabs>
          <w:tab w:val="left" w:pos="1440"/>
        </w:tabs>
        <w:ind w:firstLine="720"/>
      </w:pPr>
      <w:r w:rsidRPr="00511C97">
        <w:t xml:space="preserve">As the Court of Appeal </w:t>
      </w:r>
      <w:r w:rsidRPr="00511C97" w:rsidR="0037637D">
        <w:t>in this case</w:t>
      </w:r>
      <w:r w:rsidRPr="00511C97">
        <w:t xml:space="preserve"> recognized</w:t>
      </w:r>
      <w:r w:rsidRPr="00511C97" w:rsidR="00BF3E96">
        <w:t xml:space="preserve"> (</w:t>
      </w:r>
      <w:r w:rsidRPr="00511C97" w:rsidR="00BF3E96">
        <w:rPr>
          <w:i/>
          <w:iCs/>
        </w:rPr>
        <w:t>Gray</w:t>
      </w:r>
      <w:r w:rsidRPr="00511C97" w:rsidR="00BF3E96">
        <w:t xml:space="preserve">, </w:t>
      </w:r>
      <w:r w:rsidRPr="00511C97" w:rsidR="00BF3E96">
        <w:rPr>
          <w:i/>
          <w:iCs/>
        </w:rPr>
        <w:t>supra</w:t>
      </w:r>
      <w:r w:rsidRPr="00511C97" w:rsidR="00BF3E96">
        <w:t>, 63 Cal.App.5th at p. 949)</w:t>
      </w:r>
      <w:r w:rsidRPr="00511C97">
        <w:t xml:space="preserve">, there is a split of authority regarding the </w:t>
      </w:r>
      <w:r w:rsidRPr="00511C97" w:rsidR="00F24DF2">
        <w:t>prerequisites for</w:t>
      </w:r>
      <w:r w:rsidRPr="00511C97" w:rsidR="00292ED7">
        <w:t xml:space="preserve"> </w:t>
      </w:r>
      <w:r w:rsidRPr="00511C97" w:rsidR="00AD2CF0">
        <w:t>admitting</w:t>
      </w:r>
      <w:r w:rsidRPr="00511C97">
        <w:t xml:space="preserve"> spontaneous statements </w:t>
      </w:r>
      <w:r w:rsidRPr="00511C97" w:rsidR="00AD2CF0">
        <w:t xml:space="preserve">in </w:t>
      </w:r>
      <w:r w:rsidRPr="00511C97" w:rsidR="00292ED7">
        <w:t>probation revocation hearings</w:t>
      </w:r>
      <w:r w:rsidRPr="00511C97" w:rsidR="000C47D6">
        <w:t xml:space="preserve">.  Specifically, courts are divided </w:t>
      </w:r>
      <w:r w:rsidRPr="00511C97" w:rsidR="00AD2CF0">
        <w:t>over whether an additional</w:t>
      </w:r>
      <w:r w:rsidRPr="00511C97" w:rsidR="00BF3E96">
        <w:t xml:space="preserve"> showing</w:t>
      </w:r>
      <w:r w:rsidRPr="00511C97" w:rsidR="00621565">
        <w:t xml:space="preserve">, beyond satisfaction of the criteria </w:t>
      </w:r>
      <w:r w:rsidR="0002761A">
        <w:t xml:space="preserve">for spontaneous statements </w:t>
      </w:r>
      <w:r w:rsidRPr="00511C97" w:rsidR="00621565">
        <w:t>set out in Evidence Code section 1240,</w:t>
      </w:r>
      <w:r w:rsidRPr="00511C97" w:rsidR="00BF3E96">
        <w:t xml:space="preserve"> is required to protect a </w:t>
      </w:r>
      <w:r w:rsidRPr="00511C97" w:rsidR="00801D8F">
        <w:t xml:space="preserve">probationer’s </w:t>
      </w:r>
      <w:r w:rsidRPr="00511C97" w:rsidR="00BF3E96">
        <w:t>due process rights in this context</w:t>
      </w:r>
      <w:r w:rsidRPr="00511C97">
        <w:t xml:space="preserve">.  (Compare </w:t>
      </w:r>
      <w:r w:rsidRPr="00511C97">
        <w:rPr>
          <w:i/>
          <w:iCs/>
        </w:rPr>
        <w:t>People v. Liggins</w:t>
      </w:r>
      <w:r w:rsidRPr="00511C97">
        <w:t xml:space="preserve"> (2020) 53</w:t>
      </w:r>
      <w:r w:rsidRPr="00511C97" w:rsidR="000649A4">
        <w:t> </w:t>
      </w:r>
      <w:r w:rsidRPr="00511C97">
        <w:t xml:space="preserve">Cal.App.5th 55, </w:t>
      </w:r>
      <w:r w:rsidRPr="00511C97" w:rsidR="000649A4">
        <w:t>66</w:t>
      </w:r>
      <w:r w:rsidRPr="00511C97">
        <w:t xml:space="preserve"> (</w:t>
      </w:r>
      <w:r w:rsidRPr="00511C97">
        <w:rPr>
          <w:i/>
          <w:iCs/>
        </w:rPr>
        <w:t>Liggins</w:t>
      </w:r>
      <w:r w:rsidRPr="00511C97">
        <w:t xml:space="preserve">) [requiring good cause </w:t>
      </w:r>
      <w:r w:rsidRPr="00511C97" w:rsidR="000C47D6">
        <w:t xml:space="preserve">for not </w:t>
      </w:r>
      <w:r w:rsidRPr="00511C97" w:rsidR="00B06E6A">
        <w:t>allowing confrontation</w:t>
      </w:r>
      <w:r w:rsidRPr="00511C97" w:rsidR="000C47D6">
        <w:t xml:space="preserve"> </w:t>
      </w:r>
      <w:r w:rsidRPr="00511C97">
        <w:t xml:space="preserve">and </w:t>
      </w:r>
      <w:r w:rsidRPr="00511C97" w:rsidR="00292ED7">
        <w:t xml:space="preserve">application of </w:t>
      </w:r>
      <w:r w:rsidRPr="00511C97" w:rsidR="00BF3E96">
        <w:t xml:space="preserve">a </w:t>
      </w:r>
      <w:r w:rsidRPr="00511C97">
        <w:t xml:space="preserve">balancing </w:t>
      </w:r>
      <w:r w:rsidRPr="00511C97" w:rsidR="00292ED7">
        <w:t>test</w:t>
      </w:r>
      <w:r w:rsidRPr="00511C97" w:rsidR="000C47D6">
        <w:t xml:space="preserve"> </w:t>
      </w:r>
      <w:r w:rsidRPr="00511C97" w:rsidR="00621565">
        <w:t xml:space="preserve">that </w:t>
      </w:r>
      <w:r w:rsidRPr="00511C97" w:rsidR="000C47D6">
        <w:t xml:space="preserve">weighs </w:t>
      </w:r>
      <w:r w:rsidRPr="00511C97" w:rsidR="00D62689">
        <w:t>probationer</w:t>
      </w:r>
      <w:r w:rsidRPr="00511C97" w:rsidR="000C47D6">
        <w:t>’s confrontation rights against government’s countervailing interests</w:t>
      </w:r>
      <w:r w:rsidRPr="00511C97">
        <w:t xml:space="preserve">] </w:t>
      </w:r>
      <w:r w:rsidRPr="00511C97" w:rsidR="00322562">
        <w:t xml:space="preserve">with </w:t>
      </w:r>
      <w:r w:rsidRPr="00511C97">
        <w:rPr>
          <w:i/>
          <w:iCs/>
        </w:rPr>
        <w:t xml:space="preserve">People v. Stanphill </w:t>
      </w:r>
      <w:r w:rsidRPr="00511C97">
        <w:t xml:space="preserve">(2009) 170 Cal.App.4th 61, </w:t>
      </w:r>
      <w:r w:rsidRPr="00511C97" w:rsidR="00491D7F">
        <w:t>81</w:t>
      </w:r>
      <w:r w:rsidRPr="00511C97">
        <w:t xml:space="preserve"> </w:t>
      </w:r>
      <w:r w:rsidRPr="00511C97" w:rsidR="006E3E7A">
        <w:t>(</w:t>
      </w:r>
      <w:r w:rsidRPr="00511C97" w:rsidR="006E3E7A">
        <w:rPr>
          <w:i/>
          <w:iCs/>
        </w:rPr>
        <w:t>Stanphill</w:t>
      </w:r>
      <w:r w:rsidRPr="00511C97" w:rsidR="006E3E7A">
        <w:t>)</w:t>
      </w:r>
      <w:r w:rsidRPr="00511C97" w:rsidR="006E3E7A">
        <w:rPr>
          <w:i/>
          <w:iCs/>
        </w:rPr>
        <w:t xml:space="preserve"> </w:t>
      </w:r>
      <w:r w:rsidRPr="00511C97">
        <w:t>[</w:t>
      </w:r>
      <w:r w:rsidRPr="00511C97" w:rsidR="00292ED7">
        <w:t xml:space="preserve">finding </w:t>
      </w:r>
      <w:r w:rsidRPr="00511C97">
        <w:t xml:space="preserve">spontaneous statements </w:t>
      </w:r>
      <w:r w:rsidRPr="00511C97" w:rsidR="000C47D6">
        <w:t xml:space="preserve">are </w:t>
      </w:r>
      <w:r w:rsidRPr="00511C97">
        <w:t xml:space="preserve">automatically admissible </w:t>
      </w:r>
      <w:r w:rsidRPr="00511C97" w:rsidR="00200CD1">
        <w:t xml:space="preserve">at probation revocation hearing </w:t>
      </w:r>
      <w:r w:rsidRPr="00511C97" w:rsidR="00292ED7">
        <w:t xml:space="preserve">without any further showing of good cause or application of a balancing test].)  </w:t>
      </w:r>
      <w:r w:rsidRPr="00511C97">
        <w:t xml:space="preserve">We granted review to resolve </w:t>
      </w:r>
      <w:r w:rsidRPr="00511C97" w:rsidR="00621565">
        <w:t xml:space="preserve">this </w:t>
      </w:r>
      <w:r w:rsidRPr="00511C97">
        <w:t>conflict.</w:t>
      </w:r>
      <w:r w:rsidRPr="00511C97" w:rsidR="00292ED7">
        <w:t xml:space="preserve">  </w:t>
      </w:r>
    </w:p>
    <w:p w:rsidR="009E497C" w:rsidRPr="00511C97" w:rsidP="00025415" w14:paraId="548031DF" w14:textId="77777777">
      <w:pPr>
        <w:pStyle w:val="Heading1"/>
      </w:pPr>
      <w:r w:rsidRPr="00511C97">
        <w:t>II.</w:t>
      </w:r>
      <w:r w:rsidRPr="00511C97" w:rsidR="004F6D06">
        <w:t xml:space="preserve"> </w:t>
      </w:r>
      <w:r w:rsidRPr="00511C97" w:rsidR="008607C7">
        <w:t xml:space="preserve"> </w:t>
      </w:r>
      <w:r w:rsidRPr="00511C97" w:rsidR="000B03EB">
        <w:t>D</w:t>
      </w:r>
      <w:r w:rsidRPr="00511C97" w:rsidR="004F6D06">
        <w:t>iscussion</w:t>
      </w:r>
    </w:p>
    <w:p w:rsidR="005D19D7" w:rsidRPr="00511C97" w:rsidP="00A01179" w14:paraId="548031E0" w14:textId="77777777">
      <w:pPr>
        <w:ind w:firstLine="720"/>
      </w:pPr>
      <w:r w:rsidRPr="00511C97">
        <w:t xml:space="preserve">Defendant </w:t>
      </w:r>
      <w:r w:rsidRPr="00511C97" w:rsidR="00351270">
        <w:t>contends</w:t>
      </w:r>
      <w:r w:rsidRPr="00511C97" w:rsidR="005C3400">
        <w:t xml:space="preserve"> the Court of Appeal erred in holding that </w:t>
      </w:r>
      <w:r w:rsidRPr="00511C97" w:rsidR="0058270C">
        <w:t xml:space="preserve">a hearsay statement that comes within the spontaneous statement exception to the hearsay rule automatically satisfies a </w:t>
      </w:r>
      <w:r w:rsidRPr="00511C97" w:rsidR="00200CD1">
        <w:t xml:space="preserve">probationer’s constitutional </w:t>
      </w:r>
      <w:r w:rsidRPr="00511C97" w:rsidR="0058270C">
        <w:t>due process right of confrontation</w:t>
      </w:r>
      <w:r w:rsidRPr="00511C97" w:rsidR="001D341D">
        <w:t xml:space="preserve"> and is </w:t>
      </w:r>
      <w:r w:rsidR="00A9081D">
        <w:t xml:space="preserve">automatically </w:t>
      </w:r>
      <w:r w:rsidRPr="00511C97" w:rsidR="001D341D">
        <w:t>admissible at a probation revocation hearing.</w:t>
      </w:r>
      <w:r w:rsidRPr="00511C97" w:rsidR="002C6B66">
        <w:t xml:space="preserve">  </w:t>
      </w:r>
      <w:r w:rsidRPr="00511C97">
        <w:t xml:space="preserve">To resolve this issue, </w:t>
      </w:r>
      <w:r w:rsidRPr="00511C97" w:rsidR="001E781A">
        <w:t xml:space="preserve">we </w:t>
      </w:r>
      <w:r w:rsidRPr="00511C97" w:rsidR="00621565">
        <w:t xml:space="preserve">first </w:t>
      </w:r>
      <w:r w:rsidRPr="00511C97">
        <w:t xml:space="preserve">examine the due process-based right to confrontation </w:t>
      </w:r>
      <w:r w:rsidRPr="00511C97" w:rsidR="005C392C">
        <w:t xml:space="preserve">in revocation hearings </w:t>
      </w:r>
      <w:r w:rsidRPr="00511C97">
        <w:t>recognized by the United States Supreme Court and</w:t>
      </w:r>
      <w:r w:rsidRPr="00511C97" w:rsidR="0008242B">
        <w:t xml:space="preserve"> this </w:t>
      </w:r>
      <w:r w:rsidRPr="00511C97">
        <w:t xml:space="preserve">court, and the conflicting decisions of the Courts of Appeal that have addressed this question.  </w:t>
      </w:r>
    </w:p>
    <w:p w:rsidR="0090078E" w:rsidRPr="00511C97" w:rsidP="0090078E" w14:paraId="548031E1" w14:textId="77777777">
      <w:pPr>
        <w:pStyle w:val="Heading2"/>
      </w:pPr>
      <w:r w:rsidRPr="00511C97">
        <w:t xml:space="preserve">A.  </w:t>
      </w:r>
      <w:r w:rsidRPr="00511C97" w:rsidR="00F140C2">
        <w:t>The Due Process Right to Confrontation in Probation</w:t>
      </w:r>
      <w:r w:rsidRPr="00511C97">
        <w:t xml:space="preserve"> </w:t>
      </w:r>
      <w:r w:rsidRPr="00511C97" w:rsidR="00AF2705">
        <w:t>Revocation Hearings</w:t>
      </w:r>
    </w:p>
    <w:p w:rsidR="00562285" w:rsidRPr="00511C97" w:rsidP="00D33BFA" w14:paraId="548031E2" w14:textId="77777777">
      <w:pPr>
        <w:tabs>
          <w:tab w:val="left" w:pos="1440"/>
        </w:tabs>
        <w:ind w:firstLine="720"/>
      </w:pPr>
      <w:r w:rsidRPr="00511C97">
        <w:t xml:space="preserve">In conducting a probation revocation hearing, </w:t>
      </w:r>
      <w:r w:rsidRPr="00511C97" w:rsidR="0008242B">
        <w:t xml:space="preserve">a </w:t>
      </w:r>
      <w:r w:rsidRPr="00511C97">
        <w:t>trial court exercis</w:t>
      </w:r>
      <w:r w:rsidRPr="00511C97" w:rsidR="0008242B">
        <w:t>es</w:t>
      </w:r>
      <w:r w:rsidRPr="00511C97">
        <w:t xml:space="preserve"> its </w:t>
      </w:r>
      <w:r w:rsidRPr="00511C97" w:rsidR="009C689B">
        <w:t>discretion</w:t>
      </w:r>
      <w:r w:rsidRPr="00511C97">
        <w:t xml:space="preserve"> to “revoke and terminate the supervision of the person if the interests of justice so require and the court, in its judgment, has reason to believe from the report of the probation or parole officer or otherwise that the person has violated any of the conditions of their supervision, or has subsequently committed other offenses, regardless of whether the person has been prosecuted for those offenses.”  (Pen. Code, § 1203.2, subd. (</w:t>
      </w:r>
      <w:r w:rsidRPr="00511C97" w:rsidR="008B58D1">
        <w:t>a</w:t>
      </w:r>
      <w:r w:rsidRPr="00511C97">
        <w:t xml:space="preserve">).)  </w:t>
      </w:r>
      <w:r w:rsidRPr="00511C97" w:rsidR="0008242B">
        <w:t>The facts supporting a probation revocation must be proved by a preponderance of the evidence.  (</w:t>
      </w:r>
      <w:r w:rsidRPr="00511C97" w:rsidR="0008242B">
        <w:rPr>
          <w:i/>
          <w:iCs/>
        </w:rPr>
        <w:t>People v. Rodriguez</w:t>
      </w:r>
      <w:r w:rsidRPr="00511C97" w:rsidR="0008242B">
        <w:t xml:space="preserve"> (1990) 51 Cal.3d 437, 447</w:t>
      </w:r>
      <w:r w:rsidRPr="00511C97" w:rsidR="009D79D6">
        <w:t xml:space="preserve"> (</w:t>
      </w:r>
      <w:r w:rsidRPr="00511C97" w:rsidR="009D79D6">
        <w:rPr>
          <w:i/>
          <w:iCs/>
        </w:rPr>
        <w:t>Rodriguez</w:t>
      </w:r>
      <w:r w:rsidRPr="00511C97" w:rsidR="009D79D6">
        <w:t>)</w:t>
      </w:r>
      <w:r w:rsidRPr="00511C97" w:rsidR="0008242B">
        <w:t>.)</w:t>
      </w:r>
      <w:r w:rsidRPr="00511C97" w:rsidR="00A11B6A">
        <w:t xml:space="preserve">  </w:t>
      </w:r>
    </w:p>
    <w:p w:rsidR="006C50B9" w:rsidRPr="00511C97" w:rsidP="00985C4D" w14:paraId="548031E3" w14:textId="77777777">
      <w:pPr>
        <w:tabs>
          <w:tab w:val="left" w:pos="1440"/>
          <w:tab w:val="left" w:pos="5670"/>
        </w:tabs>
        <w:ind w:firstLine="720"/>
      </w:pPr>
      <w:r w:rsidRPr="00511C97">
        <w:t>It is well established that neither parole nor probation revocation</w:t>
      </w:r>
      <w:r w:rsidRPr="00511C97" w:rsidR="008663E2">
        <w:t>s</w:t>
      </w:r>
      <w:r w:rsidRPr="00511C97">
        <w:t xml:space="preserve"> are part of a criminal prosecution, and thus “the full panoply of rights due a defendant in [a criminal] proceeding does not apply</w:t>
      </w:r>
      <w:r w:rsidRPr="00511C97" w:rsidR="00AB1A2C">
        <w:t>.</w:t>
      </w:r>
      <w:r w:rsidRPr="00511C97">
        <w:t>”</w:t>
      </w:r>
      <w:r w:rsidRPr="00511C97" w:rsidR="00AB1A2C">
        <w:t xml:space="preserve">  </w:t>
      </w:r>
      <w:r w:rsidRPr="00511C97">
        <w:t>(</w:t>
      </w:r>
      <w:r w:rsidRPr="00511C97" w:rsidR="00A91164">
        <w:rPr>
          <w:i/>
          <w:iCs/>
        </w:rPr>
        <w:t>Morrissey v. Brewer</w:t>
      </w:r>
      <w:r w:rsidRPr="00511C97" w:rsidR="00A91164">
        <w:t xml:space="preserve"> (1972) 408 U.S. 471, </w:t>
      </w:r>
      <w:r w:rsidRPr="00511C97">
        <w:t xml:space="preserve">480 </w:t>
      </w:r>
      <w:r w:rsidRPr="00511C97" w:rsidR="005C392C">
        <w:t>(</w:t>
      </w:r>
      <w:r w:rsidRPr="00511C97" w:rsidR="005C392C">
        <w:rPr>
          <w:i/>
          <w:iCs/>
        </w:rPr>
        <w:t>Morrissey</w:t>
      </w:r>
      <w:r w:rsidRPr="00511C97" w:rsidR="005C392C">
        <w:t xml:space="preserve">) </w:t>
      </w:r>
      <w:r w:rsidRPr="00511C97">
        <w:t xml:space="preserve">[parole hearings]; </w:t>
      </w:r>
      <w:r w:rsidRPr="00511C97" w:rsidR="00AB1A2C">
        <w:t xml:space="preserve">see </w:t>
      </w:r>
      <w:r w:rsidRPr="00511C97">
        <w:rPr>
          <w:i/>
          <w:iCs/>
        </w:rPr>
        <w:t xml:space="preserve">Gagnon v. Scarpelli </w:t>
      </w:r>
      <w:r w:rsidRPr="00511C97">
        <w:t>(1973) 411</w:t>
      </w:r>
      <w:r w:rsidRPr="00511C97" w:rsidR="00A91164">
        <w:t> </w:t>
      </w:r>
      <w:r w:rsidRPr="00511C97">
        <w:t>U.S. 778, 782 (</w:t>
      </w:r>
      <w:r w:rsidRPr="00511C97">
        <w:rPr>
          <w:i/>
          <w:iCs/>
        </w:rPr>
        <w:t>Gagnon</w:t>
      </w:r>
      <w:r w:rsidRPr="00511C97">
        <w:t>) [probation hearings]</w:t>
      </w:r>
      <w:r w:rsidRPr="00511C97" w:rsidR="00AB1A2C">
        <w:t xml:space="preserve">; </w:t>
      </w:r>
      <w:r w:rsidRPr="00511C97" w:rsidR="00AB1A2C">
        <w:rPr>
          <w:i/>
          <w:iCs/>
        </w:rPr>
        <w:t>People v. Winson</w:t>
      </w:r>
      <w:r w:rsidRPr="00511C97" w:rsidR="00AB1A2C">
        <w:t xml:space="preserve"> (1981) 29</w:t>
      </w:r>
      <w:r w:rsidRPr="00511C97" w:rsidR="00A91164">
        <w:t> </w:t>
      </w:r>
      <w:r w:rsidRPr="00511C97" w:rsidR="00AB1A2C">
        <w:t xml:space="preserve">Cal.3d 711, 716 </w:t>
      </w:r>
      <w:r w:rsidRPr="00511C97" w:rsidR="00321F4C">
        <w:t>(</w:t>
      </w:r>
      <w:r w:rsidRPr="00511C97" w:rsidR="00321F4C">
        <w:rPr>
          <w:i/>
          <w:iCs/>
        </w:rPr>
        <w:t>Winson</w:t>
      </w:r>
      <w:r w:rsidRPr="00511C97" w:rsidR="00321F4C">
        <w:t xml:space="preserve">) [citing </w:t>
      </w:r>
      <w:r w:rsidRPr="00511C97" w:rsidR="00321F4C">
        <w:rPr>
          <w:i/>
          <w:iCs/>
        </w:rPr>
        <w:t>Morrissey</w:t>
      </w:r>
      <w:r w:rsidRPr="00511C97" w:rsidR="00321F4C">
        <w:t>’s holding that a parolee is not entitled to the same protections as a defendant in a criminal prosecution]</w:t>
      </w:r>
      <w:r w:rsidRPr="00511C97" w:rsidR="00AB1A2C">
        <w:t>.)</w:t>
      </w:r>
      <w:r>
        <w:rPr>
          <w:rStyle w:val="FootnoteReference"/>
        </w:rPr>
        <w:footnoteReference w:id="4"/>
      </w:r>
      <w:r w:rsidRPr="00511C97" w:rsidR="00AB1A2C">
        <w:t xml:space="preserve">  </w:t>
      </w:r>
      <w:r w:rsidRPr="00511C97" w:rsidR="000D0D17">
        <w:t>That said</w:t>
      </w:r>
      <w:r w:rsidRPr="00511C97" w:rsidR="006B00BA">
        <w:t xml:space="preserve">, </w:t>
      </w:r>
      <w:r w:rsidRPr="00511C97" w:rsidR="00F13AB5">
        <w:t>“</w:t>
      </w:r>
      <w:r w:rsidR="00546DE1">
        <w:t>[p]</w:t>
      </w:r>
      <w:r w:rsidRPr="00511C97" w:rsidR="00200CD1">
        <w:t xml:space="preserve">robation </w:t>
      </w:r>
      <w:r w:rsidRPr="00511C97" w:rsidR="00F13AB5">
        <w:t>revocation, like parole revocation, . . . does result in a loss of liberty.”  (</w:t>
      </w:r>
      <w:r w:rsidRPr="00511C97" w:rsidR="00F13AB5">
        <w:rPr>
          <w:i/>
          <w:iCs/>
        </w:rPr>
        <w:t>Gagnon</w:t>
      </w:r>
      <w:r w:rsidRPr="00511C97" w:rsidR="00F13AB5">
        <w:t xml:space="preserve">, at p. 782.)  </w:t>
      </w:r>
      <w:r w:rsidRPr="00511C97" w:rsidR="00806496">
        <w:t xml:space="preserve">Therefore, </w:t>
      </w:r>
      <w:r w:rsidRPr="00511C97" w:rsidR="00F13AB5">
        <w:t>“</w:t>
      </w:r>
      <w:r w:rsidR="00A52020">
        <w:t>[i]</w:t>
      </w:r>
      <w:r w:rsidRPr="00511C97" w:rsidR="00F13AB5">
        <w:t>t is fundamental that both the People and the probationer or parolee have a continued post-conviction interest in accurate fact-finding and the informed use of discretion by the trial court.  The probationer or parolee’s concern is ‘to insure that his liberty is not unjustifiably taken away and the [People</w:t>
      </w:r>
      <w:r w:rsidRPr="00511C97" w:rsidR="005C392C">
        <w:t>’</w:t>
      </w:r>
      <w:r w:rsidRPr="00511C97" w:rsidR="00F13AB5">
        <w:t>s</w:t>
      </w:r>
      <w:r w:rsidR="00225504">
        <w:t>]</w:t>
      </w:r>
      <w:r w:rsidRPr="00511C97" w:rsidR="00F13AB5">
        <w:t xml:space="preserve"> to make certain that it is neither unnecessarily interrupting a successful effort at rehabilitation nor imprudently prejudicing the safety of the community.’</w:t>
      </w:r>
      <w:r w:rsidRPr="00511C97" w:rsidR="00AD2039">
        <w:t> </w:t>
      </w:r>
      <w:r w:rsidRPr="00511C97" w:rsidR="00F13AB5">
        <w:t>”  (</w:t>
      </w:r>
      <w:r w:rsidRPr="00511C97" w:rsidR="00F13AB5">
        <w:rPr>
          <w:i/>
          <w:iCs/>
        </w:rPr>
        <w:t>Winson</w:t>
      </w:r>
      <w:r w:rsidRPr="00511C97" w:rsidR="00F13AB5">
        <w:t xml:space="preserve">, at p. 715.)  </w:t>
      </w:r>
    </w:p>
    <w:p w:rsidR="006C50B9" w:rsidRPr="00511C97" w:rsidP="005813D8" w14:paraId="548031E4" w14:textId="77777777">
      <w:pPr>
        <w:tabs>
          <w:tab w:val="left" w:pos="1440"/>
        </w:tabs>
        <w:ind w:firstLine="720"/>
      </w:pPr>
      <w:r w:rsidRPr="00511C97">
        <w:t xml:space="preserve">A defendant during a probation revocation hearing has no </w:t>
      </w:r>
      <w:r w:rsidRPr="00511C97">
        <w:rPr>
          <w:i/>
          <w:iCs/>
        </w:rPr>
        <w:t xml:space="preserve">Sixth Amendment </w:t>
      </w:r>
      <w:r w:rsidRPr="00511C97">
        <w:t>right to confront witnesses.</w:t>
      </w:r>
      <w:r>
        <w:rPr>
          <w:rStyle w:val="FootnoteReference"/>
        </w:rPr>
        <w:footnoteReference w:id="5"/>
      </w:r>
      <w:r w:rsidRPr="00511C97">
        <w:t xml:space="preserve"> </w:t>
      </w:r>
      <w:r w:rsidRPr="00511C97" w:rsidR="00987B64">
        <w:t xml:space="preserve"> </w:t>
      </w:r>
      <w:r w:rsidRPr="00511C97">
        <w:t>(See U.S. Const.</w:t>
      </w:r>
      <w:r w:rsidRPr="00511C97" w:rsidR="00F70654">
        <w:t>,</w:t>
      </w:r>
      <w:r w:rsidRPr="00511C97">
        <w:t xml:space="preserve"> 6th Amend. [“In</w:t>
      </w:r>
      <w:r w:rsidRPr="00511C97">
        <w:rPr>
          <w:i/>
          <w:iCs/>
        </w:rPr>
        <w:t xml:space="preserve"> all criminal prosecutions</w:t>
      </w:r>
      <w:r w:rsidRPr="00511C97">
        <w:t>, the accused shall enjoy the right . . . to be confronted with the witnesses against him”</w:t>
      </w:r>
      <w:r w:rsidR="00675DF6">
        <w:t xml:space="preserve"> (italics added)</w:t>
      </w:r>
      <w:r w:rsidRPr="00511C97">
        <w:t xml:space="preserve">].)  </w:t>
      </w:r>
      <w:r w:rsidRPr="00511C97" w:rsidR="00700EB9">
        <w:t>But</w:t>
      </w:r>
      <w:r w:rsidRPr="00511C97" w:rsidR="006D2AC8">
        <w:t xml:space="preserve"> </w:t>
      </w:r>
      <w:r w:rsidRPr="00511C97" w:rsidR="00700EB9">
        <w:rPr>
          <w:i/>
          <w:iCs/>
        </w:rPr>
        <w:t>due process</w:t>
      </w:r>
      <w:r w:rsidRPr="00511C97" w:rsidR="00700EB9">
        <w:t xml:space="preserve"> principles protect a defendant’s interests </w:t>
      </w:r>
      <w:r w:rsidRPr="00511C97" w:rsidR="00F13AB5">
        <w:t xml:space="preserve">even </w:t>
      </w:r>
      <w:r w:rsidRPr="00511C97" w:rsidR="00BA35DC">
        <w:t xml:space="preserve">at </w:t>
      </w:r>
      <w:r w:rsidRPr="00511C97" w:rsidR="00F13AB5">
        <w:t xml:space="preserve">a revocation hearing, </w:t>
      </w:r>
      <w:r w:rsidRPr="00511C97" w:rsidR="00700EB9">
        <w:t xml:space="preserve">providing </w:t>
      </w:r>
      <w:r w:rsidRPr="00511C97" w:rsidR="00F13AB5">
        <w:t xml:space="preserve">the </w:t>
      </w:r>
      <w:r w:rsidRPr="00511C97" w:rsidR="00700EB9">
        <w:t xml:space="preserve">defendant </w:t>
      </w:r>
      <w:r w:rsidRPr="00511C97" w:rsidR="00F13AB5">
        <w:t>“the right to confront and cross-examine adverse witnesses (unless the hearing officer specifically finds good cause for not allowing confrontation).”  (</w:t>
      </w:r>
      <w:r w:rsidRPr="00511C97" w:rsidR="00F13AB5">
        <w:rPr>
          <w:i/>
          <w:iCs/>
        </w:rPr>
        <w:t>Morrissey</w:t>
      </w:r>
      <w:r w:rsidRPr="00511C97" w:rsidR="00F13AB5">
        <w:t xml:space="preserve">, </w:t>
      </w:r>
      <w:r w:rsidRPr="00511C97" w:rsidR="00F13AB5">
        <w:rPr>
          <w:i/>
          <w:iCs/>
        </w:rPr>
        <w:t>supra</w:t>
      </w:r>
      <w:r w:rsidRPr="00511C97" w:rsidR="00F13AB5">
        <w:t>, 408</w:t>
      </w:r>
      <w:r w:rsidR="00225504">
        <w:t> </w:t>
      </w:r>
      <w:r w:rsidRPr="00511C97" w:rsidR="00F13AB5">
        <w:t>U.S. at p. 489</w:t>
      </w:r>
      <w:r w:rsidRPr="00511C97" w:rsidR="00640A65">
        <w:t xml:space="preserve">; see </w:t>
      </w:r>
      <w:r w:rsidRPr="00511C97" w:rsidR="00640A65">
        <w:rPr>
          <w:i/>
          <w:iCs/>
        </w:rPr>
        <w:t>Black v. Romano</w:t>
      </w:r>
      <w:r w:rsidRPr="00511C97" w:rsidR="00640A65">
        <w:t xml:space="preserve"> (1985) 471 U.S. 606, 611–612 </w:t>
      </w:r>
      <w:r w:rsidRPr="00511C97" w:rsidR="00356C55">
        <w:t>(</w:t>
      </w:r>
      <w:r w:rsidRPr="00511C97" w:rsidR="00356C55">
        <w:rPr>
          <w:i/>
          <w:iCs/>
        </w:rPr>
        <w:t>Black</w:t>
      </w:r>
      <w:r w:rsidRPr="00511C97" w:rsidR="00356C55">
        <w:t xml:space="preserve">) </w:t>
      </w:r>
      <w:r w:rsidRPr="00511C97" w:rsidR="00640A65">
        <w:t xml:space="preserve">[reaffirming the minimum due process procedures set forth in </w:t>
      </w:r>
      <w:r w:rsidRPr="00511C97" w:rsidR="00DF3A39">
        <w:rPr>
          <w:i/>
          <w:iCs/>
        </w:rPr>
        <w:t>Morrissey</w:t>
      </w:r>
      <w:r w:rsidRPr="00511C97" w:rsidR="00DF3A39">
        <w:t xml:space="preserve"> and </w:t>
      </w:r>
      <w:r w:rsidRPr="00511C97" w:rsidR="00640A65">
        <w:rPr>
          <w:i/>
          <w:iCs/>
        </w:rPr>
        <w:t>Gagnon</w:t>
      </w:r>
      <w:r w:rsidRPr="00511C97" w:rsidR="00640A65">
        <w:t>].)</w:t>
      </w:r>
      <w:r>
        <w:rPr>
          <w:rStyle w:val="FootnoteReference"/>
        </w:rPr>
        <w:footnoteReference w:id="6"/>
      </w:r>
      <w:r w:rsidRPr="00511C97" w:rsidR="00640A65">
        <w:t xml:space="preserve">  </w:t>
      </w:r>
      <w:r w:rsidRPr="00511C97" w:rsidR="00F7644E">
        <w:t xml:space="preserve">These minimum requirements of due process, </w:t>
      </w:r>
      <w:r w:rsidRPr="00511C97" w:rsidR="00797D09">
        <w:t xml:space="preserve">the </w:t>
      </w:r>
      <w:r w:rsidRPr="00511C97" w:rsidR="00F7644E">
        <w:rPr>
          <w:i/>
          <w:iCs/>
        </w:rPr>
        <w:t>Morrissey</w:t>
      </w:r>
      <w:r w:rsidRPr="00511C97" w:rsidR="00F7644E">
        <w:t xml:space="preserve"> </w:t>
      </w:r>
      <w:r w:rsidRPr="00511C97" w:rsidR="00797D09">
        <w:t>court concluded, would vindicate the shared “interest in not having parole revoked because of erroneous information” and “a further interest in treating the parolee with basic fairness.”  (</w:t>
      </w:r>
      <w:r w:rsidRPr="00511C97" w:rsidR="00797D09">
        <w:rPr>
          <w:i/>
          <w:iCs/>
        </w:rPr>
        <w:t>Morrissey</w:t>
      </w:r>
      <w:r w:rsidRPr="00511C97" w:rsidR="00797D09">
        <w:t xml:space="preserve">, at p. 484; see also </w:t>
      </w:r>
      <w:r w:rsidRPr="00511C97" w:rsidR="00797D09">
        <w:rPr>
          <w:i/>
          <w:iCs/>
        </w:rPr>
        <w:t>id</w:t>
      </w:r>
      <w:r w:rsidRPr="00511C97" w:rsidR="00797D09">
        <w:t>.</w:t>
      </w:r>
      <w:r w:rsidRPr="00511C97" w:rsidR="00C451DC">
        <w:t xml:space="preserve"> at</w:t>
      </w:r>
      <w:r w:rsidRPr="00511C97" w:rsidR="00797D09">
        <w:t xml:space="preserve"> </w:t>
      </w:r>
      <w:r w:rsidRPr="00511C97" w:rsidR="0045295E">
        <w:t>p.</w:t>
      </w:r>
      <w:r w:rsidRPr="00511C97" w:rsidR="0062167B">
        <w:t> </w:t>
      </w:r>
      <w:r w:rsidRPr="00511C97" w:rsidR="0045295E">
        <w:t xml:space="preserve">484, </w:t>
      </w:r>
      <w:r w:rsidRPr="00511C97" w:rsidR="00797D09">
        <w:t xml:space="preserve">fn. 12 [“ ‘the principles of fundamental justice and fairness would [appear to] afford the parolee a reasonable opportunity to explain away the accusation of a parole violation’ ”].)  </w:t>
      </w:r>
    </w:p>
    <w:p w:rsidR="00F13AB5" w:rsidRPr="00511C97" w:rsidP="005813D8" w14:paraId="548031E5" w14:textId="77777777">
      <w:pPr>
        <w:tabs>
          <w:tab w:val="left" w:pos="1440"/>
        </w:tabs>
        <w:ind w:firstLine="720"/>
      </w:pPr>
      <w:r w:rsidRPr="00511C97">
        <w:t>T</w:t>
      </w:r>
      <w:r w:rsidRPr="00511C97" w:rsidR="00F7644E">
        <w:t xml:space="preserve">hese </w:t>
      </w:r>
      <w:r w:rsidRPr="00511C97" w:rsidR="00775604">
        <w:t xml:space="preserve">due process </w:t>
      </w:r>
      <w:r w:rsidRPr="00511C97" w:rsidR="00F7644E">
        <w:t xml:space="preserve">rights are not absolute.  The </w:t>
      </w:r>
      <w:r w:rsidRPr="00511C97" w:rsidR="008B58D1">
        <w:t>United States Supreme Court</w:t>
      </w:r>
      <w:r w:rsidRPr="00511C97" w:rsidR="00F7644E">
        <w:t xml:space="preserve"> </w:t>
      </w:r>
      <w:r w:rsidRPr="00511C97" w:rsidR="00EE149C">
        <w:t xml:space="preserve">has </w:t>
      </w:r>
      <w:r w:rsidRPr="00511C97" w:rsidR="00F7644E">
        <w:t>explained that</w:t>
      </w:r>
      <w:r w:rsidRPr="00511C97" w:rsidR="00EE149C">
        <w:t>, in the revocation setting,</w:t>
      </w:r>
      <w:r w:rsidRPr="00511C97" w:rsidR="00F7644E">
        <w:t xml:space="preserve"> “the process should be flexible enough to consider evidence including letters, affidavits, and other material that would not be admissible in an adversary criminal trial.”  (</w:t>
      </w:r>
      <w:r w:rsidRPr="00511C97" w:rsidR="00F7644E">
        <w:rPr>
          <w:i/>
          <w:iCs/>
        </w:rPr>
        <w:t>Morrissey</w:t>
      </w:r>
      <w:r w:rsidRPr="00511C97" w:rsidR="00F7644E">
        <w:t xml:space="preserve">, </w:t>
      </w:r>
      <w:r w:rsidRPr="00511C97" w:rsidR="00D37000">
        <w:rPr>
          <w:i/>
          <w:iCs/>
        </w:rPr>
        <w:t>supra</w:t>
      </w:r>
      <w:r w:rsidRPr="00511C97" w:rsidR="00D37000">
        <w:t xml:space="preserve">, 408 U.S. </w:t>
      </w:r>
      <w:r w:rsidRPr="00511C97" w:rsidR="00F7644E">
        <w:t xml:space="preserve">at p. 489; see also </w:t>
      </w:r>
      <w:r w:rsidRPr="00511C97" w:rsidR="00F7644E">
        <w:rPr>
          <w:i/>
          <w:iCs/>
        </w:rPr>
        <w:t>id</w:t>
      </w:r>
      <w:r w:rsidRPr="00511C97" w:rsidR="00F7644E">
        <w:t xml:space="preserve">. at p. 490 [“We have no thought to create an inflexible structure for parole revocation procedures”].)  </w:t>
      </w:r>
      <w:r w:rsidRPr="00511C97" w:rsidR="005C392C">
        <w:t xml:space="preserve">The high court reiterated in </w:t>
      </w:r>
      <w:r w:rsidRPr="00511C97" w:rsidR="005C392C">
        <w:rPr>
          <w:i/>
          <w:iCs/>
        </w:rPr>
        <w:t>Gagnon</w:t>
      </w:r>
      <w:r w:rsidRPr="00511C97" w:rsidR="005C392C">
        <w:t xml:space="preserve">:  “While in some cases there is simply no adequate alternative to live testimony, we emphasize that we did not in </w:t>
      </w:r>
      <w:r w:rsidRPr="00511C97" w:rsidR="005C392C">
        <w:rPr>
          <w:i/>
          <w:iCs/>
        </w:rPr>
        <w:t>Morrissey</w:t>
      </w:r>
      <w:r w:rsidRPr="00511C97" w:rsidR="005C392C">
        <w:t xml:space="preserve"> intend to prohibit use where appropriate of the conventional substitutes for live testimony, including affidavits, depositions, and documentary evidence.”  (</w:t>
      </w:r>
      <w:r w:rsidRPr="00511C97" w:rsidR="005C392C">
        <w:rPr>
          <w:i/>
          <w:iCs/>
        </w:rPr>
        <w:t>Gagnon</w:t>
      </w:r>
      <w:r w:rsidRPr="00511C97" w:rsidR="005C392C">
        <w:t xml:space="preserve">, </w:t>
      </w:r>
      <w:r w:rsidRPr="00511C97" w:rsidR="005C392C">
        <w:rPr>
          <w:i/>
          <w:iCs/>
        </w:rPr>
        <w:t>supra</w:t>
      </w:r>
      <w:r w:rsidRPr="00511C97" w:rsidR="005C392C">
        <w:t>, 411 U.S. at p. 78</w:t>
      </w:r>
      <w:r w:rsidR="001774BC">
        <w:t>3</w:t>
      </w:r>
      <w:r w:rsidRPr="00511C97" w:rsidR="005C392C">
        <w:t xml:space="preserve">, fn. 5.)  </w:t>
      </w:r>
    </w:p>
    <w:p w:rsidR="00732412" w:rsidRPr="00511C97" w:rsidP="00025415" w14:paraId="548031E6" w14:textId="77777777">
      <w:pPr>
        <w:tabs>
          <w:tab w:val="left" w:pos="1440"/>
        </w:tabs>
        <w:ind w:firstLine="720"/>
      </w:pPr>
      <w:r w:rsidRPr="00511C97">
        <w:t xml:space="preserve">While </w:t>
      </w:r>
      <w:r w:rsidRPr="00511C97" w:rsidR="00C85426">
        <w:t xml:space="preserve">it is clear that </w:t>
      </w:r>
      <w:r w:rsidRPr="00511C97">
        <w:t xml:space="preserve">due process protects a </w:t>
      </w:r>
      <w:r w:rsidRPr="00511C97" w:rsidR="00200CD1">
        <w:t xml:space="preserve">probationer’s </w:t>
      </w:r>
      <w:r w:rsidRPr="00511C97">
        <w:t>right to confront and cross-examine adverse witnesses absent a showing of good cause</w:t>
      </w:r>
      <w:r w:rsidRPr="00511C97" w:rsidR="00597EAB">
        <w:t xml:space="preserve"> (</w:t>
      </w:r>
      <w:r w:rsidRPr="00511C97" w:rsidR="00597EAB">
        <w:rPr>
          <w:i/>
          <w:iCs/>
        </w:rPr>
        <w:t>Morrissey</w:t>
      </w:r>
      <w:r w:rsidRPr="00511C97" w:rsidR="00597EAB">
        <w:t xml:space="preserve">, </w:t>
      </w:r>
      <w:r w:rsidRPr="00511C97" w:rsidR="00597EAB">
        <w:rPr>
          <w:i/>
          <w:iCs/>
        </w:rPr>
        <w:t>supra</w:t>
      </w:r>
      <w:r w:rsidRPr="00511C97" w:rsidR="00597EAB">
        <w:t xml:space="preserve">, 408 U.S. at p. 489; </w:t>
      </w:r>
      <w:r w:rsidRPr="00511C97" w:rsidR="00597EAB">
        <w:rPr>
          <w:i/>
          <w:iCs/>
        </w:rPr>
        <w:t>Gagnon</w:t>
      </w:r>
      <w:r w:rsidRPr="00511C97" w:rsidR="00597EAB">
        <w:t xml:space="preserve">, </w:t>
      </w:r>
      <w:r w:rsidRPr="00511C97" w:rsidR="00597EAB">
        <w:rPr>
          <w:i/>
          <w:iCs/>
        </w:rPr>
        <w:t>supra</w:t>
      </w:r>
      <w:r w:rsidRPr="00511C97" w:rsidR="00597EAB">
        <w:t>, 411 U.S. at</w:t>
      </w:r>
      <w:r w:rsidRPr="00511C97" w:rsidR="000F31FE">
        <w:t xml:space="preserve"> p. 786)</w:t>
      </w:r>
      <w:r w:rsidRPr="00511C97">
        <w:t xml:space="preserve">, the high court </w:t>
      </w:r>
      <w:r w:rsidRPr="00511C97" w:rsidR="003C0870">
        <w:t>has not yet specified</w:t>
      </w:r>
      <w:r w:rsidRPr="00511C97" w:rsidR="000F31FE">
        <w:t xml:space="preserve"> </w:t>
      </w:r>
      <w:r w:rsidRPr="00511C97" w:rsidR="003C0870">
        <w:t>the</w:t>
      </w:r>
      <w:r w:rsidRPr="00511C97" w:rsidR="000F31FE">
        <w:t xml:space="preserve"> showing </w:t>
      </w:r>
      <w:r w:rsidRPr="00511C97" w:rsidR="003C0870">
        <w:t xml:space="preserve">necessary </w:t>
      </w:r>
      <w:r w:rsidRPr="00511C97" w:rsidR="000F31FE">
        <w:t xml:space="preserve">to establish good cause.  </w:t>
      </w:r>
      <w:r w:rsidRPr="00511C97" w:rsidR="00674601">
        <w:t>Our case law provides some guidance</w:t>
      </w:r>
      <w:r w:rsidRPr="00511C97">
        <w:t>, however</w:t>
      </w:r>
      <w:r w:rsidRPr="00511C97" w:rsidR="00674601">
        <w:t xml:space="preserve">.  </w:t>
      </w:r>
    </w:p>
    <w:p w:rsidR="00574B39" w:rsidRPr="00511C97" w:rsidP="0056237D" w14:paraId="548031E7" w14:textId="77777777">
      <w:pPr>
        <w:tabs>
          <w:tab w:val="left" w:pos="1440"/>
        </w:tabs>
        <w:ind w:firstLine="720"/>
      </w:pPr>
      <w:r w:rsidRPr="00511C97">
        <w:t xml:space="preserve">This court first addressed the admissibility of hearsay evidence </w:t>
      </w:r>
      <w:r w:rsidRPr="00511C97" w:rsidR="00732412">
        <w:t xml:space="preserve">in </w:t>
      </w:r>
      <w:r w:rsidRPr="00511C97">
        <w:t xml:space="preserve">a probation revocation hearing in </w:t>
      </w:r>
      <w:r w:rsidRPr="00511C97">
        <w:rPr>
          <w:i/>
          <w:iCs/>
        </w:rPr>
        <w:t>Winson</w:t>
      </w:r>
      <w:r w:rsidRPr="00511C97">
        <w:t>,</w:t>
      </w:r>
      <w:r w:rsidRPr="00511C97">
        <w:rPr>
          <w:i/>
          <w:iCs/>
        </w:rPr>
        <w:t xml:space="preserve"> supra</w:t>
      </w:r>
      <w:r w:rsidRPr="00511C97">
        <w:t>, 29</w:t>
      </w:r>
      <w:r w:rsidRPr="00511C97" w:rsidR="0056237D">
        <w:t> </w:t>
      </w:r>
      <w:r w:rsidRPr="00511C97">
        <w:t xml:space="preserve">Cal.3d 711.  </w:t>
      </w:r>
      <w:r w:rsidRPr="00511C97" w:rsidR="00417DFD">
        <w:t>Relying on</w:t>
      </w:r>
      <w:r w:rsidRPr="00511C97" w:rsidR="00C85426">
        <w:t xml:space="preserve"> </w:t>
      </w:r>
      <w:r w:rsidRPr="00511C97" w:rsidR="00417DFD">
        <w:rPr>
          <w:i/>
          <w:iCs/>
        </w:rPr>
        <w:t>Morrissey</w:t>
      </w:r>
      <w:r w:rsidRPr="00511C97" w:rsidR="00C85426">
        <w:t xml:space="preserve"> </w:t>
      </w:r>
      <w:r w:rsidRPr="00511C97" w:rsidR="00417DFD">
        <w:t>and</w:t>
      </w:r>
      <w:r w:rsidRPr="00511C97" w:rsidR="00C85426">
        <w:t xml:space="preserve"> </w:t>
      </w:r>
      <w:r w:rsidRPr="00511C97" w:rsidR="00417DFD">
        <w:rPr>
          <w:i/>
          <w:iCs/>
        </w:rPr>
        <w:t>Gagnon</w:t>
      </w:r>
      <w:r w:rsidRPr="00511C97" w:rsidR="00417DFD">
        <w:t>,</w:t>
      </w:r>
      <w:r w:rsidRPr="00511C97" w:rsidR="00417DFD">
        <w:rPr>
          <w:i/>
          <w:iCs/>
        </w:rPr>
        <w:t xml:space="preserve"> </w:t>
      </w:r>
      <w:r w:rsidRPr="00511C97" w:rsidR="00417DFD">
        <w:t>w</w:t>
      </w:r>
      <w:r w:rsidRPr="00511C97">
        <w:t xml:space="preserve">e held that the transcript of a witness’s testimony </w:t>
      </w:r>
      <w:r w:rsidRPr="00511C97" w:rsidR="00384FA4">
        <w:t xml:space="preserve">from </w:t>
      </w:r>
      <w:r w:rsidRPr="00511C97">
        <w:t xml:space="preserve">a preliminary hearing was improperly admitted </w:t>
      </w:r>
      <w:r w:rsidRPr="00511C97" w:rsidR="00074ED7">
        <w:t>at</w:t>
      </w:r>
      <w:r w:rsidRPr="00511C97" w:rsidR="00384FA4">
        <w:t xml:space="preserve"> a revocation hearing </w:t>
      </w:r>
      <w:r w:rsidRPr="00511C97">
        <w:t>in the absence of a showing of the witness’s unavailability or other good cause.  (</w:t>
      </w:r>
      <w:r w:rsidR="00D24EDD">
        <w:rPr>
          <w:i/>
          <w:iCs/>
        </w:rPr>
        <w:t>Id</w:t>
      </w:r>
      <w:r w:rsidR="00D24EDD">
        <w:t>.</w:t>
      </w:r>
      <w:r w:rsidRPr="00511C97">
        <w:t xml:space="preserve"> at pp. 713–714</w:t>
      </w:r>
      <w:r w:rsidRPr="00511C97" w:rsidR="00417DFD">
        <w:t>, 717</w:t>
      </w:r>
      <w:r w:rsidRPr="00511C97">
        <w:t xml:space="preserve">.)  We recognized that the right of confrontation in revocation hearings is not absolute and “may be denied if the trier-of-fact finds and expresses good cause for doing so,” </w:t>
      </w:r>
      <w:r w:rsidRPr="00511C97" w:rsidR="00384FA4">
        <w:t>as may occur</w:t>
      </w:r>
      <w:r w:rsidRPr="00511C97">
        <w:t xml:space="preserve"> when the witness is “legally unavailable” or is at risk of harm if he or she were to appear.  (</w:t>
      </w:r>
      <w:r w:rsidRPr="00511C97">
        <w:rPr>
          <w:i/>
          <w:iCs/>
        </w:rPr>
        <w:t>Id</w:t>
      </w:r>
      <w:r w:rsidRPr="00511C97">
        <w:t>. at p. 719.)  Similarly, we added, there may be circumstances where it is “ ‘appropriate’ ” for witnesses to “give evidence by document, affidavit or deposition.”  (</w:t>
      </w:r>
      <w:r w:rsidRPr="00511C97">
        <w:rPr>
          <w:i/>
          <w:iCs/>
        </w:rPr>
        <w:t>Ibid</w:t>
      </w:r>
      <w:r w:rsidRPr="00511C97">
        <w:t>.)  We concluded that “[t]he issue of whether former testimony may be utilized in lieu of a witness’</w:t>
      </w:r>
      <w:r w:rsidRPr="00511C97" w:rsidR="002B6517">
        <w:t>[s]</w:t>
      </w:r>
      <w:r w:rsidRPr="00511C97">
        <w:t xml:space="preserve"> personal appearance is best resolved on a case-by-case basis.”  (</w:t>
      </w:r>
      <w:r w:rsidRPr="00511C97">
        <w:rPr>
          <w:i/>
          <w:iCs/>
        </w:rPr>
        <w:t>I</w:t>
      </w:r>
      <w:r w:rsidRPr="00511C97" w:rsidR="00115379">
        <w:rPr>
          <w:i/>
          <w:iCs/>
        </w:rPr>
        <w:t>bid</w:t>
      </w:r>
      <w:r w:rsidRPr="00511C97">
        <w:t xml:space="preserve">.)  Applying these principles to the facts before us, we determined </w:t>
      </w:r>
      <w:r w:rsidRPr="00511C97" w:rsidR="00DB1752">
        <w:t xml:space="preserve">in </w:t>
      </w:r>
      <w:r w:rsidRPr="00511C97" w:rsidR="00DB1752">
        <w:rPr>
          <w:i/>
          <w:iCs/>
        </w:rPr>
        <w:t xml:space="preserve">Winson </w:t>
      </w:r>
      <w:r w:rsidRPr="00511C97">
        <w:t xml:space="preserve">that the preliminary hearing transcript </w:t>
      </w:r>
      <w:r w:rsidRPr="00511C97" w:rsidR="00DB1752">
        <w:t>had been</w:t>
      </w:r>
      <w:r w:rsidRPr="00511C97">
        <w:t xml:space="preserve"> improperly admitted because “the testimony at issue was that of the sole percipient witness to the alleged [probation] violation, a finding of no</w:t>
      </w:r>
      <w:r w:rsidRPr="00511C97">
        <w:rPr>
          <w:i/>
          <w:iCs/>
        </w:rPr>
        <w:t xml:space="preserve"> </w:t>
      </w:r>
      <w:r w:rsidRPr="00511C97">
        <w:t>legal unavailability was made in the underlying proceedings in which the charges were then dismissed, no additional evidence was introduced which established the witness’[s] unavailability, and the court made no specific finding of good cause for denying the right to confront and cross-examine.”  (</w:t>
      </w:r>
      <w:r w:rsidRPr="00511C97">
        <w:rPr>
          <w:i/>
          <w:iCs/>
        </w:rPr>
        <w:t>Ibid</w:t>
      </w:r>
      <w:r w:rsidRPr="00511C97">
        <w:t>., italics omitted.)</w:t>
      </w:r>
      <w:r w:rsidRPr="00511C97" w:rsidR="005E352C">
        <w:t xml:space="preserve">  </w:t>
      </w:r>
    </w:p>
    <w:p w:rsidR="003F0460" w:rsidRPr="00511C97" w:rsidP="0056237D" w14:paraId="548031E8" w14:textId="77777777">
      <w:pPr>
        <w:tabs>
          <w:tab w:val="left" w:pos="1440"/>
        </w:tabs>
        <w:ind w:firstLine="720"/>
      </w:pPr>
      <w:r w:rsidRPr="00511C97">
        <w:t xml:space="preserve">In </w:t>
      </w:r>
      <w:r w:rsidRPr="00511C97">
        <w:rPr>
          <w:i/>
          <w:iCs/>
        </w:rPr>
        <w:t>People v. Maki</w:t>
      </w:r>
      <w:r w:rsidRPr="00511C97">
        <w:t xml:space="preserve"> (1985) 39 Cal.3d 707 (</w:t>
      </w:r>
      <w:r w:rsidRPr="00511C97">
        <w:rPr>
          <w:i/>
          <w:iCs/>
        </w:rPr>
        <w:t>Maki</w:t>
      </w:r>
      <w:r w:rsidRPr="00511C97">
        <w:t xml:space="preserve">), we considered whether </w:t>
      </w:r>
      <w:r w:rsidRPr="00511C97" w:rsidR="00775604">
        <w:t xml:space="preserve">the </w:t>
      </w:r>
      <w:r w:rsidRPr="00511C97">
        <w:t xml:space="preserve">good cause requirement applied to documentary evidence submitted </w:t>
      </w:r>
      <w:r w:rsidRPr="00511C97" w:rsidR="00C85426">
        <w:t xml:space="preserve">at a </w:t>
      </w:r>
      <w:r w:rsidRPr="00511C97">
        <w:t xml:space="preserve">revocation hearing.  </w:t>
      </w:r>
      <w:r w:rsidRPr="00511C97" w:rsidR="00DB1752">
        <w:t>(</w:t>
      </w:r>
      <w:r w:rsidRPr="00511C97" w:rsidR="00DB1752">
        <w:rPr>
          <w:i/>
          <w:iCs/>
        </w:rPr>
        <w:t>Id</w:t>
      </w:r>
      <w:r w:rsidRPr="00511C97" w:rsidR="00DB1752">
        <w:t>. at p.</w:t>
      </w:r>
      <w:r w:rsidRPr="00511C97" w:rsidR="0056237D">
        <w:t> </w:t>
      </w:r>
      <w:r w:rsidRPr="00511C97" w:rsidR="00DB1752">
        <w:t xml:space="preserve">709.) </w:t>
      </w:r>
      <w:r w:rsidRPr="00511C97" w:rsidR="0056237D">
        <w:t xml:space="preserve"> </w:t>
      </w:r>
      <w:r w:rsidRPr="00511C97">
        <w:t>There, the prosecution offered copies of a car rental invoice with the defendant’s name and signature, and a hotel receipt bearing his name, to establish that the defendant violated the terms of his probation by traveling out of state.  (</w:t>
      </w:r>
      <w:r w:rsidRPr="00511C97">
        <w:rPr>
          <w:i/>
          <w:iCs/>
        </w:rPr>
        <w:t>Id</w:t>
      </w:r>
      <w:r w:rsidRPr="00511C97">
        <w:t>. at pp. 709, 716.)  After concluding that no hearsay exception applied to the evidence in question, we examined “whether the court could nonetheless properly consider the documents in determining whether to revoke [the] defendant’s probation” without making a finding of good cause.  (</w:t>
      </w:r>
      <w:r w:rsidRPr="00511C97">
        <w:rPr>
          <w:i/>
          <w:iCs/>
        </w:rPr>
        <w:t>Id</w:t>
      </w:r>
      <w:r w:rsidRPr="00511C97">
        <w:t xml:space="preserve">. at pp. 713–714.)  </w:t>
      </w:r>
    </w:p>
    <w:p w:rsidR="003F0460" w:rsidRPr="00511C97" w:rsidP="0056237D" w14:paraId="548031E9" w14:textId="77777777">
      <w:pPr>
        <w:tabs>
          <w:tab w:val="left" w:pos="1440"/>
        </w:tabs>
        <w:ind w:firstLine="720"/>
      </w:pPr>
      <w:r w:rsidRPr="00511C97">
        <w:t>We concluded that “documentary hearsay evidence which does not fall within an exception to the hearsay rule may be admitted if there are sufficient indicia of reliability regarding the proffered material,” even if the trial court makes no finding of good cause to deny the right to confront and cross-examine</w:t>
      </w:r>
      <w:r w:rsidRPr="00511C97" w:rsidR="00C85426">
        <w:t xml:space="preserve"> witnesses</w:t>
      </w:r>
      <w:r w:rsidRPr="00511C97">
        <w:t>.  (</w:t>
      </w:r>
      <w:r w:rsidRPr="00511C97">
        <w:rPr>
          <w:i/>
          <w:iCs/>
        </w:rPr>
        <w:t>Maki</w:t>
      </w:r>
      <w:r w:rsidRPr="00511C97">
        <w:t xml:space="preserve">, </w:t>
      </w:r>
      <w:r w:rsidRPr="00511C97">
        <w:rPr>
          <w:i/>
          <w:iCs/>
        </w:rPr>
        <w:t>supra</w:t>
      </w:r>
      <w:r w:rsidRPr="00511C97">
        <w:t xml:space="preserve">, 39 Cal.3d at p. 709.)  Applying this standard, we </w:t>
      </w:r>
      <w:r w:rsidRPr="00511C97" w:rsidR="00C85426">
        <w:t xml:space="preserve">found </w:t>
      </w:r>
      <w:r w:rsidRPr="00511C97">
        <w:t>that although the issue was “close”</w:t>
      </w:r>
      <w:r w:rsidR="00154F7F">
        <w:t xml:space="preserve"> (</w:t>
      </w:r>
      <w:r w:rsidR="00154F7F">
        <w:rPr>
          <w:i/>
          <w:iCs/>
        </w:rPr>
        <w:t>id.</w:t>
      </w:r>
      <w:r w:rsidR="00154F7F">
        <w:t xml:space="preserve"> at p.</w:t>
      </w:r>
      <w:r w:rsidR="003B0CE7">
        <w:t> </w:t>
      </w:r>
      <w:r w:rsidR="00154F7F">
        <w:t>716),</w:t>
      </w:r>
      <w:r w:rsidRPr="00511C97">
        <w:t xml:space="preserve"> the documentary evidence was sufficiently reliable to allow for its admission into evidence (</w:t>
      </w:r>
      <w:r w:rsidR="00154F7F">
        <w:rPr>
          <w:i/>
          <w:iCs/>
        </w:rPr>
        <w:t>i</w:t>
      </w:r>
      <w:r w:rsidRPr="00511C97">
        <w:rPr>
          <w:i/>
          <w:iCs/>
        </w:rPr>
        <w:t>d</w:t>
      </w:r>
      <w:r w:rsidRPr="00511C97">
        <w:t>. at pp. 716–717)</w:t>
      </w:r>
      <w:r w:rsidR="00154F7F">
        <w:t>.</w:t>
      </w:r>
      <w:r w:rsidRPr="00511C97">
        <w:t xml:space="preserve">  In concluding the car rental invoice was reliable, </w:t>
      </w:r>
      <w:r w:rsidRPr="00511C97" w:rsidR="003D3DC6">
        <w:t xml:space="preserve">we </w:t>
      </w:r>
      <w:r w:rsidRPr="00511C97">
        <w:t xml:space="preserve">explained: </w:t>
      </w:r>
      <w:r w:rsidRPr="00511C97" w:rsidR="003D3DC6">
        <w:t xml:space="preserve"> </w:t>
      </w:r>
      <w:r w:rsidRPr="00511C97">
        <w:t>“If the invoice were simply printed and filled out by an unidentified hand and devoid of defendant’s signature, our conclusion would be that it alone, or even accompanied by the hotel receipt [</w:t>
      </w:r>
      <w:r w:rsidRPr="00511C97" w:rsidR="001E17D9">
        <w:t>bearing</w:t>
      </w:r>
      <w:r w:rsidRPr="00511C97">
        <w:t xml:space="preserve"> the defendant</w:t>
      </w:r>
      <w:r w:rsidRPr="00511C97" w:rsidR="001E17D9">
        <w:t>’s name</w:t>
      </w:r>
      <w:r w:rsidRPr="00511C97">
        <w:t xml:space="preserve">], would be insufficient to find a violation of probation. </w:t>
      </w:r>
      <w:r w:rsidRPr="00511C97" w:rsidR="003D3DC6">
        <w:t xml:space="preserve"> </w:t>
      </w:r>
      <w:r w:rsidRPr="00511C97">
        <w:t xml:space="preserve">However, the identification of defendant’s signature on the printed invoice and the fact that it is an invoice of the type relied upon by parties for billing and payment of money, lead us to find it sufficient here.” </w:t>
      </w:r>
      <w:r w:rsidRPr="00511C97" w:rsidR="003D3DC6">
        <w:t xml:space="preserve"> (</w:t>
      </w:r>
      <w:r w:rsidRPr="00511C97" w:rsidR="003D3DC6">
        <w:rPr>
          <w:i/>
          <w:iCs/>
        </w:rPr>
        <w:t>Id</w:t>
      </w:r>
      <w:r w:rsidRPr="00511C97" w:rsidR="003D3DC6">
        <w:t>. at p. 717</w:t>
      </w:r>
      <w:r w:rsidR="00E665B1">
        <w:t>, fn. omitted</w:t>
      </w:r>
      <w:r w:rsidRPr="00511C97" w:rsidR="003D3DC6">
        <w:t xml:space="preserve">.)  </w:t>
      </w:r>
    </w:p>
    <w:p w:rsidR="00513CCE" w:rsidRPr="00511C97" w:rsidP="0056237D" w14:paraId="548031EA" w14:textId="77777777">
      <w:pPr>
        <w:tabs>
          <w:tab w:val="left" w:pos="1440"/>
        </w:tabs>
        <w:ind w:firstLine="720"/>
      </w:pPr>
      <w:r w:rsidRPr="00511C97">
        <w:t xml:space="preserve">Most recently, in </w:t>
      </w:r>
      <w:r w:rsidRPr="00511C97" w:rsidR="00D427B0">
        <w:rPr>
          <w:i/>
          <w:iCs/>
        </w:rPr>
        <w:t xml:space="preserve">People v. Arreola </w:t>
      </w:r>
      <w:r w:rsidRPr="00511C97" w:rsidR="00D427B0">
        <w:t>(1994) 7 Cal.4th 1144 (</w:t>
      </w:r>
      <w:r w:rsidRPr="00511C97" w:rsidR="00D427B0">
        <w:rPr>
          <w:i/>
          <w:iCs/>
        </w:rPr>
        <w:t>Arreola</w:t>
      </w:r>
      <w:r w:rsidRPr="00511C97" w:rsidR="00D427B0">
        <w:t>)</w:t>
      </w:r>
      <w:r w:rsidRPr="00511C97">
        <w:t>,</w:t>
      </w:r>
      <w:r w:rsidRPr="00511C97">
        <w:rPr>
          <w:i/>
          <w:iCs/>
        </w:rPr>
        <w:t xml:space="preserve"> </w:t>
      </w:r>
      <w:r w:rsidRPr="00511C97">
        <w:t xml:space="preserve">we rejected the argument that </w:t>
      </w:r>
      <w:r w:rsidRPr="00511C97">
        <w:rPr>
          <w:i/>
          <w:iCs/>
        </w:rPr>
        <w:t xml:space="preserve">Maki </w:t>
      </w:r>
      <w:r w:rsidRPr="00511C97">
        <w:t xml:space="preserve">had impliedly overruled </w:t>
      </w:r>
      <w:r w:rsidRPr="00511C97">
        <w:rPr>
          <w:i/>
          <w:iCs/>
        </w:rPr>
        <w:t>Winson</w:t>
      </w:r>
      <w:r w:rsidRPr="00511C97">
        <w:t xml:space="preserve">.  </w:t>
      </w:r>
      <w:r w:rsidRPr="00511C97" w:rsidR="001454AA">
        <w:t>(</w:t>
      </w:r>
      <w:r w:rsidR="00537B44">
        <w:rPr>
          <w:i/>
          <w:iCs/>
        </w:rPr>
        <w:t>Id</w:t>
      </w:r>
      <w:r w:rsidR="00537B44">
        <w:t>.</w:t>
      </w:r>
      <w:r w:rsidRPr="00511C97" w:rsidR="001454AA">
        <w:t xml:space="preserve"> at pp. 1156–1157.)</w:t>
      </w:r>
      <w:r w:rsidRPr="00511C97" w:rsidR="001454AA">
        <w:rPr>
          <w:i/>
          <w:iCs/>
        </w:rPr>
        <w:t xml:space="preserve">  </w:t>
      </w:r>
      <w:r w:rsidRPr="00511C97" w:rsidR="007751FF">
        <w:t xml:space="preserve">We </w:t>
      </w:r>
      <w:r w:rsidRPr="00511C97">
        <w:t xml:space="preserve">reaffirmed that </w:t>
      </w:r>
      <w:r w:rsidRPr="00511C97" w:rsidR="00247920">
        <w:t xml:space="preserve">a </w:t>
      </w:r>
      <w:r w:rsidRPr="00511C97">
        <w:t xml:space="preserve">transcript of a witness’s preliminary hearing testimony is inadmissible at a revocation hearing absent a showing of good cause for </w:t>
      </w:r>
      <w:r w:rsidRPr="00511C97" w:rsidR="00BA6A9B">
        <w:t>dispensing with the requirement of live testimony</w:t>
      </w:r>
      <w:r w:rsidRPr="00511C97">
        <w:t>.  (</w:t>
      </w:r>
      <w:r w:rsidRPr="00511C97" w:rsidR="00B73533">
        <w:rPr>
          <w:i/>
          <w:iCs/>
        </w:rPr>
        <w:t>Id</w:t>
      </w:r>
      <w:r w:rsidRPr="00511C97" w:rsidR="00B73533">
        <w:t xml:space="preserve">. at </w:t>
      </w:r>
      <w:r w:rsidRPr="00511C97">
        <w:t>pp.</w:t>
      </w:r>
      <w:r w:rsidRPr="00511C97" w:rsidR="00B73533">
        <w:t> </w:t>
      </w:r>
      <w:r w:rsidRPr="00511C97">
        <w:t xml:space="preserve">1148, 1159.)  </w:t>
      </w:r>
      <w:r w:rsidRPr="00511C97" w:rsidR="000C590C">
        <w:t xml:space="preserve">We </w:t>
      </w:r>
      <w:r w:rsidRPr="00511C97" w:rsidR="00247920">
        <w:t xml:space="preserve">reiterated </w:t>
      </w:r>
      <w:r w:rsidRPr="00511C97" w:rsidR="000C590C">
        <w:t>that a trial court must determine “on a case-by-case basis” whether former testimony is admissible at a revocation hearing, with the court ascertaining whether a “showing of good cause</w:t>
      </w:r>
      <w:r w:rsidR="00537B44">
        <w:t> </w:t>
      </w:r>
      <w:r w:rsidRPr="00511C97" w:rsidR="000C590C">
        <w:t>. . .</w:t>
      </w:r>
      <w:r w:rsidR="00537B44">
        <w:t> </w:t>
      </w:r>
      <w:r w:rsidRPr="00511C97" w:rsidR="000C590C">
        <w:t>has been made” and further considering “other circumstances relevant to the issue” of the statement’s admission.  (</w:t>
      </w:r>
      <w:r w:rsidRPr="00511C97" w:rsidR="005A4517">
        <w:rPr>
          <w:i/>
          <w:iCs/>
        </w:rPr>
        <w:t>Id</w:t>
      </w:r>
      <w:r w:rsidRPr="00511C97" w:rsidR="005A4517">
        <w:t xml:space="preserve">. </w:t>
      </w:r>
      <w:r w:rsidRPr="00511C97" w:rsidR="000C590C">
        <w:t xml:space="preserve">at p. 1160.)  </w:t>
      </w:r>
    </w:p>
    <w:p w:rsidR="005054A6" w:rsidRPr="00511C97" w:rsidP="00F27853" w14:paraId="548031EB" w14:textId="77777777">
      <w:pPr>
        <w:tabs>
          <w:tab w:val="left" w:pos="1440"/>
          <w:tab w:val="left" w:pos="2250"/>
        </w:tabs>
        <w:ind w:firstLine="720"/>
      </w:pPr>
      <w:r w:rsidRPr="00511C97">
        <w:t xml:space="preserve">Our decision in </w:t>
      </w:r>
      <w:r w:rsidRPr="00511C97">
        <w:rPr>
          <w:i/>
          <w:iCs/>
        </w:rPr>
        <w:t xml:space="preserve">Arreola </w:t>
      </w:r>
      <w:r w:rsidRPr="00511C97">
        <w:t xml:space="preserve">provided a detailed description of </w:t>
      </w:r>
      <w:r w:rsidRPr="00511C97" w:rsidR="00775604">
        <w:t xml:space="preserve">the </w:t>
      </w:r>
      <w:r w:rsidRPr="00511C97" w:rsidR="004D46EB">
        <w:t>case-specific balancing process that governs a court’s analysis</w:t>
      </w:r>
      <w:r w:rsidRPr="00511C97" w:rsidR="00515BD6">
        <w:t xml:space="preserve">.  We stated </w:t>
      </w:r>
      <w:r w:rsidRPr="00511C97" w:rsidR="009F43CC">
        <w:t xml:space="preserve">that </w:t>
      </w:r>
      <w:r w:rsidRPr="00511C97" w:rsidR="000C590C">
        <w:t>“</w:t>
      </w:r>
      <w:r w:rsidRPr="00511C97" w:rsidR="009F43CC">
        <w:t>[t]</w:t>
      </w:r>
      <w:r w:rsidRPr="00511C97" w:rsidR="000C590C">
        <w:t xml:space="preserve">he broad standard of ‘good cause’ is met (1) when the declarant is ‘unavailable’ under the traditional hearsay standard [citation], (2) when the declarant, although not legally unavailable, can be brought to the hearing only through great difficulty or expense, or (3) when the declarant’s presence would pose a risk of harm (including, in appropriate circumstances, mental or emotional harm) to the declarant.”  </w:t>
      </w:r>
      <w:r w:rsidRPr="00511C97" w:rsidR="00775604">
        <w:t>(</w:t>
      </w:r>
      <w:r w:rsidRPr="00511C97" w:rsidR="00775604">
        <w:rPr>
          <w:i/>
          <w:iCs/>
        </w:rPr>
        <w:t>Arreola</w:t>
      </w:r>
      <w:r w:rsidRPr="00511C97" w:rsidR="00775604">
        <w:t xml:space="preserve">, </w:t>
      </w:r>
      <w:r w:rsidRPr="00511C97" w:rsidR="00775604">
        <w:rPr>
          <w:i/>
          <w:iCs/>
        </w:rPr>
        <w:t>supra</w:t>
      </w:r>
      <w:r w:rsidRPr="00511C97" w:rsidR="00775604">
        <w:t>, 7</w:t>
      </w:r>
      <w:r w:rsidRPr="00511C97" w:rsidR="001022CC">
        <w:t> </w:t>
      </w:r>
      <w:r w:rsidRPr="00511C97" w:rsidR="00775604">
        <w:t xml:space="preserve">Cal.4th at </w:t>
      </w:r>
      <w:r w:rsidRPr="00511C97" w:rsidR="006E074A">
        <w:t>p</w:t>
      </w:r>
      <w:r w:rsidRPr="00511C97" w:rsidR="00775604">
        <w:t>p. </w:t>
      </w:r>
      <w:r w:rsidRPr="00511C97" w:rsidR="006E074A">
        <w:t>1159–</w:t>
      </w:r>
      <w:r w:rsidRPr="00511C97" w:rsidR="00775604">
        <w:t xml:space="preserve">1160.)  </w:t>
      </w:r>
      <w:r w:rsidRPr="00511C97" w:rsidR="00513CCE">
        <w:t>We further explained that</w:t>
      </w:r>
      <w:r w:rsidRPr="00511C97" w:rsidR="003A17E0">
        <w:t xml:space="preserve"> the showing of good cause </w:t>
      </w:r>
      <w:r w:rsidRPr="00511C97" w:rsidR="00286B3A">
        <w:t xml:space="preserve">for dispensing with the requirement of live testimony </w:t>
      </w:r>
      <w:r w:rsidRPr="00511C97" w:rsidR="003A17E0">
        <w:t xml:space="preserve">must be </w:t>
      </w:r>
      <w:r w:rsidRPr="00511C97" w:rsidR="00513CCE">
        <w:t xml:space="preserve">evaluated in the context of </w:t>
      </w:r>
      <w:r w:rsidRPr="00511C97">
        <w:t>“</w:t>
      </w:r>
      <w:r w:rsidRPr="00511C97" w:rsidR="003A17E0">
        <w:t xml:space="preserve">other circumstances relevant to the issue, </w:t>
      </w:r>
      <w:r w:rsidRPr="00511C97" w:rsidR="00087534">
        <w:t xml:space="preserve">including </w:t>
      </w:r>
      <w:r w:rsidRPr="00511C97">
        <w:t xml:space="preserve">the purpose for which the evidence is offered (e.g., as substantive evidence of an alleged probation violation, rather than, for example, simply a reference to the defendant’s character); the significance of the particular evidence to a factual determination relevant to a finding of violation of probation; and whether other admissible evidence, including, for example, any admissions made by the probationer, corroborates the former testimony, or whether instead the former testimony constitutes the sole evidence establishing a violation of probation.”  </w:t>
      </w:r>
      <w:r w:rsidRPr="00511C97" w:rsidR="00775604">
        <w:t>(</w:t>
      </w:r>
      <w:r w:rsidRPr="00511C97" w:rsidR="00775604">
        <w:rPr>
          <w:i/>
          <w:iCs/>
        </w:rPr>
        <w:t>Id</w:t>
      </w:r>
      <w:r w:rsidRPr="00511C97" w:rsidR="00DD63BB">
        <w:t>. at p.</w:t>
      </w:r>
      <w:r w:rsidRPr="00511C97" w:rsidR="00FA2BDF">
        <w:t> </w:t>
      </w:r>
      <w:r w:rsidRPr="00511C97" w:rsidR="00DD63BB">
        <w:t>1160.</w:t>
      </w:r>
      <w:r w:rsidRPr="00511C97" w:rsidR="00775604">
        <w:t>)</w:t>
      </w:r>
      <w:r w:rsidRPr="00511C97" w:rsidR="00D85130">
        <w:t xml:space="preserve">  We noted that “[s]everal federal circuit courts have adopted a similar approach, balancing the defendant’s need for confrontation against the </w:t>
      </w:r>
      <w:r w:rsidRPr="00511C97" w:rsidR="00DA3F6B">
        <w:t>prosecution’s</w:t>
      </w:r>
      <w:r w:rsidRPr="00511C97" w:rsidR="00D85130">
        <w:t xml:space="preserve"> showing of good cause for dispensing with confrontation.”  (</w:t>
      </w:r>
      <w:r w:rsidRPr="00511C97" w:rsidR="00DA3F6B">
        <w:rPr>
          <w:i/>
          <w:iCs/>
        </w:rPr>
        <w:t>Id</w:t>
      </w:r>
      <w:r w:rsidRPr="00511C97" w:rsidR="00DA3F6B">
        <w:t>.</w:t>
      </w:r>
      <w:r w:rsidRPr="00511C97" w:rsidR="00D85130">
        <w:t xml:space="preserve"> at p. 1160, citing </w:t>
      </w:r>
      <w:r w:rsidR="00E665B1">
        <w:rPr>
          <w:i/>
          <w:iCs/>
        </w:rPr>
        <w:t>U.S.</w:t>
      </w:r>
      <w:r w:rsidRPr="00511C97" w:rsidR="00D85130">
        <w:rPr>
          <w:i/>
          <w:iCs/>
        </w:rPr>
        <w:t xml:space="preserve"> v. Martin </w:t>
      </w:r>
      <w:r w:rsidRPr="00511C97" w:rsidR="00D85130">
        <w:t>(9th Cir. 1993) 984 F.2d 308, 311</w:t>
      </w:r>
      <w:r w:rsidR="00E665B1">
        <w:t>,</w:t>
      </w:r>
      <w:r w:rsidRPr="00511C97" w:rsidR="00D85130">
        <w:t xml:space="preserve"> </w:t>
      </w:r>
      <w:r w:rsidR="00E665B1">
        <w:rPr>
          <w:i/>
          <w:iCs/>
        </w:rPr>
        <w:t>U.S.</w:t>
      </w:r>
      <w:r w:rsidRPr="00511C97" w:rsidR="00D85130">
        <w:rPr>
          <w:i/>
          <w:iCs/>
        </w:rPr>
        <w:t xml:space="preserve"> v. Bell </w:t>
      </w:r>
      <w:r w:rsidRPr="00511C97" w:rsidR="00D85130">
        <w:t xml:space="preserve">(8th Cir. 1986) 785 F.2d 640, 643.)  </w:t>
      </w:r>
    </w:p>
    <w:p w:rsidR="00513CCE" w:rsidRPr="00511C97" w:rsidP="0056237D" w14:paraId="548031EC" w14:textId="77777777">
      <w:pPr>
        <w:tabs>
          <w:tab w:val="left" w:pos="1440"/>
        </w:tabs>
        <w:ind w:firstLine="720"/>
      </w:pPr>
      <w:r w:rsidRPr="00511C97">
        <w:t>In reaching this result, we clarified that</w:t>
      </w:r>
      <w:r w:rsidRPr="00511C97">
        <w:rPr>
          <w:i/>
          <w:iCs/>
        </w:rPr>
        <w:t xml:space="preserve"> </w:t>
      </w:r>
      <w:r w:rsidRPr="00511C97">
        <w:t xml:space="preserve">our holding in </w:t>
      </w:r>
      <w:r w:rsidRPr="00511C97">
        <w:rPr>
          <w:i/>
          <w:iCs/>
        </w:rPr>
        <w:t xml:space="preserve">Maki </w:t>
      </w:r>
      <w:r w:rsidRPr="00511C97">
        <w:t xml:space="preserve">pertained only to the </w:t>
      </w:r>
      <w:r w:rsidRPr="00511C97" w:rsidR="00C2689B">
        <w:t>admission of</w:t>
      </w:r>
      <w:r w:rsidRPr="00511C97">
        <w:t xml:space="preserve"> </w:t>
      </w:r>
      <w:r w:rsidRPr="00511C97">
        <w:rPr>
          <w:i/>
        </w:rPr>
        <w:t>documentary</w:t>
      </w:r>
      <w:r w:rsidRPr="00511C97">
        <w:rPr>
          <w:i/>
          <w:iCs/>
        </w:rPr>
        <w:t xml:space="preserve"> </w:t>
      </w:r>
      <w:r w:rsidRPr="00511C97">
        <w:t xml:space="preserve">evidence </w:t>
      </w:r>
      <w:r w:rsidRPr="00511C97" w:rsidR="00C2689B">
        <w:t xml:space="preserve">in </w:t>
      </w:r>
      <w:r w:rsidRPr="00511C97">
        <w:t>revocation hearings.  (</w:t>
      </w:r>
      <w:r w:rsidRPr="00511C97">
        <w:rPr>
          <w:i/>
          <w:iCs/>
        </w:rPr>
        <w:t>Arreola</w:t>
      </w:r>
      <w:r w:rsidRPr="00511C97">
        <w:t xml:space="preserve">, </w:t>
      </w:r>
      <w:r w:rsidRPr="00511C97">
        <w:rPr>
          <w:i/>
          <w:iCs/>
        </w:rPr>
        <w:t>supra</w:t>
      </w:r>
      <w:r w:rsidRPr="00511C97">
        <w:t xml:space="preserve">, 7 Cal.4th at pp. 1156–1157.)  We pointed out the “evident distinction between a transcript of former live testimony and the type of traditional ‘documentary’ evidence involved in </w:t>
      </w:r>
      <w:r w:rsidRPr="00511C97">
        <w:rPr>
          <w:i/>
          <w:iCs/>
        </w:rPr>
        <w:t>Maki</w:t>
      </w:r>
      <w:r w:rsidRPr="00511C97">
        <w:t xml:space="preserve"> that does not have, as its source, live testimony.”  (</w:t>
      </w:r>
      <w:r w:rsidRPr="00511C97">
        <w:rPr>
          <w:i/>
          <w:iCs/>
        </w:rPr>
        <w:t>Id</w:t>
      </w:r>
      <w:r w:rsidRPr="00511C97">
        <w:t xml:space="preserve">. at p. 1157.)  We also noted that, </w:t>
      </w:r>
      <w:r w:rsidRPr="00511C97" w:rsidR="00C2689B">
        <w:t>after</w:t>
      </w:r>
      <w:r w:rsidRPr="00511C97">
        <w:t xml:space="preserve"> </w:t>
      </w:r>
      <w:r w:rsidRPr="00511C97">
        <w:rPr>
          <w:i/>
          <w:iCs/>
        </w:rPr>
        <w:t>Winson</w:t>
      </w:r>
      <w:r w:rsidRPr="00511C97">
        <w:t>,</w:t>
      </w:r>
      <w:r w:rsidRPr="00511C97">
        <w:rPr>
          <w:i/>
          <w:iCs/>
        </w:rPr>
        <w:t xml:space="preserve"> </w:t>
      </w:r>
      <w:r w:rsidRPr="00511C97">
        <w:t xml:space="preserve">“the United States Supreme Court has reaffirmed, rather than retreated from, the </w:t>
      </w:r>
      <w:r w:rsidRPr="00511C97">
        <w:rPr>
          <w:i/>
          <w:iCs/>
        </w:rPr>
        <w:t>Morrissey</w:t>
      </w:r>
      <w:r w:rsidRPr="00511C97">
        <w:t>-</w:t>
      </w:r>
      <w:r w:rsidRPr="00511C97">
        <w:rPr>
          <w:i/>
          <w:iCs/>
        </w:rPr>
        <w:t>Gagnon</w:t>
      </w:r>
      <w:r w:rsidRPr="00511C97">
        <w:t xml:space="preserve"> requirements and specifically the requirement that the probationer at a revocation hearing be ‘entitled to cross-examine adverse witnesses, unless the hearing body specifically finds good cause for not allowing confrontation.’ ”  (</w:t>
      </w:r>
      <w:r w:rsidR="00537B44">
        <w:rPr>
          <w:i/>
          <w:iCs/>
        </w:rPr>
        <w:t>Id</w:t>
      </w:r>
      <w:r w:rsidR="00537B44">
        <w:t>.</w:t>
      </w:r>
      <w:r w:rsidRPr="00511C97">
        <w:t xml:space="preserve"> at p. 1158, quoting </w:t>
      </w:r>
      <w:r w:rsidRPr="00511C97">
        <w:rPr>
          <w:i/>
          <w:iCs/>
        </w:rPr>
        <w:t>Black</w:t>
      </w:r>
      <w:r w:rsidRPr="00511C97">
        <w:t xml:space="preserve">, </w:t>
      </w:r>
      <w:r w:rsidRPr="00511C97">
        <w:rPr>
          <w:i/>
          <w:iCs/>
        </w:rPr>
        <w:t>supra</w:t>
      </w:r>
      <w:r w:rsidRPr="00511C97">
        <w:t xml:space="preserve">, 471 U.S. at p. 612.)  </w:t>
      </w:r>
    </w:p>
    <w:p w:rsidR="0088716C" w:rsidRPr="00511C97" w:rsidP="008C7F9F" w14:paraId="548031ED" w14:textId="77777777">
      <w:pPr>
        <w:pStyle w:val="Heading2"/>
      </w:pPr>
      <w:r w:rsidRPr="00511C97">
        <w:t xml:space="preserve">B.  </w:t>
      </w:r>
      <w:r w:rsidRPr="00511C97" w:rsidR="00C2689B">
        <w:t>Case Law Concerning the Due Process Right to Confrontation as Pertaining to Spontaneous Statements</w:t>
      </w:r>
    </w:p>
    <w:p w:rsidR="00B13BB1" w:rsidRPr="000052A2" w:rsidP="00025415" w14:paraId="548031EE" w14:textId="77777777">
      <w:pPr>
        <w:ind w:firstLine="720"/>
      </w:pPr>
      <w:r w:rsidRPr="00511C97">
        <w:t xml:space="preserve">A spontaneous statement is a statement that “[p]urports to narrate, describe, or explain an act, condition, or event perceived by the declarant” and “[w]as made spontaneously while the declarant was under the stress of excitement caused by such perception.”  (Evid. Code, § 1240.)  </w:t>
      </w:r>
      <w:r w:rsidRPr="00511C97" w:rsidR="00C8683D">
        <w:t>Absent another basis for exclusion, a spontaneous statement may be considered as evidence at a criminal or civil trial, notwithstanding its hearsay character.</w:t>
      </w:r>
      <w:r w:rsidR="000052A2">
        <w:t xml:space="preserve">  (</w:t>
      </w:r>
      <w:r w:rsidR="000052A2">
        <w:rPr>
          <w:i/>
          <w:iCs/>
        </w:rPr>
        <w:t>Ibid</w:t>
      </w:r>
      <w:r w:rsidRPr="00F27853" w:rsidR="000052A2">
        <w:t>.</w:t>
      </w:r>
      <w:r w:rsidR="000052A2">
        <w:t>)</w:t>
      </w:r>
    </w:p>
    <w:p w:rsidR="003201A0" w:rsidRPr="00511C97" w:rsidP="00072FC6" w14:paraId="548031EF" w14:textId="77777777">
      <w:pPr>
        <w:ind w:firstLine="720"/>
      </w:pPr>
      <w:r w:rsidRPr="00511C97">
        <w:t xml:space="preserve">As previously </w:t>
      </w:r>
      <w:r w:rsidRPr="00511C97" w:rsidR="00072FC6">
        <w:t>noted,</w:t>
      </w:r>
      <w:r w:rsidRPr="00511C97">
        <w:t xml:space="preserve"> </w:t>
      </w:r>
      <w:r w:rsidRPr="00511C97" w:rsidR="009042EB">
        <w:t>t</w:t>
      </w:r>
      <w:r w:rsidRPr="00511C97">
        <w:t xml:space="preserve">he Courts of Appeal are divided on the question of whether a showing of good cause </w:t>
      </w:r>
      <w:r w:rsidRPr="00511C97" w:rsidR="00087534">
        <w:t xml:space="preserve">for not allowing confrontation </w:t>
      </w:r>
      <w:r w:rsidRPr="00511C97" w:rsidR="00A45DC7">
        <w:t>(</w:t>
      </w:r>
      <w:r w:rsidRPr="00511C97" w:rsidR="00A45DC7">
        <w:rPr>
          <w:i/>
          <w:iCs/>
        </w:rPr>
        <w:t>Morrissey</w:t>
      </w:r>
      <w:r w:rsidRPr="00511C97" w:rsidR="00A45DC7">
        <w:t xml:space="preserve">, </w:t>
      </w:r>
      <w:r w:rsidRPr="00511C97" w:rsidR="00A45DC7">
        <w:rPr>
          <w:i/>
          <w:iCs/>
        </w:rPr>
        <w:t>supra</w:t>
      </w:r>
      <w:r w:rsidRPr="00511C97" w:rsidR="00A45DC7">
        <w:t xml:space="preserve">, 408 U.S. at p. 489; </w:t>
      </w:r>
      <w:r w:rsidRPr="00511C97" w:rsidR="00A45DC7">
        <w:rPr>
          <w:i/>
          <w:iCs/>
        </w:rPr>
        <w:t>Gagnon</w:t>
      </w:r>
      <w:r w:rsidRPr="00511C97" w:rsidR="00A45DC7">
        <w:t xml:space="preserve">, </w:t>
      </w:r>
      <w:r w:rsidRPr="00511C97" w:rsidR="00A45DC7">
        <w:rPr>
          <w:i/>
          <w:iCs/>
        </w:rPr>
        <w:t>supra</w:t>
      </w:r>
      <w:r w:rsidRPr="00511C97" w:rsidR="00A45DC7">
        <w:t xml:space="preserve">, 411 U.S. at p. 786) </w:t>
      </w:r>
      <w:r w:rsidRPr="00511C97">
        <w:t xml:space="preserve">and application of </w:t>
      </w:r>
      <w:r w:rsidRPr="00511C97" w:rsidR="00F47B21">
        <w:rPr>
          <w:i/>
          <w:iCs/>
        </w:rPr>
        <w:t>Arreola</w:t>
      </w:r>
      <w:r w:rsidRPr="00511C97" w:rsidR="00F47B21">
        <w:t xml:space="preserve">’s </w:t>
      </w:r>
      <w:r w:rsidRPr="00511C97">
        <w:t xml:space="preserve">balancing test </w:t>
      </w:r>
      <w:r w:rsidRPr="00511C97" w:rsidR="00A45DC7">
        <w:t>(</w:t>
      </w:r>
      <w:r w:rsidRPr="00511C97" w:rsidR="00A45DC7">
        <w:rPr>
          <w:i/>
          <w:iCs/>
        </w:rPr>
        <w:t>Arreola</w:t>
      </w:r>
      <w:r w:rsidRPr="00511C97" w:rsidR="00A45DC7">
        <w:t xml:space="preserve">, </w:t>
      </w:r>
      <w:r w:rsidRPr="00511C97" w:rsidR="00A45DC7">
        <w:rPr>
          <w:i/>
          <w:iCs/>
        </w:rPr>
        <w:t>supra</w:t>
      </w:r>
      <w:r w:rsidRPr="00511C97" w:rsidR="00A45DC7">
        <w:t xml:space="preserve">, 7 Cal.4th at p. 1160) </w:t>
      </w:r>
      <w:r w:rsidRPr="00511C97">
        <w:t xml:space="preserve">are required before statements </w:t>
      </w:r>
      <w:r w:rsidRPr="00511C97" w:rsidR="001D32B0">
        <w:t xml:space="preserve">that come within the spontaneous statement exception </w:t>
      </w:r>
      <w:r w:rsidRPr="00511C97">
        <w:t xml:space="preserve">to the hearsay rule </w:t>
      </w:r>
      <w:r w:rsidRPr="00511C97" w:rsidR="001D32B0">
        <w:t xml:space="preserve">may be </w:t>
      </w:r>
      <w:r w:rsidRPr="00511C97">
        <w:t xml:space="preserve">admitted </w:t>
      </w:r>
      <w:r w:rsidRPr="00511C97" w:rsidR="00FA0F7B">
        <w:t xml:space="preserve">at </w:t>
      </w:r>
      <w:r w:rsidRPr="00511C97">
        <w:t xml:space="preserve">a probation revocation hearing.  </w:t>
      </w:r>
    </w:p>
    <w:p w:rsidR="0039483B" w:rsidRPr="00511C97" w:rsidP="00072FC6" w14:paraId="548031F0" w14:textId="77777777">
      <w:pPr>
        <w:ind w:firstLine="720"/>
      </w:pPr>
      <w:r w:rsidRPr="00511C97">
        <w:t xml:space="preserve">In </w:t>
      </w:r>
      <w:r w:rsidRPr="00511C97" w:rsidR="00D06964">
        <w:rPr>
          <w:i/>
          <w:iCs/>
        </w:rPr>
        <w:t>Stanphill</w:t>
      </w:r>
      <w:r w:rsidRPr="00511C97">
        <w:t xml:space="preserve">, </w:t>
      </w:r>
      <w:r w:rsidRPr="00511C97" w:rsidR="00395201">
        <w:rPr>
          <w:i/>
          <w:iCs/>
        </w:rPr>
        <w:t>supra</w:t>
      </w:r>
      <w:r w:rsidRPr="00511C97" w:rsidR="00395201">
        <w:t xml:space="preserve">, </w:t>
      </w:r>
      <w:r w:rsidRPr="00511C97">
        <w:t xml:space="preserve">170 Cal.App.4th 61, the Court of Appeal considered whether </w:t>
      </w:r>
      <w:r w:rsidRPr="00511C97">
        <w:rPr>
          <w:i/>
          <w:iCs/>
        </w:rPr>
        <w:t>Arreola</w:t>
      </w:r>
      <w:r w:rsidRPr="00511C97">
        <w:t xml:space="preserve">’s balancing test applies to the admission of spontaneous statements at a revocation hearing.  There, the trial court revoked the defendant’s probation </w:t>
      </w:r>
      <w:r w:rsidRPr="00511C97" w:rsidR="00C16B5E">
        <w:t>following a hearing in which the court</w:t>
      </w:r>
      <w:r w:rsidRPr="00511C97">
        <w:t xml:space="preserve"> admitted the victim’s hearsay statements made to law enforcement officers</w:t>
      </w:r>
      <w:r w:rsidRPr="00511C97" w:rsidR="003B5B3C">
        <w:t>,</w:t>
      </w:r>
      <w:r w:rsidRPr="00511C97">
        <w:t xml:space="preserve"> identifying the defendant as one of his assailants.  (</w:t>
      </w:r>
      <w:r w:rsidR="004E7EAB">
        <w:rPr>
          <w:i/>
          <w:iCs/>
        </w:rPr>
        <w:t>Id</w:t>
      </w:r>
      <w:r w:rsidR="004E7EAB">
        <w:t>.</w:t>
      </w:r>
      <w:r w:rsidRPr="00511C97">
        <w:t xml:space="preserve"> at pp. 65–67.)  The Court of Appeal affirmed, holding that </w:t>
      </w:r>
      <w:r w:rsidRPr="00511C97" w:rsidR="00D06964">
        <w:t xml:space="preserve">spontaneous declarations under </w:t>
      </w:r>
      <w:r w:rsidRPr="00511C97">
        <w:t xml:space="preserve">Evidence Code </w:t>
      </w:r>
      <w:r w:rsidRPr="00511C97" w:rsidR="00D06964">
        <w:t xml:space="preserve">section 1240 “are a special breed of hearsay exception which automatically satisfy a probationer’s due process confrontation/cross-examination rights without the court having to find good cause for the witness’s absence under </w:t>
      </w:r>
      <w:r w:rsidRPr="00511C97" w:rsidR="00D06964">
        <w:rPr>
          <w:i/>
          <w:iCs/>
        </w:rPr>
        <w:t>Arreola</w:t>
      </w:r>
      <w:r w:rsidRPr="00511C97">
        <w:t xml:space="preserve"> or perform the [federal] balancing test.”  (</w:t>
      </w:r>
      <w:r w:rsidRPr="00511C97" w:rsidR="00AF477C">
        <w:rPr>
          <w:i/>
          <w:iCs/>
        </w:rPr>
        <w:t>Stanphill</w:t>
      </w:r>
      <w:r w:rsidRPr="00511C97" w:rsidR="00AF477C">
        <w:t>,</w:t>
      </w:r>
      <w:r w:rsidRPr="00511C97">
        <w:t xml:space="preserve"> at p. 81.)  </w:t>
      </w:r>
    </w:p>
    <w:p w:rsidR="0039483B" w:rsidRPr="00511C97" w:rsidP="00072FC6" w14:paraId="548031F1" w14:textId="77777777">
      <w:pPr>
        <w:tabs>
          <w:tab w:val="left" w:pos="1440"/>
        </w:tabs>
        <w:ind w:firstLine="720"/>
      </w:pPr>
      <w:r w:rsidRPr="00511C97">
        <w:t xml:space="preserve">The Court of Appeal in </w:t>
      </w:r>
      <w:r w:rsidRPr="00511C97">
        <w:rPr>
          <w:i/>
          <w:iCs/>
        </w:rPr>
        <w:t>Liggins</w:t>
      </w:r>
      <w:r w:rsidRPr="00511C97">
        <w:t xml:space="preserve">, </w:t>
      </w:r>
      <w:r w:rsidRPr="00511C97">
        <w:rPr>
          <w:i/>
          <w:iCs/>
        </w:rPr>
        <w:t>supra</w:t>
      </w:r>
      <w:r w:rsidRPr="00511C97">
        <w:t xml:space="preserve">, 53 Cal.App.5th 55 disagreed with </w:t>
      </w:r>
      <w:r w:rsidRPr="00511C97">
        <w:rPr>
          <w:i/>
          <w:iCs/>
        </w:rPr>
        <w:t>Stanphill</w:t>
      </w:r>
      <w:r w:rsidRPr="00511C97">
        <w:t xml:space="preserve">’s holding that spontaneous statements are categorically admissible at a revocation hearing.  In </w:t>
      </w:r>
      <w:r w:rsidRPr="00511C97">
        <w:rPr>
          <w:i/>
          <w:iCs/>
        </w:rPr>
        <w:t>Liggins</w:t>
      </w:r>
      <w:r w:rsidRPr="00511C97">
        <w:t>, the victim told police officers that the defendant had physically attacked her during an argument.  (</w:t>
      </w:r>
      <w:r w:rsidR="004E7EAB">
        <w:rPr>
          <w:i/>
          <w:iCs/>
        </w:rPr>
        <w:t>Id</w:t>
      </w:r>
      <w:r w:rsidR="004E7EAB">
        <w:t>.</w:t>
      </w:r>
      <w:r w:rsidRPr="00511C97">
        <w:t xml:space="preserve"> at p. 60.)  After the defendant was apprehended nearby, the victim identified the defendant as the person who had assaulted her.  (</w:t>
      </w:r>
      <w:r w:rsidRPr="00511C97">
        <w:rPr>
          <w:i/>
          <w:iCs/>
        </w:rPr>
        <w:t>Ibid</w:t>
      </w:r>
      <w:r w:rsidRPr="00511C97">
        <w:t>.)  The victim subsequently recanted and failed to appear at the defendant’s probation revocation hearing.  (</w:t>
      </w:r>
      <w:r w:rsidRPr="00511C97">
        <w:rPr>
          <w:i/>
          <w:iCs/>
        </w:rPr>
        <w:t>Ibid</w:t>
      </w:r>
      <w:r w:rsidRPr="00511C97">
        <w:t xml:space="preserve">.)  </w:t>
      </w:r>
      <w:r w:rsidRPr="00511C97" w:rsidR="0064476F">
        <w:t xml:space="preserve">At that hearing, the </w:t>
      </w:r>
      <w:r w:rsidRPr="00511C97">
        <w:t xml:space="preserve">trial court </w:t>
      </w:r>
      <w:r w:rsidRPr="00511C97" w:rsidR="00286B3A">
        <w:t xml:space="preserve">revoked the defendant’s probation after </w:t>
      </w:r>
      <w:r w:rsidRPr="00511C97">
        <w:t>admitt</w:t>
      </w:r>
      <w:r w:rsidRPr="00511C97" w:rsidR="00286B3A">
        <w:t>ing</w:t>
      </w:r>
      <w:r w:rsidRPr="00511C97">
        <w:t xml:space="preserve"> as spontaneous statements the victim’s statements to the police officers recounting the defendant’s conduct as well as her subsequent identification of the defendant.  (</w:t>
      </w:r>
      <w:r w:rsidRPr="00511C97">
        <w:rPr>
          <w:i/>
          <w:iCs/>
        </w:rPr>
        <w:t>Ibid</w:t>
      </w:r>
      <w:r w:rsidRPr="00511C97">
        <w:t xml:space="preserve">.)  </w:t>
      </w:r>
    </w:p>
    <w:p w:rsidR="0039483B" w:rsidRPr="00511C97" w:rsidP="00072FC6" w14:paraId="548031F2" w14:textId="77777777">
      <w:pPr>
        <w:tabs>
          <w:tab w:val="left" w:pos="1440"/>
        </w:tabs>
        <w:ind w:firstLine="720"/>
      </w:pPr>
      <w:r w:rsidRPr="00511C97">
        <w:t>The Court of Appeal reversed.  (</w:t>
      </w:r>
      <w:r w:rsidRPr="00511C97">
        <w:rPr>
          <w:i/>
          <w:iCs/>
        </w:rPr>
        <w:t>Liggins</w:t>
      </w:r>
      <w:r w:rsidRPr="00511C97">
        <w:t xml:space="preserve">, </w:t>
      </w:r>
      <w:r w:rsidRPr="00511C97">
        <w:rPr>
          <w:i/>
          <w:iCs/>
        </w:rPr>
        <w:t>supra</w:t>
      </w:r>
      <w:r w:rsidRPr="00511C97">
        <w:t>, 53</w:t>
      </w:r>
      <w:r w:rsidRPr="00511C97" w:rsidR="001022CC">
        <w:t> </w:t>
      </w:r>
      <w:r w:rsidRPr="00511C97">
        <w:t xml:space="preserve">Cal.App.5th at p. 70.)  Although it agreed that the victim’s out-of-court statements constituted spontaneous statements, the appellate court found it “contrary to the California Supreme Court’s holding in </w:t>
      </w:r>
      <w:r w:rsidRPr="00511C97">
        <w:rPr>
          <w:i/>
          <w:iCs/>
        </w:rPr>
        <w:t>Arreola</w:t>
      </w:r>
      <w:r w:rsidRPr="00511C97">
        <w:t> . . . to treat Evidence Code section</w:t>
      </w:r>
      <w:r w:rsidRPr="00511C97" w:rsidR="00352F6D">
        <w:t> </w:t>
      </w:r>
      <w:r w:rsidRPr="00511C97">
        <w:t>1240 as an automatically applicable proxy for compliance with due process minima.”  (</w:t>
      </w:r>
      <w:r w:rsidRPr="00511C97">
        <w:rPr>
          <w:i/>
          <w:iCs/>
        </w:rPr>
        <w:t>Id</w:t>
      </w:r>
      <w:r w:rsidRPr="00511C97">
        <w:t xml:space="preserve">. at p. 67.)  The </w:t>
      </w:r>
      <w:r w:rsidRPr="00511C97">
        <w:rPr>
          <w:i/>
          <w:iCs/>
        </w:rPr>
        <w:t xml:space="preserve">Liggins </w:t>
      </w:r>
      <w:r w:rsidRPr="00511C97">
        <w:t xml:space="preserve">court reasoned that the importance of a defendant’s due process-based confrontation right in the context of probation revocation will vary with the circumstances, and determining when the state’s interest outweighs a defendant’s right to confrontation can be determined only “by situational weighing of the </w:t>
      </w:r>
      <w:r w:rsidRPr="00511C97">
        <w:rPr>
          <w:i/>
          <w:iCs/>
        </w:rPr>
        <w:t xml:space="preserve">Arreola </w:t>
      </w:r>
      <w:r w:rsidRPr="00511C97">
        <w:t>balancing factors.”  (</w:t>
      </w:r>
      <w:r w:rsidRPr="00511C97">
        <w:rPr>
          <w:i/>
          <w:iCs/>
        </w:rPr>
        <w:t>Id</w:t>
      </w:r>
      <w:r w:rsidRPr="00511C97">
        <w:t xml:space="preserve">. at pp. 66–67.)  </w:t>
      </w:r>
    </w:p>
    <w:p w:rsidR="006231ED" w:rsidRPr="00511C97" w:rsidP="00072FC6" w14:paraId="548031F3" w14:textId="77777777">
      <w:pPr>
        <w:tabs>
          <w:tab w:val="left" w:pos="1440"/>
        </w:tabs>
        <w:ind w:firstLine="720"/>
      </w:pPr>
      <w:r w:rsidRPr="00511C97">
        <w:t xml:space="preserve">The Court of Appeal below sided with </w:t>
      </w:r>
      <w:r w:rsidRPr="00511C97">
        <w:rPr>
          <w:i/>
          <w:iCs/>
        </w:rPr>
        <w:t>Stanphill</w:t>
      </w:r>
      <w:r w:rsidRPr="00511C97">
        <w:t xml:space="preserve"> and held that spontaneous statements categorically satisfy the minimum due process requirements applicable at revocation hearings because of their inherent reliability.  (</w:t>
      </w:r>
      <w:r w:rsidRPr="00511C97">
        <w:rPr>
          <w:i/>
          <w:iCs/>
        </w:rPr>
        <w:t>Gray</w:t>
      </w:r>
      <w:r w:rsidRPr="00511C97">
        <w:t xml:space="preserve">, </w:t>
      </w:r>
      <w:r w:rsidRPr="00511C97">
        <w:rPr>
          <w:i/>
          <w:iCs/>
        </w:rPr>
        <w:t>supra</w:t>
      </w:r>
      <w:r w:rsidRPr="00511C97">
        <w:t xml:space="preserve">, 63 Cal.App.5th at p. 949.)  </w:t>
      </w:r>
    </w:p>
    <w:p w:rsidR="00B16B9D" w:rsidRPr="00511C97" w:rsidP="00025415" w14:paraId="548031F4" w14:textId="77777777">
      <w:pPr>
        <w:pStyle w:val="Heading2"/>
      </w:pPr>
      <w:r w:rsidRPr="00511C97">
        <w:t xml:space="preserve">C.  </w:t>
      </w:r>
      <w:r w:rsidRPr="00511C97" w:rsidR="00EE6401">
        <w:t>We Reject a Categorical Approach Which Requires the Admission of All Spontaneous Statements Without Any Further Showing</w:t>
      </w:r>
    </w:p>
    <w:p w:rsidR="001F1D82" w:rsidRPr="00511C97" w:rsidP="00984860" w14:paraId="548031F5" w14:textId="77777777">
      <w:pPr>
        <w:ind w:firstLine="720"/>
      </w:pPr>
      <w:r w:rsidRPr="00511C97">
        <w:t xml:space="preserve">The Attorney General asserts that the particular reliability and unique nature of spontaneous statements make them categorically admissible under the due process clause, without requiring a further finding of </w:t>
      </w:r>
      <w:r w:rsidRPr="00511C97" w:rsidR="006E2E69">
        <w:t xml:space="preserve">good cause </w:t>
      </w:r>
      <w:r w:rsidRPr="00511C97" w:rsidR="001D275C">
        <w:t>or</w:t>
      </w:r>
      <w:r w:rsidRPr="00511C97" w:rsidR="00231002">
        <w:t xml:space="preserve"> </w:t>
      </w:r>
      <w:r w:rsidRPr="00511C97" w:rsidR="006E2E69">
        <w:t xml:space="preserve">a </w:t>
      </w:r>
      <w:r w:rsidRPr="00511C97">
        <w:t xml:space="preserve">balancing of interests under </w:t>
      </w:r>
      <w:r w:rsidRPr="00511C97">
        <w:rPr>
          <w:i/>
          <w:iCs/>
        </w:rPr>
        <w:t>Arreola</w:t>
      </w:r>
      <w:r w:rsidRPr="00511C97">
        <w:t xml:space="preserve">.  </w:t>
      </w:r>
      <w:r w:rsidRPr="00511C97" w:rsidR="0000007F">
        <w:t xml:space="preserve">The Court of Appeal below likewise concluded </w:t>
      </w:r>
      <w:r w:rsidRPr="00511C97">
        <w:t xml:space="preserve">that </w:t>
      </w:r>
      <w:r w:rsidRPr="00511C97" w:rsidR="00C86EA3">
        <w:t>satisfaction of the criteria within</w:t>
      </w:r>
      <w:r w:rsidRPr="00511C97" w:rsidR="0000007F">
        <w:t xml:space="preserve"> Evidence Code section 1240 “is </w:t>
      </w:r>
      <w:r w:rsidRPr="00511C97">
        <w:t>enough by itself to achieve the purpose and function of the due process guarantees applicable to probation revocation hearings.”  (</w:t>
      </w:r>
      <w:r w:rsidRPr="00511C97">
        <w:rPr>
          <w:i/>
          <w:iCs/>
        </w:rPr>
        <w:t>Gray</w:t>
      </w:r>
      <w:r w:rsidRPr="00511C97">
        <w:t xml:space="preserve">, </w:t>
      </w:r>
      <w:r w:rsidRPr="00511C97">
        <w:rPr>
          <w:i/>
          <w:iCs/>
        </w:rPr>
        <w:t>supra</w:t>
      </w:r>
      <w:r w:rsidRPr="00511C97">
        <w:t xml:space="preserve">, 63 Cal.App.5th at p. 954.)  We reject this categorical approach, and instead reaffirm </w:t>
      </w:r>
      <w:r w:rsidRPr="00511C97">
        <w:rPr>
          <w:i/>
          <w:iCs/>
        </w:rPr>
        <w:t>Arreola</w:t>
      </w:r>
      <w:r w:rsidRPr="00511C97">
        <w:t xml:space="preserve">’s </w:t>
      </w:r>
      <w:r w:rsidRPr="00511C97" w:rsidR="00CF32BD">
        <w:t xml:space="preserve">case-by-case </w:t>
      </w:r>
      <w:r w:rsidRPr="00511C97" w:rsidR="00C86EA3">
        <w:t>analysis</w:t>
      </w:r>
      <w:r w:rsidRPr="00511C97" w:rsidR="001B58B9">
        <w:t xml:space="preserve"> as applicable here</w:t>
      </w:r>
      <w:r w:rsidRPr="00511C97">
        <w:t xml:space="preserve">.  </w:t>
      </w:r>
    </w:p>
    <w:p w:rsidR="004D5A9B" w:rsidRPr="00511C97" w:rsidP="00984860" w14:paraId="548031F6" w14:textId="77777777">
      <w:pPr>
        <w:ind w:firstLine="720"/>
      </w:pPr>
      <w:r w:rsidRPr="00511C97">
        <w:t xml:space="preserve">A categorical approach — which </w:t>
      </w:r>
      <w:r w:rsidRPr="00511C97" w:rsidR="00231002">
        <w:t xml:space="preserve">would </w:t>
      </w:r>
      <w:r w:rsidRPr="00511C97">
        <w:t xml:space="preserve">allow </w:t>
      </w:r>
      <w:r w:rsidRPr="00511C97" w:rsidR="001B58B9">
        <w:t xml:space="preserve">even </w:t>
      </w:r>
      <w:r w:rsidRPr="00511C97">
        <w:t>testimonial spontaneous statements</w:t>
      </w:r>
      <w:r w:rsidRPr="00511C97" w:rsidR="00061C1E">
        <w:t xml:space="preserve"> </w:t>
      </w:r>
      <w:r w:rsidRPr="00511C97">
        <w:t xml:space="preserve">to be admitted at probation revocation hearings without any </w:t>
      </w:r>
      <w:r w:rsidRPr="00511C97" w:rsidR="00061C1E">
        <w:t xml:space="preserve">case-by-case consideration of the reasons </w:t>
      </w:r>
      <w:r w:rsidRPr="00511C97" w:rsidR="00231002">
        <w:t>for not allowing confrontation</w:t>
      </w:r>
      <w:r w:rsidRPr="00511C97" w:rsidR="005B14A7">
        <w:t> </w:t>
      </w:r>
      <w:r w:rsidRPr="00511C97">
        <w:t xml:space="preserve">— is </w:t>
      </w:r>
      <w:r w:rsidRPr="00511C97" w:rsidR="001B58B9">
        <w:t>inconsistent</w:t>
      </w:r>
      <w:r w:rsidRPr="00511C97">
        <w:t xml:space="preserve"> with this court’s precedent</w:t>
      </w:r>
      <w:r w:rsidRPr="00511C97" w:rsidR="00D74AFD">
        <w:t xml:space="preserve"> </w:t>
      </w:r>
      <w:r w:rsidRPr="00511C97" w:rsidR="00D1242E">
        <w:t xml:space="preserve">and </w:t>
      </w:r>
      <w:r w:rsidRPr="00511C97" w:rsidR="00D74AFD">
        <w:t>that of the United States Supreme Court</w:t>
      </w:r>
      <w:r w:rsidRPr="00511C97">
        <w:t xml:space="preserve">.  </w:t>
      </w:r>
      <w:r w:rsidRPr="00511C97" w:rsidR="00D1242E">
        <w:t xml:space="preserve">As </w:t>
      </w:r>
      <w:r w:rsidRPr="00511C97" w:rsidR="00984860">
        <w:t>we have</w:t>
      </w:r>
      <w:r w:rsidRPr="00511C97" w:rsidR="00D1242E">
        <w:t xml:space="preserve"> explained, the </w:t>
      </w:r>
      <w:r w:rsidRPr="00511C97" w:rsidR="00A7328F">
        <w:t>high court has held that due process entitles parolees and probationers certain “minimum requirements,” including “the right to confront and cross-examine adverse witnesses (unless the hearing officer specifically finds good cause for not allowing confrontation).”  (</w:t>
      </w:r>
      <w:r w:rsidRPr="00511C97" w:rsidR="00A7328F">
        <w:rPr>
          <w:i/>
          <w:iCs/>
        </w:rPr>
        <w:t>Morrissey</w:t>
      </w:r>
      <w:r w:rsidRPr="00511C97" w:rsidR="00A7328F">
        <w:t xml:space="preserve">, </w:t>
      </w:r>
      <w:r w:rsidRPr="00511C97" w:rsidR="00A7328F">
        <w:rPr>
          <w:i/>
          <w:iCs/>
        </w:rPr>
        <w:t>supra</w:t>
      </w:r>
      <w:r w:rsidRPr="00511C97" w:rsidR="00A7328F">
        <w:t xml:space="preserve">, 408 U.S. at p. 489; see </w:t>
      </w:r>
      <w:r w:rsidRPr="00511C97" w:rsidR="00A7328F">
        <w:rPr>
          <w:i/>
          <w:iCs/>
        </w:rPr>
        <w:t>Gagnon</w:t>
      </w:r>
      <w:r w:rsidRPr="00511C97" w:rsidR="00A7328F">
        <w:t xml:space="preserve">, </w:t>
      </w:r>
      <w:r w:rsidRPr="00511C97" w:rsidR="00A7328F">
        <w:rPr>
          <w:i/>
          <w:iCs/>
        </w:rPr>
        <w:t>supra</w:t>
      </w:r>
      <w:r w:rsidRPr="00511C97" w:rsidR="00A7328F">
        <w:t xml:space="preserve">, 411 U.S. at p. 782.)  Consistent with these minimum due process protections, </w:t>
      </w:r>
      <w:r w:rsidRPr="00511C97" w:rsidR="00F45B4E">
        <w:t xml:space="preserve">we have held </w:t>
      </w:r>
      <w:r w:rsidRPr="00511C97" w:rsidR="008F34EC">
        <w:t xml:space="preserve">that the </w:t>
      </w:r>
      <w:r w:rsidRPr="00511C97">
        <w:t xml:space="preserve">transcript of a witness’s preliminary hearing testimony </w:t>
      </w:r>
      <w:r w:rsidRPr="00511C97" w:rsidR="00F45B4E">
        <w:t>cannot</w:t>
      </w:r>
      <w:r w:rsidRPr="00511C97" w:rsidR="008F34EC">
        <w:t xml:space="preserve"> be introduced </w:t>
      </w:r>
      <w:r w:rsidRPr="00511C97">
        <w:t>in lieu of the witness’s live testimony “</w:t>
      </w:r>
      <w:r w:rsidRPr="00511C97" w:rsidR="00B951B4">
        <w:t> ‘</w:t>
      </w:r>
      <w:r w:rsidRPr="00511C97">
        <w:t>in the absence of the declarant’s unavailability or other good cause</w:t>
      </w:r>
      <w:r w:rsidRPr="00511C97" w:rsidR="00B951B4">
        <w:t>’ </w:t>
      </w:r>
      <w:r w:rsidRPr="00511C97">
        <w:t>” (</w:t>
      </w:r>
      <w:r w:rsidRPr="00511C97">
        <w:rPr>
          <w:i/>
          <w:iCs/>
        </w:rPr>
        <w:t>Arreola</w:t>
      </w:r>
      <w:r w:rsidRPr="00511C97">
        <w:t xml:space="preserve">, </w:t>
      </w:r>
      <w:r w:rsidRPr="00511C97">
        <w:rPr>
          <w:i/>
          <w:iCs/>
        </w:rPr>
        <w:t>supra</w:t>
      </w:r>
      <w:r w:rsidRPr="00511C97">
        <w:t>, 7 Cal.4th at p. 1148</w:t>
      </w:r>
      <w:r w:rsidRPr="00511C97" w:rsidR="00F45B4E">
        <w:t xml:space="preserve">; see also </w:t>
      </w:r>
      <w:r w:rsidRPr="00511C97" w:rsidR="00F45B4E">
        <w:rPr>
          <w:i/>
          <w:iCs/>
        </w:rPr>
        <w:t>Winson</w:t>
      </w:r>
      <w:r w:rsidRPr="00511C97" w:rsidR="00F45B4E">
        <w:t xml:space="preserve">, </w:t>
      </w:r>
      <w:r w:rsidRPr="00511C97" w:rsidR="00F45B4E">
        <w:rPr>
          <w:i/>
          <w:iCs/>
        </w:rPr>
        <w:t>supra</w:t>
      </w:r>
      <w:r w:rsidRPr="00511C97" w:rsidR="00F45B4E">
        <w:t>, 29 Cal.3d at p. 719</w:t>
      </w:r>
      <w:r w:rsidRPr="00511C97">
        <w:t>)</w:t>
      </w:r>
      <w:r w:rsidRPr="00511C97" w:rsidR="00F45B4E">
        <w:t xml:space="preserve">, with the presence </w:t>
      </w:r>
      <w:r w:rsidRPr="00511C97" w:rsidR="002B7143">
        <w:t>or absence of good cause to be determined on</w:t>
      </w:r>
      <w:r w:rsidRPr="00511C97" w:rsidR="008F34EC">
        <w:t xml:space="preserve"> </w:t>
      </w:r>
      <w:r w:rsidRPr="00511C97" w:rsidR="00D2762C">
        <w:t xml:space="preserve">a case-by-case </w:t>
      </w:r>
      <w:r w:rsidRPr="00511C97" w:rsidR="002B7143">
        <w:t>basis</w:t>
      </w:r>
      <w:r w:rsidRPr="00511C97" w:rsidR="00D2762C">
        <w:t xml:space="preserve"> (</w:t>
      </w:r>
      <w:r w:rsidRPr="00511C97" w:rsidR="00D2762C">
        <w:rPr>
          <w:i/>
          <w:iCs/>
        </w:rPr>
        <w:t>Arreola</w:t>
      </w:r>
      <w:r w:rsidRPr="00511C97" w:rsidR="00D2762C">
        <w:t xml:space="preserve">, at p. 1160; </w:t>
      </w:r>
      <w:r w:rsidRPr="00511C97" w:rsidR="00D2762C">
        <w:rPr>
          <w:i/>
          <w:iCs/>
        </w:rPr>
        <w:t>Winson</w:t>
      </w:r>
      <w:r w:rsidRPr="00511C97" w:rsidR="00D2762C">
        <w:t>,</w:t>
      </w:r>
      <w:r w:rsidRPr="00511C97" w:rsidR="00D2762C">
        <w:rPr>
          <w:i/>
          <w:iCs/>
        </w:rPr>
        <w:t xml:space="preserve"> </w:t>
      </w:r>
      <w:r w:rsidRPr="00511C97" w:rsidR="00D2762C">
        <w:t>at p. 719)</w:t>
      </w:r>
      <w:r w:rsidRPr="00511C97" w:rsidR="002B7143">
        <w:t>.</w:t>
      </w:r>
      <w:r w:rsidRPr="00511C97" w:rsidR="00D2762C">
        <w:t xml:space="preserve">  </w:t>
      </w:r>
    </w:p>
    <w:p w:rsidR="00AD1F57" w:rsidRPr="00511C97" w:rsidP="00025415" w14:paraId="548031F7" w14:textId="77777777">
      <w:pPr>
        <w:ind w:firstLine="720"/>
      </w:pPr>
      <w:r w:rsidRPr="00511C97">
        <w:t xml:space="preserve">The balancing test we adopted allows trial courts to </w:t>
      </w:r>
      <w:r w:rsidRPr="00511C97" w:rsidR="00D74AFD">
        <w:t xml:space="preserve">examine the government’s showing of good cause, and to </w:t>
      </w:r>
      <w:r w:rsidRPr="00511C97">
        <w:t>weigh a defendant’s confrontation rights against the government’s countervailing interests.  It is a comprehensive</w:t>
      </w:r>
      <w:r w:rsidRPr="00511C97" w:rsidR="0051689A">
        <w:t>,</w:t>
      </w:r>
      <w:r w:rsidRPr="00511C97">
        <w:t xml:space="preserve"> holistic approach and no single factor is dispositive.</w:t>
      </w:r>
      <w:r>
        <w:rPr>
          <w:rStyle w:val="FootnoteReference"/>
        </w:rPr>
        <w:footnoteReference w:id="7"/>
      </w:r>
      <w:r w:rsidRPr="00511C97">
        <w:t xml:space="preserve">  </w:t>
      </w:r>
    </w:p>
    <w:p w:rsidR="00265A2E" w:rsidRPr="00511C97" w14:paraId="548031F8" w14:textId="77777777">
      <w:pPr>
        <w:ind w:firstLine="720"/>
      </w:pPr>
      <w:r w:rsidRPr="00511C97">
        <w:t xml:space="preserve">Fundamentally, </w:t>
      </w:r>
      <w:r w:rsidRPr="00511C97" w:rsidR="004E5CD9">
        <w:t xml:space="preserve">trial courts </w:t>
      </w:r>
      <w:r w:rsidRPr="00511C97">
        <w:t xml:space="preserve">must </w:t>
      </w:r>
      <w:r w:rsidRPr="00511C97" w:rsidR="00B8402A">
        <w:t>balance</w:t>
      </w:r>
      <w:r w:rsidRPr="00511C97" w:rsidR="00236757">
        <w:t xml:space="preserve"> the</w:t>
      </w:r>
      <w:r w:rsidRPr="00511C97" w:rsidR="00AE4E39">
        <w:t xml:space="preserve"> defendant’s interests in confronting a hearsay declarant against the government’s showing of “good cause,” that is to say, the government’s countervailing interests in presenting the evidence without the declarant’s presence</w:t>
      </w:r>
      <w:r w:rsidRPr="00511C97" w:rsidR="009D29E1">
        <w:t>.</w:t>
      </w:r>
      <w:r w:rsidRPr="00511C97" w:rsidR="005449A8">
        <w:t xml:space="preserve">  (</w:t>
      </w:r>
      <w:r w:rsidRPr="00511C97" w:rsidR="005449A8">
        <w:rPr>
          <w:i/>
          <w:iCs/>
        </w:rPr>
        <w:t>Arreola</w:t>
      </w:r>
      <w:r w:rsidRPr="00511C97" w:rsidR="005449A8">
        <w:t xml:space="preserve">, </w:t>
      </w:r>
      <w:r w:rsidRPr="00511C97" w:rsidR="005449A8">
        <w:rPr>
          <w:i/>
          <w:iCs/>
        </w:rPr>
        <w:t>supra</w:t>
      </w:r>
      <w:r w:rsidRPr="00511C97" w:rsidR="005449A8">
        <w:t>, 7</w:t>
      </w:r>
      <w:r w:rsidRPr="00511C97" w:rsidR="00301722">
        <w:t> </w:t>
      </w:r>
      <w:r w:rsidRPr="00511C97" w:rsidR="005449A8">
        <w:t>Cal.4th at p.</w:t>
      </w:r>
      <w:r w:rsidRPr="00511C97" w:rsidR="00301722">
        <w:t> </w:t>
      </w:r>
      <w:r w:rsidRPr="00511C97" w:rsidR="005449A8">
        <w:t>1160.)</w:t>
      </w:r>
      <w:r w:rsidRPr="00511C97" w:rsidR="0002255F">
        <w:t xml:space="preserve"> </w:t>
      </w:r>
      <w:r w:rsidRPr="00511C97" w:rsidR="003257EA">
        <w:t xml:space="preserve"> </w:t>
      </w:r>
      <w:r w:rsidRPr="00511C97" w:rsidR="0099745B">
        <w:t xml:space="preserve">Keeping with the flexible nature of due process, </w:t>
      </w:r>
      <w:r w:rsidRPr="00511C97" w:rsidR="0099745B">
        <w:rPr>
          <w:i/>
          <w:iCs/>
        </w:rPr>
        <w:t>Arreola</w:t>
      </w:r>
      <w:r w:rsidRPr="00511C97" w:rsidR="00E156F6">
        <w:t xml:space="preserve"> did not articulate fixed rules </w:t>
      </w:r>
      <w:r w:rsidRPr="00511C97" w:rsidR="00707B66">
        <w:t>regarding</w:t>
      </w:r>
      <w:r w:rsidRPr="00511C97" w:rsidR="0099745B">
        <w:t xml:space="preserve"> what</w:t>
      </w:r>
      <w:r w:rsidRPr="00511C97" w:rsidR="00E35D3B">
        <w:t xml:space="preserve"> trial courts </w:t>
      </w:r>
      <w:r w:rsidRPr="00511C97" w:rsidR="00962715">
        <w:t>must consider</w:t>
      </w:r>
      <w:r w:rsidRPr="00511C97" w:rsidR="00707B66">
        <w:t xml:space="preserve"> in conducting this balancing.</w:t>
      </w:r>
      <w:r w:rsidRPr="00511C97" w:rsidR="00962715">
        <w:t xml:space="preserve"> </w:t>
      </w:r>
      <w:r w:rsidRPr="00511C97" w:rsidR="00707B66">
        <w:t xml:space="preserve"> W</w:t>
      </w:r>
      <w:r w:rsidRPr="00511C97" w:rsidR="00962715">
        <w:t>e did</w:t>
      </w:r>
      <w:r w:rsidRPr="00511C97" w:rsidR="00707B66">
        <w:t>, however,</w:t>
      </w:r>
      <w:r w:rsidRPr="00511C97" w:rsidR="00962715">
        <w:t xml:space="preserve"> </w:t>
      </w:r>
      <w:r w:rsidRPr="00511C97" w:rsidR="00707B66">
        <w:t>identify s</w:t>
      </w:r>
      <w:r w:rsidRPr="00511C97" w:rsidR="00962715">
        <w:t xml:space="preserve">everal </w:t>
      </w:r>
      <w:r w:rsidRPr="00511C97" w:rsidR="007972D1">
        <w:t>circumstances</w:t>
      </w:r>
      <w:r w:rsidRPr="00511C97" w:rsidR="00962715">
        <w:t xml:space="preserve"> that should be </w:t>
      </w:r>
      <w:r w:rsidRPr="00511C97" w:rsidR="007972D1">
        <w:t>taken into consideration when</w:t>
      </w:r>
      <w:r w:rsidRPr="00511C97" w:rsidR="00FB5E49">
        <w:t xml:space="preserve"> </w:t>
      </w:r>
      <w:r w:rsidRPr="00511C97" w:rsidR="00E35D3B">
        <w:t>weigh</w:t>
      </w:r>
      <w:r w:rsidRPr="00511C97" w:rsidR="00FB5E49">
        <w:t>ing</w:t>
      </w:r>
      <w:r w:rsidRPr="00511C97" w:rsidR="00E35D3B">
        <w:t xml:space="preserve"> a defendant’s confrontation rights against the government’s countervailing interests.  </w:t>
      </w:r>
      <w:r w:rsidRPr="00511C97" w:rsidR="007972D1">
        <w:t>Among them,</w:t>
      </w:r>
      <w:r w:rsidRPr="00511C97">
        <w:t xml:space="preserve"> as “the significance of the particular evidence to a factual determination” needed to make a violation determination increases, so does the importance of the probationer’s confrontation right.  (</w:t>
      </w:r>
      <w:r w:rsidR="001E130A">
        <w:rPr>
          <w:i/>
          <w:iCs/>
        </w:rPr>
        <w:t>Ibid</w:t>
      </w:r>
      <w:r w:rsidRPr="00511C97">
        <w:t>.)  Similarly, if no “other admissible evidence” corroborates the statements at issue and the statements the government seeks to introduce instead “constitute[] the sole evidence establishing a violation of probation,” a defendant’s right to confrontation is heightened.  (</w:t>
      </w:r>
      <w:r w:rsidRPr="00511C97">
        <w:rPr>
          <w:i/>
          <w:iCs/>
        </w:rPr>
        <w:t>Ibid</w:t>
      </w:r>
      <w:r w:rsidRPr="00511C97">
        <w:t xml:space="preserve">.)  Applying this </w:t>
      </w:r>
      <w:r w:rsidRPr="00511C97" w:rsidR="0051689A">
        <w:t>framework</w:t>
      </w:r>
      <w:r w:rsidRPr="00511C97">
        <w:t xml:space="preserve">, it follows that the reliability of a particular statement </w:t>
      </w:r>
      <w:r w:rsidRPr="00511C97">
        <w:rPr>
          <w:i/>
          <w:iCs/>
        </w:rPr>
        <w:t>could</w:t>
      </w:r>
      <w:r w:rsidRPr="00511C97" w:rsidR="009F4566">
        <w:t xml:space="preserve"> — but not necessarily </w:t>
      </w:r>
      <w:r w:rsidRPr="00511C97" w:rsidR="009F4566">
        <w:rPr>
          <w:i/>
          <w:iCs/>
        </w:rPr>
        <w:t>must</w:t>
      </w:r>
      <w:r w:rsidRPr="00511C97" w:rsidR="009F4566">
        <w:t xml:space="preserve"> — </w:t>
      </w:r>
      <w:r w:rsidRPr="00511C97">
        <w:t>defeat</w:t>
      </w:r>
      <w:r w:rsidRPr="00511C97" w:rsidR="009F4566">
        <w:t xml:space="preserve"> </w:t>
      </w:r>
      <w:r w:rsidRPr="00511C97">
        <w:t xml:space="preserve">a defendant’s right to confront and cross-examine </w:t>
      </w:r>
      <w:r w:rsidRPr="00511C97" w:rsidR="00A17389">
        <w:t xml:space="preserve">a declarant </w:t>
      </w:r>
      <w:r w:rsidRPr="00511C97">
        <w:t>at a revocation hearing</w:t>
      </w:r>
      <w:r w:rsidRPr="00511C97" w:rsidR="0009201C">
        <w:t xml:space="preserve">.  </w:t>
      </w:r>
    </w:p>
    <w:p w:rsidR="006B5B5E" w:rsidRPr="00511C97" w:rsidP="0051689A" w14:paraId="548031F9" w14:textId="77777777">
      <w:pPr>
        <w:ind w:firstLine="720"/>
        <w:rPr>
          <w:szCs w:val="26"/>
        </w:rPr>
      </w:pPr>
      <w:r w:rsidRPr="00511C97">
        <w:t xml:space="preserve">The Attorney General urges us to </w:t>
      </w:r>
      <w:r w:rsidRPr="00511C97" w:rsidR="004A46B7">
        <w:t>hold</w:t>
      </w:r>
      <w:r w:rsidRPr="00511C97">
        <w:t xml:space="preserve"> that “[t]he unique value of [spontaneous statements under Evidence Code section 1240] gives rise to ‘good cause’ per se for its admission, regardless of the availability of the declarant.”  </w:t>
      </w:r>
      <w:r w:rsidRPr="00511C97" w:rsidR="006B0F5D">
        <w:t>W</w:t>
      </w:r>
      <w:r w:rsidRPr="00511C97">
        <w:t xml:space="preserve">e decline to do so.  This court has </w:t>
      </w:r>
      <w:r w:rsidRPr="00511C97" w:rsidR="009F4566">
        <w:t xml:space="preserve">previously </w:t>
      </w:r>
      <w:r w:rsidRPr="00511C97">
        <w:t>recognized that spontaneous statements, “</w:t>
      </w:r>
      <w:r w:rsidRPr="00511C97">
        <w:rPr>
          <w:szCs w:val="26"/>
        </w:rPr>
        <w:t xml:space="preserve">although not necessarily more reliable or accurate, are more likely to represent ‘ “the unreflecting and sincere expression of one’s actual impressions and belief.” ’ ”  </w:t>
      </w:r>
      <w:r w:rsidRPr="00511C97">
        <w:t>(</w:t>
      </w:r>
      <w:r w:rsidRPr="00511C97">
        <w:rPr>
          <w:i/>
          <w:iCs/>
          <w:szCs w:val="26"/>
        </w:rPr>
        <w:t>People v. Lucas</w:t>
      </w:r>
      <w:r w:rsidRPr="00511C97">
        <w:rPr>
          <w:szCs w:val="26"/>
        </w:rPr>
        <w:t xml:space="preserve"> (2014) 60</w:t>
      </w:r>
      <w:r w:rsidRPr="00511C97" w:rsidR="0051689A">
        <w:rPr>
          <w:szCs w:val="26"/>
        </w:rPr>
        <w:t> </w:t>
      </w:r>
      <w:r w:rsidRPr="00511C97">
        <w:rPr>
          <w:szCs w:val="26"/>
        </w:rPr>
        <w:t xml:space="preserve">Cal.4th 153, 269.)  </w:t>
      </w:r>
      <w:r w:rsidRPr="00511C97" w:rsidR="00CB502B">
        <w:rPr>
          <w:szCs w:val="26"/>
        </w:rPr>
        <w:t>Yet w</w:t>
      </w:r>
      <w:r w:rsidRPr="00511C97" w:rsidR="00CE49BF">
        <w:rPr>
          <w:szCs w:val="26"/>
        </w:rPr>
        <w:t xml:space="preserve">e have not previously held that </w:t>
      </w:r>
      <w:r w:rsidRPr="00511C97" w:rsidR="009F4566">
        <w:rPr>
          <w:szCs w:val="26"/>
        </w:rPr>
        <w:t xml:space="preserve">spontaneous statements </w:t>
      </w:r>
      <w:r w:rsidRPr="00511C97" w:rsidR="00CE49BF">
        <w:rPr>
          <w:szCs w:val="26"/>
        </w:rPr>
        <w:t>are so reliable that they</w:t>
      </w:r>
      <w:r w:rsidRPr="00511C97" w:rsidR="00CE49BF">
        <w:rPr>
          <w:i/>
        </w:rPr>
        <w:t xml:space="preserve"> categorically</w:t>
      </w:r>
      <w:r w:rsidRPr="00511C97" w:rsidR="00CE49BF">
        <w:rPr>
          <w:szCs w:val="26"/>
        </w:rPr>
        <w:t xml:space="preserve"> outweigh a defendant’s due process right to confront and cross-examine a witness</w:t>
      </w:r>
      <w:r w:rsidRPr="00511C97" w:rsidR="009F4566">
        <w:rPr>
          <w:szCs w:val="26"/>
        </w:rPr>
        <w:t xml:space="preserve"> about such expressions of belief.  Nor is such a blanket rule necessary.  </w:t>
      </w:r>
      <w:r w:rsidR="0051279D">
        <w:t xml:space="preserve">Trial courts can evaluate the reliability of the statements in </w:t>
      </w:r>
      <w:r w:rsidRPr="00511C97" w:rsidR="00AF2B2B">
        <w:rPr>
          <w:szCs w:val="26"/>
        </w:rPr>
        <w:t xml:space="preserve">applying </w:t>
      </w:r>
      <w:r w:rsidRPr="00511C97" w:rsidR="00AF2B2B">
        <w:rPr>
          <w:i/>
          <w:iCs/>
          <w:szCs w:val="26"/>
        </w:rPr>
        <w:t>Arreola</w:t>
      </w:r>
      <w:r w:rsidRPr="00511C97" w:rsidR="00AF2B2B">
        <w:rPr>
          <w:szCs w:val="26"/>
        </w:rPr>
        <w:t xml:space="preserve">’s </w:t>
      </w:r>
      <w:r w:rsidRPr="00511C97" w:rsidR="009F4566">
        <w:rPr>
          <w:szCs w:val="26"/>
        </w:rPr>
        <w:t xml:space="preserve">balancing </w:t>
      </w:r>
      <w:r w:rsidRPr="00511C97" w:rsidR="00AF2B2B">
        <w:rPr>
          <w:szCs w:val="26"/>
        </w:rPr>
        <w:t>test</w:t>
      </w:r>
      <w:r w:rsidRPr="00511C97" w:rsidR="009F4566">
        <w:rPr>
          <w:szCs w:val="26"/>
        </w:rPr>
        <w:t>.</w:t>
      </w:r>
      <w:r w:rsidR="0051279D">
        <w:rPr>
          <w:szCs w:val="26"/>
        </w:rPr>
        <w:t xml:space="preserve">  (</w:t>
      </w:r>
      <w:r w:rsidRPr="00511C97" w:rsidR="00E000B9">
        <w:rPr>
          <w:szCs w:val="26"/>
        </w:rPr>
        <w:t xml:space="preserve">See </w:t>
      </w:r>
      <w:r w:rsidRPr="00511C97" w:rsidR="00E000B9">
        <w:rPr>
          <w:i/>
          <w:iCs/>
          <w:szCs w:val="26"/>
        </w:rPr>
        <w:t>Arreola</w:t>
      </w:r>
      <w:r w:rsidRPr="00511C97" w:rsidR="00E000B9">
        <w:rPr>
          <w:szCs w:val="26"/>
        </w:rPr>
        <w:t xml:space="preserve">, </w:t>
      </w:r>
      <w:r w:rsidRPr="00511C97" w:rsidR="00E000B9">
        <w:rPr>
          <w:i/>
          <w:iCs/>
          <w:szCs w:val="26"/>
        </w:rPr>
        <w:t>supra</w:t>
      </w:r>
      <w:r w:rsidRPr="00511C97" w:rsidR="00E000B9">
        <w:rPr>
          <w:szCs w:val="26"/>
        </w:rPr>
        <w:t>, 7 Cal.4th at p.</w:t>
      </w:r>
      <w:r w:rsidR="0051279D">
        <w:rPr>
          <w:szCs w:val="26"/>
        </w:rPr>
        <w:t> </w:t>
      </w:r>
      <w:r w:rsidRPr="00511C97" w:rsidR="00E000B9">
        <w:rPr>
          <w:szCs w:val="26"/>
        </w:rPr>
        <w:t>1157</w:t>
      </w:r>
      <w:r w:rsidRPr="00511C97" w:rsidR="003D052D">
        <w:rPr>
          <w:szCs w:val="26"/>
        </w:rPr>
        <w:t>.)</w:t>
      </w:r>
      <w:r w:rsidRPr="00511C97" w:rsidR="00D70088">
        <w:rPr>
          <w:i/>
        </w:rPr>
        <w:t xml:space="preserve"> </w:t>
      </w:r>
      <w:r w:rsidRPr="00511C97" w:rsidR="003D052D">
        <w:rPr>
          <w:i/>
        </w:rPr>
        <w:t xml:space="preserve"> </w:t>
      </w:r>
      <w:r w:rsidRPr="00511C97" w:rsidR="00AF2B2B">
        <w:rPr>
          <w:szCs w:val="26"/>
        </w:rPr>
        <w:t xml:space="preserve">Because </w:t>
      </w:r>
      <w:r w:rsidRPr="00511C97" w:rsidR="0051689A">
        <w:rPr>
          <w:szCs w:val="26"/>
        </w:rPr>
        <w:t xml:space="preserve">our </w:t>
      </w:r>
      <w:r w:rsidRPr="00511C97" w:rsidR="00AF2B2B">
        <w:rPr>
          <w:szCs w:val="26"/>
        </w:rPr>
        <w:t xml:space="preserve">adopted </w:t>
      </w:r>
      <w:r w:rsidRPr="00511C97" w:rsidR="0051689A">
        <w:rPr>
          <w:szCs w:val="26"/>
        </w:rPr>
        <w:t xml:space="preserve">framework </w:t>
      </w:r>
      <w:r w:rsidRPr="00511C97" w:rsidR="00AF2B2B">
        <w:rPr>
          <w:szCs w:val="26"/>
        </w:rPr>
        <w:t xml:space="preserve">already allows courts to give due consideration to a spontaneous statement’s reliability, </w:t>
      </w:r>
      <w:r w:rsidRPr="00511C97" w:rsidR="00BC0E00">
        <w:rPr>
          <w:szCs w:val="26"/>
        </w:rPr>
        <w:t xml:space="preserve">along with other relevant circumstances, </w:t>
      </w:r>
      <w:r w:rsidRPr="00511C97" w:rsidR="00AF2B2B">
        <w:rPr>
          <w:szCs w:val="26"/>
        </w:rPr>
        <w:t xml:space="preserve">we reject the position of the Attorney General and the Court of Appeal below that the admission of evidence under Evidence Code section 1240 </w:t>
      </w:r>
      <w:r w:rsidRPr="00511C97" w:rsidR="00AF2B2B">
        <w:rPr>
          <w:i/>
          <w:iCs/>
          <w:szCs w:val="26"/>
        </w:rPr>
        <w:t>always</w:t>
      </w:r>
      <w:r w:rsidRPr="00511C97" w:rsidR="00AF2B2B">
        <w:rPr>
          <w:szCs w:val="26"/>
        </w:rPr>
        <w:t xml:space="preserve"> comports with a defendant’s due process right to confront and cross-examine witnesses at a probation revocation hearing.</w:t>
      </w:r>
      <w:r>
        <w:rPr>
          <w:rStyle w:val="FootnoteReference"/>
          <w:szCs w:val="26"/>
        </w:rPr>
        <w:footnoteReference w:id="8"/>
      </w:r>
      <w:r w:rsidRPr="00511C97" w:rsidR="00AF2B2B">
        <w:rPr>
          <w:szCs w:val="26"/>
        </w:rPr>
        <w:t xml:space="preserve">  </w:t>
      </w:r>
    </w:p>
    <w:p w:rsidR="004A46B7" w:rsidRPr="00511C97" w:rsidP="0051689A" w14:paraId="548031FA" w14:textId="77777777">
      <w:pPr>
        <w:ind w:firstLine="720"/>
        <w:rPr>
          <w:szCs w:val="26"/>
        </w:rPr>
      </w:pPr>
      <w:r w:rsidRPr="00511C97">
        <w:rPr>
          <w:szCs w:val="26"/>
        </w:rPr>
        <w:t xml:space="preserve">Moreover, </w:t>
      </w:r>
      <w:r w:rsidRPr="00511C97" w:rsidR="003F5211">
        <w:rPr>
          <w:szCs w:val="26"/>
        </w:rPr>
        <w:t xml:space="preserve">this balancing framework is consistent with </w:t>
      </w:r>
      <w:r w:rsidRPr="00511C97" w:rsidR="00443F89">
        <w:rPr>
          <w:szCs w:val="26"/>
        </w:rPr>
        <w:t>a due process-based right to confrontation in the probation context</w:t>
      </w:r>
      <w:r w:rsidRPr="00511C97" w:rsidR="00BB01B4">
        <w:rPr>
          <w:szCs w:val="26"/>
        </w:rPr>
        <w:t xml:space="preserve">.  </w:t>
      </w:r>
      <w:r w:rsidRPr="00511C97" w:rsidR="003F5211">
        <w:rPr>
          <w:szCs w:val="26"/>
        </w:rPr>
        <w:t xml:space="preserve">The framework </w:t>
      </w:r>
      <w:r w:rsidRPr="00511C97" w:rsidR="00443F89">
        <w:rPr>
          <w:szCs w:val="26"/>
        </w:rPr>
        <w:t>affords</w:t>
      </w:r>
      <w:r w:rsidRPr="00511C97" w:rsidR="00BB01B4">
        <w:rPr>
          <w:szCs w:val="26"/>
        </w:rPr>
        <w:t xml:space="preserve"> </w:t>
      </w:r>
      <w:r w:rsidRPr="00511C97" w:rsidR="0030286B">
        <w:rPr>
          <w:szCs w:val="26"/>
        </w:rPr>
        <w:t xml:space="preserve">probationers </w:t>
      </w:r>
      <w:r w:rsidRPr="00511C97" w:rsidR="00BB01B4">
        <w:rPr>
          <w:szCs w:val="26"/>
        </w:rPr>
        <w:t xml:space="preserve">a meaningful opportunity to confront </w:t>
      </w:r>
      <w:r w:rsidRPr="00511C97" w:rsidR="008A5C98">
        <w:rPr>
          <w:szCs w:val="26"/>
        </w:rPr>
        <w:t xml:space="preserve">and cross-examine </w:t>
      </w:r>
      <w:r w:rsidRPr="00511C97" w:rsidR="00BB01B4">
        <w:rPr>
          <w:szCs w:val="26"/>
        </w:rPr>
        <w:t xml:space="preserve">witnesses </w:t>
      </w:r>
      <w:r w:rsidRPr="00511C97" w:rsidR="000B445A">
        <w:rPr>
          <w:szCs w:val="26"/>
        </w:rPr>
        <w:t xml:space="preserve">in appropriate circumstances </w:t>
      </w:r>
      <w:r w:rsidRPr="00511C97" w:rsidR="00BB01B4">
        <w:rPr>
          <w:szCs w:val="26"/>
        </w:rPr>
        <w:t>“to assure that the finding of a [probation] violation will be based on verified facts and that the exercise of discretion will be informed by an accurate knowledge of the [</w:t>
      </w:r>
      <w:r w:rsidRPr="00511C97" w:rsidR="0030286B">
        <w:rPr>
          <w:szCs w:val="26"/>
        </w:rPr>
        <w:t>probationer’s</w:t>
      </w:r>
      <w:r w:rsidRPr="00511C97" w:rsidR="00BB01B4">
        <w:rPr>
          <w:szCs w:val="26"/>
        </w:rPr>
        <w:t>] behavior.”  (</w:t>
      </w:r>
      <w:r w:rsidRPr="00511C97" w:rsidR="00BB01B4">
        <w:rPr>
          <w:i/>
          <w:iCs/>
          <w:szCs w:val="26"/>
        </w:rPr>
        <w:t>Morrissey</w:t>
      </w:r>
      <w:r w:rsidRPr="00511C97" w:rsidR="00BB01B4">
        <w:rPr>
          <w:szCs w:val="26"/>
        </w:rPr>
        <w:t xml:space="preserve">, </w:t>
      </w:r>
      <w:r w:rsidRPr="00511C97" w:rsidR="00BB01B4">
        <w:rPr>
          <w:i/>
          <w:iCs/>
          <w:szCs w:val="26"/>
        </w:rPr>
        <w:t>supra</w:t>
      </w:r>
      <w:r w:rsidRPr="00511C97" w:rsidR="00BB01B4">
        <w:rPr>
          <w:szCs w:val="26"/>
        </w:rPr>
        <w:t>, 408</w:t>
      </w:r>
      <w:r w:rsidRPr="00511C97" w:rsidR="001022CC">
        <w:rPr>
          <w:szCs w:val="26"/>
        </w:rPr>
        <w:t> </w:t>
      </w:r>
      <w:r w:rsidRPr="00511C97" w:rsidR="00BB01B4">
        <w:rPr>
          <w:szCs w:val="26"/>
        </w:rPr>
        <w:t>U.S. at p.</w:t>
      </w:r>
      <w:r w:rsidRPr="00511C97" w:rsidR="002609CB">
        <w:rPr>
          <w:szCs w:val="26"/>
        </w:rPr>
        <w:t> </w:t>
      </w:r>
      <w:r w:rsidRPr="00511C97" w:rsidR="00BB01B4">
        <w:rPr>
          <w:szCs w:val="26"/>
        </w:rPr>
        <w:t xml:space="preserve">484.)  It is also consistent with the flexible </w:t>
      </w:r>
      <w:r w:rsidRPr="00511C97" w:rsidR="00926AE6">
        <w:rPr>
          <w:szCs w:val="26"/>
        </w:rPr>
        <w:t xml:space="preserve">character </w:t>
      </w:r>
      <w:r w:rsidRPr="00511C97" w:rsidR="00BB01B4">
        <w:rPr>
          <w:szCs w:val="26"/>
        </w:rPr>
        <w:t>of</w:t>
      </w:r>
      <w:r w:rsidRPr="00511C97" w:rsidR="00F942EB">
        <w:rPr>
          <w:szCs w:val="26"/>
        </w:rPr>
        <w:t xml:space="preserve"> the</w:t>
      </w:r>
      <w:r w:rsidRPr="00511C97" w:rsidR="00BB01B4">
        <w:rPr>
          <w:szCs w:val="26"/>
        </w:rPr>
        <w:t xml:space="preserve"> due process </w:t>
      </w:r>
      <w:r w:rsidRPr="00511C97" w:rsidR="00F942EB">
        <w:rPr>
          <w:szCs w:val="26"/>
        </w:rPr>
        <w:t xml:space="preserve">principles that </w:t>
      </w:r>
      <w:r w:rsidRPr="00511C97" w:rsidR="00BB01B4">
        <w:rPr>
          <w:szCs w:val="26"/>
        </w:rPr>
        <w:t xml:space="preserve">give rise to a </w:t>
      </w:r>
      <w:r w:rsidRPr="00511C97" w:rsidR="0030286B">
        <w:rPr>
          <w:szCs w:val="26"/>
        </w:rPr>
        <w:t xml:space="preserve">probationer’s </w:t>
      </w:r>
      <w:r w:rsidRPr="00511C97" w:rsidR="00BB01B4">
        <w:rPr>
          <w:szCs w:val="26"/>
        </w:rPr>
        <w:t xml:space="preserve">confrontation rights here.  </w:t>
      </w:r>
      <w:r w:rsidRPr="00511C97" w:rsidR="002609CB">
        <w:rPr>
          <w:szCs w:val="26"/>
        </w:rPr>
        <w:t xml:space="preserve">(See </w:t>
      </w:r>
      <w:r w:rsidRPr="00511C97" w:rsidR="002609CB">
        <w:rPr>
          <w:i/>
          <w:iCs/>
          <w:szCs w:val="26"/>
        </w:rPr>
        <w:t>id</w:t>
      </w:r>
      <w:r w:rsidRPr="00511C97" w:rsidR="002609CB">
        <w:rPr>
          <w:szCs w:val="26"/>
        </w:rPr>
        <w:t>. at p. 481 [</w:t>
      </w:r>
      <w:r w:rsidRPr="00511C97" w:rsidR="002609CB">
        <w:t xml:space="preserve">“due process is flexible and calls for such procedural protections as the particular situation demands”].)  </w:t>
      </w:r>
      <w:r w:rsidRPr="00511C97" w:rsidR="00BB01B4">
        <w:rPr>
          <w:szCs w:val="26"/>
        </w:rPr>
        <w:t xml:space="preserve">The “touchstone of due process” is “fundamental fairness.”  (See </w:t>
      </w:r>
      <w:r w:rsidRPr="00511C97" w:rsidR="00BB01B4">
        <w:rPr>
          <w:i/>
          <w:iCs/>
          <w:szCs w:val="26"/>
        </w:rPr>
        <w:t>Gagnon</w:t>
      </w:r>
      <w:r w:rsidRPr="00511C97" w:rsidR="00BB01B4">
        <w:rPr>
          <w:szCs w:val="26"/>
        </w:rPr>
        <w:t xml:space="preserve">, </w:t>
      </w:r>
      <w:r w:rsidRPr="00511C97" w:rsidR="00BB01B4">
        <w:rPr>
          <w:i/>
          <w:iCs/>
          <w:szCs w:val="26"/>
        </w:rPr>
        <w:t>supra</w:t>
      </w:r>
      <w:r w:rsidRPr="00511C97" w:rsidR="00BB01B4">
        <w:rPr>
          <w:szCs w:val="26"/>
        </w:rPr>
        <w:t>, 411</w:t>
      </w:r>
      <w:r w:rsidRPr="00511C97" w:rsidR="006574B6">
        <w:rPr>
          <w:szCs w:val="26"/>
        </w:rPr>
        <w:t> </w:t>
      </w:r>
      <w:r w:rsidRPr="00511C97" w:rsidR="00BB01B4">
        <w:rPr>
          <w:szCs w:val="26"/>
        </w:rPr>
        <w:t xml:space="preserve">U.S. at p. 790.)  </w:t>
      </w:r>
      <w:r w:rsidRPr="00511C97" w:rsidR="002609CB">
        <w:rPr>
          <w:szCs w:val="26"/>
        </w:rPr>
        <w:t>As the United States Supreme Court has noted</w:t>
      </w:r>
      <w:r w:rsidRPr="00511C97" w:rsidR="00C70AB5">
        <w:rPr>
          <w:szCs w:val="26"/>
        </w:rPr>
        <w:t xml:space="preserve"> of due process</w:t>
      </w:r>
      <w:r w:rsidRPr="00511C97" w:rsidR="002609CB">
        <w:rPr>
          <w:szCs w:val="26"/>
        </w:rPr>
        <w:t>, “ ‘</w:t>
      </w:r>
      <w:r w:rsidRPr="00511C97" w:rsidR="00C70AB5">
        <w:rPr>
          <w:szCs w:val="26"/>
        </w:rPr>
        <w:t xml:space="preserve">[i]ts </w:t>
      </w:r>
      <w:r w:rsidRPr="00511C97" w:rsidR="002609CB">
        <w:rPr>
          <w:szCs w:val="26"/>
        </w:rPr>
        <w:t>application is less a matter of rule.  Asserted denial is to be tested by an appraisal of the totality of facts in a given case.’ ”  (</w:t>
      </w:r>
      <w:r w:rsidRPr="00511C97" w:rsidR="002609CB">
        <w:rPr>
          <w:i/>
          <w:iCs/>
          <w:szCs w:val="26"/>
        </w:rPr>
        <w:t>County of Sacramento v. Lewis</w:t>
      </w:r>
      <w:r w:rsidRPr="00511C97" w:rsidR="002609CB">
        <w:rPr>
          <w:szCs w:val="26"/>
        </w:rPr>
        <w:t xml:space="preserve"> (1998) 523 U.S. 833, 850.)  </w:t>
      </w:r>
    </w:p>
    <w:p w:rsidR="007A716E" w:rsidRPr="00511C97" w:rsidP="00025415" w14:paraId="548031FB" w14:textId="77777777">
      <w:pPr>
        <w:tabs>
          <w:tab w:val="left" w:pos="1440"/>
        </w:tabs>
        <w:ind w:firstLine="720"/>
      </w:pPr>
      <w:r w:rsidRPr="00511C97">
        <w:rPr>
          <w:szCs w:val="26"/>
        </w:rPr>
        <w:t xml:space="preserve">The </w:t>
      </w:r>
      <w:r w:rsidRPr="00511C97" w:rsidR="00243C30">
        <w:rPr>
          <w:szCs w:val="26"/>
        </w:rPr>
        <w:t xml:space="preserve">remaining </w:t>
      </w:r>
      <w:r w:rsidRPr="00511C97">
        <w:rPr>
          <w:szCs w:val="26"/>
        </w:rPr>
        <w:t xml:space="preserve">arguments advanced by the Attorney General and the Court of Appeal below </w:t>
      </w:r>
      <w:r w:rsidRPr="00511C97" w:rsidR="00C70AB5">
        <w:rPr>
          <w:szCs w:val="26"/>
        </w:rPr>
        <w:t xml:space="preserve">also </w:t>
      </w:r>
      <w:r w:rsidRPr="00511C97">
        <w:rPr>
          <w:szCs w:val="26"/>
        </w:rPr>
        <w:t xml:space="preserve">do not persuade us to abandon a balancing process in favor of </w:t>
      </w:r>
      <w:r w:rsidRPr="00511C97" w:rsidR="00405018">
        <w:rPr>
          <w:szCs w:val="26"/>
        </w:rPr>
        <w:t xml:space="preserve">a </w:t>
      </w:r>
      <w:r w:rsidRPr="00511C97" w:rsidR="002125CF">
        <w:rPr>
          <w:szCs w:val="26"/>
        </w:rPr>
        <w:t xml:space="preserve">blanket </w:t>
      </w:r>
      <w:r w:rsidRPr="00511C97">
        <w:rPr>
          <w:szCs w:val="26"/>
        </w:rPr>
        <w:t>rule</w:t>
      </w:r>
      <w:r w:rsidRPr="00511C97" w:rsidR="002125CF">
        <w:rPr>
          <w:szCs w:val="26"/>
        </w:rPr>
        <w:t xml:space="preserve"> </w:t>
      </w:r>
      <w:r w:rsidRPr="00511C97" w:rsidR="00405018">
        <w:rPr>
          <w:szCs w:val="26"/>
        </w:rPr>
        <w:t>of admissibility</w:t>
      </w:r>
      <w:r w:rsidR="00663B90">
        <w:rPr>
          <w:szCs w:val="26"/>
        </w:rPr>
        <w:t xml:space="preserve"> for testimonial spontaneous statements.  </w:t>
      </w:r>
      <w:r w:rsidRPr="00511C97" w:rsidR="009057BB">
        <w:rPr>
          <w:szCs w:val="26"/>
        </w:rPr>
        <w:t xml:space="preserve">Both reason that it would be incongruous to provide probationers </w:t>
      </w:r>
      <w:r w:rsidRPr="00511C97" w:rsidR="009057BB">
        <w:rPr>
          <w:i/>
          <w:iCs/>
          <w:szCs w:val="26"/>
        </w:rPr>
        <w:t>greater</w:t>
      </w:r>
      <w:r w:rsidRPr="00511C97" w:rsidR="009057BB">
        <w:rPr>
          <w:szCs w:val="26"/>
        </w:rPr>
        <w:t xml:space="preserve"> confrontation rights than afforded to defendants in criminal trials.  The Attorney General contends “</w:t>
      </w:r>
      <w:r w:rsidRPr="00511C97" w:rsidR="009057BB">
        <w:t xml:space="preserve">confrontation rights at revocation hearings must be more flexible than at criminal trials and should yield particularly to permit the admission of highly trustworthy forms of evidence that would promote the reliability of factfinding.”  The Court of Appeal below similarly </w:t>
      </w:r>
      <w:r w:rsidRPr="00511C97" w:rsidR="00405018">
        <w:t xml:space="preserve">noted </w:t>
      </w:r>
      <w:r w:rsidRPr="00511C97" w:rsidR="0021156D">
        <w:t xml:space="preserve">that </w:t>
      </w:r>
      <w:r w:rsidRPr="00511C97" w:rsidR="006A148E">
        <w:t xml:space="preserve">it </w:t>
      </w:r>
      <w:r w:rsidRPr="00511C97" w:rsidR="0021156D">
        <w:t xml:space="preserve">“would make no sense” </w:t>
      </w:r>
      <w:r w:rsidRPr="00511C97" w:rsidR="006A148E">
        <w:t xml:space="preserve">for </w:t>
      </w:r>
      <w:r w:rsidRPr="00511C97" w:rsidR="0021156D">
        <w:t>the “standard for admitting hearsay in probation revocation hearings</w:t>
      </w:r>
      <w:r w:rsidRPr="00511C97" w:rsidR="006A148E">
        <w:t>”</w:t>
      </w:r>
      <w:r w:rsidRPr="00511C97" w:rsidR="0021156D">
        <w:t xml:space="preserve"> </w:t>
      </w:r>
      <w:r w:rsidRPr="00511C97" w:rsidR="006A148E">
        <w:t>to “</w:t>
      </w:r>
      <w:r w:rsidRPr="00511C97" w:rsidR="0021156D">
        <w:t>be more onerous than the standard for admitting hearsay at trial.”  (</w:t>
      </w:r>
      <w:r w:rsidRPr="00511C97" w:rsidR="0021156D">
        <w:rPr>
          <w:i/>
          <w:iCs/>
        </w:rPr>
        <w:t>Gray</w:t>
      </w:r>
      <w:r w:rsidRPr="00511C97" w:rsidR="0021156D">
        <w:t xml:space="preserve">, </w:t>
      </w:r>
      <w:r w:rsidRPr="00511C97" w:rsidR="0021156D">
        <w:rPr>
          <w:i/>
          <w:iCs/>
        </w:rPr>
        <w:t>supra</w:t>
      </w:r>
      <w:r w:rsidRPr="00511C97" w:rsidR="0021156D">
        <w:t xml:space="preserve">, 63 Cal.App.5th at p. 955.)  </w:t>
      </w:r>
    </w:p>
    <w:p w:rsidR="00F92762" w:rsidRPr="00511C97" w:rsidP="00B31EE7" w14:paraId="548031FC" w14:textId="77777777">
      <w:pPr>
        <w:tabs>
          <w:tab w:val="left" w:pos="1440"/>
        </w:tabs>
        <w:ind w:firstLine="720"/>
      </w:pPr>
      <w:r w:rsidRPr="00511C97">
        <w:rPr>
          <w:szCs w:val="26"/>
        </w:rPr>
        <w:t xml:space="preserve">But the </w:t>
      </w:r>
      <w:r w:rsidRPr="00511C97" w:rsidR="00B742FA">
        <w:rPr>
          <w:i/>
          <w:iCs/>
          <w:szCs w:val="26"/>
        </w:rPr>
        <w:t>Arreola</w:t>
      </w:r>
      <w:r w:rsidRPr="00511C97" w:rsidR="00B742FA">
        <w:rPr>
          <w:szCs w:val="26"/>
        </w:rPr>
        <w:t xml:space="preserve"> </w:t>
      </w:r>
      <w:r w:rsidRPr="00511C97">
        <w:rPr>
          <w:szCs w:val="26"/>
        </w:rPr>
        <w:t>standard</w:t>
      </w:r>
      <w:r w:rsidRPr="00511C97" w:rsidR="007A716E">
        <w:rPr>
          <w:szCs w:val="26"/>
        </w:rPr>
        <w:t xml:space="preserve"> as applied here today</w:t>
      </w:r>
      <w:r w:rsidRPr="00511C97">
        <w:rPr>
          <w:szCs w:val="26"/>
        </w:rPr>
        <w:t xml:space="preserve"> does not give probationers greater rights than criminal defendants</w:t>
      </w:r>
      <w:r w:rsidRPr="00511C97" w:rsidR="009461B8">
        <w:rPr>
          <w:szCs w:val="26"/>
        </w:rPr>
        <w:t xml:space="preserve">.  </w:t>
      </w:r>
      <w:r w:rsidRPr="00511C97" w:rsidR="007A716E">
        <w:t xml:space="preserve">Testimonial </w:t>
      </w:r>
      <w:r w:rsidRPr="00511C97" w:rsidR="009461B8">
        <w:t xml:space="preserve">statements </w:t>
      </w:r>
      <w:r w:rsidRPr="00511C97" w:rsidR="00890A02">
        <w:t>by a nontestifying declarant may be admitted</w:t>
      </w:r>
      <w:r w:rsidRPr="00511C97" w:rsidR="00A56A2D">
        <w:t xml:space="preserve"> </w:t>
      </w:r>
      <w:r w:rsidRPr="00511C97" w:rsidR="009461B8">
        <w:t xml:space="preserve">against a defendant </w:t>
      </w:r>
      <w:r w:rsidRPr="00511C97" w:rsidR="00890A02">
        <w:t xml:space="preserve">in a criminal trial only when </w:t>
      </w:r>
      <w:r w:rsidRPr="00511C97" w:rsidR="009461B8">
        <w:t xml:space="preserve">the declarant is </w:t>
      </w:r>
      <w:r w:rsidRPr="00511C97" w:rsidR="0001507D">
        <w:t>unavailable and was previously subject to cross-examination (</w:t>
      </w:r>
      <w:r w:rsidRPr="00511C97" w:rsidR="0001507D">
        <w:rPr>
          <w:i/>
          <w:iCs/>
        </w:rPr>
        <w:t>Crawford</w:t>
      </w:r>
      <w:r w:rsidRPr="00511C97" w:rsidR="0001507D">
        <w:t xml:space="preserve">, </w:t>
      </w:r>
      <w:r w:rsidRPr="00511C97" w:rsidR="0001507D">
        <w:rPr>
          <w:i/>
          <w:iCs/>
        </w:rPr>
        <w:t>supra</w:t>
      </w:r>
      <w:r w:rsidRPr="00511C97" w:rsidR="0001507D">
        <w:t xml:space="preserve">, 541 U.S. at pp. 55–56, 68), regardless of the existence of a hearsay exception.  At a revocation hearing, however, it is possible that testimonial statements falling within a hearsay exception could nonetheless be admitted </w:t>
      </w:r>
      <w:r w:rsidRPr="00511C97" w:rsidR="00B414B5">
        <w:t>when</w:t>
      </w:r>
      <w:r w:rsidRPr="00511C97" w:rsidR="0001507D">
        <w:t xml:space="preserve"> the government’s interests override the defendant’s confrontation rights under the specific circumstances of the case.  </w:t>
      </w:r>
      <w:r w:rsidRPr="00511C97" w:rsidR="007533C6">
        <w:t>In other words, the right to confront witnesses exists as a procedural due process safeguard at a probation revocation hearing, but it may give way to a showing of good cause (</w:t>
      </w:r>
      <w:r w:rsidRPr="00511C97" w:rsidR="00680E07">
        <w:rPr>
          <w:i/>
          <w:iCs/>
        </w:rPr>
        <w:t>Morrissey</w:t>
      </w:r>
      <w:r w:rsidRPr="00511C97" w:rsidR="00680E07">
        <w:t xml:space="preserve">, </w:t>
      </w:r>
      <w:r w:rsidRPr="00511C97" w:rsidR="006E638F">
        <w:rPr>
          <w:i/>
          <w:iCs/>
        </w:rPr>
        <w:t>supra</w:t>
      </w:r>
      <w:r w:rsidRPr="00511C97" w:rsidR="006E638F">
        <w:t xml:space="preserve">, 408 U.S. </w:t>
      </w:r>
      <w:r w:rsidRPr="00511C97" w:rsidR="00680E07">
        <w:t xml:space="preserve">at </w:t>
      </w:r>
      <w:r w:rsidRPr="00511C97" w:rsidR="007533C6">
        <w:t>p. </w:t>
      </w:r>
      <w:r w:rsidRPr="00511C97" w:rsidR="00680E07">
        <w:t>489</w:t>
      </w:r>
      <w:r w:rsidRPr="00511C97" w:rsidR="007533C6">
        <w:t>) and a balancing of all relevant facts in a given case (</w:t>
      </w:r>
      <w:r w:rsidRPr="00511C97" w:rsidR="007533C6">
        <w:rPr>
          <w:i/>
          <w:iCs/>
        </w:rPr>
        <w:t>Arreola</w:t>
      </w:r>
      <w:r w:rsidRPr="00511C97" w:rsidR="007533C6">
        <w:t xml:space="preserve">, </w:t>
      </w:r>
      <w:r w:rsidRPr="00511C97" w:rsidR="006E638F">
        <w:rPr>
          <w:i/>
          <w:iCs/>
        </w:rPr>
        <w:t>supra</w:t>
      </w:r>
      <w:r w:rsidRPr="00511C97" w:rsidR="006E638F">
        <w:t>, 7 Cal.4th</w:t>
      </w:r>
      <w:r w:rsidRPr="00511C97" w:rsidR="006E638F">
        <w:rPr>
          <w:i/>
          <w:iCs/>
        </w:rPr>
        <w:t xml:space="preserve"> </w:t>
      </w:r>
      <w:r w:rsidRPr="00511C97" w:rsidR="007533C6">
        <w:t>at pp. 1159</w:t>
      </w:r>
      <w:r w:rsidRPr="00511C97" w:rsidR="00DA6A39">
        <w:t>–</w:t>
      </w:r>
      <w:r w:rsidRPr="00511C97" w:rsidR="007533C6">
        <w:t xml:space="preserve">1160).  No such balancing process applies to testimonial statements against a defendant in a criminal trial.  </w:t>
      </w:r>
      <w:r w:rsidRPr="00511C97">
        <w:t xml:space="preserve">In short, our </w:t>
      </w:r>
      <w:r w:rsidRPr="00511C97" w:rsidR="00D475CB">
        <w:t>decision</w:t>
      </w:r>
      <w:r w:rsidRPr="00511C97">
        <w:t xml:space="preserve"> </w:t>
      </w:r>
      <w:r w:rsidRPr="00511C97" w:rsidR="009C525B">
        <w:t xml:space="preserve">here </w:t>
      </w:r>
      <w:r w:rsidRPr="00511C97">
        <w:t xml:space="preserve">does not conflict with </w:t>
      </w:r>
      <w:r w:rsidRPr="00511C97">
        <w:rPr>
          <w:i/>
          <w:iCs/>
        </w:rPr>
        <w:t>Morrissey</w:t>
      </w:r>
      <w:r w:rsidRPr="00511C97">
        <w:t xml:space="preserve">, or this court’s precedent, by providing probationers with </w:t>
      </w:r>
      <w:r w:rsidRPr="00511C97">
        <w:rPr>
          <w:i/>
          <w:iCs/>
        </w:rPr>
        <w:t>greater</w:t>
      </w:r>
      <w:r w:rsidRPr="00511C97">
        <w:t xml:space="preserve"> rights than those afforded to criminal defendants.</w:t>
      </w:r>
      <w:r w:rsidR="002038B4">
        <w:t xml:space="preserve"> </w:t>
      </w:r>
      <w:r w:rsidRPr="00511C97" w:rsidR="000D646D">
        <w:t xml:space="preserve"> </w:t>
      </w:r>
    </w:p>
    <w:p w:rsidR="005C67D6" w:rsidRPr="00511C97" w:rsidP="00B742FA" w14:paraId="548031FD" w14:textId="77777777">
      <w:pPr>
        <w:tabs>
          <w:tab w:val="left" w:pos="1440"/>
        </w:tabs>
        <w:ind w:firstLine="720"/>
      </w:pPr>
      <w:r w:rsidRPr="00511C97">
        <w:t xml:space="preserve">We are </w:t>
      </w:r>
      <w:r w:rsidRPr="00511C97" w:rsidR="004105AC">
        <w:t xml:space="preserve">also </w:t>
      </w:r>
      <w:r w:rsidRPr="00511C97">
        <w:t xml:space="preserve">unpersuaded that we should </w:t>
      </w:r>
      <w:r w:rsidRPr="00511C97" w:rsidR="00E018EB">
        <w:t>not</w:t>
      </w:r>
      <w:r w:rsidRPr="00511C97" w:rsidR="00A53D85">
        <w:t xml:space="preserve"> adopt </w:t>
      </w:r>
      <w:r w:rsidRPr="00511C97">
        <w:t xml:space="preserve">a balancing </w:t>
      </w:r>
      <w:r w:rsidRPr="00511C97" w:rsidR="00A53D85">
        <w:t xml:space="preserve">test here </w:t>
      </w:r>
      <w:r w:rsidRPr="00511C97">
        <w:t xml:space="preserve">because, as the Attorney General notes, </w:t>
      </w:r>
      <w:r w:rsidRPr="00511C97">
        <w:rPr>
          <w:i/>
          <w:iCs/>
        </w:rPr>
        <w:t>Arreola</w:t>
      </w:r>
      <w:r w:rsidRPr="00511C97">
        <w:t xml:space="preserve"> was “a case in which no exception to the hearsay rule applied whatsoever</w:t>
      </w:r>
      <w:r w:rsidRPr="00511C97" w:rsidR="006A2EB3">
        <w:t>,</w:t>
      </w:r>
      <w:r w:rsidRPr="00511C97">
        <w:t xml:space="preserve">” </w:t>
      </w:r>
      <w:r w:rsidRPr="00511C97" w:rsidR="008A5C98">
        <w:t xml:space="preserve">whereas </w:t>
      </w:r>
      <w:r w:rsidRPr="00511C97" w:rsidR="00B742FA">
        <w:t xml:space="preserve">this case involves spontaneous statements under </w:t>
      </w:r>
      <w:r w:rsidRPr="00511C97" w:rsidR="00A53D85">
        <w:t xml:space="preserve">Evidence Code section 1240. </w:t>
      </w:r>
      <w:r w:rsidRPr="00511C97">
        <w:t xml:space="preserve"> </w:t>
      </w:r>
      <w:r w:rsidRPr="00511C97" w:rsidR="00E97EDA">
        <w:t xml:space="preserve">The Court of Appeal below similarly attempted to distinguish </w:t>
      </w:r>
      <w:r w:rsidRPr="00511C97" w:rsidR="00E97EDA">
        <w:rPr>
          <w:i/>
          <w:iCs/>
        </w:rPr>
        <w:t>Winson</w:t>
      </w:r>
      <w:r w:rsidRPr="00511C97" w:rsidR="00E97EDA">
        <w:t xml:space="preserve">, </w:t>
      </w:r>
      <w:r w:rsidRPr="00511C97" w:rsidR="00E97EDA">
        <w:rPr>
          <w:i/>
          <w:iCs/>
        </w:rPr>
        <w:t>Maki</w:t>
      </w:r>
      <w:r w:rsidRPr="00511C97" w:rsidR="00E97EDA">
        <w:t xml:space="preserve">, and </w:t>
      </w:r>
      <w:r w:rsidRPr="00511C97" w:rsidR="00E97EDA">
        <w:rPr>
          <w:i/>
          <w:iCs/>
        </w:rPr>
        <w:t xml:space="preserve">Arreola </w:t>
      </w:r>
      <w:r w:rsidRPr="00511C97" w:rsidR="00E97EDA">
        <w:t xml:space="preserve">on the ground that each case </w:t>
      </w:r>
      <w:r w:rsidRPr="00511C97" w:rsidR="00A53D85">
        <w:t>“</w:t>
      </w:r>
      <w:r w:rsidRPr="00511C97" w:rsidR="00E97EDA">
        <w:t xml:space="preserve">involved statements that were </w:t>
      </w:r>
      <w:r w:rsidRPr="00511C97" w:rsidR="00E97EDA">
        <w:rPr>
          <w:i/>
          <w:iCs/>
        </w:rPr>
        <w:t>inadmissible</w:t>
      </w:r>
      <w:r w:rsidRPr="00511C97" w:rsidR="00E97EDA">
        <w:t xml:space="preserve"> under the rules of evidence.</w:t>
      </w:r>
      <w:r w:rsidRPr="00511C97" w:rsidR="00A53D85">
        <w:t>”</w:t>
      </w:r>
      <w:r w:rsidRPr="00511C97" w:rsidR="00E97EDA">
        <w:t xml:space="preserve">  (</w:t>
      </w:r>
      <w:r w:rsidRPr="00511C97" w:rsidR="00E97EDA">
        <w:rPr>
          <w:i/>
          <w:iCs/>
        </w:rPr>
        <w:t>Gray</w:t>
      </w:r>
      <w:r w:rsidRPr="00511C97" w:rsidR="00E97EDA">
        <w:t xml:space="preserve">, </w:t>
      </w:r>
      <w:r w:rsidRPr="00511C97" w:rsidR="00E97EDA">
        <w:rPr>
          <w:i/>
          <w:iCs/>
        </w:rPr>
        <w:t>supra</w:t>
      </w:r>
      <w:r w:rsidRPr="00511C97" w:rsidR="00E97EDA">
        <w:t>, 63 Cal.App.5th at p. 954</w:t>
      </w:r>
      <w:r w:rsidRPr="00511C97" w:rsidR="00A53D85">
        <w:t>, italics added</w:t>
      </w:r>
      <w:r w:rsidRPr="00511C97" w:rsidR="00E97EDA">
        <w:t xml:space="preserve">.)  </w:t>
      </w:r>
      <w:r w:rsidRPr="00511C97">
        <w:t>I</w:t>
      </w:r>
      <w:r w:rsidRPr="00511C97" w:rsidR="00587D47">
        <w:t xml:space="preserve">t is true that </w:t>
      </w:r>
      <w:r w:rsidRPr="00511C97">
        <w:t xml:space="preserve">we were not previously asked to </w:t>
      </w:r>
      <w:r w:rsidRPr="00511C97" w:rsidR="00C45830">
        <w:t>apply</w:t>
      </w:r>
      <w:r w:rsidRPr="00511C97">
        <w:t xml:space="preserve"> a balancing test to </w:t>
      </w:r>
      <w:r w:rsidRPr="00511C97" w:rsidR="00587D47">
        <w:t xml:space="preserve">evidence </w:t>
      </w:r>
      <w:r w:rsidRPr="00511C97" w:rsidR="00476B2D">
        <w:t xml:space="preserve">that was otherwise </w:t>
      </w:r>
      <w:r w:rsidRPr="00511C97" w:rsidR="00587D47">
        <w:t>admissible under a hearsay exception</w:t>
      </w:r>
      <w:r w:rsidRPr="00511C97">
        <w:t xml:space="preserve">.  But it does not necessarily follow that </w:t>
      </w:r>
      <w:r w:rsidRPr="00511C97" w:rsidR="00476B2D">
        <w:t xml:space="preserve">we should recognize </w:t>
      </w:r>
      <w:r w:rsidRPr="00511C97">
        <w:t xml:space="preserve">a categorical exception to the balancing test </w:t>
      </w:r>
      <w:r w:rsidRPr="00511C97" w:rsidR="0024514C">
        <w:t>whenever a hearsay exception applies, regardless of all other considerations</w:t>
      </w:r>
      <w:r w:rsidRPr="00511C97">
        <w:t xml:space="preserve">.  </w:t>
      </w:r>
      <w:r w:rsidRPr="00511C97" w:rsidR="00076C06">
        <w:t xml:space="preserve">For the reasons outlined </w:t>
      </w:r>
      <w:r w:rsidRPr="00511C97" w:rsidR="00076C06">
        <w:rPr>
          <w:i/>
          <w:iCs/>
        </w:rPr>
        <w:t>ante</w:t>
      </w:r>
      <w:r w:rsidRPr="00511C97" w:rsidR="00076C06">
        <w:t>, we reject such a categorical approach for spontaneous statements under Evidence Code section 1240.</w:t>
      </w:r>
      <w:r>
        <w:rPr>
          <w:rStyle w:val="FootnoteReference"/>
        </w:rPr>
        <w:footnoteReference w:id="9"/>
      </w:r>
    </w:p>
    <w:p w:rsidR="003E04A7" w:rsidRPr="00511C97" w:rsidP="00B31EE7" w14:paraId="548031FE" w14:textId="77777777">
      <w:pPr>
        <w:tabs>
          <w:tab w:val="left" w:pos="1440"/>
        </w:tabs>
        <w:ind w:firstLine="720"/>
      </w:pPr>
      <w:r w:rsidRPr="00511C97">
        <w:t>Both t</w:t>
      </w:r>
      <w:r w:rsidRPr="00511C97" w:rsidR="00AA545A">
        <w:t xml:space="preserve">he Court of Appeal </w:t>
      </w:r>
      <w:r w:rsidRPr="00511C97" w:rsidR="00F42672">
        <w:t xml:space="preserve">and </w:t>
      </w:r>
      <w:r w:rsidRPr="00511C97">
        <w:t xml:space="preserve">the </w:t>
      </w:r>
      <w:r w:rsidRPr="00511C97" w:rsidR="00AA545A">
        <w:t>parties</w:t>
      </w:r>
      <w:r w:rsidRPr="00511C97" w:rsidR="00F42672">
        <w:t xml:space="preserve"> </w:t>
      </w:r>
      <w:r w:rsidRPr="00511C97" w:rsidR="00C5417F">
        <w:t xml:space="preserve">before us </w:t>
      </w:r>
      <w:r w:rsidRPr="00511C97" w:rsidR="0024514C">
        <w:t xml:space="preserve">have </w:t>
      </w:r>
      <w:r w:rsidRPr="00511C97" w:rsidR="00AA545A">
        <w:t>address</w:t>
      </w:r>
      <w:r w:rsidRPr="00511C97" w:rsidR="0024514C">
        <w:t>ed</w:t>
      </w:r>
      <w:r w:rsidRPr="00511C97" w:rsidR="00AA545A">
        <w:t xml:space="preserve"> whether the United States Supreme Court’s </w:t>
      </w:r>
      <w:r w:rsidRPr="00511C97" w:rsidR="00AA545A">
        <w:rPr>
          <w:i/>
          <w:iCs/>
        </w:rPr>
        <w:t>Crawford</w:t>
      </w:r>
      <w:r w:rsidRPr="00511C97" w:rsidR="00AA545A">
        <w:t xml:space="preserve"> opinion impact</w:t>
      </w:r>
      <w:r w:rsidRPr="00511C97" w:rsidR="002E0713">
        <w:t>s</w:t>
      </w:r>
      <w:r w:rsidRPr="00511C97" w:rsidR="00AA545A">
        <w:t xml:space="preserve"> </w:t>
      </w:r>
      <w:r w:rsidRPr="00511C97" w:rsidR="002E0713">
        <w:t xml:space="preserve">our </w:t>
      </w:r>
      <w:r w:rsidRPr="00511C97" w:rsidR="00AA545A">
        <w:t xml:space="preserve">analysis here. </w:t>
      </w:r>
      <w:r w:rsidRPr="00511C97" w:rsidR="00DB3FF2">
        <w:t xml:space="preserve"> </w:t>
      </w:r>
      <w:r w:rsidRPr="00511C97" w:rsidR="00FE05DD">
        <w:t xml:space="preserve">As previously noted, </w:t>
      </w:r>
      <w:r w:rsidRPr="00511C97" w:rsidR="00383383">
        <w:t xml:space="preserve">in </w:t>
      </w:r>
      <w:r w:rsidRPr="00511C97" w:rsidR="00FE05DD">
        <w:rPr>
          <w:i/>
          <w:iCs/>
        </w:rPr>
        <w:t>Crawford</w:t>
      </w:r>
      <w:r w:rsidRPr="00511C97" w:rsidR="00383383">
        <w:t xml:space="preserve">, the </w:t>
      </w:r>
      <w:r w:rsidR="00913E02">
        <w:t>high court</w:t>
      </w:r>
      <w:r w:rsidRPr="00511C97" w:rsidR="00383383">
        <w:t xml:space="preserve"> </w:t>
      </w:r>
      <w:r w:rsidRPr="00511C97" w:rsidR="00FE05DD">
        <w:t xml:space="preserve">held that testimonial statements </w:t>
      </w:r>
      <w:r w:rsidRPr="00511C97" w:rsidR="0024514C">
        <w:t xml:space="preserve">by a declarant who does not appear at trial </w:t>
      </w:r>
      <w:r w:rsidRPr="00511C97" w:rsidR="00FE05DD">
        <w:t xml:space="preserve">are inadmissible </w:t>
      </w:r>
      <w:r w:rsidRPr="00511C97" w:rsidR="002434B8">
        <w:t xml:space="preserve">against the defendant </w:t>
      </w:r>
      <w:r w:rsidRPr="00511C97" w:rsidR="00FE05DD">
        <w:t xml:space="preserve">in </w:t>
      </w:r>
      <w:r w:rsidRPr="00511C97" w:rsidR="002434B8">
        <w:t xml:space="preserve">a </w:t>
      </w:r>
      <w:r w:rsidRPr="00511C97" w:rsidR="00FE05DD">
        <w:t xml:space="preserve">criminal prosecution unless the declarant is unavailable </w:t>
      </w:r>
      <w:r w:rsidRPr="00511C97" w:rsidR="002434B8">
        <w:t>as a witness</w:t>
      </w:r>
      <w:r w:rsidRPr="00511C97" w:rsidR="00FE05DD">
        <w:t xml:space="preserve"> and the defendant had a prior opportunity to cross-examin</w:t>
      </w:r>
      <w:r w:rsidRPr="00511C97" w:rsidR="005E2310">
        <w:t>e</w:t>
      </w:r>
      <w:r w:rsidRPr="00511C97" w:rsidR="00FE05DD">
        <w:t xml:space="preserve"> the declarant.  (</w:t>
      </w:r>
      <w:r w:rsidRPr="00511C97" w:rsidR="00FE05DD">
        <w:rPr>
          <w:i/>
          <w:iCs/>
        </w:rPr>
        <w:t>Crawford</w:t>
      </w:r>
      <w:r w:rsidRPr="00511C97" w:rsidR="00FE05DD">
        <w:t xml:space="preserve">, </w:t>
      </w:r>
      <w:r w:rsidRPr="00511C97" w:rsidR="00FE05DD">
        <w:rPr>
          <w:i/>
          <w:iCs/>
        </w:rPr>
        <w:t>supra</w:t>
      </w:r>
      <w:r w:rsidRPr="00511C97" w:rsidR="00FE05DD">
        <w:t xml:space="preserve">, 541 U.S. at pp. 68–69.)  </w:t>
      </w:r>
      <w:r w:rsidRPr="00511C97" w:rsidR="00CA5300">
        <w:rPr>
          <w:i/>
          <w:iCs/>
        </w:rPr>
        <w:t>Crawford</w:t>
      </w:r>
      <w:r w:rsidRPr="00511C97" w:rsidR="00CA5300">
        <w:t xml:space="preserve"> established a new framework for analyzing confrontation clause claims.  </w:t>
      </w:r>
      <w:r w:rsidRPr="00511C97" w:rsidR="00467002">
        <w:t>(</w:t>
      </w:r>
      <w:r w:rsidRPr="00511C97" w:rsidR="009014FE">
        <w:t>See</w:t>
      </w:r>
      <w:r w:rsidRPr="00511C97" w:rsidR="00F61389">
        <w:t xml:space="preserve"> </w:t>
      </w:r>
      <w:r w:rsidRPr="00511C97" w:rsidR="00467002">
        <w:rPr>
          <w:i/>
          <w:iCs/>
        </w:rPr>
        <w:t>Cage</w:t>
      </w:r>
      <w:r w:rsidRPr="00511C97" w:rsidR="00F61389">
        <w:t xml:space="preserve">, </w:t>
      </w:r>
      <w:r w:rsidRPr="00511C97" w:rsidR="00F61389">
        <w:rPr>
          <w:i/>
          <w:iCs/>
        </w:rPr>
        <w:t>supra</w:t>
      </w:r>
      <w:r w:rsidRPr="00511C97" w:rsidR="00F61389">
        <w:t xml:space="preserve">, </w:t>
      </w:r>
      <w:r w:rsidRPr="00511C97" w:rsidR="00467002">
        <w:t>40</w:t>
      </w:r>
      <w:r w:rsidRPr="00511C97" w:rsidR="001022CC">
        <w:t> </w:t>
      </w:r>
      <w:r w:rsidRPr="00511C97" w:rsidR="00467002">
        <w:t xml:space="preserve">Cal.4th </w:t>
      </w:r>
      <w:r w:rsidRPr="00511C97" w:rsidR="00F61389">
        <w:t>at p. </w:t>
      </w:r>
      <w:r w:rsidRPr="00511C97" w:rsidR="00467002">
        <w:t>969</w:t>
      </w:r>
      <w:r w:rsidRPr="00511C97" w:rsidR="00C82552">
        <w:t xml:space="preserve">.)  </w:t>
      </w:r>
      <w:r w:rsidRPr="00511C97" w:rsidR="00FE05DD">
        <w:t xml:space="preserve">Before </w:t>
      </w:r>
      <w:r w:rsidRPr="00511C97" w:rsidR="00FE05DD">
        <w:rPr>
          <w:i/>
          <w:iCs/>
        </w:rPr>
        <w:t>Crawford</w:t>
      </w:r>
      <w:r w:rsidRPr="00511C97" w:rsidR="00FE05DD">
        <w:t xml:space="preserve">, </w:t>
      </w:r>
      <w:r w:rsidRPr="00511C97" w:rsidR="00ED134D">
        <w:t xml:space="preserve">hearsay evidence was admissible if </w:t>
      </w:r>
      <w:r w:rsidRPr="00511C97" w:rsidR="007C3E70">
        <w:t>the witness was unavailable and the statements had adequate “</w:t>
      </w:r>
      <w:r w:rsidRPr="00511C97" w:rsidR="00F115B4">
        <w:t> ‘</w:t>
      </w:r>
      <w:r w:rsidRPr="00511C97" w:rsidR="007C3E70">
        <w:t>indicia of reliability,</w:t>
      </w:r>
      <w:r w:rsidRPr="00511C97" w:rsidR="00F115B4">
        <w:t>’ </w:t>
      </w:r>
      <w:r w:rsidRPr="00511C97" w:rsidR="007C3E70">
        <w:t>” i.e., they fell within a “firmly rooted hearsay exception” or bore “particularized guarantees of trustworthiness.”  (</w:t>
      </w:r>
      <w:r w:rsidRPr="00511C97" w:rsidR="007C3E70">
        <w:rPr>
          <w:i/>
          <w:iCs/>
        </w:rPr>
        <w:t>Ohio v. Roberts</w:t>
      </w:r>
      <w:r w:rsidRPr="00511C97" w:rsidR="007C3E70">
        <w:t xml:space="preserve"> (1980) 448 U.S. 56, 66, overruled </w:t>
      </w:r>
      <w:r w:rsidR="00E111C4">
        <w:t>in</w:t>
      </w:r>
      <w:r w:rsidRPr="00511C97" w:rsidR="00E111C4">
        <w:t xml:space="preserve"> </w:t>
      </w:r>
      <w:r w:rsidRPr="00511C97" w:rsidR="007C3E70">
        <w:rPr>
          <w:i/>
          <w:iCs/>
        </w:rPr>
        <w:t>Crawford</w:t>
      </w:r>
      <w:r w:rsidRPr="00511C97" w:rsidR="007C3E70">
        <w:t xml:space="preserve">, </w:t>
      </w:r>
      <w:r w:rsidRPr="00511C97" w:rsidR="001E6077">
        <w:rPr>
          <w:i/>
          <w:iCs/>
        </w:rPr>
        <w:t>supra</w:t>
      </w:r>
      <w:r w:rsidRPr="00511C97" w:rsidR="001E6077">
        <w:t xml:space="preserve">, </w:t>
      </w:r>
      <w:r w:rsidRPr="00511C97" w:rsidR="007C3E70">
        <w:t xml:space="preserve">541 U.S. 36.)  </w:t>
      </w:r>
      <w:r w:rsidRPr="00511C97" w:rsidR="00AD1271">
        <w:t xml:space="preserve">After </w:t>
      </w:r>
      <w:r w:rsidRPr="00511C97" w:rsidR="00AD1271">
        <w:rPr>
          <w:i/>
          <w:iCs/>
        </w:rPr>
        <w:t>Crawford</w:t>
      </w:r>
      <w:r w:rsidRPr="00511C97" w:rsidR="00AD1271">
        <w:t xml:space="preserve">, the focus is no longer on whether the hearsay statement bears adequate indicia of reliability, but rather on whether the statement is considered testimonial in nature under </w:t>
      </w:r>
      <w:r w:rsidRPr="00511C97" w:rsidR="00AD1271">
        <w:rPr>
          <w:i/>
          <w:iCs/>
        </w:rPr>
        <w:t>Crawford</w:t>
      </w:r>
      <w:r w:rsidRPr="00511C97" w:rsidR="00AD1271">
        <w:t xml:space="preserve"> and its progeny.  </w:t>
      </w:r>
      <w:r w:rsidRPr="00511C97" w:rsidR="00346E6E">
        <w:t>(</w:t>
      </w:r>
      <w:r w:rsidRPr="00511C97" w:rsidR="00346E6E">
        <w:rPr>
          <w:i/>
          <w:iCs/>
        </w:rPr>
        <w:t>Crawford</w:t>
      </w:r>
      <w:r w:rsidRPr="00511C97" w:rsidR="00346E6E">
        <w:t xml:space="preserve">, at pp. 68–69 [“Where testimonial statements are at issue, the only indicium of reliability sufficient to satisfy constitutional demands is the one the Constitution actually prescribes:  confrontation”]; </w:t>
      </w:r>
      <w:r w:rsidRPr="00511C97" w:rsidR="00E90CFA">
        <w:t xml:space="preserve">see </w:t>
      </w:r>
      <w:r w:rsidRPr="00511C97" w:rsidR="00E90CFA">
        <w:rPr>
          <w:i/>
          <w:iCs/>
        </w:rPr>
        <w:t>Cage</w:t>
      </w:r>
      <w:r w:rsidRPr="00511C97" w:rsidR="00E90CFA">
        <w:t>, at p. 979</w:t>
      </w:r>
      <w:r w:rsidRPr="00511C97" w:rsidR="00346E6E">
        <w:t>.)</w:t>
      </w:r>
      <w:r w:rsidRPr="00511C97" w:rsidR="00AD1271">
        <w:t xml:space="preserve">  In other words, generalized indicia of reliability cannot save a testimonial hearsay statement from being excluded under the </w:t>
      </w:r>
      <w:r w:rsidRPr="00511C97" w:rsidR="005A2B35">
        <w:t>S</w:t>
      </w:r>
      <w:r w:rsidRPr="00511C97" w:rsidR="00AD1271">
        <w:t xml:space="preserve">ixth </w:t>
      </w:r>
      <w:r w:rsidRPr="00511C97" w:rsidR="005A2B35">
        <w:t>A</w:t>
      </w:r>
      <w:r w:rsidRPr="00511C97" w:rsidR="00AD1271">
        <w:t xml:space="preserve">mendment right to confrontation.  </w:t>
      </w:r>
      <w:r w:rsidRPr="00511C97" w:rsidR="00346E6E">
        <w:t xml:space="preserve">Any such testimonial statement by a witness is inadmissible unless the witness is unavailable and the defendant had a prior opportunity to cross-examine the witness, </w:t>
      </w:r>
      <w:r w:rsidRPr="00511C97" w:rsidR="00346E6E">
        <w:rPr>
          <w:i/>
          <w:iCs/>
        </w:rPr>
        <w:t>regardless</w:t>
      </w:r>
      <w:r w:rsidRPr="00511C97" w:rsidR="00346E6E">
        <w:t xml:space="preserve"> of whether such statement is deemed reliable by the court.  </w:t>
      </w:r>
      <w:r w:rsidRPr="00511C97">
        <w:t>In sum, a reliability-based approach is no longer the touchstone of a confrontation clause analysis.  (</w:t>
      </w:r>
      <w:r w:rsidRPr="00511C97">
        <w:rPr>
          <w:i/>
          <w:iCs/>
        </w:rPr>
        <w:t>Hemphill v. New York</w:t>
      </w:r>
      <w:r w:rsidRPr="00511C97">
        <w:t xml:space="preserve"> (2022) </w:t>
      </w:r>
      <w:r w:rsidRPr="00511C97" w:rsidR="00E77F63">
        <w:t>___ U.S. ___ [</w:t>
      </w:r>
      <w:r w:rsidRPr="00511C97">
        <w:t>142 S.Ct. 681, 690</w:t>
      </w:r>
      <w:r w:rsidRPr="00511C97" w:rsidR="00E77F63">
        <w:t>]</w:t>
      </w:r>
      <w:r w:rsidRPr="00511C97">
        <w:t xml:space="preserve">.)  </w:t>
      </w:r>
    </w:p>
    <w:p w:rsidR="003E04A7" w:rsidRPr="00511C97" w:rsidP="00B31EE7" w14:paraId="548031FF" w14:textId="77777777">
      <w:pPr>
        <w:tabs>
          <w:tab w:val="left" w:pos="1440"/>
        </w:tabs>
        <w:ind w:firstLine="720"/>
      </w:pPr>
      <w:r w:rsidRPr="00511C97">
        <w:t xml:space="preserve">Although a defendant’s right to confrontation at a probation revocation hearing stems from the due process clause rather than the </w:t>
      </w:r>
      <w:r w:rsidRPr="00511C97" w:rsidR="005A2B35">
        <w:t>S</w:t>
      </w:r>
      <w:r w:rsidRPr="00511C97">
        <w:t xml:space="preserve">ixth </w:t>
      </w:r>
      <w:r w:rsidRPr="00511C97" w:rsidR="005A2B35">
        <w:t>A</w:t>
      </w:r>
      <w:r w:rsidRPr="00511C97">
        <w:t xml:space="preserve">mendment’s confrontation clause, we are not persuaded that </w:t>
      </w:r>
      <w:r w:rsidRPr="00511C97">
        <w:rPr>
          <w:i/>
          <w:iCs/>
        </w:rPr>
        <w:t>Crawford</w:t>
      </w:r>
      <w:r w:rsidRPr="00511C97">
        <w:t xml:space="preserve"> and its progeny have no relevance here.  </w:t>
      </w:r>
      <w:r w:rsidRPr="00511C97" w:rsidR="00C5417F">
        <w:rPr>
          <w:i/>
          <w:iCs/>
        </w:rPr>
        <w:t>Crawford</w:t>
      </w:r>
      <w:r w:rsidRPr="00511C97" w:rsidR="00C5417F">
        <w:t xml:space="preserve"> underscores the importance of </w:t>
      </w:r>
      <w:r w:rsidRPr="00511C97" w:rsidR="007510E4">
        <w:t>confrontation, as enshrined in the Sixth Amendment, when the People offer out-of-court testimonial statements against a defendant in a criminal trial</w:t>
      </w:r>
      <w:r w:rsidRPr="00511C97" w:rsidR="00C5417F">
        <w:t xml:space="preserve">.  At probation revocation hearings, where a defendant’s liberty interest is </w:t>
      </w:r>
      <w:r w:rsidRPr="00511C97" w:rsidR="007510E4">
        <w:t xml:space="preserve">also </w:t>
      </w:r>
      <w:r w:rsidRPr="00511C97" w:rsidR="00C5417F">
        <w:t>at stake, courts similarly should consider the importance of a defendant’s confrontation rights</w:t>
      </w:r>
      <w:r w:rsidRPr="00511C97" w:rsidR="007510E4">
        <w:t>, albeit</w:t>
      </w:r>
      <w:r w:rsidRPr="00511C97" w:rsidR="00C5417F">
        <w:t xml:space="preserve"> under the due process clause</w:t>
      </w:r>
      <w:r w:rsidRPr="00511C97" w:rsidR="007510E4">
        <w:t xml:space="preserve"> and the framework prescribed by </w:t>
      </w:r>
      <w:r w:rsidRPr="00511C97" w:rsidR="007510E4">
        <w:rPr>
          <w:i/>
          <w:iCs/>
        </w:rPr>
        <w:t>Morrissey</w:t>
      </w:r>
      <w:r w:rsidRPr="00511C97" w:rsidR="007510E4">
        <w:t xml:space="preserve"> and its progeny, including our case law</w:t>
      </w:r>
      <w:r w:rsidRPr="00511C97" w:rsidR="00C5417F">
        <w:t xml:space="preserve">.  </w:t>
      </w:r>
      <w:r w:rsidRPr="00511C97" w:rsidR="000C6D66">
        <w:t xml:space="preserve">Just as </w:t>
      </w:r>
      <w:r w:rsidRPr="00511C97" w:rsidR="00E9427F">
        <w:rPr>
          <w:i/>
          <w:iCs/>
        </w:rPr>
        <w:t>Crawford</w:t>
      </w:r>
      <w:r w:rsidRPr="00511C97" w:rsidR="00E9427F">
        <w:t xml:space="preserve"> rejected a regime premised on the perceived reliability of the hearsay evidence in question, we see no persuasive reason to regard the </w:t>
      </w:r>
      <w:r w:rsidR="00412FB6">
        <w:t xml:space="preserve">fact that </w:t>
      </w:r>
      <w:r w:rsidRPr="00511C97" w:rsidR="00E9427F">
        <w:t xml:space="preserve">testimonial hearsay </w:t>
      </w:r>
      <w:r w:rsidR="00412FB6">
        <w:t>falls</w:t>
      </w:r>
      <w:r w:rsidRPr="00511C97" w:rsidR="00E9427F">
        <w:t xml:space="preserve"> within a firmly rooted exception to the hearsay rule as the sole consideration relevant to the evidence’s admissibility in a probation revocation hearing.  </w:t>
      </w:r>
      <w:r w:rsidRPr="00511C97" w:rsidR="00C5417F">
        <w:t xml:space="preserve">When dealing with testimonial statements at a probation revocation hearing, it is appropriate to weigh the defendant’s confrontation rights against the government’s reasons for not producing the declarant.  While a defendant’s interest in confrontation may be diminished by the reliability of testimonial hearsay evidence, reliability alone does not render such evidence admissible in revocation proceedings.  We therefore decline to require trial courts to rely solely on the consideration of reliability in determining whether a defendant’s due process right to confrontation at a revocation proceeding is protected.  </w:t>
      </w:r>
    </w:p>
    <w:p w:rsidR="00FD4F29" w:rsidRPr="00511C97" w:rsidP="00B31EE7" w14:paraId="54803200" w14:textId="77777777">
      <w:pPr>
        <w:tabs>
          <w:tab w:val="left" w:pos="1440"/>
        </w:tabs>
        <w:ind w:firstLine="720"/>
      </w:pPr>
      <w:r w:rsidRPr="00511C97">
        <w:t xml:space="preserve">We emphasize that </w:t>
      </w:r>
      <w:r w:rsidR="007C48C9">
        <w:t>a</w:t>
      </w:r>
      <w:r w:rsidRPr="00511C97" w:rsidR="007C48C9">
        <w:t xml:space="preserve"> </w:t>
      </w:r>
      <w:r w:rsidRPr="00511C97">
        <w:t xml:space="preserve">defendant’s due process right to confront testimonial witnesses against him is not absolute; </w:t>
      </w:r>
      <w:r w:rsidR="007C48C9">
        <w:t>a</w:t>
      </w:r>
      <w:r w:rsidRPr="00511C97" w:rsidR="007C48C9">
        <w:t xml:space="preserve"> </w:t>
      </w:r>
      <w:r w:rsidRPr="00511C97">
        <w:t xml:space="preserve">defendant’s interests can be outweighed by the government’s substantial showing of good cause for not making </w:t>
      </w:r>
      <w:r w:rsidR="00663B90">
        <w:t>the witness</w:t>
      </w:r>
      <w:r w:rsidRPr="00511C97">
        <w:t xml:space="preserve"> available at the revocation hearing, by sufficient independent evidence corroborating the hearsay evidence, and by other indicia of reliability including the fact that the statements fall with</w:t>
      </w:r>
      <w:r w:rsidRPr="00511C97" w:rsidR="00496D37">
        <w:t>in</w:t>
      </w:r>
      <w:r w:rsidRPr="00511C97">
        <w:t xml:space="preserve"> a firmly rooted exception to the hearsay rule.  What cannot be done, however, is reducing the analysis to a single determination that hinges solely on whether a statement qualifies as a spontaneous statement under Evidence Code section 1240.</w:t>
      </w:r>
      <w:r>
        <w:rPr>
          <w:rStyle w:val="FootnoteReference"/>
        </w:rPr>
        <w:footnoteReference w:id="10"/>
      </w:r>
    </w:p>
    <w:p w:rsidR="00943E5D" w:rsidRPr="00511C97" w:rsidP="00B31EE7" w14:paraId="54803201" w14:textId="77777777">
      <w:pPr>
        <w:tabs>
          <w:tab w:val="left" w:pos="1440"/>
        </w:tabs>
        <w:ind w:firstLine="720"/>
      </w:pPr>
      <w:r w:rsidRPr="00511C97">
        <w:t xml:space="preserve">Because the Court of Appeal </w:t>
      </w:r>
      <w:r w:rsidR="00663B90">
        <w:t xml:space="preserve">in this case </w:t>
      </w:r>
      <w:r w:rsidRPr="00511C97">
        <w:t xml:space="preserve">did not evaluate whether N.S.’s statements were admissible under </w:t>
      </w:r>
      <w:r w:rsidRPr="00511C97">
        <w:rPr>
          <w:i/>
          <w:iCs/>
        </w:rPr>
        <w:t>Arreola</w:t>
      </w:r>
      <w:r w:rsidRPr="00511C97">
        <w:t>, or, if the statements should not have been admitted, whether that error was prejudicial, we remand the matter to the Court of Appeal to decide those questions in the first instance</w:t>
      </w:r>
      <w:r w:rsidRPr="00511C97" w:rsidR="00987B64">
        <w:t>.</w:t>
      </w:r>
      <w:r>
        <w:rPr>
          <w:rStyle w:val="FootnoteReference"/>
        </w:rPr>
        <w:footnoteReference w:id="11"/>
      </w:r>
    </w:p>
    <w:p w:rsidR="00090D48" w:rsidRPr="00511C97" w:rsidP="00090D48" w14:paraId="54803202" w14:textId="77777777">
      <w:pPr>
        <w:pStyle w:val="Heading1"/>
      </w:pPr>
      <w:r w:rsidRPr="00511C97">
        <w:t>III.  Conclusion</w:t>
      </w:r>
    </w:p>
    <w:p w:rsidR="00090D48" w:rsidRPr="00511C97" w:rsidP="00090D48" w14:paraId="54803203" w14:textId="77777777">
      <w:pPr>
        <w:keepNext/>
        <w:tabs>
          <w:tab w:val="left" w:pos="1440"/>
        </w:tabs>
        <w:ind w:firstLine="720"/>
      </w:pPr>
      <w:r w:rsidRPr="00511C97">
        <w:t xml:space="preserve">We reverse the judgment of the Court of Appeal and remand the matter to that court for further proceedings consistent with this opinion. </w:t>
      </w:r>
    </w:p>
    <w:p w:rsidR="00090D48" w:rsidRPr="00511C97" w:rsidP="00090D48" w14:paraId="54803204" w14:textId="77777777">
      <w:pPr>
        <w:keepNext/>
        <w:tabs>
          <w:tab w:val="left" w:pos="1440"/>
        </w:tabs>
        <w:ind w:firstLine="720"/>
      </w:pPr>
    </w:p>
    <w:p w:rsidR="00090D48" w:rsidRPr="00511C97" w:rsidP="00090D48" w14:paraId="54803205" w14:textId="51E820A4">
      <w:pPr>
        <w:keepNext/>
        <w:tabs>
          <w:tab w:val="left" w:pos="1440"/>
        </w:tabs>
        <w:ind w:firstLine="720"/>
        <w:jc w:val="right"/>
        <w:rPr>
          <w:b/>
          <w:bCs/>
          <w:caps/>
        </w:rPr>
      </w:pPr>
      <w:r w:rsidRPr="00511C97">
        <w:rPr>
          <w:b/>
          <w:bCs/>
          <w:caps/>
        </w:rPr>
        <w:t>GUERRERO, C.</w:t>
      </w:r>
      <w:r w:rsidR="00974BCC">
        <w:rPr>
          <w:b/>
          <w:bCs/>
          <w:caps/>
        </w:rPr>
        <w:t> </w:t>
      </w:r>
      <w:r w:rsidRPr="00511C97">
        <w:rPr>
          <w:b/>
          <w:bCs/>
          <w:caps/>
        </w:rPr>
        <w:t>J.</w:t>
      </w:r>
    </w:p>
    <w:p w:rsidR="00090D48" w:rsidRPr="00511C97" w:rsidP="00090D48" w14:paraId="54803206" w14:textId="77777777">
      <w:pPr>
        <w:tabs>
          <w:tab w:val="left" w:pos="1440"/>
        </w:tabs>
        <w:ind w:firstLine="720"/>
        <w:jc w:val="right"/>
        <w:rPr>
          <w:b/>
          <w:bCs/>
          <w:caps/>
        </w:rPr>
      </w:pPr>
    </w:p>
    <w:p w:rsidR="00090D48" w:rsidP="00090D48" w14:paraId="54803207" w14:textId="77777777">
      <w:pPr>
        <w:rPr>
          <w:b/>
          <w:bCs/>
        </w:rPr>
      </w:pPr>
      <w:r w:rsidRPr="00511C97">
        <w:rPr>
          <w:b/>
          <w:bCs/>
        </w:rPr>
        <w:t>We Concur:</w:t>
      </w:r>
    </w:p>
    <w:p w:rsidR="004744B1" w:rsidRPr="00077BAA" w:rsidP="004744B1" w14:paraId="54803208" w14:textId="77777777">
      <w:pPr>
        <w:spacing w:after="0" w:line="240" w:lineRule="auto"/>
        <w:rPr>
          <w:b/>
          <w:lang w:val="it-IT"/>
        </w:rPr>
      </w:pPr>
      <w:r w:rsidRPr="00077BAA">
        <w:rPr>
          <w:b/>
          <w:lang w:val="it-IT"/>
        </w:rPr>
        <w:t>CORRIGAN, J.</w:t>
      </w:r>
    </w:p>
    <w:p w:rsidR="004744B1" w:rsidP="004744B1" w14:paraId="54803209" w14:textId="77777777">
      <w:pPr>
        <w:spacing w:after="0" w:line="240" w:lineRule="auto"/>
        <w:jc w:val="left"/>
        <w:rPr>
          <w:b/>
        </w:rPr>
      </w:pPr>
      <w:r>
        <w:rPr>
          <w:b/>
        </w:rPr>
        <w:t>LIU</w:t>
      </w:r>
      <w:r w:rsidRPr="00077BAA">
        <w:rPr>
          <w:b/>
        </w:rPr>
        <w:t>, J.</w:t>
      </w:r>
    </w:p>
    <w:p w:rsidR="004744B1" w:rsidRPr="00077BAA" w:rsidP="004744B1" w14:paraId="5480320A" w14:textId="77777777">
      <w:pPr>
        <w:spacing w:after="0" w:line="240" w:lineRule="auto"/>
        <w:jc w:val="left"/>
        <w:rPr>
          <w:b/>
        </w:rPr>
      </w:pPr>
      <w:r>
        <w:rPr>
          <w:b/>
        </w:rPr>
        <w:t>KRUGER, J.</w:t>
      </w:r>
    </w:p>
    <w:p w:rsidR="004744B1" w:rsidRPr="00077BAA" w:rsidP="004744B1" w14:paraId="5480320B" w14:textId="77777777">
      <w:pPr>
        <w:spacing w:after="0" w:line="240" w:lineRule="auto"/>
        <w:jc w:val="left"/>
        <w:rPr>
          <w:b/>
          <w:lang w:val="it-IT"/>
        </w:rPr>
      </w:pPr>
      <w:r>
        <w:rPr>
          <w:b/>
          <w:lang w:val="it-IT"/>
        </w:rPr>
        <w:t>GROBAN, J.</w:t>
      </w:r>
    </w:p>
    <w:p w:rsidR="004744B1" w:rsidP="004744B1" w14:paraId="5480320C" w14:textId="77777777">
      <w:pPr>
        <w:spacing w:after="0" w:line="240" w:lineRule="auto"/>
        <w:jc w:val="left"/>
        <w:rPr>
          <w:b/>
        </w:rPr>
      </w:pPr>
      <w:r w:rsidRPr="00077BAA">
        <w:rPr>
          <w:b/>
        </w:rPr>
        <w:t>JENKINS, J.</w:t>
      </w:r>
    </w:p>
    <w:p w:rsidR="00B83961" w:rsidP="004744B1" w14:paraId="5480320D" w14:textId="77777777">
      <w:pPr>
        <w:spacing w:after="0" w:line="240" w:lineRule="auto"/>
        <w:jc w:val="left"/>
        <w:rPr>
          <w:b/>
        </w:rPr>
      </w:pPr>
      <w:r>
        <w:rPr>
          <w:b/>
        </w:rPr>
        <w:t>EVANS, J.</w:t>
      </w:r>
    </w:p>
    <w:p w:rsidR="00B41697" w:rsidP="004744B1" w14:paraId="0F77CABF" w14:textId="77777777">
      <w:pPr>
        <w:spacing w:after="0"/>
        <w:rPr>
          <w:b/>
          <w:caps/>
        </w:rPr>
        <w:sectPr w:rsidSect="00442F5D">
          <w:footerReference w:type="first" r:id="rId8"/>
          <w:pgSz w:w="12240" w:h="15840"/>
          <w:pgMar w:top="1800" w:right="2160" w:bottom="1440" w:left="2160" w:header="720" w:footer="720" w:gutter="0"/>
          <w:pgNumType w:start="1"/>
          <w:cols w:space="720"/>
          <w:titlePg/>
          <w:docGrid w:linePitch="367"/>
        </w:sectPr>
      </w:pPr>
    </w:p>
    <w:p w:rsidR="00880056" w:rsidP="00880056" w14:paraId="00A3851B" w14:textId="77777777">
      <w:pPr>
        <w:tabs>
          <w:tab w:val="left" w:pos="1440"/>
          <w:tab w:val="left" w:pos="4680"/>
          <w:tab w:val="center" w:pos="7200"/>
        </w:tabs>
        <w:jc w:val="center"/>
      </w:pPr>
      <w:r>
        <w:t>PEOPLE v. GRAY</w:t>
      </w:r>
    </w:p>
    <w:p w:rsidR="00880056" w:rsidP="00880056" w14:paraId="1C36202C" w14:textId="77777777">
      <w:pPr>
        <w:tabs>
          <w:tab w:val="left" w:pos="1440"/>
          <w:tab w:val="left" w:pos="4680"/>
          <w:tab w:val="center" w:pos="7200"/>
        </w:tabs>
        <w:jc w:val="center"/>
      </w:pPr>
      <w:r>
        <w:t>S269237</w:t>
      </w:r>
    </w:p>
    <w:p w:rsidR="00880056" w:rsidP="00880056" w14:paraId="637CF6C6" w14:textId="77777777">
      <w:pPr>
        <w:jc w:val="center"/>
      </w:pPr>
    </w:p>
    <w:p w:rsidR="00880056" w:rsidP="00880056" w14:paraId="4C13F783" w14:textId="77777777">
      <w:pPr>
        <w:jc w:val="center"/>
      </w:pPr>
      <w:r>
        <w:t>Concurring Opinion by Justice Groban</w:t>
      </w:r>
    </w:p>
    <w:p w:rsidR="00880056" w:rsidP="00880056" w14:paraId="350B3C33" w14:textId="77777777">
      <w:pPr>
        <w:jc w:val="left"/>
      </w:pPr>
    </w:p>
    <w:p w:rsidR="00880056" w:rsidP="00880056" w14:paraId="0B1141AE" w14:textId="77777777">
      <w:pPr>
        <w:tabs>
          <w:tab w:val="left" w:pos="1440"/>
        </w:tabs>
        <w:ind w:firstLine="720"/>
        <w:rPr>
          <w:szCs w:val="27"/>
        </w:rPr>
      </w:pPr>
      <w:bookmarkStart w:id="9" w:name="mainstory"/>
      <w:bookmarkEnd w:id="9"/>
      <w:r>
        <w:rPr>
          <w:szCs w:val="27"/>
        </w:rPr>
        <w:t xml:space="preserve">At a probation revocation proceeding, a trial court must weigh the probationer’s interest in confrontation against the government’s good cause for not producing a witness.  (See generally maj. opn., </w:t>
      </w:r>
      <w:r w:rsidRPr="003513A7">
        <w:rPr>
          <w:i/>
          <w:iCs/>
          <w:szCs w:val="27"/>
        </w:rPr>
        <w:t>ante</w:t>
      </w:r>
      <w:r>
        <w:rPr>
          <w:szCs w:val="27"/>
        </w:rPr>
        <w:t xml:space="preserve">, </w:t>
      </w:r>
      <w:r w:rsidRPr="003513A7">
        <w:rPr>
          <w:szCs w:val="27"/>
        </w:rPr>
        <w:t>at</w:t>
      </w:r>
      <w:r>
        <w:rPr>
          <w:szCs w:val="27"/>
        </w:rPr>
        <w:t xml:space="preserve"> pp. 5</w:t>
      </w:r>
      <w:r>
        <w:t>–12; see also</w:t>
      </w:r>
      <w:r>
        <w:rPr>
          <w:szCs w:val="27"/>
        </w:rPr>
        <w:t xml:space="preserve"> </w:t>
      </w:r>
      <w:r>
        <w:rPr>
          <w:i/>
          <w:iCs/>
        </w:rPr>
        <w:t xml:space="preserve">People v. Arreola </w:t>
      </w:r>
      <w:r>
        <w:t>(1994) 7 Cal.4th 1144, 1159–1160 (</w:t>
      </w:r>
      <w:r w:rsidRPr="00F72007">
        <w:rPr>
          <w:i/>
          <w:iCs/>
        </w:rPr>
        <w:t>Arreola</w:t>
      </w:r>
      <w:r>
        <w:t>)</w:t>
      </w:r>
      <w:r>
        <w:rPr>
          <w:szCs w:val="27"/>
        </w:rPr>
        <w:t>.)</w:t>
      </w:r>
      <w:r>
        <w:t xml:space="preserve">  </w:t>
      </w:r>
      <w:r>
        <w:rPr>
          <w:szCs w:val="27"/>
        </w:rPr>
        <w:t xml:space="preserve">I write separately to emphasize that, as part of this balancing test set forth in </w:t>
      </w:r>
      <w:r>
        <w:rPr>
          <w:i/>
          <w:iCs/>
          <w:szCs w:val="27"/>
        </w:rPr>
        <w:t>Arreola</w:t>
      </w:r>
      <w:r>
        <w:t xml:space="preserve">, </w:t>
      </w:r>
      <w:r>
        <w:rPr>
          <w:szCs w:val="27"/>
        </w:rPr>
        <w:t xml:space="preserve">the potential for emotional or mental harm to the witness can be a relevant factor bearing on the state’s demonstration of good cause.  </w:t>
      </w:r>
      <w:r>
        <w:rPr>
          <w:i/>
          <w:iCs/>
          <w:szCs w:val="27"/>
        </w:rPr>
        <w:t>Arreola</w:t>
      </w:r>
      <w:r>
        <w:rPr>
          <w:szCs w:val="27"/>
        </w:rPr>
        <w:t xml:space="preserve"> specifically provides that </w:t>
      </w:r>
      <w:r>
        <w:t xml:space="preserve">“[t]he broad standard of </w:t>
      </w:r>
      <w:r>
        <w:rPr>
          <w:szCs w:val="27"/>
        </w:rPr>
        <w:t>[]</w:t>
      </w:r>
      <w:r>
        <w:t xml:space="preserve">‘good cause’ is met . . . when the </w:t>
      </w:r>
      <w:bookmarkStart w:id="10" w:name="_Hlk140044449"/>
      <w:r>
        <w:t xml:space="preserve">declarant’s presence would pose </w:t>
      </w:r>
      <w:bookmarkEnd w:id="10"/>
      <w:r>
        <w:t xml:space="preserve">a risk of harm (including, in appropriate circumstances, </w:t>
      </w:r>
      <w:r w:rsidRPr="00650E95">
        <w:rPr>
          <w:i/>
          <w:iCs/>
        </w:rPr>
        <w:t>mental or emotional harm</w:t>
      </w:r>
      <w:r>
        <w:t>) to the declarant.”  (</w:t>
      </w:r>
      <w:r>
        <w:rPr>
          <w:i/>
          <w:iCs/>
        </w:rPr>
        <w:t>Arreola</w:t>
      </w:r>
      <w:r>
        <w:t xml:space="preserve">, at pp. 1159–1160, italics added, citing </w:t>
      </w:r>
      <w:r w:rsidRPr="00650E95">
        <w:t>Cohen et al., The Law of Probation and Parole (1983 ed.) § 9.32, pp.</w:t>
      </w:r>
      <w:r>
        <w:t> </w:t>
      </w:r>
      <w:r w:rsidRPr="00650E95">
        <w:t>466</w:t>
      </w:r>
      <w:r>
        <w:t>–</w:t>
      </w:r>
      <w:r w:rsidRPr="00650E95">
        <w:t>467</w:t>
      </w:r>
      <w:r>
        <w:t xml:space="preserve">; see </w:t>
      </w:r>
      <w:r>
        <w:rPr>
          <w:szCs w:val="27"/>
        </w:rPr>
        <w:t>Cohen, at p. 467</w:t>
      </w:r>
      <w:r>
        <w:t xml:space="preserve"> [noting that “the term </w:t>
      </w:r>
      <w:r>
        <w:rPr>
          <w:szCs w:val="27"/>
        </w:rPr>
        <w:t xml:space="preserve">‘harm’ ” includes not only physical harm, but may include “mental harm, such as emotional trauma to a rape victim”].)  </w:t>
      </w:r>
    </w:p>
    <w:p w:rsidR="00880056" w:rsidP="00880056" w14:paraId="301158D3" w14:textId="77777777">
      <w:pPr>
        <w:tabs>
          <w:tab w:val="left" w:pos="1440"/>
        </w:tabs>
        <w:ind w:firstLine="720"/>
        <w:rPr>
          <w:szCs w:val="27"/>
        </w:rPr>
      </w:pPr>
      <w:r w:rsidRPr="00BB2819">
        <w:rPr>
          <w:szCs w:val="27"/>
        </w:rPr>
        <w:t xml:space="preserve">Here, the People sought to revoke </w:t>
      </w:r>
      <w:r>
        <w:rPr>
          <w:szCs w:val="27"/>
        </w:rPr>
        <w:t>defendant Dontrae Renay Gray’s</w:t>
      </w:r>
      <w:r w:rsidRPr="00BB2819">
        <w:rPr>
          <w:szCs w:val="27"/>
        </w:rPr>
        <w:t xml:space="preserve"> probation based, in part, on an allegation that he inflicted corporal injury upon a person in a dating relationship.  </w:t>
      </w:r>
      <w:r>
        <w:rPr>
          <w:szCs w:val="27"/>
        </w:rPr>
        <w:t xml:space="preserve">(See maj. opn., </w:t>
      </w:r>
      <w:r w:rsidRPr="003513A7">
        <w:rPr>
          <w:i/>
          <w:iCs/>
          <w:szCs w:val="27"/>
        </w:rPr>
        <w:t>ante</w:t>
      </w:r>
      <w:r>
        <w:rPr>
          <w:szCs w:val="27"/>
        </w:rPr>
        <w:t xml:space="preserve">, </w:t>
      </w:r>
      <w:r w:rsidRPr="003513A7">
        <w:rPr>
          <w:szCs w:val="27"/>
        </w:rPr>
        <w:t>at</w:t>
      </w:r>
      <w:r>
        <w:rPr>
          <w:szCs w:val="27"/>
        </w:rPr>
        <w:t xml:space="preserve"> p. 3.)  </w:t>
      </w:r>
      <w:r w:rsidRPr="00BB2819">
        <w:rPr>
          <w:szCs w:val="27"/>
        </w:rPr>
        <w:t xml:space="preserve">I express no view </w:t>
      </w:r>
      <w:r>
        <w:rPr>
          <w:szCs w:val="27"/>
        </w:rPr>
        <w:t>regarding</w:t>
      </w:r>
      <w:r w:rsidRPr="00BB2819">
        <w:rPr>
          <w:szCs w:val="27"/>
        </w:rPr>
        <w:t xml:space="preserve"> the factual record underlying that allegation, nor do I have an opinion as to whether good cause</w:t>
      </w:r>
      <w:r>
        <w:rPr>
          <w:szCs w:val="27"/>
        </w:rPr>
        <w:t xml:space="preserve"> can be established</w:t>
      </w:r>
      <w:r w:rsidRPr="00BB2819">
        <w:rPr>
          <w:szCs w:val="27"/>
        </w:rPr>
        <w:t xml:space="preserve"> on remand.  </w:t>
      </w:r>
      <w:r>
        <w:rPr>
          <w:szCs w:val="27"/>
        </w:rPr>
        <w:t>I note simply that, as a general matter, although not all alleged victims of domestic violence are similarly situated, there are often unique challenges</w:t>
      </w:r>
      <w:r w:rsidRPr="00BB2819">
        <w:rPr>
          <w:szCs w:val="27"/>
        </w:rPr>
        <w:t xml:space="preserve"> </w:t>
      </w:r>
      <w:r>
        <w:rPr>
          <w:szCs w:val="27"/>
        </w:rPr>
        <w:t>associated with</w:t>
      </w:r>
      <w:r w:rsidRPr="00BB2819">
        <w:rPr>
          <w:szCs w:val="27"/>
        </w:rPr>
        <w:t xml:space="preserve"> procuring </w:t>
      </w:r>
      <w:r>
        <w:rPr>
          <w:szCs w:val="27"/>
        </w:rPr>
        <w:t>victim</w:t>
      </w:r>
      <w:r w:rsidRPr="00BB2819">
        <w:rPr>
          <w:szCs w:val="27"/>
        </w:rPr>
        <w:t xml:space="preserve"> testimony in domestic violence</w:t>
      </w:r>
      <w:r>
        <w:rPr>
          <w:szCs w:val="27"/>
        </w:rPr>
        <w:t xml:space="preserve"> cases</w:t>
      </w:r>
      <w:r w:rsidRPr="00BB2819">
        <w:rPr>
          <w:szCs w:val="27"/>
        </w:rPr>
        <w:t xml:space="preserve">.  (See Lininger, </w:t>
      </w:r>
      <w:r w:rsidRPr="00BB2819">
        <w:rPr>
          <w:i/>
          <w:iCs/>
          <w:szCs w:val="27"/>
        </w:rPr>
        <w:t>Prosecuting Batterers After Crawford</w:t>
      </w:r>
      <w:r w:rsidRPr="00BB2819">
        <w:rPr>
          <w:szCs w:val="27"/>
        </w:rPr>
        <w:t xml:space="preserve"> (2005) 91 Va. L.Rev. 747, 768 [“Victims of domestic violence are more prone than other crime victims to recant or refuse to cooperate after initially providing information to police.  Recent evidence suggests that 80 to 85 percent of battered women will recant at some point”]; Beloof &amp; Shapiro, </w:t>
      </w:r>
      <w:r w:rsidRPr="00BB2819">
        <w:rPr>
          <w:i/>
          <w:iCs/>
          <w:szCs w:val="27"/>
        </w:rPr>
        <w:t>Let the Truth Be Told: Proposed Hearsay Exceptions to Admit Domestic Violence Victims’ Out of Court Statements As Substantive Evidence</w:t>
      </w:r>
      <w:r w:rsidRPr="00BB2819">
        <w:rPr>
          <w:szCs w:val="27"/>
        </w:rPr>
        <w:t xml:space="preserve"> (2002) 11 Colum. J. Gender &amp; L. 1, 3 [“Non-cooperation by recantation or failure to appear at trial is an epidemic in domestic violence cases”]; </w:t>
      </w:r>
      <w:r w:rsidRPr="00BB2819">
        <w:rPr>
          <w:i/>
          <w:iCs/>
          <w:szCs w:val="27"/>
        </w:rPr>
        <w:t xml:space="preserve">People v. Brown </w:t>
      </w:r>
      <w:r w:rsidRPr="00BB2819">
        <w:rPr>
          <w:szCs w:val="27"/>
        </w:rPr>
        <w:t>(2004) 33 Cal.4th 892, 899</w:t>
      </w:r>
      <w:r>
        <w:rPr>
          <w:szCs w:val="27"/>
        </w:rPr>
        <w:t xml:space="preserve"> (</w:t>
      </w:r>
      <w:r>
        <w:rPr>
          <w:i/>
          <w:iCs/>
          <w:szCs w:val="27"/>
        </w:rPr>
        <w:t>Brown</w:t>
      </w:r>
      <w:r>
        <w:rPr>
          <w:szCs w:val="27"/>
        </w:rPr>
        <w:t>)</w:t>
      </w:r>
      <w:r w:rsidRPr="00BB2819">
        <w:rPr>
          <w:szCs w:val="27"/>
        </w:rPr>
        <w:t xml:space="preserve"> [describing the </w:t>
      </w:r>
      <w:r>
        <w:rPr>
          <w:szCs w:val="27"/>
        </w:rPr>
        <w:t>complications</w:t>
      </w:r>
      <w:r w:rsidRPr="00BB2819">
        <w:rPr>
          <w:szCs w:val="27"/>
        </w:rPr>
        <w:t xml:space="preserve"> presented in domestic violence cases, including “ ‘victims who refuse to testify, who recant previous statements, or whose credibility is attacked by defense questions on why they remained in a battering relationship’ ”]</w:t>
      </w:r>
      <w:r>
        <w:rPr>
          <w:szCs w:val="27"/>
        </w:rPr>
        <w:t xml:space="preserve">; see also Katirai, </w:t>
      </w:r>
      <w:r>
        <w:rPr>
          <w:i/>
          <w:iCs/>
          <w:szCs w:val="27"/>
        </w:rPr>
        <w:t>Retraumatized in Court</w:t>
      </w:r>
      <w:r>
        <w:rPr>
          <w:szCs w:val="27"/>
        </w:rPr>
        <w:t xml:space="preserve"> (2020) 62 Ariz. L.Rev. 81, 97 [“[C]ourts still report that many survivors do not appear for criminal hearings or refuse to cooperate with prosecutors”]</w:t>
      </w:r>
      <w:r w:rsidRPr="00BB2819">
        <w:rPr>
          <w:szCs w:val="27"/>
        </w:rPr>
        <w:t xml:space="preserve">.)  </w:t>
      </w:r>
    </w:p>
    <w:p w:rsidR="00880056" w:rsidP="00880056" w14:paraId="24895B5D" w14:textId="77777777">
      <w:pPr>
        <w:tabs>
          <w:tab w:val="left" w:pos="1440"/>
        </w:tabs>
        <w:ind w:firstLine="720"/>
        <w:rPr>
          <w:szCs w:val="27"/>
        </w:rPr>
      </w:pPr>
      <w:r>
        <w:rPr>
          <w:szCs w:val="27"/>
        </w:rPr>
        <w:t xml:space="preserve">Domestic violence victims, by testifying, may be facilitating their partner or family member’s incarceration.  This, for some, may prove emotionally or mentally harmful.  (See </w:t>
      </w:r>
      <w:r>
        <w:rPr>
          <w:i/>
          <w:iCs/>
          <w:szCs w:val="27"/>
        </w:rPr>
        <w:t>Brown, supra</w:t>
      </w:r>
      <w:r>
        <w:rPr>
          <w:szCs w:val="27"/>
        </w:rPr>
        <w:t>, 33 Cal.4th</w:t>
      </w:r>
      <w:r>
        <w:rPr>
          <w:i/>
          <w:iCs/>
          <w:szCs w:val="27"/>
        </w:rPr>
        <w:t xml:space="preserve"> </w:t>
      </w:r>
      <w:r>
        <w:rPr>
          <w:szCs w:val="27"/>
        </w:rPr>
        <w:t>at p. 899 [“ ‘</w:t>
      </w:r>
      <w:r w:rsidRPr="00AD4970">
        <w:rPr>
          <w:szCs w:val="27"/>
        </w:rPr>
        <w:t xml:space="preserve">A fundamental difference between family violence and other forms of violence (such as street violence) is that family violence occurs within ongoing relationships that are expected to be protective, supportive, and nurturing. </w:t>
      </w:r>
      <w:r>
        <w:rPr>
          <w:szCs w:val="27"/>
        </w:rPr>
        <w:t xml:space="preserve"> </w:t>
      </w:r>
      <w:r w:rsidRPr="00AD4970">
        <w:rPr>
          <w:szCs w:val="27"/>
        </w:rPr>
        <w:t>The ties between victim and victimizer often are the strongest emotional bonds, and victims frequently feel a sense of loyalty to their abusers</w:t>
      </w:r>
      <w:r>
        <w:rPr>
          <w:szCs w:val="27"/>
        </w:rPr>
        <w:t>’ ”].)  Our prior case law and today’s decision make clear that, “in appropriate circumstances” (</w:t>
      </w:r>
      <w:r w:rsidRPr="00EA2A7A">
        <w:rPr>
          <w:i/>
          <w:iCs/>
          <w:szCs w:val="27"/>
        </w:rPr>
        <w:t>Arreola</w:t>
      </w:r>
      <w:r>
        <w:rPr>
          <w:szCs w:val="27"/>
        </w:rPr>
        <w:t xml:space="preserve">, </w:t>
      </w:r>
      <w:r w:rsidRPr="003513A7">
        <w:rPr>
          <w:i/>
          <w:iCs/>
          <w:szCs w:val="27"/>
        </w:rPr>
        <w:t>supra</w:t>
      </w:r>
      <w:r>
        <w:rPr>
          <w:szCs w:val="27"/>
        </w:rPr>
        <w:t xml:space="preserve">, 7 Cal.4th </w:t>
      </w:r>
      <w:r w:rsidRPr="003513A7">
        <w:rPr>
          <w:szCs w:val="27"/>
        </w:rPr>
        <w:t>at</w:t>
      </w:r>
      <w:r>
        <w:rPr>
          <w:szCs w:val="27"/>
        </w:rPr>
        <w:t xml:space="preserve"> p. 1160), trial courts may consider the potential emotional and mental harm that alleged victims may suffer if they are compelled to testify.  </w:t>
      </w:r>
    </w:p>
    <w:p w:rsidR="00880056" w:rsidRPr="00BB2819" w:rsidP="00880056" w14:paraId="4482C7EA" w14:textId="77777777">
      <w:pPr>
        <w:tabs>
          <w:tab w:val="left" w:pos="1440"/>
        </w:tabs>
        <w:ind w:firstLine="720"/>
        <w:rPr>
          <w:szCs w:val="27"/>
        </w:rPr>
      </w:pPr>
    </w:p>
    <w:p w:rsidR="00880056" w:rsidRPr="00FF6D04" w:rsidP="00880056" w14:paraId="683C40A2" w14:textId="77777777">
      <w:pPr>
        <w:tabs>
          <w:tab w:val="left" w:pos="1440"/>
        </w:tabs>
        <w:ind w:firstLine="720"/>
        <w:rPr>
          <w:b/>
          <w:bCs/>
          <w:szCs w:val="27"/>
        </w:rPr>
      </w:pPr>
      <w:r w:rsidRPr="00FF6D04">
        <w:rPr>
          <w:szCs w:val="27"/>
        </w:rPr>
        <w:tab/>
      </w:r>
      <w:r w:rsidRPr="00FF6D04">
        <w:rPr>
          <w:szCs w:val="27"/>
        </w:rPr>
        <w:tab/>
      </w:r>
      <w:r w:rsidRPr="00FF6D04">
        <w:rPr>
          <w:szCs w:val="27"/>
        </w:rPr>
        <w:tab/>
      </w:r>
      <w:r w:rsidRPr="00FF6D04">
        <w:rPr>
          <w:szCs w:val="27"/>
        </w:rPr>
        <w:tab/>
      </w:r>
      <w:r w:rsidRPr="00FF6D04">
        <w:rPr>
          <w:szCs w:val="27"/>
        </w:rPr>
        <w:tab/>
      </w:r>
      <w:r w:rsidRPr="00FF6D04">
        <w:rPr>
          <w:szCs w:val="27"/>
        </w:rPr>
        <w:tab/>
      </w:r>
      <w:r w:rsidRPr="00FF6D04">
        <w:rPr>
          <w:b/>
          <w:bCs/>
          <w:szCs w:val="27"/>
        </w:rPr>
        <w:t>GROBAN, J.</w:t>
      </w:r>
    </w:p>
    <w:p w:rsidR="00880056" w:rsidRPr="00FF6D04" w:rsidP="00880056" w14:paraId="6A8884E1" w14:textId="77777777">
      <w:pPr>
        <w:pStyle w:val="BodyText"/>
        <w:rPr>
          <w:b/>
          <w:bCs/>
          <w:szCs w:val="27"/>
        </w:rPr>
      </w:pPr>
      <w:r w:rsidRPr="00C754EA">
        <w:rPr>
          <w:szCs w:val="27"/>
          <w:bdr w:val="none" w:sz="0" w:space="0" w:color="auto" w:frame="1"/>
        </w:rPr>
        <w:t xml:space="preserve"> </w:t>
      </w:r>
    </w:p>
    <w:p w:rsidR="00A00A8E" w:rsidP="004744B1" w14:paraId="5E6428B5" w14:textId="77777777">
      <w:pPr>
        <w:spacing w:after="0"/>
        <w:rPr>
          <w:b/>
          <w:caps/>
        </w:rPr>
        <w:sectPr w:rsidSect="00880056">
          <w:headerReference w:type="default" r:id="rId9"/>
          <w:footerReference w:type="default" r:id="rId10"/>
          <w:footerReference w:type="first" r:id="rId11"/>
          <w:footnotePr>
            <w:numRestart w:val="eachSect"/>
          </w:footnotePr>
          <w:pgSz w:w="12240" w:h="15840" w:code="1"/>
          <w:pgMar w:top="1800" w:right="2160" w:bottom="1440" w:left="2160" w:header="720" w:footer="720" w:gutter="0"/>
          <w:pgNumType w:start="1"/>
          <w:cols w:space="720"/>
          <w:titlePg/>
        </w:sectPr>
      </w:pPr>
    </w:p>
    <w:p w:rsidR="00F32CAA" w:rsidRPr="00F32CAA" w:rsidP="00F32CAA" w14:paraId="212142DB" w14:textId="77777777">
      <w:pPr>
        <w:spacing w:after="0" w:line="240" w:lineRule="auto"/>
        <w:jc w:val="left"/>
        <w:rPr>
          <w:i/>
          <w:sz w:val="24"/>
          <w:szCs w:val="24"/>
        </w:rPr>
      </w:pPr>
      <w:r w:rsidRPr="00F32CAA">
        <w:rPr>
          <w:i/>
          <w:sz w:val="24"/>
          <w:szCs w:val="24"/>
        </w:rPr>
        <w:t>See next page for addresses and telephone numbers for counsel who argued in Supreme Court.</w:t>
      </w:r>
    </w:p>
    <w:p w:rsidR="00F32CAA" w:rsidRPr="00F32CAA" w:rsidP="00F32CAA" w14:paraId="140E8628" w14:textId="77777777">
      <w:pPr>
        <w:spacing w:after="0" w:line="240" w:lineRule="auto"/>
        <w:jc w:val="left"/>
        <w:rPr>
          <w:i/>
          <w:sz w:val="24"/>
          <w:szCs w:val="24"/>
        </w:rPr>
      </w:pPr>
    </w:p>
    <w:p w:rsidR="00F32CAA" w:rsidRPr="00F32CAA" w:rsidP="00F32CAA" w14:paraId="0C3D61A9" w14:textId="77777777">
      <w:pPr>
        <w:spacing w:after="0" w:line="240" w:lineRule="auto"/>
        <w:jc w:val="left"/>
        <w:rPr>
          <w:bCs/>
          <w:sz w:val="24"/>
          <w:szCs w:val="24"/>
        </w:rPr>
      </w:pPr>
      <w:r w:rsidRPr="00F32CAA">
        <w:rPr>
          <w:b/>
          <w:sz w:val="24"/>
          <w:szCs w:val="24"/>
        </w:rPr>
        <w:t xml:space="preserve">Name of Opinion  </w:t>
      </w:r>
      <w:r w:rsidRPr="00F32CAA">
        <w:rPr>
          <w:bCs/>
          <w:sz w:val="24"/>
          <w:szCs w:val="24"/>
        </w:rPr>
        <w:t>People v. Gray</w:t>
      </w:r>
    </w:p>
    <w:p w:rsidR="00F32CAA" w:rsidRPr="00F32CAA" w:rsidP="00F32CAA" w14:paraId="29D83B8E" w14:textId="77777777">
      <w:pPr>
        <w:spacing w:after="0" w:line="240" w:lineRule="auto"/>
        <w:jc w:val="left"/>
        <w:rPr>
          <w:b/>
          <w:sz w:val="24"/>
          <w:szCs w:val="24"/>
        </w:rPr>
      </w:pPr>
      <w:r w:rsidRPr="00F32CAA">
        <w:rPr>
          <w:b/>
          <w:sz w:val="24"/>
          <w:szCs w:val="24"/>
        </w:rPr>
        <w:t xml:space="preserve">__________________________________________________________ </w:t>
      </w:r>
    </w:p>
    <w:p w:rsidR="00F32CAA" w:rsidRPr="00F32CAA" w:rsidP="00F32CAA" w14:paraId="67718209" w14:textId="77777777">
      <w:pPr>
        <w:spacing w:after="0" w:line="240" w:lineRule="auto"/>
        <w:jc w:val="left"/>
        <w:rPr>
          <w:b/>
          <w:sz w:val="24"/>
          <w:szCs w:val="24"/>
        </w:rPr>
      </w:pPr>
    </w:p>
    <w:p w:rsidR="00F32CAA" w:rsidRPr="00F32CAA" w:rsidP="00F32CAA" w14:paraId="0896901B" w14:textId="77777777">
      <w:pPr>
        <w:spacing w:after="0" w:line="240" w:lineRule="auto"/>
        <w:jc w:val="left"/>
        <w:rPr>
          <w:sz w:val="24"/>
          <w:szCs w:val="24"/>
        </w:rPr>
      </w:pPr>
      <w:r w:rsidRPr="00F32CAA">
        <w:rPr>
          <w:b/>
          <w:bCs/>
          <w:sz w:val="24"/>
          <w:szCs w:val="24"/>
          <w:u w:val="single"/>
        </w:rPr>
        <w:t>Procedural Posture</w:t>
      </w:r>
      <w:r w:rsidRPr="00F32CAA">
        <w:rPr>
          <w:b/>
          <w:bCs/>
          <w:sz w:val="24"/>
          <w:szCs w:val="24"/>
        </w:rPr>
        <w:t xml:space="preserve"> </w:t>
      </w:r>
      <w:r w:rsidRPr="00F32CAA">
        <w:rPr>
          <w:sz w:val="24"/>
          <w:szCs w:val="24"/>
        </w:rPr>
        <w:t>(see XX below)</w:t>
      </w:r>
    </w:p>
    <w:p w:rsidR="00F32CAA" w:rsidRPr="00F32CAA" w:rsidP="00F32CAA" w14:paraId="13230074" w14:textId="77777777">
      <w:pPr>
        <w:spacing w:after="0" w:line="240" w:lineRule="auto"/>
        <w:jc w:val="left"/>
        <w:rPr>
          <w:sz w:val="24"/>
          <w:szCs w:val="24"/>
        </w:rPr>
      </w:pPr>
      <w:r w:rsidRPr="00F32CAA">
        <w:rPr>
          <w:b/>
          <w:bCs/>
          <w:sz w:val="24"/>
          <w:szCs w:val="24"/>
        </w:rPr>
        <w:t>Original Appeal</w:t>
      </w:r>
      <w:r w:rsidRPr="00F32CAA">
        <w:rPr>
          <w:sz w:val="24"/>
          <w:szCs w:val="24"/>
        </w:rPr>
        <w:t xml:space="preserve"> </w:t>
      </w:r>
    </w:p>
    <w:p w:rsidR="00F32CAA" w:rsidRPr="00F32CAA" w:rsidP="00F32CAA" w14:paraId="40D50ECC" w14:textId="77777777">
      <w:pPr>
        <w:spacing w:after="0" w:line="240" w:lineRule="auto"/>
        <w:jc w:val="left"/>
        <w:rPr>
          <w:b/>
          <w:bCs/>
          <w:sz w:val="24"/>
          <w:szCs w:val="24"/>
        </w:rPr>
      </w:pPr>
      <w:r w:rsidRPr="00F32CAA">
        <w:rPr>
          <w:b/>
          <w:bCs/>
          <w:sz w:val="24"/>
          <w:szCs w:val="24"/>
        </w:rPr>
        <w:t>Original Proceeding</w:t>
      </w:r>
    </w:p>
    <w:p w:rsidR="00F32CAA" w:rsidRPr="00F32CAA" w:rsidP="00F32CAA" w14:paraId="48A58BD7" w14:textId="77777777">
      <w:pPr>
        <w:spacing w:after="0" w:line="240" w:lineRule="auto"/>
        <w:jc w:val="left"/>
        <w:rPr>
          <w:sz w:val="24"/>
          <w:szCs w:val="24"/>
        </w:rPr>
      </w:pPr>
      <w:r w:rsidRPr="00F32CAA">
        <w:rPr>
          <w:b/>
          <w:bCs/>
          <w:sz w:val="24"/>
          <w:szCs w:val="24"/>
        </w:rPr>
        <w:t>Review Granted</w:t>
      </w:r>
      <w:r w:rsidRPr="00F32CAA">
        <w:rPr>
          <w:sz w:val="24"/>
          <w:szCs w:val="24"/>
        </w:rPr>
        <w:t xml:space="preserve"> </w:t>
      </w:r>
      <w:r w:rsidRPr="00F32CAA">
        <w:rPr>
          <w:b/>
          <w:bCs/>
          <w:sz w:val="24"/>
          <w:szCs w:val="24"/>
        </w:rPr>
        <w:t xml:space="preserve">(published) </w:t>
      </w:r>
      <w:r w:rsidRPr="00F32CAA">
        <w:rPr>
          <w:sz w:val="24"/>
          <w:szCs w:val="24"/>
        </w:rPr>
        <w:t>XX 63 Cal.App.5th 947</w:t>
      </w:r>
    </w:p>
    <w:p w:rsidR="00F32CAA" w:rsidRPr="00F32CAA" w:rsidP="00F32CAA" w14:paraId="11F287E2" w14:textId="77777777">
      <w:pPr>
        <w:spacing w:after="0" w:line="240" w:lineRule="auto"/>
        <w:jc w:val="left"/>
        <w:rPr>
          <w:sz w:val="24"/>
          <w:szCs w:val="24"/>
        </w:rPr>
      </w:pPr>
      <w:r w:rsidRPr="00F32CAA">
        <w:rPr>
          <w:b/>
          <w:bCs/>
          <w:sz w:val="24"/>
          <w:szCs w:val="24"/>
        </w:rPr>
        <w:t xml:space="preserve">Review Granted (unpublished) </w:t>
      </w:r>
    </w:p>
    <w:p w:rsidR="00F32CAA" w:rsidRPr="00F32CAA" w:rsidP="00F32CAA" w14:paraId="2053953D" w14:textId="77777777">
      <w:pPr>
        <w:spacing w:after="0" w:line="240" w:lineRule="auto"/>
        <w:jc w:val="left"/>
        <w:rPr>
          <w:b/>
          <w:bCs/>
          <w:sz w:val="24"/>
          <w:szCs w:val="24"/>
        </w:rPr>
      </w:pPr>
      <w:r w:rsidRPr="00F32CAA">
        <w:rPr>
          <w:b/>
          <w:bCs/>
          <w:sz w:val="24"/>
          <w:szCs w:val="24"/>
        </w:rPr>
        <w:t>Rehearing Granted</w:t>
      </w:r>
    </w:p>
    <w:p w:rsidR="00F32CAA" w:rsidRPr="00F32CAA" w:rsidP="00F32CAA" w14:paraId="4190F81D" w14:textId="77777777">
      <w:pPr>
        <w:spacing w:after="0" w:line="240" w:lineRule="auto"/>
        <w:jc w:val="left"/>
        <w:rPr>
          <w:b/>
          <w:sz w:val="24"/>
          <w:szCs w:val="24"/>
        </w:rPr>
      </w:pPr>
      <w:r w:rsidRPr="00F32CAA">
        <w:rPr>
          <w:b/>
          <w:sz w:val="24"/>
          <w:szCs w:val="24"/>
        </w:rPr>
        <w:t xml:space="preserve">__________________________________________________________ </w:t>
      </w:r>
    </w:p>
    <w:p w:rsidR="00F32CAA" w:rsidRPr="00F32CAA" w:rsidP="00F32CAA" w14:paraId="718B37CA" w14:textId="77777777">
      <w:pPr>
        <w:spacing w:after="0" w:line="240" w:lineRule="auto"/>
        <w:jc w:val="left"/>
        <w:rPr>
          <w:b/>
          <w:sz w:val="24"/>
          <w:szCs w:val="24"/>
        </w:rPr>
      </w:pPr>
    </w:p>
    <w:p w:rsidR="00F32CAA" w:rsidRPr="00F32CAA" w:rsidP="00F32CAA" w14:paraId="04E836A0" w14:textId="77777777">
      <w:pPr>
        <w:spacing w:after="0" w:line="240" w:lineRule="auto"/>
        <w:jc w:val="left"/>
        <w:rPr>
          <w:bCs/>
          <w:sz w:val="24"/>
          <w:szCs w:val="24"/>
        </w:rPr>
      </w:pPr>
      <w:r w:rsidRPr="00F32CAA">
        <w:rPr>
          <w:b/>
          <w:sz w:val="24"/>
          <w:szCs w:val="24"/>
        </w:rPr>
        <w:t>Opinion No.</w:t>
      </w:r>
      <w:r w:rsidRPr="00F32CAA">
        <w:rPr>
          <w:sz w:val="24"/>
          <w:szCs w:val="24"/>
        </w:rPr>
        <w:t xml:space="preserve"> S269237</w:t>
      </w:r>
    </w:p>
    <w:p w:rsidR="00F32CAA" w:rsidRPr="00F32CAA" w:rsidP="00F32CAA" w14:paraId="5B843D83" w14:textId="77777777">
      <w:pPr>
        <w:spacing w:after="0" w:line="240" w:lineRule="auto"/>
        <w:jc w:val="left"/>
        <w:rPr>
          <w:bCs/>
          <w:sz w:val="24"/>
          <w:szCs w:val="24"/>
        </w:rPr>
      </w:pPr>
      <w:r w:rsidRPr="00F32CAA">
        <w:rPr>
          <w:b/>
          <w:sz w:val="24"/>
          <w:szCs w:val="24"/>
        </w:rPr>
        <w:t>Date Filed:</w:t>
      </w:r>
      <w:r w:rsidRPr="00F32CAA">
        <w:rPr>
          <w:sz w:val="24"/>
          <w:szCs w:val="24"/>
        </w:rPr>
        <w:t xml:space="preserve">  August 14, 2023</w:t>
      </w:r>
    </w:p>
    <w:p w:rsidR="00F32CAA" w:rsidRPr="00F32CAA" w:rsidP="00F32CAA" w14:paraId="7B38BCED" w14:textId="77777777">
      <w:pPr>
        <w:spacing w:after="0" w:line="240" w:lineRule="auto"/>
        <w:jc w:val="left"/>
        <w:rPr>
          <w:b/>
          <w:sz w:val="24"/>
          <w:szCs w:val="24"/>
        </w:rPr>
      </w:pPr>
      <w:r w:rsidRPr="00F32CAA">
        <w:rPr>
          <w:b/>
          <w:sz w:val="24"/>
          <w:szCs w:val="24"/>
        </w:rPr>
        <w:t xml:space="preserve">__________________________________________________________ </w:t>
      </w:r>
    </w:p>
    <w:p w:rsidR="00F32CAA" w:rsidRPr="00F32CAA" w:rsidP="00F32CAA" w14:paraId="4AB4D758" w14:textId="77777777">
      <w:pPr>
        <w:spacing w:after="0" w:line="240" w:lineRule="auto"/>
        <w:jc w:val="left"/>
        <w:rPr>
          <w:b/>
          <w:sz w:val="24"/>
          <w:szCs w:val="24"/>
        </w:rPr>
      </w:pPr>
    </w:p>
    <w:p w:rsidR="00F32CAA" w:rsidRPr="00F32CAA" w:rsidP="00F32CAA" w14:paraId="16B61F91" w14:textId="77777777">
      <w:pPr>
        <w:spacing w:after="0" w:line="240" w:lineRule="auto"/>
        <w:jc w:val="left"/>
        <w:rPr>
          <w:bCs/>
          <w:sz w:val="24"/>
          <w:szCs w:val="24"/>
        </w:rPr>
      </w:pPr>
      <w:r w:rsidRPr="00F32CAA">
        <w:rPr>
          <w:b/>
          <w:sz w:val="24"/>
          <w:szCs w:val="24"/>
        </w:rPr>
        <w:t xml:space="preserve">Court:  </w:t>
      </w:r>
      <w:r w:rsidRPr="00F32CAA">
        <w:rPr>
          <w:bCs/>
          <w:sz w:val="24"/>
          <w:szCs w:val="24"/>
        </w:rPr>
        <w:t>Superior</w:t>
      </w:r>
      <w:r w:rsidRPr="00F32CAA">
        <w:rPr>
          <w:b/>
          <w:sz w:val="24"/>
          <w:szCs w:val="24"/>
        </w:rPr>
        <w:t xml:space="preserve"> </w:t>
      </w:r>
    </w:p>
    <w:p w:rsidR="00F32CAA" w:rsidRPr="00F32CAA" w:rsidP="00F32CAA" w14:paraId="63E5B3EC" w14:textId="77777777">
      <w:pPr>
        <w:spacing w:after="0" w:line="240" w:lineRule="auto"/>
        <w:jc w:val="left"/>
        <w:rPr>
          <w:bCs/>
          <w:sz w:val="24"/>
          <w:szCs w:val="24"/>
        </w:rPr>
      </w:pPr>
      <w:r w:rsidRPr="00F32CAA">
        <w:rPr>
          <w:b/>
          <w:sz w:val="24"/>
          <w:szCs w:val="24"/>
        </w:rPr>
        <w:t xml:space="preserve">County:  </w:t>
      </w:r>
      <w:r w:rsidRPr="00F32CAA">
        <w:rPr>
          <w:bCs/>
          <w:sz w:val="24"/>
          <w:szCs w:val="24"/>
        </w:rPr>
        <w:t>Los Angeles</w:t>
      </w:r>
    </w:p>
    <w:p w:rsidR="00F32CAA" w:rsidRPr="00F32CAA" w:rsidP="00F32CAA" w14:paraId="7E34520D" w14:textId="77777777">
      <w:pPr>
        <w:spacing w:after="0" w:line="240" w:lineRule="auto"/>
        <w:ind w:left="720" w:hanging="720"/>
        <w:jc w:val="left"/>
        <w:rPr>
          <w:bCs/>
          <w:sz w:val="24"/>
          <w:szCs w:val="24"/>
        </w:rPr>
      </w:pPr>
      <w:r w:rsidRPr="00F32CAA">
        <w:rPr>
          <w:b/>
          <w:sz w:val="24"/>
          <w:szCs w:val="24"/>
        </w:rPr>
        <w:t xml:space="preserve">Judge: </w:t>
      </w:r>
      <w:r w:rsidRPr="00F32CAA">
        <w:rPr>
          <w:bCs/>
          <w:sz w:val="24"/>
          <w:szCs w:val="24"/>
        </w:rPr>
        <w:t xml:space="preserve"> Renée F. Korn</w:t>
      </w:r>
    </w:p>
    <w:p w:rsidR="00F32CAA" w:rsidRPr="00F32CAA" w:rsidP="00F32CAA" w14:paraId="383CBD73" w14:textId="77777777">
      <w:pPr>
        <w:spacing w:after="0" w:line="240" w:lineRule="auto"/>
        <w:jc w:val="left"/>
        <w:rPr>
          <w:b/>
          <w:sz w:val="24"/>
          <w:szCs w:val="24"/>
        </w:rPr>
      </w:pPr>
      <w:r w:rsidRPr="00F32CAA">
        <w:rPr>
          <w:b/>
          <w:sz w:val="24"/>
          <w:szCs w:val="24"/>
        </w:rPr>
        <w:t xml:space="preserve">__________________________________________________________  </w:t>
      </w:r>
    </w:p>
    <w:p w:rsidR="00F32CAA" w:rsidRPr="00F32CAA" w:rsidP="00F32CAA" w14:paraId="0D3CC104" w14:textId="77777777">
      <w:pPr>
        <w:spacing w:after="0" w:line="240" w:lineRule="auto"/>
        <w:jc w:val="left"/>
        <w:rPr>
          <w:b/>
          <w:sz w:val="24"/>
          <w:szCs w:val="24"/>
        </w:rPr>
      </w:pPr>
    </w:p>
    <w:p w:rsidR="00F32CAA" w:rsidRPr="00F32CAA" w:rsidP="00F32CAA" w14:paraId="6EC580EE" w14:textId="77777777">
      <w:pPr>
        <w:spacing w:after="0" w:line="240" w:lineRule="auto"/>
        <w:jc w:val="left"/>
        <w:rPr>
          <w:b/>
          <w:sz w:val="24"/>
          <w:szCs w:val="24"/>
        </w:rPr>
      </w:pPr>
      <w:r w:rsidRPr="00F32CAA">
        <w:rPr>
          <w:b/>
          <w:sz w:val="24"/>
          <w:szCs w:val="24"/>
        </w:rPr>
        <w:t>Counsel:</w:t>
      </w:r>
    </w:p>
    <w:p w:rsidR="00F32CAA" w:rsidRPr="00F32CAA" w:rsidP="00F32CAA" w14:paraId="29F0196E" w14:textId="77777777">
      <w:pPr>
        <w:spacing w:after="0" w:line="240" w:lineRule="auto"/>
        <w:jc w:val="left"/>
        <w:rPr>
          <w:b/>
          <w:sz w:val="24"/>
          <w:szCs w:val="24"/>
        </w:rPr>
      </w:pPr>
    </w:p>
    <w:p w:rsidR="00F32CAA" w:rsidRPr="00F32CAA" w:rsidP="00F32CAA" w14:paraId="7B0C6B3F" w14:textId="77777777">
      <w:pPr>
        <w:spacing w:after="0" w:line="240" w:lineRule="auto"/>
        <w:jc w:val="left"/>
        <w:rPr>
          <w:color w:val="212121"/>
          <w:sz w:val="24"/>
          <w:szCs w:val="24"/>
          <w:shd w:val="clear" w:color="auto" w:fill="FFFFFF"/>
        </w:rPr>
      </w:pPr>
      <w:r w:rsidRPr="00F32CAA">
        <w:rPr>
          <w:color w:val="212121"/>
          <w:sz w:val="24"/>
          <w:szCs w:val="24"/>
          <w:shd w:val="clear" w:color="auto" w:fill="FFFFFF"/>
        </w:rPr>
        <w:t>William J. Capriola, under appointment by the Supreme Court, for Defendant and Appellant.</w:t>
      </w:r>
    </w:p>
    <w:p w:rsidR="00F32CAA" w:rsidRPr="00F32CAA" w:rsidP="00F32CAA" w14:paraId="267B4B5F" w14:textId="77777777">
      <w:pPr>
        <w:spacing w:after="0" w:line="240" w:lineRule="auto"/>
        <w:jc w:val="left"/>
        <w:rPr>
          <w:color w:val="212121"/>
          <w:sz w:val="24"/>
          <w:szCs w:val="24"/>
          <w:shd w:val="clear" w:color="auto" w:fill="FFFFFF"/>
        </w:rPr>
      </w:pPr>
    </w:p>
    <w:p w:rsidR="00F32CAA" w:rsidRPr="00F32CAA" w:rsidP="00F32CAA" w14:paraId="63073C2C" w14:textId="77777777">
      <w:pPr>
        <w:spacing w:after="0" w:line="240" w:lineRule="auto"/>
        <w:jc w:val="left"/>
        <w:rPr>
          <w:color w:val="212121"/>
          <w:sz w:val="24"/>
          <w:szCs w:val="24"/>
          <w:shd w:val="clear" w:color="auto" w:fill="FFFFFF"/>
        </w:rPr>
      </w:pPr>
      <w:r w:rsidRPr="00F32CAA">
        <w:rPr>
          <w:color w:val="212121"/>
          <w:sz w:val="24"/>
          <w:szCs w:val="24"/>
          <w:shd w:val="clear" w:color="auto" w:fill="FFFFFF"/>
        </w:rPr>
        <w:t>Xavier Becerra and Rob Bonta, Attorneys General, Lance E. Winters, Chief Assistant Attorney General, Susan Sullivan Pithey, Assistant Attorney General, Paul M. Roadarmel, Jr., Michael Katz, Scott A. Taryle and Teresa A. Reed Dippo, Deputy Attorneys General, for Plaintiff and Respondent.</w:t>
      </w:r>
      <w:r w:rsidRPr="00F32CAA">
        <w:rPr>
          <w:color w:val="212121"/>
          <w:sz w:val="24"/>
          <w:szCs w:val="24"/>
          <w:shd w:val="clear" w:color="auto" w:fill="FFFFFF"/>
        </w:rPr>
        <w:br w:type="page"/>
      </w:r>
      <w:r w:rsidRPr="00F32CAA">
        <w:rPr>
          <w:b/>
          <w:sz w:val="24"/>
          <w:szCs w:val="24"/>
        </w:rPr>
        <w:t xml:space="preserve">Counsel who argued in Supreme Court (not intended for publication with opinion): </w:t>
      </w:r>
    </w:p>
    <w:p w:rsidR="00F32CAA" w:rsidRPr="00F32CAA" w:rsidP="00F32CAA" w14:paraId="279C5AD3" w14:textId="77777777">
      <w:pPr>
        <w:spacing w:after="0" w:line="240" w:lineRule="auto"/>
        <w:jc w:val="left"/>
        <w:rPr>
          <w:sz w:val="24"/>
          <w:szCs w:val="24"/>
        </w:rPr>
      </w:pPr>
    </w:p>
    <w:p w:rsidR="00F32CAA" w:rsidRPr="00F32CAA" w:rsidP="00F32CAA" w14:paraId="34550747" w14:textId="77777777">
      <w:pPr>
        <w:spacing w:after="0" w:line="240" w:lineRule="auto"/>
        <w:jc w:val="left"/>
        <w:rPr>
          <w:sz w:val="24"/>
          <w:szCs w:val="24"/>
        </w:rPr>
      </w:pPr>
      <w:r w:rsidRPr="00F32CAA">
        <w:rPr>
          <w:sz w:val="24"/>
          <w:szCs w:val="24"/>
        </w:rPr>
        <w:t>William J. Capriola</w:t>
      </w:r>
    </w:p>
    <w:p w:rsidR="00F32CAA" w:rsidRPr="00F32CAA" w:rsidP="00F32CAA" w14:paraId="3D04F23B" w14:textId="77777777">
      <w:pPr>
        <w:spacing w:after="0" w:line="240" w:lineRule="auto"/>
        <w:jc w:val="left"/>
        <w:rPr>
          <w:sz w:val="24"/>
          <w:szCs w:val="24"/>
        </w:rPr>
      </w:pPr>
      <w:r w:rsidRPr="00F32CAA">
        <w:rPr>
          <w:sz w:val="24"/>
          <w:szCs w:val="24"/>
        </w:rPr>
        <w:t>Attorney at Law</w:t>
      </w:r>
    </w:p>
    <w:p w:rsidR="00F32CAA" w:rsidRPr="00F32CAA" w:rsidP="00F32CAA" w14:paraId="01CD8732" w14:textId="77777777">
      <w:pPr>
        <w:spacing w:after="0" w:line="240" w:lineRule="auto"/>
        <w:jc w:val="left"/>
        <w:rPr>
          <w:sz w:val="24"/>
          <w:szCs w:val="24"/>
        </w:rPr>
      </w:pPr>
      <w:r w:rsidRPr="00F32CAA">
        <w:rPr>
          <w:sz w:val="24"/>
          <w:szCs w:val="24"/>
        </w:rPr>
        <w:t>P.O. Box 1536</w:t>
      </w:r>
    </w:p>
    <w:p w:rsidR="00F32CAA" w:rsidRPr="00F32CAA" w:rsidP="00F32CAA" w14:paraId="44C840C3" w14:textId="77777777">
      <w:pPr>
        <w:spacing w:after="0" w:line="240" w:lineRule="auto"/>
        <w:jc w:val="left"/>
        <w:rPr>
          <w:sz w:val="24"/>
          <w:szCs w:val="24"/>
        </w:rPr>
      </w:pPr>
      <w:r w:rsidRPr="00F32CAA">
        <w:rPr>
          <w:sz w:val="24"/>
          <w:szCs w:val="24"/>
        </w:rPr>
        <w:t>Sebastopol, CA 95473</w:t>
      </w:r>
    </w:p>
    <w:p w:rsidR="00F32CAA" w:rsidRPr="00F32CAA" w:rsidP="00F32CAA" w14:paraId="51694A23" w14:textId="77777777">
      <w:pPr>
        <w:spacing w:after="0" w:line="240" w:lineRule="auto"/>
        <w:jc w:val="left"/>
        <w:rPr>
          <w:sz w:val="24"/>
          <w:szCs w:val="24"/>
        </w:rPr>
      </w:pPr>
      <w:r w:rsidRPr="00F32CAA">
        <w:rPr>
          <w:sz w:val="24"/>
          <w:szCs w:val="24"/>
        </w:rPr>
        <w:t>(707) 829-9490</w:t>
      </w:r>
    </w:p>
    <w:p w:rsidR="00F32CAA" w:rsidRPr="00F32CAA" w:rsidP="00F32CAA" w14:paraId="4F4E14A1" w14:textId="77777777">
      <w:pPr>
        <w:spacing w:after="0" w:line="240" w:lineRule="auto"/>
        <w:jc w:val="left"/>
        <w:rPr>
          <w:sz w:val="24"/>
          <w:szCs w:val="24"/>
        </w:rPr>
      </w:pPr>
    </w:p>
    <w:p w:rsidR="00F32CAA" w:rsidRPr="00F32CAA" w:rsidP="00F32CAA" w14:paraId="017A3E42" w14:textId="77777777">
      <w:pPr>
        <w:spacing w:after="0" w:line="240" w:lineRule="auto"/>
        <w:jc w:val="left"/>
        <w:rPr>
          <w:color w:val="212121"/>
          <w:sz w:val="24"/>
          <w:szCs w:val="24"/>
          <w:shd w:val="clear" w:color="auto" w:fill="FFFFFF"/>
        </w:rPr>
      </w:pPr>
      <w:r w:rsidRPr="00F32CAA">
        <w:rPr>
          <w:color w:val="212121"/>
          <w:sz w:val="24"/>
          <w:szCs w:val="24"/>
          <w:shd w:val="clear" w:color="auto" w:fill="FFFFFF"/>
        </w:rPr>
        <w:t>Teresa A. Reed Dippo</w:t>
      </w:r>
    </w:p>
    <w:p w:rsidR="00F32CAA" w:rsidRPr="00F32CAA" w:rsidP="00F32CAA" w14:paraId="49B30E51" w14:textId="77777777">
      <w:pPr>
        <w:spacing w:after="0" w:line="240" w:lineRule="auto"/>
        <w:jc w:val="left"/>
        <w:rPr>
          <w:color w:val="212121"/>
          <w:sz w:val="24"/>
          <w:szCs w:val="24"/>
          <w:shd w:val="clear" w:color="auto" w:fill="FFFFFF"/>
        </w:rPr>
      </w:pPr>
      <w:r w:rsidRPr="00F32CAA">
        <w:rPr>
          <w:color w:val="212121"/>
          <w:sz w:val="24"/>
          <w:szCs w:val="24"/>
          <w:shd w:val="clear" w:color="auto" w:fill="FFFFFF"/>
        </w:rPr>
        <w:t>Deputy Attorney General</w:t>
      </w:r>
    </w:p>
    <w:p w:rsidR="00F32CAA" w:rsidRPr="00F32CAA" w:rsidP="00F32CAA" w14:paraId="753916EF" w14:textId="77777777">
      <w:pPr>
        <w:spacing w:after="0" w:line="240" w:lineRule="auto"/>
        <w:jc w:val="left"/>
        <w:rPr>
          <w:color w:val="212121"/>
          <w:sz w:val="24"/>
          <w:szCs w:val="24"/>
          <w:shd w:val="clear" w:color="auto" w:fill="FFFFFF"/>
        </w:rPr>
      </w:pPr>
      <w:r w:rsidRPr="00F32CAA">
        <w:rPr>
          <w:color w:val="212121"/>
          <w:sz w:val="24"/>
          <w:szCs w:val="24"/>
          <w:shd w:val="clear" w:color="auto" w:fill="FFFFFF"/>
        </w:rPr>
        <w:t>455 Golden Gate Avenue, Suite 11000</w:t>
      </w:r>
    </w:p>
    <w:p w:rsidR="00F32CAA" w:rsidRPr="00F32CAA" w:rsidP="00F32CAA" w14:paraId="2A31CE81" w14:textId="77777777">
      <w:pPr>
        <w:spacing w:after="0" w:line="240" w:lineRule="auto"/>
        <w:jc w:val="left"/>
        <w:rPr>
          <w:color w:val="212121"/>
          <w:sz w:val="24"/>
          <w:szCs w:val="24"/>
          <w:shd w:val="clear" w:color="auto" w:fill="FFFFFF"/>
        </w:rPr>
      </w:pPr>
      <w:r w:rsidRPr="00F32CAA">
        <w:rPr>
          <w:color w:val="212121"/>
          <w:sz w:val="24"/>
          <w:szCs w:val="24"/>
          <w:shd w:val="clear" w:color="auto" w:fill="FFFFFF"/>
        </w:rPr>
        <w:t>San Francisco, CA 94102</w:t>
      </w:r>
    </w:p>
    <w:p w:rsidR="00F32CAA" w:rsidRPr="00F32CAA" w:rsidP="00F32CAA" w14:paraId="53CBF21F" w14:textId="77777777">
      <w:pPr>
        <w:spacing w:after="0" w:line="240" w:lineRule="auto"/>
        <w:jc w:val="left"/>
        <w:rPr>
          <w:sz w:val="24"/>
          <w:szCs w:val="24"/>
        </w:rPr>
      </w:pPr>
      <w:r w:rsidRPr="00F32CAA">
        <w:rPr>
          <w:color w:val="212121"/>
          <w:sz w:val="24"/>
          <w:szCs w:val="24"/>
          <w:shd w:val="clear" w:color="auto" w:fill="FFFFFF"/>
        </w:rPr>
        <w:t>(415) 510-3896</w:t>
      </w:r>
    </w:p>
    <w:p w:rsidR="00025415" w:rsidRPr="00511C97" w:rsidP="004744B1" w14:paraId="5480320E" w14:textId="77777777">
      <w:pPr>
        <w:spacing w:after="0"/>
        <w:rPr>
          <w:b/>
          <w:caps/>
        </w:rPr>
      </w:pPr>
    </w:p>
    <w:sectPr w:rsidSect="00EC2BB8">
      <w:headerReference w:type="default" r:id="rId12"/>
      <w:footerReference w:type="default" r:id="rId13"/>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9E7" w14:paraId="54803215"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5415" w14:paraId="54803216"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FBD" w14:paraId="00A8CD6E" w14:textId="77777777">
    <w:pPr>
      <w:pStyle w:val="Footer"/>
    </w:pPr>
    <w:r>
      <w:fldChar w:fldCharType="begin"/>
    </w:r>
    <w:r>
      <w:instrText>PAGE</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93853740"/>
      <w:docPartObj>
        <w:docPartGallery w:val="Page Numbers (Bottom of Page)"/>
        <w:docPartUnique/>
      </w:docPartObj>
    </w:sdtPr>
    <w:sdtEndPr>
      <w:rPr>
        <w:noProof/>
      </w:rPr>
    </w:sdtEndPr>
    <w:sdtContent>
      <w:p w:rsidR="00781CFD" w14:paraId="61CFD422"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CAA" w:rsidRPr="00F32CAA" w:rsidP="00F32CAA" w14:paraId="59F74391" w14:textId="7DE8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2425" w14:paraId="4CED42B3" w14:textId="77777777">
      <w:r>
        <w:separator/>
      </w:r>
    </w:p>
  </w:footnote>
  <w:footnote w:type="continuationSeparator" w:id="1">
    <w:p w:rsidR="00142425" w14:paraId="2940BE83" w14:textId="77777777">
      <w:pPr>
        <w:rPr>
          <w:sz w:val="22"/>
        </w:rPr>
      </w:pPr>
      <w:r w:rsidRPr="0090078E">
        <w:continuationSeparator/>
      </w:r>
    </w:p>
  </w:footnote>
  <w:footnote w:type="continuationNotice" w:id="2">
    <w:p w:rsidR="00142425" w14:paraId="37788AF7" w14:textId="77777777">
      <w:pPr>
        <w:jc w:val="right"/>
        <w:rPr>
          <w:i/>
          <w:sz w:val="20"/>
        </w:rPr>
      </w:pPr>
    </w:p>
  </w:footnote>
  <w:footnote w:id="3">
    <w:p w:rsidR="000A5A78" w:rsidRPr="00B24B84" w:rsidP="000A5A78" w14:paraId="54803217" w14:textId="77777777">
      <w:pPr>
        <w:pStyle w:val="FootnoteText"/>
      </w:pPr>
      <w:r>
        <w:rPr>
          <w:rStyle w:val="FootnoteReference"/>
        </w:rPr>
        <w:footnoteRef/>
      </w:r>
      <w:r>
        <w:t xml:space="preserve"> </w:t>
      </w:r>
      <w:r>
        <w:tab/>
      </w:r>
      <w:r w:rsidRPr="00CF28B2">
        <w:t>The parties d</w:t>
      </w:r>
      <w:r>
        <w:t>id</w:t>
      </w:r>
      <w:r w:rsidRPr="00CF28B2">
        <w:t xml:space="preserve"> not dispute that </w:t>
      </w:r>
      <w:r>
        <w:t>N.S.’s</w:t>
      </w:r>
      <w:r w:rsidRPr="00CF28B2">
        <w:t xml:space="preserve"> statements </w:t>
      </w:r>
      <w:r>
        <w:t>are</w:t>
      </w:r>
      <w:r w:rsidRPr="00CF28B2">
        <w:t xml:space="preserve"> testimonial</w:t>
      </w:r>
      <w:r>
        <w:t xml:space="preserve"> under </w:t>
      </w:r>
      <w:r>
        <w:rPr>
          <w:i/>
          <w:iCs/>
        </w:rPr>
        <w:t>Crawford</w:t>
      </w:r>
      <w:r>
        <w:t>.  Accordingly,</w:t>
      </w:r>
      <w:r w:rsidRPr="00CF28B2">
        <w:t xml:space="preserve"> </w:t>
      </w:r>
      <w:r>
        <w:t>we accept the parties’ agreement on this point</w:t>
      </w:r>
      <w:r w:rsidRPr="00CF28B2">
        <w:t>.</w:t>
      </w:r>
      <w:r>
        <w:t xml:space="preserve">  We express no opinion on whether the facts here establish the foundation for a spontaneous statement under Evidence Code section 1240, or the circumstances under which a spontaneous statement </w:t>
      </w:r>
      <w:r w:rsidR="00F92C8D">
        <w:t>might</w:t>
      </w:r>
      <w:r>
        <w:t xml:space="preserve"> qualify as testimonial for </w:t>
      </w:r>
      <w:r>
        <w:rPr>
          <w:i/>
          <w:iCs/>
        </w:rPr>
        <w:t xml:space="preserve">Crawford </w:t>
      </w:r>
      <w:r>
        <w:t>purposes.</w:t>
      </w:r>
    </w:p>
  </w:footnote>
  <w:footnote w:id="4">
    <w:p w:rsidR="00AB1A2C" w:rsidRPr="00CF28B2" w:rsidP="00FA6F27" w14:paraId="54803218" w14:textId="77777777">
      <w:pPr>
        <w:pStyle w:val="FootnoteText"/>
      </w:pPr>
      <w:r w:rsidRPr="00CF28B2">
        <w:rPr>
          <w:rStyle w:val="FootnoteReference"/>
        </w:rPr>
        <w:footnoteRef/>
      </w:r>
      <w:r w:rsidRPr="00CF28B2">
        <w:t xml:space="preserve"> </w:t>
      </w:r>
      <w:r w:rsidRPr="00CF28B2">
        <w:tab/>
      </w:r>
      <w:r w:rsidRPr="00CF28B2" w:rsidR="002122D0">
        <w:t xml:space="preserve">The Supreme Court extended the same due process guarantees outlined in </w:t>
      </w:r>
      <w:r w:rsidRPr="00CF28B2" w:rsidR="002122D0">
        <w:rPr>
          <w:i/>
          <w:iCs/>
        </w:rPr>
        <w:t>Morrissey</w:t>
      </w:r>
      <w:r w:rsidRPr="00CF28B2" w:rsidR="002122D0">
        <w:t xml:space="preserve"> to probation revocation hearings in </w:t>
      </w:r>
      <w:r w:rsidRPr="00CF28B2" w:rsidR="002122D0">
        <w:rPr>
          <w:i/>
          <w:iCs/>
        </w:rPr>
        <w:t>Gagnon</w:t>
      </w:r>
      <w:r w:rsidRPr="00CF28B2" w:rsidR="004037D4">
        <w:t>,</w:t>
      </w:r>
      <w:r w:rsidRPr="00CF28B2" w:rsidR="004037D4">
        <w:rPr>
          <w:i/>
          <w:iCs/>
        </w:rPr>
        <w:t xml:space="preserve"> supra</w:t>
      </w:r>
      <w:r w:rsidRPr="00CF28B2" w:rsidR="004037D4">
        <w:t>,</w:t>
      </w:r>
      <w:r w:rsidRPr="00CF28B2" w:rsidR="002122D0">
        <w:t xml:space="preserve"> 411 U.S. </w:t>
      </w:r>
      <w:r w:rsidRPr="00CF28B2" w:rsidR="004037D4">
        <w:t>at p</w:t>
      </w:r>
      <w:r w:rsidRPr="00CF28B2" w:rsidR="00674601">
        <w:t xml:space="preserve">age </w:t>
      </w:r>
      <w:r w:rsidRPr="00CF28B2" w:rsidR="00321F4C">
        <w:t>782</w:t>
      </w:r>
      <w:r w:rsidRPr="00CF28B2" w:rsidR="004037D4">
        <w:t xml:space="preserve">.  </w:t>
      </w:r>
      <w:r w:rsidRPr="00CF28B2" w:rsidR="002122D0">
        <w:t xml:space="preserve">Like parole, probation “arises after the end of the criminal prosecution.” </w:t>
      </w:r>
      <w:r w:rsidRPr="00CF28B2" w:rsidR="004037D4">
        <w:t xml:space="preserve"> (</w:t>
      </w:r>
      <w:r w:rsidRPr="00CF28B2" w:rsidR="002122D0">
        <w:rPr>
          <w:i/>
          <w:iCs/>
        </w:rPr>
        <w:t>Morrissey</w:t>
      </w:r>
      <w:r w:rsidRPr="00CF28B2" w:rsidR="002122D0">
        <w:t xml:space="preserve">, </w:t>
      </w:r>
      <w:r w:rsidRPr="00CF28B2" w:rsidR="004037D4">
        <w:rPr>
          <w:i/>
          <w:iCs/>
        </w:rPr>
        <w:t>supra</w:t>
      </w:r>
      <w:r w:rsidRPr="00CF28B2" w:rsidR="004037D4">
        <w:t xml:space="preserve">, </w:t>
      </w:r>
      <w:r w:rsidRPr="00CF28B2" w:rsidR="002122D0">
        <w:t xml:space="preserve">408 U.S. at </w:t>
      </w:r>
      <w:r w:rsidRPr="00CF28B2" w:rsidR="004037D4">
        <w:t>p. </w:t>
      </w:r>
      <w:r w:rsidRPr="00CF28B2" w:rsidR="002122D0">
        <w:t>480.</w:t>
      </w:r>
      <w:r w:rsidRPr="00CF28B2" w:rsidR="004037D4">
        <w:t xml:space="preserve">)  </w:t>
      </w:r>
      <w:r w:rsidRPr="00CF28B2" w:rsidR="00321F4C">
        <w:t>Because the same rules apply to both probationers and parolees (</w:t>
      </w:r>
      <w:r w:rsidRPr="00CF28B2" w:rsidR="00321F4C">
        <w:rPr>
          <w:i/>
          <w:iCs/>
        </w:rPr>
        <w:t>Winson</w:t>
      </w:r>
      <w:r w:rsidRPr="00CF28B2" w:rsidR="00321F4C">
        <w:t xml:space="preserve">, </w:t>
      </w:r>
      <w:r w:rsidRPr="00CF28B2" w:rsidR="00321F4C">
        <w:rPr>
          <w:i/>
          <w:iCs/>
        </w:rPr>
        <w:t>supra</w:t>
      </w:r>
      <w:r w:rsidRPr="00CF28B2" w:rsidR="00321F4C">
        <w:t xml:space="preserve">, 29 Cal.3d at p. 716), we refer to both </w:t>
      </w:r>
      <w:r w:rsidRPr="00CF28B2" w:rsidR="00992772">
        <w:t xml:space="preserve">types of </w:t>
      </w:r>
      <w:r w:rsidRPr="00CF28B2" w:rsidR="00321F4C">
        <w:t xml:space="preserve">revocation hearings in this opinion.  </w:t>
      </w:r>
      <w:r w:rsidRPr="00700EB9" w:rsidR="00DB1D5F">
        <w:t xml:space="preserve">For ease of reference, we also refer </w:t>
      </w:r>
      <w:r w:rsidRPr="00700EB9" w:rsidR="00700EB9">
        <w:t xml:space="preserve">at times </w:t>
      </w:r>
      <w:r w:rsidRPr="00700EB9" w:rsidR="00DB1D5F">
        <w:t xml:space="preserve">to the subject of </w:t>
      </w:r>
      <w:r w:rsidRPr="00700EB9" w:rsidR="00DB47BD">
        <w:t xml:space="preserve">a </w:t>
      </w:r>
      <w:r w:rsidRPr="00700EB9" w:rsidR="00DB1D5F">
        <w:t>revocation hearing as a defendant.</w:t>
      </w:r>
      <w:r w:rsidRPr="00CF28B2" w:rsidR="00DB1D5F">
        <w:t xml:space="preserve">  </w:t>
      </w:r>
    </w:p>
  </w:footnote>
  <w:footnote w:id="5">
    <w:p w:rsidR="0055122B" w14:paraId="54803219" w14:textId="77777777">
      <w:pPr>
        <w:pStyle w:val="FootnoteText"/>
      </w:pPr>
      <w:r>
        <w:rPr>
          <w:rStyle w:val="FootnoteReference"/>
        </w:rPr>
        <w:footnoteRef/>
      </w:r>
      <w:r>
        <w:t xml:space="preserve"> </w:t>
      </w:r>
      <w:r>
        <w:tab/>
      </w:r>
      <w:r w:rsidRPr="00CF28B2">
        <w:t>The Sixth Amendment right to confrontation applies only to testimonial statements.  (</w:t>
      </w:r>
      <w:r w:rsidRPr="00CF28B2">
        <w:rPr>
          <w:i/>
          <w:iCs/>
        </w:rPr>
        <w:t>Michigan v. Bryant</w:t>
      </w:r>
      <w:r w:rsidRPr="00CF28B2">
        <w:t xml:space="preserve"> (2011) 562 U.S. 344, 354</w:t>
      </w:r>
      <w:r w:rsidR="00315287">
        <w:t>,</w:t>
      </w:r>
      <w:r w:rsidRPr="00CF28B2">
        <w:t xml:space="preserve"> citing </w:t>
      </w:r>
      <w:r w:rsidRPr="00CF28B2">
        <w:rPr>
          <w:i/>
          <w:iCs/>
        </w:rPr>
        <w:t>Crawford</w:t>
      </w:r>
      <w:r w:rsidRPr="00CF28B2">
        <w:t xml:space="preserve">, </w:t>
      </w:r>
      <w:r w:rsidRPr="00CF28B2">
        <w:rPr>
          <w:i/>
          <w:iCs/>
        </w:rPr>
        <w:t>supra</w:t>
      </w:r>
      <w:r w:rsidRPr="00CF28B2">
        <w:t xml:space="preserve">, 541 U.S. at p. 68; </w:t>
      </w:r>
      <w:r w:rsidRPr="00CF28B2">
        <w:rPr>
          <w:i/>
          <w:iCs/>
        </w:rPr>
        <w:t>People v. Cage</w:t>
      </w:r>
      <w:r w:rsidRPr="00CF28B2">
        <w:t> (2007) 40 Cal.4th 965, 981 (</w:t>
      </w:r>
      <w:r w:rsidRPr="00CF28B2">
        <w:rPr>
          <w:i/>
          <w:iCs/>
        </w:rPr>
        <w:t>Cage</w:t>
      </w:r>
      <w:r w:rsidRPr="00CF28B2">
        <w:t xml:space="preserve">).)  </w:t>
      </w:r>
      <w:r>
        <w:t xml:space="preserve">A </w:t>
      </w:r>
      <w:r w:rsidR="005A6DF0">
        <w:t xml:space="preserve">statement made in the course of a police interrogation is testimonial </w:t>
      </w:r>
      <w:r w:rsidR="00174D7C">
        <w:t>“</w:t>
      </w:r>
      <w:r w:rsidR="00E8571C">
        <w:t>when the circumstances objectively indicate that there is no</w:t>
      </w:r>
      <w:r w:rsidR="00174D7C">
        <w:t> . . . </w:t>
      </w:r>
      <w:r w:rsidR="00E8571C">
        <w:t xml:space="preserve">ongoing emergency, and that the primary purpose of the interrogation is to establish or prove </w:t>
      </w:r>
      <w:r w:rsidR="00E8571C">
        <w:rPr>
          <w:rStyle w:val="cosearchwithinterm"/>
        </w:rPr>
        <w:t>past</w:t>
      </w:r>
      <w:r w:rsidR="00E8571C">
        <w:t xml:space="preserve"> </w:t>
      </w:r>
      <w:r w:rsidR="00E8571C">
        <w:rPr>
          <w:rStyle w:val="cosearchwithinterm"/>
        </w:rPr>
        <w:t>events</w:t>
      </w:r>
      <w:r w:rsidR="00E8571C">
        <w:t xml:space="preserve"> </w:t>
      </w:r>
      <w:r w:rsidR="00E8571C">
        <w:rPr>
          <w:rStyle w:val="cosearchwithinterm"/>
        </w:rPr>
        <w:t>potentially</w:t>
      </w:r>
      <w:r w:rsidR="00E8571C">
        <w:t xml:space="preserve"> </w:t>
      </w:r>
      <w:r w:rsidR="00E8571C">
        <w:rPr>
          <w:rStyle w:val="cosearchwithinterm"/>
        </w:rPr>
        <w:t>relevant</w:t>
      </w:r>
      <w:r w:rsidR="00E8571C">
        <w:t xml:space="preserve"> </w:t>
      </w:r>
      <w:r w:rsidR="00E8571C">
        <w:rPr>
          <w:rStyle w:val="cosearchwithinterm"/>
        </w:rPr>
        <w:t>to</w:t>
      </w:r>
      <w:r w:rsidR="00E8571C">
        <w:t xml:space="preserve"> </w:t>
      </w:r>
      <w:r w:rsidR="00E8571C">
        <w:rPr>
          <w:rStyle w:val="cosearchwithinterm"/>
        </w:rPr>
        <w:t>later</w:t>
      </w:r>
      <w:r w:rsidR="00E8571C">
        <w:t xml:space="preserve"> </w:t>
      </w:r>
      <w:r w:rsidR="00E8571C">
        <w:rPr>
          <w:rStyle w:val="cosearchwithinterm"/>
        </w:rPr>
        <w:t>criminal</w:t>
      </w:r>
      <w:r w:rsidR="00E8571C">
        <w:t xml:space="preserve"> </w:t>
      </w:r>
      <w:r w:rsidR="00E8571C">
        <w:rPr>
          <w:rStyle w:val="cosearchwithinterm"/>
        </w:rPr>
        <w:t>prosecution</w:t>
      </w:r>
      <w:r w:rsidR="00174D7C">
        <w:t>.</w:t>
      </w:r>
      <w:r>
        <w:t xml:space="preserve">” </w:t>
      </w:r>
      <w:r w:rsidRPr="008E1E00">
        <w:rPr>
          <w:i/>
          <w:iCs/>
        </w:rPr>
        <w:t xml:space="preserve"> </w:t>
      </w:r>
      <w:r>
        <w:t>(</w:t>
      </w:r>
      <w:r w:rsidRPr="0067752B">
        <w:rPr>
          <w:i/>
          <w:iCs/>
        </w:rPr>
        <w:t xml:space="preserve">Davis v. Washington </w:t>
      </w:r>
      <w:r w:rsidRPr="0067752B">
        <w:t>(2006) 547 U.S. 813</w:t>
      </w:r>
      <w:r>
        <w:t>, 822.)</w:t>
      </w:r>
      <w:r w:rsidRPr="00CF28B2">
        <w:t xml:space="preserve">  </w:t>
      </w:r>
    </w:p>
  </w:footnote>
  <w:footnote w:id="6">
    <w:p w:rsidR="00694F29" w:rsidRPr="00CF28B2" w:rsidP="005813D8" w14:paraId="5480321A" w14:textId="77777777">
      <w:pPr>
        <w:pStyle w:val="FootnoteText"/>
      </w:pPr>
      <w:r w:rsidRPr="00CF28B2">
        <w:rPr>
          <w:rStyle w:val="FootnoteReference"/>
        </w:rPr>
        <w:footnoteRef/>
      </w:r>
      <w:r w:rsidRPr="00CF28B2">
        <w:t xml:space="preserve"> </w:t>
      </w:r>
      <w:r w:rsidRPr="00CF28B2">
        <w:tab/>
      </w:r>
      <w:r w:rsidRPr="00CF28B2" w:rsidR="009A37CF">
        <w:t xml:space="preserve">The </w:t>
      </w:r>
      <w:r w:rsidR="008617FC">
        <w:t xml:space="preserve">array of requirements compelled by due process </w:t>
      </w:r>
      <w:r w:rsidRPr="00CF28B2">
        <w:t>for probation revocation hearing</w:t>
      </w:r>
      <w:r w:rsidRPr="00CF28B2" w:rsidR="009F43CC">
        <w:t>s includ</w:t>
      </w:r>
      <w:r w:rsidRPr="00CF28B2" w:rsidR="00674601">
        <w:t>e</w:t>
      </w:r>
      <w:r w:rsidRPr="00CF28B2" w:rsidR="009A37CF">
        <w:t>:</w:t>
      </w:r>
      <w:r w:rsidRPr="00CF28B2">
        <w:t xml:space="preserve"> </w:t>
      </w:r>
      <w:r w:rsidRPr="00CF28B2" w:rsidR="009A37CF">
        <w:t xml:space="preserve"> </w:t>
      </w:r>
      <w:r w:rsidRPr="00CF28B2">
        <w:t>“(1) written notice of claimed violations, (2) disclosure of adverse evidence, (3) the right to confront and cross-examine witnesses</w:t>
      </w:r>
      <w:r w:rsidR="00747E11">
        <w:t xml:space="preserve"> </w:t>
      </w:r>
      <w:r w:rsidR="004C659C">
        <w:rPr>
          <w:sz w:val="26"/>
          <w:szCs w:val="26"/>
        </w:rPr>
        <w:t>[</w:t>
      </w:r>
      <w:r w:rsidRPr="00747E11" w:rsidR="00747E11">
        <w:rPr>
          <w:sz w:val="26"/>
          <w:szCs w:val="26"/>
        </w:rPr>
        <w:t>unless the hearing officer specifically finds good cause for not allowing confrontation</w:t>
      </w:r>
      <w:r w:rsidR="00017424">
        <w:rPr>
          <w:sz w:val="26"/>
          <w:szCs w:val="26"/>
        </w:rPr>
        <w:t>]</w:t>
      </w:r>
      <w:r w:rsidRPr="00CF28B2">
        <w:t xml:space="preserve">, (4) a neutral and detached hearing board, and (5) a written statement by the fact finders as to the evidence relied on and the reasons for revocation.”  </w:t>
      </w:r>
      <w:r w:rsidRPr="00CF28B2" w:rsidR="009A37CF">
        <w:t>(</w:t>
      </w:r>
      <w:r w:rsidRPr="00CF28B2" w:rsidR="009A37CF">
        <w:rPr>
          <w:i/>
          <w:iCs/>
        </w:rPr>
        <w:t>Rodriguez</w:t>
      </w:r>
      <w:r w:rsidRPr="00CF28B2" w:rsidR="009D79D6">
        <w:t xml:space="preserve">, </w:t>
      </w:r>
      <w:r w:rsidRPr="00CF28B2" w:rsidR="009D79D6">
        <w:rPr>
          <w:i/>
          <w:iCs/>
        </w:rPr>
        <w:t>supra</w:t>
      </w:r>
      <w:r w:rsidRPr="00CF28B2" w:rsidR="009D79D6">
        <w:t>,</w:t>
      </w:r>
      <w:r w:rsidRPr="00CF28B2" w:rsidR="009A37CF">
        <w:t xml:space="preserve"> 51</w:t>
      </w:r>
      <w:r w:rsidR="005813D8">
        <w:t> </w:t>
      </w:r>
      <w:r w:rsidRPr="00CF28B2" w:rsidR="009A37CF">
        <w:t xml:space="preserve">Cal.3d </w:t>
      </w:r>
      <w:r w:rsidRPr="00CF28B2" w:rsidR="009D79D6">
        <w:t>at p. </w:t>
      </w:r>
      <w:r w:rsidRPr="00CF28B2" w:rsidR="009A37CF">
        <w:t xml:space="preserve">441, citing </w:t>
      </w:r>
      <w:r w:rsidRPr="00CF28B2" w:rsidR="009A37CF">
        <w:rPr>
          <w:i/>
          <w:iCs/>
        </w:rPr>
        <w:t>Morrissey</w:t>
      </w:r>
      <w:r w:rsidRPr="00CF28B2" w:rsidR="009A37CF">
        <w:t xml:space="preserve">, </w:t>
      </w:r>
      <w:r w:rsidRPr="00CF28B2" w:rsidR="00C109A7">
        <w:rPr>
          <w:i/>
          <w:iCs/>
        </w:rPr>
        <w:t>supra</w:t>
      </w:r>
      <w:r w:rsidRPr="00CF28B2" w:rsidR="00C109A7">
        <w:t xml:space="preserve">, 408 U.S. </w:t>
      </w:r>
      <w:r w:rsidRPr="00CF28B2" w:rsidR="009A37CF">
        <w:t xml:space="preserve">at p. 489.)  </w:t>
      </w:r>
    </w:p>
  </w:footnote>
  <w:footnote w:id="7">
    <w:p w:rsidR="007B198E" w:rsidRPr="00AD1F57" w14:paraId="5480321B" w14:textId="77777777">
      <w:pPr>
        <w:pStyle w:val="FootnoteText"/>
      </w:pPr>
      <w:r>
        <w:rPr>
          <w:rStyle w:val="FootnoteReference"/>
        </w:rPr>
        <w:footnoteRef/>
      </w:r>
      <w:r>
        <w:t xml:space="preserve"> </w:t>
      </w:r>
      <w:r>
        <w:tab/>
        <w:t xml:space="preserve">We acknowledge </w:t>
      </w:r>
      <w:r w:rsidR="00B113F3">
        <w:t xml:space="preserve">that, in </w:t>
      </w:r>
      <w:r w:rsidRPr="00AD1F57" w:rsidR="00B113F3">
        <w:rPr>
          <w:i/>
          <w:iCs/>
        </w:rPr>
        <w:t>Arreola</w:t>
      </w:r>
      <w:r w:rsidR="00B113F3">
        <w:t xml:space="preserve">, we </w:t>
      </w:r>
      <w:r>
        <w:t>refer</w:t>
      </w:r>
      <w:r w:rsidR="00B113F3">
        <w:t xml:space="preserve">red </w:t>
      </w:r>
      <w:r>
        <w:t xml:space="preserve">to “the showing of good cause </w:t>
      </w:r>
      <w:r w:rsidRPr="00B113F3">
        <w:rPr>
          <w:i/>
          <w:iCs/>
        </w:rPr>
        <w:t>that has been made</w:t>
      </w:r>
      <w:r w:rsidR="00B113F3">
        <w:t>.”  (</w:t>
      </w:r>
      <w:r w:rsidR="00B113F3">
        <w:rPr>
          <w:i/>
          <w:iCs/>
        </w:rPr>
        <w:t>Arreola</w:t>
      </w:r>
      <w:r w:rsidR="00B113F3">
        <w:t xml:space="preserve">, </w:t>
      </w:r>
      <w:r w:rsidR="00B113F3">
        <w:rPr>
          <w:i/>
          <w:iCs/>
        </w:rPr>
        <w:t>supra</w:t>
      </w:r>
      <w:r w:rsidR="00B113F3">
        <w:t xml:space="preserve">, 7 Cal.4th at p. 1160, italics added.)  </w:t>
      </w:r>
      <w:r>
        <w:t xml:space="preserve">To the extent </w:t>
      </w:r>
      <w:r w:rsidR="00B113F3">
        <w:t xml:space="preserve">this phrasing </w:t>
      </w:r>
      <w:r>
        <w:t xml:space="preserve">could be construed as requiring a </w:t>
      </w:r>
      <w:r w:rsidR="0051689A">
        <w:t xml:space="preserve">threshold </w:t>
      </w:r>
      <w:r>
        <w:t xml:space="preserve">showing of good cause </w:t>
      </w:r>
      <w:r>
        <w:rPr>
          <w:i/>
          <w:iCs/>
        </w:rPr>
        <w:t>before</w:t>
      </w:r>
      <w:r>
        <w:t xml:space="preserve"> proceeding to a </w:t>
      </w:r>
      <w:r w:rsidR="00B113F3">
        <w:t xml:space="preserve">separate </w:t>
      </w:r>
      <w:r>
        <w:t xml:space="preserve">balancing of interests, the </w:t>
      </w:r>
      <w:r w:rsidRPr="005A0085">
        <w:t>question was not before us, and “</w:t>
      </w:r>
      <w:r>
        <w:t> </w:t>
      </w:r>
      <w:r w:rsidRPr="005A0085">
        <w:t>‘[i]t is axiomatic that cases are not authority for propositions not considered.’</w:t>
      </w:r>
      <w:r>
        <w:t> </w:t>
      </w:r>
      <w:r w:rsidRPr="005A0085">
        <w:t xml:space="preserve">” </w:t>
      </w:r>
      <w:r>
        <w:t xml:space="preserve"> </w:t>
      </w:r>
      <w:r w:rsidRPr="005A0085">
        <w:t>(</w:t>
      </w:r>
      <w:r w:rsidRPr="005A0085">
        <w:rPr>
          <w:i/>
          <w:iCs/>
        </w:rPr>
        <w:t>People v. Avila</w:t>
      </w:r>
      <w:r w:rsidRPr="005A0085">
        <w:t xml:space="preserve"> (2006) 38</w:t>
      </w:r>
      <w:r>
        <w:t> </w:t>
      </w:r>
      <w:r w:rsidRPr="005A0085">
        <w:t>Cal.4th 491, 566</w:t>
      </w:r>
      <w:r>
        <w:t>; c</w:t>
      </w:r>
      <w:r w:rsidRPr="00F92099">
        <w:t xml:space="preserve">f. </w:t>
      </w:r>
      <w:r w:rsidRPr="00F92099">
        <w:rPr>
          <w:i/>
          <w:iCs/>
        </w:rPr>
        <w:t>Williams v. Chino Valley Indep</w:t>
      </w:r>
      <w:r w:rsidR="001E130A">
        <w:rPr>
          <w:i/>
          <w:iCs/>
        </w:rPr>
        <w:t>endent</w:t>
      </w:r>
      <w:r w:rsidRPr="00F92099">
        <w:rPr>
          <w:i/>
          <w:iCs/>
        </w:rPr>
        <w:t xml:space="preserve"> Fire Dist</w:t>
      </w:r>
      <w:r w:rsidRPr="00F92099">
        <w:t xml:space="preserve">. (2015) 61 Cal. 4th 97, </w:t>
      </w:r>
      <w:r>
        <w:t>107 [clarifying prior decision to the extent it could be construed as speaking “too broadly” on an issue that was not previously before the court]</w:t>
      </w:r>
      <w:r w:rsidRPr="005A0085">
        <w:t>.)</w:t>
      </w:r>
      <w:r>
        <w:t xml:space="preserve">  </w:t>
      </w:r>
    </w:p>
  </w:footnote>
  <w:footnote w:id="8">
    <w:p w:rsidR="005F19D9" w:rsidRPr="00CF28B2" w:rsidP="007F782C" w14:paraId="5480321C" w14:textId="77777777">
      <w:pPr>
        <w:pStyle w:val="FootnoteText"/>
      </w:pPr>
      <w:r w:rsidRPr="00CF28B2">
        <w:rPr>
          <w:rStyle w:val="FootnoteReference"/>
        </w:rPr>
        <w:footnoteRef/>
      </w:r>
      <w:r w:rsidRPr="00CF28B2">
        <w:t xml:space="preserve"> </w:t>
      </w:r>
      <w:r w:rsidRPr="00CF28B2">
        <w:tab/>
      </w:r>
      <w:r w:rsidRPr="00CF28B2">
        <w:rPr>
          <w:szCs w:val="26"/>
        </w:rPr>
        <w:t>We do not disagree that the reliability of evidence is an important factor in determining the strength of a defendant’s confrontation right</w:t>
      </w:r>
      <w:r w:rsidRPr="00CF28B2" w:rsidR="008A5C98">
        <w:rPr>
          <w:szCs w:val="26"/>
        </w:rPr>
        <w:t xml:space="preserve"> at a probation revocation hearing</w:t>
      </w:r>
      <w:r w:rsidRPr="00CF28B2">
        <w:rPr>
          <w:szCs w:val="26"/>
        </w:rPr>
        <w:t>.  But we decline to hold that it is dispositive in all cases.  A</w:t>
      </w:r>
      <w:r w:rsidRPr="00CF28B2">
        <w:t xml:space="preserve">s the Oregon Supreme Court </w:t>
      </w:r>
      <w:r w:rsidRPr="00CF28B2" w:rsidR="00853AB1">
        <w:t xml:space="preserve">stated </w:t>
      </w:r>
      <w:r w:rsidRPr="00CF28B2">
        <w:t xml:space="preserve">when </w:t>
      </w:r>
      <w:r w:rsidRPr="00CF28B2" w:rsidR="00853AB1">
        <w:t>addressing a similar question</w:t>
      </w:r>
      <w:r w:rsidRPr="00CF28B2">
        <w:t xml:space="preserve">:  </w:t>
      </w:r>
      <w:r w:rsidRPr="00CF28B2" w:rsidR="00853AB1">
        <w:t>“The presumed reliability of an ‘excited utterance’ is, certainly, a factor that will weigh in favor of admission over a defendant’s objection, and, even under [a] balancing [test], such evidence is likely to be admitted in most cases.  However, we do not see a reason to completely eliminate consideration of other factors that might lead to a different conclusion.”  (</w:t>
      </w:r>
      <w:r w:rsidRPr="00CF28B2" w:rsidR="00853AB1">
        <w:rPr>
          <w:i/>
          <w:iCs/>
        </w:rPr>
        <w:t>State v. Martin</w:t>
      </w:r>
      <w:r w:rsidRPr="00CF28B2" w:rsidR="00853AB1">
        <w:t xml:space="preserve"> (2022) 370 Or. 653, 669</w:t>
      </w:r>
      <w:r w:rsidR="000C4050">
        <w:t>–</w:t>
      </w:r>
      <w:r w:rsidRPr="00CF28B2" w:rsidR="00853AB1">
        <w:t>670</w:t>
      </w:r>
      <w:r w:rsidR="00AE13FA">
        <w:t xml:space="preserve"> [522 P.3d</w:t>
      </w:r>
      <w:r w:rsidR="00DA6A39">
        <w:t xml:space="preserve"> 841, </w:t>
      </w:r>
      <w:r w:rsidR="001E130A">
        <w:t>853</w:t>
      </w:r>
      <w:r w:rsidR="003D54A1">
        <w:t>–854</w:t>
      </w:r>
      <w:r w:rsidR="001E130A">
        <w:t>]</w:t>
      </w:r>
      <w:r w:rsidR="003C75AC">
        <w:t>, fn. omitted</w:t>
      </w:r>
      <w:r w:rsidRPr="00CF28B2" w:rsidR="001E130A">
        <w:t xml:space="preserve">; </w:t>
      </w:r>
      <w:r w:rsidRPr="00CF28B2" w:rsidR="0058138F">
        <w:t xml:space="preserve">accord, </w:t>
      </w:r>
      <w:r w:rsidRPr="00CF28B2" w:rsidR="00962EB3">
        <w:rPr>
          <w:i/>
          <w:iCs/>
        </w:rPr>
        <w:t>Liggins</w:t>
      </w:r>
      <w:r w:rsidRPr="00CF28B2" w:rsidR="00962EB3">
        <w:t xml:space="preserve">, </w:t>
      </w:r>
      <w:r w:rsidRPr="00CF28B2" w:rsidR="00962EB3">
        <w:rPr>
          <w:i/>
          <w:iCs/>
        </w:rPr>
        <w:t>supra</w:t>
      </w:r>
      <w:r w:rsidRPr="00CF28B2" w:rsidR="00962EB3">
        <w:t>, 53 Cal.App.5th</w:t>
      </w:r>
      <w:r w:rsidRPr="00CF28B2" w:rsidR="00962EB3">
        <w:rPr>
          <w:i/>
          <w:iCs/>
        </w:rPr>
        <w:t xml:space="preserve"> </w:t>
      </w:r>
      <w:r w:rsidRPr="00CF28B2" w:rsidR="00962EB3">
        <w:t xml:space="preserve">at p. 69 [concluding that reliability “has a place in the case-by-case weighing of interests required by </w:t>
      </w:r>
      <w:r w:rsidRPr="00CF28B2" w:rsidR="00962EB3">
        <w:rPr>
          <w:i/>
          <w:iCs/>
        </w:rPr>
        <w:t>Arreola</w:t>
      </w:r>
      <w:r w:rsidRPr="00CF28B2" w:rsidR="00962EB3">
        <w:t>,” but “it is only one of several factors to be weighed, and it must not be assigned dispositive weight in all cases to the exclusion of other factors”]</w:t>
      </w:r>
      <w:r w:rsidRPr="00CF28B2" w:rsidR="00853AB1">
        <w:t xml:space="preserve">.)  </w:t>
      </w:r>
    </w:p>
  </w:footnote>
  <w:footnote w:id="9">
    <w:p w:rsidR="00390EAF" w14:paraId="5480321D" w14:textId="77777777">
      <w:pPr>
        <w:pStyle w:val="FootnoteText"/>
      </w:pPr>
      <w:r>
        <w:rPr>
          <w:rStyle w:val="FootnoteReference"/>
        </w:rPr>
        <w:footnoteRef/>
      </w:r>
      <w:r>
        <w:t xml:space="preserve"> </w:t>
      </w:r>
      <w:r w:rsidR="00362B27">
        <w:tab/>
      </w:r>
      <w:r w:rsidR="009462F2">
        <w:t xml:space="preserve">As noted, we have accepted, without further analysis, the parties’ agreement that the statements at issue here constitute </w:t>
      </w:r>
      <w:r w:rsidR="009462F2">
        <w:rPr>
          <w:i/>
          <w:iCs/>
        </w:rPr>
        <w:t xml:space="preserve">testimonial </w:t>
      </w:r>
      <w:r w:rsidR="009462F2">
        <w:t>evidence that come</w:t>
      </w:r>
      <w:r w:rsidR="00636EF3">
        <w:t>s</w:t>
      </w:r>
      <w:r w:rsidR="009462F2">
        <w:t xml:space="preserve"> within the spontaneous statement exception.  We </w:t>
      </w:r>
      <w:r w:rsidRPr="00B742FA" w:rsidR="009462F2">
        <w:t>do not decid</w:t>
      </w:r>
      <w:r w:rsidR="009462F2">
        <w:t xml:space="preserve">e </w:t>
      </w:r>
      <w:r w:rsidRPr="00CF28B2" w:rsidR="009462F2">
        <w:t xml:space="preserve">what </w:t>
      </w:r>
      <w:r w:rsidR="009462F2">
        <w:t xml:space="preserve">due process-based </w:t>
      </w:r>
      <w:r w:rsidRPr="00CF28B2" w:rsidR="009462F2">
        <w:t xml:space="preserve">confrontation rights, if any, apply to the admission of </w:t>
      </w:r>
      <w:r w:rsidRPr="00E4684C" w:rsidR="009462F2">
        <w:rPr>
          <w:i/>
          <w:iCs/>
        </w:rPr>
        <w:t>nontestimonial</w:t>
      </w:r>
      <w:r w:rsidRPr="00CF28B2" w:rsidR="009462F2">
        <w:t xml:space="preserve"> </w:t>
      </w:r>
      <w:r w:rsidR="009462F2">
        <w:t>evidence that comes within a hearsay exception</w:t>
      </w:r>
      <w:r w:rsidRPr="00CF28B2" w:rsidR="009462F2">
        <w:t>.</w:t>
      </w:r>
    </w:p>
  </w:footnote>
  <w:footnote w:id="10">
    <w:p w:rsidR="00962EB3" w:rsidRPr="00CF28B2" w:rsidP="00E32FEA" w14:paraId="5480321E" w14:textId="77777777">
      <w:pPr>
        <w:pStyle w:val="FootnoteText"/>
      </w:pPr>
      <w:r w:rsidRPr="00CF28B2">
        <w:rPr>
          <w:rStyle w:val="FootnoteReference"/>
        </w:rPr>
        <w:footnoteRef/>
      </w:r>
      <w:r w:rsidRPr="00CF28B2">
        <w:t xml:space="preserve"> </w:t>
      </w:r>
      <w:r w:rsidRPr="00CF28B2">
        <w:tab/>
      </w:r>
      <w:r w:rsidR="00C47E71">
        <w:t>We</w:t>
      </w:r>
      <w:r w:rsidRPr="00CF28B2">
        <w:t xml:space="preserve"> disapprove </w:t>
      </w:r>
      <w:r w:rsidRPr="00985C4D" w:rsidR="00913E02">
        <w:rPr>
          <w:i/>
          <w:iCs/>
        </w:rPr>
        <w:t>People v.</w:t>
      </w:r>
      <w:r w:rsidR="00913E02">
        <w:t xml:space="preserve"> </w:t>
      </w:r>
      <w:r w:rsidRPr="00CF28B2">
        <w:rPr>
          <w:i/>
          <w:iCs/>
        </w:rPr>
        <w:t>Stanphill</w:t>
      </w:r>
      <w:r w:rsidRPr="00CF28B2">
        <w:t xml:space="preserve">, </w:t>
      </w:r>
      <w:r w:rsidRPr="00CF28B2">
        <w:rPr>
          <w:i/>
          <w:iCs/>
        </w:rPr>
        <w:t>supra</w:t>
      </w:r>
      <w:r w:rsidRPr="00CF28B2">
        <w:t>, 170 Cal.App.4th 61, to the extent it is inconsistent with this holding.</w:t>
      </w:r>
    </w:p>
  </w:footnote>
  <w:footnote w:id="11">
    <w:p w:rsidR="00E32FEA" w:rsidRPr="00113E86" w:rsidP="00E32FEA" w14:paraId="5480321F" w14:textId="77777777">
      <w:pPr>
        <w:pStyle w:val="FootnoteText"/>
        <w:rPr>
          <w:b/>
          <w:bCs/>
        </w:rPr>
      </w:pPr>
      <w:r>
        <w:rPr>
          <w:rStyle w:val="FootnoteReference"/>
        </w:rPr>
        <w:footnoteRef/>
      </w:r>
      <w:r>
        <w:t xml:space="preserve"> </w:t>
      </w:r>
      <w:r>
        <w:tab/>
      </w:r>
      <w:r w:rsidR="0037088D">
        <w:t>We note</w:t>
      </w:r>
      <w:r w:rsidR="0002010A">
        <w:t xml:space="preserve"> that</w:t>
      </w:r>
      <w:r w:rsidR="00A8674C">
        <w:t xml:space="preserve"> the Court of Appeal apparently</w:t>
      </w:r>
      <w:r w:rsidRPr="00A8674C" w:rsidR="00A8674C">
        <w:t xml:space="preserve"> viewed the prosecution’s unsuccessful attempt</w:t>
      </w:r>
      <w:r w:rsidR="00A17EEF">
        <w:t>s</w:t>
      </w:r>
      <w:r w:rsidRPr="00A8674C" w:rsidR="00A8674C">
        <w:t xml:space="preserve"> to secure N.S.’s presence as “insufficient to establish ‘good cause</w:t>
      </w:r>
      <w:r w:rsidR="008B0A79">
        <w:t>.</w:t>
      </w:r>
      <w:r w:rsidRPr="00A8674C" w:rsidR="00A8674C">
        <w:t>’</w:t>
      </w:r>
      <w:r>
        <w:t> </w:t>
      </w:r>
      <w:r w:rsidRPr="00A8674C" w:rsidR="00A8674C">
        <w:t>”</w:t>
      </w:r>
      <w:r w:rsidR="008B0A79">
        <w:t xml:space="preserve"> </w:t>
      </w:r>
      <w:r w:rsidRPr="00A8674C" w:rsidR="00A8674C">
        <w:t xml:space="preserve"> </w:t>
      </w:r>
      <w:r w:rsidRPr="00A8674C" w:rsidR="00B100B4">
        <w:t>(</w:t>
      </w:r>
      <w:r w:rsidRPr="008B0A79" w:rsidR="00B100B4">
        <w:rPr>
          <w:i/>
          <w:iCs/>
        </w:rPr>
        <w:t>Gray</w:t>
      </w:r>
      <w:r w:rsidRPr="00A8674C" w:rsidR="00B100B4">
        <w:t xml:space="preserve">, </w:t>
      </w:r>
      <w:r w:rsidRPr="008B0A79" w:rsidR="00B100B4">
        <w:rPr>
          <w:i/>
          <w:iCs/>
        </w:rPr>
        <w:t>supra</w:t>
      </w:r>
      <w:r w:rsidRPr="00A8674C" w:rsidR="00B100B4">
        <w:t>, 63</w:t>
      </w:r>
      <w:r>
        <w:t> </w:t>
      </w:r>
      <w:r w:rsidRPr="00A8674C" w:rsidR="00B100B4">
        <w:t>Cal.App.5th at p.</w:t>
      </w:r>
      <w:r>
        <w:t> </w:t>
      </w:r>
      <w:r w:rsidRPr="00A8674C" w:rsidR="00B100B4">
        <w:t>951</w:t>
      </w:r>
      <w:r w:rsidR="00943E5D">
        <w:t>.</w:t>
      </w:r>
      <w:r w:rsidR="00B100B4">
        <w:t>)</w:t>
      </w:r>
      <w:r w:rsidR="008B0A79">
        <w:t xml:space="preserve"> </w:t>
      </w:r>
      <w:r w:rsidR="00B100B4">
        <w:t xml:space="preserve"> </w:t>
      </w:r>
      <w:r>
        <w:t xml:space="preserve">As we have explained, </w:t>
      </w:r>
      <w:r w:rsidR="003C0738">
        <w:t>witness unavailability</w:t>
      </w:r>
      <w:r w:rsidR="00786F65">
        <w:t xml:space="preserve"> as </w:t>
      </w:r>
      <w:r w:rsidR="00CF1D9C">
        <w:t xml:space="preserve">described in </w:t>
      </w:r>
      <w:r w:rsidR="00CF1D9C">
        <w:rPr>
          <w:i/>
          <w:iCs/>
        </w:rPr>
        <w:t>Arreola</w:t>
      </w:r>
      <w:r w:rsidR="00CF1D9C">
        <w:t xml:space="preserve">, </w:t>
      </w:r>
      <w:r w:rsidR="00CF1D9C">
        <w:rPr>
          <w:i/>
          <w:iCs/>
        </w:rPr>
        <w:t>supra</w:t>
      </w:r>
      <w:r w:rsidR="00CF1D9C">
        <w:t>, 7 Cal.4th at page 1160,</w:t>
      </w:r>
      <w:r w:rsidR="003C0738">
        <w:t xml:space="preserve"> is neither a threshold </w:t>
      </w:r>
      <w:r w:rsidR="00C24F07">
        <w:t xml:space="preserve">requirement nor </w:t>
      </w:r>
      <w:r w:rsidR="00230164">
        <w:t xml:space="preserve">a </w:t>
      </w:r>
      <w:r w:rsidR="00C24F07">
        <w:t>dispositive</w:t>
      </w:r>
      <w:r w:rsidR="00230164">
        <w:t xml:space="preserve"> factor</w:t>
      </w:r>
      <w:r w:rsidR="00C24F07">
        <w:t xml:space="preserve"> in determining whether </w:t>
      </w:r>
      <w:r w:rsidR="00540922">
        <w:rPr>
          <w:i/>
          <w:iCs/>
        </w:rPr>
        <w:t>Morrissey</w:t>
      </w:r>
      <w:r w:rsidR="00540922">
        <w:t>’s</w:t>
      </w:r>
      <w:r w:rsidR="00540922">
        <w:rPr>
          <w:i/>
          <w:iCs/>
        </w:rPr>
        <w:t xml:space="preserve"> </w:t>
      </w:r>
      <w:r w:rsidR="00230164">
        <w:t xml:space="preserve">“good cause for not allowing confrontation” </w:t>
      </w:r>
      <w:r w:rsidR="00540922">
        <w:t xml:space="preserve">requirement </w:t>
      </w:r>
      <w:r w:rsidR="00230164">
        <w:t xml:space="preserve">has been </w:t>
      </w:r>
      <w:r w:rsidR="00540922">
        <w:t>met</w:t>
      </w:r>
      <w:r w:rsidR="00230164">
        <w:t>.</w:t>
      </w:r>
      <w:r>
        <w:t xml:space="preserve">  </w:t>
      </w:r>
      <w:r w:rsidR="00113E86">
        <w:t>(</w:t>
      </w:r>
      <w:r w:rsidR="00113E86">
        <w:rPr>
          <w:i/>
          <w:iCs/>
        </w:rPr>
        <w:t>Morrissey</w:t>
      </w:r>
      <w:r w:rsidR="00113E86">
        <w:t xml:space="preserve">, </w:t>
      </w:r>
      <w:r w:rsidR="00113E86">
        <w:rPr>
          <w:i/>
          <w:iCs/>
        </w:rPr>
        <w:t>supra</w:t>
      </w:r>
      <w:r w:rsidR="00113E86">
        <w:t xml:space="preserve">, 408 U.S. at p. 489.)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5415" w14:paraId="54803212" w14:textId="77777777">
    <w:pPr>
      <w:pStyle w:val="Header"/>
    </w:pPr>
    <w:r>
      <w:t>PEOPLE v. GRAY</w:t>
    </w:r>
  </w:p>
  <w:p w:rsidR="00025415" w14:paraId="54803213" w14:textId="77777777">
    <w:pPr>
      <w:pStyle w:val="Header"/>
    </w:pPr>
    <w:r>
      <w:t>Opinion of the Court by Guerrero, C. J.</w:t>
    </w:r>
  </w:p>
  <w:p w:rsidR="00025415" w14:paraId="548032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B2A" w14:paraId="125E9983" w14:textId="77777777">
    <w:pPr>
      <w:pStyle w:val="Header"/>
    </w:pPr>
    <w:r>
      <w:t>PEOPLE v. GRAY</w:t>
    </w:r>
  </w:p>
  <w:p w:rsidR="00A267F8" w:rsidP="000A6B2A" w14:paraId="5233EE09" w14:textId="77777777">
    <w:pPr>
      <w:pStyle w:val="Header"/>
    </w:pPr>
    <w:r>
      <w:t>Groban, J., concurring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CAA" w:rsidRPr="00F32CAA" w:rsidP="00F32CAA" w14:paraId="3CEB1EE3" w14:textId="1A9E5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CFE48CCE"/>
    <w:multiLevelType w:val="singleLevel"/>
    <w:tmpl w:val="FFFFFFFF"/>
    <w:lvl w:ilvl="0">
      <w:start w:val="0"/>
      <w:numFmt w:val="decimal"/>
      <w:lvlText w:val=" "/>
      <w:lvlJc w:val="left"/>
      <w:rPr>
        <w:rFonts w:cs="Times New Roman"/>
      </w:rPr>
    </w:lvl>
  </w:abstractNum>
  <w:abstractNum w:abstractNumId="1">
    <w:nsid w:val="00C81966"/>
    <w:multiLevelType w:val="hybridMultilevel"/>
    <w:tmpl w:val="2D2C7D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48D52B2"/>
    <w:multiLevelType w:val="hybridMultilevel"/>
    <w:tmpl w:val="7C4CCD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7573FD6"/>
    <w:multiLevelType w:val="hybridMultilevel"/>
    <w:tmpl w:val="79845D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8C87536"/>
    <w:multiLevelType w:val="hybridMultilevel"/>
    <w:tmpl w:val="F80A2F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01C1415"/>
    <w:multiLevelType w:val="hybridMultilevel"/>
    <w:tmpl w:val="2A3230C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BBA3F73"/>
    <w:multiLevelType w:val="hybridMultilevel"/>
    <w:tmpl w:val="09C411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C345FE2"/>
    <w:multiLevelType w:val="hybridMultilevel"/>
    <w:tmpl w:val="769252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0E71D6A"/>
    <w:multiLevelType w:val="hybridMultilevel"/>
    <w:tmpl w:val="6FB022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89D7504"/>
    <w:multiLevelType w:val="hybridMultilevel"/>
    <w:tmpl w:val="C4BCE57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57D95DA5"/>
    <w:multiLevelType w:val="hybridMultilevel"/>
    <w:tmpl w:val="02C0BC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9BE1A86"/>
    <w:multiLevelType w:val="hybridMultilevel"/>
    <w:tmpl w:val="94E485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6DAC3455"/>
    <w:multiLevelType w:val="hybridMultilevel"/>
    <w:tmpl w:val="D500F27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38633F4"/>
    <w:multiLevelType w:val="hybridMultilevel"/>
    <w:tmpl w:val="96CA4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3D631AA"/>
    <w:multiLevelType w:val="hybridMultilevel"/>
    <w:tmpl w:val="180021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5AB79E7"/>
    <w:multiLevelType w:val="hybridMultilevel"/>
    <w:tmpl w:val="BC42A2DC"/>
    <w:lvl w:ilvl="0">
      <w:start w:val="1"/>
      <w:numFmt w:val="bullet"/>
      <w:lvlText w:val=""/>
      <w:lvlJc w:val="left"/>
      <w:pPr>
        <w:ind w:left="1503" w:hanging="360"/>
      </w:pPr>
      <w:rPr>
        <w:rFonts w:ascii="Symbol" w:hAnsi="Symbol" w:hint="default"/>
      </w:rPr>
    </w:lvl>
    <w:lvl w:ilvl="1" w:tentative="1">
      <w:start w:val="1"/>
      <w:numFmt w:val="bullet"/>
      <w:lvlText w:val="o"/>
      <w:lvlJc w:val="left"/>
      <w:pPr>
        <w:ind w:left="2223" w:hanging="360"/>
      </w:pPr>
      <w:rPr>
        <w:rFonts w:ascii="Courier New" w:hAnsi="Courier New" w:cs="Courier New" w:hint="default"/>
      </w:rPr>
    </w:lvl>
    <w:lvl w:ilvl="2" w:tentative="1">
      <w:start w:val="1"/>
      <w:numFmt w:val="bullet"/>
      <w:lvlText w:val=""/>
      <w:lvlJc w:val="left"/>
      <w:pPr>
        <w:ind w:left="2943" w:hanging="360"/>
      </w:pPr>
      <w:rPr>
        <w:rFonts w:ascii="Wingdings" w:hAnsi="Wingdings" w:hint="default"/>
      </w:rPr>
    </w:lvl>
    <w:lvl w:ilvl="3" w:tentative="1">
      <w:start w:val="1"/>
      <w:numFmt w:val="bullet"/>
      <w:lvlText w:val=""/>
      <w:lvlJc w:val="left"/>
      <w:pPr>
        <w:ind w:left="3663" w:hanging="360"/>
      </w:pPr>
      <w:rPr>
        <w:rFonts w:ascii="Symbol" w:hAnsi="Symbol" w:hint="default"/>
      </w:rPr>
    </w:lvl>
    <w:lvl w:ilvl="4" w:tentative="1">
      <w:start w:val="1"/>
      <w:numFmt w:val="bullet"/>
      <w:lvlText w:val="o"/>
      <w:lvlJc w:val="left"/>
      <w:pPr>
        <w:ind w:left="4383" w:hanging="360"/>
      </w:pPr>
      <w:rPr>
        <w:rFonts w:ascii="Courier New" w:hAnsi="Courier New" w:cs="Courier New" w:hint="default"/>
      </w:rPr>
    </w:lvl>
    <w:lvl w:ilvl="5" w:tentative="1">
      <w:start w:val="1"/>
      <w:numFmt w:val="bullet"/>
      <w:lvlText w:val=""/>
      <w:lvlJc w:val="left"/>
      <w:pPr>
        <w:ind w:left="5103" w:hanging="360"/>
      </w:pPr>
      <w:rPr>
        <w:rFonts w:ascii="Wingdings" w:hAnsi="Wingdings" w:hint="default"/>
      </w:rPr>
    </w:lvl>
    <w:lvl w:ilvl="6" w:tentative="1">
      <w:start w:val="1"/>
      <w:numFmt w:val="bullet"/>
      <w:lvlText w:val=""/>
      <w:lvlJc w:val="left"/>
      <w:pPr>
        <w:ind w:left="5823" w:hanging="360"/>
      </w:pPr>
      <w:rPr>
        <w:rFonts w:ascii="Symbol" w:hAnsi="Symbol" w:hint="default"/>
      </w:rPr>
    </w:lvl>
    <w:lvl w:ilvl="7" w:tentative="1">
      <w:start w:val="1"/>
      <w:numFmt w:val="bullet"/>
      <w:lvlText w:val="o"/>
      <w:lvlJc w:val="left"/>
      <w:pPr>
        <w:ind w:left="6543" w:hanging="360"/>
      </w:pPr>
      <w:rPr>
        <w:rFonts w:ascii="Courier New" w:hAnsi="Courier New" w:cs="Courier New" w:hint="default"/>
      </w:rPr>
    </w:lvl>
    <w:lvl w:ilvl="8" w:tentative="1">
      <w:start w:val="1"/>
      <w:numFmt w:val="bullet"/>
      <w:lvlText w:val=""/>
      <w:lvlJc w:val="left"/>
      <w:pPr>
        <w:ind w:left="7263" w:hanging="360"/>
      </w:pPr>
      <w:rPr>
        <w:rFonts w:ascii="Wingdings" w:hAnsi="Wingdings" w:hint="default"/>
      </w:rPr>
    </w:lvl>
  </w:abstractNum>
  <w:num w:numId="1">
    <w:abstractNumId w:val="15"/>
  </w:num>
  <w:num w:numId="2">
    <w:abstractNumId w:val="11"/>
  </w:num>
  <w:num w:numId="3">
    <w:abstractNumId w:val="8"/>
  </w:num>
  <w:num w:numId="4">
    <w:abstractNumId w:val="14"/>
  </w:num>
  <w:num w:numId="5">
    <w:abstractNumId w:val="6"/>
  </w:num>
  <w:num w:numId="6">
    <w:abstractNumId w:val="7"/>
  </w:num>
  <w:num w:numId="7">
    <w:abstractNumId w:val="9"/>
  </w:num>
  <w:num w:numId="8">
    <w:abstractNumId w:val="4"/>
  </w:num>
  <w:num w:numId="9">
    <w:abstractNumId w:val="0"/>
  </w:num>
  <w:num w:numId="10">
    <w:abstractNumId w:val="3"/>
  </w:num>
  <w:num w:numId="11">
    <w:abstractNumId w:val="2"/>
  </w:num>
  <w:num w:numId="12">
    <w:abstractNumId w:val="12"/>
  </w:num>
  <w:num w:numId="13">
    <w:abstractNumId w:val="1"/>
  </w:num>
  <w:num w:numId="14">
    <w:abstractNumId w:val="1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6A"/>
    <w:rsid w:val="0000007F"/>
    <w:rsid w:val="00000851"/>
    <w:rsid w:val="00000DA8"/>
    <w:rsid w:val="000011CD"/>
    <w:rsid w:val="00001D3F"/>
    <w:rsid w:val="00002234"/>
    <w:rsid w:val="00003548"/>
    <w:rsid w:val="00003AD0"/>
    <w:rsid w:val="00003AF1"/>
    <w:rsid w:val="000045CE"/>
    <w:rsid w:val="00004747"/>
    <w:rsid w:val="00004888"/>
    <w:rsid w:val="000050C0"/>
    <w:rsid w:val="000052A2"/>
    <w:rsid w:val="000052E5"/>
    <w:rsid w:val="000054E2"/>
    <w:rsid w:val="00006BFC"/>
    <w:rsid w:val="00006C1B"/>
    <w:rsid w:val="00006D32"/>
    <w:rsid w:val="00006D74"/>
    <w:rsid w:val="00006E98"/>
    <w:rsid w:val="00007011"/>
    <w:rsid w:val="000075A2"/>
    <w:rsid w:val="000078BD"/>
    <w:rsid w:val="00007C2F"/>
    <w:rsid w:val="00010392"/>
    <w:rsid w:val="00010EED"/>
    <w:rsid w:val="00011258"/>
    <w:rsid w:val="00011423"/>
    <w:rsid w:val="00011656"/>
    <w:rsid w:val="00011CA3"/>
    <w:rsid w:val="00011ECE"/>
    <w:rsid w:val="000121E5"/>
    <w:rsid w:val="00012666"/>
    <w:rsid w:val="000130C0"/>
    <w:rsid w:val="00013E68"/>
    <w:rsid w:val="00014CDA"/>
    <w:rsid w:val="00014CE7"/>
    <w:rsid w:val="0001507D"/>
    <w:rsid w:val="000152BF"/>
    <w:rsid w:val="0001598D"/>
    <w:rsid w:val="0001683F"/>
    <w:rsid w:val="00017424"/>
    <w:rsid w:val="00017484"/>
    <w:rsid w:val="000179DA"/>
    <w:rsid w:val="00017DE9"/>
    <w:rsid w:val="0002002B"/>
    <w:rsid w:val="0002010A"/>
    <w:rsid w:val="000204F4"/>
    <w:rsid w:val="00020B86"/>
    <w:rsid w:val="00020DFD"/>
    <w:rsid w:val="00021184"/>
    <w:rsid w:val="000212E2"/>
    <w:rsid w:val="000218D0"/>
    <w:rsid w:val="00021902"/>
    <w:rsid w:val="00021A5F"/>
    <w:rsid w:val="00022067"/>
    <w:rsid w:val="000221A2"/>
    <w:rsid w:val="000222FC"/>
    <w:rsid w:val="000224CB"/>
    <w:rsid w:val="0002255F"/>
    <w:rsid w:val="00022B4F"/>
    <w:rsid w:val="00022BCA"/>
    <w:rsid w:val="000234CE"/>
    <w:rsid w:val="0002355D"/>
    <w:rsid w:val="0002382E"/>
    <w:rsid w:val="00025284"/>
    <w:rsid w:val="00025415"/>
    <w:rsid w:val="00025D7E"/>
    <w:rsid w:val="000261AF"/>
    <w:rsid w:val="000262C1"/>
    <w:rsid w:val="000273C7"/>
    <w:rsid w:val="0002761A"/>
    <w:rsid w:val="00027846"/>
    <w:rsid w:val="00027A7A"/>
    <w:rsid w:val="000300B9"/>
    <w:rsid w:val="000308D4"/>
    <w:rsid w:val="00030A27"/>
    <w:rsid w:val="00030B6E"/>
    <w:rsid w:val="00031A94"/>
    <w:rsid w:val="00031D5B"/>
    <w:rsid w:val="000321C3"/>
    <w:rsid w:val="000326A5"/>
    <w:rsid w:val="0003276D"/>
    <w:rsid w:val="00032B39"/>
    <w:rsid w:val="000331FF"/>
    <w:rsid w:val="0003366D"/>
    <w:rsid w:val="00034408"/>
    <w:rsid w:val="000358A9"/>
    <w:rsid w:val="00035FDA"/>
    <w:rsid w:val="00036302"/>
    <w:rsid w:val="000366FB"/>
    <w:rsid w:val="00036702"/>
    <w:rsid w:val="0003672C"/>
    <w:rsid w:val="000370F2"/>
    <w:rsid w:val="00037C14"/>
    <w:rsid w:val="0004054A"/>
    <w:rsid w:val="0004153B"/>
    <w:rsid w:val="00042191"/>
    <w:rsid w:val="0004272E"/>
    <w:rsid w:val="00042C66"/>
    <w:rsid w:val="0004351C"/>
    <w:rsid w:val="0004397F"/>
    <w:rsid w:val="0004418A"/>
    <w:rsid w:val="000441F4"/>
    <w:rsid w:val="000446B8"/>
    <w:rsid w:val="000447A7"/>
    <w:rsid w:val="00044BFA"/>
    <w:rsid w:val="00045CF4"/>
    <w:rsid w:val="00046B61"/>
    <w:rsid w:val="00047847"/>
    <w:rsid w:val="000501E0"/>
    <w:rsid w:val="00050655"/>
    <w:rsid w:val="00050D5F"/>
    <w:rsid w:val="0005111A"/>
    <w:rsid w:val="00051770"/>
    <w:rsid w:val="000519CA"/>
    <w:rsid w:val="00051ACD"/>
    <w:rsid w:val="00051D7E"/>
    <w:rsid w:val="00051F61"/>
    <w:rsid w:val="00051FE2"/>
    <w:rsid w:val="00052229"/>
    <w:rsid w:val="000525A4"/>
    <w:rsid w:val="000525ED"/>
    <w:rsid w:val="00052774"/>
    <w:rsid w:val="00052FB0"/>
    <w:rsid w:val="00053510"/>
    <w:rsid w:val="0005368F"/>
    <w:rsid w:val="000538F9"/>
    <w:rsid w:val="000539D3"/>
    <w:rsid w:val="00053C09"/>
    <w:rsid w:val="00053D6F"/>
    <w:rsid w:val="000540B2"/>
    <w:rsid w:val="000543C0"/>
    <w:rsid w:val="0005442F"/>
    <w:rsid w:val="00055853"/>
    <w:rsid w:val="000559B7"/>
    <w:rsid w:val="00055A1E"/>
    <w:rsid w:val="00055E38"/>
    <w:rsid w:val="00055E58"/>
    <w:rsid w:val="00055F8A"/>
    <w:rsid w:val="000564BD"/>
    <w:rsid w:val="000570B3"/>
    <w:rsid w:val="00057146"/>
    <w:rsid w:val="0005733D"/>
    <w:rsid w:val="00057CC2"/>
    <w:rsid w:val="00060E69"/>
    <w:rsid w:val="00060FAE"/>
    <w:rsid w:val="00061789"/>
    <w:rsid w:val="0006198B"/>
    <w:rsid w:val="00061C1E"/>
    <w:rsid w:val="0006217A"/>
    <w:rsid w:val="0006295C"/>
    <w:rsid w:val="00063432"/>
    <w:rsid w:val="0006441D"/>
    <w:rsid w:val="00064885"/>
    <w:rsid w:val="000649A4"/>
    <w:rsid w:val="00064DC5"/>
    <w:rsid w:val="0006514E"/>
    <w:rsid w:val="000653C7"/>
    <w:rsid w:val="00065983"/>
    <w:rsid w:val="00065D17"/>
    <w:rsid w:val="00066383"/>
    <w:rsid w:val="000667BD"/>
    <w:rsid w:val="00066CED"/>
    <w:rsid w:val="00066F76"/>
    <w:rsid w:val="000671DF"/>
    <w:rsid w:val="00067ED9"/>
    <w:rsid w:val="00070356"/>
    <w:rsid w:val="000704CA"/>
    <w:rsid w:val="0007082B"/>
    <w:rsid w:val="00071ADA"/>
    <w:rsid w:val="00071D00"/>
    <w:rsid w:val="00072020"/>
    <w:rsid w:val="00072B12"/>
    <w:rsid w:val="00072FC6"/>
    <w:rsid w:val="00073880"/>
    <w:rsid w:val="000747D4"/>
    <w:rsid w:val="00074C32"/>
    <w:rsid w:val="00074E90"/>
    <w:rsid w:val="00074ED7"/>
    <w:rsid w:val="00075719"/>
    <w:rsid w:val="00076068"/>
    <w:rsid w:val="00076280"/>
    <w:rsid w:val="00076C06"/>
    <w:rsid w:val="00076DF1"/>
    <w:rsid w:val="00076E38"/>
    <w:rsid w:val="000775E5"/>
    <w:rsid w:val="00077BAA"/>
    <w:rsid w:val="00077CB7"/>
    <w:rsid w:val="00077DE0"/>
    <w:rsid w:val="00080187"/>
    <w:rsid w:val="00080231"/>
    <w:rsid w:val="000807A8"/>
    <w:rsid w:val="00080A21"/>
    <w:rsid w:val="00080A2B"/>
    <w:rsid w:val="00080E1F"/>
    <w:rsid w:val="00081461"/>
    <w:rsid w:val="0008212E"/>
    <w:rsid w:val="0008242B"/>
    <w:rsid w:val="00082904"/>
    <w:rsid w:val="000830DE"/>
    <w:rsid w:val="0008372F"/>
    <w:rsid w:val="00083CD7"/>
    <w:rsid w:val="000850D5"/>
    <w:rsid w:val="00085A73"/>
    <w:rsid w:val="0008662A"/>
    <w:rsid w:val="00086834"/>
    <w:rsid w:val="00087534"/>
    <w:rsid w:val="00087FEB"/>
    <w:rsid w:val="00090BC6"/>
    <w:rsid w:val="00090D48"/>
    <w:rsid w:val="000910DE"/>
    <w:rsid w:val="00091721"/>
    <w:rsid w:val="00091861"/>
    <w:rsid w:val="0009201C"/>
    <w:rsid w:val="000925BA"/>
    <w:rsid w:val="00093796"/>
    <w:rsid w:val="000938B5"/>
    <w:rsid w:val="00093E06"/>
    <w:rsid w:val="000947FC"/>
    <w:rsid w:val="000949AE"/>
    <w:rsid w:val="00094A8D"/>
    <w:rsid w:val="00094BDF"/>
    <w:rsid w:val="0009502F"/>
    <w:rsid w:val="000952C7"/>
    <w:rsid w:val="00095665"/>
    <w:rsid w:val="00095F44"/>
    <w:rsid w:val="000966EC"/>
    <w:rsid w:val="00096EFC"/>
    <w:rsid w:val="00096F8D"/>
    <w:rsid w:val="00097080"/>
    <w:rsid w:val="00097205"/>
    <w:rsid w:val="000974EF"/>
    <w:rsid w:val="00097908"/>
    <w:rsid w:val="00097B95"/>
    <w:rsid w:val="00097BDF"/>
    <w:rsid w:val="00097F54"/>
    <w:rsid w:val="000A0411"/>
    <w:rsid w:val="000A06E3"/>
    <w:rsid w:val="000A0743"/>
    <w:rsid w:val="000A0AAA"/>
    <w:rsid w:val="000A1C03"/>
    <w:rsid w:val="000A1F16"/>
    <w:rsid w:val="000A1F27"/>
    <w:rsid w:val="000A2C35"/>
    <w:rsid w:val="000A2D9E"/>
    <w:rsid w:val="000A3282"/>
    <w:rsid w:val="000A3909"/>
    <w:rsid w:val="000A44DF"/>
    <w:rsid w:val="000A553D"/>
    <w:rsid w:val="000A5A78"/>
    <w:rsid w:val="000A5B72"/>
    <w:rsid w:val="000A607D"/>
    <w:rsid w:val="000A6953"/>
    <w:rsid w:val="000A6B2A"/>
    <w:rsid w:val="000A6D6D"/>
    <w:rsid w:val="000A6F06"/>
    <w:rsid w:val="000B03EB"/>
    <w:rsid w:val="000B09A2"/>
    <w:rsid w:val="000B135F"/>
    <w:rsid w:val="000B1E03"/>
    <w:rsid w:val="000B3EA8"/>
    <w:rsid w:val="000B4338"/>
    <w:rsid w:val="000B445A"/>
    <w:rsid w:val="000B546D"/>
    <w:rsid w:val="000B58A5"/>
    <w:rsid w:val="000B61EC"/>
    <w:rsid w:val="000B66D1"/>
    <w:rsid w:val="000B6799"/>
    <w:rsid w:val="000B75A8"/>
    <w:rsid w:val="000B7767"/>
    <w:rsid w:val="000B7792"/>
    <w:rsid w:val="000B7890"/>
    <w:rsid w:val="000B79F0"/>
    <w:rsid w:val="000C0163"/>
    <w:rsid w:val="000C0DF7"/>
    <w:rsid w:val="000C0F81"/>
    <w:rsid w:val="000C1013"/>
    <w:rsid w:val="000C138F"/>
    <w:rsid w:val="000C141F"/>
    <w:rsid w:val="000C1921"/>
    <w:rsid w:val="000C1923"/>
    <w:rsid w:val="000C214F"/>
    <w:rsid w:val="000C3DCE"/>
    <w:rsid w:val="000C4050"/>
    <w:rsid w:val="000C43F0"/>
    <w:rsid w:val="000C47D6"/>
    <w:rsid w:val="000C48FC"/>
    <w:rsid w:val="000C4BCC"/>
    <w:rsid w:val="000C4EBC"/>
    <w:rsid w:val="000C52C7"/>
    <w:rsid w:val="000C560E"/>
    <w:rsid w:val="000C590C"/>
    <w:rsid w:val="000C5CD0"/>
    <w:rsid w:val="000C608F"/>
    <w:rsid w:val="000C6D66"/>
    <w:rsid w:val="000C760C"/>
    <w:rsid w:val="000C77D0"/>
    <w:rsid w:val="000C7A1A"/>
    <w:rsid w:val="000D0003"/>
    <w:rsid w:val="000D07FA"/>
    <w:rsid w:val="000D0D17"/>
    <w:rsid w:val="000D1AE2"/>
    <w:rsid w:val="000D2B12"/>
    <w:rsid w:val="000D32B1"/>
    <w:rsid w:val="000D366E"/>
    <w:rsid w:val="000D3C54"/>
    <w:rsid w:val="000D420E"/>
    <w:rsid w:val="000D4CC4"/>
    <w:rsid w:val="000D4CF6"/>
    <w:rsid w:val="000D5913"/>
    <w:rsid w:val="000D5EE7"/>
    <w:rsid w:val="000D5EF2"/>
    <w:rsid w:val="000D646D"/>
    <w:rsid w:val="000D6A4D"/>
    <w:rsid w:val="000D704C"/>
    <w:rsid w:val="000E018E"/>
    <w:rsid w:val="000E0B2B"/>
    <w:rsid w:val="000E0BC7"/>
    <w:rsid w:val="000E19A8"/>
    <w:rsid w:val="000E1B02"/>
    <w:rsid w:val="000E1DC4"/>
    <w:rsid w:val="000E2B40"/>
    <w:rsid w:val="000E2F55"/>
    <w:rsid w:val="000E336B"/>
    <w:rsid w:val="000E459B"/>
    <w:rsid w:val="000E5517"/>
    <w:rsid w:val="000E5BC4"/>
    <w:rsid w:val="000E628E"/>
    <w:rsid w:val="000E6999"/>
    <w:rsid w:val="000E6DEE"/>
    <w:rsid w:val="000E73F0"/>
    <w:rsid w:val="000E79E7"/>
    <w:rsid w:val="000E7B1F"/>
    <w:rsid w:val="000F05AC"/>
    <w:rsid w:val="000F11F4"/>
    <w:rsid w:val="000F142D"/>
    <w:rsid w:val="000F29D2"/>
    <w:rsid w:val="000F29E2"/>
    <w:rsid w:val="000F31FE"/>
    <w:rsid w:val="000F32EE"/>
    <w:rsid w:val="000F3EB8"/>
    <w:rsid w:val="000F4674"/>
    <w:rsid w:val="000F4C08"/>
    <w:rsid w:val="000F4E8F"/>
    <w:rsid w:val="000F500D"/>
    <w:rsid w:val="000F54E9"/>
    <w:rsid w:val="000F552E"/>
    <w:rsid w:val="000F55C2"/>
    <w:rsid w:val="000F5F49"/>
    <w:rsid w:val="000F618A"/>
    <w:rsid w:val="000F6CF4"/>
    <w:rsid w:val="000F6E89"/>
    <w:rsid w:val="000F6EE2"/>
    <w:rsid w:val="000F7B13"/>
    <w:rsid w:val="000F7B72"/>
    <w:rsid w:val="00100A9F"/>
    <w:rsid w:val="00101C25"/>
    <w:rsid w:val="00101E25"/>
    <w:rsid w:val="001022CC"/>
    <w:rsid w:val="00102751"/>
    <w:rsid w:val="0010486F"/>
    <w:rsid w:val="00104D53"/>
    <w:rsid w:val="00105273"/>
    <w:rsid w:val="00105383"/>
    <w:rsid w:val="0010563A"/>
    <w:rsid w:val="00105E29"/>
    <w:rsid w:val="0010617E"/>
    <w:rsid w:val="00106336"/>
    <w:rsid w:val="001067B4"/>
    <w:rsid w:val="00106EE5"/>
    <w:rsid w:val="001077A3"/>
    <w:rsid w:val="00110946"/>
    <w:rsid w:val="00110B50"/>
    <w:rsid w:val="00110DFA"/>
    <w:rsid w:val="00111931"/>
    <w:rsid w:val="00113102"/>
    <w:rsid w:val="00113200"/>
    <w:rsid w:val="00113E86"/>
    <w:rsid w:val="001142B4"/>
    <w:rsid w:val="001142E2"/>
    <w:rsid w:val="0011438B"/>
    <w:rsid w:val="0011474B"/>
    <w:rsid w:val="00115379"/>
    <w:rsid w:val="00115884"/>
    <w:rsid w:val="00115B34"/>
    <w:rsid w:val="00115D10"/>
    <w:rsid w:val="00116041"/>
    <w:rsid w:val="0011619B"/>
    <w:rsid w:val="00116464"/>
    <w:rsid w:val="001164E1"/>
    <w:rsid w:val="00116C4D"/>
    <w:rsid w:val="0011714E"/>
    <w:rsid w:val="001172B1"/>
    <w:rsid w:val="00117C92"/>
    <w:rsid w:val="00120335"/>
    <w:rsid w:val="00120455"/>
    <w:rsid w:val="0012047E"/>
    <w:rsid w:val="001205FB"/>
    <w:rsid w:val="00120E0E"/>
    <w:rsid w:val="00120F4A"/>
    <w:rsid w:val="001211A7"/>
    <w:rsid w:val="001224AE"/>
    <w:rsid w:val="001228B0"/>
    <w:rsid w:val="0012295E"/>
    <w:rsid w:val="00122AEA"/>
    <w:rsid w:val="00122DFF"/>
    <w:rsid w:val="00123336"/>
    <w:rsid w:val="00123808"/>
    <w:rsid w:val="001240A7"/>
    <w:rsid w:val="00124917"/>
    <w:rsid w:val="001255C6"/>
    <w:rsid w:val="0012576A"/>
    <w:rsid w:val="00125816"/>
    <w:rsid w:val="001261E2"/>
    <w:rsid w:val="00126460"/>
    <w:rsid w:val="0012670E"/>
    <w:rsid w:val="00126BA9"/>
    <w:rsid w:val="00127A27"/>
    <w:rsid w:val="00130C27"/>
    <w:rsid w:val="00131551"/>
    <w:rsid w:val="00132DA9"/>
    <w:rsid w:val="0013356F"/>
    <w:rsid w:val="00134A92"/>
    <w:rsid w:val="0013518B"/>
    <w:rsid w:val="00135905"/>
    <w:rsid w:val="001363B4"/>
    <w:rsid w:val="00136A79"/>
    <w:rsid w:val="00136B96"/>
    <w:rsid w:val="00136D2E"/>
    <w:rsid w:val="00137499"/>
    <w:rsid w:val="001407AC"/>
    <w:rsid w:val="00141079"/>
    <w:rsid w:val="001410F1"/>
    <w:rsid w:val="00141A27"/>
    <w:rsid w:val="00141E05"/>
    <w:rsid w:val="001420AA"/>
    <w:rsid w:val="001420E9"/>
    <w:rsid w:val="00142425"/>
    <w:rsid w:val="001424C0"/>
    <w:rsid w:val="001425F5"/>
    <w:rsid w:val="0014266E"/>
    <w:rsid w:val="00142980"/>
    <w:rsid w:val="00142D1A"/>
    <w:rsid w:val="00143F27"/>
    <w:rsid w:val="00144289"/>
    <w:rsid w:val="001446AA"/>
    <w:rsid w:val="001454AA"/>
    <w:rsid w:val="00145529"/>
    <w:rsid w:val="00145715"/>
    <w:rsid w:val="00145F5A"/>
    <w:rsid w:val="0014651F"/>
    <w:rsid w:val="00147184"/>
    <w:rsid w:val="001473F4"/>
    <w:rsid w:val="0014765D"/>
    <w:rsid w:val="00147948"/>
    <w:rsid w:val="00147B50"/>
    <w:rsid w:val="00147FA1"/>
    <w:rsid w:val="00151370"/>
    <w:rsid w:val="001537C9"/>
    <w:rsid w:val="001540FC"/>
    <w:rsid w:val="00154390"/>
    <w:rsid w:val="0015470B"/>
    <w:rsid w:val="001547D0"/>
    <w:rsid w:val="00154893"/>
    <w:rsid w:val="00154A97"/>
    <w:rsid w:val="00154BBC"/>
    <w:rsid w:val="00154E32"/>
    <w:rsid w:val="00154F6C"/>
    <w:rsid w:val="00154F7F"/>
    <w:rsid w:val="00155B99"/>
    <w:rsid w:val="001564BD"/>
    <w:rsid w:val="00156D50"/>
    <w:rsid w:val="00157C22"/>
    <w:rsid w:val="0016012A"/>
    <w:rsid w:val="0016012C"/>
    <w:rsid w:val="0016018C"/>
    <w:rsid w:val="00160A15"/>
    <w:rsid w:val="00161454"/>
    <w:rsid w:val="00161D18"/>
    <w:rsid w:val="00161FA9"/>
    <w:rsid w:val="0016220C"/>
    <w:rsid w:val="0016236B"/>
    <w:rsid w:val="001627B5"/>
    <w:rsid w:val="00162A19"/>
    <w:rsid w:val="00162A86"/>
    <w:rsid w:val="00162FE8"/>
    <w:rsid w:val="0016386A"/>
    <w:rsid w:val="00163B62"/>
    <w:rsid w:val="0016430E"/>
    <w:rsid w:val="00164697"/>
    <w:rsid w:val="001651F5"/>
    <w:rsid w:val="001652E6"/>
    <w:rsid w:val="001664E8"/>
    <w:rsid w:val="00166B65"/>
    <w:rsid w:val="00166CCF"/>
    <w:rsid w:val="00166F39"/>
    <w:rsid w:val="0016737C"/>
    <w:rsid w:val="0016746E"/>
    <w:rsid w:val="0016752E"/>
    <w:rsid w:val="00167AAA"/>
    <w:rsid w:val="00167C3C"/>
    <w:rsid w:val="001702FA"/>
    <w:rsid w:val="001711D9"/>
    <w:rsid w:val="0017160E"/>
    <w:rsid w:val="0017167F"/>
    <w:rsid w:val="001717BC"/>
    <w:rsid w:val="00171F77"/>
    <w:rsid w:val="001720A9"/>
    <w:rsid w:val="001720E2"/>
    <w:rsid w:val="0017329F"/>
    <w:rsid w:val="001732A7"/>
    <w:rsid w:val="001737B6"/>
    <w:rsid w:val="00173B49"/>
    <w:rsid w:val="00174D7C"/>
    <w:rsid w:val="00174FD1"/>
    <w:rsid w:val="00175D98"/>
    <w:rsid w:val="00175E4D"/>
    <w:rsid w:val="00177205"/>
    <w:rsid w:val="001774BC"/>
    <w:rsid w:val="001777E9"/>
    <w:rsid w:val="00177B3C"/>
    <w:rsid w:val="00181210"/>
    <w:rsid w:val="00181946"/>
    <w:rsid w:val="00181B7B"/>
    <w:rsid w:val="001826B9"/>
    <w:rsid w:val="00183CBC"/>
    <w:rsid w:val="00184D96"/>
    <w:rsid w:val="0018502D"/>
    <w:rsid w:val="001852B1"/>
    <w:rsid w:val="001859B5"/>
    <w:rsid w:val="00186293"/>
    <w:rsid w:val="00186593"/>
    <w:rsid w:val="00186B4D"/>
    <w:rsid w:val="00186B8A"/>
    <w:rsid w:val="001873CF"/>
    <w:rsid w:val="001902E5"/>
    <w:rsid w:val="001904FF"/>
    <w:rsid w:val="00190AD3"/>
    <w:rsid w:val="0019127F"/>
    <w:rsid w:val="001933ED"/>
    <w:rsid w:val="00193A5C"/>
    <w:rsid w:val="00194034"/>
    <w:rsid w:val="00194882"/>
    <w:rsid w:val="00194DCE"/>
    <w:rsid w:val="00194ECC"/>
    <w:rsid w:val="0019512B"/>
    <w:rsid w:val="0019530C"/>
    <w:rsid w:val="00195499"/>
    <w:rsid w:val="00195561"/>
    <w:rsid w:val="00195756"/>
    <w:rsid w:val="00195B88"/>
    <w:rsid w:val="001972BC"/>
    <w:rsid w:val="00197BEE"/>
    <w:rsid w:val="00197EC9"/>
    <w:rsid w:val="001A023F"/>
    <w:rsid w:val="001A027F"/>
    <w:rsid w:val="001A087E"/>
    <w:rsid w:val="001A17C5"/>
    <w:rsid w:val="001A1B53"/>
    <w:rsid w:val="001A21C8"/>
    <w:rsid w:val="001A323C"/>
    <w:rsid w:val="001A34C8"/>
    <w:rsid w:val="001A3535"/>
    <w:rsid w:val="001A3619"/>
    <w:rsid w:val="001A3AFD"/>
    <w:rsid w:val="001A3C0A"/>
    <w:rsid w:val="001A3C2F"/>
    <w:rsid w:val="001A4250"/>
    <w:rsid w:val="001A4652"/>
    <w:rsid w:val="001A4DBB"/>
    <w:rsid w:val="001A5D34"/>
    <w:rsid w:val="001A5D72"/>
    <w:rsid w:val="001A6DE9"/>
    <w:rsid w:val="001A72F9"/>
    <w:rsid w:val="001A7763"/>
    <w:rsid w:val="001A7F69"/>
    <w:rsid w:val="001B037B"/>
    <w:rsid w:val="001B08CC"/>
    <w:rsid w:val="001B10C0"/>
    <w:rsid w:val="001B1390"/>
    <w:rsid w:val="001B27E5"/>
    <w:rsid w:val="001B2945"/>
    <w:rsid w:val="001B2C5D"/>
    <w:rsid w:val="001B300F"/>
    <w:rsid w:val="001B302E"/>
    <w:rsid w:val="001B314F"/>
    <w:rsid w:val="001B4523"/>
    <w:rsid w:val="001B45B0"/>
    <w:rsid w:val="001B4F03"/>
    <w:rsid w:val="001B5051"/>
    <w:rsid w:val="001B5111"/>
    <w:rsid w:val="001B517B"/>
    <w:rsid w:val="001B58B9"/>
    <w:rsid w:val="001B5C71"/>
    <w:rsid w:val="001B6830"/>
    <w:rsid w:val="001B6A36"/>
    <w:rsid w:val="001B6C19"/>
    <w:rsid w:val="001B7CFE"/>
    <w:rsid w:val="001C068C"/>
    <w:rsid w:val="001C0878"/>
    <w:rsid w:val="001C0923"/>
    <w:rsid w:val="001C14D5"/>
    <w:rsid w:val="001C1F9C"/>
    <w:rsid w:val="001C21B9"/>
    <w:rsid w:val="001C275B"/>
    <w:rsid w:val="001C3208"/>
    <w:rsid w:val="001C4A5A"/>
    <w:rsid w:val="001C65CE"/>
    <w:rsid w:val="001C763D"/>
    <w:rsid w:val="001C79DA"/>
    <w:rsid w:val="001C7E8D"/>
    <w:rsid w:val="001D057C"/>
    <w:rsid w:val="001D06A6"/>
    <w:rsid w:val="001D08B9"/>
    <w:rsid w:val="001D1202"/>
    <w:rsid w:val="001D12FA"/>
    <w:rsid w:val="001D14EF"/>
    <w:rsid w:val="001D1E67"/>
    <w:rsid w:val="001D275C"/>
    <w:rsid w:val="001D2A62"/>
    <w:rsid w:val="001D2C08"/>
    <w:rsid w:val="001D32B0"/>
    <w:rsid w:val="001D341D"/>
    <w:rsid w:val="001D3648"/>
    <w:rsid w:val="001D4939"/>
    <w:rsid w:val="001D4F55"/>
    <w:rsid w:val="001D539C"/>
    <w:rsid w:val="001D5BA3"/>
    <w:rsid w:val="001D5FC3"/>
    <w:rsid w:val="001D6058"/>
    <w:rsid w:val="001D6111"/>
    <w:rsid w:val="001D615F"/>
    <w:rsid w:val="001D6422"/>
    <w:rsid w:val="001D6AD9"/>
    <w:rsid w:val="001D6FAD"/>
    <w:rsid w:val="001D731D"/>
    <w:rsid w:val="001D7B6A"/>
    <w:rsid w:val="001D7DBC"/>
    <w:rsid w:val="001E09AF"/>
    <w:rsid w:val="001E0B13"/>
    <w:rsid w:val="001E0DFD"/>
    <w:rsid w:val="001E11E1"/>
    <w:rsid w:val="001E130A"/>
    <w:rsid w:val="001E17D9"/>
    <w:rsid w:val="001E195E"/>
    <w:rsid w:val="001E19D0"/>
    <w:rsid w:val="001E24AA"/>
    <w:rsid w:val="001E25A8"/>
    <w:rsid w:val="001E2ECB"/>
    <w:rsid w:val="001E3143"/>
    <w:rsid w:val="001E317F"/>
    <w:rsid w:val="001E377D"/>
    <w:rsid w:val="001E3AA2"/>
    <w:rsid w:val="001E3BF7"/>
    <w:rsid w:val="001E4545"/>
    <w:rsid w:val="001E492B"/>
    <w:rsid w:val="001E4F0C"/>
    <w:rsid w:val="001E59EB"/>
    <w:rsid w:val="001E5F00"/>
    <w:rsid w:val="001E6077"/>
    <w:rsid w:val="001E62AE"/>
    <w:rsid w:val="001E6653"/>
    <w:rsid w:val="001E69C1"/>
    <w:rsid w:val="001E6A9C"/>
    <w:rsid w:val="001E700F"/>
    <w:rsid w:val="001E7637"/>
    <w:rsid w:val="001E77B3"/>
    <w:rsid w:val="001E781A"/>
    <w:rsid w:val="001E78DE"/>
    <w:rsid w:val="001E7CF5"/>
    <w:rsid w:val="001F00F4"/>
    <w:rsid w:val="001F0369"/>
    <w:rsid w:val="001F0663"/>
    <w:rsid w:val="001F0AB8"/>
    <w:rsid w:val="001F0BE3"/>
    <w:rsid w:val="001F0CF5"/>
    <w:rsid w:val="001F140F"/>
    <w:rsid w:val="001F1918"/>
    <w:rsid w:val="001F1C83"/>
    <w:rsid w:val="001F1D82"/>
    <w:rsid w:val="001F1D97"/>
    <w:rsid w:val="001F1DD6"/>
    <w:rsid w:val="001F28C2"/>
    <w:rsid w:val="001F33DE"/>
    <w:rsid w:val="001F39C0"/>
    <w:rsid w:val="001F3F3B"/>
    <w:rsid w:val="001F4659"/>
    <w:rsid w:val="001F4701"/>
    <w:rsid w:val="001F4D42"/>
    <w:rsid w:val="001F5CE0"/>
    <w:rsid w:val="001F63E1"/>
    <w:rsid w:val="001F66DF"/>
    <w:rsid w:val="001F6B3E"/>
    <w:rsid w:val="001F6FF8"/>
    <w:rsid w:val="001F7549"/>
    <w:rsid w:val="001F7C44"/>
    <w:rsid w:val="00200577"/>
    <w:rsid w:val="00200A1A"/>
    <w:rsid w:val="00200C4E"/>
    <w:rsid w:val="00200CD1"/>
    <w:rsid w:val="00200CDB"/>
    <w:rsid w:val="002015E3"/>
    <w:rsid w:val="00202494"/>
    <w:rsid w:val="00202941"/>
    <w:rsid w:val="00202CE7"/>
    <w:rsid w:val="00203026"/>
    <w:rsid w:val="00203251"/>
    <w:rsid w:val="0020354B"/>
    <w:rsid w:val="002038B4"/>
    <w:rsid w:val="00203945"/>
    <w:rsid w:val="002039C5"/>
    <w:rsid w:val="00203A0A"/>
    <w:rsid w:val="00204AC0"/>
    <w:rsid w:val="00204C9E"/>
    <w:rsid w:val="00204E0E"/>
    <w:rsid w:val="00204EA0"/>
    <w:rsid w:val="002050F8"/>
    <w:rsid w:val="0020520B"/>
    <w:rsid w:val="0020522E"/>
    <w:rsid w:val="00205580"/>
    <w:rsid w:val="00205ED9"/>
    <w:rsid w:val="00205FA8"/>
    <w:rsid w:val="002063FE"/>
    <w:rsid w:val="00206B55"/>
    <w:rsid w:val="0020730D"/>
    <w:rsid w:val="00207D92"/>
    <w:rsid w:val="002100E5"/>
    <w:rsid w:val="00210AA8"/>
    <w:rsid w:val="00211498"/>
    <w:rsid w:val="0021156D"/>
    <w:rsid w:val="00211F43"/>
    <w:rsid w:val="00211FFD"/>
    <w:rsid w:val="002122D0"/>
    <w:rsid w:val="002123C4"/>
    <w:rsid w:val="002125CF"/>
    <w:rsid w:val="002126FC"/>
    <w:rsid w:val="00212DF1"/>
    <w:rsid w:val="002143F4"/>
    <w:rsid w:val="0021458F"/>
    <w:rsid w:val="00214B3D"/>
    <w:rsid w:val="0021520B"/>
    <w:rsid w:val="002152BA"/>
    <w:rsid w:val="00215844"/>
    <w:rsid w:val="00216433"/>
    <w:rsid w:val="002171BB"/>
    <w:rsid w:val="002179F8"/>
    <w:rsid w:val="00217A9D"/>
    <w:rsid w:val="00220015"/>
    <w:rsid w:val="002203B9"/>
    <w:rsid w:val="00220928"/>
    <w:rsid w:val="00220AB6"/>
    <w:rsid w:val="00220ED0"/>
    <w:rsid w:val="002215AD"/>
    <w:rsid w:val="00221E06"/>
    <w:rsid w:val="00222055"/>
    <w:rsid w:val="0022216A"/>
    <w:rsid w:val="002227E2"/>
    <w:rsid w:val="00222CC1"/>
    <w:rsid w:val="00222EFE"/>
    <w:rsid w:val="002231B4"/>
    <w:rsid w:val="0022351C"/>
    <w:rsid w:val="00223571"/>
    <w:rsid w:val="002245D7"/>
    <w:rsid w:val="0022499A"/>
    <w:rsid w:val="002253F7"/>
    <w:rsid w:val="00225504"/>
    <w:rsid w:val="0022563D"/>
    <w:rsid w:val="0022573F"/>
    <w:rsid w:val="00225817"/>
    <w:rsid w:val="00226473"/>
    <w:rsid w:val="002272C5"/>
    <w:rsid w:val="00227510"/>
    <w:rsid w:val="00230164"/>
    <w:rsid w:val="002302F3"/>
    <w:rsid w:val="00230D56"/>
    <w:rsid w:val="00230DFA"/>
    <w:rsid w:val="00231002"/>
    <w:rsid w:val="00232B30"/>
    <w:rsid w:val="002337CE"/>
    <w:rsid w:val="00233BB0"/>
    <w:rsid w:val="002340DA"/>
    <w:rsid w:val="002344DF"/>
    <w:rsid w:val="00234920"/>
    <w:rsid w:val="002359C1"/>
    <w:rsid w:val="00236221"/>
    <w:rsid w:val="00236757"/>
    <w:rsid w:val="00236B38"/>
    <w:rsid w:val="00236B9F"/>
    <w:rsid w:val="00240246"/>
    <w:rsid w:val="002406DF"/>
    <w:rsid w:val="002407C4"/>
    <w:rsid w:val="00240A0D"/>
    <w:rsid w:val="00242313"/>
    <w:rsid w:val="002423E5"/>
    <w:rsid w:val="0024251E"/>
    <w:rsid w:val="00243474"/>
    <w:rsid w:val="002434B8"/>
    <w:rsid w:val="00243C30"/>
    <w:rsid w:val="002448BD"/>
    <w:rsid w:val="00244BDB"/>
    <w:rsid w:val="00244CA4"/>
    <w:rsid w:val="0024514C"/>
    <w:rsid w:val="00245448"/>
    <w:rsid w:val="00245C71"/>
    <w:rsid w:val="00246069"/>
    <w:rsid w:val="00246C7B"/>
    <w:rsid w:val="0024769E"/>
    <w:rsid w:val="0024782A"/>
    <w:rsid w:val="00247920"/>
    <w:rsid w:val="00247C9B"/>
    <w:rsid w:val="00247F7E"/>
    <w:rsid w:val="00250B2D"/>
    <w:rsid w:val="00251006"/>
    <w:rsid w:val="0025104D"/>
    <w:rsid w:val="00251485"/>
    <w:rsid w:val="0025189F"/>
    <w:rsid w:val="00252258"/>
    <w:rsid w:val="00252867"/>
    <w:rsid w:val="00252FDD"/>
    <w:rsid w:val="00253459"/>
    <w:rsid w:val="00253E08"/>
    <w:rsid w:val="002540BE"/>
    <w:rsid w:val="002543DA"/>
    <w:rsid w:val="00254BBE"/>
    <w:rsid w:val="00254E1D"/>
    <w:rsid w:val="0025518B"/>
    <w:rsid w:val="00255794"/>
    <w:rsid w:val="00255BE0"/>
    <w:rsid w:val="00256D4F"/>
    <w:rsid w:val="002570C4"/>
    <w:rsid w:val="00257CA7"/>
    <w:rsid w:val="002609CB"/>
    <w:rsid w:val="00261686"/>
    <w:rsid w:val="00262204"/>
    <w:rsid w:val="00262799"/>
    <w:rsid w:val="002644AA"/>
    <w:rsid w:val="0026458D"/>
    <w:rsid w:val="00264DF5"/>
    <w:rsid w:val="00265A2E"/>
    <w:rsid w:val="002662F3"/>
    <w:rsid w:val="0026692C"/>
    <w:rsid w:val="00266A60"/>
    <w:rsid w:val="00266FA9"/>
    <w:rsid w:val="00267600"/>
    <w:rsid w:val="00267D64"/>
    <w:rsid w:val="002704AF"/>
    <w:rsid w:val="00271090"/>
    <w:rsid w:val="0027136D"/>
    <w:rsid w:val="002715D9"/>
    <w:rsid w:val="002718FC"/>
    <w:rsid w:val="002719AF"/>
    <w:rsid w:val="002726A8"/>
    <w:rsid w:val="00272BD4"/>
    <w:rsid w:val="0027326E"/>
    <w:rsid w:val="00273C7E"/>
    <w:rsid w:val="00274A40"/>
    <w:rsid w:val="00274C41"/>
    <w:rsid w:val="0027566C"/>
    <w:rsid w:val="00276137"/>
    <w:rsid w:val="002763B4"/>
    <w:rsid w:val="00276413"/>
    <w:rsid w:val="00276E91"/>
    <w:rsid w:val="00277CB1"/>
    <w:rsid w:val="00277CE2"/>
    <w:rsid w:val="002801B4"/>
    <w:rsid w:val="002808BB"/>
    <w:rsid w:val="00280EF5"/>
    <w:rsid w:val="00281049"/>
    <w:rsid w:val="00281540"/>
    <w:rsid w:val="00281A83"/>
    <w:rsid w:val="00281BA6"/>
    <w:rsid w:val="00282181"/>
    <w:rsid w:val="0028252F"/>
    <w:rsid w:val="002828FF"/>
    <w:rsid w:val="00283961"/>
    <w:rsid w:val="00283EAB"/>
    <w:rsid w:val="00283EAC"/>
    <w:rsid w:val="00284122"/>
    <w:rsid w:val="002843E0"/>
    <w:rsid w:val="00284A18"/>
    <w:rsid w:val="00284F08"/>
    <w:rsid w:val="00285667"/>
    <w:rsid w:val="00285FE1"/>
    <w:rsid w:val="002862D7"/>
    <w:rsid w:val="00286B3A"/>
    <w:rsid w:val="00286C47"/>
    <w:rsid w:val="00290010"/>
    <w:rsid w:val="0029025A"/>
    <w:rsid w:val="0029091F"/>
    <w:rsid w:val="00290C05"/>
    <w:rsid w:val="002924FA"/>
    <w:rsid w:val="00292906"/>
    <w:rsid w:val="00292B10"/>
    <w:rsid w:val="00292ED7"/>
    <w:rsid w:val="00293360"/>
    <w:rsid w:val="00293B92"/>
    <w:rsid w:val="00293BAA"/>
    <w:rsid w:val="00294636"/>
    <w:rsid w:val="00294C9D"/>
    <w:rsid w:val="00295009"/>
    <w:rsid w:val="00295251"/>
    <w:rsid w:val="002952E7"/>
    <w:rsid w:val="00295839"/>
    <w:rsid w:val="00295918"/>
    <w:rsid w:val="00295A28"/>
    <w:rsid w:val="00295E52"/>
    <w:rsid w:val="00296537"/>
    <w:rsid w:val="00296606"/>
    <w:rsid w:val="002976E0"/>
    <w:rsid w:val="002A035E"/>
    <w:rsid w:val="002A0BF1"/>
    <w:rsid w:val="002A0D5D"/>
    <w:rsid w:val="002A1D86"/>
    <w:rsid w:val="002A1E20"/>
    <w:rsid w:val="002A1E72"/>
    <w:rsid w:val="002A22B9"/>
    <w:rsid w:val="002A3872"/>
    <w:rsid w:val="002A3A46"/>
    <w:rsid w:val="002A4531"/>
    <w:rsid w:val="002A4725"/>
    <w:rsid w:val="002A47D0"/>
    <w:rsid w:val="002A4DCA"/>
    <w:rsid w:val="002A51F5"/>
    <w:rsid w:val="002A570B"/>
    <w:rsid w:val="002A5EE3"/>
    <w:rsid w:val="002A5F93"/>
    <w:rsid w:val="002A5F9D"/>
    <w:rsid w:val="002A5FBD"/>
    <w:rsid w:val="002A686D"/>
    <w:rsid w:val="002A6F37"/>
    <w:rsid w:val="002A6F70"/>
    <w:rsid w:val="002A740D"/>
    <w:rsid w:val="002A767F"/>
    <w:rsid w:val="002B0242"/>
    <w:rsid w:val="002B0462"/>
    <w:rsid w:val="002B0C8E"/>
    <w:rsid w:val="002B13A5"/>
    <w:rsid w:val="002B144B"/>
    <w:rsid w:val="002B2120"/>
    <w:rsid w:val="002B304D"/>
    <w:rsid w:val="002B3CEF"/>
    <w:rsid w:val="002B3DC0"/>
    <w:rsid w:val="002B3DC5"/>
    <w:rsid w:val="002B3EFD"/>
    <w:rsid w:val="002B451E"/>
    <w:rsid w:val="002B4959"/>
    <w:rsid w:val="002B4969"/>
    <w:rsid w:val="002B4B96"/>
    <w:rsid w:val="002B5A0F"/>
    <w:rsid w:val="002B6177"/>
    <w:rsid w:val="002B6517"/>
    <w:rsid w:val="002B7143"/>
    <w:rsid w:val="002B7289"/>
    <w:rsid w:val="002B72AF"/>
    <w:rsid w:val="002B771E"/>
    <w:rsid w:val="002B7BAE"/>
    <w:rsid w:val="002B7BCF"/>
    <w:rsid w:val="002B7D12"/>
    <w:rsid w:val="002B7D30"/>
    <w:rsid w:val="002C066A"/>
    <w:rsid w:val="002C0C8C"/>
    <w:rsid w:val="002C1030"/>
    <w:rsid w:val="002C15E3"/>
    <w:rsid w:val="002C1983"/>
    <w:rsid w:val="002C1C7C"/>
    <w:rsid w:val="002C224E"/>
    <w:rsid w:val="002C25EE"/>
    <w:rsid w:val="002C27BE"/>
    <w:rsid w:val="002C2D35"/>
    <w:rsid w:val="002C2E9B"/>
    <w:rsid w:val="002C31A9"/>
    <w:rsid w:val="002C3496"/>
    <w:rsid w:val="002C5364"/>
    <w:rsid w:val="002C576C"/>
    <w:rsid w:val="002C61C5"/>
    <w:rsid w:val="002C63D8"/>
    <w:rsid w:val="002C6629"/>
    <w:rsid w:val="002C6B66"/>
    <w:rsid w:val="002C6B73"/>
    <w:rsid w:val="002C6C9D"/>
    <w:rsid w:val="002C6DEC"/>
    <w:rsid w:val="002C7356"/>
    <w:rsid w:val="002C78C7"/>
    <w:rsid w:val="002D031E"/>
    <w:rsid w:val="002D063B"/>
    <w:rsid w:val="002D07DE"/>
    <w:rsid w:val="002D07F3"/>
    <w:rsid w:val="002D0B26"/>
    <w:rsid w:val="002D0DCE"/>
    <w:rsid w:val="002D0E6B"/>
    <w:rsid w:val="002D143F"/>
    <w:rsid w:val="002D165A"/>
    <w:rsid w:val="002D1A94"/>
    <w:rsid w:val="002D2039"/>
    <w:rsid w:val="002D2A7D"/>
    <w:rsid w:val="002D35DF"/>
    <w:rsid w:val="002D500C"/>
    <w:rsid w:val="002D5324"/>
    <w:rsid w:val="002D5A5B"/>
    <w:rsid w:val="002D5CA0"/>
    <w:rsid w:val="002D5DEE"/>
    <w:rsid w:val="002D5EE3"/>
    <w:rsid w:val="002D6824"/>
    <w:rsid w:val="002D73EB"/>
    <w:rsid w:val="002D7420"/>
    <w:rsid w:val="002E06B5"/>
    <w:rsid w:val="002E0713"/>
    <w:rsid w:val="002E0B37"/>
    <w:rsid w:val="002E0B5E"/>
    <w:rsid w:val="002E0C39"/>
    <w:rsid w:val="002E16A1"/>
    <w:rsid w:val="002E26FA"/>
    <w:rsid w:val="002E2D22"/>
    <w:rsid w:val="002E2D79"/>
    <w:rsid w:val="002E3044"/>
    <w:rsid w:val="002E35B7"/>
    <w:rsid w:val="002E3E06"/>
    <w:rsid w:val="002E4351"/>
    <w:rsid w:val="002E43FA"/>
    <w:rsid w:val="002E4418"/>
    <w:rsid w:val="002E4F31"/>
    <w:rsid w:val="002E511B"/>
    <w:rsid w:val="002E5338"/>
    <w:rsid w:val="002E53B5"/>
    <w:rsid w:val="002E58E2"/>
    <w:rsid w:val="002E597F"/>
    <w:rsid w:val="002E5C0E"/>
    <w:rsid w:val="002E5E56"/>
    <w:rsid w:val="002E67A7"/>
    <w:rsid w:val="002E67EE"/>
    <w:rsid w:val="002E6F86"/>
    <w:rsid w:val="002E77EB"/>
    <w:rsid w:val="002E7CFE"/>
    <w:rsid w:val="002F029A"/>
    <w:rsid w:val="002F030C"/>
    <w:rsid w:val="002F10C2"/>
    <w:rsid w:val="002F1B59"/>
    <w:rsid w:val="002F26CB"/>
    <w:rsid w:val="002F2E9E"/>
    <w:rsid w:val="002F3341"/>
    <w:rsid w:val="002F409F"/>
    <w:rsid w:val="002F40BB"/>
    <w:rsid w:val="002F42F6"/>
    <w:rsid w:val="002F47A1"/>
    <w:rsid w:val="002F487D"/>
    <w:rsid w:val="002F4B33"/>
    <w:rsid w:val="002F6658"/>
    <w:rsid w:val="002F667A"/>
    <w:rsid w:val="002F6F92"/>
    <w:rsid w:val="0030040C"/>
    <w:rsid w:val="003004B0"/>
    <w:rsid w:val="0030079B"/>
    <w:rsid w:val="003012B5"/>
    <w:rsid w:val="003015EA"/>
    <w:rsid w:val="00301722"/>
    <w:rsid w:val="00301BD4"/>
    <w:rsid w:val="00301D0C"/>
    <w:rsid w:val="0030224E"/>
    <w:rsid w:val="0030286B"/>
    <w:rsid w:val="00302AAD"/>
    <w:rsid w:val="00302D40"/>
    <w:rsid w:val="00302F82"/>
    <w:rsid w:val="003036AB"/>
    <w:rsid w:val="00303841"/>
    <w:rsid w:val="0030430F"/>
    <w:rsid w:val="00304611"/>
    <w:rsid w:val="003046A8"/>
    <w:rsid w:val="00305409"/>
    <w:rsid w:val="003059D3"/>
    <w:rsid w:val="00305FC3"/>
    <w:rsid w:val="0030621A"/>
    <w:rsid w:val="00306326"/>
    <w:rsid w:val="0030648D"/>
    <w:rsid w:val="00306927"/>
    <w:rsid w:val="00306A97"/>
    <w:rsid w:val="00306B70"/>
    <w:rsid w:val="00306E15"/>
    <w:rsid w:val="00310450"/>
    <w:rsid w:val="00310A5A"/>
    <w:rsid w:val="00310F13"/>
    <w:rsid w:val="0031103B"/>
    <w:rsid w:val="0031176B"/>
    <w:rsid w:val="00311B6F"/>
    <w:rsid w:val="00311BD5"/>
    <w:rsid w:val="00311E14"/>
    <w:rsid w:val="00311F1A"/>
    <w:rsid w:val="00311F7B"/>
    <w:rsid w:val="00312017"/>
    <w:rsid w:val="00312D52"/>
    <w:rsid w:val="00312FDF"/>
    <w:rsid w:val="00313159"/>
    <w:rsid w:val="00313494"/>
    <w:rsid w:val="0031469D"/>
    <w:rsid w:val="00314AF8"/>
    <w:rsid w:val="00314CCC"/>
    <w:rsid w:val="00314E04"/>
    <w:rsid w:val="00315155"/>
    <w:rsid w:val="003151FD"/>
    <w:rsid w:val="00315287"/>
    <w:rsid w:val="00315486"/>
    <w:rsid w:val="00315B0C"/>
    <w:rsid w:val="00315DB7"/>
    <w:rsid w:val="003171D0"/>
    <w:rsid w:val="003178E3"/>
    <w:rsid w:val="003201A0"/>
    <w:rsid w:val="00320615"/>
    <w:rsid w:val="0032099D"/>
    <w:rsid w:val="00320D23"/>
    <w:rsid w:val="00321402"/>
    <w:rsid w:val="00321640"/>
    <w:rsid w:val="003217C2"/>
    <w:rsid w:val="00321E0B"/>
    <w:rsid w:val="00321F4C"/>
    <w:rsid w:val="00321F70"/>
    <w:rsid w:val="00322562"/>
    <w:rsid w:val="00323105"/>
    <w:rsid w:val="0032382E"/>
    <w:rsid w:val="00323DF8"/>
    <w:rsid w:val="0032468D"/>
    <w:rsid w:val="00324F9F"/>
    <w:rsid w:val="003257EA"/>
    <w:rsid w:val="00325FD8"/>
    <w:rsid w:val="0032624C"/>
    <w:rsid w:val="00326DAC"/>
    <w:rsid w:val="00326FD8"/>
    <w:rsid w:val="00327BBF"/>
    <w:rsid w:val="003300DF"/>
    <w:rsid w:val="00330AA3"/>
    <w:rsid w:val="00331096"/>
    <w:rsid w:val="00331924"/>
    <w:rsid w:val="0033207C"/>
    <w:rsid w:val="00332EA5"/>
    <w:rsid w:val="00332F4C"/>
    <w:rsid w:val="00333777"/>
    <w:rsid w:val="00335C25"/>
    <w:rsid w:val="00335F08"/>
    <w:rsid w:val="00336226"/>
    <w:rsid w:val="003364DC"/>
    <w:rsid w:val="003373EE"/>
    <w:rsid w:val="003406F4"/>
    <w:rsid w:val="00340991"/>
    <w:rsid w:val="003411A1"/>
    <w:rsid w:val="003417A9"/>
    <w:rsid w:val="00341A06"/>
    <w:rsid w:val="00341B76"/>
    <w:rsid w:val="00342A36"/>
    <w:rsid w:val="00342D0E"/>
    <w:rsid w:val="00342EA2"/>
    <w:rsid w:val="003438B6"/>
    <w:rsid w:val="00343E2B"/>
    <w:rsid w:val="003440A3"/>
    <w:rsid w:val="0034419B"/>
    <w:rsid w:val="00344858"/>
    <w:rsid w:val="00344CD8"/>
    <w:rsid w:val="00344DF5"/>
    <w:rsid w:val="003451F5"/>
    <w:rsid w:val="0034521A"/>
    <w:rsid w:val="003454A5"/>
    <w:rsid w:val="00346183"/>
    <w:rsid w:val="00346909"/>
    <w:rsid w:val="00346E6E"/>
    <w:rsid w:val="00346EF5"/>
    <w:rsid w:val="00347648"/>
    <w:rsid w:val="003502E2"/>
    <w:rsid w:val="003503CF"/>
    <w:rsid w:val="00351270"/>
    <w:rsid w:val="003513A7"/>
    <w:rsid w:val="00351589"/>
    <w:rsid w:val="00351731"/>
    <w:rsid w:val="00351A9C"/>
    <w:rsid w:val="00351AFB"/>
    <w:rsid w:val="00351B52"/>
    <w:rsid w:val="0035237F"/>
    <w:rsid w:val="00352F6D"/>
    <w:rsid w:val="0035351A"/>
    <w:rsid w:val="00353639"/>
    <w:rsid w:val="00353925"/>
    <w:rsid w:val="00354318"/>
    <w:rsid w:val="00354C65"/>
    <w:rsid w:val="0035557A"/>
    <w:rsid w:val="0035599C"/>
    <w:rsid w:val="00355EC1"/>
    <w:rsid w:val="0035655D"/>
    <w:rsid w:val="00356786"/>
    <w:rsid w:val="00356C55"/>
    <w:rsid w:val="00357236"/>
    <w:rsid w:val="003575C8"/>
    <w:rsid w:val="00360531"/>
    <w:rsid w:val="0036079F"/>
    <w:rsid w:val="003611A9"/>
    <w:rsid w:val="00361487"/>
    <w:rsid w:val="0036148C"/>
    <w:rsid w:val="00361604"/>
    <w:rsid w:val="00361B24"/>
    <w:rsid w:val="00361E42"/>
    <w:rsid w:val="003620B6"/>
    <w:rsid w:val="003627F6"/>
    <w:rsid w:val="00362B27"/>
    <w:rsid w:val="003632D4"/>
    <w:rsid w:val="00364187"/>
    <w:rsid w:val="003649A8"/>
    <w:rsid w:val="0036510B"/>
    <w:rsid w:val="003660E5"/>
    <w:rsid w:val="00366B52"/>
    <w:rsid w:val="00366E74"/>
    <w:rsid w:val="00367238"/>
    <w:rsid w:val="00367ACA"/>
    <w:rsid w:val="00367CC9"/>
    <w:rsid w:val="0037088D"/>
    <w:rsid w:val="00370E20"/>
    <w:rsid w:val="00370F9A"/>
    <w:rsid w:val="003712F0"/>
    <w:rsid w:val="0037184B"/>
    <w:rsid w:val="00372566"/>
    <w:rsid w:val="00372760"/>
    <w:rsid w:val="0037297B"/>
    <w:rsid w:val="00372E44"/>
    <w:rsid w:val="0037326A"/>
    <w:rsid w:val="00373AF1"/>
    <w:rsid w:val="00373D0B"/>
    <w:rsid w:val="00373E70"/>
    <w:rsid w:val="0037494B"/>
    <w:rsid w:val="00375824"/>
    <w:rsid w:val="003758DD"/>
    <w:rsid w:val="00375B50"/>
    <w:rsid w:val="0037637D"/>
    <w:rsid w:val="003764E8"/>
    <w:rsid w:val="003773A5"/>
    <w:rsid w:val="00377601"/>
    <w:rsid w:val="003779FF"/>
    <w:rsid w:val="00380252"/>
    <w:rsid w:val="0038050B"/>
    <w:rsid w:val="00380F1E"/>
    <w:rsid w:val="00381394"/>
    <w:rsid w:val="00381A94"/>
    <w:rsid w:val="00381AAE"/>
    <w:rsid w:val="00383383"/>
    <w:rsid w:val="0038372E"/>
    <w:rsid w:val="00383831"/>
    <w:rsid w:val="003845FC"/>
    <w:rsid w:val="00384AB4"/>
    <w:rsid w:val="00384FA4"/>
    <w:rsid w:val="0038503E"/>
    <w:rsid w:val="003851F9"/>
    <w:rsid w:val="00385636"/>
    <w:rsid w:val="00385B58"/>
    <w:rsid w:val="00385B67"/>
    <w:rsid w:val="00385D92"/>
    <w:rsid w:val="00386B20"/>
    <w:rsid w:val="00386F58"/>
    <w:rsid w:val="00386FE7"/>
    <w:rsid w:val="00387ECF"/>
    <w:rsid w:val="00387EEC"/>
    <w:rsid w:val="0039022E"/>
    <w:rsid w:val="00390EAF"/>
    <w:rsid w:val="00391102"/>
    <w:rsid w:val="0039296B"/>
    <w:rsid w:val="00392C4E"/>
    <w:rsid w:val="00393E4D"/>
    <w:rsid w:val="00394495"/>
    <w:rsid w:val="003944C9"/>
    <w:rsid w:val="0039483B"/>
    <w:rsid w:val="00394BC5"/>
    <w:rsid w:val="00394C7B"/>
    <w:rsid w:val="00395201"/>
    <w:rsid w:val="00396414"/>
    <w:rsid w:val="00396B4B"/>
    <w:rsid w:val="003977E1"/>
    <w:rsid w:val="003979E8"/>
    <w:rsid w:val="00397B51"/>
    <w:rsid w:val="00397C2E"/>
    <w:rsid w:val="003A0046"/>
    <w:rsid w:val="003A0208"/>
    <w:rsid w:val="003A034D"/>
    <w:rsid w:val="003A08E5"/>
    <w:rsid w:val="003A0F62"/>
    <w:rsid w:val="003A17E0"/>
    <w:rsid w:val="003A1B17"/>
    <w:rsid w:val="003A29C4"/>
    <w:rsid w:val="003A333B"/>
    <w:rsid w:val="003A396A"/>
    <w:rsid w:val="003A4075"/>
    <w:rsid w:val="003A5C7D"/>
    <w:rsid w:val="003A5D42"/>
    <w:rsid w:val="003A65C0"/>
    <w:rsid w:val="003A693C"/>
    <w:rsid w:val="003A6B7E"/>
    <w:rsid w:val="003A7B84"/>
    <w:rsid w:val="003B0255"/>
    <w:rsid w:val="003B031C"/>
    <w:rsid w:val="003B0423"/>
    <w:rsid w:val="003B08C6"/>
    <w:rsid w:val="003B0CE7"/>
    <w:rsid w:val="003B164F"/>
    <w:rsid w:val="003B17ED"/>
    <w:rsid w:val="003B18EE"/>
    <w:rsid w:val="003B1F0F"/>
    <w:rsid w:val="003B1F63"/>
    <w:rsid w:val="003B259E"/>
    <w:rsid w:val="003B2F16"/>
    <w:rsid w:val="003B3E92"/>
    <w:rsid w:val="003B433C"/>
    <w:rsid w:val="003B46E5"/>
    <w:rsid w:val="003B4772"/>
    <w:rsid w:val="003B4D4C"/>
    <w:rsid w:val="003B505F"/>
    <w:rsid w:val="003B5B3C"/>
    <w:rsid w:val="003B66DC"/>
    <w:rsid w:val="003B67B3"/>
    <w:rsid w:val="003B7A7F"/>
    <w:rsid w:val="003C0738"/>
    <w:rsid w:val="003C0870"/>
    <w:rsid w:val="003C08B0"/>
    <w:rsid w:val="003C1125"/>
    <w:rsid w:val="003C16F5"/>
    <w:rsid w:val="003C1E0F"/>
    <w:rsid w:val="003C2C98"/>
    <w:rsid w:val="003C2D7C"/>
    <w:rsid w:val="003C33AD"/>
    <w:rsid w:val="003C3478"/>
    <w:rsid w:val="003C3750"/>
    <w:rsid w:val="003C38F3"/>
    <w:rsid w:val="003C3973"/>
    <w:rsid w:val="003C3BA4"/>
    <w:rsid w:val="003C3CFD"/>
    <w:rsid w:val="003C4363"/>
    <w:rsid w:val="003C60FD"/>
    <w:rsid w:val="003C66C2"/>
    <w:rsid w:val="003C68A6"/>
    <w:rsid w:val="003C6C12"/>
    <w:rsid w:val="003C75AC"/>
    <w:rsid w:val="003C7B33"/>
    <w:rsid w:val="003C7DD5"/>
    <w:rsid w:val="003C7FFA"/>
    <w:rsid w:val="003D052D"/>
    <w:rsid w:val="003D114E"/>
    <w:rsid w:val="003D1553"/>
    <w:rsid w:val="003D15FF"/>
    <w:rsid w:val="003D263F"/>
    <w:rsid w:val="003D28E3"/>
    <w:rsid w:val="003D33A0"/>
    <w:rsid w:val="003D3940"/>
    <w:rsid w:val="003D3DC6"/>
    <w:rsid w:val="003D400D"/>
    <w:rsid w:val="003D468C"/>
    <w:rsid w:val="003D5197"/>
    <w:rsid w:val="003D54A1"/>
    <w:rsid w:val="003D5A48"/>
    <w:rsid w:val="003D68AF"/>
    <w:rsid w:val="003D697F"/>
    <w:rsid w:val="003D6C54"/>
    <w:rsid w:val="003D6CE0"/>
    <w:rsid w:val="003D769E"/>
    <w:rsid w:val="003D78E4"/>
    <w:rsid w:val="003D7B22"/>
    <w:rsid w:val="003E04A7"/>
    <w:rsid w:val="003E144F"/>
    <w:rsid w:val="003E1512"/>
    <w:rsid w:val="003E1522"/>
    <w:rsid w:val="003E1727"/>
    <w:rsid w:val="003E2028"/>
    <w:rsid w:val="003E245F"/>
    <w:rsid w:val="003E39FA"/>
    <w:rsid w:val="003E3BB6"/>
    <w:rsid w:val="003E3C23"/>
    <w:rsid w:val="003E3FE7"/>
    <w:rsid w:val="003E415D"/>
    <w:rsid w:val="003E41EB"/>
    <w:rsid w:val="003E44A3"/>
    <w:rsid w:val="003E4717"/>
    <w:rsid w:val="003E48D1"/>
    <w:rsid w:val="003E4D08"/>
    <w:rsid w:val="003E500F"/>
    <w:rsid w:val="003E539B"/>
    <w:rsid w:val="003E5876"/>
    <w:rsid w:val="003E59FF"/>
    <w:rsid w:val="003E628D"/>
    <w:rsid w:val="003E63C6"/>
    <w:rsid w:val="003F0260"/>
    <w:rsid w:val="003F0460"/>
    <w:rsid w:val="003F1FAE"/>
    <w:rsid w:val="003F2909"/>
    <w:rsid w:val="003F2D72"/>
    <w:rsid w:val="003F2D94"/>
    <w:rsid w:val="003F3173"/>
    <w:rsid w:val="003F32E7"/>
    <w:rsid w:val="003F3402"/>
    <w:rsid w:val="003F3421"/>
    <w:rsid w:val="003F34BC"/>
    <w:rsid w:val="003F36D1"/>
    <w:rsid w:val="003F36EC"/>
    <w:rsid w:val="003F379F"/>
    <w:rsid w:val="003F3A05"/>
    <w:rsid w:val="003F3EA5"/>
    <w:rsid w:val="003F4018"/>
    <w:rsid w:val="003F4356"/>
    <w:rsid w:val="003F50C4"/>
    <w:rsid w:val="003F5211"/>
    <w:rsid w:val="003F528F"/>
    <w:rsid w:val="003F57E6"/>
    <w:rsid w:val="003F5A32"/>
    <w:rsid w:val="003F5A39"/>
    <w:rsid w:val="003F69E1"/>
    <w:rsid w:val="003F6EA5"/>
    <w:rsid w:val="003F73C2"/>
    <w:rsid w:val="003F7F27"/>
    <w:rsid w:val="003F7FDF"/>
    <w:rsid w:val="004000CD"/>
    <w:rsid w:val="004004E5"/>
    <w:rsid w:val="00401B88"/>
    <w:rsid w:val="00402723"/>
    <w:rsid w:val="00402D1D"/>
    <w:rsid w:val="00402E45"/>
    <w:rsid w:val="004030FE"/>
    <w:rsid w:val="00403413"/>
    <w:rsid w:val="0040341C"/>
    <w:rsid w:val="00403470"/>
    <w:rsid w:val="004034B0"/>
    <w:rsid w:val="0040378A"/>
    <w:rsid w:val="004037D4"/>
    <w:rsid w:val="00403883"/>
    <w:rsid w:val="00403DB3"/>
    <w:rsid w:val="00404345"/>
    <w:rsid w:val="004043CC"/>
    <w:rsid w:val="00404504"/>
    <w:rsid w:val="00404AFA"/>
    <w:rsid w:val="00404C82"/>
    <w:rsid w:val="00404EB1"/>
    <w:rsid w:val="00405018"/>
    <w:rsid w:val="00405D95"/>
    <w:rsid w:val="004067D2"/>
    <w:rsid w:val="00406CAD"/>
    <w:rsid w:val="0040727E"/>
    <w:rsid w:val="004072A9"/>
    <w:rsid w:val="0040783A"/>
    <w:rsid w:val="00407B9A"/>
    <w:rsid w:val="004105AC"/>
    <w:rsid w:val="0041124D"/>
    <w:rsid w:val="0041126D"/>
    <w:rsid w:val="00411399"/>
    <w:rsid w:val="00411C40"/>
    <w:rsid w:val="00412F17"/>
    <w:rsid w:val="00412FB6"/>
    <w:rsid w:val="0041394E"/>
    <w:rsid w:val="00413AA5"/>
    <w:rsid w:val="00413BA5"/>
    <w:rsid w:val="00413EA0"/>
    <w:rsid w:val="00417042"/>
    <w:rsid w:val="00417354"/>
    <w:rsid w:val="00417DFD"/>
    <w:rsid w:val="00420193"/>
    <w:rsid w:val="004201DD"/>
    <w:rsid w:val="0042037E"/>
    <w:rsid w:val="00420E26"/>
    <w:rsid w:val="0042115C"/>
    <w:rsid w:val="0042145B"/>
    <w:rsid w:val="00421610"/>
    <w:rsid w:val="00421A62"/>
    <w:rsid w:val="00421B73"/>
    <w:rsid w:val="0042275D"/>
    <w:rsid w:val="0042324D"/>
    <w:rsid w:val="00423372"/>
    <w:rsid w:val="00423C56"/>
    <w:rsid w:val="00424C61"/>
    <w:rsid w:val="00424EC8"/>
    <w:rsid w:val="00425184"/>
    <w:rsid w:val="004256E9"/>
    <w:rsid w:val="00425800"/>
    <w:rsid w:val="00425A8C"/>
    <w:rsid w:val="0042617D"/>
    <w:rsid w:val="00426502"/>
    <w:rsid w:val="00427175"/>
    <w:rsid w:val="0042718D"/>
    <w:rsid w:val="00427310"/>
    <w:rsid w:val="004279CE"/>
    <w:rsid w:val="00430034"/>
    <w:rsid w:val="004301AF"/>
    <w:rsid w:val="004302C1"/>
    <w:rsid w:val="004305D1"/>
    <w:rsid w:val="004308E9"/>
    <w:rsid w:val="00430C36"/>
    <w:rsid w:val="0043127A"/>
    <w:rsid w:val="00431870"/>
    <w:rsid w:val="0043223C"/>
    <w:rsid w:val="00433DFC"/>
    <w:rsid w:val="00434337"/>
    <w:rsid w:val="004345A1"/>
    <w:rsid w:val="0043482A"/>
    <w:rsid w:val="00434A7F"/>
    <w:rsid w:val="00434BF4"/>
    <w:rsid w:val="00435908"/>
    <w:rsid w:val="00435D0C"/>
    <w:rsid w:val="004366F9"/>
    <w:rsid w:val="00437A84"/>
    <w:rsid w:val="00437D5C"/>
    <w:rsid w:val="00437E0E"/>
    <w:rsid w:val="00437E66"/>
    <w:rsid w:val="0044006C"/>
    <w:rsid w:val="0044033D"/>
    <w:rsid w:val="004405AC"/>
    <w:rsid w:val="00440739"/>
    <w:rsid w:val="00440CF4"/>
    <w:rsid w:val="00440E6B"/>
    <w:rsid w:val="004417EF"/>
    <w:rsid w:val="00441E63"/>
    <w:rsid w:val="00441FD4"/>
    <w:rsid w:val="004424BB"/>
    <w:rsid w:val="004425D9"/>
    <w:rsid w:val="00442829"/>
    <w:rsid w:val="00442B4E"/>
    <w:rsid w:val="00442F5D"/>
    <w:rsid w:val="004431DF"/>
    <w:rsid w:val="004439F7"/>
    <w:rsid w:val="00443AA0"/>
    <w:rsid w:val="00443F02"/>
    <w:rsid w:val="00443F89"/>
    <w:rsid w:val="00444FB9"/>
    <w:rsid w:val="00445517"/>
    <w:rsid w:val="00446292"/>
    <w:rsid w:val="004469C0"/>
    <w:rsid w:val="00447178"/>
    <w:rsid w:val="004478C0"/>
    <w:rsid w:val="00447D0E"/>
    <w:rsid w:val="004500DC"/>
    <w:rsid w:val="00450198"/>
    <w:rsid w:val="00450AEB"/>
    <w:rsid w:val="00452771"/>
    <w:rsid w:val="0045295E"/>
    <w:rsid w:val="00452F40"/>
    <w:rsid w:val="00453313"/>
    <w:rsid w:val="004539BE"/>
    <w:rsid w:val="004545F6"/>
    <w:rsid w:val="0045482B"/>
    <w:rsid w:val="004549DD"/>
    <w:rsid w:val="00454AE4"/>
    <w:rsid w:val="00454C7B"/>
    <w:rsid w:val="00454E2E"/>
    <w:rsid w:val="00454F08"/>
    <w:rsid w:val="00455A38"/>
    <w:rsid w:val="00455D43"/>
    <w:rsid w:val="00455E25"/>
    <w:rsid w:val="0045609F"/>
    <w:rsid w:val="00456129"/>
    <w:rsid w:val="004563FC"/>
    <w:rsid w:val="004569CF"/>
    <w:rsid w:val="00457DA9"/>
    <w:rsid w:val="00460294"/>
    <w:rsid w:val="004602FA"/>
    <w:rsid w:val="004605B2"/>
    <w:rsid w:val="00460612"/>
    <w:rsid w:val="00461263"/>
    <w:rsid w:val="004612E7"/>
    <w:rsid w:val="004617EC"/>
    <w:rsid w:val="00461A3B"/>
    <w:rsid w:val="0046224C"/>
    <w:rsid w:val="00462E11"/>
    <w:rsid w:val="00462E7B"/>
    <w:rsid w:val="004649AC"/>
    <w:rsid w:val="004654A6"/>
    <w:rsid w:val="00465526"/>
    <w:rsid w:val="00465761"/>
    <w:rsid w:val="00465D5E"/>
    <w:rsid w:val="00466226"/>
    <w:rsid w:val="0046626A"/>
    <w:rsid w:val="00466657"/>
    <w:rsid w:val="00466BB3"/>
    <w:rsid w:val="00466EDB"/>
    <w:rsid w:val="00467002"/>
    <w:rsid w:val="00467A45"/>
    <w:rsid w:val="00470669"/>
    <w:rsid w:val="00470E5A"/>
    <w:rsid w:val="004710B3"/>
    <w:rsid w:val="004715D1"/>
    <w:rsid w:val="00471829"/>
    <w:rsid w:val="00471DDF"/>
    <w:rsid w:val="00472210"/>
    <w:rsid w:val="00472C27"/>
    <w:rsid w:val="00473785"/>
    <w:rsid w:val="00473841"/>
    <w:rsid w:val="00473BD5"/>
    <w:rsid w:val="00473CBC"/>
    <w:rsid w:val="00473EF8"/>
    <w:rsid w:val="00473F82"/>
    <w:rsid w:val="004744B1"/>
    <w:rsid w:val="00474F35"/>
    <w:rsid w:val="004750B6"/>
    <w:rsid w:val="00475938"/>
    <w:rsid w:val="00475A30"/>
    <w:rsid w:val="004761DE"/>
    <w:rsid w:val="00476432"/>
    <w:rsid w:val="0047670C"/>
    <w:rsid w:val="00476B2D"/>
    <w:rsid w:val="004770AE"/>
    <w:rsid w:val="00477972"/>
    <w:rsid w:val="00477976"/>
    <w:rsid w:val="00477F1D"/>
    <w:rsid w:val="00481B9B"/>
    <w:rsid w:val="00481E30"/>
    <w:rsid w:val="00482205"/>
    <w:rsid w:val="004824C3"/>
    <w:rsid w:val="004838BD"/>
    <w:rsid w:val="00484A72"/>
    <w:rsid w:val="00484AB8"/>
    <w:rsid w:val="00484E5A"/>
    <w:rsid w:val="0048524C"/>
    <w:rsid w:val="004857DB"/>
    <w:rsid w:val="00485CAA"/>
    <w:rsid w:val="00486D33"/>
    <w:rsid w:val="00487F5C"/>
    <w:rsid w:val="00490311"/>
    <w:rsid w:val="00491A5D"/>
    <w:rsid w:val="00491D7F"/>
    <w:rsid w:val="00492235"/>
    <w:rsid w:val="00492891"/>
    <w:rsid w:val="00492F8B"/>
    <w:rsid w:val="004931F4"/>
    <w:rsid w:val="004942D2"/>
    <w:rsid w:val="004943AC"/>
    <w:rsid w:val="00494BEE"/>
    <w:rsid w:val="00494DC4"/>
    <w:rsid w:val="00495B5C"/>
    <w:rsid w:val="00495DC3"/>
    <w:rsid w:val="004963D0"/>
    <w:rsid w:val="00496729"/>
    <w:rsid w:val="00496A11"/>
    <w:rsid w:val="00496D37"/>
    <w:rsid w:val="00496EB8"/>
    <w:rsid w:val="004970F4"/>
    <w:rsid w:val="004A013F"/>
    <w:rsid w:val="004A0710"/>
    <w:rsid w:val="004A0A8D"/>
    <w:rsid w:val="004A0D4B"/>
    <w:rsid w:val="004A0DBB"/>
    <w:rsid w:val="004A0E22"/>
    <w:rsid w:val="004A0F82"/>
    <w:rsid w:val="004A17A5"/>
    <w:rsid w:val="004A18F4"/>
    <w:rsid w:val="004A1C68"/>
    <w:rsid w:val="004A1E67"/>
    <w:rsid w:val="004A2434"/>
    <w:rsid w:val="004A2528"/>
    <w:rsid w:val="004A29F6"/>
    <w:rsid w:val="004A2BDA"/>
    <w:rsid w:val="004A2D1D"/>
    <w:rsid w:val="004A3B98"/>
    <w:rsid w:val="004A3BD0"/>
    <w:rsid w:val="004A3DCD"/>
    <w:rsid w:val="004A3FA6"/>
    <w:rsid w:val="004A46B7"/>
    <w:rsid w:val="004A4F43"/>
    <w:rsid w:val="004A4F6F"/>
    <w:rsid w:val="004A556E"/>
    <w:rsid w:val="004A571B"/>
    <w:rsid w:val="004A6239"/>
    <w:rsid w:val="004A6F22"/>
    <w:rsid w:val="004A777E"/>
    <w:rsid w:val="004A7842"/>
    <w:rsid w:val="004B01FA"/>
    <w:rsid w:val="004B0FC4"/>
    <w:rsid w:val="004B1120"/>
    <w:rsid w:val="004B18E6"/>
    <w:rsid w:val="004B1906"/>
    <w:rsid w:val="004B2634"/>
    <w:rsid w:val="004B3CCE"/>
    <w:rsid w:val="004B4838"/>
    <w:rsid w:val="004B4C0F"/>
    <w:rsid w:val="004B5A99"/>
    <w:rsid w:val="004B5E6E"/>
    <w:rsid w:val="004B6CE9"/>
    <w:rsid w:val="004B6F27"/>
    <w:rsid w:val="004B730B"/>
    <w:rsid w:val="004B75A9"/>
    <w:rsid w:val="004B7DFE"/>
    <w:rsid w:val="004C00D4"/>
    <w:rsid w:val="004C0549"/>
    <w:rsid w:val="004C07A5"/>
    <w:rsid w:val="004C14BA"/>
    <w:rsid w:val="004C29F1"/>
    <w:rsid w:val="004C2BDF"/>
    <w:rsid w:val="004C2D03"/>
    <w:rsid w:val="004C3170"/>
    <w:rsid w:val="004C3362"/>
    <w:rsid w:val="004C377E"/>
    <w:rsid w:val="004C39E5"/>
    <w:rsid w:val="004C42A3"/>
    <w:rsid w:val="004C5813"/>
    <w:rsid w:val="004C58B0"/>
    <w:rsid w:val="004C6451"/>
    <w:rsid w:val="004C659C"/>
    <w:rsid w:val="004C67CA"/>
    <w:rsid w:val="004C6BD2"/>
    <w:rsid w:val="004C730F"/>
    <w:rsid w:val="004C7C83"/>
    <w:rsid w:val="004C7DDB"/>
    <w:rsid w:val="004D011D"/>
    <w:rsid w:val="004D0DF9"/>
    <w:rsid w:val="004D0F20"/>
    <w:rsid w:val="004D1126"/>
    <w:rsid w:val="004D12F1"/>
    <w:rsid w:val="004D13B5"/>
    <w:rsid w:val="004D13BF"/>
    <w:rsid w:val="004D13E3"/>
    <w:rsid w:val="004D19C1"/>
    <w:rsid w:val="004D1BDF"/>
    <w:rsid w:val="004D1DEE"/>
    <w:rsid w:val="004D1E66"/>
    <w:rsid w:val="004D1FB7"/>
    <w:rsid w:val="004D2040"/>
    <w:rsid w:val="004D2547"/>
    <w:rsid w:val="004D2717"/>
    <w:rsid w:val="004D27AC"/>
    <w:rsid w:val="004D27FA"/>
    <w:rsid w:val="004D2D54"/>
    <w:rsid w:val="004D3209"/>
    <w:rsid w:val="004D341C"/>
    <w:rsid w:val="004D3655"/>
    <w:rsid w:val="004D3FBC"/>
    <w:rsid w:val="004D4220"/>
    <w:rsid w:val="004D43F3"/>
    <w:rsid w:val="004D4679"/>
    <w:rsid w:val="004D46EB"/>
    <w:rsid w:val="004D4AC1"/>
    <w:rsid w:val="004D5764"/>
    <w:rsid w:val="004D5A9B"/>
    <w:rsid w:val="004D5D0F"/>
    <w:rsid w:val="004D69D0"/>
    <w:rsid w:val="004D6ABB"/>
    <w:rsid w:val="004D6B70"/>
    <w:rsid w:val="004D6FB5"/>
    <w:rsid w:val="004D7173"/>
    <w:rsid w:val="004E01F6"/>
    <w:rsid w:val="004E0968"/>
    <w:rsid w:val="004E103D"/>
    <w:rsid w:val="004E1928"/>
    <w:rsid w:val="004E1B11"/>
    <w:rsid w:val="004E20B4"/>
    <w:rsid w:val="004E2104"/>
    <w:rsid w:val="004E2725"/>
    <w:rsid w:val="004E2AFC"/>
    <w:rsid w:val="004E2E09"/>
    <w:rsid w:val="004E2EF7"/>
    <w:rsid w:val="004E3107"/>
    <w:rsid w:val="004E3958"/>
    <w:rsid w:val="004E42C5"/>
    <w:rsid w:val="004E4821"/>
    <w:rsid w:val="004E4EAF"/>
    <w:rsid w:val="004E5CD9"/>
    <w:rsid w:val="004E5F65"/>
    <w:rsid w:val="004E6272"/>
    <w:rsid w:val="004E7362"/>
    <w:rsid w:val="004E7EAB"/>
    <w:rsid w:val="004F017E"/>
    <w:rsid w:val="004F039A"/>
    <w:rsid w:val="004F1706"/>
    <w:rsid w:val="004F1E2B"/>
    <w:rsid w:val="004F26C6"/>
    <w:rsid w:val="004F286F"/>
    <w:rsid w:val="004F3460"/>
    <w:rsid w:val="004F46BC"/>
    <w:rsid w:val="004F6D06"/>
    <w:rsid w:val="00500167"/>
    <w:rsid w:val="00500471"/>
    <w:rsid w:val="005008A9"/>
    <w:rsid w:val="00500ADD"/>
    <w:rsid w:val="00501D8A"/>
    <w:rsid w:val="00501FB5"/>
    <w:rsid w:val="0050277E"/>
    <w:rsid w:val="0050280A"/>
    <w:rsid w:val="00502D3E"/>
    <w:rsid w:val="005032AD"/>
    <w:rsid w:val="00503654"/>
    <w:rsid w:val="00504E5C"/>
    <w:rsid w:val="005054A6"/>
    <w:rsid w:val="00505AF8"/>
    <w:rsid w:val="00506042"/>
    <w:rsid w:val="005060D6"/>
    <w:rsid w:val="005067C4"/>
    <w:rsid w:val="00506F55"/>
    <w:rsid w:val="005072F8"/>
    <w:rsid w:val="00507407"/>
    <w:rsid w:val="0050779A"/>
    <w:rsid w:val="00507B46"/>
    <w:rsid w:val="00507D1B"/>
    <w:rsid w:val="005103AA"/>
    <w:rsid w:val="00511B7E"/>
    <w:rsid w:val="00511C97"/>
    <w:rsid w:val="00512054"/>
    <w:rsid w:val="005126B3"/>
    <w:rsid w:val="0051279D"/>
    <w:rsid w:val="0051379A"/>
    <w:rsid w:val="00513CCE"/>
    <w:rsid w:val="00514879"/>
    <w:rsid w:val="00515335"/>
    <w:rsid w:val="0051539E"/>
    <w:rsid w:val="00515BD6"/>
    <w:rsid w:val="00515CC9"/>
    <w:rsid w:val="0051689A"/>
    <w:rsid w:val="00516DFA"/>
    <w:rsid w:val="00516F24"/>
    <w:rsid w:val="00520743"/>
    <w:rsid w:val="00521DD3"/>
    <w:rsid w:val="00521E1E"/>
    <w:rsid w:val="00522219"/>
    <w:rsid w:val="005236D4"/>
    <w:rsid w:val="00523DB2"/>
    <w:rsid w:val="00524463"/>
    <w:rsid w:val="00524B4E"/>
    <w:rsid w:val="00525A78"/>
    <w:rsid w:val="00526F4D"/>
    <w:rsid w:val="00527AF9"/>
    <w:rsid w:val="00530801"/>
    <w:rsid w:val="0053081E"/>
    <w:rsid w:val="00532B01"/>
    <w:rsid w:val="00532CC5"/>
    <w:rsid w:val="00534366"/>
    <w:rsid w:val="00534BEB"/>
    <w:rsid w:val="00535B7C"/>
    <w:rsid w:val="00535C9D"/>
    <w:rsid w:val="00535F4D"/>
    <w:rsid w:val="0053614F"/>
    <w:rsid w:val="005364AF"/>
    <w:rsid w:val="005369D2"/>
    <w:rsid w:val="00537B44"/>
    <w:rsid w:val="005407BB"/>
    <w:rsid w:val="005408F3"/>
    <w:rsid w:val="00540922"/>
    <w:rsid w:val="00540CBB"/>
    <w:rsid w:val="00540E24"/>
    <w:rsid w:val="00540FBA"/>
    <w:rsid w:val="00541C62"/>
    <w:rsid w:val="00541CD7"/>
    <w:rsid w:val="00542AE4"/>
    <w:rsid w:val="00542BA9"/>
    <w:rsid w:val="0054341A"/>
    <w:rsid w:val="0054414D"/>
    <w:rsid w:val="0054416B"/>
    <w:rsid w:val="005449A8"/>
    <w:rsid w:val="00545330"/>
    <w:rsid w:val="00545940"/>
    <w:rsid w:val="00545F05"/>
    <w:rsid w:val="00546DE1"/>
    <w:rsid w:val="005471FE"/>
    <w:rsid w:val="0054735B"/>
    <w:rsid w:val="00547AED"/>
    <w:rsid w:val="0055122B"/>
    <w:rsid w:val="00551C6E"/>
    <w:rsid w:val="00552199"/>
    <w:rsid w:val="00552298"/>
    <w:rsid w:val="005522F3"/>
    <w:rsid w:val="005528C9"/>
    <w:rsid w:val="00553069"/>
    <w:rsid w:val="005532C7"/>
    <w:rsid w:val="0055339F"/>
    <w:rsid w:val="00553CE7"/>
    <w:rsid w:val="005545B6"/>
    <w:rsid w:val="00554FCC"/>
    <w:rsid w:val="00555570"/>
    <w:rsid w:val="00555E9E"/>
    <w:rsid w:val="00555EB2"/>
    <w:rsid w:val="00555F95"/>
    <w:rsid w:val="00556239"/>
    <w:rsid w:val="00556DAA"/>
    <w:rsid w:val="0055716B"/>
    <w:rsid w:val="0055769B"/>
    <w:rsid w:val="00557C47"/>
    <w:rsid w:val="00560388"/>
    <w:rsid w:val="00560C29"/>
    <w:rsid w:val="00560F70"/>
    <w:rsid w:val="005611AF"/>
    <w:rsid w:val="00561581"/>
    <w:rsid w:val="0056173B"/>
    <w:rsid w:val="00561FF1"/>
    <w:rsid w:val="00562285"/>
    <w:rsid w:val="0056237D"/>
    <w:rsid w:val="005624CA"/>
    <w:rsid w:val="005627CA"/>
    <w:rsid w:val="00562CC9"/>
    <w:rsid w:val="00562D4E"/>
    <w:rsid w:val="00562DA5"/>
    <w:rsid w:val="00563C15"/>
    <w:rsid w:val="005655DD"/>
    <w:rsid w:val="00566C9B"/>
    <w:rsid w:val="00566E16"/>
    <w:rsid w:val="005709FA"/>
    <w:rsid w:val="0057102F"/>
    <w:rsid w:val="00572174"/>
    <w:rsid w:val="00572313"/>
    <w:rsid w:val="0057242A"/>
    <w:rsid w:val="00572C5A"/>
    <w:rsid w:val="00574947"/>
    <w:rsid w:val="00574B39"/>
    <w:rsid w:val="00574BB4"/>
    <w:rsid w:val="00574C5C"/>
    <w:rsid w:val="0057592A"/>
    <w:rsid w:val="00575C91"/>
    <w:rsid w:val="00575F8F"/>
    <w:rsid w:val="0057667E"/>
    <w:rsid w:val="005771EE"/>
    <w:rsid w:val="005776AD"/>
    <w:rsid w:val="00577991"/>
    <w:rsid w:val="00577DD6"/>
    <w:rsid w:val="005800F0"/>
    <w:rsid w:val="00580181"/>
    <w:rsid w:val="005802FE"/>
    <w:rsid w:val="00580910"/>
    <w:rsid w:val="00580CE1"/>
    <w:rsid w:val="00581067"/>
    <w:rsid w:val="00581151"/>
    <w:rsid w:val="0058138F"/>
    <w:rsid w:val="005813D8"/>
    <w:rsid w:val="005815B4"/>
    <w:rsid w:val="00581D43"/>
    <w:rsid w:val="00581D97"/>
    <w:rsid w:val="0058203B"/>
    <w:rsid w:val="005822F9"/>
    <w:rsid w:val="0058253F"/>
    <w:rsid w:val="0058270C"/>
    <w:rsid w:val="00583839"/>
    <w:rsid w:val="00583B90"/>
    <w:rsid w:val="00583D94"/>
    <w:rsid w:val="00583F3F"/>
    <w:rsid w:val="00584123"/>
    <w:rsid w:val="00584496"/>
    <w:rsid w:val="00584A8F"/>
    <w:rsid w:val="00584C62"/>
    <w:rsid w:val="00585D49"/>
    <w:rsid w:val="00585F24"/>
    <w:rsid w:val="00586451"/>
    <w:rsid w:val="005865BE"/>
    <w:rsid w:val="00586B58"/>
    <w:rsid w:val="00586CE4"/>
    <w:rsid w:val="00586D09"/>
    <w:rsid w:val="00586E8E"/>
    <w:rsid w:val="0058719A"/>
    <w:rsid w:val="00587D47"/>
    <w:rsid w:val="00587E2F"/>
    <w:rsid w:val="00590157"/>
    <w:rsid w:val="00590243"/>
    <w:rsid w:val="00590A1B"/>
    <w:rsid w:val="00590E28"/>
    <w:rsid w:val="00591155"/>
    <w:rsid w:val="00591A24"/>
    <w:rsid w:val="00591A84"/>
    <w:rsid w:val="00591A8F"/>
    <w:rsid w:val="00591CC7"/>
    <w:rsid w:val="0059201C"/>
    <w:rsid w:val="005924E8"/>
    <w:rsid w:val="005928F8"/>
    <w:rsid w:val="00593A24"/>
    <w:rsid w:val="00593A5A"/>
    <w:rsid w:val="00593EB3"/>
    <w:rsid w:val="00594428"/>
    <w:rsid w:val="00594734"/>
    <w:rsid w:val="00594E65"/>
    <w:rsid w:val="00595449"/>
    <w:rsid w:val="00595832"/>
    <w:rsid w:val="00595C81"/>
    <w:rsid w:val="00595D5F"/>
    <w:rsid w:val="005960E8"/>
    <w:rsid w:val="00596465"/>
    <w:rsid w:val="00597271"/>
    <w:rsid w:val="0059769F"/>
    <w:rsid w:val="00597EAB"/>
    <w:rsid w:val="005A0085"/>
    <w:rsid w:val="005A139E"/>
    <w:rsid w:val="005A1438"/>
    <w:rsid w:val="005A15E3"/>
    <w:rsid w:val="005A1747"/>
    <w:rsid w:val="005A1C7D"/>
    <w:rsid w:val="005A2B35"/>
    <w:rsid w:val="005A2E1A"/>
    <w:rsid w:val="005A3119"/>
    <w:rsid w:val="005A3597"/>
    <w:rsid w:val="005A4517"/>
    <w:rsid w:val="005A47D5"/>
    <w:rsid w:val="005A4AA1"/>
    <w:rsid w:val="005A5C83"/>
    <w:rsid w:val="005A6213"/>
    <w:rsid w:val="005A6791"/>
    <w:rsid w:val="005A6D44"/>
    <w:rsid w:val="005A6D52"/>
    <w:rsid w:val="005A6DF0"/>
    <w:rsid w:val="005A6E02"/>
    <w:rsid w:val="005A764A"/>
    <w:rsid w:val="005A7A19"/>
    <w:rsid w:val="005B042D"/>
    <w:rsid w:val="005B0C37"/>
    <w:rsid w:val="005B0DBD"/>
    <w:rsid w:val="005B11F5"/>
    <w:rsid w:val="005B14A7"/>
    <w:rsid w:val="005B161F"/>
    <w:rsid w:val="005B1BF2"/>
    <w:rsid w:val="005B1D88"/>
    <w:rsid w:val="005B1FAE"/>
    <w:rsid w:val="005B2A32"/>
    <w:rsid w:val="005B2E6C"/>
    <w:rsid w:val="005B3024"/>
    <w:rsid w:val="005B3A37"/>
    <w:rsid w:val="005B3AE9"/>
    <w:rsid w:val="005B4D18"/>
    <w:rsid w:val="005B51FE"/>
    <w:rsid w:val="005B5CB0"/>
    <w:rsid w:val="005B5D20"/>
    <w:rsid w:val="005B6025"/>
    <w:rsid w:val="005B6C7E"/>
    <w:rsid w:val="005B6D53"/>
    <w:rsid w:val="005B6F72"/>
    <w:rsid w:val="005B71AB"/>
    <w:rsid w:val="005B76EA"/>
    <w:rsid w:val="005B79F8"/>
    <w:rsid w:val="005C0C36"/>
    <w:rsid w:val="005C1276"/>
    <w:rsid w:val="005C1B05"/>
    <w:rsid w:val="005C1E17"/>
    <w:rsid w:val="005C26F5"/>
    <w:rsid w:val="005C2E2C"/>
    <w:rsid w:val="005C306D"/>
    <w:rsid w:val="005C3400"/>
    <w:rsid w:val="005C392C"/>
    <w:rsid w:val="005C3AA1"/>
    <w:rsid w:val="005C3E2C"/>
    <w:rsid w:val="005C43E6"/>
    <w:rsid w:val="005C600A"/>
    <w:rsid w:val="005C660C"/>
    <w:rsid w:val="005C67D6"/>
    <w:rsid w:val="005C683D"/>
    <w:rsid w:val="005C6F1C"/>
    <w:rsid w:val="005C702A"/>
    <w:rsid w:val="005C7E8B"/>
    <w:rsid w:val="005D0CDD"/>
    <w:rsid w:val="005D141B"/>
    <w:rsid w:val="005D17A7"/>
    <w:rsid w:val="005D19D7"/>
    <w:rsid w:val="005D1BB4"/>
    <w:rsid w:val="005D1F22"/>
    <w:rsid w:val="005D23E3"/>
    <w:rsid w:val="005D3329"/>
    <w:rsid w:val="005D3625"/>
    <w:rsid w:val="005D3EFA"/>
    <w:rsid w:val="005D449D"/>
    <w:rsid w:val="005D60F5"/>
    <w:rsid w:val="005D62BC"/>
    <w:rsid w:val="005D790B"/>
    <w:rsid w:val="005E054B"/>
    <w:rsid w:val="005E097D"/>
    <w:rsid w:val="005E15E8"/>
    <w:rsid w:val="005E1D80"/>
    <w:rsid w:val="005E2275"/>
    <w:rsid w:val="005E2310"/>
    <w:rsid w:val="005E2338"/>
    <w:rsid w:val="005E26F3"/>
    <w:rsid w:val="005E2A10"/>
    <w:rsid w:val="005E352C"/>
    <w:rsid w:val="005E36C2"/>
    <w:rsid w:val="005E4559"/>
    <w:rsid w:val="005E4A2F"/>
    <w:rsid w:val="005E4E54"/>
    <w:rsid w:val="005E4E63"/>
    <w:rsid w:val="005E4FDF"/>
    <w:rsid w:val="005E50ED"/>
    <w:rsid w:val="005E510F"/>
    <w:rsid w:val="005E5A1F"/>
    <w:rsid w:val="005E5BC3"/>
    <w:rsid w:val="005E61A3"/>
    <w:rsid w:val="005E6A8C"/>
    <w:rsid w:val="005E71C3"/>
    <w:rsid w:val="005E72E4"/>
    <w:rsid w:val="005E7583"/>
    <w:rsid w:val="005F0A58"/>
    <w:rsid w:val="005F19D9"/>
    <w:rsid w:val="005F1CCF"/>
    <w:rsid w:val="005F21F1"/>
    <w:rsid w:val="005F226E"/>
    <w:rsid w:val="005F4137"/>
    <w:rsid w:val="005F5EA9"/>
    <w:rsid w:val="005F6A77"/>
    <w:rsid w:val="005F6D0B"/>
    <w:rsid w:val="005F6EBE"/>
    <w:rsid w:val="005F7075"/>
    <w:rsid w:val="005F7E12"/>
    <w:rsid w:val="0060098D"/>
    <w:rsid w:val="00600EA7"/>
    <w:rsid w:val="00601748"/>
    <w:rsid w:val="00601E41"/>
    <w:rsid w:val="006027C5"/>
    <w:rsid w:val="00602895"/>
    <w:rsid w:val="00602DFC"/>
    <w:rsid w:val="0060366E"/>
    <w:rsid w:val="00603948"/>
    <w:rsid w:val="00603C71"/>
    <w:rsid w:val="00604DFC"/>
    <w:rsid w:val="00604EB1"/>
    <w:rsid w:val="00605BA6"/>
    <w:rsid w:val="00605E43"/>
    <w:rsid w:val="00606A39"/>
    <w:rsid w:val="00606AF7"/>
    <w:rsid w:val="00607917"/>
    <w:rsid w:val="00607B29"/>
    <w:rsid w:val="00607DA0"/>
    <w:rsid w:val="00607F42"/>
    <w:rsid w:val="00611245"/>
    <w:rsid w:val="00611324"/>
    <w:rsid w:val="00611C1D"/>
    <w:rsid w:val="00611E65"/>
    <w:rsid w:val="00612325"/>
    <w:rsid w:val="00612778"/>
    <w:rsid w:val="00612CF6"/>
    <w:rsid w:val="006145AE"/>
    <w:rsid w:val="0061534A"/>
    <w:rsid w:val="0061593F"/>
    <w:rsid w:val="00616288"/>
    <w:rsid w:val="00616F3F"/>
    <w:rsid w:val="006201F4"/>
    <w:rsid w:val="00620559"/>
    <w:rsid w:val="00620C7B"/>
    <w:rsid w:val="00621565"/>
    <w:rsid w:val="0062167B"/>
    <w:rsid w:val="00623144"/>
    <w:rsid w:val="006231ED"/>
    <w:rsid w:val="006237B0"/>
    <w:rsid w:val="00624235"/>
    <w:rsid w:val="00624D42"/>
    <w:rsid w:val="006256A4"/>
    <w:rsid w:val="006257A2"/>
    <w:rsid w:val="006259D7"/>
    <w:rsid w:val="00626219"/>
    <w:rsid w:val="0062654A"/>
    <w:rsid w:val="0062668E"/>
    <w:rsid w:val="00627392"/>
    <w:rsid w:val="006278D7"/>
    <w:rsid w:val="00627A07"/>
    <w:rsid w:val="00627BF1"/>
    <w:rsid w:val="00627BF9"/>
    <w:rsid w:val="00630442"/>
    <w:rsid w:val="00630E1B"/>
    <w:rsid w:val="00630F38"/>
    <w:rsid w:val="00631943"/>
    <w:rsid w:val="006321C3"/>
    <w:rsid w:val="006322EF"/>
    <w:rsid w:val="0063232D"/>
    <w:rsid w:val="00632F39"/>
    <w:rsid w:val="00633C31"/>
    <w:rsid w:val="00633D40"/>
    <w:rsid w:val="0063434C"/>
    <w:rsid w:val="0063448B"/>
    <w:rsid w:val="00635F42"/>
    <w:rsid w:val="00636EF3"/>
    <w:rsid w:val="00637657"/>
    <w:rsid w:val="00637E22"/>
    <w:rsid w:val="00637E71"/>
    <w:rsid w:val="00637FFD"/>
    <w:rsid w:val="00640A65"/>
    <w:rsid w:val="00641447"/>
    <w:rsid w:val="0064164D"/>
    <w:rsid w:val="00641711"/>
    <w:rsid w:val="00641850"/>
    <w:rsid w:val="006418F7"/>
    <w:rsid w:val="00642B88"/>
    <w:rsid w:val="00642C8D"/>
    <w:rsid w:val="00643453"/>
    <w:rsid w:val="00643D53"/>
    <w:rsid w:val="00643EBE"/>
    <w:rsid w:val="006442E9"/>
    <w:rsid w:val="0064452A"/>
    <w:rsid w:val="0064476F"/>
    <w:rsid w:val="00645829"/>
    <w:rsid w:val="00645B1F"/>
    <w:rsid w:val="00645E1E"/>
    <w:rsid w:val="00646A34"/>
    <w:rsid w:val="00646E6F"/>
    <w:rsid w:val="00647815"/>
    <w:rsid w:val="006478D0"/>
    <w:rsid w:val="006502C7"/>
    <w:rsid w:val="00650E95"/>
    <w:rsid w:val="00651E4A"/>
    <w:rsid w:val="006520BE"/>
    <w:rsid w:val="00655281"/>
    <w:rsid w:val="0065554E"/>
    <w:rsid w:val="0065617C"/>
    <w:rsid w:val="006574B6"/>
    <w:rsid w:val="00657FEB"/>
    <w:rsid w:val="00660108"/>
    <w:rsid w:val="0066059C"/>
    <w:rsid w:val="00661555"/>
    <w:rsid w:val="00661AAD"/>
    <w:rsid w:val="00662428"/>
    <w:rsid w:val="006629E5"/>
    <w:rsid w:val="0066354E"/>
    <w:rsid w:val="00663B90"/>
    <w:rsid w:val="00663EBF"/>
    <w:rsid w:val="006642FF"/>
    <w:rsid w:val="0066498B"/>
    <w:rsid w:val="00664B0A"/>
    <w:rsid w:val="00665778"/>
    <w:rsid w:val="0066621F"/>
    <w:rsid w:val="0066661F"/>
    <w:rsid w:val="00666805"/>
    <w:rsid w:val="00666BA9"/>
    <w:rsid w:val="00666C2B"/>
    <w:rsid w:val="00670F66"/>
    <w:rsid w:val="00671C91"/>
    <w:rsid w:val="00671D90"/>
    <w:rsid w:val="00671FCD"/>
    <w:rsid w:val="006722FD"/>
    <w:rsid w:val="00672C98"/>
    <w:rsid w:val="00672DFA"/>
    <w:rsid w:val="00672E73"/>
    <w:rsid w:val="006730D2"/>
    <w:rsid w:val="006731B5"/>
    <w:rsid w:val="006732C9"/>
    <w:rsid w:val="00673517"/>
    <w:rsid w:val="0067376F"/>
    <w:rsid w:val="00674601"/>
    <w:rsid w:val="006751CE"/>
    <w:rsid w:val="0067539B"/>
    <w:rsid w:val="00675700"/>
    <w:rsid w:val="00675DF6"/>
    <w:rsid w:val="00676172"/>
    <w:rsid w:val="006762C6"/>
    <w:rsid w:val="006762CD"/>
    <w:rsid w:val="00676A56"/>
    <w:rsid w:val="00676EA0"/>
    <w:rsid w:val="00677248"/>
    <w:rsid w:val="00677303"/>
    <w:rsid w:val="00677387"/>
    <w:rsid w:val="0067752B"/>
    <w:rsid w:val="00677772"/>
    <w:rsid w:val="0067779A"/>
    <w:rsid w:val="00677BF2"/>
    <w:rsid w:val="00677D31"/>
    <w:rsid w:val="00680E07"/>
    <w:rsid w:val="00681DD1"/>
    <w:rsid w:val="00681E7B"/>
    <w:rsid w:val="00683A0B"/>
    <w:rsid w:val="00684489"/>
    <w:rsid w:val="006848FE"/>
    <w:rsid w:val="00684C35"/>
    <w:rsid w:val="00685476"/>
    <w:rsid w:val="00685C26"/>
    <w:rsid w:val="0068790F"/>
    <w:rsid w:val="0069051B"/>
    <w:rsid w:val="006909E6"/>
    <w:rsid w:val="00690C8B"/>
    <w:rsid w:val="00691FF3"/>
    <w:rsid w:val="006924F0"/>
    <w:rsid w:val="0069308A"/>
    <w:rsid w:val="006931AA"/>
    <w:rsid w:val="00694AC8"/>
    <w:rsid w:val="00694B3A"/>
    <w:rsid w:val="00694F29"/>
    <w:rsid w:val="0069558F"/>
    <w:rsid w:val="006955D8"/>
    <w:rsid w:val="006957A3"/>
    <w:rsid w:val="00695F4C"/>
    <w:rsid w:val="006965F4"/>
    <w:rsid w:val="006979C9"/>
    <w:rsid w:val="00697ED7"/>
    <w:rsid w:val="006A0005"/>
    <w:rsid w:val="006A0096"/>
    <w:rsid w:val="006A06FC"/>
    <w:rsid w:val="006A1002"/>
    <w:rsid w:val="006A11AE"/>
    <w:rsid w:val="006A1235"/>
    <w:rsid w:val="006A1317"/>
    <w:rsid w:val="006A148E"/>
    <w:rsid w:val="006A1927"/>
    <w:rsid w:val="006A1951"/>
    <w:rsid w:val="006A19BC"/>
    <w:rsid w:val="006A2262"/>
    <w:rsid w:val="006A2A81"/>
    <w:rsid w:val="006A2C27"/>
    <w:rsid w:val="006A2EB3"/>
    <w:rsid w:val="006A2F59"/>
    <w:rsid w:val="006A3079"/>
    <w:rsid w:val="006A3102"/>
    <w:rsid w:val="006A332D"/>
    <w:rsid w:val="006A3CDA"/>
    <w:rsid w:val="006A6B5D"/>
    <w:rsid w:val="006A6C91"/>
    <w:rsid w:val="006A6F33"/>
    <w:rsid w:val="006A7473"/>
    <w:rsid w:val="006B00BA"/>
    <w:rsid w:val="006B00C8"/>
    <w:rsid w:val="006B02FE"/>
    <w:rsid w:val="006B0891"/>
    <w:rsid w:val="006B0F5D"/>
    <w:rsid w:val="006B1538"/>
    <w:rsid w:val="006B1CBA"/>
    <w:rsid w:val="006B1FCB"/>
    <w:rsid w:val="006B252C"/>
    <w:rsid w:val="006B2569"/>
    <w:rsid w:val="006B34E9"/>
    <w:rsid w:val="006B3806"/>
    <w:rsid w:val="006B48CA"/>
    <w:rsid w:val="006B542B"/>
    <w:rsid w:val="006B5B5E"/>
    <w:rsid w:val="006B6368"/>
    <w:rsid w:val="006B67CF"/>
    <w:rsid w:val="006B6C75"/>
    <w:rsid w:val="006B764A"/>
    <w:rsid w:val="006B7837"/>
    <w:rsid w:val="006C04CF"/>
    <w:rsid w:val="006C0518"/>
    <w:rsid w:val="006C05D2"/>
    <w:rsid w:val="006C07B1"/>
    <w:rsid w:val="006C1192"/>
    <w:rsid w:val="006C11B8"/>
    <w:rsid w:val="006C14C8"/>
    <w:rsid w:val="006C260A"/>
    <w:rsid w:val="006C2D39"/>
    <w:rsid w:val="006C3467"/>
    <w:rsid w:val="006C393E"/>
    <w:rsid w:val="006C3A7E"/>
    <w:rsid w:val="006C50B9"/>
    <w:rsid w:val="006C50F1"/>
    <w:rsid w:val="006C5330"/>
    <w:rsid w:val="006C5A70"/>
    <w:rsid w:val="006C5E37"/>
    <w:rsid w:val="006C7D51"/>
    <w:rsid w:val="006D2AC8"/>
    <w:rsid w:val="006D4FCC"/>
    <w:rsid w:val="006D5249"/>
    <w:rsid w:val="006D6907"/>
    <w:rsid w:val="006D6B52"/>
    <w:rsid w:val="006D707A"/>
    <w:rsid w:val="006D74EB"/>
    <w:rsid w:val="006D79A4"/>
    <w:rsid w:val="006E074A"/>
    <w:rsid w:val="006E07C6"/>
    <w:rsid w:val="006E0DCE"/>
    <w:rsid w:val="006E1369"/>
    <w:rsid w:val="006E155D"/>
    <w:rsid w:val="006E2E69"/>
    <w:rsid w:val="006E393E"/>
    <w:rsid w:val="006E3E7A"/>
    <w:rsid w:val="006E4BDF"/>
    <w:rsid w:val="006E5CFA"/>
    <w:rsid w:val="006E638F"/>
    <w:rsid w:val="006E65CF"/>
    <w:rsid w:val="006E66B0"/>
    <w:rsid w:val="006E7304"/>
    <w:rsid w:val="006E746B"/>
    <w:rsid w:val="006E7510"/>
    <w:rsid w:val="006E793C"/>
    <w:rsid w:val="006E7D1C"/>
    <w:rsid w:val="006F0649"/>
    <w:rsid w:val="006F07A1"/>
    <w:rsid w:val="006F08BF"/>
    <w:rsid w:val="006F103F"/>
    <w:rsid w:val="006F1631"/>
    <w:rsid w:val="006F1969"/>
    <w:rsid w:val="006F2190"/>
    <w:rsid w:val="006F2563"/>
    <w:rsid w:val="006F269F"/>
    <w:rsid w:val="006F330E"/>
    <w:rsid w:val="006F341D"/>
    <w:rsid w:val="006F35FA"/>
    <w:rsid w:val="006F3F5A"/>
    <w:rsid w:val="006F439B"/>
    <w:rsid w:val="006F43E6"/>
    <w:rsid w:val="006F4562"/>
    <w:rsid w:val="006F4701"/>
    <w:rsid w:val="006F4FF8"/>
    <w:rsid w:val="006F6435"/>
    <w:rsid w:val="006F6989"/>
    <w:rsid w:val="006F6C4A"/>
    <w:rsid w:val="006F78EE"/>
    <w:rsid w:val="00700D0F"/>
    <w:rsid w:val="00700EB9"/>
    <w:rsid w:val="0070289E"/>
    <w:rsid w:val="00702AD3"/>
    <w:rsid w:val="00703389"/>
    <w:rsid w:val="0070349D"/>
    <w:rsid w:val="007038F8"/>
    <w:rsid w:val="00703B98"/>
    <w:rsid w:val="00703F42"/>
    <w:rsid w:val="007040DD"/>
    <w:rsid w:val="007041AB"/>
    <w:rsid w:val="0070475A"/>
    <w:rsid w:val="00705C79"/>
    <w:rsid w:val="00705F7B"/>
    <w:rsid w:val="0070640B"/>
    <w:rsid w:val="0070660A"/>
    <w:rsid w:val="00706A21"/>
    <w:rsid w:val="00707066"/>
    <w:rsid w:val="00707267"/>
    <w:rsid w:val="00707B66"/>
    <w:rsid w:val="00707C02"/>
    <w:rsid w:val="0071021C"/>
    <w:rsid w:val="007116C6"/>
    <w:rsid w:val="00711B98"/>
    <w:rsid w:val="00711F24"/>
    <w:rsid w:val="00713738"/>
    <w:rsid w:val="00713A87"/>
    <w:rsid w:val="00714309"/>
    <w:rsid w:val="00714790"/>
    <w:rsid w:val="00714B69"/>
    <w:rsid w:val="00716016"/>
    <w:rsid w:val="00716D22"/>
    <w:rsid w:val="00716EFB"/>
    <w:rsid w:val="007172EE"/>
    <w:rsid w:val="007175F7"/>
    <w:rsid w:val="00720454"/>
    <w:rsid w:val="0072083C"/>
    <w:rsid w:val="007210A4"/>
    <w:rsid w:val="007218E8"/>
    <w:rsid w:val="00721E5E"/>
    <w:rsid w:val="0072207D"/>
    <w:rsid w:val="00722762"/>
    <w:rsid w:val="007228B5"/>
    <w:rsid w:val="007231EB"/>
    <w:rsid w:val="00723EC1"/>
    <w:rsid w:val="007247C7"/>
    <w:rsid w:val="00724D34"/>
    <w:rsid w:val="00725459"/>
    <w:rsid w:val="00725960"/>
    <w:rsid w:val="00726307"/>
    <w:rsid w:val="00726330"/>
    <w:rsid w:val="0072679C"/>
    <w:rsid w:val="00726871"/>
    <w:rsid w:val="007274C0"/>
    <w:rsid w:val="007301BE"/>
    <w:rsid w:val="00730276"/>
    <w:rsid w:val="007318BB"/>
    <w:rsid w:val="0073239E"/>
    <w:rsid w:val="00732412"/>
    <w:rsid w:val="0073243D"/>
    <w:rsid w:val="0073292F"/>
    <w:rsid w:val="00732B8B"/>
    <w:rsid w:val="00732F90"/>
    <w:rsid w:val="00733511"/>
    <w:rsid w:val="00733667"/>
    <w:rsid w:val="00734012"/>
    <w:rsid w:val="0073457F"/>
    <w:rsid w:val="007347DD"/>
    <w:rsid w:val="00734AFB"/>
    <w:rsid w:val="00734BC7"/>
    <w:rsid w:val="007350C4"/>
    <w:rsid w:val="0073659B"/>
    <w:rsid w:val="007365E3"/>
    <w:rsid w:val="00736E6C"/>
    <w:rsid w:val="007372F7"/>
    <w:rsid w:val="00737DF7"/>
    <w:rsid w:val="00737E57"/>
    <w:rsid w:val="00737FFE"/>
    <w:rsid w:val="0074208E"/>
    <w:rsid w:val="00743155"/>
    <w:rsid w:val="0074383A"/>
    <w:rsid w:val="00743A57"/>
    <w:rsid w:val="00744C4A"/>
    <w:rsid w:val="00744E43"/>
    <w:rsid w:val="00746CB3"/>
    <w:rsid w:val="00747088"/>
    <w:rsid w:val="00747E11"/>
    <w:rsid w:val="00747FD0"/>
    <w:rsid w:val="00750E91"/>
    <w:rsid w:val="007510E4"/>
    <w:rsid w:val="00751139"/>
    <w:rsid w:val="00752207"/>
    <w:rsid w:val="00752457"/>
    <w:rsid w:val="007533C6"/>
    <w:rsid w:val="00753647"/>
    <w:rsid w:val="00753776"/>
    <w:rsid w:val="0075389E"/>
    <w:rsid w:val="00754CF6"/>
    <w:rsid w:val="00755534"/>
    <w:rsid w:val="007558B7"/>
    <w:rsid w:val="007563AE"/>
    <w:rsid w:val="00757289"/>
    <w:rsid w:val="00757375"/>
    <w:rsid w:val="00757B96"/>
    <w:rsid w:val="00757F2F"/>
    <w:rsid w:val="00760957"/>
    <w:rsid w:val="00761B2B"/>
    <w:rsid w:val="0076284C"/>
    <w:rsid w:val="007630D6"/>
    <w:rsid w:val="007631DD"/>
    <w:rsid w:val="00763222"/>
    <w:rsid w:val="007632AD"/>
    <w:rsid w:val="0076412C"/>
    <w:rsid w:val="00764221"/>
    <w:rsid w:val="0076484C"/>
    <w:rsid w:val="00764CBE"/>
    <w:rsid w:val="00765845"/>
    <w:rsid w:val="00765FCF"/>
    <w:rsid w:val="007668CA"/>
    <w:rsid w:val="00766FB1"/>
    <w:rsid w:val="007703D0"/>
    <w:rsid w:val="0077087D"/>
    <w:rsid w:val="00771348"/>
    <w:rsid w:val="00771D14"/>
    <w:rsid w:val="007728C9"/>
    <w:rsid w:val="00772908"/>
    <w:rsid w:val="007734E4"/>
    <w:rsid w:val="00773D3D"/>
    <w:rsid w:val="007742E8"/>
    <w:rsid w:val="00774427"/>
    <w:rsid w:val="007745E2"/>
    <w:rsid w:val="00775030"/>
    <w:rsid w:val="007751FF"/>
    <w:rsid w:val="0077537D"/>
    <w:rsid w:val="00775604"/>
    <w:rsid w:val="0077589D"/>
    <w:rsid w:val="00775C54"/>
    <w:rsid w:val="00776193"/>
    <w:rsid w:val="0077624F"/>
    <w:rsid w:val="00776319"/>
    <w:rsid w:val="007766C1"/>
    <w:rsid w:val="00776AA4"/>
    <w:rsid w:val="007775E4"/>
    <w:rsid w:val="00780132"/>
    <w:rsid w:val="00780213"/>
    <w:rsid w:val="007804B3"/>
    <w:rsid w:val="00781CFD"/>
    <w:rsid w:val="0078352B"/>
    <w:rsid w:val="0078383C"/>
    <w:rsid w:val="00784247"/>
    <w:rsid w:val="00785457"/>
    <w:rsid w:val="007860B8"/>
    <w:rsid w:val="00786DDF"/>
    <w:rsid w:val="00786F65"/>
    <w:rsid w:val="007872D3"/>
    <w:rsid w:val="00787B65"/>
    <w:rsid w:val="00790136"/>
    <w:rsid w:val="00791367"/>
    <w:rsid w:val="00791D3B"/>
    <w:rsid w:val="00792A12"/>
    <w:rsid w:val="00792A69"/>
    <w:rsid w:val="00792EF0"/>
    <w:rsid w:val="0079344F"/>
    <w:rsid w:val="007934F9"/>
    <w:rsid w:val="0079465A"/>
    <w:rsid w:val="0079527A"/>
    <w:rsid w:val="00795478"/>
    <w:rsid w:val="00795749"/>
    <w:rsid w:val="00796166"/>
    <w:rsid w:val="007966AC"/>
    <w:rsid w:val="00796784"/>
    <w:rsid w:val="00796E66"/>
    <w:rsid w:val="007972D1"/>
    <w:rsid w:val="00797AD3"/>
    <w:rsid w:val="00797B90"/>
    <w:rsid w:val="00797D09"/>
    <w:rsid w:val="00797E48"/>
    <w:rsid w:val="007A0ED4"/>
    <w:rsid w:val="007A2EA7"/>
    <w:rsid w:val="007A2FFD"/>
    <w:rsid w:val="007A30F7"/>
    <w:rsid w:val="007A397A"/>
    <w:rsid w:val="007A4228"/>
    <w:rsid w:val="007A4B97"/>
    <w:rsid w:val="007A4D01"/>
    <w:rsid w:val="007A5BE7"/>
    <w:rsid w:val="007A5F8E"/>
    <w:rsid w:val="007A629B"/>
    <w:rsid w:val="007A716E"/>
    <w:rsid w:val="007A7416"/>
    <w:rsid w:val="007A7608"/>
    <w:rsid w:val="007A76BE"/>
    <w:rsid w:val="007B046D"/>
    <w:rsid w:val="007B1529"/>
    <w:rsid w:val="007B1653"/>
    <w:rsid w:val="007B198E"/>
    <w:rsid w:val="007B1ECD"/>
    <w:rsid w:val="007B3641"/>
    <w:rsid w:val="007B37D7"/>
    <w:rsid w:val="007B42AB"/>
    <w:rsid w:val="007B4351"/>
    <w:rsid w:val="007B48CB"/>
    <w:rsid w:val="007B4A43"/>
    <w:rsid w:val="007B4FED"/>
    <w:rsid w:val="007B605C"/>
    <w:rsid w:val="007B6DE9"/>
    <w:rsid w:val="007B714E"/>
    <w:rsid w:val="007B7234"/>
    <w:rsid w:val="007C1C67"/>
    <w:rsid w:val="007C1D1A"/>
    <w:rsid w:val="007C2664"/>
    <w:rsid w:val="007C2B97"/>
    <w:rsid w:val="007C2CFF"/>
    <w:rsid w:val="007C2D9D"/>
    <w:rsid w:val="007C3581"/>
    <w:rsid w:val="007C39D2"/>
    <w:rsid w:val="007C3CE2"/>
    <w:rsid w:val="007C3E70"/>
    <w:rsid w:val="007C3F50"/>
    <w:rsid w:val="007C48C9"/>
    <w:rsid w:val="007C4CD0"/>
    <w:rsid w:val="007C586D"/>
    <w:rsid w:val="007C60D0"/>
    <w:rsid w:val="007C69CC"/>
    <w:rsid w:val="007C6CC0"/>
    <w:rsid w:val="007C7348"/>
    <w:rsid w:val="007C74AE"/>
    <w:rsid w:val="007C75DC"/>
    <w:rsid w:val="007C7B4F"/>
    <w:rsid w:val="007C7C42"/>
    <w:rsid w:val="007D0356"/>
    <w:rsid w:val="007D0C31"/>
    <w:rsid w:val="007D0E6D"/>
    <w:rsid w:val="007D144F"/>
    <w:rsid w:val="007D1B2C"/>
    <w:rsid w:val="007D1DA9"/>
    <w:rsid w:val="007D25DD"/>
    <w:rsid w:val="007D2AFA"/>
    <w:rsid w:val="007D3147"/>
    <w:rsid w:val="007D3E8D"/>
    <w:rsid w:val="007D4981"/>
    <w:rsid w:val="007D49E4"/>
    <w:rsid w:val="007D4FA7"/>
    <w:rsid w:val="007D51FE"/>
    <w:rsid w:val="007D573E"/>
    <w:rsid w:val="007D5952"/>
    <w:rsid w:val="007D59D9"/>
    <w:rsid w:val="007D6742"/>
    <w:rsid w:val="007D6979"/>
    <w:rsid w:val="007D6DA9"/>
    <w:rsid w:val="007D71CC"/>
    <w:rsid w:val="007D73B9"/>
    <w:rsid w:val="007E03C4"/>
    <w:rsid w:val="007E1353"/>
    <w:rsid w:val="007E18C2"/>
    <w:rsid w:val="007E1AA8"/>
    <w:rsid w:val="007E1B4D"/>
    <w:rsid w:val="007E2DA3"/>
    <w:rsid w:val="007E2DD0"/>
    <w:rsid w:val="007E2F4D"/>
    <w:rsid w:val="007E3578"/>
    <w:rsid w:val="007E4764"/>
    <w:rsid w:val="007E4B30"/>
    <w:rsid w:val="007E4CB9"/>
    <w:rsid w:val="007E5293"/>
    <w:rsid w:val="007E785E"/>
    <w:rsid w:val="007F08DE"/>
    <w:rsid w:val="007F180A"/>
    <w:rsid w:val="007F25F7"/>
    <w:rsid w:val="007F2CE2"/>
    <w:rsid w:val="007F4B4C"/>
    <w:rsid w:val="007F4BFA"/>
    <w:rsid w:val="007F53F1"/>
    <w:rsid w:val="007F56FC"/>
    <w:rsid w:val="007F5CD7"/>
    <w:rsid w:val="007F5CFC"/>
    <w:rsid w:val="007F6178"/>
    <w:rsid w:val="007F62E7"/>
    <w:rsid w:val="007F654A"/>
    <w:rsid w:val="007F6F6A"/>
    <w:rsid w:val="007F7316"/>
    <w:rsid w:val="007F752B"/>
    <w:rsid w:val="007F782C"/>
    <w:rsid w:val="007F7AFE"/>
    <w:rsid w:val="007F7C46"/>
    <w:rsid w:val="0080065C"/>
    <w:rsid w:val="00800A49"/>
    <w:rsid w:val="00800F23"/>
    <w:rsid w:val="00801D8F"/>
    <w:rsid w:val="00801FF6"/>
    <w:rsid w:val="0080284C"/>
    <w:rsid w:val="008028D3"/>
    <w:rsid w:val="008028DA"/>
    <w:rsid w:val="00802A49"/>
    <w:rsid w:val="00802FBD"/>
    <w:rsid w:val="008033DB"/>
    <w:rsid w:val="00804680"/>
    <w:rsid w:val="00804ACF"/>
    <w:rsid w:val="00804B99"/>
    <w:rsid w:val="00804BDD"/>
    <w:rsid w:val="008053F6"/>
    <w:rsid w:val="00806496"/>
    <w:rsid w:val="00806E51"/>
    <w:rsid w:val="00807223"/>
    <w:rsid w:val="0080746C"/>
    <w:rsid w:val="00807879"/>
    <w:rsid w:val="00810CCE"/>
    <w:rsid w:val="008120B3"/>
    <w:rsid w:val="00812C02"/>
    <w:rsid w:val="008130C7"/>
    <w:rsid w:val="00813FD8"/>
    <w:rsid w:val="00814710"/>
    <w:rsid w:val="00814902"/>
    <w:rsid w:val="008150E1"/>
    <w:rsid w:val="008151E8"/>
    <w:rsid w:val="0081580F"/>
    <w:rsid w:val="00816484"/>
    <w:rsid w:val="00816754"/>
    <w:rsid w:val="00816817"/>
    <w:rsid w:val="00816AE8"/>
    <w:rsid w:val="00817004"/>
    <w:rsid w:val="00817968"/>
    <w:rsid w:val="008209BD"/>
    <w:rsid w:val="00820D65"/>
    <w:rsid w:val="0082142A"/>
    <w:rsid w:val="00821619"/>
    <w:rsid w:val="00821BD4"/>
    <w:rsid w:val="00822C2C"/>
    <w:rsid w:val="00823299"/>
    <w:rsid w:val="00823700"/>
    <w:rsid w:val="0082428F"/>
    <w:rsid w:val="0082488C"/>
    <w:rsid w:val="00824CB0"/>
    <w:rsid w:val="008254CC"/>
    <w:rsid w:val="00825800"/>
    <w:rsid w:val="008259F4"/>
    <w:rsid w:val="008261C2"/>
    <w:rsid w:val="008261E9"/>
    <w:rsid w:val="00827C15"/>
    <w:rsid w:val="00827C34"/>
    <w:rsid w:val="00830CAE"/>
    <w:rsid w:val="00830DEC"/>
    <w:rsid w:val="0083113C"/>
    <w:rsid w:val="00831773"/>
    <w:rsid w:val="00831E23"/>
    <w:rsid w:val="008320E5"/>
    <w:rsid w:val="008321DC"/>
    <w:rsid w:val="008327FB"/>
    <w:rsid w:val="008339BE"/>
    <w:rsid w:val="00834F51"/>
    <w:rsid w:val="00835784"/>
    <w:rsid w:val="00835A86"/>
    <w:rsid w:val="008365CB"/>
    <w:rsid w:val="00836B38"/>
    <w:rsid w:val="00836BCF"/>
    <w:rsid w:val="0083718A"/>
    <w:rsid w:val="00837EB7"/>
    <w:rsid w:val="00840314"/>
    <w:rsid w:val="00840729"/>
    <w:rsid w:val="00841047"/>
    <w:rsid w:val="0084117E"/>
    <w:rsid w:val="00841903"/>
    <w:rsid w:val="00841D03"/>
    <w:rsid w:val="008421A9"/>
    <w:rsid w:val="00842553"/>
    <w:rsid w:val="00842DDE"/>
    <w:rsid w:val="00843D83"/>
    <w:rsid w:val="00844234"/>
    <w:rsid w:val="00844F50"/>
    <w:rsid w:val="008458D6"/>
    <w:rsid w:val="00845D35"/>
    <w:rsid w:val="0084613C"/>
    <w:rsid w:val="0084623A"/>
    <w:rsid w:val="00846856"/>
    <w:rsid w:val="00846CEC"/>
    <w:rsid w:val="00846E98"/>
    <w:rsid w:val="008504CF"/>
    <w:rsid w:val="00850508"/>
    <w:rsid w:val="0085059F"/>
    <w:rsid w:val="008505F2"/>
    <w:rsid w:val="00850A2B"/>
    <w:rsid w:val="00850B49"/>
    <w:rsid w:val="00851E80"/>
    <w:rsid w:val="00852543"/>
    <w:rsid w:val="00852610"/>
    <w:rsid w:val="00852C73"/>
    <w:rsid w:val="00852DC5"/>
    <w:rsid w:val="008534B1"/>
    <w:rsid w:val="00853A79"/>
    <w:rsid w:val="00853AB1"/>
    <w:rsid w:val="00853D63"/>
    <w:rsid w:val="00854B41"/>
    <w:rsid w:val="00854FC0"/>
    <w:rsid w:val="00857DCC"/>
    <w:rsid w:val="008607C7"/>
    <w:rsid w:val="00860CD7"/>
    <w:rsid w:val="0086159A"/>
    <w:rsid w:val="008615E0"/>
    <w:rsid w:val="00861701"/>
    <w:rsid w:val="008617FC"/>
    <w:rsid w:val="008617FD"/>
    <w:rsid w:val="00861855"/>
    <w:rsid w:val="00861C2C"/>
    <w:rsid w:val="0086210C"/>
    <w:rsid w:val="00862DB0"/>
    <w:rsid w:val="00863206"/>
    <w:rsid w:val="00863610"/>
    <w:rsid w:val="00864A5E"/>
    <w:rsid w:val="00865F8C"/>
    <w:rsid w:val="00866349"/>
    <w:rsid w:val="008663E2"/>
    <w:rsid w:val="00866870"/>
    <w:rsid w:val="00866D37"/>
    <w:rsid w:val="00866E8E"/>
    <w:rsid w:val="00867847"/>
    <w:rsid w:val="008678AE"/>
    <w:rsid w:val="00870D7D"/>
    <w:rsid w:val="00870FCB"/>
    <w:rsid w:val="00871261"/>
    <w:rsid w:val="008722F7"/>
    <w:rsid w:val="00872DBF"/>
    <w:rsid w:val="00873369"/>
    <w:rsid w:val="008739E1"/>
    <w:rsid w:val="008743BD"/>
    <w:rsid w:val="00874410"/>
    <w:rsid w:val="00874901"/>
    <w:rsid w:val="00874A9C"/>
    <w:rsid w:val="00874C54"/>
    <w:rsid w:val="00874DFC"/>
    <w:rsid w:val="00874E40"/>
    <w:rsid w:val="008752C5"/>
    <w:rsid w:val="00875C71"/>
    <w:rsid w:val="00875F0D"/>
    <w:rsid w:val="0087618C"/>
    <w:rsid w:val="008761BE"/>
    <w:rsid w:val="00876A08"/>
    <w:rsid w:val="00876B37"/>
    <w:rsid w:val="00880056"/>
    <w:rsid w:val="00880227"/>
    <w:rsid w:val="0088064E"/>
    <w:rsid w:val="00880B8F"/>
    <w:rsid w:val="00880E6E"/>
    <w:rsid w:val="00880EA9"/>
    <w:rsid w:val="00881210"/>
    <w:rsid w:val="00882A08"/>
    <w:rsid w:val="00882DE4"/>
    <w:rsid w:val="008837D0"/>
    <w:rsid w:val="0088383E"/>
    <w:rsid w:val="00883EF6"/>
    <w:rsid w:val="008845A8"/>
    <w:rsid w:val="0088487E"/>
    <w:rsid w:val="00884957"/>
    <w:rsid w:val="00885279"/>
    <w:rsid w:val="008854EA"/>
    <w:rsid w:val="00885B44"/>
    <w:rsid w:val="0088687A"/>
    <w:rsid w:val="00886937"/>
    <w:rsid w:val="00886F02"/>
    <w:rsid w:val="0088716C"/>
    <w:rsid w:val="00887922"/>
    <w:rsid w:val="00887BE5"/>
    <w:rsid w:val="00890502"/>
    <w:rsid w:val="00890542"/>
    <w:rsid w:val="008906E7"/>
    <w:rsid w:val="00890990"/>
    <w:rsid w:val="00890A02"/>
    <w:rsid w:val="00890BFE"/>
    <w:rsid w:val="00890ED9"/>
    <w:rsid w:val="00890F61"/>
    <w:rsid w:val="0089328A"/>
    <w:rsid w:val="00893E8C"/>
    <w:rsid w:val="00894083"/>
    <w:rsid w:val="00894301"/>
    <w:rsid w:val="00895207"/>
    <w:rsid w:val="00895841"/>
    <w:rsid w:val="00896885"/>
    <w:rsid w:val="008968CC"/>
    <w:rsid w:val="00896956"/>
    <w:rsid w:val="00896FE2"/>
    <w:rsid w:val="008A1098"/>
    <w:rsid w:val="008A115E"/>
    <w:rsid w:val="008A18F7"/>
    <w:rsid w:val="008A1CB5"/>
    <w:rsid w:val="008A1F5C"/>
    <w:rsid w:val="008A30D8"/>
    <w:rsid w:val="008A3390"/>
    <w:rsid w:val="008A3827"/>
    <w:rsid w:val="008A38D7"/>
    <w:rsid w:val="008A3DB8"/>
    <w:rsid w:val="008A420B"/>
    <w:rsid w:val="008A4421"/>
    <w:rsid w:val="008A4AD1"/>
    <w:rsid w:val="008A4D03"/>
    <w:rsid w:val="008A5C98"/>
    <w:rsid w:val="008A5EBA"/>
    <w:rsid w:val="008A6B39"/>
    <w:rsid w:val="008A6DE3"/>
    <w:rsid w:val="008A70A7"/>
    <w:rsid w:val="008A71FF"/>
    <w:rsid w:val="008A778A"/>
    <w:rsid w:val="008B00AE"/>
    <w:rsid w:val="008B0772"/>
    <w:rsid w:val="008B0A79"/>
    <w:rsid w:val="008B0BDF"/>
    <w:rsid w:val="008B145E"/>
    <w:rsid w:val="008B1488"/>
    <w:rsid w:val="008B1750"/>
    <w:rsid w:val="008B1DEF"/>
    <w:rsid w:val="008B1E09"/>
    <w:rsid w:val="008B1F81"/>
    <w:rsid w:val="008B258E"/>
    <w:rsid w:val="008B385F"/>
    <w:rsid w:val="008B44EE"/>
    <w:rsid w:val="008B58D1"/>
    <w:rsid w:val="008B5BC3"/>
    <w:rsid w:val="008B5F31"/>
    <w:rsid w:val="008B6673"/>
    <w:rsid w:val="008B6A88"/>
    <w:rsid w:val="008B76CB"/>
    <w:rsid w:val="008C09CD"/>
    <w:rsid w:val="008C202F"/>
    <w:rsid w:val="008C261B"/>
    <w:rsid w:val="008C349A"/>
    <w:rsid w:val="008C3E90"/>
    <w:rsid w:val="008C5567"/>
    <w:rsid w:val="008C65A3"/>
    <w:rsid w:val="008C7471"/>
    <w:rsid w:val="008C75F7"/>
    <w:rsid w:val="008C76EB"/>
    <w:rsid w:val="008C7A90"/>
    <w:rsid w:val="008C7BD8"/>
    <w:rsid w:val="008C7C31"/>
    <w:rsid w:val="008C7DA2"/>
    <w:rsid w:val="008C7F9F"/>
    <w:rsid w:val="008D09BE"/>
    <w:rsid w:val="008D0AD4"/>
    <w:rsid w:val="008D0B5D"/>
    <w:rsid w:val="008D1563"/>
    <w:rsid w:val="008D1811"/>
    <w:rsid w:val="008D1986"/>
    <w:rsid w:val="008D2498"/>
    <w:rsid w:val="008D33DE"/>
    <w:rsid w:val="008D33EB"/>
    <w:rsid w:val="008D3B3C"/>
    <w:rsid w:val="008D462B"/>
    <w:rsid w:val="008D4697"/>
    <w:rsid w:val="008D516B"/>
    <w:rsid w:val="008D5845"/>
    <w:rsid w:val="008D612B"/>
    <w:rsid w:val="008D65EF"/>
    <w:rsid w:val="008D7C01"/>
    <w:rsid w:val="008E02F6"/>
    <w:rsid w:val="008E0445"/>
    <w:rsid w:val="008E0C8D"/>
    <w:rsid w:val="008E1357"/>
    <w:rsid w:val="008E1567"/>
    <w:rsid w:val="008E1E00"/>
    <w:rsid w:val="008E20B6"/>
    <w:rsid w:val="008E2E1B"/>
    <w:rsid w:val="008E3055"/>
    <w:rsid w:val="008E3322"/>
    <w:rsid w:val="008E3A9C"/>
    <w:rsid w:val="008E45F8"/>
    <w:rsid w:val="008E47C8"/>
    <w:rsid w:val="008E498F"/>
    <w:rsid w:val="008E54EA"/>
    <w:rsid w:val="008E578E"/>
    <w:rsid w:val="008E6D45"/>
    <w:rsid w:val="008E7806"/>
    <w:rsid w:val="008E7A52"/>
    <w:rsid w:val="008F0203"/>
    <w:rsid w:val="008F0598"/>
    <w:rsid w:val="008F07BB"/>
    <w:rsid w:val="008F098A"/>
    <w:rsid w:val="008F1249"/>
    <w:rsid w:val="008F1436"/>
    <w:rsid w:val="008F167A"/>
    <w:rsid w:val="008F1785"/>
    <w:rsid w:val="008F17EB"/>
    <w:rsid w:val="008F19A7"/>
    <w:rsid w:val="008F1BCC"/>
    <w:rsid w:val="008F1D95"/>
    <w:rsid w:val="008F24BF"/>
    <w:rsid w:val="008F2FF9"/>
    <w:rsid w:val="008F327D"/>
    <w:rsid w:val="008F32FD"/>
    <w:rsid w:val="008F34EC"/>
    <w:rsid w:val="008F3B99"/>
    <w:rsid w:val="008F4105"/>
    <w:rsid w:val="008F4491"/>
    <w:rsid w:val="008F476D"/>
    <w:rsid w:val="008F53BC"/>
    <w:rsid w:val="008F6430"/>
    <w:rsid w:val="008F6453"/>
    <w:rsid w:val="008F69AF"/>
    <w:rsid w:val="008F6BAF"/>
    <w:rsid w:val="008F7FCF"/>
    <w:rsid w:val="0090078E"/>
    <w:rsid w:val="00900811"/>
    <w:rsid w:val="00900BB7"/>
    <w:rsid w:val="00901115"/>
    <w:rsid w:val="009014FE"/>
    <w:rsid w:val="00901D82"/>
    <w:rsid w:val="00901F40"/>
    <w:rsid w:val="00902920"/>
    <w:rsid w:val="00903492"/>
    <w:rsid w:val="009039FB"/>
    <w:rsid w:val="00903CC7"/>
    <w:rsid w:val="009042EB"/>
    <w:rsid w:val="009043D3"/>
    <w:rsid w:val="0090476F"/>
    <w:rsid w:val="00905190"/>
    <w:rsid w:val="00905725"/>
    <w:rsid w:val="009057BB"/>
    <w:rsid w:val="009060E2"/>
    <w:rsid w:val="00906223"/>
    <w:rsid w:val="009063D0"/>
    <w:rsid w:val="009068DF"/>
    <w:rsid w:val="00906915"/>
    <w:rsid w:val="00907652"/>
    <w:rsid w:val="00907E9E"/>
    <w:rsid w:val="00910BCF"/>
    <w:rsid w:val="00911140"/>
    <w:rsid w:val="0091116F"/>
    <w:rsid w:val="009116E0"/>
    <w:rsid w:val="00911FBD"/>
    <w:rsid w:val="00912096"/>
    <w:rsid w:val="0091288E"/>
    <w:rsid w:val="00912E1B"/>
    <w:rsid w:val="00912F15"/>
    <w:rsid w:val="00913124"/>
    <w:rsid w:val="00913126"/>
    <w:rsid w:val="00913D5C"/>
    <w:rsid w:val="00913E02"/>
    <w:rsid w:val="0091419F"/>
    <w:rsid w:val="00914893"/>
    <w:rsid w:val="00914FFC"/>
    <w:rsid w:val="00915894"/>
    <w:rsid w:val="009201C5"/>
    <w:rsid w:val="009203A6"/>
    <w:rsid w:val="0092088C"/>
    <w:rsid w:val="0092091C"/>
    <w:rsid w:val="00921B40"/>
    <w:rsid w:val="00921E03"/>
    <w:rsid w:val="009224E2"/>
    <w:rsid w:val="00922C0B"/>
    <w:rsid w:val="00922DE3"/>
    <w:rsid w:val="009245AA"/>
    <w:rsid w:val="00924F6A"/>
    <w:rsid w:val="00925069"/>
    <w:rsid w:val="00925D8D"/>
    <w:rsid w:val="00926233"/>
    <w:rsid w:val="0092636B"/>
    <w:rsid w:val="00926682"/>
    <w:rsid w:val="00926AE6"/>
    <w:rsid w:val="00926CEB"/>
    <w:rsid w:val="0092764D"/>
    <w:rsid w:val="009279C9"/>
    <w:rsid w:val="009279D4"/>
    <w:rsid w:val="00927DEC"/>
    <w:rsid w:val="00931132"/>
    <w:rsid w:val="0093156E"/>
    <w:rsid w:val="009322DF"/>
    <w:rsid w:val="0093340D"/>
    <w:rsid w:val="009337C6"/>
    <w:rsid w:val="009338AA"/>
    <w:rsid w:val="00933BEF"/>
    <w:rsid w:val="00933DE6"/>
    <w:rsid w:val="00933E65"/>
    <w:rsid w:val="009343FA"/>
    <w:rsid w:val="00934708"/>
    <w:rsid w:val="00934EAD"/>
    <w:rsid w:val="009354E1"/>
    <w:rsid w:val="0093585B"/>
    <w:rsid w:val="00935FF6"/>
    <w:rsid w:val="00936DEF"/>
    <w:rsid w:val="009375C6"/>
    <w:rsid w:val="0094044A"/>
    <w:rsid w:val="0094052D"/>
    <w:rsid w:val="00940A31"/>
    <w:rsid w:val="00940D5B"/>
    <w:rsid w:val="0094141F"/>
    <w:rsid w:val="0094147E"/>
    <w:rsid w:val="00941BB2"/>
    <w:rsid w:val="0094203B"/>
    <w:rsid w:val="00942614"/>
    <w:rsid w:val="00942635"/>
    <w:rsid w:val="009432FA"/>
    <w:rsid w:val="0094348A"/>
    <w:rsid w:val="00943857"/>
    <w:rsid w:val="00943E5D"/>
    <w:rsid w:val="00943E97"/>
    <w:rsid w:val="00944889"/>
    <w:rsid w:val="009452A6"/>
    <w:rsid w:val="00945430"/>
    <w:rsid w:val="009461B8"/>
    <w:rsid w:val="009462F2"/>
    <w:rsid w:val="0094664D"/>
    <w:rsid w:val="00946721"/>
    <w:rsid w:val="00946B83"/>
    <w:rsid w:val="00947565"/>
    <w:rsid w:val="009476A9"/>
    <w:rsid w:val="00947F9A"/>
    <w:rsid w:val="009509DD"/>
    <w:rsid w:val="00950A7A"/>
    <w:rsid w:val="00950BDE"/>
    <w:rsid w:val="00950E46"/>
    <w:rsid w:val="0095108A"/>
    <w:rsid w:val="0095146B"/>
    <w:rsid w:val="00952076"/>
    <w:rsid w:val="00952857"/>
    <w:rsid w:val="009531B8"/>
    <w:rsid w:val="00953318"/>
    <w:rsid w:val="009536AA"/>
    <w:rsid w:val="00953809"/>
    <w:rsid w:val="00953BD2"/>
    <w:rsid w:val="00954059"/>
    <w:rsid w:val="009540F6"/>
    <w:rsid w:val="00954267"/>
    <w:rsid w:val="00954F72"/>
    <w:rsid w:val="009558B3"/>
    <w:rsid w:val="009559CD"/>
    <w:rsid w:val="00956029"/>
    <w:rsid w:val="009569A1"/>
    <w:rsid w:val="00956AF7"/>
    <w:rsid w:val="00957001"/>
    <w:rsid w:val="00957840"/>
    <w:rsid w:val="00957C93"/>
    <w:rsid w:val="00960171"/>
    <w:rsid w:val="009602BD"/>
    <w:rsid w:val="00960350"/>
    <w:rsid w:val="009608F6"/>
    <w:rsid w:val="009612B7"/>
    <w:rsid w:val="0096147C"/>
    <w:rsid w:val="009615E9"/>
    <w:rsid w:val="00962715"/>
    <w:rsid w:val="00962EB3"/>
    <w:rsid w:val="00962F1A"/>
    <w:rsid w:val="00963383"/>
    <w:rsid w:val="00963515"/>
    <w:rsid w:val="009638A7"/>
    <w:rsid w:val="009641E2"/>
    <w:rsid w:val="00964E37"/>
    <w:rsid w:val="00964E66"/>
    <w:rsid w:val="00964E97"/>
    <w:rsid w:val="00965240"/>
    <w:rsid w:val="00965816"/>
    <w:rsid w:val="0096710A"/>
    <w:rsid w:val="009671FF"/>
    <w:rsid w:val="009673C6"/>
    <w:rsid w:val="0096789A"/>
    <w:rsid w:val="00967C51"/>
    <w:rsid w:val="00967E92"/>
    <w:rsid w:val="00970211"/>
    <w:rsid w:val="00970A84"/>
    <w:rsid w:val="00971924"/>
    <w:rsid w:val="009719F1"/>
    <w:rsid w:val="00972A4A"/>
    <w:rsid w:val="00973577"/>
    <w:rsid w:val="00974120"/>
    <w:rsid w:val="0097480A"/>
    <w:rsid w:val="0097497A"/>
    <w:rsid w:val="00974BCC"/>
    <w:rsid w:val="009751A9"/>
    <w:rsid w:val="00975216"/>
    <w:rsid w:val="00975247"/>
    <w:rsid w:val="0097621F"/>
    <w:rsid w:val="00976C26"/>
    <w:rsid w:val="00976C44"/>
    <w:rsid w:val="00977426"/>
    <w:rsid w:val="00977D2A"/>
    <w:rsid w:val="00981E81"/>
    <w:rsid w:val="009821E9"/>
    <w:rsid w:val="00982266"/>
    <w:rsid w:val="009822DC"/>
    <w:rsid w:val="0098234D"/>
    <w:rsid w:val="00983143"/>
    <w:rsid w:val="00983622"/>
    <w:rsid w:val="00983A96"/>
    <w:rsid w:val="00983AF6"/>
    <w:rsid w:val="00984067"/>
    <w:rsid w:val="00984860"/>
    <w:rsid w:val="00985C4D"/>
    <w:rsid w:val="00986BD9"/>
    <w:rsid w:val="00986F5F"/>
    <w:rsid w:val="00986FD5"/>
    <w:rsid w:val="00987B64"/>
    <w:rsid w:val="009903AC"/>
    <w:rsid w:val="009908D5"/>
    <w:rsid w:val="00990E64"/>
    <w:rsid w:val="00991004"/>
    <w:rsid w:val="00991829"/>
    <w:rsid w:val="00991AAC"/>
    <w:rsid w:val="00991E3D"/>
    <w:rsid w:val="00992772"/>
    <w:rsid w:val="00993AB7"/>
    <w:rsid w:val="00993DE5"/>
    <w:rsid w:val="0099404B"/>
    <w:rsid w:val="0099404F"/>
    <w:rsid w:val="009941C8"/>
    <w:rsid w:val="009945CE"/>
    <w:rsid w:val="00994A0A"/>
    <w:rsid w:val="00994CDF"/>
    <w:rsid w:val="009955F2"/>
    <w:rsid w:val="009957F2"/>
    <w:rsid w:val="00995854"/>
    <w:rsid w:val="009960C1"/>
    <w:rsid w:val="009967F9"/>
    <w:rsid w:val="0099729C"/>
    <w:rsid w:val="0099745B"/>
    <w:rsid w:val="009979CC"/>
    <w:rsid w:val="00997CFC"/>
    <w:rsid w:val="00997D2F"/>
    <w:rsid w:val="009A0581"/>
    <w:rsid w:val="009A0674"/>
    <w:rsid w:val="009A09DF"/>
    <w:rsid w:val="009A0E04"/>
    <w:rsid w:val="009A11C3"/>
    <w:rsid w:val="009A12B7"/>
    <w:rsid w:val="009A136F"/>
    <w:rsid w:val="009A2281"/>
    <w:rsid w:val="009A2620"/>
    <w:rsid w:val="009A2A29"/>
    <w:rsid w:val="009A2F75"/>
    <w:rsid w:val="009A308F"/>
    <w:rsid w:val="009A3521"/>
    <w:rsid w:val="009A37CF"/>
    <w:rsid w:val="009A486B"/>
    <w:rsid w:val="009A4D5C"/>
    <w:rsid w:val="009A5EE1"/>
    <w:rsid w:val="009A7599"/>
    <w:rsid w:val="009A7E1C"/>
    <w:rsid w:val="009B009D"/>
    <w:rsid w:val="009B0234"/>
    <w:rsid w:val="009B028B"/>
    <w:rsid w:val="009B032A"/>
    <w:rsid w:val="009B11DA"/>
    <w:rsid w:val="009B2171"/>
    <w:rsid w:val="009B2329"/>
    <w:rsid w:val="009B23FE"/>
    <w:rsid w:val="009B268A"/>
    <w:rsid w:val="009B3BD8"/>
    <w:rsid w:val="009B3C77"/>
    <w:rsid w:val="009B49DC"/>
    <w:rsid w:val="009B50C0"/>
    <w:rsid w:val="009B5F73"/>
    <w:rsid w:val="009B6B44"/>
    <w:rsid w:val="009B6F1A"/>
    <w:rsid w:val="009B725E"/>
    <w:rsid w:val="009B7933"/>
    <w:rsid w:val="009C0E4A"/>
    <w:rsid w:val="009C1FBE"/>
    <w:rsid w:val="009C2CA8"/>
    <w:rsid w:val="009C2D49"/>
    <w:rsid w:val="009C30B5"/>
    <w:rsid w:val="009C3862"/>
    <w:rsid w:val="009C3DAC"/>
    <w:rsid w:val="009C46AD"/>
    <w:rsid w:val="009C4C5C"/>
    <w:rsid w:val="009C525B"/>
    <w:rsid w:val="009C5BBB"/>
    <w:rsid w:val="009C689B"/>
    <w:rsid w:val="009C6B82"/>
    <w:rsid w:val="009C6FDB"/>
    <w:rsid w:val="009C7058"/>
    <w:rsid w:val="009C7255"/>
    <w:rsid w:val="009C7430"/>
    <w:rsid w:val="009C77EA"/>
    <w:rsid w:val="009C78EA"/>
    <w:rsid w:val="009C7A1B"/>
    <w:rsid w:val="009D0244"/>
    <w:rsid w:val="009D12CF"/>
    <w:rsid w:val="009D1401"/>
    <w:rsid w:val="009D1E96"/>
    <w:rsid w:val="009D296D"/>
    <w:rsid w:val="009D29E1"/>
    <w:rsid w:val="009D34BD"/>
    <w:rsid w:val="009D3A0A"/>
    <w:rsid w:val="009D4043"/>
    <w:rsid w:val="009D46CC"/>
    <w:rsid w:val="009D4973"/>
    <w:rsid w:val="009D5A32"/>
    <w:rsid w:val="009D5A70"/>
    <w:rsid w:val="009D638C"/>
    <w:rsid w:val="009D79D6"/>
    <w:rsid w:val="009E0013"/>
    <w:rsid w:val="009E00D5"/>
    <w:rsid w:val="009E00F8"/>
    <w:rsid w:val="009E06BF"/>
    <w:rsid w:val="009E1C4C"/>
    <w:rsid w:val="009E24FE"/>
    <w:rsid w:val="009E29CD"/>
    <w:rsid w:val="009E2B6F"/>
    <w:rsid w:val="009E3AC8"/>
    <w:rsid w:val="009E3CD5"/>
    <w:rsid w:val="009E493C"/>
    <w:rsid w:val="009E497C"/>
    <w:rsid w:val="009E4AE8"/>
    <w:rsid w:val="009E50B9"/>
    <w:rsid w:val="009E525C"/>
    <w:rsid w:val="009E5A58"/>
    <w:rsid w:val="009E5DB7"/>
    <w:rsid w:val="009E6081"/>
    <w:rsid w:val="009E6531"/>
    <w:rsid w:val="009E6A9C"/>
    <w:rsid w:val="009E72C6"/>
    <w:rsid w:val="009E784F"/>
    <w:rsid w:val="009E78DF"/>
    <w:rsid w:val="009E7DDE"/>
    <w:rsid w:val="009F009E"/>
    <w:rsid w:val="009F0798"/>
    <w:rsid w:val="009F0803"/>
    <w:rsid w:val="009F0F14"/>
    <w:rsid w:val="009F1209"/>
    <w:rsid w:val="009F24B8"/>
    <w:rsid w:val="009F24C4"/>
    <w:rsid w:val="009F279C"/>
    <w:rsid w:val="009F28DE"/>
    <w:rsid w:val="009F3323"/>
    <w:rsid w:val="009F38B7"/>
    <w:rsid w:val="009F43CC"/>
    <w:rsid w:val="009F4566"/>
    <w:rsid w:val="009F4F3F"/>
    <w:rsid w:val="009F50E1"/>
    <w:rsid w:val="009F5F7C"/>
    <w:rsid w:val="009F6099"/>
    <w:rsid w:val="00A00019"/>
    <w:rsid w:val="00A00A8E"/>
    <w:rsid w:val="00A01179"/>
    <w:rsid w:val="00A013EE"/>
    <w:rsid w:val="00A027EE"/>
    <w:rsid w:val="00A02937"/>
    <w:rsid w:val="00A046B9"/>
    <w:rsid w:val="00A04DBB"/>
    <w:rsid w:val="00A06114"/>
    <w:rsid w:val="00A06200"/>
    <w:rsid w:val="00A062F9"/>
    <w:rsid w:val="00A067CB"/>
    <w:rsid w:val="00A06B64"/>
    <w:rsid w:val="00A07690"/>
    <w:rsid w:val="00A07717"/>
    <w:rsid w:val="00A118E9"/>
    <w:rsid w:val="00A11B6A"/>
    <w:rsid w:val="00A11F81"/>
    <w:rsid w:val="00A12702"/>
    <w:rsid w:val="00A127C8"/>
    <w:rsid w:val="00A12E46"/>
    <w:rsid w:val="00A12E94"/>
    <w:rsid w:val="00A14421"/>
    <w:rsid w:val="00A144BB"/>
    <w:rsid w:val="00A14FF1"/>
    <w:rsid w:val="00A155BB"/>
    <w:rsid w:val="00A15BD0"/>
    <w:rsid w:val="00A16125"/>
    <w:rsid w:val="00A16605"/>
    <w:rsid w:val="00A16D5D"/>
    <w:rsid w:val="00A16F9B"/>
    <w:rsid w:val="00A170B2"/>
    <w:rsid w:val="00A17389"/>
    <w:rsid w:val="00A1773E"/>
    <w:rsid w:val="00A179A0"/>
    <w:rsid w:val="00A17B10"/>
    <w:rsid w:val="00A17C59"/>
    <w:rsid w:val="00A17CC1"/>
    <w:rsid w:val="00A17EEF"/>
    <w:rsid w:val="00A203EE"/>
    <w:rsid w:val="00A20697"/>
    <w:rsid w:val="00A207EA"/>
    <w:rsid w:val="00A20E82"/>
    <w:rsid w:val="00A213EE"/>
    <w:rsid w:val="00A215AC"/>
    <w:rsid w:val="00A21BD2"/>
    <w:rsid w:val="00A21CFD"/>
    <w:rsid w:val="00A222EF"/>
    <w:rsid w:val="00A226D6"/>
    <w:rsid w:val="00A2281B"/>
    <w:rsid w:val="00A22B27"/>
    <w:rsid w:val="00A23826"/>
    <w:rsid w:val="00A23B5B"/>
    <w:rsid w:val="00A24599"/>
    <w:rsid w:val="00A247BC"/>
    <w:rsid w:val="00A24DED"/>
    <w:rsid w:val="00A254EF"/>
    <w:rsid w:val="00A255FC"/>
    <w:rsid w:val="00A267F8"/>
    <w:rsid w:val="00A274E7"/>
    <w:rsid w:val="00A27C18"/>
    <w:rsid w:val="00A3042B"/>
    <w:rsid w:val="00A31855"/>
    <w:rsid w:val="00A318FC"/>
    <w:rsid w:val="00A31B68"/>
    <w:rsid w:val="00A33148"/>
    <w:rsid w:val="00A333CA"/>
    <w:rsid w:val="00A337F0"/>
    <w:rsid w:val="00A33F04"/>
    <w:rsid w:val="00A33F82"/>
    <w:rsid w:val="00A34036"/>
    <w:rsid w:val="00A34B3A"/>
    <w:rsid w:val="00A34DC7"/>
    <w:rsid w:val="00A34E51"/>
    <w:rsid w:val="00A35D8B"/>
    <w:rsid w:val="00A36580"/>
    <w:rsid w:val="00A368E0"/>
    <w:rsid w:val="00A36C5D"/>
    <w:rsid w:val="00A3702D"/>
    <w:rsid w:val="00A37937"/>
    <w:rsid w:val="00A37C52"/>
    <w:rsid w:val="00A4043C"/>
    <w:rsid w:val="00A42AC9"/>
    <w:rsid w:val="00A42C5C"/>
    <w:rsid w:val="00A43057"/>
    <w:rsid w:val="00A433D4"/>
    <w:rsid w:val="00A43D87"/>
    <w:rsid w:val="00A43DC8"/>
    <w:rsid w:val="00A4472E"/>
    <w:rsid w:val="00A45DC7"/>
    <w:rsid w:val="00A45E2A"/>
    <w:rsid w:val="00A46829"/>
    <w:rsid w:val="00A47252"/>
    <w:rsid w:val="00A47952"/>
    <w:rsid w:val="00A47AA6"/>
    <w:rsid w:val="00A47F04"/>
    <w:rsid w:val="00A503F1"/>
    <w:rsid w:val="00A5048E"/>
    <w:rsid w:val="00A508F6"/>
    <w:rsid w:val="00A50AE3"/>
    <w:rsid w:val="00A50D03"/>
    <w:rsid w:val="00A518EF"/>
    <w:rsid w:val="00A51E76"/>
    <w:rsid w:val="00A51F81"/>
    <w:rsid w:val="00A51FEA"/>
    <w:rsid w:val="00A52020"/>
    <w:rsid w:val="00A52638"/>
    <w:rsid w:val="00A52731"/>
    <w:rsid w:val="00A53240"/>
    <w:rsid w:val="00A5347A"/>
    <w:rsid w:val="00A53585"/>
    <w:rsid w:val="00A53964"/>
    <w:rsid w:val="00A53D85"/>
    <w:rsid w:val="00A54044"/>
    <w:rsid w:val="00A55AF4"/>
    <w:rsid w:val="00A56045"/>
    <w:rsid w:val="00A56515"/>
    <w:rsid w:val="00A5697A"/>
    <w:rsid w:val="00A56A2D"/>
    <w:rsid w:val="00A574BC"/>
    <w:rsid w:val="00A57660"/>
    <w:rsid w:val="00A57990"/>
    <w:rsid w:val="00A60110"/>
    <w:rsid w:val="00A60404"/>
    <w:rsid w:val="00A60BA1"/>
    <w:rsid w:val="00A629DB"/>
    <w:rsid w:val="00A62ED0"/>
    <w:rsid w:val="00A63BF9"/>
    <w:rsid w:val="00A63EFA"/>
    <w:rsid w:val="00A6418F"/>
    <w:rsid w:val="00A64249"/>
    <w:rsid w:val="00A64486"/>
    <w:rsid w:val="00A64BCB"/>
    <w:rsid w:val="00A654E9"/>
    <w:rsid w:val="00A65D3C"/>
    <w:rsid w:val="00A65D6D"/>
    <w:rsid w:val="00A66164"/>
    <w:rsid w:val="00A66801"/>
    <w:rsid w:val="00A66B2C"/>
    <w:rsid w:val="00A66D4C"/>
    <w:rsid w:val="00A6792E"/>
    <w:rsid w:val="00A67CBE"/>
    <w:rsid w:val="00A70D00"/>
    <w:rsid w:val="00A70F68"/>
    <w:rsid w:val="00A71233"/>
    <w:rsid w:val="00A7168E"/>
    <w:rsid w:val="00A71A28"/>
    <w:rsid w:val="00A72224"/>
    <w:rsid w:val="00A72577"/>
    <w:rsid w:val="00A728D2"/>
    <w:rsid w:val="00A72B42"/>
    <w:rsid w:val="00A72BA8"/>
    <w:rsid w:val="00A73084"/>
    <w:rsid w:val="00A7328F"/>
    <w:rsid w:val="00A73353"/>
    <w:rsid w:val="00A73467"/>
    <w:rsid w:val="00A74612"/>
    <w:rsid w:val="00A74A46"/>
    <w:rsid w:val="00A74B3C"/>
    <w:rsid w:val="00A7785D"/>
    <w:rsid w:val="00A77B30"/>
    <w:rsid w:val="00A8009F"/>
    <w:rsid w:val="00A80493"/>
    <w:rsid w:val="00A81363"/>
    <w:rsid w:val="00A81FD2"/>
    <w:rsid w:val="00A83CB9"/>
    <w:rsid w:val="00A852B2"/>
    <w:rsid w:val="00A852E7"/>
    <w:rsid w:val="00A85357"/>
    <w:rsid w:val="00A85645"/>
    <w:rsid w:val="00A85B1B"/>
    <w:rsid w:val="00A863CD"/>
    <w:rsid w:val="00A8674C"/>
    <w:rsid w:val="00A86CD6"/>
    <w:rsid w:val="00A87DF9"/>
    <w:rsid w:val="00A87FD6"/>
    <w:rsid w:val="00A90202"/>
    <w:rsid w:val="00A9081D"/>
    <w:rsid w:val="00A91164"/>
    <w:rsid w:val="00A915D7"/>
    <w:rsid w:val="00A91B70"/>
    <w:rsid w:val="00A927F2"/>
    <w:rsid w:val="00A92B56"/>
    <w:rsid w:val="00A92CA8"/>
    <w:rsid w:val="00A93304"/>
    <w:rsid w:val="00A93B3D"/>
    <w:rsid w:val="00A947C8"/>
    <w:rsid w:val="00A94C0D"/>
    <w:rsid w:val="00A952A1"/>
    <w:rsid w:val="00A95878"/>
    <w:rsid w:val="00A95B53"/>
    <w:rsid w:val="00A95C7A"/>
    <w:rsid w:val="00A95F5F"/>
    <w:rsid w:val="00A96D71"/>
    <w:rsid w:val="00A97B6B"/>
    <w:rsid w:val="00A97F78"/>
    <w:rsid w:val="00AA0042"/>
    <w:rsid w:val="00AA0390"/>
    <w:rsid w:val="00AA05DB"/>
    <w:rsid w:val="00AA0B34"/>
    <w:rsid w:val="00AA10DF"/>
    <w:rsid w:val="00AA23B8"/>
    <w:rsid w:val="00AA28FB"/>
    <w:rsid w:val="00AA316C"/>
    <w:rsid w:val="00AA4083"/>
    <w:rsid w:val="00AA5354"/>
    <w:rsid w:val="00AA545A"/>
    <w:rsid w:val="00AA5549"/>
    <w:rsid w:val="00AA5D7F"/>
    <w:rsid w:val="00AA5EDD"/>
    <w:rsid w:val="00AA618C"/>
    <w:rsid w:val="00AA7105"/>
    <w:rsid w:val="00AA730D"/>
    <w:rsid w:val="00AA7847"/>
    <w:rsid w:val="00AA7B45"/>
    <w:rsid w:val="00AA7E4D"/>
    <w:rsid w:val="00AB00A7"/>
    <w:rsid w:val="00AB0AD8"/>
    <w:rsid w:val="00AB0DBE"/>
    <w:rsid w:val="00AB0EDA"/>
    <w:rsid w:val="00AB1180"/>
    <w:rsid w:val="00AB1686"/>
    <w:rsid w:val="00AB1A2C"/>
    <w:rsid w:val="00AB1CB1"/>
    <w:rsid w:val="00AB236B"/>
    <w:rsid w:val="00AB23B4"/>
    <w:rsid w:val="00AB3593"/>
    <w:rsid w:val="00AB3606"/>
    <w:rsid w:val="00AB3BD3"/>
    <w:rsid w:val="00AB3E59"/>
    <w:rsid w:val="00AB3FC9"/>
    <w:rsid w:val="00AB48B2"/>
    <w:rsid w:val="00AB52DA"/>
    <w:rsid w:val="00AB54C5"/>
    <w:rsid w:val="00AB54D3"/>
    <w:rsid w:val="00AB54E0"/>
    <w:rsid w:val="00AB6E2C"/>
    <w:rsid w:val="00AB71ED"/>
    <w:rsid w:val="00AB7483"/>
    <w:rsid w:val="00AB7D2D"/>
    <w:rsid w:val="00AC03E1"/>
    <w:rsid w:val="00AC0DE9"/>
    <w:rsid w:val="00AC10A2"/>
    <w:rsid w:val="00AC239B"/>
    <w:rsid w:val="00AC2496"/>
    <w:rsid w:val="00AC2575"/>
    <w:rsid w:val="00AC25D1"/>
    <w:rsid w:val="00AC2CB6"/>
    <w:rsid w:val="00AC2D71"/>
    <w:rsid w:val="00AC3A24"/>
    <w:rsid w:val="00AC3E04"/>
    <w:rsid w:val="00AC4B21"/>
    <w:rsid w:val="00AC4DC8"/>
    <w:rsid w:val="00AC4FCC"/>
    <w:rsid w:val="00AC5016"/>
    <w:rsid w:val="00AC5376"/>
    <w:rsid w:val="00AC630C"/>
    <w:rsid w:val="00AC73B9"/>
    <w:rsid w:val="00AC7801"/>
    <w:rsid w:val="00AC7CF8"/>
    <w:rsid w:val="00AD014A"/>
    <w:rsid w:val="00AD079C"/>
    <w:rsid w:val="00AD0BFF"/>
    <w:rsid w:val="00AD0D7C"/>
    <w:rsid w:val="00AD1271"/>
    <w:rsid w:val="00AD13EE"/>
    <w:rsid w:val="00AD152E"/>
    <w:rsid w:val="00AD1627"/>
    <w:rsid w:val="00AD1F57"/>
    <w:rsid w:val="00AD1FA6"/>
    <w:rsid w:val="00AD2039"/>
    <w:rsid w:val="00AD28AB"/>
    <w:rsid w:val="00AD2C07"/>
    <w:rsid w:val="00AD2CA8"/>
    <w:rsid w:val="00AD2CF0"/>
    <w:rsid w:val="00AD3B67"/>
    <w:rsid w:val="00AD3F29"/>
    <w:rsid w:val="00AD4970"/>
    <w:rsid w:val="00AD4DFA"/>
    <w:rsid w:val="00AD5313"/>
    <w:rsid w:val="00AD594D"/>
    <w:rsid w:val="00AD6A69"/>
    <w:rsid w:val="00AD6FC9"/>
    <w:rsid w:val="00AD7BD1"/>
    <w:rsid w:val="00AE022B"/>
    <w:rsid w:val="00AE13FA"/>
    <w:rsid w:val="00AE1F32"/>
    <w:rsid w:val="00AE2B27"/>
    <w:rsid w:val="00AE2E0E"/>
    <w:rsid w:val="00AE34A8"/>
    <w:rsid w:val="00AE36FF"/>
    <w:rsid w:val="00AE3D45"/>
    <w:rsid w:val="00AE401C"/>
    <w:rsid w:val="00AE47D9"/>
    <w:rsid w:val="00AE4931"/>
    <w:rsid w:val="00AE4BF1"/>
    <w:rsid w:val="00AE4C1F"/>
    <w:rsid w:val="00AE4C5E"/>
    <w:rsid w:val="00AE4E39"/>
    <w:rsid w:val="00AE5555"/>
    <w:rsid w:val="00AE61E1"/>
    <w:rsid w:val="00AE75BD"/>
    <w:rsid w:val="00AE76ED"/>
    <w:rsid w:val="00AE7CAC"/>
    <w:rsid w:val="00AF0338"/>
    <w:rsid w:val="00AF03E2"/>
    <w:rsid w:val="00AF0B84"/>
    <w:rsid w:val="00AF0FD6"/>
    <w:rsid w:val="00AF1A4E"/>
    <w:rsid w:val="00AF1C96"/>
    <w:rsid w:val="00AF1ECC"/>
    <w:rsid w:val="00AF2159"/>
    <w:rsid w:val="00AF21AC"/>
    <w:rsid w:val="00AF2705"/>
    <w:rsid w:val="00AF29CD"/>
    <w:rsid w:val="00AF2AC4"/>
    <w:rsid w:val="00AF2B2B"/>
    <w:rsid w:val="00AF2FB0"/>
    <w:rsid w:val="00AF3373"/>
    <w:rsid w:val="00AF343E"/>
    <w:rsid w:val="00AF477C"/>
    <w:rsid w:val="00AF5638"/>
    <w:rsid w:val="00AF612E"/>
    <w:rsid w:val="00AF6705"/>
    <w:rsid w:val="00AF6887"/>
    <w:rsid w:val="00AF6985"/>
    <w:rsid w:val="00AF7331"/>
    <w:rsid w:val="00AF7998"/>
    <w:rsid w:val="00B000E9"/>
    <w:rsid w:val="00B008B8"/>
    <w:rsid w:val="00B0138E"/>
    <w:rsid w:val="00B01F26"/>
    <w:rsid w:val="00B020F4"/>
    <w:rsid w:val="00B023C1"/>
    <w:rsid w:val="00B027FE"/>
    <w:rsid w:val="00B03E9D"/>
    <w:rsid w:val="00B044D8"/>
    <w:rsid w:val="00B053D7"/>
    <w:rsid w:val="00B056CC"/>
    <w:rsid w:val="00B0575A"/>
    <w:rsid w:val="00B05F71"/>
    <w:rsid w:val="00B06497"/>
    <w:rsid w:val="00B06E39"/>
    <w:rsid w:val="00B06E6A"/>
    <w:rsid w:val="00B07273"/>
    <w:rsid w:val="00B100B4"/>
    <w:rsid w:val="00B101A8"/>
    <w:rsid w:val="00B109E4"/>
    <w:rsid w:val="00B10A8B"/>
    <w:rsid w:val="00B10C12"/>
    <w:rsid w:val="00B1114E"/>
    <w:rsid w:val="00B11281"/>
    <w:rsid w:val="00B113F3"/>
    <w:rsid w:val="00B1173F"/>
    <w:rsid w:val="00B11B91"/>
    <w:rsid w:val="00B11DCE"/>
    <w:rsid w:val="00B13A2B"/>
    <w:rsid w:val="00B13BB1"/>
    <w:rsid w:val="00B13CFB"/>
    <w:rsid w:val="00B13E2E"/>
    <w:rsid w:val="00B13E83"/>
    <w:rsid w:val="00B13EA0"/>
    <w:rsid w:val="00B1493C"/>
    <w:rsid w:val="00B16B9D"/>
    <w:rsid w:val="00B16DF3"/>
    <w:rsid w:val="00B17528"/>
    <w:rsid w:val="00B17866"/>
    <w:rsid w:val="00B20358"/>
    <w:rsid w:val="00B20A39"/>
    <w:rsid w:val="00B20A69"/>
    <w:rsid w:val="00B20B7C"/>
    <w:rsid w:val="00B20E88"/>
    <w:rsid w:val="00B210D9"/>
    <w:rsid w:val="00B216BF"/>
    <w:rsid w:val="00B217B9"/>
    <w:rsid w:val="00B21B57"/>
    <w:rsid w:val="00B22935"/>
    <w:rsid w:val="00B22D87"/>
    <w:rsid w:val="00B237BE"/>
    <w:rsid w:val="00B244C4"/>
    <w:rsid w:val="00B24AF2"/>
    <w:rsid w:val="00B24B84"/>
    <w:rsid w:val="00B25666"/>
    <w:rsid w:val="00B25D14"/>
    <w:rsid w:val="00B25F7D"/>
    <w:rsid w:val="00B261B4"/>
    <w:rsid w:val="00B26680"/>
    <w:rsid w:val="00B266F2"/>
    <w:rsid w:val="00B26868"/>
    <w:rsid w:val="00B26B90"/>
    <w:rsid w:val="00B26DF7"/>
    <w:rsid w:val="00B2789E"/>
    <w:rsid w:val="00B27FB4"/>
    <w:rsid w:val="00B30A7E"/>
    <w:rsid w:val="00B30CA7"/>
    <w:rsid w:val="00B316BC"/>
    <w:rsid w:val="00B317EE"/>
    <w:rsid w:val="00B31EE7"/>
    <w:rsid w:val="00B32125"/>
    <w:rsid w:val="00B328E0"/>
    <w:rsid w:val="00B3342F"/>
    <w:rsid w:val="00B348D1"/>
    <w:rsid w:val="00B35823"/>
    <w:rsid w:val="00B363BC"/>
    <w:rsid w:val="00B368AA"/>
    <w:rsid w:val="00B36BFA"/>
    <w:rsid w:val="00B3716A"/>
    <w:rsid w:val="00B37449"/>
    <w:rsid w:val="00B40128"/>
    <w:rsid w:val="00B403E5"/>
    <w:rsid w:val="00B40BC7"/>
    <w:rsid w:val="00B40D45"/>
    <w:rsid w:val="00B41071"/>
    <w:rsid w:val="00B414B5"/>
    <w:rsid w:val="00B414E2"/>
    <w:rsid w:val="00B41697"/>
    <w:rsid w:val="00B417E0"/>
    <w:rsid w:val="00B41A5B"/>
    <w:rsid w:val="00B41B61"/>
    <w:rsid w:val="00B41C95"/>
    <w:rsid w:val="00B4203E"/>
    <w:rsid w:val="00B4263A"/>
    <w:rsid w:val="00B42762"/>
    <w:rsid w:val="00B43347"/>
    <w:rsid w:val="00B4375E"/>
    <w:rsid w:val="00B43AAA"/>
    <w:rsid w:val="00B44A30"/>
    <w:rsid w:val="00B44A40"/>
    <w:rsid w:val="00B44C20"/>
    <w:rsid w:val="00B450FB"/>
    <w:rsid w:val="00B45A49"/>
    <w:rsid w:val="00B45F34"/>
    <w:rsid w:val="00B46D84"/>
    <w:rsid w:val="00B47221"/>
    <w:rsid w:val="00B511A1"/>
    <w:rsid w:val="00B511BC"/>
    <w:rsid w:val="00B516C4"/>
    <w:rsid w:val="00B51D1C"/>
    <w:rsid w:val="00B51DA0"/>
    <w:rsid w:val="00B51F47"/>
    <w:rsid w:val="00B521BA"/>
    <w:rsid w:val="00B521C3"/>
    <w:rsid w:val="00B52C00"/>
    <w:rsid w:val="00B52EE7"/>
    <w:rsid w:val="00B53799"/>
    <w:rsid w:val="00B54151"/>
    <w:rsid w:val="00B545CE"/>
    <w:rsid w:val="00B54868"/>
    <w:rsid w:val="00B548A1"/>
    <w:rsid w:val="00B54FC3"/>
    <w:rsid w:val="00B55763"/>
    <w:rsid w:val="00B55EC1"/>
    <w:rsid w:val="00B55FBA"/>
    <w:rsid w:val="00B560D9"/>
    <w:rsid w:val="00B56227"/>
    <w:rsid w:val="00B5653F"/>
    <w:rsid w:val="00B568FE"/>
    <w:rsid w:val="00B56A86"/>
    <w:rsid w:val="00B56EDA"/>
    <w:rsid w:val="00B601D1"/>
    <w:rsid w:val="00B602DA"/>
    <w:rsid w:val="00B60FE9"/>
    <w:rsid w:val="00B610B5"/>
    <w:rsid w:val="00B6174F"/>
    <w:rsid w:val="00B61D08"/>
    <w:rsid w:val="00B61E72"/>
    <w:rsid w:val="00B62362"/>
    <w:rsid w:val="00B64D8E"/>
    <w:rsid w:val="00B652A3"/>
    <w:rsid w:val="00B65E59"/>
    <w:rsid w:val="00B6670E"/>
    <w:rsid w:val="00B66764"/>
    <w:rsid w:val="00B66AED"/>
    <w:rsid w:val="00B670A1"/>
    <w:rsid w:val="00B670DB"/>
    <w:rsid w:val="00B672D9"/>
    <w:rsid w:val="00B672EC"/>
    <w:rsid w:val="00B6748C"/>
    <w:rsid w:val="00B67BC7"/>
    <w:rsid w:val="00B70742"/>
    <w:rsid w:val="00B71602"/>
    <w:rsid w:val="00B718C5"/>
    <w:rsid w:val="00B7213E"/>
    <w:rsid w:val="00B728D3"/>
    <w:rsid w:val="00B72BFF"/>
    <w:rsid w:val="00B73174"/>
    <w:rsid w:val="00B7332E"/>
    <w:rsid w:val="00B73533"/>
    <w:rsid w:val="00B73680"/>
    <w:rsid w:val="00B742FA"/>
    <w:rsid w:val="00B744FE"/>
    <w:rsid w:val="00B74D76"/>
    <w:rsid w:val="00B74E2E"/>
    <w:rsid w:val="00B74E3C"/>
    <w:rsid w:val="00B74E8A"/>
    <w:rsid w:val="00B7522D"/>
    <w:rsid w:val="00B75969"/>
    <w:rsid w:val="00B759A6"/>
    <w:rsid w:val="00B75B97"/>
    <w:rsid w:val="00B767E0"/>
    <w:rsid w:val="00B76D9F"/>
    <w:rsid w:val="00B77778"/>
    <w:rsid w:val="00B77795"/>
    <w:rsid w:val="00B806CA"/>
    <w:rsid w:val="00B81097"/>
    <w:rsid w:val="00B81651"/>
    <w:rsid w:val="00B8269A"/>
    <w:rsid w:val="00B82BE9"/>
    <w:rsid w:val="00B831C3"/>
    <w:rsid w:val="00B83251"/>
    <w:rsid w:val="00B834EA"/>
    <w:rsid w:val="00B83961"/>
    <w:rsid w:val="00B83B9A"/>
    <w:rsid w:val="00B83CCB"/>
    <w:rsid w:val="00B8402A"/>
    <w:rsid w:val="00B84595"/>
    <w:rsid w:val="00B85170"/>
    <w:rsid w:val="00B85A45"/>
    <w:rsid w:val="00B85BEB"/>
    <w:rsid w:val="00B86633"/>
    <w:rsid w:val="00B86CDB"/>
    <w:rsid w:val="00B87962"/>
    <w:rsid w:val="00B90DDF"/>
    <w:rsid w:val="00B90E26"/>
    <w:rsid w:val="00B91867"/>
    <w:rsid w:val="00B927B2"/>
    <w:rsid w:val="00B93302"/>
    <w:rsid w:val="00B9382F"/>
    <w:rsid w:val="00B94257"/>
    <w:rsid w:val="00B949A9"/>
    <w:rsid w:val="00B94BE1"/>
    <w:rsid w:val="00B94CB2"/>
    <w:rsid w:val="00B951B4"/>
    <w:rsid w:val="00B9570C"/>
    <w:rsid w:val="00B96434"/>
    <w:rsid w:val="00B96499"/>
    <w:rsid w:val="00B967EF"/>
    <w:rsid w:val="00B968FA"/>
    <w:rsid w:val="00B96FBC"/>
    <w:rsid w:val="00B97F96"/>
    <w:rsid w:val="00BA1056"/>
    <w:rsid w:val="00BA1611"/>
    <w:rsid w:val="00BA2686"/>
    <w:rsid w:val="00BA2FE9"/>
    <w:rsid w:val="00BA32C9"/>
    <w:rsid w:val="00BA3499"/>
    <w:rsid w:val="00BA35DC"/>
    <w:rsid w:val="00BA3BA2"/>
    <w:rsid w:val="00BA44A9"/>
    <w:rsid w:val="00BA4B2F"/>
    <w:rsid w:val="00BA4E22"/>
    <w:rsid w:val="00BA5172"/>
    <w:rsid w:val="00BA5615"/>
    <w:rsid w:val="00BA5879"/>
    <w:rsid w:val="00BA5E3A"/>
    <w:rsid w:val="00BA6A9B"/>
    <w:rsid w:val="00BA6B64"/>
    <w:rsid w:val="00BA7407"/>
    <w:rsid w:val="00BA7F3F"/>
    <w:rsid w:val="00BB01AF"/>
    <w:rsid w:val="00BB01B4"/>
    <w:rsid w:val="00BB03C1"/>
    <w:rsid w:val="00BB088B"/>
    <w:rsid w:val="00BB185D"/>
    <w:rsid w:val="00BB1CB8"/>
    <w:rsid w:val="00BB1D01"/>
    <w:rsid w:val="00BB23C1"/>
    <w:rsid w:val="00BB25E4"/>
    <w:rsid w:val="00BB2819"/>
    <w:rsid w:val="00BB2AB3"/>
    <w:rsid w:val="00BB2F97"/>
    <w:rsid w:val="00BB3132"/>
    <w:rsid w:val="00BB3403"/>
    <w:rsid w:val="00BB37AC"/>
    <w:rsid w:val="00BB4D90"/>
    <w:rsid w:val="00BB5358"/>
    <w:rsid w:val="00BB576C"/>
    <w:rsid w:val="00BB5A76"/>
    <w:rsid w:val="00BB62C1"/>
    <w:rsid w:val="00BB65C7"/>
    <w:rsid w:val="00BB6ABA"/>
    <w:rsid w:val="00BB6DCF"/>
    <w:rsid w:val="00BB6F3E"/>
    <w:rsid w:val="00BB7577"/>
    <w:rsid w:val="00BB7933"/>
    <w:rsid w:val="00BB7EAF"/>
    <w:rsid w:val="00BC06F0"/>
    <w:rsid w:val="00BC09DD"/>
    <w:rsid w:val="00BC0E00"/>
    <w:rsid w:val="00BC1999"/>
    <w:rsid w:val="00BC19CA"/>
    <w:rsid w:val="00BC2881"/>
    <w:rsid w:val="00BC301F"/>
    <w:rsid w:val="00BC360E"/>
    <w:rsid w:val="00BC3D2C"/>
    <w:rsid w:val="00BC42CD"/>
    <w:rsid w:val="00BC4D6D"/>
    <w:rsid w:val="00BC5202"/>
    <w:rsid w:val="00BC55DA"/>
    <w:rsid w:val="00BC56F6"/>
    <w:rsid w:val="00BC5E4A"/>
    <w:rsid w:val="00BC66C2"/>
    <w:rsid w:val="00BC6FEC"/>
    <w:rsid w:val="00BC7B7C"/>
    <w:rsid w:val="00BD02D4"/>
    <w:rsid w:val="00BD03AB"/>
    <w:rsid w:val="00BD04B5"/>
    <w:rsid w:val="00BD06F2"/>
    <w:rsid w:val="00BD0736"/>
    <w:rsid w:val="00BD0D47"/>
    <w:rsid w:val="00BD0E9A"/>
    <w:rsid w:val="00BD1668"/>
    <w:rsid w:val="00BD1976"/>
    <w:rsid w:val="00BD1CB9"/>
    <w:rsid w:val="00BD1EC8"/>
    <w:rsid w:val="00BD219D"/>
    <w:rsid w:val="00BD22A0"/>
    <w:rsid w:val="00BD343E"/>
    <w:rsid w:val="00BD39AD"/>
    <w:rsid w:val="00BD40FE"/>
    <w:rsid w:val="00BD4C5A"/>
    <w:rsid w:val="00BD504A"/>
    <w:rsid w:val="00BD70A9"/>
    <w:rsid w:val="00BD728F"/>
    <w:rsid w:val="00BD7507"/>
    <w:rsid w:val="00BE05CD"/>
    <w:rsid w:val="00BE0B9E"/>
    <w:rsid w:val="00BE14A2"/>
    <w:rsid w:val="00BE2483"/>
    <w:rsid w:val="00BE2D97"/>
    <w:rsid w:val="00BE4416"/>
    <w:rsid w:val="00BE4DC2"/>
    <w:rsid w:val="00BE5108"/>
    <w:rsid w:val="00BE5701"/>
    <w:rsid w:val="00BE5E00"/>
    <w:rsid w:val="00BE64C1"/>
    <w:rsid w:val="00BE6E34"/>
    <w:rsid w:val="00BE6E78"/>
    <w:rsid w:val="00BE737A"/>
    <w:rsid w:val="00BF0357"/>
    <w:rsid w:val="00BF076C"/>
    <w:rsid w:val="00BF1462"/>
    <w:rsid w:val="00BF2030"/>
    <w:rsid w:val="00BF2F2A"/>
    <w:rsid w:val="00BF3929"/>
    <w:rsid w:val="00BF3965"/>
    <w:rsid w:val="00BF3A1A"/>
    <w:rsid w:val="00BF3E96"/>
    <w:rsid w:val="00BF44D2"/>
    <w:rsid w:val="00BF48C4"/>
    <w:rsid w:val="00BF49C9"/>
    <w:rsid w:val="00BF54A5"/>
    <w:rsid w:val="00BF5579"/>
    <w:rsid w:val="00BF5B11"/>
    <w:rsid w:val="00BF6D81"/>
    <w:rsid w:val="00BF7898"/>
    <w:rsid w:val="00BF7A51"/>
    <w:rsid w:val="00C0087E"/>
    <w:rsid w:val="00C00B4D"/>
    <w:rsid w:val="00C00BDF"/>
    <w:rsid w:val="00C00CC4"/>
    <w:rsid w:val="00C01E79"/>
    <w:rsid w:val="00C020B5"/>
    <w:rsid w:val="00C021A0"/>
    <w:rsid w:val="00C02699"/>
    <w:rsid w:val="00C036F2"/>
    <w:rsid w:val="00C03779"/>
    <w:rsid w:val="00C05064"/>
    <w:rsid w:val="00C054B3"/>
    <w:rsid w:val="00C05AD6"/>
    <w:rsid w:val="00C06BC6"/>
    <w:rsid w:val="00C06FB9"/>
    <w:rsid w:val="00C07114"/>
    <w:rsid w:val="00C0720E"/>
    <w:rsid w:val="00C07770"/>
    <w:rsid w:val="00C07785"/>
    <w:rsid w:val="00C07A9D"/>
    <w:rsid w:val="00C109A7"/>
    <w:rsid w:val="00C1159A"/>
    <w:rsid w:val="00C11F78"/>
    <w:rsid w:val="00C1240A"/>
    <w:rsid w:val="00C12975"/>
    <w:rsid w:val="00C12C68"/>
    <w:rsid w:val="00C13CCE"/>
    <w:rsid w:val="00C13E61"/>
    <w:rsid w:val="00C146DE"/>
    <w:rsid w:val="00C148E3"/>
    <w:rsid w:val="00C1516D"/>
    <w:rsid w:val="00C151BF"/>
    <w:rsid w:val="00C15820"/>
    <w:rsid w:val="00C161F4"/>
    <w:rsid w:val="00C161FC"/>
    <w:rsid w:val="00C1648C"/>
    <w:rsid w:val="00C16678"/>
    <w:rsid w:val="00C166EB"/>
    <w:rsid w:val="00C16B5E"/>
    <w:rsid w:val="00C17D04"/>
    <w:rsid w:val="00C207FA"/>
    <w:rsid w:val="00C20E8A"/>
    <w:rsid w:val="00C20EFF"/>
    <w:rsid w:val="00C22CBC"/>
    <w:rsid w:val="00C23012"/>
    <w:rsid w:val="00C23155"/>
    <w:rsid w:val="00C23F75"/>
    <w:rsid w:val="00C24083"/>
    <w:rsid w:val="00C24A4A"/>
    <w:rsid w:val="00C24A6F"/>
    <w:rsid w:val="00C24F07"/>
    <w:rsid w:val="00C25156"/>
    <w:rsid w:val="00C2689B"/>
    <w:rsid w:val="00C26F1A"/>
    <w:rsid w:val="00C27248"/>
    <w:rsid w:val="00C2746E"/>
    <w:rsid w:val="00C27BFC"/>
    <w:rsid w:val="00C30047"/>
    <w:rsid w:val="00C300F3"/>
    <w:rsid w:val="00C30389"/>
    <w:rsid w:val="00C305E1"/>
    <w:rsid w:val="00C30696"/>
    <w:rsid w:val="00C30F08"/>
    <w:rsid w:val="00C30F3B"/>
    <w:rsid w:val="00C31DF8"/>
    <w:rsid w:val="00C320CA"/>
    <w:rsid w:val="00C333BA"/>
    <w:rsid w:val="00C33E59"/>
    <w:rsid w:val="00C34751"/>
    <w:rsid w:val="00C35693"/>
    <w:rsid w:val="00C35C96"/>
    <w:rsid w:val="00C368A8"/>
    <w:rsid w:val="00C37500"/>
    <w:rsid w:val="00C37638"/>
    <w:rsid w:val="00C3772F"/>
    <w:rsid w:val="00C378FF"/>
    <w:rsid w:val="00C37B48"/>
    <w:rsid w:val="00C4059A"/>
    <w:rsid w:val="00C4085A"/>
    <w:rsid w:val="00C41164"/>
    <w:rsid w:val="00C421F2"/>
    <w:rsid w:val="00C43FA1"/>
    <w:rsid w:val="00C4446D"/>
    <w:rsid w:val="00C44D8B"/>
    <w:rsid w:val="00C44F90"/>
    <w:rsid w:val="00C451DC"/>
    <w:rsid w:val="00C453E2"/>
    <w:rsid w:val="00C455A9"/>
    <w:rsid w:val="00C45823"/>
    <w:rsid w:val="00C45830"/>
    <w:rsid w:val="00C45C32"/>
    <w:rsid w:val="00C46007"/>
    <w:rsid w:val="00C4656B"/>
    <w:rsid w:val="00C47734"/>
    <w:rsid w:val="00C47E71"/>
    <w:rsid w:val="00C50515"/>
    <w:rsid w:val="00C50645"/>
    <w:rsid w:val="00C5127C"/>
    <w:rsid w:val="00C5159F"/>
    <w:rsid w:val="00C5175A"/>
    <w:rsid w:val="00C518B4"/>
    <w:rsid w:val="00C51FA8"/>
    <w:rsid w:val="00C52414"/>
    <w:rsid w:val="00C5262A"/>
    <w:rsid w:val="00C52B4E"/>
    <w:rsid w:val="00C53658"/>
    <w:rsid w:val="00C536B1"/>
    <w:rsid w:val="00C53EC2"/>
    <w:rsid w:val="00C5417F"/>
    <w:rsid w:val="00C55091"/>
    <w:rsid w:val="00C557A3"/>
    <w:rsid w:val="00C5616A"/>
    <w:rsid w:val="00C56EB6"/>
    <w:rsid w:val="00C5749E"/>
    <w:rsid w:val="00C5788F"/>
    <w:rsid w:val="00C57C0F"/>
    <w:rsid w:val="00C60D7A"/>
    <w:rsid w:val="00C6105C"/>
    <w:rsid w:val="00C61B95"/>
    <w:rsid w:val="00C61D5A"/>
    <w:rsid w:val="00C61E96"/>
    <w:rsid w:val="00C62292"/>
    <w:rsid w:val="00C62603"/>
    <w:rsid w:val="00C62CA8"/>
    <w:rsid w:val="00C62E7D"/>
    <w:rsid w:val="00C64290"/>
    <w:rsid w:val="00C64EEE"/>
    <w:rsid w:val="00C651DE"/>
    <w:rsid w:val="00C65431"/>
    <w:rsid w:val="00C656CA"/>
    <w:rsid w:val="00C65702"/>
    <w:rsid w:val="00C6586E"/>
    <w:rsid w:val="00C66748"/>
    <w:rsid w:val="00C669EE"/>
    <w:rsid w:val="00C672CF"/>
    <w:rsid w:val="00C70028"/>
    <w:rsid w:val="00C70168"/>
    <w:rsid w:val="00C70393"/>
    <w:rsid w:val="00C707B6"/>
    <w:rsid w:val="00C708E9"/>
    <w:rsid w:val="00C70A58"/>
    <w:rsid w:val="00C70AB5"/>
    <w:rsid w:val="00C70C09"/>
    <w:rsid w:val="00C70CCD"/>
    <w:rsid w:val="00C71F0B"/>
    <w:rsid w:val="00C722B6"/>
    <w:rsid w:val="00C74255"/>
    <w:rsid w:val="00C74380"/>
    <w:rsid w:val="00C7469B"/>
    <w:rsid w:val="00C74E02"/>
    <w:rsid w:val="00C750D8"/>
    <w:rsid w:val="00C754EA"/>
    <w:rsid w:val="00C7713E"/>
    <w:rsid w:val="00C77335"/>
    <w:rsid w:val="00C77FFD"/>
    <w:rsid w:val="00C8037D"/>
    <w:rsid w:val="00C80680"/>
    <w:rsid w:val="00C80B73"/>
    <w:rsid w:val="00C81067"/>
    <w:rsid w:val="00C81302"/>
    <w:rsid w:val="00C82042"/>
    <w:rsid w:val="00C82552"/>
    <w:rsid w:val="00C82BDE"/>
    <w:rsid w:val="00C82D28"/>
    <w:rsid w:val="00C82F0E"/>
    <w:rsid w:val="00C837D1"/>
    <w:rsid w:val="00C83909"/>
    <w:rsid w:val="00C83F57"/>
    <w:rsid w:val="00C84347"/>
    <w:rsid w:val="00C849DA"/>
    <w:rsid w:val="00C851A3"/>
    <w:rsid w:val="00C85426"/>
    <w:rsid w:val="00C85D11"/>
    <w:rsid w:val="00C8600D"/>
    <w:rsid w:val="00C8683D"/>
    <w:rsid w:val="00C86EA3"/>
    <w:rsid w:val="00C86EC1"/>
    <w:rsid w:val="00C870F9"/>
    <w:rsid w:val="00C87115"/>
    <w:rsid w:val="00C87D02"/>
    <w:rsid w:val="00C87E9E"/>
    <w:rsid w:val="00C87ED4"/>
    <w:rsid w:val="00C90280"/>
    <w:rsid w:val="00C9164F"/>
    <w:rsid w:val="00C916C6"/>
    <w:rsid w:val="00C91EE4"/>
    <w:rsid w:val="00C9272B"/>
    <w:rsid w:val="00C92C7E"/>
    <w:rsid w:val="00C92D2E"/>
    <w:rsid w:val="00C934A2"/>
    <w:rsid w:val="00C93523"/>
    <w:rsid w:val="00C93905"/>
    <w:rsid w:val="00C93AA8"/>
    <w:rsid w:val="00C93C4E"/>
    <w:rsid w:val="00C95671"/>
    <w:rsid w:val="00C9595B"/>
    <w:rsid w:val="00C95D38"/>
    <w:rsid w:val="00C95EE3"/>
    <w:rsid w:val="00C97CF2"/>
    <w:rsid w:val="00CA07CC"/>
    <w:rsid w:val="00CA07ED"/>
    <w:rsid w:val="00CA114D"/>
    <w:rsid w:val="00CA147C"/>
    <w:rsid w:val="00CA18E8"/>
    <w:rsid w:val="00CA2D3D"/>
    <w:rsid w:val="00CA2EAB"/>
    <w:rsid w:val="00CA33A5"/>
    <w:rsid w:val="00CA386F"/>
    <w:rsid w:val="00CA4C3C"/>
    <w:rsid w:val="00CA506A"/>
    <w:rsid w:val="00CA5300"/>
    <w:rsid w:val="00CA5942"/>
    <w:rsid w:val="00CA6841"/>
    <w:rsid w:val="00CA6AE9"/>
    <w:rsid w:val="00CA7045"/>
    <w:rsid w:val="00CA7631"/>
    <w:rsid w:val="00CA7749"/>
    <w:rsid w:val="00CA777B"/>
    <w:rsid w:val="00CA77CB"/>
    <w:rsid w:val="00CA7D6A"/>
    <w:rsid w:val="00CB04AB"/>
    <w:rsid w:val="00CB0B72"/>
    <w:rsid w:val="00CB0C03"/>
    <w:rsid w:val="00CB174F"/>
    <w:rsid w:val="00CB18B6"/>
    <w:rsid w:val="00CB18D9"/>
    <w:rsid w:val="00CB1A2B"/>
    <w:rsid w:val="00CB1B24"/>
    <w:rsid w:val="00CB1E8C"/>
    <w:rsid w:val="00CB2656"/>
    <w:rsid w:val="00CB31A9"/>
    <w:rsid w:val="00CB3524"/>
    <w:rsid w:val="00CB3E8B"/>
    <w:rsid w:val="00CB4A7A"/>
    <w:rsid w:val="00CB4FA6"/>
    <w:rsid w:val="00CB502B"/>
    <w:rsid w:val="00CB6775"/>
    <w:rsid w:val="00CB6A57"/>
    <w:rsid w:val="00CB7086"/>
    <w:rsid w:val="00CB721A"/>
    <w:rsid w:val="00CB7372"/>
    <w:rsid w:val="00CB7E10"/>
    <w:rsid w:val="00CB7F9A"/>
    <w:rsid w:val="00CC0158"/>
    <w:rsid w:val="00CC018E"/>
    <w:rsid w:val="00CC1C32"/>
    <w:rsid w:val="00CC212F"/>
    <w:rsid w:val="00CC2486"/>
    <w:rsid w:val="00CC278C"/>
    <w:rsid w:val="00CC279D"/>
    <w:rsid w:val="00CC28F6"/>
    <w:rsid w:val="00CC2FB3"/>
    <w:rsid w:val="00CC3021"/>
    <w:rsid w:val="00CC3C6F"/>
    <w:rsid w:val="00CC4315"/>
    <w:rsid w:val="00CC4925"/>
    <w:rsid w:val="00CC4F76"/>
    <w:rsid w:val="00CC5446"/>
    <w:rsid w:val="00CC562F"/>
    <w:rsid w:val="00CC5BF2"/>
    <w:rsid w:val="00CC77B1"/>
    <w:rsid w:val="00CC7BF2"/>
    <w:rsid w:val="00CC7FC6"/>
    <w:rsid w:val="00CD0245"/>
    <w:rsid w:val="00CD0B3E"/>
    <w:rsid w:val="00CD0E28"/>
    <w:rsid w:val="00CD1986"/>
    <w:rsid w:val="00CD2099"/>
    <w:rsid w:val="00CD216A"/>
    <w:rsid w:val="00CD258C"/>
    <w:rsid w:val="00CD2EDE"/>
    <w:rsid w:val="00CD3742"/>
    <w:rsid w:val="00CD4309"/>
    <w:rsid w:val="00CD44F7"/>
    <w:rsid w:val="00CD4749"/>
    <w:rsid w:val="00CD5052"/>
    <w:rsid w:val="00CD589D"/>
    <w:rsid w:val="00CD597E"/>
    <w:rsid w:val="00CD5A68"/>
    <w:rsid w:val="00CD7D9D"/>
    <w:rsid w:val="00CE0A6A"/>
    <w:rsid w:val="00CE1DD9"/>
    <w:rsid w:val="00CE2231"/>
    <w:rsid w:val="00CE2311"/>
    <w:rsid w:val="00CE2796"/>
    <w:rsid w:val="00CE2C1A"/>
    <w:rsid w:val="00CE2F01"/>
    <w:rsid w:val="00CE36BC"/>
    <w:rsid w:val="00CE3966"/>
    <w:rsid w:val="00CE3AB3"/>
    <w:rsid w:val="00CE3E91"/>
    <w:rsid w:val="00CE41C4"/>
    <w:rsid w:val="00CE457B"/>
    <w:rsid w:val="00CE49BF"/>
    <w:rsid w:val="00CE4A35"/>
    <w:rsid w:val="00CE4B8B"/>
    <w:rsid w:val="00CE696F"/>
    <w:rsid w:val="00CE6A02"/>
    <w:rsid w:val="00CF0100"/>
    <w:rsid w:val="00CF0A76"/>
    <w:rsid w:val="00CF0D37"/>
    <w:rsid w:val="00CF0E95"/>
    <w:rsid w:val="00CF0F6D"/>
    <w:rsid w:val="00CF116D"/>
    <w:rsid w:val="00CF1ADB"/>
    <w:rsid w:val="00CF1B76"/>
    <w:rsid w:val="00CF1D9C"/>
    <w:rsid w:val="00CF28B2"/>
    <w:rsid w:val="00CF28E0"/>
    <w:rsid w:val="00CF32BD"/>
    <w:rsid w:val="00CF392B"/>
    <w:rsid w:val="00CF3945"/>
    <w:rsid w:val="00CF3AA6"/>
    <w:rsid w:val="00CF3C81"/>
    <w:rsid w:val="00CF3E35"/>
    <w:rsid w:val="00CF452B"/>
    <w:rsid w:val="00CF4857"/>
    <w:rsid w:val="00CF4C65"/>
    <w:rsid w:val="00CF5108"/>
    <w:rsid w:val="00CF5D63"/>
    <w:rsid w:val="00CF6BB1"/>
    <w:rsid w:val="00CF6CD4"/>
    <w:rsid w:val="00CF6E44"/>
    <w:rsid w:val="00CF7092"/>
    <w:rsid w:val="00CF78CE"/>
    <w:rsid w:val="00CF7B82"/>
    <w:rsid w:val="00CF7C13"/>
    <w:rsid w:val="00D002D1"/>
    <w:rsid w:val="00D00644"/>
    <w:rsid w:val="00D008F8"/>
    <w:rsid w:val="00D00B22"/>
    <w:rsid w:val="00D00E7A"/>
    <w:rsid w:val="00D025A9"/>
    <w:rsid w:val="00D02987"/>
    <w:rsid w:val="00D03586"/>
    <w:rsid w:val="00D03B0F"/>
    <w:rsid w:val="00D03F8B"/>
    <w:rsid w:val="00D04E9A"/>
    <w:rsid w:val="00D04FE1"/>
    <w:rsid w:val="00D05573"/>
    <w:rsid w:val="00D05607"/>
    <w:rsid w:val="00D05C76"/>
    <w:rsid w:val="00D05E01"/>
    <w:rsid w:val="00D06894"/>
    <w:rsid w:val="00D06964"/>
    <w:rsid w:val="00D069B7"/>
    <w:rsid w:val="00D06CA7"/>
    <w:rsid w:val="00D07AC4"/>
    <w:rsid w:val="00D102AA"/>
    <w:rsid w:val="00D106F2"/>
    <w:rsid w:val="00D109B3"/>
    <w:rsid w:val="00D1107D"/>
    <w:rsid w:val="00D11ED6"/>
    <w:rsid w:val="00D1242E"/>
    <w:rsid w:val="00D134C8"/>
    <w:rsid w:val="00D1383C"/>
    <w:rsid w:val="00D13F82"/>
    <w:rsid w:val="00D15251"/>
    <w:rsid w:val="00D15329"/>
    <w:rsid w:val="00D16230"/>
    <w:rsid w:val="00D16E61"/>
    <w:rsid w:val="00D1704F"/>
    <w:rsid w:val="00D1772E"/>
    <w:rsid w:val="00D20452"/>
    <w:rsid w:val="00D2058B"/>
    <w:rsid w:val="00D2073E"/>
    <w:rsid w:val="00D20802"/>
    <w:rsid w:val="00D20A8D"/>
    <w:rsid w:val="00D20D2C"/>
    <w:rsid w:val="00D20FD3"/>
    <w:rsid w:val="00D217F8"/>
    <w:rsid w:val="00D21EEF"/>
    <w:rsid w:val="00D22C45"/>
    <w:rsid w:val="00D2300D"/>
    <w:rsid w:val="00D23691"/>
    <w:rsid w:val="00D23E92"/>
    <w:rsid w:val="00D24044"/>
    <w:rsid w:val="00D247D2"/>
    <w:rsid w:val="00D24B49"/>
    <w:rsid w:val="00D24EDD"/>
    <w:rsid w:val="00D25561"/>
    <w:rsid w:val="00D25B69"/>
    <w:rsid w:val="00D25B7B"/>
    <w:rsid w:val="00D2762C"/>
    <w:rsid w:val="00D2778C"/>
    <w:rsid w:val="00D27C38"/>
    <w:rsid w:val="00D27CEF"/>
    <w:rsid w:val="00D302BE"/>
    <w:rsid w:val="00D30A8D"/>
    <w:rsid w:val="00D30B7F"/>
    <w:rsid w:val="00D312F1"/>
    <w:rsid w:val="00D31797"/>
    <w:rsid w:val="00D32121"/>
    <w:rsid w:val="00D3315F"/>
    <w:rsid w:val="00D33BFA"/>
    <w:rsid w:val="00D347E9"/>
    <w:rsid w:val="00D349AA"/>
    <w:rsid w:val="00D34A23"/>
    <w:rsid w:val="00D34F7F"/>
    <w:rsid w:val="00D35615"/>
    <w:rsid w:val="00D35719"/>
    <w:rsid w:val="00D3631A"/>
    <w:rsid w:val="00D36481"/>
    <w:rsid w:val="00D36539"/>
    <w:rsid w:val="00D3695B"/>
    <w:rsid w:val="00D36AD0"/>
    <w:rsid w:val="00D37000"/>
    <w:rsid w:val="00D37C74"/>
    <w:rsid w:val="00D40370"/>
    <w:rsid w:val="00D41B1B"/>
    <w:rsid w:val="00D4216D"/>
    <w:rsid w:val="00D427B0"/>
    <w:rsid w:val="00D42987"/>
    <w:rsid w:val="00D42A77"/>
    <w:rsid w:val="00D42EAA"/>
    <w:rsid w:val="00D42F7D"/>
    <w:rsid w:val="00D448B6"/>
    <w:rsid w:val="00D45636"/>
    <w:rsid w:val="00D467E1"/>
    <w:rsid w:val="00D46B42"/>
    <w:rsid w:val="00D46FE5"/>
    <w:rsid w:val="00D475CB"/>
    <w:rsid w:val="00D477D4"/>
    <w:rsid w:val="00D47F83"/>
    <w:rsid w:val="00D5057F"/>
    <w:rsid w:val="00D509A0"/>
    <w:rsid w:val="00D50C00"/>
    <w:rsid w:val="00D510A3"/>
    <w:rsid w:val="00D51CAF"/>
    <w:rsid w:val="00D52EF3"/>
    <w:rsid w:val="00D537C8"/>
    <w:rsid w:val="00D53FC4"/>
    <w:rsid w:val="00D5402C"/>
    <w:rsid w:val="00D5497F"/>
    <w:rsid w:val="00D54C28"/>
    <w:rsid w:val="00D54E8C"/>
    <w:rsid w:val="00D55433"/>
    <w:rsid w:val="00D55755"/>
    <w:rsid w:val="00D559AA"/>
    <w:rsid w:val="00D55A93"/>
    <w:rsid w:val="00D562AF"/>
    <w:rsid w:val="00D56944"/>
    <w:rsid w:val="00D56B41"/>
    <w:rsid w:val="00D57231"/>
    <w:rsid w:val="00D57AB0"/>
    <w:rsid w:val="00D57C35"/>
    <w:rsid w:val="00D603A7"/>
    <w:rsid w:val="00D605AC"/>
    <w:rsid w:val="00D612C9"/>
    <w:rsid w:val="00D61558"/>
    <w:rsid w:val="00D624D8"/>
    <w:rsid w:val="00D62689"/>
    <w:rsid w:val="00D62B15"/>
    <w:rsid w:val="00D634A0"/>
    <w:rsid w:val="00D634E1"/>
    <w:rsid w:val="00D64A22"/>
    <w:rsid w:val="00D64C06"/>
    <w:rsid w:val="00D6510C"/>
    <w:rsid w:val="00D65938"/>
    <w:rsid w:val="00D65A9A"/>
    <w:rsid w:val="00D65BC0"/>
    <w:rsid w:val="00D65D6C"/>
    <w:rsid w:val="00D66047"/>
    <w:rsid w:val="00D665C5"/>
    <w:rsid w:val="00D66711"/>
    <w:rsid w:val="00D66908"/>
    <w:rsid w:val="00D66CF8"/>
    <w:rsid w:val="00D66D54"/>
    <w:rsid w:val="00D6794A"/>
    <w:rsid w:val="00D67F6F"/>
    <w:rsid w:val="00D70088"/>
    <w:rsid w:val="00D70560"/>
    <w:rsid w:val="00D705B3"/>
    <w:rsid w:val="00D70BBC"/>
    <w:rsid w:val="00D71725"/>
    <w:rsid w:val="00D71A51"/>
    <w:rsid w:val="00D71EBD"/>
    <w:rsid w:val="00D72018"/>
    <w:rsid w:val="00D722FB"/>
    <w:rsid w:val="00D737E9"/>
    <w:rsid w:val="00D73A94"/>
    <w:rsid w:val="00D73E69"/>
    <w:rsid w:val="00D7414D"/>
    <w:rsid w:val="00D7415A"/>
    <w:rsid w:val="00D746CA"/>
    <w:rsid w:val="00D74AFD"/>
    <w:rsid w:val="00D766D4"/>
    <w:rsid w:val="00D76E51"/>
    <w:rsid w:val="00D770DB"/>
    <w:rsid w:val="00D77A5C"/>
    <w:rsid w:val="00D80916"/>
    <w:rsid w:val="00D80AB0"/>
    <w:rsid w:val="00D80FF6"/>
    <w:rsid w:val="00D814CC"/>
    <w:rsid w:val="00D81590"/>
    <w:rsid w:val="00D817D1"/>
    <w:rsid w:val="00D81A0F"/>
    <w:rsid w:val="00D8452A"/>
    <w:rsid w:val="00D84F02"/>
    <w:rsid w:val="00D85130"/>
    <w:rsid w:val="00D85FE4"/>
    <w:rsid w:val="00D8616A"/>
    <w:rsid w:val="00D861D8"/>
    <w:rsid w:val="00D864C3"/>
    <w:rsid w:val="00D87389"/>
    <w:rsid w:val="00D909EF"/>
    <w:rsid w:val="00D912D3"/>
    <w:rsid w:val="00D912D9"/>
    <w:rsid w:val="00D91686"/>
    <w:rsid w:val="00D916DC"/>
    <w:rsid w:val="00D93103"/>
    <w:rsid w:val="00D93369"/>
    <w:rsid w:val="00D9362A"/>
    <w:rsid w:val="00D94D41"/>
    <w:rsid w:val="00D964A3"/>
    <w:rsid w:val="00D964C6"/>
    <w:rsid w:val="00D97173"/>
    <w:rsid w:val="00D972A8"/>
    <w:rsid w:val="00D97735"/>
    <w:rsid w:val="00D97978"/>
    <w:rsid w:val="00D97AD1"/>
    <w:rsid w:val="00D97BCF"/>
    <w:rsid w:val="00DA0048"/>
    <w:rsid w:val="00DA0832"/>
    <w:rsid w:val="00DA0B52"/>
    <w:rsid w:val="00DA120B"/>
    <w:rsid w:val="00DA13FB"/>
    <w:rsid w:val="00DA1507"/>
    <w:rsid w:val="00DA20E5"/>
    <w:rsid w:val="00DA21E2"/>
    <w:rsid w:val="00DA3640"/>
    <w:rsid w:val="00DA3A20"/>
    <w:rsid w:val="00DA3B91"/>
    <w:rsid w:val="00DA3F6B"/>
    <w:rsid w:val="00DA4326"/>
    <w:rsid w:val="00DA4D31"/>
    <w:rsid w:val="00DA5966"/>
    <w:rsid w:val="00DA5A88"/>
    <w:rsid w:val="00DA5FCD"/>
    <w:rsid w:val="00DA5FD0"/>
    <w:rsid w:val="00DA6281"/>
    <w:rsid w:val="00DA663C"/>
    <w:rsid w:val="00DA6A39"/>
    <w:rsid w:val="00DA7B75"/>
    <w:rsid w:val="00DB01FC"/>
    <w:rsid w:val="00DB0C0A"/>
    <w:rsid w:val="00DB11DA"/>
    <w:rsid w:val="00DB14D5"/>
    <w:rsid w:val="00DB1507"/>
    <w:rsid w:val="00DB1752"/>
    <w:rsid w:val="00DB1A32"/>
    <w:rsid w:val="00DB1C59"/>
    <w:rsid w:val="00DB1D5F"/>
    <w:rsid w:val="00DB3416"/>
    <w:rsid w:val="00DB3887"/>
    <w:rsid w:val="00DB3AE5"/>
    <w:rsid w:val="00DB3AEB"/>
    <w:rsid w:val="00DB3D82"/>
    <w:rsid w:val="00DB3FF2"/>
    <w:rsid w:val="00DB4354"/>
    <w:rsid w:val="00DB47BD"/>
    <w:rsid w:val="00DB4C9F"/>
    <w:rsid w:val="00DB6E40"/>
    <w:rsid w:val="00DB71A3"/>
    <w:rsid w:val="00DB75FD"/>
    <w:rsid w:val="00DC084A"/>
    <w:rsid w:val="00DC0937"/>
    <w:rsid w:val="00DC0AB0"/>
    <w:rsid w:val="00DC0D9A"/>
    <w:rsid w:val="00DC1265"/>
    <w:rsid w:val="00DC1409"/>
    <w:rsid w:val="00DC19E7"/>
    <w:rsid w:val="00DC1D36"/>
    <w:rsid w:val="00DC2583"/>
    <w:rsid w:val="00DC2CEF"/>
    <w:rsid w:val="00DC4CF4"/>
    <w:rsid w:val="00DC4D20"/>
    <w:rsid w:val="00DC4DFC"/>
    <w:rsid w:val="00DC579E"/>
    <w:rsid w:val="00DC57D9"/>
    <w:rsid w:val="00DC5B6D"/>
    <w:rsid w:val="00DC5DB7"/>
    <w:rsid w:val="00DC777A"/>
    <w:rsid w:val="00DD0A88"/>
    <w:rsid w:val="00DD0FC7"/>
    <w:rsid w:val="00DD1E60"/>
    <w:rsid w:val="00DD2C75"/>
    <w:rsid w:val="00DD39A3"/>
    <w:rsid w:val="00DD3C02"/>
    <w:rsid w:val="00DD3E66"/>
    <w:rsid w:val="00DD44D0"/>
    <w:rsid w:val="00DD4EFD"/>
    <w:rsid w:val="00DD531C"/>
    <w:rsid w:val="00DD5447"/>
    <w:rsid w:val="00DD5C34"/>
    <w:rsid w:val="00DD5CE4"/>
    <w:rsid w:val="00DD5DD5"/>
    <w:rsid w:val="00DD61AD"/>
    <w:rsid w:val="00DD63BB"/>
    <w:rsid w:val="00DD67F8"/>
    <w:rsid w:val="00DD69FE"/>
    <w:rsid w:val="00DD7862"/>
    <w:rsid w:val="00DD792D"/>
    <w:rsid w:val="00DE0425"/>
    <w:rsid w:val="00DE065C"/>
    <w:rsid w:val="00DE27B0"/>
    <w:rsid w:val="00DE2BC6"/>
    <w:rsid w:val="00DE30B1"/>
    <w:rsid w:val="00DE3488"/>
    <w:rsid w:val="00DE372E"/>
    <w:rsid w:val="00DE5619"/>
    <w:rsid w:val="00DE643C"/>
    <w:rsid w:val="00DE6479"/>
    <w:rsid w:val="00DE6A78"/>
    <w:rsid w:val="00DE6D61"/>
    <w:rsid w:val="00DE7561"/>
    <w:rsid w:val="00DE7626"/>
    <w:rsid w:val="00DE765D"/>
    <w:rsid w:val="00DE7D4E"/>
    <w:rsid w:val="00DF1FBD"/>
    <w:rsid w:val="00DF2248"/>
    <w:rsid w:val="00DF2468"/>
    <w:rsid w:val="00DF24E9"/>
    <w:rsid w:val="00DF27E3"/>
    <w:rsid w:val="00DF393E"/>
    <w:rsid w:val="00DF3A39"/>
    <w:rsid w:val="00DF3A4F"/>
    <w:rsid w:val="00DF3D97"/>
    <w:rsid w:val="00DF3D9D"/>
    <w:rsid w:val="00DF3ED6"/>
    <w:rsid w:val="00DF4D32"/>
    <w:rsid w:val="00DF4FB8"/>
    <w:rsid w:val="00DF597D"/>
    <w:rsid w:val="00DF5A68"/>
    <w:rsid w:val="00DF5B9F"/>
    <w:rsid w:val="00DF5E69"/>
    <w:rsid w:val="00DF5F20"/>
    <w:rsid w:val="00DF6682"/>
    <w:rsid w:val="00DF66F1"/>
    <w:rsid w:val="00DF6A15"/>
    <w:rsid w:val="00DF6E5A"/>
    <w:rsid w:val="00DF6EE7"/>
    <w:rsid w:val="00DF6FF9"/>
    <w:rsid w:val="00E000B9"/>
    <w:rsid w:val="00E00120"/>
    <w:rsid w:val="00E00386"/>
    <w:rsid w:val="00E00EAB"/>
    <w:rsid w:val="00E01600"/>
    <w:rsid w:val="00E018EB"/>
    <w:rsid w:val="00E01957"/>
    <w:rsid w:val="00E01998"/>
    <w:rsid w:val="00E023B0"/>
    <w:rsid w:val="00E0256B"/>
    <w:rsid w:val="00E029CF"/>
    <w:rsid w:val="00E0335B"/>
    <w:rsid w:val="00E0464E"/>
    <w:rsid w:val="00E04AB0"/>
    <w:rsid w:val="00E04BFE"/>
    <w:rsid w:val="00E04E1B"/>
    <w:rsid w:val="00E04E87"/>
    <w:rsid w:val="00E05255"/>
    <w:rsid w:val="00E052D1"/>
    <w:rsid w:val="00E0575C"/>
    <w:rsid w:val="00E061BE"/>
    <w:rsid w:val="00E06339"/>
    <w:rsid w:val="00E06694"/>
    <w:rsid w:val="00E06CEA"/>
    <w:rsid w:val="00E06DEF"/>
    <w:rsid w:val="00E072F9"/>
    <w:rsid w:val="00E1015B"/>
    <w:rsid w:val="00E10811"/>
    <w:rsid w:val="00E10871"/>
    <w:rsid w:val="00E111C4"/>
    <w:rsid w:val="00E117DF"/>
    <w:rsid w:val="00E1210D"/>
    <w:rsid w:val="00E12368"/>
    <w:rsid w:val="00E125BD"/>
    <w:rsid w:val="00E1277A"/>
    <w:rsid w:val="00E127AD"/>
    <w:rsid w:val="00E12EA3"/>
    <w:rsid w:val="00E137E9"/>
    <w:rsid w:val="00E13E25"/>
    <w:rsid w:val="00E15118"/>
    <w:rsid w:val="00E15301"/>
    <w:rsid w:val="00E15387"/>
    <w:rsid w:val="00E156F6"/>
    <w:rsid w:val="00E165E3"/>
    <w:rsid w:val="00E168DE"/>
    <w:rsid w:val="00E16C58"/>
    <w:rsid w:val="00E16F8B"/>
    <w:rsid w:val="00E1773D"/>
    <w:rsid w:val="00E17A2F"/>
    <w:rsid w:val="00E17AB1"/>
    <w:rsid w:val="00E17B87"/>
    <w:rsid w:val="00E17F07"/>
    <w:rsid w:val="00E200F5"/>
    <w:rsid w:val="00E2072F"/>
    <w:rsid w:val="00E21B0C"/>
    <w:rsid w:val="00E21FDC"/>
    <w:rsid w:val="00E2281C"/>
    <w:rsid w:val="00E2287E"/>
    <w:rsid w:val="00E22B37"/>
    <w:rsid w:val="00E22D82"/>
    <w:rsid w:val="00E230E5"/>
    <w:rsid w:val="00E240B3"/>
    <w:rsid w:val="00E24229"/>
    <w:rsid w:val="00E2452B"/>
    <w:rsid w:val="00E24F83"/>
    <w:rsid w:val="00E266BB"/>
    <w:rsid w:val="00E267BD"/>
    <w:rsid w:val="00E2695B"/>
    <w:rsid w:val="00E26E6E"/>
    <w:rsid w:val="00E2763A"/>
    <w:rsid w:val="00E276E4"/>
    <w:rsid w:val="00E277CD"/>
    <w:rsid w:val="00E27D2B"/>
    <w:rsid w:val="00E30159"/>
    <w:rsid w:val="00E308DA"/>
    <w:rsid w:val="00E30B5C"/>
    <w:rsid w:val="00E30E31"/>
    <w:rsid w:val="00E31C4E"/>
    <w:rsid w:val="00E31E37"/>
    <w:rsid w:val="00E31F9B"/>
    <w:rsid w:val="00E322C9"/>
    <w:rsid w:val="00E32A00"/>
    <w:rsid w:val="00E32FEA"/>
    <w:rsid w:val="00E33A52"/>
    <w:rsid w:val="00E340A4"/>
    <w:rsid w:val="00E341C9"/>
    <w:rsid w:val="00E34531"/>
    <w:rsid w:val="00E35811"/>
    <w:rsid w:val="00E35D3B"/>
    <w:rsid w:val="00E363B6"/>
    <w:rsid w:val="00E36CC1"/>
    <w:rsid w:val="00E37C70"/>
    <w:rsid w:val="00E37EB7"/>
    <w:rsid w:val="00E40AC8"/>
    <w:rsid w:val="00E40E56"/>
    <w:rsid w:val="00E40FBA"/>
    <w:rsid w:val="00E41078"/>
    <w:rsid w:val="00E41E8F"/>
    <w:rsid w:val="00E42867"/>
    <w:rsid w:val="00E42C23"/>
    <w:rsid w:val="00E42C6D"/>
    <w:rsid w:val="00E43CC9"/>
    <w:rsid w:val="00E43D6C"/>
    <w:rsid w:val="00E43E72"/>
    <w:rsid w:val="00E44E41"/>
    <w:rsid w:val="00E4583F"/>
    <w:rsid w:val="00E4684C"/>
    <w:rsid w:val="00E46F92"/>
    <w:rsid w:val="00E47803"/>
    <w:rsid w:val="00E47893"/>
    <w:rsid w:val="00E5036F"/>
    <w:rsid w:val="00E50701"/>
    <w:rsid w:val="00E50C39"/>
    <w:rsid w:val="00E50FAC"/>
    <w:rsid w:val="00E528B0"/>
    <w:rsid w:val="00E52A23"/>
    <w:rsid w:val="00E52BE6"/>
    <w:rsid w:val="00E52EF4"/>
    <w:rsid w:val="00E54058"/>
    <w:rsid w:val="00E54063"/>
    <w:rsid w:val="00E547E5"/>
    <w:rsid w:val="00E5516E"/>
    <w:rsid w:val="00E55391"/>
    <w:rsid w:val="00E55952"/>
    <w:rsid w:val="00E568A8"/>
    <w:rsid w:val="00E57273"/>
    <w:rsid w:val="00E57302"/>
    <w:rsid w:val="00E57F45"/>
    <w:rsid w:val="00E6083A"/>
    <w:rsid w:val="00E60E1F"/>
    <w:rsid w:val="00E6131F"/>
    <w:rsid w:val="00E617BC"/>
    <w:rsid w:val="00E62099"/>
    <w:rsid w:val="00E622EA"/>
    <w:rsid w:val="00E626D2"/>
    <w:rsid w:val="00E6280B"/>
    <w:rsid w:val="00E62811"/>
    <w:rsid w:val="00E62850"/>
    <w:rsid w:val="00E62AAB"/>
    <w:rsid w:val="00E62AAC"/>
    <w:rsid w:val="00E63159"/>
    <w:rsid w:val="00E63905"/>
    <w:rsid w:val="00E63C33"/>
    <w:rsid w:val="00E63DE8"/>
    <w:rsid w:val="00E63F45"/>
    <w:rsid w:val="00E6417E"/>
    <w:rsid w:val="00E645BB"/>
    <w:rsid w:val="00E652FE"/>
    <w:rsid w:val="00E65427"/>
    <w:rsid w:val="00E65505"/>
    <w:rsid w:val="00E657FE"/>
    <w:rsid w:val="00E659C3"/>
    <w:rsid w:val="00E65C8E"/>
    <w:rsid w:val="00E661EC"/>
    <w:rsid w:val="00E6650D"/>
    <w:rsid w:val="00E665B1"/>
    <w:rsid w:val="00E66897"/>
    <w:rsid w:val="00E66BD9"/>
    <w:rsid w:val="00E67193"/>
    <w:rsid w:val="00E6757F"/>
    <w:rsid w:val="00E67708"/>
    <w:rsid w:val="00E67D55"/>
    <w:rsid w:val="00E70441"/>
    <w:rsid w:val="00E7054A"/>
    <w:rsid w:val="00E7083F"/>
    <w:rsid w:val="00E70F85"/>
    <w:rsid w:val="00E71321"/>
    <w:rsid w:val="00E72A9F"/>
    <w:rsid w:val="00E72D8C"/>
    <w:rsid w:val="00E72E67"/>
    <w:rsid w:val="00E72FD8"/>
    <w:rsid w:val="00E731F5"/>
    <w:rsid w:val="00E7455A"/>
    <w:rsid w:val="00E74610"/>
    <w:rsid w:val="00E751AC"/>
    <w:rsid w:val="00E763EC"/>
    <w:rsid w:val="00E76E87"/>
    <w:rsid w:val="00E76F17"/>
    <w:rsid w:val="00E770EF"/>
    <w:rsid w:val="00E770F8"/>
    <w:rsid w:val="00E775F5"/>
    <w:rsid w:val="00E777BA"/>
    <w:rsid w:val="00E77B89"/>
    <w:rsid w:val="00E77E35"/>
    <w:rsid w:val="00E77F63"/>
    <w:rsid w:val="00E80305"/>
    <w:rsid w:val="00E80A44"/>
    <w:rsid w:val="00E80E86"/>
    <w:rsid w:val="00E814C2"/>
    <w:rsid w:val="00E818A0"/>
    <w:rsid w:val="00E82279"/>
    <w:rsid w:val="00E825C9"/>
    <w:rsid w:val="00E82731"/>
    <w:rsid w:val="00E82D18"/>
    <w:rsid w:val="00E83453"/>
    <w:rsid w:val="00E834CC"/>
    <w:rsid w:val="00E8391C"/>
    <w:rsid w:val="00E83A9A"/>
    <w:rsid w:val="00E83DF4"/>
    <w:rsid w:val="00E8571C"/>
    <w:rsid w:val="00E85B27"/>
    <w:rsid w:val="00E85B4A"/>
    <w:rsid w:val="00E8623D"/>
    <w:rsid w:val="00E8673F"/>
    <w:rsid w:val="00E867AF"/>
    <w:rsid w:val="00E869E2"/>
    <w:rsid w:val="00E86DFE"/>
    <w:rsid w:val="00E8789A"/>
    <w:rsid w:val="00E90122"/>
    <w:rsid w:val="00E90699"/>
    <w:rsid w:val="00E90752"/>
    <w:rsid w:val="00E90CFA"/>
    <w:rsid w:val="00E90F92"/>
    <w:rsid w:val="00E9210D"/>
    <w:rsid w:val="00E927CD"/>
    <w:rsid w:val="00E92F1B"/>
    <w:rsid w:val="00E9305F"/>
    <w:rsid w:val="00E93683"/>
    <w:rsid w:val="00E93FF0"/>
    <w:rsid w:val="00E9427F"/>
    <w:rsid w:val="00E94803"/>
    <w:rsid w:val="00E94AC4"/>
    <w:rsid w:val="00E94B3B"/>
    <w:rsid w:val="00E9501C"/>
    <w:rsid w:val="00E9596E"/>
    <w:rsid w:val="00E95998"/>
    <w:rsid w:val="00E95FAA"/>
    <w:rsid w:val="00E96977"/>
    <w:rsid w:val="00E970B6"/>
    <w:rsid w:val="00E970BB"/>
    <w:rsid w:val="00E97748"/>
    <w:rsid w:val="00E97EDA"/>
    <w:rsid w:val="00EA0A64"/>
    <w:rsid w:val="00EA11A6"/>
    <w:rsid w:val="00EA2454"/>
    <w:rsid w:val="00EA2885"/>
    <w:rsid w:val="00EA2A7A"/>
    <w:rsid w:val="00EA3946"/>
    <w:rsid w:val="00EA4239"/>
    <w:rsid w:val="00EA4746"/>
    <w:rsid w:val="00EA49E6"/>
    <w:rsid w:val="00EA5644"/>
    <w:rsid w:val="00EA5C13"/>
    <w:rsid w:val="00EA5D9D"/>
    <w:rsid w:val="00EA5FA6"/>
    <w:rsid w:val="00EA75D7"/>
    <w:rsid w:val="00EA79D2"/>
    <w:rsid w:val="00EB0B0F"/>
    <w:rsid w:val="00EB0EA1"/>
    <w:rsid w:val="00EB111B"/>
    <w:rsid w:val="00EB13E9"/>
    <w:rsid w:val="00EB1D68"/>
    <w:rsid w:val="00EB348D"/>
    <w:rsid w:val="00EB35EB"/>
    <w:rsid w:val="00EB3FBA"/>
    <w:rsid w:val="00EB431B"/>
    <w:rsid w:val="00EB558E"/>
    <w:rsid w:val="00EB5B47"/>
    <w:rsid w:val="00EB5D75"/>
    <w:rsid w:val="00EB62D6"/>
    <w:rsid w:val="00EB67A8"/>
    <w:rsid w:val="00EB689A"/>
    <w:rsid w:val="00EB744B"/>
    <w:rsid w:val="00EB7C4B"/>
    <w:rsid w:val="00EC0563"/>
    <w:rsid w:val="00EC05CC"/>
    <w:rsid w:val="00EC06D0"/>
    <w:rsid w:val="00EC07D9"/>
    <w:rsid w:val="00EC0E24"/>
    <w:rsid w:val="00EC0FC7"/>
    <w:rsid w:val="00EC10FC"/>
    <w:rsid w:val="00EC117A"/>
    <w:rsid w:val="00EC140C"/>
    <w:rsid w:val="00EC176B"/>
    <w:rsid w:val="00EC1CA4"/>
    <w:rsid w:val="00EC20D5"/>
    <w:rsid w:val="00EC22CA"/>
    <w:rsid w:val="00EC287B"/>
    <w:rsid w:val="00EC2996"/>
    <w:rsid w:val="00EC2D56"/>
    <w:rsid w:val="00EC38EC"/>
    <w:rsid w:val="00EC491B"/>
    <w:rsid w:val="00EC4B13"/>
    <w:rsid w:val="00EC53DC"/>
    <w:rsid w:val="00EC598A"/>
    <w:rsid w:val="00EC59A9"/>
    <w:rsid w:val="00EC5EF3"/>
    <w:rsid w:val="00EC647A"/>
    <w:rsid w:val="00EC675E"/>
    <w:rsid w:val="00EC76A3"/>
    <w:rsid w:val="00EC7C79"/>
    <w:rsid w:val="00EC7E23"/>
    <w:rsid w:val="00ED0017"/>
    <w:rsid w:val="00ED0829"/>
    <w:rsid w:val="00ED0E7D"/>
    <w:rsid w:val="00ED134D"/>
    <w:rsid w:val="00ED1507"/>
    <w:rsid w:val="00ED1C4E"/>
    <w:rsid w:val="00ED3626"/>
    <w:rsid w:val="00ED36AE"/>
    <w:rsid w:val="00ED3BDE"/>
    <w:rsid w:val="00ED4853"/>
    <w:rsid w:val="00ED48AB"/>
    <w:rsid w:val="00ED4AB0"/>
    <w:rsid w:val="00ED6A50"/>
    <w:rsid w:val="00ED6CC7"/>
    <w:rsid w:val="00ED6E7E"/>
    <w:rsid w:val="00ED6EDA"/>
    <w:rsid w:val="00ED7689"/>
    <w:rsid w:val="00ED7D36"/>
    <w:rsid w:val="00EE042E"/>
    <w:rsid w:val="00EE0BAD"/>
    <w:rsid w:val="00EE0CB6"/>
    <w:rsid w:val="00EE0FFE"/>
    <w:rsid w:val="00EE145C"/>
    <w:rsid w:val="00EE149C"/>
    <w:rsid w:val="00EE178A"/>
    <w:rsid w:val="00EE18F3"/>
    <w:rsid w:val="00EE1BDC"/>
    <w:rsid w:val="00EE1F9F"/>
    <w:rsid w:val="00EE2897"/>
    <w:rsid w:val="00EE2C69"/>
    <w:rsid w:val="00EE2C70"/>
    <w:rsid w:val="00EE32BA"/>
    <w:rsid w:val="00EE36F6"/>
    <w:rsid w:val="00EE392F"/>
    <w:rsid w:val="00EE44ED"/>
    <w:rsid w:val="00EE4C3F"/>
    <w:rsid w:val="00EE517E"/>
    <w:rsid w:val="00EE5656"/>
    <w:rsid w:val="00EE5882"/>
    <w:rsid w:val="00EE5964"/>
    <w:rsid w:val="00EE5C81"/>
    <w:rsid w:val="00EE6401"/>
    <w:rsid w:val="00EE6486"/>
    <w:rsid w:val="00EF17BD"/>
    <w:rsid w:val="00EF1AA5"/>
    <w:rsid w:val="00EF1D00"/>
    <w:rsid w:val="00EF1EE2"/>
    <w:rsid w:val="00EF2BB4"/>
    <w:rsid w:val="00EF3230"/>
    <w:rsid w:val="00EF4EA1"/>
    <w:rsid w:val="00EF5EE8"/>
    <w:rsid w:val="00EF5F48"/>
    <w:rsid w:val="00EF670F"/>
    <w:rsid w:val="00EF7FA1"/>
    <w:rsid w:val="00F00401"/>
    <w:rsid w:val="00F008FA"/>
    <w:rsid w:val="00F00B88"/>
    <w:rsid w:val="00F01A2C"/>
    <w:rsid w:val="00F0219D"/>
    <w:rsid w:val="00F0233E"/>
    <w:rsid w:val="00F02615"/>
    <w:rsid w:val="00F02D4B"/>
    <w:rsid w:val="00F0679D"/>
    <w:rsid w:val="00F06C48"/>
    <w:rsid w:val="00F070AC"/>
    <w:rsid w:val="00F07507"/>
    <w:rsid w:val="00F107C2"/>
    <w:rsid w:val="00F10CD0"/>
    <w:rsid w:val="00F112AB"/>
    <w:rsid w:val="00F112D8"/>
    <w:rsid w:val="00F113C3"/>
    <w:rsid w:val="00F115B4"/>
    <w:rsid w:val="00F11C8E"/>
    <w:rsid w:val="00F126E1"/>
    <w:rsid w:val="00F13AB5"/>
    <w:rsid w:val="00F140C2"/>
    <w:rsid w:val="00F1463E"/>
    <w:rsid w:val="00F169D7"/>
    <w:rsid w:val="00F16C04"/>
    <w:rsid w:val="00F17033"/>
    <w:rsid w:val="00F170D8"/>
    <w:rsid w:val="00F1764E"/>
    <w:rsid w:val="00F200BD"/>
    <w:rsid w:val="00F2010D"/>
    <w:rsid w:val="00F2065F"/>
    <w:rsid w:val="00F20CEC"/>
    <w:rsid w:val="00F20CF7"/>
    <w:rsid w:val="00F20F2A"/>
    <w:rsid w:val="00F20F9C"/>
    <w:rsid w:val="00F22BD8"/>
    <w:rsid w:val="00F2319C"/>
    <w:rsid w:val="00F240E7"/>
    <w:rsid w:val="00F24388"/>
    <w:rsid w:val="00F24B10"/>
    <w:rsid w:val="00F24DB7"/>
    <w:rsid w:val="00F24DF2"/>
    <w:rsid w:val="00F252F2"/>
    <w:rsid w:val="00F253C7"/>
    <w:rsid w:val="00F25DD6"/>
    <w:rsid w:val="00F261F4"/>
    <w:rsid w:val="00F27853"/>
    <w:rsid w:val="00F302AA"/>
    <w:rsid w:val="00F30F05"/>
    <w:rsid w:val="00F3124E"/>
    <w:rsid w:val="00F31891"/>
    <w:rsid w:val="00F3189F"/>
    <w:rsid w:val="00F32ACE"/>
    <w:rsid w:val="00F32B20"/>
    <w:rsid w:val="00F32CAA"/>
    <w:rsid w:val="00F32D98"/>
    <w:rsid w:val="00F3371B"/>
    <w:rsid w:val="00F339B2"/>
    <w:rsid w:val="00F33B09"/>
    <w:rsid w:val="00F340BF"/>
    <w:rsid w:val="00F34724"/>
    <w:rsid w:val="00F34B32"/>
    <w:rsid w:val="00F34DA5"/>
    <w:rsid w:val="00F35B6B"/>
    <w:rsid w:val="00F35D67"/>
    <w:rsid w:val="00F35E3E"/>
    <w:rsid w:val="00F37BB4"/>
    <w:rsid w:val="00F37DE2"/>
    <w:rsid w:val="00F40932"/>
    <w:rsid w:val="00F41C3F"/>
    <w:rsid w:val="00F42672"/>
    <w:rsid w:val="00F43589"/>
    <w:rsid w:val="00F447A9"/>
    <w:rsid w:val="00F44995"/>
    <w:rsid w:val="00F44F41"/>
    <w:rsid w:val="00F4527E"/>
    <w:rsid w:val="00F456AE"/>
    <w:rsid w:val="00F45AFA"/>
    <w:rsid w:val="00F45B4E"/>
    <w:rsid w:val="00F46BD1"/>
    <w:rsid w:val="00F46E4E"/>
    <w:rsid w:val="00F46FB0"/>
    <w:rsid w:val="00F4704A"/>
    <w:rsid w:val="00F47257"/>
    <w:rsid w:val="00F47B21"/>
    <w:rsid w:val="00F47EF0"/>
    <w:rsid w:val="00F504FE"/>
    <w:rsid w:val="00F51118"/>
    <w:rsid w:val="00F51946"/>
    <w:rsid w:val="00F51FFD"/>
    <w:rsid w:val="00F5276F"/>
    <w:rsid w:val="00F5278C"/>
    <w:rsid w:val="00F5286C"/>
    <w:rsid w:val="00F52D0A"/>
    <w:rsid w:val="00F53AFF"/>
    <w:rsid w:val="00F53F17"/>
    <w:rsid w:val="00F545FD"/>
    <w:rsid w:val="00F547E2"/>
    <w:rsid w:val="00F54841"/>
    <w:rsid w:val="00F56964"/>
    <w:rsid w:val="00F56E8D"/>
    <w:rsid w:val="00F56F46"/>
    <w:rsid w:val="00F575BC"/>
    <w:rsid w:val="00F57C41"/>
    <w:rsid w:val="00F57F74"/>
    <w:rsid w:val="00F60216"/>
    <w:rsid w:val="00F60FFA"/>
    <w:rsid w:val="00F61225"/>
    <w:rsid w:val="00F61389"/>
    <w:rsid w:val="00F6148F"/>
    <w:rsid w:val="00F61756"/>
    <w:rsid w:val="00F61CE3"/>
    <w:rsid w:val="00F6233D"/>
    <w:rsid w:val="00F645F4"/>
    <w:rsid w:val="00F65FB4"/>
    <w:rsid w:val="00F661DC"/>
    <w:rsid w:val="00F66803"/>
    <w:rsid w:val="00F6700E"/>
    <w:rsid w:val="00F6751D"/>
    <w:rsid w:val="00F67DC8"/>
    <w:rsid w:val="00F67ECF"/>
    <w:rsid w:val="00F67FD1"/>
    <w:rsid w:val="00F70316"/>
    <w:rsid w:val="00F70654"/>
    <w:rsid w:val="00F710C4"/>
    <w:rsid w:val="00F7162B"/>
    <w:rsid w:val="00F71DDA"/>
    <w:rsid w:val="00F72007"/>
    <w:rsid w:val="00F72067"/>
    <w:rsid w:val="00F72739"/>
    <w:rsid w:val="00F74074"/>
    <w:rsid w:val="00F74811"/>
    <w:rsid w:val="00F7644E"/>
    <w:rsid w:val="00F77616"/>
    <w:rsid w:val="00F77B20"/>
    <w:rsid w:val="00F77DD0"/>
    <w:rsid w:val="00F800DD"/>
    <w:rsid w:val="00F806F9"/>
    <w:rsid w:val="00F807BD"/>
    <w:rsid w:val="00F80CB4"/>
    <w:rsid w:val="00F81B46"/>
    <w:rsid w:val="00F81C5E"/>
    <w:rsid w:val="00F848A3"/>
    <w:rsid w:val="00F854E8"/>
    <w:rsid w:val="00F8587E"/>
    <w:rsid w:val="00F85DF6"/>
    <w:rsid w:val="00F86479"/>
    <w:rsid w:val="00F87833"/>
    <w:rsid w:val="00F902B9"/>
    <w:rsid w:val="00F902D1"/>
    <w:rsid w:val="00F9051E"/>
    <w:rsid w:val="00F9137B"/>
    <w:rsid w:val="00F91717"/>
    <w:rsid w:val="00F91D8C"/>
    <w:rsid w:val="00F91E5F"/>
    <w:rsid w:val="00F92099"/>
    <w:rsid w:val="00F92185"/>
    <w:rsid w:val="00F922EC"/>
    <w:rsid w:val="00F92762"/>
    <w:rsid w:val="00F92B1B"/>
    <w:rsid w:val="00F92C8D"/>
    <w:rsid w:val="00F93043"/>
    <w:rsid w:val="00F93EDA"/>
    <w:rsid w:val="00F942EB"/>
    <w:rsid w:val="00F961C3"/>
    <w:rsid w:val="00F963D9"/>
    <w:rsid w:val="00F967CB"/>
    <w:rsid w:val="00F9714D"/>
    <w:rsid w:val="00FA0182"/>
    <w:rsid w:val="00FA0DEA"/>
    <w:rsid w:val="00FA0F7B"/>
    <w:rsid w:val="00FA150A"/>
    <w:rsid w:val="00FA1A3B"/>
    <w:rsid w:val="00FA1F72"/>
    <w:rsid w:val="00FA2BDF"/>
    <w:rsid w:val="00FA2C9E"/>
    <w:rsid w:val="00FA32AD"/>
    <w:rsid w:val="00FA3380"/>
    <w:rsid w:val="00FA3518"/>
    <w:rsid w:val="00FA4250"/>
    <w:rsid w:val="00FA44CB"/>
    <w:rsid w:val="00FA4EEA"/>
    <w:rsid w:val="00FA4F10"/>
    <w:rsid w:val="00FA59EC"/>
    <w:rsid w:val="00FA5C20"/>
    <w:rsid w:val="00FA5F2D"/>
    <w:rsid w:val="00FA5F7A"/>
    <w:rsid w:val="00FA64A8"/>
    <w:rsid w:val="00FA6F27"/>
    <w:rsid w:val="00FA74A6"/>
    <w:rsid w:val="00FA7520"/>
    <w:rsid w:val="00FA77E3"/>
    <w:rsid w:val="00FA78EE"/>
    <w:rsid w:val="00FB072C"/>
    <w:rsid w:val="00FB0D52"/>
    <w:rsid w:val="00FB0EB3"/>
    <w:rsid w:val="00FB12B8"/>
    <w:rsid w:val="00FB2166"/>
    <w:rsid w:val="00FB27FA"/>
    <w:rsid w:val="00FB2B6D"/>
    <w:rsid w:val="00FB2B94"/>
    <w:rsid w:val="00FB2C62"/>
    <w:rsid w:val="00FB2DD2"/>
    <w:rsid w:val="00FB3567"/>
    <w:rsid w:val="00FB44AC"/>
    <w:rsid w:val="00FB4CC5"/>
    <w:rsid w:val="00FB4EEB"/>
    <w:rsid w:val="00FB5D92"/>
    <w:rsid w:val="00FB5E49"/>
    <w:rsid w:val="00FB5E91"/>
    <w:rsid w:val="00FB69A6"/>
    <w:rsid w:val="00FB6A36"/>
    <w:rsid w:val="00FB7B65"/>
    <w:rsid w:val="00FC0CA7"/>
    <w:rsid w:val="00FC1983"/>
    <w:rsid w:val="00FC1F90"/>
    <w:rsid w:val="00FC203E"/>
    <w:rsid w:val="00FC2068"/>
    <w:rsid w:val="00FC3352"/>
    <w:rsid w:val="00FC371A"/>
    <w:rsid w:val="00FC37F9"/>
    <w:rsid w:val="00FC4025"/>
    <w:rsid w:val="00FC406B"/>
    <w:rsid w:val="00FC5FAA"/>
    <w:rsid w:val="00FC6673"/>
    <w:rsid w:val="00FC7024"/>
    <w:rsid w:val="00FC77E8"/>
    <w:rsid w:val="00FC795C"/>
    <w:rsid w:val="00FD01BC"/>
    <w:rsid w:val="00FD0224"/>
    <w:rsid w:val="00FD02F6"/>
    <w:rsid w:val="00FD031F"/>
    <w:rsid w:val="00FD038A"/>
    <w:rsid w:val="00FD0B6E"/>
    <w:rsid w:val="00FD0ED7"/>
    <w:rsid w:val="00FD1E57"/>
    <w:rsid w:val="00FD2956"/>
    <w:rsid w:val="00FD3172"/>
    <w:rsid w:val="00FD349A"/>
    <w:rsid w:val="00FD3E1F"/>
    <w:rsid w:val="00FD4A24"/>
    <w:rsid w:val="00FD4F29"/>
    <w:rsid w:val="00FD5043"/>
    <w:rsid w:val="00FD5216"/>
    <w:rsid w:val="00FD597A"/>
    <w:rsid w:val="00FD605B"/>
    <w:rsid w:val="00FD7098"/>
    <w:rsid w:val="00FD7282"/>
    <w:rsid w:val="00FD73B7"/>
    <w:rsid w:val="00FD741E"/>
    <w:rsid w:val="00FE044F"/>
    <w:rsid w:val="00FE05DD"/>
    <w:rsid w:val="00FE070A"/>
    <w:rsid w:val="00FE0842"/>
    <w:rsid w:val="00FE1124"/>
    <w:rsid w:val="00FE1642"/>
    <w:rsid w:val="00FE1EA2"/>
    <w:rsid w:val="00FE22A8"/>
    <w:rsid w:val="00FE298D"/>
    <w:rsid w:val="00FE33A1"/>
    <w:rsid w:val="00FE387D"/>
    <w:rsid w:val="00FE3895"/>
    <w:rsid w:val="00FE3C4F"/>
    <w:rsid w:val="00FE4F30"/>
    <w:rsid w:val="00FE5DD8"/>
    <w:rsid w:val="00FE5EBA"/>
    <w:rsid w:val="00FE6010"/>
    <w:rsid w:val="00FE6435"/>
    <w:rsid w:val="00FE73D7"/>
    <w:rsid w:val="00FE765E"/>
    <w:rsid w:val="00FE7672"/>
    <w:rsid w:val="00FE778B"/>
    <w:rsid w:val="00FF02D1"/>
    <w:rsid w:val="00FF037B"/>
    <w:rsid w:val="00FF09BB"/>
    <w:rsid w:val="00FF0EFF"/>
    <w:rsid w:val="00FF1401"/>
    <w:rsid w:val="00FF1BED"/>
    <w:rsid w:val="00FF265B"/>
    <w:rsid w:val="00FF26E0"/>
    <w:rsid w:val="00FF26F8"/>
    <w:rsid w:val="00FF3A94"/>
    <w:rsid w:val="00FF3CB8"/>
    <w:rsid w:val="00FF4123"/>
    <w:rsid w:val="00FF440A"/>
    <w:rsid w:val="00FF475D"/>
    <w:rsid w:val="00FF4BF1"/>
    <w:rsid w:val="00FF501F"/>
    <w:rsid w:val="00FF5546"/>
    <w:rsid w:val="00FF56F1"/>
    <w:rsid w:val="00FF5E3C"/>
    <w:rsid w:val="00FF60D8"/>
    <w:rsid w:val="00FF6270"/>
    <w:rsid w:val="00FF6615"/>
    <w:rsid w:val="00FF66E3"/>
    <w:rsid w:val="00FF6D04"/>
    <w:rsid w:val="00FF70CC"/>
    <w:rsid w:val="00FF7312"/>
    <w:rsid w:val="00FF74EC"/>
    <w:rsid w:val="00FF7DF2"/>
    <w:rsid w:val="00FF7F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EB"/>
    <w:pPr>
      <w:spacing w:after="100" w:line="400" w:lineRule="exact"/>
      <w:jc w:val="both"/>
    </w:pPr>
    <w:rPr>
      <w:rFonts w:ascii="Century Schoolbook" w:hAnsi="Century Schoolbook"/>
      <w:sz w:val="27"/>
    </w:rPr>
  </w:style>
  <w:style w:type="paragraph" w:styleId="Heading1">
    <w:name w:val="heading 1"/>
    <w:basedOn w:val="Normal"/>
    <w:next w:val="Normal"/>
    <w:qFormat/>
    <w:rsid w:val="001E59EB"/>
    <w:pPr>
      <w:keepNext/>
      <w:spacing w:before="140" w:line="240" w:lineRule="atLeast"/>
      <w:jc w:val="center"/>
      <w:outlineLvl w:val="0"/>
    </w:pPr>
    <w:rPr>
      <w:b/>
      <w:smallCaps/>
    </w:rPr>
  </w:style>
  <w:style w:type="paragraph" w:styleId="Heading2">
    <w:name w:val="heading 2"/>
    <w:basedOn w:val="Normal"/>
    <w:next w:val="Normal"/>
    <w:qFormat/>
    <w:rsid w:val="001E59E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1E59EB"/>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1E59EB"/>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1E59E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25415"/>
    <w:pPr>
      <w:ind w:left="720"/>
    </w:pPr>
  </w:style>
  <w:style w:type="paragraph" w:styleId="Footer">
    <w:name w:val="footer"/>
    <w:basedOn w:val="Normal"/>
    <w:link w:val="FooterChar"/>
    <w:uiPriority w:val="99"/>
    <w:qFormat/>
    <w:rsid w:val="001E59EB"/>
    <w:pPr>
      <w:tabs>
        <w:tab w:val="center" w:pos="3960"/>
        <w:tab w:val="right" w:pos="10080"/>
      </w:tabs>
      <w:spacing w:after="0" w:line="240" w:lineRule="auto"/>
      <w:jc w:val="center"/>
    </w:pPr>
    <w:rPr>
      <w:sz w:val="22"/>
    </w:rPr>
  </w:style>
  <w:style w:type="paragraph" w:styleId="Header">
    <w:name w:val="header"/>
    <w:basedOn w:val="Normal"/>
    <w:qFormat/>
    <w:rsid w:val="001E59E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E59EB"/>
    <w:rPr>
      <w:rFonts w:ascii="Century Schoolbook" w:hAnsi="Century Schoolbook"/>
      <w:b/>
      <w:i w:val="0"/>
      <w:position w:val="4"/>
      <w:sz w:val="27"/>
      <w:vertAlign w:val="superscript"/>
    </w:rPr>
  </w:style>
  <w:style w:type="paragraph" w:styleId="FootnoteText">
    <w:name w:val="footnote text"/>
    <w:basedOn w:val="Normal"/>
    <w:rsid w:val="001E59EB"/>
    <w:pPr>
      <w:spacing w:line="300" w:lineRule="exact"/>
    </w:pPr>
  </w:style>
  <w:style w:type="paragraph" w:customStyle="1" w:styleId="Title1">
    <w:name w:val="Title1"/>
    <w:basedOn w:val="Normal"/>
    <w:rsid w:val="00025415"/>
    <w:pPr>
      <w:tabs>
        <w:tab w:val="left" w:pos="5760"/>
        <w:tab w:val="left" w:pos="6480"/>
      </w:tabs>
      <w:spacing w:line="240" w:lineRule="atLeast"/>
    </w:pPr>
  </w:style>
  <w:style w:type="paragraph" w:customStyle="1" w:styleId="Recommend">
    <w:name w:val="Recommend"/>
    <w:basedOn w:val="Normal"/>
    <w:rsid w:val="00025415"/>
  </w:style>
  <w:style w:type="paragraph" w:customStyle="1" w:styleId="Summary">
    <w:name w:val="Summary"/>
    <w:basedOn w:val="Normal"/>
    <w:rsid w:val="00025415"/>
    <w:pPr>
      <w:ind w:left="2160" w:hanging="2160"/>
    </w:pPr>
  </w:style>
  <w:style w:type="paragraph" w:customStyle="1" w:styleId="Text">
    <w:name w:val="Text"/>
    <w:basedOn w:val="Normal"/>
    <w:rsid w:val="00025415"/>
    <w:pPr>
      <w:tabs>
        <w:tab w:val="left" w:pos="720"/>
        <w:tab w:val="left" w:pos="1440"/>
        <w:tab w:val="left" w:pos="2160"/>
        <w:tab w:val="center" w:pos="4320"/>
      </w:tabs>
      <w:spacing w:line="480" w:lineRule="atLeast"/>
      <w:ind w:firstLine="540"/>
    </w:pPr>
  </w:style>
  <w:style w:type="paragraph" w:styleId="Date">
    <w:name w:val="Date"/>
    <w:basedOn w:val="Normal"/>
    <w:semiHidden/>
    <w:rsid w:val="00025415"/>
    <w:pPr>
      <w:jc w:val="right"/>
    </w:pPr>
  </w:style>
  <w:style w:type="character" w:styleId="PageNumber">
    <w:name w:val="page number"/>
    <w:basedOn w:val="DefaultParagraphFont"/>
    <w:semiHidden/>
    <w:rsid w:val="00025415"/>
  </w:style>
  <w:style w:type="paragraph" w:customStyle="1" w:styleId="subject">
    <w:name w:val="subject"/>
    <w:basedOn w:val="Normal"/>
    <w:rsid w:val="00025415"/>
    <w:pPr>
      <w:tabs>
        <w:tab w:val="left" w:pos="1008"/>
      </w:tabs>
      <w:ind w:left="990" w:hanging="990"/>
    </w:pPr>
    <w:rPr>
      <w:b/>
    </w:rPr>
  </w:style>
  <w:style w:type="paragraph" w:customStyle="1" w:styleId="Titles">
    <w:name w:val="Titles"/>
    <w:basedOn w:val="Normal"/>
    <w:rsid w:val="00025415"/>
    <w:pPr>
      <w:tabs>
        <w:tab w:val="left" w:pos="2160"/>
      </w:tabs>
      <w:ind w:left="2160" w:hanging="2160"/>
    </w:pPr>
    <w:rPr>
      <w:b/>
    </w:rPr>
  </w:style>
  <w:style w:type="paragraph" w:styleId="TOAHeading">
    <w:name w:val="toa heading"/>
    <w:basedOn w:val="Normal"/>
    <w:next w:val="Normal"/>
    <w:semiHidden/>
    <w:rsid w:val="00025415"/>
    <w:pPr>
      <w:spacing w:before="120"/>
    </w:pPr>
    <w:rPr>
      <w:b/>
    </w:rPr>
  </w:style>
  <w:style w:type="paragraph" w:styleId="TOC1">
    <w:name w:val="toc 1"/>
    <w:basedOn w:val="Normal"/>
    <w:next w:val="Normal"/>
    <w:autoRedefine/>
    <w:semiHidden/>
    <w:rsid w:val="00025415"/>
  </w:style>
  <w:style w:type="paragraph" w:styleId="TOC2">
    <w:name w:val="toc 2"/>
    <w:basedOn w:val="Normal"/>
    <w:next w:val="Normal"/>
    <w:autoRedefine/>
    <w:semiHidden/>
    <w:rsid w:val="00025415"/>
    <w:pPr>
      <w:ind w:left="259"/>
    </w:pPr>
  </w:style>
  <w:style w:type="paragraph" w:styleId="TOC3">
    <w:name w:val="toc 3"/>
    <w:basedOn w:val="Normal"/>
    <w:next w:val="Normal"/>
    <w:autoRedefine/>
    <w:semiHidden/>
    <w:rsid w:val="00025415"/>
    <w:pPr>
      <w:ind w:left="520"/>
    </w:pPr>
  </w:style>
  <w:style w:type="paragraph" w:styleId="TOC4">
    <w:name w:val="toc 4"/>
    <w:basedOn w:val="Normal"/>
    <w:next w:val="Normal"/>
    <w:autoRedefine/>
    <w:semiHidden/>
    <w:rsid w:val="00025415"/>
    <w:pPr>
      <w:ind w:left="780"/>
    </w:pPr>
  </w:style>
  <w:style w:type="paragraph" w:styleId="TOC5">
    <w:name w:val="toc 5"/>
    <w:basedOn w:val="Normal"/>
    <w:next w:val="Normal"/>
    <w:autoRedefine/>
    <w:semiHidden/>
    <w:rsid w:val="00025415"/>
    <w:pPr>
      <w:ind w:left="1040"/>
    </w:pPr>
  </w:style>
  <w:style w:type="paragraph" w:styleId="TOC6">
    <w:name w:val="toc 6"/>
    <w:basedOn w:val="Normal"/>
    <w:next w:val="Normal"/>
    <w:autoRedefine/>
    <w:semiHidden/>
    <w:rsid w:val="00025415"/>
    <w:pPr>
      <w:ind w:left="1300"/>
    </w:pPr>
  </w:style>
  <w:style w:type="paragraph" w:styleId="TOC7">
    <w:name w:val="toc 7"/>
    <w:basedOn w:val="Normal"/>
    <w:next w:val="Normal"/>
    <w:autoRedefine/>
    <w:semiHidden/>
    <w:rsid w:val="00025415"/>
    <w:pPr>
      <w:ind w:left="1560"/>
    </w:pPr>
  </w:style>
  <w:style w:type="paragraph" w:styleId="TOC8">
    <w:name w:val="toc 8"/>
    <w:basedOn w:val="Normal"/>
    <w:next w:val="Normal"/>
    <w:autoRedefine/>
    <w:semiHidden/>
    <w:rsid w:val="00025415"/>
    <w:pPr>
      <w:ind w:left="1820"/>
    </w:pPr>
  </w:style>
  <w:style w:type="paragraph" w:styleId="TOC9">
    <w:name w:val="toc 9"/>
    <w:basedOn w:val="Normal"/>
    <w:next w:val="Normal"/>
    <w:autoRedefine/>
    <w:semiHidden/>
    <w:rsid w:val="00025415"/>
    <w:pPr>
      <w:ind w:left="2080"/>
    </w:pPr>
  </w:style>
  <w:style w:type="paragraph" w:customStyle="1" w:styleId="Contents">
    <w:name w:val="Contents"/>
    <w:basedOn w:val="Normal"/>
    <w:rsid w:val="00025415"/>
    <w:pPr>
      <w:jc w:val="center"/>
    </w:pPr>
    <w:rPr>
      <w:b/>
      <w:spacing w:val="100"/>
    </w:rPr>
  </w:style>
  <w:style w:type="character" w:styleId="CommentReference">
    <w:name w:val="annotation reference"/>
    <w:basedOn w:val="DefaultParagraphFont"/>
    <w:uiPriority w:val="99"/>
    <w:semiHidden/>
    <w:unhideWhenUsed/>
    <w:rsid w:val="005B161F"/>
    <w:rPr>
      <w:sz w:val="16"/>
      <w:szCs w:val="16"/>
    </w:rPr>
  </w:style>
  <w:style w:type="paragraph" w:styleId="CommentText">
    <w:name w:val="annotation text"/>
    <w:basedOn w:val="Normal"/>
    <w:link w:val="CommentTextChar"/>
    <w:uiPriority w:val="99"/>
    <w:semiHidden/>
    <w:unhideWhenUsed/>
    <w:rsid w:val="005B161F"/>
    <w:rPr>
      <w:sz w:val="20"/>
    </w:rPr>
  </w:style>
  <w:style w:type="character" w:customStyle="1" w:styleId="CommentTextChar">
    <w:name w:val="Comment Text Char"/>
    <w:basedOn w:val="DefaultParagraphFont"/>
    <w:link w:val="CommentText"/>
    <w:uiPriority w:val="99"/>
    <w:semiHidden/>
    <w:rsid w:val="005B161F"/>
  </w:style>
  <w:style w:type="paragraph" w:styleId="CommentSubject">
    <w:name w:val="annotation subject"/>
    <w:basedOn w:val="CommentText"/>
    <w:next w:val="CommentText"/>
    <w:link w:val="CommentSubjectChar"/>
    <w:uiPriority w:val="99"/>
    <w:semiHidden/>
    <w:unhideWhenUsed/>
    <w:rsid w:val="005B161F"/>
    <w:rPr>
      <w:b/>
      <w:bCs/>
    </w:rPr>
  </w:style>
  <w:style w:type="character" w:customStyle="1" w:styleId="CommentSubjectChar">
    <w:name w:val="Comment Subject Char"/>
    <w:basedOn w:val="CommentTextChar"/>
    <w:link w:val="CommentSubject"/>
    <w:uiPriority w:val="99"/>
    <w:semiHidden/>
    <w:rsid w:val="005B161F"/>
    <w:rPr>
      <w:b/>
      <w:bCs/>
    </w:rPr>
  </w:style>
  <w:style w:type="character" w:styleId="Emphasis">
    <w:name w:val="Emphasis"/>
    <w:basedOn w:val="DefaultParagraphFont"/>
    <w:uiPriority w:val="20"/>
    <w:qFormat/>
    <w:rsid w:val="004439F7"/>
    <w:rPr>
      <w:i/>
      <w:iCs/>
    </w:rPr>
  </w:style>
  <w:style w:type="character" w:styleId="Hyperlink">
    <w:name w:val="Hyperlink"/>
    <w:basedOn w:val="DefaultParagraphFont"/>
    <w:uiPriority w:val="99"/>
    <w:unhideWhenUsed/>
    <w:rsid w:val="004439F7"/>
    <w:rPr>
      <w:color w:val="0000FF"/>
      <w:u w:val="single"/>
    </w:rPr>
  </w:style>
  <w:style w:type="character" w:customStyle="1" w:styleId="coinlinekeyciteflag">
    <w:name w:val="co_inlinekeyciteflag"/>
    <w:basedOn w:val="DefaultParagraphFont"/>
    <w:rsid w:val="004439F7"/>
  </w:style>
  <w:style w:type="character" w:customStyle="1" w:styleId="UnresolvedMention1">
    <w:name w:val="Unresolved Mention1"/>
    <w:basedOn w:val="DefaultParagraphFont"/>
    <w:uiPriority w:val="99"/>
    <w:semiHidden/>
    <w:unhideWhenUsed/>
    <w:rsid w:val="00EC0563"/>
    <w:rPr>
      <w:color w:val="605E5C"/>
      <w:shd w:val="clear" w:color="auto" w:fill="E1DFDD"/>
    </w:rPr>
  </w:style>
  <w:style w:type="paragraph" w:styleId="ListParagraph">
    <w:name w:val="List Paragraph"/>
    <w:basedOn w:val="Normal"/>
    <w:uiPriority w:val="34"/>
    <w:qFormat/>
    <w:rsid w:val="00EC0563"/>
    <w:pPr>
      <w:ind w:left="720"/>
      <w:contextualSpacing/>
    </w:pPr>
  </w:style>
  <w:style w:type="character" w:customStyle="1" w:styleId="cosearchterm">
    <w:name w:val="co_searchterm"/>
    <w:basedOn w:val="DefaultParagraphFont"/>
    <w:rsid w:val="000B03EB"/>
  </w:style>
  <w:style w:type="character" w:customStyle="1" w:styleId="counderline">
    <w:name w:val="co_underline"/>
    <w:basedOn w:val="DefaultParagraphFont"/>
    <w:rsid w:val="000B03EB"/>
  </w:style>
  <w:style w:type="character" w:customStyle="1" w:styleId="cohl">
    <w:name w:val="co_hl"/>
    <w:basedOn w:val="DefaultParagraphFont"/>
    <w:rsid w:val="005008A9"/>
  </w:style>
  <w:style w:type="character" w:customStyle="1" w:styleId="costarpage">
    <w:name w:val="co_starpage"/>
    <w:basedOn w:val="DefaultParagraphFont"/>
    <w:rsid w:val="006924F0"/>
  </w:style>
  <w:style w:type="paragraph" w:styleId="Revision">
    <w:name w:val="Revision"/>
    <w:hidden/>
    <w:uiPriority w:val="99"/>
    <w:semiHidden/>
    <w:rsid w:val="008B1F81"/>
    <w:rPr>
      <w:sz w:val="26"/>
    </w:rPr>
  </w:style>
  <w:style w:type="paragraph" w:styleId="BodyText">
    <w:name w:val="Body Text"/>
    <w:basedOn w:val="Normal"/>
    <w:link w:val="BodyTextChar"/>
    <w:qFormat/>
    <w:rsid w:val="00025415"/>
  </w:style>
  <w:style w:type="character" w:customStyle="1" w:styleId="BodyTextChar">
    <w:name w:val="Body Text Char"/>
    <w:basedOn w:val="DefaultParagraphFont"/>
    <w:link w:val="BodyText"/>
    <w:rsid w:val="00025415"/>
    <w:rPr>
      <w:rFonts w:ascii="Century Schoolbook" w:hAnsi="Century Schoolbook"/>
      <w:sz w:val="27"/>
    </w:rPr>
  </w:style>
  <w:style w:type="character" w:customStyle="1" w:styleId="cosearchwithinterm">
    <w:name w:val="co_searchwithinterm"/>
    <w:basedOn w:val="DefaultParagraphFont"/>
    <w:rsid w:val="00E8571C"/>
  </w:style>
  <w:style w:type="character" w:customStyle="1" w:styleId="ui-provider">
    <w:name w:val="ui-provider"/>
    <w:basedOn w:val="DefaultParagraphFont"/>
    <w:rsid w:val="005E510F"/>
  </w:style>
  <w:style w:type="paragraph" w:styleId="NormalWeb">
    <w:name w:val="Normal (Web)"/>
    <w:basedOn w:val="Normal"/>
    <w:uiPriority w:val="99"/>
    <w:unhideWhenUsed/>
    <w:rsid w:val="005E510F"/>
    <w:pPr>
      <w:spacing w:before="100" w:beforeAutospacing="1" w:afterAutospacing="1" w:line="240" w:lineRule="auto"/>
      <w:jc w:val="left"/>
    </w:pPr>
    <w:rPr>
      <w:rFonts w:ascii="Times New Roman" w:hAnsi="Times New Roman"/>
      <w:sz w:val="24"/>
      <w:szCs w:val="24"/>
    </w:rPr>
  </w:style>
  <w:style w:type="character" w:customStyle="1" w:styleId="ssrfcsection">
    <w:name w:val="ss_rfcsection"/>
    <w:basedOn w:val="DefaultParagraphFont"/>
    <w:rsid w:val="005E510F"/>
  </w:style>
  <w:style w:type="character" w:customStyle="1" w:styleId="FooterChar">
    <w:name w:val="Footer Char"/>
    <w:basedOn w:val="DefaultParagraphFont"/>
    <w:link w:val="Footer"/>
    <w:uiPriority w:val="99"/>
    <w:rsid w:val="00880056"/>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BD6B-259F-4DB1-B154-73A7EB99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6373</Words>
  <Characters>36332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2023-08-14T16:20:34Z</dcterms:created>
  <dcterms:modified xsi:type="dcterms:W3CDTF">2023-08-14T16:20:34Z</dcterms:modified>
</cp:coreProperties>
</file>