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66BE" w14:textId="57FA57A1" w:rsidR="0002670F" w:rsidRPr="00435A0E" w:rsidRDefault="00190BF7" w:rsidP="00190BF7">
      <w:pPr>
        <w:tabs>
          <w:tab w:val="left" w:pos="1440"/>
          <w:tab w:val="left" w:pos="4680"/>
          <w:tab w:val="center" w:pos="7200"/>
        </w:tabs>
        <w:spacing w:after="0"/>
        <w:jc w:val="center"/>
        <w:rPr>
          <w:sz w:val="36"/>
        </w:rPr>
      </w:pPr>
      <w:bookmarkStart w:id="0" w:name="MarkDocLoc"/>
      <w:bookmarkEnd w:id="0"/>
      <w:r w:rsidRPr="00435A0E">
        <w:rPr>
          <w:b/>
          <w:sz w:val="36"/>
        </w:rPr>
        <w:t>IN THE SUPREME COURT OF CALIFORNIA</w:t>
      </w:r>
    </w:p>
    <w:p w14:paraId="3A00A97C" w14:textId="4672C666" w:rsidR="00190BF7" w:rsidRPr="00435A0E" w:rsidRDefault="00190BF7" w:rsidP="00190BF7">
      <w:pPr>
        <w:tabs>
          <w:tab w:val="left" w:pos="1440"/>
          <w:tab w:val="left" w:pos="4680"/>
          <w:tab w:val="center" w:pos="7200"/>
        </w:tabs>
        <w:spacing w:after="0"/>
        <w:jc w:val="center"/>
      </w:pPr>
    </w:p>
    <w:p w14:paraId="3C32146A" w14:textId="4800463C" w:rsidR="00190BF7" w:rsidRPr="00435A0E" w:rsidRDefault="00190BF7" w:rsidP="00190BF7">
      <w:pPr>
        <w:tabs>
          <w:tab w:val="left" w:pos="1440"/>
          <w:tab w:val="left" w:pos="4680"/>
          <w:tab w:val="center" w:pos="7200"/>
        </w:tabs>
        <w:spacing w:after="0"/>
        <w:jc w:val="center"/>
      </w:pPr>
      <w:r w:rsidRPr="00435A0E">
        <w:t>CALIFORNIA MEDICAL ASSOCIATION,</w:t>
      </w:r>
    </w:p>
    <w:p w14:paraId="641C319A" w14:textId="4D933C0B" w:rsidR="00190BF7" w:rsidRPr="00435A0E" w:rsidRDefault="00190BF7" w:rsidP="00190BF7">
      <w:pPr>
        <w:tabs>
          <w:tab w:val="left" w:pos="1440"/>
          <w:tab w:val="left" w:pos="4680"/>
          <w:tab w:val="center" w:pos="7200"/>
        </w:tabs>
        <w:spacing w:after="0"/>
        <w:jc w:val="center"/>
      </w:pPr>
      <w:r w:rsidRPr="00435A0E">
        <w:t>Plaintiff and Appellant,</w:t>
      </w:r>
    </w:p>
    <w:p w14:paraId="163905DF" w14:textId="1B73CCF2" w:rsidR="00190BF7" w:rsidRPr="00435A0E" w:rsidRDefault="00190BF7" w:rsidP="00190BF7">
      <w:pPr>
        <w:tabs>
          <w:tab w:val="left" w:pos="1440"/>
          <w:tab w:val="left" w:pos="4680"/>
          <w:tab w:val="center" w:pos="7200"/>
        </w:tabs>
        <w:spacing w:after="0"/>
        <w:jc w:val="center"/>
      </w:pPr>
      <w:r w:rsidRPr="00435A0E">
        <w:t>v.</w:t>
      </w:r>
    </w:p>
    <w:p w14:paraId="448A16D6" w14:textId="3D0D06BE" w:rsidR="00190BF7" w:rsidRPr="00435A0E" w:rsidRDefault="00190BF7" w:rsidP="00190BF7">
      <w:pPr>
        <w:tabs>
          <w:tab w:val="left" w:pos="1440"/>
          <w:tab w:val="left" w:pos="4680"/>
          <w:tab w:val="center" w:pos="7200"/>
        </w:tabs>
        <w:spacing w:after="0"/>
        <w:jc w:val="center"/>
      </w:pPr>
      <w:r w:rsidRPr="00435A0E">
        <w:t>AETNA HEALTH OF CALIFORNIA</w:t>
      </w:r>
      <w:r w:rsidR="00A11556" w:rsidRPr="00435A0E">
        <w:t xml:space="preserve"> INC.,</w:t>
      </w:r>
    </w:p>
    <w:p w14:paraId="4F2825E2" w14:textId="6AADDE55" w:rsidR="00190BF7" w:rsidRPr="00435A0E" w:rsidRDefault="00190BF7" w:rsidP="00190BF7">
      <w:pPr>
        <w:tabs>
          <w:tab w:val="left" w:pos="1440"/>
          <w:tab w:val="left" w:pos="4680"/>
          <w:tab w:val="center" w:pos="7200"/>
        </w:tabs>
        <w:spacing w:after="0"/>
        <w:jc w:val="center"/>
      </w:pPr>
      <w:r w:rsidRPr="00435A0E">
        <w:t>Defendant and Respondent.</w:t>
      </w:r>
    </w:p>
    <w:p w14:paraId="55D3FD63" w14:textId="40ACA218" w:rsidR="00190BF7" w:rsidRPr="00435A0E" w:rsidRDefault="00190BF7" w:rsidP="00190BF7">
      <w:pPr>
        <w:tabs>
          <w:tab w:val="left" w:pos="1440"/>
          <w:tab w:val="left" w:pos="4680"/>
          <w:tab w:val="center" w:pos="7200"/>
        </w:tabs>
        <w:spacing w:after="0"/>
        <w:jc w:val="center"/>
      </w:pPr>
    </w:p>
    <w:p w14:paraId="39D35879" w14:textId="23AE00C5" w:rsidR="00190BF7" w:rsidRPr="00435A0E" w:rsidRDefault="00190BF7" w:rsidP="00190BF7">
      <w:pPr>
        <w:tabs>
          <w:tab w:val="left" w:pos="1440"/>
          <w:tab w:val="left" w:pos="4680"/>
          <w:tab w:val="center" w:pos="7200"/>
        </w:tabs>
        <w:spacing w:after="0"/>
        <w:jc w:val="center"/>
      </w:pPr>
      <w:r w:rsidRPr="00435A0E">
        <w:t>S269212</w:t>
      </w:r>
    </w:p>
    <w:p w14:paraId="656042A2" w14:textId="38E91C1D" w:rsidR="00190BF7" w:rsidRPr="00435A0E" w:rsidRDefault="00190BF7" w:rsidP="00190BF7">
      <w:pPr>
        <w:tabs>
          <w:tab w:val="left" w:pos="1440"/>
          <w:tab w:val="left" w:pos="4680"/>
          <w:tab w:val="center" w:pos="7200"/>
        </w:tabs>
        <w:spacing w:after="0"/>
        <w:jc w:val="center"/>
      </w:pPr>
    </w:p>
    <w:p w14:paraId="61E86784" w14:textId="1A21FCEA" w:rsidR="00190BF7" w:rsidRPr="00435A0E" w:rsidRDefault="00190BF7" w:rsidP="00190BF7">
      <w:pPr>
        <w:tabs>
          <w:tab w:val="left" w:pos="1440"/>
          <w:tab w:val="left" w:pos="4680"/>
          <w:tab w:val="center" w:pos="7200"/>
        </w:tabs>
        <w:spacing w:after="0"/>
        <w:jc w:val="center"/>
      </w:pPr>
      <w:r w:rsidRPr="00435A0E">
        <w:t>Second Appellate District, Division Eight</w:t>
      </w:r>
    </w:p>
    <w:p w14:paraId="24F04C37" w14:textId="2CC5B678" w:rsidR="00190BF7" w:rsidRPr="00435A0E" w:rsidRDefault="00190BF7" w:rsidP="00190BF7">
      <w:pPr>
        <w:tabs>
          <w:tab w:val="left" w:pos="1440"/>
          <w:tab w:val="left" w:pos="4680"/>
          <w:tab w:val="center" w:pos="7200"/>
        </w:tabs>
        <w:spacing w:after="0"/>
        <w:jc w:val="center"/>
      </w:pPr>
      <w:r w:rsidRPr="00435A0E">
        <w:t>B304217</w:t>
      </w:r>
    </w:p>
    <w:p w14:paraId="37F5D277" w14:textId="6C97F3E6" w:rsidR="00190BF7" w:rsidRPr="00435A0E" w:rsidRDefault="00190BF7" w:rsidP="00190BF7">
      <w:pPr>
        <w:tabs>
          <w:tab w:val="left" w:pos="1440"/>
          <w:tab w:val="left" w:pos="4680"/>
          <w:tab w:val="center" w:pos="7200"/>
        </w:tabs>
        <w:spacing w:after="0"/>
        <w:jc w:val="center"/>
      </w:pPr>
    </w:p>
    <w:p w14:paraId="1C74A223" w14:textId="6A107334" w:rsidR="00190BF7" w:rsidRPr="00435A0E" w:rsidRDefault="00190BF7" w:rsidP="00190BF7">
      <w:pPr>
        <w:tabs>
          <w:tab w:val="left" w:pos="1440"/>
          <w:tab w:val="left" w:pos="4680"/>
          <w:tab w:val="center" w:pos="7200"/>
        </w:tabs>
        <w:spacing w:after="0"/>
        <w:jc w:val="center"/>
      </w:pPr>
      <w:r w:rsidRPr="00435A0E">
        <w:t>Los Angeles County Superior Court</w:t>
      </w:r>
    </w:p>
    <w:p w14:paraId="6DC941D2" w14:textId="596EE7A9" w:rsidR="00190BF7" w:rsidRPr="00435A0E" w:rsidRDefault="00190BF7" w:rsidP="00190BF7">
      <w:pPr>
        <w:tabs>
          <w:tab w:val="left" w:pos="1440"/>
          <w:tab w:val="left" w:pos="4680"/>
          <w:tab w:val="center" w:pos="7200"/>
        </w:tabs>
        <w:spacing w:after="0"/>
        <w:jc w:val="center"/>
      </w:pPr>
      <w:r w:rsidRPr="00435A0E">
        <w:t>BC487412</w:t>
      </w:r>
    </w:p>
    <w:p w14:paraId="0EBA1ADC" w14:textId="14A522F2" w:rsidR="00190BF7" w:rsidRPr="00435A0E" w:rsidRDefault="00190BF7" w:rsidP="00190BF7">
      <w:pPr>
        <w:pBdr>
          <w:bottom w:val="single" w:sz="4" w:space="1" w:color="auto"/>
        </w:pBdr>
        <w:tabs>
          <w:tab w:val="left" w:pos="1440"/>
          <w:tab w:val="left" w:pos="4680"/>
          <w:tab w:val="center" w:pos="7200"/>
        </w:tabs>
        <w:spacing w:after="0"/>
        <w:jc w:val="center"/>
      </w:pPr>
    </w:p>
    <w:p w14:paraId="1E3A5A29" w14:textId="3FA18BDF" w:rsidR="00190BF7" w:rsidRPr="00435A0E" w:rsidRDefault="00190BF7" w:rsidP="00190BF7">
      <w:pPr>
        <w:tabs>
          <w:tab w:val="left" w:pos="1440"/>
          <w:tab w:val="left" w:pos="4680"/>
          <w:tab w:val="center" w:pos="7200"/>
        </w:tabs>
        <w:spacing w:after="0"/>
        <w:jc w:val="center"/>
      </w:pPr>
    </w:p>
    <w:p w14:paraId="337FAD99" w14:textId="15BD6390" w:rsidR="00190BF7" w:rsidRPr="00435A0E" w:rsidRDefault="00B40DA3" w:rsidP="00190BF7">
      <w:pPr>
        <w:tabs>
          <w:tab w:val="left" w:pos="1440"/>
          <w:tab w:val="left" w:pos="4680"/>
          <w:tab w:val="center" w:pos="7200"/>
        </w:tabs>
        <w:spacing w:after="0"/>
        <w:jc w:val="center"/>
      </w:pPr>
      <w:r>
        <w:t>July 17</w:t>
      </w:r>
      <w:r w:rsidR="00190BF7" w:rsidRPr="00435A0E">
        <w:t>, 2023</w:t>
      </w:r>
    </w:p>
    <w:p w14:paraId="79D352A2" w14:textId="3B160D15" w:rsidR="00190BF7" w:rsidRPr="00435A0E" w:rsidRDefault="00190BF7" w:rsidP="00190BF7">
      <w:pPr>
        <w:tabs>
          <w:tab w:val="left" w:pos="1440"/>
          <w:tab w:val="left" w:pos="4680"/>
          <w:tab w:val="center" w:pos="7200"/>
        </w:tabs>
        <w:spacing w:after="0"/>
        <w:jc w:val="center"/>
      </w:pPr>
    </w:p>
    <w:p w14:paraId="5800BEC3" w14:textId="6D3BC017" w:rsidR="00190BF7" w:rsidRPr="00435A0E" w:rsidRDefault="00190BF7" w:rsidP="00190BF7">
      <w:pPr>
        <w:tabs>
          <w:tab w:val="left" w:pos="1440"/>
          <w:tab w:val="left" w:pos="4680"/>
          <w:tab w:val="center" w:pos="7200"/>
        </w:tabs>
        <w:spacing w:after="0"/>
        <w:jc w:val="left"/>
      </w:pPr>
      <w:r w:rsidRPr="00435A0E">
        <w:t xml:space="preserve">Justice Evans authored the opinion of the Court, in which </w:t>
      </w:r>
      <w:r w:rsidR="00B40DA3">
        <w:t>Chief Justice Guerrero and Justices Corrigan, Liu, Kruger, Groban, and Jenkins</w:t>
      </w:r>
      <w:r w:rsidRPr="00435A0E">
        <w:t xml:space="preserve"> concurred.</w:t>
      </w:r>
    </w:p>
    <w:p w14:paraId="789CD03C" w14:textId="77777777" w:rsidR="00190BF7" w:rsidRPr="00435A0E" w:rsidRDefault="00190BF7" w:rsidP="00190BF7">
      <w:pPr>
        <w:pBdr>
          <w:bottom w:val="single" w:sz="4" w:space="1" w:color="auto"/>
        </w:pBdr>
        <w:tabs>
          <w:tab w:val="left" w:pos="1440"/>
          <w:tab w:val="left" w:pos="4680"/>
          <w:tab w:val="center" w:pos="7200"/>
        </w:tabs>
        <w:spacing w:line="480" w:lineRule="atLeast"/>
        <w:jc w:val="left"/>
      </w:pPr>
      <w:bookmarkStart w:id="1" w:name="Return"/>
      <w:bookmarkEnd w:id="1"/>
    </w:p>
    <w:p w14:paraId="2CD1DD2E" w14:textId="77777777" w:rsidR="00190BF7" w:rsidRPr="00435A0E" w:rsidRDefault="00190BF7">
      <w:pPr>
        <w:tabs>
          <w:tab w:val="left" w:pos="1440"/>
          <w:tab w:val="left" w:pos="4680"/>
          <w:tab w:val="center" w:pos="7200"/>
        </w:tabs>
        <w:spacing w:line="480" w:lineRule="atLeast"/>
        <w:sectPr w:rsidR="00190BF7" w:rsidRPr="00435A0E" w:rsidSect="00190BF7">
          <w:headerReference w:type="default" r:id="rId8"/>
          <w:footerReference w:type="default" r:id="rId9"/>
          <w:pgSz w:w="12240" w:h="15840"/>
          <w:pgMar w:top="1800" w:right="2160" w:bottom="1440" w:left="2160" w:header="720" w:footer="720" w:gutter="0"/>
          <w:cols w:space="720"/>
          <w:titlePg/>
          <w:docGrid w:linePitch="367"/>
        </w:sectPr>
      </w:pPr>
    </w:p>
    <w:p w14:paraId="3166EE69" w14:textId="112A637D" w:rsidR="00190BF7" w:rsidRPr="00435A0E" w:rsidRDefault="00190BF7" w:rsidP="00190BF7">
      <w:pPr>
        <w:tabs>
          <w:tab w:val="left" w:pos="1440"/>
          <w:tab w:val="left" w:pos="4680"/>
          <w:tab w:val="center" w:pos="7200"/>
        </w:tabs>
        <w:jc w:val="center"/>
      </w:pPr>
      <w:r w:rsidRPr="00435A0E">
        <w:lastRenderedPageBreak/>
        <w:t>CALIFORNIA MEDICAL ASSOCIATION v. AETNA HEALTH</w:t>
      </w:r>
      <w:r w:rsidR="00AE50D7" w:rsidRPr="00435A0E">
        <w:t xml:space="preserve"> OF CALIFORNIA INC.</w:t>
      </w:r>
    </w:p>
    <w:p w14:paraId="60B00F83" w14:textId="5ECB4003" w:rsidR="00190BF7" w:rsidRPr="00435A0E" w:rsidRDefault="00190BF7" w:rsidP="00190BF7">
      <w:pPr>
        <w:tabs>
          <w:tab w:val="left" w:pos="1440"/>
          <w:tab w:val="left" w:pos="4680"/>
          <w:tab w:val="center" w:pos="7200"/>
        </w:tabs>
        <w:jc w:val="center"/>
      </w:pPr>
      <w:r w:rsidRPr="00435A0E">
        <w:t>S269212</w:t>
      </w:r>
    </w:p>
    <w:p w14:paraId="36638C2E" w14:textId="2405996E" w:rsidR="00190BF7" w:rsidRPr="00435A0E" w:rsidRDefault="00190BF7" w:rsidP="00190BF7">
      <w:pPr>
        <w:tabs>
          <w:tab w:val="left" w:pos="1440"/>
          <w:tab w:val="left" w:pos="4680"/>
          <w:tab w:val="center" w:pos="7200"/>
        </w:tabs>
        <w:jc w:val="center"/>
      </w:pPr>
    </w:p>
    <w:p w14:paraId="05DBC6D7" w14:textId="37C5B550" w:rsidR="00190BF7" w:rsidRPr="00435A0E" w:rsidRDefault="00190BF7" w:rsidP="00190BF7">
      <w:pPr>
        <w:tabs>
          <w:tab w:val="left" w:pos="1440"/>
          <w:tab w:val="left" w:pos="4680"/>
          <w:tab w:val="center" w:pos="7200"/>
        </w:tabs>
        <w:jc w:val="center"/>
      </w:pPr>
      <w:r w:rsidRPr="00435A0E">
        <w:t>Opinion of the Court by Evans, J.</w:t>
      </w:r>
    </w:p>
    <w:p w14:paraId="36C99847" w14:textId="77777777" w:rsidR="00190BF7" w:rsidRPr="00435A0E" w:rsidRDefault="00190BF7" w:rsidP="00190BF7">
      <w:pPr>
        <w:tabs>
          <w:tab w:val="left" w:pos="1440"/>
          <w:tab w:val="left" w:pos="4680"/>
          <w:tab w:val="center" w:pos="7200"/>
        </w:tabs>
        <w:jc w:val="center"/>
      </w:pPr>
    </w:p>
    <w:p w14:paraId="25A2C1AE" w14:textId="5C56EF56" w:rsidR="008B5474" w:rsidRPr="00435A0E" w:rsidRDefault="00CB454B" w:rsidP="00190BF7">
      <w:pPr>
        <w:tabs>
          <w:tab w:val="left" w:pos="1440"/>
        </w:tabs>
        <w:ind w:firstLine="720"/>
      </w:pPr>
      <w:r w:rsidRPr="00435A0E">
        <w:t>The California Medical Association, a professional association representing California physicians, has sued a health insurance company</w:t>
      </w:r>
      <w:r w:rsidR="00017DDB" w:rsidRPr="00435A0E">
        <w:t>, alleging the company</w:t>
      </w:r>
      <w:r w:rsidR="00664C0F" w:rsidRPr="00435A0E">
        <w:t xml:space="preserve"> violated the</w:t>
      </w:r>
      <w:r w:rsidRPr="00435A0E">
        <w:t xml:space="preserve"> </w:t>
      </w:r>
      <w:r w:rsidR="00664C0F" w:rsidRPr="00435A0E">
        <w:t>unfair competition law (UCL</w:t>
      </w:r>
      <w:r w:rsidR="00AE50D7" w:rsidRPr="00435A0E">
        <w:t>; Bus. &amp; Prof. Code, § 17200 et seq.</w:t>
      </w:r>
      <w:r w:rsidR="00664C0F" w:rsidRPr="00435A0E">
        <w:t xml:space="preserve">) </w:t>
      </w:r>
      <w:r w:rsidR="00E04622" w:rsidRPr="00435A0E">
        <w:t>by engaging in</w:t>
      </w:r>
      <w:r w:rsidRPr="00435A0E">
        <w:t xml:space="preserve"> unlawful business practices.  </w:t>
      </w:r>
      <w:r w:rsidR="00D0311A" w:rsidRPr="00435A0E">
        <w:t>The</w:t>
      </w:r>
      <w:r w:rsidR="00E04622" w:rsidRPr="00435A0E">
        <w:t xml:space="preserve"> UCL</w:t>
      </w:r>
      <w:r w:rsidR="00D0311A" w:rsidRPr="00435A0E">
        <w:t xml:space="preserve"> </w:t>
      </w:r>
      <w:r w:rsidR="00D0222A" w:rsidRPr="00435A0E">
        <w:t>confers standing on</w:t>
      </w:r>
      <w:r w:rsidR="001E037B" w:rsidRPr="00435A0E">
        <w:t xml:space="preserve"> </w:t>
      </w:r>
      <w:r w:rsidR="00B535CF" w:rsidRPr="00435A0E">
        <w:t xml:space="preserve">a </w:t>
      </w:r>
      <w:r w:rsidR="00D0311A" w:rsidRPr="00435A0E">
        <w:t xml:space="preserve">private plaintiff to </w:t>
      </w:r>
      <w:r w:rsidR="00B535CF" w:rsidRPr="00435A0E">
        <w:t xml:space="preserve">seek </w:t>
      </w:r>
      <w:r w:rsidR="00862041" w:rsidRPr="00435A0E">
        <w:t>relief</w:t>
      </w:r>
      <w:r w:rsidR="002C78BF" w:rsidRPr="00435A0E">
        <w:t xml:space="preserve"> under th</w:t>
      </w:r>
      <w:r w:rsidR="00D0222A" w:rsidRPr="00435A0E">
        <w:t>e</w:t>
      </w:r>
      <w:r w:rsidR="002C78BF" w:rsidRPr="00435A0E">
        <w:t xml:space="preserve"> statute</w:t>
      </w:r>
      <w:r w:rsidR="00862041" w:rsidRPr="00435A0E">
        <w:t xml:space="preserve"> </w:t>
      </w:r>
      <w:r w:rsidR="00F17038" w:rsidRPr="00435A0E">
        <w:t>only</w:t>
      </w:r>
      <w:r w:rsidR="00D0311A" w:rsidRPr="00435A0E">
        <w:t xml:space="preserve"> if </w:t>
      </w:r>
      <w:r w:rsidR="00B535CF" w:rsidRPr="00435A0E">
        <w:t xml:space="preserve">that </w:t>
      </w:r>
      <w:r w:rsidR="005B2A38" w:rsidRPr="00435A0E">
        <w:t>plaintiff</w:t>
      </w:r>
      <w:r w:rsidR="00B535CF" w:rsidRPr="00435A0E">
        <w:t xml:space="preserve"> </w:t>
      </w:r>
      <w:r w:rsidR="005348D8" w:rsidRPr="00435A0E">
        <w:t xml:space="preserve">has </w:t>
      </w:r>
      <w:r w:rsidR="00BD01C8" w:rsidRPr="00435A0E">
        <w:t>“</w:t>
      </w:r>
      <w:r w:rsidR="005348D8" w:rsidRPr="00435A0E">
        <w:t>suffered injury in fact</w:t>
      </w:r>
      <w:r w:rsidR="00BD01C8" w:rsidRPr="00435A0E">
        <w:t>”</w:t>
      </w:r>
      <w:r w:rsidR="005348D8" w:rsidRPr="00435A0E">
        <w:t xml:space="preserve"> and </w:t>
      </w:r>
      <w:r w:rsidR="00BD01C8" w:rsidRPr="00435A0E">
        <w:t>“</w:t>
      </w:r>
      <w:r w:rsidR="005348D8" w:rsidRPr="00435A0E">
        <w:t>lost money or property as a result of the unfair competition”</w:t>
      </w:r>
      <w:r w:rsidR="00F17038" w:rsidRPr="00435A0E">
        <w:t xml:space="preserve"> at issue.</w:t>
      </w:r>
      <w:r w:rsidR="005348D8" w:rsidRPr="00435A0E">
        <w:t xml:space="preserve">  (Bus. &amp; Prof. Code, § 17204</w:t>
      </w:r>
      <w:r w:rsidR="00C33AA2" w:rsidRPr="00435A0E">
        <w:t>.</w:t>
      </w:r>
      <w:r w:rsidR="005348D8" w:rsidRPr="00435A0E">
        <w:t>)</w:t>
      </w:r>
      <w:r w:rsidR="00502C62" w:rsidRPr="00435A0E">
        <w:rPr>
          <w:rStyle w:val="FootnoteReference"/>
        </w:rPr>
        <w:footnoteReference w:id="2"/>
      </w:r>
      <w:r w:rsidR="00127CCF" w:rsidRPr="00435A0E">
        <w:t xml:space="preserve">  </w:t>
      </w:r>
      <w:r w:rsidR="00FB2214" w:rsidRPr="00435A0E">
        <w:t xml:space="preserve">This case </w:t>
      </w:r>
      <w:r w:rsidR="002035CA" w:rsidRPr="00435A0E">
        <w:t>presents</w:t>
      </w:r>
      <w:r w:rsidR="00797F21" w:rsidRPr="00435A0E">
        <w:t xml:space="preserve"> the question</w:t>
      </w:r>
      <w:r w:rsidR="00740640" w:rsidRPr="00435A0E">
        <w:t xml:space="preserve"> whether an organization </w:t>
      </w:r>
      <w:r w:rsidR="0036094F">
        <w:t>can</w:t>
      </w:r>
      <w:r w:rsidR="00222A44" w:rsidRPr="00435A0E">
        <w:t xml:space="preserve"> satisf</w:t>
      </w:r>
      <w:r w:rsidR="0036094F">
        <w:t>y</w:t>
      </w:r>
      <w:r w:rsidR="00127CCF" w:rsidRPr="00435A0E">
        <w:t xml:space="preserve"> the</w:t>
      </w:r>
      <w:r w:rsidRPr="00435A0E">
        <w:t>se</w:t>
      </w:r>
      <w:r w:rsidR="00127CCF" w:rsidRPr="00435A0E">
        <w:t xml:space="preserve"> </w:t>
      </w:r>
      <w:r w:rsidR="00F64070" w:rsidRPr="00435A0E">
        <w:t>two</w:t>
      </w:r>
      <w:r w:rsidR="00544333" w:rsidRPr="00435A0E">
        <w:t xml:space="preserve"> </w:t>
      </w:r>
      <w:r w:rsidR="00C91AC2" w:rsidRPr="00435A0E">
        <w:t xml:space="preserve">related </w:t>
      </w:r>
      <w:r w:rsidR="00C33AA2" w:rsidRPr="00435A0E">
        <w:t xml:space="preserve">standing </w:t>
      </w:r>
      <w:r w:rsidR="00127CCF" w:rsidRPr="00435A0E">
        <w:t>requirements</w:t>
      </w:r>
      <w:r w:rsidR="00544333" w:rsidRPr="00435A0E">
        <w:t xml:space="preserve"> </w:t>
      </w:r>
      <w:r w:rsidR="00FB2214" w:rsidRPr="00435A0E">
        <w:t>b</w:t>
      </w:r>
      <w:r w:rsidR="00AC1A19">
        <w:t>y</w:t>
      </w:r>
      <w:r w:rsidR="00FB2214" w:rsidRPr="00435A0E">
        <w:t xml:space="preserve"> </w:t>
      </w:r>
      <w:r w:rsidR="00347E58" w:rsidRPr="00435A0E">
        <w:t>diver</w:t>
      </w:r>
      <w:r w:rsidR="00A11574">
        <w:t>ting</w:t>
      </w:r>
      <w:r w:rsidR="00C37BBD" w:rsidRPr="00435A0E">
        <w:t xml:space="preserve"> </w:t>
      </w:r>
      <w:r w:rsidR="001C4A37" w:rsidRPr="00435A0E">
        <w:t xml:space="preserve">its </w:t>
      </w:r>
      <w:r w:rsidR="004F5588" w:rsidRPr="00435A0E">
        <w:t xml:space="preserve">own </w:t>
      </w:r>
      <w:r w:rsidR="00364463" w:rsidRPr="00435A0E">
        <w:t>resources to combat allegedly unfair competition.</w:t>
      </w:r>
      <w:r w:rsidR="00726BA8" w:rsidRPr="00435A0E">
        <w:t xml:space="preserve">  </w:t>
      </w:r>
    </w:p>
    <w:p w14:paraId="0DD93E2A" w14:textId="5DBCB37A" w:rsidR="00B96044" w:rsidRPr="00435A0E" w:rsidRDefault="00726BA8" w:rsidP="00190BF7">
      <w:pPr>
        <w:tabs>
          <w:tab w:val="left" w:pos="1440"/>
        </w:tabs>
        <w:ind w:firstLine="720"/>
      </w:pPr>
      <w:r w:rsidRPr="00435A0E">
        <w:t>The issue arises</w:t>
      </w:r>
      <w:r w:rsidR="008B5474" w:rsidRPr="00435A0E">
        <w:t xml:space="preserve"> here</w:t>
      </w:r>
      <w:r w:rsidRPr="00435A0E">
        <w:t xml:space="preserve"> </w:t>
      </w:r>
      <w:r w:rsidR="00AE0BC3" w:rsidRPr="00435A0E">
        <w:t>because, under the UCL as it was amended in 2004 by Proposition 64</w:t>
      </w:r>
      <w:r w:rsidR="00E93037" w:rsidRPr="00435A0E">
        <w:t>,</w:t>
      </w:r>
      <w:r w:rsidR="0029519A" w:rsidRPr="00435A0E">
        <w:t xml:space="preserve"> </w:t>
      </w:r>
      <w:r w:rsidR="00996275" w:rsidRPr="00435A0E">
        <w:t>a membership organization such as the California Medical Association</w:t>
      </w:r>
      <w:r w:rsidR="006D480C" w:rsidRPr="00435A0E">
        <w:t xml:space="preserve"> may not </w:t>
      </w:r>
      <w:r w:rsidR="009A4EA6" w:rsidRPr="00435A0E">
        <w:t xml:space="preserve">base </w:t>
      </w:r>
      <w:r w:rsidR="00C016CA" w:rsidRPr="00435A0E">
        <w:t xml:space="preserve">standing to sue on injuries to its members, but only on those to </w:t>
      </w:r>
      <w:r w:rsidR="008D71B3" w:rsidRPr="00435A0E">
        <w:t xml:space="preserve">the organization </w:t>
      </w:r>
      <w:r w:rsidR="00C016CA" w:rsidRPr="00435A0E">
        <w:t xml:space="preserve">itself. </w:t>
      </w:r>
      <w:r w:rsidR="006D480C" w:rsidRPr="00435A0E">
        <w:t xml:space="preserve"> </w:t>
      </w:r>
      <w:r w:rsidR="007250CA" w:rsidRPr="00435A0E">
        <w:t>(</w:t>
      </w:r>
      <w:r w:rsidR="007250CA" w:rsidRPr="00435A0E">
        <w:rPr>
          <w:i/>
          <w:iCs/>
        </w:rPr>
        <w:t>Amalgamated Transit Union, Local 1756, AFL</w:t>
      </w:r>
      <w:r w:rsidR="002735B6" w:rsidRPr="00435A0E">
        <w:rPr>
          <w:i/>
          <w:iCs/>
        </w:rPr>
        <w:noBreakHyphen/>
      </w:r>
      <w:r w:rsidR="007250CA" w:rsidRPr="00435A0E">
        <w:rPr>
          <w:i/>
          <w:iCs/>
        </w:rPr>
        <w:t>CIO v. Superior Court</w:t>
      </w:r>
      <w:r w:rsidR="007250CA" w:rsidRPr="00435A0E">
        <w:t xml:space="preserve"> (2009) 46 Cal.4th 993, 1003</w:t>
      </w:r>
      <w:r w:rsidR="00AE50D7" w:rsidRPr="00435A0E">
        <w:t>–</w:t>
      </w:r>
      <w:r w:rsidR="007250CA" w:rsidRPr="00435A0E">
        <w:t>1004</w:t>
      </w:r>
      <w:r w:rsidR="005972D1" w:rsidRPr="00435A0E">
        <w:t xml:space="preserve"> (</w:t>
      </w:r>
      <w:r w:rsidR="005972D1" w:rsidRPr="00435A0E">
        <w:rPr>
          <w:i/>
          <w:iCs/>
        </w:rPr>
        <w:t>Amalgamated Transit</w:t>
      </w:r>
      <w:r w:rsidR="005972D1" w:rsidRPr="00435A0E">
        <w:t>)</w:t>
      </w:r>
      <w:r w:rsidR="007250CA" w:rsidRPr="00435A0E">
        <w:t>.)</w:t>
      </w:r>
      <w:r w:rsidR="00CA57D0" w:rsidRPr="00435A0E">
        <w:t xml:space="preserve">  </w:t>
      </w:r>
      <w:r w:rsidR="00E1475D" w:rsidRPr="00435A0E">
        <w:t>And</w:t>
      </w:r>
      <w:r w:rsidR="00642D9E" w:rsidRPr="00435A0E">
        <w:t>,</w:t>
      </w:r>
      <w:r w:rsidR="00E1475D" w:rsidRPr="00435A0E">
        <w:t xml:space="preserve"> while a</w:t>
      </w:r>
      <w:r w:rsidR="00A3031C" w:rsidRPr="00435A0E">
        <w:t xml:space="preserve">n organization </w:t>
      </w:r>
      <w:r w:rsidR="00CB7EAD" w:rsidRPr="00435A0E">
        <w:t>would clearly</w:t>
      </w:r>
      <w:r w:rsidR="00A3031C" w:rsidRPr="00435A0E">
        <w:t xml:space="preserve"> have standing under the UCL</w:t>
      </w:r>
      <w:r w:rsidR="008E37DB" w:rsidRPr="00435A0E">
        <w:t xml:space="preserve"> if it were, for example, fraudulently </w:t>
      </w:r>
      <w:r w:rsidR="00A51E2D" w:rsidRPr="00435A0E">
        <w:t>i</w:t>
      </w:r>
      <w:r w:rsidR="008E37DB" w:rsidRPr="00435A0E">
        <w:t>nduced</w:t>
      </w:r>
      <w:r w:rsidR="00A51E2D" w:rsidRPr="00435A0E">
        <w:t xml:space="preserve"> </w:t>
      </w:r>
      <w:r w:rsidR="00A3031C" w:rsidRPr="00435A0E">
        <w:t xml:space="preserve">to buy a product from a deceptive </w:t>
      </w:r>
      <w:r w:rsidR="00A3031C" w:rsidRPr="00435A0E">
        <w:lastRenderedPageBreak/>
        <w:t>seller</w:t>
      </w:r>
      <w:r w:rsidR="0048399D" w:rsidRPr="00435A0E">
        <w:t xml:space="preserve"> (see </w:t>
      </w:r>
      <w:r w:rsidR="00607766" w:rsidRPr="00435A0E">
        <w:t>§ 17201 [broadly defining “person[s]” who can sue under the UCL</w:t>
      </w:r>
      <w:r w:rsidR="00442373" w:rsidRPr="00435A0E">
        <w:t>])</w:t>
      </w:r>
      <w:r w:rsidR="00A3031C" w:rsidRPr="00435A0E">
        <w:t xml:space="preserve">, </w:t>
      </w:r>
      <w:r w:rsidR="00442373" w:rsidRPr="00435A0E">
        <w:t xml:space="preserve">this case presents us with a </w:t>
      </w:r>
      <w:r w:rsidR="00262EC9" w:rsidRPr="00435A0E">
        <w:t>more difficult</w:t>
      </w:r>
      <w:r w:rsidR="00442373" w:rsidRPr="00435A0E">
        <w:t xml:space="preserve"> question: </w:t>
      </w:r>
      <w:r w:rsidR="00B03906" w:rsidRPr="00435A0E">
        <w:t xml:space="preserve"> </w:t>
      </w:r>
      <w:r w:rsidR="00B44C66" w:rsidRPr="00435A0E">
        <w:t>wheth</w:t>
      </w:r>
      <w:r w:rsidR="008818B9" w:rsidRPr="00435A0E">
        <w:t xml:space="preserve">er </w:t>
      </w:r>
      <w:r w:rsidR="002D68F5" w:rsidRPr="00435A0E">
        <w:t xml:space="preserve">resources </w:t>
      </w:r>
      <w:r w:rsidR="00EF3867" w:rsidRPr="00435A0E">
        <w:t xml:space="preserve">that </w:t>
      </w:r>
      <w:r w:rsidR="00844F27" w:rsidRPr="00435A0E">
        <w:t>an organization has spent to counter a</w:t>
      </w:r>
      <w:r w:rsidR="008D163D" w:rsidRPr="00435A0E">
        <w:t xml:space="preserve">n unfair or unlawful practice constitute </w:t>
      </w:r>
      <w:r w:rsidR="00EF3867" w:rsidRPr="00435A0E">
        <w:t>“</w:t>
      </w:r>
      <w:r w:rsidR="008D163D" w:rsidRPr="00435A0E">
        <w:t>money or property” that h</w:t>
      </w:r>
      <w:r w:rsidR="00EF3867" w:rsidRPr="00435A0E">
        <w:t xml:space="preserve">as been </w:t>
      </w:r>
      <w:r w:rsidR="00E91D06" w:rsidRPr="00435A0E">
        <w:t>“los</w:t>
      </w:r>
      <w:r w:rsidR="002D68F5" w:rsidRPr="00435A0E">
        <w:t>t</w:t>
      </w:r>
      <w:r w:rsidR="00871E42" w:rsidRPr="00435A0E">
        <w:t xml:space="preserve"> . . . as a result of</w:t>
      </w:r>
      <w:r w:rsidR="00142269" w:rsidRPr="00435A0E">
        <w:t xml:space="preserve"> </w:t>
      </w:r>
      <w:r w:rsidR="00037FE8" w:rsidRPr="00435A0E">
        <w:t>the unfair competition</w:t>
      </w:r>
      <w:r w:rsidR="008818B9" w:rsidRPr="00435A0E">
        <w:t>.</w:t>
      </w:r>
      <w:r w:rsidR="00037FE8" w:rsidRPr="00435A0E">
        <w:t>”  (§ 17204.)</w:t>
      </w:r>
      <w:r w:rsidR="00B03906" w:rsidRPr="00435A0E">
        <w:t xml:space="preserve">  </w:t>
      </w:r>
    </w:p>
    <w:p w14:paraId="3BE95D3E" w14:textId="7EA29754" w:rsidR="00A9493E" w:rsidRPr="00435A0E" w:rsidRDefault="00C1242D" w:rsidP="00190BF7">
      <w:pPr>
        <w:tabs>
          <w:tab w:val="left" w:pos="1440"/>
        </w:tabs>
        <w:ind w:firstLine="720"/>
      </w:pPr>
      <w:r w:rsidRPr="00435A0E">
        <w:t>W</w:t>
      </w:r>
      <w:r w:rsidR="00C23766" w:rsidRPr="00435A0E">
        <w:t xml:space="preserve">e hold that </w:t>
      </w:r>
      <w:r w:rsidR="00E6587E" w:rsidRPr="00435A0E">
        <w:t xml:space="preserve">the UCL’s standing requirements are satisfied </w:t>
      </w:r>
      <w:r w:rsidR="00C23766" w:rsidRPr="00435A0E">
        <w:t>when an organization</w:t>
      </w:r>
      <w:r w:rsidR="00833B5B" w:rsidRPr="00435A0E">
        <w:t xml:space="preserve">, in furtherance of </w:t>
      </w:r>
      <w:r w:rsidR="00F84340" w:rsidRPr="00435A0E">
        <w:t>a</w:t>
      </w:r>
      <w:r w:rsidR="00833B5B" w:rsidRPr="00435A0E">
        <w:t xml:space="preserve"> </w:t>
      </w:r>
      <w:r w:rsidR="005E66EA" w:rsidRPr="00435A0E">
        <w:t>bona fide</w:t>
      </w:r>
      <w:r w:rsidR="008A3AE8" w:rsidRPr="00435A0E">
        <w:t>,</w:t>
      </w:r>
      <w:r w:rsidR="005E66EA" w:rsidRPr="00435A0E">
        <w:t xml:space="preserve"> </w:t>
      </w:r>
      <w:r w:rsidR="009F519C" w:rsidRPr="00435A0E">
        <w:t xml:space="preserve">preexisting </w:t>
      </w:r>
      <w:r w:rsidR="00833B5B" w:rsidRPr="00435A0E">
        <w:t>mission</w:t>
      </w:r>
      <w:r w:rsidR="00C4411C" w:rsidRPr="00435A0E">
        <w:t>,</w:t>
      </w:r>
      <w:r w:rsidR="00C23766" w:rsidRPr="00435A0E">
        <w:t xml:space="preserve"> incurs costs to respond to </w:t>
      </w:r>
      <w:r w:rsidR="001C170E" w:rsidRPr="00435A0E">
        <w:t>perceived</w:t>
      </w:r>
      <w:r w:rsidR="00C23766" w:rsidRPr="00435A0E">
        <w:t xml:space="preserve"> </w:t>
      </w:r>
      <w:r w:rsidR="001C6048" w:rsidRPr="00435A0E">
        <w:t>unfair competition</w:t>
      </w:r>
      <w:r w:rsidR="004458D4" w:rsidRPr="00435A0E">
        <w:t xml:space="preserve"> that threatens that mission</w:t>
      </w:r>
      <w:r w:rsidR="00C4411C" w:rsidRPr="00435A0E">
        <w:t xml:space="preserve">, </w:t>
      </w:r>
      <w:r w:rsidR="00D518D8" w:rsidRPr="00435A0E">
        <w:t xml:space="preserve">so long as those expenditures are </w:t>
      </w:r>
      <w:r w:rsidR="00C4411C" w:rsidRPr="00435A0E">
        <w:t xml:space="preserve">independent of </w:t>
      </w:r>
      <w:r w:rsidR="00B964CA" w:rsidRPr="00435A0E">
        <w:t xml:space="preserve">costs incurred </w:t>
      </w:r>
      <w:r w:rsidR="00E6587E" w:rsidRPr="00435A0E">
        <w:t xml:space="preserve">in </w:t>
      </w:r>
      <w:r w:rsidR="00C4411C" w:rsidRPr="00435A0E">
        <w:t>UCL litigation or preparations for such litigation</w:t>
      </w:r>
      <w:r w:rsidR="001C6048" w:rsidRPr="00435A0E">
        <w:t xml:space="preserve">.  </w:t>
      </w:r>
      <w:r w:rsidR="00642D9E" w:rsidRPr="00435A0E">
        <w:t xml:space="preserve">When </w:t>
      </w:r>
      <w:r w:rsidR="001C6048" w:rsidRPr="00435A0E">
        <w:t xml:space="preserve">an organization </w:t>
      </w:r>
      <w:r w:rsidR="00642D9E" w:rsidRPr="00435A0E">
        <w:t xml:space="preserve">has incurred such expenditures, it </w:t>
      </w:r>
      <w:r w:rsidR="000E7085" w:rsidRPr="00435A0E">
        <w:t>has “suffered injury in fact” and “lost money or property as a result of the unfair competition</w:t>
      </w:r>
      <w:r w:rsidR="001C6048" w:rsidRPr="00435A0E">
        <w:t>.</w:t>
      </w:r>
      <w:r w:rsidR="000E7085" w:rsidRPr="00435A0E">
        <w:t>”</w:t>
      </w:r>
      <w:r w:rsidR="001C6048" w:rsidRPr="00435A0E">
        <w:t xml:space="preserve">  </w:t>
      </w:r>
      <w:r w:rsidR="00AD06F8" w:rsidRPr="00435A0E">
        <w:t xml:space="preserve">(§ 17204.)  </w:t>
      </w:r>
      <w:r w:rsidR="000B7B32" w:rsidRPr="00435A0E">
        <w:t xml:space="preserve">In this case, </w:t>
      </w:r>
      <w:r w:rsidR="000B643D" w:rsidRPr="00435A0E">
        <w:t xml:space="preserve">which arises on appeal from </w:t>
      </w:r>
      <w:r w:rsidR="008950C5" w:rsidRPr="00435A0E">
        <w:t xml:space="preserve">summary judgment </w:t>
      </w:r>
      <w:r w:rsidR="000B643D" w:rsidRPr="00435A0E">
        <w:t xml:space="preserve">for the defense, the </w:t>
      </w:r>
      <w:r w:rsidR="008950C5" w:rsidRPr="00435A0E">
        <w:t xml:space="preserve">record discloses a triable issue of fact </w:t>
      </w:r>
      <w:r w:rsidR="000C21A3" w:rsidRPr="00435A0E">
        <w:t>as to whether</w:t>
      </w:r>
      <w:r w:rsidR="001B46C5" w:rsidRPr="00435A0E">
        <w:t xml:space="preserve"> the plaintiff association </w:t>
      </w:r>
      <w:r w:rsidR="000C21A3" w:rsidRPr="00435A0E">
        <w:t>expend</w:t>
      </w:r>
      <w:r w:rsidR="00642D9E" w:rsidRPr="00435A0E">
        <w:t>ed</w:t>
      </w:r>
      <w:r w:rsidR="000C21A3" w:rsidRPr="00435A0E">
        <w:t xml:space="preserve"> resources </w:t>
      </w:r>
      <w:r w:rsidR="00560EC9" w:rsidRPr="00435A0E">
        <w:t xml:space="preserve">in response to </w:t>
      </w:r>
      <w:r w:rsidR="00171112" w:rsidRPr="00435A0E">
        <w:t xml:space="preserve">the perceived threat the health insurer’s allegedly unlawful practices posed to </w:t>
      </w:r>
      <w:r w:rsidR="00AE50D7" w:rsidRPr="00435A0E">
        <w:t xml:space="preserve">plaintiff’s </w:t>
      </w:r>
      <w:r w:rsidR="00171112" w:rsidRPr="00435A0E">
        <w:t>mission of supporting its member physicians and advancing public health</w:t>
      </w:r>
      <w:r w:rsidR="00A72DE9" w:rsidRPr="00435A0E">
        <w:t>.  T</w:t>
      </w:r>
      <w:r w:rsidR="00814D50" w:rsidRPr="00435A0E">
        <w:t xml:space="preserve">he </w:t>
      </w:r>
      <w:r w:rsidR="00A72DE9" w:rsidRPr="00435A0E">
        <w:t xml:space="preserve">evidence was also sufficient to </w:t>
      </w:r>
      <w:r w:rsidR="00DA41D4" w:rsidRPr="00435A0E">
        <w:t xml:space="preserve">create a triable issue of fact as </w:t>
      </w:r>
      <w:r w:rsidR="000757AD" w:rsidRPr="00435A0E">
        <w:t>to whether</w:t>
      </w:r>
      <w:r w:rsidR="00142051" w:rsidRPr="00435A0E">
        <w:t xml:space="preserve"> those expenses were </w:t>
      </w:r>
      <w:r w:rsidR="00EB609B" w:rsidRPr="00435A0E">
        <w:t xml:space="preserve">incurred </w:t>
      </w:r>
      <w:r w:rsidR="000C21A3" w:rsidRPr="00435A0E">
        <w:t>independent of this litigation</w:t>
      </w:r>
      <w:r w:rsidR="007E1BEB" w:rsidRPr="00435A0E">
        <w:t>.  F</w:t>
      </w:r>
      <w:r w:rsidR="007F56DB" w:rsidRPr="00435A0E">
        <w:t>or th</w:t>
      </w:r>
      <w:r w:rsidR="000E54CF" w:rsidRPr="00435A0E">
        <w:t>ese</w:t>
      </w:r>
      <w:r w:rsidR="007F56DB" w:rsidRPr="00435A0E">
        <w:t xml:space="preserve"> reason</w:t>
      </w:r>
      <w:r w:rsidR="000E54CF" w:rsidRPr="00435A0E">
        <w:t>s</w:t>
      </w:r>
      <w:r w:rsidR="007F56DB" w:rsidRPr="00435A0E">
        <w:t xml:space="preserve">, </w:t>
      </w:r>
      <w:r w:rsidR="00C3602A" w:rsidRPr="00435A0E">
        <w:t xml:space="preserve">the trial court erred in granting summary judgment for the </w:t>
      </w:r>
      <w:r w:rsidR="002735B6" w:rsidRPr="00435A0E">
        <w:t>defense</w:t>
      </w:r>
      <w:r w:rsidR="00C3602A" w:rsidRPr="00435A0E">
        <w:t xml:space="preserve">.  We therefore reverse the judgment of the Court of Appeal, which </w:t>
      </w:r>
      <w:r w:rsidR="00F07495" w:rsidRPr="00435A0E">
        <w:t>affirmed the grant of summary judgment.</w:t>
      </w:r>
    </w:p>
    <w:p w14:paraId="3E519B75" w14:textId="4AD94975" w:rsidR="00733089" w:rsidRPr="00435A0E" w:rsidRDefault="00733089" w:rsidP="00190BF7">
      <w:pPr>
        <w:pStyle w:val="Heading1"/>
      </w:pPr>
      <w:bookmarkStart w:id="2" w:name="_Toc405367379"/>
      <w:bookmarkStart w:id="3" w:name="_Toc430379677"/>
      <w:bookmarkStart w:id="4" w:name="_Toc491684312"/>
      <w:bookmarkStart w:id="5" w:name="_Toc487629674"/>
      <w:r w:rsidRPr="00435A0E">
        <w:t xml:space="preserve">I.  </w:t>
      </w:r>
      <w:r w:rsidR="001D2FA5" w:rsidRPr="00435A0E">
        <w:t xml:space="preserve">Factual and Procedural </w:t>
      </w:r>
      <w:r w:rsidR="00CF45DC" w:rsidRPr="00435A0E">
        <w:t>Background</w:t>
      </w:r>
    </w:p>
    <w:p w14:paraId="0DE6F511" w14:textId="2B7E5375" w:rsidR="00D5279E" w:rsidRPr="00435A0E" w:rsidRDefault="00AD5A26" w:rsidP="00190BF7">
      <w:pPr>
        <w:pStyle w:val="Text"/>
        <w:spacing w:line="400" w:lineRule="exact"/>
      </w:pPr>
      <w:bookmarkStart w:id="6" w:name="_Toc405367380"/>
      <w:bookmarkStart w:id="7" w:name="_Toc430379678"/>
      <w:bookmarkEnd w:id="2"/>
      <w:bookmarkEnd w:id="3"/>
      <w:bookmarkEnd w:id="4"/>
      <w:bookmarkEnd w:id="5"/>
      <w:r w:rsidRPr="00435A0E">
        <w:t xml:space="preserve">Defendant </w:t>
      </w:r>
      <w:r w:rsidR="00934E2B" w:rsidRPr="00435A0E">
        <w:t xml:space="preserve">Aetna Health of California Inc. </w:t>
      </w:r>
      <w:r w:rsidR="00467C38" w:rsidRPr="00435A0E">
        <w:t xml:space="preserve">(Aetna) </w:t>
      </w:r>
      <w:r w:rsidR="00934E2B" w:rsidRPr="00435A0E">
        <w:t>provides health insurance</w:t>
      </w:r>
      <w:r w:rsidR="00C062FB" w:rsidRPr="00435A0E">
        <w:t xml:space="preserve">.  </w:t>
      </w:r>
      <w:r w:rsidR="008D0371" w:rsidRPr="00435A0E">
        <w:t>For</w:t>
      </w:r>
      <w:r w:rsidR="000868C3" w:rsidRPr="00435A0E">
        <w:t xml:space="preserve"> its </w:t>
      </w:r>
      <w:r w:rsidR="00A41D13" w:rsidRPr="00435A0E">
        <w:t>p</w:t>
      </w:r>
      <w:r w:rsidR="000868C3" w:rsidRPr="00435A0E">
        <w:t xml:space="preserve">referred </w:t>
      </w:r>
      <w:r w:rsidR="00A41D13" w:rsidRPr="00435A0E">
        <w:t>p</w:t>
      </w:r>
      <w:r w:rsidR="000868C3" w:rsidRPr="00435A0E">
        <w:t xml:space="preserve">rovider </w:t>
      </w:r>
      <w:r w:rsidR="00A41D13" w:rsidRPr="00435A0E">
        <w:t>plans, Aetna</w:t>
      </w:r>
      <w:r w:rsidR="009035DC" w:rsidRPr="00435A0E">
        <w:t xml:space="preserve"> contracts with a network of physicians </w:t>
      </w:r>
      <w:r w:rsidR="00745F5E" w:rsidRPr="00435A0E">
        <w:t xml:space="preserve">and other medical </w:t>
      </w:r>
      <w:r w:rsidR="00745F5E" w:rsidRPr="00435A0E">
        <w:lastRenderedPageBreak/>
        <w:t xml:space="preserve">providers </w:t>
      </w:r>
      <w:r w:rsidR="009035DC" w:rsidRPr="00435A0E">
        <w:t>who offer care to insured individuals</w:t>
      </w:r>
      <w:r w:rsidR="005D1915" w:rsidRPr="00435A0E">
        <w:t xml:space="preserve"> at an agreed rate</w:t>
      </w:r>
      <w:r w:rsidR="000F12EC" w:rsidRPr="00435A0E">
        <w:t>.</w:t>
      </w:r>
      <w:r w:rsidR="001D54CA" w:rsidRPr="00435A0E">
        <w:t xml:space="preserve"> </w:t>
      </w:r>
      <w:r w:rsidR="000F12EC" w:rsidRPr="00435A0E">
        <w:t xml:space="preserve"> M</w:t>
      </w:r>
      <w:r w:rsidR="00745F5E" w:rsidRPr="00435A0E">
        <w:t xml:space="preserve">ember patients </w:t>
      </w:r>
      <w:r w:rsidR="00D3599E" w:rsidRPr="00435A0E">
        <w:t>can</w:t>
      </w:r>
      <w:r w:rsidR="00745F5E" w:rsidRPr="00435A0E">
        <w:t xml:space="preserve"> also see providers outside the network on </w:t>
      </w:r>
      <w:r w:rsidR="00452582" w:rsidRPr="00435A0E">
        <w:t>referral from</w:t>
      </w:r>
      <w:r w:rsidR="00745F5E" w:rsidRPr="00435A0E">
        <w:t xml:space="preserve"> </w:t>
      </w:r>
      <w:r w:rsidR="001D54CA" w:rsidRPr="00435A0E">
        <w:t>in</w:t>
      </w:r>
      <w:r w:rsidR="00452582" w:rsidRPr="00435A0E">
        <w:noBreakHyphen/>
      </w:r>
      <w:r w:rsidR="001D54CA" w:rsidRPr="00435A0E">
        <w:t>network physicians</w:t>
      </w:r>
      <w:r w:rsidR="00452582" w:rsidRPr="00435A0E">
        <w:t xml:space="preserve">, but </w:t>
      </w:r>
      <w:r w:rsidR="007D18BE" w:rsidRPr="00435A0E">
        <w:t xml:space="preserve">may </w:t>
      </w:r>
      <w:r w:rsidR="00785B5D" w:rsidRPr="00435A0E">
        <w:t>bear a greater share of the cost</w:t>
      </w:r>
      <w:r w:rsidR="009035DC" w:rsidRPr="00435A0E">
        <w:t xml:space="preserve">.  </w:t>
      </w:r>
      <w:r w:rsidR="007220E7" w:rsidRPr="00435A0E">
        <w:t xml:space="preserve">Effective in 2009, </w:t>
      </w:r>
      <w:r w:rsidR="007F7D0A" w:rsidRPr="00435A0E">
        <w:t>Aetna</w:t>
      </w:r>
      <w:r w:rsidR="00E36579" w:rsidRPr="00435A0E">
        <w:t xml:space="preserve"> adopted a </w:t>
      </w:r>
      <w:r w:rsidR="007220E7" w:rsidRPr="00435A0E">
        <w:t>“</w:t>
      </w:r>
      <w:r w:rsidR="0023401D" w:rsidRPr="00435A0E">
        <w:t>N</w:t>
      </w:r>
      <w:r w:rsidR="007220E7" w:rsidRPr="00435A0E">
        <w:t>etwork Intervention Policy</w:t>
      </w:r>
      <w:r w:rsidR="0023401D" w:rsidRPr="00435A0E">
        <w:t>”</w:t>
      </w:r>
      <w:r w:rsidR="00E36579" w:rsidRPr="00435A0E">
        <w:t xml:space="preserve"> </w:t>
      </w:r>
      <w:r w:rsidR="00A035E5" w:rsidRPr="00435A0E">
        <w:t>designed, according to its terms</w:t>
      </w:r>
      <w:r w:rsidR="000514FF" w:rsidRPr="00435A0E">
        <w:t>, to</w:t>
      </w:r>
      <w:r w:rsidR="00E36579" w:rsidRPr="00435A0E">
        <w:t xml:space="preserve"> </w:t>
      </w:r>
      <w:r w:rsidR="00774EC9" w:rsidRPr="00435A0E">
        <w:rPr>
          <w:szCs w:val="26"/>
        </w:rPr>
        <w:t>“reduce the number of non par [</w:t>
      </w:r>
      <w:r w:rsidR="00A035E5" w:rsidRPr="00435A0E">
        <w:rPr>
          <w:szCs w:val="26"/>
        </w:rPr>
        <w:t xml:space="preserve">i.e., </w:t>
      </w:r>
      <w:r w:rsidR="00D25D29" w:rsidRPr="00435A0E">
        <w:rPr>
          <w:szCs w:val="26"/>
        </w:rPr>
        <w:t>nonpart</w:t>
      </w:r>
      <w:r w:rsidR="00617672" w:rsidRPr="00435A0E">
        <w:rPr>
          <w:szCs w:val="26"/>
        </w:rPr>
        <w:t xml:space="preserve">icipating, or </w:t>
      </w:r>
      <w:r w:rsidR="00774EC9" w:rsidRPr="00435A0E">
        <w:rPr>
          <w:szCs w:val="26"/>
        </w:rPr>
        <w:t>out</w:t>
      </w:r>
      <w:r w:rsidR="00A06D47">
        <w:rPr>
          <w:szCs w:val="26"/>
        </w:rPr>
        <w:noBreakHyphen/>
      </w:r>
      <w:r w:rsidR="00774EC9" w:rsidRPr="00435A0E">
        <w:rPr>
          <w:szCs w:val="26"/>
        </w:rPr>
        <w:t>of-</w:t>
      </w:r>
      <w:r w:rsidR="00A035E5" w:rsidRPr="00435A0E">
        <w:rPr>
          <w:szCs w:val="26"/>
        </w:rPr>
        <w:t>network</w:t>
      </w:r>
      <w:r w:rsidR="00774EC9" w:rsidRPr="00435A0E">
        <w:rPr>
          <w:szCs w:val="26"/>
        </w:rPr>
        <w:t>] referrals by par providers and if necessary take further action against</w:t>
      </w:r>
      <w:r w:rsidR="00A035E5" w:rsidRPr="00435A0E">
        <w:rPr>
          <w:szCs w:val="26"/>
        </w:rPr>
        <w:t xml:space="preserve"> </w:t>
      </w:r>
      <w:r w:rsidR="00774EC9" w:rsidRPr="00435A0E">
        <w:rPr>
          <w:szCs w:val="26"/>
        </w:rPr>
        <w:t>participating providers who refuse, after warning and education to comply with the terms of their contract</w:t>
      </w:r>
      <w:r w:rsidR="00B2518C" w:rsidRPr="00435A0E">
        <w:rPr>
          <w:szCs w:val="26"/>
        </w:rPr>
        <w:t>.</w:t>
      </w:r>
      <w:r w:rsidR="00A035E5" w:rsidRPr="00435A0E">
        <w:rPr>
          <w:szCs w:val="26"/>
        </w:rPr>
        <w:t>”</w:t>
      </w:r>
      <w:r w:rsidR="0086347C" w:rsidRPr="00435A0E">
        <w:t xml:space="preserve">  </w:t>
      </w:r>
      <w:r w:rsidR="005E3B00" w:rsidRPr="00435A0E">
        <w:t>(</w:t>
      </w:r>
      <w:r w:rsidR="006901A1" w:rsidRPr="00435A0E">
        <w:t xml:space="preserve">See </w:t>
      </w:r>
      <w:r w:rsidR="005E3B00" w:rsidRPr="00435A0E">
        <w:rPr>
          <w:i/>
          <w:iCs/>
        </w:rPr>
        <w:t>California Medical Assn</w:t>
      </w:r>
      <w:r w:rsidR="006901A1" w:rsidRPr="00435A0E">
        <w:rPr>
          <w:i/>
          <w:iCs/>
        </w:rPr>
        <w:t>.</w:t>
      </w:r>
      <w:r w:rsidR="005E3B00" w:rsidRPr="00435A0E">
        <w:rPr>
          <w:i/>
          <w:iCs/>
        </w:rPr>
        <w:t xml:space="preserve"> v. Aetna Health of Cal</w:t>
      </w:r>
      <w:r w:rsidR="00283B89" w:rsidRPr="00435A0E">
        <w:rPr>
          <w:i/>
          <w:iCs/>
        </w:rPr>
        <w:t>ifornia</w:t>
      </w:r>
      <w:r w:rsidR="006901A1" w:rsidRPr="00435A0E">
        <w:rPr>
          <w:i/>
          <w:iCs/>
        </w:rPr>
        <w:t xml:space="preserve"> Inc.</w:t>
      </w:r>
      <w:r w:rsidR="005E3B00" w:rsidRPr="00435A0E">
        <w:t xml:space="preserve"> (2021) 63 Cal.App.</w:t>
      </w:r>
      <w:r w:rsidR="008C3363" w:rsidRPr="00435A0E">
        <w:t>5th</w:t>
      </w:r>
      <w:r w:rsidR="0085306A" w:rsidRPr="00435A0E">
        <w:t> </w:t>
      </w:r>
      <w:r w:rsidR="005E3B00" w:rsidRPr="00435A0E">
        <w:t>660, 662</w:t>
      </w:r>
      <w:r w:rsidR="006901A1" w:rsidRPr="00435A0E">
        <w:t>–</w:t>
      </w:r>
      <w:r w:rsidR="005E3B00" w:rsidRPr="00435A0E">
        <w:t>66</w:t>
      </w:r>
      <w:r w:rsidR="008003AC" w:rsidRPr="00435A0E">
        <w:t>4</w:t>
      </w:r>
      <w:r w:rsidR="00874F2D" w:rsidRPr="00435A0E">
        <w:t xml:space="preserve"> (</w:t>
      </w:r>
      <w:r w:rsidR="00F668A1" w:rsidRPr="00435A0E">
        <w:rPr>
          <w:i/>
          <w:iCs/>
        </w:rPr>
        <w:t>California Medical</w:t>
      </w:r>
      <w:r w:rsidR="00CB7D66" w:rsidRPr="00435A0E">
        <w:t>)</w:t>
      </w:r>
      <w:r w:rsidR="005E3B00" w:rsidRPr="00435A0E">
        <w:t>.)</w:t>
      </w:r>
      <w:r w:rsidR="00483E6E" w:rsidRPr="00435A0E">
        <w:rPr>
          <w:rStyle w:val="FootnoteReference"/>
        </w:rPr>
        <w:footnoteReference w:id="3"/>
      </w:r>
      <w:r w:rsidR="005E3B00" w:rsidRPr="00435A0E">
        <w:t xml:space="preserve">  </w:t>
      </w:r>
    </w:p>
    <w:p w14:paraId="66DA6B74" w14:textId="796475D1" w:rsidR="00BE63E6" w:rsidRPr="00435A0E" w:rsidRDefault="00D5279E" w:rsidP="00190BF7">
      <w:pPr>
        <w:tabs>
          <w:tab w:val="left" w:pos="1440"/>
        </w:tabs>
        <w:ind w:firstLine="720"/>
      </w:pPr>
      <w:r w:rsidRPr="00435A0E">
        <w:t>The California Medical Association</w:t>
      </w:r>
      <w:r w:rsidR="00497D12" w:rsidRPr="00435A0E">
        <w:t xml:space="preserve"> </w:t>
      </w:r>
      <w:r w:rsidR="0055176E" w:rsidRPr="00435A0E">
        <w:t>(</w:t>
      </w:r>
      <w:r w:rsidR="00D0222A" w:rsidRPr="00435A0E">
        <w:t>CMA</w:t>
      </w:r>
      <w:r w:rsidR="0055176E" w:rsidRPr="00435A0E">
        <w:t xml:space="preserve">) </w:t>
      </w:r>
      <w:r w:rsidR="00497D12" w:rsidRPr="00435A0E">
        <w:t xml:space="preserve">is a nonprofit </w:t>
      </w:r>
      <w:r w:rsidR="00A611FB" w:rsidRPr="00435A0E">
        <w:t>professional organization</w:t>
      </w:r>
      <w:r w:rsidR="00041363" w:rsidRPr="00435A0E">
        <w:t>, founded in 1856,</w:t>
      </w:r>
      <w:r w:rsidR="00A611FB" w:rsidRPr="00435A0E">
        <w:t xml:space="preserve"> that advocates on behalf of California physicians.  </w:t>
      </w:r>
      <w:r w:rsidR="00B27F62" w:rsidRPr="00435A0E">
        <w:t xml:space="preserve">By </w:t>
      </w:r>
      <w:r w:rsidR="00016FFA" w:rsidRPr="00435A0E">
        <w:t>CMA</w:t>
      </w:r>
      <w:r w:rsidR="00B27F62" w:rsidRPr="00435A0E">
        <w:t xml:space="preserve">’s count, it has more than 37,000 physician members.  </w:t>
      </w:r>
      <w:r w:rsidR="00016FFA" w:rsidRPr="00435A0E">
        <w:t>CMA</w:t>
      </w:r>
      <w:r w:rsidR="00B122AF" w:rsidRPr="00435A0E">
        <w:t>’s</w:t>
      </w:r>
      <w:r w:rsidR="002E09A4" w:rsidRPr="00435A0E">
        <w:t xml:space="preserve"> established</w:t>
      </w:r>
      <w:r w:rsidR="00B122AF" w:rsidRPr="00435A0E">
        <w:t xml:space="preserve"> </w:t>
      </w:r>
      <w:r w:rsidR="00426372" w:rsidRPr="00435A0E">
        <w:t>mission</w:t>
      </w:r>
      <w:r w:rsidR="00441AD1" w:rsidRPr="00435A0E">
        <w:t xml:space="preserve">, which it carries out </w:t>
      </w:r>
      <w:r w:rsidR="00441AD1" w:rsidRPr="00435A0E">
        <w:rPr>
          <w:color w:val="3D3D3D"/>
          <w:szCs w:val="26"/>
          <w:shd w:val="clear" w:color="auto" w:fill="FFFFFF"/>
        </w:rPr>
        <w:t xml:space="preserve">through </w:t>
      </w:r>
      <w:r w:rsidR="00874F2D" w:rsidRPr="00435A0E">
        <w:t>“</w:t>
      </w:r>
      <w:r w:rsidR="006901A1" w:rsidRPr="00435A0E">
        <w:t> ‘</w:t>
      </w:r>
      <w:r w:rsidR="00441AD1" w:rsidRPr="00435A0E">
        <w:t>legislative, legal, regulatory, economic, and social advocacy</w:t>
      </w:r>
      <w:r w:rsidR="006901A1" w:rsidRPr="00435A0E">
        <w:t>’ </w:t>
      </w:r>
      <w:r w:rsidR="00441AD1" w:rsidRPr="00435A0E">
        <w:t>”</w:t>
      </w:r>
      <w:r w:rsidR="00426372" w:rsidRPr="00435A0E">
        <w:t xml:space="preserve"> </w:t>
      </w:r>
      <w:r w:rsidR="006901A1" w:rsidRPr="00435A0E">
        <w:t>(</w:t>
      </w:r>
      <w:r w:rsidR="00F668A1" w:rsidRPr="00435A0E">
        <w:rPr>
          <w:i/>
          <w:iCs/>
        </w:rPr>
        <w:t>California Medical</w:t>
      </w:r>
      <w:r w:rsidR="006901A1" w:rsidRPr="00435A0E">
        <w:t xml:space="preserve">, </w:t>
      </w:r>
      <w:r w:rsidR="006901A1" w:rsidRPr="00435A0E">
        <w:rPr>
          <w:i/>
          <w:iCs/>
        </w:rPr>
        <w:t>supra</w:t>
      </w:r>
      <w:r w:rsidR="006901A1" w:rsidRPr="00435A0E">
        <w:t xml:space="preserve">, 63 Cal.App.5th at p. 664), </w:t>
      </w:r>
      <w:r w:rsidR="006A0FC9" w:rsidRPr="00435A0E">
        <w:t xml:space="preserve">includes </w:t>
      </w:r>
      <w:r w:rsidR="0012085E" w:rsidRPr="00435A0E">
        <w:t xml:space="preserve">“the protection of the public health and the betterment of the medical profession.” </w:t>
      </w:r>
      <w:r w:rsidR="00CB7D66" w:rsidRPr="00435A0E">
        <w:t xml:space="preserve"> </w:t>
      </w:r>
      <w:r w:rsidR="00163F72" w:rsidRPr="00435A0E">
        <w:t xml:space="preserve">According to </w:t>
      </w:r>
      <w:r w:rsidR="00625E3B" w:rsidRPr="00435A0E">
        <w:t>its</w:t>
      </w:r>
      <w:r w:rsidR="00702B58" w:rsidRPr="00435A0E">
        <w:t xml:space="preserve"> vice</w:t>
      </w:r>
      <w:r w:rsidR="006901A1" w:rsidRPr="00435A0E">
        <w:t>-</w:t>
      </w:r>
      <w:r w:rsidR="00702B58" w:rsidRPr="00435A0E">
        <w:t>president and general counsel</w:t>
      </w:r>
      <w:r w:rsidR="00BA77B3" w:rsidRPr="00435A0E">
        <w:t xml:space="preserve">, </w:t>
      </w:r>
      <w:r w:rsidR="00016FFA" w:rsidRPr="00435A0E">
        <w:t>CMA</w:t>
      </w:r>
      <w:r w:rsidR="00625E3B" w:rsidRPr="00435A0E">
        <w:t xml:space="preserve"> “has been</w:t>
      </w:r>
      <w:r w:rsidR="0076506B" w:rsidRPr="00435A0E">
        <w:t xml:space="preserve"> </w:t>
      </w:r>
      <w:r w:rsidR="00FC0E41" w:rsidRPr="00435A0E">
        <w:t>especially</w:t>
      </w:r>
      <w:r w:rsidR="0076506B" w:rsidRPr="00435A0E">
        <w:t xml:space="preserve"> </w:t>
      </w:r>
      <w:r w:rsidR="00A44E78" w:rsidRPr="00435A0E">
        <w:t xml:space="preserve">active in advocacy and education on issues involving health insurance companies’ interference with the sound medical judgment of physicians providing care to enrollees.”  </w:t>
      </w:r>
    </w:p>
    <w:p w14:paraId="2A729E8D" w14:textId="2FC79DD8" w:rsidR="00CB454B" w:rsidRPr="00435A0E" w:rsidRDefault="00A464F0" w:rsidP="00190BF7">
      <w:pPr>
        <w:tabs>
          <w:tab w:val="left" w:pos="1440"/>
        </w:tabs>
        <w:ind w:firstLine="720"/>
      </w:pPr>
      <w:r w:rsidRPr="00435A0E">
        <w:lastRenderedPageBreak/>
        <w:t xml:space="preserve">In 2010, at least </w:t>
      </w:r>
      <w:r w:rsidR="00040592" w:rsidRPr="00435A0E">
        <w:t xml:space="preserve">two years before it filed suit, </w:t>
      </w:r>
      <w:r w:rsidR="00016FFA" w:rsidRPr="00435A0E">
        <w:t>CMA</w:t>
      </w:r>
      <w:r w:rsidR="00BE63E6" w:rsidRPr="00435A0E">
        <w:t xml:space="preserve"> </w:t>
      </w:r>
      <w:r w:rsidR="000637D5" w:rsidRPr="00435A0E">
        <w:t xml:space="preserve">learned of </w:t>
      </w:r>
      <w:r w:rsidR="00BE63E6" w:rsidRPr="00435A0E">
        <w:t xml:space="preserve">Aetna’s </w:t>
      </w:r>
      <w:r w:rsidR="00925E4B" w:rsidRPr="00435A0E">
        <w:t>Network Intervention P</w:t>
      </w:r>
      <w:r w:rsidR="00976946" w:rsidRPr="00435A0E">
        <w:t>o</w:t>
      </w:r>
      <w:r w:rsidR="00BE63E6" w:rsidRPr="00435A0E">
        <w:t>licy</w:t>
      </w:r>
      <w:r w:rsidR="00FC7163" w:rsidRPr="00435A0E">
        <w:t xml:space="preserve"> from its m</w:t>
      </w:r>
      <w:r w:rsidR="00040592" w:rsidRPr="00435A0E">
        <w:t>embers and</w:t>
      </w:r>
      <w:r w:rsidR="00FD79F3" w:rsidRPr="00435A0E">
        <w:t xml:space="preserve"> </w:t>
      </w:r>
      <w:r w:rsidR="00FC7163" w:rsidRPr="00435A0E">
        <w:t xml:space="preserve">became concerned that </w:t>
      </w:r>
      <w:r w:rsidR="0029712B" w:rsidRPr="00435A0E">
        <w:t>in threatening termination or actually terminating participat</w:t>
      </w:r>
      <w:r w:rsidR="00962341" w:rsidRPr="00435A0E">
        <w:t xml:space="preserve">ing physicians for their referrals to </w:t>
      </w:r>
      <w:r w:rsidR="001C0267" w:rsidRPr="00435A0E">
        <w:t>out</w:t>
      </w:r>
      <w:r w:rsidR="00A06D47">
        <w:noBreakHyphen/>
      </w:r>
      <w:r w:rsidR="001C0267" w:rsidRPr="00435A0E">
        <w:t>of-network</w:t>
      </w:r>
      <w:r w:rsidR="00962341" w:rsidRPr="00435A0E">
        <w:t xml:space="preserve"> </w:t>
      </w:r>
      <w:r w:rsidR="00234E5E" w:rsidRPr="00435A0E">
        <w:t>providers,</w:t>
      </w:r>
      <w:r w:rsidR="00F548AB" w:rsidRPr="00435A0E">
        <w:t xml:space="preserve"> the policy</w:t>
      </w:r>
      <w:r w:rsidR="009E0A4B" w:rsidRPr="00435A0E">
        <w:t>’s implementation</w:t>
      </w:r>
      <w:r w:rsidR="00BE63E6" w:rsidRPr="00435A0E">
        <w:t xml:space="preserve"> </w:t>
      </w:r>
      <w:r w:rsidR="00F17A4C" w:rsidRPr="00435A0E">
        <w:t>interfered with physician</w:t>
      </w:r>
      <w:r w:rsidR="002164B1" w:rsidRPr="00435A0E">
        <w:t xml:space="preserve">s’ exercise of </w:t>
      </w:r>
      <w:r w:rsidR="00EF58B2" w:rsidRPr="00435A0E">
        <w:t xml:space="preserve">their </w:t>
      </w:r>
      <w:r w:rsidR="002164B1" w:rsidRPr="00435A0E">
        <w:t>sound medical judgment.</w:t>
      </w:r>
      <w:r w:rsidR="00CB454B" w:rsidRPr="00435A0E">
        <w:t xml:space="preserve">  Aetna maintains that its policy, rather than interfering in medical judgments, </w:t>
      </w:r>
      <w:r w:rsidR="00507A21" w:rsidRPr="00435A0E">
        <w:t xml:space="preserve">was </w:t>
      </w:r>
      <w:r w:rsidR="00CB454B" w:rsidRPr="00435A0E">
        <w:t>designed simply to encourage participating physicians, consistent with their judgment, to use in-network care providers</w:t>
      </w:r>
      <w:r w:rsidR="006901A1" w:rsidRPr="00435A0E">
        <w:t>,</w:t>
      </w:r>
      <w:r w:rsidR="00CB454B" w:rsidRPr="00435A0E">
        <w:t xml:space="preserve"> such as ambulatory surgery centers, and was adopted in part in response to physicians referring patients to facilities in which they had financial interests.  The merits of the parties’ dispute are not before us, and we express no views on them.</w:t>
      </w:r>
      <w:r w:rsidR="002164B1" w:rsidRPr="00435A0E">
        <w:t xml:space="preserve">  </w:t>
      </w:r>
    </w:p>
    <w:p w14:paraId="4E0408E6" w14:textId="32EA0E5E" w:rsidR="00CF45DC" w:rsidRPr="00435A0E" w:rsidRDefault="00016FFA" w:rsidP="00190BF7">
      <w:pPr>
        <w:tabs>
          <w:tab w:val="left" w:pos="1440"/>
        </w:tabs>
        <w:ind w:firstLine="720"/>
      </w:pPr>
      <w:r w:rsidRPr="00435A0E">
        <w:t>CMA</w:t>
      </w:r>
      <w:r w:rsidR="00AC7C33" w:rsidRPr="00435A0E">
        <w:t xml:space="preserve">’s </w:t>
      </w:r>
      <w:r w:rsidR="00C71B75" w:rsidRPr="00435A0E">
        <w:t xml:space="preserve">general counsel </w:t>
      </w:r>
      <w:r w:rsidR="00877850" w:rsidRPr="00435A0E">
        <w:t xml:space="preserve">estimated that the </w:t>
      </w:r>
      <w:r w:rsidR="00886FFB" w:rsidRPr="00435A0E">
        <w:t>organization</w:t>
      </w:r>
      <w:r w:rsidR="00877850" w:rsidRPr="00435A0E">
        <w:t xml:space="preserve"> diverted 200–250 </w:t>
      </w:r>
      <w:r w:rsidR="00793B0C" w:rsidRPr="00435A0E">
        <w:t>hours of staff time to respond to the policy.  That time was spent</w:t>
      </w:r>
      <w:r w:rsidR="00051B30" w:rsidRPr="00435A0E">
        <w:t xml:space="preserve"> on activities </w:t>
      </w:r>
      <w:r w:rsidR="00EF5A75" w:rsidRPr="00435A0E">
        <w:t xml:space="preserve">including: </w:t>
      </w:r>
      <w:r w:rsidR="006901A1" w:rsidRPr="00435A0E">
        <w:t xml:space="preserve"> </w:t>
      </w:r>
      <w:r w:rsidR="00EF5A75" w:rsidRPr="00435A0E">
        <w:t>(i) </w:t>
      </w:r>
      <w:r w:rsidR="003E2A11" w:rsidRPr="00435A0E">
        <w:t xml:space="preserve">“investigat[ion]” for the purpose of </w:t>
      </w:r>
      <w:r w:rsidR="00D0423E" w:rsidRPr="00435A0E">
        <w:t>“advis[ing] physicians and the public regarding how to address Aetna’s . . . interference with the physician</w:t>
      </w:r>
      <w:r w:rsidR="00D5774F" w:rsidRPr="00435A0E">
        <w:noBreakHyphen/>
      </w:r>
      <w:r w:rsidR="00D0423E" w:rsidRPr="00435A0E">
        <w:t>patient relationship</w:t>
      </w:r>
      <w:r w:rsidR="002833D3" w:rsidRPr="00435A0E">
        <w:t xml:space="preserve"> in an effort to avoid litigation over this issue</w:t>
      </w:r>
      <w:r w:rsidR="00E9099D" w:rsidRPr="00435A0E">
        <w:t>”</w:t>
      </w:r>
      <w:r w:rsidR="006901A1" w:rsidRPr="00435A0E">
        <w:t>;</w:t>
      </w:r>
      <w:r w:rsidR="002833D3" w:rsidRPr="00435A0E">
        <w:t xml:space="preserve"> (ii) </w:t>
      </w:r>
      <w:r w:rsidR="00464880" w:rsidRPr="00435A0E">
        <w:t>“</w:t>
      </w:r>
      <w:r w:rsidR="00172EDE" w:rsidRPr="00435A0E">
        <w:t>prepar</w:t>
      </w:r>
      <w:r w:rsidR="00464880" w:rsidRPr="00435A0E">
        <w:t>[ing]</w:t>
      </w:r>
      <w:r w:rsidR="00172EDE" w:rsidRPr="00435A0E">
        <w:t xml:space="preserve"> a 3-page document entitled the ‘Aetna Termination Resource Guide,’ which [</w:t>
      </w:r>
      <w:r w:rsidRPr="00435A0E">
        <w:t>CMA</w:t>
      </w:r>
      <w:r w:rsidR="00172EDE" w:rsidRPr="00435A0E">
        <w:t>] publicized</w:t>
      </w:r>
      <w:r w:rsidR="00345A93" w:rsidRPr="00435A0E">
        <w:t>,</w:t>
      </w:r>
      <w:r w:rsidR="000E3553" w:rsidRPr="00435A0E">
        <w:t xml:space="preserve"> advising . . . members about Aetna’s new policy</w:t>
      </w:r>
      <w:r w:rsidR="008931E9" w:rsidRPr="00435A0E">
        <w:t xml:space="preserve"> . . .</w:t>
      </w:r>
      <w:r w:rsidR="006E4CE6" w:rsidRPr="00435A0E">
        <w:t xml:space="preserve"> </w:t>
      </w:r>
      <w:r w:rsidR="008931E9" w:rsidRPr="00435A0E">
        <w:t>, including ways to proactively address and counteract Aetna’s policies”</w:t>
      </w:r>
      <w:r w:rsidR="006901A1" w:rsidRPr="00435A0E">
        <w:t>;</w:t>
      </w:r>
      <w:r w:rsidR="008931E9" w:rsidRPr="00435A0E">
        <w:t xml:space="preserve"> (iii) </w:t>
      </w:r>
      <w:r w:rsidR="003F0C2C" w:rsidRPr="00435A0E">
        <w:t>engaging with physicians affected by Aetna’s policy</w:t>
      </w:r>
      <w:r w:rsidR="000D6186" w:rsidRPr="00435A0E">
        <w:t xml:space="preserve"> and interacting with Aetna on physicians’ behalf</w:t>
      </w:r>
      <w:r w:rsidR="00E9099D" w:rsidRPr="00435A0E">
        <w:t>;</w:t>
      </w:r>
      <w:r w:rsidR="003F0C2C" w:rsidRPr="00435A0E">
        <w:t xml:space="preserve"> </w:t>
      </w:r>
      <w:r w:rsidR="00502400" w:rsidRPr="00435A0E">
        <w:t>and (iv) “prepar[ing]</w:t>
      </w:r>
      <w:r w:rsidR="00866967" w:rsidRPr="00435A0E">
        <w:t xml:space="preserve"> a letter to California’s Department of Insurance and California’s Department of Managed Health Care requesting that they take action to address</w:t>
      </w:r>
      <w:r w:rsidR="008C2033" w:rsidRPr="00435A0E">
        <w:t xml:space="preserve">” Aetna’s </w:t>
      </w:r>
      <w:r w:rsidR="00944B04">
        <w:t xml:space="preserve">change in </w:t>
      </w:r>
      <w:r w:rsidR="00242507">
        <w:t>policy</w:t>
      </w:r>
      <w:r w:rsidR="00C95A1D" w:rsidRPr="00435A0E">
        <w:t>.</w:t>
      </w:r>
      <w:r w:rsidR="00E62963" w:rsidRPr="00435A0E">
        <w:t xml:space="preserve">  </w:t>
      </w:r>
      <w:r w:rsidR="0085681B" w:rsidRPr="00435A0E">
        <w:t xml:space="preserve">According to the </w:t>
      </w:r>
      <w:r w:rsidR="00C71B75" w:rsidRPr="00435A0E">
        <w:t>general counsel</w:t>
      </w:r>
      <w:r w:rsidR="0085681B" w:rsidRPr="00435A0E">
        <w:t xml:space="preserve">, at least some of this </w:t>
      </w:r>
      <w:r w:rsidR="00330630" w:rsidRPr="00435A0E">
        <w:lastRenderedPageBreak/>
        <w:t>diverted time “would otherwise have been devoted to serving [</w:t>
      </w:r>
      <w:r w:rsidRPr="00435A0E">
        <w:t>CMA</w:t>
      </w:r>
      <w:r w:rsidR="00330630" w:rsidRPr="00435A0E">
        <w:t xml:space="preserve">’s] membership” </w:t>
      </w:r>
      <w:r w:rsidR="00470424" w:rsidRPr="00435A0E">
        <w:t>in</w:t>
      </w:r>
      <w:r w:rsidR="00FE2781" w:rsidRPr="00435A0E">
        <w:t xml:space="preserve"> other </w:t>
      </w:r>
      <w:r w:rsidR="00CB792B" w:rsidRPr="00435A0E">
        <w:t>respects</w:t>
      </w:r>
      <w:r w:rsidR="00470424" w:rsidRPr="00435A0E">
        <w:t>.</w:t>
      </w:r>
      <w:r w:rsidR="00330630" w:rsidRPr="00435A0E">
        <w:t xml:space="preserve"> </w:t>
      </w:r>
    </w:p>
    <w:p w14:paraId="36BA842F" w14:textId="3C758D14" w:rsidR="00F279B1" w:rsidRPr="00435A0E" w:rsidRDefault="006A3665" w:rsidP="00190BF7">
      <w:pPr>
        <w:tabs>
          <w:tab w:val="left" w:pos="1440"/>
        </w:tabs>
        <w:ind w:firstLine="720"/>
      </w:pPr>
      <w:r w:rsidRPr="00435A0E">
        <w:t xml:space="preserve">In July 2012, </w:t>
      </w:r>
      <w:r w:rsidR="00016FFA" w:rsidRPr="00435A0E">
        <w:t>CMA</w:t>
      </w:r>
      <w:r w:rsidR="00F279B1" w:rsidRPr="00435A0E">
        <w:t xml:space="preserve"> sued Aetna</w:t>
      </w:r>
      <w:r w:rsidR="00D960EA" w:rsidRPr="00435A0E">
        <w:t>,</w:t>
      </w:r>
      <w:r w:rsidR="002552B8" w:rsidRPr="00435A0E">
        <w:t xml:space="preserve"> </w:t>
      </w:r>
      <w:r w:rsidR="006333F1" w:rsidRPr="00435A0E">
        <w:t xml:space="preserve">alleging </w:t>
      </w:r>
      <w:r w:rsidR="00BD4D83" w:rsidRPr="00435A0E">
        <w:t xml:space="preserve">Aetna’s implementation of the </w:t>
      </w:r>
      <w:r w:rsidR="001F7C48" w:rsidRPr="00435A0E">
        <w:t xml:space="preserve">Network Intervention Policy violated the UCL </w:t>
      </w:r>
      <w:r w:rsidR="003B2C69" w:rsidRPr="00435A0E">
        <w:t xml:space="preserve">both because it was </w:t>
      </w:r>
      <w:r w:rsidR="00AA7B58" w:rsidRPr="00435A0E">
        <w:t xml:space="preserve">unfairly oppressive and </w:t>
      </w:r>
      <w:r w:rsidR="00CE2870" w:rsidRPr="00435A0E">
        <w:t>injurious</w:t>
      </w:r>
      <w:r w:rsidR="00AA7B58" w:rsidRPr="00435A0E">
        <w:t xml:space="preserve"> and because it violated </w:t>
      </w:r>
      <w:r w:rsidR="009855D6" w:rsidRPr="00435A0E">
        <w:t xml:space="preserve">specified sections of the Insurance Code, Business and Professions Code, and </w:t>
      </w:r>
      <w:r w:rsidR="00BB2DCB" w:rsidRPr="00435A0E">
        <w:t>Health</w:t>
      </w:r>
      <w:r w:rsidR="009855D6" w:rsidRPr="00435A0E">
        <w:t xml:space="preserve"> and </w:t>
      </w:r>
      <w:r w:rsidR="00BB2DCB" w:rsidRPr="00435A0E">
        <w:t>Safety</w:t>
      </w:r>
      <w:r w:rsidR="009855D6" w:rsidRPr="00435A0E">
        <w:t xml:space="preserve"> Code.</w:t>
      </w:r>
      <w:r w:rsidR="006438DB" w:rsidRPr="00435A0E">
        <w:t xml:space="preserve">  </w:t>
      </w:r>
      <w:r w:rsidR="00016FFA" w:rsidRPr="00435A0E">
        <w:t>CMA</w:t>
      </w:r>
      <w:r w:rsidR="006438DB" w:rsidRPr="00435A0E">
        <w:t xml:space="preserve"> sought</w:t>
      </w:r>
      <w:r w:rsidR="007166F6" w:rsidRPr="00435A0E">
        <w:t xml:space="preserve"> to enjoin Aetna from enforcing the policy.</w:t>
      </w:r>
      <w:r w:rsidR="00657B40" w:rsidRPr="00435A0E">
        <w:t xml:space="preserve">  </w:t>
      </w:r>
      <w:r w:rsidR="00CA6BD2" w:rsidRPr="00435A0E">
        <w:t>Aetna moved</w:t>
      </w:r>
      <w:r w:rsidR="00F279B1" w:rsidRPr="00435A0E">
        <w:t xml:space="preserve"> for summary judgment.  </w:t>
      </w:r>
      <w:r w:rsidR="00A66BB6" w:rsidRPr="00435A0E">
        <w:t>It</w:t>
      </w:r>
      <w:r w:rsidR="0066519D" w:rsidRPr="00435A0E">
        <w:t xml:space="preserve"> argued</w:t>
      </w:r>
      <w:r w:rsidR="00734169" w:rsidRPr="00435A0E">
        <w:t xml:space="preserve"> </w:t>
      </w:r>
      <w:r w:rsidR="0066519D" w:rsidRPr="00435A0E">
        <w:t xml:space="preserve">that </w:t>
      </w:r>
      <w:r w:rsidR="00016FFA" w:rsidRPr="00435A0E">
        <w:t>CMA</w:t>
      </w:r>
      <w:r w:rsidR="0066519D" w:rsidRPr="00435A0E">
        <w:t xml:space="preserve"> lacked </w:t>
      </w:r>
      <w:r w:rsidR="000846DE" w:rsidRPr="00435A0E">
        <w:t xml:space="preserve">UCL standing </w:t>
      </w:r>
      <w:r w:rsidR="002C291E" w:rsidRPr="00435A0E">
        <w:t xml:space="preserve">because </w:t>
      </w:r>
      <w:r w:rsidR="00016FFA" w:rsidRPr="00435A0E">
        <w:t>CMA</w:t>
      </w:r>
      <w:r w:rsidR="002C291E" w:rsidRPr="00435A0E">
        <w:t xml:space="preserve"> </w:t>
      </w:r>
      <w:r w:rsidR="00E907BE" w:rsidRPr="00435A0E">
        <w:t xml:space="preserve">had not lost money or property </w:t>
      </w:r>
      <w:r w:rsidR="00734169" w:rsidRPr="00435A0E">
        <w:t xml:space="preserve">as a result </w:t>
      </w:r>
      <w:r w:rsidR="00E907BE" w:rsidRPr="00435A0E">
        <w:t xml:space="preserve">of </w:t>
      </w:r>
      <w:r w:rsidR="005146FF" w:rsidRPr="00435A0E">
        <w:t xml:space="preserve">the policy.  </w:t>
      </w:r>
      <w:r w:rsidR="00C029D9" w:rsidRPr="00435A0E">
        <w:t xml:space="preserve">Aetna emphasized that the policy </w:t>
      </w:r>
      <w:r w:rsidR="00734169" w:rsidRPr="00435A0E">
        <w:t xml:space="preserve">applied to </w:t>
      </w:r>
      <w:r w:rsidR="00651E61" w:rsidRPr="00435A0E">
        <w:t xml:space="preserve">individual </w:t>
      </w:r>
      <w:r w:rsidR="00734169" w:rsidRPr="00435A0E">
        <w:t>physicians</w:t>
      </w:r>
      <w:r w:rsidR="00C31A58">
        <w:t> </w:t>
      </w:r>
      <w:r w:rsidR="00734169" w:rsidRPr="00435A0E">
        <w:t xml:space="preserve">— not to </w:t>
      </w:r>
      <w:r w:rsidR="00016FFA" w:rsidRPr="00435A0E">
        <w:t>CMA</w:t>
      </w:r>
      <w:r w:rsidR="00734169" w:rsidRPr="00435A0E">
        <w:t xml:space="preserve">.  </w:t>
      </w:r>
      <w:r w:rsidR="00016FFA" w:rsidRPr="00435A0E">
        <w:t>CMA</w:t>
      </w:r>
      <w:r w:rsidR="00D66D39" w:rsidRPr="00435A0E">
        <w:t xml:space="preserve"> </w:t>
      </w:r>
      <w:r w:rsidR="00E3318F" w:rsidRPr="00435A0E">
        <w:t xml:space="preserve">countered that </w:t>
      </w:r>
      <w:r w:rsidR="004B46CE" w:rsidRPr="00435A0E">
        <w:t xml:space="preserve">it had diverted resources in response to the policy.  </w:t>
      </w:r>
    </w:p>
    <w:p w14:paraId="7ECF0815" w14:textId="234C1A92" w:rsidR="00407835" w:rsidRPr="00435A0E" w:rsidRDefault="00B56D57" w:rsidP="00190BF7">
      <w:pPr>
        <w:tabs>
          <w:tab w:val="left" w:pos="1440"/>
        </w:tabs>
        <w:ind w:firstLine="720"/>
      </w:pPr>
      <w:r w:rsidRPr="00435A0E">
        <w:t xml:space="preserve">The trial court </w:t>
      </w:r>
      <w:r w:rsidR="0021754E" w:rsidRPr="00435A0E">
        <w:t xml:space="preserve">granted </w:t>
      </w:r>
      <w:r w:rsidR="00255F68" w:rsidRPr="00435A0E">
        <w:t xml:space="preserve">Aetna’s </w:t>
      </w:r>
      <w:r w:rsidR="0021754E" w:rsidRPr="00435A0E">
        <w:t>motion for summary judgment</w:t>
      </w:r>
      <w:r w:rsidR="00F956B3" w:rsidRPr="00435A0E">
        <w:t xml:space="preserve"> on standing grounds</w:t>
      </w:r>
      <w:r w:rsidRPr="00435A0E">
        <w:t>.</w:t>
      </w:r>
      <w:r w:rsidR="00B7766D" w:rsidRPr="00435A0E">
        <w:t xml:space="preserve">  Relying on </w:t>
      </w:r>
      <w:r w:rsidR="00B7766D" w:rsidRPr="00435A0E">
        <w:rPr>
          <w:i/>
          <w:iCs/>
        </w:rPr>
        <w:t>Amalgamated Transit</w:t>
      </w:r>
      <w:r w:rsidR="00B13B84" w:rsidRPr="00435A0E">
        <w:t xml:space="preserve">, </w:t>
      </w:r>
      <w:r w:rsidR="00B13B84" w:rsidRPr="00435A0E">
        <w:rPr>
          <w:i/>
          <w:iCs/>
        </w:rPr>
        <w:t>supra</w:t>
      </w:r>
      <w:r w:rsidR="00B13B84" w:rsidRPr="00435A0E">
        <w:t xml:space="preserve">, </w:t>
      </w:r>
      <w:r w:rsidR="00F57B92" w:rsidRPr="00435A0E">
        <w:t xml:space="preserve">46 Cal.4th 993, </w:t>
      </w:r>
      <w:r w:rsidR="004D318F" w:rsidRPr="00435A0E">
        <w:t>the court concluded that</w:t>
      </w:r>
      <w:r w:rsidR="00D851AA" w:rsidRPr="00435A0E">
        <w:t xml:space="preserve"> </w:t>
      </w:r>
      <w:r w:rsidR="00DB3EEA" w:rsidRPr="00435A0E">
        <w:t xml:space="preserve">an organization’s </w:t>
      </w:r>
      <w:r w:rsidR="00D851AA" w:rsidRPr="00435A0E">
        <w:t>diversion</w:t>
      </w:r>
      <w:r w:rsidR="00DB3EEA" w:rsidRPr="00435A0E">
        <w:t xml:space="preserve"> of resources</w:t>
      </w:r>
      <w:r w:rsidR="00D851AA" w:rsidRPr="00435A0E">
        <w:t xml:space="preserve"> </w:t>
      </w:r>
      <w:r w:rsidR="00682A53" w:rsidRPr="00435A0E">
        <w:t>is not “sufficient to establish standing under the UCL</w:t>
      </w:r>
      <w:bookmarkEnd w:id="6"/>
      <w:bookmarkEnd w:id="7"/>
      <w:r w:rsidR="00751DD1" w:rsidRPr="00435A0E">
        <w:t>.</w:t>
      </w:r>
      <w:r w:rsidR="00BB70DC">
        <w:t>”</w:t>
      </w:r>
      <w:r w:rsidR="00751DD1" w:rsidRPr="00435A0E">
        <w:t xml:space="preserve">  </w:t>
      </w:r>
      <w:r w:rsidR="00016FFA" w:rsidRPr="00435A0E">
        <w:t>CMA</w:t>
      </w:r>
      <w:r w:rsidR="0039366D" w:rsidRPr="00435A0E">
        <w:t xml:space="preserve"> appealed. </w:t>
      </w:r>
    </w:p>
    <w:p w14:paraId="4F60F17C" w14:textId="251EAC58" w:rsidR="00352871" w:rsidRPr="00435A0E" w:rsidRDefault="00DF78DC" w:rsidP="00190BF7">
      <w:pPr>
        <w:tabs>
          <w:tab w:val="left" w:pos="1440"/>
        </w:tabs>
        <w:ind w:firstLine="720"/>
      </w:pPr>
      <w:r w:rsidRPr="00435A0E">
        <w:t>The Court of Appeal affirmed.  (</w:t>
      </w:r>
      <w:r w:rsidR="00F668A1" w:rsidRPr="00435A0E">
        <w:rPr>
          <w:i/>
          <w:iCs/>
        </w:rPr>
        <w:t>California Medical</w:t>
      </w:r>
      <w:r w:rsidR="00D924C1" w:rsidRPr="00435A0E">
        <w:t xml:space="preserve">, </w:t>
      </w:r>
      <w:r w:rsidR="00D924C1" w:rsidRPr="00435A0E">
        <w:rPr>
          <w:i/>
          <w:iCs/>
        </w:rPr>
        <w:t>supra</w:t>
      </w:r>
      <w:r w:rsidR="00D924C1" w:rsidRPr="00435A0E">
        <w:t>, 63</w:t>
      </w:r>
      <w:r w:rsidRPr="00435A0E">
        <w:t xml:space="preserve"> Cal.App.5th 660</w:t>
      </w:r>
      <w:r w:rsidR="001D65C0" w:rsidRPr="00435A0E">
        <w:t xml:space="preserve">.)  </w:t>
      </w:r>
      <w:r w:rsidR="002C60D9" w:rsidRPr="00435A0E">
        <w:t xml:space="preserve">First, the court held that </w:t>
      </w:r>
      <w:r w:rsidR="00016FFA" w:rsidRPr="00435A0E">
        <w:t>CMA</w:t>
      </w:r>
      <w:r w:rsidR="00602531" w:rsidRPr="00435A0E">
        <w:t xml:space="preserve"> could seek an injunction against </w:t>
      </w:r>
      <w:r w:rsidR="00AE05BF" w:rsidRPr="00435A0E">
        <w:t>Aetna</w:t>
      </w:r>
      <w:r w:rsidR="00602531" w:rsidRPr="00435A0E">
        <w:t xml:space="preserve"> only if </w:t>
      </w:r>
      <w:r w:rsidR="00016FFA" w:rsidRPr="00435A0E">
        <w:t>CMA</w:t>
      </w:r>
      <w:r w:rsidR="0064145D" w:rsidRPr="00435A0E">
        <w:t xml:space="preserve"> </w:t>
      </w:r>
      <w:r w:rsidR="00602531" w:rsidRPr="00435A0E">
        <w:t>had individually suffered injury in fact and lost money or property</w:t>
      </w:r>
      <w:r w:rsidR="00B76CBB" w:rsidRPr="00435A0E">
        <w:t xml:space="preserve">; injury to </w:t>
      </w:r>
      <w:r w:rsidR="00016FFA" w:rsidRPr="00435A0E">
        <w:t>CMA</w:t>
      </w:r>
      <w:r w:rsidR="00B76CBB" w:rsidRPr="00435A0E">
        <w:t xml:space="preserve">’s members </w:t>
      </w:r>
      <w:r w:rsidR="00D610B8" w:rsidRPr="00435A0E">
        <w:t>did</w:t>
      </w:r>
      <w:r w:rsidR="00B76CBB" w:rsidRPr="00435A0E">
        <w:t xml:space="preserve"> not suffice.</w:t>
      </w:r>
      <w:r w:rsidR="00602531" w:rsidRPr="00435A0E">
        <w:t xml:space="preserve">  That conclusion is not disputed here.</w:t>
      </w:r>
      <w:r w:rsidR="005701F1" w:rsidRPr="00435A0E">
        <w:t xml:space="preserve">  Second, the court addressed </w:t>
      </w:r>
      <w:r w:rsidR="005D278C" w:rsidRPr="00435A0E">
        <w:t xml:space="preserve">whether </w:t>
      </w:r>
      <w:r w:rsidR="00016FFA" w:rsidRPr="00435A0E">
        <w:t>CMA</w:t>
      </w:r>
      <w:r w:rsidR="005D278C" w:rsidRPr="00435A0E">
        <w:t xml:space="preserve">’s </w:t>
      </w:r>
      <w:r w:rsidR="00FA5AD7" w:rsidRPr="00435A0E">
        <w:t xml:space="preserve">evidence that it diverted substantial resources to </w:t>
      </w:r>
      <w:r w:rsidR="005D01BA" w:rsidRPr="00435A0E">
        <w:t xml:space="preserve">investigate and </w:t>
      </w:r>
      <w:r w:rsidR="00013751" w:rsidRPr="00435A0E">
        <w:t>oppose Aetna’s actio</w:t>
      </w:r>
      <w:r w:rsidR="005D01BA" w:rsidRPr="00435A0E">
        <w:t>ns</w:t>
      </w:r>
      <w:r w:rsidR="00FA5AD7" w:rsidRPr="00435A0E">
        <w:t xml:space="preserve"> </w:t>
      </w:r>
      <w:r w:rsidR="002D3FA8" w:rsidRPr="00435A0E">
        <w:t>showed that</w:t>
      </w:r>
      <w:r w:rsidR="00FA5AD7" w:rsidRPr="00435A0E">
        <w:t xml:space="preserve"> </w:t>
      </w:r>
      <w:r w:rsidR="00016FFA" w:rsidRPr="00435A0E">
        <w:t>CMA</w:t>
      </w:r>
      <w:r w:rsidR="00531D6D" w:rsidRPr="00435A0E">
        <w:t xml:space="preserve"> </w:t>
      </w:r>
      <w:r w:rsidR="00FA5AD7" w:rsidRPr="00435A0E">
        <w:t xml:space="preserve">itself suffered injury in fact and lost money or property.  </w:t>
      </w:r>
      <w:r w:rsidR="00893A1E" w:rsidRPr="00435A0E">
        <w:t>(</w:t>
      </w:r>
      <w:r w:rsidR="00893A1E" w:rsidRPr="00435A0E">
        <w:rPr>
          <w:i/>
          <w:iCs/>
        </w:rPr>
        <w:t>Id.</w:t>
      </w:r>
      <w:r w:rsidR="00893A1E" w:rsidRPr="00435A0E">
        <w:t xml:space="preserve"> at p. 667.)  </w:t>
      </w:r>
      <w:r w:rsidR="008E59DD" w:rsidRPr="00435A0E">
        <w:t>T</w:t>
      </w:r>
      <w:r w:rsidR="005701F1" w:rsidRPr="00435A0E">
        <w:t xml:space="preserve">he court held that the evidence did not create </w:t>
      </w:r>
      <w:r w:rsidR="002D3FA8" w:rsidRPr="00435A0E">
        <w:t>a material dispute of fact on this point</w:t>
      </w:r>
      <w:r w:rsidR="008E59DD" w:rsidRPr="00435A0E">
        <w:t>,</w:t>
      </w:r>
      <w:r w:rsidR="00EA2C0B" w:rsidRPr="00435A0E">
        <w:t xml:space="preserve"> because </w:t>
      </w:r>
      <w:r w:rsidR="00016FFA" w:rsidRPr="00435A0E">
        <w:t>CMA</w:t>
      </w:r>
      <w:r w:rsidR="00CB2B0B" w:rsidRPr="00435A0E">
        <w:t xml:space="preserve"> had merely expended resources for its members’ benefit:  </w:t>
      </w:r>
      <w:r w:rsidR="00016FFA" w:rsidRPr="00435A0E">
        <w:t>CMA</w:t>
      </w:r>
      <w:r w:rsidR="00D52C36" w:rsidRPr="00435A0E">
        <w:t xml:space="preserve"> “</w:t>
      </w:r>
      <w:r w:rsidR="00EA2C0B" w:rsidRPr="00435A0E">
        <w:t xml:space="preserve">was founded to advocate on behalf of </w:t>
      </w:r>
      <w:r w:rsidR="00EA2C0B" w:rsidRPr="00435A0E">
        <w:lastRenderedPageBreak/>
        <w:t>its physician members.</w:t>
      </w:r>
      <w:r w:rsidR="002B2E82" w:rsidRPr="00435A0E">
        <w:t xml:space="preserve">  </w:t>
      </w:r>
      <w:r w:rsidR="00EA2C0B" w:rsidRPr="00435A0E">
        <w:t>The staff time spent here in response to Aetna</w:t>
      </w:r>
      <w:r w:rsidR="00E5791C" w:rsidRPr="00435A0E">
        <w:t>’</w:t>
      </w:r>
      <w:r w:rsidR="00EA2C0B" w:rsidRPr="00435A0E">
        <w:t>s termination and threats to terminate physicians was typical of the support CMA provides its members in furtherance of CMA</w:t>
      </w:r>
      <w:r w:rsidR="00297A42" w:rsidRPr="00435A0E">
        <w:t>’</w:t>
      </w:r>
      <w:r w:rsidR="00EA2C0B" w:rsidRPr="00435A0E">
        <w:t>s mission</w:t>
      </w:r>
      <w:r w:rsidR="00E5791C" w:rsidRPr="00435A0E">
        <w:t xml:space="preserve">.” </w:t>
      </w:r>
      <w:r w:rsidR="00505D5D" w:rsidRPr="00435A0E">
        <w:t xml:space="preserve"> (</w:t>
      </w:r>
      <w:r w:rsidR="00505D5D" w:rsidRPr="00435A0E">
        <w:rPr>
          <w:i/>
          <w:iCs/>
        </w:rPr>
        <w:t>Id.</w:t>
      </w:r>
      <w:r w:rsidR="00505D5D" w:rsidRPr="00435A0E">
        <w:t xml:space="preserve"> at p. 668.) </w:t>
      </w:r>
      <w:r w:rsidR="00E5791C" w:rsidRPr="00435A0E">
        <w:t xml:space="preserve"> If </w:t>
      </w:r>
      <w:r w:rsidR="00016FFA" w:rsidRPr="00435A0E">
        <w:t>CMA</w:t>
      </w:r>
      <w:r w:rsidR="008E76BD" w:rsidRPr="00435A0E">
        <w:t xml:space="preserve">’s expenditure of resources </w:t>
      </w:r>
      <w:r w:rsidR="001B0FAE" w:rsidRPr="00435A0E">
        <w:t xml:space="preserve">in this manner sufficed to establish standing, </w:t>
      </w:r>
      <w:r w:rsidR="009C50D1" w:rsidRPr="00435A0E">
        <w:t xml:space="preserve">the appellate court reasoned, </w:t>
      </w:r>
      <w:r w:rsidR="001B0FAE" w:rsidRPr="00435A0E">
        <w:t>“</w:t>
      </w:r>
      <w:r w:rsidR="00EA2C0B" w:rsidRPr="00435A0E">
        <w:t>then any organization acting consistently with its mission to help its members through legislative, legal and regulatory advocacy could claim standing based on its efforts to address its members’ injuries.</w:t>
      </w:r>
      <w:r w:rsidR="000C5F2A" w:rsidRPr="00435A0E">
        <w:t xml:space="preserve"> </w:t>
      </w:r>
      <w:r w:rsidR="00EA2C0B" w:rsidRPr="00435A0E">
        <w:t xml:space="preserve"> The 2004 amendments to the UCL eliminated such representational standing.</w:t>
      </w:r>
      <w:r w:rsidR="00E5791C" w:rsidRPr="00435A0E">
        <w:t>”</w:t>
      </w:r>
      <w:r w:rsidR="00BE55B8" w:rsidRPr="00435A0E">
        <w:t xml:space="preserve">  </w:t>
      </w:r>
      <w:r w:rsidR="008441BE" w:rsidRPr="00435A0E">
        <w:t>(</w:t>
      </w:r>
      <w:r w:rsidR="009A7B4E" w:rsidRPr="00435A0E">
        <w:rPr>
          <w:i/>
          <w:iCs/>
        </w:rPr>
        <w:t>C</w:t>
      </w:r>
      <w:r w:rsidR="00F668A1" w:rsidRPr="00435A0E">
        <w:rPr>
          <w:i/>
          <w:iCs/>
        </w:rPr>
        <w:t>alifornia Medical</w:t>
      </w:r>
      <w:r w:rsidR="009A7B4E" w:rsidRPr="00435A0E">
        <w:rPr>
          <w:i/>
          <w:iCs/>
        </w:rPr>
        <w:t xml:space="preserve">, </w:t>
      </w:r>
      <w:r w:rsidR="009A7B4E" w:rsidRPr="00435A0E">
        <w:t>at p. 668.</w:t>
      </w:r>
      <w:r w:rsidR="007A492C" w:rsidRPr="00435A0E">
        <w:t>)</w:t>
      </w:r>
      <w:r w:rsidR="000871F6" w:rsidRPr="00435A0E">
        <w:t xml:space="preserve">  </w:t>
      </w:r>
    </w:p>
    <w:p w14:paraId="1CE24FFC" w14:textId="5F59C8BF" w:rsidR="00C25153" w:rsidRPr="00435A0E" w:rsidRDefault="00FE4B23" w:rsidP="00190BF7">
      <w:pPr>
        <w:tabs>
          <w:tab w:val="left" w:pos="1440"/>
        </w:tabs>
        <w:ind w:firstLine="720"/>
      </w:pPr>
      <w:r w:rsidRPr="00435A0E">
        <w:t>We granted</w:t>
      </w:r>
      <w:r w:rsidR="008601D7" w:rsidRPr="00435A0E">
        <w:t xml:space="preserve"> </w:t>
      </w:r>
      <w:r w:rsidR="00016FFA" w:rsidRPr="00435A0E">
        <w:t>CMA</w:t>
      </w:r>
      <w:r w:rsidR="008601D7" w:rsidRPr="00435A0E">
        <w:t>’s petition for</w:t>
      </w:r>
      <w:r w:rsidRPr="00435A0E">
        <w:t xml:space="preserve"> review.</w:t>
      </w:r>
    </w:p>
    <w:p w14:paraId="7C640328" w14:textId="3579323B" w:rsidR="00CF6DA6" w:rsidRPr="00435A0E" w:rsidRDefault="006B4B4A" w:rsidP="00190BF7">
      <w:pPr>
        <w:pStyle w:val="Heading1"/>
      </w:pPr>
      <w:r w:rsidRPr="00435A0E">
        <w:t xml:space="preserve">II.  </w:t>
      </w:r>
      <w:r w:rsidR="003B399E" w:rsidRPr="00435A0E">
        <w:t>Discussion</w:t>
      </w:r>
    </w:p>
    <w:p w14:paraId="23DA1AAE" w14:textId="6F2A6E78" w:rsidR="00CF6DA6" w:rsidRPr="00435A0E" w:rsidRDefault="00CF6DA6" w:rsidP="00190BF7">
      <w:pPr>
        <w:pStyle w:val="ListParagraph"/>
        <w:tabs>
          <w:tab w:val="left" w:pos="1440"/>
        </w:tabs>
        <w:ind w:left="0" w:firstLine="720"/>
        <w:rPr>
          <w:vertAlign w:val="superscript"/>
        </w:rPr>
      </w:pPr>
      <w:r w:rsidRPr="00435A0E">
        <w:t xml:space="preserve">Sections 17200 </w:t>
      </w:r>
      <w:r w:rsidR="00C6622A" w:rsidRPr="00435A0E">
        <w:t xml:space="preserve">to </w:t>
      </w:r>
      <w:r w:rsidR="00512CB0" w:rsidRPr="00435A0E">
        <w:t>17210</w:t>
      </w:r>
      <w:r w:rsidRPr="00435A0E">
        <w:t xml:space="preserve"> of the Business and Professions Code contain what we now refer to as the </w:t>
      </w:r>
      <w:r w:rsidR="001129E0" w:rsidRPr="00435A0E">
        <w:t>u</w:t>
      </w:r>
      <w:r w:rsidRPr="00435A0E">
        <w:t xml:space="preserve">nfair </w:t>
      </w:r>
      <w:r w:rsidR="001129E0" w:rsidRPr="00435A0E">
        <w:t>c</w:t>
      </w:r>
      <w:r w:rsidRPr="00435A0E">
        <w:t xml:space="preserve">ompetition </w:t>
      </w:r>
      <w:r w:rsidR="001129E0" w:rsidRPr="00435A0E">
        <w:t>l</w:t>
      </w:r>
      <w:r w:rsidRPr="00435A0E">
        <w:t>aw.  (</w:t>
      </w:r>
      <w:r w:rsidRPr="00435A0E">
        <w:rPr>
          <w:i/>
          <w:iCs/>
        </w:rPr>
        <w:t>Stop Youth Addiction, Inc., v. Lucky Stores, Inc.</w:t>
      </w:r>
      <w:r w:rsidRPr="00435A0E">
        <w:t xml:space="preserve"> (1998) 17 Cal.4th 553, 558, fn. 2 (</w:t>
      </w:r>
      <w:r w:rsidRPr="00435A0E">
        <w:rPr>
          <w:i/>
          <w:iCs/>
        </w:rPr>
        <w:t>Stop Youth Addiction</w:t>
      </w:r>
      <w:r w:rsidRPr="00435A0E">
        <w:t xml:space="preserve">); see </w:t>
      </w:r>
      <w:r w:rsidRPr="00435A0E">
        <w:rPr>
          <w:i/>
          <w:iCs/>
        </w:rPr>
        <w:t>id.</w:t>
      </w:r>
      <w:r w:rsidRPr="00435A0E">
        <w:t xml:space="preserve"> at pp. 569–570</w:t>
      </w:r>
      <w:r w:rsidR="00512CB0" w:rsidRPr="00435A0E">
        <w:t xml:space="preserve"> [hist</w:t>
      </w:r>
      <w:r w:rsidR="0024611B" w:rsidRPr="00435A0E">
        <w:t>o</w:t>
      </w:r>
      <w:r w:rsidR="00512CB0" w:rsidRPr="00435A0E">
        <w:t>ry of UCL]</w:t>
      </w:r>
      <w:r w:rsidRPr="00435A0E">
        <w:t xml:space="preserve">.)  The </w:t>
      </w:r>
      <w:r w:rsidR="007D6CC2" w:rsidRPr="00435A0E">
        <w:t>l</w:t>
      </w:r>
      <w:r w:rsidRPr="00435A0E">
        <w:t>aw’s “purpose ‘is to protect both consumers and competitors by promoting fair competition in commercial markets for goods and services.’ ”  (</w:t>
      </w:r>
      <w:r w:rsidRPr="00435A0E">
        <w:rPr>
          <w:i/>
          <w:iCs/>
        </w:rPr>
        <w:t>McGill v. Citibank, N.A.</w:t>
      </w:r>
      <w:r w:rsidRPr="00435A0E">
        <w:t xml:space="preserve"> (2017) 2 Cal.5th 945, 954 (</w:t>
      </w:r>
      <w:r w:rsidRPr="00435A0E">
        <w:rPr>
          <w:i/>
          <w:iCs/>
        </w:rPr>
        <w:t>McGill</w:t>
      </w:r>
      <w:r w:rsidRPr="00435A0E">
        <w:t>).)  To that end, the UCL takes aim at “unfair competition,” a term it defines to “include any unlawful, unfair or fraudulent business act or practice.”  (§ 17200.)  The phrase “any unlawful . . . business act or practice” (</w:t>
      </w:r>
      <w:r w:rsidRPr="00435A0E">
        <w:rPr>
          <w:i/>
          <w:iCs/>
        </w:rPr>
        <w:t>ibid.</w:t>
      </w:r>
      <w:r w:rsidRPr="00435A0E">
        <w:t>) in effect “ ‘ “borrows” ’ rules set out in other laws and makes violations of those rules independently actionable</w:t>
      </w:r>
      <w:r w:rsidR="00B0528F">
        <w:t>.</w:t>
      </w:r>
      <w:r w:rsidRPr="00435A0E">
        <w:t xml:space="preserve">” </w:t>
      </w:r>
      <w:r w:rsidR="00B0528F">
        <w:t xml:space="preserve"> </w:t>
      </w:r>
      <w:r w:rsidRPr="00435A0E">
        <w:t>(</w:t>
      </w:r>
      <w:r w:rsidRPr="00435A0E">
        <w:rPr>
          <w:i/>
          <w:iCs/>
        </w:rPr>
        <w:t>Zhang v. Superior Court</w:t>
      </w:r>
      <w:r w:rsidRPr="00435A0E">
        <w:t xml:space="preserve"> (2013) 57 Cal.4th 364, 37</w:t>
      </w:r>
      <w:r w:rsidR="009A55E7" w:rsidRPr="00435A0E">
        <w:t>0</w:t>
      </w:r>
      <w:r w:rsidR="00D52AE9">
        <w:t>.</w:t>
      </w:r>
      <w:r w:rsidRPr="00435A0E">
        <w:t xml:space="preserve">)  The text </w:t>
      </w:r>
      <w:r w:rsidR="002A42A9" w:rsidRPr="00435A0E">
        <w:t xml:space="preserve">of section 17200 </w:t>
      </w:r>
      <w:r w:rsidRPr="00435A0E">
        <w:t xml:space="preserve">also “makes clear that a practice may be deemed unfair even if not specifically proscribed by some </w:t>
      </w:r>
      <w:r w:rsidRPr="00435A0E">
        <w:lastRenderedPageBreak/>
        <w:t>other law</w:t>
      </w:r>
      <w:r w:rsidR="00D52AE9">
        <w:t>.</w:t>
      </w:r>
      <w:r w:rsidRPr="00435A0E">
        <w:t xml:space="preserve">” </w:t>
      </w:r>
      <w:r w:rsidR="00D52AE9">
        <w:t xml:space="preserve"> </w:t>
      </w:r>
      <w:r w:rsidRPr="00435A0E">
        <w:t>(</w:t>
      </w:r>
      <w:r w:rsidRPr="00435A0E">
        <w:rPr>
          <w:i/>
          <w:iCs/>
        </w:rPr>
        <w:t>Cel-Tech Communications, Inc. v. Los Angeles Cellular Telephone Co.</w:t>
      </w:r>
      <w:r w:rsidRPr="00435A0E">
        <w:t xml:space="preserve"> (1999) 20 Cal.4th 163, 180</w:t>
      </w:r>
      <w:r w:rsidR="00D52AE9">
        <w:t>.</w:t>
      </w:r>
      <w:r w:rsidR="00555154" w:rsidRPr="00435A0E">
        <w:t>)</w:t>
      </w:r>
    </w:p>
    <w:p w14:paraId="013E5683" w14:textId="39A40EC2" w:rsidR="00CF6DA6" w:rsidRPr="00435A0E" w:rsidRDefault="00CF6DA6" w:rsidP="00190BF7">
      <w:pPr>
        <w:tabs>
          <w:tab w:val="left" w:pos="1440"/>
        </w:tabs>
        <w:ind w:firstLine="720"/>
      </w:pPr>
      <w:r w:rsidRPr="00435A0E">
        <w:t>The UCL’s broad reach contrasts with the somewhat limit</w:t>
      </w:r>
      <w:r w:rsidR="0009172A" w:rsidRPr="00435A0E">
        <w:t>ed</w:t>
      </w:r>
      <w:r w:rsidRPr="00435A0E">
        <w:t xml:space="preserve"> scope of the remedies that the </w:t>
      </w:r>
      <w:r w:rsidR="001026A7" w:rsidRPr="00435A0E">
        <w:t>statutory scheme</w:t>
      </w:r>
      <w:r w:rsidRPr="00435A0E">
        <w:t xml:space="preserve"> creates.  The UCL affords private plaintiffs the ability to seek injunctive relief and restitution in response to unfair conduct.  (§ 17203; see also </w:t>
      </w:r>
      <w:r w:rsidRPr="00435A0E">
        <w:rPr>
          <w:i/>
          <w:iCs/>
        </w:rPr>
        <w:t>Clayworth v. Pfizer</w:t>
      </w:r>
      <w:r w:rsidR="00456973" w:rsidRPr="00435A0E">
        <w:rPr>
          <w:i/>
          <w:iCs/>
        </w:rPr>
        <w:t>, Inc.</w:t>
      </w:r>
      <w:r w:rsidRPr="00435A0E">
        <w:rPr>
          <w:i/>
          <w:iCs/>
        </w:rPr>
        <w:t xml:space="preserve"> </w:t>
      </w:r>
      <w:r w:rsidRPr="00435A0E">
        <w:t>(2010) 49 Cal.4th 758, 790 (</w:t>
      </w:r>
      <w:r w:rsidRPr="00435A0E">
        <w:rPr>
          <w:i/>
          <w:iCs/>
        </w:rPr>
        <w:t>Clayworth</w:t>
      </w:r>
      <w:r w:rsidRPr="00435A0E">
        <w:t>).)  But the UCL does not itself authorize an award of damages or attorney’s fees</w:t>
      </w:r>
      <w:r w:rsidR="00F80843">
        <w:t xml:space="preserve">. </w:t>
      </w:r>
      <w:r w:rsidRPr="00435A0E">
        <w:t xml:space="preserve"> (</w:t>
      </w:r>
      <w:r w:rsidR="004E07EF" w:rsidRPr="00435A0E">
        <w:rPr>
          <w:i/>
          <w:iCs/>
        </w:rPr>
        <w:t>Zhang v. Superior Court</w:t>
      </w:r>
      <w:r w:rsidR="004E07EF" w:rsidRPr="00435A0E">
        <w:t xml:space="preserve">, </w:t>
      </w:r>
      <w:r w:rsidR="004E07EF" w:rsidRPr="00435A0E">
        <w:rPr>
          <w:i/>
          <w:iCs/>
        </w:rPr>
        <w:t>supra</w:t>
      </w:r>
      <w:r w:rsidR="004E07EF" w:rsidRPr="00435A0E">
        <w:t>, 57 Cal.4th at p. 371</w:t>
      </w:r>
      <w:r w:rsidR="00F80843">
        <w:t>.</w:t>
      </w:r>
      <w:r w:rsidRPr="00435A0E">
        <w:t xml:space="preserve">) </w:t>
      </w:r>
      <w:r w:rsidR="00E9289C" w:rsidRPr="00435A0E">
        <w:t xml:space="preserve"> I</w:t>
      </w:r>
      <w:r w:rsidRPr="00435A0E">
        <w:t xml:space="preserve">t approves awards of civil penalties only in actions brought by </w:t>
      </w:r>
      <w:r w:rsidR="009A2568" w:rsidRPr="00435A0E">
        <w:t xml:space="preserve">specified </w:t>
      </w:r>
      <w:r w:rsidRPr="00435A0E">
        <w:t>governmental plaintiffs</w:t>
      </w:r>
      <w:r w:rsidR="00BB70DC">
        <w:t>.</w:t>
      </w:r>
      <w:r w:rsidRPr="00435A0E">
        <w:t xml:space="preserve"> </w:t>
      </w:r>
      <w:r w:rsidR="006F0B12">
        <w:t xml:space="preserve"> </w:t>
      </w:r>
      <w:r w:rsidRPr="00435A0E">
        <w:t xml:space="preserve">(§ 17206; </w:t>
      </w:r>
      <w:r w:rsidRPr="00435A0E">
        <w:rPr>
          <w:i/>
          <w:iCs/>
        </w:rPr>
        <w:t xml:space="preserve">State of California v. Altus Finance </w:t>
      </w:r>
      <w:r w:rsidRPr="00435A0E">
        <w:t>(2005) 36 Cal.4th 1284, 1307</w:t>
      </w:r>
      <w:r w:rsidR="006F0B12">
        <w:t>.</w:t>
      </w:r>
      <w:r w:rsidRPr="00435A0E">
        <w:t xml:space="preserve">)  These limited remedies are not exclusive, however; they “are cumulative to each other and to the remedies or penalties available under all other laws of this state.”  (§ 17205.)  </w:t>
      </w:r>
    </w:p>
    <w:p w14:paraId="4F899623" w14:textId="3D9E70CB" w:rsidR="00CF6DA6" w:rsidRPr="00435A0E" w:rsidRDefault="00CF6DA6" w:rsidP="00190BF7">
      <w:pPr>
        <w:tabs>
          <w:tab w:val="left" w:pos="1440"/>
        </w:tabs>
        <w:ind w:firstLine="720"/>
      </w:pPr>
      <w:r w:rsidRPr="00435A0E">
        <w:t>This case concerns the circumstances in which a private organization may seek injunctive relief under the UCL.  In the past, “any person acting for the interests of itself, its members or the general public” could bring a UCL action</w:t>
      </w:r>
      <w:r w:rsidR="00C31A58">
        <w:t> </w:t>
      </w:r>
      <w:r w:rsidRPr="00435A0E">
        <w:t xml:space="preserve">— even if that person had not been injured by the business act or practice at issue.  (Former § 17204; </w:t>
      </w:r>
      <w:r w:rsidR="00456973" w:rsidRPr="00435A0E">
        <w:t xml:space="preserve">see </w:t>
      </w:r>
      <w:r w:rsidRPr="00435A0E">
        <w:rPr>
          <w:i/>
          <w:iCs/>
        </w:rPr>
        <w:t>Stop Youth Addiction</w:t>
      </w:r>
      <w:r w:rsidRPr="00435A0E">
        <w:t xml:space="preserve">, </w:t>
      </w:r>
      <w:r w:rsidRPr="00435A0E">
        <w:rPr>
          <w:i/>
          <w:iCs/>
        </w:rPr>
        <w:t>supra</w:t>
      </w:r>
      <w:r w:rsidRPr="00435A0E">
        <w:t xml:space="preserve">, 17 Cal.4th at pp. 561, 567.)  Some </w:t>
      </w:r>
      <w:r w:rsidR="00CD7839" w:rsidRPr="00435A0E">
        <w:t xml:space="preserve">in the legal and business communities </w:t>
      </w:r>
      <w:r w:rsidR="00D0222A" w:rsidRPr="00435A0E">
        <w:t>were</w:t>
      </w:r>
      <w:r w:rsidR="0024611B" w:rsidRPr="00435A0E">
        <w:t xml:space="preserve"> </w:t>
      </w:r>
      <w:r w:rsidRPr="00435A0E">
        <w:t>concern</w:t>
      </w:r>
      <w:r w:rsidR="00D0222A" w:rsidRPr="00435A0E">
        <w:t>ed</w:t>
      </w:r>
      <w:r w:rsidRPr="00435A0E">
        <w:t xml:space="preserve"> that this broad authority to sue </w:t>
      </w:r>
      <w:r w:rsidR="00D60AC6" w:rsidRPr="00435A0E">
        <w:t xml:space="preserve">allowed </w:t>
      </w:r>
      <w:r w:rsidRPr="00435A0E">
        <w:t>attorneys</w:t>
      </w:r>
      <w:r w:rsidR="00D60AC6" w:rsidRPr="00435A0E">
        <w:t xml:space="preserve"> “to</w:t>
      </w:r>
      <w:r w:rsidRPr="00435A0E">
        <w:t xml:space="preserve"> </w:t>
      </w:r>
      <w:r w:rsidR="00BE5F24" w:rsidRPr="00435A0E">
        <w:t>fil</w:t>
      </w:r>
      <w:r w:rsidR="00D60AC6" w:rsidRPr="00435A0E">
        <w:t>e</w:t>
      </w:r>
      <w:r w:rsidR="00BE5F24" w:rsidRPr="00435A0E">
        <w:t xml:space="preserve"> frivolous lawsuits against small businesses</w:t>
      </w:r>
      <w:r w:rsidR="00D60AC6" w:rsidRPr="00435A0E">
        <w:t xml:space="preserve"> </w:t>
      </w:r>
      <w:r w:rsidR="00BE5F24" w:rsidRPr="00435A0E">
        <w:t>even though they ha</w:t>
      </w:r>
      <w:r w:rsidR="001E526E" w:rsidRPr="00435A0E">
        <w:t>[d]</w:t>
      </w:r>
      <w:r w:rsidR="00BE5F24" w:rsidRPr="00435A0E">
        <w:t xml:space="preserve"> no client or evidence that anyone was</w:t>
      </w:r>
      <w:r w:rsidR="00D60AC6" w:rsidRPr="00435A0E">
        <w:t xml:space="preserve"> </w:t>
      </w:r>
      <w:r w:rsidR="00BE5F24" w:rsidRPr="00435A0E">
        <w:t>damaged or misled</w:t>
      </w:r>
      <w:r w:rsidR="00D60AC6" w:rsidRPr="00435A0E">
        <w:t xml:space="preserve">.” </w:t>
      </w:r>
      <w:r w:rsidRPr="00435A0E">
        <w:t xml:space="preserve"> (</w:t>
      </w:r>
      <w:r w:rsidR="00ED6BC5" w:rsidRPr="00435A0E">
        <w:t>Voter</w:t>
      </w:r>
      <w:r w:rsidR="00DD1BF6" w:rsidRPr="00435A0E">
        <w:t xml:space="preserve"> </w:t>
      </w:r>
      <w:r w:rsidR="00456973" w:rsidRPr="00435A0E">
        <w:t xml:space="preserve">Information </w:t>
      </w:r>
      <w:r w:rsidR="00DD1BF6" w:rsidRPr="00435A0E">
        <w:t>Guide</w:t>
      </w:r>
      <w:r w:rsidRPr="00435A0E">
        <w:t>, Gen. Elec. (Nov. 2, 2004)</w:t>
      </w:r>
      <w:r w:rsidR="00456973" w:rsidRPr="00435A0E">
        <w:t xml:space="preserve"> argument in favor of Prop. 64,</w:t>
      </w:r>
      <w:r w:rsidRPr="00435A0E">
        <w:t xml:space="preserve"> p. </w:t>
      </w:r>
      <w:r w:rsidR="00D60AC6" w:rsidRPr="00435A0E">
        <w:t>40</w:t>
      </w:r>
      <w:r w:rsidRPr="00435A0E">
        <w:t xml:space="preserve">; </w:t>
      </w:r>
      <w:r w:rsidR="00911D4C" w:rsidRPr="00435A0E">
        <w:t xml:space="preserve">see </w:t>
      </w:r>
      <w:r w:rsidRPr="00435A0E">
        <w:rPr>
          <w:i/>
          <w:iCs/>
        </w:rPr>
        <w:t>In re Tobacco II Cases</w:t>
      </w:r>
      <w:r w:rsidRPr="00435A0E">
        <w:t xml:space="preserve"> (2009) 46 Cal.4th 298, </w:t>
      </w:r>
      <w:r w:rsidR="00A41F63" w:rsidRPr="00435A0E">
        <w:t>316</w:t>
      </w:r>
      <w:r w:rsidR="00456973" w:rsidRPr="00435A0E">
        <w:t>–</w:t>
      </w:r>
      <w:r w:rsidRPr="00435A0E">
        <w:t>317 (</w:t>
      </w:r>
      <w:r w:rsidRPr="00435A0E">
        <w:rPr>
          <w:i/>
          <w:iCs/>
        </w:rPr>
        <w:t>Tobacco II Cases</w:t>
      </w:r>
      <w:r w:rsidRPr="00435A0E">
        <w:t xml:space="preserve">); </w:t>
      </w:r>
      <w:r w:rsidRPr="00435A0E">
        <w:rPr>
          <w:i/>
          <w:iCs/>
        </w:rPr>
        <w:t>Angelucci v. Century Supper Club</w:t>
      </w:r>
      <w:r w:rsidRPr="00435A0E">
        <w:t xml:space="preserve"> (2007) 41 Cal.4th 160, 178</w:t>
      </w:r>
      <w:r w:rsidR="00E92074" w:rsidRPr="00435A0E">
        <w:t>, fn. 10</w:t>
      </w:r>
      <w:r w:rsidRPr="00435A0E">
        <w:t xml:space="preserve">.)  In response, the electorate approved </w:t>
      </w:r>
      <w:r w:rsidRPr="00435A0E">
        <w:lastRenderedPageBreak/>
        <w:t>Proposition 64, a 2004 initiative measure.  (</w:t>
      </w:r>
      <w:r w:rsidR="00373719" w:rsidRPr="00435A0E">
        <w:rPr>
          <w:i/>
          <w:iCs/>
        </w:rPr>
        <w:t>Californians</w:t>
      </w:r>
      <w:r w:rsidRPr="00435A0E">
        <w:rPr>
          <w:i/>
          <w:iCs/>
        </w:rPr>
        <w:t xml:space="preserve"> for Disability Rights v. Mervyn’s, LLC</w:t>
      </w:r>
      <w:r w:rsidRPr="00435A0E">
        <w:t xml:space="preserve"> (2006) 39 Cal.4th 223, 228</w:t>
      </w:r>
      <w:r w:rsidR="00471E30" w:rsidRPr="00435A0E">
        <w:t>–</w:t>
      </w:r>
      <w:r w:rsidRPr="00435A0E">
        <w:t>229 (</w:t>
      </w:r>
      <w:r w:rsidRPr="00435A0E">
        <w:rPr>
          <w:i/>
          <w:iCs/>
        </w:rPr>
        <w:t>Mervyn’s</w:t>
      </w:r>
      <w:r w:rsidRPr="00435A0E">
        <w:t xml:space="preserve">); see </w:t>
      </w:r>
      <w:r w:rsidR="00471E30" w:rsidRPr="00435A0E">
        <w:t xml:space="preserve">Voter Information Guide, Gen. Elec., </w:t>
      </w:r>
      <w:r w:rsidR="00471E30" w:rsidRPr="00435A0E">
        <w:rPr>
          <w:i/>
          <w:iCs/>
        </w:rPr>
        <w:t>supra</w:t>
      </w:r>
      <w:r w:rsidR="00471E30" w:rsidRPr="00435A0E">
        <w:t xml:space="preserve">, text of </w:t>
      </w:r>
      <w:r w:rsidRPr="00435A0E">
        <w:t>Prop. 64, § 1</w:t>
      </w:r>
      <w:r w:rsidR="00471E30" w:rsidRPr="00435A0E">
        <w:t>, p. 109</w:t>
      </w:r>
      <w:r w:rsidR="006C1451" w:rsidRPr="00435A0E">
        <w:t xml:space="preserve"> [findings and declarations of purpose]</w:t>
      </w:r>
      <w:r w:rsidRPr="00435A0E">
        <w:t>.)</w:t>
      </w:r>
    </w:p>
    <w:p w14:paraId="5F63BE35" w14:textId="3B346700" w:rsidR="00F726B2" w:rsidRPr="00435A0E" w:rsidRDefault="00CF6DA6" w:rsidP="00190BF7">
      <w:pPr>
        <w:tabs>
          <w:tab w:val="left" w:pos="1440"/>
        </w:tabs>
        <w:ind w:firstLine="720"/>
      </w:pPr>
      <w:r w:rsidRPr="00435A0E">
        <w:t xml:space="preserve">Proposition 64 limited the set of eligible private </w:t>
      </w:r>
      <w:r w:rsidR="002453DE" w:rsidRPr="00435A0E">
        <w:t xml:space="preserve">UCL </w:t>
      </w:r>
      <w:r w:rsidRPr="00435A0E">
        <w:t xml:space="preserve">plaintiffs to those </w:t>
      </w:r>
      <w:r w:rsidR="003371C4" w:rsidRPr="00435A0E">
        <w:t xml:space="preserve">persons </w:t>
      </w:r>
      <w:r w:rsidRPr="00435A0E">
        <w:t>who have “suffered injury in fact” and “lost money or property as a result of” the business act or practice at issue.  (</w:t>
      </w:r>
      <w:r w:rsidR="00471E30" w:rsidRPr="00435A0E">
        <w:t xml:space="preserve">Voter Information Guide, Gen. Elec., </w:t>
      </w:r>
      <w:r w:rsidR="00471E30" w:rsidRPr="00435A0E">
        <w:rPr>
          <w:i/>
          <w:iCs/>
        </w:rPr>
        <w:t>supra</w:t>
      </w:r>
      <w:r w:rsidR="00471E30" w:rsidRPr="00435A0E">
        <w:t xml:space="preserve">, text of </w:t>
      </w:r>
      <w:r w:rsidRPr="00435A0E">
        <w:t>Prop. 64, § 3</w:t>
      </w:r>
      <w:r w:rsidR="00471E30" w:rsidRPr="00435A0E">
        <w:t>, p. 109</w:t>
      </w:r>
      <w:r w:rsidRPr="00435A0E">
        <w:t>; § 17204.)</w:t>
      </w:r>
      <w:r w:rsidR="00F726B2" w:rsidRPr="00435A0E">
        <w:t xml:space="preserve">  </w:t>
      </w:r>
      <w:r w:rsidRPr="00435A0E">
        <w:t xml:space="preserve">The “injury in fact” requirement is borrowed from federal </w:t>
      </w:r>
      <w:r w:rsidR="00EA64E3" w:rsidRPr="00435A0E">
        <w:t xml:space="preserve">constitutional </w:t>
      </w:r>
      <w:r w:rsidRPr="00435A0E">
        <w:t xml:space="preserve">law and overlaps to a considerable degree with the “lost money or property” inquiry.  (§ 17204; </w:t>
      </w:r>
      <w:r w:rsidR="00F07E61" w:rsidRPr="00435A0E">
        <w:t xml:space="preserve">see </w:t>
      </w:r>
      <w:r w:rsidRPr="00435A0E">
        <w:rPr>
          <w:i/>
          <w:iCs/>
        </w:rPr>
        <w:t>Kwikset Corp. v. Superior Court</w:t>
      </w:r>
      <w:r w:rsidRPr="00435A0E">
        <w:t xml:space="preserve"> (2011) 51 Cal.4th 310, 322–323 &amp; fn. 5 (</w:t>
      </w:r>
      <w:r w:rsidRPr="00435A0E">
        <w:rPr>
          <w:i/>
          <w:iCs/>
        </w:rPr>
        <w:t>Kwikset</w:t>
      </w:r>
      <w:r w:rsidRPr="00435A0E">
        <w:t>)</w:t>
      </w:r>
      <w:r w:rsidR="005D4140" w:rsidRPr="00435A0E">
        <w:t>.)</w:t>
      </w:r>
      <w:r w:rsidR="00F726B2" w:rsidRPr="00435A0E">
        <w:t xml:space="preserve">  The core </w:t>
      </w:r>
      <w:r w:rsidR="006D4438" w:rsidRPr="00435A0E">
        <w:t>inquiry</w:t>
      </w:r>
      <w:r w:rsidR="00F726B2" w:rsidRPr="00435A0E">
        <w:t xml:space="preserve"> is whether the plaintiff has suffered “</w:t>
      </w:r>
      <w:r w:rsidR="00F726B2" w:rsidRPr="00435A0E">
        <w:rPr>
          <w:i/>
          <w:iCs/>
        </w:rPr>
        <w:t>economic injury</w:t>
      </w:r>
      <w:r w:rsidR="00F07E61" w:rsidRPr="00435A0E">
        <w:t> </w:t>
      </w:r>
      <w:r w:rsidR="00F726B2" w:rsidRPr="00435A0E">
        <w:t>. . . </w:t>
      </w:r>
      <w:r w:rsidR="00F726B2" w:rsidRPr="00435A0E">
        <w:rPr>
          <w:i/>
          <w:iCs/>
        </w:rPr>
        <w:t>caused by</w:t>
      </w:r>
      <w:r w:rsidR="00F07E61" w:rsidRPr="00435A0E">
        <w:t> . . .</w:t>
      </w:r>
      <w:r w:rsidR="00F726B2" w:rsidRPr="00435A0E">
        <w:t xml:space="preserve"> the unfair</w:t>
      </w:r>
      <w:r w:rsidR="00F07E61" w:rsidRPr="00435A0E">
        <w:t> </w:t>
      </w:r>
      <w:r w:rsidR="00F726B2" w:rsidRPr="00435A0E">
        <w:t>. . . practice</w:t>
      </w:r>
      <w:r w:rsidR="00F07E61" w:rsidRPr="00435A0E">
        <w:t> </w:t>
      </w:r>
      <w:r w:rsidR="00F726B2" w:rsidRPr="00435A0E">
        <w:t>. . . that is the gravamen of the claim.”  (</w:t>
      </w:r>
      <w:r w:rsidR="00F726B2" w:rsidRPr="00435A0E">
        <w:rPr>
          <w:i/>
          <w:iCs/>
        </w:rPr>
        <w:t>Id.</w:t>
      </w:r>
      <w:r w:rsidR="00F726B2" w:rsidRPr="00435A0E">
        <w:t xml:space="preserve"> at p. 322.)</w:t>
      </w:r>
    </w:p>
    <w:p w14:paraId="334DBC4F" w14:textId="403C99AB" w:rsidR="009A4223" w:rsidRPr="00435A0E" w:rsidRDefault="007E680B" w:rsidP="00190BF7">
      <w:pPr>
        <w:tabs>
          <w:tab w:val="left" w:pos="1440"/>
        </w:tabs>
        <w:ind w:firstLine="720"/>
      </w:pPr>
      <w:r w:rsidRPr="00435A0E">
        <w:t xml:space="preserve">Whether </w:t>
      </w:r>
      <w:r w:rsidR="00016FFA" w:rsidRPr="00435A0E">
        <w:t>CMA</w:t>
      </w:r>
      <w:r w:rsidRPr="00435A0E">
        <w:t xml:space="preserve"> </w:t>
      </w:r>
      <w:r w:rsidR="00E4756C" w:rsidRPr="00435A0E">
        <w:t>has</w:t>
      </w:r>
      <w:r w:rsidRPr="00435A0E">
        <w:t xml:space="preserve"> standing </w:t>
      </w:r>
      <w:r w:rsidR="00E4756C" w:rsidRPr="00435A0E">
        <w:t xml:space="preserve">to bring a claim under the </w:t>
      </w:r>
      <w:r w:rsidR="00A0492E" w:rsidRPr="00435A0E">
        <w:t xml:space="preserve">UCL </w:t>
      </w:r>
      <w:r w:rsidR="00EF2CCE" w:rsidRPr="00435A0E">
        <w:t xml:space="preserve">requires us to answer </w:t>
      </w:r>
      <w:r w:rsidRPr="00435A0E">
        <w:t>two questions</w:t>
      </w:r>
      <w:r w:rsidR="004F4312" w:rsidRPr="00435A0E">
        <w:t xml:space="preserve"> of statutory interpretation</w:t>
      </w:r>
      <w:r w:rsidRPr="00435A0E">
        <w:t>.</w:t>
      </w:r>
      <w:r w:rsidR="00CD06F2" w:rsidRPr="00435A0E">
        <w:rPr>
          <w:rStyle w:val="FootnoteReference"/>
        </w:rPr>
        <w:footnoteReference w:id="4"/>
      </w:r>
      <w:r w:rsidRPr="00435A0E">
        <w:t xml:space="preserve">  The first is whether diversion of staff time can qualify as an “injury in fact” and loss of “money or property” </w:t>
      </w:r>
      <w:r w:rsidR="004F4312" w:rsidRPr="00435A0E">
        <w:t xml:space="preserve">within the meaning of section </w:t>
      </w:r>
      <w:r w:rsidRPr="00435A0E">
        <w:t>17204.</w:t>
      </w:r>
      <w:r w:rsidR="00AD704F" w:rsidRPr="00435A0E">
        <w:t xml:space="preserve">  </w:t>
      </w:r>
      <w:r w:rsidRPr="00435A0E">
        <w:t xml:space="preserve">The second is whether an organization </w:t>
      </w:r>
      <w:r w:rsidR="00CB540B" w:rsidRPr="00435A0E">
        <w:t xml:space="preserve">that chose to divert staff time to counteract the </w:t>
      </w:r>
      <w:r w:rsidR="00A81055" w:rsidRPr="00435A0E">
        <w:t xml:space="preserve">defendant’s </w:t>
      </w:r>
      <w:r w:rsidR="000642C8" w:rsidRPr="00435A0E">
        <w:t xml:space="preserve">business </w:t>
      </w:r>
      <w:r w:rsidR="00CB540B" w:rsidRPr="00435A0E">
        <w:t xml:space="preserve">practice </w:t>
      </w:r>
      <w:r w:rsidRPr="00435A0E">
        <w:t xml:space="preserve">can be said to have lost that staff time “as a result of” </w:t>
      </w:r>
      <w:r w:rsidR="000642C8" w:rsidRPr="00435A0E">
        <w:t>(</w:t>
      </w:r>
      <w:r w:rsidR="000642C8" w:rsidRPr="00435A0E">
        <w:rPr>
          <w:i/>
          <w:iCs/>
        </w:rPr>
        <w:t>ibid.</w:t>
      </w:r>
      <w:r w:rsidR="000642C8" w:rsidRPr="00435A0E">
        <w:t xml:space="preserve">) </w:t>
      </w:r>
      <w:r w:rsidRPr="00435A0E">
        <w:t>th</w:t>
      </w:r>
      <w:r w:rsidR="00A81055" w:rsidRPr="00435A0E">
        <w:t>at</w:t>
      </w:r>
      <w:r w:rsidRPr="00435A0E">
        <w:t xml:space="preserve"> practice.</w:t>
      </w:r>
      <w:r w:rsidR="00074552" w:rsidRPr="00435A0E">
        <w:t xml:space="preserve">  </w:t>
      </w:r>
      <w:r w:rsidR="00AD704F" w:rsidRPr="00435A0E">
        <w:t>W</w:t>
      </w:r>
      <w:r w:rsidRPr="00435A0E">
        <w:t xml:space="preserve">e review </w:t>
      </w:r>
      <w:r w:rsidR="00AD704F" w:rsidRPr="00435A0E">
        <w:t xml:space="preserve">these </w:t>
      </w:r>
      <w:r w:rsidR="00AD704F" w:rsidRPr="00435A0E">
        <w:lastRenderedPageBreak/>
        <w:t>interpretive</w:t>
      </w:r>
      <w:r w:rsidR="00074850" w:rsidRPr="00435A0E">
        <w:t xml:space="preserve"> questions </w:t>
      </w:r>
      <w:r w:rsidRPr="00435A0E">
        <w:t>de novo</w:t>
      </w:r>
      <w:r w:rsidR="006B40B2" w:rsidRPr="00435A0E">
        <w:t xml:space="preserve">, </w:t>
      </w:r>
      <w:r w:rsidR="00606A8B" w:rsidRPr="00435A0E">
        <w:t>beginning</w:t>
      </w:r>
      <w:r w:rsidR="008244E5" w:rsidRPr="00435A0E">
        <w:t xml:space="preserve"> by </w:t>
      </w:r>
      <w:r w:rsidR="006B40B2" w:rsidRPr="00435A0E">
        <w:t xml:space="preserve">examining the statutory language </w:t>
      </w:r>
      <w:r w:rsidR="00FD1574" w:rsidRPr="00435A0E">
        <w:t xml:space="preserve">to </w:t>
      </w:r>
      <w:r w:rsidR="0012175B" w:rsidRPr="00435A0E">
        <w:t xml:space="preserve">determine the voters’ intent.  </w:t>
      </w:r>
      <w:r w:rsidR="004561CC" w:rsidRPr="00435A0E">
        <w:t>We construe that language in its full statutory context</w:t>
      </w:r>
      <w:r w:rsidR="002C5C9F" w:rsidRPr="00435A0E">
        <w:t xml:space="preserve">, </w:t>
      </w:r>
      <w:r w:rsidR="006550CA" w:rsidRPr="00435A0E">
        <w:t>keeping</w:t>
      </w:r>
      <w:r w:rsidR="002C5C9F" w:rsidRPr="00435A0E">
        <w:t xml:space="preserve"> in mind the nature and purposes of the </w:t>
      </w:r>
      <w:r w:rsidR="006550CA" w:rsidRPr="00435A0E">
        <w:t>statutory scheme as a whole.</w:t>
      </w:r>
      <w:r w:rsidRPr="00435A0E">
        <w:t xml:space="preserve">  (</w:t>
      </w:r>
      <w:r w:rsidRPr="00435A0E">
        <w:rPr>
          <w:i/>
          <w:iCs/>
        </w:rPr>
        <w:t>People v. Lewis</w:t>
      </w:r>
      <w:r w:rsidRPr="00435A0E">
        <w:t xml:space="preserve"> (2021) 11 Cal.5th 952, 961</w:t>
      </w:r>
      <w:r w:rsidR="00080D1A" w:rsidRPr="00435A0E">
        <w:t xml:space="preserve">; </w:t>
      </w:r>
      <w:r w:rsidR="003B3468" w:rsidRPr="00435A0E">
        <w:rPr>
          <w:i/>
          <w:iCs/>
        </w:rPr>
        <w:t>Kwikset</w:t>
      </w:r>
      <w:r w:rsidR="003B3468" w:rsidRPr="00435A0E">
        <w:t xml:space="preserve">, </w:t>
      </w:r>
      <w:r w:rsidR="003B3468" w:rsidRPr="00435A0E">
        <w:rPr>
          <w:i/>
          <w:iCs/>
        </w:rPr>
        <w:t>supra</w:t>
      </w:r>
      <w:r w:rsidR="003B3468" w:rsidRPr="00435A0E">
        <w:t>, 51 Cal.4th at p. 321</w:t>
      </w:r>
      <w:r w:rsidRPr="00435A0E">
        <w:t xml:space="preserve">.)  </w:t>
      </w:r>
      <w:r w:rsidR="00444002" w:rsidRPr="00435A0E">
        <w:t xml:space="preserve">To the extent </w:t>
      </w:r>
      <w:r w:rsidR="00111CE3" w:rsidRPr="00435A0E">
        <w:t xml:space="preserve">there are </w:t>
      </w:r>
      <w:r w:rsidR="00052D37" w:rsidRPr="00435A0E">
        <w:t xml:space="preserve">ambiguities in </w:t>
      </w:r>
      <w:r w:rsidR="00F255FB" w:rsidRPr="00435A0E">
        <w:t>the</w:t>
      </w:r>
      <w:r w:rsidR="00052D37" w:rsidRPr="00435A0E">
        <w:t xml:space="preserve"> initiative’</w:t>
      </w:r>
      <w:r w:rsidR="00A46868" w:rsidRPr="00435A0E">
        <w:t xml:space="preserve">s </w:t>
      </w:r>
      <w:r w:rsidR="00A14C78" w:rsidRPr="00435A0E">
        <w:t>language</w:t>
      </w:r>
      <w:r w:rsidR="00111CE3" w:rsidRPr="00435A0E">
        <w:t xml:space="preserve"> affecting its application to the case</w:t>
      </w:r>
      <w:r w:rsidR="00A46868" w:rsidRPr="00435A0E">
        <w:t xml:space="preserve">, we turn to </w:t>
      </w:r>
      <w:r w:rsidR="00080D1A" w:rsidRPr="00435A0E">
        <w:t>“</w:t>
      </w:r>
      <w:r w:rsidR="00A46868" w:rsidRPr="00435A0E">
        <w:t>extrinsic sources such as ballot summaries and arguments for insight into the voters</w:t>
      </w:r>
      <w:r w:rsidR="00080D1A" w:rsidRPr="00435A0E">
        <w:t>’</w:t>
      </w:r>
      <w:r w:rsidR="00A46868" w:rsidRPr="00435A0E">
        <w:t xml:space="preserve"> intent.” </w:t>
      </w:r>
      <w:r w:rsidR="003B3468" w:rsidRPr="00435A0E">
        <w:t xml:space="preserve"> (</w:t>
      </w:r>
      <w:r w:rsidR="003B3468" w:rsidRPr="00435A0E">
        <w:rPr>
          <w:i/>
          <w:iCs/>
        </w:rPr>
        <w:t>Kwikset</w:t>
      </w:r>
      <w:r w:rsidR="00072A5D" w:rsidRPr="00435A0E">
        <w:t>,</w:t>
      </w:r>
      <w:r w:rsidR="003B3468" w:rsidRPr="00435A0E">
        <w:rPr>
          <w:i/>
          <w:iCs/>
        </w:rPr>
        <w:t xml:space="preserve"> </w:t>
      </w:r>
      <w:r w:rsidR="003B3468" w:rsidRPr="00435A0E">
        <w:t>at p. 321.)</w:t>
      </w:r>
      <w:r w:rsidR="00A46868" w:rsidRPr="00435A0E">
        <w:t xml:space="preserve"> </w:t>
      </w:r>
    </w:p>
    <w:p w14:paraId="6E28C543" w14:textId="357C3C35" w:rsidR="006B33D5" w:rsidRPr="00435A0E" w:rsidRDefault="007E680B" w:rsidP="00190BF7">
      <w:pPr>
        <w:tabs>
          <w:tab w:val="left" w:pos="1440"/>
        </w:tabs>
        <w:ind w:firstLine="720"/>
      </w:pPr>
      <w:r w:rsidRPr="00435A0E">
        <w:t>Whether the trial court erred by granting Aetna’s motion for summary judgment is likewise subject to de novo review</w:t>
      </w:r>
      <w:r w:rsidR="00AC1972" w:rsidRPr="00435A0E">
        <w:t xml:space="preserve">, and like the trial court </w:t>
      </w:r>
      <w:r w:rsidR="005D390B" w:rsidRPr="00435A0E">
        <w:t xml:space="preserve">ruling on </w:t>
      </w:r>
      <w:r w:rsidR="00E44C89" w:rsidRPr="00435A0E">
        <w:t>the</w:t>
      </w:r>
      <w:r w:rsidR="005D390B" w:rsidRPr="00435A0E">
        <w:t xml:space="preserve"> motion, </w:t>
      </w:r>
      <w:r w:rsidRPr="00435A0E">
        <w:t xml:space="preserve">we must view the evidence in the light most favorable to </w:t>
      </w:r>
      <w:r w:rsidR="00016FFA" w:rsidRPr="00435A0E">
        <w:t>CMA</w:t>
      </w:r>
      <w:r w:rsidRPr="00435A0E">
        <w:t xml:space="preserve"> and draw all reasonable inferences in </w:t>
      </w:r>
      <w:r w:rsidR="00016FFA" w:rsidRPr="00435A0E">
        <w:t>CMA</w:t>
      </w:r>
      <w:r w:rsidRPr="00435A0E">
        <w:t>’s favor</w:t>
      </w:r>
      <w:r w:rsidR="005D390B" w:rsidRPr="00435A0E">
        <w:t>.</w:t>
      </w:r>
      <w:r w:rsidR="00E44C89" w:rsidRPr="00435A0E">
        <w:t xml:space="preserve">  </w:t>
      </w:r>
      <w:r w:rsidRPr="00435A0E">
        <w:t>(</w:t>
      </w:r>
      <w:r w:rsidRPr="00435A0E">
        <w:rPr>
          <w:i/>
          <w:iCs/>
        </w:rPr>
        <w:t>Weiss v. People ex rel. Department of Transportation</w:t>
      </w:r>
      <w:r w:rsidRPr="00435A0E">
        <w:t xml:space="preserve"> (2020) 9 Cal.5th 840, 864</w:t>
      </w:r>
      <w:r w:rsidR="00DC303E" w:rsidRPr="00435A0E">
        <w:t xml:space="preserve">; </w:t>
      </w:r>
      <w:r w:rsidR="00DC303E" w:rsidRPr="00435A0E">
        <w:rPr>
          <w:i/>
          <w:iCs/>
        </w:rPr>
        <w:t>Samara v. Matar</w:t>
      </w:r>
      <w:r w:rsidR="00DC303E" w:rsidRPr="00435A0E">
        <w:t xml:space="preserve"> (2018) 5 Cal.5th 322, 338</w:t>
      </w:r>
      <w:r w:rsidR="00AB2904" w:rsidRPr="00435A0E">
        <w:t>.</w:t>
      </w:r>
      <w:r w:rsidR="00DC303E" w:rsidRPr="00435A0E">
        <w:t>)</w:t>
      </w:r>
      <w:r w:rsidRPr="00435A0E">
        <w:t xml:space="preserve"> </w:t>
      </w:r>
    </w:p>
    <w:p w14:paraId="5E3D9300" w14:textId="33A800B9" w:rsidR="00A55D8A" w:rsidRPr="00435A0E" w:rsidRDefault="00BC2D75" w:rsidP="00190BF7">
      <w:pPr>
        <w:pStyle w:val="Heading2"/>
        <w:numPr>
          <w:ilvl w:val="0"/>
          <w:numId w:val="1"/>
        </w:numPr>
      </w:pPr>
      <w:r w:rsidRPr="00435A0E">
        <w:t>Economic Injury</w:t>
      </w:r>
      <w:r w:rsidR="00AA19BB" w:rsidRPr="00435A0E">
        <w:t xml:space="preserve"> </w:t>
      </w:r>
    </w:p>
    <w:p w14:paraId="2D774389" w14:textId="10001098" w:rsidR="008D538C" w:rsidRPr="00435A0E" w:rsidRDefault="00DF4225" w:rsidP="00190BF7">
      <w:pPr>
        <w:tabs>
          <w:tab w:val="left" w:pos="1440"/>
        </w:tabs>
        <w:ind w:firstLine="720"/>
      </w:pPr>
      <w:r w:rsidRPr="00435A0E">
        <w:t>A</w:t>
      </w:r>
      <w:r w:rsidR="0015589F" w:rsidRPr="00435A0E">
        <w:t xml:space="preserve"> private plaintiff has </w:t>
      </w:r>
      <w:r w:rsidR="00E33E20" w:rsidRPr="00435A0E">
        <w:t xml:space="preserve">UCL standing only </w:t>
      </w:r>
      <w:r w:rsidR="00EE4B0A" w:rsidRPr="00435A0E">
        <w:t xml:space="preserve">if that plaintiff “has suffered injury in fact and has lost money or property.”  (§ 17204.)  </w:t>
      </w:r>
      <w:r w:rsidR="009E4B4B" w:rsidRPr="00435A0E">
        <w:t xml:space="preserve">Because loss of money or property </w:t>
      </w:r>
      <w:r w:rsidR="004D26ED" w:rsidRPr="00435A0E">
        <w:t>is a subset of injury</w:t>
      </w:r>
      <w:r w:rsidR="00F668A1" w:rsidRPr="00435A0E">
        <w:t xml:space="preserve"> </w:t>
      </w:r>
      <w:r w:rsidR="004D26ED" w:rsidRPr="00435A0E">
        <w:t>in</w:t>
      </w:r>
      <w:r w:rsidR="00F668A1" w:rsidRPr="00435A0E">
        <w:t xml:space="preserve"> </w:t>
      </w:r>
      <w:r w:rsidR="004D26ED" w:rsidRPr="00435A0E">
        <w:t>fact</w:t>
      </w:r>
      <w:r w:rsidR="00B54F5E" w:rsidRPr="00435A0E">
        <w:t xml:space="preserve">, </w:t>
      </w:r>
      <w:r w:rsidR="00D72EE8" w:rsidRPr="00435A0E">
        <w:t xml:space="preserve">proof of </w:t>
      </w:r>
      <w:r w:rsidR="001153EF" w:rsidRPr="00435A0E">
        <w:t>harm</w:t>
      </w:r>
      <w:r w:rsidR="008A1841" w:rsidRPr="00435A0E">
        <w:t xml:space="preserve"> </w:t>
      </w:r>
      <w:r w:rsidR="00FC215C" w:rsidRPr="00435A0E">
        <w:t xml:space="preserve">to money or property </w:t>
      </w:r>
      <w:r w:rsidR="00E103D8" w:rsidRPr="00435A0E">
        <w:t xml:space="preserve">will </w:t>
      </w:r>
      <w:r w:rsidR="000F7607" w:rsidRPr="00435A0E">
        <w:t>generally</w:t>
      </w:r>
      <w:r w:rsidR="005A0E37" w:rsidRPr="00435A0E">
        <w:t xml:space="preserve"> satisfy the injury-in-fact requirement.  </w:t>
      </w:r>
      <w:r w:rsidR="00AC412E" w:rsidRPr="00435A0E">
        <w:t>(</w:t>
      </w:r>
      <w:r w:rsidR="002D724B" w:rsidRPr="00435A0E">
        <w:t xml:space="preserve">See </w:t>
      </w:r>
      <w:r w:rsidR="00AC412E" w:rsidRPr="00435A0E">
        <w:rPr>
          <w:i/>
          <w:iCs/>
        </w:rPr>
        <w:t>Kwikset</w:t>
      </w:r>
      <w:r w:rsidR="00AC412E" w:rsidRPr="00435A0E">
        <w:t xml:space="preserve">, </w:t>
      </w:r>
      <w:r w:rsidR="00AC412E" w:rsidRPr="00435A0E">
        <w:rPr>
          <w:i/>
          <w:iCs/>
        </w:rPr>
        <w:t>supra</w:t>
      </w:r>
      <w:r w:rsidR="00AC412E" w:rsidRPr="00435A0E">
        <w:t>, 51 Cal.4th at p</w:t>
      </w:r>
      <w:r w:rsidR="006D7FC4" w:rsidRPr="00435A0E">
        <w:t>p</w:t>
      </w:r>
      <w:r w:rsidR="00AC412E" w:rsidRPr="00435A0E">
        <w:t>. 323</w:t>
      </w:r>
      <w:r w:rsidR="00EB706E" w:rsidRPr="00435A0E">
        <w:t>, 325</w:t>
      </w:r>
      <w:r w:rsidR="00AC412E" w:rsidRPr="00435A0E">
        <w:t>.)</w:t>
      </w:r>
      <w:r w:rsidR="00EB706E" w:rsidRPr="00435A0E">
        <w:t xml:space="preserve">  </w:t>
      </w:r>
      <w:r w:rsidR="00375B5E" w:rsidRPr="00435A0E">
        <w:t xml:space="preserve"> </w:t>
      </w:r>
    </w:p>
    <w:p w14:paraId="53637F43" w14:textId="5E20E699" w:rsidR="00B44038" w:rsidRPr="00435A0E" w:rsidRDefault="00ED1FD4" w:rsidP="00190BF7">
      <w:pPr>
        <w:tabs>
          <w:tab w:val="left" w:pos="1440"/>
        </w:tabs>
        <w:ind w:firstLine="720"/>
      </w:pPr>
      <w:r w:rsidRPr="00435A0E">
        <w:t>The phrase “injury in fact” is borrowed from</w:t>
      </w:r>
      <w:r w:rsidR="002F4387" w:rsidRPr="00435A0E">
        <w:t>, and was intended to incorporate</w:t>
      </w:r>
      <w:r w:rsidR="00D15334" w:rsidRPr="00435A0E">
        <w:t xml:space="preserve"> aspects of</w:t>
      </w:r>
      <w:r w:rsidR="00C47D84" w:rsidRPr="00435A0E">
        <w:t>,</w:t>
      </w:r>
      <w:r w:rsidRPr="00435A0E">
        <w:t xml:space="preserve"> </w:t>
      </w:r>
      <w:r w:rsidR="00D15334" w:rsidRPr="00435A0E">
        <w:t xml:space="preserve">the </w:t>
      </w:r>
      <w:r w:rsidRPr="00435A0E">
        <w:t xml:space="preserve">federal </w:t>
      </w:r>
      <w:r w:rsidR="00735292" w:rsidRPr="00435A0E">
        <w:t xml:space="preserve">constitutional </w:t>
      </w:r>
      <w:r w:rsidRPr="00435A0E">
        <w:t>law</w:t>
      </w:r>
      <w:r w:rsidR="00D15334" w:rsidRPr="00435A0E">
        <w:t xml:space="preserve"> of standing</w:t>
      </w:r>
      <w:r w:rsidRPr="00435A0E">
        <w:t xml:space="preserve">.  </w:t>
      </w:r>
      <w:r w:rsidR="00C47D84" w:rsidRPr="00435A0E">
        <w:t>(See</w:t>
      </w:r>
      <w:r w:rsidR="002B4177" w:rsidRPr="00435A0E">
        <w:t xml:space="preserve"> </w:t>
      </w:r>
      <w:r w:rsidR="00C67C6C" w:rsidRPr="00435A0E">
        <w:t xml:space="preserve">Voter Information Guide, Gen. Elec., </w:t>
      </w:r>
      <w:r w:rsidR="00C67C6C" w:rsidRPr="00435A0E">
        <w:rPr>
          <w:i/>
          <w:iCs/>
        </w:rPr>
        <w:t>supra</w:t>
      </w:r>
      <w:r w:rsidR="00C67C6C" w:rsidRPr="00435A0E">
        <w:t xml:space="preserve">, text of </w:t>
      </w:r>
      <w:r w:rsidR="00C47D84" w:rsidRPr="00435A0E">
        <w:t>Prop. 64, §</w:t>
      </w:r>
      <w:r w:rsidR="007D2660">
        <w:t xml:space="preserve"> </w:t>
      </w:r>
      <w:r w:rsidR="00C47D84" w:rsidRPr="00435A0E">
        <w:t>1</w:t>
      </w:r>
      <w:r w:rsidR="00C67C6C" w:rsidRPr="00435A0E">
        <w:t xml:space="preserve">, subd. </w:t>
      </w:r>
      <w:r w:rsidR="00C47D84" w:rsidRPr="00435A0E">
        <w:t>(e)</w:t>
      </w:r>
      <w:r w:rsidR="00C67C6C" w:rsidRPr="00435A0E">
        <w:t>, p. 109</w:t>
      </w:r>
      <w:r w:rsidR="00C47D84" w:rsidRPr="00435A0E">
        <w:t xml:space="preserve"> [declaring intent to limit standing to plaintiffs who have been “</w:t>
      </w:r>
      <w:r w:rsidR="00C47D84" w:rsidRPr="00435A0E">
        <w:rPr>
          <w:szCs w:val="26"/>
        </w:rPr>
        <w:t>injured in fact under the standing requirements of the United States Constitution”]</w:t>
      </w:r>
      <w:r w:rsidR="00C67C6C" w:rsidRPr="00435A0E">
        <w:rPr>
          <w:szCs w:val="26"/>
        </w:rPr>
        <w:t>.</w:t>
      </w:r>
      <w:r w:rsidR="00C47D84" w:rsidRPr="00435A0E">
        <w:rPr>
          <w:szCs w:val="26"/>
        </w:rPr>
        <w:t xml:space="preserve">)  </w:t>
      </w:r>
      <w:r w:rsidRPr="00435A0E">
        <w:t>To</w:t>
      </w:r>
      <w:r w:rsidR="00AE3A28" w:rsidRPr="00435A0E">
        <w:t xml:space="preserve"> establish a </w:t>
      </w:r>
      <w:r w:rsidR="00095AA2" w:rsidRPr="00435A0E">
        <w:t xml:space="preserve">case or controversy within the scope of </w:t>
      </w:r>
      <w:r w:rsidR="00EA05FA" w:rsidRPr="00435A0E">
        <w:t>the</w:t>
      </w:r>
      <w:r w:rsidR="00095AA2" w:rsidRPr="00435A0E">
        <w:t xml:space="preserve"> federal </w:t>
      </w:r>
      <w:r w:rsidR="00095AA2" w:rsidRPr="00435A0E">
        <w:lastRenderedPageBreak/>
        <w:t>judicial power (</w:t>
      </w:r>
      <w:r w:rsidR="00417764" w:rsidRPr="00435A0E">
        <w:t>U.S. Const., art. III</w:t>
      </w:r>
      <w:r w:rsidR="00FE2397" w:rsidRPr="00435A0E">
        <w:t>,</w:t>
      </w:r>
      <w:r w:rsidR="006453D0" w:rsidRPr="00435A0E">
        <w:t xml:space="preserve"> §</w:t>
      </w:r>
      <w:r w:rsidR="00037366" w:rsidRPr="00435A0E">
        <w:t xml:space="preserve"> </w:t>
      </w:r>
      <w:r w:rsidR="006D7FC4" w:rsidRPr="00435A0E">
        <w:t>2</w:t>
      </w:r>
      <w:r w:rsidR="00417764" w:rsidRPr="00435A0E">
        <w:t>)</w:t>
      </w:r>
      <w:r w:rsidR="00EA05FA" w:rsidRPr="00435A0E">
        <w:t xml:space="preserve">, a plaintiff in federal court </w:t>
      </w:r>
      <w:r w:rsidR="00D325F9" w:rsidRPr="00435A0E">
        <w:t>“must show (</w:t>
      </w:r>
      <w:r w:rsidR="006855E1" w:rsidRPr="00435A0E">
        <w:t>1) an injury in fact, (2) fairly traceable to the challenged conduct of the defendant, (3) that is likely to be redressed by the requested relief</w:t>
      </w:r>
      <w:r w:rsidR="0018730C" w:rsidRPr="00435A0E">
        <w:t>.</w:t>
      </w:r>
      <w:r w:rsidR="006855E1" w:rsidRPr="00435A0E">
        <w:t>”</w:t>
      </w:r>
      <w:r w:rsidR="00075750" w:rsidRPr="00435A0E">
        <w:t xml:space="preserve"> </w:t>
      </w:r>
      <w:r w:rsidR="0018730C" w:rsidRPr="00435A0E">
        <w:t xml:space="preserve"> </w:t>
      </w:r>
      <w:r w:rsidR="006855E1" w:rsidRPr="00435A0E">
        <w:t>(</w:t>
      </w:r>
      <w:r w:rsidR="006855E1" w:rsidRPr="00435A0E">
        <w:rPr>
          <w:i/>
          <w:iCs/>
        </w:rPr>
        <w:t>Federal Election Commission v. Cruz</w:t>
      </w:r>
      <w:r w:rsidR="006855E1" w:rsidRPr="00435A0E">
        <w:t xml:space="preserve"> (2022) </w:t>
      </w:r>
      <w:r w:rsidR="00F07E61" w:rsidRPr="00435A0E">
        <w:t>__ U.S. __ [</w:t>
      </w:r>
      <w:r w:rsidR="006855E1" w:rsidRPr="00435A0E">
        <w:t>142 S.Ct. 1638, 1646</w:t>
      </w:r>
      <w:r w:rsidR="00F07E61" w:rsidRPr="00435A0E">
        <w:t>]</w:t>
      </w:r>
      <w:r w:rsidR="0018730C" w:rsidRPr="00435A0E">
        <w:t>.</w:t>
      </w:r>
      <w:r w:rsidR="00075750" w:rsidRPr="00435A0E">
        <w:t xml:space="preserve">)  </w:t>
      </w:r>
      <w:r w:rsidR="006855E1" w:rsidRPr="00435A0E">
        <w:t xml:space="preserve">Proposition 64 </w:t>
      </w:r>
      <w:r w:rsidR="00FF5ECC" w:rsidRPr="00435A0E">
        <w:t>incorporated the injury</w:t>
      </w:r>
      <w:r w:rsidR="0037789A" w:rsidRPr="00435A0E">
        <w:noBreakHyphen/>
      </w:r>
      <w:r w:rsidR="00FF5ECC" w:rsidRPr="00435A0E">
        <w:t>in</w:t>
      </w:r>
      <w:r w:rsidR="0037789A" w:rsidRPr="00435A0E">
        <w:noBreakHyphen/>
      </w:r>
      <w:r w:rsidR="00FF5ECC" w:rsidRPr="00435A0E">
        <w:t>fact requirement into the UCL (</w:t>
      </w:r>
      <w:r w:rsidR="00FF5ECC" w:rsidRPr="00435A0E">
        <w:rPr>
          <w:i/>
          <w:iCs/>
        </w:rPr>
        <w:t>Kwikset</w:t>
      </w:r>
      <w:r w:rsidR="00FF5ECC" w:rsidRPr="00435A0E">
        <w:t xml:space="preserve">, </w:t>
      </w:r>
      <w:r w:rsidR="00FF5ECC" w:rsidRPr="00435A0E">
        <w:rPr>
          <w:i/>
          <w:iCs/>
        </w:rPr>
        <w:t>supra</w:t>
      </w:r>
      <w:r w:rsidR="00FF5ECC" w:rsidRPr="00435A0E">
        <w:t>, 51 Cal.4th at pp. 322</w:t>
      </w:r>
      <w:r w:rsidR="009A2EDB" w:rsidRPr="00435A0E">
        <w:t>–</w:t>
      </w:r>
      <w:r w:rsidR="00FF5ECC" w:rsidRPr="00435A0E">
        <w:t xml:space="preserve">323) but </w:t>
      </w:r>
      <w:r w:rsidR="00CB36BA" w:rsidRPr="00435A0E">
        <w:t xml:space="preserve">did not borrow the </w:t>
      </w:r>
      <w:r w:rsidR="00CD652C" w:rsidRPr="00435A0E">
        <w:t xml:space="preserve">traceability </w:t>
      </w:r>
      <w:r w:rsidR="00CB36BA" w:rsidRPr="00435A0E">
        <w:t>or</w:t>
      </w:r>
      <w:r w:rsidR="00CD652C" w:rsidRPr="00435A0E">
        <w:t xml:space="preserve"> redressability requirements of the federal </w:t>
      </w:r>
      <w:r w:rsidR="008B007F" w:rsidRPr="00435A0E">
        <w:t xml:space="preserve">standing </w:t>
      </w:r>
      <w:r w:rsidR="00CD652C" w:rsidRPr="00435A0E">
        <w:t>inquiry.</w:t>
      </w:r>
      <w:r w:rsidR="006D30C3" w:rsidRPr="00435A0E">
        <w:rPr>
          <w:rStyle w:val="FootnoteReference"/>
        </w:rPr>
        <w:footnoteReference w:id="5"/>
      </w:r>
      <w:r w:rsidR="00FB3F28" w:rsidRPr="00435A0E">
        <w:t xml:space="preserve">  </w:t>
      </w:r>
      <w:r w:rsidR="00CB4B51" w:rsidRPr="00435A0E">
        <w:t xml:space="preserve">To show an injury in fact, </w:t>
      </w:r>
      <w:r w:rsidRPr="00435A0E">
        <w:t xml:space="preserve">a plaintiff must identify </w:t>
      </w:r>
      <w:r w:rsidR="0019242A" w:rsidRPr="00435A0E">
        <w:t xml:space="preserve">“ ‘an invasion of a legally protected interest which is (a) concrete and </w:t>
      </w:r>
      <w:r w:rsidR="00A405AB" w:rsidRPr="00435A0E">
        <w:t>particularized, [citations]; and (b) “actual or imminent, not ‘conjectural’ or ‘hypothetical</w:t>
      </w:r>
      <w:r w:rsidR="00C67C6C" w:rsidRPr="00435A0E">
        <w:t>.</w:t>
      </w:r>
      <w:r w:rsidR="00A405AB" w:rsidRPr="00435A0E">
        <w:t>’ ”</w:t>
      </w:r>
      <w:r w:rsidR="00C67C6C" w:rsidRPr="00435A0E">
        <w:t> </w:t>
      </w:r>
      <w:r w:rsidR="00A405AB" w:rsidRPr="00435A0E">
        <w:t>’ ”  (</w:t>
      </w:r>
      <w:r w:rsidR="00FB3F28" w:rsidRPr="00435A0E">
        <w:rPr>
          <w:i/>
          <w:iCs/>
        </w:rPr>
        <w:t>Kwikset</w:t>
      </w:r>
      <w:r w:rsidR="00FB3F28" w:rsidRPr="00435A0E">
        <w:t>,</w:t>
      </w:r>
      <w:r w:rsidR="00A405AB" w:rsidRPr="00435A0E">
        <w:t xml:space="preserve"> at p. </w:t>
      </w:r>
      <w:r w:rsidR="00CE0C16" w:rsidRPr="00435A0E">
        <w:t>322.)</w:t>
      </w:r>
      <w:r w:rsidR="00354CF6" w:rsidRPr="00435A0E">
        <w:t xml:space="preserve">  </w:t>
      </w:r>
    </w:p>
    <w:p w14:paraId="7EF4B3B9" w14:textId="6F4AF7E9" w:rsidR="00441A6E" w:rsidRPr="00435A0E" w:rsidRDefault="0005605D" w:rsidP="00190BF7">
      <w:pPr>
        <w:tabs>
          <w:tab w:val="left" w:pos="1440"/>
        </w:tabs>
        <w:ind w:firstLine="720"/>
      </w:pPr>
      <w:r w:rsidRPr="00435A0E">
        <w:t xml:space="preserve">The UCL’s focus on </w:t>
      </w:r>
      <w:r w:rsidR="00AB60E9" w:rsidRPr="00435A0E">
        <w:t>“lo</w:t>
      </w:r>
      <w:r w:rsidR="00B62E1F">
        <w:t>s</w:t>
      </w:r>
      <w:r w:rsidR="00AB60E9" w:rsidRPr="00435A0E">
        <w:t>[</w:t>
      </w:r>
      <w:r w:rsidR="00F45845" w:rsidRPr="00435A0E">
        <w:t>s</w:t>
      </w:r>
      <w:r w:rsidR="00AB60E9" w:rsidRPr="00435A0E">
        <w:t xml:space="preserve">]” of </w:t>
      </w:r>
      <w:r w:rsidRPr="00435A0E">
        <w:t xml:space="preserve">“money or property” (§ 17204) restricts the broad range of harms that </w:t>
      </w:r>
      <w:r w:rsidR="004C6D8D" w:rsidRPr="00435A0E">
        <w:t xml:space="preserve">could otherwise </w:t>
      </w:r>
      <w:r w:rsidR="003421DD" w:rsidRPr="00435A0E">
        <w:t xml:space="preserve">give rise to standing.  </w:t>
      </w:r>
      <w:r w:rsidR="0069203D" w:rsidRPr="00435A0E">
        <w:t xml:space="preserve">As a matter of federal law, </w:t>
      </w:r>
      <w:r w:rsidR="00196634" w:rsidRPr="00435A0E">
        <w:t>an injury can be concrete</w:t>
      </w:r>
      <w:r w:rsidR="00C31A58">
        <w:t> </w:t>
      </w:r>
      <w:r w:rsidR="00672D6E" w:rsidRPr="00435A0E">
        <w:t>— i.e., “ ‘real,’ and not ‘</w:t>
      </w:r>
      <w:r w:rsidR="00BA5118" w:rsidRPr="00435A0E">
        <w:t>abstract’ </w:t>
      </w:r>
      <w:r w:rsidR="00672D6E" w:rsidRPr="00435A0E">
        <w:t>”</w:t>
      </w:r>
      <w:r w:rsidR="00C31A58">
        <w:t> </w:t>
      </w:r>
      <w:r w:rsidR="00672D6E" w:rsidRPr="00435A0E">
        <w:t xml:space="preserve">— even if </w:t>
      </w:r>
      <w:r w:rsidR="00196634" w:rsidRPr="00435A0E">
        <w:t xml:space="preserve">the injury </w:t>
      </w:r>
      <w:r w:rsidR="00672D6E" w:rsidRPr="00435A0E">
        <w:t xml:space="preserve">is </w:t>
      </w:r>
      <w:r w:rsidR="00514C2A" w:rsidRPr="00435A0E">
        <w:t>personal instead of economic</w:t>
      </w:r>
      <w:r w:rsidR="005855BB" w:rsidRPr="00435A0E">
        <w:t xml:space="preserve">; even certain </w:t>
      </w:r>
      <w:r w:rsidR="00672D6E" w:rsidRPr="00435A0E">
        <w:t>intangible</w:t>
      </w:r>
      <w:r w:rsidR="005855BB" w:rsidRPr="00435A0E">
        <w:t xml:space="preserve"> injuries qualify as injury </w:t>
      </w:r>
      <w:r w:rsidR="00E971B7" w:rsidRPr="00435A0E">
        <w:t>in fact</w:t>
      </w:r>
      <w:r w:rsidR="00672D6E" w:rsidRPr="00435A0E">
        <w:t>.  (</w:t>
      </w:r>
      <w:r w:rsidR="00672D6E" w:rsidRPr="00435A0E">
        <w:rPr>
          <w:i/>
          <w:iCs/>
        </w:rPr>
        <w:t>Spokeo, Inc. v. Robins</w:t>
      </w:r>
      <w:r w:rsidR="00672D6E" w:rsidRPr="00435A0E">
        <w:t xml:space="preserve"> (2016) 578 U.S. 330, 340</w:t>
      </w:r>
      <w:r w:rsidR="00962A71" w:rsidRPr="00435A0E">
        <w:t xml:space="preserve">; </w:t>
      </w:r>
      <w:r w:rsidR="001660F1" w:rsidRPr="00435A0E">
        <w:t xml:space="preserve">accord, </w:t>
      </w:r>
      <w:r w:rsidR="00690709" w:rsidRPr="00435A0E">
        <w:rPr>
          <w:i/>
          <w:iCs/>
        </w:rPr>
        <w:t>TransUnion LLC v. Ramirez</w:t>
      </w:r>
      <w:r w:rsidR="00690709" w:rsidRPr="00435A0E">
        <w:t xml:space="preserve"> (2021) __ U.S. __</w:t>
      </w:r>
      <w:r w:rsidR="00165B43" w:rsidRPr="00435A0E">
        <w:t xml:space="preserve"> [141 S.Ct. 2190, 2204]</w:t>
      </w:r>
      <w:r w:rsidR="00690709" w:rsidRPr="00435A0E">
        <w:t xml:space="preserve">; </w:t>
      </w:r>
      <w:r w:rsidR="00D45C00" w:rsidRPr="00435A0E">
        <w:rPr>
          <w:i/>
          <w:iCs/>
        </w:rPr>
        <w:t>Kwikset</w:t>
      </w:r>
      <w:r w:rsidR="00D45C00" w:rsidRPr="00435A0E">
        <w:t xml:space="preserve">, </w:t>
      </w:r>
      <w:r w:rsidR="00362607">
        <w:rPr>
          <w:i/>
          <w:iCs/>
        </w:rPr>
        <w:t>supra</w:t>
      </w:r>
      <w:r w:rsidR="00362607">
        <w:t>, 51 Cal.4th</w:t>
      </w:r>
      <w:r w:rsidR="00362607">
        <w:rPr>
          <w:i/>
          <w:iCs/>
        </w:rPr>
        <w:t xml:space="preserve"> </w:t>
      </w:r>
      <w:r w:rsidR="00D45C00" w:rsidRPr="00435A0E">
        <w:t xml:space="preserve">at p. 324, fn. 6.)  </w:t>
      </w:r>
      <w:r w:rsidR="0032663B" w:rsidRPr="00435A0E">
        <w:t>Under the UCL, however, only</w:t>
      </w:r>
      <w:r w:rsidR="008B740E" w:rsidRPr="00435A0E">
        <w:t xml:space="preserve"> injuries to money or property</w:t>
      </w:r>
      <w:r w:rsidR="00C31A58">
        <w:t> </w:t>
      </w:r>
      <w:r w:rsidR="00B86EFC" w:rsidRPr="00435A0E">
        <w:t xml:space="preserve">— </w:t>
      </w:r>
      <w:r w:rsidR="00D97E2B" w:rsidRPr="00435A0E">
        <w:t>that is, only economic injuries</w:t>
      </w:r>
      <w:r w:rsidR="00C31A58">
        <w:t> </w:t>
      </w:r>
      <w:r w:rsidR="00B86EFC" w:rsidRPr="00435A0E">
        <w:t xml:space="preserve">— </w:t>
      </w:r>
      <w:r w:rsidR="008B740E" w:rsidRPr="00435A0E">
        <w:t>can support standing</w:t>
      </w:r>
      <w:r w:rsidR="00D45C00" w:rsidRPr="00435A0E">
        <w:t xml:space="preserve">.  </w:t>
      </w:r>
      <w:r w:rsidR="00A42AEF" w:rsidRPr="00435A0E">
        <w:t>(</w:t>
      </w:r>
      <w:r w:rsidR="00A42AEF" w:rsidRPr="00435A0E">
        <w:rPr>
          <w:i/>
          <w:iCs/>
        </w:rPr>
        <w:t>Kwikset</w:t>
      </w:r>
      <w:r w:rsidR="00A42AEF" w:rsidRPr="00435A0E">
        <w:t>, at p. 324.)</w:t>
      </w:r>
      <w:r w:rsidR="00460AC6" w:rsidRPr="00435A0E">
        <w:t xml:space="preserve">  </w:t>
      </w:r>
    </w:p>
    <w:p w14:paraId="210AF583" w14:textId="70602BD1" w:rsidR="00E701A5" w:rsidRPr="00435A0E" w:rsidRDefault="00995A90" w:rsidP="00190BF7">
      <w:pPr>
        <w:tabs>
          <w:tab w:val="left" w:pos="1440"/>
        </w:tabs>
        <w:ind w:firstLine="720"/>
      </w:pPr>
      <w:r w:rsidRPr="00435A0E">
        <w:lastRenderedPageBreak/>
        <w:t>Beyond this limitation to economic injuries, section 17204’s</w:t>
      </w:r>
      <w:r w:rsidR="00597AB0" w:rsidRPr="00435A0E">
        <w:t xml:space="preserve"> </w:t>
      </w:r>
      <w:r w:rsidR="00516865" w:rsidRPr="00435A0E">
        <w:t>reference to “</w:t>
      </w:r>
      <w:r w:rsidR="00597AB0" w:rsidRPr="00435A0E">
        <w:t xml:space="preserve">money or property” does not otherwise </w:t>
      </w:r>
      <w:r w:rsidR="00E779EB" w:rsidRPr="00435A0E">
        <w:t xml:space="preserve">define or limit </w:t>
      </w:r>
      <w:r w:rsidR="00597AB0" w:rsidRPr="00435A0E">
        <w:t xml:space="preserve">the injury-in-fact inquiry.  </w:t>
      </w:r>
      <w:r w:rsidR="00A83F21" w:rsidRPr="00435A0E">
        <w:t>(</w:t>
      </w:r>
      <w:r w:rsidR="00A83F21" w:rsidRPr="00435A0E">
        <w:rPr>
          <w:i/>
          <w:iCs/>
        </w:rPr>
        <w:t>Kwikset</w:t>
      </w:r>
      <w:r w:rsidR="00A83F21" w:rsidRPr="00435A0E">
        <w:t xml:space="preserve">, </w:t>
      </w:r>
      <w:r w:rsidR="00A83F21" w:rsidRPr="00435A0E">
        <w:rPr>
          <w:i/>
          <w:iCs/>
        </w:rPr>
        <w:t>supra</w:t>
      </w:r>
      <w:r w:rsidR="00A83F21" w:rsidRPr="00435A0E">
        <w:t>, 51 Cal.4th at p</w:t>
      </w:r>
      <w:r w:rsidR="008462C5" w:rsidRPr="00435A0E">
        <w:t>p</w:t>
      </w:r>
      <w:r w:rsidR="00A83F21" w:rsidRPr="00435A0E">
        <w:t>. </w:t>
      </w:r>
      <w:r w:rsidR="008462C5" w:rsidRPr="00435A0E">
        <w:t>323</w:t>
      </w:r>
      <w:r w:rsidR="009A2EDB" w:rsidRPr="00435A0E">
        <w:t>–</w:t>
      </w:r>
      <w:r w:rsidR="00A83F21" w:rsidRPr="00435A0E">
        <w:t xml:space="preserve">325.)  </w:t>
      </w:r>
      <w:r w:rsidR="00FB27E6" w:rsidRPr="00435A0E">
        <w:t>A showing of economic injury</w:t>
      </w:r>
      <w:r w:rsidR="002026E4" w:rsidRPr="00435A0E">
        <w:t xml:space="preserve"> </w:t>
      </w:r>
      <w:r w:rsidR="00160AA2" w:rsidRPr="00435A0E">
        <w:t xml:space="preserve">requires only that the plaintiff </w:t>
      </w:r>
      <w:r w:rsidR="00616953" w:rsidRPr="00435A0E">
        <w:t xml:space="preserve">allege or prove </w:t>
      </w:r>
      <w:r w:rsidR="00562395" w:rsidRPr="00435A0E">
        <w:t>“</w:t>
      </w:r>
      <w:r w:rsidR="000664F5" w:rsidRPr="00435A0E">
        <w:t>a personal, individualized loss of money or property in any nontrivial amount</w:t>
      </w:r>
      <w:r w:rsidR="00866577" w:rsidRPr="00435A0E">
        <w:t>.</w:t>
      </w:r>
      <w:r w:rsidR="00562395" w:rsidRPr="00435A0E">
        <w:t>”  (</w:t>
      </w:r>
      <w:r w:rsidR="00A83F21" w:rsidRPr="00435A0E">
        <w:rPr>
          <w:i/>
          <w:iCs/>
        </w:rPr>
        <w:t>Id</w:t>
      </w:r>
      <w:r w:rsidR="00765512" w:rsidRPr="00435A0E">
        <w:t>.</w:t>
      </w:r>
      <w:r w:rsidR="00CD3C32" w:rsidRPr="00435A0E">
        <w:t xml:space="preserve"> at p. 325.</w:t>
      </w:r>
      <w:r w:rsidR="00765512" w:rsidRPr="00435A0E">
        <w:t>)</w:t>
      </w:r>
      <w:r w:rsidR="00FF36AC" w:rsidRPr="00435A0E">
        <w:t xml:space="preserve">  </w:t>
      </w:r>
      <w:r w:rsidR="00D14EA0" w:rsidRPr="00435A0E">
        <w:t xml:space="preserve">Moreover, </w:t>
      </w:r>
      <w:r w:rsidR="00B86040" w:rsidRPr="00435A0E">
        <w:t xml:space="preserve">because </w:t>
      </w:r>
      <w:r w:rsidR="00D14EA0" w:rsidRPr="00435A0E">
        <w:t xml:space="preserve">the issue is one of </w:t>
      </w:r>
      <w:r w:rsidR="00BB42F8" w:rsidRPr="00435A0E">
        <w:t>standing</w:t>
      </w:r>
      <w:r w:rsidR="00D14EA0" w:rsidRPr="00435A0E">
        <w:t xml:space="preserve">, rather than the amount of restitution due, </w:t>
      </w:r>
      <w:r w:rsidR="00CB2E55" w:rsidRPr="00435A0E">
        <w:t>“</w:t>
      </w:r>
      <w:r w:rsidR="00466DB4" w:rsidRPr="00435A0E">
        <w:t xml:space="preserve">a specific measure of the amount of this loss is not required. </w:t>
      </w:r>
      <w:r w:rsidR="00CB2E55" w:rsidRPr="00435A0E">
        <w:t xml:space="preserve"> </w:t>
      </w:r>
      <w:r w:rsidR="00466DB4" w:rsidRPr="00435A0E">
        <w:t>It suffices that a plaintiff can allege an ‘</w:t>
      </w:r>
      <w:r w:rsidR="002C21A1" w:rsidRPr="00435A0E">
        <w:t> “</w:t>
      </w:r>
      <w:r w:rsidR="00466DB4" w:rsidRPr="00435A0E">
        <w:t>identifiable trifle”</w:t>
      </w:r>
      <w:r w:rsidR="0025517E" w:rsidRPr="00435A0E">
        <w:t> </w:t>
      </w:r>
      <w:r w:rsidR="002C21A1" w:rsidRPr="00435A0E">
        <w:t>’</w:t>
      </w:r>
      <w:r w:rsidR="007027E0" w:rsidRPr="00435A0E">
        <w:t xml:space="preserve"> </w:t>
      </w:r>
      <w:r w:rsidR="00A54C09" w:rsidRPr="00435A0E">
        <w:t>[citation]</w:t>
      </w:r>
      <w:r w:rsidR="00466DB4" w:rsidRPr="00435A0E">
        <w:t xml:space="preserve"> of economic injury.</w:t>
      </w:r>
      <w:r w:rsidR="005621FE" w:rsidRPr="00435A0E">
        <w:t>”</w:t>
      </w:r>
      <w:r w:rsidR="00466DB4" w:rsidRPr="00435A0E">
        <w:t> </w:t>
      </w:r>
      <w:r w:rsidR="008F75AD" w:rsidRPr="00435A0E">
        <w:t xml:space="preserve"> </w:t>
      </w:r>
      <w:r w:rsidR="00A1009B" w:rsidRPr="00435A0E">
        <w:t>(</w:t>
      </w:r>
      <w:r w:rsidR="00A1009B" w:rsidRPr="00435A0E">
        <w:rPr>
          <w:i/>
          <w:iCs/>
        </w:rPr>
        <w:t>Id.</w:t>
      </w:r>
      <w:r w:rsidR="00A1009B" w:rsidRPr="00435A0E">
        <w:t xml:space="preserve"> at p. 330, fn. 15.) </w:t>
      </w:r>
    </w:p>
    <w:p w14:paraId="7645C7C9" w14:textId="45B94699" w:rsidR="006B6AC2" w:rsidRPr="00435A0E" w:rsidRDefault="00CF000F" w:rsidP="00190BF7">
      <w:pPr>
        <w:tabs>
          <w:tab w:val="left" w:pos="1440"/>
        </w:tabs>
        <w:ind w:firstLine="720"/>
      </w:pPr>
      <w:r w:rsidRPr="00435A0E">
        <w:t xml:space="preserve">As we </w:t>
      </w:r>
      <w:r w:rsidR="00516865" w:rsidRPr="00435A0E">
        <w:t>explained</w:t>
      </w:r>
      <w:r w:rsidRPr="00435A0E">
        <w:t xml:space="preserve"> in </w:t>
      </w:r>
      <w:r w:rsidRPr="00435A0E">
        <w:rPr>
          <w:i/>
          <w:iCs/>
        </w:rPr>
        <w:t>Kwikset</w:t>
      </w:r>
      <w:r w:rsidR="003153C9" w:rsidRPr="00435A0E">
        <w:t xml:space="preserve">, </w:t>
      </w:r>
      <w:r w:rsidR="006E0B62" w:rsidRPr="00435A0E">
        <w:t>“</w:t>
      </w:r>
      <w:r w:rsidR="003153C9" w:rsidRPr="00435A0E">
        <w:t>[t]</w:t>
      </w:r>
      <w:r w:rsidR="006E0B62" w:rsidRPr="00435A0E">
        <w:t xml:space="preserve">here are innumerable ways in which economic injury from unfair competition may be shown.  </w:t>
      </w:r>
      <w:r w:rsidR="006B6AC2" w:rsidRPr="00435A0E">
        <w:t xml:space="preserve">A plaintiff may (1) surrender in a transaction more, or acquire in a transaction less, than he or she otherwise would have; (2) have a present or future property interest diminished; (3) be deprived of money or property to which he or she has a cognizable claim; or (4) be required to enter into a transaction, costing money or property, that would otherwise have been unnecessary.  </w:t>
      </w:r>
      <w:r w:rsidR="00806BC4" w:rsidRPr="00435A0E">
        <w:t>[Cita</w:t>
      </w:r>
      <w:r w:rsidR="00B72731" w:rsidRPr="00435A0E">
        <w:t>t</w:t>
      </w:r>
      <w:r w:rsidR="00806BC4" w:rsidRPr="00435A0E">
        <w:t>ion.]</w:t>
      </w:r>
      <w:r w:rsidR="00B1434B" w:rsidRPr="00435A0E">
        <w:t xml:space="preserve">  </w:t>
      </w:r>
      <w:r w:rsidR="006B6AC2" w:rsidRPr="00435A0E">
        <w:t xml:space="preserve">Neither the text of Proposition 64 nor the ballot arguments in support of it purport to define or limit the concept of </w:t>
      </w:r>
      <w:r w:rsidR="00E10F8A" w:rsidRPr="00435A0E">
        <w:t>‘</w:t>
      </w:r>
      <w:r w:rsidR="006B6AC2" w:rsidRPr="00435A0E">
        <w:t>lost money or property,</w:t>
      </w:r>
      <w:r w:rsidR="00E10F8A" w:rsidRPr="00435A0E">
        <w:t>’</w:t>
      </w:r>
      <w:r w:rsidR="006B6AC2" w:rsidRPr="00435A0E">
        <w:t xml:space="preserve"> nor can or need we supply an exhaustive list of the ways in which unfair competition may cause economic harm.</w:t>
      </w:r>
      <w:r w:rsidR="00E10F8A" w:rsidRPr="00435A0E">
        <w:t>”  (</w:t>
      </w:r>
      <w:r w:rsidR="00E10F8A" w:rsidRPr="00435A0E">
        <w:rPr>
          <w:i/>
          <w:iCs/>
        </w:rPr>
        <w:t>Kwikset</w:t>
      </w:r>
      <w:r w:rsidR="00E10F8A" w:rsidRPr="00435A0E">
        <w:t xml:space="preserve">, </w:t>
      </w:r>
      <w:r w:rsidR="00E10F8A" w:rsidRPr="00435A0E">
        <w:rPr>
          <w:i/>
          <w:iCs/>
        </w:rPr>
        <w:t>supra</w:t>
      </w:r>
      <w:r w:rsidR="00E10F8A" w:rsidRPr="00435A0E">
        <w:t xml:space="preserve">, 51 Cal.4th at p. 323.)  </w:t>
      </w:r>
    </w:p>
    <w:p w14:paraId="133B3A7C" w14:textId="6CA2B8E0" w:rsidR="00A75A45" w:rsidRPr="00435A0E" w:rsidRDefault="00016FFA" w:rsidP="00A75A45">
      <w:pPr>
        <w:tabs>
          <w:tab w:val="left" w:pos="1440"/>
        </w:tabs>
        <w:ind w:firstLine="720"/>
      </w:pPr>
      <w:r w:rsidRPr="00435A0E">
        <w:t>CMA</w:t>
      </w:r>
      <w:r w:rsidR="00381450" w:rsidRPr="00435A0E">
        <w:t xml:space="preserve"> </w:t>
      </w:r>
      <w:r w:rsidR="000213C0" w:rsidRPr="00435A0E">
        <w:t xml:space="preserve">contends it suffered an economic injury through the diversion of </w:t>
      </w:r>
      <w:r w:rsidR="00B76710" w:rsidRPr="00435A0E">
        <w:t xml:space="preserve">personnel and other resources to respond to Aetna’s </w:t>
      </w:r>
      <w:r w:rsidR="00EA7CAF" w:rsidRPr="00435A0E">
        <w:t>Network Intervention Policy</w:t>
      </w:r>
      <w:r w:rsidR="000F315C" w:rsidRPr="00435A0E">
        <w:t xml:space="preserve">, resources that </w:t>
      </w:r>
      <w:r w:rsidR="00C56EB2" w:rsidRPr="00435A0E">
        <w:t xml:space="preserve">would </w:t>
      </w:r>
      <w:r w:rsidR="000F315C" w:rsidRPr="00435A0E">
        <w:t xml:space="preserve">otherwise have been deployed to assist </w:t>
      </w:r>
      <w:r w:rsidRPr="00435A0E">
        <w:t>CMA</w:t>
      </w:r>
      <w:r w:rsidR="00957F1F" w:rsidRPr="00435A0E">
        <w:t xml:space="preserve">’s members in other ways.  </w:t>
      </w:r>
      <w:r w:rsidR="00B72731" w:rsidRPr="00435A0E">
        <w:t xml:space="preserve">Consistent with our observation in </w:t>
      </w:r>
      <w:r w:rsidR="00B72731" w:rsidRPr="00435A0E">
        <w:rPr>
          <w:i/>
          <w:iCs/>
        </w:rPr>
        <w:t>Kwikset</w:t>
      </w:r>
      <w:r w:rsidR="00B72731" w:rsidRPr="00435A0E">
        <w:t xml:space="preserve"> that Proposition 64 did not “purport to define or limit” what constitutes lost money </w:t>
      </w:r>
      <w:r w:rsidR="00B72731" w:rsidRPr="00435A0E">
        <w:lastRenderedPageBreak/>
        <w:t>or property</w:t>
      </w:r>
      <w:r w:rsidR="00857D33" w:rsidRPr="00435A0E">
        <w:t xml:space="preserve"> (</w:t>
      </w:r>
      <w:r w:rsidR="00857D33" w:rsidRPr="00435A0E">
        <w:rPr>
          <w:i/>
          <w:iCs/>
        </w:rPr>
        <w:t>Kwikset</w:t>
      </w:r>
      <w:r w:rsidR="00857D33" w:rsidRPr="00435A0E">
        <w:t xml:space="preserve">, </w:t>
      </w:r>
      <w:r w:rsidR="00857D33" w:rsidRPr="00435A0E">
        <w:rPr>
          <w:i/>
          <w:iCs/>
        </w:rPr>
        <w:t>supra</w:t>
      </w:r>
      <w:r w:rsidR="00857D33" w:rsidRPr="00435A0E">
        <w:t>, 51 Cal.4th at p. 323)</w:t>
      </w:r>
      <w:r w:rsidR="00B72731" w:rsidRPr="00435A0E">
        <w:t xml:space="preserve">, </w:t>
      </w:r>
      <w:r w:rsidR="00C67B2F" w:rsidRPr="00435A0E">
        <w:t xml:space="preserve">we conclude </w:t>
      </w:r>
      <w:r w:rsidR="00174BEF" w:rsidRPr="00435A0E">
        <w:t>that</w:t>
      </w:r>
      <w:r w:rsidR="00665783" w:rsidRPr="00435A0E">
        <w:t xml:space="preserve"> </w:t>
      </w:r>
      <w:r w:rsidR="00B75039" w:rsidRPr="00435A0E">
        <w:t>diversion of salaried staff time</w:t>
      </w:r>
      <w:r w:rsidR="003E5053" w:rsidRPr="00435A0E">
        <w:t xml:space="preserve"> and other office resources</w:t>
      </w:r>
      <w:r w:rsidR="00B75039" w:rsidRPr="00435A0E">
        <w:t xml:space="preserve"> </w:t>
      </w:r>
      <w:r w:rsidR="003E5053" w:rsidRPr="00435A0E">
        <w:t xml:space="preserve">can constitute </w:t>
      </w:r>
      <w:r w:rsidR="00C57EA0" w:rsidRPr="00435A0E">
        <w:t>the loss of</w:t>
      </w:r>
      <w:r w:rsidR="00F000D0" w:rsidRPr="00435A0E">
        <w:t xml:space="preserve"> </w:t>
      </w:r>
      <w:r w:rsidR="00BE2076" w:rsidRPr="00435A0E">
        <w:t>“</w:t>
      </w:r>
      <w:r w:rsidR="009E66DB" w:rsidRPr="00435A0E">
        <w:t>money or property</w:t>
      </w:r>
      <w:r w:rsidR="00BE2076" w:rsidRPr="00435A0E">
        <w:t>”</w:t>
      </w:r>
      <w:r w:rsidR="009E66DB" w:rsidRPr="00435A0E">
        <w:t xml:space="preserve"> within the meaning of section 17204.</w:t>
      </w:r>
      <w:r w:rsidR="00A27FE0" w:rsidRPr="00435A0E">
        <w:t xml:space="preserve"> </w:t>
      </w:r>
      <w:r w:rsidR="00C57EA0" w:rsidRPr="00435A0E">
        <w:t xml:space="preserve"> </w:t>
      </w:r>
      <w:r w:rsidR="00D7306B" w:rsidRPr="00435A0E">
        <w:t xml:space="preserve">Every organization, including </w:t>
      </w:r>
      <w:r w:rsidRPr="00435A0E">
        <w:t>CMA</w:t>
      </w:r>
      <w:r w:rsidR="00D7306B" w:rsidRPr="00435A0E">
        <w:t xml:space="preserve">, has </w:t>
      </w:r>
      <w:r w:rsidR="00701319" w:rsidRPr="00435A0E">
        <w:t xml:space="preserve">finite resources to devote to its mission.  </w:t>
      </w:r>
      <w:r w:rsidR="00F5275E" w:rsidRPr="00435A0E">
        <w:t>If the organization uses staff time</w:t>
      </w:r>
      <w:r w:rsidR="00544350" w:rsidRPr="00435A0E">
        <w:t xml:space="preserve"> for a particular project</w:t>
      </w:r>
      <w:r w:rsidR="00F5275E" w:rsidRPr="00435A0E">
        <w:t>, for example</w:t>
      </w:r>
      <w:r w:rsidR="00BA7FD4" w:rsidRPr="00435A0E">
        <w:t>, it must either pull th</w:t>
      </w:r>
      <w:r w:rsidR="00885D5C" w:rsidRPr="00435A0E">
        <w:t xml:space="preserve">ose hours from a different project or augment its staff.  Even if, as here, the </w:t>
      </w:r>
      <w:r w:rsidR="005D1750" w:rsidRPr="00435A0E">
        <w:t xml:space="preserve">personnel involved are paid on a salaried basis rather than by the hour, </w:t>
      </w:r>
      <w:r w:rsidR="00003CB7" w:rsidRPr="00435A0E">
        <w:t>their time clearly holds economic value to the organization.  When staff are diverted</w:t>
      </w:r>
      <w:r w:rsidR="00B22928" w:rsidRPr="00435A0E">
        <w:t xml:space="preserve"> to a new project</w:t>
      </w:r>
      <w:r w:rsidR="00864BDA" w:rsidRPr="00435A0E">
        <w:t xml:space="preserve"> </w:t>
      </w:r>
      <w:r w:rsidR="00767127" w:rsidRPr="00435A0E">
        <w:t>undertaken in response to an unfair business practice</w:t>
      </w:r>
      <w:r w:rsidR="00B22928" w:rsidRPr="00435A0E">
        <w:t xml:space="preserve">, </w:t>
      </w:r>
      <w:r w:rsidR="006F54A5" w:rsidRPr="00435A0E">
        <w:t xml:space="preserve">the organization loses the value of </w:t>
      </w:r>
      <w:r w:rsidR="003F7C21" w:rsidRPr="00435A0E">
        <w:t>the</w:t>
      </w:r>
      <w:r w:rsidR="0026342E" w:rsidRPr="00435A0E">
        <w:t>ir</w:t>
      </w:r>
      <w:r w:rsidR="003F7C21" w:rsidRPr="00435A0E">
        <w:t xml:space="preserve"> time</w:t>
      </w:r>
      <w:r w:rsidR="00BC1A38" w:rsidRPr="00435A0E">
        <w:t>, which o</w:t>
      </w:r>
      <w:r w:rsidR="003F7C21" w:rsidRPr="00435A0E">
        <w:t xml:space="preserve">therwise </w:t>
      </w:r>
      <w:r w:rsidR="00BC1A38" w:rsidRPr="00435A0E">
        <w:t xml:space="preserve">would have been used </w:t>
      </w:r>
      <w:r w:rsidR="000F7191" w:rsidRPr="00435A0E">
        <w:t>to benefit the</w:t>
      </w:r>
      <w:r w:rsidR="00BC1A38" w:rsidRPr="00435A0E">
        <w:t xml:space="preserve"> organization in other ways</w:t>
      </w:r>
      <w:r w:rsidR="00BC201F" w:rsidRPr="00435A0E">
        <w:t xml:space="preserve">.  </w:t>
      </w:r>
      <w:r w:rsidR="002D6567" w:rsidRPr="00435A0E">
        <w:t xml:space="preserve">(Cf. </w:t>
      </w:r>
      <w:r w:rsidR="00043D56" w:rsidRPr="00435A0E">
        <w:rPr>
          <w:i/>
          <w:iCs/>
        </w:rPr>
        <w:t>Convoy Co. v. Sperry Rand Corp.</w:t>
      </w:r>
      <w:r w:rsidR="00043D56" w:rsidRPr="00435A0E">
        <w:t xml:space="preserve"> (9th Cir. 1982) 672 F.2d 781, </w:t>
      </w:r>
      <w:r w:rsidR="005F08CD" w:rsidRPr="00435A0E">
        <w:t>785</w:t>
      </w:r>
      <w:r w:rsidR="00165B43" w:rsidRPr="00435A0E">
        <w:t>–</w:t>
      </w:r>
      <w:r w:rsidR="00043D56" w:rsidRPr="00435A0E">
        <w:t xml:space="preserve">786 [plaintiff in </w:t>
      </w:r>
      <w:r w:rsidR="00A90DF1" w:rsidRPr="00435A0E">
        <w:t xml:space="preserve">breach of contract case can recover cost of salaried </w:t>
      </w:r>
      <w:r w:rsidR="005F08CD" w:rsidRPr="00435A0E">
        <w:t>staff time spent superv</w:t>
      </w:r>
      <w:r w:rsidR="002F2756" w:rsidRPr="00435A0E">
        <w:t>ising defective computer system</w:t>
      </w:r>
      <w:r w:rsidR="005241E9" w:rsidRPr="00435A0E">
        <w:t xml:space="preserve">]; </w:t>
      </w:r>
      <w:r w:rsidR="0062229C" w:rsidRPr="00435A0E">
        <w:rPr>
          <w:i/>
          <w:iCs/>
        </w:rPr>
        <w:t>VMark Software, Inc. v. EMC Corp.</w:t>
      </w:r>
      <w:r w:rsidR="0062229C" w:rsidRPr="00435A0E">
        <w:t xml:space="preserve"> (1994) 37 Mass.App.Ct. 610, 620</w:t>
      </w:r>
      <w:r w:rsidR="00544350" w:rsidRPr="00435A0E">
        <w:t xml:space="preserve"> [642 N.E.2d. 587, 594]</w:t>
      </w:r>
      <w:r w:rsidR="00105796" w:rsidRPr="00435A0E">
        <w:t xml:space="preserve"> [damages in misrepresentation case “</w:t>
      </w:r>
      <w:r w:rsidR="0062229C" w:rsidRPr="00435A0E">
        <w:t>should have included the costs of the hours fruitlessly spent by EMC employees trying</w:t>
      </w:r>
      <w:r w:rsidR="00C35E11" w:rsidRPr="00435A0E">
        <w:t xml:space="preserve"> to make the</w:t>
      </w:r>
      <w:r w:rsidR="00FD1AE0" w:rsidRPr="00435A0E">
        <w:t xml:space="preserve"> defective computer system </w:t>
      </w:r>
      <w:r w:rsidR="00A75A45" w:rsidRPr="00435A0E">
        <w:t>work</w:t>
      </w:r>
      <w:r w:rsidR="00105796" w:rsidRPr="00435A0E">
        <w:t>”</w:t>
      </w:r>
      <w:r w:rsidR="00C35E11" w:rsidRPr="00435A0E">
        <w:t>].)</w:t>
      </w:r>
    </w:p>
    <w:p w14:paraId="6A35E808" w14:textId="1B2B3699" w:rsidR="00A2217B" w:rsidRPr="00435A0E" w:rsidRDefault="00F02183" w:rsidP="00A75A45">
      <w:pPr>
        <w:tabs>
          <w:tab w:val="left" w:pos="1440"/>
        </w:tabs>
        <w:ind w:firstLine="720"/>
      </w:pPr>
      <w:r w:rsidRPr="00435A0E">
        <w:t>While the</w:t>
      </w:r>
      <w:r w:rsidR="00CA51FB" w:rsidRPr="00435A0E">
        <w:t xml:space="preserve"> exact</w:t>
      </w:r>
      <w:r w:rsidRPr="00435A0E">
        <w:t xml:space="preserve"> </w:t>
      </w:r>
      <w:r w:rsidR="00EC1073" w:rsidRPr="00435A0E">
        <w:t xml:space="preserve">question of UCL standing </w:t>
      </w:r>
      <w:r w:rsidR="00B2072C" w:rsidRPr="00435A0E">
        <w:t xml:space="preserve">presented </w:t>
      </w:r>
      <w:r w:rsidRPr="00435A0E">
        <w:t xml:space="preserve">here is one of first impression in this court, </w:t>
      </w:r>
      <w:r w:rsidR="00691244" w:rsidRPr="00435A0E">
        <w:t xml:space="preserve">it has been addressed by </w:t>
      </w:r>
      <w:r w:rsidR="00A4269F" w:rsidRPr="00435A0E">
        <w:t>other courts</w:t>
      </w:r>
      <w:r w:rsidR="00D32B4D" w:rsidRPr="00435A0E">
        <w:t xml:space="preserve"> applying California law</w:t>
      </w:r>
      <w:r w:rsidR="00EC1073" w:rsidRPr="00435A0E">
        <w:t xml:space="preserve">, </w:t>
      </w:r>
      <w:r w:rsidR="00B2072C" w:rsidRPr="00435A0E">
        <w:t xml:space="preserve">and </w:t>
      </w:r>
      <w:r w:rsidR="00167E42" w:rsidRPr="00435A0E">
        <w:t xml:space="preserve">closely </w:t>
      </w:r>
      <w:r w:rsidR="00B2072C" w:rsidRPr="00435A0E">
        <w:t xml:space="preserve">analogous </w:t>
      </w:r>
      <w:r w:rsidR="002743F7" w:rsidRPr="00435A0E">
        <w:t xml:space="preserve">questions of </w:t>
      </w:r>
      <w:r w:rsidR="00D32B4D" w:rsidRPr="00435A0E">
        <w:t xml:space="preserve">federal </w:t>
      </w:r>
      <w:r w:rsidR="002743F7" w:rsidRPr="00435A0E">
        <w:t>standing have been addressed by the federal courts.  Before turning to t</w:t>
      </w:r>
      <w:r w:rsidR="00A64676" w:rsidRPr="00435A0E">
        <w:t>hose decisions, though, we observe that</w:t>
      </w:r>
      <w:r w:rsidR="00B2072C" w:rsidRPr="00435A0E">
        <w:t xml:space="preserve"> </w:t>
      </w:r>
      <w:r w:rsidR="00016FFA" w:rsidRPr="00435A0E">
        <w:t>CMA</w:t>
      </w:r>
      <w:r w:rsidR="00BD6322" w:rsidRPr="00435A0E">
        <w:t xml:space="preserve">’s theory of economic injury is consistent with how </w:t>
      </w:r>
      <w:r w:rsidR="00EF7297" w:rsidRPr="00435A0E">
        <w:t xml:space="preserve">we have </w:t>
      </w:r>
      <w:r w:rsidRPr="00435A0E">
        <w:t>understood th</w:t>
      </w:r>
      <w:r w:rsidR="00B91ADC" w:rsidRPr="00435A0E">
        <w:t>is</w:t>
      </w:r>
      <w:r w:rsidRPr="00435A0E">
        <w:t xml:space="preserve"> element</w:t>
      </w:r>
      <w:r w:rsidR="00B91ADC" w:rsidRPr="00435A0E">
        <w:t xml:space="preserve"> of UCL standing</w:t>
      </w:r>
      <w:r w:rsidRPr="00435A0E">
        <w:t>.</w:t>
      </w:r>
      <w:r w:rsidR="00A55B04" w:rsidRPr="00435A0E">
        <w:t xml:space="preserve">  In </w:t>
      </w:r>
      <w:r w:rsidR="00A55B04" w:rsidRPr="00435A0E">
        <w:rPr>
          <w:i/>
          <w:iCs/>
        </w:rPr>
        <w:t>Kwikset</w:t>
      </w:r>
      <w:r w:rsidR="00A55B04" w:rsidRPr="00435A0E">
        <w:t xml:space="preserve">, </w:t>
      </w:r>
      <w:r w:rsidR="00CE13BA" w:rsidRPr="00435A0E">
        <w:t xml:space="preserve">we held that </w:t>
      </w:r>
      <w:r w:rsidR="00BA0D54" w:rsidRPr="00435A0E">
        <w:t>consumers who purchased locksets in reliance on a</w:t>
      </w:r>
      <w:r w:rsidR="00D3272A" w:rsidRPr="00435A0E">
        <w:t>n allegedly</w:t>
      </w:r>
      <w:r w:rsidR="00BA0D54" w:rsidRPr="00435A0E">
        <w:t xml:space="preserve"> false “ ‘Made in U.S.A.’ ”</w:t>
      </w:r>
      <w:r w:rsidR="00CE13BA" w:rsidRPr="00435A0E">
        <w:t xml:space="preserve"> </w:t>
      </w:r>
      <w:r w:rsidR="00BA0D54" w:rsidRPr="00435A0E">
        <w:t>label</w:t>
      </w:r>
      <w:r w:rsidR="00B6439E" w:rsidRPr="00435A0E">
        <w:t xml:space="preserve"> (</w:t>
      </w:r>
      <w:r w:rsidR="00B6439E" w:rsidRPr="00435A0E">
        <w:rPr>
          <w:i/>
          <w:iCs/>
        </w:rPr>
        <w:t>Kwikset</w:t>
      </w:r>
      <w:r w:rsidR="00B6439E" w:rsidRPr="00435A0E">
        <w:t xml:space="preserve">, </w:t>
      </w:r>
      <w:r w:rsidR="00B6439E" w:rsidRPr="00435A0E">
        <w:rPr>
          <w:i/>
          <w:iCs/>
        </w:rPr>
        <w:t>supra</w:t>
      </w:r>
      <w:r w:rsidR="00B6439E" w:rsidRPr="00435A0E">
        <w:t xml:space="preserve">, 51 </w:t>
      </w:r>
      <w:r w:rsidR="00B6439E" w:rsidRPr="00435A0E">
        <w:lastRenderedPageBreak/>
        <w:t xml:space="preserve">Cal.4th </w:t>
      </w:r>
      <w:r w:rsidR="0071108D" w:rsidRPr="00435A0E">
        <w:t>at p. 316)</w:t>
      </w:r>
      <w:r w:rsidR="00BA0D54" w:rsidRPr="00435A0E">
        <w:t xml:space="preserve"> </w:t>
      </w:r>
      <w:r w:rsidR="00B6439E" w:rsidRPr="00435A0E">
        <w:t>“</w:t>
      </w:r>
      <w:r w:rsidR="00CE13BA" w:rsidRPr="00435A0E">
        <w:t>ha</w:t>
      </w:r>
      <w:r w:rsidR="00F739F2" w:rsidRPr="00435A0E">
        <w:t>[d]</w:t>
      </w:r>
      <w:r w:rsidR="00CE13BA" w:rsidRPr="00435A0E">
        <w:t xml:space="preserve"> ‘lost money or property’ within the meaning of Proposition 64” </w:t>
      </w:r>
      <w:r w:rsidR="00816902" w:rsidRPr="00435A0E">
        <w:t>(</w:t>
      </w:r>
      <w:r w:rsidR="00544350" w:rsidRPr="00435A0E">
        <w:rPr>
          <w:i/>
          <w:iCs/>
        </w:rPr>
        <w:t>id.</w:t>
      </w:r>
      <w:r w:rsidR="00544350" w:rsidRPr="00435A0E">
        <w:t xml:space="preserve"> </w:t>
      </w:r>
      <w:r w:rsidR="00816902" w:rsidRPr="00435A0E">
        <w:t>at p.</w:t>
      </w:r>
      <w:r w:rsidR="00CE13BA" w:rsidRPr="00435A0E">
        <w:t xml:space="preserve"> 317</w:t>
      </w:r>
      <w:r w:rsidR="00390626" w:rsidRPr="00435A0E">
        <w:t>)</w:t>
      </w:r>
      <w:r w:rsidR="00E91894" w:rsidRPr="00435A0E">
        <w:t xml:space="preserve">, even </w:t>
      </w:r>
      <w:r w:rsidR="0071108D" w:rsidRPr="00435A0E">
        <w:t>though</w:t>
      </w:r>
      <w:r w:rsidR="007168A4" w:rsidRPr="00435A0E">
        <w:t xml:space="preserve"> </w:t>
      </w:r>
      <w:r w:rsidR="00D97A0B" w:rsidRPr="00435A0E">
        <w:t>the products</w:t>
      </w:r>
      <w:r w:rsidR="00682CC2" w:rsidRPr="00435A0E">
        <w:t xml:space="preserve"> were not objectively defective and the plaintiffs, </w:t>
      </w:r>
      <w:r w:rsidR="007168A4" w:rsidRPr="00435A0E">
        <w:t xml:space="preserve">“while they had spent money, </w:t>
      </w:r>
      <w:r w:rsidR="00682CC2" w:rsidRPr="00435A0E">
        <w:t>[had]</w:t>
      </w:r>
      <w:r w:rsidR="007168A4" w:rsidRPr="00435A0E">
        <w:t xml:space="preserve"> ‘received locksets in return’ ” </w:t>
      </w:r>
      <w:r w:rsidR="00C54A86" w:rsidRPr="00435A0E">
        <w:t>(</w:t>
      </w:r>
      <w:r w:rsidR="00C54A86" w:rsidRPr="00435A0E">
        <w:rPr>
          <w:i/>
          <w:iCs/>
        </w:rPr>
        <w:t>id.</w:t>
      </w:r>
      <w:r w:rsidR="00C54A86" w:rsidRPr="00435A0E">
        <w:t xml:space="preserve"> at p. 331)</w:t>
      </w:r>
      <w:r w:rsidR="001B1362" w:rsidRPr="00435A0E">
        <w:t>.  C</w:t>
      </w:r>
      <w:r w:rsidR="00B91ADC" w:rsidRPr="00435A0E">
        <w:t>onsumer</w:t>
      </w:r>
      <w:r w:rsidR="00F757B8" w:rsidRPr="00435A0E">
        <w:t>s deceived in this manner</w:t>
      </w:r>
      <w:r w:rsidR="001B1362" w:rsidRPr="00435A0E">
        <w:t xml:space="preserve">, we explained, suffered </w:t>
      </w:r>
      <w:r w:rsidR="00606A6B" w:rsidRPr="00435A0E">
        <w:t>economic injuries when they purchased products they would not have bought</w:t>
      </w:r>
      <w:r w:rsidR="001A5B4D" w:rsidRPr="00435A0E">
        <w:t>, at least at that price,</w:t>
      </w:r>
      <w:r w:rsidR="00606A6B" w:rsidRPr="00435A0E">
        <w:t xml:space="preserve"> </w:t>
      </w:r>
      <w:r w:rsidR="00797BE3" w:rsidRPr="00435A0E">
        <w:t xml:space="preserve">had </w:t>
      </w:r>
      <w:r w:rsidR="009C3D96" w:rsidRPr="00435A0E">
        <w:t xml:space="preserve">the products been </w:t>
      </w:r>
      <w:r w:rsidR="008D25EC" w:rsidRPr="00435A0E">
        <w:t>accurately</w:t>
      </w:r>
      <w:r w:rsidR="009C3D96" w:rsidRPr="00435A0E">
        <w:t xml:space="preserve"> labeled</w:t>
      </w:r>
      <w:r w:rsidR="008D25EC" w:rsidRPr="00435A0E">
        <w:t>.</w:t>
      </w:r>
      <w:r w:rsidR="00452825" w:rsidRPr="00435A0E">
        <w:t xml:space="preserve">  (</w:t>
      </w:r>
      <w:r w:rsidR="00452825" w:rsidRPr="00435A0E">
        <w:rPr>
          <w:i/>
          <w:iCs/>
        </w:rPr>
        <w:t>Id.</w:t>
      </w:r>
      <w:r w:rsidR="00452825" w:rsidRPr="00435A0E">
        <w:t xml:space="preserve"> at pp. 329</w:t>
      </w:r>
      <w:r w:rsidR="009A2EDB" w:rsidRPr="00435A0E">
        <w:t>–</w:t>
      </w:r>
      <w:r w:rsidR="00452825" w:rsidRPr="00435A0E">
        <w:t>330.)</w:t>
      </w:r>
      <w:r w:rsidR="00E76457" w:rsidRPr="00435A0E">
        <w:t xml:space="preserve">  </w:t>
      </w:r>
      <w:r w:rsidR="00CE7579" w:rsidRPr="00435A0E">
        <w:rPr>
          <w:i/>
          <w:iCs/>
        </w:rPr>
        <w:t>Kwikset</w:t>
      </w:r>
      <w:r w:rsidR="00CE7579" w:rsidRPr="00435A0E">
        <w:t xml:space="preserve"> </w:t>
      </w:r>
      <w:r w:rsidR="003F3DC2" w:rsidRPr="00435A0E">
        <w:t xml:space="preserve">relied in part on our earlier decision in </w:t>
      </w:r>
      <w:r w:rsidR="00B052FC" w:rsidRPr="00435A0E">
        <w:rPr>
          <w:i/>
          <w:iCs/>
        </w:rPr>
        <w:t>Clayworth</w:t>
      </w:r>
      <w:r w:rsidR="00B052FC" w:rsidRPr="00435A0E">
        <w:t xml:space="preserve">, </w:t>
      </w:r>
      <w:r w:rsidR="00B052FC" w:rsidRPr="00435A0E">
        <w:rPr>
          <w:i/>
          <w:iCs/>
        </w:rPr>
        <w:t>supra</w:t>
      </w:r>
      <w:r w:rsidR="00B052FC" w:rsidRPr="00435A0E">
        <w:t>, 49 Cal.4th at p</w:t>
      </w:r>
      <w:r w:rsidR="00CE7579" w:rsidRPr="00435A0E">
        <w:t>ages 788</w:t>
      </w:r>
      <w:r w:rsidR="009A2EDB" w:rsidRPr="00435A0E">
        <w:t>–</w:t>
      </w:r>
      <w:r w:rsidR="00CE7579" w:rsidRPr="00435A0E">
        <w:t>7</w:t>
      </w:r>
      <w:r w:rsidR="00B052FC" w:rsidRPr="00435A0E">
        <w:t>89</w:t>
      </w:r>
      <w:r w:rsidR="00CE7579" w:rsidRPr="00435A0E">
        <w:t xml:space="preserve">, where we held that </w:t>
      </w:r>
      <w:r w:rsidR="006A76F0" w:rsidRPr="00435A0E">
        <w:t xml:space="preserve">the plaintiff </w:t>
      </w:r>
      <w:r w:rsidR="00451C36" w:rsidRPr="00435A0E">
        <w:t>pharmacies’</w:t>
      </w:r>
      <w:r w:rsidR="00CE7579" w:rsidRPr="00435A0E">
        <w:t xml:space="preserve"> ability to pass </w:t>
      </w:r>
      <w:r w:rsidR="00451C36" w:rsidRPr="00435A0E">
        <w:t xml:space="preserve">drug </w:t>
      </w:r>
      <w:r w:rsidR="00CE7579" w:rsidRPr="00435A0E">
        <w:t>manufacturers</w:t>
      </w:r>
      <w:r w:rsidR="00AB07FD" w:rsidRPr="00435A0E">
        <w:t xml:space="preserve">’ </w:t>
      </w:r>
      <w:r w:rsidR="000D7A02" w:rsidRPr="00435A0E">
        <w:t xml:space="preserve">allegedly </w:t>
      </w:r>
      <w:r w:rsidR="00AB07FD" w:rsidRPr="00435A0E">
        <w:t>illegal overcharges</w:t>
      </w:r>
      <w:r w:rsidR="00821B0A" w:rsidRPr="00435A0E">
        <w:t xml:space="preserve"> </w:t>
      </w:r>
      <w:r w:rsidR="003C0793" w:rsidRPr="00435A0E">
        <w:t xml:space="preserve">on </w:t>
      </w:r>
      <w:r w:rsidR="00821B0A" w:rsidRPr="00435A0E">
        <w:t>to consumers</w:t>
      </w:r>
      <w:r w:rsidR="00AB07FD" w:rsidRPr="00435A0E">
        <w:t xml:space="preserve"> did not defeat </w:t>
      </w:r>
      <w:r w:rsidR="00CB1022" w:rsidRPr="00435A0E">
        <w:t>their</w:t>
      </w:r>
      <w:r w:rsidR="00AB07FD" w:rsidRPr="00435A0E">
        <w:t xml:space="preserve"> standing under the UCL</w:t>
      </w:r>
      <w:r w:rsidR="00451C36" w:rsidRPr="00435A0E">
        <w:t>,</w:t>
      </w:r>
      <w:r w:rsidR="00CB1022" w:rsidRPr="00435A0E">
        <w:t xml:space="preserve"> because they suffered an economic injury when they</w:t>
      </w:r>
      <w:r w:rsidR="00451C36" w:rsidRPr="00435A0E">
        <w:t xml:space="preserve"> </w:t>
      </w:r>
      <w:r w:rsidR="00CB1022" w:rsidRPr="00435A0E">
        <w:t>paid the manufacturers</w:t>
      </w:r>
      <w:r w:rsidR="00451C36" w:rsidRPr="00435A0E">
        <w:t>’ inflated prices</w:t>
      </w:r>
      <w:r w:rsidR="00821B0A" w:rsidRPr="00435A0E">
        <w:t>.  (</w:t>
      </w:r>
      <w:r w:rsidR="00821B0A" w:rsidRPr="00435A0E">
        <w:rPr>
          <w:i/>
          <w:iCs/>
        </w:rPr>
        <w:t>Kwikset</w:t>
      </w:r>
      <w:r w:rsidR="00AB2904" w:rsidRPr="00435A0E">
        <w:t>,</w:t>
      </w:r>
      <w:r w:rsidR="00821B0A" w:rsidRPr="00435A0E">
        <w:t xml:space="preserve"> at p. </w:t>
      </w:r>
      <w:r w:rsidR="000D7A02" w:rsidRPr="00435A0E">
        <w:t xml:space="preserve">334.)  </w:t>
      </w:r>
    </w:p>
    <w:p w14:paraId="3B78F61E" w14:textId="14E983A6" w:rsidR="00CE13BA" w:rsidRPr="00435A0E" w:rsidRDefault="00A2217B" w:rsidP="00190BF7">
      <w:pPr>
        <w:tabs>
          <w:tab w:val="left" w:pos="1440"/>
        </w:tabs>
        <w:ind w:firstLine="720"/>
      </w:pPr>
      <w:r w:rsidRPr="00435A0E">
        <w:t xml:space="preserve">Our </w:t>
      </w:r>
      <w:r w:rsidR="007C6522" w:rsidRPr="00435A0E">
        <w:t xml:space="preserve">cases </w:t>
      </w:r>
      <w:r w:rsidR="00ED2306" w:rsidRPr="00435A0E">
        <w:t xml:space="preserve">thus </w:t>
      </w:r>
      <w:r w:rsidR="007C6522" w:rsidRPr="00435A0E">
        <w:t xml:space="preserve">teach </w:t>
      </w:r>
      <w:r w:rsidR="00B823CB" w:rsidRPr="00435A0E">
        <w:t xml:space="preserve">that </w:t>
      </w:r>
      <w:r w:rsidR="00E9493A" w:rsidRPr="00435A0E">
        <w:t>economic injury for purposes of UCL standing</w:t>
      </w:r>
      <w:r w:rsidR="00D87893" w:rsidRPr="00435A0E">
        <w:t>, even after Proposition 64,</w:t>
      </w:r>
      <w:r w:rsidR="00E9493A" w:rsidRPr="00435A0E">
        <w:t xml:space="preserve"> is </w:t>
      </w:r>
      <w:r w:rsidR="00EE3361" w:rsidRPr="00435A0E">
        <w:t xml:space="preserve">not limited to </w:t>
      </w:r>
      <w:r w:rsidR="00B823CB" w:rsidRPr="00435A0E">
        <w:t>out</w:t>
      </w:r>
      <w:r w:rsidR="00EE3361" w:rsidRPr="00435A0E">
        <w:noBreakHyphen/>
      </w:r>
      <w:r w:rsidR="00B823CB" w:rsidRPr="00435A0E">
        <w:t>of</w:t>
      </w:r>
      <w:r w:rsidR="00EE3361" w:rsidRPr="00435A0E">
        <w:noBreakHyphen/>
      </w:r>
      <w:r w:rsidR="00B823CB" w:rsidRPr="00435A0E">
        <w:t xml:space="preserve">pocket </w:t>
      </w:r>
      <w:r w:rsidR="00EE3361" w:rsidRPr="00435A0E">
        <w:t xml:space="preserve">expenditures </w:t>
      </w:r>
      <w:r w:rsidR="00057527" w:rsidRPr="00435A0E">
        <w:t xml:space="preserve">for which no value has been received, </w:t>
      </w:r>
      <w:r w:rsidR="00EE3361" w:rsidRPr="00435A0E">
        <w:t xml:space="preserve">or to </w:t>
      </w:r>
      <w:r w:rsidR="00237C84" w:rsidRPr="00435A0E">
        <w:t>objectively determined overpayments</w:t>
      </w:r>
      <w:r w:rsidR="00751790" w:rsidRPr="00435A0E">
        <w:t>.  I</w:t>
      </w:r>
      <w:r w:rsidRPr="00435A0E">
        <w:t>n that respect</w:t>
      </w:r>
      <w:r w:rsidR="00751790" w:rsidRPr="00435A0E">
        <w:t>,</w:t>
      </w:r>
      <w:r w:rsidRPr="00435A0E">
        <w:t xml:space="preserve"> t</w:t>
      </w:r>
      <w:r w:rsidR="009E604A" w:rsidRPr="00435A0E">
        <w:t xml:space="preserve">he facts here </w:t>
      </w:r>
      <w:r w:rsidR="001A5B4D" w:rsidRPr="00435A0E">
        <w:t>can</w:t>
      </w:r>
      <w:r w:rsidR="009E604A" w:rsidRPr="00435A0E">
        <w:t xml:space="preserve"> be </w:t>
      </w:r>
      <w:r w:rsidR="001A5B4D" w:rsidRPr="00435A0E">
        <w:t>seen</w:t>
      </w:r>
      <w:r w:rsidR="009E604A" w:rsidRPr="00435A0E">
        <w:t xml:space="preserve"> as </w:t>
      </w:r>
      <w:r w:rsidR="001A5B4D" w:rsidRPr="00435A0E">
        <w:t>loosely</w:t>
      </w:r>
      <w:r w:rsidR="009E604A" w:rsidRPr="00435A0E">
        <w:t xml:space="preserve"> analogous</w:t>
      </w:r>
      <w:r w:rsidR="008E4BA4" w:rsidRPr="00435A0E">
        <w:t xml:space="preserve"> to </w:t>
      </w:r>
      <w:r w:rsidR="008C3107" w:rsidRPr="00435A0E">
        <w:t xml:space="preserve">those in </w:t>
      </w:r>
      <w:r w:rsidR="003C5888" w:rsidRPr="00435A0E">
        <w:rPr>
          <w:i/>
          <w:iCs/>
        </w:rPr>
        <w:t>Kwikset</w:t>
      </w:r>
      <w:r w:rsidR="003C5888" w:rsidRPr="00435A0E">
        <w:t xml:space="preserve"> and </w:t>
      </w:r>
      <w:r w:rsidR="008C3107" w:rsidRPr="00435A0E">
        <w:rPr>
          <w:i/>
          <w:iCs/>
        </w:rPr>
        <w:t>Clayworth</w:t>
      </w:r>
      <w:r w:rsidR="003C5888" w:rsidRPr="00435A0E">
        <w:t>.</w:t>
      </w:r>
      <w:r w:rsidR="009E604A" w:rsidRPr="00435A0E">
        <w:t xml:space="preserve">  </w:t>
      </w:r>
      <w:r w:rsidR="00016FFA" w:rsidRPr="00435A0E">
        <w:t>CMA</w:t>
      </w:r>
      <w:r w:rsidR="00AB6BCC" w:rsidRPr="00435A0E">
        <w:t xml:space="preserve"> </w:t>
      </w:r>
      <w:r w:rsidR="00174294" w:rsidRPr="00435A0E">
        <w:t>may</w:t>
      </w:r>
      <w:r w:rsidR="00AB6BCC" w:rsidRPr="00435A0E">
        <w:t xml:space="preserve"> not </w:t>
      </w:r>
      <w:r w:rsidR="00174294" w:rsidRPr="00435A0E">
        <w:t xml:space="preserve">have </w:t>
      </w:r>
      <w:r w:rsidR="00AB6BCC" w:rsidRPr="00435A0E">
        <w:t>incur</w:t>
      </w:r>
      <w:r w:rsidR="00174294" w:rsidRPr="00435A0E">
        <w:t>red</w:t>
      </w:r>
      <w:r w:rsidR="00AB6BCC" w:rsidRPr="00435A0E">
        <w:t xml:space="preserve"> additional out</w:t>
      </w:r>
      <w:r w:rsidR="00A06D47">
        <w:noBreakHyphen/>
      </w:r>
      <w:r w:rsidR="00AB6BCC" w:rsidRPr="00435A0E">
        <w:t>of</w:t>
      </w:r>
      <w:r w:rsidR="00A06D47">
        <w:noBreakHyphen/>
      </w:r>
      <w:r w:rsidR="00AB6BCC" w:rsidRPr="00435A0E">
        <w:t xml:space="preserve">pocket </w:t>
      </w:r>
      <w:r w:rsidR="00560594" w:rsidRPr="00435A0E">
        <w:t xml:space="preserve">costs </w:t>
      </w:r>
      <w:r w:rsidR="0062738B" w:rsidRPr="00435A0E">
        <w:t xml:space="preserve">in responding to Aetna’s </w:t>
      </w:r>
      <w:r w:rsidR="004574F1" w:rsidRPr="00435A0E">
        <w:t>allegedly illegal practices</w:t>
      </w:r>
      <w:r w:rsidR="003F1215" w:rsidRPr="00435A0E">
        <w:t>;</w:t>
      </w:r>
      <w:r w:rsidR="00916E51" w:rsidRPr="00435A0E">
        <w:t xml:space="preserve"> </w:t>
      </w:r>
      <w:r w:rsidR="002A264A" w:rsidRPr="00435A0E">
        <w:t xml:space="preserve">its employees were salaried and would have </w:t>
      </w:r>
      <w:r w:rsidR="00174294" w:rsidRPr="00435A0E">
        <w:t>been paid regardless</w:t>
      </w:r>
      <w:r w:rsidR="00C82EC3" w:rsidRPr="00435A0E">
        <w:t xml:space="preserve">.  </w:t>
      </w:r>
      <w:r w:rsidR="008B1DE6" w:rsidRPr="00435A0E">
        <w:t xml:space="preserve">But </w:t>
      </w:r>
      <w:r w:rsidR="00174294" w:rsidRPr="00435A0E">
        <w:t xml:space="preserve">the </w:t>
      </w:r>
      <w:r w:rsidR="009E6D30" w:rsidRPr="00435A0E">
        <w:t xml:space="preserve">economic </w:t>
      </w:r>
      <w:r w:rsidR="00174294" w:rsidRPr="00435A0E">
        <w:t xml:space="preserve">value </w:t>
      </w:r>
      <w:r w:rsidR="00016FFA" w:rsidRPr="00435A0E">
        <w:t>CMA</w:t>
      </w:r>
      <w:r w:rsidR="00212F20" w:rsidRPr="00435A0E">
        <w:t xml:space="preserve"> received</w:t>
      </w:r>
      <w:r w:rsidR="007206A3" w:rsidRPr="00435A0E">
        <w:t xml:space="preserve"> from their labor</w:t>
      </w:r>
      <w:r w:rsidR="0018068D" w:rsidRPr="00435A0E">
        <w:t xml:space="preserve"> </w:t>
      </w:r>
      <w:r w:rsidR="007206A3" w:rsidRPr="00435A0E">
        <w:t>was reduced</w:t>
      </w:r>
      <w:r w:rsidR="00B81E61" w:rsidRPr="00435A0E">
        <w:t xml:space="preserve">.  </w:t>
      </w:r>
      <w:r w:rsidR="00016FFA" w:rsidRPr="00435A0E">
        <w:t>CMA</w:t>
      </w:r>
      <w:r w:rsidR="00A60F96" w:rsidRPr="00435A0E">
        <w:t xml:space="preserve"> “lost money or property</w:t>
      </w:r>
      <w:r w:rsidR="00E7192C" w:rsidRPr="00435A0E">
        <w:t>”</w:t>
      </w:r>
      <w:r w:rsidR="00A60F96" w:rsidRPr="00435A0E">
        <w:t xml:space="preserve"> (§ 17204)</w:t>
      </w:r>
      <w:r w:rsidR="00634C8A" w:rsidRPr="00435A0E">
        <w:t xml:space="preserve"> </w:t>
      </w:r>
      <w:r w:rsidR="007206A3" w:rsidRPr="00435A0E">
        <w:t xml:space="preserve">when </w:t>
      </w:r>
      <w:r w:rsidR="003D17F1" w:rsidRPr="00435A0E">
        <w:t xml:space="preserve">its </w:t>
      </w:r>
      <w:r w:rsidR="00294941" w:rsidRPr="00435A0E">
        <w:t>personnel</w:t>
      </w:r>
      <w:r w:rsidR="00260180" w:rsidRPr="00435A0E">
        <w:t xml:space="preserve"> </w:t>
      </w:r>
      <w:r w:rsidR="007206A3" w:rsidRPr="00435A0E">
        <w:t xml:space="preserve">were diverted from other </w:t>
      </w:r>
      <w:r w:rsidR="00A33036" w:rsidRPr="00435A0E">
        <w:t xml:space="preserve">activities </w:t>
      </w:r>
      <w:r w:rsidR="00ED2306" w:rsidRPr="00435A0E">
        <w:t xml:space="preserve">that would </w:t>
      </w:r>
      <w:r w:rsidR="008568C7" w:rsidRPr="00435A0E">
        <w:t xml:space="preserve">also </w:t>
      </w:r>
      <w:r w:rsidR="00ED2306" w:rsidRPr="00435A0E">
        <w:t>have</w:t>
      </w:r>
      <w:r w:rsidR="00A72E35" w:rsidRPr="00435A0E">
        <w:t xml:space="preserve"> served its goal of assisting its physician members.</w:t>
      </w:r>
      <w:r w:rsidR="007639B6" w:rsidRPr="00435A0E">
        <w:t xml:space="preserve">  </w:t>
      </w:r>
      <w:r w:rsidR="00EF66BD" w:rsidRPr="00435A0E">
        <w:t xml:space="preserve">In </w:t>
      </w:r>
      <w:r w:rsidR="00C82E7C" w:rsidRPr="00435A0E">
        <w:rPr>
          <w:i/>
          <w:iCs/>
        </w:rPr>
        <w:t>Kwikset</w:t>
      </w:r>
      <w:r w:rsidR="00C82E7C" w:rsidRPr="00435A0E">
        <w:t>’s</w:t>
      </w:r>
      <w:r w:rsidR="00C44428" w:rsidRPr="00435A0E">
        <w:rPr>
          <w:i/>
          <w:iCs/>
        </w:rPr>
        <w:t xml:space="preserve"> </w:t>
      </w:r>
      <w:r w:rsidR="00EF66BD" w:rsidRPr="00435A0E">
        <w:t xml:space="preserve">terms, </w:t>
      </w:r>
      <w:r w:rsidR="00016FFA" w:rsidRPr="00435A0E">
        <w:t>CMA</w:t>
      </w:r>
      <w:r w:rsidR="00433FC0" w:rsidRPr="00435A0E">
        <w:t xml:space="preserve"> </w:t>
      </w:r>
      <w:r w:rsidR="00D7008D" w:rsidRPr="00435A0E">
        <w:t>“</w:t>
      </w:r>
      <w:r w:rsidR="00B94CDF" w:rsidRPr="00435A0E">
        <w:t>enter[ed] into a transaction, costing money or property, that would otherwise have been unnecessary,”</w:t>
      </w:r>
      <w:r w:rsidR="00470876" w:rsidRPr="00435A0E">
        <w:t xml:space="preserve"> as its staff was diverted from what the organization regarded as </w:t>
      </w:r>
      <w:r w:rsidR="00C82E7C" w:rsidRPr="00435A0E">
        <w:t>useful projects</w:t>
      </w:r>
      <w:r w:rsidR="00B94CDF" w:rsidRPr="00435A0E">
        <w:t xml:space="preserve"> to </w:t>
      </w:r>
      <w:r w:rsidR="00B81E61" w:rsidRPr="00435A0E">
        <w:t xml:space="preserve">respond to </w:t>
      </w:r>
      <w:r w:rsidR="004D4139" w:rsidRPr="00435A0E">
        <w:t>Aetna</w:t>
      </w:r>
      <w:r w:rsidR="00B81E61" w:rsidRPr="00435A0E">
        <w:t xml:space="preserve">’s </w:t>
      </w:r>
      <w:r w:rsidR="00B81E61" w:rsidRPr="00435A0E">
        <w:lastRenderedPageBreak/>
        <w:t>allegedly unfair business practices.</w:t>
      </w:r>
      <w:r w:rsidR="004D4139" w:rsidRPr="00435A0E">
        <w:t xml:space="preserve"> </w:t>
      </w:r>
      <w:r w:rsidR="005A2C11" w:rsidRPr="00435A0E">
        <w:t xml:space="preserve"> (</w:t>
      </w:r>
      <w:r w:rsidR="005A2C11" w:rsidRPr="00435A0E">
        <w:rPr>
          <w:i/>
          <w:iCs/>
        </w:rPr>
        <w:t>Kwikset</w:t>
      </w:r>
      <w:r w:rsidR="005A2C11" w:rsidRPr="00435A0E">
        <w:t xml:space="preserve">, </w:t>
      </w:r>
      <w:r w:rsidR="005A2C11" w:rsidRPr="00435A0E">
        <w:rPr>
          <w:i/>
          <w:iCs/>
        </w:rPr>
        <w:t>supra</w:t>
      </w:r>
      <w:r w:rsidR="005A2C11" w:rsidRPr="00435A0E">
        <w:t xml:space="preserve">, 51 Cal.4th at </w:t>
      </w:r>
      <w:r w:rsidR="00AB2904" w:rsidRPr="00435A0E">
        <w:t>p. </w:t>
      </w:r>
      <w:r w:rsidR="005A2C11" w:rsidRPr="00435A0E">
        <w:t>323</w:t>
      </w:r>
      <w:r w:rsidR="00C82E7C" w:rsidRPr="00435A0E">
        <w:t>.</w:t>
      </w:r>
      <w:r w:rsidR="00507913" w:rsidRPr="00435A0E">
        <w:t xml:space="preserve">)  </w:t>
      </w:r>
      <w:r w:rsidR="007639B6" w:rsidRPr="00435A0E">
        <w:t xml:space="preserve">That </w:t>
      </w:r>
      <w:r w:rsidR="00507913" w:rsidRPr="00435A0E">
        <w:t xml:space="preserve">injury </w:t>
      </w:r>
      <w:r w:rsidR="0079579C" w:rsidRPr="00435A0E">
        <w:t>suffices for standing purposes.</w:t>
      </w:r>
    </w:p>
    <w:p w14:paraId="2F38C4AC" w14:textId="1855C0E8" w:rsidR="001C7D64" w:rsidRPr="00435A0E" w:rsidRDefault="00991795" w:rsidP="00190BF7">
      <w:pPr>
        <w:tabs>
          <w:tab w:val="left" w:pos="1440"/>
        </w:tabs>
        <w:ind w:firstLine="720"/>
      </w:pPr>
      <w:r w:rsidRPr="00435A0E">
        <w:t xml:space="preserve">On facts closer to those shown here, </w:t>
      </w:r>
      <w:r w:rsidR="00335BF1" w:rsidRPr="00435A0E">
        <w:t xml:space="preserve">courts have agreed that </w:t>
      </w:r>
      <w:r w:rsidR="00D87893" w:rsidRPr="00435A0E">
        <w:t xml:space="preserve">UCL </w:t>
      </w:r>
      <w:r w:rsidR="00335BF1" w:rsidRPr="00435A0E">
        <w:t xml:space="preserve">standing can be </w:t>
      </w:r>
      <w:r w:rsidR="00D87893" w:rsidRPr="00435A0E">
        <w:t xml:space="preserve">based on </w:t>
      </w:r>
      <w:r w:rsidR="00D55B21" w:rsidRPr="00435A0E">
        <w:t xml:space="preserve">an organization’s </w:t>
      </w:r>
      <w:r w:rsidR="00335BF1" w:rsidRPr="00435A0E">
        <w:t>diversion of resources in response</w:t>
      </w:r>
      <w:r w:rsidR="00D55B21" w:rsidRPr="00435A0E">
        <w:t xml:space="preserve"> to a threat to its mission.</w:t>
      </w:r>
      <w:r w:rsidR="00335BF1" w:rsidRPr="00435A0E">
        <w:t xml:space="preserve"> </w:t>
      </w:r>
      <w:r w:rsidR="002775AE" w:rsidRPr="00435A0E">
        <w:t xml:space="preserve"> In </w:t>
      </w:r>
      <w:r w:rsidR="00FF7DD1" w:rsidRPr="00435A0E">
        <w:rPr>
          <w:i/>
          <w:iCs/>
        </w:rPr>
        <w:t>Animal Legal Defense Fund v. LT Napa Partners LLC</w:t>
      </w:r>
      <w:r w:rsidR="00FF7DD1" w:rsidRPr="00435A0E">
        <w:t> (2015) 234 Cal.App.4th 1270</w:t>
      </w:r>
      <w:r w:rsidR="00DC64AD" w:rsidRPr="00435A0E">
        <w:t xml:space="preserve"> (</w:t>
      </w:r>
      <w:r w:rsidR="00165B43" w:rsidRPr="00435A0E">
        <w:rPr>
          <w:i/>
          <w:iCs/>
        </w:rPr>
        <w:t>Animal Legal Defense</w:t>
      </w:r>
      <w:r w:rsidR="00E8058E" w:rsidRPr="00435A0E">
        <w:t>)</w:t>
      </w:r>
      <w:r w:rsidR="00FF7DD1" w:rsidRPr="00435A0E">
        <w:t xml:space="preserve">, </w:t>
      </w:r>
      <w:r w:rsidR="001577D6" w:rsidRPr="00435A0E">
        <w:t xml:space="preserve">the plaintiff organization had </w:t>
      </w:r>
      <w:r w:rsidR="00FF7DD1" w:rsidRPr="00435A0E">
        <w:t xml:space="preserve">advocated for </w:t>
      </w:r>
      <w:r w:rsidR="001577D6" w:rsidRPr="00435A0E">
        <w:t>a</w:t>
      </w:r>
      <w:r w:rsidR="00FF7DD1" w:rsidRPr="00435A0E">
        <w:t xml:space="preserve"> </w:t>
      </w:r>
      <w:r w:rsidR="001577D6" w:rsidRPr="00435A0E">
        <w:t xml:space="preserve">California </w:t>
      </w:r>
      <w:r w:rsidR="00FF7DD1" w:rsidRPr="00435A0E">
        <w:t xml:space="preserve">ban </w:t>
      </w:r>
      <w:r w:rsidR="001577D6" w:rsidRPr="00435A0E">
        <w:t xml:space="preserve">on the </w:t>
      </w:r>
      <w:r w:rsidR="00287E69" w:rsidRPr="00435A0E">
        <w:t xml:space="preserve">sale of foie gras </w:t>
      </w:r>
      <w:r w:rsidR="00FF7DD1" w:rsidRPr="00435A0E">
        <w:t xml:space="preserve">and </w:t>
      </w:r>
      <w:r w:rsidR="00DB445B" w:rsidRPr="00435A0E">
        <w:t>was active in informing</w:t>
      </w:r>
      <w:r w:rsidR="00FF7DD1" w:rsidRPr="00435A0E">
        <w:t xml:space="preserve"> the public about the la</w:t>
      </w:r>
      <w:r w:rsidR="00785FDE" w:rsidRPr="00435A0E">
        <w:t>w once enacted</w:t>
      </w:r>
      <w:r w:rsidR="001D5D89" w:rsidRPr="00435A0E">
        <w:t>.  (</w:t>
      </w:r>
      <w:r w:rsidR="001D5D89" w:rsidRPr="00435A0E">
        <w:rPr>
          <w:i/>
          <w:iCs/>
        </w:rPr>
        <w:t>Id.</w:t>
      </w:r>
      <w:r w:rsidR="001D5D89" w:rsidRPr="00435A0E">
        <w:t xml:space="preserve"> at p. </w:t>
      </w:r>
      <w:r w:rsidR="00917377" w:rsidRPr="00435A0E">
        <w:t xml:space="preserve">1280.)  </w:t>
      </w:r>
      <w:r w:rsidR="002B5516" w:rsidRPr="00435A0E">
        <w:t xml:space="preserve">On discovering that </w:t>
      </w:r>
      <w:r w:rsidR="00795AF8" w:rsidRPr="00435A0E">
        <w:t>the defendant’s restaurant was continuing to serve fo</w:t>
      </w:r>
      <w:r w:rsidR="00484029" w:rsidRPr="00435A0E">
        <w:t>i</w:t>
      </w:r>
      <w:r w:rsidR="00795AF8" w:rsidRPr="00435A0E">
        <w:t xml:space="preserve">e gras, the organization </w:t>
      </w:r>
      <w:r w:rsidR="00DD19FE" w:rsidRPr="00435A0E">
        <w:t>diverted</w:t>
      </w:r>
      <w:r w:rsidR="00F06E9C" w:rsidRPr="00435A0E">
        <w:t xml:space="preserve"> staff time and resources </w:t>
      </w:r>
      <w:r w:rsidR="00DD19FE" w:rsidRPr="00435A0E">
        <w:t xml:space="preserve">from other projects to </w:t>
      </w:r>
      <w:r w:rsidR="00466EBE" w:rsidRPr="00435A0E">
        <w:t>complete an investigation</w:t>
      </w:r>
      <w:r w:rsidR="00484029" w:rsidRPr="00435A0E">
        <w:t xml:space="preserve"> of the restaurant</w:t>
      </w:r>
      <w:r w:rsidR="00466EBE" w:rsidRPr="00435A0E">
        <w:t>, share its findings with local law enforcement authorities</w:t>
      </w:r>
      <w:r w:rsidR="005C4044" w:rsidRPr="00435A0E">
        <w:t>,</w:t>
      </w:r>
      <w:r w:rsidR="00466EBE" w:rsidRPr="00435A0E">
        <w:t xml:space="preserve"> and </w:t>
      </w:r>
      <w:r w:rsidR="002F3EB9" w:rsidRPr="00435A0E">
        <w:t xml:space="preserve">try to persuade those authorities to enforce the ban against the defendant.  </w:t>
      </w:r>
      <w:r w:rsidR="00902D25" w:rsidRPr="00435A0E">
        <w:t>(</w:t>
      </w:r>
      <w:r w:rsidR="00902D25" w:rsidRPr="00435A0E">
        <w:rPr>
          <w:i/>
          <w:iCs/>
        </w:rPr>
        <w:t>Ibid.</w:t>
      </w:r>
      <w:r w:rsidR="00902D25" w:rsidRPr="00435A0E">
        <w:t xml:space="preserve">)  </w:t>
      </w:r>
      <w:r w:rsidR="00B06EB0" w:rsidRPr="00435A0E">
        <w:t xml:space="preserve">The Court of Appeal </w:t>
      </w:r>
      <w:r w:rsidR="00DF4BC5" w:rsidRPr="00435A0E">
        <w:t xml:space="preserve">concluded the plaintiff’s diversion of resources </w:t>
      </w:r>
      <w:r w:rsidR="0056100D" w:rsidRPr="00435A0E">
        <w:t xml:space="preserve">constituted </w:t>
      </w:r>
      <w:r w:rsidR="002E0E44" w:rsidRPr="00435A0E">
        <w:t xml:space="preserve">economic injury </w:t>
      </w:r>
      <w:r w:rsidR="009E06AC" w:rsidRPr="00435A0E">
        <w:t xml:space="preserve">as </w:t>
      </w:r>
      <w:r w:rsidR="009E06AC" w:rsidRPr="00435A0E">
        <w:rPr>
          <w:i/>
          <w:iCs/>
        </w:rPr>
        <w:t>Kwikset</w:t>
      </w:r>
      <w:r w:rsidR="009E06AC" w:rsidRPr="00435A0E">
        <w:t xml:space="preserve"> had explained that </w:t>
      </w:r>
      <w:r w:rsidR="002E0E44" w:rsidRPr="00435A0E">
        <w:t>UCL standing</w:t>
      </w:r>
      <w:r w:rsidR="00B63A0A" w:rsidRPr="00435A0E">
        <w:t xml:space="preserve"> requirement:  </w:t>
      </w:r>
      <w:r w:rsidR="00A34719" w:rsidRPr="00435A0E">
        <w:t xml:space="preserve">in response to the defendant’s allegedly illegal sales, </w:t>
      </w:r>
      <w:r w:rsidR="00B63A0A" w:rsidRPr="00435A0E">
        <w:t xml:space="preserve">the organization had </w:t>
      </w:r>
      <w:r w:rsidR="00397501" w:rsidRPr="00435A0E">
        <w:t>“</w:t>
      </w:r>
      <w:r w:rsidR="00FF60C6" w:rsidRPr="00435A0E">
        <w:t> ‘</w:t>
      </w:r>
      <w:r w:rsidR="00397501" w:rsidRPr="00435A0E">
        <w:t>enter</w:t>
      </w:r>
      <w:r w:rsidR="00FF60C6" w:rsidRPr="00435A0E">
        <w:t>[ed]</w:t>
      </w:r>
      <w:r w:rsidR="00397501" w:rsidRPr="00435A0E">
        <w:t xml:space="preserve"> into a transaction, costing money or property, that would otherwise have been unnecessary</w:t>
      </w:r>
      <w:r w:rsidR="00FF60C6" w:rsidRPr="00435A0E">
        <w:t>.’ </w:t>
      </w:r>
      <w:r w:rsidR="00397501" w:rsidRPr="00435A0E">
        <w:t>”</w:t>
      </w:r>
      <w:r w:rsidR="00FF60C6" w:rsidRPr="00435A0E">
        <w:t xml:space="preserve">  (</w:t>
      </w:r>
      <w:r w:rsidR="00165B43" w:rsidRPr="00435A0E">
        <w:rPr>
          <w:i/>
          <w:iCs/>
        </w:rPr>
        <w:t>Animal Legal Defense</w:t>
      </w:r>
      <w:r w:rsidR="005972D1" w:rsidRPr="00435A0E">
        <w:t>,</w:t>
      </w:r>
      <w:r w:rsidR="0043016D" w:rsidRPr="00435A0E">
        <w:rPr>
          <w:i/>
          <w:iCs/>
        </w:rPr>
        <w:t xml:space="preserve"> </w:t>
      </w:r>
      <w:r w:rsidR="00632F2F" w:rsidRPr="00435A0E">
        <w:t xml:space="preserve">at p. </w:t>
      </w:r>
      <w:r w:rsidR="0043016D" w:rsidRPr="00435A0E">
        <w:t>1280,</w:t>
      </w:r>
      <w:r w:rsidR="00477993" w:rsidRPr="00435A0E">
        <w:t xml:space="preserve"> </w:t>
      </w:r>
      <w:r w:rsidR="00A636C7" w:rsidRPr="00435A0E">
        <w:t xml:space="preserve">quoting </w:t>
      </w:r>
      <w:r w:rsidR="0043016D" w:rsidRPr="00435A0E">
        <w:rPr>
          <w:i/>
          <w:iCs/>
        </w:rPr>
        <w:t>Kwikset</w:t>
      </w:r>
      <w:r w:rsidR="00CC472E" w:rsidRPr="00435A0E">
        <w:t xml:space="preserve">, </w:t>
      </w:r>
      <w:r w:rsidR="00CC472E" w:rsidRPr="00435A0E">
        <w:rPr>
          <w:i/>
          <w:iCs/>
        </w:rPr>
        <w:t>supra</w:t>
      </w:r>
      <w:r w:rsidR="00CC472E" w:rsidRPr="00435A0E">
        <w:t xml:space="preserve">, 51 Cal.4th at </w:t>
      </w:r>
      <w:r w:rsidR="005972D1" w:rsidRPr="00435A0E">
        <w:t>p. </w:t>
      </w:r>
      <w:r w:rsidR="00CC472E" w:rsidRPr="00435A0E">
        <w:t>323.)</w:t>
      </w:r>
      <w:r w:rsidR="000F7923" w:rsidRPr="00435A0E">
        <w:rPr>
          <w:rStyle w:val="FootnoteReference"/>
        </w:rPr>
        <w:footnoteReference w:id="6"/>
      </w:r>
    </w:p>
    <w:p w14:paraId="1E189214" w14:textId="304E48D9" w:rsidR="00314434" w:rsidRPr="00435A0E" w:rsidRDefault="00CC472E" w:rsidP="00190BF7">
      <w:pPr>
        <w:tabs>
          <w:tab w:val="left" w:pos="1440"/>
        </w:tabs>
        <w:ind w:firstLine="720"/>
      </w:pPr>
      <w:r w:rsidRPr="00435A0E">
        <w:lastRenderedPageBreak/>
        <w:t xml:space="preserve">  </w:t>
      </w:r>
      <w:r w:rsidR="001C7D64" w:rsidRPr="00435A0E">
        <w:t>Similarly, in</w:t>
      </w:r>
      <w:r w:rsidR="00437A47" w:rsidRPr="00435A0E">
        <w:t xml:space="preserve"> </w:t>
      </w:r>
      <w:r w:rsidR="00137E7D" w:rsidRPr="00435A0E">
        <w:rPr>
          <w:i/>
          <w:iCs/>
        </w:rPr>
        <w:t>Southern California Housing Rights Center v. Los Feliz Towers Homeowners Ass’n</w:t>
      </w:r>
      <w:r w:rsidR="00137E7D" w:rsidRPr="00435A0E">
        <w:t> (C.D.Cal. 2005) 426 F.Supp.2d 1061</w:t>
      </w:r>
      <w:r w:rsidR="0008364E" w:rsidRPr="00435A0E">
        <w:t xml:space="preserve"> (</w:t>
      </w:r>
      <w:r w:rsidR="0008364E" w:rsidRPr="00435A0E">
        <w:rPr>
          <w:i/>
          <w:iCs/>
        </w:rPr>
        <w:t>Southern California Housing</w:t>
      </w:r>
      <w:r w:rsidR="00344350" w:rsidRPr="00435A0E">
        <w:t>)</w:t>
      </w:r>
      <w:r w:rsidR="00137E7D" w:rsidRPr="00435A0E">
        <w:t xml:space="preserve">, </w:t>
      </w:r>
      <w:r w:rsidR="00233452" w:rsidRPr="00435A0E">
        <w:t xml:space="preserve">a </w:t>
      </w:r>
      <w:r w:rsidR="006E0988" w:rsidRPr="00435A0E">
        <w:t xml:space="preserve">condominium </w:t>
      </w:r>
      <w:r w:rsidR="00C545E1" w:rsidRPr="00435A0E">
        <w:t xml:space="preserve">owner and a housing rights </w:t>
      </w:r>
      <w:r w:rsidR="000303B8" w:rsidRPr="00435A0E">
        <w:t>organization</w:t>
      </w:r>
      <w:r w:rsidR="00C545E1" w:rsidRPr="00435A0E">
        <w:t xml:space="preserve"> sued a homeowners</w:t>
      </w:r>
      <w:r w:rsidR="00910841" w:rsidRPr="00435A0E">
        <w:t>’</w:t>
      </w:r>
      <w:r w:rsidR="00C545E1" w:rsidRPr="00435A0E">
        <w:t xml:space="preserve"> association for </w:t>
      </w:r>
      <w:r w:rsidR="00A31D86" w:rsidRPr="00435A0E">
        <w:t xml:space="preserve">failing to </w:t>
      </w:r>
      <w:r w:rsidR="00137E7D" w:rsidRPr="00435A0E">
        <w:t xml:space="preserve">provide </w:t>
      </w:r>
      <w:r w:rsidR="00A31D86" w:rsidRPr="00435A0E">
        <w:t>the owner</w:t>
      </w:r>
      <w:r w:rsidR="00137E7D" w:rsidRPr="00435A0E">
        <w:t xml:space="preserve"> with an accessible parking space as a reasonable accommodation </w:t>
      </w:r>
      <w:r w:rsidR="0008364E" w:rsidRPr="00435A0E">
        <w:t>for</w:t>
      </w:r>
      <w:r w:rsidR="00137E7D" w:rsidRPr="00435A0E">
        <w:t xml:space="preserve"> her disability.</w:t>
      </w:r>
      <w:r w:rsidR="0008364E" w:rsidRPr="00435A0E">
        <w:t xml:space="preserve"> </w:t>
      </w:r>
      <w:r w:rsidR="000D3F50" w:rsidRPr="00435A0E">
        <w:t xml:space="preserve"> (</w:t>
      </w:r>
      <w:r w:rsidR="000D3F50" w:rsidRPr="00435A0E">
        <w:rPr>
          <w:i/>
          <w:iCs/>
        </w:rPr>
        <w:t>Id.</w:t>
      </w:r>
      <w:r w:rsidR="000D3F50" w:rsidRPr="00435A0E">
        <w:t xml:space="preserve"> at p. 1063.)</w:t>
      </w:r>
      <w:r w:rsidR="009B379C" w:rsidRPr="00435A0E">
        <w:t xml:space="preserve"> </w:t>
      </w:r>
      <w:r w:rsidR="0008364E" w:rsidRPr="00435A0E">
        <w:t xml:space="preserve"> </w:t>
      </w:r>
      <w:r w:rsidR="005E4AD3" w:rsidRPr="00435A0E">
        <w:t xml:space="preserve">In a brief analysis, the federal district court </w:t>
      </w:r>
      <w:r w:rsidR="00B77432" w:rsidRPr="00435A0E">
        <w:t xml:space="preserve">concluded the organization had </w:t>
      </w:r>
      <w:r w:rsidR="000303B8" w:rsidRPr="00435A0E">
        <w:t>standing</w:t>
      </w:r>
      <w:r w:rsidR="00B77432" w:rsidRPr="00435A0E">
        <w:t xml:space="preserve"> under the UCL, even after Proposition 64, </w:t>
      </w:r>
      <w:r w:rsidR="00D261F6" w:rsidRPr="00435A0E">
        <w:t xml:space="preserve">because it had presented “evidence of actual injury based on loss of financial resources in investigating this claim and diversion of staff time from other cases to investigate the allegations here.”  </w:t>
      </w:r>
      <w:r w:rsidR="003A5283" w:rsidRPr="00435A0E">
        <w:t>(</w:t>
      </w:r>
      <w:r w:rsidR="003A5283" w:rsidRPr="00435A0E">
        <w:rPr>
          <w:i/>
          <w:iCs/>
        </w:rPr>
        <w:t>Id.</w:t>
      </w:r>
      <w:r w:rsidR="003A5283" w:rsidRPr="00435A0E">
        <w:t xml:space="preserve"> at p. 1069</w:t>
      </w:r>
      <w:r w:rsidR="00314434" w:rsidRPr="00435A0E">
        <w:t xml:space="preserve">; accord, </w:t>
      </w:r>
      <w:r w:rsidR="00630A47" w:rsidRPr="00435A0E">
        <w:rPr>
          <w:i/>
          <w:iCs/>
        </w:rPr>
        <w:t>In re WellPoint, Inc. Out-of-Network UCR Rates Litigation</w:t>
      </w:r>
      <w:r w:rsidR="00630A47" w:rsidRPr="00435A0E">
        <w:t> (C.D.Cal. 2012) 903 F.Supp.2d 880, 900 [</w:t>
      </w:r>
      <w:r w:rsidR="00186E8C" w:rsidRPr="00435A0E">
        <w:t xml:space="preserve">relying on </w:t>
      </w:r>
      <w:r w:rsidR="00186E8C" w:rsidRPr="00435A0E">
        <w:rPr>
          <w:i/>
          <w:iCs/>
        </w:rPr>
        <w:t>Southern California Housing</w:t>
      </w:r>
      <w:r w:rsidR="00186E8C" w:rsidRPr="00435A0E">
        <w:t xml:space="preserve"> in </w:t>
      </w:r>
      <w:r w:rsidR="00630A47" w:rsidRPr="00435A0E">
        <w:t xml:space="preserve">declining to dismiss </w:t>
      </w:r>
      <w:r w:rsidR="0097381F" w:rsidRPr="00435A0E">
        <w:t xml:space="preserve">plaintiff associations’ claims of </w:t>
      </w:r>
      <w:r w:rsidR="009729C8" w:rsidRPr="00435A0E">
        <w:t>organization</w:t>
      </w:r>
      <w:r w:rsidR="00825496" w:rsidRPr="00435A0E">
        <w:t>al</w:t>
      </w:r>
      <w:r w:rsidR="0097381F" w:rsidRPr="00435A0E">
        <w:t xml:space="preserve"> injury]</w:t>
      </w:r>
      <w:r w:rsidR="003A5283" w:rsidRPr="00435A0E">
        <w:t xml:space="preserve">.)  </w:t>
      </w:r>
      <w:r w:rsidR="00D261F6" w:rsidRPr="00435A0E">
        <w:t> </w:t>
      </w:r>
    </w:p>
    <w:p w14:paraId="4BFFD837" w14:textId="03C7C969" w:rsidR="009E4D17" w:rsidRPr="00435A0E" w:rsidRDefault="00BA5ECD" w:rsidP="00190BF7">
      <w:pPr>
        <w:tabs>
          <w:tab w:val="left" w:pos="1440"/>
        </w:tabs>
        <w:ind w:firstLine="720"/>
      </w:pPr>
      <w:r w:rsidRPr="00435A0E">
        <w:t>A Cali</w:t>
      </w:r>
      <w:r w:rsidR="004924E0" w:rsidRPr="00435A0E">
        <w:t xml:space="preserve">fornia appellate court later cited </w:t>
      </w:r>
      <w:r w:rsidR="004924E0" w:rsidRPr="00435A0E">
        <w:rPr>
          <w:i/>
          <w:iCs/>
        </w:rPr>
        <w:t>Southern California Housing</w:t>
      </w:r>
      <w:r w:rsidR="00665A58" w:rsidRPr="00435A0E">
        <w:rPr>
          <w:i/>
          <w:iCs/>
        </w:rPr>
        <w:t xml:space="preserve"> </w:t>
      </w:r>
      <w:r w:rsidR="009E4D17" w:rsidRPr="00435A0E">
        <w:t xml:space="preserve">as </w:t>
      </w:r>
      <w:r w:rsidR="003B3725" w:rsidRPr="00435A0E">
        <w:t xml:space="preserve">one </w:t>
      </w:r>
      <w:r w:rsidR="00886CB1" w:rsidRPr="00435A0E">
        <w:t xml:space="preserve">of several </w:t>
      </w:r>
      <w:r w:rsidR="009E4D17" w:rsidRPr="00435A0E">
        <w:t>example</w:t>
      </w:r>
      <w:r w:rsidR="00886CB1" w:rsidRPr="00435A0E">
        <w:t>s</w:t>
      </w:r>
      <w:r w:rsidR="009E4D17" w:rsidRPr="00435A0E">
        <w:t xml:space="preserve"> of how “expend[ing] money due to the defendant’s acts of unfair competition” could </w:t>
      </w:r>
      <w:r w:rsidR="008B1B5B" w:rsidRPr="00435A0E">
        <w:t>establish economic injury, describing the federal case with the parenthetical explanation, “</w:t>
      </w:r>
      <w:r w:rsidR="00626657" w:rsidRPr="00435A0E">
        <w:t>housing rights center lost financial resources and diverted staff time investigating case against defendants.”  (</w:t>
      </w:r>
      <w:r w:rsidR="009E4D17" w:rsidRPr="00435A0E">
        <w:rPr>
          <w:i/>
          <w:iCs/>
        </w:rPr>
        <w:t>Hall v. Time Inc.</w:t>
      </w:r>
      <w:r w:rsidR="009E4D17" w:rsidRPr="00435A0E">
        <w:t> (2008) 158 Cal.App.4th 847, 854</w:t>
      </w:r>
      <w:r w:rsidR="00626657" w:rsidRPr="00435A0E">
        <w:t>.)</w:t>
      </w:r>
      <w:r w:rsidR="003B3725" w:rsidRPr="00435A0E">
        <w:t xml:space="preserve">  This court</w:t>
      </w:r>
      <w:r w:rsidR="00870875" w:rsidRPr="00435A0E">
        <w:t xml:space="preserve">, in turn, later cited that passage from </w:t>
      </w:r>
      <w:r w:rsidR="00870875" w:rsidRPr="00435A0E">
        <w:rPr>
          <w:i/>
          <w:iCs/>
        </w:rPr>
        <w:t>Hall</w:t>
      </w:r>
      <w:r w:rsidR="00870875" w:rsidRPr="00435A0E">
        <w:t xml:space="preserve"> </w:t>
      </w:r>
      <w:r w:rsidR="00B10D64" w:rsidRPr="00435A0E">
        <w:t>as “cataloguing some of the various forms of economic injury.”  (</w:t>
      </w:r>
      <w:r w:rsidR="00B10D64" w:rsidRPr="00435A0E">
        <w:rPr>
          <w:i/>
          <w:iCs/>
        </w:rPr>
        <w:t>Kwikset</w:t>
      </w:r>
      <w:r w:rsidR="00B10D64" w:rsidRPr="00435A0E">
        <w:t xml:space="preserve">, </w:t>
      </w:r>
      <w:r w:rsidR="00B10D64" w:rsidRPr="00435A0E">
        <w:rPr>
          <w:i/>
          <w:iCs/>
        </w:rPr>
        <w:t>supra</w:t>
      </w:r>
      <w:r w:rsidR="00B10D64" w:rsidRPr="00435A0E">
        <w:t xml:space="preserve">, 51 Cal.4th at </w:t>
      </w:r>
      <w:r w:rsidR="00295F40" w:rsidRPr="00435A0E">
        <w:t>p. </w:t>
      </w:r>
      <w:r w:rsidR="00B10D64" w:rsidRPr="00435A0E">
        <w:t>323</w:t>
      </w:r>
      <w:r w:rsidR="001C1450" w:rsidRPr="00435A0E">
        <w:t xml:space="preserve">.)  </w:t>
      </w:r>
      <w:r w:rsidR="001C1450" w:rsidRPr="00435A0E">
        <w:lastRenderedPageBreak/>
        <w:t xml:space="preserve">While </w:t>
      </w:r>
      <w:r w:rsidR="001C1450" w:rsidRPr="00435A0E">
        <w:rPr>
          <w:i/>
          <w:iCs/>
        </w:rPr>
        <w:t>Kwikset</w:t>
      </w:r>
      <w:r w:rsidR="001C1450" w:rsidRPr="00435A0E">
        <w:t xml:space="preserve"> did not specifically endorse the decision </w:t>
      </w:r>
      <w:r w:rsidR="00432DE9" w:rsidRPr="00435A0E">
        <w:t xml:space="preserve">in </w:t>
      </w:r>
      <w:r w:rsidR="00432DE9" w:rsidRPr="00435A0E">
        <w:rPr>
          <w:i/>
          <w:iCs/>
        </w:rPr>
        <w:t>Southern California Housing</w:t>
      </w:r>
      <w:r w:rsidR="00432DE9" w:rsidRPr="00435A0E">
        <w:t xml:space="preserve">, our </w:t>
      </w:r>
      <w:r w:rsidR="0040154B" w:rsidRPr="00435A0E">
        <w:t xml:space="preserve">approving </w:t>
      </w:r>
      <w:r w:rsidR="00432DE9" w:rsidRPr="00435A0E">
        <w:t xml:space="preserve">citation of </w:t>
      </w:r>
      <w:r w:rsidR="00432DE9" w:rsidRPr="00435A0E">
        <w:rPr>
          <w:i/>
          <w:iCs/>
        </w:rPr>
        <w:t>Ha</w:t>
      </w:r>
      <w:r w:rsidR="0040154B" w:rsidRPr="00435A0E">
        <w:rPr>
          <w:i/>
          <w:iCs/>
        </w:rPr>
        <w:t>ll</w:t>
      </w:r>
      <w:r w:rsidR="0040154B" w:rsidRPr="00435A0E">
        <w:t xml:space="preserve">’s </w:t>
      </w:r>
      <w:r w:rsidR="004F2CD4" w:rsidRPr="00435A0E">
        <w:t>catalogue</w:t>
      </w:r>
      <w:r w:rsidR="0040154B" w:rsidRPr="00435A0E">
        <w:t xml:space="preserve">, which included </w:t>
      </w:r>
      <w:r w:rsidR="004F2CD4" w:rsidRPr="00435A0E">
        <w:t xml:space="preserve">the citation to </w:t>
      </w:r>
      <w:r w:rsidR="004F2CD4" w:rsidRPr="00435A0E">
        <w:rPr>
          <w:i/>
          <w:iCs/>
        </w:rPr>
        <w:t>Southern California Housing</w:t>
      </w:r>
      <w:r w:rsidR="0032700E" w:rsidRPr="00435A0E">
        <w:rPr>
          <w:i/>
          <w:iCs/>
        </w:rPr>
        <w:t xml:space="preserve"> </w:t>
      </w:r>
      <w:r w:rsidR="0032700E" w:rsidRPr="00435A0E">
        <w:t xml:space="preserve">and </w:t>
      </w:r>
      <w:r w:rsidR="00F12F4A" w:rsidRPr="00435A0E">
        <w:t xml:space="preserve">described </w:t>
      </w:r>
      <w:r w:rsidR="0032700E" w:rsidRPr="00435A0E">
        <w:t>its</w:t>
      </w:r>
      <w:r w:rsidR="004F2CD4" w:rsidRPr="00435A0E">
        <w:t xml:space="preserve"> </w:t>
      </w:r>
      <w:r w:rsidR="0040702F" w:rsidRPr="00435A0E">
        <w:t xml:space="preserve">diversion-of-resources reasoning, indicates at the least that </w:t>
      </w:r>
      <w:r w:rsidR="00D622C4" w:rsidRPr="00435A0E">
        <w:t>the diversion</w:t>
      </w:r>
      <w:r w:rsidR="0040702F" w:rsidRPr="00435A0E">
        <w:t xml:space="preserve"> theory of standing </w:t>
      </w:r>
      <w:r w:rsidR="00936AAE" w:rsidRPr="00435A0E">
        <w:t>is</w:t>
      </w:r>
      <w:r w:rsidR="00A230A3" w:rsidRPr="00435A0E">
        <w:t xml:space="preserve"> not facially inconsistent with </w:t>
      </w:r>
      <w:r w:rsidR="00A230A3" w:rsidRPr="00435A0E">
        <w:rPr>
          <w:i/>
          <w:iCs/>
        </w:rPr>
        <w:t>Kwikset</w:t>
      </w:r>
      <w:r w:rsidR="00A230A3" w:rsidRPr="00435A0E">
        <w:t>’s understanding of the UCL after Proposition 64</w:t>
      </w:r>
      <w:r w:rsidR="00936AAE" w:rsidRPr="00435A0E">
        <w:t>.</w:t>
      </w:r>
    </w:p>
    <w:p w14:paraId="7A1EF2CD" w14:textId="5D6C2516" w:rsidR="00796D69" w:rsidRPr="00435A0E" w:rsidRDefault="00B517EC" w:rsidP="00190BF7">
      <w:pPr>
        <w:tabs>
          <w:tab w:val="left" w:pos="1440"/>
        </w:tabs>
        <w:ind w:firstLine="720"/>
      </w:pPr>
      <w:r w:rsidRPr="00435A0E">
        <w:t>The Court of Appeal</w:t>
      </w:r>
      <w:r w:rsidR="006806E6" w:rsidRPr="00435A0E">
        <w:t xml:space="preserve"> below considered </w:t>
      </w:r>
      <w:r w:rsidR="00165B43" w:rsidRPr="00435A0E">
        <w:rPr>
          <w:i/>
          <w:iCs/>
        </w:rPr>
        <w:t xml:space="preserve">Animal Legal Defense </w:t>
      </w:r>
      <w:r w:rsidR="006806E6" w:rsidRPr="00435A0E">
        <w:t xml:space="preserve">distinguishable on the ground that </w:t>
      </w:r>
      <w:r w:rsidR="005F69B5" w:rsidRPr="00435A0E">
        <w:t xml:space="preserve">the plaintiff organization in that case, unlike </w:t>
      </w:r>
      <w:r w:rsidR="00016FFA" w:rsidRPr="00435A0E">
        <w:t>CMA</w:t>
      </w:r>
      <w:r w:rsidR="005F69B5" w:rsidRPr="00435A0E">
        <w:t xml:space="preserve"> here, </w:t>
      </w:r>
      <w:r w:rsidR="00796D69" w:rsidRPr="00435A0E">
        <w:t>“was not advocating on behalf of or providing services to help its members deal with their loss of money or property.”  (</w:t>
      </w:r>
      <w:r w:rsidR="00F668A1" w:rsidRPr="00435A0E">
        <w:rPr>
          <w:i/>
          <w:iCs/>
        </w:rPr>
        <w:t>California Medical</w:t>
      </w:r>
      <w:r w:rsidR="004212D5" w:rsidRPr="00435A0E">
        <w:t xml:space="preserve">, </w:t>
      </w:r>
      <w:r w:rsidR="004212D5" w:rsidRPr="00435A0E">
        <w:rPr>
          <w:i/>
          <w:iCs/>
        </w:rPr>
        <w:t>supra</w:t>
      </w:r>
      <w:r w:rsidR="004212D5" w:rsidRPr="00435A0E">
        <w:t xml:space="preserve">, </w:t>
      </w:r>
      <w:r w:rsidR="00796D69" w:rsidRPr="00435A0E">
        <w:t xml:space="preserve">63 Cal.App.5th </w:t>
      </w:r>
      <w:r w:rsidR="004212D5" w:rsidRPr="00435A0E">
        <w:t>at p.</w:t>
      </w:r>
      <w:r w:rsidR="00796D69" w:rsidRPr="00435A0E">
        <w:t xml:space="preserve"> 66</w:t>
      </w:r>
      <w:r w:rsidR="00522B8F" w:rsidRPr="00435A0E">
        <w:t>8</w:t>
      </w:r>
      <w:r w:rsidR="00102C9A" w:rsidRPr="00435A0E">
        <w:t>.</w:t>
      </w:r>
      <w:r w:rsidR="004A53F6" w:rsidRPr="00435A0E">
        <w:t xml:space="preserve">) </w:t>
      </w:r>
      <w:r w:rsidR="0028199B" w:rsidRPr="00435A0E">
        <w:t xml:space="preserve"> Because </w:t>
      </w:r>
      <w:r w:rsidR="00016FFA" w:rsidRPr="00435A0E">
        <w:t>CMA</w:t>
      </w:r>
      <w:r w:rsidR="0028199B" w:rsidRPr="00435A0E">
        <w:t xml:space="preserve">’s </w:t>
      </w:r>
      <w:r w:rsidR="00275AF2" w:rsidRPr="00435A0E">
        <w:t>expenditures</w:t>
      </w:r>
      <w:r w:rsidR="006A3082" w:rsidRPr="00435A0E">
        <w:t xml:space="preserve"> benefited its physician members </w:t>
      </w:r>
      <w:r w:rsidR="00587952" w:rsidRPr="00435A0E">
        <w:t xml:space="preserve">who were </w:t>
      </w:r>
      <w:r w:rsidR="005B1416" w:rsidRPr="00435A0E">
        <w:t xml:space="preserve">threatened by Aetna’s policy, the lower court reasoned, </w:t>
      </w:r>
      <w:r w:rsidR="00016FFA" w:rsidRPr="00435A0E">
        <w:t>CMA</w:t>
      </w:r>
      <w:r w:rsidR="00BC5C95" w:rsidRPr="00435A0E">
        <w:t>’s</w:t>
      </w:r>
      <w:r w:rsidR="0068710A" w:rsidRPr="00435A0E">
        <w:t xml:space="preserve"> suit is in reality a representative one</w:t>
      </w:r>
      <w:r w:rsidR="00293CB4" w:rsidRPr="00435A0E">
        <w:t>.  (</w:t>
      </w:r>
      <w:r w:rsidR="00293CB4" w:rsidRPr="00435A0E">
        <w:rPr>
          <w:i/>
          <w:iCs/>
        </w:rPr>
        <w:t>Ibid</w:t>
      </w:r>
      <w:r w:rsidR="00293CB4" w:rsidRPr="00435A0E">
        <w:t>.)</w:t>
      </w:r>
      <w:r w:rsidR="00F62C61" w:rsidRPr="00435A0E">
        <w:t xml:space="preserve"> </w:t>
      </w:r>
      <w:r w:rsidR="004A53F6" w:rsidRPr="00435A0E">
        <w:t xml:space="preserve"> Aetna makes the same argument.</w:t>
      </w:r>
      <w:r w:rsidR="00CB577A" w:rsidRPr="00435A0E">
        <w:t xml:space="preserve">  </w:t>
      </w:r>
    </w:p>
    <w:p w14:paraId="6D7373E2" w14:textId="18D79629" w:rsidR="00F406A6" w:rsidRPr="00435A0E" w:rsidRDefault="00D8371B" w:rsidP="00F406A6">
      <w:pPr>
        <w:tabs>
          <w:tab w:val="left" w:pos="1440"/>
        </w:tabs>
        <w:ind w:firstLine="720"/>
      </w:pPr>
      <w:r w:rsidRPr="00435A0E">
        <w:t xml:space="preserve">We find the lower court’s reasoning unpersuasive for at least two reasons.  </w:t>
      </w:r>
      <w:r w:rsidR="0002154F" w:rsidRPr="00435A0E">
        <w:t>First and m</w:t>
      </w:r>
      <w:r w:rsidR="00382865" w:rsidRPr="00435A0E">
        <w:t xml:space="preserve">ost fundamentally, </w:t>
      </w:r>
      <w:r w:rsidR="008C5458" w:rsidRPr="00435A0E">
        <w:t>the court</w:t>
      </w:r>
      <w:r w:rsidR="00966E1E" w:rsidRPr="00435A0E">
        <w:t>’s opinion</w:t>
      </w:r>
      <w:r w:rsidR="008C5458" w:rsidRPr="00435A0E">
        <w:t xml:space="preserve"> appears </w:t>
      </w:r>
      <w:r w:rsidR="00966E1E" w:rsidRPr="00435A0E">
        <w:t xml:space="preserve">to conflate </w:t>
      </w:r>
      <w:r w:rsidR="00016FFA" w:rsidRPr="00435A0E">
        <w:t>CMA</w:t>
      </w:r>
      <w:r w:rsidR="00966E1E" w:rsidRPr="00435A0E">
        <w:t xml:space="preserve">’s </w:t>
      </w:r>
      <w:r w:rsidR="001E41DE" w:rsidRPr="00435A0E">
        <w:t xml:space="preserve">own </w:t>
      </w:r>
      <w:r w:rsidR="00966E1E" w:rsidRPr="00435A0E">
        <w:t>claimed injury, its expenditure of resources</w:t>
      </w:r>
      <w:r w:rsidR="00B17EA1" w:rsidRPr="00435A0E">
        <w:t xml:space="preserve"> responding to Aetna’s policy</w:t>
      </w:r>
      <w:r w:rsidR="00106FB5" w:rsidRPr="00435A0E">
        <w:t xml:space="preserve">, with the injuries to the member physicians affected by that policy.  </w:t>
      </w:r>
      <w:r w:rsidR="00A40DA2" w:rsidRPr="00435A0E">
        <w:t>The two injuries are conceptually distinct</w:t>
      </w:r>
      <w:r w:rsidR="00391B34" w:rsidRPr="00435A0E">
        <w:t>,</w:t>
      </w:r>
      <w:r w:rsidR="00A40DA2" w:rsidRPr="00435A0E">
        <w:t xml:space="preserve"> even if </w:t>
      </w:r>
      <w:r w:rsidR="00016FFA" w:rsidRPr="00435A0E">
        <w:t>CMA</w:t>
      </w:r>
      <w:r w:rsidR="00391B34" w:rsidRPr="00435A0E">
        <w:t xml:space="preserve"> acted in part to prevent further injury to its members.</w:t>
      </w:r>
      <w:r w:rsidR="009F75C7" w:rsidRPr="00435A0E">
        <w:t xml:space="preserve">  </w:t>
      </w:r>
      <w:r w:rsidR="00F406A6" w:rsidRPr="00435A0E">
        <w:t xml:space="preserve">Relatedly, the Court of Appeal appears to have confused associational standing, under which an association </w:t>
      </w:r>
      <w:r w:rsidR="00C27D30" w:rsidRPr="00435A0E">
        <w:t>“</w:t>
      </w:r>
      <w:r w:rsidR="00F406A6" w:rsidRPr="00435A0E">
        <w:t>may bring an action on behalf of its members when the association itself would not otherwise have standing</w:t>
      </w:r>
      <w:r w:rsidR="00C27D30" w:rsidRPr="00435A0E">
        <w:t>” (</w:t>
      </w:r>
      <w:r w:rsidR="00F406A6" w:rsidRPr="00435A0E">
        <w:rPr>
          <w:i/>
          <w:iCs/>
        </w:rPr>
        <w:t>Amalgamated Transit</w:t>
      </w:r>
      <w:r w:rsidR="00C27D30" w:rsidRPr="00435A0E">
        <w:t xml:space="preserve">, </w:t>
      </w:r>
      <w:r w:rsidR="005F1EF5" w:rsidRPr="00435A0E">
        <w:rPr>
          <w:i/>
          <w:iCs/>
        </w:rPr>
        <w:t>supra</w:t>
      </w:r>
      <w:r w:rsidR="005F1EF5" w:rsidRPr="00435A0E">
        <w:t xml:space="preserve">, </w:t>
      </w:r>
      <w:r w:rsidR="00F406A6" w:rsidRPr="00435A0E">
        <w:t xml:space="preserve">46 Cal.4th </w:t>
      </w:r>
      <w:r w:rsidR="005F1EF5" w:rsidRPr="00435A0E">
        <w:t>at p.</w:t>
      </w:r>
      <w:r w:rsidR="00F406A6" w:rsidRPr="00435A0E">
        <w:t xml:space="preserve"> 1004</w:t>
      </w:r>
      <w:r w:rsidR="005F1EF5" w:rsidRPr="00435A0E">
        <w:t xml:space="preserve">), </w:t>
      </w:r>
      <w:r w:rsidR="00C96B68" w:rsidRPr="00435A0E">
        <w:t>with organizational standing,</w:t>
      </w:r>
      <w:r w:rsidR="005547BD" w:rsidRPr="00435A0E">
        <w:t xml:space="preserve"> in which the organization asserts its own claims based on its own injuries.</w:t>
      </w:r>
    </w:p>
    <w:p w14:paraId="757B8E32" w14:textId="1F290CEA" w:rsidR="000E13D1" w:rsidRPr="00435A0E" w:rsidRDefault="000E13D1" w:rsidP="00190BF7">
      <w:pPr>
        <w:tabs>
          <w:tab w:val="left" w:pos="1440"/>
        </w:tabs>
        <w:ind w:firstLine="720"/>
      </w:pPr>
      <w:r w:rsidRPr="00435A0E">
        <w:lastRenderedPageBreak/>
        <w:t xml:space="preserve">For the same reason, we are not persuaded that, as Aetna maintains, </w:t>
      </w:r>
      <w:r w:rsidR="00016FFA" w:rsidRPr="00435A0E">
        <w:t>CMA</w:t>
      </w:r>
      <w:r w:rsidRPr="00435A0E">
        <w:t xml:space="preserve">’s standing theory is foreclosed by our decision in </w:t>
      </w:r>
      <w:r w:rsidRPr="00435A0E">
        <w:rPr>
          <w:i/>
          <w:iCs/>
        </w:rPr>
        <w:t>Amalgamated Transit</w:t>
      </w:r>
      <w:r w:rsidRPr="00435A0E">
        <w:t>.  The plaintiff unions in that case</w:t>
      </w:r>
      <w:r w:rsidR="00F77E06" w:rsidRPr="00435A0E">
        <w:t>, unlike CMA,</w:t>
      </w:r>
      <w:r w:rsidRPr="00435A0E">
        <w:t xml:space="preserve"> made no claim to injuries distinct from those to their members, instead seeking standing only as assignees and representatives of the injured union members.  (</w:t>
      </w:r>
      <w:r w:rsidR="00DC037E" w:rsidRPr="00435A0E">
        <w:rPr>
          <w:i/>
          <w:iCs/>
        </w:rPr>
        <w:t>Amalgamated Transit</w:t>
      </w:r>
      <w:r w:rsidR="00DC037E" w:rsidRPr="00435A0E">
        <w:t xml:space="preserve">, </w:t>
      </w:r>
      <w:r w:rsidR="00DC037E" w:rsidRPr="00435A0E">
        <w:rPr>
          <w:i/>
          <w:iCs/>
        </w:rPr>
        <w:t>supra</w:t>
      </w:r>
      <w:r w:rsidR="00DC037E" w:rsidRPr="00435A0E">
        <w:t>,</w:t>
      </w:r>
      <w:r w:rsidR="00DC037E" w:rsidRPr="00435A0E">
        <w:rPr>
          <w:i/>
          <w:iCs/>
        </w:rPr>
        <w:t xml:space="preserve"> </w:t>
      </w:r>
      <w:r w:rsidRPr="00435A0E">
        <w:t>46 Cal.4th at pp. 998</w:t>
      </w:r>
      <w:r w:rsidR="005F4C4F" w:rsidRPr="00435A0E">
        <w:t>–</w:t>
      </w:r>
      <w:r w:rsidRPr="00435A0E">
        <w:t>999.)  Here,</w:t>
      </w:r>
      <w:r w:rsidR="00460BF3" w:rsidRPr="00435A0E">
        <w:t xml:space="preserve"> in contrast,</w:t>
      </w:r>
      <w:r w:rsidRPr="00435A0E">
        <w:t xml:space="preserve"> </w:t>
      </w:r>
      <w:r w:rsidR="00016FFA" w:rsidRPr="00435A0E">
        <w:t>CMA</w:t>
      </w:r>
      <w:r w:rsidRPr="00435A0E">
        <w:t>’s standing theory</w:t>
      </w:r>
      <w:r w:rsidR="00C31A58">
        <w:t> </w:t>
      </w:r>
      <w:r w:rsidR="00165B43" w:rsidRPr="00435A0E">
        <w:t>—</w:t>
      </w:r>
      <w:r w:rsidR="005C074E" w:rsidRPr="00435A0E">
        <w:t xml:space="preserve"> organizational rather than asso</w:t>
      </w:r>
      <w:r w:rsidR="002A5AFC" w:rsidRPr="00435A0E">
        <w:t>ciational standing</w:t>
      </w:r>
      <w:r w:rsidR="00C31A58">
        <w:t> </w:t>
      </w:r>
      <w:r w:rsidR="00165B43" w:rsidRPr="00435A0E">
        <w:t>—</w:t>
      </w:r>
      <w:r w:rsidR="00180212">
        <w:t xml:space="preserve"> </w:t>
      </w:r>
      <w:r w:rsidRPr="00435A0E">
        <w:t>is based on its own claim of economic injury.</w:t>
      </w:r>
      <w:r w:rsidR="00C260B0" w:rsidRPr="00435A0E">
        <w:t xml:space="preserve"> </w:t>
      </w:r>
    </w:p>
    <w:p w14:paraId="191C091B" w14:textId="64923BF2" w:rsidR="00B517EC" w:rsidRPr="00435A0E" w:rsidRDefault="00754A08" w:rsidP="00190BF7">
      <w:pPr>
        <w:tabs>
          <w:tab w:val="left" w:pos="1440"/>
        </w:tabs>
        <w:ind w:firstLine="720"/>
      </w:pPr>
      <w:r w:rsidRPr="00435A0E">
        <w:t xml:space="preserve">Second, the perceived threat </w:t>
      </w:r>
      <w:r w:rsidR="008B6BF5" w:rsidRPr="00435A0E">
        <w:t xml:space="preserve">to </w:t>
      </w:r>
      <w:r w:rsidR="00016FFA" w:rsidRPr="00435A0E">
        <w:t>CMA</w:t>
      </w:r>
      <w:r w:rsidR="008B6BF5" w:rsidRPr="00435A0E">
        <w:t xml:space="preserve">’s mission went beyond injury to physician members of </w:t>
      </w:r>
      <w:r w:rsidR="00016FFA" w:rsidRPr="00435A0E">
        <w:t>CMA</w:t>
      </w:r>
      <w:r w:rsidR="00010AB8" w:rsidRPr="00435A0E">
        <w:t xml:space="preserve">.  </w:t>
      </w:r>
      <w:r w:rsidR="00C75B27" w:rsidRPr="00435A0E">
        <w:t xml:space="preserve">By imposing unwarranted restrictions on network physicians’ </w:t>
      </w:r>
      <w:r w:rsidR="00A84967" w:rsidRPr="00435A0E">
        <w:t xml:space="preserve">medical </w:t>
      </w:r>
      <w:r w:rsidR="00C75B27" w:rsidRPr="00435A0E">
        <w:t>referrals</w:t>
      </w:r>
      <w:r w:rsidR="00A95E51" w:rsidRPr="00435A0E">
        <w:t xml:space="preserve">, in </w:t>
      </w:r>
      <w:r w:rsidR="00016FFA" w:rsidRPr="00435A0E">
        <w:t>CMA</w:t>
      </w:r>
      <w:r w:rsidR="00A95E51" w:rsidRPr="00435A0E">
        <w:t>’s view,</w:t>
      </w:r>
      <w:r w:rsidR="00C75B27" w:rsidRPr="00435A0E">
        <w:t xml:space="preserve"> </w:t>
      </w:r>
      <w:r w:rsidR="00010AB8" w:rsidRPr="00435A0E">
        <w:t>Aetna’s policy</w:t>
      </w:r>
      <w:r w:rsidR="00A95E51" w:rsidRPr="00435A0E">
        <w:t xml:space="preserve"> </w:t>
      </w:r>
      <w:r w:rsidR="00E6682C" w:rsidRPr="00435A0E">
        <w:t xml:space="preserve">impaired </w:t>
      </w:r>
      <w:r w:rsidR="00016FFA" w:rsidRPr="00435A0E">
        <w:t>CMA</w:t>
      </w:r>
      <w:r w:rsidR="00A84967" w:rsidRPr="00435A0E">
        <w:t xml:space="preserve">’s efforts to protect the public health. </w:t>
      </w:r>
      <w:r w:rsidR="00613F0C" w:rsidRPr="00435A0E">
        <w:t xml:space="preserve"> Whether or not the </w:t>
      </w:r>
      <w:r w:rsidR="006114F3" w:rsidRPr="00435A0E">
        <w:t xml:space="preserve">plaintiff organization in </w:t>
      </w:r>
      <w:r w:rsidR="00165B43" w:rsidRPr="00435A0E">
        <w:rPr>
          <w:i/>
          <w:iCs/>
        </w:rPr>
        <w:t>Animal Legal Defense</w:t>
      </w:r>
      <w:r w:rsidR="00165B43" w:rsidRPr="00435A0E">
        <w:t xml:space="preserve"> </w:t>
      </w:r>
      <w:r w:rsidR="006114F3" w:rsidRPr="00435A0E">
        <w:t>had members who were affected by</w:t>
      </w:r>
      <w:r w:rsidR="00F77E06" w:rsidRPr="00435A0E">
        <w:t xml:space="preserve"> </w:t>
      </w:r>
      <w:r w:rsidR="00177543" w:rsidRPr="00435A0E">
        <w:t xml:space="preserve">the </w:t>
      </w:r>
      <w:r w:rsidR="00F77E06" w:rsidRPr="00435A0E">
        <w:t>alleged unlawful practices</w:t>
      </w:r>
      <w:r w:rsidR="0015563A" w:rsidRPr="00435A0E">
        <w:t>,</w:t>
      </w:r>
      <w:r w:rsidR="006114F3" w:rsidRPr="00435A0E">
        <w:t xml:space="preserve"> </w:t>
      </w:r>
      <w:r w:rsidR="00B7184C" w:rsidRPr="00435A0E">
        <w:t xml:space="preserve">the </w:t>
      </w:r>
      <w:r w:rsidR="008C0FC3" w:rsidRPr="00435A0E">
        <w:t>organization</w:t>
      </w:r>
      <w:r w:rsidR="00B7184C" w:rsidRPr="00435A0E">
        <w:t xml:space="preserve"> could claim injury in its</w:t>
      </w:r>
      <w:r w:rsidR="008C0FC3" w:rsidRPr="00435A0E">
        <w:t xml:space="preserve"> diversion of </w:t>
      </w:r>
      <w:r w:rsidR="008C5FC6" w:rsidRPr="00435A0E">
        <w:t xml:space="preserve">limited resources to respond to a threat to its </w:t>
      </w:r>
      <w:r w:rsidR="00177543" w:rsidRPr="00435A0E">
        <w:t xml:space="preserve">own </w:t>
      </w:r>
      <w:r w:rsidR="008C5FC6" w:rsidRPr="00435A0E">
        <w:t>mission</w:t>
      </w:r>
      <w:r w:rsidR="00215641" w:rsidRPr="00435A0E">
        <w:t xml:space="preserve">, a claim that </w:t>
      </w:r>
      <w:r w:rsidR="00872F9F" w:rsidRPr="00435A0E">
        <w:t xml:space="preserve">may equally be </w:t>
      </w:r>
      <w:r w:rsidR="00215641" w:rsidRPr="00435A0E">
        <w:t xml:space="preserve">made </w:t>
      </w:r>
      <w:r w:rsidR="00872F9F" w:rsidRPr="00435A0E">
        <w:t xml:space="preserve">by a membership organization </w:t>
      </w:r>
      <w:r w:rsidR="0024073A" w:rsidRPr="00435A0E">
        <w:t xml:space="preserve">like </w:t>
      </w:r>
      <w:r w:rsidR="00016FFA" w:rsidRPr="00435A0E">
        <w:t>CMA</w:t>
      </w:r>
      <w:r w:rsidR="0024073A" w:rsidRPr="00435A0E">
        <w:t>.</w:t>
      </w:r>
    </w:p>
    <w:p w14:paraId="2A0F88E5" w14:textId="1EE089DF" w:rsidR="00431444" w:rsidRPr="00435A0E" w:rsidRDefault="00431444" w:rsidP="00190BF7">
      <w:pPr>
        <w:tabs>
          <w:tab w:val="left" w:pos="1440"/>
        </w:tabs>
        <w:ind w:firstLine="720"/>
      </w:pPr>
      <w:r w:rsidRPr="00435A0E">
        <w:t>The Court of Appeal’s discussion of this point is also unclear as to its bearing on the standing question.  Proposition 64’s amendments to the UCL did not eliminate representative actions</w:t>
      </w:r>
      <w:r w:rsidR="009165AF" w:rsidRPr="00435A0E">
        <w:t>.  In section 17204, the measure</w:t>
      </w:r>
      <w:r w:rsidRPr="00435A0E">
        <w:t xml:space="preserve"> require</w:t>
      </w:r>
      <w:r w:rsidR="00EA625C" w:rsidRPr="00435A0E">
        <w:t>s</w:t>
      </w:r>
      <w:r w:rsidRPr="00435A0E">
        <w:t xml:space="preserve"> that all private plaintiffs have suffered an economic injury</w:t>
      </w:r>
      <w:r w:rsidR="009165AF" w:rsidRPr="00435A0E">
        <w:t xml:space="preserve">; in section 17203, it </w:t>
      </w:r>
      <w:r w:rsidRPr="00435A0E">
        <w:t>mandate</w:t>
      </w:r>
      <w:r w:rsidR="00EA625C" w:rsidRPr="00435A0E">
        <w:t>s</w:t>
      </w:r>
      <w:r w:rsidRPr="00435A0E">
        <w:t xml:space="preserve"> that private plaintiffs bringing representative actions comply with </w:t>
      </w:r>
      <w:r w:rsidR="00ED0B05" w:rsidRPr="00435A0E">
        <w:t xml:space="preserve">class actions </w:t>
      </w:r>
      <w:r w:rsidRPr="00435A0E">
        <w:t xml:space="preserve">procedures </w:t>
      </w:r>
      <w:r w:rsidR="00C96DBF" w:rsidRPr="00435A0E">
        <w:t xml:space="preserve">and requirements </w:t>
      </w:r>
      <w:r w:rsidRPr="00435A0E">
        <w:t>developed under Code of Civil Procedure section 382.  (</w:t>
      </w:r>
      <w:r w:rsidR="009165AF" w:rsidRPr="00435A0E">
        <w:t xml:space="preserve">See </w:t>
      </w:r>
      <w:r w:rsidRPr="00435A0E">
        <w:rPr>
          <w:i/>
          <w:iCs/>
        </w:rPr>
        <w:t>Arias v. Superior Court</w:t>
      </w:r>
      <w:r w:rsidRPr="00435A0E">
        <w:t> (2009) 46 Cal.4th 969, 977–</w:t>
      </w:r>
      <w:r w:rsidR="00937626" w:rsidRPr="00435A0E">
        <w:t>980</w:t>
      </w:r>
      <w:r w:rsidRPr="00435A0E">
        <w:t xml:space="preserve">.)  Even if </w:t>
      </w:r>
      <w:r w:rsidR="00016FFA" w:rsidRPr="00435A0E">
        <w:t>CMA</w:t>
      </w:r>
      <w:r w:rsidRPr="00435A0E">
        <w:t xml:space="preserve">’s suit were considered a representative one, then, the </w:t>
      </w:r>
      <w:r w:rsidRPr="00435A0E">
        <w:lastRenderedPageBreak/>
        <w:t xml:space="preserve">organization could still </w:t>
      </w:r>
      <w:r w:rsidR="00ED3DC9" w:rsidRPr="00435A0E">
        <w:t>claim</w:t>
      </w:r>
      <w:r w:rsidRPr="00435A0E">
        <w:t xml:space="preserve"> standing based on its own economic injury.</w:t>
      </w:r>
      <w:r w:rsidR="00BE07AC" w:rsidRPr="00435A0E">
        <w:rPr>
          <w:rStyle w:val="FootnoteReference"/>
        </w:rPr>
        <w:footnoteReference w:id="7"/>
      </w:r>
    </w:p>
    <w:p w14:paraId="1A40DCC1" w14:textId="3901CA87" w:rsidR="008D13A0" w:rsidRPr="00435A0E" w:rsidRDefault="002D125E" w:rsidP="00190BF7">
      <w:pPr>
        <w:tabs>
          <w:tab w:val="left" w:pos="1440"/>
        </w:tabs>
        <w:ind w:firstLine="720"/>
      </w:pPr>
      <w:r w:rsidRPr="00435A0E">
        <w:t xml:space="preserve">Both </w:t>
      </w:r>
      <w:r w:rsidR="00165B43" w:rsidRPr="00435A0E">
        <w:rPr>
          <w:i/>
          <w:iCs/>
        </w:rPr>
        <w:t xml:space="preserve">Animal Legal Defense </w:t>
      </w:r>
      <w:r w:rsidR="002D4066" w:rsidRPr="00435A0E">
        <w:t xml:space="preserve">and </w:t>
      </w:r>
      <w:r w:rsidR="00C446A2" w:rsidRPr="00435A0E">
        <w:rPr>
          <w:i/>
          <w:iCs/>
        </w:rPr>
        <w:t xml:space="preserve">Southern California Housing </w:t>
      </w:r>
      <w:r w:rsidR="00C446A2" w:rsidRPr="00435A0E">
        <w:t xml:space="preserve">relied on a line of federal </w:t>
      </w:r>
      <w:r w:rsidR="00B97AE8" w:rsidRPr="00435A0E">
        <w:t>decisions</w:t>
      </w:r>
      <w:r w:rsidR="00B50F8B" w:rsidRPr="00435A0E">
        <w:t>, beginning with</w:t>
      </w:r>
      <w:r w:rsidR="002C1F45" w:rsidRPr="00435A0E">
        <w:t xml:space="preserve"> </w:t>
      </w:r>
      <w:r w:rsidR="00DB2AA8" w:rsidRPr="00435A0E">
        <w:rPr>
          <w:i/>
          <w:iCs/>
        </w:rPr>
        <w:t>Havens Realty Corp. v. Coleman</w:t>
      </w:r>
      <w:r w:rsidR="00DB2AA8" w:rsidRPr="00435A0E">
        <w:t> (1982) 455 U.S. 363 (</w:t>
      </w:r>
      <w:r w:rsidR="00DB2AA8" w:rsidRPr="00435A0E">
        <w:rPr>
          <w:i/>
          <w:iCs/>
        </w:rPr>
        <w:t>Havens</w:t>
      </w:r>
      <w:r w:rsidR="00DB2AA8" w:rsidRPr="00435A0E">
        <w:t xml:space="preserve">), </w:t>
      </w:r>
      <w:r w:rsidR="00471485" w:rsidRPr="00435A0E">
        <w:lastRenderedPageBreak/>
        <w:t xml:space="preserve">holding </w:t>
      </w:r>
      <w:r w:rsidR="00B50F8B" w:rsidRPr="00435A0E">
        <w:t xml:space="preserve">that </w:t>
      </w:r>
      <w:r w:rsidR="00DB2AA8" w:rsidRPr="00435A0E">
        <w:t xml:space="preserve">an </w:t>
      </w:r>
      <w:r w:rsidR="00471485" w:rsidRPr="00435A0E">
        <w:t>organization</w:t>
      </w:r>
      <w:r w:rsidR="00DB2AA8" w:rsidRPr="00435A0E">
        <w:t xml:space="preserve"> </w:t>
      </w:r>
      <w:r w:rsidR="00680656" w:rsidRPr="00435A0E">
        <w:t xml:space="preserve">may establish injury in fact </w:t>
      </w:r>
      <w:r w:rsidR="00AA67B7" w:rsidRPr="00435A0E">
        <w:t xml:space="preserve">by showing </w:t>
      </w:r>
      <w:r w:rsidR="00680656" w:rsidRPr="00435A0E">
        <w:t>that it</w:t>
      </w:r>
      <w:r w:rsidR="001A249E" w:rsidRPr="00435A0E">
        <w:t xml:space="preserve"> diverted </w:t>
      </w:r>
      <w:r w:rsidR="002C1F45" w:rsidRPr="00435A0E">
        <w:t xml:space="preserve">resources </w:t>
      </w:r>
      <w:r w:rsidR="005F2261" w:rsidRPr="00435A0E">
        <w:t>in response</w:t>
      </w:r>
      <w:r w:rsidR="002C1F45" w:rsidRPr="00435A0E">
        <w:t xml:space="preserve"> to </w:t>
      </w:r>
      <w:r w:rsidR="00F359AE" w:rsidRPr="00435A0E">
        <w:t xml:space="preserve">a threat to its mission. </w:t>
      </w:r>
      <w:r w:rsidR="002D4066" w:rsidRPr="00435A0E">
        <w:t xml:space="preserve"> (See </w:t>
      </w:r>
      <w:r w:rsidR="00165B43" w:rsidRPr="00435A0E">
        <w:rPr>
          <w:i/>
          <w:iCs/>
        </w:rPr>
        <w:t>Animal Legal Defense</w:t>
      </w:r>
      <w:r w:rsidR="00251194" w:rsidRPr="00435A0E">
        <w:t xml:space="preserve">, </w:t>
      </w:r>
      <w:r w:rsidR="00251194" w:rsidRPr="00435A0E">
        <w:rPr>
          <w:i/>
          <w:iCs/>
        </w:rPr>
        <w:t>supra</w:t>
      </w:r>
      <w:r w:rsidR="00251194" w:rsidRPr="00435A0E">
        <w:t xml:space="preserve">, 234 Cal.App.4th </w:t>
      </w:r>
      <w:r w:rsidR="007A4E38" w:rsidRPr="00435A0E">
        <w:t>at pp. 1281</w:t>
      </w:r>
      <w:r w:rsidR="00F523B3" w:rsidRPr="00435A0E">
        <w:t>–</w:t>
      </w:r>
      <w:r w:rsidR="007A4E38" w:rsidRPr="00435A0E">
        <w:t xml:space="preserve">1282; </w:t>
      </w:r>
      <w:r w:rsidR="007A4E38" w:rsidRPr="00435A0E">
        <w:rPr>
          <w:i/>
          <w:iCs/>
        </w:rPr>
        <w:t>Southern California Housing</w:t>
      </w:r>
      <w:r w:rsidR="007A4E38" w:rsidRPr="00435A0E">
        <w:t xml:space="preserve">, </w:t>
      </w:r>
      <w:r w:rsidR="007A4E38" w:rsidRPr="00435A0E">
        <w:rPr>
          <w:i/>
          <w:iCs/>
        </w:rPr>
        <w:t>supra</w:t>
      </w:r>
      <w:r w:rsidR="007A4E38" w:rsidRPr="00435A0E">
        <w:t xml:space="preserve">, </w:t>
      </w:r>
      <w:r w:rsidR="004B0361" w:rsidRPr="00435A0E">
        <w:t xml:space="preserve">426 F.Supp.2d at p. </w:t>
      </w:r>
      <w:r w:rsidR="00056628" w:rsidRPr="00435A0E">
        <w:t xml:space="preserve">1069.)  </w:t>
      </w:r>
      <w:r w:rsidR="00016FFA" w:rsidRPr="00435A0E">
        <w:t>CMA</w:t>
      </w:r>
      <w:r w:rsidR="00F77D4D" w:rsidRPr="00435A0E">
        <w:t xml:space="preserve">, as well, </w:t>
      </w:r>
      <w:r w:rsidR="008319A4" w:rsidRPr="00435A0E">
        <w:t xml:space="preserve">relies on </w:t>
      </w:r>
      <w:r w:rsidR="008319A4" w:rsidRPr="00435A0E">
        <w:rPr>
          <w:i/>
          <w:iCs/>
        </w:rPr>
        <w:t>Havens</w:t>
      </w:r>
      <w:r w:rsidR="008319A4" w:rsidRPr="00435A0E">
        <w:t xml:space="preserve"> and its progeny for its </w:t>
      </w:r>
      <w:r w:rsidR="003957DE" w:rsidRPr="00435A0E">
        <w:t xml:space="preserve">standing </w:t>
      </w:r>
      <w:r w:rsidR="008319A4" w:rsidRPr="00435A0E">
        <w:t xml:space="preserve">theory </w:t>
      </w:r>
      <w:r w:rsidR="00723F78" w:rsidRPr="00435A0E">
        <w:t>here, while Aetna maintains</w:t>
      </w:r>
      <w:r w:rsidR="003957DE" w:rsidRPr="00435A0E">
        <w:t xml:space="preserve"> that the narrower standing limits of the UCL after Proposition 64 make the </w:t>
      </w:r>
      <w:r w:rsidR="004129A9" w:rsidRPr="00435A0E">
        <w:t>federal cases inapposite.</w:t>
      </w:r>
      <w:r w:rsidR="001D0015" w:rsidRPr="00435A0E">
        <w:t xml:space="preserve">  </w:t>
      </w:r>
      <w:r w:rsidR="008D13A0" w:rsidRPr="00435A0E">
        <w:t>On</w:t>
      </w:r>
      <w:r w:rsidR="004C4EC2" w:rsidRPr="00435A0E">
        <w:t xml:space="preserve"> reviewing the federal decisions, we </w:t>
      </w:r>
      <w:r w:rsidR="00A075D5" w:rsidRPr="00435A0E">
        <w:t xml:space="preserve">find them to be persuasive authority for </w:t>
      </w:r>
      <w:r w:rsidR="00016FFA" w:rsidRPr="00435A0E">
        <w:t>CMA</w:t>
      </w:r>
      <w:r w:rsidR="00A075D5" w:rsidRPr="00435A0E">
        <w:t xml:space="preserve">’s </w:t>
      </w:r>
      <w:r w:rsidR="00E87E65" w:rsidRPr="00435A0E">
        <w:t xml:space="preserve">theory of UCL </w:t>
      </w:r>
      <w:r w:rsidR="00A075D5" w:rsidRPr="00435A0E">
        <w:t>standing</w:t>
      </w:r>
      <w:r w:rsidR="00CE35DC" w:rsidRPr="00435A0E">
        <w:t>.</w:t>
      </w:r>
    </w:p>
    <w:p w14:paraId="4C852DE4" w14:textId="6FE175F7" w:rsidR="008D13A0" w:rsidRPr="00435A0E" w:rsidRDefault="005A3BDB" w:rsidP="00190BF7">
      <w:pPr>
        <w:tabs>
          <w:tab w:val="left" w:pos="1440"/>
        </w:tabs>
        <w:ind w:firstLine="720"/>
      </w:pPr>
      <w:r w:rsidRPr="00435A0E">
        <w:t xml:space="preserve">In </w:t>
      </w:r>
      <w:r w:rsidRPr="00435A0E">
        <w:rPr>
          <w:i/>
          <w:iCs/>
        </w:rPr>
        <w:t>Havens</w:t>
      </w:r>
      <w:r w:rsidRPr="00435A0E">
        <w:t xml:space="preserve">, </w:t>
      </w:r>
      <w:r w:rsidR="00686426" w:rsidRPr="00435A0E">
        <w:t xml:space="preserve">a </w:t>
      </w:r>
      <w:r w:rsidR="005E0E75" w:rsidRPr="00435A0E">
        <w:t xml:space="preserve">nonprofit </w:t>
      </w:r>
      <w:r w:rsidR="00C237B6" w:rsidRPr="00435A0E">
        <w:t>corporation</w:t>
      </w:r>
      <w:r w:rsidR="005E0E75" w:rsidRPr="00435A0E">
        <w:t xml:space="preserve"> devoted to increasing </w:t>
      </w:r>
      <w:r w:rsidR="00C237B6" w:rsidRPr="00435A0E">
        <w:t xml:space="preserve">equal housing opportunities in the Richmond, Virginia area </w:t>
      </w:r>
      <w:r w:rsidR="000A189E" w:rsidRPr="00435A0E">
        <w:t>joined individuals who</w:t>
      </w:r>
      <w:r w:rsidR="009626EE" w:rsidRPr="00435A0E">
        <w:t xml:space="preserve"> had</w:t>
      </w:r>
      <w:r w:rsidR="000A189E" w:rsidRPr="00435A0E">
        <w:t xml:space="preserve"> </w:t>
      </w:r>
      <w:r w:rsidR="004433EC" w:rsidRPr="00435A0E">
        <w:t xml:space="preserve">allegedly </w:t>
      </w:r>
      <w:r w:rsidR="000A189E" w:rsidRPr="00435A0E">
        <w:t xml:space="preserve">suffered from </w:t>
      </w:r>
      <w:r w:rsidR="009213E3" w:rsidRPr="00435A0E">
        <w:t xml:space="preserve">a building </w:t>
      </w:r>
      <w:r w:rsidR="00AB6100" w:rsidRPr="00435A0E">
        <w:t>owner’s</w:t>
      </w:r>
      <w:r w:rsidR="009213E3" w:rsidRPr="00435A0E">
        <w:t xml:space="preserve"> racial steering practices </w:t>
      </w:r>
      <w:r w:rsidR="00AB6100" w:rsidRPr="00435A0E">
        <w:t>in suing the owner under the federal Fair Housing Act</w:t>
      </w:r>
      <w:r w:rsidR="00F81FDA" w:rsidRPr="00435A0E">
        <w:t xml:space="preserve"> of 1968 (</w:t>
      </w:r>
      <w:r w:rsidR="00F81FDA" w:rsidRPr="00435A0E">
        <w:rPr>
          <w:i/>
          <w:iCs/>
        </w:rPr>
        <w:t>Havens</w:t>
      </w:r>
      <w:r w:rsidR="00F81FDA" w:rsidRPr="00435A0E">
        <w:t xml:space="preserve">, </w:t>
      </w:r>
      <w:r w:rsidR="00F81FDA" w:rsidRPr="00435A0E">
        <w:rPr>
          <w:i/>
          <w:iCs/>
        </w:rPr>
        <w:t>supra</w:t>
      </w:r>
      <w:r w:rsidR="00F81FDA" w:rsidRPr="00435A0E">
        <w:t>, 455 U.S. at pp. 366</w:t>
      </w:r>
      <w:r w:rsidR="00F523B3" w:rsidRPr="00435A0E">
        <w:t>–</w:t>
      </w:r>
      <w:r w:rsidR="00F42C45" w:rsidRPr="00435A0E">
        <w:t>368</w:t>
      </w:r>
      <w:r w:rsidR="00F81FDA" w:rsidRPr="00435A0E">
        <w:t>)</w:t>
      </w:r>
      <w:r w:rsidR="00E868EC" w:rsidRPr="00435A0E">
        <w:t>, alleging the defendant’s practices had frustrated the organization’s mission</w:t>
      </w:r>
      <w:r w:rsidR="00A23A3E" w:rsidRPr="00435A0E">
        <w:t xml:space="preserve"> and caused</w:t>
      </w:r>
      <w:r w:rsidR="008B3F28" w:rsidRPr="00435A0E">
        <w:t xml:space="preserve"> it “</w:t>
      </w:r>
      <w:r w:rsidR="00A23A3E" w:rsidRPr="00435A0E">
        <w:t> ‘</w:t>
      </w:r>
      <w:r w:rsidR="00E868EC" w:rsidRPr="00435A0E">
        <w:t>to devote significant resources to identify and counteract the defendant</w:t>
      </w:r>
      <w:r w:rsidR="008B3F28" w:rsidRPr="00435A0E">
        <w:t>’</w:t>
      </w:r>
      <w:r w:rsidR="00E868EC" w:rsidRPr="00435A0E">
        <w:t>s [</w:t>
      </w:r>
      <w:r w:rsidR="00E868EC" w:rsidRPr="00435A0E">
        <w:rPr>
          <w:i/>
          <w:iCs/>
        </w:rPr>
        <w:t>sic</w:t>
      </w:r>
      <w:r w:rsidR="00E868EC" w:rsidRPr="00435A0E">
        <w:t>] racially discriminatory steering practices.</w:t>
      </w:r>
      <w:r w:rsidR="00A23A3E" w:rsidRPr="00435A0E">
        <w:t>’ </w:t>
      </w:r>
      <w:r w:rsidR="008B3F28" w:rsidRPr="00435A0E">
        <w:t xml:space="preserve">”  </w:t>
      </w:r>
      <w:r w:rsidR="00FE5D10" w:rsidRPr="00435A0E">
        <w:t>(</w:t>
      </w:r>
      <w:r w:rsidR="00FE5D10" w:rsidRPr="00435A0E">
        <w:rPr>
          <w:i/>
          <w:iCs/>
        </w:rPr>
        <w:t>Id.</w:t>
      </w:r>
      <w:r w:rsidR="00FE5D10" w:rsidRPr="00435A0E">
        <w:t xml:space="preserve"> at p. 379.)  </w:t>
      </w:r>
      <w:r w:rsidR="00B22A58" w:rsidRPr="00435A0E">
        <w:t>The high court held</w:t>
      </w:r>
      <w:r w:rsidR="00FE5D10" w:rsidRPr="00435A0E">
        <w:t xml:space="preserve"> </w:t>
      </w:r>
      <w:r w:rsidR="00B22A58" w:rsidRPr="00435A0E">
        <w:t xml:space="preserve">the organization’s </w:t>
      </w:r>
      <w:r w:rsidR="00FE5D10" w:rsidRPr="00435A0E">
        <w:t xml:space="preserve">allegations </w:t>
      </w:r>
      <w:r w:rsidR="004F6434" w:rsidRPr="00435A0E">
        <w:t xml:space="preserve">satisfied </w:t>
      </w:r>
      <w:r w:rsidR="00910586" w:rsidRPr="00435A0E">
        <w:t>the federal Constitution</w:t>
      </w:r>
      <w:r w:rsidR="004F6434" w:rsidRPr="00435A0E">
        <w:t xml:space="preserve">’s injury-in-fact </w:t>
      </w:r>
      <w:r w:rsidR="005568EA" w:rsidRPr="00435A0E">
        <w:t>requirement, reasoning that “</w:t>
      </w:r>
      <w:r w:rsidR="007D1C40" w:rsidRPr="00435A0E">
        <w:t>[i]f, as broadly alleged, petitioners</w:t>
      </w:r>
      <w:r w:rsidR="00056039" w:rsidRPr="00435A0E">
        <w:t xml:space="preserve">’ </w:t>
      </w:r>
      <w:r w:rsidR="007D1C40" w:rsidRPr="00435A0E">
        <w:t>steering practices have perceptibly impaired HOME</w:t>
      </w:r>
      <w:r w:rsidR="00056039" w:rsidRPr="00435A0E">
        <w:t>’</w:t>
      </w:r>
      <w:r w:rsidR="007D1C40" w:rsidRPr="00435A0E">
        <w:t>s ability to provide counseling and referral services for low-</w:t>
      </w:r>
      <w:r w:rsidR="00AD4E18" w:rsidRPr="00435A0E">
        <w:t xml:space="preserve"> </w:t>
      </w:r>
      <w:r w:rsidR="007D1C40" w:rsidRPr="00435A0E">
        <w:t xml:space="preserve">and moderate-income homeseekers, there can be no question that the organization has suffered injury in fact. </w:t>
      </w:r>
      <w:r w:rsidR="00056039" w:rsidRPr="00435A0E">
        <w:t xml:space="preserve"> </w:t>
      </w:r>
      <w:r w:rsidR="007D1C40" w:rsidRPr="00435A0E">
        <w:t>Such concrete and demonstrable injury to the organization</w:t>
      </w:r>
      <w:r w:rsidR="00234FDF" w:rsidRPr="00435A0E">
        <w:t>’</w:t>
      </w:r>
      <w:r w:rsidR="007D1C40" w:rsidRPr="00435A0E">
        <w:t>s activities</w:t>
      </w:r>
      <w:r w:rsidR="00C31A58">
        <w:t> </w:t>
      </w:r>
      <w:r w:rsidR="007D1C40" w:rsidRPr="00435A0E">
        <w:t>—</w:t>
      </w:r>
      <w:r w:rsidR="00F42522" w:rsidRPr="00435A0E">
        <w:t xml:space="preserve"> </w:t>
      </w:r>
      <w:r w:rsidR="007D1C40" w:rsidRPr="00435A0E">
        <w:t>with the consequent drain on the organization</w:t>
      </w:r>
      <w:r w:rsidR="00C32B77" w:rsidRPr="00435A0E">
        <w:t>’</w:t>
      </w:r>
      <w:r w:rsidR="007D1C40" w:rsidRPr="00435A0E">
        <w:t>s resources</w:t>
      </w:r>
      <w:r w:rsidR="00C31A58">
        <w:t> </w:t>
      </w:r>
      <w:r w:rsidR="007D1C40" w:rsidRPr="00435A0E">
        <w:t>—</w:t>
      </w:r>
      <w:r w:rsidR="00F42522" w:rsidRPr="00435A0E">
        <w:t xml:space="preserve"> </w:t>
      </w:r>
      <w:r w:rsidR="007D1C40" w:rsidRPr="00435A0E">
        <w:t>constitutes far more than simply a setback to the organization</w:t>
      </w:r>
      <w:r w:rsidR="00F32EE6" w:rsidRPr="00435A0E">
        <w:t>’</w:t>
      </w:r>
      <w:r w:rsidR="007D1C40" w:rsidRPr="00435A0E">
        <w:t>s abstract social interests</w:t>
      </w:r>
      <w:r w:rsidR="00056039" w:rsidRPr="00435A0E">
        <w:t xml:space="preserve"> . . . .</w:t>
      </w:r>
      <w:r w:rsidR="00910A0D" w:rsidRPr="00435A0E">
        <w:t>”  (</w:t>
      </w:r>
      <w:r w:rsidR="00910A0D" w:rsidRPr="00435A0E">
        <w:rPr>
          <w:i/>
          <w:iCs/>
        </w:rPr>
        <w:t>Ibid.</w:t>
      </w:r>
      <w:r w:rsidR="00910A0D" w:rsidRPr="00435A0E">
        <w:t xml:space="preserve">) </w:t>
      </w:r>
      <w:r w:rsidR="0042293B" w:rsidRPr="00435A0E">
        <w:t xml:space="preserve"> In a footnote, the court </w:t>
      </w:r>
      <w:r w:rsidR="00640024" w:rsidRPr="00435A0E">
        <w:t xml:space="preserve">added:  “That the alleged injury </w:t>
      </w:r>
      <w:r w:rsidR="00640024" w:rsidRPr="00435A0E">
        <w:lastRenderedPageBreak/>
        <w:t>results from the organization</w:t>
      </w:r>
      <w:r w:rsidR="00ED38DE" w:rsidRPr="00435A0E">
        <w:t>’</w:t>
      </w:r>
      <w:r w:rsidR="00640024" w:rsidRPr="00435A0E">
        <w:t xml:space="preserve">s noneconomic interest in encouraging open housing does not </w:t>
      </w:r>
      <w:r w:rsidR="00AD4E18" w:rsidRPr="00435A0E">
        <w:t>a</w:t>
      </w:r>
      <w:r w:rsidR="00640024" w:rsidRPr="00435A0E">
        <w:t>ffect the nature of the injury suffered</w:t>
      </w:r>
      <w:r w:rsidR="003D1FD8" w:rsidRPr="00435A0E">
        <w:t xml:space="preserve"> [citation]</w:t>
      </w:r>
      <w:r w:rsidR="00AD4E18" w:rsidRPr="00435A0E">
        <w:t>,</w:t>
      </w:r>
      <w:r w:rsidR="00640024" w:rsidRPr="00435A0E">
        <w:t xml:space="preserve"> and accordingly does not deprive the organization of standing.</w:t>
      </w:r>
      <w:r w:rsidR="003D1FD8" w:rsidRPr="00435A0E">
        <w:t>”  (</w:t>
      </w:r>
      <w:r w:rsidR="003D1FD8" w:rsidRPr="00435A0E">
        <w:rPr>
          <w:i/>
          <w:iCs/>
        </w:rPr>
        <w:t>Id.</w:t>
      </w:r>
      <w:r w:rsidR="003D1FD8" w:rsidRPr="00435A0E">
        <w:t xml:space="preserve"> at p. </w:t>
      </w:r>
      <w:r w:rsidR="00F42522" w:rsidRPr="00435A0E">
        <w:t>379, fn. 20.)</w:t>
      </w:r>
    </w:p>
    <w:p w14:paraId="37E539E2" w14:textId="2265EDD2" w:rsidR="00F26020" w:rsidRPr="00435A0E" w:rsidRDefault="003C56BE" w:rsidP="00190BF7">
      <w:pPr>
        <w:tabs>
          <w:tab w:val="left" w:pos="1440"/>
        </w:tabs>
        <w:ind w:firstLine="720"/>
      </w:pPr>
      <w:r w:rsidRPr="00435A0E">
        <w:t>Federal courts</w:t>
      </w:r>
      <w:r w:rsidR="004B0B12" w:rsidRPr="00435A0E">
        <w:t xml:space="preserve"> </w:t>
      </w:r>
      <w:r w:rsidRPr="00435A0E">
        <w:t xml:space="preserve">have applied </w:t>
      </w:r>
      <w:r w:rsidR="00D45FA4" w:rsidRPr="00435A0E">
        <w:t xml:space="preserve">the reasoning of </w:t>
      </w:r>
      <w:r w:rsidR="00D45FA4" w:rsidRPr="00435A0E">
        <w:rPr>
          <w:i/>
          <w:iCs/>
        </w:rPr>
        <w:t>Havens</w:t>
      </w:r>
      <w:r w:rsidR="00D45FA4" w:rsidRPr="00435A0E">
        <w:t xml:space="preserve"> in numerous cases, </w:t>
      </w:r>
      <w:r w:rsidR="00B779DC" w:rsidRPr="00435A0E">
        <w:t xml:space="preserve">finding </w:t>
      </w:r>
      <w:r w:rsidR="00EF1FEC" w:rsidRPr="00435A0E">
        <w:t>that</w:t>
      </w:r>
      <w:r w:rsidR="00993C47" w:rsidRPr="00435A0E">
        <w:t xml:space="preserve"> organizations with a variety of mission</w:t>
      </w:r>
      <w:r w:rsidR="00CF2442" w:rsidRPr="00435A0E">
        <w:t>s</w:t>
      </w:r>
      <w:r w:rsidR="00EF1FEC" w:rsidRPr="00435A0E">
        <w:t xml:space="preserve"> have suffered injury in fact through the diversion of </w:t>
      </w:r>
      <w:r w:rsidR="00BC0008" w:rsidRPr="00435A0E">
        <w:t>their resources</w:t>
      </w:r>
      <w:r w:rsidR="00CF2442" w:rsidRPr="00435A0E">
        <w:t xml:space="preserve">.  (See, e.g., </w:t>
      </w:r>
      <w:r w:rsidR="008272D3" w:rsidRPr="00435A0E">
        <w:rPr>
          <w:i/>
          <w:iCs/>
        </w:rPr>
        <w:t>Nnebe v. Daus</w:t>
      </w:r>
      <w:r w:rsidR="008272D3" w:rsidRPr="00435A0E">
        <w:t> (2d Cir. 2011) 644 F.3d 147, 156</w:t>
      </w:r>
      <w:r w:rsidR="00AD4E18" w:rsidRPr="00435A0E">
        <w:t>–</w:t>
      </w:r>
      <w:r w:rsidR="008272D3" w:rsidRPr="00435A0E">
        <w:t xml:space="preserve">157 </w:t>
      </w:r>
      <w:r w:rsidR="00FA0C2A" w:rsidRPr="00435A0E">
        <w:t>[</w:t>
      </w:r>
      <w:r w:rsidR="003D56C1" w:rsidRPr="00435A0E">
        <w:t>taxi drivers’ alliance</w:t>
      </w:r>
      <w:r w:rsidR="007E45D3" w:rsidRPr="00435A0E">
        <w:t xml:space="preserve"> may base standing to sue regulatory agency</w:t>
      </w:r>
      <w:r w:rsidR="00F40FBA" w:rsidRPr="00435A0E">
        <w:t xml:space="preserve"> on expenditure of resources in counseling and </w:t>
      </w:r>
      <w:r w:rsidR="00910420" w:rsidRPr="00435A0E">
        <w:t>assisting</w:t>
      </w:r>
      <w:r w:rsidR="00F40FBA" w:rsidRPr="00435A0E">
        <w:t xml:space="preserve"> drivers threatened with summary suspension]</w:t>
      </w:r>
      <w:r w:rsidR="005627B0" w:rsidRPr="00435A0E">
        <w:t>;</w:t>
      </w:r>
      <w:r w:rsidR="00FB3B00" w:rsidRPr="00435A0E">
        <w:t xml:space="preserve"> </w:t>
      </w:r>
      <w:r w:rsidR="0070191F" w:rsidRPr="00435A0E">
        <w:rPr>
          <w:i/>
          <w:iCs/>
        </w:rPr>
        <w:t>Heights Community Congress v. Hilltop Realty, Inc.</w:t>
      </w:r>
      <w:r w:rsidR="0070191F" w:rsidRPr="00435A0E">
        <w:t> (6th Cir. 1985) 774 F.2d 135, 139</w:t>
      </w:r>
      <w:r w:rsidR="00975BF7" w:rsidRPr="00435A0E">
        <w:t xml:space="preserve"> </w:t>
      </w:r>
      <w:r w:rsidR="00537E3E" w:rsidRPr="00435A0E">
        <w:t xml:space="preserve">&amp; fn. 2 </w:t>
      </w:r>
      <w:r w:rsidR="00975BF7" w:rsidRPr="00435A0E">
        <w:t>[fair housing organization had standing to sue over racial steering];</w:t>
      </w:r>
      <w:r w:rsidR="00CD6D8C" w:rsidRPr="00435A0E">
        <w:t xml:space="preserve"> </w:t>
      </w:r>
      <w:r w:rsidR="00CD6D8C" w:rsidRPr="00435A0E">
        <w:rPr>
          <w:i/>
          <w:iCs/>
        </w:rPr>
        <w:t>Crawford v. Marion County Election Bd.</w:t>
      </w:r>
      <w:r w:rsidR="00CD6D8C" w:rsidRPr="00435A0E">
        <w:t xml:space="preserve"> (7th Cir. 2007) 472 F.3d 949, 951 [Democratic Party </w:t>
      </w:r>
      <w:r w:rsidR="005206A1" w:rsidRPr="00435A0E">
        <w:t xml:space="preserve">has standing to challenge voter identification law </w:t>
      </w:r>
      <w:r w:rsidR="00F469A4" w:rsidRPr="00435A0E">
        <w:t xml:space="preserve">because the law </w:t>
      </w:r>
      <w:r w:rsidR="005021DD" w:rsidRPr="00435A0E">
        <w:t>causes</w:t>
      </w:r>
      <w:r w:rsidR="00F469A4" w:rsidRPr="00435A0E">
        <w:t xml:space="preserve"> the party “</w:t>
      </w:r>
      <w:r w:rsidR="00CD6D8C" w:rsidRPr="00435A0E">
        <w:t>to devote resources to getting to the polls those of its supporters who would otherwise be discouraged by the new law from bothering to vote</w:t>
      </w:r>
      <w:r w:rsidR="005402CE" w:rsidRPr="00435A0E">
        <w:t>”];</w:t>
      </w:r>
      <w:r w:rsidR="00975BF7" w:rsidRPr="00435A0E">
        <w:t xml:space="preserve"> </w:t>
      </w:r>
      <w:r w:rsidR="007B1448" w:rsidRPr="00435A0E">
        <w:rPr>
          <w:i/>
          <w:iCs/>
        </w:rPr>
        <w:t>Fair Housing Council of San Fernando Valley v. Roommate.com, LLC</w:t>
      </w:r>
      <w:r w:rsidR="007B1448" w:rsidRPr="00435A0E">
        <w:t> (9th Cir. 2012) 666 F.3d 1216, 1219 [</w:t>
      </w:r>
      <w:r w:rsidR="00827C31" w:rsidRPr="00435A0E">
        <w:t>fair housing organization</w:t>
      </w:r>
      <w:r w:rsidR="00254CC0" w:rsidRPr="00435A0E">
        <w:t>s</w:t>
      </w:r>
      <w:r w:rsidR="00827C31" w:rsidRPr="00435A0E">
        <w:t xml:space="preserve"> had standing to sue over allegedly illegal roommate referral practices</w:t>
      </w:r>
      <w:r w:rsidR="00254CC0" w:rsidRPr="00435A0E">
        <w:t xml:space="preserve"> because the defendant’s conduct “</w:t>
      </w:r>
      <w:r w:rsidR="007B1448" w:rsidRPr="00435A0E">
        <w:t xml:space="preserve">caused </w:t>
      </w:r>
      <w:r w:rsidR="00254CC0" w:rsidRPr="00435A0E">
        <w:t>[them]</w:t>
      </w:r>
      <w:r w:rsidR="007B1448" w:rsidRPr="00435A0E">
        <w:t xml:space="preserve"> to divert resources independent of litigation costs and frustrated their central mission</w:t>
      </w:r>
      <w:r w:rsidR="000C7601" w:rsidRPr="00435A0E">
        <w:t>”</w:t>
      </w:r>
      <w:r w:rsidR="009D6289" w:rsidRPr="00435A0E">
        <w:t xml:space="preserve">]; </w:t>
      </w:r>
      <w:r w:rsidR="00374C93" w:rsidRPr="00435A0E">
        <w:rPr>
          <w:i/>
          <w:iCs/>
        </w:rPr>
        <w:t>El Rescate Legal Services, Inc. v. Executive Office of Immigration Review</w:t>
      </w:r>
      <w:r w:rsidR="00374C93" w:rsidRPr="00435A0E">
        <w:t> (9th Cir. 1991) 959 F.2d 742, 748</w:t>
      </w:r>
      <w:r w:rsidR="00682722" w:rsidRPr="00435A0E">
        <w:t xml:space="preserve"> [organizations assisting immigrant refugees </w:t>
      </w:r>
      <w:r w:rsidR="0023277A" w:rsidRPr="00435A0E">
        <w:t xml:space="preserve">established standing by alleging </w:t>
      </w:r>
      <w:r w:rsidR="006C27A0" w:rsidRPr="00435A0E">
        <w:t>that federal agency’s translation policy</w:t>
      </w:r>
      <w:r w:rsidR="00193FC8" w:rsidRPr="00435A0E">
        <w:t xml:space="preserve"> “</w:t>
      </w:r>
      <w:r w:rsidR="00374C93" w:rsidRPr="00435A0E">
        <w:t xml:space="preserve">frustrates </w:t>
      </w:r>
      <w:r w:rsidR="00113FD3" w:rsidRPr="00435A0E">
        <w:t>[their]</w:t>
      </w:r>
      <w:r w:rsidR="00374C93" w:rsidRPr="00435A0E">
        <w:t xml:space="preserve"> goals and requires the organizations to expend resources in representing clients they otherwise would </w:t>
      </w:r>
      <w:r w:rsidR="00374C93" w:rsidRPr="00435A0E">
        <w:lastRenderedPageBreak/>
        <w:t>spend in other ways</w:t>
      </w:r>
      <w:r w:rsidR="00193FC8" w:rsidRPr="00435A0E">
        <w:t xml:space="preserve">”]; </w:t>
      </w:r>
      <w:r w:rsidR="00866674" w:rsidRPr="00435A0E">
        <w:rPr>
          <w:i/>
          <w:iCs/>
        </w:rPr>
        <w:t>Fort Lauderdale Food Not Bombs v. City of Fort Lauderdale</w:t>
      </w:r>
      <w:r w:rsidR="00866674" w:rsidRPr="00435A0E">
        <w:t xml:space="preserve"> (11th Cir. 2021) 11 F.4th 1266, 1287 </w:t>
      </w:r>
      <w:r w:rsidR="00B66723" w:rsidRPr="00435A0E">
        <w:t xml:space="preserve">[organization serving food to homeless had standing to </w:t>
      </w:r>
      <w:r w:rsidR="0034545F" w:rsidRPr="00435A0E">
        <w:t xml:space="preserve">sue city over city’s restrictions on food-sharing activities </w:t>
      </w:r>
      <w:r w:rsidR="008B5845" w:rsidRPr="00435A0E">
        <w:t xml:space="preserve">because, among other effects, </w:t>
      </w:r>
      <w:r w:rsidR="00B1582F" w:rsidRPr="00435A0E">
        <w:t>“</w:t>
      </w:r>
      <w:r w:rsidR="00866674" w:rsidRPr="00435A0E">
        <w:t>volunteers who would have normally worked on preparing for food-sharing demonstrations had to divert their energies to advocacy activities such as attending City meetings and organizing protests against the Ordinance</w:t>
      </w:r>
      <w:r w:rsidR="00B1582F" w:rsidRPr="00435A0E">
        <w:t xml:space="preserve">”]; </w:t>
      </w:r>
      <w:r w:rsidR="00B1582F" w:rsidRPr="00435A0E">
        <w:rPr>
          <w:i/>
          <w:iCs/>
        </w:rPr>
        <w:t>Spann v. Colonial Village, Inc.</w:t>
      </w:r>
      <w:r w:rsidR="00B1582F" w:rsidRPr="00435A0E">
        <w:t> (D.C. Cir. 1990) 899 F.2d 24, 27 [fair housing organizations had standing to sue over racially biased advertising because the allegedly illegal practices caused them to “devote resources to checking or neutralizing the ads’ adverse impact”]</w:t>
      </w:r>
      <w:r w:rsidR="000A5D94" w:rsidRPr="00435A0E">
        <w:t xml:space="preserve">; see also </w:t>
      </w:r>
      <w:r w:rsidR="000A5D94" w:rsidRPr="00435A0E">
        <w:rPr>
          <w:i/>
          <w:iCs/>
        </w:rPr>
        <w:t>Pacific Legal Foundation v. Goyan</w:t>
      </w:r>
      <w:r w:rsidR="000A5D94" w:rsidRPr="00435A0E">
        <w:t> (4th Cir. 1981) 664 F.2d 1221 [adopting diversion</w:t>
      </w:r>
      <w:r w:rsidR="000A5D94" w:rsidRPr="00435A0E">
        <w:noBreakHyphen/>
        <w:t>of</w:t>
      </w:r>
      <w:r w:rsidR="000A5D94" w:rsidRPr="00435A0E">
        <w:noBreakHyphen/>
        <w:t xml:space="preserve">resources theory prior to </w:t>
      </w:r>
      <w:r w:rsidR="000A5D94" w:rsidRPr="00435A0E">
        <w:rPr>
          <w:i/>
          <w:iCs/>
        </w:rPr>
        <w:t>Havens</w:t>
      </w:r>
      <w:r w:rsidR="000A5D94" w:rsidRPr="00435A0E">
        <w:t>]</w:t>
      </w:r>
      <w:r w:rsidR="00B1582F" w:rsidRPr="00435A0E">
        <w:t>.)</w:t>
      </w:r>
    </w:p>
    <w:p w14:paraId="07A220C4" w14:textId="1F698FED" w:rsidR="00244B48" w:rsidRPr="00435A0E" w:rsidRDefault="009C60E1" w:rsidP="00190BF7">
      <w:pPr>
        <w:tabs>
          <w:tab w:val="left" w:pos="1440"/>
        </w:tabs>
        <w:ind w:firstLine="720"/>
      </w:pPr>
      <w:r w:rsidRPr="00435A0E">
        <w:t xml:space="preserve">The </w:t>
      </w:r>
      <w:r w:rsidR="006D15A9" w:rsidRPr="00435A0E">
        <w:rPr>
          <w:i/>
          <w:iCs/>
        </w:rPr>
        <w:t xml:space="preserve">Havens </w:t>
      </w:r>
      <w:r w:rsidR="006D15A9" w:rsidRPr="00435A0E">
        <w:t xml:space="preserve">court did not </w:t>
      </w:r>
      <w:r w:rsidR="00E909EB" w:rsidRPr="00435A0E">
        <w:t xml:space="preserve">characterize the </w:t>
      </w:r>
      <w:r w:rsidR="00234FDF" w:rsidRPr="00435A0E">
        <w:t xml:space="preserve">alleged </w:t>
      </w:r>
      <w:r w:rsidR="00E909EB" w:rsidRPr="00435A0E">
        <w:t xml:space="preserve">injury it found </w:t>
      </w:r>
      <w:r w:rsidR="00234FDF" w:rsidRPr="00435A0E">
        <w:t xml:space="preserve">sufficient for organizational standing as </w:t>
      </w:r>
      <w:r w:rsidR="00B35F0F" w:rsidRPr="00435A0E">
        <w:t xml:space="preserve">economic or noneconomic; </w:t>
      </w:r>
      <w:r w:rsidR="00A500AB" w:rsidRPr="00435A0E">
        <w:t xml:space="preserve">unlike UCL standing, federal </w:t>
      </w:r>
      <w:r w:rsidR="00B35F0F" w:rsidRPr="00435A0E">
        <w:t xml:space="preserve">constitutional standing </w:t>
      </w:r>
      <w:r w:rsidR="00AC532F" w:rsidRPr="00435A0E">
        <w:t xml:space="preserve">does not turn on that distinction.  Indeed, the high court’s opinion </w:t>
      </w:r>
      <w:r w:rsidR="001E70F8" w:rsidRPr="00435A0E">
        <w:t>left</w:t>
      </w:r>
      <w:r w:rsidR="00AC532F" w:rsidRPr="00435A0E">
        <w:t xml:space="preserve"> it somewhat unc</w:t>
      </w:r>
      <w:r w:rsidR="00D61B6F" w:rsidRPr="00435A0E">
        <w:t xml:space="preserve">ertain whether the </w:t>
      </w:r>
      <w:r w:rsidR="001E70F8" w:rsidRPr="00435A0E">
        <w:t xml:space="preserve">injury that mattered was </w:t>
      </w:r>
      <w:r w:rsidR="00D54237" w:rsidRPr="00435A0E">
        <w:t>the “impair[ment to] HOME’s ability to provide counseling and referral services for low-</w:t>
      </w:r>
      <w:r w:rsidR="00EF594A" w:rsidRPr="00435A0E">
        <w:t xml:space="preserve"> </w:t>
      </w:r>
      <w:r w:rsidR="00D54237" w:rsidRPr="00435A0E">
        <w:t>and moderate-income homeseekers</w:t>
      </w:r>
      <w:r w:rsidR="00AC323B" w:rsidRPr="00435A0E">
        <w:t>,” the “</w:t>
      </w:r>
      <w:r w:rsidR="00F10594" w:rsidRPr="00435A0E">
        <w:t>consequent drain on the organization’s resources,” or both.</w:t>
      </w:r>
      <w:r w:rsidR="00C32B77" w:rsidRPr="00435A0E">
        <w:t xml:space="preserve">  (</w:t>
      </w:r>
      <w:r w:rsidR="00C32B77" w:rsidRPr="00435A0E">
        <w:rPr>
          <w:i/>
          <w:iCs/>
        </w:rPr>
        <w:t>Havens</w:t>
      </w:r>
      <w:r w:rsidR="00C32B77" w:rsidRPr="00435A0E">
        <w:t xml:space="preserve">, </w:t>
      </w:r>
      <w:r w:rsidR="00C32B77" w:rsidRPr="00435A0E">
        <w:rPr>
          <w:i/>
          <w:iCs/>
        </w:rPr>
        <w:t>supra</w:t>
      </w:r>
      <w:r w:rsidR="00C32B77" w:rsidRPr="00435A0E">
        <w:t xml:space="preserve">, 455 U.S. at p. </w:t>
      </w:r>
      <w:r w:rsidR="00271897" w:rsidRPr="00435A0E">
        <w:t>379.)</w:t>
      </w:r>
      <w:r w:rsidR="00BA2C20" w:rsidRPr="00435A0E">
        <w:t xml:space="preserve">  The footnoted statement that the alleged injury “results from the organization’s noneconomic interest </w:t>
      </w:r>
      <w:r w:rsidR="00AA33C3" w:rsidRPr="00435A0E">
        <w:t xml:space="preserve">in encouraging open housing” </w:t>
      </w:r>
      <w:r w:rsidR="00382D0C" w:rsidRPr="00435A0E">
        <w:t>(</w:t>
      </w:r>
      <w:r w:rsidR="00382D0C" w:rsidRPr="00435A0E">
        <w:rPr>
          <w:i/>
          <w:iCs/>
        </w:rPr>
        <w:t>id.</w:t>
      </w:r>
      <w:r w:rsidR="00401F44" w:rsidRPr="00435A0E">
        <w:t xml:space="preserve"> at p. 379</w:t>
      </w:r>
      <w:r w:rsidR="00382D0C" w:rsidRPr="00435A0E">
        <w:t xml:space="preserve">, fn. 20) </w:t>
      </w:r>
      <w:r w:rsidR="00AA33C3" w:rsidRPr="00435A0E">
        <w:t xml:space="preserve">does not imply </w:t>
      </w:r>
      <w:r w:rsidR="00382D0C" w:rsidRPr="00435A0E">
        <w:t xml:space="preserve">that </w:t>
      </w:r>
      <w:r w:rsidR="00AA33C3" w:rsidRPr="00435A0E">
        <w:t>the injury itself is noneconomic</w:t>
      </w:r>
      <w:r w:rsidR="00BE3E83" w:rsidRPr="00435A0E">
        <w:t xml:space="preserve">:  </w:t>
      </w:r>
      <w:r w:rsidR="00F67F65" w:rsidRPr="00435A0E">
        <w:t xml:space="preserve">both the “impair[ment]” </w:t>
      </w:r>
      <w:r w:rsidR="00563420" w:rsidRPr="00435A0E">
        <w:t xml:space="preserve">of the organization’s </w:t>
      </w:r>
      <w:r w:rsidR="001A2BD6" w:rsidRPr="00435A0E">
        <w:t>activities</w:t>
      </w:r>
      <w:r w:rsidR="00956846" w:rsidRPr="00435A0E">
        <w:t xml:space="preserve"> (</w:t>
      </w:r>
      <w:r w:rsidR="00956846" w:rsidRPr="00435A0E">
        <w:rPr>
          <w:i/>
          <w:iCs/>
        </w:rPr>
        <w:t>id.</w:t>
      </w:r>
      <w:r w:rsidR="00956846" w:rsidRPr="00435A0E">
        <w:t xml:space="preserve"> at p. 379)</w:t>
      </w:r>
      <w:r w:rsidR="001A2BD6" w:rsidRPr="00435A0E">
        <w:t xml:space="preserve">, seemingly a noneconomic harm, and the </w:t>
      </w:r>
      <w:r w:rsidR="003666B2" w:rsidRPr="00435A0E">
        <w:t xml:space="preserve">“consequent drain on the organization’s </w:t>
      </w:r>
      <w:r w:rsidR="003666B2" w:rsidRPr="00435A0E">
        <w:lastRenderedPageBreak/>
        <w:t>resources”</w:t>
      </w:r>
      <w:r w:rsidR="005F4F82" w:rsidRPr="00435A0E">
        <w:t xml:space="preserve"> (</w:t>
      </w:r>
      <w:r w:rsidR="005F4F82" w:rsidRPr="00435A0E">
        <w:rPr>
          <w:i/>
          <w:iCs/>
        </w:rPr>
        <w:t>ibid.</w:t>
      </w:r>
      <w:r w:rsidR="005F4F82" w:rsidRPr="00435A0E">
        <w:t>),</w:t>
      </w:r>
      <w:r w:rsidR="00F01095" w:rsidRPr="00435A0E">
        <w:t xml:space="preserve"> seemingly an economic one, could be said to re</w:t>
      </w:r>
      <w:r w:rsidR="00D104D6" w:rsidRPr="00435A0E">
        <w:t>sult from the organization’s interest in promoting equal housing opportunities.</w:t>
      </w:r>
    </w:p>
    <w:p w14:paraId="29BEBCFE" w14:textId="133732DE" w:rsidR="006E6891" w:rsidRPr="00435A0E" w:rsidRDefault="005F4F82" w:rsidP="00190BF7">
      <w:pPr>
        <w:tabs>
          <w:tab w:val="left" w:pos="1440"/>
        </w:tabs>
        <w:ind w:firstLine="720"/>
      </w:pPr>
      <w:r w:rsidRPr="00435A0E">
        <w:t xml:space="preserve">Some of </w:t>
      </w:r>
      <w:r w:rsidR="00954159" w:rsidRPr="00435A0E">
        <w:rPr>
          <w:i/>
          <w:iCs/>
        </w:rPr>
        <w:t>Havens</w:t>
      </w:r>
      <w:r w:rsidR="00954159" w:rsidRPr="00435A0E">
        <w:t xml:space="preserve">’s progeny, however, have more clearly identified the injury that establishes </w:t>
      </w:r>
      <w:r w:rsidR="001C492A" w:rsidRPr="00435A0E">
        <w:t xml:space="preserve">standing under the diversion-of-resources theory as an economic one.  </w:t>
      </w:r>
      <w:r w:rsidR="00CA64CE" w:rsidRPr="00435A0E">
        <w:t xml:space="preserve">In </w:t>
      </w:r>
      <w:r w:rsidR="00CA64CE" w:rsidRPr="00435A0E">
        <w:rPr>
          <w:i/>
          <w:iCs/>
        </w:rPr>
        <w:t>Fair Housing of Marin v. Combs</w:t>
      </w:r>
      <w:r w:rsidR="00CA64CE" w:rsidRPr="00435A0E">
        <w:t xml:space="preserve"> (9th Cir. 2002) 285 F.3d 899, 905, for example, the </w:t>
      </w:r>
      <w:r w:rsidR="00952DCE" w:rsidRPr="00435A0E">
        <w:t xml:space="preserve">court held a fair housing organization suing </w:t>
      </w:r>
      <w:r w:rsidR="007F1351" w:rsidRPr="00435A0E">
        <w:t>a property owner for racial discrimination “</w:t>
      </w:r>
      <w:r w:rsidR="00CA64CE" w:rsidRPr="00435A0E">
        <w:t>has direct standing to sue because it showed a drain on its resources from both a diversion of its resources and frustration of its mission</w:t>
      </w:r>
      <w:r w:rsidR="007F1351" w:rsidRPr="00435A0E">
        <w:t xml:space="preserve">.”  </w:t>
      </w:r>
      <w:r w:rsidR="008E5BF0" w:rsidRPr="00435A0E">
        <w:t xml:space="preserve">The </w:t>
      </w:r>
      <w:r w:rsidR="00CA6844" w:rsidRPr="00435A0E">
        <w:t>appellate court noted that the district court</w:t>
      </w:r>
      <w:r w:rsidR="005244E1" w:rsidRPr="00435A0E">
        <w:t xml:space="preserve"> </w:t>
      </w:r>
      <w:r w:rsidR="00CA6844" w:rsidRPr="00435A0E">
        <w:t xml:space="preserve">had, in fact, awarded </w:t>
      </w:r>
      <w:r w:rsidR="002C0A19" w:rsidRPr="00435A0E">
        <w:t>more than $</w:t>
      </w:r>
      <w:r w:rsidR="00B86F0D" w:rsidRPr="00435A0E">
        <w:t>16,000 in diversion-of-resources</w:t>
      </w:r>
      <w:r w:rsidR="004E161B" w:rsidRPr="00435A0E">
        <w:t xml:space="preserve"> damages to compensate the organization for its “</w:t>
      </w:r>
      <w:r w:rsidR="002C749D" w:rsidRPr="00435A0E">
        <w:t> ‘economic losses</w:t>
      </w:r>
      <w:r w:rsidR="00016891" w:rsidRPr="00435A0E">
        <w:t>’ </w:t>
      </w:r>
      <w:r w:rsidR="002C749D" w:rsidRPr="00435A0E">
        <w:t>”</w:t>
      </w:r>
      <w:r w:rsidR="00016891" w:rsidRPr="00435A0E">
        <w:t xml:space="preserve"> in staff pay and other “</w:t>
      </w:r>
      <w:r w:rsidR="00C32564" w:rsidRPr="00435A0E">
        <w:t> ‘</w:t>
      </w:r>
      <w:r w:rsidR="00016891" w:rsidRPr="00435A0E">
        <w:t>funds expended</w:t>
      </w:r>
      <w:r w:rsidR="00C32564" w:rsidRPr="00435A0E">
        <w:t>.’ ”</w:t>
      </w:r>
      <w:r w:rsidR="00B82EBA" w:rsidRPr="00435A0E">
        <w:t xml:space="preserve">  </w:t>
      </w:r>
      <w:r w:rsidR="00905BF1" w:rsidRPr="00435A0E">
        <w:t>(</w:t>
      </w:r>
      <w:r w:rsidR="00724121" w:rsidRPr="00435A0E">
        <w:rPr>
          <w:i/>
          <w:iCs/>
        </w:rPr>
        <w:t>Ibid.</w:t>
      </w:r>
      <w:r w:rsidR="00E81B4E" w:rsidRPr="00435A0E">
        <w:t xml:space="preserve">; </w:t>
      </w:r>
      <w:r w:rsidR="003C7A54" w:rsidRPr="00435A0E">
        <w:t xml:space="preserve">see also </w:t>
      </w:r>
      <w:r w:rsidR="003C7A54" w:rsidRPr="00435A0E">
        <w:rPr>
          <w:i/>
          <w:iCs/>
        </w:rPr>
        <w:t>Heights Community Congress v. Hilltop Realty, Inc.</w:t>
      </w:r>
      <w:r w:rsidR="008072FF" w:rsidRPr="00435A0E">
        <w:t xml:space="preserve">, </w:t>
      </w:r>
      <w:r w:rsidR="008072FF" w:rsidRPr="00435A0E">
        <w:rPr>
          <w:i/>
          <w:iCs/>
        </w:rPr>
        <w:t>supra</w:t>
      </w:r>
      <w:r w:rsidR="008072FF" w:rsidRPr="00435A0E">
        <w:t>,</w:t>
      </w:r>
      <w:r w:rsidR="003C7A54" w:rsidRPr="00435A0E">
        <w:t xml:space="preserve"> 774 F.2d at p. 139</w:t>
      </w:r>
      <w:r w:rsidR="00610FC1" w:rsidRPr="00435A0E">
        <w:t>,</w:t>
      </w:r>
      <w:r w:rsidR="003C7A54" w:rsidRPr="00435A0E">
        <w:t xml:space="preserve"> fn. 2</w:t>
      </w:r>
      <w:r w:rsidR="00610FC1" w:rsidRPr="00435A0E">
        <w:t xml:space="preserve"> [</w:t>
      </w:r>
      <w:r w:rsidR="005B68EC" w:rsidRPr="00435A0E">
        <w:t xml:space="preserve">characterizing </w:t>
      </w:r>
      <w:r w:rsidR="00610FC1" w:rsidRPr="00435A0E">
        <w:t>housing organizatio</w:t>
      </w:r>
      <w:r w:rsidR="00007320" w:rsidRPr="00435A0E">
        <w:t>n</w:t>
      </w:r>
      <w:r w:rsidR="00610FC1" w:rsidRPr="00435A0E">
        <w:t>’s expenditure</w:t>
      </w:r>
      <w:r w:rsidR="00007320" w:rsidRPr="00435A0E">
        <w:t>s for mon</w:t>
      </w:r>
      <w:r w:rsidR="005B68EC" w:rsidRPr="00435A0E">
        <w:t>itoring real estate practices</w:t>
      </w:r>
      <w:r w:rsidR="00610FC1" w:rsidRPr="00435A0E">
        <w:t xml:space="preserve"> as </w:t>
      </w:r>
      <w:r w:rsidR="000B21B0" w:rsidRPr="00435A0E">
        <w:t>an “economic injury”</w:t>
      </w:r>
      <w:r w:rsidR="008072FF" w:rsidRPr="00435A0E">
        <w:t>].</w:t>
      </w:r>
      <w:r w:rsidR="00724121" w:rsidRPr="00435A0E">
        <w:t>)</w:t>
      </w:r>
      <w:r w:rsidR="00BE7C1D" w:rsidRPr="00435A0E">
        <w:t xml:space="preserve">  </w:t>
      </w:r>
      <w:r w:rsidR="004A45A0" w:rsidRPr="00435A0E">
        <w:t>I</w:t>
      </w:r>
      <w:r w:rsidR="001037A4" w:rsidRPr="00435A0E">
        <w:t xml:space="preserve">n </w:t>
      </w:r>
      <w:r w:rsidR="001037A4" w:rsidRPr="00435A0E">
        <w:rPr>
          <w:i/>
          <w:iCs/>
        </w:rPr>
        <w:t>Nnebe v. Daus</w:t>
      </w:r>
      <w:r w:rsidR="00C86A8F" w:rsidRPr="00435A0E">
        <w:t xml:space="preserve">, </w:t>
      </w:r>
      <w:r w:rsidR="00C86A8F" w:rsidRPr="00435A0E">
        <w:rPr>
          <w:i/>
          <w:iCs/>
        </w:rPr>
        <w:t>supra</w:t>
      </w:r>
      <w:r w:rsidR="00C86A8F" w:rsidRPr="00435A0E">
        <w:t xml:space="preserve">, </w:t>
      </w:r>
      <w:r w:rsidR="001037A4" w:rsidRPr="00435A0E">
        <w:t>644 F.3d</w:t>
      </w:r>
      <w:r w:rsidR="00C86A8F" w:rsidRPr="00435A0E">
        <w:t xml:space="preserve"> at page </w:t>
      </w:r>
      <w:r w:rsidR="009A61D2" w:rsidRPr="00435A0E">
        <w:t>157</w:t>
      </w:r>
      <w:r w:rsidR="00427F16" w:rsidRPr="00435A0E">
        <w:t xml:space="preserve">, </w:t>
      </w:r>
      <w:r w:rsidR="00135027" w:rsidRPr="00435A0E">
        <w:t xml:space="preserve">the </w:t>
      </w:r>
      <w:r w:rsidR="00907CC0" w:rsidRPr="00435A0E">
        <w:t xml:space="preserve">court recognized that the </w:t>
      </w:r>
      <w:r w:rsidR="00A660F7" w:rsidRPr="00435A0E">
        <w:t xml:space="preserve">taxi drivers’ alliance had </w:t>
      </w:r>
      <w:r w:rsidR="002A0564" w:rsidRPr="00435A0E">
        <w:t>incurred</w:t>
      </w:r>
      <w:r w:rsidR="00907CC0" w:rsidRPr="00435A0E">
        <w:t xml:space="preserve"> an “opportunity cost” </w:t>
      </w:r>
      <w:r w:rsidR="002A0564" w:rsidRPr="00435A0E">
        <w:t xml:space="preserve">when its resources were diverted </w:t>
      </w:r>
      <w:r w:rsidR="009904F1" w:rsidRPr="00435A0E">
        <w:t xml:space="preserve">to counseling drivers on the city’s suspension policy </w:t>
      </w:r>
      <w:r w:rsidR="00707478" w:rsidRPr="00435A0E">
        <w:t xml:space="preserve">and held </w:t>
      </w:r>
      <w:r w:rsidR="00A0241B" w:rsidRPr="00435A0E">
        <w:t xml:space="preserve">that </w:t>
      </w:r>
      <w:r w:rsidR="00707478" w:rsidRPr="00435A0E">
        <w:t xml:space="preserve">this showing of “economic effect” </w:t>
      </w:r>
      <w:r w:rsidR="00A0241B" w:rsidRPr="00435A0E">
        <w:t xml:space="preserve">sufficed to </w:t>
      </w:r>
      <w:r w:rsidR="00D50EA9" w:rsidRPr="00435A0E">
        <w:t>establish</w:t>
      </w:r>
      <w:r w:rsidR="00A0241B" w:rsidRPr="00435A0E">
        <w:t xml:space="preserve"> injury in fact.</w:t>
      </w:r>
      <w:r w:rsidR="004A45A0" w:rsidRPr="00435A0E">
        <w:t xml:space="preserve">  And in</w:t>
      </w:r>
      <w:r w:rsidR="001A19CD" w:rsidRPr="00435A0E">
        <w:t xml:space="preserve"> </w:t>
      </w:r>
      <w:r w:rsidR="008336EF" w:rsidRPr="00435A0E">
        <w:rPr>
          <w:i/>
          <w:iCs/>
        </w:rPr>
        <w:t>Crawford v. Marion County Election Bd.</w:t>
      </w:r>
      <w:r w:rsidR="008336EF" w:rsidRPr="00435A0E">
        <w:t xml:space="preserve">, </w:t>
      </w:r>
      <w:r w:rsidR="008336EF" w:rsidRPr="00435A0E">
        <w:rPr>
          <w:i/>
          <w:iCs/>
        </w:rPr>
        <w:t>supra</w:t>
      </w:r>
      <w:r w:rsidR="008336EF" w:rsidRPr="00435A0E">
        <w:t xml:space="preserve">, 472 F.3d at page 951, it was the </w:t>
      </w:r>
      <w:r w:rsidR="00776D4B" w:rsidRPr="00435A0E">
        <w:t>“</w:t>
      </w:r>
      <w:r w:rsidR="008336EF" w:rsidRPr="00435A0E">
        <w:t>added cost</w:t>
      </w:r>
      <w:r w:rsidR="00776D4B" w:rsidRPr="00435A0E">
        <w:t xml:space="preserve">” that the Democratic Party </w:t>
      </w:r>
      <w:r w:rsidR="007940DD" w:rsidRPr="00435A0E">
        <w:t xml:space="preserve">incurred getting voters to the polls that </w:t>
      </w:r>
      <w:r w:rsidR="00041040" w:rsidRPr="00435A0E">
        <w:t xml:space="preserve">established </w:t>
      </w:r>
      <w:r w:rsidR="00063132" w:rsidRPr="00435A0E">
        <w:t>the party’s standing</w:t>
      </w:r>
      <w:r w:rsidR="00041040" w:rsidRPr="00435A0E">
        <w:t>.</w:t>
      </w:r>
      <w:r w:rsidR="00612118" w:rsidRPr="00435A0E">
        <w:t xml:space="preserve">  </w:t>
      </w:r>
      <w:r w:rsidR="001860DD" w:rsidRPr="00435A0E">
        <w:t xml:space="preserve">As these courts have understood it, at least, the </w:t>
      </w:r>
      <w:r w:rsidR="008F37FB" w:rsidRPr="00435A0E">
        <w:t xml:space="preserve">crucial </w:t>
      </w:r>
      <w:r w:rsidR="001860DD" w:rsidRPr="00435A0E">
        <w:t xml:space="preserve">injury in a diversion-of-resources </w:t>
      </w:r>
      <w:r w:rsidR="00E2275A" w:rsidRPr="00435A0E">
        <w:t>case is clearly an economic one.</w:t>
      </w:r>
    </w:p>
    <w:p w14:paraId="3138903E" w14:textId="16D6E561" w:rsidR="00B75043" w:rsidRPr="00435A0E" w:rsidRDefault="006E6891" w:rsidP="00190BF7">
      <w:pPr>
        <w:tabs>
          <w:tab w:val="left" w:pos="1440"/>
        </w:tabs>
        <w:ind w:firstLine="720"/>
      </w:pPr>
      <w:r w:rsidRPr="00435A0E">
        <w:t xml:space="preserve">Like the courts in </w:t>
      </w:r>
      <w:r w:rsidR="00165B43" w:rsidRPr="00435A0E">
        <w:rPr>
          <w:i/>
          <w:iCs/>
        </w:rPr>
        <w:t xml:space="preserve">Animal Legal Defense </w:t>
      </w:r>
      <w:r w:rsidRPr="00435A0E">
        <w:t xml:space="preserve">and </w:t>
      </w:r>
      <w:r w:rsidRPr="00435A0E">
        <w:rPr>
          <w:i/>
          <w:iCs/>
        </w:rPr>
        <w:t>Southern California Housing</w:t>
      </w:r>
      <w:r w:rsidR="00C6151C" w:rsidRPr="00435A0E">
        <w:t xml:space="preserve">, therefore, we find the </w:t>
      </w:r>
      <w:r w:rsidR="00C6151C" w:rsidRPr="00435A0E">
        <w:rPr>
          <w:i/>
          <w:iCs/>
        </w:rPr>
        <w:t xml:space="preserve">Havens </w:t>
      </w:r>
      <w:r w:rsidR="00C6151C" w:rsidRPr="00435A0E">
        <w:t xml:space="preserve">line of federal </w:t>
      </w:r>
      <w:r w:rsidR="006B7913" w:rsidRPr="00435A0E">
        <w:lastRenderedPageBreak/>
        <w:t>decisions</w:t>
      </w:r>
      <w:r w:rsidR="00C6151C" w:rsidRPr="00435A0E">
        <w:t xml:space="preserve"> </w:t>
      </w:r>
      <w:r w:rsidR="006B7913" w:rsidRPr="00435A0E">
        <w:t xml:space="preserve">persuasive </w:t>
      </w:r>
      <w:r w:rsidR="00677298" w:rsidRPr="00435A0E">
        <w:t xml:space="preserve">authority for </w:t>
      </w:r>
      <w:r w:rsidR="00526673" w:rsidRPr="00435A0E">
        <w:t xml:space="preserve">a rule that </w:t>
      </w:r>
      <w:r w:rsidR="006D74E5" w:rsidRPr="00435A0E">
        <w:t xml:space="preserve">an organization’s </w:t>
      </w:r>
      <w:r w:rsidR="00526673" w:rsidRPr="00435A0E">
        <w:t xml:space="preserve">diversion of resources </w:t>
      </w:r>
      <w:r w:rsidR="002A6E21" w:rsidRPr="00435A0E">
        <w:t xml:space="preserve">can establish </w:t>
      </w:r>
      <w:r w:rsidR="00AE3EBE" w:rsidRPr="00435A0E">
        <w:t>“injury in fact” and “lost money or property” for purposes of section 17204</w:t>
      </w:r>
      <w:r w:rsidR="00634EB6" w:rsidRPr="00435A0E">
        <w:t xml:space="preserve">.  As </w:t>
      </w:r>
      <w:r w:rsidR="00D778E9" w:rsidRPr="00435A0E">
        <w:t>explained</w:t>
      </w:r>
      <w:r w:rsidR="00200218" w:rsidRPr="00435A0E">
        <w:t xml:space="preserve"> earlier</w:t>
      </w:r>
      <w:r w:rsidR="00634EB6" w:rsidRPr="00435A0E">
        <w:t xml:space="preserve">, the voters </w:t>
      </w:r>
      <w:r w:rsidR="00134028" w:rsidRPr="00435A0E">
        <w:t xml:space="preserve">in Proposition 64 intended to adopt the injury-in-fact </w:t>
      </w:r>
      <w:r w:rsidR="00200218" w:rsidRPr="00435A0E">
        <w:t>requirement from federal standing law</w:t>
      </w:r>
      <w:r w:rsidR="00451ABD" w:rsidRPr="00435A0E">
        <w:rPr>
          <w:szCs w:val="26"/>
        </w:rPr>
        <w:t>.</w:t>
      </w:r>
      <w:r w:rsidR="00296175" w:rsidRPr="00435A0E">
        <w:rPr>
          <w:szCs w:val="26"/>
        </w:rPr>
        <w:t xml:space="preserve"> </w:t>
      </w:r>
      <w:r w:rsidR="00451ABD" w:rsidRPr="00435A0E">
        <w:t xml:space="preserve"> T</w:t>
      </w:r>
      <w:r w:rsidR="00150282" w:rsidRPr="00435A0E">
        <w:t xml:space="preserve">he </w:t>
      </w:r>
      <w:r w:rsidR="00F0678B" w:rsidRPr="00435A0E">
        <w:t xml:space="preserve">added reference to </w:t>
      </w:r>
      <w:r w:rsidR="00150282" w:rsidRPr="00435A0E">
        <w:t>“</w:t>
      </w:r>
      <w:r w:rsidR="00F0678B" w:rsidRPr="00435A0E">
        <w:t xml:space="preserve">lost money or property” does no more than </w:t>
      </w:r>
      <w:r w:rsidR="00CB3B48" w:rsidRPr="00435A0E">
        <w:t xml:space="preserve">limit the cognizable injuries to economic ones.  </w:t>
      </w:r>
      <w:r w:rsidR="002B025D" w:rsidRPr="00435A0E">
        <w:t>(</w:t>
      </w:r>
      <w:r w:rsidR="002B025D" w:rsidRPr="00435A0E">
        <w:rPr>
          <w:i/>
          <w:iCs/>
        </w:rPr>
        <w:t>Kwikset</w:t>
      </w:r>
      <w:r w:rsidR="002B025D" w:rsidRPr="00435A0E">
        <w:t xml:space="preserve">, </w:t>
      </w:r>
      <w:r w:rsidR="002B025D" w:rsidRPr="00435A0E">
        <w:rPr>
          <w:i/>
          <w:iCs/>
        </w:rPr>
        <w:t>supra</w:t>
      </w:r>
      <w:r w:rsidR="002B025D" w:rsidRPr="00435A0E">
        <w:t xml:space="preserve">, </w:t>
      </w:r>
      <w:bookmarkStart w:id="9" w:name="_Hlk124934772"/>
      <w:r w:rsidR="004C58C4" w:rsidRPr="00435A0E">
        <w:t>51 Cal.4th at p. </w:t>
      </w:r>
      <w:bookmarkEnd w:id="9"/>
      <w:r w:rsidR="004C58C4" w:rsidRPr="00435A0E">
        <w:t>325</w:t>
      </w:r>
      <w:r w:rsidR="006D74E5" w:rsidRPr="00435A0E">
        <w:t xml:space="preserve">.)  </w:t>
      </w:r>
      <w:r w:rsidR="00AF2F7C" w:rsidRPr="00435A0E">
        <w:t xml:space="preserve">As </w:t>
      </w:r>
      <w:r w:rsidR="00E279EB" w:rsidRPr="00435A0E">
        <w:rPr>
          <w:i/>
          <w:iCs/>
        </w:rPr>
        <w:t>Havens</w:t>
      </w:r>
      <w:r w:rsidR="00E279EB" w:rsidRPr="00435A0E">
        <w:t xml:space="preserve"> and its progeny </w:t>
      </w:r>
      <w:r w:rsidR="00AF2F7C" w:rsidRPr="00435A0E">
        <w:t xml:space="preserve">make clear, an organization that has </w:t>
      </w:r>
      <w:r w:rsidR="001937E2" w:rsidRPr="00435A0E">
        <w:t>expended staff time or other resources on responding to a new threat to its mission</w:t>
      </w:r>
      <w:r w:rsidR="00F16BF1" w:rsidRPr="00435A0E">
        <w:t>, diverting those resources from other projects, has suffered an economic injury in fact.</w:t>
      </w:r>
      <w:r w:rsidR="00D44A08" w:rsidRPr="00435A0E">
        <w:rPr>
          <w:rStyle w:val="FootnoteReference"/>
        </w:rPr>
        <w:footnoteReference w:id="8"/>
      </w:r>
    </w:p>
    <w:p w14:paraId="2D173961" w14:textId="11D8CEB2" w:rsidR="00125EA3" w:rsidRPr="00435A0E" w:rsidRDefault="00B75043" w:rsidP="00190BF7">
      <w:pPr>
        <w:tabs>
          <w:tab w:val="left" w:pos="1440"/>
        </w:tabs>
        <w:ind w:firstLine="720"/>
      </w:pPr>
      <w:r w:rsidRPr="00435A0E">
        <w:t>Relying on the rule that</w:t>
      </w:r>
      <w:r w:rsidR="00CA6A79" w:rsidRPr="00435A0E">
        <w:t xml:space="preserve"> a party </w:t>
      </w:r>
      <w:r w:rsidR="00125EA3" w:rsidRPr="00435A0E">
        <w:t>o</w:t>
      </w:r>
      <w:r w:rsidR="00CA6A79" w:rsidRPr="00435A0E">
        <w:t xml:space="preserve">pposing summary judgment </w:t>
      </w:r>
      <w:r w:rsidR="00125EA3" w:rsidRPr="00435A0E">
        <w:t xml:space="preserve">cannot create an issue of fact by a declaration </w:t>
      </w:r>
      <w:r w:rsidR="007C4C7D" w:rsidRPr="00435A0E">
        <w:t>that</w:t>
      </w:r>
      <w:r w:rsidR="00125EA3" w:rsidRPr="00435A0E">
        <w:t xml:space="preserve"> contradicts </w:t>
      </w:r>
      <w:r w:rsidR="00225E1B" w:rsidRPr="00435A0E">
        <w:t>the party’s</w:t>
      </w:r>
      <w:r w:rsidR="00125EA3" w:rsidRPr="00435A0E">
        <w:t xml:space="preserve"> prior discovery responses (</w:t>
      </w:r>
      <w:r w:rsidR="00125EA3" w:rsidRPr="00435A0E">
        <w:rPr>
          <w:i/>
          <w:iCs/>
        </w:rPr>
        <w:t>Shin v. Ahn</w:t>
      </w:r>
      <w:r w:rsidR="00125EA3" w:rsidRPr="00435A0E">
        <w:t> (2007) 42 Cal.4th 482, 500, fn. 12),</w:t>
      </w:r>
      <w:r w:rsidR="006D4CB1" w:rsidRPr="00435A0E">
        <w:t xml:space="preserve"> Aetna argues </w:t>
      </w:r>
      <w:r w:rsidR="00E63AC1" w:rsidRPr="00435A0E">
        <w:t xml:space="preserve">that the declaration by </w:t>
      </w:r>
      <w:r w:rsidR="00016FFA" w:rsidRPr="00435A0E">
        <w:t>CMA</w:t>
      </w:r>
      <w:r w:rsidR="00E63AC1" w:rsidRPr="00435A0E">
        <w:t xml:space="preserve">’s general counsel </w:t>
      </w:r>
      <w:r w:rsidR="007C4C7D" w:rsidRPr="00435A0E">
        <w:t xml:space="preserve">estimating that the organization diverted 200–250 hours of staff time to respond to </w:t>
      </w:r>
      <w:r w:rsidR="00901CD2" w:rsidRPr="00435A0E">
        <w:lastRenderedPageBreak/>
        <w:t>Aetna’s</w:t>
      </w:r>
      <w:r w:rsidR="007C4C7D" w:rsidRPr="00435A0E">
        <w:t xml:space="preserve"> policy must be disregarded </w:t>
      </w:r>
      <w:r w:rsidR="00033E92" w:rsidRPr="00435A0E">
        <w:t>because it contradicts prior discovery responses</w:t>
      </w:r>
      <w:r w:rsidR="00D72DAD" w:rsidRPr="00435A0E">
        <w:t>,</w:t>
      </w:r>
      <w:r w:rsidR="006603FC" w:rsidRPr="00435A0E">
        <w:t xml:space="preserve"> and that without that declaration </w:t>
      </w:r>
      <w:r w:rsidR="00D72DAD" w:rsidRPr="00435A0E">
        <w:t xml:space="preserve">there is no evidence to show economic injury even under the </w:t>
      </w:r>
      <w:r w:rsidR="00081619" w:rsidRPr="00435A0E">
        <w:t>diversion</w:t>
      </w:r>
      <w:r w:rsidR="00390A97">
        <w:noBreakHyphen/>
      </w:r>
      <w:r w:rsidR="00081619" w:rsidRPr="00435A0E">
        <w:t>of-resources</w:t>
      </w:r>
      <w:r w:rsidR="00D72DAD" w:rsidRPr="00435A0E">
        <w:t xml:space="preserve"> theory</w:t>
      </w:r>
      <w:r w:rsidR="00033E92" w:rsidRPr="00435A0E">
        <w:t xml:space="preserve">.  </w:t>
      </w:r>
      <w:r w:rsidR="00970B1F" w:rsidRPr="00435A0E">
        <w:t xml:space="preserve">The </w:t>
      </w:r>
      <w:r w:rsidR="00821597" w:rsidRPr="00435A0E">
        <w:t xml:space="preserve">cited </w:t>
      </w:r>
      <w:r w:rsidR="00970B1F" w:rsidRPr="00435A0E">
        <w:t>depositions</w:t>
      </w:r>
      <w:r w:rsidR="0025402E" w:rsidRPr="00435A0E">
        <w:t xml:space="preserve">, however, show only that </w:t>
      </w:r>
      <w:r w:rsidR="0072613B" w:rsidRPr="00435A0E">
        <w:t>one</w:t>
      </w:r>
      <w:r w:rsidR="006F0E6A" w:rsidRPr="00435A0E">
        <w:t xml:space="preserve"> </w:t>
      </w:r>
      <w:r w:rsidR="001E6A93" w:rsidRPr="00435A0E">
        <w:t xml:space="preserve">CMA </w:t>
      </w:r>
      <w:r w:rsidR="0025402E" w:rsidRPr="00435A0E">
        <w:t>employee</w:t>
      </w:r>
      <w:r w:rsidR="006F0E6A" w:rsidRPr="00435A0E">
        <w:t xml:space="preserve"> </w:t>
      </w:r>
      <w:r w:rsidR="00F955E4" w:rsidRPr="00435A0E">
        <w:t xml:space="preserve">(testifying on this point only in his </w:t>
      </w:r>
      <w:r w:rsidR="001473B1" w:rsidRPr="00435A0E">
        <w:t>individual</w:t>
      </w:r>
      <w:r w:rsidR="00F955E4" w:rsidRPr="00435A0E">
        <w:t xml:space="preserve"> capacity) </w:t>
      </w:r>
      <w:r w:rsidR="006F0E6A" w:rsidRPr="00435A0E">
        <w:t>was</w:t>
      </w:r>
      <w:r w:rsidR="0025402E" w:rsidRPr="00435A0E">
        <w:t xml:space="preserve"> unaware of databases </w:t>
      </w:r>
      <w:r w:rsidR="00333DE0" w:rsidRPr="00435A0E">
        <w:t>tracking expenses “</w:t>
      </w:r>
      <w:r w:rsidR="001641F0" w:rsidRPr="00435A0E">
        <w:t>for responding to specific member inquiries</w:t>
      </w:r>
      <w:r w:rsidR="00333DE0" w:rsidRPr="00435A0E">
        <w:t xml:space="preserve">” </w:t>
      </w:r>
      <w:r w:rsidR="00E65C53" w:rsidRPr="00435A0E">
        <w:t>and that</w:t>
      </w:r>
      <w:r w:rsidR="00B605BE" w:rsidRPr="00435A0E">
        <w:t>, according to another employee</w:t>
      </w:r>
      <w:r w:rsidR="00271242" w:rsidRPr="00435A0E">
        <w:t xml:space="preserve"> (whom </w:t>
      </w:r>
      <w:r w:rsidR="00016FFA" w:rsidRPr="00435A0E">
        <w:t>CMA</w:t>
      </w:r>
      <w:r w:rsidR="00271242" w:rsidRPr="00435A0E">
        <w:t xml:space="preserve"> had designated as most qualified to answer)</w:t>
      </w:r>
      <w:r w:rsidR="00B605BE" w:rsidRPr="00435A0E">
        <w:t>,</w:t>
      </w:r>
      <w:r w:rsidR="006F0E6A" w:rsidRPr="00435A0E">
        <w:t xml:space="preserve"> </w:t>
      </w:r>
      <w:r w:rsidR="00016FFA" w:rsidRPr="00435A0E">
        <w:t>CMA</w:t>
      </w:r>
      <w:r w:rsidR="00FC2742" w:rsidRPr="00435A0E">
        <w:t xml:space="preserve"> </w:t>
      </w:r>
      <w:r w:rsidR="006F0E6A" w:rsidRPr="00435A0E">
        <w:t>“is working on trying to</w:t>
      </w:r>
      <w:r w:rsidR="00FC2742" w:rsidRPr="00435A0E">
        <w:t xml:space="preserve"> </w:t>
      </w:r>
      <w:r w:rsidR="006F0E6A" w:rsidRPr="00435A0E">
        <w:t>identify the cost for resources expended to address</w:t>
      </w:r>
      <w:r w:rsidR="00AA2B2C" w:rsidRPr="00435A0E">
        <w:t xml:space="preserve"> </w:t>
      </w:r>
      <w:r w:rsidR="006F0E6A" w:rsidRPr="00435A0E">
        <w:t>the Aetna illegal terminations</w:t>
      </w:r>
      <w:r w:rsidR="00AA2B2C" w:rsidRPr="00435A0E">
        <w:t>.</w:t>
      </w:r>
      <w:r w:rsidR="00E50E4E" w:rsidRPr="00435A0E">
        <w:t> </w:t>
      </w:r>
      <w:r w:rsidR="00AA2B2C" w:rsidRPr="00435A0E">
        <w:t>.</w:t>
      </w:r>
      <w:r w:rsidR="00E50E4E" w:rsidRPr="00435A0E">
        <w:t> </w:t>
      </w:r>
      <w:r w:rsidR="00AA2B2C" w:rsidRPr="00435A0E">
        <w:t>.</w:t>
      </w:r>
      <w:r w:rsidR="00BB70DC">
        <w:t> </w:t>
      </w:r>
      <w:r w:rsidR="00AA2B2C" w:rsidRPr="00435A0E">
        <w:t xml:space="preserve">. </w:t>
      </w:r>
      <w:r w:rsidR="00BE2637">
        <w:t>[B]</w:t>
      </w:r>
      <w:r w:rsidR="006F0E6A" w:rsidRPr="00435A0E">
        <w:t>ut we</w:t>
      </w:r>
      <w:r w:rsidR="00B605BE" w:rsidRPr="00435A0E">
        <w:t xml:space="preserve"> </w:t>
      </w:r>
      <w:r w:rsidR="006F0E6A" w:rsidRPr="00435A0E">
        <w:t>don</w:t>
      </w:r>
      <w:r w:rsidR="00B40DA3">
        <w:t>’</w:t>
      </w:r>
      <w:r w:rsidR="006F0E6A" w:rsidRPr="00435A0E">
        <w:t>t have that available today</w:t>
      </w:r>
      <w:r w:rsidR="006E2B81" w:rsidRPr="00435A0E">
        <w:t>.</w:t>
      </w:r>
      <w:r w:rsidR="00AA2B2C" w:rsidRPr="00435A0E">
        <w:t>”</w:t>
      </w:r>
      <w:r w:rsidR="00E6679F" w:rsidRPr="00435A0E">
        <w:t xml:space="preserve"> </w:t>
      </w:r>
      <w:r w:rsidR="00AA2B2C" w:rsidRPr="00435A0E">
        <w:t xml:space="preserve"> </w:t>
      </w:r>
      <w:r w:rsidR="006A7E52" w:rsidRPr="00435A0E">
        <w:t>(</w:t>
      </w:r>
      <w:r w:rsidR="00821597" w:rsidRPr="00435A0E">
        <w:t xml:space="preserve">Aetna also cites </w:t>
      </w:r>
      <w:r w:rsidR="00C92A98" w:rsidRPr="00435A0E">
        <w:rPr>
          <w:i/>
          <w:iCs/>
        </w:rPr>
        <w:t>its own response</w:t>
      </w:r>
      <w:r w:rsidR="006A7E52" w:rsidRPr="00435A0E">
        <w:rPr>
          <w:i/>
          <w:iCs/>
        </w:rPr>
        <w:t xml:space="preserve"> </w:t>
      </w:r>
      <w:r w:rsidR="006A7E52" w:rsidRPr="00435A0E">
        <w:t xml:space="preserve">to one of </w:t>
      </w:r>
      <w:r w:rsidR="00016FFA" w:rsidRPr="00435A0E">
        <w:t>CMA</w:t>
      </w:r>
      <w:r w:rsidR="006A7E52" w:rsidRPr="00435A0E">
        <w:t xml:space="preserve">’s </w:t>
      </w:r>
      <w:r w:rsidR="00FA5A36" w:rsidRPr="00435A0E">
        <w:t xml:space="preserve">filings in opposition to summary judgment, but that contains no admissions </w:t>
      </w:r>
      <w:r w:rsidR="00797366" w:rsidRPr="00435A0E">
        <w:t xml:space="preserve">by </w:t>
      </w:r>
      <w:r w:rsidR="00016FFA" w:rsidRPr="00435A0E">
        <w:t>CMA</w:t>
      </w:r>
      <w:r w:rsidR="00797366" w:rsidRPr="00435A0E">
        <w:t>.)</w:t>
      </w:r>
      <w:r w:rsidR="003A1172" w:rsidRPr="00435A0E">
        <w:t xml:space="preserve">  </w:t>
      </w:r>
      <w:r w:rsidR="0041253F" w:rsidRPr="00435A0E">
        <w:t xml:space="preserve">The cited deposition </w:t>
      </w:r>
      <w:r w:rsidR="00B27AA5" w:rsidRPr="00435A0E">
        <w:t>testimony does not</w:t>
      </w:r>
      <w:r w:rsidR="003A1172" w:rsidRPr="00435A0E">
        <w:t xml:space="preserve"> contradict the general counsel’s later declaration estimating the extent of </w:t>
      </w:r>
      <w:r w:rsidR="00016FFA" w:rsidRPr="00435A0E">
        <w:t>CMA</w:t>
      </w:r>
      <w:r w:rsidR="005F7EB1" w:rsidRPr="00435A0E">
        <w:t xml:space="preserve">’s </w:t>
      </w:r>
      <w:r w:rsidR="003A1172" w:rsidRPr="00435A0E">
        <w:t>diverted staff time</w:t>
      </w:r>
      <w:r w:rsidR="00F54D6F" w:rsidRPr="00435A0E">
        <w:t>, and accordingly, there is no barrier to our consideration of it.</w:t>
      </w:r>
    </w:p>
    <w:p w14:paraId="46961671" w14:textId="08AF5F7D" w:rsidR="00D87907" w:rsidRPr="00435A0E" w:rsidRDefault="00C02D1D" w:rsidP="00190BF7">
      <w:pPr>
        <w:pStyle w:val="Heading2"/>
        <w:numPr>
          <w:ilvl w:val="0"/>
          <w:numId w:val="1"/>
        </w:numPr>
      </w:pPr>
      <w:r w:rsidRPr="00435A0E">
        <w:t>Causation</w:t>
      </w:r>
      <w:r w:rsidR="00D87907" w:rsidRPr="00435A0E">
        <w:t xml:space="preserve"> </w:t>
      </w:r>
    </w:p>
    <w:p w14:paraId="2FD417A2" w14:textId="4D2A7847" w:rsidR="00463912" w:rsidRPr="00435A0E" w:rsidRDefault="00E3016B" w:rsidP="00190BF7">
      <w:pPr>
        <w:tabs>
          <w:tab w:val="left" w:pos="1440"/>
        </w:tabs>
        <w:ind w:firstLine="720"/>
      </w:pPr>
      <w:r w:rsidRPr="00435A0E">
        <w:t>A private plaintiff has UCL standing only if the plaintiff lost</w:t>
      </w:r>
      <w:r w:rsidR="00463912" w:rsidRPr="00435A0E">
        <w:t xml:space="preserve"> </w:t>
      </w:r>
      <w:r w:rsidR="00122198" w:rsidRPr="00435A0E">
        <w:t>money or property “as a result of” the practice at issue.  (§ 17204.)</w:t>
      </w:r>
      <w:r w:rsidR="0044211A" w:rsidRPr="00435A0E">
        <w:t xml:space="preserve">  </w:t>
      </w:r>
      <w:r w:rsidR="00283498" w:rsidRPr="00435A0E">
        <w:t>I</w:t>
      </w:r>
      <w:r w:rsidR="0046479C" w:rsidRPr="00435A0E">
        <w:t xml:space="preserve">n </w:t>
      </w:r>
      <w:r w:rsidR="00694B1A" w:rsidRPr="00435A0E">
        <w:rPr>
          <w:i/>
          <w:iCs/>
        </w:rPr>
        <w:t>Kwikset</w:t>
      </w:r>
      <w:r w:rsidR="00694B1A" w:rsidRPr="00435A0E">
        <w:t xml:space="preserve">, </w:t>
      </w:r>
      <w:r w:rsidR="00283498" w:rsidRPr="00435A0E">
        <w:t>we concluded this language</w:t>
      </w:r>
      <w:r w:rsidR="00A529C7" w:rsidRPr="00435A0E">
        <w:t xml:space="preserve"> imposed a causation requirement on UCL standing:</w:t>
      </w:r>
      <w:r w:rsidR="0062553B" w:rsidRPr="00435A0E">
        <w:rPr>
          <w:color w:val="3D3D3D"/>
          <w:szCs w:val="26"/>
          <w:bdr w:val="none" w:sz="0" w:space="0" w:color="auto" w:frame="1"/>
        </w:rPr>
        <w:t xml:space="preserve"> </w:t>
      </w:r>
      <w:r w:rsidR="00FC1133" w:rsidRPr="00435A0E">
        <w:rPr>
          <w:color w:val="3D3D3D"/>
          <w:szCs w:val="26"/>
          <w:bdr w:val="none" w:sz="0" w:space="0" w:color="auto" w:frame="1"/>
        </w:rPr>
        <w:t xml:space="preserve"> </w:t>
      </w:r>
      <w:r w:rsidR="00B7145D" w:rsidRPr="00435A0E">
        <w:t>“</w:t>
      </w:r>
      <w:r w:rsidR="0007001A" w:rsidRPr="00435A0E">
        <w:t> ‘The phrase “as a result of” in its plain and ordinary sense means “caused by” and requires a showing of a causal connection or reliance on the alleged misrepresentation.’ ” </w:t>
      </w:r>
      <w:r w:rsidR="00E6679F" w:rsidRPr="00435A0E">
        <w:t xml:space="preserve"> </w:t>
      </w:r>
      <w:r w:rsidR="0007001A" w:rsidRPr="00435A0E">
        <w:t>(</w:t>
      </w:r>
      <w:r w:rsidR="00BA1159" w:rsidRPr="00435A0E">
        <w:rPr>
          <w:i/>
          <w:iCs/>
        </w:rPr>
        <w:t>Kwikset</w:t>
      </w:r>
      <w:r w:rsidR="00BA1159" w:rsidRPr="00435A0E">
        <w:t xml:space="preserve">, </w:t>
      </w:r>
      <w:r w:rsidR="00BA1159" w:rsidRPr="00435A0E">
        <w:rPr>
          <w:i/>
          <w:iCs/>
        </w:rPr>
        <w:t>supra</w:t>
      </w:r>
      <w:r w:rsidR="00BA1159" w:rsidRPr="00435A0E">
        <w:t xml:space="preserve">, </w:t>
      </w:r>
      <w:r w:rsidR="00FC1133" w:rsidRPr="00435A0E">
        <w:t xml:space="preserve">51 Cal.4th at p. 326.) </w:t>
      </w:r>
      <w:r w:rsidR="00C14801" w:rsidRPr="00435A0E">
        <w:t xml:space="preserve"> In a fraud case like </w:t>
      </w:r>
      <w:r w:rsidR="00C14801" w:rsidRPr="00435A0E">
        <w:rPr>
          <w:i/>
          <w:iCs/>
        </w:rPr>
        <w:t>Kwikset</w:t>
      </w:r>
      <w:r w:rsidR="00C14801" w:rsidRPr="00435A0E">
        <w:t xml:space="preserve">, reliance </w:t>
      </w:r>
      <w:r w:rsidR="00992959" w:rsidRPr="00435A0E">
        <w:t>is</w:t>
      </w:r>
      <w:r w:rsidR="003B2727" w:rsidRPr="00435A0E">
        <w:t xml:space="preserve"> key because “</w:t>
      </w:r>
      <w:r w:rsidR="003646D8" w:rsidRPr="00435A0E">
        <w:t> ‘reliance is the causal mechanism of fraud</w:t>
      </w:r>
      <w:r w:rsidR="00E97505" w:rsidRPr="00435A0E">
        <w:t>.</w:t>
      </w:r>
      <w:r w:rsidR="003646D8" w:rsidRPr="00435A0E">
        <w:t>’ ”</w:t>
      </w:r>
      <w:r w:rsidR="00E97505" w:rsidRPr="00435A0E">
        <w:t xml:space="preserve">  (</w:t>
      </w:r>
      <w:r w:rsidR="00E97505" w:rsidRPr="00435A0E">
        <w:rPr>
          <w:i/>
          <w:iCs/>
        </w:rPr>
        <w:t>Ibid.</w:t>
      </w:r>
      <w:r w:rsidR="00E97505" w:rsidRPr="00435A0E">
        <w:t xml:space="preserve">, quoting </w:t>
      </w:r>
      <w:r w:rsidR="00F859A3" w:rsidRPr="00435A0E">
        <w:rPr>
          <w:i/>
          <w:iCs/>
        </w:rPr>
        <w:t>Tobacco II Cases</w:t>
      </w:r>
      <w:r w:rsidR="00F859A3" w:rsidRPr="00435A0E">
        <w:t xml:space="preserve">, </w:t>
      </w:r>
      <w:r w:rsidR="00F859A3" w:rsidRPr="00435A0E">
        <w:rPr>
          <w:i/>
          <w:iCs/>
        </w:rPr>
        <w:t>supra</w:t>
      </w:r>
      <w:r w:rsidR="00F859A3" w:rsidRPr="00435A0E">
        <w:t xml:space="preserve">, </w:t>
      </w:r>
      <w:r w:rsidR="0068248A" w:rsidRPr="00435A0E">
        <w:t>46</w:t>
      </w:r>
      <w:r w:rsidR="00F859A3" w:rsidRPr="00435A0E">
        <w:t xml:space="preserve"> Cal.4th at p. </w:t>
      </w:r>
      <w:r w:rsidR="00E608F5" w:rsidRPr="00435A0E">
        <w:t>326</w:t>
      </w:r>
      <w:r w:rsidR="00BB7D17" w:rsidRPr="00435A0E">
        <w:t>.)  A</w:t>
      </w:r>
      <w:r w:rsidR="00DC1CD4" w:rsidRPr="00435A0E">
        <w:t xml:space="preserve">s in </w:t>
      </w:r>
      <w:r w:rsidR="00DC1CD4" w:rsidRPr="00435A0E">
        <w:rPr>
          <w:i/>
          <w:iCs/>
        </w:rPr>
        <w:t>Tobacco II Cases</w:t>
      </w:r>
      <w:r w:rsidR="007662F2" w:rsidRPr="00435A0E">
        <w:t xml:space="preserve">, </w:t>
      </w:r>
      <w:r w:rsidR="00353FEE" w:rsidRPr="00435A0E">
        <w:t xml:space="preserve">also a fraud case, </w:t>
      </w:r>
      <w:r w:rsidR="00794E83" w:rsidRPr="00435A0E">
        <w:rPr>
          <w:i/>
          <w:iCs/>
        </w:rPr>
        <w:t>Kwikset</w:t>
      </w:r>
      <w:r w:rsidR="00794E83" w:rsidRPr="00435A0E">
        <w:t xml:space="preserve"> </w:t>
      </w:r>
      <w:r w:rsidR="00E57F11" w:rsidRPr="00435A0E">
        <w:t xml:space="preserve">limited </w:t>
      </w:r>
      <w:r w:rsidR="00794E83" w:rsidRPr="00435A0E">
        <w:t>its</w:t>
      </w:r>
      <w:r w:rsidR="00E57F11" w:rsidRPr="00435A0E">
        <w:t xml:space="preserve"> </w:t>
      </w:r>
      <w:r w:rsidR="007662F2" w:rsidRPr="00435A0E">
        <w:t>discussion</w:t>
      </w:r>
      <w:r w:rsidR="00E57F11" w:rsidRPr="00435A0E">
        <w:t xml:space="preserve"> of the causation element</w:t>
      </w:r>
      <w:r w:rsidR="003F5C67" w:rsidRPr="00435A0E">
        <w:t xml:space="preserve"> to such cases, declining to opine </w:t>
      </w:r>
      <w:r w:rsidR="0008037D" w:rsidRPr="00435A0E">
        <w:t xml:space="preserve">on the </w:t>
      </w:r>
      <w:r w:rsidR="0008037D" w:rsidRPr="00435A0E">
        <w:lastRenderedPageBreak/>
        <w:t xml:space="preserve">contours of causation where the alleged unfair competition </w:t>
      </w:r>
      <w:r w:rsidR="00900C96" w:rsidRPr="00435A0E">
        <w:t>did not lie in misrepresentation.  (</w:t>
      </w:r>
      <w:r w:rsidR="00900C96" w:rsidRPr="00435A0E">
        <w:rPr>
          <w:i/>
          <w:iCs/>
        </w:rPr>
        <w:t>Kwikset</w:t>
      </w:r>
      <w:r w:rsidR="00900C96" w:rsidRPr="00435A0E">
        <w:t xml:space="preserve">, </w:t>
      </w:r>
      <w:r w:rsidR="00900C96" w:rsidRPr="00435A0E">
        <w:rPr>
          <w:i/>
          <w:iCs/>
        </w:rPr>
        <w:t>supra</w:t>
      </w:r>
      <w:r w:rsidR="00900C96" w:rsidRPr="00435A0E">
        <w:t>, 51 Cal.4th at p</w:t>
      </w:r>
      <w:r w:rsidR="00A854F7" w:rsidRPr="00435A0E">
        <w:t xml:space="preserve">. </w:t>
      </w:r>
      <w:r w:rsidR="00303090" w:rsidRPr="00435A0E">
        <w:t xml:space="preserve">326, </w:t>
      </w:r>
      <w:r w:rsidR="00BA30C5" w:rsidRPr="00435A0E">
        <w:t>fn. 9</w:t>
      </w:r>
      <w:r w:rsidR="00A854F7" w:rsidRPr="00435A0E">
        <w:t>;</w:t>
      </w:r>
      <w:r w:rsidR="00900C96" w:rsidRPr="00435A0E">
        <w:t xml:space="preserve"> </w:t>
      </w:r>
      <w:r w:rsidR="00900C96" w:rsidRPr="00435A0E">
        <w:rPr>
          <w:i/>
          <w:iCs/>
        </w:rPr>
        <w:t>Tobacco II Cases</w:t>
      </w:r>
      <w:r w:rsidR="00900C96" w:rsidRPr="00435A0E">
        <w:t xml:space="preserve">, </w:t>
      </w:r>
      <w:r w:rsidR="00900C96" w:rsidRPr="00435A0E">
        <w:rPr>
          <w:i/>
          <w:iCs/>
        </w:rPr>
        <w:t>supra</w:t>
      </w:r>
      <w:r w:rsidR="00900C96" w:rsidRPr="00435A0E">
        <w:t xml:space="preserve">, </w:t>
      </w:r>
      <w:r w:rsidR="0068248A" w:rsidRPr="00435A0E">
        <w:t>46</w:t>
      </w:r>
      <w:r w:rsidR="00900C96" w:rsidRPr="00435A0E">
        <w:t xml:space="preserve"> Cal.4th at p. </w:t>
      </w:r>
      <w:r w:rsidR="00F43E8D" w:rsidRPr="00435A0E">
        <w:t>325, fn. 17</w:t>
      </w:r>
      <w:r w:rsidR="0033650E" w:rsidRPr="00435A0E">
        <w:t xml:space="preserve">.)  </w:t>
      </w:r>
      <w:r w:rsidR="00E73655" w:rsidRPr="00435A0E">
        <w:t>In the</w:t>
      </w:r>
      <w:r w:rsidR="00DB7C2A" w:rsidRPr="00435A0E">
        <w:t xml:space="preserve"> present case</w:t>
      </w:r>
      <w:r w:rsidR="00E73655" w:rsidRPr="00435A0E">
        <w:t xml:space="preserve">, of course, </w:t>
      </w:r>
      <w:r w:rsidR="00840850" w:rsidRPr="00435A0E">
        <w:t xml:space="preserve">Aetna’s </w:t>
      </w:r>
      <w:r w:rsidR="007A7C22" w:rsidRPr="00435A0E">
        <w:t xml:space="preserve">Network Intervention Policy </w:t>
      </w:r>
      <w:r w:rsidR="001C54F7" w:rsidRPr="00435A0E">
        <w:t xml:space="preserve">is attacked </w:t>
      </w:r>
      <w:r w:rsidR="00D877E2" w:rsidRPr="00435A0E">
        <w:t xml:space="preserve">not as fraudulent but </w:t>
      </w:r>
      <w:r w:rsidR="001C54F7" w:rsidRPr="00435A0E">
        <w:t xml:space="preserve">as violative of laws protecting medical decisionmaking.  </w:t>
      </w:r>
      <w:r w:rsidR="00C5289D" w:rsidRPr="00435A0E">
        <w:t xml:space="preserve">Beyond establishing that </w:t>
      </w:r>
      <w:r w:rsidR="00FE3FE7" w:rsidRPr="00435A0E">
        <w:t>“as a result of” in section 17204 requires a causa</w:t>
      </w:r>
      <w:r w:rsidR="00DB7C2A" w:rsidRPr="00435A0E">
        <w:t xml:space="preserve">l connection between the alleged unfair competition and the plaintiff’s economic injury, therefore, our precedents are of </w:t>
      </w:r>
      <w:r w:rsidR="003825CB" w:rsidRPr="00435A0E">
        <w:t xml:space="preserve">limited use in deciding how the </w:t>
      </w:r>
      <w:r w:rsidR="00124712" w:rsidRPr="00435A0E">
        <w:t>statutory requirement</w:t>
      </w:r>
      <w:r w:rsidR="003825CB" w:rsidRPr="00435A0E">
        <w:t xml:space="preserve"> is to be applied here.</w:t>
      </w:r>
    </w:p>
    <w:p w14:paraId="21E9C345" w14:textId="7C9B945E" w:rsidR="0032657A" w:rsidRPr="00435A0E" w:rsidRDefault="003F266D" w:rsidP="00190BF7">
      <w:pPr>
        <w:tabs>
          <w:tab w:val="left" w:pos="1440"/>
        </w:tabs>
        <w:ind w:firstLine="720"/>
      </w:pPr>
      <w:r w:rsidRPr="00435A0E">
        <w:t xml:space="preserve">Aetna argues that section 17204 </w:t>
      </w:r>
      <w:r w:rsidR="00ED3CA6" w:rsidRPr="00435A0E">
        <w:t xml:space="preserve">imposes a requirement of </w:t>
      </w:r>
      <w:r w:rsidR="00ED3CA6" w:rsidRPr="00435A0E">
        <w:rPr>
          <w:i/>
          <w:iCs/>
        </w:rPr>
        <w:t>proximate</w:t>
      </w:r>
      <w:r w:rsidR="00ED3CA6" w:rsidRPr="00435A0E">
        <w:t xml:space="preserve"> causation</w:t>
      </w:r>
      <w:r w:rsidR="00A31E2B" w:rsidRPr="00435A0E">
        <w:t xml:space="preserve"> akin to that in tort law,</w:t>
      </w:r>
      <w:r w:rsidR="00ED3CA6" w:rsidRPr="00435A0E">
        <w:t xml:space="preserve"> and that this requirement cannot be met here because </w:t>
      </w:r>
      <w:r w:rsidR="00016FFA" w:rsidRPr="00435A0E">
        <w:t>CMA</w:t>
      </w:r>
      <w:r w:rsidR="00385EDC" w:rsidRPr="00435A0E">
        <w:t xml:space="preserve"> independently chose to </w:t>
      </w:r>
      <w:r w:rsidR="006A69D1" w:rsidRPr="00435A0E">
        <w:t>oppose Aetna’s policy</w:t>
      </w:r>
      <w:r w:rsidR="00451ABD" w:rsidRPr="00435A0E">
        <w:t xml:space="preserve">.  According to Aetna, </w:t>
      </w:r>
      <w:r w:rsidR="00621446" w:rsidRPr="00435A0E">
        <w:t>“</w:t>
      </w:r>
      <w:r w:rsidR="00451ABD" w:rsidRPr="00435A0E">
        <w:t>[a]</w:t>
      </w:r>
      <w:r w:rsidR="00621446" w:rsidRPr="00435A0E">
        <w:t xml:space="preserve"> plaintiff who chooses to advocate against a practice with which it happens to disagree, assuming it lost money at all when</w:t>
      </w:r>
      <w:r w:rsidR="00464FBB" w:rsidRPr="00435A0E">
        <w:t xml:space="preserve"> </w:t>
      </w:r>
      <w:r w:rsidR="00621446" w:rsidRPr="00435A0E">
        <w:t>advocating, did so because of that choice, not because of the</w:t>
      </w:r>
      <w:r w:rsidR="00464FBB" w:rsidRPr="00435A0E">
        <w:t xml:space="preserve"> </w:t>
      </w:r>
      <w:r w:rsidR="00621446" w:rsidRPr="00435A0E">
        <w:t xml:space="preserve">defendants’ alleged conduct. </w:t>
      </w:r>
      <w:r w:rsidR="00C43980" w:rsidRPr="00435A0E">
        <w:t xml:space="preserve"> [</w:t>
      </w:r>
      <w:r w:rsidR="00016FFA" w:rsidRPr="00435A0E">
        <w:t>CMA</w:t>
      </w:r>
      <w:r w:rsidR="00C43980" w:rsidRPr="00435A0E">
        <w:t>’s] ‘</w:t>
      </w:r>
      <w:r w:rsidR="00621446" w:rsidRPr="00435A0E">
        <w:t>choice,</w:t>
      </w:r>
      <w:r w:rsidR="00C43980" w:rsidRPr="00435A0E">
        <w:t>’</w:t>
      </w:r>
      <w:r w:rsidR="00621446" w:rsidRPr="00435A0E">
        <w:t xml:space="preserve"> in other words, is</w:t>
      </w:r>
      <w:r w:rsidR="00464FBB" w:rsidRPr="00435A0E">
        <w:t xml:space="preserve"> </w:t>
      </w:r>
      <w:r w:rsidR="00621446" w:rsidRPr="00435A0E">
        <w:t>an intervening cause that breaks any chain of causation.</w:t>
      </w:r>
      <w:r w:rsidR="00464FBB" w:rsidRPr="00435A0E">
        <w:t xml:space="preserve">”  </w:t>
      </w:r>
      <w:r w:rsidR="00016FFA" w:rsidRPr="00435A0E">
        <w:t>CMA</w:t>
      </w:r>
      <w:r w:rsidR="002432C8" w:rsidRPr="00435A0E">
        <w:t>, on the other hand,</w:t>
      </w:r>
      <w:r w:rsidR="00A35A4B" w:rsidRPr="00435A0E">
        <w:t xml:space="preserve"> </w:t>
      </w:r>
      <w:r w:rsidR="007969A6" w:rsidRPr="00435A0E">
        <w:t>contends</w:t>
      </w:r>
      <w:r w:rsidR="00A35A4B" w:rsidRPr="00435A0E">
        <w:t xml:space="preserve"> </w:t>
      </w:r>
      <w:r w:rsidR="00316746" w:rsidRPr="00435A0E">
        <w:t>that section 17204 requires only “but for” causation</w:t>
      </w:r>
      <w:r w:rsidR="00C35D41" w:rsidRPr="00435A0E">
        <w:t>.</w:t>
      </w:r>
      <w:r w:rsidR="00F64E43" w:rsidRPr="00435A0E">
        <w:t xml:space="preserve">  </w:t>
      </w:r>
      <w:r w:rsidR="007969A6" w:rsidRPr="00435A0E">
        <w:t>And e</w:t>
      </w:r>
      <w:r w:rsidR="00C35D41" w:rsidRPr="00435A0E">
        <w:t xml:space="preserve">ven if proximate causation were required, </w:t>
      </w:r>
      <w:r w:rsidR="00016FFA" w:rsidRPr="00435A0E">
        <w:t>CMA</w:t>
      </w:r>
      <w:r w:rsidR="007969A6" w:rsidRPr="00435A0E">
        <w:t xml:space="preserve"> </w:t>
      </w:r>
      <w:r w:rsidR="005474C2" w:rsidRPr="00435A0E">
        <w:t xml:space="preserve">further </w:t>
      </w:r>
      <w:r w:rsidR="007969A6" w:rsidRPr="00435A0E">
        <w:t>mainta</w:t>
      </w:r>
      <w:r w:rsidR="001C2D3A" w:rsidRPr="00435A0E">
        <w:t xml:space="preserve">ins, </w:t>
      </w:r>
      <w:r w:rsidR="00190B43" w:rsidRPr="00435A0E">
        <w:t>to break the chain of proximate causation a</w:t>
      </w:r>
      <w:r w:rsidR="00ED2CF0" w:rsidRPr="00435A0E">
        <w:t>n intervening cause must be of independent origin</w:t>
      </w:r>
      <w:r w:rsidR="00FB06CC" w:rsidRPr="00435A0E">
        <w:t>, and here the opposite is true</w:t>
      </w:r>
      <w:r w:rsidR="00451ABD" w:rsidRPr="00435A0E">
        <w:t>.</w:t>
      </w:r>
      <w:r w:rsidR="009E3DDF" w:rsidRPr="00435A0E">
        <w:t xml:space="preserve">  </w:t>
      </w:r>
      <w:r w:rsidR="00016FFA" w:rsidRPr="00435A0E">
        <w:t>CMA</w:t>
      </w:r>
      <w:r w:rsidR="00451ABD" w:rsidRPr="00435A0E">
        <w:t xml:space="preserve"> asserts that its</w:t>
      </w:r>
      <w:r w:rsidR="009E3DDF" w:rsidRPr="00435A0E">
        <w:t xml:space="preserve"> “dedication of resources to respond to actions that frustrate its mission is </w:t>
      </w:r>
      <w:r w:rsidR="00E9211C" w:rsidRPr="00435A0E">
        <w:t>not ‘of independent origin’</w:t>
      </w:r>
      <w:r w:rsidR="00C31A58">
        <w:t> </w:t>
      </w:r>
      <w:r w:rsidR="002B296A" w:rsidRPr="00435A0E">
        <w:t>—</w:t>
      </w:r>
      <w:r w:rsidR="00E9211C" w:rsidRPr="00435A0E">
        <w:t xml:space="preserve"> the origin of the diversion </w:t>
      </w:r>
      <w:r w:rsidR="00E9211C" w:rsidRPr="00435A0E">
        <w:rPr>
          <w:i/>
          <w:iCs/>
        </w:rPr>
        <w:t>is</w:t>
      </w:r>
      <w:r w:rsidR="00E9211C" w:rsidRPr="00435A0E">
        <w:t xml:space="preserve"> the alleged</w:t>
      </w:r>
      <w:r w:rsidR="005368B2" w:rsidRPr="00435A0E">
        <w:t xml:space="preserve">ly unlawful conduct.” </w:t>
      </w:r>
      <w:r w:rsidR="0061425D" w:rsidRPr="00435A0E">
        <w:t xml:space="preserve"> </w:t>
      </w:r>
      <w:r w:rsidR="00E45584" w:rsidRPr="00435A0E">
        <w:t xml:space="preserve">Because </w:t>
      </w:r>
      <w:r w:rsidR="00016FFA" w:rsidRPr="00435A0E">
        <w:t>CMA</w:t>
      </w:r>
      <w:r w:rsidR="00A637E3" w:rsidRPr="00435A0E">
        <w:t xml:space="preserve">’s </w:t>
      </w:r>
      <w:r w:rsidR="0088654D" w:rsidRPr="00435A0E">
        <w:t xml:space="preserve">diversion of resources was a foreseeable response to Aetna’s </w:t>
      </w:r>
      <w:r w:rsidR="00DE0204" w:rsidRPr="00435A0E">
        <w:t xml:space="preserve">implementation of its policy, </w:t>
      </w:r>
      <w:r w:rsidR="00016FFA" w:rsidRPr="00435A0E">
        <w:t>CMA</w:t>
      </w:r>
      <w:r w:rsidR="004B5398" w:rsidRPr="00435A0E">
        <w:t xml:space="preserve"> </w:t>
      </w:r>
      <w:r w:rsidR="00F3205D" w:rsidRPr="00435A0E">
        <w:t xml:space="preserve">argues, </w:t>
      </w:r>
      <w:r w:rsidR="00DE0204" w:rsidRPr="00435A0E">
        <w:t xml:space="preserve">it </w:t>
      </w:r>
      <w:r w:rsidR="0032657A" w:rsidRPr="00435A0E">
        <w:t xml:space="preserve">did not break the chain of proximate causation.  </w:t>
      </w:r>
    </w:p>
    <w:p w14:paraId="373698BC" w14:textId="7609DBAD" w:rsidR="00D22C4E" w:rsidRPr="00435A0E" w:rsidRDefault="001E6FBB" w:rsidP="00190BF7">
      <w:pPr>
        <w:tabs>
          <w:tab w:val="left" w:pos="1440"/>
        </w:tabs>
        <w:ind w:firstLine="720"/>
      </w:pPr>
      <w:r w:rsidRPr="00435A0E">
        <w:lastRenderedPageBreak/>
        <w:t>There are reasons</w:t>
      </w:r>
      <w:r w:rsidR="00617698" w:rsidRPr="00435A0E">
        <w:t xml:space="preserve"> </w:t>
      </w:r>
      <w:r w:rsidRPr="00435A0E">
        <w:t>to</w:t>
      </w:r>
      <w:r w:rsidR="006D518A" w:rsidRPr="00435A0E">
        <w:t xml:space="preserve"> doubt that </w:t>
      </w:r>
      <w:r w:rsidR="001F5630" w:rsidRPr="00435A0E">
        <w:t xml:space="preserve">section 17204 </w:t>
      </w:r>
      <w:r w:rsidR="00761A3A" w:rsidRPr="00435A0E">
        <w:t xml:space="preserve">imports </w:t>
      </w:r>
      <w:r w:rsidR="001F5630" w:rsidRPr="00435A0E">
        <w:t>a proximate cause requirement</w:t>
      </w:r>
      <w:r w:rsidRPr="00435A0E">
        <w:t xml:space="preserve"> from the </w:t>
      </w:r>
      <w:r w:rsidR="008B6A0C" w:rsidRPr="00435A0E">
        <w:t xml:space="preserve">substantive </w:t>
      </w:r>
      <w:r w:rsidRPr="00435A0E">
        <w:t>law of negligence</w:t>
      </w:r>
      <w:r w:rsidR="002B7440" w:rsidRPr="00435A0E">
        <w:t xml:space="preserve"> into </w:t>
      </w:r>
      <w:r w:rsidR="008B6A0C" w:rsidRPr="00435A0E">
        <w:t>the test for UCL standing</w:t>
      </w:r>
      <w:r w:rsidR="00097C1B" w:rsidRPr="00435A0E">
        <w:t xml:space="preserve">.  </w:t>
      </w:r>
      <w:r w:rsidR="00DD248B" w:rsidRPr="00435A0E">
        <w:t>Neither the text of section 17204 nor o</w:t>
      </w:r>
      <w:r w:rsidR="00723394" w:rsidRPr="00435A0E">
        <w:t xml:space="preserve">ur decisions in </w:t>
      </w:r>
      <w:r w:rsidR="00723394" w:rsidRPr="00435A0E">
        <w:rPr>
          <w:i/>
          <w:iCs/>
        </w:rPr>
        <w:t>Kwikset</w:t>
      </w:r>
      <w:r w:rsidR="00723394" w:rsidRPr="00435A0E">
        <w:t xml:space="preserve"> and </w:t>
      </w:r>
      <w:r w:rsidR="00723394" w:rsidRPr="00435A0E">
        <w:rPr>
          <w:i/>
          <w:iCs/>
        </w:rPr>
        <w:t>Tobacco II Cases</w:t>
      </w:r>
      <w:r w:rsidR="0078089A" w:rsidRPr="00435A0E">
        <w:t xml:space="preserve">, which address reliance as </w:t>
      </w:r>
      <w:r w:rsidR="00CE424A" w:rsidRPr="00435A0E">
        <w:t>the</w:t>
      </w:r>
      <w:r w:rsidR="0078089A" w:rsidRPr="00435A0E">
        <w:t xml:space="preserve"> causati</w:t>
      </w:r>
      <w:r w:rsidR="00244FB9" w:rsidRPr="00435A0E">
        <w:t>ve</w:t>
      </w:r>
      <w:r w:rsidR="0078089A" w:rsidRPr="00435A0E">
        <w:t xml:space="preserve"> mechanism in misrepresentation cases,</w:t>
      </w:r>
      <w:r w:rsidR="00CE424A" w:rsidRPr="00435A0E">
        <w:t xml:space="preserve"> contain language </w:t>
      </w:r>
      <w:r w:rsidR="00487CFC" w:rsidRPr="00435A0E">
        <w:t>suggesting a proximate causation test</w:t>
      </w:r>
      <w:r w:rsidR="001B5605" w:rsidRPr="00435A0E">
        <w:t xml:space="preserve"> applies</w:t>
      </w:r>
      <w:r w:rsidR="00406487" w:rsidRPr="00435A0E">
        <w:t>.</w:t>
      </w:r>
      <w:r w:rsidR="009404B7" w:rsidRPr="00435A0E">
        <w:t xml:space="preserve">  </w:t>
      </w:r>
      <w:r w:rsidR="00274849" w:rsidRPr="00435A0E">
        <w:t xml:space="preserve">The “unlawful, unfair or fraudulent business act[s] or practice[s]” (§ 17200) at which the UCL takes aim </w:t>
      </w:r>
      <w:r w:rsidR="004157F7" w:rsidRPr="00435A0E">
        <w:t xml:space="preserve">are not </w:t>
      </w:r>
      <w:r w:rsidR="00FE6D09" w:rsidRPr="00435A0E">
        <w:t>markedly</w:t>
      </w:r>
      <w:r w:rsidR="004157F7" w:rsidRPr="00435A0E">
        <w:t xml:space="preserve"> similar to </w:t>
      </w:r>
      <w:r w:rsidR="00943934" w:rsidRPr="00435A0E">
        <w:t xml:space="preserve">the conduct that </w:t>
      </w:r>
      <w:r w:rsidR="00163BBD" w:rsidRPr="00435A0E">
        <w:t>can</w:t>
      </w:r>
      <w:r w:rsidR="00943934" w:rsidRPr="00435A0E">
        <w:t xml:space="preserve"> give rise to a negligence action</w:t>
      </w:r>
      <w:r w:rsidR="008E0808" w:rsidRPr="00435A0E">
        <w:t xml:space="preserve">.  </w:t>
      </w:r>
    </w:p>
    <w:p w14:paraId="6A8BD874" w14:textId="52E68218" w:rsidR="00097C1B" w:rsidRPr="00435A0E" w:rsidRDefault="00F9558C" w:rsidP="00190BF7">
      <w:pPr>
        <w:tabs>
          <w:tab w:val="left" w:pos="1440"/>
        </w:tabs>
        <w:ind w:firstLine="720"/>
      </w:pPr>
      <w:r w:rsidRPr="00435A0E">
        <w:t>Ultimately, however, we need not resolve the question here</w:t>
      </w:r>
      <w:r w:rsidR="00DD248B" w:rsidRPr="00435A0E">
        <w:t>.</w:t>
      </w:r>
      <w:r w:rsidR="00374F32" w:rsidRPr="00435A0E">
        <w:t xml:space="preserve"> </w:t>
      </w:r>
      <w:r w:rsidR="0084521C" w:rsidRPr="00435A0E">
        <w:t xml:space="preserve"> I</w:t>
      </w:r>
      <w:r w:rsidR="00DD248B" w:rsidRPr="00435A0E">
        <w:t xml:space="preserve">n any event, we </w:t>
      </w:r>
      <w:r w:rsidR="008F0DD9" w:rsidRPr="00435A0E">
        <w:t xml:space="preserve">agree with </w:t>
      </w:r>
      <w:r w:rsidR="00016FFA" w:rsidRPr="00435A0E">
        <w:t>CMA</w:t>
      </w:r>
      <w:r w:rsidR="008F0DD9" w:rsidRPr="00435A0E">
        <w:t xml:space="preserve">’s </w:t>
      </w:r>
      <w:r w:rsidR="00F3205D" w:rsidRPr="00435A0E">
        <w:t>alternative</w:t>
      </w:r>
      <w:r w:rsidR="008F0DD9" w:rsidRPr="00435A0E">
        <w:t xml:space="preserve"> argument</w:t>
      </w:r>
      <w:r w:rsidR="001F5630" w:rsidRPr="00435A0E">
        <w:t xml:space="preserve">: </w:t>
      </w:r>
      <w:r w:rsidR="007C5E0C" w:rsidRPr="00435A0E">
        <w:t xml:space="preserve"> </w:t>
      </w:r>
      <w:r w:rsidR="00016FFA" w:rsidRPr="00435A0E">
        <w:t>CMA</w:t>
      </w:r>
      <w:r w:rsidR="001B0B3A" w:rsidRPr="00435A0E">
        <w:t xml:space="preserve">’s decision to devote resources to responding to Aetna’s </w:t>
      </w:r>
      <w:r w:rsidR="00A964ED" w:rsidRPr="00435A0E">
        <w:t>Network Intervention Policy was not a supervening</w:t>
      </w:r>
      <w:r w:rsidR="0099273B" w:rsidRPr="00435A0E">
        <w:t xml:space="preserve"> or superseding</w:t>
      </w:r>
      <w:r w:rsidR="00A964ED" w:rsidRPr="00435A0E">
        <w:t xml:space="preserve"> cause under the law of proximate causation</w:t>
      </w:r>
      <w:r w:rsidR="0084521C" w:rsidRPr="00435A0E">
        <w:t xml:space="preserve"> if it were to apply</w:t>
      </w:r>
      <w:r w:rsidR="00A964ED" w:rsidRPr="00435A0E">
        <w:t xml:space="preserve">.  </w:t>
      </w:r>
    </w:p>
    <w:p w14:paraId="777C161D" w14:textId="1318E0DF" w:rsidR="00773455" w:rsidRPr="00435A0E" w:rsidRDefault="00D62041" w:rsidP="00190BF7">
      <w:pPr>
        <w:tabs>
          <w:tab w:val="left" w:pos="1440"/>
        </w:tabs>
        <w:ind w:firstLine="720"/>
      </w:pPr>
      <w:r w:rsidRPr="00435A0E">
        <w:t>In a decision</w:t>
      </w:r>
      <w:r w:rsidR="006174B4" w:rsidRPr="00435A0E">
        <w:t xml:space="preserve"> </w:t>
      </w:r>
      <w:r w:rsidRPr="00435A0E">
        <w:t xml:space="preserve">both parties cite, </w:t>
      </w:r>
      <w:r w:rsidR="00BD33DD" w:rsidRPr="00435A0E">
        <w:t>this court</w:t>
      </w:r>
      <w:r w:rsidR="00356CBB" w:rsidRPr="00435A0E">
        <w:t xml:space="preserve"> explained that a supervening </w:t>
      </w:r>
      <w:r w:rsidR="00D57490" w:rsidRPr="00435A0E">
        <w:t xml:space="preserve">or superseding </w:t>
      </w:r>
      <w:r w:rsidR="00356CBB" w:rsidRPr="00435A0E">
        <w:t>cause</w:t>
      </w:r>
      <w:r w:rsidR="00FE53BC" w:rsidRPr="00435A0E">
        <w:t xml:space="preserve">, </w:t>
      </w:r>
      <w:r w:rsidR="0021794F" w:rsidRPr="00435A0E">
        <w:t xml:space="preserve">one that </w:t>
      </w:r>
      <w:r w:rsidR="00FE53BC" w:rsidRPr="00435A0E">
        <w:t xml:space="preserve">breaks the chain of proximate causation, is </w:t>
      </w:r>
      <w:r w:rsidR="0024505E" w:rsidRPr="00435A0E">
        <w:t>a “</w:t>
      </w:r>
      <w:r w:rsidR="008B6E8C" w:rsidRPr="00435A0E">
        <w:t>later cause of independent origin</w:t>
      </w:r>
      <w:r w:rsidR="0024505E" w:rsidRPr="00435A0E">
        <w:t xml:space="preserve">” that was neither </w:t>
      </w:r>
      <w:r w:rsidR="00EB2A78" w:rsidRPr="00435A0E">
        <w:t>“</w:t>
      </w:r>
      <w:r w:rsidR="008B6E8C" w:rsidRPr="00435A0E">
        <w:t>foreseeable by the defendant</w:t>
      </w:r>
      <w:r w:rsidR="00EB2A78" w:rsidRPr="00435A0E">
        <w:t>” nor “</w:t>
      </w:r>
      <w:r w:rsidR="008B6E8C" w:rsidRPr="00435A0E">
        <w:t>caused injury of a type which was foreseeable</w:t>
      </w:r>
      <w:r w:rsidR="00EB2A78" w:rsidRPr="00435A0E">
        <w:t>.”  (</w:t>
      </w:r>
      <w:r w:rsidR="008B6E8C" w:rsidRPr="00435A0E">
        <w:rPr>
          <w:i/>
          <w:iCs/>
        </w:rPr>
        <w:t>Akins v. County</w:t>
      </w:r>
      <w:r w:rsidR="007C5E0C" w:rsidRPr="00435A0E">
        <w:rPr>
          <w:i/>
          <w:iCs/>
        </w:rPr>
        <w:t xml:space="preserve"> of Sonoma</w:t>
      </w:r>
      <w:r w:rsidR="008B6E8C" w:rsidRPr="00435A0E">
        <w:t> (1967) 67 Cal.2d 185, 199</w:t>
      </w:r>
      <w:r w:rsidR="007D0EB1" w:rsidRPr="00435A0E">
        <w:t xml:space="preserve">; accord, </w:t>
      </w:r>
      <w:r w:rsidR="007D0EB1" w:rsidRPr="00435A0E">
        <w:rPr>
          <w:i/>
          <w:iCs/>
        </w:rPr>
        <w:t>Ballard v. Uribe</w:t>
      </w:r>
      <w:r w:rsidR="007D0EB1" w:rsidRPr="00435A0E">
        <w:t> (1986) 41 Cal.3d 564, 587</w:t>
      </w:r>
      <w:r w:rsidR="004F6AB3" w:rsidRPr="00435A0E">
        <w:t>;</w:t>
      </w:r>
      <w:r w:rsidR="004F6AB3" w:rsidRPr="00435A0E">
        <w:rPr>
          <w:color w:val="000000"/>
          <w:szCs w:val="24"/>
          <w:shd w:val="clear" w:color="auto" w:fill="FFFFFF"/>
        </w:rPr>
        <w:t xml:space="preserve"> </w:t>
      </w:r>
      <w:r w:rsidR="004F6AB3" w:rsidRPr="00435A0E">
        <w:rPr>
          <w:i/>
          <w:iCs/>
        </w:rPr>
        <w:t>Bigbee v. Pacific Tel. &amp; Tel. Co.</w:t>
      </w:r>
      <w:r w:rsidR="004F6AB3" w:rsidRPr="00435A0E">
        <w:t> (1983) 34 Cal.3d 49, 56</w:t>
      </w:r>
      <w:r w:rsidR="003E47A1" w:rsidRPr="00435A0E">
        <w:t>.)</w:t>
      </w:r>
      <w:r w:rsidR="003463A4" w:rsidRPr="00435A0E">
        <w:t xml:space="preserve">  </w:t>
      </w:r>
      <w:r w:rsidR="00E0014D" w:rsidRPr="00435A0E">
        <w:t xml:space="preserve">“ ‘[F]or an intervening act properly to be considered a superseding cause, the act must have produced </w:t>
      </w:r>
      <w:r w:rsidR="007C5E0C" w:rsidRPr="00435A0E">
        <w:t>“</w:t>
      </w:r>
      <w:r w:rsidR="00E0014D" w:rsidRPr="00435A0E">
        <w:t>harm of a kind and degree so far beyond the risk the original tortfeasor should have foreseen that the law deems it unfair to hold him responsible.</w:t>
      </w:r>
      <w:r w:rsidR="00944A8E" w:rsidRPr="00435A0E">
        <w:t>” ’ ”  (</w:t>
      </w:r>
      <w:r w:rsidR="00E0014D" w:rsidRPr="00435A0E">
        <w:rPr>
          <w:i/>
          <w:iCs/>
        </w:rPr>
        <w:t>Kahn v. East Side Union High School Dist.</w:t>
      </w:r>
      <w:r w:rsidR="00E0014D" w:rsidRPr="00435A0E">
        <w:t> (2003) 31 Cal.</w:t>
      </w:r>
      <w:r w:rsidR="00391815" w:rsidRPr="00435A0E">
        <w:t xml:space="preserve">4th </w:t>
      </w:r>
      <w:r w:rsidR="00E0014D" w:rsidRPr="00435A0E">
        <w:t>990, 1017</w:t>
      </w:r>
      <w:r w:rsidR="00944A8E" w:rsidRPr="00435A0E">
        <w:t>.)</w:t>
      </w:r>
      <w:r w:rsidR="0070670B" w:rsidRPr="00435A0E">
        <w:t xml:space="preserve">  </w:t>
      </w:r>
    </w:p>
    <w:p w14:paraId="21B1BF4C" w14:textId="131E92B2" w:rsidR="007E5647" w:rsidRPr="00435A0E" w:rsidRDefault="0070670B" w:rsidP="00190BF7">
      <w:pPr>
        <w:tabs>
          <w:tab w:val="left" w:pos="1440"/>
        </w:tabs>
        <w:ind w:firstLine="720"/>
      </w:pPr>
      <w:r w:rsidRPr="00435A0E">
        <w:lastRenderedPageBreak/>
        <w:t xml:space="preserve">The facts here do not </w:t>
      </w:r>
      <w:r w:rsidR="00773455" w:rsidRPr="00435A0E">
        <w:t xml:space="preserve">involve any </w:t>
      </w:r>
      <w:r w:rsidR="00AD785E" w:rsidRPr="00435A0E">
        <w:t xml:space="preserve">such independent and unforeseeable conduct by </w:t>
      </w:r>
      <w:r w:rsidR="00016FFA" w:rsidRPr="00435A0E">
        <w:t>CMA</w:t>
      </w:r>
      <w:r w:rsidR="00AD785E" w:rsidRPr="00435A0E">
        <w:t xml:space="preserve"> or any third party</w:t>
      </w:r>
      <w:r w:rsidR="006113CB" w:rsidRPr="00435A0E">
        <w:t xml:space="preserve">.  Aetna implemented its Network Intervention Policy by communications with </w:t>
      </w:r>
      <w:r w:rsidR="00E47926" w:rsidRPr="00435A0E">
        <w:t xml:space="preserve">physicians in its </w:t>
      </w:r>
      <w:r w:rsidR="00BB76D6" w:rsidRPr="00435A0E">
        <w:t>preferred provider</w:t>
      </w:r>
      <w:r w:rsidR="00E47926" w:rsidRPr="00435A0E">
        <w:t xml:space="preserve"> networks</w:t>
      </w:r>
      <w:r w:rsidR="00936475" w:rsidRPr="00435A0E">
        <w:t xml:space="preserve">, in some cases threatening to terminate their network participation.  </w:t>
      </w:r>
      <w:r w:rsidR="00870BF6" w:rsidRPr="00435A0E">
        <w:t xml:space="preserve">That some of those physicians would alert </w:t>
      </w:r>
      <w:r w:rsidR="00016FFA" w:rsidRPr="00435A0E">
        <w:t>CMA</w:t>
      </w:r>
      <w:r w:rsidR="00870BF6" w:rsidRPr="00435A0E">
        <w:t xml:space="preserve">, the state’s most prominent </w:t>
      </w:r>
      <w:r w:rsidR="00EB2583" w:rsidRPr="00435A0E">
        <w:t>physician association, was highly foreseeable</w:t>
      </w:r>
      <w:r w:rsidR="00107F45" w:rsidRPr="00435A0E">
        <w:t xml:space="preserve">.  That </w:t>
      </w:r>
      <w:r w:rsidR="00016FFA" w:rsidRPr="00435A0E">
        <w:t>CMA</w:t>
      </w:r>
      <w:r w:rsidR="00107F45" w:rsidRPr="00435A0E">
        <w:t xml:space="preserve"> would come to their assistance by </w:t>
      </w:r>
      <w:r w:rsidR="009A014E" w:rsidRPr="00435A0E">
        <w:t xml:space="preserve">working to reverse or alter Aetna’s policy, </w:t>
      </w:r>
      <w:r w:rsidR="009D1A16" w:rsidRPr="00435A0E">
        <w:t>attempting</w:t>
      </w:r>
      <w:r w:rsidR="00DF2FDA" w:rsidRPr="00435A0E">
        <w:t xml:space="preserve"> to</w:t>
      </w:r>
      <w:r w:rsidR="009D1A16" w:rsidRPr="00435A0E">
        <w:t xml:space="preserve"> prevent</w:t>
      </w:r>
      <w:r w:rsidR="009A014E" w:rsidRPr="00435A0E">
        <w:t xml:space="preserve"> its implementation in ways that </w:t>
      </w:r>
      <w:r w:rsidR="00730D17" w:rsidRPr="00435A0E">
        <w:t xml:space="preserve">impinged on its members’ </w:t>
      </w:r>
      <w:r w:rsidR="009717FB" w:rsidRPr="00435A0E">
        <w:t>medical practices</w:t>
      </w:r>
      <w:r w:rsidR="00322135" w:rsidRPr="00435A0E">
        <w:t>, was equally foreseeable</w:t>
      </w:r>
      <w:r w:rsidR="00CD19DC" w:rsidRPr="00435A0E">
        <w:t xml:space="preserve">.  </w:t>
      </w:r>
      <w:r w:rsidR="00016FFA" w:rsidRPr="00435A0E">
        <w:t>CMA</w:t>
      </w:r>
      <w:r w:rsidR="001B3F1D" w:rsidRPr="00435A0E">
        <w:t>’s response</w:t>
      </w:r>
      <w:r w:rsidR="00451ABD" w:rsidRPr="00435A0E">
        <w:t xml:space="preserve"> to Aetna’s policy</w:t>
      </w:r>
      <w:r w:rsidR="003A31A5" w:rsidRPr="00435A0E">
        <w:t xml:space="preserve">, while voluntary, </w:t>
      </w:r>
      <w:r w:rsidR="009722AF" w:rsidRPr="00435A0E">
        <w:t xml:space="preserve">thus </w:t>
      </w:r>
      <w:r w:rsidR="003A31A5" w:rsidRPr="00435A0E">
        <w:t xml:space="preserve">derived foreseeably </w:t>
      </w:r>
      <w:r w:rsidR="00CB3E3E" w:rsidRPr="00435A0E">
        <w:t xml:space="preserve">from Aetna’s conduct.  It was not the type of independent, unforeseeable action that </w:t>
      </w:r>
      <w:r w:rsidR="00CA1189" w:rsidRPr="00435A0E">
        <w:t xml:space="preserve">would </w:t>
      </w:r>
      <w:r w:rsidR="00760140" w:rsidRPr="00435A0E">
        <w:t xml:space="preserve">preclude a finding of proximate cause in a tort </w:t>
      </w:r>
      <w:r w:rsidR="00714F8A" w:rsidRPr="00435A0E">
        <w:t>context</w:t>
      </w:r>
      <w:r w:rsidR="004646D0" w:rsidRPr="00435A0E">
        <w:t>.</w:t>
      </w:r>
      <w:r w:rsidR="00E80DB7">
        <w:t xml:space="preserve">  </w:t>
      </w:r>
      <w:r w:rsidR="004646D0" w:rsidRPr="00435A0E">
        <w:t>E</w:t>
      </w:r>
      <w:r w:rsidR="008B1E21" w:rsidRPr="00435A0E">
        <w:t>ven</w:t>
      </w:r>
      <w:r w:rsidR="0084521C" w:rsidRPr="00435A0E">
        <w:t xml:space="preserve"> if</w:t>
      </w:r>
      <w:r w:rsidR="008B1E21" w:rsidRPr="00435A0E">
        <w:t xml:space="preserve"> section 17204 incorporate</w:t>
      </w:r>
      <w:r w:rsidR="0084521C" w:rsidRPr="00435A0E">
        <w:t>d</w:t>
      </w:r>
      <w:r w:rsidR="008B1E21" w:rsidRPr="00435A0E">
        <w:t xml:space="preserve"> a </w:t>
      </w:r>
      <w:r w:rsidR="0031617A" w:rsidRPr="00435A0E">
        <w:t>proximate cause requirement into its UCL standing test</w:t>
      </w:r>
      <w:r w:rsidR="004646D0" w:rsidRPr="00435A0E">
        <w:t xml:space="preserve">, </w:t>
      </w:r>
      <w:r w:rsidR="008E20A4" w:rsidRPr="00435A0E">
        <w:t>that requirement would be met</w:t>
      </w:r>
      <w:r w:rsidR="0031617A" w:rsidRPr="00435A0E">
        <w:t>.</w:t>
      </w:r>
    </w:p>
    <w:p w14:paraId="109B9FC4" w14:textId="7019C3EF" w:rsidR="007826D2" w:rsidRPr="00435A0E" w:rsidRDefault="00FF67A5" w:rsidP="00190BF7">
      <w:pPr>
        <w:tabs>
          <w:tab w:val="left" w:pos="1440"/>
        </w:tabs>
        <w:ind w:firstLine="720"/>
      </w:pPr>
      <w:r w:rsidRPr="00435A0E">
        <w:t xml:space="preserve">Aetna </w:t>
      </w:r>
      <w:r w:rsidR="005E7A2A" w:rsidRPr="00435A0E">
        <w:t xml:space="preserve">compares </w:t>
      </w:r>
      <w:r w:rsidR="00577A70" w:rsidRPr="00435A0E">
        <w:t>this</w:t>
      </w:r>
      <w:r w:rsidR="005E7A2A" w:rsidRPr="00435A0E">
        <w:t xml:space="preserve"> case to </w:t>
      </w:r>
      <w:r w:rsidR="005E7A2A" w:rsidRPr="00435A0E">
        <w:rPr>
          <w:i/>
          <w:iCs/>
        </w:rPr>
        <w:t>Two Jinn, Inc. v. Government Payment Service, Inc.</w:t>
      </w:r>
      <w:r w:rsidR="005E7A2A" w:rsidRPr="00435A0E">
        <w:t> (2015) 233 Cal.App.4th 1321, 1326</w:t>
      </w:r>
      <w:r w:rsidR="007E17B8" w:rsidRPr="00435A0E">
        <w:t xml:space="preserve"> (</w:t>
      </w:r>
      <w:r w:rsidR="007E17B8" w:rsidRPr="00435A0E">
        <w:rPr>
          <w:i/>
          <w:iCs/>
        </w:rPr>
        <w:t>Two Jinn</w:t>
      </w:r>
      <w:r w:rsidR="007E17B8" w:rsidRPr="00435A0E">
        <w:t>)</w:t>
      </w:r>
      <w:r w:rsidR="00594123" w:rsidRPr="00435A0E">
        <w:t>, in which a licensed bail agen</w:t>
      </w:r>
      <w:r w:rsidR="00B6208B" w:rsidRPr="00435A0E">
        <w:t>cy</w:t>
      </w:r>
      <w:r w:rsidR="00594123" w:rsidRPr="00435A0E">
        <w:t xml:space="preserve"> sued an unlicensed company </w:t>
      </w:r>
      <w:r w:rsidR="00986A9E" w:rsidRPr="00435A0E">
        <w:t xml:space="preserve">for </w:t>
      </w:r>
      <w:r w:rsidR="00766F4D" w:rsidRPr="00435A0E">
        <w:t xml:space="preserve">providing bail services in violation of the UCL. </w:t>
      </w:r>
      <w:r w:rsidR="00134AFF" w:rsidRPr="00435A0E">
        <w:t xml:space="preserve"> As part of its </w:t>
      </w:r>
      <w:r w:rsidR="00B6208B" w:rsidRPr="00435A0E">
        <w:t xml:space="preserve">argument for standing, the plaintiff averred it had “suffered an economic injury by incurring </w:t>
      </w:r>
      <w:r w:rsidR="00FA241E" w:rsidRPr="00435A0E">
        <w:t>‘</w:t>
      </w:r>
      <w:r w:rsidR="00B6208B" w:rsidRPr="00435A0E">
        <w:t>significant costs and expenses</w:t>
      </w:r>
      <w:r w:rsidR="00FA241E" w:rsidRPr="00435A0E">
        <w:t>’</w:t>
      </w:r>
      <w:r w:rsidR="00B6208B" w:rsidRPr="00435A0E">
        <w:t xml:space="preserve"> to investigate the </w:t>
      </w:r>
      <w:r w:rsidR="00FA241E" w:rsidRPr="00435A0E">
        <w:t>‘</w:t>
      </w:r>
      <w:r w:rsidR="00B6208B" w:rsidRPr="00435A0E">
        <w:t>nature, scope and extent of Defendant</w:t>
      </w:r>
      <w:r w:rsidR="00FA241E" w:rsidRPr="00435A0E">
        <w:t>’</w:t>
      </w:r>
      <w:r w:rsidR="00B6208B" w:rsidRPr="00435A0E">
        <w:t>s conduct.</w:t>
      </w:r>
      <w:r w:rsidR="00FA241E" w:rsidRPr="00435A0E">
        <w:t>’ </w:t>
      </w:r>
      <w:r w:rsidR="00B6208B" w:rsidRPr="00435A0E">
        <w:t>”</w:t>
      </w:r>
      <w:r w:rsidR="00FA241E" w:rsidRPr="00435A0E">
        <w:t xml:space="preserve">  (</w:t>
      </w:r>
      <w:r w:rsidR="00FA241E" w:rsidRPr="00435A0E">
        <w:rPr>
          <w:i/>
          <w:iCs/>
        </w:rPr>
        <w:t xml:space="preserve">Id. </w:t>
      </w:r>
      <w:r w:rsidR="00FA241E" w:rsidRPr="00435A0E">
        <w:t>at p. 1334.)</w:t>
      </w:r>
      <w:r w:rsidR="009F2BC1" w:rsidRPr="00435A0E">
        <w:rPr>
          <w:rStyle w:val="FootnoteReference"/>
        </w:rPr>
        <w:footnoteReference w:id="9"/>
      </w:r>
      <w:r w:rsidR="00965BDB" w:rsidRPr="00435A0E">
        <w:t xml:space="preserve">  The Court of Appeal </w:t>
      </w:r>
      <w:r w:rsidR="00965BDB" w:rsidRPr="00435A0E">
        <w:lastRenderedPageBreak/>
        <w:t>rejected that theory of standing on causation grounds</w:t>
      </w:r>
      <w:r w:rsidR="007826D2" w:rsidRPr="00435A0E">
        <w:t>:  “These ‘pre</w:t>
      </w:r>
      <w:r w:rsidR="007826D2" w:rsidRPr="00435A0E">
        <w:noBreakHyphen/>
        <w:t>litigation’ costs do not establish standing to bring a UCL claim because they are not an economic injury caused by the business practices that Aladdin characterizes as unlawful.  Rather</w:t>
      </w:r>
      <w:r w:rsidR="009E05C8" w:rsidRPr="00435A0E">
        <w:t>,</w:t>
      </w:r>
      <w:r w:rsidR="007826D2" w:rsidRPr="00435A0E">
        <w:t xml:space="preserve"> . . . the reason Aladdin incurred prelitigation expenses was to generate evidence. </w:t>
      </w:r>
      <w:r w:rsidR="009E05C8" w:rsidRPr="00435A0E">
        <w:t xml:space="preserve"> </w:t>
      </w:r>
      <w:r w:rsidR="007826D2" w:rsidRPr="00435A0E">
        <w:t>Aladdin then used that evidence to support this lawsuit.</w:t>
      </w:r>
      <w:r w:rsidR="009E05C8" w:rsidRPr="00435A0E">
        <w:t>”  (</w:t>
      </w:r>
      <w:r w:rsidR="009E05C8" w:rsidRPr="00435A0E">
        <w:rPr>
          <w:i/>
          <w:iCs/>
        </w:rPr>
        <w:t>I</w:t>
      </w:r>
      <w:r w:rsidR="00134BEB" w:rsidRPr="00435A0E">
        <w:rPr>
          <w:i/>
          <w:iCs/>
        </w:rPr>
        <w:t>bi</w:t>
      </w:r>
      <w:r w:rsidR="009E05C8" w:rsidRPr="00435A0E">
        <w:rPr>
          <w:i/>
          <w:iCs/>
        </w:rPr>
        <w:t>d</w:t>
      </w:r>
      <w:r w:rsidR="009E05C8" w:rsidRPr="00435A0E">
        <w:t xml:space="preserve">.)  </w:t>
      </w:r>
      <w:r w:rsidR="00796D4A" w:rsidRPr="00435A0E">
        <w:t xml:space="preserve">Distinguishing </w:t>
      </w:r>
      <w:r w:rsidR="00796D4A" w:rsidRPr="00435A0E">
        <w:rPr>
          <w:i/>
          <w:iCs/>
        </w:rPr>
        <w:t>Havens</w:t>
      </w:r>
      <w:r w:rsidR="00806805" w:rsidRPr="00435A0E">
        <w:rPr>
          <w:i/>
          <w:iCs/>
        </w:rPr>
        <w:t xml:space="preserve"> </w:t>
      </w:r>
      <w:r w:rsidR="00806805" w:rsidRPr="00435A0E">
        <w:t>on its facts</w:t>
      </w:r>
      <w:r w:rsidR="00796D4A" w:rsidRPr="00435A0E">
        <w:t xml:space="preserve">, the court </w:t>
      </w:r>
      <w:r w:rsidR="00806805" w:rsidRPr="00435A0E">
        <w:t>explained that “[h]ere, proof that Aladdin spent money to investigate GPS</w:t>
      </w:r>
      <w:r w:rsidR="00F51858" w:rsidRPr="00435A0E">
        <w:t>’</w:t>
      </w:r>
      <w:r w:rsidR="00806805" w:rsidRPr="00435A0E">
        <w:t>s activities would not show that those allegedly unfair business activities had any independent economic impact on Aladdin</w:t>
      </w:r>
      <w:r w:rsidR="00F51858" w:rsidRPr="00435A0E">
        <w:t>’</w:t>
      </w:r>
      <w:r w:rsidR="00806805" w:rsidRPr="00435A0E">
        <w:t>s bail bond business. </w:t>
      </w:r>
      <w:r w:rsidR="00F51858" w:rsidRPr="00435A0E">
        <w:t xml:space="preserve"> </w:t>
      </w:r>
      <w:r w:rsidR="00806805" w:rsidRPr="00435A0E">
        <w:t>Beyond that, </w:t>
      </w:r>
      <w:r w:rsidR="00806805" w:rsidRPr="00435A0E">
        <w:rPr>
          <w:i/>
          <w:iCs/>
        </w:rPr>
        <w:t>Havens</w:t>
      </w:r>
      <w:r w:rsidR="00806805" w:rsidRPr="00435A0E">
        <w:t> does not hold or intimate that a party can manufacture an economic injury by incurring investigation costs to generate evidence for its lawsuit.</w:t>
      </w:r>
      <w:r w:rsidR="00F51858" w:rsidRPr="00435A0E">
        <w:t>”  (</w:t>
      </w:r>
      <w:r w:rsidR="00B203E6" w:rsidRPr="00435A0E">
        <w:rPr>
          <w:i/>
          <w:iCs/>
        </w:rPr>
        <w:t>Id.</w:t>
      </w:r>
      <w:r w:rsidR="00F51858" w:rsidRPr="00435A0E">
        <w:t xml:space="preserve"> at p. 1335.)  </w:t>
      </w:r>
    </w:p>
    <w:p w14:paraId="72C92A35" w14:textId="2EF5848F" w:rsidR="00A87974" w:rsidRPr="00435A0E" w:rsidRDefault="00C3239A" w:rsidP="00190BF7">
      <w:pPr>
        <w:tabs>
          <w:tab w:val="left" w:pos="1440"/>
        </w:tabs>
        <w:ind w:firstLine="720"/>
      </w:pPr>
      <w:r w:rsidRPr="00435A0E">
        <w:t>Similarly in this case</w:t>
      </w:r>
      <w:r w:rsidR="00923F3B" w:rsidRPr="00435A0E">
        <w:t xml:space="preserve">, </w:t>
      </w:r>
      <w:r w:rsidR="00577A70" w:rsidRPr="00435A0E">
        <w:t>Aetna argues</w:t>
      </w:r>
      <w:r w:rsidR="00923F3B" w:rsidRPr="00435A0E">
        <w:t>,</w:t>
      </w:r>
      <w:r w:rsidR="00EB68DF" w:rsidRPr="00435A0E">
        <w:t xml:space="preserve"> </w:t>
      </w:r>
      <w:r w:rsidR="00B35C6F" w:rsidRPr="00435A0E">
        <w:t>its</w:t>
      </w:r>
      <w:r w:rsidR="00923F3B" w:rsidRPr="00435A0E">
        <w:t xml:space="preserve"> Network Intervention Policy</w:t>
      </w:r>
      <w:r w:rsidR="00B35C6F" w:rsidRPr="00435A0E">
        <w:t xml:space="preserve"> </w:t>
      </w:r>
      <w:r w:rsidR="00FD41CA" w:rsidRPr="00435A0E">
        <w:t xml:space="preserve">did not affect </w:t>
      </w:r>
      <w:r w:rsidR="00016FFA" w:rsidRPr="00435A0E">
        <w:t>CMA</w:t>
      </w:r>
      <w:r w:rsidR="00FD41CA" w:rsidRPr="00435A0E">
        <w:t xml:space="preserve">’s operations, since the policy applied only to </w:t>
      </w:r>
      <w:r w:rsidR="007F45FC" w:rsidRPr="00435A0E">
        <w:t xml:space="preserve">physicians.  </w:t>
      </w:r>
      <w:r w:rsidR="00016FFA" w:rsidRPr="00435A0E">
        <w:t>CMA</w:t>
      </w:r>
      <w:r w:rsidRPr="00435A0E">
        <w:t xml:space="preserve"> should not be able to rely on its expenditures opposing that </w:t>
      </w:r>
      <w:r w:rsidR="007E17B8" w:rsidRPr="00435A0E">
        <w:t>policy for UCL standing, any more than the bail agency</w:t>
      </w:r>
      <w:r w:rsidR="0005371B" w:rsidRPr="00435A0E">
        <w:t xml:space="preserve"> in </w:t>
      </w:r>
      <w:r w:rsidR="0005371B" w:rsidRPr="00435A0E">
        <w:rPr>
          <w:i/>
          <w:iCs/>
        </w:rPr>
        <w:t>Two Jinn</w:t>
      </w:r>
      <w:r w:rsidR="00B6347C" w:rsidRPr="00435A0E">
        <w:t xml:space="preserve">, which was not directly injured by the defendant’s </w:t>
      </w:r>
      <w:r w:rsidR="0005371B" w:rsidRPr="00435A0E">
        <w:t>allegedly illegal conduct,</w:t>
      </w:r>
      <w:r w:rsidR="007E17B8" w:rsidRPr="00435A0E">
        <w:t xml:space="preserve"> </w:t>
      </w:r>
      <w:r w:rsidR="000E0D99" w:rsidRPr="00435A0E">
        <w:t>could rely on its investigative costs</w:t>
      </w:r>
      <w:r w:rsidR="0005371B" w:rsidRPr="00435A0E">
        <w:t xml:space="preserve"> to establish an economic injury for standing</w:t>
      </w:r>
      <w:r w:rsidR="00571E19" w:rsidRPr="00435A0E">
        <w:t>.</w:t>
      </w:r>
    </w:p>
    <w:p w14:paraId="599FF6D4" w14:textId="68F2AFC3" w:rsidR="00DE160B" w:rsidRPr="00435A0E" w:rsidRDefault="00016FFA" w:rsidP="00190BF7">
      <w:pPr>
        <w:tabs>
          <w:tab w:val="left" w:pos="1440"/>
        </w:tabs>
        <w:ind w:firstLine="720"/>
      </w:pPr>
      <w:r w:rsidRPr="00435A0E">
        <w:t>CMA</w:t>
      </w:r>
      <w:r w:rsidR="00DE160B" w:rsidRPr="00435A0E">
        <w:t xml:space="preserve"> </w:t>
      </w:r>
      <w:r w:rsidR="0037154C" w:rsidRPr="00435A0E">
        <w:t xml:space="preserve">does not </w:t>
      </w:r>
      <w:r w:rsidR="00713D69" w:rsidRPr="00435A0E">
        <w:t xml:space="preserve">take issue with </w:t>
      </w:r>
      <w:r w:rsidR="00AF7160" w:rsidRPr="00435A0E">
        <w:t>the</w:t>
      </w:r>
      <w:r w:rsidR="0037154C" w:rsidRPr="00435A0E">
        <w:t xml:space="preserve"> </w:t>
      </w:r>
      <w:r w:rsidR="00DD3707" w:rsidRPr="00435A0E">
        <w:t>proposition</w:t>
      </w:r>
      <w:r w:rsidR="00ED5546" w:rsidRPr="00435A0E">
        <w:t>s</w:t>
      </w:r>
      <w:r w:rsidR="00DD3707" w:rsidRPr="00435A0E">
        <w:t xml:space="preserve">, reflected in </w:t>
      </w:r>
      <w:r w:rsidR="003304EE" w:rsidRPr="00435A0E">
        <w:rPr>
          <w:i/>
          <w:iCs/>
        </w:rPr>
        <w:t>Two Jin</w:t>
      </w:r>
      <w:r w:rsidR="00AF7160" w:rsidRPr="00435A0E">
        <w:rPr>
          <w:i/>
          <w:iCs/>
        </w:rPr>
        <w:t>n</w:t>
      </w:r>
      <w:r w:rsidR="00DD3707" w:rsidRPr="00435A0E">
        <w:t>’s reasoning</w:t>
      </w:r>
      <w:r w:rsidR="00ED5546" w:rsidRPr="00435A0E">
        <w:t xml:space="preserve">, </w:t>
      </w:r>
      <w:r w:rsidR="00DE160B" w:rsidRPr="00435A0E">
        <w:t>that</w:t>
      </w:r>
      <w:r w:rsidR="003D77D9" w:rsidRPr="00435A0E">
        <w:t xml:space="preserve"> the </w:t>
      </w:r>
      <w:r w:rsidR="00316EC3" w:rsidRPr="00435A0E">
        <w:t>diversion</w:t>
      </w:r>
      <w:r w:rsidR="008F7A45" w:rsidRPr="00435A0E">
        <w:noBreakHyphen/>
      </w:r>
      <w:r w:rsidR="00316EC3" w:rsidRPr="00435A0E">
        <w:t>of</w:t>
      </w:r>
      <w:r w:rsidR="008F7A45" w:rsidRPr="00435A0E">
        <w:noBreakHyphen/>
      </w:r>
      <w:r w:rsidR="00316EC3" w:rsidRPr="00435A0E">
        <w:t xml:space="preserve">resources </w:t>
      </w:r>
      <w:r w:rsidR="00214BBC" w:rsidRPr="00435A0E">
        <w:t>theory requires</w:t>
      </w:r>
      <w:r w:rsidR="00DE160B" w:rsidRPr="00435A0E">
        <w:t xml:space="preserve"> </w:t>
      </w:r>
      <w:r w:rsidR="00214BBC" w:rsidRPr="00435A0E">
        <w:t>a threat</w:t>
      </w:r>
      <w:r w:rsidR="003D77D9" w:rsidRPr="00435A0E">
        <w:t xml:space="preserve"> to the plaintiff or</w:t>
      </w:r>
      <w:r w:rsidR="00316EC3" w:rsidRPr="00435A0E">
        <w:t xml:space="preserve">ganization’s mission and that </w:t>
      </w:r>
      <w:r w:rsidR="00DE160B" w:rsidRPr="00435A0E">
        <w:lastRenderedPageBreak/>
        <w:t xml:space="preserve">expenditures </w:t>
      </w:r>
      <w:r w:rsidR="000744A3" w:rsidRPr="00435A0E">
        <w:t>made for UCL litigation itself cannot support UCL standing</w:t>
      </w:r>
      <w:r w:rsidR="00452E43" w:rsidRPr="00435A0E">
        <w:t xml:space="preserve">.  </w:t>
      </w:r>
      <w:r w:rsidR="00BF305D" w:rsidRPr="00435A0E">
        <w:t>But</w:t>
      </w:r>
      <w:r w:rsidR="00A72F79" w:rsidRPr="00435A0E">
        <w:t>,</w:t>
      </w:r>
      <w:r w:rsidR="00BF305D" w:rsidRPr="00435A0E">
        <w:t xml:space="preserve"> </w:t>
      </w:r>
      <w:r w:rsidRPr="00435A0E">
        <w:t>CMA</w:t>
      </w:r>
      <w:r w:rsidR="00BF305D" w:rsidRPr="00435A0E">
        <w:t xml:space="preserve"> argues, both requirements </w:t>
      </w:r>
      <w:r w:rsidR="00927F1E" w:rsidRPr="00435A0E">
        <w:t>were</w:t>
      </w:r>
      <w:r w:rsidR="00BF305D" w:rsidRPr="00435A0E">
        <w:t xml:space="preserve"> met here. </w:t>
      </w:r>
      <w:r w:rsidR="00927F1E" w:rsidRPr="00435A0E">
        <w:t xml:space="preserve"> </w:t>
      </w:r>
      <w:r w:rsidR="009E5720" w:rsidRPr="00435A0E">
        <w:t xml:space="preserve">Aetna’s </w:t>
      </w:r>
      <w:r w:rsidR="000228AB" w:rsidRPr="00435A0E">
        <w:t xml:space="preserve">policy, at least in the view of </w:t>
      </w:r>
      <w:r w:rsidRPr="00435A0E">
        <w:t>CMA</w:t>
      </w:r>
      <w:r w:rsidR="000228AB" w:rsidRPr="00435A0E">
        <w:t xml:space="preserve">, </w:t>
      </w:r>
      <w:r w:rsidR="00980759" w:rsidRPr="00435A0E">
        <w:t>threatened physicians</w:t>
      </w:r>
      <w:r w:rsidR="00FF1AC5" w:rsidRPr="00435A0E">
        <w:t xml:space="preserve">’ medical independence and consequently the </w:t>
      </w:r>
      <w:r w:rsidR="00E37D6E" w:rsidRPr="00435A0E">
        <w:t xml:space="preserve">public health, both objects of </w:t>
      </w:r>
      <w:r w:rsidRPr="00435A0E">
        <w:t>CMA</w:t>
      </w:r>
      <w:r w:rsidR="004B13E9">
        <w:t>’</w:t>
      </w:r>
      <w:r w:rsidR="00AA54ED" w:rsidRPr="00435A0E">
        <w:t>s protective mission.</w:t>
      </w:r>
      <w:r w:rsidR="00F94298" w:rsidRPr="00435A0E">
        <w:t xml:space="preserve">  In response, </w:t>
      </w:r>
      <w:r w:rsidRPr="00435A0E">
        <w:t>CMA</w:t>
      </w:r>
      <w:r w:rsidR="00914A7C" w:rsidRPr="00435A0E">
        <w:t xml:space="preserve"> </w:t>
      </w:r>
      <w:r w:rsidR="005C75EA" w:rsidRPr="00435A0E">
        <w:t xml:space="preserve">undertook efforts </w:t>
      </w:r>
      <w:r w:rsidR="00D31B34" w:rsidRPr="00435A0E">
        <w:t>to assist its members</w:t>
      </w:r>
      <w:r w:rsidR="00914A7C" w:rsidRPr="00435A0E">
        <w:t xml:space="preserve"> in</w:t>
      </w:r>
      <w:r w:rsidR="00D31B34" w:rsidRPr="00435A0E">
        <w:t xml:space="preserve"> </w:t>
      </w:r>
      <w:r w:rsidR="00284494" w:rsidRPr="00435A0E">
        <w:t>dealing with Aetna</w:t>
      </w:r>
      <w:r w:rsidR="00DC4429" w:rsidRPr="00435A0E">
        <w:t>’</w:t>
      </w:r>
      <w:r w:rsidR="00284494" w:rsidRPr="00435A0E">
        <w:t xml:space="preserve">s policy, </w:t>
      </w:r>
      <w:r w:rsidR="00AC246B" w:rsidRPr="00435A0E">
        <w:t>to</w:t>
      </w:r>
      <w:r w:rsidR="008C0E97" w:rsidRPr="00435A0E">
        <w:t xml:space="preserve"> </w:t>
      </w:r>
      <w:r w:rsidR="0086580F" w:rsidRPr="00435A0E">
        <w:t>persuade</w:t>
      </w:r>
      <w:r w:rsidR="006232AC" w:rsidRPr="00435A0E">
        <w:t xml:space="preserve"> Aetna to stop enforcing the policy</w:t>
      </w:r>
      <w:r w:rsidR="00B37781" w:rsidRPr="00435A0E">
        <w:t xml:space="preserve">, </w:t>
      </w:r>
      <w:r w:rsidR="0053738B" w:rsidRPr="00435A0E">
        <w:t xml:space="preserve">and to spur </w:t>
      </w:r>
      <w:r w:rsidR="00B37781" w:rsidRPr="00435A0E">
        <w:t>regulatory</w:t>
      </w:r>
      <w:r w:rsidR="0053738B" w:rsidRPr="00435A0E">
        <w:t xml:space="preserve"> action</w:t>
      </w:r>
      <w:r w:rsidR="004E32E8" w:rsidRPr="00435A0E">
        <w:t xml:space="preserve"> against the policy</w:t>
      </w:r>
      <w:r w:rsidR="004138C9" w:rsidRPr="00435A0E">
        <w:t>.  These</w:t>
      </w:r>
      <w:r w:rsidR="006232AC" w:rsidRPr="00435A0E">
        <w:t xml:space="preserve"> </w:t>
      </w:r>
      <w:r w:rsidR="004215C6" w:rsidRPr="00435A0E">
        <w:t>efforts</w:t>
      </w:r>
      <w:r w:rsidR="00130B9A" w:rsidRPr="00435A0E">
        <w:t xml:space="preserve"> </w:t>
      </w:r>
      <w:r w:rsidR="004138C9" w:rsidRPr="00435A0E">
        <w:t xml:space="preserve">were </w:t>
      </w:r>
      <w:r w:rsidR="00130B9A" w:rsidRPr="00435A0E">
        <w:t>independent of this</w:t>
      </w:r>
      <w:r w:rsidR="004215C6" w:rsidRPr="00435A0E">
        <w:t xml:space="preserve"> </w:t>
      </w:r>
      <w:r w:rsidR="00130B9A" w:rsidRPr="00435A0E">
        <w:t>litigation</w:t>
      </w:r>
      <w:r w:rsidR="004215C6" w:rsidRPr="00435A0E">
        <w:t xml:space="preserve">, </w:t>
      </w:r>
      <w:r w:rsidR="006D7E32" w:rsidRPr="00435A0E">
        <w:t xml:space="preserve">which was </w:t>
      </w:r>
      <w:r w:rsidR="004215C6" w:rsidRPr="00435A0E">
        <w:t xml:space="preserve">commenced </w:t>
      </w:r>
      <w:r w:rsidR="00BD466C" w:rsidRPr="00435A0E">
        <w:t>a</w:t>
      </w:r>
      <w:r w:rsidR="004138C9" w:rsidRPr="00435A0E">
        <w:t>pproximately</w:t>
      </w:r>
      <w:r w:rsidR="00BD466C" w:rsidRPr="00435A0E">
        <w:t xml:space="preserve"> two years after </w:t>
      </w:r>
      <w:r w:rsidR="005F2254" w:rsidRPr="00435A0E">
        <w:t xml:space="preserve">CMA began responding to Aetna’s </w:t>
      </w:r>
      <w:r w:rsidR="006E29BA" w:rsidRPr="00435A0E">
        <w:t>policy</w:t>
      </w:r>
      <w:r w:rsidR="00874C5D" w:rsidRPr="00435A0E">
        <w:t>.</w:t>
      </w:r>
      <w:r w:rsidR="00974E1F" w:rsidRPr="00435A0E">
        <w:t xml:space="preserve"> </w:t>
      </w:r>
    </w:p>
    <w:p w14:paraId="54AEA808" w14:textId="184805C5" w:rsidR="00740203" w:rsidRPr="00435A0E" w:rsidRDefault="008F7A45" w:rsidP="00740203">
      <w:pPr>
        <w:tabs>
          <w:tab w:val="left" w:pos="1440"/>
        </w:tabs>
        <w:ind w:firstLine="720"/>
      </w:pPr>
      <w:r w:rsidRPr="00435A0E">
        <w:t xml:space="preserve">We </w:t>
      </w:r>
      <w:r w:rsidR="00EC22BC" w:rsidRPr="00435A0E">
        <w:t>agree with</w:t>
      </w:r>
      <w:r w:rsidR="002E6FA4" w:rsidRPr="00435A0E">
        <w:t xml:space="preserve"> </w:t>
      </w:r>
      <w:r w:rsidR="002C5F55" w:rsidRPr="00435A0E">
        <w:t>this analysis</w:t>
      </w:r>
      <w:r w:rsidR="00EE04B8" w:rsidRPr="00435A0E">
        <w:t xml:space="preserve">. </w:t>
      </w:r>
      <w:r w:rsidR="00C25BC8" w:rsidRPr="00435A0E">
        <w:t xml:space="preserve"> </w:t>
      </w:r>
      <w:r w:rsidR="00EE04B8" w:rsidRPr="00435A0E">
        <w:t>As</w:t>
      </w:r>
      <w:r w:rsidR="00EC22BC" w:rsidRPr="00435A0E">
        <w:t xml:space="preserve"> the </w:t>
      </w:r>
      <w:r w:rsidR="002B296A" w:rsidRPr="00435A0E">
        <w:rPr>
          <w:i/>
          <w:iCs/>
        </w:rPr>
        <w:t>Animal Legal Defense</w:t>
      </w:r>
      <w:r w:rsidR="002B296A" w:rsidRPr="00435A0E">
        <w:t xml:space="preserve"> </w:t>
      </w:r>
      <w:r w:rsidR="00E03D31" w:rsidRPr="00435A0E">
        <w:t>court</w:t>
      </w:r>
      <w:r w:rsidR="00EC22BC" w:rsidRPr="00435A0E">
        <w:t xml:space="preserve"> </w:t>
      </w:r>
      <w:r w:rsidR="00EE04B8" w:rsidRPr="00435A0E">
        <w:t xml:space="preserve">explained, </w:t>
      </w:r>
      <w:r w:rsidR="006A5B7C" w:rsidRPr="00435A0E">
        <w:t xml:space="preserve">in assessing causation </w:t>
      </w:r>
      <w:r w:rsidR="00BA6C5A" w:rsidRPr="00435A0E">
        <w:t>under the diversion-of-resources theory</w:t>
      </w:r>
      <w:r w:rsidR="00E3125C" w:rsidRPr="00435A0E">
        <w:t>,</w:t>
      </w:r>
      <w:r w:rsidR="00C4514F" w:rsidRPr="00435A0E">
        <w:t xml:space="preserve"> “the proper focus is on whether the plaintiff </w:t>
      </w:r>
      <w:r w:rsidR="006A5B7C" w:rsidRPr="00435A0E">
        <w:t>‘</w:t>
      </w:r>
      <w:r w:rsidR="00C4514F" w:rsidRPr="00435A0E">
        <w:t>undertook the expenditures in response to, and to counteract, the effects of the defendants</w:t>
      </w:r>
      <w:r w:rsidR="006A5B7C" w:rsidRPr="00435A0E">
        <w:t>’</w:t>
      </w:r>
      <w:r w:rsidR="00C4514F" w:rsidRPr="00435A0E">
        <w:t xml:space="preserve"> alleged [misconduct] rather than in anticipation of litigation.</w:t>
      </w:r>
      <w:r w:rsidR="0052347F" w:rsidRPr="00435A0E">
        <w:t>’ ”  (</w:t>
      </w:r>
      <w:r w:rsidR="002B296A" w:rsidRPr="00435A0E">
        <w:rPr>
          <w:i/>
          <w:iCs/>
        </w:rPr>
        <w:t>Animal Legal Defense</w:t>
      </w:r>
      <w:r w:rsidR="0052347F" w:rsidRPr="00435A0E">
        <w:t xml:space="preserve">, </w:t>
      </w:r>
      <w:r w:rsidR="0052347F" w:rsidRPr="00435A0E">
        <w:rPr>
          <w:i/>
          <w:iCs/>
        </w:rPr>
        <w:t>supra</w:t>
      </w:r>
      <w:r w:rsidR="0052347F" w:rsidRPr="00435A0E">
        <w:t>,</w:t>
      </w:r>
      <w:r w:rsidR="00C4514F" w:rsidRPr="00435A0E">
        <w:t xml:space="preserve"> 234 Cal.App.4th </w:t>
      </w:r>
      <w:r w:rsidR="0052347F" w:rsidRPr="00435A0E">
        <w:t>at pp.</w:t>
      </w:r>
      <w:r w:rsidR="00C4514F" w:rsidRPr="00435A0E">
        <w:t xml:space="preserve"> 1283–1284</w:t>
      </w:r>
      <w:r w:rsidR="0052347F" w:rsidRPr="00435A0E">
        <w:t>.)</w:t>
      </w:r>
      <w:r w:rsidR="006522F9" w:rsidRPr="00435A0E">
        <w:t xml:space="preserve">  Thus </w:t>
      </w:r>
      <w:r w:rsidR="006A3609" w:rsidRPr="00435A0E">
        <w:t xml:space="preserve">the plaintiff must show that the </w:t>
      </w:r>
      <w:r w:rsidR="0051597A" w:rsidRPr="00435A0E">
        <w:t>defendant’s actions have posed a threat to the plaintiff organization’s mission</w:t>
      </w:r>
      <w:r w:rsidR="00376358" w:rsidRPr="00435A0E">
        <w:t>, causing it to devote resources to allay the threat.  (</w:t>
      </w:r>
      <w:r w:rsidR="00275A75" w:rsidRPr="00435A0E">
        <w:rPr>
          <w:i/>
          <w:iCs/>
        </w:rPr>
        <w:t>East Bay Sanctuary Covenant v. Biden</w:t>
      </w:r>
      <w:r w:rsidR="00275A75" w:rsidRPr="00435A0E">
        <w:t> (9th Cir. 2021) 993 F.3d 640, 663</w:t>
      </w:r>
      <w:r w:rsidR="00532146" w:rsidRPr="00435A0E">
        <w:t xml:space="preserve">; </w:t>
      </w:r>
      <w:r w:rsidR="00532146" w:rsidRPr="00435A0E">
        <w:rPr>
          <w:i/>
          <w:iCs/>
        </w:rPr>
        <w:t>Rodriguez v. City of San Jose</w:t>
      </w:r>
      <w:r w:rsidR="0049196F" w:rsidRPr="00435A0E">
        <w:t xml:space="preserve"> (2019)</w:t>
      </w:r>
      <w:r w:rsidR="00532146" w:rsidRPr="00435A0E">
        <w:t xml:space="preserve"> 930 F.3d 1123, 1134</w:t>
      </w:r>
      <w:r w:rsidR="002E6FB6" w:rsidRPr="00435A0E">
        <w:t xml:space="preserve"> [</w:t>
      </w:r>
      <w:r w:rsidR="0019375C" w:rsidRPr="00435A0E">
        <w:t>“The organization cannot, however, ‘manufacture the injury by . . . simply choosing to spend money fixing a problem that otherwise would not affect the organization at all’ ”</w:t>
      </w:r>
      <w:r w:rsidR="002E6FB6" w:rsidRPr="00435A0E">
        <w:t>]</w:t>
      </w:r>
      <w:r w:rsidR="00B16578" w:rsidRPr="00435A0E">
        <w:t>.</w:t>
      </w:r>
      <w:r w:rsidR="004C41B8" w:rsidRPr="00435A0E">
        <w:t>)</w:t>
      </w:r>
      <w:r w:rsidR="00740203" w:rsidRPr="00435A0E">
        <w:rPr>
          <w:rStyle w:val="FootnoteReference"/>
        </w:rPr>
        <w:footnoteReference w:id="10"/>
      </w:r>
      <w:r w:rsidR="00740203" w:rsidRPr="00435A0E">
        <w:t xml:space="preserve">   </w:t>
      </w:r>
    </w:p>
    <w:p w14:paraId="5FE4F703" w14:textId="0D026A3D" w:rsidR="00E54D1B" w:rsidRPr="00435A0E" w:rsidRDefault="009C70BA" w:rsidP="00190BF7">
      <w:pPr>
        <w:tabs>
          <w:tab w:val="left" w:pos="1440"/>
        </w:tabs>
        <w:ind w:firstLine="720"/>
      </w:pPr>
      <w:r w:rsidRPr="00435A0E">
        <w:lastRenderedPageBreak/>
        <w:t>Moreover</w:t>
      </w:r>
      <w:r w:rsidR="00816EC9" w:rsidRPr="00435A0E">
        <w:t>, e</w:t>
      </w:r>
      <w:r w:rsidR="00BE51A2" w:rsidRPr="00435A0E">
        <w:t xml:space="preserve">xpenditures an organization makes in </w:t>
      </w:r>
      <w:r w:rsidR="00DF2BD0" w:rsidRPr="00435A0E">
        <w:t xml:space="preserve">the course of </w:t>
      </w:r>
      <w:r w:rsidR="00A764B5" w:rsidRPr="00435A0E">
        <w:t xml:space="preserve">UCL litigation, or to prepare for such litigation, </w:t>
      </w:r>
      <w:r w:rsidR="00763BBA" w:rsidRPr="00435A0E">
        <w:t>do not serve</w:t>
      </w:r>
      <w:r w:rsidR="006440CE" w:rsidRPr="00435A0E">
        <w:t>,</w:t>
      </w:r>
      <w:r w:rsidR="00A764B5" w:rsidRPr="00435A0E">
        <w:t xml:space="preserve"> </w:t>
      </w:r>
      <w:r w:rsidR="006440CE" w:rsidRPr="00435A0E">
        <w:t>for purposes of UCL standing</w:t>
      </w:r>
      <w:r w:rsidR="00167B0B" w:rsidRPr="00435A0E">
        <w:t>,</w:t>
      </w:r>
      <w:r w:rsidR="006440CE" w:rsidRPr="00435A0E">
        <w:t xml:space="preserve"> </w:t>
      </w:r>
      <w:r w:rsidR="00F045F3" w:rsidRPr="00435A0E">
        <w:t>to establish an injury in fact</w:t>
      </w:r>
      <w:r w:rsidR="000C3998" w:rsidRPr="00435A0E">
        <w:t xml:space="preserve"> resulting from the allegedly unfair</w:t>
      </w:r>
      <w:r w:rsidR="006440CE" w:rsidRPr="00435A0E">
        <w:t xml:space="preserve"> competition</w:t>
      </w:r>
      <w:r w:rsidR="00550FA4" w:rsidRPr="00435A0E">
        <w:t>.  (</w:t>
      </w:r>
      <w:r w:rsidR="00F045F3" w:rsidRPr="00435A0E">
        <w:rPr>
          <w:i/>
          <w:iCs/>
        </w:rPr>
        <w:t>Buckland v. Threshold Enterprises, Ltd.</w:t>
      </w:r>
      <w:r w:rsidR="00F045F3" w:rsidRPr="00435A0E">
        <w:t> (2007) 155 Cal.App.4th 798, 815</w:t>
      </w:r>
      <w:r w:rsidR="006F7B7A" w:rsidRPr="00435A0E">
        <w:t xml:space="preserve">.)  That </w:t>
      </w:r>
      <w:r w:rsidR="003B002B" w:rsidRPr="00435A0E">
        <w:t>parallels</w:t>
      </w:r>
      <w:r w:rsidR="006F7B7A" w:rsidRPr="00435A0E">
        <w:t xml:space="preserve"> the rule </w:t>
      </w:r>
      <w:r w:rsidR="007958E6" w:rsidRPr="00435A0E">
        <w:t>adopted in</w:t>
      </w:r>
      <w:r w:rsidR="001120E3" w:rsidRPr="00435A0E">
        <w:t xml:space="preserve"> several federal</w:t>
      </w:r>
      <w:r w:rsidR="007958E6" w:rsidRPr="00435A0E">
        <w:t xml:space="preserve"> decisions applying </w:t>
      </w:r>
      <w:r w:rsidR="0001223C" w:rsidRPr="00435A0E">
        <w:rPr>
          <w:i/>
          <w:iCs/>
        </w:rPr>
        <w:t>Havens</w:t>
      </w:r>
      <w:r w:rsidR="00A137DE" w:rsidRPr="00435A0E">
        <w:t>:</w:t>
      </w:r>
      <w:r w:rsidR="00564373" w:rsidRPr="00435A0E">
        <w:t xml:space="preserve">  </w:t>
      </w:r>
      <w:r w:rsidR="003B002B" w:rsidRPr="00435A0E">
        <w:t xml:space="preserve">“An organization cannot, of course, manufacture the injury necessary to maintain a suit from its expenditure of resources on that very suit.  Were the rule </w:t>
      </w:r>
      <w:r w:rsidR="003B002B" w:rsidRPr="00435A0E">
        <w:lastRenderedPageBreak/>
        <w:t>otherwise, any litigant could create injury in fact by bringing a case, and Article III would present no real limitation</w:t>
      </w:r>
      <w:r w:rsidR="00600B6F" w:rsidRPr="00435A0E">
        <w:t>.”  (</w:t>
      </w:r>
      <w:r w:rsidR="003B002B" w:rsidRPr="00435A0E">
        <w:rPr>
          <w:i/>
          <w:iCs/>
        </w:rPr>
        <w:t>Spann v. Colonial Village, Inc.</w:t>
      </w:r>
      <w:r w:rsidR="003B002B" w:rsidRPr="00435A0E">
        <w:t xml:space="preserve">, </w:t>
      </w:r>
      <w:r w:rsidR="003B002B" w:rsidRPr="00435A0E">
        <w:rPr>
          <w:i/>
          <w:iCs/>
        </w:rPr>
        <w:t>supra</w:t>
      </w:r>
      <w:r w:rsidR="003B002B" w:rsidRPr="00435A0E">
        <w:t>, 899 F.2d at p. 27</w:t>
      </w:r>
      <w:r w:rsidR="00600B6F" w:rsidRPr="00435A0E">
        <w:t xml:space="preserve">; accord, </w:t>
      </w:r>
      <w:r w:rsidR="003761D1" w:rsidRPr="00435A0E">
        <w:rPr>
          <w:i/>
          <w:iCs/>
        </w:rPr>
        <w:t>La Asociacion de Trabajadores de Lake Forest v. City of Lake Forest</w:t>
      </w:r>
      <w:r w:rsidR="003761D1" w:rsidRPr="00435A0E">
        <w:t> (9th Cir. 2010) 624 F.3d 1083, 1088;</w:t>
      </w:r>
      <w:r w:rsidR="00F948B3" w:rsidRPr="00435A0E">
        <w:t xml:space="preserve"> </w:t>
      </w:r>
      <w:r w:rsidR="004C30C3" w:rsidRPr="00435A0E">
        <w:rPr>
          <w:i/>
          <w:iCs/>
        </w:rPr>
        <w:t>Fair Housing of Marin v. Combs</w:t>
      </w:r>
      <w:r w:rsidR="004C30C3" w:rsidRPr="00435A0E">
        <w:t xml:space="preserve">, </w:t>
      </w:r>
      <w:r w:rsidR="00680A05" w:rsidRPr="00435A0E">
        <w:rPr>
          <w:i/>
          <w:iCs/>
        </w:rPr>
        <w:t>supra</w:t>
      </w:r>
      <w:r w:rsidR="00680A05" w:rsidRPr="00435A0E">
        <w:t>,</w:t>
      </w:r>
      <w:r w:rsidR="00680A05" w:rsidRPr="00435A0E">
        <w:rPr>
          <w:i/>
          <w:iCs/>
        </w:rPr>
        <w:t xml:space="preserve"> </w:t>
      </w:r>
      <w:r w:rsidR="004C30C3" w:rsidRPr="00435A0E">
        <w:t xml:space="preserve">285 F.3d </w:t>
      </w:r>
      <w:r w:rsidR="00680A05" w:rsidRPr="00435A0E">
        <w:t>at p.</w:t>
      </w:r>
      <w:r w:rsidR="004C30C3" w:rsidRPr="00435A0E">
        <w:t xml:space="preserve"> 90</w:t>
      </w:r>
      <w:r w:rsidR="00680A05" w:rsidRPr="00435A0E">
        <w:t>.)</w:t>
      </w:r>
    </w:p>
    <w:p w14:paraId="3027CC27" w14:textId="277E9346" w:rsidR="00B774D6" w:rsidRPr="00435A0E" w:rsidRDefault="004927A4" w:rsidP="00190BF7">
      <w:pPr>
        <w:tabs>
          <w:tab w:val="left" w:pos="1440"/>
        </w:tabs>
        <w:ind w:firstLine="720"/>
      </w:pPr>
      <w:r w:rsidRPr="00435A0E">
        <w:t>As</w:t>
      </w:r>
      <w:r w:rsidR="006D5AD6" w:rsidRPr="00435A0E">
        <w:t xml:space="preserve"> </w:t>
      </w:r>
      <w:r w:rsidR="00016FFA" w:rsidRPr="00435A0E">
        <w:t>CMA</w:t>
      </w:r>
      <w:r w:rsidRPr="00435A0E">
        <w:t xml:space="preserve"> argues, however,</w:t>
      </w:r>
      <w:r w:rsidR="006D5AD6" w:rsidRPr="00435A0E">
        <w:t xml:space="preserve"> </w:t>
      </w:r>
      <w:r w:rsidR="00816EC9" w:rsidRPr="00435A0E">
        <w:t xml:space="preserve">it has </w:t>
      </w:r>
      <w:r w:rsidR="001847B6" w:rsidRPr="00435A0E">
        <w:t xml:space="preserve">met </w:t>
      </w:r>
      <w:r w:rsidR="006D5AD6" w:rsidRPr="00435A0E">
        <w:t xml:space="preserve">both </w:t>
      </w:r>
      <w:r w:rsidR="00B237B7">
        <w:t>standing</w:t>
      </w:r>
      <w:r w:rsidR="00B237B7" w:rsidRPr="00435A0E">
        <w:t xml:space="preserve"> </w:t>
      </w:r>
      <w:r w:rsidR="006D5AD6" w:rsidRPr="00435A0E">
        <w:t>requirements</w:t>
      </w:r>
      <w:r w:rsidR="0062111F" w:rsidRPr="00435A0E">
        <w:t>.</w:t>
      </w:r>
      <w:r w:rsidR="006D5AD6" w:rsidRPr="00435A0E">
        <w:t xml:space="preserve"> </w:t>
      </w:r>
      <w:r w:rsidR="00A80397" w:rsidRPr="00435A0E">
        <w:t xml:space="preserve"> </w:t>
      </w:r>
      <w:r w:rsidR="003B3635" w:rsidRPr="00435A0E">
        <w:t>T</w:t>
      </w:r>
      <w:r w:rsidR="007D3AE6" w:rsidRPr="00435A0E">
        <w:t xml:space="preserve">he evidence </w:t>
      </w:r>
      <w:r w:rsidR="002A6282" w:rsidRPr="00435A0E">
        <w:t>submitted on summary judgment</w:t>
      </w:r>
      <w:r w:rsidR="001406E8" w:rsidRPr="00435A0E">
        <w:t xml:space="preserve"> sufficiently showed </w:t>
      </w:r>
      <w:r w:rsidR="00E21A33" w:rsidRPr="00435A0E">
        <w:t>(</w:t>
      </w:r>
      <w:r w:rsidR="001406E8" w:rsidRPr="00435A0E">
        <w:t xml:space="preserve">that is, it was </w:t>
      </w:r>
      <w:r w:rsidR="00772F11" w:rsidRPr="00435A0E">
        <w:t>sufficient to create a triable issue</w:t>
      </w:r>
      <w:r w:rsidR="00E21A33" w:rsidRPr="00435A0E">
        <w:t xml:space="preserve">) </w:t>
      </w:r>
      <w:r w:rsidR="007D3AE6" w:rsidRPr="00435A0E">
        <w:t xml:space="preserve">that </w:t>
      </w:r>
      <w:r w:rsidR="00016FFA" w:rsidRPr="00435A0E">
        <w:t>CMA</w:t>
      </w:r>
      <w:r w:rsidR="007D3AE6" w:rsidRPr="00435A0E">
        <w:t xml:space="preserve">’s </w:t>
      </w:r>
      <w:r w:rsidR="00E05998" w:rsidRPr="00435A0E">
        <w:t xml:space="preserve">expenditures in diverted resources were undertaken in response to </w:t>
      </w:r>
      <w:r w:rsidR="00A02F73" w:rsidRPr="00435A0E">
        <w:t xml:space="preserve">a perceived threat to </w:t>
      </w:r>
      <w:r w:rsidR="00016FFA" w:rsidRPr="00435A0E">
        <w:t>CMA</w:t>
      </w:r>
      <w:r w:rsidR="00A02F73" w:rsidRPr="00435A0E">
        <w:t xml:space="preserve">’s </w:t>
      </w:r>
      <w:r w:rsidR="00B500A9" w:rsidRPr="00435A0E">
        <w:t xml:space="preserve">ability to perform its </w:t>
      </w:r>
      <w:r w:rsidR="00AC185C" w:rsidRPr="00435A0E">
        <w:t xml:space="preserve">preexisting </w:t>
      </w:r>
      <w:r w:rsidR="00B500A9" w:rsidRPr="00435A0E">
        <w:t xml:space="preserve">mission, which </w:t>
      </w:r>
      <w:r w:rsidR="00BD3ED1" w:rsidRPr="00435A0E">
        <w:t xml:space="preserve">according to its general counsel includes “advocacy and education on issues involving health insurance companies’ interference with the sound medical judgment of physicians.”  </w:t>
      </w:r>
      <w:r w:rsidR="00B237B7">
        <w:t xml:space="preserve">CMA alleges </w:t>
      </w:r>
      <w:r w:rsidR="00A917FA">
        <w:t xml:space="preserve">that </w:t>
      </w:r>
      <w:r w:rsidR="007D649D" w:rsidRPr="00435A0E">
        <w:t xml:space="preserve">Aetna’s policy posed a perceived threat to </w:t>
      </w:r>
      <w:r w:rsidR="008E0EC0" w:rsidRPr="00435A0E">
        <w:t>this</w:t>
      </w:r>
      <w:r w:rsidR="007D649D" w:rsidRPr="00435A0E">
        <w:t xml:space="preserve"> mission, in particular to the independent medical decisionmaking by its physician members and thus to the health of patients; CMA responded by diverting </w:t>
      </w:r>
      <w:r w:rsidR="00277D8D" w:rsidRPr="00435A0E">
        <w:t xml:space="preserve">its own </w:t>
      </w:r>
      <w:r w:rsidR="007D649D" w:rsidRPr="00435A0E">
        <w:t xml:space="preserve">resources to oppose the policy.  </w:t>
      </w:r>
      <w:r w:rsidR="00AD3E3F" w:rsidRPr="00435A0E">
        <w:t>The evidence further show</w:t>
      </w:r>
      <w:r w:rsidR="004A0C5B" w:rsidRPr="00435A0E">
        <w:t>ed</w:t>
      </w:r>
      <w:r w:rsidR="00AD3E3F" w:rsidRPr="00435A0E">
        <w:t xml:space="preserve"> that </w:t>
      </w:r>
      <w:r w:rsidR="001179FE" w:rsidRPr="00435A0E">
        <w:t>some or all</w:t>
      </w:r>
      <w:r w:rsidR="003125A4" w:rsidRPr="00435A0E">
        <w:t xml:space="preserve"> of those </w:t>
      </w:r>
      <w:r w:rsidR="009126F1" w:rsidRPr="00435A0E">
        <w:t xml:space="preserve">resource diversions </w:t>
      </w:r>
      <w:r w:rsidR="003125A4" w:rsidRPr="00435A0E">
        <w:t xml:space="preserve">were independent </w:t>
      </w:r>
      <w:r w:rsidR="00AC185C" w:rsidRPr="00435A0E">
        <w:t xml:space="preserve">of any preparations </w:t>
      </w:r>
      <w:r w:rsidR="00016FFA" w:rsidRPr="00435A0E">
        <w:t>CMA</w:t>
      </w:r>
      <w:r w:rsidR="00AC185C" w:rsidRPr="00435A0E">
        <w:t xml:space="preserve"> may have made for this litigat</w:t>
      </w:r>
      <w:r w:rsidR="00BB0C6E" w:rsidRPr="00435A0E">
        <w:t>ion</w:t>
      </w:r>
      <w:r w:rsidR="009602AE" w:rsidRPr="00435A0E">
        <w:t>.</w:t>
      </w:r>
      <w:r w:rsidR="006F5F16" w:rsidRPr="00435A0E">
        <w:t xml:space="preserve">  </w:t>
      </w:r>
      <w:r w:rsidR="004138C9" w:rsidRPr="00435A0E">
        <w:t>T</w:t>
      </w:r>
      <w:r w:rsidR="009602AE" w:rsidRPr="00435A0E">
        <w:t>he expenditures</w:t>
      </w:r>
      <w:r w:rsidR="00BB0C6E" w:rsidRPr="00435A0E">
        <w:t xml:space="preserve"> included efforts to counsel </w:t>
      </w:r>
      <w:r w:rsidR="00016FFA" w:rsidRPr="00435A0E">
        <w:t>CMA</w:t>
      </w:r>
      <w:r w:rsidR="004C6D5A" w:rsidRPr="00435A0E">
        <w:t xml:space="preserve">’s members on how to deal with Aetna’s implementation of the Network Intervention Policy, </w:t>
      </w:r>
      <w:r w:rsidR="009D2B71" w:rsidRPr="00435A0E">
        <w:t xml:space="preserve">provision of public information for </w:t>
      </w:r>
      <w:r w:rsidR="008818E9" w:rsidRPr="00435A0E">
        <w:t xml:space="preserve">the use of patients, and interactions with regulatory </w:t>
      </w:r>
      <w:r w:rsidR="003234C8" w:rsidRPr="00435A0E">
        <w:t xml:space="preserve">agencies </w:t>
      </w:r>
      <w:r w:rsidR="002B0000" w:rsidRPr="00435A0E">
        <w:t>with the goal of stopping Aetna’s policy implementation</w:t>
      </w:r>
      <w:r w:rsidR="00D746D4" w:rsidRPr="00435A0E">
        <w:t>, or alleviating its effects,</w:t>
      </w:r>
      <w:r w:rsidR="002B0000" w:rsidRPr="00435A0E">
        <w:t xml:space="preserve"> </w:t>
      </w:r>
      <w:r w:rsidR="00DC5CF2" w:rsidRPr="00435A0E">
        <w:t>by means other than private litigation under the UCL.</w:t>
      </w:r>
      <w:r w:rsidR="006E2481" w:rsidRPr="00435A0E">
        <w:t xml:space="preserve"> </w:t>
      </w:r>
    </w:p>
    <w:p w14:paraId="470F63B1" w14:textId="0E5CDE89" w:rsidR="00B774D6" w:rsidRPr="00435A0E" w:rsidRDefault="00B774D6" w:rsidP="00B774D6">
      <w:pPr>
        <w:tabs>
          <w:tab w:val="left" w:pos="1440"/>
        </w:tabs>
        <w:ind w:firstLine="720"/>
      </w:pPr>
      <w:r w:rsidRPr="00435A0E">
        <w:t xml:space="preserve">This is not a case of an organization attempting to manufacture standing and insert itself into a dispute in which </w:t>
      </w:r>
      <w:r w:rsidRPr="00435A0E">
        <w:lastRenderedPageBreak/>
        <w:t>it had no natural stake.  While voluntary in one sense</w:t>
      </w:r>
      <w:r w:rsidR="00C31A58">
        <w:t> </w:t>
      </w:r>
      <w:r w:rsidRPr="00435A0E">
        <w:t>— CMA, like many other organizations, is free to set its own budgetary priorities</w:t>
      </w:r>
      <w:r w:rsidR="00C31A58">
        <w:t> </w:t>
      </w:r>
      <w:r w:rsidRPr="00435A0E">
        <w:t>— its decision to expend resources on working to counter the perceived threat in Aetna’s policy followed from that policy in a sufficiently direct and uninterrupted causal chain.</w:t>
      </w:r>
      <w:r w:rsidRPr="00435A0E">
        <w:rPr>
          <w:rStyle w:val="FootnoteReference"/>
        </w:rPr>
        <w:footnoteReference w:id="11"/>
      </w:r>
      <w:r w:rsidRPr="00435A0E">
        <w:t xml:space="preserve">  </w:t>
      </w:r>
    </w:p>
    <w:p w14:paraId="0FB4C596" w14:textId="77E19D98" w:rsidR="004A0C5B" w:rsidRPr="00435A0E" w:rsidRDefault="006E2481" w:rsidP="00190BF7">
      <w:pPr>
        <w:tabs>
          <w:tab w:val="left" w:pos="1440"/>
        </w:tabs>
        <w:ind w:firstLine="720"/>
      </w:pPr>
      <w:r w:rsidRPr="00435A0E">
        <w:t xml:space="preserve"> </w:t>
      </w:r>
      <w:r w:rsidR="0027132B" w:rsidRPr="00435A0E">
        <w:t xml:space="preserve">For the above reasons, </w:t>
      </w:r>
      <w:r w:rsidR="00057778" w:rsidRPr="00435A0E">
        <w:t>Aetna was not entitled to summary judgment on causation grounds.</w:t>
      </w:r>
    </w:p>
    <w:p w14:paraId="7596BB4C" w14:textId="651E5D3D" w:rsidR="004A0C5B" w:rsidRPr="00435A0E" w:rsidRDefault="00E5059B" w:rsidP="00190BF7">
      <w:pPr>
        <w:pStyle w:val="Heading2"/>
        <w:numPr>
          <w:ilvl w:val="0"/>
          <w:numId w:val="1"/>
        </w:numPr>
      </w:pPr>
      <w:r w:rsidRPr="00435A0E">
        <w:t xml:space="preserve"> Evasion of Proposition 64’s Purposes</w:t>
      </w:r>
    </w:p>
    <w:p w14:paraId="2FEE60A9" w14:textId="5D5FE506" w:rsidR="004A0C5B" w:rsidRPr="00435A0E" w:rsidRDefault="00B47153" w:rsidP="00190BF7">
      <w:pPr>
        <w:tabs>
          <w:tab w:val="left" w:pos="1440"/>
        </w:tabs>
        <w:ind w:firstLine="720"/>
      </w:pPr>
      <w:r w:rsidRPr="00435A0E">
        <w:t xml:space="preserve">Beyond their textual arguments focused on economic injury and </w:t>
      </w:r>
      <w:r w:rsidR="00204092" w:rsidRPr="00435A0E">
        <w:t xml:space="preserve">causation, </w:t>
      </w:r>
      <w:r w:rsidR="00F73D0E" w:rsidRPr="00435A0E">
        <w:t xml:space="preserve">Aetna and its </w:t>
      </w:r>
      <w:r w:rsidR="00C86DDE" w:rsidRPr="00435A0E">
        <w:t xml:space="preserve">allied </w:t>
      </w:r>
      <w:r w:rsidR="00F73D0E" w:rsidRPr="00435A0E">
        <w:t xml:space="preserve">amici </w:t>
      </w:r>
      <w:r w:rsidR="000A1F1B" w:rsidRPr="00435A0E">
        <w:t xml:space="preserve">curiae </w:t>
      </w:r>
      <w:r w:rsidR="00F73D0E" w:rsidRPr="00435A0E">
        <w:t xml:space="preserve">contend that </w:t>
      </w:r>
      <w:r w:rsidR="007833C5" w:rsidRPr="00435A0E">
        <w:t xml:space="preserve">recognizing </w:t>
      </w:r>
      <w:r w:rsidR="00BE5050" w:rsidRPr="00435A0E">
        <w:t xml:space="preserve">a diversion-of-resources theory of standing </w:t>
      </w:r>
      <w:r w:rsidR="00904C36" w:rsidRPr="00435A0E">
        <w:t xml:space="preserve">in this case </w:t>
      </w:r>
      <w:r w:rsidR="00BE5050" w:rsidRPr="00435A0E">
        <w:t xml:space="preserve">would </w:t>
      </w:r>
      <w:r w:rsidR="00BB73B3" w:rsidRPr="00435A0E">
        <w:t>flout</w:t>
      </w:r>
      <w:r w:rsidR="007833C5" w:rsidRPr="00435A0E">
        <w:t xml:space="preserve"> the intent </w:t>
      </w:r>
      <w:r w:rsidR="00CB0CB7" w:rsidRPr="00435A0E">
        <w:t xml:space="preserve">of the voters who passed </w:t>
      </w:r>
      <w:r w:rsidR="00B879C9" w:rsidRPr="00435A0E">
        <w:t>Proposition 64</w:t>
      </w:r>
      <w:r w:rsidR="00CB0CB7" w:rsidRPr="00435A0E">
        <w:t xml:space="preserve"> </w:t>
      </w:r>
      <w:r w:rsidR="00AB5FD3" w:rsidRPr="00435A0E">
        <w:t xml:space="preserve">in order </w:t>
      </w:r>
      <w:r w:rsidR="0053069B" w:rsidRPr="00435A0E">
        <w:t xml:space="preserve">to </w:t>
      </w:r>
      <w:r w:rsidR="00F7494C" w:rsidRPr="00435A0E">
        <w:t>restrict</w:t>
      </w:r>
      <w:r w:rsidR="0053069B" w:rsidRPr="00435A0E">
        <w:t xml:space="preserve"> UCL standing</w:t>
      </w:r>
      <w:r w:rsidR="00CF6766" w:rsidRPr="00435A0E">
        <w:t xml:space="preserve">.  </w:t>
      </w:r>
      <w:r w:rsidR="00430B90" w:rsidRPr="00435A0E">
        <w:t xml:space="preserve">To assess these claims, we look beyond the operational text </w:t>
      </w:r>
      <w:r w:rsidR="00B879C9" w:rsidRPr="00435A0E">
        <w:t>in section 17204</w:t>
      </w:r>
      <w:r w:rsidR="00C31A58">
        <w:t> </w:t>
      </w:r>
      <w:r w:rsidR="002B296A" w:rsidRPr="00435A0E">
        <w:t>—</w:t>
      </w:r>
      <w:r w:rsidR="00430B90" w:rsidRPr="00435A0E">
        <w:t xml:space="preserve"> which </w:t>
      </w:r>
      <w:r w:rsidR="0064745F" w:rsidRPr="00435A0E">
        <w:t>is consistent with the diversion</w:t>
      </w:r>
      <w:r w:rsidR="002C2CEC" w:rsidRPr="00435A0E">
        <w:noBreakHyphen/>
      </w:r>
      <w:r w:rsidR="0064745F" w:rsidRPr="00435A0E">
        <w:t>of</w:t>
      </w:r>
      <w:r w:rsidR="002C2CEC" w:rsidRPr="00435A0E">
        <w:noBreakHyphen/>
      </w:r>
      <w:r w:rsidR="0064745F" w:rsidRPr="00435A0E">
        <w:t xml:space="preserve">resources theory but does not explicitly </w:t>
      </w:r>
      <w:r w:rsidR="00497804" w:rsidRPr="00435A0E">
        <w:t>endorse it</w:t>
      </w:r>
      <w:r w:rsidR="00C31A58">
        <w:t> </w:t>
      </w:r>
      <w:r w:rsidR="002B296A" w:rsidRPr="00435A0E">
        <w:t>—</w:t>
      </w:r>
      <w:r w:rsidR="00497804" w:rsidRPr="00435A0E">
        <w:t xml:space="preserve"> and examine other indicia of voter intent.</w:t>
      </w:r>
    </w:p>
    <w:p w14:paraId="5E36C183" w14:textId="2A839949" w:rsidR="00942ECC" w:rsidRPr="00435A0E" w:rsidRDefault="00874456" w:rsidP="00190BF7">
      <w:pPr>
        <w:tabs>
          <w:tab w:val="left" w:pos="1440"/>
        </w:tabs>
        <w:ind w:firstLine="720"/>
      </w:pPr>
      <w:r w:rsidRPr="00435A0E">
        <w:lastRenderedPageBreak/>
        <w:t>In its introductory findings and decl</w:t>
      </w:r>
      <w:r w:rsidR="00A63FE9" w:rsidRPr="00435A0E">
        <w:t>arat</w:t>
      </w:r>
      <w:r w:rsidRPr="00435A0E">
        <w:t xml:space="preserve">ions, </w:t>
      </w:r>
      <w:r w:rsidR="00A63FE9" w:rsidRPr="00435A0E">
        <w:t xml:space="preserve">Proposition 64 </w:t>
      </w:r>
      <w:r w:rsidR="0020245B" w:rsidRPr="00435A0E">
        <w:t xml:space="preserve">identified </w:t>
      </w:r>
      <w:r w:rsidR="00B26561" w:rsidRPr="00435A0E">
        <w:t>certain</w:t>
      </w:r>
      <w:r w:rsidR="00A63FE9" w:rsidRPr="00435A0E">
        <w:t xml:space="preserve"> </w:t>
      </w:r>
      <w:r w:rsidR="0020245B" w:rsidRPr="00435A0E">
        <w:t xml:space="preserve">assertedly </w:t>
      </w:r>
      <w:r w:rsidR="00067F69" w:rsidRPr="00435A0E">
        <w:t xml:space="preserve">objectionable </w:t>
      </w:r>
      <w:r w:rsidR="00861A9A" w:rsidRPr="00435A0E">
        <w:t xml:space="preserve">practices </w:t>
      </w:r>
      <w:r w:rsidR="00B26561" w:rsidRPr="00435A0E">
        <w:t xml:space="preserve">in UCL litigation, including </w:t>
      </w:r>
      <w:r w:rsidR="00531792" w:rsidRPr="00435A0E">
        <w:t>the law’s “misuse</w:t>
      </w:r>
      <w:r w:rsidR="00EF0B30" w:rsidRPr="00435A0E">
        <w:t>[]</w:t>
      </w:r>
      <w:r w:rsidR="00531792" w:rsidRPr="00435A0E">
        <w:t xml:space="preserve"> by some private</w:t>
      </w:r>
      <w:r w:rsidR="00EF0B30" w:rsidRPr="00435A0E">
        <w:t xml:space="preserve"> </w:t>
      </w:r>
      <w:r w:rsidR="00531792" w:rsidRPr="00435A0E">
        <w:t>attorneys who</w:t>
      </w:r>
      <w:r w:rsidR="00EF0B30" w:rsidRPr="00435A0E">
        <w:t xml:space="preserve"> . . . </w:t>
      </w:r>
      <w:r w:rsidR="000A1F1B" w:rsidRPr="00435A0E">
        <w:t xml:space="preserve">[¶] . . . [¶] (3) </w:t>
      </w:r>
      <w:r w:rsidR="00EF0B30" w:rsidRPr="00435A0E">
        <w:t>[f]</w:t>
      </w:r>
      <w:r w:rsidR="00061E03" w:rsidRPr="00435A0E">
        <w:t xml:space="preserve">ile lawsuits for clients </w:t>
      </w:r>
      <w:r w:rsidR="00061E03" w:rsidRPr="00435A0E">
        <w:rPr>
          <w:i/>
          <w:iCs/>
        </w:rPr>
        <w:t>who have not</w:t>
      </w:r>
      <w:r w:rsidR="00061E03" w:rsidRPr="00435A0E">
        <w:t xml:space="preserve"> used the defendant’s product</w:t>
      </w:r>
      <w:r w:rsidR="00EF0B30" w:rsidRPr="00435A0E">
        <w:t xml:space="preserve"> </w:t>
      </w:r>
      <w:r w:rsidR="00061E03" w:rsidRPr="00435A0E">
        <w:t>or service, viewed the</w:t>
      </w:r>
      <w:r w:rsidR="00EF0B30" w:rsidRPr="00435A0E">
        <w:t xml:space="preserve"> d</w:t>
      </w:r>
      <w:r w:rsidR="00061E03" w:rsidRPr="00435A0E">
        <w:t>efendant’s advertising, or</w:t>
      </w:r>
      <w:r w:rsidR="00061E03" w:rsidRPr="00435A0E">
        <w:rPr>
          <w:i/>
          <w:iCs/>
        </w:rPr>
        <w:t xml:space="preserve"> had any other business</w:t>
      </w:r>
      <w:r w:rsidR="00EF0B30" w:rsidRPr="00435A0E">
        <w:rPr>
          <w:i/>
          <w:iCs/>
        </w:rPr>
        <w:t xml:space="preserve"> </w:t>
      </w:r>
      <w:r w:rsidR="00061E03" w:rsidRPr="00435A0E">
        <w:rPr>
          <w:i/>
          <w:iCs/>
        </w:rPr>
        <w:t>dealing with the defendant</w:t>
      </w:r>
      <w:r w:rsidR="00061E03" w:rsidRPr="00435A0E">
        <w:t>.</w:t>
      </w:r>
      <w:r w:rsidR="00EF0B30" w:rsidRPr="00435A0E">
        <w:t xml:space="preserve">” </w:t>
      </w:r>
      <w:r w:rsidR="00ED02AE" w:rsidRPr="00435A0E">
        <w:t xml:space="preserve"> (</w:t>
      </w:r>
      <w:r w:rsidR="002B296A" w:rsidRPr="00435A0E">
        <w:t xml:space="preserve">Voter Information Guide, </w:t>
      </w:r>
      <w:r w:rsidR="002C3C61">
        <w:t>Gen. Elec.</w:t>
      </w:r>
      <w:r w:rsidR="002223AB">
        <w:t xml:space="preserve">, </w:t>
      </w:r>
      <w:r w:rsidR="002B296A" w:rsidRPr="00435A0E">
        <w:rPr>
          <w:i/>
          <w:iCs/>
        </w:rPr>
        <w:t>supra</w:t>
      </w:r>
      <w:r w:rsidR="002B296A" w:rsidRPr="00435A0E">
        <w:t xml:space="preserve">, text of </w:t>
      </w:r>
      <w:r w:rsidR="00ED02AE" w:rsidRPr="00435A0E">
        <w:t>Prop. 64, §</w:t>
      </w:r>
      <w:r w:rsidR="007D425E" w:rsidRPr="00435A0E">
        <w:t> </w:t>
      </w:r>
      <w:r w:rsidR="00ED02AE" w:rsidRPr="00435A0E">
        <w:t>1</w:t>
      </w:r>
      <w:r w:rsidR="000A1F1B" w:rsidRPr="00435A0E">
        <w:t xml:space="preserve">, subd. </w:t>
      </w:r>
      <w:r w:rsidR="00ED02AE" w:rsidRPr="00435A0E">
        <w:t>(b)(3)</w:t>
      </w:r>
      <w:r w:rsidR="000A1F1B" w:rsidRPr="00435A0E">
        <w:t>, p. 109,</w:t>
      </w:r>
      <w:r w:rsidR="00F7494C" w:rsidRPr="00435A0E">
        <w:t xml:space="preserve"> italics added</w:t>
      </w:r>
      <w:r w:rsidR="007D425E" w:rsidRPr="00435A0E">
        <w:t>.)</w:t>
      </w:r>
      <w:r w:rsidR="00EF0B30" w:rsidRPr="00435A0E">
        <w:t xml:space="preserve"> </w:t>
      </w:r>
      <w:r w:rsidR="002E0CFA" w:rsidRPr="00435A0E">
        <w:t xml:space="preserve"> </w:t>
      </w:r>
      <w:r w:rsidR="00BB1E97" w:rsidRPr="00435A0E">
        <w:t>W</w:t>
      </w:r>
      <w:r w:rsidR="0082792C" w:rsidRPr="00435A0E">
        <w:t xml:space="preserve">e alluded </w:t>
      </w:r>
      <w:r w:rsidR="00BB1E97" w:rsidRPr="00435A0E">
        <w:t xml:space="preserve">in </w:t>
      </w:r>
      <w:r w:rsidR="00BB1E97" w:rsidRPr="00435A0E">
        <w:rPr>
          <w:i/>
          <w:iCs/>
        </w:rPr>
        <w:t>Kwikset</w:t>
      </w:r>
      <w:r w:rsidR="00BB1E97" w:rsidRPr="00435A0E">
        <w:t xml:space="preserve"> </w:t>
      </w:r>
      <w:r w:rsidR="0082792C" w:rsidRPr="00435A0E">
        <w:t>to th</w:t>
      </w:r>
      <w:r w:rsidR="006646A7" w:rsidRPr="00435A0E">
        <w:t>is</w:t>
      </w:r>
      <w:r w:rsidR="0082792C" w:rsidRPr="00435A0E">
        <w:t xml:space="preserve"> italicized language</w:t>
      </w:r>
      <w:r w:rsidR="00BB1E97" w:rsidRPr="00435A0E">
        <w:t>, describi</w:t>
      </w:r>
      <w:r w:rsidR="000B2A09" w:rsidRPr="00435A0E">
        <w:t xml:space="preserve">ng Proposition 64’s </w:t>
      </w:r>
      <w:r w:rsidR="008A2EF0" w:rsidRPr="00435A0E">
        <w:t>“</w:t>
      </w:r>
      <w:r w:rsidR="000B2A09" w:rsidRPr="00435A0E">
        <w:t>apparent purpose</w:t>
      </w:r>
      <w:r w:rsidR="003E013E" w:rsidRPr="00435A0E">
        <w:t>s</w:t>
      </w:r>
      <w:r w:rsidR="008A2EF0" w:rsidRPr="00435A0E">
        <w:t>”</w:t>
      </w:r>
      <w:r w:rsidR="000B2A09" w:rsidRPr="00435A0E">
        <w:t xml:space="preserve"> as</w:t>
      </w:r>
      <w:r w:rsidR="00C108C9" w:rsidRPr="00435A0E">
        <w:t xml:space="preserve"> eliminating standing</w:t>
      </w:r>
      <w:r w:rsidR="000B2A09" w:rsidRPr="00435A0E">
        <w:t xml:space="preserve"> “</w:t>
      </w:r>
      <w:r w:rsidR="000B2A09" w:rsidRPr="00435A0E">
        <w:rPr>
          <w:i/>
          <w:iCs/>
        </w:rPr>
        <w:t>for those who have not engaged in any business dealings with would-be defendants</w:t>
      </w:r>
      <w:r w:rsidR="000B2A09" w:rsidRPr="00435A0E">
        <w:t xml:space="preserve"> and thereby strip such unaffected parties of the ability to file </w:t>
      </w:r>
      <w:r w:rsidR="003E013E" w:rsidRPr="00435A0E">
        <w:t>‘</w:t>
      </w:r>
      <w:r w:rsidR="000B2A09" w:rsidRPr="00435A0E">
        <w:t>shakedown lawsuits,</w:t>
      </w:r>
      <w:r w:rsidR="003E013E" w:rsidRPr="00435A0E">
        <w:t>’</w:t>
      </w:r>
      <w:r w:rsidR="000B2A09" w:rsidRPr="00435A0E">
        <w:t xml:space="preserve"> while preserving for actual victims of deception and other acts of unfair competition the ability to sue and enjoin such practices.</w:t>
      </w:r>
      <w:r w:rsidR="003E013E" w:rsidRPr="00435A0E">
        <w:t>”  (</w:t>
      </w:r>
      <w:r w:rsidR="000B2A09" w:rsidRPr="00435A0E">
        <w:rPr>
          <w:i/>
          <w:iCs/>
        </w:rPr>
        <w:t>Kwikset</w:t>
      </w:r>
      <w:r w:rsidR="004A5EDA" w:rsidRPr="00435A0E">
        <w:t>,</w:t>
      </w:r>
      <w:r w:rsidR="000B2A09" w:rsidRPr="00435A0E">
        <w:rPr>
          <w:i/>
          <w:iCs/>
        </w:rPr>
        <w:t xml:space="preserve"> </w:t>
      </w:r>
      <w:r w:rsidR="004A5EDA" w:rsidRPr="00435A0E">
        <w:rPr>
          <w:i/>
          <w:iCs/>
        </w:rPr>
        <w:t>supra</w:t>
      </w:r>
      <w:r w:rsidR="004A5EDA" w:rsidRPr="00435A0E">
        <w:t xml:space="preserve">, </w:t>
      </w:r>
      <w:r w:rsidR="000B2A09" w:rsidRPr="00435A0E">
        <w:t xml:space="preserve">51 Cal.4th </w:t>
      </w:r>
      <w:r w:rsidR="004A5EDA" w:rsidRPr="00435A0E">
        <w:t>at p. 317</w:t>
      </w:r>
      <w:r w:rsidR="008767E1" w:rsidRPr="00435A0E">
        <w:t>,</w:t>
      </w:r>
      <w:r w:rsidR="00942ECC" w:rsidRPr="00435A0E">
        <w:t xml:space="preserve"> italics added</w:t>
      </w:r>
      <w:r w:rsidR="008767E1" w:rsidRPr="00435A0E">
        <w:t xml:space="preserve">; see also </w:t>
      </w:r>
      <w:r w:rsidR="008767E1" w:rsidRPr="00435A0E">
        <w:rPr>
          <w:i/>
          <w:iCs/>
        </w:rPr>
        <w:t>id.</w:t>
      </w:r>
      <w:r w:rsidR="008767E1" w:rsidRPr="00435A0E">
        <w:t xml:space="preserve"> at p. 321</w:t>
      </w:r>
      <w:r w:rsidR="004A5EDA" w:rsidRPr="00435A0E">
        <w:t xml:space="preserve">.) </w:t>
      </w:r>
      <w:r w:rsidR="000A073A" w:rsidRPr="00435A0E">
        <w:t xml:space="preserve"> </w:t>
      </w:r>
      <w:r w:rsidR="00942ECC" w:rsidRPr="00435A0E">
        <w:t xml:space="preserve">Observing that </w:t>
      </w:r>
      <w:r w:rsidR="00016FFA" w:rsidRPr="00435A0E">
        <w:t>CMA</w:t>
      </w:r>
      <w:r w:rsidR="009347D6" w:rsidRPr="00435A0E">
        <w:t xml:space="preserve"> neither competes with Aetna nor was itself </w:t>
      </w:r>
      <w:r w:rsidR="0048312C" w:rsidRPr="00435A0E">
        <w:t xml:space="preserve">subject to the Network Intervention Policy, </w:t>
      </w:r>
      <w:r w:rsidR="006D1512" w:rsidRPr="00435A0E">
        <w:t>Aet</w:t>
      </w:r>
      <w:r w:rsidR="007F3EB9" w:rsidRPr="00435A0E">
        <w:t xml:space="preserve">na argues </w:t>
      </w:r>
      <w:r w:rsidR="00016FFA" w:rsidRPr="00435A0E">
        <w:t>CMA</w:t>
      </w:r>
      <w:r w:rsidR="007F3EB9" w:rsidRPr="00435A0E">
        <w:t xml:space="preserve"> had no business </w:t>
      </w:r>
      <w:r w:rsidR="00E61353" w:rsidRPr="00435A0E">
        <w:t>dealings</w:t>
      </w:r>
      <w:r w:rsidR="007F3EB9" w:rsidRPr="00435A0E">
        <w:t xml:space="preserve"> with it</w:t>
      </w:r>
      <w:r w:rsidR="00E61353" w:rsidRPr="00435A0E">
        <w:t xml:space="preserve"> and, therefore, necessarily lacks standing</w:t>
      </w:r>
      <w:r w:rsidR="006D1708" w:rsidRPr="00435A0E">
        <w:t xml:space="preserve"> to sue</w:t>
      </w:r>
      <w:r w:rsidR="009B5829" w:rsidRPr="00435A0E">
        <w:t xml:space="preserve"> under our decision in </w:t>
      </w:r>
      <w:r w:rsidR="009B5829" w:rsidRPr="00435A0E">
        <w:rPr>
          <w:i/>
          <w:iCs/>
        </w:rPr>
        <w:t>Kwikset</w:t>
      </w:r>
      <w:r w:rsidR="00E61353" w:rsidRPr="00435A0E">
        <w:t>.</w:t>
      </w:r>
    </w:p>
    <w:p w14:paraId="64FA0EB6" w14:textId="220DF844" w:rsidR="00AD1AE5" w:rsidRPr="00435A0E" w:rsidRDefault="00B74D60" w:rsidP="00190BF7">
      <w:pPr>
        <w:tabs>
          <w:tab w:val="left" w:pos="1440"/>
        </w:tabs>
        <w:ind w:firstLine="720"/>
      </w:pPr>
      <w:r w:rsidRPr="00435A0E">
        <w:t xml:space="preserve">Aetna’s argument </w:t>
      </w:r>
      <w:r w:rsidR="001F3C63" w:rsidRPr="00435A0E">
        <w:t xml:space="preserve">reads too much into </w:t>
      </w:r>
      <w:r w:rsidR="004512E2" w:rsidRPr="00435A0E">
        <w:rPr>
          <w:i/>
          <w:iCs/>
        </w:rPr>
        <w:t>Kwikset</w:t>
      </w:r>
      <w:r w:rsidR="00455C7C" w:rsidRPr="00435A0E">
        <w:t xml:space="preserve">’s </w:t>
      </w:r>
      <w:r w:rsidR="006A70D0" w:rsidRPr="00435A0E">
        <w:t>allusion</w:t>
      </w:r>
      <w:r w:rsidR="00111BC4" w:rsidRPr="00435A0E">
        <w:t xml:space="preserve"> to </w:t>
      </w:r>
      <w:r w:rsidR="006A70D0" w:rsidRPr="00435A0E">
        <w:t>Proposition 64’s purposes</w:t>
      </w:r>
      <w:r w:rsidR="008F5022" w:rsidRPr="00435A0E">
        <w:t xml:space="preserve">. </w:t>
      </w:r>
      <w:r w:rsidR="00987BA7" w:rsidRPr="00435A0E">
        <w:t xml:space="preserve"> In </w:t>
      </w:r>
      <w:r w:rsidR="00987BA7" w:rsidRPr="00435A0E">
        <w:rPr>
          <w:i/>
          <w:iCs/>
        </w:rPr>
        <w:t>Kwikset</w:t>
      </w:r>
      <w:r w:rsidR="007167C6" w:rsidRPr="00435A0E">
        <w:t>, there was no dispute that the plaintiff</w:t>
      </w:r>
      <w:r w:rsidR="00E2586B" w:rsidRPr="00435A0E">
        <w:t>s</w:t>
      </w:r>
      <w:r w:rsidR="007167C6" w:rsidRPr="00435A0E">
        <w:t xml:space="preserve"> had dealt with the defendant</w:t>
      </w:r>
      <w:r w:rsidR="00800346" w:rsidRPr="00435A0E">
        <w:t xml:space="preserve">, whose </w:t>
      </w:r>
      <w:r w:rsidR="00132EA0" w:rsidRPr="00435A0E">
        <w:t xml:space="preserve">allegedly </w:t>
      </w:r>
      <w:r w:rsidR="00B041BC" w:rsidRPr="00435A0E">
        <w:t xml:space="preserve">false labeling had led </w:t>
      </w:r>
      <w:r w:rsidR="00800346" w:rsidRPr="00435A0E">
        <w:t>the plaintiff</w:t>
      </w:r>
      <w:r w:rsidR="00B041BC" w:rsidRPr="00435A0E">
        <w:t>s to purchase the defendant’s product.</w:t>
      </w:r>
      <w:r w:rsidR="006F204F" w:rsidRPr="00435A0E">
        <w:t xml:space="preserve">  (</w:t>
      </w:r>
      <w:r w:rsidR="006F204F" w:rsidRPr="00435A0E">
        <w:rPr>
          <w:i/>
          <w:iCs/>
        </w:rPr>
        <w:t>Kwikset</w:t>
      </w:r>
      <w:r w:rsidR="006F204F" w:rsidRPr="00435A0E">
        <w:t xml:space="preserve">, </w:t>
      </w:r>
      <w:r w:rsidR="006F204F" w:rsidRPr="00435A0E">
        <w:rPr>
          <w:i/>
          <w:iCs/>
        </w:rPr>
        <w:t>supra</w:t>
      </w:r>
      <w:r w:rsidR="006F204F" w:rsidRPr="00435A0E">
        <w:t>, 51 Cal.4th at p. 319.)</w:t>
      </w:r>
      <w:r w:rsidR="008F5022" w:rsidRPr="00435A0E">
        <w:t xml:space="preserve"> </w:t>
      </w:r>
      <w:r w:rsidR="00602A01" w:rsidRPr="00435A0E">
        <w:t xml:space="preserve"> </w:t>
      </w:r>
      <w:r w:rsidR="00CD6F25" w:rsidRPr="00435A0E">
        <w:t>Nowhere in</w:t>
      </w:r>
      <w:r w:rsidR="008F5022" w:rsidRPr="00435A0E">
        <w:t xml:space="preserve"> </w:t>
      </w:r>
      <w:r w:rsidR="005B661A" w:rsidRPr="00435A0E">
        <w:rPr>
          <w:i/>
          <w:iCs/>
        </w:rPr>
        <w:t>Kwikset</w:t>
      </w:r>
      <w:r w:rsidR="000F3757" w:rsidRPr="00435A0E">
        <w:t xml:space="preserve"> </w:t>
      </w:r>
      <w:r w:rsidR="00CD6F25" w:rsidRPr="00435A0E">
        <w:t xml:space="preserve">did we suggest that </w:t>
      </w:r>
      <w:r w:rsidR="00AD0B33" w:rsidRPr="00435A0E">
        <w:t xml:space="preserve">section 1 of </w:t>
      </w:r>
      <w:r w:rsidR="007C6727" w:rsidRPr="00435A0E">
        <w:t>Proposition 64</w:t>
      </w:r>
      <w:r w:rsidR="00AD0B33" w:rsidRPr="00435A0E">
        <w:t xml:space="preserve">, </w:t>
      </w:r>
      <w:r w:rsidR="00525B89" w:rsidRPr="00435A0E">
        <w:t xml:space="preserve">which set out the </w:t>
      </w:r>
      <w:r w:rsidR="00161C34" w:rsidRPr="00435A0E">
        <w:t xml:space="preserve">initiative </w:t>
      </w:r>
      <w:r w:rsidR="00525B89" w:rsidRPr="00435A0E">
        <w:t xml:space="preserve">measure’s findings and statement of purpose, </w:t>
      </w:r>
      <w:r w:rsidR="000D4AD0" w:rsidRPr="00435A0E">
        <w:t>h</w:t>
      </w:r>
      <w:r w:rsidR="00CE3F84" w:rsidRPr="00435A0E">
        <w:t>olds</w:t>
      </w:r>
      <w:r w:rsidR="000D4AD0" w:rsidRPr="00435A0E">
        <w:t xml:space="preserve"> </w:t>
      </w:r>
      <w:r w:rsidR="0079069F" w:rsidRPr="00435A0E">
        <w:t xml:space="preserve">legal </w:t>
      </w:r>
      <w:r w:rsidR="000D4AD0" w:rsidRPr="00435A0E">
        <w:t>force</w:t>
      </w:r>
      <w:r w:rsidR="0079069F" w:rsidRPr="00435A0E">
        <w:t xml:space="preserve"> independent of </w:t>
      </w:r>
      <w:r w:rsidR="00C054B3" w:rsidRPr="00435A0E">
        <w:t xml:space="preserve">the actual statutory language added by the measure.  </w:t>
      </w:r>
      <w:r w:rsidR="000A0A6D" w:rsidRPr="00435A0E">
        <w:t>With regard to</w:t>
      </w:r>
      <w:r w:rsidR="00C054B3" w:rsidRPr="00435A0E">
        <w:t xml:space="preserve"> standing, that operational language is contained in </w:t>
      </w:r>
      <w:r w:rsidR="008A2B8A" w:rsidRPr="00435A0E">
        <w:t xml:space="preserve">section 17204, which does </w:t>
      </w:r>
      <w:r w:rsidR="008A2B8A" w:rsidRPr="00435A0E">
        <w:lastRenderedPageBreak/>
        <w:t xml:space="preserve">not require a plaintiff to have </w:t>
      </w:r>
      <w:r w:rsidR="003E2E58" w:rsidRPr="00435A0E">
        <w:t>had business dealings with the defendant but only to have</w:t>
      </w:r>
      <w:r w:rsidR="0000576E" w:rsidRPr="00435A0E">
        <w:t xml:space="preserve"> “suffered injury in fact” and “lost money or property as a result of the unfair competition</w:t>
      </w:r>
      <w:r w:rsidR="00C43B22" w:rsidRPr="00435A0E">
        <w:t>.</w:t>
      </w:r>
      <w:r w:rsidR="0000576E" w:rsidRPr="00435A0E">
        <w:t>”</w:t>
      </w:r>
      <w:r w:rsidR="00A4058F" w:rsidRPr="00435A0E">
        <w:t xml:space="preserve"> </w:t>
      </w:r>
      <w:r w:rsidR="00C43B22" w:rsidRPr="00435A0E">
        <w:t xml:space="preserve"> </w:t>
      </w:r>
      <w:r w:rsidR="00517CC9" w:rsidRPr="00435A0E">
        <w:rPr>
          <w:i/>
          <w:iCs/>
        </w:rPr>
        <w:t>Kwikset</w:t>
      </w:r>
      <w:r w:rsidR="00517CC9" w:rsidRPr="00435A0E">
        <w:t>’s holdings were</w:t>
      </w:r>
      <w:r w:rsidR="005D2358" w:rsidRPr="00435A0E">
        <w:t xml:space="preserve"> reached </w:t>
      </w:r>
      <w:r w:rsidR="00C43B22" w:rsidRPr="00435A0E">
        <w:t>through</w:t>
      </w:r>
      <w:r w:rsidR="005D2358" w:rsidRPr="00435A0E">
        <w:t xml:space="preserve"> analysis of that operative language, not</w:t>
      </w:r>
      <w:r w:rsidR="00AD1AE5" w:rsidRPr="00435A0E">
        <w:t xml:space="preserve"> by reliance on</w:t>
      </w:r>
      <w:r w:rsidR="005D2358" w:rsidRPr="00435A0E">
        <w:t xml:space="preserve"> the </w:t>
      </w:r>
      <w:r w:rsidR="00FC762D" w:rsidRPr="00435A0E">
        <w:t xml:space="preserve">statement of purpose in section 1 of Proposition 64.  (See </w:t>
      </w:r>
      <w:r w:rsidR="00FC762D" w:rsidRPr="00435A0E">
        <w:rPr>
          <w:i/>
          <w:iCs/>
        </w:rPr>
        <w:t>Kwikset</w:t>
      </w:r>
      <w:r w:rsidR="00FC762D" w:rsidRPr="00435A0E">
        <w:t xml:space="preserve">, </w:t>
      </w:r>
      <w:r w:rsidR="00C43B22" w:rsidRPr="00435A0E">
        <w:rPr>
          <w:i/>
          <w:iCs/>
        </w:rPr>
        <w:t>supra</w:t>
      </w:r>
      <w:r w:rsidR="00C43B22" w:rsidRPr="00435A0E">
        <w:t xml:space="preserve">, </w:t>
      </w:r>
      <w:r w:rsidR="00A537D1" w:rsidRPr="00435A0E">
        <w:t>51 Cal.4th at pp. 321</w:t>
      </w:r>
      <w:r w:rsidR="00D47F2C" w:rsidRPr="00435A0E">
        <w:t>–</w:t>
      </w:r>
      <w:r w:rsidR="00A537D1" w:rsidRPr="00435A0E">
        <w:t xml:space="preserve">327.) </w:t>
      </w:r>
      <w:r w:rsidR="003E2E58" w:rsidRPr="00435A0E">
        <w:t xml:space="preserve"> </w:t>
      </w:r>
    </w:p>
    <w:p w14:paraId="5E5FA064" w14:textId="429EACC6" w:rsidR="00855E04" w:rsidRPr="00435A0E" w:rsidRDefault="00EA3DB1" w:rsidP="00190BF7">
      <w:pPr>
        <w:tabs>
          <w:tab w:val="left" w:pos="1440"/>
        </w:tabs>
        <w:ind w:firstLine="720"/>
      </w:pPr>
      <w:r w:rsidRPr="00435A0E">
        <w:t xml:space="preserve">Section 1 of Proposition 64 explained </w:t>
      </w:r>
      <w:r w:rsidR="003A1577" w:rsidRPr="00435A0E">
        <w:t xml:space="preserve">to voters </w:t>
      </w:r>
      <w:r w:rsidRPr="00435A0E">
        <w:t xml:space="preserve">why limits on standing to sue were viewed as necessary but did not itself add any such limits to the law.  The section’s </w:t>
      </w:r>
      <w:r w:rsidR="00536EFA" w:rsidRPr="00435A0E">
        <w:t xml:space="preserve">reference </w:t>
      </w:r>
      <w:r w:rsidR="004D6430" w:rsidRPr="00435A0E">
        <w:t xml:space="preserve">to plaintiffs who have had no business dealings with </w:t>
      </w:r>
      <w:r w:rsidR="00BF6FB3" w:rsidRPr="00435A0E">
        <w:t>the defendant</w:t>
      </w:r>
      <w:r w:rsidRPr="00435A0E">
        <w:t xml:space="preserve"> form</w:t>
      </w:r>
      <w:r w:rsidR="00993CD8" w:rsidRPr="00435A0E">
        <w:t>ed</w:t>
      </w:r>
      <w:r w:rsidRPr="00435A0E">
        <w:t xml:space="preserve"> part of that explanation</w:t>
      </w:r>
      <w:r w:rsidR="00CD1697" w:rsidRPr="00435A0E">
        <w:t xml:space="preserve">; </w:t>
      </w:r>
      <w:r w:rsidR="00993CD8" w:rsidRPr="00435A0E">
        <w:t xml:space="preserve">it did not </w:t>
      </w:r>
      <w:r w:rsidR="005B5237" w:rsidRPr="00435A0E">
        <w:t xml:space="preserve">add or amend any statutory provisions of the UCL.  </w:t>
      </w:r>
      <w:r w:rsidR="00825F63" w:rsidRPr="00435A0E">
        <w:t xml:space="preserve">(See </w:t>
      </w:r>
      <w:r w:rsidR="00825F63" w:rsidRPr="00435A0E">
        <w:rPr>
          <w:i/>
          <w:iCs/>
        </w:rPr>
        <w:t>Allergan, Inc. v. Athena Cosmetics, Inc.</w:t>
      </w:r>
      <w:r w:rsidR="00BB70DC">
        <w:rPr>
          <w:i/>
          <w:iCs/>
        </w:rPr>
        <w:t xml:space="preserve"> </w:t>
      </w:r>
      <w:r w:rsidR="00825F63" w:rsidRPr="00435A0E">
        <w:t>(Fed.Cir. 2011) 640 F.3d 1377, 1383 [“Proposition 64 did not add a ‘business dealings requirement’ to standing under section 17204”</w:t>
      </w:r>
      <w:r w:rsidR="009C34DD" w:rsidRPr="00435A0E">
        <w:t>]</w:t>
      </w:r>
      <w:r w:rsidR="00825F63" w:rsidRPr="00435A0E">
        <w:t>.)</w:t>
      </w:r>
      <w:r w:rsidR="00C94CAD" w:rsidRPr="00435A0E">
        <w:t xml:space="preserve">  </w:t>
      </w:r>
      <w:r w:rsidR="00DC1967" w:rsidRPr="00435A0E">
        <w:t xml:space="preserve">Understood </w:t>
      </w:r>
      <w:r w:rsidR="007B549F" w:rsidRPr="00435A0E">
        <w:t xml:space="preserve">as explanatory </w:t>
      </w:r>
      <w:r w:rsidR="00EB347E" w:rsidRPr="00435A0E">
        <w:t>rather than operational</w:t>
      </w:r>
      <w:r w:rsidR="00BD7DAD" w:rsidRPr="00435A0E">
        <w:t>,</w:t>
      </w:r>
      <w:r w:rsidR="00EB347E" w:rsidRPr="00435A0E">
        <w:t xml:space="preserve"> the reference to </w:t>
      </w:r>
      <w:r w:rsidR="005679B7" w:rsidRPr="00435A0E">
        <w:t xml:space="preserve">lack of business dealings does not indicate an intent to bar suit by plaintiffs like </w:t>
      </w:r>
      <w:r w:rsidR="00016FFA" w:rsidRPr="00435A0E">
        <w:t>CMA</w:t>
      </w:r>
      <w:r w:rsidR="00946D04" w:rsidRPr="00435A0E">
        <w:t xml:space="preserve"> who have suffered economic injury as a result of </w:t>
      </w:r>
      <w:r w:rsidR="0085233C" w:rsidRPr="00435A0E">
        <w:t>an</w:t>
      </w:r>
      <w:r w:rsidR="00946D04" w:rsidRPr="00435A0E">
        <w:t xml:space="preserve"> allegedly </w:t>
      </w:r>
      <w:r w:rsidR="005868FB" w:rsidRPr="00435A0E">
        <w:t>unlawful or unfair business practice</w:t>
      </w:r>
      <w:r w:rsidR="005679B7" w:rsidRPr="00435A0E">
        <w:t xml:space="preserve">.  </w:t>
      </w:r>
    </w:p>
    <w:p w14:paraId="08C24E1F" w14:textId="5EC7BBE9" w:rsidR="00CD6F25" w:rsidRPr="00435A0E" w:rsidRDefault="00FD77BA" w:rsidP="00190BF7">
      <w:pPr>
        <w:tabs>
          <w:tab w:val="left" w:pos="1440"/>
        </w:tabs>
        <w:ind w:firstLine="720"/>
      </w:pPr>
      <w:r w:rsidRPr="00435A0E">
        <w:t xml:space="preserve">Though it was neither a competitor of Aetna nor a consumer of that </w:t>
      </w:r>
      <w:r w:rsidR="00B37F8B" w:rsidRPr="00435A0E">
        <w:t xml:space="preserve">company’s services, </w:t>
      </w:r>
      <w:r w:rsidR="00016FFA" w:rsidRPr="00435A0E">
        <w:t>CMA</w:t>
      </w:r>
      <w:r w:rsidR="00B37F8B" w:rsidRPr="00435A0E">
        <w:t xml:space="preserve"> was affected in its mission </w:t>
      </w:r>
      <w:r w:rsidR="00012C6B" w:rsidRPr="00435A0E">
        <w:t>by Aetna’s policy</w:t>
      </w:r>
      <w:r w:rsidR="007A7304" w:rsidRPr="00435A0E">
        <w:t xml:space="preserve">.  </w:t>
      </w:r>
      <w:r w:rsidR="00016FFA" w:rsidRPr="00435A0E">
        <w:t>CMA</w:t>
      </w:r>
      <w:r w:rsidR="00F87660" w:rsidRPr="00435A0E">
        <w:t xml:space="preserve"> responded </w:t>
      </w:r>
      <w:r w:rsidR="00D317A0" w:rsidRPr="00435A0E">
        <w:t xml:space="preserve">by devoting staff time and other resources to </w:t>
      </w:r>
      <w:r w:rsidR="004B5751" w:rsidRPr="00435A0E">
        <w:t xml:space="preserve">opposing </w:t>
      </w:r>
      <w:r w:rsidR="00012C6B" w:rsidRPr="00435A0E">
        <w:t>and helping its members navigate that policy</w:t>
      </w:r>
      <w:r w:rsidR="001500E5" w:rsidRPr="00435A0E">
        <w:t>’s implementation</w:t>
      </w:r>
      <w:r w:rsidR="00437AA6" w:rsidRPr="00435A0E">
        <w:t>, a</w:t>
      </w:r>
      <w:r w:rsidR="002D3ED5" w:rsidRPr="00435A0E">
        <w:t xml:space="preserve"> </w:t>
      </w:r>
      <w:r w:rsidR="004201D4" w:rsidRPr="00435A0E">
        <w:t xml:space="preserve">diversion of resources </w:t>
      </w:r>
      <w:r w:rsidR="002D3ED5" w:rsidRPr="00435A0E">
        <w:t xml:space="preserve">that </w:t>
      </w:r>
      <w:r w:rsidR="004201D4" w:rsidRPr="00435A0E">
        <w:t>constituted an economic injury</w:t>
      </w:r>
      <w:r w:rsidR="002D3ED5" w:rsidRPr="00435A0E">
        <w:t>.</w:t>
      </w:r>
      <w:r w:rsidR="005057B6" w:rsidRPr="00435A0E">
        <w:t xml:space="preserve"> </w:t>
      </w:r>
      <w:r w:rsidR="00D44FED" w:rsidRPr="00435A0E">
        <w:t xml:space="preserve"> </w:t>
      </w:r>
      <w:r w:rsidR="00D1791F" w:rsidRPr="00435A0E">
        <w:rPr>
          <w:szCs w:val="26"/>
        </w:rPr>
        <w:t xml:space="preserve">CMA is </w:t>
      </w:r>
      <w:r w:rsidR="00D44FED" w:rsidRPr="00435A0E">
        <w:rPr>
          <w:szCs w:val="26"/>
        </w:rPr>
        <w:t>far from</w:t>
      </w:r>
      <w:r w:rsidR="00D1791F" w:rsidRPr="00435A0E">
        <w:rPr>
          <w:szCs w:val="26"/>
        </w:rPr>
        <w:t xml:space="preserve"> the type of disinterested plaintiff </w:t>
      </w:r>
      <w:r w:rsidR="001D3829" w:rsidRPr="00435A0E">
        <w:t xml:space="preserve">Proposition 64 </w:t>
      </w:r>
      <w:r w:rsidR="00D44FED" w:rsidRPr="00435A0E">
        <w:t>sought to bar</w:t>
      </w:r>
      <w:r w:rsidR="00D44FED" w:rsidRPr="00435A0E">
        <w:rPr>
          <w:szCs w:val="26"/>
        </w:rPr>
        <w:t xml:space="preserve"> </w:t>
      </w:r>
      <w:r w:rsidR="0024209C" w:rsidRPr="00435A0E">
        <w:rPr>
          <w:szCs w:val="26"/>
        </w:rPr>
        <w:t xml:space="preserve">from </w:t>
      </w:r>
      <w:r w:rsidR="00264FEE" w:rsidRPr="00435A0E">
        <w:rPr>
          <w:szCs w:val="26"/>
        </w:rPr>
        <w:t>suing under the UCL, and in seeking an injunc</w:t>
      </w:r>
      <w:r w:rsidR="00FC1826" w:rsidRPr="00435A0E">
        <w:rPr>
          <w:szCs w:val="26"/>
        </w:rPr>
        <w:t xml:space="preserve">tion against practices that caused it to divert </w:t>
      </w:r>
      <w:r w:rsidR="001D3829" w:rsidRPr="00435A0E">
        <w:rPr>
          <w:szCs w:val="26"/>
        </w:rPr>
        <w:t xml:space="preserve">its own </w:t>
      </w:r>
      <w:r w:rsidR="00FC1826" w:rsidRPr="00435A0E">
        <w:rPr>
          <w:szCs w:val="26"/>
        </w:rPr>
        <w:t xml:space="preserve">resources </w:t>
      </w:r>
      <w:r w:rsidR="009400CF" w:rsidRPr="00435A0E">
        <w:rPr>
          <w:szCs w:val="26"/>
        </w:rPr>
        <w:t xml:space="preserve">CMA </w:t>
      </w:r>
      <w:r w:rsidR="003611D5" w:rsidRPr="00435A0E">
        <w:rPr>
          <w:szCs w:val="26"/>
        </w:rPr>
        <w:t xml:space="preserve">has not brought </w:t>
      </w:r>
      <w:r w:rsidR="003611D5" w:rsidRPr="00435A0E">
        <w:rPr>
          <w:szCs w:val="26"/>
        </w:rPr>
        <w:lastRenderedPageBreak/>
        <w:t xml:space="preserve">what the voters characterized </w:t>
      </w:r>
      <w:r w:rsidR="005A13C2" w:rsidRPr="00435A0E">
        <w:rPr>
          <w:szCs w:val="26"/>
        </w:rPr>
        <w:t xml:space="preserve">as </w:t>
      </w:r>
      <w:r w:rsidR="00D1791F" w:rsidRPr="00435A0E">
        <w:rPr>
          <w:szCs w:val="26"/>
        </w:rPr>
        <w:t>a  “ ‘shakedown lawsuit[]</w:t>
      </w:r>
      <w:r w:rsidR="0024209C" w:rsidRPr="00435A0E">
        <w:rPr>
          <w:szCs w:val="26"/>
        </w:rPr>
        <w:t>.</w:t>
      </w:r>
      <w:r w:rsidR="00D1791F" w:rsidRPr="00435A0E">
        <w:rPr>
          <w:szCs w:val="26"/>
        </w:rPr>
        <w:t>’ ” (</w:t>
      </w:r>
      <w:r w:rsidR="00D1791F" w:rsidRPr="00435A0E">
        <w:rPr>
          <w:i/>
          <w:iCs/>
        </w:rPr>
        <w:t>Kwikset</w:t>
      </w:r>
      <w:r w:rsidR="00D1791F" w:rsidRPr="00435A0E">
        <w:t>,</w:t>
      </w:r>
      <w:r w:rsidR="00D1791F" w:rsidRPr="00435A0E">
        <w:rPr>
          <w:i/>
          <w:iCs/>
        </w:rPr>
        <w:t xml:space="preserve"> supra</w:t>
      </w:r>
      <w:r w:rsidR="00D1791F" w:rsidRPr="00435A0E">
        <w:t>, 51 Cal.4th at p. 317</w:t>
      </w:r>
      <w:r w:rsidR="001F3C63" w:rsidRPr="00435A0E">
        <w:t>.)</w:t>
      </w:r>
      <w:r w:rsidR="005057B6" w:rsidRPr="00435A0E">
        <w:t xml:space="preserve"> </w:t>
      </w:r>
      <w:r w:rsidR="00BF0A2C" w:rsidRPr="00435A0E">
        <w:t> </w:t>
      </w:r>
      <w:r w:rsidR="0050184F" w:rsidRPr="00435A0E">
        <w:t xml:space="preserve"> </w:t>
      </w:r>
    </w:p>
    <w:p w14:paraId="0B73F89C" w14:textId="781DE0C7" w:rsidR="00764E44" w:rsidRPr="00435A0E" w:rsidRDefault="00F90B14" w:rsidP="00190BF7">
      <w:pPr>
        <w:tabs>
          <w:tab w:val="left" w:pos="1440"/>
        </w:tabs>
        <w:ind w:firstLine="720"/>
      </w:pPr>
      <w:r w:rsidRPr="00435A0E">
        <w:t xml:space="preserve">More </w:t>
      </w:r>
      <w:r w:rsidR="007B60F7" w:rsidRPr="00435A0E">
        <w:t>broadly</w:t>
      </w:r>
      <w:r w:rsidRPr="00435A0E">
        <w:t xml:space="preserve">, Aetna </w:t>
      </w:r>
      <w:r w:rsidR="00B332A4" w:rsidRPr="00435A0E">
        <w:t xml:space="preserve">argues that the diversion-of-resources theory </w:t>
      </w:r>
      <w:r w:rsidR="002B3D71" w:rsidRPr="00435A0E">
        <w:t xml:space="preserve">subverts the limiting intent of Proposition 64 by allowing </w:t>
      </w:r>
      <w:r w:rsidR="00D73B3C" w:rsidRPr="00435A0E">
        <w:t>an organization</w:t>
      </w:r>
      <w:r w:rsidR="008A64A6" w:rsidRPr="00435A0E">
        <w:t xml:space="preserve"> to</w:t>
      </w:r>
      <w:r w:rsidR="00D73B3C" w:rsidRPr="00435A0E">
        <w:t xml:space="preserve"> “</w:t>
      </w:r>
      <w:r w:rsidR="008A64A6" w:rsidRPr="00435A0E">
        <w:t>create standing for [itself] by choosing to advocate against any practice the organization disagrees with.”</w:t>
      </w:r>
      <w:r w:rsidR="0002117C" w:rsidRPr="00435A0E">
        <w:t xml:space="preserve">  </w:t>
      </w:r>
      <w:r w:rsidR="00460605" w:rsidRPr="00435A0E">
        <w:t>Aetna</w:t>
      </w:r>
      <w:r w:rsidR="00D230B4" w:rsidRPr="00435A0E">
        <w:t xml:space="preserve"> raises the hypothetical case of an organization with a </w:t>
      </w:r>
      <w:r w:rsidR="007B60F7" w:rsidRPr="00435A0E">
        <w:t xml:space="preserve">generally </w:t>
      </w:r>
      <w:r w:rsidR="00D230B4" w:rsidRPr="00435A0E">
        <w:t xml:space="preserve">stated mission, for example </w:t>
      </w:r>
      <w:r w:rsidR="0054586C" w:rsidRPr="00435A0E">
        <w:t xml:space="preserve">“Californians for Fair Competition,” </w:t>
      </w:r>
      <w:r w:rsidR="006B1379" w:rsidRPr="00435A0E">
        <w:t xml:space="preserve">that after “a brief </w:t>
      </w:r>
      <w:r w:rsidR="00777E45" w:rsidRPr="00435A0E">
        <w:t>stint of advocacy” c</w:t>
      </w:r>
      <w:r w:rsidR="000D000B" w:rsidRPr="00435A0E">
        <w:t xml:space="preserve">ould have standing for “wide swaths of potential </w:t>
      </w:r>
      <w:r w:rsidR="00D05FAC" w:rsidRPr="00435A0E">
        <w:t xml:space="preserve">UCL litigation,” thus reinstituting the kind of </w:t>
      </w:r>
      <w:r w:rsidR="00EA71B6" w:rsidRPr="00435A0E">
        <w:t>“ ‘shakedown suits’ ”</w:t>
      </w:r>
      <w:r w:rsidR="00463DBC" w:rsidRPr="00435A0E">
        <w:t xml:space="preserve"> by uninjured plaintiffs </w:t>
      </w:r>
      <w:r w:rsidR="006E2F30" w:rsidRPr="00435A0E">
        <w:t>Proposition</w:t>
      </w:r>
      <w:r w:rsidR="00463DBC" w:rsidRPr="00435A0E">
        <w:t xml:space="preserve"> 64 was intended to foreclose.  </w:t>
      </w:r>
      <w:r w:rsidR="00DA28E9" w:rsidRPr="00435A0E">
        <w:t xml:space="preserve">Amicus curiae the </w:t>
      </w:r>
      <w:r w:rsidR="000974C8" w:rsidRPr="00435A0E">
        <w:t xml:space="preserve">United States </w:t>
      </w:r>
      <w:r w:rsidR="00DA28E9" w:rsidRPr="00435A0E">
        <w:t xml:space="preserve">Chamber of Commerce makes a similar </w:t>
      </w:r>
      <w:r w:rsidR="001C56DC" w:rsidRPr="00435A0E">
        <w:t>argument, hypothesizing that “an attorney who wishes to sue travel agencies who fail to include their agents’ licenses on their websites</w:t>
      </w:r>
      <w:r w:rsidR="00060F4E" w:rsidRPr="00435A0E">
        <w:t>,</w:t>
      </w:r>
      <w:r w:rsidR="001C56DC" w:rsidRPr="00435A0E">
        <w:t xml:space="preserve">” </w:t>
      </w:r>
      <w:r w:rsidR="00060F4E" w:rsidRPr="00435A0E">
        <w:t xml:space="preserve">for example, </w:t>
      </w:r>
      <w:r w:rsidR="00A8698F" w:rsidRPr="00435A0E">
        <w:t xml:space="preserve">could form an organization with a stated mission of promoting transparency in </w:t>
      </w:r>
      <w:r w:rsidR="00E12590" w:rsidRPr="00435A0E">
        <w:t xml:space="preserve">the </w:t>
      </w:r>
      <w:r w:rsidR="00A8698F" w:rsidRPr="00435A0E">
        <w:t xml:space="preserve">travel </w:t>
      </w:r>
      <w:r w:rsidR="00E12590" w:rsidRPr="00435A0E">
        <w:t>industry, hire a staff member and</w:t>
      </w:r>
      <w:r w:rsidR="001C56DC" w:rsidRPr="00435A0E">
        <w:t xml:space="preserve">, </w:t>
      </w:r>
      <w:r w:rsidR="00BC2340" w:rsidRPr="00435A0E">
        <w:t>“</w:t>
      </w:r>
      <w:r w:rsidR="001C56DC" w:rsidRPr="00435A0E">
        <w:t>after a few weeks</w:t>
      </w:r>
      <w:r w:rsidR="004A371B" w:rsidRPr="00435A0E">
        <w:t>,</w:t>
      </w:r>
      <w:r w:rsidR="00BC2340" w:rsidRPr="00435A0E">
        <w:t xml:space="preserve"> .</w:t>
      </w:r>
      <w:r w:rsidR="00060F4E" w:rsidRPr="00435A0E">
        <w:t> </w:t>
      </w:r>
      <w:r w:rsidR="00BC2340" w:rsidRPr="00435A0E">
        <w:t>.</w:t>
      </w:r>
      <w:r w:rsidR="00060F4E" w:rsidRPr="00435A0E">
        <w:t> </w:t>
      </w:r>
      <w:r w:rsidR="00BC2340" w:rsidRPr="00435A0E">
        <w:t>.</w:t>
      </w:r>
      <w:r w:rsidR="00156D14" w:rsidRPr="00435A0E">
        <w:t> ‘</w:t>
      </w:r>
      <w:r w:rsidR="001C56DC" w:rsidRPr="00435A0E">
        <w:t>divert</w:t>
      </w:r>
      <w:r w:rsidR="00156D14" w:rsidRPr="00435A0E">
        <w:t>’</w:t>
      </w:r>
      <w:r w:rsidR="001C56DC" w:rsidRPr="00435A0E">
        <w:t xml:space="preserve"> that staff</w:t>
      </w:r>
      <w:r w:rsidR="00156D14" w:rsidRPr="00435A0E">
        <w:t xml:space="preserve"> </w:t>
      </w:r>
      <w:r w:rsidR="001C56DC" w:rsidRPr="00435A0E">
        <w:t>member’s time to writing letters to travel agencies who have not publicly posted</w:t>
      </w:r>
      <w:r w:rsidR="00156D14" w:rsidRPr="00435A0E">
        <w:t xml:space="preserve"> </w:t>
      </w:r>
      <w:r w:rsidR="001C56DC" w:rsidRPr="00435A0E">
        <w:t>their agents’ licenses.</w:t>
      </w:r>
      <w:r w:rsidR="00156D14" w:rsidRPr="00435A0E">
        <w:t xml:space="preserve">” </w:t>
      </w:r>
      <w:r w:rsidR="00012DD1" w:rsidRPr="00435A0E">
        <w:t xml:space="preserve"> </w:t>
      </w:r>
    </w:p>
    <w:p w14:paraId="06460CEB" w14:textId="59F2240F" w:rsidR="00357213" w:rsidRPr="00435A0E" w:rsidRDefault="00F23F50" w:rsidP="00190BF7">
      <w:pPr>
        <w:tabs>
          <w:tab w:val="left" w:pos="1440"/>
        </w:tabs>
        <w:ind w:firstLine="720"/>
      </w:pPr>
      <w:r w:rsidRPr="00435A0E">
        <w:t xml:space="preserve">We are not </w:t>
      </w:r>
      <w:r w:rsidR="005D4FF4" w:rsidRPr="00435A0E">
        <w:t>persuaded</w:t>
      </w:r>
      <w:r w:rsidR="00792A43" w:rsidRPr="00435A0E">
        <w:t xml:space="preserve"> that recognizing a diversion-of-resources theory in this case </w:t>
      </w:r>
      <w:r w:rsidR="00CE0BE8" w:rsidRPr="00435A0E">
        <w:t xml:space="preserve">will open the door to abuses of the sort </w:t>
      </w:r>
      <w:r w:rsidR="00427743" w:rsidRPr="00435A0E">
        <w:t xml:space="preserve">suggested by </w:t>
      </w:r>
      <w:r w:rsidR="00CE0BE8" w:rsidRPr="00435A0E">
        <w:t>Aetna and the amicus</w:t>
      </w:r>
      <w:r w:rsidR="000974C8" w:rsidRPr="00435A0E">
        <w:t xml:space="preserve"> curiae</w:t>
      </w:r>
      <w:r w:rsidR="0087763E" w:rsidRPr="00435A0E">
        <w:t xml:space="preserve">.  </w:t>
      </w:r>
      <w:r w:rsidR="00016FFA" w:rsidRPr="00435A0E">
        <w:t>CMA</w:t>
      </w:r>
      <w:r w:rsidR="00321AF2" w:rsidRPr="00435A0E">
        <w:t xml:space="preserve"> is an organization </w:t>
      </w:r>
      <w:r w:rsidR="00CB30C6" w:rsidRPr="00435A0E">
        <w:t xml:space="preserve">with a bona fide </w:t>
      </w:r>
      <w:r w:rsidR="004B157D" w:rsidRPr="00435A0E">
        <w:t xml:space="preserve">mission </w:t>
      </w:r>
      <w:r w:rsidR="004861B5" w:rsidRPr="00435A0E">
        <w:t>of promoting the medical profession and the public health</w:t>
      </w:r>
      <w:r w:rsidR="00CB30C6" w:rsidRPr="00435A0E">
        <w:t xml:space="preserve">, not one formed </w:t>
      </w:r>
      <w:r w:rsidR="00D031B6" w:rsidRPr="00435A0E">
        <w:t xml:space="preserve">for the purpose of UCL litigation. </w:t>
      </w:r>
      <w:r w:rsidR="00CB30C6" w:rsidRPr="00435A0E">
        <w:t xml:space="preserve"> </w:t>
      </w:r>
      <w:r w:rsidR="00D41A10" w:rsidRPr="00435A0E">
        <w:t xml:space="preserve">Its </w:t>
      </w:r>
      <w:r w:rsidR="005222BE" w:rsidRPr="00435A0E">
        <w:t>pursuit of these goals s</w:t>
      </w:r>
      <w:r w:rsidR="007D664C" w:rsidRPr="00435A0E">
        <w:t>ubstantially</w:t>
      </w:r>
      <w:r w:rsidR="00D41A10" w:rsidRPr="00435A0E">
        <w:t xml:space="preserve"> predates </w:t>
      </w:r>
      <w:r w:rsidR="00BC18F6" w:rsidRPr="00435A0E">
        <w:t xml:space="preserve">the events that gave rise to this litigation, rather than being adopted as a pretext </w:t>
      </w:r>
      <w:r w:rsidR="00470ED4" w:rsidRPr="00435A0E">
        <w:t>to create UCL st</w:t>
      </w:r>
      <w:r w:rsidR="00B67F6B" w:rsidRPr="00435A0E">
        <w:t xml:space="preserve">anding. </w:t>
      </w:r>
      <w:r w:rsidR="00357213" w:rsidRPr="00435A0E">
        <w:t xml:space="preserve"> Aetna’s </w:t>
      </w:r>
      <w:r w:rsidR="00A0073E" w:rsidRPr="00435A0E">
        <w:t>Network Intervention Policy</w:t>
      </w:r>
      <w:r w:rsidR="00DB33AE" w:rsidRPr="00435A0E">
        <w:t xml:space="preserve">, in </w:t>
      </w:r>
      <w:r w:rsidR="00016FFA" w:rsidRPr="00435A0E">
        <w:t>CMA</w:t>
      </w:r>
      <w:r w:rsidR="00DB33AE" w:rsidRPr="00435A0E">
        <w:t xml:space="preserve">’s view, threatened </w:t>
      </w:r>
      <w:r w:rsidR="00016FFA" w:rsidRPr="00435A0E">
        <w:t>CMA</w:t>
      </w:r>
      <w:r w:rsidR="00DB33AE" w:rsidRPr="00435A0E">
        <w:t xml:space="preserve">’s </w:t>
      </w:r>
      <w:r w:rsidR="00DB33AE" w:rsidRPr="00435A0E">
        <w:lastRenderedPageBreak/>
        <w:t xml:space="preserve">ability to </w:t>
      </w:r>
      <w:r w:rsidR="000B2428" w:rsidRPr="00435A0E">
        <w:t xml:space="preserve">pursue its mission, and it responded by taking several steps to oppose the policy and </w:t>
      </w:r>
      <w:r w:rsidR="00B8107E" w:rsidRPr="00435A0E">
        <w:t xml:space="preserve">alleviate its effects on </w:t>
      </w:r>
      <w:r w:rsidR="00016FFA" w:rsidRPr="00435A0E">
        <w:t>CMA</w:t>
      </w:r>
      <w:r w:rsidR="00B8107E" w:rsidRPr="00435A0E">
        <w:t xml:space="preserve">’s members, </w:t>
      </w:r>
      <w:r w:rsidR="004B3FFD" w:rsidRPr="00435A0E">
        <w:t xml:space="preserve">independent of any existing or planned UCL litigation.  These </w:t>
      </w:r>
      <w:r w:rsidR="00B8107E" w:rsidRPr="00435A0E">
        <w:t xml:space="preserve">steps </w:t>
      </w:r>
      <w:r w:rsidR="00D644F6" w:rsidRPr="00435A0E">
        <w:t>required reallocation of staff time and other resources from other ongoing projects</w:t>
      </w:r>
      <w:r w:rsidR="002A5C27" w:rsidRPr="00435A0E">
        <w:t>,</w:t>
      </w:r>
      <w:r w:rsidR="008F3B00" w:rsidRPr="00435A0E">
        <w:t xml:space="preserve"> giving rise to the economic injury that supports standing here</w:t>
      </w:r>
      <w:r w:rsidR="00D644F6" w:rsidRPr="00435A0E">
        <w:t xml:space="preserve">.  </w:t>
      </w:r>
      <w:r w:rsidR="00016FFA" w:rsidRPr="00435A0E">
        <w:t>CMA</w:t>
      </w:r>
      <w:r w:rsidR="007249DC" w:rsidRPr="00435A0E">
        <w:t xml:space="preserve"> presented sufficient evidence to</w:t>
      </w:r>
      <w:r w:rsidR="00783EA4" w:rsidRPr="00435A0E">
        <w:t>, at the least,</w:t>
      </w:r>
      <w:r w:rsidR="007249DC" w:rsidRPr="00435A0E">
        <w:t xml:space="preserve"> </w:t>
      </w:r>
      <w:r w:rsidR="00783EA4" w:rsidRPr="00435A0E">
        <w:t xml:space="preserve">create triable issues of fact on these points.  </w:t>
      </w:r>
    </w:p>
    <w:p w14:paraId="56FAEA3F" w14:textId="5E5DA0A9" w:rsidR="00E863AF" w:rsidRPr="00435A0E" w:rsidRDefault="007D664C" w:rsidP="00190BF7">
      <w:pPr>
        <w:tabs>
          <w:tab w:val="left" w:pos="1440"/>
        </w:tabs>
        <w:ind w:firstLine="720"/>
      </w:pPr>
      <w:r w:rsidRPr="00435A0E">
        <w:t xml:space="preserve">In contrast, the </w:t>
      </w:r>
      <w:r w:rsidR="00B00681" w:rsidRPr="00435A0E">
        <w:t>organizations in Aetna’s and the amicus</w:t>
      </w:r>
      <w:r w:rsidR="000974C8" w:rsidRPr="00435A0E">
        <w:t xml:space="preserve"> curiae</w:t>
      </w:r>
      <w:r w:rsidR="00B00681" w:rsidRPr="00435A0E">
        <w:t xml:space="preserve">’s hypotheticals might well </w:t>
      </w:r>
      <w:r w:rsidR="001165A1" w:rsidRPr="00435A0E">
        <w:t xml:space="preserve">have difficulty establishing that they </w:t>
      </w:r>
      <w:r w:rsidR="00D24243" w:rsidRPr="00435A0E">
        <w:t xml:space="preserve">were </w:t>
      </w:r>
      <w:r w:rsidR="00663027" w:rsidRPr="00435A0E">
        <w:t>sincerely pur</w:t>
      </w:r>
      <w:r w:rsidR="00D24243" w:rsidRPr="00435A0E">
        <w:t xml:space="preserve">suing </w:t>
      </w:r>
      <w:r w:rsidR="00663027" w:rsidRPr="00435A0E">
        <w:t>missions separate from</w:t>
      </w:r>
      <w:r w:rsidR="00783EA4" w:rsidRPr="00435A0E">
        <w:t xml:space="preserve"> </w:t>
      </w:r>
      <w:r w:rsidR="00625681" w:rsidRPr="00435A0E">
        <w:t>planned</w:t>
      </w:r>
      <w:r w:rsidR="00B15B69" w:rsidRPr="00435A0E">
        <w:t xml:space="preserve"> </w:t>
      </w:r>
      <w:r w:rsidR="00625681" w:rsidRPr="00435A0E">
        <w:t>UCL litigation</w:t>
      </w:r>
      <w:r w:rsidR="00B704A6" w:rsidRPr="00435A0E">
        <w:t xml:space="preserve"> and that their efforts on a given issue were not undertaken </w:t>
      </w:r>
      <w:r w:rsidR="00175FF4" w:rsidRPr="00435A0E">
        <w:t xml:space="preserve">simply to establish standing for such litigation.  </w:t>
      </w:r>
      <w:r w:rsidR="00EF7BDB" w:rsidRPr="00435A0E">
        <w:t>Without a</w:t>
      </w:r>
      <w:r w:rsidR="00FB3213" w:rsidRPr="00435A0E">
        <w:t>n articulable</w:t>
      </w:r>
      <w:r w:rsidR="001F58A5" w:rsidRPr="00435A0E">
        <w:t xml:space="preserve"> mission </w:t>
      </w:r>
      <w:r w:rsidR="00106C1A" w:rsidRPr="00435A0E">
        <w:t xml:space="preserve">focused enough to make sense outside the UCL litigation context, </w:t>
      </w:r>
      <w:r w:rsidR="001A4A1B" w:rsidRPr="00435A0E">
        <w:t xml:space="preserve">an organization like </w:t>
      </w:r>
      <w:r w:rsidR="00FB3213" w:rsidRPr="00435A0E">
        <w:t>“Californians for Fair Competition”</w:t>
      </w:r>
      <w:r w:rsidR="00106C1A" w:rsidRPr="00435A0E">
        <w:t xml:space="preserve"> </w:t>
      </w:r>
      <w:r w:rsidR="00937F24" w:rsidRPr="00435A0E">
        <w:t xml:space="preserve">would be hard pressed to show that </w:t>
      </w:r>
      <w:r w:rsidR="00FB3213" w:rsidRPr="00435A0E">
        <w:t>its</w:t>
      </w:r>
      <w:r w:rsidR="00044571" w:rsidRPr="00435A0E">
        <w:t xml:space="preserve"> allocation of resources was in fact undertaken in response to a threat to </w:t>
      </w:r>
      <w:r w:rsidR="00FB3213" w:rsidRPr="00435A0E">
        <w:t>its</w:t>
      </w:r>
      <w:r w:rsidR="00044571" w:rsidRPr="00435A0E">
        <w:t xml:space="preserve"> mission </w:t>
      </w:r>
      <w:r w:rsidR="00A078FB" w:rsidRPr="00435A0E">
        <w:t xml:space="preserve">or that it diverted </w:t>
      </w:r>
      <w:r w:rsidR="00A7164F" w:rsidRPr="00435A0E">
        <w:t>staff from mission-oriented work they</w:t>
      </w:r>
      <w:r w:rsidR="00B704A6" w:rsidRPr="00435A0E">
        <w:t xml:space="preserve"> </w:t>
      </w:r>
      <w:r w:rsidR="00900C4A" w:rsidRPr="00435A0E">
        <w:t>w</w:t>
      </w:r>
      <w:r w:rsidR="001A4A1B" w:rsidRPr="00435A0E">
        <w:t>ould otherwise have pursue</w:t>
      </w:r>
      <w:r w:rsidR="00900C4A" w:rsidRPr="00435A0E">
        <w:t>d</w:t>
      </w:r>
      <w:r w:rsidR="001A4A1B" w:rsidRPr="00435A0E">
        <w:t>.</w:t>
      </w:r>
      <w:r w:rsidR="009400CF" w:rsidRPr="00435A0E">
        <w:t xml:space="preserve">  </w:t>
      </w:r>
      <w:r w:rsidR="00D47675" w:rsidRPr="00435A0E">
        <w:t xml:space="preserve">In short, it is </w:t>
      </w:r>
      <w:r w:rsidR="00E63B4F" w:rsidRPr="00435A0E">
        <w:t xml:space="preserve">far from </w:t>
      </w:r>
      <w:r w:rsidR="00900C4A" w:rsidRPr="00435A0E">
        <w:t xml:space="preserve">clear that </w:t>
      </w:r>
      <w:r w:rsidR="0025506E" w:rsidRPr="00435A0E">
        <w:t xml:space="preserve">an isolated </w:t>
      </w:r>
      <w:r w:rsidR="002A5974" w:rsidRPr="00435A0E">
        <w:t>“brief stint of advocacy</w:t>
      </w:r>
      <w:r w:rsidR="00894548" w:rsidRPr="00435A0E">
        <w:t>,</w:t>
      </w:r>
      <w:r w:rsidR="002A5974" w:rsidRPr="00435A0E">
        <w:t xml:space="preserve">” </w:t>
      </w:r>
      <w:r w:rsidR="0025506E" w:rsidRPr="00435A0E">
        <w:t>unconnected to</w:t>
      </w:r>
      <w:r w:rsidR="00BC5CBC" w:rsidRPr="00435A0E">
        <w:t xml:space="preserve"> a</w:t>
      </w:r>
      <w:r w:rsidR="004B6665" w:rsidRPr="00435A0E">
        <w:t xml:space="preserve"> preexisting mission</w:t>
      </w:r>
      <w:r w:rsidR="00BC5CBC" w:rsidRPr="00435A0E">
        <w:t xml:space="preserve"> </w:t>
      </w:r>
      <w:r w:rsidR="00A6022E" w:rsidRPr="00435A0E">
        <w:t>independent of UCL litigation</w:t>
      </w:r>
      <w:r w:rsidR="004B6665" w:rsidRPr="00435A0E">
        <w:t xml:space="preserve">, would </w:t>
      </w:r>
      <w:r w:rsidR="00992714" w:rsidRPr="00435A0E">
        <w:t>suffice to show economic injury</w:t>
      </w:r>
      <w:r w:rsidR="0025506E" w:rsidRPr="00435A0E">
        <w:t xml:space="preserve"> and causation</w:t>
      </w:r>
      <w:r w:rsidR="00992714" w:rsidRPr="00435A0E">
        <w:t xml:space="preserve"> for purposes of section 17204.  </w:t>
      </w:r>
    </w:p>
    <w:p w14:paraId="673BB233" w14:textId="0CC5864B" w:rsidR="001122C0" w:rsidRPr="00435A0E" w:rsidRDefault="004122E0" w:rsidP="00190BF7">
      <w:pPr>
        <w:pStyle w:val="Heading1"/>
      </w:pPr>
      <w:r w:rsidRPr="00435A0E">
        <w:t xml:space="preserve">III.  </w:t>
      </w:r>
      <w:r w:rsidR="00A34DD5" w:rsidRPr="00435A0E">
        <w:t>Conclusion</w:t>
      </w:r>
    </w:p>
    <w:p w14:paraId="055891AF" w14:textId="517AA7A2" w:rsidR="006E2F30" w:rsidRPr="00435A0E" w:rsidRDefault="00CA7333" w:rsidP="00190BF7">
      <w:pPr>
        <w:tabs>
          <w:tab w:val="left" w:pos="1440"/>
        </w:tabs>
        <w:ind w:firstLine="720"/>
      </w:pPr>
      <w:r w:rsidRPr="00435A0E">
        <w:t xml:space="preserve">Viewing </w:t>
      </w:r>
      <w:r w:rsidR="00150F2B" w:rsidRPr="00435A0E">
        <w:t>t</w:t>
      </w:r>
      <w:r w:rsidR="0065278D" w:rsidRPr="00435A0E">
        <w:t xml:space="preserve">he evidence </w:t>
      </w:r>
      <w:r w:rsidR="00404984" w:rsidRPr="00435A0E">
        <w:t xml:space="preserve">submitted on </w:t>
      </w:r>
      <w:r w:rsidR="00150F2B" w:rsidRPr="00435A0E">
        <w:t>Aetna’s</w:t>
      </w:r>
      <w:r w:rsidR="00404984" w:rsidRPr="00435A0E">
        <w:t xml:space="preserve"> motion for summary judgment </w:t>
      </w:r>
      <w:r w:rsidR="00150F2B" w:rsidRPr="00435A0E">
        <w:t xml:space="preserve">in the light most favorable to </w:t>
      </w:r>
      <w:r w:rsidR="00016FFA" w:rsidRPr="00435A0E">
        <w:t>CMA</w:t>
      </w:r>
      <w:r w:rsidR="00150F2B" w:rsidRPr="00435A0E">
        <w:t xml:space="preserve"> and drawing all reasonable inferences in </w:t>
      </w:r>
      <w:r w:rsidR="00016FFA" w:rsidRPr="00435A0E">
        <w:t>CMA</w:t>
      </w:r>
      <w:r w:rsidR="00150F2B" w:rsidRPr="00435A0E">
        <w:t>’s favor, as we must (</w:t>
      </w:r>
      <w:r w:rsidR="00150F2B" w:rsidRPr="00435A0E">
        <w:rPr>
          <w:i/>
          <w:iCs/>
        </w:rPr>
        <w:t>Weiss v. People ex rel. Department of Transportation</w:t>
      </w:r>
      <w:r w:rsidR="00C05A88" w:rsidRPr="00435A0E">
        <w:t xml:space="preserve">, </w:t>
      </w:r>
      <w:r w:rsidR="00C05A88" w:rsidRPr="00435A0E">
        <w:rPr>
          <w:i/>
          <w:iCs/>
        </w:rPr>
        <w:t>supra</w:t>
      </w:r>
      <w:r w:rsidR="00C05A88" w:rsidRPr="00435A0E">
        <w:t xml:space="preserve">, </w:t>
      </w:r>
      <w:r w:rsidR="00150F2B" w:rsidRPr="00435A0E">
        <w:t xml:space="preserve">9 Cal.5th </w:t>
      </w:r>
      <w:r w:rsidR="00C05A88" w:rsidRPr="00435A0E">
        <w:t>at p.</w:t>
      </w:r>
      <w:r w:rsidR="00150F2B" w:rsidRPr="00435A0E">
        <w:t xml:space="preserve"> 864), we conclude </w:t>
      </w:r>
      <w:r w:rsidR="00C83546" w:rsidRPr="00435A0E">
        <w:t xml:space="preserve">the evidence </w:t>
      </w:r>
      <w:r w:rsidR="00404984" w:rsidRPr="00435A0E">
        <w:t>established a triable issue of fact as to standing to sue</w:t>
      </w:r>
      <w:r w:rsidR="00581530" w:rsidRPr="00435A0E">
        <w:t xml:space="preserve"> under the UCL</w:t>
      </w:r>
      <w:r w:rsidR="00404984" w:rsidRPr="00435A0E">
        <w:t xml:space="preserve">.  </w:t>
      </w:r>
      <w:r w:rsidR="003D0CBD" w:rsidRPr="00435A0E">
        <w:t xml:space="preserve">The Court of </w:t>
      </w:r>
      <w:r w:rsidR="003D0CBD" w:rsidRPr="00435A0E">
        <w:lastRenderedPageBreak/>
        <w:t xml:space="preserve">Appeal </w:t>
      </w:r>
      <w:r w:rsidR="001C0DC9" w:rsidRPr="00435A0E">
        <w:t xml:space="preserve">erred in affirming the trial court’s grant of summary judgment for the defense on </w:t>
      </w:r>
      <w:r w:rsidR="00D44ABE" w:rsidRPr="00435A0E">
        <w:t xml:space="preserve">the ground that </w:t>
      </w:r>
      <w:r w:rsidR="00016FFA" w:rsidRPr="00435A0E">
        <w:t>CMA</w:t>
      </w:r>
      <w:r w:rsidR="00D44ABE" w:rsidRPr="00435A0E">
        <w:t xml:space="preserve"> lacked </w:t>
      </w:r>
      <w:r w:rsidR="00581530" w:rsidRPr="00435A0E">
        <w:t xml:space="preserve">such </w:t>
      </w:r>
      <w:r w:rsidR="001C0DC9" w:rsidRPr="00435A0E">
        <w:t>standing.</w:t>
      </w:r>
    </w:p>
    <w:p w14:paraId="5127FFC5" w14:textId="10BD97C2" w:rsidR="00A34DD5" w:rsidRPr="00435A0E" w:rsidRDefault="004122E0" w:rsidP="00190BF7">
      <w:pPr>
        <w:pStyle w:val="Heading1"/>
      </w:pPr>
      <w:r w:rsidRPr="00435A0E">
        <w:t xml:space="preserve">IV.  </w:t>
      </w:r>
      <w:r w:rsidR="007E2204" w:rsidRPr="00435A0E">
        <w:t>Disposition</w:t>
      </w:r>
    </w:p>
    <w:p w14:paraId="3A25F073" w14:textId="77777777" w:rsidR="00036D69" w:rsidRPr="00435A0E" w:rsidRDefault="001F5EF7" w:rsidP="00190BF7">
      <w:pPr>
        <w:tabs>
          <w:tab w:val="left" w:pos="1440"/>
        </w:tabs>
        <w:ind w:firstLine="720"/>
      </w:pPr>
      <w:r w:rsidRPr="00435A0E">
        <w:t xml:space="preserve">The judgment of the Court of Appeal is reversed.  </w:t>
      </w:r>
    </w:p>
    <w:p w14:paraId="5BF4E1FA" w14:textId="77777777" w:rsidR="00C653FB" w:rsidRPr="00435A0E" w:rsidRDefault="00C653FB" w:rsidP="00190BF7">
      <w:pPr>
        <w:tabs>
          <w:tab w:val="left" w:pos="1440"/>
        </w:tabs>
      </w:pPr>
    </w:p>
    <w:p w14:paraId="6C9A7E93" w14:textId="77777777" w:rsidR="00996B67" w:rsidRPr="00435A0E" w:rsidRDefault="00996B67" w:rsidP="00190BF7">
      <w:pPr>
        <w:tabs>
          <w:tab w:val="left" w:pos="1440"/>
        </w:tabs>
      </w:pPr>
    </w:p>
    <w:p w14:paraId="7B77BBE3" w14:textId="3561BD76" w:rsidR="00996B67" w:rsidRPr="00435A0E" w:rsidRDefault="00996B67" w:rsidP="00190BF7">
      <w:pPr>
        <w:tabs>
          <w:tab w:val="left" w:pos="1440"/>
        </w:tabs>
        <w:rPr>
          <w:b/>
          <w:bCs/>
        </w:rPr>
      </w:pPr>
      <w:r w:rsidRPr="00435A0E">
        <w:tab/>
      </w:r>
      <w:r w:rsidRPr="00435A0E">
        <w:tab/>
      </w:r>
      <w:r w:rsidRPr="00435A0E">
        <w:tab/>
      </w:r>
      <w:r w:rsidRPr="00435A0E">
        <w:tab/>
      </w:r>
      <w:r w:rsidRPr="00435A0E">
        <w:tab/>
      </w:r>
      <w:r w:rsidR="00AE50D7" w:rsidRPr="00435A0E">
        <w:tab/>
      </w:r>
      <w:r w:rsidR="00AE50D7" w:rsidRPr="00435A0E">
        <w:tab/>
      </w:r>
      <w:r w:rsidR="00AE50D7" w:rsidRPr="00435A0E">
        <w:tab/>
      </w:r>
      <w:r w:rsidRPr="00435A0E">
        <w:rPr>
          <w:b/>
          <w:bCs/>
        </w:rPr>
        <w:t>EVANS, J.</w:t>
      </w:r>
    </w:p>
    <w:p w14:paraId="01AE232D" w14:textId="1AFEFCEA" w:rsidR="00AE50D7" w:rsidRPr="00435A0E" w:rsidRDefault="00AE50D7" w:rsidP="00190BF7">
      <w:pPr>
        <w:tabs>
          <w:tab w:val="left" w:pos="1440"/>
        </w:tabs>
        <w:rPr>
          <w:b/>
          <w:bCs/>
        </w:rPr>
      </w:pPr>
    </w:p>
    <w:p w14:paraId="433963F7" w14:textId="12C68399" w:rsidR="00AE50D7" w:rsidRDefault="00AE50D7" w:rsidP="00190BF7">
      <w:pPr>
        <w:tabs>
          <w:tab w:val="left" w:pos="1440"/>
        </w:tabs>
        <w:rPr>
          <w:b/>
          <w:bCs/>
        </w:rPr>
      </w:pPr>
      <w:r w:rsidRPr="00435A0E">
        <w:rPr>
          <w:b/>
          <w:bCs/>
        </w:rPr>
        <w:t>We Concur:</w:t>
      </w:r>
    </w:p>
    <w:p w14:paraId="497A94A1" w14:textId="77777777" w:rsidR="00B40DA3" w:rsidRDefault="00B40DA3" w:rsidP="00B40DA3">
      <w:pPr>
        <w:spacing w:after="0" w:line="240" w:lineRule="auto"/>
        <w:rPr>
          <w:rFonts w:ascii="Times New Roman" w:hAnsi="Times New Roman"/>
          <w:b/>
          <w:sz w:val="26"/>
          <w:szCs w:val="26"/>
        </w:rPr>
      </w:pPr>
      <w:r>
        <w:rPr>
          <w:b/>
          <w:szCs w:val="26"/>
        </w:rPr>
        <w:t>GUERRERO, C. J.</w:t>
      </w:r>
    </w:p>
    <w:p w14:paraId="7EA4D361" w14:textId="77777777" w:rsidR="00B40DA3" w:rsidRDefault="00B40DA3" w:rsidP="00B40DA3">
      <w:pPr>
        <w:spacing w:after="0" w:line="240" w:lineRule="auto"/>
        <w:rPr>
          <w:b/>
          <w:szCs w:val="26"/>
        </w:rPr>
      </w:pPr>
      <w:r>
        <w:rPr>
          <w:b/>
          <w:szCs w:val="26"/>
        </w:rPr>
        <w:t>CORRIGAN, J.</w:t>
      </w:r>
    </w:p>
    <w:p w14:paraId="144E29DA" w14:textId="77777777" w:rsidR="00B40DA3" w:rsidRDefault="00B40DA3" w:rsidP="00B40DA3">
      <w:pPr>
        <w:spacing w:after="0" w:line="240" w:lineRule="auto"/>
        <w:rPr>
          <w:b/>
          <w:szCs w:val="26"/>
        </w:rPr>
      </w:pPr>
      <w:r>
        <w:rPr>
          <w:b/>
          <w:szCs w:val="26"/>
        </w:rPr>
        <w:t>LIU, J.</w:t>
      </w:r>
    </w:p>
    <w:p w14:paraId="15A83C2E" w14:textId="77777777" w:rsidR="00B40DA3" w:rsidRDefault="00B40DA3" w:rsidP="00B40DA3">
      <w:pPr>
        <w:spacing w:after="0" w:line="240" w:lineRule="auto"/>
        <w:rPr>
          <w:b/>
        </w:rPr>
      </w:pPr>
      <w:r>
        <w:rPr>
          <w:b/>
        </w:rPr>
        <w:t>KRUGER, J.</w:t>
      </w:r>
    </w:p>
    <w:p w14:paraId="72197C16" w14:textId="77777777" w:rsidR="00B40DA3" w:rsidRDefault="00B40DA3" w:rsidP="00B40DA3">
      <w:pPr>
        <w:spacing w:after="0" w:line="240" w:lineRule="auto"/>
        <w:rPr>
          <w:b/>
        </w:rPr>
      </w:pPr>
      <w:r>
        <w:rPr>
          <w:b/>
        </w:rPr>
        <w:t>GROBAN, J.</w:t>
      </w:r>
    </w:p>
    <w:p w14:paraId="56BA4DDA" w14:textId="77777777" w:rsidR="00B40DA3" w:rsidRDefault="00B40DA3" w:rsidP="00B40DA3">
      <w:pPr>
        <w:spacing w:after="0" w:line="240" w:lineRule="auto"/>
        <w:rPr>
          <w:b/>
        </w:rPr>
      </w:pPr>
      <w:r>
        <w:rPr>
          <w:b/>
        </w:rPr>
        <w:t>JENKINS, J.</w:t>
      </w:r>
    </w:p>
    <w:p w14:paraId="27485CDD" w14:textId="77777777" w:rsidR="006D5114" w:rsidRDefault="006D5114" w:rsidP="00190BF7">
      <w:pPr>
        <w:tabs>
          <w:tab w:val="left" w:pos="1440"/>
        </w:tabs>
        <w:rPr>
          <w:b/>
          <w:bCs/>
        </w:rPr>
        <w:sectPr w:rsidR="006D5114" w:rsidSect="00190BF7">
          <w:footerReference w:type="first" r:id="rId10"/>
          <w:pgSz w:w="12240" w:h="15840"/>
          <w:pgMar w:top="1800" w:right="2160" w:bottom="1440" w:left="2160" w:header="720" w:footer="720" w:gutter="0"/>
          <w:pgNumType w:start="1"/>
          <w:cols w:space="720"/>
          <w:titlePg/>
          <w:docGrid w:linePitch="367"/>
        </w:sectPr>
      </w:pPr>
    </w:p>
    <w:p w14:paraId="206081DD" w14:textId="77777777" w:rsidR="006D5114" w:rsidRPr="006D5114" w:rsidRDefault="006D5114" w:rsidP="006D5114">
      <w:pPr>
        <w:spacing w:after="0" w:line="240" w:lineRule="auto"/>
        <w:jc w:val="left"/>
        <w:rPr>
          <w:i/>
          <w:sz w:val="24"/>
          <w:szCs w:val="24"/>
        </w:rPr>
      </w:pPr>
      <w:r w:rsidRPr="006D5114">
        <w:rPr>
          <w:i/>
          <w:sz w:val="24"/>
          <w:szCs w:val="24"/>
        </w:rPr>
        <w:lastRenderedPageBreak/>
        <w:t>See next page for addresses and telephone numbers for counsel who argued in Supreme Court.</w:t>
      </w:r>
    </w:p>
    <w:p w14:paraId="3162BAE7" w14:textId="77777777" w:rsidR="006D5114" w:rsidRPr="006D5114" w:rsidRDefault="006D5114" w:rsidP="006D5114">
      <w:pPr>
        <w:spacing w:after="0" w:line="240" w:lineRule="auto"/>
        <w:jc w:val="left"/>
        <w:rPr>
          <w:i/>
          <w:sz w:val="24"/>
          <w:szCs w:val="24"/>
        </w:rPr>
      </w:pPr>
    </w:p>
    <w:p w14:paraId="33A8EB90" w14:textId="77777777" w:rsidR="006D5114" w:rsidRPr="006D5114" w:rsidRDefault="006D5114" w:rsidP="006D5114">
      <w:pPr>
        <w:spacing w:after="0" w:line="240" w:lineRule="auto"/>
        <w:jc w:val="left"/>
        <w:rPr>
          <w:bCs/>
          <w:sz w:val="24"/>
          <w:szCs w:val="24"/>
        </w:rPr>
      </w:pPr>
      <w:r w:rsidRPr="006D5114">
        <w:rPr>
          <w:b/>
          <w:sz w:val="24"/>
          <w:szCs w:val="24"/>
        </w:rPr>
        <w:t xml:space="preserve">Name of Opinion  </w:t>
      </w:r>
      <w:r w:rsidRPr="006D5114">
        <w:rPr>
          <w:bCs/>
          <w:sz w:val="24"/>
          <w:szCs w:val="24"/>
        </w:rPr>
        <w:t>California Medical Association v. Aetna Health of California Inc.</w:t>
      </w:r>
    </w:p>
    <w:p w14:paraId="7261BD44" w14:textId="77777777" w:rsidR="006D5114" w:rsidRPr="006D5114" w:rsidRDefault="006D5114" w:rsidP="006D5114">
      <w:pPr>
        <w:spacing w:after="0" w:line="240" w:lineRule="auto"/>
        <w:jc w:val="left"/>
        <w:rPr>
          <w:b/>
          <w:sz w:val="24"/>
          <w:szCs w:val="24"/>
        </w:rPr>
      </w:pPr>
      <w:r w:rsidRPr="006D5114">
        <w:rPr>
          <w:b/>
          <w:sz w:val="24"/>
          <w:szCs w:val="24"/>
        </w:rPr>
        <w:t xml:space="preserve">__________________________________________________________ </w:t>
      </w:r>
    </w:p>
    <w:p w14:paraId="2AA6BE42" w14:textId="77777777" w:rsidR="006D5114" w:rsidRPr="006D5114" w:rsidRDefault="006D5114" w:rsidP="006D5114">
      <w:pPr>
        <w:spacing w:after="0" w:line="240" w:lineRule="auto"/>
        <w:jc w:val="left"/>
        <w:rPr>
          <w:b/>
          <w:sz w:val="24"/>
          <w:szCs w:val="24"/>
        </w:rPr>
      </w:pPr>
    </w:p>
    <w:p w14:paraId="59DDBAD3" w14:textId="77777777" w:rsidR="006D5114" w:rsidRPr="006D5114" w:rsidRDefault="006D5114" w:rsidP="006D5114">
      <w:pPr>
        <w:spacing w:after="0" w:line="240" w:lineRule="auto"/>
        <w:jc w:val="left"/>
        <w:rPr>
          <w:sz w:val="24"/>
          <w:szCs w:val="24"/>
        </w:rPr>
      </w:pPr>
      <w:r w:rsidRPr="006D5114">
        <w:rPr>
          <w:b/>
          <w:bCs/>
          <w:sz w:val="24"/>
          <w:szCs w:val="24"/>
          <w:u w:val="single"/>
        </w:rPr>
        <w:t>Procedural Posture</w:t>
      </w:r>
      <w:r w:rsidRPr="006D5114">
        <w:rPr>
          <w:b/>
          <w:bCs/>
          <w:sz w:val="24"/>
          <w:szCs w:val="24"/>
        </w:rPr>
        <w:t xml:space="preserve"> </w:t>
      </w:r>
      <w:r w:rsidRPr="006D5114">
        <w:rPr>
          <w:sz w:val="24"/>
          <w:szCs w:val="24"/>
        </w:rPr>
        <w:t>(see XX below)</w:t>
      </w:r>
    </w:p>
    <w:p w14:paraId="2A550A1E" w14:textId="77777777" w:rsidR="006D5114" w:rsidRPr="006D5114" w:rsidRDefault="006D5114" w:rsidP="006D5114">
      <w:pPr>
        <w:spacing w:after="0" w:line="240" w:lineRule="auto"/>
        <w:jc w:val="left"/>
        <w:rPr>
          <w:sz w:val="24"/>
          <w:szCs w:val="24"/>
        </w:rPr>
      </w:pPr>
      <w:r w:rsidRPr="006D5114">
        <w:rPr>
          <w:b/>
          <w:bCs/>
          <w:sz w:val="24"/>
          <w:szCs w:val="24"/>
        </w:rPr>
        <w:t>Original Appeal</w:t>
      </w:r>
      <w:r w:rsidRPr="006D5114">
        <w:rPr>
          <w:sz w:val="24"/>
          <w:szCs w:val="24"/>
        </w:rPr>
        <w:t xml:space="preserve"> </w:t>
      </w:r>
    </w:p>
    <w:p w14:paraId="1B71F618" w14:textId="77777777" w:rsidR="006D5114" w:rsidRPr="006D5114" w:rsidRDefault="006D5114" w:rsidP="006D5114">
      <w:pPr>
        <w:spacing w:after="0" w:line="240" w:lineRule="auto"/>
        <w:jc w:val="left"/>
        <w:rPr>
          <w:b/>
          <w:bCs/>
          <w:sz w:val="24"/>
          <w:szCs w:val="24"/>
        </w:rPr>
      </w:pPr>
      <w:r w:rsidRPr="006D5114">
        <w:rPr>
          <w:b/>
          <w:bCs/>
          <w:sz w:val="24"/>
          <w:szCs w:val="24"/>
        </w:rPr>
        <w:t>Original Proceeding</w:t>
      </w:r>
    </w:p>
    <w:p w14:paraId="7DFABE59" w14:textId="77777777" w:rsidR="006D5114" w:rsidRPr="006D5114" w:rsidRDefault="006D5114" w:rsidP="006D5114">
      <w:pPr>
        <w:spacing w:after="0" w:line="240" w:lineRule="auto"/>
        <w:jc w:val="left"/>
        <w:rPr>
          <w:sz w:val="24"/>
          <w:szCs w:val="24"/>
        </w:rPr>
      </w:pPr>
      <w:r w:rsidRPr="006D5114">
        <w:rPr>
          <w:b/>
          <w:bCs/>
          <w:sz w:val="24"/>
          <w:szCs w:val="24"/>
        </w:rPr>
        <w:t>Review Granted</w:t>
      </w:r>
      <w:r w:rsidRPr="006D5114">
        <w:rPr>
          <w:sz w:val="24"/>
          <w:szCs w:val="24"/>
        </w:rPr>
        <w:t xml:space="preserve"> </w:t>
      </w:r>
      <w:r w:rsidRPr="006D5114">
        <w:rPr>
          <w:b/>
          <w:bCs/>
          <w:sz w:val="24"/>
          <w:szCs w:val="24"/>
        </w:rPr>
        <w:t xml:space="preserve">(published) </w:t>
      </w:r>
      <w:r w:rsidRPr="006D5114">
        <w:rPr>
          <w:sz w:val="24"/>
          <w:szCs w:val="24"/>
        </w:rPr>
        <w:t>XX 63 Cal.App.5th 660</w:t>
      </w:r>
    </w:p>
    <w:p w14:paraId="17654F0D" w14:textId="77777777" w:rsidR="006D5114" w:rsidRPr="006D5114" w:rsidRDefault="006D5114" w:rsidP="006D5114">
      <w:pPr>
        <w:spacing w:after="0" w:line="240" w:lineRule="auto"/>
        <w:jc w:val="left"/>
        <w:rPr>
          <w:sz w:val="24"/>
          <w:szCs w:val="24"/>
        </w:rPr>
      </w:pPr>
      <w:r w:rsidRPr="006D5114">
        <w:rPr>
          <w:b/>
          <w:bCs/>
          <w:sz w:val="24"/>
          <w:szCs w:val="24"/>
        </w:rPr>
        <w:t xml:space="preserve">Review Granted (unpublished) </w:t>
      </w:r>
    </w:p>
    <w:p w14:paraId="24965CCC" w14:textId="77777777" w:rsidR="006D5114" w:rsidRPr="006D5114" w:rsidRDefault="006D5114" w:rsidP="006D5114">
      <w:pPr>
        <w:spacing w:after="0" w:line="240" w:lineRule="auto"/>
        <w:jc w:val="left"/>
        <w:rPr>
          <w:b/>
          <w:bCs/>
          <w:sz w:val="24"/>
          <w:szCs w:val="24"/>
        </w:rPr>
      </w:pPr>
      <w:r w:rsidRPr="006D5114">
        <w:rPr>
          <w:b/>
          <w:bCs/>
          <w:sz w:val="24"/>
          <w:szCs w:val="24"/>
        </w:rPr>
        <w:t>Rehearing Granted</w:t>
      </w:r>
    </w:p>
    <w:p w14:paraId="3772C4FE" w14:textId="77777777" w:rsidR="006D5114" w:rsidRPr="006D5114" w:rsidRDefault="006D5114" w:rsidP="006D5114">
      <w:pPr>
        <w:spacing w:after="0" w:line="240" w:lineRule="auto"/>
        <w:jc w:val="left"/>
        <w:rPr>
          <w:b/>
          <w:sz w:val="24"/>
          <w:szCs w:val="24"/>
        </w:rPr>
      </w:pPr>
      <w:r w:rsidRPr="006D5114">
        <w:rPr>
          <w:b/>
          <w:sz w:val="24"/>
          <w:szCs w:val="24"/>
        </w:rPr>
        <w:t xml:space="preserve">__________________________________________________________ </w:t>
      </w:r>
    </w:p>
    <w:p w14:paraId="48FC17AB" w14:textId="77777777" w:rsidR="006D5114" w:rsidRPr="006D5114" w:rsidRDefault="006D5114" w:rsidP="006D5114">
      <w:pPr>
        <w:spacing w:after="0" w:line="240" w:lineRule="auto"/>
        <w:jc w:val="left"/>
        <w:rPr>
          <w:b/>
          <w:sz w:val="24"/>
          <w:szCs w:val="24"/>
        </w:rPr>
      </w:pPr>
    </w:p>
    <w:p w14:paraId="0A24DB55" w14:textId="77777777" w:rsidR="006D5114" w:rsidRPr="006D5114" w:rsidRDefault="006D5114" w:rsidP="006D5114">
      <w:pPr>
        <w:spacing w:after="0" w:line="240" w:lineRule="auto"/>
        <w:jc w:val="left"/>
        <w:rPr>
          <w:bCs/>
          <w:sz w:val="24"/>
          <w:szCs w:val="24"/>
        </w:rPr>
      </w:pPr>
      <w:r w:rsidRPr="006D5114">
        <w:rPr>
          <w:b/>
          <w:sz w:val="24"/>
          <w:szCs w:val="24"/>
        </w:rPr>
        <w:t>Opinion No.</w:t>
      </w:r>
      <w:r w:rsidRPr="006D5114">
        <w:rPr>
          <w:sz w:val="24"/>
          <w:szCs w:val="24"/>
        </w:rPr>
        <w:t xml:space="preserve"> S269212</w:t>
      </w:r>
    </w:p>
    <w:p w14:paraId="42FF080C" w14:textId="77777777" w:rsidR="006D5114" w:rsidRPr="006D5114" w:rsidRDefault="006D5114" w:rsidP="006D5114">
      <w:pPr>
        <w:spacing w:after="0" w:line="240" w:lineRule="auto"/>
        <w:jc w:val="left"/>
        <w:rPr>
          <w:bCs/>
          <w:sz w:val="24"/>
          <w:szCs w:val="24"/>
        </w:rPr>
      </w:pPr>
      <w:r w:rsidRPr="006D5114">
        <w:rPr>
          <w:b/>
          <w:sz w:val="24"/>
          <w:szCs w:val="24"/>
        </w:rPr>
        <w:t>Date Filed:</w:t>
      </w:r>
      <w:r w:rsidRPr="006D5114">
        <w:rPr>
          <w:sz w:val="24"/>
          <w:szCs w:val="24"/>
        </w:rPr>
        <w:t xml:space="preserve">  July 17, 2023</w:t>
      </w:r>
    </w:p>
    <w:p w14:paraId="4CE488BA" w14:textId="77777777" w:rsidR="006D5114" w:rsidRPr="006D5114" w:rsidRDefault="006D5114" w:rsidP="006D5114">
      <w:pPr>
        <w:spacing w:after="0" w:line="240" w:lineRule="auto"/>
        <w:jc w:val="left"/>
        <w:rPr>
          <w:b/>
          <w:sz w:val="24"/>
          <w:szCs w:val="24"/>
        </w:rPr>
      </w:pPr>
      <w:r w:rsidRPr="006D5114">
        <w:rPr>
          <w:b/>
          <w:sz w:val="24"/>
          <w:szCs w:val="24"/>
        </w:rPr>
        <w:t xml:space="preserve">__________________________________________________________ </w:t>
      </w:r>
    </w:p>
    <w:p w14:paraId="765E35A3" w14:textId="77777777" w:rsidR="006D5114" w:rsidRPr="006D5114" w:rsidRDefault="006D5114" w:rsidP="006D5114">
      <w:pPr>
        <w:spacing w:after="0" w:line="240" w:lineRule="auto"/>
        <w:jc w:val="left"/>
        <w:rPr>
          <w:b/>
          <w:sz w:val="24"/>
          <w:szCs w:val="24"/>
        </w:rPr>
      </w:pPr>
    </w:p>
    <w:p w14:paraId="173CA7E7" w14:textId="77777777" w:rsidR="006D5114" w:rsidRPr="006D5114" w:rsidRDefault="006D5114" w:rsidP="006D5114">
      <w:pPr>
        <w:spacing w:after="0" w:line="240" w:lineRule="auto"/>
        <w:jc w:val="left"/>
        <w:rPr>
          <w:bCs/>
          <w:sz w:val="24"/>
          <w:szCs w:val="24"/>
        </w:rPr>
      </w:pPr>
      <w:r w:rsidRPr="006D5114">
        <w:rPr>
          <w:b/>
          <w:sz w:val="24"/>
          <w:szCs w:val="24"/>
        </w:rPr>
        <w:t xml:space="preserve">Court:  </w:t>
      </w:r>
      <w:r w:rsidRPr="006D5114">
        <w:rPr>
          <w:bCs/>
          <w:sz w:val="24"/>
          <w:szCs w:val="24"/>
        </w:rPr>
        <w:t>Superior</w:t>
      </w:r>
      <w:r w:rsidRPr="006D5114">
        <w:rPr>
          <w:b/>
          <w:sz w:val="24"/>
          <w:szCs w:val="24"/>
        </w:rPr>
        <w:t xml:space="preserve"> </w:t>
      </w:r>
    </w:p>
    <w:p w14:paraId="0D01FBCC" w14:textId="77777777" w:rsidR="006D5114" w:rsidRPr="006D5114" w:rsidRDefault="006D5114" w:rsidP="006D5114">
      <w:pPr>
        <w:spacing w:after="0" w:line="240" w:lineRule="auto"/>
        <w:jc w:val="left"/>
        <w:rPr>
          <w:bCs/>
          <w:sz w:val="24"/>
          <w:szCs w:val="24"/>
        </w:rPr>
      </w:pPr>
      <w:r w:rsidRPr="006D5114">
        <w:rPr>
          <w:b/>
          <w:sz w:val="24"/>
          <w:szCs w:val="24"/>
        </w:rPr>
        <w:t xml:space="preserve">County:  </w:t>
      </w:r>
      <w:r w:rsidRPr="006D5114">
        <w:rPr>
          <w:bCs/>
          <w:sz w:val="24"/>
          <w:szCs w:val="24"/>
        </w:rPr>
        <w:t>Los Angeles</w:t>
      </w:r>
    </w:p>
    <w:p w14:paraId="20258166" w14:textId="77777777" w:rsidR="006D5114" w:rsidRPr="006D5114" w:rsidRDefault="006D5114" w:rsidP="006D5114">
      <w:pPr>
        <w:spacing w:after="0" w:line="240" w:lineRule="auto"/>
        <w:ind w:left="720" w:hanging="720"/>
        <w:jc w:val="left"/>
        <w:rPr>
          <w:bCs/>
          <w:sz w:val="24"/>
          <w:szCs w:val="24"/>
        </w:rPr>
      </w:pPr>
      <w:r w:rsidRPr="006D5114">
        <w:rPr>
          <w:b/>
          <w:sz w:val="24"/>
          <w:szCs w:val="24"/>
        </w:rPr>
        <w:t xml:space="preserve">Judge: </w:t>
      </w:r>
      <w:r w:rsidRPr="006D5114">
        <w:rPr>
          <w:bCs/>
          <w:sz w:val="24"/>
          <w:szCs w:val="24"/>
        </w:rPr>
        <w:t xml:space="preserve"> Elihu M. Berle</w:t>
      </w:r>
    </w:p>
    <w:p w14:paraId="59E1FA0C" w14:textId="77777777" w:rsidR="006D5114" w:rsidRPr="006D5114" w:rsidRDefault="006D5114" w:rsidP="006D5114">
      <w:pPr>
        <w:spacing w:after="0" w:line="240" w:lineRule="auto"/>
        <w:jc w:val="left"/>
        <w:rPr>
          <w:b/>
          <w:sz w:val="24"/>
          <w:szCs w:val="24"/>
        </w:rPr>
      </w:pPr>
      <w:r w:rsidRPr="006D5114">
        <w:rPr>
          <w:b/>
          <w:sz w:val="24"/>
          <w:szCs w:val="24"/>
        </w:rPr>
        <w:t xml:space="preserve">__________________________________________________________  </w:t>
      </w:r>
    </w:p>
    <w:p w14:paraId="4D428FF3" w14:textId="77777777" w:rsidR="006D5114" w:rsidRPr="006D5114" w:rsidRDefault="006D5114" w:rsidP="006D5114">
      <w:pPr>
        <w:spacing w:after="0" w:line="240" w:lineRule="auto"/>
        <w:jc w:val="left"/>
        <w:rPr>
          <w:b/>
          <w:sz w:val="24"/>
          <w:szCs w:val="24"/>
        </w:rPr>
      </w:pPr>
    </w:p>
    <w:p w14:paraId="0D994535" w14:textId="77777777" w:rsidR="006D5114" w:rsidRPr="006D5114" w:rsidRDefault="006D5114" w:rsidP="006D5114">
      <w:pPr>
        <w:spacing w:after="0" w:line="240" w:lineRule="auto"/>
        <w:jc w:val="left"/>
        <w:rPr>
          <w:b/>
          <w:sz w:val="24"/>
          <w:szCs w:val="24"/>
        </w:rPr>
      </w:pPr>
      <w:r w:rsidRPr="006D5114">
        <w:rPr>
          <w:b/>
          <w:sz w:val="24"/>
          <w:szCs w:val="24"/>
        </w:rPr>
        <w:t>Counsel:</w:t>
      </w:r>
    </w:p>
    <w:p w14:paraId="4C00B342" w14:textId="77777777" w:rsidR="006D5114" w:rsidRPr="006D5114" w:rsidRDefault="006D5114" w:rsidP="006D5114">
      <w:pPr>
        <w:spacing w:after="0" w:line="240" w:lineRule="auto"/>
        <w:jc w:val="left"/>
        <w:rPr>
          <w:b/>
          <w:sz w:val="24"/>
          <w:szCs w:val="24"/>
        </w:rPr>
      </w:pPr>
    </w:p>
    <w:p w14:paraId="51E9BCDF"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t>Whatley Kallas, Alan M. Mansfield, Edith M. Kallas, Deborah J. Winegard; Altshuler Berzon, Michael Rubin and Stacey M. Leyton for Plaintiff and Appellant.</w:t>
      </w:r>
    </w:p>
    <w:p w14:paraId="0EFFA54F" w14:textId="77777777" w:rsidR="006D5114" w:rsidRPr="006D5114" w:rsidRDefault="006D5114" w:rsidP="006D5114">
      <w:pPr>
        <w:spacing w:after="0" w:line="240" w:lineRule="auto"/>
        <w:jc w:val="left"/>
        <w:rPr>
          <w:color w:val="212121"/>
          <w:sz w:val="24"/>
          <w:szCs w:val="24"/>
          <w:shd w:val="clear" w:color="auto" w:fill="FFFFFF"/>
        </w:rPr>
      </w:pPr>
    </w:p>
    <w:p w14:paraId="00758991"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t>Rob Bonta, Attorney General, Nicklas A. Akers, Assistant Attorney General, Michele Van Gelderen and Amy Chmielewski, Deputy Attorneys General, for the Attorney General of California as Amicus Curiae on behalf of Plaintiff and Appellant.</w:t>
      </w:r>
    </w:p>
    <w:p w14:paraId="382B2631" w14:textId="77777777" w:rsidR="006D5114" w:rsidRPr="006D5114" w:rsidRDefault="006D5114" w:rsidP="006D5114">
      <w:pPr>
        <w:spacing w:after="0" w:line="240" w:lineRule="auto"/>
        <w:jc w:val="left"/>
        <w:rPr>
          <w:color w:val="212121"/>
          <w:sz w:val="24"/>
          <w:szCs w:val="24"/>
          <w:shd w:val="clear" w:color="auto" w:fill="FFFFFF"/>
        </w:rPr>
      </w:pPr>
    </w:p>
    <w:p w14:paraId="6A64E736"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t>Strumwasser &amp; Woocher, Michael J. Strumwasser, Bryce A. Gee and Salvador Perez for the American Medical Association as Amicus Curiae on behalf of Plaintiff and Appellant.</w:t>
      </w:r>
    </w:p>
    <w:p w14:paraId="3C06FDE0" w14:textId="77777777" w:rsidR="006D5114" w:rsidRPr="006D5114" w:rsidRDefault="006D5114" w:rsidP="006D5114">
      <w:pPr>
        <w:spacing w:after="0" w:line="240" w:lineRule="auto"/>
        <w:jc w:val="left"/>
        <w:rPr>
          <w:color w:val="212121"/>
          <w:sz w:val="24"/>
          <w:szCs w:val="24"/>
          <w:shd w:val="clear" w:color="auto" w:fill="FFFFFF"/>
        </w:rPr>
      </w:pPr>
    </w:p>
    <w:p w14:paraId="73464C7E"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t>Jerry Flanagan and Ryan Mellino for Consumer Watchdog as Amicus Curiae on behalf of Plaintiff and Appellant.</w:t>
      </w:r>
    </w:p>
    <w:p w14:paraId="6AF180F8" w14:textId="77777777" w:rsidR="006D5114" w:rsidRPr="006D5114" w:rsidRDefault="006D5114" w:rsidP="006D5114">
      <w:pPr>
        <w:spacing w:after="0" w:line="240" w:lineRule="auto"/>
        <w:jc w:val="left"/>
        <w:rPr>
          <w:color w:val="212121"/>
          <w:sz w:val="24"/>
          <w:szCs w:val="24"/>
          <w:shd w:val="clear" w:color="auto" w:fill="FFFFFF"/>
        </w:rPr>
      </w:pPr>
    </w:p>
    <w:p w14:paraId="4DEDAC65"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lastRenderedPageBreak/>
        <w:t>Law Office of Jonathan Weissglass and Jonathan Weissglass for the Service Employees International Union California State Council, International Brotherhood of Teamsters Joint Council 7, Writers Guild of America, West, Inc., United Food and Commercial Workers Western States Council and United Farm Workers of America as Amici Curiae on behalf of Plaintiff and Appellant.</w:t>
      </w:r>
    </w:p>
    <w:p w14:paraId="31FB73BC" w14:textId="77777777" w:rsidR="006D5114" w:rsidRPr="006D5114" w:rsidRDefault="006D5114" w:rsidP="006D5114">
      <w:pPr>
        <w:spacing w:after="0" w:line="240" w:lineRule="auto"/>
        <w:jc w:val="left"/>
        <w:rPr>
          <w:color w:val="212121"/>
          <w:sz w:val="24"/>
          <w:szCs w:val="24"/>
          <w:shd w:val="clear" w:color="auto" w:fill="FFFFFF"/>
        </w:rPr>
      </w:pPr>
    </w:p>
    <w:p w14:paraId="1693D35C"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t>Thomas A. Myers, Jonathan M. Eisenberg and Kirra N. Jones for AIDS Healthcare Foundation as Amicus Curiae on behalf of Plaintiff and Appellant.</w:t>
      </w:r>
    </w:p>
    <w:p w14:paraId="40201EA7" w14:textId="77777777" w:rsidR="006D5114" w:rsidRPr="006D5114" w:rsidRDefault="006D5114" w:rsidP="006D5114">
      <w:pPr>
        <w:spacing w:after="0" w:line="240" w:lineRule="auto"/>
        <w:jc w:val="left"/>
        <w:rPr>
          <w:color w:val="212121"/>
          <w:sz w:val="24"/>
          <w:szCs w:val="24"/>
          <w:shd w:val="clear" w:color="auto" w:fill="FFFFFF"/>
        </w:rPr>
      </w:pPr>
    </w:p>
    <w:p w14:paraId="2B44C948"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t>David Chiu, City Attorney (San Francisco), Yvonne R. Meré and Owen J. Clements, Chief Deputy City Attorneys, Ronald H. Lee, Deputy City Attorney, Barbara J. Parker, City Attorney (Oakland), Mara W. Elliott, City Attorney (San Diego) and Nora V. Frimann, City Attorney (San Jose), for local prosecutors as Amici Curiae on behalf of Plaintiff and Appellant.</w:t>
      </w:r>
    </w:p>
    <w:p w14:paraId="08EA961E" w14:textId="77777777" w:rsidR="006D5114" w:rsidRPr="006D5114" w:rsidRDefault="006D5114" w:rsidP="006D5114">
      <w:pPr>
        <w:spacing w:after="0" w:line="240" w:lineRule="auto"/>
        <w:jc w:val="left"/>
        <w:rPr>
          <w:color w:val="212121"/>
          <w:sz w:val="24"/>
          <w:szCs w:val="24"/>
          <w:shd w:val="clear" w:color="auto" w:fill="FFFFFF"/>
        </w:rPr>
      </w:pPr>
    </w:p>
    <w:p w14:paraId="2A8DB0E6"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t>Cristina Kladis and Christopher Berry for Animal Legal Defense Fund as Amicus Curiae on behalf of Plaintiff and Appellant.</w:t>
      </w:r>
    </w:p>
    <w:p w14:paraId="18C843A5" w14:textId="77777777" w:rsidR="006D5114" w:rsidRPr="006D5114" w:rsidRDefault="006D5114" w:rsidP="006D5114">
      <w:pPr>
        <w:spacing w:after="0" w:line="240" w:lineRule="auto"/>
        <w:jc w:val="left"/>
        <w:rPr>
          <w:color w:val="212121"/>
          <w:sz w:val="24"/>
          <w:szCs w:val="24"/>
          <w:shd w:val="clear" w:color="auto" w:fill="FFFFFF"/>
        </w:rPr>
      </w:pPr>
    </w:p>
    <w:p w14:paraId="55D7CD7C"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t>Spertus, Landes &amp; Umhofer, Matthew Umhofer, Elizabeth Mitchell; Williams &amp; Connolly, Enu Mainigi, Craig Singer, Grant Geyerman and Benjamin Hazelwood for Defendant and Respondent.</w:t>
      </w:r>
    </w:p>
    <w:p w14:paraId="52F2DEE5" w14:textId="77777777" w:rsidR="006D5114" w:rsidRPr="006D5114" w:rsidRDefault="006D5114" w:rsidP="006D5114">
      <w:pPr>
        <w:spacing w:after="0" w:line="240" w:lineRule="auto"/>
        <w:jc w:val="left"/>
        <w:rPr>
          <w:color w:val="212121"/>
          <w:sz w:val="24"/>
          <w:szCs w:val="24"/>
          <w:shd w:val="clear" w:color="auto" w:fill="FFFFFF"/>
        </w:rPr>
      </w:pPr>
    </w:p>
    <w:p w14:paraId="4A5DD0A8"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t>Munger, Tolles &amp; Olson, Sarah Weiner and Henry Weissmann for Chamber of Commerce of the United States of America as Amicus Curiae on behalf of Defendant and Respondent.</w:t>
      </w:r>
    </w:p>
    <w:p w14:paraId="0C1A923A" w14:textId="77777777" w:rsidR="006D5114" w:rsidRPr="006D5114" w:rsidRDefault="006D5114" w:rsidP="006D5114">
      <w:pPr>
        <w:spacing w:after="0" w:line="240" w:lineRule="auto"/>
        <w:jc w:val="left"/>
        <w:rPr>
          <w:color w:val="212121"/>
          <w:sz w:val="24"/>
          <w:szCs w:val="24"/>
          <w:shd w:val="clear" w:color="auto" w:fill="FFFFFF"/>
        </w:rPr>
      </w:pPr>
    </w:p>
    <w:p w14:paraId="726882B3"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t>Daponde Simpson Rowe, Michael J. Daponde and Darcy Muilenburg for California Association of Health Plans and Association of California Life and Health Insurance Companies as Amici Curiae on behalf of Defendant and Respondent.</w:t>
      </w:r>
    </w:p>
    <w:p w14:paraId="2E6AFFBE" w14:textId="77777777" w:rsidR="006D5114" w:rsidRPr="006D5114" w:rsidRDefault="006D5114" w:rsidP="006D5114">
      <w:pPr>
        <w:spacing w:after="0" w:line="240" w:lineRule="auto"/>
        <w:jc w:val="left"/>
        <w:rPr>
          <w:color w:val="212121"/>
          <w:sz w:val="24"/>
          <w:szCs w:val="24"/>
          <w:shd w:val="clear" w:color="auto" w:fill="FFFFFF"/>
        </w:rPr>
      </w:pPr>
    </w:p>
    <w:p w14:paraId="59E1F975"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t>The Office of Michael Tenenbaum and Michael Tenenbaum for Ken Frank and Sean Chaney as Amici Curiae on behalf of Defendant and Respondent.</w:t>
      </w:r>
      <w:r w:rsidRPr="006D5114">
        <w:rPr>
          <w:color w:val="212121"/>
          <w:sz w:val="24"/>
          <w:szCs w:val="24"/>
          <w:shd w:val="clear" w:color="auto" w:fill="FFFFFF"/>
        </w:rPr>
        <w:br w:type="page"/>
      </w:r>
      <w:r w:rsidRPr="006D5114">
        <w:rPr>
          <w:b/>
          <w:sz w:val="24"/>
          <w:szCs w:val="24"/>
        </w:rPr>
        <w:lastRenderedPageBreak/>
        <w:t>Counsel who argued in Supreme Court (not intended for publication with opinion):</w:t>
      </w:r>
    </w:p>
    <w:p w14:paraId="4D2BEAC0" w14:textId="77777777" w:rsidR="006D5114" w:rsidRPr="006D5114" w:rsidRDefault="006D5114" w:rsidP="006D5114">
      <w:pPr>
        <w:spacing w:after="0" w:line="240" w:lineRule="auto"/>
        <w:jc w:val="left"/>
        <w:rPr>
          <w:sz w:val="24"/>
          <w:szCs w:val="24"/>
        </w:rPr>
      </w:pPr>
    </w:p>
    <w:p w14:paraId="28D99B26"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t>Stacey M. Leyton</w:t>
      </w:r>
    </w:p>
    <w:p w14:paraId="3F21BAA6"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t>Altshuler Berzon LLP</w:t>
      </w:r>
    </w:p>
    <w:p w14:paraId="0C0254D7" w14:textId="77777777" w:rsidR="006D5114" w:rsidRPr="006D5114" w:rsidRDefault="006D5114" w:rsidP="006D5114">
      <w:pPr>
        <w:spacing w:after="0" w:line="240" w:lineRule="auto"/>
        <w:jc w:val="left"/>
        <w:rPr>
          <w:sz w:val="24"/>
          <w:szCs w:val="24"/>
        </w:rPr>
      </w:pPr>
      <w:r w:rsidRPr="006D5114">
        <w:rPr>
          <w:sz w:val="24"/>
          <w:szCs w:val="24"/>
        </w:rPr>
        <w:t>177 Post Street, Suite 300</w:t>
      </w:r>
    </w:p>
    <w:p w14:paraId="507D6A1C" w14:textId="77777777" w:rsidR="006D5114" w:rsidRPr="006D5114" w:rsidRDefault="006D5114" w:rsidP="006D5114">
      <w:pPr>
        <w:spacing w:after="0" w:line="240" w:lineRule="auto"/>
        <w:jc w:val="left"/>
        <w:rPr>
          <w:sz w:val="24"/>
          <w:szCs w:val="24"/>
        </w:rPr>
      </w:pPr>
      <w:r w:rsidRPr="006D5114">
        <w:rPr>
          <w:sz w:val="24"/>
          <w:szCs w:val="24"/>
        </w:rPr>
        <w:t>San Francisco, CA 94108</w:t>
      </w:r>
    </w:p>
    <w:p w14:paraId="765CA23D" w14:textId="77777777" w:rsidR="006D5114" w:rsidRPr="006D5114" w:rsidRDefault="006D5114" w:rsidP="006D5114">
      <w:pPr>
        <w:spacing w:after="0" w:line="240" w:lineRule="auto"/>
        <w:jc w:val="left"/>
        <w:rPr>
          <w:sz w:val="24"/>
          <w:szCs w:val="24"/>
        </w:rPr>
      </w:pPr>
      <w:r w:rsidRPr="006D5114">
        <w:rPr>
          <w:sz w:val="24"/>
          <w:szCs w:val="24"/>
        </w:rPr>
        <w:t>(415) 421-7151 ext. 304</w:t>
      </w:r>
    </w:p>
    <w:p w14:paraId="5AC8F7D8" w14:textId="77777777" w:rsidR="006D5114" w:rsidRPr="006D5114" w:rsidRDefault="006D5114" w:rsidP="006D5114">
      <w:pPr>
        <w:spacing w:after="0" w:line="240" w:lineRule="auto"/>
        <w:jc w:val="left"/>
        <w:rPr>
          <w:sz w:val="24"/>
          <w:szCs w:val="24"/>
        </w:rPr>
      </w:pPr>
    </w:p>
    <w:p w14:paraId="6AD8F2B5"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t>Benjamin Hazelwood</w:t>
      </w:r>
    </w:p>
    <w:p w14:paraId="1FE3F068" w14:textId="77777777" w:rsidR="006D5114" w:rsidRPr="006D5114" w:rsidRDefault="006D5114" w:rsidP="006D5114">
      <w:pPr>
        <w:spacing w:after="0" w:line="240" w:lineRule="auto"/>
        <w:jc w:val="left"/>
        <w:rPr>
          <w:color w:val="212121"/>
          <w:sz w:val="24"/>
          <w:szCs w:val="24"/>
          <w:shd w:val="clear" w:color="auto" w:fill="FFFFFF"/>
        </w:rPr>
      </w:pPr>
      <w:r w:rsidRPr="006D5114">
        <w:rPr>
          <w:color w:val="212121"/>
          <w:sz w:val="24"/>
          <w:szCs w:val="24"/>
          <w:shd w:val="clear" w:color="auto" w:fill="FFFFFF"/>
        </w:rPr>
        <w:t>Williams &amp; Connolly LLP</w:t>
      </w:r>
    </w:p>
    <w:p w14:paraId="068A99EE" w14:textId="77777777" w:rsidR="006D5114" w:rsidRPr="006D5114" w:rsidRDefault="006D5114" w:rsidP="006D5114">
      <w:pPr>
        <w:spacing w:after="0" w:line="240" w:lineRule="auto"/>
        <w:jc w:val="left"/>
        <w:rPr>
          <w:sz w:val="24"/>
          <w:szCs w:val="24"/>
        </w:rPr>
      </w:pPr>
      <w:r w:rsidRPr="006D5114">
        <w:rPr>
          <w:sz w:val="24"/>
          <w:szCs w:val="24"/>
        </w:rPr>
        <w:t>680 Maine Avenue, SW</w:t>
      </w:r>
    </w:p>
    <w:p w14:paraId="0E3FF244" w14:textId="77777777" w:rsidR="006D5114" w:rsidRPr="006D5114" w:rsidRDefault="006D5114" w:rsidP="006D5114">
      <w:pPr>
        <w:spacing w:after="0" w:line="240" w:lineRule="auto"/>
        <w:jc w:val="left"/>
        <w:rPr>
          <w:sz w:val="24"/>
          <w:szCs w:val="24"/>
        </w:rPr>
      </w:pPr>
      <w:r w:rsidRPr="006D5114">
        <w:rPr>
          <w:sz w:val="24"/>
          <w:szCs w:val="24"/>
        </w:rPr>
        <w:t>Washington, DC 20024</w:t>
      </w:r>
    </w:p>
    <w:p w14:paraId="463DD406" w14:textId="77777777" w:rsidR="006D5114" w:rsidRPr="006D5114" w:rsidRDefault="006D5114" w:rsidP="006D5114">
      <w:pPr>
        <w:spacing w:after="0" w:line="240" w:lineRule="auto"/>
        <w:jc w:val="left"/>
        <w:rPr>
          <w:sz w:val="24"/>
          <w:szCs w:val="24"/>
        </w:rPr>
      </w:pPr>
      <w:r w:rsidRPr="006D5114">
        <w:rPr>
          <w:sz w:val="24"/>
          <w:szCs w:val="24"/>
        </w:rPr>
        <w:t>(202) 434-5159</w:t>
      </w:r>
    </w:p>
    <w:p w14:paraId="64B33163" w14:textId="77777777" w:rsidR="00B40DA3" w:rsidRPr="005420DC" w:rsidRDefault="00B40DA3" w:rsidP="00190BF7">
      <w:pPr>
        <w:tabs>
          <w:tab w:val="left" w:pos="1440"/>
        </w:tabs>
        <w:rPr>
          <w:b/>
          <w:bCs/>
        </w:rPr>
      </w:pPr>
    </w:p>
    <w:p w14:paraId="1A17D39F" w14:textId="2BAB075A" w:rsidR="005F3AAE" w:rsidRPr="00190BF7" w:rsidRDefault="005F3AAE" w:rsidP="00190BF7">
      <w:pPr>
        <w:tabs>
          <w:tab w:val="left" w:pos="1440"/>
        </w:tabs>
        <w:ind w:firstLine="720"/>
      </w:pPr>
    </w:p>
    <w:sectPr w:rsidR="005F3AAE" w:rsidRPr="00190BF7" w:rsidSect="00190BF7">
      <w:headerReference w:type="default" r:id="rId11"/>
      <w:footerReference w:type="default" r:id="rId12"/>
      <w:footerReference w:type="first" r:id="rId13"/>
      <w:pgSz w:w="12240" w:h="15840"/>
      <w:pgMar w:top="1800" w:right="2160" w:bottom="1440" w:left="216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A0B2" w14:textId="77777777" w:rsidR="007B7B95" w:rsidRDefault="007B7B95">
      <w:r>
        <w:separator/>
      </w:r>
    </w:p>
  </w:endnote>
  <w:endnote w:type="continuationSeparator" w:id="0">
    <w:p w14:paraId="21AAB5B8" w14:textId="77777777" w:rsidR="007B7B95" w:rsidRDefault="007B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3758" w14:textId="77777777" w:rsidR="0002670F" w:rsidRDefault="00733089">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4E68" w14:textId="77777777" w:rsidR="00190BF7" w:rsidRDefault="00190BF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499C" w14:textId="59CFD6AA" w:rsidR="00F66855" w:rsidRPr="00F66855" w:rsidRDefault="00F66855" w:rsidP="00F668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1FD0" w14:textId="64CD375F" w:rsidR="00F66855" w:rsidRPr="00F66855" w:rsidRDefault="00F66855" w:rsidP="00F66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64ED" w14:textId="77777777" w:rsidR="007B7B95" w:rsidRDefault="007B7B95">
      <w:r>
        <w:separator/>
      </w:r>
    </w:p>
  </w:footnote>
  <w:footnote w:type="continuationSeparator" w:id="0">
    <w:p w14:paraId="36BD85D3" w14:textId="77777777" w:rsidR="007B7B95" w:rsidRDefault="007B7B95">
      <w:pPr>
        <w:rPr>
          <w:sz w:val="22"/>
        </w:rPr>
      </w:pPr>
      <w:r>
        <w:continuationSeparator/>
      </w:r>
    </w:p>
  </w:footnote>
  <w:footnote w:type="continuationNotice" w:id="1">
    <w:p w14:paraId="332D1C12" w14:textId="77777777" w:rsidR="007B7B95" w:rsidRDefault="007B7B95">
      <w:pPr>
        <w:jc w:val="right"/>
        <w:rPr>
          <w:i/>
          <w:sz w:val="20"/>
        </w:rPr>
      </w:pPr>
    </w:p>
  </w:footnote>
  <w:footnote w:id="2">
    <w:p w14:paraId="0C154EF6" w14:textId="52483DCA" w:rsidR="00502C62" w:rsidRDefault="00502C62" w:rsidP="00190BF7">
      <w:pPr>
        <w:pStyle w:val="FootnoteText"/>
      </w:pPr>
      <w:r>
        <w:rPr>
          <w:rStyle w:val="FootnoteReference"/>
        </w:rPr>
        <w:footnoteRef/>
      </w:r>
      <w:r>
        <w:t xml:space="preserve"> </w:t>
      </w:r>
      <w:r>
        <w:tab/>
      </w:r>
      <w:r w:rsidR="00C514CC">
        <w:t>Unless otherwise specified, statutory references are to the Business and Professions Code.</w:t>
      </w:r>
    </w:p>
  </w:footnote>
  <w:footnote w:id="3">
    <w:p w14:paraId="440F918B" w14:textId="7EAF25DA" w:rsidR="00483E6E" w:rsidRDefault="00483E6E" w:rsidP="00190BF7">
      <w:pPr>
        <w:pStyle w:val="FootnoteText"/>
      </w:pPr>
      <w:r>
        <w:rPr>
          <w:rStyle w:val="FootnoteReference"/>
        </w:rPr>
        <w:footnoteRef/>
      </w:r>
      <w:r>
        <w:t xml:space="preserve"> </w:t>
      </w:r>
      <w:r>
        <w:tab/>
        <w:t>We have drawn some factual background</w:t>
      </w:r>
      <w:r w:rsidR="00DE17C9">
        <w:t xml:space="preserve"> </w:t>
      </w:r>
      <w:r w:rsidR="003D31CE">
        <w:t>(</w:t>
      </w:r>
      <w:r w:rsidR="00DE17C9">
        <w:t xml:space="preserve">unchallenged by either party </w:t>
      </w:r>
      <w:r w:rsidR="00C73E48">
        <w:t>through a petition for rehearing</w:t>
      </w:r>
      <w:r w:rsidR="003D31CE">
        <w:t>)</w:t>
      </w:r>
      <w:r w:rsidR="00C73E48">
        <w:t xml:space="preserve"> from the opinion of the Court of Appeal below.  (</w:t>
      </w:r>
      <w:r w:rsidR="001F49F7">
        <w:t>S</w:t>
      </w:r>
      <w:r w:rsidR="00C73E48">
        <w:t xml:space="preserve">ee </w:t>
      </w:r>
      <w:r w:rsidR="00C73E48" w:rsidRPr="00355811">
        <w:t>Cal. Rules of Court, rule 8.500(c)(2)</w:t>
      </w:r>
      <w:r w:rsidR="001F49F7">
        <w:t>.)</w:t>
      </w:r>
    </w:p>
  </w:footnote>
  <w:footnote w:id="4">
    <w:p w14:paraId="2C2F7E03" w14:textId="6B41D4CA" w:rsidR="00CD06F2" w:rsidRDefault="00CD06F2" w:rsidP="00190BF7">
      <w:pPr>
        <w:pStyle w:val="FootnoteText"/>
      </w:pPr>
      <w:r>
        <w:rPr>
          <w:rStyle w:val="FootnoteReference"/>
        </w:rPr>
        <w:footnoteRef/>
      </w:r>
      <w:r>
        <w:t xml:space="preserve"> </w:t>
      </w:r>
      <w:r>
        <w:tab/>
        <w:t xml:space="preserve">That </w:t>
      </w:r>
      <w:r w:rsidR="00016FFA">
        <w:t>CMA</w:t>
      </w:r>
      <w:r>
        <w:t xml:space="preserve"> is not a natural person does not matter for standing purposes.  Section 17201 defines “person,” as used in the UCL’s enforcement provisions, to include “</w:t>
      </w:r>
      <w:r w:rsidRPr="001A44CD">
        <w:t>associations and other organizations of persons</w:t>
      </w:r>
      <w:r>
        <w:t>.”</w:t>
      </w:r>
    </w:p>
  </w:footnote>
  <w:footnote w:id="5">
    <w:p w14:paraId="7B89864D" w14:textId="63DE0552" w:rsidR="006D30C3" w:rsidRDefault="006D30C3" w:rsidP="00190BF7">
      <w:pPr>
        <w:pStyle w:val="FootnoteText"/>
      </w:pPr>
      <w:r>
        <w:rPr>
          <w:rStyle w:val="FootnoteReference"/>
        </w:rPr>
        <w:footnoteRef/>
      </w:r>
      <w:r>
        <w:t xml:space="preserve"> </w:t>
      </w:r>
      <w:r>
        <w:tab/>
        <w:t xml:space="preserve">In place of the federal traceability </w:t>
      </w:r>
      <w:r w:rsidR="006F4CBB">
        <w:t>requirement, Proposition 64 included its own causation element</w:t>
      </w:r>
      <w:r w:rsidR="001A6E4E">
        <w:t xml:space="preserve"> for standing:  that the injury </w:t>
      </w:r>
      <w:r w:rsidR="00C67C6C">
        <w:t>w</w:t>
      </w:r>
      <w:r w:rsidR="00C22F75">
        <w:t xml:space="preserve">as incurred “as a result of” the challenged business practice.  </w:t>
      </w:r>
      <w:r w:rsidR="00373DF3">
        <w:t>(§ 17204.)  We discuss that element in the next section.</w:t>
      </w:r>
    </w:p>
  </w:footnote>
  <w:footnote w:id="6">
    <w:p w14:paraId="3FCCA51D" w14:textId="06EFE293" w:rsidR="000F7923" w:rsidRPr="00147378" w:rsidRDefault="000F7923" w:rsidP="00190BF7">
      <w:pPr>
        <w:pStyle w:val="FootnoteText"/>
      </w:pPr>
      <w:r>
        <w:rPr>
          <w:rStyle w:val="FootnoteReference"/>
        </w:rPr>
        <w:footnoteRef/>
      </w:r>
      <w:r>
        <w:t xml:space="preserve"> </w:t>
      </w:r>
      <w:r>
        <w:tab/>
        <w:t>Among the organization</w:t>
      </w:r>
      <w:r w:rsidR="00D90DB1">
        <w:t>’s</w:t>
      </w:r>
      <w:r>
        <w:t xml:space="preserve"> </w:t>
      </w:r>
      <w:r w:rsidR="00496156">
        <w:t xml:space="preserve">steps </w:t>
      </w:r>
      <w:r>
        <w:t xml:space="preserve">in </w:t>
      </w:r>
      <w:r w:rsidR="00165B43">
        <w:rPr>
          <w:i/>
          <w:iCs/>
        </w:rPr>
        <w:t xml:space="preserve">Animal Legal Defense </w:t>
      </w:r>
      <w:r w:rsidR="00496156">
        <w:t xml:space="preserve">was </w:t>
      </w:r>
      <w:r w:rsidR="00D90DB1">
        <w:t xml:space="preserve">hiring a private investigator to dine at the restaurant and </w:t>
      </w:r>
      <w:r w:rsidR="00F83CA9">
        <w:t>request</w:t>
      </w:r>
      <w:r w:rsidR="00D90DB1">
        <w:t xml:space="preserve"> foie gras</w:t>
      </w:r>
      <w:r w:rsidR="00FD1BD9">
        <w:t>.  (</w:t>
      </w:r>
      <w:r w:rsidR="00165B43">
        <w:rPr>
          <w:i/>
          <w:iCs/>
        </w:rPr>
        <w:t>Animal Legal Defense</w:t>
      </w:r>
      <w:r w:rsidR="00FD1BD9">
        <w:t xml:space="preserve">, </w:t>
      </w:r>
      <w:r w:rsidR="00FD1BD9">
        <w:rPr>
          <w:i/>
          <w:iCs/>
        </w:rPr>
        <w:t>supra</w:t>
      </w:r>
      <w:r w:rsidR="00FD1BD9">
        <w:t xml:space="preserve">, </w:t>
      </w:r>
      <w:r w:rsidR="00380173">
        <w:t>234 Cal.App.</w:t>
      </w:r>
      <w:r w:rsidR="00531438">
        <w:t>4th</w:t>
      </w:r>
      <w:r w:rsidR="00380173">
        <w:t xml:space="preserve"> at p. 1275.)</w:t>
      </w:r>
      <w:r w:rsidR="00657CFC">
        <w:t xml:space="preserve">  The </w:t>
      </w:r>
      <w:r w:rsidR="00A44CBF">
        <w:t xml:space="preserve">Court of Appeal’s decision, however, </w:t>
      </w:r>
      <w:r w:rsidR="00F54E2B">
        <w:t xml:space="preserve">does not </w:t>
      </w:r>
      <w:r w:rsidR="007D7F72">
        <w:t>emphasize</w:t>
      </w:r>
      <w:r w:rsidR="00A44CBF">
        <w:t xml:space="preserve"> that </w:t>
      </w:r>
      <w:r w:rsidR="00DB5113">
        <w:t xml:space="preserve">outside expenditure as establishing loss of money or property; it places at least equal </w:t>
      </w:r>
      <w:r w:rsidR="007D7F72">
        <w:t>stress</w:t>
      </w:r>
      <w:r w:rsidR="00DB5113">
        <w:t xml:space="preserve"> on the </w:t>
      </w:r>
      <w:r w:rsidR="007F1144">
        <w:t>evidence the organization’s own staff</w:t>
      </w:r>
      <w:r w:rsidR="001E198F">
        <w:t xml:space="preserve"> </w:t>
      </w:r>
      <w:r w:rsidR="007F1144">
        <w:t>“</w:t>
      </w:r>
      <w:r w:rsidR="007F1144" w:rsidRPr="007F1144">
        <w:t>spent months on the effort to persuade Napa authorities to take action based on the alleged violations</w:t>
      </w:r>
      <w:r w:rsidR="00147378">
        <w:t>.”  (</w:t>
      </w:r>
      <w:r w:rsidR="00147378">
        <w:rPr>
          <w:i/>
          <w:iCs/>
        </w:rPr>
        <w:t>Id.</w:t>
      </w:r>
      <w:r w:rsidR="00147378">
        <w:t xml:space="preserve"> at p. </w:t>
      </w:r>
      <w:r w:rsidR="001C7D64">
        <w:t xml:space="preserve">1282.)  </w:t>
      </w:r>
    </w:p>
  </w:footnote>
  <w:footnote w:id="7">
    <w:p w14:paraId="0FCEB8CD" w14:textId="77777777" w:rsidR="00424A79" w:rsidRDefault="00BE07AC" w:rsidP="00190BF7">
      <w:pPr>
        <w:pStyle w:val="FootnoteText"/>
      </w:pPr>
      <w:r>
        <w:rPr>
          <w:rStyle w:val="FootnoteReference"/>
        </w:rPr>
        <w:footnoteRef/>
      </w:r>
      <w:r>
        <w:t xml:space="preserve"> </w:t>
      </w:r>
      <w:r>
        <w:tab/>
      </w:r>
      <w:bookmarkStart w:id="8" w:name="_Hlk126164438"/>
      <w:r w:rsidR="0087786D">
        <w:t xml:space="preserve">As we explained in </w:t>
      </w:r>
      <w:r w:rsidR="0087786D" w:rsidRPr="0087786D">
        <w:rPr>
          <w:i/>
          <w:iCs/>
        </w:rPr>
        <w:t>McGill</w:t>
      </w:r>
      <w:r w:rsidR="00165B43">
        <w:rPr>
          <w:i/>
          <w:iCs/>
        </w:rPr>
        <w:t xml:space="preserve">, </w:t>
      </w:r>
      <w:r w:rsidR="00165B43" w:rsidRPr="005420DC">
        <w:rPr>
          <w:i/>
          <w:iCs/>
        </w:rPr>
        <w:t>supra</w:t>
      </w:r>
      <w:r w:rsidR="00165B43">
        <w:t xml:space="preserve">, </w:t>
      </w:r>
      <w:r w:rsidR="0087786D" w:rsidRPr="0087786D">
        <w:t xml:space="preserve">2 Cal.5th </w:t>
      </w:r>
      <w:r w:rsidR="00165B43">
        <w:t>at pages</w:t>
      </w:r>
      <w:r w:rsidR="0087786D" w:rsidRPr="0087786D">
        <w:t xml:space="preserve"> 959</w:t>
      </w:r>
      <w:r w:rsidR="005F4C4F" w:rsidRPr="00190BF7">
        <w:t>–</w:t>
      </w:r>
      <w:r w:rsidR="00CC5531">
        <w:t>960,</w:t>
      </w:r>
      <w:r w:rsidR="0087786D">
        <w:t xml:space="preserve"> a party with </w:t>
      </w:r>
      <w:r w:rsidR="00F150F9">
        <w:t xml:space="preserve">individual </w:t>
      </w:r>
      <w:r w:rsidR="0087786D">
        <w:t xml:space="preserve">standing to sue under section 17204 </w:t>
      </w:r>
      <w:r w:rsidR="00056FD9">
        <w:t xml:space="preserve">may do so even if the complaint seeks </w:t>
      </w:r>
      <w:r w:rsidR="0087786D" w:rsidRPr="0087786D">
        <w:t xml:space="preserve">injunctive relief </w:t>
      </w:r>
      <w:r w:rsidR="00056FD9">
        <w:t xml:space="preserve">that primarily </w:t>
      </w:r>
      <w:r w:rsidR="004408CA">
        <w:t xml:space="preserve">benefits the </w:t>
      </w:r>
      <w:r w:rsidR="00056FD9" w:rsidRPr="0087786D">
        <w:t>public</w:t>
      </w:r>
      <w:r w:rsidR="004408CA">
        <w:t>, and</w:t>
      </w:r>
      <w:r w:rsidR="00CC5531">
        <w:t xml:space="preserve"> such a request for relief does not make </w:t>
      </w:r>
      <w:r w:rsidR="00DA1140">
        <w:t xml:space="preserve">the action a representative </w:t>
      </w:r>
      <w:r w:rsidR="00AE1A39">
        <w:t>one under section 17203</w:t>
      </w:r>
      <w:r w:rsidR="00304A41">
        <w:t xml:space="preserve"> or r</w:t>
      </w:r>
      <w:r w:rsidR="002A6127">
        <w:t>equire</w:t>
      </w:r>
      <w:r w:rsidR="00AE1A39">
        <w:t xml:space="preserve"> </w:t>
      </w:r>
      <w:r w:rsidR="00EE73CC">
        <w:t xml:space="preserve">compliance with </w:t>
      </w:r>
      <w:r>
        <w:t>Code of Civil Procedure section 382.</w:t>
      </w:r>
      <w:r w:rsidR="00304A41">
        <w:t xml:space="preserve">  </w:t>
      </w:r>
    </w:p>
    <w:p w14:paraId="70A58016" w14:textId="2CB0A56E" w:rsidR="00FB430E" w:rsidRPr="00FB430E" w:rsidRDefault="007665EA" w:rsidP="00B47D75">
      <w:pPr>
        <w:pStyle w:val="FootnoteText"/>
        <w:ind w:firstLine="720"/>
      </w:pPr>
      <w:r>
        <w:t xml:space="preserve">In its </w:t>
      </w:r>
      <w:r w:rsidR="00A550F5">
        <w:t xml:space="preserve">brief, </w:t>
      </w:r>
      <w:r w:rsidR="00016FFA">
        <w:t>CMA</w:t>
      </w:r>
      <w:r w:rsidR="00A550F5">
        <w:t xml:space="preserve"> maintains </w:t>
      </w:r>
      <w:r w:rsidR="00EC2C5C">
        <w:t xml:space="preserve">that </w:t>
      </w:r>
      <w:r w:rsidR="006A3C70">
        <w:t>it seeks injunctive relief that would primarily benefit the public rather than CMA’s membership and that the action therefore should not be deemed representative for purposes of section 17203.  Aetna, on the other hand, argues that the action is subject to section 17203, and CMA should have to comply with Code of Civil Procedure section 382, because the organization’s request for injunctive relief primarily seeks to further the interests of its physician members.</w:t>
      </w:r>
      <w:r w:rsidR="00584A5F">
        <w:t xml:space="preserve">  </w:t>
      </w:r>
      <w:r w:rsidR="00146F39">
        <w:t xml:space="preserve"> </w:t>
      </w:r>
    </w:p>
    <w:p w14:paraId="7069CBC2" w14:textId="2CFFEB58" w:rsidR="00BE07AC" w:rsidRDefault="00793C36" w:rsidP="00B47D75">
      <w:pPr>
        <w:pStyle w:val="FootnoteText"/>
        <w:ind w:firstLine="720"/>
      </w:pPr>
      <w:r>
        <w:t>W</w:t>
      </w:r>
      <w:r w:rsidR="00BB6D7F">
        <w:t xml:space="preserve">e </w:t>
      </w:r>
      <w:r>
        <w:t xml:space="preserve">need not </w:t>
      </w:r>
      <w:r w:rsidR="00503443">
        <w:t>resolve</w:t>
      </w:r>
      <w:r w:rsidR="00BB6D7F">
        <w:t xml:space="preserve"> </w:t>
      </w:r>
      <w:r>
        <w:t>this dispute</w:t>
      </w:r>
      <w:r w:rsidR="00F66545">
        <w:t xml:space="preserve">, nor </w:t>
      </w:r>
      <w:r w:rsidR="00F66545" w:rsidRPr="00B47D75">
        <w:t>need we address the underlying premise that section 17203 might apply to some claims of injunctive relief and not others.  (</w:t>
      </w:r>
      <w:r w:rsidR="00F66545">
        <w:t xml:space="preserve">Cf. </w:t>
      </w:r>
      <w:r w:rsidR="00F66545">
        <w:rPr>
          <w:i/>
          <w:iCs/>
        </w:rPr>
        <w:t>McGill</w:t>
      </w:r>
      <w:r w:rsidR="00F66545">
        <w:t>, at pp. 960–961 [distinguishing a claim for public injunctive relief from a claim seeking “</w:t>
      </w:r>
      <w:r w:rsidR="00C31A58">
        <w:t> </w:t>
      </w:r>
      <w:r w:rsidR="00F66545">
        <w:t>‘</w:t>
      </w:r>
      <w:r w:rsidR="00F66545">
        <w:rPr>
          <w:i/>
          <w:iCs/>
        </w:rPr>
        <w:t>disgorgement and/or restitution</w:t>
      </w:r>
      <w:r w:rsidR="00F66545">
        <w:t xml:space="preserve"> on behalf of persons other than or in addition to the plaintiff’</w:t>
      </w:r>
      <w:r w:rsidR="00C31A58">
        <w:t> </w:t>
      </w:r>
      <w:r w:rsidR="00F66545">
        <w:t>”].)</w:t>
      </w:r>
      <w:r w:rsidR="00BB6D7F">
        <w:t xml:space="preserve">  </w:t>
      </w:r>
      <w:r w:rsidR="0031738E">
        <w:t xml:space="preserve">The </w:t>
      </w:r>
      <w:r w:rsidR="00044926">
        <w:t xml:space="preserve">question </w:t>
      </w:r>
      <w:r w:rsidR="00DB6AD7">
        <w:t xml:space="preserve">of </w:t>
      </w:r>
      <w:r w:rsidR="0011513F">
        <w:t xml:space="preserve">section 17203’s application, and </w:t>
      </w:r>
      <w:r w:rsidR="00535108">
        <w:t xml:space="preserve">whether </w:t>
      </w:r>
      <w:r w:rsidR="00CE3233">
        <w:t xml:space="preserve">compliance with Code of Civil Procedure section 382 </w:t>
      </w:r>
      <w:r w:rsidR="00DB6AD7">
        <w:t>is</w:t>
      </w:r>
      <w:r w:rsidR="00535108">
        <w:t xml:space="preserve"> required here, is </w:t>
      </w:r>
      <w:r w:rsidR="00DB6AD7">
        <w:t xml:space="preserve">separate from the question </w:t>
      </w:r>
      <w:r w:rsidR="00044926">
        <w:t>of standing</w:t>
      </w:r>
      <w:r w:rsidR="00535108">
        <w:t xml:space="preserve"> under section 17204</w:t>
      </w:r>
      <w:r w:rsidR="00C31A58">
        <w:t> </w:t>
      </w:r>
      <w:r w:rsidR="00F45240" w:rsidRPr="00435A0E">
        <w:t>—</w:t>
      </w:r>
      <w:r w:rsidR="00F45240" w:rsidRPr="00190BF7">
        <w:t xml:space="preserve"> </w:t>
      </w:r>
      <w:r w:rsidR="006E40E2">
        <w:t>the sole</w:t>
      </w:r>
      <w:r w:rsidR="008F0236">
        <w:t xml:space="preserve"> ground</w:t>
      </w:r>
      <w:r w:rsidR="00D3761E">
        <w:t xml:space="preserve"> </w:t>
      </w:r>
      <w:r w:rsidR="008F0236">
        <w:t xml:space="preserve">on which </w:t>
      </w:r>
      <w:r w:rsidR="00A9201B">
        <w:t>summary judgment</w:t>
      </w:r>
      <w:r w:rsidR="001B78F4">
        <w:t xml:space="preserve"> against </w:t>
      </w:r>
      <w:r w:rsidR="00016FFA">
        <w:t>CMA</w:t>
      </w:r>
      <w:r w:rsidR="00A9201B">
        <w:t xml:space="preserve"> was rendered and affirmed</w:t>
      </w:r>
      <w:r w:rsidR="00E56431">
        <w:t xml:space="preserve">.  </w:t>
      </w:r>
      <w:r w:rsidR="006E40E2">
        <w:t>T</w:t>
      </w:r>
      <w:r w:rsidR="00B67516">
        <w:t xml:space="preserve">he Court of Appeal </w:t>
      </w:r>
      <w:r w:rsidR="00C3558E">
        <w:t>did not address section 17203</w:t>
      </w:r>
      <w:r w:rsidR="001E4E8D">
        <w:t>’s requirement of compliance with Code of Civil Procedure section 382</w:t>
      </w:r>
      <w:r w:rsidR="00310AC5">
        <w:t>,</w:t>
      </w:r>
      <w:r w:rsidR="00D76AB2">
        <w:t xml:space="preserve"> but </w:t>
      </w:r>
      <w:r w:rsidR="00FD7417">
        <w:t xml:space="preserve">focused </w:t>
      </w:r>
      <w:r w:rsidR="00D76AB2">
        <w:t>throughout on standing under section 17</w:t>
      </w:r>
      <w:r w:rsidR="00287CC8">
        <w:t>20</w:t>
      </w:r>
      <w:r w:rsidR="00D76AB2">
        <w:t>4</w:t>
      </w:r>
      <w:r w:rsidR="001E4E8D">
        <w:t>.</w:t>
      </w:r>
      <w:r w:rsidR="008926A0">
        <w:t xml:space="preserve"> </w:t>
      </w:r>
      <w:r w:rsidR="001E4E8D">
        <w:t xml:space="preserve"> </w:t>
      </w:r>
      <w:r w:rsidR="00E56431">
        <w:t>We</w:t>
      </w:r>
      <w:r w:rsidR="005750F7">
        <w:t xml:space="preserve"> therefore need </w:t>
      </w:r>
      <w:r w:rsidR="00DB1C57">
        <w:t>not decide in this case</w:t>
      </w:r>
      <w:r w:rsidR="005750F7">
        <w:t xml:space="preserve"> whether </w:t>
      </w:r>
      <w:r w:rsidR="00016FFA">
        <w:t>CMA</w:t>
      </w:r>
      <w:r w:rsidR="005D2455">
        <w:t>’s action is subject to section 17203</w:t>
      </w:r>
      <w:r w:rsidR="008926A0">
        <w:t xml:space="preserve">, and we express no </w:t>
      </w:r>
      <w:r w:rsidR="001D59C5">
        <w:t>opinion on that point</w:t>
      </w:r>
      <w:r w:rsidR="00DB6AD7">
        <w:t>.</w:t>
      </w:r>
      <w:r w:rsidR="00D778AA">
        <w:t xml:space="preserve">  </w:t>
      </w:r>
      <w:bookmarkEnd w:id="8"/>
      <w:r w:rsidR="00BE07AC">
        <w:t xml:space="preserve"> </w:t>
      </w:r>
    </w:p>
  </w:footnote>
  <w:footnote w:id="8">
    <w:p w14:paraId="6E8E8872" w14:textId="782251B3" w:rsidR="00D44A08" w:rsidRDefault="00D44A08">
      <w:pPr>
        <w:pStyle w:val="FootnoteText"/>
      </w:pPr>
      <w:r>
        <w:rPr>
          <w:rStyle w:val="FootnoteReference"/>
        </w:rPr>
        <w:footnoteRef/>
      </w:r>
      <w:r w:rsidR="00C91F22">
        <w:t xml:space="preserve"> </w:t>
      </w:r>
      <w:r w:rsidR="00E614B2">
        <w:tab/>
      </w:r>
      <w:r w:rsidR="00EA70D3">
        <w:t xml:space="preserve">Aetna cites </w:t>
      </w:r>
      <w:r w:rsidR="00EA70D3" w:rsidRPr="00EA70D3">
        <w:rPr>
          <w:i/>
          <w:iCs/>
        </w:rPr>
        <w:t>In re Sony Gaming Networks and Customer Data Sec. Breach Litigation</w:t>
      </w:r>
      <w:r w:rsidR="00EA70D3" w:rsidRPr="00EA70D3">
        <w:t> (S.D.Cal. 2012) 903 F.Supp.2d 942, 966</w:t>
      </w:r>
      <w:r w:rsidR="003C4B52">
        <w:t xml:space="preserve">, </w:t>
      </w:r>
      <w:r w:rsidR="008A4E94">
        <w:t>along</w:t>
      </w:r>
      <w:r w:rsidR="00804972">
        <w:t xml:space="preserve"> with</w:t>
      </w:r>
      <w:r w:rsidR="003C4B52">
        <w:t xml:space="preserve"> two </w:t>
      </w:r>
      <w:r w:rsidR="00022609">
        <w:t>unreported</w:t>
      </w:r>
      <w:r w:rsidR="003C4B52">
        <w:t xml:space="preserve"> district court </w:t>
      </w:r>
      <w:r w:rsidR="00E56A08">
        <w:t xml:space="preserve">rulings, for the proposition that loss of time is not </w:t>
      </w:r>
      <w:r w:rsidR="001D1E1F">
        <w:t>an economic loss</w:t>
      </w:r>
      <w:r w:rsidR="00E56A08">
        <w:t xml:space="preserve"> </w:t>
      </w:r>
      <w:r w:rsidR="00477C14">
        <w:t xml:space="preserve">for purposes of UCL standing.  </w:t>
      </w:r>
      <w:r w:rsidR="001D1E1F">
        <w:t>But t</w:t>
      </w:r>
      <w:r w:rsidR="00477C14">
        <w:t xml:space="preserve">he plaintiff in </w:t>
      </w:r>
      <w:r w:rsidR="00781DE0">
        <w:t>each of these</w:t>
      </w:r>
      <w:r w:rsidR="00477C14">
        <w:t xml:space="preserve"> cases </w:t>
      </w:r>
      <w:r w:rsidR="006547A3">
        <w:t>was</w:t>
      </w:r>
      <w:r w:rsidR="00E9585B">
        <w:t xml:space="preserve"> </w:t>
      </w:r>
      <w:r w:rsidR="006547A3">
        <w:t xml:space="preserve">an </w:t>
      </w:r>
      <w:r w:rsidR="00E9585B">
        <w:t>individual</w:t>
      </w:r>
      <w:r w:rsidR="00654BDB">
        <w:t xml:space="preserve"> or a class of individuals</w:t>
      </w:r>
      <w:r w:rsidR="00FD4A65" w:rsidRPr="00FD4A65">
        <w:t xml:space="preserve"> </w:t>
      </w:r>
      <w:r w:rsidR="00FD4A65">
        <w:t>who spent their personal, uncompensated time responding to the alleged unfair competition,</w:t>
      </w:r>
      <w:r w:rsidR="00CD34F4">
        <w:t xml:space="preserve"> </w:t>
      </w:r>
      <w:r w:rsidR="00E9585B">
        <w:t xml:space="preserve">not </w:t>
      </w:r>
      <w:r w:rsidR="00FF74D0">
        <w:t xml:space="preserve">an </w:t>
      </w:r>
      <w:r w:rsidR="00E9585B">
        <w:t xml:space="preserve">organization </w:t>
      </w:r>
      <w:r w:rsidR="00AD7A18">
        <w:t>alleging diversion of paid staff time.</w:t>
      </w:r>
      <w:r w:rsidR="0059243A">
        <w:t xml:space="preserve">  </w:t>
      </w:r>
      <w:r w:rsidR="00E22975">
        <w:t>(See</w:t>
      </w:r>
      <w:r w:rsidR="008A4E94">
        <w:t xml:space="preserve"> </w:t>
      </w:r>
      <w:r w:rsidR="008A4E94">
        <w:rPr>
          <w:i/>
          <w:iCs/>
        </w:rPr>
        <w:t>id.</w:t>
      </w:r>
      <w:r w:rsidR="008A4E94">
        <w:t xml:space="preserve"> at p. 950; </w:t>
      </w:r>
      <w:r w:rsidR="00F932A7" w:rsidRPr="00F932A7">
        <w:rPr>
          <w:i/>
          <w:iCs/>
        </w:rPr>
        <w:t>Knippling v. Saxon Mortg., Inc.</w:t>
      </w:r>
      <w:r w:rsidR="00F932A7" w:rsidRPr="00F932A7">
        <w:t xml:space="preserve"> (E.D.Cal., Mar. 22, 2012, No. 2:11-CV-03116-JAM) 2012 WL 1142355, </w:t>
      </w:r>
      <w:r w:rsidR="00165B43">
        <w:t>p.</w:t>
      </w:r>
      <w:r w:rsidR="00165B43" w:rsidRPr="00F932A7">
        <w:t xml:space="preserve"> </w:t>
      </w:r>
      <w:r w:rsidR="00F932A7" w:rsidRPr="00F932A7">
        <w:t>*1</w:t>
      </w:r>
      <w:r w:rsidR="00781DE0">
        <w:t xml:space="preserve">; </w:t>
      </w:r>
      <w:r w:rsidR="00781DE0" w:rsidRPr="00AE70B4">
        <w:rPr>
          <w:i/>
          <w:iCs/>
        </w:rPr>
        <w:t>Ruiz v. Gap, Inc.</w:t>
      </w:r>
      <w:r w:rsidR="00781DE0" w:rsidRPr="00AE70B4">
        <w:t xml:space="preserve"> (N.D.Cal., Feb. 3, 2009, No. 07-5739 SC) 2009 WL 250481, </w:t>
      </w:r>
      <w:r w:rsidR="00165B43">
        <w:t>p.</w:t>
      </w:r>
      <w:r w:rsidR="00165B43" w:rsidRPr="00AE70B4">
        <w:t xml:space="preserve"> </w:t>
      </w:r>
      <w:r w:rsidR="00781DE0" w:rsidRPr="00AE70B4">
        <w:t>*1</w:t>
      </w:r>
      <w:r w:rsidR="00781DE0">
        <w:t>.)</w:t>
      </w:r>
      <w:r w:rsidR="00022609">
        <w:t xml:space="preserve"> </w:t>
      </w:r>
      <w:r w:rsidR="00145E24">
        <w:t xml:space="preserve"> Our discussion and holding here are limited to </w:t>
      </w:r>
      <w:r w:rsidR="00AD03BB">
        <w:t>organizational standing; we say nothing about individual standing</w:t>
      </w:r>
      <w:r w:rsidR="00FF74D0">
        <w:t xml:space="preserve">. </w:t>
      </w:r>
    </w:p>
  </w:footnote>
  <w:footnote w:id="9">
    <w:p w14:paraId="3F73B4C5" w14:textId="65118608" w:rsidR="009F2BC1" w:rsidRPr="0059163C" w:rsidRDefault="009F2BC1" w:rsidP="00190BF7">
      <w:pPr>
        <w:pStyle w:val="FootnoteText"/>
      </w:pPr>
      <w:r>
        <w:rPr>
          <w:rStyle w:val="FootnoteReference"/>
        </w:rPr>
        <w:footnoteRef/>
      </w:r>
      <w:r>
        <w:t xml:space="preserve"> </w:t>
      </w:r>
      <w:r>
        <w:tab/>
      </w:r>
      <w:r w:rsidR="00D27698">
        <w:t xml:space="preserve">The plaintiff also claimed injury from direct competition, but </w:t>
      </w:r>
      <w:r w:rsidR="0051705A">
        <w:t xml:space="preserve">the </w:t>
      </w:r>
      <w:r w:rsidR="00DB1860">
        <w:t xml:space="preserve">appellate court </w:t>
      </w:r>
      <w:r w:rsidR="00E667E0">
        <w:t xml:space="preserve">rejected that theory </w:t>
      </w:r>
      <w:r w:rsidR="0059163C">
        <w:t>because</w:t>
      </w:r>
      <w:r w:rsidR="00E667E0">
        <w:t xml:space="preserve"> the evidence showed </w:t>
      </w:r>
      <w:r w:rsidR="0059163C">
        <w:t xml:space="preserve">that </w:t>
      </w:r>
      <w:r w:rsidR="00E667E0">
        <w:t>“</w:t>
      </w:r>
      <w:r w:rsidR="00E667E0" w:rsidRPr="00E667E0">
        <w:t>any diversion of potential customers from Aladdin to GPS results from the Legislature</w:t>
      </w:r>
      <w:r w:rsidR="0059163C">
        <w:t>’</w:t>
      </w:r>
      <w:r w:rsidR="00E667E0" w:rsidRPr="00E667E0">
        <w:t>s establishment of the cash bail payment system as an alternative to the traditional bail bond service, and not from the fact that GPS conducts its business without a bail agent license</w:t>
      </w:r>
      <w:r w:rsidR="0059163C">
        <w:t>.”  (</w:t>
      </w:r>
      <w:r w:rsidR="00AE66D4">
        <w:rPr>
          <w:i/>
          <w:iCs/>
        </w:rPr>
        <w:t>Two Jinn</w:t>
      </w:r>
      <w:r w:rsidR="00AE66D4">
        <w:t xml:space="preserve">, </w:t>
      </w:r>
      <w:r w:rsidR="00AE66D4">
        <w:rPr>
          <w:i/>
          <w:iCs/>
        </w:rPr>
        <w:t>supra</w:t>
      </w:r>
      <w:r w:rsidR="00AE66D4">
        <w:t xml:space="preserve">, </w:t>
      </w:r>
      <w:r w:rsidR="00F402CA">
        <w:t>233 Cal.App.4th</w:t>
      </w:r>
      <w:r w:rsidR="0059163C">
        <w:t xml:space="preserve"> at p. </w:t>
      </w:r>
      <w:r w:rsidR="00AE66D4">
        <w:t>1332.)</w:t>
      </w:r>
    </w:p>
  </w:footnote>
  <w:footnote w:id="10">
    <w:p w14:paraId="1526009E" w14:textId="5DAA3D45" w:rsidR="00740203" w:rsidRPr="0092168F" w:rsidRDefault="00740203" w:rsidP="00740203">
      <w:pPr>
        <w:pStyle w:val="FootnoteText"/>
      </w:pPr>
      <w:r>
        <w:rPr>
          <w:rStyle w:val="FootnoteReference"/>
        </w:rPr>
        <w:footnoteRef/>
      </w:r>
      <w:r>
        <w:t xml:space="preserve"> </w:t>
      </w:r>
      <w:r>
        <w:tab/>
      </w:r>
      <w:r w:rsidR="005E2B85">
        <w:t>Although the Proposition 64</w:t>
      </w:r>
      <w:r w:rsidR="0049196F">
        <w:t xml:space="preserve"> voters</w:t>
      </w:r>
      <w:r w:rsidR="005E2B85">
        <w:t xml:space="preserve"> did not borrow the traceability requirement </w:t>
      </w:r>
      <w:r w:rsidR="00F42156">
        <w:t xml:space="preserve">from federal standing law </w:t>
      </w:r>
      <w:r w:rsidR="005E2B85">
        <w:t xml:space="preserve">along with that of injury in fact, the closeness of the factual contexts makes cases applying </w:t>
      </w:r>
      <w:r w:rsidR="005E2B85">
        <w:rPr>
          <w:i/>
          <w:iCs/>
        </w:rPr>
        <w:t xml:space="preserve">Havens </w:t>
      </w:r>
      <w:r w:rsidR="009C7DD3">
        <w:t xml:space="preserve">somewhat </w:t>
      </w:r>
      <w:r w:rsidR="005E2B85">
        <w:t xml:space="preserve">helpful in understanding </w:t>
      </w:r>
      <w:r w:rsidR="009C7DD3">
        <w:t xml:space="preserve">how </w:t>
      </w:r>
      <w:r w:rsidR="005E2B85">
        <w:t>causation work</w:t>
      </w:r>
      <w:r w:rsidR="009C7DD3">
        <w:t>s</w:t>
      </w:r>
      <w:r w:rsidR="005E2B85">
        <w:t xml:space="preserve"> </w:t>
      </w:r>
      <w:r w:rsidR="009C7DD3">
        <w:t xml:space="preserve">for organizational standing </w:t>
      </w:r>
      <w:r w:rsidR="005E2B85">
        <w:t>under section 17204</w:t>
      </w:r>
      <w:r w:rsidR="009C7DD3">
        <w:t xml:space="preserve">. </w:t>
      </w:r>
      <w:r w:rsidR="005E2B85">
        <w:t xml:space="preserve"> </w:t>
      </w:r>
      <w:r>
        <w:t>To satisfy the traceability requirement</w:t>
      </w:r>
      <w:r w:rsidRPr="0092168F">
        <w:t xml:space="preserve">, </w:t>
      </w:r>
      <w:r>
        <w:t>“</w:t>
      </w:r>
      <w:r w:rsidRPr="0092168F">
        <w:t>there must be a causal connection between the injury and the conduct complained of</w:t>
      </w:r>
      <w:r w:rsidR="00C31A58">
        <w:t> </w:t>
      </w:r>
      <w:r w:rsidRPr="00B47D75">
        <w:t>—</w:t>
      </w:r>
      <w:r>
        <w:t xml:space="preserve"> </w:t>
      </w:r>
      <w:r w:rsidRPr="0092168F">
        <w:t xml:space="preserve">the injury has to be </w:t>
      </w:r>
      <w:r>
        <w:t>‘</w:t>
      </w:r>
      <w:r w:rsidRPr="0092168F">
        <w:t>fairly</w:t>
      </w:r>
      <w:r>
        <w:t xml:space="preserve"> . . .</w:t>
      </w:r>
      <w:r w:rsidRPr="0092168F">
        <w:t xml:space="preserve"> trace[able] to the challenged action of the defendant, and not </w:t>
      </w:r>
      <w:r>
        <w:t xml:space="preserve">. . . </w:t>
      </w:r>
      <w:r w:rsidRPr="0092168F">
        <w:t>th[e] result [of] the independent action of some third party not before the court.</w:t>
      </w:r>
      <w:r>
        <w:t>’ </w:t>
      </w:r>
      <w:r w:rsidRPr="0092168F">
        <w:t>”</w:t>
      </w:r>
      <w:r>
        <w:t xml:space="preserve">  (</w:t>
      </w:r>
      <w:r w:rsidRPr="0092168F">
        <w:rPr>
          <w:i/>
          <w:iCs/>
        </w:rPr>
        <w:t>Lujan v. Defenders of Wildlife</w:t>
      </w:r>
      <w:r w:rsidRPr="0092168F">
        <w:t> (1992) 504 U.S. 555, 560</w:t>
      </w:r>
      <w:r>
        <w:t xml:space="preserve">.)  </w:t>
      </w:r>
      <w:r w:rsidR="00C74DD0">
        <w:t>Where the organization</w:t>
      </w:r>
      <w:r w:rsidR="00C97B24">
        <w:t>’s mission has been impaired or threatened,</w:t>
      </w:r>
      <w:r w:rsidR="00DA5D35">
        <w:t xml:space="preserve"> </w:t>
      </w:r>
      <w:r w:rsidR="005541ED">
        <w:t xml:space="preserve">courts have deemed </w:t>
      </w:r>
      <w:r w:rsidR="00C97B24">
        <w:t xml:space="preserve">the </w:t>
      </w:r>
      <w:r w:rsidR="0004601F">
        <w:t>diversion of resources traceable</w:t>
      </w:r>
      <w:r w:rsidR="005541ED">
        <w:t xml:space="preserve"> to the defendant’s </w:t>
      </w:r>
      <w:r w:rsidR="00990002">
        <w:t>conduct</w:t>
      </w:r>
      <w:r w:rsidR="0004601F">
        <w:t>.  (</w:t>
      </w:r>
      <w:r w:rsidR="00C74DD0" w:rsidRPr="00190BF7">
        <w:t xml:space="preserve">See, e.g., </w:t>
      </w:r>
      <w:r w:rsidR="00C74DD0" w:rsidRPr="00190BF7">
        <w:rPr>
          <w:i/>
          <w:iCs/>
        </w:rPr>
        <w:t>Comite de Jornaleros de Redondo Beach v. City of Redondo Beach</w:t>
      </w:r>
      <w:r w:rsidR="00C74DD0" w:rsidRPr="00190BF7">
        <w:t> (9th Cir. 2011) 657 F.3d 936, 943 [organization assisting day laborers established sufficient “causal connection” between city’s antisoliciting ordinance and organization’s diversion of resources];</w:t>
      </w:r>
      <w:r w:rsidR="00C74DD0" w:rsidRPr="00190BF7">
        <w:rPr>
          <w:i/>
          <w:iCs/>
        </w:rPr>
        <w:t xml:space="preserve"> Pacific Legal Foundation v. Goyan</w:t>
      </w:r>
      <w:r w:rsidR="00C74DD0" w:rsidRPr="00190BF7">
        <w:t xml:space="preserve">, </w:t>
      </w:r>
      <w:r w:rsidR="00C74DD0" w:rsidRPr="00190BF7">
        <w:rPr>
          <w:i/>
          <w:iCs/>
        </w:rPr>
        <w:t>supra</w:t>
      </w:r>
      <w:r w:rsidR="00C74DD0" w:rsidRPr="00190BF7">
        <w:t>, 664 F.2d at p. 1224 [pre-</w:t>
      </w:r>
      <w:r w:rsidR="00C74DD0" w:rsidRPr="00190BF7">
        <w:rPr>
          <w:i/>
          <w:iCs/>
        </w:rPr>
        <w:t>Havens</w:t>
      </w:r>
      <w:r w:rsidR="00C74DD0" w:rsidRPr="00190BF7">
        <w:t xml:space="preserve"> decision:  in light of the plaintiff’s mission, it was “only natural for plaintiff to increase its vigilance and efforts” in response to contested policy].</w:t>
      </w:r>
      <w:r w:rsidR="00990002">
        <w:t>)</w:t>
      </w:r>
      <w:r w:rsidR="004F3A4D">
        <w:t xml:space="preserve">  In </w:t>
      </w:r>
      <w:r w:rsidR="005A6EDF">
        <w:t>some circumstances, however,</w:t>
      </w:r>
      <w:r w:rsidR="004F3A4D">
        <w:t xml:space="preserve"> a</w:t>
      </w:r>
      <w:r>
        <w:t xml:space="preserve"> causal chain </w:t>
      </w:r>
      <w:r w:rsidR="00D90A93">
        <w:t xml:space="preserve">posited for organizational standing </w:t>
      </w:r>
      <w:r>
        <w:t xml:space="preserve">can become so attenuated that it fails the fair-traceability test.  (See, e.g., </w:t>
      </w:r>
      <w:r w:rsidRPr="007D48E8">
        <w:rPr>
          <w:i/>
          <w:iCs/>
        </w:rPr>
        <w:t>Center for Law and Educ. v. Department of Educ.</w:t>
      </w:r>
      <w:r w:rsidRPr="007D48E8">
        <w:t xml:space="preserve"> (D.C. Cir. 2005) 396 F.3d 1152, </w:t>
      </w:r>
      <w:r>
        <w:t>1160</w:t>
      </w:r>
      <w:r w:rsidR="002B296A">
        <w:t>–</w:t>
      </w:r>
      <w:r w:rsidRPr="007D48E8">
        <w:t>1161</w:t>
      </w:r>
      <w:r>
        <w:t xml:space="preserve">.)  </w:t>
      </w:r>
    </w:p>
    <w:p w14:paraId="6DF26E82" w14:textId="77777777" w:rsidR="00740203" w:rsidRDefault="00740203" w:rsidP="00740203">
      <w:pPr>
        <w:pStyle w:val="FootnoteText"/>
      </w:pPr>
    </w:p>
  </w:footnote>
  <w:footnote w:id="11">
    <w:p w14:paraId="750A1BB5" w14:textId="69677B77" w:rsidR="00B774D6" w:rsidRPr="004F0213" w:rsidRDefault="00B774D6" w:rsidP="00B774D6">
      <w:pPr>
        <w:pStyle w:val="FootnoteText"/>
      </w:pPr>
      <w:r>
        <w:rPr>
          <w:rStyle w:val="FootnoteReference"/>
        </w:rPr>
        <w:footnoteRef/>
      </w:r>
      <w:r>
        <w:t xml:space="preserve"> </w:t>
      </w:r>
      <w:r>
        <w:tab/>
        <w:t xml:space="preserve">As Aetna notes, one federal appellate court held the </w:t>
      </w:r>
      <w:r>
        <w:rPr>
          <w:i/>
          <w:iCs/>
        </w:rPr>
        <w:t>Havens</w:t>
      </w:r>
      <w:r>
        <w:t xml:space="preserve"> standing theory inapplicable where the only </w:t>
      </w:r>
      <w:r w:rsidR="00D376A5">
        <w:t>threat</w:t>
      </w:r>
      <w:r>
        <w:t xml:space="preserve"> posed by a challenged statute was to the plaintiff organization’s “</w:t>
      </w:r>
      <w:r w:rsidRPr="002D5F65">
        <w:t>pure issue-advocacy</w:t>
      </w:r>
      <w:r>
        <w:t>.”  (</w:t>
      </w:r>
      <w:r w:rsidRPr="002D5F65">
        <w:rPr>
          <w:i/>
          <w:iCs/>
        </w:rPr>
        <w:t>Center for Law and Educ. v. Department of Educ.</w:t>
      </w:r>
      <w:r>
        <w:t xml:space="preserve">, </w:t>
      </w:r>
      <w:r>
        <w:rPr>
          <w:i/>
          <w:iCs/>
        </w:rPr>
        <w:t>supra</w:t>
      </w:r>
      <w:r>
        <w:t>,</w:t>
      </w:r>
      <w:r w:rsidRPr="002D5F65">
        <w:t xml:space="preserve"> 396 F.3d </w:t>
      </w:r>
      <w:r>
        <w:t>at p.</w:t>
      </w:r>
      <w:r w:rsidRPr="002D5F65">
        <w:t xml:space="preserve"> 1162</w:t>
      </w:r>
      <w:r>
        <w:t xml:space="preserve">.)  In a later decision, however, the same court expressed doubt about the existence of “a </w:t>
      </w:r>
      <w:r w:rsidRPr="009B2C11">
        <w:t>sharp distinction between advocacy and other activities</w:t>
      </w:r>
      <w:r>
        <w:t>” (</w:t>
      </w:r>
      <w:r w:rsidRPr="009B2C11">
        <w:rPr>
          <w:i/>
          <w:iCs/>
        </w:rPr>
        <w:t>American Soc. for Prevention of Cruelty to Animals v. Feld Entertainment, Inc.</w:t>
      </w:r>
      <w:r w:rsidRPr="009B2C11">
        <w:t> (D.C. Cir. 2011) 659 F.3d 13, 26</w:t>
      </w:r>
      <w:r>
        <w:t>) and concluded that “[u]</w:t>
      </w:r>
      <w:r w:rsidRPr="003576FB">
        <w:t>ltimately, whether injury to an organization</w:t>
      </w:r>
      <w:r>
        <w:t>’</w:t>
      </w:r>
      <w:r w:rsidRPr="003576FB">
        <w:t>s advocacy supports </w:t>
      </w:r>
      <w:r w:rsidRPr="003576FB">
        <w:rPr>
          <w:i/>
          <w:iCs/>
        </w:rPr>
        <w:t>Havens</w:t>
      </w:r>
      <w:r w:rsidRPr="003576FB">
        <w:t> standing remains an open question</w:t>
      </w:r>
      <w:r>
        <w:t>” (</w:t>
      </w:r>
      <w:r>
        <w:rPr>
          <w:i/>
          <w:iCs/>
        </w:rPr>
        <w:t>id</w:t>
      </w:r>
      <w:r w:rsidRPr="00E4310F">
        <w:t>. at p. 27).</w:t>
      </w:r>
      <w:r>
        <w:t xml:space="preserve">  In any event, CMA claims not that Aetna’s policy impaired its ability to lobby government agencies on abstract issues, but that it threatened CMA’s mission of service to its members, the medical profession</w:t>
      </w:r>
      <w:r w:rsidR="00A80397">
        <w:t>,</w:t>
      </w:r>
      <w:r>
        <w:t xml:space="preserve"> and the public health.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9580" w14:textId="5D4167B9" w:rsidR="00190BF7" w:rsidRDefault="00190BF7">
    <w:pPr>
      <w:pStyle w:val="Header"/>
    </w:pPr>
    <w:r>
      <w:t>CALIFORNIA MEDICAL ASSOCIATION v. AETNA HEALTH</w:t>
    </w:r>
    <w:r w:rsidR="00AE50D7">
      <w:t xml:space="preserve"> OF CALIFORNIA INC.</w:t>
    </w:r>
  </w:p>
  <w:p w14:paraId="7EAC3C46" w14:textId="4E195C53" w:rsidR="00190BF7" w:rsidRDefault="00190BF7">
    <w:pPr>
      <w:pStyle w:val="Header"/>
    </w:pPr>
    <w:r>
      <w:t>Opinion of the Court by Evans, J.</w:t>
    </w:r>
  </w:p>
  <w:p w14:paraId="3DF7AEB9" w14:textId="77777777" w:rsidR="00190BF7" w:rsidRDefault="00190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D064" w14:textId="77777777" w:rsidR="00CC028B" w:rsidRPr="00CC028B" w:rsidRDefault="00CC028B" w:rsidP="00CC0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177"/>
    <w:multiLevelType w:val="hybridMultilevel"/>
    <w:tmpl w:val="4D80BD1E"/>
    <w:lvl w:ilvl="0" w:tplc="D298CE4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D053E"/>
    <w:multiLevelType w:val="hybridMultilevel"/>
    <w:tmpl w:val="44CEFDE0"/>
    <w:lvl w:ilvl="0" w:tplc="99F6E87A">
      <w:start w:val="2"/>
      <w:numFmt w:val="bullet"/>
      <w:lvlText w:val="-"/>
      <w:lvlJc w:val="left"/>
      <w:pPr>
        <w:ind w:left="1148" w:hanging="360"/>
      </w:pPr>
      <w:rPr>
        <w:rFonts w:ascii="Times New Roman" w:eastAsia="Times New Roman" w:hAnsi="Times New Roman" w:cs="Times New Roman"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 w15:restartNumberingAfterBreak="0">
    <w:nsid w:val="1B90138E"/>
    <w:multiLevelType w:val="hybridMultilevel"/>
    <w:tmpl w:val="C0DC6CA4"/>
    <w:lvl w:ilvl="0" w:tplc="0076E5C8">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6625ED"/>
    <w:multiLevelType w:val="hybridMultilevel"/>
    <w:tmpl w:val="8612F602"/>
    <w:lvl w:ilvl="0" w:tplc="0076E5C8">
      <w:start w:val="1"/>
      <w:numFmt w:val="upperLetter"/>
      <w:lvlText w:val="%1."/>
      <w:lvlJc w:val="left"/>
      <w:pPr>
        <w:ind w:left="101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F23EA"/>
    <w:multiLevelType w:val="hybridMultilevel"/>
    <w:tmpl w:val="4EB6FEE2"/>
    <w:lvl w:ilvl="0" w:tplc="30F221A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2B322E"/>
    <w:multiLevelType w:val="hybridMultilevel"/>
    <w:tmpl w:val="7276876E"/>
    <w:lvl w:ilvl="0" w:tplc="24E24E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51666C"/>
    <w:multiLevelType w:val="hybridMultilevel"/>
    <w:tmpl w:val="DE3C5D76"/>
    <w:lvl w:ilvl="0" w:tplc="F90CFD1C">
      <w:start w:val="3"/>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532921DE"/>
    <w:multiLevelType w:val="hybridMultilevel"/>
    <w:tmpl w:val="C228ED88"/>
    <w:lvl w:ilvl="0" w:tplc="299468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E26D44"/>
    <w:multiLevelType w:val="hybridMultilevel"/>
    <w:tmpl w:val="0DE091FC"/>
    <w:lvl w:ilvl="0" w:tplc="95BE3AB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9740562">
    <w:abstractNumId w:val="3"/>
  </w:num>
  <w:num w:numId="2" w16cid:durableId="1204757529">
    <w:abstractNumId w:val="7"/>
  </w:num>
  <w:num w:numId="3" w16cid:durableId="106702814">
    <w:abstractNumId w:val="1"/>
  </w:num>
  <w:num w:numId="4" w16cid:durableId="70078367">
    <w:abstractNumId w:val="6"/>
  </w:num>
  <w:num w:numId="5" w16cid:durableId="871499595">
    <w:abstractNumId w:val="4"/>
  </w:num>
  <w:num w:numId="6" w16cid:durableId="1621064414">
    <w:abstractNumId w:val="5"/>
  </w:num>
  <w:num w:numId="7" w16cid:durableId="695430307">
    <w:abstractNumId w:val="0"/>
  </w:num>
  <w:num w:numId="8" w16cid:durableId="1444498940">
    <w:abstractNumId w:val="2"/>
  </w:num>
  <w:num w:numId="9" w16cid:durableId="2744849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CE"/>
    <w:rsid w:val="00000570"/>
    <w:rsid w:val="00000F4D"/>
    <w:rsid w:val="00001319"/>
    <w:rsid w:val="000020E7"/>
    <w:rsid w:val="00003CB7"/>
    <w:rsid w:val="00003D7E"/>
    <w:rsid w:val="0000576E"/>
    <w:rsid w:val="00005810"/>
    <w:rsid w:val="00007320"/>
    <w:rsid w:val="00010AB8"/>
    <w:rsid w:val="00011E27"/>
    <w:rsid w:val="0001223C"/>
    <w:rsid w:val="00012C6B"/>
    <w:rsid w:val="00012DD1"/>
    <w:rsid w:val="00012E86"/>
    <w:rsid w:val="00013418"/>
    <w:rsid w:val="00013628"/>
    <w:rsid w:val="000136B9"/>
    <w:rsid w:val="00013751"/>
    <w:rsid w:val="00014DF5"/>
    <w:rsid w:val="00015516"/>
    <w:rsid w:val="00015D84"/>
    <w:rsid w:val="00016125"/>
    <w:rsid w:val="00016891"/>
    <w:rsid w:val="00016FFA"/>
    <w:rsid w:val="00017DDB"/>
    <w:rsid w:val="000203E5"/>
    <w:rsid w:val="00020C9D"/>
    <w:rsid w:val="0002117C"/>
    <w:rsid w:val="000213C0"/>
    <w:rsid w:val="0002154F"/>
    <w:rsid w:val="0002174B"/>
    <w:rsid w:val="00022609"/>
    <w:rsid w:val="000228AB"/>
    <w:rsid w:val="00022E7B"/>
    <w:rsid w:val="00024323"/>
    <w:rsid w:val="0002593C"/>
    <w:rsid w:val="0002670F"/>
    <w:rsid w:val="00026770"/>
    <w:rsid w:val="00026B15"/>
    <w:rsid w:val="00027997"/>
    <w:rsid w:val="00027C6F"/>
    <w:rsid w:val="00027EF1"/>
    <w:rsid w:val="000303B8"/>
    <w:rsid w:val="00030C1B"/>
    <w:rsid w:val="00032B08"/>
    <w:rsid w:val="0003365D"/>
    <w:rsid w:val="00033727"/>
    <w:rsid w:val="00033E92"/>
    <w:rsid w:val="00034354"/>
    <w:rsid w:val="00034E56"/>
    <w:rsid w:val="0003533F"/>
    <w:rsid w:val="000365A7"/>
    <w:rsid w:val="00036D69"/>
    <w:rsid w:val="000371F1"/>
    <w:rsid w:val="00037366"/>
    <w:rsid w:val="00037818"/>
    <w:rsid w:val="000378FD"/>
    <w:rsid w:val="00037C0E"/>
    <w:rsid w:val="00037FE8"/>
    <w:rsid w:val="00040187"/>
    <w:rsid w:val="00040592"/>
    <w:rsid w:val="0004061D"/>
    <w:rsid w:val="00041040"/>
    <w:rsid w:val="00041363"/>
    <w:rsid w:val="000414EE"/>
    <w:rsid w:val="0004238E"/>
    <w:rsid w:val="000428F0"/>
    <w:rsid w:val="0004331D"/>
    <w:rsid w:val="0004377E"/>
    <w:rsid w:val="00043D56"/>
    <w:rsid w:val="00044571"/>
    <w:rsid w:val="00044926"/>
    <w:rsid w:val="00045407"/>
    <w:rsid w:val="0004601F"/>
    <w:rsid w:val="000465CC"/>
    <w:rsid w:val="0004663C"/>
    <w:rsid w:val="000469A9"/>
    <w:rsid w:val="000479B0"/>
    <w:rsid w:val="00047AF3"/>
    <w:rsid w:val="000510B4"/>
    <w:rsid w:val="000514FF"/>
    <w:rsid w:val="00051B30"/>
    <w:rsid w:val="000524AA"/>
    <w:rsid w:val="00052859"/>
    <w:rsid w:val="00052A17"/>
    <w:rsid w:val="00052D37"/>
    <w:rsid w:val="0005371B"/>
    <w:rsid w:val="0005437A"/>
    <w:rsid w:val="000543B0"/>
    <w:rsid w:val="00054F97"/>
    <w:rsid w:val="00056039"/>
    <w:rsid w:val="0005605D"/>
    <w:rsid w:val="00056628"/>
    <w:rsid w:val="000569FD"/>
    <w:rsid w:val="00056A6B"/>
    <w:rsid w:val="00056FD9"/>
    <w:rsid w:val="00057215"/>
    <w:rsid w:val="00057527"/>
    <w:rsid w:val="0005756B"/>
    <w:rsid w:val="00057778"/>
    <w:rsid w:val="00060D94"/>
    <w:rsid w:val="00060F4E"/>
    <w:rsid w:val="00061E03"/>
    <w:rsid w:val="0006312E"/>
    <w:rsid w:val="00063132"/>
    <w:rsid w:val="0006368A"/>
    <w:rsid w:val="000637D5"/>
    <w:rsid w:val="00063CBD"/>
    <w:rsid w:val="000642C8"/>
    <w:rsid w:val="00065CF3"/>
    <w:rsid w:val="0006649F"/>
    <w:rsid w:val="000664F5"/>
    <w:rsid w:val="000668B7"/>
    <w:rsid w:val="0006774F"/>
    <w:rsid w:val="00067E44"/>
    <w:rsid w:val="00067F69"/>
    <w:rsid w:val="0007001A"/>
    <w:rsid w:val="00070751"/>
    <w:rsid w:val="00070ACD"/>
    <w:rsid w:val="00071DCC"/>
    <w:rsid w:val="00072798"/>
    <w:rsid w:val="00072A5D"/>
    <w:rsid w:val="00072AD9"/>
    <w:rsid w:val="00073334"/>
    <w:rsid w:val="00073A8E"/>
    <w:rsid w:val="00073B3A"/>
    <w:rsid w:val="000740F1"/>
    <w:rsid w:val="000742C1"/>
    <w:rsid w:val="000744A3"/>
    <w:rsid w:val="00074552"/>
    <w:rsid w:val="00074850"/>
    <w:rsid w:val="00075750"/>
    <w:rsid w:val="000757AD"/>
    <w:rsid w:val="000759EE"/>
    <w:rsid w:val="00076B82"/>
    <w:rsid w:val="000771AB"/>
    <w:rsid w:val="000775B9"/>
    <w:rsid w:val="00077DB8"/>
    <w:rsid w:val="00077E2B"/>
    <w:rsid w:val="0008037D"/>
    <w:rsid w:val="00080C33"/>
    <w:rsid w:val="00080D1A"/>
    <w:rsid w:val="000810A3"/>
    <w:rsid w:val="00081619"/>
    <w:rsid w:val="00082AEF"/>
    <w:rsid w:val="00082B56"/>
    <w:rsid w:val="0008364E"/>
    <w:rsid w:val="000846DE"/>
    <w:rsid w:val="00084CA6"/>
    <w:rsid w:val="00085D65"/>
    <w:rsid w:val="00085F9E"/>
    <w:rsid w:val="000862A2"/>
    <w:rsid w:val="000862A5"/>
    <w:rsid w:val="00086469"/>
    <w:rsid w:val="000868C3"/>
    <w:rsid w:val="00086BD9"/>
    <w:rsid w:val="000871F6"/>
    <w:rsid w:val="00087C1D"/>
    <w:rsid w:val="0009013F"/>
    <w:rsid w:val="000914E1"/>
    <w:rsid w:val="0009172A"/>
    <w:rsid w:val="000918AB"/>
    <w:rsid w:val="00091DEB"/>
    <w:rsid w:val="00093F95"/>
    <w:rsid w:val="00095AA2"/>
    <w:rsid w:val="00095ABA"/>
    <w:rsid w:val="00096C03"/>
    <w:rsid w:val="000974C8"/>
    <w:rsid w:val="00097C1B"/>
    <w:rsid w:val="00097CA7"/>
    <w:rsid w:val="000A073A"/>
    <w:rsid w:val="000A07E8"/>
    <w:rsid w:val="000A0A6D"/>
    <w:rsid w:val="000A0E3E"/>
    <w:rsid w:val="000A189E"/>
    <w:rsid w:val="000A1F1B"/>
    <w:rsid w:val="000A2406"/>
    <w:rsid w:val="000A2661"/>
    <w:rsid w:val="000A27F0"/>
    <w:rsid w:val="000A2E86"/>
    <w:rsid w:val="000A2FCE"/>
    <w:rsid w:val="000A4D69"/>
    <w:rsid w:val="000A5D94"/>
    <w:rsid w:val="000A6BF7"/>
    <w:rsid w:val="000A6CB1"/>
    <w:rsid w:val="000A7579"/>
    <w:rsid w:val="000A78F0"/>
    <w:rsid w:val="000A7AD9"/>
    <w:rsid w:val="000B0410"/>
    <w:rsid w:val="000B07A8"/>
    <w:rsid w:val="000B1E31"/>
    <w:rsid w:val="000B21B0"/>
    <w:rsid w:val="000B2428"/>
    <w:rsid w:val="000B29DB"/>
    <w:rsid w:val="000B2A09"/>
    <w:rsid w:val="000B2D98"/>
    <w:rsid w:val="000B3E60"/>
    <w:rsid w:val="000B4FFA"/>
    <w:rsid w:val="000B58E3"/>
    <w:rsid w:val="000B643D"/>
    <w:rsid w:val="000B7027"/>
    <w:rsid w:val="000B7413"/>
    <w:rsid w:val="000B7B32"/>
    <w:rsid w:val="000C0013"/>
    <w:rsid w:val="000C04EC"/>
    <w:rsid w:val="000C15D8"/>
    <w:rsid w:val="000C17DD"/>
    <w:rsid w:val="000C21A3"/>
    <w:rsid w:val="000C22DC"/>
    <w:rsid w:val="000C27EF"/>
    <w:rsid w:val="000C2A4E"/>
    <w:rsid w:val="000C3129"/>
    <w:rsid w:val="000C3998"/>
    <w:rsid w:val="000C43B5"/>
    <w:rsid w:val="000C4EA9"/>
    <w:rsid w:val="000C5155"/>
    <w:rsid w:val="000C5372"/>
    <w:rsid w:val="000C5AE5"/>
    <w:rsid w:val="000C5CE5"/>
    <w:rsid w:val="000C5F2A"/>
    <w:rsid w:val="000C6850"/>
    <w:rsid w:val="000C6C90"/>
    <w:rsid w:val="000C7601"/>
    <w:rsid w:val="000C78CC"/>
    <w:rsid w:val="000C7CF6"/>
    <w:rsid w:val="000C7FB3"/>
    <w:rsid w:val="000D000B"/>
    <w:rsid w:val="000D0E67"/>
    <w:rsid w:val="000D284C"/>
    <w:rsid w:val="000D2975"/>
    <w:rsid w:val="000D3F50"/>
    <w:rsid w:val="000D4691"/>
    <w:rsid w:val="000D4AD0"/>
    <w:rsid w:val="000D4C42"/>
    <w:rsid w:val="000D6164"/>
    <w:rsid w:val="000D6186"/>
    <w:rsid w:val="000D64F5"/>
    <w:rsid w:val="000D7916"/>
    <w:rsid w:val="000D7A02"/>
    <w:rsid w:val="000D7DC2"/>
    <w:rsid w:val="000E080A"/>
    <w:rsid w:val="000E0D99"/>
    <w:rsid w:val="000E0F65"/>
    <w:rsid w:val="000E13D1"/>
    <w:rsid w:val="000E1AE2"/>
    <w:rsid w:val="000E1B61"/>
    <w:rsid w:val="000E1D34"/>
    <w:rsid w:val="000E3553"/>
    <w:rsid w:val="000E3577"/>
    <w:rsid w:val="000E4DB6"/>
    <w:rsid w:val="000E54CF"/>
    <w:rsid w:val="000E5587"/>
    <w:rsid w:val="000E5935"/>
    <w:rsid w:val="000E5AB4"/>
    <w:rsid w:val="000E7085"/>
    <w:rsid w:val="000E7C73"/>
    <w:rsid w:val="000F0333"/>
    <w:rsid w:val="000F07F4"/>
    <w:rsid w:val="000F12EC"/>
    <w:rsid w:val="000F2CD4"/>
    <w:rsid w:val="000F315C"/>
    <w:rsid w:val="000F3757"/>
    <w:rsid w:val="000F3813"/>
    <w:rsid w:val="000F389E"/>
    <w:rsid w:val="000F4694"/>
    <w:rsid w:val="000F4CEF"/>
    <w:rsid w:val="000F580E"/>
    <w:rsid w:val="000F59B0"/>
    <w:rsid w:val="000F5F2F"/>
    <w:rsid w:val="000F7191"/>
    <w:rsid w:val="000F7607"/>
    <w:rsid w:val="000F773B"/>
    <w:rsid w:val="000F7923"/>
    <w:rsid w:val="00100890"/>
    <w:rsid w:val="0010257F"/>
    <w:rsid w:val="001026A7"/>
    <w:rsid w:val="00102C9A"/>
    <w:rsid w:val="00102DDA"/>
    <w:rsid w:val="001037A4"/>
    <w:rsid w:val="00103D36"/>
    <w:rsid w:val="00105796"/>
    <w:rsid w:val="0010594E"/>
    <w:rsid w:val="00105D82"/>
    <w:rsid w:val="00106539"/>
    <w:rsid w:val="00106C1A"/>
    <w:rsid w:val="00106FB5"/>
    <w:rsid w:val="00107F45"/>
    <w:rsid w:val="00107F47"/>
    <w:rsid w:val="0011080A"/>
    <w:rsid w:val="001111A4"/>
    <w:rsid w:val="00111BC4"/>
    <w:rsid w:val="00111CE3"/>
    <w:rsid w:val="001120E3"/>
    <w:rsid w:val="001122C0"/>
    <w:rsid w:val="00112957"/>
    <w:rsid w:val="001129E0"/>
    <w:rsid w:val="00112CB0"/>
    <w:rsid w:val="00112D3B"/>
    <w:rsid w:val="001135DE"/>
    <w:rsid w:val="00113ABD"/>
    <w:rsid w:val="00113FD3"/>
    <w:rsid w:val="0011489E"/>
    <w:rsid w:val="0011513F"/>
    <w:rsid w:val="001153C0"/>
    <w:rsid w:val="001153EF"/>
    <w:rsid w:val="001154EF"/>
    <w:rsid w:val="00115C80"/>
    <w:rsid w:val="00115E34"/>
    <w:rsid w:val="001165A1"/>
    <w:rsid w:val="00116BF7"/>
    <w:rsid w:val="001179FE"/>
    <w:rsid w:val="00117E69"/>
    <w:rsid w:val="0012085E"/>
    <w:rsid w:val="00121577"/>
    <w:rsid w:val="0012175B"/>
    <w:rsid w:val="00121AFF"/>
    <w:rsid w:val="00122198"/>
    <w:rsid w:val="00122661"/>
    <w:rsid w:val="001226A0"/>
    <w:rsid w:val="001226EB"/>
    <w:rsid w:val="00122894"/>
    <w:rsid w:val="001230A3"/>
    <w:rsid w:val="00123F6A"/>
    <w:rsid w:val="00124393"/>
    <w:rsid w:val="00124712"/>
    <w:rsid w:val="00125EA3"/>
    <w:rsid w:val="00127CCF"/>
    <w:rsid w:val="00127E87"/>
    <w:rsid w:val="00130B9A"/>
    <w:rsid w:val="00130F96"/>
    <w:rsid w:val="00130FFA"/>
    <w:rsid w:val="00131F56"/>
    <w:rsid w:val="0013291D"/>
    <w:rsid w:val="00132EA0"/>
    <w:rsid w:val="00134028"/>
    <w:rsid w:val="00134AFF"/>
    <w:rsid w:val="00134BEB"/>
    <w:rsid w:val="00134F35"/>
    <w:rsid w:val="00135027"/>
    <w:rsid w:val="00136542"/>
    <w:rsid w:val="00136657"/>
    <w:rsid w:val="001373D4"/>
    <w:rsid w:val="00137E7D"/>
    <w:rsid w:val="00140031"/>
    <w:rsid w:val="001406E8"/>
    <w:rsid w:val="00140C35"/>
    <w:rsid w:val="00140F51"/>
    <w:rsid w:val="00141F35"/>
    <w:rsid w:val="00142051"/>
    <w:rsid w:val="00142269"/>
    <w:rsid w:val="00142905"/>
    <w:rsid w:val="00143742"/>
    <w:rsid w:val="001449CA"/>
    <w:rsid w:val="00144ECC"/>
    <w:rsid w:val="001455DE"/>
    <w:rsid w:val="00145E24"/>
    <w:rsid w:val="00146779"/>
    <w:rsid w:val="00146F39"/>
    <w:rsid w:val="00147236"/>
    <w:rsid w:val="00147378"/>
    <w:rsid w:val="001473B1"/>
    <w:rsid w:val="00147473"/>
    <w:rsid w:val="00147EBE"/>
    <w:rsid w:val="001500E5"/>
    <w:rsid w:val="00150282"/>
    <w:rsid w:val="00150CF0"/>
    <w:rsid w:val="00150D39"/>
    <w:rsid w:val="00150F2B"/>
    <w:rsid w:val="00151939"/>
    <w:rsid w:val="00151C34"/>
    <w:rsid w:val="00152C9B"/>
    <w:rsid w:val="00152CDD"/>
    <w:rsid w:val="001533DE"/>
    <w:rsid w:val="001536AC"/>
    <w:rsid w:val="00154A88"/>
    <w:rsid w:val="00155551"/>
    <w:rsid w:val="0015563A"/>
    <w:rsid w:val="0015589F"/>
    <w:rsid w:val="001559D1"/>
    <w:rsid w:val="00156D14"/>
    <w:rsid w:val="0015770D"/>
    <w:rsid w:val="001577D6"/>
    <w:rsid w:val="001605CD"/>
    <w:rsid w:val="00160AA2"/>
    <w:rsid w:val="00161BC8"/>
    <w:rsid w:val="00161C34"/>
    <w:rsid w:val="00162C14"/>
    <w:rsid w:val="00163678"/>
    <w:rsid w:val="00163BBD"/>
    <w:rsid w:val="00163F72"/>
    <w:rsid w:val="001641F0"/>
    <w:rsid w:val="00164258"/>
    <w:rsid w:val="00164AC1"/>
    <w:rsid w:val="00165B43"/>
    <w:rsid w:val="00165C7E"/>
    <w:rsid w:val="001660F1"/>
    <w:rsid w:val="00166CD8"/>
    <w:rsid w:val="00167B0B"/>
    <w:rsid w:val="00167E42"/>
    <w:rsid w:val="00170212"/>
    <w:rsid w:val="00170849"/>
    <w:rsid w:val="00171112"/>
    <w:rsid w:val="00172EDE"/>
    <w:rsid w:val="001731CC"/>
    <w:rsid w:val="001737A8"/>
    <w:rsid w:val="00173B29"/>
    <w:rsid w:val="0017411A"/>
    <w:rsid w:val="00174294"/>
    <w:rsid w:val="00174BEF"/>
    <w:rsid w:val="00175D94"/>
    <w:rsid w:val="00175FF4"/>
    <w:rsid w:val="00176CA0"/>
    <w:rsid w:val="001773CA"/>
    <w:rsid w:val="00177543"/>
    <w:rsid w:val="001775AA"/>
    <w:rsid w:val="00177D24"/>
    <w:rsid w:val="00180212"/>
    <w:rsid w:val="0018068D"/>
    <w:rsid w:val="0018189E"/>
    <w:rsid w:val="001818CD"/>
    <w:rsid w:val="001819E7"/>
    <w:rsid w:val="00182BA4"/>
    <w:rsid w:val="00183CDD"/>
    <w:rsid w:val="00184077"/>
    <w:rsid w:val="0018434B"/>
    <w:rsid w:val="001845EB"/>
    <w:rsid w:val="001847B6"/>
    <w:rsid w:val="001847B7"/>
    <w:rsid w:val="001859EB"/>
    <w:rsid w:val="00185B15"/>
    <w:rsid w:val="001860DD"/>
    <w:rsid w:val="00186428"/>
    <w:rsid w:val="00186E8C"/>
    <w:rsid w:val="00187295"/>
    <w:rsid w:val="0018730C"/>
    <w:rsid w:val="00187A05"/>
    <w:rsid w:val="00190620"/>
    <w:rsid w:val="001908D3"/>
    <w:rsid w:val="00190B43"/>
    <w:rsid w:val="00190BF7"/>
    <w:rsid w:val="00191276"/>
    <w:rsid w:val="0019242A"/>
    <w:rsid w:val="00192501"/>
    <w:rsid w:val="001926F5"/>
    <w:rsid w:val="00192E42"/>
    <w:rsid w:val="00192F82"/>
    <w:rsid w:val="0019375C"/>
    <w:rsid w:val="001937E2"/>
    <w:rsid w:val="00193E99"/>
    <w:rsid w:val="00193FC8"/>
    <w:rsid w:val="0019426C"/>
    <w:rsid w:val="0019474F"/>
    <w:rsid w:val="0019482E"/>
    <w:rsid w:val="00196634"/>
    <w:rsid w:val="0019735B"/>
    <w:rsid w:val="001A00D8"/>
    <w:rsid w:val="001A00F8"/>
    <w:rsid w:val="001A0B7B"/>
    <w:rsid w:val="001A19CD"/>
    <w:rsid w:val="001A1C49"/>
    <w:rsid w:val="001A249E"/>
    <w:rsid w:val="001A2BD6"/>
    <w:rsid w:val="001A2C37"/>
    <w:rsid w:val="001A2F3E"/>
    <w:rsid w:val="001A3054"/>
    <w:rsid w:val="001A305E"/>
    <w:rsid w:val="001A4280"/>
    <w:rsid w:val="001A44CD"/>
    <w:rsid w:val="001A497B"/>
    <w:rsid w:val="001A4A1B"/>
    <w:rsid w:val="001A4C4A"/>
    <w:rsid w:val="001A5B4D"/>
    <w:rsid w:val="001A5C22"/>
    <w:rsid w:val="001A5CE7"/>
    <w:rsid w:val="001A6466"/>
    <w:rsid w:val="001A6E4E"/>
    <w:rsid w:val="001B017C"/>
    <w:rsid w:val="001B02CE"/>
    <w:rsid w:val="001B03DC"/>
    <w:rsid w:val="001B082A"/>
    <w:rsid w:val="001B0B3A"/>
    <w:rsid w:val="001B0FAE"/>
    <w:rsid w:val="001B1362"/>
    <w:rsid w:val="001B230B"/>
    <w:rsid w:val="001B2A36"/>
    <w:rsid w:val="001B3268"/>
    <w:rsid w:val="001B368B"/>
    <w:rsid w:val="001B3F1D"/>
    <w:rsid w:val="001B456C"/>
    <w:rsid w:val="001B46C5"/>
    <w:rsid w:val="001B5605"/>
    <w:rsid w:val="001B5970"/>
    <w:rsid w:val="001B676D"/>
    <w:rsid w:val="001B6F1D"/>
    <w:rsid w:val="001B7185"/>
    <w:rsid w:val="001B718B"/>
    <w:rsid w:val="001B736A"/>
    <w:rsid w:val="001B78F4"/>
    <w:rsid w:val="001B7DEA"/>
    <w:rsid w:val="001C0040"/>
    <w:rsid w:val="001C0267"/>
    <w:rsid w:val="001C0334"/>
    <w:rsid w:val="001C0CAE"/>
    <w:rsid w:val="001C0DC9"/>
    <w:rsid w:val="001C1450"/>
    <w:rsid w:val="001C170E"/>
    <w:rsid w:val="001C17E8"/>
    <w:rsid w:val="001C2D3A"/>
    <w:rsid w:val="001C3AA0"/>
    <w:rsid w:val="001C4626"/>
    <w:rsid w:val="001C492A"/>
    <w:rsid w:val="001C4A37"/>
    <w:rsid w:val="001C54F7"/>
    <w:rsid w:val="001C56DC"/>
    <w:rsid w:val="001C5895"/>
    <w:rsid w:val="001C6048"/>
    <w:rsid w:val="001C7055"/>
    <w:rsid w:val="001C780D"/>
    <w:rsid w:val="001C7D64"/>
    <w:rsid w:val="001D0015"/>
    <w:rsid w:val="001D0922"/>
    <w:rsid w:val="001D1E1F"/>
    <w:rsid w:val="001D2716"/>
    <w:rsid w:val="001D2FA5"/>
    <w:rsid w:val="001D3792"/>
    <w:rsid w:val="001D3829"/>
    <w:rsid w:val="001D4581"/>
    <w:rsid w:val="001D54CA"/>
    <w:rsid w:val="001D59C5"/>
    <w:rsid w:val="001D5D89"/>
    <w:rsid w:val="001D5F00"/>
    <w:rsid w:val="001D65C0"/>
    <w:rsid w:val="001D6BD2"/>
    <w:rsid w:val="001D6EA3"/>
    <w:rsid w:val="001E037B"/>
    <w:rsid w:val="001E1049"/>
    <w:rsid w:val="001E198F"/>
    <w:rsid w:val="001E299C"/>
    <w:rsid w:val="001E390C"/>
    <w:rsid w:val="001E41DE"/>
    <w:rsid w:val="001E4858"/>
    <w:rsid w:val="001E4E8D"/>
    <w:rsid w:val="001E4F4F"/>
    <w:rsid w:val="001E51D7"/>
    <w:rsid w:val="001E526E"/>
    <w:rsid w:val="001E62E0"/>
    <w:rsid w:val="001E6A93"/>
    <w:rsid w:val="001E6E73"/>
    <w:rsid w:val="001E6FBB"/>
    <w:rsid w:val="001E70F8"/>
    <w:rsid w:val="001E79E1"/>
    <w:rsid w:val="001F1C1E"/>
    <w:rsid w:val="001F1CE3"/>
    <w:rsid w:val="001F271D"/>
    <w:rsid w:val="001F2CC1"/>
    <w:rsid w:val="001F2FDE"/>
    <w:rsid w:val="001F3C63"/>
    <w:rsid w:val="001F49F7"/>
    <w:rsid w:val="001F4C2B"/>
    <w:rsid w:val="001F5630"/>
    <w:rsid w:val="001F5830"/>
    <w:rsid w:val="001F58A5"/>
    <w:rsid w:val="001F5EF7"/>
    <w:rsid w:val="001F5F5D"/>
    <w:rsid w:val="001F7C48"/>
    <w:rsid w:val="001F7D2C"/>
    <w:rsid w:val="00200218"/>
    <w:rsid w:val="002004C8"/>
    <w:rsid w:val="0020245B"/>
    <w:rsid w:val="0020250A"/>
    <w:rsid w:val="002026E4"/>
    <w:rsid w:val="00202E91"/>
    <w:rsid w:val="002035CA"/>
    <w:rsid w:val="00204092"/>
    <w:rsid w:val="00204944"/>
    <w:rsid w:val="00204AB2"/>
    <w:rsid w:val="00204B12"/>
    <w:rsid w:val="0020541D"/>
    <w:rsid w:val="002066F1"/>
    <w:rsid w:val="00206783"/>
    <w:rsid w:val="00206CDB"/>
    <w:rsid w:val="002073DE"/>
    <w:rsid w:val="00210EEF"/>
    <w:rsid w:val="00211D37"/>
    <w:rsid w:val="00211E7B"/>
    <w:rsid w:val="00212816"/>
    <w:rsid w:val="00212F20"/>
    <w:rsid w:val="002140A7"/>
    <w:rsid w:val="0021472F"/>
    <w:rsid w:val="00214BBC"/>
    <w:rsid w:val="00215641"/>
    <w:rsid w:val="002164B1"/>
    <w:rsid w:val="0021754E"/>
    <w:rsid w:val="0021794F"/>
    <w:rsid w:val="002200CD"/>
    <w:rsid w:val="002206D0"/>
    <w:rsid w:val="00221C4E"/>
    <w:rsid w:val="002223AB"/>
    <w:rsid w:val="00222A44"/>
    <w:rsid w:val="00222FB1"/>
    <w:rsid w:val="00223213"/>
    <w:rsid w:val="002237D0"/>
    <w:rsid w:val="00223B55"/>
    <w:rsid w:val="00223E42"/>
    <w:rsid w:val="00224C3F"/>
    <w:rsid w:val="00224EDB"/>
    <w:rsid w:val="00225A22"/>
    <w:rsid w:val="00225C92"/>
    <w:rsid w:val="00225DD0"/>
    <w:rsid w:val="00225E1B"/>
    <w:rsid w:val="00225F12"/>
    <w:rsid w:val="00225FCC"/>
    <w:rsid w:val="0022634C"/>
    <w:rsid w:val="002265D7"/>
    <w:rsid w:val="00227759"/>
    <w:rsid w:val="00227979"/>
    <w:rsid w:val="00230389"/>
    <w:rsid w:val="00230BB1"/>
    <w:rsid w:val="0023204F"/>
    <w:rsid w:val="00232345"/>
    <w:rsid w:val="0023277A"/>
    <w:rsid w:val="00233452"/>
    <w:rsid w:val="0023401D"/>
    <w:rsid w:val="002342EA"/>
    <w:rsid w:val="00234E5E"/>
    <w:rsid w:val="00234FDF"/>
    <w:rsid w:val="00235A12"/>
    <w:rsid w:val="00235D2A"/>
    <w:rsid w:val="00235E5F"/>
    <w:rsid w:val="00236845"/>
    <w:rsid w:val="002378EE"/>
    <w:rsid w:val="002379B6"/>
    <w:rsid w:val="00237C84"/>
    <w:rsid w:val="00240725"/>
    <w:rsid w:val="0024073A"/>
    <w:rsid w:val="00241563"/>
    <w:rsid w:val="00241F94"/>
    <w:rsid w:val="0024209C"/>
    <w:rsid w:val="00242507"/>
    <w:rsid w:val="00242E78"/>
    <w:rsid w:val="002430CB"/>
    <w:rsid w:val="002432C8"/>
    <w:rsid w:val="00243AC6"/>
    <w:rsid w:val="00244B48"/>
    <w:rsid w:val="00244FB9"/>
    <w:rsid w:val="0024505E"/>
    <w:rsid w:val="002452F2"/>
    <w:rsid w:val="002453DE"/>
    <w:rsid w:val="00245C14"/>
    <w:rsid w:val="0024611B"/>
    <w:rsid w:val="0024741C"/>
    <w:rsid w:val="002506F7"/>
    <w:rsid w:val="00251194"/>
    <w:rsid w:val="00251331"/>
    <w:rsid w:val="00251BA6"/>
    <w:rsid w:val="00252D4E"/>
    <w:rsid w:val="00252E97"/>
    <w:rsid w:val="0025402E"/>
    <w:rsid w:val="0025454C"/>
    <w:rsid w:val="002545AC"/>
    <w:rsid w:val="00254C4C"/>
    <w:rsid w:val="00254CC0"/>
    <w:rsid w:val="0025506E"/>
    <w:rsid w:val="0025517E"/>
    <w:rsid w:val="002552B8"/>
    <w:rsid w:val="002557B8"/>
    <w:rsid w:val="00255F68"/>
    <w:rsid w:val="002576C6"/>
    <w:rsid w:val="00257C6F"/>
    <w:rsid w:val="00260180"/>
    <w:rsid w:val="00260277"/>
    <w:rsid w:val="00260D16"/>
    <w:rsid w:val="0026196D"/>
    <w:rsid w:val="00262A80"/>
    <w:rsid w:val="00262B7D"/>
    <w:rsid w:val="00262EC9"/>
    <w:rsid w:val="0026342E"/>
    <w:rsid w:val="0026427B"/>
    <w:rsid w:val="00264FEE"/>
    <w:rsid w:val="002656B7"/>
    <w:rsid w:val="00265BEC"/>
    <w:rsid w:val="00266A4B"/>
    <w:rsid w:val="00270076"/>
    <w:rsid w:val="002709DB"/>
    <w:rsid w:val="00270A7C"/>
    <w:rsid w:val="00271242"/>
    <w:rsid w:val="0027132B"/>
    <w:rsid w:val="00271897"/>
    <w:rsid w:val="002727C0"/>
    <w:rsid w:val="002727E0"/>
    <w:rsid w:val="00272B97"/>
    <w:rsid w:val="002735B6"/>
    <w:rsid w:val="00273604"/>
    <w:rsid w:val="002743F7"/>
    <w:rsid w:val="00274849"/>
    <w:rsid w:val="00275130"/>
    <w:rsid w:val="0027555E"/>
    <w:rsid w:val="002759BA"/>
    <w:rsid w:val="00275A75"/>
    <w:rsid w:val="00275AF2"/>
    <w:rsid w:val="002762D1"/>
    <w:rsid w:val="002775AE"/>
    <w:rsid w:val="00277D8D"/>
    <w:rsid w:val="0028101A"/>
    <w:rsid w:val="0028199B"/>
    <w:rsid w:val="00281BB5"/>
    <w:rsid w:val="00282CFC"/>
    <w:rsid w:val="00283397"/>
    <w:rsid w:val="002833D3"/>
    <w:rsid w:val="00283498"/>
    <w:rsid w:val="0028369F"/>
    <w:rsid w:val="00283964"/>
    <w:rsid w:val="00283B89"/>
    <w:rsid w:val="00284494"/>
    <w:rsid w:val="0028453B"/>
    <w:rsid w:val="002859C7"/>
    <w:rsid w:val="00285F03"/>
    <w:rsid w:val="00286BE0"/>
    <w:rsid w:val="00286CFB"/>
    <w:rsid w:val="00287C23"/>
    <w:rsid w:val="00287CC8"/>
    <w:rsid w:val="00287E69"/>
    <w:rsid w:val="0029117F"/>
    <w:rsid w:val="0029141D"/>
    <w:rsid w:val="00291D7A"/>
    <w:rsid w:val="00292BD4"/>
    <w:rsid w:val="00292BE3"/>
    <w:rsid w:val="00293001"/>
    <w:rsid w:val="002932B4"/>
    <w:rsid w:val="00293555"/>
    <w:rsid w:val="00293CB4"/>
    <w:rsid w:val="00294003"/>
    <w:rsid w:val="00294317"/>
    <w:rsid w:val="002943B8"/>
    <w:rsid w:val="00294696"/>
    <w:rsid w:val="00294941"/>
    <w:rsid w:val="00294AEB"/>
    <w:rsid w:val="00294B67"/>
    <w:rsid w:val="00294D28"/>
    <w:rsid w:val="00294F7E"/>
    <w:rsid w:val="0029519A"/>
    <w:rsid w:val="00295DC5"/>
    <w:rsid w:val="00295F40"/>
    <w:rsid w:val="00296175"/>
    <w:rsid w:val="0029712B"/>
    <w:rsid w:val="00297A42"/>
    <w:rsid w:val="00297CFE"/>
    <w:rsid w:val="002A014A"/>
    <w:rsid w:val="002A0564"/>
    <w:rsid w:val="002A1ECF"/>
    <w:rsid w:val="002A23B3"/>
    <w:rsid w:val="002A264A"/>
    <w:rsid w:val="002A30BB"/>
    <w:rsid w:val="002A31EC"/>
    <w:rsid w:val="002A3577"/>
    <w:rsid w:val="002A364F"/>
    <w:rsid w:val="002A4196"/>
    <w:rsid w:val="002A42A9"/>
    <w:rsid w:val="002A57A4"/>
    <w:rsid w:val="002A5932"/>
    <w:rsid w:val="002A5974"/>
    <w:rsid w:val="002A5AFC"/>
    <w:rsid w:val="002A5C27"/>
    <w:rsid w:val="002A6127"/>
    <w:rsid w:val="002A6282"/>
    <w:rsid w:val="002A6E21"/>
    <w:rsid w:val="002B0000"/>
    <w:rsid w:val="002B025D"/>
    <w:rsid w:val="002B1142"/>
    <w:rsid w:val="002B296A"/>
    <w:rsid w:val="002B2B07"/>
    <w:rsid w:val="002B2E82"/>
    <w:rsid w:val="002B3BF3"/>
    <w:rsid w:val="002B3D71"/>
    <w:rsid w:val="002B3F73"/>
    <w:rsid w:val="002B4177"/>
    <w:rsid w:val="002B4598"/>
    <w:rsid w:val="002B5516"/>
    <w:rsid w:val="002B5F39"/>
    <w:rsid w:val="002B6E11"/>
    <w:rsid w:val="002B7440"/>
    <w:rsid w:val="002C01DC"/>
    <w:rsid w:val="002C0A19"/>
    <w:rsid w:val="002C1270"/>
    <w:rsid w:val="002C1C97"/>
    <w:rsid w:val="002C1F45"/>
    <w:rsid w:val="002C20A0"/>
    <w:rsid w:val="002C21A1"/>
    <w:rsid w:val="002C2783"/>
    <w:rsid w:val="002C291E"/>
    <w:rsid w:val="002C2CEC"/>
    <w:rsid w:val="002C3733"/>
    <w:rsid w:val="002C3895"/>
    <w:rsid w:val="002C3B3F"/>
    <w:rsid w:val="002C3C61"/>
    <w:rsid w:val="002C48D0"/>
    <w:rsid w:val="002C5022"/>
    <w:rsid w:val="002C5091"/>
    <w:rsid w:val="002C5C9F"/>
    <w:rsid w:val="002C5F55"/>
    <w:rsid w:val="002C60D9"/>
    <w:rsid w:val="002C6E92"/>
    <w:rsid w:val="002C749D"/>
    <w:rsid w:val="002C76D0"/>
    <w:rsid w:val="002C78BF"/>
    <w:rsid w:val="002D082A"/>
    <w:rsid w:val="002D0D35"/>
    <w:rsid w:val="002D125E"/>
    <w:rsid w:val="002D1405"/>
    <w:rsid w:val="002D1A1D"/>
    <w:rsid w:val="002D283E"/>
    <w:rsid w:val="002D2DDA"/>
    <w:rsid w:val="002D357F"/>
    <w:rsid w:val="002D3610"/>
    <w:rsid w:val="002D36D6"/>
    <w:rsid w:val="002D3ED5"/>
    <w:rsid w:val="002D3FA8"/>
    <w:rsid w:val="002D402D"/>
    <w:rsid w:val="002D4066"/>
    <w:rsid w:val="002D5D50"/>
    <w:rsid w:val="002D5F65"/>
    <w:rsid w:val="002D6567"/>
    <w:rsid w:val="002D68F5"/>
    <w:rsid w:val="002D699F"/>
    <w:rsid w:val="002D7072"/>
    <w:rsid w:val="002D724B"/>
    <w:rsid w:val="002D73BB"/>
    <w:rsid w:val="002D73DC"/>
    <w:rsid w:val="002E09A4"/>
    <w:rsid w:val="002E0CFA"/>
    <w:rsid w:val="002E0E44"/>
    <w:rsid w:val="002E2E2A"/>
    <w:rsid w:val="002E37FC"/>
    <w:rsid w:val="002E3AD5"/>
    <w:rsid w:val="002E4941"/>
    <w:rsid w:val="002E557F"/>
    <w:rsid w:val="002E5AE8"/>
    <w:rsid w:val="002E5B92"/>
    <w:rsid w:val="002E6FA4"/>
    <w:rsid w:val="002E6FB6"/>
    <w:rsid w:val="002E7D2C"/>
    <w:rsid w:val="002F0697"/>
    <w:rsid w:val="002F1556"/>
    <w:rsid w:val="002F2756"/>
    <w:rsid w:val="002F2EC0"/>
    <w:rsid w:val="002F30B6"/>
    <w:rsid w:val="002F323B"/>
    <w:rsid w:val="002F3EB9"/>
    <w:rsid w:val="002F4387"/>
    <w:rsid w:val="002F5198"/>
    <w:rsid w:val="002F5221"/>
    <w:rsid w:val="002F58F2"/>
    <w:rsid w:val="002F6F15"/>
    <w:rsid w:val="00300246"/>
    <w:rsid w:val="00300667"/>
    <w:rsid w:val="00300B18"/>
    <w:rsid w:val="0030201B"/>
    <w:rsid w:val="003028AE"/>
    <w:rsid w:val="00302E0D"/>
    <w:rsid w:val="00302F45"/>
    <w:rsid w:val="00303073"/>
    <w:rsid w:val="00303090"/>
    <w:rsid w:val="00303C19"/>
    <w:rsid w:val="00304A41"/>
    <w:rsid w:val="003051E3"/>
    <w:rsid w:val="003059F5"/>
    <w:rsid w:val="003064D0"/>
    <w:rsid w:val="003064FD"/>
    <w:rsid w:val="00307095"/>
    <w:rsid w:val="00307E15"/>
    <w:rsid w:val="00310A52"/>
    <w:rsid w:val="00310AC5"/>
    <w:rsid w:val="003115F8"/>
    <w:rsid w:val="00312094"/>
    <w:rsid w:val="003125A4"/>
    <w:rsid w:val="003127F0"/>
    <w:rsid w:val="00312E87"/>
    <w:rsid w:val="00314434"/>
    <w:rsid w:val="003153C9"/>
    <w:rsid w:val="0031615D"/>
    <w:rsid w:val="0031617A"/>
    <w:rsid w:val="003161F7"/>
    <w:rsid w:val="00316746"/>
    <w:rsid w:val="003169A3"/>
    <w:rsid w:val="00316EC3"/>
    <w:rsid w:val="0031738E"/>
    <w:rsid w:val="00317690"/>
    <w:rsid w:val="00317F09"/>
    <w:rsid w:val="00321AF2"/>
    <w:rsid w:val="00321C04"/>
    <w:rsid w:val="00321FF3"/>
    <w:rsid w:val="00322135"/>
    <w:rsid w:val="00322750"/>
    <w:rsid w:val="00322DF4"/>
    <w:rsid w:val="003234C8"/>
    <w:rsid w:val="003241EF"/>
    <w:rsid w:val="0032438F"/>
    <w:rsid w:val="003257A0"/>
    <w:rsid w:val="003259C6"/>
    <w:rsid w:val="00325A98"/>
    <w:rsid w:val="00325BE2"/>
    <w:rsid w:val="00325FE0"/>
    <w:rsid w:val="0032657A"/>
    <w:rsid w:val="0032663B"/>
    <w:rsid w:val="00326A3A"/>
    <w:rsid w:val="0032700E"/>
    <w:rsid w:val="0033039F"/>
    <w:rsid w:val="003304EE"/>
    <w:rsid w:val="00330630"/>
    <w:rsid w:val="00331018"/>
    <w:rsid w:val="00331D24"/>
    <w:rsid w:val="003325F8"/>
    <w:rsid w:val="00333DE0"/>
    <w:rsid w:val="00333EF1"/>
    <w:rsid w:val="00335BF1"/>
    <w:rsid w:val="003363EC"/>
    <w:rsid w:val="0033650E"/>
    <w:rsid w:val="003371C4"/>
    <w:rsid w:val="00337703"/>
    <w:rsid w:val="00337EC9"/>
    <w:rsid w:val="00340722"/>
    <w:rsid w:val="003408B3"/>
    <w:rsid w:val="0034116B"/>
    <w:rsid w:val="00341B2B"/>
    <w:rsid w:val="0034214B"/>
    <w:rsid w:val="0034216D"/>
    <w:rsid w:val="003421DD"/>
    <w:rsid w:val="0034257E"/>
    <w:rsid w:val="00342BF7"/>
    <w:rsid w:val="00343C25"/>
    <w:rsid w:val="00344350"/>
    <w:rsid w:val="0034545F"/>
    <w:rsid w:val="00345A93"/>
    <w:rsid w:val="00345D51"/>
    <w:rsid w:val="00345F14"/>
    <w:rsid w:val="00346223"/>
    <w:rsid w:val="00346225"/>
    <w:rsid w:val="003463A4"/>
    <w:rsid w:val="00346708"/>
    <w:rsid w:val="0034796C"/>
    <w:rsid w:val="00347E58"/>
    <w:rsid w:val="00347F09"/>
    <w:rsid w:val="00350601"/>
    <w:rsid w:val="00352364"/>
    <w:rsid w:val="003523BE"/>
    <w:rsid w:val="003524FF"/>
    <w:rsid w:val="003527ED"/>
    <w:rsid w:val="00352871"/>
    <w:rsid w:val="00353F1C"/>
    <w:rsid w:val="00353FEE"/>
    <w:rsid w:val="00354A06"/>
    <w:rsid w:val="00354A5A"/>
    <w:rsid w:val="00354CF6"/>
    <w:rsid w:val="00354E1E"/>
    <w:rsid w:val="00355811"/>
    <w:rsid w:val="00355A3E"/>
    <w:rsid w:val="00356CBB"/>
    <w:rsid w:val="00357213"/>
    <w:rsid w:val="00357355"/>
    <w:rsid w:val="003576FB"/>
    <w:rsid w:val="0035795B"/>
    <w:rsid w:val="00357C7F"/>
    <w:rsid w:val="0036094F"/>
    <w:rsid w:val="00360E0C"/>
    <w:rsid w:val="003611D5"/>
    <w:rsid w:val="00361C1A"/>
    <w:rsid w:val="00362607"/>
    <w:rsid w:val="00362F5C"/>
    <w:rsid w:val="003630F8"/>
    <w:rsid w:val="00363D46"/>
    <w:rsid w:val="0036412B"/>
    <w:rsid w:val="0036429C"/>
    <w:rsid w:val="00364463"/>
    <w:rsid w:val="003646D8"/>
    <w:rsid w:val="0036523C"/>
    <w:rsid w:val="00365E08"/>
    <w:rsid w:val="00365F62"/>
    <w:rsid w:val="00366139"/>
    <w:rsid w:val="003663DF"/>
    <w:rsid w:val="003664E1"/>
    <w:rsid w:val="003666B2"/>
    <w:rsid w:val="003678A1"/>
    <w:rsid w:val="00367921"/>
    <w:rsid w:val="0037107D"/>
    <w:rsid w:val="0037154C"/>
    <w:rsid w:val="00371707"/>
    <w:rsid w:val="00371B39"/>
    <w:rsid w:val="00371D0F"/>
    <w:rsid w:val="003722E3"/>
    <w:rsid w:val="00372510"/>
    <w:rsid w:val="00372613"/>
    <w:rsid w:val="003728E2"/>
    <w:rsid w:val="00372B48"/>
    <w:rsid w:val="00373400"/>
    <w:rsid w:val="00373719"/>
    <w:rsid w:val="00373DF3"/>
    <w:rsid w:val="00374063"/>
    <w:rsid w:val="00374C93"/>
    <w:rsid w:val="00374F32"/>
    <w:rsid w:val="003758CF"/>
    <w:rsid w:val="00375B5E"/>
    <w:rsid w:val="003761D1"/>
    <w:rsid w:val="00376358"/>
    <w:rsid w:val="003766CE"/>
    <w:rsid w:val="0037679A"/>
    <w:rsid w:val="00376DD4"/>
    <w:rsid w:val="00377365"/>
    <w:rsid w:val="0037789A"/>
    <w:rsid w:val="00380173"/>
    <w:rsid w:val="0038071C"/>
    <w:rsid w:val="00380751"/>
    <w:rsid w:val="00380B17"/>
    <w:rsid w:val="00381450"/>
    <w:rsid w:val="003825CB"/>
    <w:rsid w:val="00382865"/>
    <w:rsid w:val="00382D0C"/>
    <w:rsid w:val="003858BF"/>
    <w:rsid w:val="00385EDC"/>
    <w:rsid w:val="00386324"/>
    <w:rsid w:val="00386422"/>
    <w:rsid w:val="00386A71"/>
    <w:rsid w:val="0038740D"/>
    <w:rsid w:val="003878A0"/>
    <w:rsid w:val="003902C6"/>
    <w:rsid w:val="00390626"/>
    <w:rsid w:val="00390A97"/>
    <w:rsid w:val="00390AC9"/>
    <w:rsid w:val="00391815"/>
    <w:rsid w:val="00391B34"/>
    <w:rsid w:val="00392DE9"/>
    <w:rsid w:val="0039366D"/>
    <w:rsid w:val="00393D26"/>
    <w:rsid w:val="003957DE"/>
    <w:rsid w:val="00395980"/>
    <w:rsid w:val="0039609F"/>
    <w:rsid w:val="003968B7"/>
    <w:rsid w:val="00396A57"/>
    <w:rsid w:val="00397501"/>
    <w:rsid w:val="003A0A31"/>
    <w:rsid w:val="003A1172"/>
    <w:rsid w:val="003A1476"/>
    <w:rsid w:val="003A1577"/>
    <w:rsid w:val="003A16A8"/>
    <w:rsid w:val="003A19C9"/>
    <w:rsid w:val="003A21D3"/>
    <w:rsid w:val="003A31A5"/>
    <w:rsid w:val="003A522B"/>
    <w:rsid w:val="003A5283"/>
    <w:rsid w:val="003A53D7"/>
    <w:rsid w:val="003A5442"/>
    <w:rsid w:val="003A54DE"/>
    <w:rsid w:val="003A5A33"/>
    <w:rsid w:val="003A6219"/>
    <w:rsid w:val="003A738C"/>
    <w:rsid w:val="003A7E9A"/>
    <w:rsid w:val="003B002B"/>
    <w:rsid w:val="003B0474"/>
    <w:rsid w:val="003B15C0"/>
    <w:rsid w:val="003B18B8"/>
    <w:rsid w:val="003B220E"/>
    <w:rsid w:val="003B2727"/>
    <w:rsid w:val="003B2BD6"/>
    <w:rsid w:val="003B2C69"/>
    <w:rsid w:val="003B3468"/>
    <w:rsid w:val="003B3635"/>
    <w:rsid w:val="003B3725"/>
    <w:rsid w:val="003B392C"/>
    <w:rsid w:val="003B3934"/>
    <w:rsid w:val="003B399E"/>
    <w:rsid w:val="003B543D"/>
    <w:rsid w:val="003B54F8"/>
    <w:rsid w:val="003B55B2"/>
    <w:rsid w:val="003B5962"/>
    <w:rsid w:val="003B6328"/>
    <w:rsid w:val="003B6908"/>
    <w:rsid w:val="003B74A7"/>
    <w:rsid w:val="003B773A"/>
    <w:rsid w:val="003C0793"/>
    <w:rsid w:val="003C08B6"/>
    <w:rsid w:val="003C4A49"/>
    <w:rsid w:val="003C4B52"/>
    <w:rsid w:val="003C5382"/>
    <w:rsid w:val="003C56BE"/>
    <w:rsid w:val="003C5888"/>
    <w:rsid w:val="003C5E5E"/>
    <w:rsid w:val="003C6268"/>
    <w:rsid w:val="003C652F"/>
    <w:rsid w:val="003C66F4"/>
    <w:rsid w:val="003C78B5"/>
    <w:rsid w:val="003C78C6"/>
    <w:rsid w:val="003C7A54"/>
    <w:rsid w:val="003D0838"/>
    <w:rsid w:val="003D092E"/>
    <w:rsid w:val="003D0CBD"/>
    <w:rsid w:val="003D0E27"/>
    <w:rsid w:val="003D11F8"/>
    <w:rsid w:val="003D163E"/>
    <w:rsid w:val="003D17F1"/>
    <w:rsid w:val="003D1FD8"/>
    <w:rsid w:val="003D235C"/>
    <w:rsid w:val="003D2BB6"/>
    <w:rsid w:val="003D2CC2"/>
    <w:rsid w:val="003D318E"/>
    <w:rsid w:val="003D31CE"/>
    <w:rsid w:val="003D3AB5"/>
    <w:rsid w:val="003D465F"/>
    <w:rsid w:val="003D54C8"/>
    <w:rsid w:val="003D56C1"/>
    <w:rsid w:val="003D5D0B"/>
    <w:rsid w:val="003D7347"/>
    <w:rsid w:val="003D77D9"/>
    <w:rsid w:val="003E013E"/>
    <w:rsid w:val="003E23FA"/>
    <w:rsid w:val="003E2A11"/>
    <w:rsid w:val="003E2E58"/>
    <w:rsid w:val="003E30BD"/>
    <w:rsid w:val="003E3956"/>
    <w:rsid w:val="003E47A1"/>
    <w:rsid w:val="003E5053"/>
    <w:rsid w:val="003E702B"/>
    <w:rsid w:val="003F0C2C"/>
    <w:rsid w:val="003F1215"/>
    <w:rsid w:val="003F137D"/>
    <w:rsid w:val="003F1E39"/>
    <w:rsid w:val="003F266D"/>
    <w:rsid w:val="003F2F0A"/>
    <w:rsid w:val="003F3507"/>
    <w:rsid w:val="003F3CDF"/>
    <w:rsid w:val="003F3DC2"/>
    <w:rsid w:val="003F3E90"/>
    <w:rsid w:val="003F44B1"/>
    <w:rsid w:val="003F5C67"/>
    <w:rsid w:val="003F770B"/>
    <w:rsid w:val="003F7A39"/>
    <w:rsid w:val="003F7C21"/>
    <w:rsid w:val="0040154B"/>
    <w:rsid w:val="0040170E"/>
    <w:rsid w:val="0040174F"/>
    <w:rsid w:val="00401F44"/>
    <w:rsid w:val="00402AD3"/>
    <w:rsid w:val="00402EC1"/>
    <w:rsid w:val="004039A1"/>
    <w:rsid w:val="004044A5"/>
    <w:rsid w:val="00404527"/>
    <w:rsid w:val="00404984"/>
    <w:rsid w:val="004049D3"/>
    <w:rsid w:val="00404EE5"/>
    <w:rsid w:val="004052B8"/>
    <w:rsid w:val="00405B3C"/>
    <w:rsid w:val="004062F6"/>
    <w:rsid w:val="00406435"/>
    <w:rsid w:val="00406487"/>
    <w:rsid w:val="0040684E"/>
    <w:rsid w:val="004068F7"/>
    <w:rsid w:val="0040702F"/>
    <w:rsid w:val="00407835"/>
    <w:rsid w:val="00407A16"/>
    <w:rsid w:val="00410067"/>
    <w:rsid w:val="0041078A"/>
    <w:rsid w:val="004108D5"/>
    <w:rsid w:val="004122E0"/>
    <w:rsid w:val="0041253F"/>
    <w:rsid w:val="004129A9"/>
    <w:rsid w:val="004138C9"/>
    <w:rsid w:val="00413E56"/>
    <w:rsid w:val="00414308"/>
    <w:rsid w:val="004149D0"/>
    <w:rsid w:val="00415329"/>
    <w:rsid w:val="004156F9"/>
    <w:rsid w:val="004157F7"/>
    <w:rsid w:val="00415BE0"/>
    <w:rsid w:val="00417062"/>
    <w:rsid w:val="00417764"/>
    <w:rsid w:val="004201D4"/>
    <w:rsid w:val="004212D5"/>
    <w:rsid w:val="004215C6"/>
    <w:rsid w:val="0042293B"/>
    <w:rsid w:val="00422A23"/>
    <w:rsid w:val="00422BC3"/>
    <w:rsid w:val="00423A07"/>
    <w:rsid w:val="00423E79"/>
    <w:rsid w:val="004240B0"/>
    <w:rsid w:val="00424484"/>
    <w:rsid w:val="00424A79"/>
    <w:rsid w:val="004252B2"/>
    <w:rsid w:val="00425D84"/>
    <w:rsid w:val="00426372"/>
    <w:rsid w:val="00427109"/>
    <w:rsid w:val="00427743"/>
    <w:rsid w:val="00427CDC"/>
    <w:rsid w:val="00427F16"/>
    <w:rsid w:val="0043016D"/>
    <w:rsid w:val="004306B9"/>
    <w:rsid w:val="00430B90"/>
    <w:rsid w:val="0043111B"/>
    <w:rsid w:val="00431444"/>
    <w:rsid w:val="00432206"/>
    <w:rsid w:val="00432DE9"/>
    <w:rsid w:val="00433FBF"/>
    <w:rsid w:val="00433FC0"/>
    <w:rsid w:val="00434B99"/>
    <w:rsid w:val="00434D88"/>
    <w:rsid w:val="00434FBB"/>
    <w:rsid w:val="00435A0E"/>
    <w:rsid w:val="004376B1"/>
    <w:rsid w:val="00437A47"/>
    <w:rsid w:val="00437AA6"/>
    <w:rsid w:val="004408CA"/>
    <w:rsid w:val="00440F6D"/>
    <w:rsid w:val="00441A6E"/>
    <w:rsid w:val="00441AD1"/>
    <w:rsid w:val="0044211A"/>
    <w:rsid w:val="00442373"/>
    <w:rsid w:val="004423DD"/>
    <w:rsid w:val="004433EC"/>
    <w:rsid w:val="00444002"/>
    <w:rsid w:val="00444044"/>
    <w:rsid w:val="004440FF"/>
    <w:rsid w:val="004449A8"/>
    <w:rsid w:val="004458D4"/>
    <w:rsid w:val="004459FE"/>
    <w:rsid w:val="00446B07"/>
    <w:rsid w:val="00450887"/>
    <w:rsid w:val="00450A80"/>
    <w:rsid w:val="004512E2"/>
    <w:rsid w:val="00451ABD"/>
    <w:rsid w:val="00451C36"/>
    <w:rsid w:val="00451E9A"/>
    <w:rsid w:val="00452582"/>
    <w:rsid w:val="00452825"/>
    <w:rsid w:val="00452E43"/>
    <w:rsid w:val="0045318C"/>
    <w:rsid w:val="00455C7C"/>
    <w:rsid w:val="00455FE7"/>
    <w:rsid w:val="00455FF4"/>
    <w:rsid w:val="004561CC"/>
    <w:rsid w:val="00456973"/>
    <w:rsid w:val="0045708A"/>
    <w:rsid w:val="004574F1"/>
    <w:rsid w:val="00460605"/>
    <w:rsid w:val="00460AC6"/>
    <w:rsid w:val="00460BF3"/>
    <w:rsid w:val="00460DBD"/>
    <w:rsid w:val="004619CB"/>
    <w:rsid w:val="00461C67"/>
    <w:rsid w:val="004627AA"/>
    <w:rsid w:val="00462BEE"/>
    <w:rsid w:val="00463912"/>
    <w:rsid w:val="00463DBC"/>
    <w:rsid w:val="00463DD0"/>
    <w:rsid w:val="0046407C"/>
    <w:rsid w:val="004643D4"/>
    <w:rsid w:val="004644C5"/>
    <w:rsid w:val="004646D0"/>
    <w:rsid w:val="0046479C"/>
    <w:rsid w:val="00464852"/>
    <w:rsid w:val="00464880"/>
    <w:rsid w:val="00464966"/>
    <w:rsid w:val="00464FBB"/>
    <w:rsid w:val="004657BA"/>
    <w:rsid w:val="00465BC4"/>
    <w:rsid w:val="00465D9F"/>
    <w:rsid w:val="00466DB4"/>
    <w:rsid w:val="00466EBE"/>
    <w:rsid w:val="00466EDE"/>
    <w:rsid w:val="004677BE"/>
    <w:rsid w:val="00467C38"/>
    <w:rsid w:val="00470424"/>
    <w:rsid w:val="00470876"/>
    <w:rsid w:val="00470C98"/>
    <w:rsid w:val="00470ED4"/>
    <w:rsid w:val="00471485"/>
    <w:rsid w:val="00471E30"/>
    <w:rsid w:val="00472C4F"/>
    <w:rsid w:val="004736A8"/>
    <w:rsid w:val="00474193"/>
    <w:rsid w:val="004748DC"/>
    <w:rsid w:val="00474B24"/>
    <w:rsid w:val="00475A56"/>
    <w:rsid w:val="00475FA8"/>
    <w:rsid w:val="004760AF"/>
    <w:rsid w:val="004773FA"/>
    <w:rsid w:val="0047753E"/>
    <w:rsid w:val="0047758B"/>
    <w:rsid w:val="00477993"/>
    <w:rsid w:val="00477C14"/>
    <w:rsid w:val="00477D8B"/>
    <w:rsid w:val="00480D64"/>
    <w:rsid w:val="00480EEE"/>
    <w:rsid w:val="00481658"/>
    <w:rsid w:val="0048312C"/>
    <w:rsid w:val="0048399D"/>
    <w:rsid w:val="00483D20"/>
    <w:rsid w:val="00483E6E"/>
    <w:rsid w:val="00484029"/>
    <w:rsid w:val="00484DD3"/>
    <w:rsid w:val="004857E8"/>
    <w:rsid w:val="0048590E"/>
    <w:rsid w:val="00485932"/>
    <w:rsid w:val="00485F36"/>
    <w:rsid w:val="004861B5"/>
    <w:rsid w:val="00486EBA"/>
    <w:rsid w:val="00487CFC"/>
    <w:rsid w:val="00490669"/>
    <w:rsid w:val="004907BA"/>
    <w:rsid w:val="00490DDF"/>
    <w:rsid w:val="004916DF"/>
    <w:rsid w:val="0049196F"/>
    <w:rsid w:val="00491DA6"/>
    <w:rsid w:val="004924E0"/>
    <w:rsid w:val="004927A4"/>
    <w:rsid w:val="00493E23"/>
    <w:rsid w:val="00494F0B"/>
    <w:rsid w:val="00495E7B"/>
    <w:rsid w:val="00496156"/>
    <w:rsid w:val="0049663B"/>
    <w:rsid w:val="00496714"/>
    <w:rsid w:val="00496C55"/>
    <w:rsid w:val="004974AA"/>
    <w:rsid w:val="00497804"/>
    <w:rsid w:val="00497D12"/>
    <w:rsid w:val="00497D1B"/>
    <w:rsid w:val="004A0BD9"/>
    <w:rsid w:val="004A0C5B"/>
    <w:rsid w:val="004A19A6"/>
    <w:rsid w:val="004A371B"/>
    <w:rsid w:val="004A3806"/>
    <w:rsid w:val="004A3B8B"/>
    <w:rsid w:val="004A45A0"/>
    <w:rsid w:val="004A53F6"/>
    <w:rsid w:val="004A5EDA"/>
    <w:rsid w:val="004A6346"/>
    <w:rsid w:val="004A64C2"/>
    <w:rsid w:val="004A696A"/>
    <w:rsid w:val="004A6C3C"/>
    <w:rsid w:val="004A72AD"/>
    <w:rsid w:val="004A7DA3"/>
    <w:rsid w:val="004B02C2"/>
    <w:rsid w:val="004B0361"/>
    <w:rsid w:val="004B0B12"/>
    <w:rsid w:val="004B13E9"/>
    <w:rsid w:val="004B157D"/>
    <w:rsid w:val="004B19F7"/>
    <w:rsid w:val="004B1B18"/>
    <w:rsid w:val="004B2F54"/>
    <w:rsid w:val="004B303A"/>
    <w:rsid w:val="004B3FFD"/>
    <w:rsid w:val="004B46CE"/>
    <w:rsid w:val="004B51CE"/>
    <w:rsid w:val="004B5398"/>
    <w:rsid w:val="004B5751"/>
    <w:rsid w:val="004B661A"/>
    <w:rsid w:val="004B6665"/>
    <w:rsid w:val="004B6AF3"/>
    <w:rsid w:val="004B6DF9"/>
    <w:rsid w:val="004B6F8A"/>
    <w:rsid w:val="004B768E"/>
    <w:rsid w:val="004B78D8"/>
    <w:rsid w:val="004C09A8"/>
    <w:rsid w:val="004C0FBA"/>
    <w:rsid w:val="004C1866"/>
    <w:rsid w:val="004C24F4"/>
    <w:rsid w:val="004C290C"/>
    <w:rsid w:val="004C2C01"/>
    <w:rsid w:val="004C30C3"/>
    <w:rsid w:val="004C41B8"/>
    <w:rsid w:val="004C4EC2"/>
    <w:rsid w:val="004C5427"/>
    <w:rsid w:val="004C58C4"/>
    <w:rsid w:val="004C6744"/>
    <w:rsid w:val="004C6873"/>
    <w:rsid w:val="004C6D5A"/>
    <w:rsid w:val="004C6D8D"/>
    <w:rsid w:val="004C7302"/>
    <w:rsid w:val="004D0037"/>
    <w:rsid w:val="004D0536"/>
    <w:rsid w:val="004D0CB7"/>
    <w:rsid w:val="004D0E6F"/>
    <w:rsid w:val="004D26ED"/>
    <w:rsid w:val="004D2B92"/>
    <w:rsid w:val="004D3067"/>
    <w:rsid w:val="004D318F"/>
    <w:rsid w:val="004D3293"/>
    <w:rsid w:val="004D3E75"/>
    <w:rsid w:val="004D4139"/>
    <w:rsid w:val="004D4728"/>
    <w:rsid w:val="004D512E"/>
    <w:rsid w:val="004D6430"/>
    <w:rsid w:val="004D687F"/>
    <w:rsid w:val="004D71C8"/>
    <w:rsid w:val="004D7B00"/>
    <w:rsid w:val="004D7FA5"/>
    <w:rsid w:val="004E0202"/>
    <w:rsid w:val="004E07EF"/>
    <w:rsid w:val="004E1306"/>
    <w:rsid w:val="004E161B"/>
    <w:rsid w:val="004E2246"/>
    <w:rsid w:val="004E32E8"/>
    <w:rsid w:val="004E4DB1"/>
    <w:rsid w:val="004E711B"/>
    <w:rsid w:val="004F0213"/>
    <w:rsid w:val="004F033F"/>
    <w:rsid w:val="004F2088"/>
    <w:rsid w:val="004F218F"/>
    <w:rsid w:val="004F233C"/>
    <w:rsid w:val="004F2CD4"/>
    <w:rsid w:val="004F2DDB"/>
    <w:rsid w:val="004F2F33"/>
    <w:rsid w:val="004F3A4D"/>
    <w:rsid w:val="004F3FBC"/>
    <w:rsid w:val="004F4312"/>
    <w:rsid w:val="004F46F6"/>
    <w:rsid w:val="004F4700"/>
    <w:rsid w:val="004F5588"/>
    <w:rsid w:val="004F5724"/>
    <w:rsid w:val="004F5805"/>
    <w:rsid w:val="004F6434"/>
    <w:rsid w:val="004F6AB3"/>
    <w:rsid w:val="004F6F53"/>
    <w:rsid w:val="00500656"/>
    <w:rsid w:val="005008DA"/>
    <w:rsid w:val="0050184F"/>
    <w:rsid w:val="00501F99"/>
    <w:rsid w:val="005021DD"/>
    <w:rsid w:val="00502400"/>
    <w:rsid w:val="00502C62"/>
    <w:rsid w:val="00503443"/>
    <w:rsid w:val="00504231"/>
    <w:rsid w:val="0050447B"/>
    <w:rsid w:val="005044FE"/>
    <w:rsid w:val="005057B6"/>
    <w:rsid w:val="00505C52"/>
    <w:rsid w:val="00505D5D"/>
    <w:rsid w:val="005071FF"/>
    <w:rsid w:val="00507804"/>
    <w:rsid w:val="00507913"/>
    <w:rsid w:val="00507A21"/>
    <w:rsid w:val="00512CB0"/>
    <w:rsid w:val="005133B0"/>
    <w:rsid w:val="00513987"/>
    <w:rsid w:val="00513DC9"/>
    <w:rsid w:val="005146FF"/>
    <w:rsid w:val="0051495B"/>
    <w:rsid w:val="00514C2A"/>
    <w:rsid w:val="0051597A"/>
    <w:rsid w:val="0051601E"/>
    <w:rsid w:val="00516865"/>
    <w:rsid w:val="00516AF9"/>
    <w:rsid w:val="0051705A"/>
    <w:rsid w:val="00517939"/>
    <w:rsid w:val="00517997"/>
    <w:rsid w:val="00517CC9"/>
    <w:rsid w:val="005206A1"/>
    <w:rsid w:val="00520A53"/>
    <w:rsid w:val="005222BE"/>
    <w:rsid w:val="00522B8F"/>
    <w:rsid w:val="0052347F"/>
    <w:rsid w:val="005241E9"/>
    <w:rsid w:val="005244E1"/>
    <w:rsid w:val="00525B89"/>
    <w:rsid w:val="00525E73"/>
    <w:rsid w:val="00526673"/>
    <w:rsid w:val="00526F0B"/>
    <w:rsid w:val="005277E3"/>
    <w:rsid w:val="00527D80"/>
    <w:rsid w:val="00530494"/>
    <w:rsid w:val="0053069B"/>
    <w:rsid w:val="005308D4"/>
    <w:rsid w:val="005313EA"/>
    <w:rsid w:val="00531438"/>
    <w:rsid w:val="00531792"/>
    <w:rsid w:val="005319A1"/>
    <w:rsid w:val="00531D6D"/>
    <w:rsid w:val="00531FF5"/>
    <w:rsid w:val="00532146"/>
    <w:rsid w:val="005329EC"/>
    <w:rsid w:val="005348D8"/>
    <w:rsid w:val="00534FA6"/>
    <w:rsid w:val="00535108"/>
    <w:rsid w:val="00535200"/>
    <w:rsid w:val="005368B2"/>
    <w:rsid w:val="00536EFA"/>
    <w:rsid w:val="00536F60"/>
    <w:rsid w:val="0053738B"/>
    <w:rsid w:val="00537E3E"/>
    <w:rsid w:val="00537FBF"/>
    <w:rsid w:val="005402CE"/>
    <w:rsid w:val="00540477"/>
    <w:rsid w:val="00540AE2"/>
    <w:rsid w:val="00541A84"/>
    <w:rsid w:val="005420DC"/>
    <w:rsid w:val="005421E3"/>
    <w:rsid w:val="0054337F"/>
    <w:rsid w:val="00543B9C"/>
    <w:rsid w:val="00544333"/>
    <w:rsid w:val="00544350"/>
    <w:rsid w:val="005449F0"/>
    <w:rsid w:val="00544AA9"/>
    <w:rsid w:val="0054556C"/>
    <w:rsid w:val="0054586C"/>
    <w:rsid w:val="00545E53"/>
    <w:rsid w:val="0054663F"/>
    <w:rsid w:val="005474C2"/>
    <w:rsid w:val="005503FC"/>
    <w:rsid w:val="00550FA4"/>
    <w:rsid w:val="0055176E"/>
    <w:rsid w:val="0055187C"/>
    <w:rsid w:val="00552612"/>
    <w:rsid w:val="005529E8"/>
    <w:rsid w:val="00552ED2"/>
    <w:rsid w:val="00553C87"/>
    <w:rsid w:val="00553E5D"/>
    <w:rsid w:val="005541ED"/>
    <w:rsid w:val="005547BD"/>
    <w:rsid w:val="00555154"/>
    <w:rsid w:val="00555DE1"/>
    <w:rsid w:val="005568EA"/>
    <w:rsid w:val="0055752B"/>
    <w:rsid w:val="00557D47"/>
    <w:rsid w:val="00560594"/>
    <w:rsid w:val="00560EC9"/>
    <w:rsid w:val="0056100D"/>
    <w:rsid w:val="00561370"/>
    <w:rsid w:val="005621FE"/>
    <w:rsid w:val="00562395"/>
    <w:rsid w:val="005627B0"/>
    <w:rsid w:val="00562EE9"/>
    <w:rsid w:val="00563420"/>
    <w:rsid w:val="005638B9"/>
    <w:rsid w:val="00564373"/>
    <w:rsid w:val="00564870"/>
    <w:rsid w:val="00564B38"/>
    <w:rsid w:val="0056775C"/>
    <w:rsid w:val="005679B7"/>
    <w:rsid w:val="005701F1"/>
    <w:rsid w:val="00570233"/>
    <w:rsid w:val="005703FE"/>
    <w:rsid w:val="00570910"/>
    <w:rsid w:val="00571CFD"/>
    <w:rsid w:val="00571E19"/>
    <w:rsid w:val="00572682"/>
    <w:rsid w:val="00573C4D"/>
    <w:rsid w:val="005740A2"/>
    <w:rsid w:val="005743A7"/>
    <w:rsid w:val="005750F7"/>
    <w:rsid w:val="00575B35"/>
    <w:rsid w:val="00576336"/>
    <w:rsid w:val="0057704D"/>
    <w:rsid w:val="00577432"/>
    <w:rsid w:val="00577A70"/>
    <w:rsid w:val="0058088E"/>
    <w:rsid w:val="005808DF"/>
    <w:rsid w:val="00580A50"/>
    <w:rsid w:val="005814F4"/>
    <w:rsid w:val="00581530"/>
    <w:rsid w:val="00581BE3"/>
    <w:rsid w:val="005821CE"/>
    <w:rsid w:val="00582861"/>
    <w:rsid w:val="0058339F"/>
    <w:rsid w:val="00583F0F"/>
    <w:rsid w:val="00584A5F"/>
    <w:rsid w:val="005855BB"/>
    <w:rsid w:val="005868FB"/>
    <w:rsid w:val="00586BE8"/>
    <w:rsid w:val="00586D3C"/>
    <w:rsid w:val="00586F89"/>
    <w:rsid w:val="005876ED"/>
    <w:rsid w:val="00587952"/>
    <w:rsid w:val="00587A43"/>
    <w:rsid w:val="00587D9E"/>
    <w:rsid w:val="00590E47"/>
    <w:rsid w:val="00591218"/>
    <w:rsid w:val="0059163C"/>
    <w:rsid w:val="0059243A"/>
    <w:rsid w:val="00592869"/>
    <w:rsid w:val="00593425"/>
    <w:rsid w:val="00593C03"/>
    <w:rsid w:val="00593C73"/>
    <w:rsid w:val="00594123"/>
    <w:rsid w:val="00594503"/>
    <w:rsid w:val="00594EAC"/>
    <w:rsid w:val="00594EEE"/>
    <w:rsid w:val="00594F69"/>
    <w:rsid w:val="0059642A"/>
    <w:rsid w:val="005971CF"/>
    <w:rsid w:val="005972D1"/>
    <w:rsid w:val="005974A1"/>
    <w:rsid w:val="00597769"/>
    <w:rsid w:val="00597792"/>
    <w:rsid w:val="005978D6"/>
    <w:rsid w:val="00597946"/>
    <w:rsid w:val="00597AB0"/>
    <w:rsid w:val="005A02DE"/>
    <w:rsid w:val="005A0D2C"/>
    <w:rsid w:val="005A0E37"/>
    <w:rsid w:val="005A13C2"/>
    <w:rsid w:val="005A2C11"/>
    <w:rsid w:val="005A3BDB"/>
    <w:rsid w:val="005A4D71"/>
    <w:rsid w:val="005A4F28"/>
    <w:rsid w:val="005A57D2"/>
    <w:rsid w:val="005A6752"/>
    <w:rsid w:val="005A6BD0"/>
    <w:rsid w:val="005A6EDF"/>
    <w:rsid w:val="005A74FA"/>
    <w:rsid w:val="005A7D8F"/>
    <w:rsid w:val="005A7DDF"/>
    <w:rsid w:val="005A7FC4"/>
    <w:rsid w:val="005B1416"/>
    <w:rsid w:val="005B1726"/>
    <w:rsid w:val="005B28E1"/>
    <w:rsid w:val="005B29C6"/>
    <w:rsid w:val="005B2A38"/>
    <w:rsid w:val="005B5237"/>
    <w:rsid w:val="005B5932"/>
    <w:rsid w:val="005B5DD4"/>
    <w:rsid w:val="005B661A"/>
    <w:rsid w:val="005B666A"/>
    <w:rsid w:val="005B68EC"/>
    <w:rsid w:val="005B7530"/>
    <w:rsid w:val="005B7AEF"/>
    <w:rsid w:val="005C005B"/>
    <w:rsid w:val="005C020F"/>
    <w:rsid w:val="005C0633"/>
    <w:rsid w:val="005C074E"/>
    <w:rsid w:val="005C08D5"/>
    <w:rsid w:val="005C120C"/>
    <w:rsid w:val="005C1A55"/>
    <w:rsid w:val="005C1DF9"/>
    <w:rsid w:val="005C21B9"/>
    <w:rsid w:val="005C2A64"/>
    <w:rsid w:val="005C2C37"/>
    <w:rsid w:val="005C2E7D"/>
    <w:rsid w:val="005C318D"/>
    <w:rsid w:val="005C4044"/>
    <w:rsid w:val="005C50BF"/>
    <w:rsid w:val="005C57F5"/>
    <w:rsid w:val="005C5FCB"/>
    <w:rsid w:val="005C75EA"/>
    <w:rsid w:val="005C76FE"/>
    <w:rsid w:val="005D01BA"/>
    <w:rsid w:val="005D0519"/>
    <w:rsid w:val="005D0FAF"/>
    <w:rsid w:val="005D1750"/>
    <w:rsid w:val="005D1915"/>
    <w:rsid w:val="005D2358"/>
    <w:rsid w:val="005D2455"/>
    <w:rsid w:val="005D278C"/>
    <w:rsid w:val="005D3428"/>
    <w:rsid w:val="005D390B"/>
    <w:rsid w:val="005D3AD5"/>
    <w:rsid w:val="005D3D09"/>
    <w:rsid w:val="005D4140"/>
    <w:rsid w:val="005D4733"/>
    <w:rsid w:val="005D47B1"/>
    <w:rsid w:val="005D4FF4"/>
    <w:rsid w:val="005D526F"/>
    <w:rsid w:val="005D550B"/>
    <w:rsid w:val="005D5AB3"/>
    <w:rsid w:val="005D5F59"/>
    <w:rsid w:val="005D704B"/>
    <w:rsid w:val="005D7335"/>
    <w:rsid w:val="005E0A1A"/>
    <w:rsid w:val="005E0E75"/>
    <w:rsid w:val="005E1114"/>
    <w:rsid w:val="005E1D20"/>
    <w:rsid w:val="005E2816"/>
    <w:rsid w:val="005E2B85"/>
    <w:rsid w:val="005E2F3A"/>
    <w:rsid w:val="005E32C6"/>
    <w:rsid w:val="005E3B00"/>
    <w:rsid w:val="005E44D3"/>
    <w:rsid w:val="005E4AD3"/>
    <w:rsid w:val="005E66EA"/>
    <w:rsid w:val="005E6CED"/>
    <w:rsid w:val="005E7045"/>
    <w:rsid w:val="005E7A2A"/>
    <w:rsid w:val="005E7E84"/>
    <w:rsid w:val="005F08CD"/>
    <w:rsid w:val="005F1AE2"/>
    <w:rsid w:val="005F1EF5"/>
    <w:rsid w:val="005F2254"/>
    <w:rsid w:val="005F2261"/>
    <w:rsid w:val="005F2607"/>
    <w:rsid w:val="005F2993"/>
    <w:rsid w:val="005F2EA6"/>
    <w:rsid w:val="005F3AAE"/>
    <w:rsid w:val="005F3B92"/>
    <w:rsid w:val="005F48E6"/>
    <w:rsid w:val="005F493E"/>
    <w:rsid w:val="005F4B0E"/>
    <w:rsid w:val="005F4C4F"/>
    <w:rsid w:val="005F4F4D"/>
    <w:rsid w:val="005F4F82"/>
    <w:rsid w:val="005F523D"/>
    <w:rsid w:val="005F69B5"/>
    <w:rsid w:val="005F6A31"/>
    <w:rsid w:val="005F7D0C"/>
    <w:rsid w:val="005F7EB1"/>
    <w:rsid w:val="00600575"/>
    <w:rsid w:val="006007BE"/>
    <w:rsid w:val="006009AA"/>
    <w:rsid w:val="00600B6F"/>
    <w:rsid w:val="00601818"/>
    <w:rsid w:val="00601A6C"/>
    <w:rsid w:val="00602531"/>
    <w:rsid w:val="00602A01"/>
    <w:rsid w:val="00602C00"/>
    <w:rsid w:val="006034ED"/>
    <w:rsid w:val="006035D6"/>
    <w:rsid w:val="00603DCB"/>
    <w:rsid w:val="0060481C"/>
    <w:rsid w:val="00605B93"/>
    <w:rsid w:val="0060654D"/>
    <w:rsid w:val="00606A6B"/>
    <w:rsid w:val="00606A8B"/>
    <w:rsid w:val="00607081"/>
    <w:rsid w:val="0060715F"/>
    <w:rsid w:val="00607766"/>
    <w:rsid w:val="00610032"/>
    <w:rsid w:val="00610FC1"/>
    <w:rsid w:val="006111A2"/>
    <w:rsid w:val="006113CB"/>
    <w:rsid w:val="006114F3"/>
    <w:rsid w:val="006118CC"/>
    <w:rsid w:val="00612118"/>
    <w:rsid w:val="00612FDB"/>
    <w:rsid w:val="0061302B"/>
    <w:rsid w:val="00613ADD"/>
    <w:rsid w:val="00613F0C"/>
    <w:rsid w:val="0061425D"/>
    <w:rsid w:val="00614E96"/>
    <w:rsid w:val="006162D3"/>
    <w:rsid w:val="00616953"/>
    <w:rsid w:val="00616C8F"/>
    <w:rsid w:val="006171AE"/>
    <w:rsid w:val="006174B4"/>
    <w:rsid w:val="00617672"/>
    <w:rsid w:val="00617698"/>
    <w:rsid w:val="006209BF"/>
    <w:rsid w:val="00620FAA"/>
    <w:rsid w:val="006210FB"/>
    <w:rsid w:val="0062111F"/>
    <w:rsid w:val="006212D5"/>
    <w:rsid w:val="00621446"/>
    <w:rsid w:val="00621595"/>
    <w:rsid w:val="0062229C"/>
    <w:rsid w:val="00622EF1"/>
    <w:rsid w:val="006232AC"/>
    <w:rsid w:val="0062344F"/>
    <w:rsid w:val="006242D0"/>
    <w:rsid w:val="00624FA0"/>
    <w:rsid w:val="00625402"/>
    <w:rsid w:val="0062542D"/>
    <w:rsid w:val="0062547C"/>
    <w:rsid w:val="0062553B"/>
    <w:rsid w:val="00625681"/>
    <w:rsid w:val="00625E3B"/>
    <w:rsid w:val="00626657"/>
    <w:rsid w:val="00626BBC"/>
    <w:rsid w:val="00626FA1"/>
    <w:rsid w:val="006270BD"/>
    <w:rsid w:val="0062729F"/>
    <w:rsid w:val="0062738B"/>
    <w:rsid w:val="00627830"/>
    <w:rsid w:val="00627A14"/>
    <w:rsid w:val="00627FE2"/>
    <w:rsid w:val="00630030"/>
    <w:rsid w:val="00630A47"/>
    <w:rsid w:val="006310A2"/>
    <w:rsid w:val="00631589"/>
    <w:rsid w:val="006324E9"/>
    <w:rsid w:val="00632F2F"/>
    <w:rsid w:val="006333F1"/>
    <w:rsid w:val="006341B4"/>
    <w:rsid w:val="00634B75"/>
    <w:rsid w:val="00634C8A"/>
    <w:rsid w:val="00634E82"/>
    <w:rsid w:val="00634EB6"/>
    <w:rsid w:val="00634F09"/>
    <w:rsid w:val="00635621"/>
    <w:rsid w:val="006356BD"/>
    <w:rsid w:val="00635F56"/>
    <w:rsid w:val="006360FD"/>
    <w:rsid w:val="006371E0"/>
    <w:rsid w:val="00637D9B"/>
    <w:rsid w:val="00640024"/>
    <w:rsid w:val="006402C6"/>
    <w:rsid w:val="00640439"/>
    <w:rsid w:val="0064079C"/>
    <w:rsid w:val="00640917"/>
    <w:rsid w:val="00640DE0"/>
    <w:rsid w:val="006413B0"/>
    <w:rsid w:val="0064145D"/>
    <w:rsid w:val="006419A3"/>
    <w:rsid w:val="00642055"/>
    <w:rsid w:val="00642A8A"/>
    <w:rsid w:val="00642B92"/>
    <w:rsid w:val="00642D9E"/>
    <w:rsid w:val="006438DB"/>
    <w:rsid w:val="00643BCC"/>
    <w:rsid w:val="006440CE"/>
    <w:rsid w:val="00644152"/>
    <w:rsid w:val="00644534"/>
    <w:rsid w:val="00644F80"/>
    <w:rsid w:val="006453D0"/>
    <w:rsid w:val="006461A9"/>
    <w:rsid w:val="0064636F"/>
    <w:rsid w:val="00646DA3"/>
    <w:rsid w:val="006473C4"/>
    <w:rsid w:val="0064745F"/>
    <w:rsid w:val="00647FFA"/>
    <w:rsid w:val="00650998"/>
    <w:rsid w:val="00650E96"/>
    <w:rsid w:val="00651902"/>
    <w:rsid w:val="00651E61"/>
    <w:rsid w:val="006522F9"/>
    <w:rsid w:val="00652346"/>
    <w:rsid w:val="0065278D"/>
    <w:rsid w:val="0065278E"/>
    <w:rsid w:val="006547A3"/>
    <w:rsid w:val="00654BDB"/>
    <w:rsid w:val="006550CA"/>
    <w:rsid w:val="00655AFF"/>
    <w:rsid w:val="00655D16"/>
    <w:rsid w:val="006561F3"/>
    <w:rsid w:val="00656803"/>
    <w:rsid w:val="00656C34"/>
    <w:rsid w:val="00657B40"/>
    <w:rsid w:val="00657CFC"/>
    <w:rsid w:val="00657F93"/>
    <w:rsid w:val="006603FC"/>
    <w:rsid w:val="00661157"/>
    <w:rsid w:val="006620E5"/>
    <w:rsid w:val="0066289A"/>
    <w:rsid w:val="00662D4D"/>
    <w:rsid w:val="00663027"/>
    <w:rsid w:val="00663660"/>
    <w:rsid w:val="006646A7"/>
    <w:rsid w:val="006646F4"/>
    <w:rsid w:val="00664C0F"/>
    <w:rsid w:val="006650C0"/>
    <w:rsid w:val="00665135"/>
    <w:rsid w:val="0066519D"/>
    <w:rsid w:val="0066539A"/>
    <w:rsid w:val="00665783"/>
    <w:rsid w:val="00665A58"/>
    <w:rsid w:val="00666A30"/>
    <w:rsid w:val="0066703E"/>
    <w:rsid w:val="00670501"/>
    <w:rsid w:val="006714E3"/>
    <w:rsid w:val="006719DA"/>
    <w:rsid w:val="006722CA"/>
    <w:rsid w:val="00672D6E"/>
    <w:rsid w:val="00673789"/>
    <w:rsid w:val="0067415B"/>
    <w:rsid w:val="00674976"/>
    <w:rsid w:val="00674D1C"/>
    <w:rsid w:val="00676F86"/>
    <w:rsid w:val="00677298"/>
    <w:rsid w:val="006779DD"/>
    <w:rsid w:val="00680111"/>
    <w:rsid w:val="00680656"/>
    <w:rsid w:val="006806E6"/>
    <w:rsid w:val="00680A05"/>
    <w:rsid w:val="0068248A"/>
    <w:rsid w:val="006825F1"/>
    <w:rsid w:val="00682722"/>
    <w:rsid w:val="00682A1F"/>
    <w:rsid w:val="00682A53"/>
    <w:rsid w:val="00682CC2"/>
    <w:rsid w:val="006835DD"/>
    <w:rsid w:val="00683AE7"/>
    <w:rsid w:val="00684BDA"/>
    <w:rsid w:val="00684CFB"/>
    <w:rsid w:val="006855E1"/>
    <w:rsid w:val="0068567B"/>
    <w:rsid w:val="006861C5"/>
    <w:rsid w:val="00686205"/>
    <w:rsid w:val="00686426"/>
    <w:rsid w:val="0068710A"/>
    <w:rsid w:val="006874D7"/>
    <w:rsid w:val="006901A1"/>
    <w:rsid w:val="00690709"/>
    <w:rsid w:val="00690FC7"/>
    <w:rsid w:val="00691244"/>
    <w:rsid w:val="00691575"/>
    <w:rsid w:val="0069203D"/>
    <w:rsid w:val="006937FD"/>
    <w:rsid w:val="006946D0"/>
    <w:rsid w:val="00694B1A"/>
    <w:rsid w:val="006950C3"/>
    <w:rsid w:val="00695BF6"/>
    <w:rsid w:val="00695DF7"/>
    <w:rsid w:val="0069655B"/>
    <w:rsid w:val="00696F6F"/>
    <w:rsid w:val="006971E2"/>
    <w:rsid w:val="00697E7A"/>
    <w:rsid w:val="006A050E"/>
    <w:rsid w:val="006A0729"/>
    <w:rsid w:val="006A0C4D"/>
    <w:rsid w:val="006A0FC9"/>
    <w:rsid w:val="006A197C"/>
    <w:rsid w:val="006A1E3C"/>
    <w:rsid w:val="006A26C7"/>
    <w:rsid w:val="006A3082"/>
    <w:rsid w:val="006A32BE"/>
    <w:rsid w:val="006A3609"/>
    <w:rsid w:val="006A3665"/>
    <w:rsid w:val="006A3C70"/>
    <w:rsid w:val="006A3F7A"/>
    <w:rsid w:val="006A4ED6"/>
    <w:rsid w:val="006A4F91"/>
    <w:rsid w:val="006A5898"/>
    <w:rsid w:val="006A5B47"/>
    <w:rsid w:val="006A5B7C"/>
    <w:rsid w:val="006A6153"/>
    <w:rsid w:val="006A69D1"/>
    <w:rsid w:val="006A6F1E"/>
    <w:rsid w:val="006A70D0"/>
    <w:rsid w:val="006A76F0"/>
    <w:rsid w:val="006A7C9E"/>
    <w:rsid w:val="006A7E52"/>
    <w:rsid w:val="006B0146"/>
    <w:rsid w:val="006B1379"/>
    <w:rsid w:val="006B1A57"/>
    <w:rsid w:val="006B1AC6"/>
    <w:rsid w:val="006B1C20"/>
    <w:rsid w:val="006B2773"/>
    <w:rsid w:val="006B33D5"/>
    <w:rsid w:val="006B348B"/>
    <w:rsid w:val="006B3F8D"/>
    <w:rsid w:val="006B40B2"/>
    <w:rsid w:val="006B43A8"/>
    <w:rsid w:val="006B43EA"/>
    <w:rsid w:val="006B4B4A"/>
    <w:rsid w:val="006B5CFA"/>
    <w:rsid w:val="006B6AC2"/>
    <w:rsid w:val="006B6C80"/>
    <w:rsid w:val="006B755B"/>
    <w:rsid w:val="006B7913"/>
    <w:rsid w:val="006C00EA"/>
    <w:rsid w:val="006C1451"/>
    <w:rsid w:val="006C258A"/>
    <w:rsid w:val="006C27A0"/>
    <w:rsid w:val="006C2A1B"/>
    <w:rsid w:val="006C34C6"/>
    <w:rsid w:val="006C390C"/>
    <w:rsid w:val="006C3CD1"/>
    <w:rsid w:val="006C3F86"/>
    <w:rsid w:val="006C4839"/>
    <w:rsid w:val="006C5AE1"/>
    <w:rsid w:val="006C6238"/>
    <w:rsid w:val="006C6D43"/>
    <w:rsid w:val="006C7347"/>
    <w:rsid w:val="006D0B29"/>
    <w:rsid w:val="006D0E0E"/>
    <w:rsid w:val="006D1021"/>
    <w:rsid w:val="006D1512"/>
    <w:rsid w:val="006D15A9"/>
    <w:rsid w:val="006D1708"/>
    <w:rsid w:val="006D216F"/>
    <w:rsid w:val="006D2F7D"/>
    <w:rsid w:val="006D2FD1"/>
    <w:rsid w:val="006D30C3"/>
    <w:rsid w:val="006D4438"/>
    <w:rsid w:val="006D4715"/>
    <w:rsid w:val="006D480C"/>
    <w:rsid w:val="006D484D"/>
    <w:rsid w:val="006D4CB1"/>
    <w:rsid w:val="006D4E7D"/>
    <w:rsid w:val="006D5114"/>
    <w:rsid w:val="006D518A"/>
    <w:rsid w:val="006D5AD6"/>
    <w:rsid w:val="006D6CC1"/>
    <w:rsid w:val="006D6E3F"/>
    <w:rsid w:val="006D7003"/>
    <w:rsid w:val="006D74E5"/>
    <w:rsid w:val="006D76E4"/>
    <w:rsid w:val="006D7D8F"/>
    <w:rsid w:val="006D7E32"/>
    <w:rsid w:val="006D7FC4"/>
    <w:rsid w:val="006E0988"/>
    <w:rsid w:val="006E0B62"/>
    <w:rsid w:val="006E1005"/>
    <w:rsid w:val="006E125F"/>
    <w:rsid w:val="006E174E"/>
    <w:rsid w:val="006E1A05"/>
    <w:rsid w:val="006E2481"/>
    <w:rsid w:val="006E29BA"/>
    <w:rsid w:val="006E2B81"/>
    <w:rsid w:val="006E2C58"/>
    <w:rsid w:val="006E2F30"/>
    <w:rsid w:val="006E335C"/>
    <w:rsid w:val="006E40E2"/>
    <w:rsid w:val="006E42CB"/>
    <w:rsid w:val="006E4AF1"/>
    <w:rsid w:val="006E4CE6"/>
    <w:rsid w:val="006E4E7D"/>
    <w:rsid w:val="006E5368"/>
    <w:rsid w:val="006E5BA7"/>
    <w:rsid w:val="006E6129"/>
    <w:rsid w:val="006E6891"/>
    <w:rsid w:val="006E6E19"/>
    <w:rsid w:val="006E7961"/>
    <w:rsid w:val="006E79CE"/>
    <w:rsid w:val="006F0B12"/>
    <w:rsid w:val="006F0E6A"/>
    <w:rsid w:val="006F204F"/>
    <w:rsid w:val="006F21F6"/>
    <w:rsid w:val="006F22C2"/>
    <w:rsid w:val="006F40A6"/>
    <w:rsid w:val="006F447D"/>
    <w:rsid w:val="006F4CBB"/>
    <w:rsid w:val="006F5141"/>
    <w:rsid w:val="006F5308"/>
    <w:rsid w:val="006F54A5"/>
    <w:rsid w:val="006F5951"/>
    <w:rsid w:val="006F5F16"/>
    <w:rsid w:val="006F74E1"/>
    <w:rsid w:val="006F7B7A"/>
    <w:rsid w:val="0070000D"/>
    <w:rsid w:val="007002C5"/>
    <w:rsid w:val="00700F48"/>
    <w:rsid w:val="00700F96"/>
    <w:rsid w:val="00701319"/>
    <w:rsid w:val="0070191F"/>
    <w:rsid w:val="007027E0"/>
    <w:rsid w:val="00702B58"/>
    <w:rsid w:val="007030D8"/>
    <w:rsid w:val="00704435"/>
    <w:rsid w:val="00704BF6"/>
    <w:rsid w:val="0070543B"/>
    <w:rsid w:val="007058D8"/>
    <w:rsid w:val="00705E67"/>
    <w:rsid w:val="0070670B"/>
    <w:rsid w:val="0070698E"/>
    <w:rsid w:val="00706C7E"/>
    <w:rsid w:val="00706F46"/>
    <w:rsid w:val="007073D4"/>
    <w:rsid w:val="00707478"/>
    <w:rsid w:val="00707690"/>
    <w:rsid w:val="00707D39"/>
    <w:rsid w:val="0071108D"/>
    <w:rsid w:val="007115EB"/>
    <w:rsid w:val="0071175A"/>
    <w:rsid w:val="0071190B"/>
    <w:rsid w:val="00711A6D"/>
    <w:rsid w:val="00711D0A"/>
    <w:rsid w:val="00712051"/>
    <w:rsid w:val="0071207F"/>
    <w:rsid w:val="00712A6F"/>
    <w:rsid w:val="00713D69"/>
    <w:rsid w:val="00714F8A"/>
    <w:rsid w:val="007158C1"/>
    <w:rsid w:val="00715BB7"/>
    <w:rsid w:val="00715C2E"/>
    <w:rsid w:val="00715EB3"/>
    <w:rsid w:val="007165BC"/>
    <w:rsid w:val="007166F6"/>
    <w:rsid w:val="007167C6"/>
    <w:rsid w:val="007168A4"/>
    <w:rsid w:val="00717A3E"/>
    <w:rsid w:val="00717ED0"/>
    <w:rsid w:val="007206A3"/>
    <w:rsid w:val="00720AFA"/>
    <w:rsid w:val="007211AF"/>
    <w:rsid w:val="00721CDF"/>
    <w:rsid w:val="00721F39"/>
    <w:rsid w:val="007220E7"/>
    <w:rsid w:val="007221FB"/>
    <w:rsid w:val="00722BE6"/>
    <w:rsid w:val="00723155"/>
    <w:rsid w:val="00723394"/>
    <w:rsid w:val="0072372E"/>
    <w:rsid w:val="007237CA"/>
    <w:rsid w:val="00723F78"/>
    <w:rsid w:val="00724121"/>
    <w:rsid w:val="00724122"/>
    <w:rsid w:val="007249DC"/>
    <w:rsid w:val="007250CA"/>
    <w:rsid w:val="00725BBC"/>
    <w:rsid w:val="0072613B"/>
    <w:rsid w:val="0072671F"/>
    <w:rsid w:val="00726BA8"/>
    <w:rsid w:val="007271F5"/>
    <w:rsid w:val="00727BF2"/>
    <w:rsid w:val="007301E2"/>
    <w:rsid w:val="00730D17"/>
    <w:rsid w:val="00731632"/>
    <w:rsid w:val="00731FE1"/>
    <w:rsid w:val="00732BA9"/>
    <w:rsid w:val="00732C5C"/>
    <w:rsid w:val="00733089"/>
    <w:rsid w:val="00733489"/>
    <w:rsid w:val="00733493"/>
    <w:rsid w:val="00733A9E"/>
    <w:rsid w:val="00734169"/>
    <w:rsid w:val="0073447C"/>
    <w:rsid w:val="007346CE"/>
    <w:rsid w:val="00734A56"/>
    <w:rsid w:val="00734C97"/>
    <w:rsid w:val="00735292"/>
    <w:rsid w:val="007363D5"/>
    <w:rsid w:val="00737D6C"/>
    <w:rsid w:val="00740203"/>
    <w:rsid w:val="00740473"/>
    <w:rsid w:val="0074049D"/>
    <w:rsid w:val="00740564"/>
    <w:rsid w:val="00740640"/>
    <w:rsid w:val="007407B6"/>
    <w:rsid w:val="00740958"/>
    <w:rsid w:val="0074096E"/>
    <w:rsid w:val="00742C85"/>
    <w:rsid w:val="00742D8E"/>
    <w:rsid w:val="00742EA6"/>
    <w:rsid w:val="00744055"/>
    <w:rsid w:val="00745E3E"/>
    <w:rsid w:val="00745F5E"/>
    <w:rsid w:val="007466DB"/>
    <w:rsid w:val="0074798D"/>
    <w:rsid w:val="00747B89"/>
    <w:rsid w:val="007509EF"/>
    <w:rsid w:val="00750B6C"/>
    <w:rsid w:val="00750EFB"/>
    <w:rsid w:val="00751790"/>
    <w:rsid w:val="00751CD2"/>
    <w:rsid w:val="00751DD1"/>
    <w:rsid w:val="00751E9F"/>
    <w:rsid w:val="00752756"/>
    <w:rsid w:val="00753407"/>
    <w:rsid w:val="00753417"/>
    <w:rsid w:val="0075398A"/>
    <w:rsid w:val="00754A08"/>
    <w:rsid w:val="0075581B"/>
    <w:rsid w:val="00756214"/>
    <w:rsid w:val="007578E9"/>
    <w:rsid w:val="00760140"/>
    <w:rsid w:val="00760B75"/>
    <w:rsid w:val="00760CE6"/>
    <w:rsid w:val="007612CB"/>
    <w:rsid w:val="00761456"/>
    <w:rsid w:val="007618A2"/>
    <w:rsid w:val="00761A3A"/>
    <w:rsid w:val="007621A3"/>
    <w:rsid w:val="00762739"/>
    <w:rsid w:val="007639B6"/>
    <w:rsid w:val="00763A54"/>
    <w:rsid w:val="00763BBA"/>
    <w:rsid w:val="00764E44"/>
    <w:rsid w:val="0076506B"/>
    <w:rsid w:val="007654E8"/>
    <w:rsid w:val="00765512"/>
    <w:rsid w:val="007662F2"/>
    <w:rsid w:val="007665EA"/>
    <w:rsid w:val="00766F4D"/>
    <w:rsid w:val="00767127"/>
    <w:rsid w:val="00767684"/>
    <w:rsid w:val="007677D7"/>
    <w:rsid w:val="00767EBA"/>
    <w:rsid w:val="00770012"/>
    <w:rsid w:val="00770C08"/>
    <w:rsid w:val="00772F11"/>
    <w:rsid w:val="00773455"/>
    <w:rsid w:val="00773A0A"/>
    <w:rsid w:val="00773F11"/>
    <w:rsid w:val="00774588"/>
    <w:rsid w:val="00774AFE"/>
    <w:rsid w:val="00774CBA"/>
    <w:rsid w:val="00774EC9"/>
    <w:rsid w:val="00776D4B"/>
    <w:rsid w:val="00777E32"/>
    <w:rsid w:val="00777E45"/>
    <w:rsid w:val="0078089A"/>
    <w:rsid w:val="00780934"/>
    <w:rsid w:val="00781DE0"/>
    <w:rsid w:val="00781FE0"/>
    <w:rsid w:val="007826D2"/>
    <w:rsid w:val="007829FF"/>
    <w:rsid w:val="007833C5"/>
    <w:rsid w:val="00783CF1"/>
    <w:rsid w:val="00783EA4"/>
    <w:rsid w:val="00783F5C"/>
    <w:rsid w:val="007852BC"/>
    <w:rsid w:val="0078558A"/>
    <w:rsid w:val="00785B5D"/>
    <w:rsid w:val="00785FDE"/>
    <w:rsid w:val="00786209"/>
    <w:rsid w:val="00786A35"/>
    <w:rsid w:val="0078764D"/>
    <w:rsid w:val="00787B2C"/>
    <w:rsid w:val="00787CCC"/>
    <w:rsid w:val="007902FA"/>
    <w:rsid w:val="0079069F"/>
    <w:rsid w:val="00791846"/>
    <w:rsid w:val="00791E9B"/>
    <w:rsid w:val="00792272"/>
    <w:rsid w:val="00792385"/>
    <w:rsid w:val="00792429"/>
    <w:rsid w:val="00792A43"/>
    <w:rsid w:val="00793B0C"/>
    <w:rsid w:val="00793C36"/>
    <w:rsid w:val="007940DD"/>
    <w:rsid w:val="0079484D"/>
    <w:rsid w:val="00794E83"/>
    <w:rsid w:val="007951CA"/>
    <w:rsid w:val="007954E3"/>
    <w:rsid w:val="0079569A"/>
    <w:rsid w:val="0079579C"/>
    <w:rsid w:val="007958E6"/>
    <w:rsid w:val="00795AF8"/>
    <w:rsid w:val="00796617"/>
    <w:rsid w:val="007969A6"/>
    <w:rsid w:val="00796D4A"/>
    <w:rsid w:val="00796D50"/>
    <w:rsid w:val="00796D69"/>
    <w:rsid w:val="00797248"/>
    <w:rsid w:val="00797366"/>
    <w:rsid w:val="00797787"/>
    <w:rsid w:val="00797BE3"/>
    <w:rsid w:val="00797F21"/>
    <w:rsid w:val="007A1763"/>
    <w:rsid w:val="007A246A"/>
    <w:rsid w:val="007A2B8C"/>
    <w:rsid w:val="007A300D"/>
    <w:rsid w:val="007A3826"/>
    <w:rsid w:val="007A3E2B"/>
    <w:rsid w:val="007A492C"/>
    <w:rsid w:val="007A4E38"/>
    <w:rsid w:val="007A7020"/>
    <w:rsid w:val="007A708B"/>
    <w:rsid w:val="007A722E"/>
    <w:rsid w:val="007A7304"/>
    <w:rsid w:val="007A7C22"/>
    <w:rsid w:val="007B0A49"/>
    <w:rsid w:val="007B1448"/>
    <w:rsid w:val="007B22AD"/>
    <w:rsid w:val="007B257A"/>
    <w:rsid w:val="007B40CC"/>
    <w:rsid w:val="007B4983"/>
    <w:rsid w:val="007B4B9D"/>
    <w:rsid w:val="007B51ED"/>
    <w:rsid w:val="007B549F"/>
    <w:rsid w:val="007B5BC2"/>
    <w:rsid w:val="007B5DF7"/>
    <w:rsid w:val="007B5F78"/>
    <w:rsid w:val="007B60F7"/>
    <w:rsid w:val="007B6115"/>
    <w:rsid w:val="007B6176"/>
    <w:rsid w:val="007B626F"/>
    <w:rsid w:val="007B6EB7"/>
    <w:rsid w:val="007B6FA6"/>
    <w:rsid w:val="007B71A5"/>
    <w:rsid w:val="007B74C8"/>
    <w:rsid w:val="007B7823"/>
    <w:rsid w:val="007B7B95"/>
    <w:rsid w:val="007C03C3"/>
    <w:rsid w:val="007C24EB"/>
    <w:rsid w:val="007C2DAE"/>
    <w:rsid w:val="007C321E"/>
    <w:rsid w:val="007C408B"/>
    <w:rsid w:val="007C4C7D"/>
    <w:rsid w:val="007C5D0B"/>
    <w:rsid w:val="007C5E0C"/>
    <w:rsid w:val="007C6522"/>
    <w:rsid w:val="007C6727"/>
    <w:rsid w:val="007C68AD"/>
    <w:rsid w:val="007C6C1A"/>
    <w:rsid w:val="007C733C"/>
    <w:rsid w:val="007D0A19"/>
    <w:rsid w:val="007D0AF3"/>
    <w:rsid w:val="007D0EB1"/>
    <w:rsid w:val="007D1040"/>
    <w:rsid w:val="007D1128"/>
    <w:rsid w:val="007D12AB"/>
    <w:rsid w:val="007D18BE"/>
    <w:rsid w:val="007D18C5"/>
    <w:rsid w:val="007D18E0"/>
    <w:rsid w:val="007D1C40"/>
    <w:rsid w:val="007D2660"/>
    <w:rsid w:val="007D2E6A"/>
    <w:rsid w:val="007D3AE6"/>
    <w:rsid w:val="007D3CD6"/>
    <w:rsid w:val="007D425E"/>
    <w:rsid w:val="007D4510"/>
    <w:rsid w:val="007D48E8"/>
    <w:rsid w:val="007D584E"/>
    <w:rsid w:val="007D605E"/>
    <w:rsid w:val="007D6466"/>
    <w:rsid w:val="007D649D"/>
    <w:rsid w:val="007D6631"/>
    <w:rsid w:val="007D664C"/>
    <w:rsid w:val="007D6CC2"/>
    <w:rsid w:val="007D6D53"/>
    <w:rsid w:val="007D74B7"/>
    <w:rsid w:val="007D7F72"/>
    <w:rsid w:val="007E14F1"/>
    <w:rsid w:val="007E17B8"/>
    <w:rsid w:val="007E1BEB"/>
    <w:rsid w:val="007E2204"/>
    <w:rsid w:val="007E2E7C"/>
    <w:rsid w:val="007E3961"/>
    <w:rsid w:val="007E45D3"/>
    <w:rsid w:val="007E4C68"/>
    <w:rsid w:val="007E4DE8"/>
    <w:rsid w:val="007E563F"/>
    <w:rsid w:val="007E5647"/>
    <w:rsid w:val="007E680B"/>
    <w:rsid w:val="007F0240"/>
    <w:rsid w:val="007F09FA"/>
    <w:rsid w:val="007F1144"/>
    <w:rsid w:val="007F1351"/>
    <w:rsid w:val="007F28B1"/>
    <w:rsid w:val="007F2A7C"/>
    <w:rsid w:val="007F38FE"/>
    <w:rsid w:val="007F3EB9"/>
    <w:rsid w:val="007F3F45"/>
    <w:rsid w:val="007F45FC"/>
    <w:rsid w:val="007F55B1"/>
    <w:rsid w:val="007F56DB"/>
    <w:rsid w:val="007F5B7D"/>
    <w:rsid w:val="007F7D0A"/>
    <w:rsid w:val="00800346"/>
    <w:rsid w:val="008003AC"/>
    <w:rsid w:val="0080094D"/>
    <w:rsid w:val="008013E9"/>
    <w:rsid w:val="0080152A"/>
    <w:rsid w:val="008031D5"/>
    <w:rsid w:val="008038F4"/>
    <w:rsid w:val="00803AC3"/>
    <w:rsid w:val="00803D4A"/>
    <w:rsid w:val="00803EC6"/>
    <w:rsid w:val="008044BB"/>
    <w:rsid w:val="00804972"/>
    <w:rsid w:val="00804C01"/>
    <w:rsid w:val="00805D54"/>
    <w:rsid w:val="00806805"/>
    <w:rsid w:val="00806BC4"/>
    <w:rsid w:val="00806BCB"/>
    <w:rsid w:val="00807133"/>
    <w:rsid w:val="008072FF"/>
    <w:rsid w:val="0080759A"/>
    <w:rsid w:val="008075CF"/>
    <w:rsid w:val="008106CC"/>
    <w:rsid w:val="008121CA"/>
    <w:rsid w:val="00812E12"/>
    <w:rsid w:val="00813F71"/>
    <w:rsid w:val="00814D50"/>
    <w:rsid w:val="008153CA"/>
    <w:rsid w:val="00815A1A"/>
    <w:rsid w:val="00816175"/>
    <w:rsid w:val="008163D0"/>
    <w:rsid w:val="00816593"/>
    <w:rsid w:val="00816837"/>
    <w:rsid w:val="00816902"/>
    <w:rsid w:val="008169A4"/>
    <w:rsid w:val="00816EC9"/>
    <w:rsid w:val="0081729B"/>
    <w:rsid w:val="00817337"/>
    <w:rsid w:val="00820660"/>
    <w:rsid w:val="00820DEC"/>
    <w:rsid w:val="00821326"/>
    <w:rsid w:val="00821597"/>
    <w:rsid w:val="00821626"/>
    <w:rsid w:val="00821B0A"/>
    <w:rsid w:val="00821F8E"/>
    <w:rsid w:val="00822548"/>
    <w:rsid w:val="008227AA"/>
    <w:rsid w:val="008229B9"/>
    <w:rsid w:val="00823072"/>
    <w:rsid w:val="008244CA"/>
    <w:rsid w:val="008244E5"/>
    <w:rsid w:val="00825496"/>
    <w:rsid w:val="008258FE"/>
    <w:rsid w:val="00825DC3"/>
    <w:rsid w:val="00825F63"/>
    <w:rsid w:val="008268A0"/>
    <w:rsid w:val="008272D3"/>
    <w:rsid w:val="0082792C"/>
    <w:rsid w:val="00827C31"/>
    <w:rsid w:val="00830537"/>
    <w:rsid w:val="00830D48"/>
    <w:rsid w:val="00831724"/>
    <w:rsid w:val="008319A4"/>
    <w:rsid w:val="008336EF"/>
    <w:rsid w:val="0083397C"/>
    <w:rsid w:val="00833B5B"/>
    <w:rsid w:val="00833D5E"/>
    <w:rsid w:val="00835184"/>
    <w:rsid w:val="0083546E"/>
    <w:rsid w:val="00835F44"/>
    <w:rsid w:val="008376AE"/>
    <w:rsid w:val="00840850"/>
    <w:rsid w:val="008424E8"/>
    <w:rsid w:val="008429B1"/>
    <w:rsid w:val="00842E23"/>
    <w:rsid w:val="0084314D"/>
    <w:rsid w:val="008434AF"/>
    <w:rsid w:val="008441BE"/>
    <w:rsid w:val="00844F27"/>
    <w:rsid w:val="0084521C"/>
    <w:rsid w:val="008453B9"/>
    <w:rsid w:val="00845678"/>
    <w:rsid w:val="008462C5"/>
    <w:rsid w:val="00846361"/>
    <w:rsid w:val="008502A7"/>
    <w:rsid w:val="008508BA"/>
    <w:rsid w:val="0085111D"/>
    <w:rsid w:val="008518C9"/>
    <w:rsid w:val="0085233C"/>
    <w:rsid w:val="00852496"/>
    <w:rsid w:val="00852855"/>
    <w:rsid w:val="00852EE9"/>
    <w:rsid w:val="0085306A"/>
    <w:rsid w:val="008536C8"/>
    <w:rsid w:val="00853DC4"/>
    <w:rsid w:val="0085455C"/>
    <w:rsid w:val="00854D2F"/>
    <w:rsid w:val="00854D50"/>
    <w:rsid w:val="00855E04"/>
    <w:rsid w:val="00855E59"/>
    <w:rsid w:val="0085630D"/>
    <w:rsid w:val="008565C4"/>
    <w:rsid w:val="0085681B"/>
    <w:rsid w:val="008568C7"/>
    <w:rsid w:val="00856CC1"/>
    <w:rsid w:val="00856F2B"/>
    <w:rsid w:val="00857D33"/>
    <w:rsid w:val="00857E7F"/>
    <w:rsid w:val="008601D7"/>
    <w:rsid w:val="00861A8D"/>
    <w:rsid w:val="00861A9A"/>
    <w:rsid w:val="00861F26"/>
    <w:rsid w:val="00862041"/>
    <w:rsid w:val="008623EC"/>
    <w:rsid w:val="00862E1A"/>
    <w:rsid w:val="00862E2A"/>
    <w:rsid w:val="0086347C"/>
    <w:rsid w:val="00863F67"/>
    <w:rsid w:val="00864BDA"/>
    <w:rsid w:val="008655BB"/>
    <w:rsid w:val="0086580F"/>
    <w:rsid w:val="00866577"/>
    <w:rsid w:val="00866663"/>
    <w:rsid w:val="00866674"/>
    <w:rsid w:val="0086670B"/>
    <w:rsid w:val="00866967"/>
    <w:rsid w:val="00867DAC"/>
    <w:rsid w:val="0087007C"/>
    <w:rsid w:val="00870486"/>
    <w:rsid w:val="00870875"/>
    <w:rsid w:val="00870BF6"/>
    <w:rsid w:val="00870E05"/>
    <w:rsid w:val="00871431"/>
    <w:rsid w:val="00871E42"/>
    <w:rsid w:val="00872F9F"/>
    <w:rsid w:val="00873DF9"/>
    <w:rsid w:val="00874456"/>
    <w:rsid w:val="00874C5D"/>
    <w:rsid w:val="00874F2D"/>
    <w:rsid w:val="0087670E"/>
    <w:rsid w:val="008767E1"/>
    <w:rsid w:val="0087763E"/>
    <w:rsid w:val="00877850"/>
    <w:rsid w:val="0087786D"/>
    <w:rsid w:val="00880B95"/>
    <w:rsid w:val="00880DCA"/>
    <w:rsid w:val="008818B9"/>
    <w:rsid w:val="008818E9"/>
    <w:rsid w:val="00882130"/>
    <w:rsid w:val="00882BD5"/>
    <w:rsid w:val="0088380C"/>
    <w:rsid w:val="008854C1"/>
    <w:rsid w:val="00885D5C"/>
    <w:rsid w:val="0088654D"/>
    <w:rsid w:val="00886CB1"/>
    <w:rsid w:val="00886D5E"/>
    <w:rsid w:val="00886FFB"/>
    <w:rsid w:val="00887811"/>
    <w:rsid w:val="00887AB1"/>
    <w:rsid w:val="00887FFC"/>
    <w:rsid w:val="00890371"/>
    <w:rsid w:val="00891082"/>
    <w:rsid w:val="00891ADB"/>
    <w:rsid w:val="00892605"/>
    <w:rsid w:val="008926A0"/>
    <w:rsid w:val="008931E9"/>
    <w:rsid w:val="008938D2"/>
    <w:rsid w:val="00893A1E"/>
    <w:rsid w:val="00894548"/>
    <w:rsid w:val="0089468F"/>
    <w:rsid w:val="0089497F"/>
    <w:rsid w:val="008950C5"/>
    <w:rsid w:val="00895B6D"/>
    <w:rsid w:val="00895CD1"/>
    <w:rsid w:val="00896139"/>
    <w:rsid w:val="00896906"/>
    <w:rsid w:val="008A0916"/>
    <w:rsid w:val="008A1841"/>
    <w:rsid w:val="008A2824"/>
    <w:rsid w:val="008A2B8A"/>
    <w:rsid w:val="008A2EC5"/>
    <w:rsid w:val="008A2EF0"/>
    <w:rsid w:val="008A3816"/>
    <w:rsid w:val="008A3AE8"/>
    <w:rsid w:val="008A4792"/>
    <w:rsid w:val="008A4A36"/>
    <w:rsid w:val="008A4DB3"/>
    <w:rsid w:val="008A4E94"/>
    <w:rsid w:val="008A6204"/>
    <w:rsid w:val="008A6257"/>
    <w:rsid w:val="008A64A6"/>
    <w:rsid w:val="008A7054"/>
    <w:rsid w:val="008A7A74"/>
    <w:rsid w:val="008B0065"/>
    <w:rsid w:val="008B007F"/>
    <w:rsid w:val="008B03F1"/>
    <w:rsid w:val="008B0688"/>
    <w:rsid w:val="008B1565"/>
    <w:rsid w:val="008B15CE"/>
    <w:rsid w:val="008B1B5B"/>
    <w:rsid w:val="008B1DE6"/>
    <w:rsid w:val="008B1E21"/>
    <w:rsid w:val="008B3F28"/>
    <w:rsid w:val="008B4E60"/>
    <w:rsid w:val="008B5474"/>
    <w:rsid w:val="008B5845"/>
    <w:rsid w:val="008B59A2"/>
    <w:rsid w:val="008B6A0C"/>
    <w:rsid w:val="008B6BF5"/>
    <w:rsid w:val="008B6DFC"/>
    <w:rsid w:val="008B6E8C"/>
    <w:rsid w:val="008B70F6"/>
    <w:rsid w:val="008B740E"/>
    <w:rsid w:val="008C0159"/>
    <w:rsid w:val="008C0E97"/>
    <w:rsid w:val="008C0FC3"/>
    <w:rsid w:val="008C2033"/>
    <w:rsid w:val="008C2507"/>
    <w:rsid w:val="008C3107"/>
    <w:rsid w:val="008C3363"/>
    <w:rsid w:val="008C3457"/>
    <w:rsid w:val="008C3EDB"/>
    <w:rsid w:val="008C527B"/>
    <w:rsid w:val="008C5458"/>
    <w:rsid w:val="008C5FC6"/>
    <w:rsid w:val="008C66C9"/>
    <w:rsid w:val="008C76B8"/>
    <w:rsid w:val="008C7A10"/>
    <w:rsid w:val="008C7AE4"/>
    <w:rsid w:val="008C7B6F"/>
    <w:rsid w:val="008C7DE9"/>
    <w:rsid w:val="008C7F41"/>
    <w:rsid w:val="008D0371"/>
    <w:rsid w:val="008D13A0"/>
    <w:rsid w:val="008D163D"/>
    <w:rsid w:val="008D17E3"/>
    <w:rsid w:val="008D218A"/>
    <w:rsid w:val="008D25EC"/>
    <w:rsid w:val="008D301E"/>
    <w:rsid w:val="008D3AF7"/>
    <w:rsid w:val="008D538C"/>
    <w:rsid w:val="008D61DE"/>
    <w:rsid w:val="008D66D6"/>
    <w:rsid w:val="008D71B3"/>
    <w:rsid w:val="008D7637"/>
    <w:rsid w:val="008D7F76"/>
    <w:rsid w:val="008E0786"/>
    <w:rsid w:val="008E0808"/>
    <w:rsid w:val="008E0EC0"/>
    <w:rsid w:val="008E1408"/>
    <w:rsid w:val="008E20A4"/>
    <w:rsid w:val="008E3749"/>
    <w:rsid w:val="008E37DB"/>
    <w:rsid w:val="008E407F"/>
    <w:rsid w:val="008E4BA4"/>
    <w:rsid w:val="008E4EC1"/>
    <w:rsid w:val="008E5322"/>
    <w:rsid w:val="008E54B4"/>
    <w:rsid w:val="008E5953"/>
    <w:rsid w:val="008E59DD"/>
    <w:rsid w:val="008E5BF0"/>
    <w:rsid w:val="008E76BD"/>
    <w:rsid w:val="008E7B78"/>
    <w:rsid w:val="008F0236"/>
    <w:rsid w:val="008F0DD9"/>
    <w:rsid w:val="008F1013"/>
    <w:rsid w:val="008F209F"/>
    <w:rsid w:val="008F27A3"/>
    <w:rsid w:val="008F356B"/>
    <w:rsid w:val="008F37FB"/>
    <w:rsid w:val="008F3B00"/>
    <w:rsid w:val="008F440E"/>
    <w:rsid w:val="008F5022"/>
    <w:rsid w:val="008F5B06"/>
    <w:rsid w:val="008F6325"/>
    <w:rsid w:val="008F75AD"/>
    <w:rsid w:val="008F79BF"/>
    <w:rsid w:val="008F7A45"/>
    <w:rsid w:val="009007FD"/>
    <w:rsid w:val="00900C4A"/>
    <w:rsid w:val="00900C96"/>
    <w:rsid w:val="00900E81"/>
    <w:rsid w:val="0090140B"/>
    <w:rsid w:val="00901CD2"/>
    <w:rsid w:val="00902D25"/>
    <w:rsid w:val="009035DC"/>
    <w:rsid w:val="00903D9C"/>
    <w:rsid w:val="00903EDB"/>
    <w:rsid w:val="00903EEF"/>
    <w:rsid w:val="00904C36"/>
    <w:rsid w:val="00905BF1"/>
    <w:rsid w:val="009065BE"/>
    <w:rsid w:val="00907111"/>
    <w:rsid w:val="00907CC0"/>
    <w:rsid w:val="0091000F"/>
    <w:rsid w:val="00910420"/>
    <w:rsid w:val="00910586"/>
    <w:rsid w:val="00910841"/>
    <w:rsid w:val="00910A0D"/>
    <w:rsid w:val="00911AF9"/>
    <w:rsid w:val="00911D4C"/>
    <w:rsid w:val="00911E2E"/>
    <w:rsid w:val="009124ED"/>
    <w:rsid w:val="009126F1"/>
    <w:rsid w:val="009127D1"/>
    <w:rsid w:val="00912EA3"/>
    <w:rsid w:val="00914765"/>
    <w:rsid w:val="009148DD"/>
    <w:rsid w:val="00914A7C"/>
    <w:rsid w:val="00914DC1"/>
    <w:rsid w:val="009165AF"/>
    <w:rsid w:val="00916704"/>
    <w:rsid w:val="00916985"/>
    <w:rsid w:val="00916C8B"/>
    <w:rsid w:val="00916E51"/>
    <w:rsid w:val="00917377"/>
    <w:rsid w:val="00917C3B"/>
    <w:rsid w:val="00917C60"/>
    <w:rsid w:val="009213E3"/>
    <w:rsid w:val="0092168F"/>
    <w:rsid w:val="00921765"/>
    <w:rsid w:val="00921DE7"/>
    <w:rsid w:val="009222C4"/>
    <w:rsid w:val="009239CE"/>
    <w:rsid w:val="00923F3B"/>
    <w:rsid w:val="00924CFB"/>
    <w:rsid w:val="00925BF6"/>
    <w:rsid w:val="00925E4B"/>
    <w:rsid w:val="00926A40"/>
    <w:rsid w:val="00926E2D"/>
    <w:rsid w:val="00927597"/>
    <w:rsid w:val="009278A0"/>
    <w:rsid w:val="00927E8B"/>
    <w:rsid w:val="00927F1E"/>
    <w:rsid w:val="0093001C"/>
    <w:rsid w:val="009309CA"/>
    <w:rsid w:val="00931B12"/>
    <w:rsid w:val="00934512"/>
    <w:rsid w:val="009347D6"/>
    <w:rsid w:val="00934E2B"/>
    <w:rsid w:val="00935328"/>
    <w:rsid w:val="00935C94"/>
    <w:rsid w:val="00936475"/>
    <w:rsid w:val="009364E2"/>
    <w:rsid w:val="00936AAE"/>
    <w:rsid w:val="009370FE"/>
    <w:rsid w:val="0093718B"/>
    <w:rsid w:val="009372D7"/>
    <w:rsid w:val="0093733C"/>
    <w:rsid w:val="00937626"/>
    <w:rsid w:val="00937F24"/>
    <w:rsid w:val="009400CF"/>
    <w:rsid w:val="009404B7"/>
    <w:rsid w:val="00940AC5"/>
    <w:rsid w:val="00940ACD"/>
    <w:rsid w:val="00940BBA"/>
    <w:rsid w:val="0094188D"/>
    <w:rsid w:val="00942ECC"/>
    <w:rsid w:val="00943934"/>
    <w:rsid w:val="00943D66"/>
    <w:rsid w:val="009449B1"/>
    <w:rsid w:val="00944A8E"/>
    <w:rsid w:val="00944B04"/>
    <w:rsid w:val="00945C4F"/>
    <w:rsid w:val="00945F18"/>
    <w:rsid w:val="009460FD"/>
    <w:rsid w:val="00946D04"/>
    <w:rsid w:val="00947D90"/>
    <w:rsid w:val="00947F12"/>
    <w:rsid w:val="00951407"/>
    <w:rsid w:val="009521EB"/>
    <w:rsid w:val="0095263D"/>
    <w:rsid w:val="00952DCE"/>
    <w:rsid w:val="00953127"/>
    <w:rsid w:val="00953957"/>
    <w:rsid w:val="00954159"/>
    <w:rsid w:val="0095421D"/>
    <w:rsid w:val="00954430"/>
    <w:rsid w:val="00954AE9"/>
    <w:rsid w:val="00955CBC"/>
    <w:rsid w:val="009567D9"/>
    <w:rsid w:val="00956846"/>
    <w:rsid w:val="00956AD4"/>
    <w:rsid w:val="00957F1F"/>
    <w:rsid w:val="00960075"/>
    <w:rsid w:val="009602AE"/>
    <w:rsid w:val="009604A0"/>
    <w:rsid w:val="0096086B"/>
    <w:rsid w:val="00960C9F"/>
    <w:rsid w:val="0096117A"/>
    <w:rsid w:val="009614D3"/>
    <w:rsid w:val="00961513"/>
    <w:rsid w:val="00961A72"/>
    <w:rsid w:val="00962341"/>
    <w:rsid w:val="009626EE"/>
    <w:rsid w:val="00962A71"/>
    <w:rsid w:val="00963355"/>
    <w:rsid w:val="009637AC"/>
    <w:rsid w:val="00963956"/>
    <w:rsid w:val="00963E13"/>
    <w:rsid w:val="00963FC0"/>
    <w:rsid w:val="00965BDB"/>
    <w:rsid w:val="00965CF0"/>
    <w:rsid w:val="00966E1E"/>
    <w:rsid w:val="00967F9D"/>
    <w:rsid w:val="00970B1F"/>
    <w:rsid w:val="009717E8"/>
    <w:rsid w:val="009717FB"/>
    <w:rsid w:val="00971C87"/>
    <w:rsid w:val="009722AF"/>
    <w:rsid w:val="00972640"/>
    <w:rsid w:val="009729C8"/>
    <w:rsid w:val="0097381F"/>
    <w:rsid w:val="00973DEC"/>
    <w:rsid w:val="00974A44"/>
    <w:rsid w:val="00974BFF"/>
    <w:rsid w:val="00974E1F"/>
    <w:rsid w:val="00975BF7"/>
    <w:rsid w:val="00976946"/>
    <w:rsid w:val="00976BBE"/>
    <w:rsid w:val="00976D66"/>
    <w:rsid w:val="009777B0"/>
    <w:rsid w:val="0098002F"/>
    <w:rsid w:val="00980759"/>
    <w:rsid w:val="009807FF"/>
    <w:rsid w:val="009809E3"/>
    <w:rsid w:val="00982A0D"/>
    <w:rsid w:val="00982E6F"/>
    <w:rsid w:val="0098319D"/>
    <w:rsid w:val="0098341F"/>
    <w:rsid w:val="00985350"/>
    <w:rsid w:val="009855D6"/>
    <w:rsid w:val="00985B10"/>
    <w:rsid w:val="00985E0E"/>
    <w:rsid w:val="00986458"/>
    <w:rsid w:val="0098673A"/>
    <w:rsid w:val="0098676A"/>
    <w:rsid w:val="00986A55"/>
    <w:rsid w:val="00986A9E"/>
    <w:rsid w:val="009870D2"/>
    <w:rsid w:val="00987BA7"/>
    <w:rsid w:val="00987BCE"/>
    <w:rsid w:val="00987E39"/>
    <w:rsid w:val="00990002"/>
    <w:rsid w:val="009904F1"/>
    <w:rsid w:val="00990D08"/>
    <w:rsid w:val="00991165"/>
    <w:rsid w:val="009913DD"/>
    <w:rsid w:val="009913E0"/>
    <w:rsid w:val="00991578"/>
    <w:rsid w:val="00991795"/>
    <w:rsid w:val="0099188E"/>
    <w:rsid w:val="00992714"/>
    <w:rsid w:val="0099273B"/>
    <w:rsid w:val="00992959"/>
    <w:rsid w:val="00992B37"/>
    <w:rsid w:val="0099389D"/>
    <w:rsid w:val="00993C47"/>
    <w:rsid w:val="00993CD8"/>
    <w:rsid w:val="00994DFF"/>
    <w:rsid w:val="009952E1"/>
    <w:rsid w:val="009955BF"/>
    <w:rsid w:val="00995A90"/>
    <w:rsid w:val="00996275"/>
    <w:rsid w:val="009966B1"/>
    <w:rsid w:val="00996B67"/>
    <w:rsid w:val="009A014E"/>
    <w:rsid w:val="009A1351"/>
    <w:rsid w:val="009A1508"/>
    <w:rsid w:val="009A2568"/>
    <w:rsid w:val="009A274C"/>
    <w:rsid w:val="009A2EDB"/>
    <w:rsid w:val="009A31CB"/>
    <w:rsid w:val="009A3C85"/>
    <w:rsid w:val="009A3D0F"/>
    <w:rsid w:val="009A4223"/>
    <w:rsid w:val="009A4EA6"/>
    <w:rsid w:val="009A4ED3"/>
    <w:rsid w:val="009A55E7"/>
    <w:rsid w:val="009A5B3C"/>
    <w:rsid w:val="009A5F48"/>
    <w:rsid w:val="009A5FB3"/>
    <w:rsid w:val="009A61D2"/>
    <w:rsid w:val="009A6600"/>
    <w:rsid w:val="009A7A7D"/>
    <w:rsid w:val="009A7B4E"/>
    <w:rsid w:val="009B08B3"/>
    <w:rsid w:val="009B1273"/>
    <w:rsid w:val="009B17E3"/>
    <w:rsid w:val="009B19A4"/>
    <w:rsid w:val="009B1B29"/>
    <w:rsid w:val="009B1C4A"/>
    <w:rsid w:val="009B1D85"/>
    <w:rsid w:val="009B1EEC"/>
    <w:rsid w:val="009B28A9"/>
    <w:rsid w:val="009B2B9B"/>
    <w:rsid w:val="009B2C11"/>
    <w:rsid w:val="009B379C"/>
    <w:rsid w:val="009B3BD7"/>
    <w:rsid w:val="009B4D01"/>
    <w:rsid w:val="009B5356"/>
    <w:rsid w:val="009B56FE"/>
    <w:rsid w:val="009B5829"/>
    <w:rsid w:val="009B6069"/>
    <w:rsid w:val="009B65DA"/>
    <w:rsid w:val="009B68EA"/>
    <w:rsid w:val="009B772A"/>
    <w:rsid w:val="009B7FC4"/>
    <w:rsid w:val="009C0779"/>
    <w:rsid w:val="009C0A11"/>
    <w:rsid w:val="009C0F9F"/>
    <w:rsid w:val="009C2037"/>
    <w:rsid w:val="009C34DD"/>
    <w:rsid w:val="009C39CA"/>
    <w:rsid w:val="009C3D96"/>
    <w:rsid w:val="009C3F50"/>
    <w:rsid w:val="009C50D1"/>
    <w:rsid w:val="009C5C76"/>
    <w:rsid w:val="009C5E8A"/>
    <w:rsid w:val="009C5FAE"/>
    <w:rsid w:val="009C60E1"/>
    <w:rsid w:val="009C675C"/>
    <w:rsid w:val="009C70BA"/>
    <w:rsid w:val="009C7127"/>
    <w:rsid w:val="009C7DD3"/>
    <w:rsid w:val="009C7EAF"/>
    <w:rsid w:val="009D056E"/>
    <w:rsid w:val="009D0A14"/>
    <w:rsid w:val="009D1A16"/>
    <w:rsid w:val="009D2B71"/>
    <w:rsid w:val="009D2F64"/>
    <w:rsid w:val="009D3558"/>
    <w:rsid w:val="009D3E3A"/>
    <w:rsid w:val="009D3F43"/>
    <w:rsid w:val="009D46F8"/>
    <w:rsid w:val="009D5541"/>
    <w:rsid w:val="009D5851"/>
    <w:rsid w:val="009D5953"/>
    <w:rsid w:val="009D5CFB"/>
    <w:rsid w:val="009D6200"/>
    <w:rsid w:val="009D621F"/>
    <w:rsid w:val="009D6289"/>
    <w:rsid w:val="009D6D03"/>
    <w:rsid w:val="009D747E"/>
    <w:rsid w:val="009E05C8"/>
    <w:rsid w:val="009E06AC"/>
    <w:rsid w:val="009E0A4B"/>
    <w:rsid w:val="009E115B"/>
    <w:rsid w:val="009E19F9"/>
    <w:rsid w:val="009E209A"/>
    <w:rsid w:val="009E2A69"/>
    <w:rsid w:val="009E3942"/>
    <w:rsid w:val="009E3DDF"/>
    <w:rsid w:val="009E4041"/>
    <w:rsid w:val="009E4B4B"/>
    <w:rsid w:val="009E4B8A"/>
    <w:rsid w:val="009E4CEF"/>
    <w:rsid w:val="009E4D17"/>
    <w:rsid w:val="009E5720"/>
    <w:rsid w:val="009E5ABF"/>
    <w:rsid w:val="009E604A"/>
    <w:rsid w:val="009E66DB"/>
    <w:rsid w:val="009E690D"/>
    <w:rsid w:val="009E6D30"/>
    <w:rsid w:val="009E70D1"/>
    <w:rsid w:val="009E774F"/>
    <w:rsid w:val="009F04F4"/>
    <w:rsid w:val="009F0DB3"/>
    <w:rsid w:val="009F2B8A"/>
    <w:rsid w:val="009F2BC1"/>
    <w:rsid w:val="009F2DED"/>
    <w:rsid w:val="009F3B3B"/>
    <w:rsid w:val="009F48E0"/>
    <w:rsid w:val="009F49FC"/>
    <w:rsid w:val="009F4C64"/>
    <w:rsid w:val="009F519C"/>
    <w:rsid w:val="009F51D3"/>
    <w:rsid w:val="009F6B92"/>
    <w:rsid w:val="009F6FDE"/>
    <w:rsid w:val="009F7546"/>
    <w:rsid w:val="009F75C7"/>
    <w:rsid w:val="009F78DF"/>
    <w:rsid w:val="009F7B8F"/>
    <w:rsid w:val="00A004C8"/>
    <w:rsid w:val="00A0073E"/>
    <w:rsid w:val="00A014A5"/>
    <w:rsid w:val="00A01535"/>
    <w:rsid w:val="00A019EA"/>
    <w:rsid w:val="00A01CB7"/>
    <w:rsid w:val="00A01F91"/>
    <w:rsid w:val="00A0231E"/>
    <w:rsid w:val="00A0241B"/>
    <w:rsid w:val="00A026E0"/>
    <w:rsid w:val="00A02B35"/>
    <w:rsid w:val="00A02F73"/>
    <w:rsid w:val="00A033B1"/>
    <w:rsid w:val="00A035E5"/>
    <w:rsid w:val="00A04351"/>
    <w:rsid w:val="00A04694"/>
    <w:rsid w:val="00A0486E"/>
    <w:rsid w:val="00A0492E"/>
    <w:rsid w:val="00A05638"/>
    <w:rsid w:val="00A06D47"/>
    <w:rsid w:val="00A06DB3"/>
    <w:rsid w:val="00A075D5"/>
    <w:rsid w:val="00A078FB"/>
    <w:rsid w:val="00A07D15"/>
    <w:rsid w:val="00A10033"/>
    <w:rsid w:val="00A1009B"/>
    <w:rsid w:val="00A10B66"/>
    <w:rsid w:val="00A11556"/>
    <w:rsid w:val="00A11574"/>
    <w:rsid w:val="00A1176B"/>
    <w:rsid w:val="00A11BCA"/>
    <w:rsid w:val="00A133C7"/>
    <w:rsid w:val="00A137DE"/>
    <w:rsid w:val="00A14BFC"/>
    <w:rsid w:val="00A14C78"/>
    <w:rsid w:val="00A163E9"/>
    <w:rsid w:val="00A1657D"/>
    <w:rsid w:val="00A17475"/>
    <w:rsid w:val="00A20D0A"/>
    <w:rsid w:val="00A21474"/>
    <w:rsid w:val="00A2153B"/>
    <w:rsid w:val="00A215FF"/>
    <w:rsid w:val="00A21C1D"/>
    <w:rsid w:val="00A2217B"/>
    <w:rsid w:val="00A2269F"/>
    <w:rsid w:val="00A22843"/>
    <w:rsid w:val="00A229E2"/>
    <w:rsid w:val="00A230A3"/>
    <w:rsid w:val="00A23173"/>
    <w:rsid w:val="00A233A0"/>
    <w:rsid w:val="00A236E6"/>
    <w:rsid w:val="00A23A3E"/>
    <w:rsid w:val="00A267E6"/>
    <w:rsid w:val="00A274A1"/>
    <w:rsid w:val="00A2755A"/>
    <w:rsid w:val="00A278BA"/>
    <w:rsid w:val="00A27C8C"/>
    <w:rsid w:val="00A27EB5"/>
    <w:rsid w:val="00A27FE0"/>
    <w:rsid w:val="00A3031C"/>
    <w:rsid w:val="00A30D43"/>
    <w:rsid w:val="00A30F30"/>
    <w:rsid w:val="00A310F8"/>
    <w:rsid w:val="00A31897"/>
    <w:rsid w:val="00A31D86"/>
    <w:rsid w:val="00A31E2B"/>
    <w:rsid w:val="00A3214D"/>
    <w:rsid w:val="00A32795"/>
    <w:rsid w:val="00A32B8B"/>
    <w:rsid w:val="00A33036"/>
    <w:rsid w:val="00A3342D"/>
    <w:rsid w:val="00A34211"/>
    <w:rsid w:val="00A34719"/>
    <w:rsid w:val="00A34DD5"/>
    <w:rsid w:val="00A352C4"/>
    <w:rsid w:val="00A35A4B"/>
    <w:rsid w:val="00A374A4"/>
    <w:rsid w:val="00A4058F"/>
    <w:rsid w:val="00A405AB"/>
    <w:rsid w:val="00A40699"/>
    <w:rsid w:val="00A40DA2"/>
    <w:rsid w:val="00A40E1D"/>
    <w:rsid w:val="00A41887"/>
    <w:rsid w:val="00A41D13"/>
    <w:rsid w:val="00A41D1F"/>
    <w:rsid w:val="00A41F63"/>
    <w:rsid w:val="00A4269F"/>
    <w:rsid w:val="00A42AEF"/>
    <w:rsid w:val="00A43671"/>
    <w:rsid w:val="00A43688"/>
    <w:rsid w:val="00A43A8A"/>
    <w:rsid w:val="00A44008"/>
    <w:rsid w:val="00A44CBF"/>
    <w:rsid w:val="00A44E78"/>
    <w:rsid w:val="00A464F0"/>
    <w:rsid w:val="00A46868"/>
    <w:rsid w:val="00A46D81"/>
    <w:rsid w:val="00A47D39"/>
    <w:rsid w:val="00A500AB"/>
    <w:rsid w:val="00A50770"/>
    <w:rsid w:val="00A50C03"/>
    <w:rsid w:val="00A51461"/>
    <w:rsid w:val="00A51E2D"/>
    <w:rsid w:val="00A521DB"/>
    <w:rsid w:val="00A52579"/>
    <w:rsid w:val="00A529C7"/>
    <w:rsid w:val="00A52D46"/>
    <w:rsid w:val="00A533DF"/>
    <w:rsid w:val="00A537D1"/>
    <w:rsid w:val="00A543A5"/>
    <w:rsid w:val="00A54C09"/>
    <w:rsid w:val="00A550F5"/>
    <w:rsid w:val="00A5539F"/>
    <w:rsid w:val="00A55966"/>
    <w:rsid w:val="00A55B04"/>
    <w:rsid w:val="00A55D8A"/>
    <w:rsid w:val="00A56146"/>
    <w:rsid w:val="00A562A4"/>
    <w:rsid w:val="00A56C5E"/>
    <w:rsid w:val="00A57161"/>
    <w:rsid w:val="00A5792A"/>
    <w:rsid w:val="00A57FAD"/>
    <w:rsid w:val="00A6022E"/>
    <w:rsid w:val="00A60F96"/>
    <w:rsid w:val="00A611FB"/>
    <w:rsid w:val="00A62772"/>
    <w:rsid w:val="00A636C7"/>
    <w:rsid w:val="00A63701"/>
    <w:rsid w:val="00A637E3"/>
    <w:rsid w:val="00A63C4E"/>
    <w:rsid w:val="00A63FE9"/>
    <w:rsid w:val="00A64676"/>
    <w:rsid w:val="00A65078"/>
    <w:rsid w:val="00A65133"/>
    <w:rsid w:val="00A65EC4"/>
    <w:rsid w:val="00A660F7"/>
    <w:rsid w:val="00A66BB6"/>
    <w:rsid w:val="00A675E8"/>
    <w:rsid w:val="00A67DE3"/>
    <w:rsid w:val="00A71037"/>
    <w:rsid w:val="00A712C2"/>
    <w:rsid w:val="00A7164F"/>
    <w:rsid w:val="00A718F2"/>
    <w:rsid w:val="00A719CF"/>
    <w:rsid w:val="00A7230C"/>
    <w:rsid w:val="00A72DE9"/>
    <w:rsid w:val="00A72E35"/>
    <w:rsid w:val="00A72F79"/>
    <w:rsid w:val="00A7367C"/>
    <w:rsid w:val="00A755EC"/>
    <w:rsid w:val="00A75A45"/>
    <w:rsid w:val="00A75AD5"/>
    <w:rsid w:val="00A764B5"/>
    <w:rsid w:val="00A77124"/>
    <w:rsid w:val="00A77A30"/>
    <w:rsid w:val="00A80397"/>
    <w:rsid w:val="00A80CDA"/>
    <w:rsid w:val="00A81055"/>
    <w:rsid w:val="00A8147E"/>
    <w:rsid w:val="00A817A4"/>
    <w:rsid w:val="00A82143"/>
    <w:rsid w:val="00A821FC"/>
    <w:rsid w:val="00A83487"/>
    <w:rsid w:val="00A83F21"/>
    <w:rsid w:val="00A84967"/>
    <w:rsid w:val="00A85449"/>
    <w:rsid w:val="00A854F7"/>
    <w:rsid w:val="00A8551B"/>
    <w:rsid w:val="00A85D18"/>
    <w:rsid w:val="00A85DC9"/>
    <w:rsid w:val="00A8698F"/>
    <w:rsid w:val="00A87974"/>
    <w:rsid w:val="00A90665"/>
    <w:rsid w:val="00A90DF1"/>
    <w:rsid w:val="00A91433"/>
    <w:rsid w:val="00A91614"/>
    <w:rsid w:val="00A91632"/>
    <w:rsid w:val="00A917FA"/>
    <w:rsid w:val="00A9201B"/>
    <w:rsid w:val="00A926A1"/>
    <w:rsid w:val="00A92EBE"/>
    <w:rsid w:val="00A93519"/>
    <w:rsid w:val="00A9421E"/>
    <w:rsid w:val="00A94267"/>
    <w:rsid w:val="00A9436E"/>
    <w:rsid w:val="00A9482B"/>
    <w:rsid w:val="00A9493E"/>
    <w:rsid w:val="00A95338"/>
    <w:rsid w:val="00A95E51"/>
    <w:rsid w:val="00A964ED"/>
    <w:rsid w:val="00AA0789"/>
    <w:rsid w:val="00AA19BB"/>
    <w:rsid w:val="00AA1A97"/>
    <w:rsid w:val="00AA1AF7"/>
    <w:rsid w:val="00AA1BB9"/>
    <w:rsid w:val="00AA1C47"/>
    <w:rsid w:val="00AA2B2C"/>
    <w:rsid w:val="00AA33C3"/>
    <w:rsid w:val="00AA4796"/>
    <w:rsid w:val="00AA4E99"/>
    <w:rsid w:val="00AA502F"/>
    <w:rsid w:val="00AA54ED"/>
    <w:rsid w:val="00AA5DFE"/>
    <w:rsid w:val="00AA5E95"/>
    <w:rsid w:val="00AA5F29"/>
    <w:rsid w:val="00AA5FBC"/>
    <w:rsid w:val="00AA6240"/>
    <w:rsid w:val="00AA67B7"/>
    <w:rsid w:val="00AA73E4"/>
    <w:rsid w:val="00AA76ED"/>
    <w:rsid w:val="00AA7B58"/>
    <w:rsid w:val="00AB07FD"/>
    <w:rsid w:val="00AB0E34"/>
    <w:rsid w:val="00AB2904"/>
    <w:rsid w:val="00AB3009"/>
    <w:rsid w:val="00AB3490"/>
    <w:rsid w:val="00AB35FA"/>
    <w:rsid w:val="00AB36FC"/>
    <w:rsid w:val="00AB3CF2"/>
    <w:rsid w:val="00AB4636"/>
    <w:rsid w:val="00AB46C0"/>
    <w:rsid w:val="00AB4F91"/>
    <w:rsid w:val="00AB5195"/>
    <w:rsid w:val="00AB5FD3"/>
    <w:rsid w:val="00AB60E9"/>
    <w:rsid w:val="00AB6100"/>
    <w:rsid w:val="00AB63C0"/>
    <w:rsid w:val="00AB6471"/>
    <w:rsid w:val="00AB6BCC"/>
    <w:rsid w:val="00AC185C"/>
    <w:rsid w:val="00AC1972"/>
    <w:rsid w:val="00AC1A19"/>
    <w:rsid w:val="00AC1D06"/>
    <w:rsid w:val="00AC1EC0"/>
    <w:rsid w:val="00AC246B"/>
    <w:rsid w:val="00AC2BF2"/>
    <w:rsid w:val="00AC2C0E"/>
    <w:rsid w:val="00AC2E28"/>
    <w:rsid w:val="00AC323B"/>
    <w:rsid w:val="00AC36DF"/>
    <w:rsid w:val="00AC387D"/>
    <w:rsid w:val="00AC412E"/>
    <w:rsid w:val="00AC532F"/>
    <w:rsid w:val="00AC622F"/>
    <w:rsid w:val="00AC7C33"/>
    <w:rsid w:val="00AD03BB"/>
    <w:rsid w:val="00AD06F8"/>
    <w:rsid w:val="00AD0A6E"/>
    <w:rsid w:val="00AD0B33"/>
    <w:rsid w:val="00AD19F2"/>
    <w:rsid w:val="00AD1AE5"/>
    <w:rsid w:val="00AD25D1"/>
    <w:rsid w:val="00AD29D8"/>
    <w:rsid w:val="00AD3E3F"/>
    <w:rsid w:val="00AD439B"/>
    <w:rsid w:val="00AD4E18"/>
    <w:rsid w:val="00AD514D"/>
    <w:rsid w:val="00AD5A26"/>
    <w:rsid w:val="00AD5C1D"/>
    <w:rsid w:val="00AD656D"/>
    <w:rsid w:val="00AD67BF"/>
    <w:rsid w:val="00AD6902"/>
    <w:rsid w:val="00AD6D03"/>
    <w:rsid w:val="00AD6DFF"/>
    <w:rsid w:val="00AD704F"/>
    <w:rsid w:val="00AD785E"/>
    <w:rsid w:val="00AD7A18"/>
    <w:rsid w:val="00AD7AA0"/>
    <w:rsid w:val="00AD7D83"/>
    <w:rsid w:val="00AD7E5E"/>
    <w:rsid w:val="00AE05BF"/>
    <w:rsid w:val="00AE0728"/>
    <w:rsid w:val="00AE0A84"/>
    <w:rsid w:val="00AE0BC3"/>
    <w:rsid w:val="00AE0C59"/>
    <w:rsid w:val="00AE1A39"/>
    <w:rsid w:val="00AE257F"/>
    <w:rsid w:val="00AE27B9"/>
    <w:rsid w:val="00AE3498"/>
    <w:rsid w:val="00AE3A28"/>
    <w:rsid w:val="00AE3EBE"/>
    <w:rsid w:val="00AE46D7"/>
    <w:rsid w:val="00AE4D96"/>
    <w:rsid w:val="00AE50D7"/>
    <w:rsid w:val="00AE51BC"/>
    <w:rsid w:val="00AE56D2"/>
    <w:rsid w:val="00AE6264"/>
    <w:rsid w:val="00AE66D4"/>
    <w:rsid w:val="00AE70B4"/>
    <w:rsid w:val="00AF0A52"/>
    <w:rsid w:val="00AF0ACF"/>
    <w:rsid w:val="00AF11A8"/>
    <w:rsid w:val="00AF12F4"/>
    <w:rsid w:val="00AF1AB2"/>
    <w:rsid w:val="00AF20F9"/>
    <w:rsid w:val="00AF2F7C"/>
    <w:rsid w:val="00AF427D"/>
    <w:rsid w:val="00AF4874"/>
    <w:rsid w:val="00AF6012"/>
    <w:rsid w:val="00AF7160"/>
    <w:rsid w:val="00B00681"/>
    <w:rsid w:val="00B00FC1"/>
    <w:rsid w:val="00B01FB9"/>
    <w:rsid w:val="00B02211"/>
    <w:rsid w:val="00B02FCE"/>
    <w:rsid w:val="00B030FD"/>
    <w:rsid w:val="00B03520"/>
    <w:rsid w:val="00B03906"/>
    <w:rsid w:val="00B03998"/>
    <w:rsid w:val="00B03BBA"/>
    <w:rsid w:val="00B041BC"/>
    <w:rsid w:val="00B0528F"/>
    <w:rsid w:val="00B052FC"/>
    <w:rsid w:val="00B05349"/>
    <w:rsid w:val="00B05CCC"/>
    <w:rsid w:val="00B05E24"/>
    <w:rsid w:val="00B06EB0"/>
    <w:rsid w:val="00B06F15"/>
    <w:rsid w:val="00B077AF"/>
    <w:rsid w:val="00B1024F"/>
    <w:rsid w:val="00B10B9E"/>
    <w:rsid w:val="00B10D64"/>
    <w:rsid w:val="00B1147B"/>
    <w:rsid w:val="00B11DE4"/>
    <w:rsid w:val="00B122AF"/>
    <w:rsid w:val="00B122E9"/>
    <w:rsid w:val="00B12B25"/>
    <w:rsid w:val="00B13676"/>
    <w:rsid w:val="00B13B84"/>
    <w:rsid w:val="00B1426B"/>
    <w:rsid w:val="00B1434B"/>
    <w:rsid w:val="00B157D5"/>
    <w:rsid w:val="00B1582F"/>
    <w:rsid w:val="00B15B69"/>
    <w:rsid w:val="00B1637F"/>
    <w:rsid w:val="00B16570"/>
    <w:rsid w:val="00B16578"/>
    <w:rsid w:val="00B17217"/>
    <w:rsid w:val="00B17EA1"/>
    <w:rsid w:val="00B17F02"/>
    <w:rsid w:val="00B203E6"/>
    <w:rsid w:val="00B2072C"/>
    <w:rsid w:val="00B20C4A"/>
    <w:rsid w:val="00B21C65"/>
    <w:rsid w:val="00B21DB0"/>
    <w:rsid w:val="00B22928"/>
    <w:rsid w:val="00B22A58"/>
    <w:rsid w:val="00B22D0C"/>
    <w:rsid w:val="00B237A5"/>
    <w:rsid w:val="00B237B7"/>
    <w:rsid w:val="00B23848"/>
    <w:rsid w:val="00B23BB7"/>
    <w:rsid w:val="00B2518C"/>
    <w:rsid w:val="00B26561"/>
    <w:rsid w:val="00B26CD3"/>
    <w:rsid w:val="00B26D7E"/>
    <w:rsid w:val="00B26EAA"/>
    <w:rsid w:val="00B27AA5"/>
    <w:rsid w:val="00B27F62"/>
    <w:rsid w:val="00B30FC1"/>
    <w:rsid w:val="00B31BE0"/>
    <w:rsid w:val="00B31FD4"/>
    <w:rsid w:val="00B3235F"/>
    <w:rsid w:val="00B32A47"/>
    <w:rsid w:val="00B32BB8"/>
    <w:rsid w:val="00B32F33"/>
    <w:rsid w:val="00B32F72"/>
    <w:rsid w:val="00B332A4"/>
    <w:rsid w:val="00B337F3"/>
    <w:rsid w:val="00B33B1C"/>
    <w:rsid w:val="00B35C6F"/>
    <w:rsid w:val="00B35F0F"/>
    <w:rsid w:val="00B35FFC"/>
    <w:rsid w:val="00B37781"/>
    <w:rsid w:val="00B378A1"/>
    <w:rsid w:val="00B37BDC"/>
    <w:rsid w:val="00B37F8B"/>
    <w:rsid w:val="00B40355"/>
    <w:rsid w:val="00B4093A"/>
    <w:rsid w:val="00B40DA3"/>
    <w:rsid w:val="00B41076"/>
    <w:rsid w:val="00B412EB"/>
    <w:rsid w:val="00B4395A"/>
    <w:rsid w:val="00B44038"/>
    <w:rsid w:val="00B445C7"/>
    <w:rsid w:val="00B44AF4"/>
    <w:rsid w:val="00B44C66"/>
    <w:rsid w:val="00B45122"/>
    <w:rsid w:val="00B45731"/>
    <w:rsid w:val="00B45A9F"/>
    <w:rsid w:val="00B46388"/>
    <w:rsid w:val="00B46F6E"/>
    <w:rsid w:val="00B47153"/>
    <w:rsid w:val="00B476F5"/>
    <w:rsid w:val="00B47A0E"/>
    <w:rsid w:val="00B47AFF"/>
    <w:rsid w:val="00B47CE2"/>
    <w:rsid w:val="00B47D75"/>
    <w:rsid w:val="00B500A9"/>
    <w:rsid w:val="00B50F8B"/>
    <w:rsid w:val="00B517EC"/>
    <w:rsid w:val="00B51B26"/>
    <w:rsid w:val="00B5351A"/>
    <w:rsid w:val="00B535CF"/>
    <w:rsid w:val="00B53E37"/>
    <w:rsid w:val="00B54C55"/>
    <w:rsid w:val="00B54F5E"/>
    <w:rsid w:val="00B55045"/>
    <w:rsid w:val="00B553E4"/>
    <w:rsid w:val="00B55E22"/>
    <w:rsid w:val="00B5642C"/>
    <w:rsid w:val="00B566B2"/>
    <w:rsid w:val="00B56A36"/>
    <w:rsid w:val="00B56D57"/>
    <w:rsid w:val="00B57706"/>
    <w:rsid w:val="00B5792C"/>
    <w:rsid w:val="00B605BE"/>
    <w:rsid w:val="00B60732"/>
    <w:rsid w:val="00B61BE9"/>
    <w:rsid w:val="00B61FF8"/>
    <w:rsid w:val="00B6208B"/>
    <w:rsid w:val="00B62E1F"/>
    <w:rsid w:val="00B6347C"/>
    <w:rsid w:val="00B63A0A"/>
    <w:rsid w:val="00B63D84"/>
    <w:rsid w:val="00B6439E"/>
    <w:rsid w:val="00B6466A"/>
    <w:rsid w:val="00B659C4"/>
    <w:rsid w:val="00B66051"/>
    <w:rsid w:val="00B66723"/>
    <w:rsid w:val="00B67001"/>
    <w:rsid w:val="00B671E0"/>
    <w:rsid w:val="00B673C0"/>
    <w:rsid w:val="00B67516"/>
    <w:rsid w:val="00B67F6B"/>
    <w:rsid w:val="00B704A6"/>
    <w:rsid w:val="00B71373"/>
    <w:rsid w:val="00B7145D"/>
    <w:rsid w:val="00B7184C"/>
    <w:rsid w:val="00B71B78"/>
    <w:rsid w:val="00B72132"/>
    <w:rsid w:val="00B72731"/>
    <w:rsid w:val="00B739F8"/>
    <w:rsid w:val="00B74D60"/>
    <w:rsid w:val="00B75039"/>
    <w:rsid w:val="00B75043"/>
    <w:rsid w:val="00B763C3"/>
    <w:rsid w:val="00B765DE"/>
    <w:rsid w:val="00B76690"/>
    <w:rsid w:val="00B76710"/>
    <w:rsid w:val="00B76CBB"/>
    <w:rsid w:val="00B77432"/>
    <w:rsid w:val="00B774D6"/>
    <w:rsid w:val="00B7766D"/>
    <w:rsid w:val="00B778FE"/>
    <w:rsid w:val="00B779DC"/>
    <w:rsid w:val="00B77D1D"/>
    <w:rsid w:val="00B8107E"/>
    <w:rsid w:val="00B81E61"/>
    <w:rsid w:val="00B823CB"/>
    <w:rsid w:val="00B82EBA"/>
    <w:rsid w:val="00B831D0"/>
    <w:rsid w:val="00B8377F"/>
    <w:rsid w:val="00B84294"/>
    <w:rsid w:val="00B84389"/>
    <w:rsid w:val="00B84569"/>
    <w:rsid w:val="00B84981"/>
    <w:rsid w:val="00B84F5C"/>
    <w:rsid w:val="00B8564C"/>
    <w:rsid w:val="00B85719"/>
    <w:rsid w:val="00B85DAC"/>
    <w:rsid w:val="00B86040"/>
    <w:rsid w:val="00B8653B"/>
    <w:rsid w:val="00B86EFC"/>
    <w:rsid w:val="00B86F0D"/>
    <w:rsid w:val="00B870F8"/>
    <w:rsid w:val="00B8732A"/>
    <w:rsid w:val="00B878AB"/>
    <w:rsid w:val="00B879C9"/>
    <w:rsid w:val="00B90718"/>
    <w:rsid w:val="00B91ADC"/>
    <w:rsid w:val="00B94336"/>
    <w:rsid w:val="00B94340"/>
    <w:rsid w:val="00B94BA3"/>
    <w:rsid w:val="00B94CDF"/>
    <w:rsid w:val="00B94F71"/>
    <w:rsid w:val="00B95270"/>
    <w:rsid w:val="00B95582"/>
    <w:rsid w:val="00B95F84"/>
    <w:rsid w:val="00B96044"/>
    <w:rsid w:val="00B964CA"/>
    <w:rsid w:val="00B96F0C"/>
    <w:rsid w:val="00B97169"/>
    <w:rsid w:val="00B97AE8"/>
    <w:rsid w:val="00BA0AC1"/>
    <w:rsid w:val="00BA0D54"/>
    <w:rsid w:val="00BA0F39"/>
    <w:rsid w:val="00BA10C9"/>
    <w:rsid w:val="00BA1159"/>
    <w:rsid w:val="00BA126F"/>
    <w:rsid w:val="00BA12E2"/>
    <w:rsid w:val="00BA19E2"/>
    <w:rsid w:val="00BA1B5F"/>
    <w:rsid w:val="00BA23CF"/>
    <w:rsid w:val="00BA240D"/>
    <w:rsid w:val="00BA2958"/>
    <w:rsid w:val="00BA2C20"/>
    <w:rsid w:val="00BA30C5"/>
    <w:rsid w:val="00BA33AF"/>
    <w:rsid w:val="00BA39F0"/>
    <w:rsid w:val="00BA41E5"/>
    <w:rsid w:val="00BA431C"/>
    <w:rsid w:val="00BA5118"/>
    <w:rsid w:val="00BA53BC"/>
    <w:rsid w:val="00BA5ECD"/>
    <w:rsid w:val="00BA627B"/>
    <w:rsid w:val="00BA6C5A"/>
    <w:rsid w:val="00BA7185"/>
    <w:rsid w:val="00BA7265"/>
    <w:rsid w:val="00BA77B3"/>
    <w:rsid w:val="00BA7803"/>
    <w:rsid w:val="00BA7B44"/>
    <w:rsid w:val="00BA7FD4"/>
    <w:rsid w:val="00BB0006"/>
    <w:rsid w:val="00BB04D7"/>
    <w:rsid w:val="00BB0871"/>
    <w:rsid w:val="00BB0C6E"/>
    <w:rsid w:val="00BB1279"/>
    <w:rsid w:val="00BB1E97"/>
    <w:rsid w:val="00BB2181"/>
    <w:rsid w:val="00BB2823"/>
    <w:rsid w:val="00BB2DCB"/>
    <w:rsid w:val="00BB2E0C"/>
    <w:rsid w:val="00BB42F8"/>
    <w:rsid w:val="00BB4BF8"/>
    <w:rsid w:val="00BB5678"/>
    <w:rsid w:val="00BB6D7F"/>
    <w:rsid w:val="00BB70DC"/>
    <w:rsid w:val="00BB72D9"/>
    <w:rsid w:val="00BB73B3"/>
    <w:rsid w:val="00BB76D6"/>
    <w:rsid w:val="00BB7D17"/>
    <w:rsid w:val="00BB7F5C"/>
    <w:rsid w:val="00BC0008"/>
    <w:rsid w:val="00BC18F6"/>
    <w:rsid w:val="00BC1A38"/>
    <w:rsid w:val="00BC201F"/>
    <w:rsid w:val="00BC2340"/>
    <w:rsid w:val="00BC2778"/>
    <w:rsid w:val="00BC2905"/>
    <w:rsid w:val="00BC2D75"/>
    <w:rsid w:val="00BC46B6"/>
    <w:rsid w:val="00BC5C95"/>
    <w:rsid w:val="00BC5CBC"/>
    <w:rsid w:val="00BC788A"/>
    <w:rsid w:val="00BC7B67"/>
    <w:rsid w:val="00BC7EA2"/>
    <w:rsid w:val="00BD01BA"/>
    <w:rsid w:val="00BD01C8"/>
    <w:rsid w:val="00BD0B60"/>
    <w:rsid w:val="00BD0BF8"/>
    <w:rsid w:val="00BD2950"/>
    <w:rsid w:val="00BD2C2C"/>
    <w:rsid w:val="00BD33DD"/>
    <w:rsid w:val="00BD3A66"/>
    <w:rsid w:val="00BD3DF8"/>
    <w:rsid w:val="00BD3E00"/>
    <w:rsid w:val="00BD3ED1"/>
    <w:rsid w:val="00BD466C"/>
    <w:rsid w:val="00BD4D83"/>
    <w:rsid w:val="00BD54FC"/>
    <w:rsid w:val="00BD5D11"/>
    <w:rsid w:val="00BD6322"/>
    <w:rsid w:val="00BD6F4F"/>
    <w:rsid w:val="00BD7A1C"/>
    <w:rsid w:val="00BD7DAD"/>
    <w:rsid w:val="00BD7E31"/>
    <w:rsid w:val="00BE0299"/>
    <w:rsid w:val="00BE0746"/>
    <w:rsid w:val="00BE07AC"/>
    <w:rsid w:val="00BE07E5"/>
    <w:rsid w:val="00BE09F6"/>
    <w:rsid w:val="00BE0E31"/>
    <w:rsid w:val="00BE108B"/>
    <w:rsid w:val="00BE148F"/>
    <w:rsid w:val="00BE1678"/>
    <w:rsid w:val="00BE2076"/>
    <w:rsid w:val="00BE2637"/>
    <w:rsid w:val="00BE3528"/>
    <w:rsid w:val="00BE372B"/>
    <w:rsid w:val="00BE3976"/>
    <w:rsid w:val="00BE3BAC"/>
    <w:rsid w:val="00BE3E83"/>
    <w:rsid w:val="00BE4A77"/>
    <w:rsid w:val="00BE4B89"/>
    <w:rsid w:val="00BE5050"/>
    <w:rsid w:val="00BE51A2"/>
    <w:rsid w:val="00BE55B8"/>
    <w:rsid w:val="00BE5868"/>
    <w:rsid w:val="00BE5F24"/>
    <w:rsid w:val="00BE63E6"/>
    <w:rsid w:val="00BE6544"/>
    <w:rsid w:val="00BE6B0F"/>
    <w:rsid w:val="00BE79EF"/>
    <w:rsid w:val="00BE7C1D"/>
    <w:rsid w:val="00BF0A2C"/>
    <w:rsid w:val="00BF0D29"/>
    <w:rsid w:val="00BF11E6"/>
    <w:rsid w:val="00BF196D"/>
    <w:rsid w:val="00BF1EFF"/>
    <w:rsid w:val="00BF20F9"/>
    <w:rsid w:val="00BF2AD2"/>
    <w:rsid w:val="00BF305D"/>
    <w:rsid w:val="00BF3080"/>
    <w:rsid w:val="00BF335E"/>
    <w:rsid w:val="00BF3D39"/>
    <w:rsid w:val="00BF4D93"/>
    <w:rsid w:val="00BF597C"/>
    <w:rsid w:val="00BF6C22"/>
    <w:rsid w:val="00BF6FB3"/>
    <w:rsid w:val="00C00809"/>
    <w:rsid w:val="00C016CA"/>
    <w:rsid w:val="00C025B0"/>
    <w:rsid w:val="00C029D9"/>
    <w:rsid w:val="00C02D1D"/>
    <w:rsid w:val="00C050DF"/>
    <w:rsid w:val="00C05432"/>
    <w:rsid w:val="00C054B3"/>
    <w:rsid w:val="00C05A88"/>
    <w:rsid w:val="00C05C55"/>
    <w:rsid w:val="00C05FD9"/>
    <w:rsid w:val="00C062FB"/>
    <w:rsid w:val="00C06606"/>
    <w:rsid w:val="00C079F6"/>
    <w:rsid w:val="00C10019"/>
    <w:rsid w:val="00C108C9"/>
    <w:rsid w:val="00C1242D"/>
    <w:rsid w:val="00C12906"/>
    <w:rsid w:val="00C14454"/>
    <w:rsid w:val="00C144E5"/>
    <w:rsid w:val="00C14801"/>
    <w:rsid w:val="00C15845"/>
    <w:rsid w:val="00C15AC8"/>
    <w:rsid w:val="00C15E90"/>
    <w:rsid w:val="00C15F3F"/>
    <w:rsid w:val="00C172FF"/>
    <w:rsid w:val="00C17A67"/>
    <w:rsid w:val="00C204BA"/>
    <w:rsid w:val="00C21035"/>
    <w:rsid w:val="00C2294D"/>
    <w:rsid w:val="00C22F75"/>
    <w:rsid w:val="00C23766"/>
    <w:rsid w:val="00C237B6"/>
    <w:rsid w:val="00C23B04"/>
    <w:rsid w:val="00C23DA0"/>
    <w:rsid w:val="00C25153"/>
    <w:rsid w:val="00C25BC8"/>
    <w:rsid w:val="00C25F01"/>
    <w:rsid w:val="00C260B0"/>
    <w:rsid w:val="00C267F5"/>
    <w:rsid w:val="00C26AF5"/>
    <w:rsid w:val="00C27918"/>
    <w:rsid w:val="00C27B69"/>
    <w:rsid w:val="00C27D30"/>
    <w:rsid w:val="00C30182"/>
    <w:rsid w:val="00C3085F"/>
    <w:rsid w:val="00C31A58"/>
    <w:rsid w:val="00C3239A"/>
    <w:rsid w:val="00C32564"/>
    <w:rsid w:val="00C32B77"/>
    <w:rsid w:val="00C330F4"/>
    <w:rsid w:val="00C33AA2"/>
    <w:rsid w:val="00C33F72"/>
    <w:rsid w:val="00C3441D"/>
    <w:rsid w:val="00C344BE"/>
    <w:rsid w:val="00C34F4B"/>
    <w:rsid w:val="00C35155"/>
    <w:rsid w:val="00C3541F"/>
    <w:rsid w:val="00C3558E"/>
    <w:rsid w:val="00C35AF3"/>
    <w:rsid w:val="00C35D41"/>
    <w:rsid w:val="00C35E11"/>
    <w:rsid w:val="00C3602A"/>
    <w:rsid w:val="00C36D54"/>
    <w:rsid w:val="00C36EA6"/>
    <w:rsid w:val="00C378A6"/>
    <w:rsid w:val="00C37BBD"/>
    <w:rsid w:val="00C37DB1"/>
    <w:rsid w:val="00C400FB"/>
    <w:rsid w:val="00C4120B"/>
    <w:rsid w:val="00C41E98"/>
    <w:rsid w:val="00C42860"/>
    <w:rsid w:val="00C42A7B"/>
    <w:rsid w:val="00C42F33"/>
    <w:rsid w:val="00C43980"/>
    <w:rsid w:val="00C43A9E"/>
    <w:rsid w:val="00C43B22"/>
    <w:rsid w:val="00C4411C"/>
    <w:rsid w:val="00C4414E"/>
    <w:rsid w:val="00C44229"/>
    <w:rsid w:val="00C4425B"/>
    <w:rsid w:val="00C44285"/>
    <w:rsid w:val="00C44399"/>
    <w:rsid w:val="00C44428"/>
    <w:rsid w:val="00C446A2"/>
    <w:rsid w:val="00C4514F"/>
    <w:rsid w:val="00C466DE"/>
    <w:rsid w:val="00C46C4F"/>
    <w:rsid w:val="00C47429"/>
    <w:rsid w:val="00C4756A"/>
    <w:rsid w:val="00C47683"/>
    <w:rsid w:val="00C47D84"/>
    <w:rsid w:val="00C502B3"/>
    <w:rsid w:val="00C50359"/>
    <w:rsid w:val="00C5061A"/>
    <w:rsid w:val="00C50D8F"/>
    <w:rsid w:val="00C514CC"/>
    <w:rsid w:val="00C518F1"/>
    <w:rsid w:val="00C5289D"/>
    <w:rsid w:val="00C53046"/>
    <w:rsid w:val="00C530FE"/>
    <w:rsid w:val="00C532D5"/>
    <w:rsid w:val="00C53FCE"/>
    <w:rsid w:val="00C545E1"/>
    <w:rsid w:val="00C547FF"/>
    <w:rsid w:val="00C54A86"/>
    <w:rsid w:val="00C55911"/>
    <w:rsid w:val="00C55F50"/>
    <w:rsid w:val="00C56920"/>
    <w:rsid w:val="00C56BD5"/>
    <w:rsid w:val="00C56EB2"/>
    <w:rsid w:val="00C57EA0"/>
    <w:rsid w:val="00C6151C"/>
    <w:rsid w:val="00C6269B"/>
    <w:rsid w:val="00C62C43"/>
    <w:rsid w:val="00C62E05"/>
    <w:rsid w:val="00C6312D"/>
    <w:rsid w:val="00C63A5A"/>
    <w:rsid w:val="00C65032"/>
    <w:rsid w:val="00C65045"/>
    <w:rsid w:val="00C653FB"/>
    <w:rsid w:val="00C6577C"/>
    <w:rsid w:val="00C6622A"/>
    <w:rsid w:val="00C66704"/>
    <w:rsid w:val="00C667DC"/>
    <w:rsid w:val="00C66886"/>
    <w:rsid w:val="00C66B6B"/>
    <w:rsid w:val="00C66C9B"/>
    <w:rsid w:val="00C66F03"/>
    <w:rsid w:val="00C67B2F"/>
    <w:rsid w:val="00C67C68"/>
    <w:rsid w:val="00C67C6C"/>
    <w:rsid w:val="00C71A89"/>
    <w:rsid w:val="00C71B75"/>
    <w:rsid w:val="00C7284A"/>
    <w:rsid w:val="00C72B9C"/>
    <w:rsid w:val="00C72FBE"/>
    <w:rsid w:val="00C73E48"/>
    <w:rsid w:val="00C7466E"/>
    <w:rsid w:val="00C74DD0"/>
    <w:rsid w:val="00C74EFD"/>
    <w:rsid w:val="00C75B27"/>
    <w:rsid w:val="00C75F0F"/>
    <w:rsid w:val="00C7780D"/>
    <w:rsid w:val="00C80757"/>
    <w:rsid w:val="00C813F5"/>
    <w:rsid w:val="00C81CEC"/>
    <w:rsid w:val="00C81EC9"/>
    <w:rsid w:val="00C82E7C"/>
    <w:rsid w:val="00C82EC3"/>
    <w:rsid w:val="00C83061"/>
    <w:rsid w:val="00C83546"/>
    <w:rsid w:val="00C836E3"/>
    <w:rsid w:val="00C85889"/>
    <w:rsid w:val="00C859D9"/>
    <w:rsid w:val="00C86A8F"/>
    <w:rsid w:val="00C86DDE"/>
    <w:rsid w:val="00C86FA2"/>
    <w:rsid w:val="00C91521"/>
    <w:rsid w:val="00C918F5"/>
    <w:rsid w:val="00C91978"/>
    <w:rsid w:val="00C91AC2"/>
    <w:rsid w:val="00C91F22"/>
    <w:rsid w:val="00C924B4"/>
    <w:rsid w:val="00C929AD"/>
    <w:rsid w:val="00C92A98"/>
    <w:rsid w:val="00C92D78"/>
    <w:rsid w:val="00C92F8A"/>
    <w:rsid w:val="00C9493F"/>
    <w:rsid w:val="00C94CAD"/>
    <w:rsid w:val="00C94D23"/>
    <w:rsid w:val="00C954D8"/>
    <w:rsid w:val="00C958A3"/>
    <w:rsid w:val="00C95A1D"/>
    <w:rsid w:val="00C95FE2"/>
    <w:rsid w:val="00C965FD"/>
    <w:rsid w:val="00C966A1"/>
    <w:rsid w:val="00C967C0"/>
    <w:rsid w:val="00C967CD"/>
    <w:rsid w:val="00C96B68"/>
    <w:rsid w:val="00C96DBF"/>
    <w:rsid w:val="00C972C3"/>
    <w:rsid w:val="00C97B24"/>
    <w:rsid w:val="00CA0E6E"/>
    <w:rsid w:val="00CA1189"/>
    <w:rsid w:val="00CA248D"/>
    <w:rsid w:val="00CA25B0"/>
    <w:rsid w:val="00CA38A2"/>
    <w:rsid w:val="00CA45C5"/>
    <w:rsid w:val="00CA4940"/>
    <w:rsid w:val="00CA4A7A"/>
    <w:rsid w:val="00CA51FB"/>
    <w:rsid w:val="00CA57D0"/>
    <w:rsid w:val="00CA58F5"/>
    <w:rsid w:val="00CA5E1B"/>
    <w:rsid w:val="00CA62EA"/>
    <w:rsid w:val="00CA64CE"/>
    <w:rsid w:val="00CA6844"/>
    <w:rsid w:val="00CA6A79"/>
    <w:rsid w:val="00CA6BD2"/>
    <w:rsid w:val="00CA6F27"/>
    <w:rsid w:val="00CA7333"/>
    <w:rsid w:val="00CA7BED"/>
    <w:rsid w:val="00CA7F15"/>
    <w:rsid w:val="00CB04A6"/>
    <w:rsid w:val="00CB0CB7"/>
    <w:rsid w:val="00CB1022"/>
    <w:rsid w:val="00CB1165"/>
    <w:rsid w:val="00CB1478"/>
    <w:rsid w:val="00CB235B"/>
    <w:rsid w:val="00CB2B0B"/>
    <w:rsid w:val="00CB2E55"/>
    <w:rsid w:val="00CB30C6"/>
    <w:rsid w:val="00CB33F5"/>
    <w:rsid w:val="00CB36BA"/>
    <w:rsid w:val="00CB3B48"/>
    <w:rsid w:val="00CB3C47"/>
    <w:rsid w:val="00CB3E3E"/>
    <w:rsid w:val="00CB4169"/>
    <w:rsid w:val="00CB4176"/>
    <w:rsid w:val="00CB44F7"/>
    <w:rsid w:val="00CB454B"/>
    <w:rsid w:val="00CB485C"/>
    <w:rsid w:val="00CB4B51"/>
    <w:rsid w:val="00CB4B71"/>
    <w:rsid w:val="00CB52BA"/>
    <w:rsid w:val="00CB540B"/>
    <w:rsid w:val="00CB577A"/>
    <w:rsid w:val="00CB5B02"/>
    <w:rsid w:val="00CB60E6"/>
    <w:rsid w:val="00CB62D3"/>
    <w:rsid w:val="00CB6A79"/>
    <w:rsid w:val="00CB702C"/>
    <w:rsid w:val="00CB74BD"/>
    <w:rsid w:val="00CB792B"/>
    <w:rsid w:val="00CB7D66"/>
    <w:rsid w:val="00CB7EAD"/>
    <w:rsid w:val="00CC00A7"/>
    <w:rsid w:val="00CC028B"/>
    <w:rsid w:val="00CC03FB"/>
    <w:rsid w:val="00CC1153"/>
    <w:rsid w:val="00CC1459"/>
    <w:rsid w:val="00CC17C8"/>
    <w:rsid w:val="00CC3BDE"/>
    <w:rsid w:val="00CC4001"/>
    <w:rsid w:val="00CC472E"/>
    <w:rsid w:val="00CC5531"/>
    <w:rsid w:val="00CC798E"/>
    <w:rsid w:val="00CD06F2"/>
    <w:rsid w:val="00CD12CB"/>
    <w:rsid w:val="00CD1697"/>
    <w:rsid w:val="00CD19DC"/>
    <w:rsid w:val="00CD1C46"/>
    <w:rsid w:val="00CD270F"/>
    <w:rsid w:val="00CD30C7"/>
    <w:rsid w:val="00CD34F4"/>
    <w:rsid w:val="00CD3526"/>
    <w:rsid w:val="00CD3C32"/>
    <w:rsid w:val="00CD56E6"/>
    <w:rsid w:val="00CD63A3"/>
    <w:rsid w:val="00CD652C"/>
    <w:rsid w:val="00CD65F8"/>
    <w:rsid w:val="00CD6D8C"/>
    <w:rsid w:val="00CD6F25"/>
    <w:rsid w:val="00CD722A"/>
    <w:rsid w:val="00CD7282"/>
    <w:rsid w:val="00CD7839"/>
    <w:rsid w:val="00CD7D97"/>
    <w:rsid w:val="00CE0351"/>
    <w:rsid w:val="00CE0BE8"/>
    <w:rsid w:val="00CE0C16"/>
    <w:rsid w:val="00CE0F7B"/>
    <w:rsid w:val="00CE13BA"/>
    <w:rsid w:val="00CE2046"/>
    <w:rsid w:val="00CE249B"/>
    <w:rsid w:val="00CE2870"/>
    <w:rsid w:val="00CE2D9D"/>
    <w:rsid w:val="00CE3233"/>
    <w:rsid w:val="00CE35DC"/>
    <w:rsid w:val="00CE3F84"/>
    <w:rsid w:val="00CE424A"/>
    <w:rsid w:val="00CE460F"/>
    <w:rsid w:val="00CE4996"/>
    <w:rsid w:val="00CE4F11"/>
    <w:rsid w:val="00CE5690"/>
    <w:rsid w:val="00CE5A98"/>
    <w:rsid w:val="00CE6159"/>
    <w:rsid w:val="00CE72E1"/>
    <w:rsid w:val="00CE7579"/>
    <w:rsid w:val="00CF000F"/>
    <w:rsid w:val="00CF0684"/>
    <w:rsid w:val="00CF106D"/>
    <w:rsid w:val="00CF2442"/>
    <w:rsid w:val="00CF2E48"/>
    <w:rsid w:val="00CF30C6"/>
    <w:rsid w:val="00CF3BAE"/>
    <w:rsid w:val="00CF45DC"/>
    <w:rsid w:val="00CF4ECA"/>
    <w:rsid w:val="00CF5B85"/>
    <w:rsid w:val="00CF60FB"/>
    <w:rsid w:val="00CF6766"/>
    <w:rsid w:val="00CF6D3B"/>
    <w:rsid w:val="00CF6DA6"/>
    <w:rsid w:val="00D015F5"/>
    <w:rsid w:val="00D0165F"/>
    <w:rsid w:val="00D01957"/>
    <w:rsid w:val="00D0222A"/>
    <w:rsid w:val="00D0311A"/>
    <w:rsid w:val="00D031B6"/>
    <w:rsid w:val="00D03398"/>
    <w:rsid w:val="00D036DF"/>
    <w:rsid w:val="00D0388B"/>
    <w:rsid w:val="00D0423E"/>
    <w:rsid w:val="00D05FAC"/>
    <w:rsid w:val="00D06149"/>
    <w:rsid w:val="00D06226"/>
    <w:rsid w:val="00D06947"/>
    <w:rsid w:val="00D06EB9"/>
    <w:rsid w:val="00D07E7E"/>
    <w:rsid w:val="00D1034D"/>
    <w:rsid w:val="00D104D6"/>
    <w:rsid w:val="00D105D9"/>
    <w:rsid w:val="00D11F34"/>
    <w:rsid w:val="00D129AC"/>
    <w:rsid w:val="00D131F4"/>
    <w:rsid w:val="00D135FE"/>
    <w:rsid w:val="00D142DF"/>
    <w:rsid w:val="00D145C4"/>
    <w:rsid w:val="00D14E60"/>
    <w:rsid w:val="00D14EA0"/>
    <w:rsid w:val="00D15334"/>
    <w:rsid w:val="00D159F6"/>
    <w:rsid w:val="00D161AA"/>
    <w:rsid w:val="00D16311"/>
    <w:rsid w:val="00D163D0"/>
    <w:rsid w:val="00D172E0"/>
    <w:rsid w:val="00D177A9"/>
    <w:rsid w:val="00D1782F"/>
    <w:rsid w:val="00D1791F"/>
    <w:rsid w:val="00D202BA"/>
    <w:rsid w:val="00D21007"/>
    <w:rsid w:val="00D21887"/>
    <w:rsid w:val="00D2271C"/>
    <w:rsid w:val="00D22C4E"/>
    <w:rsid w:val="00D230B4"/>
    <w:rsid w:val="00D234F9"/>
    <w:rsid w:val="00D23710"/>
    <w:rsid w:val="00D23D07"/>
    <w:rsid w:val="00D24243"/>
    <w:rsid w:val="00D24673"/>
    <w:rsid w:val="00D25D29"/>
    <w:rsid w:val="00D261F6"/>
    <w:rsid w:val="00D26456"/>
    <w:rsid w:val="00D2747A"/>
    <w:rsid w:val="00D27698"/>
    <w:rsid w:val="00D302D5"/>
    <w:rsid w:val="00D306CC"/>
    <w:rsid w:val="00D30DA1"/>
    <w:rsid w:val="00D30F65"/>
    <w:rsid w:val="00D317A0"/>
    <w:rsid w:val="00D31B34"/>
    <w:rsid w:val="00D325F9"/>
    <w:rsid w:val="00D3272A"/>
    <w:rsid w:val="00D32B4D"/>
    <w:rsid w:val="00D33040"/>
    <w:rsid w:val="00D33C1C"/>
    <w:rsid w:val="00D355B8"/>
    <w:rsid w:val="00D3599E"/>
    <w:rsid w:val="00D35AF5"/>
    <w:rsid w:val="00D35BBC"/>
    <w:rsid w:val="00D3761E"/>
    <w:rsid w:val="00D376A5"/>
    <w:rsid w:val="00D400A8"/>
    <w:rsid w:val="00D411AC"/>
    <w:rsid w:val="00D4127F"/>
    <w:rsid w:val="00D41A10"/>
    <w:rsid w:val="00D44A08"/>
    <w:rsid w:val="00D44ABE"/>
    <w:rsid w:val="00D44E24"/>
    <w:rsid w:val="00D44FED"/>
    <w:rsid w:val="00D45C00"/>
    <w:rsid w:val="00D45FA4"/>
    <w:rsid w:val="00D46167"/>
    <w:rsid w:val="00D468A8"/>
    <w:rsid w:val="00D46D9F"/>
    <w:rsid w:val="00D46F85"/>
    <w:rsid w:val="00D47675"/>
    <w:rsid w:val="00D47C19"/>
    <w:rsid w:val="00D47F2C"/>
    <w:rsid w:val="00D5041B"/>
    <w:rsid w:val="00D50C91"/>
    <w:rsid w:val="00D50EA9"/>
    <w:rsid w:val="00D518D8"/>
    <w:rsid w:val="00D52094"/>
    <w:rsid w:val="00D5279E"/>
    <w:rsid w:val="00D529CD"/>
    <w:rsid w:val="00D52A80"/>
    <w:rsid w:val="00D52AE9"/>
    <w:rsid w:val="00D52C36"/>
    <w:rsid w:val="00D52E5E"/>
    <w:rsid w:val="00D53BBF"/>
    <w:rsid w:val="00D54237"/>
    <w:rsid w:val="00D5468E"/>
    <w:rsid w:val="00D55B21"/>
    <w:rsid w:val="00D56963"/>
    <w:rsid w:val="00D57490"/>
    <w:rsid w:val="00D5774F"/>
    <w:rsid w:val="00D57C56"/>
    <w:rsid w:val="00D57FB7"/>
    <w:rsid w:val="00D60680"/>
    <w:rsid w:val="00D60AC6"/>
    <w:rsid w:val="00D610B8"/>
    <w:rsid w:val="00D61B6F"/>
    <w:rsid w:val="00D62041"/>
    <w:rsid w:val="00D62254"/>
    <w:rsid w:val="00D622C4"/>
    <w:rsid w:val="00D627FE"/>
    <w:rsid w:val="00D62F51"/>
    <w:rsid w:val="00D633A6"/>
    <w:rsid w:val="00D644F6"/>
    <w:rsid w:val="00D65787"/>
    <w:rsid w:val="00D65BB8"/>
    <w:rsid w:val="00D66B53"/>
    <w:rsid w:val="00D66D39"/>
    <w:rsid w:val="00D679A4"/>
    <w:rsid w:val="00D7008D"/>
    <w:rsid w:val="00D70392"/>
    <w:rsid w:val="00D70638"/>
    <w:rsid w:val="00D7148C"/>
    <w:rsid w:val="00D728E1"/>
    <w:rsid w:val="00D72DAD"/>
    <w:rsid w:val="00D72EE8"/>
    <w:rsid w:val="00D7306B"/>
    <w:rsid w:val="00D73368"/>
    <w:rsid w:val="00D73B3C"/>
    <w:rsid w:val="00D73D1C"/>
    <w:rsid w:val="00D74392"/>
    <w:rsid w:val="00D74544"/>
    <w:rsid w:val="00D746D4"/>
    <w:rsid w:val="00D75928"/>
    <w:rsid w:val="00D76AB2"/>
    <w:rsid w:val="00D778AA"/>
    <w:rsid w:val="00D778E9"/>
    <w:rsid w:val="00D77DDD"/>
    <w:rsid w:val="00D808C8"/>
    <w:rsid w:val="00D80AB9"/>
    <w:rsid w:val="00D82E5D"/>
    <w:rsid w:val="00D830F7"/>
    <w:rsid w:val="00D8371B"/>
    <w:rsid w:val="00D83CEF"/>
    <w:rsid w:val="00D84098"/>
    <w:rsid w:val="00D84D0C"/>
    <w:rsid w:val="00D85068"/>
    <w:rsid w:val="00D851AA"/>
    <w:rsid w:val="00D85454"/>
    <w:rsid w:val="00D8727F"/>
    <w:rsid w:val="00D877E2"/>
    <w:rsid w:val="00D87893"/>
    <w:rsid w:val="00D87907"/>
    <w:rsid w:val="00D87D47"/>
    <w:rsid w:val="00D87E33"/>
    <w:rsid w:val="00D9018B"/>
    <w:rsid w:val="00D90A93"/>
    <w:rsid w:val="00D90DB1"/>
    <w:rsid w:val="00D924C1"/>
    <w:rsid w:val="00D93490"/>
    <w:rsid w:val="00D94178"/>
    <w:rsid w:val="00D95BBC"/>
    <w:rsid w:val="00D95CEE"/>
    <w:rsid w:val="00D960EA"/>
    <w:rsid w:val="00D9755D"/>
    <w:rsid w:val="00D97A0B"/>
    <w:rsid w:val="00D97E2B"/>
    <w:rsid w:val="00DA0651"/>
    <w:rsid w:val="00DA1140"/>
    <w:rsid w:val="00DA1763"/>
    <w:rsid w:val="00DA24C6"/>
    <w:rsid w:val="00DA28E9"/>
    <w:rsid w:val="00DA2973"/>
    <w:rsid w:val="00DA2CD4"/>
    <w:rsid w:val="00DA41D4"/>
    <w:rsid w:val="00DA4CDF"/>
    <w:rsid w:val="00DA524A"/>
    <w:rsid w:val="00DA59E9"/>
    <w:rsid w:val="00DA5BA3"/>
    <w:rsid w:val="00DA5D35"/>
    <w:rsid w:val="00DA6B56"/>
    <w:rsid w:val="00DA7383"/>
    <w:rsid w:val="00DA74F8"/>
    <w:rsid w:val="00DB06AB"/>
    <w:rsid w:val="00DB0805"/>
    <w:rsid w:val="00DB1860"/>
    <w:rsid w:val="00DB1C57"/>
    <w:rsid w:val="00DB2681"/>
    <w:rsid w:val="00DB2AA8"/>
    <w:rsid w:val="00DB2DED"/>
    <w:rsid w:val="00DB33AE"/>
    <w:rsid w:val="00DB3C29"/>
    <w:rsid w:val="00DB3EEA"/>
    <w:rsid w:val="00DB445B"/>
    <w:rsid w:val="00DB5113"/>
    <w:rsid w:val="00DB5812"/>
    <w:rsid w:val="00DB59A6"/>
    <w:rsid w:val="00DB6AD7"/>
    <w:rsid w:val="00DB7181"/>
    <w:rsid w:val="00DB7921"/>
    <w:rsid w:val="00DB7C2A"/>
    <w:rsid w:val="00DC037E"/>
    <w:rsid w:val="00DC05CB"/>
    <w:rsid w:val="00DC1967"/>
    <w:rsid w:val="00DC1CD4"/>
    <w:rsid w:val="00DC208C"/>
    <w:rsid w:val="00DC303E"/>
    <w:rsid w:val="00DC34C0"/>
    <w:rsid w:val="00DC3F35"/>
    <w:rsid w:val="00DC4429"/>
    <w:rsid w:val="00DC4FF7"/>
    <w:rsid w:val="00DC570A"/>
    <w:rsid w:val="00DC58B2"/>
    <w:rsid w:val="00DC5CF2"/>
    <w:rsid w:val="00DC5E64"/>
    <w:rsid w:val="00DC64AD"/>
    <w:rsid w:val="00DC64B2"/>
    <w:rsid w:val="00DC7868"/>
    <w:rsid w:val="00DC7C91"/>
    <w:rsid w:val="00DC7D0F"/>
    <w:rsid w:val="00DD1451"/>
    <w:rsid w:val="00DD16EF"/>
    <w:rsid w:val="00DD19FE"/>
    <w:rsid w:val="00DD1BF6"/>
    <w:rsid w:val="00DD1D22"/>
    <w:rsid w:val="00DD1D61"/>
    <w:rsid w:val="00DD248B"/>
    <w:rsid w:val="00DD2AB2"/>
    <w:rsid w:val="00DD33F1"/>
    <w:rsid w:val="00DD3707"/>
    <w:rsid w:val="00DD5F73"/>
    <w:rsid w:val="00DD789A"/>
    <w:rsid w:val="00DD7F09"/>
    <w:rsid w:val="00DE0204"/>
    <w:rsid w:val="00DE034A"/>
    <w:rsid w:val="00DE0B18"/>
    <w:rsid w:val="00DE1600"/>
    <w:rsid w:val="00DE160B"/>
    <w:rsid w:val="00DE17C9"/>
    <w:rsid w:val="00DE21F5"/>
    <w:rsid w:val="00DE2F32"/>
    <w:rsid w:val="00DE3999"/>
    <w:rsid w:val="00DE3A2D"/>
    <w:rsid w:val="00DE410F"/>
    <w:rsid w:val="00DE4292"/>
    <w:rsid w:val="00DE4DFC"/>
    <w:rsid w:val="00DE5743"/>
    <w:rsid w:val="00DE5FA6"/>
    <w:rsid w:val="00DE7EDE"/>
    <w:rsid w:val="00DF0F32"/>
    <w:rsid w:val="00DF15A7"/>
    <w:rsid w:val="00DF1821"/>
    <w:rsid w:val="00DF22FA"/>
    <w:rsid w:val="00DF23AD"/>
    <w:rsid w:val="00DF2BD0"/>
    <w:rsid w:val="00DF2FDA"/>
    <w:rsid w:val="00DF3C4D"/>
    <w:rsid w:val="00DF4225"/>
    <w:rsid w:val="00DF4374"/>
    <w:rsid w:val="00DF45A3"/>
    <w:rsid w:val="00DF4BC5"/>
    <w:rsid w:val="00DF5647"/>
    <w:rsid w:val="00DF59C9"/>
    <w:rsid w:val="00DF59DF"/>
    <w:rsid w:val="00DF5A8C"/>
    <w:rsid w:val="00DF5E9F"/>
    <w:rsid w:val="00DF65EF"/>
    <w:rsid w:val="00DF78DC"/>
    <w:rsid w:val="00DF7AD5"/>
    <w:rsid w:val="00E0014D"/>
    <w:rsid w:val="00E00338"/>
    <w:rsid w:val="00E00488"/>
    <w:rsid w:val="00E01A3C"/>
    <w:rsid w:val="00E01A8E"/>
    <w:rsid w:val="00E02395"/>
    <w:rsid w:val="00E03AE0"/>
    <w:rsid w:val="00E03D31"/>
    <w:rsid w:val="00E04520"/>
    <w:rsid w:val="00E04622"/>
    <w:rsid w:val="00E05998"/>
    <w:rsid w:val="00E064CC"/>
    <w:rsid w:val="00E06B55"/>
    <w:rsid w:val="00E06F28"/>
    <w:rsid w:val="00E070E1"/>
    <w:rsid w:val="00E07961"/>
    <w:rsid w:val="00E07974"/>
    <w:rsid w:val="00E079D0"/>
    <w:rsid w:val="00E103D8"/>
    <w:rsid w:val="00E10665"/>
    <w:rsid w:val="00E10BE3"/>
    <w:rsid w:val="00E10F8A"/>
    <w:rsid w:val="00E1116D"/>
    <w:rsid w:val="00E11C1F"/>
    <w:rsid w:val="00E1245A"/>
    <w:rsid w:val="00E12590"/>
    <w:rsid w:val="00E1263F"/>
    <w:rsid w:val="00E129B3"/>
    <w:rsid w:val="00E1475D"/>
    <w:rsid w:val="00E1488C"/>
    <w:rsid w:val="00E1666A"/>
    <w:rsid w:val="00E167B7"/>
    <w:rsid w:val="00E16F44"/>
    <w:rsid w:val="00E17F26"/>
    <w:rsid w:val="00E20240"/>
    <w:rsid w:val="00E20349"/>
    <w:rsid w:val="00E20371"/>
    <w:rsid w:val="00E21A33"/>
    <w:rsid w:val="00E2275A"/>
    <w:rsid w:val="00E22975"/>
    <w:rsid w:val="00E22A99"/>
    <w:rsid w:val="00E2316C"/>
    <w:rsid w:val="00E2351A"/>
    <w:rsid w:val="00E24101"/>
    <w:rsid w:val="00E2586B"/>
    <w:rsid w:val="00E25ECE"/>
    <w:rsid w:val="00E25EF2"/>
    <w:rsid w:val="00E2651E"/>
    <w:rsid w:val="00E277DF"/>
    <w:rsid w:val="00E279EB"/>
    <w:rsid w:val="00E30149"/>
    <w:rsid w:val="00E3016B"/>
    <w:rsid w:val="00E308E5"/>
    <w:rsid w:val="00E31250"/>
    <w:rsid w:val="00E3125C"/>
    <w:rsid w:val="00E3259B"/>
    <w:rsid w:val="00E329CB"/>
    <w:rsid w:val="00E3318F"/>
    <w:rsid w:val="00E33737"/>
    <w:rsid w:val="00E33E20"/>
    <w:rsid w:val="00E34DF7"/>
    <w:rsid w:val="00E35072"/>
    <w:rsid w:val="00E3525D"/>
    <w:rsid w:val="00E35680"/>
    <w:rsid w:val="00E35BC5"/>
    <w:rsid w:val="00E36579"/>
    <w:rsid w:val="00E36731"/>
    <w:rsid w:val="00E37489"/>
    <w:rsid w:val="00E37705"/>
    <w:rsid w:val="00E37AF2"/>
    <w:rsid w:val="00E37D6E"/>
    <w:rsid w:val="00E40645"/>
    <w:rsid w:val="00E40A9C"/>
    <w:rsid w:val="00E41DF3"/>
    <w:rsid w:val="00E41ED5"/>
    <w:rsid w:val="00E4222E"/>
    <w:rsid w:val="00E427D2"/>
    <w:rsid w:val="00E42C88"/>
    <w:rsid w:val="00E4310F"/>
    <w:rsid w:val="00E4326F"/>
    <w:rsid w:val="00E433A0"/>
    <w:rsid w:val="00E43A54"/>
    <w:rsid w:val="00E4485F"/>
    <w:rsid w:val="00E44C89"/>
    <w:rsid w:val="00E45584"/>
    <w:rsid w:val="00E45874"/>
    <w:rsid w:val="00E466FA"/>
    <w:rsid w:val="00E4756C"/>
    <w:rsid w:val="00E47926"/>
    <w:rsid w:val="00E47C6D"/>
    <w:rsid w:val="00E5059B"/>
    <w:rsid w:val="00E50D00"/>
    <w:rsid w:val="00E50E4E"/>
    <w:rsid w:val="00E51C9B"/>
    <w:rsid w:val="00E52F4C"/>
    <w:rsid w:val="00E53363"/>
    <w:rsid w:val="00E534C6"/>
    <w:rsid w:val="00E54020"/>
    <w:rsid w:val="00E54657"/>
    <w:rsid w:val="00E54D1B"/>
    <w:rsid w:val="00E5501C"/>
    <w:rsid w:val="00E553D5"/>
    <w:rsid w:val="00E5575F"/>
    <w:rsid w:val="00E5578F"/>
    <w:rsid w:val="00E56431"/>
    <w:rsid w:val="00E56A08"/>
    <w:rsid w:val="00E56DF3"/>
    <w:rsid w:val="00E57437"/>
    <w:rsid w:val="00E5791C"/>
    <w:rsid w:val="00E57F11"/>
    <w:rsid w:val="00E608F5"/>
    <w:rsid w:val="00E61353"/>
    <w:rsid w:val="00E614B2"/>
    <w:rsid w:val="00E628C6"/>
    <w:rsid w:val="00E62963"/>
    <w:rsid w:val="00E62FF5"/>
    <w:rsid w:val="00E631B8"/>
    <w:rsid w:val="00E63AC1"/>
    <w:rsid w:val="00E63B4F"/>
    <w:rsid w:val="00E6409D"/>
    <w:rsid w:val="00E65576"/>
    <w:rsid w:val="00E656F6"/>
    <w:rsid w:val="00E6587E"/>
    <w:rsid w:val="00E65AFB"/>
    <w:rsid w:val="00E65B50"/>
    <w:rsid w:val="00E65C53"/>
    <w:rsid w:val="00E65D7F"/>
    <w:rsid w:val="00E6679F"/>
    <w:rsid w:val="00E667E0"/>
    <w:rsid w:val="00E6682C"/>
    <w:rsid w:val="00E678DA"/>
    <w:rsid w:val="00E678FB"/>
    <w:rsid w:val="00E701A5"/>
    <w:rsid w:val="00E70591"/>
    <w:rsid w:val="00E7065A"/>
    <w:rsid w:val="00E70B86"/>
    <w:rsid w:val="00E70C5A"/>
    <w:rsid w:val="00E7101C"/>
    <w:rsid w:val="00E71106"/>
    <w:rsid w:val="00E711F5"/>
    <w:rsid w:val="00E7191A"/>
    <w:rsid w:val="00E7192C"/>
    <w:rsid w:val="00E72272"/>
    <w:rsid w:val="00E7249B"/>
    <w:rsid w:val="00E726DF"/>
    <w:rsid w:val="00E72DEF"/>
    <w:rsid w:val="00E73655"/>
    <w:rsid w:val="00E7464F"/>
    <w:rsid w:val="00E751DD"/>
    <w:rsid w:val="00E76457"/>
    <w:rsid w:val="00E779EB"/>
    <w:rsid w:val="00E8058E"/>
    <w:rsid w:val="00E80DB7"/>
    <w:rsid w:val="00E81B04"/>
    <w:rsid w:val="00E81B4E"/>
    <w:rsid w:val="00E82040"/>
    <w:rsid w:val="00E827AC"/>
    <w:rsid w:val="00E85E3D"/>
    <w:rsid w:val="00E85E6A"/>
    <w:rsid w:val="00E863AF"/>
    <w:rsid w:val="00E868EC"/>
    <w:rsid w:val="00E87D97"/>
    <w:rsid w:val="00E87E65"/>
    <w:rsid w:val="00E907BE"/>
    <w:rsid w:val="00E9099D"/>
    <w:rsid w:val="00E909EB"/>
    <w:rsid w:val="00E91618"/>
    <w:rsid w:val="00E91894"/>
    <w:rsid w:val="00E91D06"/>
    <w:rsid w:val="00E92074"/>
    <w:rsid w:val="00E9211C"/>
    <w:rsid w:val="00E9289C"/>
    <w:rsid w:val="00E93037"/>
    <w:rsid w:val="00E93C66"/>
    <w:rsid w:val="00E9493A"/>
    <w:rsid w:val="00E94B1F"/>
    <w:rsid w:val="00E955AC"/>
    <w:rsid w:val="00E9585B"/>
    <w:rsid w:val="00E95EEA"/>
    <w:rsid w:val="00E95F32"/>
    <w:rsid w:val="00E9613E"/>
    <w:rsid w:val="00E970A9"/>
    <w:rsid w:val="00E971B7"/>
    <w:rsid w:val="00E97448"/>
    <w:rsid w:val="00E97505"/>
    <w:rsid w:val="00E97588"/>
    <w:rsid w:val="00EA05FA"/>
    <w:rsid w:val="00EA16B6"/>
    <w:rsid w:val="00EA210E"/>
    <w:rsid w:val="00EA26B7"/>
    <w:rsid w:val="00EA2782"/>
    <w:rsid w:val="00EA2C0B"/>
    <w:rsid w:val="00EA2EFD"/>
    <w:rsid w:val="00EA2FD8"/>
    <w:rsid w:val="00EA3DB1"/>
    <w:rsid w:val="00EA4925"/>
    <w:rsid w:val="00EA4C9E"/>
    <w:rsid w:val="00EA625C"/>
    <w:rsid w:val="00EA64E3"/>
    <w:rsid w:val="00EA67FA"/>
    <w:rsid w:val="00EA69AD"/>
    <w:rsid w:val="00EA6BD8"/>
    <w:rsid w:val="00EA6CCC"/>
    <w:rsid w:val="00EA6FA1"/>
    <w:rsid w:val="00EA70D3"/>
    <w:rsid w:val="00EA71B6"/>
    <w:rsid w:val="00EA7CAF"/>
    <w:rsid w:val="00EB0E23"/>
    <w:rsid w:val="00EB1495"/>
    <w:rsid w:val="00EB195E"/>
    <w:rsid w:val="00EB2578"/>
    <w:rsid w:val="00EB2583"/>
    <w:rsid w:val="00EB2A78"/>
    <w:rsid w:val="00EB2B9A"/>
    <w:rsid w:val="00EB3127"/>
    <w:rsid w:val="00EB347E"/>
    <w:rsid w:val="00EB3597"/>
    <w:rsid w:val="00EB3971"/>
    <w:rsid w:val="00EB41B8"/>
    <w:rsid w:val="00EB4BD8"/>
    <w:rsid w:val="00EB57E9"/>
    <w:rsid w:val="00EB5B98"/>
    <w:rsid w:val="00EB609B"/>
    <w:rsid w:val="00EB68DF"/>
    <w:rsid w:val="00EB6EFC"/>
    <w:rsid w:val="00EB706E"/>
    <w:rsid w:val="00EB795C"/>
    <w:rsid w:val="00EB7CF3"/>
    <w:rsid w:val="00EB7E23"/>
    <w:rsid w:val="00EC0740"/>
    <w:rsid w:val="00EC1073"/>
    <w:rsid w:val="00EC22BC"/>
    <w:rsid w:val="00EC249C"/>
    <w:rsid w:val="00EC254E"/>
    <w:rsid w:val="00EC294A"/>
    <w:rsid w:val="00EC2C5C"/>
    <w:rsid w:val="00EC2E90"/>
    <w:rsid w:val="00EC3799"/>
    <w:rsid w:val="00EC4CDD"/>
    <w:rsid w:val="00EC513C"/>
    <w:rsid w:val="00EC6CC2"/>
    <w:rsid w:val="00EC7094"/>
    <w:rsid w:val="00EC7B29"/>
    <w:rsid w:val="00ED02AE"/>
    <w:rsid w:val="00ED05EF"/>
    <w:rsid w:val="00ED09FD"/>
    <w:rsid w:val="00ED0B05"/>
    <w:rsid w:val="00ED13A6"/>
    <w:rsid w:val="00ED18ED"/>
    <w:rsid w:val="00ED1FD4"/>
    <w:rsid w:val="00ED2306"/>
    <w:rsid w:val="00ED2CF0"/>
    <w:rsid w:val="00ED38DE"/>
    <w:rsid w:val="00ED3CA6"/>
    <w:rsid w:val="00ED3DC9"/>
    <w:rsid w:val="00ED4CD8"/>
    <w:rsid w:val="00ED4DF2"/>
    <w:rsid w:val="00ED538A"/>
    <w:rsid w:val="00ED5546"/>
    <w:rsid w:val="00ED5A71"/>
    <w:rsid w:val="00ED5AB3"/>
    <w:rsid w:val="00ED6990"/>
    <w:rsid w:val="00ED6BC5"/>
    <w:rsid w:val="00ED74BB"/>
    <w:rsid w:val="00EE04B8"/>
    <w:rsid w:val="00EE05AA"/>
    <w:rsid w:val="00EE0EC0"/>
    <w:rsid w:val="00EE0EFE"/>
    <w:rsid w:val="00EE1066"/>
    <w:rsid w:val="00EE1508"/>
    <w:rsid w:val="00EE1C66"/>
    <w:rsid w:val="00EE2E16"/>
    <w:rsid w:val="00EE3361"/>
    <w:rsid w:val="00EE4178"/>
    <w:rsid w:val="00EE45F0"/>
    <w:rsid w:val="00EE4B0A"/>
    <w:rsid w:val="00EE5DD5"/>
    <w:rsid w:val="00EE7068"/>
    <w:rsid w:val="00EE70A9"/>
    <w:rsid w:val="00EE73CC"/>
    <w:rsid w:val="00EE78EB"/>
    <w:rsid w:val="00EF0257"/>
    <w:rsid w:val="00EF0AD7"/>
    <w:rsid w:val="00EF0B30"/>
    <w:rsid w:val="00EF0E95"/>
    <w:rsid w:val="00EF1FEC"/>
    <w:rsid w:val="00EF2CCE"/>
    <w:rsid w:val="00EF2E36"/>
    <w:rsid w:val="00EF3867"/>
    <w:rsid w:val="00EF43B4"/>
    <w:rsid w:val="00EF45F4"/>
    <w:rsid w:val="00EF4C40"/>
    <w:rsid w:val="00EF58B2"/>
    <w:rsid w:val="00EF594A"/>
    <w:rsid w:val="00EF5A75"/>
    <w:rsid w:val="00EF5FDD"/>
    <w:rsid w:val="00EF66BD"/>
    <w:rsid w:val="00EF6F4E"/>
    <w:rsid w:val="00EF7297"/>
    <w:rsid w:val="00EF7BDB"/>
    <w:rsid w:val="00F000A3"/>
    <w:rsid w:val="00F000D0"/>
    <w:rsid w:val="00F01095"/>
    <w:rsid w:val="00F01602"/>
    <w:rsid w:val="00F01A10"/>
    <w:rsid w:val="00F01F82"/>
    <w:rsid w:val="00F02183"/>
    <w:rsid w:val="00F034B2"/>
    <w:rsid w:val="00F03900"/>
    <w:rsid w:val="00F03B2B"/>
    <w:rsid w:val="00F042AB"/>
    <w:rsid w:val="00F045F3"/>
    <w:rsid w:val="00F0508D"/>
    <w:rsid w:val="00F05439"/>
    <w:rsid w:val="00F05BAD"/>
    <w:rsid w:val="00F0620A"/>
    <w:rsid w:val="00F06443"/>
    <w:rsid w:val="00F06638"/>
    <w:rsid w:val="00F0678B"/>
    <w:rsid w:val="00F06E9C"/>
    <w:rsid w:val="00F07010"/>
    <w:rsid w:val="00F07495"/>
    <w:rsid w:val="00F07A51"/>
    <w:rsid w:val="00F07CC3"/>
    <w:rsid w:val="00F07E61"/>
    <w:rsid w:val="00F10594"/>
    <w:rsid w:val="00F10AF5"/>
    <w:rsid w:val="00F112EE"/>
    <w:rsid w:val="00F11542"/>
    <w:rsid w:val="00F11731"/>
    <w:rsid w:val="00F12032"/>
    <w:rsid w:val="00F124F0"/>
    <w:rsid w:val="00F1258F"/>
    <w:rsid w:val="00F1268F"/>
    <w:rsid w:val="00F12771"/>
    <w:rsid w:val="00F12F4A"/>
    <w:rsid w:val="00F1324C"/>
    <w:rsid w:val="00F13C32"/>
    <w:rsid w:val="00F140AD"/>
    <w:rsid w:val="00F140FE"/>
    <w:rsid w:val="00F150F9"/>
    <w:rsid w:val="00F1564C"/>
    <w:rsid w:val="00F15659"/>
    <w:rsid w:val="00F16BF1"/>
    <w:rsid w:val="00F17038"/>
    <w:rsid w:val="00F17A4C"/>
    <w:rsid w:val="00F17BDB"/>
    <w:rsid w:val="00F17CB8"/>
    <w:rsid w:val="00F2245B"/>
    <w:rsid w:val="00F23BDF"/>
    <w:rsid w:val="00F23F50"/>
    <w:rsid w:val="00F2459D"/>
    <w:rsid w:val="00F24677"/>
    <w:rsid w:val="00F25481"/>
    <w:rsid w:val="00F255FB"/>
    <w:rsid w:val="00F25F4D"/>
    <w:rsid w:val="00F26020"/>
    <w:rsid w:val="00F269F3"/>
    <w:rsid w:val="00F279B1"/>
    <w:rsid w:val="00F310C5"/>
    <w:rsid w:val="00F3150E"/>
    <w:rsid w:val="00F31C88"/>
    <w:rsid w:val="00F3205D"/>
    <w:rsid w:val="00F3255F"/>
    <w:rsid w:val="00F3258A"/>
    <w:rsid w:val="00F325C3"/>
    <w:rsid w:val="00F32EE6"/>
    <w:rsid w:val="00F337DF"/>
    <w:rsid w:val="00F33EFD"/>
    <w:rsid w:val="00F348DB"/>
    <w:rsid w:val="00F359AE"/>
    <w:rsid w:val="00F36DE4"/>
    <w:rsid w:val="00F370D3"/>
    <w:rsid w:val="00F3748F"/>
    <w:rsid w:val="00F37EC9"/>
    <w:rsid w:val="00F402CA"/>
    <w:rsid w:val="00F406A6"/>
    <w:rsid w:val="00F40FBA"/>
    <w:rsid w:val="00F419CC"/>
    <w:rsid w:val="00F42156"/>
    <w:rsid w:val="00F42522"/>
    <w:rsid w:val="00F42879"/>
    <w:rsid w:val="00F42C45"/>
    <w:rsid w:val="00F43590"/>
    <w:rsid w:val="00F43E8D"/>
    <w:rsid w:val="00F45240"/>
    <w:rsid w:val="00F457C3"/>
    <w:rsid w:val="00F45845"/>
    <w:rsid w:val="00F467FB"/>
    <w:rsid w:val="00F46899"/>
    <w:rsid w:val="00F469A4"/>
    <w:rsid w:val="00F47440"/>
    <w:rsid w:val="00F514BD"/>
    <w:rsid w:val="00F5152F"/>
    <w:rsid w:val="00F51858"/>
    <w:rsid w:val="00F51EBE"/>
    <w:rsid w:val="00F523B3"/>
    <w:rsid w:val="00F5249F"/>
    <w:rsid w:val="00F5275E"/>
    <w:rsid w:val="00F53DFF"/>
    <w:rsid w:val="00F54692"/>
    <w:rsid w:val="00F548AB"/>
    <w:rsid w:val="00F54D6F"/>
    <w:rsid w:val="00F54E2B"/>
    <w:rsid w:val="00F5501B"/>
    <w:rsid w:val="00F567AD"/>
    <w:rsid w:val="00F57B92"/>
    <w:rsid w:val="00F601E7"/>
    <w:rsid w:val="00F610EF"/>
    <w:rsid w:val="00F6144B"/>
    <w:rsid w:val="00F62821"/>
    <w:rsid w:val="00F62C61"/>
    <w:rsid w:val="00F62FD2"/>
    <w:rsid w:val="00F64070"/>
    <w:rsid w:val="00F642AF"/>
    <w:rsid w:val="00F64A90"/>
    <w:rsid w:val="00F64C41"/>
    <w:rsid w:val="00F64E43"/>
    <w:rsid w:val="00F654B1"/>
    <w:rsid w:val="00F66545"/>
    <w:rsid w:val="00F66855"/>
    <w:rsid w:val="00F668A1"/>
    <w:rsid w:val="00F66CAA"/>
    <w:rsid w:val="00F67B91"/>
    <w:rsid w:val="00F67F65"/>
    <w:rsid w:val="00F70020"/>
    <w:rsid w:val="00F7053E"/>
    <w:rsid w:val="00F70E0F"/>
    <w:rsid w:val="00F71272"/>
    <w:rsid w:val="00F726B2"/>
    <w:rsid w:val="00F739F2"/>
    <w:rsid w:val="00F73A66"/>
    <w:rsid w:val="00F73D0E"/>
    <w:rsid w:val="00F73F3A"/>
    <w:rsid w:val="00F7408C"/>
    <w:rsid w:val="00F740F7"/>
    <w:rsid w:val="00F743EA"/>
    <w:rsid w:val="00F7494C"/>
    <w:rsid w:val="00F757B8"/>
    <w:rsid w:val="00F76E9A"/>
    <w:rsid w:val="00F77770"/>
    <w:rsid w:val="00F77D4D"/>
    <w:rsid w:val="00F77E06"/>
    <w:rsid w:val="00F80843"/>
    <w:rsid w:val="00F81BAA"/>
    <w:rsid w:val="00F81D56"/>
    <w:rsid w:val="00F81FDA"/>
    <w:rsid w:val="00F82889"/>
    <w:rsid w:val="00F8311C"/>
    <w:rsid w:val="00F83C22"/>
    <w:rsid w:val="00F83CA9"/>
    <w:rsid w:val="00F84340"/>
    <w:rsid w:val="00F859A3"/>
    <w:rsid w:val="00F871E5"/>
    <w:rsid w:val="00F87660"/>
    <w:rsid w:val="00F878B3"/>
    <w:rsid w:val="00F90671"/>
    <w:rsid w:val="00F906E2"/>
    <w:rsid w:val="00F9076C"/>
    <w:rsid w:val="00F90B14"/>
    <w:rsid w:val="00F90F08"/>
    <w:rsid w:val="00F932A7"/>
    <w:rsid w:val="00F93618"/>
    <w:rsid w:val="00F93A51"/>
    <w:rsid w:val="00F94298"/>
    <w:rsid w:val="00F948B3"/>
    <w:rsid w:val="00F9558C"/>
    <w:rsid w:val="00F955E4"/>
    <w:rsid w:val="00F956B3"/>
    <w:rsid w:val="00F95F0C"/>
    <w:rsid w:val="00F961EA"/>
    <w:rsid w:val="00F974C9"/>
    <w:rsid w:val="00FA0C2A"/>
    <w:rsid w:val="00FA2114"/>
    <w:rsid w:val="00FA241E"/>
    <w:rsid w:val="00FA2550"/>
    <w:rsid w:val="00FA33B3"/>
    <w:rsid w:val="00FA348B"/>
    <w:rsid w:val="00FA37AE"/>
    <w:rsid w:val="00FA531F"/>
    <w:rsid w:val="00FA583A"/>
    <w:rsid w:val="00FA5A36"/>
    <w:rsid w:val="00FA5AD7"/>
    <w:rsid w:val="00FA5DB2"/>
    <w:rsid w:val="00FA66F1"/>
    <w:rsid w:val="00FA69D9"/>
    <w:rsid w:val="00FA6FF5"/>
    <w:rsid w:val="00FA70E6"/>
    <w:rsid w:val="00FA78E0"/>
    <w:rsid w:val="00FA7DDE"/>
    <w:rsid w:val="00FB06CC"/>
    <w:rsid w:val="00FB2214"/>
    <w:rsid w:val="00FB27E6"/>
    <w:rsid w:val="00FB2937"/>
    <w:rsid w:val="00FB2F3F"/>
    <w:rsid w:val="00FB2F82"/>
    <w:rsid w:val="00FB3213"/>
    <w:rsid w:val="00FB3B00"/>
    <w:rsid w:val="00FB3F28"/>
    <w:rsid w:val="00FB430E"/>
    <w:rsid w:val="00FB64A7"/>
    <w:rsid w:val="00FC0A3F"/>
    <w:rsid w:val="00FC0E41"/>
    <w:rsid w:val="00FC1133"/>
    <w:rsid w:val="00FC1826"/>
    <w:rsid w:val="00FC1B3F"/>
    <w:rsid w:val="00FC1FE3"/>
    <w:rsid w:val="00FC215C"/>
    <w:rsid w:val="00FC2742"/>
    <w:rsid w:val="00FC3B6C"/>
    <w:rsid w:val="00FC4404"/>
    <w:rsid w:val="00FC45B9"/>
    <w:rsid w:val="00FC5B26"/>
    <w:rsid w:val="00FC5F48"/>
    <w:rsid w:val="00FC6052"/>
    <w:rsid w:val="00FC6D76"/>
    <w:rsid w:val="00FC7163"/>
    <w:rsid w:val="00FC7373"/>
    <w:rsid w:val="00FC762D"/>
    <w:rsid w:val="00FD146F"/>
    <w:rsid w:val="00FD1574"/>
    <w:rsid w:val="00FD1AE0"/>
    <w:rsid w:val="00FD1BD9"/>
    <w:rsid w:val="00FD223B"/>
    <w:rsid w:val="00FD32B9"/>
    <w:rsid w:val="00FD394B"/>
    <w:rsid w:val="00FD41CA"/>
    <w:rsid w:val="00FD434A"/>
    <w:rsid w:val="00FD479D"/>
    <w:rsid w:val="00FD4A65"/>
    <w:rsid w:val="00FD54E5"/>
    <w:rsid w:val="00FD555D"/>
    <w:rsid w:val="00FD72BC"/>
    <w:rsid w:val="00FD7417"/>
    <w:rsid w:val="00FD77BA"/>
    <w:rsid w:val="00FD79F3"/>
    <w:rsid w:val="00FD7F65"/>
    <w:rsid w:val="00FD7FE0"/>
    <w:rsid w:val="00FE01E2"/>
    <w:rsid w:val="00FE2397"/>
    <w:rsid w:val="00FE2781"/>
    <w:rsid w:val="00FE2BB4"/>
    <w:rsid w:val="00FE37F9"/>
    <w:rsid w:val="00FE3FE7"/>
    <w:rsid w:val="00FE4B23"/>
    <w:rsid w:val="00FE4C85"/>
    <w:rsid w:val="00FE50ED"/>
    <w:rsid w:val="00FE53BC"/>
    <w:rsid w:val="00FE5A00"/>
    <w:rsid w:val="00FE5D10"/>
    <w:rsid w:val="00FE67D2"/>
    <w:rsid w:val="00FE6D09"/>
    <w:rsid w:val="00FE7C93"/>
    <w:rsid w:val="00FF0F5D"/>
    <w:rsid w:val="00FF1AC5"/>
    <w:rsid w:val="00FF1ACF"/>
    <w:rsid w:val="00FF2265"/>
    <w:rsid w:val="00FF2DFD"/>
    <w:rsid w:val="00FF36AC"/>
    <w:rsid w:val="00FF3BD5"/>
    <w:rsid w:val="00FF5B4B"/>
    <w:rsid w:val="00FF5ECC"/>
    <w:rsid w:val="00FF60C6"/>
    <w:rsid w:val="00FF6317"/>
    <w:rsid w:val="00FF6692"/>
    <w:rsid w:val="00FF67A5"/>
    <w:rsid w:val="00FF68D0"/>
    <w:rsid w:val="00FF7371"/>
    <w:rsid w:val="00FF74D0"/>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98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BF7"/>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190BF7"/>
    <w:pPr>
      <w:keepNext/>
      <w:spacing w:before="140" w:line="240" w:lineRule="atLeast"/>
      <w:jc w:val="center"/>
      <w:outlineLvl w:val="0"/>
    </w:pPr>
    <w:rPr>
      <w:b/>
      <w:smallCaps/>
    </w:rPr>
  </w:style>
  <w:style w:type="paragraph" w:styleId="Heading2">
    <w:name w:val="heading 2"/>
    <w:basedOn w:val="Normal"/>
    <w:next w:val="Normal"/>
    <w:link w:val="Heading2Char"/>
    <w:qFormat/>
    <w:rsid w:val="00190BF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190BF7"/>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190BF7"/>
    <w:pPr>
      <w:keepNext/>
      <w:tabs>
        <w:tab w:val="left" w:pos="2016"/>
      </w:tabs>
      <w:spacing w:before="140" w:line="240" w:lineRule="atLeast"/>
      <w:ind w:left="2016" w:hanging="432"/>
      <w:jc w:val="left"/>
      <w:outlineLvl w:val="3"/>
    </w:pPr>
    <w:rPr>
      <w:i/>
    </w:rPr>
  </w:style>
  <w:style w:type="paragraph" w:styleId="Heading5">
    <w:name w:val="heading 5"/>
    <w:basedOn w:val="Normal"/>
    <w:rsid w:val="00190BF7"/>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190BF7"/>
    <w:pPr>
      <w:ind w:left="720"/>
    </w:pPr>
  </w:style>
  <w:style w:type="paragraph" w:styleId="Footer">
    <w:name w:val="footer"/>
    <w:basedOn w:val="Normal"/>
    <w:qFormat/>
    <w:rsid w:val="00190BF7"/>
    <w:pPr>
      <w:tabs>
        <w:tab w:val="center" w:pos="3960"/>
        <w:tab w:val="right" w:pos="10080"/>
      </w:tabs>
      <w:spacing w:after="0" w:line="240" w:lineRule="auto"/>
      <w:jc w:val="center"/>
    </w:pPr>
    <w:rPr>
      <w:sz w:val="22"/>
    </w:rPr>
  </w:style>
  <w:style w:type="paragraph" w:styleId="Header">
    <w:name w:val="header"/>
    <w:basedOn w:val="Normal"/>
    <w:qFormat/>
    <w:rsid w:val="00190BF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190BF7"/>
    <w:rPr>
      <w:rFonts w:ascii="Century Schoolbook" w:hAnsi="Century Schoolbook"/>
      <w:b/>
      <w:i w:val="0"/>
      <w:position w:val="4"/>
      <w:sz w:val="27"/>
      <w:vertAlign w:val="superscript"/>
    </w:rPr>
  </w:style>
  <w:style w:type="paragraph" w:styleId="FootnoteText">
    <w:name w:val="footnote text"/>
    <w:basedOn w:val="Normal"/>
    <w:link w:val="FootnoteTextChar"/>
    <w:rsid w:val="00190BF7"/>
    <w:pPr>
      <w:spacing w:line="300" w:lineRule="exact"/>
    </w:pPr>
  </w:style>
  <w:style w:type="paragraph" w:customStyle="1" w:styleId="Title1">
    <w:name w:val="Title1"/>
    <w:basedOn w:val="Normal"/>
    <w:rsid w:val="00190BF7"/>
    <w:pPr>
      <w:tabs>
        <w:tab w:val="left" w:pos="5760"/>
        <w:tab w:val="left" w:pos="6480"/>
      </w:tabs>
      <w:spacing w:line="240" w:lineRule="atLeast"/>
    </w:pPr>
  </w:style>
  <w:style w:type="paragraph" w:customStyle="1" w:styleId="Recommend">
    <w:name w:val="Recommend"/>
    <w:basedOn w:val="Normal"/>
    <w:rsid w:val="00190BF7"/>
  </w:style>
  <w:style w:type="paragraph" w:customStyle="1" w:styleId="Summary">
    <w:name w:val="Summary"/>
    <w:basedOn w:val="Normal"/>
    <w:rsid w:val="00190BF7"/>
    <w:pPr>
      <w:ind w:left="2160" w:hanging="2160"/>
    </w:pPr>
  </w:style>
  <w:style w:type="paragraph" w:customStyle="1" w:styleId="Text">
    <w:name w:val="Text"/>
    <w:basedOn w:val="Normal"/>
    <w:rsid w:val="00190BF7"/>
    <w:pPr>
      <w:tabs>
        <w:tab w:val="left" w:pos="720"/>
        <w:tab w:val="left" w:pos="1440"/>
        <w:tab w:val="left" w:pos="2160"/>
        <w:tab w:val="center" w:pos="4320"/>
      </w:tabs>
      <w:spacing w:line="480" w:lineRule="atLeast"/>
      <w:ind w:firstLine="540"/>
    </w:pPr>
  </w:style>
  <w:style w:type="paragraph" w:styleId="Date">
    <w:name w:val="Date"/>
    <w:basedOn w:val="Normal"/>
    <w:semiHidden/>
    <w:rsid w:val="00190BF7"/>
    <w:pPr>
      <w:jc w:val="right"/>
    </w:pPr>
  </w:style>
  <w:style w:type="character" w:styleId="PageNumber">
    <w:name w:val="page number"/>
    <w:basedOn w:val="DefaultParagraphFont"/>
    <w:semiHidden/>
    <w:rsid w:val="00190BF7"/>
  </w:style>
  <w:style w:type="paragraph" w:customStyle="1" w:styleId="subject">
    <w:name w:val="subject"/>
    <w:basedOn w:val="Normal"/>
    <w:rsid w:val="00190BF7"/>
    <w:pPr>
      <w:tabs>
        <w:tab w:val="left" w:pos="1008"/>
      </w:tabs>
      <w:ind w:left="990" w:hanging="990"/>
    </w:pPr>
    <w:rPr>
      <w:b/>
    </w:rPr>
  </w:style>
  <w:style w:type="paragraph" w:customStyle="1" w:styleId="Titles">
    <w:name w:val="Titles"/>
    <w:basedOn w:val="Normal"/>
    <w:rsid w:val="00190BF7"/>
    <w:pPr>
      <w:tabs>
        <w:tab w:val="left" w:pos="2160"/>
      </w:tabs>
      <w:ind w:left="2160" w:hanging="2160"/>
    </w:pPr>
    <w:rPr>
      <w:b/>
    </w:rPr>
  </w:style>
  <w:style w:type="paragraph" w:styleId="TOAHeading">
    <w:name w:val="toa heading"/>
    <w:basedOn w:val="Normal"/>
    <w:next w:val="Normal"/>
    <w:semiHidden/>
    <w:rsid w:val="00190BF7"/>
    <w:pPr>
      <w:spacing w:before="120"/>
    </w:pPr>
    <w:rPr>
      <w:b/>
    </w:rPr>
  </w:style>
  <w:style w:type="paragraph" w:styleId="TOC1">
    <w:name w:val="toc 1"/>
    <w:basedOn w:val="Normal"/>
    <w:next w:val="Normal"/>
    <w:autoRedefine/>
    <w:semiHidden/>
    <w:rsid w:val="00190BF7"/>
  </w:style>
  <w:style w:type="paragraph" w:styleId="TOC2">
    <w:name w:val="toc 2"/>
    <w:basedOn w:val="Normal"/>
    <w:next w:val="Normal"/>
    <w:autoRedefine/>
    <w:semiHidden/>
    <w:rsid w:val="00190BF7"/>
    <w:pPr>
      <w:ind w:left="259"/>
    </w:pPr>
  </w:style>
  <w:style w:type="paragraph" w:styleId="TOC3">
    <w:name w:val="toc 3"/>
    <w:basedOn w:val="Normal"/>
    <w:next w:val="Normal"/>
    <w:autoRedefine/>
    <w:semiHidden/>
    <w:rsid w:val="00190BF7"/>
    <w:pPr>
      <w:ind w:left="520"/>
    </w:pPr>
  </w:style>
  <w:style w:type="paragraph" w:styleId="TOC4">
    <w:name w:val="toc 4"/>
    <w:basedOn w:val="Normal"/>
    <w:next w:val="Normal"/>
    <w:autoRedefine/>
    <w:semiHidden/>
    <w:rsid w:val="00190BF7"/>
    <w:pPr>
      <w:ind w:left="780"/>
    </w:pPr>
  </w:style>
  <w:style w:type="paragraph" w:styleId="TOC5">
    <w:name w:val="toc 5"/>
    <w:basedOn w:val="Normal"/>
    <w:next w:val="Normal"/>
    <w:autoRedefine/>
    <w:semiHidden/>
    <w:rsid w:val="00190BF7"/>
    <w:pPr>
      <w:ind w:left="1040"/>
    </w:pPr>
  </w:style>
  <w:style w:type="paragraph" w:styleId="TOC6">
    <w:name w:val="toc 6"/>
    <w:basedOn w:val="Normal"/>
    <w:next w:val="Normal"/>
    <w:autoRedefine/>
    <w:semiHidden/>
    <w:rsid w:val="00190BF7"/>
    <w:pPr>
      <w:ind w:left="1300"/>
    </w:pPr>
  </w:style>
  <w:style w:type="paragraph" w:styleId="TOC7">
    <w:name w:val="toc 7"/>
    <w:basedOn w:val="Normal"/>
    <w:next w:val="Normal"/>
    <w:autoRedefine/>
    <w:semiHidden/>
    <w:rsid w:val="00190BF7"/>
    <w:pPr>
      <w:ind w:left="1560"/>
    </w:pPr>
  </w:style>
  <w:style w:type="paragraph" w:styleId="TOC8">
    <w:name w:val="toc 8"/>
    <w:basedOn w:val="Normal"/>
    <w:next w:val="Normal"/>
    <w:autoRedefine/>
    <w:semiHidden/>
    <w:rsid w:val="00190BF7"/>
    <w:pPr>
      <w:ind w:left="1820"/>
    </w:pPr>
  </w:style>
  <w:style w:type="paragraph" w:styleId="TOC9">
    <w:name w:val="toc 9"/>
    <w:basedOn w:val="Normal"/>
    <w:next w:val="Normal"/>
    <w:autoRedefine/>
    <w:semiHidden/>
    <w:rsid w:val="00190BF7"/>
    <w:pPr>
      <w:ind w:left="2080"/>
    </w:pPr>
  </w:style>
  <w:style w:type="paragraph" w:customStyle="1" w:styleId="Contents">
    <w:name w:val="Contents"/>
    <w:basedOn w:val="Normal"/>
    <w:rsid w:val="00190BF7"/>
    <w:pPr>
      <w:jc w:val="center"/>
    </w:pPr>
    <w:rPr>
      <w:b/>
      <w:spacing w:val="100"/>
    </w:rPr>
  </w:style>
  <w:style w:type="character" w:customStyle="1" w:styleId="Heading1Char">
    <w:name w:val="Heading 1 Char"/>
    <w:basedOn w:val="DefaultParagraphFont"/>
    <w:link w:val="Heading1"/>
    <w:rsid w:val="00733089"/>
    <w:rPr>
      <w:rFonts w:ascii="Century Schoolbook" w:hAnsi="Century Schoolbook"/>
      <w:b/>
      <w:smallCaps/>
      <w:sz w:val="27"/>
    </w:rPr>
  </w:style>
  <w:style w:type="character" w:customStyle="1" w:styleId="Heading2Char">
    <w:name w:val="Heading 2 Char"/>
    <w:basedOn w:val="DefaultParagraphFont"/>
    <w:link w:val="Heading2"/>
    <w:rsid w:val="00733089"/>
    <w:rPr>
      <w:rFonts w:ascii="Century Schoolbook" w:hAnsi="Century Schoolbook"/>
      <w:b/>
      <w:sz w:val="27"/>
    </w:rPr>
  </w:style>
  <w:style w:type="character" w:customStyle="1" w:styleId="Heading3Char">
    <w:name w:val="Heading 3 Char"/>
    <w:basedOn w:val="DefaultParagraphFont"/>
    <w:link w:val="Heading3"/>
    <w:rsid w:val="00733089"/>
    <w:rPr>
      <w:rFonts w:ascii="Century Schoolbook" w:hAnsi="Century Schoolbook"/>
      <w:i/>
      <w:sz w:val="27"/>
    </w:rPr>
  </w:style>
  <w:style w:type="character" w:customStyle="1" w:styleId="Heading4Char">
    <w:name w:val="Heading 4 Char"/>
    <w:basedOn w:val="DefaultParagraphFont"/>
    <w:link w:val="Heading4"/>
    <w:rsid w:val="00733089"/>
    <w:rPr>
      <w:rFonts w:ascii="Century Schoolbook" w:hAnsi="Century Schoolbook"/>
      <w:i/>
      <w:sz w:val="27"/>
    </w:rPr>
  </w:style>
  <w:style w:type="paragraph" w:styleId="ListParagraph">
    <w:name w:val="List Paragraph"/>
    <w:basedOn w:val="Normal"/>
    <w:uiPriority w:val="34"/>
    <w:qFormat/>
    <w:rsid w:val="00733089"/>
    <w:pPr>
      <w:ind w:left="720"/>
      <w:contextualSpacing/>
    </w:pPr>
  </w:style>
  <w:style w:type="character" w:customStyle="1" w:styleId="cohl">
    <w:name w:val="co_hl"/>
    <w:basedOn w:val="DefaultParagraphFont"/>
    <w:rsid w:val="00B03BBA"/>
  </w:style>
  <w:style w:type="character" w:styleId="Emphasis">
    <w:name w:val="Emphasis"/>
    <w:basedOn w:val="DefaultParagraphFont"/>
    <w:uiPriority w:val="20"/>
    <w:qFormat/>
    <w:rsid w:val="00721CDF"/>
    <w:rPr>
      <w:i/>
      <w:iCs/>
    </w:rPr>
  </w:style>
  <w:style w:type="character" w:customStyle="1" w:styleId="cosearchterm">
    <w:name w:val="co_searchterm"/>
    <w:basedOn w:val="DefaultParagraphFont"/>
    <w:rsid w:val="00FB2937"/>
  </w:style>
  <w:style w:type="character" w:styleId="Hyperlink">
    <w:name w:val="Hyperlink"/>
    <w:basedOn w:val="DefaultParagraphFont"/>
    <w:uiPriority w:val="99"/>
    <w:unhideWhenUsed/>
    <w:rsid w:val="00FB2937"/>
    <w:rPr>
      <w:color w:val="0000FF"/>
      <w:u w:val="single"/>
    </w:rPr>
  </w:style>
  <w:style w:type="character" w:customStyle="1" w:styleId="FootnoteTextChar">
    <w:name w:val="Footnote Text Char"/>
    <w:basedOn w:val="DefaultParagraphFont"/>
    <w:link w:val="FootnoteText"/>
    <w:rsid w:val="00112D3B"/>
    <w:rPr>
      <w:rFonts w:ascii="Century Schoolbook" w:hAnsi="Century Schoolbook"/>
      <w:sz w:val="27"/>
    </w:rPr>
  </w:style>
  <w:style w:type="paragraph" w:styleId="CommentText">
    <w:name w:val="annotation text"/>
    <w:basedOn w:val="Normal"/>
    <w:link w:val="CommentTextChar"/>
    <w:uiPriority w:val="99"/>
    <w:unhideWhenUsed/>
    <w:rsid w:val="00DF65EF"/>
    <w:rPr>
      <w:rFonts w:asciiTheme="minorHAnsi" w:eastAsiaTheme="minorHAnsi" w:hAnsiTheme="minorHAnsi"/>
      <w:sz w:val="20"/>
    </w:rPr>
  </w:style>
  <w:style w:type="character" w:customStyle="1" w:styleId="CommentTextChar">
    <w:name w:val="Comment Text Char"/>
    <w:basedOn w:val="DefaultParagraphFont"/>
    <w:link w:val="CommentText"/>
    <w:uiPriority w:val="99"/>
    <w:rsid w:val="00DF65EF"/>
    <w:rPr>
      <w:rFonts w:asciiTheme="minorHAnsi" w:eastAsiaTheme="minorHAnsi" w:hAnsiTheme="minorHAnsi"/>
    </w:rPr>
  </w:style>
  <w:style w:type="character" w:styleId="CommentReference">
    <w:name w:val="annotation reference"/>
    <w:basedOn w:val="DefaultParagraphFont"/>
    <w:uiPriority w:val="99"/>
    <w:semiHidden/>
    <w:unhideWhenUsed/>
    <w:rsid w:val="00A51461"/>
    <w:rPr>
      <w:sz w:val="16"/>
      <w:szCs w:val="16"/>
    </w:rPr>
  </w:style>
  <w:style w:type="character" w:customStyle="1" w:styleId="costarpage">
    <w:name w:val="co_starpage"/>
    <w:basedOn w:val="DefaultParagraphFont"/>
    <w:rsid w:val="00307095"/>
  </w:style>
  <w:style w:type="character" w:styleId="UnresolvedMention">
    <w:name w:val="Unresolved Mention"/>
    <w:basedOn w:val="DefaultParagraphFont"/>
    <w:uiPriority w:val="99"/>
    <w:semiHidden/>
    <w:unhideWhenUsed/>
    <w:rsid w:val="00EE417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6CD8"/>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166CD8"/>
    <w:rPr>
      <w:rFonts w:asciiTheme="minorHAnsi" w:eastAsiaTheme="minorHAnsi" w:hAnsiTheme="minorHAnsi"/>
      <w:b/>
      <w:bCs/>
    </w:rPr>
  </w:style>
  <w:style w:type="character" w:styleId="FollowedHyperlink">
    <w:name w:val="FollowedHyperlink"/>
    <w:basedOn w:val="DefaultParagraphFont"/>
    <w:uiPriority w:val="99"/>
    <w:semiHidden/>
    <w:unhideWhenUsed/>
    <w:rsid w:val="00BD3DF8"/>
    <w:rPr>
      <w:color w:val="800080" w:themeColor="followedHyperlink"/>
      <w:u w:val="single"/>
    </w:rPr>
  </w:style>
  <w:style w:type="character" w:customStyle="1" w:styleId="coconcept117">
    <w:name w:val="co_concept_1_17"/>
    <w:basedOn w:val="DefaultParagraphFont"/>
    <w:rsid w:val="007621A3"/>
  </w:style>
  <w:style w:type="paragraph" w:styleId="Revision">
    <w:name w:val="Revision"/>
    <w:hidden/>
    <w:uiPriority w:val="99"/>
    <w:semiHidden/>
    <w:rsid w:val="00D0222A"/>
    <w:rPr>
      <w:sz w:val="26"/>
    </w:rPr>
  </w:style>
  <w:style w:type="paragraph" w:styleId="BodyText">
    <w:name w:val="Body Text"/>
    <w:basedOn w:val="Normal"/>
    <w:link w:val="BodyTextChar"/>
    <w:qFormat/>
    <w:rsid w:val="00190BF7"/>
  </w:style>
  <w:style w:type="character" w:customStyle="1" w:styleId="BodyTextChar">
    <w:name w:val="Body Text Char"/>
    <w:basedOn w:val="DefaultParagraphFont"/>
    <w:link w:val="BodyText"/>
    <w:rsid w:val="00190BF7"/>
    <w:rPr>
      <w:rFonts w:ascii="Century Schoolbook" w:hAnsi="Century Schoolbook"/>
      <w:sz w:val="27"/>
    </w:rPr>
  </w:style>
  <w:style w:type="character" w:customStyle="1" w:styleId="DeltaViewInsertion">
    <w:name w:val="DeltaView Insertion"/>
    <w:uiPriority w:val="99"/>
    <w:rsid w:val="00F66545"/>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7170">
      <w:bodyDiv w:val="1"/>
      <w:marLeft w:val="0"/>
      <w:marRight w:val="0"/>
      <w:marTop w:val="0"/>
      <w:marBottom w:val="0"/>
      <w:divBdr>
        <w:top w:val="none" w:sz="0" w:space="0" w:color="auto"/>
        <w:left w:val="none" w:sz="0" w:space="0" w:color="auto"/>
        <w:bottom w:val="none" w:sz="0" w:space="0" w:color="auto"/>
        <w:right w:val="none" w:sz="0" w:space="0" w:color="auto"/>
      </w:divBdr>
      <w:divsChild>
        <w:div w:id="337082763">
          <w:marLeft w:val="0"/>
          <w:marRight w:val="0"/>
          <w:marTop w:val="0"/>
          <w:marBottom w:val="0"/>
          <w:divBdr>
            <w:top w:val="none" w:sz="0" w:space="0" w:color="3D3D3D"/>
            <w:left w:val="none" w:sz="0" w:space="0" w:color="3D3D3D"/>
            <w:bottom w:val="none" w:sz="0" w:space="0" w:color="3D3D3D"/>
            <w:right w:val="none" w:sz="0" w:space="0" w:color="3D3D3D"/>
          </w:divBdr>
          <w:divsChild>
            <w:div w:id="149317601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6168418">
      <w:bodyDiv w:val="1"/>
      <w:marLeft w:val="0"/>
      <w:marRight w:val="0"/>
      <w:marTop w:val="0"/>
      <w:marBottom w:val="0"/>
      <w:divBdr>
        <w:top w:val="none" w:sz="0" w:space="0" w:color="auto"/>
        <w:left w:val="none" w:sz="0" w:space="0" w:color="auto"/>
        <w:bottom w:val="none" w:sz="0" w:space="0" w:color="auto"/>
        <w:right w:val="none" w:sz="0" w:space="0" w:color="auto"/>
      </w:divBdr>
      <w:divsChild>
        <w:div w:id="1242374440">
          <w:marLeft w:val="0"/>
          <w:marRight w:val="0"/>
          <w:marTop w:val="0"/>
          <w:marBottom w:val="0"/>
          <w:divBdr>
            <w:top w:val="none" w:sz="0" w:space="0" w:color="auto"/>
            <w:left w:val="none" w:sz="0" w:space="0" w:color="auto"/>
            <w:bottom w:val="none" w:sz="0" w:space="0" w:color="auto"/>
            <w:right w:val="none" w:sz="0" w:space="0" w:color="auto"/>
          </w:divBdr>
        </w:div>
      </w:divsChild>
    </w:div>
    <w:div w:id="56444357">
      <w:bodyDiv w:val="1"/>
      <w:marLeft w:val="0"/>
      <w:marRight w:val="0"/>
      <w:marTop w:val="0"/>
      <w:marBottom w:val="0"/>
      <w:divBdr>
        <w:top w:val="none" w:sz="0" w:space="0" w:color="auto"/>
        <w:left w:val="none" w:sz="0" w:space="0" w:color="auto"/>
        <w:bottom w:val="none" w:sz="0" w:space="0" w:color="auto"/>
        <w:right w:val="none" w:sz="0" w:space="0" w:color="auto"/>
      </w:divBdr>
      <w:divsChild>
        <w:div w:id="2000225714">
          <w:marLeft w:val="0"/>
          <w:marRight w:val="0"/>
          <w:marTop w:val="0"/>
          <w:marBottom w:val="0"/>
          <w:divBdr>
            <w:top w:val="none" w:sz="0" w:space="0" w:color="auto"/>
            <w:left w:val="none" w:sz="0" w:space="0" w:color="auto"/>
            <w:bottom w:val="none" w:sz="0" w:space="0" w:color="auto"/>
            <w:right w:val="none" w:sz="0" w:space="0" w:color="auto"/>
          </w:divBdr>
        </w:div>
      </w:divsChild>
    </w:div>
    <w:div w:id="113449261">
      <w:bodyDiv w:val="1"/>
      <w:marLeft w:val="0"/>
      <w:marRight w:val="0"/>
      <w:marTop w:val="0"/>
      <w:marBottom w:val="0"/>
      <w:divBdr>
        <w:top w:val="none" w:sz="0" w:space="0" w:color="auto"/>
        <w:left w:val="none" w:sz="0" w:space="0" w:color="auto"/>
        <w:bottom w:val="none" w:sz="0" w:space="0" w:color="auto"/>
        <w:right w:val="none" w:sz="0" w:space="0" w:color="auto"/>
      </w:divBdr>
      <w:divsChild>
        <w:div w:id="1866362237">
          <w:marLeft w:val="0"/>
          <w:marRight w:val="0"/>
          <w:marTop w:val="0"/>
          <w:marBottom w:val="0"/>
          <w:divBdr>
            <w:top w:val="none" w:sz="0" w:space="0" w:color="auto"/>
            <w:left w:val="none" w:sz="0" w:space="0" w:color="auto"/>
            <w:bottom w:val="none" w:sz="0" w:space="0" w:color="auto"/>
            <w:right w:val="none" w:sz="0" w:space="0" w:color="auto"/>
          </w:divBdr>
        </w:div>
      </w:divsChild>
    </w:div>
    <w:div w:id="164905088">
      <w:bodyDiv w:val="1"/>
      <w:marLeft w:val="0"/>
      <w:marRight w:val="0"/>
      <w:marTop w:val="0"/>
      <w:marBottom w:val="0"/>
      <w:divBdr>
        <w:top w:val="none" w:sz="0" w:space="0" w:color="auto"/>
        <w:left w:val="none" w:sz="0" w:space="0" w:color="auto"/>
        <w:bottom w:val="none" w:sz="0" w:space="0" w:color="auto"/>
        <w:right w:val="none" w:sz="0" w:space="0" w:color="auto"/>
      </w:divBdr>
      <w:divsChild>
        <w:div w:id="1843811170">
          <w:marLeft w:val="0"/>
          <w:marRight w:val="0"/>
          <w:marTop w:val="0"/>
          <w:marBottom w:val="0"/>
          <w:divBdr>
            <w:top w:val="none" w:sz="0" w:space="0" w:color="auto"/>
            <w:left w:val="none" w:sz="0" w:space="0" w:color="auto"/>
            <w:bottom w:val="none" w:sz="0" w:space="0" w:color="auto"/>
            <w:right w:val="none" w:sz="0" w:space="0" w:color="auto"/>
          </w:divBdr>
        </w:div>
      </w:divsChild>
    </w:div>
    <w:div w:id="165444073">
      <w:bodyDiv w:val="1"/>
      <w:marLeft w:val="0"/>
      <w:marRight w:val="0"/>
      <w:marTop w:val="0"/>
      <w:marBottom w:val="0"/>
      <w:divBdr>
        <w:top w:val="none" w:sz="0" w:space="0" w:color="auto"/>
        <w:left w:val="none" w:sz="0" w:space="0" w:color="auto"/>
        <w:bottom w:val="none" w:sz="0" w:space="0" w:color="auto"/>
        <w:right w:val="none" w:sz="0" w:space="0" w:color="auto"/>
      </w:divBdr>
      <w:divsChild>
        <w:div w:id="41560934">
          <w:marLeft w:val="0"/>
          <w:marRight w:val="0"/>
          <w:marTop w:val="0"/>
          <w:marBottom w:val="0"/>
          <w:divBdr>
            <w:top w:val="none" w:sz="0" w:space="0" w:color="auto"/>
            <w:left w:val="none" w:sz="0" w:space="0" w:color="auto"/>
            <w:bottom w:val="none" w:sz="0" w:space="0" w:color="auto"/>
            <w:right w:val="none" w:sz="0" w:space="0" w:color="auto"/>
          </w:divBdr>
        </w:div>
      </w:divsChild>
    </w:div>
    <w:div w:id="165560056">
      <w:bodyDiv w:val="1"/>
      <w:marLeft w:val="0"/>
      <w:marRight w:val="0"/>
      <w:marTop w:val="0"/>
      <w:marBottom w:val="0"/>
      <w:divBdr>
        <w:top w:val="none" w:sz="0" w:space="0" w:color="auto"/>
        <w:left w:val="none" w:sz="0" w:space="0" w:color="auto"/>
        <w:bottom w:val="none" w:sz="0" w:space="0" w:color="auto"/>
        <w:right w:val="none" w:sz="0" w:space="0" w:color="auto"/>
      </w:divBdr>
      <w:divsChild>
        <w:div w:id="283118229">
          <w:marLeft w:val="0"/>
          <w:marRight w:val="0"/>
          <w:marTop w:val="0"/>
          <w:marBottom w:val="0"/>
          <w:divBdr>
            <w:top w:val="none" w:sz="0" w:space="0" w:color="auto"/>
            <w:left w:val="none" w:sz="0" w:space="0" w:color="auto"/>
            <w:bottom w:val="none" w:sz="0" w:space="0" w:color="auto"/>
            <w:right w:val="none" w:sz="0" w:space="0" w:color="auto"/>
          </w:divBdr>
        </w:div>
      </w:divsChild>
    </w:div>
    <w:div w:id="215357107">
      <w:bodyDiv w:val="1"/>
      <w:marLeft w:val="0"/>
      <w:marRight w:val="0"/>
      <w:marTop w:val="0"/>
      <w:marBottom w:val="0"/>
      <w:divBdr>
        <w:top w:val="none" w:sz="0" w:space="0" w:color="auto"/>
        <w:left w:val="none" w:sz="0" w:space="0" w:color="auto"/>
        <w:bottom w:val="none" w:sz="0" w:space="0" w:color="auto"/>
        <w:right w:val="none" w:sz="0" w:space="0" w:color="auto"/>
      </w:divBdr>
      <w:divsChild>
        <w:div w:id="1079714488">
          <w:marLeft w:val="0"/>
          <w:marRight w:val="0"/>
          <w:marTop w:val="0"/>
          <w:marBottom w:val="0"/>
          <w:divBdr>
            <w:top w:val="none" w:sz="0" w:space="0" w:color="auto"/>
            <w:left w:val="none" w:sz="0" w:space="0" w:color="auto"/>
            <w:bottom w:val="none" w:sz="0" w:space="0" w:color="auto"/>
            <w:right w:val="none" w:sz="0" w:space="0" w:color="auto"/>
          </w:divBdr>
        </w:div>
      </w:divsChild>
    </w:div>
    <w:div w:id="223415364">
      <w:bodyDiv w:val="1"/>
      <w:marLeft w:val="0"/>
      <w:marRight w:val="0"/>
      <w:marTop w:val="0"/>
      <w:marBottom w:val="0"/>
      <w:divBdr>
        <w:top w:val="none" w:sz="0" w:space="0" w:color="auto"/>
        <w:left w:val="none" w:sz="0" w:space="0" w:color="auto"/>
        <w:bottom w:val="none" w:sz="0" w:space="0" w:color="auto"/>
        <w:right w:val="none" w:sz="0" w:space="0" w:color="auto"/>
      </w:divBdr>
      <w:divsChild>
        <w:div w:id="147328121">
          <w:marLeft w:val="0"/>
          <w:marRight w:val="0"/>
          <w:marTop w:val="0"/>
          <w:marBottom w:val="0"/>
          <w:divBdr>
            <w:top w:val="none" w:sz="0" w:space="0" w:color="auto"/>
            <w:left w:val="none" w:sz="0" w:space="0" w:color="auto"/>
            <w:bottom w:val="none" w:sz="0" w:space="0" w:color="auto"/>
            <w:right w:val="none" w:sz="0" w:space="0" w:color="auto"/>
          </w:divBdr>
        </w:div>
      </w:divsChild>
    </w:div>
    <w:div w:id="228687343">
      <w:bodyDiv w:val="1"/>
      <w:marLeft w:val="0"/>
      <w:marRight w:val="0"/>
      <w:marTop w:val="0"/>
      <w:marBottom w:val="0"/>
      <w:divBdr>
        <w:top w:val="none" w:sz="0" w:space="0" w:color="auto"/>
        <w:left w:val="none" w:sz="0" w:space="0" w:color="auto"/>
        <w:bottom w:val="none" w:sz="0" w:space="0" w:color="auto"/>
        <w:right w:val="none" w:sz="0" w:space="0" w:color="auto"/>
      </w:divBdr>
      <w:divsChild>
        <w:div w:id="297297160">
          <w:marLeft w:val="0"/>
          <w:marRight w:val="0"/>
          <w:marTop w:val="0"/>
          <w:marBottom w:val="0"/>
          <w:divBdr>
            <w:top w:val="none" w:sz="0" w:space="0" w:color="auto"/>
            <w:left w:val="none" w:sz="0" w:space="0" w:color="auto"/>
            <w:bottom w:val="none" w:sz="0" w:space="0" w:color="auto"/>
            <w:right w:val="none" w:sz="0" w:space="0" w:color="auto"/>
          </w:divBdr>
        </w:div>
      </w:divsChild>
    </w:div>
    <w:div w:id="299120779">
      <w:bodyDiv w:val="1"/>
      <w:marLeft w:val="0"/>
      <w:marRight w:val="0"/>
      <w:marTop w:val="0"/>
      <w:marBottom w:val="0"/>
      <w:divBdr>
        <w:top w:val="none" w:sz="0" w:space="0" w:color="auto"/>
        <w:left w:val="none" w:sz="0" w:space="0" w:color="auto"/>
        <w:bottom w:val="none" w:sz="0" w:space="0" w:color="auto"/>
        <w:right w:val="none" w:sz="0" w:space="0" w:color="auto"/>
      </w:divBdr>
      <w:divsChild>
        <w:div w:id="666641471">
          <w:marLeft w:val="0"/>
          <w:marRight w:val="0"/>
          <w:marTop w:val="0"/>
          <w:marBottom w:val="0"/>
          <w:divBdr>
            <w:top w:val="none" w:sz="0" w:space="0" w:color="3D3D3D"/>
            <w:left w:val="none" w:sz="0" w:space="0" w:color="3D3D3D"/>
            <w:bottom w:val="none" w:sz="0" w:space="0" w:color="3D3D3D"/>
            <w:right w:val="none" w:sz="0" w:space="0" w:color="3D3D3D"/>
          </w:divBdr>
          <w:divsChild>
            <w:div w:id="82073353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15573679">
      <w:bodyDiv w:val="1"/>
      <w:marLeft w:val="0"/>
      <w:marRight w:val="0"/>
      <w:marTop w:val="0"/>
      <w:marBottom w:val="0"/>
      <w:divBdr>
        <w:top w:val="none" w:sz="0" w:space="0" w:color="auto"/>
        <w:left w:val="none" w:sz="0" w:space="0" w:color="auto"/>
        <w:bottom w:val="none" w:sz="0" w:space="0" w:color="auto"/>
        <w:right w:val="none" w:sz="0" w:space="0" w:color="auto"/>
      </w:divBdr>
      <w:divsChild>
        <w:div w:id="976882579">
          <w:marLeft w:val="0"/>
          <w:marRight w:val="0"/>
          <w:marTop w:val="0"/>
          <w:marBottom w:val="0"/>
          <w:divBdr>
            <w:top w:val="none" w:sz="0" w:space="0" w:color="auto"/>
            <w:left w:val="none" w:sz="0" w:space="0" w:color="auto"/>
            <w:bottom w:val="none" w:sz="0" w:space="0" w:color="auto"/>
            <w:right w:val="none" w:sz="0" w:space="0" w:color="auto"/>
          </w:divBdr>
        </w:div>
      </w:divsChild>
    </w:div>
    <w:div w:id="360400863">
      <w:bodyDiv w:val="1"/>
      <w:marLeft w:val="0"/>
      <w:marRight w:val="0"/>
      <w:marTop w:val="0"/>
      <w:marBottom w:val="0"/>
      <w:divBdr>
        <w:top w:val="none" w:sz="0" w:space="0" w:color="auto"/>
        <w:left w:val="none" w:sz="0" w:space="0" w:color="auto"/>
        <w:bottom w:val="none" w:sz="0" w:space="0" w:color="auto"/>
        <w:right w:val="none" w:sz="0" w:space="0" w:color="auto"/>
      </w:divBdr>
    </w:div>
    <w:div w:id="371731361">
      <w:bodyDiv w:val="1"/>
      <w:marLeft w:val="0"/>
      <w:marRight w:val="0"/>
      <w:marTop w:val="0"/>
      <w:marBottom w:val="0"/>
      <w:divBdr>
        <w:top w:val="none" w:sz="0" w:space="0" w:color="auto"/>
        <w:left w:val="none" w:sz="0" w:space="0" w:color="auto"/>
        <w:bottom w:val="none" w:sz="0" w:space="0" w:color="auto"/>
        <w:right w:val="none" w:sz="0" w:space="0" w:color="auto"/>
      </w:divBdr>
      <w:divsChild>
        <w:div w:id="1987471111">
          <w:marLeft w:val="0"/>
          <w:marRight w:val="0"/>
          <w:marTop w:val="0"/>
          <w:marBottom w:val="0"/>
          <w:divBdr>
            <w:top w:val="none" w:sz="0" w:space="0" w:color="auto"/>
            <w:left w:val="none" w:sz="0" w:space="0" w:color="auto"/>
            <w:bottom w:val="none" w:sz="0" w:space="0" w:color="auto"/>
            <w:right w:val="none" w:sz="0" w:space="0" w:color="auto"/>
          </w:divBdr>
        </w:div>
      </w:divsChild>
    </w:div>
    <w:div w:id="408313705">
      <w:bodyDiv w:val="1"/>
      <w:marLeft w:val="0"/>
      <w:marRight w:val="0"/>
      <w:marTop w:val="0"/>
      <w:marBottom w:val="0"/>
      <w:divBdr>
        <w:top w:val="none" w:sz="0" w:space="0" w:color="auto"/>
        <w:left w:val="none" w:sz="0" w:space="0" w:color="auto"/>
        <w:bottom w:val="none" w:sz="0" w:space="0" w:color="auto"/>
        <w:right w:val="none" w:sz="0" w:space="0" w:color="auto"/>
      </w:divBdr>
      <w:divsChild>
        <w:div w:id="442892379">
          <w:marLeft w:val="0"/>
          <w:marRight w:val="0"/>
          <w:marTop w:val="0"/>
          <w:marBottom w:val="0"/>
          <w:divBdr>
            <w:top w:val="none" w:sz="0" w:space="0" w:color="auto"/>
            <w:left w:val="none" w:sz="0" w:space="0" w:color="auto"/>
            <w:bottom w:val="none" w:sz="0" w:space="0" w:color="auto"/>
            <w:right w:val="none" w:sz="0" w:space="0" w:color="auto"/>
          </w:divBdr>
        </w:div>
      </w:divsChild>
    </w:div>
    <w:div w:id="418453671">
      <w:bodyDiv w:val="1"/>
      <w:marLeft w:val="0"/>
      <w:marRight w:val="0"/>
      <w:marTop w:val="0"/>
      <w:marBottom w:val="0"/>
      <w:divBdr>
        <w:top w:val="none" w:sz="0" w:space="0" w:color="auto"/>
        <w:left w:val="none" w:sz="0" w:space="0" w:color="auto"/>
        <w:bottom w:val="none" w:sz="0" w:space="0" w:color="auto"/>
        <w:right w:val="none" w:sz="0" w:space="0" w:color="auto"/>
      </w:divBdr>
      <w:divsChild>
        <w:div w:id="116066552">
          <w:marLeft w:val="0"/>
          <w:marRight w:val="0"/>
          <w:marTop w:val="0"/>
          <w:marBottom w:val="0"/>
          <w:divBdr>
            <w:top w:val="none" w:sz="0" w:space="0" w:color="auto"/>
            <w:left w:val="none" w:sz="0" w:space="0" w:color="auto"/>
            <w:bottom w:val="none" w:sz="0" w:space="0" w:color="auto"/>
            <w:right w:val="none" w:sz="0" w:space="0" w:color="auto"/>
          </w:divBdr>
        </w:div>
      </w:divsChild>
    </w:div>
    <w:div w:id="492721591">
      <w:bodyDiv w:val="1"/>
      <w:marLeft w:val="0"/>
      <w:marRight w:val="0"/>
      <w:marTop w:val="0"/>
      <w:marBottom w:val="0"/>
      <w:divBdr>
        <w:top w:val="none" w:sz="0" w:space="0" w:color="auto"/>
        <w:left w:val="none" w:sz="0" w:space="0" w:color="auto"/>
        <w:bottom w:val="none" w:sz="0" w:space="0" w:color="auto"/>
        <w:right w:val="none" w:sz="0" w:space="0" w:color="auto"/>
      </w:divBdr>
      <w:divsChild>
        <w:div w:id="589698921">
          <w:marLeft w:val="0"/>
          <w:marRight w:val="0"/>
          <w:marTop w:val="0"/>
          <w:marBottom w:val="0"/>
          <w:divBdr>
            <w:top w:val="none" w:sz="0" w:space="0" w:color="auto"/>
            <w:left w:val="none" w:sz="0" w:space="0" w:color="auto"/>
            <w:bottom w:val="none" w:sz="0" w:space="0" w:color="auto"/>
            <w:right w:val="none" w:sz="0" w:space="0" w:color="auto"/>
          </w:divBdr>
        </w:div>
      </w:divsChild>
    </w:div>
    <w:div w:id="518589256">
      <w:bodyDiv w:val="1"/>
      <w:marLeft w:val="0"/>
      <w:marRight w:val="0"/>
      <w:marTop w:val="0"/>
      <w:marBottom w:val="0"/>
      <w:divBdr>
        <w:top w:val="none" w:sz="0" w:space="0" w:color="auto"/>
        <w:left w:val="none" w:sz="0" w:space="0" w:color="auto"/>
        <w:bottom w:val="none" w:sz="0" w:space="0" w:color="auto"/>
        <w:right w:val="none" w:sz="0" w:space="0" w:color="auto"/>
      </w:divBdr>
      <w:divsChild>
        <w:div w:id="310911409">
          <w:marLeft w:val="0"/>
          <w:marRight w:val="0"/>
          <w:marTop w:val="0"/>
          <w:marBottom w:val="0"/>
          <w:divBdr>
            <w:top w:val="none" w:sz="0" w:space="0" w:color="auto"/>
            <w:left w:val="none" w:sz="0" w:space="0" w:color="auto"/>
            <w:bottom w:val="none" w:sz="0" w:space="0" w:color="auto"/>
            <w:right w:val="none" w:sz="0" w:space="0" w:color="auto"/>
          </w:divBdr>
        </w:div>
      </w:divsChild>
    </w:div>
    <w:div w:id="550964451">
      <w:bodyDiv w:val="1"/>
      <w:marLeft w:val="0"/>
      <w:marRight w:val="0"/>
      <w:marTop w:val="0"/>
      <w:marBottom w:val="0"/>
      <w:divBdr>
        <w:top w:val="none" w:sz="0" w:space="0" w:color="auto"/>
        <w:left w:val="none" w:sz="0" w:space="0" w:color="auto"/>
        <w:bottom w:val="none" w:sz="0" w:space="0" w:color="auto"/>
        <w:right w:val="none" w:sz="0" w:space="0" w:color="auto"/>
      </w:divBdr>
      <w:divsChild>
        <w:div w:id="1430809552">
          <w:marLeft w:val="0"/>
          <w:marRight w:val="0"/>
          <w:marTop w:val="0"/>
          <w:marBottom w:val="0"/>
          <w:divBdr>
            <w:top w:val="none" w:sz="0" w:space="0" w:color="auto"/>
            <w:left w:val="none" w:sz="0" w:space="0" w:color="auto"/>
            <w:bottom w:val="none" w:sz="0" w:space="0" w:color="auto"/>
            <w:right w:val="none" w:sz="0" w:space="0" w:color="auto"/>
          </w:divBdr>
        </w:div>
      </w:divsChild>
    </w:div>
    <w:div w:id="599532730">
      <w:bodyDiv w:val="1"/>
      <w:marLeft w:val="0"/>
      <w:marRight w:val="0"/>
      <w:marTop w:val="0"/>
      <w:marBottom w:val="0"/>
      <w:divBdr>
        <w:top w:val="none" w:sz="0" w:space="0" w:color="auto"/>
        <w:left w:val="none" w:sz="0" w:space="0" w:color="auto"/>
        <w:bottom w:val="none" w:sz="0" w:space="0" w:color="auto"/>
        <w:right w:val="none" w:sz="0" w:space="0" w:color="auto"/>
      </w:divBdr>
      <w:divsChild>
        <w:div w:id="6835600">
          <w:marLeft w:val="0"/>
          <w:marRight w:val="0"/>
          <w:marTop w:val="0"/>
          <w:marBottom w:val="0"/>
          <w:divBdr>
            <w:top w:val="none" w:sz="0" w:space="0" w:color="auto"/>
            <w:left w:val="none" w:sz="0" w:space="0" w:color="auto"/>
            <w:bottom w:val="none" w:sz="0" w:space="0" w:color="auto"/>
            <w:right w:val="none" w:sz="0" w:space="0" w:color="auto"/>
          </w:divBdr>
        </w:div>
      </w:divsChild>
    </w:div>
    <w:div w:id="614217151">
      <w:bodyDiv w:val="1"/>
      <w:marLeft w:val="0"/>
      <w:marRight w:val="0"/>
      <w:marTop w:val="0"/>
      <w:marBottom w:val="0"/>
      <w:divBdr>
        <w:top w:val="none" w:sz="0" w:space="0" w:color="auto"/>
        <w:left w:val="none" w:sz="0" w:space="0" w:color="auto"/>
        <w:bottom w:val="none" w:sz="0" w:space="0" w:color="auto"/>
        <w:right w:val="none" w:sz="0" w:space="0" w:color="auto"/>
      </w:divBdr>
      <w:divsChild>
        <w:div w:id="264964671">
          <w:marLeft w:val="0"/>
          <w:marRight w:val="0"/>
          <w:marTop w:val="0"/>
          <w:marBottom w:val="0"/>
          <w:divBdr>
            <w:top w:val="none" w:sz="0" w:space="0" w:color="3D3D3D"/>
            <w:left w:val="none" w:sz="0" w:space="0" w:color="3D3D3D"/>
            <w:bottom w:val="none" w:sz="0" w:space="0" w:color="3D3D3D"/>
            <w:right w:val="none" w:sz="0" w:space="0" w:color="3D3D3D"/>
          </w:divBdr>
          <w:divsChild>
            <w:div w:id="6719581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69413193">
      <w:bodyDiv w:val="1"/>
      <w:marLeft w:val="0"/>
      <w:marRight w:val="0"/>
      <w:marTop w:val="0"/>
      <w:marBottom w:val="0"/>
      <w:divBdr>
        <w:top w:val="none" w:sz="0" w:space="0" w:color="auto"/>
        <w:left w:val="none" w:sz="0" w:space="0" w:color="auto"/>
        <w:bottom w:val="none" w:sz="0" w:space="0" w:color="auto"/>
        <w:right w:val="none" w:sz="0" w:space="0" w:color="auto"/>
      </w:divBdr>
      <w:divsChild>
        <w:div w:id="1609196345">
          <w:marLeft w:val="0"/>
          <w:marRight w:val="0"/>
          <w:marTop w:val="0"/>
          <w:marBottom w:val="0"/>
          <w:divBdr>
            <w:top w:val="none" w:sz="0" w:space="0" w:color="auto"/>
            <w:left w:val="none" w:sz="0" w:space="0" w:color="auto"/>
            <w:bottom w:val="none" w:sz="0" w:space="0" w:color="auto"/>
            <w:right w:val="none" w:sz="0" w:space="0" w:color="auto"/>
          </w:divBdr>
        </w:div>
      </w:divsChild>
    </w:div>
    <w:div w:id="679166603">
      <w:bodyDiv w:val="1"/>
      <w:marLeft w:val="0"/>
      <w:marRight w:val="0"/>
      <w:marTop w:val="0"/>
      <w:marBottom w:val="0"/>
      <w:divBdr>
        <w:top w:val="none" w:sz="0" w:space="0" w:color="auto"/>
        <w:left w:val="none" w:sz="0" w:space="0" w:color="auto"/>
        <w:bottom w:val="none" w:sz="0" w:space="0" w:color="auto"/>
        <w:right w:val="none" w:sz="0" w:space="0" w:color="auto"/>
      </w:divBdr>
      <w:divsChild>
        <w:div w:id="153185929">
          <w:marLeft w:val="0"/>
          <w:marRight w:val="0"/>
          <w:marTop w:val="0"/>
          <w:marBottom w:val="0"/>
          <w:divBdr>
            <w:top w:val="none" w:sz="0" w:space="0" w:color="auto"/>
            <w:left w:val="none" w:sz="0" w:space="0" w:color="auto"/>
            <w:bottom w:val="none" w:sz="0" w:space="0" w:color="auto"/>
            <w:right w:val="none" w:sz="0" w:space="0" w:color="auto"/>
          </w:divBdr>
        </w:div>
      </w:divsChild>
    </w:div>
    <w:div w:id="687681165">
      <w:bodyDiv w:val="1"/>
      <w:marLeft w:val="0"/>
      <w:marRight w:val="0"/>
      <w:marTop w:val="0"/>
      <w:marBottom w:val="0"/>
      <w:divBdr>
        <w:top w:val="none" w:sz="0" w:space="0" w:color="auto"/>
        <w:left w:val="none" w:sz="0" w:space="0" w:color="auto"/>
        <w:bottom w:val="none" w:sz="0" w:space="0" w:color="auto"/>
        <w:right w:val="none" w:sz="0" w:space="0" w:color="auto"/>
      </w:divBdr>
      <w:divsChild>
        <w:div w:id="179786240">
          <w:marLeft w:val="0"/>
          <w:marRight w:val="0"/>
          <w:marTop w:val="0"/>
          <w:marBottom w:val="0"/>
          <w:divBdr>
            <w:top w:val="none" w:sz="0" w:space="0" w:color="auto"/>
            <w:left w:val="none" w:sz="0" w:space="0" w:color="auto"/>
            <w:bottom w:val="none" w:sz="0" w:space="0" w:color="auto"/>
            <w:right w:val="none" w:sz="0" w:space="0" w:color="auto"/>
          </w:divBdr>
          <w:divsChild>
            <w:div w:id="208298291">
              <w:marLeft w:val="0"/>
              <w:marRight w:val="0"/>
              <w:marTop w:val="0"/>
              <w:marBottom w:val="0"/>
              <w:divBdr>
                <w:top w:val="none" w:sz="0" w:space="0" w:color="auto"/>
                <w:left w:val="none" w:sz="0" w:space="0" w:color="auto"/>
                <w:bottom w:val="none" w:sz="0" w:space="0" w:color="auto"/>
                <w:right w:val="none" w:sz="0" w:space="0" w:color="auto"/>
              </w:divBdr>
              <w:divsChild>
                <w:div w:id="21039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34337">
          <w:marLeft w:val="0"/>
          <w:marRight w:val="0"/>
          <w:marTop w:val="0"/>
          <w:marBottom w:val="0"/>
          <w:divBdr>
            <w:top w:val="none" w:sz="0" w:space="0" w:color="auto"/>
            <w:left w:val="none" w:sz="0" w:space="0" w:color="auto"/>
            <w:bottom w:val="none" w:sz="0" w:space="0" w:color="auto"/>
            <w:right w:val="none" w:sz="0" w:space="0" w:color="auto"/>
          </w:divBdr>
        </w:div>
      </w:divsChild>
    </w:div>
    <w:div w:id="763113919">
      <w:bodyDiv w:val="1"/>
      <w:marLeft w:val="0"/>
      <w:marRight w:val="0"/>
      <w:marTop w:val="0"/>
      <w:marBottom w:val="0"/>
      <w:divBdr>
        <w:top w:val="none" w:sz="0" w:space="0" w:color="auto"/>
        <w:left w:val="none" w:sz="0" w:space="0" w:color="auto"/>
        <w:bottom w:val="none" w:sz="0" w:space="0" w:color="auto"/>
        <w:right w:val="none" w:sz="0" w:space="0" w:color="auto"/>
      </w:divBdr>
      <w:divsChild>
        <w:div w:id="2069914597">
          <w:marLeft w:val="0"/>
          <w:marRight w:val="0"/>
          <w:marTop w:val="0"/>
          <w:marBottom w:val="0"/>
          <w:divBdr>
            <w:top w:val="none" w:sz="0" w:space="0" w:color="auto"/>
            <w:left w:val="none" w:sz="0" w:space="0" w:color="auto"/>
            <w:bottom w:val="none" w:sz="0" w:space="0" w:color="auto"/>
            <w:right w:val="none" w:sz="0" w:space="0" w:color="auto"/>
          </w:divBdr>
          <w:divsChild>
            <w:div w:id="140928647">
              <w:marLeft w:val="0"/>
              <w:marRight w:val="0"/>
              <w:marTop w:val="0"/>
              <w:marBottom w:val="0"/>
              <w:divBdr>
                <w:top w:val="none" w:sz="0" w:space="0" w:color="auto"/>
                <w:left w:val="none" w:sz="0" w:space="0" w:color="auto"/>
                <w:bottom w:val="none" w:sz="0" w:space="0" w:color="auto"/>
                <w:right w:val="none" w:sz="0" w:space="0" w:color="auto"/>
              </w:divBdr>
            </w:div>
          </w:divsChild>
        </w:div>
        <w:div w:id="358162376">
          <w:marLeft w:val="0"/>
          <w:marRight w:val="0"/>
          <w:marTop w:val="0"/>
          <w:marBottom w:val="0"/>
          <w:divBdr>
            <w:top w:val="none" w:sz="0" w:space="0" w:color="auto"/>
            <w:left w:val="none" w:sz="0" w:space="0" w:color="auto"/>
            <w:bottom w:val="none" w:sz="0" w:space="0" w:color="auto"/>
            <w:right w:val="none" w:sz="0" w:space="0" w:color="auto"/>
          </w:divBdr>
          <w:divsChild>
            <w:div w:id="1879078040">
              <w:marLeft w:val="0"/>
              <w:marRight w:val="0"/>
              <w:marTop w:val="0"/>
              <w:marBottom w:val="0"/>
              <w:divBdr>
                <w:top w:val="none" w:sz="0" w:space="0" w:color="auto"/>
                <w:left w:val="none" w:sz="0" w:space="0" w:color="auto"/>
                <w:bottom w:val="none" w:sz="0" w:space="0" w:color="auto"/>
                <w:right w:val="none" w:sz="0" w:space="0" w:color="auto"/>
              </w:divBdr>
            </w:div>
          </w:divsChild>
        </w:div>
        <w:div w:id="696854887">
          <w:marLeft w:val="0"/>
          <w:marRight w:val="0"/>
          <w:marTop w:val="0"/>
          <w:marBottom w:val="0"/>
          <w:divBdr>
            <w:top w:val="none" w:sz="0" w:space="0" w:color="auto"/>
            <w:left w:val="none" w:sz="0" w:space="0" w:color="auto"/>
            <w:bottom w:val="none" w:sz="0" w:space="0" w:color="auto"/>
            <w:right w:val="none" w:sz="0" w:space="0" w:color="auto"/>
          </w:divBdr>
          <w:divsChild>
            <w:div w:id="1563057086">
              <w:marLeft w:val="0"/>
              <w:marRight w:val="0"/>
              <w:marTop w:val="0"/>
              <w:marBottom w:val="0"/>
              <w:divBdr>
                <w:top w:val="none" w:sz="0" w:space="0" w:color="auto"/>
                <w:left w:val="none" w:sz="0" w:space="0" w:color="auto"/>
                <w:bottom w:val="none" w:sz="0" w:space="0" w:color="auto"/>
                <w:right w:val="none" w:sz="0" w:space="0" w:color="auto"/>
              </w:divBdr>
            </w:div>
          </w:divsChild>
        </w:div>
        <w:div w:id="2101560647">
          <w:marLeft w:val="0"/>
          <w:marRight w:val="0"/>
          <w:marTop w:val="0"/>
          <w:marBottom w:val="0"/>
          <w:divBdr>
            <w:top w:val="none" w:sz="0" w:space="0" w:color="auto"/>
            <w:left w:val="none" w:sz="0" w:space="0" w:color="auto"/>
            <w:bottom w:val="none" w:sz="0" w:space="0" w:color="auto"/>
            <w:right w:val="none" w:sz="0" w:space="0" w:color="auto"/>
          </w:divBdr>
          <w:divsChild>
            <w:div w:id="1664624532">
              <w:marLeft w:val="0"/>
              <w:marRight w:val="0"/>
              <w:marTop w:val="0"/>
              <w:marBottom w:val="0"/>
              <w:divBdr>
                <w:top w:val="none" w:sz="0" w:space="0" w:color="auto"/>
                <w:left w:val="none" w:sz="0" w:space="0" w:color="auto"/>
                <w:bottom w:val="none" w:sz="0" w:space="0" w:color="auto"/>
                <w:right w:val="none" w:sz="0" w:space="0" w:color="auto"/>
              </w:divBdr>
            </w:div>
          </w:divsChild>
        </w:div>
        <w:div w:id="1057515268">
          <w:marLeft w:val="0"/>
          <w:marRight w:val="0"/>
          <w:marTop w:val="0"/>
          <w:marBottom w:val="0"/>
          <w:divBdr>
            <w:top w:val="none" w:sz="0" w:space="0" w:color="auto"/>
            <w:left w:val="none" w:sz="0" w:space="0" w:color="auto"/>
            <w:bottom w:val="none" w:sz="0" w:space="0" w:color="auto"/>
            <w:right w:val="none" w:sz="0" w:space="0" w:color="auto"/>
          </w:divBdr>
        </w:div>
      </w:divsChild>
    </w:div>
    <w:div w:id="793594848">
      <w:bodyDiv w:val="1"/>
      <w:marLeft w:val="0"/>
      <w:marRight w:val="0"/>
      <w:marTop w:val="0"/>
      <w:marBottom w:val="0"/>
      <w:divBdr>
        <w:top w:val="none" w:sz="0" w:space="0" w:color="auto"/>
        <w:left w:val="none" w:sz="0" w:space="0" w:color="auto"/>
        <w:bottom w:val="none" w:sz="0" w:space="0" w:color="auto"/>
        <w:right w:val="none" w:sz="0" w:space="0" w:color="auto"/>
      </w:divBdr>
      <w:divsChild>
        <w:div w:id="1778712797">
          <w:marLeft w:val="0"/>
          <w:marRight w:val="0"/>
          <w:marTop w:val="0"/>
          <w:marBottom w:val="0"/>
          <w:divBdr>
            <w:top w:val="none" w:sz="0" w:space="0" w:color="auto"/>
            <w:left w:val="none" w:sz="0" w:space="0" w:color="auto"/>
            <w:bottom w:val="none" w:sz="0" w:space="0" w:color="auto"/>
            <w:right w:val="none" w:sz="0" w:space="0" w:color="auto"/>
          </w:divBdr>
        </w:div>
      </w:divsChild>
    </w:div>
    <w:div w:id="867791378">
      <w:bodyDiv w:val="1"/>
      <w:marLeft w:val="0"/>
      <w:marRight w:val="0"/>
      <w:marTop w:val="0"/>
      <w:marBottom w:val="0"/>
      <w:divBdr>
        <w:top w:val="none" w:sz="0" w:space="0" w:color="auto"/>
        <w:left w:val="none" w:sz="0" w:space="0" w:color="auto"/>
        <w:bottom w:val="none" w:sz="0" w:space="0" w:color="auto"/>
        <w:right w:val="none" w:sz="0" w:space="0" w:color="auto"/>
      </w:divBdr>
      <w:divsChild>
        <w:div w:id="395932665">
          <w:marLeft w:val="0"/>
          <w:marRight w:val="0"/>
          <w:marTop w:val="0"/>
          <w:marBottom w:val="0"/>
          <w:divBdr>
            <w:top w:val="none" w:sz="0" w:space="0" w:color="auto"/>
            <w:left w:val="none" w:sz="0" w:space="0" w:color="auto"/>
            <w:bottom w:val="none" w:sz="0" w:space="0" w:color="auto"/>
            <w:right w:val="none" w:sz="0" w:space="0" w:color="auto"/>
          </w:divBdr>
        </w:div>
      </w:divsChild>
    </w:div>
    <w:div w:id="924654662">
      <w:bodyDiv w:val="1"/>
      <w:marLeft w:val="0"/>
      <w:marRight w:val="0"/>
      <w:marTop w:val="0"/>
      <w:marBottom w:val="0"/>
      <w:divBdr>
        <w:top w:val="none" w:sz="0" w:space="0" w:color="auto"/>
        <w:left w:val="none" w:sz="0" w:space="0" w:color="auto"/>
        <w:bottom w:val="none" w:sz="0" w:space="0" w:color="auto"/>
        <w:right w:val="none" w:sz="0" w:space="0" w:color="auto"/>
      </w:divBdr>
      <w:divsChild>
        <w:div w:id="1855683057">
          <w:marLeft w:val="0"/>
          <w:marRight w:val="0"/>
          <w:marTop w:val="0"/>
          <w:marBottom w:val="0"/>
          <w:divBdr>
            <w:top w:val="none" w:sz="0" w:space="0" w:color="auto"/>
            <w:left w:val="none" w:sz="0" w:space="0" w:color="auto"/>
            <w:bottom w:val="none" w:sz="0" w:space="0" w:color="auto"/>
            <w:right w:val="none" w:sz="0" w:space="0" w:color="auto"/>
          </w:divBdr>
        </w:div>
      </w:divsChild>
    </w:div>
    <w:div w:id="943078406">
      <w:bodyDiv w:val="1"/>
      <w:marLeft w:val="0"/>
      <w:marRight w:val="0"/>
      <w:marTop w:val="0"/>
      <w:marBottom w:val="0"/>
      <w:divBdr>
        <w:top w:val="none" w:sz="0" w:space="0" w:color="auto"/>
        <w:left w:val="none" w:sz="0" w:space="0" w:color="auto"/>
        <w:bottom w:val="none" w:sz="0" w:space="0" w:color="auto"/>
        <w:right w:val="none" w:sz="0" w:space="0" w:color="auto"/>
      </w:divBdr>
      <w:divsChild>
        <w:div w:id="690766574">
          <w:marLeft w:val="0"/>
          <w:marRight w:val="0"/>
          <w:marTop w:val="0"/>
          <w:marBottom w:val="0"/>
          <w:divBdr>
            <w:top w:val="none" w:sz="0" w:space="0" w:color="auto"/>
            <w:left w:val="none" w:sz="0" w:space="0" w:color="auto"/>
            <w:bottom w:val="none" w:sz="0" w:space="0" w:color="auto"/>
            <w:right w:val="none" w:sz="0" w:space="0" w:color="auto"/>
          </w:divBdr>
        </w:div>
      </w:divsChild>
    </w:div>
    <w:div w:id="956376727">
      <w:bodyDiv w:val="1"/>
      <w:marLeft w:val="0"/>
      <w:marRight w:val="0"/>
      <w:marTop w:val="0"/>
      <w:marBottom w:val="0"/>
      <w:divBdr>
        <w:top w:val="none" w:sz="0" w:space="0" w:color="auto"/>
        <w:left w:val="none" w:sz="0" w:space="0" w:color="auto"/>
        <w:bottom w:val="none" w:sz="0" w:space="0" w:color="auto"/>
        <w:right w:val="none" w:sz="0" w:space="0" w:color="auto"/>
      </w:divBdr>
      <w:divsChild>
        <w:div w:id="1990742517">
          <w:marLeft w:val="0"/>
          <w:marRight w:val="0"/>
          <w:marTop w:val="0"/>
          <w:marBottom w:val="0"/>
          <w:divBdr>
            <w:top w:val="none" w:sz="0" w:space="0" w:color="auto"/>
            <w:left w:val="none" w:sz="0" w:space="0" w:color="auto"/>
            <w:bottom w:val="none" w:sz="0" w:space="0" w:color="auto"/>
            <w:right w:val="none" w:sz="0" w:space="0" w:color="auto"/>
          </w:divBdr>
        </w:div>
      </w:divsChild>
    </w:div>
    <w:div w:id="957221981">
      <w:bodyDiv w:val="1"/>
      <w:marLeft w:val="0"/>
      <w:marRight w:val="0"/>
      <w:marTop w:val="0"/>
      <w:marBottom w:val="0"/>
      <w:divBdr>
        <w:top w:val="none" w:sz="0" w:space="0" w:color="auto"/>
        <w:left w:val="none" w:sz="0" w:space="0" w:color="auto"/>
        <w:bottom w:val="none" w:sz="0" w:space="0" w:color="auto"/>
        <w:right w:val="none" w:sz="0" w:space="0" w:color="auto"/>
      </w:divBdr>
      <w:divsChild>
        <w:div w:id="378286018">
          <w:marLeft w:val="0"/>
          <w:marRight w:val="0"/>
          <w:marTop w:val="0"/>
          <w:marBottom w:val="0"/>
          <w:divBdr>
            <w:top w:val="none" w:sz="0" w:space="0" w:color="auto"/>
            <w:left w:val="none" w:sz="0" w:space="0" w:color="auto"/>
            <w:bottom w:val="none" w:sz="0" w:space="0" w:color="auto"/>
            <w:right w:val="none" w:sz="0" w:space="0" w:color="auto"/>
          </w:divBdr>
        </w:div>
      </w:divsChild>
    </w:div>
    <w:div w:id="957415483">
      <w:bodyDiv w:val="1"/>
      <w:marLeft w:val="0"/>
      <w:marRight w:val="0"/>
      <w:marTop w:val="0"/>
      <w:marBottom w:val="0"/>
      <w:divBdr>
        <w:top w:val="none" w:sz="0" w:space="0" w:color="auto"/>
        <w:left w:val="none" w:sz="0" w:space="0" w:color="auto"/>
        <w:bottom w:val="none" w:sz="0" w:space="0" w:color="auto"/>
        <w:right w:val="none" w:sz="0" w:space="0" w:color="auto"/>
      </w:divBdr>
      <w:divsChild>
        <w:div w:id="893353224">
          <w:marLeft w:val="0"/>
          <w:marRight w:val="0"/>
          <w:marTop w:val="0"/>
          <w:marBottom w:val="0"/>
          <w:divBdr>
            <w:top w:val="none" w:sz="0" w:space="0" w:color="auto"/>
            <w:left w:val="none" w:sz="0" w:space="0" w:color="auto"/>
            <w:bottom w:val="none" w:sz="0" w:space="0" w:color="auto"/>
            <w:right w:val="none" w:sz="0" w:space="0" w:color="auto"/>
          </w:divBdr>
        </w:div>
      </w:divsChild>
    </w:div>
    <w:div w:id="1011184619">
      <w:bodyDiv w:val="1"/>
      <w:marLeft w:val="0"/>
      <w:marRight w:val="0"/>
      <w:marTop w:val="0"/>
      <w:marBottom w:val="0"/>
      <w:divBdr>
        <w:top w:val="none" w:sz="0" w:space="0" w:color="auto"/>
        <w:left w:val="none" w:sz="0" w:space="0" w:color="auto"/>
        <w:bottom w:val="none" w:sz="0" w:space="0" w:color="auto"/>
        <w:right w:val="none" w:sz="0" w:space="0" w:color="auto"/>
      </w:divBdr>
      <w:divsChild>
        <w:div w:id="1101533156">
          <w:marLeft w:val="0"/>
          <w:marRight w:val="0"/>
          <w:marTop w:val="0"/>
          <w:marBottom w:val="0"/>
          <w:divBdr>
            <w:top w:val="none" w:sz="0" w:space="0" w:color="auto"/>
            <w:left w:val="none" w:sz="0" w:space="0" w:color="auto"/>
            <w:bottom w:val="none" w:sz="0" w:space="0" w:color="auto"/>
            <w:right w:val="none" w:sz="0" w:space="0" w:color="auto"/>
          </w:divBdr>
        </w:div>
      </w:divsChild>
    </w:div>
    <w:div w:id="1050110847">
      <w:bodyDiv w:val="1"/>
      <w:marLeft w:val="0"/>
      <w:marRight w:val="0"/>
      <w:marTop w:val="0"/>
      <w:marBottom w:val="0"/>
      <w:divBdr>
        <w:top w:val="none" w:sz="0" w:space="0" w:color="auto"/>
        <w:left w:val="none" w:sz="0" w:space="0" w:color="auto"/>
        <w:bottom w:val="none" w:sz="0" w:space="0" w:color="auto"/>
        <w:right w:val="none" w:sz="0" w:space="0" w:color="auto"/>
      </w:divBdr>
      <w:divsChild>
        <w:div w:id="176703164">
          <w:marLeft w:val="0"/>
          <w:marRight w:val="0"/>
          <w:marTop w:val="0"/>
          <w:marBottom w:val="0"/>
          <w:divBdr>
            <w:top w:val="none" w:sz="0" w:space="0" w:color="auto"/>
            <w:left w:val="none" w:sz="0" w:space="0" w:color="auto"/>
            <w:bottom w:val="none" w:sz="0" w:space="0" w:color="auto"/>
            <w:right w:val="none" w:sz="0" w:space="0" w:color="auto"/>
          </w:divBdr>
        </w:div>
      </w:divsChild>
    </w:div>
    <w:div w:id="1085296284">
      <w:bodyDiv w:val="1"/>
      <w:marLeft w:val="0"/>
      <w:marRight w:val="0"/>
      <w:marTop w:val="0"/>
      <w:marBottom w:val="0"/>
      <w:divBdr>
        <w:top w:val="none" w:sz="0" w:space="0" w:color="auto"/>
        <w:left w:val="none" w:sz="0" w:space="0" w:color="auto"/>
        <w:bottom w:val="none" w:sz="0" w:space="0" w:color="auto"/>
        <w:right w:val="none" w:sz="0" w:space="0" w:color="auto"/>
      </w:divBdr>
      <w:divsChild>
        <w:div w:id="580480536">
          <w:marLeft w:val="0"/>
          <w:marRight w:val="0"/>
          <w:marTop w:val="0"/>
          <w:marBottom w:val="0"/>
          <w:divBdr>
            <w:top w:val="none" w:sz="0" w:space="0" w:color="auto"/>
            <w:left w:val="none" w:sz="0" w:space="0" w:color="auto"/>
            <w:bottom w:val="none" w:sz="0" w:space="0" w:color="auto"/>
            <w:right w:val="none" w:sz="0" w:space="0" w:color="auto"/>
          </w:divBdr>
        </w:div>
      </w:divsChild>
    </w:div>
    <w:div w:id="1095321773">
      <w:bodyDiv w:val="1"/>
      <w:marLeft w:val="0"/>
      <w:marRight w:val="0"/>
      <w:marTop w:val="0"/>
      <w:marBottom w:val="0"/>
      <w:divBdr>
        <w:top w:val="none" w:sz="0" w:space="0" w:color="auto"/>
        <w:left w:val="none" w:sz="0" w:space="0" w:color="auto"/>
        <w:bottom w:val="none" w:sz="0" w:space="0" w:color="auto"/>
        <w:right w:val="none" w:sz="0" w:space="0" w:color="auto"/>
      </w:divBdr>
      <w:divsChild>
        <w:div w:id="1248613487">
          <w:marLeft w:val="0"/>
          <w:marRight w:val="0"/>
          <w:marTop w:val="0"/>
          <w:marBottom w:val="0"/>
          <w:divBdr>
            <w:top w:val="none" w:sz="0" w:space="0" w:color="auto"/>
            <w:left w:val="none" w:sz="0" w:space="0" w:color="auto"/>
            <w:bottom w:val="none" w:sz="0" w:space="0" w:color="auto"/>
            <w:right w:val="none" w:sz="0" w:space="0" w:color="auto"/>
          </w:divBdr>
        </w:div>
      </w:divsChild>
    </w:div>
    <w:div w:id="1103724403">
      <w:bodyDiv w:val="1"/>
      <w:marLeft w:val="0"/>
      <w:marRight w:val="0"/>
      <w:marTop w:val="0"/>
      <w:marBottom w:val="0"/>
      <w:divBdr>
        <w:top w:val="none" w:sz="0" w:space="0" w:color="auto"/>
        <w:left w:val="none" w:sz="0" w:space="0" w:color="auto"/>
        <w:bottom w:val="none" w:sz="0" w:space="0" w:color="auto"/>
        <w:right w:val="none" w:sz="0" w:space="0" w:color="auto"/>
      </w:divBdr>
      <w:divsChild>
        <w:div w:id="106432484">
          <w:marLeft w:val="0"/>
          <w:marRight w:val="0"/>
          <w:marTop w:val="0"/>
          <w:marBottom w:val="0"/>
          <w:divBdr>
            <w:top w:val="none" w:sz="0" w:space="0" w:color="auto"/>
            <w:left w:val="none" w:sz="0" w:space="0" w:color="auto"/>
            <w:bottom w:val="none" w:sz="0" w:space="0" w:color="auto"/>
            <w:right w:val="none" w:sz="0" w:space="0" w:color="auto"/>
          </w:divBdr>
        </w:div>
      </w:divsChild>
    </w:div>
    <w:div w:id="1126197011">
      <w:bodyDiv w:val="1"/>
      <w:marLeft w:val="0"/>
      <w:marRight w:val="0"/>
      <w:marTop w:val="0"/>
      <w:marBottom w:val="0"/>
      <w:divBdr>
        <w:top w:val="none" w:sz="0" w:space="0" w:color="auto"/>
        <w:left w:val="none" w:sz="0" w:space="0" w:color="auto"/>
        <w:bottom w:val="none" w:sz="0" w:space="0" w:color="auto"/>
        <w:right w:val="none" w:sz="0" w:space="0" w:color="auto"/>
      </w:divBdr>
      <w:divsChild>
        <w:div w:id="1676883923">
          <w:marLeft w:val="0"/>
          <w:marRight w:val="0"/>
          <w:marTop w:val="0"/>
          <w:marBottom w:val="0"/>
          <w:divBdr>
            <w:top w:val="none" w:sz="0" w:space="0" w:color="auto"/>
            <w:left w:val="none" w:sz="0" w:space="0" w:color="auto"/>
            <w:bottom w:val="none" w:sz="0" w:space="0" w:color="auto"/>
            <w:right w:val="none" w:sz="0" w:space="0" w:color="auto"/>
          </w:divBdr>
        </w:div>
      </w:divsChild>
    </w:div>
    <w:div w:id="1153375755">
      <w:bodyDiv w:val="1"/>
      <w:marLeft w:val="0"/>
      <w:marRight w:val="0"/>
      <w:marTop w:val="0"/>
      <w:marBottom w:val="0"/>
      <w:divBdr>
        <w:top w:val="none" w:sz="0" w:space="0" w:color="auto"/>
        <w:left w:val="none" w:sz="0" w:space="0" w:color="auto"/>
        <w:bottom w:val="none" w:sz="0" w:space="0" w:color="auto"/>
        <w:right w:val="none" w:sz="0" w:space="0" w:color="auto"/>
      </w:divBdr>
      <w:divsChild>
        <w:div w:id="581329030">
          <w:marLeft w:val="0"/>
          <w:marRight w:val="0"/>
          <w:marTop w:val="0"/>
          <w:marBottom w:val="0"/>
          <w:divBdr>
            <w:top w:val="none" w:sz="0" w:space="0" w:color="auto"/>
            <w:left w:val="none" w:sz="0" w:space="0" w:color="auto"/>
            <w:bottom w:val="none" w:sz="0" w:space="0" w:color="auto"/>
            <w:right w:val="none" w:sz="0" w:space="0" w:color="auto"/>
          </w:divBdr>
        </w:div>
        <w:div w:id="1888183061">
          <w:marLeft w:val="0"/>
          <w:marRight w:val="0"/>
          <w:marTop w:val="0"/>
          <w:marBottom w:val="0"/>
          <w:divBdr>
            <w:top w:val="none" w:sz="0" w:space="0" w:color="auto"/>
            <w:left w:val="none" w:sz="0" w:space="0" w:color="auto"/>
            <w:bottom w:val="none" w:sz="0" w:space="0" w:color="auto"/>
            <w:right w:val="none" w:sz="0" w:space="0" w:color="auto"/>
          </w:divBdr>
          <w:divsChild>
            <w:div w:id="408842744">
              <w:marLeft w:val="0"/>
              <w:marRight w:val="0"/>
              <w:marTop w:val="0"/>
              <w:marBottom w:val="0"/>
              <w:divBdr>
                <w:top w:val="none" w:sz="0" w:space="0" w:color="auto"/>
                <w:left w:val="none" w:sz="0" w:space="0" w:color="auto"/>
                <w:bottom w:val="none" w:sz="0" w:space="0" w:color="auto"/>
                <w:right w:val="none" w:sz="0" w:space="0" w:color="auto"/>
              </w:divBdr>
            </w:div>
          </w:divsChild>
        </w:div>
        <w:div w:id="1883058797">
          <w:marLeft w:val="0"/>
          <w:marRight w:val="0"/>
          <w:marTop w:val="0"/>
          <w:marBottom w:val="0"/>
          <w:divBdr>
            <w:top w:val="none" w:sz="0" w:space="0" w:color="auto"/>
            <w:left w:val="none" w:sz="0" w:space="0" w:color="auto"/>
            <w:bottom w:val="none" w:sz="0" w:space="0" w:color="auto"/>
            <w:right w:val="none" w:sz="0" w:space="0" w:color="auto"/>
          </w:divBdr>
          <w:divsChild>
            <w:div w:id="1178082412">
              <w:marLeft w:val="0"/>
              <w:marRight w:val="0"/>
              <w:marTop w:val="0"/>
              <w:marBottom w:val="0"/>
              <w:divBdr>
                <w:top w:val="none" w:sz="0" w:space="0" w:color="auto"/>
                <w:left w:val="none" w:sz="0" w:space="0" w:color="auto"/>
                <w:bottom w:val="none" w:sz="0" w:space="0" w:color="auto"/>
                <w:right w:val="none" w:sz="0" w:space="0" w:color="auto"/>
              </w:divBdr>
            </w:div>
          </w:divsChild>
        </w:div>
        <w:div w:id="925655552">
          <w:marLeft w:val="0"/>
          <w:marRight w:val="0"/>
          <w:marTop w:val="0"/>
          <w:marBottom w:val="0"/>
          <w:divBdr>
            <w:top w:val="none" w:sz="0" w:space="0" w:color="auto"/>
            <w:left w:val="none" w:sz="0" w:space="0" w:color="auto"/>
            <w:bottom w:val="none" w:sz="0" w:space="0" w:color="auto"/>
            <w:right w:val="none" w:sz="0" w:space="0" w:color="auto"/>
          </w:divBdr>
          <w:divsChild>
            <w:div w:id="2408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5240">
      <w:bodyDiv w:val="1"/>
      <w:marLeft w:val="0"/>
      <w:marRight w:val="0"/>
      <w:marTop w:val="0"/>
      <w:marBottom w:val="0"/>
      <w:divBdr>
        <w:top w:val="none" w:sz="0" w:space="0" w:color="auto"/>
        <w:left w:val="none" w:sz="0" w:space="0" w:color="auto"/>
        <w:bottom w:val="none" w:sz="0" w:space="0" w:color="auto"/>
        <w:right w:val="none" w:sz="0" w:space="0" w:color="auto"/>
      </w:divBdr>
      <w:divsChild>
        <w:div w:id="599409187">
          <w:marLeft w:val="0"/>
          <w:marRight w:val="0"/>
          <w:marTop w:val="0"/>
          <w:marBottom w:val="0"/>
          <w:divBdr>
            <w:top w:val="none" w:sz="0" w:space="0" w:color="auto"/>
            <w:left w:val="none" w:sz="0" w:space="0" w:color="auto"/>
            <w:bottom w:val="none" w:sz="0" w:space="0" w:color="auto"/>
            <w:right w:val="none" w:sz="0" w:space="0" w:color="auto"/>
          </w:divBdr>
        </w:div>
      </w:divsChild>
    </w:div>
    <w:div w:id="1243026011">
      <w:bodyDiv w:val="1"/>
      <w:marLeft w:val="0"/>
      <w:marRight w:val="0"/>
      <w:marTop w:val="0"/>
      <w:marBottom w:val="0"/>
      <w:divBdr>
        <w:top w:val="none" w:sz="0" w:space="0" w:color="auto"/>
        <w:left w:val="none" w:sz="0" w:space="0" w:color="auto"/>
        <w:bottom w:val="none" w:sz="0" w:space="0" w:color="auto"/>
        <w:right w:val="none" w:sz="0" w:space="0" w:color="auto"/>
      </w:divBdr>
      <w:divsChild>
        <w:div w:id="145627954">
          <w:marLeft w:val="0"/>
          <w:marRight w:val="0"/>
          <w:marTop w:val="0"/>
          <w:marBottom w:val="0"/>
          <w:divBdr>
            <w:top w:val="none" w:sz="0" w:space="0" w:color="auto"/>
            <w:left w:val="none" w:sz="0" w:space="0" w:color="auto"/>
            <w:bottom w:val="none" w:sz="0" w:space="0" w:color="auto"/>
            <w:right w:val="none" w:sz="0" w:space="0" w:color="auto"/>
          </w:divBdr>
        </w:div>
      </w:divsChild>
    </w:div>
    <w:div w:id="1243487084">
      <w:bodyDiv w:val="1"/>
      <w:marLeft w:val="0"/>
      <w:marRight w:val="0"/>
      <w:marTop w:val="0"/>
      <w:marBottom w:val="0"/>
      <w:divBdr>
        <w:top w:val="none" w:sz="0" w:space="0" w:color="auto"/>
        <w:left w:val="none" w:sz="0" w:space="0" w:color="auto"/>
        <w:bottom w:val="none" w:sz="0" w:space="0" w:color="auto"/>
        <w:right w:val="none" w:sz="0" w:space="0" w:color="auto"/>
      </w:divBdr>
      <w:divsChild>
        <w:div w:id="423185745">
          <w:marLeft w:val="0"/>
          <w:marRight w:val="0"/>
          <w:marTop w:val="0"/>
          <w:marBottom w:val="0"/>
          <w:divBdr>
            <w:top w:val="none" w:sz="0" w:space="0" w:color="auto"/>
            <w:left w:val="none" w:sz="0" w:space="0" w:color="auto"/>
            <w:bottom w:val="none" w:sz="0" w:space="0" w:color="auto"/>
            <w:right w:val="none" w:sz="0" w:space="0" w:color="auto"/>
          </w:divBdr>
        </w:div>
      </w:divsChild>
    </w:div>
    <w:div w:id="1245535394">
      <w:bodyDiv w:val="1"/>
      <w:marLeft w:val="0"/>
      <w:marRight w:val="0"/>
      <w:marTop w:val="0"/>
      <w:marBottom w:val="0"/>
      <w:divBdr>
        <w:top w:val="none" w:sz="0" w:space="0" w:color="auto"/>
        <w:left w:val="none" w:sz="0" w:space="0" w:color="auto"/>
        <w:bottom w:val="none" w:sz="0" w:space="0" w:color="auto"/>
        <w:right w:val="none" w:sz="0" w:space="0" w:color="auto"/>
      </w:divBdr>
      <w:divsChild>
        <w:div w:id="1390805257">
          <w:marLeft w:val="0"/>
          <w:marRight w:val="0"/>
          <w:marTop w:val="0"/>
          <w:marBottom w:val="0"/>
          <w:divBdr>
            <w:top w:val="none" w:sz="0" w:space="0" w:color="auto"/>
            <w:left w:val="none" w:sz="0" w:space="0" w:color="auto"/>
            <w:bottom w:val="none" w:sz="0" w:space="0" w:color="auto"/>
            <w:right w:val="none" w:sz="0" w:space="0" w:color="auto"/>
          </w:divBdr>
        </w:div>
      </w:divsChild>
    </w:div>
    <w:div w:id="1255555409">
      <w:bodyDiv w:val="1"/>
      <w:marLeft w:val="0"/>
      <w:marRight w:val="0"/>
      <w:marTop w:val="0"/>
      <w:marBottom w:val="0"/>
      <w:divBdr>
        <w:top w:val="none" w:sz="0" w:space="0" w:color="auto"/>
        <w:left w:val="none" w:sz="0" w:space="0" w:color="auto"/>
        <w:bottom w:val="none" w:sz="0" w:space="0" w:color="auto"/>
        <w:right w:val="none" w:sz="0" w:space="0" w:color="auto"/>
      </w:divBdr>
      <w:divsChild>
        <w:div w:id="1457214438">
          <w:marLeft w:val="0"/>
          <w:marRight w:val="0"/>
          <w:marTop w:val="0"/>
          <w:marBottom w:val="0"/>
          <w:divBdr>
            <w:top w:val="none" w:sz="0" w:space="0" w:color="auto"/>
            <w:left w:val="none" w:sz="0" w:space="0" w:color="auto"/>
            <w:bottom w:val="none" w:sz="0" w:space="0" w:color="auto"/>
            <w:right w:val="none" w:sz="0" w:space="0" w:color="auto"/>
          </w:divBdr>
        </w:div>
      </w:divsChild>
    </w:div>
    <w:div w:id="1305348832">
      <w:bodyDiv w:val="1"/>
      <w:marLeft w:val="0"/>
      <w:marRight w:val="0"/>
      <w:marTop w:val="0"/>
      <w:marBottom w:val="0"/>
      <w:divBdr>
        <w:top w:val="none" w:sz="0" w:space="0" w:color="auto"/>
        <w:left w:val="none" w:sz="0" w:space="0" w:color="auto"/>
        <w:bottom w:val="none" w:sz="0" w:space="0" w:color="auto"/>
        <w:right w:val="none" w:sz="0" w:space="0" w:color="auto"/>
      </w:divBdr>
      <w:divsChild>
        <w:div w:id="2058702415">
          <w:marLeft w:val="0"/>
          <w:marRight w:val="0"/>
          <w:marTop w:val="0"/>
          <w:marBottom w:val="0"/>
          <w:divBdr>
            <w:top w:val="none" w:sz="0" w:space="0" w:color="auto"/>
            <w:left w:val="none" w:sz="0" w:space="0" w:color="auto"/>
            <w:bottom w:val="none" w:sz="0" w:space="0" w:color="auto"/>
            <w:right w:val="none" w:sz="0" w:space="0" w:color="auto"/>
          </w:divBdr>
        </w:div>
      </w:divsChild>
    </w:div>
    <w:div w:id="1378629149">
      <w:bodyDiv w:val="1"/>
      <w:marLeft w:val="0"/>
      <w:marRight w:val="0"/>
      <w:marTop w:val="0"/>
      <w:marBottom w:val="0"/>
      <w:divBdr>
        <w:top w:val="none" w:sz="0" w:space="0" w:color="auto"/>
        <w:left w:val="none" w:sz="0" w:space="0" w:color="auto"/>
        <w:bottom w:val="none" w:sz="0" w:space="0" w:color="auto"/>
        <w:right w:val="none" w:sz="0" w:space="0" w:color="auto"/>
      </w:divBdr>
      <w:divsChild>
        <w:div w:id="146090479">
          <w:marLeft w:val="0"/>
          <w:marRight w:val="0"/>
          <w:marTop w:val="0"/>
          <w:marBottom w:val="0"/>
          <w:divBdr>
            <w:top w:val="none" w:sz="0" w:space="0" w:color="auto"/>
            <w:left w:val="none" w:sz="0" w:space="0" w:color="auto"/>
            <w:bottom w:val="none" w:sz="0" w:space="0" w:color="auto"/>
            <w:right w:val="none" w:sz="0" w:space="0" w:color="auto"/>
          </w:divBdr>
        </w:div>
      </w:divsChild>
    </w:div>
    <w:div w:id="1413701514">
      <w:bodyDiv w:val="1"/>
      <w:marLeft w:val="0"/>
      <w:marRight w:val="0"/>
      <w:marTop w:val="0"/>
      <w:marBottom w:val="0"/>
      <w:divBdr>
        <w:top w:val="none" w:sz="0" w:space="0" w:color="auto"/>
        <w:left w:val="none" w:sz="0" w:space="0" w:color="auto"/>
        <w:bottom w:val="none" w:sz="0" w:space="0" w:color="auto"/>
        <w:right w:val="none" w:sz="0" w:space="0" w:color="auto"/>
      </w:divBdr>
      <w:divsChild>
        <w:div w:id="1355768517">
          <w:marLeft w:val="0"/>
          <w:marRight w:val="0"/>
          <w:marTop w:val="0"/>
          <w:marBottom w:val="0"/>
          <w:divBdr>
            <w:top w:val="none" w:sz="0" w:space="0" w:color="auto"/>
            <w:left w:val="none" w:sz="0" w:space="0" w:color="auto"/>
            <w:bottom w:val="none" w:sz="0" w:space="0" w:color="auto"/>
            <w:right w:val="none" w:sz="0" w:space="0" w:color="auto"/>
          </w:divBdr>
        </w:div>
      </w:divsChild>
    </w:div>
    <w:div w:id="1429888914">
      <w:bodyDiv w:val="1"/>
      <w:marLeft w:val="0"/>
      <w:marRight w:val="0"/>
      <w:marTop w:val="0"/>
      <w:marBottom w:val="0"/>
      <w:divBdr>
        <w:top w:val="none" w:sz="0" w:space="0" w:color="auto"/>
        <w:left w:val="none" w:sz="0" w:space="0" w:color="auto"/>
        <w:bottom w:val="none" w:sz="0" w:space="0" w:color="auto"/>
        <w:right w:val="none" w:sz="0" w:space="0" w:color="auto"/>
      </w:divBdr>
      <w:divsChild>
        <w:div w:id="255871861">
          <w:marLeft w:val="0"/>
          <w:marRight w:val="0"/>
          <w:marTop w:val="0"/>
          <w:marBottom w:val="0"/>
          <w:divBdr>
            <w:top w:val="none" w:sz="0" w:space="0" w:color="auto"/>
            <w:left w:val="none" w:sz="0" w:space="0" w:color="auto"/>
            <w:bottom w:val="none" w:sz="0" w:space="0" w:color="auto"/>
            <w:right w:val="none" w:sz="0" w:space="0" w:color="auto"/>
          </w:divBdr>
        </w:div>
      </w:divsChild>
    </w:div>
    <w:div w:id="1450315665">
      <w:bodyDiv w:val="1"/>
      <w:marLeft w:val="0"/>
      <w:marRight w:val="0"/>
      <w:marTop w:val="0"/>
      <w:marBottom w:val="0"/>
      <w:divBdr>
        <w:top w:val="none" w:sz="0" w:space="0" w:color="auto"/>
        <w:left w:val="none" w:sz="0" w:space="0" w:color="auto"/>
        <w:bottom w:val="none" w:sz="0" w:space="0" w:color="auto"/>
        <w:right w:val="none" w:sz="0" w:space="0" w:color="auto"/>
      </w:divBdr>
      <w:divsChild>
        <w:div w:id="145829790">
          <w:marLeft w:val="0"/>
          <w:marRight w:val="0"/>
          <w:marTop w:val="0"/>
          <w:marBottom w:val="0"/>
          <w:divBdr>
            <w:top w:val="none" w:sz="0" w:space="0" w:color="auto"/>
            <w:left w:val="none" w:sz="0" w:space="0" w:color="auto"/>
            <w:bottom w:val="none" w:sz="0" w:space="0" w:color="auto"/>
            <w:right w:val="none" w:sz="0" w:space="0" w:color="auto"/>
          </w:divBdr>
        </w:div>
      </w:divsChild>
    </w:div>
    <w:div w:id="1487866665">
      <w:bodyDiv w:val="1"/>
      <w:marLeft w:val="0"/>
      <w:marRight w:val="0"/>
      <w:marTop w:val="0"/>
      <w:marBottom w:val="0"/>
      <w:divBdr>
        <w:top w:val="none" w:sz="0" w:space="0" w:color="auto"/>
        <w:left w:val="none" w:sz="0" w:space="0" w:color="auto"/>
        <w:bottom w:val="none" w:sz="0" w:space="0" w:color="auto"/>
        <w:right w:val="none" w:sz="0" w:space="0" w:color="auto"/>
      </w:divBdr>
      <w:divsChild>
        <w:div w:id="1714882649">
          <w:marLeft w:val="0"/>
          <w:marRight w:val="0"/>
          <w:marTop w:val="0"/>
          <w:marBottom w:val="0"/>
          <w:divBdr>
            <w:top w:val="none" w:sz="0" w:space="0" w:color="auto"/>
            <w:left w:val="none" w:sz="0" w:space="0" w:color="auto"/>
            <w:bottom w:val="none" w:sz="0" w:space="0" w:color="auto"/>
            <w:right w:val="none" w:sz="0" w:space="0" w:color="auto"/>
          </w:divBdr>
        </w:div>
      </w:divsChild>
    </w:div>
    <w:div w:id="1502624074">
      <w:bodyDiv w:val="1"/>
      <w:marLeft w:val="0"/>
      <w:marRight w:val="0"/>
      <w:marTop w:val="0"/>
      <w:marBottom w:val="0"/>
      <w:divBdr>
        <w:top w:val="none" w:sz="0" w:space="0" w:color="auto"/>
        <w:left w:val="none" w:sz="0" w:space="0" w:color="auto"/>
        <w:bottom w:val="none" w:sz="0" w:space="0" w:color="auto"/>
        <w:right w:val="none" w:sz="0" w:space="0" w:color="auto"/>
      </w:divBdr>
      <w:divsChild>
        <w:div w:id="1863011999">
          <w:marLeft w:val="0"/>
          <w:marRight w:val="0"/>
          <w:marTop w:val="0"/>
          <w:marBottom w:val="0"/>
          <w:divBdr>
            <w:top w:val="none" w:sz="0" w:space="0" w:color="auto"/>
            <w:left w:val="none" w:sz="0" w:space="0" w:color="auto"/>
            <w:bottom w:val="none" w:sz="0" w:space="0" w:color="auto"/>
            <w:right w:val="none" w:sz="0" w:space="0" w:color="auto"/>
          </w:divBdr>
        </w:div>
      </w:divsChild>
    </w:div>
    <w:div w:id="1522085258">
      <w:bodyDiv w:val="1"/>
      <w:marLeft w:val="0"/>
      <w:marRight w:val="0"/>
      <w:marTop w:val="0"/>
      <w:marBottom w:val="0"/>
      <w:divBdr>
        <w:top w:val="none" w:sz="0" w:space="0" w:color="auto"/>
        <w:left w:val="none" w:sz="0" w:space="0" w:color="auto"/>
        <w:bottom w:val="none" w:sz="0" w:space="0" w:color="auto"/>
        <w:right w:val="none" w:sz="0" w:space="0" w:color="auto"/>
      </w:divBdr>
      <w:divsChild>
        <w:div w:id="1220286818">
          <w:marLeft w:val="0"/>
          <w:marRight w:val="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553081027">
          <w:marLeft w:val="0"/>
          <w:marRight w:val="0"/>
          <w:marTop w:val="0"/>
          <w:marBottom w:val="0"/>
          <w:divBdr>
            <w:top w:val="none" w:sz="0" w:space="0" w:color="auto"/>
            <w:left w:val="none" w:sz="0" w:space="0" w:color="auto"/>
            <w:bottom w:val="none" w:sz="0" w:space="0" w:color="auto"/>
            <w:right w:val="none" w:sz="0" w:space="0" w:color="auto"/>
          </w:divBdr>
        </w:div>
      </w:divsChild>
    </w:div>
    <w:div w:id="1655602431">
      <w:bodyDiv w:val="1"/>
      <w:marLeft w:val="0"/>
      <w:marRight w:val="0"/>
      <w:marTop w:val="0"/>
      <w:marBottom w:val="0"/>
      <w:divBdr>
        <w:top w:val="none" w:sz="0" w:space="0" w:color="auto"/>
        <w:left w:val="none" w:sz="0" w:space="0" w:color="auto"/>
        <w:bottom w:val="none" w:sz="0" w:space="0" w:color="auto"/>
        <w:right w:val="none" w:sz="0" w:space="0" w:color="auto"/>
      </w:divBdr>
      <w:divsChild>
        <w:div w:id="894318728">
          <w:marLeft w:val="0"/>
          <w:marRight w:val="0"/>
          <w:marTop w:val="0"/>
          <w:marBottom w:val="0"/>
          <w:divBdr>
            <w:top w:val="none" w:sz="0" w:space="0" w:color="auto"/>
            <w:left w:val="none" w:sz="0" w:space="0" w:color="auto"/>
            <w:bottom w:val="none" w:sz="0" w:space="0" w:color="auto"/>
            <w:right w:val="none" w:sz="0" w:space="0" w:color="auto"/>
          </w:divBdr>
        </w:div>
      </w:divsChild>
    </w:div>
    <w:div w:id="1656061850">
      <w:bodyDiv w:val="1"/>
      <w:marLeft w:val="0"/>
      <w:marRight w:val="0"/>
      <w:marTop w:val="0"/>
      <w:marBottom w:val="0"/>
      <w:divBdr>
        <w:top w:val="none" w:sz="0" w:space="0" w:color="auto"/>
        <w:left w:val="none" w:sz="0" w:space="0" w:color="auto"/>
        <w:bottom w:val="none" w:sz="0" w:space="0" w:color="auto"/>
        <w:right w:val="none" w:sz="0" w:space="0" w:color="auto"/>
      </w:divBdr>
      <w:divsChild>
        <w:div w:id="786117401">
          <w:marLeft w:val="0"/>
          <w:marRight w:val="0"/>
          <w:marTop w:val="0"/>
          <w:marBottom w:val="0"/>
          <w:divBdr>
            <w:top w:val="none" w:sz="0" w:space="0" w:color="auto"/>
            <w:left w:val="none" w:sz="0" w:space="0" w:color="auto"/>
            <w:bottom w:val="none" w:sz="0" w:space="0" w:color="auto"/>
            <w:right w:val="none" w:sz="0" w:space="0" w:color="auto"/>
          </w:divBdr>
        </w:div>
      </w:divsChild>
    </w:div>
    <w:div w:id="1662274256">
      <w:bodyDiv w:val="1"/>
      <w:marLeft w:val="0"/>
      <w:marRight w:val="0"/>
      <w:marTop w:val="0"/>
      <w:marBottom w:val="0"/>
      <w:divBdr>
        <w:top w:val="none" w:sz="0" w:space="0" w:color="auto"/>
        <w:left w:val="none" w:sz="0" w:space="0" w:color="auto"/>
        <w:bottom w:val="none" w:sz="0" w:space="0" w:color="auto"/>
        <w:right w:val="none" w:sz="0" w:space="0" w:color="auto"/>
      </w:divBdr>
      <w:divsChild>
        <w:div w:id="141041235">
          <w:marLeft w:val="0"/>
          <w:marRight w:val="0"/>
          <w:marTop w:val="0"/>
          <w:marBottom w:val="0"/>
          <w:divBdr>
            <w:top w:val="none" w:sz="0" w:space="0" w:color="auto"/>
            <w:left w:val="none" w:sz="0" w:space="0" w:color="auto"/>
            <w:bottom w:val="none" w:sz="0" w:space="0" w:color="auto"/>
            <w:right w:val="none" w:sz="0" w:space="0" w:color="auto"/>
          </w:divBdr>
        </w:div>
      </w:divsChild>
    </w:div>
    <w:div w:id="1662536488">
      <w:bodyDiv w:val="1"/>
      <w:marLeft w:val="0"/>
      <w:marRight w:val="0"/>
      <w:marTop w:val="0"/>
      <w:marBottom w:val="0"/>
      <w:divBdr>
        <w:top w:val="none" w:sz="0" w:space="0" w:color="auto"/>
        <w:left w:val="none" w:sz="0" w:space="0" w:color="auto"/>
        <w:bottom w:val="none" w:sz="0" w:space="0" w:color="auto"/>
        <w:right w:val="none" w:sz="0" w:space="0" w:color="auto"/>
      </w:divBdr>
      <w:divsChild>
        <w:div w:id="69356852">
          <w:marLeft w:val="0"/>
          <w:marRight w:val="0"/>
          <w:marTop w:val="0"/>
          <w:marBottom w:val="0"/>
          <w:divBdr>
            <w:top w:val="none" w:sz="0" w:space="0" w:color="auto"/>
            <w:left w:val="none" w:sz="0" w:space="0" w:color="auto"/>
            <w:bottom w:val="none" w:sz="0" w:space="0" w:color="auto"/>
            <w:right w:val="none" w:sz="0" w:space="0" w:color="auto"/>
          </w:divBdr>
        </w:div>
      </w:divsChild>
    </w:div>
    <w:div w:id="1672876899">
      <w:bodyDiv w:val="1"/>
      <w:marLeft w:val="0"/>
      <w:marRight w:val="0"/>
      <w:marTop w:val="0"/>
      <w:marBottom w:val="0"/>
      <w:divBdr>
        <w:top w:val="none" w:sz="0" w:space="0" w:color="auto"/>
        <w:left w:val="none" w:sz="0" w:space="0" w:color="auto"/>
        <w:bottom w:val="none" w:sz="0" w:space="0" w:color="auto"/>
        <w:right w:val="none" w:sz="0" w:space="0" w:color="auto"/>
      </w:divBdr>
      <w:divsChild>
        <w:div w:id="1620646796">
          <w:marLeft w:val="0"/>
          <w:marRight w:val="0"/>
          <w:marTop w:val="0"/>
          <w:marBottom w:val="0"/>
          <w:divBdr>
            <w:top w:val="none" w:sz="0" w:space="0" w:color="auto"/>
            <w:left w:val="none" w:sz="0" w:space="0" w:color="auto"/>
            <w:bottom w:val="none" w:sz="0" w:space="0" w:color="auto"/>
            <w:right w:val="none" w:sz="0" w:space="0" w:color="auto"/>
          </w:divBdr>
        </w:div>
      </w:divsChild>
    </w:div>
    <w:div w:id="1688369056">
      <w:bodyDiv w:val="1"/>
      <w:marLeft w:val="0"/>
      <w:marRight w:val="0"/>
      <w:marTop w:val="0"/>
      <w:marBottom w:val="0"/>
      <w:divBdr>
        <w:top w:val="none" w:sz="0" w:space="0" w:color="auto"/>
        <w:left w:val="none" w:sz="0" w:space="0" w:color="auto"/>
        <w:bottom w:val="none" w:sz="0" w:space="0" w:color="auto"/>
        <w:right w:val="none" w:sz="0" w:space="0" w:color="auto"/>
      </w:divBdr>
      <w:divsChild>
        <w:div w:id="899512251">
          <w:marLeft w:val="0"/>
          <w:marRight w:val="0"/>
          <w:marTop w:val="0"/>
          <w:marBottom w:val="0"/>
          <w:divBdr>
            <w:top w:val="none" w:sz="0" w:space="0" w:color="auto"/>
            <w:left w:val="none" w:sz="0" w:space="0" w:color="auto"/>
            <w:bottom w:val="none" w:sz="0" w:space="0" w:color="auto"/>
            <w:right w:val="none" w:sz="0" w:space="0" w:color="auto"/>
          </w:divBdr>
        </w:div>
      </w:divsChild>
    </w:div>
    <w:div w:id="1697346286">
      <w:bodyDiv w:val="1"/>
      <w:marLeft w:val="0"/>
      <w:marRight w:val="0"/>
      <w:marTop w:val="0"/>
      <w:marBottom w:val="0"/>
      <w:divBdr>
        <w:top w:val="none" w:sz="0" w:space="0" w:color="auto"/>
        <w:left w:val="none" w:sz="0" w:space="0" w:color="auto"/>
        <w:bottom w:val="none" w:sz="0" w:space="0" w:color="auto"/>
        <w:right w:val="none" w:sz="0" w:space="0" w:color="auto"/>
      </w:divBdr>
      <w:divsChild>
        <w:div w:id="1595478377">
          <w:marLeft w:val="0"/>
          <w:marRight w:val="0"/>
          <w:marTop w:val="0"/>
          <w:marBottom w:val="0"/>
          <w:divBdr>
            <w:top w:val="none" w:sz="0" w:space="0" w:color="auto"/>
            <w:left w:val="none" w:sz="0" w:space="0" w:color="auto"/>
            <w:bottom w:val="none" w:sz="0" w:space="0" w:color="auto"/>
            <w:right w:val="none" w:sz="0" w:space="0" w:color="auto"/>
          </w:divBdr>
        </w:div>
      </w:divsChild>
    </w:div>
    <w:div w:id="1708679852">
      <w:bodyDiv w:val="1"/>
      <w:marLeft w:val="0"/>
      <w:marRight w:val="0"/>
      <w:marTop w:val="0"/>
      <w:marBottom w:val="0"/>
      <w:divBdr>
        <w:top w:val="none" w:sz="0" w:space="0" w:color="auto"/>
        <w:left w:val="none" w:sz="0" w:space="0" w:color="auto"/>
        <w:bottom w:val="none" w:sz="0" w:space="0" w:color="auto"/>
        <w:right w:val="none" w:sz="0" w:space="0" w:color="auto"/>
      </w:divBdr>
      <w:divsChild>
        <w:div w:id="1584559352">
          <w:marLeft w:val="0"/>
          <w:marRight w:val="0"/>
          <w:marTop w:val="0"/>
          <w:marBottom w:val="0"/>
          <w:divBdr>
            <w:top w:val="none" w:sz="0" w:space="0" w:color="auto"/>
            <w:left w:val="none" w:sz="0" w:space="0" w:color="auto"/>
            <w:bottom w:val="none" w:sz="0" w:space="0" w:color="auto"/>
            <w:right w:val="none" w:sz="0" w:space="0" w:color="auto"/>
          </w:divBdr>
        </w:div>
      </w:divsChild>
    </w:div>
    <w:div w:id="1731348341">
      <w:bodyDiv w:val="1"/>
      <w:marLeft w:val="0"/>
      <w:marRight w:val="0"/>
      <w:marTop w:val="0"/>
      <w:marBottom w:val="0"/>
      <w:divBdr>
        <w:top w:val="none" w:sz="0" w:space="0" w:color="auto"/>
        <w:left w:val="none" w:sz="0" w:space="0" w:color="auto"/>
        <w:bottom w:val="none" w:sz="0" w:space="0" w:color="auto"/>
        <w:right w:val="none" w:sz="0" w:space="0" w:color="auto"/>
      </w:divBdr>
      <w:divsChild>
        <w:div w:id="759060509">
          <w:marLeft w:val="0"/>
          <w:marRight w:val="0"/>
          <w:marTop w:val="0"/>
          <w:marBottom w:val="0"/>
          <w:divBdr>
            <w:top w:val="none" w:sz="0" w:space="0" w:color="auto"/>
            <w:left w:val="none" w:sz="0" w:space="0" w:color="auto"/>
            <w:bottom w:val="none" w:sz="0" w:space="0" w:color="auto"/>
            <w:right w:val="none" w:sz="0" w:space="0" w:color="auto"/>
          </w:divBdr>
        </w:div>
      </w:divsChild>
    </w:div>
    <w:div w:id="1774127806">
      <w:bodyDiv w:val="1"/>
      <w:marLeft w:val="0"/>
      <w:marRight w:val="0"/>
      <w:marTop w:val="0"/>
      <w:marBottom w:val="0"/>
      <w:divBdr>
        <w:top w:val="none" w:sz="0" w:space="0" w:color="auto"/>
        <w:left w:val="none" w:sz="0" w:space="0" w:color="auto"/>
        <w:bottom w:val="none" w:sz="0" w:space="0" w:color="auto"/>
        <w:right w:val="none" w:sz="0" w:space="0" w:color="auto"/>
      </w:divBdr>
      <w:divsChild>
        <w:div w:id="1793748265">
          <w:marLeft w:val="0"/>
          <w:marRight w:val="0"/>
          <w:marTop w:val="0"/>
          <w:marBottom w:val="0"/>
          <w:divBdr>
            <w:top w:val="none" w:sz="0" w:space="0" w:color="auto"/>
            <w:left w:val="none" w:sz="0" w:space="0" w:color="auto"/>
            <w:bottom w:val="none" w:sz="0" w:space="0" w:color="auto"/>
            <w:right w:val="none" w:sz="0" w:space="0" w:color="auto"/>
          </w:divBdr>
        </w:div>
      </w:divsChild>
    </w:div>
    <w:div w:id="1789230197">
      <w:bodyDiv w:val="1"/>
      <w:marLeft w:val="0"/>
      <w:marRight w:val="0"/>
      <w:marTop w:val="0"/>
      <w:marBottom w:val="0"/>
      <w:divBdr>
        <w:top w:val="none" w:sz="0" w:space="0" w:color="auto"/>
        <w:left w:val="none" w:sz="0" w:space="0" w:color="auto"/>
        <w:bottom w:val="none" w:sz="0" w:space="0" w:color="auto"/>
        <w:right w:val="none" w:sz="0" w:space="0" w:color="auto"/>
      </w:divBdr>
      <w:divsChild>
        <w:div w:id="2119179489">
          <w:marLeft w:val="0"/>
          <w:marRight w:val="0"/>
          <w:marTop w:val="0"/>
          <w:marBottom w:val="0"/>
          <w:divBdr>
            <w:top w:val="none" w:sz="0" w:space="0" w:color="auto"/>
            <w:left w:val="none" w:sz="0" w:space="0" w:color="auto"/>
            <w:bottom w:val="none" w:sz="0" w:space="0" w:color="auto"/>
            <w:right w:val="none" w:sz="0" w:space="0" w:color="auto"/>
          </w:divBdr>
        </w:div>
      </w:divsChild>
    </w:div>
    <w:div w:id="1800878386">
      <w:bodyDiv w:val="1"/>
      <w:marLeft w:val="0"/>
      <w:marRight w:val="0"/>
      <w:marTop w:val="0"/>
      <w:marBottom w:val="0"/>
      <w:divBdr>
        <w:top w:val="none" w:sz="0" w:space="0" w:color="auto"/>
        <w:left w:val="none" w:sz="0" w:space="0" w:color="auto"/>
        <w:bottom w:val="none" w:sz="0" w:space="0" w:color="auto"/>
        <w:right w:val="none" w:sz="0" w:space="0" w:color="auto"/>
      </w:divBdr>
      <w:divsChild>
        <w:div w:id="413556272">
          <w:marLeft w:val="0"/>
          <w:marRight w:val="0"/>
          <w:marTop w:val="0"/>
          <w:marBottom w:val="0"/>
          <w:divBdr>
            <w:top w:val="none" w:sz="0" w:space="0" w:color="auto"/>
            <w:left w:val="none" w:sz="0" w:space="0" w:color="auto"/>
            <w:bottom w:val="none" w:sz="0" w:space="0" w:color="auto"/>
            <w:right w:val="none" w:sz="0" w:space="0" w:color="auto"/>
          </w:divBdr>
        </w:div>
      </w:divsChild>
    </w:div>
    <w:div w:id="1813984144">
      <w:bodyDiv w:val="1"/>
      <w:marLeft w:val="0"/>
      <w:marRight w:val="0"/>
      <w:marTop w:val="0"/>
      <w:marBottom w:val="0"/>
      <w:divBdr>
        <w:top w:val="none" w:sz="0" w:space="0" w:color="auto"/>
        <w:left w:val="none" w:sz="0" w:space="0" w:color="auto"/>
        <w:bottom w:val="none" w:sz="0" w:space="0" w:color="auto"/>
        <w:right w:val="none" w:sz="0" w:space="0" w:color="auto"/>
      </w:divBdr>
      <w:divsChild>
        <w:div w:id="870654477">
          <w:marLeft w:val="0"/>
          <w:marRight w:val="0"/>
          <w:marTop w:val="0"/>
          <w:marBottom w:val="0"/>
          <w:divBdr>
            <w:top w:val="none" w:sz="0" w:space="0" w:color="auto"/>
            <w:left w:val="none" w:sz="0" w:space="0" w:color="auto"/>
            <w:bottom w:val="none" w:sz="0" w:space="0" w:color="auto"/>
            <w:right w:val="none" w:sz="0" w:space="0" w:color="auto"/>
          </w:divBdr>
        </w:div>
      </w:divsChild>
    </w:div>
    <w:div w:id="1839730280">
      <w:bodyDiv w:val="1"/>
      <w:marLeft w:val="0"/>
      <w:marRight w:val="0"/>
      <w:marTop w:val="0"/>
      <w:marBottom w:val="0"/>
      <w:divBdr>
        <w:top w:val="none" w:sz="0" w:space="0" w:color="auto"/>
        <w:left w:val="none" w:sz="0" w:space="0" w:color="auto"/>
        <w:bottom w:val="none" w:sz="0" w:space="0" w:color="auto"/>
        <w:right w:val="none" w:sz="0" w:space="0" w:color="auto"/>
      </w:divBdr>
      <w:divsChild>
        <w:div w:id="1803619655">
          <w:marLeft w:val="0"/>
          <w:marRight w:val="0"/>
          <w:marTop w:val="0"/>
          <w:marBottom w:val="0"/>
          <w:divBdr>
            <w:top w:val="none" w:sz="0" w:space="0" w:color="auto"/>
            <w:left w:val="none" w:sz="0" w:space="0" w:color="auto"/>
            <w:bottom w:val="none" w:sz="0" w:space="0" w:color="auto"/>
            <w:right w:val="none" w:sz="0" w:space="0" w:color="auto"/>
          </w:divBdr>
        </w:div>
      </w:divsChild>
    </w:div>
    <w:div w:id="1840999677">
      <w:bodyDiv w:val="1"/>
      <w:marLeft w:val="0"/>
      <w:marRight w:val="0"/>
      <w:marTop w:val="0"/>
      <w:marBottom w:val="0"/>
      <w:divBdr>
        <w:top w:val="none" w:sz="0" w:space="0" w:color="auto"/>
        <w:left w:val="none" w:sz="0" w:space="0" w:color="auto"/>
        <w:bottom w:val="none" w:sz="0" w:space="0" w:color="auto"/>
        <w:right w:val="none" w:sz="0" w:space="0" w:color="auto"/>
      </w:divBdr>
      <w:divsChild>
        <w:div w:id="1598825564">
          <w:marLeft w:val="0"/>
          <w:marRight w:val="0"/>
          <w:marTop w:val="0"/>
          <w:marBottom w:val="0"/>
          <w:divBdr>
            <w:top w:val="none" w:sz="0" w:space="0" w:color="auto"/>
            <w:left w:val="none" w:sz="0" w:space="0" w:color="auto"/>
            <w:bottom w:val="none" w:sz="0" w:space="0" w:color="auto"/>
            <w:right w:val="none" w:sz="0" w:space="0" w:color="auto"/>
          </w:divBdr>
        </w:div>
      </w:divsChild>
    </w:div>
    <w:div w:id="1848129313">
      <w:bodyDiv w:val="1"/>
      <w:marLeft w:val="0"/>
      <w:marRight w:val="0"/>
      <w:marTop w:val="0"/>
      <w:marBottom w:val="0"/>
      <w:divBdr>
        <w:top w:val="none" w:sz="0" w:space="0" w:color="auto"/>
        <w:left w:val="none" w:sz="0" w:space="0" w:color="auto"/>
        <w:bottom w:val="none" w:sz="0" w:space="0" w:color="auto"/>
        <w:right w:val="none" w:sz="0" w:space="0" w:color="auto"/>
      </w:divBdr>
      <w:divsChild>
        <w:div w:id="1981301991">
          <w:marLeft w:val="0"/>
          <w:marRight w:val="0"/>
          <w:marTop w:val="0"/>
          <w:marBottom w:val="0"/>
          <w:divBdr>
            <w:top w:val="none" w:sz="0" w:space="0" w:color="auto"/>
            <w:left w:val="none" w:sz="0" w:space="0" w:color="auto"/>
            <w:bottom w:val="none" w:sz="0" w:space="0" w:color="auto"/>
            <w:right w:val="none" w:sz="0" w:space="0" w:color="auto"/>
          </w:divBdr>
        </w:div>
      </w:divsChild>
    </w:div>
    <w:div w:id="1882671100">
      <w:bodyDiv w:val="1"/>
      <w:marLeft w:val="0"/>
      <w:marRight w:val="0"/>
      <w:marTop w:val="0"/>
      <w:marBottom w:val="0"/>
      <w:divBdr>
        <w:top w:val="none" w:sz="0" w:space="0" w:color="auto"/>
        <w:left w:val="none" w:sz="0" w:space="0" w:color="auto"/>
        <w:bottom w:val="none" w:sz="0" w:space="0" w:color="auto"/>
        <w:right w:val="none" w:sz="0" w:space="0" w:color="auto"/>
      </w:divBdr>
      <w:divsChild>
        <w:div w:id="1109156774">
          <w:marLeft w:val="0"/>
          <w:marRight w:val="0"/>
          <w:marTop w:val="0"/>
          <w:marBottom w:val="0"/>
          <w:divBdr>
            <w:top w:val="none" w:sz="0" w:space="0" w:color="auto"/>
            <w:left w:val="none" w:sz="0" w:space="0" w:color="auto"/>
            <w:bottom w:val="none" w:sz="0" w:space="0" w:color="auto"/>
            <w:right w:val="none" w:sz="0" w:space="0" w:color="auto"/>
          </w:divBdr>
        </w:div>
      </w:divsChild>
    </w:div>
    <w:div w:id="1894385738">
      <w:bodyDiv w:val="1"/>
      <w:marLeft w:val="0"/>
      <w:marRight w:val="0"/>
      <w:marTop w:val="0"/>
      <w:marBottom w:val="0"/>
      <w:divBdr>
        <w:top w:val="none" w:sz="0" w:space="0" w:color="auto"/>
        <w:left w:val="none" w:sz="0" w:space="0" w:color="auto"/>
        <w:bottom w:val="none" w:sz="0" w:space="0" w:color="auto"/>
        <w:right w:val="none" w:sz="0" w:space="0" w:color="auto"/>
      </w:divBdr>
      <w:divsChild>
        <w:div w:id="2081367392">
          <w:marLeft w:val="0"/>
          <w:marRight w:val="0"/>
          <w:marTop w:val="0"/>
          <w:marBottom w:val="0"/>
          <w:divBdr>
            <w:top w:val="none" w:sz="0" w:space="0" w:color="3D3D3D"/>
            <w:left w:val="none" w:sz="0" w:space="0" w:color="3D3D3D"/>
            <w:bottom w:val="none" w:sz="0" w:space="0" w:color="3D3D3D"/>
            <w:right w:val="none" w:sz="0" w:space="0" w:color="3D3D3D"/>
          </w:divBdr>
          <w:divsChild>
            <w:div w:id="117448984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62027126">
      <w:bodyDiv w:val="1"/>
      <w:marLeft w:val="0"/>
      <w:marRight w:val="0"/>
      <w:marTop w:val="0"/>
      <w:marBottom w:val="0"/>
      <w:divBdr>
        <w:top w:val="none" w:sz="0" w:space="0" w:color="auto"/>
        <w:left w:val="none" w:sz="0" w:space="0" w:color="auto"/>
        <w:bottom w:val="none" w:sz="0" w:space="0" w:color="auto"/>
        <w:right w:val="none" w:sz="0" w:space="0" w:color="auto"/>
      </w:divBdr>
      <w:divsChild>
        <w:div w:id="278143942">
          <w:marLeft w:val="0"/>
          <w:marRight w:val="0"/>
          <w:marTop w:val="0"/>
          <w:marBottom w:val="0"/>
          <w:divBdr>
            <w:top w:val="none" w:sz="0" w:space="0" w:color="auto"/>
            <w:left w:val="none" w:sz="0" w:space="0" w:color="auto"/>
            <w:bottom w:val="none" w:sz="0" w:space="0" w:color="auto"/>
            <w:right w:val="none" w:sz="0" w:space="0" w:color="auto"/>
          </w:divBdr>
        </w:div>
      </w:divsChild>
    </w:div>
    <w:div w:id="2015649196">
      <w:bodyDiv w:val="1"/>
      <w:marLeft w:val="0"/>
      <w:marRight w:val="0"/>
      <w:marTop w:val="0"/>
      <w:marBottom w:val="0"/>
      <w:divBdr>
        <w:top w:val="none" w:sz="0" w:space="0" w:color="auto"/>
        <w:left w:val="none" w:sz="0" w:space="0" w:color="auto"/>
        <w:bottom w:val="none" w:sz="0" w:space="0" w:color="auto"/>
        <w:right w:val="none" w:sz="0" w:space="0" w:color="auto"/>
      </w:divBdr>
      <w:divsChild>
        <w:div w:id="519511098">
          <w:marLeft w:val="0"/>
          <w:marRight w:val="0"/>
          <w:marTop w:val="0"/>
          <w:marBottom w:val="0"/>
          <w:divBdr>
            <w:top w:val="none" w:sz="0" w:space="0" w:color="auto"/>
            <w:left w:val="none" w:sz="0" w:space="0" w:color="auto"/>
            <w:bottom w:val="none" w:sz="0" w:space="0" w:color="auto"/>
            <w:right w:val="none" w:sz="0" w:space="0" w:color="auto"/>
          </w:divBdr>
        </w:div>
      </w:divsChild>
    </w:div>
    <w:div w:id="2042238121">
      <w:bodyDiv w:val="1"/>
      <w:marLeft w:val="0"/>
      <w:marRight w:val="0"/>
      <w:marTop w:val="0"/>
      <w:marBottom w:val="0"/>
      <w:divBdr>
        <w:top w:val="none" w:sz="0" w:space="0" w:color="auto"/>
        <w:left w:val="none" w:sz="0" w:space="0" w:color="auto"/>
        <w:bottom w:val="none" w:sz="0" w:space="0" w:color="auto"/>
        <w:right w:val="none" w:sz="0" w:space="0" w:color="auto"/>
      </w:divBdr>
      <w:divsChild>
        <w:div w:id="509105922">
          <w:marLeft w:val="0"/>
          <w:marRight w:val="0"/>
          <w:marTop w:val="0"/>
          <w:marBottom w:val="0"/>
          <w:divBdr>
            <w:top w:val="none" w:sz="0" w:space="0" w:color="auto"/>
            <w:left w:val="none" w:sz="0" w:space="0" w:color="auto"/>
            <w:bottom w:val="none" w:sz="0" w:space="0" w:color="auto"/>
            <w:right w:val="none" w:sz="0" w:space="0" w:color="auto"/>
          </w:divBdr>
        </w:div>
      </w:divsChild>
    </w:div>
    <w:div w:id="2061053309">
      <w:bodyDiv w:val="1"/>
      <w:marLeft w:val="0"/>
      <w:marRight w:val="0"/>
      <w:marTop w:val="0"/>
      <w:marBottom w:val="0"/>
      <w:divBdr>
        <w:top w:val="none" w:sz="0" w:space="0" w:color="auto"/>
        <w:left w:val="none" w:sz="0" w:space="0" w:color="auto"/>
        <w:bottom w:val="none" w:sz="0" w:space="0" w:color="auto"/>
        <w:right w:val="none" w:sz="0" w:space="0" w:color="auto"/>
      </w:divBdr>
      <w:divsChild>
        <w:div w:id="1913812717">
          <w:marLeft w:val="0"/>
          <w:marRight w:val="0"/>
          <w:marTop w:val="0"/>
          <w:marBottom w:val="0"/>
          <w:divBdr>
            <w:top w:val="none" w:sz="0" w:space="0" w:color="auto"/>
            <w:left w:val="none" w:sz="0" w:space="0" w:color="auto"/>
            <w:bottom w:val="none" w:sz="0" w:space="0" w:color="auto"/>
            <w:right w:val="none" w:sz="0" w:space="0" w:color="auto"/>
          </w:divBdr>
        </w:div>
      </w:divsChild>
    </w:div>
    <w:div w:id="2135246841">
      <w:bodyDiv w:val="1"/>
      <w:marLeft w:val="0"/>
      <w:marRight w:val="0"/>
      <w:marTop w:val="0"/>
      <w:marBottom w:val="0"/>
      <w:divBdr>
        <w:top w:val="none" w:sz="0" w:space="0" w:color="auto"/>
        <w:left w:val="none" w:sz="0" w:space="0" w:color="auto"/>
        <w:bottom w:val="none" w:sz="0" w:space="0" w:color="auto"/>
        <w:right w:val="none" w:sz="0" w:space="0" w:color="auto"/>
      </w:divBdr>
      <w:divsChild>
        <w:div w:id="731732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9362-91BE-41AB-81DF-8EF7FE9F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9125</Words>
  <Characters>52018</Characters>
  <Application>Microsoft Office Word</Application>
  <DocSecurity>0</DocSecurity>
  <Lines>433</Lines>
  <Paragraphs>122</Paragraphs>
  <ScaleCrop>false</ScaleCrop>
  <Manager/>
  <Company/>
  <LinksUpToDate>false</LinksUpToDate>
  <CharactersWithSpaces>61021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2023-07-14T19:14:00Z</dcterms:created>
  <dcterms:modified xsi:type="dcterms:W3CDTF">2023-07-14T19:15:00Z</dcterms:modified>
  <cp:category/>
</cp:coreProperties>
</file>