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196D1D" w:rsidRPr="00DA0A96" w:rsidP="00DA0A96">
      <w:pPr>
        <w:tabs>
          <w:tab w:val="left" w:leader="underscore" w:pos="4680"/>
        </w:tabs>
        <w:spacing w:after="0"/>
        <w:jc w:val="center"/>
        <w:rPr>
          <w:sz w:val="36"/>
        </w:rPr>
      </w:pPr>
      <w:bookmarkStart w:id="0" w:name="MarkDocLoc"/>
      <w:bookmarkStart w:id="1" w:name="_Hlk96944150"/>
      <w:bookmarkEnd w:id="0"/>
      <w:r w:rsidRPr="00DA0A96">
        <w:rPr>
          <w:b/>
          <w:sz w:val="36"/>
        </w:rPr>
        <w:t>IN THE SUPREME COURT OF CALIFORNIA</w:t>
      </w:r>
    </w:p>
    <w:p w:rsidR="00DA0A96" w:rsidRPr="00DA0A96" w:rsidP="00DA0A96">
      <w:pPr>
        <w:tabs>
          <w:tab w:val="left" w:leader="underscore" w:pos="4680"/>
        </w:tabs>
        <w:spacing w:after="0"/>
        <w:jc w:val="center"/>
      </w:pPr>
    </w:p>
    <w:p w:rsidR="00DA0A96" w:rsidRPr="00DA0A96" w:rsidP="00DA0A96">
      <w:pPr>
        <w:tabs>
          <w:tab w:val="left" w:leader="underscore" w:pos="4680"/>
        </w:tabs>
        <w:spacing w:after="0"/>
        <w:jc w:val="center"/>
      </w:pPr>
      <w:r w:rsidRPr="00DA0A96">
        <w:t>BETTY TANSAVATDI</w:t>
      </w:r>
      <w:r>
        <w:t>,</w:t>
      </w:r>
    </w:p>
    <w:p w:rsidR="00DA0A96" w:rsidRPr="00DA0A96" w:rsidP="00DA0A96">
      <w:pPr>
        <w:tabs>
          <w:tab w:val="left" w:leader="underscore" w:pos="4680"/>
        </w:tabs>
        <w:spacing w:after="0"/>
        <w:jc w:val="center"/>
      </w:pPr>
      <w:r w:rsidRPr="00DA0A96">
        <w:t>Plaintiff and Appellant</w:t>
      </w:r>
      <w:r>
        <w:t>,</w:t>
      </w:r>
    </w:p>
    <w:p w:rsidR="00DA0A96" w:rsidRPr="00DA0A96" w:rsidP="00DA0A96">
      <w:pPr>
        <w:tabs>
          <w:tab w:val="left" w:leader="underscore" w:pos="4680"/>
        </w:tabs>
        <w:spacing w:after="0"/>
        <w:jc w:val="center"/>
      </w:pPr>
      <w:r w:rsidRPr="00DA0A96">
        <w:t>v.</w:t>
      </w:r>
    </w:p>
    <w:p w:rsidR="00DA0A96" w:rsidRPr="00DA0A96" w:rsidP="00DA0A96">
      <w:pPr>
        <w:tabs>
          <w:tab w:val="left" w:leader="underscore" w:pos="4680"/>
        </w:tabs>
        <w:spacing w:after="0"/>
        <w:jc w:val="center"/>
      </w:pPr>
      <w:bookmarkStart w:id="2" w:name="_Hlk129074950"/>
      <w:r w:rsidRPr="00DA0A96">
        <w:t>CITY OF RANCHO PALOS VERDES</w:t>
      </w:r>
      <w:bookmarkEnd w:id="2"/>
      <w:r>
        <w:t>,</w:t>
      </w:r>
    </w:p>
    <w:p w:rsidR="00DA0A96" w:rsidRPr="00DA0A96" w:rsidP="00DA0A96">
      <w:pPr>
        <w:tabs>
          <w:tab w:val="left" w:leader="underscore" w:pos="4680"/>
        </w:tabs>
        <w:spacing w:after="0"/>
        <w:jc w:val="center"/>
      </w:pPr>
      <w:r w:rsidRPr="00DA0A96">
        <w:t xml:space="preserve">Defendant and Respondent. </w:t>
      </w:r>
    </w:p>
    <w:p w:rsidR="00DA0A96" w:rsidRPr="00DA0A96" w:rsidP="00DA0A96">
      <w:pPr>
        <w:tabs>
          <w:tab w:val="left" w:leader="underscore" w:pos="4680"/>
        </w:tabs>
        <w:spacing w:after="0"/>
        <w:jc w:val="center"/>
      </w:pPr>
    </w:p>
    <w:p w:rsidR="00DA0A96" w:rsidRPr="00DA0A96" w:rsidP="00DA0A96">
      <w:pPr>
        <w:tabs>
          <w:tab w:val="left" w:leader="underscore" w:pos="4680"/>
        </w:tabs>
        <w:spacing w:after="0"/>
        <w:jc w:val="center"/>
      </w:pPr>
      <w:bookmarkStart w:id="3" w:name="_Hlk129074965"/>
      <w:r w:rsidRPr="00DA0A96">
        <w:t>S267453</w:t>
      </w:r>
      <w:bookmarkEnd w:id="3"/>
    </w:p>
    <w:p w:rsidR="00DA0A96" w:rsidRPr="00DA0A96" w:rsidP="00DA0A96">
      <w:pPr>
        <w:tabs>
          <w:tab w:val="left" w:leader="underscore" w:pos="4680"/>
        </w:tabs>
        <w:spacing w:after="0"/>
        <w:jc w:val="center"/>
      </w:pPr>
    </w:p>
    <w:p w:rsidR="00DA0A96" w:rsidRPr="00DA0A96" w:rsidP="00DA0A96">
      <w:pPr>
        <w:tabs>
          <w:tab w:val="left" w:leader="underscore" w:pos="4680"/>
        </w:tabs>
        <w:spacing w:after="0"/>
        <w:jc w:val="center"/>
      </w:pPr>
      <w:r w:rsidRPr="00DA0A96">
        <w:t xml:space="preserve">Second Appellate District, Division </w:t>
      </w:r>
      <w:r>
        <w:t>Four</w:t>
      </w:r>
    </w:p>
    <w:p w:rsidR="00DA0A96" w:rsidRPr="00DA0A96" w:rsidP="00DA0A96">
      <w:pPr>
        <w:tabs>
          <w:tab w:val="left" w:leader="underscore" w:pos="4680"/>
        </w:tabs>
        <w:spacing w:after="0"/>
        <w:jc w:val="center"/>
      </w:pPr>
      <w:r w:rsidRPr="00DA0A96">
        <w:t>B293670</w:t>
      </w:r>
    </w:p>
    <w:p w:rsidR="00DA0A96" w:rsidRPr="00DA0A96" w:rsidP="00DA0A96">
      <w:pPr>
        <w:tabs>
          <w:tab w:val="left" w:leader="underscore" w:pos="4680"/>
        </w:tabs>
        <w:spacing w:after="0"/>
        <w:jc w:val="center"/>
      </w:pPr>
    </w:p>
    <w:p w:rsidR="00DA0A96" w:rsidRPr="00DA0A96" w:rsidP="00DA0A96">
      <w:pPr>
        <w:tabs>
          <w:tab w:val="left" w:leader="underscore" w:pos="4680"/>
        </w:tabs>
        <w:spacing w:after="0"/>
        <w:jc w:val="center"/>
      </w:pPr>
      <w:r w:rsidRPr="00DA0A96">
        <w:t>Los Angeles County</w:t>
      </w:r>
      <w:r w:rsidR="00E1286D">
        <w:t xml:space="preserve"> Superior Court</w:t>
      </w:r>
    </w:p>
    <w:p w:rsidR="00DA0A96" w:rsidRPr="00DA0A96" w:rsidP="00DA0A96">
      <w:pPr>
        <w:tabs>
          <w:tab w:val="left" w:leader="underscore" w:pos="4680"/>
        </w:tabs>
        <w:spacing w:after="0"/>
        <w:jc w:val="center"/>
      </w:pPr>
      <w:r w:rsidRPr="00DA0A96">
        <w:t>BC633651 and BC652435</w:t>
      </w:r>
    </w:p>
    <w:p w:rsidR="00DA0A96" w:rsidP="00DA0A96">
      <w:pPr>
        <w:pBdr>
          <w:bottom w:val="single" w:sz="4" w:space="1" w:color="auto"/>
        </w:pBdr>
        <w:tabs>
          <w:tab w:val="left" w:leader="underscore" w:pos="4680"/>
        </w:tabs>
        <w:spacing w:after="0"/>
        <w:jc w:val="center"/>
        <w:rPr>
          <w:u w:val="single"/>
        </w:rPr>
      </w:pPr>
    </w:p>
    <w:p w:rsidR="00DA0A96" w:rsidP="00DA0A96">
      <w:pPr>
        <w:tabs>
          <w:tab w:val="left" w:leader="underscore" w:pos="4680"/>
        </w:tabs>
        <w:spacing w:after="0"/>
        <w:jc w:val="center"/>
        <w:rPr>
          <w:u w:val="single"/>
        </w:rPr>
      </w:pPr>
    </w:p>
    <w:p w:rsidR="00DA0A96" w:rsidRPr="00DA0A96" w:rsidP="00DA0A96">
      <w:pPr>
        <w:tabs>
          <w:tab w:val="left" w:leader="underscore" w:pos="4680"/>
        </w:tabs>
        <w:spacing w:after="0"/>
        <w:jc w:val="center"/>
      </w:pPr>
      <w:r>
        <w:t>April 27</w:t>
      </w:r>
      <w:r w:rsidRPr="00DA0A96">
        <w:t>, 2023</w:t>
      </w:r>
    </w:p>
    <w:p w:rsidR="00DA0A96" w:rsidRPr="00DA0A96" w:rsidP="00DA0A96">
      <w:pPr>
        <w:tabs>
          <w:tab w:val="left" w:leader="underscore" w:pos="4680"/>
        </w:tabs>
        <w:spacing w:after="0"/>
        <w:jc w:val="center"/>
      </w:pPr>
    </w:p>
    <w:p w:rsidR="00DA0A96" w:rsidRPr="00DA0A96" w:rsidP="00DA0A96">
      <w:pPr>
        <w:tabs>
          <w:tab w:val="left" w:leader="underscore" w:pos="4680"/>
        </w:tabs>
        <w:spacing w:after="0"/>
        <w:jc w:val="left"/>
      </w:pPr>
      <w:r w:rsidRPr="00DA0A96">
        <w:t xml:space="preserve">Justice Groban authored the opinion of the </w:t>
      </w:r>
      <w:r w:rsidR="00E1286D">
        <w:t>C</w:t>
      </w:r>
      <w:r w:rsidRPr="00DA0A96">
        <w:t xml:space="preserve">ourt, in which </w:t>
      </w:r>
      <w:r w:rsidRPr="00077BAA" w:rsidR="007F095F">
        <w:rPr>
          <w:szCs w:val="27"/>
        </w:rPr>
        <w:t xml:space="preserve">Chief Justice Guerrero and Justices Corrigan, </w:t>
      </w:r>
      <w:r w:rsidR="007F095F">
        <w:rPr>
          <w:szCs w:val="27"/>
        </w:rPr>
        <w:t xml:space="preserve">Liu, </w:t>
      </w:r>
      <w:r w:rsidRPr="00077BAA" w:rsidR="007F095F">
        <w:rPr>
          <w:szCs w:val="27"/>
        </w:rPr>
        <w:t>Kruger, Jenkins,</w:t>
      </w:r>
      <w:r w:rsidRPr="00077BAA" w:rsidR="007F095F">
        <w:t xml:space="preserve"> and</w:t>
      </w:r>
      <w:r w:rsidR="007F095F">
        <w:t xml:space="preserve"> Evans</w:t>
      </w:r>
      <w:r w:rsidRPr="00DA0A96">
        <w:t xml:space="preserve"> concurred.</w:t>
      </w:r>
    </w:p>
    <w:p w:rsidR="00DA0A96" w:rsidRPr="00DA0A96" w:rsidP="00DA0A96">
      <w:pPr>
        <w:pBdr>
          <w:bottom w:val="single" w:sz="4" w:space="1" w:color="auto"/>
        </w:pBdr>
        <w:tabs>
          <w:tab w:val="left" w:leader="underscore" w:pos="4680"/>
        </w:tabs>
        <w:spacing w:line="240" w:lineRule="atLeast"/>
        <w:jc w:val="left"/>
        <w:rPr>
          <w:u w:val="single"/>
        </w:rPr>
      </w:pPr>
      <w:bookmarkStart w:id="4" w:name="Return"/>
      <w:bookmarkEnd w:id="4"/>
    </w:p>
    <w:p w:rsidR="00DA0A96" w:rsidP="00A951AC">
      <w:pPr>
        <w:tabs>
          <w:tab w:val="left" w:leader="underscore" w:pos="4680"/>
        </w:tabs>
        <w:spacing w:line="240" w:lineRule="atLeast"/>
        <w:rPr>
          <w:u w:val="single"/>
        </w:rPr>
        <w:sectPr w:rsidSect="00DA0A96">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DA0A96" w:rsidRPr="00DA0A96" w:rsidP="00DA0A96">
      <w:pPr>
        <w:tabs>
          <w:tab w:val="left" w:leader="underscore" w:pos="4680"/>
        </w:tabs>
        <w:jc w:val="center"/>
      </w:pPr>
      <w:r w:rsidRPr="00DA0A96">
        <w:t>TANSAVATDI v. CITY OF RANCHO PALOS VERDES</w:t>
      </w:r>
    </w:p>
    <w:p w:rsidR="00DA0A96" w:rsidRPr="00DA0A96" w:rsidP="00DA0A96">
      <w:pPr>
        <w:tabs>
          <w:tab w:val="left" w:leader="underscore" w:pos="4680"/>
        </w:tabs>
        <w:jc w:val="center"/>
      </w:pPr>
      <w:r w:rsidRPr="00DA0A96">
        <w:t>S267453</w:t>
      </w:r>
    </w:p>
    <w:p w:rsidR="00DA0A96" w:rsidRPr="00DA0A96" w:rsidP="00DA0A96">
      <w:pPr>
        <w:tabs>
          <w:tab w:val="left" w:leader="underscore" w:pos="4680"/>
        </w:tabs>
        <w:jc w:val="center"/>
      </w:pPr>
    </w:p>
    <w:p w:rsidR="00DA0A96" w:rsidRPr="00DA0A96" w:rsidP="00DA0A96">
      <w:pPr>
        <w:tabs>
          <w:tab w:val="left" w:leader="underscore" w:pos="4680"/>
        </w:tabs>
        <w:jc w:val="center"/>
      </w:pPr>
      <w:r w:rsidRPr="00DA0A96">
        <w:t>Opinion of the Court by Groban, J.</w:t>
      </w:r>
    </w:p>
    <w:p w:rsidR="00DA0A96" w:rsidRPr="00DA0A96" w:rsidP="00DA0A96">
      <w:pPr>
        <w:tabs>
          <w:tab w:val="left" w:leader="underscore" w:pos="4680"/>
        </w:tabs>
        <w:jc w:val="center"/>
        <w:rPr>
          <w:u w:val="single"/>
        </w:rPr>
      </w:pPr>
    </w:p>
    <w:p w:rsidR="006527B7" w:rsidRPr="00DA0A96" w:rsidP="00DA0A96">
      <w:pPr>
        <w:tabs>
          <w:tab w:val="left" w:pos="1440"/>
        </w:tabs>
        <w:ind w:firstLine="720"/>
      </w:pPr>
      <w:r w:rsidRPr="00DA0A96">
        <w:t>Under the Government Claims Act (Gov. Code, § 810 et seq</w:t>
      </w:r>
      <w:r w:rsidRPr="00DA0A96" w:rsidR="00E744EA">
        <w:t>.</w:t>
      </w:r>
      <w:r w:rsidRPr="00DA0A96" w:rsidR="0059098B">
        <w:t>)</w:t>
      </w:r>
      <w:r w:rsidRPr="00DA0A96" w:rsidR="007B206E">
        <w:t>,</w:t>
      </w:r>
      <w:r w:rsidRPr="00DA0A96">
        <w:t xml:space="preserve"> </w:t>
      </w:r>
      <w:r w:rsidRPr="00DA0A96" w:rsidR="00897ECA">
        <w:t xml:space="preserve">a </w:t>
      </w:r>
      <w:r w:rsidRPr="00DA0A96" w:rsidR="007835EF">
        <w:t xml:space="preserve">public </w:t>
      </w:r>
      <w:r w:rsidRPr="00DA0A96" w:rsidR="009F51EF">
        <w:t>enti</w:t>
      </w:r>
      <w:r w:rsidRPr="00DA0A96" w:rsidR="00897ECA">
        <w:t>ty</w:t>
      </w:r>
      <w:r w:rsidRPr="00DA0A96" w:rsidR="001D6362">
        <w:t xml:space="preserve"> </w:t>
      </w:r>
      <w:r w:rsidRPr="00DA0A96" w:rsidR="009F51EF">
        <w:t xml:space="preserve">can be held </w:t>
      </w:r>
      <w:r w:rsidRPr="00DA0A96" w:rsidR="004B170F">
        <w:t xml:space="preserve">liable </w:t>
      </w:r>
      <w:r w:rsidRPr="00DA0A96" w:rsidR="0038435F">
        <w:t>for</w:t>
      </w:r>
      <w:r w:rsidRPr="00DA0A96">
        <w:t xml:space="preserve"> either</w:t>
      </w:r>
      <w:r w:rsidRPr="00DA0A96" w:rsidR="001D6362">
        <w:t xml:space="preserve"> </w:t>
      </w:r>
      <w:r w:rsidRPr="00DA0A96" w:rsidR="004B170F">
        <w:t>creating</w:t>
      </w:r>
      <w:r w:rsidRPr="00DA0A96" w:rsidR="001D6362">
        <w:t xml:space="preserve"> </w:t>
      </w:r>
      <w:r w:rsidRPr="00DA0A96" w:rsidR="0038435F">
        <w:t xml:space="preserve">a dangerous condition </w:t>
      </w:r>
      <w:r w:rsidRPr="00DA0A96" w:rsidR="001D6362">
        <w:t xml:space="preserve">on </w:t>
      </w:r>
      <w:r w:rsidRPr="00DA0A96" w:rsidR="007835EF">
        <w:t>its</w:t>
      </w:r>
      <w:r w:rsidRPr="00DA0A96" w:rsidR="001D6362">
        <w:t xml:space="preserve"> </w:t>
      </w:r>
      <w:r w:rsidRPr="00DA0A96" w:rsidR="0038435F">
        <w:t>property</w:t>
      </w:r>
      <w:r w:rsidRPr="00DA0A96" w:rsidR="00897ECA">
        <w:t xml:space="preserve"> (</w:t>
      </w:r>
      <w:r w:rsidRPr="00987F48" w:rsidR="00987F48">
        <w:rPr>
          <w:i/>
          <w:iCs/>
        </w:rPr>
        <w:t>id</w:t>
      </w:r>
      <w:r w:rsidR="00987F48">
        <w:t>.</w:t>
      </w:r>
      <w:r w:rsidRPr="00DA0A96" w:rsidR="00897ECA">
        <w:t xml:space="preserve">, § 835, subd. (a)) </w:t>
      </w:r>
      <w:r w:rsidRPr="00DA0A96" w:rsidR="00892A80">
        <w:t>or failing to protect against such a condition</w:t>
      </w:r>
      <w:r w:rsidRPr="00DA0A96" w:rsidR="0094283F">
        <w:t xml:space="preserve"> when the entity had notice of</w:t>
      </w:r>
      <w:r w:rsidRPr="00DA0A96" w:rsidR="00897ECA">
        <w:t xml:space="preserve"> the danger and sufficient time to remedy the situation</w:t>
      </w:r>
      <w:r w:rsidRPr="00DA0A96" w:rsidR="001D6362">
        <w:t xml:space="preserve"> </w:t>
      </w:r>
      <w:r w:rsidRPr="00DA0A96" w:rsidR="004B170F">
        <w:t>(</w:t>
      </w:r>
      <w:r w:rsidRPr="00DA0A96" w:rsidR="00897ECA">
        <w:rPr>
          <w:i/>
          <w:iCs/>
        </w:rPr>
        <w:t>id</w:t>
      </w:r>
      <w:r w:rsidRPr="00DA0A96" w:rsidR="00897ECA">
        <w:t xml:space="preserve">., </w:t>
      </w:r>
      <w:r w:rsidRPr="00DA0A96" w:rsidR="004B170F">
        <w:t xml:space="preserve">subd. </w:t>
      </w:r>
      <w:r w:rsidRPr="00DA0A96" w:rsidR="009E5EE9">
        <w:t>(b))</w:t>
      </w:r>
      <w:r w:rsidR="00B47ADC">
        <w:t>.</w:t>
      </w:r>
      <w:r w:rsidRPr="00DA0A96" w:rsidR="00F74384">
        <w:t xml:space="preserve">  </w:t>
      </w:r>
      <w:r w:rsidRPr="00DA0A96" w:rsidR="007835EF">
        <w:t>T</w:t>
      </w:r>
      <w:r w:rsidRPr="00DA0A96" w:rsidR="001D6362">
        <w:t xml:space="preserve">he </w:t>
      </w:r>
      <w:r w:rsidRPr="00DA0A96">
        <w:t xml:space="preserve">statutory </w:t>
      </w:r>
      <w:r w:rsidRPr="00DA0A96" w:rsidR="00505F86">
        <w:t>defense of design immunit</w:t>
      </w:r>
      <w:r w:rsidRPr="00DA0A96" w:rsidR="00144C91">
        <w:t>y</w:t>
      </w:r>
      <w:r w:rsidRPr="00DA0A96" w:rsidR="007835EF">
        <w:t>, however,</w:t>
      </w:r>
      <w:r w:rsidRPr="00DA0A96" w:rsidR="001D6362">
        <w:t xml:space="preserve"> </w:t>
      </w:r>
      <w:r w:rsidRPr="00DA0A96" w:rsidR="00FC7552">
        <w:t xml:space="preserve">precludes </w:t>
      </w:r>
      <w:r w:rsidRPr="00DA0A96" w:rsidR="00505F86">
        <w:t>liab</w:t>
      </w:r>
      <w:r w:rsidRPr="00DA0A96" w:rsidR="008A67DC">
        <w:t xml:space="preserve">ility </w:t>
      </w:r>
      <w:r w:rsidRPr="00DA0A96" w:rsidR="00505F86">
        <w:t>for</w:t>
      </w:r>
      <w:r w:rsidRPr="00DA0A96" w:rsidR="007835EF">
        <w:t xml:space="preserve"> </w:t>
      </w:r>
      <w:r w:rsidRPr="00DA0A96" w:rsidR="006C71CF">
        <w:t>injuries that were allegedly caused by</w:t>
      </w:r>
      <w:r w:rsidRPr="00DA0A96" w:rsidR="00505F86">
        <w:t xml:space="preserve"> a defect in the design of a public improvement</w:t>
      </w:r>
      <w:r w:rsidRPr="00DA0A96">
        <w:t xml:space="preserve"> when certain conditions are met</w:t>
      </w:r>
      <w:r w:rsidRPr="00DA0A96" w:rsidR="00505F86">
        <w:t>.  (</w:t>
      </w:r>
      <w:r w:rsidRPr="00987F48" w:rsidR="00987F48">
        <w:rPr>
          <w:i/>
          <w:iCs/>
        </w:rPr>
        <w:t>Id</w:t>
      </w:r>
      <w:r w:rsidR="00987F48">
        <w:t>.,</w:t>
      </w:r>
      <w:r w:rsidRPr="00DA0A96" w:rsidR="00505F86">
        <w:t xml:space="preserve"> § 830.6</w:t>
      </w:r>
      <w:r w:rsidRPr="00DA0A96">
        <w:t>.</w:t>
      </w:r>
      <w:r w:rsidRPr="00DA0A96" w:rsidR="00505F86">
        <w:t xml:space="preserve">)  </w:t>
      </w:r>
      <w:r w:rsidRPr="00DA0A96" w:rsidR="00892A80">
        <w:t xml:space="preserve">To obtain design immunity, </w:t>
      </w:r>
      <w:r w:rsidR="00EF64C2">
        <w:t>a</w:t>
      </w:r>
      <w:r w:rsidRPr="00DA0A96" w:rsidR="00892A80">
        <w:t xml:space="preserve"> public entity must establish that</w:t>
      </w:r>
      <w:r w:rsidRPr="00DA0A96" w:rsidR="00897ECA">
        <w:t xml:space="preserve"> </w:t>
      </w:r>
      <w:r w:rsidRPr="00DA0A96" w:rsidR="00892A80">
        <w:t>the</w:t>
      </w:r>
      <w:r w:rsidRPr="00DA0A96" w:rsidR="007B206E">
        <w:t xml:space="preserve"> challenged </w:t>
      </w:r>
      <w:r w:rsidRPr="00DA0A96" w:rsidR="00897ECA">
        <w:t xml:space="preserve">design </w:t>
      </w:r>
      <w:r w:rsidRPr="00DA0A96" w:rsidR="00892A80">
        <w:t xml:space="preserve">was </w:t>
      </w:r>
      <w:r w:rsidRPr="00DA0A96" w:rsidR="00E773FA">
        <w:t>discretionar</w:t>
      </w:r>
      <w:r w:rsidRPr="00DA0A96" w:rsidR="00892A80">
        <w:t xml:space="preserve">ily approved by authorized </w:t>
      </w:r>
      <w:r w:rsidRPr="00DA0A96" w:rsidR="006C71CF">
        <w:t xml:space="preserve">personnel </w:t>
      </w:r>
      <w:r w:rsidRPr="00DA0A96" w:rsidR="00892A80">
        <w:t xml:space="preserve">and that </w:t>
      </w:r>
      <w:r w:rsidRPr="00DA0A96" w:rsidR="00E773FA">
        <w:t>substantial evidence support</w:t>
      </w:r>
      <w:r w:rsidRPr="00DA0A96" w:rsidR="00892A80">
        <w:t xml:space="preserve">ed </w:t>
      </w:r>
      <w:r w:rsidRPr="00DA0A96" w:rsidR="00E773FA">
        <w:t>the reasonableness of the plan.  (</w:t>
      </w:r>
      <w:r w:rsidRPr="00DA0A96" w:rsidR="00E773FA">
        <w:rPr>
          <w:i/>
          <w:iCs/>
        </w:rPr>
        <w:t>Cornette v. Dep</w:t>
      </w:r>
      <w:r w:rsidRPr="00DA0A96" w:rsidR="006C71CF">
        <w:rPr>
          <w:i/>
          <w:iCs/>
        </w:rPr>
        <w:t xml:space="preserve">t. </w:t>
      </w:r>
      <w:r w:rsidRPr="00DA0A96" w:rsidR="00E773FA">
        <w:rPr>
          <w:i/>
          <w:iCs/>
        </w:rPr>
        <w:t>of Transp</w:t>
      </w:r>
      <w:r w:rsidRPr="00DA0A96" w:rsidR="00934962">
        <w:rPr>
          <w:i/>
          <w:iCs/>
        </w:rPr>
        <w:t>ortation</w:t>
      </w:r>
      <w:r w:rsidRPr="00DA0A96" w:rsidR="00E773FA">
        <w:t xml:space="preserve"> (2001) 26 Cal.4th 63, 66</w:t>
      </w:r>
      <w:r w:rsidRPr="00DA0A96" w:rsidR="00892A80">
        <w:t xml:space="preserve"> (</w:t>
      </w:r>
      <w:r w:rsidRPr="00DA0A96" w:rsidR="00892A80">
        <w:rPr>
          <w:i/>
          <w:iCs/>
        </w:rPr>
        <w:t>Cornette</w:t>
      </w:r>
      <w:r w:rsidRPr="00DA0A96" w:rsidR="00892A80">
        <w:t>)</w:t>
      </w:r>
      <w:r w:rsidRPr="00DA0A96" w:rsidR="00E773FA">
        <w:t xml:space="preserve">.) </w:t>
      </w:r>
      <w:r w:rsidRPr="00DA0A96">
        <w:t xml:space="preserve">  </w:t>
      </w:r>
    </w:p>
    <w:p w:rsidR="00BE6DC7" w:rsidP="00DA0A96">
      <w:pPr>
        <w:tabs>
          <w:tab w:val="left" w:pos="1440"/>
        </w:tabs>
        <w:ind w:firstLine="720"/>
      </w:pPr>
      <w:r w:rsidRPr="00DA0A96">
        <w:t>The question presented in this case is whether design immunity</w:t>
      </w:r>
      <w:r w:rsidRPr="00DA0A96" w:rsidR="00AD7DBD">
        <w:t xml:space="preserve"> </w:t>
      </w:r>
      <w:r w:rsidRPr="00DA0A96" w:rsidR="00CF4D04">
        <w:t xml:space="preserve">bars all forms of claims that seek to impose liability for injuries resulting from </w:t>
      </w:r>
      <w:r w:rsidR="0065688E">
        <w:t xml:space="preserve">a </w:t>
      </w:r>
      <w:r w:rsidR="00A21BC8">
        <w:t xml:space="preserve">dangerous </w:t>
      </w:r>
      <w:r w:rsidR="004A569A">
        <w:t xml:space="preserve">feature </w:t>
      </w:r>
      <w:r w:rsidR="00A21BC8">
        <w:t xml:space="preserve">of </w:t>
      </w:r>
      <w:r w:rsidRPr="00DA0A96" w:rsidR="00CF4D04">
        <w:t xml:space="preserve">a roadway.  More specifically, we must determine whether design immunity </w:t>
      </w:r>
      <w:r w:rsidRPr="00DA0A96" w:rsidR="00AD7DBD">
        <w:t xml:space="preserve">is limited to claims </w:t>
      </w:r>
      <w:r w:rsidRPr="00DA0A96">
        <w:t xml:space="preserve">alleging </w:t>
      </w:r>
      <w:r w:rsidRPr="00DA0A96" w:rsidR="00AD7DBD">
        <w:t xml:space="preserve">that a public entity </w:t>
      </w:r>
      <w:r w:rsidRPr="00DA0A96" w:rsidR="006D271B">
        <w:rPr>
          <w:i/>
          <w:iCs/>
        </w:rPr>
        <w:t>creat</w:t>
      </w:r>
      <w:r w:rsidRPr="00DA0A96" w:rsidR="00AD7DBD">
        <w:rPr>
          <w:i/>
          <w:iCs/>
        </w:rPr>
        <w:t>ed</w:t>
      </w:r>
      <w:r w:rsidRPr="00DA0A96" w:rsidR="006D271B">
        <w:t xml:space="preserve"> </w:t>
      </w:r>
      <w:r w:rsidRPr="00DA0A96">
        <w:t xml:space="preserve">a </w:t>
      </w:r>
      <w:r w:rsidRPr="00DA0A96" w:rsidR="00261932">
        <w:t xml:space="preserve">dangerous </w:t>
      </w:r>
      <w:r w:rsidRPr="00DA0A96" w:rsidR="00CF4D04">
        <w:t xml:space="preserve">roadway </w:t>
      </w:r>
      <w:r w:rsidRPr="00DA0A96" w:rsidR="00261932">
        <w:t xml:space="preserve">condition through a defective design, </w:t>
      </w:r>
      <w:r w:rsidRPr="00DA0A96" w:rsidR="00AD7DBD">
        <w:t xml:space="preserve">or whether </w:t>
      </w:r>
      <w:r w:rsidRPr="00DA0A96" w:rsidR="00261932">
        <w:t>the statutory immunity</w:t>
      </w:r>
      <w:r w:rsidRPr="00DA0A96" w:rsidR="00AD7DBD">
        <w:t xml:space="preserve"> also extends to claims alleging </w:t>
      </w:r>
      <w:r w:rsidRPr="00DA0A96" w:rsidR="00892A80">
        <w:t xml:space="preserve">that </w:t>
      </w:r>
      <w:r w:rsidRPr="00DA0A96" w:rsidR="006D271B">
        <w:t xml:space="preserve">a public entity </w:t>
      </w:r>
      <w:r w:rsidRPr="00EF3B51" w:rsidR="006D271B">
        <w:rPr>
          <w:i/>
          <w:iCs/>
        </w:rPr>
        <w:t>fail</w:t>
      </w:r>
      <w:r w:rsidRPr="00EF3B51" w:rsidR="00AD7DBD">
        <w:rPr>
          <w:i/>
          <w:iCs/>
        </w:rPr>
        <w:t>ed</w:t>
      </w:r>
      <w:r w:rsidRPr="00EF3B51" w:rsidR="006D271B">
        <w:rPr>
          <w:i/>
          <w:iCs/>
        </w:rPr>
        <w:t xml:space="preserve"> to warn</w:t>
      </w:r>
      <w:r w:rsidRPr="00DA0A96" w:rsidR="006D271B">
        <w:t xml:space="preserve"> of a </w:t>
      </w:r>
      <w:r w:rsidRPr="00DA0A96" w:rsidR="00AD7DBD">
        <w:t>de</w:t>
      </w:r>
      <w:r w:rsidRPr="00DA0A96" w:rsidR="00A23044">
        <w:t xml:space="preserve">sign element that resulted in a dangerous </w:t>
      </w:r>
      <w:r w:rsidRPr="00DA0A96" w:rsidR="00CF4D04">
        <w:t xml:space="preserve">roadway </w:t>
      </w:r>
      <w:r w:rsidRPr="00DA0A96" w:rsidR="00A23044">
        <w:t>condition</w:t>
      </w:r>
      <w:r w:rsidRPr="00DA0A96" w:rsidR="006D271B">
        <w:t>.</w:t>
      </w:r>
      <w:r w:rsidRPr="00DA0A96" w:rsidR="00BC5891">
        <w:t xml:space="preserve">  </w:t>
      </w:r>
    </w:p>
    <w:p w:rsidR="003C64FA" w:rsidRPr="000D7C9F" w:rsidP="00BE6DC7">
      <w:pPr>
        <w:tabs>
          <w:tab w:val="left" w:pos="1440"/>
        </w:tabs>
        <w:ind w:firstLine="720"/>
      </w:pPr>
      <w:r w:rsidRPr="00DA0A96">
        <w:t xml:space="preserve">Relying on our </w:t>
      </w:r>
      <w:r>
        <w:t xml:space="preserve">holding </w:t>
      </w:r>
      <w:r w:rsidRPr="00DA0A96">
        <w:t xml:space="preserve">in </w:t>
      </w:r>
      <w:r w:rsidRPr="00DA0A96">
        <w:rPr>
          <w:i/>
          <w:iCs/>
        </w:rPr>
        <w:t>Cameron v. State of California</w:t>
      </w:r>
      <w:r w:rsidRPr="00DA0A96">
        <w:t xml:space="preserve"> (1972) 7 Cal.3d 318 (</w:t>
      </w:r>
      <w:r w:rsidRPr="00DA0A96">
        <w:rPr>
          <w:i/>
          <w:iCs/>
        </w:rPr>
        <w:t>Cameron</w:t>
      </w:r>
      <w:r w:rsidRPr="00DA0A96">
        <w:t>)</w:t>
      </w:r>
      <w:r>
        <w:t xml:space="preserve">, we conclude that </w:t>
      </w:r>
      <w:r w:rsidRPr="00DA0A96">
        <w:t xml:space="preserve">design immunity does </w:t>
      </w:r>
      <w:r w:rsidRPr="000D7C9F">
        <w:t>not categorically preclude failure to warn claims that involve a discretionarily approved element of a roadway</w:t>
      </w:r>
      <w:r>
        <w:t xml:space="preserve">.  </w:t>
      </w:r>
      <w:r w:rsidRPr="000D7C9F" w:rsidR="00A2106F">
        <w:t>As we expressly held in</w:t>
      </w:r>
      <w:r w:rsidRPr="000D7C9F" w:rsidR="00A83144">
        <w:t xml:space="preserve"> </w:t>
      </w:r>
      <w:r w:rsidRPr="000D7C9F" w:rsidR="00AD4313">
        <w:rPr>
          <w:i/>
          <w:iCs/>
        </w:rPr>
        <w:t>Cameron</w:t>
      </w:r>
      <w:r w:rsidRPr="000D7C9F" w:rsidR="00A2106F">
        <w:t>,</w:t>
      </w:r>
      <w:r w:rsidRPr="000D7C9F" w:rsidR="00A83144">
        <w:t xml:space="preserve"> </w:t>
      </w:r>
      <w:r w:rsidRPr="000D7C9F" w:rsidR="00AE3B9C">
        <w:t>“</w:t>
      </w:r>
      <w:r w:rsidR="00800A09">
        <w:t>[W]</w:t>
      </w:r>
      <w:r w:rsidRPr="000D7C9F" w:rsidR="00AE3B9C">
        <w:t>here the state is immune from liability for injuries caused by a dangerous condition of its property because the dangerous condition was created as a result of a plan or design which conferred immunity under [Government Code] section 830.6, the state may nevertheless be liable for failure to warn of this dangerous condition</w:t>
      </w:r>
      <w:r w:rsidRPr="000D7C9F" w:rsidR="00A83144">
        <w:t>.</w:t>
      </w:r>
      <w:r w:rsidRPr="000D7C9F" w:rsidR="00AE3B9C">
        <w:t xml:space="preserve">”  </w:t>
      </w:r>
      <w:r w:rsidRPr="000D7C9F" w:rsidR="00A83144">
        <w:t>(</w:t>
      </w:r>
      <w:r w:rsidRPr="000D7C9F" w:rsidR="00A83144">
        <w:rPr>
          <w:i/>
          <w:iCs/>
        </w:rPr>
        <w:t xml:space="preserve">Cameron, </w:t>
      </w:r>
      <w:r w:rsidRPr="000D7C9F" w:rsidR="00A83144">
        <w:t>at p. 329.)</w:t>
      </w:r>
      <w:r w:rsidRPr="000D7C9F" w:rsidR="009C3FD1">
        <w:t xml:space="preserve"> </w:t>
      </w:r>
      <w:r w:rsidR="007068D8">
        <w:t xml:space="preserve"> The effect of </w:t>
      </w:r>
      <w:r w:rsidRPr="00605305" w:rsidR="007068D8">
        <w:rPr>
          <w:i/>
          <w:iCs/>
        </w:rPr>
        <w:t>Cameron</w:t>
      </w:r>
      <w:r w:rsidR="007068D8">
        <w:t xml:space="preserve"> is</w:t>
      </w:r>
      <w:r w:rsidRPr="000D7C9F" w:rsidR="007068D8">
        <w:t xml:space="preserve"> that</w:t>
      </w:r>
      <w:r w:rsidR="007068D8">
        <w:t xml:space="preserve"> while</w:t>
      </w:r>
      <w:r w:rsidRPr="000D7C9F" w:rsidR="007068D8">
        <w:t xml:space="preserve"> section 830.6 </w:t>
      </w:r>
      <w:r w:rsidR="007068D8">
        <w:t xml:space="preserve">shields </w:t>
      </w:r>
      <w:r w:rsidRPr="000D7C9F" w:rsidR="007068D8">
        <w:t xml:space="preserve">public entities from </w:t>
      </w:r>
      <w:r w:rsidR="007068D8">
        <w:t xml:space="preserve">liability </w:t>
      </w:r>
      <w:r w:rsidRPr="000D7C9F" w:rsidR="007068D8">
        <w:t xml:space="preserve">for </w:t>
      </w:r>
      <w:r w:rsidR="00605305">
        <w:t xml:space="preserve">injuries resulting from </w:t>
      </w:r>
      <w:r w:rsidRPr="000D7C9F" w:rsidR="007068D8">
        <w:t>the design of the physical features of a roadway, they nonetheless retain a duty to warn of known dangers that the roadway presents to the public.</w:t>
      </w:r>
      <w:r w:rsidRPr="000D7C9F" w:rsidR="009C3FD1">
        <w:t xml:space="preserve"> </w:t>
      </w:r>
    </w:p>
    <w:p w:rsidR="006969D4" w:rsidRPr="000D7C9F" w:rsidP="00BE6DC7">
      <w:pPr>
        <w:tabs>
          <w:tab w:val="left" w:pos="1440"/>
        </w:tabs>
        <w:ind w:firstLine="720"/>
      </w:pPr>
      <w:r w:rsidRPr="000D7C9F">
        <w:t xml:space="preserve">The City of Rancho Palo Verdes (the City), however, argues that </w:t>
      </w:r>
      <w:r w:rsidRPr="000D7C9F">
        <w:rPr>
          <w:i/>
          <w:iCs/>
        </w:rPr>
        <w:t>Cameron</w:t>
      </w:r>
      <w:r w:rsidRPr="000D7C9F">
        <w:t xml:space="preserve"> is poorly reasoned and should be overruled.  </w:t>
      </w:r>
      <w:r w:rsidR="005A2542">
        <w:t>T</w:t>
      </w:r>
      <w:r w:rsidRPr="000D7C9F">
        <w:t xml:space="preserve">he City contends that </w:t>
      </w:r>
      <w:r w:rsidRPr="000D7C9F">
        <w:rPr>
          <w:i/>
          <w:iCs/>
        </w:rPr>
        <w:t>Cameron</w:t>
      </w:r>
      <w:r w:rsidRPr="00EF3B51" w:rsidR="002D5F07">
        <w:t>’s</w:t>
      </w:r>
      <w:r w:rsidRPr="000D7C9F" w:rsidR="002D5F07">
        <w:rPr>
          <w:i/>
          <w:iCs/>
        </w:rPr>
        <w:t xml:space="preserve"> </w:t>
      </w:r>
      <w:r w:rsidRPr="000D7C9F" w:rsidR="002D5F07">
        <w:t>“illogical” holding</w:t>
      </w:r>
      <w:r w:rsidRPr="000D7C9F">
        <w:t xml:space="preserve"> gravely undermines the design immunity defense:  “If the improvements at issue would be covered by design immunity, and the [public] entity is therefore not liable for injuries caused by them, how could it make sense to hold the entity liable for the defendant’s failure to warn of the same improvements?” </w:t>
      </w:r>
      <w:r w:rsidRPr="000D7C9F" w:rsidR="009C3FD1">
        <w:t xml:space="preserve"> Contrary to the City’s assertions, however, we find nothing illogical </w:t>
      </w:r>
      <w:r w:rsidR="00605305">
        <w:t xml:space="preserve">in </w:t>
      </w:r>
      <w:r w:rsidRPr="00410BE3" w:rsidR="00410BE3">
        <w:rPr>
          <w:i/>
          <w:iCs/>
        </w:rPr>
        <w:t>Cameron</w:t>
      </w:r>
      <w:r w:rsidRPr="00EF3B51" w:rsidR="00410BE3">
        <w:t>’s</w:t>
      </w:r>
      <w:r w:rsidR="00410BE3">
        <w:t xml:space="preserve"> conclusion</w:t>
      </w:r>
      <w:r w:rsidR="00605305">
        <w:t xml:space="preserve"> that </w:t>
      </w:r>
      <w:r w:rsidRPr="00DA0A96" w:rsidR="007068D8">
        <w:t xml:space="preserve">section 830.6 </w:t>
      </w:r>
      <w:r w:rsidR="00605305">
        <w:t>was not intended to allow government entities to remain silent when they have notice</w:t>
      </w:r>
      <w:r w:rsidRPr="00DA0A96" w:rsidR="00605305">
        <w:t xml:space="preserve"> that a reasonably approved design </w:t>
      </w:r>
      <w:r w:rsidR="00605305">
        <w:t>presents a danger to the public</w:t>
      </w:r>
      <w:r w:rsidRPr="000D7C9F" w:rsidR="009C3FD1">
        <w:t>.</w:t>
      </w:r>
      <w:r w:rsidRPr="000D7C9F" w:rsidR="00F275E7">
        <w:t xml:space="preserve"> </w:t>
      </w:r>
    </w:p>
    <w:p w:rsidR="007C0FBF" w:rsidP="003D1A62">
      <w:pPr>
        <w:tabs>
          <w:tab w:val="left" w:pos="1440"/>
        </w:tabs>
        <w:ind w:firstLine="720"/>
      </w:pPr>
      <w:r w:rsidRPr="000D7C9F">
        <w:t xml:space="preserve">Moreover, </w:t>
      </w:r>
      <w:r w:rsidR="00605305">
        <w:t xml:space="preserve">the </w:t>
      </w:r>
      <w:r w:rsidRPr="00FB6FAF" w:rsidR="00605305">
        <w:t xml:space="preserve">City has failed to identify any subsequent development in the law </w:t>
      </w:r>
      <w:r w:rsidR="00605305">
        <w:t xml:space="preserve">or other special justification </w:t>
      </w:r>
      <w:r w:rsidRPr="00FB6FAF" w:rsidR="00605305">
        <w:t>that warrant</w:t>
      </w:r>
      <w:r w:rsidR="00605305">
        <w:t>s</w:t>
      </w:r>
      <w:r w:rsidRPr="00FB6FAF" w:rsidR="00605305">
        <w:t xml:space="preserve"> </w:t>
      </w:r>
      <w:r w:rsidR="00605305">
        <w:t xml:space="preserve">departure </w:t>
      </w:r>
      <w:r w:rsidRPr="000D7C9F" w:rsidR="00333946">
        <w:t xml:space="preserve">from the </w:t>
      </w:r>
      <w:r w:rsidRPr="000D7C9F" w:rsidR="00F275E7">
        <w:t xml:space="preserve">doctrine of stare decisis.  </w:t>
      </w:r>
      <w:r w:rsidRPr="000D7C9F" w:rsidR="00912BE1">
        <w:t>(</w:t>
      </w:r>
      <w:r w:rsidRPr="000D7C9F" w:rsidR="00DD55BB">
        <w:t>See</w:t>
      </w:r>
      <w:r w:rsidRPr="000D7C9F" w:rsidR="004A2750">
        <w:t xml:space="preserve"> </w:t>
      </w:r>
      <w:r w:rsidRPr="000D7C9F" w:rsidR="004A2750">
        <w:rPr>
          <w:i/>
          <w:iCs/>
        </w:rPr>
        <w:t xml:space="preserve">Samara v. Matar </w:t>
      </w:r>
      <w:r w:rsidRPr="000D7C9F" w:rsidR="004A2750">
        <w:t>(2018)</w:t>
      </w:r>
      <w:r w:rsidR="00BB237E">
        <w:t> </w:t>
      </w:r>
      <w:r w:rsidRPr="000D7C9F" w:rsidR="004A2750">
        <w:t>5 Cal.5th 322, 336</w:t>
      </w:r>
      <w:r w:rsidRPr="000D7C9F" w:rsidR="00DD55BB">
        <w:t xml:space="preserve"> </w:t>
      </w:r>
      <w:r w:rsidRPr="000D7C9F" w:rsidR="004A2750">
        <w:t>[“ ‘stare decisis’ is ‘a fundamental jurisprudential policy that prior applicable precedent usually must be followed’ ”]</w:t>
      </w:r>
      <w:r w:rsidRPr="000D7C9F" w:rsidR="00B258F7">
        <w:t xml:space="preserve">; </w:t>
      </w:r>
      <w:r w:rsidRPr="00FB6FAF" w:rsidR="00605305">
        <w:rPr>
          <w:i/>
          <w:iCs/>
        </w:rPr>
        <w:t>Moradi-Shalal v. Fireman’s Fund Ins. Companies</w:t>
      </w:r>
      <w:r w:rsidRPr="00FB6FAF" w:rsidR="00605305">
        <w:t xml:space="preserve"> (1988) 46</w:t>
      </w:r>
      <w:r w:rsidR="00BB237E">
        <w:t> </w:t>
      </w:r>
      <w:r w:rsidRPr="00FB6FAF" w:rsidR="00605305">
        <w:t>Cal.3d 287, 297 [“reexamination of precedent may become necessary when subsequent developments indicate an earlier decision was unsound”]</w:t>
      </w:r>
      <w:r w:rsidR="00605305">
        <w:t>;</w:t>
      </w:r>
      <w:r w:rsidRPr="00FB6FAF" w:rsidR="00605305">
        <w:t xml:space="preserve"> </w:t>
      </w:r>
      <w:r w:rsidRPr="000D7C9F" w:rsidR="00B258F7">
        <w:rPr>
          <w:i/>
          <w:iCs/>
        </w:rPr>
        <w:t>Kisor v. Wilkie</w:t>
      </w:r>
      <w:r w:rsidRPr="000D7C9F" w:rsidR="00B258F7">
        <w:t xml:space="preserve"> (2019) </w:t>
      </w:r>
      <w:r w:rsidRPr="000D7C9F" w:rsidR="00B258F7">
        <w:rPr>
          <w:u w:val="single"/>
        </w:rPr>
        <w:t>__</w:t>
      </w:r>
      <w:r w:rsidRPr="000D7C9F" w:rsidR="00B258F7">
        <w:t xml:space="preserve"> U.S. </w:t>
      </w:r>
      <w:r w:rsidRPr="000D7C9F" w:rsidR="00B258F7">
        <w:rPr>
          <w:u w:val="single"/>
        </w:rPr>
        <w:t>__</w:t>
      </w:r>
      <w:r w:rsidRPr="000D7C9F" w:rsidR="00B258F7">
        <w:t xml:space="preserve"> [139 S.Ct. 2400, 24</w:t>
      </w:r>
      <w:r w:rsidR="00BB237E">
        <w:t>22</w:t>
      </w:r>
      <w:r w:rsidRPr="000D7C9F" w:rsidR="00B258F7">
        <w:t xml:space="preserve">] </w:t>
      </w:r>
      <w:r w:rsidR="000E2770">
        <w:t>(</w:t>
      </w:r>
      <w:r w:rsidRPr="000E2770" w:rsidR="000E2770">
        <w:rPr>
          <w:i/>
          <w:iCs/>
        </w:rPr>
        <w:t>Kisor</w:t>
      </w:r>
      <w:r w:rsidR="000E2770">
        <w:t xml:space="preserve">) </w:t>
      </w:r>
      <w:r w:rsidRPr="000D7C9F" w:rsidR="00B258F7">
        <w:t>[“any departure from [stare decisis] demands ‘special justification</w:t>
      </w:r>
      <w:r w:rsidRPr="000D7C9F" w:rsidR="003D1A62">
        <w:t>’ —</w:t>
      </w:r>
      <w:r w:rsidR="00800A09">
        <w:t xml:space="preserve"> </w:t>
      </w:r>
      <w:r w:rsidRPr="000D7C9F" w:rsidR="003D1A62">
        <w:t>something more than ‘an argument that the precedent was wrongly decided</w:t>
      </w:r>
      <w:r w:rsidRPr="000D7C9F" w:rsidR="00B258F7">
        <w:t>’</w:t>
      </w:r>
      <w:r w:rsidR="00605305">
        <w:t xml:space="preserve"> ”].)  </w:t>
      </w:r>
      <w:r w:rsidRPr="007C0FBF">
        <w:rPr>
          <w:i/>
          <w:iCs/>
        </w:rPr>
        <w:t>Cameron</w:t>
      </w:r>
      <w:r>
        <w:t xml:space="preserve"> has been controlling </w:t>
      </w:r>
      <w:r w:rsidR="00987F48">
        <w:t xml:space="preserve">law </w:t>
      </w:r>
      <w:r>
        <w:t xml:space="preserve">for over 50 years </w:t>
      </w:r>
      <w:r w:rsidRPr="00DA0A96">
        <w:t xml:space="preserve">and the Legislature has never </w:t>
      </w:r>
      <w:r>
        <w:t xml:space="preserve">chosen to </w:t>
      </w:r>
      <w:r w:rsidRPr="00DA0A96">
        <w:t xml:space="preserve">abrogate the holding.  (See </w:t>
      </w:r>
      <w:r w:rsidRPr="00DA0A96">
        <w:rPr>
          <w:i/>
          <w:iCs/>
        </w:rPr>
        <w:t>People v. Latimer</w:t>
      </w:r>
      <w:r w:rsidRPr="00DA0A96">
        <w:t xml:space="preserve"> (1993) 5 Cal.4th 1203, 1213 (</w:t>
      </w:r>
      <w:r w:rsidRPr="00DA0A96">
        <w:rPr>
          <w:i/>
          <w:iCs/>
        </w:rPr>
        <w:t>Latimer</w:t>
      </w:r>
      <w:r w:rsidRPr="00DA0A96">
        <w:t xml:space="preserve">) [“ ‘Considerations of </w:t>
      </w:r>
      <w:r w:rsidRPr="00FB6FAF">
        <w:t>stare decisis have special force in the area of statutory interpretation, for here . . . [the Legislature] remains free to alter what we have done’ ”]</w:t>
      </w:r>
      <w:r w:rsidR="00456C76">
        <w:t>, italics omitted</w:t>
      </w:r>
      <w:r w:rsidRPr="00FB6FAF">
        <w:t>.)</w:t>
      </w:r>
      <w:r w:rsidR="005A2542">
        <w:t xml:space="preserve">  </w:t>
      </w:r>
      <w:r w:rsidRPr="00FB6FAF" w:rsidR="004C49AF">
        <w:t>For all those reasons, we decline to overrule our</w:t>
      </w:r>
      <w:r w:rsidR="004C49AF">
        <w:t xml:space="preserve"> prior precedent.  </w:t>
      </w:r>
    </w:p>
    <w:p w:rsidR="002A01AC" w:rsidRPr="00DA0A96" w:rsidP="00D95D6B">
      <w:pPr>
        <w:pStyle w:val="Heading1"/>
      </w:pPr>
      <w:r w:rsidRPr="00DA0A96">
        <w:t>I.</w:t>
      </w:r>
      <w:r w:rsidRPr="00DA0A96" w:rsidR="001E4560">
        <w:t xml:space="preserve">  Background</w:t>
      </w:r>
    </w:p>
    <w:p w:rsidR="001E4560" w:rsidRPr="00E1286D" w:rsidP="00D95D6B">
      <w:pPr>
        <w:pStyle w:val="Heading2"/>
      </w:pPr>
      <w:r w:rsidRPr="00E1286D">
        <w:t xml:space="preserve">A.  </w:t>
      </w:r>
      <w:r w:rsidRPr="00E1286D" w:rsidR="003D62DD">
        <w:t>Accident and Complaint</w:t>
      </w:r>
    </w:p>
    <w:p w:rsidR="00415990" w:rsidRPr="00DA0A96" w:rsidP="00DA0A96">
      <w:pPr>
        <w:tabs>
          <w:tab w:val="left" w:pos="1440"/>
        </w:tabs>
        <w:ind w:firstLine="720"/>
      </w:pPr>
      <w:r w:rsidRPr="00DA0A96">
        <w:t xml:space="preserve">On the afternoon of March 18, 2016, decedent Jonathan Tansavatdi was riding his bicycle on Hawthorne Boulevard in the City of Rancho Palos Verdes.  </w:t>
      </w:r>
      <w:r w:rsidRPr="00DA0A96" w:rsidR="00DA5130">
        <w:t>Although</w:t>
      </w:r>
      <w:r w:rsidRPr="00DA0A96">
        <w:t xml:space="preserve"> </w:t>
      </w:r>
      <w:r w:rsidRPr="00DA0A96" w:rsidR="00071911">
        <w:t xml:space="preserve">most </w:t>
      </w:r>
      <w:r w:rsidRPr="00DA0A96" w:rsidR="00694873">
        <w:t xml:space="preserve">of </w:t>
      </w:r>
      <w:r w:rsidRPr="00DA0A96" w:rsidR="00DA5130">
        <w:t xml:space="preserve">Hawthorne </w:t>
      </w:r>
      <w:r w:rsidRPr="00DA0A96" w:rsidR="00694873">
        <w:t xml:space="preserve">Boulevard </w:t>
      </w:r>
      <w:r w:rsidRPr="00DA0A96">
        <w:t>includes a bike lane, th</w:t>
      </w:r>
      <w:r w:rsidRPr="00DA0A96" w:rsidR="00071911">
        <w:t xml:space="preserve">e </w:t>
      </w:r>
      <w:r w:rsidR="00BF2956">
        <w:t xml:space="preserve">bike </w:t>
      </w:r>
      <w:r w:rsidRPr="00DA0A96" w:rsidR="00DA5130">
        <w:t>lane</w:t>
      </w:r>
      <w:r w:rsidRPr="00DA0A96">
        <w:t xml:space="preserve"> </w:t>
      </w:r>
      <w:r w:rsidR="00B835C3">
        <w:t xml:space="preserve">stops </w:t>
      </w:r>
      <w:r w:rsidR="004A569A">
        <w:t xml:space="preserve">at </w:t>
      </w:r>
      <w:r w:rsidRPr="00DA0A96" w:rsidR="00DA5130">
        <w:t>Dupre</w:t>
      </w:r>
      <w:r w:rsidRPr="00DA0A96">
        <w:t xml:space="preserve"> Drive</w:t>
      </w:r>
      <w:r w:rsidRPr="00DA0A96" w:rsidR="002A79EE">
        <w:t xml:space="preserve"> (to the north)</w:t>
      </w:r>
      <w:r w:rsidRPr="00DA0A96" w:rsidR="00DA5130">
        <w:t xml:space="preserve"> and</w:t>
      </w:r>
      <w:r w:rsidR="00B835C3">
        <w:t xml:space="preserve"> then</w:t>
      </w:r>
      <w:r w:rsidRPr="00DA0A96" w:rsidR="00DA5130">
        <w:t xml:space="preserve"> </w:t>
      </w:r>
      <w:r w:rsidR="004A569A">
        <w:t>restarts a</w:t>
      </w:r>
      <w:r w:rsidR="00B835C3">
        <w:t>f</w:t>
      </w:r>
      <w:r w:rsidR="004A569A">
        <w:t>t</w:t>
      </w:r>
      <w:r w:rsidR="00B835C3">
        <w:t>er</w:t>
      </w:r>
      <w:r w:rsidR="004A569A">
        <w:t xml:space="preserve"> </w:t>
      </w:r>
      <w:r w:rsidRPr="00DA0A96" w:rsidR="00DA5130">
        <w:t>Vallon Drive</w:t>
      </w:r>
      <w:r w:rsidRPr="00DA0A96" w:rsidR="002A79EE">
        <w:t xml:space="preserve"> (to the south)</w:t>
      </w:r>
      <w:r w:rsidR="004A569A">
        <w:t xml:space="preserve">.  The block between Dupre and Vallon </w:t>
      </w:r>
      <w:r w:rsidRPr="00DA0A96" w:rsidR="003A3203">
        <w:t xml:space="preserve"> </w:t>
      </w:r>
      <w:r w:rsidRPr="00DA0A96" w:rsidR="00581A73">
        <w:t>pitches</w:t>
      </w:r>
      <w:r w:rsidRPr="00DA0A96" w:rsidR="00071911">
        <w:t xml:space="preserve"> sharply </w:t>
      </w:r>
      <w:r w:rsidRPr="00DA0A96" w:rsidR="00581A73">
        <w:t>down</w:t>
      </w:r>
      <w:r w:rsidRPr="00DA0A96" w:rsidR="002A79EE">
        <w:t xml:space="preserve">hill </w:t>
      </w:r>
      <w:r w:rsidRPr="00DA0A96" w:rsidR="00581A73">
        <w:t xml:space="preserve">in the southbound direction.  </w:t>
      </w:r>
      <w:r w:rsidR="0065688E">
        <w:t xml:space="preserve">The </w:t>
      </w:r>
      <w:r w:rsidRPr="00DA0A96" w:rsidR="00581A73">
        <w:t xml:space="preserve">City  </w:t>
      </w:r>
      <w:r w:rsidRPr="00DA0A96" w:rsidR="002A79EE">
        <w:t xml:space="preserve">chose </w:t>
      </w:r>
      <w:r w:rsidR="00476F27">
        <w:t xml:space="preserve">not </w:t>
      </w:r>
      <w:r w:rsidRPr="00DA0A96" w:rsidR="002A79EE">
        <w:t xml:space="preserve">to </w:t>
      </w:r>
      <w:r w:rsidR="0065688E">
        <w:t>provide</w:t>
      </w:r>
      <w:r w:rsidR="00476F27">
        <w:t xml:space="preserve"> a </w:t>
      </w:r>
      <w:r w:rsidRPr="00DA0A96" w:rsidR="00581A73">
        <w:t xml:space="preserve">bike lane </w:t>
      </w:r>
      <w:r w:rsidRPr="00DA0A96" w:rsidR="00A25174">
        <w:t>al</w:t>
      </w:r>
      <w:r w:rsidRPr="00DA0A96" w:rsidR="00694873">
        <w:t>on</w:t>
      </w:r>
      <w:r w:rsidRPr="00DA0A96" w:rsidR="00A25174">
        <w:t>g</w:t>
      </w:r>
      <w:r w:rsidRPr="00DA0A96" w:rsidR="00581A73">
        <w:t xml:space="preserve"> this </w:t>
      </w:r>
      <w:r w:rsidR="004A569A">
        <w:t>section of Hawthorne</w:t>
      </w:r>
      <w:r w:rsidRPr="00DA0A96" w:rsidR="00D52D2A">
        <w:t xml:space="preserve"> </w:t>
      </w:r>
      <w:r w:rsidR="0065688E">
        <w:t>because it wanted to make</w:t>
      </w:r>
      <w:r w:rsidRPr="00DA0A96" w:rsidR="00040F7A">
        <w:t xml:space="preserve"> </w:t>
      </w:r>
      <w:r w:rsidRPr="00DA0A96" w:rsidR="00694873">
        <w:t xml:space="preserve">space for street </w:t>
      </w:r>
      <w:r w:rsidRPr="00DA0A96" w:rsidR="00581A73">
        <w:t>parking that</w:t>
      </w:r>
      <w:r w:rsidRPr="00DA0A96" w:rsidR="00694873">
        <w:t xml:space="preserve"> </w:t>
      </w:r>
      <w:r w:rsidRPr="00DA0A96" w:rsidR="003A3203">
        <w:t xml:space="preserve">provides access </w:t>
      </w:r>
      <w:r w:rsidRPr="00DA0A96" w:rsidR="00694873">
        <w:t xml:space="preserve">to </w:t>
      </w:r>
      <w:r w:rsidRPr="00DA0A96" w:rsidR="00A565CF">
        <w:t>a</w:t>
      </w:r>
      <w:r w:rsidRPr="00DA0A96" w:rsidR="00A25174">
        <w:t>n adjacent</w:t>
      </w:r>
      <w:r w:rsidRPr="00DA0A96" w:rsidR="00A565CF">
        <w:t xml:space="preserve"> </w:t>
      </w:r>
      <w:r w:rsidRPr="00DA0A96" w:rsidR="003B26EC">
        <w:t xml:space="preserve">park.  The parking </w:t>
      </w:r>
      <w:r w:rsidRPr="00DA0A96" w:rsidR="00A565CF">
        <w:t xml:space="preserve">spots </w:t>
      </w:r>
      <w:r w:rsidRPr="00DA0A96" w:rsidR="003B26EC">
        <w:t xml:space="preserve">end shortly before </w:t>
      </w:r>
      <w:r w:rsidRPr="00DA0A96" w:rsidR="00D52D2A">
        <w:t xml:space="preserve">a right </w:t>
      </w:r>
      <w:r w:rsidRPr="00DA0A96" w:rsidR="00D52D2A">
        <w:t xml:space="preserve">turn lane </w:t>
      </w:r>
      <w:r w:rsidRPr="00DA0A96" w:rsidR="00071911">
        <w:t xml:space="preserve">at the intersection of </w:t>
      </w:r>
      <w:r w:rsidRPr="00DA0A96">
        <w:t>Hawthorne and Vallon</w:t>
      </w:r>
      <w:r w:rsidRPr="00DA0A96" w:rsidR="003B26EC">
        <w:t>.  The bik</w:t>
      </w:r>
      <w:r w:rsidR="003B5603">
        <w:t>e</w:t>
      </w:r>
      <w:r w:rsidRPr="00DA0A96" w:rsidR="003B26EC">
        <w:t xml:space="preserve"> lane then resumes on</w:t>
      </w:r>
      <w:r w:rsidRPr="00DA0A96" w:rsidR="00A25174">
        <w:t xml:space="preserve"> Hawthorne</w:t>
      </w:r>
      <w:r w:rsidRPr="00DA0A96" w:rsidR="00E7363D">
        <w:t>,</w:t>
      </w:r>
      <w:r w:rsidRPr="00DA0A96" w:rsidR="003B26EC">
        <w:t xml:space="preserve"> </w:t>
      </w:r>
      <w:r w:rsidRPr="00DA0A96" w:rsidR="00071911">
        <w:t xml:space="preserve">south </w:t>
      </w:r>
      <w:r w:rsidRPr="00DA0A96" w:rsidR="003B26EC">
        <w:t>of Vallon</w:t>
      </w:r>
      <w:r w:rsidRPr="00DA0A96">
        <w:t>.</w:t>
      </w:r>
    </w:p>
    <w:p w:rsidR="00244E01" w:rsidRPr="00DA0A96" w:rsidP="00DA0A96">
      <w:pPr>
        <w:tabs>
          <w:tab w:val="left" w:pos="1440"/>
        </w:tabs>
        <w:ind w:firstLine="720"/>
      </w:pPr>
      <w:r w:rsidRPr="00DA0A96">
        <w:t>At the time</w:t>
      </w:r>
      <w:r w:rsidRPr="00DA0A96">
        <w:t xml:space="preserve"> of the </w:t>
      </w:r>
      <w:r w:rsidRPr="00DA0A96" w:rsidR="00C23964">
        <w:t>accident</w:t>
      </w:r>
      <w:r w:rsidRPr="00DA0A96">
        <w:t xml:space="preserve">, the decedent was traveling </w:t>
      </w:r>
      <w:r w:rsidRPr="00DA0A96" w:rsidR="00581A73">
        <w:t>south</w:t>
      </w:r>
      <w:r w:rsidRPr="00DA0A96" w:rsidR="00694873">
        <w:t xml:space="preserve">ward (downhill) along the right side of </w:t>
      </w:r>
      <w:r w:rsidRPr="00DA0A96">
        <w:t xml:space="preserve">Hawthorne </w:t>
      </w:r>
      <w:r w:rsidRPr="00DA0A96" w:rsidR="00071911">
        <w:t>Boulevard</w:t>
      </w:r>
      <w:r w:rsidRPr="00DA0A96" w:rsidR="007E7774">
        <w:t>.  As he approached the intersection with Vallon</w:t>
      </w:r>
      <w:r w:rsidRPr="00DA0A96" w:rsidR="00581A73">
        <w:t xml:space="preserve"> Drive</w:t>
      </w:r>
      <w:r w:rsidRPr="00DA0A96" w:rsidR="007E7774">
        <w:t xml:space="preserve">, </w:t>
      </w:r>
      <w:r w:rsidRPr="00DA0A96" w:rsidR="00673EE6">
        <w:t xml:space="preserve">the </w:t>
      </w:r>
      <w:r w:rsidRPr="00DA0A96" w:rsidR="00C23964">
        <w:t>decedent</w:t>
      </w:r>
      <w:r w:rsidRPr="00DA0A96">
        <w:t xml:space="preserve"> </w:t>
      </w:r>
      <w:r w:rsidRPr="00DA0A96" w:rsidR="00673EE6">
        <w:t xml:space="preserve">rode </w:t>
      </w:r>
      <w:r w:rsidRPr="00DA0A96">
        <w:t xml:space="preserve">his bicycle into the </w:t>
      </w:r>
      <w:r w:rsidRPr="00DA0A96" w:rsidR="007E7774">
        <w:t>right turn lane but</w:t>
      </w:r>
      <w:r w:rsidRPr="00DA0A96" w:rsidR="00694873">
        <w:t xml:space="preserve"> rather than turn</w:t>
      </w:r>
      <w:r w:rsidRPr="00DA0A96" w:rsidR="003A3203">
        <w:t xml:space="preserve"> right onto Vallon</w:t>
      </w:r>
      <w:r w:rsidRPr="00DA0A96" w:rsidR="00E7363D">
        <w:t>,</w:t>
      </w:r>
      <w:r w:rsidRPr="00DA0A96" w:rsidR="00071911">
        <w:t xml:space="preserve"> he</w:t>
      </w:r>
      <w:r w:rsidRPr="00DA0A96" w:rsidR="00694873">
        <w:t xml:space="preserve"> </w:t>
      </w:r>
      <w:r w:rsidRPr="00DA0A96" w:rsidR="007E7774">
        <w:t>continued</w:t>
      </w:r>
      <w:r w:rsidRPr="00DA0A96" w:rsidR="004751BA">
        <w:t xml:space="preserve"> </w:t>
      </w:r>
      <w:r w:rsidRPr="00DA0A96" w:rsidR="00694873">
        <w:t xml:space="preserve">riding </w:t>
      </w:r>
      <w:r w:rsidRPr="00DA0A96" w:rsidR="007E7774">
        <w:t>straig</w:t>
      </w:r>
      <w:r w:rsidRPr="00DA0A96" w:rsidR="00C23964">
        <w:t>ht</w:t>
      </w:r>
      <w:r w:rsidRPr="00DA0A96" w:rsidR="00E7363D">
        <w:t xml:space="preserve"> through the intersection</w:t>
      </w:r>
      <w:r w:rsidRPr="00DA0A96" w:rsidR="007E7774">
        <w:t xml:space="preserve">.  </w:t>
      </w:r>
      <w:r w:rsidRPr="00DA0A96" w:rsidR="00D52D2A">
        <w:t xml:space="preserve">As </w:t>
      </w:r>
      <w:r w:rsidRPr="00DA0A96" w:rsidR="00ED0C35">
        <w:t xml:space="preserve">the </w:t>
      </w:r>
      <w:r w:rsidRPr="00DA0A96" w:rsidR="00673EE6">
        <w:t xml:space="preserve">decedent was entering the </w:t>
      </w:r>
      <w:r w:rsidRPr="00DA0A96" w:rsidR="000D54A0">
        <w:t>intersection, an 8</w:t>
      </w:r>
      <w:r w:rsidRPr="00DA0A96" w:rsidR="007E7774">
        <w:t>0-foot tractor</w:t>
      </w:r>
      <w:r w:rsidRPr="00DA0A96" w:rsidR="000D54A0">
        <w:t xml:space="preserve"> trailer </w:t>
      </w:r>
      <w:r w:rsidRPr="00DA0A96" w:rsidR="00AD6C65">
        <w:t>began</w:t>
      </w:r>
      <w:r w:rsidRPr="00DA0A96" w:rsidR="00077F56">
        <w:t xml:space="preserve"> mak</w:t>
      </w:r>
      <w:r w:rsidRPr="00DA0A96" w:rsidR="00AD6C65">
        <w:t>ing</w:t>
      </w:r>
      <w:r w:rsidRPr="00DA0A96" w:rsidR="00077F56">
        <w:t xml:space="preserve"> a </w:t>
      </w:r>
      <w:r w:rsidRPr="00DA0A96" w:rsidR="00B658F4">
        <w:t>right</w:t>
      </w:r>
      <w:r w:rsidRPr="00DA0A96" w:rsidR="00077F56">
        <w:t xml:space="preserve"> turn</w:t>
      </w:r>
      <w:r w:rsidRPr="00DA0A96" w:rsidR="00B658F4">
        <w:t xml:space="preserve"> from Hawthorne</w:t>
      </w:r>
      <w:r w:rsidRPr="00DA0A96" w:rsidR="009312C3">
        <w:t xml:space="preserve"> </w:t>
      </w:r>
      <w:r w:rsidRPr="00DA0A96" w:rsidR="00A25174">
        <w:t>on</w:t>
      </w:r>
      <w:r w:rsidRPr="00DA0A96" w:rsidR="009312C3">
        <w:t xml:space="preserve">to Vallon.  Due to </w:t>
      </w:r>
      <w:r w:rsidRPr="00DA0A96" w:rsidR="00077F56">
        <w:t>the</w:t>
      </w:r>
      <w:r w:rsidRPr="00DA0A96" w:rsidR="009312C3">
        <w:t xml:space="preserve"> length of the trailer,</w:t>
      </w:r>
      <w:r w:rsidRPr="00DA0A96" w:rsidR="000D54A0">
        <w:t xml:space="preserve"> </w:t>
      </w:r>
      <w:r w:rsidRPr="00DA0A96" w:rsidR="009312C3">
        <w:t>the</w:t>
      </w:r>
      <w:r w:rsidRPr="00DA0A96" w:rsidR="00A252EB">
        <w:t xml:space="preserve"> truck </w:t>
      </w:r>
      <w:r w:rsidRPr="00DA0A96" w:rsidR="00AD6C65">
        <w:t>started</w:t>
      </w:r>
      <w:r w:rsidRPr="00DA0A96" w:rsidR="00A252EB">
        <w:t xml:space="preserve"> its turn</w:t>
      </w:r>
      <w:r w:rsidRPr="00DA0A96" w:rsidR="009312C3">
        <w:t xml:space="preserve"> </w:t>
      </w:r>
      <w:r w:rsidRPr="00DA0A96" w:rsidR="000D54A0">
        <w:t xml:space="preserve">from </w:t>
      </w:r>
      <w:r w:rsidRPr="00DA0A96" w:rsidR="003A3203">
        <w:t>a</w:t>
      </w:r>
      <w:r w:rsidRPr="00DA0A96" w:rsidR="000D54A0">
        <w:t xml:space="preserve"> </w:t>
      </w:r>
      <w:r w:rsidRPr="00DA0A96" w:rsidR="00C23964">
        <w:t>south</w:t>
      </w:r>
      <w:r w:rsidRPr="00DA0A96" w:rsidR="004751BA">
        <w:t xml:space="preserve">bound </w:t>
      </w:r>
      <w:r w:rsidRPr="00DA0A96" w:rsidR="00C23964">
        <w:t>lane</w:t>
      </w:r>
      <w:r w:rsidRPr="00DA0A96" w:rsidR="000D54A0">
        <w:t xml:space="preserve"> of Hawthorne</w:t>
      </w:r>
      <w:r w:rsidRPr="00DA0A96" w:rsidR="00B658F4">
        <w:t>,</w:t>
      </w:r>
      <w:r w:rsidRPr="00DA0A96" w:rsidR="009312C3">
        <w:t xml:space="preserve"> </w:t>
      </w:r>
      <w:r w:rsidRPr="00DA0A96" w:rsidR="00A252EB">
        <w:t xml:space="preserve">causing it to </w:t>
      </w:r>
      <w:r w:rsidRPr="00DA0A96" w:rsidR="009312C3">
        <w:t>cut</w:t>
      </w:r>
      <w:r w:rsidRPr="00DA0A96" w:rsidR="00C23964">
        <w:t xml:space="preserve"> across the right turn lane</w:t>
      </w:r>
      <w:r w:rsidRPr="00DA0A96" w:rsidR="00CB5DFF">
        <w:t xml:space="preserve"> at a perpendicular angle</w:t>
      </w:r>
      <w:r w:rsidRPr="00DA0A96" w:rsidR="00C23964">
        <w:t>.  The dece</w:t>
      </w:r>
      <w:r w:rsidRPr="00DA0A96" w:rsidR="004751BA">
        <w:t xml:space="preserve">dent </w:t>
      </w:r>
      <w:r w:rsidRPr="00DA0A96" w:rsidR="00C23964">
        <w:t xml:space="preserve">collided with the truck and </w:t>
      </w:r>
      <w:r w:rsidRPr="00DA0A96" w:rsidR="0028142D">
        <w:t>died from his injuries.</w:t>
      </w:r>
    </w:p>
    <w:p w:rsidR="0028142D" w:rsidRPr="00DA0A96" w:rsidP="00DA0A96">
      <w:pPr>
        <w:tabs>
          <w:tab w:val="left" w:pos="1440"/>
        </w:tabs>
        <w:ind w:firstLine="720"/>
      </w:pPr>
      <w:r w:rsidRPr="00DA0A96">
        <w:t>The d</w:t>
      </w:r>
      <w:r w:rsidRPr="00DA0A96">
        <w:t>ece</w:t>
      </w:r>
      <w:r w:rsidRPr="00DA0A96">
        <w:t>dent</w:t>
      </w:r>
      <w:r w:rsidRPr="00DA0A96">
        <w:t>’s mother,</w:t>
      </w:r>
      <w:r w:rsidRPr="00DA0A96" w:rsidR="004751BA">
        <w:t xml:space="preserve"> plaintiff</w:t>
      </w:r>
      <w:r w:rsidRPr="00DA0A96">
        <w:t xml:space="preserve"> Betsy Tansavatdi, filed a complaint against the City for “[d]angerous </w:t>
      </w:r>
      <w:r w:rsidRPr="00DA0A96" w:rsidR="004C5316">
        <w:t>[</w:t>
      </w:r>
      <w:r w:rsidRPr="00DA0A96">
        <w:t>c</w:t>
      </w:r>
      <w:r w:rsidRPr="00DA0A96" w:rsidR="004C5316">
        <w:t>]</w:t>
      </w:r>
      <w:r w:rsidRPr="00DA0A96">
        <w:t xml:space="preserve">ondition of </w:t>
      </w:r>
      <w:r w:rsidRPr="00DA0A96" w:rsidR="004C5316">
        <w:t>[</w:t>
      </w:r>
      <w:r w:rsidRPr="00DA0A96">
        <w:t>p</w:t>
      </w:r>
      <w:r w:rsidRPr="00DA0A96" w:rsidR="004C5316">
        <w:t>]</w:t>
      </w:r>
      <w:r w:rsidRPr="00DA0A96">
        <w:t xml:space="preserve">ublic </w:t>
      </w:r>
      <w:r w:rsidRPr="00DA0A96" w:rsidR="004C5316">
        <w:t>[</w:t>
      </w:r>
      <w:r w:rsidRPr="00DA0A96">
        <w:t>p</w:t>
      </w:r>
      <w:r w:rsidRPr="00DA0A96" w:rsidR="004C5316">
        <w:t>]</w:t>
      </w:r>
      <w:r w:rsidRPr="00DA0A96">
        <w:t xml:space="preserve">roperty pursuant to Government Code section 835.” </w:t>
      </w:r>
      <w:r w:rsidRPr="00DA0A96" w:rsidR="004751BA">
        <w:t xml:space="preserve"> </w:t>
      </w:r>
      <w:r w:rsidRPr="00DA0A96">
        <w:t xml:space="preserve">The complaint alleged that the </w:t>
      </w:r>
      <w:r w:rsidRPr="00DA0A96" w:rsidR="002B7FA1">
        <w:t xml:space="preserve">intersection of Hawthorn </w:t>
      </w:r>
      <w:r w:rsidRPr="00DA0A96" w:rsidR="004751BA">
        <w:t xml:space="preserve">Boulevard </w:t>
      </w:r>
      <w:r w:rsidRPr="00DA0A96" w:rsidR="002B7FA1">
        <w:t>and Vallon</w:t>
      </w:r>
      <w:r w:rsidRPr="00DA0A96" w:rsidR="004751BA">
        <w:t xml:space="preserve"> Drive</w:t>
      </w:r>
      <w:r w:rsidRPr="00DA0A96" w:rsidR="002B7FA1">
        <w:t xml:space="preserve"> constituted a dangerous condition that the City </w:t>
      </w:r>
      <w:r w:rsidRPr="00DA0A96">
        <w:t xml:space="preserve">had </w:t>
      </w:r>
      <w:r w:rsidRPr="00DA0A96" w:rsidR="002B7FA1">
        <w:t>“</w:t>
      </w:r>
      <w:r w:rsidRPr="00DA0A96">
        <w:t>created</w:t>
      </w:r>
      <w:r w:rsidRPr="00DA0A96" w:rsidR="004C5316">
        <w:t xml:space="preserve">, </w:t>
      </w:r>
      <w:r w:rsidRPr="00DA0A96">
        <w:t>or allowed to be created</w:t>
      </w:r>
      <w:r w:rsidRPr="00DA0A96" w:rsidR="00CD4024">
        <w:t xml:space="preserve"> .</w:t>
      </w:r>
      <w:r w:rsidRPr="00DA0A96" w:rsidR="00BC565B">
        <w:t> </w:t>
      </w:r>
      <w:r w:rsidRPr="00DA0A96" w:rsidR="00CD4024">
        <w:t>.</w:t>
      </w:r>
      <w:r w:rsidRPr="00DA0A96" w:rsidR="00BC565B">
        <w:t> </w:t>
      </w:r>
      <w:r w:rsidRPr="00DA0A96" w:rsidR="00CD4024">
        <w:t>. under [section] 835</w:t>
      </w:r>
      <w:r w:rsidRPr="00DA0A96" w:rsidR="002B7FA1">
        <w:t>.”</w:t>
      </w:r>
      <w:r w:rsidRPr="00DA0A96" w:rsidR="004751BA">
        <w:t xml:space="preserve">  </w:t>
      </w:r>
      <w:r w:rsidRPr="00DA0A96" w:rsidR="00CD4024">
        <w:t xml:space="preserve">The complaint </w:t>
      </w:r>
      <w:r w:rsidRPr="00DA0A96" w:rsidR="0032332D">
        <w:t xml:space="preserve">further alleged the </w:t>
      </w:r>
      <w:r w:rsidRPr="00DA0A96" w:rsidR="00A57B11">
        <w:t xml:space="preserve">City </w:t>
      </w:r>
      <w:r w:rsidRPr="00DA0A96" w:rsidR="0032332D">
        <w:t>had provided “inadequate warning of dangerous conditions not reasonably apparent to motorists</w:t>
      </w:r>
      <w:r w:rsidRPr="00DA0A96" w:rsidR="00A57B11">
        <w:t xml:space="preserve"> .</w:t>
      </w:r>
      <w:r w:rsidRPr="00DA0A96" w:rsidR="00BC565B">
        <w:t> </w:t>
      </w:r>
      <w:r w:rsidRPr="00DA0A96" w:rsidR="00A57B11">
        <w:t>.</w:t>
      </w:r>
      <w:r w:rsidRPr="00DA0A96" w:rsidR="00BC565B">
        <w:t> </w:t>
      </w:r>
      <w:r w:rsidRPr="00DA0A96" w:rsidR="00A57B11">
        <w:t xml:space="preserve">. </w:t>
      </w:r>
      <w:r w:rsidRPr="00DA0A96" w:rsidR="0032332D">
        <w:t>for those driving through the road at the intersection of Hawthorne Boulevard and Vallon Drive.”</w:t>
      </w:r>
    </w:p>
    <w:p w:rsidR="0099482B" w:rsidRPr="00E1286D" w:rsidP="00DA0A96">
      <w:pPr>
        <w:pStyle w:val="Heading2"/>
      </w:pPr>
      <w:r w:rsidRPr="00E1286D">
        <w:t>B.</w:t>
      </w:r>
      <w:r w:rsidRPr="00E1286D" w:rsidR="00F504B5">
        <w:t xml:space="preserve">  </w:t>
      </w:r>
      <w:r w:rsidRPr="00E1286D" w:rsidR="00A57B11">
        <w:t xml:space="preserve">Trial </w:t>
      </w:r>
      <w:r w:rsidR="00987F48">
        <w:t>C</w:t>
      </w:r>
      <w:r w:rsidRPr="00E1286D" w:rsidR="00A57B11">
        <w:t xml:space="preserve">ourt </w:t>
      </w:r>
      <w:r w:rsidR="00987F48">
        <w:t>P</w:t>
      </w:r>
      <w:r w:rsidRPr="00E1286D" w:rsidR="00A57B11">
        <w:t>roceedings</w:t>
      </w:r>
    </w:p>
    <w:p w:rsidR="00D30381" w:rsidRPr="00DA0A96" w:rsidP="00DA0A96">
      <w:pPr>
        <w:pStyle w:val="Heading3"/>
      </w:pPr>
      <w:r w:rsidRPr="00DA0A96">
        <w:t>1.</w:t>
      </w:r>
      <w:r w:rsidRPr="00DA0A96">
        <w:tab/>
        <w:t xml:space="preserve">The </w:t>
      </w:r>
      <w:r w:rsidRPr="00DA0A96" w:rsidR="00D52D2A">
        <w:t>City’s motion for summary judgment</w:t>
      </w:r>
    </w:p>
    <w:p w:rsidR="009907DA" w:rsidRPr="00DA0A96" w:rsidP="00DA0A96">
      <w:pPr>
        <w:tabs>
          <w:tab w:val="left" w:pos="1440"/>
        </w:tabs>
        <w:ind w:firstLine="720"/>
      </w:pPr>
      <w:r w:rsidRPr="00DA0A96">
        <w:t xml:space="preserve">The City filed a motion for summary judgment arguing that it had a “complete defense to [the] action for design immunity under </w:t>
      </w:r>
      <w:r w:rsidRPr="00DA0A96" w:rsidR="00A57B11">
        <w:t xml:space="preserve">Government Code </w:t>
      </w:r>
      <w:r w:rsidRPr="00DA0A96">
        <w:t xml:space="preserve">section 830.6.”  </w:t>
      </w:r>
      <w:r w:rsidRPr="00DA0A96" w:rsidR="00A57B11">
        <w:t xml:space="preserve">In support of </w:t>
      </w:r>
      <w:r w:rsidRPr="00DA0A96" w:rsidR="00411DA1">
        <w:t xml:space="preserve">the </w:t>
      </w:r>
      <w:r w:rsidRPr="00DA0A96" w:rsidR="00A57B11">
        <w:t xml:space="preserve">motion, </w:t>
      </w:r>
      <w:r w:rsidRPr="00DA0A96" w:rsidR="00C94994">
        <w:t xml:space="preserve">the </w:t>
      </w:r>
      <w:r w:rsidRPr="00DA0A96" w:rsidR="00A57B11">
        <w:t>C</w:t>
      </w:r>
      <w:r w:rsidRPr="00DA0A96" w:rsidR="00C94994">
        <w:t xml:space="preserve">ity </w:t>
      </w:r>
      <w:r w:rsidRPr="00DA0A96" w:rsidR="00D52D2A">
        <w:t xml:space="preserve">submitted </w:t>
      </w:r>
      <w:r w:rsidRPr="00DA0A96" w:rsidR="00C94994">
        <w:t xml:space="preserve">evidence showing that </w:t>
      </w:r>
      <w:r w:rsidRPr="00DA0A96" w:rsidR="00A57B11">
        <w:t xml:space="preserve">local </w:t>
      </w:r>
      <w:r w:rsidRPr="00DA0A96" w:rsidR="00C94994">
        <w:t>officials had approved a repaving project along Hawthorne Boulevard</w:t>
      </w:r>
      <w:r w:rsidRPr="00DA0A96" w:rsidR="00AA671F">
        <w:t xml:space="preserve"> in 2009</w:t>
      </w:r>
      <w:r w:rsidRPr="00DA0A96" w:rsidR="00ED0C35">
        <w:t xml:space="preserve">.  The plans showed </w:t>
      </w:r>
      <w:r w:rsidRPr="00DA0A96" w:rsidR="00C94994">
        <w:t>a bike</w:t>
      </w:r>
      <w:r w:rsidRPr="00DA0A96" w:rsidR="00A57B11">
        <w:t xml:space="preserve"> lane </w:t>
      </w:r>
      <w:r w:rsidR="007B30B0">
        <w:t>running along Hawthorne Boulevard that</w:t>
      </w:r>
      <w:r w:rsidRPr="00DA0A96" w:rsidR="00A57B11">
        <w:t xml:space="preserve"> </w:t>
      </w:r>
      <w:r w:rsidR="00B835C3">
        <w:t>stopped</w:t>
      </w:r>
      <w:r w:rsidRPr="00DA0A96" w:rsidR="00C94994">
        <w:t xml:space="preserve"> </w:t>
      </w:r>
      <w:r w:rsidR="000363D7">
        <w:t xml:space="preserve">at </w:t>
      </w:r>
      <w:r w:rsidRPr="00DA0A96" w:rsidR="00C94994">
        <w:t>Dupre</w:t>
      </w:r>
      <w:r w:rsidR="007B30B0">
        <w:t xml:space="preserve"> Drive</w:t>
      </w:r>
      <w:r w:rsidRPr="00DA0A96" w:rsidR="00C94994">
        <w:t xml:space="preserve"> and </w:t>
      </w:r>
      <w:r w:rsidR="007B30B0">
        <w:t xml:space="preserve">then </w:t>
      </w:r>
      <w:r w:rsidR="00476F27">
        <w:t>re</w:t>
      </w:r>
      <w:r w:rsidR="007B30B0">
        <w:t xml:space="preserve">started again </w:t>
      </w:r>
      <w:r w:rsidR="000363D7">
        <w:t xml:space="preserve">at </w:t>
      </w:r>
      <w:r w:rsidRPr="00DA0A96" w:rsidR="00C94994">
        <w:t xml:space="preserve">Vallon Drive.  </w:t>
      </w:r>
      <w:r w:rsidR="00476F27">
        <w:t xml:space="preserve">On the block </w:t>
      </w:r>
      <w:r w:rsidR="007B30B0">
        <w:t xml:space="preserve">between Dupre and Vallon, </w:t>
      </w:r>
      <w:r w:rsidRPr="00DA0A96" w:rsidR="00250A19">
        <w:t>t</w:t>
      </w:r>
      <w:r w:rsidRPr="00DA0A96" w:rsidR="00AA69FA">
        <w:t>he plans showed parking spots</w:t>
      </w:r>
      <w:r w:rsidRPr="00DA0A96" w:rsidR="00ED0C35">
        <w:t xml:space="preserve"> in lieu of a </w:t>
      </w:r>
      <w:r w:rsidRPr="00DA0A96" w:rsidR="00250A19">
        <w:t xml:space="preserve">bike lane, and </w:t>
      </w:r>
      <w:r w:rsidRPr="00DA0A96" w:rsidR="00AA671F">
        <w:t xml:space="preserve">a </w:t>
      </w:r>
      <w:r w:rsidRPr="00DA0A96" w:rsidR="00250A19">
        <w:t>right turn lane</w:t>
      </w:r>
      <w:r w:rsidRPr="00DA0A96" w:rsidR="00AA671F">
        <w:t xml:space="preserve"> </w:t>
      </w:r>
      <w:r w:rsidRPr="00DA0A96" w:rsidR="00ED0C35">
        <w:t xml:space="preserve">at the intersection of Hawthorne and </w:t>
      </w:r>
      <w:r w:rsidRPr="00DA0A96" w:rsidR="00250A19">
        <w:t xml:space="preserve">Vallon.  </w:t>
      </w:r>
      <w:r w:rsidRPr="00DA0A96">
        <w:t xml:space="preserve">A former city engineer provided a declaration </w:t>
      </w:r>
      <w:r w:rsidRPr="00DA0A96" w:rsidR="005C0A36">
        <w:t xml:space="preserve">explaining </w:t>
      </w:r>
      <w:r w:rsidRPr="00DA0A96" w:rsidR="00250A19">
        <w:t xml:space="preserve">that </w:t>
      </w:r>
      <w:r w:rsidRPr="00DA0A96">
        <w:t xml:space="preserve">the </w:t>
      </w:r>
      <w:r w:rsidRPr="00DA0A96" w:rsidR="00CD7A47">
        <w:t>C</w:t>
      </w:r>
      <w:r w:rsidRPr="00DA0A96">
        <w:t>ity</w:t>
      </w:r>
      <w:r w:rsidRPr="00DA0A96" w:rsidR="00CD7A47">
        <w:t xml:space="preserve"> had</w:t>
      </w:r>
      <w:r w:rsidRPr="00DA0A96">
        <w:t xml:space="preserve"> decided against including a bi</w:t>
      </w:r>
      <w:r w:rsidRPr="00DA0A96" w:rsidR="00CD7A47">
        <w:t xml:space="preserve">ke </w:t>
      </w:r>
      <w:r w:rsidRPr="00DA0A96">
        <w:t>lane</w:t>
      </w:r>
      <w:r w:rsidRPr="00DA0A96" w:rsidR="00AA69FA">
        <w:t xml:space="preserve"> </w:t>
      </w:r>
      <w:r w:rsidRPr="00DA0A96" w:rsidR="00250A19">
        <w:t xml:space="preserve">on that </w:t>
      </w:r>
      <w:r w:rsidRPr="00DA0A96" w:rsidR="00CD7A47">
        <w:t xml:space="preserve">block </w:t>
      </w:r>
      <w:r w:rsidRPr="00DA0A96" w:rsidR="00AA69FA">
        <w:t>because it</w:t>
      </w:r>
      <w:r w:rsidRPr="00DA0A96" w:rsidR="00CD7A47">
        <w:t xml:space="preserve"> wanted to provide</w:t>
      </w:r>
      <w:r w:rsidRPr="00DA0A96" w:rsidR="00AA69FA">
        <w:t xml:space="preserve"> </w:t>
      </w:r>
      <w:r w:rsidRPr="00DA0A96">
        <w:t>on-street parking for the benefit of an adjacent park.</w:t>
      </w:r>
    </w:p>
    <w:p w:rsidR="009907DA" w:rsidRPr="00DA0A96" w:rsidP="00DA0A96">
      <w:pPr>
        <w:tabs>
          <w:tab w:val="left" w:pos="1440"/>
        </w:tabs>
        <w:ind w:firstLine="720"/>
      </w:pPr>
      <w:r w:rsidRPr="00DA0A96">
        <w:t xml:space="preserve">The </w:t>
      </w:r>
      <w:r w:rsidRPr="00DA0A96" w:rsidR="00411DA1">
        <w:t>C</w:t>
      </w:r>
      <w:r w:rsidRPr="00DA0A96">
        <w:t xml:space="preserve">ity also provided the declaration of a traffic engineering expert who had reviewed the 2009 </w:t>
      </w:r>
      <w:r w:rsidRPr="00DA0A96" w:rsidR="00ED0C35">
        <w:t xml:space="preserve">repaving </w:t>
      </w:r>
      <w:r w:rsidRPr="00DA0A96">
        <w:t xml:space="preserve">plans and </w:t>
      </w:r>
      <w:r w:rsidR="00EF3B51">
        <w:t>concluded</w:t>
      </w:r>
      <w:r w:rsidRPr="00DA0A96" w:rsidR="00EF3B51">
        <w:t xml:space="preserve"> </w:t>
      </w:r>
      <w:r w:rsidRPr="00DA0A96">
        <w:t xml:space="preserve">that they were reasonable and </w:t>
      </w:r>
      <w:r w:rsidRPr="00DA0A96" w:rsidR="00ED0C35">
        <w:t xml:space="preserve">compliant </w:t>
      </w:r>
      <w:r w:rsidRPr="00DA0A96" w:rsidR="00250A19">
        <w:t xml:space="preserve">with all </w:t>
      </w:r>
      <w:r w:rsidRPr="00DA0A96">
        <w:t xml:space="preserve">applicable </w:t>
      </w:r>
      <w:r w:rsidRPr="00DA0A96" w:rsidR="00250A19">
        <w:t xml:space="preserve">state and federal </w:t>
      </w:r>
      <w:r w:rsidRPr="00DA0A96">
        <w:t xml:space="preserve">guidelines.  </w:t>
      </w:r>
      <w:r w:rsidRPr="00DA0A96" w:rsidR="00250A19">
        <w:t xml:space="preserve">The engineer also </w:t>
      </w:r>
      <w:r w:rsidRPr="00DA0A96">
        <w:t xml:space="preserve">reviewed collision data </w:t>
      </w:r>
      <w:r w:rsidRPr="00DA0A96" w:rsidR="00250A19">
        <w:t xml:space="preserve">that </w:t>
      </w:r>
      <w:r w:rsidRPr="00DA0A96" w:rsidR="00411DA1">
        <w:t>showed</w:t>
      </w:r>
      <w:r w:rsidRPr="00DA0A96" w:rsidR="00250A19">
        <w:t xml:space="preserve"> </w:t>
      </w:r>
      <w:r w:rsidRPr="00DA0A96">
        <w:t xml:space="preserve">the decedent’s accident was the only serious collision </w:t>
      </w:r>
      <w:r w:rsidRPr="00DA0A96" w:rsidR="00ED0C35">
        <w:t xml:space="preserve">that had occurred at the intersection of Hawthorne Boulevard and Vallon Drive </w:t>
      </w:r>
      <w:r w:rsidRPr="00DA0A96" w:rsidR="00250A19">
        <w:t xml:space="preserve">between </w:t>
      </w:r>
      <w:r w:rsidRPr="00DA0A96">
        <w:t xml:space="preserve">2006 to 2017. </w:t>
      </w:r>
      <w:r w:rsidRPr="00DA0A96" w:rsidR="00250A19">
        <w:t xml:space="preserve"> The </w:t>
      </w:r>
      <w:r w:rsidRPr="00DA0A96" w:rsidR="00411DA1">
        <w:t xml:space="preserve">expert </w:t>
      </w:r>
      <w:r w:rsidRPr="00DA0A96" w:rsidR="0007630E">
        <w:t xml:space="preserve">opined </w:t>
      </w:r>
      <w:r w:rsidRPr="00DA0A96" w:rsidR="00250A19">
        <w:t>that th</w:t>
      </w:r>
      <w:r w:rsidRPr="00DA0A96" w:rsidR="0007630E">
        <w:t>is</w:t>
      </w:r>
      <w:r w:rsidRPr="00DA0A96" w:rsidR="00250A19">
        <w:t xml:space="preserve"> data demonstrated </w:t>
      </w:r>
      <w:r w:rsidRPr="00DA0A96">
        <w:t>the intersection had an “extremely good” collision record and was safe when used with due care.</w:t>
      </w:r>
    </w:p>
    <w:p w:rsidR="008D404A" w:rsidRPr="00DA0A96" w:rsidP="00DA0A96">
      <w:pPr>
        <w:tabs>
          <w:tab w:val="left" w:pos="1440"/>
        </w:tabs>
        <w:ind w:firstLine="720"/>
      </w:pPr>
      <w:r w:rsidRPr="00DA0A96">
        <w:t>The City argued that</w:t>
      </w:r>
      <w:r w:rsidRPr="00DA0A96" w:rsidR="0007630E">
        <w:t>, considered together,</w:t>
      </w:r>
      <w:r w:rsidRPr="00DA0A96" w:rsidR="00DB63EF">
        <w:t xml:space="preserve"> </w:t>
      </w:r>
      <w:r w:rsidRPr="00DA0A96" w:rsidR="00AA671F">
        <w:t xml:space="preserve">its </w:t>
      </w:r>
      <w:r w:rsidRPr="00DA0A96" w:rsidR="00250A19">
        <w:t xml:space="preserve">evidence </w:t>
      </w:r>
      <w:r w:rsidRPr="00DA0A96">
        <w:t>established</w:t>
      </w:r>
      <w:r w:rsidRPr="00DA0A96" w:rsidR="00AA671F">
        <w:t xml:space="preserve"> as a matter of law that</w:t>
      </w:r>
      <w:r w:rsidRPr="00DA0A96" w:rsidR="00CD7A47">
        <w:t xml:space="preserve"> </w:t>
      </w:r>
      <w:r w:rsidRPr="00DA0A96" w:rsidR="00DB63EF">
        <w:t xml:space="preserve">it was entitled to judgment based on the </w:t>
      </w:r>
      <w:r w:rsidRPr="00DA0A96" w:rsidR="00062A28">
        <w:t xml:space="preserve">defense </w:t>
      </w:r>
      <w:r w:rsidRPr="00DA0A96" w:rsidR="006724D7">
        <w:t>of design immunity</w:t>
      </w:r>
      <w:r w:rsidRPr="00DA0A96" w:rsidR="003E7C65">
        <w:t>.  In particular, the</w:t>
      </w:r>
      <w:r w:rsidRPr="00DA0A96" w:rsidR="002E51D3">
        <w:t xml:space="preserve"> City argued the evidence showed </w:t>
      </w:r>
      <w:r w:rsidRPr="00DA0A96" w:rsidR="003E7C65">
        <w:t xml:space="preserve">the </w:t>
      </w:r>
      <w:r w:rsidRPr="00DA0A96" w:rsidR="002E51D3">
        <w:t xml:space="preserve">element </w:t>
      </w:r>
      <w:r w:rsidRPr="00DA0A96" w:rsidR="003E7C65">
        <w:t>of the roadway</w:t>
      </w:r>
      <w:r w:rsidRPr="00DA0A96" w:rsidR="00DB63EF">
        <w:t xml:space="preserve"> that had allegedly caused </w:t>
      </w:r>
      <w:r w:rsidRPr="00DA0A96" w:rsidR="00CD7A47">
        <w:t xml:space="preserve">the </w:t>
      </w:r>
      <w:r w:rsidRPr="00DA0A96" w:rsidR="00DB63EF">
        <w:t>decedent’s accident</w:t>
      </w:r>
      <w:r w:rsidRPr="00DA0A96" w:rsidR="00AA671F">
        <w:t xml:space="preserve"> — </w:t>
      </w:r>
      <w:r w:rsidRPr="00DA0A96" w:rsidR="003E7C65">
        <w:t xml:space="preserve">the </w:t>
      </w:r>
      <w:r w:rsidR="004A569A">
        <w:t>absence</w:t>
      </w:r>
      <w:r w:rsidRPr="00DA0A96" w:rsidR="004A569A">
        <w:t xml:space="preserve"> </w:t>
      </w:r>
      <w:r w:rsidRPr="00DA0A96" w:rsidR="003E7C65">
        <w:t xml:space="preserve">of </w:t>
      </w:r>
      <w:r w:rsidR="004A569A">
        <w:t>a</w:t>
      </w:r>
      <w:r w:rsidRPr="00DA0A96" w:rsidR="003E7C65">
        <w:t xml:space="preserve"> bike lane</w:t>
      </w:r>
      <w:r w:rsidRPr="00DA0A96" w:rsidR="002E51D3">
        <w:t xml:space="preserve"> between Dupre and Vallon</w:t>
      </w:r>
      <w:r w:rsidRPr="00DA0A96" w:rsidR="00AA671F">
        <w:t> —</w:t>
      </w:r>
      <w:r w:rsidRPr="00DA0A96" w:rsidR="002E51D3">
        <w:t xml:space="preserve"> </w:t>
      </w:r>
      <w:r w:rsidRPr="00DA0A96" w:rsidR="003E7C65">
        <w:t>had</w:t>
      </w:r>
      <w:r w:rsidRPr="00DA0A96" w:rsidR="00DB63EF">
        <w:t xml:space="preserve"> been </w:t>
      </w:r>
      <w:r w:rsidRPr="00DA0A96" w:rsidR="006724D7">
        <w:t>approv</w:t>
      </w:r>
      <w:r w:rsidRPr="00DA0A96" w:rsidR="00DB63EF">
        <w:t>ed</w:t>
      </w:r>
      <w:r w:rsidRPr="00DA0A96" w:rsidR="006724D7">
        <w:t xml:space="preserve"> </w:t>
      </w:r>
      <w:r w:rsidRPr="00DA0A96" w:rsidR="00DB63EF">
        <w:t xml:space="preserve">by </w:t>
      </w:r>
      <w:r w:rsidRPr="00DA0A96" w:rsidR="003E7C65">
        <w:t>authorized personnel</w:t>
      </w:r>
      <w:r w:rsidRPr="00DA0A96" w:rsidR="002E51D3">
        <w:t xml:space="preserve"> </w:t>
      </w:r>
      <w:r w:rsidRPr="00DA0A96" w:rsidR="003E7C65">
        <w:t xml:space="preserve">and that </w:t>
      </w:r>
      <w:r w:rsidRPr="00DA0A96" w:rsidR="006724D7">
        <w:t xml:space="preserve">substantial evidence supported the reasonableness of the design.  </w:t>
      </w:r>
      <w:r w:rsidRPr="00DA0A96" w:rsidR="002E51D3">
        <w:t>Thus, the City contended</w:t>
      </w:r>
      <w:r w:rsidRPr="00DA0A96" w:rsidR="006724D7">
        <w:t>, it could not be held liable under</w:t>
      </w:r>
      <w:r w:rsidRPr="00DA0A96" w:rsidR="002E51D3">
        <w:t xml:space="preserve"> </w:t>
      </w:r>
      <w:r w:rsidRPr="00DA0A96" w:rsidR="000D3DC6">
        <w:t xml:space="preserve">Government Code </w:t>
      </w:r>
      <w:r w:rsidRPr="00DA0A96" w:rsidR="006724D7">
        <w:t>section 835 for</w:t>
      </w:r>
      <w:r w:rsidRPr="00DA0A96" w:rsidR="002E51D3">
        <w:t xml:space="preserve"> any injury resulting from that </w:t>
      </w:r>
      <w:r w:rsidRPr="00DA0A96" w:rsidR="00AA671F">
        <w:t xml:space="preserve">alleged dangerous </w:t>
      </w:r>
      <w:r w:rsidRPr="00DA0A96" w:rsidR="00A8296A">
        <w:t>condition</w:t>
      </w:r>
      <w:r w:rsidRPr="00DA0A96" w:rsidR="006724D7">
        <w:t>.</w:t>
      </w:r>
      <w:r w:rsidRPr="00DA0A96" w:rsidR="002E51D3">
        <w:t xml:space="preserve">  </w:t>
      </w:r>
      <w:r w:rsidRPr="00DA0A96" w:rsidR="009907DA">
        <w:t xml:space="preserve">In </w:t>
      </w:r>
      <w:r w:rsidRPr="00DA0A96" w:rsidR="009907DA">
        <w:t xml:space="preserve">a footnote, the City acknowledged </w:t>
      </w:r>
      <w:r w:rsidRPr="00DA0A96" w:rsidR="002E51D3">
        <w:t xml:space="preserve">Tansavatdi’s </w:t>
      </w:r>
      <w:r w:rsidRPr="00DA0A96" w:rsidR="009907DA">
        <w:t xml:space="preserve">complaint </w:t>
      </w:r>
      <w:r w:rsidRPr="00DA0A96" w:rsidR="002E51D3">
        <w:t xml:space="preserve">had </w:t>
      </w:r>
      <w:r w:rsidRPr="00DA0A96" w:rsidR="0007630E">
        <w:t xml:space="preserve">also </w:t>
      </w:r>
      <w:r w:rsidRPr="00DA0A96" w:rsidR="002E51D3">
        <w:t xml:space="preserve">alleged an alternative </w:t>
      </w:r>
      <w:r w:rsidRPr="00DA0A96" w:rsidR="00AA671F">
        <w:t xml:space="preserve">theory </w:t>
      </w:r>
      <w:r w:rsidRPr="00DA0A96" w:rsidR="002E51D3">
        <w:t xml:space="preserve">of liability for </w:t>
      </w:r>
      <w:r w:rsidRPr="00DA0A96" w:rsidR="009907DA">
        <w:t>“failing to warn of a dangerous condition</w:t>
      </w:r>
      <w:r w:rsidRPr="00DA0A96" w:rsidR="002E51D3">
        <w:t>.</w:t>
      </w:r>
      <w:r w:rsidRPr="00DA0A96" w:rsidR="009907DA">
        <w:t>”</w:t>
      </w:r>
      <w:r w:rsidRPr="00DA0A96" w:rsidR="002E51D3">
        <w:t xml:space="preserve">  In the City’s view, however, </w:t>
      </w:r>
      <w:r w:rsidRPr="00DA0A96" w:rsidR="009907DA">
        <w:t>because it had “met the requisites of design immunity, no such warning was required.”</w:t>
      </w:r>
    </w:p>
    <w:p w:rsidR="00265772" w:rsidRPr="00DA0A96" w:rsidP="00DA0A96">
      <w:pPr>
        <w:tabs>
          <w:tab w:val="left" w:pos="1440"/>
        </w:tabs>
        <w:ind w:firstLine="720"/>
      </w:pPr>
      <w:r w:rsidRPr="00DA0A96">
        <w:t xml:space="preserve">In opposition, </w:t>
      </w:r>
      <w:r w:rsidRPr="00DA0A96" w:rsidR="008D404A">
        <w:t>Tansavatdi argued</w:t>
      </w:r>
      <w:bookmarkStart w:id="5" w:name="co_pp_sp_7047_519_1"/>
      <w:bookmarkEnd w:id="5"/>
      <w:r w:rsidRPr="00DA0A96" w:rsidR="008D404A">
        <w:t xml:space="preserve"> the</w:t>
      </w:r>
      <w:r w:rsidRPr="00DA0A96" w:rsidR="000F67A6">
        <w:t xml:space="preserve">re were disputed questions of fact as to whether </w:t>
      </w:r>
      <w:r w:rsidRPr="00DA0A96" w:rsidR="00E10973">
        <w:t xml:space="preserve">the design of the street qualified as a dangerous condition, contending that </w:t>
      </w:r>
      <w:r w:rsidRPr="00DA0A96" w:rsidR="000F67A6">
        <w:t xml:space="preserve">the </w:t>
      </w:r>
      <w:r w:rsidRPr="00DA0A96">
        <w:t>City “</w:t>
      </w:r>
      <w:r w:rsidRPr="00DA0A96" w:rsidR="008D404A">
        <w:t>should have ensured the roadway would be striped with a continuous</w:t>
      </w:r>
      <w:r w:rsidRPr="00DA0A96" w:rsidR="00C25CAB">
        <w:t> </w:t>
      </w:r>
      <w:r w:rsidRPr="00DA0A96" w:rsidR="002D76A6">
        <w:t>.</w:t>
      </w:r>
      <w:r w:rsidRPr="00DA0A96" w:rsidR="00C25CAB">
        <w:t> </w:t>
      </w:r>
      <w:r w:rsidRPr="00DA0A96" w:rsidR="002D76A6">
        <w:t>.</w:t>
      </w:r>
      <w:r w:rsidRPr="00DA0A96" w:rsidR="00C25CAB">
        <w:t> . </w:t>
      </w:r>
      <w:r w:rsidRPr="00DA0A96" w:rsidR="008D404A">
        <w:t>bicycle lane directing bicyclists approaching the intersection of Hawthorne and Vallon to the left of the right turn lane.</w:t>
      </w:r>
      <w:r w:rsidRPr="00DA0A96" w:rsidR="002D76A6">
        <w:t xml:space="preserve">”  </w:t>
      </w:r>
      <w:r w:rsidRPr="00DA0A96" w:rsidR="00A54D62">
        <w:t xml:space="preserve">Tansavatdi </w:t>
      </w:r>
      <w:r w:rsidRPr="00DA0A96" w:rsidR="00E10973">
        <w:t>also argued</w:t>
      </w:r>
      <w:r w:rsidRPr="00DA0A96" w:rsidR="005C1258">
        <w:t xml:space="preserve"> there were disputed issues whether the City was </w:t>
      </w:r>
      <w:r w:rsidRPr="00DA0A96" w:rsidR="008D6990">
        <w:t xml:space="preserve">entitled to design </w:t>
      </w:r>
      <w:r w:rsidRPr="00DA0A96" w:rsidR="00443C7E">
        <w:t>i</w:t>
      </w:r>
      <w:r w:rsidRPr="00DA0A96" w:rsidR="000A0B2C">
        <w:t>mmun</w:t>
      </w:r>
      <w:r w:rsidRPr="00DA0A96" w:rsidR="008D6990">
        <w:t>ity</w:t>
      </w:r>
      <w:r w:rsidRPr="00DA0A96" w:rsidR="000A0B2C">
        <w:t xml:space="preserve"> under </w:t>
      </w:r>
      <w:r w:rsidRPr="00DA0A96">
        <w:t xml:space="preserve">Government Code </w:t>
      </w:r>
      <w:r w:rsidRPr="00DA0A96" w:rsidR="000A0B2C">
        <w:t>section 830.6</w:t>
      </w:r>
      <w:r w:rsidRPr="00DA0A96" w:rsidR="005C0A36">
        <w:t xml:space="preserve">, arguing </w:t>
      </w:r>
      <w:r w:rsidRPr="00DA0A96" w:rsidR="000A0B2C">
        <w:t>the</w:t>
      </w:r>
      <w:r w:rsidRPr="00DA0A96" w:rsidR="00227D78">
        <w:t>re was no</w:t>
      </w:r>
      <w:r w:rsidRPr="00DA0A96" w:rsidR="000A0B2C">
        <w:t xml:space="preserve"> </w:t>
      </w:r>
      <w:r w:rsidRPr="00DA0A96" w:rsidR="00002AF9">
        <w:t xml:space="preserve">evidence </w:t>
      </w:r>
      <w:r w:rsidRPr="00DA0A96" w:rsidR="009642BB">
        <w:t xml:space="preserve">showing </w:t>
      </w:r>
      <w:r w:rsidR="00987F48">
        <w:t xml:space="preserve">that </w:t>
      </w:r>
      <w:r w:rsidRPr="00DA0A96" w:rsidR="000A0B2C">
        <w:t>the public employee</w:t>
      </w:r>
      <w:r w:rsidRPr="00DA0A96" w:rsidR="009F5431">
        <w:t>s</w:t>
      </w:r>
      <w:r w:rsidRPr="00DA0A96" w:rsidR="000A0B2C">
        <w:t xml:space="preserve"> who approved the </w:t>
      </w:r>
      <w:r w:rsidRPr="00DA0A96" w:rsidR="00F864F9">
        <w:t xml:space="preserve">repaving </w:t>
      </w:r>
      <w:r w:rsidRPr="00DA0A96" w:rsidR="000A0B2C">
        <w:t>project</w:t>
      </w:r>
      <w:r w:rsidRPr="00DA0A96">
        <w:t xml:space="preserve"> on Hawthorne</w:t>
      </w:r>
      <w:r w:rsidRPr="00DA0A96" w:rsidR="000A0B2C">
        <w:t xml:space="preserve"> had authority to do so</w:t>
      </w:r>
      <w:r w:rsidRPr="00DA0A96" w:rsidR="00CA1153">
        <w:t>,</w:t>
      </w:r>
      <w:r w:rsidRPr="00DA0A96" w:rsidR="009F5431">
        <w:t xml:space="preserve"> or that the design was reasonable.</w:t>
      </w:r>
    </w:p>
    <w:p w:rsidR="009F5431" w:rsidRPr="00DA0A96" w:rsidP="00DA0A96">
      <w:pPr>
        <w:tabs>
          <w:tab w:val="left" w:pos="1440"/>
        </w:tabs>
        <w:ind w:firstLine="720"/>
      </w:pPr>
      <w:r w:rsidRPr="00DA0A96">
        <w:t xml:space="preserve">Citing </w:t>
      </w:r>
      <w:r w:rsidRPr="00DA0A96">
        <w:rPr>
          <w:i/>
          <w:iCs/>
        </w:rPr>
        <w:t>Cameron,</w:t>
      </w:r>
      <w:r w:rsidRPr="00DA0A96">
        <w:t xml:space="preserve"> </w:t>
      </w:r>
      <w:r w:rsidRPr="00DA0A96" w:rsidR="00F864F9">
        <w:t xml:space="preserve">Tansavatdi </w:t>
      </w:r>
      <w:r w:rsidRPr="00DA0A96" w:rsidR="00227D78">
        <w:t xml:space="preserve">separately </w:t>
      </w:r>
      <w:r w:rsidRPr="00DA0A96">
        <w:t xml:space="preserve">argued that even if the City </w:t>
      </w:r>
      <w:r w:rsidRPr="00DA0A96" w:rsidR="005C201D">
        <w:t xml:space="preserve">had demonstrated it </w:t>
      </w:r>
      <w:r w:rsidRPr="00DA0A96">
        <w:t>was entitled to</w:t>
      </w:r>
      <w:r w:rsidRPr="00DA0A96">
        <w:t xml:space="preserve"> design immunity, </w:t>
      </w:r>
      <w:r w:rsidRPr="00DA0A96">
        <w:t xml:space="preserve">that </w:t>
      </w:r>
      <w:r w:rsidRPr="00DA0A96">
        <w:t>immunity did not</w:t>
      </w:r>
      <w:r w:rsidRPr="00DA0A96">
        <w:t xml:space="preserve"> apply</w:t>
      </w:r>
      <w:r w:rsidRPr="00DA0A96">
        <w:t xml:space="preserve"> to her claim that the City should have “warned of the dangerous condition</w:t>
      </w:r>
      <w:r w:rsidRPr="00DA0A96" w:rsidR="005C0A36">
        <w:t> . . . </w:t>
      </w:r>
      <w:r w:rsidRPr="00DA0A96">
        <w:t xml:space="preserve">since it </w:t>
      </w:r>
      <w:r w:rsidRPr="00DA0A96" w:rsidR="005C0A36">
        <w:t>[was]</w:t>
      </w:r>
      <w:r w:rsidRPr="00DA0A96">
        <w:t xml:space="preserve"> not reasonably apparent to a bicyclist” and thus “create[ed] a concealed trap.” </w:t>
      </w:r>
      <w:r w:rsidRPr="00DA0A96" w:rsidR="004424A0">
        <w:t xml:space="preserve"> </w:t>
      </w:r>
      <w:r w:rsidRPr="00DA0A96">
        <w:t xml:space="preserve">Tansavatdi </w:t>
      </w:r>
      <w:r w:rsidRPr="00DA0A96">
        <w:t>noted that</w:t>
      </w:r>
      <w:r w:rsidRPr="00DA0A96" w:rsidR="005C201D">
        <w:t xml:space="preserve"> </w:t>
      </w:r>
      <w:r w:rsidRPr="00DA0A96" w:rsidR="00D30381">
        <w:t>the City</w:t>
      </w:r>
      <w:r w:rsidRPr="00DA0A96" w:rsidR="005C201D">
        <w:t>’s</w:t>
      </w:r>
      <w:r w:rsidRPr="00DA0A96" w:rsidR="00DD45E8">
        <w:t xml:space="preserve"> </w:t>
      </w:r>
      <w:r w:rsidRPr="00DA0A96" w:rsidR="005C201D">
        <w:t xml:space="preserve">motion </w:t>
      </w:r>
      <w:r w:rsidRPr="00DA0A96" w:rsidR="00D30381">
        <w:t xml:space="preserve">acknowledged </w:t>
      </w:r>
      <w:r w:rsidRPr="00DA0A96" w:rsidR="004C0F25">
        <w:t>the</w:t>
      </w:r>
      <w:r w:rsidRPr="00DA0A96">
        <w:t xml:space="preserve"> complaint </w:t>
      </w:r>
      <w:r w:rsidRPr="00DA0A96" w:rsidR="00DF1A9F">
        <w:t xml:space="preserve">had </w:t>
      </w:r>
      <w:r w:rsidRPr="00DA0A96">
        <w:t>“pled this separate, independent theory</w:t>
      </w:r>
      <w:r w:rsidRPr="00DA0A96" w:rsidR="00DD45E8">
        <w:t xml:space="preserve"> [of dangerous conditions liability],</w:t>
      </w:r>
      <w:r w:rsidRPr="00DA0A96">
        <w:t xml:space="preserve"> negating any claimed design immunity.”</w:t>
      </w:r>
    </w:p>
    <w:p w:rsidR="00B91203" w:rsidRPr="00DA0A96" w:rsidP="00DA0A96">
      <w:pPr>
        <w:tabs>
          <w:tab w:val="left" w:pos="1440"/>
        </w:tabs>
        <w:ind w:firstLine="720"/>
      </w:pPr>
      <w:r w:rsidRPr="00DA0A96">
        <w:t xml:space="preserve">In support of </w:t>
      </w:r>
      <w:r w:rsidRPr="00DA0A96" w:rsidR="00D30381">
        <w:t>her opposition</w:t>
      </w:r>
      <w:r w:rsidRPr="00DA0A96" w:rsidR="009F5431">
        <w:t xml:space="preserve">, </w:t>
      </w:r>
      <w:r w:rsidRPr="00DA0A96" w:rsidR="00D30381">
        <w:t xml:space="preserve">Tansavatdi </w:t>
      </w:r>
      <w:r w:rsidRPr="00DA0A96">
        <w:t xml:space="preserve">submitted an expert declaration </w:t>
      </w:r>
      <w:r w:rsidRPr="00DA0A96" w:rsidR="002B62A3">
        <w:t xml:space="preserve">opining that </w:t>
      </w:r>
      <w:r w:rsidRPr="00DA0A96">
        <w:t>the discontinu</w:t>
      </w:r>
      <w:r w:rsidRPr="00DA0A96" w:rsidR="00D30381">
        <w:t xml:space="preserve">ation </w:t>
      </w:r>
      <w:r w:rsidRPr="00DA0A96">
        <w:t>of the bike lane</w:t>
      </w:r>
      <w:r w:rsidRPr="00DA0A96">
        <w:t xml:space="preserve"> along </w:t>
      </w:r>
      <w:r w:rsidRPr="00DA0A96" w:rsidR="002B62A3">
        <w:t xml:space="preserve">the steeply pitched section of </w:t>
      </w:r>
      <w:r w:rsidRPr="00DA0A96" w:rsidR="00DF1A9F">
        <w:t xml:space="preserve">Hawthorne </w:t>
      </w:r>
      <w:r w:rsidRPr="00DA0A96">
        <w:t xml:space="preserve">caused “bicyclists to ride their bicycles at relatively high speeds and </w:t>
      </w:r>
      <w:r w:rsidRPr="00DA0A96">
        <w:t xml:space="preserve">straight through the right turn lane at Vallon,” thus increasing the risk </w:t>
      </w:r>
      <w:r w:rsidRPr="00DA0A96">
        <w:t>of collision</w:t>
      </w:r>
      <w:r w:rsidRPr="00DA0A96">
        <w:t xml:space="preserve"> between cars and bicycles.  The </w:t>
      </w:r>
      <w:r w:rsidRPr="00DA0A96" w:rsidR="00D30381">
        <w:t>declaration further stated</w:t>
      </w:r>
      <w:r w:rsidRPr="00DA0A96">
        <w:t xml:space="preserve"> that</w:t>
      </w:r>
      <w:r w:rsidRPr="00DA0A96" w:rsidR="005706E2">
        <w:t xml:space="preserve"> to avoid the possibility of injury, “</w:t>
      </w:r>
      <w:r w:rsidRPr="00DA0A96">
        <w:t>a bicyclist on Hawthorne between Dupre and Vallon needs more advanced warning and positive guidance for the safe and intended operation of the roadway.”</w:t>
      </w:r>
    </w:p>
    <w:p w:rsidR="003A3565" w:rsidRPr="00DA0A96" w:rsidP="00DA0A96">
      <w:pPr>
        <w:tabs>
          <w:tab w:val="left" w:pos="1440"/>
        </w:tabs>
        <w:ind w:firstLine="720"/>
      </w:pPr>
      <w:r w:rsidRPr="00DA0A96">
        <w:t xml:space="preserve">In </w:t>
      </w:r>
      <w:r w:rsidRPr="00DA0A96" w:rsidR="002B62A3">
        <w:t xml:space="preserve">its </w:t>
      </w:r>
      <w:r w:rsidRPr="00DA0A96">
        <w:t xml:space="preserve">reply, the City did not challenge </w:t>
      </w:r>
      <w:r w:rsidRPr="00DA0A96" w:rsidR="00D30381">
        <w:t>Tansavatdi’s</w:t>
      </w:r>
      <w:r w:rsidRPr="00DA0A96">
        <w:t xml:space="preserve"> assertion that</w:t>
      </w:r>
      <w:r w:rsidRPr="00DA0A96" w:rsidR="00D30381">
        <w:t xml:space="preserve"> </w:t>
      </w:r>
      <w:r w:rsidRPr="00DA0A96" w:rsidR="00D30381">
        <w:rPr>
          <w:i/>
          <w:iCs/>
        </w:rPr>
        <w:t>Cameron</w:t>
      </w:r>
      <w:r w:rsidRPr="00DA0A96" w:rsidR="00002AF9">
        <w:t xml:space="preserve"> </w:t>
      </w:r>
      <w:r w:rsidRPr="00DA0A96" w:rsidR="00F504B5">
        <w:t xml:space="preserve">had </w:t>
      </w:r>
      <w:r w:rsidRPr="00DA0A96" w:rsidR="00D30381">
        <w:t>held</w:t>
      </w:r>
      <w:r w:rsidRPr="00DA0A96" w:rsidR="00002AF9">
        <w:t xml:space="preserve"> that</w:t>
      </w:r>
      <w:r w:rsidRPr="00DA0A96" w:rsidR="00D30381">
        <w:t xml:space="preserve"> </w:t>
      </w:r>
      <w:r w:rsidRPr="00DA0A96">
        <w:t xml:space="preserve">design immunity does not preclude a </w:t>
      </w:r>
      <w:r w:rsidRPr="00DA0A96" w:rsidR="00002AF9">
        <w:t xml:space="preserve">claim for </w:t>
      </w:r>
      <w:r w:rsidRPr="00DA0A96">
        <w:t>failure to warn</w:t>
      </w:r>
      <w:r w:rsidRPr="00DA0A96" w:rsidR="0073279B">
        <w:t xml:space="preserve"> of a dangerous traffic condition</w:t>
      </w:r>
      <w:r w:rsidRPr="00DA0A96">
        <w:t>.  Instead, the City argued the evidence</w:t>
      </w:r>
      <w:r w:rsidRPr="00DA0A96" w:rsidR="00002AF9">
        <w:t xml:space="preserve"> submitted in support of its motion</w:t>
      </w:r>
      <w:r w:rsidRPr="00DA0A96">
        <w:t xml:space="preserve"> showed</w:t>
      </w:r>
      <w:r w:rsidRPr="00DA0A96" w:rsidR="00495848">
        <w:t xml:space="preserve"> that </w:t>
      </w:r>
      <w:r w:rsidRPr="00DA0A96" w:rsidR="00EA5FF8">
        <w:t>the section of roadway where the accident occurred had</w:t>
      </w:r>
      <w:r w:rsidRPr="00DA0A96" w:rsidR="004424A0">
        <w:t xml:space="preserve"> </w:t>
      </w:r>
      <w:r w:rsidRPr="00DA0A96" w:rsidR="005B471F">
        <w:t xml:space="preserve">signs </w:t>
      </w:r>
      <w:r w:rsidRPr="00DA0A96">
        <w:t>warning vehicles to reduce their speed</w:t>
      </w:r>
      <w:r w:rsidRPr="00DA0A96" w:rsidR="00B11573">
        <w:t>.  According to the City, this signage</w:t>
      </w:r>
      <w:r w:rsidRPr="00DA0A96">
        <w:t xml:space="preserve"> was sufficient to defeat any failure to warn claim.  The City also contended that it would be “readily apparent” to bicycle riders that they should not travel straight through the right</w:t>
      </w:r>
      <w:r w:rsidRPr="00DA0A96" w:rsidR="005706E2">
        <w:t xml:space="preserve"> turn</w:t>
      </w:r>
      <w:r w:rsidRPr="00DA0A96">
        <w:t xml:space="preserve"> lane.</w:t>
      </w:r>
    </w:p>
    <w:p w:rsidR="00D30381" w:rsidRPr="00DA0A96" w:rsidP="00DA0A96">
      <w:pPr>
        <w:pStyle w:val="Heading3"/>
      </w:pPr>
      <w:r w:rsidRPr="00DA0A96">
        <w:t>2.</w:t>
      </w:r>
      <w:r w:rsidRPr="00DA0A96">
        <w:tab/>
      </w:r>
      <w:r w:rsidRPr="00DA0A96">
        <w:t>The trial court’s grant of summary judgment</w:t>
      </w:r>
    </w:p>
    <w:p w:rsidR="00E44673" w:rsidRPr="00DA0A96" w:rsidP="00DA0A96">
      <w:pPr>
        <w:tabs>
          <w:tab w:val="left" w:pos="1440"/>
        </w:tabs>
        <w:ind w:firstLine="720"/>
      </w:pPr>
      <w:r w:rsidRPr="00DA0A96">
        <w:t xml:space="preserve">The trial court granted the motion for summary judgment, concluding that the City </w:t>
      </w:r>
      <w:r w:rsidRPr="00DA0A96" w:rsidR="005706E2">
        <w:t xml:space="preserve">had established as a matter of law </w:t>
      </w:r>
      <w:r w:rsidRPr="00DA0A96" w:rsidR="00D30381">
        <w:t xml:space="preserve">that it was entitled to </w:t>
      </w:r>
      <w:r w:rsidRPr="00DA0A96">
        <w:t xml:space="preserve">design immunity under </w:t>
      </w:r>
      <w:r w:rsidRPr="00DA0A96" w:rsidR="005706E2">
        <w:t xml:space="preserve">Government Code </w:t>
      </w:r>
      <w:r w:rsidRPr="00DA0A96">
        <w:t xml:space="preserve">section 830.6.  </w:t>
      </w:r>
      <w:r w:rsidRPr="00DA0A96" w:rsidR="00D30381">
        <w:t>S</w:t>
      </w:r>
      <w:r w:rsidRPr="00DA0A96">
        <w:t xml:space="preserve">pecifically, the court found the evidence showed a “discretionary decision was made that street parking near the community park on Hawthorne Boulevard east of Dupre Drive had a higher priority than a bicycle lane near that particular stretch of Hawthorne Boulevard,” and that the “plan and design were reasonable.”  The court’s order made no mention of </w:t>
      </w:r>
      <w:r w:rsidRPr="00DA0A96" w:rsidR="00F504B5">
        <w:t>Tansavatdi’</w:t>
      </w:r>
      <w:r w:rsidRPr="00DA0A96">
        <w:t xml:space="preserve">s </w:t>
      </w:r>
      <w:r w:rsidRPr="00DA0A96" w:rsidR="00C1138C">
        <w:t>argument</w:t>
      </w:r>
      <w:r w:rsidRPr="00DA0A96">
        <w:t xml:space="preserve"> that design immunity </w:t>
      </w:r>
      <w:r w:rsidRPr="00DA0A96" w:rsidR="00C1138C">
        <w:t xml:space="preserve">did </w:t>
      </w:r>
      <w:r w:rsidRPr="00DA0A96">
        <w:t>not preclude her alternative theory of liability for failure to warn</w:t>
      </w:r>
      <w:r w:rsidRPr="00DA0A96" w:rsidR="0073279B">
        <w:t xml:space="preserve"> of a dangerous traffic condition</w:t>
      </w:r>
      <w:r w:rsidRPr="00DA0A96" w:rsidR="006362D8">
        <w:t>.</w:t>
      </w:r>
    </w:p>
    <w:p w:rsidR="008D404A" w:rsidRPr="00DA0A96" w:rsidP="00DA0A96">
      <w:pPr>
        <w:pStyle w:val="Heading2"/>
      </w:pPr>
      <w:r w:rsidRPr="00DA0A96">
        <w:t xml:space="preserve">C. </w:t>
      </w:r>
      <w:r w:rsidRPr="00DA0A96" w:rsidR="00E44673">
        <w:t xml:space="preserve"> The Court of Appeal </w:t>
      </w:r>
      <w:r w:rsidRPr="00DA0A96" w:rsidR="005706E2">
        <w:t>Proceedings</w:t>
      </w:r>
    </w:p>
    <w:p w:rsidR="00E44673" w:rsidRPr="00DA0A96" w:rsidP="00DA0A96">
      <w:pPr>
        <w:tabs>
          <w:tab w:val="left" w:pos="1440"/>
        </w:tabs>
        <w:ind w:firstLine="720"/>
      </w:pPr>
      <w:r w:rsidRPr="00DA0A96">
        <w:t xml:space="preserve">As in the trial court, </w:t>
      </w:r>
      <w:r w:rsidRPr="00DA0A96" w:rsidR="00F07FE8">
        <w:t xml:space="preserve">Tansavatdi </w:t>
      </w:r>
      <w:r w:rsidRPr="00DA0A96" w:rsidR="00132468">
        <w:t>a</w:t>
      </w:r>
      <w:r w:rsidRPr="00DA0A96" w:rsidR="00F07FE8">
        <w:t>rgu</w:t>
      </w:r>
      <w:r w:rsidRPr="00DA0A96" w:rsidR="00132468">
        <w:t>ed</w:t>
      </w:r>
      <w:r w:rsidRPr="00DA0A96" w:rsidR="00F07FE8">
        <w:t xml:space="preserve"> on </w:t>
      </w:r>
      <w:r w:rsidRPr="00DA0A96">
        <w:t>appeal that the City</w:t>
      </w:r>
      <w:r w:rsidRPr="00DA0A96" w:rsidR="00132468">
        <w:t xml:space="preserve"> had</w:t>
      </w:r>
      <w:r w:rsidRPr="00DA0A96">
        <w:t xml:space="preserve"> failed to prove each of the elements necessary to establish design immunity</w:t>
      </w:r>
      <w:r w:rsidRPr="00DA0A96" w:rsidR="00132468">
        <w:t>.  T</w:t>
      </w:r>
      <w:r w:rsidRPr="00DA0A96" w:rsidR="004F427E">
        <w:t xml:space="preserve">ansavatdi </w:t>
      </w:r>
      <w:r w:rsidRPr="00DA0A96">
        <w:t>also argued reversal was necessary because the trial court failed to address her alternative assertion that</w:t>
      </w:r>
      <w:r w:rsidRPr="00DA0A96" w:rsidR="004F427E">
        <w:t xml:space="preserve"> </w:t>
      </w:r>
      <w:r w:rsidRPr="00DA0A96">
        <w:t xml:space="preserve">“design immunity ‘[does] not immunize [a </w:t>
      </w:r>
      <w:r w:rsidRPr="00DA0A96" w:rsidR="004F427E">
        <w:t xml:space="preserve">government </w:t>
      </w:r>
      <w:r w:rsidRPr="00DA0A96">
        <w:t xml:space="preserve">entity] for its concurrent negligence in failing to warn of the dangerous condition.’  [Citation.]  The evidence detailing the City’s failure to warn of the concealed trap here precludes a finding that design immunity applies to shield the City of </w:t>
      </w:r>
      <w:r w:rsidRPr="00DA0A96">
        <w:rPr>
          <w:i/>
          <w:iCs/>
        </w:rPr>
        <w:t>all</w:t>
      </w:r>
      <w:r w:rsidRPr="00DA0A96">
        <w:t xml:space="preserve"> liability</w:t>
      </w:r>
      <w:r w:rsidRPr="00DA0A96" w:rsidR="00C1138C">
        <w:t>.</w:t>
      </w:r>
      <w:r w:rsidRPr="00DA0A96">
        <w:t>”</w:t>
      </w:r>
    </w:p>
    <w:p w:rsidR="00E44673" w:rsidRPr="00DA0A96" w:rsidP="00DA0A96">
      <w:pPr>
        <w:tabs>
          <w:tab w:val="left" w:pos="1440"/>
        </w:tabs>
        <w:ind w:firstLine="720"/>
      </w:pPr>
      <w:r w:rsidRPr="00DA0A96">
        <w:t>Although t</w:t>
      </w:r>
      <w:r w:rsidRPr="00DA0A96">
        <w:t>he City</w:t>
      </w:r>
      <w:r w:rsidRPr="00DA0A96" w:rsidR="00132468">
        <w:t>’s briefing f</w:t>
      </w:r>
      <w:r w:rsidRPr="00DA0A96">
        <w:t>ocused on design immunity</w:t>
      </w:r>
      <w:r w:rsidRPr="00DA0A96">
        <w:t xml:space="preserve">, it also responded to </w:t>
      </w:r>
      <w:r w:rsidRPr="00DA0A96" w:rsidR="004F427E">
        <w:t xml:space="preserve">Tansavatdi’s </w:t>
      </w:r>
      <w:r w:rsidRPr="00DA0A96">
        <w:t xml:space="preserve">failure to warn claim.  </w:t>
      </w:r>
      <w:r w:rsidRPr="00DA0A96" w:rsidR="00B77BF4">
        <w:t>T</w:t>
      </w:r>
      <w:r w:rsidRPr="00DA0A96">
        <w:t>he City</w:t>
      </w:r>
      <w:r w:rsidRPr="00DA0A96" w:rsidR="00132468">
        <w:t xml:space="preserve"> contended that even after </w:t>
      </w:r>
      <w:r w:rsidRPr="00DA0A96" w:rsidR="00132468">
        <w:rPr>
          <w:i/>
          <w:iCs/>
        </w:rPr>
        <w:t>Cameron</w:t>
      </w:r>
      <w:r w:rsidRPr="00DA0A96" w:rsidR="00132468">
        <w:t xml:space="preserve">, </w:t>
      </w:r>
      <w:r w:rsidRPr="00DA0A96">
        <w:t xml:space="preserve">“a failure to warn claim cannot be based on a condition that is subject to design immunity; such a claim is only permissible when it involves something other than the approved design.” </w:t>
      </w:r>
      <w:r w:rsidRPr="00DA0A96">
        <w:t xml:space="preserve"> </w:t>
      </w:r>
      <w:r w:rsidRPr="00DA0A96" w:rsidR="00132468">
        <w:t>According to the City, b</w:t>
      </w:r>
      <w:r w:rsidRPr="00DA0A96">
        <w:t xml:space="preserve">ecause </w:t>
      </w:r>
      <w:r w:rsidRPr="00DA0A96">
        <w:t>“the absence of a bicycle lane from the stretch of Hawthorne at issue</w:t>
      </w:r>
      <w:r w:rsidRPr="00DA0A96" w:rsidR="009642BB">
        <w:t> </w:t>
      </w:r>
      <w:r w:rsidRPr="00DA0A96">
        <w:t>— and the presence of a lane at other parts of Hawthorne</w:t>
      </w:r>
      <w:r w:rsidRPr="00DA0A96" w:rsidR="00F504B5">
        <w:t> </w:t>
      </w:r>
      <w:r w:rsidRPr="00DA0A96">
        <w:t>—</w:t>
      </w:r>
      <w:r w:rsidR="00C831E8">
        <w:t xml:space="preserve"> </w:t>
      </w:r>
      <w:r w:rsidRPr="00DA0A96">
        <w:t>was part of the approved plan</w:t>
      </w:r>
      <w:r w:rsidRPr="00DA0A96">
        <w:t>,” there could be no claim for fail</w:t>
      </w:r>
      <w:r w:rsidRPr="00DA0A96" w:rsidR="00B77BF4">
        <w:t xml:space="preserve">ing </w:t>
      </w:r>
      <w:r w:rsidRPr="00DA0A96">
        <w:t>to warn of that immunized design</w:t>
      </w:r>
      <w:r w:rsidRPr="00DA0A96">
        <w:t xml:space="preserve">. </w:t>
      </w:r>
    </w:p>
    <w:p w:rsidR="00CA058D" w:rsidRPr="00DA0A96" w:rsidP="00987F48">
      <w:pPr>
        <w:tabs>
          <w:tab w:val="left" w:pos="1440"/>
        </w:tabs>
        <w:ind w:firstLine="720"/>
      </w:pPr>
      <w:r w:rsidRPr="00DA0A96">
        <w:t xml:space="preserve">The </w:t>
      </w:r>
      <w:r w:rsidRPr="00DA0A96" w:rsidR="005B13B4">
        <w:t>Court of Appeal affirmed th</w:t>
      </w:r>
      <w:r w:rsidRPr="00DA0A96" w:rsidR="002B546F">
        <w:t xml:space="preserve">at the evidence supported a finding of design immunity, thus </w:t>
      </w:r>
      <w:r w:rsidRPr="00DA0A96">
        <w:t xml:space="preserve">precluding </w:t>
      </w:r>
      <w:r w:rsidRPr="00DA0A96" w:rsidR="00896700">
        <w:t>any</w:t>
      </w:r>
      <w:r w:rsidRPr="00DA0A96" w:rsidR="00BA6F3E">
        <w:t xml:space="preserve"> claim </w:t>
      </w:r>
      <w:r w:rsidR="00791EB0">
        <w:t xml:space="preserve">that the City was liable for having created a dangerous </w:t>
      </w:r>
      <w:r w:rsidR="00CC1ABD">
        <w:t xml:space="preserve">roadway </w:t>
      </w:r>
      <w:r w:rsidR="00791EB0">
        <w:t>condition</w:t>
      </w:r>
      <w:r w:rsidR="00CC1ABD">
        <w:t xml:space="preserve"> </w:t>
      </w:r>
      <w:r w:rsidR="00791EB0">
        <w:t xml:space="preserve">by failing to </w:t>
      </w:r>
      <w:r w:rsidR="00CC1ABD">
        <w:t>provide</w:t>
      </w:r>
      <w:r w:rsidR="00791EB0">
        <w:t xml:space="preserve"> a bike lane </w:t>
      </w:r>
      <w:r w:rsidR="00B835C3">
        <w:t>on the block between Dupre and Vallon</w:t>
      </w:r>
      <w:r w:rsidRPr="00DA0A96">
        <w:t xml:space="preserve">.  </w:t>
      </w:r>
      <w:r w:rsidRPr="00DA0A96" w:rsidR="002B546F">
        <w:t>However, c</w:t>
      </w:r>
      <w:r w:rsidRPr="00DA0A96" w:rsidR="005B13B4">
        <w:t xml:space="preserve">iting </w:t>
      </w:r>
      <w:r w:rsidRPr="00DA0A96" w:rsidR="005B13B4">
        <w:rPr>
          <w:i/>
          <w:iCs/>
        </w:rPr>
        <w:t>Cameron</w:t>
      </w:r>
      <w:r w:rsidRPr="00DA0A96" w:rsidR="005B13B4">
        <w:t xml:space="preserve">,  the </w:t>
      </w:r>
      <w:r w:rsidRPr="00DA0A96" w:rsidR="00D361A7">
        <w:t xml:space="preserve">appellate </w:t>
      </w:r>
      <w:r w:rsidRPr="00DA0A96" w:rsidR="005B13B4">
        <w:t>court agree</w:t>
      </w:r>
      <w:r w:rsidRPr="00DA0A96" w:rsidR="00EC5DD5">
        <w:t>d</w:t>
      </w:r>
      <w:r w:rsidRPr="00DA0A96" w:rsidR="005B13B4">
        <w:t xml:space="preserve"> with </w:t>
      </w:r>
      <w:r w:rsidRPr="00DA0A96" w:rsidR="00A54D62">
        <w:t xml:space="preserve">Tansavatdi </w:t>
      </w:r>
      <w:r w:rsidRPr="00DA0A96" w:rsidR="005B13B4">
        <w:t xml:space="preserve">that </w:t>
      </w:r>
      <w:r w:rsidRPr="00DA0A96">
        <w:t xml:space="preserve">“design immunity does not, as a matter of law, preclude liability under a theory of failure to warn of a dangerous condition.”  </w:t>
      </w:r>
      <w:r w:rsidRPr="00DA0A96" w:rsidR="00D361A7">
        <w:t>(</w:t>
      </w:r>
      <w:r w:rsidRPr="00DA0A96" w:rsidR="00D361A7">
        <w:rPr>
          <w:i/>
          <w:iCs/>
        </w:rPr>
        <w:t>Tansavatdi</w:t>
      </w:r>
      <w:r w:rsidR="00987F48">
        <w:rPr>
          <w:i/>
          <w:iCs/>
        </w:rPr>
        <w:t xml:space="preserve"> </w:t>
      </w:r>
      <w:r w:rsidRPr="00987F48" w:rsidR="00987F48">
        <w:rPr>
          <w:i/>
          <w:iCs/>
        </w:rPr>
        <w:t xml:space="preserve">v. City of Rancho Palos Verdes </w:t>
      </w:r>
      <w:r w:rsidRPr="00987F48" w:rsidR="00987F48">
        <w:t>(2021) 60 Cal.App.5th 423, 441 (</w:t>
      </w:r>
      <w:r w:rsidR="00987F48">
        <w:rPr>
          <w:i/>
          <w:iCs/>
        </w:rPr>
        <w:t>Tansavatdi</w:t>
      </w:r>
      <w:r w:rsidRPr="00987F48" w:rsidR="00987F48">
        <w:t>)</w:t>
      </w:r>
      <w:r w:rsidRPr="00DA0A96" w:rsidR="00D361A7">
        <w:t xml:space="preserve">.)  </w:t>
      </w:r>
      <w:r w:rsidRPr="00DA0A96">
        <w:t xml:space="preserve">Because the trial court </w:t>
      </w:r>
      <w:r w:rsidRPr="00DA0A96" w:rsidR="00BA6F3E">
        <w:t xml:space="preserve">did not address the </w:t>
      </w:r>
      <w:r w:rsidRPr="00DA0A96">
        <w:t xml:space="preserve">failure to warn claim in its order granting summary judgment, the </w:t>
      </w:r>
      <w:r w:rsidRPr="00DA0A96" w:rsidR="00EC5DD5">
        <w:t xml:space="preserve">court </w:t>
      </w:r>
      <w:r w:rsidRPr="00DA0A96">
        <w:t>remanded for further proceedings on that issue.</w:t>
      </w:r>
    </w:p>
    <w:p w:rsidR="00EC5DD5" w:rsidRPr="00DA0A96" w:rsidP="00DA0A96">
      <w:pPr>
        <w:tabs>
          <w:tab w:val="left" w:pos="1440"/>
        </w:tabs>
        <w:ind w:firstLine="720"/>
      </w:pPr>
      <w:r w:rsidRPr="00DA0A96">
        <w:t>The City filed a petition for review challenging the court’s</w:t>
      </w:r>
      <w:r w:rsidRPr="00DA0A96" w:rsidR="00D3078E">
        <w:t xml:space="preserve"> conclusion that design immunity does not bar Tansavatdi’s claim for failure to warn.  </w:t>
      </w:r>
      <w:r w:rsidRPr="00DA0A96" w:rsidR="00BA6F3E">
        <w:t>We granted review.</w:t>
      </w:r>
    </w:p>
    <w:p w:rsidR="00CA058D" w:rsidRPr="00DA0A96" w:rsidP="00DA0A96">
      <w:pPr>
        <w:pStyle w:val="Heading1"/>
        <w:rPr>
          <w:szCs w:val="26"/>
        </w:rPr>
      </w:pPr>
      <w:r w:rsidRPr="00DA0A96">
        <w:t xml:space="preserve">II.  </w:t>
      </w:r>
      <w:r w:rsidRPr="00DA0A96" w:rsidR="009238B5">
        <w:t>DISCUSSION</w:t>
      </w:r>
    </w:p>
    <w:p w:rsidR="00C92326" w:rsidRPr="00DA0A96" w:rsidP="00DA0A96">
      <w:pPr>
        <w:pStyle w:val="Heading2"/>
      </w:pPr>
      <w:r w:rsidRPr="00DA0A96">
        <w:t>A.</w:t>
      </w:r>
      <w:r w:rsidRPr="00DA0A96">
        <w:tab/>
      </w:r>
      <w:r w:rsidRPr="00DA0A96" w:rsidR="00C80EC0">
        <w:t>Standard of Review</w:t>
      </w:r>
      <w:r w:rsidRPr="00DA0A96">
        <w:t xml:space="preserve"> </w:t>
      </w:r>
    </w:p>
    <w:p w:rsidR="0054018D" w:rsidRPr="00DA0A96" w:rsidP="00DA0A96">
      <w:pPr>
        <w:ind w:firstLine="720"/>
        <w:rPr>
          <w:szCs w:val="26"/>
        </w:rPr>
      </w:pPr>
      <w:r w:rsidRPr="00DA0A96">
        <w:rPr>
          <w:szCs w:val="26"/>
        </w:rPr>
        <w:t xml:space="preserve">The sole question presented in </w:t>
      </w:r>
      <w:r w:rsidRPr="00DA0A96" w:rsidR="00C1138C">
        <w:rPr>
          <w:szCs w:val="26"/>
        </w:rPr>
        <w:t>t</w:t>
      </w:r>
      <w:r w:rsidRPr="00DA0A96">
        <w:rPr>
          <w:szCs w:val="26"/>
        </w:rPr>
        <w:t xml:space="preserve">his </w:t>
      </w:r>
      <w:r w:rsidRPr="00DA0A96" w:rsidR="00C1138C">
        <w:rPr>
          <w:szCs w:val="26"/>
        </w:rPr>
        <w:t xml:space="preserve">case </w:t>
      </w:r>
      <w:r w:rsidRPr="00DA0A96">
        <w:rPr>
          <w:szCs w:val="26"/>
        </w:rPr>
        <w:t xml:space="preserve">is whether the </w:t>
      </w:r>
      <w:r w:rsidRPr="00DA0A96" w:rsidR="00BA6F3E">
        <w:rPr>
          <w:szCs w:val="26"/>
        </w:rPr>
        <w:t>statutory</w:t>
      </w:r>
      <w:r w:rsidRPr="00DA0A96">
        <w:rPr>
          <w:szCs w:val="26"/>
        </w:rPr>
        <w:t xml:space="preserve"> defense of design immunity </w:t>
      </w:r>
      <w:r w:rsidRPr="00DA0A96" w:rsidR="00BA6F3E">
        <w:rPr>
          <w:szCs w:val="26"/>
        </w:rPr>
        <w:t xml:space="preserve">set forth in </w:t>
      </w:r>
      <w:r w:rsidRPr="00DA0A96" w:rsidR="00DD4147">
        <w:rPr>
          <w:szCs w:val="26"/>
        </w:rPr>
        <w:t xml:space="preserve">Government Code </w:t>
      </w:r>
      <w:r w:rsidRPr="00DA0A96" w:rsidR="00BA6F3E">
        <w:rPr>
          <w:szCs w:val="26"/>
        </w:rPr>
        <w:t>section 830.6</w:t>
      </w:r>
      <w:r>
        <w:rPr>
          <w:rStyle w:val="FootnoteReference"/>
          <w:szCs w:val="26"/>
        </w:rPr>
        <w:footnoteReference w:id="3"/>
      </w:r>
      <w:r w:rsidRPr="00DA0A96" w:rsidR="00C1138C">
        <w:rPr>
          <w:szCs w:val="26"/>
        </w:rPr>
        <w:t xml:space="preserve"> </w:t>
      </w:r>
      <w:r w:rsidRPr="00DA0A96" w:rsidR="00BA6F3E">
        <w:rPr>
          <w:szCs w:val="26"/>
        </w:rPr>
        <w:t xml:space="preserve">categorically </w:t>
      </w:r>
      <w:r w:rsidRPr="00DA0A96">
        <w:rPr>
          <w:szCs w:val="26"/>
        </w:rPr>
        <w:t>precludes</w:t>
      </w:r>
      <w:r w:rsidRPr="00DA0A96" w:rsidR="00BA6F3E">
        <w:rPr>
          <w:szCs w:val="26"/>
        </w:rPr>
        <w:t xml:space="preserve"> any</w:t>
      </w:r>
      <w:r w:rsidRPr="00DA0A96">
        <w:rPr>
          <w:szCs w:val="26"/>
        </w:rPr>
        <w:t xml:space="preserve"> claim that</w:t>
      </w:r>
      <w:r w:rsidRPr="00DA0A96" w:rsidR="00BA6F3E">
        <w:rPr>
          <w:szCs w:val="26"/>
        </w:rPr>
        <w:t xml:space="preserve"> the</w:t>
      </w:r>
      <w:r w:rsidRPr="00DA0A96">
        <w:rPr>
          <w:szCs w:val="26"/>
        </w:rPr>
        <w:t xml:space="preserve"> public entity is liable for </w:t>
      </w:r>
      <w:r w:rsidRPr="00DA0A96" w:rsidR="00BA6F3E">
        <w:rPr>
          <w:szCs w:val="26"/>
        </w:rPr>
        <w:t xml:space="preserve">having </w:t>
      </w:r>
      <w:r w:rsidRPr="00DA0A96">
        <w:rPr>
          <w:szCs w:val="26"/>
        </w:rPr>
        <w:t>fail</w:t>
      </w:r>
      <w:r w:rsidRPr="00DA0A96" w:rsidR="00BA6F3E">
        <w:rPr>
          <w:szCs w:val="26"/>
        </w:rPr>
        <w:t>ed</w:t>
      </w:r>
      <w:r w:rsidRPr="00DA0A96">
        <w:rPr>
          <w:szCs w:val="26"/>
        </w:rPr>
        <w:t xml:space="preserve"> to warn of</w:t>
      </w:r>
      <w:r w:rsidRPr="00DA0A96" w:rsidR="00B22B48">
        <w:rPr>
          <w:szCs w:val="26"/>
        </w:rPr>
        <w:t xml:space="preserve"> a</w:t>
      </w:r>
      <w:r w:rsidRPr="00DA0A96">
        <w:rPr>
          <w:szCs w:val="26"/>
        </w:rPr>
        <w:t xml:space="preserve"> danger</w:t>
      </w:r>
      <w:r w:rsidRPr="00DA0A96" w:rsidR="00BA6F3E">
        <w:rPr>
          <w:szCs w:val="26"/>
        </w:rPr>
        <w:t xml:space="preserve">ous </w:t>
      </w:r>
      <w:r w:rsidRPr="00DA0A96" w:rsidR="0073279B">
        <w:rPr>
          <w:szCs w:val="26"/>
        </w:rPr>
        <w:t xml:space="preserve">traffic </w:t>
      </w:r>
      <w:r w:rsidRPr="00DA0A96" w:rsidR="00BA6F3E">
        <w:rPr>
          <w:szCs w:val="26"/>
        </w:rPr>
        <w:t xml:space="preserve">condition resulting from that </w:t>
      </w:r>
      <w:r w:rsidRPr="00DA0A96">
        <w:rPr>
          <w:szCs w:val="26"/>
        </w:rPr>
        <w:t>approved design</w:t>
      </w:r>
      <w:r w:rsidRPr="00DA0A96" w:rsidR="00936012">
        <w:rPr>
          <w:szCs w:val="26"/>
        </w:rPr>
        <w:t>.</w:t>
      </w:r>
      <w:r w:rsidRPr="00DA0A96">
        <w:rPr>
          <w:szCs w:val="26"/>
        </w:rPr>
        <w:t xml:space="preserve">  </w:t>
      </w:r>
      <w:r w:rsidRPr="00DA0A96" w:rsidR="00F3051F">
        <w:rPr>
          <w:szCs w:val="26"/>
        </w:rPr>
        <w:t xml:space="preserve">Because this </w:t>
      </w:r>
      <w:r w:rsidRPr="00DA0A96" w:rsidR="00B22B48">
        <w:rPr>
          <w:szCs w:val="26"/>
        </w:rPr>
        <w:t>issue</w:t>
      </w:r>
      <w:r w:rsidRPr="00DA0A96" w:rsidR="00F3051F">
        <w:rPr>
          <w:szCs w:val="26"/>
        </w:rPr>
        <w:t xml:space="preserve"> involves</w:t>
      </w:r>
      <w:r w:rsidRPr="00DA0A96" w:rsidR="00B22B48">
        <w:rPr>
          <w:szCs w:val="26"/>
        </w:rPr>
        <w:t xml:space="preserve"> a</w:t>
      </w:r>
      <w:r w:rsidRPr="00DA0A96" w:rsidR="00F3051F">
        <w:rPr>
          <w:szCs w:val="26"/>
        </w:rPr>
        <w:t xml:space="preserve"> pure </w:t>
      </w:r>
      <w:r w:rsidRPr="00DA0A96" w:rsidR="00B22B48">
        <w:rPr>
          <w:szCs w:val="26"/>
        </w:rPr>
        <w:t>question of</w:t>
      </w:r>
      <w:r w:rsidRPr="00DA0A96" w:rsidR="00F3051F">
        <w:rPr>
          <w:szCs w:val="26"/>
        </w:rPr>
        <w:t xml:space="preserve"> law, we apply a de novo standard of review.</w:t>
      </w:r>
      <w:r>
        <w:rPr>
          <w:rStyle w:val="FootnoteReference"/>
          <w:szCs w:val="26"/>
        </w:rPr>
        <w:footnoteReference w:id="4"/>
      </w:r>
      <w:r w:rsidRPr="00DA0A96" w:rsidR="00F3051F">
        <w:rPr>
          <w:szCs w:val="26"/>
        </w:rPr>
        <w:t xml:space="preserve">  </w:t>
      </w:r>
      <w:r w:rsidRPr="00DA0A96" w:rsidR="00D21093">
        <w:rPr>
          <w:szCs w:val="26"/>
        </w:rPr>
        <w:t>(</w:t>
      </w:r>
      <w:r w:rsidRPr="00DA0A96" w:rsidR="00D21093">
        <w:rPr>
          <w:i/>
          <w:iCs/>
          <w:szCs w:val="26"/>
        </w:rPr>
        <w:t>People v. Rells</w:t>
      </w:r>
      <w:r w:rsidRPr="00DA0A96" w:rsidR="00D21093">
        <w:rPr>
          <w:szCs w:val="26"/>
        </w:rPr>
        <w:t xml:space="preserve"> (2000) 22</w:t>
      </w:r>
      <w:r w:rsidRPr="00DA0A96" w:rsidR="00CD37C6">
        <w:rPr>
          <w:szCs w:val="26"/>
        </w:rPr>
        <w:t> </w:t>
      </w:r>
      <w:r w:rsidRPr="00DA0A96" w:rsidR="00D21093">
        <w:rPr>
          <w:szCs w:val="26"/>
        </w:rPr>
        <w:t>Cal.4th</w:t>
      </w:r>
      <w:r w:rsidRPr="00DA0A96" w:rsidR="00CD37C6">
        <w:rPr>
          <w:szCs w:val="26"/>
        </w:rPr>
        <w:t xml:space="preserve"> 860, </w:t>
      </w:r>
      <w:r w:rsidRPr="00DA0A96" w:rsidR="00D21093">
        <w:rPr>
          <w:szCs w:val="26"/>
        </w:rPr>
        <w:t>870 [“pure question of law</w:t>
      </w:r>
      <w:r w:rsidRPr="00DA0A96" w:rsidR="00CD37C6">
        <w:rPr>
          <w:szCs w:val="26"/>
        </w:rPr>
        <w:t xml:space="preserve"> </w:t>
      </w:r>
      <w:r w:rsidRPr="00DA0A96" w:rsidR="00F504B5">
        <w:rPr>
          <w:szCs w:val="26"/>
        </w:rPr>
        <w:t>. . .</w:t>
      </w:r>
      <w:r w:rsidRPr="00DA0A96" w:rsidR="00CD37C6">
        <w:rPr>
          <w:szCs w:val="26"/>
        </w:rPr>
        <w:t xml:space="preserve"> </w:t>
      </w:r>
      <w:r w:rsidRPr="00DA0A96" w:rsidR="00D21093">
        <w:rPr>
          <w:szCs w:val="26"/>
        </w:rPr>
        <w:t xml:space="preserve">is examined de novo”]; </w:t>
      </w:r>
      <w:r w:rsidRPr="00DA0A96" w:rsidR="00472A82">
        <w:rPr>
          <w:i/>
          <w:iCs/>
          <w:szCs w:val="26"/>
        </w:rPr>
        <w:t>Regents of University of California v. Superior Court</w:t>
      </w:r>
      <w:r w:rsidRPr="00DA0A96" w:rsidR="00472A82">
        <w:rPr>
          <w:szCs w:val="26"/>
        </w:rPr>
        <w:t xml:space="preserve"> (1999) 20</w:t>
      </w:r>
      <w:r w:rsidRPr="00DA0A96" w:rsidR="00CD37C6">
        <w:rPr>
          <w:szCs w:val="26"/>
        </w:rPr>
        <w:t> </w:t>
      </w:r>
      <w:r w:rsidRPr="00DA0A96" w:rsidR="00472A82">
        <w:rPr>
          <w:szCs w:val="26"/>
        </w:rPr>
        <w:t>Cal.4th 509, 531 [“ruling on</w:t>
      </w:r>
      <w:r w:rsidRPr="00DA0A96" w:rsidR="00A36BFB">
        <w:rPr>
          <w:szCs w:val="26"/>
        </w:rPr>
        <w:t xml:space="preserve"> </w:t>
      </w:r>
      <w:r w:rsidRPr="00DA0A96" w:rsidR="00F504B5">
        <w:rPr>
          <w:szCs w:val="26"/>
        </w:rPr>
        <w:t>. . .</w:t>
      </w:r>
      <w:r w:rsidRPr="00DA0A96" w:rsidR="00A36BFB">
        <w:rPr>
          <w:szCs w:val="26"/>
        </w:rPr>
        <w:t xml:space="preserve"> </w:t>
      </w:r>
      <w:r w:rsidRPr="00DA0A96" w:rsidR="00472A82">
        <w:rPr>
          <w:szCs w:val="26"/>
        </w:rPr>
        <w:t>summary judgment motion, and its resolution of the underlying statutory-construction issues, were subject to independent review”].)</w:t>
      </w:r>
    </w:p>
    <w:p w:rsidR="00C92326" w:rsidRPr="00DA0A96" w:rsidP="00DA0A96">
      <w:pPr>
        <w:pStyle w:val="Heading2"/>
      </w:pPr>
      <w:r w:rsidRPr="00DA0A96">
        <w:t>B.</w:t>
      </w:r>
      <w:r w:rsidRPr="00DA0A96">
        <w:tab/>
        <w:t>Legal Background</w:t>
      </w:r>
    </w:p>
    <w:p w:rsidR="006B2519" w:rsidRPr="00DA0A96" w:rsidP="00DA0A96">
      <w:pPr>
        <w:pStyle w:val="Heading3"/>
      </w:pPr>
      <w:r w:rsidRPr="00DA0A96">
        <w:t>1</w:t>
      </w:r>
      <w:r w:rsidRPr="00DA0A96" w:rsidR="0097759B">
        <w:t>.</w:t>
      </w:r>
      <w:r w:rsidRPr="00DA0A96" w:rsidR="0097759B">
        <w:tab/>
      </w:r>
      <w:r w:rsidRPr="00DA0A96" w:rsidR="0054018D">
        <w:t xml:space="preserve">Relevant provisions of the </w:t>
      </w:r>
      <w:r w:rsidRPr="00DA0A96" w:rsidR="000A7341">
        <w:t>Government</w:t>
      </w:r>
      <w:r w:rsidRPr="00DA0A96" w:rsidR="0054018D">
        <w:t xml:space="preserve"> Claims Act</w:t>
      </w:r>
    </w:p>
    <w:p w:rsidR="006B2519" w:rsidRPr="00DA0A96" w:rsidP="00DA0A96">
      <w:pPr>
        <w:pStyle w:val="Heading4"/>
      </w:pPr>
      <w:r w:rsidRPr="00DA0A96">
        <w:t>a.  Government liability for dangerous condition</w:t>
      </w:r>
      <w:r w:rsidRPr="00DA0A96" w:rsidR="00B52CAC">
        <w:t>s</w:t>
      </w:r>
      <w:r w:rsidRPr="00DA0A96">
        <w:t xml:space="preserve"> (§ 835)  </w:t>
      </w:r>
    </w:p>
    <w:p w:rsidR="006B2519" w:rsidRPr="00DA0A96" w:rsidP="00DA0A96">
      <w:pPr>
        <w:ind w:firstLine="720"/>
      </w:pPr>
      <w:r w:rsidRPr="00DA0A96">
        <w:t xml:space="preserve">Under the </w:t>
      </w:r>
      <w:r w:rsidRPr="00DA0A96" w:rsidR="00A90711">
        <w:t xml:space="preserve">Government Claims </w:t>
      </w:r>
      <w:r w:rsidRPr="00DA0A96">
        <w:t>Act</w:t>
      </w:r>
      <w:r w:rsidRPr="00DA0A96" w:rsidR="00907A31">
        <w:t>,</w:t>
      </w:r>
      <w:r w:rsidRPr="00DA0A96" w:rsidR="008E6E41">
        <w:rPr>
          <w:szCs w:val="26"/>
        </w:rPr>
        <w:t xml:space="preserve"> </w:t>
      </w:r>
      <w:r w:rsidRPr="00DA0A96">
        <w:t xml:space="preserve">a </w:t>
      </w:r>
      <w:r w:rsidRPr="00DA0A96">
        <w:t xml:space="preserve">tort action </w:t>
      </w:r>
      <w:r w:rsidRPr="00DA0A96">
        <w:t xml:space="preserve">cannot </w:t>
      </w:r>
      <w:r w:rsidRPr="00DA0A96">
        <w:t xml:space="preserve">be maintained against a government entity unless the claim is premised on a statute providing for </w:t>
      </w:r>
      <w:r w:rsidRPr="00DA0A96" w:rsidR="00D75A52">
        <w:t xml:space="preserve">that </w:t>
      </w:r>
      <w:r w:rsidRPr="00DA0A96">
        <w:t>liability.  (See</w:t>
      </w:r>
      <w:r w:rsidRPr="00DA0A96" w:rsidR="00D75A52">
        <w:t xml:space="preserve"> </w:t>
      </w:r>
      <w:r w:rsidRPr="00DA0A96">
        <w:t xml:space="preserve">§ 815.)  </w:t>
      </w:r>
      <w:r w:rsidRPr="00DA0A96" w:rsidR="007F4CF7">
        <w:t>In this case</w:t>
      </w:r>
      <w:r w:rsidRPr="00DA0A96">
        <w:t>, plaintiff</w:t>
      </w:r>
      <w:r w:rsidRPr="00DA0A96" w:rsidR="00D75A52">
        <w:t xml:space="preserve"> Tansavatdi</w:t>
      </w:r>
      <w:r w:rsidRPr="00DA0A96">
        <w:t xml:space="preserve"> brought her claims pursuant to section 835,</w:t>
      </w:r>
      <w:r w:rsidRPr="00DA0A96" w:rsidR="00A90F0F">
        <w:t xml:space="preserve"> which</w:t>
      </w:r>
      <w:r w:rsidRPr="00DA0A96">
        <w:t xml:space="preserve"> </w:t>
      </w:r>
      <w:r w:rsidRPr="00DA0A96" w:rsidR="00A90F0F">
        <w:t>“</w:t>
      </w:r>
      <w:r w:rsidRPr="00DA0A96" w:rsidR="00060DB6">
        <w:t> </w:t>
      </w:r>
      <w:r w:rsidRPr="00DA0A96" w:rsidR="00A90F0F">
        <w:t>‘is the principal provision addressing the circumstances under which the government may be held liable for maintaining a dangerous condition of public property.’ ”  (</w:t>
      </w:r>
      <w:r w:rsidRPr="00DA0A96" w:rsidR="00A90F0F">
        <w:rPr>
          <w:i/>
          <w:iCs/>
        </w:rPr>
        <w:t>Zelig v. County of Los Angeles</w:t>
      </w:r>
      <w:r w:rsidRPr="00DA0A96" w:rsidR="00A90F0F">
        <w:t xml:space="preserve"> (2002) 27</w:t>
      </w:r>
      <w:r w:rsidRPr="00DA0A96" w:rsidR="00A36BFB">
        <w:t> </w:t>
      </w:r>
      <w:r w:rsidRPr="00DA0A96" w:rsidR="00A90F0F">
        <w:t xml:space="preserve">Cal.4th 1112, 1131.)  </w:t>
      </w:r>
      <w:r w:rsidRPr="00DA0A96">
        <w:t>To establish liability under</w:t>
      </w:r>
      <w:r w:rsidRPr="00DA0A96" w:rsidR="00A90F0F">
        <w:t xml:space="preserve"> section 835, </w:t>
      </w:r>
      <w:r w:rsidRPr="00DA0A96">
        <w:t>a plaintiff must show</w:t>
      </w:r>
      <w:r w:rsidRPr="00DA0A96" w:rsidR="00A90F0F">
        <w:t>:</w:t>
      </w:r>
      <w:r w:rsidR="00E30423">
        <w:t xml:space="preserve"> </w:t>
      </w:r>
      <w:r w:rsidRPr="00DA0A96">
        <w:t xml:space="preserve"> </w:t>
      </w:r>
      <w:r w:rsidRPr="00DA0A96" w:rsidR="00081A96">
        <w:t>“</w:t>
      </w:r>
      <w:r w:rsidRPr="00DA0A96">
        <w:t xml:space="preserve">(1) </w:t>
      </w:r>
      <w:r w:rsidRPr="00DA0A96" w:rsidR="00081A96">
        <w:t xml:space="preserve">‘that </w:t>
      </w:r>
      <w:r w:rsidRPr="00DA0A96">
        <w:t>the property was in a dangerous condition at the time of the injury</w:t>
      </w:r>
      <w:r w:rsidRPr="00DA0A96" w:rsidR="00081A96">
        <w:t>’</w:t>
      </w:r>
      <w:r w:rsidRPr="00DA0A96">
        <w:t xml:space="preserve">; (2) </w:t>
      </w:r>
      <w:r w:rsidRPr="00DA0A96" w:rsidR="00081A96">
        <w:t xml:space="preserve">‘that </w:t>
      </w:r>
      <w:r w:rsidRPr="00DA0A96">
        <w:t>the injury was proximately caused by the dangerous condition</w:t>
      </w:r>
      <w:r w:rsidRPr="00DA0A96" w:rsidR="00081A96">
        <w:t>’</w:t>
      </w:r>
      <w:r w:rsidRPr="00DA0A96">
        <w:t xml:space="preserve">; (3) </w:t>
      </w:r>
      <w:r w:rsidRPr="00DA0A96" w:rsidR="00081A96">
        <w:t>‘</w:t>
      </w:r>
      <w:r w:rsidR="00070F53">
        <w:t xml:space="preserve">that </w:t>
      </w:r>
      <w:r w:rsidRPr="00DA0A96">
        <w:t>the dangerous condition created a reasonably foreseeable risk of the kind of injury which was incurred</w:t>
      </w:r>
      <w:r w:rsidRPr="00DA0A96" w:rsidR="00081A96">
        <w:t>’</w:t>
      </w:r>
      <w:r w:rsidR="00070F53">
        <w:t>;</w:t>
      </w:r>
      <w:r w:rsidRPr="00DA0A96">
        <w:t xml:space="preserve"> and (4) either </w:t>
      </w:r>
      <w:r w:rsidRPr="00DA0A96" w:rsidR="00081A96">
        <w:t xml:space="preserve">(a) that a public </w:t>
      </w:r>
      <w:r w:rsidRPr="00DA0A96">
        <w:t xml:space="preserve">employee </w:t>
      </w:r>
      <w:r w:rsidRPr="00DA0A96" w:rsidR="001622B9">
        <w:t>negligently or wrongfully ‘</w:t>
      </w:r>
      <w:r w:rsidRPr="00DA0A96">
        <w:t>created the dangerous condition</w:t>
      </w:r>
      <w:r w:rsidRPr="00DA0A96" w:rsidR="001622B9">
        <w:t xml:space="preserve">’ </w:t>
      </w:r>
      <w:r w:rsidRPr="00DA0A96" w:rsidR="00E472DE">
        <w:t>o</w:t>
      </w:r>
      <w:r w:rsidRPr="00DA0A96" w:rsidR="001622B9">
        <w:t>r</w:t>
      </w:r>
      <w:r w:rsidRPr="00DA0A96">
        <w:rPr>
          <w:i/>
          <w:iCs/>
        </w:rPr>
        <w:t xml:space="preserve"> </w:t>
      </w:r>
      <w:r w:rsidRPr="00DA0A96" w:rsidR="00081A96">
        <w:t>(b)</w:t>
      </w:r>
      <w:r w:rsidRPr="00DA0A96" w:rsidR="001622B9">
        <w:t xml:space="preserve"> that ‘</w:t>
      </w:r>
      <w:r w:rsidRPr="00DA0A96" w:rsidR="00A36BFB">
        <w:t>[</w:t>
      </w:r>
      <w:r w:rsidRPr="00DA0A96">
        <w:t>the</w:t>
      </w:r>
      <w:r w:rsidRPr="00DA0A96" w:rsidR="00A36BFB">
        <w:t>]</w:t>
      </w:r>
      <w:r w:rsidRPr="00DA0A96">
        <w:t xml:space="preserve"> public entity had actual or constructive notice of the dangerous condition</w:t>
      </w:r>
      <w:r w:rsidRPr="00DA0A96" w:rsidR="00DA27D6">
        <w:t xml:space="preserve"> </w:t>
      </w:r>
      <w:r w:rsidRPr="00DA0A96">
        <w:t>a sufficient time prior to the injury to have taken measures to protect against the dangerous condition</w:t>
      </w:r>
      <w:r w:rsidRPr="00DA0A96" w:rsidR="00081A96">
        <w:t>.</w:t>
      </w:r>
      <w:r w:rsidRPr="00DA0A96" w:rsidR="001622B9">
        <w:t>’</w:t>
      </w:r>
      <w:r w:rsidRPr="00DA0A96" w:rsidR="00060DB6">
        <w:t> </w:t>
      </w:r>
      <w:r w:rsidRPr="00DA0A96">
        <w:t xml:space="preserve">” </w:t>
      </w:r>
      <w:r w:rsidRPr="00DA0A96" w:rsidR="001622B9">
        <w:t xml:space="preserve"> (</w:t>
      </w:r>
      <w:r w:rsidRPr="00DA0A96" w:rsidR="001622B9">
        <w:rPr>
          <w:i/>
          <w:iCs/>
        </w:rPr>
        <w:t>Ducey v. Argo Sales Co</w:t>
      </w:r>
      <w:r w:rsidRPr="00DA0A96" w:rsidR="001622B9">
        <w:t>. (1979) 25</w:t>
      </w:r>
      <w:r w:rsidRPr="00DA0A96" w:rsidR="00A36BFB">
        <w:t> </w:t>
      </w:r>
      <w:r w:rsidRPr="00DA0A96" w:rsidR="001622B9">
        <w:t xml:space="preserve">Cal.3d 707, 716, </w:t>
      </w:r>
      <w:r w:rsidR="008F48CB">
        <w:t xml:space="preserve">quoting § 835, </w:t>
      </w:r>
      <w:r w:rsidRPr="00DA0A96" w:rsidR="00E472DE">
        <w:t xml:space="preserve">italics </w:t>
      </w:r>
      <w:r w:rsidR="00166652">
        <w:t>&amp;</w:t>
      </w:r>
      <w:r w:rsidRPr="00DA0A96" w:rsidR="00E472DE">
        <w:t xml:space="preserve"> f</w:t>
      </w:r>
      <w:r w:rsidR="00166652">
        <w:t>n.</w:t>
      </w:r>
      <w:r w:rsidRPr="00DA0A96" w:rsidR="00E472DE">
        <w:t xml:space="preserve"> omitted</w:t>
      </w:r>
      <w:r w:rsidRPr="00DA0A96" w:rsidR="001622B9">
        <w:t>.)</w:t>
      </w:r>
      <w:r w:rsidRPr="00DA0A96">
        <w:t xml:space="preserve"> </w:t>
      </w:r>
    </w:p>
    <w:p w:rsidR="006B2519" w:rsidRPr="00DA0A96" w:rsidP="00DA0A96">
      <w:pPr>
        <w:ind w:firstLine="720"/>
      </w:pPr>
      <w:r w:rsidRPr="00DA0A96">
        <w:t xml:space="preserve">Thus, section 835 </w:t>
      </w:r>
      <w:r w:rsidRPr="00DA0A96" w:rsidR="00516E54">
        <w:t xml:space="preserve">expressly </w:t>
      </w:r>
      <w:r w:rsidRPr="00DA0A96" w:rsidR="00E472DE">
        <w:t xml:space="preserve">authorizes </w:t>
      </w:r>
      <w:r w:rsidRPr="00DA0A96">
        <w:t>two</w:t>
      </w:r>
      <w:r w:rsidRPr="00DA0A96" w:rsidR="00A90F0F">
        <w:t xml:space="preserve"> different</w:t>
      </w:r>
      <w:r w:rsidRPr="00DA0A96">
        <w:t xml:space="preserve"> </w:t>
      </w:r>
      <w:r w:rsidRPr="00DA0A96" w:rsidR="00E472DE">
        <w:t>forms</w:t>
      </w:r>
      <w:r w:rsidRPr="00DA0A96">
        <w:t xml:space="preserve"> of</w:t>
      </w:r>
      <w:r w:rsidRPr="00DA0A96" w:rsidR="00A90F0F">
        <w:t xml:space="preserve"> dangerous conditions </w:t>
      </w:r>
      <w:r w:rsidRPr="00DA0A96">
        <w:t>liability</w:t>
      </w:r>
      <w:r w:rsidRPr="00DA0A96" w:rsidR="00A90F0F">
        <w:t xml:space="preserve">:  </w:t>
      </w:r>
      <w:r w:rsidRPr="00DA0A96">
        <w:t xml:space="preserve">an act or omission by a government actor that </w:t>
      </w:r>
      <w:r w:rsidRPr="00DA0A96">
        <w:rPr>
          <w:i/>
          <w:iCs/>
        </w:rPr>
        <w:t>created</w:t>
      </w:r>
      <w:r w:rsidRPr="00DA0A96">
        <w:t xml:space="preserve"> the dangerous condition </w:t>
      </w:r>
      <w:r w:rsidRPr="00DA0A96" w:rsidR="001622B9">
        <w:t>(§ 835, subd. (a))</w:t>
      </w:r>
      <w:r w:rsidR="008859E6">
        <w:t>;</w:t>
      </w:r>
      <w:r w:rsidRPr="00DA0A96" w:rsidR="001622B9">
        <w:t xml:space="preserve"> </w:t>
      </w:r>
      <w:r w:rsidRPr="00DA0A96">
        <w:t xml:space="preserve">or, alternatively, </w:t>
      </w:r>
      <w:r w:rsidRPr="00DA0A96" w:rsidR="00516E54">
        <w:t xml:space="preserve">failure </w:t>
      </w:r>
      <w:r w:rsidRPr="00DA0A96" w:rsidR="00BF0C07">
        <w:t>“</w:t>
      </w:r>
      <w:r w:rsidRPr="00DA0A96" w:rsidR="00516E54">
        <w:t>to protect against</w:t>
      </w:r>
      <w:r w:rsidRPr="00DA0A96" w:rsidR="00BF0C07">
        <w:t>”</w:t>
      </w:r>
      <w:r w:rsidRPr="00DA0A96" w:rsidR="00516E54">
        <w:t xml:space="preserve"> </w:t>
      </w:r>
      <w:r w:rsidRPr="00DA0A96">
        <w:t>dangerous condition</w:t>
      </w:r>
      <w:r w:rsidRPr="00DA0A96" w:rsidR="00516E54">
        <w:t>s of which the entity had notice</w:t>
      </w:r>
      <w:r w:rsidRPr="00DA0A96" w:rsidR="001622B9">
        <w:t xml:space="preserve"> (</w:t>
      </w:r>
      <w:r w:rsidRPr="00DA0A96" w:rsidR="00060DB6">
        <w:rPr>
          <w:i/>
          <w:iCs/>
        </w:rPr>
        <w:t>id</w:t>
      </w:r>
      <w:r w:rsidRPr="00DA0A96" w:rsidR="00060DB6">
        <w:t>.,</w:t>
      </w:r>
      <w:r w:rsidRPr="00DA0A96" w:rsidR="001622B9">
        <w:t xml:space="preserve"> subd. (b))</w:t>
      </w:r>
      <w:r w:rsidRPr="00DA0A96">
        <w:t>.</w:t>
      </w:r>
      <w:r w:rsidRPr="00DA0A96" w:rsidR="00E565E4">
        <w:t xml:space="preserve">  </w:t>
      </w:r>
      <w:r w:rsidRPr="00DA0A96" w:rsidR="00450BEE">
        <w:t>T</w:t>
      </w:r>
      <w:r w:rsidRPr="00DA0A96" w:rsidR="00E565E4">
        <w:t xml:space="preserve">he term </w:t>
      </w:r>
      <w:r w:rsidRPr="00DA0A96" w:rsidR="00450BEE">
        <w:t>“protect against” is</w:t>
      </w:r>
      <w:r w:rsidRPr="00DA0A96" w:rsidR="00BF0C07">
        <w:t xml:space="preserve"> statutorily </w:t>
      </w:r>
      <w:r w:rsidRPr="00DA0A96" w:rsidR="00450BEE">
        <w:t>defined to include</w:t>
      </w:r>
      <w:r w:rsidRPr="00DA0A96" w:rsidR="00BF0C07">
        <w:t xml:space="preserve">, among other things, </w:t>
      </w:r>
      <w:r w:rsidRPr="00DA0A96" w:rsidR="00450BEE">
        <w:t xml:space="preserve">“warning of a dangerous condition.”  (§ 830, subd. (b).)  </w:t>
      </w:r>
    </w:p>
    <w:p w:rsidR="006B2519" w:rsidRPr="00DA0A96" w:rsidP="00DA0A96">
      <w:pPr>
        <w:pStyle w:val="Heading4"/>
      </w:pPr>
      <w:r w:rsidRPr="00DA0A96">
        <w:t xml:space="preserve">b.  Statutory immunities </w:t>
      </w:r>
      <w:r w:rsidRPr="00DA0A96" w:rsidR="00D12D7B">
        <w:t>to dangerous conditions liability</w:t>
      </w:r>
    </w:p>
    <w:p w:rsidR="006B2519" w:rsidRPr="00DA0A96" w:rsidP="00DA0A96">
      <w:r w:rsidRPr="00DA0A96">
        <w:tab/>
        <w:t>The Government Code</w:t>
      </w:r>
      <w:r w:rsidRPr="00DA0A96" w:rsidR="008E6E41">
        <w:t xml:space="preserve"> also </w:t>
      </w:r>
      <w:r w:rsidRPr="00DA0A96">
        <w:t xml:space="preserve">provides </w:t>
      </w:r>
      <w:r w:rsidRPr="00DA0A96" w:rsidR="00952689">
        <w:t>numerous</w:t>
      </w:r>
      <w:r w:rsidRPr="00DA0A96" w:rsidR="00D12D7B">
        <w:t xml:space="preserve"> </w:t>
      </w:r>
      <w:r w:rsidRPr="00DA0A96">
        <w:t xml:space="preserve">statutory exceptions </w:t>
      </w:r>
      <w:r w:rsidRPr="00DA0A96" w:rsidR="00D12D7B">
        <w:t xml:space="preserve">that limit liability </w:t>
      </w:r>
      <w:r w:rsidRPr="00DA0A96">
        <w:t xml:space="preserve">for </w:t>
      </w:r>
      <w:r w:rsidRPr="00DA0A96" w:rsidR="00D12D7B">
        <w:t xml:space="preserve">claims involving a </w:t>
      </w:r>
      <w:r w:rsidRPr="00DA0A96">
        <w:t>dangerous condition</w:t>
      </w:r>
      <w:r w:rsidRPr="00DA0A96" w:rsidR="00D12D7B">
        <w:t xml:space="preserve">.  </w:t>
      </w:r>
      <w:r w:rsidRPr="00DA0A96" w:rsidR="00CE6220">
        <w:t>(Se</w:t>
      </w:r>
      <w:r w:rsidRPr="00DA0A96" w:rsidR="00060DB6">
        <w:t>e</w:t>
      </w:r>
      <w:r w:rsidRPr="00DA0A96" w:rsidR="00CE6220">
        <w:t xml:space="preserve"> §§ 830.1–831.8.)  </w:t>
      </w:r>
      <w:r w:rsidRPr="00DA0A96" w:rsidR="00D12D7B">
        <w:t>Two of those exceptions are relevant here</w:t>
      </w:r>
      <w:r w:rsidRPr="00DA0A96">
        <w:t>.</w:t>
      </w:r>
    </w:p>
    <w:p w:rsidR="006B2519" w:rsidRPr="00DA0A96" w:rsidP="00DA0A96">
      <w:pPr>
        <w:ind w:firstLine="720"/>
      </w:pPr>
      <w:r w:rsidRPr="00DA0A96">
        <w:t>Section 830.6, commonly referred to as “design immunity,” precludes liability for any injury caused by “the plan or design of</w:t>
      </w:r>
      <w:r w:rsidRPr="00DA0A96" w:rsidR="00A36BFB">
        <w:t xml:space="preserve"> </w:t>
      </w:r>
      <w:r w:rsidRPr="00DA0A96" w:rsidR="00060DB6">
        <w:t>. . .</w:t>
      </w:r>
      <w:r w:rsidRPr="00DA0A96" w:rsidR="00E82A8E">
        <w:t xml:space="preserve"> </w:t>
      </w:r>
      <w:r w:rsidR="00C40FFA">
        <w:t xml:space="preserve">, or </w:t>
      </w:r>
      <w:r w:rsidRPr="00DA0A96">
        <w:t>an improvement to</w:t>
      </w:r>
      <w:r w:rsidR="00C40FFA">
        <w:t>,</w:t>
      </w:r>
      <w:r w:rsidRPr="00DA0A96">
        <w:t xml:space="preserve"> public property</w:t>
      </w:r>
      <w:r w:rsidR="00C40FFA">
        <w:t>.</w:t>
      </w:r>
      <w:r w:rsidRPr="00DA0A96">
        <w:t>”</w:t>
      </w:r>
      <w:r w:rsidR="00C40FFA">
        <w:t xml:space="preserve">  (§ 830.6.)  As we explained in </w:t>
      </w:r>
      <w:r w:rsidR="00C40FFA">
        <w:rPr>
          <w:i/>
          <w:iCs/>
        </w:rPr>
        <w:t>Cornette</w:t>
      </w:r>
      <w:r w:rsidR="00C40FFA">
        <w:t>, design immunity requires that a public entity establish three elements</w:t>
      </w:r>
      <w:r w:rsidRPr="00DA0A96">
        <w:t>:  “(1) a causal relationship between the plan or design and the accident; (2) discretionary approval of the plan or design prior to construction; and (3) substantial evidence supporting the reasonableness of the plan or design.”  (</w:t>
      </w:r>
      <w:r w:rsidRPr="00DA0A96">
        <w:rPr>
          <w:i/>
          <w:iCs/>
        </w:rPr>
        <w:t>Cornette</w:t>
      </w:r>
      <w:r w:rsidRPr="00DA0A96" w:rsidR="00625708">
        <w:rPr>
          <w:i/>
          <w:iCs/>
        </w:rPr>
        <w:t>, supra,</w:t>
      </w:r>
      <w:r w:rsidRPr="00DA0A96">
        <w:t xml:space="preserve"> 26</w:t>
      </w:r>
      <w:r w:rsidRPr="00DA0A96" w:rsidR="005C5101">
        <w:t> </w:t>
      </w:r>
      <w:r w:rsidRPr="00DA0A96">
        <w:t xml:space="preserve">Cal.4th </w:t>
      </w:r>
      <w:r w:rsidRPr="00DA0A96" w:rsidR="00625708">
        <w:t>at p.</w:t>
      </w:r>
      <w:r w:rsidRPr="00DA0A96" w:rsidR="005C5101">
        <w:t> </w:t>
      </w:r>
      <w:r w:rsidRPr="00DA0A96">
        <w:t xml:space="preserve">69.)  </w:t>
      </w:r>
      <w:r w:rsidRPr="00DA0A96" w:rsidR="006D35A6">
        <w:t>R</w:t>
      </w:r>
      <w:r w:rsidRPr="00DA0A96">
        <w:t>esolution of the third element</w:t>
      </w:r>
      <w:r w:rsidRPr="00DA0A96" w:rsidR="006D35A6">
        <w:t> </w:t>
      </w:r>
      <w:r w:rsidRPr="00DA0A96">
        <w:t>— the existence of substantial evidence supporting the reasonableness of the adoption of the plan or design</w:t>
      </w:r>
      <w:r w:rsidRPr="00DA0A96" w:rsidR="006D35A6">
        <w:t> </w:t>
      </w:r>
      <w:r w:rsidRPr="00DA0A96">
        <w:t xml:space="preserve">— is a matter for the courts, not the jury, to decide. </w:t>
      </w:r>
      <w:r w:rsidRPr="00DA0A96" w:rsidR="00060DB6">
        <w:t xml:space="preserve"> </w:t>
      </w:r>
      <w:r w:rsidRPr="00DA0A96">
        <w:t>(See § 830.6 [“[T]he trial or appellate court” is to determine whether “there is any substantial evidence upon the basis of which</w:t>
      </w:r>
      <w:r w:rsidRPr="00DA0A96" w:rsidR="00E82A8E">
        <w:t xml:space="preserve"> </w:t>
      </w:r>
      <w:r w:rsidRPr="00DA0A96" w:rsidR="00060DB6">
        <w:t>. . .</w:t>
      </w:r>
      <w:r w:rsidRPr="00DA0A96" w:rsidR="00E82A8E">
        <w:t xml:space="preserve"> </w:t>
      </w:r>
      <w:r w:rsidRPr="00DA0A96">
        <w:t>a reasonable public employee could have adopted the plan</w:t>
      </w:r>
      <w:r w:rsidR="00393F1B">
        <w:t xml:space="preserve"> or design</w:t>
      </w:r>
      <w:r w:rsidRPr="00DA0A96">
        <w:t>”].)</w:t>
      </w:r>
    </w:p>
    <w:p w:rsidR="006B2519" w:rsidRPr="00DA0A96" w:rsidP="00DA0A96">
      <w:pPr>
        <w:ind w:firstLine="720"/>
      </w:pPr>
      <w:r w:rsidRPr="00DA0A96">
        <w:t>“The rationale for design immunity is to prevent a jury from second-guessing the decision of a public entity by reviewing the identical questions of risk that had previously been considered by the government officers who adopted or approved the plan or design.  [Citation.]  ‘</w:t>
      </w:r>
      <w:r w:rsidRPr="00DA0A96" w:rsidR="00060DB6">
        <w:t> </w:t>
      </w:r>
      <w:r w:rsidRPr="00DA0A96">
        <w:t>“</w:t>
      </w:r>
      <w:r w:rsidRPr="00DA0A96" w:rsidR="00060DB6">
        <w:t> </w:t>
      </w:r>
      <w:r w:rsidRPr="00DA0A96">
        <w:t xml:space="preserve">‘[T]o permit reexamination in tort litigation of particular discretionary decisions where reasonable </w:t>
      </w:r>
      <w:r w:rsidR="00CA290B">
        <w:t>[people]</w:t>
      </w:r>
      <w:r w:rsidRPr="00DA0A96">
        <w:t xml:space="preserve"> may differ as to how the discretion should be exercised would create too great a danger of impolitic interference with the freedom of decision-making by those public officials in whom the function of making such decisions has been vested.’</w:t>
      </w:r>
      <w:r w:rsidRPr="00DA0A96" w:rsidR="00060DB6">
        <w:t> </w:t>
      </w:r>
      <w:r w:rsidRPr="00DA0A96">
        <w:t>”</w:t>
      </w:r>
      <w:r w:rsidR="00C449F0">
        <w:t xml:space="preserve"> [Citation.]</w:t>
      </w:r>
      <w:r w:rsidRPr="00DA0A96">
        <w:t>’</w:t>
      </w:r>
      <w:r w:rsidRPr="00DA0A96" w:rsidR="00060DB6">
        <w:t> </w:t>
      </w:r>
      <w:r w:rsidRPr="00DA0A96">
        <w:t>”  (</w:t>
      </w:r>
      <w:r w:rsidRPr="00DA0A96">
        <w:rPr>
          <w:i/>
          <w:iCs/>
        </w:rPr>
        <w:t>Cornette, supra</w:t>
      </w:r>
      <w:r w:rsidRPr="00DA0A96">
        <w:t>, 26</w:t>
      </w:r>
      <w:r w:rsidRPr="00DA0A96" w:rsidR="005C5101">
        <w:t> </w:t>
      </w:r>
      <w:r w:rsidRPr="00DA0A96">
        <w:t>Cal.4th at p.</w:t>
      </w:r>
      <w:r w:rsidRPr="00DA0A96" w:rsidR="005C5101">
        <w:t> </w:t>
      </w:r>
      <w:r w:rsidRPr="00DA0A96">
        <w:t>69.)</w:t>
      </w:r>
    </w:p>
    <w:p w:rsidR="00E222C9" w:rsidRPr="00DA0A96" w:rsidP="00DA0A96">
      <w:pPr>
        <w:ind w:firstLine="720"/>
      </w:pPr>
      <w:r w:rsidRPr="00DA0A96">
        <w:t xml:space="preserve">Section 830.8 provides a second form of immunity, </w:t>
      </w:r>
      <w:r w:rsidRPr="00DA0A96" w:rsidR="006B2519">
        <w:t>pr</w:t>
      </w:r>
      <w:r w:rsidRPr="00DA0A96">
        <w:t>ecluding public entity</w:t>
      </w:r>
      <w:r w:rsidRPr="00DA0A96" w:rsidR="006B2519">
        <w:t xml:space="preserve"> </w:t>
      </w:r>
      <w:r w:rsidRPr="00DA0A96">
        <w:t>liability “</w:t>
      </w:r>
      <w:bookmarkStart w:id="6" w:name="_Hlk118892171"/>
      <w:r w:rsidRPr="00DA0A96">
        <w:t xml:space="preserve">for an injury caused by the failure to </w:t>
      </w:r>
      <w:r w:rsidRPr="00DA0A96" w:rsidR="006B2519">
        <w:t>provide traffic or warning signals, signs, markings or devices described in the Vehicle Code</w:t>
      </w:r>
      <w:bookmarkEnd w:id="6"/>
      <w:r w:rsidRPr="00DA0A96" w:rsidR="006B2519">
        <w:t xml:space="preserve">.”  (§ 830.8.)  Section 830.8, however, sets forth </w:t>
      </w:r>
      <w:r w:rsidRPr="00DA0A96">
        <w:t>a limitation to such immunity</w:t>
      </w:r>
      <w:r w:rsidRPr="00DA0A96" w:rsidR="00F07F9C">
        <w:t>:  “Nothing in this section exonerates a public entity</w:t>
      </w:r>
      <w:r w:rsidRPr="00DA0A96" w:rsidR="0028120B">
        <w:t xml:space="preserve"> </w:t>
      </w:r>
      <w:r w:rsidRPr="00DA0A96" w:rsidR="00F07F9C">
        <w:t>.</w:t>
      </w:r>
      <w:r w:rsidRPr="00DA0A96" w:rsidR="00060DB6">
        <w:t> </w:t>
      </w:r>
      <w:r w:rsidRPr="00DA0A96" w:rsidR="00F07F9C">
        <w:t>.</w:t>
      </w:r>
      <w:r w:rsidRPr="00DA0A96" w:rsidR="00060DB6">
        <w:t> </w:t>
      </w:r>
      <w:r w:rsidRPr="00DA0A96" w:rsidR="00F07F9C">
        <w:t>.</w:t>
      </w:r>
      <w:r w:rsidRPr="00DA0A96" w:rsidR="0028120B">
        <w:t xml:space="preserve"> </w:t>
      </w:r>
      <w:r w:rsidRPr="00DA0A96" w:rsidR="00F07F9C">
        <w:t>from liability for injury</w:t>
      </w:r>
      <w:r w:rsidRPr="00DA0A96" w:rsidR="0028120B">
        <w:t xml:space="preserve"> </w:t>
      </w:r>
      <w:r w:rsidRPr="00DA0A96" w:rsidR="00060DB6">
        <w:t>. . </w:t>
      </w:r>
      <w:r w:rsidRPr="00DA0A96" w:rsidR="008954E8">
        <w:t>.</w:t>
      </w:r>
      <w:r w:rsidRPr="00DA0A96" w:rsidR="0028120B">
        <w:t xml:space="preserve"> </w:t>
      </w:r>
      <w:r w:rsidRPr="00DA0A96" w:rsidR="00F07F9C">
        <w:t>caused by such failure if</w:t>
      </w:r>
      <w:r w:rsidRPr="00DA0A96" w:rsidR="00C442AE">
        <w:t xml:space="preserve"> </w:t>
      </w:r>
      <w:r w:rsidRPr="00DA0A96" w:rsidR="006B2519">
        <w:t>a signal, sign, marking or device</w:t>
      </w:r>
      <w:r w:rsidRPr="00DA0A96" w:rsidR="0028120B">
        <w:t xml:space="preserve"> </w:t>
      </w:r>
      <w:r w:rsidRPr="00DA0A96" w:rsidR="00060DB6">
        <w:t>. . .</w:t>
      </w:r>
      <w:r w:rsidRPr="00DA0A96" w:rsidR="0028120B">
        <w:t xml:space="preserve"> </w:t>
      </w:r>
      <w:r w:rsidRPr="00DA0A96" w:rsidR="006B2519">
        <w:t>was necessary to warn of a dangerous condition</w:t>
      </w:r>
      <w:r w:rsidRPr="00DA0A96" w:rsidR="0028120B">
        <w:t xml:space="preserve"> </w:t>
      </w:r>
      <w:r w:rsidRPr="00DA0A96" w:rsidR="00BA093E">
        <w:t>which endangered the safe movement of traffic and</w:t>
      </w:r>
      <w:r w:rsidRPr="00DA0A96" w:rsidR="0028120B">
        <w:t xml:space="preserve"> </w:t>
      </w:r>
      <w:r w:rsidRPr="00DA0A96" w:rsidR="006B2519">
        <w:t xml:space="preserve">which would not be reasonably apparent to, and would not have been anticipated by, a person exercising due care.”  This limitation to section 830.8 immunity is </w:t>
      </w:r>
      <w:r w:rsidRPr="00DA0A96" w:rsidR="00C54331">
        <w:t xml:space="preserve">commonly </w:t>
      </w:r>
      <w:r w:rsidRPr="00DA0A96" w:rsidR="006B2519">
        <w:t xml:space="preserve">referred to as the “concealed trap” exception.  (See </w:t>
      </w:r>
      <w:r w:rsidRPr="00DA0A96" w:rsidR="006B2519">
        <w:rPr>
          <w:i/>
          <w:iCs/>
        </w:rPr>
        <w:t>Chowdhury v. City of Los Angeles</w:t>
      </w:r>
      <w:r w:rsidRPr="00DA0A96" w:rsidR="006B2519">
        <w:t xml:space="preserve"> (1995) 38</w:t>
      </w:r>
      <w:r w:rsidRPr="00DA0A96" w:rsidR="0028120B">
        <w:t> </w:t>
      </w:r>
      <w:r w:rsidRPr="00DA0A96" w:rsidR="006B2519">
        <w:t>Cal.App.4th 1187, 1196</w:t>
      </w:r>
      <w:r w:rsidRPr="00DA0A96" w:rsidR="00060DB6">
        <w:t>–</w:t>
      </w:r>
      <w:r w:rsidRPr="00DA0A96" w:rsidR="006B2519">
        <w:t>1197;</w:t>
      </w:r>
      <w:r w:rsidRPr="00DA0A96" w:rsidR="00CC7242">
        <w:t xml:space="preserve"> </w:t>
      </w:r>
      <w:r w:rsidRPr="00DA0A96" w:rsidR="00CC7242">
        <w:rPr>
          <w:i/>
          <w:iCs/>
        </w:rPr>
        <w:t xml:space="preserve">Callahan v. City and County of San Francisco </w:t>
      </w:r>
      <w:r w:rsidRPr="00DA0A96" w:rsidR="00CC7242">
        <w:t>(1967) 249</w:t>
      </w:r>
      <w:r w:rsidRPr="00DA0A96" w:rsidR="0028120B">
        <w:t> </w:t>
      </w:r>
      <w:r w:rsidRPr="00DA0A96" w:rsidR="00CC7242">
        <w:t>Cal.App.2d 696, 704;</w:t>
      </w:r>
      <w:r w:rsidRPr="00DA0A96" w:rsidR="000140E7">
        <w:t xml:space="preserve"> see also </w:t>
      </w:r>
      <w:bookmarkStart w:id="7" w:name="_Hlk118737006"/>
      <w:r w:rsidRPr="00D0512E" w:rsidR="00EC4041">
        <w:t>Van Alstyne, Cal. Government Tort Liability Practice (Cont.Ed.Bar 1980) § 3.40, p. 253</w:t>
      </w:r>
      <w:r w:rsidRPr="00DA0A96" w:rsidR="00EC4041">
        <w:t xml:space="preserve"> </w:t>
      </w:r>
      <w:r w:rsidRPr="00DA0A96" w:rsidR="00BE7AC9">
        <w:t xml:space="preserve">(Van Alstyne) </w:t>
      </w:r>
      <w:r w:rsidRPr="00DA0A96" w:rsidR="00EC4041">
        <w:t xml:space="preserve">[immunity </w:t>
      </w:r>
      <w:r w:rsidRPr="00DA0A96" w:rsidR="00C54331">
        <w:t xml:space="preserve">under § 830.8 </w:t>
      </w:r>
      <w:r w:rsidRPr="00DA0A96" w:rsidR="00EC4041">
        <w:t>“inapplicable when a warning sign</w:t>
      </w:r>
      <w:r w:rsidRPr="00DA0A96" w:rsidR="00550026">
        <w:t xml:space="preserve"> </w:t>
      </w:r>
      <w:r w:rsidRPr="00DA0A96" w:rsidR="00060DB6">
        <w:t>. . .</w:t>
      </w:r>
      <w:r w:rsidRPr="00DA0A96" w:rsidR="00550026">
        <w:t xml:space="preserve"> </w:t>
      </w:r>
      <w:r w:rsidRPr="00DA0A96" w:rsidR="00EC4041">
        <w:t xml:space="preserve">is necessary to warn of </w:t>
      </w:r>
      <w:r w:rsidRPr="00DA0A96" w:rsidR="00C54331">
        <w:t xml:space="preserve">a </w:t>
      </w:r>
      <w:r w:rsidRPr="00DA0A96" w:rsidR="00EC4041">
        <w:t>concealed trap”].)</w:t>
      </w:r>
      <w:r>
        <w:rPr>
          <w:rStyle w:val="FootnoteReference"/>
        </w:rPr>
        <w:footnoteReference w:id="5"/>
      </w:r>
      <w:r w:rsidRPr="00DA0A96" w:rsidR="00EC4041">
        <w:t xml:space="preserve"> </w:t>
      </w:r>
    </w:p>
    <w:p w:rsidR="00E222C9" w:rsidRPr="00DA0A96" w:rsidP="002E2754">
      <w:pPr>
        <w:pStyle w:val="Heading3"/>
      </w:pPr>
      <w:bookmarkEnd w:id="7"/>
      <w:r w:rsidRPr="00DA0A96">
        <w:t>2</w:t>
      </w:r>
      <w:r w:rsidRPr="00DA0A96" w:rsidR="007B48AE">
        <w:t xml:space="preserve">.  </w:t>
      </w:r>
      <w:r w:rsidRPr="002E2754" w:rsidR="00C2752D">
        <w:t>Relevant</w:t>
      </w:r>
      <w:r w:rsidRPr="00DA0A96" w:rsidR="00C2752D">
        <w:t xml:space="preserve"> </w:t>
      </w:r>
      <w:r w:rsidRPr="00DA0A96" w:rsidR="00893245">
        <w:t>c</w:t>
      </w:r>
      <w:r w:rsidRPr="00DA0A96" w:rsidR="00C2752D">
        <w:t xml:space="preserve">ase </w:t>
      </w:r>
      <w:r w:rsidRPr="00DA0A96" w:rsidR="00893245">
        <w:t>l</w:t>
      </w:r>
      <w:r w:rsidRPr="00DA0A96" w:rsidR="00C2752D">
        <w:t>aw</w:t>
      </w:r>
      <w:r w:rsidRPr="00DA0A96" w:rsidR="007B48AE">
        <w:t xml:space="preserve"> </w:t>
      </w:r>
      <w:r w:rsidRPr="00DA0A96" w:rsidR="00893245">
        <w:t xml:space="preserve"> </w:t>
      </w:r>
    </w:p>
    <w:p w:rsidR="00B22D96" w:rsidRPr="00DA0A96" w:rsidP="00D95D6B">
      <w:pPr>
        <w:pStyle w:val="Heading4"/>
      </w:pPr>
      <w:r w:rsidRPr="00DA0A96">
        <w:t xml:space="preserve">a. </w:t>
      </w:r>
      <w:r w:rsidRPr="00DA0A96">
        <w:t xml:space="preserve"> </w:t>
      </w:r>
      <w:r w:rsidRPr="008F036F">
        <w:rPr>
          <w:i w:val="0"/>
          <w:iCs/>
        </w:rPr>
        <w:t>Flournoy v. State of California</w:t>
      </w:r>
    </w:p>
    <w:p w:rsidR="006323B7" w:rsidRPr="00DA0A96" w:rsidP="00DA0A96">
      <w:pPr>
        <w:tabs>
          <w:tab w:val="left" w:pos="1440"/>
        </w:tabs>
        <w:ind w:firstLine="720"/>
        <w:rPr>
          <w:iCs/>
        </w:rPr>
      </w:pPr>
      <w:r w:rsidRPr="00DA0A96">
        <w:t xml:space="preserve">As discussed below, our </w:t>
      </w:r>
      <w:r w:rsidRPr="00DA0A96" w:rsidR="00CE6220">
        <w:t xml:space="preserve">holding </w:t>
      </w:r>
      <w:r w:rsidRPr="00DA0A96">
        <w:t xml:space="preserve">in </w:t>
      </w:r>
      <w:r w:rsidRPr="00DA0A96">
        <w:rPr>
          <w:i/>
          <w:iCs/>
        </w:rPr>
        <w:t>Cameron</w:t>
      </w:r>
      <w:r w:rsidRPr="00DA0A96" w:rsidR="00D64151">
        <w:t xml:space="preserve"> </w:t>
      </w:r>
      <w:r w:rsidRPr="00DA0A96">
        <w:t xml:space="preserve">is based </w:t>
      </w:r>
      <w:r w:rsidRPr="00DA0A96">
        <w:t xml:space="preserve">largely on the analysis set forth in </w:t>
      </w:r>
      <w:r w:rsidRPr="00DA0A96">
        <w:rPr>
          <w:i/>
          <w:iCs/>
        </w:rPr>
        <w:t>Flournoy v. State</w:t>
      </w:r>
      <w:r w:rsidRPr="00DA0A96" w:rsidR="00D676BC">
        <w:rPr>
          <w:i/>
          <w:iCs/>
        </w:rPr>
        <w:t xml:space="preserve"> of California</w:t>
      </w:r>
      <w:r w:rsidRPr="00DA0A96">
        <w:rPr>
          <w:i/>
          <w:iCs/>
        </w:rPr>
        <w:t xml:space="preserve"> </w:t>
      </w:r>
      <w:r w:rsidRPr="00DA0A96">
        <w:rPr>
          <w:iCs/>
        </w:rPr>
        <w:t>(1969) 275 Cal.App.2d 806</w:t>
      </w:r>
      <w:r w:rsidRPr="00DA0A96" w:rsidR="00861B9C">
        <w:rPr>
          <w:iCs/>
        </w:rPr>
        <w:t xml:space="preserve"> (</w:t>
      </w:r>
      <w:r w:rsidRPr="00DA0A96" w:rsidR="00861B9C">
        <w:rPr>
          <w:i/>
        </w:rPr>
        <w:t>Flournoy</w:t>
      </w:r>
      <w:r w:rsidRPr="00DA0A96" w:rsidR="00861B9C">
        <w:rPr>
          <w:iCs/>
        </w:rPr>
        <w:t>)</w:t>
      </w:r>
      <w:r w:rsidRPr="00DA0A96">
        <w:rPr>
          <w:iCs/>
        </w:rPr>
        <w:t xml:space="preserve">.  Thus, to aid our understanding of </w:t>
      </w:r>
      <w:r w:rsidRPr="00DA0A96">
        <w:rPr>
          <w:i/>
        </w:rPr>
        <w:t>Cameron</w:t>
      </w:r>
      <w:r w:rsidRPr="00DA0A96">
        <w:rPr>
          <w:iCs/>
        </w:rPr>
        <w:t xml:space="preserve">, it is </w:t>
      </w:r>
      <w:r w:rsidRPr="00DA0A96" w:rsidR="00D64151">
        <w:rPr>
          <w:iCs/>
        </w:rPr>
        <w:t xml:space="preserve">helpful to </w:t>
      </w:r>
      <w:r w:rsidRPr="00DA0A96">
        <w:rPr>
          <w:iCs/>
        </w:rPr>
        <w:t xml:space="preserve">first consider </w:t>
      </w:r>
      <w:r w:rsidRPr="00DA0A96">
        <w:rPr>
          <w:i/>
        </w:rPr>
        <w:t>Flournoy</w:t>
      </w:r>
      <w:r w:rsidRPr="00DA0A96">
        <w:rPr>
          <w:iCs/>
        </w:rPr>
        <w:t>.</w:t>
      </w:r>
    </w:p>
    <w:p w:rsidR="006323B7" w:rsidRPr="00DA0A96" w:rsidP="00DA0A96">
      <w:pPr>
        <w:tabs>
          <w:tab w:val="left" w:pos="1440"/>
        </w:tabs>
        <w:ind w:firstLine="720"/>
      </w:pPr>
      <w:r w:rsidRPr="00DA0A96">
        <w:t>The plaintiff</w:t>
      </w:r>
      <w:r w:rsidRPr="00DA0A96" w:rsidR="00861B9C">
        <w:t>s</w:t>
      </w:r>
      <w:r w:rsidRPr="00DA0A96">
        <w:t xml:space="preserve"> in </w:t>
      </w:r>
      <w:r w:rsidRPr="00DA0A96">
        <w:rPr>
          <w:i/>
          <w:iCs/>
        </w:rPr>
        <w:t>Flournoy</w:t>
      </w:r>
      <w:r w:rsidRPr="00DA0A96">
        <w:t xml:space="preserve"> brought a</w:t>
      </w:r>
      <w:r w:rsidRPr="00DA0A96" w:rsidR="00861B9C">
        <w:t xml:space="preserve"> wrongful death</w:t>
      </w:r>
      <w:r w:rsidRPr="00DA0A96">
        <w:t xml:space="preserve"> </w:t>
      </w:r>
      <w:r w:rsidRPr="00DA0A96" w:rsidR="00861B9C">
        <w:t>action</w:t>
      </w:r>
      <w:r w:rsidRPr="00DA0A96">
        <w:t xml:space="preserve"> under section 835 alleging that the state had maintained a bridge in a dangerous condition.  According to the complaint, the bridge had been designed in a manner that caused moisture to condense on the roadway, which then froze in cold weather resulting in icy conditions.  The complaint further alleged that although the state had notice of numerous accidents caused by ice on the bridge, it had not posted any warning signs or redesigned the roadway surface.  The trial court granted summary judgment based on design immunity (§ 830.6), concluding that “</w:t>
      </w:r>
      <w:r w:rsidRPr="00DA0A96" w:rsidR="00861B9C">
        <w:t> ‘</w:t>
      </w:r>
      <w:r w:rsidRPr="00DA0A96">
        <w:t>the condition [on] which plaintiff seeks to predicate liability was inherent in the design of the bridge.</w:t>
      </w:r>
      <w:r w:rsidRPr="00DA0A96" w:rsidR="00861B9C">
        <w:t>’ </w:t>
      </w:r>
      <w:r w:rsidRPr="00DA0A96">
        <w:t xml:space="preserve">”  </w:t>
      </w:r>
      <w:r w:rsidRPr="00DA0A96" w:rsidR="00861B9C">
        <w:t>(</w:t>
      </w:r>
      <w:r w:rsidRPr="00DA0A96" w:rsidR="00861B9C">
        <w:rPr>
          <w:i/>
          <w:iCs/>
        </w:rPr>
        <w:t xml:space="preserve">Flournoy, supra, </w:t>
      </w:r>
      <w:r w:rsidRPr="00DA0A96" w:rsidR="00861B9C">
        <w:rPr>
          <w:iCs/>
        </w:rPr>
        <w:t>275</w:t>
      </w:r>
      <w:r w:rsidRPr="00DA0A96" w:rsidR="003B4EA2">
        <w:rPr>
          <w:iCs/>
        </w:rPr>
        <w:t> </w:t>
      </w:r>
      <w:r w:rsidRPr="00DA0A96" w:rsidR="00861B9C">
        <w:rPr>
          <w:iCs/>
        </w:rPr>
        <w:t>Cal.App.2d at p.</w:t>
      </w:r>
      <w:r w:rsidRPr="00DA0A96" w:rsidR="003B4EA2">
        <w:rPr>
          <w:iCs/>
        </w:rPr>
        <w:t> </w:t>
      </w:r>
      <w:r w:rsidRPr="00DA0A96" w:rsidR="00861B9C">
        <w:rPr>
          <w:iCs/>
        </w:rPr>
        <w:t>810.)</w:t>
      </w:r>
    </w:p>
    <w:p w:rsidR="006323B7" w:rsidRPr="00DA0A96" w:rsidP="00DA0A96">
      <w:pPr>
        <w:tabs>
          <w:tab w:val="left" w:pos="1440"/>
        </w:tabs>
        <w:ind w:firstLine="720"/>
      </w:pPr>
      <w:r w:rsidRPr="00DA0A96">
        <w:t xml:space="preserve">The </w:t>
      </w:r>
      <w:r w:rsidRPr="00DA0A96" w:rsidR="00861B9C">
        <w:t>C</w:t>
      </w:r>
      <w:r w:rsidRPr="00DA0A96">
        <w:t xml:space="preserve">ourt of </w:t>
      </w:r>
      <w:r w:rsidRPr="00DA0A96" w:rsidR="00861B9C">
        <w:t>A</w:t>
      </w:r>
      <w:r w:rsidRPr="00DA0A96">
        <w:t xml:space="preserve">ppeal reversed, holding that design immunity only addressed one of the two theories of dangerous conditions liability set forth in section 835:  “The trial court erred in granting the summary judgment, for the state’s [design immunity defense] could affect only one of two </w:t>
      </w:r>
      <w:r w:rsidRPr="00DA0A96" w:rsidR="00D164DF">
        <w:t>[alternative]</w:t>
      </w:r>
      <w:r w:rsidRPr="00DA0A96">
        <w:t xml:space="preserve"> theories </w:t>
      </w:r>
      <w:r w:rsidR="00AE4F73">
        <w:t>of recovery . . . made by</w:t>
      </w:r>
      <w:r w:rsidRPr="00DA0A96" w:rsidR="00D164DF">
        <w:t xml:space="preserve"> t</w:t>
      </w:r>
      <w:r w:rsidRPr="00DA0A96">
        <w:t>he pleadings</w:t>
      </w:r>
      <w:r w:rsidR="00224106">
        <w:t> </w:t>
      </w:r>
      <w:r w:rsidRPr="00DA0A96" w:rsidR="00091860">
        <w:t>. . . </w:t>
      </w:r>
      <w:r w:rsidRPr="00DA0A96">
        <w:t xml:space="preserve">:  (1) The state was liable under subdivision (a) of section 835, for it had created a dangerous condition by constructing an ice-prone bridge; and (2) the state was liable under subdivision (b) of section 835, for it had knowledge of a dangerously icy condition (not reasonably apparent to a careful driver) and failed to protect against the danger by posting a warning.  Each of these theories postulated a separate, although concurring, cause of the accident. </w:t>
      </w:r>
      <w:r w:rsidRPr="00DA0A96" w:rsidR="00D164DF">
        <w:t xml:space="preserve"> </w:t>
      </w:r>
      <w:r w:rsidRPr="00DA0A96">
        <w:t xml:space="preserve">[Citation.] </w:t>
      </w:r>
      <w:r w:rsidRPr="00DA0A96" w:rsidR="00D164DF">
        <w:t xml:space="preserve"> </w:t>
      </w:r>
      <w:r w:rsidRPr="00DA0A96">
        <w:t xml:space="preserve">The first theory asserted causation in the state’s active negligence in creating a danger, the second in the state’s passive negligence in failing to warn of it.”  </w:t>
      </w:r>
      <w:bookmarkStart w:id="8" w:name="_Hlk130392403"/>
      <w:r w:rsidRPr="00DA0A96">
        <w:t>(</w:t>
      </w:r>
      <w:r w:rsidRPr="00DA0A96">
        <w:rPr>
          <w:i/>
          <w:iCs/>
        </w:rPr>
        <w:t xml:space="preserve">Flournoy, supra, </w:t>
      </w:r>
      <w:r w:rsidRPr="00DA0A96">
        <w:t>275</w:t>
      </w:r>
      <w:r w:rsidRPr="00DA0A96" w:rsidR="003B4EA2">
        <w:t> </w:t>
      </w:r>
      <w:r w:rsidRPr="00DA0A96">
        <w:t>Cal.App.2d at pp.</w:t>
      </w:r>
      <w:r w:rsidRPr="00DA0A96" w:rsidR="003B4EA2">
        <w:t> </w:t>
      </w:r>
      <w:r w:rsidRPr="00DA0A96">
        <w:t>810–811.)</w:t>
      </w:r>
      <w:bookmarkEnd w:id="8"/>
    </w:p>
    <w:p w:rsidR="00A02388" w:rsidRPr="00DA0A96" w:rsidP="00DA0A96">
      <w:pPr>
        <w:tabs>
          <w:tab w:val="left" w:pos="1440"/>
        </w:tabs>
        <w:ind w:firstLine="720"/>
      </w:pPr>
      <w:r w:rsidRPr="00DA0A96">
        <w:rPr>
          <w:i/>
          <w:iCs/>
        </w:rPr>
        <w:t>Flournoy</w:t>
      </w:r>
      <w:r w:rsidRPr="00DA0A96">
        <w:t xml:space="preserve"> </w:t>
      </w:r>
      <w:r w:rsidRPr="00DA0A96" w:rsidR="004772E0">
        <w:t xml:space="preserve">explained </w:t>
      </w:r>
      <w:r w:rsidRPr="00DA0A96">
        <w:t>that</w:t>
      </w:r>
      <w:r w:rsidRPr="00DA0A96" w:rsidR="00936062">
        <w:t xml:space="preserve"> </w:t>
      </w:r>
      <w:r w:rsidRPr="00DA0A96" w:rsidR="00467FE6">
        <w:t>the distinct theories of liability set forth in section 835</w:t>
      </w:r>
      <w:r w:rsidRPr="00DA0A96" w:rsidR="004772E0">
        <w:t xml:space="preserve"> subdivision (a) and</w:t>
      </w:r>
      <w:r w:rsidRPr="00DA0A96" w:rsidR="00467FE6">
        <w:t xml:space="preserve"> subdivision</w:t>
      </w:r>
      <w:r w:rsidRPr="00DA0A96" w:rsidR="004772E0">
        <w:t xml:space="preserve"> (b) </w:t>
      </w:r>
      <w:r w:rsidRPr="00DA0A96" w:rsidR="00A854A6">
        <w:t>reflect</w:t>
      </w:r>
      <w:r w:rsidRPr="00DA0A96" w:rsidR="004772E0">
        <w:t>ed</w:t>
      </w:r>
      <w:r w:rsidRPr="00DA0A96" w:rsidR="00A854A6">
        <w:t xml:space="preserve"> the</w:t>
      </w:r>
      <w:r w:rsidRPr="00DA0A96" w:rsidR="004772E0">
        <w:t xml:space="preserve"> common law principle </w:t>
      </w:r>
      <w:r w:rsidRPr="00DA0A96" w:rsidR="00A854A6">
        <w:t xml:space="preserve">that a single defendant may produce </w:t>
      </w:r>
      <w:r w:rsidRPr="00DA0A96">
        <w:t>“two concurring, proximate causes of an accident</w:t>
      </w:r>
      <w:r w:rsidRPr="00DA0A96" w:rsidR="00A854A6">
        <w:t>[:]</w:t>
      </w:r>
      <w:r w:rsidRPr="00DA0A96" w:rsidR="003B4EA2">
        <w:t xml:space="preserve"> </w:t>
      </w:r>
      <w:r w:rsidRPr="00DA0A96" w:rsidR="00091860">
        <w:t>. . .</w:t>
      </w:r>
      <w:r w:rsidRPr="00DA0A96" w:rsidR="003B4EA2">
        <w:t xml:space="preserve"> </w:t>
      </w:r>
      <w:r w:rsidRPr="00DA0A96">
        <w:t xml:space="preserve">an affirmatively negligent act and </w:t>
      </w:r>
      <w:r w:rsidRPr="00DA0A96" w:rsidR="00A854A6">
        <w:t>.</w:t>
      </w:r>
      <w:r w:rsidRPr="00DA0A96" w:rsidR="00746C1E">
        <w:t> </w:t>
      </w:r>
      <w:r w:rsidRPr="00DA0A96" w:rsidR="00A854A6">
        <w:t>.</w:t>
      </w:r>
      <w:r w:rsidRPr="00DA0A96" w:rsidR="00746C1E">
        <w:t> </w:t>
      </w:r>
      <w:r w:rsidRPr="00DA0A96" w:rsidR="00A854A6">
        <w:t>.</w:t>
      </w:r>
      <w:r w:rsidRPr="00DA0A96">
        <w:t xml:space="preserve"> a passively negligent omission.</w:t>
      </w:r>
      <w:r w:rsidRPr="00DA0A96" w:rsidR="00091860">
        <w:t> . . . </w:t>
      </w:r>
      <w:r w:rsidRPr="00DA0A96">
        <w:t>[</w:t>
      </w:r>
      <w:r w:rsidRPr="00DA0A96" w:rsidR="00D607E6">
        <w:t>¶</w:t>
      </w:r>
      <w:r w:rsidRPr="00DA0A96">
        <w:t xml:space="preserve">]  </w:t>
      </w:r>
      <w:r w:rsidRPr="00FD0C30">
        <w:t>Here</w:t>
      </w:r>
      <w:r w:rsidRPr="00DA0A96">
        <w:t>,</w:t>
      </w:r>
      <w:r w:rsidRPr="00DA0A96" w:rsidR="00550026">
        <w:t xml:space="preserve"> </w:t>
      </w:r>
      <w:r w:rsidRPr="00DA0A96" w:rsidR="00091860">
        <w:t>. . .</w:t>
      </w:r>
      <w:r w:rsidRPr="00DA0A96" w:rsidR="003B4EA2">
        <w:t xml:space="preserve"> </w:t>
      </w:r>
      <w:r w:rsidRPr="00DA0A96">
        <w:t xml:space="preserve">the complaint alleged active and passive negligence of a single defendant (the creation of a dangerous condition and the failure to post a warning of it) as separate, concurring causes.  Regardless of the availability of the active negligence theory, plaintiffs were entitled to go before a jury on the passive negligence theory, i.e., an accident caused by the state’s failure to warn the public against icy danger known to it but not apparent to a reasonably careful highway user.”  </w:t>
      </w:r>
      <w:r w:rsidRPr="00DA0A96" w:rsidR="00D607E6">
        <w:t>(</w:t>
      </w:r>
      <w:r w:rsidRPr="00DA0A96">
        <w:rPr>
          <w:i/>
          <w:iCs/>
        </w:rPr>
        <w:t>Flournoy</w:t>
      </w:r>
      <w:r w:rsidRPr="00DA0A96">
        <w:t xml:space="preserve">, </w:t>
      </w:r>
      <w:r w:rsidRPr="00DA0A96">
        <w:rPr>
          <w:i/>
          <w:iCs/>
        </w:rPr>
        <w:t>supra</w:t>
      </w:r>
      <w:r w:rsidRPr="00DA0A96">
        <w:t>, 275</w:t>
      </w:r>
      <w:r w:rsidRPr="00DA0A96" w:rsidR="00746C1E">
        <w:t> </w:t>
      </w:r>
      <w:r w:rsidRPr="00DA0A96">
        <w:t>Cal.App.2d at p.</w:t>
      </w:r>
      <w:r w:rsidRPr="00DA0A96" w:rsidR="00746C1E">
        <w:t> </w:t>
      </w:r>
      <w:r w:rsidRPr="00DA0A96">
        <w:t>811.)</w:t>
      </w:r>
    </w:p>
    <w:p w:rsidR="00B22D96" w:rsidRPr="00DA0A96" w:rsidP="00DA0A96">
      <w:pPr>
        <w:tabs>
          <w:tab w:val="left" w:pos="1440"/>
        </w:tabs>
        <w:ind w:firstLine="720"/>
      </w:pPr>
      <w:r w:rsidRPr="00DA0A96">
        <w:t xml:space="preserve">The court also rejected the </w:t>
      </w:r>
      <w:r w:rsidRPr="00DA0A96" w:rsidR="00D676BC">
        <w:t>s</w:t>
      </w:r>
      <w:r w:rsidRPr="00DA0A96">
        <w:t>tate’s argument that section 830.6</w:t>
      </w:r>
      <w:r w:rsidRPr="00DA0A96" w:rsidR="009277E4">
        <w:t>’s design immunity provisions</w:t>
      </w:r>
      <w:r w:rsidRPr="00DA0A96">
        <w:t xml:space="preserve"> “</w:t>
      </w:r>
      <w:r w:rsidRPr="00DA0A96" w:rsidR="00091860">
        <w:t> </w:t>
      </w:r>
      <w:r w:rsidRPr="00DA0A96">
        <w:t>‘prevail</w:t>
      </w:r>
      <w:r w:rsidRPr="00DA0A96" w:rsidR="009277E4">
        <w:t>[]</w:t>
      </w:r>
      <w:r w:rsidRPr="00DA0A96" w:rsidR="00D607E6">
        <w:t>’</w:t>
      </w:r>
      <w:r w:rsidRPr="00DA0A96">
        <w:t xml:space="preserve"> over any liability for a dangerous condition of public property under section 835,” concluding that “[b]y </w:t>
      </w:r>
      <w:r w:rsidR="00F766AD">
        <w:t xml:space="preserve">force of </w:t>
      </w:r>
      <w:r w:rsidRPr="00DA0A96">
        <w:t xml:space="preserve">its very terms the design immunity of section 830.6 is limited to a design-caused accident. </w:t>
      </w:r>
      <w:r w:rsidRPr="00DA0A96" w:rsidR="00091860">
        <w:t xml:space="preserve"> </w:t>
      </w:r>
      <w:r w:rsidRPr="00DA0A96">
        <w:t>[Citation.]  It does not immunize from liability caused by negligence independent of design, even though the independent negligence is only a concurring, proximate cause of the accident.”  (</w:t>
      </w:r>
      <w:r w:rsidRPr="00DA0A96">
        <w:rPr>
          <w:i/>
          <w:iCs/>
        </w:rPr>
        <w:t>Flournoy</w:t>
      </w:r>
      <w:r w:rsidRPr="00DA0A96" w:rsidR="00091860">
        <w:rPr>
          <w:i/>
          <w:iCs/>
        </w:rPr>
        <w:t>, supra</w:t>
      </w:r>
      <w:r w:rsidRPr="00DA0A96">
        <w:t xml:space="preserve">, </w:t>
      </w:r>
      <w:r w:rsidRPr="00DA0A96" w:rsidR="00091860">
        <w:t>275</w:t>
      </w:r>
      <w:r w:rsidRPr="00DA0A96" w:rsidR="00746C1E">
        <w:t> </w:t>
      </w:r>
      <w:r w:rsidRPr="00DA0A96" w:rsidR="00091860">
        <w:t xml:space="preserve">Cal.App.2d </w:t>
      </w:r>
      <w:r w:rsidRPr="00DA0A96">
        <w:t>at p.</w:t>
      </w:r>
      <w:r w:rsidRPr="00DA0A96" w:rsidR="00746C1E">
        <w:t> </w:t>
      </w:r>
      <w:r w:rsidRPr="00DA0A96">
        <w:t>811</w:t>
      </w:r>
      <w:r w:rsidR="00F766AD">
        <w:t>, fn. omitted</w:t>
      </w:r>
      <w:r w:rsidRPr="00DA0A96">
        <w:t xml:space="preserve">.)  </w:t>
      </w:r>
    </w:p>
    <w:p w:rsidR="00CA3AC8" w:rsidRPr="00DA0A96" w:rsidP="00D95D6B">
      <w:pPr>
        <w:pStyle w:val="Heading4"/>
      </w:pPr>
      <w:r w:rsidRPr="00DA0A96">
        <w:t xml:space="preserve">b.  </w:t>
      </w:r>
      <w:r w:rsidRPr="008F036F">
        <w:rPr>
          <w:i w:val="0"/>
          <w:iCs/>
        </w:rPr>
        <w:t>Cameron v. State of California</w:t>
      </w:r>
    </w:p>
    <w:p w:rsidR="008D64E3" w:rsidRPr="00DA0A96" w:rsidP="00DA0A96">
      <w:pPr>
        <w:tabs>
          <w:tab w:val="left" w:pos="1440"/>
        </w:tabs>
        <w:ind w:firstLine="720"/>
      </w:pPr>
      <w:bookmarkStart w:id="9" w:name="_Hlk113610967"/>
      <w:r w:rsidRPr="00DA0A96">
        <w:t xml:space="preserve">In </w:t>
      </w:r>
      <w:r w:rsidRPr="00DA0A96">
        <w:rPr>
          <w:i/>
          <w:iCs/>
        </w:rPr>
        <w:t>Cameron</w:t>
      </w:r>
      <w:r w:rsidRPr="00DA0A96" w:rsidR="005B1328">
        <w:rPr>
          <w:i/>
          <w:iCs/>
        </w:rPr>
        <w:t>, supra</w:t>
      </w:r>
      <w:r w:rsidRPr="00DA0A96">
        <w:t>,</w:t>
      </w:r>
      <w:r w:rsidRPr="00DA0A96" w:rsidR="005B1328">
        <w:t xml:space="preserve"> 7</w:t>
      </w:r>
      <w:r w:rsidRPr="00DA0A96" w:rsidR="00B90595">
        <w:t> </w:t>
      </w:r>
      <w:r w:rsidRPr="00DA0A96" w:rsidR="005B1328">
        <w:t>Cal.3d 318,</w:t>
      </w:r>
      <w:r w:rsidRPr="00DA0A96">
        <w:t xml:space="preserve"> </w:t>
      </w:r>
      <w:r w:rsidRPr="00DA0A96" w:rsidR="00E15D4C">
        <w:t xml:space="preserve">plaintiffs filed a </w:t>
      </w:r>
      <w:r w:rsidRPr="00DA0A96" w:rsidR="00B80B0B">
        <w:t xml:space="preserve">complaint </w:t>
      </w:r>
      <w:r w:rsidRPr="00DA0A96" w:rsidR="00E15D4C">
        <w:t xml:space="preserve">alleging the </w:t>
      </w:r>
      <w:r w:rsidRPr="00DA0A96" w:rsidR="003E5D61">
        <w:t xml:space="preserve">state </w:t>
      </w:r>
      <w:r w:rsidRPr="00DA0A96">
        <w:t>was liable</w:t>
      </w:r>
      <w:r w:rsidRPr="00DA0A96" w:rsidR="008954E8">
        <w:t xml:space="preserve"> under section 835</w:t>
      </w:r>
      <w:r w:rsidRPr="00DA0A96">
        <w:t xml:space="preserve"> for having negligently constructed</w:t>
      </w:r>
      <w:r w:rsidRPr="00DA0A96" w:rsidR="00E15D4C">
        <w:t xml:space="preserve"> an improperly banked “S”</w:t>
      </w:r>
      <w:r w:rsidRPr="00DA0A96">
        <w:t xml:space="preserve"> </w:t>
      </w:r>
      <w:r w:rsidRPr="00DA0A96" w:rsidR="00E15D4C">
        <w:t>curve</w:t>
      </w:r>
      <w:r w:rsidRPr="00DA0A96" w:rsidR="003F64A1">
        <w:t xml:space="preserve"> that l</w:t>
      </w:r>
      <w:r w:rsidRPr="00DA0A96" w:rsidR="00D5656C">
        <w:t xml:space="preserve">eft </w:t>
      </w:r>
      <w:r w:rsidRPr="00DA0A96" w:rsidR="00E15D4C">
        <w:t xml:space="preserve">drivers </w:t>
      </w:r>
      <w:r w:rsidRPr="00DA0A96" w:rsidR="00D5656C">
        <w:t xml:space="preserve">unable to </w:t>
      </w:r>
      <w:r w:rsidRPr="00DA0A96" w:rsidR="00E15D4C">
        <w:t xml:space="preserve">“negotiate the curve even though going at a lawful speed.”  </w:t>
      </w:r>
      <w:r w:rsidRPr="00DA0A96" w:rsidR="00B80B0B">
        <w:t>(</w:t>
      </w:r>
      <w:r w:rsidRPr="00DA0A96" w:rsidR="00B80B0B">
        <w:rPr>
          <w:i/>
          <w:iCs/>
        </w:rPr>
        <w:t>Id</w:t>
      </w:r>
      <w:r w:rsidRPr="00DA0A96" w:rsidR="00B80B0B">
        <w:t>. at p.</w:t>
      </w:r>
      <w:r w:rsidRPr="00DA0A96" w:rsidR="00B90595">
        <w:t> </w:t>
      </w:r>
      <w:r w:rsidRPr="00DA0A96" w:rsidR="00B80B0B">
        <w:t xml:space="preserve">322.)  </w:t>
      </w:r>
      <w:r w:rsidRPr="00DA0A96" w:rsidR="00123B8C">
        <w:t>Plaintiff</w:t>
      </w:r>
      <w:r w:rsidRPr="00DA0A96" w:rsidR="003F64A1">
        <w:t>s</w:t>
      </w:r>
      <w:r w:rsidRPr="00DA0A96" w:rsidR="00123B8C">
        <w:t xml:space="preserve"> </w:t>
      </w:r>
      <w:r w:rsidRPr="00DA0A96" w:rsidR="006C5E9D">
        <w:t xml:space="preserve">separately </w:t>
      </w:r>
      <w:r w:rsidRPr="00DA0A96" w:rsidR="00123B8C">
        <w:t>alleged</w:t>
      </w:r>
      <w:r w:rsidRPr="00DA0A96" w:rsidR="006C5E9D">
        <w:t xml:space="preserve"> the</w:t>
      </w:r>
      <w:r w:rsidRPr="00DA0A96" w:rsidR="00D5656C">
        <w:t xml:space="preserve"> </w:t>
      </w:r>
      <w:r w:rsidRPr="00DA0A96" w:rsidR="003E5D61">
        <w:t>s</w:t>
      </w:r>
      <w:r w:rsidRPr="00DA0A96" w:rsidR="00D5656C">
        <w:t>tate had failed to adequately warn of this defect</w:t>
      </w:r>
      <w:r w:rsidRPr="00DA0A96" w:rsidR="00A02388">
        <w:t>ive design</w:t>
      </w:r>
      <w:r w:rsidRPr="00DA0A96" w:rsidR="00D5656C">
        <w:t xml:space="preserve">, </w:t>
      </w:r>
      <w:r w:rsidRPr="00DA0A96" w:rsidR="00B80B0B">
        <w:t xml:space="preserve">contending </w:t>
      </w:r>
      <w:r w:rsidRPr="00DA0A96" w:rsidR="00D5656C">
        <w:t xml:space="preserve">that a sign warning </w:t>
      </w:r>
      <w:r w:rsidRPr="00DA0A96" w:rsidR="00100DB6">
        <w:t xml:space="preserve">drivers to slow their speed to 35 </w:t>
      </w:r>
      <w:r w:rsidR="003A3AAC">
        <w:t>miles per hour</w:t>
      </w:r>
      <w:r w:rsidRPr="00DA0A96" w:rsidR="00100DB6">
        <w:t xml:space="preserve"> would have been sufficient to neutralize the dangerous design.  </w:t>
      </w:r>
      <w:r w:rsidRPr="00DA0A96" w:rsidR="00817416">
        <w:t>At the close of evidence, the trial court granted a motion for nonsuit</w:t>
      </w:r>
      <w:r w:rsidRPr="00DA0A96" w:rsidR="00312BE8">
        <w:t xml:space="preserve"> based on design immunity</w:t>
      </w:r>
      <w:bookmarkEnd w:id="9"/>
      <w:r w:rsidRPr="00DA0A96" w:rsidR="00817416">
        <w:t>.</w:t>
      </w:r>
    </w:p>
    <w:p w:rsidR="00817416" w:rsidRPr="002B0A76" w:rsidP="00DA0A96">
      <w:pPr>
        <w:tabs>
          <w:tab w:val="left" w:pos="1440"/>
        </w:tabs>
        <w:ind w:firstLine="720"/>
      </w:pPr>
      <w:r w:rsidRPr="00DA0A96">
        <w:t>On appeal, plaintiffs raised two arguments</w:t>
      </w:r>
      <w:r w:rsidRPr="00DA0A96" w:rsidR="00741729">
        <w:t xml:space="preserve"> in support of reversal</w:t>
      </w:r>
      <w:r w:rsidRPr="00DA0A96">
        <w:t>.  First, they argued design immunity was inapplicable because the</w:t>
      </w:r>
      <w:r w:rsidRPr="00DA0A96" w:rsidR="00312BE8">
        <w:t xml:space="preserve"> approved</w:t>
      </w:r>
      <w:r w:rsidRPr="00DA0A96" w:rsidR="00741729">
        <w:t xml:space="preserve"> </w:t>
      </w:r>
      <w:r w:rsidRPr="00DA0A96">
        <w:t>plan</w:t>
      </w:r>
      <w:r w:rsidRPr="00DA0A96" w:rsidR="00B35182">
        <w:t>s</w:t>
      </w:r>
      <w:r w:rsidRPr="00DA0A96">
        <w:t xml:space="preserve"> did not</w:t>
      </w:r>
      <w:r w:rsidRPr="00DA0A96" w:rsidR="00312BE8">
        <w:t xml:space="preserve"> </w:t>
      </w:r>
      <w:r w:rsidRPr="00DA0A96" w:rsidR="003F64A1">
        <w:t xml:space="preserve">address the </w:t>
      </w:r>
      <w:r w:rsidRPr="00DA0A96" w:rsidR="00741729">
        <w:t>banking</w:t>
      </w:r>
      <w:r w:rsidRPr="00DA0A96" w:rsidR="00592FD0">
        <w:t xml:space="preserve"> of the </w:t>
      </w:r>
      <w:r w:rsidR="004E0935">
        <w:t>“</w:t>
      </w:r>
      <w:r w:rsidRPr="00DA0A96" w:rsidR="00592FD0">
        <w:t>S</w:t>
      </w:r>
      <w:r w:rsidR="004E0935">
        <w:t>”</w:t>
      </w:r>
      <w:r w:rsidRPr="00DA0A96" w:rsidR="00592FD0">
        <w:t>-</w:t>
      </w:r>
      <w:r w:rsidR="00337D8E">
        <w:t>curve</w:t>
      </w:r>
      <w:r w:rsidRPr="00DA0A96">
        <w:t>, which plaintiffs alleged was the dangerous condition that</w:t>
      </w:r>
      <w:r w:rsidRPr="00DA0A96" w:rsidR="00312BE8">
        <w:t xml:space="preserve"> had</w:t>
      </w:r>
      <w:r w:rsidRPr="00DA0A96">
        <w:t xml:space="preserve"> caused the accident.  Second, </w:t>
      </w:r>
      <w:r w:rsidRPr="00DA0A96" w:rsidR="00741729">
        <w:t xml:space="preserve">plaintiffs </w:t>
      </w:r>
      <w:r w:rsidRPr="00DA0A96">
        <w:t xml:space="preserve">argued that “even if ‘design immunity’ </w:t>
      </w:r>
      <w:r w:rsidR="00354574">
        <w:t xml:space="preserve">. . . </w:t>
      </w:r>
      <w:r w:rsidRPr="00DA0A96">
        <w:t>immunize</w:t>
      </w:r>
      <w:r w:rsidR="00354574">
        <w:t>[d]</w:t>
      </w:r>
      <w:r w:rsidRPr="00DA0A96">
        <w:t xml:space="preserve"> the state for negligence in the creation of the dangerous condition, the concurrent negligence by the state in failing to warn of the dangerous condition provides an independent basis for recovery.”  (</w:t>
      </w:r>
      <w:r w:rsidRPr="00DA0A96">
        <w:rPr>
          <w:i/>
          <w:iCs/>
        </w:rPr>
        <w:t>Cameron, supra</w:t>
      </w:r>
      <w:r w:rsidRPr="00DA0A96">
        <w:t>, 7</w:t>
      </w:r>
      <w:r w:rsidRPr="00DA0A96" w:rsidR="00B90595">
        <w:t> </w:t>
      </w:r>
      <w:r w:rsidRPr="00DA0A96">
        <w:t>Cal.3d at p.</w:t>
      </w:r>
      <w:r w:rsidRPr="00DA0A96" w:rsidR="00B90595">
        <w:t> </w:t>
      </w:r>
      <w:r w:rsidRPr="00DA0A96">
        <w:t xml:space="preserve">322.) </w:t>
      </w:r>
      <w:r w:rsidR="0081324D">
        <w:t xml:space="preserve"> </w:t>
      </w:r>
      <w:r w:rsidRPr="0081324D" w:rsidR="0081324D">
        <w:t xml:space="preserve">Plaintiffs </w:t>
      </w:r>
      <w:r w:rsidR="00B835C3">
        <w:t xml:space="preserve">contended </w:t>
      </w:r>
      <w:r w:rsidR="003C2F48">
        <w:t xml:space="preserve">that </w:t>
      </w:r>
      <w:r w:rsidR="0081324D">
        <w:t xml:space="preserve">because </w:t>
      </w:r>
      <w:r w:rsidR="003C2F48">
        <w:t>the state had provided no evidence that this</w:t>
      </w:r>
      <w:r w:rsidRPr="0081324D" w:rsidR="0081324D">
        <w:t xml:space="preserve"> </w:t>
      </w:r>
      <w:r w:rsidR="0081324D">
        <w:t>“</w:t>
      </w:r>
      <w:r w:rsidR="00CC1ABD">
        <w:t xml:space="preserve">negligent </w:t>
      </w:r>
      <w:r w:rsidRPr="0081324D" w:rsidR="0081324D">
        <w:t>failure to warn</w:t>
      </w:r>
      <w:r w:rsidR="0081324D">
        <w:t>” was “</w:t>
      </w:r>
      <w:r w:rsidRPr="0081324D" w:rsidR="0081324D">
        <w:t>the result of any design or plan which would confer immunity under section 830.6</w:t>
      </w:r>
      <w:r w:rsidR="0081324D">
        <w:t>”</w:t>
      </w:r>
      <w:r w:rsidR="001473B7">
        <w:t>,</w:t>
      </w:r>
      <w:r w:rsidR="003C2F48">
        <w:t xml:space="preserve"> such conduct provided </w:t>
      </w:r>
      <w:r w:rsidR="00CC1ABD">
        <w:t xml:space="preserve">a </w:t>
      </w:r>
      <w:r w:rsidR="00B835C3">
        <w:t xml:space="preserve">separate </w:t>
      </w:r>
      <w:r w:rsidR="003C2F48">
        <w:t>“</w:t>
      </w:r>
      <w:r w:rsidRPr="003C2F48" w:rsidR="003C2F48">
        <w:t>basis for recovery</w:t>
      </w:r>
      <w:r w:rsidR="00683AAD">
        <w:t>,</w:t>
      </w:r>
      <w:r w:rsidRPr="003C2F48" w:rsidR="003C2F48">
        <w:t xml:space="preserve"> even if the dangerous condition itself was created as a result of a plan covered by section 830.6</w:t>
      </w:r>
      <w:r w:rsidR="00683AAD">
        <w:t>.</w:t>
      </w:r>
      <w:r w:rsidR="003C2F48">
        <w:t>”</w:t>
      </w:r>
      <w:r w:rsidR="0081324D">
        <w:t xml:space="preserve">  </w:t>
      </w:r>
      <w:r w:rsidR="002B0A76">
        <w:t>(</w:t>
      </w:r>
      <w:r w:rsidR="002B0A76">
        <w:rPr>
          <w:i/>
          <w:iCs/>
        </w:rPr>
        <w:t>Id.</w:t>
      </w:r>
      <w:r w:rsidR="002B0A76">
        <w:t xml:space="preserve"> at p. 327.)</w:t>
      </w:r>
    </w:p>
    <w:p w:rsidR="00817416" w:rsidRPr="00DA0A96" w:rsidP="00DA0A96">
      <w:pPr>
        <w:tabs>
          <w:tab w:val="left" w:pos="1440"/>
        </w:tabs>
        <w:ind w:firstLine="720"/>
      </w:pPr>
      <w:r w:rsidRPr="00DA0A96">
        <w:t xml:space="preserve">We agreed with both </w:t>
      </w:r>
      <w:r w:rsidR="0081324D">
        <w:t>arguments</w:t>
      </w:r>
      <w:r w:rsidRPr="00DA0A96">
        <w:t xml:space="preserve">.  Regarding the first issue, we found the </w:t>
      </w:r>
      <w:r w:rsidRPr="00DA0A96" w:rsidR="003E5D61">
        <w:t>s</w:t>
      </w:r>
      <w:r w:rsidRPr="00DA0A96">
        <w:t xml:space="preserve">tate had presented no evidence that the curve’s banking was part of the design approved by the public entity, and thus there was “no basis for concluding that any liability for injuries caused by this </w:t>
      </w:r>
      <w:r w:rsidRPr="00DA0A96" w:rsidR="00592FD0">
        <w:t xml:space="preserve">[alleged defect] </w:t>
      </w:r>
      <w:r w:rsidRPr="00DA0A96">
        <w:t>was immunized by section 830.6.”  (</w:t>
      </w:r>
      <w:r w:rsidRPr="00DA0A96">
        <w:rPr>
          <w:i/>
          <w:iCs/>
        </w:rPr>
        <w:t>Cameron, supra</w:t>
      </w:r>
      <w:r w:rsidRPr="00DA0A96">
        <w:t>, 7</w:t>
      </w:r>
      <w:r w:rsidRPr="00DA0A96" w:rsidR="00B90595">
        <w:t> </w:t>
      </w:r>
      <w:r w:rsidRPr="00DA0A96">
        <w:t>Cal.3d at p.</w:t>
      </w:r>
      <w:r w:rsidRPr="00DA0A96" w:rsidR="00B90595">
        <w:t> </w:t>
      </w:r>
      <w:r w:rsidRPr="00DA0A96">
        <w:t>326</w:t>
      </w:r>
      <w:r w:rsidR="005C51C5">
        <w:t>, fn. omitted</w:t>
      </w:r>
      <w:r w:rsidRPr="00DA0A96">
        <w:t xml:space="preserve">.)  Although that conclusion was sufficient to reverse the trial court’s judgment of nonsuit, we went on to consider plaintiffs’ </w:t>
      </w:r>
      <w:r w:rsidRPr="00DA0A96" w:rsidR="00592FD0">
        <w:t xml:space="preserve">second </w:t>
      </w:r>
      <w:r w:rsidRPr="00DA0A96">
        <w:t xml:space="preserve">argument that, even if proven, design immunity would not preclude their claim for failing to warn motorists about the dangerous curve.  We explained that addressing this </w:t>
      </w:r>
      <w:r w:rsidRPr="00DA0A96" w:rsidR="00821D37">
        <w:t xml:space="preserve">alternative </w:t>
      </w:r>
      <w:r w:rsidRPr="00DA0A96">
        <w:t>claim was necessary “</w:t>
      </w:r>
      <w:r w:rsidRPr="00DA0A96" w:rsidR="003B4B0A">
        <w:t>[</w:t>
      </w:r>
      <w:r w:rsidRPr="00DA0A96">
        <w:t>f</w:t>
      </w:r>
      <w:r w:rsidRPr="00DA0A96" w:rsidR="003B4B0A">
        <w:t>]</w:t>
      </w:r>
      <w:r w:rsidRPr="00DA0A96">
        <w:t>or the guidance of the trial court</w:t>
      </w:r>
      <w:r w:rsidRPr="00DA0A96" w:rsidR="00C056FD">
        <w:t xml:space="preserve">” </w:t>
      </w:r>
      <w:r w:rsidRPr="00DA0A96">
        <w:t>(</w:t>
      </w:r>
      <w:r w:rsidRPr="00DA0A96" w:rsidR="00592FD0">
        <w:rPr>
          <w:i/>
          <w:iCs/>
        </w:rPr>
        <w:t>id.</w:t>
      </w:r>
      <w:r w:rsidRPr="00DA0A96">
        <w:t xml:space="preserve"> at p.</w:t>
      </w:r>
      <w:r w:rsidRPr="00DA0A96" w:rsidR="003B4B0A">
        <w:t> </w:t>
      </w:r>
      <w:r w:rsidRPr="00DA0A96">
        <w:t xml:space="preserve">326) because </w:t>
      </w:r>
      <w:r w:rsidRPr="00DA0A96" w:rsidR="00C056FD">
        <w:t>it was possible “upon remand</w:t>
      </w:r>
      <w:r w:rsidRPr="00DA0A96" w:rsidR="003B4B0A">
        <w:t xml:space="preserve"> </w:t>
      </w:r>
      <w:r w:rsidR="001F0662">
        <w:t>that</w:t>
      </w:r>
      <w:r w:rsidR="002012A4">
        <w:t xml:space="preserve"> </w:t>
      </w:r>
      <w:r w:rsidRPr="00DA0A96" w:rsidR="00C056FD">
        <w:t xml:space="preserve">the </w:t>
      </w:r>
      <w:r w:rsidRPr="00DA0A96">
        <w:t xml:space="preserve">state could produce evidence to show that the </w:t>
      </w:r>
      <w:r w:rsidRPr="00DA0A96" w:rsidR="003E7E2C">
        <w:t>[</w:t>
      </w:r>
      <w:r w:rsidRPr="00DA0A96" w:rsidR="00C056FD">
        <w:t>ba</w:t>
      </w:r>
      <w:r w:rsidRPr="00DA0A96" w:rsidR="003E7E2C">
        <w:t>n</w:t>
      </w:r>
      <w:r w:rsidRPr="00DA0A96" w:rsidR="00C056FD">
        <w:t>k</w:t>
      </w:r>
      <w:r w:rsidRPr="00DA0A96" w:rsidR="003E7E2C">
        <w:t xml:space="preserve">ing] </w:t>
      </w:r>
      <w:r w:rsidRPr="00DA0A96">
        <w:t>was [part of the approved design]</w:t>
      </w:r>
      <w:r w:rsidRPr="00DA0A96" w:rsidR="00C056FD">
        <w:t xml:space="preserve">.  In that event, </w:t>
      </w:r>
      <w:r w:rsidRPr="00DA0A96">
        <w:t>plaintiffs’ second contention would become determinative on the issue of design immunity.”  (</w:t>
      </w:r>
      <w:r w:rsidRPr="00DA0A96">
        <w:rPr>
          <w:i/>
          <w:iCs/>
        </w:rPr>
        <w:t>Id</w:t>
      </w:r>
      <w:r w:rsidRPr="00DA0A96">
        <w:t xml:space="preserve">. at </w:t>
      </w:r>
      <w:r w:rsidRPr="00DA0A96" w:rsidR="00741729">
        <w:t>p.</w:t>
      </w:r>
      <w:r w:rsidRPr="00DA0A96" w:rsidR="003B4B0A">
        <w:t> </w:t>
      </w:r>
      <w:r w:rsidRPr="00DA0A96">
        <w:t>327, fn. 11.)</w:t>
      </w:r>
    </w:p>
    <w:p w:rsidR="00817416" w:rsidRPr="00DA0A96" w:rsidP="00DA0A96">
      <w:pPr>
        <w:tabs>
          <w:tab w:val="left" w:pos="1440"/>
        </w:tabs>
        <w:ind w:firstLine="720"/>
      </w:pPr>
      <w:r w:rsidRPr="00DA0A96">
        <w:t>We began our analysis of the failure to warn claim by noting that while section 830.8 generally immunizes liability for injuries caused by the failure to provide traffic or warning signals, the statute allow</w:t>
      </w:r>
      <w:r w:rsidRPr="00DA0A96" w:rsidR="00C056FD">
        <w:t>s</w:t>
      </w:r>
      <w:r w:rsidRPr="00DA0A96">
        <w:t xml:space="preserve"> public entity liability “if a sign was necessary to warn of a dangerous condition which would not be reasonably apparent to, and would not have been anticipated by, a person using the highway with due care.”  </w:t>
      </w:r>
      <w:r w:rsidRPr="00DA0A96" w:rsidR="00C056FD">
        <w:t>(</w:t>
      </w:r>
      <w:r w:rsidRPr="00DA0A96" w:rsidR="00C056FD">
        <w:rPr>
          <w:i/>
          <w:iCs/>
        </w:rPr>
        <w:t>Cameron, supra</w:t>
      </w:r>
      <w:r w:rsidRPr="00DA0A96" w:rsidR="00C056FD">
        <w:t>, 7</w:t>
      </w:r>
      <w:r w:rsidRPr="00DA0A96" w:rsidR="003B4B0A">
        <w:t> </w:t>
      </w:r>
      <w:r w:rsidRPr="00DA0A96" w:rsidR="00C056FD">
        <w:t>Cal.3d at p.</w:t>
      </w:r>
      <w:r w:rsidRPr="00DA0A96" w:rsidR="003B4B0A">
        <w:t> </w:t>
      </w:r>
      <w:r w:rsidRPr="00DA0A96" w:rsidR="00C056FD">
        <w:t xml:space="preserve">327.)  </w:t>
      </w:r>
      <w:r w:rsidRPr="00DA0A96">
        <w:t xml:space="preserve">We further held that plaintiffs had introduced sufficient evidence to support a finding </w:t>
      </w:r>
      <w:r w:rsidRPr="00DA0A96" w:rsidR="00347119">
        <w:t>“</w:t>
      </w:r>
      <w:r w:rsidRPr="00DA0A96" w:rsidR="00C056FD">
        <w:t>that warning signs</w:t>
      </w:r>
      <w:r w:rsidRPr="00DA0A96" w:rsidR="00FE68B6">
        <w:t>,</w:t>
      </w:r>
      <w:r w:rsidRPr="00DA0A96" w:rsidR="00C056FD">
        <w:t xml:space="preserve"> indicating the proper speed to negotiate the curve,</w:t>
      </w:r>
      <w:r w:rsidR="001473B7">
        <w:t xml:space="preserve"> </w:t>
      </w:r>
      <w:r w:rsidRPr="00DA0A96" w:rsidR="00091860">
        <w:t>. . .</w:t>
      </w:r>
      <w:r w:rsidRPr="00DA0A96" w:rsidR="003B4B0A">
        <w:t xml:space="preserve"> </w:t>
      </w:r>
      <w:r w:rsidRPr="00DA0A96" w:rsidR="00C056FD">
        <w:t xml:space="preserve">would eliminate the dangerousness from the condition of uneven </w:t>
      </w:r>
      <w:r w:rsidRPr="00DA0A96" w:rsidR="00347119">
        <w:t>[banking]</w:t>
      </w:r>
      <w:r w:rsidRPr="00DA0A96" w:rsidR="00C056FD">
        <w:t>.</w:t>
      </w:r>
      <w:r w:rsidRPr="00DA0A96" w:rsidR="00347119">
        <w:t>”  (</w:t>
      </w:r>
      <w:r w:rsidRPr="00DA0A96" w:rsidR="00347119">
        <w:rPr>
          <w:i/>
          <w:iCs/>
        </w:rPr>
        <w:t>Ibid</w:t>
      </w:r>
      <w:r w:rsidRPr="00DA0A96" w:rsidR="00347119">
        <w:t>.)</w:t>
      </w:r>
    </w:p>
    <w:p w:rsidR="008561BD" w:rsidRPr="00DA0A96" w:rsidP="00DA0A96">
      <w:pPr>
        <w:tabs>
          <w:tab w:val="left" w:pos="1440"/>
        </w:tabs>
        <w:ind w:firstLine="720"/>
      </w:pPr>
      <w:r w:rsidRPr="00DA0A96">
        <w:t xml:space="preserve">Turning to whether section 830.6’s design immunity provision </w:t>
      </w:r>
      <w:r w:rsidRPr="00DA0A96" w:rsidR="00FE68B6">
        <w:t>precluded</w:t>
      </w:r>
      <w:r w:rsidRPr="00DA0A96">
        <w:t xml:space="preserve"> </w:t>
      </w:r>
      <w:r w:rsidRPr="00DA0A96" w:rsidR="00185249">
        <w:t xml:space="preserve">plaintiffs’ </w:t>
      </w:r>
      <w:r w:rsidRPr="00DA0A96">
        <w:t xml:space="preserve">claim for failure to warn, </w:t>
      </w:r>
      <w:r w:rsidRPr="00DA0A96" w:rsidR="00C23AEF">
        <w:t>we summarized</w:t>
      </w:r>
      <w:r w:rsidRPr="00DA0A96" w:rsidR="00E15A31">
        <w:rPr>
          <w:i/>
          <w:iCs/>
        </w:rPr>
        <w:t xml:space="preserve"> Flournoy</w:t>
      </w:r>
      <w:r w:rsidRPr="00DA0A96">
        <w:t xml:space="preserve"> </w:t>
      </w:r>
      <w:r w:rsidRPr="00DA0A96" w:rsidR="00C23AEF">
        <w:t xml:space="preserve">at length, </w:t>
      </w:r>
      <w:r w:rsidRPr="00DA0A96" w:rsidR="005E4DFF">
        <w:t xml:space="preserve">and </w:t>
      </w:r>
      <w:r w:rsidRPr="00DA0A96" w:rsidR="00FE68B6">
        <w:t xml:space="preserve">in particular </w:t>
      </w:r>
      <w:r w:rsidRPr="00DA0A96">
        <w:t>its discussion of active versus passive negligence.  (</w:t>
      </w:r>
      <w:r w:rsidRPr="00DA0A96">
        <w:rPr>
          <w:i/>
          <w:iCs/>
        </w:rPr>
        <w:t>Cameron, supra</w:t>
      </w:r>
      <w:r w:rsidRPr="00DA0A96">
        <w:t>, 7</w:t>
      </w:r>
      <w:r w:rsidRPr="00DA0A96" w:rsidR="003B4B0A">
        <w:t> </w:t>
      </w:r>
      <w:r w:rsidRPr="00DA0A96">
        <w:t>Cal.3d at pp.</w:t>
      </w:r>
      <w:r w:rsidRPr="00DA0A96" w:rsidR="003B4B0A">
        <w:t> </w:t>
      </w:r>
      <w:r w:rsidRPr="00DA0A96">
        <w:t xml:space="preserve">327–328.)  We ultimately “[a]gree[d] with the reasoning and conclusions of </w:t>
      </w:r>
      <w:r w:rsidRPr="00DA0A96">
        <w:rPr>
          <w:i/>
          <w:iCs/>
        </w:rPr>
        <w:t>Flournoy</w:t>
      </w:r>
      <w:r w:rsidRPr="00DA0A96">
        <w:t>” (</w:t>
      </w:r>
      <w:r w:rsidRPr="00DA0A96">
        <w:rPr>
          <w:i/>
          <w:iCs/>
        </w:rPr>
        <w:t>id</w:t>
      </w:r>
      <w:r w:rsidRPr="00DA0A96">
        <w:t>. at p.</w:t>
      </w:r>
      <w:r w:rsidRPr="00DA0A96" w:rsidR="00746C1E">
        <w:t> </w:t>
      </w:r>
      <w:r w:rsidRPr="00DA0A96">
        <w:t>328), and held that, as in that case, plaintiffs had alleged “active negligence .</w:t>
      </w:r>
      <w:r w:rsidRPr="00DA0A96" w:rsidR="00746C1E">
        <w:t> </w:t>
      </w:r>
      <w:r w:rsidRPr="00DA0A96">
        <w:t>.</w:t>
      </w:r>
      <w:r w:rsidRPr="00DA0A96" w:rsidR="00746C1E">
        <w:t> </w:t>
      </w:r>
      <w:r w:rsidRPr="00DA0A96">
        <w:t xml:space="preserve">. (the creation of the dangerous condition, namely </w:t>
      </w:r>
      <w:r w:rsidRPr="00DA0A96" w:rsidR="003177AC">
        <w:t>[improper banking]</w:t>
      </w:r>
      <w:r w:rsidRPr="00DA0A96">
        <w:t xml:space="preserve">) and passive negligence (failure to warn of the dangerous condition) of </w:t>
      </w:r>
      <w:r w:rsidRPr="00DA0A96" w:rsidR="00C23AEF">
        <w:t>.</w:t>
      </w:r>
      <w:r w:rsidRPr="00DA0A96" w:rsidR="00746C1E">
        <w:t> </w:t>
      </w:r>
      <w:r w:rsidRPr="00DA0A96" w:rsidR="00C23AEF">
        <w:t>.</w:t>
      </w:r>
      <w:r w:rsidRPr="00DA0A96" w:rsidR="00746C1E">
        <w:t> </w:t>
      </w:r>
      <w:r w:rsidRPr="00DA0A96" w:rsidR="00C23AEF">
        <w:t xml:space="preserve">. </w:t>
      </w:r>
      <w:r w:rsidRPr="00DA0A96">
        <w:t>the state.”  (</w:t>
      </w:r>
      <w:r w:rsidRPr="00DA0A96" w:rsidR="003177AC">
        <w:rPr>
          <w:i/>
          <w:iCs/>
        </w:rPr>
        <w:t>Ibid</w:t>
      </w:r>
      <w:r w:rsidRPr="00DA0A96">
        <w:t xml:space="preserve">.)  We further held that, “as in </w:t>
      </w:r>
      <w:r w:rsidRPr="00DA0A96">
        <w:rPr>
          <w:i/>
          <w:iCs/>
        </w:rPr>
        <w:t>Flournoy</w:t>
      </w:r>
      <w:r w:rsidRPr="00DA0A96">
        <w:t>, the passive negligence alleged is independent of the negligent design</w:t>
      </w:r>
      <w:r w:rsidRPr="00DA0A96" w:rsidR="003177AC">
        <w:t xml:space="preserve">” and that </w:t>
      </w:r>
      <w:r w:rsidRPr="00DA0A96">
        <w:t xml:space="preserve">plaintiffs </w:t>
      </w:r>
      <w:r w:rsidRPr="00DA0A96" w:rsidR="003177AC">
        <w:t>were therefore “</w:t>
      </w:r>
      <w:r w:rsidRPr="00DA0A96">
        <w:t>entitled to go to the jury on the passive negligence theory.”  (</w:t>
      </w:r>
      <w:r w:rsidRPr="00DA0A96">
        <w:rPr>
          <w:i/>
          <w:iCs/>
        </w:rPr>
        <w:t>Id</w:t>
      </w:r>
      <w:r w:rsidRPr="00DA0A96">
        <w:t>. at pp.</w:t>
      </w:r>
      <w:r w:rsidRPr="00DA0A96" w:rsidR="00746C1E">
        <w:t> </w:t>
      </w:r>
      <w:r w:rsidRPr="00DA0A96">
        <w:t>328–329.)</w:t>
      </w:r>
    </w:p>
    <w:p w:rsidR="00CA3AC8" w:rsidRPr="00DA0A96" w:rsidP="00DA0A96">
      <w:pPr>
        <w:tabs>
          <w:tab w:val="left" w:pos="1440"/>
        </w:tabs>
        <w:ind w:firstLine="720"/>
      </w:pPr>
      <w:r w:rsidRPr="00DA0A96">
        <w:t xml:space="preserve">We then </w:t>
      </w:r>
      <w:r w:rsidRPr="00DA0A96" w:rsidR="003177AC">
        <w:t>“recapitulate[d]”</w:t>
      </w:r>
      <w:r w:rsidRPr="00DA0A96">
        <w:t xml:space="preserve"> our holding, </w:t>
      </w:r>
      <w:r w:rsidRPr="00DA0A96" w:rsidR="003177AC">
        <w:t xml:space="preserve">explaining </w:t>
      </w:r>
      <w:r w:rsidRPr="00DA0A96">
        <w:t>that “where the state is immune from liability for injuries caused by a dangerous condition of its property because the dangerous condition was created as a result of a plan or design which conferred immunity under section 830.6, the state may nevertheless be liable for failure to warn of this dangerous condition where the failure to warn is negligent and is an independent, separate, concurring cause of the accident.”  (</w:t>
      </w:r>
      <w:r w:rsidRPr="00DA0A96" w:rsidR="00022F0C">
        <w:rPr>
          <w:i/>
          <w:iCs/>
        </w:rPr>
        <w:t>Cameron, supra</w:t>
      </w:r>
      <w:r w:rsidRPr="00DA0A96" w:rsidR="00022F0C">
        <w:t>, 7 Cal.3d at p. 329</w:t>
      </w:r>
      <w:r w:rsidR="00022F0C">
        <w:t>.</w:t>
      </w:r>
      <w:r w:rsidRPr="00DA0A96">
        <w:t>)</w:t>
      </w:r>
    </w:p>
    <w:p w:rsidR="004C3D0B" w:rsidRPr="00DA0A96" w:rsidP="00DA0A96">
      <w:pPr>
        <w:pStyle w:val="Heading2"/>
      </w:pPr>
      <w:r w:rsidRPr="00DA0A96">
        <w:t>C.</w:t>
      </w:r>
      <w:r w:rsidRPr="00DA0A96">
        <w:tab/>
      </w:r>
      <w:r w:rsidR="002E2754">
        <w:t>Analysis</w:t>
      </w:r>
      <w:r w:rsidRPr="00DA0A96">
        <w:tab/>
      </w:r>
    </w:p>
    <w:p w:rsidR="008258F2" w:rsidRPr="00DA0A96" w:rsidP="00DA0A96">
      <w:pPr>
        <w:tabs>
          <w:tab w:val="left" w:pos="1440"/>
        </w:tabs>
        <w:ind w:firstLine="720"/>
      </w:pPr>
      <w:r w:rsidRPr="00DA0A96">
        <w:t xml:space="preserve">To resolve the </w:t>
      </w:r>
      <w:r w:rsidRPr="00DA0A96" w:rsidR="00750A4A">
        <w:t xml:space="preserve">legal question </w:t>
      </w:r>
      <w:r w:rsidRPr="00DA0A96">
        <w:t xml:space="preserve">presented in this case, we must answer </w:t>
      </w:r>
      <w:r w:rsidRPr="00DA0A96" w:rsidR="00CF4748">
        <w:t xml:space="preserve">three questions involving </w:t>
      </w:r>
      <w:r w:rsidRPr="00DA0A96" w:rsidR="00CF4748">
        <w:rPr>
          <w:i/>
          <w:iCs/>
        </w:rPr>
        <w:t>Cameron</w:t>
      </w:r>
      <w:r w:rsidRPr="00DA0A96" w:rsidR="00CF4748">
        <w:t xml:space="preserve">.  First, </w:t>
      </w:r>
      <w:r w:rsidRPr="00DA0A96" w:rsidR="00CE7955">
        <w:t xml:space="preserve">we must determine </w:t>
      </w:r>
      <w:r w:rsidRPr="00DA0A96">
        <w:t xml:space="preserve">whether the </w:t>
      </w:r>
      <w:r w:rsidRPr="00DA0A96" w:rsidR="000C603C">
        <w:t>Court of Appeal</w:t>
      </w:r>
      <w:r w:rsidRPr="00DA0A96">
        <w:t xml:space="preserve"> correctly interpreted </w:t>
      </w:r>
      <w:r w:rsidRPr="00DA0A96" w:rsidR="000C603C">
        <w:rPr>
          <w:i/>
          <w:iCs/>
        </w:rPr>
        <w:t>Cameron</w:t>
      </w:r>
      <w:r w:rsidRPr="00DA0A96">
        <w:t xml:space="preserve"> as holding that “</w:t>
      </w:r>
      <w:r w:rsidRPr="00DA0A96">
        <w:t xml:space="preserve">design immunity for a dangerous condition </w:t>
      </w:r>
      <w:r w:rsidRPr="00DA0A96">
        <w:t>[does</w:t>
      </w:r>
      <w:r w:rsidRPr="00DA0A96" w:rsidR="00010EA9">
        <w:t>]</w:t>
      </w:r>
      <w:r w:rsidRPr="00DA0A96">
        <w:t xml:space="preserve"> not </w:t>
      </w:r>
      <w:r w:rsidRPr="00DA0A96" w:rsidR="00010EA9">
        <w:t>necessarily</w:t>
      </w:r>
      <w:r w:rsidRPr="00DA0A96">
        <w:t xml:space="preserve"> </w:t>
      </w:r>
      <w:r w:rsidRPr="00DA0A96">
        <w:t xml:space="preserve">shield the state from liability for a failure to warn of the same dangerous condition.”  </w:t>
      </w:r>
      <w:r w:rsidRPr="00DA0A96" w:rsidR="00605E5C">
        <w:t>(</w:t>
      </w:r>
      <w:r w:rsidRPr="00DA0A96" w:rsidR="00605E5C">
        <w:rPr>
          <w:i/>
          <w:iCs/>
        </w:rPr>
        <w:t>Tansavatdi, supra</w:t>
      </w:r>
      <w:r w:rsidRPr="00DA0A96" w:rsidR="00605E5C">
        <w:t>, 60</w:t>
      </w:r>
      <w:r w:rsidRPr="00DA0A96" w:rsidR="00DE5496">
        <w:t> </w:t>
      </w:r>
      <w:r w:rsidRPr="00DA0A96" w:rsidR="00605E5C">
        <w:t xml:space="preserve">Cal.App.5th at </w:t>
      </w:r>
      <w:r w:rsidRPr="00DA0A96" w:rsidR="000516DF">
        <w:t>p.</w:t>
      </w:r>
      <w:r w:rsidRPr="00DA0A96" w:rsidR="00DE5496">
        <w:t> </w:t>
      </w:r>
      <w:r w:rsidRPr="00DA0A96" w:rsidR="00605E5C">
        <w:t xml:space="preserve">442.)  </w:t>
      </w:r>
      <w:r w:rsidRPr="00DA0A96">
        <w:t xml:space="preserve">Second, </w:t>
      </w:r>
      <w:r w:rsidRPr="00DA0A96">
        <w:t xml:space="preserve">assuming the interpretation was correct, </w:t>
      </w:r>
      <w:r w:rsidRPr="00DA0A96">
        <w:t xml:space="preserve">we must address the City’s assertion that </w:t>
      </w:r>
      <w:r w:rsidRPr="00DA0A96">
        <w:rPr>
          <w:i/>
          <w:iCs/>
        </w:rPr>
        <w:t>Cameron</w:t>
      </w:r>
      <w:r w:rsidRPr="001F5265">
        <w:t>’s</w:t>
      </w:r>
      <w:r w:rsidRPr="00DA0A96">
        <w:t xml:space="preserve"> </w:t>
      </w:r>
      <w:r w:rsidRPr="00DA0A96">
        <w:t xml:space="preserve">analysis </w:t>
      </w:r>
      <w:r w:rsidRPr="00DA0A96">
        <w:t xml:space="preserve">regarding failure to warn claims does not constitute binding </w:t>
      </w:r>
      <w:r w:rsidRPr="00DA0A96">
        <w:t xml:space="preserve">precedent </w:t>
      </w:r>
      <w:r w:rsidRPr="00DA0A96">
        <w:t xml:space="preserve">or has otherwise been impliedly </w:t>
      </w:r>
      <w:r w:rsidRPr="00DA0A96">
        <w:t xml:space="preserve">displaced </w:t>
      </w:r>
      <w:r w:rsidRPr="00DA0A96">
        <w:t xml:space="preserve">by subsequent events.  </w:t>
      </w:r>
      <w:r w:rsidRPr="00DA0A96">
        <w:t>And t</w:t>
      </w:r>
      <w:r w:rsidRPr="00DA0A96">
        <w:t xml:space="preserve">hird, to the extent </w:t>
      </w:r>
      <w:r w:rsidRPr="00DA0A96" w:rsidR="00750A4A">
        <w:t xml:space="preserve">the Court of Appeal properly interpreted </w:t>
      </w:r>
      <w:r w:rsidRPr="00DA0A96">
        <w:rPr>
          <w:i/>
          <w:iCs/>
        </w:rPr>
        <w:t>Cameron</w:t>
      </w:r>
      <w:r w:rsidRPr="00DA0A96">
        <w:t xml:space="preserve"> </w:t>
      </w:r>
      <w:r w:rsidRPr="00DA0A96" w:rsidR="00F07705">
        <w:t xml:space="preserve">and the decision is </w:t>
      </w:r>
      <w:r w:rsidRPr="00DA0A96">
        <w:t xml:space="preserve">binding </w:t>
      </w:r>
      <w:r w:rsidRPr="00DA0A96" w:rsidR="00F07705">
        <w:t>precedent</w:t>
      </w:r>
      <w:r w:rsidRPr="00DA0A96">
        <w:t xml:space="preserve">, we must decide whether there </w:t>
      </w:r>
      <w:r w:rsidRPr="00DA0A96" w:rsidR="00F07705">
        <w:t xml:space="preserve">is </w:t>
      </w:r>
      <w:r w:rsidRPr="00DA0A96">
        <w:t>an adequate justification to depart from the doctrine of stare decisis</w:t>
      </w:r>
      <w:r w:rsidRPr="00DA0A96">
        <w:t xml:space="preserve"> and overrule </w:t>
      </w:r>
      <w:r w:rsidRPr="00DA0A96" w:rsidR="00B94689">
        <w:t>our</w:t>
      </w:r>
      <w:r w:rsidRPr="00DA0A96">
        <w:t xml:space="preserve"> </w:t>
      </w:r>
      <w:r w:rsidRPr="00DA0A96" w:rsidR="00CA4695">
        <w:t>prior holding</w:t>
      </w:r>
      <w:r w:rsidRPr="00DA0A96">
        <w:t xml:space="preserve">.  </w:t>
      </w:r>
    </w:p>
    <w:p w:rsidR="008E3401" w:rsidRPr="00DA0A96" w:rsidP="00DA0A96">
      <w:pPr>
        <w:pStyle w:val="Heading3"/>
        <w:numPr>
          <w:ilvl w:val="0"/>
          <w:numId w:val="6"/>
        </w:numPr>
        <w:ind w:left="1584" w:hanging="432"/>
      </w:pPr>
      <w:r w:rsidRPr="00DA0A96">
        <w:t xml:space="preserve">The breadth of </w:t>
      </w:r>
      <w:r w:rsidRPr="001F5265" w:rsidR="006A74CC">
        <w:rPr>
          <w:i w:val="0"/>
          <w:iCs/>
        </w:rPr>
        <w:t>Cameron</w:t>
      </w:r>
      <w:r w:rsidRPr="00DA0A96" w:rsidR="004C45FA">
        <w:t>’s holding</w:t>
      </w:r>
    </w:p>
    <w:p w:rsidR="006A74CC" w:rsidRPr="00DA0A96" w:rsidP="00DA0A96">
      <w:pPr>
        <w:pStyle w:val="Heading4"/>
      </w:pPr>
      <w:r w:rsidRPr="00DA0A96">
        <w:t>a.</w:t>
      </w:r>
      <w:r w:rsidRPr="00DA0A96" w:rsidR="004C45FA">
        <w:t xml:space="preserve"> </w:t>
      </w:r>
      <w:r w:rsidRPr="00DA0A96">
        <w:t xml:space="preserve"> </w:t>
      </w:r>
      <w:r w:rsidRPr="00DA0A96">
        <w:t xml:space="preserve">The Court of Appeal correctly interpreted </w:t>
      </w:r>
      <w:r w:rsidRPr="001F5265">
        <w:rPr>
          <w:i w:val="0"/>
          <w:iCs/>
        </w:rPr>
        <w:t>Cameron</w:t>
      </w:r>
      <w:r w:rsidRPr="00DA0A96">
        <w:t xml:space="preserve"> </w:t>
      </w:r>
    </w:p>
    <w:p w:rsidR="0093650B" w:rsidRPr="00DA0A96" w:rsidP="00DA0A96">
      <w:pPr>
        <w:tabs>
          <w:tab w:val="left" w:pos="1440"/>
        </w:tabs>
        <w:ind w:firstLine="720"/>
      </w:pPr>
      <w:r w:rsidRPr="00DA0A96">
        <w:t xml:space="preserve">The first </w:t>
      </w:r>
      <w:r w:rsidRPr="00DA0A96" w:rsidR="00B94689">
        <w:t>question</w:t>
      </w:r>
      <w:r w:rsidRPr="00DA0A96">
        <w:t xml:space="preserve"> we must resolve is whether the Court of Appeal</w:t>
      </w:r>
      <w:r w:rsidRPr="00DA0A96" w:rsidR="00C152AB">
        <w:t xml:space="preserve"> </w:t>
      </w:r>
      <w:r w:rsidRPr="00DA0A96">
        <w:t xml:space="preserve">correctly interpreted </w:t>
      </w:r>
      <w:r w:rsidRPr="00DA0A96">
        <w:rPr>
          <w:i/>
          <w:iCs/>
        </w:rPr>
        <w:t>Cameron</w:t>
      </w:r>
      <w:r w:rsidRPr="00DA0A96" w:rsidR="00C152AB">
        <w:t xml:space="preserve"> as permitting failure to warn claims that involve an immunized element of a design decision.</w:t>
      </w:r>
      <w:r w:rsidRPr="00DA0A96">
        <w:t xml:space="preserve"> </w:t>
      </w:r>
      <w:r w:rsidRPr="00DA0A96">
        <w:t xml:space="preserve"> Several other </w:t>
      </w:r>
      <w:r w:rsidRPr="00DA0A96" w:rsidR="002C5CF3">
        <w:t xml:space="preserve">courts </w:t>
      </w:r>
      <w:r w:rsidRPr="00DA0A96">
        <w:t xml:space="preserve">have adopted a similar reading of </w:t>
      </w:r>
      <w:r w:rsidRPr="00DA0A96">
        <w:rPr>
          <w:i/>
          <w:iCs/>
        </w:rPr>
        <w:t>Cameron</w:t>
      </w:r>
      <w:r w:rsidRPr="00DA0A96">
        <w:t xml:space="preserve">.  (See </w:t>
      </w:r>
      <w:r w:rsidRPr="00DA0A96">
        <w:rPr>
          <w:i/>
          <w:iCs/>
        </w:rPr>
        <w:t>Grenier v. City of Irwindale</w:t>
      </w:r>
      <w:r w:rsidRPr="00DA0A96">
        <w:t xml:space="preserve"> (1997) 57</w:t>
      </w:r>
      <w:r w:rsidRPr="00DA0A96" w:rsidR="00F16C10">
        <w:t> </w:t>
      </w:r>
      <w:r w:rsidRPr="00DA0A96">
        <w:t xml:space="preserve">Cal.App.4th 931, 945 [“[t]he failure to warn of a trap can constitute independent negligence, regardless of design immunity”]; </w:t>
      </w:r>
      <w:r w:rsidRPr="00DA0A96">
        <w:rPr>
          <w:i/>
          <w:iCs/>
        </w:rPr>
        <w:t>Hefner v. County of Sacramento</w:t>
      </w:r>
      <w:r w:rsidRPr="00DA0A96">
        <w:t xml:space="preserve"> (1988) 197</w:t>
      </w:r>
      <w:r w:rsidRPr="00DA0A96" w:rsidR="00F16C10">
        <w:t> </w:t>
      </w:r>
      <w:r w:rsidRPr="00DA0A96">
        <w:t xml:space="preserve">Cal.App.3d 1007, 1017, abrogated on another ground in </w:t>
      </w:r>
      <w:r w:rsidRPr="00DA0A96">
        <w:rPr>
          <w:i/>
          <w:iCs/>
        </w:rPr>
        <w:t>Cornette, supra</w:t>
      </w:r>
      <w:r w:rsidRPr="00DA0A96">
        <w:t>, 26</w:t>
      </w:r>
      <w:r w:rsidRPr="00DA0A96" w:rsidR="005C5101">
        <w:t> </w:t>
      </w:r>
      <w:r w:rsidRPr="00DA0A96">
        <w:t xml:space="preserve">Cal.4th 63; </w:t>
      </w:r>
      <w:r w:rsidRPr="00DA0A96">
        <w:rPr>
          <w:i/>
          <w:iCs/>
        </w:rPr>
        <w:t>Levine v. City of Los Angeles</w:t>
      </w:r>
      <w:r w:rsidRPr="00DA0A96">
        <w:t xml:space="preserve"> (1977) 68</w:t>
      </w:r>
      <w:r w:rsidRPr="00DA0A96" w:rsidR="00F16C10">
        <w:t> </w:t>
      </w:r>
      <w:r w:rsidRPr="00DA0A96">
        <w:t xml:space="preserve">Cal.App.3d 481, 488; </w:t>
      </w:r>
      <w:r w:rsidRPr="00DA0A96">
        <w:rPr>
          <w:i/>
          <w:iCs/>
        </w:rPr>
        <w:t>Anderson v. City of Thousand Oaks</w:t>
      </w:r>
      <w:r w:rsidRPr="00DA0A96">
        <w:t xml:space="preserve"> (1976) 65</w:t>
      </w:r>
      <w:r w:rsidRPr="00DA0A96" w:rsidR="00F16C10">
        <w:t> </w:t>
      </w:r>
      <w:r w:rsidRPr="00DA0A96">
        <w:t>Cal.App.3d 82, 91</w:t>
      </w:r>
      <w:r w:rsidR="00FA2238">
        <w:t xml:space="preserve"> (</w:t>
      </w:r>
      <w:r w:rsidRPr="00FA2238" w:rsidR="00FA2238">
        <w:rPr>
          <w:i/>
          <w:iCs/>
        </w:rPr>
        <w:t>Anderson</w:t>
      </w:r>
      <w:r w:rsidR="00FA2238">
        <w:t>)</w:t>
      </w:r>
      <w:r w:rsidRPr="00DA0A96">
        <w:t xml:space="preserve"> [“In spite of respondent</w:t>
      </w:r>
      <w:r w:rsidRPr="00DA0A96" w:rsidR="00F07705">
        <w:t>’</w:t>
      </w:r>
      <w:r w:rsidRPr="00DA0A96">
        <w:t>s immunity for a defectively designed roadway, a second independent ground of liability under subdivision (b) of Government Code section 835 exists for its failure to warn of the dangerous condition if it had actual or constructive notice of such a condition”]</w:t>
      </w:r>
      <w:r w:rsidRPr="00DA0A96" w:rsidR="00E62569">
        <w:t xml:space="preserve">; see also </w:t>
      </w:r>
      <w:r w:rsidRPr="00D0512E" w:rsidR="00E62569">
        <w:t>Va</w:t>
      </w:r>
      <w:r w:rsidRPr="00D0512E" w:rsidR="00BE7AC9">
        <w:t>n</w:t>
      </w:r>
      <w:r w:rsidRPr="00D0512E" w:rsidR="00E62569">
        <w:t xml:space="preserve"> Alstyne, </w:t>
      </w:r>
      <w:r w:rsidRPr="00D0512E" w:rsidR="00BE7AC9">
        <w:rPr>
          <w:i/>
          <w:iCs/>
        </w:rPr>
        <w:t>supra</w:t>
      </w:r>
      <w:r w:rsidRPr="00D0512E" w:rsidR="00BE7AC9">
        <w:t xml:space="preserve">, </w:t>
      </w:r>
      <w:r w:rsidRPr="00D0512E" w:rsidR="00E62569">
        <w:t>§ 3</w:t>
      </w:r>
      <w:r w:rsidR="00D0512E">
        <w:t>.</w:t>
      </w:r>
      <w:r w:rsidRPr="00D0512E" w:rsidR="00E62569">
        <w:t>40</w:t>
      </w:r>
      <w:r w:rsidRPr="00D0512E" w:rsidR="00BE7AC9">
        <w:t xml:space="preserve"> at </w:t>
      </w:r>
      <w:r w:rsidRPr="00D0512E" w:rsidR="00E62569">
        <w:t>p.</w:t>
      </w:r>
      <w:r w:rsidRPr="00D0512E" w:rsidR="00F16C10">
        <w:t> </w:t>
      </w:r>
      <w:r w:rsidRPr="00D0512E" w:rsidR="00E62569">
        <w:t>253</w:t>
      </w:r>
      <w:r w:rsidRPr="00DA0A96" w:rsidR="00E62569">
        <w:t xml:space="preserve"> [</w:t>
      </w:r>
      <w:r w:rsidRPr="00DA0A96" w:rsidR="00E62569">
        <w:rPr>
          <w:i/>
          <w:iCs/>
        </w:rPr>
        <w:t>Cameron</w:t>
      </w:r>
      <w:r w:rsidRPr="00DA0A96" w:rsidR="00E62569">
        <w:t xml:space="preserve"> and other authorities support the proposition that “even if the source of the danger is inherent in the approved plan or design of the improvement, and therefore appears to be nonactionable under</w:t>
      </w:r>
      <w:r w:rsidR="00D0512E">
        <w:t xml:space="preserve"> the</w:t>
      </w:r>
      <w:r w:rsidRPr="00DA0A96" w:rsidR="00E62569">
        <w:t xml:space="preserve"> ‘design immunity,’ the entity’s failure to pose adequate warning signs may result in liability”]</w:t>
      </w:r>
      <w:r w:rsidRPr="00DA0A96">
        <w:t>.)</w:t>
      </w:r>
    </w:p>
    <w:p w:rsidR="000516DF" w:rsidRPr="00DA0A96" w:rsidP="00DA0A96">
      <w:pPr>
        <w:tabs>
          <w:tab w:val="left" w:pos="1440"/>
        </w:tabs>
        <w:ind w:firstLine="720"/>
      </w:pPr>
      <w:r w:rsidRPr="00DA0A96">
        <w:t xml:space="preserve">The City, however, argues </w:t>
      </w:r>
      <w:r w:rsidRPr="00DA0A96" w:rsidR="002C5CF3">
        <w:t xml:space="preserve">we should follow the analysis of </w:t>
      </w:r>
      <w:r w:rsidRPr="00DA0A96" w:rsidR="002C5CF3">
        <w:rPr>
          <w:i/>
          <w:iCs/>
        </w:rPr>
        <w:t>Weinstein v. Department of Transportation</w:t>
      </w:r>
      <w:r w:rsidRPr="00DA0A96" w:rsidR="002C5CF3">
        <w:t xml:space="preserve"> (2006) 139</w:t>
      </w:r>
      <w:r w:rsidRPr="00DA0A96" w:rsidR="00F16C10">
        <w:t> </w:t>
      </w:r>
      <w:r w:rsidRPr="00DA0A96" w:rsidR="002C5CF3">
        <w:t>Cal.App.4th 52 (</w:t>
      </w:r>
      <w:r w:rsidRPr="00DA0A96" w:rsidR="002C5CF3">
        <w:rPr>
          <w:i/>
          <w:iCs/>
        </w:rPr>
        <w:t>Weinstein</w:t>
      </w:r>
      <w:r w:rsidRPr="00DA0A96" w:rsidR="002C5CF3">
        <w:t xml:space="preserve">), which adopted a substantially narrower </w:t>
      </w:r>
      <w:r w:rsidRPr="00DA0A96" w:rsidR="007F1F79">
        <w:t>interpretation</w:t>
      </w:r>
      <w:r w:rsidRPr="00DA0A96" w:rsidR="002C5CF3">
        <w:t xml:space="preserve"> of </w:t>
      </w:r>
      <w:r w:rsidRPr="00DA0A96" w:rsidR="002C5CF3">
        <w:rPr>
          <w:i/>
          <w:iCs/>
        </w:rPr>
        <w:t>Cameron</w:t>
      </w:r>
      <w:r w:rsidRPr="00DA0A96" w:rsidR="002C5CF3">
        <w:t xml:space="preserve">.  </w:t>
      </w:r>
      <w:r w:rsidRPr="00DA0A96" w:rsidR="00B94689">
        <w:t>The p</w:t>
      </w:r>
      <w:r w:rsidRPr="00DA0A96" w:rsidR="002C5CF3">
        <w:t>laintiff</w:t>
      </w:r>
      <w:r w:rsidRPr="00DA0A96" w:rsidR="007E046C">
        <w:t>s</w:t>
      </w:r>
      <w:r w:rsidRPr="00DA0A96" w:rsidR="002C5CF3">
        <w:t xml:space="preserve"> in </w:t>
      </w:r>
      <w:r w:rsidRPr="00DA0A96" w:rsidR="007E046C">
        <w:rPr>
          <w:i/>
          <w:iCs/>
        </w:rPr>
        <w:t>Weinste</w:t>
      </w:r>
      <w:r w:rsidRPr="00DA0A96" w:rsidR="003E3A12">
        <w:rPr>
          <w:i/>
          <w:iCs/>
        </w:rPr>
        <w:t>i</w:t>
      </w:r>
      <w:r w:rsidRPr="00DA0A96" w:rsidR="007E046C">
        <w:rPr>
          <w:i/>
          <w:iCs/>
        </w:rPr>
        <w:t>n</w:t>
      </w:r>
      <w:r w:rsidRPr="00DA0A96" w:rsidR="002C5CF3">
        <w:t xml:space="preserve"> alleged </w:t>
      </w:r>
      <w:r w:rsidRPr="00DA0A96" w:rsidR="00F07705">
        <w:t>that a freeway “</w:t>
      </w:r>
      <w:r w:rsidR="00CA7465">
        <w:t> ‘</w:t>
      </w:r>
      <w:r w:rsidRPr="00DA0A96" w:rsidR="00F07705">
        <w:t>lane drop</w:t>
      </w:r>
      <w:r w:rsidR="00CA7465">
        <w:t>’ </w:t>
      </w:r>
      <w:r w:rsidRPr="00DA0A96" w:rsidR="00F07705">
        <w:t xml:space="preserve">” (the discontinuation of a lane) </w:t>
      </w:r>
      <w:r w:rsidRPr="00DA0A96" w:rsidR="002C5CF3">
        <w:t xml:space="preserve">created a dangerous </w:t>
      </w:r>
      <w:r w:rsidRPr="00DA0A96" w:rsidR="007E046C">
        <w:t xml:space="preserve">traffic </w:t>
      </w:r>
      <w:r w:rsidRPr="00DA0A96" w:rsidR="002C5CF3">
        <w:t xml:space="preserve">condition </w:t>
      </w:r>
      <w:r w:rsidRPr="00DA0A96" w:rsidR="006A6FB3">
        <w:t>and that defendant had failed to</w:t>
      </w:r>
      <w:r w:rsidRPr="00DA0A96" w:rsidR="007E046C">
        <w:t xml:space="preserve"> properly</w:t>
      </w:r>
      <w:r w:rsidRPr="00DA0A96" w:rsidR="006A6FB3">
        <w:t xml:space="preserve"> warn of that condition</w:t>
      </w:r>
      <w:r w:rsidRPr="00DA0A96" w:rsidR="002C5CF3">
        <w:t xml:space="preserve">.  </w:t>
      </w:r>
      <w:r w:rsidR="00CA7465">
        <w:t>(</w:t>
      </w:r>
      <w:r w:rsidR="00CA7465">
        <w:rPr>
          <w:i/>
          <w:iCs/>
        </w:rPr>
        <w:t>Id.</w:t>
      </w:r>
      <w:r w:rsidR="00CA7465">
        <w:t xml:space="preserve"> at p. 54.)  </w:t>
      </w:r>
      <w:r w:rsidRPr="00DA0A96" w:rsidR="002C5CF3">
        <w:t>The trial court granted summary judgment based on design immunity</w:t>
      </w:r>
      <w:r w:rsidRPr="00DA0A96" w:rsidR="006A6FB3">
        <w:t xml:space="preserve">.  </w:t>
      </w:r>
      <w:r w:rsidRPr="00DA0A96" w:rsidR="002C5CF3">
        <w:t>On appeal, the court rejected plaintiffs</w:t>
      </w:r>
      <w:r w:rsidRPr="00DA0A96" w:rsidR="007E046C">
        <w:t>’</w:t>
      </w:r>
      <w:r w:rsidRPr="00DA0A96" w:rsidR="002C5CF3">
        <w:t xml:space="preserve"> contention that “defendant’s design immunity defense did not bar them from recovering for defendant’s failure to post” sufficient warning</w:t>
      </w:r>
      <w:r w:rsidRPr="00DA0A96" w:rsidR="007F1F79">
        <w:t>s</w:t>
      </w:r>
      <w:r w:rsidRPr="00DA0A96" w:rsidR="002C5CF3">
        <w:t xml:space="preserve"> about the lane drop.  (</w:t>
      </w:r>
      <w:r w:rsidR="00BB4B89">
        <w:rPr>
          <w:i/>
          <w:iCs/>
        </w:rPr>
        <w:t>Id.</w:t>
      </w:r>
      <w:r w:rsidRPr="00DA0A96" w:rsidR="002C5CF3">
        <w:rPr>
          <w:i/>
          <w:iCs/>
        </w:rPr>
        <w:t xml:space="preserve"> </w:t>
      </w:r>
      <w:r w:rsidRPr="00DA0A96" w:rsidR="002C5CF3">
        <w:t>at p.</w:t>
      </w:r>
      <w:r w:rsidRPr="00DA0A96" w:rsidR="005C287B">
        <w:t> </w:t>
      </w:r>
      <w:r w:rsidRPr="00DA0A96" w:rsidR="002C5CF3">
        <w:t xml:space="preserve">61.)  The </w:t>
      </w:r>
      <w:r w:rsidRPr="00DA0A96" w:rsidR="00BE7AC9">
        <w:t xml:space="preserve">appellate </w:t>
      </w:r>
      <w:r w:rsidRPr="00DA0A96" w:rsidR="002C5CF3">
        <w:t>court explained that “</w:t>
      </w:r>
      <w:r w:rsidRPr="00DA0A96" w:rsidR="007E046C">
        <w:t> </w:t>
      </w:r>
      <w:r w:rsidRPr="00DA0A96" w:rsidR="002C5CF3">
        <w:t xml:space="preserve">‘[i]t would be illogical to hold that a public entity immune from liability because the design was deemed reasonably adoptable, could then be held liable for failing to warn that the design was dangerous.’ </w:t>
      </w:r>
      <w:r w:rsidRPr="00DA0A96" w:rsidR="009642BB">
        <w:t xml:space="preserve"> </w:t>
      </w:r>
      <w:r w:rsidRPr="00DA0A96" w:rsidR="002C5CF3">
        <w:t>[Citation.]  Since defendant could not be held liable for these aspects of the roadway’s design as dangerous conditions, it could not be held liable for failing to warn of these same aspects.”  (</w:t>
      </w:r>
      <w:r w:rsidRPr="00DA0A96" w:rsidR="002C5CF3">
        <w:rPr>
          <w:i/>
          <w:iCs/>
        </w:rPr>
        <w:t>Ibid</w:t>
      </w:r>
      <w:r w:rsidRPr="00DA0A96" w:rsidR="002C5CF3">
        <w:t xml:space="preserve">.) </w:t>
      </w:r>
      <w:r w:rsidRPr="00DA0A96" w:rsidR="006A6FB3">
        <w:t xml:space="preserve"> </w:t>
      </w:r>
      <w:r w:rsidRPr="00DA0A96" w:rsidR="002C5CF3">
        <w:rPr>
          <w:i/>
          <w:iCs/>
        </w:rPr>
        <w:t>Weinstein</w:t>
      </w:r>
      <w:r w:rsidRPr="00DA0A96" w:rsidR="002C5CF3">
        <w:t xml:space="preserve"> further explained that its holding was not in</w:t>
      </w:r>
      <w:r w:rsidRPr="00DA0A96" w:rsidR="007E046C">
        <w:t xml:space="preserve"> </w:t>
      </w:r>
      <w:r w:rsidRPr="00DA0A96" w:rsidR="002C5CF3">
        <w:t>con</w:t>
      </w:r>
      <w:r w:rsidRPr="00DA0A96" w:rsidR="007E046C">
        <w:t xml:space="preserve">flict </w:t>
      </w:r>
      <w:r w:rsidRPr="00DA0A96" w:rsidR="002C5CF3">
        <w:t xml:space="preserve">with </w:t>
      </w:r>
      <w:r w:rsidRPr="00DA0A96" w:rsidR="002C5CF3">
        <w:rPr>
          <w:i/>
          <w:iCs/>
        </w:rPr>
        <w:t>Cameron</w:t>
      </w:r>
      <w:r w:rsidRPr="00DA0A96" w:rsidR="002C5CF3">
        <w:t>.  According to the court, “</w:t>
      </w:r>
      <w:r w:rsidRPr="00DA0A96" w:rsidR="002C5CF3">
        <w:rPr>
          <w:i/>
          <w:iCs/>
        </w:rPr>
        <w:t>Cameron</w:t>
      </w:r>
      <w:r w:rsidRPr="00DA0A96" w:rsidR="002C5CF3">
        <w:t xml:space="preserve"> involved the failure to warn of a hidden dangerous condition that was not part of the approved design of the highway.  [Citation.]  Here, plaintiffs claim that defendant was obligated to warn of conditions that were part of the approved design.”  (</w:t>
      </w:r>
      <w:r w:rsidRPr="00DA0A96" w:rsidR="00EA7B98">
        <w:rPr>
          <w:i/>
          <w:iCs/>
        </w:rPr>
        <w:t xml:space="preserve">Weinstein, </w:t>
      </w:r>
      <w:r w:rsidRPr="00DA0A96" w:rsidR="00EA7B98">
        <w:t>at p.</w:t>
      </w:r>
      <w:r w:rsidRPr="00DA0A96" w:rsidR="005C287B">
        <w:t> </w:t>
      </w:r>
      <w:r w:rsidRPr="00DA0A96" w:rsidR="00EA7B98">
        <w:t>61</w:t>
      </w:r>
      <w:r w:rsidR="00F35C50">
        <w:t>, italics omitted</w:t>
      </w:r>
      <w:r w:rsidRPr="00DA0A96" w:rsidR="00EA7B98">
        <w:t>.)</w:t>
      </w:r>
    </w:p>
    <w:p w:rsidR="008E3401" w:rsidRPr="00DA0A96" w:rsidP="00DA0A96">
      <w:pPr>
        <w:tabs>
          <w:tab w:val="left" w:pos="1440"/>
        </w:tabs>
        <w:ind w:firstLine="720"/>
      </w:pPr>
      <w:r w:rsidRPr="00DA0A96">
        <w:t xml:space="preserve">The Court of Appeal </w:t>
      </w:r>
      <w:r w:rsidRPr="00DA0A96" w:rsidR="00EA7B98">
        <w:t xml:space="preserve">here </w:t>
      </w:r>
      <w:r w:rsidRPr="00DA0A96" w:rsidR="007F1F79">
        <w:t xml:space="preserve">found </w:t>
      </w:r>
      <w:r w:rsidRPr="00DA0A96" w:rsidR="00EA7B98">
        <w:t>that</w:t>
      </w:r>
      <w:r w:rsidRPr="00DA0A96" w:rsidR="009E2664">
        <w:t xml:space="preserve"> </w:t>
      </w:r>
      <w:r w:rsidRPr="00DA0A96" w:rsidR="009E2664">
        <w:rPr>
          <w:i/>
          <w:iCs/>
        </w:rPr>
        <w:t>Weinstein</w:t>
      </w:r>
      <w:r w:rsidRPr="001F5265" w:rsidR="009E2664">
        <w:t>’s</w:t>
      </w:r>
      <w:r w:rsidRPr="00DA0A96" w:rsidR="009E2664">
        <w:t xml:space="preserve"> reading of </w:t>
      </w:r>
      <w:r w:rsidRPr="00DA0A96" w:rsidR="009E2664">
        <w:rPr>
          <w:i/>
          <w:iCs/>
        </w:rPr>
        <w:t>Cameron</w:t>
      </w:r>
      <w:r w:rsidRPr="00DA0A96" w:rsidR="009E2664">
        <w:t xml:space="preserve"> was “mistaken.”  (</w:t>
      </w:r>
      <w:r w:rsidRPr="00DA0A96" w:rsidR="009E2664">
        <w:rPr>
          <w:i/>
          <w:iCs/>
        </w:rPr>
        <w:t>Tansavatdi, supra</w:t>
      </w:r>
      <w:r w:rsidRPr="00DA0A96" w:rsidR="009E2664">
        <w:t>, 60</w:t>
      </w:r>
      <w:r w:rsidRPr="00DA0A96" w:rsidR="00DE5496">
        <w:t> </w:t>
      </w:r>
      <w:r w:rsidRPr="00DA0A96" w:rsidR="009E2664">
        <w:t>Cal.App.5th at p.</w:t>
      </w:r>
      <w:r w:rsidRPr="00DA0A96" w:rsidR="00DE5496">
        <w:t> </w:t>
      </w:r>
      <w:r w:rsidRPr="00DA0A96" w:rsidR="009E2664">
        <w:t xml:space="preserve">442.)  We agree.  </w:t>
      </w:r>
      <w:r w:rsidRPr="00DA0A96" w:rsidR="004C45FA">
        <w:t xml:space="preserve">As noted above, our decision </w:t>
      </w:r>
      <w:r w:rsidRPr="00DA0A96" w:rsidR="00C152AB">
        <w:t xml:space="preserve">in </w:t>
      </w:r>
      <w:r w:rsidRPr="00DA0A96" w:rsidR="00C152AB">
        <w:rPr>
          <w:i/>
          <w:iCs/>
        </w:rPr>
        <w:t>Cameron</w:t>
      </w:r>
      <w:r w:rsidRPr="00DA0A96" w:rsidR="00C152AB">
        <w:t xml:space="preserve"> </w:t>
      </w:r>
      <w:r w:rsidRPr="00DA0A96" w:rsidR="00EA7B98">
        <w:t xml:space="preserve">expressly held </w:t>
      </w:r>
      <w:r w:rsidRPr="00DA0A96" w:rsidR="004C45FA">
        <w:t>that</w:t>
      </w:r>
      <w:r w:rsidRPr="00DA0A96" w:rsidR="00C152AB">
        <w:t xml:space="preserve"> if </w:t>
      </w:r>
      <w:r w:rsidRPr="00DA0A96" w:rsidR="004C45FA">
        <w:t xml:space="preserve">the </w:t>
      </w:r>
      <w:r w:rsidRPr="00DA0A96" w:rsidR="003E5D61">
        <w:t>s</w:t>
      </w:r>
      <w:r w:rsidRPr="00DA0A96" w:rsidR="007E046C">
        <w:t xml:space="preserve">tate </w:t>
      </w:r>
      <w:r w:rsidRPr="00DA0A96" w:rsidR="004C45FA">
        <w:t>w</w:t>
      </w:r>
      <w:r w:rsidRPr="00DA0A96" w:rsidR="00115B25">
        <w:t>ere</w:t>
      </w:r>
      <w:r w:rsidRPr="00DA0A96" w:rsidR="004C45FA">
        <w:t xml:space="preserve"> able to establish on remand that the</w:t>
      </w:r>
      <w:r w:rsidRPr="00DA0A96" w:rsidR="00C152AB">
        <w:t xml:space="preserve"> challenged condition at issue in that case (the b</w:t>
      </w:r>
      <w:r w:rsidRPr="00DA0A96" w:rsidR="004C45FA">
        <w:t xml:space="preserve">anking of the </w:t>
      </w:r>
      <w:r w:rsidR="003E0EB4">
        <w:t>“</w:t>
      </w:r>
      <w:r w:rsidRPr="00DA0A96" w:rsidR="00EA7B98">
        <w:t>S</w:t>
      </w:r>
      <w:r w:rsidR="003E0EB4">
        <w:t xml:space="preserve">” </w:t>
      </w:r>
      <w:r w:rsidRPr="00DA0A96" w:rsidR="004C45FA">
        <w:t>turn</w:t>
      </w:r>
      <w:r w:rsidRPr="00DA0A96" w:rsidR="00C152AB">
        <w:t>)</w:t>
      </w:r>
      <w:r w:rsidRPr="00DA0A96" w:rsidR="004C45FA">
        <w:t xml:space="preserve"> was part of the approved </w:t>
      </w:r>
      <w:r w:rsidRPr="00DA0A96" w:rsidR="00185249">
        <w:t xml:space="preserve">highway </w:t>
      </w:r>
      <w:r w:rsidRPr="00DA0A96" w:rsidR="004C45FA">
        <w:t xml:space="preserve">plans, and thus subject to design immunity, that </w:t>
      </w:r>
      <w:r w:rsidR="008038D9">
        <w:t xml:space="preserve">immunity </w:t>
      </w:r>
      <w:r w:rsidRPr="00DA0A96" w:rsidR="004C45FA">
        <w:t xml:space="preserve">would </w:t>
      </w:r>
      <w:r w:rsidRPr="00DA0A96" w:rsidR="004C45FA">
        <w:rPr>
          <w:i/>
          <w:iCs/>
        </w:rPr>
        <w:t>not</w:t>
      </w:r>
      <w:r w:rsidRPr="00DA0A96" w:rsidR="004C45FA">
        <w:t xml:space="preserve"> defeat plaintiffs</w:t>
      </w:r>
      <w:r w:rsidRPr="00DA0A96" w:rsidR="00BE7AC9">
        <w:t>’</w:t>
      </w:r>
      <w:r w:rsidRPr="00DA0A96" w:rsidR="004C45FA">
        <w:t xml:space="preserve"> alternative claim that the </w:t>
      </w:r>
      <w:r w:rsidRPr="00DA0A96" w:rsidR="003E5D61">
        <w:t>s</w:t>
      </w:r>
      <w:r w:rsidRPr="00DA0A96" w:rsidR="004C45FA">
        <w:t>tate</w:t>
      </w:r>
      <w:r w:rsidRPr="00DA0A96" w:rsidR="002D0629">
        <w:t>’s</w:t>
      </w:r>
      <w:r w:rsidRPr="00DA0A96" w:rsidR="004C45FA">
        <w:t xml:space="preserve"> fail</w:t>
      </w:r>
      <w:r w:rsidRPr="00DA0A96" w:rsidR="002D0629">
        <w:t xml:space="preserve">ure </w:t>
      </w:r>
      <w:r w:rsidRPr="00DA0A96" w:rsidR="004C45FA">
        <w:t>to</w:t>
      </w:r>
      <w:r w:rsidRPr="00DA0A96" w:rsidR="002D0629">
        <w:t xml:space="preserve"> </w:t>
      </w:r>
      <w:r w:rsidRPr="00DA0A96" w:rsidR="004C45FA">
        <w:t xml:space="preserve">warn </w:t>
      </w:r>
      <w:r w:rsidRPr="00DA0A96" w:rsidR="002D0629">
        <w:t>drivers of the</w:t>
      </w:r>
      <w:r w:rsidRPr="00DA0A96" w:rsidR="00C152AB">
        <w:t xml:space="preserve"> known</w:t>
      </w:r>
      <w:r w:rsidRPr="00DA0A96" w:rsidR="002D0629">
        <w:t xml:space="preserve"> danger was an independent, intervening cause of the acc</w:t>
      </w:r>
      <w:r w:rsidRPr="00DA0A96" w:rsidR="00C152AB">
        <w:t xml:space="preserve">ident.  </w:t>
      </w:r>
      <w:r w:rsidRPr="00DA0A96" w:rsidR="007C38B4">
        <w:t xml:space="preserve">Contrary to </w:t>
      </w:r>
      <w:r w:rsidRPr="00DA0A96" w:rsidR="00C152AB">
        <w:rPr>
          <w:i/>
          <w:iCs/>
        </w:rPr>
        <w:t>Weinstein</w:t>
      </w:r>
      <w:r w:rsidRPr="00DA0A96" w:rsidR="007C38B4">
        <w:t xml:space="preserve">, there is no language in </w:t>
      </w:r>
      <w:r w:rsidRPr="00DA0A96" w:rsidR="004F2839">
        <w:rPr>
          <w:i/>
          <w:iCs/>
        </w:rPr>
        <w:t>Cameron</w:t>
      </w:r>
      <w:r w:rsidRPr="00DA0A96" w:rsidR="004F2839">
        <w:t xml:space="preserve"> </w:t>
      </w:r>
      <w:r w:rsidRPr="00DA0A96" w:rsidR="009D4B69">
        <w:t xml:space="preserve">suggesting </w:t>
      </w:r>
      <w:r w:rsidRPr="00DA0A96" w:rsidR="00EA7B98">
        <w:t xml:space="preserve">that our </w:t>
      </w:r>
      <w:r w:rsidRPr="00DA0A96" w:rsidR="009D4B69">
        <w:t xml:space="preserve">holding was only </w:t>
      </w:r>
      <w:r w:rsidRPr="00DA0A96" w:rsidR="00EA7B98">
        <w:t xml:space="preserve">intended to apply </w:t>
      </w:r>
      <w:r w:rsidRPr="00DA0A96" w:rsidR="009B68AC">
        <w:t xml:space="preserve">when a failure to warn claim challenges a </w:t>
      </w:r>
      <w:r w:rsidRPr="00DA0A96" w:rsidR="00185249">
        <w:t xml:space="preserve">road </w:t>
      </w:r>
      <w:r w:rsidRPr="00DA0A96" w:rsidR="009B68AC">
        <w:t xml:space="preserve">condition </w:t>
      </w:r>
      <w:r w:rsidRPr="00DA0A96" w:rsidR="007C38B4">
        <w:t>“that</w:t>
      </w:r>
      <w:r w:rsidRPr="00DA0A96" w:rsidR="004F2839">
        <w:t xml:space="preserve"> w</w:t>
      </w:r>
      <w:r w:rsidRPr="00DA0A96" w:rsidR="009B68AC">
        <w:t>as</w:t>
      </w:r>
      <w:r w:rsidRPr="00DA0A96" w:rsidR="00756744">
        <w:t xml:space="preserve"> </w:t>
      </w:r>
      <w:r w:rsidRPr="00DA0A96" w:rsidR="004F2839">
        <w:t>not part of the approved design</w:t>
      </w:r>
      <w:r w:rsidRPr="00DA0A96" w:rsidR="007C38B4">
        <w:t>.</w:t>
      </w:r>
      <w:r w:rsidRPr="00DA0A96" w:rsidR="004F2839">
        <w:t>”</w:t>
      </w:r>
      <w:r w:rsidRPr="00DA0A96" w:rsidR="00756744">
        <w:t xml:space="preserve">  </w:t>
      </w:r>
      <w:r w:rsidRPr="00DA0A96" w:rsidR="00EA7B98">
        <w:t>(</w:t>
      </w:r>
      <w:r w:rsidRPr="00DA0A96" w:rsidR="00EA7B98">
        <w:rPr>
          <w:i/>
          <w:iCs/>
        </w:rPr>
        <w:t>Weinstein, supra</w:t>
      </w:r>
      <w:r w:rsidRPr="00DA0A96" w:rsidR="00EA7B98">
        <w:t>, 139</w:t>
      </w:r>
      <w:r w:rsidRPr="00DA0A96" w:rsidR="002B094B">
        <w:t> </w:t>
      </w:r>
      <w:r w:rsidRPr="00DA0A96" w:rsidR="00EA7B98">
        <w:t>Cal.App.4th at p.</w:t>
      </w:r>
      <w:r w:rsidRPr="00DA0A96" w:rsidR="005C287B">
        <w:t> </w:t>
      </w:r>
      <w:r w:rsidRPr="00DA0A96" w:rsidR="00EA7B98">
        <w:t xml:space="preserve">61.)  </w:t>
      </w:r>
      <w:r w:rsidRPr="00DA0A96" w:rsidR="00756744">
        <w:t xml:space="preserve">Indeed, such a limitation is </w:t>
      </w:r>
      <w:r w:rsidRPr="00DA0A96" w:rsidR="008E6511">
        <w:t>in direct conflict</w:t>
      </w:r>
      <w:r w:rsidRPr="00DA0A96" w:rsidR="00756744">
        <w:t xml:space="preserve"> </w:t>
      </w:r>
      <w:r w:rsidRPr="00DA0A96" w:rsidR="008E6511">
        <w:t xml:space="preserve">with </w:t>
      </w:r>
      <w:r w:rsidRPr="00DA0A96" w:rsidR="00E348FB">
        <w:rPr>
          <w:i/>
          <w:iCs/>
          <w:szCs w:val="26"/>
        </w:rPr>
        <w:t>Cameron</w:t>
      </w:r>
      <w:r w:rsidRPr="001F5265" w:rsidR="00E348FB">
        <w:rPr>
          <w:i/>
          <w:iCs/>
          <w:szCs w:val="26"/>
        </w:rPr>
        <w:t>’s</w:t>
      </w:r>
      <w:r w:rsidRPr="00DA0A96" w:rsidR="00E348FB">
        <w:rPr>
          <w:szCs w:val="26"/>
        </w:rPr>
        <w:t xml:space="preserve"> conclusion</w:t>
      </w:r>
      <w:r w:rsidRPr="00DA0A96" w:rsidR="004705E7">
        <w:rPr>
          <w:szCs w:val="26"/>
        </w:rPr>
        <w:t xml:space="preserve"> </w:t>
      </w:r>
      <w:r w:rsidRPr="00DA0A96" w:rsidR="0059483F">
        <w:rPr>
          <w:szCs w:val="26"/>
        </w:rPr>
        <w:t>that if the defendant w</w:t>
      </w:r>
      <w:r w:rsidRPr="00DA0A96" w:rsidR="00BE7AC9">
        <w:rPr>
          <w:szCs w:val="26"/>
        </w:rPr>
        <w:t>ere</w:t>
      </w:r>
      <w:r w:rsidRPr="00DA0A96" w:rsidR="0059483F">
        <w:rPr>
          <w:szCs w:val="26"/>
        </w:rPr>
        <w:t xml:space="preserve"> able to produce evidence</w:t>
      </w:r>
      <w:r w:rsidRPr="00DA0A96" w:rsidR="0090758C">
        <w:rPr>
          <w:szCs w:val="26"/>
        </w:rPr>
        <w:t xml:space="preserve"> on remand</w:t>
      </w:r>
      <w:r w:rsidRPr="00DA0A96" w:rsidR="0059483F">
        <w:rPr>
          <w:szCs w:val="26"/>
        </w:rPr>
        <w:t xml:space="preserve"> demonstrating </w:t>
      </w:r>
      <w:r w:rsidRPr="00DA0A96" w:rsidR="0090758C">
        <w:rPr>
          <w:szCs w:val="26"/>
        </w:rPr>
        <w:t xml:space="preserve">that </w:t>
      </w:r>
      <w:r w:rsidRPr="00DA0A96" w:rsidR="0059483F">
        <w:rPr>
          <w:szCs w:val="26"/>
        </w:rPr>
        <w:t xml:space="preserve">the banking of the curve </w:t>
      </w:r>
      <w:r w:rsidRPr="00DA0A96" w:rsidR="0059483F">
        <w:rPr>
          <w:i/>
          <w:iCs/>
          <w:szCs w:val="26"/>
        </w:rPr>
        <w:t>was part of the approved plan</w:t>
      </w:r>
      <w:r w:rsidRPr="00DA0A96" w:rsidR="0090758C">
        <w:rPr>
          <w:szCs w:val="26"/>
        </w:rPr>
        <w:t xml:space="preserve"> (</w:t>
      </w:r>
      <w:r w:rsidRPr="00DA0A96" w:rsidR="0059483F">
        <w:rPr>
          <w:szCs w:val="26"/>
        </w:rPr>
        <w:t xml:space="preserve">thus </w:t>
      </w:r>
      <w:r w:rsidRPr="00DA0A96" w:rsidR="00E348FB">
        <w:rPr>
          <w:szCs w:val="26"/>
        </w:rPr>
        <w:t xml:space="preserve">precluding </w:t>
      </w:r>
      <w:r w:rsidRPr="00DA0A96" w:rsidR="0059483F">
        <w:rPr>
          <w:szCs w:val="26"/>
        </w:rPr>
        <w:t xml:space="preserve">any claim </w:t>
      </w:r>
      <w:r w:rsidRPr="00DA0A96" w:rsidR="00E348FB">
        <w:rPr>
          <w:szCs w:val="26"/>
        </w:rPr>
        <w:t xml:space="preserve">for </w:t>
      </w:r>
      <w:r w:rsidRPr="00DA0A96" w:rsidR="0059483F">
        <w:rPr>
          <w:szCs w:val="26"/>
        </w:rPr>
        <w:t>having created th</w:t>
      </w:r>
      <w:r w:rsidRPr="00DA0A96" w:rsidR="00E348FB">
        <w:rPr>
          <w:szCs w:val="26"/>
        </w:rPr>
        <w:t xml:space="preserve">at </w:t>
      </w:r>
      <w:r w:rsidRPr="00DA0A96" w:rsidR="0059483F">
        <w:rPr>
          <w:szCs w:val="26"/>
        </w:rPr>
        <w:t>dangerous condition</w:t>
      </w:r>
      <w:r w:rsidRPr="00DA0A96" w:rsidR="0090758C">
        <w:rPr>
          <w:szCs w:val="26"/>
        </w:rPr>
        <w:t>)</w:t>
      </w:r>
      <w:r w:rsidRPr="00DA0A96" w:rsidR="00E348FB">
        <w:rPr>
          <w:rStyle w:val="CommentReference"/>
          <w:sz w:val="27"/>
          <w:szCs w:val="26"/>
        </w:rPr>
        <w:t xml:space="preserve">, </w:t>
      </w:r>
      <w:r w:rsidRPr="00DA0A96" w:rsidR="00E348FB">
        <w:rPr>
          <w:szCs w:val="26"/>
        </w:rPr>
        <w:t>pl</w:t>
      </w:r>
      <w:r w:rsidRPr="00DA0A96" w:rsidR="0059483F">
        <w:rPr>
          <w:szCs w:val="26"/>
        </w:rPr>
        <w:t>aintiff</w:t>
      </w:r>
      <w:r w:rsidRPr="00DA0A96" w:rsidR="00BE7AC9">
        <w:rPr>
          <w:szCs w:val="26"/>
        </w:rPr>
        <w:t>s</w:t>
      </w:r>
      <w:r w:rsidRPr="00DA0A96" w:rsidR="0059483F">
        <w:rPr>
          <w:szCs w:val="26"/>
        </w:rPr>
        <w:t xml:space="preserve"> would nonetheless </w:t>
      </w:r>
      <w:r w:rsidRPr="00DA0A96" w:rsidR="00E348FB">
        <w:rPr>
          <w:szCs w:val="26"/>
        </w:rPr>
        <w:t>remain</w:t>
      </w:r>
      <w:r w:rsidRPr="00DA0A96" w:rsidR="0059483F">
        <w:rPr>
          <w:szCs w:val="26"/>
        </w:rPr>
        <w:t xml:space="preserve"> entitled to move forward with </w:t>
      </w:r>
      <w:r w:rsidRPr="00DA0A96" w:rsidR="00BE7AC9">
        <w:rPr>
          <w:szCs w:val="26"/>
        </w:rPr>
        <w:t>their</w:t>
      </w:r>
      <w:r w:rsidRPr="00DA0A96" w:rsidR="0059483F">
        <w:rPr>
          <w:szCs w:val="26"/>
        </w:rPr>
        <w:t xml:space="preserve"> failure to warn</w:t>
      </w:r>
      <w:r w:rsidRPr="00DA0A96" w:rsidR="00E348FB">
        <w:rPr>
          <w:szCs w:val="26"/>
        </w:rPr>
        <w:t xml:space="preserve"> claim</w:t>
      </w:r>
      <w:r w:rsidRPr="00DA0A96" w:rsidR="0059483F">
        <w:rPr>
          <w:szCs w:val="26"/>
        </w:rPr>
        <w:t>.</w:t>
      </w:r>
      <w:r w:rsidRPr="00DA0A96" w:rsidR="008E6511">
        <w:rPr>
          <w:szCs w:val="26"/>
        </w:rPr>
        <w:t xml:space="preserve">  </w:t>
      </w:r>
      <w:r w:rsidRPr="00DA0A96" w:rsidR="00115B25">
        <w:rPr>
          <w:szCs w:val="26"/>
        </w:rPr>
        <w:t xml:space="preserve">(See </w:t>
      </w:r>
      <w:r w:rsidRPr="00DA0A96" w:rsidR="00115B25">
        <w:rPr>
          <w:i/>
          <w:iCs/>
          <w:szCs w:val="26"/>
        </w:rPr>
        <w:t>Cameron, supra</w:t>
      </w:r>
      <w:r w:rsidRPr="00DA0A96" w:rsidR="00115B25">
        <w:rPr>
          <w:szCs w:val="26"/>
        </w:rPr>
        <w:t xml:space="preserve">, </w:t>
      </w:r>
      <w:r w:rsidRPr="00DA0A96">
        <w:rPr>
          <w:szCs w:val="26"/>
        </w:rPr>
        <w:t>7</w:t>
      </w:r>
      <w:r w:rsidRPr="00DA0A96" w:rsidR="003B4B0A">
        <w:rPr>
          <w:szCs w:val="26"/>
        </w:rPr>
        <w:t> </w:t>
      </w:r>
      <w:r w:rsidRPr="00DA0A96">
        <w:rPr>
          <w:szCs w:val="26"/>
        </w:rPr>
        <w:t xml:space="preserve">Cal.3d </w:t>
      </w:r>
      <w:r w:rsidRPr="00DA0A96" w:rsidR="00115B25">
        <w:rPr>
          <w:szCs w:val="26"/>
        </w:rPr>
        <w:t>at pp.</w:t>
      </w:r>
      <w:r w:rsidRPr="00DA0A96" w:rsidR="003B4B0A">
        <w:rPr>
          <w:szCs w:val="26"/>
        </w:rPr>
        <w:t> </w:t>
      </w:r>
      <w:r w:rsidRPr="00DA0A96" w:rsidR="00115B25">
        <w:rPr>
          <w:szCs w:val="26"/>
        </w:rPr>
        <w:t xml:space="preserve">326–327 &amp; fn. 11.) </w:t>
      </w:r>
      <w:r w:rsidRPr="00DA0A96">
        <w:rPr>
          <w:szCs w:val="26"/>
        </w:rPr>
        <w:t xml:space="preserve"> </w:t>
      </w:r>
      <w:r w:rsidRPr="00DA0A96" w:rsidR="007C38B4">
        <w:rPr>
          <w:szCs w:val="26"/>
        </w:rPr>
        <w:t>A</w:t>
      </w:r>
      <w:r w:rsidRPr="00DA0A96" w:rsidR="00756744">
        <w:rPr>
          <w:szCs w:val="26"/>
        </w:rPr>
        <w:t>ccordingly</w:t>
      </w:r>
      <w:r w:rsidRPr="00DA0A96" w:rsidR="00756744">
        <w:t xml:space="preserve">, </w:t>
      </w:r>
      <w:r w:rsidRPr="00DA0A96" w:rsidR="009D4B69">
        <w:t xml:space="preserve">we disapprove </w:t>
      </w:r>
      <w:r w:rsidRPr="00DA0A96" w:rsidR="00EA7B98">
        <w:t xml:space="preserve">that portion of </w:t>
      </w:r>
      <w:r w:rsidRPr="00DA0A96" w:rsidR="00756744">
        <w:rPr>
          <w:i/>
          <w:iCs/>
        </w:rPr>
        <w:t>Weinstein</w:t>
      </w:r>
      <w:r w:rsidR="007B0B86">
        <w:rPr>
          <w:i/>
          <w:iCs/>
        </w:rPr>
        <w:t xml:space="preserve"> </w:t>
      </w:r>
      <w:r w:rsidRPr="00DA0A96" w:rsidR="007B0B86">
        <w:rPr>
          <w:i/>
          <w:iCs/>
        </w:rPr>
        <w:t>v. Department of Transportation</w:t>
      </w:r>
      <w:r w:rsidR="007B0B86">
        <w:t xml:space="preserve">, </w:t>
      </w:r>
      <w:r w:rsidR="007B0B86">
        <w:rPr>
          <w:i/>
          <w:iCs/>
        </w:rPr>
        <w:t>supra</w:t>
      </w:r>
      <w:r w:rsidR="007B0B86">
        <w:t>,</w:t>
      </w:r>
      <w:r w:rsidRPr="00DA0A96" w:rsidR="007B0B86">
        <w:t xml:space="preserve"> 139 Cal.App.4th 52</w:t>
      </w:r>
      <w:r w:rsidRPr="00DA0A96" w:rsidR="00756744">
        <w:t>.</w:t>
      </w:r>
      <w:r>
        <w:rPr>
          <w:rStyle w:val="FootnoteReference"/>
        </w:rPr>
        <w:footnoteReference w:id="6"/>
      </w:r>
    </w:p>
    <w:p w:rsidR="008E3401" w:rsidRPr="00DA0A96" w:rsidP="00DA0A96">
      <w:pPr>
        <w:pStyle w:val="Heading4"/>
      </w:pPr>
      <w:r w:rsidRPr="00DA0A96">
        <w:t xml:space="preserve">b.  </w:t>
      </w:r>
      <w:r w:rsidRPr="001F5265">
        <w:rPr>
          <w:i w:val="0"/>
          <w:iCs/>
        </w:rPr>
        <w:t>Cameron’</w:t>
      </w:r>
      <w:r w:rsidRPr="00DA0A96">
        <w:t>s limitation</w:t>
      </w:r>
      <w:r w:rsidRPr="00DA0A96" w:rsidR="005956D6">
        <w:t>s</w:t>
      </w:r>
      <w:r w:rsidRPr="00DA0A96">
        <w:t xml:space="preserve"> on failure to warn claims</w:t>
      </w:r>
    </w:p>
    <w:p w:rsidR="008E3401" w:rsidRPr="00DA0A96" w:rsidP="00DA0A96">
      <w:pPr>
        <w:tabs>
          <w:tab w:val="left" w:pos="1440"/>
        </w:tabs>
        <w:ind w:firstLine="720"/>
      </w:pPr>
      <w:r w:rsidRPr="00DA0A96">
        <w:t>While we agree with the Court of Appeal</w:t>
      </w:r>
      <w:r w:rsidRPr="00DA0A96" w:rsidR="005978CE">
        <w:t xml:space="preserve">’s determination that </w:t>
      </w:r>
      <w:r w:rsidRPr="00DA0A96" w:rsidR="00077F56">
        <w:rPr>
          <w:i/>
          <w:iCs/>
        </w:rPr>
        <w:t>Weinstein</w:t>
      </w:r>
      <w:r w:rsidRPr="00DA0A96" w:rsidR="00AF48EE">
        <w:rPr>
          <w:i/>
          <w:iCs/>
        </w:rPr>
        <w:t xml:space="preserve"> </w:t>
      </w:r>
      <w:r w:rsidRPr="00DA0A96" w:rsidR="005978CE">
        <w:t>misread</w:t>
      </w:r>
      <w:r w:rsidRPr="00DA0A96">
        <w:t xml:space="preserve"> </w:t>
      </w:r>
      <w:r w:rsidRPr="00DA0A96">
        <w:rPr>
          <w:i/>
          <w:iCs/>
        </w:rPr>
        <w:t>Cameron</w:t>
      </w:r>
      <w:r w:rsidRPr="00DA0A96" w:rsidR="007C38B4">
        <w:t>,</w:t>
      </w:r>
      <w:r w:rsidRPr="00DA0A96">
        <w:t xml:space="preserve"> </w:t>
      </w:r>
      <w:r w:rsidRPr="00DA0A96" w:rsidR="00260276">
        <w:t xml:space="preserve">for the guidance of </w:t>
      </w:r>
      <w:r w:rsidRPr="00DA0A96" w:rsidR="00E348FB">
        <w:t>our courts</w:t>
      </w:r>
      <w:r w:rsidRPr="00DA0A96">
        <w:t xml:space="preserve"> we think it helpful to clarify </w:t>
      </w:r>
      <w:r w:rsidRPr="00DA0A96" w:rsidR="00456C2C">
        <w:t>additional</w:t>
      </w:r>
      <w:r w:rsidRPr="00DA0A96">
        <w:t xml:space="preserve"> aspects of </w:t>
      </w:r>
      <w:r w:rsidRPr="00DA0A96" w:rsidR="00E348FB">
        <w:rPr>
          <w:i/>
          <w:iCs/>
        </w:rPr>
        <w:t>Cameron</w:t>
      </w:r>
      <w:r w:rsidRPr="000D4248" w:rsidR="00E348FB">
        <w:t>’s</w:t>
      </w:r>
      <w:r w:rsidRPr="00DA0A96" w:rsidR="00E348FB">
        <w:t xml:space="preserve"> </w:t>
      </w:r>
      <w:r w:rsidRPr="00DA0A96" w:rsidR="00236839">
        <w:t>analysis</w:t>
      </w:r>
      <w:r w:rsidRPr="00DA0A96" w:rsidR="00260276">
        <w:t xml:space="preserve"> </w:t>
      </w:r>
      <w:r w:rsidRPr="00DA0A96" w:rsidR="000012E4">
        <w:t xml:space="preserve">that affect </w:t>
      </w:r>
      <w:r w:rsidRPr="00DA0A96" w:rsidR="00260276">
        <w:t xml:space="preserve">the requirements necessary to </w:t>
      </w:r>
      <w:r w:rsidRPr="00DA0A96" w:rsidR="00454B9C">
        <w:t>prevail on</w:t>
      </w:r>
      <w:r w:rsidRPr="00DA0A96" w:rsidR="00260276">
        <w:t xml:space="preserve"> a </w:t>
      </w:r>
      <w:r w:rsidRPr="00DA0A96" w:rsidR="00381CAC">
        <w:t xml:space="preserve">claim alleging </w:t>
      </w:r>
      <w:r w:rsidRPr="00DA0A96" w:rsidR="00260276">
        <w:t xml:space="preserve">failure to warn </w:t>
      </w:r>
      <w:r w:rsidRPr="00DA0A96" w:rsidR="00381CAC">
        <w:t>of a dangerous traffic condition</w:t>
      </w:r>
      <w:r w:rsidRPr="00DA0A96">
        <w:t>.</w:t>
      </w:r>
    </w:p>
    <w:p w:rsidR="00F40B64" w:rsidRPr="00DA0A96" w:rsidP="000E7B9B">
      <w:pPr>
        <w:tabs>
          <w:tab w:val="left" w:pos="1440"/>
        </w:tabs>
        <w:ind w:firstLine="720"/>
      </w:pPr>
      <w:r w:rsidRPr="00DA0A96">
        <w:t>First, a</w:t>
      </w:r>
      <w:r w:rsidRPr="00DA0A96" w:rsidR="00870EFE">
        <w:t xml:space="preserve">s </w:t>
      </w:r>
      <w:r w:rsidRPr="00DA0A96">
        <w:t xml:space="preserve">noted above, </w:t>
      </w:r>
      <w:r w:rsidRPr="00DA0A96">
        <w:rPr>
          <w:i/>
          <w:iCs/>
        </w:rPr>
        <w:t>Cameron</w:t>
      </w:r>
      <w:r w:rsidRPr="00DA0A96">
        <w:t xml:space="preserve"> </w:t>
      </w:r>
      <w:r w:rsidRPr="00DA0A96" w:rsidR="00222A59">
        <w:t>expressly</w:t>
      </w:r>
      <w:r w:rsidRPr="00DA0A96">
        <w:t xml:space="preserve"> adopted </w:t>
      </w:r>
      <w:r w:rsidRPr="00DA0A96" w:rsidR="00A54D51">
        <w:t xml:space="preserve">both </w:t>
      </w:r>
      <w:r w:rsidRPr="00DA0A96">
        <w:t xml:space="preserve">the </w:t>
      </w:r>
      <w:r w:rsidRPr="00DA0A96" w:rsidR="00222A59">
        <w:t xml:space="preserve">reasoning and </w:t>
      </w:r>
      <w:r w:rsidRPr="00DA0A96" w:rsidR="00A54D51">
        <w:t>the conclusions</w:t>
      </w:r>
      <w:r w:rsidRPr="00DA0A96">
        <w:t xml:space="preserve"> set forth in </w:t>
      </w:r>
      <w:r w:rsidRPr="00DA0A96">
        <w:rPr>
          <w:i/>
          <w:iCs/>
        </w:rPr>
        <w:t>Flournoy</w:t>
      </w:r>
      <w:r w:rsidRPr="00DA0A96">
        <w:t xml:space="preserve">.  </w:t>
      </w:r>
      <w:r w:rsidRPr="00DA0A96" w:rsidR="00870EFE">
        <w:t>(</w:t>
      </w:r>
      <w:r w:rsidRPr="00DA0A96" w:rsidR="00A86FF2">
        <w:t xml:space="preserve">See </w:t>
      </w:r>
      <w:r w:rsidRPr="00DA0A96" w:rsidR="00870EFE">
        <w:rPr>
          <w:i/>
          <w:iCs/>
        </w:rPr>
        <w:t>Cameron, supra</w:t>
      </w:r>
      <w:r w:rsidRPr="00DA0A96" w:rsidR="00870EFE">
        <w:t>, 7</w:t>
      </w:r>
      <w:r w:rsidRPr="00DA0A96" w:rsidR="002B094B">
        <w:t> </w:t>
      </w:r>
      <w:r w:rsidRPr="00DA0A96" w:rsidR="00870EFE">
        <w:t>Cal.3d at p.</w:t>
      </w:r>
      <w:r w:rsidRPr="00DA0A96" w:rsidR="002B094B">
        <w:t> </w:t>
      </w:r>
      <w:r w:rsidRPr="00DA0A96" w:rsidR="00870EFE">
        <w:t>328</w:t>
      </w:r>
      <w:r w:rsidRPr="00DA0A96">
        <w:t>.</w:t>
      </w:r>
      <w:r w:rsidRPr="00DA0A96" w:rsidR="00870EFE">
        <w:t>)</w:t>
      </w:r>
      <w:r w:rsidRPr="00DA0A96">
        <w:t xml:space="preserve">  </w:t>
      </w:r>
      <w:r w:rsidRPr="00DA0A96">
        <w:rPr>
          <w:i/>
          <w:iCs/>
        </w:rPr>
        <w:t>Flournoy</w:t>
      </w:r>
      <w:r w:rsidRPr="00DA0A96">
        <w:t xml:space="preserve">, in turn, </w:t>
      </w:r>
      <w:r w:rsidRPr="00DA0A96" w:rsidR="00456C2C">
        <w:t xml:space="preserve">made clear </w:t>
      </w:r>
      <w:r w:rsidRPr="00DA0A96" w:rsidR="00A86FF2">
        <w:t xml:space="preserve">that </w:t>
      </w:r>
      <w:r w:rsidRPr="00DA0A96" w:rsidR="00A54D51">
        <w:t>its</w:t>
      </w:r>
      <w:r w:rsidRPr="00DA0A96" w:rsidR="00A86FF2">
        <w:t xml:space="preserve"> conclusion </w:t>
      </w:r>
      <w:r w:rsidRPr="00DA0A96" w:rsidR="009D4B69">
        <w:t>t</w:t>
      </w:r>
      <w:r w:rsidRPr="00DA0A96" w:rsidR="00A54D51">
        <w:t xml:space="preserve">hat design immunity does not categorically </w:t>
      </w:r>
      <w:r w:rsidRPr="00DA0A96" w:rsidR="009B68AC">
        <w:t>preclude</w:t>
      </w:r>
      <w:r w:rsidRPr="00DA0A96" w:rsidR="00A54D51">
        <w:t xml:space="preserve"> failure to warn claims was based on the</w:t>
      </w:r>
      <w:r w:rsidRPr="00DA0A96">
        <w:t xml:space="preserve"> two distinct grounds for dangerous conditions liability set forth in section 835:  liability for injuries caused by a dangerous condition that a public entity </w:t>
      </w:r>
      <w:r w:rsidRPr="00DA0A96">
        <w:rPr>
          <w:i/>
          <w:iCs/>
        </w:rPr>
        <w:t>created</w:t>
      </w:r>
      <w:r w:rsidRPr="00DA0A96">
        <w:t xml:space="preserve"> (§ 835, subd. (a))</w:t>
      </w:r>
      <w:r w:rsidR="007B0B86">
        <w:t>;</w:t>
      </w:r>
      <w:r w:rsidRPr="00DA0A96">
        <w:t xml:space="preserve"> and liability for</w:t>
      </w:r>
      <w:r w:rsidRPr="00DA0A96" w:rsidR="000C636A">
        <w:t xml:space="preserve"> failing to protect against</w:t>
      </w:r>
      <w:r w:rsidRPr="00DA0A96">
        <w:t xml:space="preserve"> a dangerous condition of which the public entity had notice (</w:t>
      </w:r>
      <w:r w:rsidRPr="00DA0A96">
        <w:rPr>
          <w:i/>
          <w:iCs/>
        </w:rPr>
        <w:t>id.</w:t>
      </w:r>
      <w:r w:rsidRPr="00DA0A96">
        <w:t xml:space="preserve">, subd. (b).)  </w:t>
      </w:r>
      <w:r w:rsidRPr="00DA0A96" w:rsidR="00222A59">
        <w:rPr>
          <w:i/>
          <w:iCs/>
        </w:rPr>
        <w:t>Flournoy</w:t>
      </w:r>
      <w:r w:rsidRPr="00DA0A96" w:rsidR="00222A59">
        <w:t xml:space="preserve"> further reasoned that these </w:t>
      </w:r>
      <w:r w:rsidRPr="00DA0A96" w:rsidR="00456C2C">
        <w:t xml:space="preserve">two </w:t>
      </w:r>
      <w:r w:rsidRPr="00DA0A96" w:rsidR="00222A59">
        <w:t xml:space="preserve">distinct theories of liability incorporated </w:t>
      </w:r>
      <w:r w:rsidRPr="00DA0A96" w:rsidR="00456C2C">
        <w:t xml:space="preserve">the </w:t>
      </w:r>
      <w:r w:rsidRPr="00DA0A96" w:rsidR="00222A59">
        <w:t>“active” and “passive” theories of negligence recognized in the common law</w:t>
      </w:r>
      <w:r w:rsidRPr="00DA0A96" w:rsidR="00A45268">
        <w:t xml:space="preserve">.  </w:t>
      </w:r>
      <w:r w:rsidRPr="00DA0A96" w:rsidR="000D4248">
        <w:t>(</w:t>
      </w:r>
      <w:r w:rsidR="000D4248">
        <w:t xml:space="preserve">See </w:t>
      </w:r>
      <w:r w:rsidRPr="00DA0A96" w:rsidR="000D4248">
        <w:rPr>
          <w:i/>
          <w:iCs/>
        </w:rPr>
        <w:t xml:space="preserve">Flournoy, supra, </w:t>
      </w:r>
      <w:r w:rsidRPr="00DA0A96" w:rsidR="000D4248">
        <w:t>275 Cal.App.2d at pp. 810–811.)</w:t>
      </w:r>
      <w:r w:rsidR="000D4248">
        <w:t xml:space="preserve">  </w:t>
      </w:r>
      <w:r w:rsidRPr="00DA0A96" w:rsidR="00A54D51">
        <w:t>Thus, u</w:t>
      </w:r>
      <w:r w:rsidRPr="00DA0A96" w:rsidR="00A45268">
        <w:t xml:space="preserve">nder </w:t>
      </w:r>
      <w:r w:rsidRPr="00DA0A96" w:rsidR="00A45268">
        <w:rPr>
          <w:i/>
          <w:iCs/>
        </w:rPr>
        <w:t>Flournoy</w:t>
      </w:r>
      <w:r w:rsidRPr="00DA0A96" w:rsidR="00A54D51">
        <w:t xml:space="preserve"> and </w:t>
      </w:r>
      <w:r w:rsidRPr="00DA0A96" w:rsidR="00A54D51">
        <w:rPr>
          <w:i/>
          <w:iCs/>
        </w:rPr>
        <w:t>Cameron</w:t>
      </w:r>
      <w:r w:rsidRPr="00DA0A96" w:rsidR="000C636A">
        <w:t>,</w:t>
      </w:r>
      <w:r w:rsidRPr="00DA0A96" w:rsidR="00A45268">
        <w:t xml:space="preserve"> se</w:t>
      </w:r>
      <w:r w:rsidRPr="00DA0A96">
        <w:t>ction 830.6 immuni</w:t>
      </w:r>
      <w:r w:rsidRPr="00DA0A96" w:rsidR="00A54D51">
        <w:t xml:space="preserve">zes liability for </w:t>
      </w:r>
      <w:r w:rsidRPr="00DA0A96" w:rsidR="00A45268">
        <w:t xml:space="preserve">having created a dangerous </w:t>
      </w:r>
      <w:r w:rsidRPr="00DA0A96" w:rsidR="0002211A">
        <w:t xml:space="preserve">traffic </w:t>
      </w:r>
      <w:r w:rsidRPr="00DA0A96" w:rsidR="00A45268">
        <w:t xml:space="preserve">condition under section 835, subdivision (a) (a form of active negligence) </w:t>
      </w:r>
      <w:r w:rsidRPr="00DA0A96" w:rsidR="00A54D51">
        <w:t xml:space="preserve">but does not </w:t>
      </w:r>
      <w:r w:rsidR="00BB4B89">
        <w:t xml:space="preserve">necessarily </w:t>
      </w:r>
      <w:r w:rsidRPr="00DA0A96" w:rsidR="00A54D51">
        <w:t xml:space="preserve">immunize liability for </w:t>
      </w:r>
      <w:r w:rsidRPr="00DA0A96">
        <w:t>fail</w:t>
      </w:r>
      <w:r w:rsidRPr="00DA0A96" w:rsidR="00A54D51">
        <w:t xml:space="preserve">ing </w:t>
      </w:r>
      <w:r w:rsidRPr="00DA0A96">
        <w:t xml:space="preserve">to </w:t>
      </w:r>
      <w:r w:rsidRPr="00DA0A96" w:rsidR="000C636A">
        <w:t xml:space="preserve">warn of a known </w:t>
      </w:r>
      <w:r w:rsidRPr="00DA0A96" w:rsidR="002C7504">
        <w:t>danger</w:t>
      </w:r>
      <w:r w:rsidRPr="00DA0A96" w:rsidR="00456C2C">
        <w:t xml:space="preserve">ous </w:t>
      </w:r>
      <w:r w:rsidRPr="00DA0A96" w:rsidR="0002211A">
        <w:t xml:space="preserve">traffic condition </w:t>
      </w:r>
      <w:r w:rsidRPr="00DA0A96" w:rsidR="002C7504">
        <w:t>under section</w:t>
      </w:r>
      <w:r w:rsidRPr="00DA0A96" w:rsidR="007B0691">
        <w:t xml:space="preserve"> 835,</w:t>
      </w:r>
      <w:r w:rsidRPr="00DA0A96" w:rsidR="002C7504">
        <w:t xml:space="preserve"> subdivision (b) (a form of passive negligence).</w:t>
      </w:r>
      <w:r>
        <w:rPr>
          <w:rStyle w:val="FootnoteReference"/>
        </w:rPr>
        <w:footnoteReference w:id="7"/>
      </w:r>
      <w:r w:rsidRPr="00DA0A96" w:rsidR="000E0EDB">
        <w:t xml:space="preserve">  This distinction is important because unlike</w:t>
      </w:r>
      <w:r w:rsidRPr="00DA0A96" w:rsidR="00454B9C">
        <w:t xml:space="preserve"> claim</w:t>
      </w:r>
      <w:r w:rsidRPr="00DA0A96" w:rsidR="00327AF9">
        <w:t>s</w:t>
      </w:r>
      <w:r w:rsidRPr="00DA0A96" w:rsidR="00454B9C">
        <w:t xml:space="preserve"> brought</w:t>
      </w:r>
      <w:r w:rsidRPr="00DA0A96" w:rsidR="000E0EDB">
        <w:t xml:space="preserve"> under section 835, subdivision (a), to prevail on a claim under subdivision (b), the plaintiff must prove the public entity </w:t>
      </w:r>
      <w:r w:rsidRPr="00DA0A96" w:rsidR="000E0EDB">
        <w:rPr>
          <w:i/>
          <w:iCs/>
        </w:rPr>
        <w:t xml:space="preserve">had notice </w:t>
      </w:r>
      <w:r w:rsidRPr="00DA0A96" w:rsidR="00F44BE1">
        <w:t xml:space="preserve">of the </w:t>
      </w:r>
      <w:r w:rsidRPr="00DA0A96" w:rsidR="000E0EDB">
        <w:t>dangerous condition.  (See § 835, subd</w:t>
      </w:r>
      <w:r w:rsidRPr="00DA0A96" w:rsidR="00751C17">
        <w:t>s</w:t>
      </w:r>
      <w:r w:rsidRPr="00DA0A96" w:rsidR="000E0EDB">
        <w:t xml:space="preserve">. </w:t>
      </w:r>
      <w:r w:rsidRPr="00DA0A96" w:rsidR="00751C17">
        <w:t xml:space="preserve">(a), </w:t>
      </w:r>
      <w:r w:rsidRPr="00DA0A96" w:rsidR="000E0EDB">
        <w:t>(b)</w:t>
      </w:r>
      <w:r w:rsidRPr="00DA0A96" w:rsidR="00751C17">
        <w:t xml:space="preserve">; </w:t>
      </w:r>
      <w:r w:rsidRPr="00DA0A96" w:rsidR="00530285">
        <w:t>compare</w:t>
      </w:r>
      <w:r w:rsidRPr="00DA0A96" w:rsidR="00751C17">
        <w:t xml:space="preserve"> </w:t>
      </w:r>
      <w:bookmarkStart w:id="10" w:name="_Hlk130222115"/>
      <w:r w:rsidRPr="00D0512E" w:rsidR="00751C17">
        <w:t xml:space="preserve">Van Alstyne, </w:t>
      </w:r>
      <w:r w:rsidRPr="00D0512E" w:rsidR="00751C17">
        <w:rPr>
          <w:i/>
          <w:iCs/>
        </w:rPr>
        <w:t>supra</w:t>
      </w:r>
      <w:r w:rsidRPr="00D0512E" w:rsidR="00751C17">
        <w:t>, § 3</w:t>
      </w:r>
      <w:r w:rsidR="00D0512E">
        <w:t>.</w:t>
      </w:r>
      <w:r w:rsidRPr="00D0512E" w:rsidR="00751C17">
        <w:t>17, at p.</w:t>
      </w:r>
      <w:r w:rsidRPr="00D0512E" w:rsidR="00BB4B89">
        <w:t> </w:t>
      </w:r>
      <w:r w:rsidRPr="00D0512E" w:rsidR="00751C17">
        <w:t>208</w:t>
      </w:r>
      <w:r w:rsidRPr="00DA0A96" w:rsidR="00751C17">
        <w:t xml:space="preserve"> [“</w:t>
      </w:r>
      <w:r w:rsidR="00E31396">
        <w:t>[</w:t>
      </w:r>
      <w:r w:rsidRPr="00DA0A96" w:rsidR="00751C17">
        <w:t>w</w:t>
      </w:r>
      <w:r w:rsidR="00E31396">
        <w:t>]</w:t>
      </w:r>
      <w:r w:rsidRPr="00DA0A96" w:rsidR="00751C17">
        <w:t>hen the alleged basis of entity liability for a dangerous property condition is</w:t>
      </w:r>
      <w:r w:rsidRPr="00DA0A96" w:rsidR="0002211A">
        <w:t xml:space="preserve"> </w:t>
      </w:r>
      <w:r w:rsidRPr="00DA0A96" w:rsidR="00751C17">
        <w:t>. . .</w:t>
      </w:r>
      <w:r w:rsidRPr="00DA0A96" w:rsidR="0002211A">
        <w:t xml:space="preserve"> </w:t>
      </w:r>
      <w:r w:rsidRPr="00DA0A96" w:rsidR="00751C17">
        <w:t>creation of the condition [</w:t>
      </w:r>
      <w:r w:rsidRPr="00DA0A96" w:rsidR="00530285">
        <w:t>under</w:t>
      </w:r>
      <w:r w:rsidRPr="00DA0A96" w:rsidR="00751C17">
        <w:t xml:space="preserve"> § 835, subd. (a)], plaintiff is not required to establish</w:t>
      </w:r>
      <w:r w:rsidRPr="00DA0A96" w:rsidR="0002211A">
        <w:t xml:space="preserve"> </w:t>
      </w:r>
      <w:r w:rsidRPr="00DA0A96" w:rsidR="00751C17">
        <w:t>. . .</w:t>
      </w:r>
      <w:r w:rsidRPr="00DA0A96" w:rsidR="0002211A">
        <w:t xml:space="preserve"> </w:t>
      </w:r>
      <w:r w:rsidRPr="00DA0A96" w:rsidR="00751C17">
        <w:t xml:space="preserve">notice to the entity”]; </w:t>
      </w:r>
      <w:r w:rsidRPr="00DA0A96" w:rsidR="00530285">
        <w:t xml:space="preserve">with </w:t>
      </w:r>
      <w:r w:rsidRPr="00E31396" w:rsidR="00751C17">
        <w:rPr>
          <w:i/>
          <w:iCs/>
        </w:rPr>
        <w:t>id</w:t>
      </w:r>
      <w:r w:rsidRPr="00E31396" w:rsidR="00751C17">
        <w:t>. at §</w:t>
      </w:r>
      <w:r w:rsidRPr="00E31396" w:rsidR="0002211A">
        <w:t xml:space="preserve"> </w:t>
      </w:r>
      <w:r w:rsidRPr="00E31396" w:rsidR="00751C17">
        <w:t>3.20</w:t>
      </w:r>
      <w:r w:rsidRPr="00E31396" w:rsidR="005F0280">
        <w:t>, p.</w:t>
      </w:r>
      <w:r w:rsidRPr="00E31396" w:rsidR="00BB4B89">
        <w:t> </w:t>
      </w:r>
      <w:r w:rsidRPr="00E31396" w:rsidR="005F0280">
        <w:t>21</w:t>
      </w:r>
      <w:r w:rsidR="00E31396">
        <w:t>2</w:t>
      </w:r>
      <w:bookmarkEnd w:id="10"/>
      <w:r w:rsidRPr="00DA0A96" w:rsidR="00751C17">
        <w:t xml:space="preserve"> [when alleged basis of </w:t>
      </w:r>
      <w:r w:rsidRPr="00DA0A96" w:rsidR="005F0280">
        <w:t xml:space="preserve">entity liability is failure to protect </w:t>
      </w:r>
      <w:r w:rsidRPr="00DA0A96" w:rsidR="00530285">
        <w:t xml:space="preserve">under </w:t>
      </w:r>
      <w:r w:rsidRPr="00DA0A96" w:rsidR="005F0280">
        <w:t>§ 835, subd. (b), plaintiff’s “</w:t>
      </w:r>
      <w:r w:rsidRPr="00DA0A96" w:rsidR="00751C17">
        <w:t>failure to establish . . . notice is fatal to recovery</w:t>
      </w:r>
      <w:r w:rsidRPr="00DA0A96" w:rsidR="005F0280">
        <w:t>”]</w:t>
      </w:r>
      <w:r w:rsidRPr="00DA0A96" w:rsidR="000E0EDB">
        <w:t>.)  Accordingly,</w:t>
      </w:r>
      <w:r w:rsidRPr="00DA0A96" w:rsidR="000012E4">
        <w:t xml:space="preserve"> a plaintiff seeking to impose liability for </w:t>
      </w:r>
      <w:r w:rsidRPr="00DA0A96" w:rsidR="001E3F46">
        <w:t>failure</w:t>
      </w:r>
      <w:r w:rsidRPr="00DA0A96" w:rsidR="000012E4">
        <w:t xml:space="preserve"> to </w:t>
      </w:r>
      <w:r w:rsidRPr="00DA0A96" w:rsidR="000E0EDB">
        <w:t>warn</w:t>
      </w:r>
      <w:r w:rsidRPr="00DA0A96" w:rsidR="00F44BE1">
        <w:t xml:space="preserve"> of an </w:t>
      </w:r>
      <w:r w:rsidRPr="00DA0A96" w:rsidR="001E3F46">
        <w:t xml:space="preserve">immunized design </w:t>
      </w:r>
      <w:r w:rsidRPr="00DA0A96" w:rsidR="00F44BE1">
        <w:t>element</w:t>
      </w:r>
      <w:r w:rsidRPr="00DA0A96" w:rsidR="000012E4">
        <w:t xml:space="preserve"> </w:t>
      </w:r>
      <w:r w:rsidRPr="00DA0A96" w:rsidR="000E0EDB">
        <w:t xml:space="preserve">must prove the public entity had notice </w:t>
      </w:r>
      <w:r w:rsidRPr="00DA0A96" w:rsidR="00F44BE1">
        <w:t xml:space="preserve">that its design resulted in a </w:t>
      </w:r>
      <w:r w:rsidRPr="00DA0A96" w:rsidR="000E0EDB">
        <w:t xml:space="preserve">dangerous condition.  (See, e.g., </w:t>
      </w:r>
      <w:r w:rsidRPr="00DA0A96" w:rsidR="000E0EDB">
        <w:rPr>
          <w:i/>
          <w:iCs/>
        </w:rPr>
        <w:t>Brown v. Poway Unified School Dist</w:t>
      </w:r>
      <w:r w:rsidRPr="00DA0A96" w:rsidR="000E0EDB">
        <w:t>. (1993) 4</w:t>
      </w:r>
      <w:r w:rsidRPr="00DA0A96" w:rsidR="00D34FD5">
        <w:t> </w:t>
      </w:r>
      <w:r w:rsidRPr="00DA0A96" w:rsidR="000E0EDB">
        <w:t>Cal.4th 820, 829 [public entity “could not be liable under section 835, subdivision (b)” where “there was no evidence that [it] had notice of the allegedly dangerous condition”]</w:t>
      </w:r>
      <w:r w:rsidR="000E7B9B">
        <w:t xml:space="preserve">; </w:t>
      </w:r>
      <w:r w:rsidRPr="000E7B9B" w:rsidR="000E7B9B">
        <w:rPr>
          <w:i/>
          <w:iCs/>
        </w:rPr>
        <w:t>Anderson, supra</w:t>
      </w:r>
      <w:r w:rsidR="000E7B9B">
        <w:t>, 65 Cal.App.3d at p. 92 [discussing notice requirement of claims arising under section 835, subdivision (b)]</w:t>
      </w:r>
      <w:r w:rsidRPr="00DA0A96" w:rsidR="000E0EDB">
        <w:t>.)</w:t>
      </w:r>
    </w:p>
    <w:p w:rsidR="00F40B64" w:rsidRPr="00DA0A96" w:rsidP="00DA0A96">
      <w:pPr>
        <w:tabs>
          <w:tab w:val="left" w:pos="1440"/>
        </w:tabs>
        <w:ind w:firstLine="720"/>
      </w:pPr>
      <w:r w:rsidRPr="00DA0A96">
        <w:t xml:space="preserve">Second, </w:t>
      </w:r>
      <w:r w:rsidRPr="00DA0A96" w:rsidR="00DF0AFA">
        <w:t xml:space="preserve">while </w:t>
      </w:r>
      <w:r w:rsidRPr="00DA0A96" w:rsidR="002C7504">
        <w:rPr>
          <w:i/>
          <w:iCs/>
        </w:rPr>
        <w:t>Cameron</w:t>
      </w:r>
      <w:r w:rsidRPr="00DA0A96" w:rsidR="002C7504">
        <w:t xml:space="preserve"> </w:t>
      </w:r>
      <w:r w:rsidRPr="00DA0A96" w:rsidR="00DF0AFA">
        <w:t>held</w:t>
      </w:r>
      <w:r w:rsidRPr="00DA0A96" w:rsidR="002C7504">
        <w:t xml:space="preserve"> that</w:t>
      </w:r>
      <w:r w:rsidRPr="00DA0A96" w:rsidR="002666A0">
        <w:t xml:space="preserve"> </w:t>
      </w:r>
      <w:r w:rsidRPr="00DA0A96" w:rsidR="006D4325">
        <w:t>design immunity</w:t>
      </w:r>
      <w:r w:rsidRPr="00DA0A96" w:rsidR="000420E6">
        <w:t xml:space="preserve"> </w:t>
      </w:r>
      <w:r w:rsidR="00D809D3">
        <w:t>does not categorically preclude</w:t>
      </w:r>
      <w:r w:rsidRPr="00DA0A96" w:rsidR="006D4325">
        <w:t xml:space="preserve"> claims alleging </w:t>
      </w:r>
      <w:r w:rsidRPr="00DA0A96" w:rsidR="000420E6">
        <w:t xml:space="preserve">failure to warn </w:t>
      </w:r>
      <w:r w:rsidRPr="00DA0A96" w:rsidR="00381CAC">
        <w:t xml:space="preserve">of a dangerous traffic condition </w:t>
      </w:r>
      <w:r w:rsidRPr="00DA0A96" w:rsidR="006D4325">
        <w:t xml:space="preserve">pursuant to </w:t>
      </w:r>
      <w:r w:rsidRPr="00DA0A96" w:rsidR="00236839">
        <w:t xml:space="preserve">section 835, subdivision (b), </w:t>
      </w:r>
      <w:r w:rsidRPr="00DA0A96" w:rsidR="00BD24C0">
        <w:t xml:space="preserve">the decision’s </w:t>
      </w:r>
      <w:r w:rsidRPr="00DA0A96" w:rsidR="00DF0AFA">
        <w:t>reasoning</w:t>
      </w:r>
      <w:r w:rsidRPr="00DA0A96" w:rsidR="004772E0">
        <w:t xml:space="preserve"> </w:t>
      </w:r>
      <w:r w:rsidRPr="00DA0A96" w:rsidR="00230A2B">
        <w:t xml:space="preserve">also </w:t>
      </w:r>
      <w:r w:rsidRPr="00DA0A96" w:rsidR="00DF0AFA">
        <w:t xml:space="preserve">makes clear that </w:t>
      </w:r>
      <w:r w:rsidRPr="00DA0A96" w:rsidR="00BD24C0">
        <w:t>such</w:t>
      </w:r>
      <w:r w:rsidRPr="00DA0A96" w:rsidR="004772E0">
        <w:t xml:space="preserve"> </w:t>
      </w:r>
      <w:r w:rsidRPr="00DA0A96" w:rsidR="00236839">
        <w:t>claims may be subject to</w:t>
      </w:r>
      <w:r w:rsidRPr="00DA0A96" w:rsidR="000420E6">
        <w:t xml:space="preserve"> a separate</w:t>
      </w:r>
      <w:r w:rsidRPr="00DA0A96" w:rsidR="006D4325">
        <w:t>, more limited form of</w:t>
      </w:r>
      <w:r w:rsidRPr="00DA0A96" w:rsidR="000420E6">
        <w:t xml:space="preserve"> statutory immunity</w:t>
      </w:r>
      <w:r w:rsidRPr="00DA0A96" w:rsidR="00236839">
        <w:t>:</w:t>
      </w:r>
      <w:r w:rsidRPr="00DA0A96" w:rsidR="002648BF">
        <w:t xml:space="preserve"> </w:t>
      </w:r>
      <w:r w:rsidRPr="00DA0A96" w:rsidR="00675AC8">
        <w:t xml:space="preserve"> </w:t>
      </w:r>
      <w:r w:rsidR="00A61232">
        <w:t>S</w:t>
      </w:r>
      <w:r w:rsidRPr="00DA0A96" w:rsidR="002666A0">
        <w:t xml:space="preserve">ignage immunity </w:t>
      </w:r>
      <w:r w:rsidRPr="00DA0A96" w:rsidR="006D4325">
        <w:t xml:space="preserve">set forth in </w:t>
      </w:r>
      <w:r w:rsidRPr="00DA0A96" w:rsidR="002648BF">
        <w:t>section 830.8</w:t>
      </w:r>
      <w:r w:rsidRPr="00DA0A96" w:rsidR="00236839">
        <w:t xml:space="preserve">.  </w:t>
      </w:r>
      <w:r w:rsidRPr="00DA0A96" w:rsidR="00DF0AFA">
        <w:t>That provision</w:t>
      </w:r>
      <w:r w:rsidRPr="00DA0A96" w:rsidR="00D40C2C">
        <w:t xml:space="preserve"> </w:t>
      </w:r>
      <w:r w:rsidRPr="00DA0A96" w:rsidR="0004541E">
        <w:t>preclude</w:t>
      </w:r>
      <w:r w:rsidRPr="00DA0A96" w:rsidR="00E208EC">
        <w:t>s</w:t>
      </w:r>
      <w:r w:rsidRPr="00DA0A96" w:rsidR="00DD645B">
        <w:t xml:space="preserve"> </w:t>
      </w:r>
      <w:r w:rsidRPr="00DA0A96" w:rsidR="001F1C75">
        <w:t xml:space="preserve">government </w:t>
      </w:r>
      <w:r w:rsidRPr="00DA0A96" w:rsidR="00610BE5">
        <w:t xml:space="preserve">liability for failing to provide </w:t>
      </w:r>
      <w:r w:rsidRPr="00DA0A96" w:rsidR="001F1C75">
        <w:t>“</w:t>
      </w:r>
      <w:r w:rsidRPr="00DA0A96" w:rsidR="00FC5369">
        <w:t xml:space="preserve">traffic or warning </w:t>
      </w:r>
      <w:r w:rsidRPr="00DA0A96" w:rsidR="00DF0AFA">
        <w:t>sign</w:t>
      </w:r>
      <w:r w:rsidRPr="00DA0A96" w:rsidR="001F1C75">
        <w:t>al</w:t>
      </w:r>
      <w:r w:rsidRPr="00DA0A96" w:rsidR="007D0038">
        <w:t>s</w:t>
      </w:r>
      <w:r w:rsidRPr="00DA0A96" w:rsidR="001F1C75">
        <w:t>”</w:t>
      </w:r>
      <w:r w:rsidRPr="00DA0A96" w:rsidR="007D0038">
        <w:t xml:space="preserve"> (§ 830.8),</w:t>
      </w:r>
      <w:r w:rsidRPr="00DA0A96" w:rsidR="00675AC8">
        <w:t xml:space="preserve"> </w:t>
      </w:r>
      <w:r w:rsidRPr="00DA0A96" w:rsidR="0004541E">
        <w:t xml:space="preserve">except </w:t>
      </w:r>
      <w:r w:rsidRPr="00DA0A96" w:rsidR="00DD645B">
        <w:t xml:space="preserve">when </w:t>
      </w:r>
      <w:r w:rsidRPr="00DA0A96" w:rsidR="00EE38E4">
        <w:t>“necessary to warn of a dangerous condition which would not be reasonably apparent to, and would not have been anticipated by, a person using the highway with due care” (</w:t>
      </w:r>
      <w:r w:rsidRPr="00DA0A96" w:rsidR="00EE38E4">
        <w:rPr>
          <w:i/>
          <w:iCs/>
        </w:rPr>
        <w:t>Cameron</w:t>
      </w:r>
      <w:r w:rsidRPr="00DA0A96" w:rsidR="00610BE5">
        <w:rPr>
          <w:i/>
          <w:iCs/>
        </w:rPr>
        <w:t>, supra</w:t>
      </w:r>
      <w:r w:rsidRPr="00DA0A96" w:rsidR="00EE38E4">
        <w:t xml:space="preserve">, </w:t>
      </w:r>
      <w:r w:rsidRPr="00DA0A96" w:rsidR="00610BE5">
        <w:t>7</w:t>
      </w:r>
      <w:r w:rsidRPr="00DA0A96" w:rsidR="002B094B">
        <w:t> </w:t>
      </w:r>
      <w:r w:rsidRPr="00DA0A96" w:rsidR="00610BE5">
        <w:t>Cal.3d at p.</w:t>
      </w:r>
      <w:r w:rsidRPr="00DA0A96" w:rsidR="002B094B">
        <w:t> </w:t>
      </w:r>
      <w:r w:rsidRPr="00DA0A96" w:rsidR="00610BE5">
        <w:t>327)</w:t>
      </w:r>
      <w:r w:rsidR="00A61232">
        <w:t>.</w:t>
      </w:r>
      <w:r w:rsidRPr="00DA0A96" w:rsidR="00E25A44">
        <w:t xml:space="preserve">  </w:t>
      </w:r>
      <w:r w:rsidRPr="00DA0A96" w:rsidR="001F1C75">
        <w:t xml:space="preserve">As noted above, this exception to signage immunity is </w:t>
      </w:r>
      <w:r w:rsidRPr="00DA0A96" w:rsidR="000012E4">
        <w:t>known</w:t>
      </w:r>
      <w:r w:rsidRPr="00DA0A96" w:rsidR="001F1C75">
        <w:t xml:space="preserve"> as the “concealed trap” exception.  (See </w:t>
      </w:r>
      <w:r w:rsidRPr="00DA0A96" w:rsidR="001F1C75">
        <w:rPr>
          <w:i/>
          <w:iCs/>
        </w:rPr>
        <w:t>ante</w:t>
      </w:r>
      <w:r w:rsidRPr="00DA0A96" w:rsidR="001F1C75">
        <w:t>, at p.</w:t>
      </w:r>
      <w:r w:rsidRPr="00DA0A96" w:rsidR="002B094B">
        <w:t> </w:t>
      </w:r>
      <w:r w:rsidRPr="00DA0A96" w:rsidR="003E3A12">
        <w:t>1</w:t>
      </w:r>
      <w:r w:rsidR="00987F48">
        <w:t>2</w:t>
      </w:r>
      <w:r w:rsidRPr="00DA0A96" w:rsidR="001F1C75">
        <w:t xml:space="preserve">.)  </w:t>
      </w:r>
      <w:r w:rsidRPr="00DA0A96" w:rsidR="00E25A44">
        <w:t xml:space="preserve">Thus, </w:t>
      </w:r>
      <w:r w:rsidRPr="00DA0A96" w:rsidR="0012425E">
        <w:t xml:space="preserve">under </w:t>
      </w:r>
      <w:r w:rsidRPr="00DA0A96" w:rsidR="0012425E">
        <w:rPr>
          <w:i/>
          <w:iCs/>
        </w:rPr>
        <w:t>Cameron</w:t>
      </w:r>
      <w:r w:rsidRPr="00DA0A96" w:rsidR="0012425E">
        <w:t xml:space="preserve">, </w:t>
      </w:r>
      <w:r w:rsidRPr="00DA0A96" w:rsidR="00034615">
        <w:t xml:space="preserve">despite the </w:t>
      </w:r>
      <w:r w:rsidRPr="00DA0A96" w:rsidR="000012E4">
        <w:t>inapplicability</w:t>
      </w:r>
      <w:r w:rsidRPr="00DA0A96" w:rsidR="00034615">
        <w:t xml:space="preserve"> of design immunity, a plaintiff </w:t>
      </w:r>
      <w:r w:rsidRPr="00DA0A96" w:rsidR="000012E4">
        <w:t xml:space="preserve">alleging </w:t>
      </w:r>
      <w:r w:rsidRPr="00DA0A96" w:rsidR="0012425E">
        <w:t>fail</w:t>
      </w:r>
      <w:r w:rsidRPr="00DA0A96" w:rsidR="000012E4">
        <w:t xml:space="preserve">ure </w:t>
      </w:r>
      <w:r w:rsidRPr="00DA0A96" w:rsidR="0012425E">
        <w:t xml:space="preserve">to warn of a dangerous </w:t>
      </w:r>
      <w:r w:rsidRPr="00DA0A96" w:rsidR="00381CAC">
        <w:t xml:space="preserve">traffic </w:t>
      </w:r>
      <w:r w:rsidRPr="00DA0A96" w:rsidR="0012425E">
        <w:t>condition</w:t>
      </w:r>
      <w:r w:rsidRPr="00DA0A96" w:rsidR="00381CAC">
        <w:t xml:space="preserve"> </w:t>
      </w:r>
      <w:r w:rsidRPr="00DA0A96" w:rsidR="001F1C75">
        <w:t>mu</w:t>
      </w:r>
      <w:r w:rsidRPr="00DA0A96" w:rsidR="0012425E">
        <w:t xml:space="preserve">st nonetheless </w:t>
      </w:r>
      <w:r w:rsidRPr="00DA0A96" w:rsidR="001F1C75">
        <w:t xml:space="preserve">overcome signage immunity by </w:t>
      </w:r>
      <w:r w:rsidRPr="00DA0A96" w:rsidR="0012425E">
        <w:t>establish</w:t>
      </w:r>
      <w:r w:rsidRPr="00DA0A96" w:rsidR="001F1C75">
        <w:t>ing</w:t>
      </w:r>
      <w:r w:rsidRPr="00DA0A96" w:rsidR="0012425E">
        <w:t xml:space="preserve"> the </w:t>
      </w:r>
      <w:r w:rsidRPr="00DA0A96" w:rsidR="000012E4">
        <w:t xml:space="preserve">accident-causing </w:t>
      </w:r>
      <w:r w:rsidRPr="00DA0A96" w:rsidR="0012425E">
        <w:t xml:space="preserve">condition </w:t>
      </w:r>
      <w:r w:rsidRPr="00DA0A96" w:rsidR="000012E4">
        <w:t>w</w:t>
      </w:r>
      <w:r w:rsidRPr="00DA0A96" w:rsidR="001F1C75">
        <w:t xml:space="preserve">as a </w:t>
      </w:r>
      <w:r w:rsidRPr="00DA0A96" w:rsidR="0012425E">
        <w:t>concealed trap</w:t>
      </w:r>
      <w:r w:rsidRPr="00DA0A96" w:rsidR="00E045CF">
        <w:t>.</w:t>
      </w:r>
    </w:p>
    <w:p w:rsidR="00B32D9B" w:rsidP="00DA0A96">
      <w:pPr>
        <w:tabs>
          <w:tab w:val="left" w:pos="1440"/>
        </w:tabs>
        <w:ind w:firstLine="720"/>
      </w:pPr>
      <w:r w:rsidRPr="00DA0A96">
        <w:t xml:space="preserve">Third, </w:t>
      </w:r>
      <w:r w:rsidRPr="00DA0A96">
        <w:rPr>
          <w:i/>
          <w:iCs/>
        </w:rPr>
        <w:t>Cameron</w:t>
      </w:r>
      <w:r w:rsidRPr="00DA0A96">
        <w:t xml:space="preserve"> makes clear that</w:t>
      </w:r>
      <w:r w:rsidRPr="00DA0A96" w:rsidR="00C23EFD">
        <w:t xml:space="preserve"> </w:t>
      </w:r>
      <w:r w:rsidRPr="00DA0A96">
        <w:t xml:space="preserve">to </w:t>
      </w:r>
      <w:r w:rsidRPr="00DA0A96" w:rsidR="00C23EFD">
        <w:t xml:space="preserve">establish </w:t>
      </w:r>
      <w:r w:rsidRPr="00DA0A96">
        <w:t xml:space="preserve">liability for failing to warn of a dangerous </w:t>
      </w:r>
      <w:r w:rsidRPr="00DA0A96" w:rsidR="00381CAC">
        <w:t xml:space="preserve">traffic </w:t>
      </w:r>
      <w:r w:rsidRPr="00DA0A96">
        <w:t xml:space="preserve">condition that is otherwise subject to design immunity, the plaintiff must </w:t>
      </w:r>
      <w:r w:rsidRPr="00DA0A96" w:rsidR="00C23EFD">
        <w:t>prove th</w:t>
      </w:r>
      <w:r w:rsidRPr="00DA0A96">
        <w:t xml:space="preserve">e absence of </w:t>
      </w:r>
      <w:r w:rsidRPr="00DA0A96" w:rsidR="009A3316">
        <w:t xml:space="preserve">a </w:t>
      </w:r>
      <w:r w:rsidRPr="00DA0A96">
        <w:t xml:space="preserve">warning was an “independent, separate, concurring cause of the accident.”  </w:t>
      </w:r>
      <w:r w:rsidRPr="00DA0A96" w:rsidR="003D6849">
        <w:t>(</w:t>
      </w:r>
      <w:r w:rsidRPr="00DA0A96" w:rsidR="003D6849">
        <w:rPr>
          <w:i/>
          <w:iCs/>
        </w:rPr>
        <w:t>Cameron, supra</w:t>
      </w:r>
      <w:r w:rsidRPr="00DA0A96" w:rsidR="003D6849">
        <w:t xml:space="preserve">, </w:t>
      </w:r>
      <w:r w:rsidRPr="00DA0A96" w:rsidR="00E716E2">
        <w:t>7</w:t>
      </w:r>
      <w:r w:rsidRPr="00DA0A96" w:rsidR="002B094B">
        <w:t> </w:t>
      </w:r>
      <w:r w:rsidRPr="00DA0A96" w:rsidR="003D6849">
        <w:t>Cal.3d at p.</w:t>
      </w:r>
      <w:r w:rsidRPr="00DA0A96" w:rsidR="002B094B">
        <w:t> </w:t>
      </w:r>
      <w:r w:rsidRPr="00DA0A96" w:rsidR="003D6849">
        <w:t xml:space="preserve">329.)  </w:t>
      </w:r>
      <w:r w:rsidRPr="00DA0A96" w:rsidR="00CC23C4">
        <w:t>W</w:t>
      </w:r>
      <w:r w:rsidRPr="00DA0A96" w:rsidR="007754A4">
        <w:t>e have previously observed</w:t>
      </w:r>
      <w:r w:rsidRPr="00DA0A96" w:rsidR="003845A0">
        <w:t xml:space="preserve"> that</w:t>
      </w:r>
      <w:r w:rsidRPr="00DA0A96" w:rsidR="007754A4">
        <w:t xml:space="preserve"> “[i]n cases where concurrent independent causes contribute to an injury, we apply the ‘substantial factor’ test</w:t>
      </w:r>
      <w:r w:rsidRPr="00DA0A96" w:rsidR="00CC23C4">
        <w:t>” (</w:t>
      </w:r>
      <w:r w:rsidRPr="00DA0A96" w:rsidR="00CC23C4">
        <w:rPr>
          <w:i/>
          <w:iCs/>
        </w:rPr>
        <w:t>State Dept. of State Hospitals v. Superior Court</w:t>
      </w:r>
      <w:r w:rsidRPr="00DA0A96" w:rsidR="00CC23C4">
        <w:t xml:space="preserve"> (2015) 61</w:t>
      </w:r>
      <w:r w:rsidRPr="00DA0A96" w:rsidR="00D34FD5">
        <w:t> </w:t>
      </w:r>
      <w:r w:rsidRPr="00DA0A96" w:rsidR="00CC23C4">
        <w:t>Cal.4th 339, 352</w:t>
      </w:r>
      <w:r w:rsidR="002700E8">
        <w:t>, fn. 12</w:t>
      </w:r>
      <w:r w:rsidRPr="00DA0A96" w:rsidR="00CC23C4">
        <w:t xml:space="preserve">), </w:t>
      </w:r>
      <w:r w:rsidRPr="00DA0A96" w:rsidR="00B667D1">
        <w:t>which requires the plaintiff to “</w:t>
      </w:r>
      <w:r w:rsidRPr="00DA0A96">
        <w:t xml:space="preserve">show some substantial link or nexus between omission and injury.” </w:t>
      </w:r>
      <w:r w:rsidRPr="00DA0A96" w:rsidR="00CC23C4">
        <w:t xml:space="preserve"> </w:t>
      </w:r>
      <w:r w:rsidRPr="00DA0A96">
        <w:t>(</w:t>
      </w:r>
      <w:r w:rsidRPr="00DA0A96" w:rsidR="00CC23C4">
        <w:rPr>
          <w:i/>
          <w:iCs/>
        </w:rPr>
        <w:t xml:space="preserve">Saelzler v. Advanced Group 400 </w:t>
      </w:r>
      <w:r w:rsidRPr="00DA0A96" w:rsidR="00CC23C4">
        <w:t>(2001) 25</w:t>
      </w:r>
      <w:r w:rsidRPr="00DA0A96" w:rsidR="00D34FD5">
        <w:t> </w:t>
      </w:r>
      <w:r w:rsidRPr="00DA0A96" w:rsidR="00CC23C4">
        <w:t>Cal.4th 763, 778.)</w:t>
      </w:r>
      <w:r w:rsidRPr="00DA0A96" w:rsidR="00E208EC">
        <w:t xml:space="preserve">  Thus, if a plaintiff is not able to establish that the absence of a warning sign was a substantial factor in </w:t>
      </w:r>
      <w:r w:rsidRPr="00DA0A96" w:rsidR="009C4869">
        <w:t xml:space="preserve">causing </w:t>
      </w:r>
      <w:r w:rsidRPr="00DA0A96" w:rsidR="00E208EC">
        <w:t>the</w:t>
      </w:r>
      <w:r w:rsidRPr="00DA0A96" w:rsidR="009C4869">
        <w:t xml:space="preserve"> injury</w:t>
      </w:r>
      <w:r w:rsidRPr="00DA0A96" w:rsidR="00E208EC">
        <w:t>, the claim will fail.</w:t>
      </w:r>
    </w:p>
    <w:p w:rsidR="00D809D3" w:rsidRPr="00DA0A96" w:rsidP="00597BE2">
      <w:pPr>
        <w:tabs>
          <w:tab w:val="left" w:pos="1440"/>
        </w:tabs>
        <w:ind w:firstLine="720"/>
      </w:pPr>
      <w:r>
        <w:t xml:space="preserve">Finally, </w:t>
      </w:r>
      <w:r w:rsidR="008A77EB">
        <w:t xml:space="preserve">we note that </w:t>
      </w:r>
      <w:r>
        <w:t xml:space="preserve">while </w:t>
      </w:r>
      <w:r w:rsidRPr="008E7C0D">
        <w:rPr>
          <w:i/>
          <w:iCs/>
        </w:rPr>
        <w:t>Cameron</w:t>
      </w:r>
      <w:r w:rsidR="00AB1A08">
        <w:t xml:space="preserve"> </w:t>
      </w:r>
      <w:r w:rsidR="003F1092">
        <w:t xml:space="preserve">concluded </w:t>
      </w:r>
      <w:r w:rsidR="00597BE2">
        <w:t xml:space="preserve">a public entity can be held liable for failing to warn of a </w:t>
      </w:r>
      <w:r w:rsidRPr="00597BE2" w:rsidR="00597BE2">
        <w:t xml:space="preserve">dangerous roadway feature </w:t>
      </w:r>
      <w:r w:rsidR="00597BE2">
        <w:t xml:space="preserve">that </w:t>
      </w:r>
      <w:r w:rsidRPr="00597BE2" w:rsidR="00597BE2">
        <w:t>was the result of a properly approved design</w:t>
      </w:r>
      <w:r w:rsidR="00597BE2">
        <w:t xml:space="preserve">, </w:t>
      </w:r>
      <w:r w:rsidR="000E7B9B">
        <w:t xml:space="preserve">our decision </w:t>
      </w:r>
      <w:r w:rsidRPr="00E37C62" w:rsidR="00E37C62">
        <w:t xml:space="preserve">did not </w:t>
      </w:r>
      <w:r w:rsidR="00073CAB">
        <w:t>address</w:t>
      </w:r>
      <w:r w:rsidR="000E7B9B">
        <w:t xml:space="preserve"> </w:t>
      </w:r>
      <w:r w:rsidR="004650D1">
        <w:t xml:space="preserve">whether </w:t>
      </w:r>
      <w:r w:rsidRPr="00E37C62" w:rsidR="00E37C62">
        <w:t>design immunity might apply if the</w:t>
      </w:r>
      <w:r w:rsidR="000E7B9B">
        <w:t xml:space="preserve"> public entity is able to </w:t>
      </w:r>
      <w:r w:rsidR="004650D1">
        <w:t>show</w:t>
      </w:r>
      <w:r w:rsidR="00073CAB">
        <w:t xml:space="preserve"> that </w:t>
      </w:r>
      <w:r w:rsidRPr="003B7660" w:rsidR="003B7660">
        <w:t>the presence or absence of warning signs w</w:t>
      </w:r>
      <w:r w:rsidR="003B7660">
        <w:t>as</w:t>
      </w:r>
      <w:r w:rsidRPr="003B7660" w:rsidR="003B7660">
        <w:t xml:space="preserve"> part of the approved design</w:t>
      </w:r>
      <w:r w:rsidR="00E37C62">
        <w:t xml:space="preserve">.  </w:t>
      </w:r>
      <w:r w:rsidR="004650D1">
        <w:t>The p</w:t>
      </w:r>
      <w:r w:rsidR="000E7B9B">
        <w:t>laintiffs</w:t>
      </w:r>
      <w:r w:rsidR="002B48F7">
        <w:t xml:space="preserve"> </w:t>
      </w:r>
      <w:r w:rsidR="003F1092">
        <w:t xml:space="preserve">in </w:t>
      </w:r>
      <w:r w:rsidRPr="009F2518" w:rsidR="003F1092">
        <w:rPr>
          <w:i/>
          <w:iCs/>
        </w:rPr>
        <w:t>Cameron</w:t>
      </w:r>
      <w:r w:rsidR="003F1092">
        <w:t xml:space="preserve"> </w:t>
      </w:r>
      <w:r w:rsidR="002B48F7">
        <w:t xml:space="preserve">specifically </w:t>
      </w:r>
      <w:r w:rsidR="003F1092">
        <w:t xml:space="preserve">alleged that the state’s failure to warn was </w:t>
      </w:r>
      <w:r w:rsidRPr="009F2518" w:rsidR="003F1092">
        <w:rPr>
          <w:i/>
          <w:iCs/>
        </w:rPr>
        <w:t>not</w:t>
      </w:r>
      <w:r w:rsidR="003F1092">
        <w:t xml:space="preserve"> part of any approved plan </w:t>
      </w:r>
      <w:r w:rsidR="00AB1A08">
        <w:t>(</w:t>
      </w:r>
      <w:r w:rsidRPr="00AB1A08" w:rsidR="00AB1A08">
        <w:rPr>
          <w:i/>
          <w:iCs/>
        </w:rPr>
        <w:t>id</w:t>
      </w:r>
      <w:r w:rsidR="00AB1A08">
        <w:t>. at p.</w:t>
      </w:r>
      <w:r w:rsidR="00FD1516">
        <w:t> </w:t>
      </w:r>
      <w:r w:rsidR="00AB1A08">
        <w:t>326)</w:t>
      </w:r>
      <w:r w:rsidR="00A61232">
        <w:t>,</w:t>
      </w:r>
      <w:r w:rsidR="00AB1A08">
        <w:t xml:space="preserve"> </w:t>
      </w:r>
      <w:r w:rsidR="003F1092">
        <w:t xml:space="preserve">and </w:t>
      </w:r>
      <w:r w:rsidR="00B36621">
        <w:t xml:space="preserve">they </w:t>
      </w:r>
      <w:r w:rsidR="003F1092">
        <w:t xml:space="preserve">acknowledged </w:t>
      </w:r>
      <w:r w:rsidR="00AB1A08">
        <w:t xml:space="preserve">in their petition for review </w:t>
      </w:r>
      <w:r w:rsidR="003F1092">
        <w:t>t</w:t>
      </w:r>
      <w:r w:rsidRPr="00BA3BB4" w:rsidR="00BA3BB4">
        <w:t xml:space="preserve">hat section 830.6 </w:t>
      </w:r>
      <w:r w:rsidR="00EB2EF0">
        <w:t>might</w:t>
      </w:r>
      <w:r w:rsidR="00B36621">
        <w:t xml:space="preserve"> </w:t>
      </w:r>
      <w:r w:rsidRPr="00BA3BB4" w:rsidR="00BA3BB4">
        <w:t>apply “where the presence or absence of signs was a considered element of the plan or design.”</w:t>
      </w:r>
      <w:r>
        <w:rPr>
          <w:rStyle w:val="FootnoteReference"/>
        </w:rPr>
        <w:footnoteReference w:id="8"/>
      </w:r>
      <w:r w:rsidRPr="00BA3BB4" w:rsidR="00BA3BB4">
        <w:t xml:space="preserve">  </w:t>
      </w:r>
      <w:r w:rsidR="003F1092">
        <w:t xml:space="preserve">In this case, </w:t>
      </w:r>
      <w:r w:rsidR="00B51DC4">
        <w:t xml:space="preserve">the </w:t>
      </w:r>
      <w:r w:rsidR="00ED4B9C">
        <w:t xml:space="preserve">City’s summary judgment motion </w:t>
      </w:r>
      <w:r w:rsidR="003F1092">
        <w:t>argued only that</w:t>
      </w:r>
      <w:r w:rsidR="00456FF5">
        <w:t xml:space="preserve"> section 830.6 shields public entities from failure to warn claims </w:t>
      </w:r>
      <w:r w:rsidR="003F1092">
        <w:t>involving a</w:t>
      </w:r>
      <w:r w:rsidR="00456FF5">
        <w:t>n approved feature of the</w:t>
      </w:r>
      <w:r w:rsidR="009F2518">
        <w:t xml:space="preserve"> roadway</w:t>
      </w:r>
      <w:r w:rsidR="00456FF5">
        <w:t xml:space="preserve">; </w:t>
      </w:r>
      <w:r w:rsidR="009F2518">
        <w:t xml:space="preserve">the City did not argue that the </w:t>
      </w:r>
      <w:r w:rsidR="00456FF5">
        <w:t xml:space="preserve">evidence </w:t>
      </w:r>
      <w:r w:rsidR="00AB1A08">
        <w:t xml:space="preserve">offered in support of its design immunity defense </w:t>
      </w:r>
      <w:r w:rsidR="001B6FFF">
        <w:t xml:space="preserve">showed city officials had </w:t>
      </w:r>
      <w:r w:rsidR="00456FF5">
        <w:t xml:space="preserve">considered </w:t>
      </w:r>
      <w:r w:rsidR="00FA2238">
        <w:t xml:space="preserve">whether to provide </w:t>
      </w:r>
      <w:r w:rsidR="009F2518">
        <w:t xml:space="preserve">a warning </w:t>
      </w:r>
      <w:r w:rsidR="000C48B3">
        <w:t xml:space="preserve">about the </w:t>
      </w:r>
      <w:r w:rsidR="00FA2238">
        <w:t xml:space="preserve">discontinuance of the </w:t>
      </w:r>
      <w:r w:rsidR="000C48B3">
        <w:t>bike lane</w:t>
      </w:r>
      <w:r w:rsidRPr="009F2518" w:rsidR="009F2518">
        <w:t xml:space="preserve">. </w:t>
      </w:r>
      <w:r w:rsidR="00FA2238">
        <w:t xml:space="preserve"> </w:t>
      </w:r>
      <w:r w:rsidR="009F2518">
        <w:t xml:space="preserve">Thus, as in </w:t>
      </w:r>
      <w:r w:rsidRPr="009F2518" w:rsidR="009F2518">
        <w:rPr>
          <w:i/>
          <w:iCs/>
        </w:rPr>
        <w:t>Cameron</w:t>
      </w:r>
      <w:r w:rsidR="009F2518">
        <w:t>, we have no occasion to consider</w:t>
      </w:r>
      <w:r w:rsidR="00DA1DCF">
        <w:t>, and express no view on,</w:t>
      </w:r>
      <w:r w:rsidR="002B48F7">
        <w:t xml:space="preserve"> </w:t>
      </w:r>
      <w:r w:rsidR="009F2518">
        <w:t xml:space="preserve">how design immunity might affect a failure to warn claim when a public entity does </w:t>
      </w:r>
      <w:r w:rsidR="00456FF5">
        <w:t xml:space="preserve">produce </w:t>
      </w:r>
      <w:r w:rsidR="009F2518">
        <w:t>evidence</w:t>
      </w:r>
      <w:r w:rsidR="00456FF5">
        <w:t xml:space="preserve"> that it considered whether to provide a warning</w:t>
      </w:r>
      <w:r w:rsidR="009F2518">
        <w:t>.</w:t>
      </w:r>
      <w:r w:rsidRPr="009F2518" w:rsidR="001B6FFF">
        <w:t xml:space="preserve"> </w:t>
      </w:r>
    </w:p>
    <w:p w:rsidR="00F40B64" w:rsidRPr="00DA0A96" w:rsidP="00DA0A96">
      <w:pPr>
        <w:tabs>
          <w:tab w:val="left" w:pos="1440"/>
        </w:tabs>
        <w:ind w:firstLine="720"/>
      </w:pPr>
      <w:r w:rsidRPr="00DA0A96">
        <w:t xml:space="preserve">The above discussion </w:t>
      </w:r>
      <w:r w:rsidRPr="00DA0A96" w:rsidR="00E94AC0">
        <w:t xml:space="preserve">illustrates that while </w:t>
      </w:r>
      <w:r w:rsidRPr="00DA0A96">
        <w:rPr>
          <w:i/>
          <w:iCs/>
        </w:rPr>
        <w:t>Cameron</w:t>
      </w:r>
      <w:r w:rsidRPr="00DA0A96">
        <w:t xml:space="preserve"> </w:t>
      </w:r>
      <w:r w:rsidR="00B36621">
        <w:t xml:space="preserve">generally </w:t>
      </w:r>
      <w:r w:rsidRPr="00DA0A96" w:rsidR="00E94AC0">
        <w:t>permits claims for fai</w:t>
      </w:r>
      <w:r w:rsidRPr="00DA0A96" w:rsidR="004E1869">
        <w:t>l</w:t>
      </w:r>
      <w:r w:rsidRPr="00DA0A96" w:rsidR="000012E4">
        <w:t>ure</w:t>
      </w:r>
      <w:r w:rsidRPr="00DA0A96" w:rsidR="00E94AC0">
        <w:t xml:space="preserve"> to warn of a dangerous </w:t>
      </w:r>
      <w:r w:rsidRPr="00DA0A96" w:rsidR="00381CAC">
        <w:t>traffic</w:t>
      </w:r>
      <w:r w:rsidRPr="00DA0A96" w:rsidR="00E045CF">
        <w:t xml:space="preserve"> </w:t>
      </w:r>
      <w:r w:rsidRPr="00DA0A96" w:rsidR="00E94AC0">
        <w:t xml:space="preserve">condition that </w:t>
      </w:r>
      <w:r w:rsidRPr="00DA0A96" w:rsidR="009120FC">
        <w:t xml:space="preserve">is subject to design immunity, a plaintiff pursuing such a claim must </w:t>
      </w:r>
      <w:r w:rsidR="001E2B49">
        <w:t xml:space="preserve">nonetheless </w:t>
      </w:r>
      <w:r w:rsidRPr="00DA0A96" w:rsidR="009120FC">
        <w:t>prove various elements that are not</w:t>
      </w:r>
      <w:r w:rsidRPr="00DA0A96" w:rsidR="00CC23C4">
        <w:t xml:space="preserve"> </w:t>
      </w:r>
      <w:r w:rsidRPr="00DA0A96" w:rsidR="009120FC">
        <w:t xml:space="preserve">present when pursuing a claim </w:t>
      </w:r>
      <w:r w:rsidRPr="00DA0A96" w:rsidR="00FF4EC8">
        <w:t xml:space="preserve">alleging a public entity </w:t>
      </w:r>
      <w:r w:rsidRPr="00DA0A96" w:rsidR="00FF4EC8">
        <w:rPr>
          <w:i/>
          <w:iCs/>
        </w:rPr>
        <w:t>created</w:t>
      </w:r>
      <w:r w:rsidRPr="00DA0A96" w:rsidR="00FF4EC8">
        <w:t xml:space="preserve"> th</w:t>
      </w:r>
      <w:r w:rsidRPr="00DA0A96" w:rsidR="00E045CF">
        <w:t>at</w:t>
      </w:r>
      <w:r w:rsidRPr="00DA0A96" w:rsidR="00FF4EC8">
        <w:t xml:space="preserve"> dangerous condition</w:t>
      </w:r>
      <w:r w:rsidRPr="00DA0A96" w:rsidR="00E045CF">
        <w:t xml:space="preserve">:  (1) </w:t>
      </w:r>
      <w:r w:rsidRPr="00DA0A96" w:rsidR="00FF4EC8">
        <w:t xml:space="preserve">the public entity had </w:t>
      </w:r>
      <w:r w:rsidR="001E2B49">
        <w:t xml:space="preserve">actual or constructive </w:t>
      </w:r>
      <w:r w:rsidRPr="00DA0A96" w:rsidR="00FF4EC8">
        <w:t xml:space="preserve">notice </w:t>
      </w:r>
      <w:r w:rsidRPr="00DA0A96" w:rsidR="004E1869">
        <w:t xml:space="preserve">that </w:t>
      </w:r>
      <w:r w:rsidRPr="00DA0A96" w:rsidR="00D100E8">
        <w:t xml:space="preserve">the approved design resulted in </w:t>
      </w:r>
      <w:r w:rsidRPr="00DA0A96" w:rsidR="005A732F">
        <w:t>a d</w:t>
      </w:r>
      <w:r w:rsidRPr="00DA0A96" w:rsidR="00D100E8">
        <w:t>anger</w:t>
      </w:r>
      <w:r w:rsidRPr="00DA0A96" w:rsidR="005A732F">
        <w:t>ous condition</w:t>
      </w:r>
      <w:r w:rsidRPr="00DA0A96" w:rsidR="00FF4EC8">
        <w:t xml:space="preserve"> (</w:t>
      </w:r>
      <w:r w:rsidRPr="00DA0A96" w:rsidR="00E045CF">
        <w:t>s</w:t>
      </w:r>
      <w:r w:rsidRPr="00DA0A96" w:rsidR="00FF4EC8">
        <w:t>ee</w:t>
      </w:r>
      <w:r w:rsidRPr="00DA0A96" w:rsidR="0054406A">
        <w:t xml:space="preserve"> §§</w:t>
      </w:r>
      <w:r w:rsidRPr="00DA0A96" w:rsidR="00FF4EC8">
        <w:t xml:space="preserve"> 835, subd. (b)</w:t>
      </w:r>
      <w:r w:rsidR="006B5303">
        <w:t xml:space="preserve"> &amp;</w:t>
      </w:r>
      <w:r w:rsidRPr="00DA0A96" w:rsidR="0054406A">
        <w:t xml:space="preserve"> 835.2 [defining</w:t>
      </w:r>
      <w:r w:rsidRPr="00DA0A96" w:rsidR="003845A0">
        <w:t xml:space="preserve"> “</w:t>
      </w:r>
      <w:r w:rsidRPr="00DA0A96" w:rsidR="0054406A">
        <w:t>notice</w:t>
      </w:r>
      <w:r w:rsidRPr="00DA0A96" w:rsidR="00ED44F6">
        <w:t xml:space="preserve">” </w:t>
      </w:r>
      <w:r w:rsidRPr="00DA0A96" w:rsidR="0054406A">
        <w:t>within the meaning of § 835, subd. (b)</w:t>
      </w:r>
      <w:r w:rsidRPr="00DA0A96" w:rsidR="00327AF9">
        <w:t>]</w:t>
      </w:r>
      <w:r w:rsidRPr="00DA0A96" w:rsidR="0054406A">
        <w:t>)</w:t>
      </w:r>
      <w:r w:rsidRPr="00DA0A96" w:rsidR="00327AF9">
        <w:t>;</w:t>
      </w:r>
      <w:r w:rsidRPr="00DA0A96" w:rsidR="00801168">
        <w:rPr>
          <w:rStyle w:val="FootnoteReference"/>
        </w:rPr>
        <w:t xml:space="preserve"> </w:t>
      </w:r>
      <w:r w:rsidRPr="00DA0A96" w:rsidR="00E045CF">
        <w:t xml:space="preserve"> (2)</w:t>
      </w:r>
      <w:r w:rsidRPr="00DA0A96" w:rsidR="00FF4EC8">
        <w:t xml:space="preserve"> </w:t>
      </w:r>
      <w:r w:rsidRPr="00DA0A96" w:rsidR="00E045CF">
        <w:t>the dangerous condition qualified as a concealed trap</w:t>
      </w:r>
      <w:r w:rsidRPr="00DA0A96" w:rsidR="00B73489">
        <w:t>, i.e.,</w:t>
      </w:r>
      <w:r w:rsidRPr="00DA0A96" w:rsidR="00E045CF">
        <w:t xml:space="preserve"> </w:t>
      </w:r>
      <w:r w:rsidRPr="00DA0A96" w:rsidR="00ED23B1">
        <w:t>“</w:t>
      </w:r>
      <w:r w:rsidRPr="00DA0A96" w:rsidR="00FF4EC8">
        <w:t xml:space="preserve">would not </w:t>
      </w:r>
      <w:r w:rsidRPr="00DA0A96" w:rsidR="00D34FD5">
        <w:t>[</w:t>
      </w:r>
      <w:r w:rsidRPr="00DA0A96" w:rsidR="00FF4EC8">
        <w:t>have been</w:t>
      </w:r>
      <w:r w:rsidRPr="00DA0A96" w:rsidR="00D34FD5">
        <w:t>]</w:t>
      </w:r>
      <w:r w:rsidRPr="00DA0A96" w:rsidR="00FF4EC8">
        <w:t xml:space="preserve"> reasonably apparent to, and would not have been anticipated by, a person </w:t>
      </w:r>
      <w:r w:rsidRPr="00DA0A96" w:rsidR="007D1023">
        <w:t>exercising</w:t>
      </w:r>
      <w:r w:rsidRPr="00DA0A96" w:rsidR="00FF4EC8">
        <w:t xml:space="preserve"> due care</w:t>
      </w:r>
      <w:r w:rsidRPr="00DA0A96" w:rsidR="00ED23B1">
        <w:t>”  (§ 830.8)</w:t>
      </w:r>
      <w:r w:rsidRPr="00DA0A96" w:rsidR="00B73489">
        <w:t xml:space="preserve">; and (3) </w:t>
      </w:r>
      <w:r w:rsidRPr="00DA0A96" w:rsidR="00ED23B1">
        <w:t>the</w:t>
      </w:r>
      <w:r w:rsidRPr="00DA0A96" w:rsidR="00721FB8">
        <w:t xml:space="preserve"> </w:t>
      </w:r>
      <w:r w:rsidRPr="00DA0A96" w:rsidR="00FF4EC8">
        <w:t>absence of a warning was a substantial factor in bringing about the injury.</w:t>
      </w:r>
    </w:p>
    <w:p w:rsidR="00E959DB" w:rsidRPr="00DA0A96" w:rsidP="00DA0A96">
      <w:pPr>
        <w:pStyle w:val="Heading3"/>
      </w:pPr>
      <w:r w:rsidRPr="00DA0A96">
        <w:t xml:space="preserve">2.  </w:t>
      </w:r>
      <w:r w:rsidRPr="000D4248">
        <w:rPr>
          <w:i w:val="0"/>
          <w:iCs/>
        </w:rPr>
        <w:t>Cameron</w:t>
      </w:r>
      <w:r w:rsidRPr="00DA0A96" w:rsidR="00B47F03">
        <w:t xml:space="preserve"> </w:t>
      </w:r>
      <w:r w:rsidRPr="00DA0A96" w:rsidR="00E716E2">
        <w:t xml:space="preserve">constitutes </w:t>
      </w:r>
      <w:r w:rsidRPr="00DA0A96" w:rsidR="00B47F03">
        <w:t>binding precedent</w:t>
      </w:r>
      <w:r w:rsidRPr="00DA0A96" w:rsidR="00E716E2">
        <w:t xml:space="preserve"> </w:t>
      </w:r>
      <w:r w:rsidRPr="00DA0A96">
        <w:t xml:space="preserve">   </w:t>
      </w:r>
    </w:p>
    <w:p w:rsidR="00E959DB" w:rsidRPr="00DA0A96" w:rsidP="00DA0A96">
      <w:pPr>
        <w:tabs>
          <w:tab w:val="left" w:pos="1440"/>
        </w:tabs>
        <w:ind w:firstLine="720"/>
      </w:pPr>
      <w:r w:rsidRPr="00DA0A96">
        <w:t>Having c</w:t>
      </w:r>
      <w:r w:rsidRPr="00DA0A96" w:rsidR="000D5C87">
        <w:t xml:space="preserve">larified the breadth of our holding in </w:t>
      </w:r>
      <w:r w:rsidRPr="00DA0A96">
        <w:rPr>
          <w:i/>
          <w:iCs/>
        </w:rPr>
        <w:t>Cameron</w:t>
      </w:r>
      <w:r w:rsidRPr="00DA0A96" w:rsidR="000D5C87">
        <w:rPr>
          <w:i/>
          <w:iCs/>
        </w:rPr>
        <w:t>,</w:t>
      </w:r>
      <w:r w:rsidRPr="00DA0A96" w:rsidR="000D5C87">
        <w:t xml:space="preserve"> </w:t>
      </w:r>
      <w:r w:rsidRPr="00DA0A96">
        <w:t xml:space="preserve">we next consider the City’s arguments that </w:t>
      </w:r>
      <w:r w:rsidRPr="00DA0A96">
        <w:rPr>
          <w:i/>
          <w:iCs/>
        </w:rPr>
        <w:t>Cameron</w:t>
      </w:r>
      <w:r w:rsidRPr="000D4248">
        <w:t>’s</w:t>
      </w:r>
      <w:r w:rsidRPr="00DA0A96">
        <w:t xml:space="preserve"> discussion of failure to warn </w:t>
      </w:r>
      <w:r w:rsidRPr="00DA0A96" w:rsidR="000D5C87">
        <w:t>claim</w:t>
      </w:r>
      <w:r w:rsidRPr="00DA0A96" w:rsidR="00335B31">
        <w:t>s</w:t>
      </w:r>
      <w:r w:rsidRPr="00DA0A96" w:rsidR="000D5C87">
        <w:t xml:space="preserve"> </w:t>
      </w:r>
      <w:r w:rsidRPr="00DA0A96" w:rsidR="00335B31">
        <w:t xml:space="preserve">is </w:t>
      </w:r>
      <w:r w:rsidRPr="00DA0A96">
        <w:t>nonbinding dicta or</w:t>
      </w:r>
      <w:r w:rsidRPr="00DA0A96" w:rsidR="000D5C87">
        <w:t>, alternatively, no longer remains good law due to an intervening amendment to section 830.6</w:t>
      </w:r>
      <w:r w:rsidRPr="00DA0A96">
        <w:t xml:space="preserve">.  </w:t>
      </w:r>
    </w:p>
    <w:p w:rsidR="00B46C83" w:rsidRPr="00DA0A96" w:rsidP="00DA0A96">
      <w:pPr>
        <w:pStyle w:val="Heading4"/>
      </w:pPr>
      <w:r w:rsidRPr="00DA0A96">
        <w:t xml:space="preserve">a. </w:t>
      </w:r>
      <w:r w:rsidRPr="00DA0A96">
        <w:tab/>
      </w:r>
      <w:r w:rsidRPr="000D4248">
        <w:rPr>
          <w:i w:val="0"/>
          <w:iCs/>
        </w:rPr>
        <w:t>Cameron’</w:t>
      </w:r>
      <w:r w:rsidRPr="00DA0A96">
        <w:t xml:space="preserve">s discussion of the </w:t>
      </w:r>
      <w:r w:rsidRPr="00DA0A96" w:rsidR="003F750F">
        <w:t xml:space="preserve">plaintiffs’ </w:t>
      </w:r>
      <w:r w:rsidRPr="00DA0A96">
        <w:t xml:space="preserve">failure to warn claim is not </w:t>
      </w:r>
      <w:r w:rsidRPr="00DA0A96" w:rsidR="00CD04DB">
        <w:t>dict</w:t>
      </w:r>
      <w:r w:rsidR="000D4248">
        <w:t>a</w:t>
      </w:r>
    </w:p>
    <w:p w:rsidR="00E716E2" w:rsidRPr="00DA0A96" w:rsidP="00DA0A96">
      <w:pPr>
        <w:tabs>
          <w:tab w:val="left" w:pos="1440"/>
        </w:tabs>
        <w:ind w:firstLine="720"/>
      </w:pPr>
      <w:r w:rsidRPr="00DA0A96">
        <w:t xml:space="preserve">The City argues that </w:t>
      </w:r>
      <w:r w:rsidRPr="00DA0A96">
        <w:rPr>
          <w:i/>
          <w:iCs/>
        </w:rPr>
        <w:t>Cameron</w:t>
      </w:r>
      <w:r w:rsidRPr="000D4248">
        <w:t>’s</w:t>
      </w:r>
      <w:r w:rsidRPr="00DA0A96">
        <w:t xml:space="preserve"> </w:t>
      </w:r>
      <w:r w:rsidRPr="00DA0A96" w:rsidR="00D676BC">
        <w:t>discussion</w:t>
      </w:r>
      <w:r w:rsidRPr="00DA0A96">
        <w:t xml:space="preserve"> of </w:t>
      </w:r>
      <w:r w:rsidRPr="00DA0A96" w:rsidR="00D676BC">
        <w:t>the plaintiffs</w:t>
      </w:r>
      <w:r w:rsidRPr="00DA0A96" w:rsidR="003F750F">
        <w:t>’</w:t>
      </w:r>
      <w:r w:rsidRPr="00DA0A96" w:rsidR="00D676BC">
        <w:t xml:space="preserve"> </w:t>
      </w:r>
      <w:r w:rsidRPr="00DA0A96">
        <w:t xml:space="preserve">failure to warn claim </w:t>
      </w:r>
      <w:r w:rsidRPr="00DA0A96" w:rsidR="00335B31">
        <w:t>is properly construed as n</w:t>
      </w:r>
      <w:r w:rsidRPr="00DA0A96">
        <w:t xml:space="preserve">onbinding </w:t>
      </w:r>
      <w:r w:rsidRPr="00DA0A96" w:rsidR="003F750F">
        <w:t>“</w:t>
      </w:r>
      <w:r w:rsidRPr="00DA0A96">
        <w:t>dictum</w:t>
      </w:r>
      <w:r w:rsidRPr="00DA0A96" w:rsidR="003F750F">
        <w:t>”</w:t>
      </w:r>
      <w:r w:rsidRPr="00DA0A96">
        <w:t xml:space="preserve"> insofar as the discussion was only provided “ ‘[f]or the guidance of the trial court on remand’</w:t>
      </w:r>
      <w:r w:rsidRPr="00DA0A96" w:rsidR="003F750F">
        <w:t> </w:t>
      </w:r>
      <w:r w:rsidRPr="00DA0A96">
        <w:t xml:space="preserve">” in the event the </w:t>
      </w:r>
      <w:r w:rsidRPr="00DA0A96" w:rsidR="00D676BC">
        <w:t>s</w:t>
      </w:r>
      <w:r w:rsidRPr="00DA0A96">
        <w:t>tate was able to prov</w:t>
      </w:r>
      <w:r w:rsidRPr="00DA0A96" w:rsidR="00335B31">
        <w:t>e</w:t>
      </w:r>
      <w:r w:rsidRPr="00DA0A96">
        <w:t xml:space="preserve"> on remand that the banking of the curve was an approved aspect of the </w:t>
      </w:r>
      <w:r w:rsidRPr="00DA0A96" w:rsidR="00335B31">
        <w:t>plan</w:t>
      </w:r>
      <w:r w:rsidRPr="00DA0A96">
        <w:t xml:space="preserve">. </w:t>
      </w:r>
      <w:r w:rsidRPr="00DA0A96">
        <w:t xml:space="preserve"> </w:t>
      </w:r>
      <w:r w:rsidRPr="00DA0A96">
        <w:t>This argument is without merit</w:t>
      </w:r>
      <w:r w:rsidRPr="00DA0A96" w:rsidR="00F0695C">
        <w:t>.</w:t>
      </w:r>
    </w:p>
    <w:p w:rsidR="00391494" w:rsidRPr="00DA0A96" w:rsidP="00DA0A96">
      <w:pPr>
        <w:tabs>
          <w:tab w:val="left" w:pos="1440"/>
        </w:tabs>
        <w:ind w:firstLine="720"/>
      </w:pPr>
      <w:r w:rsidRPr="00DA0A96">
        <w:t xml:space="preserve">We have previously held that </w:t>
      </w:r>
      <w:r w:rsidRPr="00DA0A96" w:rsidR="00F0695C">
        <w:t>“[s]tatements by appellate courts ‘responsive to the issues raised on appeal and</w:t>
      </w:r>
      <w:r w:rsidRPr="00DA0A96" w:rsidR="00470782">
        <w:t xml:space="preserve"> </w:t>
      </w:r>
      <w:r w:rsidRPr="00DA0A96" w:rsidR="003F750F">
        <w:t>. . .</w:t>
      </w:r>
      <w:r w:rsidRPr="00DA0A96" w:rsidR="00470782">
        <w:t xml:space="preserve"> </w:t>
      </w:r>
      <w:r w:rsidRPr="00DA0A96" w:rsidR="00F0695C">
        <w:t>intended to guide the parties and the trial court in resolving the matter following</w:t>
      </w:r>
      <w:r w:rsidRPr="00DA0A96" w:rsidR="00470782">
        <w:t xml:space="preserve"> </w:t>
      </w:r>
      <w:r w:rsidRPr="00DA0A96" w:rsidR="003F750F">
        <w:t>. . .</w:t>
      </w:r>
      <w:r w:rsidRPr="00DA0A96" w:rsidR="00470782">
        <w:t xml:space="preserve"> </w:t>
      </w:r>
      <w:r w:rsidRPr="00DA0A96" w:rsidR="00F0695C">
        <w:t>remand’ are not dicta.”  (</w:t>
      </w:r>
      <w:r w:rsidRPr="00DA0A96" w:rsidR="00F0695C">
        <w:rPr>
          <w:i/>
          <w:iCs/>
        </w:rPr>
        <w:t>Sonic-Calabasas A, Inc. v. Moreno</w:t>
      </w:r>
      <w:r w:rsidRPr="00DA0A96" w:rsidR="00F0695C">
        <w:t xml:space="preserve"> (2013) 57</w:t>
      </w:r>
      <w:r w:rsidRPr="00DA0A96" w:rsidR="00470782">
        <w:t> </w:t>
      </w:r>
      <w:r w:rsidRPr="00DA0A96" w:rsidR="00F0695C">
        <w:t>Cal.4th 1109,</w:t>
      </w:r>
      <w:r w:rsidR="00801168">
        <w:t> </w:t>
      </w:r>
      <w:r w:rsidRPr="00DA0A96" w:rsidR="00F0695C">
        <w:t xml:space="preserve">1158.)  </w:t>
      </w:r>
      <w:r w:rsidRPr="00DA0A96" w:rsidR="00F0695C">
        <w:rPr>
          <w:i/>
          <w:iCs/>
        </w:rPr>
        <w:t>Cameron</w:t>
      </w:r>
      <w:r w:rsidRPr="00DA0A96" w:rsidR="00F0695C">
        <w:t xml:space="preserve"> expressly clarified </w:t>
      </w:r>
      <w:r w:rsidRPr="00DA0A96" w:rsidR="004F5AEB">
        <w:t xml:space="preserve">why we elected to address the </w:t>
      </w:r>
      <w:r w:rsidRPr="00DA0A96" w:rsidR="00F0695C">
        <w:t>failure to warn</w:t>
      </w:r>
      <w:r w:rsidRPr="00DA0A96" w:rsidR="004F5AEB">
        <w:t xml:space="preserve"> claim</w:t>
      </w:r>
      <w:r w:rsidRPr="00DA0A96" w:rsidR="003E5D61">
        <w:t xml:space="preserve"> at issue in that case</w:t>
      </w:r>
      <w:r w:rsidRPr="00DA0A96" w:rsidR="004F5AEB">
        <w:t>, explaining that i</w:t>
      </w:r>
      <w:r w:rsidRPr="00DA0A96" w:rsidR="00F0695C">
        <w:t xml:space="preserve">f the </w:t>
      </w:r>
      <w:r w:rsidRPr="00DA0A96" w:rsidR="003E5D61">
        <w:t>s</w:t>
      </w:r>
      <w:r w:rsidRPr="00DA0A96" w:rsidR="00F0695C">
        <w:t xml:space="preserve">tate </w:t>
      </w:r>
      <w:r w:rsidRPr="00DA0A96" w:rsidR="00E716E2">
        <w:t>was able to</w:t>
      </w:r>
      <w:r w:rsidRPr="00DA0A96" w:rsidR="00F0695C">
        <w:t xml:space="preserve"> produce evidence show</w:t>
      </w:r>
      <w:r w:rsidRPr="00DA0A96" w:rsidR="00E716E2">
        <w:t>ing</w:t>
      </w:r>
      <w:r w:rsidRPr="00DA0A96" w:rsidR="00F0695C">
        <w:t xml:space="preserve"> the</w:t>
      </w:r>
      <w:r w:rsidRPr="00DA0A96" w:rsidR="00E716E2">
        <w:t xml:space="preserve"> banking of the </w:t>
      </w:r>
      <w:r w:rsidR="006300C4">
        <w:t>“</w:t>
      </w:r>
      <w:r w:rsidRPr="00DA0A96" w:rsidR="00E716E2">
        <w:t>S</w:t>
      </w:r>
      <w:r w:rsidR="006300C4">
        <w:t xml:space="preserve">” </w:t>
      </w:r>
      <w:r w:rsidRPr="00DA0A96" w:rsidR="00E716E2">
        <w:t xml:space="preserve">turn </w:t>
      </w:r>
      <w:r w:rsidRPr="00DA0A96" w:rsidR="00F0695C">
        <w:t>was part of the approved design, “plaintiffs’ second contention</w:t>
      </w:r>
      <w:r w:rsidRPr="00DA0A96" w:rsidR="00E716E2">
        <w:t>”</w:t>
      </w:r>
      <w:r w:rsidRPr="00DA0A96" w:rsidR="003F750F">
        <w:t> </w:t>
      </w:r>
      <w:r w:rsidRPr="00DA0A96" w:rsidR="00E716E2">
        <w:t>— i.e., their failure to warn claim</w:t>
      </w:r>
      <w:r w:rsidRPr="00DA0A96" w:rsidR="003F750F">
        <w:t> </w:t>
      </w:r>
      <w:r w:rsidRPr="00DA0A96" w:rsidR="00E716E2">
        <w:t>— “</w:t>
      </w:r>
      <w:r w:rsidRPr="00DA0A96" w:rsidR="00F0695C">
        <w:t xml:space="preserve">would become determinative on the issue of design immunity.”  </w:t>
      </w:r>
      <w:r w:rsidRPr="00DA0A96" w:rsidR="00E716E2">
        <w:t>(</w:t>
      </w:r>
      <w:r w:rsidRPr="00DA0A96" w:rsidR="00E716E2">
        <w:rPr>
          <w:i/>
          <w:iCs/>
        </w:rPr>
        <w:t>Cameron, supra</w:t>
      </w:r>
      <w:r w:rsidRPr="00DA0A96" w:rsidR="00E716E2">
        <w:t>, 7</w:t>
      </w:r>
      <w:r w:rsidRPr="00DA0A96" w:rsidR="002B094B">
        <w:t> </w:t>
      </w:r>
      <w:r w:rsidRPr="00DA0A96" w:rsidR="00E716E2">
        <w:t>Cal.3d at p.</w:t>
      </w:r>
      <w:r w:rsidRPr="00DA0A96" w:rsidR="002B094B">
        <w:t> </w:t>
      </w:r>
      <w:r w:rsidRPr="00DA0A96" w:rsidR="00E716E2">
        <w:t xml:space="preserve">327, fn. 11.)  </w:t>
      </w:r>
      <w:r w:rsidRPr="00DA0A96" w:rsidR="00F0695C">
        <w:t xml:space="preserve">Under established law, </w:t>
      </w:r>
      <w:r w:rsidRPr="00DA0A96" w:rsidR="003E5D61">
        <w:t>our analysis of the</w:t>
      </w:r>
      <w:r w:rsidRPr="00DA0A96" w:rsidR="00CD04DB">
        <w:t xml:space="preserve"> plaintiffs</w:t>
      </w:r>
      <w:r w:rsidRPr="00DA0A96" w:rsidR="003F750F">
        <w:t>’</w:t>
      </w:r>
      <w:r w:rsidRPr="00DA0A96" w:rsidR="003E5D61">
        <w:t xml:space="preserve"> failure to warn claim </w:t>
      </w:r>
      <w:r w:rsidRPr="00DA0A96" w:rsidR="00F0695C">
        <w:t xml:space="preserve">is not </w:t>
      </w:r>
      <w:r w:rsidR="000D4248">
        <w:t>dicta</w:t>
      </w:r>
      <w:r w:rsidRPr="00DA0A96" w:rsidR="00F0695C">
        <w:t>.</w:t>
      </w:r>
    </w:p>
    <w:p w:rsidR="00B46C83" w:rsidRPr="00DA0A96" w:rsidP="00DA0A96">
      <w:pPr>
        <w:pStyle w:val="Heading4"/>
      </w:pPr>
      <w:r w:rsidRPr="00DA0A96">
        <w:t xml:space="preserve">b.  </w:t>
      </w:r>
      <w:r w:rsidRPr="00DA0A96">
        <w:tab/>
        <w:t xml:space="preserve">The 1979 amendments to section 830.6 </w:t>
      </w:r>
      <w:r w:rsidRPr="00DA0A96" w:rsidR="003E5D61">
        <w:t>did not</w:t>
      </w:r>
      <w:r w:rsidRPr="00DA0A96" w:rsidR="00CD04DB">
        <w:t xml:space="preserve"> </w:t>
      </w:r>
      <w:r w:rsidRPr="00DA0A96" w:rsidR="003E5D61">
        <w:t>abrogate</w:t>
      </w:r>
      <w:r w:rsidRPr="00DA0A96" w:rsidR="005D2175">
        <w:t xml:space="preserve"> </w:t>
      </w:r>
      <w:r w:rsidRPr="000D4248">
        <w:rPr>
          <w:i w:val="0"/>
          <w:iCs/>
        </w:rPr>
        <w:t>Cameron</w:t>
      </w:r>
    </w:p>
    <w:p w:rsidR="00BC169F" w:rsidRPr="00DA0A96" w:rsidP="00DA0A96">
      <w:pPr>
        <w:tabs>
          <w:tab w:val="left" w:pos="1440"/>
        </w:tabs>
        <w:ind w:firstLine="720"/>
      </w:pPr>
      <w:r w:rsidRPr="00DA0A96">
        <w:t xml:space="preserve">The City next </w:t>
      </w:r>
      <w:r w:rsidRPr="00DA0A96" w:rsidR="00B46C83">
        <w:t xml:space="preserve">argues that even if </w:t>
      </w:r>
      <w:r w:rsidRPr="00DA0A96">
        <w:rPr>
          <w:i/>
          <w:iCs/>
        </w:rPr>
        <w:t>Cameron</w:t>
      </w:r>
      <w:r w:rsidRPr="00DA0A96" w:rsidR="00B46C83">
        <w:t xml:space="preserve"> </w:t>
      </w:r>
      <w:r w:rsidRPr="00DA0A96" w:rsidR="004F5AEB">
        <w:t xml:space="preserve">held </w:t>
      </w:r>
      <w:r w:rsidRPr="00DA0A96" w:rsidR="00B46C83">
        <w:t>that design immunity does not</w:t>
      </w:r>
      <w:r w:rsidRPr="00DA0A96" w:rsidR="004F5AEB">
        <w:t xml:space="preserve"> preclude</w:t>
      </w:r>
      <w:r w:rsidRPr="00DA0A96" w:rsidR="00B46C83">
        <w:t xml:space="preserve"> failure to warn claims, </w:t>
      </w:r>
      <w:r w:rsidRPr="00DA0A96" w:rsidR="00AB479A">
        <w:t>the</w:t>
      </w:r>
      <w:r w:rsidRPr="00DA0A96" w:rsidR="00B46C83">
        <w:t xml:space="preserve"> </w:t>
      </w:r>
      <w:r w:rsidRPr="00DA0A96" w:rsidR="004F5AEB">
        <w:t xml:space="preserve">holding </w:t>
      </w:r>
      <w:r w:rsidRPr="00DA0A96" w:rsidR="00B46C83">
        <w:t xml:space="preserve">is no longer good law in light of amendments the Legislature made to </w:t>
      </w:r>
      <w:r w:rsidRPr="00DA0A96">
        <w:t xml:space="preserve">section 830.6 </w:t>
      </w:r>
      <w:r w:rsidRPr="00DA0A96" w:rsidR="00B46C83">
        <w:t>in 1979</w:t>
      </w:r>
      <w:r w:rsidRPr="00DA0A96" w:rsidR="003E5D61">
        <w:t xml:space="preserve"> (seven years after </w:t>
      </w:r>
      <w:r w:rsidRPr="00DA0A96" w:rsidR="003E5D61">
        <w:rPr>
          <w:i/>
          <w:iCs/>
        </w:rPr>
        <w:t>Cameron</w:t>
      </w:r>
      <w:r w:rsidRPr="00DA0A96" w:rsidR="003E5D61">
        <w:t xml:space="preserve"> was decided)</w:t>
      </w:r>
      <w:r w:rsidRPr="00DA0A96" w:rsidR="002C73A6">
        <w:t xml:space="preserve">.  Those amendments </w:t>
      </w:r>
      <w:r w:rsidRPr="00DA0A96" w:rsidR="004F5AEB">
        <w:t>describ</w:t>
      </w:r>
      <w:r w:rsidRPr="00DA0A96" w:rsidR="002C73A6">
        <w:t>e</w:t>
      </w:r>
      <w:r w:rsidRPr="00DA0A96" w:rsidR="004F5AEB">
        <w:t xml:space="preserve"> </w:t>
      </w:r>
      <w:r w:rsidRPr="00DA0A96" w:rsidR="002C73A6">
        <w:t xml:space="preserve">the circumstances under which </w:t>
      </w:r>
      <w:r w:rsidRPr="00DA0A96" w:rsidR="003E5D61">
        <w:t>government</w:t>
      </w:r>
      <w:r w:rsidRPr="00DA0A96" w:rsidR="004F5AEB">
        <w:t xml:space="preserve"> entities can retain </w:t>
      </w:r>
      <w:r w:rsidRPr="00DA0A96">
        <w:t xml:space="preserve">design immunity </w:t>
      </w:r>
      <w:r w:rsidRPr="00DA0A96" w:rsidR="002C73A6">
        <w:t>when changed circumstances have rendered the original design no longer safe</w:t>
      </w:r>
      <w:r w:rsidRPr="00DA0A96" w:rsidR="00B46C83">
        <w:t xml:space="preserve">.   </w:t>
      </w:r>
    </w:p>
    <w:p w:rsidR="00BC169F" w:rsidRPr="00DA0A96" w:rsidP="00DA0A96">
      <w:pPr>
        <w:tabs>
          <w:tab w:val="left" w:pos="1440"/>
        </w:tabs>
        <w:ind w:firstLine="720"/>
      </w:pPr>
      <w:r w:rsidRPr="00DA0A96">
        <w:t xml:space="preserve">To understand this argument, further background discussion </w:t>
      </w:r>
      <w:r w:rsidRPr="00DA0A96" w:rsidR="005D2175">
        <w:t xml:space="preserve">regarding the 1979 amendments </w:t>
      </w:r>
      <w:r w:rsidRPr="00DA0A96">
        <w:t xml:space="preserve">is </w:t>
      </w:r>
      <w:r w:rsidRPr="00DA0A96" w:rsidR="002C73A6">
        <w:t>necessary</w:t>
      </w:r>
      <w:r w:rsidRPr="00DA0A96">
        <w:t xml:space="preserve">.  When originally enacted in 1963, section 830.6 </w:t>
      </w:r>
      <w:r w:rsidRPr="00DA0A96" w:rsidR="002C73A6">
        <w:t xml:space="preserve">did not contain any </w:t>
      </w:r>
      <w:r w:rsidRPr="00DA0A96" w:rsidR="0027506F">
        <w:t>provision</w:t>
      </w:r>
      <w:r w:rsidRPr="00DA0A96" w:rsidR="002C73A6">
        <w:t xml:space="preserve"> e</w:t>
      </w:r>
      <w:r w:rsidRPr="00DA0A96">
        <w:t>xplaining whether</w:t>
      </w:r>
      <w:r w:rsidRPr="00DA0A96" w:rsidR="005D2175">
        <w:t>, once obtained,</w:t>
      </w:r>
      <w:r w:rsidRPr="00DA0A96">
        <w:t xml:space="preserve"> design immunity could ever be lost.  Although we initially interpreted the absence of any such provision to mean design immunity continued regardless of any subsequent change</w:t>
      </w:r>
      <w:r w:rsidRPr="00DA0A96" w:rsidR="002C73A6">
        <w:t xml:space="preserve"> in </w:t>
      </w:r>
      <w:r w:rsidRPr="00DA0A96">
        <w:t xml:space="preserve">conditions (see </w:t>
      </w:r>
      <w:r w:rsidRPr="00DA0A96">
        <w:rPr>
          <w:i/>
          <w:iCs/>
        </w:rPr>
        <w:t>Cornette, supra</w:t>
      </w:r>
      <w:r w:rsidRPr="00DA0A96">
        <w:t>, 26</w:t>
      </w:r>
      <w:r w:rsidRPr="00DA0A96" w:rsidR="005C5101">
        <w:t> </w:t>
      </w:r>
      <w:r w:rsidRPr="00DA0A96">
        <w:t>Cal.4th at pp.</w:t>
      </w:r>
      <w:r w:rsidRPr="00DA0A96" w:rsidR="005C5101">
        <w:t> </w:t>
      </w:r>
      <w:r w:rsidRPr="00DA0A96">
        <w:t xml:space="preserve">69–70 [discussing history of § 830.6]), we overruled </w:t>
      </w:r>
      <w:r w:rsidRPr="00DA0A96" w:rsidR="005D2175">
        <w:t>those decision</w:t>
      </w:r>
      <w:r w:rsidRPr="00DA0A96" w:rsidR="00826F3A">
        <w:t>s</w:t>
      </w:r>
      <w:r w:rsidRPr="00DA0A96" w:rsidR="005D2175">
        <w:t xml:space="preserve"> </w:t>
      </w:r>
      <w:r w:rsidRPr="00DA0A96">
        <w:t xml:space="preserve">in </w:t>
      </w:r>
      <w:bookmarkStart w:id="11" w:name="_Hlk129598094"/>
      <w:r w:rsidRPr="00DA0A96">
        <w:rPr>
          <w:i/>
          <w:iCs/>
        </w:rPr>
        <w:t>Baldwin v. State of California</w:t>
      </w:r>
      <w:r w:rsidRPr="00DA0A96">
        <w:t xml:space="preserve"> (1972) 6</w:t>
      </w:r>
      <w:r w:rsidRPr="00DA0A96" w:rsidR="00470782">
        <w:t> </w:t>
      </w:r>
      <w:r w:rsidRPr="00DA0A96">
        <w:t>Cal.3d 424</w:t>
      </w:r>
      <w:bookmarkEnd w:id="11"/>
      <w:r w:rsidRPr="00DA0A96">
        <w:t xml:space="preserve"> (</w:t>
      </w:r>
      <w:r w:rsidRPr="00DA0A96">
        <w:rPr>
          <w:i/>
          <w:iCs/>
        </w:rPr>
        <w:t>Baldwin</w:t>
      </w:r>
      <w:r w:rsidRPr="00DA0A96">
        <w:t>)</w:t>
      </w:r>
      <w:r w:rsidRPr="00DA0A96" w:rsidR="00DD1F60">
        <w:t>,</w:t>
      </w:r>
      <w:r w:rsidRPr="00DA0A96">
        <w:t xml:space="preserve"> </w:t>
      </w:r>
      <w:r w:rsidRPr="00DA0A96" w:rsidR="00D46FC1">
        <w:t>which h</w:t>
      </w:r>
      <w:r w:rsidRPr="00DA0A96">
        <w:t>eld that</w:t>
      </w:r>
      <w:r w:rsidRPr="00DA0A96" w:rsidR="00D46FC1">
        <w:t xml:space="preserve"> section 830.6’s statutory immunity is lost when “the actual operation of the plan or design over a period of time and under changed circumstances discloses that the design has created a dangerous condition of which the entity has notice.”  </w:t>
      </w:r>
      <w:r w:rsidRPr="00DA0A96">
        <w:t>(</w:t>
      </w:r>
      <w:r w:rsidRPr="00DA0A96" w:rsidR="00CD04DB">
        <w:rPr>
          <w:i/>
          <w:iCs/>
        </w:rPr>
        <w:t>Baldwin,</w:t>
      </w:r>
      <w:r w:rsidRPr="00DA0A96">
        <w:t xml:space="preserve"> at p. 43</w:t>
      </w:r>
      <w:r w:rsidRPr="00DA0A96" w:rsidR="007A4F36">
        <w:t>1</w:t>
      </w:r>
      <w:r w:rsidRPr="00DA0A96">
        <w:t xml:space="preserve">.) </w:t>
      </w:r>
    </w:p>
    <w:p w:rsidR="00BC169F" w:rsidRPr="00DA0A96" w:rsidP="00DA0A96">
      <w:pPr>
        <w:ind w:firstLine="720"/>
      </w:pPr>
      <w:r w:rsidRPr="00DA0A96">
        <w:t xml:space="preserve">In 1979, the Legislature responded to </w:t>
      </w:r>
      <w:r w:rsidRPr="00DA0A96">
        <w:rPr>
          <w:i/>
          <w:iCs/>
        </w:rPr>
        <w:t>Baldwin</w:t>
      </w:r>
      <w:r w:rsidRPr="00DA0A96">
        <w:t xml:space="preserve"> by </w:t>
      </w:r>
      <w:r w:rsidRPr="00DA0A96" w:rsidR="00E67D4A">
        <w:t xml:space="preserve">adopting </w:t>
      </w:r>
      <w:r w:rsidRPr="00DA0A96" w:rsidR="00E67D4A">
        <w:rPr>
          <w:szCs w:val="26"/>
        </w:rPr>
        <w:t xml:space="preserve">Assembly Bill </w:t>
      </w:r>
      <w:r w:rsidR="008A0A91">
        <w:rPr>
          <w:szCs w:val="26"/>
        </w:rPr>
        <w:t xml:space="preserve">No. </w:t>
      </w:r>
      <w:r w:rsidRPr="00DA0A96" w:rsidR="00E67D4A">
        <w:rPr>
          <w:szCs w:val="26"/>
        </w:rPr>
        <w:t>893 (</w:t>
      </w:r>
      <w:r w:rsidRPr="00DA0A96" w:rsidR="000C2553">
        <w:rPr>
          <w:szCs w:val="26"/>
        </w:rPr>
        <w:t>1979</w:t>
      </w:r>
      <w:r w:rsidR="00585CC0">
        <w:rPr>
          <w:szCs w:val="26"/>
        </w:rPr>
        <w:t>–</w:t>
      </w:r>
      <w:r w:rsidRPr="00DA0A96" w:rsidR="000C2553">
        <w:rPr>
          <w:szCs w:val="26"/>
        </w:rPr>
        <w:t>1980 Reg. Sess.) (</w:t>
      </w:r>
      <w:r w:rsidRPr="00DA0A96" w:rsidR="00E67D4A">
        <w:rPr>
          <w:szCs w:val="26"/>
        </w:rPr>
        <w:t>A</w:t>
      </w:r>
      <w:r w:rsidR="008A0A91">
        <w:rPr>
          <w:szCs w:val="26"/>
        </w:rPr>
        <w:t xml:space="preserve">ssembly </w:t>
      </w:r>
      <w:r w:rsidRPr="00DA0A96" w:rsidR="00E67D4A">
        <w:rPr>
          <w:szCs w:val="26"/>
        </w:rPr>
        <w:t>B</w:t>
      </w:r>
      <w:r w:rsidR="008A0A91">
        <w:rPr>
          <w:szCs w:val="26"/>
        </w:rPr>
        <w:t>ill</w:t>
      </w:r>
      <w:r w:rsidRPr="00DA0A96" w:rsidR="00E67D4A">
        <w:rPr>
          <w:szCs w:val="26"/>
        </w:rPr>
        <w:t xml:space="preserve"> 893), which amended </w:t>
      </w:r>
      <w:r w:rsidRPr="00DA0A96">
        <w:t>section 830.6 to “specify the circumstances under which a public entity retains its design immunity despite having received notice that the plan or design has become dangerous because of a change of physical conditions.”  (</w:t>
      </w:r>
      <w:r w:rsidRPr="00DA0A96">
        <w:rPr>
          <w:i/>
          <w:iCs/>
        </w:rPr>
        <w:t>Cornette, supra</w:t>
      </w:r>
      <w:r w:rsidRPr="00DA0A96">
        <w:t>, 26</w:t>
      </w:r>
      <w:r w:rsidRPr="00DA0A96" w:rsidR="005C5101">
        <w:t> </w:t>
      </w:r>
      <w:r w:rsidRPr="00DA0A96">
        <w:t>Cal.4th at p.</w:t>
      </w:r>
      <w:r w:rsidRPr="00DA0A96" w:rsidR="005C5101">
        <w:t> </w:t>
      </w:r>
      <w:r w:rsidRPr="00DA0A96">
        <w:t xml:space="preserve">71.)  Those </w:t>
      </w:r>
      <w:r w:rsidRPr="00DA0A96" w:rsidR="00CD04DB">
        <w:t>a</w:t>
      </w:r>
      <w:r w:rsidRPr="00DA0A96" w:rsidR="00F359B2">
        <w:t>mendments</w:t>
      </w:r>
      <w:r w:rsidRPr="00DA0A96">
        <w:t xml:space="preserve"> added the following language to section 830.6: </w:t>
      </w:r>
    </w:p>
    <w:p w:rsidR="00BC169F" w:rsidRPr="00DA0A96" w:rsidP="00DA0A96">
      <w:pPr>
        <w:ind w:left="720" w:right="720"/>
      </w:pPr>
      <w:r w:rsidRPr="00DA0A96">
        <w:t>Notwithstanding notice that constructed or improved public property may no longer be in conformity with [an approved] plan or design</w:t>
      </w:r>
      <w:r w:rsidRPr="00DA0A96" w:rsidR="002C73A6">
        <w:t> . . .</w:t>
      </w:r>
      <w:r w:rsidR="007C415D">
        <w:t> </w:t>
      </w:r>
      <w:r w:rsidRPr="00DA0A96">
        <w:t>, the immunity provided by this section shall continue for a reasonable period of time sufficient to permit the public entity to obtain funds for and carry out remedial work necessary to allow such public property to be in conformity with [the approved plan]</w:t>
      </w:r>
      <w:r w:rsidRPr="00DA0A96" w:rsidR="00E408E2">
        <w:t xml:space="preserve"> .</w:t>
      </w:r>
      <w:r w:rsidRPr="00DA0A96">
        <w:t xml:space="preserve"> . . .  In the event that the public entity is unable to remedy such public property because of practical impossibility or lack of sufficient funds, the immunity provided by this section </w:t>
      </w:r>
      <w:r w:rsidRPr="00DA0A96">
        <w:rPr>
          <w:i/>
          <w:iCs/>
        </w:rPr>
        <w:t>shall remain so long as such public entity shall reasonably attempt to provide adequate warnings of the existence of the condition not conforming to the approved plan or design or to the approved standard</w:t>
      </w:r>
      <w:r w:rsidRPr="00DA0A96">
        <w:t>.</w:t>
      </w:r>
      <w:r w:rsidRPr="00DA0A96" w:rsidR="007A4F36">
        <w:t xml:space="preserve">  (Italics added.)</w:t>
      </w:r>
    </w:p>
    <w:p w:rsidR="00BC169F" w:rsidRPr="00DA0A96" w:rsidP="00DA0A96">
      <w:r w:rsidRPr="00DA0A96">
        <w:t xml:space="preserve">As we discussed in </w:t>
      </w:r>
      <w:r w:rsidRPr="00DA0A96">
        <w:rPr>
          <w:i/>
          <w:iCs/>
        </w:rPr>
        <w:t>Cornette,</w:t>
      </w:r>
      <w:r w:rsidRPr="00DA0A96">
        <w:t xml:space="preserve"> t</w:t>
      </w:r>
      <w:r w:rsidRPr="00DA0A96" w:rsidR="007A4F36">
        <w:t>h</w:t>
      </w:r>
      <w:r w:rsidRPr="00DA0A96" w:rsidR="003E1C8B">
        <w:t>e legislative history</w:t>
      </w:r>
      <w:r w:rsidRPr="00DA0A96">
        <w:t xml:space="preserve"> of A</w:t>
      </w:r>
      <w:r w:rsidR="00871AAA">
        <w:t xml:space="preserve">ssembly </w:t>
      </w:r>
      <w:r w:rsidRPr="00DA0A96">
        <w:t>B</w:t>
      </w:r>
      <w:r w:rsidR="00871AAA">
        <w:t>ill</w:t>
      </w:r>
      <w:r w:rsidRPr="00DA0A96">
        <w:t xml:space="preserve"> 893</w:t>
      </w:r>
      <w:r w:rsidRPr="00DA0A96" w:rsidR="003E1C8B">
        <w:t xml:space="preserve"> makes clear th</w:t>
      </w:r>
      <w:r w:rsidRPr="00DA0A96">
        <w:t>e</w:t>
      </w:r>
      <w:r w:rsidRPr="00DA0A96" w:rsidR="00DD1F60">
        <w:t xml:space="preserve"> </w:t>
      </w:r>
      <w:r w:rsidRPr="00DA0A96" w:rsidR="00980766">
        <w:t>amendment</w:t>
      </w:r>
      <w:r w:rsidRPr="00DA0A96" w:rsidR="00DD1F60">
        <w:t>s were</w:t>
      </w:r>
      <w:r w:rsidRPr="00DA0A96">
        <w:t xml:space="preserve"> intended</w:t>
      </w:r>
      <w:r w:rsidRPr="00DA0A96" w:rsidR="00E408E2">
        <w:t xml:space="preserve"> to </w:t>
      </w:r>
      <w:r w:rsidR="006740E6">
        <w:t xml:space="preserve">both codify </w:t>
      </w:r>
      <w:r w:rsidRPr="00D95D6B" w:rsidR="006740E6">
        <w:rPr>
          <w:i/>
          <w:iCs/>
        </w:rPr>
        <w:t>Baldwin</w:t>
      </w:r>
      <w:r w:rsidRPr="000D4248" w:rsidR="006740E6">
        <w:t>’s</w:t>
      </w:r>
      <w:r w:rsidR="006740E6">
        <w:t xml:space="preserve"> conclusion that design immunity can be lost due to changed circumstances while also </w:t>
      </w:r>
      <w:r w:rsidRPr="00DA0A96" w:rsidR="00E408E2">
        <w:t>soften</w:t>
      </w:r>
      <w:r w:rsidR="006740E6">
        <w:t>ing</w:t>
      </w:r>
      <w:r w:rsidRPr="00DA0A96" w:rsidR="00E408E2">
        <w:t xml:space="preserve"> </w:t>
      </w:r>
      <w:r w:rsidRPr="00DA0A96">
        <w:t xml:space="preserve">the financial ramifications of </w:t>
      </w:r>
      <w:r w:rsidR="00DF7BC4">
        <w:t>such a rule</w:t>
      </w:r>
      <w:r w:rsidR="006740E6">
        <w:t xml:space="preserve"> </w:t>
      </w:r>
      <w:r w:rsidRPr="00DA0A96" w:rsidR="00E408E2">
        <w:t>by</w:t>
      </w:r>
      <w:r w:rsidRPr="00DA0A96" w:rsidR="003E1C8B">
        <w:t xml:space="preserve"> allowing public entities “</w:t>
      </w:r>
      <w:r w:rsidRPr="00DA0A96">
        <w:t xml:space="preserve">a reasonable time to finance and take remedial action or to provide adequate warning of the dangerous condition.” </w:t>
      </w:r>
      <w:r w:rsidRPr="00DA0A96" w:rsidR="00980766">
        <w:t xml:space="preserve"> </w:t>
      </w:r>
      <w:r w:rsidRPr="00DA0A96">
        <w:t>(</w:t>
      </w:r>
      <w:r w:rsidRPr="00DA0A96">
        <w:rPr>
          <w:i/>
          <w:iCs/>
        </w:rPr>
        <w:t xml:space="preserve">Cornette, </w:t>
      </w:r>
      <w:r w:rsidRPr="00DA0A96">
        <w:t>at p.</w:t>
      </w:r>
      <w:r w:rsidRPr="00DA0A96" w:rsidR="005C5101">
        <w:t> </w:t>
      </w:r>
      <w:r w:rsidRPr="00DA0A96">
        <w:t>72.)</w:t>
      </w:r>
    </w:p>
    <w:p w:rsidR="00B05F0E" w:rsidRPr="00DA0A96" w:rsidP="00DA0A96">
      <w:pPr>
        <w:ind w:firstLine="720"/>
      </w:pPr>
      <w:r w:rsidRPr="00DA0A96">
        <w:t xml:space="preserve">The City argues the 1979 amendments undermine </w:t>
      </w:r>
      <w:r w:rsidRPr="00DA0A96">
        <w:rPr>
          <w:i/>
          <w:iCs/>
        </w:rPr>
        <w:t>Cameron</w:t>
      </w:r>
      <w:r w:rsidRPr="00DA0A96">
        <w:t xml:space="preserve"> </w:t>
      </w:r>
      <w:r w:rsidRPr="00DA0A96" w:rsidR="00DD1F60">
        <w:t>because</w:t>
      </w:r>
      <w:r w:rsidRPr="00DA0A96" w:rsidR="0074571F">
        <w:t xml:space="preserve"> </w:t>
      </w:r>
      <w:r w:rsidRPr="00DA0A96" w:rsidR="00DD1F60">
        <w:t xml:space="preserve">the statute now expressly describes </w:t>
      </w:r>
      <w:r w:rsidRPr="00DA0A96">
        <w:t xml:space="preserve">the limited circumstances under which </w:t>
      </w:r>
      <w:r w:rsidRPr="00DA0A96">
        <w:t>design immunity does not preclude a failure to warn claim</w:t>
      </w:r>
      <w:r w:rsidRPr="00DA0A96">
        <w:t xml:space="preserve">:  </w:t>
      </w:r>
      <w:r w:rsidR="00E11E14">
        <w:t>W</w:t>
      </w:r>
      <w:r w:rsidRPr="00DA0A96">
        <w:t xml:space="preserve">hen </w:t>
      </w:r>
      <w:r w:rsidRPr="00DA0A96" w:rsidR="00EB4977">
        <w:t>the public entity has</w:t>
      </w:r>
      <w:r w:rsidRPr="00DA0A96" w:rsidR="00F359B2">
        <w:t xml:space="preserve"> </w:t>
      </w:r>
      <w:r w:rsidRPr="00DA0A96" w:rsidR="00EB4977">
        <w:t>notice that the originally approved plan or design has become dangerous because of a change in physical conditions</w:t>
      </w:r>
      <w:r w:rsidRPr="00DA0A96" w:rsidR="00F359B2">
        <w:t xml:space="preserve"> but takes no remedial action</w:t>
      </w:r>
      <w:r w:rsidRPr="00DA0A96">
        <w:t xml:space="preserve">.  The City </w:t>
      </w:r>
      <w:r w:rsidRPr="00DA0A96" w:rsidR="007F081F">
        <w:t xml:space="preserve">contends that </w:t>
      </w:r>
      <w:r w:rsidRPr="00DA0A96">
        <w:t>because section 830.6 now specifically</w:t>
      </w:r>
      <w:r w:rsidRPr="00DA0A96" w:rsidR="005C04E5">
        <w:t xml:space="preserve"> states</w:t>
      </w:r>
      <w:r w:rsidRPr="00DA0A96">
        <w:t xml:space="preserve"> when an entity must warn of the dangers associated with a design, </w:t>
      </w:r>
      <w:r w:rsidRPr="00DA0A96">
        <w:rPr>
          <w:i/>
          <w:iCs/>
        </w:rPr>
        <w:t>Cameron</w:t>
      </w:r>
      <w:r w:rsidRPr="00DA0A96">
        <w:t xml:space="preserve"> no longer controls.</w:t>
      </w:r>
      <w:r w:rsidRPr="00DA0A96" w:rsidR="007F081F">
        <w:t xml:space="preserve">  The City further contends that the amendments </w:t>
      </w:r>
      <w:r w:rsidRPr="00DA0A96" w:rsidR="005C04E5">
        <w:t>c</w:t>
      </w:r>
      <w:r w:rsidRPr="00DA0A96" w:rsidR="007F081F">
        <w:t xml:space="preserve">reate a conflict between </w:t>
      </w:r>
      <w:r w:rsidRPr="00DA0A96" w:rsidR="007F081F">
        <w:rPr>
          <w:i/>
          <w:iCs/>
        </w:rPr>
        <w:t>Cameron</w:t>
      </w:r>
      <w:r w:rsidRPr="00DA0A96" w:rsidR="007F081F">
        <w:t xml:space="preserve">, which holds that design immunity does not extend to </w:t>
      </w:r>
      <w:r w:rsidRPr="00DA0A96" w:rsidR="00DD1F60">
        <w:t xml:space="preserve">claims alleging the failure to warn of an approved design element, </w:t>
      </w:r>
      <w:r w:rsidRPr="00DA0A96" w:rsidR="007F081F">
        <w:t>and</w:t>
      </w:r>
      <w:r w:rsidRPr="00DA0A96" w:rsidR="00EB4977">
        <w:t xml:space="preserve"> the statutory language of</w:t>
      </w:r>
      <w:r w:rsidRPr="00DA0A96" w:rsidR="007F081F">
        <w:t xml:space="preserve"> section 830.6, which indicates that a warning is necessary </w:t>
      </w:r>
      <w:r w:rsidRPr="00DA0A96" w:rsidR="006B727B">
        <w:rPr>
          <w:i/>
          <w:iCs/>
        </w:rPr>
        <w:t>only</w:t>
      </w:r>
      <w:r w:rsidRPr="00DA0A96" w:rsidR="006B727B">
        <w:t xml:space="preserve"> when </w:t>
      </w:r>
      <w:r w:rsidRPr="00DA0A96" w:rsidR="007F081F">
        <w:t xml:space="preserve">changed circumstances have rendered the original design dangerous. </w:t>
      </w:r>
      <w:r w:rsidRPr="00DA0A96" w:rsidR="006B727B">
        <w:t xml:space="preserve"> </w:t>
      </w:r>
      <w:r w:rsidRPr="00DA0A96" w:rsidR="00B73489">
        <w:t>In the City’s view, because plaintiff has never argued that a change in physical conditions rendered the original design of the roadway dangerous</w:t>
      </w:r>
      <w:r w:rsidRPr="00DA0A96" w:rsidR="00A34E05">
        <w:t>, any claim for failure to warn necessarily fails.</w:t>
      </w:r>
    </w:p>
    <w:p w:rsidR="00FF1F66" w:rsidRPr="00DA0A96" w:rsidP="00DA0A96">
      <w:pPr>
        <w:tabs>
          <w:tab w:val="left" w:pos="1440"/>
        </w:tabs>
        <w:ind w:firstLine="720"/>
      </w:pPr>
      <w:r w:rsidRPr="00DA0A96">
        <w:t>We are not persuaded.  A</w:t>
      </w:r>
      <w:r w:rsidRPr="00DA0A96" w:rsidR="0090003F">
        <w:t>s noted above, the legislative history</w:t>
      </w:r>
      <w:r w:rsidRPr="00DA0A96" w:rsidR="00DD1F60">
        <w:t xml:space="preserve"> demonstrates that </w:t>
      </w:r>
      <w:r w:rsidRPr="00DA0A96" w:rsidR="0090003F">
        <w:t xml:space="preserve">the 1979 amendments </w:t>
      </w:r>
      <w:r w:rsidRPr="00DA0A96" w:rsidR="0047742B">
        <w:t xml:space="preserve">were </w:t>
      </w:r>
      <w:r w:rsidRPr="00DA0A96" w:rsidR="006067AC">
        <w:t>intended to</w:t>
      </w:r>
      <w:r w:rsidRPr="00DA0A96" w:rsidR="0047742B">
        <w:t xml:space="preserve"> </w:t>
      </w:r>
      <w:r w:rsidRPr="00DA0A96" w:rsidR="00DD1F60">
        <w:t xml:space="preserve">mitigate </w:t>
      </w:r>
      <w:r w:rsidRPr="00DA0A96" w:rsidR="0047742B">
        <w:t xml:space="preserve">the financial effects of </w:t>
      </w:r>
      <w:r w:rsidRPr="00DA0A96" w:rsidR="0047742B">
        <w:rPr>
          <w:i/>
          <w:iCs/>
        </w:rPr>
        <w:t>Baldwin</w:t>
      </w:r>
      <w:r w:rsidRPr="000D4248" w:rsidR="0047742B">
        <w:t>’s</w:t>
      </w:r>
      <w:r w:rsidRPr="00DA0A96" w:rsidR="006067AC">
        <w:t xml:space="preserve"> </w:t>
      </w:r>
      <w:r w:rsidRPr="00DA0A96" w:rsidR="0047742B">
        <w:t xml:space="preserve">holding that </w:t>
      </w:r>
      <w:r w:rsidRPr="00DA0A96" w:rsidR="0090003F">
        <w:t xml:space="preserve">design immunity </w:t>
      </w:r>
      <w:r w:rsidRPr="00DA0A96" w:rsidR="0047742B">
        <w:t>can be lost when</w:t>
      </w:r>
      <w:r w:rsidRPr="00DA0A96" w:rsidR="0064435A">
        <w:t xml:space="preserve"> “the plan or design has become dangerous </w:t>
      </w:r>
      <w:r w:rsidRPr="00DA0A96" w:rsidR="0064435A">
        <w:rPr>
          <w:i/>
          <w:iCs/>
        </w:rPr>
        <w:t>because of a change of physical conditions</w:t>
      </w:r>
      <w:r w:rsidRPr="00DA0A96" w:rsidR="0064435A">
        <w:t>.”  (</w:t>
      </w:r>
      <w:r w:rsidRPr="00DA0A96" w:rsidR="0064435A">
        <w:rPr>
          <w:i/>
          <w:iCs/>
        </w:rPr>
        <w:t>Cornette, supra</w:t>
      </w:r>
      <w:r w:rsidRPr="00DA0A96" w:rsidR="0064435A">
        <w:t>,  26</w:t>
      </w:r>
      <w:r w:rsidRPr="00DA0A96" w:rsidR="005C5101">
        <w:t> </w:t>
      </w:r>
      <w:r w:rsidRPr="00DA0A96" w:rsidR="0064435A">
        <w:t xml:space="preserve">Cal.4th </w:t>
      </w:r>
      <w:r w:rsidRPr="00DA0A96" w:rsidR="002F2186">
        <w:t>at p.</w:t>
      </w:r>
      <w:r w:rsidRPr="00DA0A96" w:rsidR="005C5101">
        <w:t> </w:t>
      </w:r>
      <w:r w:rsidRPr="00DA0A96" w:rsidR="002F2186">
        <w:t>7</w:t>
      </w:r>
      <w:r w:rsidR="00CA290B">
        <w:t>1</w:t>
      </w:r>
      <w:r w:rsidRPr="00DA0A96" w:rsidR="002F2186">
        <w:t>, italics added.)</w:t>
      </w:r>
      <w:r w:rsidRPr="00DA0A96" w:rsidR="006B727B">
        <w:t xml:space="preserve"> </w:t>
      </w:r>
      <w:r w:rsidRPr="00DA0A96" w:rsidR="007C7DB7">
        <w:t xml:space="preserve"> </w:t>
      </w:r>
      <w:r w:rsidRPr="00DA0A96" w:rsidR="0090003F">
        <w:rPr>
          <w:i/>
          <w:iCs/>
        </w:rPr>
        <w:t>Cameron</w:t>
      </w:r>
      <w:r w:rsidRPr="00DA0A96" w:rsidR="0090003F">
        <w:t xml:space="preserve">, in contrast, addresses whether </w:t>
      </w:r>
      <w:r w:rsidRPr="00DA0A96" w:rsidR="0047742B">
        <w:t xml:space="preserve">design immunity applies to </w:t>
      </w:r>
      <w:r w:rsidRPr="00DA0A96" w:rsidR="0090003F">
        <w:t>failure to warn claim</w:t>
      </w:r>
      <w:r w:rsidRPr="00DA0A96" w:rsidR="0047742B">
        <w:t xml:space="preserve">s </w:t>
      </w:r>
      <w:r w:rsidRPr="00DA0A96" w:rsidR="0090003F">
        <w:rPr>
          <w:i/>
          <w:iCs/>
        </w:rPr>
        <w:t>irrespective</w:t>
      </w:r>
      <w:r w:rsidRPr="00DA0A96" w:rsidR="0090003F">
        <w:t xml:space="preserve"> of changed circumstances.  </w:t>
      </w:r>
      <w:r w:rsidRPr="00DA0A96" w:rsidR="002F2186">
        <w:t xml:space="preserve">Indeed, </w:t>
      </w:r>
      <w:r w:rsidRPr="00DA0A96" w:rsidR="00E97ED8">
        <w:t xml:space="preserve">in the claims at issue in </w:t>
      </w:r>
      <w:r w:rsidRPr="00DA0A96" w:rsidR="00E97ED8">
        <w:rPr>
          <w:i/>
          <w:iCs/>
        </w:rPr>
        <w:t>Cameron</w:t>
      </w:r>
      <w:r w:rsidRPr="00DA0A96" w:rsidR="00E97ED8">
        <w:t>, there was no allegation that the challenged design</w:t>
      </w:r>
      <w:r w:rsidRPr="00DA0A96" w:rsidR="00A93B84">
        <w:t xml:space="preserve"> feature</w:t>
      </w:r>
      <w:r w:rsidRPr="00DA0A96" w:rsidR="00E97ED8">
        <w:t xml:space="preserve"> (the banking of the turn) had become dangerous as the result of changed </w:t>
      </w:r>
      <w:r w:rsidRPr="00DA0A96" w:rsidR="00A93B84">
        <w:t xml:space="preserve">physical </w:t>
      </w:r>
      <w:r w:rsidRPr="00DA0A96" w:rsidR="00E97ED8">
        <w:t xml:space="preserve">conditions, but rather that the design </w:t>
      </w:r>
      <w:r w:rsidRPr="00DA0A96" w:rsidR="00BF7587">
        <w:t xml:space="preserve">of the roadway </w:t>
      </w:r>
      <w:r w:rsidRPr="00DA0A96" w:rsidR="00E97ED8">
        <w:t xml:space="preserve">was dangerous from its inception, and that a warning would have mitigated the problem.  </w:t>
      </w:r>
      <w:r w:rsidRPr="00DA0A96" w:rsidR="00A24707">
        <w:t>Thus</w:t>
      </w:r>
      <w:r w:rsidRPr="00DA0A96" w:rsidR="006B727B">
        <w:t xml:space="preserve">, </w:t>
      </w:r>
      <w:r w:rsidRPr="00DA0A96" w:rsidR="006B727B">
        <w:rPr>
          <w:i/>
          <w:iCs/>
        </w:rPr>
        <w:t>Cameron</w:t>
      </w:r>
      <w:r w:rsidRPr="00DA0A96" w:rsidR="006B727B">
        <w:t xml:space="preserve"> </w:t>
      </w:r>
      <w:r w:rsidRPr="00DA0A96" w:rsidR="0090003F">
        <w:t xml:space="preserve">allows plaintiffs to seek redress for injuries </w:t>
      </w:r>
      <w:r w:rsidRPr="00DA0A96" w:rsidR="00241D2C">
        <w:t>where the public entity ha</w:t>
      </w:r>
      <w:r w:rsidRPr="00DA0A96" w:rsidR="008B1C34">
        <w:t>s</w:t>
      </w:r>
      <w:r w:rsidRPr="00DA0A96" w:rsidR="00241D2C">
        <w:t xml:space="preserve"> notice that</w:t>
      </w:r>
      <w:r w:rsidRPr="00DA0A96" w:rsidR="008B1C34">
        <w:t xml:space="preserve"> an approved design </w:t>
      </w:r>
      <w:r w:rsidRPr="00DA0A96" w:rsidR="007C7DB7">
        <w:t xml:space="preserve">has </w:t>
      </w:r>
      <w:r w:rsidRPr="00DA0A96" w:rsidR="00241D2C">
        <w:t xml:space="preserve">resulted in a concealed </w:t>
      </w:r>
      <w:r w:rsidRPr="00DA0A96" w:rsidR="00BF7587">
        <w:t xml:space="preserve">traffic </w:t>
      </w:r>
      <w:r w:rsidRPr="00DA0A96" w:rsidR="00241D2C">
        <w:t>danger</w:t>
      </w:r>
      <w:r w:rsidRPr="00DA0A96" w:rsidR="007C7DB7">
        <w:t xml:space="preserve"> and a warning would have </w:t>
      </w:r>
      <w:r w:rsidRPr="00DA0A96" w:rsidR="00FF6DD2">
        <w:t xml:space="preserve">protected against that </w:t>
      </w:r>
      <w:r w:rsidRPr="00DA0A96" w:rsidR="007C7DB7">
        <w:t>danger</w:t>
      </w:r>
      <w:r w:rsidRPr="00DA0A96" w:rsidR="0090003F">
        <w:t xml:space="preserve">.  </w:t>
      </w:r>
      <w:r w:rsidRPr="00DA0A96" w:rsidR="0047742B">
        <w:t>The 1979</w:t>
      </w:r>
      <w:r w:rsidRPr="00DA0A96">
        <w:t xml:space="preserve"> amendments</w:t>
      </w:r>
      <w:r w:rsidRPr="00DA0A96" w:rsidR="0047742B">
        <w:t xml:space="preserve"> do not speak to that</w:t>
      </w:r>
      <w:r w:rsidRPr="00DA0A96" w:rsidR="00826F3A">
        <w:t xml:space="preserve"> specific</w:t>
      </w:r>
      <w:r w:rsidRPr="00DA0A96" w:rsidR="0047742B">
        <w:t xml:space="preserve"> situation.  </w:t>
      </w:r>
    </w:p>
    <w:p w:rsidR="00102B40" w:rsidP="006740E6">
      <w:pPr>
        <w:tabs>
          <w:tab w:val="left" w:pos="1440"/>
        </w:tabs>
        <w:ind w:firstLine="720"/>
      </w:pPr>
      <w:bookmarkStart w:id="12" w:name="_Hlk116393940"/>
      <w:r w:rsidRPr="00DA0A96">
        <w:t>The legislative history lends</w:t>
      </w:r>
      <w:r w:rsidRPr="00DA0A96" w:rsidR="00826F3A">
        <w:t xml:space="preserve"> clear</w:t>
      </w:r>
      <w:r w:rsidRPr="00DA0A96" w:rsidR="008B1C34">
        <w:t xml:space="preserve"> </w:t>
      </w:r>
      <w:r w:rsidRPr="00DA0A96">
        <w:t>support</w:t>
      </w:r>
      <w:r w:rsidRPr="00DA0A96" w:rsidR="00A24707">
        <w:t xml:space="preserve"> to th</w:t>
      </w:r>
      <w:r w:rsidRPr="00DA0A96" w:rsidR="008B1C34">
        <w:t>e</w:t>
      </w:r>
      <w:r w:rsidRPr="00DA0A96" w:rsidR="00A24707">
        <w:t xml:space="preserve"> conclusion</w:t>
      </w:r>
      <w:r w:rsidRPr="00DA0A96" w:rsidR="008B1C34">
        <w:t xml:space="preserve"> that the 1979 amendments were unrelated to </w:t>
      </w:r>
      <w:r w:rsidRPr="00DA0A96" w:rsidR="008B1C34">
        <w:rPr>
          <w:i/>
          <w:iCs/>
        </w:rPr>
        <w:t>Cameron</w:t>
      </w:r>
      <w:r w:rsidRPr="00DA0A96" w:rsidR="00A24707">
        <w:t xml:space="preserve">.  In January 1979, </w:t>
      </w:r>
      <w:r w:rsidRPr="00DA0A96">
        <w:t>the Joint Committee on Tort Liability</w:t>
      </w:r>
      <w:r w:rsidRPr="00DA0A96" w:rsidR="008B1C34">
        <w:t xml:space="preserve">, chaired by assemblyman John Knox, issued a staff report </w:t>
      </w:r>
      <w:r w:rsidRPr="00DA0A96">
        <w:t>recommend</w:t>
      </w:r>
      <w:r w:rsidRPr="00DA0A96" w:rsidR="008B1C34">
        <w:t xml:space="preserve">ing </w:t>
      </w:r>
      <w:r w:rsidRPr="00DA0A96">
        <w:t xml:space="preserve">that the Legislature amend section 830.6 </w:t>
      </w:r>
      <w:r w:rsidRPr="00DA0A96" w:rsidR="00B56CC0">
        <w:t xml:space="preserve">in two distinct ways:  (1) </w:t>
      </w:r>
      <w:r w:rsidRPr="00DA0A96" w:rsidR="008B1C34">
        <w:t xml:space="preserve">add language </w:t>
      </w:r>
      <w:r w:rsidRPr="00DA0A96" w:rsidR="00E067B3">
        <w:t xml:space="preserve">to the statute that would </w:t>
      </w:r>
      <w:r w:rsidRPr="00DA0A96" w:rsidR="00EF4AD5">
        <w:t>limit</w:t>
      </w:r>
      <w:r w:rsidRPr="00DA0A96">
        <w:t xml:space="preserve"> the financial impacts of </w:t>
      </w:r>
      <w:r w:rsidRPr="00DA0A96">
        <w:rPr>
          <w:i/>
          <w:iCs/>
        </w:rPr>
        <w:t>Baldwin</w:t>
      </w:r>
      <w:r w:rsidRPr="00DA0A96">
        <w:t xml:space="preserve">, </w:t>
      </w:r>
      <w:r w:rsidRPr="00DA0A96">
        <w:rPr>
          <w:i/>
          <w:iCs/>
        </w:rPr>
        <w:t>supra</w:t>
      </w:r>
      <w:r w:rsidRPr="00DA0A96">
        <w:t>, 6</w:t>
      </w:r>
      <w:r w:rsidRPr="00DA0A96" w:rsidR="00470782">
        <w:t> </w:t>
      </w:r>
      <w:r w:rsidRPr="00DA0A96">
        <w:t>Cal.3d 424</w:t>
      </w:r>
      <w:r w:rsidR="005F2D97">
        <w:t>;</w:t>
      </w:r>
      <w:r w:rsidRPr="00DA0A96" w:rsidR="00A24707">
        <w:t xml:space="preserve"> </w:t>
      </w:r>
      <w:r w:rsidRPr="00DA0A96" w:rsidR="00B56CC0">
        <w:t>and (2)</w:t>
      </w:r>
      <w:r w:rsidRPr="00DA0A96" w:rsidR="008B1C34">
        <w:t xml:space="preserve"> </w:t>
      </w:r>
      <w:r w:rsidRPr="00DA0A96" w:rsidR="00EF4AD5">
        <w:t xml:space="preserve">“obviate[] </w:t>
      </w:r>
      <w:r w:rsidRPr="00DA0A96" w:rsidR="00E067B3">
        <w:t>[</w:t>
      </w:r>
      <w:r w:rsidRPr="00DA0A96" w:rsidR="00E067B3">
        <w:rPr>
          <w:i/>
          <w:iCs/>
        </w:rPr>
        <w:t>Cameron</w:t>
      </w:r>
      <w:r w:rsidRPr="000D4248" w:rsidR="00E067B3">
        <w:t>’s</w:t>
      </w:r>
      <w:r w:rsidRPr="00DA0A96" w:rsidR="00E067B3">
        <w:t>]</w:t>
      </w:r>
      <w:r w:rsidRPr="00DA0A96" w:rsidR="00EF4AD5">
        <w:t xml:space="preserve"> holding</w:t>
      </w:r>
      <w:r w:rsidRPr="00DA0A96" w:rsidR="00E067B3">
        <w:t xml:space="preserve">” </w:t>
      </w:r>
      <w:r w:rsidRPr="00DA0A96" w:rsidR="00013646">
        <w:t>that a public entity can be held liable for fail</w:t>
      </w:r>
      <w:r w:rsidRPr="00DA0A96" w:rsidR="00B56CC0">
        <w:t xml:space="preserve">ing </w:t>
      </w:r>
      <w:r w:rsidRPr="00DA0A96" w:rsidR="00013646">
        <w:t xml:space="preserve">to warn of a dangerous </w:t>
      </w:r>
      <w:r w:rsidRPr="00DA0A96" w:rsidR="00B56CC0">
        <w:t xml:space="preserve">design element </w:t>
      </w:r>
      <w:r w:rsidRPr="00DA0A96" w:rsidR="00013646">
        <w:t xml:space="preserve">“even though design immunity may have been applicable.”  </w:t>
      </w:r>
      <w:bookmarkStart w:id="13" w:name="_Hlk118741000"/>
      <w:r w:rsidRPr="00DA0A96" w:rsidR="00013646">
        <w:t>(</w:t>
      </w:r>
      <w:r w:rsidRPr="003C68CF" w:rsidR="003C68CF">
        <w:t>Joint Com. on Tort Liability</w:t>
      </w:r>
      <w:r w:rsidR="003C68CF">
        <w:t xml:space="preserve">, </w:t>
      </w:r>
      <w:r w:rsidRPr="003C68CF" w:rsidR="00FB323D">
        <w:t>1978 Staff Report</w:t>
      </w:r>
      <w:r w:rsidR="00BD3CBA">
        <w:t xml:space="preserve"> on Tort Liability</w:t>
      </w:r>
      <w:r w:rsidRPr="003C68CF" w:rsidR="00FB323D">
        <w:t xml:space="preserve"> (Jan. 1979) p.</w:t>
      </w:r>
      <w:r w:rsidRPr="003C68CF" w:rsidR="00470782">
        <w:t> </w:t>
      </w:r>
      <w:r w:rsidR="004479C9">
        <w:t>78-257</w:t>
      </w:r>
      <w:r w:rsidRPr="00DA0A96" w:rsidR="00FB323D">
        <w:t xml:space="preserve">.) </w:t>
      </w:r>
      <w:bookmarkEnd w:id="12"/>
      <w:bookmarkEnd w:id="13"/>
      <w:r w:rsidRPr="00DA0A96" w:rsidR="00013646">
        <w:t xml:space="preserve"> </w:t>
      </w:r>
    </w:p>
    <w:p w:rsidR="00074646" w:rsidRPr="00DA0A96" w:rsidP="006740E6">
      <w:pPr>
        <w:tabs>
          <w:tab w:val="left" w:pos="1440"/>
        </w:tabs>
        <w:ind w:firstLine="720"/>
      </w:pPr>
      <w:r w:rsidRPr="00DA0A96">
        <w:t xml:space="preserve">In </w:t>
      </w:r>
      <w:r w:rsidRPr="00DA0A96" w:rsidR="00EE4F6E">
        <w:t>the 1</w:t>
      </w:r>
      <w:r w:rsidRPr="00DA0A96">
        <w:t xml:space="preserve">979 amendments that followed, however, </w:t>
      </w:r>
      <w:r w:rsidRPr="00DA0A96" w:rsidR="00FF1F66">
        <w:t xml:space="preserve">the Legislature made the recommended changes in response to </w:t>
      </w:r>
      <w:r w:rsidRPr="00DA0A96" w:rsidR="00FF1F66">
        <w:rPr>
          <w:i/>
          <w:iCs/>
        </w:rPr>
        <w:t>Baldwin</w:t>
      </w:r>
      <w:r w:rsidRPr="00DA0A96" w:rsidR="00FF1F66">
        <w:t xml:space="preserve"> but took no action to abrogat</w:t>
      </w:r>
      <w:r w:rsidRPr="00DA0A96" w:rsidR="008B1C34">
        <w:t>e</w:t>
      </w:r>
      <w:r w:rsidRPr="00DA0A96" w:rsidR="00FF1F66">
        <w:t xml:space="preserve"> </w:t>
      </w:r>
      <w:r w:rsidRPr="00DA0A96" w:rsidR="00FF1F66">
        <w:rPr>
          <w:i/>
          <w:iCs/>
        </w:rPr>
        <w:t>Cameron</w:t>
      </w:r>
      <w:r w:rsidRPr="00DA0A96" w:rsidR="00FF1F66">
        <w:t xml:space="preserve">.  </w:t>
      </w:r>
      <w:r w:rsidRPr="00DA0A96" w:rsidR="00B44ECF">
        <w:t xml:space="preserve">Indeed, </w:t>
      </w:r>
      <w:r w:rsidRPr="00DA0A96" w:rsidR="008F4E19">
        <w:t xml:space="preserve">in </w:t>
      </w:r>
      <w:r w:rsidRPr="00DA0A96" w:rsidR="00B44ECF">
        <w:t xml:space="preserve">a letter </w:t>
      </w:r>
      <w:r w:rsidRPr="00DA0A96" w:rsidR="00E067B3">
        <w:t xml:space="preserve">that Assemblyman </w:t>
      </w:r>
      <w:r w:rsidRPr="00DA0A96" w:rsidR="008F4E19">
        <w:t>Knox</w:t>
      </w:r>
      <w:r w:rsidRPr="00DA0A96" w:rsidR="00E067B3">
        <w:t xml:space="preserve"> (who both </w:t>
      </w:r>
      <w:r w:rsidRPr="00DA0A96" w:rsidR="008F4E19">
        <w:t>author</w:t>
      </w:r>
      <w:r w:rsidRPr="00DA0A96" w:rsidR="00E067B3">
        <w:t>ed</w:t>
      </w:r>
      <w:r w:rsidRPr="00DA0A96" w:rsidR="008F4E19">
        <w:t xml:space="preserve"> </w:t>
      </w:r>
      <w:r w:rsidRPr="00DA0A96" w:rsidR="008B1C34">
        <w:t>A</w:t>
      </w:r>
      <w:r w:rsidR="00AB6E6F">
        <w:t xml:space="preserve">ssembly </w:t>
      </w:r>
      <w:r w:rsidRPr="00DA0A96" w:rsidR="008B1C34">
        <w:t>B</w:t>
      </w:r>
      <w:r w:rsidR="00AB6E6F">
        <w:t>ill</w:t>
      </w:r>
      <w:r w:rsidRPr="00DA0A96" w:rsidR="008B1C34">
        <w:t xml:space="preserve"> 8</w:t>
      </w:r>
      <w:r w:rsidRPr="00DA0A96" w:rsidR="00EE4F6E">
        <w:t>9</w:t>
      </w:r>
      <w:r w:rsidRPr="00DA0A96" w:rsidR="008B1C34">
        <w:t>3</w:t>
      </w:r>
      <w:r w:rsidRPr="00DA0A96" w:rsidR="00EE4F6E">
        <w:t xml:space="preserve"> and chair</w:t>
      </w:r>
      <w:r w:rsidRPr="00DA0A96" w:rsidR="00E067B3">
        <w:t>ed</w:t>
      </w:r>
      <w:r w:rsidRPr="00DA0A96" w:rsidR="00EE4F6E">
        <w:t xml:space="preserve"> the Joint Committee on Tort Liability</w:t>
      </w:r>
      <w:r w:rsidRPr="00DA0A96" w:rsidR="008F4E19">
        <w:t>)</w:t>
      </w:r>
      <w:r w:rsidRPr="00DA0A96" w:rsidR="00EE4F6E">
        <w:t xml:space="preserve"> sent</w:t>
      </w:r>
      <w:r w:rsidRPr="00DA0A96" w:rsidR="008F4E19">
        <w:t xml:space="preserve"> to then Governor </w:t>
      </w:r>
      <w:r w:rsidRPr="00DA0A96" w:rsidR="001D441A">
        <w:t>Edmund</w:t>
      </w:r>
      <w:r w:rsidRPr="00DA0A96" w:rsidR="008F4E19">
        <w:t xml:space="preserve"> </w:t>
      </w:r>
      <w:r w:rsidRPr="00DA0A96" w:rsidR="001D441A">
        <w:t xml:space="preserve">J. </w:t>
      </w:r>
      <w:r w:rsidRPr="00DA0A96" w:rsidR="008F4E19">
        <w:t>Brown,</w:t>
      </w:r>
      <w:r w:rsidR="0015454D">
        <w:t xml:space="preserve"> Jr.,</w:t>
      </w:r>
      <w:r w:rsidRPr="00DA0A96" w:rsidR="008F4E19">
        <w:t xml:space="preserve"> Kno</w:t>
      </w:r>
      <w:r w:rsidRPr="00DA0A96" w:rsidR="00D61CFE">
        <w:t>x</w:t>
      </w:r>
      <w:r w:rsidRPr="00DA0A96" w:rsidR="008F4E19">
        <w:t xml:space="preserve"> explained that</w:t>
      </w:r>
      <w:r w:rsidRPr="00DA0A96" w:rsidR="00006A6A">
        <w:t xml:space="preserve"> “</w:t>
      </w:r>
      <w:r w:rsidRPr="00DA0A96" w:rsidR="006327AA">
        <w:t> </w:t>
      </w:r>
      <w:r w:rsidRPr="00DA0A96" w:rsidR="00006A6A">
        <w:t>‘</w:t>
      </w:r>
      <w:r w:rsidR="00F353ED">
        <w:t>[a]</w:t>
      </w:r>
      <w:r w:rsidRPr="00DA0A96" w:rsidR="00006A6A">
        <w:t xml:space="preserve">lthough the staff of the Joint Committee agreed with </w:t>
      </w:r>
      <w:r w:rsidRPr="00DA0A96" w:rsidR="00006A6A">
        <w:rPr>
          <w:i/>
          <w:iCs/>
        </w:rPr>
        <w:t>Baldwin</w:t>
      </w:r>
      <w:r w:rsidRPr="00DA0A96" w:rsidR="00006A6A">
        <w:t>, it felt there should be some recognition of the practical limitations which have been imposed upon governments by Article XIII A of the California Constitution (Proposition 13) and ever increasing liability insurance costs.  This recognition is achieved by AB 893.’ ”  (</w:t>
      </w:r>
      <w:r w:rsidRPr="00DA0A96" w:rsidR="00006A6A">
        <w:rPr>
          <w:i/>
          <w:iCs/>
        </w:rPr>
        <w:t>Cornette, supra</w:t>
      </w:r>
      <w:r w:rsidRPr="00DA0A96" w:rsidR="00006A6A">
        <w:t>, 26</w:t>
      </w:r>
      <w:r w:rsidRPr="00DA0A96" w:rsidR="006327AA">
        <w:t> </w:t>
      </w:r>
      <w:r w:rsidRPr="00DA0A96" w:rsidR="00006A6A">
        <w:t>Cal.4th at p.</w:t>
      </w:r>
      <w:r w:rsidRPr="00DA0A96" w:rsidR="006327AA">
        <w:t> </w:t>
      </w:r>
      <w:r w:rsidRPr="00DA0A96" w:rsidR="00006A6A">
        <w:t xml:space="preserve">72, </w:t>
      </w:r>
      <w:r w:rsidRPr="006B7E8B" w:rsidR="00006A6A">
        <w:t>quoting Assemblyman John T. Knox, letter to Governor Edmund G. Brown, Jr., re Assem. Bill No. 893, Aug. 30, 1979, pp.</w:t>
      </w:r>
      <w:r w:rsidRPr="006B7E8B" w:rsidR="00FA1A39">
        <w:t> </w:t>
      </w:r>
      <w:r w:rsidRPr="006B7E8B" w:rsidR="00006A6A">
        <w:t>1</w:t>
      </w:r>
      <w:r w:rsidRPr="006B7E8B" w:rsidR="007025AE">
        <w:t>–</w:t>
      </w:r>
      <w:r w:rsidRPr="006B7E8B" w:rsidR="00006A6A">
        <w:t>2</w:t>
      </w:r>
      <w:r w:rsidR="006740E6">
        <w:t>; see</w:t>
      </w:r>
      <w:r w:rsidR="006B7E8B">
        <w:t xml:space="preserve"> also</w:t>
      </w:r>
      <w:r w:rsidR="006740E6">
        <w:t xml:space="preserve"> </w:t>
      </w:r>
      <w:r w:rsidRPr="006740E6" w:rsidR="006740E6">
        <w:rPr>
          <w:i/>
          <w:iCs/>
        </w:rPr>
        <w:t>Cornette</w:t>
      </w:r>
      <w:r w:rsidR="006740E6">
        <w:t>, at p.  72 [“Although referenced elsewhere in several legislative analyses, the purpose of the [1979 amendment] was best explained by</w:t>
      </w:r>
      <w:r w:rsidR="003400D5">
        <w:t xml:space="preserve"> its author</w:t>
      </w:r>
      <w:r w:rsidR="006740E6">
        <w:t xml:space="preserve"> [Assemblyman Knox] in a letter to the Governor urging him to approve it”]; </w:t>
      </w:r>
      <w:r w:rsidRPr="00F93A09" w:rsidR="00F93A09">
        <w:rPr>
          <w:i/>
          <w:iCs/>
        </w:rPr>
        <w:t>Martin v. Szeto</w:t>
      </w:r>
      <w:r w:rsidR="00F93A09">
        <w:t xml:space="preserve"> (2004) 32 Cal.4th 445, 450–451 [statements from </w:t>
      </w:r>
      <w:r w:rsidR="00102B40">
        <w:t xml:space="preserve">a </w:t>
      </w:r>
      <w:r w:rsidR="00F93A09">
        <w:t>bill’s sponsor “are entitled to consideration to the extent they constitute ‘a reiteration of legislative discussion and events leading to adoption of proposed amendments rather than merely an expression of personal opinion’ ”]</w:t>
      </w:r>
      <w:r w:rsidRPr="00DA0A96" w:rsidR="00006A6A">
        <w:t>.)</w:t>
      </w:r>
      <w:r w:rsidRPr="00DA0A96" w:rsidR="007025AE">
        <w:t xml:space="preserve">  </w:t>
      </w:r>
      <w:r w:rsidRPr="00DA0A96" w:rsidR="00006A6A">
        <w:t>T</w:t>
      </w:r>
      <w:r w:rsidRPr="00DA0A96" w:rsidR="00D61CFE">
        <w:t xml:space="preserve">he letter contains no reference to </w:t>
      </w:r>
      <w:r w:rsidRPr="00DA0A96" w:rsidR="00D61CFE">
        <w:rPr>
          <w:i/>
          <w:iCs/>
        </w:rPr>
        <w:t>Cameron</w:t>
      </w:r>
      <w:r w:rsidRPr="00DA0A96" w:rsidR="00D61CFE">
        <w:t xml:space="preserve">. </w:t>
      </w:r>
      <w:r w:rsidRPr="00DA0A96" w:rsidR="001D441A">
        <w:t xml:space="preserve"> </w:t>
      </w:r>
      <w:r w:rsidRPr="00DA0A96" w:rsidR="00D61CFE">
        <w:t>T</w:t>
      </w:r>
      <w:r w:rsidRPr="00DA0A96" w:rsidR="00FF1F66">
        <w:t xml:space="preserve">his history supports the view that the amendments to section 830.6 </w:t>
      </w:r>
      <w:r w:rsidRPr="00DA0A96" w:rsidR="00905811">
        <w:t xml:space="preserve">were intended to address how changed circumstances affect design immunity, </w:t>
      </w:r>
      <w:r w:rsidRPr="00DA0A96" w:rsidR="00EE4F6E">
        <w:t xml:space="preserve">not </w:t>
      </w:r>
      <w:r w:rsidRPr="00DA0A96" w:rsidR="00FF1F66">
        <w:rPr>
          <w:i/>
          <w:iCs/>
        </w:rPr>
        <w:t>Cameron</w:t>
      </w:r>
      <w:r w:rsidRPr="00265B22" w:rsidR="00FF1F66">
        <w:t>’s</w:t>
      </w:r>
      <w:r w:rsidRPr="00DA0A96" w:rsidR="00FF1F66">
        <w:t xml:space="preserve"> holding regarding </w:t>
      </w:r>
      <w:r w:rsidRPr="00DA0A96" w:rsidR="00905811">
        <w:t xml:space="preserve">how design immunity affects </w:t>
      </w:r>
      <w:r w:rsidRPr="00DA0A96" w:rsidR="00FF1F66">
        <w:t>failure to warn claims</w:t>
      </w:r>
      <w:r w:rsidRPr="00DA0A96" w:rsidR="00530FB4">
        <w:t>.</w:t>
      </w:r>
      <w:r>
        <w:rPr>
          <w:rStyle w:val="FootnoteReference"/>
        </w:rPr>
        <w:footnoteReference w:id="9"/>
      </w:r>
    </w:p>
    <w:p w:rsidR="00937457" w:rsidRPr="00DA0A96" w:rsidP="00DA0A96">
      <w:pPr>
        <w:pStyle w:val="Heading3"/>
      </w:pPr>
      <w:r w:rsidRPr="00DA0A96">
        <w:t>3.</w:t>
      </w:r>
      <w:r w:rsidRPr="00DA0A96" w:rsidR="0027506F">
        <w:tab/>
      </w:r>
      <w:r w:rsidRPr="00DA0A96" w:rsidR="006067AC">
        <w:t xml:space="preserve">Adherence to </w:t>
      </w:r>
      <w:r w:rsidRPr="00DA0A96">
        <w:t>stare decisis</w:t>
      </w:r>
    </w:p>
    <w:p w:rsidR="001072CE" w:rsidP="001072CE">
      <w:pPr>
        <w:tabs>
          <w:tab w:val="left" w:pos="1440"/>
        </w:tabs>
        <w:ind w:firstLine="720"/>
      </w:pPr>
      <w:r w:rsidRPr="00DA0A96">
        <w:t>Finally, we address the City’s contention that even if</w:t>
      </w:r>
      <w:r w:rsidRPr="00DA0A96" w:rsidR="00241D2C">
        <w:t xml:space="preserve"> </w:t>
      </w:r>
      <w:r w:rsidRPr="00DA0A96">
        <w:rPr>
          <w:i/>
          <w:iCs/>
        </w:rPr>
        <w:t>Cameron</w:t>
      </w:r>
      <w:r w:rsidRPr="00DA0A96" w:rsidR="00EE4F6E">
        <w:rPr>
          <w:i/>
          <w:iCs/>
        </w:rPr>
        <w:t xml:space="preserve"> </w:t>
      </w:r>
      <w:r w:rsidRPr="00DA0A96" w:rsidR="00001BE3">
        <w:t xml:space="preserve">remains </w:t>
      </w:r>
      <w:r w:rsidRPr="00DA0A96">
        <w:t>binding precedent</w:t>
      </w:r>
      <w:r w:rsidRPr="00DA0A96" w:rsidR="00001BE3">
        <w:t xml:space="preserve">, </w:t>
      </w:r>
      <w:r w:rsidRPr="00DA0A96" w:rsidR="007040F2">
        <w:t xml:space="preserve">we </w:t>
      </w:r>
      <w:r w:rsidRPr="00DA0A96" w:rsidR="00AA4107">
        <w:t xml:space="preserve">should </w:t>
      </w:r>
      <w:r w:rsidRPr="00DA0A96" w:rsidR="007040F2">
        <w:t>overrule</w:t>
      </w:r>
      <w:r w:rsidRPr="00DA0A96" w:rsidR="00001BE3">
        <w:t xml:space="preserve"> the decision </w:t>
      </w:r>
      <w:r w:rsidRPr="00DA0A96" w:rsidR="007040F2">
        <w:t xml:space="preserve">and </w:t>
      </w:r>
      <w:r w:rsidRPr="00DA0A96" w:rsidR="00D1410A">
        <w:t xml:space="preserve">hold that design immunity </w:t>
      </w:r>
      <w:r w:rsidRPr="00DA0A96" w:rsidR="00001BE3">
        <w:t xml:space="preserve">precludes </w:t>
      </w:r>
      <w:r w:rsidR="00E57A72">
        <w:t xml:space="preserve">any </w:t>
      </w:r>
      <w:r w:rsidRPr="00DA0A96" w:rsidR="00001BE3">
        <w:t xml:space="preserve">claim alleging </w:t>
      </w:r>
      <w:r w:rsidR="006740E6">
        <w:t>that a public</w:t>
      </w:r>
      <w:r w:rsidRPr="00DA0A96" w:rsidR="00001BE3">
        <w:t xml:space="preserve"> entity failed to </w:t>
      </w:r>
      <w:r w:rsidRPr="00DA0A96" w:rsidR="00936C98">
        <w:t xml:space="preserve">warn </w:t>
      </w:r>
      <w:r w:rsidRPr="00DA0A96" w:rsidR="00001BE3">
        <w:t xml:space="preserve">of </w:t>
      </w:r>
      <w:r w:rsidRPr="00DA0A96" w:rsidR="005C4165">
        <w:t xml:space="preserve">a dangerous roadway condition </w:t>
      </w:r>
      <w:r w:rsidRPr="00DA0A96" w:rsidR="00001BE3">
        <w:t>that was reflected in the approved plans</w:t>
      </w:r>
      <w:r w:rsidRPr="00DA0A96" w:rsidR="00D1410A">
        <w:t xml:space="preserve">. </w:t>
      </w:r>
      <w:r w:rsidRPr="00DA0A96">
        <w:t xml:space="preserve"> </w:t>
      </w:r>
      <w:r w:rsidRPr="00DA0A96" w:rsidR="00593282">
        <w:t xml:space="preserve">“It is, of course, a fundamental jurisprudential policy that prior applicable precedent usually must be followed even though the case, if considered anew, might be decided differently by the current justices.”  </w:t>
      </w:r>
      <w:bookmarkStart w:id="14" w:name="_Hlk118718998"/>
      <w:r w:rsidRPr="00DA0A96" w:rsidR="00936C98">
        <w:t>(</w:t>
      </w:r>
      <w:r w:rsidRPr="00DA0A96" w:rsidR="00593282">
        <w:rPr>
          <w:i/>
          <w:iCs/>
        </w:rPr>
        <w:t xml:space="preserve">Sierra Club v. San Joaquin Local Agency </w:t>
      </w:r>
      <w:r w:rsidRPr="00EE53E3" w:rsidR="00593282">
        <w:rPr>
          <w:i/>
          <w:iCs/>
        </w:rPr>
        <w:t>Formation Com</w:t>
      </w:r>
      <w:r w:rsidRPr="00DA0A96" w:rsidR="00593282">
        <w:t>. (1999) 21</w:t>
      </w:r>
      <w:r w:rsidRPr="00DA0A96" w:rsidR="00FA1A39">
        <w:t> </w:t>
      </w:r>
      <w:r w:rsidRPr="00DA0A96" w:rsidR="00593282">
        <w:t xml:space="preserve">Cal.4th 489, 503–504.)  </w:t>
      </w:r>
      <w:bookmarkEnd w:id="14"/>
      <w:r w:rsidRPr="00DA0A96" w:rsidR="00593282">
        <w:t>“Accordingly, a party urging us to overrule a precedent faces a rightly onerous task.”</w:t>
      </w:r>
      <w:r w:rsidRPr="00DA0A96" w:rsidR="0027506F">
        <w:t xml:space="preserve">  (</w:t>
      </w:r>
      <w:r w:rsidRPr="00CA1909" w:rsidR="00CA1909">
        <w:rPr>
          <w:i/>
          <w:iCs/>
        </w:rPr>
        <w:t xml:space="preserve">Trope v. Katz </w:t>
      </w:r>
      <w:r w:rsidRPr="00CA1909" w:rsidR="00CA1909">
        <w:t>(1995) 11</w:t>
      </w:r>
      <w:r w:rsidR="00CA1909">
        <w:t> </w:t>
      </w:r>
      <w:r w:rsidRPr="00CA1909" w:rsidR="00CA1909">
        <w:t>Cal.4th 274,</w:t>
      </w:r>
      <w:r w:rsidR="00CA1909">
        <w:t> </w:t>
      </w:r>
      <w:r w:rsidRPr="00CA1909" w:rsidR="00CA1909">
        <w:t>288 (</w:t>
      </w:r>
      <w:r w:rsidRPr="00CA1909" w:rsidR="00CA1909">
        <w:rPr>
          <w:i/>
          <w:iCs/>
        </w:rPr>
        <w:t>Trope</w:t>
      </w:r>
      <w:r w:rsidRPr="00CA1909" w:rsidR="00CA1909">
        <w:t>)</w:t>
      </w:r>
      <w:r w:rsidRPr="00DA0A96" w:rsidR="0027506F">
        <w:t xml:space="preserve">; see also </w:t>
      </w:r>
      <w:bookmarkStart w:id="15" w:name="_Hlk118719019"/>
      <w:r w:rsidRPr="00DA0A96" w:rsidR="0027506F">
        <w:rPr>
          <w:i/>
          <w:iCs/>
        </w:rPr>
        <w:t>Kisor</w:t>
      </w:r>
      <w:r w:rsidR="00B258F7">
        <w:rPr>
          <w:i/>
          <w:iCs/>
        </w:rPr>
        <w:t>, supra,</w:t>
      </w:r>
      <w:r w:rsidR="00987F48">
        <w:rPr>
          <w:i/>
          <w:iCs/>
        </w:rPr>
        <w:t xml:space="preserve"> </w:t>
      </w:r>
      <w:r w:rsidRPr="00DA0A96" w:rsidR="00492D23">
        <w:t xml:space="preserve">139 S.Ct. </w:t>
      </w:r>
      <w:r w:rsidR="00B258F7">
        <w:t>at p</w:t>
      </w:r>
      <w:r w:rsidR="004650D1">
        <w:t>.</w:t>
      </w:r>
      <w:r w:rsidR="00B258F7">
        <w:t> </w:t>
      </w:r>
      <w:r w:rsidRPr="00DA0A96" w:rsidR="00492D23">
        <w:t>24</w:t>
      </w:r>
      <w:r w:rsidR="00BB237E">
        <w:t>22</w:t>
      </w:r>
      <w:r w:rsidRPr="00DA0A96" w:rsidR="00DC0A84">
        <w:t>]</w:t>
      </w:r>
      <w:r w:rsidRPr="00DA0A96" w:rsidR="00492D23">
        <w:t xml:space="preserve"> </w:t>
      </w:r>
      <w:bookmarkEnd w:id="15"/>
      <w:r w:rsidRPr="00DA0A96" w:rsidR="00492D23">
        <w:t>[</w:t>
      </w:r>
      <w:r w:rsidRPr="00494926" w:rsidR="00492D23">
        <w:t>“</w:t>
      </w:r>
      <w:r w:rsidRPr="00DA0A96" w:rsidR="00EF3D40">
        <w:t xml:space="preserve">any departure from </w:t>
      </w:r>
      <w:r w:rsidR="00B258F7">
        <w:t>[stare decisis]</w:t>
      </w:r>
      <w:r w:rsidR="00016400">
        <w:t xml:space="preserve"> </w:t>
      </w:r>
      <w:r w:rsidRPr="00DA0A96" w:rsidR="00EF3D40">
        <w:t xml:space="preserve">demands </w:t>
      </w:r>
      <w:r w:rsidRPr="00DA0A96" w:rsidR="00492D23">
        <w:t>‘</w:t>
      </w:r>
      <w:r w:rsidRPr="00DA0A96" w:rsidR="00EF3D40">
        <w:t>special justification</w:t>
      </w:r>
      <w:r w:rsidRPr="00DA0A96" w:rsidR="00492D23">
        <w:t>’ ”].)</w:t>
      </w:r>
      <w:r>
        <w:t xml:space="preserve">  That burden is even greater where, as here, “</w:t>
      </w:r>
      <w:r w:rsidR="00987F48">
        <w:t> ‘</w:t>
      </w:r>
      <w:r w:rsidRPr="00DA0A96">
        <w:t xml:space="preserve">the Court is asked to overrule a point of statutory construction.  Considerations of stare decisis have special force in the area of statutory interpretation, for here, unlike in the context of constitutional interpretation, the legislative power is implicated, and </w:t>
      </w:r>
      <w:r w:rsidR="00DA1DCF">
        <w:t>[the Legislature]</w:t>
      </w:r>
      <w:r w:rsidRPr="00DA0A96">
        <w:t xml:space="preserve"> remains free to alter what we have done</w:t>
      </w:r>
      <w:r>
        <w:t>.</w:t>
      </w:r>
      <w:r w:rsidRPr="00DA0A96">
        <w:t>’ ”</w:t>
      </w:r>
      <w:r>
        <w:t xml:space="preserve">  (</w:t>
      </w:r>
      <w:r w:rsidRPr="00DA0A96">
        <w:rPr>
          <w:i/>
          <w:iCs/>
        </w:rPr>
        <w:t>Latimer</w:t>
      </w:r>
      <w:r w:rsidR="00CA1909">
        <w:rPr>
          <w:i/>
          <w:iCs/>
        </w:rPr>
        <w:t>, supra,</w:t>
      </w:r>
      <w:r w:rsidRPr="00DA0A96">
        <w:t xml:space="preserve"> 5 Cal.4th </w:t>
      </w:r>
      <w:r w:rsidR="00CA1909">
        <w:t>at p</w:t>
      </w:r>
      <w:r w:rsidR="00987F48">
        <w:t>.</w:t>
      </w:r>
      <w:r w:rsidR="00CA1909">
        <w:t> </w:t>
      </w:r>
      <w:r w:rsidRPr="00DA0A96">
        <w:t>1213</w:t>
      </w:r>
      <w:r w:rsidR="00BB237E">
        <w:t>, italics omitted</w:t>
      </w:r>
      <w:r>
        <w:t xml:space="preserve">.) </w:t>
      </w:r>
      <w:r w:rsidRPr="00DA0A96">
        <w:t xml:space="preserve"> </w:t>
      </w:r>
    </w:p>
    <w:p w:rsidR="002E2754" w:rsidRPr="00DA0A96" w:rsidP="00D95D6B">
      <w:pPr>
        <w:pStyle w:val="Heading4"/>
      </w:pPr>
      <w:r>
        <w:t>a.</w:t>
      </w:r>
      <w:r>
        <w:tab/>
      </w:r>
      <w:r w:rsidRPr="00265B22">
        <w:rPr>
          <w:i w:val="0"/>
          <w:iCs/>
        </w:rPr>
        <w:t>Cameron</w:t>
      </w:r>
      <w:r w:rsidRPr="00C40DAF" w:rsidR="00D95D6B">
        <w:t>’s</w:t>
      </w:r>
      <w:r w:rsidRPr="00265B22" w:rsidR="00D95D6B">
        <w:t xml:space="preserve"> </w:t>
      </w:r>
      <w:r w:rsidRPr="00DA1DCF" w:rsidR="00D95D6B">
        <w:t>reasoning</w:t>
      </w:r>
      <w:r w:rsidRPr="00DA1DCF">
        <w:t xml:space="preserve"> </w:t>
      </w:r>
      <w:r>
        <w:t xml:space="preserve">is not </w:t>
      </w:r>
      <w:r w:rsidR="00E57A72">
        <w:t>“</w:t>
      </w:r>
      <w:r>
        <w:t>illogical</w:t>
      </w:r>
      <w:r w:rsidR="00E57A72">
        <w:t>”</w:t>
      </w:r>
    </w:p>
    <w:p w:rsidR="0083027B" w:rsidRPr="00DA0A96" w:rsidP="00DA0A96">
      <w:pPr>
        <w:tabs>
          <w:tab w:val="left" w:pos="1440"/>
        </w:tabs>
        <w:ind w:firstLine="720"/>
      </w:pPr>
      <w:r w:rsidRPr="00DA0A96">
        <w:t>The Cit</w:t>
      </w:r>
      <w:r w:rsidRPr="00DA0A96" w:rsidR="00D109CA">
        <w:t>y</w:t>
      </w:r>
      <w:r w:rsidR="00D30CFB">
        <w:t xml:space="preserve"> argues </w:t>
      </w:r>
      <w:r w:rsidR="001072CE">
        <w:t>we should depart from</w:t>
      </w:r>
      <w:r w:rsidR="002E1CCC">
        <w:t xml:space="preserve"> </w:t>
      </w:r>
      <w:r w:rsidR="001072CE">
        <w:t>stare decis</w:t>
      </w:r>
      <w:r w:rsidR="00C05D48">
        <w:t>is</w:t>
      </w:r>
      <w:r w:rsidR="002E1CCC">
        <w:t xml:space="preserve"> </w:t>
      </w:r>
      <w:r w:rsidR="00C05D48">
        <w:t>b</w:t>
      </w:r>
      <w:r w:rsidR="001072CE">
        <w:t xml:space="preserve">ecause </w:t>
      </w:r>
      <w:r w:rsidRPr="00DA0A96" w:rsidR="00D109CA">
        <w:rPr>
          <w:i/>
          <w:iCs/>
        </w:rPr>
        <w:t>Cameron</w:t>
      </w:r>
      <w:r w:rsidRPr="00265B22" w:rsidR="00D109CA">
        <w:t>’s</w:t>
      </w:r>
      <w:r w:rsidRPr="00DA0A96" w:rsidR="00D109CA">
        <w:t xml:space="preserve"> holding </w:t>
      </w:r>
      <w:r w:rsidRPr="00DA0A96">
        <w:t xml:space="preserve">is “illogical” </w:t>
      </w:r>
      <w:r w:rsidRPr="00DA0A96" w:rsidR="00D8000D">
        <w:t xml:space="preserve"> </w:t>
      </w:r>
      <w:r w:rsidRPr="00DA0A96">
        <w:t xml:space="preserve">insofar as it </w:t>
      </w:r>
      <w:r w:rsidRPr="00DA0A96" w:rsidR="00BD5DF3">
        <w:t xml:space="preserve">takes away the very immunity that section </w:t>
      </w:r>
      <w:r w:rsidRPr="00DA0A96">
        <w:t>830.6</w:t>
      </w:r>
      <w:r w:rsidRPr="00DA0A96" w:rsidR="00CF1D4B">
        <w:t xml:space="preserve"> is intended to provide</w:t>
      </w:r>
      <w:r w:rsidRPr="00DA0A96" w:rsidR="00BD5DF3">
        <w:t xml:space="preserve">:  </w:t>
      </w:r>
      <w:r w:rsidRPr="00DA0A96">
        <w:t xml:space="preserve">“If the improvements at issue would be covered by design immunity, and the entity is therefore not liable for injuries caused by them, how could it make sense to hold the entity liable for the defendant’s failure to warn of the same improvements? </w:t>
      </w:r>
      <w:r w:rsidRPr="00DA0A96" w:rsidR="001C25BA">
        <w:t xml:space="preserve"> </w:t>
      </w:r>
      <w:r w:rsidRPr="00DA0A96">
        <w:t xml:space="preserve">The injuries would still be caused by the same dangerous condition: </w:t>
      </w:r>
      <w:r w:rsidR="00987F48">
        <w:t xml:space="preserve"> </w:t>
      </w:r>
      <w:r w:rsidRPr="00DA0A96">
        <w:t>the improvements.”</w:t>
      </w:r>
    </w:p>
    <w:p w:rsidR="009C7CA8" w:rsidRPr="00DA0A96" w:rsidP="00C05D48">
      <w:pPr>
        <w:tabs>
          <w:tab w:val="left" w:pos="1440"/>
        </w:tabs>
        <w:ind w:firstLine="720"/>
      </w:pPr>
      <w:r>
        <w:t xml:space="preserve">Contrary to the City’s suggestion, we find nothing </w:t>
      </w:r>
      <w:r w:rsidRPr="00DA0A96" w:rsidR="00BB6650">
        <w:t xml:space="preserve"> </w:t>
      </w:r>
      <w:r>
        <w:t xml:space="preserve">illogical in </w:t>
      </w:r>
      <w:r w:rsidRPr="00C05D48">
        <w:rPr>
          <w:i/>
          <w:iCs/>
        </w:rPr>
        <w:t>Cameron</w:t>
      </w:r>
      <w:r w:rsidRPr="00265B22">
        <w:t>’s</w:t>
      </w:r>
      <w:r>
        <w:t xml:space="preserve"> conclusion that </w:t>
      </w:r>
      <w:r w:rsidR="00026FBB">
        <w:t>while section 830.6</w:t>
      </w:r>
      <w:r>
        <w:t xml:space="preserve"> shields public entities from liability for </w:t>
      </w:r>
      <w:r w:rsidRPr="00C05D48">
        <w:t>the design of the physical features of a roadway</w:t>
      </w:r>
      <w:r>
        <w:t>, th</w:t>
      </w:r>
      <w:r w:rsidR="002E1CCC">
        <w:t>ose entities</w:t>
      </w:r>
      <w:r>
        <w:t xml:space="preserve"> </w:t>
      </w:r>
      <w:r w:rsidR="00155D8C">
        <w:t xml:space="preserve">retain a duty to warn of known </w:t>
      </w:r>
      <w:r>
        <w:t>danger</w:t>
      </w:r>
      <w:r w:rsidR="00155D8C">
        <w:t>s that</w:t>
      </w:r>
      <w:r w:rsidR="00DF7BC4">
        <w:t xml:space="preserve"> the roadway</w:t>
      </w:r>
      <w:r>
        <w:t xml:space="preserve"> </w:t>
      </w:r>
      <w:r w:rsidR="00155D8C">
        <w:t>presents to the public</w:t>
      </w:r>
      <w:r>
        <w:t>.</w:t>
      </w:r>
      <w:r w:rsidRPr="00DA0A96" w:rsidR="00745C53">
        <w:t xml:space="preserve">  </w:t>
      </w:r>
      <w:r w:rsidRPr="00DA0A96" w:rsidR="000B5632">
        <w:t xml:space="preserve">At its core, </w:t>
      </w:r>
      <w:r w:rsidRPr="00DA0A96" w:rsidR="000B5632">
        <w:rPr>
          <w:i/>
          <w:iCs/>
        </w:rPr>
        <w:t>Cameron</w:t>
      </w:r>
      <w:r w:rsidRPr="00DA0A96" w:rsidR="000B5632">
        <w:t xml:space="preserve"> held that if a warning would have </w:t>
      </w:r>
      <w:r w:rsidRPr="00DA0A96" w:rsidR="003C23B3">
        <w:t>“effectually neutralized” (</w:t>
      </w:r>
      <w:r w:rsidRPr="00DA0A96" w:rsidR="003C23B3">
        <w:rPr>
          <w:i/>
          <w:iCs/>
        </w:rPr>
        <w:t>Cameron</w:t>
      </w:r>
      <w:r w:rsidRPr="00DA0A96" w:rsidR="003C23B3">
        <w:t xml:space="preserve">, </w:t>
      </w:r>
      <w:r w:rsidRPr="00DA0A96" w:rsidR="006B662D">
        <w:rPr>
          <w:i/>
          <w:iCs/>
        </w:rPr>
        <w:t>supra</w:t>
      </w:r>
      <w:r w:rsidRPr="00DA0A96" w:rsidR="006B662D">
        <w:t>, 7</w:t>
      </w:r>
      <w:r w:rsidRPr="00DA0A96" w:rsidR="006F318A">
        <w:t> </w:t>
      </w:r>
      <w:r w:rsidRPr="00DA0A96" w:rsidR="006B662D">
        <w:t xml:space="preserve">Cal.3d at </w:t>
      </w:r>
      <w:r w:rsidRPr="00DA0A96" w:rsidR="003C23B3">
        <w:t>p.</w:t>
      </w:r>
      <w:r w:rsidRPr="00DA0A96" w:rsidR="006F318A">
        <w:t> </w:t>
      </w:r>
      <w:r w:rsidRPr="00DA0A96" w:rsidR="003C23B3">
        <w:t>329)</w:t>
      </w:r>
      <w:r w:rsidRPr="00DA0A96" w:rsidR="000B5632">
        <w:t xml:space="preserve"> the risks associated with </w:t>
      </w:r>
      <w:r w:rsidRPr="00DA0A96" w:rsidR="00AD768A">
        <w:t xml:space="preserve">a dangerously </w:t>
      </w:r>
      <w:r w:rsidRPr="00DA0A96" w:rsidR="000B5632">
        <w:t xml:space="preserve">designed </w:t>
      </w:r>
      <w:r w:rsidRPr="00DA0A96" w:rsidR="00BF7587">
        <w:t>roadway</w:t>
      </w:r>
      <w:r w:rsidRPr="00DA0A96" w:rsidR="000B5632">
        <w:t xml:space="preserve">, the absence of such a warning </w:t>
      </w:r>
      <w:r w:rsidRPr="00DA0A96" w:rsidR="00133DFA">
        <w:t>qualifies</w:t>
      </w:r>
      <w:r w:rsidRPr="00DA0A96" w:rsidR="000B5632">
        <w:t xml:space="preserve"> </w:t>
      </w:r>
      <w:r w:rsidRPr="00DA0A96" w:rsidR="00BE59B8">
        <w:t xml:space="preserve">as </w:t>
      </w:r>
      <w:r w:rsidRPr="00DA0A96" w:rsidR="000B5632">
        <w:t xml:space="preserve">an </w:t>
      </w:r>
      <w:r w:rsidRPr="00DA0A96" w:rsidR="000B5632">
        <w:rPr>
          <w:i/>
          <w:iCs/>
        </w:rPr>
        <w:t>independent</w:t>
      </w:r>
      <w:r w:rsidRPr="00DA0A96" w:rsidR="000B5632">
        <w:t xml:space="preserve"> cause of the injury.  </w:t>
      </w:r>
      <w:r w:rsidRPr="00DA0A96">
        <w:t xml:space="preserve">Stated differently, if a warning would have </w:t>
      </w:r>
      <w:r w:rsidRPr="00DA0A96" w:rsidR="00A61BAF">
        <w:t>“eliminate[d] the dangerousness” (</w:t>
      </w:r>
      <w:r w:rsidRPr="00DA0A96" w:rsidR="00A61BAF">
        <w:rPr>
          <w:i/>
          <w:iCs/>
        </w:rPr>
        <w:t>id</w:t>
      </w:r>
      <w:r w:rsidRPr="00DA0A96" w:rsidR="00A61BAF">
        <w:t>.</w:t>
      </w:r>
      <w:r w:rsidRPr="00DA0A96" w:rsidR="006F318A">
        <w:t xml:space="preserve"> at p. 327</w:t>
      </w:r>
      <w:r w:rsidRPr="00DA0A96" w:rsidR="00A61BAF">
        <w:t>) of the approved design,</w:t>
      </w:r>
      <w:r w:rsidRPr="00DA0A96" w:rsidR="003C23B3">
        <w:t xml:space="preserve"> </w:t>
      </w:r>
      <w:r w:rsidRPr="00DA0A96">
        <w:t xml:space="preserve">the failure to extend </w:t>
      </w:r>
      <w:r w:rsidRPr="00DA0A96" w:rsidR="006B662D">
        <w:t xml:space="preserve">such </w:t>
      </w:r>
      <w:r w:rsidRPr="00DA0A96">
        <w:t>a warning is</w:t>
      </w:r>
      <w:r w:rsidRPr="00DA0A96" w:rsidR="00E70C62">
        <w:t xml:space="preserve"> </w:t>
      </w:r>
      <w:r w:rsidRPr="00DA0A96" w:rsidR="006B662D">
        <w:t xml:space="preserve">a </w:t>
      </w:r>
      <w:r w:rsidRPr="00DA0A96" w:rsidR="008B7D7F">
        <w:t xml:space="preserve">distinct </w:t>
      </w:r>
      <w:r w:rsidRPr="00DA0A96" w:rsidR="00E70C62">
        <w:t xml:space="preserve">cause of the accident that is </w:t>
      </w:r>
      <w:r w:rsidRPr="00DA0A96" w:rsidR="00A61BAF">
        <w:t xml:space="preserve">separate </w:t>
      </w:r>
      <w:r w:rsidRPr="00DA0A96" w:rsidR="006D1245">
        <w:t>from</w:t>
      </w:r>
      <w:r w:rsidRPr="00DA0A96" w:rsidR="00E70C62">
        <w:t xml:space="preserve"> the design</w:t>
      </w:r>
      <w:r w:rsidRPr="00DA0A96" w:rsidR="006B662D">
        <w:t xml:space="preserve"> itself, and thus not subject to </w:t>
      </w:r>
      <w:r w:rsidRPr="00DA0A96" w:rsidR="00360D8A">
        <w:t>section 830.6</w:t>
      </w:r>
      <w:r w:rsidRPr="00DA0A96">
        <w:t xml:space="preserve">. </w:t>
      </w:r>
      <w:r w:rsidRPr="00DA0A96" w:rsidR="006B662D">
        <w:t xml:space="preserve"> </w:t>
      </w:r>
      <w:r w:rsidRPr="00DA0A96" w:rsidR="000B5632">
        <w:t xml:space="preserve">That reasoning is evident in </w:t>
      </w:r>
      <w:r w:rsidRPr="00DA0A96" w:rsidR="000B5632">
        <w:rPr>
          <w:i/>
          <w:iCs/>
        </w:rPr>
        <w:t>Cameron</w:t>
      </w:r>
      <w:r w:rsidRPr="00DA0A96" w:rsidR="00B6741D">
        <w:t>, where the court found that the plaintiffs had introduced sufficient evidence to support a finding that any danger arising from the design of the curve would have been mitigated by a sign that warned drivers to slow down their speed.</w:t>
      </w:r>
      <w:r w:rsidRPr="00DA0A96" w:rsidR="00081228">
        <w:t xml:space="preserve">  (See </w:t>
      </w:r>
      <w:r w:rsidRPr="00DA0A96" w:rsidR="006B662D">
        <w:rPr>
          <w:i/>
          <w:iCs/>
        </w:rPr>
        <w:t>i</w:t>
      </w:r>
      <w:r w:rsidRPr="00DA0A96" w:rsidR="006F318A">
        <w:rPr>
          <w:i/>
          <w:iCs/>
        </w:rPr>
        <w:t>bi</w:t>
      </w:r>
      <w:r w:rsidRPr="00DA0A96" w:rsidR="006B662D">
        <w:rPr>
          <w:i/>
          <w:iCs/>
        </w:rPr>
        <w:t>d</w:t>
      </w:r>
      <w:r w:rsidRPr="00DA0A96" w:rsidR="006B662D">
        <w:t>.</w:t>
      </w:r>
      <w:r w:rsidRPr="00DA0A96" w:rsidR="00081228">
        <w:t xml:space="preserve"> [“plaintiffs have introduced sufficient evidence to show that</w:t>
      </w:r>
      <w:r w:rsidRPr="00DA0A96" w:rsidR="00F317AA">
        <w:t xml:space="preserve"> </w:t>
      </w:r>
      <w:r w:rsidRPr="00DA0A96" w:rsidR="001276C6">
        <w:t>. . .</w:t>
      </w:r>
      <w:r w:rsidRPr="00DA0A96" w:rsidR="00F317AA">
        <w:t xml:space="preserve"> </w:t>
      </w:r>
      <w:r w:rsidRPr="00DA0A96" w:rsidR="00081228">
        <w:t>warning signs</w:t>
      </w:r>
      <w:r w:rsidRPr="00DA0A96" w:rsidR="001276C6">
        <w:t> . . . </w:t>
      </w:r>
      <w:r w:rsidRPr="00DA0A96" w:rsidR="00081228">
        <w:t>, if obeyed by the driver, would eliminate the dangerousness from the condition of uneven [banking]”]</w:t>
      </w:r>
      <w:r w:rsidRPr="00DA0A96" w:rsidR="00A61BAF">
        <w:t xml:space="preserve">; </w:t>
      </w:r>
      <w:r w:rsidRPr="00DA0A96" w:rsidR="00A61BAF">
        <w:rPr>
          <w:i/>
          <w:iCs/>
        </w:rPr>
        <w:t>id</w:t>
      </w:r>
      <w:r w:rsidRPr="00DA0A96" w:rsidR="00A61BAF">
        <w:t>. at p.</w:t>
      </w:r>
      <w:r w:rsidRPr="00DA0A96" w:rsidR="006F318A">
        <w:t> </w:t>
      </w:r>
      <w:r w:rsidRPr="00DA0A96" w:rsidR="00A61BAF">
        <w:t>329 [“if there had been proper warning of a dangerous curve and posting of the safe speed, the dangerous condition of the highway would have been effectually neutralized”]</w:t>
      </w:r>
      <w:r w:rsidRPr="00DA0A96" w:rsidR="00081228">
        <w:t>.)</w:t>
      </w:r>
    </w:p>
    <w:p w:rsidR="00BD6908" w:rsidRPr="00DA0A96" w:rsidP="00EB6E46">
      <w:pPr>
        <w:tabs>
          <w:tab w:val="left" w:pos="1440"/>
        </w:tabs>
        <w:ind w:firstLine="720"/>
      </w:pPr>
      <w:r>
        <w:t xml:space="preserve">Indeed, </w:t>
      </w:r>
      <w:r w:rsidRPr="00026FBB">
        <w:rPr>
          <w:i/>
          <w:iCs/>
        </w:rPr>
        <w:t>Cameron</w:t>
      </w:r>
      <w:r w:rsidRPr="00265B22">
        <w:t>’s</w:t>
      </w:r>
      <w:r>
        <w:t xml:space="preserve"> conclusion that a</w:t>
      </w:r>
      <w:r w:rsidR="001F1798">
        <w:t xml:space="preserve"> government</w:t>
      </w:r>
      <w:r>
        <w:t xml:space="preserve"> entity </w:t>
      </w:r>
      <w:r w:rsidR="001F1798">
        <w:t xml:space="preserve">cannot simply remain silent </w:t>
      </w:r>
      <w:r w:rsidR="004F1830">
        <w:t xml:space="preserve">when </w:t>
      </w:r>
      <w:r>
        <w:t>it has notice</w:t>
      </w:r>
      <w:r w:rsidRPr="00DA0A96" w:rsidR="00815E93">
        <w:t xml:space="preserve"> that </w:t>
      </w:r>
      <w:r w:rsidRPr="00DA0A96" w:rsidR="005A2E8D">
        <w:t>a</w:t>
      </w:r>
      <w:r w:rsidRPr="00DA0A96" w:rsidR="00815E93">
        <w:t xml:space="preserve"> reasonably</w:t>
      </w:r>
      <w:r w:rsidRPr="00DA0A96" w:rsidR="005A2E8D">
        <w:t xml:space="preserve"> approved design </w:t>
      </w:r>
      <w:r w:rsidR="004F1830">
        <w:t xml:space="preserve">presents </w:t>
      </w:r>
      <w:r w:rsidR="00FA6E45">
        <w:t xml:space="preserve">a </w:t>
      </w:r>
      <w:r w:rsidR="004F1830">
        <w:t>danger</w:t>
      </w:r>
      <w:r w:rsidR="00FA6E45">
        <w:t xml:space="preserve"> </w:t>
      </w:r>
      <w:r w:rsidR="001F1798">
        <w:t>to the public</w:t>
      </w:r>
      <w:r w:rsidRPr="00DA0A96" w:rsidR="001613E3">
        <w:t xml:space="preserve"> (see </w:t>
      </w:r>
      <w:r w:rsidRPr="00DA0A96" w:rsidR="00C61852">
        <w:t xml:space="preserve">§ </w:t>
      </w:r>
      <w:r w:rsidRPr="00DA0A96" w:rsidR="001613E3">
        <w:t xml:space="preserve">830.8), </w:t>
      </w:r>
      <w:r w:rsidRPr="00DA0A96" w:rsidR="00BE59B8">
        <w:t xml:space="preserve"> </w:t>
      </w:r>
      <w:r w:rsidRPr="00DA0A96" w:rsidR="000A7FE9">
        <w:t xml:space="preserve">closely </w:t>
      </w:r>
      <w:r w:rsidRPr="00DA0A96" w:rsidR="009643B3">
        <w:t>mirror</w:t>
      </w:r>
      <w:r w:rsidRPr="00DA0A96" w:rsidR="00C53BCD">
        <w:t xml:space="preserve">s </w:t>
      </w:r>
      <w:r w:rsidR="00FA6E45">
        <w:t xml:space="preserve">how </w:t>
      </w:r>
      <w:r w:rsidR="001C76EF">
        <w:t xml:space="preserve">we (and </w:t>
      </w:r>
      <w:r w:rsidR="00FA6E45">
        <w:t>our Legislature</w:t>
      </w:r>
      <w:r w:rsidR="001C76EF">
        <w:t xml:space="preserve">) have </w:t>
      </w:r>
      <w:r w:rsidR="00FA6E45">
        <w:t>treat</w:t>
      </w:r>
      <w:r w:rsidR="001C76EF">
        <w:t>ed</w:t>
      </w:r>
      <w:r w:rsidR="00FA6E45">
        <w:t xml:space="preserve"> design immunity in the context of changed circumstances.  I</w:t>
      </w:r>
      <w:r w:rsidRPr="00DA0A96" w:rsidR="000A7FE9">
        <w:t xml:space="preserve">n </w:t>
      </w:r>
      <w:r w:rsidRPr="00DA0A96" w:rsidR="00C53BCD">
        <w:rPr>
          <w:i/>
          <w:iCs/>
        </w:rPr>
        <w:t xml:space="preserve">Baldwin, supra, </w:t>
      </w:r>
      <w:r w:rsidRPr="00DA0A96" w:rsidR="00C53BCD">
        <w:t>6</w:t>
      </w:r>
      <w:r w:rsidRPr="00DA0A96" w:rsidR="00470782">
        <w:t> </w:t>
      </w:r>
      <w:r w:rsidRPr="00DA0A96" w:rsidR="00C53BCD">
        <w:t>Cal.3d 424</w:t>
      </w:r>
      <w:r w:rsidRPr="00DA0A96" w:rsidR="000A7FE9">
        <w:t xml:space="preserve">, </w:t>
      </w:r>
      <w:r w:rsidR="00FA6E45">
        <w:t xml:space="preserve">we </w:t>
      </w:r>
      <w:r w:rsidRPr="00DA0A96" w:rsidR="00BE59B8">
        <w:t>held</w:t>
      </w:r>
      <w:r w:rsidRPr="00DA0A96" w:rsidR="000A7FE9">
        <w:t xml:space="preserve"> that </w:t>
      </w:r>
      <w:r w:rsidR="001F1798">
        <w:t xml:space="preserve">when a public </w:t>
      </w:r>
      <w:r w:rsidRPr="002E4208" w:rsidR="002E4208">
        <w:t>entity has notice that</w:t>
      </w:r>
      <w:r w:rsidR="00C161C0">
        <w:t xml:space="preserve"> changed physical conditions have caused an approved </w:t>
      </w:r>
      <w:r w:rsidRPr="002E4208" w:rsidR="002E4208">
        <w:t>design</w:t>
      </w:r>
      <w:r w:rsidR="00C161C0">
        <w:t xml:space="preserve"> to become dangerous in operation, the entity “</w:t>
      </w:r>
      <w:r w:rsidRPr="002E4208" w:rsidR="002E4208">
        <w:t>must act reasonably to correct or alleviate the hazard.</w:t>
      </w:r>
      <w:r w:rsidR="002E4208">
        <w:t>”</w:t>
      </w:r>
      <w:r w:rsidRPr="00DA0A96" w:rsidR="003E10C4">
        <w:t xml:space="preserve">  (</w:t>
      </w:r>
      <w:r w:rsidRPr="00DA0A96" w:rsidR="003E10C4">
        <w:rPr>
          <w:i/>
          <w:iCs/>
        </w:rPr>
        <w:t>Id</w:t>
      </w:r>
      <w:r w:rsidRPr="00DA0A96" w:rsidR="003E10C4">
        <w:t>. at p.</w:t>
      </w:r>
      <w:r w:rsidRPr="00DA0A96" w:rsidR="00470782">
        <w:t> </w:t>
      </w:r>
      <w:r w:rsidRPr="00DA0A96" w:rsidR="003E10C4">
        <w:t>4</w:t>
      </w:r>
      <w:r w:rsidR="002E4208">
        <w:t>34</w:t>
      </w:r>
      <w:r w:rsidRPr="00DA0A96" w:rsidR="003E10C4">
        <w:t>.)</w:t>
      </w:r>
      <w:r w:rsidRPr="00DA0A96" w:rsidR="000A7FE9">
        <w:t xml:space="preserve">  </w:t>
      </w:r>
      <w:r w:rsidR="001C76EF">
        <w:t>Concluding</w:t>
      </w:r>
      <w:r w:rsidRPr="00DA0A96" w:rsidR="00FA6E45">
        <w:t xml:space="preserve"> </w:t>
      </w:r>
      <w:r w:rsidRPr="00DA0A96" w:rsidR="00A01AA9">
        <w:t>that</w:t>
      </w:r>
      <w:r w:rsidRPr="00DA0A96" w:rsidR="00C07F47">
        <w:t xml:space="preserve"> </w:t>
      </w:r>
      <w:r w:rsidRPr="00DA0A96" w:rsidR="00BE59B8">
        <w:t>design</w:t>
      </w:r>
      <w:r w:rsidRPr="00DA0A96" w:rsidR="00133DFA">
        <w:t xml:space="preserve"> </w:t>
      </w:r>
      <w:r w:rsidRPr="00DA0A96" w:rsidR="00C07F47">
        <w:t>immunity</w:t>
      </w:r>
      <w:r w:rsidR="00FA6E45">
        <w:t xml:space="preserve"> was n</w:t>
      </w:r>
      <w:r w:rsidR="001C76EF">
        <w:t xml:space="preserve">ever </w:t>
      </w:r>
      <w:r w:rsidR="00FA6E45">
        <w:t>intended to be</w:t>
      </w:r>
      <w:r w:rsidR="001F1798">
        <w:t xml:space="preserve"> </w:t>
      </w:r>
      <w:r w:rsidRPr="00DA0A96" w:rsidR="00C07F47">
        <w:t>“absolute”</w:t>
      </w:r>
      <w:r w:rsidRPr="00DA0A96" w:rsidR="003E10C4">
        <w:t xml:space="preserve"> (</w:t>
      </w:r>
      <w:r w:rsidRPr="002E4208" w:rsidR="002E4208">
        <w:rPr>
          <w:i/>
          <w:iCs/>
        </w:rPr>
        <w:t>id</w:t>
      </w:r>
      <w:r w:rsidR="002E4208">
        <w:t xml:space="preserve">. </w:t>
      </w:r>
      <w:r w:rsidRPr="00DA0A96" w:rsidR="003E10C4">
        <w:t>at p.</w:t>
      </w:r>
      <w:r w:rsidRPr="00DA0A96" w:rsidR="00470782">
        <w:t> </w:t>
      </w:r>
      <w:r w:rsidRPr="00DA0A96" w:rsidR="003E10C4">
        <w:t>433)</w:t>
      </w:r>
      <w:r w:rsidRPr="00DA0A96" w:rsidR="00651620">
        <w:t>,</w:t>
      </w:r>
      <w:r w:rsidRPr="00DA0A96" w:rsidR="00C230F9">
        <w:t xml:space="preserve"> </w:t>
      </w:r>
      <w:r w:rsidR="001C76EF">
        <w:t>we explained</w:t>
      </w:r>
      <w:r w:rsidRPr="00DA0A96" w:rsidR="00FA6E45">
        <w:t xml:space="preserve"> </w:t>
      </w:r>
      <w:r w:rsidRPr="00DA0A96" w:rsidR="00C230F9">
        <w:t xml:space="preserve">that </w:t>
      </w:r>
      <w:r w:rsidRPr="00DA0A96" w:rsidR="007D59F8">
        <w:t xml:space="preserve">while </w:t>
      </w:r>
      <w:r w:rsidR="001C76EF">
        <w:t xml:space="preserve">section 830.6 protects </w:t>
      </w:r>
      <w:r w:rsidRPr="00DA0A96" w:rsidR="007D59F8">
        <w:t>a public entity’s initial design decision</w:t>
      </w:r>
      <w:r w:rsidR="001C76EF">
        <w:t xml:space="preserve">, </w:t>
      </w:r>
      <w:r w:rsidRPr="00DA0A96" w:rsidR="007D59F8">
        <w:t>the entity</w:t>
      </w:r>
      <w:r w:rsidRPr="00DA0A96" w:rsidR="00133DFA">
        <w:t xml:space="preserve"> </w:t>
      </w:r>
      <w:r w:rsidR="001C76EF">
        <w:t xml:space="preserve">nonetheless </w:t>
      </w:r>
      <w:r w:rsidRPr="00DA0A96" w:rsidR="00C07F47">
        <w:t>remain</w:t>
      </w:r>
      <w:r w:rsidRPr="00DA0A96" w:rsidR="00C230F9">
        <w:t>s</w:t>
      </w:r>
      <w:r w:rsidRPr="00DA0A96" w:rsidR="00C07F47">
        <w:t xml:space="preserve"> “</w:t>
      </w:r>
      <w:r w:rsidRPr="00DA0A96" w:rsidR="007D59F8">
        <w:t> </w:t>
      </w:r>
      <w:r w:rsidRPr="00DA0A96" w:rsidR="00C07F47">
        <w:t xml:space="preserve">‘under a continuing duty to review its plan </w:t>
      </w:r>
      <w:r w:rsidRPr="001E57CB" w:rsidR="00C07F47">
        <w:t>in the light of its actual operation</w:t>
      </w:r>
      <w:r w:rsidRPr="00DA0A96" w:rsidR="0092602C">
        <w:t>.</w:t>
      </w:r>
      <w:r w:rsidRPr="00DA0A96" w:rsidR="00C07F47">
        <w:t xml:space="preserve">’ ”  </w:t>
      </w:r>
      <w:r w:rsidRPr="00DA0A96" w:rsidR="00651620">
        <w:t>(</w:t>
      </w:r>
      <w:r w:rsidR="009508FB">
        <w:rPr>
          <w:i/>
          <w:iCs/>
        </w:rPr>
        <w:t>Baldwin</w:t>
      </w:r>
      <w:r w:rsidR="009508FB">
        <w:t>, at p. 433,</w:t>
      </w:r>
      <w:r w:rsidRPr="009508FB" w:rsidR="00651620">
        <w:t xml:space="preserve"> quoting </w:t>
      </w:r>
      <w:r w:rsidRPr="009508FB" w:rsidR="00C07F47">
        <w:rPr>
          <w:i/>
          <w:iCs/>
        </w:rPr>
        <w:t>We</w:t>
      </w:r>
      <w:r w:rsidRPr="009508FB" w:rsidR="00651620">
        <w:rPr>
          <w:i/>
          <w:iCs/>
        </w:rPr>
        <w:t>iss</w:t>
      </w:r>
      <w:r w:rsidR="00AB0808">
        <w:rPr>
          <w:i/>
          <w:iCs/>
        </w:rPr>
        <w:t xml:space="preserve"> v. Fote</w:t>
      </w:r>
      <w:r w:rsidR="00AB0808">
        <w:t xml:space="preserve"> (</w:t>
      </w:r>
      <w:r w:rsidR="005744A5">
        <w:t xml:space="preserve">N.Y. Ct.App. </w:t>
      </w:r>
      <w:r w:rsidR="00AB0808">
        <w:t xml:space="preserve">1960) </w:t>
      </w:r>
      <w:r w:rsidR="006B2F2A">
        <w:t xml:space="preserve">167 N.E.2d 63, </w:t>
      </w:r>
      <w:r w:rsidR="00B372B2">
        <w:t>67</w:t>
      </w:r>
      <w:r w:rsidRPr="009508FB" w:rsidR="006D1245">
        <w:t xml:space="preserve">; </w:t>
      </w:r>
      <w:bookmarkStart w:id="16" w:name="co_pp_sp_233_434_1"/>
      <w:bookmarkEnd w:id="16"/>
      <w:r w:rsidRPr="00DA0A96" w:rsidR="00D84FFB">
        <w:t xml:space="preserve">see </w:t>
      </w:r>
      <w:r w:rsidR="0028606F">
        <w:rPr>
          <w:i/>
          <w:iCs/>
        </w:rPr>
        <w:t>Baldwin,</w:t>
      </w:r>
      <w:r w:rsidRPr="00DA0A96" w:rsidR="00D84FFB">
        <w:t xml:space="preserve"> at p.</w:t>
      </w:r>
      <w:r w:rsidRPr="00DA0A96" w:rsidR="00470782">
        <w:t> </w:t>
      </w:r>
      <w:r w:rsidRPr="00DA0A96" w:rsidR="00D84FFB">
        <w:t>434 [“Having approved the plan or design, the governmental entity may not, ostrich-like, hide its head in the blueprints, blithely ignoring the actual operation of the plan”].)</w:t>
      </w:r>
      <w:r w:rsidR="007068D8">
        <w:t xml:space="preserve">  </w:t>
      </w:r>
      <w:r w:rsidR="001C76EF">
        <w:t>I</w:t>
      </w:r>
      <w:r w:rsidRPr="00DA0A96" w:rsidR="00C230F9">
        <w:t xml:space="preserve">n response to </w:t>
      </w:r>
      <w:r w:rsidRPr="00DA0A96" w:rsidR="00B53D6A">
        <w:t>concerns</w:t>
      </w:r>
      <w:r w:rsidRPr="00DA0A96" w:rsidR="00C230F9">
        <w:t xml:space="preserve"> that permitting the loss of design immunity would “forc</w:t>
      </w:r>
      <w:r w:rsidRPr="00DA0A96" w:rsidR="00B53D6A">
        <w:t xml:space="preserve">[e] [public entities] </w:t>
      </w:r>
      <w:r w:rsidRPr="00DA0A96" w:rsidR="00C230F9">
        <w:t>to spend vast sums of money to update hazardous or obsolescent public improvements”</w:t>
      </w:r>
      <w:r w:rsidRPr="00DA0A96" w:rsidR="00651620">
        <w:t xml:space="preserve"> (</w:t>
      </w:r>
      <w:r w:rsidRPr="00DA0A96" w:rsidR="00651620">
        <w:rPr>
          <w:i/>
          <w:iCs/>
        </w:rPr>
        <w:t>id</w:t>
      </w:r>
      <w:r w:rsidRPr="00DA0A96" w:rsidR="00651620">
        <w:t>. at p.</w:t>
      </w:r>
      <w:r w:rsidRPr="00DA0A96" w:rsidR="00FA1A39">
        <w:t> </w:t>
      </w:r>
      <w:r w:rsidRPr="00DA0A96" w:rsidR="00651620">
        <w:t>436),</w:t>
      </w:r>
      <w:r w:rsidRPr="00DA0A96" w:rsidR="00C230F9">
        <w:t xml:space="preserve"> we noted that </w:t>
      </w:r>
      <w:r w:rsidRPr="00DA0A96">
        <w:t>“[i]</w:t>
      </w:r>
      <w:r w:rsidRPr="00DA0A96" w:rsidR="00C230F9">
        <w:t>n many cases, inexpensive remedies, such as warning signs</w:t>
      </w:r>
      <w:r w:rsidRPr="00DA0A96">
        <w:t xml:space="preserve"> .</w:t>
      </w:r>
      <w:r w:rsidRPr="00DA0A96" w:rsidR="00FA1A39">
        <w:t> </w:t>
      </w:r>
      <w:r w:rsidRPr="00DA0A96">
        <w:t>.</w:t>
      </w:r>
      <w:r w:rsidRPr="00DA0A96" w:rsidR="00FA1A39">
        <w:t> </w:t>
      </w:r>
      <w:r w:rsidRPr="00DA0A96">
        <w:t xml:space="preserve">. </w:t>
      </w:r>
      <w:r w:rsidRPr="00DA0A96" w:rsidR="00C230F9">
        <w:t>will be sufficient</w:t>
      </w:r>
      <w:r w:rsidRPr="00DA0A96" w:rsidR="00651620">
        <w:t>” (</w:t>
      </w:r>
      <w:r w:rsidRPr="00DA0A96" w:rsidR="00651620">
        <w:rPr>
          <w:i/>
          <w:iCs/>
        </w:rPr>
        <w:t>id</w:t>
      </w:r>
      <w:r w:rsidRPr="00DA0A96" w:rsidR="00651620">
        <w:t>. at p.</w:t>
      </w:r>
      <w:r w:rsidRPr="00DA0A96" w:rsidR="00FA1A39">
        <w:t> </w:t>
      </w:r>
      <w:r w:rsidRPr="00DA0A96" w:rsidR="00651620">
        <w:t xml:space="preserve">437). </w:t>
      </w:r>
      <w:r w:rsidRPr="00DA0A96">
        <w:t xml:space="preserve"> </w:t>
      </w:r>
      <w:r w:rsidR="00406E5F">
        <w:t>T</w:t>
      </w:r>
      <w:r w:rsidR="001C76EF">
        <w:t xml:space="preserve">he Legislature’s </w:t>
      </w:r>
      <w:r w:rsidR="00406E5F">
        <w:t xml:space="preserve">subsequent </w:t>
      </w:r>
      <w:r w:rsidRPr="00DA0A96">
        <w:t xml:space="preserve">1979 </w:t>
      </w:r>
      <w:r w:rsidR="001C76EF">
        <w:t xml:space="preserve">amendments to </w:t>
      </w:r>
      <w:r w:rsidR="00C161C0">
        <w:t>section 830.6</w:t>
      </w:r>
      <w:r w:rsidR="001C76EF">
        <w:t xml:space="preserve"> were intended to codify </w:t>
      </w:r>
      <w:r w:rsidRPr="005647C9" w:rsidR="001C76EF">
        <w:rPr>
          <w:i/>
          <w:iCs/>
        </w:rPr>
        <w:t>Baldwin</w:t>
      </w:r>
      <w:r w:rsidRPr="00265B22" w:rsidR="001C76EF">
        <w:t>’s</w:t>
      </w:r>
      <w:r w:rsidR="001C76EF">
        <w:t xml:space="preserve"> approach to design immunity, while making clear </w:t>
      </w:r>
      <w:r w:rsidRPr="00DA0A96" w:rsidR="00E64DF8">
        <w:t xml:space="preserve">that </w:t>
      </w:r>
      <w:r w:rsidRPr="00DA0A96" w:rsidR="009643B3">
        <w:t xml:space="preserve">governments </w:t>
      </w:r>
      <w:r w:rsidR="001C76EF">
        <w:t>can</w:t>
      </w:r>
      <w:r w:rsidRPr="00DA0A96">
        <w:t xml:space="preserve"> </w:t>
      </w:r>
      <w:r w:rsidRPr="00DA0A96" w:rsidR="009643B3">
        <w:t xml:space="preserve">retain immunity by providing a warning in lieu of </w:t>
      </w:r>
      <w:r w:rsidRPr="00DA0A96">
        <w:t xml:space="preserve">remedying </w:t>
      </w:r>
      <w:r w:rsidRPr="00DA0A96" w:rsidR="009643B3">
        <w:t>the design</w:t>
      </w:r>
      <w:r w:rsidRPr="00DA0A96" w:rsidR="00E64DF8">
        <w:t xml:space="preserve"> defect</w:t>
      </w:r>
      <w:r w:rsidRPr="00DA0A96" w:rsidR="009643B3">
        <w:t xml:space="preserve">. </w:t>
      </w:r>
      <w:r w:rsidRPr="00DA0A96" w:rsidR="0047585D">
        <w:t xml:space="preserve"> (See </w:t>
      </w:r>
      <w:r w:rsidRPr="00DA0A96" w:rsidR="0047585D">
        <w:rPr>
          <w:i/>
          <w:iCs/>
        </w:rPr>
        <w:t>ante</w:t>
      </w:r>
      <w:r w:rsidRPr="00DA0A96" w:rsidR="0047585D">
        <w:t>, at pp.</w:t>
      </w:r>
      <w:r w:rsidRPr="00DA0A96" w:rsidR="007D0038">
        <w:t> </w:t>
      </w:r>
      <w:r w:rsidRPr="00DA0A96" w:rsidR="003E3A12">
        <w:t>2</w:t>
      </w:r>
      <w:r w:rsidR="00987F48">
        <w:t>6</w:t>
      </w:r>
      <w:r w:rsidRPr="00DA0A96" w:rsidR="003E3A12">
        <w:t>–</w:t>
      </w:r>
      <w:r w:rsidR="00406E5F">
        <w:t>31</w:t>
      </w:r>
      <w:r w:rsidRPr="00DA0A96" w:rsidR="0047585D">
        <w:t>.)</w:t>
      </w:r>
      <w:r w:rsidRPr="00DA0A96" w:rsidR="009643B3">
        <w:t xml:space="preserve"> </w:t>
      </w:r>
    </w:p>
    <w:p w:rsidR="00225F34" w:rsidRPr="00DA0A96" w:rsidP="00DA0A96">
      <w:pPr>
        <w:tabs>
          <w:tab w:val="left" w:pos="1440"/>
        </w:tabs>
        <w:ind w:firstLine="720"/>
      </w:pPr>
      <w:r w:rsidRPr="00DA0A96">
        <w:t xml:space="preserve">While </w:t>
      </w:r>
      <w:r w:rsidRPr="00DA0A96">
        <w:rPr>
          <w:i/>
          <w:iCs/>
        </w:rPr>
        <w:t>Baldwin</w:t>
      </w:r>
      <w:r w:rsidRPr="00DA0A96">
        <w:t xml:space="preserve"> </w:t>
      </w:r>
      <w:r w:rsidR="001C76EF">
        <w:t xml:space="preserve">and the 1979 amendments </w:t>
      </w:r>
      <w:r w:rsidR="005647C9">
        <w:t>addressed</w:t>
      </w:r>
      <w:r w:rsidRPr="00DA0A96" w:rsidR="005647C9">
        <w:t xml:space="preserve"> </w:t>
      </w:r>
      <w:r w:rsidR="005647C9">
        <w:t xml:space="preserve">how </w:t>
      </w:r>
      <w:r w:rsidRPr="00DA0A96">
        <w:t xml:space="preserve">design immunity can be </w:t>
      </w:r>
      <w:r w:rsidR="005647C9">
        <w:t xml:space="preserve">retained or </w:t>
      </w:r>
      <w:r w:rsidRPr="00DA0A96">
        <w:t>lost</w:t>
      </w:r>
      <w:r w:rsidR="00EB6E46">
        <w:t xml:space="preserve"> when changed circumstances have rendered a</w:t>
      </w:r>
      <w:r w:rsidR="00C161C0">
        <w:t xml:space="preserve">n approved </w:t>
      </w:r>
      <w:r w:rsidR="00EB6E46">
        <w:t xml:space="preserve">design dangerous, </w:t>
      </w:r>
      <w:r w:rsidRPr="00DA0A96" w:rsidR="009643B3">
        <w:rPr>
          <w:i/>
          <w:iCs/>
        </w:rPr>
        <w:t>Cameron</w:t>
      </w:r>
      <w:r w:rsidRPr="00265B22">
        <w:t>’s</w:t>
      </w:r>
      <w:r w:rsidRPr="00DA0A96" w:rsidR="009643B3">
        <w:t xml:space="preserve"> </w:t>
      </w:r>
      <w:r w:rsidRPr="00DA0A96">
        <w:t xml:space="preserve">conclusion that section 830.6 does not </w:t>
      </w:r>
      <w:r w:rsidR="002E4208">
        <w:t xml:space="preserve">bar </w:t>
      </w:r>
      <w:r w:rsidRPr="00DA0A96">
        <w:t xml:space="preserve">claims for failing to warn of a </w:t>
      </w:r>
      <w:r w:rsidRPr="00DA0A96" w:rsidR="00E64DF8">
        <w:t xml:space="preserve">dangerous </w:t>
      </w:r>
      <w:r w:rsidRPr="00DA0A96">
        <w:t>design</w:t>
      </w:r>
      <w:r w:rsidRPr="00DA0A96" w:rsidR="00E64DF8">
        <w:t xml:space="preserve"> element </w:t>
      </w:r>
      <w:r w:rsidRPr="00DA0A96">
        <w:t>employs similar</w:t>
      </w:r>
      <w:r w:rsidRPr="00DA0A96" w:rsidR="008C5FAF">
        <w:t xml:space="preserve"> logic.  Under </w:t>
      </w:r>
      <w:r w:rsidRPr="00DA0A96" w:rsidR="008C5FAF">
        <w:rPr>
          <w:i/>
          <w:iCs/>
        </w:rPr>
        <w:t>Cameron</w:t>
      </w:r>
      <w:r w:rsidRPr="00265B22" w:rsidR="008C5FAF">
        <w:t>’s</w:t>
      </w:r>
      <w:r w:rsidRPr="00DA0A96" w:rsidR="008C5FAF">
        <w:t xml:space="preserve"> approach, </w:t>
      </w:r>
      <w:r w:rsidRPr="00DA0A96" w:rsidR="007D59F8">
        <w:t xml:space="preserve">section 830.6 operates to protect </w:t>
      </w:r>
      <w:r w:rsidR="002E4208">
        <w:t xml:space="preserve">a public entity’s </w:t>
      </w:r>
      <w:r w:rsidRPr="00DA0A96" w:rsidR="007D59F8">
        <w:t xml:space="preserve">discretionary design decisions but does not permit </w:t>
      </w:r>
      <w:r w:rsidR="002E4208">
        <w:t>it</w:t>
      </w:r>
      <w:r w:rsidRPr="00DA0A96" w:rsidR="008C5FAF">
        <w:t xml:space="preserve"> to remain silent when it </w:t>
      </w:r>
      <w:r w:rsidR="00EB6E46">
        <w:t>has notice</w:t>
      </w:r>
      <w:r w:rsidRPr="00DA0A96" w:rsidR="008C5FAF">
        <w:t xml:space="preserve"> that</w:t>
      </w:r>
      <w:r w:rsidRPr="00DA0A96" w:rsidR="00E64DF8">
        <w:t xml:space="preserve"> a</w:t>
      </w:r>
      <w:r w:rsidR="00EB6E46">
        <w:t>n element of the</w:t>
      </w:r>
      <w:r w:rsidRPr="00DA0A96" w:rsidR="00E64DF8">
        <w:t xml:space="preserve"> </w:t>
      </w:r>
      <w:r w:rsidRPr="00DA0A96" w:rsidR="00BF7587">
        <w:t xml:space="preserve">road </w:t>
      </w:r>
      <w:r w:rsidRPr="00DA0A96" w:rsidR="00E64DF8">
        <w:t xml:space="preserve">design </w:t>
      </w:r>
      <w:r w:rsidR="00EB6E46">
        <w:t>presents a concealed danger to the public</w:t>
      </w:r>
      <w:r w:rsidR="005647C9">
        <w:t>.</w:t>
      </w:r>
      <w:r w:rsidRPr="00DA0A96" w:rsidR="008C5FAF">
        <w:t xml:space="preserve">  And much like</w:t>
      </w:r>
      <w:r w:rsidRPr="00DA0A96" w:rsidR="00E64DF8">
        <w:t xml:space="preserve"> </w:t>
      </w:r>
      <w:r w:rsidRPr="00DA0A96" w:rsidR="006B34F3">
        <w:t xml:space="preserve">section 830.6’s treatment of loss of </w:t>
      </w:r>
      <w:r w:rsidRPr="00DA0A96" w:rsidR="008C5FAF">
        <w:t xml:space="preserve">design immunity, </w:t>
      </w:r>
      <w:r w:rsidRPr="00DA0A96" w:rsidR="008C5FAF">
        <w:rPr>
          <w:i/>
          <w:iCs/>
        </w:rPr>
        <w:t>Cameron</w:t>
      </w:r>
      <w:r w:rsidRPr="00DA0A96" w:rsidR="008C5FAF">
        <w:t xml:space="preserve"> does not compel public entities to </w:t>
      </w:r>
      <w:r w:rsidRPr="00DA0A96" w:rsidR="002555E7">
        <w:t>engage in costly remediation projects</w:t>
      </w:r>
      <w:r w:rsidR="00C161C0">
        <w:t xml:space="preserve"> or redesign roadways to avoid the danger</w:t>
      </w:r>
      <w:r w:rsidR="00155D8C">
        <w:t xml:space="preserve"> in question</w:t>
      </w:r>
      <w:r w:rsidRPr="00DA0A96" w:rsidR="002555E7">
        <w:t xml:space="preserve">; it </w:t>
      </w:r>
      <w:r w:rsidRPr="00DA0A96" w:rsidR="00E64DF8">
        <w:t xml:space="preserve">merely </w:t>
      </w:r>
      <w:r w:rsidRPr="00DA0A96" w:rsidR="002555E7">
        <w:t>compels the government to provide warning</w:t>
      </w:r>
      <w:r w:rsidR="005647C9">
        <w:t>s</w:t>
      </w:r>
      <w:r w:rsidRPr="00DA0A96" w:rsidR="002555E7">
        <w:t xml:space="preserve"> </w:t>
      </w:r>
      <w:r w:rsidR="005647C9">
        <w:t xml:space="preserve">about dangers </w:t>
      </w:r>
      <w:r w:rsidR="00EB6E46">
        <w:t>of which it has notice</w:t>
      </w:r>
      <w:r w:rsidRPr="00DA0A96" w:rsidR="002555E7">
        <w:t>.</w:t>
      </w:r>
      <w:r w:rsidR="00EB6E46">
        <w:t xml:space="preserve">  Stated differently, </w:t>
      </w:r>
      <w:r w:rsidRPr="001E57CB" w:rsidR="00EB6E46">
        <w:rPr>
          <w:i/>
          <w:iCs/>
        </w:rPr>
        <w:t>Cameron</w:t>
      </w:r>
      <w:r w:rsidR="00EB6E46">
        <w:t xml:space="preserve"> recognizes that</w:t>
      </w:r>
      <w:r w:rsidR="00C161C0">
        <w:t xml:space="preserve"> </w:t>
      </w:r>
      <w:r w:rsidRPr="00EB6E46" w:rsidR="00EB6E46">
        <w:t>a design might be the best engineers can do under the circumstances but still leave foreseeable dangers that can and should be addressed through appropriate warnings</w:t>
      </w:r>
      <w:r w:rsidR="00EB6E46">
        <w:t>.</w:t>
      </w:r>
    </w:p>
    <w:p w:rsidR="009643B3" w:rsidP="00DA0A96">
      <w:pPr>
        <w:tabs>
          <w:tab w:val="left" w:pos="1440"/>
        </w:tabs>
        <w:ind w:firstLine="720"/>
      </w:pPr>
      <w:r w:rsidRPr="00DA0A96">
        <w:t xml:space="preserve">In sum, </w:t>
      </w:r>
      <w:r w:rsidRPr="00DA0A96" w:rsidR="00007356">
        <w:t>we find nothing</w:t>
      </w:r>
      <w:r w:rsidRPr="00DA0A96" w:rsidR="00F91443">
        <w:t xml:space="preserve"> </w:t>
      </w:r>
      <w:r w:rsidRPr="00DA0A96" w:rsidR="008C5FAF">
        <w:t>illogical</w:t>
      </w:r>
      <w:r w:rsidRPr="00DA0A96" w:rsidR="00225F34">
        <w:t xml:space="preserve"> </w:t>
      </w:r>
      <w:r w:rsidRPr="00DA0A96">
        <w:t xml:space="preserve">about </w:t>
      </w:r>
      <w:r w:rsidRPr="00DA0A96" w:rsidR="00360D8A">
        <w:t xml:space="preserve">interpreting sections 830.6 and 835 in a manner that compels </w:t>
      </w:r>
      <w:r w:rsidRPr="00DA0A96">
        <w:t>government entit</w:t>
      </w:r>
      <w:r w:rsidRPr="00DA0A96" w:rsidR="00360D8A">
        <w:t xml:space="preserve">ies </w:t>
      </w:r>
      <w:r w:rsidRPr="00DA0A96">
        <w:t>to</w:t>
      </w:r>
      <w:r w:rsidR="005668B2">
        <w:t xml:space="preserve"> provide a</w:t>
      </w:r>
      <w:r w:rsidRPr="00DA0A96">
        <w:t xml:space="preserve"> warn</w:t>
      </w:r>
      <w:r w:rsidR="005668B2">
        <w:t>ing</w:t>
      </w:r>
      <w:r w:rsidRPr="00DA0A96">
        <w:t xml:space="preserve"> </w:t>
      </w:r>
      <w:r w:rsidR="00EB6E46">
        <w:t xml:space="preserve">when </w:t>
      </w:r>
      <w:r w:rsidR="005668B2">
        <w:t>they</w:t>
      </w:r>
      <w:r w:rsidR="00EB6E46">
        <w:t xml:space="preserve"> </w:t>
      </w:r>
      <w:r w:rsidR="001F3CC9">
        <w:t xml:space="preserve">know (or should know) that an approved roadway design presents </w:t>
      </w:r>
      <w:r w:rsidRPr="00BB0D83" w:rsidR="00BB0D83">
        <w:t>concealed danger</w:t>
      </w:r>
      <w:r w:rsidR="001F3CC9">
        <w:t>s to the public</w:t>
      </w:r>
      <w:r w:rsidRPr="00DA0A96">
        <w:t>.</w:t>
      </w:r>
      <w:r w:rsidR="00400CC6">
        <w:t xml:space="preserve">  </w:t>
      </w:r>
      <w:r w:rsidR="003D1A62">
        <w:t>Indeed, a</w:t>
      </w:r>
      <w:r w:rsidRPr="00DA0A96">
        <w:t xml:space="preserve">s </w:t>
      </w:r>
      <w:r w:rsidRPr="00DA0A96" w:rsidR="00BC2921">
        <w:t>argued</w:t>
      </w:r>
      <w:r w:rsidRPr="00DA0A96" w:rsidR="00DC192B">
        <w:t xml:space="preserve"> by</w:t>
      </w:r>
      <w:r w:rsidRPr="00DA0A96" w:rsidR="000E7251">
        <w:t xml:space="preserve"> </w:t>
      </w:r>
      <w:r w:rsidRPr="00DA0A96" w:rsidR="00DC192B">
        <w:t>amicus curiae, “</w:t>
      </w:r>
      <w:r w:rsidR="008D3DAD">
        <w:t>[A]</w:t>
      </w:r>
      <w:r w:rsidRPr="00DA0A96">
        <w:t xml:space="preserve"> contrary rule would effectively allow public entities to withhold</w:t>
      </w:r>
      <w:r w:rsidRPr="00DA0A96" w:rsidR="00F462E2">
        <w:t xml:space="preserve"> </w:t>
      </w:r>
      <w:r w:rsidRPr="00DA0A96" w:rsidR="001276C6">
        <w:t>. . .</w:t>
      </w:r>
      <w:r w:rsidRPr="00DA0A96" w:rsidR="00F462E2">
        <w:t xml:space="preserve"> </w:t>
      </w:r>
      <w:r w:rsidRPr="00DA0A96">
        <w:t xml:space="preserve">warnings for known hazards despite </w:t>
      </w:r>
      <w:r w:rsidRPr="00DA0A96" w:rsidR="004D2A5C">
        <w:t xml:space="preserve">[repeated injuries or </w:t>
      </w:r>
      <w:r w:rsidRPr="00DA0A96" w:rsidR="00EA5304">
        <w:t xml:space="preserve">even </w:t>
      </w:r>
      <w:r w:rsidRPr="00DA0A96" w:rsidR="004D2A5C">
        <w:t>deaths]</w:t>
      </w:r>
      <w:r w:rsidRPr="00DA0A96">
        <w:t>.</w:t>
      </w:r>
      <w:r w:rsidRPr="00DA0A96" w:rsidR="001276C6">
        <w:t> . . </w:t>
      </w:r>
      <w:r w:rsidRPr="00DA0A96" w:rsidR="00DC192B">
        <w:t>.</w:t>
      </w:r>
      <w:r w:rsidRPr="00DA0A96" w:rsidR="001276C6">
        <w:t xml:space="preserve"> </w:t>
      </w:r>
      <w:r w:rsidRPr="00DA0A96" w:rsidR="00DC192B">
        <w:t xml:space="preserve"> [I]</w:t>
      </w:r>
      <w:r w:rsidRPr="00DA0A96">
        <w:t xml:space="preserve">t </w:t>
      </w:r>
      <w:r w:rsidRPr="00DA0A96" w:rsidR="00DC192B">
        <w:t>[disserves]</w:t>
      </w:r>
      <w:r w:rsidRPr="00DA0A96" w:rsidR="00F462E2">
        <w:t xml:space="preserve"> </w:t>
      </w:r>
      <w:r w:rsidRPr="00DA0A96" w:rsidR="001276C6">
        <w:t>. . .</w:t>
      </w:r>
      <w:r w:rsidRPr="00DA0A96" w:rsidR="00F462E2">
        <w:t xml:space="preserve"> </w:t>
      </w:r>
      <w:r w:rsidRPr="00DA0A96">
        <w:t>public policy to allow governmental entities to consciously disregard known, ongoing hazards to the public</w:t>
      </w:r>
      <w:r w:rsidRPr="00DA0A96" w:rsidR="00DC192B">
        <w:t>.”</w:t>
      </w:r>
      <w:r>
        <w:rPr>
          <w:rStyle w:val="FootnoteReference"/>
        </w:rPr>
        <w:footnoteReference w:id="10"/>
      </w:r>
    </w:p>
    <w:p w:rsidR="002E2754" w:rsidRPr="00DA0A96" w:rsidP="00D95D6B">
      <w:pPr>
        <w:pStyle w:val="Heading4"/>
      </w:pPr>
      <w:r>
        <w:t>b.</w:t>
      </w:r>
      <w:r w:rsidR="00D95D6B">
        <w:tab/>
      </w:r>
      <w:r>
        <w:t>Factors supporting stare decisis</w:t>
      </w:r>
    </w:p>
    <w:p w:rsidR="00BD5DF3" w:rsidRPr="00DA0A96" w:rsidP="00DA0A96">
      <w:pPr>
        <w:tabs>
          <w:tab w:val="left" w:pos="1440"/>
        </w:tabs>
        <w:ind w:firstLine="720"/>
      </w:pPr>
      <w:r>
        <w:t xml:space="preserve">In addition to </w:t>
      </w:r>
      <w:r w:rsidRPr="005668B2">
        <w:rPr>
          <w:i/>
          <w:iCs/>
        </w:rPr>
        <w:t>Cameron</w:t>
      </w:r>
      <w:r>
        <w:t xml:space="preserve"> being well reasoned, s</w:t>
      </w:r>
      <w:r w:rsidRPr="00DA0A96" w:rsidR="00E64DF8">
        <w:t xml:space="preserve">everal </w:t>
      </w:r>
      <w:r w:rsidR="002E2754">
        <w:t>other</w:t>
      </w:r>
      <w:r w:rsidRPr="00DA0A96" w:rsidR="002E2754">
        <w:t xml:space="preserve"> </w:t>
      </w:r>
      <w:r w:rsidRPr="00DA0A96" w:rsidR="001613E3">
        <w:t xml:space="preserve">factors support application of stare decisis. </w:t>
      </w:r>
      <w:r w:rsidRPr="00DA0A96" w:rsidR="005C60D7">
        <w:t xml:space="preserve"> Our unanimous decision in </w:t>
      </w:r>
      <w:r w:rsidRPr="00DA0A96" w:rsidR="005C60D7">
        <w:rPr>
          <w:i/>
          <w:iCs/>
        </w:rPr>
        <w:t>Cameron</w:t>
      </w:r>
      <w:r w:rsidRPr="00DA0A96" w:rsidR="005C60D7">
        <w:t xml:space="preserve"> is over 50 years old</w:t>
      </w:r>
      <w:r w:rsidRPr="00DA0A96" w:rsidR="00692BED">
        <w:t xml:space="preserve">.  </w:t>
      </w:r>
      <w:r w:rsidRPr="00DA0A96" w:rsidR="005C60D7">
        <w:t>(</w:t>
      </w:r>
      <w:r w:rsidRPr="00DA0A96" w:rsidR="00692BED">
        <w:t>S</w:t>
      </w:r>
      <w:r w:rsidRPr="00DA0A96" w:rsidR="005C60D7">
        <w:t xml:space="preserve">ee </w:t>
      </w:r>
      <w:r w:rsidRPr="00DA0A96" w:rsidR="005C60D7">
        <w:rPr>
          <w:i/>
          <w:iCs/>
        </w:rPr>
        <w:t>Trope</w:t>
      </w:r>
      <w:r w:rsidRPr="00DA0A96" w:rsidR="005C60D7">
        <w:t xml:space="preserve">, </w:t>
      </w:r>
      <w:r w:rsidRPr="00DA0A96" w:rsidR="00F97C43">
        <w:rPr>
          <w:i/>
          <w:iCs/>
        </w:rPr>
        <w:t>supra</w:t>
      </w:r>
      <w:r w:rsidRPr="00DA0A96" w:rsidR="00F97C43">
        <w:t>, 11</w:t>
      </w:r>
      <w:r w:rsidRPr="00DA0A96" w:rsidR="00220280">
        <w:t> </w:t>
      </w:r>
      <w:r w:rsidRPr="00DA0A96" w:rsidR="00F97C43">
        <w:t xml:space="preserve">Cal.4th </w:t>
      </w:r>
      <w:r w:rsidRPr="00DA0A96" w:rsidR="005C60D7">
        <w:t>at p.</w:t>
      </w:r>
      <w:r w:rsidR="00BB237E">
        <w:t> </w:t>
      </w:r>
      <w:r w:rsidRPr="00DA0A96" w:rsidR="005C60D7">
        <w:t xml:space="preserve">288 [citing “age of the precedent” as factor in evaluating stare decisis]; </w:t>
      </w:r>
      <w:bookmarkStart w:id="17" w:name="_Hlk118719111"/>
      <w:r w:rsidRPr="00DA0A96" w:rsidR="005C60D7">
        <w:rPr>
          <w:i/>
          <w:iCs/>
        </w:rPr>
        <w:t>People v. Shea</w:t>
      </w:r>
      <w:r w:rsidRPr="00DA0A96" w:rsidR="005C60D7">
        <w:t xml:space="preserve"> (1899) 125</w:t>
      </w:r>
      <w:r w:rsidRPr="00DA0A96" w:rsidR="006B4378">
        <w:t> </w:t>
      </w:r>
      <w:r w:rsidRPr="00DA0A96" w:rsidR="005C60D7">
        <w:t>Cal. 151, 153</w:t>
      </w:r>
      <w:bookmarkEnd w:id="17"/>
      <w:r w:rsidRPr="00DA0A96" w:rsidR="005C60D7">
        <w:t xml:space="preserve">; see </w:t>
      </w:r>
      <w:r w:rsidRPr="00DA0A96" w:rsidR="00F97C43">
        <w:t xml:space="preserve">also </w:t>
      </w:r>
      <w:bookmarkStart w:id="18" w:name="_Hlk118719119"/>
      <w:r w:rsidRPr="00DA0A96" w:rsidR="005C60D7">
        <w:rPr>
          <w:i/>
          <w:iCs/>
        </w:rPr>
        <w:t>Woollacott v. Meekin</w:t>
      </w:r>
      <w:r w:rsidRPr="00DA0A96" w:rsidR="005C60D7">
        <w:t xml:space="preserve"> (1907) 151</w:t>
      </w:r>
      <w:r w:rsidRPr="00DA0A96" w:rsidR="006B4378">
        <w:t> </w:t>
      </w:r>
      <w:r w:rsidRPr="00DA0A96" w:rsidR="005C60D7">
        <w:t>Cal. 701, 705</w:t>
      </w:r>
      <w:bookmarkEnd w:id="18"/>
      <w:r w:rsidRPr="00DA0A96" w:rsidR="005C60D7">
        <w:t xml:space="preserve"> [noting prior opinion was unanimous in applying stare decisis]</w:t>
      </w:r>
      <w:r w:rsidRPr="00DA0A96" w:rsidR="00692BED">
        <w:t>.</w:t>
      </w:r>
      <w:r w:rsidRPr="00DA0A96" w:rsidR="005C60D7">
        <w:t>)</w:t>
      </w:r>
      <w:r w:rsidRPr="00DA0A96" w:rsidR="00692BED">
        <w:t xml:space="preserve">  While some decisions have suggested </w:t>
      </w:r>
      <w:r w:rsidRPr="00DA0A96" w:rsidR="00743B62">
        <w:t xml:space="preserve">that </w:t>
      </w:r>
      <w:r w:rsidRPr="00DA0A96" w:rsidR="00692BED">
        <w:t xml:space="preserve">design immunity </w:t>
      </w:r>
      <w:r w:rsidRPr="00DA0A96" w:rsidR="00FB2303">
        <w:t xml:space="preserve">continues to </w:t>
      </w:r>
      <w:r w:rsidRPr="00DA0A96" w:rsidR="00692BED">
        <w:t xml:space="preserve">preclude </w:t>
      </w:r>
      <w:r w:rsidRPr="00DA0A96" w:rsidR="00FB2303">
        <w:t xml:space="preserve">most forms of </w:t>
      </w:r>
      <w:r w:rsidRPr="00DA0A96" w:rsidR="00692BED">
        <w:t xml:space="preserve">failure to warn claims, the weight of authority has </w:t>
      </w:r>
      <w:r w:rsidRPr="00DA0A96" w:rsidR="00523A0F">
        <w:t xml:space="preserve">long understood </w:t>
      </w:r>
      <w:r w:rsidRPr="00DA0A96" w:rsidR="00692BED">
        <w:rPr>
          <w:i/>
          <w:iCs/>
        </w:rPr>
        <w:t>Cameron</w:t>
      </w:r>
      <w:r w:rsidRPr="00DA0A96" w:rsidR="00692BED">
        <w:t xml:space="preserve"> </w:t>
      </w:r>
      <w:r w:rsidRPr="00DA0A96" w:rsidR="001F4EC3">
        <w:t xml:space="preserve">to </w:t>
      </w:r>
      <w:r w:rsidRPr="00DA0A96" w:rsidR="00435C1C">
        <w:t xml:space="preserve">preserve </w:t>
      </w:r>
      <w:r w:rsidRPr="00DA0A96" w:rsidR="00692BED">
        <w:t xml:space="preserve">such </w:t>
      </w:r>
      <w:r w:rsidRPr="00DA0A96" w:rsidR="00435C1C">
        <w:t>claims</w:t>
      </w:r>
      <w:r w:rsidRPr="00DA0A96" w:rsidR="00692BED">
        <w:t>.</w:t>
      </w:r>
      <w:r w:rsidRPr="00DA0A96" w:rsidR="00435C1C">
        <w:t xml:space="preserve"> </w:t>
      </w:r>
      <w:r w:rsidRPr="00DA0A96" w:rsidR="00692BED">
        <w:t xml:space="preserve"> </w:t>
      </w:r>
      <w:r w:rsidRPr="00DA0A96" w:rsidR="00435C1C">
        <w:t>(</w:t>
      </w:r>
      <w:r w:rsidRPr="00DA0A96" w:rsidR="00692BED">
        <w:t>S</w:t>
      </w:r>
      <w:r w:rsidRPr="00DA0A96" w:rsidR="00435C1C">
        <w:t xml:space="preserve">ee </w:t>
      </w:r>
      <w:r w:rsidRPr="00DA0A96" w:rsidR="00435C1C">
        <w:rPr>
          <w:i/>
          <w:iCs/>
        </w:rPr>
        <w:t>ante</w:t>
      </w:r>
      <w:r w:rsidRPr="00DA0A96" w:rsidR="00435C1C">
        <w:t>, at p</w:t>
      </w:r>
      <w:r w:rsidRPr="00DA0A96" w:rsidR="00692BED">
        <w:t>p</w:t>
      </w:r>
      <w:r w:rsidRPr="00DA0A96" w:rsidR="00435C1C">
        <w:t>.</w:t>
      </w:r>
      <w:r w:rsidRPr="00DA0A96" w:rsidR="006B4378">
        <w:t> </w:t>
      </w:r>
      <w:r w:rsidRPr="00DA0A96" w:rsidR="003E3A12">
        <w:t>1</w:t>
      </w:r>
      <w:r w:rsidR="00987F48">
        <w:t>8</w:t>
      </w:r>
      <w:r w:rsidRPr="00DA0A96" w:rsidR="003E3A12">
        <w:t>–</w:t>
      </w:r>
      <w:r w:rsidRPr="00DA0A96" w:rsidR="00B65BF7">
        <w:t>2</w:t>
      </w:r>
      <w:r w:rsidR="00406E5F">
        <w:t>1</w:t>
      </w:r>
      <w:r w:rsidRPr="00DA0A96" w:rsidR="00523A0F">
        <w:t xml:space="preserve">; </w:t>
      </w:r>
      <w:bookmarkStart w:id="19" w:name="_Hlk118741999"/>
      <w:r w:rsidRPr="00DA0A96" w:rsidR="00523A0F">
        <w:t xml:space="preserve">9 Witkin, Cal. Proc. </w:t>
      </w:r>
      <w:r w:rsidR="00463F6C">
        <w:t>(</w:t>
      </w:r>
      <w:r w:rsidRPr="00DA0A96" w:rsidR="00523A0F">
        <w:t>6th</w:t>
      </w:r>
      <w:r w:rsidR="00463F6C">
        <w:t xml:space="preserve"> ed. 2023)</w:t>
      </w:r>
      <w:r w:rsidRPr="00DA0A96" w:rsidR="00523A0F">
        <w:t xml:space="preserve"> Appeal</w:t>
      </w:r>
      <w:r w:rsidR="009D0088">
        <w:t>,</w:t>
      </w:r>
      <w:r w:rsidRPr="00DA0A96" w:rsidR="00523A0F">
        <w:t xml:space="preserve"> § 536 </w:t>
      </w:r>
      <w:bookmarkEnd w:id="19"/>
      <w:r w:rsidRPr="00DA0A96" w:rsidR="00523A0F">
        <w:t>[“The long acceptance of a rule by the courts, as where it is followed in other cases</w:t>
      </w:r>
      <w:r w:rsidR="00DA2615">
        <w:t>,</w:t>
      </w:r>
      <w:r w:rsidRPr="00DA0A96" w:rsidR="00523A0F">
        <w:t xml:space="preserve"> .</w:t>
      </w:r>
      <w:r w:rsidRPr="00DA0A96" w:rsidR="006B4378">
        <w:t> </w:t>
      </w:r>
      <w:r w:rsidRPr="00DA0A96" w:rsidR="00523A0F">
        <w:t>.</w:t>
      </w:r>
      <w:r w:rsidRPr="00DA0A96" w:rsidR="006B4378">
        <w:t> </w:t>
      </w:r>
      <w:r w:rsidRPr="00DA0A96" w:rsidR="00523A0F">
        <w:t>. is a potent argument in favor of allowing it to stand”]</w:t>
      </w:r>
      <w:r w:rsidRPr="00DA0A96" w:rsidR="00692BED">
        <w:t>.</w:t>
      </w:r>
      <w:r w:rsidRPr="00DA0A96" w:rsidR="00435C1C">
        <w:t xml:space="preserve">)  </w:t>
      </w:r>
      <w:r w:rsidRPr="00DA0A96" w:rsidR="00692BED">
        <w:t xml:space="preserve">Moreover, </w:t>
      </w:r>
      <w:r w:rsidRPr="00DA0A96" w:rsidR="003D7D72">
        <w:t xml:space="preserve">on the record before us, there </w:t>
      </w:r>
      <w:r w:rsidRPr="00DA0A96" w:rsidR="00B21AB6">
        <w:t xml:space="preserve">has </w:t>
      </w:r>
      <w:r w:rsidRPr="00DA0A96" w:rsidR="003D7D72">
        <w:t xml:space="preserve">been no showing that </w:t>
      </w:r>
      <w:r w:rsidRPr="00DA0A96" w:rsidR="00F97C43">
        <w:rPr>
          <w:i/>
          <w:iCs/>
        </w:rPr>
        <w:t>Cameron</w:t>
      </w:r>
      <w:r w:rsidRPr="00DA0A96" w:rsidR="00F97C43">
        <w:t xml:space="preserve"> </w:t>
      </w:r>
      <w:r w:rsidRPr="00DA0A96" w:rsidR="005C60D7">
        <w:t>has</w:t>
      </w:r>
      <w:r w:rsidRPr="00DA0A96" w:rsidR="00D56F83">
        <w:t xml:space="preserve"> broad</w:t>
      </w:r>
      <w:r w:rsidRPr="00DA0A96" w:rsidR="00B21AB6">
        <w:t>ly</w:t>
      </w:r>
      <w:r w:rsidRPr="00DA0A96" w:rsidR="00D56F83">
        <w:t xml:space="preserve"> impact</w:t>
      </w:r>
      <w:r w:rsidRPr="00DA0A96" w:rsidR="00B21AB6">
        <w:t>ed</w:t>
      </w:r>
      <w:r w:rsidRPr="00DA0A96" w:rsidR="00D56F83">
        <w:t xml:space="preserve"> government </w:t>
      </w:r>
      <w:r w:rsidRPr="00DA0A96" w:rsidR="003D7D72">
        <w:t>liability</w:t>
      </w:r>
      <w:r w:rsidRPr="00DA0A96" w:rsidR="0055645D">
        <w:t xml:space="preserve"> for dangerous conditions </w:t>
      </w:r>
      <w:r w:rsidRPr="00DA0A96" w:rsidR="005C60D7">
        <w:t>or gravely undermined design immunity.  (</w:t>
      </w:r>
      <w:r w:rsidRPr="00DA0A96" w:rsidR="0055645D">
        <w:rPr>
          <w:i/>
          <w:iCs/>
        </w:rPr>
        <w:t>Cf</w:t>
      </w:r>
      <w:r w:rsidRPr="00DA0A96" w:rsidR="0055645D">
        <w:t>.</w:t>
      </w:r>
      <w:r w:rsidRPr="00DA0A96" w:rsidR="005C60D7">
        <w:t xml:space="preserve"> </w:t>
      </w:r>
      <w:bookmarkStart w:id="20" w:name="_Hlk118719138"/>
      <w:r w:rsidRPr="00DA0A96" w:rsidR="005C60D7">
        <w:rPr>
          <w:i/>
          <w:iCs/>
        </w:rPr>
        <w:t>Johnson v. Department of Justice</w:t>
      </w:r>
      <w:r w:rsidRPr="00DA0A96" w:rsidR="005C60D7">
        <w:t xml:space="preserve"> (2015) 60</w:t>
      </w:r>
      <w:r w:rsidRPr="00DA0A96" w:rsidR="006B4378">
        <w:t> </w:t>
      </w:r>
      <w:r w:rsidRPr="00DA0A96" w:rsidR="005C60D7">
        <w:t xml:space="preserve">Cal.4th 871, 875 </w:t>
      </w:r>
      <w:bookmarkEnd w:id="20"/>
      <w:r w:rsidRPr="00DA0A96" w:rsidR="005C60D7">
        <w:t xml:space="preserve">[overruling prior precedent that was shown to be “having a broad impact”].)  </w:t>
      </w:r>
      <w:r w:rsidRPr="00DA0A96" w:rsidR="003D7D72">
        <w:t>That</w:t>
      </w:r>
      <w:r w:rsidRPr="00DA0A96" w:rsidR="00CD2882">
        <w:t xml:space="preserve"> is not</w:t>
      </w:r>
      <w:r w:rsidRPr="00DA0A96" w:rsidR="00B21AB6">
        <w:t xml:space="preserve"> particularly </w:t>
      </w:r>
      <w:r w:rsidRPr="00DA0A96" w:rsidR="00CD2882">
        <w:t>surprising given that</w:t>
      </w:r>
      <w:r w:rsidRPr="00DA0A96" w:rsidR="003D7D72">
        <w:t xml:space="preserve">, as </w:t>
      </w:r>
      <w:r w:rsidRPr="00DA0A96" w:rsidR="00435C1C">
        <w:t xml:space="preserve">discussed above, </w:t>
      </w:r>
      <w:r w:rsidRPr="00DA0A96" w:rsidR="00435C1C">
        <w:rPr>
          <w:i/>
          <w:iCs/>
        </w:rPr>
        <w:t>Cameron</w:t>
      </w:r>
      <w:r w:rsidRPr="00DA0A96" w:rsidR="00435C1C">
        <w:t xml:space="preserve"> leaves in place substantial barriers for parties</w:t>
      </w:r>
      <w:r w:rsidRPr="00DA0A96" w:rsidR="00CD2882">
        <w:t xml:space="preserve"> who</w:t>
      </w:r>
      <w:r w:rsidRPr="00DA0A96" w:rsidR="00435C1C">
        <w:t xml:space="preserve"> seek to impose liability for fail</w:t>
      </w:r>
      <w:r w:rsidRPr="00DA0A96" w:rsidR="00CD2882">
        <w:t xml:space="preserve">ing to warn of an immunized </w:t>
      </w:r>
      <w:r w:rsidRPr="00DA0A96" w:rsidR="00B65BF7">
        <w:t xml:space="preserve">roadway </w:t>
      </w:r>
      <w:r w:rsidRPr="00DA0A96" w:rsidR="00CD2882">
        <w:t>design element</w:t>
      </w:r>
      <w:r w:rsidRPr="00DA0A96" w:rsidR="00D56F83">
        <w:t xml:space="preserve">.  (See </w:t>
      </w:r>
      <w:r w:rsidRPr="00DA0A96" w:rsidR="00D56F83">
        <w:rPr>
          <w:i/>
          <w:iCs/>
        </w:rPr>
        <w:t>ante</w:t>
      </w:r>
      <w:r w:rsidRPr="00DA0A96" w:rsidR="00D56F83">
        <w:t>, at p</w:t>
      </w:r>
      <w:r w:rsidRPr="00DA0A96" w:rsidR="00B21AB6">
        <w:t>p</w:t>
      </w:r>
      <w:r w:rsidRPr="00DA0A96" w:rsidR="00D56F83">
        <w:t>.</w:t>
      </w:r>
      <w:r w:rsidRPr="00DA0A96" w:rsidR="006B4378">
        <w:t> </w:t>
      </w:r>
      <w:r w:rsidRPr="00DA0A96" w:rsidR="003E3A12">
        <w:t>2</w:t>
      </w:r>
      <w:r w:rsidRPr="00DA0A96" w:rsidR="00B65BF7">
        <w:t>1</w:t>
      </w:r>
      <w:r w:rsidRPr="00DA0A96" w:rsidR="003E3A12">
        <w:t>–2</w:t>
      </w:r>
      <w:r w:rsidR="00987F48">
        <w:t>5</w:t>
      </w:r>
      <w:r w:rsidRPr="00DA0A96" w:rsidR="00D56F83">
        <w:t xml:space="preserve">.) </w:t>
      </w:r>
      <w:r w:rsidRPr="00DA0A96" w:rsidR="00435C1C">
        <w:t xml:space="preserve">  </w:t>
      </w:r>
    </w:p>
    <w:p w:rsidR="00862B2E" w:rsidP="00DA0A96">
      <w:pPr>
        <w:tabs>
          <w:tab w:val="left" w:pos="1440"/>
        </w:tabs>
        <w:ind w:firstLine="720"/>
      </w:pPr>
      <w:r w:rsidRPr="00DA0A96">
        <w:t>Finally,</w:t>
      </w:r>
      <w:r w:rsidRPr="00DA0A96" w:rsidR="0052709D">
        <w:t xml:space="preserve"> it bears emphasizing that</w:t>
      </w:r>
      <w:r w:rsidRPr="00DA0A96" w:rsidR="00153A6F">
        <w:t xml:space="preserve"> </w:t>
      </w:r>
      <w:r w:rsidRPr="00DA0A96" w:rsidR="00153A6F">
        <w:rPr>
          <w:i/>
          <w:iCs/>
        </w:rPr>
        <w:t>Cameron</w:t>
      </w:r>
      <w:r w:rsidRPr="00DA0A96" w:rsidR="00153A6F">
        <w:t xml:space="preserve"> </w:t>
      </w:r>
      <w:r w:rsidRPr="00DA0A96" w:rsidR="0052709D">
        <w:t xml:space="preserve">involves a question of statutory interpretation, </w:t>
      </w:r>
      <w:r w:rsidRPr="00DA0A96" w:rsidR="00153A6F">
        <w:t xml:space="preserve">which leaves the </w:t>
      </w:r>
      <w:r w:rsidRPr="00DA0A96" w:rsidR="0052709D">
        <w:t>Legislature</w:t>
      </w:r>
      <w:r w:rsidRPr="00DA0A96" w:rsidR="00153A6F">
        <w:t xml:space="preserve"> free to </w:t>
      </w:r>
      <w:r w:rsidRPr="00DA0A96" w:rsidR="0052709D">
        <w:t>abrogate the holding</w:t>
      </w:r>
      <w:r w:rsidRPr="00DA0A96" w:rsidR="00153A6F">
        <w:t xml:space="preserve"> through amendment of the </w:t>
      </w:r>
      <w:r w:rsidRPr="00DA0A96" w:rsidR="0052709D">
        <w:t xml:space="preserve">Government Claims Act.  (See </w:t>
      </w:r>
      <w:r w:rsidRPr="00DA0A96" w:rsidR="0052709D">
        <w:rPr>
          <w:i/>
          <w:iCs/>
        </w:rPr>
        <w:t>Latimer</w:t>
      </w:r>
      <w:r w:rsidRPr="00DA0A96" w:rsidR="00FE702E">
        <w:rPr>
          <w:i/>
          <w:iCs/>
        </w:rPr>
        <w:t xml:space="preserve">, supra, </w:t>
      </w:r>
      <w:r w:rsidRPr="00DA0A96" w:rsidR="0052709D">
        <w:t>5</w:t>
      </w:r>
      <w:r w:rsidRPr="00DA0A96" w:rsidR="00220280">
        <w:t> </w:t>
      </w:r>
      <w:r w:rsidRPr="00DA0A96" w:rsidR="0052709D">
        <w:t xml:space="preserve">Cal.4th </w:t>
      </w:r>
      <w:r w:rsidRPr="00DA0A96" w:rsidR="00FE702E">
        <w:t>at p.</w:t>
      </w:r>
      <w:r w:rsidRPr="00DA0A96" w:rsidR="00220280">
        <w:t> </w:t>
      </w:r>
      <w:r w:rsidRPr="00DA0A96" w:rsidR="0052709D">
        <w:t xml:space="preserve">1213 [“ ‘Considerations of stare decisis have special force in the area of statutory interpretation, for here </w:t>
      </w:r>
      <w:r w:rsidR="002318AA">
        <w:t xml:space="preserve">. . . </w:t>
      </w:r>
      <w:r w:rsidRPr="00DA0A96" w:rsidR="0052709D">
        <w:t xml:space="preserve">Congress remains free to alter what we have done’ ”]; </w:t>
      </w:r>
      <w:bookmarkStart w:id="21" w:name="_Hlk118719155"/>
      <w:r w:rsidRPr="00DA0A96" w:rsidR="0052709D">
        <w:rPr>
          <w:i/>
          <w:iCs/>
        </w:rPr>
        <w:t xml:space="preserve">Halliburton Co. v. Erica P. John Fund, Inc. </w:t>
      </w:r>
      <w:r w:rsidRPr="00DA0A96" w:rsidR="0052709D">
        <w:t>(2014) 573</w:t>
      </w:r>
      <w:r w:rsidRPr="00DA0A96" w:rsidR="006B4378">
        <w:t> </w:t>
      </w:r>
      <w:r w:rsidRPr="00DA0A96" w:rsidR="0052709D">
        <w:t>U.S. 258, 274.</w:t>
      </w:r>
      <w:bookmarkEnd w:id="21"/>
      <w:r w:rsidRPr="00DA0A96" w:rsidR="0052709D">
        <w:t>)</w:t>
      </w:r>
      <w:bookmarkStart w:id="22" w:name="_Hlk113865896"/>
      <w:r w:rsidRPr="00DA0A96" w:rsidR="005345F6">
        <w:t xml:space="preserve"> </w:t>
      </w:r>
      <w:bookmarkEnd w:id="22"/>
      <w:r w:rsidRPr="00DA0A96" w:rsidR="00726D53">
        <w:t xml:space="preserve"> </w:t>
      </w:r>
      <w:r w:rsidRPr="00DA0A96" w:rsidR="001F4EC3">
        <w:t>T</w:t>
      </w:r>
      <w:r w:rsidRPr="00DA0A96" w:rsidR="001F325B">
        <w:t xml:space="preserve">he </w:t>
      </w:r>
      <w:r w:rsidRPr="00DA0A96" w:rsidR="001F4EC3">
        <w:t xml:space="preserve">fact that the </w:t>
      </w:r>
      <w:r w:rsidRPr="00DA0A96" w:rsidR="001F325B">
        <w:t>Legislature has n</w:t>
      </w:r>
      <w:r w:rsidRPr="00DA0A96" w:rsidR="00523A0F">
        <w:t>ever elected to</w:t>
      </w:r>
      <w:r w:rsidRPr="00DA0A96" w:rsidR="001F325B">
        <w:t xml:space="preserve"> </w:t>
      </w:r>
      <w:r w:rsidRPr="00DA0A96" w:rsidR="00DE4647">
        <w:t xml:space="preserve">address </w:t>
      </w:r>
      <w:r w:rsidRPr="00DA0A96" w:rsidR="00DE4647">
        <w:rPr>
          <w:i/>
          <w:iCs/>
        </w:rPr>
        <w:t>Cameron</w:t>
      </w:r>
      <w:r w:rsidRPr="00DA0A96" w:rsidR="00DE4647">
        <w:t xml:space="preserve"> </w:t>
      </w:r>
      <w:r w:rsidRPr="00DA0A96" w:rsidR="00F91443">
        <w:t xml:space="preserve">is particularly persuasive </w:t>
      </w:r>
      <w:r w:rsidRPr="00DA0A96" w:rsidR="00655264">
        <w:t xml:space="preserve">in light of legislative history </w:t>
      </w:r>
      <w:r w:rsidRPr="00DA0A96" w:rsidR="00DE4647">
        <w:t xml:space="preserve">showing that </w:t>
      </w:r>
      <w:r w:rsidRPr="00DA0A96" w:rsidR="00633252">
        <w:t>it was directly asked to do so</w:t>
      </w:r>
      <w:r w:rsidRPr="00DA0A96" w:rsidR="00DE4647">
        <w:t xml:space="preserve">. </w:t>
      </w:r>
      <w:r w:rsidRPr="00DA0A96" w:rsidR="001E3F46">
        <w:t xml:space="preserve"> </w:t>
      </w:r>
      <w:r w:rsidRPr="00DA0A96" w:rsidR="0059528B">
        <w:t xml:space="preserve">As discussed above, that history </w:t>
      </w:r>
      <w:r w:rsidRPr="00DA0A96" w:rsidR="00655264">
        <w:t>show</w:t>
      </w:r>
      <w:r w:rsidRPr="00DA0A96" w:rsidR="0059528B">
        <w:t>s</w:t>
      </w:r>
      <w:r w:rsidRPr="00DA0A96" w:rsidR="00655264">
        <w:t xml:space="preserve"> the Legislature </w:t>
      </w:r>
      <w:r w:rsidRPr="00DA0A96" w:rsidR="0059528B">
        <w:t xml:space="preserve">previously </w:t>
      </w:r>
      <w:r w:rsidRPr="00DA0A96" w:rsidR="001F4EC3">
        <w:t xml:space="preserve">chose to follow </w:t>
      </w:r>
      <w:r w:rsidRPr="00DA0A96" w:rsidR="008B23EE">
        <w:t>a legislative committee’s</w:t>
      </w:r>
      <w:r w:rsidRPr="00DA0A96" w:rsidR="00655264">
        <w:t xml:space="preserve"> </w:t>
      </w:r>
      <w:r w:rsidRPr="00DA0A96" w:rsidR="00726D53">
        <w:t>recommend</w:t>
      </w:r>
      <w:r w:rsidRPr="00DA0A96" w:rsidR="00655264">
        <w:t xml:space="preserve">ation to amend section 830.6 in response to </w:t>
      </w:r>
      <w:r w:rsidRPr="00DA0A96" w:rsidR="001D4C79">
        <w:rPr>
          <w:i/>
          <w:iCs/>
        </w:rPr>
        <w:t>Baldwin</w:t>
      </w:r>
      <w:r w:rsidRPr="00DA0A96" w:rsidR="003C71AE">
        <w:rPr>
          <w:i/>
          <w:iCs/>
        </w:rPr>
        <w:t xml:space="preserve">, supra, </w:t>
      </w:r>
      <w:r w:rsidRPr="00DA0A96" w:rsidR="003C71AE">
        <w:t>6</w:t>
      </w:r>
      <w:r w:rsidRPr="00DA0A96" w:rsidR="00FA1A39">
        <w:t> </w:t>
      </w:r>
      <w:r w:rsidRPr="00DA0A96" w:rsidR="003C71AE">
        <w:t xml:space="preserve">Cal.3d 424, </w:t>
      </w:r>
      <w:r w:rsidRPr="00DA0A96" w:rsidR="001D4C79">
        <w:t xml:space="preserve">but </w:t>
      </w:r>
      <w:r w:rsidR="00FC2504">
        <w:t xml:space="preserve">it </w:t>
      </w:r>
      <w:r w:rsidRPr="00DA0A96" w:rsidR="001D4C79">
        <w:t>decline</w:t>
      </w:r>
      <w:r w:rsidRPr="00DA0A96" w:rsidR="00655264">
        <w:t>d</w:t>
      </w:r>
      <w:r w:rsidRPr="00DA0A96" w:rsidR="001D4C79">
        <w:t xml:space="preserve"> </w:t>
      </w:r>
      <w:r w:rsidRPr="00DA0A96" w:rsidR="00655264">
        <w:t xml:space="preserve">the </w:t>
      </w:r>
      <w:r w:rsidRPr="00DA0A96" w:rsidR="008B23EE">
        <w:t>c</w:t>
      </w:r>
      <w:r w:rsidRPr="00DA0A96" w:rsidR="00655264">
        <w:t>ommission’s further recommendation to</w:t>
      </w:r>
      <w:r w:rsidRPr="00DA0A96" w:rsidR="001D4C79">
        <w:t xml:space="preserve"> </w:t>
      </w:r>
      <w:r w:rsidRPr="00DA0A96" w:rsidR="00655264">
        <w:t xml:space="preserve">amend the statute </w:t>
      </w:r>
      <w:r w:rsidRPr="00DA0A96" w:rsidR="00BB77D0">
        <w:t>to</w:t>
      </w:r>
      <w:r w:rsidRPr="00DA0A96" w:rsidR="00655264">
        <w:t xml:space="preserve"> </w:t>
      </w:r>
      <w:r w:rsidRPr="00DA0A96" w:rsidR="00726D53">
        <w:t xml:space="preserve">abrogate </w:t>
      </w:r>
      <w:r w:rsidRPr="00DA0A96" w:rsidR="00726D53">
        <w:rPr>
          <w:i/>
          <w:iCs/>
        </w:rPr>
        <w:t>Cameron</w:t>
      </w:r>
      <w:r w:rsidRPr="00DA0A96" w:rsidR="00726D53">
        <w:t xml:space="preserve">.  (See </w:t>
      </w:r>
      <w:r w:rsidRPr="00DA0A96" w:rsidR="00726D53">
        <w:rPr>
          <w:i/>
          <w:iCs/>
        </w:rPr>
        <w:t>ante</w:t>
      </w:r>
      <w:r w:rsidRPr="00DA0A96" w:rsidR="00726D53">
        <w:t>, at p</w:t>
      </w:r>
      <w:r w:rsidRPr="00DA0A96" w:rsidR="00B65BF7">
        <w:t>p</w:t>
      </w:r>
      <w:r w:rsidRPr="00DA0A96" w:rsidR="00726D53">
        <w:t>.</w:t>
      </w:r>
      <w:r w:rsidRPr="00DA0A96" w:rsidR="00FA1A39">
        <w:t> </w:t>
      </w:r>
      <w:r w:rsidRPr="00DA0A96" w:rsidR="003E3A12">
        <w:t>2</w:t>
      </w:r>
      <w:r w:rsidR="00406E5F">
        <w:t>9</w:t>
      </w:r>
      <w:r w:rsidRPr="00DA0A96" w:rsidR="00B65BF7">
        <w:t>–</w:t>
      </w:r>
      <w:r w:rsidR="00406E5F">
        <w:t>31</w:t>
      </w:r>
      <w:r w:rsidRPr="00DA0A96" w:rsidR="00726D53">
        <w:t>.)  While th</w:t>
      </w:r>
      <w:r w:rsidRPr="00DA0A96" w:rsidR="008C1327">
        <w:t xml:space="preserve">e City </w:t>
      </w:r>
      <w:r w:rsidRPr="00DA0A96" w:rsidR="0047585D">
        <w:t xml:space="preserve">correctly notes </w:t>
      </w:r>
      <w:r w:rsidRPr="00DA0A96" w:rsidR="008C1327">
        <w:t xml:space="preserve">that </w:t>
      </w:r>
      <w:r w:rsidRPr="00DA0A96" w:rsidR="00726D53">
        <w:t>“legislative inaction alone does not necessarily imply legislative approval” (</w:t>
      </w:r>
      <w:r w:rsidRPr="00DA0A96" w:rsidR="00726D53">
        <w:rPr>
          <w:i/>
          <w:iCs/>
        </w:rPr>
        <w:t xml:space="preserve">Latimer, </w:t>
      </w:r>
      <w:r w:rsidRPr="00DA0A96" w:rsidR="00726D53">
        <w:t>at p.</w:t>
      </w:r>
      <w:r w:rsidRPr="00DA0A96" w:rsidR="00220280">
        <w:t> </w:t>
      </w:r>
      <w:r w:rsidRPr="00DA0A96" w:rsidR="00726D53">
        <w:t xml:space="preserve">1213), </w:t>
      </w:r>
      <w:r w:rsidRPr="00DA0A96" w:rsidR="008C1327">
        <w:t>the fact that</w:t>
      </w:r>
      <w:r w:rsidRPr="00DA0A96" w:rsidR="0047585D">
        <w:t xml:space="preserve"> </w:t>
      </w:r>
      <w:r w:rsidRPr="00DA0A96" w:rsidR="0047585D">
        <w:rPr>
          <w:i/>
          <w:iCs/>
        </w:rPr>
        <w:t>Cameron</w:t>
      </w:r>
      <w:r w:rsidRPr="00DA0A96" w:rsidR="0047585D">
        <w:t xml:space="preserve"> was brought to the attention of </w:t>
      </w:r>
      <w:r w:rsidR="00987F48">
        <w:t xml:space="preserve">the </w:t>
      </w:r>
      <w:r w:rsidRPr="00DA0A96" w:rsidR="0047585D">
        <w:t xml:space="preserve">Legislature, and the Legislature thereafter modified section 830.6 without addressing </w:t>
      </w:r>
      <w:r w:rsidRPr="00DA0A96" w:rsidR="001D4C79">
        <w:rPr>
          <w:i/>
          <w:iCs/>
        </w:rPr>
        <w:t>Cameron</w:t>
      </w:r>
      <w:r w:rsidRPr="00DA0A96" w:rsidR="0047585D">
        <w:t xml:space="preserve">, further </w:t>
      </w:r>
      <w:r w:rsidRPr="00DA0A96" w:rsidR="005576F2">
        <w:t>bolsters our decision</w:t>
      </w:r>
      <w:r w:rsidRPr="00DA0A96" w:rsidR="0047585D">
        <w:t xml:space="preserve"> to follow the principles of stare decisis.  </w:t>
      </w:r>
      <w:r w:rsidRPr="00DA0A96" w:rsidR="00726D53">
        <w:t>(</w:t>
      </w:r>
      <w:r w:rsidRPr="00DA0A96" w:rsidR="0047585D">
        <w:t xml:space="preserve">See </w:t>
      </w:r>
      <w:bookmarkStart w:id="23" w:name="_Hlk118719187"/>
      <w:bookmarkStart w:id="24" w:name="_Hlk118742148"/>
      <w:r w:rsidRPr="00DA0A96" w:rsidR="00726D53">
        <w:t xml:space="preserve">9 Witkin, Cal. Proc. </w:t>
      </w:r>
      <w:r w:rsidR="00DA2615">
        <w:t>(</w:t>
      </w:r>
      <w:r w:rsidRPr="00DA0A96" w:rsidR="00726D53">
        <w:t>6th</w:t>
      </w:r>
      <w:r w:rsidR="00DA2615">
        <w:t xml:space="preserve"> ed. 2023)</w:t>
      </w:r>
      <w:r w:rsidRPr="00DA0A96" w:rsidR="00726D53">
        <w:t xml:space="preserve"> Appeal</w:t>
      </w:r>
      <w:r w:rsidR="00DA2615">
        <w:t>,</w:t>
      </w:r>
      <w:r w:rsidRPr="00DA0A96" w:rsidR="00726D53">
        <w:t xml:space="preserve"> § 537</w:t>
      </w:r>
      <w:bookmarkEnd w:id="23"/>
      <w:r w:rsidRPr="00DA0A96" w:rsidR="00726D53">
        <w:t xml:space="preserve"> </w:t>
      </w:r>
      <w:bookmarkEnd w:id="24"/>
      <w:r w:rsidRPr="00DA0A96" w:rsidR="00726D53">
        <w:t>[“Another justification frequently advanced for following a precedent is that .</w:t>
      </w:r>
      <w:r w:rsidRPr="00DA0A96" w:rsidR="00220280">
        <w:t> </w:t>
      </w:r>
      <w:r w:rsidRPr="00DA0A96" w:rsidR="00726D53">
        <w:t>.</w:t>
      </w:r>
      <w:r w:rsidRPr="00DA0A96" w:rsidR="00220280">
        <w:t> </w:t>
      </w:r>
      <w:r w:rsidRPr="00DA0A96" w:rsidR="00726D53">
        <w:t>. the Legislature has not seen fit to change it by statute.</w:t>
      </w:r>
      <w:r w:rsidR="00987F48">
        <w:t xml:space="preserve"> </w:t>
      </w:r>
      <w:r w:rsidRPr="00DA0A96" w:rsidR="00220280">
        <w:t> </w:t>
      </w:r>
      <w:r w:rsidR="00D36945">
        <w:t>[¶] . . . [¶]</w:t>
      </w:r>
      <w:r w:rsidRPr="00DA0A96" w:rsidR="00220280">
        <w:t xml:space="preserve"> </w:t>
      </w:r>
      <w:r w:rsidRPr="00DA0A96" w:rsidR="00726D53">
        <w:t xml:space="preserve"> Much strength is added to this factor where it further appears that the Legislature modified or reenacted a statute without changing the provision as previously construed”].)</w:t>
      </w:r>
      <w:r w:rsidRPr="00DA0A96" w:rsidR="00EF3D40">
        <w:t xml:space="preserve"> </w:t>
      </w:r>
      <w:r w:rsidRPr="00DA0A96" w:rsidR="008C1327">
        <w:t xml:space="preserve"> </w:t>
      </w:r>
      <w:r w:rsidRPr="00DA0A96" w:rsidR="005345F6">
        <w:t xml:space="preserve">If the Legislature ultimately </w:t>
      </w:r>
      <w:r w:rsidRPr="00DA0A96" w:rsidR="008C1327">
        <w:t xml:space="preserve">comes to </w:t>
      </w:r>
      <w:r w:rsidRPr="00DA0A96" w:rsidR="005345F6">
        <w:t>agree</w:t>
      </w:r>
      <w:r w:rsidRPr="00DA0A96" w:rsidR="00F42CFF">
        <w:t xml:space="preserve"> with the City </w:t>
      </w:r>
      <w:r w:rsidRPr="00DA0A96" w:rsidR="005345F6">
        <w:t>that design immunity should likewise preclude</w:t>
      </w:r>
      <w:r w:rsidR="002318AA">
        <w:t xml:space="preserve"> all</w:t>
      </w:r>
      <w:r w:rsidRPr="00DA0A96" w:rsidR="005345F6">
        <w:t xml:space="preserve"> claims asserting that the public entity failed to warn of dangers </w:t>
      </w:r>
      <w:r w:rsidRPr="00DA0A96" w:rsidR="001B041D">
        <w:t xml:space="preserve">resulting from approved elements of </w:t>
      </w:r>
      <w:r w:rsidRPr="00DA0A96" w:rsidR="00B65BF7">
        <w:t>a roadway</w:t>
      </w:r>
      <w:r w:rsidRPr="00DA0A96" w:rsidR="001B041D">
        <w:t xml:space="preserve"> design</w:t>
      </w:r>
      <w:r w:rsidRPr="00DA0A96" w:rsidR="005345F6">
        <w:t>, it can act accordingly.</w:t>
      </w:r>
      <w:r>
        <w:rPr>
          <w:rStyle w:val="FootnoteReference"/>
        </w:rPr>
        <w:footnoteReference w:id="11"/>
      </w:r>
    </w:p>
    <w:p w:rsidR="00EC61DA" w:rsidRPr="00DA0A96" w:rsidP="00E1286D">
      <w:pPr>
        <w:tabs>
          <w:tab w:val="left" w:pos="1440"/>
        </w:tabs>
        <w:jc w:val="center"/>
        <w:rPr>
          <w:b/>
          <w:smallCaps/>
          <w:szCs w:val="26"/>
        </w:rPr>
      </w:pPr>
      <w:r w:rsidRPr="00DA0A96">
        <w:rPr>
          <w:b/>
          <w:smallCaps/>
          <w:szCs w:val="26"/>
        </w:rPr>
        <w:t>III.  Disposition</w:t>
      </w:r>
    </w:p>
    <w:p w:rsidR="00EC61DA" w:rsidRPr="00DA0A96" w:rsidP="00DA0A96">
      <w:pPr>
        <w:tabs>
          <w:tab w:val="left" w:pos="1440"/>
        </w:tabs>
        <w:ind w:firstLine="720"/>
        <w:rPr>
          <w:szCs w:val="26"/>
        </w:rPr>
      </w:pPr>
      <w:r>
        <w:rPr>
          <w:szCs w:val="26"/>
        </w:rPr>
        <w:t>T</w:t>
      </w:r>
      <w:r w:rsidRPr="00DA0A96">
        <w:rPr>
          <w:szCs w:val="26"/>
        </w:rPr>
        <w:t>he Court of Appeal’s judgment</w:t>
      </w:r>
      <w:r>
        <w:rPr>
          <w:szCs w:val="26"/>
        </w:rPr>
        <w:t xml:space="preserve"> is affirmed</w:t>
      </w:r>
      <w:r w:rsidRPr="00DA0A96">
        <w:rPr>
          <w:szCs w:val="26"/>
        </w:rPr>
        <w:t xml:space="preserve"> and</w:t>
      </w:r>
      <w:r>
        <w:rPr>
          <w:szCs w:val="26"/>
        </w:rPr>
        <w:t xml:space="preserve"> the matter is</w:t>
      </w:r>
      <w:r w:rsidRPr="00DA0A96">
        <w:rPr>
          <w:szCs w:val="26"/>
        </w:rPr>
        <w:t xml:space="preserve"> remand</w:t>
      </w:r>
      <w:r w:rsidR="009B0010">
        <w:rPr>
          <w:szCs w:val="26"/>
        </w:rPr>
        <w:t>ed</w:t>
      </w:r>
      <w:r w:rsidRPr="00DA0A96">
        <w:rPr>
          <w:szCs w:val="26"/>
        </w:rPr>
        <w:t xml:space="preserve"> </w:t>
      </w:r>
      <w:r>
        <w:rPr>
          <w:szCs w:val="26"/>
        </w:rPr>
        <w:t xml:space="preserve">to the trial court </w:t>
      </w:r>
      <w:r w:rsidRPr="00DA0A96">
        <w:rPr>
          <w:szCs w:val="26"/>
        </w:rPr>
        <w:t xml:space="preserve">for further proceedings consistent with this opinion. </w:t>
      </w:r>
    </w:p>
    <w:p w:rsidR="00C50995" w:rsidRPr="00DA0A96" w:rsidP="007F095F">
      <w:pPr>
        <w:tabs>
          <w:tab w:val="left" w:pos="1440"/>
        </w:tabs>
        <w:rPr>
          <w:szCs w:val="26"/>
        </w:rPr>
      </w:pPr>
    </w:p>
    <w:p w:rsidR="00DA0A96" w:rsidP="00DA0A96">
      <w:pPr>
        <w:ind w:left="3600" w:firstLine="1800"/>
        <w:rPr>
          <w:b/>
          <w:szCs w:val="26"/>
        </w:rPr>
      </w:pPr>
      <w:r w:rsidRPr="00DA0A96">
        <w:rPr>
          <w:b/>
          <w:szCs w:val="26"/>
        </w:rPr>
        <w:t>GROBAN, J.</w:t>
      </w:r>
      <w:bookmarkEnd w:id="1"/>
    </w:p>
    <w:p w:rsidR="00C47A2F" w:rsidP="00E1286D">
      <w:pPr>
        <w:tabs>
          <w:tab w:val="left" w:pos="1440"/>
        </w:tabs>
        <w:rPr>
          <w:b/>
          <w:bCs/>
        </w:rPr>
      </w:pPr>
    </w:p>
    <w:p w:rsidR="00E1286D" w:rsidP="00E1286D">
      <w:pPr>
        <w:tabs>
          <w:tab w:val="left" w:pos="1440"/>
        </w:tabs>
        <w:rPr>
          <w:b/>
          <w:bCs/>
        </w:rPr>
      </w:pPr>
      <w:r>
        <w:rPr>
          <w:b/>
          <w:bCs/>
        </w:rPr>
        <w:t>We Concur:</w:t>
      </w:r>
    </w:p>
    <w:p w:rsidR="007F095F" w:rsidP="007F095F">
      <w:pPr>
        <w:spacing w:after="0" w:line="240" w:lineRule="auto"/>
        <w:rPr>
          <w:rFonts w:ascii="Times New Roman" w:hAnsi="Times New Roman"/>
          <w:b/>
          <w:sz w:val="26"/>
          <w:szCs w:val="26"/>
        </w:rPr>
      </w:pPr>
      <w:r>
        <w:rPr>
          <w:b/>
          <w:szCs w:val="26"/>
        </w:rPr>
        <w:t>GUERRERO, C.</w:t>
      </w:r>
      <w:r w:rsidR="000D131A">
        <w:rPr>
          <w:b/>
          <w:szCs w:val="26"/>
        </w:rPr>
        <w:t> </w:t>
      </w:r>
      <w:r>
        <w:rPr>
          <w:b/>
          <w:szCs w:val="26"/>
        </w:rPr>
        <w:t>J.</w:t>
      </w:r>
    </w:p>
    <w:p w:rsidR="007F095F" w:rsidP="007F095F">
      <w:pPr>
        <w:spacing w:after="0" w:line="240" w:lineRule="auto"/>
        <w:rPr>
          <w:b/>
          <w:szCs w:val="26"/>
        </w:rPr>
      </w:pPr>
      <w:r>
        <w:rPr>
          <w:b/>
          <w:szCs w:val="26"/>
        </w:rPr>
        <w:t>CORRIGAN, J.</w:t>
      </w:r>
    </w:p>
    <w:p w:rsidR="007F095F" w:rsidP="007F095F">
      <w:pPr>
        <w:spacing w:after="0" w:line="240" w:lineRule="auto"/>
        <w:rPr>
          <w:b/>
          <w:szCs w:val="26"/>
        </w:rPr>
      </w:pPr>
      <w:r>
        <w:rPr>
          <w:b/>
          <w:szCs w:val="26"/>
        </w:rPr>
        <w:t>LIU, J.</w:t>
      </w:r>
    </w:p>
    <w:p w:rsidR="007F095F" w:rsidP="007F095F">
      <w:pPr>
        <w:spacing w:after="0" w:line="240" w:lineRule="auto"/>
        <w:rPr>
          <w:b/>
        </w:rPr>
      </w:pPr>
      <w:r>
        <w:rPr>
          <w:b/>
        </w:rPr>
        <w:t>KRUGER, J.</w:t>
      </w:r>
    </w:p>
    <w:p w:rsidR="007F095F" w:rsidP="007F095F">
      <w:pPr>
        <w:spacing w:after="0" w:line="240" w:lineRule="auto"/>
        <w:rPr>
          <w:b/>
        </w:rPr>
      </w:pPr>
      <w:r>
        <w:rPr>
          <w:b/>
        </w:rPr>
        <w:t>JENKINS, J.</w:t>
      </w:r>
    </w:p>
    <w:p w:rsidR="007F095F" w:rsidP="007F095F">
      <w:pPr>
        <w:spacing w:after="0" w:line="240" w:lineRule="auto"/>
        <w:rPr>
          <w:b/>
        </w:rPr>
      </w:pPr>
      <w:r>
        <w:rPr>
          <w:b/>
        </w:rPr>
        <w:t>EVANS, J.</w:t>
      </w:r>
    </w:p>
    <w:p w:rsidR="00A71929" w:rsidP="00E1286D">
      <w:pPr>
        <w:tabs>
          <w:tab w:val="left" w:pos="1440"/>
        </w:tabs>
        <w:rPr>
          <w:b/>
          <w:bCs/>
        </w:rPr>
        <w:sectPr w:rsidSect="00337D8E">
          <w:footerReference w:type="first" r:id="rId11"/>
          <w:pgSz w:w="12240" w:h="15840"/>
          <w:pgMar w:top="1800" w:right="2160" w:bottom="1440" w:left="2160" w:header="720" w:footer="720" w:gutter="0"/>
          <w:pgNumType w:start="1"/>
          <w:cols w:space="720"/>
          <w:titlePg/>
          <w:docGrid w:linePitch="367"/>
        </w:sectPr>
      </w:pPr>
    </w:p>
    <w:p w:rsidR="005B60B5" w:rsidRPr="005B60B5" w:rsidP="005B60B5">
      <w:pPr>
        <w:spacing w:after="0" w:line="240" w:lineRule="auto"/>
        <w:jc w:val="left"/>
        <w:rPr>
          <w:i/>
          <w:sz w:val="24"/>
          <w:szCs w:val="24"/>
        </w:rPr>
      </w:pPr>
      <w:r w:rsidRPr="005B60B5">
        <w:rPr>
          <w:i/>
          <w:sz w:val="24"/>
          <w:szCs w:val="24"/>
        </w:rPr>
        <w:t>See next page for addresses and telephone numbers for counsel who argued in Supreme Court.</w:t>
      </w:r>
    </w:p>
    <w:p w:rsidR="005B60B5" w:rsidRPr="005B60B5" w:rsidP="005B60B5">
      <w:pPr>
        <w:spacing w:after="0" w:line="240" w:lineRule="auto"/>
        <w:jc w:val="left"/>
        <w:rPr>
          <w:i/>
          <w:sz w:val="24"/>
          <w:szCs w:val="24"/>
        </w:rPr>
      </w:pPr>
    </w:p>
    <w:p w:rsidR="005B60B5" w:rsidRPr="005B60B5" w:rsidP="005B60B5">
      <w:pPr>
        <w:spacing w:after="0" w:line="240" w:lineRule="auto"/>
        <w:jc w:val="left"/>
        <w:rPr>
          <w:bCs/>
          <w:sz w:val="24"/>
          <w:szCs w:val="24"/>
        </w:rPr>
      </w:pPr>
      <w:r w:rsidRPr="005B60B5">
        <w:rPr>
          <w:b/>
          <w:sz w:val="24"/>
          <w:szCs w:val="24"/>
        </w:rPr>
        <w:t xml:space="preserve">Name of Opinion  </w:t>
      </w:r>
      <w:r w:rsidRPr="005B60B5">
        <w:rPr>
          <w:bCs/>
          <w:sz w:val="24"/>
          <w:szCs w:val="24"/>
        </w:rPr>
        <w:t>Tansavatdi v. City of Rancho Palos Verdes</w:t>
      </w:r>
    </w:p>
    <w:p w:rsidR="005B60B5" w:rsidRPr="005B60B5" w:rsidP="005B60B5">
      <w:pPr>
        <w:spacing w:after="0" w:line="240" w:lineRule="auto"/>
        <w:jc w:val="left"/>
        <w:rPr>
          <w:b/>
          <w:sz w:val="24"/>
          <w:szCs w:val="24"/>
        </w:rPr>
      </w:pPr>
      <w:r w:rsidRPr="005B60B5">
        <w:rPr>
          <w:b/>
          <w:sz w:val="24"/>
          <w:szCs w:val="24"/>
        </w:rPr>
        <w:t xml:space="preserve">__________________________________________________________ </w:t>
      </w:r>
    </w:p>
    <w:p w:rsidR="005B60B5" w:rsidRPr="005B60B5" w:rsidP="005B60B5">
      <w:pPr>
        <w:spacing w:after="0" w:line="240" w:lineRule="auto"/>
        <w:jc w:val="left"/>
        <w:rPr>
          <w:b/>
          <w:sz w:val="24"/>
          <w:szCs w:val="24"/>
        </w:rPr>
      </w:pPr>
    </w:p>
    <w:p w:rsidR="005B60B5" w:rsidRPr="005B60B5" w:rsidP="005B60B5">
      <w:pPr>
        <w:spacing w:after="0" w:line="240" w:lineRule="auto"/>
        <w:jc w:val="left"/>
        <w:rPr>
          <w:sz w:val="24"/>
          <w:szCs w:val="24"/>
        </w:rPr>
      </w:pPr>
      <w:r w:rsidRPr="005B60B5">
        <w:rPr>
          <w:b/>
          <w:bCs/>
          <w:sz w:val="24"/>
          <w:szCs w:val="24"/>
          <w:u w:val="single"/>
        </w:rPr>
        <w:t>Procedural Posture</w:t>
      </w:r>
      <w:r w:rsidRPr="005B60B5">
        <w:rPr>
          <w:b/>
          <w:bCs/>
          <w:sz w:val="24"/>
          <w:szCs w:val="24"/>
        </w:rPr>
        <w:t xml:space="preserve"> </w:t>
      </w:r>
      <w:r w:rsidRPr="005B60B5">
        <w:rPr>
          <w:sz w:val="24"/>
          <w:szCs w:val="24"/>
        </w:rPr>
        <w:t>(see XX below)</w:t>
      </w:r>
    </w:p>
    <w:p w:rsidR="005B60B5" w:rsidRPr="005B60B5" w:rsidP="005B60B5">
      <w:pPr>
        <w:spacing w:after="0" w:line="240" w:lineRule="auto"/>
        <w:jc w:val="left"/>
        <w:rPr>
          <w:sz w:val="24"/>
          <w:szCs w:val="24"/>
        </w:rPr>
      </w:pPr>
      <w:r w:rsidRPr="005B60B5">
        <w:rPr>
          <w:b/>
          <w:bCs/>
          <w:sz w:val="24"/>
          <w:szCs w:val="24"/>
        </w:rPr>
        <w:t>Original Appeal</w:t>
      </w:r>
      <w:r w:rsidRPr="005B60B5">
        <w:rPr>
          <w:sz w:val="24"/>
          <w:szCs w:val="24"/>
        </w:rPr>
        <w:t xml:space="preserve"> </w:t>
      </w:r>
    </w:p>
    <w:p w:rsidR="005B60B5" w:rsidRPr="005B60B5" w:rsidP="005B60B5">
      <w:pPr>
        <w:spacing w:after="0" w:line="240" w:lineRule="auto"/>
        <w:jc w:val="left"/>
        <w:rPr>
          <w:b/>
          <w:bCs/>
          <w:sz w:val="24"/>
          <w:szCs w:val="24"/>
        </w:rPr>
      </w:pPr>
      <w:r w:rsidRPr="005B60B5">
        <w:rPr>
          <w:b/>
          <w:bCs/>
          <w:sz w:val="24"/>
          <w:szCs w:val="24"/>
        </w:rPr>
        <w:t>Original Proceeding</w:t>
      </w:r>
    </w:p>
    <w:p w:rsidR="005B60B5" w:rsidRPr="005B60B5" w:rsidP="005B60B5">
      <w:pPr>
        <w:spacing w:after="0" w:line="240" w:lineRule="auto"/>
        <w:jc w:val="left"/>
        <w:rPr>
          <w:sz w:val="24"/>
          <w:szCs w:val="24"/>
        </w:rPr>
      </w:pPr>
      <w:r w:rsidRPr="005B60B5">
        <w:rPr>
          <w:b/>
          <w:bCs/>
          <w:sz w:val="24"/>
          <w:szCs w:val="24"/>
        </w:rPr>
        <w:t>Review Granted</w:t>
      </w:r>
      <w:r w:rsidRPr="005B60B5">
        <w:rPr>
          <w:sz w:val="24"/>
          <w:szCs w:val="24"/>
        </w:rPr>
        <w:t xml:space="preserve"> </w:t>
      </w:r>
      <w:r w:rsidRPr="005B60B5">
        <w:rPr>
          <w:b/>
          <w:bCs/>
          <w:sz w:val="24"/>
          <w:szCs w:val="24"/>
        </w:rPr>
        <w:t xml:space="preserve">(published) </w:t>
      </w:r>
      <w:r w:rsidRPr="005B60B5">
        <w:rPr>
          <w:sz w:val="24"/>
          <w:szCs w:val="24"/>
        </w:rPr>
        <w:t>XX 60 Cal.App.5th 423</w:t>
      </w:r>
    </w:p>
    <w:p w:rsidR="005B60B5" w:rsidRPr="005B60B5" w:rsidP="005B60B5">
      <w:pPr>
        <w:spacing w:after="0" w:line="240" w:lineRule="auto"/>
        <w:jc w:val="left"/>
        <w:rPr>
          <w:sz w:val="24"/>
          <w:szCs w:val="24"/>
        </w:rPr>
      </w:pPr>
      <w:r w:rsidRPr="005B60B5">
        <w:rPr>
          <w:b/>
          <w:bCs/>
          <w:sz w:val="24"/>
          <w:szCs w:val="24"/>
        </w:rPr>
        <w:t xml:space="preserve">Review Granted (unpublished) </w:t>
      </w:r>
    </w:p>
    <w:p w:rsidR="005B60B5" w:rsidRPr="005B60B5" w:rsidP="005B60B5">
      <w:pPr>
        <w:spacing w:after="0" w:line="240" w:lineRule="auto"/>
        <w:jc w:val="left"/>
        <w:rPr>
          <w:b/>
          <w:bCs/>
          <w:sz w:val="24"/>
          <w:szCs w:val="24"/>
        </w:rPr>
      </w:pPr>
      <w:r w:rsidRPr="005B60B5">
        <w:rPr>
          <w:b/>
          <w:bCs/>
          <w:sz w:val="24"/>
          <w:szCs w:val="24"/>
        </w:rPr>
        <w:t>Rehearing Granted</w:t>
      </w:r>
    </w:p>
    <w:p w:rsidR="005B60B5" w:rsidRPr="005B60B5" w:rsidP="005B60B5">
      <w:pPr>
        <w:spacing w:after="0" w:line="240" w:lineRule="auto"/>
        <w:jc w:val="left"/>
        <w:rPr>
          <w:b/>
          <w:sz w:val="24"/>
          <w:szCs w:val="24"/>
        </w:rPr>
      </w:pPr>
      <w:r w:rsidRPr="005B60B5">
        <w:rPr>
          <w:b/>
          <w:sz w:val="24"/>
          <w:szCs w:val="24"/>
        </w:rPr>
        <w:t xml:space="preserve">__________________________________________________________ </w:t>
      </w:r>
    </w:p>
    <w:p w:rsidR="005B60B5" w:rsidRPr="005B60B5" w:rsidP="005B60B5">
      <w:pPr>
        <w:spacing w:after="0" w:line="240" w:lineRule="auto"/>
        <w:jc w:val="left"/>
        <w:rPr>
          <w:b/>
          <w:sz w:val="24"/>
          <w:szCs w:val="24"/>
        </w:rPr>
      </w:pPr>
    </w:p>
    <w:p w:rsidR="005B60B5" w:rsidRPr="005B60B5" w:rsidP="005B60B5">
      <w:pPr>
        <w:spacing w:after="0" w:line="240" w:lineRule="auto"/>
        <w:jc w:val="left"/>
        <w:rPr>
          <w:bCs/>
          <w:sz w:val="24"/>
          <w:szCs w:val="24"/>
        </w:rPr>
      </w:pPr>
      <w:r w:rsidRPr="005B60B5">
        <w:rPr>
          <w:b/>
          <w:sz w:val="24"/>
          <w:szCs w:val="24"/>
        </w:rPr>
        <w:t>Opinion No.</w:t>
      </w:r>
      <w:r w:rsidRPr="005B60B5">
        <w:rPr>
          <w:sz w:val="24"/>
          <w:szCs w:val="24"/>
        </w:rPr>
        <w:t xml:space="preserve"> S267453</w:t>
      </w:r>
    </w:p>
    <w:p w:rsidR="005B60B5" w:rsidRPr="005B60B5" w:rsidP="005B60B5">
      <w:pPr>
        <w:spacing w:after="0" w:line="240" w:lineRule="auto"/>
        <w:jc w:val="left"/>
        <w:rPr>
          <w:bCs/>
          <w:sz w:val="24"/>
          <w:szCs w:val="24"/>
        </w:rPr>
      </w:pPr>
      <w:r w:rsidRPr="005B60B5">
        <w:rPr>
          <w:b/>
          <w:sz w:val="24"/>
          <w:szCs w:val="24"/>
        </w:rPr>
        <w:t>Date Filed:</w:t>
      </w:r>
      <w:r w:rsidRPr="005B60B5">
        <w:rPr>
          <w:sz w:val="24"/>
          <w:szCs w:val="24"/>
        </w:rPr>
        <w:t xml:space="preserve">  April 27, 2023</w:t>
      </w:r>
    </w:p>
    <w:p w:rsidR="005B60B5" w:rsidRPr="005B60B5" w:rsidP="005B60B5">
      <w:pPr>
        <w:spacing w:after="0" w:line="240" w:lineRule="auto"/>
        <w:jc w:val="left"/>
        <w:rPr>
          <w:b/>
          <w:sz w:val="24"/>
          <w:szCs w:val="24"/>
        </w:rPr>
      </w:pPr>
      <w:r w:rsidRPr="005B60B5">
        <w:rPr>
          <w:b/>
          <w:sz w:val="24"/>
          <w:szCs w:val="24"/>
        </w:rPr>
        <w:t xml:space="preserve">__________________________________________________________ </w:t>
      </w:r>
    </w:p>
    <w:p w:rsidR="005B60B5" w:rsidRPr="005B60B5" w:rsidP="005B60B5">
      <w:pPr>
        <w:spacing w:after="0" w:line="240" w:lineRule="auto"/>
        <w:jc w:val="left"/>
        <w:rPr>
          <w:b/>
          <w:sz w:val="24"/>
          <w:szCs w:val="24"/>
        </w:rPr>
      </w:pPr>
    </w:p>
    <w:p w:rsidR="005B60B5" w:rsidRPr="005B60B5" w:rsidP="005B60B5">
      <w:pPr>
        <w:spacing w:after="0" w:line="240" w:lineRule="auto"/>
        <w:jc w:val="left"/>
        <w:rPr>
          <w:bCs/>
          <w:sz w:val="24"/>
          <w:szCs w:val="24"/>
        </w:rPr>
      </w:pPr>
      <w:r w:rsidRPr="005B60B5">
        <w:rPr>
          <w:b/>
          <w:sz w:val="24"/>
          <w:szCs w:val="24"/>
        </w:rPr>
        <w:t xml:space="preserve">Court:  </w:t>
      </w:r>
      <w:r w:rsidRPr="005B60B5">
        <w:rPr>
          <w:bCs/>
          <w:sz w:val="24"/>
          <w:szCs w:val="24"/>
        </w:rPr>
        <w:t>Superior</w:t>
      </w:r>
      <w:r w:rsidRPr="005B60B5">
        <w:rPr>
          <w:b/>
          <w:sz w:val="24"/>
          <w:szCs w:val="24"/>
        </w:rPr>
        <w:t xml:space="preserve"> </w:t>
      </w:r>
    </w:p>
    <w:p w:rsidR="005B60B5" w:rsidRPr="005B60B5" w:rsidP="005B60B5">
      <w:pPr>
        <w:spacing w:after="0" w:line="240" w:lineRule="auto"/>
        <w:jc w:val="left"/>
        <w:rPr>
          <w:bCs/>
          <w:sz w:val="24"/>
          <w:szCs w:val="24"/>
        </w:rPr>
      </w:pPr>
      <w:r w:rsidRPr="005B60B5">
        <w:rPr>
          <w:b/>
          <w:sz w:val="24"/>
          <w:szCs w:val="24"/>
        </w:rPr>
        <w:t xml:space="preserve">County:  </w:t>
      </w:r>
      <w:r w:rsidRPr="005B60B5">
        <w:rPr>
          <w:bCs/>
          <w:sz w:val="24"/>
          <w:szCs w:val="24"/>
        </w:rPr>
        <w:t>Los Angeles</w:t>
      </w:r>
    </w:p>
    <w:p w:rsidR="005B60B5" w:rsidRPr="005B60B5" w:rsidP="005B60B5">
      <w:pPr>
        <w:spacing w:after="0" w:line="240" w:lineRule="auto"/>
        <w:ind w:left="720" w:hanging="720"/>
        <w:jc w:val="left"/>
        <w:rPr>
          <w:bCs/>
          <w:sz w:val="24"/>
          <w:szCs w:val="24"/>
        </w:rPr>
      </w:pPr>
      <w:r w:rsidRPr="005B60B5">
        <w:rPr>
          <w:b/>
          <w:sz w:val="24"/>
          <w:szCs w:val="24"/>
        </w:rPr>
        <w:t xml:space="preserve">Judge: </w:t>
      </w:r>
      <w:r w:rsidRPr="005B60B5">
        <w:rPr>
          <w:bCs/>
          <w:sz w:val="24"/>
          <w:szCs w:val="24"/>
        </w:rPr>
        <w:t xml:space="preserve"> Robert Broadbelt III</w:t>
      </w:r>
    </w:p>
    <w:p w:rsidR="005B60B5" w:rsidRPr="005B60B5" w:rsidP="005B60B5">
      <w:pPr>
        <w:spacing w:after="0" w:line="240" w:lineRule="auto"/>
        <w:jc w:val="left"/>
        <w:rPr>
          <w:b/>
          <w:sz w:val="24"/>
          <w:szCs w:val="24"/>
        </w:rPr>
      </w:pPr>
      <w:r w:rsidRPr="005B60B5">
        <w:rPr>
          <w:b/>
          <w:sz w:val="24"/>
          <w:szCs w:val="24"/>
        </w:rPr>
        <w:t xml:space="preserve">__________________________________________________________  </w:t>
      </w:r>
    </w:p>
    <w:p w:rsidR="005B60B5" w:rsidRPr="005B60B5" w:rsidP="005B60B5">
      <w:pPr>
        <w:spacing w:after="0" w:line="240" w:lineRule="auto"/>
        <w:jc w:val="left"/>
        <w:rPr>
          <w:b/>
          <w:sz w:val="24"/>
          <w:szCs w:val="24"/>
        </w:rPr>
      </w:pPr>
    </w:p>
    <w:p w:rsidR="005B60B5" w:rsidRPr="005B60B5" w:rsidP="005B60B5">
      <w:pPr>
        <w:spacing w:after="0" w:line="240" w:lineRule="auto"/>
        <w:jc w:val="left"/>
        <w:rPr>
          <w:b/>
          <w:sz w:val="24"/>
          <w:szCs w:val="24"/>
        </w:rPr>
      </w:pPr>
      <w:r w:rsidRPr="005B60B5">
        <w:rPr>
          <w:b/>
          <w:sz w:val="24"/>
          <w:szCs w:val="24"/>
        </w:rPr>
        <w:t>Counsel:</w:t>
      </w:r>
    </w:p>
    <w:p w:rsidR="005B60B5" w:rsidRPr="005B60B5" w:rsidP="005B60B5">
      <w:pPr>
        <w:spacing w:after="0" w:line="240" w:lineRule="auto"/>
        <w:jc w:val="left"/>
        <w:rPr>
          <w:b/>
          <w:sz w:val="24"/>
          <w:szCs w:val="24"/>
        </w:rPr>
      </w:pPr>
    </w:p>
    <w:p w:rsidR="005B60B5" w:rsidRPr="005B60B5" w:rsidP="005B60B5">
      <w:pPr>
        <w:spacing w:after="0" w:line="240" w:lineRule="auto"/>
        <w:jc w:val="left"/>
        <w:rPr>
          <w:bCs/>
          <w:sz w:val="24"/>
          <w:szCs w:val="24"/>
        </w:rPr>
      </w:pPr>
      <w:r w:rsidRPr="005B60B5">
        <w:rPr>
          <w:bCs/>
          <w:sz w:val="24"/>
          <w:szCs w:val="24"/>
        </w:rPr>
        <w:t>Mardirossian &amp; Associates; Mardirossian Akaragian, Garo Mardirossian, Armen Akaragian, Adam Feit; The Linde Law Firm, Douglas A. Linde, Erica A. Gonzales; Esner, Chang &amp; Boyer, Holly N. Boyer, Shea S. Murphy; Ehrlich Law Firm and Jeffrey I. Ehrlich for Plaintiff and Appellant.</w:t>
      </w:r>
    </w:p>
    <w:p w:rsidR="005B60B5" w:rsidRPr="005B60B5" w:rsidP="005B60B5">
      <w:pPr>
        <w:spacing w:after="0" w:line="240" w:lineRule="auto"/>
        <w:jc w:val="left"/>
        <w:rPr>
          <w:bCs/>
          <w:sz w:val="24"/>
          <w:szCs w:val="24"/>
        </w:rPr>
      </w:pPr>
    </w:p>
    <w:p w:rsidR="005B60B5" w:rsidRPr="005B60B5" w:rsidP="005B60B5">
      <w:pPr>
        <w:spacing w:after="0" w:line="240" w:lineRule="auto"/>
        <w:jc w:val="left"/>
        <w:rPr>
          <w:bCs/>
          <w:sz w:val="24"/>
          <w:szCs w:val="24"/>
        </w:rPr>
      </w:pPr>
      <w:r w:rsidRPr="005B60B5">
        <w:rPr>
          <w:bCs/>
          <w:sz w:val="24"/>
          <w:szCs w:val="24"/>
        </w:rPr>
        <w:t>Singleton Schreiber McKenzie &amp; Scott and Benjamin I. Siminou for Consumer Attorneys of California as Amicus Curiae on behalf of Plaintiff and Appellant.</w:t>
      </w:r>
    </w:p>
    <w:p w:rsidR="005B60B5" w:rsidRPr="005B60B5" w:rsidP="005B60B5">
      <w:pPr>
        <w:spacing w:after="0" w:line="240" w:lineRule="auto"/>
        <w:jc w:val="left"/>
        <w:rPr>
          <w:bCs/>
          <w:sz w:val="24"/>
          <w:szCs w:val="24"/>
        </w:rPr>
      </w:pPr>
    </w:p>
    <w:p w:rsidR="005B60B5" w:rsidRPr="005B60B5" w:rsidP="005B60B5">
      <w:pPr>
        <w:spacing w:after="0" w:line="240" w:lineRule="auto"/>
        <w:jc w:val="left"/>
        <w:rPr>
          <w:bCs/>
          <w:sz w:val="24"/>
          <w:szCs w:val="24"/>
        </w:rPr>
      </w:pPr>
      <w:r w:rsidRPr="005B60B5">
        <w:rPr>
          <w:bCs/>
          <w:sz w:val="24"/>
          <w:szCs w:val="24"/>
        </w:rPr>
        <w:t>Wesierski &amp; Zurek, Frank J. D'Oro, David M. Ferrante-Alan; Pollak, Vida &amp; Barer, Daniel P. Barer and Anna L. Birenbaum for Defendant and Respondent.</w:t>
      </w:r>
    </w:p>
    <w:p w:rsidR="005B60B5" w:rsidRPr="005B60B5" w:rsidP="005B60B5">
      <w:pPr>
        <w:spacing w:after="0" w:line="240" w:lineRule="auto"/>
        <w:jc w:val="left"/>
        <w:rPr>
          <w:bCs/>
          <w:sz w:val="24"/>
          <w:szCs w:val="24"/>
        </w:rPr>
      </w:pPr>
    </w:p>
    <w:p w:rsidR="005B60B5" w:rsidRPr="005B60B5" w:rsidP="005B60B5">
      <w:pPr>
        <w:spacing w:after="0" w:line="240" w:lineRule="auto"/>
        <w:jc w:val="left"/>
        <w:rPr>
          <w:bCs/>
          <w:sz w:val="24"/>
          <w:szCs w:val="24"/>
        </w:rPr>
      </w:pPr>
      <w:r w:rsidRPr="005B60B5">
        <w:rPr>
          <w:bCs/>
          <w:sz w:val="24"/>
          <w:szCs w:val="24"/>
        </w:rPr>
        <w:t>Hanson Bridgett, Alexandra V. Atencio, Adam W. Hofmann and David C. Casarrubias for League of California Cities, California State Association of Counties, California Special Districts Association, California Association of Joint Powers Authorities and Independent Cities Risk Management Authority as Amici Curiae on behalf of Defendant and Respondent.</w:t>
      </w:r>
    </w:p>
    <w:p w:rsidR="005B60B5" w:rsidRPr="005B60B5" w:rsidP="005B60B5">
      <w:pPr>
        <w:spacing w:after="0" w:line="240" w:lineRule="auto"/>
        <w:jc w:val="left"/>
        <w:rPr>
          <w:bCs/>
          <w:sz w:val="24"/>
          <w:szCs w:val="24"/>
        </w:rPr>
      </w:pPr>
    </w:p>
    <w:p w:rsidR="005B60B5" w:rsidRPr="005B60B5" w:rsidP="005B60B5">
      <w:pPr>
        <w:spacing w:after="0" w:line="240" w:lineRule="auto"/>
        <w:jc w:val="left"/>
        <w:rPr>
          <w:bCs/>
          <w:sz w:val="24"/>
          <w:szCs w:val="24"/>
        </w:rPr>
      </w:pPr>
      <w:r w:rsidRPr="005B60B5">
        <w:rPr>
          <w:bCs/>
          <w:sz w:val="24"/>
          <w:szCs w:val="24"/>
        </w:rPr>
        <w:t>Erin E. Hollbrook, Alan M. Steinberg, Joann Georgallis, Judith A. Carlson and Brandon S. Walker for California Department of Transportation as Amicus Curiae on behalf of Defendant and Respondent.</w:t>
      </w:r>
      <w:r w:rsidRPr="005B60B5">
        <w:rPr>
          <w:color w:val="212121"/>
          <w:sz w:val="24"/>
          <w:szCs w:val="24"/>
          <w:shd w:val="clear" w:color="auto" w:fill="FFFFFF"/>
        </w:rPr>
        <w:br w:type="page"/>
      </w:r>
      <w:r w:rsidRPr="005B60B5">
        <w:rPr>
          <w:b/>
          <w:sz w:val="24"/>
          <w:szCs w:val="24"/>
        </w:rPr>
        <w:t>Counsel who argued in Supreme Court (not intended for publication with opinion):</w:t>
      </w:r>
    </w:p>
    <w:p w:rsidR="005B60B5" w:rsidRPr="005B60B5" w:rsidP="005B60B5">
      <w:pPr>
        <w:spacing w:after="0" w:line="240" w:lineRule="auto"/>
        <w:jc w:val="left"/>
        <w:rPr>
          <w:sz w:val="24"/>
          <w:szCs w:val="24"/>
        </w:rPr>
      </w:pPr>
    </w:p>
    <w:p w:rsidR="005B60B5" w:rsidRPr="005B60B5" w:rsidP="005B60B5">
      <w:pPr>
        <w:spacing w:after="0" w:line="240" w:lineRule="auto"/>
        <w:jc w:val="left"/>
        <w:rPr>
          <w:sz w:val="24"/>
          <w:szCs w:val="24"/>
        </w:rPr>
      </w:pPr>
      <w:r w:rsidRPr="005B60B5">
        <w:rPr>
          <w:sz w:val="24"/>
          <w:szCs w:val="24"/>
        </w:rPr>
        <w:t>Jeffrey I. Ehrlich</w:t>
      </w:r>
    </w:p>
    <w:p w:rsidR="005B60B5" w:rsidRPr="005B60B5" w:rsidP="005B60B5">
      <w:pPr>
        <w:spacing w:after="0" w:line="240" w:lineRule="auto"/>
        <w:jc w:val="left"/>
        <w:rPr>
          <w:sz w:val="24"/>
          <w:szCs w:val="24"/>
        </w:rPr>
      </w:pPr>
      <w:r w:rsidRPr="005B60B5">
        <w:rPr>
          <w:sz w:val="24"/>
          <w:szCs w:val="24"/>
        </w:rPr>
        <w:t>Ehrlich Law Firm</w:t>
      </w:r>
    </w:p>
    <w:p w:rsidR="005B60B5" w:rsidRPr="005B60B5" w:rsidP="005B60B5">
      <w:pPr>
        <w:spacing w:after="0" w:line="240" w:lineRule="auto"/>
        <w:jc w:val="left"/>
        <w:rPr>
          <w:sz w:val="24"/>
          <w:szCs w:val="24"/>
        </w:rPr>
      </w:pPr>
      <w:r w:rsidRPr="005B60B5">
        <w:rPr>
          <w:sz w:val="24"/>
          <w:szCs w:val="24"/>
        </w:rPr>
        <w:t>237 West Fourth Street, Second Floor</w:t>
      </w:r>
    </w:p>
    <w:p w:rsidR="005B60B5" w:rsidRPr="005B60B5" w:rsidP="005B60B5">
      <w:pPr>
        <w:spacing w:after="0" w:line="240" w:lineRule="auto"/>
        <w:jc w:val="left"/>
        <w:rPr>
          <w:sz w:val="24"/>
          <w:szCs w:val="24"/>
        </w:rPr>
      </w:pPr>
      <w:r w:rsidRPr="005B60B5">
        <w:rPr>
          <w:sz w:val="24"/>
          <w:szCs w:val="24"/>
        </w:rPr>
        <w:t>Claremont, CA 91711</w:t>
      </w:r>
    </w:p>
    <w:p w:rsidR="005B60B5" w:rsidRPr="005B60B5" w:rsidP="005B60B5">
      <w:pPr>
        <w:spacing w:after="0" w:line="240" w:lineRule="auto"/>
        <w:jc w:val="left"/>
        <w:rPr>
          <w:sz w:val="24"/>
          <w:szCs w:val="24"/>
        </w:rPr>
      </w:pPr>
      <w:r w:rsidRPr="005B60B5">
        <w:rPr>
          <w:sz w:val="24"/>
          <w:szCs w:val="24"/>
        </w:rPr>
        <w:t>(909) 625-5565</w:t>
      </w:r>
    </w:p>
    <w:p w:rsidR="005B60B5" w:rsidRPr="005B60B5" w:rsidP="005B60B5">
      <w:pPr>
        <w:spacing w:after="0" w:line="240" w:lineRule="auto"/>
        <w:jc w:val="left"/>
        <w:rPr>
          <w:sz w:val="24"/>
          <w:szCs w:val="24"/>
        </w:rPr>
      </w:pPr>
    </w:p>
    <w:p w:rsidR="005B60B5" w:rsidRPr="005B60B5" w:rsidP="005B60B5">
      <w:pPr>
        <w:spacing w:after="0" w:line="240" w:lineRule="auto"/>
        <w:jc w:val="left"/>
        <w:rPr>
          <w:sz w:val="24"/>
          <w:szCs w:val="24"/>
        </w:rPr>
      </w:pPr>
      <w:r w:rsidRPr="005B60B5">
        <w:rPr>
          <w:sz w:val="24"/>
          <w:szCs w:val="24"/>
        </w:rPr>
        <w:t>Daniel P. Barer</w:t>
      </w:r>
    </w:p>
    <w:p w:rsidR="005B60B5" w:rsidRPr="005B60B5" w:rsidP="005B60B5">
      <w:pPr>
        <w:spacing w:after="0" w:line="240" w:lineRule="auto"/>
        <w:jc w:val="left"/>
        <w:rPr>
          <w:sz w:val="24"/>
          <w:szCs w:val="24"/>
        </w:rPr>
      </w:pPr>
      <w:r w:rsidRPr="005B60B5">
        <w:rPr>
          <w:sz w:val="24"/>
          <w:szCs w:val="24"/>
        </w:rPr>
        <w:t>Pollak, Vida &amp; Barer</w:t>
      </w:r>
    </w:p>
    <w:p w:rsidR="005B60B5" w:rsidRPr="005B60B5" w:rsidP="005B60B5">
      <w:pPr>
        <w:spacing w:after="0" w:line="240" w:lineRule="auto"/>
        <w:jc w:val="left"/>
        <w:rPr>
          <w:sz w:val="24"/>
          <w:szCs w:val="24"/>
        </w:rPr>
      </w:pPr>
      <w:r w:rsidRPr="005B60B5">
        <w:rPr>
          <w:sz w:val="24"/>
          <w:szCs w:val="24"/>
        </w:rPr>
        <w:t>11500 West Olympic Boulevard, Suite 400</w:t>
      </w:r>
    </w:p>
    <w:p w:rsidR="005B60B5" w:rsidRPr="005B60B5" w:rsidP="005B60B5">
      <w:pPr>
        <w:spacing w:after="0" w:line="240" w:lineRule="auto"/>
        <w:jc w:val="left"/>
        <w:rPr>
          <w:sz w:val="24"/>
          <w:szCs w:val="24"/>
        </w:rPr>
      </w:pPr>
      <w:r w:rsidRPr="005B60B5">
        <w:rPr>
          <w:sz w:val="24"/>
          <w:szCs w:val="24"/>
        </w:rPr>
        <w:t>Los Angeles, CA 90064</w:t>
      </w:r>
    </w:p>
    <w:p w:rsidR="005B60B5" w:rsidRPr="005B60B5" w:rsidP="005B60B5">
      <w:pPr>
        <w:spacing w:after="0" w:line="240" w:lineRule="auto"/>
        <w:jc w:val="left"/>
        <w:rPr>
          <w:sz w:val="24"/>
          <w:szCs w:val="24"/>
        </w:rPr>
      </w:pPr>
      <w:r w:rsidRPr="005B60B5">
        <w:rPr>
          <w:sz w:val="24"/>
          <w:szCs w:val="24"/>
        </w:rPr>
        <w:t>(310) 551-3400</w:t>
      </w:r>
    </w:p>
    <w:p w:rsidR="007F095F" w:rsidP="00E1286D">
      <w:pPr>
        <w:tabs>
          <w:tab w:val="left" w:pos="1440"/>
        </w:tabs>
        <w:rPr>
          <w:b/>
          <w:bCs/>
        </w:rPr>
      </w:pPr>
    </w:p>
    <w:sectPr w:rsidSect="00EC2BB8">
      <w:headerReference w:type="even" r:id="rId12"/>
      <w:headerReference w:type="default" r:id="rId13"/>
      <w:footerReference w:type="even" r:id="rId14"/>
      <w:footerReference w:type="default" r:id="rId15"/>
      <w:headerReference w:type="first" r:id="rId16"/>
      <w:footerReference w:type="first" r:id="rId17"/>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13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2E3C">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139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0A96">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4DB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4DB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4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362E4">
      <w:r>
        <w:separator/>
      </w:r>
    </w:p>
  </w:footnote>
  <w:footnote w:type="continuationSeparator" w:id="1">
    <w:p w:rsidR="00B362E4">
      <w:pPr>
        <w:rPr>
          <w:sz w:val="22"/>
        </w:rPr>
      </w:pPr>
      <w:r>
        <w:continuationSeparator/>
      </w:r>
    </w:p>
  </w:footnote>
  <w:footnote w:type="continuationNotice" w:id="2">
    <w:p w:rsidR="00B362E4">
      <w:pPr>
        <w:jc w:val="right"/>
        <w:rPr>
          <w:i/>
          <w:sz w:val="20"/>
        </w:rPr>
      </w:pPr>
    </w:p>
  </w:footnote>
  <w:footnote w:id="3">
    <w:p w:rsidR="00495848">
      <w:pPr>
        <w:pStyle w:val="FootnoteText"/>
      </w:pPr>
      <w:r>
        <w:rPr>
          <w:rStyle w:val="FootnoteReference"/>
        </w:rPr>
        <w:footnoteRef/>
      </w:r>
      <w:r>
        <w:tab/>
        <w:t>Unless otherwise noted, all further statutory citations are to the Government Code.</w:t>
      </w:r>
    </w:p>
  </w:footnote>
  <w:footnote w:id="4">
    <w:p w:rsidR="00D3078E" w:rsidP="00B52CAC">
      <w:pPr>
        <w:pStyle w:val="FootnoteText"/>
      </w:pPr>
      <w:r>
        <w:rPr>
          <w:rStyle w:val="FootnoteReference"/>
        </w:rPr>
        <w:footnoteRef/>
      </w:r>
      <w:r>
        <w:t xml:space="preserve"> </w:t>
      </w:r>
      <w:r>
        <w:tab/>
      </w:r>
      <w:r w:rsidR="0052625E">
        <w:t>W</w:t>
      </w:r>
      <w:r>
        <w:t xml:space="preserve">e have no occasion to consider, and express no opinion on, </w:t>
      </w:r>
      <w:r w:rsidR="00625D58">
        <w:t xml:space="preserve">several </w:t>
      </w:r>
      <w:r>
        <w:t xml:space="preserve">additional arguments the </w:t>
      </w:r>
      <w:r>
        <w:t>City</w:t>
      </w:r>
      <w:r>
        <w:t xml:space="preserve"> raised </w:t>
      </w:r>
      <w:r w:rsidR="00BF0C07">
        <w:t xml:space="preserve">in its motion for summary judgment </w:t>
      </w:r>
      <w:r w:rsidR="00B658F4">
        <w:t>that are unrelated to design immunity</w:t>
      </w:r>
      <w:r w:rsidR="00C1138C">
        <w:t xml:space="preserve">.  </w:t>
      </w:r>
      <w:r w:rsidR="00B658F4">
        <w:t>Those additional arguments include, among other things, that the discontinuation of the bike lane d</w:t>
      </w:r>
      <w:r w:rsidR="00625D58">
        <w:t>oes</w:t>
      </w:r>
      <w:r w:rsidR="00B658F4">
        <w:t xml:space="preserve"> not qualify as</w:t>
      </w:r>
      <w:r w:rsidR="00625D58">
        <w:t xml:space="preserve"> either</w:t>
      </w:r>
      <w:r w:rsidR="003A3203">
        <w:t xml:space="preserve"> </w:t>
      </w:r>
      <w:r w:rsidR="00B658F4">
        <w:t xml:space="preserve">a </w:t>
      </w:r>
      <w:r w:rsidR="00BF0C07">
        <w:t>“</w:t>
      </w:r>
      <w:r w:rsidR="00632397">
        <w:t> ‘[</w:t>
      </w:r>
      <w:r w:rsidR="00B658F4">
        <w:t>d</w:t>
      </w:r>
      <w:r w:rsidR="00632397">
        <w:t>]</w:t>
      </w:r>
      <w:r w:rsidR="00B658F4">
        <w:t>angerous condition</w:t>
      </w:r>
      <w:r w:rsidR="00632397">
        <w:t>’ </w:t>
      </w:r>
      <w:r w:rsidR="00BF0C07">
        <w:t>”</w:t>
      </w:r>
      <w:r w:rsidR="003A3203">
        <w:t xml:space="preserve"> </w:t>
      </w:r>
      <w:r w:rsidR="00BF0C07">
        <w:t>(§ 830, subd. (a))</w:t>
      </w:r>
      <w:r w:rsidR="00B658F4">
        <w:t xml:space="preserve"> or a concealed trap</w:t>
      </w:r>
      <w:r w:rsidR="003A3203">
        <w:t xml:space="preserve"> (see §</w:t>
      </w:r>
      <w:r w:rsidR="00A36BFB">
        <w:t> </w:t>
      </w:r>
      <w:r w:rsidR="003A3203">
        <w:t>830.8)</w:t>
      </w:r>
      <w:r w:rsidR="00B658F4">
        <w:t xml:space="preserve">, </w:t>
      </w:r>
      <w:r w:rsidR="00E355D3">
        <w:t>and that</w:t>
      </w:r>
      <w:r w:rsidR="0039697B">
        <w:t xml:space="preserve"> </w:t>
      </w:r>
      <w:r w:rsidR="00625D58">
        <w:t xml:space="preserve">Hawthorne Boulevard contains </w:t>
      </w:r>
      <w:r w:rsidR="0039697B">
        <w:t xml:space="preserve">adequate signage </w:t>
      </w:r>
      <w:r w:rsidR="00BF0C07">
        <w:t>to protect against any possible danger</w:t>
      </w:r>
      <w:r w:rsidR="00B658F4">
        <w:t>.</w:t>
      </w:r>
    </w:p>
  </w:footnote>
  <w:footnote w:id="5">
    <w:p w:rsidR="0073279B" w:rsidP="00DA0A96">
      <w:pPr>
        <w:pStyle w:val="FootnoteText"/>
      </w:pPr>
      <w:r>
        <w:rPr>
          <w:rStyle w:val="FootnoteReference"/>
        </w:rPr>
        <w:footnoteRef/>
      </w:r>
      <w:r>
        <w:t xml:space="preserve"> </w:t>
      </w:r>
      <w:r>
        <w:tab/>
        <w:t>As the Court of Appeal noted, at this stage of the proceedings “[i]t is unclear precisely what kind of warning [Tansavatdi] claims the city should have provided.”  (</w:t>
      </w:r>
      <w:r w:rsidRPr="00016D36">
        <w:rPr>
          <w:i/>
          <w:iCs/>
        </w:rPr>
        <w:t>Tansavatdi, supra</w:t>
      </w:r>
      <w:r>
        <w:t>, 60 Cal.App.5th at p.</w:t>
      </w:r>
      <w:r w:rsidR="00530285">
        <w:t> </w:t>
      </w:r>
      <w:r>
        <w:t xml:space="preserve">441, fn. 17).  Tansavatdi has consistently </w:t>
      </w:r>
      <w:r w:rsidR="00530285">
        <w:t xml:space="preserve">taken the position, </w:t>
      </w:r>
      <w:r>
        <w:t>however, that the warning she claims was necessary would fall within section 830.8 as a type of “</w:t>
      </w:r>
      <w:r w:rsidRPr="00016D36">
        <w:t>traffic or warning signal</w:t>
      </w:r>
      <w:r>
        <w:t>[]</w:t>
      </w:r>
      <w:r w:rsidR="00353D1A">
        <w:t xml:space="preserve"> </w:t>
      </w:r>
      <w:r>
        <w:t>. . .</w:t>
      </w:r>
      <w:r w:rsidR="00353D1A">
        <w:t xml:space="preserve"> </w:t>
      </w:r>
      <w:r w:rsidRPr="00016D36">
        <w:t>described in the Vehicle Code</w:t>
      </w:r>
      <w:r w:rsidR="00530285">
        <w:t>.</w:t>
      </w:r>
      <w:r>
        <w:t>”  (§ 830.8.)  Because both parties have proceeded under the assumption that any possible warning regarding the bike lane would fall within section 830.8, we do the same.</w:t>
      </w:r>
      <w:r w:rsidRPr="0063372D">
        <w:t xml:space="preserve"> </w:t>
      </w:r>
      <w:r>
        <w:t xml:space="preserve"> We express no opinion regarding the breadth of section 830.8 or how design immunity might affect failure to warn claims that do not involve </w:t>
      </w:r>
      <w:r w:rsidR="00381CAC">
        <w:t>a traffic</w:t>
      </w:r>
      <w:r>
        <w:t xml:space="preserve"> condition.</w:t>
      </w:r>
    </w:p>
  </w:footnote>
  <w:footnote w:id="6">
    <w:p w:rsidR="00720AC4" w:rsidP="00720AC4">
      <w:pPr>
        <w:pStyle w:val="FootnoteText"/>
      </w:pPr>
      <w:r>
        <w:rPr>
          <w:rStyle w:val="FootnoteReference"/>
        </w:rPr>
        <w:footnoteRef/>
      </w:r>
      <w:r>
        <w:t xml:space="preserve">  </w:t>
      </w:r>
      <w:r>
        <w:tab/>
        <w:t xml:space="preserve">We likewise disapprove language in </w:t>
      </w:r>
      <w:r w:rsidRPr="00327AF9" w:rsidR="00327AF9">
        <w:rPr>
          <w:i/>
          <w:iCs/>
        </w:rPr>
        <w:t>Compton v. City of Santee</w:t>
      </w:r>
      <w:r w:rsidR="00327AF9">
        <w:t xml:space="preserve"> (1993) 12</w:t>
      </w:r>
      <w:r w:rsidR="00D34FD5">
        <w:t> </w:t>
      </w:r>
      <w:r w:rsidR="00327AF9">
        <w:t>Cal.App.4th 591</w:t>
      </w:r>
      <w:r w:rsidRPr="00720AC4">
        <w:t>,</w:t>
      </w:r>
      <w:r>
        <w:t xml:space="preserve"> </w:t>
      </w:r>
      <w:r w:rsidR="009B68AC">
        <w:t>suggesting that d</w:t>
      </w:r>
      <w:r>
        <w:t>esign immunity categorically precludes claims alleging failure to warn of a danger</w:t>
      </w:r>
      <w:r w:rsidR="0002211A">
        <w:t>ous traffic condition</w:t>
      </w:r>
      <w:r>
        <w:t xml:space="preserve"> created by the immunized design.  (See</w:t>
      </w:r>
      <w:r w:rsidR="009B68AC">
        <w:t xml:space="preserve"> </w:t>
      </w:r>
      <w:r w:rsidRPr="009B68AC" w:rsidR="009B68AC">
        <w:rPr>
          <w:i/>
          <w:iCs/>
        </w:rPr>
        <w:t>id</w:t>
      </w:r>
      <w:r w:rsidR="009B68AC">
        <w:t>.</w:t>
      </w:r>
      <w:r>
        <w:t xml:space="preserve"> at p.</w:t>
      </w:r>
      <w:r w:rsidR="00D34FD5">
        <w:t> </w:t>
      </w:r>
      <w:r>
        <w:t>600</w:t>
      </w:r>
      <w:r w:rsidR="0030093D">
        <w:t xml:space="preserve">.)  Although decided </w:t>
      </w:r>
      <w:r w:rsidR="009B68AC">
        <w:t xml:space="preserve">many </w:t>
      </w:r>
      <w:r w:rsidR="0030093D">
        <w:t>years after</w:t>
      </w:r>
      <w:r w:rsidR="007E046C">
        <w:t xml:space="preserve"> </w:t>
      </w:r>
      <w:r w:rsidRPr="00A54D51" w:rsidR="0030093D">
        <w:rPr>
          <w:i/>
          <w:iCs/>
        </w:rPr>
        <w:t>Cameron</w:t>
      </w:r>
      <w:r w:rsidR="0030093D">
        <w:t xml:space="preserve">, </w:t>
      </w:r>
      <w:r w:rsidR="00A54D51">
        <w:t xml:space="preserve">the </w:t>
      </w:r>
      <w:r w:rsidR="00EA7B98">
        <w:rPr>
          <w:i/>
          <w:iCs/>
        </w:rPr>
        <w:t>Compton</w:t>
      </w:r>
      <w:r w:rsidR="00A54D51">
        <w:t xml:space="preserve"> court</w:t>
      </w:r>
      <w:r w:rsidR="0030093D">
        <w:t xml:space="preserve"> fail</w:t>
      </w:r>
      <w:r w:rsidR="00A54D51">
        <w:t>ed</w:t>
      </w:r>
      <w:r w:rsidR="0030093D">
        <w:t xml:space="preserve"> to address our holding in any way.</w:t>
      </w:r>
    </w:p>
  </w:footnote>
  <w:footnote w:id="7">
    <w:p w:rsidR="00FD327C" w:rsidP="00314C50">
      <w:pPr>
        <w:pStyle w:val="FootnoteText"/>
      </w:pPr>
      <w:r>
        <w:rPr>
          <w:rStyle w:val="FootnoteReference"/>
        </w:rPr>
        <w:footnoteRef/>
      </w:r>
      <w:r>
        <w:t xml:space="preserve"> </w:t>
      </w:r>
      <w:r>
        <w:tab/>
        <w:t xml:space="preserve">The City </w:t>
      </w:r>
      <w:r w:rsidR="00642836">
        <w:t xml:space="preserve">argues </w:t>
      </w:r>
      <w:r w:rsidR="00C43210">
        <w:t xml:space="preserve">the reasoning of </w:t>
      </w:r>
      <w:r w:rsidRPr="00C43210" w:rsidR="00C43210">
        <w:rPr>
          <w:i/>
          <w:iCs/>
        </w:rPr>
        <w:t>Cameron</w:t>
      </w:r>
      <w:r w:rsidR="00C43210">
        <w:t xml:space="preserve"> and </w:t>
      </w:r>
      <w:r w:rsidRPr="00C43210" w:rsidR="00C43210">
        <w:rPr>
          <w:i/>
          <w:iCs/>
        </w:rPr>
        <w:t>Flournoy</w:t>
      </w:r>
      <w:r w:rsidR="00C43210">
        <w:t xml:space="preserve"> are flawed because they incorporate “common law negligence </w:t>
      </w:r>
      <w:r w:rsidR="00AB2907">
        <w:t>concepts</w:t>
      </w:r>
      <w:r w:rsidR="00C43210">
        <w:t>”</w:t>
      </w:r>
      <w:r w:rsidR="00327AF9">
        <w:t> </w:t>
      </w:r>
      <w:r w:rsidR="00C43210">
        <w:t>— namely active versus passive negligence</w:t>
      </w:r>
      <w:r w:rsidR="006B4378">
        <w:t> </w:t>
      </w:r>
      <w:r w:rsidR="00C43210">
        <w:t>— when interpreting public entity liability for dangerous conditions.</w:t>
      </w:r>
      <w:r w:rsidR="00AB2907">
        <w:t xml:space="preserve"> </w:t>
      </w:r>
      <w:r w:rsidR="00C43210">
        <w:t xml:space="preserve"> The City contends </w:t>
      </w:r>
      <w:r w:rsidR="002648BF">
        <w:t xml:space="preserve">this analysis conflicts </w:t>
      </w:r>
      <w:r w:rsidR="00A86FF2">
        <w:t xml:space="preserve">with subsequent </w:t>
      </w:r>
      <w:r w:rsidR="002648BF">
        <w:t>c</w:t>
      </w:r>
      <w:r w:rsidR="0004541E">
        <w:t>ase law</w:t>
      </w:r>
      <w:r w:rsidR="002648BF">
        <w:t xml:space="preserve"> </w:t>
      </w:r>
      <w:r w:rsidR="00A86FF2">
        <w:t xml:space="preserve">clarifying </w:t>
      </w:r>
      <w:r w:rsidR="002648BF">
        <w:t>that</w:t>
      </w:r>
      <w:r w:rsidR="00C43210">
        <w:t xml:space="preserve"> “public entity liability for dangerous property conditions must be based on Government Code section 835, rather than common law negligence.” </w:t>
      </w:r>
      <w:r w:rsidR="00F34379">
        <w:t xml:space="preserve"> </w:t>
      </w:r>
      <w:r w:rsidR="00AB2907">
        <w:t>Th</w:t>
      </w:r>
      <w:r w:rsidR="002648BF">
        <w:t xml:space="preserve">e City’s </w:t>
      </w:r>
      <w:r w:rsidR="00AB2907">
        <w:t xml:space="preserve">argument, however, </w:t>
      </w:r>
      <w:r w:rsidR="00F34379">
        <w:t xml:space="preserve">overlooks that </w:t>
      </w:r>
      <w:r w:rsidRPr="00FD327C" w:rsidR="00F34379">
        <w:rPr>
          <w:i/>
          <w:iCs/>
        </w:rPr>
        <w:t>Cameron</w:t>
      </w:r>
      <w:r w:rsidR="00F34379">
        <w:t xml:space="preserve"> and </w:t>
      </w:r>
      <w:r w:rsidRPr="00FD327C" w:rsidR="00F34379">
        <w:rPr>
          <w:i/>
          <w:iCs/>
        </w:rPr>
        <w:t>F</w:t>
      </w:r>
      <w:r w:rsidRPr="00FD327C" w:rsidR="00C43210">
        <w:rPr>
          <w:i/>
          <w:iCs/>
        </w:rPr>
        <w:t>lournoy</w:t>
      </w:r>
      <w:r w:rsidRPr="000D4248" w:rsidR="002648BF">
        <w:t>’s</w:t>
      </w:r>
      <w:r w:rsidR="00C43210">
        <w:t xml:space="preserve"> </w:t>
      </w:r>
      <w:r w:rsidR="00F34379">
        <w:t>discussion of active and passive negligence was</w:t>
      </w:r>
      <w:r w:rsidR="002648BF">
        <w:t xml:space="preserve"> </w:t>
      </w:r>
      <w:r w:rsidR="00F34379">
        <w:t xml:space="preserve">rooted in </w:t>
      </w:r>
      <w:r w:rsidR="002648BF">
        <w:t xml:space="preserve">the statutory language of </w:t>
      </w:r>
      <w:r w:rsidR="00F34379">
        <w:t>section 835</w:t>
      </w:r>
      <w:r w:rsidR="002648BF">
        <w:t xml:space="preserve">, with </w:t>
      </w:r>
      <w:r w:rsidR="00F34379">
        <w:t>s</w:t>
      </w:r>
      <w:r>
        <w:t xml:space="preserve">ubdivision </w:t>
      </w:r>
      <w:r w:rsidR="00F34379">
        <w:t>(</w:t>
      </w:r>
      <w:r>
        <w:t>a</w:t>
      </w:r>
      <w:r w:rsidR="00F34379">
        <w:t xml:space="preserve">) </w:t>
      </w:r>
      <w:r>
        <w:t>incorporat</w:t>
      </w:r>
      <w:r w:rsidR="002648BF">
        <w:t>ing</w:t>
      </w:r>
      <w:r>
        <w:t xml:space="preserve"> </w:t>
      </w:r>
      <w:r w:rsidR="002648BF">
        <w:t xml:space="preserve">the concept of </w:t>
      </w:r>
      <w:r>
        <w:t>active negligence and subdivision (b) incorporat</w:t>
      </w:r>
      <w:r w:rsidR="002648BF">
        <w:t xml:space="preserve">ing the concept of </w:t>
      </w:r>
      <w:r>
        <w:t xml:space="preserve"> passive negligence.  In other words, </w:t>
      </w:r>
      <w:r w:rsidRPr="00AB2907" w:rsidR="00AB2907">
        <w:rPr>
          <w:i/>
          <w:iCs/>
        </w:rPr>
        <w:t>Cameron</w:t>
      </w:r>
      <w:r w:rsidR="00AB2907">
        <w:t xml:space="preserve"> did not find that </w:t>
      </w:r>
      <w:r>
        <w:t xml:space="preserve">public entities can be held liable for failure to warn based on </w:t>
      </w:r>
      <w:r w:rsidR="00AB2907">
        <w:t xml:space="preserve">common law </w:t>
      </w:r>
      <w:r>
        <w:t>principles</w:t>
      </w:r>
      <w:r w:rsidR="00236839">
        <w:t xml:space="preserve"> of active versus passive negligence</w:t>
      </w:r>
      <w:r>
        <w:t>, but</w:t>
      </w:r>
      <w:r w:rsidR="00AB2907">
        <w:t xml:space="preserve"> rather found that </w:t>
      </w:r>
      <w:r>
        <w:t>section 835</w:t>
      </w:r>
      <w:r w:rsidR="00A86FF2">
        <w:t xml:space="preserve"> </w:t>
      </w:r>
      <w:r>
        <w:t>incorporates</w:t>
      </w:r>
      <w:r w:rsidR="002648BF">
        <w:t xml:space="preserve"> </w:t>
      </w:r>
      <w:r w:rsidR="0004541E">
        <w:t>those</w:t>
      </w:r>
      <w:r w:rsidR="00A86FF2">
        <w:t xml:space="preserve"> </w:t>
      </w:r>
      <w:r>
        <w:t>common law principle</w:t>
      </w:r>
      <w:r w:rsidR="00147153">
        <w:t>s</w:t>
      </w:r>
      <w:r>
        <w:t>.</w:t>
      </w:r>
    </w:p>
  </w:footnote>
  <w:footnote w:id="8">
    <w:p w:rsidR="00AB1A08" w:rsidP="00AB1A08">
      <w:pPr>
        <w:pStyle w:val="FootnoteText"/>
      </w:pPr>
      <w:r>
        <w:rPr>
          <w:rStyle w:val="FootnoteReference"/>
        </w:rPr>
        <w:footnoteRef/>
      </w:r>
      <w:r>
        <w:t xml:space="preserve"> </w:t>
      </w:r>
      <w:r>
        <w:tab/>
      </w:r>
      <w:r w:rsidR="00FD1516">
        <w:t>W</w:t>
      </w:r>
      <w:r>
        <w:t xml:space="preserve">e granted </w:t>
      </w:r>
      <w:r w:rsidR="00FD1516">
        <w:t xml:space="preserve">Tansavatdi’s </w:t>
      </w:r>
      <w:r>
        <w:t xml:space="preserve">request that we take judicial notice of the petition for review </w:t>
      </w:r>
      <w:r w:rsidR="00FD1516">
        <w:t xml:space="preserve">that </w:t>
      </w:r>
      <w:r w:rsidR="00EB2EF0">
        <w:t xml:space="preserve">the plaintiffs </w:t>
      </w:r>
      <w:r>
        <w:t xml:space="preserve">filed in </w:t>
      </w:r>
      <w:r w:rsidRPr="00AB1A08">
        <w:rPr>
          <w:i/>
          <w:iCs/>
        </w:rPr>
        <w:t>Cameron</w:t>
      </w:r>
      <w:r w:rsidR="003F518D">
        <w:t xml:space="preserve"> </w:t>
      </w:r>
      <w:r w:rsidR="00FD1516">
        <w:t>as well as</w:t>
      </w:r>
      <w:r>
        <w:t xml:space="preserve"> a 1978 Staff Report prepared by the Joint Committee on Tort Liability. </w:t>
      </w:r>
      <w:r w:rsidR="00FD1516">
        <w:t xml:space="preserve"> Th</w:t>
      </w:r>
      <w:r w:rsidR="00EB2EF0">
        <w:t>at staff</w:t>
      </w:r>
      <w:r w:rsidR="00FD1516">
        <w:t xml:space="preserve"> report is discussed in more detail below. </w:t>
      </w:r>
      <w:r w:rsidR="000D7C9F">
        <w:t xml:space="preserve"> </w:t>
      </w:r>
      <w:r w:rsidRPr="00270BF2">
        <w:t xml:space="preserve">(See </w:t>
      </w:r>
      <w:r w:rsidRPr="00270BF2">
        <w:rPr>
          <w:i/>
          <w:iCs/>
        </w:rPr>
        <w:t>post</w:t>
      </w:r>
      <w:r w:rsidRPr="00270BF2">
        <w:t>, at p</w:t>
      </w:r>
      <w:r w:rsidRPr="00270BF2" w:rsidR="000D7C9F">
        <w:t>p</w:t>
      </w:r>
      <w:r w:rsidRPr="00270BF2">
        <w:t>. </w:t>
      </w:r>
      <w:r w:rsidRPr="00270BF2" w:rsidR="000D7C9F">
        <w:t>30–31</w:t>
      </w:r>
      <w:r w:rsidRPr="00270BF2">
        <w:t>.)</w:t>
      </w:r>
    </w:p>
  </w:footnote>
  <w:footnote w:id="9">
    <w:p w:rsidR="00081340" w:rsidP="00DA0A96">
      <w:pPr>
        <w:pStyle w:val="FootnoteText"/>
      </w:pPr>
      <w:r>
        <w:rPr>
          <w:rStyle w:val="FootnoteReference"/>
        </w:rPr>
        <w:footnoteRef/>
      </w:r>
      <w:r>
        <w:t xml:space="preserve"> </w:t>
      </w:r>
      <w:r>
        <w:tab/>
      </w:r>
      <w:r w:rsidRPr="00081340">
        <w:t xml:space="preserve">In an answer brief filed in response to amicus Consumer Attorneys of California, the City has also argued that regardless of what </w:t>
      </w:r>
      <w:r w:rsidRPr="00081340">
        <w:rPr>
          <w:i/>
          <w:iCs/>
        </w:rPr>
        <w:t>Cameron</w:t>
      </w:r>
      <w:r w:rsidRPr="00081340">
        <w:t xml:space="preserve"> may have concluded about design immunity’s application to failure to warn claims brought pursuant to section 835, subdivision (b), our subsequent decision in </w:t>
      </w:r>
      <w:r w:rsidRPr="00081340">
        <w:rPr>
          <w:i/>
          <w:iCs/>
        </w:rPr>
        <w:t>Cornette</w:t>
      </w:r>
      <w:r w:rsidRPr="00081340">
        <w:t xml:space="preserve">, </w:t>
      </w:r>
      <w:r w:rsidRPr="00081340">
        <w:rPr>
          <w:i/>
          <w:iCs/>
        </w:rPr>
        <w:t>supra</w:t>
      </w:r>
      <w:r w:rsidRPr="00081340">
        <w:t>, 26</w:t>
      </w:r>
      <w:r w:rsidR="006327AA">
        <w:t> </w:t>
      </w:r>
      <w:r w:rsidRPr="00081340">
        <w:t xml:space="preserve">Cal.4th 63, “squarely held that design immunity” </w:t>
      </w:r>
      <w:r w:rsidRPr="00081340">
        <w:rPr>
          <w:i/>
          <w:iCs/>
        </w:rPr>
        <w:t>does</w:t>
      </w:r>
      <w:r w:rsidRPr="00081340">
        <w:t xml:space="preserve"> apply to claims arising under subdivision (b).  In support, </w:t>
      </w:r>
      <w:r w:rsidRPr="00265B22">
        <w:t xml:space="preserve">the City cites </w:t>
      </w:r>
      <w:r w:rsidR="00265B22">
        <w:t xml:space="preserve">language from </w:t>
      </w:r>
      <w:r w:rsidRPr="00265B22">
        <w:rPr>
          <w:i/>
          <w:iCs/>
        </w:rPr>
        <w:t>Cornette</w:t>
      </w:r>
      <w:r w:rsidRPr="00265B22">
        <w:t xml:space="preserve"> that states</w:t>
      </w:r>
      <w:r w:rsidRPr="00081340">
        <w:t>:  “Section 835, subdivision (b) provides that a public entity is liable for injury .</w:t>
      </w:r>
      <w:r w:rsidR="006327AA">
        <w:t> </w:t>
      </w:r>
      <w:r w:rsidRPr="00081340">
        <w:t>.</w:t>
      </w:r>
      <w:r w:rsidR="006327AA">
        <w:t> </w:t>
      </w:r>
      <w:r w:rsidRPr="00081340">
        <w:t>. caused by a dangerous condition of its property if the .</w:t>
      </w:r>
      <w:r w:rsidR="006327AA">
        <w:t> </w:t>
      </w:r>
      <w:r w:rsidRPr="00081340">
        <w:t>.</w:t>
      </w:r>
      <w:r w:rsidR="006327AA">
        <w:t> </w:t>
      </w:r>
      <w:r w:rsidRPr="00081340">
        <w:t>. public entity had actual or constructive notice of the condition a sufficient time before the injury to have taken preventive measures.</w:t>
      </w:r>
      <w:r w:rsidR="006327AA">
        <w:t> </w:t>
      </w:r>
      <w:r w:rsidRPr="00081340">
        <w:t>.</w:t>
      </w:r>
      <w:r w:rsidR="006327AA">
        <w:t> </w:t>
      </w:r>
      <w:r w:rsidRPr="00081340">
        <w:t>.</w:t>
      </w:r>
      <w:r w:rsidR="006327AA">
        <w:t> </w:t>
      </w:r>
      <w:r w:rsidRPr="00081340">
        <w:t>. [¶]  However, under section 830.6, the public entity may escape such liability by raising the affirmative defense of ‘design immunity.’ ”  (</w:t>
      </w:r>
      <w:r w:rsidRPr="00081340">
        <w:rPr>
          <w:i/>
          <w:iCs/>
        </w:rPr>
        <w:t>Cornette</w:t>
      </w:r>
      <w:r w:rsidRPr="00081340">
        <w:t>, at p</w:t>
      </w:r>
      <w:r w:rsidR="006327AA">
        <w:t>p</w:t>
      </w:r>
      <w:r w:rsidRPr="00081340">
        <w:t>.</w:t>
      </w:r>
      <w:r w:rsidR="006327AA">
        <w:t> </w:t>
      </w:r>
      <w:r w:rsidRPr="00081340">
        <w:t>68</w:t>
      </w:r>
      <w:r w:rsidR="006327AA">
        <w:t>–69</w:t>
      </w:r>
      <w:r w:rsidR="001C118E">
        <w:t>, fn. omitted</w:t>
      </w:r>
      <w:r w:rsidRPr="00081340">
        <w:t xml:space="preserve">.)  </w:t>
      </w:r>
    </w:p>
    <w:p w:rsidR="00081340" w:rsidP="00DA0A96">
      <w:pPr>
        <w:pStyle w:val="FootnoteText"/>
        <w:ind w:firstLine="720"/>
      </w:pPr>
      <w:r w:rsidRPr="00081340">
        <w:t xml:space="preserve">Although this isolated passage is arguably in tension with some of our discussion in </w:t>
      </w:r>
      <w:r w:rsidRPr="00081340">
        <w:rPr>
          <w:i/>
          <w:iCs/>
        </w:rPr>
        <w:t xml:space="preserve">Cameron, </w:t>
      </w:r>
      <w:r w:rsidRPr="00081340">
        <w:t xml:space="preserve">we find it notable that </w:t>
      </w:r>
      <w:r w:rsidRPr="00081340">
        <w:rPr>
          <w:i/>
          <w:iCs/>
        </w:rPr>
        <w:t>Cornette</w:t>
      </w:r>
      <w:r w:rsidRPr="00081340">
        <w:t xml:space="preserve"> did not involve a claim for failure to warn nor did it discuss </w:t>
      </w:r>
      <w:r w:rsidRPr="00081340">
        <w:rPr>
          <w:i/>
          <w:iCs/>
        </w:rPr>
        <w:t>Cameron</w:t>
      </w:r>
      <w:r w:rsidRPr="00265B22">
        <w:t>’s</w:t>
      </w:r>
      <w:r w:rsidRPr="00081340">
        <w:t xml:space="preserve"> treatment of failure to warn claims.  Instead, the plaintiff in </w:t>
      </w:r>
      <w:r w:rsidRPr="00081340">
        <w:rPr>
          <w:i/>
          <w:iCs/>
        </w:rPr>
        <w:t>Cornette</w:t>
      </w:r>
      <w:r w:rsidRPr="00081340">
        <w:t xml:space="preserve"> claimed loss of design immunity based on changed physical circumstances.  Moreover, </w:t>
      </w:r>
      <w:r w:rsidRPr="00081340">
        <w:rPr>
          <w:i/>
          <w:iCs/>
        </w:rPr>
        <w:t>Cornette</w:t>
      </w:r>
      <w:r w:rsidRPr="00265B22">
        <w:t>’s</w:t>
      </w:r>
      <w:r w:rsidRPr="00081340">
        <w:t xml:space="preserve"> brief reference to section 835, subdivision (b) was of only marginal relevance to the legal issue presented in that case, which was whether section 830.6 requires that every element of design immunity should be decided by the court rather than the jury.  (See </w:t>
      </w:r>
      <w:r w:rsidRPr="00081340">
        <w:rPr>
          <w:i/>
          <w:iCs/>
        </w:rPr>
        <w:t>Cornette</w:t>
      </w:r>
      <w:r w:rsidRPr="00081340">
        <w:t xml:space="preserve">, </w:t>
      </w:r>
      <w:r w:rsidRPr="00081340">
        <w:rPr>
          <w:i/>
          <w:iCs/>
        </w:rPr>
        <w:t>supra</w:t>
      </w:r>
      <w:r w:rsidRPr="00081340">
        <w:t>, 26</w:t>
      </w:r>
      <w:r w:rsidR="006327AA">
        <w:t> </w:t>
      </w:r>
      <w:r w:rsidRPr="00081340">
        <w:t>Cal.4th at pp.</w:t>
      </w:r>
      <w:r w:rsidR="006327AA">
        <w:t> </w:t>
      </w:r>
      <w:r w:rsidRPr="00081340">
        <w:t xml:space="preserve">66–67.)  We find nothing in </w:t>
      </w:r>
      <w:r w:rsidRPr="00081340">
        <w:rPr>
          <w:i/>
          <w:iCs/>
        </w:rPr>
        <w:t>Cornette</w:t>
      </w:r>
      <w:r w:rsidRPr="00081340">
        <w:t xml:space="preserve"> suggesting that our brief reference to section 835, subdivision (b) was intended to modify or otherwise overrule our holding in </w:t>
      </w:r>
      <w:r w:rsidRPr="00081340">
        <w:rPr>
          <w:i/>
          <w:iCs/>
        </w:rPr>
        <w:t>Cameron</w:t>
      </w:r>
      <w:r w:rsidR="00134E0F">
        <w:rPr>
          <w:i/>
          <w:iCs/>
        </w:rPr>
        <w:t xml:space="preserve">, </w:t>
      </w:r>
      <w:r w:rsidRPr="00A34E05" w:rsidR="00134E0F">
        <w:t xml:space="preserve">which had been binding precedent at that time for </w:t>
      </w:r>
      <w:r w:rsidR="00A34E05">
        <w:t>over</w:t>
      </w:r>
      <w:r w:rsidRPr="00A34E05" w:rsidR="00134E0F">
        <w:t xml:space="preserve"> thirty years.</w:t>
      </w:r>
    </w:p>
  </w:footnote>
  <w:footnote w:id="10">
    <w:p w:rsidR="009311EA" w:rsidP="00DA0A96">
      <w:pPr>
        <w:pStyle w:val="FootnoteText"/>
      </w:pPr>
      <w:r>
        <w:rPr>
          <w:rStyle w:val="FootnoteReference"/>
        </w:rPr>
        <w:footnoteRef/>
      </w:r>
      <w:r>
        <w:t xml:space="preserve">  </w:t>
      </w:r>
      <w:r>
        <w:tab/>
      </w:r>
      <w:r w:rsidR="00E3088E">
        <w:t>Th</w:t>
      </w:r>
      <w:r w:rsidR="00E64DF8">
        <w:t>e</w:t>
      </w:r>
      <w:r>
        <w:t xml:space="preserve"> City</w:t>
      </w:r>
      <w:r>
        <w:t xml:space="preserve"> </w:t>
      </w:r>
      <w:r>
        <w:t>also argue</w:t>
      </w:r>
      <w:r w:rsidR="00E64DF8">
        <w:t>s</w:t>
      </w:r>
      <w:r>
        <w:t xml:space="preserve"> that </w:t>
      </w:r>
      <w:r w:rsidRPr="00673344">
        <w:rPr>
          <w:i/>
          <w:iCs/>
        </w:rPr>
        <w:t>Cameron</w:t>
      </w:r>
      <w:r w:rsidR="00F4645D">
        <w:t xml:space="preserve"> </w:t>
      </w:r>
      <w:r w:rsidR="001F3CC9">
        <w:t xml:space="preserve">was poorly reasoned insofar as it </w:t>
      </w:r>
      <w:r w:rsidR="00F91443">
        <w:t xml:space="preserve">concluded that </w:t>
      </w:r>
      <w:r w:rsidR="001F3CC9">
        <w:t xml:space="preserve">the </w:t>
      </w:r>
      <w:r w:rsidR="00F4645D">
        <w:t>“</w:t>
      </w:r>
      <w:r w:rsidR="001F3CC9">
        <w:t xml:space="preserve">concealed </w:t>
      </w:r>
      <w:r w:rsidR="00F4645D">
        <w:t xml:space="preserve">trap exception” </w:t>
      </w:r>
      <w:r w:rsidR="001F3CC9">
        <w:t xml:space="preserve">set forth in section 830.8’s  </w:t>
      </w:r>
      <w:r w:rsidR="00F4645D">
        <w:t xml:space="preserve">signage immunity </w:t>
      </w:r>
      <w:r w:rsidR="001F3CC9">
        <w:t xml:space="preserve">provision </w:t>
      </w:r>
      <w:r w:rsidR="00743B62">
        <w:t xml:space="preserve">also </w:t>
      </w:r>
      <w:r w:rsidR="00F4645D">
        <w:t>create</w:t>
      </w:r>
      <w:r w:rsidR="00743B62">
        <w:t>s</w:t>
      </w:r>
      <w:r w:rsidR="00F4645D">
        <w:t xml:space="preserve"> an exception to</w:t>
      </w:r>
      <w:r w:rsidR="001F3CC9">
        <w:t xml:space="preserve"> the general rule of design immunity set forth in</w:t>
      </w:r>
      <w:r w:rsidR="00F4645D">
        <w:t xml:space="preserve"> section 830.6</w:t>
      </w:r>
      <w:r w:rsidR="001F3CC9">
        <w:t>.  As stated in the City</w:t>
      </w:r>
      <w:r w:rsidR="009B0010">
        <w:t>’s</w:t>
      </w:r>
      <w:r w:rsidR="001F3CC9">
        <w:t xml:space="preserve"> briefing,</w:t>
      </w:r>
      <w:r w:rsidR="009B0010">
        <w:t xml:space="preserve"> “</w:t>
      </w:r>
      <w:r>
        <w:t xml:space="preserve">To hold that section 830.8’s exception to one immunity trumps a different and broader immunity is illogical.” </w:t>
      </w:r>
    </w:p>
    <w:p w:rsidR="00F4645D" w:rsidP="00DA0A96">
      <w:pPr>
        <w:pStyle w:val="FootnoteText"/>
        <w:ind w:firstLine="720"/>
      </w:pPr>
      <w:r>
        <w:t>T</w:t>
      </w:r>
      <w:r w:rsidR="009643B3">
        <w:t>his argument</w:t>
      </w:r>
      <w:r>
        <w:t>, however,</w:t>
      </w:r>
      <w:r w:rsidR="009643B3">
        <w:t xml:space="preserve"> misconstrues </w:t>
      </w:r>
      <w:r w:rsidRPr="00AA4107" w:rsidR="009643B3">
        <w:rPr>
          <w:i/>
          <w:iCs/>
        </w:rPr>
        <w:t>Cameron</w:t>
      </w:r>
      <w:r w:rsidRPr="00265B22" w:rsidR="009643B3">
        <w:t>’s</w:t>
      </w:r>
      <w:r w:rsidR="009643B3">
        <w:t xml:space="preserve"> reasoning as to why design immunity does not categorically preclude claims for failure to warn.  </w:t>
      </w:r>
      <w:r>
        <w:t xml:space="preserve">As discussed above, </w:t>
      </w:r>
      <w:r w:rsidR="009311EA">
        <w:t xml:space="preserve">we do not read </w:t>
      </w:r>
      <w:r w:rsidRPr="00726D53" w:rsidR="009311EA">
        <w:rPr>
          <w:i/>
          <w:iCs/>
        </w:rPr>
        <w:t>Cameron</w:t>
      </w:r>
      <w:r w:rsidR="009311EA">
        <w:t xml:space="preserve"> as having concluded that the </w:t>
      </w:r>
      <w:r w:rsidR="00360D8A">
        <w:t xml:space="preserve">concealed </w:t>
      </w:r>
      <w:r w:rsidR="009311EA">
        <w:t xml:space="preserve">trap exception </w:t>
      </w:r>
      <w:r w:rsidR="00A8389E">
        <w:t xml:space="preserve">in section 830.8 </w:t>
      </w:r>
      <w:r w:rsidR="009311EA">
        <w:t xml:space="preserve">also creates an exception to </w:t>
      </w:r>
      <w:r w:rsidR="009B0010">
        <w:t xml:space="preserve">section 830.6’s </w:t>
      </w:r>
      <w:r w:rsidR="009311EA">
        <w:t>design immunity</w:t>
      </w:r>
      <w:r w:rsidR="009B0010">
        <w:t xml:space="preserve"> provision</w:t>
      </w:r>
      <w:r w:rsidR="009311EA">
        <w:t xml:space="preserve">.  Instead, </w:t>
      </w:r>
      <w:r w:rsidRPr="00726D53" w:rsidR="009311EA">
        <w:rPr>
          <w:i/>
          <w:iCs/>
        </w:rPr>
        <w:t>Cameron</w:t>
      </w:r>
      <w:r w:rsidRPr="00265B22" w:rsidR="009311EA">
        <w:t>’s</w:t>
      </w:r>
      <w:r w:rsidR="009311EA">
        <w:t xml:space="preserve"> holding was based on the</w:t>
      </w:r>
      <w:r w:rsidR="009643B3">
        <w:t xml:space="preserve"> distinct theories of dangerous conditions liability set forth in section 835 subdivision (a) (creating a dangerous condition) and subdivision (b) (failing to protect against a known dangerous condition).  </w:t>
      </w:r>
      <w:r w:rsidR="00E3088E">
        <w:t xml:space="preserve">(See </w:t>
      </w:r>
      <w:r w:rsidRPr="00E3088E" w:rsidR="00E3088E">
        <w:rPr>
          <w:i/>
          <w:iCs/>
        </w:rPr>
        <w:t>ante</w:t>
      </w:r>
      <w:r w:rsidR="00E3088E">
        <w:t>, at pp.</w:t>
      </w:r>
      <w:r w:rsidR="007D0038">
        <w:t> </w:t>
      </w:r>
      <w:r w:rsidR="00E744EA">
        <w:t>1</w:t>
      </w:r>
      <w:r w:rsidR="00987F48">
        <w:t>5</w:t>
      </w:r>
      <w:r w:rsidR="00E744EA">
        <w:t>–1</w:t>
      </w:r>
      <w:r w:rsidR="00987F48">
        <w:t>7</w:t>
      </w:r>
      <w:r w:rsidR="00E744EA">
        <w:t>, 2</w:t>
      </w:r>
      <w:r w:rsidR="00B65BF7">
        <w:t>1</w:t>
      </w:r>
      <w:r w:rsidR="00E744EA">
        <w:t>–2</w:t>
      </w:r>
      <w:r w:rsidR="00B65BF7">
        <w:t>2</w:t>
      </w:r>
      <w:r w:rsidR="00E3088E">
        <w:t xml:space="preserve">.)  </w:t>
      </w:r>
      <w:r w:rsidRPr="0001287E" w:rsidR="009643B3">
        <w:rPr>
          <w:i/>
          <w:iCs/>
        </w:rPr>
        <w:t>Cameron</w:t>
      </w:r>
      <w:r w:rsidR="009643B3">
        <w:t xml:space="preserve"> reasoned that </w:t>
      </w:r>
      <w:r w:rsidR="00A8389E">
        <w:t xml:space="preserve">while </w:t>
      </w:r>
      <w:r w:rsidR="009643B3">
        <w:t xml:space="preserve">design immunity </w:t>
      </w:r>
      <w:r w:rsidR="00A8389E">
        <w:t xml:space="preserve">shields public entities from liability </w:t>
      </w:r>
      <w:r w:rsidR="00BC2A3F">
        <w:t>for</w:t>
      </w:r>
      <w:r w:rsidR="00A8389E">
        <w:t xml:space="preserve"> having created a dangerous condition</w:t>
      </w:r>
      <w:r w:rsidR="00987EAF">
        <w:t xml:space="preserve"> (see </w:t>
      </w:r>
      <w:r w:rsidR="008B3B70">
        <w:t>§ 835, subd. (a))</w:t>
      </w:r>
      <w:r w:rsidR="00A8389E">
        <w:t xml:space="preserve">, </w:t>
      </w:r>
      <w:r w:rsidR="00BC2A3F">
        <w:t>design immunit</w:t>
      </w:r>
      <w:r w:rsidR="001F3CC9">
        <w:t>y</w:t>
      </w:r>
      <w:r w:rsidR="00A8389E">
        <w:t xml:space="preserve"> does not </w:t>
      </w:r>
      <w:r w:rsidR="00BC2A3F">
        <w:t xml:space="preserve">necessarily </w:t>
      </w:r>
      <w:r w:rsidR="00A8389E">
        <w:t xml:space="preserve">shield </w:t>
      </w:r>
      <w:r w:rsidR="00BC2A3F">
        <w:t>such</w:t>
      </w:r>
      <w:r w:rsidR="00A8389E">
        <w:t xml:space="preserve"> entities from having failed to warn against dangerous condition of which it ha</w:t>
      </w:r>
      <w:r w:rsidR="00BC2A3F">
        <w:t>d</w:t>
      </w:r>
      <w:r w:rsidR="00A8389E">
        <w:t xml:space="preserve"> notice</w:t>
      </w:r>
      <w:r w:rsidR="009643B3">
        <w:t>.</w:t>
      </w:r>
      <w:r w:rsidR="008B3B70">
        <w:t xml:space="preserve">  (See § 835, subd. (b).)</w:t>
      </w:r>
    </w:p>
  </w:footnote>
  <w:footnote w:id="11">
    <w:p w:rsidR="00DA4D2D" w:rsidP="00FD1FB2">
      <w:pPr>
        <w:pStyle w:val="FootnoteText"/>
      </w:pPr>
      <w:r>
        <w:rPr>
          <w:rStyle w:val="FootnoteReference"/>
        </w:rPr>
        <w:footnoteRef/>
      </w:r>
      <w:r>
        <w:t xml:space="preserve"> </w:t>
      </w:r>
      <w:r>
        <w:tab/>
      </w:r>
      <w:r w:rsidR="001F4EC3">
        <w:t xml:space="preserve">The </w:t>
      </w:r>
      <w:r w:rsidRPr="00EF3D40" w:rsidR="00EF3D40">
        <w:t>Department of Transportation, acting as</w:t>
      </w:r>
      <w:r w:rsidR="00EF3D40">
        <w:t xml:space="preserve"> amicus </w:t>
      </w:r>
      <w:r w:rsidR="001F4EC3">
        <w:t xml:space="preserve">curiae </w:t>
      </w:r>
      <w:r w:rsidR="00EF3D40">
        <w:t>for the City,</w:t>
      </w:r>
      <w:r w:rsidR="00B15D3B">
        <w:t xml:space="preserve"> </w:t>
      </w:r>
      <w:r w:rsidR="00324F50">
        <w:t>note</w:t>
      </w:r>
      <w:r w:rsidR="001F4EC3">
        <w:t>s</w:t>
      </w:r>
      <w:r w:rsidR="001D4C79">
        <w:t xml:space="preserve"> that</w:t>
      </w:r>
      <w:r w:rsidR="00324F50">
        <w:t xml:space="preserve"> </w:t>
      </w:r>
      <w:r w:rsidR="001D4C79">
        <w:t xml:space="preserve">courts have </w:t>
      </w:r>
      <w:r w:rsidR="00324F50">
        <w:t xml:space="preserve">interpreted </w:t>
      </w:r>
      <w:r w:rsidR="001D4C79">
        <w:t xml:space="preserve">other </w:t>
      </w:r>
      <w:r w:rsidR="00324F50">
        <w:t>statutory immunities</w:t>
      </w:r>
      <w:r w:rsidR="001D4C79">
        <w:t xml:space="preserve"> </w:t>
      </w:r>
      <w:r w:rsidR="006B34F3">
        <w:t>that</w:t>
      </w:r>
      <w:r w:rsidR="001D4C79">
        <w:t xml:space="preserve"> contain language similar </w:t>
      </w:r>
      <w:r w:rsidR="00324F50">
        <w:t xml:space="preserve">to section 830.6 to preclude failure to warn claims.  (See, e.g., </w:t>
      </w:r>
      <w:bookmarkStart w:id="25" w:name="_Hlk118719200"/>
      <w:r w:rsidRPr="002642DF" w:rsidR="00324F50">
        <w:rPr>
          <w:i/>
          <w:iCs/>
        </w:rPr>
        <w:t>Arroyo v. State of California</w:t>
      </w:r>
      <w:r w:rsidR="00324F50">
        <w:t xml:space="preserve"> (1995) 34</w:t>
      </w:r>
      <w:r w:rsidR="006B4378">
        <w:t> </w:t>
      </w:r>
      <w:r w:rsidR="00324F50">
        <w:t>Cal.App.4th 755, 76</w:t>
      </w:r>
      <w:r w:rsidR="006B4378">
        <w:t>0</w:t>
      </w:r>
      <w:r w:rsidR="00324F50">
        <w:t xml:space="preserve"> </w:t>
      </w:r>
      <w:bookmarkEnd w:id="25"/>
      <w:r w:rsidR="00324F50">
        <w:t>[</w:t>
      </w:r>
      <w:r w:rsidR="001F4EC3">
        <w:t>language in</w:t>
      </w:r>
      <w:r w:rsidR="001D4C79">
        <w:t xml:space="preserve"> </w:t>
      </w:r>
      <w:r w:rsidR="001F4EC3">
        <w:t>§</w:t>
      </w:r>
      <w:r w:rsidR="001A1AE9">
        <w:t xml:space="preserve"> 831.2</w:t>
      </w:r>
      <w:r w:rsidR="001F4EC3">
        <w:t xml:space="preserve"> that</w:t>
      </w:r>
      <w:r w:rsidR="001D4C79">
        <w:t xml:space="preserve"> </w:t>
      </w:r>
      <w:r w:rsidR="001F4EC3">
        <w:t xml:space="preserve">precludes </w:t>
      </w:r>
      <w:r w:rsidR="00324F50">
        <w:t>liability for “</w:t>
      </w:r>
      <w:r w:rsidRPr="001A1AE9" w:rsidR="00324F50">
        <w:t>an injury caused by a natural condition of any unimproved public property</w:t>
      </w:r>
      <w:r w:rsidR="00324F50">
        <w:t xml:space="preserve">” </w:t>
      </w:r>
      <w:r w:rsidR="001D4C79">
        <w:t xml:space="preserve">extends to </w:t>
      </w:r>
      <w:r w:rsidR="00324F50">
        <w:t>claim</w:t>
      </w:r>
      <w:r w:rsidR="001D4C79">
        <w:t>s</w:t>
      </w:r>
      <w:r w:rsidR="001A1AE9">
        <w:t xml:space="preserve"> alleging </w:t>
      </w:r>
      <w:r w:rsidR="00324F50">
        <w:t>failure to warn of</w:t>
      </w:r>
      <w:r w:rsidR="001A1AE9">
        <w:t xml:space="preserve"> a</w:t>
      </w:r>
      <w:r w:rsidR="00324F50">
        <w:t xml:space="preserve"> dangerous natural condition].)  </w:t>
      </w:r>
      <w:r w:rsidR="00396DAB">
        <w:t xml:space="preserve">Although we </w:t>
      </w:r>
      <w:r>
        <w:t xml:space="preserve">decline to </w:t>
      </w:r>
      <w:r w:rsidR="00396DAB">
        <w:t xml:space="preserve">overrule </w:t>
      </w:r>
      <w:r w:rsidRPr="00DA4D2D">
        <w:rPr>
          <w:i/>
          <w:iCs/>
        </w:rPr>
        <w:t>Cameron</w:t>
      </w:r>
      <w:r>
        <w:t xml:space="preserve"> based on the principle of stare decisis, we express no opinion whether</w:t>
      </w:r>
      <w:r w:rsidR="00396DAB">
        <w:t xml:space="preserve"> its reasoning can or should be </w:t>
      </w:r>
      <w:r w:rsidR="007648EB">
        <w:t>extended</w:t>
      </w:r>
      <w:r w:rsidR="00396DAB">
        <w:t xml:space="preserve"> to </w:t>
      </w:r>
      <w:r w:rsidR="002642DF">
        <w:t xml:space="preserve">other </w:t>
      </w:r>
      <w:r w:rsidR="00396DAB">
        <w:t>statutory immunities</w:t>
      </w:r>
      <w:r w:rsidR="002642DF">
        <w:t xml:space="preserve"> set forth in the Government Code that pertain to dangerous conditions liability</w:t>
      </w:r>
      <w:r w:rsidR="00396DA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13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0A96">
    <w:pPr>
      <w:pStyle w:val="Header"/>
    </w:pPr>
    <w:r>
      <w:t>TANSAVATDI v. CITY OF RANCHO PALOS VERDES</w:t>
    </w:r>
  </w:p>
  <w:p w:rsidR="00DA0A96">
    <w:pPr>
      <w:pStyle w:val="Header"/>
    </w:pPr>
    <w:r>
      <w:t>Opinion of the Court by Groban, J.</w:t>
    </w:r>
  </w:p>
  <w:p w:rsidR="00DA0A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6DD2" w:rsidRPr="00896DD2" w:rsidP="00896DD2">
    <w:pPr>
      <w:pStyle w:val="Header"/>
      <w:jc w:val="right"/>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4DB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4DB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4D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DFE334A"/>
    <w:multiLevelType w:val="hybridMultilevel"/>
    <w:tmpl w:val="ED74122E"/>
    <w:lvl w:ilvl="0">
      <w:start w:val="1"/>
      <w:numFmt w:val="bullet"/>
      <w:lvlText w:val=""/>
      <w:lvlJc w:val="left"/>
      <w:pPr>
        <w:ind w:left="1458" w:hanging="360"/>
      </w:pPr>
      <w:rPr>
        <w:rFonts w:ascii="Symbol" w:hAnsi="Symbol" w:hint="default"/>
      </w:rPr>
    </w:lvl>
    <w:lvl w:ilvl="1" w:tentative="1">
      <w:start w:val="1"/>
      <w:numFmt w:val="bullet"/>
      <w:lvlText w:val="o"/>
      <w:lvlJc w:val="left"/>
      <w:pPr>
        <w:ind w:left="2178" w:hanging="360"/>
      </w:pPr>
      <w:rPr>
        <w:rFonts w:ascii="Courier New" w:hAnsi="Courier New" w:cs="Courier New" w:hint="default"/>
      </w:rPr>
    </w:lvl>
    <w:lvl w:ilvl="2" w:tentative="1">
      <w:start w:val="1"/>
      <w:numFmt w:val="bullet"/>
      <w:lvlText w:val=""/>
      <w:lvlJc w:val="left"/>
      <w:pPr>
        <w:ind w:left="2898" w:hanging="360"/>
      </w:pPr>
      <w:rPr>
        <w:rFonts w:ascii="Wingdings" w:hAnsi="Wingdings" w:hint="default"/>
      </w:rPr>
    </w:lvl>
    <w:lvl w:ilvl="3">
      <w:start w:val="1"/>
      <w:numFmt w:val="bullet"/>
      <w:lvlText w:val=""/>
      <w:lvlJc w:val="left"/>
      <w:pPr>
        <w:ind w:left="3618" w:hanging="360"/>
      </w:pPr>
      <w:rPr>
        <w:rFonts w:ascii="Symbol" w:hAnsi="Symbol" w:hint="default"/>
      </w:rPr>
    </w:lvl>
    <w:lvl w:ilvl="4" w:tentative="1">
      <w:start w:val="1"/>
      <w:numFmt w:val="bullet"/>
      <w:lvlText w:val="o"/>
      <w:lvlJc w:val="left"/>
      <w:pPr>
        <w:ind w:left="4338" w:hanging="360"/>
      </w:pPr>
      <w:rPr>
        <w:rFonts w:ascii="Courier New" w:hAnsi="Courier New" w:cs="Courier New" w:hint="default"/>
      </w:rPr>
    </w:lvl>
    <w:lvl w:ilvl="5" w:tentative="1">
      <w:start w:val="1"/>
      <w:numFmt w:val="bullet"/>
      <w:lvlText w:val=""/>
      <w:lvlJc w:val="left"/>
      <w:pPr>
        <w:ind w:left="5058" w:hanging="360"/>
      </w:pPr>
      <w:rPr>
        <w:rFonts w:ascii="Wingdings" w:hAnsi="Wingdings" w:hint="default"/>
      </w:rPr>
    </w:lvl>
    <w:lvl w:ilvl="6" w:tentative="1">
      <w:start w:val="1"/>
      <w:numFmt w:val="bullet"/>
      <w:lvlText w:val=""/>
      <w:lvlJc w:val="left"/>
      <w:pPr>
        <w:ind w:left="5778" w:hanging="360"/>
      </w:pPr>
      <w:rPr>
        <w:rFonts w:ascii="Symbol" w:hAnsi="Symbol" w:hint="default"/>
      </w:rPr>
    </w:lvl>
    <w:lvl w:ilvl="7" w:tentative="1">
      <w:start w:val="1"/>
      <w:numFmt w:val="bullet"/>
      <w:lvlText w:val="o"/>
      <w:lvlJc w:val="left"/>
      <w:pPr>
        <w:ind w:left="6498" w:hanging="360"/>
      </w:pPr>
      <w:rPr>
        <w:rFonts w:ascii="Courier New" w:hAnsi="Courier New" w:cs="Courier New" w:hint="default"/>
      </w:rPr>
    </w:lvl>
    <w:lvl w:ilvl="8" w:tentative="1">
      <w:start w:val="1"/>
      <w:numFmt w:val="bullet"/>
      <w:lvlText w:val=""/>
      <w:lvlJc w:val="left"/>
      <w:pPr>
        <w:ind w:left="7218" w:hanging="360"/>
      </w:pPr>
      <w:rPr>
        <w:rFonts w:ascii="Wingdings" w:hAnsi="Wingdings" w:hint="default"/>
      </w:rPr>
    </w:lvl>
  </w:abstractNum>
  <w:abstractNum w:abstractNumId="1">
    <w:nsid w:val="34666C59"/>
    <w:multiLevelType w:val="hybridMultilevel"/>
    <w:tmpl w:val="E5601444"/>
    <w:lvl w:ilvl="0">
      <w:start w:val="1"/>
      <w:numFmt w:val="lowerLetter"/>
      <w:lvlText w:val="%1."/>
      <w:lvlJc w:val="left"/>
      <w:pPr>
        <w:ind w:left="2520" w:hanging="360"/>
      </w:pPr>
      <w:rPr>
        <w:rFonts w:hint="default"/>
        <w:i/>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
    <w:nsid w:val="40B81BF5"/>
    <w:multiLevelType w:val="hybridMultilevel"/>
    <w:tmpl w:val="9686286C"/>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412D10D4"/>
    <w:multiLevelType w:val="hybridMultilevel"/>
    <w:tmpl w:val="2878E9F4"/>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4">
    <w:nsid w:val="4F401A4A"/>
    <w:multiLevelType w:val="hybridMultilevel"/>
    <w:tmpl w:val="19CAC006"/>
    <w:lvl w:ilvl="0">
      <w:start w:val="0"/>
      <w:numFmt w:val="bullet"/>
      <w:lvlText w:val="-"/>
      <w:lvlJc w:val="left"/>
      <w:pPr>
        <w:ind w:left="720" w:hanging="360"/>
      </w:pPr>
      <w:rPr>
        <w:rFonts w:ascii="Times New Roman" w:eastAsia="Times New Roman" w:hAnsi="Times New Roman" w:cs="Times New Roman" w:hint="default"/>
        <w:sz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28633FD"/>
    <w:multiLevelType w:val="hybridMultilevel"/>
    <w:tmpl w:val="2878E9F4"/>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6">
    <w:nsid w:val="53AB7E30"/>
    <w:multiLevelType w:val="hybridMultilevel"/>
    <w:tmpl w:val="3ACC194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5C4B00EC"/>
    <w:multiLevelType w:val="hybridMultilevel"/>
    <w:tmpl w:val="09B84FA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64833B84"/>
    <w:multiLevelType w:val="hybridMultilevel"/>
    <w:tmpl w:val="2878E9F4"/>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9">
    <w:nsid w:val="657217CA"/>
    <w:multiLevelType w:val="hybridMultilevel"/>
    <w:tmpl w:val="E0641512"/>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D680952"/>
    <w:multiLevelType w:val="hybridMultilevel"/>
    <w:tmpl w:val="2878E9F4"/>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num w:numId="1">
    <w:abstractNumId w:val="7"/>
  </w:num>
  <w:num w:numId="2">
    <w:abstractNumId w:val="9"/>
  </w:num>
  <w:num w:numId="3">
    <w:abstractNumId w:val="4"/>
  </w:num>
  <w:num w:numId="4">
    <w:abstractNumId w:val="1"/>
  </w:num>
  <w:num w:numId="5">
    <w:abstractNumId w:val="0"/>
  </w:num>
  <w:num w:numId="6">
    <w:abstractNumId w:val="8"/>
  </w:num>
  <w:num w:numId="7">
    <w:abstractNumId w:val="3"/>
  </w:num>
  <w:num w:numId="8">
    <w:abstractNumId w:val="10"/>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0A96"/>
    <w:pPr>
      <w:spacing w:after="100" w:line="400" w:lineRule="exact"/>
      <w:jc w:val="both"/>
    </w:pPr>
    <w:rPr>
      <w:rFonts w:ascii="Century Schoolbook" w:hAnsi="Century Schoolbook"/>
      <w:sz w:val="27"/>
    </w:rPr>
  </w:style>
  <w:style w:type="paragraph" w:styleId="Heading1">
    <w:name w:val="heading 1"/>
    <w:basedOn w:val="Normal"/>
    <w:next w:val="Normal"/>
    <w:qFormat/>
    <w:rsid w:val="00DA0A96"/>
    <w:pPr>
      <w:keepNext/>
      <w:spacing w:before="140" w:line="240" w:lineRule="atLeast"/>
      <w:jc w:val="center"/>
      <w:outlineLvl w:val="0"/>
    </w:pPr>
    <w:rPr>
      <w:b/>
      <w:smallCaps/>
    </w:rPr>
  </w:style>
  <w:style w:type="paragraph" w:styleId="Heading2">
    <w:name w:val="heading 2"/>
    <w:basedOn w:val="Normal"/>
    <w:next w:val="Normal"/>
    <w:link w:val="Heading2Char"/>
    <w:qFormat/>
    <w:rsid w:val="00DA0A96"/>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DA0A96"/>
    <w:pPr>
      <w:keepNext/>
      <w:tabs>
        <w:tab w:val="left" w:pos="1584"/>
      </w:tabs>
      <w:spacing w:before="140" w:line="240" w:lineRule="atLeast"/>
      <w:ind w:left="1584" w:hanging="432"/>
      <w:jc w:val="left"/>
      <w:outlineLvl w:val="2"/>
    </w:pPr>
    <w:rPr>
      <w:i/>
    </w:rPr>
  </w:style>
  <w:style w:type="paragraph" w:styleId="Heading4">
    <w:name w:val="heading 4"/>
    <w:basedOn w:val="Normal"/>
    <w:rsid w:val="00DA0A96"/>
    <w:pPr>
      <w:keepNext/>
      <w:tabs>
        <w:tab w:val="left" w:pos="2016"/>
      </w:tabs>
      <w:spacing w:before="140" w:line="240" w:lineRule="atLeast"/>
      <w:ind w:left="2016" w:hanging="432"/>
      <w:jc w:val="left"/>
      <w:outlineLvl w:val="3"/>
    </w:pPr>
    <w:rPr>
      <w:i/>
    </w:rPr>
  </w:style>
  <w:style w:type="paragraph" w:styleId="Heading5">
    <w:name w:val="heading 5"/>
    <w:basedOn w:val="Normal"/>
    <w:rsid w:val="00DA0A96"/>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DA0A96"/>
    <w:pPr>
      <w:ind w:left="720"/>
    </w:pPr>
  </w:style>
  <w:style w:type="paragraph" w:styleId="Footer">
    <w:name w:val="footer"/>
    <w:basedOn w:val="Normal"/>
    <w:qFormat/>
    <w:rsid w:val="00DA0A96"/>
    <w:pPr>
      <w:tabs>
        <w:tab w:val="center" w:pos="3960"/>
        <w:tab w:val="right" w:pos="10080"/>
      </w:tabs>
      <w:spacing w:after="0" w:line="240" w:lineRule="auto"/>
      <w:jc w:val="center"/>
    </w:pPr>
    <w:rPr>
      <w:sz w:val="22"/>
    </w:rPr>
  </w:style>
  <w:style w:type="paragraph" w:styleId="Header">
    <w:name w:val="header"/>
    <w:basedOn w:val="Normal"/>
    <w:qFormat/>
    <w:rsid w:val="00DA0A96"/>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DA0A96"/>
    <w:rPr>
      <w:rFonts w:ascii="Century Schoolbook" w:hAnsi="Century Schoolbook"/>
      <w:b/>
      <w:i w:val="0"/>
      <w:position w:val="4"/>
      <w:sz w:val="27"/>
      <w:vertAlign w:val="superscript"/>
    </w:rPr>
  </w:style>
  <w:style w:type="paragraph" w:styleId="FootnoteText">
    <w:name w:val="footnote text"/>
    <w:basedOn w:val="Normal"/>
    <w:link w:val="FootnoteTextChar"/>
    <w:rsid w:val="00DA0A96"/>
    <w:pPr>
      <w:spacing w:line="300" w:lineRule="exact"/>
    </w:pPr>
  </w:style>
  <w:style w:type="paragraph" w:customStyle="1" w:styleId="Title1">
    <w:name w:val="Title1"/>
    <w:basedOn w:val="Normal"/>
    <w:rsid w:val="00DA0A96"/>
    <w:pPr>
      <w:tabs>
        <w:tab w:val="left" w:pos="5760"/>
        <w:tab w:val="left" w:pos="6480"/>
      </w:tabs>
      <w:spacing w:line="240" w:lineRule="atLeast"/>
    </w:pPr>
  </w:style>
  <w:style w:type="paragraph" w:customStyle="1" w:styleId="Recommend">
    <w:name w:val="Recommend"/>
    <w:basedOn w:val="Normal"/>
    <w:rsid w:val="00DA0A96"/>
  </w:style>
  <w:style w:type="paragraph" w:customStyle="1" w:styleId="Summary">
    <w:name w:val="Summary"/>
    <w:basedOn w:val="Normal"/>
    <w:rsid w:val="00DA0A96"/>
    <w:pPr>
      <w:ind w:left="2160" w:hanging="2160"/>
    </w:pPr>
  </w:style>
  <w:style w:type="paragraph" w:customStyle="1" w:styleId="Text">
    <w:name w:val="Text"/>
    <w:basedOn w:val="Normal"/>
    <w:link w:val="TextChar"/>
    <w:rsid w:val="00DA0A96"/>
    <w:pPr>
      <w:tabs>
        <w:tab w:val="left" w:pos="720"/>
        <w:tab w:val="left" w:pos="1440"/>
        <w:tab w:val="left" w:pos="2160"/>
        <w:tab w:val="center" w:pos="4320"/>
      </w:tabs>
      <w:spacing w:line="480" w:lineRule="atLeast"/>
      <w:ind w:firstLine="540"/>
    </w:pPr>
  </w:style>
  <w:style w:type="paragraph" w:styleId="Date">
    <w:name w:val="Date"/>
    <w:basedOn w:val="Normal"/>
    <w:semiHidden/>
    <w:rsid w:val="00DA0A96"/>
    <w:pPr>
      <w:jc w:val="right"/>
    </w:pPr>
  </w:style>
  <w:style w:type="character" w:styleId="PageNumber">
    <w:name w:val="page number"/>
    <w:basedOn w:val="DefaultParagraphFont"/>
    <w:semiHidden/>
    <w:rsid w:val="00DA0A96"/>
  </w:style>
  <w:style w:type="paragraph" w:customStyle="1" w:styleId="subject">
    <w:name w:val="subject"/>
    <w:basedOn w:val="Normal"/>
    <w:rsid w:val="00DA0A96"/>
    <w:pPr>
      <w:tabs>
        <w:tab w:val="left" w:pos="1008"/>
      </w:tabs>
      <w:ind w:left="990" w:hanging="990"/>
    </w:pPr>
    <w:rPr>
      <w:b/>
    </w:rPr>
  </w:style>
  <w:style w:type="paragraph" w:customStyle="1" w:styleId="Titles">
    <w:name w:val="Titles"/>
    <w:basedOn w:val="Normal"/>
    <w:rsid w:val="00DA0A96"/>
    <w:pPr>
      <w:tabs>
        <w:tab w:val="left" w:pos="2160"/>
      </w:tabs>
      <w:ind w:left="2160" w:hanging="2160"/>
    </w:pPr>
    <w:rPr>
      <w:b/>
    </w:rPr>
  </w:style>
  <w:style w:type="paragraph" w:styleId="TOAHeading">
    <w:name w:val="toa heading"/>
    <w:basedOn w:val="Normal"/>
    <w:next w:val="Normal"/>
    <w:semiHidden/>
    <w:rsid w:val="00DA0A96"/>
    <w:pPr>
      <w:spacing w:before="120"/>
    </w:pPr>
    <w:rPr>
      <w:b/>
    </w:rPr>
  </w:style>
  <w:style w:type="paragraph" w:styleId="TOC1">
    <w:name w:val="toc 1"/>
    <w:basedOn w:val="Normal"/>
    <w:next w:val="Normal"/>
    <w:autoRedefine/>
    <w:semiHidden/>
    <w:rsid w:val="00DA0A96"/>
  </w:style>
  <w:style w:type="paragraph" w:styleId="TOC2">
    <w:name w:val="toc 2"/>
    <w:basedOn w:val="Normal"/>
    <w:next w:val="Normal"/>
    <w:autoRedefine/>
    <w:semiHidden/>
    <w:rsid w:val="00DA0A96"/>
    <w:pPr>
      <w:ind w:left="259"/>
    </w:pPr>
  </w:style>
  <w:style w:type="paragraph" w:styleId="TOC3">
    <w:name w:val="toc 3"/>
    <w:basedOn w:val="Normal"/>
    <w:next w:val="Normal"/>
    <w:autoRedefine/>
    <w:semiHidden/>
    <w:rsid w:val="00DA0A96"/>
    <w:pPr>
      <w:ind w:left="520"/>
    </w:pPr>
  </w:style>
  <w:style w:type="paragraph" w:styleId="TOC4">
    <w:name w:val="toc 4"/>
    <w:basedOn w:val="Normal"/>
    <w:next w:val="Normal"/>
    <w:autoRedefine/>
    <w:semiHidden/>
    <w:rsid w:val="00DA0A96"/>
    <w:pPr>
      <w:ind w:left="780"/>
    </w:pPr>
  </w:style>
  <w:style w:type="paragraph" w:styleId="TOC5">
    <w:name w:val="toc 5"/>
    <w:basedOn w:val="Normal"/>
    <w:next w:val="Normal"/>
    <w:autoRedefine/>
    <w:semiHidden/>
    <w:rsid w:val="00DA0A96"/>
    <w:pPr>
      <w:ind w:left="1040"/>
    </w:pPr>
  </w:style>
  <w:style w:type="paragraph" w:styleId="TOC6">
    <w:name w:val="toc 6"/>
    <w:basedOn w:val="Normal"/>
    <w:next w:val="Normal"/>
    <w:autoRedefine/>
    <w:semiHidden/>
    <w:rsid w:val="00DA0A96"/>
    <w:pPr>
      <w:ind w:left="1300"/>
    </w:pPr>
  </w:style>
  <w:style w:type="paragraph" w:styleId="TOC7">
    <w:name w:val="toc 7"/>
    <w:basedOn w:val="Normal"/>
    <w:next w:val="Normal"/>
    <w:autoRedefine/>
    <w:semiHidden/>
    <w:rsid w:val="00DA0A96"/>
    <w:pPr>
      <w:ind w:left="1560"/>
    </w:pPr>
  </w:style>
  <w:style w:type="paragraph" w:styleId="TOC8">
    <w:name w:val="toc 8"/>
    <w:basedOn w:val="Normal"/>
    <w:next w:val="Normal"/>
    <w:autoRedefine/>
    <w:semiHidden/>
    <w:rsid w:val="00DA0A96"/>
    <w:pPr>
      <w:ind w:left="1820"/>
    </w:pPr>
  </w:style>
  <w:style w:type="paragraph" w:styleId="TOC9">
    <w:name w:val="toc 9"/>
    <w:basedOn w:val="Normal"/>
    <w:next w:val="Normal"/>
    <w:autoRedefine/>
    <w:semiHidden/>
    <w:rsid w:val="00DA0A96"/>
    <w:pPr>
      <w:ind w:left="2080"/>
    </w:pPr>
  </w:style>
  <w:style w:type="paragraph" w:customStyle="1" w:styleId="Contents">
    <w:name w:val="Contents"/>
    <w:basedOn w:val="Normal"/>
    <w:rsid w:val="00DA0A96"/>
    <w:pPr>
      <w:jc w:val="center"/>
    </w:pPr>
    <w:rPr>
      <w:b/>
      <w:spacing w:val="100"/>
    </w:rPr>
  </w:style>
  <w:style w:type="paragraph" w:styleId="ListParagraph">
    <w:name w:val="List Paragraph"/>
    <w:basedOn w:val="Normal"/>
    <w:uiPriority w:val="34"/>
    <w:qFormat/>
    <w:rsid w:val="00596651"/>
    <w:pPr>
      <w:ind w:left="720"/>
      <w:contextualSpacing/>
    </w:pPr>
    <w:rPr>
      <w:rFonts w:asciiTheme="minorHAnsi" w:eastAsiaTheme="minorHAnsi" w:hAnsiTheme="minorHAnsi"/>
      <w:szCs w:val="24"/>
    </w:rPr>
  </w:style>
  <w:style w:type="character" w:styleId="CommentReference">
    <w:name w:val="annotation reference"/>
    <w:basedOn w:val="DefaultParagraphFont"/>
    <w:uiPriority w:val="99"/>
    <w:semiHidden/>
    <w:unhideWhenUsed/>
    <w:rsid w:val="003C5696"/>
    <w:rPr>
      <w:sz w:val="16"/>
      <w:szCs w:val="16"/>
    </w:rPr>
  </w:style>
  <w:style w:type="paragraph" w:styleId="CommentText">
    <w:name w:val="annotation text"/>
    <w:basedOn w:val="Normal"/>
    <w:link w:val="CommentTextChar"/>
    <w:uiPriority w:val="99"/>
    <w:unhideWhenUsed/>
    <w:rsid w:val="003C5696"/>
    <w:rPr>
      <w:sz w:val="20"/>
    </w:rPr>
  </w:style>
  <w:style w:type="character" w:customStyle="1" w:styleId="CommentTextChar">
    <w:name w:val="Comment Text Char"/>
    <w:basedOn w:val="DefaultParagraphFont"/>
    <w:link w:val="CommentText"/>
    <w:uiPriority w:val="99"/>
    <w:rsid w:val="003C5696"/>
  </w:style>
  <w:style w:type="paragraph" w:styleId="CommentSubject">
    <w:name w:val="annotation subject"/>
    <w:basedOn w:val="CommentText"/>
    <w:next w:val="CommentText"/>
    <w:link w:val="CommentSubjectChar"/>
    <w:uiPriority w:val="99"/>
    <w:semiHidden/>
    <w:unhideWhenUsed/>
    <w:rsid w:val="003C5696"/>
    <w:rPr>
      <w:b/>
      <w:bCs/>
    </w:rPr>
  </w:style>
  <w:style w:type="character" w:customStyle="1" w:styleId="CommentSubjectChar">
    <w:name w:val="Comment Subject Char"/>
    <w:basedOn w:val="CommentTextChar"/>
    <w:link w:val="CommentSubject"/>
    <w:uiPriority w:val="99"/>
    <w:semiHidden/>
    <w:rsid w:val="003C5696"/>
    <w:rPr>
      <w:b/>
      <w:bCs/>
    </w:rPr>
  </w:style>
  <w:style w:type="paragraph" w:styleId="Revision">
    <w:name w:val="Revision"/>
    <w:hidden/>
    <w:uiPriority w:val="99"/>
    <w:semiHidden/>
    <w:rsid w:val="00DC3533"/>
    <w:rPr>
      <w:sz w:val="26"/>
    </w:rPr>
  </w:style>
  <w:style w:type="character" w:customStyle="1" w:styleId="FootnoteTextChar">
    <w:name w:val="Footnote Text Char"/>
    <w:basedOn w:val="DefaultParagraphFont"/>
    <w:link w:val="FootnoteText"/>
    <w:rsid w:val="00BD4483"/>
    <w:rPr>
      <w:rFonts w:ascii="Century Schoolbook" w:hAnsi="Century Schoolbook"/>
      <w:sz w:val="27"/>
    </w:rPr>
  </w:style>
  <w:style w:type="paragraph" w:styleId="BalloonText">
    <w:name w:val="Balloon Text"/>
    <w:basedOn w:val="Normal"/>
    <w:link w:val="BalloonTextChar"/>
    <w:uiPriority w:val="99"/>
    <w:semiHidden/>
    <w:unhideWhenUsed/>
    <w:rsid w:val="003760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0B4"/>
    <w:rPr>
      <w:rFonts w:ascii="Segoe UI" w:hAnsi="Segoe UI" w:cs="Segoe UI"/>
      <w:sz w:val="18"/>
      <w:szCs w:val="18"/>
    </w:rPr>
  </w:style>
  <w:style w:type="character" w:styleId="Hyperlink">
    <w:name w:val="Hyperlink"/>
    <w:basedOn w:val="DefaultParagraphFont"/>
    <w:uiPriority w:val="99"/>
    <w:unhideWhenUsed/>
    <w:rsid w:val="003F4053"/>
    <w:rPr>
      <w:color w:val="0000FF" w:themeColor="hyperlink"/>
      <w:u w:val="single"/>
    </w:rPr>
  </w:style>
  <w:style w:type="character" w:customStyle="1" w:styleId="UnresolvedMention">
    <w:name w:val="Unresolved Mention"/>
    <w:basedOn w:val="DefaultParagraphFont"/>
    <w:uiPriority w:val="99"/>
    <w:semiHidden/>
    <w:unhideWhenUsed/>
    <w:rsid w:val="003F4053"/>
    <w:rPr>
      <w:color w:val="605E5C"/>
      <w:shd w:val="clear" w:color="auto" w:fill="E1DFDD"/>
    </w:rPr>
  </w:style>
  <w:style w:type="character" w:styleId="FollowedHyperlink">
    <w:name w:val="FollowedHyperlink"/>
    <w:basedOn w:val="DefaultParagraphFont"/>
    <w:uiPriority w:val="99"/>
    <w:semiHidden/>
    <w:unhideWhenUsed/>
    <w:rsid w:val="003F4053"/>
    <w:rPr>
      <w:color w:val="800080" w:themeColor="followedHyperlink"/>
      <w:u w:val="single"/>
    </w:rPr>
  </w:style>
  <w:style w:type="character" w:customStyle="1" w:styleId="TextChar">
    <w:name w:val="Text Char"/>
    <w:link w:val="Text"/>
    <w:rsid w:val="001E4560"/>
    <w:rPr>
      <w:rFonts w:ascii="Century Schoolbook" w:hAnsi="Century Schoolbook"/>
      <w:sz w:val="27"/>
    </w:rPr>
  </w:style>
  <w:style w:type="character" w:customStyle="1" w:styleId="Heading2Char">
    <w:name w:val="Heading 2 Char"/>
    <w:basedOn w:val="DefaultParagraphFont"/>
    <w:link w:val="Heading2"/>
    <w:rsid w:val="00AB0FB6"/>
    <w:rPr>
      <w:rFonts w:ascii="Century Schoolbook" w:hAnsi="Century Schoolbook"/>
      <w:b/>
      <w:sz w:val="27"/>
    </w:rPr>
  </w:style>
  <w:style w:type="paragraph" w:styleId="BodyText">
    <w:name w:val="Body Text"/>
    <w:basedOn w:val="Normal"/>
    <w:link w:val="BodyTextChar"/>
    <w:qFormat/>
    <w:rsid w:val="00DA0A96"/>
  </w:style>
  <w:style w:type="character" w:customStyle="1" w:styleId="BodyTextChar">
    <w:name w:val="Body Text Char"/>
    <w:basedOn w:val="DefaultParagraphFont"/>
    <w:link w:val="BodyText"/>
    <w:rsid w:val="00DA0A96"/>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9264</Words>
  <Characters>52809</Characters>
  <Application>Microsoft Office Word</Application>
  <DocSecurity>0</DocSecurity>
  <Lines>440</Lines>
  <Paragraphs>123</Paragraphs>
  <ScaleCrop>false</ScaleCrop>
  <Company/>
  <LinksUpToDate>false</LinksUpToDate>
  <CharactersWithSpaces>61950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2023-04-27T16:09:23Z</dcterms:created>
  <dcterms:modified xsi:type="dcterms:W3CDTF">2023-04-27T16:09:23Z</dcterms:modified>
</cp:coreProperties>
</file>