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641B0" w:rsidP="000641B0" w14:paraId="4D0FA1CE" w14:textId="647FBB40">
      <w:pPr>
        <w:pStyle w:val="Heading1"/>
        <w:spacing w:after="0" w:line="400" w:lineRule="exact"/>
        <w:rPr>
          <w:b w:val="0"/>
          <w:sz w:val="36"/>
        </w:rPr>
      </w:pPr>
      <w:bookmarkStart w:id="0" w:name="MarkDocLoc"/>
      <w:bookmarkEnd w:id="0"/>
      <w:r>
        <w:rPr>
          <w:sz w:val="36"/>
        </w:rPr>
        <w:t>IN THE SUPREME COURT OF CALIFORNIA</w:t>
      </w:r>
    </w:p>
    <w:p w:rsidR="000641B0" w:rsidP="000641B0" w14:paraId="1FC4F7F3" w14:textId="77777777">
      <w:pPr>
        <w:spacing w:after="0"/>
      </w:pPr>
    </w:p>
    <w:p w:rsidR="000641B0" w:rsidP="00993A78" w14:paraId="6E77F171" w14:textId="04A05E24">
      <w:pPr>
        <w:spacing w:after="0"/>
        <w:jc w:val="center"/>
      </w:pPr>
      <w:r>
        <w:t>In re JASMINE JENKINS</w:t>
      </w:r>
    </w:p>
    <w:p w:rsidR="000641B0" w:rsidP="00993A78" w14:paraId="3908BF38" w14:textId="133F760C">
      <w:pPr>
        <w:spacing w:after="0"/>
        <w:jc w:val="center"/>
      </w:pPr>
      <w:r>
        <w:t>on Habeas Corpus.</w:t>
      </w:r>
    </w:p>
    <w:p w:rsidR="00A05DE6" w:rsidP="00993A78" w14:paraId="4EFE738C" w14:textId="77777777">
      <w:pPr>
        <w:spacing w:after="0"/>
        <w:jc w:val="center"/>
      </w:pPr>
    </w:p>
    <w:p w:rsidR="000641B0" w:rsidP="00993A78" w14:paraId="586A3FD8" w14:textId="7F201DC7">
      <w:pPr>
        <w:spacing w:after="0"/>
        <w:jc w:val="center"/>
      </w:pPr>
      <w:r>
        <w:t>S267391</w:t>
      </w:r>
    </w:p>
    <w:p w:rsidR="000641B0" w:rsidP="00993A78" w14:paraId="7C37F75D" w14:textId="77777777">
      <w:pPr>
        <w:spacing w:after="0"/>
        <w:jc w:val="center"/>
      </w:pPr>
    </w:p>
    <w:p w:rsidR="000641B0" w:rsidP="00993A78" w14:paraId="16E9906A" w14:textId="35C31E01">
      <w:pPr>
        <w:spacing w:after="0"/>
        <w:jc w:val="center"/>
      </w:pPr>
      <w:r>
        <w:t xml:space="preserve">Second Appellate District, Division </w:t>
      </w:r>
      <w:r w:rsidR="00CB726D">
        <w:t>One</w:t>
      </w:r>
    </w:p>
    <w:p w:rsidR="000641B0" w:rsidP="00993A78" w14:paraId="7A83F9A8" w14:textId="3C983B84">
      <w:pPr>
        <w:spacing w:after="0"/>
        <w:jc w:val="center"/>
      </w:pPr>
      <w:r>
        <w:t>B301638</w:t>
      </w:r>
    </w:p>
    <w:p w:rsidR="000B49C2" w:rsidP="00993A78" w14:paraId="177028B5" w14:textId="77777777">
      <w:pPr>
        <w:spacing w:after="0"/>
        <w:jc w:val="center"/>
      </w:pPr>
    </w:p>
    <w:p w:rsidR="000B49C2" w:rsidP="000B49C2" w14:paraId="37575CA3" w14:textId="77777777">
      <w:pPr>
        <w:spacing w:after="0"/>
        <w:jc w:val="center"/>
      </w:pPr>
      <w:r>
        <w:t xml:space="preserve">Los Angeles County Superior Court </w:t>
      </w:r>
    </w:p>
    <w:p w:rsidR="000641B0" w:rsidP="000B49C2" w14:paraId="795DAF40" w14:textId="72AECF65">
      <w:pPr>
        <w:spacing w:after="0"/>
        <w:jc w:val="center"/>
      </w:pPr>
      <w:r>
        <w:t>BA467828</w:t>
      </w:r>
    </w:p>
    <w:p w:rsidR="000641B0" w:rsidP="000641B0" w14:paraId="6C593A56" w14:textId="77777777">
      <w:pPr>
        <w:pBdr>
          <w:bottom w:val="single" w:sz="4" w:space="1" w:color="auto"/>
        </w:pBdr>
        <w:spacing w:after="0"/>
        <w:jc w:val="center"/>
      </w:pPr>
    </w:p>
    <w:p w:rsidR="000641B0" w:rsidP="00233E41" w14:paraId="6A9D88CA" w14:textId="77777777">
      <w:pPr>
        <w:pStyle w:val="Heading1"/>
        <w:spacing w:after="0" w:line="400" w:lineRule="exact"/>
        <w:jc w:val="both"/>
      </w:pPr>
    </w:p>
    <w:p w:rsidR="000641B0" w:rsidP="00281ACF" w14:paraId="13DF4D7F" w14:textId="6313D93A">
      <w:pPr>
        <w:spacing w:after="0"/>
        <w:jc w:val="center"/>
      </w:pPr>
      <w:r>
        <w:t>March</w:t>
      </w:r>
      <w:r w:rsidR="0074118F">
        <w:t xml:space="preserve"> </w:t>
      </w:r>
      <w:r w:rsidR="002139EF">
        <w:t>27</w:t>
      </w:r>
      <w:r>
        <w:t>, 2023</w:t>
      </w:r>
    </w:p>
    <w:p w:rsidR="00233E41" w:rsidP="00281ACF" w14:paraId="24100603" w14:textId="77777777">
      <w:pPr>
        <w:spacing w:after="0"/>
        <w:jc w:val="center"/>
      </w:pPr>
    </w:p>
    <w:p w:rsidR="00233E41" w:rsidP="00281ACF" w14:paraId="04E2EA12" w14:textId="2D64BB4F">
      <w:pPr>
        <w:spacing w:after="0"/>
        <w:jc w:val="left"/>
      </w:pPr>
      <w:r w:rsidRPr="00233E41">
        <w:t xml:space="preserve">Chief Justice </w:t>
      </w:r>
      <w:r>
        <w:t>Guerrero</w:t>
      </w:r>
      <w:r w:rsidRPr="00233E41">
        <w:t xml:space="preserve"> authored the opinion of the Court, in</w:t>
      </w:r>
      <w:r w:rsidR="00281ACF">
        <w:t xml:space="preserve"> </w:t>
      </w:r>
      <w:r w:rsidRPr="00233E41">
        <w:t xml:space="preserve">which </w:t>
      </w:r>
      <w:r w:rsidR="00211353">
        <w:t xml:space="preserve">Justices </w:t>
      </w:r>
      <w:r w:rsidR="005F40A6">
        <w:t>Corrigan, Liu, Kruger, Groban, Jenkins, and Evans</w:t>
      </w:r>
      <w:r w:rsidRPr="00233E41">
        <w:t xml:space="preserve"> concurred</w:t>
      </w:r>
      <w:bookmarkStart w:id="1" w:name="Return"/>
      <w:bookmarkEnd w:id="1"/>
      <w:r w:rsidRPr="00233E41">
        <w:t>.</w:t>
      </w:r>
    </w:p>
    <w:p w:rsidR="000641B0" w:rsidP="000641B0" w14:paraId="2352A6DF" w14:textId="77777777">
      <w:pPr>
        <w:pBdr>
          <w:bottom w:val="single" w:sz="4" w:space="1" w:color="auto"/>
        </w:pBdr>
        <w:jc w:val="left"/>
      </w:pPr>
    </w:p>
    <w:p w:rsidR="00101893" w:rsidRPr="000641B0" w:rsidP="000641B0" w14:paraId="24A8F894" w14:textId="2B742F98">
      <w:pPr>
        <w:pBdr>
          <w:bottom w:val="single" w:sz="4" w:space="1" w:color="auto"/>
        </w:pBdr>
        <w:jc w:val="left"/>
        <w:sectPr w:rsidSect="000641B0">
          <w:headerReference w:type="default" r:id="rId6"/>
          <w:footerReference w:type="default" r:id="rId7"/>
          <w:pgSz w:w="12240" w:h="15840"/>
          <w:pgMar w:top="1800" w:right="2160" w:bottom="1440" w:left="2160" w:header="720" w:footer="720" w:gutter="0"/>
          <w:cols w:space="720"/>
          <w:titlePg/>
          <w:docGrid w:linePitch="367"/>
        </w:sectPr>
      </w:pPr>
    </w:p>
    <w:p w:rsidR="000641B0" w:rsidP="005C632D" w14:paraId="1B0FC97D" w14:textId="340410B7">
      <w:pPr>
        <w:pStyle w:val="BodyText"/>
        <w:jc w:val="center"/>
      </w:pPr>
      <w:r>
        <w:t xml:space="preserve">In re </w:t>
      </w:r>
      <w:r w:rsidR="00F16D2E">
        <w:t>J</w:t>
      </w:r>
      <w:r w:rsidR="005C632D">
        <w:t>ENKINS</w:t>
      </w:r>
    </w:p>
    <w:p w:rsidR="000641B0" w:rsidP="005C632D" w14:paraId="1A03304E" w14:textId="77777777">
      <w:pPr>
        <w:pStyle w:val="BodyText"/>
        <w:jc w:val="center"/>
      </w:pPr>
      <w:r>
        <w:t>S267391</w:t>
      </w:r>
    </w:p>
    <w:p w:rsidR="000641B0" w:rsidP="005C632D" w14:paraId="2B6DC46C" w14:textId="77777777">
      <w:pPr>
        <w:pStyle w:val="BodyText"/>
      </w:pPr>
    </w:p>
    <w:p w:rsidR="00C739C5" w:rsidRPr="005C632D" w:rsidP="005C632D" w14:paraId="467FAB85" w14:textId="3949B50C">
      <w:pPr>
        <w:pStyle w:val="BodyText"/>
        <w:jc w:val="center"/>
      </w:pPr>
      <w:r w:rsidRPr="005C632D">
        <w:t>Opinion of the Court by Guerrero, C.</w:t>
      </w:r>
      <w:r w:rsidR="00AC5372">
        <w:t xml:space="preserve"> </w:t>
      </w:r>
      <w:r w:rsidRPr="005C632D">
        <w:t>J.</w:t>
      </w:r>
    </w:p>
    <w:p w:rsidR="00740767" w:rsidP="000641B0" w14:paraId="3F4E9ABE" w14:textId="77777777">
      <w:pPr>
        <w:ind w:firstLine="720"/>
        <w:rPr>
          <w:bCs/>
        </w:rPr>
      </w:pPr>
    </w:p>
    <w:p w:rsidR="00D541AC" w:rsidRPr="000641B0" w:rsidP="000641B0" w14:paraId="7A53AB2A" w14:textId="5D936CB6">
      <w:pPr>
        <w:ind w:firstLine="720"/>
        <w:rPr>
          <w:bCs/>
        </w:rPr>
      </w:pPr>
      <w:r w:rsidRPr="000641B0">
        <w:rPr>
          <w:bCs/>
        </w:rPr>
        <w:t>After a jury found her</w:t>
      </w:r>
      <w:r w:rsidRPr="000641B0" w:rsidR="00093C7F">
        <w:rPr>
          <w:bCs/>
        </w:rPr>
        <w:t xml:space="preserve"> guilty of </w:t>
      </w:r>
      <w:r w:rsidRPr="000641B0" w:rsidR="006353FE">
        <w:rPr>
          <w:bCs/>
        </w:rPr>
        <w:t xml:space="preserve">voluntary </w:t>
      </w:r>
      <w:r w:rsidRPr="000641B0" w:rsidR="00093C7F">
        <w:rPr>
          <w:bCs/>
        </w:rPr>
        <w:t xml:space="preserve">manslaughter, Jasmine Jenkins </w:t>
      </w:r>
      <w:r w:rsidR="00101893">
        <w:rPr>
          <w:bCs/>
        </w:rPr>
        <w:t xml:space="preserve">appealed and </w:t>
      </w:r>
      <w:r w:rsidRPr="000641B0" w:rsidR="00093C7F">
        <w:rPr>
          <w:bCs/>
        </w:rPr>
        <w:t xml:space="preserve">filed a </w:t>
      </w:r>
      <w:r w:rsidRPr="000641B0" w:rsidR="002D730F">
        <w:rPr>
          <w:bCs/>
        </w:rPr>
        <w:t xml:space="preserve">petition for </w:t>
      </w:r>
      <w:r w:rsidR="001F49B7">
        <w:rPr>
          <w:bCs/>
        </w:rPr>
        <w:t xml:space="preserve">writ of </w:t>
      </w:r>
      <w:r w:rsidRPr="000641B0" w:rsidR="002D730F">
        <w:rPr>
          <w:bCs/>
        </w:rPr>
        <w:t xml:space="preserve">habeas corpus </w:t>
      </w:r>
      <w:r w:rsidRPr="000641B0" w:rsidR="00264AD9">
        <w:rPr>
          <w:bCs/>
        </w:rPr>
        <w:t>in the Court of Appeal</w:t>
      </w:r>
      <w:r w:rsidR="00101893">
        <w:rPr>
          <w:bCs/>
        </w:rPr>
        <w:t>.  In the writ petition, she</w:t>
      </w:r>
      <w:r w:rsidRPr="000641B0" w:rsidR="00264AD9">
        <w:rPr>
          <w:bCs/>
        </w:rPr>
        <w:t xml:space="preserve"> </w:t>
      </w:r>
      <w:r w:rsidRPr="000641B0" w:rsidR="002D730F">
        <w:rPr>
          <w:bCs/>
        </w:rPr>
        <w:t>claim</w:t>
      </w:r>
      <w:r w:rsidR="00101893">
        <w:rPr>
          <w:bCs/>
        </w:rPr>
        <w:t>ed</w:t>
      </w:r>
      <w:r w:rsidRPr="000641B0" w:rsidR="002D730F">
        <w:rPr>
          <w:bCs/>
        </w:rPr>
        <w:t xml:space="preserve"> the prosecution had suppressed evidence </w:t>
      </w:r>
      <w:r w:rsidRPr="000641B0" w:rsidR="00596F89">
        <w:rPr>
          <w:bCs/>
        </w:rPr>
        <w:t>at trial in violation o</w:t>
      </w:r>
      <w:r w:rsidRPr="000641B0" w:rsidR="003D0886">
        <w:rPr>
          <w:bCs/>
        </w:rPr>
        <w:t xml:space="preserve">f </w:t>
      </w:r>
      <w:bookmarkStart w:id="2" w:name="_Hlk125711069"/>
      <w:r w:rsidRPr="000641B0" w:rsidR="005B7EE2">
        <w:rPr>
          <w:bCs/>
          <w:i/>
          <w:iCs/>
        </w:rPr>
        <w:t xml:space="preserve">Brady v. Maryland </w:t>
      </w:r>
      <w:r w:rsidRPr="000641B0" w:rsidR="005B7EE2">
        <w:rPr>
          <w:bCs/>
        </w:rPr>
        <w:t xml:space="preserve">(1963) </w:t>
      </w:r>
      <w:r w:rsidRPr="000641B0" w:rsidR="00832C08">
        <w:rPr>
          <w:bCs/>
        </w:rPr>
        <w:t>373</w:t>
      </w:r>
      <w:r w:rsidR="00832C08">
        <w:rPr>
          <w:bCs/>
        </w:rPr>
        <w:t> </w:t>
      </w:r>
      <w:r w:rsidRPr="000641B0" w:rsidR="005B7EE2">
        <w:rPr>
          <w:bCs/>
        </w:rPr>
        <w:t>U.S. 83 (</w:t>
      </w:r>
      <w:r w:rsidRPr="000641B0" w:rsidR="005B7EE2">
        <w:rPr>
          <w:bCs/>
          <w:i/>
          <w:iCs/>
        </w:rPr>
        <w:t>Brady</w:t>
      </w:r>
      <w:r w:rsidRPr="000641B0" w:rsidR="005B7EE2">
        <w:rPr>
          <w:bCs/>
        </w:rPr>
        <w:t>)</w:t>
      </w:r>
      <w:r w:rsidRPr="000641B0" w:rsidR="00596F89">
        <w:rPr>
          <w:bCs/>
        </w:rPr>
        <w:t xml:space="preserve">. </w:t>
      </w:r>
      <w:r w:rsidRPr="000641B0" w:rsidR="00F43B35">
        <w:rPr>
          <w:bCs/>
        </w:rPr>
        <w:t xml:space="preserve"> </w:t>
      </w:r>
      <w:bookmarkEnd w:id="2"/>
      <w:r w:rsidRPr="000641B0" w:rsidR="00F43B35">
        <w:rPr>
          <w:bCs/>
        </w:rPr>
        <w:t xml:space="preserve">Specifically, Jenkins alleged the </w:t>
      </w:r>
      <w:r w:rsidRPr="000641B0" w:rsidR="00351F28">
        <w:rPr>
          <w:bCs/>
        </w:rPr>
        <w:t xml:space="preserve">People </w:t>
      </w:r>
      <w:r w:rsidRPr="000641B0" w:rsidR="00F468D5">
        <w:rPr>
          <w:bCs/>
        </w:rPr>
        <w:t xml:space="preserve">had suppressed evidence that </w:t>
      </w:r>
      <w:r w:rsidRPr="000641B0" w:rsidR="008E6831">
        <w:rPr>
          <w:bCs/>
        </w:rPr>
        <w:t xml:space="preserve">the </w:t>
      </w:r>
      <w:r w:rsidRPr="000641B0" w:rsidR="00F43B35">
        <w:rPr>
          <w:bCs/>
        </w:rPr>
        <w:t xml:space="preserve">victim and a </w:t>
      </w:r>
      <w:r w:rsidRPr="000641B0" w:rsidR="008C2A94">
        <w:rPr>
          <w:bCs/>
        </w:rPr>
        <w:t xml:space="preserve">key </w:t>
      </w:r>
      <w:r w:rsidRPr="000641B0" w:rsidR="00F43B35">
        <w:rPr>
          <w:bCs/>
        </w:rPr>
        <w:t xml:space="preserve">witness </w:t>
      </w:r>
      <w:r w:rsidRPr="000641B0" w:rsidR="006B12DE">
        <w:rPr>
          <w:bCs/>
        </w:rPr>
        <w:t>had</w:t>
      </w:r>
      <w:r w:rsidRPr="000641B0" w:rsidR="00AE4BE8">
        <w:rPr>
          <w:bCs/>
        </w:rPr>
        <w:t xml:space="preserve"> </w:t>
      </w:r>
      <w:r w:rsidRPr="000641B0" w:rsidR="00F468D5">
        <w:rPr>
          <w:bCs/>
        </w:rPr>
        <w:t>previously</w:t>
      </w:r>
      <w:r w:rsidRPr="000641B0" w:rsidR="00560F76">
        <w:rPr>
          <w:bCs/>
        </w:rPr>
        <w:t xml:space="preserve"> </w:t>
      </w:r>
      <w:r w:rsidRPr="000641B0" w:rsidR="008C2A94">
        <w:rPr>
          <w:bCs/>
        </w:rPr>
        <w:t xml:space="preserve">been </w:t>
      </w:r>
      <w:r w:rsidRPr="000641B0" w:rsidR="00C66589">
        <w:rPr>
          <w:bCs/>
        </w:rPr>
        <w:t xml:space="preserve">prosecuted </w:t>
      </w:r>
      <w:r w:rsidRPr="000641B0" w:rsidR="006B12DE">
        <w:rPr>
          <w:bCs/>
        </w:rPr>
        <w:t>for aggravated assault</w:t>
      </w:r>
      <w:r w:rsidRPr="000641B0" w:rsidR="002A04BD">
        <w:rPr>
          <w:bCs/>
        </w:rPr>
        <w:t xml:space="preserve"> arising from </w:t>
      </w:r>
      <w:r w:rsidR="00BE16BA">
        <w:rPr>
          <w:bCs/>
        </w:rPr>
        <w:t>an incident that occurred 12</w:t>
      </w:r>
      <w:r w:rsidR="00797BB5">
        <w:rPr>
          <w:bCs/>
        </w:rPr>
        <w:t> </w:t>
      </w:r>
      <w:r w:rsidR="00BE16BA">
        <w:rPr>
          <w:bCs/>
        </w:rPr>
        <w:t>years earlier</w:t>
      </w:r>
      <w:r w:rsidRPr="000641B0" w:rsidR="0014677F">
        <w:rPr>
          <w:bCs/>
        </w:rPr>
        <w:t xml:space="preserve">, which Jenkins </w:t>
      </w:r>
      <w:r w:rsidRPr="000641B0" w:rsidR="009E000F">
        <w:rPr>
          <w:bCs/>
        </w:rPr>
        <w:t>assert</w:t>
      </w:r>
      <w:r w:rsidR="009E000F">
        <w:rPr>
          <w:bCs/>
        </w:rPr>
        <w:t>ed</w:t>
      </w:r>
      <w:r w:rsidRPr="000641B0" w:rsidR="009E000F">
        <w:rPr>
          <w:bCs/>
        </w:rPr>
        <w:t xml:space="preserve"> </w:t>
      </w:r>
      <w:r w:rsidRPr="000641B0" w:rsidR="0014677F">
        <w:rPr>
          <w:bCs/>
        </w:rPr>
        <w:t>would have supported her claim of self-defense</w:t>
      </w:r>
      <w:r w:rsidRPr="000641B0" w:rsidR="006B12DE">
        <w:rPr>
          <w:bCs/>
        </w:rPr>
        <w:t>.</w:t>
      </w:r>
      <w:r w:rsidRPr="000641B0" w:rsidR="00596F89">
        <w:rPr>
          <w:bCs/>
        </w:rPr>
        <w:t xml:space="preserve"> </w:t>
      </w:r>
      <w:r w:rsidRPr="000641B0" w:rsidR="00A8694D">
        <w:rPr>
          <w:bCs/>
        </w:rPr>
        <w:t xml:space="preserve"> </w:t>
      </w:r>
      <w:r w:rsidR="001F49B7">
        <w:rPr>
          <w:bCs/>
        </w:rPr>
        <w:t xml:space="preserve">To support her allegations, Jenkins attached as an exhibit an appellate court opinion </w:t>
      </w:r>
      <w:r w:rsidR="00F10CA2">
        <w:rPr>
          <w:bCs/>
        </w:rPr>
        <w:t xml:space="preserve">downloaded from LexisNexis </w:t>
      </w:r>
      <w:r w:rsidR="001F49B7">
        <w:rPr>
          <w:bCs/>
        </w:rPr>
        <w:t>that apparently referred to the prior prosecution.</w:t>
      </w:r>
    </w:p>
    <w:p w:rsidR="00D541AC" w:rsidRPr="000641B0" w:rsidP="000641B0" w14:paraId="6EAC4208" w14:textId="7A6A51DF">
      <w:pPr>
        <w:ind w:firstLine="720"/>
        <w:rPr>
          <w:bCs/>
        </w:rPr>
      </w:pPr>
      <w:r w:rsidRPr="000641B0">
        <w:rPr>
          <w:bCs/>
        </w:rPr>
        <w:t>The Attorney General filed an informal response</w:t>
      </w:r>
      <w:r w:rsidRPr="000641B0" w:rsidR="00632056">
        <w:rPr>
          <w:bCs/>
        </w:rPr>
        <w:t xml:space="preserve"> </w:t>
      </w:r>
      <w:r w:rsidRPr="000641B0">
        <w:rPr>
          <w:bCs/>
        </w:rPr>
        <w:t>and</w:t>
      </w:r>
      <w:r w:rsidR="00D71986">
        <w:rPr>
          <w:bCs/>
        </w:rPr>
        <w:t xml:space="preserve">, after the </w:t>
      </w:r>
      <w:r w:rsidR="00713989">
        <w:rPr>
          <w:bCs/>
        </w:rPr>
        <w:t>Court of Appeal issued an order to show cause, submitted</w:t>
      </w:r>
      <w:r w:rsidRPr="000641B0">
        <w:rPr>
          <w:bCs/>
        </w:rPr>
        <w:t xml:space="preserve"> a </w:t>
      </w:r>
      <w:r w:rsidRPr="000641B0" w:rsidR="00AD39B6">
        <w:rPr>
          <w:bCs/>
        </w:rPr>
        <w:t xml:space="preserve">brief in support of his </w:t>
      </w:r>
      <w:r w:rsidRPr="000641B0">
        <w:rPr>
          <w:bCs/>
        </w:rPr>
        <w:t>return</w:t>
      </w:r>
      <w:r w:rsidRPr="000641B0" w:rsidR="00F05EE7">
        <w:rPr>
          <w:bCs/>
        </w:rPr>
        <w:t>,</w:t>
      </w:r>
      <w:r w:rsidRPr="000641B0" w:rsidR="00C66589">
        <w:rPr>
          <w:bCs/>
        </w:rPr>
        <w:t xml:space="preserve"> </w:t>
      </w:r>
      <w:r w:rsidRPr="000641B0" w:rsidR="00A823B9">
        <w:rPr>
          <w:bCs/>
        </w:rPr>
        <w:t>argu</w:t>
      </w:r>
      <w:r w:rsidRPr="000641B0" w:rsidR="00632056">
        <w:rPr>
          <w:bCs/>
        </w:rPr>
        <w:t>ing</w:t>
      </w:r>
      <w:r w:rsidRPr="000641B0" w:rsidR="00A823B9">
        <w:rPr>
          <w:bCs/>
        </w:rPr>
        <w:t xml:space="preserve"> </w:t>
      </w:r>
      <w:r w:rsidRPr="000641B0" w:rsidR="00743DDD">
        <w:rPr>
          <w:bCs/>
        </w:rPr>
        <w:t xml:space="preserve">Jenkins had failed to present sufficient evidence </w:t>
      </w:r>
      <w:r w:rsidRPr="000641B0" w:rsidR="00A01DF9">
        <w:rPr>
          <w:bCs/>
        </w:rPr>
        <w:t>of the prior case</w:t>
      </w:r>
      <w:r w:rsidRPr="000641B0" w:rsidR="0086667C">
        <w:rPr>
          <w:bCs/>
        </w:rPr>
        <w:t xml:space="preserve"> forming the basis of her </w:t>
      </w:r>
      <w:r w:rsidRPr="000641B0" w:rsidR="0086667C">
        <w:rPr>
          <w:bCs/>
          <w:i/>
          <w:iCs/>
        </w:rPr>
        <w:t>Brady</w:t>
      </w:r>
      <w:r w:rsidRPr="000641B0" w:rsidR="0086667C">
        <w:rPr>
          <w:bCs/>
        </w:rPr>
        <w:t xml:space="preserve"> claim</w:t>
      </w:r>
      <w:r w:rsidRPr="000641B0" w:rsidR="00C66589">
        <w:rPr>
          <w:bCs/>
        </w:rPr>
        <w:t xml:space="preserve">. </w:t>
      </w:r>
      <w:r w:rsidRPr="000641B0" w:rsidR="00632056">
        <w:rPr>
          <w:bCs/>
        </w:rPr>
        <w:t xml:space="preserve"> </w:t>
      </w:r>
      <w:r w:rsidRPr="000641B0" w:rsidR="00C66589">
        <w:rPr>
          <w:bCs/>
        </w:rPr>
        <w:t xml:space="preserve">In particular, the Attorney General argued that </w:t>
      </w:r>
      <w:r w:rsidR="001F49B7">
        <w:rPr>
          <w:bCs/>
        </w:rPr>
        <w:t>the appellate opinion</w:t>
      </w:r>
      <w:r w:rsidRPr="000641B0" w:rsidR="00632056">
        <w:rPr>
          <w:bCs/>
        </w:rPr>
        <w:t xml:space="preserve"> </w:t>
      </w:r>
      <w:r w:rsidRPr="000641B0" w:rsidR="00BA4C70">
        <w:rPr>
          <w:bCs/>
        </w:rPr>
        <w:t>w</w:t>
      </w:r>
      <w:r w:rsidRPr="000641B0" w:rsidR="0048255D">
        <w:rPr>
          <w:bCs/>
        </w:rPr>
        <w:t>as</w:t>
      </w:r>
      <w:r w:rsidRPr="000641B0" w:rsidR="00BA4C70">
        <w:rPr>
          <w:bCs/>
        </w:rPr>
        <w:t xml:space="preserve"> “</w:t>
      </w:r>
      <w:r w:rsidRPr="000641B0" w:rsidR="00743DDD">
        <w:rPr>
          <w:bCs/>
        </w:rPr>
        <w:t>nothing but an apparent printout of an unspecified and unverified Internet source</w:t>
      </w:r>
      <w:r w:rsidRPr="000641B0" w:rsidR="008F0CCE">
        <w:rPr>
          <w:bCs/>
        </w:rPr>
        <w:t>.</w:t>
      </w:r>
      <w:r w:rsidRPr="000641B0" w:rsidR="0048255D">
        <w:rPr>
          <w:bCs/>
        </w:rPr>
        <w:t xml:space="preserve">” </w:t>
      </w:r>
      <w:r w:rsidRPr="000641B0" w:rsidR="00550959">
        <w:rPr>
          <w:bCs/>
        </w:rPr>
        <w:t xml:space="preserve"> </w:t>
      </w:r>
    </w:p>
    <w:p w:rsidR="00D541AC" w:rsidRPr="000641B0" w:rsidP="000641B0" w14:paraId="630FD932" w14:textId="3354873B">
      <w:pPr>
        <w:ind w:firstLine="720"/>
        <w:rPr>
          <w:bCs/>
        </w:rPr>
      </w:pPr>
      <w:r w:rsidRPr="000641B0">
        <w:rPr>
          <w:bCs/>
        </w:rPr>
        <w:t xml:space="preserve">The Court of Appeal assumed </w:t>
      </w:r>
      <w:r w:rsidRPr="000641B0" w:rsidR="004F1124">
        <w:rPr>
          <w:bCs/>
        </w:rPr>
        <w:t>the opinion</w:t>
      </w:r>
      <w:r w:rsidRPr="000641B0" w:rsidR="00DF7C7F">
        <w:rPr>
          <w:bCs/>
        </w:rPr>
        <w:t xml:space="preserve"> </w:t>
      </w:r>
      <w:r w:rsidRPr="000641B0" w:rsidR="002A04BD">
        <w:rPr>
          <w:bCs/>
        </w:rPr>
        <w:t xml:space="preserve">from the prior case </w:t>
      </w:r>
      <w:r w:rsidR="001F49B7">
        <w:rPr>
          <w:bCs/>
        </w:rPr>
        <w:t xml:space="preserve">referred to the victim and the witness, </w:t>
      </w:r>
      <w:r w:rsidRPr="000641B0" w:rsidR="004F1124">
        <w:rPr>
          <w:bCs/>
        </w:rPr>
        <w:t xml:space="preserve">but </w:t>
      </w:r>
      <w:r w:rsidR="001F49B7">
        <w:rPr>
          <w:bCs/>
        </w:rPr>
        <w:t xml:space="preserve">it </w:t>
      </w:r>
      <w:r w:rsidRPr="000641B0" w:rsidR="004F1124">
        <w:rPr>
          <w:bCs/>
        </w:rPr>
        <w:t xml:space="preserve">concluded the evidence </w:t>
      </w:r>
      <w:r w:rsidR="001F49B7">
        <w:rPr>
          <w:bCs/>
        </w:rPr>
        <w:t xml:space="preserve">of prior prosecution </w:t>
      </w:r>
      <w:r w:rsidRPr="000641B0" w:rsidR="004F1124">
        <w:rPr>
          <w:bCs/>
        </w:rPr>
        <w:t xml:space="preserve">was not material under </w:t>
      </w:r>
      <w:r w:rsidRPr="000641B0" w:rsidR="004F1124">
        <w:rPr>
          <w:bCs/>
          <w:i/>
          <w:iCs/>
        </w:rPr>
        <w:t>Brady</w:t>
      </w:r>
      <w:r w:rsidRPr="000641B0" w:rsidR="004F1124">
        <w:rPr>
          <w:bCs/>
        </w:rPr>
        <w:t xml:space="preserve"> and denied </w:t>
      </w:r>
      <w:r w:rsidRPr="000641B0" w:rsidR="002102BC">
        <w:rPr>
          <w:bCs/>
        </w:rPr>
        <w:t>Jenkins’s petition</w:t>
      </w:r>
      <w:r w:rsidR="008A0129">
        <w:rPr>
          <w:bCs/>
        </w:rPr>
        <w:t xml:space="preserve"> for writ of habeas corpus</w:t>
      </w:r>
      <w:r w:rsidRPr="000641B0" w:rsidR="002102BC">
        <w:rPr>
          <w:bCs/>
        </w:rPr>
        <w:t>.</w:t>
      </w:r>
      <w:r w:rsidRPr="000641B0" w:rsidR="00297121">
        <w:rPr>
          <w:bCs/>
        </w:rPr>
        <w:t xml:space="preserve"> </w:t>
      </w:r>
      <w:r w:rsidRPr="000641B0" w:rsidR="009B4A57">
        <w:rPr>
          <w:bCs/>
        </w:rPr>
        <w:t xml:space="preserve"> </w:t>
      </w:r>
    </w:p>
    <w:p w:rsidR="00D541AC" w:rsidRPr="000641B0" w:rsidP="000641B0" w14:paraId="10546EB5" w14:textId="68E3F874">
      <w:pPr>
        <w:ind w:firstLine="720"/>
        <w:rPr>
          <w:bCs/>
        </w:rPr>
      </w:pPr>
      <w:r w:rsidRPr="000641B0">
        <w:rPr>
          <w:bCs/>
        </w:rPr>
        <w:t>Jenkins filed a petition for review</w:t>
      </w:r>
      <w:r w:rsidR="007D433F">
        <w:rPr>
          <w:bCs/>
        </w:rPr>
        <w:t xml:space="preserve"> in which she contended that it was appropriate to grant review because the Attorney General had violated her right to due process by suppressing the same evidence that formed the basis of her </w:t>
      </w:r>
      <w:r w:rsidRPr="00797BB5" w:rsidR="007D433F">
        <w:rPr>
          <w:bCs/>
          <w:i/>
          <w:iCs/>
        </w:rPr>
        <w:t>Brady</w:t>
      </w:r>
      <w:r w:rsidR="007D433F">
        <w:rPr>
          <w:bCs/>
        </w:rPr>
        <w:t xml:space="preserve"> claim</w:t>
      </w:r>
      <w:r w:rsidRPr="000641B0" w:rsidR="00446921">
        <w:rPr>
          <w:bCs/>
        </w:rPr>
        <w:t xml:space="preserve">. </w:t>
      </w:r>
      <w:r w:rsidRPr="000641B0" w:rsidR="008D2A17">
        <w:rPr>
          <w:bCs/>
        </w:rPr>
        <w:t xml:space="preserve"> </w:t>
      </w:r>
      <w:r w:rsidRPr="000641B0" w:rsidR="004829E8">
        <w:rPr>
          <w:bCs/>
        </w:rPr>
        <w:t xml:space="preserve">The Attorney General filed an answer </w:t>
      </w:r>
      <w:r w:rsidRPr="000641B0" w:rsidR="008D2A17">
        <w:rPr>
          <w:bCs/>
        </w:rPr>
        <w:t xml:space="preserve">stating </w:t>
      </w:r>
      <w:r w:rsidRPr="000641B0" w:rsidR="004829E8">
        <w:rPr>
          <w:bCs/>
        </w:rPr>
        <w:t>he had no “obligation to provide additional evidence” pertaining to</w:t>
      </w:r>
      <w:r w:rsidRPr="000641B0" w:rsidR="00330CB2">
        <w:rPr>
          <w:bCs/>
        </w:rPr>
        <w:t xml:space="preserve"> Jenkins’s petition</w:t>
      </w:r>
      <w:r w:rsidR="009B7284">
        <w:rPr>
          <w:bCs/>
        </w:rPr>
        <w:t xml:space="preserve"> for writ of habeas corpus</w:t>
      </w:r>
      <w:r w:rsidRPr="000641B0" w:rsidR="00330CB2">
        <w:rPr>
          <w:bCs/>
        </w:rPr>
        <w:t xml:space="preserve">. </w:t>
      </w:r>
      <w:r w:rsidRPr="000641B0" w:rsidR="008D2A17">
        <w:rPr>
          <w:bCs/>
        </w:rPr>
        <w:t xml:space="preserve"> </w:t>
      </w:r>
      <w:r w:rsidRPr="000641B0" w:rsidR="00B37749">
        <w:rPr>
          <w:bCs/>
        </w:rPr>
        <w:t>Specifically, the</w:t>
      </w:r>
      <w:r w:rsidRPr="000641B0" w:rsidR="0029643A">
        <w:rPr>
          <w:bCs/>
        </w:rPr>
        <w:t xml:space="preserve"> Attorney General maintained </w:t>
      </w:r>
      <w:r w:rsidRPr="000641B0" w:rsidR="008D2A17">
        <w:rPr>
          <w:bCs/>
        </w:rPr>
        <w:t xml:space="preserve">he had no </w:t>
      </w:r>
      <w:r w:rsidRPr="000641B0" w:rsidR="0029643A">
        <w:rPr>
          <w:bCs/>
        </w:rPr>
        <w:t xml:space="preserve">constitutional, ethical, </w:t>
      </w:r>
      <w:r w:rsidRPr="000641B0" w:rsidR="008D2A17">
        <w:rPr>
          <w:bCs/>
        </w:rPr>
        <w:t xml:space="preserve">or </w:t>
      </w:r>
      <w:r w:rsidRPr="000641B0" w:rsidR="0029643A">
        <w:rPr>
          <w:bCs/>
        </w:rPr>
        <w:t>procedural dut</w:t>
      </w:r>
      <w:r w:rsidRPr="000641B0" w:rsidR="008D2A17">
        <w:rPr>
          <w:bCs/>
        </w:rPr>
        <w:t>y</w:t>
      </w:r>
      <w:r w:rsidRPr="000641B0" w:rsidR="0029643A">
        <w:rPr>
          <w:bCs/>
        </w:rPr>
        <w:t xml:space="preserve"> </w:t>
      </w:r>
      <w:r w:rsidRPr="000641B0" w:rsidR="008D2A17">
        <w:rPr>
          <w:bCs/>
        </w:rPr>
        <w:t xml:space="preserve">to </w:t>
      </w:r>
      <w:r w:rsidRPr="000641B0" w:rsidR="0029643A">
        <w:rPr>
          <w:bCs/>
        </w:rPr>
        <w:t>disclose evidence</w:t>
      </w:r>
      <w:r w:rsidRPr="000641B0" w:rsidR="00390E50">
        <w:rPr>
          <w:bCs/>
        </w:rPr>
        <w:t xml:space="preserve"> </w:t>
      </w:r>
      <w:r w:rsidRPr="000641B0" w:rsidR="003A6980">
        <w:rPr>
          <w:bCs/>
        </w:rPr>
        <w:t>of</w:t>
      </w:r>
      <w:r w:rsidRPr="000641B0" w:rsidR="00390E50">
        <w:rPr>
          <w:bCs/>
        </w:rPr>
        <w:t xml:space="preserve"> the alleged prior prosecution</w:t>
      </w:r>
      <w:r w:rsidR="001F49B7">
        <w:rPr>
          <w:bCs/>
        </w:rPr>
        <w:t xml:space="preserve"> in response to Jenkins’s petition</w:t>
      </w:r>
      <w:r w:rsidRPr="000641B0" w:rsidR="0029643A">
        <w:rPr>
          <w:bCs/>
        </w:rPr>
        <w:t xml:space="preserve">. </w:t>
      </w:r>
      <w:r w:rsidRPr="000641B0" w:rsidR="008D2A17">
        <w:rPr>
          <w:bCs/>
        </w:rPr>
        <w:t xml:space="preserve"> </w:t>
      </w:r>
      <w:r w:rsidRPr="000641B0" w:rsidR="00446921">
        <w:rPr>
          <w:bCs/>
        </w:rPr>
        <w:t>W</w:t>
      </w:r>
      <w:r w:rsidRPr="000641B0" w:rsidR="00F71292">
        <w:rPr>
          <w:bCs/>
        </w:rPr>
        <w:t xml:space="preserve">e granted </w:t>
      </w:r>
      <w:r w:rsidRPr="000641B0" w:rsidR="00330CB2">
        <w:rPr>
          <w:bCs/>
        </w:rPr>
        <w:t>Jenkins’s</w:t>
      </w:r>
      <w:r w:rsidRPr="000641B0" w:rsidR="00446921">
        <w:rPr>
          <w:bCs/>
        </w:rPr>
        <w:t xml:space="preserve"> petition </w:t>
      </w:r>
      <w:r w:rsidRPr="000641B0" w:rsidR="002E4DD3">
        <w:rPr>
          <w:bCs/>
        </w:rPr>
        <w:t xml:space="preserve">for review </w:t>
      </w:r>
      <w:r w:rsidRPr="000641B0" w:rsidR="00F71292">
        <w:rPr>
          <w:bCs/>
        </w:rPr>
        <w:t xml:space="preserve">on </w:t>
      </w:r>
      <w:r w:rsidRPr="000641B0" w:rsidR="00390E50">
        <w:rPr>
          <w:bCs/>
        </w:rPr>
        <w:t>the</w:t>
      </w:r>
      <w:r w:rsidRPr="000641B0" w:rsidR="00F71292">
        <w:rPr>
          <w:bCs/>
        </w:rPr>
        <w:t xml:space="preserve"> limited issue of the Attorney General’s duties</w:t>
      </w:r>
      <w:r w:rsidRPr="000641B0" w:rsidR="004E078D">
        <w:rPr>
          <w:bCs/>
        </w:rPr>
        <w:t xml:space="preserve">, if any, </w:t>
      </w:r>
      <w:r w:rsidRPr="000641B0" w:rsidR="00D445EB">
        <w:rPr>
          <w:bCs/>
        </w:rPr>
        <w:t xml:space="preserve">to disclose evidence </w:t>
      </w:r>
      <w:r w:rsidRPr="000641B0" w:rsidR="0089321B">
        <w:rPr>
          <w:bCs/>
        </w:rPr>
        <w:t xml:space="preserve">in response to a </w:t>
      </w:r>
      <w:r w:rsidRPr="000641B0" w:rsidR="004E078D">
        <w:rPr>
          <w:bCs/>
        </w:rPr>
        <w:t>habeas</w:t>
      </w:r>
      <w:r w:rsidR="009B7284">
        <w:rPr>
          <w:bCs/>
        </w:rPr>
        <w:t xml:space="preserve"> corpus</w:t>
      </w:r>
      <w:r w:rsidRPr="000641B0" w:rsidR="004E078D">
        <w:rPr>
          <w:bCs/>
        </w:rPr>
        <w:t xml:space="preserve"> petitioner’s </w:t>
      </w:r>
      <w:r w:rsidRPr="000641B0" w:rsidR="004E078D">
        <w:rPr>
          <w:bCs/>
          <w:i/>
          <w:iCs/>
        </w:rPr>
        <w:t>Brady</w:t>
      </w:r>
      <w:r w:rsidRPr="000641B0" w:rsidR="004E078D">
        <w:rPr>
          <w:bCs/>
        </w:rPr>
        <w:t xml:space="preserve"> claim.</w:t>
      </w:r>
      <w:r w:rsidRPr="000641B0" w:rsidR="007B26EF">
        <w:rPr>
          <w:bCs/>
        </w:rPr>
        <w:t xml:space="preserve">  </w:t>
      </w:r>
    </w:p>
    <w:p w:rsidR="003C2CB7" w:rsidRPr="000641B0" w:rsidP="000641B0" w14:paraId="2890BA4B" w14:textId="7C2AAF78">
      <w:pPr>
        <w:ind w:firstLine="720"/>
        <w:rPr>
          <w:bCs/>
        </w:rPr>
      </w:pPr>
      <w:r>
        <w:rPr>
          <w:bCs/>
        </w:rPr>
        <w:t>W</w:t>
      </w:r>
      <w:r w:rsidRPr="000641B0">
        <w:rPr>
          <w:bCs/>
        </w:rPr>
        <w:t xml:space="preserve">e </w:t>
      </w:r>
      <w:r w:rsidRPr="000641B0" w:rsidR="00B14D41">
        <w:rPr>
          <w:bCs/>
        </w:rPr>
        <w:t>conclude that the Attorney General</w:t>
      </w:r>
      <w:r w:rsidRPr="000641B0" w:rsidR="00065C21">
        <w:rPr>
          <w:bCs/>
        </w:rPr>
        <w:t xml:space="preserve"> has both a constitutional and </w:t>
      </w:r>
      <w:r w:rsidRPr="000641B0" w:rsidR="003A6980">
        <w:rPr>
          <w:bCs/>
        </w:rPr>
        <w:t xml:space="preserve">an </w:t>
      </w:r>
      <w:r w:rsidRPr="000641B0" w:rsidR="00065C21">
        <w:rPr>
          <w:bCs/>
        </w:rPr>
        <w:t>ethical duty to disclose evidence in</w:t>
      </w:r>
      <w:r w:rsidRPr="000641B0" w:rsidR="006C60A5">
        <w:rPr>
          <w:bCs/>
        </w:rPr>
        <w:t xml:space="preserve"> response to a </w:t>
      </w:r>
      <w:r w:rsidRPr="000641B0" w:rsidR="00E333C7">
        <w:rPr>
          <w:bCs/>
        </w:rPr>
        <w:t>petition</w:t>
      </w:r>
      <w:r w:rsidR="004B54EF">
        <w:rPr>
          <w:bCs/>
        </w:rPr>
        <w:t xml:space="preserve"> for writ of habeas corpus</w:t>
      </w:r>
      <w:r w:rsidRPr="000641B0" w:rsidR="00065C21">
        <w:rPr>
          <w:bCs/>
        </w:rPr>
        <w:t xml:space="preserve"> </w:t>
      </w:r>
      <w:r w:rsidRPr="000641B0" w:rsidR="00E333C7">
        <w:rPr>
          <w:bCs/>
        </w:rPr>
        <w:t xml:space="preserve">alleging a </w:t>
      </w:r>
      <w:r w:rsidRPr="000641B0" w:rsidR="007A5EE4">
        <w:rPr>
          <w:bCs/>
          <w:i/>
          <w:iCs/>
        </w:rPr>
        <w:t>Brady</w:t>
      </w:r>
      <w:r w:rsidRPr="000641B0" w:rsidR="007A5EE4">
        <w:rPr>
          <w:bCs/>
        </w:rPr>
        <w:t xml:space="preserve"> </w:t>
      </w:r>
      <w:r w:rsidRPr="000641B0" w:rsidR="00E333C7">
        <w:rPr>
          <w:bCs/>
        </w:rPr>
        <w:t xml:space="preserve">violation </w:t>
      </w:r>
      <w:r w:rsidRPr="000641B0" w:rsidR="00065C21">
        <w:rPr>
          <w:bCs/>
        </w:rPr>
        <w:t xml:space="preserve">under certain specified circumstances.  In addition, </w:t>
      </w:r>
      <w:r w:rsidRPr="000641B0" w:rsidR="007532E1">
        <w:rPr>
          <w:bCs/>
        </w:rPr>
        <w:t xml:space="preserve">we conclude that the respondent to </w:t>
      </w:r>
      <w:r w:rsidRPr="000641B0" w:rsidR="008C2772">
        <w:rPr>
          <w:bCs/>
        </w:rPr>
        <w:t xml:space="preserve">such </w:t>
      </w:r>
      <w:r w:rsidRPr="000641B0" w:rsidR="007532E1">
        <w:rPr>
          <w:bCs/>
        </w:rPr>
        <w:t>a petition</w:t>
      </w:r>
      <w:r w:rsidRPr="000641B0" w:rsidR="00500870">
        <w:rPr>
          <w:bCs/>
        </w:rPr>
        <w:t xml:space="preserve"> </w:t>
      </w:r>
      <w:r w:rsidRPr="000641B0" w:rsidR="007532E1">
        <w:rPr>
          <w:bCs/>
        </w:rPr>
        <w:t>has a duty to disclose</w:t>
      </w:r>
      <w:r w:rsidRPr="000641B0" w:rsidR="008B5819">
        <w:rPr>
          <w:bCs/>
        </w:rPr>
        <w:t xml:space="preserve"> </w:t>
      </w:r>
      <w:r w:rsidRPr="000641B0" w:rsidR="007532E1">
        <w:rPr>
          <w:bCs/>
        </w:rPr>
        <w:t>evidenc</w:t>
      </w:r>
      <w:r w:rsidRPr="000641B0" w:rsidR="000851F1">
        <w:rPr>
          <w:bCs/>
        </w:rPr>
        <w:t xml:space="preserve">e </w:t>
      </w:r>
      <w:r w:rsidRPr="000641B0" w:rsidR="007E3A8F">
        <w:rPr>
          <w:bCs/>
        </w:rPr>
        <w:t xml:space="preserve">forming the basis </w:t>
      </w:r>
      <w:r w:rsidRPr="000641B0" w:rsidR="003A6980">
        <w:rPr>
          <w:bCs/>
        </w:rPr>
        <w:t xml:space="preserve">of the </w:t>
      </w:r>
      <w:r w:rsidRPr="000641B0" w:rsidR="003A6980">
        <w:rPr>
          <w:bCs/>
          <w:i/>
          <w:iCs/>
        </w:rPr>
        <w:t>Brady</w:t>
      </w:r>
      <w:r w:rsidRPr="000641B0" w:rsidR="003A6980">
        <w:rPr>
          <w:bCs/>
        </w:rPr>
        <w:t xml:space="preserve"> claim </w:t>
      </w:r>
      <w:r w:rsidRPr="000641B0" w:rsidR="000851F1">
        <w:rPr>
          <w:bCs/>
        </w:rPr>
        <w:t>under c</w:t>
      </w:r>
      <w:r w:rsidRPr="000641B0" w:rsidR="000F7215">
        <w:rPr>
          <w:bCs/>
        </w:rPr>
        <w:t>ircumstances that we describe</w:t>
      </w:r>
      <w:r w:rsidRPr="000641B0" w:rsidR="007532E1">
        <w:rPr>
          <w:bCs/>
        </w:rPr>
        <w:t>.</w:t>
      </w:r>
      <w:r w:rsidRPr="000641B0" w:rsidR="00424770">
        <w:rPr>
          <w:bCs/>
        </w:rPr>
        <w:t xml:space="preserve">  </w:t>
      </w:r>
      <w:r>
        <w:rPr>
          <w:bCs/>
        </w:rPr>
        <w:t>W</w:t>
      </w:r>
      <w:r w:rsidRPr="000641B0" w:rsidR="00A05B79">
        <w:rPr>
          <w:bCs/>
        </w:rPr>
        <w:t xml:space="preserve">e explain </w:t>
      </w:r>
      <w:r w:rsidRPr="000641B0" w:rsidR="00B0467D">
        <w:rPr>
          <w:bCs/>
        </w:rPr>
        <w:t>how the</w:t>
      </w:r>
      <w:r w:rsidRPr="000641B0" w:rsidR="00103795">
        <w:rPr>
          <w:bCs/>
        </w:rPr>
        <w:t>se duties</w:t>
      </w:r>
      <w:r w:rsidRPr="000641B0" w:rsidR="00200556">
        <w:rPr>
          <w:bCs/>
        </w:rPr>
        <w:t xml:space="preserve"> </w:t>
      </w:r>
      <w:r w:rsidRPr="000641B0" w:rsidR="00B0467D">
        <w:rPr>
          <w:bCs/>
        </w:rPr>
        <w:t>may</w:t>
      </w:r>
      <w:r w:rsidRPr="000641B0" w:rsidR="00200556">
        <w:rPr>
          <w:bCs/>
        </w:rPr>
        <w:t xml:space="preserve"> be</w:t>
      </w:r>
      <w:r w:rsidRPr="000641B0" w:rsidR="00B0467D">
        <w:rPr>
          <w:bCs/>
        </w:rPr>
        <w:t xml:space="preserve"> perform</w:t>
      </w:r>
      <w:r w:rsidRPr="000641B0" w:rsidR="00200556">
        <w:rPr>
          <w:bCs/>
        </w:rPr>
        <w:t xml:space="preserve">ed </w:t>
      </w:r>
      <w:r w:rsidRPr="000641B0" w:rsidR="00B0467D">
        <w:rPr>
          <w:bCs/>
        </w:rPr>
        <w:t xml:space="preserve">when, as in this case, the evidence </w:t>
      </w:r>
      <w:r w:rsidRPr="000641B0" w:rsidR="00DC7DC3">
        <w:rPr>
          <w:bCs/>
        </w:rPr>
        <w:t>forming the basis of</w:t>
      </w:r>
      <w:r w:rsidRPr="000641B0" w:rsidR="00103795">
        <w:rPr>
          <w:bCs/>
        </w:rPr>
        <w:t xml:space="preserve"> the </w:t>
      </w:r>
      <w:r w:rsidRPr="000641B0" w:rsidR="00103795">
        <w:rPr>
          <w:bCs/>
          <w:i/>
          <w:iCs/>
        </w:rPr>
        <w:t>Brady</w:t>
      </w:r>
      <w:r w:rsidRPr="000641B0" w:rsidR="00103795">
        <w:rPr>
          <w:bCs/>
        </w:rPr>
        <w:t xml:space="preserve"> claim </w:t>
      </w:r>
      <w:r w:rsidRPr="000641B0" w:rsidR="00821AB6">
        <w:rPr>
          <w:bCs/>
        </w:rPr>
        <w:t>in a petition</w:t>
      </w:r>
      <w:r w:rsidR="004B54EF">
        <w:rPr>
          <w:bCs/>
        </w:rPr>
        <w:t xml:space="preserve"> for writ of habeas corpus</w:t>
      </w:r>
      <w:r w:rsidRPr="000641B0" w:rsidR="00821AB6">
        <w:rPr>
          <w:bCs/>
        </w:rPr>
        <w:t xml:space="preserve"> </w:t>
      </w:r>
      <w:r w:rsidRPr="000641B0" w:rsidR="00B0467D">
        <w:rPr>
          <w:bCs/>
        </w:rPr>
        <w:t xml:space="preserve">is subject to statutory disclosure restrictions. </w:t>
      </w:r>
      <w:r w:rsidRPr="000641B0" w:rsidR="00602A0B">
        <w:rPr>
          <w:bCs/>
        </w:rPr>
        <w:t xml:space="preserve"> Finally, </w:t>
      </w:r>
      <w:r>
        <w:rPr>
          <w:bCs/>
        </w:rPr>
        <w:t>w</w:t>
      </w:r>
      <w:r w:rsidRPr="000641B0" w:rsidR="00602A0B">
        <w:rPr>
          <w:bCs/>
        </w:rPr>
        <w:t xml:space="preserve">e apply these </w:t>
      </w:r>
      <w:r w:rsidRPr="000641B0" w:rsidR="00286766">
        <w:rPr>
          <w:bCs/>
        </w:rPr>
        <w:t xml:space="preserve">conclusions </w:t>
      </w:r>
      <w:r w:rsidRPr="000641B0" w:rsidR="003A6980">
        <w:rPr>
          <w:bCs/>
        </w:rPr>
        <w:t>in Jenkins’s case</w:t>
      </w:r>
      <w:r w:rsidRPr="000641B0" w:rsidR="00FF0E3D">
        <w:rPr>
          <w:bCs/>
        </w:rPr>
        <w:t xml:space="preserve"> </w:t>
      </w:r>
      <w:r w:rsidRPr="000641B0" w:rsidR="008D62DF">
        <w:rPr>
          <w:bCs/>
        </w:rPr>
        <w:t xml:space="preserve">and </w:t>
      </w:r>
      <w:r>
        <w:rPr>
          <w:bCs/>
        </w:rPr>
        <w:t xml:space="preserve">reverse </w:t>
      </w:r>
      <w:r w:rsidRPr="000641B0" w:rsidR="007532E1">
        <w:rPr>
          <w:bCs/>
        </w:rPr>
        <w:t>the judgment</w:t>
      </w:r>
      <w:r w:rsidR="00253F95">
        <w:rPr>
          <w:bCs/>
        </w:rPr>
        <w:t xml:space="preserve"> </w:t>
      </w:r>
      <w:r w:rsidR="00F75417">
        <w:rPr>
          <w:bCs/>
        </w:rPr>
        <w:t xml:space="preserve">of the Court of Appeal </w:t>
      </w:r>
      <w:r w:rsidR="000E2A16">
        <w:rPr>
          <w:bCs/>
        </w:rPr>
        <w:t xml:space="preserve">and remand </w:t>
      </w:r>
      <w:r w:rsidR="00F75417">
        <w:rPr>
          <w:bCs/>
        </w:rPr>
        <w:t xml:space="preserve">the matter to that court </w:t>
      </w:r>
      <w:r w:rsidR="00253F95">
        <w:t>for further proceedings consistent with this opinion</w:t>
      </w:r>
      <w:r w:rsidRPr="000641B0" w:rsidR="007532E1">
        <w:rPr>
          <w:bCs/>
        </w:rPr>
        <w:t xml:space="preserve">. </w:t>
      </w:r>
    </w:p>
    <w:p w:rsidR="00C739C5" w:rsidRPr="000641B0" w:rsidP="007D2B91" w14:paraId="453498D7" w14:textId="73EE8A21">
      <w:pPr>
        <w:pStyle w:val="Heading1"/>
        <w:keepLines/>
      </w:pPr>
      <w:r w:rsidRPr="000641B0">
        <w:t>I.</w:t>
      </w:r>
    </w:p>
    <w:p w:rsidR="00336A37" w:rsidRPr="000641B0" w:rsidP="007649D1" w14:paraId="2136068E" w14:textId="20A2C247">
      <w:pPr>
        <w:pStyle w:val="Heading2"/>
        <w:keepLines/>
        <w:tabs>
          <w:tab w:val="clear" w:pos="1152"/>
        </w:tabs>
        <w:ind w:left="0" w:firstLine="0"/>
        <w:jc w:val="center"/>
      </w:pPr>
      <w:r w:rsidRPr="000641B0">
        <w:t>A.</w:t>
      </w:r>
    </w:p>
    <w:p w:rsidR="003A5A43" w:rsidRPr="000641B0" w:rsidP="000641B0" w14:paraId="527879B0" w14:textId="76A735EE">
      <w:pPr>
        <w:tabs>
          <w:tab w:val="left" w:pos="1440"/>
        </w:tabs>
        <w:ind w:firstLine="720"/>
        <w:rPr>
          <w:bCs/>
        </w:rPr>
      </w:pPr>
      <w:r w:rsidRPr="000641B0">
        <w:rPr>
          <w:bCs/>
        </w:rPr>
        <w:t xml:space="preserve">At the time of the incident giving rise to </w:t>
      </w:r>
      <w:r w:rsidRPr="000641B0" w:rsidR="002B487F">
        <w:rPr>
          <w:bCs/>
        </w:rPr>
        <w:t>her manslaughter conviction</w:t>
      </w:r>
      <w:r w:rsidRPr="000641B0" w:rsidR="00C61A9E">
        <w:rPr>
          <w:bCs/>
        </w:rPr>
        <w:t>, Jenkins was dating K</w:t>
      </w:r>
      <w:r w:rsidR="006867EA">
        <w:rPr>
          <w:bCs/>
        </w:rPr>
        <w:t>ayuan</w:t>
      </w:r>
      <w:r w:rsidRPr="000641B0" w:rsidR="00C61A9E">
        <w:rPr>
          <w:bCs/>
        </w:rPr>
        <w:t xml:space="preserve"> Mitchell.</w:t>
      </w:r>
      <w:r>
        <w:rPr>
          <w:rStyle w:val="FootnoteReference"/>
          <w:bCs/>
          <w:caps/>
        </w:rPr>
        <w:footnoteReference w:id="3"/>
      </w:r>
      <w:r w:rsidRPr="000641B0" w:rsidR="00C61A9E">
        <w:rPr>
          <w:bCs/>
        </w:rPr>
        <w:t xml:space="preserve">  Victim Brittneeh Williams </w:t>
      </w:r>
      <w:r w:rsidRPr="000641B0" w:rsidR="003B48E8">
        <w:rPr>
          <w:bCs/>
        </w:rPr>
        <w:t>(Brittneeh)</w:t>
      </w:r>
      <w:r>
        <w:rPr>
          <w:rStyle w:val="FootnoteReference"/>
          <w:bCs/>
        </w:rPr>
        <w:footnoteReference w:id="4"/>
      </w:r>
      <w:r w:rsidRPr="000641B0" w:rsidR="003B48E8">
        <w:rPr>
          <w:bCs/>
        </w:rPr>
        <w:t xml:space="preserve"> </w:t>
      </w:r>
      <w:r w:rsidRPr="000641B0" w:rsidR="00C61A9E">
        <w:rPr>
          <w:bCs/>
        </w:rPr>
        <w:t>and Mitchell ha</w:t>
      </w:r>
      <w:r w:rsidRPr="000641B0" w:rsidR="002965C6">
        <w:rPr>
          <w:bCs/>
        </w:rPr>
        <w:t>d</w:t>
      </w:r>
      <w:r w:rsidRPr="000641B0" w:rsidR="00C61A9E">
        <w:rPr>
          <w:bCs/>
        </w:rPr>
        <w:t xml:space="preserve"> a daughter</w:t>
      </w:r>
      <w:r w:rsidRPr="000641B0" w:rsidR="002965C6">
        <w:rPr>
          <w:bCs/>
        </w:rPr>
        <w:t xml:space="preserve"> together</w:t>
      </w:r>
      <w:r w:rsidRPr="000641B0" w:rsidR="00C61A9E">
        <w:rPr>
          <w:bCs/>
        </w:rPr>
        <w:t>.</w:t>
      </w:r>
      <w:r w:rsidRPr="000641B0" w:rsidR="003B48E8">
        <w:rPr>
          <w:bCs/>
        </w:rPr>
        <w:t xml:space="preserve">  </w:t>
      </w:r>
    </w:p>
    <w:p w:rsidR="004A2DD7" w:rsidRPr="000641B0" w:rsidP="000641B0" w14:paraId="59FDE9B8" w14:textId="52CCE4C3">
      <w:pPr>
        <w:tabs>
          <w:tab w:val="left" w:pos="1440"/>
        </w:tabs>
        <w:ind w:firstLine="720"/>
        <w:rPr>
          <w:bCs/>
        </w:rPr>
      </w:pPr>
      <w:r w:rsidRPr="000641B0">
        <w:rPr>
          <w:bCs/>
        </w:rPr>
        <w:t xml:space="preserve">One evening in January 2018, </w:t>
      </w:r>
      <w:r w:rsidRPr="000641B0" w:rsidR="00516D1B">
        <w:rPr>
          <w:bCs/>
        </w:rPr>
        <w:t xml:space="preserve">Mitchell and Brittneeh got into a </w:t>
      </w:r>
      <w:r w:rsidRPr="000641B0" w:rsidR="003A5A43">
        <w:rPr>
          <w:bCs/>
        </w:rPr>
        <w:t>fight</w:t>
      </w:r>
      <w:r w:rsidRPr="000641B0" w:rsidR="00516D1B">
        <w:rPr>
          <w:bCs/>
        </w:rPr>
        <w:t xml:space="preserve"> during which </w:t>
      </w:r>
      <w:r w:rsidRPr="000641B0" w:rsidR="003A5A43">
        <w:rPr>
          <w:bCs/>
        </w:rPr>
        <w:t xml:space="preserve">Mitchell </w:t>
      </w:r>
      <w:r w:rsidR="00732332">
        <w:rPr>
          <w:bCs/>
        </w:rPr>
        <w:t>assaulted</w:t>
      </w:r>
      <w:r w:rsidRPr="000641B0" w:rsidR="00732332">
        <w:rPr>
          <w:bCs/>
        </w:rPr>
        <w:t xml:space="preserve"> </w:t>
      </w:r>
      <w:r w:rsidRPr="000641B0" w:rsidR="002A3BC7">
        <w:rPr>
          <w:bCs/>
        </w:rPr>
        <w:t>Brittneeh</w:t>
      </w:r>
      <w:r w:rsidRPr="000641B0" w:rsidR="003A5A43">
        <w:rPr>
          <w:bCs/>
        </w:rPr>
        <w:t>.</w:t>
      </w:r>
      <w:r w:rsidRPr="000641B0" w:rsidR="00AE4028">
        <w:rPr>
          <w:bCs/>
        </w:rPr>
        <w:t xml:space="preserve">  Jenkins arrived at the scene of the fight</w:t>
      </w:r>
      <w:r w:rsidRPr="000641B0" w:rsidR="00FD7847">
        <w:rPr>
          <w:bCs/>
        </w:rPr>
        <w:t xml:space="preserve"> and</w:t>
      </w:r>
      <w:r w:rsidRPr="000641B0" w:rsidR="002A3BC7">
        <w:rPr>
          <w:bCs/>
        </w:rPr>
        <w:t xml:space="preserve"> taunted Brittneeh.  </w:t>
      </w:r>
      <w:r w:rsidRPr="000641B0" w:rsidR="00FD7847">
        <w:rPr>
          <w:bCs/>
        </w:rPr>
        <w:t xml:space="preserve">Mitchell got into Jenkins’s car and Jenkins </w:t>
      </w:r>
      <w:r w:rsidRPr="000641B0" w:rsidR="007D6061">
        <w:rPr>
          <w:bCs/>
        </w:rPr>
        <w:t xml:space="preserve">started to </w:t>
      </w:r>
      <w:r w:rsidRPr="000641B0" w:rsidR="00FD7847">
        <w:rPr>
          <w:bCs/>
        </w:rPr>
        <w:t>d</w:t>
      </w:r>
      <w:r w:rsidRPr="000641B0" w:rsidR="007D6061">
        <w:rPr>
          <w:bCs/>
        </w:rPr>
        <w:t>ri</w:t>
      </w:r>
      <w:r w:rsidRPr="000641B0" w:rsidR="00FD7847">
        <w:rPr>
          <w:bCs/>
        </w:rPr>
        <w:t xml:space="preserve">ve away.  </w:t>
      </w:r>
      <w:r w:rsidRPr="000641B0" w:rsidR="007D6061">
        <w:rPr>
          <w:bCs/>
        </w:rPr>
        <w:t xml:space="preserve">After </w:t>
      </w:r>
      <w:r w:rsidRPr="000641B0" w:rsidR="001367BA">
        <w:rPr>
          <w:bCs/>
        </w:rPr>
        <w:t>phon</w:t>
      </w:r>
      <w:r w:rsidRPr="000641B0" w:rsidR="00603BE6">
        <w:rPr>
          <w:bCs/>
        </w:rPr>
        <w:t>ing</w:t>
      </w:r>
      <w:r w:rsidRPr="000641B0" w:rsidR="001367BA">
        <w:rPr>
          <w:bCs/>
        </w:rPr>
        <w:t xml:space="preserve"> her sister, Sade Williams (Sade)</w:t>
      </w:r>
      <w:r w:rsidRPr="000641B0" w:rsidR="00D33A40">
        <w:rPr>
          <w:bCs/>
        </w:rPr>
        <w:t xml:space="preserve">, </w:t>
      </w:r>
      <w:r w:rsidRPr="000641B0" w:rsidR="007D6061">
        <w:rPr>
          <w:bCs/>
        </w:rPr>
        <w:t>Brit</w:t>
      </w:r>
      <w:r w:rsidRPr="000641B0" w:rsidR="00F80EA4">
        <w:rPr>
          <w:bCs/>
        </w:rPr>
        <w:t>t</w:t>
      </w:r>
      <w:r w:rsidRPr="000641B0" w:rsidR="007D6061">
        <w:rPr>
          <w:bCs/>
        </w:rPr>
        <w:t xml:space="preserve">neeh </w:t>
      </w:r>
      <w:r w:rsidRPr="000641B0" w:rsidR="00CE02BE">
        <w:rPr>
          <w:bCs/>
        </w:rPr>
        <w:t>drove</w:t>
      </w:r>
      <w:r w:rsidRPr="000641B0" w:rsidR="00D33A40">
        <w:rPr>
          <w:bCs/>
        </w:rPr>
        <w:t xml:space="preserve"> after Jenkins and Mitchell. </w:t>
      </w:r>
    </w:p>
    <w:p w:rsidR="000D0265" w:rsidRPr="000641B0" w:rsidP="000641B0" w14:paraId="75874555" w14:textId="4E984DD5">
      <w:pPr>
        <w:tabs>
          <w:tab w:val="left" w:pos="1440"/>
        </w:tabs>
        <w:ind w:firstLine="720"/>
        <w:rPr>
          <w:bCs/>
        </w:rPr>
      </w:pPr>
      <w:r w:rsidRPr="000641B0">
        <w:rPr>
          <w:bCs/>
        </w:rPr>
        <w:t xml:space="preserve">During the </w:t>
      </w:r>
      <w:r w:rsidRPr="000641B0" w:rsidR="00603BE6">
        <w:rPr>
          <w:bCs/>
        </w:rPr>
        <w:t xml:space="preserve">car </w:t>
      </w:r>
      <w:r w:rsidRPr="000641B0">
        <w:rPr>
          <w:bCs/>
        </w:rPr>
        <w:t xml:space="preserve">chase, </w:t>
      </w:r>
      <w:r w:rsidRPr="000641B0" w:rsidR="00603BE6">
        <w:rPr>
          <w:bCs/>
        </w:rPr>
        <w:t xml:space="preserve">Jenkins complied with </w:t>
      </w:r>
      <w:r w:rsidRPr="000641B0">
        <w:rPr>
          <w:bCs/>
        </w:rPr>
        <w:t>Mitchell</w:t>
      </w:r>
      <w:r w:rsidRPr="000641B0" w:rsidR="00603BE6">
        <w:rPr>
          <w:bCs/>
        </w:rPr>
        <w:t>’s</w:t>
      </w:r>
      <w:r w:rsidRPr="000641B0">
        <w:rPr>
          <w:bCs/>
        </w:rPr>
        <w:t xml:space="preserve"> </w:t>
      </w:r>
      <w:r w:rsidRPr="000641B0" w:rsidR="00603BE6">
        <w:rPr>
          <w:bCs/>
        </w:rPr>
        <w:t>direction</w:t>
      </w:r>
      <w:r w:rsidRPr="000641B0">
        <w:rPr>
          <w:bCs/>
        </w:rPr>
        <w:t xml:space="preserve"> to pull into a gas station.  Brittneeh also pulled into the </w:t>
      </w:r>
      <w:r w:rsidRPr="000641B0" w:rsidR="002E2764">
        <w:rPr>
          <w:bCs/>
        </w:rPr>
        <w:t xml:space="preserve">gas station. </w:t>
      </w:r>
      <w:r w:rsidRPr="000641B0" w:rsidR="002965C6">
        <w:rPr>
          <w:bCs/>
        </w:rPr>
        <w:t xml:space="preserve"> </w:t>
      </w:r>
      <w:r w:rsidRPr="000641B0" w:rsidR="00B12759">
        <w:rPr>
          <w:bCs/>
        </w:rPr>
        <w:t>Brittneeh c</w:t>
      </w:r>
      <w:r w:rsidRPr="000641B0" w:rsidR="002965C6">
        <w:rPr>
          <w:bCs/>
        </w:rPr>
        <w:t>a</w:t>
      </w:r>
      <w:r w:rsidRPr="000641B0" w:rsidR="00B12759">
        <w:rPr>
          <w:bCs/>
        </w:rPr>
        <w:t>me over to Jenkins</w:t>
      </w:r>
      <w:r w:rsidRPr="000641B0" w:rsidR="00AC4A96">
        <w:rPr>
          <w:bCs/>
        </w:rPr>
        <w:t>’</w:t>
      </w:r>
      <w:r w:rsidRPr="000641B0" w:rsidR="00B12759">
        <w:rPr>
          <w:bCs/>
        </w:rPr>
        <w:t>s car, shouted at Jenkins</w:t>
      </w:r>
      <w:r w:rsidRPr="000641B0" w:rsidR="002965C6">
        <w:rPr>
          <w:bCs/>
        </w:rPr>
        <w:t>,</w:t>
      </w:r>
      <w:r w:rsidRPr="000641B0" w:rsidR="00B12759">
        <w:rPr>
          <w:bCs/>
        </w:rPr>
        <w:t xml:space="preserve"> and possibly punched her through </w:t>
      </w:r>
      <w:r w:rsidRPr="000641B0" w:rsidR="00603BE6">
        <w:rPr>
          <w:bCs/>
        </w:rPr>
        <w:t>an</w:t>
      </w:r>
      <w:r w:rsidRPr="000641B0" w:rsidR="00B12759">
        <w:rPr>
          <w:bCs/>
        </w:rPr>
        <w:t xml:space="preserve"> open window.</w:t>
      </w:r>
      <w:r w:rsidRPr="000641B0" w:rsidR="00917AF3">
        <w:rPr>
          <w:bCs/>
        </w:rPr>
        <w:t xml:space="preserve">  Mitchell </w:t>
      </w:r>
      <w:r w:rsidRPr="000641B0" w:rsidR="002E100A">
        <w:rPr>
          <w:bCs/>
        </w:rPr>
        <w:t xml:space="preserve">got out </w:t>
      </w:r>
      <w:r w:rsidRPr="000641B0" w:rsidR="00344C75">
        <w:rPr>
          <w:bCs/>
        </w:rPr>
        <w:t xml:space="preserve">of </w:t>
      </w:r>
      <w:r w:rsidRPr="000641B0" w:rsidR="002E100A">
        <w:rPr>
          <w:bCs/>
        </w:rPr>
        <w:t>Jenkins’s</w:t>
      </w:r>
      <w:r w:rsidRPr="000641B0" w:rsidR="00917AF3">
        <w:rPr>
          <w:bCs/>
        </w:rPr>
        <w:t xml:space="preserve"> car and tried to restrain Brittneeh.</w:t>
      </w:r>
    </w:p>
    <w:p w:rsidR="00394275" w:rsidRPr="000641B0" w:rsidP="000641B0" w14:paraId="3A917674" w14:textId="110E12F0">
      <w:pPr>
        <w:tabs>
          <w:tab w:val="left" w:pos="1440"/>
        </w:tabs>
        <w:ind w:firstLine="720"/>
        <w:rPr>
          <w:bCs/>
        </w:rPr>
      </w:pPr>
      <w:r>
        <w:rPr>
          <w:bCs/>
        </w:rPr>
        <w:t xml:space="preserve">As </w:t>
      </w:r>
      <w:r w:rsidRPr="000641B0" w:rsidR="00CC68C5">
        <w:rPr>
          <w:bCs/>
        </w:rPr>
        <w:t xml:space="preserve">Mitchell and </w:t>
      </w:r>
      <w:r w:rsidRPr="000641B0" w:rsidR="009B01E4">
        <w:rPr>
          <w:bCs/>
        </w:rPr>
        <w:t xml:space="preserve">Brittneeh continued to </w:t>
      </w:r>
      <w:r w:rsidRPr="000641B0" w:rsidR="00F42E9A">
        <w:rPr>
          <w:bCs/>
        </w:rPr>
        <w:t>fight</w:t>
      </w:r>
      <w:r w:rsidRPr="000641B0" w:rsidR="00CC68C5">
        <w:rPr>
          <w:bCs/>
        </w:rPr>
        <w:t>, Jenkins exited her car</w:t>
      </w:r>
      <w:r w:rsidRPr="000641B0" w:rsidR="00DA638E">
        <w:rPr>
          <w:bCs/>
        </w:rPr>
        <w:t xml:space="preserve"> </w:t>
      </w:r>
      <w:r w:rsidR="006867EA">
        <w:rPr>
          <w:bCs/>
        </w:rPr>
        <w:t xml:space="preserve">with a large kitchen knife </w:t>
      </w:r>
      <w:r w:rsidRPr="000641B0" w:rsidR="00DA638E">
        <w:rPr>
          <w:bCs/>
        </w:rPr>
        <w:t>and became involved in the fight</w:t>
      </w:r>
      <w:r w:rsidRPr="000641B0" w:rsidR="002E100A">
        <w:rPr>
          <w:bCs/>
        </w:rPr>
        <w:t xml:space="preserve">. </w:t>
      </w:r>
      <w:r w:rsidRPr="000641B0" w:rsidR="00473A2B">
        <w:rPr>
          <w:bCs/>
        </w:rPr>
        <w:t xml:space="preserve"> Jenkins stabbed Brittneeh </w:t>
      </w:r>
      <w:r w:rsidR="006867EA">
        <w:rPr>
          <w:bCs/>
        </w:rPr>
        <w:t xml:space="preserve">three times </w:t>
      </w:r>
      <w:r w:rsidRPr="000641B0" w:rsidR="00CC68C5">
        <w:rPr>
          <w:bCs/>
        </w:rPr>
        <w:t xml:space="preserve">with </w:t>
      </w:r>
      <w:r w:rsidR="006867EA">
        <w:rPr>
          <w:bCs/>
        </w:rPr>
        <w:t xml:space="preserve">the </w:t>
      </w:r>
      <w:r w:rsidRPr="000641B0" w:rsidR="00473A2B">
        <w:rPr>
          <w:bCs/>
        </w:rPr>
        <w:t>knife</w:t>
      </w:r>
      <w:r w:rsidRPr="000641B0" w:rsidR="00CC68C5">
        <w:rPr>
          <w:bCs/>
        </w:rPr>
        <w:t>, killing her</w:t>
      </w:r>
      <w:r w:rsidRPr="000641B0" w:rsidR="00FE716F">
        <w:rPr>
          <w:bCs/>
        </w:rPr>
        <w:t xml:space="preserve">, </w:t>
      </w:r>
      <w:r w:rsidRPr="000641B0" w:rsidR="00F9283E">
        <w:rPr>
          <w:bCs/>
        </w:rPr>
        <w:t xml:space="preserve">just as </w:t>
      </w:r>
      <w:r w:rsidRPr="000641B0" w:rsidR="00FE716F">
        <w:rPr>
          <w:bCs/>
        </w:rPr>
        <w:t>Sade arrived at the scene</w:t>
      </w:r>
      <w:r w:rsidRPr="000641B0" w:rsidR="00CC68C5">
        <w:rPr>
          <w:bCs/>
        </w:rPr>
        <w:t>.</w:t>
      </w:r>
      <w:r w:rsidRPr="000641B0" w:rsidR="001003C2">
        <w:rPr>
          <w:bCs/>
        </w:rPr>
        <w:t xml:space="preserve">  </w:t>
      </w:r>
      <w:r w:rsidRPr="000641B0" w:rsidR="0019225F">
        <w:rPr>
          <w:bCs/>
        </w:rPr>
        <w:t xml:space="preserve">Sade testified that Jenkins stabbed </w:t>
      </w:r>
      <w:r w:rsidRPr="000641B0" w:rsidR="00D65310">
        <w:rPr>
          <w:bCs/>
        </w:rPr>
        <w:t>Brittneeh</w:t>
      </w:r>
      <w:r w:rsidRPr="000641B0" w:rsidR="0019225F">
        <w:rPr>
          <w:bCs/>
        </w:rPr>
        <w:t xml:space="preserve"> while Mitchell held </w:t>
      </w:r>
      <w:r w:rsidRPr="000641B0" w:rsidR="008B0ED1">
        <w:rPr>
          <w:bCs/>
        </w:rPr>
        <w:t xml:space="preserve">Brittneeh </w:t>
      </w:r>
      <w:r w:rsidRPr="000641B0" w:rsidR="0019225F">
        <w:rPr>
          <w:bCs/>
        </w:rPr>
        <w:t>in a bear hug.</w:t>
      </w:r>
    </w:p>
    <w:p w:rsidR="00561325" w:rsidRPr="000641B0" w:rsidP="000641B0" w14:paraId="0B61938C" w14:textId="64E07C24">
      <w:pPr>
        <w:tabs>
          <w:tab w:val="left" w:pos="1440"/>
        </w:tabs>
        <w:ind w:firstLine="720"/>
        <w:rPr>
          <w:bCs/>
        </w:rPr>
      </w:pPr>
      <w:r w:rsidRPr="000641B0">
        <w:rPr>
          <w:bCs/>
        </w:rPr>
        <w:t>A jury acquitted Jenkins of murder but convicted her of voluntary manslaughter</w:t>
      </w:r>
      <w:r w:rsidRPr="000641B0" w:rsidR="001003C2">
        <w:rPr>
          <w:bCs/>
        </w:rPr>
        <w:t>.</w:t>
      </w:r>
      <w:r w:rsidR="008A2AF5">
        <w:rPr>
          <w:bCs/>
        </w:rPr>
        <w:t xml:space="preserve">  The trial court sentenced her to </w:t>
      </w:r>
      <w:r w:rsidR="00832C08">
        <w:rPr>
          <w:bCs/>
        </w:rPr>
        <w:t>11 </w:t>
      </w:r>
      <w:r w:rsidR="008A2AF5">
        <w:rPr>
          <w:bCs/>
        </w:rPr>
        <w:t xml:space="preserve">years in prison. </w:t>
      </w:r>
    </w:p>
    <w:p w:rsidR="00BF1E09" w:rsidRPr="000641B0" w:rsidP="00F55F90" w14:paraId="3E2C659B" w14:textId="23DF4490">
      <w:pPr>
        <w:pStyle w:val="Heading2"/>
        <w:keepLines/>
        <w:tabs>
          <w:tab w:val="clear" w:pos="1152"/>
        </w:tabs>
        <w:ind w:left="0" w:firstLine="0"/>
        <w:jc w:val="center"/>
      </w:pPr>
      <w:r w:rsidRPr="000641B0">
        <w:t>B.</w:t>
      </w:r>
    </w:p>
    <w:p w:rsidR="00D541AC" w:rsidRPr="000641B0" w:rsidP="000641B0" w14:paraId="4D17CF9B" w14:textId="50B5D3D7">
      <w:pPr>
        <w:ind w:firstLine="720"/>
        <w:rPr>
          <w:bCs/>
        </w:rPr>
      </w:pPr>
      <w:r w:rsidRPr="000641B0">
        <w:rPr>
          <w:bCs/>
        </w:rPr>
        <w:t>Jenkins appeal</w:t>
      </w:r>
      <w:r w:rsidRPr="000641B0" w:rsidR="00F14024">
        <w:rPr>
          <w:bCs/>
        </w:rPr>
        <w:t>ed</w:t>
      </w:r>
      <w:r w:rsidRPr="000641B0">
        <w:rPr>
          <w:bCs/>
        </w:rPr>
        <w:t xml:space="preserve">. </w:t>
      </w:r>
      <w:r w:rsidRPr="000641B0" w:rsidR="00795470">
        <w:rPr>
          <w:bCs/>
        </w:rPr>
        <w:t xml:space="preserve"> </w:t>
      </w:r>
      <w:r w:rsidRPr="000641B0" w:rsidR="005E2FBF">
        <w:rPr>
          <w:bCs/>
        </w:rPr>
        <w:t>While her appeal was pending, Jenkins filed a</w:t>
      </w:r>
      <w:r w:rsidRPr="000641B0">
        <w:rPr>
          <w:bCs/>
        </w:rPr>
        <w:t xml:space="preserve"> petition for writ of habeas corpus </w:t>
      </w:r>
      <w:r w:rsidRPr="000641B0" w:rsidR="005E2FBF">
        <w:rPr>
          <w:bCs/>
        </w:rPr>
        <w:t>in the Court of Appeal</w:t>
      </w:r>
      <w:r w:rsidRPr="000641B0" w:rsidR="00E252E7">
        <w:rPr>
          <w:bCs/>
        </w:rPr>
        <w:t>.</w:t>
      </w:r>
      <w:r w:rsidRPr="000641B0" w:rsidR="008625C4">
        <w:rPr>
          <w:bCs/>
        </w:rPr>
        <w:t xml:space="preserve"> </w:t>
      </w:r>
      <w:r w:rsidRPr="000641B0" w:rsidR="009B4A57">
        <w:rPr>
          <w:bCs/>
        </w:rPr>
        <w:t xml:space="preserve"> </w:t>
      </w:r>
    </w:p>
    <w:p w:rsidR="005A5CCC" w:rsidRPr="000641B0" w:rsidP="007D433F" w14:paraId="3CCA17E5" w14:textId="0A5B571E">
      <w:pPr>
        <w:ind w:firstLine="720"/>
        <w:rPr>
          <w:bCs/>
        </w:rPr>
      </w:pPr>
      <w:r w:rsidRPr="000641B0">
        <w:rPr>
          <w:bCs/>
        </w:rPr>
        <w:t>As relevant here, in her petition</w:t>
      </w:r>
      <w:r w:rsidR="004B54EF">
        <w:rPr>
          <w:bCs/>
        </w:rPr>
        <w:t xml:space="preserve"> for writ of habeas corpus</w:t>
      </w:r>
      <w:r w:rsidRPr="000641B0" w:rsidR="00CC3585">
        <w:rPr>
          <w:bCs/>
        </w:rPr>
        <w:t xml:space="preserve">, Jenkins claimed that the </w:t>
      </w:r>
      <w:r w:rsidRPr="000641B0" w:rsidR="004C17C9">
        <w:rPr>
          <w:bCs/>
        </w:rPr>
        <w:t xml:space="preserve">trial </w:t>
      </w:r>
      <w:r w:rsidRPr="000641B0" w:rsidR="00CC3585">
        <w:rPr>
          <w:bCs/>
        </w:rPr>
        <w:t xml:space="preserve">prosecutor suppressed material exculpatory evidence in violation of </w:t>
      </w:r>
      <w:r w:rsidRPr="000641B0" w:rsidR="00B14A92">
        <w:rPr>
          <w:bCs/>
        </w:rPr>
        <w:t>her</w:t>
      </w:r>
      <w:r w:rsidRPr="000641B0" w:rsidR="00CC3585">
        <w:rPr>
          <w:bCs/>
        </w:rPr>
        <w:t xml:space="preserve"> right to due process</w:t>
      </w:r>
      <w:r w:rsidR="001F49B7">
        <w:rPr>
          <w:bCs/>
        </w:rPr>
        <w:t>.  Specifically, Jenkins alleged the prosecutor failed</w:t>
      </w:r>
      <w:r w:rsidRPr="000641B0" w:rsidR="00CC3585">
        <w:rPr>
          <w:bCs/>
        </w:rPr>
        <w:t xml:space="preserve"> to disclose </w:t>
      </w:r>
      <w:r w:rsidRPr="000641B0" w:rsidR="006E5638">
        <w:rPr>
          <w:bCs/>
        </w:rPr>
        <w:t xml:space="preserve">that </w:t>
      </w:r>
      <w:r w:rsidR="00537B20">
        <w:rPr>
          <w:bCs/>
        </w:rPr>
        <w:t xml:space="preserve">the prosecutor’s office </w:t>
      </w:r>
      <w:r w:rsidRPr="000641B0" w:rsidR="006E5638">
        <w:rPr>
          <w:bCs/>
        </w:rPr>
        <w:t>had</w:t>
      </w:r>
      <w:r w:rsidR="001F49B7">
        <w:rPr>
          <w:bCs/>
        </w:rPr>
        <w:t>, in 2006,</w:t>
      </w:r>
      <w:r w:rsidRPr="000641B0" w:rsidR="00B14A92">
        <w:rPr>
          <w:bCs/>
        </w:rPr>
        <w:t xml:space="preserve"> </w:t>
      </w:r>
      <w:r w:rsidRPr="000641B0" w:rsidR="00632B02">
        <w:rPr>
          <w:bCs/>
        </w:rPr>
        <w:t xml:space="preserve">successfully </w:t>
      </w:r>
      <w:r w:rsidRPr="000641B0" w:rsidR="00B80757">
        <w:rPr>
          <w:bCs/>
        </w:rPr>
        <w:t xml:space="preserve">prosecuted Brittneeh and Sade </w:t>
      </w:r>
      <w:r w:rsidRPr="000641B0" w:rsidR="006E5638">
        <w:rPr>
          <w:bCs/>
        </w:rPr>
        <w:t>for aggravated assault</w:t>
      </w:r>
      <w:r w:rsidRPr="000641B0" w:rsidR="007A33C9">
        <w:rPr>
          <w:bCs/>
        </w:rPr>
        <w:t xml:space="preserve"> </w:t>
      </w:r>
      <w:r w:rsidRPr="000641B0" w:rsidR="00703911">
        <w:rPr>
          <w:bCs/>
        </w:rPr>
        <w:t>with</w:t>
      </w:r>
      <w:r w:rsidRPr="000641B0" w:rsidR="00162D7F">
        <w:rPr>
          <w:bCs/>
        </w:rPr>
        <w:t xml:space="preserve"> </w:t>
      </w:r>
      <w:r w:rsidRPr="000641B0" w:rsidR="007B7E2B">
        <w:rPr>
          <w:bCs/>
        </w:rPr>
        <w:t>hate crime and infliction of great bodily injury</w:t>
      </w:r>
      <w:r w:rsidRPr="000641B0" w:rsidR="00162D7F">
        <w:rPr>
          <w:bCs/>
        </w:rPr>
        <w:t xml:space="preserve"> </w:t>
      </w:r>
      <w:r w:rsidRPr="000641B0" w:rsidR="00200C3A">
        <w:rPr>
          <w:bCs/>
        </w:rPr>
        <w:t>enhancement</w:t>
      </w:r>
      <w:r w:rsidRPr="000641B0" w:rsidR="00703911">
        <w:rPr>
          <w:bCs/>
        </w:rPr>
        <w:t>s</w:t>
      </w:r>
      <w:r w:rsidRPr="000641B0" w:rsidR="006E5638">
        <w:rPr>
          <w:bCs/>
        </w:rPr>
        <w:t>.</w:t>
      </w:r>
      <w:r>
        <w:rPr>
          <w:rStyle w:val="FootnoteReference"/>
        </w:rPr>
        <w:footnoteReference w:id="5"/>
      </w:r>
      <w:r w:rsidRPr="000641B0" w:rsidR="00795470">
        <w:rPr>
          <w:bCs/>
        </w:rPr>
        <w:t xml:space="preserve"> </w:t>
      </w:r>
      <w:r w:rsidRPr="000641B0" w:rsidR="00E252E7">
        <w:rPr>
          <w:bCs/>
        </w:rPr>
        <w:t xml:space="preserve"> </w:t>
      </w:r>
      <w:r w:rsidRPr="000641B0" w:rsidR="0006790B">
        <w:rPr>
          <w:bCs/>
        </w:rPr>
        <w:t xml:space="preserve">As to Brittneeh, </w:t>
      </w:r>
      <w:r w:rsidRPr="000641B0" w:rsidR="00F1384C">
        <w:rPr>
          <w:bCs/>
        </w:rPr>
        <w:t xml:space="preserve">Jenkins </w:t>
      </w:r>
      <w:r w:rsidRPr="000641B0" w:rsidR="00CB24BE">
        <w:rPr>
          <w:bCs/>
        </w:rPr>
        <w:t>mainta</w:t>
      </w:r>
      <w:r w:rsidRPr="000641B0" w:rsidR="006E5D7B">
        <w:rPr>
          <w:bCs/>
        </w:rPr>
        <w:t>ined</w:t>
      </w:r>
      <w:r w:rsidRPr="000641B0" w:rsidR="000603EC">
        <w:rPr>
          <w:bCs/>
        </w:rPr>
        <w:t xml:space="preserve"> that</w:t>
      </w:r>
      <w:r w:rsidRPr="000641B0" w:rsidR="00F1384C">
        <w:rPr>
          <w:bCs/>
        </w:rPr>
        <w:t xml:space="preserve"> </w:t>
      </w:r>
      <w:r w:rsidRPr="000641B0" w:rsidR="005147FB">
        <w:rPr>
          <w:bCs/>
        </w:rPr>
        <w:t xml:space="preserve">evidence of </w:t>
      </w:r>
      <w:r w:rsidRPr="000641B0" w:rsidR="00F13558">
        <w:rPr>
          <w:bCs/>
        </w:rPr>
        <w:t>Brittneeh’s</w:t>
      </w:r>
      <w:r w:rsidRPr="000641B0" w:rsidR="005147FB">
        <w:rPr>
          <w:bCs/>
        </w:rPr>
        <w:t xml:space="preserve"> prior commission of violence</w:t>
      </w:r>
      <w:r w:rsidRPr="000641B0" w:rsidR="0041083E">
        <w:rPr>
          <w:bCs/>
        </w:rPr>
        <w:t xml:space="preserve"> </w:t>
      </w:r>
      <w:r w:rsidRPr="000641B0" w:rsidR="00F1384C">
        <w:rPr>
          <w:bCs/>
        </w:rPr>
        <w:t xml:space="preserve">would have been admissible </w:t>
      </w:r>
      <w:r w:rsidRPr="000641B0" w:rsidR="0006790B">
        <w:rPr>
          <w:bCs/>
        </w:rPr>
        <w:t xml:space="preserve">to </w:t>
      </w:r>
      <w:r w:rsidRPr="000641B0" w:rsidR="00F1384C">
        <w:rPr>
          <w:bCs/>
        </w:rPr>
        <w:t>demonstrate</w:t>
      </w:r>
      <w:r w:rsidRPr="000641B0" w:rsidR="00190C30">
        <w:rPr>
          <w:bCs/>
        </w:rPr>
        <w:t xml:space="preserve"> her </w:t>
      </w:r>
      <w:r w:rsidRPr="000641B0" w:rsidR="00F1384C">
        <w:rPr>
          <w:bCs/>
        </w:rPr>
        <w:t>character for violence</w:t>
      </w:r>
      <w:r w:rsidR="001A6D97">
        <w:rPr>
          <w:bCs/>
        </w:rPr>
        <w:t xml:space="preserve"> </w:t>
      </w:r>
      <w:r w:rsidRPr="00555B6B" w:rsidR="00555B6B">
        <w:rPr>
          <w:bCs/>
        </w:rPr>
        <w:t>and support Jenkins’s claim of self-defense</w:t>
      </w:r>
      <w:r w:rsidRPr="000641B0" w:rsidR="00DB7048">
        <w:rPr>
          <w:bCs/>
        </w:rPr>
        <w:t>.</w:t>
      </w:r>
      <w:r w:rsidRPr="000641B0" w:rsidR="00F1384C">
        <w:rPr>
          <w:bCs/>
        </w:rPr>
        <w:t xml:space="preserve"> </w:t>
      </w:r>
      <w:r w:rsidRPr="000641B0" w:rsidR="00795470">
        <w:rPr>
          <w:bCs/>
        </w:rPr>
        <w:t xml:space="preserve"> </w:t>
      </w:r>
      <w:r w:rsidRPr="000641B0" w:rsidR="0041083E">
        <w:rPr>
          <w:bCs/>
        </w:rPr>
        <w:t xml:space="preserve">As to Sade, Jenkins contended </w:t>
      </w:r>
      <w:r w:rsidRPr="000641B0" w:rsidR="00820991">
        <w:rPr>
          <w:bCs/>
        </w:rPr>
        <w:t xml:space="preserve">that </w:t>
      </w:r>
      <w:r w:rsidRPr="000641B0" w:rsidR="0041083E">
        <w:rPr>
          <w:bCs/>
        </w:rPr>
        <w:t xml:space="preserve">the suppressed evidence would have been admissible for impeachment </w:t>
      </w:r>
      <w:r w:rsidRPr="000641B0" w:rsidR="008E0517">
        <w:rPr>
          <w:bCs/>
        </w:rPr>
        <w:t>purposes</w:t>
      </w:r>
      <w:r w:rsidR="007D433F">
        <w:rPr>
          <w:bCs/>
        </w:rPr>
        <w:t xml:space="preserve">, both as evidence of </w:t>
      </w:r>
      <w:r w:rsidRPr="007D433F" w:rsidR="007D433F">
        <w:rPr>
          <w:bCs/>
        </w:rPr>
        <w:t>prior acts of moral turpitude and as</w:t>
      </w:r>
      <w:r w:rsidR="007D433F">
        <w:rPr>
          <w:bCs/>
        </w:rPr>
        <w:t xml:space="preserve"> </w:t>
      </w:r>
      <w:r w:rsidRPr="007D433F" w:rsidR="007D433F">
        <w:rPr>
          <w:bCs/>
        </w:rPr>
        <w:t xml:space="preserve">evidence </w:t>
      </w:r>
      <w:r w:rsidR="007D433F">
        <w:rPr>
          <w:bCs/>
        </w:rPr>
        <w:t xml:space="preserve">that </w:t>
      </w:r>
      <w:r w:rsidRPr="007D433F" w:rsidR="007D433F">
        <w:rPr>
          <w:bCs/>
        </w:rPr>
        <w:t xml:space="preserve">Sade </w:t>
      </w:r>
      <w:r w:rsidR="007D433F">
        <w:rPr>
          <w:bCs/>
        </w:rPr>
        <w:t xml:space="preserve">had </w:t>
      </w:r>
      <w:r w:rsidRPr="007D433F" w:rsidR="007D433F">
        <w:rPr>
          <w:bCs/>
        </w:rPr>
        <w:t>lied to the jury</w:t>
      </w:r>
      <w:r w:rsidR="007D433F">
        <w:rPr>
          <w:bCs/>
        </w:rPr>
        <w:t xml:space="preserve"> when she had testified at Jenkins’s trial that Brittneeh had never previously acted like a “bully</w:t>
      </w:r>
      <w:r w:rsidRPr="000641B0" w:rsidR="0041083E">
        <w:rPr>
          <w:bCs/>
        </w:rPr>
        <w:t>.</w:t>
      </w:r>
      <w:r w:rsidR="007D433F">
        <w:rPr>
          <w:bCs/>
        </w:rPr>
        <w:t>”</w:t>
      </w:r>
      <w:r w:rsidRPr="000641B0" w:rsidR="008E0517">
        <w:rPr>
          <w:bCs/>
        </w:rPr>
        <w:t xml:space="preserve"> </w:t>
      </w:r>
      <w:r w:rsidRPr="000641B0" w:rsidR="00A8694D">
        <w:rPr>
          <w:bCs/>
        </w:rPr>
        <w:t xml:space="preserve"> </w:t>
      </w:r>
    </w:p>
    <w:p w:rsidR="00F84385" w:rsidRPr="000641B0" w:rsidP="000641B0" w14:paraId="52CEA0CE" w14:textId="423E3F60">
      <w:pPr>
        <w:ind w:firstLine="720"/>
        <w:rPr>
          <w:bCs/>
        </w:rPr>
      </w:pPr>
      <w:r w:rsidRPr="000641B0">
        <w:rPr>
          <w:bCs/>
        </w:rPr>
        <w:t xml:space="preserve">Along with her petition, among other exhibits, Jenkins </w:t>
      </w:r>
      <w:r w:rsidRPr="000641B0" w:rsidR="00D73BC6">
        <w:rPr>
          <w:bCs/>
        </w:rPr>
        <w:t>filed</w:t>
      </w:r>
      <w:r w:rsidRPr="000641B0">
        <w:rPr>
          <w:bCs/>
        </w:rPr>
        <w:t xml:space="preserve"> </w:t>
      </w:r>
      <w:r w:rsidRPr="000641B0" w:rsidR="000538CB">
        <w:rPr>
          <w:bCs/>
        </w:rPr>
        <w:t xml:space="preserve">a declaration from </w:t>
      </w:r>
      <w:r w:rsidRPr="000641B0" w:rsidR="00D73BC6">
        <w:rPr>
          <w:bCs/>
        </w:rPr>
        <w:t>her</w:t>
      </w:r>
      <w:r w:rsidRPr="000641B0" w:rsidR="002D1047">
        <w:rPr>
          <w:bCs/>
        </w:rPr>
        <w:t xml:space="preserve"> trial counsel </w:t>
      </w:r>
      <w:r w:rsidRPr="000641B0" w:rsidR="00322BE5">
        <w:rPr>
          <w:bCs/>
        </w:rPr>
        <w:t>su</w:t>
      </w:r>
      <w:r w:rsidRPr="000641B0" w:rsidR="001E2C1B">
        <w:rPr>
          <w:bCs/>
        </w:rPr>
        <w:t xml:space="preserve">pporting her contention that </w:t>
      </w:r>
      <w:r w:rsidRPr="000641B0" w:rsidR="00D63129">
        <w:rPr>
          <w:bCs/>
        </w:rPr>
        <w:t xml:space="preserve">the prosecutor suppressed the </w:t>
      </w:r>
      <w:r w:rsidRPr="000641B0" w:rsidR="001E2C1B">
        <w:rPr>
          <w:bCs/>
        </w:rPr>
        <w:t>evidence</w:t>
      </w:r>
      <w:r w:rsidRPr="000641B0" w:rsidR="00D96A88">
        <w:rPr>
          <w:bCs/>
        </w:rPr>
        <w:t>.</w:t>
      </w:r>
      <w:r w:rsidRPr="000641B0" w:rsidR="001E2C1B">
        <w:rPr>
          <w:bCs/>
        </w:rPr>
        <w:t xml:space="preserve"> </w:t>
      </w:r>
      <w:r w:rsidRPr="000641B0" w:rsidR="00795470">
        <w:rPr>
          <w:bCs/>
        </w:rPr>
        <w:t xml:space="preserve"> </w:t>
      </w:r>
      <w:r w:rsidRPr="000641B0" w:rsidR="00A51E22">
        <w:rPr>
          <w:bCs/>
        </w:rPr>
        <w:t xml:space="preserve">In his declaration, trial counsel stated that </w:t>
      </w:r>
      <w:r w:rsidRPr="000641B0" w:rsidR="00F773B1">
        <w:rPr>
          <w:bCs/>
        </w:rPr>
        <w:t xml:space="preserve">Jenkins’s postconviction counsel </w:t>
      </w:r>
      <w:r w:rsidRPr="000641B0" w:rsidR="00A51E22">
        <w:rPr>
          <w:bCs/>
        </w:rPr>
        <w:t xml:space="preserve">had recently </w:t>
      </w:r>
      <w:r w:rsidRPr="000641B0" w:rsidR="00BE3F98">
        <w:rPr>
          <w:bCs/>
        </w:rPr>
        <w:t>provided</w:t>
      </w:r>
      <w:r w:rsidRPr="000641B0" w:rsidR="00F773B1">
        <w:rPr>
          <w:bCs/>
        </w:rPr>
        <w:t xml:space="preserve"> him</w:t>
      </w:r>
      <w:r w:rsidRPr="000641B0" w:rsidR="00BE3F98">
        <w:rPr>
          <w:bCs/>
        </w:rPr>
        <w:t xml:space="preserve"> with a Court of Appeal opinion that “describes how the Williams sisters, both Sade and Brittneeh,</w:t>
      </w:r>
      <w:r w:rsidRPr="000641B0" w:rsidR="00F773B1">
        <w:rPr>
          <w:bCs/>
        </w:rPr>
        <w:t xml:space="preserve"> </w:t>
      </w:r>
      <w:r w:rsidRPr="000641B0" w:rsidR="00BE3F98">
        <w:rPr>
          <w:bCs/>
        </w:rPr>
        <w:t>brutally attacked three people without provocation, leaving them injured and concussed.</w:t>
      </w:r>
      <w:r w:rsidRPr="000641B0" w:rsidR="000131E4">
        <w:rPr>
          <w:bCs/>
        </w:rPr>
        <w:t>”</w:t>
      </w:r>
      <w:r w:rsidRPr="000641B0" w:rsidR="00BE3F98">
        <w:rPr>
          <w:bCs/>
        </w:rPr>
        <w:t xml:space="preserve"> </w:t>
      </w:r>
      <w:r w:rsidRPr="000641B0" w:rsidR="00795470">
        <w:rPr>
          <w:bCs/>
        </w:rPr>
        <w:t xml:space="preserve"> </w:t>
      </w:r>
      <w:r w:rsidRPr="000641B0" w:rsidR="00F773B1">
        <w:rPr>
          <w:bCs/>
        </w:rPr>
        <w:t>Trial c</w:t>
      </w:r>
      <w:r w:rsidRPr="000641B0" w:rsidR="000131E4">
        <w:rPr>
          <w:bCs/>
        </w:rPr>
        <w:t>ounsel stated</w:t>
      </w:r>
      <w:r w:rsidRPr="000641B0" w:rsidR="00F773B1">
        <w:rPr>
          <w:bCs/>
        </w:rPr>
        <w:t xml:space="preserve">, </w:t>
      </w:r>
      <w:r w:rsidRPr="000641B0" w:rsidR="000131E4">
        <w:rPr>
          <w:bCs/>
        </w:rPr>
        <w:t>“</w:t>
      </w:r>
      <w:r w:rsidRPr="000641B0" w:rsidR="00497D21">
        <w:rPr>
          <w:bCs/>
        </w:rPr>
        <w:t xml:space="preserve">I </w:t>
      </w:r>
      <w:r w:rsidRPr="000641B0" w:rsidR="000131E4">
        <w:rPr>
          <w:bCs/>
        </w:rPr>
        <w:t xml:space="preserve">did not know anything about that case.” </w:t>
      </w:r>
      <w:r w:rsidRPr="000641B0" w:rsidR="00A8694D">
        <w:rPr>
          <w:bCs/>
        </w:rPr>
        <w:t xml:space="preserve"> </w:t>
      </w:r>
    </w:p>
    <w:p w:rsidR="005A5CCC" w:rsidRPr="000641B0" w:rsidP="000641B0" w14:paraId="1084C63D" w14:textId="21AC04D3">
      <w:pPr>
        <w:ind w:firstLine="720"/>
        <w:rPr>
          <w:bCs/>
        </w:rPr>
      </w:pPr>
      <w:r w:rsidRPr="000641B0">
        <w:rPr>
          <w:bCs/>
        </w:rPr>
        <w:t xml:space="preserve">Attached to trial counsel’s declaration was </w:t>
      </w:r>
      <w:r w:rsidR="00AF31E9">
        <w:rPr>
          <w:bCs/>
        </w:rPr>
        <w:t>the</w:t>
      </w:r>
      <w:r w:rsidR="00BC51E5">
        <w:rPr>
          <w:bCs/>
        </w:rPr>
        <w:t xml:space="preserve"> </w:t>
      </w:r>
      <w:r w:rsidRPr="000641B0" w:rsidR="00022504">
        <w:rPr>
          <w:bCs/>
        </w:rPr>
        <w:t xml:space="preserve">Court of Appeal </w:t>
      </w:r>
      <w:r w:rsidRPr="000641B0" w:rsidR="005B13B4">
        <w:rPr>
          <w:bCs/>
        </w:rPr>
        <w:t xml:space="preserve">opinion </w:t>
      </w:r>
      <w:r w:rsidRPr="000641B0" w:rsidR="00022504">
        <w:rPr>
          <w:bCs/>
        </w:rPr>
        <w:t>(</w:t>
      </w:r>
      <w:bookmarkStart w:id="3" w:name="_Hlk115101384"/>
      <w:bookmarkStart w:id="4" w:name="_Hlk125711621"/>
      <w:r w:rsidRPr="000641B0" w:rsidR="00022504">
        <w:rPr>
          <w:bCs/>
          <w:i/>
          <w:iCs/>
        </w:rPr>
        <w:t xml:space="preserve">People v. </w:t>
      </w:r>
      <w:r w:rsidRPr="000641B0" w:rsidR="00832C08">
        <w:rPr>
          <w:bCs/>
          <w:i/>
          <w:iCs/>
        </w:rPr>
        <w:t>Emerald</w:t>
      </w:r>
      <w:r w:rsidR="00832C08">
        <w:rPr>
          <w:bCs/>
          <w:i/>
          <w:iCs/>
        </w:rPr>
        <w:t> </w:t>
      </w:r>
      <w:r w:rsidRPr="000641B0" w:rsidR="00022504">
        <w:rPr>
          <w:bCs/>
          <w:i/>
          <w:iCs/>
        </w:rPr>
        <w:t>R.</w:t>
      </w:r>
      <w:bookmarkEnd w:id="3"/>
      <w:r w:rsidRPr="000641B0" w:rsidR="00022504">
        <w:rPr>
          <w:bCs/>
        </w:rPr>
        <w:t> (</w:t>
      </w:r>
      <w:bookmarkStart w:id="5" w:name="_Hlk115101393"/>
      <w:r w:rsidRPr="000641B0" w:rsidR="00022504">
        <w:rPr>
          <w:bCs/>
        </w:rPr>
        <w:t>Mar</w:t>
      </w:r>
      <w:r w:rsidRPr="000641B0" w:rsidR="00832C08">
        <w:rPr>
          <w:bCs/>
        </w:rPr>
        <w:t>.</w:t>
      </w:r>
      <w:r w:rsidR="00832C08">
        <w:rPr>
          <w:bCs/>
        </w:rPr>
        <w:t> </w:t>
      </w:r>
      <w:r w:rsidRPr="000641B0" w:rsidR="00022504">
        <w:rPr>
          <w:bCs/>
        </w:rPr>
        <w:t>4, 2010, B196643</w:t>
      </w:r>
      <w:bookmarkEnd w:id="5"/>
      <w:r w:rsidRPr="000641B0" w:rsidR="00022504">
        <w:rPr>
          <w:bCs/>
        </w:rPr>
        <w:t>)</w:t>
      </w:r>
      <w:r w:rsidRPr="000641B0" w:rsidR="00B113D6">
        <w:rPr>
          <w:bCs/>
        </w:rPr>
        <w:t xml:space="preserve"> </w:t>
      </w:r>
      <w:r w:rsidRPr="000641B0" w:rsidR="005B13B4">
        <w:rPr>
          <w:bCs/>
        </w:rPr>
        <w:t>[</w:t>
      </w:r>
      <w:r w:rsidRPr="000641B0" w:rsidR="00022504">
        <w:rPr>
          <w:bCs/>
        </w:rPr>
        <w:t>nonpub. opn.</w:t>
      </w:r>
      <w:r w:rsidRPr="000641B0" w:rsidR="005B13B4">
        <w:rPr>
          <w:bCs/>
        </w:rPr>
        <w:t>]</w:t>
      </w:r>
      <w:r w:rsidRPr="000641B0" w:rsidR="00B113D6">
        <w:rPr>
          <w:bCs/>
        </w:rPr>
        <w:t xml:space="preserve"> (</w:t>
      </w:r>
      <w:r w:rsidRPr="000641B0" w:rsidR="00832C08">
        <w:rPr>
          <w:bCs/>
          <w:i/>
          <w:iCs/>
        </w:rPr>
        <w:t>Emerald</w:t>
      </w:r>
      <w:r w:rsidR="00832C08">
        <w:rPr>
          <w:bCs/>
          <w:i/>
          <w:iCs/>
        </w:rPr>
        <w:t> </w:t>
      </w:r>
      <w:r w:rsidRPr="000641B0" w:rsidR="00B113D6">
        <w:rPr>
          <w:bCs/>
          <w:i/>
          <w:iCs/>
        </w:rPr>
        <w:t>R</w:t>
      </w:r>
      <w:r w:rsidRPr="000641B0" w:rsidR="00B113D6">
        <w:rPr>
          <w:bCs/>
        </w:rPr>
        <w:t>.)</w:t>
      </w:r>
      <w:r w:rsidR="00AF31E9">
        <w:rPr>
          <w:bCs/>
        </w:rPr>
        <w:t>), which had been downloaded from LexisNexis</w:t>
      </w:r>
      <w:r w:rsidRPr="000641B0" w:rsidR="008D6FAC">
        <w:rPr>
          <w:bCs/>
        </w:rPr>
        <w:t>.</w:t>
      </w:r>
      <w:bookmarkEnd w:id="4"/>
      <w:r w:rsidRPr="000641B0" w:rsidR="008D6FAC">
        <w:rPr>
          <w:bCs/>
        </w:rPr>
        <w:t xml:space="preserve"> </w:t>
      </w:r>
      <w:r w:rsidRPr="000641B0" w:rsidR="00642D93">
        <w:rPr>
          <w:bCs/>
        </w:rPr>
        <w:t xml:space="preserve"> </w:t>
      </w:r>
      <w:r w:rsidRPr="00AD590E" w:rsidR="00AD590E">
        <w:rPr>
          <w:bCs/>
        </w:rPr>
        <w:t>As discussed in the opinion</w:t>
      </w:r>
      <w:r w:rsidR="00AD590E">
        <w:rPr>
          <w:bCs/>
        </w:rPr>
        <w:t>,</w:t>
      </w:r>
      <w:r w:rsidRPr="00AD590E" w:rsidR="00AD590E">
        <w:rPr>
          <w:bCs/>
        </w:rPr>
        <w:t xml:space="preserve"> </w:t>
      </w:r>
      <w:r w:rsidR="00AD590E">
        <w:rPr>
          <w:bCs/>
        </w:rPr>
        <w:t>i</w:t>
      </w:r>
      <w:r w:rsidRPr="000641B0" w:rsidR="00150E65">
        <w:rPr>
          <w:bCs/>
        </w:rPr>
        <w:t xml:space="preserve">n the matter underlying the appeal in </w:t>
      </w:r>
      <w:r w:rsidRPr="000641B0" w:rsidR="00497D21">
        <w:rPr>
          <w:bCs/>
          <w:i/>
          <w:iCs/>
        </w:rPr>
        <w:t>Emerald R</w:t>
      </w:r>
      <w:r w:rsidRPr="000641B0" w:rsidR="00150E65">
        <w:rPr>
          <w:bCs/>
          <w:i/>
          <w:iCs/>
        </w:rPr>
        <w:t>.</w:t>
      </w:r>
      <w:r w:rsidRPr="000641B0" w:rsidR="00B715E7">
        <w:rPr>
          <w:bCs/>
        </w:rPr>
        <w:t>,</w:t>
      </w:r>
      <w:r w:rsidRPr="000641B0" w:rsidR="00892AF4">
        <w:rPr>
          <w:bCs/>
        </w:rPr>
        <w:t xml:space="preserve"> </w:t>
      </w:r>
      <w:r w:rsidRPr="000641B0" w:rsidR="00DC0044">
        <w:rPr>
          <w:bCs/>
        </w:rPr>
        <w:t>a</w:t>
      </w:r>
      <w:r w:rsidRPr="000641B0" w:rsidR="005B7D35">
        <w:rPr>
          <w:bCs/>
        </w:rPr>
        <w:t xml:space="preserve"> juvenile court </w:t>
      </w:r>
      <w:r w:rsidRPr="000641B0" w:rsidR="00A3523E">
        <w:rPr>
          <w:bCs/>
        </w:rPr>
        <w:t xml:space="preserve">declared </w:t>
      </w:r>
      <w:r w:rsidRPr="000641B0" w:rsidR="008D6FAC">
        <w:rPr>
          <w:bCs/>
        </w:rPr>
        <w:t xml:space="preserve">two </w:t>
      </w:r>
      <w:r w:rsidRPr="000641B0" w:rsidR="004B1E5A">
        <w:rPr>
          <w:bCs/>
        </w:rPr>
        <w:t>minors</w:t>
      </w:r>
      <w:r w:rsidRPr="000641B0" w:rsidR="00300D0B">
        <w:rPr>
          <w:bCs/>
        </w:rPr>
        <w:t>,</w:t>
      </w:r>
      <w:r w:rsidRPr="000641B0" w:rsidR="008D6FAC">
        <w:rPr>
          <w:bCs/>
        </w:rPr>
        <w:t xml:space="preserve"> </w:t>
      </w:r>
      <w:r w:rsidRPr="000641B0" w:rsidR="00497D21">
        <w:rPr>
          <w:bCs/>
        </w:rPr>
        <w:t xml:space="preserve">referred </w:t>
      </w:r>
      <w:r w:rsidRPr="000641B0" w:rsidR="004B1E5A">
        <w:rPr>
          <w:bCs/>
        </w:rPr>
        <w:t xml:space="preserve">to </w:t>
      </w:r>
      <w:r w:rsidRPr="000641B0" w:rsidR="00497D21">
        <w:rPr>
          <w:bCs/>
        </w:rPr>
        <w:t xml:space="preserve">as </w:t>
      </w:r>
      <w:r w:rsidRPr="000641B0" w:rsidR="00344C75">
        <w:rPr>
          <w:bCs/>
        </w:rPr>
        <w:t>“</w:t>
      </w:r>
      <w:r w:rsidRPr="000641B0" w:rsidR="00497D21">
        <w:rPr>
          <w:bCs/>
        </w:rPr>
        <w:t>Brit. W.</w:t>
      </w:r>
      <w:r w:rsidRPr="000641B0" w:rsidR="00344C75">
        <w:rPr>
          <w:bCs/>
        </w:rPr>
        <w:t>”</w:t>
      </w:r>
      <w:r w:rsidRPr="000641B0" w:rsidR="00497D21">
        <w:rPr>
          <w:bCs/>
        </w:rPr>
        <w:t xml:space="preserve"> and </w:t>
      </w:r>
      <w:r w:rsidRPr="000641B0" w:rsidR="00344C75">
        <w:rPr>
          <w:bCs/>
        </w:rPr>
        <w:t>“</w:t>
      </w:r>
      <w:r w:rsidRPr="000641B0" w:rsidR="00497D21">
        <w:rPr>
          <w:bCs/>
        </w:rPr>
        <w:t>Sade W</w:t>
      </w:r>
      <w:r w:rsidRPr="000641B0" w:rsidR="007F1F9D">
        <w:rPr>
          <w:bCs/>
        </w:rPr>
        <w:t>.</w:t>
      </w:r>
      <w:r w:rsidRPr="000641B0" w:rsidR="00497D21">
        <w:rPr>
          <w:bCs/>
        </w:rPr>
        <w:t>,</w:t>
      </w:r>
      <w:r w:rsidRPr="000641B0" w:rsidR="007F1F9D">
        <w:rPr>
          <w:bCs/>
        </w:rPr>
        <w:t xml:space="preserve">” </w:t>
      </w:r>
      <w:r w:rsidRPr="000641B0" w:rsidR="00A3523E">
        <w:rPr>
          <w:bCs/>
        </w:rPr>
        <w:t>along with</w:t>
      </w:r>
      <w:r w:rsidRPr="000641B0" w:rsidR="00392189">
        <w:rPr>
          <w:bCs/>
        </w:rPr>
        <w:t xml:space="preserve"> several other minors</w:t>
      </w:r>
      <w:r w:rsidRPr="000641B0" w:rsidR="00A3523E">
        <w:rPr>
          <w:bCs/>
        </w:rPr>
        <w:t>,</w:t>
      </w:r>
      <w:r w:rsidRPr="000641B0" w:rsidR="00392189">
        <w:rPr>
          <w:bCs/>
        </w:rPr>
        <w:t xml:space="preserve"> to be wards of the court</w:t>
      </w:r>
      <w:r w:rsidRPr="000641B0" w:rsidR="006429F4">
        <w:rPr>
          <w:bCs/>
        </w:rPr>
        <w:t>.  The juveni</w:t>
      </w:r>
      <w:r w:rsidRPr="000641B0" w:rsidR="00BA297F">
        <w:rPr>
          <w:bCs/>
        </w:rPr>
        <w:t>le court</w:t>
      </w:r>
      <w:r w:rsidRPr="000641B0" w:rsidR="00642D93">
        <w:rPr>
          <w:bCs/>
        </w:rPr>
        <w:t xml:space="preserve"> found </w:t>
      </w:r>
      <w:r w:rsidRPr="000641B0" w:rsidR="008B7FD9">
        <w:rPr>
          <w:bCs/>
        </w:rPr>
        <w:t xml:space="preserve">the minors committed a series of </w:t>
      </w:r>
      <w:r w:rsidRPr="000641B0" w:rsidR="00353BB4">
        <w:rPr>
          <w:bCs/>
        </w:rPr>
        <w:t xml:space="preserve">aggravated </w:t>
      </w:r>
      <w:r w:rsidRPr="000641B0" w:rsidR="008B7FD9">
        <w:rPr>
          <w:bCs/>
        </w:rPr>
        <w:t>assaults during an incident that occurred on Halloween night in 2006.</w:t>
      </w:r>
      <w:r w:rsidRPr="000641B0" w:rsidR="00325A27">
        <w:rPr>
          <w:bCs/>
        </w:rPr>
        <w:t xml:space="preserve"> </w:t>
      </w:r>
      <w:r w:rsidRPr="000641B0" w:rsidR="00642D93">
        <w:rPr>
          <w:bCs/>
        </w:rPr>
        <w:t xml:space="preserve"> </w:t>
      </w:r>
      <w:r w:rsidRPr="000641B0" w:rsidR="00EB487C">
        <w:rPr>
          <w:bCs/>
        </w:rPr>
        <w:t>Specifically,</w:t>
      </w:r>
      <w:r w:rsidRPr="000641B0" w:rsidR="005D35A6">
        <w:rPr>
          <w:bCs/>
        </w:rPr>
        <w:t xml:space="preserve"> </w:t>
      </w:r>
      <w:r w:rsidRPr="000641B0" w:rsidR="00EB487C">
        <w:rPr>
          <w:bCs/>
        </w:rPr>
        <w:t>t</w:t>
      </w:r>
      <w:r w:rsidRPr="000641B0" w:rsidR="006D32CD">
        <w:rPr>
          <w:bCs/>
        </w:rPr>
        <w:t xml:space="preserve">he juvenile court found that Brit. W. and Sade W. each </w:t>
      </w:r>
      <w:r w:rsidRPr="000641B0" w:rsidR="00E979A1">
        <w:rPr>
          <w:bCs/>
        </w:rPr>
        <w:t>committed</w:t>
      </w:r>
      <w:r w:rsidRPr="000641B0" w:rsidR="003A1F68">
        <w:rPr>
          <w:bCs/>
        </w:rPr>
        <w:t xml:space="preserve"> three assaults with force</w:t>
      </w:r>
      <w:r w:rsidRPr="000641B0" w:rsidR="00433736">
        <w:rPr>
          <w:bCs/>
        </w:rPr>
        <w:t xml:space="preserve"> </w:t>
      </w:r>
      <w:r w:rsidRPr="000641B0" w:rsidR="003A1F68">
        <w:rPr>
          <w:bCs/>
        </w:rPr>
        <w:t>likely to produce great bodily injury</w:t>
      </w:r>
      <w:r w:rsidRPr="000641B0" w:rsidR="00DC0044">
        <w:rPr>
          <w:bCs/>
        </w:rPr>
        <w:t xml:space="preserve"> </w:t>
      </w:r>
      <w:r w:rsidRPr="000641B0" w:rsidR="00F155DD">
        <w:rPr>
          <w:bCs/>
        </w:rPr>
        <w:t>and</w:t>
      </w:r>
      <w:r w:rsidRPr="000641B0" w:rsidR="00A212D8">
        <w:rPr>
          <w:bCs/>
        </w:rPr>
        <w:t xml:space="preserve"> </w:t>
      </w:r>
      <w:r w:rsidRPr="000641B0" w:rsidR="00102AF4">
        <w:rPr>
          <w:bCs/>
        </w:rPr>
        <w:t>found true</w:t>
      </w:r>
      <w:r w:rsidRPr="000641B0" w:rsidR="001F3C13">
        <w:rPr>
          <w:bCs/>
        </w:rPr>
        <w:t xml:space="preserve"> </w:t>
      </w:r>
      <w:r w:rsidRPr="000641B0" w:rsidR="003A1F68">
        <w:rPr>
          <w:bCs/>
        </w:rPr>
        <w:t>hate crime allegations</w:t>
      </w:r>
      <w:r w:rsidRPr="000641B0" w:rsidR="008321A0">
        <w:rPr>
          <w:bCs/>
        </w:rPr>
        <w:t xml:space="preserve"> </w:t>
      </w:r>
      <w:r w:rsidR="0050017E">
        <w:rPr>
          <w:bCs/>
        </w:rPr>
        <w:t xml:space="preserve">regarding </w:t>
      </w:r>
      <w:r w:rsidRPr="000641B0" w:rsidR="008321A0">
        <w:rPr>
          <w:bCs/>
        </w:rPr>
        <w:t>each assault</w:t>
      </w:r>
      <w:r w:rsidRPr="000641B0" w:rsidR="00056E45">
        <w:rPr>
          <w:bCs/>
        </w:rPr>
        <w:t xml:space="preserve">. </w:t>
      </w:r>
      <w:r w:rsidRPr="000641B0" w:rsidR="00642D93">
        <w:rPr>
          <w:bCs/>
        </w:rPr>
        <w:t xml:space="preserve"> </w:t>
      </w:r>
      <w:r w:rsidRPr="000641B0" w:rsidR="00102AF4">
        <w:rPr>
          <w:bCs/>
        </w:rPr>
        <w:t>In addition, the</w:t>
      </w:r>
      <w:r w:rsidRPr="000641B0" w:rsidR="00056E45">
        <w:rPr>
          <w:bCs/>
        </w:rPr>
        <w:t xml:space="preserve"> juvenile court found that Brit. W. personally </w:t>
      </w:r>
      <w:r w:rsidRPr="000641B0" w:rsidR="0097786A">
        <w:rPr>
          <w:bCs/>
        </w:rPr>
        <w:t xml:space="preserve">inflicted great bodily injury on two victims and that Sade </w:t>
      </w:r>
      <w:r w:rsidRPr="000641B0" w:rsidR="0028243A">
        <w:rPr>
          <w:bCs/>
        </w:rPr>
        <w:t xml:space="preserve">W. personally inflicted great bodily injury on another victim. </w:t>
      </w:r>
      <w:r w:rsidRPr="000641B0" w:rsidR="00A8694D">
        <w:rPr>
          <w:bCs/>
        </w:rPr>
        <w:t xml:space="preserve"> </w:t>
      </w:r>
    </w:p>
    <w:p w:rsidR="00730459" w:rsidRPr="000641B0" w:rsidP="000641B0" w14:paraId="5F504DBE" w14:textId="6D29D2FE">
      <w:pPr>
        <w:ind w:firstLine="720"/>
        <w:rPr>
          <w:bCs/>
        </w:rPr>
      </w:pPr>
      <w:r w:rsidRPr="000641B0">
        <w:rPr>
          <w:bCs/>
        </w:rPr>
        <w:t xml:space="preserve">The Court of Appeal </w:t>
      </w:r>
      <w:r w:rsidRPr="000641B0" w:rsidR="00E252E7">
        <w:rPr>
          <w:bCs/>
        </w:rPr>
        <w:t xml:space="preserve">ordered </w:t>
      </w:r>
      <w:r w:rsidRPr="000641B0" w:rsidR="00664716">
        <w:rPr>
          <w:bCs/>
        </w:rPr>
        <w:t>Jenkins’s</w:t>
      </w:r>
      <w:r w:rsidRPr="000641B0" w:rsidR="00E252E7">
        <w:rPr>
          <w:bCs/>
        </w:rPr>
        <w:t xml:space="preserve"> </w:t>
      </w:r>
      <w:r w:rsidRPr="000641B0" w:rsidR="003B380C">
        <w:rPr>
          <w:bCs/>
        </w:rPr>
        <w:t>petition</w:t>
      </w:r>
      <w:r w:rsidR="004B54EF">
        <w:rPr>
          <w:bCs/>
        </w:rPr>
        <w:t xml:space="preserve"> for writ of habeas corpus</w:t>
      </w:r>
      <w:r w:rsidRPr="000641B0" w:rsidR="003B380C">
        <w:rPr>
          <w:bCs/>
        </w:rPr>
        <w:t xml:space="preserve"> </w:t>
      </w:r>
      <w:r w:rsidRPr="000641B0" w:rsidR="00E44BD5">
        <w:rPr>
          <w:bCs/>
        </w:rPr>
        <w:t xml:space="preserve">to be </w:t>
      </w:r>
      <w:r w:rsidRPr="000641B0" w:rsidR="003B380C">
        <w:rPr>
          <w:bCs/>
        </w:rPr>
        <w:t xml:space="preserve">considered with </w:t>
      </w:r>
      <w:r w:rsidRPr="000641B0" w:rsidR="00664716">
        <w:rPr>
          <w:bCs/>
        </w:rPr>
        <w:t>her</w:t>
      </w:r>
      <w:r w:rsidRPr="000641B0" w:rsidR="003B380C">
        <w:rPr>
          <w:bCs/>
        </w:rPr>
        <w:t xml:space="preserve"> appeal</w:t>
      </w:r>
      <w:r w:rsidRPr="000641B0" w:rsidR="008D652E">
        <w:rPr>
          <w:bCs/>
        </w:rPr>
        <w:t>,</w:t>
      </w:r>
      <w:r w:rsidRPr="000641B0" w:rsidR="004925DF">
        <w:rPr>
          <w:bCs/>
        </w:rPr>
        <w:t xml:space="preserve"> </w:t>
      </w:r>
      <w:r w:rsidRPr="000641B0" w:rsidR="00B85145">
        <w:rPr>
          <w:bCs/>
        </w:rPr>
        <w:t>solicit</w:t>
      </w:r>
      <w:r w:rsidRPr="000641B0" w:rsidR="004925DF">
        <w:rPr>
          <w:bCs/>
        </w:rPr>
        <w:t>ed</w:t>
      </w:r>
      <w:r w:rsidRPr="000641B0" w:rsidR="00B85145">
        <w:rPr>
          <w:bCs/>
        </w:rPr>
        <w:t xml:space="preserve"> an informal respons</w:t>
      </w:r>
      <w:r w:rsidRPr="000641B0" w:rsidR="00380022">
        <w:rPr>
          <w:bCs/>
        </w:rPr>
        <w:t>e to the petition,</w:t>
      </w:r>
      <w:r w:rsidRPr="000641B0" w:rsidR="00B85145">
        <w:rPr>
          <w:bCs/>
        </w:rPr>
        <w:t xml:space="preserve"> and permit</w:t>
      </w:r>
      <w:r w:rsidRPr="000641B0" w:rsidR="00EB7A3B">
        <w:rPr>
          <w:bCs/>
        </w:rPr>
        <w:t>ted</w:t>
      </w:r>
      <w:r w:rsidRPr="000641B0" w:rsidR="00B85145">
        <w:rPr>
          <w:bCs/>
        </w:rPr>
        <w:t xml:space="preserve"> Jenkins to file a reply to the </w:t>
      </w:r>
      <w:r w:rsidRPr="000641B0" w:rsidR="00EB7A3B">
        <w:rPr>
          <w:bCs/>
        </w:rPr>
        <w:t xml:space="preserve">informal </w:t>
      </w:r>
      <w:r w:rsidRPr="000641B0" w:rsidR="00B85145">
        <w:rPr>
          <w:bCs/>
        </w:rPr>
        <w:t>response</w:t>
      </w:r>
      <w:r w:rsidRPr="000641B0" w:rsidR="003B380C">
        <w:rPr>
          <w:bCs/>
        </w:rPr>
        <w:t xml:space="preserve">. </w:t>
      </w:r>
      <w:r w:rsidRPr="000641B0" w:rsidR="00A8694D">
        <w:rPr>
          <w:bCs/>
        </w:rPr>
        <w:t xml:space="preserve"> </w:t>
      </w:r>
    </w:p>
    <w:p w:rsidR="005E2FBF" w:rsidRPr="000641B0" w:rsidP="000641B0" w14:paraId="50DB2AA4" w14:textId="790290C6">
      <w:pPr>
        <w:ind w:firstLine="720"/>
        <w:rPr>
          <w:bCs/>
        </w:rPr>
      </w:pPr>
      <w:r w:rsidRPr="000641B0">
        <w:rPr>
          <w:bCs/>
        </w:rPr>
        <w:t>T</w:t>
      </w:r>
      <w:r w:rsidRPr="000641B0" w:rsidR="00B85145">
        <w:rPr>
          <w:bCs/>
        </w:rPr>
        <w:t xml:space="preserve">he Attorney </w:t>
      </w:r>
      <w:r w:rsidRPr="000641B0" w:rsidR="00D322EB">
        <w:rPr>
          <w:bCs/>
        </w:rPr>
        <w:t>General</w:t>
      </w:r>
      <w:r w:rsidRPr="000641B0" w:rsidR="00CF40C4">
        <w:rPr>
          <w:bCs/>
        </w:rPr>
        <w:t xml:space="preserve"> filed an</w:t>
      </w:r>
      <w:r w:rsidRPr="000641B0" w:rsidR="00D322EB">
        <w:rPr>
          <w:bCs/>
        </w:rPr>
        <w:t xml:space="preserve"> informal response argu</w:t>
      </w:r>
      <w:r w:rsidRPr="000641B0" w:rsidR="00CF40C4">
        <w:rPr>
          <w:bCs/>
        </w:rPr>
        <w:t>ing</w:t>
      </w:r>
      <w:r w:rsidRPr="000641B0" w:rsidR="00D322EB">
        <w:rPr>
          <w:bCs/>
        </w:rPr>
        <w:t xml:space="preserve"> that</w:t>
      </w:r>
      <w:r w:rsidRPr="000641B0">
        <w:rPr>
          <w:bCs/>
        </w:rPr>
        <w:t xml:space="preserve"> Jenkins</w:t>
      </w:r>
      <w:r w:rsidRPr="000641B0" w:rsidR="00D322EB">
        <w:rPr>
          <w:bCs/>
        </w:rPr>
        <w:t xml:space="preserve"> had not stated a prima facie case for relief because </w:t>
      </w:r>
      <w:r w:rsidRPr="000641B0" w:rsidR="00CF40C4">
        <w:rPr>
          <w:bCs/>
        </w:rPr>
        <w:t xml:space="preserve">she </w:t>
      </w:r>
      <w:r w:rsidRPr="000641B0" w:rsidR="00D32883">
        <w:rPr>
          <w:bCs/>
        </w:rPr>
        <w:t>“</w:t>
      </w:r>
      <w:r w:rsidRPr="000641B0" w:rsidR="00BA2E7C">
        <w:rPr>
          <w:bCs/>
        </w:rPr>
        <w:t xml:space="preserve">offered no competent evidence that either </w:t>
      </w:r>
      <w:r w:rsidRPr="000641B0" w:rsidR="0098183E">
        <w:rPr>
          <w:bCs/>
        </w:rPr>
        <w:t xml:space="preserve">[Brittneeh] </w:t>
      </w:r>
      <w:r w:rsidRPr="000641B0" w:rsidR="00BA2E7C">
        <w:rPr>
          <w:bCs/>
        </w:rPr>
        <w:t xml:space="preserve">or </w:t>
      </w:r>
      <w:r w:rsidRPr="000641B0" w:rsidR="00D32883">
        <w:rPr>
          <w:bCs/>
        </w:rPr>
        <w:t>[Sade]</w:t>
      </w:r>
      <w:r w:rsidRPr="000641B0" w:rsidR="00BA2E7C">
        <w:rPr>
          <w:bCs/>
        </w:rPr>
        <w:t xml:space="preserve"> suffered the adjudications </w:t>
      </w:r>
      <w:r w:rsidRPr="000641B0" w:rsidR="00D32883">
        <w:rPr>
          <w:bCs/>
        </w:rPr>
        <w:t>[Jenkins]</w:t>
      </w:r>
      <w:r w:rsidRPr="000641B0" w:rsidR="00BA2E7C">
        <w:rPr>
          <w:bCs/>
        </w:rPr>
        <w:t xml:space="preserve"> cite</w:t>
      </w:r>
      <w:r w:rsidRPr="000641B0" w:rsidR="009F6BA9">
        <w:rPr>
          <w:bCs/>
        </w:rPr>
        <w:t>[d]</w:t>
      </w:r>
      <w:r w:rsidRPr="000641B0" w:rsidR="00BA2E7C">
        <w:rPr>
          <w:bCs/>
        </w:rPr>
        <w:t>,</w:t>
      </w:r>
      <w:r w:rsidRPr="000641B0" w:rsidR="0098183E">
        <w:rPr>
          <w:bCs/>
        </w:rPr>
        <w:t xml:space="preserve"> </w:t>
      </w:r>
      <w:r w:rsidRPr="000641B0" w:rsidR="00741546">
        <w:rPr>
          <w:bCs/>
        </w:rPr>
        <w:t>. . .</w:t>
      </w:r>
      <w:r w:rsidRPr="000641B0" w:rsidR="00BA2E7C">
        <w:rPr>
          <w:bCs/>
        </w:rPr>
        <w:t xml:space="preserve"> offer</w:t>
      </w:r>
      <w:r w:rsidRPr="000641B0" w:rsidR="005B606B">
        <w:rPr>
          <w:bCs/>
        </w:rPr>
        <w:t>[ed]</w:t>
      </w:r>
      <w:r w:rsidRPr="000641B0" w:rsidR="00BA2E7C">
        <w:rPr>
          <w:bCs/>
        </w:rPr>
        <w:t xml:space="preserve"> no evidence that the prosecutor failed to disclose</w:t>
      </w:r>
      <w:r w:rsidRPr="000641B0" w:rsidR="0098183E">
        <w:rPr>
          <w:bCs/>
        </w:rPr>
        <w:t xml:space="preserve"> </w:t>
      </w:r>
      <w:r w:rsidRPr="000641B0" w:rsidR="00BA2E7C">
        <w:rPr>
          <w:bCs/>
        </w:rPr>
        <w:t xml:space="preserve">them, </w:t>
      </w:r>
      <w:r w:rsidRPr="000641B0" w:rsidR="00A71090">
        <w:rPr>
          <w:bCs/>
        </w:rPr>
        <w:t>and</w:t>
      </w:r>
      <w:r w:rsidR="00A71090">
        <w:rPr>
          <w:bCs/>
        </w:rPr>
        <w:t> </w:t>
      </w:r>
      <w:r w:rsidRPr="000641B0" w:rsidR="00741546">
        <w:rPr>
          <w:bCs/>
        </w:rPr>
        <w:t>.</w:t>
      </w:r>
      <w:r w:rsidR="00A71090">
        <w:rPr>
          <w:bCs/>
        </w:rPr>
        <w:t> </w:t>
      </w:r>
      <w:r w:rsidRPr="000641B0" w:rsidR="00741546">
        <w:rPr>
          <w:bCs/>
        </w:rPr>
        <w:t>.</w:t>
      </w:r>
      <w:r w:rsidR="00A71090">
        <w:rPr>
          <w:bCs/>
        </w:rPr>
        <w:t> </w:t>
      </w:r>
      <w:r w:rsidRPr="000641B0" w:rsidR="00741546">
        <w:rPr>
          <w:bCs/>
        </w:rPr>
        <w:t>.</w:t>
      </w:r>
      <w:r w:rsidR="00A71090">
        <w:rPr>
          <w:bCs/>
        </w:rPr>
        <w:t> </w:t>
      </w:r>
      <w:r w:rsidRPr="000641B0" w:rsidR="00BA2E7C">
        <w:rPr>
          <w:bCs/>
        </w:rPr>
        <w:t>ha</w:t>
      </w:r>
      <w:r w:rsidRPr="000641B0" w:rsidR="00741546">
        <w:rPr>
          <w:bCs/>
        </w:rPr>
        <w:t>[d]</w:t>
      </w:r>
      <w:r w:rsidRPr="000641B0" w:rsidR="00BA2E7C">
        <w:rPr>
          <w:bCs/>
        </w:rPr>
        <w:t xml:space="preserve"> not demonstrated how these prior</w:t>
      </w:r>
      <w:r w:rsidRPr="000641B0" w:rsidR="0098183E">
        <w:rPr>
          <w:bCs/>
        </w:rPr>
        <w:t xml:space="preserve"> </w:t>
      </w:r>
      <w:r w:rsidRPr="000641B0" w:rsidR="00BA2E7C">
        <w:rPr>
          <w:bCs/>
        </w:rPr>
        <w:t>adjudications were material or favorable to her.</w:t>
      </w:r>
      <w:r w:rsidRPr="000641B0" w:rsidR="00D32883">
        <w:rPr>
          <w:bCs/>
        </w:rPr>
        <w:t>”</w:t>
      </w:r>
      <w:r w:rsidRPr="000641B0" w:rsidR="00BA2E7C">
        <w:rPr>
          <w:bCs/>
        </w:rPr>
        <w:t xml:space="preserve"> </w:t>
      </w:r>
      <w:r w:rsidRPr="000641B0" w:rsidR="00344C75">
        <w:rPr>
          <w:bCs/>
        </w:rPr>
        <w:t xml:space="preserve"> </w:t>
      </w:r>
    </w:p>
    <w:p w:rsidR="00A46160" w:rsidRPr="000641B0" w:rsidP="007E0585" w14:paraId="0A914534" w14:textId="3B05E31F">
      <w:pPr>
        <w:ind w:firstLine="720"/>
        <w:rPr>
          <w:bCs/>
        </w:rPr>
      </w:pPr>
      <w:r>
        <w:rPr>
          <w:bCs/>
        </w:rPr>
        <w:t>In support of</w:t>
      </w:r>
      <w:r w:rsidRPr="000641B0">
        <w:rPr>
          <w:bCs/>
        </w:rPr>
        <w:t xml:space="preserve"> the first argument, the Attorney General</w:t>
      </w:r>
      <w:r w:rsidR="00B003FC">
        <w:rPr>
          <w:bCs/>
        </w:rPr>
        <w:t xml:space="preserve">, citing </w:t>
      </w:r>
      <w:bookmarkStart w:id="6" w:name="_Hlk125711945"/>
      <w:r w:rsidRPr="00AF2DC5" w:rsidR="00B003FC">
        <w:rPr>
          <w:bCs/>
          <w:i/>
          <w:iCs/>
        </w:rPr>
        <w:t>People v. Duvall</w:t>
      </w:r>
      <w:r w:rsidR="00B003FC">
        <w:rPr>
          <w:bCs/>
        </w:rPr>
        <w:t xml:space="preserve"> (1995) 9 Cal.4th 464, 474</w:t>
      </w:r>
      <w:r w:rsidR="00042DFE">
        <w:rPr>
          <w:bCs/>
        </w:rPr>
        <w:t>–</w:t>
      </w:r>
      <w:r w:rsidR="00B003FC">
        <w:rPr>
          <w:bCs/>
        </w:rPr>
        <w:t>475</w:t>
      </w:r>
      <w:r w:rsidR="00A71090">
        <w:rPr>
          <w:bCs/>
        </w:rPr>
        <w:t xml:space="preserve"> (</w:t>
      </w:r>
      <w:r w:rsidRPr="00AF2DC5" w:rsidR="00A71090">
        <w:rPr>
          <w:bCs/>
          <w:i/>
          <w:iCs/>
        </w:rPr>
        <w:t>Duvall</w:t>
      </w:r>
      <w:r w:rsidR="00A71090">
        <w:rPr>
          <w:bCs/>
        </w:rPr>
        <w:t>),</w:t>
      </w:r>
      <w:r w:rsidRPr="000641B0">
        <w:rPr>
          <w:bCs/>
        </w:rPr>
        <w:t xml:space="preserve"> </w:t>
      </w:r>
      <w:bookmarkEnd w:id="6"/>
      <w:r w:rsidRPr="000641B0" w:rsidR="00642D93">
        <w:rPr>
          <w:bCs/>
        </w:rPr>
        <w:t>stated</w:t>
      </w:r>
      <w:r w:rsidRPr="000641B0" w:rsidR="00CE39B9">
        <w:rPr>
          <w:bCs/>
        </w:rPr>
        <w:t xml:space="preserve"> in part:</w:t>
      </w:r>
      <w:r w:rsidR="007E0585">
        <w:rPr>
          <w:bCs/>
        </w:rPr>
        <w:t xml:space="preserve">  </w:t>
      </w:r>
      <w:r w:rsidRPr="000641B0" w:rsidR="00CE39B9">
        <w:rPr>
          <w:bCs/>
        </w:rPr>
        <w:t>“Exhibit B, Attachment B</w:t>
      </w:r>
      <w:r w:rsidRPr="000641B0" w:rsidR="00000C43">
        <w:rPr>
          <w:bCs/>
        </w:rPr>
        <w:t>[</w:t>
      </w:r>
      <w:r w:rsidRPr="000641B0" w:rsidR="00940C17">
        <w:rPr>
          <w:bCs/>
        </w:rPr>
        <w:t xml:space="preserve">, </w:t>
      </w:r>
      <w:r w:rsidRPr="000641B0" w:rsidR="00000C43">
        <w:rPr>
          <w:bCs/>
        </w:rPr>
        <w:t xml:space="preserve">the </w:t>
      </w:r>
      <w:r w:rsidRPr="000641B0" w:rsidR="00000C43">
        <w:rPr>
          <w:bCs/>
          <w:i/>
          <w:iCs/>
        </w:rPr>
        <w:t>Emerald R</w:t>
      </w:r>
      <w:r w:rsidRPr="000641B0" w:rsidR="00000C43">
        <w:rPr>
          <w:bCs/>
        </w:rPr>
        <w:t>. opin</w:t>
      </w:r>
      <w:r w:rsidRPr="000641B0" w:rsidR="00940C17">
        <w:rPr>
          <w:bCs/>
        </w:rPr>
        <w:t>ion,</w:t>
      </w:r>
      <w:r w:rsidRPr="000641B0" w:rsidR="00882E81">
        <w:rPr>
          <w:bCs/>
        </w:rPr>
        <w:t>]</w:t>
      </w:r>
      <w:r w:rsidRPr="000641B0" w:rsidR="0016267B">
        <w:rPr>
          <w:bCs/>
        </w:rPr>
        <w:t xml:space="preserve"> </w:t>
      </w:r>
      <w:r w:rsidRPr="000641B0" w:rsidR="00CE39B9">
        <w:rPr>
          <w:bCs/>
        </w:rPr>
        <w:t xml:space="preserve">is nothing but an apparent printout of an unspecified and unverified Internet source suggesting a direct appeal opinion in which minors </w:t>
      </w:r>
      <w:r w:rsidRPr="000641B0" w:rsidR="00E0070E">
        <w:rPr>
          <w:bCs/>
        </w:rPr>
        <w:t>‘</w:t>
      </w:r>
      <w:r w:rsidRPr="000641B0" w:rsidR="00CE39B9">
        <w:rPr>
          <w:bCs/>
        </w:rPr>
        <w:t>Brit W.</w:t>
      </w:r>
      <w:r w:rsidRPr="000641B0" w:rsidR="00E0070E">
        <w:rPr>
          <w:bCs/>
        </w:rPr>
        <w:t>’</w:t>
      </w:r>
      <w:r w:rsidRPr="000641B0" w:rsidR="00CE39B9">
        <w:rPr>
          <w:bCs/>
        </w:rPr>
        <w:t xml:space="preserve"> and </w:t>
      </w:r>
      <w:r w:rsidRPr="000641B0" w:rsidR="00E0070E">
        <w:rPr>
          <w:bCs/>
        </w:rPr>
        <w:t>‘</w:t>
      </w:r>
      <w:r w:rsidRPr="000641B0" w:rsidR="00CE39B9">
        <w:rPr>
          <w:bCs/>
        </w:rPr>
        <w:t>Sade W.</w:t>
      </w:r>
      <w:r w:rsidRPr="000641B0" w:rsidR="00E0070E">
        <w:rPr>
          <w:bCs/>
        </w:rPr>
        <w:t>’</w:t>
      </w:r>
      <w:r w:rsidRPr="000641B0" w:rsidR="00CE39B9">
        <w:rPr>
          <w:bCs/>
        </w:rPr>
        <w:t xml:space="preserve"> are listed as defendants, among others.</w:t>
      </w:r>
      <w:r w:rsidRPr="000641B0" w:rsidR="00E0070E">
        <w:rPr>
          <w:bCs/>
        </w:rPr>
        <w:t xml:space="preserve"> </w:t>
      </w:r>
      <w:r w:rsidRPr="000641B0" w:rsidR="00572E5E">
        <w:rPr>
          <w:bCs/>
        </w:rPr>
        <w:t xml:space="preserve"> </w:t>
      </w:r>
      <w:r w:rsidRPr="000641B0" w:rsidR="00CE39B9">
        <w:rPr>
          <w:bCs/>
        </w:rPr>
        <w:t xml:space="preserve">Because </w:t>
      </w:r>
      <w:r w:rsidRPr="000641B0" w:rsidR="00E0070E">
        <w:rPr>
          <w:bCs/>
        </w:rPr>
        <w:t>[Jenkins]</w:t>
      </w:r>
      <w:r w:rsidRPr="000641B0" w:rsidR="00CE39B9">
        <w:rPr>
          <w:bCs/>
        </w:rPr>
        <w:t xml:space="preserve"> has not provided sufficient evidence to show</w:t>
      </w:r>
      <w:r w:rsidRPr="000641B0" w:rsidR="00E0070E">
        <w:rPr>
          <w:bCs/>
        </w:rPr>
        <w:t xml:space="preserve"> </w:t>
      </w:r>
      <w:r w:rsidRPr="000641B0" w:rsidR="00CE39B9">
        <w:rPr>
          <w:bCs/>
        </w:rPr>
        <w:t>Brittneeh or Sade were the minors named, she has already failed</w:t>
      </w:r>
      <w:r w:rsidRPr="000641B0" w:rsidR="00E0070E">
        <w:rPr>
          <w:bCs/>
        </w:rPr>
        <w:t xml:space="preserve"> </w:t>
      </w:r>
      <w:r w:rsidRPr="000641B0" w:rsidR="00CE39B9">
        <w:rPr>
          <w:bCs/>
        </w:rPr>
        <w:t>to show a prima facie case for relief.</w:t>
      </w:r>
      <w:r w:rsidR="00B003FC">
        <w:rPr>
          <w:bCs/>
        </w:rPr>
        <w:t>”</w:t>
      </w:r>
      <w:r w:rsidRPr="000641B0" w:rsidR="00CE39B9">
        <w:rPr>
          <w:bCs/>
        </w:rPr>
        <w:t xml:space="preserve"> </w:t>
      </w:r>
      <w:r w:rsidRPr="000641B0" w:rsidR="00067A11">
        <w:rPr>
          <w:bCs/>
        </w:rPr>
        <w:t xml:space="preserve"> </w:t>
      </w:r>
    </w:p>
    <w:p w:rsidR="00D541AC" w:rsidRPr="000641B0" w:rsidP="007E0585" w14:paraId="247F6958" w14:textId="729FD012">
      <w:pPr>
        <w:ind w:firstLine="720"/>
        <w:rPr>
          <w:bCs/>
        </w:rPr>
      </w:pPr>
      <w:r w:rsidRPr="000641B0">
        <w:rPr>
          <w:bCs/>
        </w:rPr>
        <w:t xml:space="preserve">In her reply to the </w:t>
      </w:r>
      <w:r w:rsidRPr="000641B0" w:rsidR="00C30047">
        <w:rPr>
          <w:bCs/>
        </w:rPr>
        <w:t xml:space="preserve">informal </w:t>
      </w:r>
      <w:r w:rsidRPr="000641B0">
        <w:rPr>
          <w:bCs/>
        </w:rPr>
        <w:t xml:space="preserve">response, Jenkins </w:t>
      </w:r>
      <w:r w:rsidRPr="000641B0" w:rsidR="009867F6">
        <w:rPr>
          <w:bCs/>
        </w:rPr>
        <w:t>objected</w:t>
      </w:r>
      <w:r w:rsidRPr="000641B0" w:rsidR="00997FD1">
        <w:rPr>
          <w:bCs/>
        </w:rPr>
        <w:t xml:space="preserve"> to the Attorney General’s refusal to acknowledge </w:t>
      </w:r>
      <w:r w:rsidRPr="000641B0" w:rsidR="009867F6">
        <w:rPr>
          <w:bCs/>
        </w:rPr>
        <w:t xml:space="preserve">whether </w:t>
      </w:r>
      <w:r w:rsidRPr="000641B0" w:rsidR="000E384B">
        <w:rPr>
          <w:bCs/>
        </w:rPr>
        <w:t>Brittneeh and Sade</w:t>
      </w:r>
      <w:r w:rsidRPr="000641B0" w:rsidR="00E04DDE">
        <w:rPr>
          <w:bCs/>
        </w:rPr>
        <w:t xml:space="preserve"> were among the wards in </w:t>
      </w:r>
      <w:r w:rsidRPr="000641B0" w:rsidR="00E04DDE">
        <w:rPr>
          <w:bCs/>
          <w:i/>
          <w:iCs/>
        </w:rPr>
        <w:t>Emerald R</w:t>
      </w:r>
      <w:r w:rsidRPr="000641B0" w:rsidR="00E04DDE">
        <w:rPr>
          <w:bCs/>
        </w:rPr>
        <w:t>.</w:t>
      </w:r>
      <w:r w:rsidRPr="000641B0" w:rsidR="000E384B">
        <w:rPr>
          <w:bCs/>
        </w:rPr>
        <w:t xml:space="preserve">, </w:t>
      </w:r>
      <w:r w:rsidRPr="000641B0" w:rsidR="00642D93">
        <w:rPr>
          <w:bCs/>
        </w:rPr>
        <w:t>stating</w:t>
      </w:r>
      <w:r w:rsidRPr="000641B0" w:rsidR="000E384B">
        <w:rPr>
          <w:bCs/>
        </w:rPr>
        <w:t xml:space="preserve"> in part:</w:t>
      </w:r>
      <w:r w:rsidR="007E0585">
        <w:rPr>
          <w:bCs/>
        </w:rPr>
        <w:t xml:space="preserve">  </w:t>
      </w:r>
      <w:r w:rsidRPr="000641B0" w:rsidR="009A7888">
        <w:rPr>
          <w:bCs/>
        </w:rPr>
        <w:t>“</w:t>
      </w:r>
      <w:r w:rsidRPr="000641B0" w:rsidR="004B208F">
        <w:rPr>
          <w:bCs/>
        </w:rPr>
        <w:t>[The Attorney General’s</w:t>
      </w:r>
      <w:r>
        <w:rPr>
          <w:rStyle w:val="FootnoteReference"/>
        </w:rPr>
        <w:footnoteReference w:id="6"/>
      </w:r>
      <w:r w:rsidRPr="000641B0" w:rsidR="006E7F36">
        <w:rPr>
          <w:bCs/>
        </w:rPr>
        <w:t>]</w:t>
      </w:r>
      <w:r w:rsidRPr="000641B0" w:rsidR="00B63BE0">
        <w:rPr>
          <w:bCs/>
        </w:rPr>
        <w:t xml:space="preserve"> </w:t>
      </w:r>
      <w:r w:rsidRPr="000641B0" w:rsidR="001856E5">
        <w:rPr>
          <w:bCs/>
        </w:rPr>
        <w:t>approach in this case is</w:t>
      </w:r>
      <w:r w:rsidRPr="000641B0" w:rsidR="00E04DDE">
        <w:rPr>
          <w:bCs/>
        </w:rPr>
        <w:t xml:space="preserve"> </w:t>
      </w:r>
      <w:r w:rsidRPr="000641B0" w:rsidR="001856E5">
        <w:rPr>
          <w:bCs/>
        </w:rPr>
        <w:t xml:space="preserve">deeply </w:t>
      </w:r>
      <w:r w:rsidRPr="000641B0" w:rsidR="00A71090">
        <w:rPr>
          <w:bCs/>
        </w:rPr>
        <w:t>concerning</w:t>
      </w:r>
      <w:r w:rsidR="00A71090">
        <w:rPr>
          <w:bCs/>
        </w:rPr>
        <w:t> </w:t>
      </w:r>
      <w:r w:rsidRPr="000641B0" w:rsidR="00B63BE0">
        <w:rPr>
          <w:bCs/>
        </w:rPr>
        <w:t>—</w:t>
      </w:r>
      <w:r w:rsidRPr="000641B0" w:rsidR="001856E5">
        <w:rPr>
          <w:bCs/>
        </w:rPr>
        <w:t xml:space="preserve"> perhaps even more concerning than the</w:t>
      </w:r>
      <w:r w:rsidRPr="000641B0" w:rsidR="00E04DDE">
        <w:rPr>
          <w:bCs/>
        </w:rPr>
        <w:t xml:space="preserve"> </w:t>
      </w:r>
      <w:r w:rsidRPr="000641B0" w:rsidR="001856E5">
        <w:rPr>
          <w:bCs/>
        </w:rPr>
        <w:t>prosecutor’s failure to disclose this past case, which very well may</w:t>
      </w:r>
      <w:r w:rsidRPr="000641B0" w:rsidR="00E04DDE">
        <w:rPr>
          <w:bCs/>
        </w:rPr>
        <w:t xml:space="preserve"> </w:t>
      </w:r>
      <w:r w:rsidRPr="000641B0" w:rsidR="001856E5">
        <w:rPr>
          <w:bCs/>
        </w:rPr>
        <w:t xml:space="preserve">have been inadvertent. </w:t>
      </w:r>
      <w:r w:rsidRPr="000641B0" w:rsidR="009A7888">
        <w:rPr>
          <w:bCs/>
        </w:rPr>
        <w:t xml:space="preserve"> </w:t>
      </w:r>
      <w:r w:rsidRPr="000641B0" w:rsidR="001856E5">
        <w:rPr>
          <w:bCs/>
        </w:rPr>
        <w:t xml:space="preserve">Here, </w:t>
      </w:r>
      <w:r w:rsidRPr="000641B0" w:rsidR="009A7888">
        <w:rPr>
          <w:bCs/>
        </w:rPr>
        <w:t xml:space="preserve">[Jenkins] </w:t>
      </w:r>
      <w:r w:rsidRPr="000641B0" w:rsidR="001856E5">
        <w:rPr>
          <w:bCs/>
        </w:rPr>
        <w:t>alleged that the state</w:t>
      </w:r>
      <w:r w:rsidRPr="000641B0" w:rsidR="00E04DDE">
        <w:rPr>
          <w:bCs/>
        </w:rPr>
        <w:t xml:space="preserve"> </w:t>
      </w:r>
      <w:r w:rsidRPr="000641B0" w:rsidR="001856E5">
        <w:rPr>
          <w:bCs/>
        </w:rPr>
        <w:t xml:space="preserve">suppressed evidence of Brittneeh’s prior assault. </w:t>
      </w:r>
      <w:r w:rsidRPr="000641B0" w:rsidR="009A7888">
        <w:rPr>
          <w:bCs/>
        </w:rPr>
        <w:t xml:space="preserve"> </w:t>
      </w:r>
      <w:r w:rsidRPr="000641B0" w:rsidR="001856E5">
        <w:rPr>
          <w:bCs/>
        </w:rPr>
        <w:t>The state now</w:t>
      </w:r>
      <w:r w:rsidRPr="000641B0" w:rsidR="00E04DDE">
        <w:rPr>
          <w:bCs/>
        </w:rPr>
        <w:t xml:space="preserve"> </w:t>
      </w:r>
      <w:r w:rsidRPr="000641B0" w:rsidR="001856E5">
        <w:rPr>
          <w:bCs/>
        </w:rPr>
        <w:t>will not say whether or not this is in fact true, but instead plays</w:t>
      </w:r>
      <w:r w:rsidRPr="000641B0" w:rsidR="00E04DDE">
        <w:rPr>
          <w:bCs/>
        </w:rPr>
        <w:t xml:space="preserve"> </w:t>
      </w:r>
      <w:r w:rsidRPr="000641B0" w:rsidR="001856E5">
        <w:rPr>
          <w:bCs/>
        </w:rPr>
        <w:t>word games with the Court of Appeal’s opinion in that case,</w:t>
      </w:r>
      <w:r w:rsidRPr="000641B0" w:rsidR="00E04DDE">
        <w:rPr>
          <w:bCs/>
        </w:rPr>
        <w:t xml:space="preserve"> </w:t>
      </w:r>
      <w:r w:rsidRPr="000641B0" w:rsidR="001856E5">
        <w:rPr>
          <w:bCs/>
        </w:rPr>
        <w:t xml:space="preserve">characterizing that opinion as </w:t>
      </w:r>
      <w:r w:rsidRPr="000641B0" w:rsidR="009A7888">
        <w:rPr>
          <w:bCs/>
        </w:rPr>
        <w:t>‘</w:t>
      </w:r>
      <w:r w:rsidRPr="000641B0" w:rsidR="001856E5">
        <w:rPr>
          <w:bCs/>
        </w:rPr>
        <w:t>an apparent printout of an</w:t>
      </w:r>
      <w:r w:rsidRPr="000641B0" w:rsidR="00E04DDE">
        <w:rPr>
          <w:bCs/>
        </w:rPr>
        <w:t xml:space="preserve"> </w:t>
      </w:r>
      <w:r w:rsidRPr="000641B0" w:rsidR="001856E5">
        <w:rPr>
          <w:bCs/>
        </w:rPr>
        <w:t>unspecified and unverified Internet source . . . .</w:t>
      </w:r>
      <w:r w:rsidRPr="000641B0" w:rsidR="009A7888">
        <w:rPr>
          <w:bCs/>
        </w:rPr>
        <w:t>’</w:t>
      </w:r>
      <w:r w:rsidRPr="000641B0" w:rsidR="001856E5">
        <w:rPr>
          <w:bCs/>
        </w:rPr>
        <w:t xml:space="preserve"> </w:t>
      </w:r>
    </w:p>
    <w:p w:rsidR="00D541AC" w:rsidRPr="000641B0" w:rsidP="007E0585" w14:paraId="410B5B85" w14:textId="42AD60A1">
      <w:pPr>
        <w:ind w:firstLine="720"/>
        <w:rPr>
          <w:bCs/>
        </w:rPr>
      </w:pPr>
      <w:r w:rsidRPr="000641B0">
        <w:rPr>
          <w:bCs/>
        </w:rPr>
        <w:t>“</w:t>
      </w:r>
      <w:r w:rsidRPr="000641B0" w:rsidR="001856E5">
        <w:rPr>
          <w:bCs/>
        </w:rPr>
        <w:t>However, as the chief law enforcement officer of the state,</w:t>
      </w:r>
      <w:r w:rsidRPr="000641B0" w:rsidR="000B4F38">
        <w:rPr>
          <w:bCs/>
        </w:rPr>
        <w:t xml:space="preserve"> </w:t>
      </w:r>
      <w:r w:rsidRPr="000641B0" w:rsidR="004B208F">
        <w:rPr>
          <w:bCs/>
        </w:rPr>
        <w:t>[the Attorney General]</w:t>
      </w:r>
      <w:r w:rsidRPr="000641B0" w:rsidR="001856E5">
        <w:rPr>
          <w:bCs/>
        </w:rPr>
        <w:t xml:space="preserve"> has access to Brittneeh’s criminal history. </w:t>
      </w:r>
      <w:r w:rsidRPr="000641B0">
        <w:rPr>
          <w:bCs/>
        </w:rPr>
        <w:t xml:space="preserve"> </w:t>
      </w:r>
      <w:r w:rsidRPr="000641B0" w:rsidR="001856E5">
        <w:rPr>
          <w:bCs/>
        </w:rPr>
        <w:t>(See Pen. Code, §</w:t>
      </w:r>
      <w:r w:rsidRPr="000641B0" w:rsidR="00C8709E">
        <w:rPr>
          <w:bCs/>
        </w:rPr>
        <w:t> </w:t>
      </w:r>
      <w:r w:rsidRPr="000641B0" w:rsidR="001856E5">
        <w:rPr>
          <w:bCs/>
        </w:rPr>
        <w:t>11105.)</w:t>
      </w:r>
      <w:r w:rsidRPr="000641B0" w:rsidR="00E013FC">
        <w:rPr>
          <w:bCs/>
        </w:rPr>
        <w:t xml:space="preserve"> </w:t>
      </w:r>
      <w:r w:rsidRPr="000641B0" w:rsidR="002E79E3">
        <w:rPr>
          <w:bCs/>
        </w:rPr>
        <w:t xml:space="preserve"> </w:t>
      </w:r>
      <w:r w:rsidRPr="000641B0" w:rsidR="001856E5">
        <w:rPr>
          <w:bCs/>
        </w:rPr>
        <w:t xml:space="preserve">Moreover, </w:t>
      </w:r>
      <w:r w:rsidRPr="000641B0" w:rsidR="00D36903">
        <w:rPr>
          <w:bCs/>
        </w:rPr>
        <w:t>[the Attorney General’s]</w:t>
      </w:r>
      <w:r w:rsidRPr="000641B0" w:rsidR="001856E5">
        <w:rPr>
          <w:bCs/>
        </w:rPr>
        <w:t xml:space="preserve"> own office handled the</w:t>
      </w:r>
      <w:r w:rsidRPr="000641B0" w:rsidR="000B4F38">
        <w:rPr>
          <w:bCs/>
        </w:rPr>
        <w:t xml:space="preserve"> </w:t>
      </w:r>
      <w:r w:rsidRPr="000641B0" w:rsidR="001856E5">
        <w:rPr>
          <w:bCs/>
        </w:rPr>
        <w:t xml:space="preserve">appeal in that case. </w:t>
      </w:r>
      <w:r w:rsidRPr="000641B0" w:rsidR="009F16CA">
        <w:rPr>
          <w:bCs/>
        </w:rPr>
        <w:t xml:space="preserve"> </w:t>
      </w:r>
      <w:r w:rsidRPr="000641B0" w:rsidR="001856E5">
        <w:rPr>
          <w:bCs/>
        </w:rPr>
        <w:t>(See Exh.</w:t>
      </w:r>
      <w:r w:rsidR="00B14C7C">
        <w:rPr>
          <w:bCs/>
        </w:rPr>
        <w:t> </w:t>
      </w:r>
      <w:r w:rsidRPr="000641B0" w:rsidR="001856E5">
        <w:rPr>
          <w:bCs/>
        </w:rPr>
        <w:t>B, Attachment B, p. 1.)</w:t>
      </w:r>
      <w:r w:rsidR="007E0585">
        <w:rPr>
          <w:bCs/>
        </w:rPr>
        <w:t xml:space="preserve">  </w:t>
      </w:r>
      <w:r w:rsidRPr="000641B0" w:rsidR="00D36903">
        <w:rPr>
          <w:bCs/>
        </w:rPr>
        <w:t xml:space="preserve">[¶] </w:t>
      </w:r>
      <w:r w:rsidRPr="000641B0" w:rsidR="000B4F38">
        <w:rPr>
          <w:bCs/>
        </w:rPr>
        <w:t>. . . .</w:t>
      </w:r>
      <w:r w:rsidRPr="000641B0" w:rsidR="00D36903">
        <w:rPr>
          <w:bCs/>
        </w:rPr>
        <w:t xml:space="preserve"> [¶]</w:t>
      </w:r>
    </w:p>
    <w:p w:rsidR="000E384B" w:rsidRPr="000641B0" w:rsidP="007E0585" w14:paraId="2ADAA3E4" w14:textId="17366B80">
      <w:pPr>
        <w:ind w:firstLine="720"/>
        <w:rPr>
          <w:bCs/>
        </w:rPr>
      </w:pPr>
      <w:r w:rsidRPr="000641B0">
        <w:rPr>
          <w:bCs/>
        </w:rPr>
        <w:t>“</w:t>
      </w:r>
      <w:r w:rsidRPr="000641B0" w:rsidR="001856E5">
        <w:rPr>
          <w:bCs/>
        </w:rPr>
        <w:t>If anyone knows whether this case involves Brittneeh</w:t>
      </w:r>
      <w:r w:rsidRPr="000641B0" w:rsidR="000B4F38">
        <w:rPr>
          <w:bCs/>
        </w:rPr>
        <w:t xml:space="preserve"> </w:t>
      </w:r>
      <w:r w:rsidRPr="000641B0" w:rsidR="00694AB0">
        <w:rPr>
          <w:bCs/>
        </w:rPr>
        <w:t>Williams</w:t>
      </w:r>
      <w:r w:rsidR="00694AB0">
        <w:rPr>
          <w:bCs/>
        </w:rPr>
        <w:t> </w:t>
      </w:r>
      <w:r w:rsidRPr="000641B0" w:rsidR="005A6DBA">
        <w:rPr>
          <w:bCs/>
        </w:rPr>
        <w:t>—</w:t>
      </w:r>
      <w:r w:rsidRPr="000641B0" w:rsidR="001856E5">
        <w:rPr>
          <w:bCs/>
        </w:rPr>
        <w:t xml:space="preserve"> or someone else the same age, from the same county,</w:t>
      </w:r>
      <w:r w:rsidRPr="000641B0" w:rsidR="000B4F38">
        <w:rPr>
          <w:bCs/>
        </w:rPr>
        <w:t xml:space="preserve"> </w:t>
      </w:r>
      <w:r w:rsidRPr="000641B0" w:rsidR="001856E5">
        <w:rPr>
          <w:bCs/>
        </w:rPr>
        <w:t>who is named Brit. W., with a sister named Sade W., who faced</w:t>
      </w:r>
      <w:r w:rsidRPr="000641B0" w:rsidR="000B4F38">
        <w:rPr>
          <w:bCs/>
        </w:rPr>
        <w:t xml:space="preserve"> </w:t>
      </w:r>
      <w:r w:rsidRPr="000641B0" w:rsidR="001856E5">
        <w:rPr>
          <w:bCs/>
        </w:rPr>
        <w:t xml:space="preserve">the same charges around the same </w:t>
      </w:r>
      <w:r w:rsidRPr="000641B0" w:rsidR="00694AB0">
        <w:rPr>
          <w:bCs/>
        </w:rPr>
        <w:t>time</w:t>
      </w:r>
      <w:r w:rsidR="00694AB0">
        <w:rPr>
          <w:bCs/>
        </w:rPr>
        <w:t> </w:t>
      </w:r>
      <w:r w:rsidRPr="000641B0" w:rsidR="00D36903">
        <w:rPr>
          <w:bCs/>
        </w:rPr>
        <w:t>—</w:t>
      </w:r>
      <w:r w:rsidRPr="000641B0" w:rsidR="001856E5">
        <w:rPr>
          <w:bCs/>
        </w:rPr>
        <w:t xml:space="preserve"> it is </w:t>
      </w:r>
      <w:r w:rsidRPr="000641B0" w:rsidR="00D36903">
        <w:rPr>
          <w:bCs/>
        </w:rPr>
        <w:t>[the Attorney General]</w:t>
      </w:r>
      <w:r w:rsidRPr="000641B0" w:rsidR="001856E5">
        <w:rPr>
          <w:bCs/>
        </w:rPr>
        <w:t xml:space="preserve">. </w:t>
      </w:r>
      <w:r w:rsidRPr="000641B0" w:rsidR="006A71A0">
        <w:rPr>
          <w:bCs/>
        </w:rPr>
        <w:t xml:space="preserve"> </w:t>
      </w:r>
      <w:r w:rsidRPr="000641B0" w:rsidR="001856E5">
        <w:rPr>
          <w:bCs/>
        </w:rPr>
        <w:t>He</w:t>
      </w:r>
      <w:r w:rsidRPr="000641B0" w:rsidR="000B4F38">
        <w:rPr>
          <w:bCs/>
        </w:rPr>
        <w:t xml:space="preserve"> </w:t>
      </w:r>
      <w:r w:rsidRPr="000641B0" w:rsidR="001856E5">
        <w:rPr>
          <w:bCs/>
        </w:rPr>
        <w:t>should say so.”</w:t>
      </w:r>
      <w:r w:rsidRPr="000641B0" w:rsidR="009F16CA">
        <w:rPr>
          <w:bCs/>
        </w:rPr>
        <w:t xml:space="preserve"> </w:t>
      </w:r>
      <w:r w:rsidRPr="000641B0" w:rsidR="00C53EE1">
        <w:rPr>
          <w:bCs/>
        </w:rPr>
        <w:t xml:space="preserve"> </w:t>
      </w:r>
    </w:p>
    <w:p w:rsidR="00340FEA" w:rsidRPr="000641B0" w:rsidP="000641B0" w14:paraId="2F5A4B99" w14:textId="789043D8">
      <w:pPr>
        <w:ind w:firstLine="720"/>
        <w:rPr>
          <w:bCs/>
        </w:rPr>
      </w:pPr>
      <w:r w:rsidRPr="000641B0">
        <w:rPr>
          <w:bCs/>
        </w:rPr>
        <w:t>Jenkins added that</w:t>
      </w:r>
      <w:r w:rsidRPr="000641B0" w:rsidR="00E04DDE">
        <w:rPr>
          <w:bCs/>
        </w:rPr>
        <w:t xml:space="preserve"> any factual dispute as to whether Brittneeh and Sade were</w:t>
      </w:r>
      <w:r w:rsidRPr="000641B0" w:rsidR="003943FF">
        <w:rPr>
          <w:bCs/>
        </w:rPr>
        <w:t>,</w:t>
      </w:r>
      <w:r w:rsidRPr="000641B0" w:rsidR="00E04DDE">
        <w:rPr>
          <w:bCs/>
        </w:rPr>
        <w:t xml:space="preserve"> in fact</w:t>
      </w:r>
      <w:r w:rsidRPr="000641B0" w:rsidR="003943FF">
        <w:rPr>
          <w:bCs/>
        </w:rPr>
        <w:t>,</w:t>
      </w:r>
      <w:r w:rsidRPr="000641B0" w:rsidR="00E04DDE">
        <w:rPr>
          <w:bCs/>
        </w:rPr>
        <w:t xml:space="preserve"> two of the wards in </w:t>
      </w:r>
      <w:r w:rsidRPr="000641B0" w:rsidR="00832C08">
        <w:rPr>
          <w:bCs/>
          <w:i/>
          <w:iCs/>
        </w:rPr>
        <w:t>Emerald</w:t>
      </w:r>
      <w:r w:rsidR="00832C08">
        <w:rPr>
          <w:bCs/>
          <w:i/>
          <w:iCs/>
        </w:rPr>
        <w:t> </w:t>
      </w:r>
      <w:r w:rsidRPr="000641B0" w:rsidR="00E04DDE">
        <w:rPr>
          <w:bCs/>
          <w:i/>
          <w:iCs/>
        </w:rPr>
        <w:t>R</w:t>
      </w:r>
      <w:r w:rsidRPr="000641B0" w:rsidR="00E04DDE">
        <w:rPr>
          <w:bCs/>
        </w:rPr>
        <w:t>.</w:t>
      </w:r>
      <w:r w:rsidRPr="000641B0" w:rsidR="000B4F38">
        <w:rPr>
          <w:bCs/>
        </w:rPr>
        <w:t xml:space="preserve"> </w:t>
      </w:r>
      <w:r w:rsidRPr="000641B0" w:rsidR="00D2363B">
        <w:rPr>
          <w:bCs/>
        </w:rPr>
        <w:t>was not a reason to deny the petition</w:t>
      </w:r>
      <w:r w:rsidR="00EB3DA6">
        <w:rPr>
          <w:bCs/>
        </w:rPr>
        <w:t xml:space="preserve"> for writ of habeas corpus</w:t>
      </w:r>
      <w:r w:rsidRPr="000641B0" w:rsidR="00D2363B">
        <w:rPr>
          <w:bCs/>
        </w:rPr>
        <w:t xml:space="preserve"> prior to the issuance of an order to show cause.  She </w:t>
      </w:r>
      <w:r w:rsidRPr="000641B0" w:rsidR="001C77CD">
        <w:rPr>
          <w:bCs/>
        </w:rPr>
        <w:t>argued</w:t>
      </w:r>
      <w:r w:rsidRPr="000641B0" w:rsidR="0014677F">
        <w:rPr>
          <w:bCs/>
        </w:rPr>
        <w:t xml:space="preserve"> that </w:t>
      </w:r>
      <w:r w:rsidR="007F4FBD">
        <w:rPr>
          <w:bCs/>
        </w:rPr>
        <w:t>the Court of Appeal</w:t>
      </w:r>
      <w:r w:rsidRPr="000641B0" w:rsidR="0014677F">
        <w:rPr>
          <w:bCs/>
        </w:rPr>
        <w:t xml:space="preserve"> instead “</w:t>
      </w:r>
      <w:r w:rsidRPr="000641B0" w:rsidR="00610FE8">
        <w:rPr>
          <w:bCs/>
        </w:rPr>
        <w:t xml:space="preserve">should issue an Order to Show Cause, obtain formal </w:t>
      </w:r>
      <w:r w:rsidRPr="000641B0" w:rsidR="00240B44">
        <w:rPr>
          <w:bCs/>
        </w:rPr>
        <w:t>pleadings</w:t>
      </w:r>
      <w:r w:rsidR="00240B44">
        <w:rPr>
          <w:bCs/>
        </w:rPr>
        <w:t> </w:t>
      </w:r>
      <w:r w:rsidRPr="000641B0" w:rsidR="00B204EC">
        <w:rPr>
          <w:bCs/>
        </w:rPr>
        <w:t>—</w:t>
      </w:r>
      <w:r w:rsidRPr="000641B0" w:rsidR="00610FE8">
        <w:rPr>
          <w:bCs/>
        </w:rPr>
        <w:t xml:space="preserve"> where the state can admit or deny in a verified answer whether Brittneeh was or was not the defendant in the prior assault case that [the Attorney General’s] own office </w:t>
      </w:r>
      <w:r w:rsidRPr="000641B0" w:rsidR="00240B44">
        <w:rPr>
          <w:bCs/>
        </w:rPr>
        <w:t>handled</w:t>
      </w:r>
      <w:r w:rsidR="00240B44">
        <w:rPr>
          <w:bCs/>
        </w:rPr>
        <w:t> </w:t>
      </w:r>
      <w:r w:rsidRPr="000641B0" w:rsidR="00B204EC">
        <w:rPr>
          <w:bCs/>
        </w:rPr>
        <w:t xml:space="preserve">— </w:t>
      </w:r>
      <w:r w:rsidRPr="000641B0" w:rsidR="00610FE8">
        <w:rPr>
          <w:bCs/>
        </w:rPr>
        <w:t xml:space="preserve">and order an evidentiary hearing in the unlikely event that a factual dispute remains after </w:t>
      </w:r>
      <w:r w:rsidRPr="000641B0" w:rsidR="00A248C6">
        <w:rPr>
          <w:bCs/>
        </w:rPr>
        <w:t>respondent</w:t>
      </w:r>
      <w:r w:rsidRPr="000641B0" w:rsidR="00610FE8">
        <w:rPr>
          <w:bCs/>
        </w:rPr>
        <w:t xml:space="preserve"> answers this allegation under penalty of perjury.” </w:t>
      </w:r>
      <w:r w:rsidRPr="000641B0" w:rsidR="0014677F">
        <w:rPr>
          <w:bCs/>
        </w:rPr>
        <w:t xml:space="preserve"> </w:t>
      </w:r>
    </w:p>
    <w:p w:rsidR="008B6860" w:rsidRPr="000641B0" w:rsidP="007E0585" w14:paraId="62EEFF07" w14:textId="08B96DB7">
      <w:pPr>
        <w:ind w:firstLine="720"/>
        <w:rPr>
          <w:bCs/>
        </w:rPr>
      </w:pPr>
      <w:r w:rsidRPr="000641B0">
        <w:rPr>
          <w:bCs/>
        </w:rPr>
        <w:t xml:space="preserve">The Court of Appeal issued an order to show cause. </w:t>
      </w:r>
      <w:r w:rsidRPr="000641B0" w:rsidR="005A5CCC">
        <w:rPr>
          <w:bCs/>
        </w:rPr>
        <w:t xml:space="preserve"> </w:t>
      </w:r>
      <w:r w:rsidRPr="000641B0" w:rsidR="001F7E78">
        <w:rPr>
          <w:bCs/>
        </w:rPr>
        <w:t>The Attorney General filed a two</w:t>
      </w:r>
      <w:r w:rsidRPr="000641B0" w:rsidR="00F50A7E">
        <w:rPr>
          <w:bCs/>
        </w:rPr>
        <w:t>-</w:t>
      </w:r>
      <w:r w:rsidRPr="000641B0" w:rsidR="001F7E78">
        <w:rPr>
          <w:bCs/>
        </w:rPr>
        <w:t>paragraph return</w:t>
      </w:r>
      <w:r w:rsidRPr="000641B0">
        <w:rPr>
          <w:bCs/>
        </w:rPr>
        <w:t xml:space="preserve"> </w:t>
      </w:r>
      <w:r w:rsidRPr="000641B0" w:rsidR="00F63140">
        <w:rPr>
          <w:bCs/>
        </w:rPr>
        <w:t xml:space="preserve">on behalf of respondent </w:t>
      </w:r>
      <w:r w:rsidRPr="000641B0">
        <w:rPr>
          <w:bCs/>
        </w:rPr>
        <w:t>that provided in relevant part:</w:t>
      </w:r>
      <w:r w:rsidR="007E0585">
        <w:rPr>
          <w:bCs/>
        </w:rPr>
        <w:t xml:space="preserve">  </w:t>
      </w:r>
      <w:r w:rsidRPr="000641B0">
        <w:rPr>
          <w:bCs/>
        </w:rPr>
        <w:t xml:space="preserve">“Respondent alleges that </w:t>
      </w:r>
      <w:r w:rsidRPr="000641B0" w:rsidR="00475BAB">
        <w:rPr>
          <w:bCs/>
        </w:rPr>
        <w:t>[Jenkins]</w:t>
      </w:r>
      <w:r w:rsidRPr="000641B0">
        <w:rPr>
          <w:bCs/>
        </w:rPr>
        <w:t xml:space="preserve"> is not entitled to</w:t>
      </w:r>
      <w:r w:rsidRPr="000641B0" w:rsidR="00475BAB">
        <w:rPr>
          <w:bCs/>
        </w:rPr>
        <w:t xml:space="preserve"> </w:t>
      </w:r>
      <w:r w:rsidRPr="000641B0">
        <w:rPr>
          <w:bCs/>
        </w:rPr>
        <w:t xml:space="preserve">relief because the prosecutor did not violate </w:t>
      </w:r>
      <w:r w:rsidRPr="000641B0">
        <w:rPr>
          <w:bCs/>
          <w:i/>
          <w:iCs/>
        </w:rPr>
        <w:t xml:space="preserve">Brady </w:t>
      </w:r>
      <w:r w:rsidRPr="000641B0" w:rsidR="00F24D3D">
        <w:rPr>
          <w:bCs/>
          <w:i/>
          <w:iCs/>
        </w:rPr>
        <w:t>. . .</w:t>
      </w:r>
      <w:r w:rsidRPr="000641B0">
        <w:rPr>
          <w:bCs/>
        </w:rPr>
        <w:t xml:space="preserve"> by failing to disclose </w:t>
      </w:r>
      <w:r w:rsidRPr="000641B0" w:rsidR="00475BAB">
        <w:rPr>
          <w:bCs/>
        </w:rPr>
        <w:t>[Brittneeh</w:t>
      </w:r>
      <w:r w:rsidRPr="000641B0" w:rsidR="00547BF4">
        <w:rPr>
          <w:bCs/>
        </w:rPr>
        <w:t>’s</w:t>
      </w:r>
      <w:r w:rsidRPr="000641B0" w:rsidR="00475BAB">
        <w:rPr>
          <w:bCs/>
        </w:rPr>
        <w:t>]</w:t>
      </w:r>
      <w:r w:rsidRPr="000641B0">
        <w:rPr>
          <w:bCs/>
        </w:rPr>
        <w:t xml:space="preserve"> and </w:t>
      </w:r>
      <w:r w:rsidRPr="000641B0" w:rsidR="00475BAB">
        <w:rPr>
          <w:bCs/>
        </w:rPr>
        <w:t>[Sade’s]</w:t>
      </w:r>
      <w:r w:rsidRPr="000641B0" w:rsidR="006E41A1">
        <w:rPr>
          <w:bCs/>
        </w:rPr>
        <w:t xml:space="preserve"> </w:t>
      </w:r>
      <w:r w:rsidRPr="000641B0">
        <w:rPr>
          <w:bCs/>
        </w:rPr>
        <w:t>purported prior juvenile adjudications for an incident</w:t>
      </w:r>
      <w:r w:rsidRPr="000641B0" w:rsidR="00475BAB">
        <w:rPr>
          <w:bCs/>
        </w:rPr>
        <w:t xml:space="preserve"> </w:t>
      </w:r>
      <w:r w:rsidRPr="000641B0">
        <w:rPr>
          <w:bCs/>
        </w:rPr>
        <w:t xml:space="preserve">that occurred in 2006 because </w:t>
      </w:r>
      <w:r w:rsidRPr="000641B0" w:rsidR="00725A28">
        <w:rPr>
          <w:bCs/>
        </w:rPr>
        <w:t>[the prosecutor]</w:t>
      </w:r>
      <w:r w:rsidRPr="000641B0">
        <w:rPr>
          <w:bCs/>
        </w:rPr>
        <w:t xml:space="preserve"> did not suppress such evidence</w:t>
      </w:r>
      <w:r w:rsidRPr="000641B0" w:rsidR="00475BAB">
        <w:rPr>
          <w:bCs/>
        </w:rPr>
        <w:t xml:space="preserve"> </w:t>
      </w:r>
      <w:r w:rsidRPr="000641B0">
        <w:rPr>
          <w:bCs/>
        </w:rPr>
        <w:t>and such evidence was not material</w:t>
      </w:r>
      <w:r w:rsidRPr="000641B0" w:rsidR="00F42F7D">
        <w:rPr>
          <w:bCs/>
        </w:rPr>
        <w:t xml:space="preserve"> . . . .”</w:t>
      </w:r>
      <w:r w:rsidRPr="000641B0" w:rsidR="00C53EE1">
        <w:rPr>
          <w:bCs/>
        </w:rPr>
        <w:t xml:space="preserve"> </w:t>
      </w:r>
      <w:r w:rsidRPr="000641B0" w:rsidR="00475BAB">
        <w:rPr>
          <w:bCs/>
        </w:rPr>
        <w:t xml:space="preserve"> </w:t>
      </w:r>
    </w:p>
    <w:p w:rsidR="00D75BCD" w:rsidRPr="000641B0" w:rsidP="000641B0" w14:paraId="3BABE6B8" w14:textId="50BBFA2C">
      <w:pPr>
        <w:ind w:firstLine="720"/>
        <w:rPr>
          <w:bCs/>
        </w:rPr>
      </w:pPr>
      <w:r w:rsidRPr="000641B0">
        <w:rPr>
          <w:bCs/>
        </w:rPr>
        <w:t xml:space="preserve">In </w:t>
      </w:r>
      <w:r w:rsidRPr="000641B0" w:rsidR="00E725BD">
        <w:rPr>
          <w:bCs/>
        </w:rPr>
        <w:t xml:space="preserve">a brief in support of </w:t>
      </w:r>
      <w:r w:rsidRPr="000641B0">
        <w:rPr>
          <w:bCs/>
        </w:rPr>
        <w:t xml:space="preserve">the return, the Attorney General reiterated </w:t>
      </w:r>
      <w:r w:rsidRPr="000641B0" w:rsidR="00AE1F34">
        <w:rPr>
          <w:bCs/>
        </w:rPr>
        <w:t xml:space="preserve">Jenkins had not demonstrated </w:t>
      </w:r>
      <w:r w:rsidRPr="000641B0" w:rsidR="00D91A22">
        <w:rPr>
          <w:bCs/>
        </w:rPr>
        <w:t>that either Brittneeh or Sade “were the minors in [</w:t>
      </w:r>
      <w:r w:rsidRPr="000641B0" w:rsidR="00D91A22">
        <w:rPr>
          <w:bCs/>
          <w:i/>
          <w:iCs/>
        </w:rPr>
        <w:t>Emerald R</w:t>
      </w:r>
      <w:r w:rsidRPr="000641B0" w:rsidR="00D91A22">
        <w:rPr>
          <w:bCs/>
        </w:rPr>
        <w:t>.]</w:t>
      </w:r>
      <w:r w:rsidRPr="000641B0" w:rsidR="0073289C">
        <w:rPr>
          <w:bCs/>
        </w:rPr>
        <w:t>,” repeating the argument first provided in the informal response that “</w:t>
      </w:r>
      <w:r w:rsidRPr="000641B0" w:rsidR="00D91A22">
        <w:rPr>
          <w:bCs/>
        </w:rPr>
        <w:t>Exhibit</w:t>
      </w:r>
      <w:r w:rsidRPr="000641B0" w:rsidR="00725A28">
        <w:rPr>
          <w:bCs/>
        </w:rPr>
        <w:t> </w:t>
      </w:r>
      <w:r w:rsidRPr="000641B0" w:rsidR="00D91A22">
        <w:rPr>
          <w:bCs/>
        </w:rPr>
        <w:t xml:space="preserve">B, Attachment B is nothing but an apparent printout of an unspecified and unverified Internet source suggesting a direct appeal opinion in which minors </w:t>
      </w:r>
      <w:r w:rsidRPr="000641B0" w:rsidR="00D45C06">
        <w:rPr>
          <w:bCs/>
        </w:rPr>
        <w:t>‘</w:t>
      </w:r>
      <w:r w:rsidRPr="000641B0" w:rsidR="00D91A22">
        <w:rPr>
          <w:bCs/>
        </w:rPr>
        <w:t>Brit W.</w:t>
      </w:r>
      <w:r w:rsidRPr="000641B0" w:rsidR="00D45C06">
        <w:rPr>
          <w:bCs/>
        </w:rPr>
        <w:t>’</w:t>
      </w:r>
      <w:r w:rsidRPr="000641B0" w:rsidR="00D91A22">
        <w:rPr>
          <w:bCs/>
        </w:rPr>
        <w:t xml:space="preserve"> and </w:t>
      </w:r>
      <w:r w:rsidRPr="000641B0" w:rsidR="00D45C06">
        <w:rPr>
          <w:bCs/>
        </w:rPr>
        <w:t>‘</w:t>
      </w:r>
      <w:r w:rsidRPr="000641B0" w:rsidR="00D91A22">
        <w:rPr>
          <w:bCs/>
        </w:rPr>
        <w:t>Sade W.</w:t>
      </w:r>
      <w:r w:rsidRPr="000641B0" w:rsidR="00D45C06">
        <w:rPr>
          <w:bCs/>
        </w:rPr>
        <w:t>’</w:t>
      </w:r>
      <w:r w:rsidRPr="000641B0" w:rsidR="00D91A22">
        <w:rPr>
          <w:bCs/>
        </w:rPr>
        <w:t xml:space="preserve"> are listed as defendants, among others.” </w:t>
      </w:r>
      <w:r w:rsidRPr="000641B0" w:rsidR="00573084">
        <w:rPr>
          <w:bCs/>
        </w:rPr>
        <w:t xml:space="preserve"> </w:t>
      </w:r>
      <w:r w:rsidRPr="000641B0" w:rsidR="00143EF2">
        <w:rPr>
          <w:bCs/>
        </w:rPr>
        <w:t xml:space="preserve">The Attorney General also </w:t>
      </w:r>
      <w:r w:rsidRPr="000641B0" w:rsidR="00050A83">
        <w:rPr>
          <w:bCs/>
        </w:rPr>
        <w:t>argued</w:t>
      </w:r>
      <w:r w:rsidRPr="000641B0" w:rsidR="00BD2326">
        <w:rPr>
          <w:bCs/>
        </w:rPr>
        <w:t xml:space="preserve"> </w:t>
      </w:r>
      <w:r w:rsidRPr="000641B0" w:rsidR="0024334E">
        <w:rPr>
          <w:bCs/>
        </w:rPr>
        <w:t>that</w:t>
      </w:r>
      <w:r w:rsidRPr="000641B0" w:rsidR="00C029CC">
        <w:rPr>
          <w:bCs/>
        </w:rPr>
        <w:t>,</w:t>
      </w:r>
      <w:r w:rsidRPr="000641B0" w:rsidR="00BD2326">
        <w:rPr>
          <w:bCs/>
        </w:rPr>
        <w:t xml:space="preserve"> </w:t>
      </w:r>
      <w:r w:rsidRPr="000641B0" w:rsidR="00050A83">
        <w:rPr>
          <w:bCs/>
        </w:rPr>
        <w:t xml:space="preserve">even assuming </w:t>
      </w:r>
      <w:r w:rsidRPr="000641B0" w:rsidR="00454180">
        <w:rPr>
          <w:bCs/>
        </w:rPr>
        <w:t xml:space="preserve">Brittneeh and Sade were among the </w:t>
      </w:r>
      <w:r w:rsidRPr="000641B0" w:rsidR="0024334E">
        <w:rPr>
          <w:bCs/>
        </w:rPr>
        <w:t xml:space="preserve">wards </w:t>
      </w:r>
      <w:r w:rsidRPr="000641B0" w:rsidR="00454180">
        <w:rPr>
          <w:bCs/>
        </w:rPr>
        <w:t xml:space="preserve">in </w:t>
      </w:r>
      <w:r w:rsidRPr="000641B0" w:rsidR="00454180">
        <w:rPr>
          <w:bCs/>
          <w:i/>
          <w:iCs/>
        </w:rPr>
        <w:t>Emerald R</w:t>
      </w:r>
      <w:r w:rsidRPr="000641B0" w:rsidR="00454180">
        <w:rPr>
          <w:bCs/>
        </w:rPr>
        <w:t xml:space="preserve">., </w:t>
      </w:r>
      <w:r w:rsidRPr="000641B0" w:rsidR="001844E4">
        <w:rPr>
          <w:bCs/>
        </w:rPr>
        <w:t xml:space="preserve">Jenkins </w:t>
      </w:r>
      <w:r w:rsidRPr="000641B0" w:rsidR="00104C50">
        <w:rPr>
          <w:bCs/>
        </w:rPr>
        <w:t>had</w:t>
      </w:r>
      <w:r w:rsidRPr="000641B0" w:rsidR="0055591A">
        <w:rPr>
          <w:bCs/>
        </w:rPr>
        <w:t xml:space="preserve"> not</w:t>
      </w:r>
      <w:r w:rsidRPr="000641B0" w:rsidR="00104C50">
        <w:rPr>
          <w:bCs/>
        </w:rPr>
        <w:t xml:space="preserve"> “shown that the prosecutor suppressed these prior adjudications.” </w:t>
      </w:r>
      <w:r w:rsidRPr="000641B0" w:rsidR="00573084">
        <w:rPr>
          <w:bCs/>
        </w:rPr>
        <w:t xml:space="preserve"> </w:t>
      </w:r>
      <w:r w:rsidRPr="000641B0" w:rsidR="00104C50">
        <w:rPr>
          <w:bCs/>
        </w:rPr>
        <w:t xml:space="preserve">Finally, the Attorney General argued, </w:t>
      </w:r>
      <w:r w:rsidRPr="000641B0" w:rsidR="00D82EE1">
        <w:rPr>
          <w:bCs/>
        </w:rPr>
        <w:t>a</w:t>
      </w:r>
      <w:r w:rsidRPr="000641B0" w:rsidR="0055591A">
        <w:rPr>
          <w:bCs/>
        </w:rPr>
        <w:t>lso</w:t>
      </w:r>
      <w:r w:rsidRPr="000641B0" w:rsidR="00D82EE1">
        <w:rPr>
          <w:bCs/>
        </w:rPr>
        <w:t xml:space="preserve"> in the alternative, that Jenkins had failed to show any </w:t>
      </w:r>
      <w:r w:rsidRPr="000641B0" w:rsidR="0055591A">
        <w:rPr>
          <w:bCs/>
        </w:rPr>
        <w:t xml:space="preserve">of </w:t>
      </w:r>
      <w:r w:rsidRPr="000641B0" w:rsidR="0029393D">
        <w:rPr>
          <w:bCs/>
        </w:rPr>
        <w:t>t</w:t>
      </w:r>
      <w:r w:rsidRPr="000641B0" w:rsidR="00D82EE1">
        <w:rPr>
          <w:bCs/>
        </w:rPr>
        <w:t xml:space="preserve">he </w:t>
      </w:r>
      <w:r w:rsidRPr="000641B0" w:rsidR="0029393D">
        <w:rPr>
          <w:bCs/>
        </w:rPr>
        <w:t xml:space="preserve">allegedly </w:t>
      </w:r>
      <w:r w:rsidRPr="000641B0" w:rsidR="00D82EE1">
        <w:rPr>
          <w:bCs/>
        </w:rPr>
        <w:t>suppressed evidence</w:t>
      </w:r>
      <w:r w:rsidRPr="000641B0" w:rsidR="0029393D">
        <w:rPr>
          <w:bCs/>
        </w:rPr>
        <w:t xml:space="preserve"> was material.</w:t>
      </w:r>
      <w:r w:rsidRPr="000641B0" w:rsidR="00D73B8E">
        <w:rPr>
          <w:bCs/>
        </w:rPr>
        <w:t xml:space="preserve"> </w:t>
      </w:r>
      <w:r w:rsidRPr="000641B0" w:rsidR="0029393D">
        <w:rPr>
          <w:bCs/>
        </w:rPr>
        <w:t xml:space="preserve"> </w:t>
      </w:r>
    </w:p>
    <w:p w:rsidR="004F131B" w:rsidRPr="000641B0" w:rsidP="000641B0" w14:paraId="5D6AA037" w14:textId="71EA7BF5">
      <w:pPr>
        <w:ind w:firstLine="720"/>
        <w:rPr>
          <w:bCs/>
        </w:rPr>
      </w:pPr>
      <w:r w:rsidRPr="000641B0">
        <w:rPr>
          <w:bCs/>
        </w:rPr>
        <w:t xml:space="preserve">In her traverse, Jenkins </w:t>
      </w:r>
      <w:r w:rsidRPr="000641B0" w:rsidR="008E62B5">
        <w:rPr>
          <w:bCs/>
        </w:rPr>
        <w:t xml:space="preserve">argued </w:t>
      </w:r>
      <w:r w:rsidRPr="000641B0" w:rsidR="00936D08">
        <w:rPr>
          <w:bCs/>
        </w:rPr>
        <w:t>respondent</w:t>
      </w:r>
      <w:r w:rsidRPr="000641B0" w:rsidR="008E62B5">
        <w:rPr>
          <w:bCs/>
        </w:rPr>
        <w:t xml:space="preserve"> had filed a “conclusory general denial” </w:t>
      </w:r>
      <w:r w:rsidRPr="000641B0" w:rsidR="0023636E">
        <w:rPr>
          <w:bCs/>
        </w:rPr>
        <w:t xml:space="preserve">that </w:t>
      </w:r>
      <w:r w:rsidRPr="000641B0" w:rsidR="00936D08">
        <w:rPr>
          <w:bCs/>
        </w:rPr>
        <w:t>“plead</w:t>
      </w:r>
      <w:r w:rsidRPr="000641B0" w:rsidR="00512BFF">
        <w:rPr>
          <w:bCs/>
        </w:rPr>
        <w:t>[ed]</w:t>
      </w:r>
      <w:r w:rsidRPr="000641B0" w:rsidR="00936D08">
        <w:rPr>
          <w:bCs/>
        </w:rPr>
        <w:t xml:space="preserve"> no other facts and denie</w:t>
      </w:r>
      <w:r w:rsidRPr="000641B0" w:rsidR="00512BFF">
        <w:rPr>
          <w:bCs/>
        </w:rPr>
        <w:t>[d]</w:t>
      </w:r>
      <w:r w:rsidRPr="000641B0" w:rsidR="00936D08">
        <w:rPr>
          <w:bCs/>
        </w:rPr>
        <w:t xml:space="preserve"> none of the numerous </w:t>
      </w:r>
      <w:r w:rsidRPr="000641B0" w:rsidR="00FD7F87">
        <w:rPr>
          <w:bCs/>
        </w:rPr>
        <w:t xml:space="preserve">other facts pled in the </w:t>
      </w:r>
      <w:r w:rsidRPr="000641B0" w:rsidR="00A47971">
        <w:rPr>
          <w:bCs/>
        </w:rPr>
        <w:t>[p]</w:t>
      </w:r>
      <w:r w:rsidRPr="000641B0" w:rsidR="00FD7F87">
        <w:rPr>
          <w:bCs/>
        </w:rPr>
        <w:t>etition</w:t>
      </w:r>
      <w:r w:rsidRPr="000641B0" w:rsidR="00A47971">
        <w:rPr>
          <w:bCs/>
        </w:rPr>
        <w:t>.</w:t>
      </w:r>
      <w:r w:rsidRPr="000641B0" w:rsidR="00FD7F87">
        <w:rPr>
          <w:bCs/>
        </w:rPr>
        <w:t xml:space="preserve">” </w:t>
      </w:r>
      <w:r w:rsidRPr="000641B0" w:rsidR="00573084">
        <w:rPr>
          <w:bCs/>
        </w:rPr>
        <w:t xml:space="preserve"> </w:t>
      </w:r>
      <w:r w:rsidRPr="000641B0" w:rsidR="00FD7F87">
        <w:rPr>
          <w:bCs/>
        </w:rPr>
        <w:t>Jenkins noted that</w:t>
      </w:r>
      <w:r w:rsidRPr="000641B0" w:rsidR="00573084">
        <w:rPr>
          <w:bCs/>
        </w:rPr>
        <w:t xml:space="preserve"> </w:t>
      </w:r>
      <w:r w:rsidRPr="000641B0" w:rsidR="00052CFE">
        <w:rPr>
          <w:bCs/>
        </w:rPr>
        <w:t>respondent’s</w:t>
      </w:r>
      <w:r w:rsidRPr="000641B0" w:rsidR="00C14B9C">
        <w:rPr>
          <w:bCs/>
        </w:rPr>
        <w:t xml:space="preserve"> </w:t>
      </w:r>
      <w:r w:rsidRPr="000641B0" w:rsidR="00FD7F87">
        <w:rPr>
          <w:bCs/>
        </w:rPr>
        <w:t xml:space="preserve">brief in support of the return </w:t>
      </w:r>
      <w:r w:rsidRPr="000641B0" w:rsidR="00B026E3">
        <w:rPr>
          <w:bCs/>
        </w:rPr>
        <w:t>made clear that “respondent</w:t>
      </w:r>
      <w:r w:rsidRPr="000641B0" w:rsidR="00C14B9C">
        <w:rPr>
          <w:bCs/>
        </w:rPr>
        <w:t xml:space="preserve"> </w:t>
      </w:r>
      <w:r w:rsidRPr="000641B0" w:rsidR="00B026E3">
        <w:rPr>
          <w:bCs/>
        </w:rPr>
        <w:t xml:space="preserve">still questions whether [the </w:t>
      </w:r>
      <w:r w:rsidRPr="000641B0" w:rsidR="00B026E3">
        <w:rPr>
          <w:bCs/>
          <w:i/>
          <w:iCs/>
        </w:rPr>
        <w:t>Emerald R</w:t>
      </w:r>
      <w:r w:rsidRPr="000641B0" w:rsidR="00B026E3">
        <w:rPr>
          <w:bCs/>
        </w:rPr>
        <w:t xml:space="preserve">. case] even involved the Williams sisters.” </w:t>
      </w:r>
      <w:r w:rsidRPr="000641B0" w:rsidR="00573084">
        <w:rPr>
          <w:bCs/>
        </w:rPr>
        <w:t xml:space="preserve"> </w:t>
      </w:r>
      <w:r w:rsidRPr="000641B0" w:rsidR="00864991">
        <w:rPr>
          <w:bCs/>
        </w:rPr>
        <w:t xml:space="preserve">Jenkins argued </w:t>
      </w:r>
      <w:r w:rsidRPr="000641B0" w:rsidR="004143ED">
        <w:rPr>
          <w:bCs/>
        </w:rPr>
        <w:t xml:space="preserve">further </w:t>
      </w:r>
      <w:r w:rsidRPr="000641B0" w:rsidR="00864991">
        <w:rPr>
          <w:bCs/>
        </w:rPr>
        <w:t xml:space="preserve">that the deficient return </w:t>
      </w:r>
      <w:r w:rsidRPr="000641B0" w:rsidR="00AF3DB5">
        <w:rPr>
          <w:bCs/>
        </w:rPr>
        <w:t>made it difficult to “isolate any disputed facts</w:t>
      </w:r>
      <w:r w:rsidR="00C20E30">
        <w:rPr>
          <w:bCs/>
        </w:rPr>
        <w:t xml:space="preserve"> </w:t>
      </w:r>
      <w:r w:rsidRPr="000641B0" w:rsidR="00AF3DB5">
        <w:rPr>
          <w:bCs/>
        </w:rPr>
        <w:t>which may require an evidentiary hearing.”</w:t>
      </w:r>
      <w:r w:rsidRPr="000641B0" w:rsidR="00573084">
        <w:rPr>
          <w:bCs/>
        </w:rPr>
        <w:t xml:space="preserve"> </w:t>
      </w:r>
      <w:r w:rsidRPr="000641B0" w:rsidR="00AF3DB5">
        <w:rPr>
          <w:bCs/>
        </w:rPr>
        <w:t xml:space="preserve"> </w:t>
      </w:r>
      <w:r w:rsidRPr="000641B0" w:rsidR="003D5FC9">
        <w:rPr>
          <w:bCs/>
        </w:rPr>
        <w:t>In particular</w:t>
      </w:r>
      <w:r w:rsidRPr="000641B0" w:rsidR="00C57C59">
        <w:rPr>
          <w:bCs/>
        </w:rPr>
        <w:t xml:space="preserve">, </w:t>
      </w:r>
      <w:r w:rsidRPr="000641B0" w:rsidR="00E23A50">
        <w:rPr>
          <w:bCs/>
        </w:rPr>
        <w:t xml:space="preserve">with respect to the issue of whether Brittneeh and Sade were the wards in the </w:t>
      </w:r>
      <w:r w:rsidRPr="000641B0" w:rsidR="00E23A50">
        <w:rPr>
          <w:bCs/>
          <w:i/>
          <w:iCs/>
        </w:rPr>
        <w:t>Emerald R</w:t>
      </w:r>
      <w:r w:rsidRPr="000641B0" w:rsidR="00E23A50">
        <w:rPr>
          <w:bCs/>
        </w:rPr>
        <w:t xml:space="preserve">. case, </w:t>
      </w:r>
      <w:r w:rsidRPr="000641B0" w:rsidR="00C57C59">
        <w:rPr>
          <w:bCs/>
        </w:rPr>
        <w:t xml:space="preserve">Jenkins argued that </w:t>
      </w:r>
      <w:r w:rsidRPr="000641B0" w:rsidR="003D5FC9">
        <w:rPr>
          <w:bCs/>
        </w:rPr>
        <w:t xml:space="preserve">respondent had failed </w:t>
      </w:r>
      <w:r w:rsidRPr="000641B0" w:rsidR="00637D24">
        <w:rPr>
          <w:bCs/>
        </w:rPr>
        <w:t xml:space="preserve">its duty under </w:t>
      </w:r>
      <w:r w:rsidRPr="000641B0" w:rsidR="00637D24">
        <w:rPr>
          <w:bCs/>
          <w:i/>
          <w:iCs/>
        </w:rPr>
        <w:t>Duvall</w:t>
      </w:r>
      <w:r w:rsidRPr="000641B0" w:rsidR="00637D24">
        <w:rPr>
          <w:bCs/>
        </w:rPr>
        <w:t xml:space="preserve"> to eith</w:t>
      </w:r>
      <w:r w:rsidRPr="000641B0" w:rsidR="00E23A50">
        <w:rPr>
          <w:bCs/>
        </w:rPr>
        <w:t xml:space="preserve">er admit or deny the allegations in the petition </w:t>
      </w:r>
      <w:r w:rsidRPr="000641B0" w:rsidR="00374770">
        <w:rPr>
          <w:bCs/>
        </w:rPr>
        <w:t xml:space="preserve">or to instead allege </w:t>
      </w:r>
      <w:r w:rsidRPr="000641B0" w:rsidR="00717FFC">
        <w:rPr>
          <w:bCs/>
        </w:rPr>
        <w:t>“</w:t>
      </w:r>
      <w:r w:rsidRPr="000641B0" w:rsidR="003F07F6">
        <w:rPr>
          <w:bCs/>
        </w:rPr>
        <w:t> </w:t>
      </w:r>
      <w:r w:rsidRPr="000641B0" w:rsidR="00717FFC">
        <w:rPr>
          <w:bCs/>
        </w:rPr>
        <w:t>‘</w:t>
      </w:r>
      <w:r w:rsidRPr="000641B0" w:rsidR="00374770">
        <w:rPr>
          <w:bCs/>
        </w:rPr>
        <w:t>(i)</w:t>
      </w:r>
      <w:r w:rsidRPr="000641B0" w:rsidR="003F07F6">
        <w:rPr>
          <w:bCs/>
        </w:rPr>
        <w:t> </w:t>
      </w:r>
      <w:r w:rsidRPr="000641B0" w:rsidR="00374770">
        <w:rPr>
          <w:bCs/>
        </w:rPr>
        <w:t>he or she has acted with due diligence; (ii)</w:t>
      </w:r>
      <w:r w:rsidRPr="000641B0" w:rsidR="003F07F6">
        <w:rPr>
          <w:bCs/>
        </w:rPr>
        <w:t> </w:t>
      </w:r>
      <w:r w:rsidRPr="000641B0" w:rsidR="00374770">
        <w:rPr>
          <w:bCs/>
        </w:rPr>
        <w:t>crucial information is not readily available; and (iii)</w:t>
      </w:r>
      <w:r w:rsidRPr="000641B0" w:rsidR="003F07F6">
        <w:rPr>
          <w:bCs/>
        </w:rPr>
        <w:t> </w:t>
      </w:r>
      <w:r w:rsidRPr="000641B0" w:rsidR="00374770">
        <w:rPr>
          <w:bCs/>
        </w:rPr>
        <w:t>that there is good reason to dispute certain alleged facts</w:t>
      </w:r>
      <w:r w:rsidRPr="000641B0" w:rsidR="003F07F6">
        <w:rPr>
          <w:bCs/>
        </w:rPr>
        <w:t> </w:t>
      </w:r>
      <w:r w:rsidRPr="000641B0" w:rsidR="00374770">
        <w:rPr>
          <w:bCs/>
        </w:rPr>
        <w:t>.</w:t>
      </w:r>
      <w:r w:rsidRPr="000641B0" w:rsidR="003F07F6">
        <w:rPr>
          <w:bCs/>
        </w:rPr>
        <w:t> </w:t>
      </w:r>
      <w:r w:rsidRPr="000641B0" w:rsidR="00374770">
        <w:rPr>
          <w:bCs/>
        </w:rPr>
        <w:t>.</w:t>
      </w:r>
      <w:r w:rsidRPr="000641B0" w:rsidR="003F07F6">
        <w:rPr>
          <w:bCs/>
        </w:rPr>
        <w:t> </w:t>
      </w:r>
      <w:r w:rsidRPr="000641B0" w:rsidR="00374770">
        <w:rPr>
          <w:bCs/>
        </w:rPr>
        <w:t>.</w:t>
      </w:r>
      <w:r w:rsidRPr="000641B0" w:rsidR="003F07F6">
        <w:rPr>
          <w:bCs/>
        </w:rPr>
        <w:t> </w:t>
      </w:r>
      <w:r w:rsidRPr="000641B0" w:rsidR="00374770">
        <w:rPr>
          <w:bCs/>
        </w:rPr>
        <w:t>.</w:t>
      </w:r>
      <w:r w:rsidRPr="000641B0" w:rsidR="00717FFC">
        <w:rPr>
          <w:bCs/>
        </w:rPr>
        <w:t>’</w:t>
      </w:r>
      <w:r w:rsidRPr="000641B0" w:rsidR="003F07F6">
        <w:rPr>
          <w:bCs/>
        </w:rPr>
        <w:t> </w:t>
      </w:r>
      <w:r w:rsidRPr="000641B0" w:rsidR="00717FFC">
        <w:rPr>
          <w:bCs/>
        </w:rPr>
        <w:t>”</w:t>
      </w:r>
      <w:r w:rsidRPr="000641B0" w:rsidR="00374770">
        <w:rPr>
          <w:bCs/>
        </w:rPr>
        <w:t xml:space="preserve"> </w:t>
      </w:r>
      <w:r w:rsidRPr="000641B0" w:rsidR="003F07F6">
        <w:rPr>
          <w:bCs/>
        </w:rPr>
        <w:t xml:space="preserve"> </w:t>
      </w:r>
      <w:r w:rsidRPr="000641B0" w:rsidR="00374770">
        <w:rPr>
          <w:bCs/>
        </w:rPr>
        <w:t>(</w:t>
      </w:r>
      <w:r w:rsidRPr="000641B0" w:rsidR="00717FFC">
        <w:rPr>
          <w:bCs/>
        </w:rPr>
        <w:t xml:space="preserve">Quoting </w:t>
      </w:r>
      <w:r w:rsidRPr="000641B0" w:rsidR="00374770">
        <w:rPr>
          <w:bCs/>
          <w:i/>
          <w:iCs/>
        </w:rPr>
        <w:t>Duvall</w:t>
      </w:r>
      <w:r w:rsidRPr="000641B0" w:rsidR="00374770">
        <w:rPr>
          <w:bCs/>
        </w:rPr>
        <w:t xml:space="preserve">, </w:t>
      </w:r>
      <w:r w:rsidRPr="000641B0" w:rsidR="00374770">
        <w:rPr>
          <w:bCs/>
          <w:i/>
          <w:iCs/>
        </w:rPr>
        <w:t>supra</w:t>
      </w:r>
      <w:r w:rsidRPr="000641B0" w:rsidR="00374770">
        <w:rPr>
          <w:bCs/>
        </w:rPr>
        <w:t>, 9 Cal.4th at p.</w:t>
      </w:r>
      <w:r w:rsidRPr="000641B0" w:rsidR="003F07F6">
        <w:rPr>
          <w:bCs/>
        </w:rPr>
        <w:t> </w:t>
      </w:r>
      <w:r w:rsidRPr="000641B0" w:rsidR="00374770">
        <w:rPr>
          <w:bCs/>
        </w:rPr>
        <w:t>485.)</w:t>
      </w:r>
      <w:r w:rsidRPr="000641B0" w:rsidR="00934E33">
        <w:rPr>
          <w:bCs/>
        </w:rPr>
        <w:t xml:space="preserve"> </w:t>
      </w:r>
      <w:r w:rsidRPr="000641B0" w:rsidR="0070610E">
        <w:rPr>
          <w:bCs/>
        </w:rPr>
        <w:t xml:space="preserve"> </w:t>
      </w:r>
      <w:r w:rsidRPr="000641B0" w:rsidR="003C62F5">
        <w:rPr>
          <w:bCs/>
        </w:rPr>
        <w:t>Further,</w:t>
      </w:r>
      <w:r w:rsidRPr="000641B0" w:rsidR="006926B1">
        <w:rPr>
          <w:bCs/>
        </w:rPr>
        <w:t xml:space="preserve"> to the extent respondent could be understood to deny </w:t>
      </w:r>
      <w:r w:rsidRPr="000641B0" w:rsidR="00EF32D7">
        <w:rPr>
          <w:bCs/>
        </w:rPr>
        <w:t>Jenkins’s</w:t>
      </w:r>
      <w:r w:rsidRPr="000641B0" w:rsidR="00004606">
        <w:rPr>
          <w:bCs/>
        </w:rPr>
        <w:t xml:space="preserve"> allegation that Brittneeh and Sade were the wards in the </w:t>
      </w:r>
      <w:r w:rsidRPr="000641B0" w:rsidR="00004606">
        <w:rPr>
          <w:bCs/>
          <w:i/>
          <w:iCs/>
        </w:rPr>
        <w:t>Emerald R</w:t>
      </w:r>
      <w:r w:rsidRPr="000641B0" w:rsidR="00004606">
        <w:rPr>
          <w:bCs/>
        </w:rPr>
        <w:t xml:space="preserve">. case, </w:t>
      </w:r>
      <w:r w:rsidRPr="000641B0" w:rsidR="00EF32D7">
        <w:rPr>
          <w:bCs/>
        </w:rPr>
        <w:t>she</w:t>
      </w:r>
      <w:r w:rsidRPr="000641B0" w:rsidR="00CE556F">
        <w:rPr>
          <w:bCs/>
        </w:rPr>
        <w:t xml:space="preserve"> reque</w:t>
      </w:r>
      <w:r w:rsidRPr="000641B0" w:rsidR="00F316E4">
        <w:rPr>
          <w:bCs/>
        </w:rPr>
        <w:t>sted</w:t>
      </w:r>
      <w:r w:rsidRPr="000641B0" w:rsidR="00B36A2B">
        <w:rPr>
          <w:bCs/>
        </w:rPr>
        <w:t xml:space="preserve"> </w:t>
      </w:r>
      <w:r w:rsidRPr="000641B0" w:rsidR="001D4746">
        <w:rPr>
          <w:bCs/>
        </w:rPr>
        <w:t xml:space="preserve">an </w:t>
      </w:r>
      <w:r w:rsidRPr="000641B0" w:rsidR="00B36A2B">
        <w:rPr>
          <w:bCs/>
        </w:rPr>
        <w:t xml:space="preserve">evidentiary hearing on this factual dispute. </w:t>
      </w:r>
      <w:r w:rsidRPr="000641B0" w:rsidR="00E56C64">
        <w:rPr>
          <w:bCs/>
        </w:rPr>
        <w:t xml:space="preserve"> </w:t>
      </w:r>
    </w:p>
    <w:p w:rsidR="00B7314A" w:rsidRPr="000641B0" w:rsidP="000641B0" w14:paraId="70114311" w14:textId="1CCEDF0E">
      <w:pPr>
        <w:ind w:firstLine="720"/>
        <w:rPr>
          <w:bCs/>
        </w:rPr>
      </w:pPr>
      <w:r w:rsidRPr="000641B0">
        <w:rPr>
          <w:bCs/>
        </w:rPr>
        <w:t xml:space="preserve">Along with </w:t>
      </w:r>
      <w:r w:rsidRPr="000641B0" w:rsidR="006F7F9A">
        <w:rPr>
          <w:bCs/>
        </w:rPr>
        <w:t>her</w:t>
      </w:r>
      <w:r w:rsidRPr="000641B0">
        <w:rPr>
          <w:bCs/>
        </w:rPr>
        <w:t xml:space="preserve"> traverse, </w:t>
      </w:r>
      <w:r w:rsidRPr="000641B0" w:rsidR="009E2815">
        <w:rPr>
          <w:bCs/>
        </w:rPr>
        <w:t xml:space="preserve">Jenkins </w:t>
      </w:r>
      <w:r w:rsidRPr="000641B0" w:rsidR="00FF1561">
        <w:rPr>
          <w:bCs/>
        </w:rPr>
        <w:t>filed</w:t>
      </w:r>
      <w:r w:rsidRPr="000641B0" w:rsidR="009E2815">
        <w:rPr>
          <w:bCs/>
        </w:rPr>
        <w:t xml:space="preserve"> </w:t>
      </w:r>
      <w:r w:rsidRPr="000641B0" w:rsidR="00DB190C">
        <w:rPr>
          <w:bCs/>
        </w:rPr>
        <w:t xml:space="preserve">a brief that </w:t>
      </w:r>
      <w:r w:rsidRPr="000641B0" w:rsidR="003619FE">
        <w:rPr>
          <w:bCs/>
        </w:rPr>
        <w:t>argued, “</w:t>
      </w:r>
      <w:r w:rsidRPr="000641B0" w:rsidR="006D1512">
        <w:rPr>
          <w:bCs/>
        </w:rPr>
        <w:t>[L]</w:t>
      </w:r>
      <w:r w:rsidRPr="000641B0" w:rsidR="00CD4E21">
        <w:rPr>
          <w:bCs/>
        </w:rPr>
        <w:t xml:space="preserve">est there be any real question as to whether this case involved someone other than the Williams sisters, petitioner is attaching to this Memorandum </w:t>
      </w:r>
      <w:r w:rsidRPr="000641B0" w:rsidR="003619FE">
        <w:rPr>
          <w:bCs/>
        </w:rPr>
        <w:t>. . .</w:t>
      </w:r>
      <w:r w:rsidRPr="000641B0" w:rsidR="00CD4E21">
        <w:rPr>
          <w:bCs/>
        </w:rPr>
        <w:t xml:space="preserve"> a 2007 news article from the Long Beach Press Telegram </w:t>
      </w:r>
      <w:r w:rsidRPr="000641B0" w:rsidR="003619FE">
        <w:rPr>
          <w:bCs/>
        </w:rPr>
        <w:t xml:space="preserve">. . . </w:t>
      </w:r>
      <w:r w:rsidRPr="000641B0" w:rsidR="00CD4E21">
        <w:rPr>
          <w:bCs/>
        </w:rPr>
        <w:t xml:space="preserve">describing how teenaged </w:t>
      </w:r>
      <w:r w:rsidRPr="000641B0" w:rsidR="003619FE">
        <w:rPr>
          <w:bCs/>
        </w:rPr>
        <w:t>‘</w:t>
      </w:r>
      <w:r w:rsidRPr="000641B0" w:rsidR="00CD4E21">
        <w:rPr>
          <w:bCs/>
        </w:rPr>
        <w:t>sisters Brittneeh and Sade Williams . . .</w:t>
      </w:r>
      <w:r w:rsidRPr="000641B0" w:rsidR="003619FE">
        <w:rPr>
          <w:bCs/>
        </w:rPr>
        <w:t>’</w:t>
      </w:r>
      <w:r w:rsidRPr="000641B0" w:rsidR="00CD4E21">
        <w:rPr>
          <w:bCs/>
        </w:rPr>
        <w:t xml:space="preserve"> and others were </w:t>
      </w:r>
      <w:r w:rsidRPr="000641B0" w:rsidR="003619FE">
        <w:rPr>
          <w:bCs/>
        </w:rPr>
        <w:t>‘</w:t>
      </w:r>
      <w:r w:rsidRPr="000641B0" w:rsidR="00CD4E21">
        <w:rPr>
          <w:bCs/>
        </w:rPr>
        <w:t>convicted of assault</w:t>
      </w:r>
      <w:r w:rsidRPr="000641B0" w:rsidR="003619FE">
        <w:rPr>
          <w:bCs/>
        </w:rPr>
        <w:t>’</w:t>
      </w:r>
      <w:r w:rsidRPr="000641B0" w:rsidR="00CD4E21">
        <w:rPr>
          <w:bCs/>
        </w:rPr>
        <w:t xml:space="preserve"> for </w:t>
      </w:r>
      <w:r w:rsidRPr="000641B0" w:rsidR="003619FE">
        <w:rPr>
          <w:bCs/>
        </w:rPr>
        <w:t>‘</w:t>
      </w:r>
      <w:r w:rsidRPr="000641B0" w:rsidR="00CD4E21">
        <w:rPr>
          <w:bCs/>
        </w:rPr>
        <w:t>beating three . . . women . . .</w:t>
      </w:r>
      <w:r w:rsidRPr="000641B0" w:rsidR="003619FE">
        <w:rPr>
          <w:bCs/>
        </w:rPr>
        <w:t>’</w:t>
      </w:r>
      <w:r w:rsidRPr="000641B0" w:rsidR="00CD4E21">
        <w:rPr>
          <w:bCs/>
        </w:rPr>
        <w:t xml:space="preserve"> on </w:t>
      </w:r>
      <w:r w:rsidRPr="000641B0" w:rsidR="003619FE">
        <w:rPr>
          <w:bCs/>
        </w:rPr>
        <w:t>‘</w:t>
      </w:r>
      <w:r w:rsidRPr="000641B0" w:rsidR="00CD4E21">
        <w:rPr>
          <w:bCs/>
        </w:rPr>
        <w:t>Halloween night.</w:t>
      </w:r>
      <w:r w:rsidRPr="000641B0" w:rsidR="003619FE">
        <w:rPr>
          <w:bCs/>
        </w:rPr>
        <w:t>’</w:t>
      </w:r>
      <w:r w:rsidRPr="000641B0" w:rsidR="00572392">
        <w:rPr>
          <w:bCs/>
        </w:rPr>
        <w:t> </w:t>
      </w:r>
      <w:r w:rsidRPr="000641B0" w:rsidR="00153EEB">
        <w:rPr>
          <w:bCs/>
        </w:rPr>
        <w:t>”</w:t>
      </w:r>
      <w:r w:rsidRPr="000641B0" w:rsidR="00572392">
        <w:rPr>
          <w:bCs/>
        </w:rPr>
        <w:t xml:space="preserve"> </w:t>
      </w:r>
      <w:r w:rsidRPr="000641B0" w:rsidR="006F7F9A">
        <w:rPr>
          <w:bCs/>
        </w:rPr>
        <w:t xml:space="preserve"> </w:t>
      </w:r>
      <w:r w:rsidRPr="000641B0" w:rsidR="00DA3375">
        <w:rPr>
          <w:bCs/>
        </w:rPr>
        <w:t xml:space="preserve">Jenkins filed the </w:t>
      </w:r>
      <w:r w:rsidRPr="000641B0" w:rsidR="0096311A">
        <w:rPr>
          <w:bCs/>
        </w:rPr>
        <w:t xml:space="preserve">quoted </w:t>
      </w:r>
      <w:r w:rsidRPr="000641B0" w:rsidR="007951C4">
        <w:rPr>
          <w:bCs/>
        </w:rPr>
        <w:t xml:space="preserve">article </w:t>
      </w:r>
      <w:r w:rsidRPr="000641B0" w:rsidR="00ED04AF">
        <w:rPr>
          <w:bCs/>
        </w:rPr>
        <w:t>a</w:t>
      </w:r>
      <w:r w:rsidRPr="000641B0" w:rsidR="00F12439">
        <w:rPr>
          <w:bCs/>
        </w:rPr>
        <w:t xml:space="preserve">s well </w:t>
      </w:r>
      <w:r w:rsidR="00C20E30">
        <w:rPr>
          <w:bCs/>
        </w:rPr>
        <w:t xml:space="preserve">as </w:t>
      </w:r>
      <w:r w:rsidRPr="000641B0" w:rsidR="009E2815">
        <w:rPr>
          <w:bCs/>
        </w:rPr>
        <w:t xml:space="preserve">the </w:t>
      </w:r>
      <w:r w:rsidRPr="000641B0" w:rsidR="00DA5574">
        <w:rPr>
          <w:bCs/>
          <w:i/>
          <w:iCs/>
        </w:rPr>
        <w:t>Emerald R</w:t>
      </w:r>
      <w:r w:rsidRPr="000641B0" w:rsidR="00DA5574">
        <w:rPr>
          <w:bCs/>
        </w:rPr>
        <w:t>. opinion</w:t>
      </w:r>
      <w:r w:rsidR="00AF31E9">
        <w:rPr>
          <w:bCs/>
        </w:rPr>
        <w:t>, this time downloaded from Westlaw</w:t>
      </w:r>
      <w:r w:rsidRPr="000641B0" w:rsidR="00DA5574">
        <w:rPr>
          <w:bCs/>
        </w:rPr>
        <w:t>.</w:t>
      </w:r>
      <w:r w:rsidRPr="000641B0" w:rsidR="00572392">
        <w:rPr>
          <w:bCs/>
        </w:rPr>
        <w:t xml:space="preserve"> </w:t>
      </w:r>
      <w:r w:rsidRPr="000641B0" w:rsidR="00DA5574">
        <w:rPr>
          <w:bCs/>
        </w:rPr>
        <w:t xml:space="preserve"> </w:t>
      </w:r>
      <w:r w:rsidRPr="000641B0" w:rsidR="00821846">
        <w:rPr>
          <w:bCs/>
        </w:rPr>
        <w:t xml:space="preserve">The newspaper article </w:t>
      </w:r>
      <w:r w:rsidRPr="000641B0" w:rsidR="00FA6E8A">
        <w:rPr>
          <w:bCs/>
        </w:rPr>
        <w:t>state</w:t>
      </w:r>
      <w:r w:rsidRPr="000641B0" w:rsidR="00907E58">
        <w:rPr>
          <w:bCs/>
        </w:rPr>
        <w:t>s</w:t>
      </w:r>
      <w:r w:rsidRPr="000641B0" w:rsidR="00FA6E8A">
        <w:rPr>
          <w:bCs/>
        </w:rPr>
        <w:t xml:space="preserve"> that </w:t>
      </w:r>
      <w:r w:rsidRPr="000641B0" w:rsidR="0088511F">
        <w:rPr>
          <w:bCs/>
        </w:rPr>
        <w:t xml:space="preserve">Brittneeh and Sade Williams </w:t>
      </w:r>
      <w:r w:rsidRPr="000641B0" w:rsidR="00FA6E8A">
        <w:rPr>
          <w:bCs/>
        </w:rPr>
        <w:t xml:space="preserve">were among the minors involved </w:t>
      </w:r>
      <w:r w:rsidRPr="000641B0" w:rsidR="00CF4682">
        <w:rPr>
          <w:bCs/>
        </w:rPr>
        <w:t>in an incident that appears to form the basis of the offense</w:t>
      </w:r>
      <w:r w:rsidRPr="000641B0" w:rsidR="00063CF1">
        <w:rPr>
          <w:bCs/>
        </w:rPr>
        <w:t>s</w:t>
      </w:r>
      <w:r w:rsidRPr="000641B0" w:rsidR="00CF4682">
        <w:rPr>
          <w:bCs/>
        </w:rPr>
        <w:t xml:space="preserve"> described in the </w:t>
      </w:r>
      <w:r w:rsidRPr="000641B0" w:rsidR="00CF4682">
        <w:rPr>
          <w:bCs/>
          <w:i/>
          <w:iCs/>
        </w:rPr>
        <w:t>Emerald R.</w:t>
      </w:r>
      <w:r w:rsidRPr="000641B0" w:rsidR="00CF4682">
        <w:rPr>
          <w:bCs/>
        </w:rPr>
        <w:t xml:space="preserve"> opinion. </w:t>
      </w:r>
      <w:r w:rsidRPr="000641B0" w:rsidR="00B24BE6">
        <w:rPr>
          <w:bCs/>
        </w:rPr>
        <w:t xml:space="preserve"> </w:t>
      </w:r>
    </w:p>
    <w:p w:rsidR="009E2220" w:rsidRPr="000641B0" w:rsidP="007E0585" w14:paraId="3A21C4F6" w14:textId="1CC516E9">
      <w:pPr>
        <w:ind w:firstLine="720"/>
        <w:rPr>
          <w:bCs/>
        </w:rPr>
      </w:pPr>
      <w:r w:rsidRPr="000641B0">
        <w:rPr>
          <w:bCs/>
        </w:rPr>
        <w:t>T</w:t>
      </w:r>
      <w:r w:rsidRPr="000641B0" w:rsidR="00D5513C">
        <w:rPr>
          <w:bCs/>
        </w:rPr>
        <w:t xml:space="preserve">he Court of Appeal </w:t>
      </w:r>
      <w:r w:rsidRPr="000641B0" w:rsidR="00432C5C">
        <w:rPr>
          <w:bCs/>
        </w:rPr>
        <w:t>affirm</w:t>
      </w:r>
      <w:r w:rsidRPr="000641B0" w:rsidR="0014677F">
        <w:rPr>
          <w:bCs/>
        </w:rPr>
        <w:t>ed</w:t>
      </w:r>
      <w:r w:rsidRPr="000641B0" w:rsidR="00432C5C">
        <w:rPr>
          <w:bCs/>
        </w:rPr>
        <w:t xml:space="preserve"> </w:t>
      </w:r>
      <w:r w:rsidRPr="000641B0" w:rsidR="003D1A85">
        <w:rPr>
          <w:bCs/>
        </w:rPr>
        <w:t>Jenkins’s</w:t>
      </w:r>
      <w:r w:rsidRPr="000641B0" w:rsidR="00432C5C">
        <w:rPr>
          <w:bCs/>
        </w:rPr>
        <w:t xml:space="preserve"> manslaughter conviction and den</w:t>
      </w:r>
      <w:r w:rsidRPr="000641B0" w:rsidR="0014677F">
        <w:rPr>
          <w:bCs/>
        </w:rPr>
        <w:t>ied</w:t>
      </w:r>
      <w:r w:rsidRPr="000641B0" w:rsidR="00432C5C">
        <w:rPr>
          <w:bCs/>
        </w:rPr>
        <w:t xml:space="preserve"> </w:t>
      </w:r>
      <w:r w:rsidRPr="000641B0" w:rsidR="003D1A85">
        <w:rPr>
          <w:bCs/>
        </w:rPr>
        <w:t>her</w:t>
      </w:r>
      <w:r w:rsidRPr="000641B0" w:rsidR="00432C5C">
        <w:rPr>
          <w:bCs/>
        </w:rPr>
        <w:t xml:space="preserve"> petition for </w:t>
      </w:r>
      <w:r w:rsidR="00C20E30">
        <w:rPr>
          <w:bCs/>
        </w:rPr>
        <w:t xml:space="preserve">writ of </w:t>
      </w:r>
      <w:r w:rsidRPr="000641B0" w:rsidR="00432C5C">
        <w:rPr>
          <w:bCs/>
        </w:rPr>
        <w:t>habeas corpus.</w:t>
      </w:r>
      <w:r w:rsidRPr="000641B0" w:rsidR="003A2DFA">
        <w:rPr>
          <w:bCs/>
        </w:rPr>
        <w:t xml:space="preserve"> </w:t>
      </w:r>
      <w:r w:rsidRPr="000641B0" w:rsidR="00572392">
        <w:rPr>
          <w:bCs/>
        </w:rPr>
        <w:t xml:space="preserve"> </w:t>
      </w:r>
      <w:r w:rsidR="00B14C7C">
        <w:rPr>
          <w:bCs/>
        </w:rPr>
        <w:t>Regarding</w:t>
      </w:r>
      <w:r w:rsidRPr="000641B0" w:rsidR="00066059">
        <w:rPr>
          <w:bCs/>
        </w:rPr>
        <w:t xml:space="preserve"> the petition</w:t>
      </w:r>
      <w:r w:rsidR="006F3687">
        <w:rPr>
          <w:bCs/>
        </w:rPr>
        <w:t xml:space="preserve"> for writ of habeas corpus</w:t>
      </w:r>
      <w:r w:rsidRPr="000641B0" w:rsidR="00066059">
        <w:rPr>
          <w:bCs/>
        </w:rPr>
        <w:t xml:space="preserve">, </w:t>
      </w:r>
      <w:r w:rsidRPr="000641B0" w:rsidR="00DC2952">
        <w:rPr>
          <w:bCs/>
        </w:rPr>
        <w:t xml:space="preserve">the Court of Appeal </w:t>
      </w:r>
      <w:r w:rsidRPr="000641B0" w:rsidR="003D1A85">
        <w:rPr>
          <w:bCs/>
        </w:rPr>
        <w:t xml:space="preserve">began its analysis by </w:t>
      </w:r>
      <w:r w:rsidRPr="000641B0" w:rsidR="00DC2952">
        <w:rPr>
          <w:bCs/>
        </w:rPr>
        <w:t>stat</w:t>
      </w:r>
      <w:r w:rsidRPr="000641B0" w:rsidR="003D1A85">
        <w:rPr>
          <w:bCs/>
        </w:rPr>
        <w:t>ing</w:t>
      </w:r>
      <w:r w:rsidRPr="000641B0" w:rsidR="00DC2952">
        <w:rPr>
          <w:bCs/>
        </w:rPr>
        <w:t>, “In 2006, the Williams sisters, both juveniles, were declared wards of the court due to their having committed three hate-crime assaults with force likely to produce great bodily injury</w:t>
      </w:r>
      <w:r w:rsidRPr="000641B0" w:rsidR="00050E6E">
        <w:rPr>
          <w:bCs/>
        </w:rPr>
        <w:t>.</w:t>
      </w:r>
      <w:r w:rsidRPr="000641B0" w:rsidR="00DC3F6E">
        <w:rPr>
          <w:bCs/>
        </w:rPr>
        <w:t xml:space="preserve"> </w:t>
      </w:r>
      <w:r w:rsidRPr="000641B0" w:rsidR="008B5922">
        <w:rPr>
          <w:bCs/>
        </w:rPr>
        <w:t xml:space="preserve"> </w:t>
      </w:r>
      <w:r w:rsidRPr="000641B0" w:rsidR="00056B88">
        <w:rPr>
          <w:bCs/>
        </w:rPr>
        <w:t>[</w:t>
      </w:r>
      <w:r w:rsidRPr="000641B0" w:rsidR="00DC3F6E">
        <w:rPr>
          <w:bCs/>
          <w:i/>
          <w:iCs/>
        </w:rPr>
        <w:t>Emerald R.</w:t>
      </w:r>
      <w:r w:rsidRPr="000641B0" w:rsidR="00316771">
        <w:rPr>
          <w:bCs/>
        </w:rPr>
        <w:t xml:space="preserve">, </w:t>
      </w:r>
      <w:r w:rsidRPr="000641B0" w:rsidR="00316771">
        <w:rPr>
          <w:bCs/>
          <w:i/>
          <w:iCs/>
        </w:rPr>
        <w:t>supra</w:t>
      </w:r>
      <w:r w:rsidRPr="000641B0" w:rsidR="00316771">
        <w:rPr>
          <w:bCs/>
        </w:rPr>
        <w:t>,</w:t>
      </w:r>
      <w:r w:rsidRPr="000641B0" w:rsidR="00316771">
        <w:rPr>
          <w:bCs/>
          <w:i/>
          <w:iCs/>
        </w:rPr>
        <w:t xml:space="preserve"> </w:t>
      </w:r>
      <w:r w:rsidRPr="000641B0" w:rsidR="00DC3F6E">
        <w:rPr>
          <w:bCs/>
        </w:rPr>
        <w:t>B196643</w:t>
      </w:r>
      <w:r w:rsidRPr="000641B0" w:rsidR="00316771">
        <w:rPr>
          <w:bCs/>
        </w:rPr>
        <w:t>.]</w:t>
      </w:r>
      <w:r w:rsidRPr="000641B0" w:rsidR="00DC2952">
        <w:rPr>
          <w:bCs/>
        </w:rPr>
        <w:t>”</w:t>
      </w:r>
      <w:r w:rsidRPr="000641B0" w:rsidR="00907E58">
        <w:rPr>
          <w:bCs/>
        </w:rPr>
        <w:t xml:space="preserve"> </w:t>
      </w:r>
      <w:r w:rsidRPr="000641B0" w:rsidR="00572392">
        <w:rPr>
          <w:bCs/>
        </w:rPr>
        <w:t xml:space="preserve"> </w:t>
      </w:r>
      <w:r w:rsidRPr="000641B0">
        <w:rPr>
          <w:bCs/>
        </w:rPr>
        <w:t xml:space="preserve">Following this statement, the Court of Appeal included a footnote that provides: </w:t>
      </w:r>
      <w:r w:rsidR="007E0585">
        <w:rPr>
          <w:bCs/>
        </w:rPr>
        <w:t xml:space="preserve"> </w:t>
      </w:r>
      <w:r w:rsidRPr="000641B0">
        <w:rPr>
          <w:bCs/>
        </w:rPr>
        <w:t xml:space="preserve">“The juveniles in </w:t>
      </w:r>
      <w:r w:rsidRPr="000641B0" w:rsidR="0020447B">
        <w:rPr>
          <w:bCs/>
        </w:rPr>
        <w:t>[</w:t>
      </w:r>
      <w:r w:rsidRPr="000641B0">
        <w:rPr>
          <w:bCs/>
          <w:i/>
          <w:iCs/>
        </w:rPr>
        <w:t>Emerald R</w:t>
      </w:r>
      <w:r w:rsidRPr="000641B0" w:rsidR="00681695">
        <w:rPr>
          <w:bCs/>
          <w:i/>
          <w:iCs/>
        </w:rPr>
        <w:t>.</w:t>
      </w:r>
      <w:r w:rsidRPr="000641B0" w:rsidR="0020447B">
        <w:rPr>
          <w:bCs/>
        </w:rPr>
        <w:t>]</w:t>
      </w:r>
      <w:r w:rsidRPr="000641B0">
        <w:rPr>
          <w:bCs/>
        </w:rPr>
        <w:t>, are referred to as ‘Brit</w:t>
      </w:r>
      <w:r w:rsidRPr="000641B0" w:rsidR="00832C08">
        <w:rPr>
          <w:bCs/>
        </w:rPr>
        <w:t>.</w:t>
      </w:r>
      <w:r w:rsidR="00832C08">
        <w:rPr>
          <w:bCs/>
        </w:rPr>
        <w:t> </w:t>
      </w:r>
      <w:r w:rsidRPr="000641B0">
        <w:rPr>
          <w:bCs/>
        </w:rPr>
        <w:t xml:space="preserve">W.’ and ‘Sade W.’, which </w:t>
      </w:r>
      <w:r w:rsidRPr="000641B0" w:rsidR="00DC6EBB">
        <w:rPr>
          <w:bCs/>
        </w:rPr>
        <w:t>[</w:t>
      </w:r>
      <w:r w:rsidRPr="000641B0" w:rsidR="00C950E0">
        <w:rPr>
          <w:bCs/>
        </w:rPr>
        <w:t>r</w:t>
      </w:r>
      <w:r w:rsidRPr="000641B0" w:rsidR="00DC6EBB">
        <w:rPr>
          <w:bCs/>
        </w:rPr>
        <w:t>]</w:t>
      </w:r>
      <w:r w:rsidRPr="000641B0" w:rsidR="00C950E0">
        <w:rPr>
          <w:bCs/>
        </w:rPr>
        <w:t>espondent</w:t>
      </w:r>
      <w:r w:rsidRPr="000641B0">
        <w:rPr>
          <w:bCs/>
        </w:rPr>
        <w:t xml:space="preserve"> contends fails to establish they were the Williams sisters here.  That is a fair point, but for present purposes we will assume Brit. W. and </w:t>
      </w:r>
      <w:r w:rsidRPr="000641B0" w:rsidR="00832C08">
        <w:rPr>
          <w:bCs/>
        </w:rPr>
        <w:t>Sade</w:t>
      </w:r>
      <w:r w:rsidR="00832C08">
        <w:rPr>
          <w:bCs/>
        </w:rPr>
        <w:t> </w:t>
      </w:r>
      <w:r w:rsidRPr="000641B0">
        <w:rPr>
          <w:bCs/>
        </w:rPr>
        <w:t xml:space="preserve">W. were Brittneeh and Sade Williams.” </w:t>
      </w:r>
      <w:r w:rsidRPr="000641B0" w:rsidR="00E223D8">
        <w:rPr>
          <w:bCs/>
        </w:rPr>
        <w:t xml:space="preserve"> </w:t>
      </w:r>
    </w:p>
    <w:p w:rsidR="00886423" w:rsidRPr="000641B0" w:rsidP="000641B0" w14:paraId="2B8CD944" w14:textId="51B24AB3">
      <w:pPr>
        <w:ind w:firstLine="720"/>
        <w:rPr>
          <w:bCs/>
        </w:rPr>
      </w:pPr>
      <w:r w:rsidRPr="000641B0">
        <w:rPr>
          <w:bCs/>
        </w:rPr>
        <w:t xml:space="preserve">The Court of Appeal </w:t>
      </w:r>
      <w:r w:rsidRPr="000641B0" w:rsidR="006C14E1">
        <w:rPr>
          <w:bCs/>
        </w:rPr>
        <w:t>explained</w:t>
      </w:r>
      <w:r w:rsidRPr="000641B0" w:rsidR="00A10AB3">
        <w:rPr>
          <w:bCs/>
        </w:rPr>
        <w:t xml:space="preserve"> that Jenkins contended the prosecutor violated her constitutional right</w:t>
      </w:r>
      <w:r w:rsidRPr="000641B0" w:rsidR="00F5378B">
        <w:rPr>
          <w:bCs/>
        </w:rPr>
        <w:t xml:space="preserve"> to due process</w:t>
      </w:r>
      <w:r w:rsidR="006150E2">
        <w:rPr>
          <w:bCs/>
        </w:rPr>
        <w:t xml:space="preserve"> </w:t>
      </w:r>
      <w:r w:rsidRPr="000641B0" w:rsidR="00D61256">
        <w:rPr>
          <w:bCs/>
        </w:rPr>
        <w:t xml:space="preserve">pursuant to </w:t>
      </w:r>
      <w:r w:rsidRPr="000641B0" w:rsidR="00D61256">
        <w:rPr>
          <w:bCs/>
          <w:i/>
          <w:iCs/>
        </w:rPr>
        <w:t>Brady</w:t>
      </w:r>
      <w:r w:rsidRPr="000641B0" w:rsidR="00D61256">
        <w:rPr>
          <w:bCs/>
        </w:rPr>
        <w:t xml:space="preserve"> and its progeny </w:t>
      </w:r>
      <w:r w:rsidRPr="000641B0" w:rsidR="00A10AB3">
        <w:rPr>
          <w:bCs/>
        </w:rPr>
        <w:t xml:space="preserve">by </w:t>
      </w:r>
      <w:r w:rsidRPr="000641B0" w:rsidR="006C14E1">
        <w:rPr>
          <w:bCs/>
        </w:rPr>
        <w:t xml:space="preserve">failing to disclose </w:t>
      </w:r>
      <w:r w:rsidRPr="000641B0" w:rsidR="00E46CE3">
        <w:rPr>
          <w:bCs/>
        </w:rPr>
        <w:t xml:space="preserve">the adjudications </w:t>
      </w:r>
      <w:r w:rsidRPr="000641B0" w:rsidR="006C14E1">
        <w:rPr>
          <w:bCs/>
        </w:rPr>
        <w:t>before trial.</w:t>
      </w:r>
      <w:r w:rsidRPr="000641B0" w:rsidR="00044D69">
        <w:rPr>
          <w:bCs/>
        </w:rPr>
        <w:t xml:space="preserve"> </w:t>
      </w:r>
      <w:r w:rsidRPr="000641B0" w:rsidR="00572392">
        <w:rPr>
          <w:bCs/>
        </w:rPr>
        <w:t xml:space="preserve"> </w:t>
      </w:r>
      <w:r w:rsidR="001F49B7">
        <w:rPr>
          <w:bCs/>
        </w:rPr>
        <w:t xml:space="preserve">According to the Court of Appeal, </w:t>
      </w:r>
      <w:r w:rsidRPr="000641B0" w:rsidR="00581A46">
        <w:rPr>
          <w:bCs/>
        </w:rPr>
        <w:t xml:space="preserve">Jenkins maintained that had she known about the adjudications, she would have used them to </w:t>
      </w:r>
      <w:r w:rsidRPr="000641B0" w:rsidR="00671D39">
        <w:rPr>
          <w:bCs/>
        </w:rPr>
        <w:t>demonstrate that</w:t>
      </w:r>
      <w:r w:rsidRPr="000641B0" w:rsidR="00581A46">
        <w:rPr>
          <w:bCs/>
        </w:rPr>
        <w:t xml:space="preserve"> Brittneeh </w:t>
      </w:r>
      <w:r w:rsidRPr="000641B0" w:rsidR="00671D39">
        <w:rPr>
          <w:bCs/>
        </w:rPr>
        <w:t>w</w:t>
      </w:r>
      <w:r w:rsidRPr="000641B0" w:rsidR="00581A46">
        <w:rPr>
          <w:bCs/>
        </w:rPr>
        <w:t>as the aggressor in the</w:t>
      </w:r>
      <w:r w:rsidRPr="000641B0" w:rsidR="00725A28">
        <w:rPr>
          <w:bCs/>
        </w:rPr>
        <w:t>ir</w:t>
      </w:r>
      <w:r w:rsidRPr="000641B0" w:rsidR="00581A46">
        <w:rPr>
          <w:bCs/>
        </w:rPr>
        <w:t xml:space="preserve"> fight, and to impeach Sade</w:t>
      </w:r>
      <w:r w:rsidRPr="000641B0" w:rsidR="00671D39">
        <w:rPr>
          <w:bCs/>
        </w:rPr>
        <w:t>’</w:t>
      </w:r>
      <w:r w:rsidRPr="000641B0" w:rsidR="00581A46">
        <w:rPr>
          <w:bCs/>
        </w:rPr>
        <w:t>s credibility.</w:t>
      </w:r>
      <w:r w:rsidRPr="000641B0" w:rsidR="00265F85">
        <w:rPr>
          <w:bCs/>
        </w:rPr>
        <w:t xml:space="preserve"> </w:t>
      </w:r>
      <w:r w:rsidRPr="000641B0">
        <w:rPr>
          <w:bCs/>
        </w:rPr>
        <w:t xml:space="preserve"> </w:t>
      </w:r>
    </w:p>
    <w:p w:rsidR="00D217DE" w:rsidRPr="000641B0" w:rsidP="000641B0" w14:paraId="14D0B692" w14:textId="7E37B2E2">
      <w:pPr>
        <w:ind w:firstLine="720"/>
        <w:rPr>
          <w:bCs/>
        </w:rPr>
      </w:pPr>
      <w:r w:rsidRPr="000641B0">
        <w:rPr>
          <w:bCs/>
        </w:rPr>
        <w:t xml:space="preserve">After assuming that the prosecutor should have disclosed the adjudications and that </w:t>
      </w:r>
      <w:r w:rsidRPr="000641B0" w:rsidR="00D97107">
        <w:rPr>
          <w:bCs/>
        </w:rPr>
        <w:t>they would have been admissible at trial</w:t>
      </w:r>
      <w:r w:rsidRPr="000641B0" w:rsidR="005167C4">
        <w:rPr>
          <w:bCs/>
        </w:rPr>
        <w:t>,</w:t>
      </w:r>
      <w:r w:rsidRPr="000641B0" w:rsidR="00207781">
        <w:rPr>
          <w:bCs/>
        </w:rPr>
        <w:t xml:space="preserve"> </w:t>
      </w:r>
      <w:r w:rsidRPr="000641B0" w:rsidR="00D97107">
        <w:rPr>
          <w:bCs/>
        </w:rPr>
        <w:t xml:space="preserve">the Court of Appeal </w:t>
      </w:r>
      <w:r w:rsidRPr="000641B0" w:rsidR="0076710A">
        <w:rPr>
          <w:bCs/>
        </w:rPr>
        <w:t xml:space="preserve">concluded that </w:t>
      </w:r>
      <w:r w:rsidRPr="000641B0" w:rsidR="00A73E91">
        <w:rPr>
          <w:bCs/>
        </w:rPr>
        <w:t xml:space="preserve">Jenkins’s </w:t>
      </w:r>
      <w:r w:rsidRPr="000641B0" w:rsidR="00A73E91">
        <w:rPr>
          <w:bCs/>
          <w:i/>
          <w:iCs/>
        </w:rPr>
        <w:t>Brady</w:t>
      </w:r>
      <w:r w:rsidRPr="000641B0" w:rsidR="00A73E91">
        <w:rPr>
          <w:bCs/>
        </w:rPr>
        <w:t xml:space="preserve"> claim failed because </w:t>
      </w:r>
      <w:r w:rsidRPr="000641B0" w:rsidR="0076710A">
        <w:rPr>
          <w:bCs/>
        </w:rPr>
        <w:t>“there is no reasonable probability that disclosure of the 2006 adjudication</w:t>
      </w:r>
      <w:r w:rsidRPr="000641B0" w:rsidR="00F04C00">
        <w:rPr>
          <w:bCs/>
        </w:rPr>
        <w:t>[s]</w:t>
      </w:r>
      <w:r w:rsidRPr="000641B0" w:rsidR="0076710A">
        <w:rPr>
          <w:bCs/>
        </w:rPr>
        <w:t xml:space="preserve"> would have altered the outcome of trial.”</w:t>
      </w:r>
      <w:r w:rsidRPr="000641B0" w:rsidR="008921E3">
        <w:rPr>
          <w:bCs/>
        </w:rPr>
        <w:t xml:space="preserve"> </w:t>
      </w:r>
      <w:r w:rsidRPr="000641B0" w:rsidR="0076710A">
        <w:rPr>
          <w:bCs/>
        </w:rPr>
        <w:t xml:space="preserve"> </w:t>
      </w:r>
    </w:p>
    <w:p w:rsidR="00336A37" w:rsidRPr="000641B0" w:rsidP="00F55F90" w14:paraId="47683CD7" w14:textId="7AC43F81">
      <w:pPr>
        <w:pStyle w:val="Heading2"/>
        <w:keepLines/>
        <w:tabs>
          <w:tab w:val="clear" w:pos="1152"/>
        </w:tabs>
        <w:ind w:left="0" w:firstLine="0"/>
        <w:jc w:val="center"/>
      </w:pPr>
      <w:r w:rsidRPr="000641B0">
        <w:t>C.</w:t>
      </w:r>
    </w:p>
    <w:p w:rsidR="00D541AC" w:rsidRPr="000641B0" w:rsidP="000641B0" w14:paraId="691AF0A6" w14:textId="2D73B876">
      <w:pPr>
        <w:ind w:firstLine="720"/>
        <w:rPr>
          <w:bCs/>
        </w:rPr>
      </w:pPr>
      <w:r w:rsidRPr="000641B0">
        <w:rPr>
          <w:bCs/>
        </w:rPr>
        <w:t>Jenkins filed a petition for review</w:t>
      </w:r>
      <w:r w:rsidR="00C74346">
        <w:rPr>
          <w:bCs/>
        </w:rPr>
        <w:t xml:space="preserve"> of the Court of Appeal’s denial of the writ petition</w:t>
      </w:r>
      <w:r w:rsidRPr="000641B0">
        <w:rPr>
          <w:bCs/>
        </w:rPr>
        <w:t xml:space="preserve">. </w:t>
      </w:r>
      <w:r w:rsidRPr="000641B0" w:rsidR="001E00E3">
        <w:rPr>
          <w:bCs/>
        </w:rPr>
        <w:t xml:space="preserve"> T</w:t>
      </w:r>
      <w:r w:rsidRPr="000641B0" w:rsidR="008A7017">
        <w:rPr>
          <w:bCs/>
        </w:rPr>
        <w:t xml:space="preserve">he Attorney General </w:t>
      </w:r>
      <w:r w:rsidRPr="000641B0" w:rsidR="00D414D9">
        <w:rPr>
          <w:bCs/>
        </w:rPr>
        <w:t xml:space="preserve">filed an answer </w:t>
      </w:r>
      <w:r w:rsidRPr="000641B0" w:rsidR="001E00E3">
        <w:rPr>
          <w:bCs/>
        </w:rPr>
        <w:t xml:space="preserve">stating </w:t>
      </w:r>
      <w:r w:rsidRPr="000641B0" w:rsidR="00EB5162">
        <w:rPr>
          <w:bCs/>
        </w:rPr>
        <w:t xml:space="preserve">he had </w:t>
      </w:r>
      <w:r w:rsidRPr="000641B0" w:rsidR="00490C2F">
        <w:rPr>
          <w:bCs/>
        </w:rPr>
        <w:t xml:space="preserve">no </w:t>
      </w:r>
      <w:r w:rsidRPr="000641B0" w:rsidR="00EB5162">
        <w:rPr>
          <w:bCs/>
        </w:rPr>
        <w:t xml:space="preserve">“obligation to provide additional evidence confirming that Brittneeh and Sade had, in fact, suffered the prior juvenile adjudications.”  </w:t>
      </w:r>
    </w:p>
    <w:p w:rsidR="00336A37" w:rsidRPr="000641B0" w:rsidP="000641B0" w14:paraId="2B874DAF" w14:textId="22A3C9F8">
      <w:pPr>
        <w:ind w:firstLine="720"/>
        <w:rPr>
          <w:bCs/>
        </w:rPr>
      </w:pPr>
      <w:r w:rsidRPr="000641B0">
        <w:rPr>
          <w:bCs/>
        </w:rPr>
        <w:t>We</w:t>
      </w:r>
      <w:r w:rsidRPr="000641B0" w:rsidR="00296E60">
        <w:rPr>
          <w:bCs/>
        </w:rPr>
        <w:t xml:space="preserve"> granted </w:t>
      </w:r>
      <w:r w:rsidRPr="000641B0" w:rsidR="00463814">
        <w:rPr>
          <w:bCs/>
        </w:rPr>
        <w:t xml:space="preserve">Jenkins’s petition for review </w:t>
      </w:r>
      <w:r w:rsidRPr="000641B0">
        <w:rPr>
          <w:bCs/>
        </w:rPr>
        <w:t xml:space="preserve">and limited the issue to </w:t>
      </w:r>
      <w:r w:rsidRPr="000641B0" w:rsidR="00CE4478">
        <w:rPr>
          <w:bCs/>
        </w:rPr>
        <w:t xml:space="preserve">be briefed and argued to the following: </w:t>
      </w:r>
      <w:r w:rsidR="00C20E30">
        <w:rPr>
          <w:bCs/>
        </w:rPr>
        <w:t xml:space="preserve"> </w:t>
      </w:r>
      <w:r w:rsidRPr="000641B0">
        <w:rPr>
          <w:bCs/>
        </w:rPr>
        <w:t>“</w:t>
      </w:r>
      <w:r w:rsidRPr="000641B0" w:rsidR="00CE4478">
        <w:rPr>
          <w:bCs/>
        </w:rPr>
        <w:t xml:space="preserve">Where a habeas petitioner claims not to have received a fair trial because the District Attorney failed to disclose material evidence in violation of </w:t>
      </w:r>
      <w:r w:rsidRPr="000641B0" w:rsidR="00CE4478">
        <w:rPr>
          <w:bCs/>
          <w:i/>
        </w:rPr>
        <w:t xml:space="preserve">Brady </w:t>
      </w:r>
      <w:r w:rsidRPr="000641B0" w:rsidR="00B26ADC">
        <w:rPr>
          <w:bCs/>
          <w:i/>
        </w:rPr>
        <w:t xml:space="preserve">. . </w:t>
      </w:r>
      <w:r w:rsidRPr="000641B0" w:rsidR="00374561">
        <w:rPr>
          <w:bCs/>
          <w:i/>
        </w:rPr>
        <w:t>.</w:t>
      </w:r>
      <w:r w:rsidR="00374561">
        <w:rPr>
          <w:bCs/>
        </w:rPr>
        <w:t> </w:t>
      </w:r>
      <w:r w:rsidRPr="000641B0">
        <w:rPr>
          <w:bCs/>
        </w:rPr>
        <w:t>—</w:t>
      </w:r>
      <w:r w:rsidRPr="000641B0" w:rsidR="00CE4478">
        <w:rPr>
          <w:bCs/>
        </w:rPr>
        <w:t xml:space="preserve"> and where the Attorney General has knowledge of, or is in actual or constructive possession of, such </w:t>
      </w:r>
      <w:r w:rsidRPr="000641B0" w:rsidR="00374561">
        <w:rPr>
          <w:bCs/>
        </w:rPr>
        <w:t>evidence</w:t>
      </w:r>
      <w:r w:rsidR="00374561">
        <w:rPr>
          <w:bCs/>
        </w:rPr>
        <w:t> </w:t>
      </w:r>
      <w:r w:rsidRPr="000641B0">
        <w:rPr>
          <w:bCs/>
        </w:rPr>
        <w:t>—</w:t>
      </w:r>
      <w:r w:rsidRPr="000641B0" w:rsidR="00CE4478">
        <w:rPr>
          <w:bCs/>
        </w:rPr>
        <w:t xml:space="preserve"> what duty, if any, does the Attorney General have to acknowledge or disclose that evidence to the petitioner?</w:t>
      </w:r>
      <w:r w:rsidRPr="000641B0" w:rsidR="0071522B">
        <w:rPr>
          <w:bCs/>
        </w:rPr>
        <w:t xml:space="preserve"> </w:t>
      </w:r>
      <w:r w:rsidRPr="000641B0" w:rsidR="00CE4478">
        <w:rPr>
          <w:bCs/>
        </w:rPr>
        <w:t xml:space="preserve"> Would any such duty be triggered only upon issuance of an order to show cause?</w:t>
      </w:r>
      <w:r w:rsidRPr="000641B0">
        <w:rPr>
          <w:bCs/>
        </w:rPr>
        <w:t>”</w:t>
      </w:r>
      <w:r w:rsidRPr="000641B0" w:rsidR="008921E3">
        <w:rPr>
          <w:bCs/>
        </w:rPr>
        <w:t xml:space="preserve"> </w:t>
      </w:r>
      <w:r w:rsidRPr="000641B0" w:rsidR="00BA0F33">
        <w:rPr>
          <w:bCs/>
        </w:rPr>
        <w:t xml:space="preserve"> </w:t>
      </w:r>
    </w:p>
    <w:p w:rsidR="00336A37" w:rsidRPr="000641B0" w:rsidP="000641B0" w14:paraId="776C867E" w14:textId="78E0BBA3">
      <w:pPr>
        <w:pStyle w:val="Heading1"/>
      </w:pPr>
      <w:r w:rsidRPr="000641B0">
        <w:t>II.</w:t>
      </w:r>
    </w:p>
    <w:p w:rsidR="00D541AC" w:rsidRPr="000641B0" w:rsidP="000641B0" w14:paraId="28575EA2" w14:textId="210FE130">
      <w:pPr>
        <w:ind w:firstLine="720"/>
        <w:rPr>
          <w:bCs/>
        </w:rPr>
      </w:pPr>
      <w:r w:rsidRPr="000641B0">
        <w:rPr>
          <w:bCs/>
          <w:caps/>
        </w:rPr>
        <w:t>J</w:t>
      </w:r>
      <w:r w:rsidRPr="000641B0">
        <w:rPr>
          <w:bCs/>
        </w:rPr>
        <w:t xml:space="preserve">enkins </w:t>
      </w:r>
      <w:r w:rsidRPr="000641B0" w:rsidR="001611A3">
        <w:rPr>
          <w:bCs/>
        </w:rPr>
        <w:t>claims</w:t>
      </w:r>
      <w:r w:rsidRPr="000641B0">
        <w:rPr>
          <w:bCs/>
        </w:rPr>
        <w:t xml:space="preserve"> the Attorney General cannot </w:t>
      </w:r>
      <w:r w:rsidRPr="000641B0" w:rsidR="00B004EF">
        <w:rPr>
          <w:bCs/>
        </w:rPr>
        <w:t>constitutionally</w:t>
      </w:r>
      <w:r w:rsidRPr="000641B0" w:rsidR="009C1F30">
        <w:rPr>
          <w:bCs/>
        </w:rPr>
        <w:t xml:space="preserve"> or ethically</w:t>
      </w:r>
      <w:r w:rsidRPr="000641B0" w:rsidR="009C1F30">
        <w:rPr>
          <w:bCs/>
          <w:i/>
          <w:iCs/>
        </w:rPr>
        <w:t xml:space="preserve"> </w:t>
      </w:r>
      <w:r w:rsidRPr="000641B0" w:rsidR="009C1F30">
        <w:rPr>
          <w:bCs/>
        </w:rPr>
        <w:t xml:space="preserve">suppress exculpatory evidence </w:t>
      </w:r>
      <w:r w:rsidRPr="000641B0" w:rsidR="004B103C">
        <w:rPr>
          <w:bCs/>
        </w:rPr>
        <w:t>relevant to a habeas</w:t>
      </w:r>
      <w:r w:rsidR="00BC4967">
        <w:rPr>
          <w:bCs/>
        </w:rPr>
        <w:t xml:space="preserve"> corpus</w:t>
      </w:r>
      <w:r w:rsidRPr="000641B0" w:rsidR="004B103C">
        <w:rPr>
          <w:bCs/>
        </w:rPr>
        <w:t xml:space="preserve"> petitioner’s </w:t>
      </w:r>
      <w:r w:rsidRPr="000641B0" w:rsidR="004B103C">
        <w:rPr>
          <w:bCs/>
          <w:i/>
          <w:iCs/>
        </w:rPr>
        <w:t>Brady</w:t>
      </w:r>
      <w:r w:rsidRPr="000641B0" w:rsidR="004B103C">
        <w:rPr>
          <w:bCs/>
        </w:rPr>
        <w:t xml:space="preserve"> claim </w:t>
      </w:r>
      <w:r w:rsidRPr="000641B0" w:rsidR="000F0C8C">
        <w:rPr>
          <w:bCs/>
        </w:rPr>
        <w:t xml:space="preserve">that the Attorney General </w:t>
      </w:r>
      <w:r w:rsidRPr="000641B0" w:rsidR="009C1F30">
        <w:rPr>
          <w:bCs/>
        </w:rPr>
        <w:t xml:space="preserve">knows, or reasonably should </w:t>
      </w:r>
      <w:r w:rsidRPr="000641B0" w:rsidR="001B13B7">
        <w:rPr>
          <w:bCs/>
        </w:rPr>
        <w:t>know, he possesses.</w:t>
      </w:r>
      <w:r w:rsidRPr="000641B0" w:rsidR="000F1FB0">
        <w:rPr>
          <w:bCs/>
        </w:rPr>
        <w:t xml:space="preserve"> </w:t>
      </w:r>
      <w:r w:rsidRPr="000641B0" w:rsidR="00AE7849">
        <w:rPr>
          <w:bCs/>
        </w:rPr>
        <w:t xml:space="preserve"> </w:t>
      </w:r>
      <w:r w:rsidRPr="000641B0" w:rsidR="000F1FB0">
        <w:rPr>
          <w:bCs/>
        </w:rPr>
        <w:t>She argues further that the Attorney General m</w:t>
      </w:r>
      <w:r w:rsidRPr="000641B0" w:rsidR="00F15FC0">
        <w:rPr>
          <w:bCs/>
        </w:rPr>
        <w:t>us</w:t>
      </w:r>
      <w:r w:rsidRPr="000641B0" w:rsidR="000F1FB0">
        <w:rPr>
          <w:bCs/>
        </w:rPr>
        <w:t xml:space="preserve">t </w:t>
      </w:r>
      <w:r w:rsidRPr="000641B0" w:rsidR="00F15FC0">
        <w:rPr>
          <w:bCs/>
        </w:rPr>
        <w:t xml:space="preserve">disclose </w:t>
      </w:r>
      <w:r w:rsidRPr="000641B0" w:rsidR="00743C3A">
        <w:rPr>
          <w:bCs/>
        </w:rPr>
        <w:t xml:space="preserve">such evidence </w:t>
      </w:r>
      <w:r w:rsidRPr="000641B0" w:rsidR="00F97736">
        <w:rPr>
          <w:bCs/>
        </w:rPr>
        <w:t xml:space="preserve">in his possession </w:t>
      </w:r>
      <w:r w:rsidRPr="000641B0" w:rsidR="00190B3B">
        <w:rPr>
          <w:bCs/>
        </w:rPr>
        <w:t xml:space="preserve">upon the filing of a habeas </w:t>
      </w:r>
      <w:r w:rsidR="00BC4967">
        <w:rPr>
          <w:bCs/>
        </w:rPr>
        <w:t xml:space="preserve">corpus </w:t>
      </w:r>
      <w:r w:rsidRPr="000641B0" w:rsidR="00190B3B">
        <w:rPr>
          <w:bCs/>
        </w:rPr>
        <w:t>petitioner’s verified allegations</w:t>
      </w:r>
      <w:r w:rsidRPr="000641B0" w:rsidR="00C56AA6">
        <w:rPr>
          <w:bCs/>
        </w:rPr>
        <w:t xml:space="preserve"> alleging its existence.</w:t>
      </w:r>
      <w:r w:rsidRPr="000641B0" w:rsidR="008921E3">
        <w:rPr>
          <w:bCs/>
        </w:rPr>
        <w:t xml:space="preserve"> </w:t>
      </w:r>
      <w:r w:rsidRPr="000641B0" w:rsidR="00C56AA6">
        <w:rPr>
          <w:bCs/>
        </w:rPr>
        <w:t xml:space="preserve"> </w:t>
      </w:r>
    </w:p>
    <w:p w:rsidR="009111D6" w:rsidRPr="000641B0" w:rsidP="000641B0" w14:paraId="1FF84AD5" w14:textId="25720A09">
      <w:pPr>
        <w:ind w:firstLine="720"/>
        <w:rPr>
          <w:bCs/>
        </w:rPr>
      </w:pPr>
      <w:r w:rsidRPr="000641B0">
        <w:rPr>
          <w:bCs/>
        </w:rPr>
        <w:t xml:space="preserve">We consider </w:t>
      </w:r>
      <w:r w:rsidRPr="000641B0">
        <w:rPr>
          <w:rFonts w:cstheme="minorHAnsi"/>
          <w:szCs w:val="26"/>
        </w:rPr>
        <w:t xml:space="preserve">the </w:t>
      </w:r>
      <w:r w:rsidRPr="000641B0">
        <w:rPr>
          <w:bCs/>
        </w:rPr>
        <w:t>A</w:t>
      </w:r>
      <w:r w:rsidRPr="000641B0" w:rsidR="005E7F1C">
        <w:rPr>
          <w:bCs/>
        </w:rPr>
        <w:t>ttorney General’s constitutional duty</w:t>
      </w:r>
      <w:r w:rsidRPr="000641B0" w:rsidR="002A62FC">
        <w:rPr>
          <w:bCs/>
        </w:rPr>
        <w:t xml:space="preserve"> </w:t>
      </w:r>
      <w:r w:rsidRPr="000641B0" w:rsidR="00A47440">
        <w:rPr>
          <w:bCs/>
        </w:rPr>
        <w:t xml:space="preserve">to disclose alleged </w:t>
      </w:r>
      <w:r w:rsidRPr="000641B0" w:rsidR="00A47440">
        <w:rPr>
          <w:bCs/>
          <w:i/>
          <w:iCs/>
        </w:rPr>
        <w:t>Brady</w:t>
      </w:r>
      <w:r w:rsidRPr="000641B0" w:rsidR="00A47440">
        <w:rPr>
          <w:bCs/>
        </w:rPr>
        <w:t xml:space="preserve"> </w:t>
      </w:r>
      <w:r w:rsidRPr="000641B0" w:rsidR="006306FA">
        <w:rPr>
          <w:bCs/>
        </w:rPr>
        <w:t>evidence</w:t>
      </w:r>
      <w:r w:rsidRPr="000641B0" w:rsidR="00A47440">
        <w:rPr>
          <w:bCs/>
        </w:rPr>
        <w:t xml:space="preserve"> in habeas </w:t>
      </w:r>
      <w:r w:rsidR="00BC4967">
        <w:rPr>
          <w:bCs/>
        </w:rPr>
        <w:t xml:space="preserve">corpus </w:t>
      </w:r>
      <w:r w:rsidRPr="000641B0" w:rsidR="00A47440">
        <w:rPr>
          <w:bCs/>
        </w:rPr>
        <w:t>proceedings</w:t>
      </w:r>
      <w:r w:rsidRPr="000641B0" w:rsidR="0081091E">
        <w:rPr>
          <w:bCs/>
        </w:rPr>
        <w:t xml:space="preserve"> </w:t>
      </w:r>
      <w:r w:rsidRPr="000641B0" w:rsidR="00F031F2">
        <w:rPr>
          <w:bCs/>
        </w:rPr>
        <w:t xml:space="preserve">in </w:t>
      </w:r>
      <w:r w:rsidRPr="000641B0" w:rsidR="00832C08">
        <w:rPr>
          <w:bCs/>
        </w:rPr>
        <w:t>part</w:t>
      </w:r>
      <w:r w:rsidR="00832C08">
        <w:rPr>
          <w:bCs/>
        </w:rPr>
        <w:t> </w:t>
      </w:r>
      <w:r w:rsidRPr="000641B0" w:rsidR="00F031F2">
        <w:rPr>
          <w:bCs/>
        </w:rPr>
        <w:t>II.</w:t>
      </w:r>
      <w:r w:rsidRPr="000641B0">
        <w:rPr>
          <w:bCs/>
        </w:rPr>
        <w:t>A</w:t>
      </w:r>
      <w:r w:rsidR="00ED224A">
        <w:rPr>
          <w:bCs/>
        </w:rPr>
        <w:t>.</w:t>
      </w:r>
      <w:r w:rsidRPr="000641B0" w:rsidR="00F031F2">
        <w:rPr>
          <w:bCs/>
        </w:rPr>
        <w:t xml:space="preserve">, </w:t>
      </w:r>
      <w:r w:rsidRPr="000641B0" w:rsidR="00DE6AF0">
        <w:rPr>
          <w:bCs/>
          <w:i/>
          <w:iCs/>
        </w:rPr>
        <w:t>post</w:t>
      </w:r>
      <w:r w:rsidRPr="000641B0" w:rsidR="00DE6AF0">
        <w:rPr>
          <w:bCs/>
        </w:rPr>
        <w:t xml:space="preserve">, </w:t>
      </w:r>
      <w:r w:rsidRPr="000641B0">
        <w:rPr>
          <w:bCs/>
        </w:rPr>
        <w:t xml:space="preserve">and his </w:t>
      </w:r>
      <w:r w:rsidRPr="000641B0" w:rsidR="00F031F2">
        <w:rPr>
          <w:bCs/>
        </w:rPr>
        <w:t xml:space="preserve">ethical duty to disclose </w:t>
      </w:r>
      <w:r w:rsidRPr="000641B0" w:rsidR="0051036B">
        <w:rPr>
          <w:bCs/>
        </w:rPr>
        <w:t xml:space="preserve">such evidence </w:t>
      </w:r>
      <w:r w:rsidRPr="000641B0" w:rsidR="00DE6AF0">
        <w:rPr>
          <w:bCs/>
        </w:rPr>
        <w:t>in part II.B</w:t>
      </w:r>
      <w:r w:rsidR="00ED224A">
        <w:rPr>
          <w:bCs/>
        </w:rPr>
        <w:t>.</w:t>
      </w:r>
      <w:r w:rsidRPr="000641B0" w:rsidR="00DE6AF0">
        <w:rPr>
          <w:bCs/>
        </w:rPr>
        <w:t xml:space="preserve">, </w:t>
      </w:r>
      <w:r w:rsidRPr="000641B0" w:rsidR="00DE6AF0">
        <w:rPr>
          <w:bCs/>
          <w:i/>
          <w:iCs/>
        </w:rPr>
        <w:t>post</w:t>
      </w:r>
      <w:r w:rsidRPr="000641B0" w:rsidR="006306FA">
        <w:rPr>
          <w:bCs/>
        </w:rPr>
        <w:t>.</w:t>
      </w:r>
      <w:r w:rsidRPr="000641B0" w:rsidR="00DE6AF0">
        <w:rPr>
          <w:bCs/>
        </w:rPr>
        <w:t xml:space="preserve"> </w:t>
      </w:r>
      <w:r w:rsidRPr="000641B0" w:rsidR="006306FA">
        <w:rPr>
          <w:bCs/>
        </w:rPr>
        <w:t xml:space="preserve"> In part II.C</w:t>
      </w:r>
      <w:r w:rsidR="00ED224A">
        <w:rPr>
          <w:bCs/>
        </w:rPr>
        <w:t>.</w:t>
      </w:r>
      <w:r w:rsidRPr="000641B0" w:rsidR="006306FA">
        <w:rPr>
          <w:bCs/>
        </w:rPr>
        <w:t xml:space="preserve">, </w:t>
      </w:r>
      <w:r w:rsidRPr="000641B0" w:rsidR="0031205F">
        <w:rPr>
          <w:bCs/>
          <w:i/>
          <w:iCs/>
        </w:rPr>
        <w:t>post</w:t>
      </w:r>
      <w:r w:rsidRPr="000641B0" w:rsidR="0031205F">
        <w:rPr>
          <w:bCs/>
        </w:rPr>
        <w:t xml:space="preserve">, </w:t>
      </w:r>
      <w:r w:rsidRPr="000641B0" w:rsidR="006306FA">
        <w:rPr>
          <w:bCs/>
        </w:rPr>
        <w:t xml:space="preserve">we </w:t>
      </w:r>
      <w:r w:rsidRPr="000641B0" w:rsidR="0051036B">
        <w:rPr>
          <w:bCs/>
        </w:rPr>
        <w:t>consider</w:t>
      </w:r>
      <w:r w:rsidRPr="000641B0" w:rsidR="006306FA">
        <w:rPr>
          <w:bCs/>
        </w:rPr>
        <w:t xml:space="preserve"> </w:t>
      </w:r>
      <w:r w:rsidRPr="000641B0">
        <w:rPr>
          <w:rFonts w:cstheme="minorHAnsi"/>
          <w:szCs w:val="26"/>
        </w:rPr>
        <w:t xml:space="preserve">the </w:t>
      </w:r>
      <w:r w:rsidRPr="000641B0" w:rsidR="006306FA">
        <w:rPr>
          <w:rFonts w:cstheme="minorHAnsi"/>
          <w:szCs w:val="26"/>
        </w:rPr>
        <w:t xml:space="preserve">duties of </w:t>
      </w:r>
      <w:r w:rsidRPr="000641B0" w:rsidR="002814E1">
        <w:rPr>
          <w:rFonts w:cstheme="minorHAnsi"/>
          <w:szCs w:val="26"/>
        </w:rPr>
        <w:t xml:space="preserve">the </w:t>
      </w:r>
      <w:r w:rsidRPr="000641B0">
        <w:rPr>
          <w:rFonts w:cstheme="minorHAnsi"/>
          <w:szCs w:val="26"/>
        </w:rPr>
        <w:t>respondent to a petition</w:t>
      </w:r>
      <w:r w:rsidR="00BC4967">
        <w:rPr>
          <w:rFonts w:cstheme="minorHAnsi"/>
          <w:szCs w:val="26"/>
        </w:rPr>
        <w:t xml:space="preserve"> for writ of habeas corpus</w:t>
      </w:r>
      <w:r w:rsidRPr="000641B0">
        <w:rPr>
          <w:rFonts w:cstheme="minorHAnsi"/>
          <w:szCs w:val="26"/>
        </w:rPr>
        <w:t xml:space="preserve"> alleging a </w:t>
      </w:r>
      <w:r w:rsidRPr="000641B0">
        <w:rPr>
          <w:rFonts w:cstheme="minorHAnsi"/>
          <w:i/>
          <w:iCs/>
          <w:szCs w:val="26"/>
        </w:rPr>
        <w:t>Brady</w:t>
      </w:r>
      <w:r w:rsidRPr="000641B0">
        <w:rPr>
          <w:rFonts w:cstheme="minorHAnsi"/>
          <w:szCs w:val="26"/>
        </w:rPr>
        <w:t xml:space="preserve"> </w:t>
      </w:r>
      <w:r w:rsidRPr="000641B0" w:rsidR="005B0935">
        <w:rPr>
          <w:rFonts w:cstheme="minorHAnsi"/>
          <w:szCs w:val="26"/>
        </w:rPr>
        <w:t xml:space="preserve">claim </w:t>
      </w:r>
      <w:r w:rsidRPr="000641B0">
        <w:rPr>
          <w:rFonts w:cstheme="minorHAnsi"/>
          <w:szCs w:val="26"/>
        </w:rPr>
        <w:t>that arise from</w:t>
      </w:r>
      <w:r w:rsidRPr="000641B0" w:rsidR="00A40971">
        <w:rPr>
          <w:rFonts w:cstheme="minorHAnsi"/>
          <w:szCs w:val="26"/>
        </w:rPr>
        <w:t xml:space="preserve"> the</w:t>
      </w:r>
      <w:r w:rsidRPr="000641B0">
        <w:rPr>
          <w:rFonts w:cstheme="minorHAnsi"/>
          <w:szCs w:val="26"/>
        </w:rPr>
        <w:t xml:space="preserve"> </w:t>
      </w:r>
      <w:r w:rsidRPr="000641B0" w:rsidR="000F2A27">
        <w:rPr>
          <w:rFonts w:cstheme="minorHAnsi"/>
          <w:szCs w:val="26"/>
        </w:rPr>
        <w:t xml:space="preserve">procedural </w:t>
      </w:r>
      <w:r w:rsidRPr="000641B0">
        <w:rPr>
          <w:rFonts w:cstheme="minorHAnsi"/>
          <w:szCs w:val="26"/>
        </w:rPr>
        <w:t xml:space="preserve">law governing </w:t>
      </w:r>
      <w:r w:rsidRPr="000641B0" w:rsidR="002814E1">
        <w:rPr>
          <w:rFonts w:cstheme="minorHAnsi"/>
          <w:szCs w:val="26"/>
        </w:rPr>
        <w:t>such</w:t>
      </w:r>
      <w:r w:rsidRPr="000641B0">
        <w:rPr>
          <w:rFonts w:cstheme="minorHAnsi"/>
          <w:szCs w:val="26"/>
        </w:rPr>
        <w:t xml:space="preserve"> petitions.</w:t>
      </w:r>
      <w:r w:rsidRPr="000641B0" w:rsidR="0051036B">
        <w:rPr>
          <w:bCs/>
        </w:rPr>
        <w:t xml:space="preserve"> </w:t>
      </w:r>
      <w:r w:rsidRPr="000641B0" w:rsidR="00291120">
        <w:rPr>
          <w:bCs/>
        </w:rPr>
        <w:t xml:space="preserve"> </w:t>
      </w:r>
      <w:r w:rsidRPr="000641B0" w:rsidR="00AC0F06">
        <w:rPr>
          <w:bCs/>
        </w:rPr>
        <w:t xml:space="preserve">In </w:t>
      </w:r>
      <w:r w:rsidRPr="000641B0" w:rsidR="00832C08">
        <w:rPr>
          <w:bCs/>
        </w:rPr>
        <w:t>part</w:t>
      </w:r>
      <w:r w:rsidR="00832C08">
        <w:rPr>
          <w:bCs/>
        </w:rPr>
        <w:t> </w:t>
      </w:r>
      <w:r w:rsidRPr="000641B0" w:rsidR="00AC0F06">
        <w:rPr>
          <w:bCs/>
        </w:rPr>
        <w:t>II.D</w:t>
      </w:r>
      <w:r w:rsidR="00ED224A">
        <w:rPr>
          <w:bCs/>
        </w:rPr>
        <w:t>.</w:t>
      </w:r>
      <w:r w:rsidRPr="000641B0" w:rsidR="00AC0F06">
        <w:rPr>
          <w:bCs/>
        </w:rPr>
        <w:t xml:space="preserve">, </w:t>
      </w:r>
      <w:r w:rsidRPr="000641B0" w:rsidR="00AC0F06">
        <w:rPr>
          <w:bCs/>
          <w:i/>
          <w:iCs/>
        </w:rPr>
        <w:t>post</w:t>
      </w:r>
      <w:r w:rsidRPr="000641B0" w:rsidR="00AC0F06">
        <w:rPr>
          <w:bCs/>
        </w:rPr>
        <w:t xml:space="preserve">, we </w:t>
      </w:r>
      <w:r w:rsidRPr="000641B0" w:rsidR="002A62FC">
        <w:rPr>
          <w:bCs/>
        </w:rPr>
        <w:t>consider</w:t>
      </w:r>
      <w:r w:rsidRPr="000641B0" w:rsidR="00291120">
        <w:rPr>
          <w:bCs/>
        </w:rPr>
        <w:t xml:space="preserve"> how </w:t>
      </w:r>
      <w:r w:rsidRPr="000641B0" w:rsidR="00C92B4E">
        <w:rPr>
          <w:bCs/>
        </w:rPr>
        <w:t xml:space="preserve">the Attorney General </w:t>
      </w:r>
      <w:r w:rsidRPr="000641B0" w:rsidR="00284061">
        <w:rPr>
          <w:bCs/>
        </w:rPr>
        <w:t xml:space="preserve">and the respondent </w:t>
      </w:r>
      <w:r w:rsidRPr="000641B0" w:rsidR="00C92B4E">
        <w:rPr>
          <w:bCs/>
        </w:rPr>
        <w:t>may carry out th</w:t>
      </w:r>
      <w:r w:rsidRPr="000641B0" w:rsidR="007E7473">
        <w:rPr>
          <w:bCs/>
        </w:rPr>
        <w:t>e</w:t>
      </w:r>
      <w:r w:rsidRPr="000641B0" w:rsidR="00C92B4E">
        <w:rPr>
          <w:bCs/>
        </w:rPr>
        <w:t xml:space="preserve">se duties in a case, such as this, in which </w:t>
      </w:r>
      <w:r w:rsidRPr="000641B0" w:rsidR="003D2980">
        <w:rPr>
          <w:bCs/>
        </w:rPr>
        <w:t xml:space="preserve">the alleged </w:t>
      </w:r>
      <w:r w:rsidRPr="000641B0" w:rsidR="003D2980">
        <w:rPr>
          <w:bCs/>
          <w:i/>
          <w:iCs/>
        </w:rPr>
        <w:t>Brady</w:t>
      </w:r>
      <w:r w:rsidRPr="000641B0" w:rsidR="003D2980">
        <w:rPr>
          <w:bCs/>
        </w:rPr>
        <w:t xml:space="preserve"> evidence </w:t>
      </w:r>
      <w:r w:rsidRPr="000641B0" w:rsidR="004B25F3">
        <w:rPr>
          <w:bCs/>
        </w:rPr>
        <w:t xml:space="preserve">consists of </w:t>
      </w:r>
      <w:r w:rsidRPr="000641B0" w:rsidR="003749AB">
        <w:rPr>
          <w:bCs/>
        </w:rPr>
        <w:t xml:space="preserve">juvenile records subject to statutory disclosure restrictions. </w:t>
      </w:r>
      <w:r w:rsidRPr="000641B0" w:rsidR="00AC0F06">
        <w:rPr>
          <w:bCs/>
        </w:rPr>
        <w:t xml:space="preserve"> </w:t>
      </w:r>
      <w:r w:rsidRPr="000641B0" w:rsidR="00260C69">
        <w:rPr>
          <w:bCs/>
        </w:rPr>
        <w:t>Finally, in part II.E</w:t>
      </w:r>
      <w:r w:rsidR="00ED224A">
        <w:rPr>
          <w:bCs/>
        </w:rPr>
        <w:t>.</w:t>
      </w:r>
      <w:r w:rsidRPr="000641B0" w:rsidR="00260C69">
        <w:rPr>
          <w:bCs/>
        </w:rPr>
        <w:t xml:space="preserve">, </w:t>
      </w:r>
      <w:r w:rsidRPr="000641B0" w:rsidR="00B64045">
        <w:rPr>
          <w:bCs/>
          <w:i/>
          <w:iCs/>
        </w:rPr>
        <w:t>post</w:t>
      </w:r>
      <w:r w:rsidRPr="000641B0" w:rsidR="00B64045">
        <w:rPr>
          <w:bCs/>
        </w:rPr>
        <w:t xml:space="preserve">, </w:t>
      </w:r>
      <w:r w:rsidRPr="000641B0" w:rsidR="00260C69">
        <w:rPr>
          <w:bCs/>
        </w:rPr>
        <w:t>we</w:t>
      </w:r>
      <w:r w:rsidRPr="000641B0" w:rsidR="00B64045">
        <w:rPr>
          <w:bCs/>
        </w:rPr>
        <w:t xml:space="preserve"> summarize our conclusions and appl</w:t>
      </w:r>
      <w:r w:rsidRPr="000641B0" w:rsidR="007D4161">
        <w:rPr>
          <w:bCs/>
        </w:rPr>
        <w:t>y</w:t>
      </w:r>
      <w:r w:rsidRPr="000641B0" w:rsidR="00B64045">
        <w:rPr>
          <w:bCs/>
        </w:rPr>
        <w:t xml:space="preserve"> </w:t>
      </w:r>
      <w:r w:rsidRPr="000641B0" w:rsidR="007D4161">
        <w:rPr>
          <w:bCs/>
        </w:rPr>
        <w:t xml:space="preserve">them </w:t>
      </w:r>
      <w:r w:rsidRPr="000641B0" w:rsidR="00016D9E">
        <w:rPr>
          <w:bCs/>
        </w:rPr>
        <w:t>to Jenkins’s</w:t>
      </w:r>
      <w:r w:rsidRPr="000641B0" w:rsidR="00B64045">
        <w:rPr>
          <w:bCs/>
        </w:rPr>
        <w:t xml:space="preserve"> case. </w:t>
      </w:r>
    </w:p>
    <w:p w:rsidR="00336A37" w:rsidRPr="000641B0" w:rsidP="00F55F90" w14:paraId="608B5E4A" w14:textId="2123C2A2">
      <w:pPr>
        <w:pStyle w:val="Heading2"/>
        <w:keepLines/>
        <w:tabs>
          <w:tab w:val="clear" w:pos="1152"/>
        </w:tabs>
        <w:ind w:left="0" w:firstLine="0"/>
        <w:jc w:val="center"/>
      </w:pPr>
      <w:r w:rsidRPr="000641B0">
        <w:t>A.</w:t>
      </w:r>
    </w:p>
    <w:p w:rsidR="00D541AC" w:rsidRPr="000641B0" w:rsidP="000641B0" w14:paraId="09526A30" w14:textId="6E9F627D">
      <w:pPr>
        <w:ind w:firstLine="720"/>
        <w:rPr>
          <w:bCs/>
          <w:szCs w:val="26"/>
        </w:rPr>
      </w:pPr>
      <w:r w:rsidRPr="000641B0">
        <w:rPr>
          <w:bCs/>
          <w:szCs w:val="26"/>
        </w:rPr>
        <w:t xml:space="preserve">Jenkins contends the due process clause of the </w:t>
      </w:r>
      <w:r w:rsidRPr="000641B0" w:rsidR="00914EBA">
        <w:rPr>
          <w:bCs/>
          <w:szCs w:val="26"/>
        </w:rPr>
        <w:t>F</w:t>
      </w:r>
      <w:r w:rsidRPr="000641B0">
        <w:rPr>
          <w:bCs/>
          <w:szCs w:val="26"/>
        </w:rPr>
        <w:t xml:space="preserve">ourteenth </w:t>
      </w:r>
      <w:r w:rsidRPr="000641B0" w:rsidR="00914EBA">
        <w:rPr>
          <w:bCs/>
          <w:szCs w:val="26"/>
        </w:rPr>
        <w:t>A</w:t>
      </w:r>
      <w:r w:rsidRPr="000641B0">
        <w:rPr>
          <w:bCs/>
          <w:szCs w:val="26"/>
        </w:rPr>
        <w:t xml:space="preserve">mendment to the federal </w:t>
      </w:r>
      <w:r w:rsidRPr="000641B0" w:rsidR="00914EBA">
        <w:rPr>
          <w:bCs/>
          <w:szCs w:val="26"/>
        </w:rPr>
        <w:t>C</w:t>
      </w:r>
      <w:r w:rsidRPr="000641B0">
        <w:rPr>
          <w:bCs/>
          <w:szCs w:val="26"/>
        </w:rPr>
        <w:t xml:space="preserve">onstitution prohibits the Attorney General from defending a </w:t>
      </w:r>
      <w:r w:rsidRPr="000641B0">
        <w:rPr>
          <w:bCs/>
          <w:i/>
          <w:iCs/>
          <w:szCs w:val="26"/>
        </w:rPr>
        <w:t>Brady</w:t>
      </w:r>
      <w:r w:rsidRPr="000641B0">
        <w:rPr>
          <w:bCs/>
          <w:szCs w:val="26"/>
        </w:rPr>
        <w:t xml:space="preserve"> claim by “</w:t>
      </w:r>
      <w:r w:rsidRPr="000641B0" w:rsidR="00D709E5">
        <w:rPr>
          <w:bCs/>
          <w:szCs w:val="26"/>
        </w:rPr>
        <w:t>[</w:t>
      </w:r>
      <w:r w:rsidRPr="000641B0">
        <w:rPr>
          <w:bCs/>
          <w:szCs w:val="26"/>
        </w:rPr>
        <w:t>s</w:t>
      </w:r>
      <w:r w:rsidRPr="000641B0" w:rsidR="00D709E5">
        <w:rPr>
          <w:bCs/>
          <w:szCs w:val="26"/>
        </w:rPr>
        <w:t>]</w:t>
      </w:r>
      <w:r w:rsidRPr="000641B0">
        <w:rPr>
          <w:bCs/>
          <w:szCs w:val="26"/>
        </w:rPr>
        <w:t xml:space="preserve">uppressing the </w:t>
      </w:r>
      <w:r w:rsidRPr="000641B0" w:rsidR="00D709E5">
        <w:rPr>
          <w:bCs/>
          <w:szCs w:val="26"/>
        </w:rPr>
        <w:t>[</w:t>
      </w:r>
      <w:r w:rsidRPr="000641B0">
        <w:rPr>
          <w:bCs/>
          <w:szCs w:val="26"/>
        </w:rPr>
        <w:t>s</w:t>
      </w:r>
      <w:r w:rsidRPr="000641B0" w:rsidR="00D709E5">
        <w:rPr>
          <w:bCs/>
          <w:szCs w:val="26"/>
        </w:rPr>
        <w:t>]</w:t>
      </w:r>
      <w:r w:rsidRPr="000641B0">
        <w:rPr>
          <w:bCs/>
          <w:szCs w:val="26"/>
        </w:rPr>
        <w:t xml:space="preserve">ame </w:t>
      </w:r>
      <w:r w:rsidRPr="000641B0" w:rsidR="00D709E5">
        <w:rPr>
          <w:bCs/>
          <w:szCs w:val="26"/>
        </w:rPr>
        <w:t>[</w:t>
      </w:r>
      <w:r w:rsidRPr="000641B0">
        <w:rPr>
          <w:bCs/>
          <w:szCs w:val="26"/>
        </w:rPr>
        <w:t>e</w:t>
      </w:r>
      <w:r w:rsidRPr="000641B0" w:rsidR="00D709E5">
        <w:rPr>
          <w:bCs/>
          <w:szCs w:val="26"/>
        </w:rPr>
        <w:t>]</w:t>
      </w:r>
      <w:r w:rsidRPr="000641B0">
        <w:rPr>
          <w:bCs/>
          <w:szCs w:val="26"/>
        </w:rPr>
        <w:t xml:space="preserve">vidence the [trial] </w:t>
      </w:r>
      <w:r w:rsidRPr="000641B0" w:rsidR="00D709E5">
        <w:rPr>
          <w:bCs/>
          <w:szCs w:val="26"/>
        </w:rPr>
        <w:t>[</w:t>
      </w:r>
      <w:r w:rsidRPr="000641B0">
        <w:rPr>
          <w:bCs/>
          <w:szCs w:val="26"/>
        </w:rPr>
        <w:t>p</w:t>
      </w:r>
      <w:r w:rsidRPr="000641B0" w:rsidR="00D709E5">
        <w:rPr>
          <w:bCs/>
          <w:szCs w:val="26"/>
        </w:rPr>
        <w:t>]</w:t>
      </w:r>
      <w:r w:rsidRPr="000641B0">
        <w:rPr>
          <w:bCs/>
          <w:szCs w:val="26"/>
        </w:rPr>
        <w:t xml:space="preserve">rosecutor </w:t>
      </w:r>
      <w:r w:rsidRPr="000641B0" w:rsidR="00D709E5">
        <w:rPr>
          <w:bCs/>
          <w:szCs w:val="26"/>
        </w:rPr>
        <w:t>[</w:t>
      </w:r>
      <w:r w:rsidRPr="000641B0">
        <w:rPr>
          <w:bCs/>
          <w:szCs w:val="26"/>
        </w:rPr>
        <w:t>s</w:t>
      </w:r>
      <w:r w:rsidRPr="000641B0" w:rsidR="00D709E5">
        <w:rPr>
          <w:bCs/>
          <w:szCs w:val="26"/>
        </w:rPr>
        <w:t>]</w:t>
      </w:r>
      <w:r w:rsidRPr="000641B0">
        <w:rPr>
          <w:bCs/>
          <w:szCs w:val="26"/>
        </w:rPr>
        <w:t>uppressed.”</w:t>
      </w:r>
      <w:r>
        <w:rPr>
          <w:rStyle w:val="FootnoteReference"/>
          <w:bCs/>
          <w:szCs w:val="26"/>
        </w:rPr>
        <w:footnoteReference w:id="7"/>
      </w:r>
      <w:r w:rsidR="00CF4CBA">
        <w:rPr>
          <w:bCs/>
          <w:szCs w:val="26"/>
        </w:rPr>
        <w:t xml:space="preserve">  </w:t>
      </w:r>
    </w:p>
    <w:p w:rsidR="00D541AC" w:rsidRPr="000641B0" w:rsidP="000641B0" w14:paraId="5DBD283A" w14:textId="7803DA25">
      <w:pPr>
        <w:ind w:firstLine="720"/>
        <w:rPr>
          <w:bCs/>
          <w:szCs w:val="26"/>
        </w:rPr>
      </w:pPr>
      <w:r w:rsidRPr="000641B0">
        <w:rPr>
          <w:bCs/>
          <w:szCs w:val="26"/>
        </w:rPr>
        <w:t xml:space="preserve">“The Fourteenth Amendment to the federal Constitution prohibits states from denying any person due process of law. </w:t>
      </w:r>
      <w:r w:rsidRPr="000641B0" w:rsidR="00B828F6">
        <w:rPr>
          <w:bCs/>
          <w:szCs w:val="26"/>
        </w:rPr>
        <w:t xml:space="preserve"> </w:t>
      </w:r>
      <w:r w:rsidRPr="000641B0">
        <w:rPr>
          <w:bCs/>
          <w:szCs w:val="26"/>
        </w:rPr>
        <w:t xml:space="preserve">This guarantee of due process affords criminal defendants the right to a fair trial, </w:t>
      </w:r>
      <w:r w:rsidRPr="000641B0" w:rsidR="007B0502">
        <w:rPr>
          <w:bCs/>
          <w:szCs w:val="26"/>
        </w:rPr>
        <w:t>‘</w:t>
      </w:r>
      <w:r w:rsidRPr="000641B0">
        <w:rPr>
          <w:bCs/>
          <w:szCs w:val="26"/>
        </w:rPr>
        <w:t xml:space="preserve">impos[ing] on States certain duties consistent with their sovereign obligation to ensure </w:t>
      </w:r>
      <w:r w:rsidRPr="000641B0" w:rsidR="00CA2863">
        <w:rPr>
          <w:bCs/>
          <w:szCs w:val="26"/>
        </w:rPr>
        <w:t>“</w:t>
      </w:r>
      <w:r w:rsidRPr="000641B0">
        <w:rPr>
          <w:bCs/>
          <w:szCs w:val="26"/>
        </w:rPr>
        <w:t xml:space="preserve">that </w:t>
      </w:r>
      <w:r w:rsidRPr="000641B0" w:rsidR="00CA2863">
        <w:rPr>
          <w:bCs/>
          <w:szCs w:val="26"/>
        </w:rPr>
        <w:t>‘</w:t>
      </w:r>
      <w:r w:rsidRPr="000641B0">
        <w:rPr>
          <w:bCs/>
          <w:szCs w:val="26"/>
        </w:rPr>
        <w:t>justice shall be done.</w:t>
      </w:r>
      <w:r w:rsidRPr="000641B0" w:rsidR="00CA2863">
        <w:rPr>
          <w:bCs/>
          <w:szCs w:val="26"/>
        </w:rPr>
        <w:t>’</w:t>
      </w:r>
      <w:r w:rsidRPr="000641B0" w:rsidR="005F7082">
        <w:rPr>
          <w:bCs/>
          <w:szCs w:val="26"/>
        </w:rPr>
        <w:t> </w:t>
      </w:r>
      <w:r w:rsidRPr="000641B0">
        <w:rPr>
          <w:bCs/>
          <w:szCs w:val="26"/>
        </w:rPr>
        <w:t>”</w:t>
      </w:r>
      <w:r w:rsidRPr="000641B0" w:rsidR="005F7082">
        <w:rPr>
          <w:bCs/>
          <w:szCs w:val="26"/>
        </w:rPr>
        <w:t> </w:t>
      </w:r>
      <w:r w:rsidRPr="000641B0">
        <w:rPr>
          <w:bCs/>
          <w:szCs w:val="26"/>
        </w:rPr>
        <w:t>’</w:t>
      </w:r>
      <w:r w:rsidR="00374561">
        <w:rPr>
          <w:bCs/>
          <w:szCs w:val="26"/>
        </w:rPr>
        <w:t> ”</w:t>
      </w:r>
      <w:r w:rsidRPr="000641B0">
        <w:rPr>
          <w:bCs/>
          <w:szCs w:val="26"/>
        </w:rPr>
        <w:t xml:space="preserve"> </w:t>
      </w:r>
      <w:r w:rsidRPr="000641B0" w:rsidR="00702979">
        <w:rPr>
          <w:bCs/>
          <w:szCs w:val="26"/>
        </w:rPr>
        <w:t xml:space="preserve"> </w:t>
      </w:r>
      <w:r w:rsidRPr="000641B0">
        <w:rPr>
          <w:bCs/>
          <w:szCs w:val="26"/>
        </w:rPr>
        <w:t>(</w:t>
      </w:r>
      <w:bookmarkStart w:id="10" w:name="_Hlk115184515"/>
      <w:r w:rsidRPr="000641B0">
        <w:rPr>
          <w:bCs/>
          <w:i/>
          <w:iCs/>
          <w:szCs w:val="26"/>
        </w:rPr>
        <w:t>Ass</w:t>
      </w:r>
      <w:r w:rsidR="008773E0">
        <w:rPr>
          <w:bCs/>
          <w:i/>
          <w:iCs/>
          <w:szCs w:val="26"/>
        </w:rPr>
        <w:t>ociatio</w:t>
      </w:r>
      <w:r w:rsidRPr="000641B0">
        <w:rPr>
          <w:bCs/>
          <w:i/>
          <w:iCs/>
          <w:szCs w:val="26"/>
        </w:rPr>
        <w:t>n for Los Angeles Deputy Sheriffs v. Superior C</w:t>
      </w:r>
      <w:r w:rsidR="008773E0">
        <w:rPr>
          <w:bCs/>
          <w:i/>
          <w:iCs/>
          <w:szCs w:val="26"/>
        </w:rPr>
        <w:t>our</w:t>
      </w:r>
      <w:r w:rsidRPr="000641B0">
        <w:rPr>
          <w:bCs/>
          <w:i/>
          <w:iCs/>
          <w:szCs w:val="26"/>
        </w:rPr>
        <w:t>t</w:t>
      </w:r>
      <w:r w:rsidRPr="000641B0" w:rsidR="002162E4">
        <w:rPr>
          <w:bCs/>
          <w:szCs w:val="26"/>
        </w:rPr>
        <w:t xml:space="preserve"> </w:t>
      </w:r>
      <w:r w:rsidRPr="000641B0">
        <w:rPr>
          <w:bCs/>
          <w:szCs w:val="26"/>
        </w:rPr>
        <w:t>(2019) 8 Cal.5th 28, 39</w:t>
      </w:r>
      <w:r w:rsidRPr="000641B0" w:rsidR="006E6870">
        <w:rPr>
          <w:bCs/>
          <w:szCs w:val="26"/>
        </w:rPr>
        <w:t xml:space="preserve"> (</w:t>
      </w:r>
      <w:r w:rsidRPr="000641B0" w:rsidR="00444E6D">
        <w:rPr>
          <w:bCs/>
          <w:i/>
          <w:iCs/>
          <w:szCs w:val="26"/>
        </w:rPr>
        <w:t>Deputy Sheriffs</w:t>
      </w:r>
      <w:r w:rsidRPr="000641B0" w:rsidR="00444E6D">
        <w:rPr>
          <w:bCs/>
          <w:szCs w:val="26"/>
        </w:rPr>
        <w:t>)</w:t>
      </w:r>
      <w:r w:rsidR="00374561">
        <w:rPr>
          <w:bCs/>
          <w:szCs w:val="26"/>
        </w:rPr>
        <w:t xml:space="preserve">, quoting </w:t>
      </w:r>
      <w:r w:rsidRPr="00CF4CBA" w:rsidR="00374561">
        <w:rPr>
          <w:bCs/>
          <w:i/>
          <w:iCs/>
          <w:szCs w:val="26"/>
        </w:rPr>
        <w:t>Cone v. Bell</w:t>
      </w:r>
      <w:r w:rsidR="00374561">
        <w:rPr>
          <w:bCs/>
          <w:szCs w:val="26"/>
        </w:rPr>
        <w:t xml:space="preserve"> (2009) 556 U.S. 449, 451 (</w:t>
      </w:r>
      <w:r w:rsidRPr="00CF4CBA" w:rsidR="00374561">
        <w:rPr>
          <w:bCs/>
          <w:i/>
          <w:iCs/>
          <w:szCs w:val="26"/>
        </w:rPr>
        <w:t>Cone</w:t>
      </w:r>
      <w:r w:rsidR="00374561">
        <w:rPr>
          <w:bCs/>
          <w:szCs w:val="26"/>
        </w:rPr>
        <w:t>)</w:t>
      </w:r>
      <w:r w:rsidRPr="000641B0">
        <w:rPr>
          <w:bCs/>
          <w:szCs w:val="26"/>
        </w:rPr>
        <w:t>.</w:t>
      </w:r>
      <w:r w:rsidRPr="000641B0" w:rsidR="00611725">
        <w:rPr>
          <w:bCs/>
          <w:szCs w:val="26"/>
        </w:rPr>
        <w:t>)</w:t>
      </w:r>
      <w:bookmarkEnd w:id="10"/>
    </w:p>
    <w:p w:rsidR="00D541AC" w:rsidRPr="000641B0" w:rsidP="000641B0" w14:paraId="66182BEB" w14:textId="616A3E70">
      <w:pPr>
        <w:ind w:firstLine="720"/>
        <w:rPr>
          <w:bCs/>
          <w:szCs w:val="26"/>
        </w:rPr>
      </w:pPr>
      <w:r w:rsidRPr="000641B0">
        <w:rPr>
          <w:bCs/>
          <w:szCs w:val="26"/>
        </w:rPr>
        <w:t>“Prosecutors, as agents of the sovereign, must honor these obligations.”</w:t>
      </w:r>
      <w:r w:rsidRPr="000641B0" w:rsidR="00B828F6">
        <w:rPr>
          <w:bCs/>
          <w:szCs w:val="26"/>
        </w:rPr>
        <w:t xml:space="preserve"> </w:t>
      </w:r>
      <w:r w:rsidRPr="000641B0" w:rsidR="00611725">
        <w:rPr>
          <w:bCs/>
          <w:szCs w:val="26"/>
        </w:rPr>
        <w:t xml:space="preserve"> </w:t>
      </w:r>
      <w:r w:rsidRPr="000641B0" w:rsidR="00B828F6">
        <w:rPr>
          <w:bCs/>
          <w:szCs w:val="26"/>
        </w:rPr>
        <w:t>(</w:t>
      </w:r>
      <w:r w:rsidRPr="000641B0" w:rsidR="00B828F6">
        <w:rPr>
          <w:bCs/>
          <w:i/>
          <w:iCs/>
          <w:szCs w:val="26"/>
        </w:rPr>
        <w:t>Deputy Sheriffs</w:t>
      </w:r>
      <w:r w:rsidRPr="000641B0" w:rsidR="00B828F6">
        <w:rPr>
          <w:bCs/>
          <w:szCs w:val="26"/>
        </w:rPr>
        <w:t>,</w:t>
      </w:r>
      <w:r w:rsidRPr="000641B0" w:rsidR="00B828F6">
        <w:rPr>
          <w:bCs/>
          <w:i/>
          <w:iCs/>
          <w:szCs w:val="26"/>
        </w:rPr>
        <w:t xml:space="preserve"> supra</w:t>
      </w:r>
      <w:r w:rsidRPr="000641B0" w:rsidR="00B828F6">
        <w:rPr>
          <w:bCs/>
          <w:szCs w:val="26"/>
        </w:rPr>
        <w:t>,</w:t>
      </w:r>
      <w:r w:rsidRPr="000641B0" w:rsidR="00B828F6">
        <w:rPr>
          <w:bCs/>
          <w:i/>
          <w:iCs/>
          <w:szCs w:val="26"/>
        </w:rPr>
        <w:t xml:space="preserve"> </w:t>
      </w:r>
      <w:r w:rsidRPr="000641B0" w:rsidR="00B828F6">
        <w:rPr>
          <w:bCs/>
          <w:szCs w:val="26"/>
        </w:rPr>
        <w:t>8 Cal.5th at p.</w:t>
      </w:r>
      <w:r w:rsidRPr="000641B0" w:rsidR="00611725">
        <w:rPr>
          <w:bCs/>
          <w:szCs w:val="26"/>
        </w:rPr>
        <w:t> </w:t>
      </w:r>
      <w:r w:rsidRPr="000641B0" w:rsidR="00B828F6">
        <w:rPr>
          <w:bCs/>
          <w:szCs w:val="26"/>
        </w:rPr>
        <w:t>39.)</w:t>
      </w:r>
      <w:r w:rsidRPr="000641B0" w:rsidR="00E51F9D">
        <w:rPr>
          <w:bCs/>
          <w:szCs w:val="26"/>
        </w:rPr>
        <w:t xml:space="preserve"> </w:t>
      </w:r>
      <w:r w:rsidRPr="000641B0" w:rsidR="000C5050">
        <w:rPr>
          <w:bCs/>
          <w:szCs w:val="26"/>
        </w:rPr>
        <w:t xml:space="preserve"> </w:t>
      </w:r>
      <w:r w:rsidRPr="000641B0" w:rsidR="002C35BC">
        <w:rPr>
          <w:bCs/>
          <w:szCs w:val="26"/>
        </w:rPr>
        <w:t>“</w:t>
      </w:r>
      <w:r w:rsidR="00A77A20">
        <w:rPr>
          <w:bCs/>
          <w:szCs w:val="26"/>
        </w:rPr>
        <w:t> ‘</w:t>
      </w:r>
      <w:r w:rsidRPr="000641B0" w:rsidR="00891F9C">
        <w:rPr>
          <w:bCs/>
          <w:szCs w:val="26"/>
        </w:rPr>
        <w:t>A</w:t>
      </w:r>
      <w:r w:rsidRPr="000641B0" w:rsidR="002C35BC">
        <w:rPr>
          <w:bCs/>
          <w:szCs w:val="26"/>
        </w:rPr>
        <w:t xml:space="preserve"> prosecutor is held to a standard higher than that imposed on other attorneys because of</w:t>
      </w:r>
      <w:r w:rsidRPr="000641B0" w:rsidR="00E83275">
        <w:rPr>
          <w:bCs/>
          <w:szCs w:val="26"/>
        </w:rPr>
        <w:t xml:space="preserve"> </w:t>
      </w:r>
      <w:r w:rsidRPr="000641B0" w:rsidR="002C35BC">
        <w:rPr>
          <w:bCs/>
          <w:szCs w:val="26"/>
        </w:rPr>
        <w:t>the unique function he or she performs in representing the interests, and in exercising the sovereign power, of the state.</w:t>
      </w:r>
      <w:r w:rsidR="00A77A20">
        <w:rPr>
          <w:bCs/>
          <w:szCs w:val="26"/>
        </w:rPr>
        <w:t>’ </w:t>
      </w:r>
      <w:r w:rsidRPr="000641B0" w:rsidR="002C35BC">
        <w:rPr>
          <w:bCs/>
          <w:szCs w:val="26"/>
        </w:rPr>
        <w:t xml:space="preserve">” </w:t>
      </w:r>
      <w:r w:rsidRPr="000641B0" w:rsidR="008C5A61">
        <w:rPr>
          <w:bCs/>
          <w:szCs w:val="26"/>
        </w:rPr>
        <w:t xml:space="preserve"> </w:t>
      </w:r>
      <w:r w:rsidRPr="000641B0" w:rsidR="002C35BC">
        <w:rPr>
          <w:bCs/>
          <w:szCs w:val="26"/>
        </w:rPr>
        <w:t>(</w:t>
      </w:r>
      <w:bookmarkStart w:id="11" w:name="_Hlk115184533"/>
      <w:r w:rsidRPr="000641B0" w:rsidR="002C35BC">
        <w:rPr>
          <w:bCs/>
          <w:i/>
          <w:iCs/>
          <w:szCs w:val="26"/>
        </w:rPr>
        <w:t xml:space="preserve">People v. Hill </w:t>
      </w:r>
      <w:r w:rsidRPr="000641B0" w:rsidR="002C35BC">
        <w:rPr>
          <w:bCs/>
          <w:szCs w:val="26"/>
        </w:rPr>
        <w:t xml:space="preserve">(1998) 17 Cal.4th 800, </w:t>
      </w:r>
      <w:bookmarkEnd w:id="11"/>
      <w:r w:rsidRPr="000641B0" w:rsidR="007B0502">
        <w:rPr>
          <w:bCs/>
          <w:szCs w:val="26"/>
        </w:rPr>
        <w:t>820</w:t>
      </w:r>
      <w:r w:rsidRPr="000641B0" w:rsidR="008E6C36">
        <w:rPr>
          <w:bCs/>
          <w:szCs w:val="26"/>
        </w:rPr>
        <w:t xml:space="preserve">; </w:t>
      </w:r>
      <w:r w:rsidRPr="000641B0" w:rsidR="00E83275">
        <w:rPr>
          <w:bCs/>
          <w:szCs w:val="26"/>
        </w:rPr>
        <w:t>accord</w:t>
      </w:r>
      <w:bookmarkStart w:id="12" w:name="_Hlk125714405"/>
      <w:r w:rsidRPr="000641B0" w:rsidR="0014677F">
        <w:rPr>
          <w:bCs/>
          <w:szCs w:val="26"/>
        </w:rPr>
        <w:t>,</w:t>
      </w:r>
      <w:r w:rsidRPr="000641B0" w:rsidR="00E83275">
        <w:rPr>
          <w:bCs/>
          <w:szCs w:val="26"/>
        </w:rPr>
        <w:t xml:space="preserve"> </w:t>
      </w:r>
      <w:bookmarkStart w:id="13" w:name="_Hlk115184542"/>
      <w:r w:rsidRPr="000641B0" w:rsidR="004B56B4">
        <w:rPr>
          <w:bCs/>
          <w:i/>
          <w:iCs/>
          <w:szCs w:val="26"/>
        </w:rPr>
        <w:t>Banks v. Dretke</w:t>
      </w:r>
      <w:r w:rsidRPr="000641B0" w:rsidR="00EF78A7">
        <w:rPr>
          <w:bCs/>
          <w:i/>
          <w:iCs/>
          <w:szCs w:val="26"/>
        </w:rPr>
        <w:t xml:space="preserve"> </w:t>
      </w:r>
      <w:r w:rsidRPr="000641B0" w:rsidR="00997C07">
        <w:rPr>
          <w:bCs/>
          <w:szCs w:val="26"/>
        </w:rPr>
        <w:t>(</w:t>
      </w:r>
      <w:r w:rsidRPr="000641B0" w:rsidR="004B56B4">
        <w:rPr>
          <w:bCs/>
          <w:szCs w:val="26"/>
        </w:rPr>
        <w:t>2004) 540 U.S. 668, 69</w:t>
      </w:r>
      <w:r w:rsidRPr="000641B0" w:rsidR="007C094B">
        <w:rPr>
          <w:bCs/>
          <w:szCs w:val="26"/>
        </w:rPr>
        <w:t>6</w:t>
      </w:r>
      <w:r w:rsidRPr="000641B0" w:rsidR="008B3198">
        <w:rPr>
          <w:bCs/>
          <w:szCs w:val="26"/>
        </w:rPr>
        <w:t xml:space="preserve"> (</w:t>
      </w:r>
      <w:r w:rsidRPr="000641B0" w:rsidR="008B3198">
        <w:rPr>
          <w:bCs/>
          <w:i/>
          <w:iCs/>
          <w:szCs w:val="26"/>
        </w:rPr>
        <w:t>Banks</w:t>
      </w:r>
      <w:bookmarkEnd w:id="13"/>
      <w:r w:rsidRPr="000641B0" w:rsidR="008B3198">
        <w:rPr>
          <w:bCs/>
          <w:szCs w:val="26"/>
        </w:rPr>
        <w:t>)</w:t>
      </w:r>
      <w:r w:rsidRPr="000641B0" w:rsidR="007771EA">
        <w:rPr>
          <w:bCs/>
          <w:szCs w:val="26"/>
        </w:rPr>
        <w:t xml:space="preserve"> </w:t>
      </w:r>
      <w:bookmarkEnd w:id="12"/>
      <w:r w:rsidRPr="000641B0" w:rsidR="00EF78A7">
        <w:rPr>
          <w:bCs/>
          <w:szCs w:val="26"/>
        </w:rPr>
        <w:t>[“</w:t>
      </w:r>
      <w:r w:rsidRPr="000641B0" w:rsidR="007771EA">
        <w:rPr>
          <w:bCs/>
          <w:szCs w:val="26"/>
        </w:rPr>
        <w:t xml:space="preserve">We have several times underscored the </w:t>
      </w:r>
      <w:r w:rsidRPr="000641B0" w:rsidR="00EF78A7">
        <w:rPr>
          <w:bCs/>
          <w:szCs w:val="26"/>
        </w:rPr>
        <w:t>‘</w:t>
      </w:r>
      <w:r w:rsidRPr="000641B0" w:rsidR="007771EA">
        <w:rPr>
          <w:bCs/>
          <w:szCs w:val="26"/>
        </w:rPr>
        <w:t>special role played by the American prosecutor in the search for truth in criminal trials</w:t>
      </w:r>
      <w:r w:rsidRPr="000641B0" w:rsidR="00EF78A7">
        <w:rPr>
          <w:bCs/>
          <w:szCs w:val="26"/>
        </w:rPr>
        <w:t>’</w:t>
      </w:r>
      <w:r w:rsidRPr="000641B0" w:rsidR="004A0C48">
        <w:rPr>
          <w:bCs/>
          <w:szCs w:val="26"/>
        </w:rPr>
        <w:t> </w:t>
      </w:r>
      <w:r w:rsidRPr="000641B0" w:rsidR="006716AF">
        <w:rPr>
          <w:bCs/>
          <w:szCs w:val="26"/>
        </w:rPr>
        <w:t>”</w:t>
      </w:r>
      <w:r w:rsidRPr="000641B0" w:rsidR="00EF78A7">
        <w:rPr>
          <w:bCs/>
          <w:szCs w:val="26"/>
        </w:rPr>
        <w:t>].)</w:t>
      </w:r>
      <w:r w:rsidRPr="000641B0" w:rsidR="006716AF">
        <w:rPr>
          <w:bCs/>
          <w:szCs w:val="26"/>
        </w:rPr>
        <w:t xml:space="preserve">  </w:t>
      </w:r>
    </w:p>
    <w:p w:rsidR="00D541AC" w:rsidRPr="000641B0" w:rsidP="000641B0" w14:paraId="18D6C41D" w14:textId="5CA60EDD">
      <w:pPr>
        <w:ind w:firstLine="720"/>
        <w:rPr>
          <w:bCs/>
          <w:szCs w:val="26"/>
        </w:rPr>
      </w:pPr>
      <w:r w:rsidRPr="000641B0">
        <w:rPr>
          <w:bCs/>
          <w:szCs w:val="26"/>
        </w:rPr>
        <w:t>One special</w:t>
      </w:r>
      <w:r w:rsidRPr="000641B0" w:rsidR="00F51DDF">
        <w:rPr>
          <w:bCs/>
          <w:szCs w:val="26"/>
        </w:rPr>
        <w:t xml:space="preserve"> </w:t>
      </w:r>
      <w:r w:rsidRPr="000641B0" w:rsidR="00F67202">
        <w:rPr>
          <w:bCs/>
          <w:szCs w:val="26"/>
        </w:rPr>
        <w:t>obligation that a p</w:t>
      </w:r>
      <w:r w:rsidRPr="000641B0" w:rsidR="00170B24">
        <w:rPr>
          <w:bCs/>
          <w:szCs w:val="26"/>
        </w:rPr>
        <w:t>rosecutor bears under our syste</w:t>
      </w:r>
      <w:r w:rsidRPr="000641B0" w:rsidR="00E34F8C">
        <w:rPr>
          <w:bCs/>
          <w:szCs w:val="26"/>
        </w:rPr>
        <w:t xml:space="preserve">m pertains to the disclosure of evidence favorable to a defendant. </w:t>
      </w:r>
      <w:r w:rsidRPr="000641B0" w:rsidR="00556367">
        <w:rPr>
          <w:bCs/>
          <w:szCs w:val="26"/>
        </w:rPr>
        <w:t xml:space="preserve"> </w:t>
      </w:r>
      <w:r w:rsidRPr="000641B0" w:rsidR="00015A2E">
        <w:rPr>
          <w:bCs/>
          <w:szCs w:val="26"/>
        </w:rPr>
        <w:t>That duty “</w:t>
      </w:r>
      <w:r w:rsidRPr="000641B0" w:rsidR="00556367">
        <w:rPr>
          <w:bCs/>
          <w:szCs w:val="26"/>
        </w:rPr>
        <w:t>trace</w:t>
      </w:r>
      <w:r w:rsidRPr="000641B0" w:rsidR="002B44AC">
        <w:rPr>
          <w:bCs/>
          <w:szCs w:val="26"/>
        </w:rPr>
        <w:t>[s]</w:t>
      </w:r>
      <w:r w:rsidRPr="000641B0" w:rsidR="00556367">
        <w:rPr>
          <w:bCs/>
          <w:szCs w:val="26"/>
        </w:rPr>
        <w:t xml:space="preserve"> its origins to early 20th-century strictures against misrepresentation and is of course most prominently associated with [the United States Supreme</w:t>
      </w:r>
      <w:r w:rsidRPr="000641B0" w:rsidR="00DE040D">
        <w:rPr>
          <w:bCs/>
          <w:szCs w:val="26"/>
        </w:rPr>
        <w:t>]</w:t>
      </w:r>
      <w:r w:rsidRPr="000641B0" w:rsidR="00556367">
        <w:rPr>
          <w:bCs/>
          <w:szCs w:val="26"/>
        </w:rPr>
        <w:t xml:space="preserve"> Court</w:t>
      </w:r>
      <w:r w:rsidRPr="000641B0" w:rsidR="004A7D76">
        <w:rPr>
          <w:bCs/>
          <w:szCs w:val="26"/>
        </w:rPr>
        <w:t>’</w:t>
      </w:r>
      <w:r w:rsidRPr="000641B0" w:rsidR="00556367">
        <w:rPr>
          <w:bCs/>
          <w:szCs w:val="26"/>
        </w:rPr>
        <w:t>s decision in </w:t>
      </w:r>
      <w:r w:rsidRPr="000641B0" w:rsidR="00556367">
        <w:rPr>
          <w:bCs/>
          <w:i/>
          <w:iCs/>
          <w:szCs w:val="26"/>
        </w:rPr>
        <w:t>Brady</w:t>
      </w:r>
      <w:r w:rsidR="00A77A20">
        <w:rPr>
          <w:bCs/>
          <w:i/>
          <w:iCs/>
          <w:szCs w:val="26"/>
        </w:rPr>
        <w:t> . . . .</w:t>
      </w:r>
      <w:r w:rsidRPr="000641B0" w:rsidR="006B2F88">
        <w:rPr>
          <w:bCs/>
          <w:szCs w:val="26"/>
        </w:rPr>
        <w:t>”</w:t>
      </w:r>
      <w:r w:rsidRPr="000641B0" w:rsidR="000205D0">
        <w:rPr>
          <w:bCs/>
          <w:szCs w:val="26"/>
        </w:rPr>
        <w:t xml:space="preserve">  </w:t>
      </w:r>
      <w:bookmarkStart w:id="14" w:name="_Hlk125714488"/>
      <w:r w:rsidRPr="000641B0" w:rsidR="000205D0">
        <w:rPr>
          <w:bCs/>
          <w:szCs w:val="26"/>
        </w:rPr>
        <w:t>(</w:t>
      </w:r>
      <w:bookmarkStart w:id="15" w:name="_Hlk115184554"/>
      <w:r w:rsidRPr="000641B0" w:rsidR="000205D0">
        <w:rPr>
          <w:bCs/>
          <w:i/>
          <w:iCs/>
          <w:szCs w:val="26"/>
        </w:rPr>
        <w:t>Kyles v. Whitley</w:t>
      </w:r>
      <w:r w:rsidRPr="000641B0" w:rsidR="004A6629">
        <w:rPr>
          <w:bCs/>
          <w:szCs w:val="26"/>
        </w:rPr>
        <w:t xml:space="preserve"> </w:t>
      </w:r>
      <w:r w:rsidRPr="000641B0" w:rsidR="000205D0">
        <w:rPr>
          <w:bCs/>
          <w:szCs w:val="26"/>
        </w:rPr>
        <w:t>(1995) 514 U.S. 419, 432</w:t>
      </w:r>
      <w:r w:rsidRPr="000641B0" w:rsidR="00451506">
        <w:rPr>
          <w:bCs/>
          <w:szCs w:val="26"/>
        </w:rPr>
        <w:t xml:space="preserve"> (</w:t>
      </w:r>
      <w:r w:rsidRPr="000641B0" w:rsidR="00451506">
        <w:rPr>
          <w:bCs/>
          <w:i/>
          <w:iCs/>
          <w:szCs w:val="26"/>
        </w:rPr>
        <w:t>Kyles</w:t>
      </w:r>
      <w:r w:rsidRPr="000641B0" w:rsidR="00451506">
        <w:rPr>
          <w:bCs/>
          <w:szCs w:val="26"/>
        </w:rPr>
        <w:t>)</w:t>
      </w:r>
      <w:r w:rsidRPr="000641B0" w:rsidR="000205D0">
        <w:rPr>
          <w:bCs/>
          <w:szCs w:val="26"/>
        </w:rPr>
        <w:t>.)</w:t>
      </w:r>
      <w:bookmarkEnd w:id="14"/>
      <w:bookmarkEnd w:id="15"/>
      <w:r w:rsidRPr="000641B0" w:rsidR="000205D0">
        <w:rPr>
          <w:bCs/>
          <w:szCs w:val="26"/>
        </w:rPr>
        <w:t xml:space="preserve">  </w:t>
      </w:r>
      <w:r w:rsidRPr="000641B0" w:rsidR="00F51DDF">
        <w:rPr>
          <w:bCs/>
          <w:szCs w:val="26"/>
        </w:rPr>
        <w:t>“Under</w:t>
      </w:r>
      <w:r w:rsidRPr="000641B0" w:rsidR="00BA37A7">
        <w:rPr>
          <w:bCs/>
          <w:szCs w:val="26"/>
        </w:rPr>
        <w:t xml:space="preserve"> </w:t>
      </w:r>
      <w:r w:rsidRPr="000641B0" w:rsidR="00F51DDF">
        <w:rPr>
          <w:bCs/>
          <w:i/>
          <w:iCs/>
          <w:szCs w:val="26"/>
        </w:rPr>
        <w:t>Brady</w:t>
      </w:r>
      <w:r w:rsidRPr="000641B0" w:rsidR="00F51DDF">
        <w:rPr>
          <w:bCs/>
          <w:szCs w:val="26"/>
        </w:rPr>
        <w:t>,</w:t>
      </w:r>
      <w:r w:rsidRPr="000641B0" w:rsidR="00F51DDF">
        <w:rPr>
          <w:bCs/>
          <w:i/>
          <w:iCs/>
          <w:szCs w:val="26"/>
        </w:rPr>
        <w:t xml:space="preserve"> supra</w:t>
      </w:r>
      <w:r w:rsidRPr="000641B0" w:rsidR="00F51DDF">
        <w:rPr>
          <w:bCs/>
          <w:szCs w:val="26"/>
        </w:rPr>
        <w:t xml:space="preserve">, 373 U.S. 83, and its progeny, the prosecution has a constitutional duty to disclose to the defense material exculpatory evidence, including potential impeaching evidence.” </w:t>
      </w:r>
      <w:r w:rsidRPr="000641B0" w:rsidR="002B44AC">
        <w:rPr>
          <w:bCs/>
          <w:szCs w:val="26"/>
        </w:rPr>
        <w:t xml:space="preserve"> (</w:t>
      </w:r>
      <w:bookmarkStart w:id="16" w:name="_Hlk115184566"/>
      <w:r w:rsidRPr="000641B0" w:rsidR="00F51DDF">
        <w:rPr>
          <w:bCs/>
          <w:i/>
          <w:iCs/>
          <w:szCs w:val="26"/>
        </w:rPr>
        <w:t>People v. Superior C</w:t>
      </w:r>
      <w:r w:rsidR="00ED224A">
        <w:rPr>
          <w:bCs/>
          <w:i/>
          <w:iCs/>
          <w:szCs w:val="26"/>
        </w:rPr>
        <w:t>our</w:t>
      </w:r>
      <w:r w:rsidRPr="000641B0" w:rsidR="00F51DDF">
        <w:rPr>
          <w:bCs/>
          <w:i/>
          <w:iCs/>
          <w:szCs w:val="26"/>
        </w:rPr>
        <w:t xml:space="preserve">t </w:t>
      </w:r>
      <w:r w:rsidRPr="00AD590E" w:rsidR="00F51DDF">
        <w:rPr>
          <w:bCs/>
          <w:szCs w:val="26"/>
        </w:rPr>
        <w:t>(</w:t>
      </w:r>
      <w:r w:rsidRPr="000641B0" w:rsidR="00F51DDF">
        <w:rPr>
          <w:bCs/>
          <w:i/>
          <w:iCs/>
          <w:szCs w:val="26"/>
        </w:rPr>
        <w:t>Johnson</w:t>
      </w:r>
      <w:r w:rsidRPr="00AD590E" w:rsidR="00F51DDF">
        <w:rPr>
          <w:bCs/>
          <w:szCs w:val="26"/>
        </w:rPr>
        <w:t>)</w:t>
      </w:r>
      <w:r w:rsidRPr="000641B0" w:rsidR="00F51DDF">
        <w:rPr>
          <w:bCs/>
          <w:szCs w:val="26"/>
        </w:rPr>
        <w:t xml:space="preserve"> (2015) 61 Cal.4th 696, 709</w:t>
      </w:r>
      <w:bookmarkEnd w:id="16"/>
      <w:r w:rsidR="00ED224A">
        <w:rPr>
          <w:bCs/>
          <w:szCs w:val="26"/>
        </w:rPr>
        <w:t xml:space="preserve"> (</w:t>
      </w:r>
      <w:r w:rsidR="00ED224A">
        <w:rPr>
          <w:bCs/>
          <w:i/>
          <w:iCs/>
          <w:szCs w:val="26"/>
        </w:rPr>
        <w:t>Johnson</w:t>
      </w:r>
      <w:r w:rsidR="00ED224A">
        <w:rPr>
          <w:bCs/>
          <w:szCs w:val="26"/>
        </w:rPr>
        <w:t>)</w:t>
      </w:r>
      <w:r w:rsidRPr="000641B0" w:rsidR="00F51DDF">
        <w:rPr>
          <w:bCs/>
          <w:szCs w:val="26"/>
        </w:rPr>
        <w:t xml:space="preserve">.) </w:t>
      </w:r>
      <w:r w:rsidRPr="000641B0" w:rsidR="00E76916">
        <w:rPr>
          <w:bCs/>
          <w:szCs w:val="26"/>
        </w:rPr>
        <w:t xml:space="preserve"> </w:t>
      </w:r>
      <w:r w:rsidRPr="000641B0" w:rsidR="00F6337C">
        <w:rPr>
          <w:bCs/>
          <w:szCs w:val="26"/>
        </w:rPr>
        <w:t>“</w:t>
      </w:r>
      <w:r w:rsidRPr="000641B0" w:rsidR="005F7082">
        <w:rPr>
          <w:bCs/>
          <w:szCs w:val="26"/>
        </w:rPr>
        <w:t> </w:t>
      </w:r>
      <w:r w:rsidRPr="000641B0" w:rsidR="00981251">
        <w:rPr>
          <w:bCs/>
          <w:szCs w:val="26"/>
        </w:rPr>
        <w:t>‘</w:t>
      </w:r>
      <w:r w:rsidRPr="000641B0" w:rsidR="00F6337C">
        <w:rPr>
          <w:bCs/>
          <w:szCs w:val="26"/>
        </w:rPr>
        <w:t xml:space="preserve">The obligation is not limited to evidence the prosecutor’s office itself actually knows of or possesses, but includes </w:t>
      </w:r>
      <w:r w:rsidRPr="000641B0" w:rsidR="00981251">
        <w:rPr>
          <w:bCs/>
          <w:szCs w:val="26"/>
        </w:rPr>
        <w:t>“</w:t>
      </w:r>
      <w:r w:rsidRPr="000641B0" w:rsidR="00F6337C">
        <w:rPr>
          <w:bCs/>
          <w:szCs w:val="26"/>
        </w:rPr>
        <w:t>evidence known to the others acting on the government’s behalf in the case, including the police.</w:t>
      </w:r>
      <w:r w:rsidRPr="000641B0" w:rsidR="00981251">
        <w:rPr>
          <w:bCs/>
          <w:szCs w:val="26"/>
        </w:rPr>
        <w:t>”</w:t>
      </w:r>
      <w:r w:rsidR="00C20E30">
        <w:rPr>
          <w:bCs/>
          <w:szCs w:val="26"/>
        </w:rPr>
        <w:t> </w:t>
      </w:r>
      <w:r w:rsidRPr="000641B0" w:rsidR="00F6337C">
        <w:rPr>
          <w:bCs/>
          <w:szCs w:val="26"/>
        </w:rPr>
        <w:t>’</w:t>
      </w:r>
      <w:r w:rsidRPr="000641B0" w:rsidR="00E76040">
        <w:rPr>
          <w:bCs/>
          <w:szCs w:val="26"/>
        </w:rPr>
        <w:t> </w:t>
      </w:r>
      <w:r w:rsidRPr="000641B0" w:rsidR="00F6337C">
        <w:rPr>
          <w:bCs/>
          <w:szCs w:val="26"/>
        </w:rPr>
        <w:t xml:space="preserve">”  </w:t>
      </w:r>
      <w:bookmarkStart w:id="17" w:name="_Hlk125714970"/>
      <w:r w:rsidRPr="000641B0" w:rsidR="00F6337C">
        <w:rPr>
          <w:bCs/>
          <w:szCs w:val="26"/>
        </w:rPr>
        <w:t>(</w:t>
      </w:r>
      <w:bookmarkStart w:id="18" w:name="_Hlk115184573"/>
      <w:r w:rsidRPr="000641B0" w:rsidR="00F6337C">
        <w:rPr>
          <w:bCs/>
          <w:i/>
          <w:iCs/>
          <w:szCs w:val="26"/>
        </w:rPr>
        <w:t>People v. Cordova</w:t>
      </w:r>
      <w:r w:rsidRPr="000641B0" w:rsidR="00F6337C">
        <w:rPr>
          <w:bCs/>
          <w:szCs w:val="26"/>
        </w:rPr>
        <w:t xml:space="preserve"> (2015) 62</w:t>
      </w:r>
      <w:r w:rsidR="00374561">
        <w:rPr>
          <w:bCs/>
          <w:szCs w:val="26"/>
        </w:rPr>
        <w:t> </w:t>
      </w:r>
      <w:r w:rsidRPr="000641B0" w:rsidR="00F6337C">
        <w:rPr>
          <w:bCs/>
          <w:szCs w:val="26"/>
        </w:rPr>
        <w:t>Cal.4th 104, 123</w:t>
      </w:r>
      <w:r w:rsidRPr="000641B0" w:rsidR="00B45EC8">
        <w:rPr>
          <w:bCs/>
          <w:szCs w:val="26"/>
        </w:rPr>
        <w:t xml:space="preserve"> (</w:t>
      </w:r>
      <w:r w:rsidRPr="000641B0" w:rsidR="00B45EC8">
        <w:rPr>
          <w:bCs/>
          <w:i/>
          <w:iCs/>
          <w:szCs w:val="26"/>
        </w:rPr>
        <w:t>Cordova</w:t>
      </w:r>
      <w:r w:rsidRPr="000641B0" w:rsidR="00B45EC8">
        <w:rPr>
          <w:bCs/>
          <w:szCs w:val="26"/>
        </w:rPr>
        <w:t>)</w:t>
      </w:r>
      <w:r w:rsidRPr="000641B0" w:rsidR="00F6337C">
        <w:rPr>
          <w:bCs/>
          <w:szCs w:val="26"/>
        </w:rPr>
        <w:t>.)</w:t>
      </w:r>
      <w:bookmarkEnd w:id="17"/>
    </w:p>
    <w:bookmarkEnd w:id="18"/>
    <w:p w:rsidR="00D541AC" w:rsidRPr="000641B0" w:rsidP="000641B0" w14:paraId="4E36BFCE" w14:textId="6DE1E420">
      <w:pPr>
        <w:ind w:firstLine="720"/>
        <w:rPr>
          <w:bCs/>
        </w:rPr>
      </w:pPr>
      <w:r w:rsidRPr="000641B0">
        <w:rPr>
          <w:bCs/>
          <w:szCs w:val="26"/>
        </w:rPr>
        <w:t xml:space="preserve">We have not previously </w:t>
      </w:r>
      <w:r w:rsidRPr="000641B0" w:rsidR="001E0241">
        <w:rPr>
          <w:bCs/>
          <w:szCs w:val="26"/>
        </w:rPr>
        <w:t xml:space="preserve">had occasion to </w:t>
      </w:r>
      <w:r w:rsidRPr="000641B0" w:rsidR="00781CAE">
        <w:rPr>
          <w:bCs/>
          <w:szCs w:val="26"/>
        </w:rPr>
        <w:t>consider</w:t>
      </w:r>
      <w:r w:rsidRPr="000641B0" w:rsidR="001E0241">
        <w:rPr>
          <w:bCs/>
          <w:szCs w:val="26"/>
        </w:rPr>
        <w:t xml:space="preserve"> </w:t>
      </w:r>
      <w:r w:rsidRPr="000641B0" w:rsidR="00C50A0D">
        <w:rPr>
          <w:bCs/>
          <w:szCs w:val="26"/>
        </w:rPr>
        <w:t xml:space="preserve">the Attorney General’s </w:t>
      </w:r>
      <w:r w:rsidRPr="000641B0" w:rsidR="0056126B">
        <w:rPr>
          <w:bCs/>
          <w:szCs w:val="26"/>
        </w:rPr>
        <w:t xml:space="preserve">duty, if any, </w:t>
      </w:r>
      <w:r w:rsidRPr="000641B0" w:rsidR="0056126B">
        <w:rPr>
          <w:bCs/>
        </w:rPr>
        <w:t xml:space="preserve">under </w:t>
      </w:r>
      <w:r w:rsidRPr="000641B0" w:rsidR="0056126B">
        <w:rPr>
          <w:bCs/>
          <w:i/>
          <w:iCs/>
        </w:rPr>
        <w:t>Brady</w:t>
      </w:r>
      <w:r w:rsidRPr="000641B0" w:rsidR="0056126B">
        <w:rPr>
          <w:bCs/>
        </w:rPr>
        <w:t xml:space="preserve"> and its progeny to disclose evidence forming the basis of a habeas </w:t>
      </w:r>
      <w:r w:rsidR="00BC4967">
        <w:rPr>
          <w:bCs/>
        </w:rPr>
        <w:t xml:space="preserve">corpus </w:t>
      </w:r>
      <w:r w:rsidRPr="000641B0" w:rsidR="0056126B">
        <w:rPr>
          <w:bCs/>
        </w:rPr>
        <w:t xml:space="preserve">petitioner’s </w:t>
      </w:r>
      <w:r w:rsidRPr="000641B0" w:rsidR="0056126B">
        <w:rPr>
          <w:bCs/>
          <w:i/>
          <w:iCs/>
        </w:rPr>
        <w:t>Brady</w:t>
      </w:r>
      <w:r w:rsidRPr="000641B0" w:rsidR="0056126B">
        <w:rPr>
          <w:bCs/>
        </w:rPr>
        <w:t xml:space="preserve"> clam.  </w:t>
      </w:r>
      <w:r w:rsidRPr="000641B0" w:rsidR="00745D25">
        <w:rPr>
          <w:bCs/>
        </w:rPr>
        <w:t xml:space="preserve">However, </w:t>
      </w:r>
      <w:r w:rsidRPr="000641B0" w:rsidR="00EF594C">
        <w:rPr>
          <w:bCs/>
        </w:rPr>
        <w:t xml:space="preserve">numerous </w:t>
      </w:r>
      <w:r w:rsidRPr="000641B0" w:rsidR="00267012">
        <w:rPr>
          <w:bCs/>
        </w:rPr>
        <w:t>courts</w:t>
      </w:r>
      <w:r w:rsidR="009F1395">
        <w:rPr>
          <w:bCs/>
        </w:rPr>
        <w:t xml:space="preserve"> in other jurisdictions</w:t>
      </w:r>
      <w:r w:rsidRPr="000641B0" w:rsidR="00267012">
        <w:rPr>
          <w:bCs/>
        </w:rPr>
        <w:t xml:space="preserve"> “have held that when state investigators or prosecuting officers know of favorable evidence before or during a defendant’s trial, the State’s duty to disclose the evidence continues to posttrial proceedings that are determinative of guilt or innocence.”  </w:t>
      </w:r>
      <w:bookmarkStart w:id="19" w:name="_Hlk125715038"/>
      <w:r w:rsidRPr="000641B0" w:rsidR="00A5135C">
        <w:rPr>
          <w:bCs/>
        </w:rPr>
        <w:t>(</w:t>
      </w:r>
      <w:bookmarkStart w:id="20" w:name="_Hlk115186277"/>
      <w:r w:rsidRPr="000641B0" w:rsidR="00A5135C">
        <w:rPr>
          <w:bCs/>
          <w:i/>
          <w:iCs/>
        </w:rPr>
        <w:t>State v. Harris</w:t>
      </w:r>
      <w:r w:rsidRPr="000641B0" w:rsidR="00A5135C">
        <w:rPr>
          <w:bCs/>
        </w:rPr>
        <w:t xml:space="preserve"> </w:t>
      </w:r>
      <w:r w:rsidRPr="00207C85" w:rsidR="00207C85">
        <w:rPr>
          <w:bCs/>
        </w:rPr>
        <w:t xml:space="preserve">(Neb. 2017) 893 N.W.2d 440, 454 </w:t>
      </w:r>
      <w:r w:rsidRPr="000641B0" w:rsidR="00B0538C">
        <w:rPr>
          <w:bCs/>
        </w:rPr>
        <w:t>(</w:t>
      </w:r>
      <w:r w:rsidRPr="000641B0" w:rsidR="00B0538C">
        <w:rPr>
          <w:bCs/>
          <w:i/>
          <w:iCs/>
        </w:rPr>
        <w:t>Harris</w:t>
      </w:r>
      <w:r w:rsidRPr="000641B0" w:rsidR="00B0538C">
        <w:rPr>
          <w:bCs/>
        </w:rPr>
        <w:t>)</w:t>
      </w:r>
      <w:r w:rsidRPr="000641B0" w:rsidR="00267012">
        <w:rPr>
          <w:bCs/>
        </w:rPr>
        <w:t>;</w:t>
      </w:r>
      <w:r w:rsidRPr="000641B0" w:rsidR="00A5135C">
        <w:rPr>
          <w:bCs/>
        </w:rPr>
        <w:t xml:space="preserve"> </w:t>
      </w:r>
      <w:bookmarkEnd w:id="20"/>
      <w:r w:rsidRPr="000641B0" w:rsidR="000536BC">
        <w:rPr>
          <w:bCs/>
        </w:rPr>
        <w:t>see, e.g</w:t>
      </w:r>
      <w:r w:rsidRPr="000641B0" w:rsidR="00E006F9">
        <w:rPr>
          <w:bCs/>
        </w:rPr>
        <w:t>.</w:t>
      </w:r>
      <w:r w:rsidRPr="000641B0" w:rsidR="000536BC">
        <w:rPr>
          <w:bCs/>
        </w:rPr>
        <w:t xml:space="preserve">, </w:t>
      </w:r>
      <w:bookmarkStart w:id="21" w:name="_Hlk115186286"/>
      <w:r w:rsidRPr="000641B0" w:rsidR="00A5135C">
        <w:rPr>
          <w:bCs/>
          <w:i/>
          <w:iCs/>
        </w:rPr>
        <w:t>Whitlock v. Brueggemann</w:t>
      </w:r>
      <w:r w:rsidRPr="000641B0" w:rsidR="00A5135C">
        <w:rPr>
          <w:bCs/>
        </w:rPr>
        <w:t xml:space="preserve"> (7th Cir. 2012) 682 F.3d 567, 588 (</w:t>
      </w:r>
      <w:r w:rsidRPr="000641B0" w:rsidR="00A5135C">
        <w:rPr>
          <w:bCs/>
          <w:i/>
          <w:iCs/>
        </w:rPr>
        <w:t>Whitlock</w:t>
      </w:r>
      <w:bookmarkEnd w:id="21"/>
      <w:r w:rsidRPr="000641B0" w:rsidR="00A5135C">
        <w:rPr>
          <w:bCs/>
        </w:rPr>
        <w:t>)</w:t>
      </w:r>
      <w:bookmarkEnd w:id="19"/>
      <w:r w:rsidRPr="000641B0" w:rsidR="00A5135C">
        <w:rPr>
          <w:bCs/>
        </w:rPr>
        <w:t xml:space="preserve"> [“</w:t>
      </w:r>
      <w:r w:rsidRPr="000641B0" w:rsidR="004B6DFD">
        <w:rPr>
          <w:bCs/>
        </w:rPr>
        <w:t xml:space="preserve">As we explained at length before, </w:t>
      </w:r>
      <w:r w:rsidRPr="000641B0" w:rsidR="00A5135C">
        <w:rPr>
          <w:bCs/>
          <w:i/>
          <w:iCs/>
        </w:rPr>
        <w:t>Brady</w:t>
      </w:r>
      <w:r w:rsidRPr="000641B0" w:rsidR="00A5135C">
        <w:rPr>
          <w:bCs/>
        </w:rPr>
        <w:t xml:space="preserve"> and its progeny impose an obligation on state actors to disclose exculpatory evidence that is discovered before or during trial.</w:t>
      </w:r>
      <w:r w:rsidRPr="000641B0" w:rsidR="00AA63C0">
        <w:rPr>
          <w:bCs/>
        </w:rPr>
        <w:t xml:space="preserve"> </w:t>
      </w:r>
      <w:r w:rsidRPr="000641B0" w:rsidR="00A5135C">
        <w:rPr>
          <w:bCs/>
        </w:rPr>
        <w:t xml:space="preserve"> </w:t>
      </w:r>
      <w:r w:rsidR="009F1395">
        <w:rPr>
          <w:bCs/>
        </w:rPr>
        <w:t xml:space="preserve">See </w:t>
      </w:r>
      <w:r w:rsidR="00042DFE">
        <w:rPr>
          <w:bCs/>
        </w:rPr>
        <w:t>[</w:t>
      </w:r>
      <w:r w:rsidRPr="00CF4CBA" w:rsidR="009F1395">
        <w:rPr>
          <w:bCs/>
          <w:i/>
          <w:iCs/>
        </w:rPr>
        <w:t>Steidl v. Fermon</w:t>
      </w:r>
      <w:r w:rsidR="009F1395">
        <w:rPr>
          <w:bCs/>
        </w:rPr>
        <w:t xml:space="preserve"> (7th Cir. 2007)</w:t>
      </w:r>
      <w:r w:rsidR="00042DFE">
        <w:rPr>
          <w:bCs/>
        </w:rPr>
        <w:t>]</w:t>
      </w:r>
      <w:r w:rsidRPr="000641B0" w:rsidR="00A47ECB">
        <w:rPr>
          <w:bCs/>
        </w:rPr>
        <w:t xml:space="preserve"> </w:t>
      </w:r>
      <w:r w:rsidR="009F1395">
        <w:rPr>
          <w:bCs/>
        </w:rPr>
        <w:t>494 F.3d [623,] 627–630.</w:t>
      </w:r>
      <w:r w:rsidRPr="000641B0" w:rsidR="005C6751">
        <w:rPr>
          <w:bCs/>
        </w:rPr>
        <w:t xml:space="preserve"> </w:t>
      </w:r>
      <w:r w:rsidR="009F1395">
        <w:rPr>
          <w:bCs/>
        </w:rPr>
        <w:t xml:space="preserve"> </w:t>
      </w:r>
      <w:r w:rsidRPr="000641B0" w:rsidR="002C0526">
        <w:rPr>
          <w:bCs/>
        </w:rPr>
        <w:t>T</w:t>
      </w:r>
      <w:r w:rsidRPr="000641B0" w:rsidR="001B3A89">
        <w:rPr>
          <w:bCs/>
        </w:rPr>
        <w:t xml:space="preserve">his </w:t>
      </w:r>
      <w:r w:rsidRPr="000641B0" w:rsidR="00A5135C">
        <w:rPr>
          <w:bCs/>
        </w:rPr>
        <w:t xml:space="preserve">obligation does not cease to exist at the moment of conviction”]; </w:t>
      </w:r>
      <w:bookmarkStart w:id="22" w:name="_Hlk115186320"/>
      <w:r w:rsidRPr="000641B0" w:rsidR="00A5135C">
        <w:rPr>
          <w:bCs/>
          <w:i/>
          <w:iCs/>
        </w:rPr>
        <w:t>High v. Head</w:t>
      </w:r>
      <w:r w:rsidRPr="000641B0" w:rsidR="00A5135C">
        <w:rPr>
          <w:bCs/>
        </w:rPr>
        <w:t xml:space="preserve"> (11th Cir. 2000) 209 F.3d 1257, </w:t>
      </w:r>
      <w:r w:rsidRPr="000641B0" w:rsidR="00C20E30">
        <w:rPr>
          <w:bCs/>
        </w:rPr>
        <w:t>126</w:t>
      </w:r>
      <w:r w:rsidR="00C20E30">
        <w:rPr>
          <w:bCs/>
        </w:rPr>
        <w:t>4</w:t>
      </w:r>
      <w:r w:rsidRPr="000641B0" w:rsidR="00821FF1">
        <w:rPr>
          <w:bCs/>
        </w:rPr>
        <w:t>, fn. 8</w:t>
      </w:r>
      <w:r w:rsidRPr="000641B0" w:rsidR="00A5135C">
        <w:rPr>
          <w:bCs/>
        </w:rPr>
        <w:t xml:space="preserve"> </w:t>
      </w:r>
      <w:bookmarkEnd w:id="22"/>
      <w:r w:rsidRPr="000641B0" w:rsidR="00A5135C">
        <w:rPr>
          <w:bCs/>
        </w:rPr>
        <w:t>[“The fact that the State had not provided High’s trial counsel with the audiotape does not dictate that the State would not have given the audiotape to his first habeas counsel if he had made a specific request for that item</w:t>
      </w:r>
      <w:r w:rsidR="009F1395">
        <w:rPr>
          <w:bCs/>
        </w:rPr>
        <w:t>.</w:t>
      </w:r>
      <w:r w:rsidRPr="000641B0" w:rsidR="00A5135C">
        <w:rPr>
          <w:bCs/>
        </w:rPr>
        <w:t xml:space="preserve"> </w:t>
      </w:r>
      <w:r w:rsidR="009F1395">
        <w:rPr>
          <w:bCs/>
        </w:rPr>
        <w:t xml:space="preserve"> T</w:t>
      </w:r>
      <w:r w:rsidRPr="000641B0" w:rsidR="00A5135C">
        <w:rPr>
          <w:bCs/>
        </w:rPr>
        <w:t xml:space="preserve">he State’s duty to disclose exculpatory material is ongoing”]; </w:t>
      </w:r>
      <w:bookmarkStart w:id="23" w:name="_Hlk115186342"/>
      <w:r w:rsidRPr="000641B0" w:rsidR="00A5135C">
        <w:rPr>
          <w:bCs/>
          <w:i/>
          <w:iCs/>
        </w:rPr>
        <w:t>Thomas v. Goldsmith</w:t>
      </w:r>
      <w:r w:rsidRPr="000641B0" w:rsidR="00A5135C">
        <w:rPr>
          <w:bCs/>
        </w:rPr>
        <w:t xml:space="preserve"> (9th Cir.</w:t>
      </w:r>
      <w:r w:rsidRPr="000641B0" w:rsidR="00B267C7">
        <w:rPr>
          <w:bCs/>
        </w:rPr>
        <w:t xml:space="preserve"> </w:t>
      </w:r>
      <w:r w:rsidRPr="000641B0" w:rsidR="00A5135C">
        <w:rPr>
          <w:bCs/>
        </w:rPr>
        <w:t>1992) 979 F.2d 746</w:t>
      </w:r>
      <w:r w:rsidRPr="000641B0" w:rsidR="00D74623">
        <w:rPr>
          <w:bCs/>
        </w:rPr>
        <w:t>, 749</w:t>
      </w:r>
      <w:r w:rsidRPr="000641B0" w:rsidR="00B267C7">
        <w:rPr>
          <w:bCs/>
        </w:rPr>
        <w:t>–</w:t>
      </w:r>
      <w:r w:rsidRPr="000641B0" w:rsidR="00D74623">
        <w:rPr>
          <w:bCs/>
        </w:rPr>
        <w:t>750</w:t>
      </w:r>
      <w:r w:rsidRPr="000641B0" w:rsidR="00B267C7">
        <w:rPr>
          <w:bCs/>
        </w:rPr>
        <w:t xml:space="preserve"> </w:t>
      </w:r>
      <w:bookmarkEnd w:id="23"/>
      <w:r w:rsidRPr="000641B0" w:rsidR="00A5135C">
        <w:rPr>
          <w:bCs/>
        </w:rPr>
        <w:t xml:space="preserve">[“We do not refer to the state’s past duty to turn over exculpatory evidence at trial, but to its present duty to turn over exculpatory evidence relevant to the instant habeas corpus proceeding”]; </w:t>
      </w:r>
      <w:bookmarkStart w:id="24" w:name="_Hlk115186354"/>
      <w:r w:rsidRPr="000641B0" w:rsidR="00A5135C">
        <w:rPr>
          <w:bCs/>
          <w:i/>
          <w:iCs/>
        </w:rPr>
        <w:t>Blumberg v. Garcia</w:t>
      </w:r>
      <w:r w:rsidRPr="000641B0" w:rsidR="00A5135C">
        <w:rPr>
          <w:bCs/>
        </w:rPr>
        <w:t xml:space="preserve"> (C.D.Cal. </w:t>
      </w:r>
      <w:r w:rsidRPr="000641B0" w:rsidR="00951287">
        <w:rPr>
          <w:bCs/>
        </w:rPr>
        <w:t>2009</w:t>
      </w:r>
      <w:r w:rsidRPr="000641B0" w:rsidR="00A5135C">
        <w:rPr>
          <w:bCs/>
        </w:rPr>
        <w:t xml:space="preserve">) 687 F.Supp.2d 1074, 1135 </w:t>
      </w:r>
      <w:bookmarkEnd w:id="24"/>
      <w:r w:rsidRPr="000641B0" w:rsidR="00A5135C">
        <w:rPr>
          <w:bCs/>
        </w:rPr>
        <w:t>[“The prosecution</w:t>
      </w:r>
      <w:r w:rsidRPr="000641B0" w:rsidR="00DB0180">
        <w:rPr>
          <w:bCs/>
        </w:rPr>
        <w:t>’</w:t>
      </w:r>
      <w:r w:rsidRPr="000641B0" w:rsidR="00A5135C">
        <w:rPr>
          <w:bCs/>
        </w:rPr>
        <w:t xml:space="preserve">s duty under </w:t>
      </w:r>
      <w:r w:rsidRPr="000641B0" w:rsidR="00A5135C">
        <w:rPr>
          <w:bCs/>
          <w:i/>
          <w:iCs/>
        </w:rPr>
        <w:t>Brady</w:t>
      </w:r>
      <w:r w:rsidRPr="000641B0" w:rsidR="00A5135C">
        <w:rPr>
          <w:bCs/>
        </w:rPr>
        <w:t xml:space="preserve"> is a continuing one that extends through habeas proceedings”]; </w:t>
      </w:r>
      <w:bookmarkStart w:id="25" w:name="_Hlk115186335"/>
      <w:r w:rsidRPr="00530A3D" w:rsidR="00530A3D">
        <w:rPr>
          <w:bCs/>
          <w:i/>
          <w:iCs/>
        </w:rPr>
        <w:t>Canion v. Cole</w:t>
      </w:r>
      <w:r w:rsidRPr="00530A3D" w:rsidR="00530A3D">
        <w:rPr>
          <w:bCs/>
        </w:rPr>
        <w:t xml:space="preserve"> (Ariz. 2005) 115 P.3d 1261, 1262 </w:t>
      </w:r>
      <w:bookmarkEnd w:id="25"/>
      <w:r w:rsidRPr="00530A3D" w:rsidR="00530A3D">
        <w:rPr>
          <w:bCs/>
        </w:rPr>
        <w:t xml:space="preserve">[the state has a continuing </w:t>
      </w:r>
      <w:r w:rsidRPr="00530A3D" w:rsidR="00530A3D">
        <w:rPr>
          <w:bCs/>
          <w:i/>
          <w:iCs/>
        </w:rPr>
        <w:t>Brady</w:t>
      </w:r>
      <w:r w:rsidRPr="00530A3D" w:rsidR="00530A3D">
        <w:rPr>
          <w:bCs/>
        </w:rPr>
        <w:t xml:space="preserve"> duty to disclose evidence that “comes to its attention” after sentencing];</w:t>
      </w:r>
      <w:r w:rsidRPr="000641B0" w:rsidR="00530A3D">
        <w:rPr>
          <w:bCs/>
        </w:rPr>
        <w:t xml:space="preserve"> </w:t>
      </w:r>
      <w:r w:rsidRPr="00E3194F" w:rsidR="00A5135C">
        <w:rPr>
          <w:bCs/>
        </w:rPr>
        <w:t xml:space="preserve">see also </w:t>
      </w:r>
      <w:bookmarkStart w:id="26" w:name="_Hlk115186366"/>
      <w:r w:rsidRPr="00E3194F" w:rsidR="00A5135C">
        <w:rPr>
          <w:bCs/>
          <w:i/>
          <w:iCs/>
        </w:rPr>
        <w:t>Runningeagle v. Ryan</w:t>
      </w:r>
      <w:r w:rsidRPr="00E3194F" w:rsidR="00A5135C">
        <w:rPr>
          <w:bCs/>
        </w:rPr>
        <w:t xml:space="preserve"> (9th Cir. 2012) 686 F.3d 758, </w:t>
      </w:r>
      <w:r w:rsidRPr="00E3194F" w:rsidR="00C20E30">
        <w:rPr>
          <w:bCs/>
        </w:rPr>
        <w:t>772</w:t>
      </w:r>
      <w:r w:rsidRPr="00E3194F" w:rsidR="00A5135C">
        <w:rPr>
          <w:bCs/>
        </w:rPr>
        <w:t>, fn.</w:t>
      </w:r>
      <w:bookmarkEnd w:id="26"/>
      <w:r w:rsidRPr="00E3194F" w:rsidR="00B267C7">
        <w:rPr>
          <w:bCs/>
        </w:rPr>
        <w:t> </w:t>
      </w:r>
      <w:r w:rsidRPr="00E3194F" w:rsidR="00A5135C">
        <w:rPr>
          <w:bCs/>
        </w:rPr>
        <w:t>6</w:t>
      </w:r>
      <w:r w:rsidRPr="000641B0" w:rsidR="00A5135C">
        <w:rPr>
          <w:bCs/>
        </w:rPr>
        <w:t xml:space="preserve"> [citing </w:t>
      </w:r>
      <w:r w:rsidRPr="000641B0" w:rsidR="00A5135C">
        <w:rPr>
          <w:bCs/>
          <w:i/>
          <w:iCs/>
        </w:rPr>
        <w:t>Canion</w:t>
      </w:r>
      <w:r w:rsidRPr="000641B0" w:rsidR="00A5135C">
        <w:rPr>
          <w:bCs/>
        </w:rPr>
        <w:t>].)</w:t>
      </w:r>
    </w:p>
    <w:p w:rsidR="00F9329F" w:rsidRPr="000641B0" w:rsidP="000641B0" w14:paraId="22D04450" w14:textId="239E52B3">
      <w:pPr>
        <w:ind w:firstLine="720"/>
        <w:rPr>
          <w:bCs/>
        </w:rPr>
      </w:pPr>
      <w:r w:rsidRPr="000641B0">
        <w:rPr>
          <w:bCs/>
        </w:rPr>
        <w:t>Th</w:t>
      </w:r>
      <w:r w:rsidRPr="000641B0" w:rsidR="00795991">
        <w:rPr>
          <w:bCs/>
        </w:rPr>
        <w:t>e Seventh Circuit</w:t>
      </w:r>
      <w:r w:rsidRPr="000641B0" w:rsidR="00DD7F67">
        <w:rPr>
          <w:bCs/>
        </w:rPr>
        <w:t xml:space="preserve">’s decision in </w:t>
      </w:r>
      <w:bookmarkStart w:id="27" w:name="_Hlk115186384"/>
      <w:r w:rsidRPr="000641B0" w:rsidR="002218D7">
        <w:rPr>
          <w:rFonts w:cstheme="minorHAnsi"/>
          <w:i/>
          <w:iCs/>
          <w:szCs w:val="26"/>
        </w:rPr>
        <w:t>Steidl</w:t>
      </w:r>
      <w:r w:rsidR="009F1395">
        <w:rPr>
          <w:rFonts w:cstheme="minorHAnsi"/>
          <w:i/>
          <w:iCs/>
          <w:szCs w:val="26"/>
        </w:rPr>
        <w:t xml:space="preserve"> v. Fermon</w:t>
      </w:r>
      <w:r w:rsidRPr="000641B0">
        <w:rPr>
          <w:rFonts w:cstheme="minorHAnsi"/>
          <w:szCs w:val="26"/>
        </w:rPr>
        <w:t>,</w:t>
      </w:r>
      <w:r w:rsidRPr="000641B0">
        <w:rPr>
          <w:rFonts w:cstheme="minorHAnsi"/>
          <w:i/>
          <w:iCs/>
          <w:szCs w:val="26"/>
        </w:rPr>
        <w:t xml:space="preserve"> supra</w:t>
      </w:r>
      <w:r w:rsidRPr="000641B0">
        <w:rPr>
          <w:rFonts w:cstheme="minorHAnsi"/>
          <w:szCs w:val="26"/>
        </w:rPr>
        <w:t>,</w:t>
      </w:r>
      <w:r w:rsidRPr="000641B0" w:rsidR="002218D7">
        <w:rPr>
          <w:rFonts w:cstheme="minorHAnsi"/>
          <w:szCs w:val="26"/>
        </w:rPr>
        <w:t xml:space="preserve"> 494 F.3d 623</w:t>
      </w:r>
      <w:r w:rsidRPr="000641B0">
        <w:rPr>
          <w:rFonts w:cstheme="minorHAnsi"/>
          <w:szCs w:val="26"/>
        </w:rPr>
        <w:t xml:space="preserve"> </w:t>
      </w:r>
      <w:bookmarkEnd w:id="27"/>
      <w:r w:rsidR="009F1395">
        <w:rPr>
          <w:rFonts w:cstheme="minorHAnsi"/>
          <w:szCs w:val="26"/>
        </w:rPr>
        <w:t>(</w:t>
      </w:r>
      <w:r w:rsidR="009F1395">
        <w:rPr>
          <w:rFonts w:cstheme="minorHAnsi"/>
          <w:i/>
          <w:iCs/>
          <w:szCs w:val="26"/>
        </w:rPr>
        <w:t>Steidl</w:t>
      </w:r>
      <w:r w:rsidR="009F1395">
        <w:rPr>
          <w:rFonts w:cstheme="minorHAnsi"/>
          <w:szCs w:val="26"/>
        </w:rPr>
        <w:t>)</w:t>
      </w:r>
      <w:r w:rsidR="009F1395">
        <w:rPr>
          <w:rFonts w:cstheme="minorHAnsi"/>
          <w:i/>
          <w:iCs/>
          <w:szCs w:val="26"/>
        </w:rPr>
        <w:t xml:space="preserve"> </w:t>
      </w:r>
      <w:r w:rsidRPr="000641B0">
        <w:rPr>
          <w:rFonts w:cstheme="minorHAnsi"/>
          <w:szCs w:val="26"/>
        </w:rPr>
        <w:t xml:space="preserve">is particularly instructive.  </w:t>
      </w:r>
      <w:r w:rsidRPr="000641B0" w:rsidR="000A7FDB">
        <w:rPr>
          <w:rFonts w:cstheme="minorHAnsi"/>
          <w:szCs w:val="26"/>
        </w:rPr>
        <w:t xml:space="preserve">In </w:t>
      </w:r>
      <w:r w:rsidRPr="000641B0" w:rsidR="00CB6929">
        <w:rPr>
          <w:rFonts w:cstheme="minorHAnsi"/>
          <w:i/>
          <w:iCs/>
          <w:szCs w:val="26"/>
        </w:rPr>
        <w:t>Steidl</w:t>
      </w:r>
      <w:r w:rsidRPr="000641B0" w:rsidR="000A7FDB">
        <w:rPr>
          <w:rFonts w:cstheme="minorHAnsi"/>
          <w:szCs w:val="26"/>
        </w:rPr>
        <w:t xml:space="preserve">, </w:t>
      </w:r>
      <w:r w:rsidRPr="000641B0" w:rsidR="003E5E21">
        <w:rPr>
          <w:rFonts w:cstheme="minorHAnsi"/>
          <w:szCs w:val="26"/>
        </w:rPr>
        <w:t xml:space="preserve">a former </w:t>
      </w:r>
      <w:r w:rsidRPr="000641B0" w:rsidR="0030660C">
        <w:rPr>
          <w:rFonts w:cstheme="minorHAnsi"/>
          <w:szCs w:val="26"/>
        </w:rPr>
        <w:t xml:space="preserve">prisoner brought a suit under </w:t>
      </w:r>
      <w:r w:rsidRPr="000641B0" w:rsidR="009F1395">
        <w:rPr>
          <w:rFonts w:cstheme="minorHAnsi"/>
          <w:szCs w:val="26"/>
        </w:rPr>
        <w:t>section 1983</w:t>
      </w:r>
      <w:r w:rsidR="009F1395">
        <w:rPr>
          <w:rFonts w:cstheme="minorHAnsi"/>
          <w:szCs w:val="26"/>
        </w:rPr>
        <w:t xml:space="preserve"> of </w:t>
      </w:r>
      <w:r w:rsidR="00C20E30">
        <w:rPr>
          <w:rFonts w:cstheme="minorHAnsi"/>
          <w:szCs w:val="26"/>
        </w:rPr>
        <w:t>t</w:t>
      </w:r>
      <w:r w:rsidRPr="000641B0" w:rsidR="00C20E30">
        <w:rPr>
          <w:rFonts w:cstheme="minorHAnsi"/>
          <w:szCs w:val="26"/>
        </w:rPr>
        <w:t xml:space="preserve">itle </w:t>
      </w:r>
      <w:r w:rsidRPr="000641B0" w:rsidR="0030660C">
        <w:rPr>
          <w:rFonts w:cstheme="minorHAnsi"/>
          <w:szCs w:val="26"/>
        </w:rPr>
        <w:t xml:space="preserve">42 </w:t>
      </w:r>
      <w:r w:rsidR="00C20E30">
        <w:rPr>
          <w:rFonts w:cstheme="minorHAnsi"/>
          <w:szCs w:val="26"/>
        </w:rPr>
        <w:t xml:space="preserve">of </w:t>
      </w:r>
      <w:r w:rsidR="009F1395">
        <w:rPr>
          <w:rFonts w:cstheme="minorHAnsi"/>
          <w:szCs w:val="26"/>
        </w:rPr>
        <w:t xml:space="preserve">the </w:t>
      </w:r>
      <w:r w:rsidRPr="000641B0" w:rsidR="0030660C">
        <w:rPr>
          <w:rFonts w:cstheme="minorHAnsi"/>
          <w:szCs w:val="26"/>
        </w:rPr>
        <w:t>U</w:t>
      </w:r>
      <w:r w:rsidRPr="000641B0" w:rsidR="004F4387">
        <w:rPr>
          <w:rFonts w:cstheme="minorHAnsi"/>
          <w:szCs w:val="26"/>
        </w:rPr>
        <w:t>nited States Code</w:t>
      </w:r>
      <w:r w:rsidRPr="000641B0" w:rsidR="0030660C">
        <w:rPr>
          <w:rFonts w:cstheme="minorHAnsi"/>
          <w:szCs w:val="26"/>
        </w:rPr>
        <w:t xml:space="preserve"> </w:t>
      </w:r>
      <w:r w:rsidRPr="000641B0" w:rsidR="000C33AB">
        <w:rPr>
          <w:rFonts w:cstheme="minorHAnsi"/>
          <w:szCs w:val="26"/>
        </w:rPr>
        <w:t xml:space="preserve">against several </w:t>
      </w:r>
      <w:r w:rsidRPr="000641B0" w:rsidR="002D4927">
        <w:rPr>
          <w:rFonts w:cstheme="minorHAnsi"/>
          <w:szCs w:val="26"/>
        </w:rPr>
        <w:t xml:space="preserve">Illinois </w:t>
      </w:r>
      <w:r w:rsidRPr="000641B0" w:rsidR="007519DC">
        <w:rPr>
          <w:rFonts w:cstheme="minorHAnsi"/>
          <w:szCs w:val="26"/>
        </w:rPr>
        <w:t>s</w:t>
      </w:r>
      <w:r w:rsidRPr="000641B0" w:rsidR="002D4927">
        <w:rPr>
          <w:rFonts w:cstheme="minorHAnsi"/>
          <w:szCs w:val="26"/>
        </w:rPr>
        <w:t xml:space="preserve">tate </w:t>
      </w:r>
      <w:r w:rsidRPr="000641B0" w:rsidR="007519DC">
        <w:rPr>
          <w:rFonts w:cstheme="minorHAnsi"/>
          <w:szCs w:val="26"/>
        </w:rPr>
        <w:t>p</w:t>
      </w:r>
      <w:r w:rsidRPr="000641B0" w:rsidR="002D4927">
        <w:rPr>
          <w:rFonts w:cstheme="minorHAnsi"/>
          <w:szCs w:val="26"/>
        </w:rPr>
        <w:t>olice officials</w:t>
      </w:r>
      <w:r w:rsidRPr="000641B0" w:rsidR="000C33AB">
        <w:rPr>
          <w:rFonts w:cstheme="minorHAnsi"/>
          <w:szCs w:val="26"/>
        </w:rPr>
        <w:t xml:space="preserve"> for violating his </w:t>
      </w:r>
      <w:r w:rsidRPr="000641B0" w:rsidR="000E1890">
        <w:rPr>
          <w:rFonts w:cstheme="minorHAnsi"/>
          <w:szCs w:val="26"/>
        </w:rPr>
        <w:t>constitutional rights</w:t>
      </w:r>
      <w:r w:rsidRPr="000641B0" w:rsidR="000C33AB">
        <w:rPr>
          <w:rFonts w:cstheme="minorHAnsi"/>
          <w:szCs w:val="26"/>
        </w:rPr>
        <w:t xml:space="preserve"> </w:t>
      </w:r>
      <w:r w:rsidRPr="000641B0" w:rsidR="001D2AA1">
        <w:rPr>
          <w:rFonts w:cstheme="minorHAnsi"/>
          <w:szCs w:val="26"/>
        </w:rPr>
        <w:t xml:space="preserve">under </w:t>
      </w:r>
      <w:r w:rsidRPr="000641B0" w:rsidR="000C33AB">
        <w:rPr>
          <w:rFonts w:cstheme="minorHAnsi"/>
          <w:i/>
          <w:iCs/>
          <w:szCs w:val="26"/>
        </w:rPr>
        <w:t>Brady</w:t>
      </w:r>
      <w:r w:rsidRPr="000641B0" w:rsidR="00E31C0B">
        <w:rPr>
          <w:rFonts w:cstheme="minorHAnsi"/>
          <w:szCs w:val="26"/>
        </w:rPr>
        <w:t>.</w:t>
      </w:r>
      <w:r>
        <w:rPr>
          <w:rStyle w:val="FootnoteReference"/>
          <w:rFonts w:cstheme="minorHAnsi"/>
          <w:szCs w:val="26"/>
        </w:rPr>
        <w:footnoteReference w:id="8"/>
      </w:r>
      <w:r w:rsidRPr="000641B0" w:rsidR="00BD6924">
        <w:rPr>
          <w:rFonts w:cstheme="minorHAnsi"/>
          <w:szCs w:val="26"/>
        </w:rPr>
        <w:t xml:space="preserve"> </w:t>
      </w:r>
      <w:r w:rsidRPr="000641B0" w:rsidR="00E31C0B">
        <w:rPr>
          <w:rFonts w:cstheme="minorHAnsi"/>
          <w:szCs w:val="26"/>
        </w:rPr>
        <w:t xml:space="preserve"> </w:t>
      </w:r>
      <w:r w:rsidR="00C20E30">
        <w:rPr>
          <w:rFonts w:cstheme="minorHAnsi"/>
          <w:szCs w:val="26"/>
        </w:rPr>
        <w:t>(</w:t>
      </w:r>
      <w:r w:rsidRPr="00AD590E" w:rsidR="00C20E30">
        <w:rPr>
          <w:rFonts w:cstheme="minorHAnsi"/>
          <w:i/>
          <w:iCs/>
          <w:szCs w:val="26"/>
        </w:rPr>
        <w:t>Steidl</w:t>
      </w:r>
      <w:r w:rsidR="00C20E30">
        <w:rPr>
          <w:rFonts w:cstheme="minorHAnsi"/>
          <w:szCs w:val="26"/>
        </w:rPr>
        <w:t xml:space="preserve">, at p. 625.)  </w:t>
      </w:r>
      <w:r w:rsidRPr="000641B0" w:rsidR="00C20654">
        <w:rPr>
          <w:rFonts w:cstheme="minorHAnsi"/>
          <w:szCs w:val="26"/>
        </w:rPr>
        <w:t>The defendants</w:t>
      </w:r>
      <w:r w:rsidRPr="000641B0" w:rsidR="00FD275D">
        <w:rPr>
          <w:rFonts w:cstheme="minorHAnsi"/>
          <w:szCs w:val="26"/>
        </w:rPr>
        <w:t xml:space="preserve"> </w:t>
      </w:r>
      <w:r w:rsidRPr="000641B0" w:rsidR="00BD6924">
        <w:rPr>
          <w:rFonts w:cstheme="minorHAnsi"/>
          <w:szCs w:val="26"/>
        </w:rPr>
        <w:t>were not involved in Steidl’s case</w:t>
      </w:r>
      <w:r w:rsidRPr="000641B0" w:rsidR="00E1552C">
        <w:rPr>
          <w:rFonts w:cstheme="minorHAnsi"/>
          <w:szCs w:val="26"/>
        </w:rPr>
        <w:t xml:space="preserve"> prior to his conviction</w:t>
      </w:r>
      <w:r w:rsidRPr="000641B0" w:rsidR="00BD6924">
        <w:rPr>
          <w:rFonts w:cstheme="minorHAnsi"/>
          <w:szCs w:val="26"/>
        </w:rPr>
        <w:t>.</w:t>
      </w:r>
      <w:r w:rsidRPr="000641B0" w:rsidR="00C96D31">
        <w:rPr>
          <w:rFonts w:cstheme="minorHAnsi"/>
          <w:szCs w:val="26"/>
        </w:rPr>
        <w:t xml:space="preserve"> </w:t>
      </w:r>
      <w:r w:rsidRPr="000641B0" w:rsidR="00E1552C">
        <w:rPr>
          <w:rFonts w:cstheme="minorHAnsi"/>
          <w:szCs w:val="26"/>
        </w:rPr>
        <w:t xml:space="preserve"> (</w:t>
      </w:r>
      <w:r w:rsidR="00C20E30">
        <w:rPr>
          <w:rFonts w:cstheme="minorHAnsi"/>
          <w:i/>
          <w:iCs/>
          <w:szCs w:val="26"/>
        </w:rPr>
        <w:t>Ibid</w:t>
      </w:r>
      <w:r w:rsidRPr="000641B0" w:rsidR="00C96D31">
        <w:rPr>
          <w:rFonts w:cstheme="minorHAnsi"/>
          <w:szCs w:val="26"/>
        </w:rPr>
        <w:t>.</w:t>
      </w:r>
      <w:r w:rsidRPr="000641B0" w:rsidR="00E1552C">
        <w:rPr>
          <w:rFonts w:cstheme="minorHAnsi"/>
          <w:szCs w:val="26"/>
        </w:rPr>
        <w:t xml:space="preserve">) </w:t>
      </w:r>
      <w:r w:rsidRPr="000641B0" w:rsidR="00F6533E">
        <w:rPr>
          <w:rFonts w:cstheme="minorHAnsi"/>
          <w:szCs w:val="26"/>
        </w:rPr>
        <w:t xml:space="preserve"> </w:t>
      </w:r>
      <w:r w:rsidRPr="000641B0" w:rsidR="00E1552C">
        <w:rPr>
          <w:rFonts w:cstheme="minorHAnsi"/>
          <w:szCs w:val="26"/>
        </w:rPr>
        <w:t>However, w</w:t>
      </w:r>
      <w:r w:rsidRPr="000641B0" w:rsidR="00BD6924">
        <w:rPr>
          <w:rFonts w:cstheme="minorHAnsi"/>
          <w:szCs w:val="26"/>
        </w:rPr>
        <w:t xml:space="preserve">hile </w:t>
      </w:r>
      <w:r w:rsidRPr="000641B0" w:rsidR="002F3E80">
        <w:rPr>
          <w:rFonts w:cstheme="minorHAnsi"/>
          <w:szCs w:val="26"/>
        </w:rPr>
        <w:t>Steidl’s</w:t>
      </w:r>
      <w:r w:rsidRPr="000641B0" w:rsidR="00BD6924">
        <w:rPr>
          <w:rFonts w:cstheme="minorHAnsi"/>
          <w:szCs w:val="26"/>
        </w:rPr>
        <w:t xml:space="preserve"> postconviction proceeding was pending, </w:t>
      </w:r>
      <w:r w:rsidRPr="000641B0" w:rsidR="00E1552C">
        <w:rPr>
          <w:rFonts w:cstheme="minorHAnsi"/>
          <w:szCs w:val="26"/>
        </w:rPr>
        <w:t xml:space="preserve">the defendants </w:t>
      </w:r>
      <w:r w:rsidRPr="000641B0" w:rsidR="00BD6924">
        <w:rPr>
          <w:rFonts w:cstheme="minorHAnsi"/>
          <w:szCs w:val="26"/>
        </w:rPr>
        <w:t>learn</w:t>
      </w:r>
      <w:r w:rsidRPr="000641B0" w:rsidR="00E45A2F">
        <w:rPr>
          <w:rFonts w:cstheme="minorHAnsi"/>
          <w:szCs w:val="26"/>
        </w:rPr>
        <w:t>ed</w:t>
      </w:r>
      <w:r w:rsidRPr="000641B0" w:rsidR="00BD6924">
        <w:rPr>
          <w:rFonts w:cstheme="minorHAnsi"/>
          <w:szCs w:val="26"/>
        </w:rPr>
        <w:t xml:space="preserve"> </w:t>
      </w:r>
      <w:r w:rsidRPr="000641B0" w:rsidR="009C3165">
        <w:rPr>
          <w:rFonts w:cstheme="minorHAnsi"/>
          <w:szCs w:val="26"/>
        </w:rPr>
        <w:t>of</w:t>
      </w:r>
      <w:r w:rsidRPr="000641B0" w:rsidR="00BD6924">
        <w:rPr>
          <w:rFonts w:cstheme="minorHAnsi"/>
          <w:szCs w:val="26"/>
        </w:rPr>
        <w:t xml:space="preserve"> </w:t>
      </w:r>
      <w:r w:rsidRPr="000641B0" w:rsidR="00F6533E">
        <w:rPr>
          <w:rFonts w:cstheme="minorHAnsi"/>
          <w:szCs w:val="26"/>
        </w:rPr>
        <w:t>certain</w:t>
      </w:r>
      <w:r w:rsidRPr="000641B0" w:rsidR="00BD6924">
        <w:rPr>
          <w:rFonts w:cstheme="minorHAnsi"/>
          <w:szCs w:val="26"/>
        </w:rPr>
        <w:t xml:space="preserve"> exculpatory evidence</w:t>
      </w:r>
      <w:r w:rsidRPr="000641B0" w:rsidR="00F6533E">
        <w:rPr>
          <w:rFonts w:cstheme="minorHAnsi"/>
          <w:szCs w:val="26"/>
        </w:rPr>
        <w:t xml:space="preserve"> that </w:t>
      </w:r>
      <w:r w:rsidRPr="000641B0" w:rsidR="00600C00">
        <w:rPr>
          <w:rFonts w:cstheme="minorHAnsi"/>
          <w:szCs w:val="26"/>
        </w:rPr>
        <w:t xml:space="preserve">the government had possessed </w:t>
      </w:r>
      <w:r w:rsidRPr="000641B0" w:rsidR="00C53C25">
        <w:rPr>
          <w:rFonts w:cstheme="minorHAnsi"/>
          <w:szCs w:val="26"/>
        </w:rPr>
        <w:t>prior to the</w:t>
      </w:r>
      <w:r w:rsidRPr="000641B0" w:rsidR="00600C00">
        <w:rPr>
          <w:rFonts w:cstheme="minorHAnsi"/>
          <w:szCs w:val="26"/>
        </w:rPr>
        <w:t xml:space="preserve"> time of trial. </w:t>
      </w:r>
      <w:r w:rsidRPr="000641B0" w:rsidR="00B267C7">
        <w:rPr>
          <w:rFonts w:cstheme="minorHAnsi"/>
          <w:szCs w:val="26"/>
        </w:rPr>
        <w:t xml:space="preserve"> </w:t>
      </w:r>
      <w:r w:rsidRPr="000641B0" w:rsidR="00600C00">
        <w:rPr>
          <w:rFonts w:cstheme="minorHAnsi"/>
          <w:szCs w:val="26"/>
        </w:rPr>
        <w:t>(</w:t>
      </w:r>
      <w:r w:rsidRPr="000641B0" w:rsidR="00600C00">
        <w:rPr>
          <w:rFonts w:cstheme="minorHAnsi"/>
          <w:i/>
          <w:iCs/>
          <w:szCs w:val="26"/>
        </w:rPr>
        <w:t>Ibid</w:t>
      </w:r>
      <w:r w:rsidRPr="000641B0" w:rsidR="00600C00">
        <w:rPr>
          <w:rFonts w:cstheme="minorHAnsi"/>
          <w:szCs w:val="26"/>
        </w:rPr>
        <w:t>.)</w:t>
      </w:r>
      <w:r w:rsidRPr="000641B0" w:rsidR="009C3165">
        <w:rPr>
          <w:rFonts w:cstheme="minorHAnsi"/>
          <w:szCs w:val="26"/>
        </w:rPr>
        <w:t xml:space="preserve"> </w:t>
      </w:r>
      <w:r w:rsidRPr="000641B0" w:rsidR="00724367">
        <w:rPr>
          <w:rFonts w:cstheme="minorHAnsi"/>
          <w:szCs w:val="26"/>
        </w:rPr>
        <w:t xml:space="preserve"> </w:t>
      </w:r>
      <w:r w:rsidRPr="000641B0" w:rsidR="00C53C25">
        <w:rPr>
          <w:rFonts w:cstheme="minorHAnsi"/>
          <w:szCs w:val="26"/>
        </w:rPr>
        <w:t>Notwithstanding th</w:t>
      </w:r>
      <w:r w:rsidRPr="000641B0" w:rsidR="009B03CF">
        <w:rPr>
          <w:rFonts w:cstheme="minorHAnsi"/>
          <w:szCs w:val="26"/>
        </w:rPr>
        <w:t>is</w:t>
      </w:r>
      <w:r w:rsidRPr="000641B0" w:rsidR="00C53C25">
        <w:rPr>
          <w:rFonts w:cstheme="minorHAnsi"/>
          <w:szCs w:val="26"/>
        </w:rPr>
        <w:t xml:space="preserve"> knowledge, the defendants </w:t>
      </w:r>
      <w:r w:rsidRPr="000641B0" w:rsidR="00D27860">
        <w:rPr>
          <w:rFonts w:cstheme="minorHAnsi"/>
          <w:szCs w:val="26"/>
        </w:rPr>
        <w:t>failed to disclose the evidence.  (</w:t>
      </w:r>
      <w:r w:rsidRPr="000641B0" w:rsidR="00D27860">
        <w:rPr>
          <w:rFonts w:cstheme="minorHAnsi"/>
          <w:i/>
          <w:iCs/>
          <w:szCs w:val="26"/>
        </w:rPr>
        <w:t>Ibid</w:t>
      </w:r>
      <w:r w:rsidRPr="000641B0" w:rsidR="00D27860">
        <w:rPr>
          <w:rFonts w:cstheme="minorHAnsi"/>
          <w:szCs w:val="26"/>
        </w:rPr>
        <w:t xml:space="preserve">.)  </w:t>
      </w:r>
      <w:r w:rsidRPr="000641B0" w:rsidR="00C96D31">
        <w:rPr>
          <w:rFonts w:cstheme="minorHAnsi"/>
          <w:szCs w:val="26"/>
        </w:rPr>
        <w:t xml:space="preserve">After his release, </w:t>
      </w:r>
      <w:r w:rsidRPr="000641B0">
        <w:rPr>
          <w:rFonts w:cstheme="minorHAnsi"/>
          <w:szCs w:val="26"/>
        </w:rPr>
        <w:t xml:space="preserve">Steidl brought a claim </w:t>
      </w:r>
      <w:r w:rsidRPr="000641B0" w:rsidR="00FA2C7A">
        <w:rPr>
          <w:rFonts w:cstheme="minorHAnsi"/>
          <w:szCs w:val="26"/>
        </w:rPr>
        <w:t>in which he contended that the defendants’</w:t>
      </w:r>
      <w:r w:rsidRPr="000641B0" w:rsidR="00176BDC">
        <w:rPr>
          <w:rFonts w:cstheme="minorHAnsi"/>
          <w:szCs w:val="26"/>
        </w:rPr>
        <w:t xml:space="preserve"> act in “conceal[ing] exculpatory evidence from the courts during his post-conviction proceedings” deprived him of a fair trial and led to his wrongful conviction. </w:t>
      </w:r>
      <w:r w:rsidRPr="000641B0" w:rsidR="00C96D31">
        <w:rPr>
          <w:rFonts w:cstheme="minorHAnsi"/>
          <w:szCs w:val="26"/>
        </w:rPr>
        <w:t xml:space="preserve"> </w:t>
      </w:r>
      <w:r w:rsidRPr="000641B0" w:rsidR="00176BDC">
        <w:rPr>
          <w:rFonts w:cstheme="minorHAnsi"/>
          <w:szCs w:val="26"/>
        </w:rPr>
        <w:t>(</w:t>
      </w:r>
      <w:r w:rsidRPr="000641B0" w:rsidR="00C96D31">
        <w:rPr>
          <w:rFonts w:cstheme="minorHAnsi"/>
          <w:i/>
          <w:iCs/>
          <w:szCs w:val="26"/>
        </w:rPr>
        <w:t>Ibid</w:t>
      </w:r>
      <w:r w:rsidRPr="000641B0" w:rsidR="00C96D31">
        <w:rPr>
          <w:rFonts w:cstheme="minorHAnsi"/>
          <w:szCs w:val="26"/>
        </w:rPr>
        <w:t>.)</w:t>
      </w:r>
    </w:p>
    <w:p w:rsidR="00322963" w:rsidRPr="000641B0" w:rsidP="007E0585" w14:paraId="1B56C98B" w14:textId="355C1052">
      <w:pPr>
        <w:ind w:firstLine="720"/>
        <w:rPr>
          <w:rFonts w:cstheme="minorHAnsi"/>
          <w:szCs w:val="26"/>
        </w:rPr>
      </w:pPr>
      <w:r w:rsidRPr="000641B0">
        <w:rPr>
          <w:rFonts w:cstheme="minorHAnsi"/>
          <w:szCs w:val="26"/>
        </w:rPr>
        <w:t xml:space="preserve">After the district court denied </w:t>
      </w:r>
      <w:r w:rsidR="00F314CF">
        <w:rPr>
          <w:rFonts w:cstheme="minorHAnsi"/>
          <w:szCs w:val="26"/>
        </w:rPr>
        <w:t xml:space="preserve">the </w:t>
      </w:r>
      <w:r w:rsidRPr="000641B0" w:rsidR="0014677F">
        <w:rPr>
          <w:rFonts w:cstheme="minorHAnsi"/>
          <w:szCs w:val="26"/>
        </w:rPr>
        <w:t xml:space="preserve">defendants’ </w:t>
      </w:r>
      <w:r w:rsidRPr="000641B0">
        <w:rPr>
          <w:rFonts w:cstheme="minorHAnsi"/>
          <w:szCs w:val="26"/>
        </w:rPr>
        <w:t xml:space="preserve">motion to dismiss </w:t>
      </w:r>
      <w:r w:rsidRPr="000641B0" w:rsidR="007D1009">
        <w:rPr>
          <w:rFonts w:cstheme="minorHAnsi"/>
          <w:szCs w:val="26"/>
        </w:rPr>
        <w:t>based on</w:t>
      </w:r>
      <w:r w:rsidRPr="000641B0">
        <w:rPr>
          <w:rFonts w:cstheme="minorHAnsi"/>
          <w:szCs w:val="26"/>
        </w:rPr>
        <w:t xml:space="preserve"> qualified immunity, </w:t>
      </w:r>
      <w:r w:rsidR="00F314CF">
        <w:rPr>
          <w:rFonts w:cstheme="minorHAnsi"/>
          <w:szCs w:val="26"/>
        </w:rPr>
        <w:t>they</w:t>
      </w:r>
      <w:r w:rsidRPr="000641B0" w:rsidR="0014677F">
        <w:rPr>
          <w:rFonts w:cstheme="minorHAnsi"/>
          <w:szCs w:val="26"/>
        </w:rPr>
        <w:t xml:space="preserve"> f</w:t>
      </w:r>
      <w:r w:rsidRPr="000641B0" w:rsidR="00BC0DBB">
        <w:rPr>
          <w:rFonts w:cstheme="minorHAnsi"/>
          <w:szCs w:val="26"/>
        </w:rPr>
        <w:t>iled an interlocutory appeal</w:t>
      </w:r>
      <w:r w:rsidRPr="000641B0" w:rsidR="000E1890">
        <w:rPr>
          <w:rFonts w:cstheme="minorHAnsi"/>
          <w:szCs w:val="26"/>
        </w:rPr>
        <w:t xml:space="preserve">. </w:t>
      </w:r>
      <w:r w:rsidRPr="000641B0" w:rsidR="00C96D31">
        <w:rPr>
          <w:rFonts w:cstheme="minorHAnsi"/>
          <w:szCs w:val="26"/>
        </w:rPr>
        <w:t xml:space="preserve"> </w:t>
      </w:r>
      <w:r w:rsidRPr="000641B0" w:rsidR="000E1890">
        <w:rPr>
          <w:rFonts w:cstheme="minorHAnsi"/>
          <w:szCs w:val="26"/>
        </w:rPr>
        <w:t>(</w:t>
      </w:r>
      <w:r w:rsidRPr="000641B0" w:rsidR="00C96D31">
        <w:rPr>
          <w:rFonts w:cstheme="minorHAnsi"/>
          <w:i/>
          <w:iCs/>
          <w:szCs w:val="26"/>
        </w:rPr>
        <w:t>Steidl</w:t>
      </w:r>
      <w:r w:rsidRPr="000641B0" w:rsidR="00C96D31">
        <w:rPr>
          <w:rFonts w:cstheme="minorHAnsi"/>
          <w:szCs w:val="26"/>
        </w:rPr>
        <w:t>,</w:t>
      </w:r>
      <w:r w:rsidRPr="000641B0" w:rsidR="00C96D31">
        <w:rPr>
          <w:rFonts w:cstheme="minorHAnsi"/>
          <w:i/>
          <w:iCs/>
          <w:szCs w:val="26"/>
        </w:rPr>
        <w:t xml:space="preserve"> supra</w:t>
      </w:r>
      <w:r w:rsidRPr="000641B0" w:rsidR="00C96D31">
        <w:rPr>
          <w:rFonts w:cstheme="minorHAnsi"/>
          <w:szCs w:val="26"/>
        </w:rPr>
        <w:t>, 494 F.3d at p. 625.)</w:t>
      </w:r>
      <w:r w:rsidRPr="000641B0" w:rsidR="000E1890">
        <w:rPr>
          <w:rFonts w:cstheme="minorHAnsi"/>
          <w:szCs w:val="26"/>
        </w:rPr>
        <w:t xml:space="preserve"> </w:t>
      </w:r>
      <w:r w:rsidRPr="000641B0" w:rsidR="007D1009">
        <w:rPr>
          <w:rFonts w:cstheme="minorHAnsi"/>
          <w:szCs w:val="26"/>
        </w:rPr>
        <w:t xml:space="preserve"> </w:t>
      </w:r>
      <w:r w:rsidRPr="000641B0" w:rsidR="000E1890">
        <w:rPr>
          <w:rFonts w:cstheme="minorHAnsi"/>
          <w:szCs w:val="26"/>
        </w:rPr>
        <w:t>On appeal, t</w:t>
      </w:r>
      <w:r w:rsidRPr="000641B0" w:rsidR="006212B9">
        <w:rPr>
          <w:rFonts w:cstheme="minorHAnsi"/>
          <w:szCs w:val="26"/>
        </w:rPr>
        <w:t xml:space="preserve">he </w:t>
      </w:r>
      <w:r w:rsidRPr="000641B0" w:rsidR="006212B9">
        <w:rPr>
          <w:rFonts w:cstheme="minorHAnsi"/>
          <w:i/>
          <w:iCs/>
          <w:szCs w:val="26"/>
        </w:rPr>
        <w:t>Steidl</w:t>
      </w:r>
      <w:r w:rsidRPr="000641B0" w:rsidR="006212B9">
        <w:rPr>
          <w:rFonts w:cstheme="minorHAnsi"/>
          <w:szCs w:val="26"/>
        </w:rPr>
        <w:t xml:space="preserve"> court </w:t>
      </w:r>
      <w:r w:rsidRPr="000641B0">
        <w:rPr>
          <w:rFonts w:cstheme="minorHAnsi"/>
          <w:szCs w:val="26"/>
        </w:rPr>
        <w:t>“</w:t>
      </w:r>
      <w:r w:rsidRPr="000641B0" w:rsidR="006212B9">
        <w:rPr>
          <w:rFonts w:cstheme="minorHAnsi"/>
          <w:szCs w:val="26"/>
        </w:rPr>
        <w:t>agree</w:t>
      </w:r>
      <w:r w:rsidRPr="000641B0">
        <w:rPr>
          <w:rFonts w:cstheme="minorHAnsi"/>
          <w:szCs w:val="26"/>
        </w:rPr>
        <w:t>[d]</w:t>
      </w:r>
      <w:r w:rsidRPr="000641B0" w:rsidR="006212B9">
        <w:rPr>
          <w:rFonts w:cstheme="minorHAnsi"/>
          <w:szCs w:val="26"/>
        </w:rPr>
        <w:t xml:space="preserve"> with the district court that the</w:t>
      </w:r>
      <w:r w:rsidRPr="000641B0" w:rsidR="005D273E">
        <w:rPr>
          <w:rFonts w:cstheme="minorHAnsi"/>
          <w:szCs w:val="26"/>
        </w:rPr>
        <w:t xml:space="preserve"> </w:t>
      </w:r>
      <w:r w:rsidRPr="000641B0" w:rsidR="006212B9">
        <w:rPr>
          <w:rFonts w:cstheme="minorHAnsi"/>
          <w:i/>
          <w:iCs/>
          <w:szCs w:val="26"/>
        </w:rPr>
        <w:t>Brady</w:t>
      </w:r>
      <w:r w:rsidRPr="000641B0" w:rsidR="005D273E">
        <w:rPr>
          <w:rFonts w:cstheme="minorHAnsi"/>
          <w:szCs w:val="26"/>
        </w:rPr>
        <w:t xml:space="preserve"> </w:t>
      </w:r>
      <w:r w:rsidRPr="000641B0" w:rsidR="006212B9">
        <w:rPr>
          <w:rFonts w:cstheme="minorHAnsi"/>
          <w:szCs w:val="26"/>
        </w:rPr>
        <w:t>line of cases has clearly established a defendant</w:t>
      </w:r>
      <w:r w:rsidRPr="000641B0">
        <w:rPr>
          <w:rFonts w:cstheme="minorHAnsi"/>
          <w:szCs w:val="26"/>
        </w:rPr>
        <w:t>’</w:t>
      </w:r>
      <w:r w:rsidRPr="000641B0" w:rsidR="006212B9">
        <w:rPr>
          <w:rFonts w:cstheme="minorHAnsi"/>
          <w:szCs w:val="26"/>
        </w:rPr>
        <w:t>s right to be informed about exculpatory evidence throughout the proceedings, including appeals and authorized post-conviction procedures, when that exculpatory evidence was known to the state at the time of the original trial.</w:t>
      </w:r>
      <w:r w:rsidRPr="000641B0" w:rsidR="000E1890">
        <w:rPr>
          <w:rFonts w:cstheme="minorHAnsi"/>
          <w:szCs w:val="26"/>
        </w:rPr>
        <w:t>”</w:t>
      </w:r>
      <w:r w:rsidRPr="000641B0" w:rsidR="00C96D31">
        <w:rPr>
          <w:rFonts w:cstheme="minorHAnsi"/>
          <w:szCs w:val="26"/>
        </w:rPr>
        <w:t xml:space="preserve"> </w:t>
      </w:r>
      <w:r w:rsidRPr="000641B0" w:rsidR="000E1890">
        <w:rPr>
          <w:rFonts w:cstheme="minorHAnsi"/>
          <w:szCs w:val="26"/>
        </w:rPr>
        <w:t xml:space="preserve"> </w:t>
      </w:r>
      <w:r w:rsidRPr="000641B0" w:rsidR="00C96D31">
        <w:rPr>
          <w:rFonts w:cstheme="minorHAnsi"/>
          <w:szCs w:val="26"/>
        </w:rPr>
        <w:t>(</w:t>
      </w:r>
      <w:r w:rsidRPr="000641B0" w:rsidR="00C96D31">
        <w:rPr>
          <w:rFonts w:cstheme="minorHAnsi"/>
          <w:i/>
          <w:iCs/>
          <w:szCs w:val="26"/>
        </w:rPr>
        <w:t>Ibid</w:t>
      </w:r>
      <w:r w:rsidRPr="000641B0" w:rsidR="00C96D31">
        <w:rPr>
          <w:rFonts w:cstheme="minorHAnsi"/>
          <w:szCs w:val="26"/>
        </w:rPr>
        <w:t>.)</w:t>
      </w:r>
      <w:r w:rsidRPr="000641B0" w:rsidR="003A2C5B">
        <w:rPr>
          <w:rFonts w:cstheme="minorHAnsi"/>
          <w:szCs w:val="26"/>
        </w:rPr>
        <w:t xml:space="preserve">  </w:t>
      </w:r>
      <w:r w:rsidRPr="000641B0" w:rsidR="00540DFB">
        <w:rPr>
          <w:rFonts w:cstheme="minorHAnsi"/>
          <w:szCs w:val="26"/>
        </w:rPr>
        <w:t>T</w:t>
      </w:r>
      <w:r w:rsidRPr="000641B0" w:rsidR="003A2C5B">
        <w:rPr>
          <w:rFonts w:cstheme="minorHAnsi"/>
          <w:szCs w:val="26"/>
        </w:rPr>
        <w:t xml:space="preserve">he </w:t>
      </w:r>
      <w:r w:rsidRPr="000641B0" w:rsidR="003A2C5B">
        <w:rPr>
          <w:rFonts w:cstheme="minorHAnsi"/>
          <w:i/>
          <w:iCs/>
          <w:szCs w:val="26"/>
        </w:rPr>
        <w:t>Steidl</w:t>
      </w:r>
      <w:r w:rsidRPr="000641B0" w:rsidR="003A2C5B">
        <w:rPr>
          <w:rFonts w:cstheme="minorHAnsi"/>
          <w:szCs w:val="26"/>
        </w:rPr>
        <w:t xml:space="preserve"> court </w:t>
      </w:r>
      <w:r w:rsidRPr="000641B0" w:rsidR="00BC25DF">
        <w:rPr>
          <w:rFonts w:cstheme="minorHAnsi"/>
          <w:szCs w:val="26"/>
        </w:rPr>
        <w:t>reasoned</w:t>
      </w:r>
      <w:r w:rsidRPr="000641B0" w:rsidR="00540DFB">
        <w:rPr>
          <w:rFonts w:cstheme="minorHAnsi"/>
          <w:szCs w:val="26"/>
        </w:rPr>
        <w:t xml:space="preserve"> in part:</w:t>
      </w:r>
      <w:r w:rsidRPr="000641B0" w:rsidR="00BC25DF">
        <w:rPr>
          <w:rFonts w:cstheme="minorHAnsi"/>
          <w:szCs w:val="26"/>
        </w:rPr>
        <w:t xml:space="preserve"> </w:t>
      </w:r>
      <w:r w:rsidR="007E0585">
        <w:rPr>
          <w:rFonts w:cstheme="minorHAnsi"/>
          <w:szCs w:val="26"/>
        </w:rPr>
        <w:t xml:space="preserve"> </w:t>
      </w:r>
      <w:r w:rsidRPr="000641B0" w:rsidR="00B265B4">
        <w:rPr>
          <w:rFonts w:cstheme="minorHAnsi"/>
          <w:szCs w:val="26"/>
        </w:rPr>
        <w:t>“</w:t>
      </w:r>
      <w:r w:rsidRPr="000641B0">
        <w:rPr>
          <w:rFonts w:cstheme="minorHAnsi"/>
          <w:szCs w:val="26"/>
        </w:rPr>
        <w:t>In our view,</w:t>
      </w:r>
      <w:r w:rsidRPr="000641B0" w:rsidR="002A688E">
        <w:rPr>
          <w:rFonts w:cstheme="minorHAnsi"/>
          <w:szCs w:val="26"/>
        </w:rPr>
        <w:t xml:space="preserve"> </w:t>
      </w:r>
      <w:r w:rsidRPr="000641B0">
        <w:rPr>
          <w:rFonts w:cstheme="minorHAnsi"/>
          <w:i/>
          <w:iCs/>
          <w:szCs w:val="26"/>
        </w:rPr>
        <w:t>Brady</w:t>
      </w:r>
      <w:r w:rsidRPr="000641B0">
        <w:rPr>
          <w:rFonts w:cstheme="minorHAnsi"/>
          <w:szCs w:val="26"/>
        </w:rPr>
        <w:t>,</w:t>
      </w:r>
      <w:r w:rsidRPr="000641B0" w:rsidR="002A688E">
        <w:rPr>
          <w:rFonts w:cstheme="minorHAnsi"/>
          <w:i/>
          <w:iCs/>
          <w:szCs w:val="26"/>
        </w:rPr>
        <w:t xml:space="preserve"> </w:t>
      </w:r>
      <w:bookmarkStart w:id="28" w:name="_Hlk115250508"/>
      <w:r w:rsidRPr="000641B0" w:rsidR="006525DA">
        <w:rPr>
          <w:rFonts w:cstheme="minorHAnsi"/>
          <w:i/>
          <w:iCs/>
          <w:szCs w:val="26"/>
        </w:rPr>
        <w:t>Ritchie</w:t>
      </w:r>
      <w:r w:rsidRPr="00CF4CBA" w:rsidR="00042DFE">
        <w:rPr>
          <w:rFonts w:cstheme="minorHAnsi"/>
          <w:szCs w:val="26"/>
        </w:rPr>
        <w:t>,</w:t>
      </w:r>
      <w:bookmarkEnd w:id="28"/>
      <w:r w:rsidR="00042DFE">
        <w:rPr>
          <w:rStyle w:val="FootnoteReference"/>
          <w:rFonts w:cstheme="minorHAnsi"/>
          <w:szCs w:val="26"/>
        </w:rPr>
        <w:t>[</w:t>
      </w:r>
      <w:r>
        <w:rPr>
          <w:rStyle w:val="FootnoteReference"/>
          <w:rFonts w:cstheme="minorHAnsi"/>
          <w:bCs/>
          <w:szCs w:val="26"/>
        </w:rPr>
        <w:footnoteReference w:id="9"/>
      </w:r>
      <w:r w:rsidRPr="00AA2432" w:rsidR="00042DFE">
        <w:rPr>
          <w:rStyle w:val="FootnoteReference"/>
          <w:rFonts w:cstheme="minorHAnsi"/>
          <w:bCs/>
          <w:szCs w:val="26"/>
        </w:rPr>
        <w:t>]</w:t>
      </w:r>
      <w:r w:rsidRPr="000641B0" w:rsidR="00300BA1">
        <w:rPr>
          <w:rFonts w:cstheme="minorHAnsi"/>
          <w:szCs w:val="26"/>
        </w:rPr>
        <w:t xml:space="preserve"> </w:t>
      </w:r>
      <w:r w:rsidRPr="000641B0">
        <w:rPr>
          <w:rFonts w:cstheme="minorHAnsi"/>
          <w:szCs w:val="26"/>
        </w:rPr>
        <w:t>and the other cases in this line impose on the state an ongoing duty to disclose exculpatory information if, as</w:t>
      </w:r>
      <w:r w:rsidRPr="000641B0" w:rsidR="000F0C2C">
        <w:rPr>
          <w:rFonts w:cstheme="minorHAnsi"/>
          <w:szCs w:val="26"/>
        </w:rPr>
        <w:t xml:space="preserve"> </w:t>
      </w:r>
      <w:r w:rsidRPr="000641B0">
        <w:rPr>
          <w:rFonts w:cstheme="minorHAnsi"/>
          <w:i/>
          <w:iCs/>
          <w:szCs w:val="26"/>
        </w:rPr>
        <w:t>Brady</w:t>
      </w:r>
      <w:r w:rsidRPr="000641B0" w:rsidR="000F0C2C">
        <w:rPr>
          <w:rFonts w:cstheme="minorHAnsi"/>
          <w:szCs w:val="26"/>
        </w:rPr>
        <w:t xml:space="preserve"> </w:t>
      </w:r>
      <w:r w:rsidRPr="000641B0">
        <w:rPr>
          <w:rFonts w:cstheme="minorHAnsi"/>
          <w:szCs w:val="26"/>
        </w:rPr>
        <w:t>put it, that evidence is material either to guilt or to punishment and available for the trial.</w:t>
      </w:r>
      <w:r w:rsidRPr="000641B0" w:rsidR="00BE168C">
        <w:rPr>
          <w:rFonts w:cstheme="minorHAnsi"/>
          <w:szCs w:val="26"/>
        </w:rPr>
        <w:t xml:space="preserve"> </w:t>
      </w:r>
      <w:r w:rsidRPr="000641B0" w:rsidR="00F3549F">
        <w:rPr>
          <w:rFonts w:cstheme="minorHAnsi"/>
          <w:szCs w:val="26"/>
        </w:rPr>
        <w:t>. . .</w:t>
      </w:r>
      <w:r w:rsidRPr="000641B0">
        <w:rPr>
          <w:rFonts w:cstheme="minorHAnsi"/>
          <w:szCs w:val="26"/>
        </w:rPr>
        <w:t xml:space="preserve"> </w:t>
      </w:r>
      <w:r w:rsidRPr="000641B0" w:rsidR="00953063">
        <w:rPr>
          <w:rFonts w:cstheme="minorHAnsi"/>
          <w:szCs w:val="26"/>
        </w:rPr>
        <w:t xml:space="preserve"> </w:t>
      </w:r>
      <w:r w:rsidRPr="000641B0">
        <w:rPr>
          <w:rFonts w:cstheme="minorHAnsi"/>
          <w:szCs w:val="26"/>
        </w:rPr>
        <w:t xml:space="preserve">For evidence known to the state at the time of the trial, the duty to disclose extends throughout the legal proceedings that may affect either guilt or punishment, including post-conviction proceedings. </w:t>
      </w:r>
      <w:r w:rsidRPr="000641B0" w:rsidR="004F6B5C">
        <w:rPr>
          <w:rFonts w:cstheme="minorHAnsi"/>
          <w:szCs w:val="26"/>
        </w:rPr>
        <w:t xml:space="preserve"> </w:t>
      </w:r>
      <w:r w:rsidRPr="000641B0">
        <w:rPr>
          <w:rFonts w:cstheme="minorHAnsi"/>
          <w:szCs w:val="26"/>
        </w:rPr>
        <w:t xml:space="preserve">Put differently, the taint on the trial that took place continues throughout the proceedings, and thus the duty to disclose and allow correction of that taint continues. </w:t>
      </w:r>
      <w:r w:rsidRPr="000641B0" w:rsidR="006F42B3">
        <w:rPr>
          <w:rFonts w:cstheme="minorHAnsi"/>
          <w:szCs w:val="26"/>
        </w:rPr>
        <w:t xml:space="preserve"> </w:t>
      </w:r>
      <w:r w:rsidRPr="000641B0">
        <w:rPr>
          <w:rFonts w:cstheme="minorHAnsi"/>
          <w:szCs w:val="26"/>
        </w:rPr>
        <w:t>We cannot accept the implicit premise of the state</w:t>
      </w:r>
      <w:r w:rsidRPr="000641B0" w:rsidR="006F42B3">
        <w:rPr>
          <w:rFonts w:cstheme="minorHAnsi"/>
          <w:szCs w:val="26"/>
        </w:rPr>
        <w:t>’</w:t>
      </w:r>
      <w:r w:rsidRPr="000641B0">
        <w:rPr>
          <w:rFonts w:cstheme="minorHAnsi"/>
          <w:szCs w:val="26"/>
        </w:rPr>
        <w:t>s position here, which is that</w:t>
      </w:r>
      <w:r w:rsidRPr="000641B0" w:rsidR="000F0C2C">
        <w:rPr>
          <w:rFonts w:cstheme="minorHAnsi"/>
          <w:szCs w:val="26"/>
        </w:rPr>
        <w:t xml:space="preserve"> </w:t>
      </w:r>
      <w:r w:rsidRPr="000641B0">
        <w:rPr>
          <w:rFonts w:cstheme="minorHAnsi"/>
          <w:i/>
          <w:iCs/>
          <w:szCs w:val="26"/>
        </w:rPr>
        <w:t>Brady</w:t>
      </w:r>
      <w:r w:rsidRPr="000641B0" w:rsidR="000F0C2C">
        <w:rPr>
          <w:rFonts w:cstheme="minorHAnsi"/>
          <w:szCs w:val="26"/>
        </w:rPr>
        <w:t xml:space="preserve"> </w:t>
      </w:r>
      <w:r w:rsidRPr="000641B0">
        <w:rPr>
          <w:rFonts w:cstheme="minorHAnsi"/>
          <w:szCs w:val="26"/>
        </w:rPr>
        <w:t>leaves state officials free to conceal evidence from reviewing courts or post-conviction courts with impunity, even if that concealment results in the wrongful conviction of an innocent person.</w:t>
      </w:r>
      <w:r w:rsidRPr="000641B0" w:rsidR="005D273E">
        <w:rPr>
          <w:rFonts w:cstheme="minorHAnsi"/>
          <w:szCs w:val="26"/>
        </w:rPr>
        <w:t xml:space="preserve"> </w:t>
      </w:r>
      <w:r w:rsidRPr="000641B0" w:rsidR="00953063">
        <w:rPr>
          <w:rFonts w:cstheme="minorHAnsi"/>
          <w:szCs w:val="26"/>
        </w:rPr>
        <w:t xml:space="preserve"> </w:t>
      </w:r>
      <w:r w:rsidRPr="000641B0">
        <w:rPr>
          <w:rFonts w:cstheme="minorHAnsi"/>
          <w:szCs w:val="26"/>
        </w:rPr>
        <w:t>It is worth recalling, in this connection, that the </w:t>
      </w:r>
      <w:r w:rsidRPr="000641B0">
        <w:rPr>
          <w:rFonts w:cstheme="minorHAnsi"/>
          <w:i/>
          <w:iCs/>
          <w:szCs w:val="26"/>
        </w:rPr>
        <w:t>Brady</w:t>
      </w:r>
      <w:r w:rsidRPr="000641B0">
        <w:rPr>
          <w:rFonts w:cstheme="minorHAnsi"/>
          <w:szCs w:val="26"/>
        </w:rPr>
        <w:t xml:space="preserve"> rule was derived from the Due Process Clause of the Fourteenth Amendment. </w:t>
      </w:r>
      <w:r w:rsidRPr="000641B0" w:rsidR="00F8150E">
        <w:rPr>
          <w:rFonts w:cstheme="minorHAnsi"/>
          <w:szCs w:val="26"/>
        </w:rPr>
        <w:t xml:space="preserve"> </w:t>
      </w:r>
      <w:r w:rsidRPr="000641B0" w:rsidR="004F6B5C">
        <w:rPr>
          <w:rFonts w:cstheme="minorHAnsi"/>
          <w:szCs w:val="26"/>
        </w:rPr>
        <w:t>‘</w:t>
      </w:r>
      <w:r w:rsidRPr="000641B0">
        <w:rPr>
          <w:rFonts w:cstheme="minorHAnsi"/>
          <w:szCs w:val="26"/>
        </w:rPr>
        <w:t>Society wins,</w:t>
      </w:r>
      <w:r w:rsidRPr="000641B0" w:rsidR="004F6B5C">
        <w:rPr>
          <w:rFonts w:cstheme="minorHAnsi"/>
          <w:szCs w:val="26"/>
        </w:rPr>
        <w:t>’</w:t>
      </w:r>
      <w:r w:rsidRPr="000641B0">
        <w:rPr>
          <w:rFonts w:cstheme="minorHAnsi"/>
          <w:szCs w:val="26"/>
        </w:rPr>
        <w:t xml:space="preserve"> the Court wrote, </w:t>
      </w:r>
      <w:r w:rsidRPr="000641B0" w:rsidR="00AA3E90">
        <w:rPr>
          <w:rFonts w:cstheme="minorHAnsi"/>
          <w:szCs w:val="26"/>
        </w:rPr>
        <w:t>‘</w:t>
      </w:r>
      <w:r w:rsidRPr="000641B0">
        <w:rPr>
          <w:rFonts w:cstheme="minorHAnsi"/>
          <w:szCs w:val="26"/>
        </w:rPr>
        <w:t>not only when the guilty are convicted but when criminal trials are fair; our system of the administration of justice suffers when any accused is treated unfairly.</w:t>
      </w:r>
      <w:r w:rsidRPr="000641B0" w:rsidR="004F6B5C">
        <w:rPr>
          <w:rFonts w:cstheme="minorHAnsi"/>
          <w:szCs w:val="26"/>
        </w:rPr>
        <w:t>’</w:t>
      </w:r>
      <w:r w:rsidRPr="000641B0" w:rsidR="00D46541">
        <w:rPr>
          <w:rFonts w:cstheme="minorHAnsi"/>
          <w:szCs w:val="26"/>
        </w:rPr>
        <w:t xml:space="preserve"> </w:t>
      </w:r>
      <w:r w:rsidRPr="000641B0" w:rsidR="00951287">
        <w:rPr>
          <w:rFonts w:cstheme="minorHAnsi"/>
          <w:szCs w:val="26"/>
        </w:rPr>
        <w:t xml:space="preserve"> [</w:t>
      </w:r>
      <w:r w:rsidRPr="000641B0" w:rsidR="00951287">
        <w:rPr>
          <w:rFonts w:cstheme="minorHAnsi"/>
          <w:i/>
          <w:iCs/>
          <w:szCs w:val="26"/>
        </w:rPr>
        <w:t>Brady</w:t>
      </w:r>
      <w:r w:rsidRPr="000641B0" w:rsidR="00951287">
        <w:rPr>
          <w:rFonts w:cstheme="minorHAnsi"/>
          <w:szCs w:val="26"/>
        </w:rPr>
        <w:t xml:space="preserve">, </w:t>
      </w:r>
      <w:r w:rsidRPr="000641B0" w:rsidR="00951287">
        <w:rPr>
          <w:rFonts w:cstheme="minorHAnsi"/>
          <w:i/>
          <w:iCs/>
          <w:szCs w:val="26"/>
        </w:rPr>
        <w:t>supra</w:t>
      </w:r>
      <w:r w:rsidRPr="000641B0" w:rsidR="00951287">
        <w:rPr>
          <w:rFonts w:cstheme="minorHAnsi"/>
          <w:szCs w:val="26"/>
        </w:rPr>
        <w:t>,]</w:t>
      </w:r>
      <w:r w:rsidR="007649D1">
        <w:rPr>
          <w:rFonts w:cstheme="minorHAnsi"/>
          <w:szCs w:val="26"/>
        </w:rPr>
        <w:t xml:space="preserve"> </w:t>
      </w:r>
      <w:r w:rsidRPr="000641B0">
        <w:rPr>
          <w:rFonts w:cstheme="minorHAnsi"/>
          <w:szCs w:val="26"/>
        </w:rPr>
        <w:t>373 U.S. at</w:t>
      </w:r>
      <w:r w:rsidRPr="000641B0" w:rsidR="00951287">
        <w:rPr>
          <w:rFonts w:cstheme="minorHAnsi"/>
          <w:szCs w:val="26"/>
        </w:rPr>
        <w:t xml:space="preserve"> </w:t>
      </w:r>
      <w:r w:rsidRPr="000641B0">
        <w:rPr>
          <w:rFonts w:cstheme="minorHAnsi"/>
          <w:szCs w:val="26"/>
        </w:rPr>
        <w:t>87.</w:t>
      </w:r>
      <w:r w:rsidRPr="000641B0" w:rsidR="00B265B4">
        <w:rPr>
          <w:rFonts w:cstheme="minorHAnsi"/>
          <w:szCs w:val="26"/>
        </w:rPr>
        <w:t xml:space="preserve">” </w:t>
      </w:r>
      <w:r w:rsidRPr="000641B0" w:rsidR="00210F23">
        <w:rPr>
          <w:rFonts w:cstheme="minorHAnsi"/>
          <w:szCs w:val="26"/>
        </w:rPr>
        <w:t xml:space="preserve"> </w:t>
      </w:r>
      <w:r w:rsidRPr="000641B0" w:rsidR="00B265B4">
        <w:rPr>
          <w:rFonts w:cstheme="minorHAnsi"/>
          <w:szCs w:val="26"/>
        </w:rPr>
        <w:t>(</w:t>
      </w:r>
      <w:r w:rsidRPr="000641B0" w:rsidR="00B265B4">
        <w:rPr>
          <w:rFonts w:cstheme="minorHAnsi"/>
          <w:i/>
          <w:iCs/>
          <w:szCs w:val="26"/>
        </w:rPr>
        <w:t>Steidl</w:t>
      </w:r>
      <w:r w:rsidRPr="000641B0" w:rsidR="00B265B4">
        <w:rPr>
          <w:rFonts w:cstheme="minorHAnsi"/>
          <w:szCs w:val="26"/>
        </w:rPr>
        <w:t>,</w:t>
      </w:r>
      <w:r w:rsidRPr="000641B0" w:rsidR="00B265B4">
        <w:rPr>
          <w:rFonts w:cstheme="minorHAnsi"/>
          <w:i/>
          <w:iCs/>
          <w:szCs w:val="26"/>
        </w:rPr>
        <w:t xml:space="preserve"> </w:t>
      </w:r>
      <w:r w:rsidRPr="000641B0" w:rsidR="00B265B4">
        <w:rPr>
          <w:rFonts w:cstheme="minorHAnsi"/>
          <w:szCs w:val="26"/>
        </w:rPr>
        <w:t xml:space="preserve">at p. </w:t>
      </w:r>
      <w:r w:rsidRPr="000641B0" w:rsidR="006F42B3">
        <w:rPr>
          <w:rFonts w:cstheme="minorHAnsi"/>
          <w:szCs w:val="26"/>
        </w:rPr>
        <w:t>630.)</w:t>
      </w:r>
    </w:p>
    <w:p w:rsidR="009910AB" w:rsidRPr="000641B0" w:rsidP="000641B0" w14:paraId="3AB532FB" w14:textId="719CAC7E">
      <w:pPr>
        <w:ind w:firstLine="720"/>
        <w:rPr>
          <w:rFonts w:cstheme="minorHAnsi"/>
          <w:szCs w:val="26"/>
        </w:rPr>
      </w:pPr>
      <w:r w:rsidRPr="000641B0">
        <w:rPr>
          <w:rFonts w:cstheme="minorHAnsi"/>
          <w:szCs w:val="26"/>
        </w:rPr>
        <w:t xml:space="preserve">We </w:t>
      </w:r>
      <w:r w:rsidRPr="000641B0" w:rsidR="00201090">
        <w:rPr>
          <w:rFonts w:cstheme="minorHAnsi"/>
          <w:szCs w:val="26"/>
        </w:rPr>
        <w:t xml:space="preserve">find the </w:t>
      </w:r>
      <w:r w:rsidRPr="000641B0" w:rsidR="00201090">
        <w:rPr>
          <w:rFonts w:cstheme="minorHAnsi"/>
          <w:i/>
          <w:iCs/>
          <w:szCs w:val="26"/>
        </w:rPr>
        <w:t>Steidl</w:t>
      </w:r>
      <w:r w:rsidRPr="000641B0" w:rsidR="00201090">
        <w:rPr>
          <w:rFonts w:cstheme="minorHAnsi"/>
          <w:szCs w:val="26"/>
        </w:rPr>
        <w:t xml:space="preserve"> court’s reasoning persuasive and consistent with</w:t>
      </w:r>
      <w:r w:rsidRPr="000641B0" w:rsidR="0036231D">
        <w:rPr>
          <w:rFonts w:cstheme="minorHAnsi"/>
          <w:szCs w:val="26"/>
        </w:rPr>
        <w:t xml:space="preserve"> the principles underlying</w:t>
      </w:r>
      <w:r w:rsidRPr="000641B0" w:rsidR="00201090">
        <w:rPr>
          <w:rFonts w:cstheme="minorHAnsi"/>
          <w:szCs w:val="26"/>
        </w:rPr>
        <w:t xml:space="preserve"> </w:t>
      </w:r>
      <w:r w:rsidRPr="000641B0" w:rsidR="00D86EAF">
        <w:rPr>
          <w:rFonts w:cstheme="minorHAnsi"/>
          <w:i/>
          <w:iCs/>
          <w:szCs w:val="26"/>
        </w:rPr>
        <w:t>Brady</w:t>
      </w:r>
      <w:r w:rsidRPr="000641B0" w:rsidR="00D86EAF">
        <w:rPr>
          <w:rFonts w:cstheme="minorHAnsi"/>
          <w:szCs w:val="26"/>
        </w:rPr>
        <w:t xml:space="preserve"> and its progeny </w:t>
      </w:r>
      <w:r w:rsidRPr="000641B0" w:rsidR="0036231D">
        <w:rPr>
          <w:rFonts w:cstheme="minorHAnsi"/>
          <w:szCs w:val="26"/>
        </w:rPr>
        <w:t xml:space="preserve">that we outlined </w:t>
      </w:r>
      <w:r w:rsidRPr="000641B0" w:rsidR="0036231D">
        <w:rPr>
          <w:rFonts w:cstheme="minorHAnsi"/>
          <w:i/>
          <w:iCs/>
          <w:szCs w:val="26"/>
        </w:rPr>
        <w:t>ante</w:t>
      </w:r>
      <w:r w:rsidRPr="000641B0" w:rsidR="0036231D">
        <w:rPr>
          <w:rFonts w:cstheme="minorHAnsi"/>
          <w:szCs w:val="26"/>
        </w:rPr>
        <w:t xml:space="preserve">, </w:t>
      </w:r>
      <w:r w:rsidRPr="000641B0" w:rsidR="00D86EAF">
        <w:rPr>
          <w:rFonts w:cstheme="minorHAnsi"/>
          <w:szCs w:val="26"/>
        </w:rPr>
        <w:t xml:space="preserve">as well as </w:t>
      </w:r>
      <w:r w:rsidRPr="000641B0" w:rsidR="008C757A">
        <w:rPr>
          <w:rFonts w:cstheme="minorHAnsi"/>
          <w:szCs w:val="26"/>
        </w:rPr>
        <w:t xml:space="preserve">case law </w:t>
      </w:r>
      <w:r w:rsidRPr="000641B0" w:rsidR="00781B76">
        <w:rPr>
          <w:rFonts w:cstheme="minorHAnsi"/>
          <w:szCs w:val="26"/>
        </w:rPr>
        <w:t>referr</w:t>
      </w:r>
      <w:r w:rsidRPr="000641B0" w:rsidR="00F8150E">
        <w:rPr>
          <w:rFonts w:cstheme="minorHAnsi"/>
          <w:szCs w:val="26"/>
        </w:rPr>
        <w:t>ing</w:t>
      </w:r>
      <w:r w:rsidRPr="000641B0" w:rsidR="00781B76">
        <w:rPr>
          <w:rFonts w:cstheme="minorHAnsi"/>
          <w:szCs w:val="26"/>
        </w:rPr>
        <w:t xml:space="preserve"> to</w:t>
      </w:r>
      <w:r w:rsidRPr="000641B0" w:rsidR="00BA11A5">
        <w:rPr>
          <w:rFonts w:cstheme="minorHAnsi"/>
          <w:szCs w:val="26"/>
        </w:rPr>
        <w:t xml:space="preserve"> the government’s </w:t>
      </w:r>
      <w:r w:rsidRPr="000641B0" w:rsidR="00F8150E">
        <w:rPr>
          <w:rFonts w:cstheme="minorHAnsi"/>
          <w:szCs w:val="26"/>
        </w:rPr>
        <w:t xml:space="preserve">obligations under </w:t>
      </w:r>
      <w:r w:rsidRPr="000641B0" w:rsidR="00BA11A5">
        <w:rPr>
          <w:rFonts w:cstheme="minorHAnsi"/>
          <w:i/>
          <w:iCs/>
          <w:szCs w:val="26"/>
        </w:rPr>
        <w:t>Brady</w:t>
      </w:r>
      <w:r w:rsidRPr="000641B0" w:rsidR="00BA11A5">
        <w:rPr>
          <w:rFonts w:cstheme="minorHAnsi"/>
          <w:szCs w:val="26"/>
        </w:rPr>
        <w:t xml:space="preserve"> in the postconviction context.</w:t>
      </w:r>
      <w:r w:rsidRPr="000641B0" w:rsidR="00284A5F">
        <w:rPr>
          <w:rFonts w:cstheme="minorHAnsi"/>
          <w:szCs w:val="26"/>
        </w:rPr>
        <w:t xml:space="preserve"> </w:t>
      </w:r>
      <w:r w:rsidRPr="000641B0" w:rsidR="00795F34">
        <w:rPr>
          <w:rFonts w:cstheme="minorHAnsi"/>
          <w:szCs w:val="26"/>
        </w:rPr>
        <w:t xml:space="preserve"> </w:t>
      </w:r>
    </w:p>
    <w:p w:rsidR="009910AB" w:rsidRPr="000641B0" w:rsidP="000641B0" w14:paraId="0DA5172D" w14:textId="1247B71F">
      <w:pPr>
        <w:ind w:firstLine="720"/>
        <w:rPr>
          <w:rFonts w:cstheme="minorHAnsi"/>
          <w:szCs w:val="26"/>
        </w:rPr>
      </w:pPr>
      <w:r w:rsidRPr="000641B0">
        <w:rPr>
          <w:rFonts w:cstheme="minorHAnsi"/>
          <w:szCs w:val="26"/>
        </w:rPr>
        <w:t xml:space="preserve">Further, we note that </w:t>
      </w:r>
      <w:r w:rsidRPr="000641B0">
        <w:rPr>
          <w:rFonts w:cstheme="minorHAnsi"/>
          <w:i/>
          <w:iCs/>
          <w:szCs w:val="26"/>
        </w:rPr>
        <w:t>Steidl</w:t>
      </w:r>
      <w:r w:rsidRPr="000641B0">
        <w:rPr>
          <w:rFonts w:cstheme="minorHAnsi"/>
          <w:szCs w:val="26"/>
        </w:rPr>
        <w:t xml:space="preserve"> may not be distinguished on the ground that it involved </w:t>
      </w:r>
      <w:r w:rsidRPr="000641B0" w:rsidR="00F8150E">
        <w:rPr>
          <w:rFonts w:cstheme="minorHAnsi"/>
          <w:szCs w:val="26"/>
        </w:rPr>
        <w:t xml:space="preserve">a </w:t>
      </w:r>
      <w:r w:rsidRPr="000641B0" w:rsidR="00F8150E">
        <w:rPr>
          <w:rFonts w:cstheme="minorHAnsi"/>
          <w:i/>
          <w:iCs/>
          <w:szCs w:val="26"/>
        </w:rPr>
        <w:t>police officer’s</w:t>
      </w:r>
      <w:r w:rsidRPr="000641B0" w:rsidR="00F8150E">
        <w:rPr>
          <w:rFonts w:cstheme="minorHAnsi"/>
          <w:szCs w:val="26"/>
        </w:rPr>
        <w:t xml:space="preserve"> duty under </w:t>
      </w:r>
      <w:r w:rsidRPr="000641B0">
        <w:rPr>
          <w:rFonts w:cstheme="minorHAnsi"/>
          <w:i/>
          <w:iCs/>
          <w:szCs w:val="26"/>
        </w:rPr>
        <w:t>Brady</w:t>
      </w:r>
      <w:r w:rsidRPr="000641B0">
        <w:rPr>
          <w:rFonts w:cstheme="minorHAnsi"/>
          <w:szCs w:val="26"/>
        </w:rPr>
        <w:t xml:space="preserve">, while, in this case, we consider the </w:t>
      </w:r>
      <w:r w:rsidRPr="000641B0" w:rsidR="00F8150E">
        <w:rPr>
          <w:rFonts w:cstheme="minorHAnsi"/>
          <w:szCs w:val="26"/>
        </w:rPr>
        <w:t xml:space="preserve">duty of the </w:t>
      </w:r>
      <w:r w:rsidRPr="000641B0" w:rsidR="00F8150E">
        <w:rPr>
          <w:rFonts w:cstheme="minorHAnsi"/>
          <w:i/>
          <w:iCs/>
          <w:szCs w:val="26"/>
        </w:rPr>
        <w:t>Attorney General</w:t>
      </w:r>
      <w:r w:rsidRPr="000641B0">
        <w:rPr>
          <w:rFonts w:cstheme="minorHAnsi"/>
          <w:i/>
          <w:iCs/>
          <w:szCs w:val="26"/>
        </w:rPr>
        <w:t xml:space="preserve">.  </w:t>
      </w:r>
      <w:r w:rsidRPr="000641B0">
        <w:rPr>
          <w:rFonts w:cstheme="minorHAnsi"/>
          <w:szCs w:val="26"/>
        </w:rPr>
        <w:t xml:space="preserve">As the </w:t>
      </w:r>
      <w:r w:rsidRPr="000641B0">
        <w:rPr>
          <w:rFonts w:cstheme="minorHAnsi"/>
          <w:i/>
          <w:iCs/>
          <w:szCs w:val="26"/>
        </w:rPr>
        <w:t>Steidl</w:t>
      </w:r>
      <w:r w:rsidRPr="000641B0">
        <w:rPr>
          <w:rFonts w:cstheme="minorHAnsi"/>
          <w:szCs w:val="26"/>
        </w:rPr>
        <w:t xml:space="preserve"> court explained, it is the </w:t>
      </w:r>
      <w:r w:rsidRPr="000641B0">
        <w:rPr>
          <w:rFonts w:cstheme="minorHAnsi"/>
          <w:i/>
          <w:iCs/>
          <w:szCs w:val="26"/>
        </w:rPr>
        <w:t>government</w:t>
      </w:r>
      <w:r w:rsidRPr="000641B0">
        <w:rPr>
          <w:rFonts w:cstheme="minorHAnsi"/>
          <w:szCs w:val="26"/>
        </w:rPr>
        <w:t xml:space="preserve"> who ultimately </w:t>
      </w:r>
      <w:r w:rsidRPr="000641B0" w:rsidR="00F8150E">
        <w:rPr>
          <w:rFonts w:cstheme="minorHAnsi"/>
          <w:szCs w:val="26"/>
        </w:rPr>
        <w:t xml:space="preserve">is obligated to comply with the disclosure </w:t>
      </w:r>
      <w:r w:rsidRPr="000641B0" w:rsidR="0006519B">
        <w:rPr>
          <w:rFonts w:cstheme="minorHAnsi"/>
          <w:szCs w:val="26"/>
        </w:rPr>
        <w:t xml:space="preserve">requirements imposed by </w:t>
      </w:r>
      <w:r w:rsidRPr="000641B0">
        <w:rPr>
          <w:rFonts w:cstheme="minorHAnsi"/>
          <w:i/>
          <w:iCs/>
          <w:szCs w:val="26"/>
        </w:rPr>
        <w:t>Brady</w:t>
      </w:r>
      <w:r w:rsidRPr="000641B0">
        <w:rPr>
          <w:rFonts w:cstheme="minorHAnsi"/>
          <w:szCs w:val="26"/>
        </w:rPr>
        <w:t xml:space="preserve"> </w:t>
      </w:r>
      <w:r w:rsidRPr="000641B0" w:rsidR="0006519B">
        <w:rPr>
          <w:rFonts w:cstheme="minorHAnsi"/>
          <w:szCs w:val="26"/>
        </w:rPr>
        <w:t>and its progeny</w:t>
      </w:r>
      <w:r w:rsidRPr="000641B0">
        <w:rPr>
          <w:rFonts w:cstheme="minorHAnsi"/>
          <w:szCs w:val="26"/>
        </w:rPr>
        <w:t>.  (</w:t>
      </w:r>
      <w:r w:rsidRPr="000641B0">
        <w:rPr>
          <w:rFonts w:cstheme="minorHAnsi"/>
          <w:i/>
          <w:iCs/>
          <w:szCs w:val="26"/>
        </w:rPr>
        <w:t>Steidl</w:t>
      </w:r>
      <w:r w:rsidRPr="000641B0">
        <w:rPr>
          <w:rFonts w:cstheme="minorHAnsi"/>
          <w:szCs w:val="26"/>
        </w:rPr>
        <w:t>,</w:t>
      </w:r>
      <w:r w:rsidRPr="000641B0">
        <w:rPr>
          <w:rFonts w:cstheme="minorHAnsi"/>
          <w:i/>
          <w:iCs/>
          <w:szCs w:val="26"/>
        </w:rPr>
        <w:t xml:space="preserve"> supra</w:t>
      </w:r>
      <w:r w:rsidRPr="000641B0">
        <w:rPr>
          <w:rFonts w:cstheme="minorHAnsi"/>
          <w:szCs w:val="26"/>
        </w:rPr>
        <w:t>, 494 F.3d at pp.</w:t>
      </w:r>
      <w:r w:rsidRPr="000641B0" w:rsidR="0006519B">
        <w:rPr>
          <w:rFonts w:cstheme="minorHAnsi"/>
          <w:szCs w:val="26"/>
        </w:rPr>
        <w:t> </w:t>
      </w:r>
      <w:r w:rsidRPr="000641B0">
        <w:rPr>
          <w:rFonts w:cstheme="minorHAnsi"/>
          <w:szCs w:val="26"/>
        </w:rPr>
        <w:t>630</w:t>
      </w:r>
      <w:r w:rsidRPr="000641B0" w:rsidR="0006519B">
        <w:rPr>
          <w:bCs/>
        </w:rPr>
        <w:t>–</w:t>
      </w:r>
      <w:r w:rsidRPr="000641B0">
        <w:rPr>
          <w:rFonts w:cstheme="minorHAnsi"/>
          <w:szCs w:val="26"/>
        </w:rPr>
        <w:t xml:space="preserve">631, citing </w:t>
      </w:r>
      <w:r w:rsidRPr="000641B0">
        <w:rPr>
          <w:rFonts w:cstheme="minorHAnsi"/>
          <w:i/>
          <w:iCs/>
          <w:szCs w:val="26"/>
        </w:rPr>
        <w:t>Youngblood v. West Virginia</w:t>
      </w:r>
      <w:r w:rsidRPr="000641B0">
        <w:rPr>
          <w:rFonts w:cstheme="minorHAnsi"/>
          <w:szCs w:val="26"/>
        </w:rPr>
        <w:t xml:space="preserve"> (2006) 547 U.S. 867, 869</w:t>
      </w:r>
      <w:r w:rsidRPr="000641B0" w:rsidR="0006519B">
        <w:rPr>
          <w:bCs/>
        </w:rPr>
        <w:t>–</w:t>
      </w:r>
      <w:r w:rsidRPr="000641B0">
        <w:rPr>
          <w:rFonts w:cstheme="minorHAnsi"/>
          <w:szCs w:val="26"/>
        </w:rPr>
        <w:t>870; accord</w:t>
      </w:r>
      <w:r w:rsidR="00ED224A">
        <w:rPr>
          <w:rFonts w:cstheme="minorHAnsi"/>
          <w:szCs w:val="26"/>
        </w:rPr>
        <w:t>,</w:t>
      </w:r>
      <w:r w:rsidRPr="000641B0">
        <w:rPr>
          <w:rFonts w:cstheme="minorHAnsi"/>
          <w:szCs w:val="26"/>
        </w:rPr>
        <w:t xml:space="preserve"> </w:t>
      </w:r>
      <w:r w:rsidRPr="000641B0">
        <w:rPr>
          <w:rFonts w:cstheme="minorHAnsi"/>
          <w:i/>
          <w:iCs/>
          <w:szCs w:val="26"/>
        </w:rPr>
        <w:t>Johnson</w:t>
      </w:r>
      <w:r w:rsidRPr="000641B0">
        <w:rPr>
          <w:rFonts w:cstheme="minorHAnsi"/>
          <w:szCs w:val="26"/>
        </w:rPr>
        <w:t>,</w:t>
      </w:r>
      <w:r w:rsidRPr="000641B0">
        <w:rPr>
          <w:rFonts w:cstheme="minorHAnsi"/>
          <w:i/>
          <w:iCs/>
          <w:szCs w:val="26"/>
        </w:rPr>
        <w:t xml:space="preserve"> supra</w:t>
      </w:r>
      <w:r w:rsidRPr="000641B0">
        <w:rPr>
          <w:rFonts w:cstheme="minorHAnsi"/>
          <w:szCs w:val="26"/>
        </w:rPr>
        <w:t>, 61</w:t>
      </w:r>
      <w:r w:rsidR="00067CE5">
        <w:rPr>
          <w:rFonts w:cstheme="minorHAnsi"/>
          <w:szCs w:val="26"/>
        </w:rPr>
        <w:t> </w:t>
      </w:r>
      <w:r w:rsidRPr="000641B0">
        <w:rPr>
          <w:rFonts w:cstheme="minorHAnsi"/>
          <w:szCs w:val="26"/>
        </w:rPr>
        <w:t>Cal.4th at p.</w:t>
      </w:r>
      <w:r w:rsidRPr="000641B0" w:rsidR="0006519B">
        <w:rPr>
          <w:rFonts w:cstheme="minorHAnsi"/>
          <w:szCs w:val="26"/>
        </w:rPr>
        <w:t> </w:t>
      </w:r>
      <w:r w:rsidRPr="000641B0">
        <w:rPr>
          <w:rFonts w:cstheme="minorHAnsi"/>
          <w:szCs w:val="26"/>
        </w:rPr>
        <w:t>716 [“</w:t>
      </w:r>
      <w:r w:rsidRPr="000641B0" w:rsidR="005F7082">
        <w:rPr>
          <w:rFonts w:cstheme="minorHAnsi"/>
          <w:szCs w:val="26"/>
        </w:rPr>
        <w:t> </w:t>
      </w:r>
      <w:r w:rsidRPr="000641B0" w:rsidR="00021D16">
        <w:rPr>
          <w:rFonts w:cstheme="minorHAnsi"/>
          <w:szCs w:val="26"/>
        </w:rPr>
        <w:t>‘</w:t>
      </w:r>
      <w:r w:rsidRPr="000641B0">
        <w:rPr>
          <w:rFonts w:cstheme="minorHAnsi"/>
          <w:szCs w:val="26"/>
        </w:rPr>
        <w:t>suppression by the </w:t>
      </w:r>
      <w:r w:rsidRPr="000641B0">
        <w:rPr>
          <w:rFonts w:cstheme="minorHAnsi"/>
          <w:i/>
          <w:iCs/>
          <w:szCs w:val="26"/>
        </w:rPr>
        <w:t>Government</w:t>
      </w:r>
      <w:r w:rsidRPr="000641B0">
        <w:rPr>
          <w:rFonts w:cstheme="minorHAnsi"/>
          <w:szCs w:val="26"/>
        </w:rPr>
        <w:t> is a necessary element of a </w:t>
      </w:r>
      <w:r w:rsidRPr="000641B0">
        <w:rPr>
          <w:rFonts w:cstheme="minorHAnsi"/>
          <w:i/>
          <w:iCs/>
          <w:szCs w:val="26"/>
        </w:rPr>
        <w:t>Brady</w:t>
      </w:r>
      <w:r w:rsidRPr="000641B0">
        <w:rPr>
          <w:rFonts w:cstheme="minorHAnsi"/>
          <w:szCs w:val="26"/>
        </w:rPr>
        <w:t> claim</w:t>
      </w:r>
      <w:r w:rsidRPr="000641B0" w:rsidR="00021D16">
        <w:rPr>
          <w:rFonts w:cstheme="minorHAnsi"/>
          <w:szCs w:val="26"/>
        </w:rPr>
        <w:t>’</w:t>
      </w:r>
      <w:r w:rsidRPr="000641B0" w:rsidR="005F7082">
        <w:rPr>
          <w:rFonts w:cstheme="minorHAnsi"/>
          <w:szCs w:val="26"/>
        </w:rPr>
        <w:t> </w:t>
      </w:r>
      <w:r w:rsidRPr="000641B0">
        <w:rPr>
          <w:rFonts w:cstheme="minorHAnsi"/>
          <w:szCs w:val="26"/>
        </w:rPr>
        <w:t>”</w:t>
      </w:r>
      <w:r w:rsidR="00ED224A">
        <w:rPr>
          <w:rFonts w:cstheme="minorHAnsi"/>
          <w:szCs w:val="26"/>
        </w:rPr>
        <w:t xml:space="preserve"> (italics added)</w:t>
      </w:r>
      <w:r w:rsidRPr="000641B0" w:rsidR="0006519B">
        <w:rPr>
          <w:rFonts w:cstheme="minorHAnsi"/>
          <w:szCs w:val="26"/>
        </w:rPr>
        <w:t>]</w:t>
      </w:r>
      <w:r w:rsidRPr="000641B0">
        <w:rPr>
          <w:rFonts w:cstheme="minorHAnsi"/>
          <w:szCs w:val="26"/>
        </w:rPr>
        <w:t xml:space="preserve">; </w:t>
      </w:r>
      <w:bookmarkStart w:id="30" w:name="_Hlk115250621"/>
      <w:r w:rsidRPr="000641B0">
        <w:rPr>
          <w:rFonts w:cstheme="minorHAnsi"/>
          <w:i/>
          <w:iCs/>
          <w:szCs w:val="26"/>
        </w:rPr>
        <w:t>People v. Williams</w:t>
      </w:r>
      <w:r w:rsidRPr="000641B0">
        <w:rPr>
          <w:rFonts w:cstheme="minorHAnsi"/>
          <w:szCs w:val="26"/>
        </w:rPr>
        <w:t xml:space="preserve"> (2013) 58 Cal.4th 197, 256</w:t>
      </w:r>
      <w:bookmarkEnd w:id="30"/>
      <w:r w:rsidRPr="006B24BD" w:rsidR="006B24BD">
        <w:rPr>
          <w:rFonts w:cstheme="minorHAnsi"/>
          <w:szCs w:val="26"/>
        </w:rPr>
        <w:t xml:space="preserve">, </w:t>
      </w:r>
      <w:r w:rsidRPr="006B24BD" w:rsidR="006B24BD">
        <w:rPr>
          <w:rFonts w:cstheme="minorHAnsi"/>
          <w:bCs/>
          <w:szCs w:val="26"/>
        </w:rPr>
        <w:t xml:space="preserve">quoting </w:t>
      </w:r>
      <w:r w:rsidRPr="006B24BD" w:rsidR="006B24BD">
        <w:rPr>
          <w:rFonts w:cstheme="minorHAnsi"/>
          <w:bCs/>
          <w:i/>
          <w:iCs/>
          <w:szCs w:val="26"/>
        </w:rPr>
        <w:t>Kyles</w:t>
      </w:r>
      <w:r w:rsidRPr="006B24BD" w:rsidR="006B24BD">
        <w:rPr>
          <w:rFonts w:cstheme="minorHAnsi"/>
          <w:bCs/>
          <w:szCs w:val="26"/>
        </w:rPr>
        <w:t xml:space="preserve">, </w:t>
      </w:r>
      <w:r w:rsidRPr="006B24BD" w:rsidR="006B24BD">
        <w:rPr>
          <w:rFonts w:cstheme="minorHAnsi"/>
          <w:bCs/>
          <w:i/>
          <w:iCs/>
          <w:szCs w:val="26"/>
        </w:rPr>
        <w:t>supra</w:t>
      </w:r>
      <w:r w:rsidRPr="006B24BD" w:rsidR="006B24BD">
        <w:rPr>
          <w:rFonts w:cstheme="minorHAnsi"/>
          <w:bCs/>
          <w:szCs w:val="26"/>
        </w:rPr>
        <w:t>, 514</w:t>
      </w:r>
      <w:r w:rsidR="00067CE5">
        <w:rPr>
          <w:rFonts w:cstheme="minorHAnsi"/>
          <w:bCs/>
          <w:szCs w:val="26"/>
        </w:rPr>
        <w:t> </w:t>
      </w:r>
      <w:r w:rsidRPr="006B24BD" w:rsidR="006B24BD">
        <w:rPr>
          <w:rFonts w:cstheme="minorHAnsi"/>
          <w:bCs/>
          <w:szCs w:val="26"/>
        </w:rPr>
        <w:t>U.S. at p. 434</w:t>
      </w:r>
      <w:r w:rsidRPr="000641B0">
        <w:rPr>
          <w:rFonts w:cstheme="minorHAnsi"/>
          <w:szCs w:val="26"/>
        </w:rPr>
        <w:t xml:space="preserve"> [</w:t>
      </w:r>
      <w:r w:rsidRPr="000641B0" w:rsidR="0006519B">
        <w:rPr>
          <w:rFonts w:cstheme="minorHAnsi"/>
          <w:szCs w:val="26"/>
        </w:rPr>
        <w:t>“</w:t>
      </w:r>
      <w:r w:rsidRPr="000641B0" w:rsidR="005F7082">
        <w:rPr>
          <w:rFonts w:cstheme="minorHAnsi"/>
          <w:szCs w:val="26"/>
        </w:rPr>
        <w:t> </w:t>
      </w:r>
      <w:r w:rsidRPr="000641B0" w:rsidR="00CB5B3F">
        <w:rPr>
          <w:rFonts w:cstheme="minorHAnsi"/>
          <w:szCs w:val="26"/>
        </w:rPr>
        <w:t>‘</w:t>
      </w:r>
      <w:r w:rsidRPr="000641B0">
        <w:rPr>
          <w:rFonts w:cstheme="minorHAnsi"/>
          <w:szCs w:val="26"/>
        </w:rPr>
        <w:t xml:space="preserve">A </w:t>
      </w:r>
      <w:r w:rsidRPr="000641B0" w:rsidR="00CB5B3F">
        <w:rPr>
          <w:rFonts w:cstheme="minorHAnsi"/>
          <w:szCs w:val="26"/>
        </w:rPr>
        <w:t>“</w:t>
      </w:r>
      <w:r w:rsidRPr="000641B0">
        <w:rPr>
          <w:rFonts w:cstheme="minorHAnsi"/>
          <w:szCs w:val="26"/>
        </w:rPr>
        <w:t xml:space="preserve">reasonable </w:t>
      </w:r>
      <w:r w:rsidRPr="000641B0" w:rsidR="00CB5B3F">
        <w:rPr>
          <w:rFonts w:cstheme="minorHAnsi"/>
          <w:szCs w:val="26"/>
        </w:rPr>
        <w:t xml:space="preserve">probability” </w:t>
      </w:r>
      <w:r w:rsidRPr="000641B0">
        <w:rPr>
          <w:rFonts w:cstheme="minorHAnsi"/>
          <w:szCs w:val="26"/>
        </w:rPr>
        <w:t xml:space="preserve">of a different result is accordingly shown when the </w:t>
      </w:r>
      <w:r w:rsidRPr="000641B0">
        <w:rPr>
          <w:rFonts w:cstheme="minorHAnsi"/>
          <w:i/>
          <w:iCs/>
          <w:szCs w:val="26"/>
        </w:rPr>
        <w:t xml:space="preserve">government’s </w:t>
      </w:r>
      <w:r w:rsidRPr="000641B0">
        <w:rPr>
          <w:rFonts w:cstheme="minorHAnsi"/>
          <w:szCs w:val="26"/>
        </w:rPr>
        <w:t xml:space="preserve">evidentiary suppression </w:t>
      </w:r>
      <w:r w:rsidRPr="000641B0" w:rsidR="00CB5B3F">
        <w:rPr>
          <w:rFonts w:cstheme="minorHAnsi"/>
          <w:szCs w:val="26"/>
        </w:rPr>
        <w:t>“</w:t>
      </w:r>
      <w:r w:rsidRPr="000641B0">
        <w:rPr>
          <w:rFonts w:cstheme="minorHAnsi"/>
          <w:szCs w:val="26"/>
        </w:rPr>
        <w:t>undermines confidence in the outcome of the trial</w:t>
      </w:r>
      <w:r w:rsidRPr="000641B0" w:rsidR="00CB5B3F">
        <w:rPr>
          <w:rFonts w:cstheme="minorHAnsi"/>
          <w:szCs w:val="26"/>
        </w:rPr>
        <w:t>”</w:t>
      </w:r>
      <w:r w:rsidRPr="000641B0" w:rsidR="005F7082">
        <w:rPr>
          <w:rFonts w:cstheme="minorHAnsi"/>
          <w:szCs w:val="26"/>
        </w:rPr>
        <w:t> </w:t>
      </w:r>
      <w:r w:rsidRPr="000641B0">
        <w:rPr>
          <w:rFonts w:cstheme="minorHAnsi"/>
          <w:szCs w:val="26"/>
        </w:rPr>
        <w:t>’</w:t>
      </w:r>
      <w:r w:rsidRPr="000641B0" w:rsidR="0006519B">
        <w:rPr>
          <w:rFonts w:cstheme="minorHAnsi"/>
          <w:szCs w:val="26"/>
        </w:rPr>
        <w:t> </w:t>
      </w:r>
      <w:r w:rsidRPr="000641B0">
        <w:rPr>
          <w:rFonts w:cstheme="minorHAnsi"/>
          <w:szCs w:val="26"/>
        </w:rPr>
        <w:t>”</w:t>
      </w:r>
      <w:r w:rsidR="00ED224A">
        <w:rPr>
          <w:rFonts w:cstheme="minorHAnsi"/>
          <w:szCs w:val="26"/>
        </w:rPr>
        <w:t xml:space="preserve"> (italics added)</w:t>
      </w:r>
      <w:r w:rsidRPr="000641B0" w:rsidR="0006519B">
        <w:rPr>
          <w:rFonts w:cstheme="minorHAnsi"/>
          <w:szCs w:val="26"/>
        </w:rPr>
        <w:t>]</w:t>
      </w:r>
      <w:r w:rsidRPr="006B24BD">
        <w:rPr>
          <w:rFonts w:cstheme="minorHAnsi"/>
          <w:bCs/>
          <w:szCs w:val="26"/>
        </w:rPr>
        <w:t>.</w:t>
      </w:r>
      <w:r w:rsidRPr="000641B0">
        <w:rPr>
          <w:rFonts w:cstheme="minorHAnsi"/>
          <w:bCs/>
          <w:szCs w:val="26"/>
        </w:rPr>
        <w:t xml:space="preserve">)  And, of course, </w:t>
      </w:r>
      <w:r w:rsidRPr="000641B0">
        <w:rPr>
          <w:rFonts w:cstheme="minorHAnsi"/>
          <w:szCs w:val="26"/>
        </w:rPr>
        <w:t>the Attorney General acts on behalf of the government</w:t>
      </w:r>
      <w:r w:rsidRPr="000641B0" w:rsidR="00A670BC">
        <w:rPr>
          <w:rFonts w:cstheme="minorHAnsi"/>
          <w:szCs w:val="26"/>
        </w:rPr>
        <w:t xml:space="preserve">. </w:t>
      </w:r>
      <w:r w:rsidRPr="000641B0" w:rsidR="0006519B">
        <w:rPr>
          <w:rFonts w:cstheme="minorHAnsi"/>
          <w:szCs w:val="26"/>
        </w:rPr>
        <w:t xml:space="preserve"> </w:t>
      </w:r>
      <w:r w:rsidRPr="000641B0">
        <w:rPr>
          <w:rFonts w:cstheme="minorHAnsi"/>
          <w:szCs w:val="26"/>
        </w:rPr>
        <w:t>(</w:t>
      </w:r>
      <w:r w:rsidRPr="000641B0" w:rsidR="00A670BC">
        <w:rPr>
          <w:rFonts w:cstheme="minorHAnsi"/>
          <w:szCs w:val="26"/>
        </w:rPr>
        <w:t>S</w:t>
      </w:r>
      <w:r w:rsidRPr="000641B0">
        <w:rPr>
          <w:rFonts w:cstheme="minorHAnsi"/>
          <w:szCs w:val="26"/>
        </w:rPr>
        <w:t>ee Cal. Const.</w:t>
      </w:r>
      <w:r w:rsidRPr="000641B0" w:rsidR="000D5E89">
        <w:rPr>
          <w:rFonts w:cstheme="minorHAnsi"/>
          <w:szCs w:val="26"/>
        </w:rPr>
        <w:t>,</w:t>
      </w:r>
      <w:r w:rsidRPr="000641B0">
        <w:rPr>
          <w:rFonts w:cstheme="minorHAnsi"/>
          <w:szCs w:val="26"/>
        </w:rPr>
        <w:t xml:space="preserve"> art.</w:t>
      </w:r>
      <w:r w:rsidRPr="000641B0" w:rsidR="00D46541">
        <w:rPr>
          <w:rFonts w:cstheme="minorHAnsi"/>
          <w:szCs w:val="26"/>
        </w:rPr>
        <w:t> </w:t>
      </w:r>
      <w:r w:rsidRPr="000641B0">
        <w:rPr>
          <w:rFonts w:cstheme="minorHAnsi"/>
          <w:szCs w:val="26"/>
        </w:rPr>
        <w:t>V, §</w:t>
      </w:r>
      <w:r w:rsidRPr="000641B0" w:rsidR="00D46541">
        <w:rPr>
          <w:rFonts w:cstheme="minorHAnsi"/>
          <w:szCs w:val="26"/>
        </w:rPr>
        <w:t> </w:t>
      </w:r>
      <w:r w:rsidRPr="000641B0">
        <w:rPr>
          <w:rFonts w:cstheme="minorHAnsi"/>
          <w:szCs w:val="26"/>
        </w:rPr>
        <w:t>13 [“</w:t>
      </w:r>
      <w:r w:rsidR="00C20E30">
        <w:rPr>
          <w:rFonts w:cstheme="minorHAnsi"/>
          <w:szCs w:val="26"/>
        </w:rPr>
        <w:t>t</w:t>
      </w:r>
      <w:r w:rsidRPr="000641B0" w:rsidR="00C20E30">
        <w:rPr>
          <w:rFonts w:cstheme="minorHAnsi"/>
          <w:szCs w:val="26"/>
        </w:rPr>
        <w:t xml:space="preserve">he </w:t>
      </w:r>
      <w:r w:rsidRPr="000641B0">
        <w:rPr>
          <w:rFonts w:cstheme="minorHAnsi"/>
          <w:szCs w:val="26"/>
        </w:rPr>
        <w:t>Attorney General shall be the chief law officer of the State.  It shall be the duty of the Attorney General to see that the laws of the State are uniformly and adequately enforced”]</w:t>
      </w:r>
      <w:r w:rsidRPr="000641B0" w:rsidR="0006519B">
        <w:rPr>
          <w:rFonts w:cstheme="minorHAnsi"/>
          <w:szCs w:val="26"/>
        </w:rPr>
        <w:t>.</w:t>
      </w:r>
      <w:r w:rsidRPr="000641B0">
        <w:rPr>
          <w:rFonts w:cstheme="minorHAnsi"/>
          <w:szCs w:val="26"/>
        </w:rPr>
        <w:t xml:space="preserve">)  </w:t>
      </w:r>
    </w:p>
    <w:p w:rsidR="009910AB" w:rsidP="000641B0" w14:paraId="2CB59573" w14:textId="14BBD7D5">
      <w:pPr>
        <w:ind w:firstLine="720"/>
        <w:rPr>
          <w:rFonts w:cstheme="minorHAnsi"/>
          <w:szCs w:val="26"/>
        </w:rPr>
      </w:pPr>
      <w:r w:rsidRPr="000641B0">
        <w:rPr>
          <w:rFonts w:cstheme="minorHAnsi"/>
          <w:szCs w:val="26"/>
        </w:rPr>
        <w:t xml:space="preserve">The Attorney General offers </w:t>
      </w:r>
      <w:r w:rsidRPr="000641B0" w:rsidR="008D67A2">
        <w:rPr>
          <w:rFonts w:cstheme="minorHAnsi"/>
          <w:szCs w:val="26"/>
        </w:rPr>
        <w:t xml:space="preserve">several </w:t>
      </w:r>
      <w:r w:rsidRPr="000641B0">
        <w:rPr>
          <w:rFonts w:cstheme="minorHAnsi"/>
          <w:szCs w:val="26"/>
        </w:rPr>
        <w:t xml:space="preserve">arguments to </w:t>
      </w:r>
      <w:r w:rsidRPr="000641B0" w:rsidR="005B33BD">
        <w:rPr>
          <w:rFonts w:cstheme="minorHAnsi"/>
          <w:szCs w:val="26"/>
        </w:rPr>
        <w:t xml:space="preserve">support the </w:t>
      </w:r>
      <w:r w:rsidRPr="000641B0" w:rsidR="008D67A2">
        <w:rPr>
          <w:rFonts w:cstheme="minorHAnsi"/>
          <w:szCs w:val="26"/>
        </w:rPr>
        <w:t xml:space="preserve">contention that </w:t>
      </w:r>
      <w:r w:rsidRPr="000641B0" w:rsidR="00DC3AB0">
        <w:rPr>
          <w:rFonts w:cstheme="minorHAnsi"/>
          <w:szCs w:val="26"/>
        </w:rPr>
        <w:t>he</w:t>
      </w:r>
      <w:r w:rsidRPr="000641B0" w:rsidR="008D67A2">
        <w:rPr>
          <w:rFonts w:cstheme="minorHAnsi"/>
          <w:szCs w:val="26"/>
        </w:rPr>
        <w:t xml:space="preserve"> </w:t>
      </w:r>
      <w:r w:rsidRPr="000641B0" w:rsidR="00FE3DF8">
        <w:rPr>
          <w:rFonts w:cstheme="minorHAnsi"/>
          <w:szCs w:val="26"/>
        </w:rPr>
        <w:t xml:space="preserve">does not have a duty to disclose evidence under </w:t>
      </w:r>
      <w:r w:rsidRPr="000641B0" w:rsidR="00FE3DF8">
        <w:rPr>
          <w:rFonts w:cstheme="minorHAnsi"/>
          <w:i/>
          <w:iCs/>
          <w:szCs w:val="26"/>
        </w:rPr>
        <w:t>Brady</w:t>
      </w:r>
      <w:r w:rsidRPr="000641B0" w:rsidR="00FE3DF8">
        <w:rPr>
          <w:rFonts w:cstheme="minorHAnsi"/>
          <w:szCs w:val="26"/>
        </w:rPr>
        <w:t xml:space="preserve"> </w:t>
      </w:r>
      <w:r w:rsidRPr="000641B0" w:rsidR="00712751">
        <w:rPr>
          <w:rFonts w:cstheme="minorHAnsi"/>
          <w:szCs w:val="26"/>
        </w:rPr>
        <w:t>in the postconviction context</w:t>
      </w:r>
      <w:r w:rsidRPr="000641B0" w:rsidR="008D67A2">
        <w:rPr>
          <w:rFonts w:cstheme="minorHAnsi"/>
          <w:szCs w:val="26"/>
        </w:rPr>
        <w:t>.</w:t>
      </w:r>
      <w:r w:rsidRPr="000641B0" w:rsidR="001235FE">
        <w:rPr>
          <w:rFonts w:cstheme="minorHAnsi"/>
          <w:szCs w:val="26"/>
        </w:rPr>
        <w:t xml:space="preserve">  We consider each in turn.</w:t>
      </w:r>
      <w:r w:rsidRPr="000641B0" w:rsidR="00BF24A3">
        <w:rPr>
          <w:rFonts w:cstheme="minorHAnsi"/>
          <w:szCs w:val="26"/>
        </w:rPr>
        <w:t xml:space="preserve">  </w:t>
      </w:r>
      <w:r w:rsidRPr="000641B0" w:rsidR="00803B34">
        <w:rPr>
          <w:rFonts w:cstheme="minorHAnsi"/>
          <w:szCs w:val="26"/>
        </w:rPr>
        <w:t xml:space="preserve">First, the Attorney General </w:t>
      </w:r>
      <w:r w:rsidRPr="000641B0" w:rsidR="00D22408">
        <w:rPr>
          <w:rFonts w:cstheme="minorHAnsi"/>
          <w:szCs w:val="26"/>
        </w:rPr>
        <w:t xml:space="preserve">argues that </w:t>
      </w:r>
      <w:r w:rsidRPr="000641B0" w:rsidR="00743590">
        <w:rPr>
          <w:rFonts w:cstheme="minorHAnsi"/>
          <w:szCs w:val="26"/>
        </w:rPr>
        <w:t>“</w:t>
      </w:r>
      <w:r w:rsidR="009700C8">
        <w:rPr>
          <w:rFonts w:cstheme="minorHAnsi"/>
          <w:szCs w:val="26"/>
        </w:rPr>
        <w:t>[</w:t>
      </w:r>
      <w:r w:rsidRPr="000641B0" w:rsidR="00743590">
        <w:rPr>
          <w:rFonts w:cstheme="minorHAnsi"/>
          <w:szCs w:val="26"/>
        </w:rPr>
        <w:t>t</w:t>
      </w:r>
      <w:r w:rsidR="009700C8">
        <w:rPr>
          <w:rFonts w:cstheme="minorHAnsi"/>
          <w:szCs w:val="26"/>
        </w:rPr>
        <w:t>]</w:t>
      </w:r>
      <w:r w:rsidRPr="000641B0" w:rsidR="00743590">
        <w:rPr>
          <w:rFonts w:cstheme="minorHAnsi"/>
          <w:szCs w:val="26"/>
        </w:rPr>
        <w:t xml:space="preserve">here is no due process requirement that compels the Attorney General to disclose </w:t>
      </w:r>
      <w:r w:rsidRPr="000641B0" w:rsidR="00743590">
        <w:rPr>
          <w:rFonts w:cstheme="minorHAnsi"/>
          <w:i/>
          <w:iCs/>
          <w:szCs w:val="26"/>
        </w:rPr>
        <w:t xml:space="preserve">alleged Brady </w:t>
      </w:r>
      <w:r w:rsidRPr="000641B0" w:rsidR="00743590">
        <w:rPr>
          <w:rFonts w:cstheme="minorHAnsi"/>
          <w:szCs w:val="26"/>
        </w:rPr>
        <w:t>evidence at the outs</w:t>
      </w:r>
      <w:r w:rsidRPr="000641B0" w:rsidR="008B4591">
        <w:rPr>
          <w:rFonts w:cstheme="minorHAnsi"/>
          <w:szCs w:val="26"/>
        </w:rPr>
        <w:t xml:space="preserve">et </w:t>
      </w:r>
      <w:r w:rsidRPr="000641B0" w:rsidR="00743590">
        <w:rPr>
          <w:rFonts w:cstheme="minorHAnsi"/>
          <w:szCs w:val="26"/>
        </w:rPr>
        <w:t>of habeas litigation merely because a habeas petition raises a</w:t>
      </w:r>
      <w:r w:rsidRPr="000641B0" w:rsidR="008B4591">
        <w:rPr>
          <w:rFonts w:cstheme="minorHAnsi"/>
          <w:szCs w:val="26"/>
        </w:rPr>
        <w:t xml:space="preserve"> </w:t>
      </w:r>
      <w:r w:rsidRPr="000641B0" w:rsidR="00743590">
        <w:rPr>
          <w:rFonts w:cstheme="minorHAnsi"/>
          <w:i/>
          <w:iCs/>
          <w:szCs w:val="26"/>
        </w:rPr>
        <w:t xml:space="preserve">Brady </w:t>
      </w:r>
      <w:r w:rsidRPr="000641B0" w:rsidR="00743590">
        <w:rPr>
          <w:rFonts w:cstheme="minorHAnsi"/>
          <w:szCs w:val="26"/>
        </w:rPr>
        <w:t>claim.</w:t>
      </w:r>
      <w:r w:rsidRPr="000641B0" w:rsidR="00C03D0B">
        <w:rPr>
          <w:rFonts w:cstheme="minorHAnsi"/>
          <w:szCs w:val="26"/>
        </w:rPr>
        <w:t xml:space="preserve">” </w:t>
      </w:r>
      <w:r w:rsidRPr="000641B0" w:rsidR="000106C4">
        <w:rPr>
          <w:rFonts w:cstheme="minorHAnsi"/>
          <w:szCs w:val="26"/>
        </w:rPr>
        <w:t xml:space="preserve"> </w:t>
      </w:r>
      <w:r w:rsidRPr="000641B0" w:rsidR="008B4591">
        <w:rPr>
          <w:rFonts w:cstheme="minorHAnsi"/>
          <w:szCs w:val="26"/>
        </w:rPr>
        <w:t>We</w:t>
      </w:r>
      <w:r w:rsidRPr="000641B0" w:rsidR="00777ABB">
        <w:rPr>
          <w:rFonts w:cstheme="minorHAnsi"/>
          <w:szCs w:val="26"/>
        </w:rPr>
        <w:t xml:space="preserve"> </w:t>
      </w:r>
      <w:r w:rsidRPr="000641B0" w:rsidR="00026994">
        <w:rPr>
          <w:rFonts w:cstheme="minorHAnsi"/>
          <w:szCs w:val="26"/>
        </w:rPr>
        <w:t>agree</w:t>
      </w:r>
      <w:r w:rsidRPr="000641B0" w:rsidR="000A79AA">
        <w:rPr>
          <w:rFonts w:cstheme="minorHAnsi"/>
          <w:szCs w:val="26"/>
        </w:rPr>
        <w:t xml:space="preserve"> with the Attorney General</w:t>
      </w:r>
      <w:r w:rsidRPr="000641B0" w:rsidR="00026994">
        <w:rPr>
          <w:rFonts w:cstheme="minorHAnsi"/>
          <w:szCs w:val="26"/>
        </w:rPr>
        <w:t xml:space="preserve"> </w:t>
      </w:r>
      <w:r w:rsidRPr="000641B0" w:rsidR="00F56CCC">
        <w:rPr>
          <w:rFonts w:cstheme="minorHAnsi"/>
          <w:szCs w:val="26"/>
        </w:rPr>
        <w:t xml:space="preserve">insofar as he argues </w:t>
      </w:r>
      <w:r w:rsidRPr="000641B0" w:rsidR="00777ABB">
        <w:rPr>
          <w:rFonts w:cstheme="minorHAnsi"/>
          <w:szCs w:val="26"/>
        </w:rPr>
        <w:t xml:space="preserve">that </w:t>
      </w:r>
      <w:r w:rsidRPr="000641B0" w:rsidR="000A79AA">
        <w:rPr>
          <w:rFonts w:cstheme="minorHAnsi"/>
          <w:szCs w:val="26"/>
        </w:rPr>
        <w:t xml:space="preserve">a </w:t>
      </w:r>
      <w:r w:rsidRPr="000641B0" w:rsidR="00777ABB">
        <w:rPr>
          <w:rFonts w:cstheme="minorHAnsi"/>
          <w:szCs w:val="26"/>
        </w:rPr>
        <w:t>petitioner’s</w:t>
      </w:r>
      <w:r w:rsidRPr="000641B0" w:rsidR="00777ABB">
        <w:rPr>
          <w:rFonts w:cstheme="minorHAnsi"/>
          <w:i/>
          <w:iCs/>
          <w:szCs w:val="26"/>
        </w:rPr>
        <w:t xml:space="preserve"> allegations</w:t>
      </w:r>
      <w:r w:rsidRPr="000641B0" w:rsidR="00777ABB">
        <w:rPr>
          <w:rFonts w:cstheme="minorHAnsi"/>
          <w:szCs w:val="26"/>
        </w:rPr>
        <w:t xml:space="preserve"> </w:t>
      </w:r>
      <w:r w:rsidRPr="000641B0" w:rsidR="002A2609">
        <w:rPr>
          <w:rFonts w:cstheme="minorHAnsi"/>
          <w:szCs w:val="26"/>
        </w:rPr>
        <w:t xml:space="preserve">of a </w:t>
      </w:r>
      <w:r w:rsidRPr="000641B0" w:rsidR="002A2609">
        <w:rPr>
          <w:rFonts w:cstheme="minorHAnsi"/>
          <w:i/>
          <w:iCs/>
          <w:szCs w:val="26"/>
        </w:rPr>
        <w:t>Brady</w:t>
      </w:r>
      <w:r w:rsidRPr="000641B0" w:rsidR="002A2609">
        <w:rPr>
          <w:rFonts w:cstheme="minorHAnsi"/>
          <w:szCs w:val="26"/>
        </w:rPr>
        <w:t xml:space="preserve"> violation </w:t>
      </w:r>
      <w:r w:rsidRPr="000641B0" w:rsidR="00777ABB">
        <w:rPr>
          <w:rFonts w:cstheme="minorHAnsi"/>
          <w:szCs w:val="26"/>
        </w:rPr>
        <w:t xml:space="preserve">do not determine the </w:t>
      </w:r>
      <w:r w:rsidRPr="000641B0" w:rsidR="00026994">
        <w:rPr>
          <w:rFonts w:cstheme="minorHAnsi"/>
          <w:szCs w:val="26"/>
        </w:rPr>
        <w:t xml:space="preserve">existence of the </w:t>
      </w:r>
      <w:r w:rsidRPr="000641B0" w:rsidR="00777ABB">
        <w:rPr>
          <w:rFonts w:cstheme="minorHAnsi"/>
          <w:szCs w:val="26"/>
        </w:rPr>
        <w:t>A</w:t>
      </w:r>
      <w:r w:rsidRPr="000641B0" w:rsidR="008B4591">
        <w:rPr>
          <w:rFonts w:cstheme="minorHAnsi"/>
          <w:szCs w:val="26"/>
        </w:rPr>
        <w:t>ttorney General’s</w:t>
      </w:r>
      <w:r w:rsidRPr="000641B0" w:rsidR="00777ABB">
        <w:rPr>
          <w:rFonts w:cstheme="minorHAnsi"/>
          <w:szCs w:val="26"/>
        </w:rPr>
        <w:t xml:space="preserve"> </w:t>
      </w:r>
      <w:r w:rsidRPr="000641B0" w:rsidR="00241F10">
        <w:rPr>
          <w:rFonts w:cstheme="minorHAnsi"/>
          <w:i/>
          <w:iCs/>
          <w:szCs w:val="26"/>
        </w:rPr>
        <w:t>Brady</w:t>
      </w:r>
      <w:r w:rsidRPr="000641B0" w:rsidR="001319EE">
        <w:rPr>
          <w:rFonts w:cstheme="minorHAnsi"/>
          <w:szCs w:val="26"/>
        </w:rPr>
        <w:t xml:space="preserve"> </w:t>
      </w:r>
      <w:r w:rsidRPr="000641B0" w:rsidR="00777ABB">
        <w:rPr>
          <w:rFonts w:cstheme="minorHAnsi"/>
          <w:szCs w:val="26"/>
        </w:rPr>
        <w:t>duties.</w:t>
      </w:r>
      <w:r>
        <w:rPr>
          <w:rStyle w:val="FootnoteReference"/>
          <w:rFonts w:cstheme="minorHAnsi"/>
          <w:szCs w:val="26"/>
        </w:rPr>
        <w:footnoteReference w:id="10"/>
      </w:r>
      <w:r w:rsidRPr="000641B0" w:rsidR="00777ABB">
        <w:rPr>
          <w:rFonts w:cstheme="minorHAnsi"/>
          <w:szCs w:val="26"/>
        </w:rPr>
        <w:t xml:space="preserve">  </w:t>
      </w:r>
      <w:r w:rsidRPr="000641B0" w:rsidR="00084EB1">
        <w:rPr>
          <w:rFonts w:cstheme="minorHAnsi"/>
          <w:szCs w:val="26"/>
        </w:rPr>
        <w:t>W</w:t>
      </w:r>
      <w:r w:rsidRPr="000641B0" w:rsidR="00777ABB">
        <w:rPr>
          <w:rFonts w:cstheme="minorHAnsi"/>
          <w:szCs w:val="26"/>
        </w:rPr>
        <w:t>here the evidence</w:t>
      </w:r>
      <w:r w:rsidRPr="000641B0" w:rsidR="002A2609">
        <w:rPr>
          <w:rFonts w:cstheme="minorHAnsi"/>
          <w:szCs w:val="26"/>
        </w:rPr>
        <w:t xml:space="preserve"> underlying </w:t>
      </w:r>
      <w:r w:rsidRPr="000641B0" w:rsidR="009F7436">
        <w:rPr>
          <w:rFonts w:cstheme="minorHAnsi"/>
          <w:szCs w:val="26"/>
        </w:rPr>
        <w:t xml:space="preserve">a </w:t>
      </w:r>
      <w:r w:rsidRPr="000641B0" w:rsidR="009F7436">
        <w:rPr>
          <w:rFonts w:cstheme="minorHAnsi"/>
          <w:i/>
          <w:iCs/>
          <w:szCs w:val="26"/>
        </w:rPr>
        <w:t>Brady</w:t>
      </w:r>
      <w:r w:rsidRPr="000641B0" w:rsidR="002A2609">
        <w:rPr>
          <w:rFonts w:cstheme="minorHAnsi"/>
          <w:szCs w:val="26"/>
        </w:rPr>
        <w:t xml:space="preserve"> </w:t>
      </w:r>
      <w:r w:rsidRPr="000641B0" w:rsidR="0069714C">
        <w:rPr>
          <w:rFonts w:cstheme="minorHAnsi"/>
          <w:szCs w:val="26"/>
        </w:rPr>
        <w:t>habeas</w:t>
      </w:r>
      <w:r w:rsidR="00B36BA4">
        <w:rPr>
          <w:rFonts w:cstheme="minorHAnsi"/>
          <w:szCs w:val="26"/>
        </w:rPr>
        <w:t xml:space="preserve"> corpus</w:t>
      </w:r>
      <w:r w:rsidRPr="000641B0" w:rsidR="0069714C">
        <w:rPr>
          <w:rFonts w:cstheme="minorHAnsi"/>
          <w:szCs w:val="26"/>
        </w:rPr>
        <w:t xml:space="preserve"> </w:t>
      </w:r>
      <w:r w:rsidRPr="000641B0" w:rsidR="002A2609">
        <w:rPr>
          <w:rFonts w:cstheme="minorHAnsi"/>
          <w:szCs w:val="26"/>
        </w:rPr>
        <w:t>claim</w:t>
      </w:r>
      <w:r w:rsidRPr="000641B0" w:rsidR="00777ABB">
        <w:rPr>
          <w:rFonts w:cstheme="minorHAnsi"/>
          <w:szCs w:val="26"/>
        </w:rPr>
        <w:t xml:space="preserve"> </w:t>
      </w:r>
      <w:r w:rsidRPr="000641B0" w:rsidR="00505036">
        <w:rPr>
          <w:rFonts w:cstheme="minorHAnsi"/>
          <w:szCs w:val="26"/>
        </w:rPr>
        <w:t>w</w:t>
      </w:r>
      <w:r w:rsidRPr="000641B0" w:rsidR="003C6A63">
        <w:rPr>
          <w:rFonts w:cstheme="minorHAnsi"/>
          <w:szCs w:val="26"/>
        </w:rPr>
        <w:t>ould</w:t>
      </w:r>
      <w:r w:rsidRPr="000641B0" w:rsidR="00505036">
        <w:rPr>
          <w:rFonts w:cstheme="minorHAnsi"/>
          <w:szCs w:val="26"/>
        </w:rPr>
        <w:t xml:space="preserve"> not have been subject to disclosure </w:t>
      </w:r>
      <w:r w:rsidRPr="000641B0" w:rsidR="00D031D9">
        <w:rPr>
          <w:rFonts w:cstheme="minorHAnsi"/>
          <w:szCs w:val="26"/>
        </w:rPr>
        <w:t xml:space="preserve">by </w:t>
      </w:r>
      <w:r w:rsidRPr="000641B0" w:rsidR="000106C4">
        <w:rPr>
          <w:rFonts w:cstheme="minorHAnsi"/>
          <w:szCs w:val="26"/>
        </w:rPr>
        <w:t>the government</w:t>
      </w:r>
      <w:r w:rsidRPr="000641B0" w:rsidR="00D031D9">
        <w:rPr>
          <w:rFonts w:cstheme="minorHAnsi"/>
          <w:szCs w:val="26"/>
        </w:rPr>
        <w:t xml:space="preserve"> prior </w:t>
      </w:r>
      <w:r w:rsidRPr="000641B0" w:rsidR="00AD3D2F">
        <w:rPr>
          <w:rFonts w:cstheme="minorHAnsi"/>
          <w:szCs w:val="26"/>
        </w:rPr>
        <w:t xml:space="preserve">to </w:t>
      </w:r>
      <w:r w:rsidRPr="000641B0" w:rsidR="00416A56">
        <w:rPr>
          <w:rFonts w:cstheme="minorHAnsi"/>
          <w:szCs w:val="26"/>
        </w:rPr>
        <w:t>conviction</w:t>
      </w:r>
      <w:r w:rsidRPr="000641B0" w:rsidR="00EF7AD4">
        <w:rPr>
          <w:rFonts w:cstheme="minorHAnsi"/>
          <w:szCs w:val="26"/>
        </w:rPr>
        <w:t> —</w:t>
      </w:r>
      <w:r w:rsidR="00757AEE">
        <w:rPr>
          <w:rFonts w:cstheme="minorHAnsi"/>
          <w:szCs w:val="26"/>
        </w:rPr>
        <w:t xml:space="preserve"> </w:t>
      </w:r>
      <w:r w:rsidRPr="000641B0" w:rsidR="00EF7AD4">
        <w:rPr>
          <w:rFonts w:cstheme="minorHAnsi"/>
          <w:szCs w:val="26"/>
        </w:rPr>
        <w:t xml:space="preserve">because, for example, such evidence was </w:t>
      </w:r>
      <w:r w:rsidRPr="000641B0" w:rsidR="005D5058">
        <w:rPr>
          <w:rFonts w:cstheme="minorHAnsi"/>
          <w:szCs w:val="26"/>
        </w:rPr>
        <w:t xml:space="preserve">not </w:t>
      </w:r>
      <w:r w:rsidRPr="000641B0" w:rsidR="00E40B1F">
        <w:rPr>
          <w:rFonts w:cstheme="minorHAnsi"/>
          <w:szCs w:val="26"/>
        </w:rPr>
        <w:t xml:space="preserve">favorable to </w:t>
      </w:r>
      <w:r w:rsidRPr="000641B0" w:rsidR="0084072D">
        <w:rPr>
          <w:rFonts w:cstheme="minorHAnsi"/>
          <w:szCs w:val="26"/>
        </w:rPr>
        <w:t xml:space="preserve">the defendant </w:t>
      </w:r>
      <w:r w:rsidRPr="000641B0" w:rsidR="007921CA">
        <w:rPr>
          <w:rFonts w:cstheme="minorHAnsi"/>
          <w:szCs w:val="26"/>
        </w:rPr>
        <w:t xml:space="preserve">and </w:t>
      </w:r>
      <w:r w:rsidRPr="000641B0" w:rsidR="00EF7AD4">
        <w:rPr>
          <w:rFonts w:cstheme="minorHAnsi"/>
          <w:szCs w:val="26"/>
        </w:rPr>
        <w:t>material —</w:t>
      </w:r>
      <w:r w:rsidR="00757AEE">
        <w:rPr>
          <w:rFonts w:cstheme="minorHAnsi"/>
          <w:szCs w:val="26"/>
        </w:rPr>
        <w:t xml:space="preserve"> </w:t>
      </w:r>
      <w:r w:rsidRPr="000641B0" w:rsidR="00777ABB">
        <w:rPr>
          <w:rFonts w:cstheme="minorHAnsi"/>
          <w:szCs w:val="26"/>
        </w:rPr>
        <w:t>then</w:t>
      </w:r>
      <w:r w:rsidRPr="000641B0" w:rsidR="00EF7AD4">
        <w:rPr>
          <w:rFonts w:cstheme="minorHAnsi"/>
          <w:szCs w:val="26"/>
        </w:rPr>
        <w:t xml:space="preserve"> </w:t>
      </w:r>
      <w:r w:rsidRPr="000641B0" w:rsidR="00C03D0B">
        <w:rPr>
          <w:rFonts w:cstheme="minorHAnsi"/>
          <w:szCs w:val="26"/>
        </w:rPr>
        <w:t>the</w:t>
      </w:r>
      <w:r w:rsidRPr="000641B0" w:rsidR="00777ABB">
        <w:rPr>
          <w:rFonts w:cstheme="minorHAnsi"/>
          <w:szCs w:val="26"/>
        </w:rPr>
        <w:t xml:space="preserve"> </w:t>
      </w:r>
      <w:r w:rsidRPr="000641B0" w:rsidR="008B4591">
        <w:rPr>
          <w:rFonts w:cstheme="minorHAnsi"/>
          <w:szCs w:val="26"/>
        </w:rPr>
        <w:t>Attorney General</w:t>
      </w:r>
      <w:r w:rsidRPr="000641B0" w:rsidR="00777ABB">
        <w:rPr>
          <w:rFonts w:cstheme="minorHAnsi"/>
          <w:szCs w:val="26"/>
        </w:rPr>
        <w:t xml:space="preserve"> </w:t>
      </w:r>
      <w:r w:rsidRPr="000641B0" w:rsidR="00C8199E">
        <w:rPr>
          <w:rFonts w:cstheme="minorHAnsi"/>
          <w:szCs w:val="26"/>
        </w:rPr>
        <w:t xml:space="preserve">has no </w:t>
      </w:r>
      <w:r w:rsidRPr="000641B0" w:rsidR="00084EB1">
        <w:rPr>
          <w:rFonts w:cstheme="minorHAnsi"/>
          <w:i/>
          <w:iCs/>
          <w:szCs w:val="26"/>
        </w:rPr>
        <w:t>Brady</w:t>
      </w:r>
      <w:r w:rsidRPr="000641B0" w:rsidR="00084EB1">
        <w:rPr>
          <w:rFonts w:cstheme="minorHAnsi"/>
          <w:szCs w:val="26"/>
        </w:rPr>
        <w:t xml:space="preserve"> </w:t>
      </w:r>
      <w:r w:rsidRPr="000641B0" w:rsidR="00777ABB">
        <w:rPr>
          <w:rFonts w:cstheme="minorHAnsi"/>
          <w:szCs w:val="26"/>
        </w:rPr>
        <w:t>duty to disclose the evidence</w:t>
      </w:r>
      <w:r w:rsidRPr="000641B0" w:rsidR="00F216AF">
        <w:rPr>
          <w:rFonts w:cstheme="minorHAnsi"/>
          <w:szCs w:val="26"/>
        </w:rPr>
        <w:t xml:space="preserve"> in postconviction proceedings</w:t>
      </w:r>
      <w:r w:rsidRPr="000641B0" w:rsidR="004A4906">
        <w:rPr>
          <w:rFonts w:cstheme="minorHAnsi"/>
          <w:szCs w:val="26"/>
        </w:rPr>
        <w:t xml:space="preserve">. </w:t>
      </w:r>
      <w:r w:rsidRPr="000641B0" w:rsidR="000106C4">
        <w:rPr>
          <w:rFonts w:cstheme="minorHAnsi"/>
          <w:szCs w:val="26"/>
        </w:rPr>
        <w:t xml:space="preserve"> </w:t>
      </w:r>
    </w:p>
    <w:p w:rsidR="00E66C89" w:rsidRPr="000641B0" w:rsidP="00E66C89" w14:paraId="30982780" w14:textId="24E8F484">
      <w:pPr>
        <w:ind w:firstLine="720"/>
        <w:rPr>
          <w:rFonts w:cstheme="minorHAnsi"/>
          <w:szCs w:val="26"/>
        </w:rPr>
      </w:pPr>
      <w:r>
        <w:rPr>
          <w:rFonts w:cstheme="minorHAnsi"/>
          <w:szCs w:val="26"/>
        </w:rPr>
        <w:t xml:space="preserve">However, </w:t>
      </w:r>
      <w:r w:rsidR="00DD0E51">
        <w:rPr>
          <w:rFonts w:cstheme="minorHAnsi"/>
          <w:szCs w:val="26"/>
        </w:rPr>
        <w:t xml:space="preserve">just like a prosecutor at trial, </w:t>
      </w:r>
      <w:r>
        <w:rPr>
          <w:rFonts w:cstheme="minorHAnsi"/>
          <w:szCs w:val="26"/>
        </w:rPr>
        <w:t>i</w:t>
      </w:r>
      <w:r w:rsidRPr="00E66C89">
        <w:rPr>
          <w:rFonts w:cstheme="minorHAnsi"/>
          <w:szCs w:val="26"/>
        </w:rPr>
        <w:t xml:space="preserve">t is also true that the </w:t>
      </w:r>
      <w:r w:rsidRPr="00F55F90">
        <w:rPr>
          <w:rFonts w:cstheme="minorHAnsi"/>
          <w:i/>
          <w:iCs/>
          <w:szCs w:val="26"/>
        </w:rPr>
        <w:t>Attorney General’s</w:t>
      </w:r>
      <w:r w:rsidRPr="00E66C89">
        <w:rPr>
          <w:rFonts w:cstheme="minorHAnsi"/>
          <w:szCs w:val="26"/>
        </w:rPr>
        <w:t xml:space="preserve"> determination as to whether the evidence is subject to disclosure under </w:t>
      </w:r>
      <w:r w:rsidRPr="00E66C89">
        <w:rPr>
          <w:rFonts w:cstheme="minorHAnsi"/>
          <w:i/>
          <w:iCs/>
          <w:szCs w:val="26"/>
        </w:rPr>
        <w:t>Brady</w:t>
      </w:r>
      <w:r w:rsidRPr="00E66C89">
        <w:rPr>
          <w:rFonts w:cstheme="minorHAnsi"/>
          <w:szCs w:val="26"/>
        </w:rPr>
        <w:t xml:space="preserve"> also is not dispositive as to the existence of a constitutional duty.  Therefore, it may be the case that the Attorney General “disclose[s] a favorable piece of evidence” in a case in which it is unclear whether </w:t>
      </w:r>
      <w:r w:rsidRPr="00E66C89">
        <w:rPr>
          <w:rFonts w:cstheme="minorHAnsi"/>
          <w:i/>
          <w:iCs/>
          <w:szCs w:val="26"/>
        </w:rPr>
        <w:t xml:space="preserve">Brady </w:t>
      </w:r>
      <w:r w:rsidRPr="00E66C89">
        <w:rPr>
          <w:rFonts w:cstheme="minorHAnsi"/>
          <w:szCs w:val="26"/>
        </w:rPr>
        <w:t>mandates disclosure.  (</w:t>
      </w:r>
      <w:r w:rsidRPr="00E66C89">
        <w:rPr>
          <w:rFonts w:cstheme="minorHAnsi"/>
          <w:i/>
          <w:iCs/>
          <w:szCs w:val="26"/>
        </w:rPr>
        <w:t>Kyles</w:t>
      </w:r>
      <w:r w:rsidRPr="00E66C89">
        <w:rPr>
          <w:rFonts w:cstheme="minorHAnsi"/>
          <w:szCs w:val="26"/>
        </w:rPr>
        <w:t>,</w:t>
      </w:r>
      <w:r w:rsidRPr="00E66C89">
        <w:rPr>
          <w:rFonts w:cstheme="minorHAnsi"/>
          <w:i/>
          <w:iCs/>
          <w:szCs w:val="26"/>
        </w:rPr>
        <w:t xml:space="preserve"> supra</w:t>
      </w:r>
      <w:r w:rsidRPr="00E66C89">
        <w:rPr>
          <w:rFonts w:cstheme="minorHAnsi"/>
          <w:szCs w:val="26"/>
        </w:rPr>
        <w:t xml:space="preserve">, 514 U.S. at p. 439; </w:t>
      </w:r>
      <w:r w:rsidR="003733D7">
        <w:rPr>
          <w:rFonts w:cstheme="minorHAnsi"/>
          <w:szCs w:val="26"/>
        </w:rPr>
        <w:t xml:space="preserve">see </w:t>
      </w:r>
      <w:r w:rsidRPr="00E66C89">
        <w:rPr>
          <w:rFonts w:cstheme="minorHAnsi"/>
          <w:i/>
          <w:iCs/>
          <w:szCs w:val="26"/>
        </w:rPr>
        <w:t>Deputy Sheriffs</w:t>
      </w:r>
      <w:r w:rsidRPr="00E66C89">
        <w:rPr>
          <w:rFonts w:cstheme="minorHAnsi"/>
          <w:szCs w:val="26"/>
        </w:rPr>
        <w:t xml:space="preserve">, </w:t>
      </w:r>
      <w:r w:rsidRPr="00E66C89">
        <w:rPr>
          <w:rFonts w:cstheme="minorHAnsi"/>
          <w:i/>
          <w:iCs/>
          <w:szCs w:val="26"/>
        </w:rPr>
        <w:t>supra</w:t>
      </w:r>
      <w:r w:rsidRPr="00E66C89">
        <w:rPr>
          <w:rFonts w:cstheme="minorHAnsi"/>
          <w:szCs w:val="26"/>
        </w:rPr>
        <w:t>, 8 Cal.5th at p. 40.)  “This is as it should be.”  (</w:t>
      </w:r>
      <w:r w:rsidRPr="00E66C89">
        <w:rPr>
          <w:rFonts w:cstheme="minorHAnsi"/>
          <w:i/>
          <w:iCs/>
          <w:szCs w:val="26"/>
        </w:rPr>
        <w:t>Kyles</w:t>
      </w:r>
      <w:r w:rsidRPr="00E66C89">
        <w:rPr>
          <w:rFonts w:cstheme="minorHAnsi"/>
          <w:szCs w:val="26"/>
        </w:rPr>
        <w:t>,</w:t>
      </w:r>
      <w:r w:rsidRPr="00E66C89">
        <w:rPr>
          <w:rFonts w:cstheme="minorHAnsi"/>
          <w:i/>
          <w:iCs/>
          <w:szCs w:val="26"/>
        </w:rPr>
        <w:t xml:space="preserve"> </w:t>
      </w:r>
      <w:r w:rsidRPr="00E66C89">
        <w:rPr>
          <w:rFonts w:cstheme="minorHAnsi"/>
          <w:szCs w:val="26"/>
        </w:rPr>
        <w:t xml:space="preserve">at p. 439.)  </w:t>
      </w:r>
      <w:r w:rsidR="007F66D7">
        <w:rPr>
          <w:rFonts w:cstheme="minorHAnsi"/>
          <w:szCs w:val="26"/>
        </w:rPr>
        <w:t xml:space="preserve">Further, </w:t>
      </w:r>
      <w:r w:rsidRPr="00E66C89">
        <w:rPr>
          <w:rFonts w:cstheme="minorHAnsi"/>
          <w:szCs w:val="26"/>
        </w:rPr>
        <w:t xml:space="preserve">determining whether </w:t>
      </w:r>
      <w:r w:rsidRPr="00E66C89">
        <w:rPr>
          <w:rFonts w:cstheme="minorHAnsi"/>
          <w:i/>
          <w:iCs/>
          <w:szCs w:val="26"/>
        </w:rPr>
        <w:t>Brady</w:t>
      </w:r>
      <w:r w:rsidRPr="00E66C89">
        <w:rPr>
          <w:rFonts w:cstheme="minorHAnsi"/>
          <w:szCs w:val="26"/>
        </w:rPr>
        <w:t xml:space="preserve"> applies to a piece of evidence may be easier in the postconviction context given that its materiality, or lack thereof, may be more apparent than it is before judgment.  (Cf. </w:t>
      </w:r>
      <w:r w:rsidR="003733D7">
        <w:rPr>
          <w:rFonts w:cstheme="minorHAnsi"/>
          <w:i/>
          <w:iCs/>
          <w:szCs w:val="26"/>
        </w:rPr>
        <w:t>Kyles</w:t>
      </w:r>
      <w:r w:rsidR="003733D7">
        <w:rPr>
          <w:rFonts w:cstheme="minorHAnsi"/>
          <w:szCs w:val="26"/>
        </w:rPr>
        <w:t>,</w:t>
      </w:r>
      <w:r w:rsidRPr="00E66C89">
        <w:rPr>
          <w:rFonts w:cstheme="minorHAnsi"/>
          <w:i/>
          <w:iCs/>
          <w:szCs w:val="26"/>
        </w:rPr>
        <w:t xml:space="preserve"> </w:t>
      </w:r>
      <w:r w:rsidRPr="00E66C89">
        <w:rPr>
          <w:rFonts w:cstheme="minorHAnsi"/>
          <w:szCs w:val="26"/>
        </w:rPr>
        <w:t>at pp. 438</w:t>
      </w:r>
      <w:r w:rsidRPr="00E66C89">
        <w:rPr>
          <w:rFonts w:cstheme="minorHAnsi"/>
          <w:bCs/>
          <w:szCs w:val="26"/>
        </w:rPr>
        <w:t>–</w:t>
      </w:r>
      <w:r w:rsidRPr="00E66C89">
        <w:rPr>
          <w:rFonts w:cstheme="minorHAnsi"/>
          <w:szCs w:val="26"/>
        </w:rPr>
        <w:t>439 [recounting government’s argument that materiality is difficult to determine prior to judgment];</w:t>
      </w:r>
      <w:r w:rsidRPr="00E66C89">
        <w:rPr>
          <w:rFonts w:cstheme="minorHAnsi"/>
          <w:i/>
          <w:iCs/>
          <w:szCs w:val="26"/>
        </w:rPr>
        <w:t xml:space="preserve"> Deputy Sheriffs</w:t>
      </w:r>
      <w:r w:rsidRPr="00E66C89">
        <w:rPr>
          <w:rFonts w:cstheme="minorHAnsi"/>
          <w:szCs w:val="26"/>
        </w:rPr>
        <w:t xml:space="preserve">, at p. 40 [“it may be difficult to know before judgment what evidence will ultimately prove material”].)  </w:t>
      </w:r>
    </w:p>
    <w:p w:rsidR="009910AB" w:rsidRPr="000641B0" w:rsidP="000641B0" w14:paraId="10654A76" w14:textId="404F3498">
      <w:pPr>
        <w:ind w:firstLine="720"/>
        <w:rPr>
          <w:rFonts w:cstheme="minorHAnsi"/>
          <w:szCs w:val="26"/>
        </w:rPr>
      </w:pPr>
      <w:r>
        <w:rPr>
          <w:rFonts w:cstheme="minorHAnsi"/>
          <w:szCs w:val="26"/>
        </w:rPr>
        <w:t>T</w:t>
      </w:r>
      <w:r w:rsidRPr="000641B0" w:rsidR="009959FE">
        <w:rPr>
          <w:rFonts w:cstheme="minorHAnsi"/>
          <w:szCs w:val="26"/>
        </w:rPr>
        <w:t>he Attorney Gener</w:t>
      </w:r>
      <w:r w:rsidRPr="000641B0" w:rsidR="00F56CCC">
        <w:rPr>
          <w:rFonts w:cstheme="minorHAnsi"/>
          <w:szCs w:val="26"/>
        </w:rPr>
        <w:t xml:space="preserve">al also broadly </w:t>
      </w:r>
      <w:r w:rsidRPr="000641B0" w:rsidR="00186B75">
        <w:rPr>
          <w:rFonts w:cstheme="minorHAnsi"/>
          <w:szCs w:val="26"/>
        </w:rPr>
        <w:t>suggest</w:t>
      </w:r>
      <w:r w:rsidRPr="000641B0" w:rsidR="008220BE">
        <w:rPr>
          <w:rFonts w:cstheme="minorHAnsi"/>
          <w:szCs w:val="26"/>
        </w:rPr>
        <w:t xml:space="preserve">s he </w:t>
      </w:r>
      <w:r w:rsidRPr="000641B0">
        <w:rPr>
          <w:rFonts w:cstheme="minorHAnsi"/>
          <w:szCs w:val="26"/>
        </w:rPr>
        <w:t xml:space="preserve">has </w:t>
      </w:r>
      <w:r w:rsidRPr="000641B0" w:rsidR="008220BE">
        <w:rPr>
          <w:rFonts w:cstheme="minorHAnsi"/>
          <w:szCs w:val="26"/>
        </w:rPr>
        <w:t>no dut</w:t>
      </w:r>
      <w:r w:rsidRPr="000641B0" w:rsidR="00416A56">
        <w:rPr>
          <w:rFonts w:cstheme="minorHAnsi"/>
          <w:szCs w:val="26"/>
        </w:rPr>
        <w:t>y</w:t>
      </w:r>
      <w:r w:rsidRPr="000641B0" w:rsidR="008220BE">
        <w:rPr>
          <w:rFonts w:cstheme="minorHAnsi"/>
          <w:szCs w:val="26"/>
        </w:rPr>
        <w:t xml:space="preserve"> </w:t>
      </w:r>
      <w:r w:rsidRPr="000641B0">
        <w:rPr>
          <w:rFonts w:cstheme="minorHAnsi"/>
          <w:szCs w:val="26"/>
        </w:rPr>
        <w:t xml:space="preserve">under </w:t>
      </w:r>
      <w:r w:rsidRPr="000641B0">
        <w:rPr>
          <w:rFonts w:cstheme="minorHAnsi"/>
          <w:i/>
          <w:iCs/>
          <w:szCs w:val="26"/>
        </w:rPr>
        <w:t>Brady</w:t>
      </w:r>
      <w:r w:rsidRPr="000641B0">
        <w:rPr>
          <w:rFonts w:cstheme="minorHAnsi"/>
          <w:szCs w:val="26"/>
        </w:rPr>
        <w:t xml:space="preserve"> </w:t>
      </w:r>
      <w:r w:rsidRPr="000641B0" w:rsidR="00C441CD">
        <w:rPr>
          <w:rFonts w:cstheme="minorHAnsi"/>
          <w:szCs w:val="26"/>
        </w:rPr>
        <w:t xml:space="preserve">in the postconviction context, even </w:t>
      </w:r>
      <w:r w:rsidRPr="000641B0" w:rsidR="00416A56">
        <w:rPr>
          <w:rFonts w:cstheme="minorHAnsi"/>
          <w:szCs w:val="26"/>
        </w:rPr>
        <w:t xml:space="preserve">if the evidence </w:t>
      </w:r>
      <w:r w:rsidRPr="000641B0" w:rsidR="005054B8">
        <w:rPr>
          <w:rFonts w:cstheme="minorHAnsi"/>
          <w:szCs w:val="26"/>
        </w:rPr>
        <w:t xml:space="preserve">at issue </w:t>
      </w:r>
      <w:r w:rsidRPr="000641B0" w:rsidR="00416A56">
        <w:rPr>
          <w:rFonts w:cstheme="minorHAnsi"/>
          <w:i/>
          <w:iCs/>
          <w:szCs w:val="26"/>
        </w:rPr>
        <w:t>was</w:t>
      </w:r>
      <w:r w:rsidRPr="000641B0" w:rsidR="00416A56">
        <w:rPr>
          <w:rFonts w:cstheme="minorHAnsi"/>
          <w:szCs w:val="26"/>
        </w:rPr>
        <w:t xml:space="preserve"> </w:t>
      </w:r>
      <w:r w:rsidRPr="000641B0" w:rsidR="0084072D">
        <w:rPr>
          <w:rFonts w:cstheme="minorHAnsi"/>
          <w:szCs w:val="26"/>
        </w:rPr>
        <w:t xml:space="preserve">favorable to the defendant </w:t>
      </w:r>
      <w:r w:rsidRPr="000641B0" w:rsidR="00CE71E3">
        <w:rPr>
          <w:rFonts w:cstheme="minorHAnsi"/>
          <w:szCs w:val="26"/>
        </w:rPr>
        <w:t xml:space="preserve">and </w:t>
      </w:r>
      <w:r w:rsidRPr="000641B0" w:rsidR="00416A56">
        <w:rPr>
          <w:rFonts w:cstheme="minorHAnsi"/>
          <w:szCs w:val="26"/>
        </w:rPr>
        <w:t>material</w:t>
      </w:r>
      <w:r w:rsidRPr="000641B0" w:rsidR="00777001">
        <w:rPr>
          <w:rFonts w:cstheme="minorHAnsi"/>
          <w:szCs w:val="26"/>
        </w:rPr>
        <w:t xml:space="preserve">, </w:t>
      </w:r>
      <w:r w:rsidRPr="000641B0" w:rsidR="00416A56">
        <w:rPr>
          <w:rFonts w:cstheme="minorHAnsi"/>
          <w:i/>
          <w:iCs/>
          <w:szCs w:val="26"/>
        </w:rPr>
        <w:t>was</w:t>
      </w:r>
      <w:r w:rsidRPr="000641B0" w:rsidR="00416A56">
        <w:rPr>
          <w:rFonts w:cstheme="minorHAnsi"/>
          <w:szCs w:val="26"/>
        </w:rPr>
        <w:t xml:space="preserve"> available </w:t>
      </w:r>
      <w:r w:rsidRPr="000641B0" w:rsidR="005054B8">
        <w:rPr>
          <w:rFonts w:cstheme="minorHAnsi"/>
          <w:szCs w:val="26"/>
        </w:rPr>
        <w:t>at</w:t>
      </w:r>
      <w:r w:rsidRPr="000641B0" w:rsidR="00416A56">
        <w:rPr>
          <w:rFonts w:cstheme="minorHAnsi"/>
          <w:szCs w:val="26"/>
        </w:rPr>
        <w:t xml:space="preserve"> trial</w:t>
      </w:r>
      <w:r w:rsidRPr="000641B0" w:rsidR="00777001">
        <w:rPr>
          <w:rFonts w:cstheme="minorHAnsi"/>
          <w:szCs w:val="26"/>
        </w:rPr>
        <w:t>,</w:t>
      </w:r>
      <w:r w:rsidRPr="000641B0" w:rsidR="00E70651">
        <w:rPr>
          <w:rFonts w:cstheme="minorHAnsi"/>
          <w:szCs w:val="26"/>
        </w:rPr>
        <w:t xml:space="preserve"> and </w:t>
      </w:r>
      <w:r w:rsidRPr="000641B0" w:rsidR="00E70651">
        <w:rPr>
          <w:rFonts w:cstheme="minorHAnsi"/>
          <w:i/>
          <w:iCs/>
          <w:szCs w:val="26"/>
        </w:rPr>
        <w:t xml:space="preserve">was </w:t>
      </w:r>
      <w:r w:rsidRPr="000641B0" w:rsidR="00E70651">
        <w:rPr>
          <w:rFonts w:cstheme="minorHAnsi"/>
          <w:szCs w:val="26"/>
        </w:rPr>
        <w:t>suppressed</w:t>
      </w:r>
      <w:r w:rsidRPr="000641B0" w:rsidR="00416A56">
        <w:rPr>
          <w:rFonts w:cstheme="minorHAnsi"/>
          <w:szCs w:val="26"/>
        </w:rPr>
        <w:t xml:space="preserve">.  </w:t>
      </w:r>
      <w:r w:rsidRPr="000641B0" w:rsidR="00C329F9">
        <w:rPr>
          <w:rFonts w:cstheme="minorHAnsi"/>
          <w:szCs w:val="26"/>
        </w:rPr>
        <w:t xml:space="preserve">He argues that </w:t>
      </w:r>
      <w:r w:rsidRPr="000641B0" w:rsidR="00CF2DB0">
        <w:rPr>
          <w:rFonts w:cstheme="minorHAnsi"/>
          <w:szCs w:val="26"/>
        </w:rPr>
        <w:t xml:space="preserve">the purpose of </w:t>
      </w:r>
      <w:r w:rsidRPr="000641B0" w:rsidR="00CF2DB0">
        <w:rPr>
          <w:rFonts w:cstheme="minorHAnsi"/>
          <w:i/>
          <w:iCs/>
          <w:szCs w:val="26"/>
        </w:rPr>
        <w:t>Brady</w:t>
      </w:r>
      <w:r w:rsidRPr="000641B0" w:rsidR="00CF2DB0">
        <w:rPr>
          <w:rFonts w:cstheme="minorHAnsi"/>
          <w:szCs w:val="26"/>
        </w:rPr>
        <w:t xml:space="preserve"> is </w:t>
      </w:r>
      <w:r w:rsidRPr="000641B0">
        <w:rPr>
          <w:rFonts w:cstheme="minorHAnsi"/>
          <w:szCs w:val="26"/>
        </w:rPr>
        <w:t xml:space="preserve">to </w:t>
      </w:r>
      <w:r w:rsidRPr="000641B0" w:rsidR="00CF2DB0">
        <w:rPr>
          <w:rFonts w:cstheme="minorHAnsi"/>
          <w:szCs w:val="26"/>
        </w:rPr>
        <w:t>“safeguard</w:t>
      </w:r>
      <w:r w:rsidRPr="000641B0">
        <w:rPr>
          <w:rFonts w:cstheme="minorHAnsi"/>
          <w:szCs w:val="26"/>
        </w:rPr>
        <w:t> . . . </w:t>
      </w:r>
      <w:r w:rsidRPr="000641B0" w:rsidR="00CF2DB0">
        <w:rPr>
          <w:rFonts w:cstheme="minorHAnsi"/>
          <w:szCs w:val="26"/>
        </w:rPr>
        <w:t xml:space="preserve">the right to a fair trial,” and that </w:t>
      </w:r>
      <w:r w:rsidRPr="000641B0" w:rsidR="00A75390">
        <w:rPr>
          <w:rFonts w:cstheme="minorHAnsi"/>
          <w:szCs w:val="26"/>
        </w:rPr>
        <w:t xml:space="preserve">“[w]hen a trial is over, </w:t>
      </w:r>
      <w:r w:rsidRPr="000641B0" w:rsidR="00A75390">
        <w:rPr>
          <w:rFonts w:cstheme="minorHAnsi"/>
          <w:i/>
          <w:iCs/>
          <w:szCs w:val="26"/>
        </w:rPr>
        <w:t>Brady</w:t>
      </w:r>
      <w:r w:rsidRPr="000641B0" w:rsidR="00A75390">
        <w:rPr>
          <w:rFonts w:cstheme="minorHAnsi"/>
          <w:szCs w:val="26"/>
        </w:rPr>
        <w:t>’s disclosure command lacks purpose and</w:t>
      </w:r>
      <w:r w:rsidRPr="000641B0" w:rsidR="002B4707">
        <w:rPr>
          <w:rFonts w:cstheme="minorHAnsi"/>
          <w:szCs w:val="26"/>
        </w:rPr>
        <w:t xml:space="preserve"> </w:t>
      </w:r>
      <w:r w:rsidRPr="000641B0" w:rsidR="008B4D4C">
        <w:rPr>
          <w:rFonts w:cstheme="minorHAnsi"/>
          <w:szCs w:val="26"/>
        </w:rPr>
        <w:t>d</w:t>
      </w:r>
      <w:r w:rsidRPr="000641B0" w:rsidR="00A75390">
        <w:rPr>
          <w:rFonts w:cstheme="minorHAnsi"/>
          <w:szCs w:val="26"/>
        </w:rPr>
        <w:t>issipates</w:t>
      </w:r>
      <w:r w:rsidRPr="000641B0" w:rsidR="00CF2DB0">
        <w:rPr>
          <w:rFonts w:cstheme="minorHAnsi"/>
          <w:szCs w:val="26"/>
        </w:rPr>
        <w:t>.</w:t>
      </w:r>
      <w:r w:rsidRPr="000641B0" w:rsidR="00A75390">
        <w:rPr>
          <w:rFonts w:cstheme="minorHAnsi"/>
          <w:szCs w:val="26"/>
        </w:rPr>
        <w:t xml:space="preserve">” </w:t>
      </w:r>
      <w:r w:rsidRPr="000641B0">
        <w:rPr>
          <w:rFonts w:cstheme="minorHAnsi"/>
          <w:szCs w:val="26"/>
        </w:rPr>
        <w:t xml:space="preserve"> </w:t>
      </w:r>
    </w:p>
    <w:p w:rsidR="00961F2B" w:rsidRPr="000641B0" w:rsidP="007E0585" w14:paraId="578C4DDF" w14:textId="1F88B9F4">
      <w:pPr>
        <w:ind w:firstLine="720"/>
        <w:rPr>
          <w:rFonts w:cstheme="minorHAnsi"/>
          <w:szCs w:val="26"/>
        </w:rPr>
      </w:pPr>
      <w:r w:rsidRPr="000641B0">
        <w:rPr>
          <w:rFonts w:cstheme="minorHAnsi"/>
          <w:szCs w:val="26"/>
        </w:rPr>
        <w:t>W</w:t>
      </w:r>
      <w:r w:rsidRPr="000641B0" w:rsidR="00374864">
        <w:rPr>
          <w:rFonts w:cstheme="minorHAnsi"/>
          <w:szCs w:val="26"/>
        </w:rPr>
        <w:t xml:space="preserve">e </w:t>
      </w:r>
      <w:r w:rsidRPr="000641B0">
        <w:rPr>
          <w:rFonts w:cstheme="minorHAnsi"/>
          <w:szCs w:val="26"/>
        </w:rPr>
        <w:t xml:space="preserve">generally </w:t>
      </w:r>
      <w:r w:rsidRPr="000641B0" w:rsidR="00374864">
        <w:rPr>
          <w:rFonts w:cstheme="minorHAnsi"/>
          <w:szCs w:val="26"/>
        </w:rPr>
        <w:t xml:space="preserve">agree </w:t>
      </w:r>
      <w:r w:rsidRPr="000641B0" w:rsidR="00450D6D">
        <w:rPr>
          <w:rFonts w:cstheme="minorHAnsi"/>
          <w:szCs w:val="26"/>
        </w:rPr>
        <w:t xml:space="preserve">with the Attorney General’s assessment of </w:t>
      </w:r>
      <w:r w:rsidRPr="000641B0" w:rsidR="00450D6D">
        <w:rPr>
          <w:rFonts w:cstheme="minorHAnsi"/>
          <w:i/>
          <w:iCs/>
          <w:szCs w:val="26"/>
        </w:rPr>
        <w:t>Brady</w:t>
      </w:r>
      <w:r w:rsidRPr="000641B0" w:rsidR="00450D6D">
        <w:rPr>
          <w:rFonts w:cstheme="minorHAnsi"/>
          <w:szCs w:val="26"/>
        </w:rPr>
        <w:t>’s purpose</w:t>
      </w:r>
      <w:r w:rsidRPr="000641B0">
        <w:rPr>
          <w:rFonts w:cstheme="minorHAnsi"/>
          <w:szCs w:val="26"/>
        </w:rPr>
        <w:t xml:space="preserve">.  But </w:t>
      </w:r>
      <w:r w:rsidRPr="000641B0" w:rsidR="00F400EC">
        <w:rPr>
          <w:rFonts w:cstheme="minorHAnsi"/>
          <w:szCs w:val="26"/>
        </w:rPr>
        <w:t xml:space="preserve">we disagree that </w:t>
      </w:r>
      <w:r w:rsidRPr="000641B0">
        <w:rPr>
          <w:rFonts w:cstheme="minorHAnsi"/>
          <w:szCs w:val="26"/>
        </w:rPr>
        <w:t xml:space="preserve">relieving him of </w:t>
      </w:r>
      <w:r w:rsidRPr="000641B0" w:rsidR="00F400EC">
        <w:rPr>
          <w:rFonts w:cstheme="minorHAnsi"/>
          <w:szCs w:val="26"/>
        </w:rPr>
        <w:t xml:space="preserve">the </w:t>
      </w:r>
      <w:r w:rsidRPr="000641B0">
        <w:rPr>
          <w:rFonts w:cstheme="minorHAnsi"/>
          <w:szCs w:val="26"/>
        </w:rPr>
        <w:t xml:space="preserve">disclosure </w:t>
      </w:r>
      <w:r w:rsidRPr="000641B0" w:rsidR="0088280B">
        <w:rPr>
          <w:rFonts w:cstheme="minorHAnsi"/>
          <w:szCs w:val="26"/>
        </w:rPr>
        <w:t>requirements</w:t>
      </w:r>
      <w:r w:rsidRPr="000641B0" w:rsidR="00F400EC">
        <w:rPr>
          <w:rFonts w:cstheme="minorHAnsi"/>
          <w:szCs w:val="26"/>
        </w:rPr>
        <w:t xml:space="preserve"> of </w:t>
      </w:r>
      <w:r w:rsidRPr="000641B0" w:rsidR="00F400EC">
        <w:rPr>
          <w:rFonts w:cstheme="minorHAnsi"/>
          <w:i/>
          <w:iCs/>
          <w:szCs w:val="26"/>
        </w:rPr>
        <w:t>Brady</w:t>
      </w:r>
      <w:r w:rsidRPr="000641B0">
        <w:rPr>
          <w:rFonts w:cstheme="minorHAnsi"/>
          <w:szCs w:val="26"/>
        </w:rPr>
        <w:t> —</w:t>
      </w:r>
      <w:r w:rsidR="003560AA">
        <w:rPr>
          <w:rFonts w:cstheme="minorHAnsi"/>
          <w:szCs w:val="26"/>
        </w:rPr>
        <w:t xml:space="preserve"> </w:t>
      </w:r>
      <w:r w:rsidRPr="000641B0" w:rsidR="00503CE7">
        <w:rPr>
          <w:rFonts w:cstheme="minorHAnsi"/>
          <w:szCs w:val="26"/>
        </w:rPr>
        <w:t>in</w:t>
      </w:r>
      <w:r w:rsidRPr="000641B0">
        <w:rPr>
          <w:rFonts w:cstheme="minorHAnsi"/>
          <w:szCs w:val="26"/>
        </w:rPr>
        <w:t xml:space="preserve"> </w:t>
      </w:r>
      <w:r w:rsidRPr="000641B0" w:rsidR="00503CE7">
        <w:rPr>
          <w:rFonts w:cstheme="minorHAnsi"/>
          <w:szCs w:val="26"/>
        </w:rPr>
        <w:t xml:space="preserve">the context </w:t>
      </w:r>
      <w:r w:rsidRPr="000641B0">
        <w:rPr>
          <w:rFonts w:cstheme="minorHAnsi"/>
          <w:szCs w:val="26"/>
        </w:rPr>
        <w:t xml:space="preserve">of a habeas </w:t>
      </w:r>
      <w:r w:rsidR="00B36BA4">
        <w:rPr>
          <w:rFonts w:cstheme="minorHAnsi"/>
          <w:szCs w:val="26"/>
        </w:rPr>
        <w:t xml:space="preserve">corpus </w:t>
      </w:r>
      <w:r w:rsidRPr="000641B0">
        <w:rPr>
          <w:rFonts w:cstheme="minorHAnsi"/>
          <w:szCs w:val="26"/>
        </w:rPr>
        <w:t>proceeding —</w:t>
      </w:r>
      <w:r w:rsidR="003560AA">
        <w:rPr>
          <w:rFonts w:cstheme="minorHAnsi"/>
          <w:szCs w:val="26"/>
        </w:rPr>
        <w:t xml:space="preserve"> </w:t>
      </w:r>
      <w:r w:rsidRPr="000641B0" w:rsidR="00503CE7">
        <w:rPr>
          <w:rFonts w:cstheme="minorHAnsi"/>
          <w:szCs w:val="26"/>
        </w:rPr>
        <w:t>serves</w:t>
      </w:r>
      <w:r w:rsidRPr="000641B0">
        <w:rPr>
          <w:rFonts w:cstheme="minorHAnsi"/>
          <w:szCs w:val="26"/>
        </w:rPr>
        <w:t xml:space="preserve"> </w:t>
      </w:r>
      <w:r w:rsidRPr="000641B0" w:rsidR="00503CE7">
        <w:rPr>
          <w:rFonts w:cstheme="minorHAnsi"/>
          <w:szCs w:val="26"/>
        </w:rPr>
        <w:t>that purpose.</w:t>
      </w:r>
      <w:r w:rsidRPr="000641B0" w:rsidR="00182375">
        <w:rPr>
          <w:rFonts w:cstheme="minorHAnsi"/>
          <w:szCs w:val="26"/>
        </w:rPr>
        <w:t xml:space="preserve"> </w:t>
      </w:r>
      <w:r w:rsidRPr="000641B0" w:rsidR="00B63C58">
        <w:rPr>
          <w:rFonts w:cstheme="minorHAnsi"/>
          <w:szCs w:val="26"/>
        </w:rPr>
        <w:t xml:space="preserve"> </w:t>
      </w:r>
      <w:r w:rsidRPr="000641B0" w:rsidR="00F41B03">
        <w:rPr>
          <w:rFonts w:cstheme="minorHAnsi"/>
          <w:szCs w:val="26"/>
        </w:rPr>
        <w:t xml:space="preserve">To understand why, we </w:t>
      </w:r>
      <w:r w:rsidRPr="000641B0" w:rsidR="00C05F26">
        <w:rPr>
          <w:rFonts w:cstheme="minorHAnsi"/>
          <w:szCs w:val="26"/>
        </w:rPr>
        <w:t xml:space="preserve">review </w:t>
      </w:r>
      <w:r w:rsidRPr="000641B0" w:rsidR="00F41B03">
        <w:rPr>
          <w:rFonts w:cstheme="minorHAnsi"/>
          <w:szCs w:val="26"/>
        </w:rPr>
        <w:t xml:space="preserve">the purpose of </w:t>
      </w:r>
      <w:r w:rsidRPr="000641B0" w:rsidR="00677285">
        <w:rPr>
          <w:rFonts w:cstheme="minorHAnsi"/>
          <w:szCs w:val="26"/>
        </w:rPr>
        <w:t xml:space="preserve">our state’s </w:t>
      </w:r>
      <w:r w:rsidRPr="000641B0" w:rsidR="00F41B03">
        <w:rPr>
          <w:rFonts w:cstheme="minorHAnsi"/>
          <w:szCs w:val="26"/>
        </w:rPr>
        <w:t>habeas</w:t>
      </w:r>
      <w:r w:rsidR="00B36BA4">
        <w:rPr>
          <w:rFonts w:cstheme="minorHAnsi"/>
          <w:szCs w:val="26"/>
        </w:rPr>
        <w:t xml:space="preserve"> corpus</w:t>
      </w:r>
      <w:r w:rsidRPr="000641B0" w:rsidR="00F41B03">
        <w:rPr>
          <w:rFonts w:cstheme="minorHAnsi"/>
          <w:i/>
          <w:iCs/>
          <w:szCs w:val="26"/>
        </w:rPr>
        <w:t xml:space="preserve"> </w:t>
      </w:r>
      <w:r w:rsidRPr="000641B0" w:rsidR="00F41B03">
        <w:rPr>
          <w:rFonts w:cstheme="minorHAnsi"/>
          <w:szCs w:val="26"/>
        </w:rPr>
        <w:t>proceedings</w:t>
      </w:r>
      <w:r w:rsidRPr="000641B0" w:rsidR="00707702">
        <w:rPr>
          <w:rFonts w:cstheme="minorHAnsi"/>
          <w:szCs w:val="26"/>
        </w:rPr>
        <w:t>:</w:t>
      </w:r>
      <w:r w:rsidRPr="000641B0" w:rsidR="00F41B03">
        <w:rPr>
          <w:rFonts w:cstheme="minorHAnsi"/>
          <w:szCs w:val="26"/>
        </w:rPr>
        <w:t xml:space="preserve"> </w:t>
      </w:r>
      <w:r w:rsidRPr="000641B0" w:rsidR="00503CE7">
        <w:rPr>
          <w:rFonts w:cstheme="minorHAnsi"/>
          <w:szCs w:val="26"/>
        </w:rPr>
        <w:t xml:space="preserve"> </w:t>
      </w:r>
      <w:r w:rsidRPr="000641B0" w:rsidR="00947D02">
        <w:rPr>
          <w:rFonts w:cstheme="minorHAnsi"/>
          <w:szCs w:val="26"/>
        </w:rPr>
        <w:t xml:space="preserve">“The California Constitution has protected the right to seek relief by habeas corpus since our state’s founding. </w:t>
      </w:r>
      <w:r w:rsidRPr="000641B0" w:rsidR="0094088B">
        <w:rPr>
          <w:rFonts w:cstheme="minorHAnsi"/>
          <w:szCs w:val="26"/>
        </w:rPr>
        <w:t xml:space="preserve"> </w:t>
      </w:r>
      <w:r w:rsidRPr="000641B0" w:rsidR="00947D02">
        <w:rPr>
          <w:rFonts w:cstheme="minorHAnsi"/>
          <w:szCs w:val="26"/>
        </w:rPr>
        <w:t>[Citation</w:t>
      </w:r>
      <w:r w:rsidR="003733D7">
        <w:rPr>
          <w:rFonts w:cstheme="minorHAnsi"/>
          <w:szCs w:val="26"/>
        </w:rPr>
        <w:t>s</w:t>
      </w:r>
      <w:r w:rsidRPr="000641B0" w:rsidR="00947D02">
        <w:rPr>
          <w:rFonts w:cstheme="minorHAnsi"/>
          <w:szCs w:val="26"/>
        </w:rPr>
        <w:t>.]</w:t>
      </w:r>
      <w:r w:rsidRPr="000641B0" w:rsidR="0094088B">
        <w:rPr>
          <w:rFonts w:cstheme="minorHAnsi"/>
          <w:szCs w:val="26"/>
        </w:rPr>
        <w:t xml:space="preserve"> </w:t>
      </w:r>
      <w:r w:rsidRPr="000641B0" w:rsidR="00947D02">
        <w:rPr>
          <w:rFonts w:cstheme="minorHAnsi"/>
          <w:szCs w:val="26"/>
        </w:rPr>
        <w:t xml:space="preserve"> Habeas</w:t>
      </w:r>
      <w:r w:rsidRPr="000641B0" w:rsidR="00A124B9">
        <w:rPr>
          <w:rFonts w:cstheme="minorHAnsi"/>
          <w:szCs w:val="26"/>
        </w:rPr>
        <w:t xml:space="preserve"> corpus</w:t>
      </w:r>
      <w:r w:rsidRPr="000641B0" w:rsidR="00947D02">
        <w:rPr>
          <w:rFonts w:cstheme="minorHAnsi"/>
          <w:szCs w:val="26"/>
        </w:rPr>
        <w:t xml:space="preserve">, we have explained, </w:t>
      </w:r>
      <w:r w:rsidRPr="000641B0" w:rsidR="00B63C58">
        <w:rPr>
          <w:rFonts w:cstheme="minorHAnsi"/>
          <w:szCs w:val="26"/>
        </w:rPr>
        <w:t>‘</w:t>
      </w:r>
      <w:r w:rsidRPr="000641B0" w:rsidR="00947D02">
        <w:rPr>
          <w:rFonts w:cstheme="minorHAnsi"/>
          <w:szCs w:val="26"/>
        </w:rPr>
        <w:t>often represents a prisoner</w:t>
      </w:r>
      <w:r w:rsidRPr="000641B0" w:rsidR="002D1A57">
        <w:rPr>
          <w:rFonts w:cstheme="minorHAnsi"/>
          <w:szCs w:val="26"/>
        </w:rPr>
        <w:t>’</w:t>
      </w:r>
      <w:r w:rsidRPr="000641B0" w:rsidR="00947D02">
        <w:rPr>
          <w:rFonts w:cstheme="minorHAnsi"/>
          <w:szCs w:val="26"/>
        </w:rPr>
        <w:t>s last chance to obtain judicial review</w:t>
      </w:r>
      <w:r w:rsidRPr="000641B0" w:rsidR="00B63C58">
        <w:rPr>
          <w:rFonts w:cstheme="minorHAnsi"/>
          <w:szCs w:val="26"/>
        </w:rPr>
        <w:t>’</w:t>
      </w:r>
      <w:r w:rsidRPr="000641B0" w:rsidR="00947D02">
        <w:rPr>
          <w:rFonts w:cstheme="minorHAnsi"/>
          <w:szCs w:val="26"/>
        </w:rPr>
        <w:t xml:space="preserve"> of a criminal conviction.</w:t>
      </w:r>
      <w:r w:rsidRPr="000641B0" w:rsidR="0021218F">
        <w:rPr>
          <w:rFonts w:cstheme="minorHAnsi"/>
          <w:szCs w:val="26"/>
        </w:rPr>
        <w:t xml:space="preserve"> </w:t>
      </w:r>
      <w:r w:rsidRPr="000641B0" w:rsidR="00947D02">
        <w:rPr>
          <w:rFonts w:cstheme="minorHAnsi"/>
          <w:szCs w:val="26"/>
        </w:rPr>
        <w:t xml:space="preserve"> [Citation.] </w:t>
      </w:r>
      <w:r w:rsidRPr="000641B0" w:rsidR="0094088B">
        <w:rPr>
          <w:rFonts w:cstheme="minorHAnsi"/>
          <w:szCs w:val="26"/>
        </w:rPr>
        <w:t xml:space="preserve"> </w:t>
      </w:r>
      <w:r w:rsidRPr="000641B0" w:rsidR="00947D02">
        <w:rPr>
          <w:rFonts w:cstheme="minorHAnsi"/>
          <w:szCs w:val="26"/>
        </w:rPr>
        <w:t xml:space="preserve">The law preserves this avenue to relief in service of principles of substantial justice: </w:t>
      </w:r>
      <w:r w:rsidRPr="000641B0">
        <w:rPr>
          <w:rFonts w:cstheme="minorHAnsi"/>
          <w:szCs w:val="26"/>
        </w:rPr>
        <w:t xml:space="preserve"> </w:t>
      </w:r>
      <w:r w:rsidRPr="000641B0" w:rsidR="00947D02">
        <w:rPr>
          <w:rFonts w:cstheme="minorHAnsi"/>
          <w:szCs w:val="26"/>
        </w:rPr>
        <w:t>‘</w:t>
      </w:r>
      <w:r w:rsidRPr="000641B0">
        <w:rPr>
          <w:rFonts w:cstheme="minorHAnsi"/>
          <w:szCs w:val="26"/>
        </w:rPr>
        <w:t> </w:t>
      </w:r>
      <w:r w:rsidRPr="000641B0" w:rsidR="002905F5">
        <w:rPr>
          <w:rFonts w:cstheme="minorHAnsi"/>
          <w:szCs w:val="26"/>
        </w:rPr>
        <w:t>“</w:t>
      </w:r>
      <w:r w:rsidRPr="000641B0" w:rsidR="00947D02">
        <w:rPr>
          <w:rFonts w:cstheme="minorHAnsi"/>
          <w:szCs w:val="26"/>
        </w:rPr>
        <w:t xml:space="preserve">Despite the substantive and procedural protections afforded those accused of committing crimes, the basic charters governing our society wisely hold open a </w:t>
      </w:r>
      <w:r w:rsidRPr="00067CE5" w:rsidR="00947D02">
        <w:rPr>
          <w:rFonts w:cstheme="minorHAnsi"/>
          <w:szCs w:val="26"/>
        </w:rPr>
        <w:t>final possibility for prisoners to prove their convictions were obtained unjustly</w:t>
      </w:r>
      <w:r w:rsidRPr="000641B0" w:rsidR="00947D02">
        <w:rPr>
          <w:rFonts w:cstheme="minorHAnsi"/>
          <w:szCs w:val="26"/>
        </w:rPr>
        <w:t>.</w:t>
      </w:r>
      <w:r w:rsidRPr="000641B0" w:rsidR="002905F5">
        <w:rPr>
          <w:rFonts w:cstheme="minorHAnsi"/>
          <w:szCs w:val="26"/>
        </w:rPr>
        <w:t>”</w:t>
      </w:r>
      <w:r w:rsidRPr="000641B0">
        <w:rPr>
          <w:rFonts w:cstheme="minorHAnsi"/>
          <w:szCs w:val="26"/>
        </w:rPr>
        <w:t> </w:t>
      </w:r>
      <w:r w:rsidRPr="000641B0" w:rsidR="00947D02">
        <w:rPr>
          <w:rFonts w:cstheme="minorHAnsi"/>
          <w:szCs w:val="26"/>
        </w:rPr>
        <w:t>’</w:t>
      </w:r>
      <w:r w:rsidRPr="000641B0">
        <w:rPr>
          <w:rFonts w:cstheme="minorHAnsi"/>
          <w:szCs w:val="26"/>
        </w:rPr>
        <w:t> </w:t>
      </w:r>
      <w:r w:rsidRPr="000641B0" w:rsidR="002905F5">
        <w:rPr>
          <w:rFonts w:cstheme="minorHAnsi"/>
          <w:szCs w:val="26"/>
        </w:rPr>
        <w:t xml:space="preserve">” </w:t>
      </w:r>
      <w:r w:rsidRPr="000641B0">
        <w:rPr>
          <w:rFonts w:cstheme="minorHAnsi"/>
          <w:szCs w:val="26"/>
        </w:rPr>
        <w:t xml:space="preserve"> </w:t>
      </w:r>
      <w:bookmarkStart w:id="31" w:name="_Hlk125715945"/>
      <w:r w:rsidRPr="000641B0" w:rsidR="002905F5">
        <w:rPr>
          <w:rFonts w:cstheme="minorHAnsi"/>
          <w:szCs w:val="26"/>
        </w:rPr>
        <w:t>(</w:t>
      </w:r>
      <w:bookmarkStart w:id="32" w:name="_Hlk115250750"/>
      <w:r w:rsidRPr="000641B0" w:rsidR="00947D02">
        <w:rPr>
          <w:rFonts w:cstheme="minorHAnsi"/>
          <w:i/>
          <w:iCs/>
          <w:szCs w:val="26"/>
        </w:rPr>
        <w:t>In re Friend</w:t>
      </w:r>
      <w:r w:rsidRPr="000641B0" w:rsidR="002905F5">
        <w:rPr>
          <w:rFonts w:cstheme="minorHAnsi"/>
          <w:szCs w:val="26"/>
        </w:rPr>
        <w:t xml:space="preserve"> (2021) </w:t>
      </w:r>
      <w:r w:rsidRPr="000641B0" w:rsidR="00947D02">
        <w:rPr>
          <w:rFonts w:cstheme="minorHAnsi"/>
          <w:szCs w:val="26"/>
        </w:rPr>
        <w:t>11 Cal.5th 720, 736</w:t>
      </w:r>
      <w:r w:rsidR="009700C8">
        <w:rPr>
          <w:rFonts w:cstheme="minorHAnsi"/>
          <w:szCs w:val="26"/>
        </w:rPr>
        <w:t xml:space="preserve"> (</w:t>
      </w:r>
      <w:r w:rsidRPr="00AD590E" w:rsidR="009700C8">
        <w:rPr>
          <w:rFonts w:cstheme="minorHAnsi"/>
          <w:i/>
          <w:iCs/>
          <w:szCs w:val="26"/>
        </w:rPr>
        <w:t>Friend</w:t>
      </w:r>
      <w:r w:rsidR="009700C8">
        <w:rPr>
          <w:rFonts w:cstheme="minorHAnsi"/>
          <w:szCs w:val="26"/>
        </w:rPr>
        <w:t>)</w:t>
      </w:r>
      <w:r w:rsidRPr="000641B0" w:rsidR="002905F5">
        <w:rPr>
          <w:rFonts w:cstheme="minorHAnsi"/>
          <w:szCs w:val="26"/>
        </w:rPr>
        <w:t>.</w:t>
      </w:r>
      <w:bookmarkEnd w:id="32"/>
      <w:r w:rsidRPr="000641B0" w:rsidR="002905F5">
        <w:rPr>
          <w:rFonts w:cstheme="minorHAnsi"/>
          <w:szCs w:val="26"/>
        </w:rPr>
        <w:t>)</w:t>
      </w:r>
      <w:r w:rsidRPr="000641B0" w:rsidR="00947D02">
        <w:rPr>
          <w:rFonts w:cstheme="minorHAnsi"/>
          <w:szCs w:val="26"/>
        </w:rPr>
        <w:t xml:space="preserve"> </w:t>
      </w:r>
    </w:p>
    <w:bookmarkEnd w:id="31"/>
    <w:p w:rsidR="009910AB" w:rsidRPr="000641B0" w:rsidP="000641B0" w14:paraId="4C2CC08D" w14:textId="0B43A05C">
      <w:pPr>
        <w:ind w:firstLine="720"/>
        <w:rPr>
          <w:rFonts w:cstheme="minorHAnsi"/>
          <w:szCs w:val="26"/>
        </w:rPr>
      </w:pPr>
      <w:r w:rsidRPr="000641B0">
        <w:rPr>
          <w:rFonts w:cstheme="minorHAnsi"/>
          <w:szCs w:val="26"/>
        </w:rPr>
        <w:t xml:space="preserve">The </w:t>
      </w:r>
      <w:r w:rsidRPr="00861954" w:rsidR="00861954">
        <w:rPr>
          <w:rFonts w:cstheme="minorHAnsi"/>
          <w:szCs w:val="26"/>
        </w:rPr>
        <w:t>post</w:t>
      </w:r>
      <w:r w:rsidR="00861954">
        <w:rPr>
          <w:rFonts w:cstheme="minorHAnsi"/>
          <w:szCs w:val="26"/>
        </w:rPr>
        <w:t xml:space="preserve">conviction </w:t>
      </w:r>
      <w:r w:rsidRPr="00861954" w:rsidR="00861954">
        <w:rPr>
          <w:rFonts w:cstheme="minorHAnsi"/>
          <w:i/>
          <w:iCs/>
          <w:szCs w:val="26"/>
        </w:rPr>
        <w:t>Brady</w:t>
      </w:r>
      <w:r w:rsidRPr="00861954" w:rsidR="00861954">
        <w:rPr>
          <w:rFonts w:cstheme="minorHAnsi"/>
          <w:szCs w:val="26"/>
        </w:rPr>
        <w:t xml:space="preserve"> obligation</w:t>
      </w:r>
      <w:r w:rsidR="00861954">
        <w:rPr>
          <w:rFonts w:cstheme="minorHAnsi"/>
          <w:szCs w:val="26"/>
        </w:rPr>
        <w:t xml:space="preserve"> that we outline today </w:t>
      </w:r>
      <w:r w:rsidRPr="00861954" w:rsidR="00861954">
        <w:rPr>
          <w:rFonts w:cstheme="minorHAnsi"/>
          <w:szCs w:val="26"/>
        </w:rPr>
        <w:t xml:space="preserve">supports the right to a fair trial </w:t>
      </w:r>
      <w:r w:rsidR="00861954">
        <w:rPr>
          <w:rFonts w:cstheme="minorHAnsi"/>
          <w:szCs w:val="26"/>
        </w:rPr>
        <w:t>and is fully</w:t>
      </w:r>
      <w:r w:rsidRPr="000641B0" w:rsidR="00861954">
        <w:rPr>
          <w:rFonts w:cstheme="minorHAnsi"/>
          <w:szCs w:val="26"/>
        </w:rPr>
        <w:t xml:space="preserve"> </w:t>
      </w:r>
      <w:r w:rsidRPr="000641B0">
        <w:rPr>
          <w:rFonts w:cstheme="minorHAnsi"/>
          <w:szCs w:val="26"/>
        </w:rPr>
        <w:t xml:space="preserve">compatible with the purpose of habeas </w:t>
      </w:r>
      <w:r w:rsidR="00B36BA4">
        <w:rPr>
          <w:rFonts w:cstheme="minorHAnsi"/>
          <w:szCs w:val="26"/>
        </w:rPr>
        <w:t xml:space="preserve">corpus </w:t>
      </w:r>
      <w:r w:rsidRPr="000641B0">
        <w:rPr>
          <w:rFonts w:cstheme="minorHAnsi"/>
          <w:szCs w:val="26"/>
        </w:rPr>
        <w:t xml:space="preserve">proceedings.  </w:t>
      </w:r>
      <w:r w:rsidRPr="000641B0" w:rsidR="00884807">
        <w:rPr>
          <w:rFonts w:cstheme="minorHAnsi"/>
          <w:szCs w:val="26"/>
        </w:rPr>
        <w:t>U</w:t>
      </w:r>
      <w:r w:rsidRPr="000641B0" w:rsidR="006240B7">
        <w:rPr>
          <w:rFonts w:cstheme="minorHAnsi"/>
          <w:szCs w:val="26"/>
        </w:rPr>
        <w:t xml:space="preserve">nder </w:t>
      </w:r>
      <w:r w:rsidRPr="000641B0" w:rsidR="006240B7">
        <w:rPr>
          <w:rFonts w:cstheme="minorHAnsi"/>
          <w:i/>
          <w:iCs/>
          <w:szCs w:val="26"/>
        </w:rPr>
        <w:t>Brady</w:t>
      </w:r>
      <w:r w:rsidRPr="000641B0" w:rsidR="00C42AAB">
        <w:rPr>
          <w:rFonts w:cstheme="minorHAnsi"/>
          <w:i/>
          <w:iCs/>
          <w:szCs w:val="26"/>
        </w:rPr>
        <w:t xml:space="preserve"> </w:t>
      </w:r>
      <w:r w:rsidRPr="000641B0" w:rsidR="00C42AAB">
        <w:rPr>
          <w:rFonts w:cstheme="minorHAnsi"/>
          <w:szCs w:val="26"/>
        </w:rPr>
        <w:t>and its progeny</w:t>
      </w:r>
      <w:r w:rsidRPr="000641B0" w:rsidR="006240B7">
        <w:rPr>
          <w:rFonts w:cstheme="minorHAnsi"/>
          <w:szCs w:val="26"/>
        </w:rPr>
        <w:t xml:space="preserve">, </w:t>
      </w:r>
      <w:r w:rsidRPr="000641B0" w:rsidR="00696543">
        <w:rPr>
          <w:rFonts w:cstheme="minorHAnsi"/>
          <w:szCs w:val="26"/>
        </w:rPr>
        <w:t>securing a conviction by failing to disclose material exculpatory evidence</w:t>
      </w:r>
      <w:r w:rsidRPr="000641B0" w:rsidR="003A24D1">
        <w:rPr>
          <w:rFonts w:cstheme="minorHAnsi"/>
          <w:szCs w:val="26"/>
        </w:rPr>
        <w:t xml:space="preserve"> </w:t>
      </w:r>
      <w:r w:rsidRPr="000641B0" w:rsidR="00696543">
        <w:rPr>
          <w:rFonts w:cstheme="minorHAnsi"/>
          <w:szCs w:val="26"/>
        </w:rPr>
        <w:t>violates due process</w:t>
      </w:r>
      <w:r w:rsidRPr="000641B0">
        <w:rPr>
          <w:rFonts w:cstheme="minorHAnsi"/>
          <w:szCs w:val="26"/>
        </w:rPr>
        <w:t xml:space="preserve">. </w:t>
      </w:r>
      <w:r w:rsidRPr="000641B0" w:rsidR="004432D0">
        <w:rPr>
          <w:rFonts w:cstheme="minorHAnsi"/>
          <w:szCs w:val="26"/>
        </w:rPr>
        <w:t xml:space="preserve"> (</w:t>
      </w:r>
      <w:r w:rsidRPr="000641B0" w:rsidR="00035AD8">
        <w:rPr>
          <w:rFonts w:cstheme="minorHAnsi"/>
          <w:i/>
          <w:iCs/>
          <w:szCs w:val="26"/>
        </w:rPr>
        <w:t>Brady</w:t>
      </w:r>
      <w:r w:rsidRPr="000641B0" w:rsidR="00035AD8">
        <w:rPr>
          <w:rFonts w:cstheme="minorHAnsi"/>
          <w:szCs w:val="26"/>
        </w:rPr>
        <w:t>,</w:t>
      </w:r>
      <w:r w:rsidRPr="000641B0" w:rsidR="00035AD8">
        <w:rPr>
          <w:rFonts w:cstheme="minorHAnsi"/>
          <w:i/>
          <w:iCs/>
          <w:szCs w:val="26"/>
        </w:rPr>
        <w:t xml:space="preserve"> </w:t>
      </w:r>
      <w:r w:rsidRPr="000641B0" w:rsidR="002A31F6">
        <w:rPr>
          <w:rFonts w:cstheme="minorHAnsi"/>
          <w:i/>
          <w:iCs/>
          <w:szCs w:val="26"/>
        </w:rPr>
        <w:t>supra</w:t>
      </w:r>
      <w:r w:rsidRPr="000641B0" w:rsidR="002A31F6">
        <w:rPr>
          <w:rFonts w:cstheme="minorHAnsi"/>
          <w:szCs w:val="26"/>
        </w:rPr>
        <w:t xml:space="preserve">, </w:t>
      </w:r>
      <w:r w:rsidRPr="000641B0" w:rsidR="00035AD8">
        <w:rPr>
          <w:rFonts w:cstheme="minorHAnsi"/>
          <w:szCs w:val="26"/>
        </w:rPr>
        <w:t>373</w:t>
      </w:r>
      <w:r w:rsidR="00AA2432">
        <w:rPr>
          <w:rFonts w:cstheme="minorHAnsi"/>
          <w:szCs w:val="26"/>
        </w:rPr>
        <w:t> </w:t>
      </w:r>
      <w:r w:rsidRPr="000641B0" w:rsidR="00035AD8">
        <w:rPr>
          <w:rFonts w:cstheme="minorHAnsi"/>
          <w:szCs w:val="26"/>
        </w:rPr>
        <w:t>U.S. at p.</w:t>
      </w:r>
      <w:r w:rsidRPr="000641B0" w:rsidR="009F1B71">
        <w:rPr>
          <w:rFonts w:cstheme="minorHAnsi"/>
          <w:szCs w:val="26"/>
        </w:rPr>
        <w:t> </w:t>
      </w:r>
      <w:r w:rsidRPr="000641B0" w:rsidR="002A31F6">
        <w:rPr>
          <w:rFonts w:cstheme="minorHAnsi"/>
          <w:szCs w:val="26"/>
        </w:rPr>
        <w:t xml:space="preserve">86; </w:t>
      </w:r>
      <w:r w:rsidRPr="000641B0" w:rsidR="002A31F6">
        <w:rPr>
          <w:rFonts w:cstheme="minorHAnsi"/>
          <w:i/>
          <w:iCs/>
          <w:szCs w:val="26"/>
        </w:rPr>
        <w:t>Johnson</w:t>
      </w:r>
      <w:r w:rsidRPr="000641B0" w:rsidR="002A31F6">
        <w:rPr>
          <w:rFonts w:cstheme="minorHAnsi"/>
          <w:szCs w:val="26"/>
        </w:rPr>
        <w:t>,</w:t>
      </w:r>
      <w:r w:rsidRPr="000641B0" w:rsidR="002A31F6">
        <w:rPr>
          <w:rFonts w:cstheme="minorHAnsi"/>
          <w:i/>
          <w:iCs/>
          <w:szCs w:val="26"/>
        </w:rPr>
        <w:t xml:space="preserve"> supra</w:t>
      </w:r>
      <w:r w:rsidRPr="000641B0" w:rsidR="002A31F6">
        <w:rPr>
          <w:rFonts w:cstheme="minorHAnsi"/>
          <w:szCs w:val="26"/>
        </w:rPr>
        <w:t xml:space="preserve">, </w:t>
      </w:r>
      <w:r w:rsidRPr="000641B0" w:rsidR="00C66E9B">
        <w:rPr>
          <w:rFonts w:cstheme="minorHAnsi"/>
          <w:szCs w:val="26"/>
        </w:rPr>
        <w:t>61 Cal.4th at pp.</w:t>
      </w:r>
      <w:r w:rsidRPr="000641B0" w:rsidR="009F1B71">
        <w:rPr>
          <w:rFonts w:cstheme="minorHAnsi"/>
          <w:szCs w:val="26"/>
        </w:rPr>
        <w:t> </w:t>
      </w:r>
      <w:r w:rsidRPr="000641B0" w:rsidR="00C66E9B">
        <w:rPr>
          <w:rFonts w:cstheme="minorHAnsi"/>
          <w:szCs w:val="26"/>
        </w:rPr>
        <w:t>709</w:t>
      </w:r>
      <w:r w:rsidRPr="000641B0" w:rsidR="00EF7AD4">
        <w:rPr>
          <w:bCs/>
        </w:rPr>
        <w:t>–</w:t>
      </w:r>
      <w:r w:rsidRPr="000641B0" w:rsidR="00C66E9B">
        <w:rPr>
          <w:rFonts w:cstheme="minorHAnsi"/>
          <w:szCs w:val="26"/>
        </w:rPr>
        <w:t>710</w:t>
      </w:r>
      <w:r w:rsidRPr="000641B0" w:rsidR="00884807">
        <w:rPr>
          <w:rFonts w:cstheme="minorHAnsi"/>
          <w:szCs w:val="26"/>
        </w:rPr>
        <w:t>.</w:t>
      </w:r>
      <w:r w:rsidRPr="000641B0" w:rsidR="004432D0">
        <w:rPr>
          <w:rFonts w:cstheme="minorHAnsi"/>
          <w:szCs w:val="26"/>
        </w:rPr>
        <w:t>)</w:t>
      </w:r>
      <w:r w:rsidRPr="000641B0">
        <w:rPr>
          <w:rFonts w:cstheme="minorHAnsi"/>
          <w:szCs w:val="26"/>
        </w:rPr>
        <w:t xml:space="preserve">  </w:t>
      </w:r>
      <w:r w:rsidRPr="000641B0" w:rsidR="00884807">
        <w:rPr>
          <w:rFonts w:cstheme="minorHAnsi"/>
          <w:szCs w:val="26"/>
        </w:rPr>
        <w:t xml:space="preserve">Imposing a continuing duty of disclosure on the government in this context </w:t>
      </w:r>
      <w:r w:rsidRPr="000641B0" w:rsidR="004432D0">
        <w:rPr>
          <w:rFonts w:cstheme="minorHAnsi"/>
          <w:szCs w:val="26"/>
        </w:rPr>
        <w:t xml:space="preserve">is consistent with both the due process right on which </w:t>
      </w:r>
      <w:r w:rsidRPr="000641B0" w:rsidR="004432D0">
        <w:rPr>
          <w:rFonts w:cstheme="minorHAnsi"/>
          <w:i/>
          <w:iCs/>
          <w:szCs w:val="26"/>
        </w:rPr>
        <w:t>Brady</w:t>
      </w:r>
      <w:r w:rsidRPr="000641B0" w:rsidR="004432D0">
        <w:rPr>
          <w:rFonts w:cstheme="minorHAnsi"/>
          <w:szCs w:val="26"/>
        </w:rPr>
        <w:t xml:space="preserve"> is based</w:t>
      </w:r>
      <w:r w:rsidRPr="000641B0" w:rsidR="0014677F">
        <w:rPr>
          <w:rFonts w:cstheme="minorHAnsi"/>
          <w:szCs w:val="26"/>
        </w:rPr>
        <w:t>,</w:t>
      </w:r>
      <w:r w:rsidRPr="000641B0" w:rsidR="004432D0">
        <w:rPr>
          <w:rFonts w:cstheme="minorHAnsi"/>
          <w:szCs w:val="26"/>
        </w:rPr>
        <w:t xml:space="preserve"> and the “principles of substantial justice”</w:t>
      </w:r>
      <w:r w:rsidRPr="000641B0" w:rsidR="00A02A3F">
        <w:rPr>
          <w:rFonts w:cstheme="minorHAnsi"/>
          <w:szCs w:val="26"/>
        </w:rPr>
        <w:t xml:space="preserve"> </w:t>
      </w:r>
      <w:r w:rsidRPr="000641B0" w:rsidR="004432D0">
        <w:rPr>
          <w:rFonts w:cstheme="minorHAnsi"/>
          <w:szCs w:val="26"/>
        </w:rPr>
        <w:t>on which our state’s long</w:t>
      </w:r>
      <w:r w:rsidR="009700C8">
        <w:rPr>
          <w:rFonts w:cstheme="minorHAnsi"/>
          <w:szCs w:val="26"/>
        </w:rPr>
        <w:t>-</w:t>
      </w:r>
      <w:r w:rsidRPr="000641B0" w:rsidR="004432D0">
        <w:rPr>
          <w:rFonts w:cstheme="minorHAnsi"/>
          <w:szCs w:val="26"/>
        </w:rPr>
        <w:t xml:space="preserve">standing habeas </w:t>
      </w:r>
      <w:r w:rsidR="00B36BA4">
        <w:rPr>
          <w:rFonts w:cstheme="minorHAnsi"/>
          <w:szCs w:val="26"/>
        </w:rPr>
        <w:t xml:space="preserve">corpus </w:t>
      </w:r>
      <w:r w:rsidRPr="000641B0" w:rsidR="004432D0">
        <w:rPr>
          <w:rFonts w:cstheme="minorHAnsi"/>
          <w:szCs w:val="26"/>
        </w:rPr>
        <w:t>tradition is founded.</w:t>
      </w:r>
      <w:r w:rsidRPr="000641B0" w:rsidR="00A02A3F">
        <w:rPr>
          <w:rFonts w:cstheme="minorHAnsi"/>
          <w:szCs w:val="26"/>
        </w:rPr>
        <w:t xml:space="preserve"> </w:t>
      </w:r>
      <w:r w:rsidRPr="000641B0" w:rsidR="004432D0">
        <w:rPr>
          <w:rFonts w:cstheme="minorHAnsi"/>
          <w:szCs w:val="26"/>
        </w:rPr>
        <w:t xml:space="preserve"> </w:t>
      </w:r>
      <w:r w:rsidRPr="000641B0" w:rsidR="00A02A3F">
        <w:rPr>
          <w:rFonts w:cstheme="minorHAnsi"/>
          <w:szCs w:val="26"/>
        </w:rPr>
        <w:t>(</w:t>
      </w:r>
      <w:r w:rsidR="000847EB">
        <w:rPr>
          <w:rFonts w:cstheme="minorHAnsi"/>
          <w:i/>
          <w:iCs/>
          <w:szCs w:val="26"/>
        </w:rPr>
        <w:t>Friend</w:t>
      </w:r>
      <w:r w:rsidRPr="000847EB" w:rsidR="000847EB">
        <w:rPr>
          <w:rFonts w:cstheme="minorHAnsi"/>
          <w:szCs w:val="26"/>
        </w:rPr>
        <w:t>,</w:t>
      </w:r>
      <w:r w:rsidR="000847EB">
        <w:rPr>
          <w:rFonts w:cstheme="minorHAnsi"/>
          <w:i/>
          <w:iCs/>
          <w:szCs w:val="26"/>
        </w:rPr>
        <w:t xml:space="preserve"> supra</w:t>
      </w:r>
      <w:r w:rsidRPr="000847EB" w:rsidR="000847EB">
        <w:rPr>
          <w:rFonts w:cstheme="minorHAnsi"/>
          <w:szCs w:val="26"/>
        </w:rPr>
        <w:t>, 11 Cal.</w:t>
      </w:r>
      <w:r w:rsidR="00745F63">
        <w:rPr>
          <w:rFonts w:cstheme="minorHAnsi"/>
          <w:szCs w:val="26"/>
        </w:rPr>
        <w:t>5</w:t>
      </w:r>
      <w:r w:rsidRPr="00745F63" w:rsidR="00745F63">
        <w:rPr>
          <w:rFonts w:cstheme="minorHAnsi"/>
          <w:szCs w:val="26"/>
        </w:rPr>
        <w:t>th</w:t>
      </w:r>
      <w:r w:rsidRPr="000847EB" w:rsidR="000847EB">
        <w:rPr>
          <w:rFonts w:cstheme="minorHAnsi"/>
          <w:szCs w:val="26"/>
        </w:rPr>
        <w:t xml:space="preserve"> at p. 736</w:t>
      </w:r>
      <w:r w:rsidRPr="000641B0" w:rsidR="006A6774">
        <w:rPr>
          <w:rFonts w:cstheme="minorHAnsi"/>
          <w:szCs w:val="26"/>
        </w:rPr>
        <w:t>.</w:t>
      </w:r>
      <w:r w:rsidRPr="000641B0" w:rsidR="00A02A3F">
        <w:rPr>
          <w:rFonts w:cstheme="minorHAnsi"/>
          <w:szCs w:val="26"/>
        </w:rPr>
        <w:t>)</w:t>
      </w:r>
      <w:r w:rsidRPr="000641B0" w:rsidR="00D96CAD">
        <w:rPr>
          <w:rFonts w:cstheme="minorHAnsi"/>
          <w:szCs w:val="26"/>
        </w:rPr>
        <w:t xml:space="preserve">  </w:t>
      </w:r>
    </w:p>
    <w:p w:rsidR="009910AB" w:rsidRPr="000641B0" w:rsidP="000641B0" w14:paraId="3979B1C5" w14:textId="26592C46">
      <w:pPr>
        <w:ind w:firstLine="720"/>
        <w:rPr>
          <w:rFonts w:cstheme="minorHAnsi"/>
          <w:szCs w:val="26"/>
        </w:rPr>
      </w:pPr>
      <w:r w:rsidRPr="000641B0">
        <w:rPr>
          <w:rFonts w:cstheme="minorHAnsi"/>
          <w:szCs w:val="26"/>
        </w:rPr>
        <w:t xml:space="preserve">The Attorney General also contends that, “It would be incongruous to graft </w:t>
      </w:r>
      <w:r w:rsidRPr="000641B0">
        <w:rPr>
          <w:rFonts w:cstheme="minorHAnsi"/>
          <w:i/>
          <w:iCs/>
          <w:szCs w:val="26"/>
        </w:rPr>
        <w:t>Brady</w:t>
      </w:r>
      <w:r w:rsidRPr="000641B0">
        <w:rPr>
          <w:rFonts w:cstheme="minorHAnsi"/>
          <w:szCs w:val="26"/>
        </w:rPr>
        <w:t>, a trial principle of constitutional criminal procedure, onto a postconviction civil proceeding with its own comprehensive procedural structure.”</w:t>
      </w:r>
      <w:r w:rsidRPr="000641B0" w:rsidR="009F1B71">
        <w:rPr>
          <w:rFonts w:cstheme="minorHAnsi"/>
          <w:szCs w:val="26"/>
        </w:rPr>
        <w:t xml:space="preserve"> </w:t>
      </w:r>
      <w:r w:rsidRPr="000641B0">
        <w:rPr>
          <w:rFonts w:cstheme="minorHAnsi"/>
          <w:szCs w:val="26"/>
        </w:rPr>
        <w:t xml:space="preserve"> </w:t>
      </w:r>
      <w:r w:rsidRPr="000641B0" w:rsidR="00CB0D86">
        <w:rPr>
          <w:rFonts w:cstheme="minorHAnsi"/>
          <w:szCs w:val="26"/>
        </w:rPr>
        <w:t>W</w:t>
      </w:r>
      <w:r w:rsidRPr="000641B0" w:rsidR="00D96CAD">
        <w:rPr>
          <w:rFonts w:cstheme="minorHAnsi"/>
          <w:szCs w:val="26"/>
        </w:rPr>
        <w:t xml:space="preserve">hile it is true that “[a] habeas corpus proceeding is not a criminal action” </w:t>
      </w:r>
      <w:r w:rsidRPr="000641B0">
        <w:rPr>
          <w:rFonts w:cstheme="minorHAnsi"/>
          <w:szCs w:val="26"/>
        </w:rPr>
        <w:t>(</w:t>
      </w:r>
      <w:bookmarkStart w:id="33" w:name="_Hlk115250777"/>
      <w:r w:rsidRPr="000641B0" w:rsidR="008F5338">
        <w:rPr>
          <w:rFonts w:cstheme="minorHAnsi"/>
          <w:i/>
          <w:iCs/>
          <w:szCs w:val="26"/>
        </w:rPr>
        <w:t>Maas v. Superior C</w:t>
      </w:r>
      <w:r w:rsidR="009700C8">
        <w:rPr>
          <w:rFonts w:cstheme="minorHAnsi"/>
          <w:i/>
          <w:iCs/>
          <w:szCs w:val="26"/>
        </w:rPr>
        <w:t>our</w:t>
      </w:r>
      <w:r w:rsidRPr="000641B0" w:rsidR="008F5338">
        <w:rPr>
          <w:rFonts w:cstheme="minorHAnsi"/>
          <w:i/>
          <w:iCs/>
          <w:szCs w:val="26"/>
        </w:rPr>
        <w:t>t</w:t>
      </w:r>
      <w:r w:rsidRPr="000641B0" w:rsidR="00555821">
        <w:rPr>
          <w:rFonts w:cstheme="minorHAnsi"/>
          <w:szCs w:val="26"/>
        </w:rPr>
        <w:t xml:space="preserve"> (2016)</w:t>
      </w:r>
      <w:r w:rsidRPr="000641B0" w:rsidR="008F5338">
        <w:rPr>
          <w:rFonts w:cstheme="minorHAnsi"/>
          <w:szCs w:val="26"/>
        </w:rPr>
        <w:t xml:space="preserve"> 1 Cal.5th 962, 975</w:t>
      </w:r>
      <w:bookmarkEnd w:id="33"/>
      <w:r w:rsidRPr="000641B0">
        <w:rPr>
          <w:rFonts w:cstheme="minorHAnsi"/>
          <w:szCs w:val="26"/>
        </w:rPr>
        <w:t>)</w:t>
      </w:r>
      <w:r w:rsidRPr="000641B0" w:rsidR="008F5338">
        <w:rPr>
          <w:rFonts w:cstheme="minorHAnsi"/>
          <w:szCs w:val="26"/>
        </w:rPr>
        <w:t xml:space="preserve">, and may be characterized </w:t>
      </w:r>
      <w:r w:rsidRPr="000641B0" w:rsidR="003638E1">
        <w:rPr>
          <w:rFonts w:cstheme="minorHAnsi"/>
          <w:szCs w:val="26"/>
        </w:rPr>
        <w:t>as “</w:t>
      </w:r>
      <w:r w:rsidRPr="000641B0" w:rsidR="005C6751">
        <w:rPr>
          <w:rFonts w:cstheme="minorHAnsi"/>
          <w:szCs w:val="26"/>
        </w:rPr>
        <w:t> </w:t>
      </w:r>
      <w:r w:rsidRPr="000641B0" w:rsidR="00A124B9">
        <w:rPr>
          <w:rFonts w:cstheme="minorHAnsi"/>
          <w:szCs w:val="26"/>
        </w:rPr>
        <w:t>‘</w:t>
      </w:r>
      <w:r w:rsidRPr="000641B0" w:rsidR="003638E1">
        <w:rPr>
          <w:rFonts w:cstheme="minorHAnsi"/>
          <w:szCs w:val="26"/>
        </w:rPr>
        <w:t>civil</w:t>
      </w:r>
      <w:r w:rsidRPr="000641B0" w:rsidR="00472662">
        <w:rPr>
          <w:rFonts w:cstheme="minorHAnsi"/>
          <w:szCs w:val="26"/>
        </w:rPr>
        <w:t xml:space="preserve"> </w:t>
      </w:r>
      <w:r w:rsidRPr="000641B0" w:rsidR="003638E1">
        <w:rPr>
          <w:rFonts w:cstheme="minorHAnsi"/>
          <w:szCs w:val="26"/>
        </w:rPr>
        <w:t>in nature</w:t>
      </w:r>
      <w:r w:rsidRPr="000641B0" w:rsidR="00A124B9">
        <w:rPr>
          <w:rFonts w:cstheme="minorHAnsi"/>
          <w:szCs w:val="26"/>
        </w:rPr>
        <w:t>’</w:t>
      </w:r>
      <w:r w:rsidRPr="000641B0" w:rsidR="005F7082">
        <w:rPr>
          <w:rFonts w:cstheme="minorHAnsi"/>
          <w:szCs w:val="26"/>
        </w:rPr>
        <w:t> </w:t>
      </w:r>
      <w:r w:rsidRPr="000641B0" w:rsidR="003638E1">
        <w:rPr>
          <w:rFonts w:cstheme="minorHAnsi"/>
          <w:szCs w:val="26"/>
        </w:rPr>
        <w:t>” for some purposes</w:t>
      </w:r>
      <w:r w:rsidRPr="000641B0" w:rsidR="00F2052D">
        <w:rPr>
          <w:rFonts w:cstheme="minorHAnsi"/>
          <w:szCs w:val="26"/>
        </w:rPr>
        <w:t xml:space="preserve"> </w:t>
      </w:r>
      <w:r w:rsidRPr="000641B0" w:rsidR="003638E1">
        <w:rPr>
          <w:rFonts w:cstheme="minorHAnsi"/>
          <w:szCs w:val="26"/>
        </w:rPr>
        <w:t>(</w:t>
      </w:r>
      <w:bookmarkStart w:id="34" w:name="_Hlk115250786"/>
      <w:r w:rsidRPr="000641B0" w:rsidR="003638E1">
        <w:rPr>
          <w:rFonts w:cstheme="minorHAnsi"/>
          <w:i/>
          <w:iCs/>
          <w:szCs w:val="26"/>
        </w:rPr>
        <w:t>Briggs v. Brown</w:t>
      </w:r>
      <w:r w:rsidRPr="000641B0">
        <w:rPr>
          <w:rFonts w:cstheme="minorHAnsi"/>
          <w:szCs w:val="26"/>
        </w:rPr>
        <w:t xml:space="preserve"> (2017) </w:t>
      </w:r>
      <w:r w:rsidRPr="000641B0" w:rsidR="003638E1">
        <w:rPr>
          <w:rFonts w:cstheme="minorHAnsi"/>
          <w:szCs w:val="26"/>
        </w:rPr>
        <w:t>3 Cal.5th 808, 838</w:t>
      </w:r>
      <w:bookmarkEnd w:id="34"/>
      <w:r w:rsidRPr="000641B0">
        <w:rPr>
          <w:rFonts w:cstheme="minorHAnsi"/>
          <w:szCs w:val="26"/>
        </w:rPr>
        <w:t>)</w:t>
      </w:r>
      <w:r w:rsidRPr="000641B0" w:rsidR="0064285B">
        <w:rPr>
          <w:rFonts w:cstheme="minorHAnsi"/>
          <w:szCs w:val="26"/>
        </w:rPr>
        <w:t xml:space="preserve">, we have </w:t>
      </w:r>
      <w:r w:rsidRPr="000641B0" w:rsidR="00D54EC5">
        <w:rPr>
          <w:rFonts w:cstheme="minorHAnsi"/>
          <w:szCs w:val="26"/>
        </w:rPr>
        <w:t>generally refrained from deciding “</w:t>
      </w:r>
      <w:r w:rsidRPr="000641B0" w:rsidR="005F7082">
        <w:rPr>
          <w:rFonts w:cstheme="minorHAnsi"/>
          <w:szCs w:val="26"/>
        </w:rPr>
        <w:t> </w:t>
      </w:r>
      <w:r w:rsidRPr="000641B0" w:rsidR="00A124B9">
        <w:rPr>
          <w:rFonts w:cstheme="minorHAnsi"/>
          <w:szCs w:val="26"/>
        </w:rPr>
        <w:t>‘</w:t>
      </w:r>
      <w:r w:rsidRPr="000641B0" w:rsidR="00D54EC5">
        <w:rPr>
          <w:rFonts w:cstheme="minorHAnsi"/>
          <w:szCs w:val="26"/>
        </w:rPr>
        <w:t>whether a habeas corpus proceeding is</w:t>
      </w:r>
      <w:r w:rsidRPr="000641B0" w:rsidR="00472662">
        <w:rPr>
          <w:rFonts w:cstheme="minorHAnsi"/>
          <w:szCs w:val="26"/>
        </w:rPr>
        <w:t xml:space="preserve"> </w:t>
      </w:r>
      <w:r w:rsidRPr="000641B0" w:rsidR="00D54EC5">
        <w:rPr>
          <w:rFonts w:cstheme="minorHAnsi"/>
          <w:szCs w:val="26"/>
        </w:rPr>
        <w:t>civil</w:t>
      </w:r>
      <w:r w:rsidRPr="000641B0" w:rsidR="00472662">
        <w:rPr>
          <w:rFonts w:cstheme="minorHAnsi"/>
          <w:szCs w:val="26"/>
        </w:rPr>
        <w:t xml:space="preserve"> </w:t>
      </w:r>
      <w:r w:rsidRPr="000641B0" w:rsidR="00D54EC5">
        <w:rPr>
          <w:rFonts w:cstheme="minorHAnsi"/>
          <w:szCs w:val="26"/>
        </w:rPr>
        <w:t>or criminal</w:t>
      </w:r>
      <w:r w:rsidRPr="000641B0" w:rsidR="005742DE">
        <w:rPr>
          <w:rFonts w:cstheme="minorHAnsi"/>
          <w:szCs w:val="26"/>
        </w:rPr>
        <w:t>,</w:t>
      </w:r>
      <w:r w:rsidRPr="000641B0" w:rsidR="00A124B9">
        <w:rPr>
          <w:rFonts w:cstheme="minorHAnsi"/>
          <w:szCs w:val="26"/>
        </w:rPr>
        <w:t>’</w:t>
      </w:r>
      <w:r w:rsidRPr="000641B0" w:rsidR="005F7082">
        <w:rPr>
          <w:rFonts w:cstheme="minorHAnsi"/>
          <w:szCs w:val="26"/>
        </w:rPr>
        <w:t> </w:t>
      </w:r>
      <w:r w:rsidRPr="000641B0" w:rsidR="00D54EC5">
        <w:rPr>
          <w:rFonts w:cstheme="minorHAnsi"/>
          <w:szCs w:val="26"/>
        </w:rPr>
        <w:t>” noting that “</w:t>
      </w:r>
      <w:r w:rsidRPr="000641B0" w:rsidR="005F7082">
        <w:rPr>
          <w:rFonts w:cstheme="minorHAnsi"/>
          <w:szCs w:val="26"/>
        </w:rPr>
        <w:t> </w:t>
      </w:r>
      <w:r w:rsidRPr="000641B0" w:rsidR="00A124B9">
        <w:rPr>
          <w:rFonts w:cstheme="minorHAnsi"/>
          <w:szCs w:val="26"/>
        </w:rPr>
        <w:t>‘</w:t>
      </w:r>
      <w:r w:rsidRPr="000641B0" w:rsidR="00D54EC5">
        <w:rPr>
          <w:rFonts w:cstheme="minorHAnsi"/>
          <w:szCs w:val="26"/>
        </w:rPr>
        <w:t>[i]t is a special proceeding and not entirely analogous to either category.</w:t>
      </w:r>
      <w:r w:rsidRPr="000641B0" w:rsidR="00A124B9">
        <w:rPr>
          <w:rFonts w:cstheme="minorHAnsi"/>
          <w:szCs w:val="26"/>
        </w:rPr>
        <w:t>’</w:t>
      </w:r>
      <w:r w:rsidRPr="000641B0" w:rsidR="005F7082">
        <w:rPr>
          <w:rFonts w:cstheme="minorHAnsi"/>
          <w:szCs w:val="26"/>
        </w:rPr>
        <w:t> </w:t>
      </w:r>
      <w:r w:rsidRPr="000641B0" w:rsidR="00D54EC5">
        <w:rPr>
          <w:rFonts w:cstheme="minorHAnsi"/>
          <w:szCs w:val="26"/>
        </w:rPr>
        <w:t xml:space="preserve">” </w:t>
      </w:r>
      <w:r w:rsidRPr="000641B0" w:rsidR="004F55AB">
        <w:rPr>
          <w:rFonts w:cstheme="minorHAnsi"/>
          <w:szCs w:val="26"/>
        </w:rPr>
        <w:t xml:space="preserve"> </w:t>
      </w:r>
      <w:r w:rsidRPr="000641B0" w:rsidR="00D54EC5">
        <w:rPr>
          <w:rFonts w:cstheme="minorHAnsi"/>
          <w:szCs w:val="26"/>
        </w:rPr>
        <w:t>(</w:t>
      </w:r>
      <w:r w:rsidRPr="000641B0" w:rsidR="00A124B9">
        <w:rPr>
          <w:rFonts w:cstheme="minorHAnsi"/>
          <w:i/>
          <w:iCs/>
          <w:szCs w:val="26"/>
        </w:rPr>
        <w:t>Id</w:t>
      </w:r>
      <w:r w:rsidRPr="000641B0" w:rsidR="00A124B9">
        <w:rPr>
          <w:rFonts w:cstheme="minorHAnsi"/>
          <w:szCs w:val="26"/>
        </w:rPr>
        <w:t>.</w:t>
      </w:r>
      <w:r w:rsidR="009700C8">
        <w:rPr>
          <w:rFonts w:cstheme="minorHAnsi"/>
          <w:szCs w:val="26"/>
        </w:rPr>
        <w:t xml:space="preserve"> at p. 838,</w:t>
      </w:r>
      <w:r w:rsidRPr="000641B0" w:rsidR="00A124B9">
        <w:rPr>
          <w:rFonts w:cstheme="minorHAnsi"/>
          <w:szCs w:val="26"/>
        </w:rPr>
        <w:t xml:space="preserve"> fn. 15</w:t>
      </w:r>
      <w:r w:rsidRPr="000641B0" w:rsidR="008E5CA7">
        <w:rPr>
          <w:rFonts w:cstheme="minorHAnsi"/>
          <w:szCs w:val="26"/>
        </w:rPr>
        <w:t xml:space="preserve">, quoting </w:t>
      </w:r>
      <w:bookmarkStart w:id="35" w:name="_Hlk125716072"/>
      <w:r w:rsidRPr="000641B0" w:rsidR="006A53E8">
        <w:rPr>
          <w:rFonts w:cstheme="minorHAnsi"/>
          <w:i/>
          <w:iCs/>
          <w:szCs w:val="26"/>
        </w:rPr>
        <w:t>In re Scott</w:t>
      </w:r>
      <w:r w:rsidRPr="000641B0" w:rsidR="006A53E8">
        <w:rPr>
          <w:rFonts w:cstheme="minorHAnsi"/>
          <w:szCs w:val="26"/>
        </w:rPr>
        <w:t xml:space="preserve"> (</w:t>
      </w:r>
      <w:r w:rsidRPr="000641B0" w:rsidR="004B022A">
        <w:rPr>
          <w:rFonts w:cstheme="minorHAnsi"/>
          <w:szCs w:val="26"/>
        </w:rPr>
        <w:t xml:space="preserve">2003) </w:t>
      </w:r>
      <w:r w:rsidRPr="000641B0" w:rsidR="00D54EC5">
        <w:rPr>
          <w:rFonts w:cstheme="minorHAnsi"/>
          <w:szCs w:val="26"/>
        </w:rPr>
        <w:t xml:space="preserve">29 Cal.4th </w:t>
      </w:r>
      <w:r w:rsidRPr="000641B0" w:rsidR="004B022A">
        <w:rPr>
          <w:rFonts w:cstheme="minorHAnsi"/>
          <w:szCs w:val="26"/>
        </w:rPr>
        <w:t>783,</w:t>
      </w:r>
      <w:r w:rsidRPr="000641B0" w:rsidR="00D54EC5">
        <w:rPr>
          <w:rFonts w:cstheme="minorHAnsi"/>
          <w:szCs w:val="26"/>
        </w:rPr>
        <w:t xml:space="preserve"> 815, fn.</w:t>
      </w:r>
      <w:r w:rsidRPr="000641B0" w:rsidR="009F1B71">
        <w:rPr>
          <w:rFonts w:cstheme="minorHAnsi"/>
          <w:szCs w:val="26"/>
        </w:rPr>
        <w:t> </w:t>
      </w:r>
      <w:r w:rsidRPr="000641B0" w:rsidR="00D54EC5">
        <w:rPr>
          <w:rFonts w:cstheme="minorHAnsi"/>
          <w:szCs w:val="26"/>
        </w:rPr>
        <w:t>6</w:t>
      </w:r>
      <w:r w:rsidR="009700C8">
        <w:rPr>
          <w:rFonts w:cstheme="minorHAnsi"/>
          <w:szCs w:val="26"/>
        </w:rPr>
        <w:t xml:space="preserve"> (</w:t>
      </w:r>
      <w:r w:rsidRPr="002C58F5" w:rsidR="009700C8">
        <w:rPr>
          <w:rFonts w:cstheme="minorHAnsi"/>
          <w:i/>
          <w:iCs/>
          <w:szCs w:val="26"/>
        </w:rPr>
        <w:t>Scott</w:t>
      </w:r>
      <w:r w:rsidR="009700C8">
        <w:rPr>
          <w:rFonts w:cstheme="minorHAnsi"/>
          <w:szCs w:val="26"/>
        </w:rPr>
        <w:t>)</w:t>
      </w:r>
      <w:r w:rsidRPr="000641B0" w:rsidR="009A46AB">
        <w:rPr>
          <w:rFonts w:cstheme="minorHAnsi"/>
          <w:szCs w:val="26"/>
        </w:rPr>
        <w:t xml:space="preserve">; </w:t>
      </w:r>
      <w:bookmarkEnd w:id="35"/>
      <w:r w:rsidRPr="000641B0" w:rsidR="009A46AB">
        <w:rPr>
          <w:rFonts w:cstheme="minorHAnsi"/>
          <w:szCs w:val="26"/>
        </w:rPr>
        <w:t xml:space="preserve">see also </w:t>
      </w:r>
      <w:r w:rsidRPr="000641B0" w:rsidR="005372A8">
        <w:rPr>
          <w:rFonts w:cstheme="minorHAnsi"/>
          <w:i/>
          <w:iCs/>
          <w:szCs w:val="26"/>
        </w:rPr>
        <w:t>Maas</w:t>
      </w:r>
      <w:r w:rsidRPr="000641B0" w:rsidR="005372A8">
        <w:rPr>
          <w:rFonts w:cstheme="minorHAnsi"/>
          <w:szCs w:val="26"/>
        </w:rPr>
        <w:t>,</w:t>
      </w:r>
      <w:r w:rsidRPr="000641B0" w:rsidR="005372A8">
        <w:rPr>
          <w:rFonts w:cstheme="minorHAnsi"/>
          <w:i/>
          <w:iCs/>
          <w:szCs w:val="26"/>
        </w:rPr>
        <w:t xml:space="preserve"> </w:t>
      </w:r>
      <w:r w:rsidRPr="000641B0" w:rsidR="005372A8">
        <w:rPr>
          <w:rFonts w:cstheme="minorHAnsi"/>
          <w:szCs w:val="26"/>
        </w:rPr>
        <w:t>at p.</w:t>
      </w:r>
      <w:r w:rsidRPr="000641B0" w:rsidR="009F1B71">
        <w:rPr>
          <w:rFonts w:cstheme="minorHAnsi"/>
          <w:szCs w:val="26"/>
        </w:rPr>
        <w:t> </w:t>
      </w:r>
      <w:r w:rsidRPr="000641B0" w:rsidR="005372A8">
        <w:rPr>
          <w:rFonts w:cstheme="minorHAnsi"/>
          <w:szCs w:val="26"/>
        </w:rPr>
        <w:t>975</w:t>
      </w:r>
      <w:r w:rsidRPr="000641B0" w:rsidR="00EE7C32">
        <w:rPr>
          <w:rFonts w:cstheme="minorHAnsi"/>
          <w:szCs w:val="26"/>
        </w:rPr>
        <w:t>, citing Pen. Code, pt. 2, tit. 12, ch. 1, § 1473 et seq</w:t>
      </w:r>
      <w:r w:rsidR="00EE7C32">
        <w:rPr>
          <w:rFonts w:cstheme="minorHAnsi"/>
          <w:szCs w:val="26"/>
        </w:rPr>
        <w:t>.</w:t>
      </w:r>
      <w:r w:rsidRPr="000641B0" w:rsidR="005372A8">
        <w:rPr>
          <w:rFonts w:cstheme="minorHAnsi"/>
          <w:szCs w:val="26"/>
        </w:rPr>
        <w:t xml:space="preserve"> [</w:t>
      </w:r>
      <w:r w:rsidRPr="000641B0" w:rsidR="00D976DF">
        <w:rPr>
          <w:rFonts w:cstheme="minorHAnsi"/>
          <w:szCs w:val="26"/>
        </w:rPr>
        <w:t xml:space="preserve">“the </w:t>
      </w:r>
      <w:r w:rsidRPr="000641B0" w:rsidR="005372A8">
        <w:rPr>
          <w:rFonts w:cstheme="minorHAnsi"/>
          <w:szCs w:val="26"/>
        </w:rPr>
        <w:t>Legislature likewise</w:t>
      </w:r>
      <w:r w:rsidRPr="000641B0" w:rsidR="009F1B71">
        <w:rPr>
          <w:rFonts w:cstheme="minorHAnsi"/>
          <w:szCs w:val="26"/>
        </w:rPr>
        <w:t> </w:t>
      </w:r>
      <w:r w:rsidRPr="000641B0" w:rsidR="00D976DF">
        <w:rPr>
          <w:rFonts w:cstheme="minorHAnsi"/>
          <w:szCs w:val="26"/>
        </w:rPr>
        <w:t>.</w:t>
      </w:r>
      <w:r w:rsidRPr="000641B0" w:rsidR="009F1B71">
        <w:rPr>
          <w:rFonts w:cstheme="minorHAnsi"/>
          <w:szCs w:val="26"/>
        </w:rPr>
        <w:t> </w:t>
      </w:r>
      <w:r w:rsidRPr="000641B0" w:rsidR="00D976DF">
        <w:rPr>
          <w:rFonts w:cstheme="minorHAnsi"/>
          <w:szCs w:val="26"/>
        </w:rPr>
        <w:t>.</w:t>
      </w:r>
      <w:r w:rsidRPr="000641B0" w:rsidR="009F1B71">
        <w:rPr>
          <w:rFonts w:cstheme="minorHAnsi"/>
          <w:szCs w:val="26"/>
        </w:rPr>
        <w:t> </w:t>
      </w:r>
      <w:r w:rsidRPr="000641B0" w:rsidR="00D976DF">
        <w:rPr>
          <w:rFonts w:cstheme="minorHAnsi"/>
          <w:szCs w:val="26"/>
        </w:rPr>
        <w:t>.</w:t>
      </w:r>
      <w:r w:rsidRPr="000641B0" w:rsidR="009F1B71">
        <w:rPr>
          <w:rFonts w:cstheme="minorHAnsi"/>
          <w:szCs w:val="26"/>
        </w:rPr>
        <w:t> </w:t>
      </w:r>
      <w:r w:rsidRPr="000641B0" w:rsidR="005372A8">
        <w:rPr>
          <w:rFonts w:cstheme="minorHAnsi"/>
          <w:szCs w:val="26"/>
        </w:rPr>
        <w:t xml:space="preserve">labeled the habeas corpus proceeding a </w:t>
      </w:r>
      <w:r w:rsidRPr="000641B0" w:rsidR="00D976DF">
        <w:rPr>
          <w:rFonts w:cstheme="minorHAnsi"/>
          <w:szCs w:val="26"/>
        </w:rPr>
        <w:t>‘</w:t>
      </w:r>
      <w:r w:rsidRPr="000641B0" w:rsidR="005372A8">
        <w:rPr>
          <w:rFonts w:cstheme="minorHAnsi"/>
          <w:szCs w:val="26"/>
        </w:rPr>
        <w:t>Special Proceeding</w:t>
      </w:r>
      <w:r w:rsidRPr="000641B0" w:rsidR="00DF276E">
        <w:rPr>
          <w:rFonts w:cstheme="minorHAnsi"/>
          <w:szCs w:val="26"/>
        </w:rPr>
        <w:t xml:space="preserve"> </w:t>
      </w:r>
      <w:r w:rsidRPr="000641B0" w:rsidR="005372A8">
        <w:rPr>
          <w:rFonts w:cstheme="minorHAnsi"/>
          <w:szCs w:val="26"/>
        </w:rPr>
        <w:t>[] of a Criminal Nature</w:t>
      </w:r>
      <w:r w:rsidRPr="000641B0" w:rsidR="00D976DF">
        <w:rPr>
          <w:rFonts w:cstheme="minorHAnsi"/>
          <w:szCs w:val="26"/>
        </w:rPr>
        <w:t>’</w:t>
      </w:r>
      <w:r w:rsidRPr="000641B0" w:rsidR="00472662">
        <w:rPr>
          <w:rFonts w:cstheme="minorHAnsi"/>
          <w:szCs w:val="26"/>
        </w:rPr>
        <w:t> </w:t>
      </w:r>
      <w:r w:rsidRPr="000641B0" w:rsidR="00D976DF">
        <w:rPr>
          <w:rFonts w:cstheme="minorHAnsi"/>
          <w:szCs w:val="26"/>
        </w:rPr>
        <w:t>”</w:t>
      </w:r>
      <w:r w:rsidRPr="000641B0" w:rsidR="00472662">
        <w:rPr>
          <w:rFonts w:cstheme="minorHAnsi"/>
          <w:szCs w:val="26"/>
        </w:rPr>
        <w:t>]</w:t>
      </w:r>
      <w:r w:rsidR="00DF276E">
        <w:rPr>
          <w:rFonts w:cstheme="minorHAnsi"/>
          <w:szCs w:val="26"/>
        </w:rPr>
        <w:t>.</w:t>
      </w:r>
      <w:r w:rsidRPr="000641B0" w:rsidR="009723A0">
        <w:rPr>
          <w:rFonts w:cstheme="minorHAnsi"/>
          <w:szCs w:val="26"/>
        </w:rPr>
        <w:t>)</w:t>
      </w:r>
      <w:r>
        <w:rPr>
          <w:rStyle w:val="FootnoteReference"/>
          <w:rFonts w:cstheme="minorHAnsi"/>
          <w:szCs w:val="26"/>
        </w:rPr>
        <w:footnoteReference w:id="11"/>
      </w:r>
      <w:r w:rsidRPr="000641B0" w:rsidR="009723A0">
        <w:rPr>
          <w:rFonts w:cstheme="minorHAnsi"/>
          <w:szCs w:val="26"/>
        </w:rPr>
        <w:t xml:space="preserve">  In any event, </w:t>
      </w:r>
      <w:r w:rsidRPr="000641B0" w:rsidR="00A369C8">
        <w:rPr>
          <w:rFonts w:cstheme="minorHAnsi"/>
          <w:szCs w:val="26"/>
        </w:rPr>
        <w:t>we see nothing</w:t>
      </w:r>
      <w:r w:rsidRPr="000641B0" w:rsidR="00A860E4">
        <w:rPr>
          <w:rFonts w:cstheme="minorHAnsi"/>
          <w:szCs w:val="26"/>
        </w:rPr>
        <w:t xml:space="preserve"> </w:t>
      </w:r>
      <w:r w:rsidRPr="000641B0" w:rsidR="00F14F01">
        <w:rPr>
          <w:rFonts w:cstheme="minorHAnsi"/>
          <w:szCs w:val="26"/>
        </w:rPr>
        <w:t xml:space="preserve">incongruous about applying a rule designed to ensure </w:t>
      </w:r>
      <w:r w:rsidRPr="000641B0" w:rsidR="002178E0">
        <w:rPr>
          <w:rFonts w:cstheme="minorHAnsi"/>
          <w:szCs w:val="26"/>
        </w:rPr>
        <w:t xml:space="preserve">that convictions are </w:t>
      </w:r>
      <w:r w:rsidRPr="000641B0" w:rsidR="000B6425">
        <w:rPr>
          <w:rFonts w:cstheme="minorHAnsi"/>
          <w:szCs w:val="26"/>
        </w:rPr>
        <w:t xml:space="preserve">premised on due process </w:t>
      </w:r>
      <w:r w:rsidRPr="000641B0" w:rsidR="003D403D">
        <w:rPr>
          <w:rFonts w:cstheme="minorHAnsi"/>
          <w:szCs w:val="26"/>
        </w:rPr>
        <w:t xml:space="preserve">to a procedure designed </w:t>
      </w:r>
      <w:r w:rsidRPr="000641B0" w:rsidR="000B6425">
        <w:rPr>
          <w:rFonts w:cstheme="minorHAnsi"/>
          <w:szCs w:val="26"/>
        </w:rPr>
        <w:t>t</w:t>
      </w:r>
      <w:r w:rsidRPr="000641B0" w:rsidR="005A2851">
        <w:rPr>
          <w:rFonts w:cstheme="minorHAnsi"/>
          <w:szCs w:val="26"/>
        </w:rPr>
        <w:t>o “</w:t>
      </w:r>
      <w:r w:rsidRPr="000641B0" w:rsidR="005F7082">
        <w:rPr>
          <w:rFonts w:cstheme="minorHAnsi"/>
          <w:szCs w:val="26"/>
        </w:rPr>
        <w:t> </w:t>
      </w:r>
      <w:r w:rsidRPr="000641B0" w:rsidR="00D43881">
        <w:rPr>
          <w:rFonts w:cstheme="minorHAnsi"/>
          <w:szCs w:val="26"/>
        </w:rPr>
        <w:t>‘</w:t>
      </w:r>
      <w:r w:rsidRPr="000641B0" w:rsidR="005F7082">
        <w:rPr>
          <w:rFonts w:cstheme="minorHAnsi"/>
          <w:szCs w:val="26"/>
        </w:rPr>
        <w:t> </w:t>
      </w:r>
      <w:r w:rsidRPr="000641B0" w:rsidR="00D43881">
        <w:rPr>
          <w:rFonts w:cstheme="minorHAnsi"/>
          <w:szCs w:val="26"/>
        </w:rPr>
        <w:t>“</w:t>
      </w:r>
      <w:r w:rsidRPr="00DF276E" w:rsidR="005A2851">
        <w:rPr>
          <w:rFonts w:cstheme="minorHAnsi"/>
          <w:szCs w:val="26"/>
        </w:rPr>
        <w:t>hold open a final possibility for prisoners to prove their convictions were obtained unjustly</w:t>
      </w:r>
      <w:r w:rsidRPr="000641B0" w:rsidR="005A2851">
        <w:rPr>
          <w:rFonts w:cstheme="minorHAnsi"/>
          <w:szCs w:val="26"/>
        </w:rPr>
        <w:t>.</w:t>
      </w:r>
      <w:r w:rsidRPr="000641B0" w:rsidR="00D43881">
        <w:rPr>
          <w:rFonts w:cstheme="minorHAnsi"/>
          <w:szCs w:val="26"/>
        </w:rPr>
        <w:t>”</w:t>
      </w:r>
      <w:r w:rsidRPr="000641B0" w:rsidR="005F7082">
        <w:rPr>
          <w:rFonts w:cstheme="minorHAnsi"/>
          <w:szCs w:val="26"/>
        </w:rPr>
        <w:t> </w:t>
      </w:r>
      <w:r w:rsidRPr="000641B0" w:rsidR="00D43881">
        <w:rPr>
          <w:rFonts w:cstheme="minorHAnsi"/>
          <w:szCs w:val="26"/>
        </w:rPr>
        <w:t>’</w:t>
      </w:r>
      <w:r w:rsidRPr="000641B0" w:rsidR="005F7082">
        <w:rPr>
          <w:rFonts w:cstheme="minorHAnsi"/>
          <w:szCs w:val="26"/>
        </w:rPr>
        <w:t> </w:t>
      </w:r>
      <w:r w:rsidRPr="000641B0" w:rsidR="005A2851">
        <w:rPr>
          <w:rFonts w:cstheme="minorHAnsi"/>
          <w:szCs w:val="26"/>
        </w:rPr>
        <w:t>”</w:t>
      </w:r>
      <w:r w:rsidRPr="000641B0" w:rsidR="00660D51">
        <w:rPr>
          <w:rFonts w:cstheme="minorHAnsi"/>
          <w:szCs w:val="26"/>
        </w:rPr>
        <w:t xml:space="preserve"> </w:t>
      </w:r>
      <w:r w:rsidRPr="000641B0" w:rsidR="005A2851">
        <w:rPr>
          <w:rFonts w:cstheme="minorHAnsi"/>
          <w:szCs w:val="26"/>
        </w:rPr>
        <w:t xml:space="preserve"> (</w:t>
      </w:r>
      <w:r w:rsidRPr="000641B0" w:rsidR="000B6425">
        <w:rPr>
          <w:rFonts w:cstheme="minorHAnsi"/>
          <w:i/>
          <w:iCs/>
          <w:szCs w:val="26"/>
        </w:rPr>
        <w:t>Friend</w:t>
      </w:r>
      <w:r w:rsidRPr="000641B0" w:rsidR="000B6425">
        <w:rPr>
          <w:rFonts w:cstheme="minorHAnsi"/>
          <w:szCs w:val="26"/>
        </w:rPr>
        <w:t>,</w:t>
      </w:r>
      <w:r w:rsidRPr="000641B0" w:rsidR="000B6425">
        <w:rPr>
          <w:rFonts w:cstheme="minorHAnsi"/>
          <w:i/>
          <w:iCs/>
          <w:szCs w:val="26"/>
        </w:rPr>
        <w:t xml:space="preserve"> supra</w:t>
      </w:r>
      <w:r w:rsidRPr="000641B0" w:rsidR="000B6425">
        <w:rPr>
          <w:rFonts w:cstheme="minorHAnsi"/>
          <w:szCs w:val="26"/>
        </w:rPr>
        <w:t>, 11 Cal.5th at p.</w:t>
      </w:r>
      <w:r w:rsidRPr="000641B0" w:rsidR="009F1B71">
        <w:rPr>
          <w:rFonts w:cstheme="minorHAnsi"/>
          <w:szCs w:val="26"/>
        </w:rPr>
        <w:t> </w:t>
      </w:r>
      <w:r w:rsidRPr="000641B0" w:rsidR="000B6425">
        <w:rPr>
          <w:rFonts w:cstheme="minorHAnsi"/>
          <w:szCs w:val="26"/>
        </w:rPr>
        <w:t>736.</w:t>
      </w:r>
      <w:r w:rsidRPr="000641B0" w:rsidR="005A2851">
        <w:rPr>
          <w:rFonts w:cstheme="minorHAnsi"/>
          <w:szCs w:val="26"/>
        </w:rPr>
        <w:t>)</w:t>
      </w:r>
      <w:r w:rsidRPr="000641B0" w:rsidR="009F1B71">
        <w:rPr>
          <w:rFonts w:cstheme="minorHAnsi"/>
          <w:szCs w:val="26"/>
        </w:rPr>
        <w:t xml:space="preserve">  </w:t>
      </w:r>
    </w:p>
    <w:p w:rsidR="009910AB" w:rsidRPr="000641B0" w:rsidP="000641B0" w14:paraId="4B966368" w14:textId="15A8D3C5">
      <w:pPr>
        <w:ind w:firstLine="720"/>
        <w:rPr>
          <w:rFonts w:cstheme="minorHAnsi"/>
          <w:szCs w:val="26"/>
        </w:rPr>
      </w:pPr>
      <w:r w:rsidRPr="000641B0">
        <w:rPr>
          <w:rFonts w:cstheme="minorHAnsi"/>
          <w:szCs w:val="26"/>
        </w:rPr>
        <w:t xml:space="preserve">Nor does the Attorney General cite any case from this court, or any </w:t>
      </w:r>
      <w:r w:rsidRPr="000641B0" w:rsidR="009F1B71">
        <w:rPr>
          <w:rFonts w:cstheme="minorHAnsi"/>
          <w:szCs w:val="26"/>
        </w:rPr>
        <w:t>other</w:t>
      </w:r>
      <w:r w:rsidRPr="000641B0" w:rsidR="00D2373B">
        <w:rPr>
          <w:rFonts w:cstheme="minorHAnsi"/>
          <w:szCs w:val="26"/>
        </w:rPr>
        <w:t xml:space="preserve">, </w:t>
      </w:r>
      <w:r w:rsidRPr="000641B0">
        <w:rPr>
          <w:rFonts w:cstheme="minorHAnsi"/>
          <w:szCs w:val="26"/>
        </w:rPr>
        <w:t>h</w:t>
      </w:r>
      <w:r w:rsidRPr="000641B0" w:rsidR="00482B6B">
        <w:rPr>
          <w:rFonts w:cstheme="minorHAnsi"/>
          <w:szCs w:val="26"/>
        </w:rPr>
        <w:t>olding</w:t>
      </w:r>
      <w:r w:rsidRPr="000641B0" w:rsidR="00D2373B">
        <w:rPr>
          <w:rFonts w:cstheme="minorHAnsi"/>
          <w:szCs w:val="26"/>
        </w:rPr>
        <w:t xml:space="preserve"> that </w:t>
      </w:r>
      <w:r w:rsidRPr="000641B0" w:rsidR="00C25D08">
        <w:rPr>
          <w:rFonts w:cstheme="minorHAnsi"/>
          <w:szCs w:val="26"/>
        </w:rPr>
        <w:t xml:space="preserve">the government, in postconviction proceedings, </w:t>
      </w:r>
      <w:r w:rsidRPr="000641B0" w:rsidR="002B631D">
        <w:rPr>
          <w:rFonts w:cstheme="minorHAnsi"/>
          <w:szCs w:val="26"/>
        </w:rPr>
        <w:t xml:space="preserve">lacks </w:t>
      </w:r>
      <w:r w:rsidRPr="000641B0" w:rsidR="0087013C">
        <w:rPr>
          <w:rFonts w:cstheme="minorHAnsi"/>
          <w:szCs w:val="26"/>
        </w:rPr>
        <w:t>a</w:t>
      </w:r>
      <w:r w:rsidRPr="000641B0" w:rsidR="00C25D08">
        <w:rPr>
          <w:rFonts w:cstheme="minorHAnsi"/>
          <w:szCs w:val="26"/>
        </w:rPr>
        <w:t xml:space="preserve"> duty to disclose </w:t>
      </w:r>
      <w:r w:rsidRPr="000641B0" w:rsidR="00C25D08">
        <w:rPr>
          <w:rFonts w:cstheme="minorHAnsi"/>
          <w:i/>
          <w:iCs/>
          <w:szCs w:val="26"/>
        </w:rPr>
        <w:t>Brady</w:t>
      </w:r>
      <w:r w:rsidRPr="000641B0" w:rsidR="00C25D08">
        <w:rPr>
          <w:rFonts w:cstheme="minorHAnsi"/>
          <w:szCs w:val="26"/>
        </w:rPr>
        <w:t xml:space="preserve"> material that was available to the government at the time of trial.  </w:t>
      </w:r>
      <w:r w:rsidRPr="000641B0" w:rsidR="00FE7A56">
        <w:rPr>
          <w:rFonts w:cstheme="minorHAnsi"/>
          <w:szCs w:val="26"/>
        </w:rPr>
        <w:t>T</w:t>
      </w:r>
      <w:r w:rsidRPr="000641B0" w:rsidR="009F1B71">
        <w:rPr>
          <w:rFonts w:cstheme="minorHAnsi"/>
          <w:szCs w:val="26"/>
        </w:rPr>
        <w:t>he primary authority the Attorney General relies</w:t>
      </w:r>
      <w:r w:rsidRPr="000641B0" w:rsidR="00472662">
        <w:rPr>
          <w:rFonts w:cstheme="minorHAnsi"/>
          <w:szCs w:val="26"/>
        </w:rPr>
        <w:t xml:space="preserve"> on</w:t>
      </w:r>
      <w:r w:rsidRPr="000641B0" w:rsidR="009F1B71">
        <w:rPr>
          <w:rFonts w:cstheme="minorHAnsi"/>
          <w:szCs w:val="26"/>
        </w:rPr>
        <w:t xml:space="preserve">, </w:t>
      </w:r>
      <w:bookmarkStart w:id="36" w:name="_Hlk115250963"/>
      <w:bookmarkStart w:id="37" w:name="_Hlk125715311"/>
      <w:r w:rsidRPr="000641B0" w:rsidR="00C25D08">
        <w:rPr>
          <w:rFonts w:cstheme="minorHAnsi"/>
          <w:i/>
          <w:iCs/>
          <w:szCs w:val="26"/>
        </w:rPr>
        <w:t>District Attorney’s Office for Third Judicial Dist</w:t>
      </w:r>
      <w:r w:rsidR="00EE7C32">
        <w:rPr>
          <w:rFonts w:cstheme="minorHAnsi"/>
          <w:i/>
          <w:iCs/>
          <w:szCs w:val="26"/>
        </w:rPr>
        <w:t>.</w:t>
      </w:r>
      <w:r w:rsidRPr="000641B0" w:rsidR="00C25D08">
        <w:rPr>
          <w:rFonts w:cstheme="minorHAnsi"/>
          <w:i/>
          <w:iCs/>
          <w:szCs w:val="26"/>
        </w:rPr>
        <w:t xml:space="preserve"> v. Osborne</w:t>
      </w:r>
      <w:r w:rsidRPr="000641B0" w:rsidR="00C25D08">
        <w:rPr>
          <w:rFonts w:cstheme="minorHAnsi"/>
          <w:szCs w:val="26"/>
        </w:rPr>
        <w:t xml:space="preserve"> (2009) 557 U.S. 52 (</w:t>
      </w:r>
      <w:r w:rsidRPr="000641B0" w:rsidR="00C25D08">
        <w:rPr>
          <w:rFonts w:cstheme="minorHAnsi"/>
          <w:i/>
          <w:iCs/>
          <w:szCs w:val="26"/>
        </w:rPr>
        <w:t>Osborne</w:t>
      </w:r>
      <w:bookmarkEnd w:id="36"/>
      <w:r w:rsidRPr="000641B0" w:rsidR="00C25D08">
        <w:rPr>
          <w:rFonts w:cstheme="minorHAnsi"/>
          <w:szCs w:val="26"/>
        </w:rPr>
        <w:t xml:space="preserve">), </w:t>
      </w:r>
      <w:bookmarkEnd w:id="37"/>
      <w:r w:rsidRPr="000641B0" w:rsidR="009F1B71">
        <w:rPr>
          <w:rFonts w:cstheme="minorHAnsi"/>
          <w:szCs w:val="26"/>
        </w:rPr>
        <w:t>does not support the Attorney General’s position</w:t>
      </w:r>
      <w:r w:rsidRPr="000641B0" w:rsidR="00C25D08">
        <w:rPr>
          <w:rFonts w:cstheme="minorHAnsi"/>
          <w:szCs w:val="26"/>
        </w:rPr>
        <w:t xml:space="preserve">. </w:t>
      </w:r>
      <w:r w:rsidRPr="000641B0" w:rsidR="006968F8">
        <w:rPr>
          <w:rFonts w:cstheme="minorHAnsi"/>
          <w:szCs w:val="26"/>
        </w:rPr>
        <w:t xml:space="preserve"> </w:t>
      </w:r>
      <w:r w:rsidRPr="000641B0" w:rsidR="0008216C">
        <w:rPr>
          <w:rFonts w:cstheme="minorHAnsi"/>
          <w:szCs w:val="26"/>
        </w:rPr>
        <w:t xml:space="preserve">The defendant in </w:t>
      </w:r>
      <w:r w:rsidRPr="000641B0" w:rsidR="0008216C">
        <w:rPr>
          <w:rFonts w:cstheme="minorHAnsi"/>
          <w:i/>
          <w:iCs/>
          <w:szCs w:val="26"/>
        </w:rPr>
        <w:t>Osborne</w:t>
      </w:r>
      <w:r w:rsidRPr="000641B0" w:rsidR="0008216C">
        <w:rPr>
          <w:rFonts w:cstheme="minorHAnsi"/>
          <w:szCs w:val="26"/>
        </w:rPr>
        <w:t xml:space="preserve"> sued </w:t>
      </w:r>
      <w:r w:rsidRPr="000641B0" w:rsidR="00B318B4">
        <w:rPr>
          <w:rFonts w:cstheme="minorHAnsi"/>
          <w:szCs w:val="26"/>
        </w:rPr>
        <w:t xml:space="preserve">Alaska </w:t>
      </w:r>
      <w:r w:rsidRPr="000641B0" w:rsidR="0008216C">
        <w:rPr>
          <w:rFonts w:cstheme="minorHAnsi"/>
          <w:szCs w:val="26"/>
        </w:rPr>
        <w:t xml:space="preserve">officials in </w:t>
      </w:r>
      <w:r w:rsidRPr="000641B0" w:rsidR="00362162">
        <w:rPr>
          <w:rFonts w:cstheme="minorHAnsi"/>
          <w:szCs w:val="26"/>
        </w:rPr>
        <w:t xml:space="preserve">federal court alleging a violation of </w:t>
      </w:r>
      <w:r w:rsidR="00EE7C32">
        <w:rPr>
          <w:rFonts w:cstheme="minorHAnsi"/>
          <w:szCs w:val="26"/>
        </w:rPr>
        <w:t xml:space="preserve">section 1983 of </w:t>
      </w:r>
      <w:r w:rsidR="009700C8">
        <w:rPr>
          <w:rFonts w:cstheme="minorHAnsi"/>
          <w:szCs w:val="26"/>
        </w:rPr>
        <w:t>t</w:t>
      </w:r>
      <w:r w:rsidRPr="000641B0" w:rsidR="000D5E89">
        <w:rPr>
          <w:rFonts w:cstheme="minorHAnsi"/>
          <w:szCs w:val="26"/>
        </w:rPr>
        <w:t xml:space="preserve">itle </w:t>
      </w:r>
      <w:r w:rsidRPr="000641B0" w:rsidR="00362162">
        <w:rPr>
          <w:rFonts w:cstheme="minorHAnsi"/>
          <w:szCs w:val="26"/>
        </w:rPr>
        <w:t xml:space="preserve">42 </w:t>
      </w:r>
      <w:r w:rsidR="009700C8">
        <w:rPr>
          <w:rFonts w:cstheme="minorHAnsi"/>
          <w:szCs w:val="26"/>
        </w:rPr>
        <w:t xml:space="preserve">of </w:t>
      </w:r>
      <w:r w:rsidR="00EE7C32">
        <w:rPr>
          <w:rFonts w:cstheme="minorHAnsi"/>
          <w:szCs w:val="26"/>
        </w:rPr>
        <w:t xml:space="preserve">the </w:t>
      </w:r>
      <w:r w:rsidRPr="000641B0" w:rsidR="000D5E89">
        <w:rPr>
          <w:rFonts w:cstheme="minorHAnsi"/>
          <w:szCs w:val="26"/>
        </w:rPr>
        <w:t>United States Code</w:t>
      </w:r>
      <w:r w:rsidRPr="000641B0" w:rsidR="00362162">
        <w:rPr>
          <w:rFonts w:cstheme="minorHAnsi"/>
          <w:szCs w:val="26"/>
        </w:rPr>
        <w:t xml:space="preserve"> </w:t>
      </w:r>
      <w:r w:rsidRPr="000641B0" w:rsidR="00BE659D">
        <w:rPr>
          <w:rFonts w:cstheme="minorHAnsi"/>
          <w:szCs w:val="26"/>
        </w:rPr>
        <w:t>based</w:t>
      </w:r>
      <w:r w:rsidRPr="000641B0" w:rsidR="00A22811">
        <w:rPr>
          <w:rFonts w:cstheme="minorHAnsi"/>
          <w:szCs w:val="26"/>
        </w:rPr>
        <w:t xml:space="preserve">, in part, </w:t>
      </w:r>
      <w:r w:rsidRPr="000641B0" w:rsidR="00BE659D">
        <w:rPr>
          <w:rFonts w:cstheme="minorHAnsi"/>
          <w:szCs w:val="26"/>
        </w:rPr>
        <w:t xml:space="preserve">on </w:t>
      </w:r>
      <w:r w:rsidRPr="000641B0" w:rsidR="00A11151">
        <w:rPr>
          <w:rFonts w:cstheme="minorHAnsi"/>
          <w:szCs w:val="26"/>
        </w:rPr>
        <w:t>his</w:t>
      </w:r>
      <w:r w:rsidRPr="000641B0" w:rsidR="00BE659D">
        <w:rPr>
          <w:rFonts w:cstheme="minorHAnsi"/>
          <w:szCs w:val="26"/>
        </w:rPr>
        <w:t xml:space="preserve"> claim that </w:t>
      </w:r>
      <w:r w:rsidRPr="000641B0" w:rsidR="00BF27B8">
        <w:rPr>
          <w:rFonts w:cstheme="minorHAnsi"/>
          <w:szCs w:val="26"/>
        </w:rPr>
        <w:t xml:space="preserve">the </w:t>
      </w:r>
      <w:r w:rsidRPr="000641B0" w:rsidR="00BE659D">
        <w:rPr>
          <w:rFonts w:cstheme="minorHAnsi"/>
          <w:szCs w:val="26"/>
        </w:rPr>
        <w:t>d</w:t>
      </w:r>
      <w:r w:rsidRPr="000641B0" w:rsidR="00BF27B8">
        <w:rPr>
          <w:rFonts w:cstheme="minorHAnsi"/>
          <w:szCs w:val="26"/>
        </w:rPr>
        <w:t xml:space="preserve">ue </w:t>
      </w:r>
      <w:r w:rsidRPr="000641B0" w:rsidR="00BE659D">
        <w:rPr>
          <w:rFonts w:cstheme="minorHAnsi"/>
          <w:szCs w:val="26"/>
        </w:rPr>
        <w:t>p</w:t>
      </w:r>
      <w:r w:rsidRPr="000641B0" w:rsidR="00BF27B8">
        <w:rPr>
          <w:rFonts w:cstheme="minorHAnsi"/>
          <w:szCs w:val="26"/>
        </w:rPr>
        <w:t xml:space="preserve">rocess </w:t>
      </w:r>
      <w:r w:rsidRPr="000641B0" w:rsidR="00BE659D">
        <w:rPr>
          <w:rFonts w:cstheme="minorHAnsi"/>
          <w:szCs w:val="26"/>
        </w:rPr>
        <w:t>c</w:t>
      </w:r>
      <w:r w:rsidRPr="000641B0" w:rsidR="00BF27B8">
        <w:rPr>
          <w:rFonts w:cstheme="minorHAnsi"/>
          <w:szCs w:val="26"/>
        </w:rPr>
        <w:t xml:space="preserve">lause gave him </w:t>
      </w:r>
      <w:r w:rsidRPr="000641B0" w:rsidR="001A31ED">
        <w:rPr>
          <w:rFonts w:cstheme="minorHAnsi"/>
          <w:szCs w:val="26"/>
        </w:rPr>
        <w:t xml:space="preserve">the </w:t>
      </w:r>
      <w:r w:rsidRPr="000641B0" w:rsidR="009717D6">
        <w:rPr>
          <w:rFonts w:cstheme="minorHAnsi"/>
          <w:szCs w:val="26"/>
        </w:rPr>
        <w:t>right</w:t>
      </w:r>
      <w:r w:rsidRPr="000641B0" w:rsidR="00BF27B8">
        <w:rPr>
          <w:rFonts w:cstheme="minorHAnsi"/>
          <w:szCs w:val="26"/>
        </w:rPr>
        <w:t xml:space="preserve"> to access DNA evidence</w:t>
      </w:r>
      <w:r w:rsidRPr="000641B0" w:rsidR="00CA46DA">
        <w:rPr>
          <w:rFonts w:cstheme="minorHAnsi"/>
          <w:szCs w:val="26"/>
        </w:rPr>
        <w:t xml:space="preserve"> that </w:t>
      </w:r>
      <w:r w:rsidRPr="000641B0" w:rsidR="00FE7A56">
        <w:rPr>
          <w:rFonts w:cstheme="minorHAnsi"/>
          <w:szCs w:val="26"/>
        </w:rPr>
        <w:t xml:space="preserve">“had been </w:t>
      </w:r>
      <w:r w:rsidRPr="000641B0" w:rsidR="00FE7A56">
        <w:rPr>
          <w:rFonts w:cstheme="minorHAnsi"/>
          <w:i/>
          <w:iCs/>
          <w:szCs w:val="26"/>
        </w:rPr>
        <w:t>unavailable</w:t>
      </w:r>
      <w:r w:rsidRPr="000641B0" w:rsidR="00FE7A56">
        <w:rPr>
          <w:rFonts w:cstheme="minorHAnsi"/>
          <w:szCs w:val="26"/>
        </w:rPr>
        <w:t xml:space="preserve"> at trial.”  (</w:t>
      </w:r>
      <w:r w:rsidRPr="000641B0" w:rsidR="000D5E89">
        <w:rPr>
          <w:rFonts w:cstheme="minorHAnsi"/>
          <w:i/>
          <w:iCs/>
          <w:szCs w:val="26"/>
        </w:rPr>
        <w:t>Osborne</w:t>
      </w:r>
      <w:r w:rsidRPr="000641B0" w:rsidR="000D5E89">
        <w:rPr>
          <w:rFonts w:cstheme="minorHAnsi"/>
          <w:szCs w:val="26"/>
        </w:rPr>
        <w:t>,</w:t>
      </w:r>
      <w:r w:rsidRPr="000641B0" w:rsidR="00FE7A56">
        <w:rPr>
          <w:rFonts w:cstheme="minorHAnsi"/>
          <w:szCs w:val="26"/>
        </w:rPr>
        <w:t xml:space="preserve"> at p. 61, italics added.)  </w:t>
      </w:r>
      <w:r w:rsidRPr="000641B0" w:rsidR="00173B1A">
        <w:rPr>
          <w:rFonts w:cstheme="minorHAnsi"/>
          <w:szCs w:val="26"/>
        </w:rPr>
        <w:t xml:space="preserve">In considering </w:t>
      </w:r>
      <w:r w:rsidRPr="000641B0" w:rsidR="00C34E0E">
        <w:rPr>
          <w:rFonts w:cstheme="minorHAnsi"/>
          <w:szCs w:val="26"/>
        </w:rPr>
        <w:t xml:space="preserve">whether </w:t>
      </w:r>
      <w:r w:rsidRPr="000641B0" w:rsidR="005138BB">
        <w:rPr>
          <w:rFonts w:cstheme="minorHAnsi"/>
          <w:szCs w:val="26"/>
        </w:rPr>
        <w:t xml:space="preserve">the defendant </w:t>
      </w:r>
      <w:r w:rsidRPr="000641B0" w:rsidR="004A2028">
        <w:rPr>
          <w:rFonts w:cstheme="minorHAnsi"/>
          <w:szCs w:val="26"/>
        </w:rPr>
        <w:t xml:space="preserve">had </w:t>
      </w:r>
      <w:r w:rsidR="00EE7C32">
        <w:rPr>
          <w:rFonts w:cstheme="minorHAnsi"/>
          <w:szCs w:val="26"/>
        </w:rPr>
        <w:t xml:space="preserve">such a constitutional right </w:t>
      </w:r>
      <w:r w:rsidRPr="000641B0" w:rsidR="00C34E0E">
        <w:rPr>
          <w:rFonts w:cstheme="minorHAnsi"/>
          <w:szCs w:val="26"/>
        </w:rPr>
        <w:t>“to obtain postconviction access to the State’s evidence for DNA testing” (</w:t>
      </w:r>
      <w:r w:rsidRPr="000641B0" w:rsidR="00C34E0E">
        <w:rPr>
          <w:rFonts w:cstheme="minorHAnsi"/>
          <w:i/>
          <w:iCs/>
          <w:szCs w:val="26"/>
        </w:rPr>
        <w:t>i</w:t>
      </w:r>
      <w:r w:rsidR="00EE7C32">
        <w:rPr>
          <w:rFonts w:cstheme="minorHAnsi"/>
          <w:i/>
          <w:iCs/>
          <w:szCs w:val="26"/>
        </w:rPr>
        <w:t>bi</w:t>
      </w:r>
      <w:r w:rsidRPr="000641B0" w:rsidR="00C34E0E">
        <w:rPr>
          <w:rFonts w:cstheme="minorHAnsi"/>
          <w:i/>
          <w:iCs/>
          <w:szCs w:val="26"/>
        </w:rPr>
        <w:t>d</w:t>
      </w:r>
      <w:r w:rsidRPr="000641B0" w:rsidR="00C34E0E">
        <w:rPr>
          <w:rFonts w:cstheme="minorHAnsi"/>
          <w:szCs w:val="26"/>
        </w:rPr>
        <w:t>.),</w:t>
      </w:r>
      <w:r w:rsidRPr="000641B0" w:rsidR="005138BB">
        <w:rPr>
          <w:rFonts w:cstheme="minorHAnsi"/>
          <w:szCs w:val="26"/>
        </w:rPr>
        <w:t xml:space="preserve"> </w:t>
      </w:r>
      <w:r w:rsidRPr="000641B0" w:rsidR="006968F8">
        <w:rPr>
          <w:rFonts w:cstheme="minorHAnsi"/>
          <w:szCs w:val="26"/>
        </w:rPr>
        <w:t xml:space="preserve">the </w:t>
      </w:r>
      <w:r w:rsidRPr="000641B0" w:rsidR="006968F8">
        <w:rPr>
          <w:rFonts w:cstheme="minorHAnsi"/>
          <w:i/>
          <w:iCs/>
          <w:szCs w:val="26"/>
        </w:rPr>
        <w:t>Osborne</w:t>
      </w:r>
      <w:r w:rsidRPr="000641B0" w:rsidR="006968F8">
        <w:rPr>
          <w:rFonts w:cstheme="minorHAnsi"/>
          <w:szCs w:val="26"/>
        </w:rPr>
        <w:t xml:space="preserve"> court</w:t>
      </w:r>
      <w:r w:rsidRPr="000641B0" w:rsidR="00173B1A">
        <w:rPr>
          <w:rFonts w:cstheme="minorHAnsi"/>
          <w:szCs w:val="26"/>
        </w:rPr>
        <w:t xml:space="preserve"> observed that “[t]he availability of technologies </w:t>
      </w:r>
      <w:r w:rsidRPr="000641B0" w:rsidR="00173B1A">
        <w:rPr>
          <w:rFonts w:cstheme="minorHAnsi"/>
          <w:i/>
          <w:iCs/>
          <w:szCs w:val="26"/>
        </w:rPr>
        <w:t>not available at trial</w:t>
      </w:r>
      <w:r w:rsidRPr="000641B0" w:rsidR="00173B1A">
        <w:rPr>
          <w:rFonts w:cstheme="minorHAnsi"/>
          <w:szCs w:val="26"/>
        </w:rPr>
        <w:t xml:space="preserve"> cannot mean that every criminal conviction, or even every criminal conviction involving biological evidence, is suddenly in doubt.”</w:t>
      </w:r>
      <w:r w:rsidRPr="000641B0" w:rsidR="00DD1F22">
        <w:rPr>
          <w:rFonts w:cstheme="minorHAnsi"/>
          <w:szCs w:val="26"/>
        </w:rPr>
        <w:t xml:space="preserve"> </w:t>
      </w:r>
      <w:r w:rsidRPr="000641B0" w:rsidR="00173B1A">
        <w:rPr>
          <w:rFonts w:cstheme="minorHAnsi"/>
          <w:szCs w:val="26"/>
        </w:rPr>
        <w:t xml:space="preserve"> (</w:t>
      </w:r>
      <w:r w:rsidRPr="000641B0" w:rsidR="00173B1A">
        <w:rPr>
          <w:rFonts w:cstheme="minorHAnsi"/>
          <w:i/>
          <w:iCs/>
          <w:szCs w:val="26"/>
        </w:rPr>
        <w:t>Id</w:t>
      </w:r>
      <w:r w:rsidRPr="000641B0" w:rsidR="00173B1A">
        <w:rPr>
          <w:rFonts w:cstheme="minorHAnsi"/>
          <w:szCs w:val="26"/>
        </w:rPr>
        <w:t>.</w:t>
      </w:r>
      <w:r w:rsidRPr="000641B0" w:rsidR="00FB5963">
        <w:rPr>
          <w:rFonts w:cstheme="minorHAnsi"/>
          <w:szCs w:val="26"/>
        </w:rPr>
        <w:t xml:space="preserve"> at p.</w:t>
      </w:r>
      <w:r w:rsidRPr="000641B0" w:rsidR="00FE7A56">
        <w:rPr>
          <w:rFonts w:cstheme="minorHAnsi"/>
          <w:szCs w:val="26"/>
        </w:rPr>
        <w:t> </w:t>
      </w:r>
      <w:r w:rsidRPr="000641B0" w:rsidR="00FB5963">
        <w:rPr>
          <w:rFonts w:cstheme="minorHAnsi"/>
          <w:szCs w:val="26"/>
        </w:rPr>
        <w:t>62</w:t>
      </w:r>
      <w:r w:rsidRPr="000641B0" w:rsidR="00EC409E">
        <w:rPr>
          <w:rFonts w:cstheme="minorHAnsi"/>
          <w:szCs w:val="26"/>
        </w:rPr>
        <w:t>, italics added.</w:t>
      </w:r>
      <w:r w:rsidRPr="000641B0" w:rsidR="00173B1A">
        <w:rPr>
          <w:rFonts w:cstheme="minorHAnsi"/>
          <w:szCs w:val="26"/>
        </w:rPr>
        <w:t>)</w:t>
      </w:r>
      <w:r w:rsidRPr="000641B0" w:rsidR="004A2028">
        <w:rPr>
          <w:rFonts w:cstheme="minorHAnsi"/>
          <w:szCs w:val="26"/>
        </w:rPr>
        <w:t xml:space="preserve">  The </w:t>
      </w:r>
      <w:r w:rsidRPr="000641B0" w:rsidR="004A2028">
        <w:rPr>
          <w:rFonts w:cstheme="minorHAnsi"/>
          <w:i/>
          <w:iCs/>
          <w:szCs w:val="26"/>
        </w:rPr>
        <w:t>Osborne</w:t>
      </w:r>
      <w:r w:rsidRPr="000641B0" w:rsidR="004A2028">
        <w:rPr>
          <w:rFonts w:cstheme="minorHAnsi"/>
          <w:szCs w:val="26"/>
        </w:rPr>
        <w:t xml:space="preserve"> court reasoned furt</w:t>
      </w:r>
      <w:r w:rsidRPr="000641B0" w:rsidR="00B17680">
        <w:rPr>
          <w:rFonts w:cstheme="minorHAnsi"/>
          <w:szCs w:val="26"/>
        </w:rPr>
        <w:t>h</w:t>
      </w:r>
      <w:r w:rsidRPr="000641B0" w:rsidR="004A2028">
        <w:rPr>
          <w:rFonts w:cstheme="minorHAnsi"/>
          <w:szCs w:val="26"/>
        </w:rPr>
        <w:t xml:space="preserve">er that </w:t>
      </w:r>
      <w:r w:rsidRPr="000641B0" w:rsidR="00B17680">
        <w:rPr>
          <w:rFonts w:cstheme="minorHAnsi"/>
          <w:szCs w:val="26"/>
        </w:rPr>
        <w:t>“[t]he dilemma [of] how to harness DNA</w:t>
      </w:r>
      <w:r w:rsidRPr="000641B0" w:rsidR="007B2149">
        <w:rPr>
          <w:rFonts w:cstheme="minorHAnsi"/>
          <w:szCs w:val="26"/>
        </w:rPr>
        <w:t>’</w:t>
      </w:r>
      <w:r w:rsidRPr="000641B0" w:rsidR="00B17680">
        <w:rPr>
          <w:rFonts w:cstheme="minorHAnsi"/>
          <w:szCs w:val="26"/>
        </w:rPr>
        <w:t xml:space="preserve">s power to prove innocence without unnecessarily overthrowing the established system of criminal justice,” was a </w:t>
      </w:r>
      <w:r w:rsidRPr="000641B0" w:rsidR="00B60FC6">
        <w:rPr>
          <w:rFonts w:cstheme="minorHAnsi"/>
          <w:szCs w:val="26"/>
        </w:rPr>
        <w:t>problem to be solved “</w:t>
      </w:r>
      <w:r w:rsidRPr="000641B0" w:rsidR="00B17680">
        <w:rPr>
          <w:rFonts w:cstheme="minorHAnsi"/>
          <w:szCs w:val="26"/>
        </w:rPr>
        <w:t xml:space="preserve">primarily </w:t>
      </w:r>
      <w:r w:rsidRPr="000641B0" w:rsidR="00B60FC6">
        <w:rPr>
          <w:rFonts w:cstheme="minorHAnsi"/>
          <w:szCs w:val="26"/>
        </w:rPr>
        <w:t>[by]</w:t>
      </w:r>
      <w:r w:rsidRPr="000641B0" w:rsidR="00B17680">
        <w:rPr>
          <w:rFonts w:cstheme="minorHAnsi"/>
          <w:szCs w:val="26"/>
        </w:rPr>
        <w:t xml:space="preserve"> the </w:t>
      </w:r>
      <w:r w:rsidR="00EE7C32">
        <w:rPr>
          <w:rFonts w:cstheme="minorHAnsi"/>
          <w:szCs w:val="26"/>
        </w:rPr>
        <w:t>l</w:t>
      </w:r>
      <w:r w:rsidRPr="000641B0" w:rsidR="00B17680">
        <w:rPr>
          <w:rFonts w:cstheme="minorHAnsi"/>
          <w:szCs w:val="26"/>
        </w:rPr>
        <w:t>egislature</w:t>
      </w:r>
      <w:r w:rsidRPr="000641B0" w:rsidR="00B60FC6">
        <w:rPr>
          <w:rFonts w:cstheme="minorHAnsi"/>
          <w:szCs w:val="26"/>
        </w:rPr>
        <w:t>.”</w:t>
      </w:r>
      <w:r w:rsidRPr="000641B0" w:rsidR="00AD1310">
        <w:rPr>
          <w:rFonts w:cstheme="minorHAnsi"/>
          <w:szCs w:val="26"/>
        </w:rPr>
        <w:t xml:space="preserve"> </w:t>
      </w:r>
      <w:r w:rsidRPr="000641B0" w:rsidR="00B60FC6">
        <w:rPr>
          <w:rFonts w:cstheme="minorHAnsi"/>
          <w:szCs w:val="26"/>
        </w:rPr>
        <w:t xml:space="preserve"> (</w:t>
      </w:r>
      <w:r w:rsidRPr="000641B0" w:rsidR="00B60FC6">
        <w:rPr>
          <w:rFonts w:cstheme="minorHAnsi"/>
          <w:i/>
          <w:iCs/>
          <w:szCs w:val="26"/>
        </w:rPr>
        <w:t>I</w:t>
      </w:r>
      <w:r w:rsidR="009700C8">
        <w:rPr>
          <w:rFonts w:cstheme="minorHAnsi"/>
          <w:i/>
          <w:iCs/>
          <w:szCs w:val="26"/>
        </w:rPr>
        <w:t>bi</w:t>
      </w:r>
      <w:r w:rsidRPr="000641B0" w:rsidR="00B60FC6">
        <w:rPr>
          <w:rFonts w:cstheme="minorHAnsi"/>
          <w:i/>
          <w:iCs/>
          <w:szCs w:val="26"/>
        </w:rPr>
        <w:t>d</w:t>
      </w:r>
      <w:r w:rsidRPr="000641B0" w:rsidR="00B60FC6">
        <w:rPr>
          <w:rFonts w:cstheme="minorHAnsi"/>
          <w:szCs w:val="26"/>
        </w:rPr>
        <w:t>.)</w:t>
      </w:r>
    </w:p>
    <w:p w:rsidR="006968F8" w:rsidRPr="000641B0" w:rsidP="000641B0" w14:paraId="0D7E9553" w14:textId="2ACE1F94">
      <w:pPr>
        <w:ind w:firstLine="720"/>
        <w:rPr>
          <w:rFonts w:cstheme="minorHAnsi"/>
          <w:szCs w:val="26"/>
        </w:rPr>
      </w:pPr>
      <w:r w:rsidRPr="000641B0">
        <w:rPr>
          <w:rFonts w:cstheme="minorHAnsi"/>
          <w:szCs w:val="26"/>
        </w:rPr>
        <w:t xml:space="preserve">The </w:t>
      </w:r>
      <w:r w:rsidRPr="000641B0">
        <w:rPr>
          <w:rFonts w:cstheme="minorHAnsi"/>
          <w:i/>
          <w:iCs/>
          <w:szCs w:val="26"/>
        </w:rPr>
        <w:t>Osborne</w:t>
      </w:r>
      <w:r w:rsidRPr="000641B0">
        <w:rPr>
          <w:rFonts w:cstheme="minorHAnsi"/>
          <w:szCs w:val="26"/>
        </w:rPr>
        <w:t xml:space="preserve"> court acknowledged that the defendant had “a liberty interest in demonstrating his innocence with new evidence under state law.”</w:t>
      </w:r>
      <w:r w:rsidRPr="000641B0" w:rsidR="0029187F">
        <w:rPr>
          <w:rFonts w:cstheme="minorHAnsi"/>
          <w:szCs w:val="26"/>
        </w:rPr>
        <w:t xml:space="preserve"> </w:t>
      </w:r>
      <w:r w:rsidRPr="000641B0" w:rsidR="001C30AA">
        <w:rPr>
          <w:rFonts w:cstheme="minorHAnsi"/>
          <w:szCs w:val="26"/>
        </w:rPr>
        <w:t xml:space="preserve"> (</w:t>
      </w:r>
      <w:r w:rsidRPr="000641B0" w:rsidR="001C30AA">
        <w:rPr>
          <w:rFonts w:cstheme="minorHAnsi"/>
          <w:i/>
          <w:iCs/>
          <w:szCs w:val="26"/>
        </w:rPr>
        <w:t>Osborne</w:t>
      </w:r>
      <w:r w:rsidRPr="000641B0" w:rsidR="001C30AA">
        <w:rPr>
          <w:rFonts w:cstheme="minorHAnsi"/>
          <w:szCs w:val="26"/>
        </w:rPr>
        <w:t xml:space="preserve">, </w:t>
      </w:r>
      <w:r w:rsidRPr="000641B0" w:rsidR="001C30AA">
        <w:rPr>
          <w:rFonts w:cstheme="minorHAnsi"/>
          <w:i/>
          <w:iCs/>
          <w:szCs w:val="26"/>
        </w:rPr>
        <w:t>supra</w:t>
      </w:r>
      <w:r w:rsidRPr="000641B0" w:rsidR="001C30AA">
        <w:rPr>
          <w:rFonts w:cstheme="minorHAnsi"/>
          <w:szCs w:val="26"/>
        </w:rPr>
        <w:t xml:space="preserve">, 557 U.S. at p. 68.)  After discussing that state law, the </w:t>
      </w:r>
      <w:r w:rsidRPr="000641B0" w:rsidR="001C30AA">
        <w:rPr>
          <w:rFonts w:cstheme="minorHAnsi"/>
          <w:i/>
          <w:iCs/>
          <w:szCs w:val="26"/>
        </w:rPr>
        <w:t>Osborne</w:t>
      </w:r>
      <w:r w:rsidRPr="000641B0" w:rsidR="001C30AA">
        <w:rPr>
          <w:rFonts w:cstheme="minorHAnsi"/>
          <w:szCs w:val="26"/>
        </w:rPr>
        <w:t xml:space="preserve"> court </w:t>
      </w:r>
      <w:r w:rsidRPr="000641B0" w:rsidR="00422437">
        <w:rPr>
          <w:rFonts w:cstheme="minorHAnsi"/>
          <w:szCs w:val="26"/>
        </w:rPr>
        <w:t>observed</w:t>
      </w:r>
      <w:r w:rsidRPr="000641B0" w:rsidR="001C30AA">
        <w:rPr>
          <w:rFonts w:cstheme="minorHAnsi"/>
          <w:szCs w:val="26"/>
        </w:rPr>
        <w:t xml:space="preserve"> </w:t>
      </w:r>
      <w:r w:rsidRPr="000641B0" w:rsidR="00874440">
        <w:rPr>
          <w:rFonts w:cstheme="minorHAnsi"/>
          <w:szCs w:val="26"/>
        </w:rPr>
        <w:t>that a “</w:t>
      </w:r>
      <w:r w:rsidRPr="000641B0" w:rsidR="005F7082">
        <w:rPr>
          <w:rFonts w:cstheme="minorHAnsi"/>
          <w:szCs w:val="26"/>
        </w:rPr>
        <w:t> </w:t>
      </w:r>
      <w:r w:rsidRPr="000641B0" w:rsidR="008E5BCC">
        <w:rPr>
          <w:rFonts w:cstheme="minorHAnsi"/>
          <w:szCs w:val="26"/>
        </w:rPr>
        <w:t>‘</w:t>
      </w:r>
      <w:r w:rsidRPr="000641B0" w:rsidR="00874440">
        <w:rPr>
          <w:rFonts w:cstheme="minorHAnsi"/>
          <w:szCs w:val="26"/>
        </w:rPr>
        <w:t>state-created right can, in some circumstances, beget yet other rights to procedures essential to the realization of the parent right.</w:t>
      </w:r>
      <w:r w:rsidRPr="000641B0" w:rsidR="008E5BCC">
        <w:rPr>
          <w:rFonts w:cstheme="minorHAnsi"/>
          <w:szCs w:val="26"/>
        </w:rPr>
        <w:t>’</w:t>
      </w:r>
      <w:r w:rsidRPr="000641B0" w:rsidR="005F7082">
        <w:rPr>
          <w:rFonts w:cstheme="minorHAnsi"/>
          <w:szCs w:val="26"/>
        </w:rPr>
        <w:t> </w:t>
      </w:r>
      <w:r w:rsidRPr="000641B0" w:rsidR="00874440">
        <w:rPr>
          <w:rFonts w:cstheme="minorHAnsi"/>
          <w:szCs w:val="26"/>
        </w:rPr>
        <w:t>”  (</w:t>
      </w:r>
      <w:r w:rsidRPr="000641B0" w:rsidR="00874440">
        <w:rPr>
          <w:rFonts w:cstheme="minorHAnsi"/>
          <w:i/>
          <w:iCs/>
          <w:szCs w:val="26"/>
        </w:rPr>
        <w:t>Ibid</w:t>
      </w:r>
      <w:r w:rsidRPr="000641B0" w:rsidR="00874440">
        <w:rPr>
          <w:rFonts w:cstheme="minorHAnsi"/>
          <w:szCs w:val="26"/>
        </w:rPr>
        <w:t>.)</w:t>
      </w:r>
      <w:r w:rsidRPr="000641B0" w:rsidR="007C74F3">
        <w:rPr>
          <w:rFonts w:cstheme="minorHAnsi"/>
          <w:szCs w:val="26"/>
        </w:rPr>
        <w:t xml:space="preserve">  </w:t>
      </w:r>
      <w:r w:rsidRPr="000641B0" w:rsidR="00874440">
        <w:rPr>
          <w:rFonts w:cstheme="minorHAnsi"/>
          <w:szCs w:val="26"/>
        </w:rPr>
        <w:t>However,</w:t>
      </w:r>
      <w:r w:rsidRPr="000641B0" w:rsidR="004C0FC9">
        <w:rPr>
          <w:rFonts w:cstheme="minorHAnsi"/>
          <w:szCs w:val="26"/>
        </w:rPr>
        <w:t xml:space="preserve"> the </w:t>
      </w:r>
      <w:r w:rsidRPr="000641B0" w:rsidR="004C0FC9">
        <w:rPr>
          <w:rFonts w:cstheme="minorHAnsi"/>
          <w:i/>
          <w:iCs/>
          <w:szCs w:val="26"/>
        </w:rPr>
        <w:t xml:space="preserve">Osborne </w:t>
      </w:r>
      <w:r w:rsidRPr="000641B0" w:rsidR="004C0FC9">
        <w:rPr>
          <w:rFonts w:cstheme="minorHAnsi"/>
          <w:szCs w:val="26"/>
        </w:rPr>
        <w:t>court conclude</w:t>
      </w:r>
      <w:r w:rsidRPr="000641B0" w:rsidR="007C74F3">
        <w:rPr>
          <w:rFonts w:cstheme="minorHAnsi"/>
          <w:szCs w:val="26"/>
        </w:rPr>
        <w:t>d</w:t>
      </w:r>
      <w:r w:rsidRPr="000641B0" w:rsidR="004C0FC9">
        <w:rPr>
          <w:rFonts w:cstheme="minorHAnsi"/>
          <w:szCs w:val="26"/>
        </w:rPr>
        <w:t xml:space="preserve"> that the Ninth Circuit </w:t>
      </w:r>
      <w:r w:rsidRPr="000641B0" w:rsidR="00987875">
        <w:rPr>
          <w:rFonts w:cstheme="minorHAnsi"/>
          <w:szCs w:val="26"/>
        </w:rPr>
        <w:t>“</w:t>
      </w:r>
      <w:r w:rsidRPr="000641B0" w:rsidR="00C05666">
        <w:rPr>
          <w:rFonts w:cstheme="minorHAnsi"/>
          <w:szCs w:val="26"/>
        </w:rPr>
        <w:t xml:space="preserve">went </w:t>
      </w:r>
      <w:r w:rsidRPr="000641B0" w:rsidR="004C0FC9">
        <w:rPr>
          <w:rFonts w:cstheme="minorHAnsi"/>
          <w:szCs w:val="26"/>
        </w:rPr>
        <w:t>too far</w:t>
      </w:r>
      <w:r w:rsidRPr="000641B0" w:rsidR="00FE7A56">
        <w:rPr>
          <w:rFonts w:cstheme="minorHAnsi"/>
          <w:szCs w:val="26"/>
        </w:rPr>
        <w:t> </w:t>
      </w:r>
      <w:r w:rsidRPr="000641B0" w:rsidR="007C74F3">
        <w:rPr>
          <w:rFonts w:cstheme="minorHAnsi"/>
          <w:szCs w:val="26"/>
        </w:rPr>
        <w:t>.</w:t>
      </w:r>
      <w:r w:rsidRPr="000641B0" w:rsidR="00FE7A56">
        <w:rPr>
          <w:rFonts w:cstheme="minorHAnsi"/>
          <w:szCs w:val="26"/>
        </w:rPr>
        <w:t> </w:t>
      </w:r>
      <w:r w:rsidRPr="000641B0" w:rsidR="007C74F3">
        <w:rPr>
          <w:rFonts w:cstheme="minorHAnsi"/>
          <w:szCs w:val="26"/>
        </w:rPr>
        <w:t>.</w:t>
      </w:r>
      <w:r w:rsidRPr="000641B0" w:rsidR="00FE7A56">
        <w:rPr>
          <w:rFonts w:cstheme="minorHAnsi"/>
          <w:szCs w:val="26"/>
        </w:rPr>
        <w:t> </w:t>
      </w:r>
      <w:r w:rsidRPr="000641B0" w:rsidR="007C74F3">
        <w:rPr>
          <w:rFonts w:cstheme="minorHAnsi"/>
          <w:szCs w:val="26"/>
        </w:rPr>
        <w:t>.</w:t>
      </w:r>
      <w:r w:rsidRPr="000641B0" w:rsidR="00FE7A56">
        <w:rPr>
          <w:rFonts w:cstheme="minorHAnsi"/>
          <w:szCs w:val="26"/>
        </w:rPr>
        <w:t> </w:t>
      </w:r>
      <w:r w:rsidRPr="000641B0" w:rsidR="004C0FC9">
        <w:rPr>
          <w:rFonts w:cstheme="minorHAnsi"/>
          <w:szCs w:val="26"/>
        </w:rPr>
        <w:t>in concluding that the Due Process Clause requires that certain familiar preconviction trial rights be extended to protect Osborne</w:t>
      </w:r>
      <w:r w:rsidRPr="000641B0" w:rsidR="00FE7A56">
        <w:rPr>
          <w:rFonts w:cstheme="minorHAnsi"/>
          <w:szCs w:val="26"/>
        </w:rPr>
        <w:t>’</w:t>
      </w:r>
      <w:r w:rsidRPr="000641B0" w:rsidR="004C0FC9">
        <w:rPr>
          <w:rFonts w:cstheme="minorHAnsi"/>
          <w:szCs w:val="26"/>
        </w:rPr>
        <w:t>s postconviction liberty interest.</w:t>
      </w:r>
      <w:r w:rsidRPr="000641B0" w:rsidR="007C74F3">
        <w:rPr>
          <w:rFonts w:cstheme="minorHAnsi"/>
          <w:szCs w:val="26"/>
        </w:rPr>
        <w:t xml:space="preserve">” </w:t>
      </w:r>
      <w:r w:rsidRPr="000641B0" w:rsidR="00BC0CFF">
        <w:rPr>
          <w:rFonts w:cstheme="minorHAnsi"/>
          <w:szCs w:val="26"/>
        </w:rPr>
        <w:t xml:space="preserve"> </w:t>
      </w:r>
      <w:r w:rsidRPr="000641B0" w:rsidR="007C74F3">
        <w:rPr>
          <w:rFonts w:cstheme="minorHAnsi"/>
          <w:szCs w:val="26"/>
        </w:rPr>
        <w:t>(</w:t>
      </w:r>
      <w:r w:rsidR="009700C8">
        <w:rPr>
          <w:rFonts w:cstheme="minorHAnsi"/>
          <w:i/>
          <w:iCs/>
          <w:szCs w:val="26"/>
        </w:rPr>
        <w:t>Ibid</w:t>
      </w:r>
      <w:r w:rsidRPr="000641B0" w:rsidR="007C74F3">
        <w:rPr>
          <w:rFonts w:cstheme="minorHAnsi"/>
          <w:szCs w:val="26"/>
        </w:rPr>
        <w:t xml:space="preserve">.)  </w:t>
      </w:r>
      <w:r w:rsidRPr="000641B0" w:rsidR="0014677F">
        <w:rPr>
          <w:rFonts w:cstheme="minorHAnsi"/>
          <w:szCs w:val="26"/>
        </w:rPr>
        <w:t xml:space="preserve">The Supreme Court explained that, unlike before trial when a defendant is entitled to the presumption of innocence, “[t]he </w:t>
      </w:r>
      <w:r w:rsidRPr="000641B0">
        <w:rPr>
          <w:rFonts w:cstheme="minorHAnsi"/>
          <w:szCs w:val="26"/>
        </w:rPr>
        <w:t>State</w:t>
      </w:r>
      <w:r w:rsidRPr="000641B0" w:rsidR="0014677F">
        <w:rPr>
          <w:rFonts w:cstheme="minorHAnsi"/>
          <w:szCs w:val="26"/>
        </w:rPr>
        <w:t> . . . </w:t>
      </w:r>
      <w:r w:rsidRPr="000641B0">
        <w:rPr>
          <w:rFonts w:cstheme="minorHAnsi"/>
          <w:szCs w:val="26"/>
        </w:rPr>
        <w:t xml:space="preserve">has more flexibility in deciding what procedures are needed in the context of postconviction relief. </w:t>
      </w:r>
      <w:r w:rsidRPr="000641B0" w:rsidR="006456F5">
        <w:rPr>
          <w:rFonts w:cstheme="minorHAnsi"/>
          <w:szCs w:val="26"/>
        </w:rPr>
        <w:t xml:space="preserve"> </w:t>
      </w:r>
      <w:r w:rsidRPr="000641B0">
        <w:rPr>
          <w:rFonts w:cstheme="minorHAnsi"/>
          <w:szCs w:val="26"/>
        </w:rPr>
        <w:t>‘[W]hen a State chooses to offer help to those seeking relief from convictions,</w:t>
      </w:r>
      <w:r w:rsidRPr="000641B0" w:rsidR="008E5BCC">
        <w:rPr>
          <w:rFonts w:cstheme="minorHAnsi"/>
          <w:szCs w:val="26"/>
        </w:rPr>
        <w:t>’</w:t>
      </w:r>
      <w:r w:rsidRPr="000641B0">
        <w:rPr>
          <w:rFonts w:cstheme="minorHAnsi"/>
          <w:szCs w:val="26"/>
        </w:rPr>
        <w:t xml:space="preserve"> due process does not ‘dictat[e] the exact form such assistance must assume.’  [Citation.]  Osborne’s right to due process is not parallel to a trial right, but rather must be analyzed in light of the fact that he has already been found guilty at a fair trial, and has only a limited interest in postconviction relief.</w:t>
      </w:r>
      <w:r w:rsidRPr="000641B0" w:rsidR="002E0DE8">
        <w:rPr>
          <w:rFonts w:cstheme="minorHAnsi"/>
          <w:szCs w:val="26"/>
        </w:rPr>
        <w:t xml:space="preserve"> </w:t>
      </w:r>
      <w:r w:rsidRPr="000641B0">
        <w:rPr>
          <w:rFonts w:cstheme="minorHAnsi"/>
          <w:szCs w:val="26"/>
        </w:rPr>
        <w:t xml:space="preserve"> </w:t>
      </w:r>
      <w:r w:rsidRPr="000641B0">
        <w:rPr>
          <w:rFonts w:cstheme="minorHAnsi"/>
          <w:i/>
          <w:iCs/>
          <w:szCs w:val="26"/>
        </w:rPr>
        <w:t>Brady</w:t>
      </w:r>
      <w:r w:rsidRPr="000641B0" w:rsidR="002E0DE8">
        <w:rPr>
          <w:rFonts w:cstheme="minorHAnsi"/>
          <w:szCs w:val="26"/>
        </w:rPr>
        <w:t xml:space="preserve"> </w:t>
      </w:r>
      <w:r w:rsidRPr="000641B0">
        <w:rPr>
          <w:rFonts w:cstheme="minorHAnsi"/>
          <w:szCs w:val="26"/>
        </w:rPr>
        <w:t>is the wrong framework.”  (</w:t>
      </w:r>
      <w:r w:rsidR="009700C8">
        <w:rPr>
          <w:rFonts w:cstheme="minorHAnsi"/>
          <w:i/>
          <w:iCs/>
          <w:szCs w:val="26"/>
        </w:rPr>
        <w:t>Id</w:t>
      </w:r>
      <w:r w:rsidR="009700C8">
        <w:rPr>
          <w:rFonts w:cstheme="minorHAnsi"/>
          <w:szCs w:val="26"/>
        </w:rPr>
        <w:t>.</w:t>
      </w:r>
      <w:r w:rsidRPr="000641B0" w:rsidR="000A754E">
        <w:rPr>
          <w:rFonts w:cstheme="minorHAnsi"/>
          <w:i/>
          <w:iCs/>
          <w:szCs w:val="26"/>
        </w:rPr>
        <w:t xml:space="preserve"> </w:t>
      </w:r>
      <w:r w:rsidRPr="000641B0" w:rsidR="00920448">
        <w:rPr>
          <w:rFonts w:cstheme="minorHAnsi"/>
          <w:szCs w:val="26"/>
        </w:rPr>
        <w:t>a</w:t>
      </w:r>
      <w:r w:rsidRPr="000641B0">
        <w:rPr>
          <w:rFonts w:cstheme="minorHAnsi"/>
          <w:szCs w:val="26"/>
        </w:rPr>
        <w:t>t p</w:t>
      </w:r>
      <w:r w:rsidRPr="000641B0" w:rsidR="008D5F6A">
        <w:rPr>
          <w:bCs/>
        </w:rPr>
        <w:t xml:space="preserve">. </w:t>
      </w:r>
      <w:r w:rsidRPr="000641B0">
        <w:rPr>
          <w:rFonts w:cstheme="minorHAnsi"/>
          <w:szCs w:val="26"/>
        </w:rPr>
        <w:t>69.)</w:t>
      </w:r>
    </w:p>
    <w:p w:rsidR="009910AB" w:rsidRPr="000641B0" w:rsidP="000641B0" w14:paraId="4B62F198" w14:textId="5607125C">
      <w:pPr>
        <w:ind w:firstLine="720"/>
        <w:rPr>
          <w:rFonts w:cstheme="minorHAnsi"/>
          <w:szCs w:val="26"/>
        </w:rPr>
      </w:pPr>
      <w:r w:rsidRPr="000641B0">
        <w:rPr>
          <w:rFonts w:cstheme="minorHAnsi"/>
          <w:szCs w:val="26"/>
        </w:rPr>
        <w:t xml:space="preserve">While </w:t>
      </w:r>
      <w:r w:rsidRPr="000641B0" w:rsidR="005D4DE1">
        <w:rPr>
          <w:rFonts w:cstheme="minorHAnsi"/>
          <w:i/>
          <w:iCs/>
          <w:szCs w:val="26"/>
        </w:rPr>
        <w:t>Osborne</w:t>
      </w:r>
      <w:r w:rsidRPr="000641B0" w:rsidR="005D4DE1">
        <w:rPr>
          <w:rFonts w:cstheme="minorHAnsi"/>
          <w:szCs w:val="26"/>
        </w:rPr>
        <w:t xml:space="preserve"> </w:t>
      </w:r>
      <w:r w:rsidRPr="000641B0" w:rsidR="007330E5">
        <w:rPr>
          <w:rFonts w:cstheme="minorHAnsi"/>
          <w:szCs w:val="26"/>
        </w:rPr>
        <w:t xml:space="preserve">certainly “distinguish[es] between the pretrial and the posttrial obligation to provide exculpatory evidence” </w:t>
      </w:r>
      <w:bookmarkStart w:id="38" w:name="_Hlk125716190"/>
      <w:r w:rsidRPr="000641B0" w:rsidR="007330E5">
        <w:rPr>
          <w:rFonts w:cstheme="minorHAnsi"/>
          <w:szCs w:val="26"/>
        </w:rPr>
        <w:t>(</w:t>
      </w:r>
      <w:bookmarkStart w:id="39" w:name="_Hlk115251062"/>
      <w:r w:rsidRPr="000641B0" w:rsidR="007330E5">
        <w:rPr>
          <w:rFonts w:cstheme="minorHAnsi"/>
          <w:i/>
          <w:iCs/>
          <w:szCs w:val="26"/>
        </w:rPr>
        <w:t>Barnett v. Superior C</w:t>
      </w:r>
      <w:r w:rsidR="009700C8">
        <w:rPr>
          <w:rFonts w:cstheme="minorHAnsi"/>
          <w:i/>
          <w:iCs/>
          <w:szCs w:val="26"/>
        </w:rPr>
        <w:t>our</w:t>
      </w:r>
      <w:r w:rsidRPr="000641B0" w:rsidR="007330E5">
        <w:rPr>
          <w:rFonts w:cstheme="minorHAnsi"/>
          <w:i/>
          <w:iCs/>
          <w:szCs w:val="26"/>
        </w:rPr>
        <w:t>t</w:t>
      </w:r>
      <w:r w:rsidRPr="000641B0" w:rsidR="007330E5">
        <w:rPr>
          <w:rFonts w:cstheme="minorHAnsi"/>
          <w:szCs w:val="26"/>
        </w:rPr>
        <w:t xml:space="preserve"> (2010) 50 Cal.4th 890, 906</w:t>
      </w:r>
      <w:r w:rsidRPr="000641B0" w:rsidR="001D38BD">
        <w:rPr>
          <w:rFonts w:cstheme="minorHAnsi"/>
          <w:szCs w:val="26"/>
        </w:rPr>
        <w:t xml:space="preserve"> (</w:t>
      </w:r>
      <w:r w:rsidRPr="000641B0" w:rsidR="001D38BD">
        <w:rPr>
          <w:rFonts w:cstheme="minorHAnsi"/>
          <w:i/>
          <w:iCs/>
          <w:szCs w:val="26"/>
        </w:rPr>
        <w:t>Barnett</w:t>
      </w:r>
      <w:bookmarkEnd w:id="39"/>
      <w:r w:rsidRPr="000641B0" w:rsidR="001D38BD">
        <w:rPr>
          <w:rFonts w:cstheme="minorHAnsi"/>
          <w:szCs w:val="26"/>
        </w:rPr>
        <w:t>)</w:t>
      </w:r>
      <w:r w:rsidRPr="000641B0" w:rsidR="00EC4DD0">
        <w:rPr>
          <w:rFonts w:cstheme="minorHAnsi"/>
          <w:szCs w:val="26"/>
        </w:rPr>
        <w:t xml:space="preserve">), </w:t>
      </w:r>
      <w:bookmarkEnd w:id="38"/>
      <w:r w:rsidRPr="000641B0" w:rsidR="008E72B9">
        <w:rPr>
          <w:rFonts w:cstheme="minorHAnsi"/>
          <w:szCs w:val="26"/>
        </w:rPr>
        <w:t>w</w:t>
      </w:r>
      <w:r w:rsidRPr="000641B0" w:rsidR="002F177C">
        <w:rPr>
          <w:rFonts w:cstheme="minorHAnsi"/>
          <w:szCs w:val="26"/>
        </w:rPr>
        <w:t xml:space="preserve">e </w:t>
      </w:r>
      <w:r w:rsidRPr="000641B0" w:rsidR="00DC2BF6">
        <w:rPr>
          <w:rFonts w:cstheme="minorHAnsi"/>
          <w:szCs w:val="26"/>
        </w:rPr>
        <w:t xml:space="preserve">do not </w:t>
      </w:r>
      <w:r w:rsidRPr="000641B0" w:rsidR="002F177C">
        <w:rPr>
          <w:rFonts w:cstheme="minorHAnsi"/>
          <w:szCs w:val="26"/>
        </w:rPr>
        <w:t xml:space="preserve">understand </w:t>
      </w:r>
      <w:r w:rsidRPr="000641B0" w:rsidR="001D38BD">
        <w:rPr>
          <w:rFonts w:cstheme="minorHAnsi"/>
          <w:i/>
          <w:iCs/>
          <w:szCs w:val="26"/>
        </w:rPr>
        <w:t>Osborne</w:t>
      </w:r>
      <w:r w:rsidRPr="000641B0" w:rsidR="00092B19">
        <w:rPr>
          <w:rFonts w:cstheme="minorHAnsi"/>
          <w:i/>
          <w:iCs/>
          <w:szCs w:val="26"/>
        </w:rPr>
        <w:t xml:space="preserve"> </w:t>
      </w:r>
      <w:r w:rsidRPr="000641B0" w:rsidR="002F177C">
        <w:rPr>
          <w:rFonts w:cstheme="minorHAnsi"/>
          <w:szCs w:val="26"/>
        </w:rPr>
        <w:t xml:space="preserve">as </w:t>
      </w:r>
      <w:r w:rsidRPr="000641B0" w:rsidR="00C95C2E">
        <w:rPr>
          <w:rFonts w:cstheme="minorHAnsi"/>
          <w:szCs w:val="26"/>
        </w:rPr>
        <w:t xml:space="preserve">holding that </w:t>
      </w:r>
      <w:r w:rsidRPr="000641B0" w:rsidR="001D38BD">
        <w:rPr>
          <w:rFonts w:cstheme="minorHAnsi"/>
          <w:szCs w:val="26"/>
        </w:rPr>
        <w:t>the government</w:t>
      </w:r>
      <w:r w:rsidRPr="000641B0" w:rsidR="00C95C2E">
        <w:rPr>
          <w:rFonts w:cstheme="minorHAnsi"/>
          <w:szCs w:val="26"/>
        </w:rPr>
        <w:t xml:space="preserve"> lacks a</w:t>
      </w:r>
      <w:r w:rsidRPr="000641B0" w:rsidR="006968F8">
        <w:rPr>
          <w:rFonts w:cstheme="minorHAnsi"/>
          <w:szCs w:val="26"/>
        </w:rPr>
        <w:t xml:space="preserve"> duty to </w:t>
      </w:r>
      <w:r w:rsidRPr="000641B0" w:rsidR="00C95C2E">
        <w:rPr>
          <w:rFonts w:cstheme="minorHAnsi"/>
          <w:szCs w:val="26"/>
        </w:rPr>
        <w:t>disclose</w:t>
      </w:r>
      <w:r w:rsidRPr="000641B0" w:rsidR="00CC674E">
        <w:rPr>
          <w:rFonts w:cstheme="minorHAnsi"/>
          <w:szCs w:val="26"/>
        </w:rPr>
        <w:t>,</w:t>
      </w:r>
      <w:r w:rsidRPr="000641B0" w:rsidR="00C95C2E">
        <w:rPr>
          <w:rFonts w:cstheme="minorHAnsi"/>
          <w:szCs w:val="26"/>
        </w:rPr>
        <w:t xml:space="preserve"> in the po</w:t>
      </w:r>
      <w:r w:rsidRPr="000641B0" w:rsidR="00CC674E">
        <w:rPr>
          <w:rFonts w:cstheme="minorHAnsi"/>
          <w:szCs w:val="26"/>
        </w:rPr>
        <w:t>s</w:t>
      </w:r>
      <w:r w:rsidRPr="000641B0" w:rsidR="00C95C2E">
        <w:rPr>
          <w:rFonts w:cstheme="minorHAnsi"/>
          <w:szCs w:val="26"/>
        </w:rPr>
        <w:t>tconviction context</w:t>
      </w:r>
      <w:r w:rsidRPr="000641B0" w:rsidR="00CC674E">
        <w:rPr>
          <w:rFonts w:cstheme="minorHAnsi"/>
          <w:szCs w:val="26"/>
        </w:rPr>
        <w:t>,</w:t>
      </w:r>
      <w:r w:rsidRPr="000641B0" w:rsidR="00C95C2E">
        <w:rPr>
          <w:rFonts w:cstheme="minorHAnsi"/>
          <w:szCs w:val="26"/>
        </w:rPr>
        <w:t xml:space="preserve"> </w:t>
      </w:r>
      <w:r w:rsidRPr="000641B0" w:rsidR="006456F5">
        <w:rPr>
          <w:rFonts w:cstheme="minorHAnsi"/>
          <w:i/>
          <w:iCs/>
          <w:szCs w:val="26"/>
        </w:rPr>
        <w:t>Brady</w:t>
      </w:r>
      <w:r w:rsidRPr="000641B0" w:rsidR="006456F5">
        <w:rPr>
          <w:rFonts w:cstheme="minorHAnsi"/>
          <w:szCs w:val="26"/>
        </w:rPr>
        <w:t xml:space="preserve"> </w:t>
      </w:r>
      <w:r w:rsidRPr="000641B0" w:rsidR="006968F8">
        <w:rPr>
          <w:rFonts w:cstheme="minorHAnsi"/>
          <w:szCs w:val="26"/>
        </w:rPr>
        <w:t xml:space="preserve">evidence </w:t>
      </w:r>
      <w:r w:rsidRPr="000641B0" w:rsidR="00931AA8">
        <w:rPr>
          <w:rFonts w:cstheme="minorHAnsi"/>
          <w:szCs w:val="26"/>
        </w:rPr>
        <w:t xml:space="preserve">that </w:t>
      </w:r>
      <w:r w:rsidRPr="000641B0" w:rsidR="00CC674E">
        <w:rPr>
          <w:rFonts w:cstheme="minorHAnsi"/>
          <w:szCs w:val="26"/>
        </w:rPr>
        <w:t xml:space="preserve">was </w:t>
      </w:r>
      <w:r w:rsidRPr="000641B0" w:rsidR="006968F8">
        <w:rPr>
          <w:rFonts w:cstheme="minorHAnsi"/>
          <w:i/>
          <w:iCs/>
          <w:szCs w:val="26"/>
        </w:rPr>
        <w:t>available</w:t>
      </w:r>
      <w:r w:rsidRPr="000641B0" w:rsidR="00DC2BF6">
        <w:rPr>
          <w:rFonts w:cstheme="minorHAnsi"/>
          <w:i/>
          <w:iCs/>
          <w:szCs w:val="26"/>
        </w:rPr>
        <w:t xml:space="preserve"> </w:t>
      </w:r>
      <w:r w:rsidRPr="000641B0" w:rsidR="00DC2BF6">
        <w:rPr>
          <w:rFonts w:cstheme="minorHAnsi"/>
          <w:szCs w:val="26"/>
        </w:rPr>
        <w:t>prior to conviction</w:t>
      </w:r>
      <w:r w:rsidRPr="000641B0" w:rsidR="00497EE3">
        <w:rPr>
          <w:rFonts w:cstheme="minorHAnsi"/>
          <w:szCs w:val="26"/>
        </w:rPr>
        <w:t>.</w:t>
      </w:r>
      <w:r w:rsidRPr="000641B0" w:rsidR="006456F5">
        <w:rPr>
          <w:rFonts w:cstheme="minorHAnsi"/>
          <w:szCs w:val="26"/>
        </w:rPr>
        <w:t xml:space="preserve">  </w:t>
      </w:r>
      <w:r w:rsidRPr="000641B0" w:rsidR="00925FF7">
        <w:rPr>
          <w:rFonts w:cstheme="minorHAnsi"/>
          <w:szCs w:val="26"/>
        </w:rPr>
        <w:t xml:space="preserve">It is notable that </w:t>
      </w:r>
      <w:r w:rsidRPr="000641B0" w:rsidR="005773B1">
        <w:rPr>
          <w:rFonts w:cstheme="minorHAnsi"/>
          <w:i/>
          <w:iCs/>
          <w:szCs w:val="26"/>
        </w:rPr>
        <w:t xml:space="preserve">Osborne </w:t>
      </w:r>
      <w:r w:rsidRPr="000641B0" w:rsidR="005773B1">
        <w:rPr>
          <w:rFonts w:cstheme="minorHAnsi"/>
          <w:szCs w:val="26"/>
        </w:rPr>
        <w:t>repeated</w:t>
      </w:r>
      <w:r w:rsidRPr="000641B0" w:rsidR="00925FF7">
        <w:rPr>
          <w:rFonts w:cstheme="minorHAnsi"/>
          <w:szCs w:val="26"/>
        </w:rPr>
        <w:t xml:space="preserve">ly stated </w:t>
      </w:r>
      <w:r w:rsidRPr="000641B0" w:rsidR="005773B1">
        <w:rPr>
          <w:rFonts w:cstheme="minorHAnsi"/>
          <w:szCs w:val="26"/>
        </w:rPr>
        <w:t xml:space="preserve">the evidence at issue in that case was </w:t>
      </w:r>
      <w:r w:rsidRPr="000641B0" w:rsidR="005773B1">
        <w:rPr>
          <w:rFonts w:cstheme="minorHAnsi"/>
          <w:i/>
          <w:iCs/>
          <w:szCs w:val="26"/>
        </w:rPr>
        <w:t>unavailable</w:t>
      </w:r>
      <w:r w:rsidRPr="000641B0" w:rsidR="005773B1">
        <w:rPr>
          <w:rFonts w:cstheme="minorHAnsi"/>
          <w:szCs w:val="26"/>
        </w:rPr>
        <w:t xml:space="preserve"> at trial (</w:t>
      </w:r>
      <w:r w:rsidRPr="000641B0" w:rsidR="00ED3D6D">
        <w:rPr>
          <w:rFonts w:cstheme="minorHAnsi"/>
          <w:szCs w:val="26"/>
        </w:rPr>
        <w:t xml:space="preserve">see </w:t>
      </w:r>
      <w:r w:rsidRPr="000641B0" w:rsidR="00ED3D6D">
        <w:rPr>
          <w:rFonts w:cstheme="minorHAnsi"/>
          <w:i/>
          <w:iCs/>
          <w:szCs w:val="26"/>
        </w:rPr>
        <w:t>Osborne</w:t>
      </w:r>
      <w:r w:rsidRPr="000641B0" w:rsidR="00ED3D6D">
        <w:rPr>
          <w:rFonts w:cstheme="minorHAnsi"/>
          <w:szCs w:val="26"/>
        </w:rPr>
        <w:t>,</w:t>
      </w:r>
      <w:r w:rsidRPr="000641B0" w:rsidR="00ED3D6D">
        <w:rPr>
          <w:rFonts w:cstheme="minorHAnsi"/>
          <w:i/>
          <w:iCs/>
          <w:szCs w:val="26"/>
        </w:rPr>
        <w:t xml:space="preserve"> supra</w:t>
      </w:r>
      <w:r w:rsidRPr="000641B0" w:rsidR="00ED3D6D">
        <w:rPr>
          <w:rFonts w:cstheme="minorHAnsi"/>
          <w:szCs w:val="26"/>
        </w:rPr>
        <w:t>, 557 U.S. at pp.</w:t>
      </w:r>
      <w:r w:rsidRPr="000641B0" w:rsidR="006456F5">
        <w:rPr>
          <w:rFonts w:cstheme="minorHAnsi"/>
          <w:szCs w:val="26"/>
        </w:rPr>
        <w:t> </w:t>
      </w:r>
      <w:r w:rsidRPr="000641B0" w:rsidR="00ED3D6D">
        <w:rPr>
          <w:rFonts w:cstheme="minorHAnsi"/>
          <w:szCs w:val="26"/>
        </w:rPr>
        <w:t>61, 62</w:t>
      </w:r>
      <w:r w:rsidRPr="000641B0" w:rsidR="005773B1">
        <w:rPr>
          <w:rFonts w:cstheme="minorHAnsi"/>
          <w:szCs w:val="26"/>
        </w:rPr>
        <w:t>)</w:t>
      </w:r>
      <w:r w:rsidRPr="000641B0" w:rsidR="00925FF7">
        <w:rPr>
          <w:rFonts w:cstheme="minorHAnsi"/>
          <w:szCs w:val="26"/>
        </w:rPr>
        <w:t xml:space="preserve">, </w:t>
      </w:r>
      <w:r w:rsidRPr="000641B0" w:rsidR="007519DC">
        <w:rPr>
          <w:rFonts w:cstheme="minorHAnsi"/>
          <w:szCs w:val="26"/>
        </w:rPr>
        <w:t>unlike the present case</w:t>
      </w:r>
      <w:r w:rsidRPr="000641B0" w:rsidR="00925FF7">
        <w:rPr>
          <w:rFonts w:cstheme="minorHAnsi"/>
          <w:szCs w:val="26"/>
        </w:rPr>
        <w:t>.  A</w:t>
      </w:r>
      <w:r w:rsidRPr="000641B0" w:rsidR="005773B1">
        <w:rPr>
          <w:rFonts w:cstheme="minorHAnsi"/>
          <w:szCs w:val="26"/>
        </w:rPr>
        <w:t xml:space="preserve">nd </w:t>
      </w:r>
      <w:r w:rsidRPr="000641B0" w:rsidR="00336475">
        <w:rPr>
          <w:rFonts w:cstheme="minorHAnsi"/>
          <w:szCs w:val="26"/>
        </w:rPr>
        <w:t xml:space="preserve">the </w:t>
      </w:r>
      <w:r w:rsidRPr="000641B0" w:rsidR="002E1F50">
        <w:rPr>
          <w:rFonts w:cstheme="minorHAnsi"/>
          <w:i/>
          <w:iCs/>
          <w:szCs w:val="26"/>
        </w:rPr>
        <w:t>Osborne</w:t>
      </w:r>
      <w:r w:rsidRPr="000641B0" w:rsidR="006456F5">
        <w:rPr>
          <w:rFonts w:cstheme="minorHAnsi"/>
          <w:szCs w:val="26"/>
        </w:rPr>
        <w:t xml:space="preserve"> </w:t>
      </w:r>
      <w:r w:rsidRPr="000641B0" w:rsidR="002E1F50">
        <w:rPr>
          <w:rFonts w:cstheme="minorHAnsi"/>
          <w:szCs w:val="26"/>
        </w:rPr>
        <w:t>court</w:t>
      </w:r>
      <w:r w:rsidR="009700C8">
        <w:rPr>
          <w:rFonts w:cstheme="minorHAnsi"/>
          <w:szCs w:val="26"/>
        </w:rPr>
        <w:t>’s</w:t>
      </w:r>
      <w:r w:rsidRPr="000641B0" w:rsidR="002E1F50">
        <w:rPr>
          <w:rFonts w:cstheme="minorHAnsi"/>
          <w:szCs w:val="26"/>
        </w:rPr>
        <w:t xml:space="preserve"> </w:t>
      </w:r>
      <w:r w:rsidRPr="000641B0" w:rsidR="006456F5">
        <w:rPr>
          <w:rFonts w:cstheme="minorHAnsi"/>
          <w:szCs w:val="26"/>
        </w:rPr>
        <w:t xml:space="preserve">reason </w:t>
      </w:r>
      <w:r w:rsidRPr="000641B0" w:rsidR="00336475">
        <w:rPr>
          <w:rFonts w:cstheme="minorHAnsi"/>
          <w:szCs w:val="26"/>
        </w:rPr>
        <w:t xml:space="preserve">for declining to extend </w:t>
      </w:r>
      <w:r w:rsidRPr="000641B0" w:rsidR="00336475">
        <w:rPr>
          <w:rFonts w:cstheme="minorHAnsi"/>
          <w:i/>
          <w:iCs/>
          <w:szCs w:val="26"/>
        </w:rPr>
        <w:t>Brady</w:t>
      </w:r>
      <w:r w:rsidRPr="000641B0" w:rsidR="00336475">
        <w:rPr>
          <w:rFonts w:cstheme="minorHAnsi"/>
          <w:szCs w:val="26"/>
        </w:rPr>
        <w:t xml:space="preserve"> to evidence discovered in the postconviction context</w:t>
      </w:r>
      <w:r w:rsidRPr="000641B0" w:rsidR="006456F5">
        <w:rPr>
          <w:rFonts w:cstheme="minorHAnsi"/>
          <w:szCs w:val="26"/>
        </w:rPr>
        <w:t> —</w:t>
      </w:r>
      <w:r w:rsidR="00757AEE">
        <w:rPr>
          <w:rFonts w:cstheme="minorHAnsi"/>
          <w:szCs w:val="26"/>
        </w:rPr>
        <w:t xml:space="preserve"> </w:t>
      </w:r>
      <w:r w:rsidRPr="000641B0" w:rsidR="00336475">
        <w:rPr>
          <w:rFonts w:cstheme="minorHAnsi"/>
          <w:szCs w:val="26"/>
        </w:rPr>
        <w:t>na</w:t>
      </w:r>
      <w:r w:rsidRPr="000641B0" w:rsidR="001B0FF9">
        <w:rPr>
          <w:rFonts w:cstheme="minorHAnsi"/>
          <w:szCs w:val="26"/>
        </w:rPr>
        <w:t>mely</w:t>
      </w:r>
      <w:r w:rsidRPr="000641B0" w:rsidR="006456F5">
        <w:rPr>
          <w:rFonts w:cstheme="minorHAnsi"/>
          <w:szCs w:val="26"/>
        </w:rPr>
        <w:t>,</w:t>
      </w:r>
      <w:r w:rsidRPr="000641B0" w:rsidR="001B0FF9">
        <w:rPr>
          <w:rFonts w:cstheme="minorHAnsi"/>
          <w:szCs w:val="26"/>
        </w:rPr>
        <w:t xml:space="preserve"> that the defendant received “a fair trial” (</w:t>
      </w:r>
      <w:r w:rsidR="00832C08">
        <w:rPr>
          <w:rFonts w:cstheme="minorHAnsi"/>
          <w:i/>
          <w:iCs/>
          <w:szCs w:val="26"/>
        </w:rPr>
        <w:t>i</w:t>
      </w:r>
      <w:r w:rsidR="009700C8">
        <w:rPr>
          <w:rFonts w:cstheme="minorHAnsi"/>
          <w:i/>
          <w:iCs/>
          <w:szCs w:val="26"/>
        </w:rPr>
        <w:t>d</w:t>
      </w:r>
      <w:r w:rsidRPr="00CF4CBA" w:rsidR="009700C8">
        <w:rPr>
          <w:rFonts w:cstheme="minorHAnsi"/>
          <w:szCs w:val="26"/>
        </w:rPr>
        <w:t>.</w:t>
      </w:r>
      <w:r w:rsidRPr="000641B0" w:rsidR="001B0FF9">
        <w:rPr>
          <w:rFonts w:cstheme="minorHAnsi"/>
          <w:szCs w:val="26"/>
        </w:rPr>
        <w:t xml:space="preserve"> at p</w:t>
      </w:r>
      <w:r w:rsidRPr="000641B0" w:rsidR="00480016">
        <w:rPr>
          <w:rFonts w:cstheme="minorHAnsi"/>
          <w:szCs w:val="26"/>
        </w:rPr>
        <w:t>p</w:t>
      </w:r>
      <w:r w:rsidRPr="000641B0" w:rsidR="001B0FF9">
        <w:rPr>
          <w:rFonts w:cstheme="minorHAnsi"/>
          <w:szCs w:val="26"/>
        </w:rPr>
        <w:t>.</w:t>
      </w:r>
      <w:r w:rsidRPr="000641B0" w:rsidR="006456F5">
        <w:rPr>
          <w:rFonts w:cstheme="minorHAnsi"/>
          <w:szCs w:val="26"/>
        </w:rPr>
        <w:t> </w:t>
      </w:r>
      <w:r w:rsidRPr="000641B0" w:rsidR="00480016">
        <w:rPr>
          <w:rFonts w:cstheme="minorHAnsi"/>
          <w:szCs w:val="26"/>
        </w:rPr>
        <w:t>68</w:t>
      </w:r>
      <w:r w:rsidR="005D6C80">
        <w:rPr>
          <w:bCs/>
        </w:rPr>
        <w:t xml:space="preserve">, </w:t>
      </w:r>
      <w:r w:rsidRPr="000641B0" w:rsidR="00480016">
        <w:rPr>
          <w:rFonts w:cstheme="minorHAnsi"/>
          <w:szCs w:val="26"/>
        </w:rPr>
        <w:t xml:space="preserve">69), </w:t>
      </w:r>
      <w:r w:rsidRPr="000641B0" w:rsidR="00925FF7">
        <w:rPr>
          <w:rFonts w:cstheme="minorHAnsi"/>
          <w:szCs w:val="26"/>
        </w:rPr>
        <w:t xml:space="preserve">also </w:t>
      </w:r>
      <w:r w:rsidRPr="000641B0" w:rsidR="0065389E">
        <w:rPr>
          <w:rFonts w:cstheme="minorHAnsi"/>
          <w:szCs w:val="26"/>
        </w:rPr>
        <w:t xml:space="preserve">does not apply </w:t>
      </w:r>
      <w:r w:rsidRPr="000641B0" w:rsidR="00821294">
        <w:rPr>
          <w:rFonts w:cstheme="minorHAnsi"/>
          <w:szCs w:val="26"/>
        </w:rPr>
        <w:t xml:space="preserve">where </w:t>
      </w:r>
      <w:r w:rsidRPr="000641B0" w:rsidR="009263C5">
        <w:rPr>
          <w:rFonts w:cstheme="minorHAnsi"/>
          <w:szCs w:val="26"/>
        </w:rPr>
        <w:t>the prosecution</w:t>
      </w:r>
      <w:r w:rsidRPr="000641B0" w:rsidR="003E45DA">
        <w:rPr>
          <w:rFonts w:cstheme="minorHAnsi"/>
          <w:szCs w:val="26"/>
        </w:rPr>
        <w:t xml:space="preserve"> violat</w:t>
      </w:r>
      <w:r w:rsidRPr="000641B0" w:rsidR="00F0629F">
        <w:rPr>
          <w:rFonts w:cstheme="minorHAnsi"/>
          <w:szCs w:val="26"/>
        </w:rPr>
        <w:t>e</w:t>
      </w:r>
      <w:r w:rsidRPr="000641B0" w:rsidR="00821294">
        <w:rPr>
          <w:rFonts w:cstheme="minorHAnsi"/>
          <w:szCs w:val="26"/>
        </w:rPr>
        <w:t>s</w:t>
      </w:r>
      <w:r w:rsidRPr="000641B0" w:rsidR="003E45DA">
        <w:rPr>
          <w:rFonts w:cstheme="minorHAnsi"/>
          <w:szCs w:val="26"/>
        </w:rPr>
        <w:t xml:space="preserve"> </w:t>
      </w:r>
      <w:r w:rsidRPr="000641B0" w:rsidR="003E45DA">
        <w:rPr>
          <w:rFonts w:cstheme="minorHAnsi"/>
          <w:i/>
          <w:iCs/>
          <w:szCs w:val="26"/>
        </w:rPr>
        <w:t>Brad</w:t>
      </w:r>
      <w:r w:rsidRPr="000641B0" w:rsidR="00F0629F">
        <w:rPr>
          <w:rFonts w:cstheme="minorHAnsi"/>
          <w:i/>
          <w:iCs/>
          <w:szCs w:val="26"/>
        </w:rPr>
        <w:t>y</w:t>
      </w:r>
      <w:r w:rsidRPr="000641B0" w:rsidR="00821294">
        <w:rPr>
          <w:rFonts w:cstheme="minorHAnsi"/>
          <w:szCs w:val="26"/>
        </w:rPr>
        <w:t xml:space="preserve"> </w:t>
      </w:r>
      <w:r w:rsidRPr="000641B0" w:rsidR="00F0629F">
        <w:rPr>
          <w:rFonts w:cstheme="minorHAnsi"/>
          <w:szCs w:val="26"/>
        </w:rPr>
        <w:t>at trial.</w:t>
      </w:r>
      <w:r w:rsidRPr="000641B0" w:rsidR="00875B01">
        <w:rPr>
          <w:rFonts w:cstheme="minorHAnsi"/>
          <w:szCs w:val="26"/>
        </w:rPr>
        <w:t xml:space="preserve"> </w:t>
      </w:r>
      <w:r w:rsidRPr="000641B0" w:rsidR="00F0629F">
        <w:rPr>
          <w:rFonts w:cstheme="minorHAnsi"/>
          <w:szCs w:val="26"/>
        </w:rPr>
        <w:t xml:space="preserve"> </w:t>
      </w:r>
      <w:r w:rsidRPr="000641B0" w:rsidR="0000079E">
        <w:rPr>
          <w:rFonts w:cstheme="minorHAnsi"/>
          <w:szCs w:val="26"/>
        </w:rPr>
        <w:t>(See</w:t>
      </w:r>
      <w:r w:rsidRPr="000641B0" w:rsidR="006456F5">
        <w:rPr>
          <w:rFonts w:cstheme="minorHAnsi"/>
          <w:szCs w:val="26"/>
        </w:rPr>
        <w:t>,</w:t>
      </w:r>
      <w:r w:rsidRPr="000641B0" w:rsidR="0000079E">
        <w:rPr>
          <w:rFonts w:cstheme="minorHAnsi"/>
          <w:szCs w:val="26"/>
        </w:rPr>
        <w:t xml:space="preserve"> e.g., </w:t>
      </w:r>
      <w:r w:rsidRPr="000641B0" w:rsidR="00726A67">
        <w:rPr>
          <w:rFonts w:cstheme="minorHAnsi"/>
          <w:i/>
          <w:iCs/>
          <w:szCs w:val="26"/>
        </w:rPr>
        <w:t>Cone</w:t>
      </w:r>
      <w:r w:rsidRPr="000641B0" w:rsidR="00E42764">
        <w:rPr>
          <w:rFonts w:cstheme="minorHAnsi"/>
          <w:szCs w:val="26"/>
        </w:rPr>
        <w:t>,</w:t>
      </w:r>
      <w:r w:rsidRPr="000641B0" w:rsidR="00E42764">
        <w:rPr>
          <w:rFonts w:cstheme="minorHAnsi"/>
          <w:i/>
          <w:iCs/>
          <w:szCs w:val="26"/>
        </w:rPr>
        <w:t xml:space="preserve"> supra</w:t>
      </w:r>
      <w:r w:rsidRPr="000641B0" w:rsidR="00E42764">
        <w:rPr>
          <w:rFonts w:cstheme="minorHAnsi"/>
          <w:szCs w:val="26"/>
        </w:rPr>
        <w:t>,</w:t>
      </w:r>
      <w:r w:rsidRPr="000641B0" w:rsidR="00E42764">
        <w:rPr>
          <w:rFonts w:cstheme="minorHAnsi"/>
          <w:i/>
          <w:iCs/>
          <w:szCs w:val="26"/>
        </w:rPr>
        <w:t xml:space="preserve"> </w:t>
      </w:r>
      <w:r w:rsidRPr="000641B0" w:rsidR="00726A67">
        <w:rPr>
          <w:rFonts w:cstheme="minorHAnsi"/>
          <w:szCs w:val="26"/>
        </w:rPr>
        <w:t xml:space="preserve">556 U.S. </w:t>
      </w:r>
      <w:r w:rsidRPr="000641B0" w:rsidR="009D2C85">
        <w:rPr>
          <w:rFonts w:cstheme="minorHAnsi"/>
          <w:szCs w:val="26"/>
        </w:rPr>
        <w:t>at p</w:t>
      </w:r>
      <w:r w:rsidR="005D6C80">
        <w:rPr>
          <w:rFonts w:cstheme="minorHAnsi"/>
          <w:szCs w:val="26"/>
        </w:rPr>
        <w:t>p</w:t>
      </w:r>
      <w:r w:rsidRPr="000641B0" w:rsidR="009D2C85">
        <w:rPr>
          <w:rFonts w:cstheme="minorHAnsi"/>
          <w:szCs w:val="26"/>
        </w:rPr>
        <w:t>.</w:t>
      </w:r>
      <w:r w:rsidRPr="000641B0" w:rsidR="006456F5">
        <w:rPr>
          <w:rFonts w:cstheme="minorHAnsi"/>
          <w:szCs w:val="26"/>
        </w:rPr>
        <w:t> </w:t>
      </w:r>
      <w:r w:rsidR="005D6C80">
        <w:rPr>
          <w:rFonts w:cstheme="minorHAnsi"/>
          <w:szCs w:val="26"/>
        </w:rPr>
        <w:t xml:space="preserve">459, </w:t>
      </w:r>
      <w:r w:rsidRPr="000641B0" w:rsidR="00726A67">
        <w:rPr>
          <w:rFonts w:cstheme="minorHAnsi"/>
          <w:szCs w:val="26"/>
        </w:rPr>
        <w:t>472</w:t>
      </w:r>
      <w:r w:rsidRPr="000641B0" w:rsidR="009077CA">
        <w:rPr>
          <w:rFonts w:cstheme="minorHAnsi"/>
          <w:szCs w:val="26"/>
        </w:rPr>
        <w:t xml:space="preserve"> [determin</w:t>
      </w:r>
      <w:r w:rsidRPr="000641B0" w:rsidR="00F3129E">
        <w:rPr>
          <w:rFonts w:cstheme="minorHAnsi"/>
          <w:szCs w:val="26"/>
        </w:rPr>
        <w:t>ing that</w:t>
      </w:r>
      <w:r w:rsidRPr="000641B0" w:rsidR="004116D8">
        <w:rPr>
          <w:rFonts w:cstheme="minorHAnsi"/>
          <w:szCs w:val="26"/>
        </w:rPr>
        <w:t xml:space="preserve"> evidence that had been “withheld from [</w:t>
      </w:r>
      <w:r w:rsidR="005D6C80">
        <w:rPr>
          <w:rFonts w:cstheme="minorHAnsi"/>
          <w:szCs w:val="26"/>
        </w:rPr>
        <w:t xml:space="preserve">the </w:t>
      </w:r>
      <w:r w:rsidRPr="000641B0" w:rsidR="004116D8">
        <w:rPr>
          <w:rFonts w:cstheme="minorHAnsi"/>
          <w:szCs w:val="26"/>
        </w:rPr>
        <w:t xml:space="preserve">defendant] at trial” </w:t>
      </w:r>
      <w:r w:rsidRPr="000641B0" w:rsidR="00F3129E">
        <w:rPr>
          <w:rFonts w:cstheme="minorHAnsi"/>
          <w:szCs w:val="26"/>
        </w:rPr>
        <w:t>“</w:t>
      </w:r>
      <w:r w:rsidRPr="000641B0" w:rsidR="009077CA">
        <w:rPr>
          <w:rFonts w:cstheme="minorHAnsi"/>
          <w:szCs w:val="26"/>
        </w:rPr>
        <w:t xml:space="preserve">deprived </w:t>
      </w:r>
      <w:r w:rsidRPr="000641B0" w:rsidR="001407E6">
        <w:rPr>
          <w:rFonts w:cstheme="minorHAnsi"/>
          <w:szCs w:val="26"/>
        </w:rPr>
        <w:t>[</w:t>
      </w:r>
      <w:r w:rsidR="005D6C80">
        <w:rPr>
          <w:rFonts w:cstheme="minorHAnsi"/>
          <w:szCs w:val="26"/>
        </w:rPr>
        <w:t>him</w:t>
      </w:r>
      <w:r w:rsidRPr="000641B0" w:rsidR="001407E6">
        <w:rPr>
          <w:rFonts w:cstheme="minorHAnsi"/>
          <w:szCs w:val="26"/>
        </w:rPr>
        <w:t>]</w:t>
      </w:r>
      <w:r w:rsidRPr="000641B0" w:rsidR="009077CA">
        <w:rPr>
          <w:rFonts w:cstheme="minorHAnsi"/>
          <w:szCs w:val="26"/>
        </w:rPr>
        <w:t xml:space="preserve"> of his right to a</w:t>
      </w:r>
      <w:r w:rsidRPr="000641B0" w:rsidR="001641E0">
        <w:rPr>
          <w:rFonts w:cstheme="minorHAnsi"/>
          <w:szCs w:val="26"/>
        </w:rPr>
        <w:t xml:space="preserve"> </w:t>
      </w:r>
      <w:r w:rsidRPr="000641B0" w:rsidR="009077CA">
        <w:rPr>
          <w:rFonts w:cstheme="minorHAnsi"/>
          <w:szCs w:val="26"/>
        </w:rPr>
        <w:t>fair</w:t>
      </w:r>
      <w:r w:rsidRPr="000641B0" w:rsidR="001641E0">
        <w:rPr>
          <w:rFonts w:cstheme="minorHAnsi"/>
          <w:szCs w:val="26"/>
        </w:rPr>
        <w:t xml:space="preserve"> </w:t>
      </w:r>
      <w:r w:rsidRPr="000641B0" w:rsidR="009077CA">
        <w:rPr>
          <w:rFonts w:cstheme="minorHAnsi"/>
          <w:szCs w:val="26"/>
        </w:rPr>
        <w:t>trial”].</w:t>
      </w:r>
      <w:r w:rsidRPr="000641B0" w:rsidR="00437030">
        <w:rPr>
          <w:rFonts w:cstheme="minorHAnsi"/>
          <w:szCs w:val="26"/>
        </w:rPr>
        <w:t xml:space="preserve">) </w:t>
      </w:r>
      <w:r w:rsidRPr="000641B0" w:rsidR="000A754E">
        <w:rPr>
          <w:rFonts w:cstheme="minorHAnsi"/>
          <w:szCs w:val="26"/>
        </w:rPr>
        <w:t xml:space="preserve"> </w:t>
      </w:r>
    </w:p>
    <w:p w:rsidR="00961F2B" w:rsidRPr="000641B0" w:rsidP="007E0585" w14:paraId="40CCB423" w14:textId="06601049">
      <w:pPr>
        <w:ind w:firstLine="720"/>
        <w:rPr>
          <w:rFonts w:cstheme="minorHAnsi"/>
          <w:szCs w:val="26"/>
        </w:rPr>
      </w:pPr>
      <w:r w:rsidRPr="000641B0">
        <w:rPr>
          <w:rFonts w:cstheme="minorHAnsi"/>
          <w:szCs w:val="26"/>
        </w:rPr>
        <w:t xml:space="preserve">Other courts have similarly </w:t>
      </w:r>
      <w:r w:rsidRPr="000641B0" w:rsidR="00D555D3">
        <w:rPr>
          <w:rFonts w:cstheme="minorHAnsi"/>
          <w:szCs w:val="26"/>
        </w:rPr>
        <w:t xml:space="preserve">understood </w:t>
      </w:r>
      <w:r w:rsidRPr="000641B0" w:rsidR="00D555D3">
        <w:rPr>
          <w:rFonts w:cstheme="minorHAnsi"/>
          <w:i/>
          <w:iCs/>
          <w:szCs w:val="26"/>
        </w:rPr>
        <w:t>Osborne</w:t>
      </w:r>
      <w:r w:rsidRPr="000641B0" w:rsidR="00D555D3">
        <w:rPr>
          <w:rFonts w:cstheme="minorHAnsi"/>
          <w:szCs w:val="26"/>
        </w:rPr>
        <w:t xml:space="preserve">. </w:t>
      </w:r>
      <w:r w:rsidRPr="000641B0" w:rsidR="005773B1">
        <w:rPr>
          <w:rFonts w:cstheme="minorHAnsi"/>
          <w:szCs w:val="26"/>
        </w:rPr>
        <w:t xml:space="preserve"> </w:t>
      </w:r>
      <w:bookmarkStart w:id="40" w:name="_Hlk125377467"/>
      <w:r w:rsidRPr="000641B0" w:rsidR="00612CC3">
        <w:rPr>
          <w:rFonts w:cstheme="minorHAnsi"/>
          <w:szCs w:val="26"/>
        </w:rPr>
        <w:t xml:space="preserve">In </w:t>
      </w:r>
      <w:r w:rsidRPr="000641B0" w:rsidR="00626AA4">
        <w:rPr>
          <w:rFonts w:cstheme="minorHAnsi"/>
          <w:i/>
          <w:iCs/>
          <w:szCs w:val="26"/>
        </w:rPr>
        <w:t>Whitlock</w:t>
      </w:r>
      <w:r w:rsidRPr="000641B0" w:rsidR="00612CC3">
        <w:rPr>
          <w:rFonts w:cstheme="minorHAnsi"/>
          <w:szCs w:val="26"/>
        </w:rPr>
        <w:t>,</w:t>
      </w:r>
      <w:r w:rsidRPr="000641B0" w:rsidR="00612CC3">
        <w:rPr>
          <w:rFonts w:cstheme="minorHAnsi"/>
          <w:i/>
          <w:iCs/>
          <w:szCs w:val="26"/>
        </w:rPr>
        <w:t xml:space="preserve"> supra</w:t>
      </w:r>
      <w:r w:rsidRPr="000641B0" w:rsidR="00612CC3">
        <w:rPr>
          <w:rFonts w:cstheme="minorHAnsi"/>
          <w:szCs w:val="26"/>
        </w:rPr>
        <w:t>,</w:t>
      </w:r>
      <w:r w:rsidRPr="000641B0" w:rsidR="00612CC3">
        <w:rPr>
          <w:rFonts w:cstheme="minorHAnsi"/>
          <w:i/>
          <w:iCs/>
          <w:szCs w:val="26"/>
        </w:rPr>
        <w:t xml:space="preserve"> </w:t>
      </w:r>
      <w:r w:rsidRPr="000641B0" w:rsidR="00626AA4">
        <w:rPr>
          <w:rFonts w:cstheme="minorHAnsi"/>
          <w:szCs w:val="26"/>
        </w:rPr>
        <w:t>682 F.3d 567</w:t>
      </w:r>
      <w:r w:rsidRPr="000641B0" w:rsidR="00612CC3">
        <w:rPr>
          <w:rFonts w:cstheme="minorHAnsi"/>
          <w:szCs w:val="26"/>
        </w:rPr>
        <w:t xml:space="preserve">, the Seventh Circuit </w:t>
      </w:r>
      <w:r w:rsidR="00DF2FC5">
        <w:rPr>
          <w:rFonts w:cstheme="minorHAnsi"/>
          <w:szCs w:val="26"/>
        </w:rPr>
        <w:t xml:space="preserve">found no inconsistency between </w:t>
      </w:r>
      <w:r w:rsidR="00DF2FC5">
        <w:rPr>
          <w:rFonts w:cstheme="minorHAnsi"/>
          <w:i/>
          <w:iCs/>
          <w:szCs w:val="26"/>
        </w:rPr>
        <w:t>Osborne</w:t>
      </w:r>
      <w:r w:rsidR="00DF2FC5">
        <w:rPr>
          <w:rFonts w:cstheme="minorHAnsi"/>
          <w:szCs w:val="26"/>
        </w:rPr>
        <w:t xml:space="preserve"> and its earlier conclusion in </w:t>
      </w:r>
      <w:r w:rsidR="00DF2FC5">
        <w:rPr>
          <w:rFonts w:cstheme="minorHAnsi"/>
          <w:i/>
          <w:iCs/>
          <w:szCs w:val="26"/>
        </w:rPr>
        <w:t>Steidl</w:t>
      </w:r>
      <w:r w:rsidRPr="000641B0" w:rsidR="002E51BB">
        <w:rPr>
          <w:rFonts w:cstheme="minorHAnsi"/>
          <w:szCs w:val="26"/>
        </w:rPr>
        <w:t xml:space="preserve"> that </w:t>
      </w:r>
      <w:r w:rsidRPr="000641B0" w:rsidR="00F4369F">
        <w:rPr>
          <w:rFonts w:cstheme="minorHAnsi"/>
          <w:szCs w:val="26"/>
        </w:rPr>
        <w:t>a defendant has a “</w:t>
      </w:r>
      <w:r w:rsidR="00713ABB">
        <w:rPr>
          <w:rFonts w:cstheme="minorHAnsi"/>
          <w:szCs w:val="26"/>
        </w:rPr>
        <w:t> ‘</w:t>
      </w:r>
      <w:r w:rsidRPr="000641B0" w:rsidR="00F4369F">
        <w:rPr>
          <w:rFonts w:cstheme="minorHAnsi"/>
          <w:szCs w:val="26"/>
        </w:rPr>
        <w:t>right to be informed about exculpatory evidence throughout the proceedings, including appeals and authorized post-conviction procedures, when that exculpatory evidence was known to the state at the time of the original trial.</w:t>
      </w:r>
      <w:r w:rsidR="00713ABB">
        <w:rPr>
          <w:rFonts w:cstheme="minorHAnsi"/>
          <w:szCs w:val="26"/>
        </w:rPr>
        <w:t>’ </w:t>
      </w:r>
      <w:r w:rsidRPr="000641B0" w:rsidR="00F4369F">
        <w:rPr>
          <w:rFonts w:cstheme="minorHAnsi"/>
          <w:szCs w:val="26"/>
        </w:rPr>
        <w:t xml:space="preserve">” </w:t>
      </w:r>
      <w:r w:rsidRPr="000641B0" w:rsidR="00821294">
        <w:rPr>
          <w:rFonts w:cstheme="minorHAnsi"/>
          <w:szCs w:val="26"/>
        </w:rPr>
        <w:t xml:space="preserve"> </w:t>
      </w:r>
      <w:bookmarkEnd w:id="40"/>
      <w:r w:rsidRPr="000641B0" w:rsidR="00F4369F">
        <w:rPr>
          <w:rFonts w:cstheme="minorHAnsi"/>
          <w:szCs w:val="26"/>
        </w:rPr>
        <w:t>(</w:t>
      </w:r>
      <w:r w:rsidR="00713ABB">
        <w:rPr>
          <w:rFonts w:cstheme="minorHAnsi"/>
          <w:i/>
          <w:iCs/>
          <w:szCs w:val="26"/>
        </w:rPr>
        <w:t>Id</w:t>
      </w:r>
      <w:r w:rsidRPr="002C58F5" w:rsidR="00713ABB">
        <w:rPr>
          <w:rFonts w:cstheme="minorHAnsi"/>
          <w:szCs w:val="26"/>
        </w:rPr>
        <w:t>.</w:t>
      </w:r>
      <w:r w:rsidRPr="000641B0" w:rsidR="001875A4">
        <w:rPr>
          <w:rFonts w:cstheme="minorHAnsi"/>
          <w:szCs w:val="26"/>
        </w:rPr>
        <w:t xml:space="preserve"> </w:t>
      </w:r>
      <w:r w:rsidRPr="000641B0" w:rsidR="00F4369F">
        <w:rPr>
          <w:rFonts w:cstheme="minorHAnsi"/>
          <w:szCs w:val="26"/>
        </w:rPr>
        <w:t>at p.</w:t>
      </w:r>
      <w:r w:rsidRPr="000641B0" w:rsidR="00821294">
        <w:rPr>
          <w:rFonts w:cstheme="minorHAnsi"/>
          <w:szCs w:val="26"/>
        </w:rPr>
        <w:t> </w:t>
      </w:r>
      <w:r w:rsidRPr="000641B0" w:rsidR="00087C69">
        <w:rPr>
          <w:rFonts w:cstheme="minorHAnsi"/>
          <w:szCs w:val="26"/>
        </w:rPr>
        <w:t xml:space="preserve">587, quoting </w:t>
      </w:r>
      <w:r w:rsidRPr="000641B0" w:rsidR="00087C69">
        <w:rPr>
          <w:rFonts w:cstheme="minorHAnsi"/>
          <w:i/>
          <w:iCs/>
          <w:szCs w:val="26"/>
        </w:rPr>
        <w:t>Steidl</w:t>
      </w:r>
      <w:r w:rsidRPr="000641B0" w:rsidR="00087C69">
        <w:rPr>
          <w:rFonts w:cstheme="minorHAnsi"/>
          <w:szCs w:val="26"/>
        </w:rPr>
        <w:t>,</w:t>
      </w:r>
      <w:r w:rsidRPr="000641B0" w:rsidR="00087C69">
        <w:rPr>
          <w:rFonts w:cstheme="minorHAnsi"/>
          <w:i/>
          <w:iCs/>
          <w:szCs w:val="26"/>
        </w:rPr>
        <w:t xml:space="preserve"> supra</w:t>
      </w:r>
      <w:r w:rsidRPr="000641B0" w:rsidR="00087C69">
        <w:rPr>
          <w:rFonts w:cstheme="minorHAnsi"/>
          <w:szCs w:val="26"/>
        </w:rPr>
        <w:t>, 494 F.3d at p.</w:t>
      </w:r>
      <w:r w:rsidRPr="000641B0" w:rsidR="00821294">
        <w:rPr>
          <w:rFonts w:cstheme="minorHAnsi"/>
          <w:szCs w:val="26"/>
        </w:rPr>
        <w:t> </w:t>
      </w:r>
      <w:r w:rsidRPr="000641B0" w:rsidR="00087C69">
        <w:rPr>
          <w:rFonts w:cstheme="minorHAnsi"/>
          <w:szCs w:val="26"/>
        </w:rPr>
        <w:t xml:space="preserve">625.) </w:t>
      </w:r>
      <w:r w:rsidRPr="000641B0" w:rsidR="00BA4BAA">
        <w:rPr>
          <w:rFonts w:cstheme="minorHAnsi"/>
          <w:szCs w:val="26"/>
        </w:rPr>
        <w:t xml:space="preserve"> </w:t>
      </w:r>
      <w:r w:rsidRPr="000641B0" w:rsidR="00E366C4">
        <w:rPr>
          <w:rFonts w:cstheme="minorHAnsi"/>
          <w:szCs w:val="26"/>
        </w:rPr>
        <w:t xml:space="preserve">The </w:t>
      </w:r>
      <w:r w:rsidRPr="000641B0" w:rsidR="00E366C4">
        <w:rPr>
          <w:rFonts w:cstheme="minorHAnsi"/>
          <w:i/>
          <w:iCs/>
          <w:szCs w:val="26"/>
        </w:rPr>
        <w:t>Whitlock</w:t>
      </w:r>
      <w:r w:rsidRPr="000641B0" w:rsidR="00E366C4">
        <w:rPr>
          <w:rFonts w:cstheme="minorHAnsi"/>
          <w:szCs w:val="26"/>
        </w:rPr>
        <w:t xml:space="preserve"> court explained</w:t>
      </w:r>
      <w:r w:rsidR="00C92EB0">
        <w:rPr>
          <w:rFonts w:cstheme="minorHAnsi"/>
          <w:szCs w:val="26"/>
        </w:rPr>
        <w:t xml:space="preserve"> that the defendant police officials</w:t>
      </w:r>
      <w:r w:rsidRPr="000641B0" w:rsidR="00626AA4">
        <w:rPr>
          <w:rFonts w:cstheme="minorHAnsi"/>
          <w:szCs w:val="26"/>
        </w:rPr>
        <w:t xml:space="preserve"> </w:t>
      </w:r>
      <w:r w:rsidR="00C92EB0">
        <w:rPr>
          <w:rFonts w:cstheme="minorHAnsi"/>
          <w:szCs w:val="26"/>
        </w:rPr>
        <w:t>“</w:t>
      </w:r>
      <w:r w:rsidRPr="000641B0" w:rsidR="00626AA4">
        <w:rPr>
          <w:rFonts w:cstheme="minorHAnsi"/>
          <w:szCs w:val="26"/>
        </w:rPr>
        <w:t>read</w:t>
      </w:r>
      <w:r w:rsidRPr="000641B0" w:rsidR="00954BFA">
        <w:rPr>
          <w:rFonts w:cstheme="minorHAnsi"/>
          <w:szCs w:val="26"/>
        </w:rPr>
        <w:t xml:space="preserve"> </w:t>
      </w:r>
      <w:r w:rsidRPr="000641B0" w:rsidR="00626AA4">
        <w:rPr>
          <w:rFonts w:cstheme="minorHAnsi"/>
          <w:i/>
          <w:iCs/>
          <w:szCs w:val="26"/>
        </w:rPr>
        <w:t>Osborne</w:t>
      </w:r>
      <w:r w:rsidRPr="000641B0" w:rsidR="00954BFA">
        <w:rPr>
          <w:rFonts w:cstheme="minorHAnsi"/>
          <w:szCs w:val="26"/>
        </w:rPr>
        <w:t xml:space="preserve"> </w:t>
      </w:r>
      <w:r w:rsidRPr="000641B0" w:rsidR="00626AA4">
        <w:rPr>
          <w:rFonts w:cstheme="minorHAnsi"/>
          <w:szCs w:val="26"/>
        </w:rPr>
        <w:t>too broadly.</w:t>
      </w:r>
      <w:r w:rsidRPr="000641B0" w:rsidR="00954BFA">
        <w:rPr>
          <w:rFonts w:cstheme="minorHAnsi"/>
          <w:szCs w:val="26"/>
        </w:rPr>
        <w:t xml:space="preserve"> </w:t>
      </w:r>
      <w:r w:rsidRPr="000641B0" w:rsidR="00CB2E20">
        <w:rPr>
          <w:rFonts w:cstheme="minorHAnsi"/>
          <w:szCs w:val="26"/>
        </w:rPr>
        <w:t xml:space="preserve"> </w:t>
      </w:r>
      <w:r w:rsidRPr="000641B0" w:rsidR="00626AA4">
        <w:rPr>
          <w:rFonts w:cstheme="minorHAnsi"/>
          <w:i/>
          <w:iCs/>
          <w:szCs w:val="26"/>
        </w:rPr>
        <w:t>Osborne</w:t>
      </w:r>
      <w:r w:rsidRPr="000641B0" w:rsidR="00954BFA">
        <w:rPr>
          <w:rFonts w:cstheme="minorHAnsi"/>
          <w:szCs w:val="26"/>
        </w:rPr>
        <w:t xml:space="preserve"> </w:t>
      </w:r>
      <w:r w:rsidRPr="000641B0" w:rsidR="00626AA4">
        <w:rPr>
          <w:rFonts w:cstheme="minorHAnsi"/>
          <w:szCs w:val="26"/>
        </w:rPr>
        <w:t>rejected a claim that Alaska</w:t>
      </w:r>
      <w:r w:rsidRPr="000641B0" w:rsidR="00BA4BAA">
        <w:rPr>
          <w:rFonts w:cstheme="minorHAnsi"/>
          <w:szCs w:val="26"/>
        </w:rPr>
        <w:t>’</w:t>
      </w:r>
      <w:r w:rsidRPr="000641B0" w:rsidR="00626AA4">
        <w:rPr>
          <w:rFonts w:cstheme="minorHAnsi"/>
          <w:szCs w:val="26"/>
        </w:rPr>
        <w:t xml:space="preserve">s procedures governing the access of defendants to post-conviction DNA testing violated due process. </w:t>
      </w:r>
      <w:r w:rsidRPr="000641B0" w:rsidR="00BA4BAA">
        <w:rPr>
          <w:rFonts w:cstheme="minorHAnsi"/>
          <w:szCs w:val="26"/>
        </w:rPr>
        <w:t xml:space="preserve"> </w:t>
      </w:r>
      <w:r w:rsidRPr="000641B0" w:rsidR="00626AA4">
        <w:rPr>
          <w:rFonts w:cstheme="minorHAnsi"/>
          <w:szCs w:val="26"/>
        </w:rPr>
        <w:t xml:space="preserve">Critically, the evidence that Osborne sought was not exculpatory evidence that had been in existence at the time of his original trial. </w:t>
      </w:r>
      <w:r w:rsidRPr="000641B0" w:rsidR="00821294">
        <w:rPr>
          <w:rFonts w:cstheme="minorHAnsi"/>
          <w:szCs w:val="26"/>
        </w:rPr>
        <w:t xml:space="preserve"> </w:t>
      </w:r>
      <w:r w:rsidRPr="000641B0" w:rsidR="00626AA4">
        <w:rPr>
          <w:rFonts w:cstheme="minorHAnsi"/>
          <w:szCs w:val="26"/>
        </w:rPr>
        <w:t xml:space="preserve">Instead, he was seeking the opportunity to collect and submit entirely new, and he hoped exculpatory, evidence. </w:t>
      </w:r>
      <w:r w:rsidRPr="000641B0" w:rsidR="00821294">
        <w:rPr>
          <w:rFonts w:cstheme="minorHAnsi"/>
          <w:szCs w:val="26"/>
        </w:rPr>
        <w:t xml:space="preserve"> </w:t>
      </w:r>
      <w:r w:rsidRPr="000641B0" w:rsidR="00626AA4">
        <w:rPr>
          <w:rFonts w:cstheme="minorHAnsi"/>
          <w:szCs w:val="26"/>
        </w:rPr>
        <w:t>The Court rejected the argument that</w:t>
      </w:r>
      <w:r w:rsidRPr="000641B0" w:rsidR="00954BFA">
        <w:rPr>
          <w:rFonts w:cstheme="minorHAnsi"/>
          <w:szCs w:val="26"/>
        </w:rPr>
        <w:t xml:space="preserve"> </w:t>
      </w:r>
      <w:r w:rsidRPr="000641B0" w:rsidR="00626AA4">
        <w:rPr>
          <w:rFonts w:cstheme="minorHAnsi"/>
          <w:i/>
          <w:iCs/>
          <w:szCs w:val="26"/>
        </w:rPr>
        <w:t>Brady</w:t>
      </w:r>
      <w:r w:rsidRPr="000641B0" w:rsidR="00954BFA">
        <w:rPr>
          <w:rFonts w:cstheme="minorHAnsi"/>
          <w:szCs w:val="26"/>
        </w:rPr>
        <w:t xml:space="preserve"> </w:t>
      </w:r>
      <w:r w:rsidRPr="000641B0" w:rsidR="00626AA4">
        <w:rPr>
          <w:rFonts w:cstheme="minorHAnsi"/>
          <w:szCs w:val="26"/>
        </w:rPr>
        <w:t>required the state to allow the defendant access to these new tests because the defendant</w:t>
      </w:r>
      <w:r w:rsidRPr="000641B0" w:rsidR="00954BFA">
        <w:rPr>
          <w:rFonts w:cstheme="minorHAnsi"/>
          <w:szCs w:val="26"/>
        </w:rPr>
        <w:t xml:space="preserve"> </w:t>
      </w:r>
      <w:r w:rsidRPr="000641B0" w:rsidR="00626AA4">
        <w:rPr>
          <w:rFonts w:cstheme="minorHAnsi"/>
          <w:szCs w:val="26"/>
        </w:rPr>
        <w:t xml:space="preserve">had already been </w:t>
      </w:r>
      <w:r w:rsidR="00713ABB">
        <w:rPr>
          <w:rFonts w:cstheme="minorHAnsi"/>
          <w:szCs w:val="26"/>
        </w:rPr>
        <w:t>‘</w:t>
      </w:r>
      <w:r w:rsidRPr="000641B0" w:rsidR="00626AA4">
        <w:rPr>
          <w:rFonts w:cstheme="minorHAnsi"/>
          <w:szCs w:val="26"/>
        </w:rPr>
        <w:t>proved guilty after a fair trial.</w:t>
      </w:r>
      <w:r w:rsidR="00713ABB">
        <w:rPr>
          <w:rFonts w:cstheme="minorHAnsi"/>
          <w:szCs w:val="26"/>
        </w:rPr>
        <w:t>’</w:t>
      </w:r>
      <w:r w:rsidRPr="000641B0" w:rsidR="00954BFA">
        <w:rPr>
          <w:rFonts w:cstheme="minorHAnsi"/>
          <w:szCs w:val="26"/>
        </w:rPr>
        <w:t xml:space="preserve"> </w:t>
      </w:r>
      <w:r w:rsidRPr="000641B0" w:rsidR="00821294">
        <w:rPr>
          <w:rFonts w:cstheme="minorHAnsi"/>
          <w:szCs w:val="26"/>
        </w:rPr>
        <w:t xml:space="preserve"> </w:t>
      </w:r>
      <w:r w:rsidRPr="000641B0" w:rsidR="00981251">
        <w:rPr>
          <w:rFonts w:cstheme="minorHAnsi"/>
          <w:szCs w:val="26"/>
        </w:rPr>
        <w:t xml:space="preserve">[Citation.]  </w:t>
      </w:r>
      <w:r w:rsidRPr="000641B0" w:rsidR="00626AA4">
        <w:rPr>
          <w:rFonts w:cstheme="minorHAnsi"/>
          <w:szCs w:val="26"/>
        </w:rPr>
        <w:t>But</w:t>
      </w:r>
      <w:r w:rsidRPr="000641B0" w:rsidR="00954BFA">
        <w:rPr>
          <w:rFonts w:cstheme="minorHAnsi"/>
          <w:szCs w:val="26"/>
        </w:rPr>
        <w:t xml:space="preserve"> </w:t>
      </w:r>
      <w:r w:rsidRPr="000641B0" w:rsidR="00626AA4">
        <w:rPr>
          <w:rFonts w:cstheme="minorHAnsi"/>
          <w:i/>
          <w:iCs/>
          <w:szCs w:val="26"/>
        </w:rPr>
        <w:t>Brady</w:t>
      </w:r>
      <w:r w:rsidRPr="000641B0" w:rsidR="00954BFA">
        <w:rPr>
          <w:rFonts w:cstheme="minorHAnsi"/>
          <w:szCs w:val="26"/>
        </w:rPr>
        <w:t xml:space="preserve"> </w:t>
      </w:r>
      <w:r w:rsidRPr="000641B0" w:rsidR="00626AA4">
        <w:rPr>
          <w:rFonts w:cstheme="minorHAnsi"/>
          <w:szCs w:val="26"/>
        </w:rPr>
        <w:t>continues to apply to an assertion that one did not receive a fair trial because of the concealment of exculpatory evidence known and in existence at the time of that trial.”  (</w:t>
      </w:r>
      <w:r w:rsidRPr="000641B0" w:rsidR="006D0993">
        <w:rPr>
          <w:rFonts w:cstheme="minorHAnsi"/>
          <w:i/>
          <w:iCs/>
          <w:szCs w:val="26"/>
        </w:rPr>
        <w:t>Whitlock</w:t>
      </w:r>
      <w:r w:rsidRPr="000641B0" w:rsidR="006D0993">
        <w:rPr>
          <w:rFonts w:cstheme="minorHAnsi"/>
          <w:szCs w:val="26"/>
        </w:rPr>
        <w:t>,</w:t>
      </w:r>
      <w:r w:rsidRPr="000641B0" w:rsidR="001875A4">
        <w:rPr>
          <w:rFonts w:cstheme="minorHAnsi"/>
          <w:i/>
          <w:iCs/>
          <w:szCs w:val="26"/>
        </w:rPr>
        <w:t xml:space="preserve"> </w:t>
      </w:r>
      <w:r w:rsidRPr="000641B0" w:rsidR="00626AA4">
        <w:rPr>
          <w:rFonts w:cstheme="minorHAnsi"/>
          <w:szCs w:val="26"/>
        </w:rPr>
        <w:t>at pp. 587–</w:t>
      </w:r>
      <w:r w:rsidRPr="000641B0" w:rsidR="00E0157F">
        <w:rPr>
          <w:rFonts w:cstheme="minorHAnsi"/>
          <w:szCs w:val="26"/>
        </w:rPr>
        <w:t>5</w:t>
      </w:r>
      <w:r w:rsidRPr="000641B0" w:rsidR="00626AA4">
        <w:rPr>
          <w:rFonts w:cstheme="minorHAnsi"/>
          <w:szCs w:val="26"/>
        </w:rPr>
        <w:t>88.)</w:t>
      </w:r>
    </w:p>
    <w:p w:rsidR="003A1B10" w:rsidRPr="000641B0" w:rsidP="000641B0" w14:paraId="6861FE73" w14:textId="1F171A45">
      <w:pPr>
        <w:ind w:firstLine="720"/>
        <w:rPr>
          <w:rFonts w:cstheme="minorHAnsi"/>
          <w:szCs w:val="26"/>
        </w:rPr>
      </w:pPr>
      <w:r w:rsidRPr="000641B0">
        <w:rPr>
          <w:rFonts w:cstheme="minorHAnsi"/>
          <w:szCs w:val="26"/>
        </w:rPr>
        <w:t xml:space="preserve">The </w:t>
      </w:r>
      <w:r w:rsidRPr="000641B0">
        <w:rPr>
          <w:rFonts w:cstheme="minorHAnsi"/>
          <w:i/>
          <w:iCs/>
          <w:szCs w:val="26"/>
        </w:rPr>
        <w:t>Whitl</w:t>
      </w:r>
      <w:r w:rsidRPr="000641B0" w:rsidR="003B57C8">
        <w:rPr>
          <w:rFonts w:cstheme="minorHAnsi"/>
          <w:i/>
          <w:iCs/>
          <w:szCs w:val="26"/>
        </w:rPr>
        <w:t>ock</w:t>
      </w:r>
      <w:r w:rsidRPr="000641B0" w:rsidR="003B57C8">
        <w:rPr>
          <w:rFonts w:cstheme="minorHAnsi"/>
          <w:szCs w:val="26"/>
        </w:rPr>
        <w:t xml:space="preserve"> court noted further that the </w:t>
      </w:r>
      <w:r w:rsidRPr="000641B0" w:rsidR="003B57C8">
        <w:rPr>
          <w:rFonts w:cstheme="minorHAnsi"/>
          <w:i/>
          <w:iCs/>
          <w:szCs w:val="26"/>
        </w:rPr>
        <w:t xml:space="preserve">Steidl </w:t>
      </w:r>
      <w:r w:rsidRPr="000641B0" w:rsidR="003B57C8">
        <w:rPr>
          <w:rFonts w:cstheme="minorHAnsi"/>
          <w:szCs w:val="26"/>
        </w:rPr>
        <w:t xml:space="preserve">court </w:t>
      </w:r>
      <w:r w:rsidRPr="000641B0" w:rsidR="00AE1010">
        <w:rPr>
          <w:rFonts w:cstheme="minorHAnsi"/>
          <w:szCs w:val="26"/>
        </w:rPr>
        <w:t xml:space="preserve">decided only whether the government’s </w:t>
      </w:r>
      <w:r w:rsidRPr="000641B0" w:rsidR="00AE1010">
        <w:rPr>
          <w:rFonts w:cstheme="minorHAnsi"/>
          <w:i/>
          <w:iCs/>
          <w:szCs w:val="26"/>
        </w:rPr>
        <w:t>Brady</w:t>
      </w:r>
      <w:r w:rsidRPr="000641B0" w:rsidR="00AE1010">
        <w:rPr>
          <w:rFonts w:cstheme="minorHAnsi"/>
          <w:szCs w:val="26"/>
        </w:rPr>
        <w:t xml:space="preserve"> duty applied to evide</w:t>
      </w:r>
      <w:r w:rsidRPr="000641B0" w:rsidR="00D604C6">
        <w:rPr>
          <w:rFonts w:cstheme="minorHAnsi"/>
          <w:szCs w:val="26"/>
        </w:rPr>
        <w:t xml:space="preserve">nce </w:t>
      </w:r>
      <w:r w:rsidRPr="000641B0" w:rsidR="000175B0">
        <w:rPr>
          <w:rFonts w:cstheme="minorHAnsi"/>
          <w:szCs w:val="26"/>
        </w:rPr>
        <w:t>“known and in existence at the time of that trial”</w:t>
      </w:r>
      <w:r w:rsidRPr="000641B0" w:rsidR="00D604C6">
        <w:rPr>
          <w:rFonts w:cstheme="minorHAnsi"/>
          <w:szCs w:val="26"/>
        </w:rPr>
        <w:t xml:space="preserve"> </w:t>
      </w:r>
      <w:r w:rsidRPr="000641B0" w:rsidR="000F2785">
        <w:rPr>
          <w:rFonts w:cstheme="minorHAnsi"/>
          <w:szCs w:val="26"/>
        </w:rPr>
        <w:t>(</w:t>
      </w:r>
      <w:r w:rsidRPr="000641B0" w:rsidR="000F2785">
        <w:rPr>
          <w:rFonts w:cstheme="minorHAnsi"/>
          <w:i/>
          <w:iCs/>
          <w:szCs w:val="26"/>
        </w:rPr>
        <w:t>Whitlock</w:t>
      </w:r>
      <w:r w:rsidRPr="000641B0" w:rsidR="000F2785">
        <w:rPr>
          <w:rFonts w:cstheme="minorHAnsi"/>
          <w:szCs w:val="26"/>
        </w:rPr>
        <w:t>,</w:t>
      </w:r>
      <w:r w:rsidRPr="000641B0" w:rsidR="000F2785">
        <w:rPr>
          <w:rFonts w:cstheme="minorHAnsi"/>
          <w:i/>
          <w:iCs/>
          <w:szCs w:val="26"/>
        </w:rPr>
        <w:t xml:space="preserve"> supra</w:t>
      </w:r>
      <w:r w:rsidRPr="000641B0" w:rsidR="000F2785">
        <w:rPr>
          <w:rFonts w:cstheme="minorHAnsi"/>
          <w:szCs w:val="26"/>
        </w:rPr>
        <w:t>, 682 F.3d at p. 588</w:t>
      </w:r>
      <w:r w:rsidR="000F2785">
        <w:rPr>
          <w:rFonts w:cstheme="minorHAnsi"/>
          <w:szCs w:val="26"/>
        </w:rPr>
        <w:t>)</w:t>
      </w:r>
      <w:r w:rsidR="001A18BF">
        <w:rPr>
          <w:rFonts w:cstheme="minorHAnsi"/>
          <w:szCs w:val="26"/>
        </w:rPr>
        <w:t>,</w:t>
      </w:r>
      <w:r w:rsidR="000F2785">
        <w:rPr>
          <w:rFonts w:cstheme="minorHAnsi"/>
          <w:szCs w:val="26"/>
        </w:rPr>
        <w:t xml:space="preserve"> </w:t>
      </w:r>
      <w:r w:rsidRPr="000641B0" w:rsidR="00D604C6">
        <w:rPr>
          <w:rFonts w:cstheme="minorHAnsi"/>
          <w:szCs w:val="26"/>
        </w:rPr>
        <w:t>and</w:t>
      </w:r>
      <w:r w:rsidRPr="000641B0" w:rsidR="001A4423">
        <w:rPr>
          <w:rFonts w:cstheme="minorHAnsi"/>
          <w:szCs w:val="26"/>
        </w:rPr>
        <w:t xml:space="preserve"> </w:t>
      </w:r>
      <w:r w:rsidRPr="000641B0" w:rsidR="00757342">
        <w:rPr>
          <w:rFonts w:cstheme="minorHAnsi"/>
          <w:szCs w:val="26"/>
        </w:rPr>
        <w:t xml:space="preserve">that it </w:t>
      </w:r>
      <w:r w:rsidRPr="000641B0" w:rsidR="001A4423">
        <w:rPr>
          <w:rFonts w:cstheme="minorHAnsi"/>
          <w:szCs w:val="26"/>
        </w:rPr>
        <w:t xml:space="preserve">did not decide whether </w:t>
      </w:r>
      <w:r w:rsidRPr="000641B0" w:rsidR="001A4423">
        <w:rPr>
          <w:rFonts w:cstheme="minorHAnsi"/>
          <w:i/>
          <w:iCs/>
          <w:szCs w:val="26"/>
        </w:rPr>
        <w:t>Brady</w:t>
      </w:r>
      <w:r w:rsidRPr="000641B0" w:rsidR="001A4423">
        <w:rPr>
          <w:rFonts w:cstheme="minorHAnsi"/>
          <w:szCs w:val="26"/>
        </w:rPr>
        <w:t xml:space="preserve"> applied to </w:t>
      </w:r>
      <w:r w:rsidRPr="000641B0" w:rsidR="00E76449">
        <w:rPr>
          <w:rFonts w:cstheme="minorHAnsi"/>
          <w:szCs w:val="26"/>
        </w:rPr>
        <w:t>“</w:t>
      </w:r>
      <w:r w:rsidR="003511D5">
        <w:rPr>
          <w:rFonts w:cstheme="minorHAnsi"/>
          <w:szCs w:val="26"/>
        </w:rPr>
        <w:t> ‘</w:t>
      </w:r>
      <w:r w:rsidRPr="000641B0" w:rsidR="00D604C6">
        <w:rPr>
          <w:rFonts w:cstheme="minorHAnsi"/>
          <w:szCs w:val="26"/>
        </w:rPr>
        <w:t>evidence discovered post-trial.</w:t>
      </w:r>
      <w:r w:rsidR="009A41D2">
        <w:rPr>
          <w:rFonts w:cstheme="minorHAnsi"/>
          <w:szCs w:val="26"/>
        </w:rPr>
        <w:t>’</w:t>
      </w:r>
      <w:r w:rsidR="003511D5">
        <w:rPr>
          <w:rFonts w:cstheme="minorHAnsi"/>
          <w:szCs w:val="26"/>
        </w:rPr>
        <w:t> </w:t>
      </w:r>
      <w:r w:rsidRPr="000641B0" w:rsidR="00E76449">
        <w:rPr>
          <w:rFonts w:cstheme="minorHAnsi"/>
          <w:szCs w:val="26"/>
        </w:rPr>
        <w:t>”</w:t>
      </w:r>
      <w:r w:rsidRPr="000641B0" w:rsidR="00D604C6">
        <w:rPr>
          <w:rFonts w:cstheme="minorHAnsi"/>
          <w:szCs w:val="26"/>
        </w:rPr>
        <w:t xml:space="preserve"> </w:t>
      </w:r>
      <w:r w:rsidRPr="000641B0" w:rsidR="0097588E">
        <w:rPr>
          <w:rFonts w:cstheme="minorHAnsi"/>
          <w:szCs w:val="26"/>
        </w:rPr>
        <w:t xml:space="preserve"> </w:t>
      </w:r>
      <w:r w:rsidRPr="000641B0" w:rsidR="000175B0">
        <w:rPr>
          <w:rFonts w:cstheme="minorHAnsi"/>
          <w:szCs w:val="26"/>
        </w:rPr>
        <w:t>(</w:t>
      </w:r>
      <w:r w:rsidR="005E7F4E">
        <w:rPr>
          <w:rFonts w:cstheme="minorHAnsi"/>
          <w:i/>
          <w:iCs/>
          <w:szCs w:val="26"/>
        </w:rPr>
        <w:t>Ibid</w:t>
      </w:r>
      <w:r w:rsidRPr="00CF4CBA" w:rsidR="005E7F4E">
        <w:rPr>
          <w:rFonts w:cstheme="minorHAnsi"/>
          <w:szCs w:val="26"/>
        </w:rPr>
        <w:t>.</w:t>
      </w:r>
      <w:r w:rsidRPr="000641B0" w:rsidR="003F2775">
        <w:rPr>
          <w:rFonts w:cstheme="minorHAnsi"/>
          <w:szCs w:val="26"/>
        </w:rPr>
        <w:t xml:space="preserve">, quoting </w:t>
      </w:r>
      <w:r w:rsidRPr="000641B0" w:rsidR="00486D71">
        <w:rPr>
          <w:rFonts w:cstheme="minorHAnsi"/>
          <w:i/>
          <w:iCs/>
          <w:szCs w:val="26"/>
        </w:rPr>
        <w:t>Steidl</w:t>
      </w:r>
      <w:r w:rsidRPr="000641B0" w:rsidR="0060781E">
        <w:rPr>
          <w:rFonts w:cstheme="minorHAnsi"/>
          <w:szCs w:val="26"/>
        </w:rPr>
        <w:t>,</w:t>
      </w:r>
      <w:r w:rsidRPr="000641B0" w:rsidR="0060781E">
        <w:rPr>
          <w:rFonts w:cstheme="minorHAnsi"/>
          <w:i/>
          <w:iCs/>
          <w:szCs w:val="26"/>
        </w:rPr>
        <w:t xml:space="preserve"> supra</w:t>
      </w:r>
      <w:r w:rsidRPr="000641B0" w:rsidR="0060781E">
        <w:rPr>
          <w:rFonts w:cstheme="minorHAnsi"/>
          <w:szCs w:val="26"/>
        </w:rPr>
        <w:t xml:space="preserve">, </w:t>
      </w:r>
      <w:r w:rsidR="009A41D2">
        <w:rPr>
          <w:rFonts w:cstheme="minorHAnsi"/>
          <w:szCs w:val="26"/>
        </w:rPr>
        <w:t xml:space="preserve">494 F.3d </w:t>
      </w:r>
      <w:r w:rsidRPr="000641B0" w:rsidR="0060781E">
        <w:rPr>
          <w:rFonts w:cstheme="minorHAnsi"/>
          <w:szCs w:val="26"/>
        </w:rPr>
        <w:t>at p.</w:t>
      </w:r>
      <w:r w:rsidRPr="000641B0" w:rsidR="00D47497">
        <w:rPr>
          <w:rFonts w:cstheme="minorHAnsi"/>
          <w:szCs w:val="26"/>
        </w:rPr>
        <w:t> </w:t>
      </w:r>
      <w:r w:rsidRPr="000641B0" w:rsidR="0060781E">
        <w:rPr>
          <w:rFonts w:cstheme="minorHAnsi"/>
          <w:szCs w:val="26"/>
        </w:rPr>
        <w:t>629</w:t>
      </w:r>
      <w:r w:rsidRPr="000641B0" w:rsidR="0097588E">
        <w:rPr>
          <w:rFonts w:cstheme="minorHAnsi"/>
          <w:szCs w:val="26"/>
        </w:rPr>
        <w:t xml:space="preserve">; see also </w:t>
      </w:r>
      <w:r w:rsidRPr="000641B0" w:rsidR="00B63C58">
        <w:rPr>
          <w:rFonts w:cstheme="minorHAnsi"/>
          <w:i/>
          <w:iCs/>
          <w:szCs w:val="26"/>
        </w:rPr>
        <w:t>Steidl</w:t>
      </w:r>
      <w:r w:rsidRPr="000641B0" w:rsidR="00D47497">
        <w:rPr>
          <w:rFonts w:cstheme="minorHAnsi"/>
          <w:szCs w:val="26"/>
        </w:rPr>
        <w:t xml:space="preserve">, </w:t>
      </w:r>
      <w:r w:rsidRPr="000641B0" w:rsidR="0097588E">
        <w:rPr>
          <w:rFonts w:cstheme="minorHAnsi"/>
          <w:szCs w:val="26"/>
        </w:rPr>
        <w:t>at p.</w:t>
      </w:r>
      <w:r w:rsidRPr="000641B0" w:rsidR="00D47497">
        <w:rPr>
          <w:rFonts w:cstheme="minorHAnsi"/>
          <w:szCs w:val="26"/>
        </w:rPr>
        <w:t> </w:t>
      </w:r>
      <w:r w:rsidRPr="000641B0" w:rsidR="0097588E">
        <w:rPr>
          <w:rFonts w:cstheme="minorHAnsi"/>
          <w:szCs w:val="26"/>
        </w:rPr>
        <w:t xml:space="preserve">630 </w:t>
      </w:r>
      <w:r w:rsidRPr="000641B0" w:rsidR="00D47497">
        <w:rPr>
          <w:rFonts w:cstheme="minorHAnsi"/>
          <w:szCs w:val="26"/>
        </w:rPr>
        <w:t>[</w:t>
      </w:r>
      <w:r w:rsidRPr="000641B0" w:rsidR="0097588E">
        <w:rPr>
          <w:rFonts w:cstheme="minorHAnsi"/>
          <w:szCs w:val="26"/>
        </w:rPr>
        <w:t>stating that “available for the trial</w:t>
      </w:r>
      <w:r w:rsidR="00C92EB0">
        <w:rPr>
          <w:rFonts w:cstheme="minorHAnsi"/>
          <w:szCs w:val="26"/>
        </w:rPr>
        <w:t>” “</w:t>
      </w:r>
      <w:r w:rsidRPr="000641B0" w:rsidR="00FE0876">
        <w:rPr>
          <w:rFonts w:cstheme="minorHAnsi"/>
          <w:szCs w:val="26"/>
        </w:rPr>
        <w:t>qualification is important, to the extent that </w:t>
      </w:r>
      <w:r w:rsidRPr="000641B0" w:rsidR="00FE0876">
        <w:rPr>
          <w:rFonts w:cstheme="minorHAnsi"/>
          <w:i/>
          <w:iCs/>
          <w:szCs w:val="26"/>
        </w:rPr>
        <w:t>Brady</w:t>
      </w:r>
      <w:r w:rsidRPr="000641B0" w:rsidR="00FE0876">
        <w:rPr>
          <w:rFonts w:cstheme="minorHAnsi"/>
          <w:szCs w:val="26"/>
        </w:rPr>
        <w:t> identifies a trial right</w:t>
      </w:r>
      <w:r w:rsidRPr="000641B0" w:rsidR="00625083">
        <w:rPr>
          <w:rFonts w:cstheme="minorHAnsi"/>
          <w:szCs w:val="26"/>
        </w:rPr>
        <w:t>”]</w:t>
      </w:r>
      <w:r w:rsidRPr="000641B0" w:rsidR="001A4423">
        <w:rPr>
          <w:rFonts w:cstheme="minorHAnsi"/>
          <w:szCs w:val="26"/>
        </w:rPr>
        <w:t>.)</w:t>
      </w:r>
      <w:r w:rsidRPr="000641B0" w:rsidR="00CA4A14">
        <w:rPr>
          <w:rFonts w:cstheme="minorHAnsi"/>
          <w:szCs w:val="26"/>
        </w:rPr>
        <w:t xml:space="preserve">  </w:t>
      </w:r>
      <w:r w:rsidRPr="000641B0" w:rsidR="007B112D">
        <w:rPr>
          <w:rFonts w:cstheme="minorHAnsi"/>
          <w:szCs w:val="26"/>
        </w:rPr>
        <w:t>Thus</w:t>
      </w:r>
      <w:r w:rsidRPr="000641B0" w:rsidR="00545D5A">
        <w:rPr>
          <w:rFonts w:cstheme="minorHAnsi"/>
          <w:szCs w:val="26"/>
        </w:rPr>
        <w:t xml:space="preserve">, </w:t>
      </w:r>
      <w:r w:rsidRPr="000641B0" w:rsidR="007B112D">
        <w:rPr>
          <w:rFonts w:cstheme="minorHAnsi"/>
          <w:szCs w:val="26"/>
        </w:rPr>
        <w:t xml:space="preserve">while in </w:t>
      </w:r>
      <w:r w:rsidRPr="000641B0" w:rsidR="007B112D">
        <w:rPr>
          <w:rFonts w:cstheme="minorHAnsi"/>
          <w:i/>
          <w:iCs/>
          <w:szCs w:val="26"/>
        </w:rPr>
        <w:t>Osborne</w:t>
      </w:r>
      <w:r w:rsidRPr="000641B0" w:rsidR="007B112D">
        <w:rPr>
          <w:rFonts w:cstheme="minorHAnsi"/>
          <w:szCs w:val="26"/>
        </w:rPr>
        <w:t xml:space="preserve"> the </w:t>
      </w:r>
      <w:r w:rsidRPr="000641B0" w:rsidR="00AE5C62">
        <w:rPr>
          <w:rFonts w:cstheme="minorHAnsi"/>
          <w:szCs w:val="26"/>
        </w:rPr>
        <w:t xml:space="preserve">Supreme Court concluded a defendant has no </w:t>
      </w:r>
      <w:r w:rsidRPr="000641B0" w:rsidR="00AE5C62">
        <w:rPr>
          <w:rFonts w:cstheme="minorHAnsi"/>
          <w:i/>
          <w:iCs/>
          <w:szCs w:val="26"/>
        </w:rPr>
        <w:t>Brady</w:t>
      </w:r>
      <w:r w:rsidRPr="000641B0" w:rsidR="00AE5C62">
        <w:rPr>
          <w:rFonts w:cstheme="minorHAnsi"/>
          <w:szCs w:val="26"/>
        </w:rPr>
        <w:t xml:space="preserve"> “right to have the State disclose exculpatory evidence that it </w:t>
      </w:r>
      <w:r w:rsidRPr="000641B0" w:rsidR="00AE5C62">
        <w:rPr>
          <w:rFonts w:cstheme="minorHAnsi"/>
          <w:i/>
          <w:iCs/>
          <w:szCs w:val="26"/>
        </w:rPr>
        <w:t>learns about after a final judgment</w:t>
      </w:r>
      <w:r w:rsidRPr="000641B0" w:rsidR="008205F2">
        <w:rPr>
          <w:rFonts w:cstheme="minorHAnsi"/>
          <w:szCs w:val="26"/>
        </w:rPr>
        <w:t>”</w:t>
      </w:r>
      <w:r w:rsidRPr="000641B0" w:rsidR="008205F2">
        <w:rPr>
          <w:rFonts w:cstheme="minorHAnsi"/>
          <w:i/>
          <w:iCs/>
          <w:szCs w:val="26"/>
        </w:rPr>
        <w:t xml:space="preserve"> </w:t>
      </w:r>
      <w:r w:rsidRPr="000641B0" w:rsidR="008205F2">
        <w:rPr>
          <w:rFonts w:cstheme="minorHAnsi"/>
          <w:szCs w:val="26"/>
        </w:rPr>
        <w:t>(</w:t>
      </w:r>
      <w:r w:rsidRPr="000641B0" w:rsidR="008205F2">
        <w:rPr>
          <w:rFonts w:cstheme="minorHAnsi"/>
          <w:i/>
          <w:iCs/>
          <w:szCs w:val="26"/>
        </w:rPr>
        <w:t>Harri</w:t>
      </w:r>
      <w:r w:rsidRPr="000641B0" w:rsidR="00D929A6">
        <w:rPr>
          <w:rFonts w:cstheme="minorHAnsi"/>
          <w:i/>
          <w:iCs/>
          <w:szCs w:val="26"/>
        </w:rPr>
        <w:t>s</w:t>
      </w:r>
      <w:r w:rsidRPr="000641B0" w:rsidR="00D929A6">
        <w:rPr>
          <w:rFonts w:cstheme="minorHAnsi"/>
          <w:szCs w:val="26"/>
        </w:rPr>
        <w:t>,</w:t>
      </w:r>
      <w:r w:rsidRPr="000641B0" w:rsidR="00D929A6">
        <w:rPr>
          <w:rFonts w:cstheme="minorHAnsi"/>
          <w:i/>
          <w:iCs/>
          <w:szCs w:val="26"/>
        </w:rPr>
        <w:t xml:space="preserve"> supra</w:t>
      </w:r>
      <w:r w:rsidRPr="000641B0" w:rsidR="000F113C">
        <w:rPr>
          <w:rFonts w:cstheme="minorHAnsi"/>
          <w:szCs w:val="26"/>
        </w:rPr>
        <w:t>,</w:t>
      </w:r>
      <w:r w:rsidR="00207C85">
        <w:rPr>
          <w:rFonts w:cstheme="minorHAnsi"/>
          <w:szCs w:val="26"/>
        </w:rPr>
        <w:t xml:space="preserve"> </w:t>
      </w:r>
      <w:r w:rsidR="009C67BC">
        <w:rPr>
          <w:rFonts w:cstheme="minorHAnsi"/>
          <w:szCs w:val="26"/>
        </w:rPr>
        <w:t>893 N.W.2d at p. 457</w:t>
      </w:r>
      <w:r w:rsidRPr="000641B0" w:rsidR="00937EB6">
        <w:rPr>
          <w:rFonts w:cstheme="minorHAnsi"/>
          <w:szCs w:val="26"/>
        </w:rPr>
        <w:t>, italics added</w:t>
      </w:r>
      <w:r w:rsidRPr="000641B0" w:rsidR="00545D5A">
        <w:rPr>
          <w:rFonts w:cstheme="minorHAnsi"/>
          <w:szCs w:val="26"/>
        </w:rPr>
        <w:t>)</w:t>
      </w:r>
      <w:r w:rsidRPr="000641B0" w:rsidR="003153BF">
        <w:rPr>
          <w:rFonts w:cstheme="minorHAnsi"/>
          <w:szCs w:val="26"/>
        </w:rPr>
        <w:t xml:space="preserve">, </w:t>
      </w:r>
      <w:r w:rsidRPr="000641B0" w:rsidR="00FE03F9">
        <w:rPr>
          <w:rFonts w:cstheme="minorHAnsi"/>
          <w:i/>
          <w:iCs/>
          <w:szCs w:val="26"/>
        </w:rPr>
        <w:t xml:space="preserve">Osborne </w:t>
      </w:r>
      <w:r w:rsidRPr="000641B0" w:rsidR="00FE03F9">
        <w:rPr>
          <w:rFonts w:cstheme="minorHAnsi"/>
          <w:szCs w:val="26"/>
        </w:rPr>
        <w:t xml:space="preserve">does not stand for the proposition that the Attorney General may constitutionally </w:t>
      </w:r>
      <w:r w:rsidRPr="000641B0" w:rsidR="00E944F0">
        <w:rPr>
          <w:rFonts w:cstheme="minorHAnsi"/>
          <w:szCs w:val="26"/>
        </w:rPr>
        <w:t xml:space="preserve">continue to </w:t>
      </w:r>
      <w:r w:rsidRPr="000641B0" w:rsidR="00FE03F9">
        <w:rPr>
          <w:rFonts w:cstheme="minorHAnsi"/>
          <w:szCs w:val="26"/>
        </w:rPr>
        <w:t xml:space="preserve">suppress material exculpatory evidence in habeas </w:t>
      </w:r>
      <w:r w:rsidR="00944610">
        <w:rPr>
          <w:rFonts w:cstheme="minorHAnsi"/>
          <w:szCs w:val="26"/>
        </w:rPr>
        <w:t xml:space="preserve">corpus </w:t>
      </w:r>
      <w:r w:rsidRPr="000641B0" w:rsidR="00FE03F9">
        <w:rPr>
          <w:rFonts w:cstheme="minorHAnsi"/>
          <w:szCs w:val="26"/>
        </w:rPr>
        <w:t>proceedings that was suppressed by a prosecutor at the time of trial.  (</w:t>
      </w:r>
      <w:r w:rsidRPr="000641B0" w:rsidR="00FE03F9">
        <w:rPr>
          <w:rFonts w:cstheme="minorHAnsi"/>
          <w:i/>
          <w:iCs/>
          <w:szCs w:val="26"/>
        </w:rPr>
        <w:t>Whitlock</w:t>
      </w:r>
      <w:r w:rsidRPr="000641B0" w:rsidR="00FE03F9">
        <w:rPr>
          <w:rFonts w:cstheme="minorHAnsi"/>
          <w:szCs w:val="26"/>
        </w:rPr>
        <w:t>,</w:t>
      </w:r>
      <w:r w:rsidRPr="000641B0" w:rsidR="00FE03F9">
        <w:rPr>
          <w:rFonts w:cstheme="minorHAnsi"/>
          <w:i/>
          <w:iCs/>
          <w:szCs w:val="26"/>
        </w:rPr>
        <w:t xml:space="preserve"> </w:t>
      </w:r>
      <w:r w:rsidRPr="000641B0" w:rsidR="00FE03F9">
        <w:rPr>
          <w:rFonts w:cstheme="minorHAnsi"/>
          <w:szCs w:val="26"/>
        </w:rPr>
        <w:t>at p.</w:t>
      </w:r>
      <w:r w:rsidRPr="000641B0" w:rsidR="00D47497">
        <w:rPr>
          <w:rFonts w:cstheme="minorHAnsi"/>
          <w:szCs w:val="26"/>
        </w:rPr>
        <w:t> </w:t>
      </w:r>
      <w:r w:rsidRPr="000641B0" w:rsidR="00FE03F9">
        <w:rPr>
          <w:rFonts w:cstheme="minorHAnsi"/>
          <w:szCs w:val="26"/>
        </w:rPr>
        <w:t>587; s</w:t>
      </w:r>
      <w:r w:rsidRPr="000641B0" w:rsidR="009A2D09">
        <w:rPr>
          <w:rFonts w:cstheme="minorHAnsi"/>
          <w:szCs w:val="26"/>
        </w:rPr>
        <w:t xml:space="preserve">ee also </w:t>
      </w:r>
      <w:r w:rsidRPr="000641B0" w:rsidR="009A2D09">
        <w:rPr>
          <w:rFonts w:cstheme="minorHAnsi"/>
          <w:i/>
          <w:iCs/>
          <w:szCs w:val="26"/>
        </w:rPr>
        <w:t>Thompson v. City of Chicago</w:t>
      </w:r>
      <w:r w:rsidRPr="000641B0" w:rsidR="009A2D09">
        <w:rPr>
          <w:rFonts w:cstheme="minorHAnsi"/>
          <w:b/>
          <w:bCs/>
          <w:szCs w:val="26"/>
        </w:rPr>
        <w:t xml:space="preserve"> </w:t>
      </w:r>
      <w:r w:rsidRPr="000641B0" w:rsidR="009A2D09">
        <w:rPr>
          <w:rFonts w:cstheme="minorHAnsi"/>
          <w:szCs w:val="26"/>
        </w:rPr>
        <w:t>(7th Cir. 2013) 722 F.3d 963, 972</w:t>
      </w:r>
      <w:r w:rsidRPr="000641B0" w:rsidR="009A2D09">
        <w:rPr>
          <w:rFonts w:cstheme="minorHAnsi"/>
          <w:b/>
          <w:bCs/>
          <w:szCs w:val="26"/>
        </w:rPr>
        <w:t xml:space="preserve"> </w:t>
      </w:r>
      <w:r w:rsidR="00713ABB">
        <w:rPr>
          <w:rFonts w:cstheme="minorHAnsi"/>
          <w:szCs w:val="26"/>
        </w:rPr>
        <w:t>[</w:t>
      </w:r>
      <w:r w:rsidRPr="000641B0" w:rsidR="009A2D09">
        <w:rPr>
          <w:rFonts w:cstheme="minorHAnsi"/>
          <w:szCs w:val="26"/>
        </w:rPr>
        <w:t xml:space="preserve">following </w:t>
      </w:r>
      <w:r w:rsidRPr="000641B0" w:rsidR="009A2D09">
        <w:rPr>
          <w:rFonts w:cstheme="minorHAnsi"/>
          <w:i/>
          <w:iCs/>
          <w:szCs w:val="26"/>
        </w:rPr>
        <w:t>Whitlock</w:t>
      </w:r>
      <w:r w:rsidRPr="00861954" w:rsidR="00713ABB">
        <w:rPr>
          <w:rFonts w:cstheme="minorHAnsi"/>
          <w:szCs w:val="26"/>
        </w:rPr>
        <w:t>]</w:t>
      </w:r>
      <w:r w:rsidRPr="000641B0" w:rsidR="009A2D09">
        <w:rPr>
          <w:rFonts w:cstheme="minorHAnsi"/>
          <w:szCs w:val="26"/>
        </w:rPr>
        <w:t>;</w:t>
      </w:r>
      <w:r w:rsidRPr="000641B0" w:rsidR="009A2D09">
        <w:rPr>
          <w:rFonts w:cstheme="minorHAnsi"/>
          <w:i/>
          <w:iCs/>
          <w:szCs w:val="26"/>
        </w:rPr>
        <w:t xml:space="preserve"> </w:t>
      </w:r>
      <w:bookmarkStart w:id="41" w:name="_Hlk115251202"/>
      <w:r w:rsidRPr="000641B0" w:rsidR="009A2D09">
        <w:rPr>
          <w:rFonts w:cstheme="minorHAnsi"/>
          <w:i/>
          <w:iCs/>
          <w:szCs w:val="26"/>
        </w:rPr>
        <w:t>Collins v. City of New York</w:t>
      </w:r>
      <w:r w:rsidR="00713ABB">
        <w:rPr>
          <w:rFonts w:cstheme="minorHAnsi"/>
          <w:szCs w:val="26"/>
        </w:rPr>
        <w:t xml:space="preserve"> (E.D.N.Y. 2013)</w:t>
      </w:r>
      <w:r w:rsidRPr="000641B0" w:rsidR="009A2D09">
        <w:rPr>
          <w:rFonts w:cstheme="minorHAnsi"/>
          <w:szCs w:val="26"/>
        </w:rPr>
        <w:t xml:space="preserve"> 923</w:t>
      </w:r>
      <w:r w:rsidR="005E7F4E">
        <w:rPr>
          <w:rFonts w:cstheme="minorHAnsi"/>
          <w:szCs w:val="26"/>
        </w:rPr>
        <w:t> </w:t>
      </w:r>
      <w:r w:rsidRPr="000641B0" w:rsidR="009A2D09">
        <w:rPr>
          <w:rFonts w:cstheme="minorHAnsi"/>
          <w:szCs w:val="26"/>
        </w:rPr>
        <w:t>F.Supp.2d 462, 474</w:t>
      </w:r>
      <w:bookmarkEnd w:id="41"/>
      <w:r w:rsidRPr="000641B0" w:rsidR="009A2D09">
        <w:rPr>
          <w:rFonts w:cstheme="minorHAnsi"/>
          <w:szCs w:val="26"/>
        </w:rPr>
        <w:t xml:space="preserve"> [“In</w:t>
      </w:r>
      <w:r w:rsidRPr="000641B0" w:rsidR="006E0BFD">
        <w:rPr>
          <w:rFonts w:cstheme="minorHAnsi"/>
          <w:szCs w:val="26"/>
        </w:rPr>
        <w:t xml:space="preserve"> </w:t>
      </w:r>
      <w:r w:rsidRPr="000641B0" w:rsidR="009A2D09">
        <w:rPr>
          <w:rFonts w:cstheme="minorHAnsi"/>
          <w:i/>
          <w:iCs/>
          <w:szCs w:val="26"/>
        </w:rPr>
        <w:t>Osborne</w:t>
      </w:r>
      <w:r w:rsidRPr="000641B0" w:rsidR="009A2D09">
        <w:rPr>
          <w:rFonts w:cstheme="minorHAnsi"/>
          <w:szCs w:val="26"/>
        </w:rPr>
        <w:t>,</w:t>
      </w:r>
      <w:r w:rsidRPr="000641B0" w:rsidR="006E0BFD">
        <w:rPr>
          <w:rFonts w:cstheme="minorHAnsi"/>
          <w:szCs w:val="26"/>
        </w:rPr>
        <w:t xml:space="preserve"> </w:t>
      </w:r>
      <w:r w:rsidR="00C92EB0">
        <w:rPr>
          <w:rFonts w:cstheme="minorHAnsi"/>
          <w:szCs w:val="26"/>
        </w:rPr>
        <w:t>[</w:t>
      </w:r>
      <w:r w:rsidRPr="000641B0" w:rsidR="00C92EB0">
        <w:rPr>
          <w:rFonts w:cstheme="minorHAnsi"/>
          <w:i/>
          <w:iCs/>
          <w:szCs w:val="26"/>
        </w:rPr>
        <w:t>supra</w:t>
      </w:r>
      <w:r w:rsidRPr="000641B0" w:rsidR="00C92EB0">
        <w:rPr>
          <w:rFonts w:cstheme="minorHAnsi"/>
          <w:szCs w:val="26"/>
        </w:rPr>
        <w:t>, 557 U.S. at p</w:t>
      </w:r>
      <w:r w:rsidR="00C92EB0">
        <w:rPr>
          <w:rFonts w:cstheme="minorHAnsi"/>
          <w:szCs w:val="26"/>
        </w:rPr>
        <w:t>ages</w:t>
      </w:r>
      <w:r w:rsidRPr="000641B0" w:rsidR="00C92EB0">
        <w:rPr>
          <w:rFonts w:cstheme="minorHAnsi"/>
          <w:szCs w:val="26"/>
        </w:rPr>
        <w:t> 68–69</w:t>
      </w:r>
      <w:r w:rsidR="00C92EB0">
        <w:rPr>
          <w:rFonts w:cstheme="minorHAnsi"/>
          <w:szCs w:val="26"/>
        </w:rPr>
        <w:t xml:space="preserve">,] </w:t>
      </w:r>
      <w:r w:rsidRPr="000641B0" w:rsidR="009A2D09">
        <w:rPr>
          <w:rFonts w:cstheme="minorHAnsi"/>
          <w:szCs w:val="26"/>
        </w:rPr>
        <w:t>the Supreme Court held that</w:t>
      </w:r>
      <w:r w:rsidRPr="000641B0" w:rsidR="006E0BFD">
        <w:rPr>
          <w:rFonts w:cstheme="minorHAnsi"/>
          <w:szCs w:val="26"/>
        </w:rPr>
        <w:t xml:space="preserve"> </w:t>
      </w:r>
      <w:r w:rsidRPr="000641B0" w:rsidR="009A2D09">
        <w:rPr>
          <w:rFonts w:cstheme="minorHAnsi"/>
          <w:i/>
          <w:iCs/>
          <w:szCs w:val="26"/>
        </w:rPr>
        <w:t>Brady</w:t>
      </w:r>
      <w:r w:rsidRPr="000641B0" w:rsidR="006E0BFD">
        <w:rPr>
          <w:rFonts w:cstheme="minorHAnsi"/>
          <w:szCs w:val="26"/>
        </w:rPr>
        <w:t xml:space="preserve"> </w:t>
      </w:r>
      <w:r w:rsidRPr="000641B0" w:rsidR="009A2D09">
        <w:rPr>
          <w:rFonts w:cstheme="minorHAnsi"/>
          <w:szCs w:val="26"/>
        </w:rPr>
        <w:t>does not require disclosure of exculpatory evidence</w:t>
      </w:r>
      <w:r w:rsidRPr="000641B0" w:rsidR="00BA7DAD">
        <w:rPr>
          <w:rFonts w:cstheme="minorHAnsi"/>
          <w:szCs w:val="26"/>
        </w:rPr>
        <w:t> </w:t>
      </w:r>
      <w:r w:rsidRPr="000641B0" w:rsidR="00713ABB">
        <w:rPr>
          <w:rFonts w:cstheme="minorHAnsi"/>
          <w:szCs w:val="26"/>
        </w:rPr>
        <w:t>—</w:t>
      </w:r>
      <w:r w:rsidR="00713ABB">
        <w:rPr>
          <w:rFonts w:cstheme="minorHAnsi"/>
          <w:szCs w:val="26"/>
        </w:rPr>
        <w:t xml:space="preserve"> </w:t>
      </w:r>
      <w:r w:rsidRPr="000641B0" w:rsidR="009A2D09">
        <w:rPr>
          <w:rFonts w:cstheme="minorHAnsi"/>
          <w:szCs w:val="26"/>
        </w:rPr>
        <w:t>such as DNA testing</w:t>
      </w:r>
      <w:r w:rsidRPr="000641B0" w:rsidR="00BA7DAD">
        <w:rPr>
          <w:rFonts w:cstheme="minorHAnsi"/>
          <w:szCs w:val="26"/>
        </w:rPr>
        <w:t> </w:t>
      </w:r>
      <w:r w:rsidRPr="000641B0" w:rsidR="009A2D09">
        <w:rPr>
          <w:rFonts w:cstheme="minorHAnsi"/>
          <w:szCs w:val="26"/>
        </w:rPr>
        <w:t>—</w:t>
      </w:r>
      <w:r w:rsidR="00077A72">
        <w:rPr>
          <w:rFonts w:cstheme="minorHAnsi"/>
          <w:szCs w:val="26"/>
        </w:rPr>
        <w:t xml:space="preserve"> </w:t>
      </w:r>
      <w:r w:rsidRPr="000641B0" w:rsidR="009A2D09">
        <w:rPr>
          <w:rFonts w:cstheme="minorHAnsi"/>
          <w:szCs w:val="26"/>
        </w:rPr>
        <w:t>that was or could be created after trial.</w:t>
      </w:r>
      <w:r w:rsidRPr="000641B0" w:rsidR="006E0BFD">
        <w:rPr>
          <w:rFonts w:cstheme="minorHAnsi"/>
          <w:szCs w:val="26"/>
        </w:rPr>
        <w:t xml:space="preserve"> </w:t>
      </w:r>
      <w:r w:rsidRPr="000641B0" w:rsidR="00BA7DAD">
        <w:rPr>
          <w:rFonts w:cstheme="minorHAnsi"/>
          <w:szCs w:val="26"/>
        </w:rPr>
        <w:t xml:space="preserve"> </w:t>
      </w:r>
      <w:r w:rsidR="00C92EB0">
        <w:rPr>
          <w:rFonts w:cstheme="minorHAnsi"/>
          <w:szCs w:val="26"/>
        </w:rPr>
        <w:t xml:space="preserve">[Citation.]  </w:t>
      </w:r>
      <w:r w:rsidRPr="000641B0" w:rsidR="009A2D09">
        <w:rPr>
          <w:rFonts w:cstheme="minorHAnsi"/>
          <w:szCs w:val="26"/>
        </w:rPr>
        <w:t>Since Collins’s</w:t>
      </w:r>
      <w:r w:rsidRPr="000641B0" w:rsidR="006E0BFD">
        <w:rPr>
          <w:rFonts w:cstheme="minorHAnsi"/>
          <w:szCs w:val="26"/>
        </w:rPr>
        <w:t xml:space="preserve"> </w:t>
      </w:r>
      <w:r w:rsidRPr="000641B0" w:rsidR="009A2D09">
        <w:rPr>
          <w:rFonts w:cstheme="minorHAnsi"/>
          <w:i/>
          <w:iCs/>
          <w:szCs w:val="26"/>
        </w:rPr>
        <w:t>Brady</w:t>
      </w:r>
      <w:r w:rsidRPr="000641B0" w:rsidR="006E0BFD">
        <w:rPr>
          <w:rFonts w:cstheme="minorHAnsi"/>
          <w:szCs w:val="26"/>
        </w:rPr>
        <w:t xml:space="preserve"> </w:t>
      </w:r>
      <w:r w:rsidRPr="000641B0" w:rsidR="009A2D09">
        <w:rPr>
          <w:rFonts w:cstheme="minorHAnsi"/>
          <w:szCs w:val="26"/>
        </w:rPr>
        <w:t>claim involves nondisclosure of evidence in existence at the time of trial,</w:t>
      </w:r>
      <w:r w:rsidRPr="000641B0" w:rsidR="006E0BFD">
        <w:rPr>
          <w:rFonts w:cstheme="minorHAnsi"/>
          <w:szCs w:val="26"/>
        </w:rPr>
        <w:t xml:space="preserve"> </w:t>
      </w:r>
      <w:r w:rsidRPr="000641B0" w:rsidR="009A2D09">
        <w:rPr>
          <w:rFonts w:cstheme="minorHAnsi"/>
          <w:i/>
          <w:iCs/>
          <w:szCs w:val="26"/>
        </w:rPr>
        <w:t>Osborne</w:t>
      </w:r>
      <w:r w:rsidRPr="000641B0" w:rsidR="006E0BFD">
        <w:rPr>
          <w:rFonts w:cstheme="minorHAnsi"/>
          <w:szCs w:val="26"/>
        </w:rPr>
        <w:t xml:space="preserve"> </w:t>
      </w:r>
      <w:r w:rsidRPr="000641B0" w:rsidR="009A2D09">
        <w:rPr>
          <w:rFonts w:cstheme="minorHAnsi"/>
          <w:szCs w:val="26"/>
        </w:rPr>
        <w:t>does not apply”]</w:t>
      </w:r>
      <w:r w:rsidRPr="000641B0" w:rsidR="00954DC5">
        <w:rPr>
          <w:rFonts w:cstheme="minorHAnsi"/>
          <w:szCs w:val="26"/>
        </w:rPr>
        <w:t xml:space="preserve">.) </w:t>
      </w:r>
      <w:r w:rsidRPr="000641B0" w:rsidR="00A57493">
        <w:rPr>
          <w:rFonts w:cstheme="minorHAnsi"/>
          <w:szCs w:val="26"/>
        </w:rPr>
        <w:t xml:space="preserve"> </w:t>
      </w:r>
      <w:r w:rsidRPr="000641B0" w:rsidR="008205F2">
        <w:rPr>
          <w:rFonts w:cstheme="minorHAnsi"/>
          <w:szCs w:val="26"/>
        </w:rPr>
        <w:t xml:space="preserve">In sum, </w:t>
      </w:r>
      <w:r w:rsidRPr="000641B0" w:rsidR="00275F34">
        <w:rPr>
          <w:rFonts w:cstheme="minorHAnsi"/>
          <w:szCs w:val="26"/>
        </w:rPr>
        <w:t>a</w:t>
      </w:r>
      <w:r w:rsidRPr="000641B0" w:rsidR="00837CF9">
        <w:rPr>
          <w:rFonts w:cstheme="minorHAnsi"/>
          <w:szCs w:val="26"/>
        </w:rPr>
        <w:t>s w</w:t>
      </w:r>
      <w:r w:rsidRPr="000641B0" w:rsidR="00437F0F">
        <w:rPr>
          <w:rFonts w:cstheme="minorHAnsi"/>
          <w:szCs w:val="26"/>
        </w:rPr>
        <w:t>as true of</w:t>
      </w:r>
      <w:r w:rsidRPr="000641B0" w:rsidR="00837CF9">
        <w:rPr>
          <w:rFonts w:cstheme="minorHAnsi"/>
          <w:szCs w:val="26"/>
        </w:rPr>
        <w:t xml:space="preserve"> the </w:t>
      </w:r>
      <w:r w:rsidR="00C92EB0">
        <w:rPr>
          <w:rFonts w:cstheme="minorHAnsi"/>
          <w:szCs w:val="26"/>
        </w:rPr>
        <w:t xml:space="preserve">police official </w:t>
      </w:r>
      <w:r w:rsidRPr="000641B0" w:rsidR="00837CF9">
        <w:rPr>
          <w:rFonts w:cstheme="minorHAnsi"/>
          <w:szCs w:val="26"/>
        </w:rPr>
        <w:t xml:space="preserve">defendants in </w:t>
      </w:r>
      <w:r w:rsidRPr="000641B0" w:rsidR="00837CF9">
        <w:rPr>
          <w:rFonts w:cstheme="minorHAnsi"/>
          <w:i/>
          <w:iCs/>
          <w:szCs w:val="26"/>
        </w:rPr>
        <w:t>Whitlock</w:t>
      </w:r>
      <w:r w:rsidRPr="000641B0" w:rsidR="00837CF9">
        <w:rPr>
          <w:rFonts w:cstheme="minorHAnsi"/>
          <w:szCs w:val="26"/>
        </w:rPr>
        <w:t xml:space="preserve">, </w:t>
      </w:r>
      <w:r w:rsidRPr="000641B0" w:rsidR="00D14531">
        <w:rPr>
          <w:rFonts w:cstheme="minorHAnsi"/>
          <w:szCs w:val="26"/>
        </w:rPr>
        <w:t xml:space="preserve">we </w:t>
      </w:r>
      <w:r w:rsidR="00C92EB0">
        <w:rPr>
          <w:rFonts w:cstheme="minorHAnsi"/>
          <w:szCs w:val="26"/>
        </w:rPr>
        <w:t xml:space="preserve">similarly </w:t>
      </w:r>
      <w:r w:rsidRPr="000641B0" w:rsidR="00D14531">
        <w:rPr>
          <w:rFonts w:cstheme="minorHAnsi"/>
          <w:szCs w:val="26"/>
        </w:rPr>
        <w:t xml:space="preserve">conclude that </w:t>
      </w:r>
      <w:r w:rsidRPr="000641B0" w:rsidR="00837CF9">
        <w:rPr>
          <w:rFonts w:cstheme="minorHAnsi"/>
          <w:szCs w:val="26"/>
        </w:rPr>
        <w:t xml:space="preserve">the Attorney General reads </w:t>
      </w:r>
      <w:r w:rsidRPr="000641B0" w:rsidR="00837CF9">
        <w:rPr>
          <w:rFonts w:cstheme="minorHAnsi"/>
          <w:i/>
          <w:iCs/>
          <w:szCs w:val="26"/>
        </w:rPr>
        <w:t xml:space="preserve">Osborne </w:t>
      </w:r>
      <w:r w:rsidRPr="000641B0" w:rsidR="00837CF9">
        <w:rPr>
          <w:rFonts w:cstheme="minorHAnsi"/>
          <w:szCs w:val="26"/>
        </w:rPr>
        <w:t xml:space="preserve">too broadly. </w:t>
      </w:r>
      <w:r w:rsidRPr="000641B0" w:rsidR="00750078">
        <w:rPr>
          <w:rFonts w:cstheme="minorHAnsi"/>
          <w:szCs w:val="26"/>
        </w:rPr>
        <w:t xml:space="preserve"> </w:t>
      </w:r>
    </w:p>
    <w:p w:rsidR="003A1B10" w:rsidRPr="000641B0" w:rsidP="000641B0" w14:paraId="57E7B927" w14:textId="60A29F85">
      <w:pPr>
        <w:ind w:firstLine="720"/>
        <w:rPr>
          <w:rFonts w:cstheme="minorHAnsi"/>
          <w:szCs w:val="26"/>
        </w:rPr>
      </w:pPr>
      <w:r w:rsidRPr="000641B0">
        <w:rPr>
          <w:rFonts w:cstheme="minorHAnsi"/>
          <w:szCs w:val="26"/>
        </w:rPr>
        <w:t>Nor are we persuaded by the Attorney General’s argument</w:t>
      </w:r>
      <w:r w:rsidRPr="000641B0" w:rsidR="002D4749">
        <w:rPr>
          <w:rFonts w:cstheme="minorHAnsi"/>
          <w:szCs w:val="26"/>
        </w:rPr>
        <w:t xml:space="preserve"> that</w:t>
      </w:r>
      <w:r w:rsidRPr="000641B0" w:rsidR="00AA0F25">
        <w:rPr>
          <w:rFonts w:cstheme="minorHAnsi"/>
          <w:szCs w:val="26"/>
        </w:rPr>
        <w:t xml:space="preserve"> </w:t>
      </w:r>
      <w:r w:rsidRPr="000641B0" w:rsidR="002D4749">
        <w:rPr>
          <w:rFonts w:cstheme="minorHAnsi"/>
          <w:szCs w:val="26"/>
        </w:rPr>
        <w:t xml:space="preserve">“regardless of the applicability of </w:t>
      </w:r>
      <w:r w:rsidRPr="000641B0" w:rsidR="002D4749">
        <w:rPr>
          <w:rFonts w:cstheme="minorHAnsi"/>
          <w:i/>
          <w:iCs/>
          <w:szCs w:val="26"/>
        </w:rPr>
        <w:t xml:space="preserve">Brady </w:t>
      </w:r>
      <w:r w:rsidRPr="000641B0" w:rsidR="002D4749">
        <w:rPr>
          <w:rFonts w:cstheme="minorHAnsi"/>
          <w:szCs w:val="26"/>
        </w:rPr>
        <w:t>postconviction</w:t>
      </w:r>
      <w:r w:rsidRPr="000641B0" w:rsidR="005E7F4E">
        <w:rPr>
          <w:rFonts w:cstheme="minorHAnsi"/>
          <w:szCs w:val="26"/>
        </w:rPr>
        <w:t>,</w:t>
      </w:r>
      <w:r w:rsidR="005E7F4E">
        <w:rPr>
          <w:rFonts w:cstheme="minorHAnsi"/>
          <w:szCs w:val="26"/>
        </w:rPr>
        <w:t> </w:t>
      </w:r>
      <w:r w:rsidRPr="000641B0" w:rsidR="006F4588">
        <w:rPr>
          <w:rFonts w:cstheme="minorHAnsi"/>
          <w:szCs w:val="26"/>
        </w:rPr>
        <w:t>.</w:t>
      </w:r>
      <w:r w:rsidR="005E7F4E">
        <w:rPr>
          <w:rFonts w:cstheme="minorHAnsi"/>
          <w:szCs w:val="26"/>
        </w:rPr>
        <w:t> </w:t>
      </w:r>
      <w:r w:rsidRPr="000641B0" w:rsidR="006F4588">
        <w:rPr>
          <w:rFonts w:cstheme="minorHAnsi"/>
          <w:szCs w:val="26"/>
        </w:rPr>
        <w:t>.</w:t>
      </w:r>
      <w:r w:rsidR="005E7F4E">
        <w:rPr>
          <w:rFonts w:cstheme="minorHAnsi"/>
          <w:szCs w:val="26"/>
        </w:rPr>
        <w:t> </w:t>
      </w:r>
      <w:r w:rsidRPr="000641B0" w:rsidR="006F4588">
        <w:rPr>
          <w:rFonts w:cstheme="minorHAnsi"/>
          <w:szCs w:val="26"/>
        </w:rPr>
        <w:t>.</w:t>
      </w:r>
      <w:r w:rsidR="005E7F4E">
        <w:rPr>
          <w:rFonts w:cstheme="minorHAnsi"/>
          <w:szCs w:val="26"/>
        </w:rPr>
        <w:t> </w:t>
      </w:r>
      <w:r w:rsidRPr="000641B0" w:rsidR="002D4749">
        <w:rPr>
          <w:rFonts w:cstheme="minorHAnsi"/>
          <w:szCs w:val="26"/>
        </w:rPr>
        <w:t>logic and practicality</w:t>
      </w:r>
      <w:r w:rsidRPr="000641B0" w:rsidR="00AA0F25">
        <w:rPr>
          <w:rFonts w:cstheme="minorHAnsi"/>
          <w:szCs w:val="26"/>
        </w:rPr>
        <w:t>” dictate</w:t>
      </w:r>
      <w:r w:rsidRPr="000641B0" w:rsidR="002D4749">
        <w:rPr>
          <w:rFonts w:cstheme="minorHAnsi"/>
          <w:szCs w:val="26"/>
        </w:rPr>
        <w:t xml:space="preserve"> that </w:t>
      </w:r>
      <w:r w:rsidRPr="000641B0" w:rsidR="00AA0F25">
        <w:rPr>
          <w:rFonts w:cstheme="minorHAnsi"/>
          <w:szCs w:val="26"/>
        </w:rPr>
        <w:t xml:space="preserve">there </w:t>
      </w:r>
      <w:r w:rsidRPr="000641B0" w:rsidR="002D4749">
        <w:rPr>
          <w:rFonts w:cstheme="minorHAnsi"/>
          <w:szCs w:val="26"/>
        </w:rPr>
        <w:t xml:space="preserve">can be no ongoing </w:t>
      </w:r>
      <w:r w:rsidRPr="000641B0" w:rsidR="002D4749">
        <w:rPr>
          <w:rFonts w:cstheme="minorHAnsi"/>
          <w:i/>
          <w:iCs/>
          <w:szCs w:val="26"/>
        </w:rPr>
        <w:t>Brady</w:t>
      </w:r>
      <w:r w:rsidRPr="000641B0" w:rsidR="002D4749">
        <w:rPr>
          <w:rFonts w:cstheme="minorHAnsi"/>
          <w:szCs w:val="26"/>
        </w:rPr>
        <w:t xml:space="preserve"> violation once a petitioner files a petition</w:t>
      </w:r>
      <w:r w:rsidR="00944610">
        <w:rPr>
          <w:rFonts w:cstheme="minorHAnsi"/>
          <w:szCs w:val="26"/>
        </w:rPr>
        <w:t xml:space="preserve"> for writ of habeas corpus</w:t>
      </w:r>
      <w:r w:rsidRPr="000641B0" w:rsidR="002D4749">
        <w:rPr>
          <w:rFonts w:cstheme="minorHAnsi"/>
          <w:szCs w:val="26"/>
        </w:rPr>
        <w:t xml:space="preserve"> claiming a </w:t>
      </w:r>
      <w:r w:rsidRPr="000641B0" w:rsidR="002D4749">
        <w:rPr>
          <w:rFonts w:cstheme="minorHAnsi"/>
          <w:i/>
          <w:iCs/>
          <w:szCs w:val="26"/>
        </w:rPr>
        <w:t xml:space="preserve">Brady </w:t>
      </w:r>
      <w:r w:rsidRPr="000641B0" w:rsidR="002D4749">
        <w:rPr>
          <w:rFonts w:cstheme="minorHAnsi"/>
          <w:szCs w:val="26"/>
        </w:rPr>
        <w:t>violation.</w:t>
      </w:r>
      <w:r w:rsidRPr="000641B0" w:rsidR="00A3321A">
        <w:rPr>
          <w:rFonts w:cstheme="minorHAnsi"/>
          <w:szCs w:val="26"/>
        </w:rPr>
        <w:t xml:space="preserve">  </w:t>
      </w:r>
      <w:r w:rsidRPr="000641B0" w:rsidR="00D3716A">
        <w:rPr>
          <w:rFonts w:cstheme="minorHAnsi"/>
          <w:szCs w:val="26"/>
        </w:rPr>
        <w:t>As for lo</w:t>
      </w:r>
      <w:r w:rsidRPr="000641B0" w:rsidR="00311D54">
        <w:rPr>
          <w:rFonts w:cstheme="minorHAnsi"/>
          <w:szCs w:val="26"/>
        </w:rPr>
        <w:t xml:space="preserve">gic, the Attorney General </w:t>
      </w:r>
      <w:r w:rsidRPr="000641B0" w:rsidR="007F6C5D">
        <w:rPr>
          <w:rFonts w:cstheme="minorHAnsi"/>
          <w:szCs w:val="26"/>
        </w:rPr>
        <w:t>reasons,</w:t>
      </w:r>
      <w:r w:rsidRPr="000641B0" w:rsidR="00311D54">
        <w:rPr>
          <w:rFonts w:cstheme="minorHAnsi"/>
          <w:szCs w:val="26"/>
        </w:rPr>
        <w:t xml:space="preserve"> </w:t>
      </w:r>
      <w:r w:rsidRPr="000641B0" w:rsidR="00D3716A">
        <w:rPr>
          <w:rFonts w:cstheme="minorHAnsi"/>
          <w:szCs w:val="26"/>
        </w:rPr>
        <w:t>“</w:t>
      </w:r>
      <w:r w:rsidRPr="000641B0" w:rsidR="00942BB0">
        <w:rPr>
          <w:rFonts w:cstheme="minorHAnsi"/>
          <w:szCs w:val="26"/>
        </w:rPr>
        <w:t>T</w:t>
      </w:r>
      <w:r w:rsidRPr="000641B0" w:rsidR="00D3716A">
        <w:rPr>
          <w:rFonts w:cstheme="minorHAnsi"/>
          <w:szCs w:val="26"/>
        </w:rPr>
        <w:t>he very allegation that given information was suppressed means that the petitioner is now aware of the evidence, which is no longer suppressed.</w:t>
      </w:r>
      <w:r w:rsidRPr="000641B0" w:rsidR="007F6C5D">
        <w:rPr>
          <w:rFonts w:cstheme="minorHAnsi"/>
          <w:szCs w:val="26"/>
        </w:rPr>
        <w:t>”</w:t>
      </w:r>
      <w:r w:rsidRPr="000641B0" w:rsidR="006C5610">
        <w:rPr>
          <w:rFonts w:cstheme="minorHAnsi"/>
          <w:szCs w:val="26"/>
        </w:rPr>
        <w:t xml:space="preserve"> </w:t>
      </w:r>
      <w:r w:rsidRPr="000641B0" w:rsidR="00BA7DAD">
        <w:rPr>
          <w:rFonts w:cstheme="minorHAnsi"/>
          <w:szCs w:val="26"/>
        </w:rPr>
        <w:t xml:space="preserve"> </w:t>
      </w:r>
      <w:r w:rsidRPr="000641B0" w:rsidR="00315E6A">
        <w:rPr>
          <w:rFonts w:cstheme="minorHAnsi"/>
          <w:szCs w:val="26"/>
        </w:rPr>
        <w:t xml:space="preserve">This contention is unpersuasive because the mere assertion of a </w:t>
      </w:r>
      <w:r w:rsidRPr="000641B0" w:rsidR="00315E6A">
        <w:rPr>
          <w:rFonts w:cstheme="minorHAnsi"/>
          <w:i/>
          <w:iCs/>
          <w:szCs w:val="26"/>
        </w:rPr>
        <w:t>Brady</w:t>
      </w:r>
      <w:r w:rsidRPr="000641B0" w:rsidR="00315E6A">
        <w:rPr>
          <w:rFonts w:cstheme="minorHAnsi"/>
          <w:szCs w:val="26"/>
        </w:rPr>
        <w:t xml:space="preserve"> claim does not </w:t>
      </w:r>
      <w:r w:rsidRPr="000641B0" w:rsidR="00BA7DAD">
        <w:rPr>
          <w:rFonts w:cstheme="minorHAnsi"/>
          <w:szCs w:val="26"/>
        </w:rPr>
        <w:t xml:space="preserve">always </w:t>
      </w:r>
      <w:r w:rsidRPr="000641B0" w:rsidR="00315E6A">
        <w:rPr>
          <w:rFonts w:cstheme="minorHAnsi"/>
          <w:szCs w:val="26"/>
        </w:rPr>
        <w:t xml:space="preserve">demonstrate the petitioner has </w:t>
      </w:r>
      <w:r w:rsidRPr="000641B0" w:rsidR="00BA7DAD">
        <w:rPr>
          <w:rFonts w:cstheme="minorHAnsi"/>
          <w:szCs w:val="26"/>
        </w:rPr>
        <w:t xml:space="preserve">sufficient direct or concrete </w:t>
      </w:r>
      <w:r w:rsidRPr="000641B0" w:rsidR="00315E6A">
        <w:rPr>
          <w:rFonts w:cstheme="minorHAnsi"/>
          <w:szCs w:val="26"/>
        </w:rPr>
        <w:t xml:space="preserve">evidence to support </w:t>
      </w:r>
      <w:r w:rsidR="004D6882">
        <w:rPr>
          <w:rFonts w:cstheme="minorHAnsi"/>
          <w:szCs w:val="26"/>
        </w:rPr>
        <w:t xml:space="preserve">the </w:t>
      </w:r>
      <w:r w:rsidRPr="000641B0" w:rsidR="00315E6A">
        <w:rPr>
          <w:rFonts w:cstheme="minorHAnsi"/>
          <w:szCs w:val="26"/>
        </w:rPr>
        <w:t xml:space="preserve">allegations.  </w:t>
      </w:r>
      <w:r w:rsidRPr="000641B0" w:rsidR="00BB3C19">
        <w:rPr>
          <w:rFonts w:cstheme="minorHAnsi"/>
          <w:szCs w:val="26"/>
        </w:rPr>
        <w:t>O</w:t>
      </w:r>
      <w:r w:rsidRPr="000641B0" w:rsidR="000D60A0">
        <w:rPr>
          <w:rFonts w:cstheme="minorHAnsi"/>
          <w:szCs w:val="26"/>
        </w:rPr>
        <w:t xml:space="preserve">ften it is through habeas </w:t>
      </w:r>
      <w:r w:rsidR="00944610">
        <w:rPr>
          <w:rFonts w:cstheme="minorHAnsi"/>
          <w:szCs w:val="26"/>
        </w:rPr>
        <w:t xml:space="preserve">corpus </w:t>
      </w:r>
      <w:r w:rsidRPr="000641B0" w:rsidR="000D60A0">
        <w:rPr>
          <w:rFonts w:cstheme="minorHAnsi"/>
          <w:szCs w:val="26"/>
        </w:rPr>
        <w:t xml:space="preserve">proceedings, that </w:t>
      </w:r>
      <w:r w:rsidRPr="000641B0" w:rsidR="006E58DA">
        <w:rPr>
          <w:rFonts w:cstheme="minorHAnsi"/>
          <w:szCs w:val="26"/>
        </w:rPr>
        <w:t xml:space="preserve">such evidence is revealed. </w:t>
      </w:r>
      <w:r w:rsidRPr="000641B0" w:rsidR="00313877">
        <w:rPr>
          <w:rFonts w:cstheme="minorHAnsi"/>
          <w:szCs w:val="26"/>
        </w:rPr>
        <w:t xml:space="preserve"> </w:t>
      </w:r>
      <w:r w:rsidRPr="000641B0" w:rsidR="006E58DA">
        <w:rPr>
          <w:rFonts w:cstheme="minorHAnsi"/>
          <w:szCs w:val="26"/>
        </w:rPr>
        <w:t xml:space="preserve">(See, e.g., </w:t>
      </w:r>
      <w:bookmarkStart w:id="42" w:name="_Hlk115251232"/>
      <w:r w:rsidRPr="000641B0" w:rsidR="00D10BFC">
        <w:rPr>
          <w:rFonts w:cstheme="minorHAnsi"/>
          <w:i/>
          <w:iCs/>
          <w:szCs w:val="26"/>
        </w:rPr>
        <w:t>Banks</w:t>
      </w:r>
      <w:r w:rsidRPr="000641B0" w:rsidR="00D10BFC">
        <w:rPr>
          <w:rFonts w:cstheme="minorHAnsi"/>
          <w:szCs w:val="26"/>
        </w:rPr>
        <w:t>,</w:t>
      </w:r>
      <w:r w:rsidRPr="000641B0" w:rsidR="00D10BFC">
        <w:rPr>
          <w:rFonts w:cstheme="minorHAnsi"/>
          <w:i/>
          <w:iCs/>
          <w:szCs w:val="26"/>
        </w:rPr>
        <w:t xml:space="preserve"> supra</w:t>
      </w:r>
      <w:r w:rsidRPr="000641B0" w:rsidR="00D10BFC">
        <w:rPr>
          <w:rFonts w:cstheme="minorHAnsi"/>
          <w:szCs w:val="26"/>
        </w:rPr>
        <w:t>, 540 U.S. at pp. 682</w:t>
      </w:r>
      <w:r w:rsidR="00D10BFC">
        <w:rPr>
          <w:bCs/>
        </w:rPr>
        <w:t xml:space="preserve">, </w:t>
      </w:r>
      <w:r w:rsidRPr="000641B0" w:rsidR="00D10BFC">
        <w:rPr>
          <w:rFonts w:cstheme="minorHAnsi"/>
          <w:szCs w:val="26"/>
        </w:rPr>
        <w:t xml:space="preserve">685 [noting that </w:t>
      </w:r>
      <w:r w:rsidR="00D10BFC">
        <w:rPr>
          <w:rFonts w:cstheme="minorHAnsi"/>
          <w:szCs w:val="26"/>
        </w:rPr>
        <w:t xml:space="preserve">the </w:t>
      </w:r>
      <w:r w:rsidRPr="000641B0" w:rsidR="00D10BFC">
        <w:rPr>
          <w:rFonts w:cstheme="minorHAnsi"/>
          <w:szCs w:val="26"/>
        </w:rPr>
        <w:t xml:space="preserve">petitioner alleged in </w:t>
      </w:r>
      <w:r w:rsidR="00D10BFC">
        <w:rPr>
          <w:rFonts w:cstheme="minorHAnsi"/>
          <w:szCs w:val="26"/>
        </w:rPr>
        <w:t xml:space="preserve">a </w:t>
      </w:r>
      <w:r w:rsidRPr="000641B0" w:rsidR="00D10BFC">
        <w:rPr>
          <w:rFonts w:cstheme="minorHAnsi"/>
          <w:szCs w:val="26"/>
        </w:rPr>
        <w:t xml:space="preserve">habeas </w:t>
      </w:r>
      <w:r w:rsidR="00D10BFC">
        <w:rPr>
          <w:rFonts w:cstheme="minorHAnsi"/>
          <w:szCs w:val="26"/>
        </w:rPr>
        <w:t xml:space="preserve">corpus </w:t>
      </w:r>
      <w:r w:rsidRPr="000641B0" w:rsidR="00D10BFC">
        <w:rPr>
          <w:rFonts w:cstheme="minorHAnsi"/>
          <w:szCs w:val="26"/>
        </w:rPr>
        <w:t xml:space="preserve">proceeding “ ‘upon information and belief’ ” that prosecution failed to disclose witness’s identity as an informant, and that, several years later, in a habeas </w:t>
      </w:r>
      <w:r w:rsidR="00D10BFC">
        <w:rPr>
          <w:rFonts w:cstheme="minorHAnsi"/>
          <w:szCs w:val="26"/>
        </w:rPr>
        <w:t xml:space="preserve">corpus </w:t>
      </w:r>
      <w:r w:rsidRPr="000641B0" w:rsidR="00D10BFC">
        <w:rPr>
          <w:rFonts w:cstheme="minorHAnsi"/>
          <w:szCs w:val="26"/>
        </w:rPr>
        <w:t>evidentiary hearing, a deputy sheriff “acknowledged, for the first time, that [the witness] was an informant”]</w:t>
      </w:r>
      <w:r w:rsidR="00D10BFC">
        <w:rPr>
          <w:rFonts w:cstheme="minorHAnsi"/>
          <w:szCs w:val="26"/>
        </w:rPr>
        <w:t xml:space="preserve">; </w:t>
      </w:r>
      <w:r w:rsidRPr="000641B0" w:rsidR="00064286">
        <w:rPr>
          <w:rFonts w:cstheme="minorHAnsi"/>
          <w:i/>
          <w:iCs/>
          <w:szCs w:val="26"/>
        </w:rPr>
        <w:t>In re Bacigalupo</w:t>
      </w:r>
      <w:r w:rsidRPr="000641B0" w:rsidR="00064286">
        <w:rPr>
          <w:rFonts w:cstheme="minorHAnsi"/>
          <w:szCs w:val="26"/>
        </w:rPr>
        <w:t xml:space="preserve"> (2012) 55</w:t>
      </w:r>
      <w:r w:rsidR="00AA2432">
        <w:rPr>
          <w:rFonts w:cstheme="minorHAnsi"/>
          <w:szCs w:val="26"/>
        </w:rPr>
        <w:t> </w:t>
      </w:r>
      <w:r w:rsidRPr="000641B0" w:rsidR="00064286">
        <w:rPr>
          <w:rFonts w:cstheme="minorHAnsi"/>
          <w:szCs w:val="26"/>
        </w:rPr>
        <w:t xml:space="preserve">Cal.4th 312, 316 </w:t>
      </w:r>
      <w:bookmarkEnd w:id="42"/>
      <w:r w:rsidRPr="000641B0" w:rsidR="00064286">
        <w:rPr>
          <w:rFonts w:cstheme="minorHAnsi"/>
          <w:szCs w:val="26"/>
        </w:rPr>
        <w:t>[describing reference proceeding that spanned “several hearings over a three-year period,” and during which “17 witnesses were called</w:t>
      </w:r>
      <w:r w:rsidRPr="000641B0" w:rsidR="005E1AC8">
        <w:rPr>
          <w:rFonts w:cstheme="minorHAnsi"/>
          <w:szCs w:val="26"/>
        </w:rPr>
        <w:t>” to determine whether prosecution failed to disclose information it obtained from a confidential informant</w:t>
      </w:r>
      <w:r w:rsidRPr="000641B0" w:rsidR="00064286">
        <w:rPr>
          <w:rFonts w:cstheme="minorHAnsi"/>
          <w:szCs w:val="26"/>
        </w:rPr>
        <w:t>]</w:t>
      </w:r>
      <w:r w:rsidRPr="000641B0" w:rsidR="003B37D0">
        <w:rPr>
          <w:rFonts w:cstheme="minorHAnsi"/>
          <w:szCs w:val="26"/>
        </w:rPr>
        <w:t>.</w:t>
      </w:r>
      <w:r w:rsidRPr="000641B0" w:rsidR="00D26C54">
        <w:rPr>
          <w:rFonts w:cstheme="minorHAnsi"/>
          <w:szCs w:val="26"/>
        </w:rPr>
        <w:t>)</w:t>
      </w:r>
      <w:r w:rsidRPr="000641B0" w:rsidR="00AD640B">
        <w:rPr>
          <w:rFonts w:cstheme="minorHAnsi"/>
          <w:szCs w:val="26"/>
        </w:rPr>
        <w:t xml:space="preserve"> </w:t>
      </w:r>
      <w:r w:rsidRPr="000641B0" w:rsidR="00D26C54">
        <w:rPr>
          <w:rFonts w:cstheme="minorHAnsi"/>
          <w:szCs w:val="26"/>
        </w:rPr>
        <w:t xml:space="preserve"> </w:t>
      </w:r>
      <w:r w:rsidRPr="000641B0" w:rsidR="005E1AC8">
        <w:rPr>
          <w:rFonts w:cstheme="minorHAnsi"/>
          <w:szCs w:val="26"/>
        </w:rPr>
        <w:t xml:space="preserve">In addition, the mere assertion of a </w:t>
      </w:r>
      <w:r w:rsidRPr="000641B0" w:rsidR="005E1AC8">
        <w:rPr>
          <w:rFonts w:cstheme="minorHAnsi"/>
          <w:i/>
          <w:iCs/>
          <w:szCs w:val="26"/>
        </w:rPr>
        <w:t>Brady</w:t>
      </w:r>
      <w:r w:rsidRPr="000641B0" w:rsidR="005E1AC8">
        <w:rPr>
          <w:rFonts w:cstheme="minorHAnsi"/>
          <w:szCs w:val="26"/>
        </w:rPr>
        <w:t xml:space="preserve"> claim </w:t>
      </w:r>
      <w:r w:rsidRPr="000641B0" w:rsidR="00EF7A33">
        <w:rPr>
          <w:rFonts w:cstheme="minorHAnsi"/>
          <w:szCs w:val="26"/>
        </w:rPr>
        <w:t xml:space="preserve">in a habeas </w:t>
      </w:r>
      <w:r w:rsidR="0059671C">
        <w:rPr>
          <w:rFonts w:cstheme="minorHAnsi"/>
          <w:szCs w:val="26"/>
        </w:rPr>
        <w:t xml:space="preserve">corpus </w:t>
      </w:r>
      <w:r w:rsidRPr="000641B0" w:rsidR="00EF7A33">
        <w:rPr>
          <w:rFonts w:cstheme="minorHAnsi"/>
          <w:szCs w:val="26"/>
        </w:rPr>
        <w:t xml:space="preserve">proceeding </w:t>
      </w:r>
      <w:r w:rsidRPr="000641B0" w:rsidR="005E1AC8">
        <w:rPr>
          <w:rFonts w:cstheme="minorHAnsi"/>
          <w:szCs w:val="26"/>
        </w:rPr>
        <w:t xml:space="preserve">does not </w:t>
      </w:r>
      <w:r w:rsidRPr="000641B0" w:rsidR="00EF7A33">
        <w:rPr>
          <w:rFonts w:cstheme="minorHAnsi"/>
          <w:szCs w:val="26"/>
        </w:rPr>
        <w:t xml:space="preserve">necessarily provide </w:t>
      </w:r>
      <w:r w:rsidRPr="000641B0" w:rsidR="00D24553">
        <w:rPr>
          <w:rFonts w:cstheme="minorHAnsi"/>
          <w:szCs w:val="26"/>
        </w:rPr>
        <w:t xml:space="preserve">a sufficient evidentiary record </w:t>
      </w:r>
      <w:r w:rsidRPr="000641B0" w:rsidR="00EF7A33">
        <w:rPr>
          <w:rFonts w:cstheme="minorHAnsi"/>
          <w:szCs w:val="26"/>
        </w:rPr>
        <w:t xml:space="preserve">for a court </w:t>
      </w:r>
      <w:r w:rsidRPr="000641B0" w:rsidR="00D24553">
        <w:rPr>
          <w:rFonts w:cstheme="minorHAnsi"/>
          <w:szCs w:val="26"/>
        </w:rPr>
        <w:t>to resolve such claim</w:t>
      </w:r>
      <w:r w:rsidRPr="000641B0" w:rsidR="006B010B">
        <w:rPr>
          <w:rFonts w:cstheme="minorHAnsi"/>
          <w:szCs w:val="26"/>
        </w:rPr>
        <w:t xml:space="preserve">. </w:t>
      </w:r>
      <w:r w:rsidRPr="000641B0" w:rsidR="00495D7F">
        <w:rPr>
          <w:rFonts w:cstheme="minorHAnsi"/>
          <w:szCs w:val="26"/>
        </w:rPr>
        <w:t xml:space="preserve"> (See, e.g., </w:t>
      </w:r>
      <w:bookmarkStart w:id="43" w:name="_Hlk115251275"/>
      <w:r w:rsidRPr="000641B0" w:rsidR="00315E6A">
        <w:rPr>
          <w:rFonts w:cstheme="minorHAnsi"/>
          <w:i/>
          <w:iCs/>
          <w:szCs w:val="26"/>
        </w:rPr>
        <w:t>Pham v. Terhune</w:t>
      </w:r>
      <w:r w:rsidRPr="000641B0" w:rsidR="00D24553">
        <w:rPr>
          <w:rFonts w:cstheme="minorHAnsi"/>
          <w:szCs w:val="26"/>
        </w:rPr>
        <w:t xml:space="preserve"> (9th Cir. 2005) </w:t>
      </w:r>
      <w:r w:rsidRPr="000641B0" w:rsidR="00315E6A">
        <w:rPr>
          <w:rFonts w:cstheme="minorHAnsi"/>
          <w:szCs w:val="26"/>
        </w:rPr>
        <w:t xml:space="preserve">400 F.3d 740, 743 </w:t>
      </w:r>
      <w:bookmarkEnd w:id="43"/>
      <w:r w:rsidRPr="000641B0" w:rsidR="00315E6A">
        <w:rPr>
          <w:rFonts w:cstheme="minorHAnsi"/>
          <w:szCs w:val="26"/>
        </w:rPr>
        <w:t>[ordering discovery of lab</w:t>
      </w:r>
      <w:r w:rsidRPr="000641B0" w:rsidR="00CC1F86">
        <w:rPr>
          <w:rFonts w:cstheme="minorHAnsi"/>
          <w:szCs w:val="26"/>
        </w:rPr>
        <w:t>oratory</w:t>
      </w:r>
      <w:r w:rsidRPr="000641B0" w:rsidR="00315E6A">
        <w:rPr>
          <w:rFonts w:cstheme="minorHAnsi"/>
          <w:szCs w:val="26"/>
        </w:rPr>
        <w:t xml:space="preserve"> notes forming the basis of </w:t>
      </w:r>
      <w:r w:rsidRPr="000641B0" w:rsidR="000E7EBE">
        <w:rPr>
          <w:rFonts w:cstheme="minorHAnsi"/>
          <w:szCs w:val="26"/>
        </w:rPr>
        <w:t xml:space="preserve">a </w:t>
      </w:r>
      <w:r w:rsidRPr="000641B0" w:rsidR="00315E6A">
        <w:rPr>
          <w:rFonts w:cstheme="minorHAnsi"/>
          <w:i/>
          <w:iCs/>
          <w:szCs w:val="26"/>
        </w:rPr>
        <w:t>Brady</w:t>
      </w:r>
      <w:r w:rsidRPr="000641B0" w:rsidR="00315E6A">
        <w:rPr>
          <w:rFonts w:cstheme="minorHAnsi"/>
          <w:szCs w:val="26"/>
        </w:rPr>
        <w:t xml:space="preserve"> claim and stating “</w:t>
      </w:r>
      <w:r w:rsidRPr="000641B0" w:rsidR="00EF7A33">
        <w:rPr>
          <w:rFonts w:cstheme="minorHAnsi"/>
          <w:szCs w:val="26"/>
        </w:rPr>
        <w:t>[o]</w:t>
      </w:r>
      <w:r w:rsidRPr="000641B0" w:rsidR="00315E6A">
        <w:rPr>
          <w:rFonts w:cstheme="minorHAnsi"/>
          <w:szCs w:val="26"/>
        </w:rPr>
        <w:t>nce [the] notes have been disclosed, the </w:t>
      </w:r>
      <w:r w:rsidRPr="000641B0" w:rsidR="00315E6A">
        <w:rPr>
          <w:rFonts w:cstheme="minorHAnsi"/>
          <w:i/>
          <w:iCs/>
          <w:szCs w:val="26"/>
        </w:rPr>
        <w:t>Brady</w:t>
      </w:r>
      <w:r w:rsidRPr="000641B0" w:rsidR="00315E6A">
        <w:rPr>
          <w:rFonts w:cstheme="minorHAnsi"/>
          <w:szCs w:val="26"/>
        </w:rPr>
        <w:t> issue is for the district court to decide in the first instance”].)</w:t>
      </w:r>
    </w:p>
    <w:p w:rsidR="00D541AC" w:rsidRPr="000641B0" w:rsidP="000641B0" w14:paraId="488C1BFB" w14:textId="4F36F126">
      <w:pPr>
        <w:ind w:firstLine="720"/>
        <w:rPr>
          <w:rFonts w:cstheme="minorHAnsi"/>
          <w:szCs w:val="26"/>
        </w:rPr>
      </w:pPr>
      <w:r w:rsidRPr="000641B0">
        <w:rPr>
          <w:rFonts w:cstheme="minorHAnsi"/>
          <w:szCs w:val="26"/>
        </w:rPr>
        <w:t>T</w:t>
      </w:r>
      <w:r w:rsidRPr="000641B0" w:rsidR="009865E4">
        <w:rPr>
          <w:rFonts w:cstheme="minorHAnsi"/>
          <w:szCs w:val="26"/>
        </w:rPr>
        <w:t xml:space="preserve">he Attorney General’s “practicality” argument </w:t>
      </w:r>
      <w:r w:rsidRPr="000641B0">
        <w:rPr>
          <w:rFonts w:cstheme="minorHAnsi"/>
          <w:szCs w:val="26"/>
        </w:rPr>
        <w:t>is similarly un</w:t>
      </w:r>
      <w:r w:rsidRPr="000641B0" w:rsidR="009865E4">
        <w:rPr>
          <w:rFonts w:cstheme="minorHAnsi"/>
          <w:szCs w:val="26"/>
        </w:rPr>
        <w:t>persuasive</w:t>
      </w:r>
      <w:r w:rsidRPr="000641B0" w:rsidR="005A0DD9">
        <w:rPr>
          <w:rFonts w:cstheme="minorHAnsi"/>
          <w:szCs w:val="26"/>
        </w:rPr>
        <w:t xml:space="preserve">. </w:t>
      </w:r>
      <w:r w:rsidRPr="000641B0">
        <w:rPr>
          <w:rFonts w:cstheme="minorHAnsi"/>
          <w:szCs w:val="26"/>
        </w:rPr>
        <w:t xml:space="preserve"> </w:t>
      </w:r>
      <w:r w:rsidRPr="000641B0" w:rsidR="005A0DD9">
        <w:rPr>
          <w:rFonts w:cstheme="minorHAnsi"/>
          <w:szCs w:val="26"/>
        </w:rPr>
        <w:t>T</w:t>
      </w:r>
      <w:r w:rsidRPr="000641B0" w:rsidR="00604B29">
        <w:rPr>
          <w:rFonts w:cstheme="minorHAnsi"/>
          <w:szCs w:val="26"/>
        </w:rPr>
        <w:t>he fact that</w:t>
      </w:r>
      <w:r w:rsidRPr="000641B0" w:rsidR="005A0DD9">
        <w:rPr>
          <w:rFonts w:cstheme="minorHAnsi"/>
          <w:szCs w:val="26"/>
        </w:rPr>
        <w:t>, as the Attorney General argues,</w:t>
      </w:r>
      <w:r w:rsidRPr="000641B0" w:rsidR="00604B29">
        <w:rPr>
          <w:rFonts w:cstheme="minorHAnsi"/>
          <w:szCs w:val="26"/>
        </w:rPr>
        <w:t xml:space="preserve"> the petitioner “knows enough to seek [the evidence]” </w:t>
      </w:r>
      <w:r w:rsidRPr="000641B0" w:rsidR="00966135">
        <w:rPr>
          <w:rFonts w:cstheme="minorHAnsi"/>
          <w:szCs w:val="26"/>
        </w:rPr>
        <w:t>d</w:t>
      </w:r>
      <w:r w:rsidRPr="000641B0" w:rsidR="00604B29">
        <w:rPr>
          <w:rFonts w:cstheme="minorHAnsi"/>
          <w:szCs w:val="26"/>
        </w:rPr>
        <w:t xml:space="preserve">oes not </w:t>
      </w:r>
      <w:r w:rsidRPr="000641B0" w:rsidR="005A757E">
        <w:rPr>
          <w:rFonts w:cstheme="minorHAnsi"/>
          <w:szCs w:val="26"/>
        </w:rPr>
        <w:t>provide an</w:t>
      </w:r>
      <w:r w:rsidRPr="000641B0" w:rsidR="00A65D97">
        <w:rPr>
          <w:rFonts w:cstheme="minorHAnsi"/>
          <w:szCs w:val="26"/>
        </w:rPr>
        <w:t>y</w:t>
      </w:r>
      <w:r w:rsidRPr="000641B0" w:rsidR="005A757E">
        <w:rPr>
          <w:rFonts w:cstheme="minorHAnsi"/>
          <w:szCs w:val="26"/>
        </w:rPr>
        <w:t xml:space="preserve"> assurance that the evidence will be revealed given that, as the Attorney General acknowledges, </w:t>
      </w:r>
      <w:r w:rsidRPr="000641B0" w:rsidR="00604B29">
        <w:rPr>
          <w:rFonts w:cstheme="minorHAnsi"/>
          <w:szCs w:val="26"/>
        </w:rPr>
        <w:t>“a convicted person enjoys few opportunities to seek postconviction discovery by court order</w:t>
      </w:r>
      <w:r w:rsidRPr="000641B0" w:rsidR="00B2575C">
        <w:rPr>
          <w:rFonts w:cstheme="minorHAnsi"/>
          <w:szCs w:val="26"/>
        </w:rPr>
        <w:t>.</w:t>
      </w:r>
      <w:r w:rsidRPr="000641B0" w:rsidR="00604B29">
        <w:rPr>
          <w:rFonts w:cstheme="minorHAnsi"/>
          <w:szCs w:val="26"/>
        </w:rPr>
        <w:t>”</w:t>
      </w:r>
      <w:r>
        <w:rPr>
          <w:rStyle w:val="FootnoteReference"/>
          <w:rFonts w:cstheme="minorHAnsi"/>
          <w:szCs w:val="26"/>
        </w:rPr>
        <w:footnoteReference w:id="12"/>
      </w:r>
      <w:r w:rsidR="00832C08">
        <w:rPr>
          <w:rFonts w:cstheme="minorHAnsi"/>
          <w:szCs w:val="26"/>
        </w:rPr>
        <w:t xml:space="preserve"> </w:t>
      </w:r>
      <w:r w:rsidRPr="000641B0" w:rsidR="000D13C6">
        <w:rPr>
          <w:rFonts w:cstheme="minorHAnsi"/>
          <w:szCs w:val="26"/>
        </w:rPr>
        <w:t xml:space="preserve"> </w:t>
      </w:r>
    </w:p>
    <w:p w:rsidR="008B413F" w:rsidRPr="000641B0" w:rsidP="000641B0" w14:paraId="5704BB0F" w14:textId="2C9EAE18">
      <w:pPr>
        <w:ind w:firstLine="720"/>
        <w:rPr>
          <w:rFonts w:cstheme="minorHAnsi"/>
          <w:szCs w:val="26"/>
        </w:rPr>
      </w:pPr>
      <w:r w:rsidRPr="000641B0">
        <w:rPr>
          <w:rFonts w:cstheme="minorHAnsi"/>
          <w:szCs w:val="26"/>
        </w:rPr>
        <w:t xml:space="preserve">In sum, we conclude that </w:t>
      </w:r>
      <w:r w:rsidRPr="000641B0">
        <w:rPr>
          <w:bCs/>
        </w:rPr>
        <w:t xml:space="preserve">where a habeas </w:t>
      </w:r>
      <w:r w:rsidR="00413A0F">
        <w:rPr>
          <w:bCs/>
        </w:rPr>
        <w:t xml:space="preserve">corpus </w:t>
      </w:r>
      <w:r w:rsidRPr="000641B0">
        <w:rPr>
          <w:bCs/>
        </w:rPr>
        <w:t xml:space="preserve">petitioner claims not to have received a fair trial because </w:t>
      </w:r>
      <w:r w:rsidRPr="000641B0" w:rsidR="00D81062">
        <w:rPr>
          <w:bCs/>
        </w:rPr>
        <w:t>a trial</w:t>
      </w:r>
      <w:r w:rsidRPr="000641B0">
        <w:rPr>
          <w:bCs/>
        </w:rPr>
        <w:t xml:space="preserve"> </w:t>
      </w:r>
      <w:r w:rsidRPr="000641B0" w:rsidR="00E861EC">
        <w:rPr>
          <w:bCs/>
        </w:rPr>
        <w:t xml:space="preserve">prosecutor </w:t>
      </w:r>
      <w:r w:rsidRPr="000641B0">
        <w:rPr>
          <w:bCs/>
        </w:rPr>
        <w:t xml:space="preserve">failed to disclose material evidence in violation of </w:t>
      </w:r>
      <w:r w:rsidRPr="000641B0">
        <w:rPr>
          <w:bCs/>
          <w:i/>
        </w:rPr>
        <w:t>Brady</w:t>
      </w:r>
      <w:r w:rsidRPr="000641B0" w:rsidR="00AE418A">
        <w:rPr>
          <w:bCs/>
          <w:iCs/>
        </w:rPr>
        <w:t> </w:t>
      </w:r>
      <w:r w:rsidRPr="000641B0" w:rsidR="005E7F4E">
        <w:rPr>
          <w:bCs/>
        </w:rPr>
        <w:t>—</w:t>
      </w:r>
      <w:r w:rsidR="005E7F4E">
        <w:rPr>
          <w:bCs/>
        </w:rPr>
        <w:t xml:space="preserve"> </w:t>
      </w:r>
      <w:r w:rsidRPr="000641B0">
        <w:rPr>
          <w:bCs/>
        </w:rPr>
        <w:t>and where the Attorney General has knowledge of,</w:t>
      </w:r>
      <w:r w:rsidRPr="000641B0" w:rsidR="00656803">
        <w:rPr>
          <w:bCs/>
        </w:rPr>
        <w:t xml:space="preserve"> </w:t>
      </w:r>
      <w:r w:rsidRPr="000641B0">
        <w:rPr>
          <w:bCs/>
        </w:rPr>
        <w:t>or is in actual or constructive possession of</w:t>
      </w:r>
      <w:r w:rsidRPr="000641B0" w:rsidR="00656803">
        <w:rPr>
          <w:bCs/>
        </w:rPr>
        <w:t>,</w:t>
      </w:r>
      <w:r w:rsidRPr="000641B0" w:rsidR="000E6175">
        <w:rPr>
          <w:bCs/>
        </w:rPr>
        <w:t xml:space="preserve"> </w:t>
      </w:r>
      <w:r w:rsidRPr="000641B0" w:rsidR="00B840C8">
        <w:rPr>
          <w:bCs/>
        </w:rPr>
        <w:t xml:space="preserve">evidence </w:t>
      </w:r>
      <w:r w:rsidRPr="000641B0" w:rsidR="00082314">
        <w:rPr>
          <w:bCs/>
        </w:rPr>
        <w:t xml:space="preserve">that the trial prosecutor suppressed in violation of </w:t>
      </w:r>
      <w:r w:rsidRPr="000641B0" w:rsidR="00656803">
        <w:rPr>
          <w:bCs/>
          <w:i/>
          <w:iCs/>
        </w:rPr>
        <w:t>Brady</w:t>
      </w:r>
      <w:r>
        <w:rPr>
          <w:rStyle w:val="FootnoteReference"/>
          <w:bCs/>
        </w:rPr>
        <w:footnoteReference w:id="13"/>
      </w:r>
      <w:r w:rsidRPr="000641B0" w:rsidR="00AE418A">
        <w:rPr>
          <w:bCs/>
        </w:rPr>
        <w:t> </w:t>
      </w:r>
      <w:r w:rsidRPr="000641B0">
        <w:rPr>
          <w:bCs/>
        </w:rPr>
        <w:t>—</w:t>
      </w:r>
      <w:r w:rsidR="005E7F4E">
        <w:rPr>
          <w:bCs/>
        </w:rPr>
        <w:t xml:space="preserve"> </w:t>
      </w:r>
      <w:r w:rsidRPr="000641B0" w:rsidR="00E861EC">
        <w:rPr>
          <w:bCs/>
        </w:rPr>
        <w:t xml:space="preserve">the </w:t>
      </w:r>
      <w:r w:rsidRPr="000641B0">
        <w:rPr>
          <w:bCs/>
        </w:rPr>
        <w:t>Attorney General ha</w:t>
      </w:r>
      <w:r w:rsidRPr="000641B0" w:rsidR="00E861EC">
        <w:rPr>
          <w:bCs/>
        </w:rPr>
        <w:t>s a</w:t>
      </w:r>
      <w:r w:rsidRPr="000641B0" w:rsidR="005B71CB">
        <w:rPr>
          <w:bCs/>
        </w:rPr>
        <w:t xml:space="preserve"> constitutional</w:t>
      </w:r>
      <w:r w:rsidRPr="000641B0" w:rsidR="00204C5E">
        <w:rPr>
          <w:bCs/>
        </w:rPr>
        <w:t xml:space="preserve"> </w:t>
      </w:r>
      <w:r w:rsidRPr="000641B0" w:rsidR="00E861EC">
        <w:rPr>
          <w:bCs/>
        </w:rPr>
        <w:t xml:space="preserve">duty </w:t>
      </w:r>
      <w:r w:rsidRPr="000641B0" w:rsidR="00096A66">
        <w:rPr>
          <w:bCs/>
        </w:rPr>
        <w:t xml:space="preserve">under </w:t>
      </w:r>
      <w:r w:rsidRPr="000641B0" w:rsidR="00096A66">
        <w:rPr>
          <w:bCs/>
          <w:i/>
          <w:iCs/>
        </w:rPr>
        <w:t>Brady</w:t>
      </w:r>
      <w:r w:rsidRPr="000641B0" w:rsidR="00096A66">
        <w:rPr>
          <w:bCs/>
        </w:rPr>
        <w:t xml:space="preserve"> </w:t>
      </w:r>
      <w:r w:rsidRPr="000641B0">
        <w:rPr>
          <w:bCs/>
        </w:rPr>
        <w:t xml:space="preserve">to disclose </w:t>
      </w:r>
      <w:r w:rsidRPr="000641B0" w:rsidR="000E6175">
        <w:rPr>
          <w:bCs/>
        </w:rPr>
        <w:t>the</w:t>
      </w:r>
      <w:r w:rsidRPr="000641B0">
        <w:rPr>
          <w:bCs/>
        </w:rPr>
        <w:t xml:space="preserve"> evidence</w:t>
      </w:r>
      <w:r w:rsidRPr="000641B0" w:rsidR="00E861EC">
        <w:rPr>
          <w:rFonts w:cstheme="minorHAnsi"/>
          <w:szCs w:val="26"/>
        </w:rPr>
        <w:t>.</w:t>
      </w:r>
      <w:r>
        <w:rPr>
          <w:rStyle w:val="FootnoteReference"/>
          <w:rFonts w:cstheme="minorHAnsi"/>
          <w:szCs w:val="26"/>
        </w:rPr>
        <w:footnoteReference w:id="14"/>
      </w:r>
      <w:r w:rsidRPr="000641B0" w:rsidR="00435F1F">
        <w:rPr>
          <w:rFonts w:cstheme="minorHAnsi"/>
          <w:szCs w:val="26"/>
        </w:rPr>
        <w:t xml:space="preserve">  </w:t>
      </w:r>
    </w:p>
    <w:p w:rsidR="00DF6D1D" w:rsidRPr="000641B0" w:rsidP="00F55F90" w14:paraId="3C489D59" w14:textId="68C8D3FE">
      <w:pPr>
        <w:pStyle w:val="Heading2"/>
        <w:keepLines/>
        <w:tabs>
          <w:tab w:val="clear" w:pos="1152"/>
        </w:tabs>
        <w:ind w:left="0" w:firstLine="0"/>
        <w:jc w:val="center"/>
      </w:pPr>
      <w:r w:rsidRPr="000641B0">
        <w:t>B.</w:t>
      </w:r>
    </w:p>
    <w:p w:rsidR="00D541AC" w:rsidRPr="000641B0" w:rsidP="000641B0" w14:paraId="40D990E1" w14:textId="7A9CD1E6">
      <w:pPr>
        <w:ind w:firstLine="720"/>
        <w:rPr>
          <w:bCs/>
        </w:rPr>
      </w:pPr>
      <w:r w:rsidRPr="000641B0">
        <w:rPr>
          <w:bCs/>
        </w:rPr>
        <w:t>Jenkins claims the “</w:t>
      </w:r>
      <w:r w:rsidRPr="000641B0" w:rsidR="00D709E5">
        <w:rPr>
          <w:bCs/>
        </w:rPr>
        <w:t>[</w:t>
      </w:r>
      <w:r w:rsidRPr="000641B0">
        <w:rPr>
          <w:bCs/>
        </w:rPr>
        <w:t>e</w:t>
      </w:r>
      <w:r w:rsidRPr="000641B0" w:rsidR="00D709E5">
        <w:rPr>
          <w:bCs/>
        </w:rPr>
        <w:t>]</w:t>
      </w:r>
      <w:r w:rsidRPr="000641B0">
        <w:rPr>
          <w:bCs/>
        </w:rPr>
        <w:t xml:space="preserve">thics </w:t>
      </w:r>
      <w:r w:rsidRPr="000641B0" w:rsidR="00D709E5">
        <w:rPr>
          <w:bCs/>
        </w:rPr>
        <w:t>[</w:t>
      </w:r>
      <w:r w:rsidRPr="000641B0">
        <w:rPr>
          <w:bCs/>
        </w:rPr>
        <w:t>r</w:t>
      </w:r>
      <w:r w:rsidRPr="000641B0" w:rsidR="00D709E5">
        <w:rPr>
          <w:bCs/>
        </w:rPr>
        <w:t>]</w:t>
      </w:r>
      <w:r w:rsidRPr="000641B0">
        <w:rPr>
          <w:bCs/>
        </w:rPr>
        <w:t xml:space="preserve">ules </w:t>
      </w:r>
      <w:r w:rsidRPr="000641B0" w:rsidR="00D709E5">
        <w:rPr>
          <w:bCs/>
        </w:rPr>
        <w:t>[</w:t>
      </w:r>
      <w:r w:rsidRPr="000641B0">
        <w:rPr>
          <w:bCs/>
        </w:rPr>
        <w:t>a</w:t>
      </w:r>
      <w:r w:rsidRPr="000641B0" w:rsidR="00D709E5">
        <w:rPr>
          <w:bCs/>
        </w:rPr>
        <w:t>]</w:t>
      </w:r>
      <w:r w:rsidRPr="000641B0">
        <w:rPr>
          <w:bCs/>
        </w:rPr>
        <w:t xml:space="preserve">lso </w:t>
      </w:r>
      <w:r w:rsidRPr="000641B0" w:rsidR="00D709E5">
        <w:rPr>
          <w:bCs/>
        </w:rPr>
        <w:t>[</w:t>
      </w:r>
      <w:r w:rsidRPr="000641B0">
        <w:rPr>
          <w:bCs/>
        </w:rPr>
        <w:t>p</w:t>
      </w:r>
      <w:r w:rsidRPr="000641B0" w:rsidR="00D709E5">
        <w:rPr>
          <w:bCs/>
        </w:rPr>
        <w:t>]</w:t>
      </w:r>
      <w:r w:rsidRPr="000641B0">
        <w:rPr>
          <w:bCs/>
        </w:rPr>
        <w:t xml:space="preserve">rohibit the Attorney General from </w:t>
      </w:r>
      <w:r w:rsidRPr="000641B0" w:rsidR="00D709E5">
        <w:rPr>
          <w:bCs/>
        </w:rPr>
        <w:t>[</w:t>
      </w:r>
      <w:r w:rsidRPr="000641B0">
        <w:rPr>
          <w:bCs/>
        </w:rPr>
        <w:t>s</w:t>
      </w:r>
      <w:r w:rsidRPr="000641B0" w:rsidR="00D709E5">
        <w:rPr>
          <w:bCs/>
        </w:rPr>
        <w:t>]</w:t>
      </w:r>
      <w:r w:rsidRPr="000641B0">
        <w:rPr>
          <w:bCs/>
        </w:rPr>
        <w:t xml:space="preserve">uppressing </w:t>
      </w:r>
      <w:r w:rsidRPr="000641B0" w:rsidR="00D709E5">
        <w:rPr>
          <w:bCs/>
        </w:rPr>
        <w:t>[</w:t>
      </w:r>
      <w:r w:rsidRPr="000641B0">
        <w:rPr>
          <w:bCs/>
        </w:rPr>
        <w:t>e</w:t>
      </w:r>
      <w:r w:rsidRPr="000641B0" w:rsidR="00D709E5">
        <w:rPr>
          <w:bCs/>
        </w:rPr>
        <w:t>]</w:t>
      </w:r>
      <w:r w:rsidRPr="000641B0">
        <w:rPr>
          <w:bCs/>
        </w:rPr>
        <w:t xml:space="preserve">vidence.”  </w:t>
      </w:r>
    </w:p>
    <w:p w:rsidR="00961F2B" w:rsidRPr="000641B0" w:rsidP="007E0585" w14:paraId="6C9A7400" w14:textId="6ECB5F07">
      <w:pPr>
        <w:ind w:firstLine="720"/>
        <w:rPr>
          <w:rFonts w:cstheme="minorHAnsi"/>
          <w:szCs w:val="26"/>
        </w:rPr>
      </w:pPr>
      <w:bookmarkStart w:id="44" w:name="_Hlk115251320"/>
      <w:r w:rsidRPr="000641B0">
        <w:rPr>
          <w:bCs/>
        </w:rPr>
        <w:t xml:space="preserve">Rule 3.8 of the </w:t>
      </w:r>
      <w:r w:rsidRPr="000641B0" w:rsidR="00521951">
        <w:rPr>
          <w:bCs/>
        </w:rPr>
        <w:t xml:space="preserve">Rules of Professional Conduct </w:t>
      </w:r>
      <w:r w:rsidRPr="000641B0" w:rsidR="005D6AF4">
        <w:rPr>
          <w:bCs/>
        </w:rPr>
        <w:t xml:space="preserve">(Rule 3.8) </w:t>
      </w:r>
      <w:bookmarkEnd w:id="44"/>
      <w:r w:rsidRPr="000641B0" w:rsidR="00FA66AD">
        <w:rPr>
          <w:bCs/>
        </w:rPr>
        <w:t xml:space="preserve">provides </w:t>
      </w:r>
      <w:r w:rsidRPr="000641B0" w:rsidR="00E9020C">
        <w:rPr>
          <w:bCs/>
        </w:rPr>
        <w:t>in relevant part:</w:t>
      </w:r>
      <w:r w:rsidRPr="000641B0" w:rsidR="00FA66AD">
        <w:rPr>
          <w:bCs/>
        </w:rPr>
        <w:t xml:space="preserve"> </w:t>
      </w:r>
      <w:r w:rsidR="007E0585">
        <w:rPr>
          <w:bCs/>
        </w:rPr>
        <w:t xml:space="preserve"> </w:t>
      </w:r>
      <w:r w:rsidRPr="000641B0" w:rsidR="00674F49">
        <w:rPr>
          <w:bCs/>
        </w:rPr>
        <w:t>“The prosecutor in a criminal case shall:</w:t>
      </w:r>
      <w:r w:rsidRPr="000641B0" w:rsidR="007A0563">
        <w:rPr>
          <w:bCs/>
        </w:rPr>
        <w:t xml:space="preserve">  [¶] . . . [¶]</w:t>
      </w:r>
      <w:r w:rsidR="007E0585">
        <w:rPr>
          <w:bCs/>
        </w:rPr>
        <w:t xml:space="preserve"> </w:t>
      </w:r>
      <w:r w:rsidRPr="000641B0" w:rsidR="007A0563">
        <w:rPr>
          <w:bCs/>
        </w:rPr>
        <w:t xml:space="preserve"> (d) make timely disclosure to the defense of all evidence or information known to the prosecutor that the prosecutor knows or reasonably should know tends to negate the guilt of the accused, mitigate the offense, or mitigate the sentence, except when the prosecutor is relieved of this responsibility by a protective order of the tribunal</w:t>
      </w:r>
      <w:r w:rsidRPr="000641B0" w:rsidR="008A01B7">
        <w:rPr>
          <w:bCs/>
        </w:rPr>
        <w:t>.</w:t>
      </w:r>
      <w:r w:rsidRPr="000641B0" w:rsidR="007A0563">
        <w:rPr>
          <w:bCs/>
        </w:rPr>
        <w:t xml:space="preserve">” </w:t>
      </w:r>
      <w:r w:rsidRPr="000641B0" w:rsidR="00D36EEC">
        <w:rPr>
          <w:bCs/>
        </w:rPr>
        <w:t xml:space="preserve"> </w:t>
      </w:r>
    </w:p>
    <w:p w:rsidR="00D541AC" w:rsidRPr="000641B0" w:rsidP="000641B0" w14:paraId="2D539445" w14:textId="0713F166">
      <w:pPr>
        <w:ind w:firstLine="720"/>
        <w:rPr>
          <w:bCs/>
        </w:rPr>
      </w:pPr>
      <w:r w:rsidRPr="000641B0">
        <w:rPr>
          <w:bCs/>
        </w:rPr>
        <w:t xml:space="preserve">We have not previously </w:t>
      </w:r>
      <w:r w:rsidRPr="000641B0" w:rsidR="00387E18">
        <w:rPr>
          <w:bCs/>
        </w:rPr>
        <w:t xml:space="preserve">had occasion to </w:t>
      </w:r>
      <w:r w:rsidRPr="000641B0">
        <w:rPr>
          <w:bCs/>
        </w:rPr>
        <w:t>conside</w:t>
      </w:r>
      <w:r w:rsidRPr="000641B0" w:rsidR="00AE2C3A">
        <w:rPr>
          <w:bCs/>
        </w:rPr>
        <w:t>r the Attorney General’s ethical duty, if any,</w:t>
      </w:r>
      <w:r w:rsidRPr="000641B0" w:rsidR="008D13B7">
        <w:rPr>
          <w:bCs/>
        </w:rPr>
        <w:t xml:space="preserve"> pursuant to </w:t>
      </w:r>
      <w:r w:rsidRPr="000641B0" w:rsidR="00AE2C3A">
        <w:rPr>
          <w:bCs/>
        </w:rPr>
        <w:t>Rule 3.8</w:t>
      </w:r>
      <w:r w:rsidRPr="000641B0" w:rsidR="00304E5C">
        <w:rPr>
          <w:bCs/>
        </w:rPr>
        <w:t xml:space="preserve">(d) </w:t>
      </w:r>
      <w:r w:rsidRPr="000641B0" w:rsidR="0088574C">
        <w:rPr>
          <w:bCs/>
        </w:rPr>
        <w:t>in postconviction proceedings</w:t>
      </w:r>
      <w:r w:rsidRPr="000641B0" w:rsidR="00781D8B">
        <w:rPr>
          <w:bCs/>
        </w:rPr>
        <w:t xml:space="preserve"> </w:t>
      </w:r>
      <w:r w:rsidRPr="000641B0" w:rsidR="007F32E5">
        <w:rPr>
          <w:bCs/>
        </w:rPr>
        <w:t xml:space="preserve">generally </w:t>
      </w:r>
      <w:r w:rsidRPr="000641B0" w:rsidR="00EC156F">
        <w:rPr>
          <w:bCs/>
        </w:rPr>
        <w:t xml:space="preserve">and thus have not considered </w:t>
      </w:r>
      <w:r w:rsidRPr="000641B0" w:rsidR="00C34DCF">
        <w:rPr>
          <w:bCs/>
        </w:rPr>
        <w:t xml:space="preserve">his duty as it pertains to </w:t>
      </w:r>
      <w:r w:rsidRPr="000641B0" w:rsidR="00F3213D">
        <w:rPr>
          <w:bCs/>
        </w:rPr>
        <w:t>a habeas</w:t>
      </w:r>
      <w:r w:rsidR="00413A0F">
        <w:rPr>
          <w:bCs/>
        </w:rPr>
        <w:t xml:space="preserve"> corpus</w:t>
      </w:r>
      <w:r w:rsidRPr="000641B0" w:rsidR="00F3213D">
        <w:rPr>
          <w:bCs/>
        </w:rPr>
        <w:t xml:space="preserve"> proceeding alleging a </w:t>
      </w:r>
      <w:r w:rsidRPr="000641B0" w:rsidR="00F3213D">
        <w:rPr>
          <w:bCs/>
          <w:i/>
          <w:iCs/>
        </w:rPr>
        <w:t>Brady</w:t>
      </w:r>
      <w:r w:rsidRPr="000641B0" w:rsidR="00F3213D">
        <w:rPr>
          <w:bCs/>
        </w:rPr>
        <w:t xml:space="preserve"> violation</w:t>
      </w:r>
      <w:r w:rsidRPr="000641B0" w:rsidR="0088574C">
        <w:rPr>
          <w:bCs/>
        </w:rPr>
        <w:t>.</w:t>
      </w:r>
      <w:r>
        <w:rPr>
          <w:rStyle w:val="FootnoteReference"/>
          <w:bCs/>
        </w:rPr>
        <w:footnoteReference w:id="15"/>
      </w:r>
      <w:r w:rsidRPr="000641B0" w:rsidR="008A3EE1">
        <w:rPr>
          <w:bCs/>
        </w:rPr>
        <w:t xml:space="preserve">  </w:t>
      </w:r>
      <w:r w:rsidRPr="000641B0" w:rsidR="0088574C">
        <w:rPr>
          <w:bCs/>
        </w:rPr>
        <w:t xml:space="preserve">The Attorney General </w:t>
      </w:r>
      <w:r w:rsidRPr="000641B0" w:rsidR="00304E5C">
        <w:rPr>
          <w:bCs/>
        </w:rPr>
        <w:t xml:space="preserve">argues </w:t>
      </w:r>
      <w:r w:rsidRPr="000641B0" w:rsidR="00BA2F33">
        <w:rPr>
          <w:bCs/>
        </w:rPr>
        <w:t xml:space="preserve">both that </w:t>
      </w:r>
      <w:r w:rsidRPr="000641B0" w:rsidR="00FF1D65">
        <w:rPr>
          <w:bCs/>
        </w:rPr>
        <w:t xml:space="preserve">the rule has </w:t>
      </w:r>
      <w:r w:rsidRPr="000641B0" w:rsidR="001D564F">
        <w:rPr>
          <w:bCs/>
        </w:rPr>
        <w:t xml:space="preserve">no application “in any postconviction scenario,” </w:t>
      </w:r>
      <w:r w:rsidRPr="000641B0" w:rsidR="00830109">
        <w:rPr>
          <w:bCs/>
        </w:rPr>
        <w:t xml:space="preserve">and that </w:t>
      </w:r>
      <w:r w:rsidRPr="000641B0" w:rsidR="0073690E">
        <w:rPr>
          <w:bCs/>
        </w:rPr>
        <w:t xml:space="preserve">Rule 3.8(d) </w:t>
      </w:r>
      <w:r w:rsidRPr="000641B0" w:rsidR="008D13B7">
        <w:rPr>
          <w:bCs/>
        </w:rPr>
        <w:t>should not “</w:t>
      </w:r>
      <w:r w:rsidRPr="000641B0" w:rsidR="00FD23B2">
        <w:rPr>
          <w:bCs/>
        </w:rPr>
        <w:t>be viewed as imposing a duty of disclosure independent of settled habeas procedures</w:t>
      </w:r>
      <w:r w:rsidRPr="000641B0" w:rsidR="00DB6662">
        <w:rPr>
          <w:bCs/>
        </w:rPr>
        <w:t xml:space="preserve"> . . . </w:t>
      </w:r>
      <w:r w:rsidRPr="000641B0" w:rsidR="00FD23B2">
        <w:rPr>
          <w:bCs/>
        </w:rPr>
        <w:t>.”</w:t>
      </w:r>
      <w:r w:rsidRPr="000641B0" w:rsidR="00065D29">
        <w:rPr>
          <w:bCs/>
        </w:rPr>
        <w:t xml:space="preserve">  </w:t>
      </w:r>
      <w:r w:rsidRPr="000641B0" w:rsidR="0034452A">
        <w:rPr>
          <w:bCs/>
        </w:rPr>
        <w:t xml:space="preserve">We disagree with both contentions. </w:t>
      </w:r>
    </w:p>
    <w:p w:rsidR="00961F2B" w:rsidRPr="000641B0" w:rsidP="007E0585" w14:paraId="314FE356" w14:textId="3CB07884">
      <w:pPr>
        <w:ind w:firstLine="720"/>
        <w:rPr>
          <w:rFonts w:cstheme="minorHAnsi"/>
          <w:szCs w:val="26"/>
        </w:rPr>
      </w:pPr>
      <w:r>
        <w:rPr>
          <w:bCs/>
        </w:rPr>
        <w:t xml:space="preserve">As to </w:t>
      </w:r>
      <w:r w:rsidRPr="000641B0" w:rsidR="00DB6662">
        <w:rPr>
          <w:bCs/>
        </w:rPr>
        <w:t xml:space="preserve">whether Rule 3.8(d) </w:t>
      </w:r>
      <w:r w:rsidRPr="000641B0" w:rsidR="00ED3C61">
        <w:rPr>
          <w:bCs/>
        </w:rPr>
        <w:t xml:space="preserve">applies </w:t>
      </w:r>
      <w:r w:rsidRPr="000641B0" w:rsidR="001A1CB9">
        <w:rPr>
          <w:bCs/>
        </w:rPr>
        <w:t xml:space="preserve">in postconviction settings, </w:t>
      </w:r>
      <w:r w:rsidRPr="000641B0" w:rsidR="00333F01">
        <w:rPr>
          <w:bCs/>
        </w:rPr>
        <w:t>case law</w:t>
      </w:r>
      <w:r w:rsidRPr="000641B0" w:rsidR="001A1CB9">
        <w:rPr>
          <w:bCs/>
        </w:rPr>
        <w:t xml:space="preserve"> describing </w:t>
      </w:r>
      <w:r w:rsidRPr="000641B0" w:rsidR="008A01B7">
        <w:rPr>
          <w:bCs/>
        </w:rPr>
        <w:t xml:space="preserve">a prosecutor’s </w:t>
      </w:r>
      <w:r w:rsidRPr="000641B0" w:rsidR="001A1CB9">
        <w:rPr>
          <w:bCs/>
        </w:rPr>
        <w:t xml:space="preserve">ethical </w:t>
      </w:r>
      <w:r w:rsidRPr="000641B0" w:rsidR="008A01B7">
        <w:rPr>
          <w:bCs/>
        </w:rPr>
        <w:t xml:space="preserve">duties </w:t>
      </w:r>
      <w:r w:rsidRPr="000641B0" w:rsidR="00333F01">
        <w:rPr>
          <w:bCs/>
        </w:rPr>
        <w:t xml:space="preserve">in the postconviction context </w:t>
      </w:r>
      <w:r w:rsidR="006B73BC">
        <w:rPr>
          <w:bCs/>
        </w:rPr>
        <w:t xml:space="preserve">decided </w:t>
      </w:r>
      <w:r w:rsidRPr="000641B0" w:rsidR="00ED3C61">
        <w:rPr>
          <w:bCs/>
        </w:rPr>
        <w:t xml:space="preserve">before </w:t>
      </w:r>
      <w:r w:rsidRPr="000641B0" w:rsidR="00AA2DE0">
        <w:rPr>
          <w:bCs/>
        </w:rPr>
        <w:t>Rule</w:t>
      </w:r>
      <w:r w:rsidRPr="000641B0" w:rsidR="00ED3C61">
        <w:rPr>
          <w:bCs/>
        </w:rPr>
        <w:t> </w:t>
      </w:r>
      <w:r w:rsidRPr="000641B0" w:rsidR="00AA2DE0">
        <w:rPr>
          <w:bCs/>
        </w:rPr>
        <w:t>3.8(d)</w:t>
      </w:r>
      <w:r w:rsidRPr="000641B0" w:rsidR="00ED3C61">
        <w:rPr>
          <w:bCs/>
        </w:rPr>
        <w:t xml:space="preserve"> was adopted</w:t>
      </w:r>
      <w:r w:rsidRPr="000641B0" w:rsidR="00AA2DE0">
        <w:rPr>
          <w:bCs/>
        </w:rPr>
        <w:t xml:space="preserve"> </w:t>
      </w:r>
      <w:r w:rsidRPr="000641B0" w:rsidR="0073690E">
        <w:rPr>
          <w:bCs/>
        </w:rPr>
        <w:t xml:space="preserve">supports </w:t>
      </w:r>
      <w:r w:rsidRPr="000641B0" w:rsidR="008D0A21">
        <w:rPr>
          <w:bCs/>
        </w:rPr>
        <w:t xml:space="preserve">such application. </w:t>
      </w:r>
      <w:r w:rsidRPr="000641B0" w:rsidR="00CD0B91">
        <w:rPr>
          <w:bCs/>
        </w:rPr>
        <w:t xml:space="preserve"> </w:t>
      </w:r>
      <w:r w:rsidR="009D382B">
        <w:rPr>
          <w:bCs/>
        </w:rPr>
        <w:t>Specifically</w:t>
      </w:r>
      <w:r w:rsidRPr="000641B0" w:rsidR="009D369D">
        <w:rPr>
          <w:bCs/>
        </w:rPr>
        <w:t>, t</w:t>
      </w:r>
      <w:r w:rsidRPr="000641B0" w:rsidR="009D369D">
        <w:rPr>
          <w:rFonts w:cstheme="minorHAnsi"/>
          <w:szCs w:val="26"/>
        </w:rPr>
        <w:t xml:space="preserve">his court </w:t>
      </w:r>
      <w:r w:rsidRPr="000641B0" w:rsidR="00A730DF">
        <w:rPr>
          <w:rFonts w:cstheme="minorHAnsi"/>
          <w:szCs w:val="26"/>
        </w:rPr>
        <w:t xml:space="preserve">has </w:t>
      </w:r>
      <w:r w:rsidRPr="000641B0" w:rsidR="000B5A6F">
        <w:rPr>
          <w:rFonts w:cstheme="minorHAnsi"/>
          <w:szCs w:val="26"/>
        </w:rPr>
        <w:t>repeatedly</w:t>
      </w:r>
      <w:r w:rsidRPr="000641B0" w:rsidR="00A730DF">
        <w:rPr>
          <w:rFonts w:cstheme="minorHAnsi"/>
          <w:szCs w:val="26"/>
        </w:rPr>
        <w:t xml:space="preserve"> recognized</w:t>
      </w:r>
      <w:r w:rsidRPr="000641B0" w:rsidR="009D369D">
        <w:rPr>
          <w:rFonts w:cstheme="minorHAnsi"/>
          <w:szCs w:val="26"/>
        </w:rPr>
        <w:t xml:space="preserve"> that prosecutors have a </w:t>
      </w:r>
      <w:r w:rsidRPr="000641B0" w:rsidR="004D3F82">
        <w:rPr>
          <w:rFonts w:cstheme="minorHAnsi"/>
          <w:szCs w:val="26"/>
        </w:rPr>
        <w:t xml:space="preserve">continuing </w:t>
      </w:r>
      <w:r w:rsidRPr="000641B0" w:rsidR="009D369D">
        <w:rPr>
          <w:rFonts w:cstheme="minorHAnsi"/>
          <w:szCs w:val="26"/>
        </w:rPr>
        <w:t>duty</w:t>
      </w:r>
      <w:r w:rsidRPr="000641B0" w:rsidR="00FA271A">
        <w:rPr>
          <w:rFonts w:cstheme="minorHAnsi"/>
          <w:szCs w:val="26"/>
        </w:rPr>
        <w:t xml:space="preserve"> in postconviction proceedings</w:t>
      </w:r>
      <w:r w:rsidRPr="000641B0" w:rsidR="009D369D">
        <w:rPr>
          <w:rFonts w:cstheme="minorHAnsi"/>
          <w:szCs w:val="26"/>
        </w:rPr>
        <w:t xml:space="preserve"> to disclose exculpatory evidence </w:t>
      </w:r>
      <w:r w:rsidRPr="000641B0" w:rsidR="00082F93">
        <w:rPr>
          <w:rFonts w:cstheme="minorHAnsi"/>
          <w:szCs w:val="26"/>
        </w:rPr>
        <w:t>that should have been disclosed at trial</w:t>
      </w:r>
      <w:r w:rsidRPr="000641B0" w:rsidR="009D369D">
        <w:rPr>
          <w:rFonts w:cstheme="minorHAnsi"/>
          <w:szCs w:val="26"/>
        </w:rPr>
        <w:t xml:space="preserve">. </w:t>
      </w:r>
      <w:r w:rsidRPr="000641B0" w:rsidR="00233B79">
        <w:rPr>
          <w:rFonts w:cstheme="minorHAnsi"/>
          <w:szCs w:val="26"/>
        </w:rPr>
        <w:t xml:space="preserve"> </w:t>
      </w:r>
      <w:r w:rsidRPr="000641B0" w:rsidR="009D369D">
        <w:rPr>
          <w:rFonts w:cstheme="minorHAnsi"/>
          <w:szCs w:val="26"/>
        </w:rPr>
        <w:t xml:space="preserve">In </w:t>
      </w:r>
      <w:bookmarkStart w:id="46" w:name="_Hlk115253054"/>
      <w:r w:rsidRPr="000641B0" w:rsidR="008B24D4">
        <w:rPr>
          <w:rFonts w:cstheme="minorHAnsi"/>
          <w:i/>
          <w:iCs/>
          <w:szCs w:val="26"/>
        </w:rPr>
        <w:t>People v. Gonzalez</w:t>
      </w:r>
      <w:r w:rsidRPr="000641B0" w:rsidR="008B24D4">
        <w:rPr>
          <w:rFonts w:cstheme="minorHAnsi"/>
          <w:szCs w:val="26"/>
        </w:rPr>
        <w:t xml:space="preserve"> (1990) 51 Cal.3d 1179</w:t>
      </w:r>
      <w:r w:rsidRPr="000641B0" w:rsidR="002D5CF7">
        <w:rPr>
          <w:rFonts w:cstheme="minorHAnsi"/>
          <w:szCs w:val="26"/>
        </w:rPr>
        <w:t xml:space="preserve"> (</w:t>
      </w:r>
      <w:r w:rsidRPr="000641B0" w:rsidR="002D5CF7">
        <w:rPr>
          <w:rFonts w:cstheme="minorHAnsi"/>
          <w:i/>
          <w:iCs/>
          <w:szCs w:val="26"/>
        </w:rPr>
        <w:t>Gonzalez</w:t>
      </w:r>
      <w:bookmarkEnd w:id="46"/>
      <w:r w:rsidRPr="000641B0" w:rsidR="002D5CF7">
        <w:rPr>
          <w:rFonts w:cstheme="minorHAnsi"/>
          <w:szCs w:val="26"/>
        </w:rPr>
        <w:t>)</w:t>
      </w:r>
      <w:r w:rsidRPr="000641B0" w:rsidR="003E5629">
        <w:rPr>
          <w:rFonts w:cstheme="minorHAnsi"/>
          <w:szCs w:val="26"/>
        </w:rPr>
        <w:t>,</w:t>
      </w:r>
      <w:r w:rsidRPr="000641B0" w:rsidR="001A3A9F">
        <w:rPr>
          <w:rFonts w:cstheme="minorHAnsi"/>
          <w:szCs w:val="26"/>
        </w:rPr>
        <w:t xml:space="preserve"> </w:t>
      </w:r>
      <w:r w:rsidRPr="000641B0" w:rsidR="005B370C">
        <w:rPr>
          <w:rFonts w:cstheme="minorHAnsi"/>
          <w:szCs w:val="26"/>
        </w:rPr>
        <w:t>after conclud</w:t>
      </w:r>
      <w:r w:rsidRPr="000641B0" w:rsidR="001A3A9F">
        <w:rPr>
          <w:rFonts w:cstheme="minorHAnsi"/>
          <w:szCs w:val="26"/>
        </w:rPr>
        <w:t>ing</w:t>
      </w:r>
      <w:r w:rsidRPr="000641B0" w:rsidR="005B370C">
        <w:rPr>
          <w:rFonts w:cstheme="minorHAnsi"/>
          <w:szCs w:val="26"/>
        </w:rPr>
        <w:t xml:space="preserve"> that </w:t>
      </w:r>
      <w:r w:rsidRPr="000641B0" w:rsidR="00F634FB">
        <w:rPr>
          <w:rFonts w:cstheme="minorHAnsi"/>
          <w:szCs w:val="26"/>
        </w:rPr>
        <w:t>a trial court had erred in ordering the Attorney General</w:t>
      </w:r>
      <w:r w:rsidRPr="000641B0" w:rsidR="007822AF">
        <w:rPr>
          <w:rFonts w:cstheme="minorHAnsi"/>
          <w:szCs w:val="26"/>
        </w:rPr>
        <w:t xml:space="preserve">, </w:t>
      </w:r>
      <w:r w:rsidRPr="000641B0" w:rsidR="00F634FB">
        <w:rPr>
          <w:rFonts w:cstheme="minorHAnsi"/>
          <w:szCs w:val="26"/>
        </w:rPr>
        <w:t>among other</w:t>
      </w:r>
      <w:r w:rsidRPr="000641B0" w:rsidR="003B1144">
        <w:rPr>
          <w:rFonts w:cstheme="minorHAnsi"/>
          <w:szCs w:val="26"/>
        </w:rPr>
        <w:t>s</w:t>
      </w:r>
      <w:r w:rsidRPr="000641B0" w:rsidR="007822AF">
        <w:rPr>
          <w:rFonts w:cstheme="minorHAnsi"/>
          <w:szCs w:val="26"/>
        </w:rPr>
        <w:t>,</w:t>
      </w:r>
      <w:r w:rsidRPr="000641B0" w:rsidR="00F634FB">
        <w:rPr>
          <w:rFonts w:cstheme="minorHAnsi"/>
          <w:szCs w:val="26"/>
        </w:rPr>
        <w:t xml:space="preserve"> to provide </w:t>
      </w:r>
      <w:r w:rsidRPr="000641B0" w:rsidR="001D6B91">
        <w:rPr>
          <w:rFonts w:cstheme="minorHAnsi"/>
          <w:szCs w:val="26"/>
        </w:rPr>
        <w:t xml:space="preserve">certain </w:t>
      </w:r>
      <w:r w:rsidRPr="000641B0" w:rsidR="001A3A9F">
        <w:rPr>
          <w:rFonts w:cstheme="minorHAnsi"/>
          <w:i/>
          <w:iCs/>
          <w:szCs w:val="26"/>
        </w:rPr>
        <w:t>discovery</w:t>
      </w:r>
      <w:r w:rsidRPr="000641B0" w:rsidR="001A3A9F">
        <w:rPr>
          <w:rFonts w:cstheme="minorHAnsi"/>
          <w:szCs w:val="26"/>
        </w:rPr>
        <w:t xml:space="preserve"> </w:t>
      </w:r>
      <w:r w:rsidRPr="000641B0" w:rsidR="00E14253">
        <w:rPr>
          <w:rFonts w:cstheme="minorHAnsi"/>
          <w:szCs w:val="26"/>
        </w:rPr>
        <w:t xml:space="preserve">to a defendant </w:t>
      </w:r>
      <w:r w:rsidRPr="000641B0" w:rsidR="001D6B91">
        <w:rPr>
          <w:rFonts w:cstheme="minorHAnsi"/>
          <w:szCs w:val="26"/>
        </w:rPr>
        <w:t>in</w:t>
      </w:r>
      <w:r w:rsidRPr="000641B0" w:rsidR="007822AF">
        <w:rPr>
          <w:rFonts w:cstheme="minorHAnsi"/>
          <w:szCs w:val="26"/>
        </w:rPr>
        <w:t xml:space="preserve"> the postconviction setting </w:t>
      </w:r>
      <w:r w:rsidRPr="000641B0" w:rsidR="00D339AF">
        <w:rPr>
          <w:rFonts w:cstheme="minorHAnsi"/>
          <w:szCs w:val="26"/>
        </w:rPr>
        <w:t xml:space="preserve">(see </w:t>
      </w:r>
      <w:r w:rsidRPr="000641B0" w:rsidR="00D339AF">
        <w:rPr>
          <w:rFonts w:cstheme="minorHAnsi"/>
          <w:i/>
          <w:iCs/>
          <w:szCs w:val="26"/>
        </w:rPr>
        <w:t>id</w:t>
      </w:r>
      <w:r w:rsidRPr="000641B0" w:rsidR="004A0072">
        <w:rPr>
          <w:rFonts w:cstheme="minorHAnsi"/>
          <w:szCs w:val="26"/>
        </w:rPr>
        <w:t>.</w:t>
      </w:r>
      <w:r w:rsidRPr="000641B0" w:rsidR="00D339AF">
        <w:rPr>
          <w:rFonts w:cstheme="minorHAnsi"/>
          <w:szCs w:val="26"/>
        </w:rPr>
        <w:t xml:space="preserve"> at p</w:t>
      </w:r>
      <w:r w:rsidRPr="000641B0" w:rsidR="00CD13BB">
        <w:rPr>
          <w:rFonts w:cstheme="minorHAnsi"/>
          <w:szCs w:val="26"/>
        </w:rPr>
        <w:t>p</w:t>
      </w:r>
      <w:r w:rsidRPr="000641B0" w:rsidR="00D339AF">
        <w:rPr>
          <w:rFonts w:cstheme="minorHAnsi"/>
          <w:szCs w:val="26"/>
        </w:rPr>
        <w:t>.</w:t>
      </w:r>
      <w:r w:rsidRPr="000641B0" w:rsidR="008A01B7">
        <w:rPr>
          <w:rFonts w:cstheme="minorHAnsi"/>
          <w:szCs w:val="26"/>
        </w:rPr>
        <w:t> </w:t>
      </w:r>
      <w:r w:rsidRPr="000641B0" w:rsidR="00D339AF">
        <w:rPr>
          <w:rFonts w:cstheme="minorHAnsi"/>
          <w:szCs w:val="26"/>
        </w:rPr>
        <w:t>1</w:t>
      </w:r>
      <w:r w:rsidRPr="000641B0" w:rsidR="004A0072">
        <w:rPr>
          <w:rFonts w:cstheme="minorHAnsi"/>
          <w:szCs w:val="26"/>
        </w:rPr>
        <w:t>256</w:t>
      </w:r>
      <w:r w:rsidRPr="000641B0" w:rsidR="00EF7AD4">
        <w:rPr>
          <w:bCs/>
        </w:rPr>
        <w:t>–</w:t>
      </w:r>
      <w:r w:rsidRPr="000641B0" w:rsidR="004A0072">
        <w:rPr>
          <w:rFonts w:cstheme="minorHAnsi"/>
          <w:szCs w:val="26"/>
        </w:rPr>
        <w:t>1257</w:t>
      </w:r>
      <w:r w:rsidRPr="000641B0" w:rsidR="00D339AF">
        <w:rPr>
          <w:rFonts w:cstheme="minorHAnsi"/>
          <w:szCs w:val="26"/>
        </w:rPr>
        <w:t>)</w:t>
      </w:r>
      <w:r w:rsidRPr="000641B0" w:rsidR="001A3A9F">
        <w:rPr>
          <w:rFonts w:cstheme="minorHAnsi"/>
          <w:szCs w:val="26"/>
        </w:rPr>
        <w:t xml:space="preserve">, </w:t>
      </w:r>
      <w:r w:rsidRPr="000641B0" w:rsidR="009D369D">
        <w:rPr>
          <w:rFonts w:cstheme="minorHAnsi"/>
          <w:szCs w:val="26"/>
        </w:rPr>
        <w:t>we stated:</w:t>
      </w:r>
      <w:r w:rsidR="007E0585">
        <w:rPr>
          <w:rFonts w:cstheme="minorHAnsi"/>
          <w:szCs w:val="26"/>
        </w:rPr>
        <w:t xml:space="preserve">  </w:t>
      </w:r>
      <w:r w:rsidRPr="000641B0" w:rsidR="009D369D">
        <w:rPr>
          <w:rFonts w:cstheme="minorHAnsi"/>
          <w:szCs w:val="26"/>
        </w:rPr>
        <w:t>“Of course, the prosecution has a well-established duty to disclose information materially favorable to the defense, even absent a request therefor.</w:t>
      </w:r>
      <w:r w:rsidRPr="000641B0" w:rsidR="002F2153">
        <w:rPr>
          <w:rFonts w:cstheme="minorHAnsi"/>
          <w:szCs w:val="26"/>
        </w:rPr>
        <w:t xml:space="preserve"> </w:t>
      </w:r>
      <w:r w:rsidRPr="000641B0" w:rsidR="009D369D">
        <w:rPr>
          <w:rFonts w:cstheme="minorHAnsi"/>
          <w:szCs w:val="26"/>
        </w:rPr>
        <w:t xml:space="preserve"> [Citations.] </w:t>
      </w:r>
      <w:r w:rsidRPr="000641B0" w:rsidR="002F2153">
        <w:rPr>
          <w:rFonts w:cstheme="minorHAnsi"/>
          <w:szCs w:val="26"/>
        </w:rPr>
        <w:t xml:space="preserve"> </w:t>
      </w:r>
      <w:r w:rsidRPr="000641B0" w:rsidR="00877BDB">
        <w:rPr>
          <w:rFonts w:cstheme="minorHAnsi"/>
          <w:szCs w:val="26"/>
        </w:rPr>
        <w:t>‘</w:t>
      </w:r>
      <w:r w:rsidRPr="000641B0" w:rsidR="009D369D">
        <w:rPr>
          <w:rFonts w:cstheme="minorHAnsi"/>
          <w:szCs w:val="26"/>
        </w:rPr>
        <w:t>. . . At trial this duty is enforced by the requirements of due process, but [even] after a conviction the prosecutor . . . is bound by the ethics of his office to inform the appropriate authority of</w:t>
      </w:r>
      <w:r w:rsidR="00BC0A27">
        <w:rPr>
          <w:rFonts w:cstheme="minorHAnsi"/>
          <w:szCs w:val="26"/>
        </w:rPr>
        <w:t> </w:t>
      </w:r>
      <w:r w:rsidRPr="000641B0" w:rsidR="009D369D">
        <w:rPr>
          <w:rFonts w:cstheme="minorHAnsi"/>
          <w:szCs w:val="26"/>
        </w:rPr>
        <w:t>.</w:t>
      </w:r>
      <w:r w:rsidR="00BC0A27">
        <w:rPr>
          <w:rFonts w:cstheme="minorHAnsi"/>
          <w:szCs w:val="26"/>
        </w:rPr>
        <w:t> </w:t>
      </w:r>
      <w:r w:rsidRPr="000641B0" w:rsidR="009D369D">
        <w:rPr>
          <w:rFonts w:cstheme="minorHAnsi"/>
          <w:szCs w:val="26"/>
        </w:rPr>
        <w:t>.</w:t>
      </w:r>
      <w:r w:rsidR="00BC0A27">
        <w:rPr>
          <w:rFonts w:cstheme="minorHAnsi"/>
          <w:szCs w:val="26"/>
        </w:rPr>
        <w:t> </w:t>
      </w:r>
      <w:r w:rsidRPr="000641B0" w:rsidR="009D369D">
        <w:rPr>
          <w:rFonts w:cstheme="minorHAnsi"/>
          <w:szCs w:val="26"/>
        </w:rPr>
        <w:t>.</w:t>
      </w:r>
      <w:r w:rsidR="00BC0A27">
        <w:rPr>
          <w:rFonts w:cstheme="minorHAnsi"/>
          <w:szCs w:val="26"/>
        </w:rPr>
        <w:t> </w:t>
      </w:r>
      <w:r w:rsidRPr="000641B0" w:rsidR="009D369D">
        <w:rPr>
          <w:rFonts w:cstheme="minorHAnsi"/>
          <w:szCs w:val="26"/>
        </w:rPr>
        <w:t>information that casts doubt upon the correctness of the conviction.</w:t>
      </w:r>
      <w:r w:rsidRPr="000641B0" w:rsidR="001E2C5F">
        <w:rPr>
          <w:rFonts w:cstheme="minorHAnsi"/>
          <w:szCs w:val="26"/>
        </w:rPr>
        <w:t>’</w:t>
      </w:r>
      <w:r w:rsidRPr="000641B0" w:rsidR="009D369D">
        <w:rPr>
          <w:rFonts w:cstheme="minorHAnsi"/>
          <w:szCs w:val="26"/>
        </w:rPr>
        <w:t xml:space="preserve"> </w:t>
      </w:r>
      <w:r w:rsidRPr="000641B0" w:rsidR="002F2153">
        <w:rPr>
          <w:rFonts w:cstheme="minorHAnsi"/>
          <w:szCs w:val="26"/>
        </w:rPr>
        <w:t xml:space="preserve"> </w:t>
      </w:r>
      <w:r w:rsidR="006578BE">
        <w:rPr>
          <w:rFonts w:cstheme="minorHAnsi"/>
          <w:szCs w:val="26"/>
        </w:rPr>
        <w:t>[</w:t>
      </w:r>
      <w:r w:rsidR="00FB5394">
        <w:rPr>
          <w:rFonts w:cstheme="minorHAnsi"/>
          <w:szCs w:val="26"/>
        </w:rPr>
        <w:t>C</w:t>
      </w:r>
      <w:r w:rsidR="006578BE">
        <w:rPr>
          <w:rFonts w:cstheme="minorHAnsi"/>
          <w:szCs w:val="26"/>
        </w:rPr>
        <w:t>itation]</w:t>
      </w:r>
      <w:r w:rsidRPr="000641B0" w:rsidR="009D369D">
        <w:rPr>
          <w:rFonts w:cstheme="minorHAnsi"/>
          <w:szCs w:val="26"/>
        </w:rPr>
        <w:t>; see also</w:t>
      </w:r>
      <w:r w:rsidRPr="000641B0" w:rsidR="00EF7E21">
        <w:rPr>
          <w:rFonts w:cstheme="minorHAnsi"/>
          <w:szCs w:val="26"/>
        </w:rPr>
        <w:t xml:space="preserve"> </w:t>
      </w:r>
      <w:r w:rsidRPr="000641B0" w:rsidR="009D369D">
        <w:rPr>
          <w:rFonts w:cstheme="minorHAnsi"/>
          <w:szCs w:val="26"/>
        </w:rPr>
        <w:t>rule 5</w:t>
      </w:r>
      <w:r w:rsidR="00CF761C">
        <w:rPr>
          <w:rFonts w:cstheme="minorHAnsi"/>
          <w:szCs w:val="26"/>
        </w:rPr>
        <w:t>-</w:t>
      </w:r>
      <w:r w:rsidRPr="000641B0" w:rsidR="009D369D">
        <w:rPr>
          <w:rFonts w:cstheme="minorHAnsi"/>
          <w:szCs w:val="26"/>
        </w:rPr>
        <w:t>220, Rules Prof. Conduct of State Bar;</w:t>
      </w:r>
      <w:r w:rsidR="005E7F4E">
        <w:rPr>
          <w:rStyle w:val="FootnoteReference"/>
          <w:rFonts w:cstheme="minorHAnsi"/>
          <w:szCs w:val="26"/>
        </w:rPr>
        <w:t>[</w:t>
      </w:r>
      <w:r>
        <w:rPr>
          <w:rStyle w:val="FootnoteReference"/>
          <w:rFonts w:cstheme="minorHAnsi"/>
          <w:bCs/>
          <w:szCs w:val="26"/>
        </w:rPr>
        <w:footnoteReference w:id="16"/>
      </w:r>
      <w:r w:rsidR="005E7F4E">
        <w:rPr>
          <w:rStyle w:val="FootnoteReference"/>
          <w:rFonts w:cstheme="minorHAnsi"/>
          <w:szCs w:val="26"/>
        </w:rPr>
        <w:t>]</w:t>
      </w:r>
      <w:r w:rsidRPr="000641B0" w:rsidR="009D369D">
        <w:rPr>
          <w:rFonts w:cstheme="minorHAnsi"/>
          <w:szCs w:val="26"/>
        </w:rPr>
        <w:t xml:space="preserve"> ABA Model Code Prof. Responsibility, DR 7</w:t>
      </w:r>
      <w:r w:rsidR="00CF761C">
        <w:rPr>
          <w:rFonts w:cstheme="minorHAnsi"/>
          <w:szCs w:val="26"/>
        </w:rPr>
        <w:t>-</w:t>
      </w:r>
      <w:r w:rsidRPr="000641B0" w:rsidR="009D369D">
        <w:rPr>
          <w:rFonts w:cstheme="minorHAnsi"/>
          <w:szCs w:val="26"/>
        </w:rPr>
        <w:t>103</w:t>
      </w:r>
      <w:r w:rsidRPr="000641B0" w:rsidR="00B74529">
        <w:rPr>
          <w:rFonts w:cstheme="minorHAnsi"/>
          <w:szCs w:val="26"/>
        </w:rPr>
        <w:t xml:space="preserve"> </w:t>
      </w:r>
      <w:r w:rsidRPr="000641B0" w:rsidR="009D369D">
        <w:rPr>
          <w:rFonts w:cstheme="minorHAnsi"/>
          <w:szCs w:val="26"/>
        </w:rPr>
        <w:t>(B), EC 7</w:t>
      </w:r>
      <w:r w:rsidR="00CF761C">
        <w:rPr>
          <w:rFonts w:cstheme="minorHAnsi"/>
          <w:szCs w:val="26"/>
        </w:rPr>
        <w:t>-</w:t>
      </w:r>
      <w:r w:rsidRPr="000641B0" w:rsidR="009D369D">
        <w:rPr>
          <w:rFonts w:cstheme="minorHAnsi"/>
          <w:szCs w:val="26"/>
        </w:rPr>
        <w:t xml:space="preserve">13; ABA Model Rules Prof. Conduct, rule 3.8(d).) </w:t>
      </w:r>
      <w:r w:rsidRPr="000641B0" w:rsidR="001E2C5F">
        <w:rPr>
          <w:rFonts w:cstheme="minorHAnsi"/>
          <w:szCs w:val="26"/>
        </w:rPr>
        <w:t xml:space="preserve"> </w:t>
      </w:r>
      <w:r w:rsidRPr="000641B0" w:rsidR="005C2E30">
        <w:rPr>
          <w:rFonts w:cstheme="minorHAnsi"/>
          <w:szCs w:val="26"/>
        </w:rPr>
        <w:t>[</w:t>
      </w:r>
      <w:r w:rsidRPr="000641B0" w:rsidR="000B0BA2">
        <w:rPr>
          <w:szCs w:val="26"/>
        </w:rPr>
        <w:t>¶</w:t>
      </w:r>
      <w:r w:rsidRPr="000641B0" w:rsidR="005C2E30">
        <w:rPr>
          <w:szCs w:val="26"/>
        </w:rPr>
        <w:t>]</w:t>
      </w:r>
      <w:r w:rsidRPr="000641B0" w:rsidR="000B0BA2">
        <w:rPr>
          <w:rFonts w:cstheme="minorHAnsi"/>
          <w:szCs w:val="26"/>
        </w:rPr>
        <w:t xml:space="preserve">  </w:t>
      </w:r>
      <w:r w:rsidRPr="000641B0" w:rsidR="009D369D">
        <w:rPr>
          <w:rFonts w:cstheme="minorHAnsi"/>
          <w:szCs w:val="26"/>
        </w:rPr>
        <w:t>We expect and assume that if the People</w:t>
      </w:r>
      <w:r w:rsidRPr="000641B0" w:rsidR="006B37E1">
        <w:rPr>
          <w:rFonts w:cstheme="minorHAnsi"/>
          <w:szCs w:val="26"/>
        </w:rPr>
        <w:t>’</w:t>
      </w:r>
      <w:r w:rsidRPr="000641B0" w:rsidR="009D369D">
        <w:rPr>
          <w:rFonts w:cstheme="minorHAnsi"/>
          <w:szCs w:val="26"/>
        </w:rPr>
        <w:t>s lawyers have such information in this or any other case, they will disclose it promptly and fully.</w:t>
      </w:r>
      <w:r w:rsidRPr="000641B0" w:rsidR="001E2C5F">
        <w:rPr>
          <w:rFonts w:cstheme="minorHAnsi"/>
          <w:szCs w:val="26"/>
        </w:rPr>
        <w:t>”</w:t>
      </w:r>
      <w:r w:rsidRPr="000641B0" w:rsidR="008B24D4">
        <w:rPr>
          <w:rFonts w:cstheme="minorHAnsi"/>
          <w:szCs w:val="26"/>
        </w:rPr>
        <w:t xml:space="preserve">  (</w:t>
      </w:r>
      <w:r w:rsidRPr="000641B0" w:rsidR="008B24D4">
        <w:rPr>
          <w:rFonts w:cstheme="minorHAnsi"/>
          <w:i/>
          <w:iCs/>
          <w:szCs w:val="26"/>
        </w:rPr>
        <w:t>Id</w:t>
      </w:r>
      <w:r w:rsidRPr="000641B0" w:rsidR="008B24D4">
        <w:rPr>
          <w:rFonts w:cstheme="minorHAnsi"/>
          <w:szCs w:val="26"/>
        </w:rPr>
        <w:t>. at pp.</w:t>
      </w:r>
      <w:r w:rsidRPr="000641B0" w:rsidR="002F2153">
        <w:rPr>
          <w:rFonts w:cstheme="minorHAnsi"/>
          <w:szCs w:val="26"/>
        </w:rPr>
        <w:t> </w:t>
      </w:r>
      <w:r w:rsidRPr="000641B0" w:rsidR="008B24D4">
        <w:rPr>
          <w:rFonts w:cstheme="minorHAnsi"/>
          <w:szCs w:val="26"/>
        </w:rPr>
        <w:t>1260</w:t>
      </w:r>
      <w:r w:rsidRPr="000641B0" w:rsidR="00EF7AD4">
        <w:rPr>
          <w:bCs/>
        </w:rPr>
        <w:t>–</w:t>
      </w:r>
      <w:r w:rsidRPr="000641B0" w:rsidR="008B24D4">
        <w:rPr>
          <w:rFonts w:cstheme="minorHAnsi"/>
          <w:szCs w:val="26"/>
        </w:rPr>
        <w:t>1261</w:t>
      </w:r>
      <w:r w:rsidRPr="000641B0" w:rsidR="005755FF">
        <w:rPr>
          <w:rFonts w:cstheme="minorHAnsi"/>
          <w:szCs w:val="26"/>
        </w:rPr>
        <w:t>.)</w:t>
      </w:r>
    </w:p>
    <w:p w:rsidR="00961F2B" w:rsidRPr="000641B0" w:rsidP="007E0585" w14:paraId="232097DA" w14:textId="6FA3146C">
      <w:pPr>
        <w:ind w:firstLine="720"/>
        <w:rPr>
          <w:rFonts w:cstheme="minorHAnsi"/>
          <w:szCs w:val="26"/>
        </w:rPr>
      </w:pPr>
      <w:r w:rsidRPr="000641B0">
        <w:rPr>
          <w:rFonts w:cstheme="minorHAnsi"/>
          <w:szCs w:val="26"/>
        </w:rPr>
        <w:t>In</w:t>
      </w:r>
      <w:r w:rsidRPr="000641B0">
        <w:rPr>
          <w:rFonts w:cstheme="minorHAnsi"/>
          <w:i/>
          <w:iCs/>
          <w:szCs w:val="26"/>
        </w:rPr>
        <w:t xml:space="preserve"> </w:t>
      </w:r>
      <w:bookmarkStart w:id="47" w:name="_Hlk115253099"/>
      <w:r w:rsidRPr="000641B0">
        <w:rPr>
          <w:rFonts w:cstheme="minorHAnsi"/>
          <w:i/>
          <w:iCs/>
          <w:szCs w:val="26"/>
        </w:rPr>
        <w:t>In re Steele</w:t>
      </w:r>
      <w:r w:rsidRPr="000641B0">
        <w:rPr>
          <w:rFonts w:cstheme="minorHAnsi"/>
          <w:szCs w:val="26"/>
        </w:rPr>
        <w:t xml:space="preserve"> (2004) 32 Cal.4th 682</w:t>
      </w:r>
      <w:bookmarkEnd w:id="47"/>
      <w:r w:rsidRPr="000641B0">
        <w:rPr>
          <w:rFonts w:cstheme="minorHAnsi"/>
          <w:szCs w:val="26"/>
        </w:rPr>
        <w:t>, we noted the Attorney General argued that the fact that prosecutors have a continuing ethical duty to disclose exculpatory evidence obviated the need to interpret section 1054.9 as providing for the postconviction discovery of such evidence:</w:t>
      </w:r>
      <w:r w:rsidR="007E0585">
        <w:rPr>
          <w:rFonts w:cstheme="minorHAnsi"/>
          <w:szCs w:val="26"/>
        </w:rPr>
        <w:t xml:space="preserve">  </w:t>
      </w:r>
      <w:r w:rsidRPr="000641B0">
        <w:rPr>
          <w:rFonts w:cstheme="minorHAnsi"/>
          <w:szCs w:val="26"/>
        </w:rPr>
        <w:t xml:space="preserve">“The Attorney General also argues that, as we pointed out in </w:t>
      </w:r>
      <w:r w:rsidRPr="000641B0">
        <w:rPr>
          <w:rFonts w:cstheme="minorHAnsi"/>
          <w:i/>
          <w:iCs/>
          <w:szCs w:val="26"/>
        </w:rPr>
        <w:t>People v. Gonzalez</w:t>
      </w:r>
      <w:r w:rsidRPr="000641B0">
        <w:rPr>
          <w:rFonts w:cstheme="minorHAnsi"/>
          <w:szCs w:val="26"/>
        </w:rPr>
        <w:t>,</w:t>
      </w:r>
      <w:r w:rsidRPr="000641B0">
        <w:rPr>
          <w:rFonts w:cstheme="minorHAnsi"/>
          <w:i/>
          <w:iCs/>
          <w:szCs w:val="26"/>
        </w:rPr>
        <w:t xml:space="preserve"> supra</w:t>
      </w:r>
      <w:r w:rsidRPr="000641B0">
        <w:rPr>
          <w:rFonts w:cstheme="minorHAnsi"/>
          <w:szCs w:val="26"/>
        </w:rPr>
        <w:t>, 51 Cal.3d at pages 1260</w:t>
      </w:r>
      <w:r w:rsidRPr="000641B0" w:rsidR="00527603">
        <w:rPr>
          <w:rFonts w:cstheme="minorHAnsi"/>
          <w:szCs w:val="26"/>
        </w:rPr>
        <w:t xml:space="preserve"> and </w:t>
      </w:r>
      <w:r w:rsidRPr="000641B0">
        <w:rPr>
          <w:rFonts w:cstheme="minorHAnsi"/>
          <w:szCs w:val="26"/>
        </w:rPr>
        <w:t xml:space="preserve">1261, prosecutors have a continuing duty to disclose information favorable to the defense, and we expect and assume that they will perform this duty promptly and fully, and, moreover, that </w:t>
      </w:r>
      <w:r w:rsidRPr="000641B0" w:rsidR="00527603">
        <w:rPr>
          <w:rFonts w:cstheme="minorHAnsi"/>
          <w:szCs w:val="26"/>
        </w:rPr>
        <w:t>‘[</w:t>
      </w:r>
      <w:r w:rsidRPr="000641B0">
        <w:rPr>
          <w:rFonts w:cstheme="minorHAnsi"/>
          <w:szCs w:val="26"/>
        </w:rPr>
        <w:t>i]t is presumed that official duty has been regularly performed</w:t>
      </w:r>
      <w:r w:rsidRPr="000641B0" w:rsidR="00527603">
        <w:rPr>
          <w:rFonts w:cstheme="minorHAnsi"/>
          <w:szCs w:val="26"/>
        </w:rPr>
        <w:t xml:space="preserve">.’  </w:t>
      </w:r>
      <w:r w:rsidRPr="000641B0">
        <w:rPr>
          <w:rFonts w:cstheme="minorHAnsi"/>
          <w:szCs w:val="26"/>
        </w:rPr>
        <w:t>(Evid. Code, §</w:t>
      </w:r>
      <w:r w:rsidR="0096449C">
        <w:rPr>
          <w:rFonts w:cstheme="minorHAnsi"/>
          <w:szCs w:val="26"/>
        </w:rPr>
        <w:t> </w:t>
      </w:r>
      <w:r w:rsidRPr="000641B0">
        <w:rPr>
          <w:rFonts w:cstheme="minorHAnsi"/>
          <w:szCs w:val="26"/>
        </w:rPr>
        <w:t>664.)</w:t>
      </w:r>
      <w:r w:rsidRPr="000641B0" w:rsidR="00417179">
        <w:rPr>
          <w:rFonts w:cstheme="minorHAnsi"/>
          <w:szCs w:val="26"/>
        </w:rPr>
        <w:t xml:space="preserve"> </w:t>
      </w:r>
      <w:r w:rsidRPr="000641B0">
        <w:rPr>
          <w:rFonts w:cstheme="minorHAnsi"/>
          <w:szCs w:val="26"/>
        </w:rPr>
        <w:t xml:space="preserve"> Accordingly, he urges, any interpretation of section</w:t>
      </w:r>
      <w:r w:rsidR="00B74529">
        <w:rPr>
          <w:rFonts w:cstheme="minorHAnsi"/>
          <w:szCs w:val="26"/>
        </w:rPr>
        <w:t> </w:t>
      </w:r>
      <w:r w:rsidRPr="000641B0">
        <w:rPr>
          <w:rFonts w:cstheme="minorHAnsi"/>
          <w:szCs w:val="26"/>
        </w:rPr>
        <w:t xml:space="preserve">1054.9 that extends to discovery the prosecution should have provided at time of trial makes it redundant of other law. </w:t>
      </w:r>
      <w:r w:rsidRPr="000641B0" w:rsidR="003E5629">
        <w:rPr>
          <w:rFonts w:cstheme="minorHAnsi"/>
          <w:szCs w:val="26"/>
        </w:rPr>
        <w:t xml:space="preserve"> </w:t>
      </w:r>
      <w:r w:rsidRPr="000641B0">
        <w:rPr>
          <w:rFonts w:cstheme="minorHAnsi"/>
          <w:szCs w:val="26"/>
        </w:rPr>
        <w:t xml:space="preserve">However, the expectation and assumption we stated in </w:t>
      </w:r>
      <w:r w:rsidRPr="000641B0">
        <w:rPr>
          <w:rFonts w:cstheme="minorHAnsi"/>
          <w:i/>
          <w:iCs/>
          <w:szCs w:val="26"/>
        </w:rPr>
        <w:t>Gonzalez</w:t>
      </w:r>
      <w:r w:rsidRPr="000641B0">
        <w:rPr>
          <w:rFonts w:cstheme="minorHAnsi"/>
          <w:szCs w:val="26"/>
        </w:rPr>
        <w:t xml:space="preserve"> merely mean that normally, and unless the defendant overcomes Evidence Code section 664</w:t>
      </w:r>
      <w:r w:rsidRPr="000641B0" w:rsidR="000E0FEF">
        <w:rPr>
          <w:rFonts w:cstheme="minorHAnsi"/>
          <w:szCs w:val="26"/>
        </w:rPr>
        <w:t>’</w:t>
      </w:r>
      <w:r w:rsidRPr="000641B0">
        <w:rPr>
          <w:rFonts w:cstheme="minorHAnsi"/>
          <w:szCs w:val="26"/>
        </w:rPr>
        <w:t>s presumption as to specific evidence, there will be no discovery for the trial court to order that the prosecutor should have provided at trial.”</w:t>
      </w:r>
      <w:r w:rsidRPr="000641B0" w:rsidR="00457DDF">
        <w:rPr>
          <w:rFonts w:cstheme="minorHAnsi"/>
          <w:szCs w:val="26"/>
        </w:rPr>
        <w:t xml:space="preserve"> </w:t>
      </w:r>
      <w:r w:rsidRPr="000641B0">
        <w:rPr>
          <w:rFonts w:cstheme="minorHAnsi"/>
          <w:szCs w:val="26"/>
        </w:rPr>
        <w:t xml:space="preserve"> (</w:t>
      </w:r>
      <w:r w:rsidRPr="000641B0" w:rsidR="00866282">
        <w:rPr>
          <w:rFonts w:cstheme="minorHAnsi"/>
          <w:i/>
          <w:iCs/>
          <w:szCs w:val="26"/>
        </w:rPr>
        <w:t>In re Steele</w:t>
      </w:r>
      <w:r w:rsidRPr="000641B0" w:rsidR="00866282">
        <w:rPr>
          <w:rFonts w:cstheme="minorHAnsi"/>
          <w:szCs w:val="26"/>
        </w:rPr>
        <w:t>,</w:t>
      </w:r>
      <w:r w:rsidRPr="000641B0" w:rsidR="00866282">
        <w:rPr>
          <w:rFonts w:cstheme="minorHAnsi"/>
          <w:i/>
          <w:iCs/>
          <w:szCs w:val="26"/>
        </w:rPr>
        <w:t xml:space="preserve"> </w:t>
      </w:r>
      <w:r w:rsidRPr="000641B0">
        <w:rPr>
          <w:rFonts w:cstheme="minorHAnsi"/>
          <w:szCs w:val="26"/>
        </w:rPr>
        <w:t>at p. 694.)</w:t>
      </w:r>
    </w:p>
    <w:p w:rsidR="003A1B10" w:rsidRPr="000641B0" w:rsidP="000641B0" w14:paraId="4E0218FA" w14:textId="6F9E57F5">
      <w:pPr>
        <w:ind w:firstLine="720"/>
        <w:rPr>
          <w:rFonts w:cstheme="minorHAnsi"/>
          <w:szCs w:val="26"/>
        </w:rPr>
      </w:pPr>
      <w:r w:rsidRPr="000641B0">
        <w:rPr>
          <w:rFonts w:cstheme="minorHAnsi"/>
          <w:szCs w:val="26"/>
        </w:rPr>
        <w:t>Finally,</w:t>
      </w:r>
      <w:r w:rsidRPr="000641B0">
        <w:rPr>
          <w:rFonts w:cstheme="minorHAnsi"/>
          <w:i/>
          <w:iCs/>
          <w:szCs w:val="26"/>
        </w:rPr>
        <w:t xml:space="preserve"> </w:t>
      </w:r>
      <w:r w:rsidRPr="000641B0">
        <w:rPr>
          <w:rFonts w:cstheme="minorHAnsi"/>
          <w:szCs w:val="26"/>
        </w:rPr>
        <w:t>i</w:t>
      </w:r>
      <w:r w:rsidRPr="000641B0" w:rsidR="00A730DF">
        <w:rPr>
          <w:rFonts w:cstheme="minorHAnsi"/>
          <w:szCs w:val="26"/>
        </w:rPr>
        <w:t>n</w:t>
      </w:r>
      <w:r w:rsidRPr="000641B0" w:rsidR="00FF7180">
        <w:rPr>
          <w:rFonts w:cstheme="minorHAnsi"/>
          <w:i/>
          <w:iCs/>
          <w:szCs w:val="26"/>
        </w:rPr>
        <w:t xml:space="preserve"> </w:t>
      </w:r>
      <w:bookmarkStart w:id="48" w:name="_Hlk115253107"/>
      <w:r w:rsidRPr="000641B0" w:rsidR="00FF7180">
        <w:rPr>
          <w:rFonts w:cstheme="minorHAnsi"/>
          <w:i/>
          <w:iCs/>
          <w:szCs w:val="26"/>
        </w:rPr>
        <w:t>In</w:t>
      </w:r>
      <w:r w:rsidRPr="000641B0" w:rsidR="00A730DF">
        <w:rPr>
          <w:rFonts w:cstheme="minorHAnsi"/>
          <w:i/>
          <w:iCs/>
          <w:szCs w:val="26"/>
        </w:rPr>
        <w:t xml:space="preserve"> re Lawley</w:t>
      </w:r>
      <w:r w:rsidRPr="000641B0" w:rsidR="00A730DF">
        <w:rPr>
          <w:rFonts w:cstheme="minorHAnsi"/>
          <w:szCs w:val="26"/>
        </w:rPr>
        <w:t xml:space="preserve"> (2008) 42 Cal.4th 1231</w:t>
      </w:r>
      <w:bookmarkEnd w:id="48"/>
      <w:r w:rsidR="00713ABB">
        <w:rPr>
          <w:rFonts w:cstheme="minorHAnsi"/>
          <w:szCs w:val="26"/>
        </w:rPr>
        <w:t xml:space="preserve"> (</w:t>
      </w:r>
      <w:r w:rsidRPr="002C58F5" w:rsidR="002C58F5">
        <w:rPr>
          <w:rFonts w:cstheme="minorHAnsi"/>
          <w:i/>
          <w:iCs/>
          <w:szCs w:val="26"/>
        </w:rPr>
        <w:t>In re</w:t>
      </w:r>
      <w:r w:rsidR="002C58F5">
        <w:rPr>
          <w:rFonts w:cstheme="minorHAnsi"/>
          <w:szCs w:val="26"/>
        </w:rPr>
        <w:t xml:space="preserve"> </w:t>
      </w:r>
      <w:r w:rsidRPr="002C58F5" w:rsidR="00713ABB">
        <w:rPr>
          <w:rFonts w:cstheme="minorHAnsi"/>
          <w:i/>
          <w:iCs/>
          <w:szCs w:val="26"/>
        </w:rPr>
        <w:t>Lawley</w:t>
      </w:r>
      <w:r w:rsidR="00713ABB">
        <w:rPr>
          <w:rFonts w:cstheme="minorHAnsi"/>
          <w:szCs w:val="26"/>
        </w:rPr>
        <w:t>)</w:t>
      </w:r>
      <w:r w:rsidRPr="000641B0" w:rsidR="00A730DF">
        <w:rPr>
          <w:rFonts w:cstheme="minorHAnsi"/>
          <w:szCs w:val="26"/>
        </w:rPr>
        <w:t xml:space="preserve">, </w:t>
      </w:r>
      <w:r w:rsidRPr="000641B0" w:rsidR="00881DAE">
        <w:rPr>
          <w:rFonts w:cstheme="minorHAnsi"/>
          <w:szCs w:val="26"/>
        </w:rPr>
        <w:t xml:space="preserve">we repeated </w:t>
      </w:r>
      <w:r w:rsidRPr="000641B0" w:rsidR="003E5629">
        <w:rPr>
          <w:rFonts w:cstheme="minorHAnsi"/>
          <w:szCs w:val="26"/>
        </w:rPr>
        <w:t xml:space="preserve">our </w:t>
      </w:r>
      <w:r w:rsidRPr="000641B0" w:rsidR="008B590B">
        <w:rPr>
          <w:rFonts w:cstheme="minorHAnsi"/>
          <w:szCs w:val="26"/>
        </w:rPr>
        <w:t xml:space="preserve">admonition </w:t>
      </w:r>
      <w:r w:rsidRPr="000641B0" w:rsidR="003E5629">
        <w:rPr>
          <w:rFonts w:cstheme="minorHAnsi"/>
          <w:szCs w:val="26"/>
        </w:rPr>
        <w:t xml:space="preserve">from </w:t>
      </w:r>
      <w:r w:rsidRPr="000641B0" w:rsidR="003E5629">
        <w:rPr>
          <w:rFonts w:cstheme="minorHAnsi"/>
          <w:i/>
          <w:iCs/>
          <w:szCs w:val="26"/>
        </w:rPr>
        <w:t>Gonzalez</w:t>
      </w:r>
      <w:r w:rsidRPr="000641B0" w:rsidR="003E5629">
        <w:rPr>
          <w:rFonts w:cstheme="minorHAnsi"/>
          <w:szCs w:val="26"/>
        </w:rPr>
        <w:t xml:space="preserve"> </w:t>
      </w:r>
      <w:r w:rsidRPr="000641B0" w:rsidR="008B590B">
        <w:rPr>
          <w:rFonts w:cstheme="minorHAnsi"/>
          <w:szCs w:val="26"/>
        </w:rPr>
        <w:t xml:space="preserve">concerning </w:t>
      </w:r>
      <w:r w:rsidRPr="000641B0" w:rsidR="003E5629">
        <w:rPr>
          <w:rFonts w:cstheme="minorHAnsi"/>
          <w:szCs w:val="26"/>
        </w:rPr>
        <w:t xml:space="preserve">the </w:t>
      </w:r>
      <w:r w:rsidRPr="000641B0" w:rsidR="00EF29F3">
        <w:rPr>
          <w:rFonts w:cstheme="minorHAnsi"/>
          <w:szCs w:val="26"/>
        </w:rPr>
        <w:t xml:space="preserve">continuing </w:t>
      </w:r>
      <w:r w:rsidRPr="000641B0" w:rsidR="00C02EB4">
        <w:rPr>
          <w:rFonts w:cstheme="minorHAnsi"/>
          <w:szCs w:val="26"/>
        </w:rPr>
        <w:t>ethical duties of a prosecutor</w:t>
      </w:r>
      <w:r w:rsidRPr="000641B0" w:rsidR="005B1ADA">
        <w:rPr>
          <w:rFonts w:cstheme="minorHAnsi"/>
          <w:szCs w:val="26"/>
        </w:rPr>
        <w:t> —</w:t>
      </w:r>
      <w:r w:rsidR="005E7F4E">
        <w:rPr>
          <w:rFonts w:cstheme="minorHAnsi"/>
          <w:szCs w:val="26"/>
        </w:rPr>
        <w:t xml:space="preserve"> </w:t>
      </w:r>
      <w:r w:rsidRPr="000641B0" w:rsidR="00EF29F3">
        <w:rPr>
          <w:rFonts w:cstheme="minorHAnsi"/>
          <w:szCs w:val="26"/>
        </w:rPr>
        <w:t>in</w:t>
      </w:r>
      <w:r w:rsidRPr="000641B0" w:rsidR="005B1ADA">
        <w:rPr>
          <w:rFonts w:cstheme="minorHAnsi"/>
          <w:szCs w:val="26"/>
        </w:rPr>
        <w:t xml:space="preserve"> </w:t>
      </w:r>
      <w:r w:rsidRPr="000641B0" w:rsidR="00EF29F3">
        <w:rPr>
          <w:rFonts w:cstheme="minorHAnsi"/>
          <w:szCs w:val="26"/>
        </w:rPr>
        <w:t>the postconviction setting</w:t>
      </w:r>
      <w:r w:rsidRPr="000641B0" w:rsidR="005B1ADA">
        <w:rPr>
          <w:rFonts w:cstheme="minorHAnsi"/>
          <w:szCs w:val="26"/>
        </w:rPr>
        <w:t> —</w:t>
      </w:r>
      <w:r w:rsidR="005E7F4E">
        <w:rPr>
          <w:rFonts w:cstheme="minorHAnsi"/>
          <w:szCs w:val="26"/>
        </w:rPr>
        <w:t xml:space="preserve"> </w:t>
      </w:r>
      <w:r w:rsidRPr="000641B0" w:rsidR="00EF29F3">
        <w:rPr>
          <w:rFonts w:cstheme="minorHAnsi"/>
          <w:szCs w:val="26"/>
        </w:rPr>
        <w:t>to</w:t>
      </w:r>
      <w:r w:rsidRPr="000641B0" w:rsidR="005B1ADA">
        <w:rPr>
          <w:rFonts w:cstheme="minorHAnsi"/>
          <w:szCs w:val="26"/>
        </w:rPr>
        <w:t xml:space="preserve"> </w:t>
      </w:r>
      <w:r w:rsidRPr="000641B0" w:rsidR="00EF29F3">
        <w:rPr>
          <w:rFonts w:cstheme="minorHAnsi"/>
          <w:szCs w:val="26"/>
        </w:rPr>
        <w:t>disclose evidence that should have been disclosed at trial</w:t>
      </w:r>
      <w:r w:rsidRPr="000641B0" w:rsidR="00C02EB4">
        <w:rPr>
          <w:rFonts w:cstheme="minorHAnsi"/>
          <w:szCs w:val="26"/>
        </w:rPr>
        <w:t xml:space="preserve">, this time specifically quoting </w:t>
      </w:r>
      <w:r w:rsidRPr="000641B0">
        <w:rPr>
          <w:rFonts w:cstheme="minorHAnsi"/>
          <w:szCs w:val="26"/>
        </w:rPr>
        <w:t>A</w:t>
      </w:r>
      <w:r w:rsidR="009D7743">
        <w:rPr>
          <w:rFonts w:cstheme="minorHAnsi"/>
          <w:szCs w:val="26"/>
        </w:rPr>
        <w:t xml:space="preserve">merican </w:t>
      </w:r>
      <w:r w:rsidRPr="000641B0">
        <w:rPr>
          <w:rFonts w:cstheme="minorHAnsi"/>
          <w:szCs w:val="26"/>
        </w:rPr>
        <w:t>B</w:t>
      </w:r>
      <w:r w:rsidR="009D7743">
        <w:rPr>
          <w:rFonts w:cstheme="minorHAnsi"/>
          <w:szCs w:val="26"/>
        </w:rPr>
        <w:t xml:space="preserve">ar </w:t>
      </w:r>
      <w:r w:rsidRPr="000641B0">
        <w:rPr>
          <w:rFonts w:cstheme="minorHAnsi"/>
          <w:szCs w:val="26"/>
        </w:rPr>
        <w:t>A</w:t>
      </w:r>
      <w:r w:rsidR="009D7743">
        <w:rPr>
          <w:rFonts w:cstheme="minorHAnsi"/>
          <w:szCs w:val="26"/>
        </w:rPr>
        <w:t>ssociation</w:t>
      </w:r>
      <w:r w:rsidRPr="000641B0">
        <w:rPr>
          <w:rFonts w:cstheme="minorHAnsi"/>
          <w:szCs w:val="26"/>
        </w:rPr>
        <w:t xml:space="preserve"> Model Rules </w:t>
      </w:r>
      <w:r w:rsidRPr="000641B0" w:rsidR="00C94CCE">
        <w:rPr>
          <w:rFonts w:cstheme="minorHAnsi"/>
          <w:szCs w:val="26"/>
        </w:rPr>
        <w:t xml:space="preserve">of </w:t>
      </w:r>
      <w:r w:rsidRPr="000641B0">
        <w:rPr>
          <w:rFonts w:cstheme="minorHAnsi"/>
          <w:szCs w:val="26"/>
        </w:rPr>
        <w:t>Prof</w:t>
      </w:r>
      <w:r w:rsidRPr="000641B0" w:rsidR="00C94CCE">
        <w:rPr>
          <w:rFonts w:cstheme="minorHAnsi"/>
          <w:szCs w:val="26"/>
        </w:rPr>
        <w:t xml:space="preserve">essional </w:t>
      </w:r>
      <w:r w:rsidRPr="000641B0">
        <w:rPr>
          <w:rFonts w:cstheme="minorHAnsi"/>
          <w:szCs w:val="26"/>
        </w:rPr>
        <w:t>Conduct, rule 3.8</w:t>
      </w:r>
      <w:r w:rsidRPr="000641B0" w:rsidR="0082245F">
        <w:rPr>
          <w:rFonts w:cstheme="minorHAnsi"/>
          <w:szCs w:val="26"/>
        </w:rPr>
        <w:t>(d)</w:t>
      </w:r>
      <w:r w:rsidRPr="000641B0">
        <w:rPr>
          <w:rFonts w:cstheme="minorHAnsi"/>
          <w:szCs w:val="26"/>
        </w:rPr>
        <w:t xml:space="preserve"> </w:t>
      </w:r>
      <w:r w:rsidRPr="000641B0" w:rsidR="00035F9E">
        <w:rPr>
          <w:bCs/>
        </w:rPr>
        <w:t xml:space="preserve">(ABA Model </w:t>
      </w:r>
      <w:r w:rsidRPr="000641B0" w:rsidR="00832C08">
        <w:rPr>
          <w:bCs/>
        </w:rPr>
        <w:t>Rule</w:t>
      </w:r>
      <w:r w:rsidR="00832C08">
        <w:rPr>
          <w:bCs/>
        </w:rPr>
        <w:t> </w:t>
      </w:r>
      <w:r w:rsidRPr="000641B0" w:rsidR="00035F9E">
        <w:rPr>
          <w:bCs/>
        </w:rPr>
        <w:t>3.8(d)</w:t>
      </w:r>
      <w:r w:rsidRPr="000641B0" w:rsidR="00035F9E">
        <w:rPr>
          <w:rFonts w:cstheme="minorHAnsi"/>
          <w:szCs w:val="26"/>
        </w:rPr>
        <w:t xml:space="preserve">) </w:t>
      </w:r>
      <w:r w:rsidRPr="000641B0">
        <w:rPr>
          <w:rFonts w:cstheme="minorHAnsi"/>
          <w:szCs w:val="26"/>
        </w:rPr>
        <w:t>as providing</w:t>
      </w:r>
      <w:r w:rsidRPr="000641B0" w:rsidR="000C5762">
        <w:rPr>
          <w:rFonts w:cstheme="minorHAnsi"/>
          <w:szCs w:val="26"/>
        </w:rPr>
        <w:t>,</w:t>
      </w:r>
      <w:r w:rsidRPr="000641B0">
        <w:rPr>
          <w:rFonts w:cstheme="minorHAnsi"/>
          <w:szCs w:val="26"/>
        </w:rPr>
        <w:t xml:space="preserve"> “</w:t>
      </w:r>
      <w:r w:rsidRPr="000641B0" w:rsidR="005F7082">
        <w:rPr>
          <w:rFonts w:cstheme="minorHAnsi"/>
          <w:szCs w:val="26"/>
        </w:rPr>
        <w:t> </w:t>
      </w:r>
      <w:r w:rsidRPr="000641B0" w:rsidR="00527603">
        <w:rPr>
          <w:rFonts w:cstheme="minorHAnsi"/>
          <w:szCs w:val="26"/>
        </w:rPr>
        <w:t>‘</w:t>
      </w:r>
      <w:r w:rsidRPr="000641B0">
        <w:rPr>
          <w:rFonts w:cstheme="minorHAnsi"/>
          <w:szCs w:val="26"/>
        </w:rPr>
        <w:t>The prosecutor in a criminal case shall:</w:t>
      </w:r>
      <w:r w:rsidRPr="000641B0" w:rsidR="007B6314">
        <w:rPr>
          <w:rFonts w:cstheme="minorHAnsi"/>
          <w:szCs w:val="26"/>
        </w:rPr>
        <w:t xml:space="preserve"> </w:t>
      </w:r>
      <w:r w:rsidRPr="000641B0">
        <w:rPr>
          <w:rFonts w:cstheme="minorHAnsi"/>
          <w:szCs w:val="26"/>
        </w:rPr>
        <w:t xml:space="preserve"> [¶] .</w:t>
      </w:r>
      <w:r w:rsidRPr="000641B0" w:rsidR="00BC5DD0">
        <w:rPr>
          <w:rFonts w:cstheme="minorHAnsi"/>
          <w:szCs w:val="26"/>
        </w:rPr>
        <w:t xml:space="preserve"> </w:t>
      </w:r>
      <w:r w:rsidRPr="000641B0">
        <w:rPr>
          <w:rFonts w:cstheme="minorHAnsi"/>
          <w:szCs w:val="26"/>
        </w:rPr>
        <w:t>.</w:t>
      </w:r>
      <w:r w:rsidRPr="000641B0" w:rsidR="00BC5DD0">
        <w:rPr>
          <w:rFonts w:cstheme="minorHAnsi"/>
          <w:szCs w:val="26"/>
        </w:rPr>
        <w:t xml:space="preserve"> </w:t>
      </w:r>
      <w:r w:rsidRPr="000641B0">
        <w:rPr>
          <w:rFonts w:cstheme="minorHAnsi"/>
          <w:szCs w:val="26"/>
        </w:rPr>
        <w:t>. [¶] (d) make timely disclosure to the defense of all evidence or information known to the prosecutor that tends to negate the guilt of the accused or mitigates the offense</w:t>
      </w:r>
      <w:r w:rsidRPr="000641B0" w:rsidR="002A273D">
        <w:rPr>
          <w:rFonts w:cstheme="minorHAnsi"/>
          <w:szCs w:val="26"/>
        </w:rPr>
        <w:t>.</w:t>
      </w:r>
      <w:r w:rsidRPr="000641B0" w:rsidR="00527603">
        <w:rPr>
          <w:rFonts w:cstheme="minorHAnsi"/>
          <w:szCs w:val="26"/>
        </w:rPr>
        <w:t>’</w:t>
      </w:r>
      <w:r w:rsidRPr="000641B0" w:rsidR="005F7082">
        <w:rPr>
          <w:rFonts w:cstheme="minorHAnsi"/>
          <w:szCs w:val="26"/>
        </w:rPr>
        <w:t> </w:t>
      </w:r>
      <w:r w:rsidRPr="000641B0">
        <w:rPr>
          <w:rFonts w:cstheme="minorHAnsi"/>
          <w:szCs w:val="26"/>
        </w:rPr>
        <w:t>”</w:t>
      </w:r>
      <w:r w:rsidRPr="000641B0" w:rsidR="002A273D">
        <w:rPr>
          <w:rFonts w:cstheme="minorHAnsi"/>
          <w:szCs w:val="26"/>
        </w:rPr>
        <w:t xml:space="preserve"> </w:t>
      </w:r>
      <w:r w:rsidRPr="000641B0" w:rsidR="00FF7180">
        <w:rPr>
          <w:rFonts w:cstheme="minorHAnsi"/>
          <w:szCs w:val="26"/>
        </w:rPr>
        <w:t xml:space="preserve"> </w:t>
      </w:r>
      <w:r w:rsidRPr="000641B0" w:rsidR="002A273D">
        <w:rPr>
          <w:rFonts w:cstheme="minorHAnsi"/>
          <w:szCs w:val="26"/>
        </w:rPr>
        <w:t>(</w:t>
      </w:r>
      <w:r w:rsidRPr="000641B0" w:rsidR="00C40501">
        <w:rPr>
          <w:rFonts w:cstheme="minorHAnsi"/>
          <w:i/>
          <w:iCs/>
          <w:szCs w:val="26"/>
        </w:rPr>
        <w:t>In re</w:t>
      </w:r>
      <w:r w:rsidRPr="000641B0" w:rsidR="00C40501">
        <w:rPr>
          <w:rFonts w:cstheme="minorHAnsi"/>
          <w:szCs w:val="26"/>
        </w:rPr>
        <w:t xml:space="preserve"> </w:t>
      </w:r>
      <w:r w:rsidRPr="000641B0" w:rsidR="00C40501">
        <w:rPr>
          <w:rFonts w:cstheme="minorHAnsi"/>
          <w:i/>
          <w:iCs/>
          <w:szCs w:val="26"/>
        </w:rPr>
        <w:t>Lawley</w:t>
      </w:r>
      <w:r w:rsidRPr="000641B0" w:rsidR="00C40501">
        <w:rPr>
          <w:rFonts w:cstheme="minorHAnsi"/>
          <w:szCs w:val="26"/>
        </w:rPr>
        <w:t>,</w:t>
      </w:r>
      <w:r w:rsidRPr="000641B0" w:rsidR="00C40501">
        <w:rPr>
          <w:rFonts w:cstheme="minorHAnsi"/>
          <w:i/>
          <w:iCs/>
          <w:szCs w:val="26"/>
        </w:rPr>
        <w:t xml:space="preserve"> </w:t>
      </w:r>
      <w:r w:rsidRPr="000641B0" w:rsidR="002A273D">
        <w:rPr>
          <w:rFonts w:cstheme="minorHAnsi"/>
          <w:szCs w:val="26"/>
        </w:rPr>
        <w:t>at p.</w:t>
      </w:r>
      <w:r w:rsidRPr="000641B0" w:rsidR="005B1ADA">
        <w:rPr>
          <w:rFonts w:cstheme="minorHAnsi"/>
          <w:szCs w:val="26"/>
        </w:rPr>
        <w:t> </w:t>
      </w:r>
      <w:r w:rsidRPr="000641B0" w:rsidR="002A273D">
        <w:rPr>
          <w:rFonts w:cstheme="minorHAnsi"/>
          <w:szCs w:val="26"/>
        </w:rPr>
        <w:t>1246</w:t>
      </w:r>
      <w:r w:rsidRPr="000641B0" w:rsidR="005B1ADA">
        <w:rPr>
          <w:rFonts w:cstheme="minorHAnsi"/>
          <w:szCs w:val="26"/>
        </w:rPr>
        <w:t xml:space="preserve">; see </w:t>
      </w:r>
      <w:r w:rsidRPr="000641B0" w:rsidR="005B1ADA">
        <w:rPr>
          <w:rFonts w:cstheme="minorHAnsi"/>
          <w:i/>
          <w:iCs/>
          <w:szCs w:val="26"/>
        </w:rPr>
        <w:t>ibid</w:t>
      </w:r>
      <w:r w:rsidRPr="000641B0" w:rsidR="005B1ADA">
        <w:rPr>
          <w:rFonts w:cstheme="minorHAnsi"/>
          <w:szCs w:val="26"/>
        </w:rPr>
        <w:t>.</w:t>
      </w:r>
      <w:r w:rsidRPr="000641B0" w:rsidR="0022452D">
        <w:rPr>
          <w:rFonts w:cstheme="minorHAnsi"/>
          <w:szCs w:val="26"/>
        </w:rPr>
        <w:t xml:space="preserve"> </w:t>
      </w:r>
      <w:r w:rsidRPr="000641B0" w:rsidR="004C4C30">
        <w:rPr>
          <w:rFonts w:cstheme="minorHAnsi"/>
          <w:szCs w:val="26"/>
        </w:rPr>
        <w:t>[“Before and during trial, due process requires the prosecution to disclose to the defense evidence that is material and exculpatory.</w:t>
      </w:r>
      <w:r w:rsidR="00713ABB">
        <w:rPr>
          <w:rFonts w:cstheme="minorHAnsi"/>
          <w:szCs w:val="26"/>
        </w:rPr>
        <w:t xml:space="preserve">  [Citations.]  </w:t>
      </w:r>
      <w:r w:rsidRPr="000641B0" w:rsidR="004C4C30">
        <w:rPr>
          <w:rFonts w:cstheme="minorHAnsi"/>
          <w:szCs w:val="26"/>
        </w:rPr>
        <w:t>This obligation continues after trial</w:t>
      </w:r>
      <w:r w:rsidR="009D7743">
        <w:rPr>
          <w:rFonts w:cstheme="minorHAnsi"/>
          <w:szCs w:val="26"/>
        </w:rPr>
        <w:t>.</w:t>
      </w:r>
      <w:r w:rsidRPr="000641B0" w:rsidR="004C4C30">
        <w:rPr>
          <w:rFonts w:cstheme="minorHAnsi"/>
          <w:szCs w:val="26"/>
        </w:rPr>
        <w:t>”</w:t>
      </w:r>
      <w:r w:rsidR="004E2A41">
        <w:rPr>
          <w:rFonts w:cstheme="minorHAnsi"/>
          <w:szCs w:val="26"/>
        </w:rPr>
        <w:t xml:space="preserve"> </w:t>
      </w:r>
      <w:r w:rsidR="00E57AF8">
        <w:rPr>
          <w:rFonts w:cstheme="minorHAnsi"/>
          <w:szCs w:val="26"/>
        </w:rPr>
        <w:t xml:space="preserve"> </w:t>
      </w:r>
      <w:r w:rsidR="009D7743">
        <w:rPr>
          <w:rFonts w:cstheme="minorHAnsi"/>
          <w:szCs w:val="26"/>
        </w:rPr>
        <w:t>(</w:t>
      </w:r>
      <w:r w:rsidR="004E2A41">
        <w:rPr>
          <w:rFonts w:cstheme="minorHAnsi"/>
          <w:szCs w:val="26"/>
        </w:rPr>
        <w:t>C</w:t>
      </w:r>
      <w:r w:rsidR="00E57AF8">
        <w:rPr>
          <w:rFonts w:cstheme="minorHAnsi"/>
          <w:szCs w:val="26"/>
        </w:rPr>
        <w:t>iting</w:t>
      </w:r>
      <w:r w:rsidR="00D9239F">
        <w:rPr>
          <w:rFonts w:cstheme="minorHAnsi"/>
          <w:szCs w:val="26"/>
        </w:rPr>
        <w:t xml:space="preserve">, </w:t>
      </w:r>
      <w:r w:rsidR="00E57AF8">
        <w:rPr>
          <w:rFonts w:cstheme="minorHAnsi"/>
          <w:szCs w:val="26"/>
        </w:rPr>
        <w:t>inter alia</w:t>
      </w:r>
      <w:r w:rsidR="00D9239F">
        <w:rPr>
          <w:rFonts w:cstheme="minorHAnsi"/>
          <w:szCs w:val="26"/>
        </w:rPr>
        <w:t>,</w:t>
      </w:r>
      <w:r w:rsidR="00E57AF8">
        <w:rPr>
          <w:rFonts w:cstheme="minorHAnsi"/>
          <w:szCs w:val="26"/>
        </w:rPr>
        <w:t xml:space="preserve"> </w:t>
      </w:r>
      <w:r w:rsidRPr="000641B0" w:rsidR="00D9239F">
        <w:rPr>
          <w:bCs/>
        </w:rPr>
        <w:t>ABA Model Rule 3.8(d)</w:t>
      </w:r>
      <w:r w:rsidR="009D7743">
        <w:rPr>
          <w:bCs/>
        </w:rPr>
        <w:t>)</w:t>
      </w:r>
      <w:r w:rsidRPr="000641B0" w:rsidR="005B1ADA">
        <w:rPr>
          <w:rFonts w:cstheme="minorHAnsi"/>
          <w:szCs w:val="26"/>
        </w:rPr>
        <w:t>]</w:t>
      </w:r>
      <w:r w:rsidRPr="000641B0" w:rsidR="00F61938">
        <w:rPr>
          <w:rFonts w:cstheme="minorHAnsi"/>
          <w:szCs w:val="26"/>
        </w:rPr>
        <w:t>.)</w:t>
      </w:r>
    </w:p>
    <w:p w:rsidR="00D541AC" w:rsidRPr="000641B0" w:rsidP="000641B0" w14:paraId="74F87420" w14:textId="246C1B22">
      <w:pPr>
        <w:ind w:firstLine="720"/>
        <w:rPr>
          <w:rFonts w:cstheme="minorHAnsi"/>
          <w:szCs w:val="26"/>
        </w:rPr>
      </w:pPr>
      <w:r w:rsidRPr="000641B0">
        <w:rPr>
          <w:bCs/>
          <w:i/>
          <w:iCs/>
        </w:rPr>
        <w:t>Gonzalez</w:t>
      </w:r>
      <w:r w:rsidRPr="000641B0">
        <w:rPr>
          <w:bCs/>
        </w:rPr>
        <w:t xml:space="preserve">, </w:t>
      </w:r>
      <w:r w:rsidRPr="000641B0">
        <w:rPr>
          <w:bCs/>
          <w:i/>
          <w:iCs/>
        </w:rPr>
        <w:t xml:space="preserve">In </w:t>
      </w:r>
      <w:r w:rsidRPr="000641B0" w:rsidR="00515F99">
        <w:rPr>
          <w:bCs/>
          <w:i/>
          <w:iCs/>
        </w:rPr>
        <w:t>r</w:t>
      </w:r>
      <w:r w:rsidRPr="000641B0">
        <w:rPr>
          <w:bCs/>
          <w:i/>
          <w:iCs/>
        </w:rPr>
        <w:t>e Steele</w:t>
      </w:r>
      <w:r w:rsidRPr="000641B0">
        <w:rPr>
          <w:bCs/>
        </w:rPr>
        <w:t>, and</w:t>
      </w:r>
      <w:r w:rsidRPr="000641B0" w:rsidR="00515F99">
        <w:rPr>
          <w:bCs/>
        </w:rPr>
        <w:t xml:space="preserve"> </w:t>
      </w:r>
      <w:r w:rsidRPr="000641B0" w:rsidR="00515F99">
        <w:rPr>
          <w:bCs/>
          <w:i/>
          <w:iCs/>
        </w:rPr>
        <w:t>In re</w:t>
      </w:r>
      <w:r w:rsidRPr="000641B0">
        <w:rPr>
          <w:bCs/>
        </w:rPr>
        <w:t xml:space="preserve"> </w:t>
      </w:r>
      <w:r w:rsidRPr="000641B0">
        <w:rPr>
          <w:bCs/>
          <w:i/>
          <w:iCs/>
        </w:rPr>
        <w:t>Lawley</w:t>
      </w:r>
      <w:r w:rsidRPr="000641B0">
        <w:rPr>
          <w:bCs/>
        </w:rPr>
        <w:t xml:space="preserve"> all were decided </w:t>
      </w:r>
      <w:r w:rsidRPr="000641B0" w:rsidR="00E237A4">
        <w:rPr>
          <w:bCs/>
        </w:rPr>
        <w:t>during</w:t>
      </w:r>
      <w:r w:rsidRPr="000641B0" w:rsidR="007662D5">
        <w:rPr>
          <w:bCs/>
        </w:rPr>
        <w:t xml:space="preserve"> a </w:t>
      </w:r>
      <w:r w:rsidRPr="000641B0" w:rsidR="00E237A4">
        <w:rPr>
          <w:bCs/>
        </w:rPr>
        <w:t xml:space="preserve">period </w:t>
      </w:r>
      <w:r w:rsidRPr="000641B0" w:rsidR="007662D5">
        <w:rPr>
          <w:bCs/>
        </w:rPr>
        <w:t xml:space="preserve">when </w:t>
      </w:r>
      <w:r w:rsidRPr="000641B0" w:rsidR="008F3D8E">
        <w:rPr>
          <w:bCs/>
        </w:rPr>
        <w:t xml:space="preserve">California did not have a specific </w:t>
      </w:r>
      <w:r w:rsidRPr="000641B0" w:rsidR="00B65503">
        <w:rPr>
          <w:bCs/>
        </w:rPr>
        <w:t xml:space="preserve">rule of professional conduct mandating that a prosecutor disclose </w:t>
      </w:r>
      <w:r w:rsidRPr="000641B0" w:rsidR="007779BA">
        <w:rPr>
          <w:bCs/>
        </w:rPr>
        <w:t>exculpatory evidence</w:t>
      </w:r>
      <w:r w:rsidRPr="000641B0" w:rsidR="00470BB4">
        <w:rPr>
          <w:bCs/>
        </w:rPr>
        <w:t>.</w:t>
      </w:r>
      <w:r w:rsidRPr="000641B0" w:rsidR="000E0899">
        <w:rPr>
          <w:bCs/>
        </w:rPr>
        <w:t xml:space="preserve"> </w:t>
      </w:r>
      <w:r w:rsidR="00C111A9">
        <w:rPr>
          <w:bCs/>
        </w:rPr>
        <w:t xml:space="preserve"> </w:t>
      </w:r>
      <w:r w:rsidRPr="000641B0" w:rsidR="005B1ADA">
        <w:rPr>
          <w:bCs/>
        </w:rPr>
        <w:t>E</w:t>
      </w:r>
      <w:r w:rsidRPr="000641B0" w:rsidR="00DE4B4E">
        <w:rPr>
          <w:bCs/>
        </w:rPr>
        <w:t xml:space="preserve">ven </w:t>
      </w:r>
      <w:r w:rsidRPr="000641B0" w:rsidR="00DE4B4E">
        <w:rPr>
          <w:bCs/>
          <w:i/>
          <w:iCs/>
        </w:rPr>
        <w:t xml:space="preserve">without </w:t>
      </w:r>
      <w:r w:rsidRPr="000641B0" w:rsidR="000E0FEF">
        <w:rPr>
          <w:bCs/>
        </w:rPr>
        <w:t xml:space="preserve">a </w:t>
      </w:r>
      <w:r w:rsidRPr="000641B0" w:rsidR="008E3479">
        <w:rPr>
          <w:bCs/>
        </w:rPr>
        <w:t xml:space="preserve">specific rule, this court </w:t>
      </w:r>
      <w:r w:rsidRPr="000641B0" w:rsidR="000E0FEF">
        <w:rPr>
          <w:bCs/>
        </w:rPr>
        <w:t xml:space="preserve">repeatedly stated that </w:t>
      </w:r>
      <w:r w:rsidRPr="000641B0" w:rsidR="00C92BEC">
        <w:rPr>
          <w:bCs/>
        </w:rPr>
        <w:t xml:space="preserve">a prosecutor had an ethical duty to </w:t>
      </w:r>
      <w:r w:rsidRPr="000641B0" w:rsidR="00252DC0">
        <w:rPr>
          <w:bCs/>
        </w:rPr>
        <w:t>disclose exculpatory evidence in the postconviction setting.</w:t>
      </w:r>
      <w:r w:rsidRPr="000641B0" w:rsidR="000E0FEF">
        <w:rPr>
          <w:bCs/>
        </w:rPr>
        <w:t xml:space="preserve"> </w:t>
      </w:r>
      <w:r w:rsidRPr="000641B0" w:rsidR="00DE4B4E">
        <w:rPr>
          <w:bCs/>
        </w:rPr>
        <w:t xml:space="preserve"> </w:t>
      </w:r>
      <w:r w:rsidRPr="000641B0" w:rsidR="0082245F">
        <w:rPr>
          <w:bCs/>
        </w:rPr>
        <w:t>Indeed, in</w:t>
      </w:r>
      <w:r w:rsidRPr="000641B0" w:rsidR="000E5AEF">
        <w:rPr>
          <w:bCs/>
        </w:rPr>
        <w:t xml:space="preserve"> </w:t>
      </w:r>
      <w:r w:rsidRPr="000641B0" w:rsidR="00924CCC">
        <w:rPr>
          <w:bCs/>
        </w:rPr>
        <w:t xml:space="preserve">both </w:t>
      </w:r>
      <w:r w:rsidRPr="000641B0" w:rsidR="00924CCC">
        <w:rPr>
          <w:rFonts w:cstheme="minorHAnsi"/>
          <w:i/>
          <w:iCs/>
          <w:szCs w:val="26"/>
        </w:rPr>
        <w:t>Gonzalez</w:t>
      </w:r>
      <w:r w:rsidRPr="000641B0" w:rsidR="00924CCC">
        <w:rPr>
          <w:rFonts w:cstheme="minorHAnsi"/>
          <w:szCs w:val="26"/>
        </w:rPr>
        <w:t xml:space="preserve">, </w:t>
      </w:r>
      <w:r w:rsidRPr="000641B0" w:rsidR="00924CCC">
        <w:rPr>
          <w:rFonts w:cstheme="minorHAnsi"/>
          <w:i/>
          <w:iCs/>
          <w:szCs w:val="26"/>
        </w:rPr>
        <w:t>supra</w:t>
      </w:r>
      <w:r w:rsidRPr="000641B0" w:rsidR="00924CCC">
        <w:rPr>
          <w:rFonts w:cstheme="minorHAnsi"/>
          <w:szCs w:val="26"/>
        </w:rPr>
        <w:t>, 51 Cal.3d at p</w:t>
      </w:r>
      <w:r w:rsidRPr="000641B0" w:rsidR="008D0BD2">
        <w:rPr>
          <w:rFonts w:cstheme="minorHAnsi"/>
          <w:szCs w:val="26"/>
        </w:rPr>
        <w:t>ages</w:t>
      </w:r>
      <w:r w:rsidRPr="000641B0" w:rsidR="00924CCC">
        <w:rPr>
          <w:rFonts w:cstheme="minorHAnsi"/>
          <w:szCs w:val="26"/>
        </w:rPr>
        <w:t xml:space="preserve"> 1260</w:t>
      </w:r>
      <w:r w:rsidRPr="000641B0" w:rsidR="00EF7AD4">
        <w:rPr>
          <w:bCs/>
        </w:rPr>
        <w:t>–</w:t>
      </w:r>
      <w:r w:rsidRPr="000641B0" w:rsidR="00924CCC">
        <w:rPr>
          <w:rFonts w:cstheme="minorHAnsi"/>
          <w:szCs w:val="26"/>
        </w:rPr>
        <w:t xml:space="preserve">1261 and </w:t>
      </w:r>
      <w:r w:rsidRPr="000641B0" w:rsidR="000E5AEF">
        <w:rPr>
          <w:bCs/>
          <w:i/>
          <w:iCs/>
        </w:rPr>
        <w:t>In re Lawley</w:t>
      </w:r>
      <w:r w:rsidRPr="000641B0" w:rsidR="000E5AEF">
        <w:rPr>
          <w:bCs/>
        </w:rPr>
        <w:t>,</w:t>
      </w:r>
      <w:r w:rsidRPr="000641B0" w:rsidR="000E5AEF">
        <w:rPr>
          <w:bCs/>
          <w:i/>
          <w:iCs/>
        </w:rPr>
        <w:t xml:space="preserve"> supra</w:t>
      </w:r>
      <w:r w:rsidRPr="000641B0" w:rsidR="000E5AEF">
        <w:rPr>
          <w:bCs/>
        </w:rPr>
        <w:t>, 42 Cal.4th at p</w:t>
      </w:r>
      <w:r w:rsidRPr="000641B0" w:rsidR="005F16E5">
        <w:rPr>
          <w:bCs/>
        </w:rPr>
        <w:t>age</w:t>
      </w:r>
      <w:r w:rsidRPr="000641B0" w:rsidR="000E5AEF">
        <w:rPr>
          <w:bCs/>
        </w:rPr>
        <w:t xml:space="preserve"> 1246</w:t>
      </w:r>
      <w:r w:rsidRPr="000641B0" w:rsidR="0082245F">
        <w:rPr>
          <w:bCs/>
        </w:rPr>
        <w:t xml:space="preserve">, </w:t>
      </w:r>
      <w:r w:rsidRPr="000641B0" w:rsidR="000E5AEF">
        <w:rPr>
          <w:bCs/>
        </w:rPr>
        <w:t xml:space="preserve">we </w:t>
      </w:r>
      <w:r w:rsidRPr="000641B0" w:rsidR="00C97874">
        <w:rPr>
          <w:bCs/>
        </w:rPr>
        <w:t>relied on</w:t>
      </w:r>
      <w:r w:rsidRPr="000641B0" w:rsidR="000E5AEF">
        <w:rPr>
          <w:bCs/>
        </w:rPr>
        <w:t xml:space="preserve"> </w:t>
      </w:r>
      <w:r w:rsidRPr="000641B0" w:rsidR="002707F1">
        <w:rPr>
          <w:bCs/>
        </w:rPr>
        <w:t>ABA Model Rule 3.8(d)</w:t>
      </w:r>
      <w:r w:rsidRPr="000641B0" w:rsidR="00035F9E">
        <w:rPr>
          <w:rFonts w:cstheme="minorHAnsi"/>
          <w:szCs w:val="26"/>
        </w:rPr>
        <w:t xml:space="preserve"> </w:t>
      </w:r>
      <w:r w:rsidRPr="000641B0" w:rsidR="0082432F">
        <w:rPr>
          <w:rFonts w:cstheme="minorHAnsi"/>
          <w:szCs w:val="26"/>
        </w:rPr>
        <w:t>in noting the existence of such a duty</w:t>
      </w:r>
      <w:r w:rsidRPr="000641B0" w:rsidR="00E14B8A">
        <w:rPr>
          <w:rFonts w:cstheme="minorHAnsi"/>
          <w:szCs w:val="26"/>
        </w:rPr>
        <w:t>.</w:t>
      </w:r>
    </w:p>
    <w:p w:rsidR="00D541AC" w:rsidRPr="000641B0" w:rsidP="000641B0" w14:paraId="5DED55A2" w14:textId="0C7977E6">
      <w:pPr>
        <w:ind w:firstLine="720"/>
        <w:rPr>
          <w:bCs/>
        </w:rPr>
      </w:pPr>
      <w:r w:rsidRPr="000641B0">
        <w:rPr>
          <w:bCs/>
        </w:rPr>
        <w:t xml:space="preserve">With the adoption of </w:t>
      </w:r>
      <w:r w:rsidRPr="000641B0" w:rsidR="00917260">
        <w:rPr>
          <w:bCs/>
        </w:rPr>
        <w:t>Rule 3.8</w:t>
      </w:r>
      <w:r w:rsidRPr="000641B0" w:rsidR="00162321">
        <w:rPr>
          <w:bCs/>
        </w:rPr>
        <w:t>(d)</w:t>
      </w:r>
      <w:r w:rsidRPr="000641B0">
        <w:rPr>
          <w:bCs/>
        </w:rPr>
        <w:t>, California now has a specific rule of professional conduct mandating the disclosure of exculpatory evidence by prosecutors.</w:t>
      </w:r>
      <w:r w:rsidRPr="000641B0" w:rsidR="007B2933">
        <w:rPr>
          <w:bCs/>
        </w:rPr>
        <w:t xml:space="preserve"> </w:t>
      </w:r>
      <w:r w:rsidRPr="000641B0" w:rsidR="0008647B">
        <w:rPr>
          <w:bCs/>
        </w:rPr>
        <w:t xml:space="preserve"> </w:t>
      </w:r>
      <w:r w:rsidRPr="000641B0" w:rsidR="000D5A01">
        <w:rPr>
          <w:bCs/>
        </w:rPr>
        <w:t>T</w:t>
      </w:r>
      <w:r w:rsidRPr="000641B0" w:rsidR="00A441A6">
        <w:rPr>
          <w:bCs/>
        </w:rPr>
        <w:t xml:space="preserve">he adoption of a rule of professional conduct that is based </w:t>
      </w:r>
      <w:r w:rsidR="00BA1D8A">
        <w:rPr>
          <w:bCs/>
        </w:rPr>
        <w:t xml:space="preserve">in part </w:t>
      </w:r>
      <w:r w:rsidRPr="000641B0" w:rsidR="00A441A6">
        <w:rPr>
          <w:bCs/>
        </w:rPr>
        <w:t xml:space="preserve">on ABA </w:t>
      </w:r>
      <w:r w:rsidRPr="000641B0" w:rsidR="00EC1747">
        <w:rPr>
          <w:bCs/>
        </w:rPr>
        <w:t>M</w:t>
      </w:r>
      <w:r w:rsidRPr="000641B0" w:rsidR="00A441A6">
        <w:rPr>
          <w:bCs/>
        </w:rPr>
        <w:t xml:space="preserve">odel </w:t>
      </w:r>
      <w:r w:rsidRPr="000641B0" w:rsidR="009258BA">
        <w:rPr>
          <w:bCs/>
        </w:rPr>
        <w:t>Rule</w:t>
      </w:r>
      <w:r w:rsidR="009258BA">
        <w:rPr>
          <w:bCs/>
        </w:rPr>
        <w:t> </w:t>
      </w:r>
      <w:r w:rsidRPr="000641B0" w:rsidR="00EC1747">
        <w:rPr>
          <w:bCs/>
        </w:rPr>
        <w:t>3.8(d)</w:t>
      </w:r>
      <w:r w:rsidRPr="000641B0" w:rsidR="00A834B3">
        <w:rPr>
          <w:bCs/>
        </w:rPr>
        <w:t> —</w:t>
      </w:r>
      <w:r w:rsidR="00226DC2">
        <w:rPr>
          <w:bCs/>
        </w:rPr>
        <w:t xml:space="preserve"> </w:t>
      </w:r>
      <w:r w:rsidRPr="000641B0" w:rsidR="00306EDC">
        <w:rPr>
          <w:bCs/>
        </w:rPr>
        <w:t>which</w:t>
      </w:r>
      <w:r w:rsidRPr="000641B0" w:rsidR="00A834B3">
        <w:rPr>
          <w:bCs/>
        </w:rPr>
        <w:t xml:space="preserve"> </w:t>
      </w:r>
      <w:r w:rsidRPr="000641B0" w:rsidR="00306EDC">
        <w:rPr>
          <w:bCs/>
        </w:rPr>
        <w:t>this court ha</w:t>
      </w:r>
      <w:r w:rsidRPr="000641B0" w:rsidR="00E75EBC">
        <w:rPr>
          <w:bCs/>
        </w:rPr>
        <w:t>s</w:t>
      </w:r>
      <w:r w:rsidRPr="000641B0" w:rsidR="00306EDC">
        <w:rPr>
          <w:bCs/>
        </w:rPr>
        <w:t xml:space="preserve"> repeatedly relied</w:t>
      </w:r>
      <w:r w:rsidRPr="000641B0" w:rsidR="00B95413">
        <w:rPr>
          <w:bCs/>
        </w:rPr>
        <w:t xml:space="preserve"> </w:t>
      </w:r>
      <w:r w:rsidRPr="000641B0" w:rsidR="00A834B3">
        <w:rPr>
          <w:bCs/>
        </w:rPr>
        <w:t xml:space="preserve">on </w:t>
      </w:r>
      <w:r w:rsidRPr="000641B0" w:rsidR="00B95413">
        <w:rPr>
          <w:bCs/>
        </w:rPr>
        <w:t xml:space="preserve">in concluding that prosecutors </w:t>
      </w:r>
      <w:r w:rsidRPr="000641B0" w:rsidR="007B04BF">
        <w:rPr>
          <w:bCs/>
        </w:rPr>
        <w:t xml:space="preserve">have </w:t>
      </w:r>
      <w:r w:rsidRPr="000641B0" w:rsidR="00B95413">
        <w:rPr>
          <w:bCs/>
        </w:rPr>
        <w:t xml:space="preserve">a disclosure </w:t>
      </w:r>
      <w:r w:rsidRPr="000641B0" w:rsidR="007B04BF">
        <w:rPr>
          <w:bCs/>
        </w:rPr>
        <w:t xml:space="preserve">obligation </w:t>
      </w:r>
      <w:r w:rsidRPr="000641B0" w:rsidR="00B95413">
        <w:rPr>
          <w:bCs/>
        </w:rPr>
        <w:t>in the postconviction context</w:t>
      </w:r>
      <w:r w:rsidRPr="000641B0" w:rsidR="00A834B3">
        <w:rPr>
          <w:bCs/>
        </w:rPr>
        <w:t> —</w:t>
      </w:r>
      <w:r w:rsidR="00226DC2">
        <w:rPr>
          <w:bCs/>
        </w:rPr>
        <w:t xml:space="preserve"> </w:t>
      </w:r>
      <w:r w:rsidRPr="000641B0" w:rsidR="007D4725">
        <w:rPr>
          <w:bCs/>
        </w:rPr>
        <w:t>supports</w:t>
      </w:r>
      <w:r w:rsidRPr="000641B0" w:rsidR="00A834B3">
        <w:rPr>
          <w:bCs/>
        </w:rPr>
        <w:t xml:space="preserve"> </w:t>
      </w:r>
      <w:r w:rsidRPr="000641B0" w:rsidR="009F7DA2">
        <w:rPr>
          <w:bCs/>
        </w:rPr>
        <w:t>our</w:t>
      </w:r>
      <w:r w:rsidRPr="000641B0" w:rsidR="007D4725">
        <w:rPr>
          <w:bCs/>
        </w:rPr>
        <w:t xml:space="preserve"> conclusion that </w:t>
      </w:r>
      <w:r w:rsidRPr="000641B0" w:rsidR="009258BA">
        <w:rPr>
          <w:bCs/>
        </w:rPr>
        <w:t>Rule</w:t>
      </w:r>
      <w:r w:rsidR="009258BA">
        <w:rPr>
          <w:bCs/>
        </w:rPr>
        <w:t> </w:t>
      </w:r>
      <w:r w:rsidRPr="000641B0" w:rsidR="007D4725">
        <w:rPr>
          <w:bCs/>
        </w:rPr>
        <w:t xml:space="preserve">3.8(d) </w:t>
      </w:r>
      <w:r w:rsidRPr="000641B0" w:rsidR="000C0AF4">
        <w:rPr>
          <w:bCs/>
        </w:rPr>
        <w:t>similarly</w:t>
      </w:r>
      <w:r w:rsidRPr="000641B0" w:rsidR="007D4725">
        <w:rPr>
          <w:bCs/>
        </w:rPr>
        <w:t xml:space="preserve"> applies in postconviction settings. </w:t>
      </w:r>
    </w:p>
    <w:p w:rsidR="006F3E75" w:rsidRPr="000641B0" w:rsidP="000641B0" w14:paraId="233554BE" w14:textId="514028AF">
      <w:pPr>
        <w:ind w:firstLine="720"/>
        <w:rPr>
          <w:b/>
        </w:rPr>
      </w:pPr>
      <w:r w:rsidRPr="000641B0">
        <w:rPr>
          <w:bCs/>
        </w:rPr>
        <w:t xml:space="preserve">The Attorney General </w:t>
      </w:r>
      <w:r w:rsidRPr="000641B0" w:rsidR="00AE419F">
        <w:rPr>
          <w:bCs/>
        </w:rPr>
        <w:t>argues that the “language</w:t>
      </w:r>
      <w:r w:rsidRPr="000641B0" w:rsidR="00090570">
        <w:rPr>
          <w:bCs/>
        </w:rPr>
        <w:t xml:space="preserve"> [of </w:t>
      </w:r>
      <w:r w:rsidRPr="000641B0" w:rsidR="009258BA">
        <w:rPr>
          <w:bCs/>
        </w:rPr>
        <w:t>Rule</w:t>
      </w:r>
      <w:r w:rsidR="009258BA">
        <w:rPr>
          <w:bCs/>
        </w:rPr>
        <w:t> </w:t>
      </w:r>
      <w:r w:rsidRPr="000641B0" w:rsidR="00090570">
        <w:rPr>
          <w:bCs/>
        </w:rPr>
        <w:t>3.8(d)</w:t>
      </w:r>
      <w:r w:rsidRPr="000641B0" w:rsidR="005717A4">
        <w:rPr>
          <w:bCs/>
        </w:rPr>
        <w:t>]</w:t>
      </w:r>
      <w:r w:rsidRPr="000641B0" w:rsidR="00090570">
        <w:rPr>
          <w:bCs/>
        </w:rPr>
        <w:t xml:space="preserve"> suggests exclusively pretrial application.” </w:t>
      </w:r>
      <w:r w:rsidRPr="000641B0" w:rsidR="002B5DF5">
        <w:rPr>
          <w:bCs/>
        </w:rPr>
        <w:t xml:space="preserve"> </w:t>
      </w:r>
      <w:r w:rsidRPr="000641B0" w:rsidR="00C56109">
        <w:rPr>
          <w:bCs/>
        </w:rPr>
        <w:t xml:space="preserve">We are not persuaded.  </w:t>
      </w:r>
      <w:r w:rsidRPr="000641B0" w:rsidR="002F6698">
        <w:rPr>
          <w:bCs/>
        </w:rPr>
        <w:t xml:space="preserve">The text of Rule 3.8(d) contains no language expressly limiting its application to proceedings </w:t>
      </w:r>
      <w:r w:rsidRPr="000641B0" w:rsidR="009318FC">
        <w:rPr>
          <w:bCs/>
        </w:rPr>
        <w:t>prior to</w:t>
      </w:r>
      <w:r w:rsidRPr="000641B0" w:rsidR="009318FC">
        <w:rPr>
          <w:bCs/>
          <w:i/>
          <w:iCs/>
        </w:rPr>
        <w:t xml:space="preserve"> </w:t>
      </w:r>
      <w:r w:rsidRPr="000641B0" w:rsidR="002F6698">
        <w:rPr>
          <w:bCs/>
        </w:rPr>
        <w:t>conviction</w:t>
      </w:r>
      <w:r w:rsidR="00704193">
        <w:rPr>
          <w:bCs/>
        </w:rPr>
        <w:t xml:space="preserve">. </w:t>
      </w:r>
      <w:r w:rsidR="00680893">
        <w:rPr>
          <w:bCs/>
        </w:rPr>
        <w:t xml:space="preserve"> </w:t>
      </w:r>
      <w:r w:rsidRPr="000641B0" w:rsidR="00F94A69">
        <w:rPr>
          <w:bCs/>
        </w:rPr>
        <w:t>Nor do we infer any limitation based on the language cited by the Attorney General.  T</w:t>
      </w:r>
      <w:r w:rsidRPr="000641B0" w:rsidR="008A1636">
        <w:rPr>
          <w:bCs/>
        </w:rPr>
        <w:t xml:space="preserve">he Attorney </w:t>
      </w:r>
      <w:r w:rsidRPr="000641B0" w:rsidR="003C4AFE">
        <w:rPr>
          <w:bCs/>
        </w:rPr>
        <w:t xml:space="preserve">General notes that </w:t>
      </w:r>
      <w:r w:rsidRPr="000641B0" w:rsidR="00906704">
        <w:rPr>
          <w:bCs/>
        </w:rPr>
        <w:t>Rule 3.8(d)</w:t>
      </w:r>
      <w:r w:rsidRPr="000641B0" w:rsidR="003C4AFE">
        <w:rPr>
          <w:bCs/>
        </w:rPr>
        <w:t xml:space="preserve"> refers to “the accused” </w:t>
      </w:r>
      <w:r w:rsidRPr="000641B0" w:rsidR="002F2DEA">
        <w:rPr>
          <w:bCs/>
        </w:rPr>
        <w:t>(Rule 3.8(d)), a</w:t>
      </w:r>
      <w:r w:rsidRPr="000641B0" w:rsidR="002F751E">
        <w:rPr>
          <w:bCs/>
        </w:rPr>
        <w:t xml:space="preserve"> description the Attorney General </w:t>
      </w:r>
      <w:r w:rsidRPr="000641B0" w:rsidR="00F94A69">
        <w:rPr>
          <w:bCs/>
        </w:rPr>
        <w:t xml:space="preserve">contends </w:t>
      </w:r>
      <w:r w:rsidRPr="000641B0" w:rsidR="002F751E">
        <w:rPr>
          <w:bCs/>
        </w:rPr>
        <w:t xml:space="preserve">is inapt when </w:t>
      </w:r>
      <w:r w:rsidRPr="000641B0" w:rsidR="00126529">
        <w:rPr>
          <w:bCs/>
        </w:rPr>
        <w:t xml:space="preserve">referring to a convicted defendant. </w:t>
      </w:r>
      <w:r w:rsidRPr="000641B0" w:rsidR="00F94A69">
        <w:rPr>
          <w:bCs/>
        </w:rPr>
        <w:t xml:space="preserve"> </w:t>
      </w:r>
      <w:r w:rsidRPr="000641B0" w:rsidR="00193A79">
        <w:rPr>
          <w:rFonts w:cstheme="minorHAnsi"/>
          <w:bCs/>
          <w:szCs w:val="26"/>
        </w:rPr>
        <w:t>Similarly</w:t>
      </w:r>
      <w:r w:rsidRPr="000641B0" w:rsidR="00F00A54">
        <w:rPr>
          <w:rFonts w:cstheme="minorHAnsi"/>
          <w:bCs/>
          <w:szCs w:val="26"/>
        </w:rPr>
        <w:t xml:space="preserve">, the Attorney General notes that </w:t>
      </w:r>
      <w:r w:rsidRPr="000641B0" w:rsidR="003A196D">
        <w:rPr>
          <w:rFonts w:cstheme="minorHAnsi"/>
          <w:bCs/>
          <w:szCs w:val="26"/>
        </w:rPr>
        <w:t xml:space="preserve">Rule 3.8(d) refers to the “defense,” </w:t>
      </w:r>
      <w:r w:rsidRPr="000641B0" w:rsidR="003F0A72">
        <w:rPr>
          <w:rFonts w:cstheme="minorHAnsi"/>
          <w:bCs/>
          <w:szCs w:val="26"/>
        </w:rPr>
        <w:t xml:space="preserve">a description that </w:t>
      </w:r>
      <w:r w:rsidRPr="000641B0" w:rsidR="00361991">
        <w:rPr>
          <w:rFonts w:cstheme="minorHAnsi"/>
          <w:bCs/>
          <w:szCs w:val="26"/>
        </w:rPr>
        <w:t xml:space="preserve">technically </w:t>
      </w:r>
      <w:r w:rsidRPr="000641B0" w:rsidR="003F0A72">
        <w:rPr>
          <w:rFonts w:cstheme="minorHAnsi"/>
          <w:bCs/>
          <w:szCs w:val="26"/>
        </w:rPr>
        <w:t xml:space="preserve">does not apply to a petitioner in a habeas </w:t>
      </w:r>
      <w:r w:rsidR="00413A0F">
        <w:rPr>
          <w:rFonts w:cstheme="minorHAnsi"/>
          <w:bCs/>
          <w:szCs w:val="26"/>
        </w:rPr>
        <w:t xml:space="preserve">corpus </w:t>
      </w:r>
      <w:r w:rsidRPr="000641B0" w:rsidR="003F0A72">
        <w:rPr>
          <w:rFonts w:cstheme="minorHAnsi"/>
          <w:bCs/>
          <w:szCs w:val="26"/>
        </w:rPr>
        <w:t>proceeding.</w:t>
      </w:r>
      <w:r w:rsidRPr="000641B0" w:rsidR="00193A79">
        <w:rPr>
          <w:rFonts w:cstheme="minorHAnsi"/>
          <w:bCs/>
          <w:szCs w:val="26"/>
        </w:rPr>
        <w:t xml:space="preserve"> </w:t>
      </w:r>
      <w:r w:rsidRPr="000641B0" w:rsidR="00F94A69">
        <w:rPr>
          <w:rFonts w:cstheme="minorHAnsi"/>
          <w:bCs/>
          <w:szCs w:val="26"/>
        </w:rPr>
        <w:t xml:space="preserve"> </w:t>
      </w:r>
      <w:r w:rsidRPr="000641B0" w:rsidR="008D7FB5">
        <w:rPr>
          <w:rFonts w:cstheme="minorHAnsi"/>
          <w:bCs/>
          <w:szCs w:val="26"/>
        </w:rPr>
        <w:t>T</w:t>
      </w:r>
      <w:r w:rsidRPr="000641B0" w:rsidR="00BF34CD">
        <w:rPr>
          <w:rFonts w:cstheme="minorHAnsi"/>
          <w:bCs/>
          <w:szCs w:val="26"/>
        </w:rPr>
        <w:t xml:space="preserve">he Attorney General’s </w:t>
      </w:r>
      <w:r w:rsidRPr="000641B0" w:rsidR="007D0541">
        <w:rPr>
          <w:rFonts w:cstheme="minorHAnsi"/>
          <w:bCs/>
          <w:szCs w:val="26"/>
        </w:rPr>
        <w:t xml:space="preserve">textual </w:t>
      </w:r>
      <w:r w:rsidRPr="000641B0" w:rsidR="00BF34CD">
        <w:rPr>
          <w:rFonts w:cstheme="minorHAnsi"/>
          <w:bCs/>
          <w:szCs w:val="26"/>
        </w:rPr>
        <w:t>argument</w:t>
      </w:r>
      <w:r w:rsidRPr="000641B0" w:rsidR="00361991">
        <w:rPr>
          <w:rFonts w:cstheme="minorHAnsi"/>
          <w:bCs/>
          <w:szCs w:val="26"/>
        </w:rPr>
        <w:t>s</w:t>
      </w:r>
      <w:r w:rsidRPr="000641B0" w:rsidR="00BF34CD">
        <w:rPr>
          <w:rFonts w:cstheme="minorHAnsi"/>
          <w:bCs/>
          <w:szCs w:val="26"/>
        </w:rPr>
        <w:t xml:space="preserve"> ascribe too much </w:t>
      </w:r>
      <w:r w:rsidRPr="000641B0" w:rsidR="000C00C1">
        <w:rPr>
          <w:rFonts w:cstheme="minorHAnsi"/>
          <w:bCs/>
          <w:szCs w:val="26"/>
        </w:rPr>
        <w:t>significance</w:t>
      </w:r>
      <w:r w:rsidRPr="000641B0" w:rsidR="00BF34CD">
        <w:rPr>
          <w:rFonts w:cstheme="minorHAnsi"/>
          <w:bCs/>
          <w:szCs w:val="26"/>
        </w:rPr>
        <w:t xml:space="preserve"> to </w:t>
      </w:r>
      <w:r w:rsidRPr="000641B0" w:rsidR="008D7FB5">
        <w:rPr>
          <w:rFonts w:cstheme="minorHAnsi"/>
          <w:bCs/>
          <w:szCs w:val="26"/>
        </w:rPr>
        <w:t>terms</w:t>
      </w:r>
      <w:r w:rsidRPr="000641B0" w:rsidR="00BF34CD">
        <w:rPr>
          <w:rFonts w:cstheme="minorHAnsi"/>
          <w:bCs/>
          <w:szCs w:val="26"/>
        </w:rPr>
        <w:t xml:space="preserve"> we take to be shorthand</w:t>
      </w:r>
      <w:r w:rsidRPr="000641B0" w:rsidR="00361991">
        <w:rPr>
          <w:rFonts w:cstheme="minorHAnsi"/>
          <w:bCs/>
          <w:szCs w:val="26"/>
        </w:rPr>
        <w:t xml:space="preserve"> references</w:t>
      </w:r>
      <w:r w:rsidRPr="000641B0" w:rsidR="00BF34CD">
        <w:rPr>
          <w:rFonts w:cstheme="minorHAnsi"/>
          <w:bCs/>
          <w:szCs w:val="26"/>
        </w:rPr>
        <w:t xml:space="preserve"> </w:t>
      </w:r>
      <w:r w:rsidRPr="000641B0" w:rsidR="00B0683B">
        <w:rPr>
          <w:bCs/>
        </w:rPr>
        <w:t>to</w:t>
      </w:r>
      <w:r w:rsidRPr="000641B0" w:rsidR="00BF34CD">
        <w:rPr>
          <w:bCs/>
        </w:rPr>
        <w:t xml:space="preserve"> </w:t>
      </w:r>
      <w:r w:rsidRPr="000641B0" w:rsidR="00863E39">
        <w:rPr>
          <w:bCs/>
        </w:rPr>
        <w:t>a</w:t>
      </w:r>
      <w:r w:rsidRPr="000641B0" w:rsidR="00BF34CD">
        <w:rPr>
          <w:bCs/>
        </w:rPr>
        <w:t xml:space="preserve"> person </w:t>
      </w:r>
      <w:r w:rsidRPr="000641B0" w:rsidR="00863E39">
        <w:rPr>
          <w:bCs/>
        </w:rPr>
        <w:t xml:space="preserve">who is, or who has been, the </w:t>
      </w:r>
      <w:r w:rsidRPr="000641B0" w:rsidR="00BF34CD">
        <w:rPr>
          <w:bCs/>
        </w:rPr>
        <w:t xml:space="preserve">subject </w:t>
      </w:r>
      <w:r w:rsidRPr="000641B0" w:rsidR="00F66B50">
        <w:rPr>
          <w:bCs/>
        </w:rPr>
        <w:t xml:space="preserve">of </w:t>
      </w:r>
      <w:r w:rsidRPr="000641B0" w:rsidR="00BF34CD">
        <w:rPr>
          <w:bCs/>
        </w:rPr>
        <w:t>criminal proceedings</w:t>
      </w:r>
      <w:r w:rsidRPr="000641B0" w:rsidR="00B0683B">
        <w:rPr>
          <w:bCs/>
        </w:rPr>
        <w:t xml:space="preserve"> and</w:t>
      </w:r>
      <w:r w:rsidRPr="000641B0" w:rsidR="00F66B50">
        <w:rPr>
          <w:bCs/>
        </w:rPr>
        <w:t xml:space="preserve"> to</w:t>
      </w:r>
      <w:r w:rsidRPr="000641B0" w:rsidR="00B0683B">
        <w:rPr>
          <w:bCs/>
        </w:rPr>
        <w:t xml:space="preserve"> </w:t>
      </w:r>
      <w:r w:rsidRPr="000641B0" w:rsidR="0056484F">
        <w:rPr>
          <w:bCs/>
        </w:rPr>
        <w:t>that person’s lawyer(s)</w:t>
      </w:r>
      <w:r w:rsidRPr="000641B0" w:rsidR="00BF34CD">
        <w:rPr>
          <w:bCs/>
        </w:rPr>
        <w:t>.</w:t>
      </w:r>
      <w:r>
        <w:rPr>
          <w:rStyle w:val="FootnoteReference"/>
          <w:rFonts w:cstheme="minorHAnsi"/>
          <w:bCs/>
          <w:szCs w:val="26"/>
        </w:rPr>
        <w:footnoteReference w:id="17"/>
      </w:r>
      <w:r w:rsidRPr="000641B0" w:rsidR="009238ED">
        <w:rPr>
          <w:rFonts w:cstheme="minorHAnsi"/>
          <w:bCs/>
          <w:szCs w:val="26"/>
        </w:rPr>
        <w:t xml:space="preserve"> </w:t>
      </w:r>
      <w:r w:rsidRPr="000641B0" w:rsidR="00074A47">
        <w:rPr>
          <w:bCs/>
        </w:rPr>
        <w:t xml:space="preserve"> </w:t>
      </w:r>
      <w:r w:rsidRPr="000641B0" w:rsidR="00D84052">
        <w:rPr>
          <w:bCs/>
        </w:rPr>
        <w:t xml:space="preserve">(Cf. </w:t>
      </w:r>
      <w:bookmarkStart w:id="49" w:name="_Hlk115253216"/>
      <w:r w:rsidRPr="000641B0" w:rsidR="00D84052">
        <w:rPr>
          <w:bCs/>
          <w:i/>
          <w:iCs/>
        </w:rPr>
        <w:t>People v. Superior C</w:t>
      </w:r>
      <w:r w:rsidR="00226DC2">
        <w:rPr>
          <w:bCs/>
          <w:i/>
          <w:iCs/>
        </w:rPr>
        <w:t>our</w:t>
      </w:r>
      <w:r w:rsidRPr="000641B0" w:rsidR="00D84052">
        <w:rPr>
          <w:bCs/>
          <w:i/>
          <w:iCs/>
        </w:rPr>
        <w:t xml:space="preserve">t </w:t>
      </w:r>
      <w:r w:rsidRPr="000641B0" w:rsidR="00D84052">
        <w:rPr>
          <w:bCs/>
        </w:rPr>
        <w:t>(</w:t>
      </w:r>
      <w:r w:rsidRPr="000641B0" w:rsidR="00D84052">
        <w:rPr>
          <w:bCs/>
          <w:i/>
          <w:iCs/>
        </w:rPr>
        <w:t>Pearson</w:t>
      </w:r>
      <w:r w:rsidRPr="000641B0" w:rsidR="00D84052">
        <w:rPr>
          <w:bCs/>
        </w:rPr>
        <w:t>) (2010) 48 Cal.4th 564, 57</w:t>
      </w:r>
      <w:r w:rsidRPr="000641B0" w:rsidR="00940046">
        <w:rPr>
          <w:bCs/>
        </w:rPr>
        <w:t>3</w:t>
      </w:r>
      <w:r w:rsidRPr="000641B0" w:rsidR="00D84052">
        <w:rPr>
          <w:bCs/>
        </w:rPr>
        <w:t xml:space="preserve"> </w:t>
      </w:r>
      <w:bookmarkEnd w:id="49"/>
      <w:r w:rsidRPr="000641B0" w:rsidR="00D84052">
        <w:rPr>
          <w:bCs/>
        </w:rPr>
        <w:t>[rejecting district attorney</w:t>
      </w:r>
      <w:r w:rsidRPr="000641B0" w:rsidR="008636FB">
        <w:rPr>
          <w:bCs/>
        </w:rPr>
        <w:t>’s argument that “</w:t>
      </w:r>
      <w:r w:rsidRPr="000641B0" w:rsidR="00D84052">
        <w:rPr>
          <w:bCs/>
        </w:rPr>
        <w:t>the Legislature</w:t>
      </w:r>
      <w:r w:rsidRPr="000641B0" w:rsidR="00D40248">
        <w:rPr>
          <w:bCs/>
        </w:rPr>
        <w:t>’</w:t>
      </w:r>
      <w:r w:rsidRPr="000641B0" w:rsidR="00D84052">
        <w:rPr>
          <w:bCs/>
        </w:rPr>
        <w:t xml:space="preserve">s use of the word </w:t>
      </w:r>
      <w:r w:rsidRPr="000641B0" w:rsidR="00D40248">
        <w:rPr>
          <w:bCs/>
        </w:rPr>
        <w:t>‘</w:t>
      </w:r>
      <w:r w:rsidRPr="000641B0" w:rsidR="00D84052">
        <w:rPr>
          <w:bCs/>
        </w:rPr>
        <w:t>defendant</w:t>
      </w:r>
      <w:r w:rsidRPr="000641B0" w:rsidR="00D40248">
        <w:rPr>
          <w:bCs/>
        </w:rPr>
        <w:t>’</w:t>
      </w:r>
      <w:r w:rsidRPr="000641B0" w:rsidR="00D84052">
        <w:rPr>
          <w:bCs/>
        </w:rPr>
        <w:t xml:space="preserve"> rather than </w:t>
      </w:r>
      <w:r w:rsidRPr="000641B0" w:rsidR="00D40248">
        <w:rPr>
          <w:bCs/>
        </w:rPr>
        <w:t>‘</w:t>
      </w:r>
      <w:r w:rsidRPr="000641B0" w:rsidR="00D84052">
        <w:rPr>
          <w:bCs/>
        </w:rPr>
        <w:t>petitioner</w:t>
      </w:r>
      <w:r w:rsidRPr="000641B0" w:rsidR="00D40248">
        <w:rPr>
          <w:bCs/>
        </w:rPr>
        <w:t xml:space="preserve">’ </w:t>
      </w:r>
      <w:r w:rsidRPr="000641B0" w:rsidR="00D84052">
        <w:rPr>
          <w:bCs/>
        </w:rPr>
        <w:t>in section 1054.9,</w:t>
      </w:r>
      <w:r w:rsidRPr="000641B0" w:rsidR="008636FB">
        <w:rPr>
          <w:bCs/>
        </w:rPr>
        <w:t>” demonstrated that the Legislature was</w:t>
      </w:r>
      <w:r w:rsidRPr="000641B0" w:rsidR="00FB4475">
        <w:rPr>
          <w:bCs/>
        </w:rPr>
        <w:t xml:space="preserve"> not </w:t>
      </w:r>
      <w:r w:rsidRPr="000641B0" w:rsidR="00077954">
        <w:rPr>
          <w:bCs/>
        </w:rPr>
        <w:t>“creat[ing] discovery in a separate habeas corpus matter”].)</w:t>
      </w:r>
      <w:r w:rsidRPr="000641B0" w:rsidR="00D80EEF">
        <w:rPr>
          <w:bCs/>
        </w:rPr>
        <w:t xml:space="preserve"> </w:t>
      </w:r>
      <w:r w:rsidRPr="000641B0" w:rsidR="00D40248">
        <w:rPr>
          <w:bCs/>
        </w:rPr>
        <w:t xml:space="preserve"> </w:t>
      </w:r>
      <w:r w:rsidRPr="000641B0" w:rsidR="00802DC2">
        <w:rPr>
          <w:bCs/>
        </w:rPr>
        <w:t>Further</w:t>
      </w:r>
      <w:r w:rsidRPr="000641B0" w:rsidR="006F072A">
        <w:rPr>
          <w:bCs/>
        </w:rPr>
        <w:t xml:space="preserve">, the Attorney General fails to cite any authority attaching import to the use of the terms “accused” or “the defense” in language derived from ABA Model </w:t>
      </w:r>
      <w:r w:rsidRPr="000641B0" w:rsidR="000976D4">
        <w:rPr>
          <w:bCs/>
        </w:rPr>
        <w:t>Rule</w:t>
      </w:r>
      <w:r w:rsidRPr="000641B0" w:rsidR="00B5257E">
        <w:rPr>
          <w:bCs/>
        </w:rPr>
        <w:t xml:space="preserve"> 3.8(d), a provision </w:t>
      </w:r>
      <w:r w:rsidRPr="000641B0" w:rsidR="006F072A">
        <w:rPr>
          <w:bCs/>
        </w:rPr>
        <w:t>that we have previously found applicable in postconviction proceedings.</w:t>
      </w:r>
      <w:r w:rsidRPr="000641B0" w:rsidR="00802DC2">
        <w:rPr>
          <w:bCs/>
        </w:rPr>
        <w:t xml:space="preserve">  </w:t>
      </w:r>
      <w:r w:rsidRPr="000641B0" w:rsidR="00A4655F">
        <w:rPr>
          <w:bCs/>
        </w:rPr>
        <w:t>(</w:t>
      </w:r>
      <w:r w:rsidRPr="000641B0" w:rsidR="00FE1FFC">
        <w:rPr>
          <w:rFonts w:cstheme="minorHAnsi"/>
          <w:szCs w:val="26"/>
        </w:rPr>
        <w:t>See</w:t>
      </w:r>
      <w:r w:rsidRPr="000641B0" w:rsidR="00FE1FFC">
        <w:rPr>
          <w:rFonts w:cstheme="minorHAnsi"/>
          <w:i/>
          <w:iCs/>
          <w:szCs w:val="26"/>
        </w:rPr>
        <w:t xml:space="preserve"> In re</w:t>
      </w:r>
      <w:r w:rsidRPr="000641B0" w:rsidR="001E66A0">
        <w:rPr>
          <w:rFonts w:cstheme="minorHAnsi"/>
          <w:szCs w:val="26"/>
        </w:rPr>
        <w:t xml:space="preserve"> </w:t>
      </w:r>
      <w:r w:rsidRPr="000641B0" w:rsidR="001E66A0">
        <w:rPr>
          <w:rFonts w:cstheme="minorHAnsi"/>
          <w:i/>
          <w:iCs/>
          <w:szCs w:val="26"/>
        </w:rPr>
        <w:t>Lawley</w:t>
      </w:r>
      <w:r w:rsidRPr="000641B0" w:rsidR="001E66A0">
        <w:rPr>
          <w:rFonts w:cstheme="minorHAnsi"/>
          <w:szCs w:val="26"/>
        </w:rPr>
        <w:t>,</w:t>
      </w:r>
      <w:r w:rsidRPr="000641B0" w:rsidR="001E66A0">
        <w:rPr>
          <w:rFonts w:cstheme="minorHAnsi"/>
          <w:i/>
          <w:iCs/>
          <w:szCs w:val="26"/>
        </w:rPr>
        <w:t xml:space="preserve"> supra</w:t>
      </w:r>
      <w:r w:rsidRPr="000641B0" w:rsidR="001E66A0">
        <w:rPr>
          <w:rFonts w:cstheme="minorHAnsi"/>
          <w:szCs w:val="26"/>
        </w:rPr>
        <w:t>,</w:t>
      </w:r>
      <w:r w:rsidRPr="000641B0" w:rsidR="004C7CF2">
        <w:rPr>
          <w:bCs/>
        </w:rPr>
        <w:t xml:space="preserve"> 42 Cal.4th </w:t>
      </w:r>
      <w:r w:rsidRPr="000641B0" w:rsidR="001E66A0">
        <w:rPr>
          <w:rFonts w:cstheme="minorHAnsi"/>
          <w:szCs w:val="26"/>
        </w:rPr>
        <w:t>at p.</w:t>
      </w:r>
      <w:r w:rsidRPr="000641B0" w:rsidR="00F94A69">
        <w:rPr>
          <w:rFonts w:cstheme="minorHAnsi"/>
          <w:szCs w:val="26"/>
        </w:rPr>
        <w:t> </w:t>
      </w:r>
      <w:r w:rsidRPr="000641B0" w:rsidR="001E66A0">
        <w:rPr>
          <w:rFonts w:cstheme="minorHAnsi"/>
          <w:szCs w:val="26"/>
        </w:rPr>
        <w:t>1246</w:t>
      </w:r>
      <w:r w:rsidRPr="000641B0" w:rsidR="00FE1FFC">
        <w:rPr>
          <w:rFonts w:cstheme="minorHAnsi"/>
          <w:szCs w:val="26"/>
        </w:rPr>
        <w:t xml:space="preserve">; </w:t>
      </w:r>
      <w:r w:rsidRPr="000641B0" w:rsidR="00B62E8B">
        <w:rPr>
          <w:bCs/>
        </w:rPr>
        <w:t>cf.</w:t>
      </w:r>
      <w:r w:rsidRPr="000641B0" w:rsidR="00A4655F">
        <w:rPr>
          <w:bCs/>
        </w:rPr>
        <w:t xml:space="preserve"> </w:t>
      </w:r>
      <w:bookmarkStart w:id="50" w:name="_Hlk115253374"/>
      <w:r w:rsidRPr="000641B0" w:rsidR="00CD5844">
        <w:rPr>
          <w:bCs/>
          <w:i/>
          <w:iCs/>
        </w:rPr>
        <w:t>Com</w:t>
      </w:r>
      <w:r w:rsidR="00226DC2">
        <w:rPr>
          <w:bCs/>
          <w:i/>
          <w:iCs/>
        </w:rPr>
        <w:t>’</w:t>
      </w:r>
      <w:r w:rsidRPr="000641B0" w:rsidR="00CD5844">
        <w:rPr>
          <w:bCs/>
          <w:i/>
          <w:iCs/>
        </w:rPr>
        <w:t>n for Lawyer Discipline v. Hanna</w:t>
      </w:r>
      <w:r w:rsidRPr="000641B0" w:rsidR="00CD5844">
        <w:rPr>
          <w:bCs/>
        </w:rPr>
        <w:t xml:space="preserve"> (Tex.</w:t>
      </w:r>
      <w:r w:rsidR="00226DC2">
        <w:rPr>
          <w:bCs/>
        </w:rPr>
        <w:t>Ct.</w:t>
      </w:r>
      <w:r w:rsidRPr="000641B0" w:rsidR="00CD5844">
        <w:rPr>
          <w:bCs/>
        </w:rPr>
        <w:t>App.</w:t>
      </w:r>
      <w:r w:rsidRPr="000641B0" w:rsidR="008E6421">
        <w:rPr>
          <w:bCs/>
        </w:rPr>
        <w:t xml:space="preserve"> 2016</w:t>
      </w:r>
      <w:r w:rsidRPr="000641B0" w:rsidR="00CD5844">
        <w:rPr>
          <w:bCs/>
        </w:rPr>
        <w:t>) 513 S.W.3d 175</w:t>
      </w:r>
      <w:r w:rsidRPr="000641B0" w:rsidR="00342306">
        <w:rPr>
          <w:bCs/>
        </w:rPr>
        <w:t>, 180</w:t>
      </w:r>
      <w:r w:rsidRPr="000641B0" w:rsidR="00E2601E">
        <w:rPr>
          <w:bCs/>
        </w:rPr>
        <w:t>–18</w:t>
      </w:r>
      <w:bookmarkEnd w:id="50"/>
      <w:r w:rsidRPr="000641B0" w:rsidR="00E2601E">
        <w:rPr>
          <w:bCs/>
        </w:rPr>
        <w:t>1</w:t>
      </w:r>
      <w:r w:rsidRPr="000641B0" w:rsidR="00CD5844">
        <w:rPr>
          <w:bCs/>
        </w:rPr>
        <w:t xml:space="preserve"> </w:t>
      </w:r>
      <w:r w:rsidRPr="000641B0" w:rsidR="005E3DC4">
        <w:rPr>
          <w:bCs/>
        </w:rPr>
        <w:t xml:space="preserve">[stating “we hesitate to hold that the term </w:t>
      </w:r>
      <w:r w:rsidRPr="000641B0" w:rsidR="005717A4">
        <w:rPr>
          <w:bCs/>
        </w:rPr>
        <w:t>‘</w:t>
      </w:r>
      <w:r w:rsidRPr="000641B0" w:rsidR="005E3DC4">
        <w:rPr>
          <w:bCs/>
        </w:rPr>
        <w:t>accused</w:t>
      </w:r>
      <w:r w:rsidRPr="000641B0" w:rsidR="005717A4">
        <w:rPr>
          <w:bCs/>
        </w:rPr>
        <w:t>’</w:t>
      </w:r>
      <w:r w:rsidRPr="000641B0" w:rsidR="005E3DC4">
        <w:rPr>
          <w:bCs/>
        </w:rPr>
        <w:t xml:space="preserve"> standing alone is conclusive” while </w:t>
      </w:r>
      <w:r w:rsidRPr="000641B0" w:rsidR="00CD5844">
        <w:rPr>
          <w:bCs/>
        </w:rPr>
        <w:t xml:space="preserve">discussing Texas </w:t>
      </w:r>
      <w:r w:rsidR="003C0D0C">
        <w:rPr>
          <w:bCs/>
        </w:rPr>
        <w:t xml:space="preserve">Disciplinary </w:t>
      </w:r>
      <w:r w:rsidRPr="000641B0" w:rsidR="00CD5844">
        <w:rPr>
          <w:bCs/>
        </w:rPr>
        <w:t>Rule</w:t>
      </w:r>
      <w:r w:rsidR="003C0D0C">
        <w:rPr>
          <w:bCs/>
        </w:rPr>
        <w:t>s</w:t>
      </w:r>
      <w:r w:rsidRPr="000641B0" w:rsidR="00CD5844">
        <w:rPr>
          <w:bCs/>
        </w:rPr>
        <w:t xml:space="preserve"> of Prof</w:t>
      </w:r>
      <w:r w:rsidRPr="000641B0" w:rsidR="00B9698A">
        <w:rPr>
          <w:bCs/>
        </w:rPr>
        <w:t>essional</w:t>
      </w:r>
      <w:r w:rsidRPr="000641B0" w:rsidR="00CD5844">
        <w:rPr>
          <w:bCs/>
        </w:rPr>
        <w:t xml:space="preserve"> Conduct</w:t>
      </w:r>
      <w:r w:rsidRPr="000641B0" w:rsidR="00B9698A">
        <w:rPr>
          <w:bCs/>
        </w:rPr>
        <w:t>, rule</w:t>
      </w:r>
      <w:r w:rsidRPr="000641B0" w:rsidR="00CD5844">
        <w:rPr>
          <w:bCs/>
        </w:rPr>
        <w:t xml:space="preserve"> 3.09(d), which like Rule 3.8(d) “was modeled after </w:t>
      </w:r>
      <w:r w:rsidRPr="000641B0" w:rsidR="000976D4">
        <w:rPr>
          <w:bCs/>
        </w:rPr>
        <w:t>[ABA Model</w:t>
      </w:r>
      <w:r w:rsidR="003C0D0C">
        <w:rPr>
          <w:bCs/>
        </w:rPr>
        <w:t>]</w:t>
      </w:r>
      <w:r w:rsidRPr="000641B0" w:rsidR="000976D4">
        <w:rPr>
          <w:bCs/>
        </w:rPr>
        <w:t xml:space="preserve"> Rule 3.8(d)</w:t>
      </w:r>
      <w:r w:rsidRPr="000641B0" w:rsidR="00CD5844">
        <w:rPr>
          <w:bCs/>
        </w:rPr>
        <w:t>”</w:t>
      </w:r>
      <w:r w:rsidRPr="000641B0" w:rsidR="00E2601E">
        <w:rPr>
          <w:bCs/>
        </w:rPr>
        <w:t>]</w:t>
      </w:r>
      <w:r w:rsidRPr="000641B0" w:rsidR="00FA3E50">
        <w:rPr>
          <w:bCs/>
        </w:rPr>
        <w:t xml:space="preserve">.) </w:t>
      </w:r>
    </w:p>
    <w:p w:rsidR="006F3E75" w:rsidRPr="000641B0" w:rsidP="000641B0" w14:paraId="68CCE302" w14:textId="191B6BBD">
      <w:pPr>
        <w:ind w:firstLine="720"/>
        <w:rPr>
          <w:rFonts w:cstheme="minorHAnsi"/>
          <w:szCs w:val="26"/>
        </w:rPr>
      </w:pPr>
      <w:r w:rsidRPr="000641B0">
        <w:rPr>
          <w:rFonts w:cstheme="minorHAnsi"/>
          <w:bCs/>
          <w:szCs w:val="26"/>
        </w:rPr>
        <w:t>W</w:t>
      </w:r>
      <w:r w:rsidRPr="000641B0" w:rsidR="008B780E">
        <w:rPr>
          <w:rFonts w:cstheme="minorHAnsi"/>
          <w:bCs/>
          <w:szCs w:val="26"/>
        </w:rPr>
        <w:t>e</w:t>
      </w:r>
      <w:r w:rsidRPr="000641B0">
        <w:rPr>
          <w:rFonts w:cstheme="minorHAnsi"/>
          <w:bCs/>
          <w:szCs w:val="26"/>
        </w:rPr>
        <w:t xml:space="preserve"> also </w:t>
      </w:r>
      <w:r w:rsidRPr="000641B0" w:rsidR="004A289B">
        <w:rPr>
          <w:rFonts w:cstheme="minorHAnsi"/>
          <w:bCs/>
          <w:szCs w:val="26"/>
        </w:rPr>
        <w:t xml:space="preserve">reject </w:t>
      </w:r>
      <w:r w:rsidRPr="000641B0" w:rsidR="00E82237">
        <w:rPr>
          <w:rFonts w:cstheme="minorHAnsi"/>
          <w:szCs w:val="26"/>
        </w:rPr>
        <w:t>the</w:t>
      </w:r>
      <w:r w:rsidRPr="000641B0" w:rsidR="008B780E">
        <w:rPr>
          <w:rFonts w:cstheme="minorHAnsi"/>
          <w:szCs w:val="26"/>
        </w:rPr>
        <w:t xml:space="preserve"> Attorney General’s </w:t>
      </w:r>
      <w:r w:rsidRPr="000641B0" w:rsidR="00E82237">
        <w:rPr>
          <w:rFonts w:cstheme="minorHAnsi"/>
          <w:szCs w:val="26"/>
        </w:rPr>
        <w:t xml:space="preserve">contention </w:t>
      </w:r>
      <w:r w:rsidRPr="000641B0" w:rsidR="003B6DDA">
        <w:rPr>
          <w:rFonts w:cstheme="minorHAnsi"/>
          <w:szCs w:val="26"/>
        </w:rPr>
        <w:t xml:space="preserve">that </w:t>
      </w:r>
      <w:r w:rsidRPr="000641B0" w:rsidR="009258BA">
        <w:rPr>
          <w:rFonts w:cstheme="minorHAnsi"/>
          <w:szCs w:val="26"/>
        </w:rPr>
        <w:t>Rule</w:t>
      </w:r>
      <w:r w:rsidR="009258BA">
        <w:rPr>
          <w:rFonts w:cstheme="minorHAnsi"/>
          <w:szCs w:val="26"/>
        </w:rPr>
        <w:t> </w:t>
      </w:r>
      <w:r w:rsidRPr="000641B0" w:rsidR="00BD4DFB">
        <w:rPr>
          <w:rFonts w:cstheme="minorHAnsi"/>
          <w:szCs w:val="26"/>
        </w:rPr>
        <w:t xml:space="preserve">3.8(d) should not </w:t>
      </w:r>
      <w:r w:rsidRPr="000641B0" w:rsidR="00C440BE">
        <w:rPr>
          <w:rFonts w:cstheme="minorHAnsi"/>
          <w:szCs w:val="26"/>
        </w:rPr>
        <w:t xml:space="preserve">be interpreted to </w:t>
      </w:r>
      <w:r w:rsidRPr="000641B0" w:rsidR="00CD795B">
        <w:rPr>
          <w:rFonts w:cstheme="minorHAnsi"/>
          <w:szCs w:val="26"/>
        </w:rPr>
        <w:t>appl</w:t>
      </w:r>
      <w:r w:rsidRPr="000641B0" w:rsidR="00F94A69">
        <w:rPr>
          <w:rFonts w:cstheme="minorHAnsi"/>
          <w:szCs w:val="26"/>
        </w:rPr>
        <w:t>y</w:t>
      </w:r>
      <w:r w:rsidRPr="000641B0" w:rsidR="00CD795B">
        <w:rPr>
          <w:rFonts w:cstheme="minorHAnsi"/>
          <w:szCs w:val="26"/>
        </w:rPr>
        <w:t xml:space="preserve"> in</w:t>
      </w:r>
      <w:r w:rsidRPr="000641B0" w:rsidR="00BD4DFB">
        <w:rPr>
          <w:rFonts w:cstheme="minorHAnsi"/>
          <w:szCs w:val="26"/>
        </w:rPr>
        <w:t xml:space="preserve"> postconviction proceedings because </w:t>
      </w:r>
      <w:r w:rsidRPr="000641B0" w:rsidR="00E82237">
        <w:rPr>
          <w:rFonts w:cstheme="minorHAnsi"/>
          <w:szCs w:val="26"/>
        </w:rPr>
        <w:t>“</w:t>
      </w:r>
      <w:r w:rsidRPr="000641B0" w:rsidR="00D67114">
        <w:rPr>
          <w:rFonts w:cstheme="minorHAnsi"/>
          <w:szCs w:val="26"/>
        </w:rPr>
        <w:t> </w:t>
      </w:r>
      <w:r w:rsidRPr="000641B0" w:rsidR="00EB3B1D">
        <w:rPr>
          <w:rFonts w:cstheme="minorHAnsi"/>
          <w:szCs w:val="26"/>
        </w:rPr>
        <w:t>‘</w:t>
      </w:r>
      <w:r w:rsidRPr="000641B0" w:rsidR="00E82237">
        <w:rPr>
          <w:rFonts w:cstheme="minorHAnsi"/>
          <w:szCs w:val="26"/>
        </w:rPr>
        <w:t>timely</w:t>
      </w:r>
      <w:r w:rsidRPr="000641B0" w:rsidR="00EB3B1D">
        <w:rPr>
          <w:rFonts w:cstheme="minorHAnsi"/>
          <w:szCs w:val="26"/>
        </w:rPr>
        <w:t>’</w:t>
      </w:r>
      <w:r w:rsidRPr="000641B0" w:rsidR="00D67114">
        <w:rPr>
          <w:rFonts w:cstheme="minorHAnsi"/>
          <w:szCs w:val="26"/>
        </w:rPr>
        <w:t> </w:t>
      </w:r>
      <w:r w:rsidRPr="000641B0" w:rsidR="00E82237">
        <w:rPr>
          <w:rFonts w:cstheme="minorHAnsi"/>
          <w:szCs w:val="26"/>
        </w:rPr>
        <w:t xml:space="preserve">” disclosure “is no longer possible” </w:t>
      </w:r>
      <w:r w:rsidRPr="000641B0" w:rsidR="00B02685">
        <w:rPr>
          <w:rFonts w:cstheme="minorHAnsi"/>
          <w:szCs w:val="26"/>
        </w:rPr>
        <w:t xml:space="preserve">in habeas </w:t>
      </w:r>
      <w:r w:rsidR="006C303D">
        <w:rPr>
          <w:rFonts w:cstheme="minorHAnsi"/>
          <w:szCs w:val="26"/>
        </w:rPr>
        <w:t xml:space="preserve">corpus </w:t>
      </w:r>
      <w:r w:rsidRPr="000641B0" w:rsidR="00B02685">
        <w:rPr>
          <w:rFonts w:cstheme="minorHAnsi"/>
          <w:szCs w:val="26"/>
        </w:rPr>
        <w:t xml:space="preserve">proceedings </w:t>
      </w:r>
      <w:r w:rsidRPr="000641B0" w:rsidR="00F94A69">
        <w:rPr>
          <w:rFonts w:cstheme="minorHAnsi"/>
          <w:szCs w:val="26"/>
        </w:rPr>
        <w:t xml:space="preserve">where </w:t>
      </w:r>
      <w:r w:rsidRPr="000641B0" w:rsidR="00E82237">
        <w:rPr>
          <w:rFonts w:cstheme="minorHAnsi"/>
          <w:szCs w:val="26"/>
        </w:rPr>
        <w:t>guilt has been adjudicated</w:t>
      </w:r>
      <w:r w:rsidRPr="000641B0" w:rsidR="008B780E">
        <w:rPr>
          <w:rFonts w:cstheme="minorHAnsi"/>
          <w:szCs w:val="26"/>
        </w:rPr>
        <w:t xml:space="preserve">.  </w:t>
      </w:r>
      <w:r w:rsidRPr="000641B0" w:rsidR="00804F2F">
        <w:rPr>
          <w:rFonts w:cstheme="minorHAnsi"/>
          <w:szCs w:val="26"/>
        </w:rPr>
        <w:t xml:space="preserve">Timeliness must be measured in relation to the proceeding </w:t>
      </w:r>
      <w:r w:rsidRPr="000641B0" w:rsidR="001300F2">
        <w:rPr>
          <w:rFonts w:cstheme="minorHAnsi"/>
          <w:szCs w:val="26"/>
        </w:rPr>
        <w:t xml:space="preserve">in which the disclosure </w:t>
      </w:r>
      <w:r w:rsidRPr="000641B0" w:rsidR="00802F17">
        <w:rPr>
          <w:rFonts w:cstheme="minorHAnsi"/>
          <w:szCs w:val="26"/>
        </w:rPr>
        <w:t xml:space="preserve">is at issue.  </w:t>
      </w:r>
      <w:r w:rsidRPr="000641B0" w:rsidR="009F5D53">
        <w:rPr>
          <w:rFonts w:cstheme="minorHAnsi"/>
          <w:szCs w:val="26"/>
        </w:rPr>
        <w:t>(See Rule 3.8, com. [3] [“</w:t>
      </w:r>
      <w:r w:rsidRPr="000641B0" w:rsidR="003349DB">
        <w:rPr>
          <w:rFonts w:cstheme="minorHAnsi"/>
          <w:szCs w:val="26"/>
        </w:rPr>
        <w:t xml:space="preserve">A </w:t>
      </w:r>
      <w:r w:rsidRPr="000641B0" w:rsidR="009F5D53">
        <w:rPr>
          <w:rFonts w:cstheme="minorHAnsi"/>
          <w:szCs w:val="26"/>
        </w:rPr>
        <w:t>disclosure</w:t>
      </w:r>
      <w:r w:rsidRPr="000641B0" w:rsidR="003B6DDA">
        <w:rPr>
          <w:rFonts w:cstheme="minorHAnsi"/>
          <w:szCs w:val="26"/>
        </w:rPr>
        <w:t>’</w:t>
      </w:r>
      <w:r w:rsidRPr="000641B0" w:rsidR="009F5D53">
        <w:rPr>
          <w:rFonts w:cstheme="minorHAnsi"/>
          <w:szCs w:val="26"/>
        </w:rPr>
        <w:t>s timeliness will vary with the circumstances”</w:t>
      </w:r>
      <w:r w:rsidRPr="000641B0" w:rsidR="00383E55">
        <w:rPr>
          <w:rFonts w:cstheme="minorHAnsi"/>
          <w:szCs w:val="26"/>
        </w:rPr>
        <w:t>].)</w:t>
      </w:r>
      <w:r w:rsidRPr="000641B0" w:rsidR="003349DB">
        <w:rPr>
          <w:rFonts w:cstheme="minorHAnsi"/>
          <w:szCs w:val="26"/>
        </w:rPr>
        <w:t xml:space="preserve">  </w:t>
      </w:r>
      <w:r w:rsidRPr="000641B0" w:rsidR="00041856">
        <w:rPr>
          <w:rFonts w:cstheme="minorHAnsi"/>
          <w:szCs w:val="26"/>
        </w:rPr>
        <w:t xml:space="preserve">When applied </w:t>
      </w:r>
      <w:r w:rsidRPr="000641B0" w:rsidR="003B6DDA">
        <w:rPr>
          <w:rFonts w:cstheme="minorHAnsi"/>
          <w:szCs w:val="26"/>
        </w:rPr>
        <w:t xml:space="preserve">to </w:t>
      </w:r>
      <w:r w:rsidRPr="000641B0" w:rsidR="00041856">
        <w:rPr>
          <w:rFonts w:cstheme="minorHAnsi"/>
          <w:szCs w:val="26"/>
        </w:rPr>
        <w:t xml:space="preserve">postconviction proceedings, </w:t>
      </w:r>
      <w:r w:rsidRPr="000641B0" w:rsidR="00F92CD5">
        <w:rPr>
          <w:rFonts w:cstheme="minorHAnsi"/>
          <w:szCs w:val="26"/>
        </w:rPr>
        <w:t>Rule</w:t>
      </w:r>
      <w:r w:rsidRPr="000641B0" w:rsidR="008E1306">
        <w:rPr>
          <w:rFonts w:cstheme="minorHAnsi"/>
          <w:szCs w:val="26"/>
        </w:rPr>
        <w:t xml:space="preserve"> 3.8(d)’s requirement that the prosecutor “make timely disclosure” </w:t>
      </w:r>
      <w:r w:rsidRPr="000641B0" w:rsidR="00D1042D">
        <w:rPr>
          <w:rFonts w:cstheme="minorHAnsi"/>
          <w:szCs w:val="26"/>
        </w:rPr>
        <w:t>is reasonably interpreted as mandating timel</w:t>
      </w:r>
      <w:r w:rsidRPr="000641B0" w:rsidR="00013EEB">
        <w:rPr>
          <w:rFonts w:cstheme="minorHAnsi"/>
          <w:szCs w:val="26"/>
        </w:rPr>
        <w:t>iness i</w:t>
      </w:r>
      <w:r w:rsidRPr="000641B0" w:rsidR="00041856">
        <w:rPr>
          <w:rFonts w:cstheme="minorHAnsi"/>
          <w:szCs w:val="26"/>
        </w:rPr>
        <w:t>n those</w:t>
      </w:r>
      <w:r w:rsidRPr="000641B0" w:rsidR="00013EEB">
        <w:rPr>
          <w:rFonts w:cstheme="minorHAnsi"/>
          <w:szCs w:val="26"/>
        </w:rPr>
        <w:t xml:space="preserve"> proceedings</w:t>
      </w:r>
      <w:r w:rsidRPr="000641B0" w:rsidR="00E82237">
        <w:rPr>
          <w:rFonts w:cstheme="minorHAnsi"/>
          <w:szCs w:val="26"/>
        </w:rPr>
        <w:t>.</w:t>
      </w:r>
    </w:p>
    <w:p w:rsidR="000929F9" w:rsidRPr="00CF4CBA" w:rsidP="000641B0" w14:paraId="1017C694" w14:textId="17028D75">
      <w:pPr>
        <w:ind w:firstLine="720"/>
        <w:rPr>
          <w:bCs/>
          <w:szCs w:val="27"/>
        </w:rPr>
      </w:pPr>
      <w:r w:rsidRPr="000641B0">
        <w:rPr>
          <w:bCs/>
        </w:rPr>
        <w:t xml:space="preserve">Nor are we persuaded by the Attorney General’s </w:t>
      </w:r>
      <w:r w:rsidRPr="000641B0" w:rsidR="00CC43AB">
        <w:rPr>
          <w:bCs/>
        </w:rPr>
        <w:t>a</w:t>
      </w:r>
      <w:r w:rsidRPr="000641B0">
        <w:rPr>
          <w:bCs/>
        </w:rPr>
        <w:t>rgument</w:t>
      </w:r>
      <w:r w:rsidRPr="000641B0" w:rsidR="00923350">
        <w:rPr>
          <w:bCs/>
        </w:rPr>
        <w:t xml:space="preserve"> that </w:t>
      </w:r>
      <w:r w:rsidRPr="000641B0" w:rsidR="00AF39C3">
        <w:rPr>
          <w:bCs/>
        </w:rPr>
        <w:t>“</w:t>
      </w:r>
      <w:r w:rsidRPr="000641B0" w:rsidR="00923350">
        <w:rPr>
          <w:bCs/>
        </w:rPr>
        <w:t xml:space="preserve">the inclusion of rules that expressly </w:t>
      </w:r>
      <w:r w:rsidRPr="000641B0" w:rsidR="00923350">
        <w:rPr>
          <w:bCs/>
          <w:i/>
          <w:iCs/>
        </w:rPr>
        <w:t>do</w:t>
      </w:r>
      <w:r w:rsidRPr="000641B0" w:rsidR="00923350">
        <w:rPr>
          <w:bCs/>
        </w:rPr>
        <w:t xml:space="preserve"> apply postconviction</w:t>
      </w:r>
      <w:r w:rsidRPr="000641B0" w:rsidR="009207F1">
        <w:rPr>
          <w:bCs/>
        </w:rPr>
        <w:t>”</w:t>
      </w:r>
      <w:r w:rsidRPr="000641B0" w:rsidR="00F65016">
        <w:rPr>
          <w:bCs/>
        </w:rPr>
        <w:t xml:space="preserve"> </w:t>
      </w:r>
      <w:r w:rsidRPr="000641B0" w:rsidR="00F83CEB">
        <w:rPr>
          <w:bCs/>
        </w:rPr>
        <w:t xml:space="preserve">demonstrates that Rule 3.8(d) does </w:t>
      </w:r>
      <w:r w:rsidRPr="000641B0" w:rsidR="00F83CEB">
        <w:rPr>
          <w:bCs/>
          <w:i/>
          <w:iCs/>
        </w:rPr>
        <w:t>not</w:t>
      </w:r>
      <w:r w:rsidRPr="000641B0" w:rsidR="00E2601E">
        <w:rPr>
          <w:bCs/>
        </w:rPr>
        <w:t xml:space="preserve"> apply in this postconviction setting</w:t>
      </w:r>
      <w:r w:rsidRPr="000641B0" w:rsidR="00F83CEB">
        <w:rPr>
          <w:bCs/>
        </w:rPr>
        <w:t>.</w:t>
      </w:r>
      <w:r w:rsidRPr="000641B0" w:rsidR="009207F1">
        <w:rPr>
          <w:bCs/>
        </w:rPr>
        <w:t xml:space="preserve"> </w:t>
      </w:r>
      <w:r w:rsidRPr="000641B0" w:rsidR="00F83CEB">
        <w:rPr>
          <w:bCs/>
        </w:rPr>
        <w:t xml:space="preserve"> </w:t>
      </w:r>
      <w:r w:rsidRPr="000641B0" w:rsidR="004673B8">
        <w:rPr>
          <w:bCs/>
        </w:rPr>
        <w:t>(Italics added</w:t>
      </w:r>
      <w:r w:rsidR="00226DC2">
        <w:rPr>
          <w:bCs/>
        </w:rPr>
        <w:t>,</w:t>
      </w:r>
      <w:r w:rsidRPr="000641B0" w:rsidR="00226DC2">
        <w:rPr>
          <w:bCs/>
        </w:rPr>
        <w:t xml:space="preserve"> </w:t>
      </w:r>
      <w:r w:rsidRPr="000641B0" w:rsidR="00F65016">
        <w:rPr>
          <w:bCs/>
        </w:rPr>
        <w:t>c</w:t>
      </w:r>
      <w:r w:rsidRPr="000641B0" w:rsidR="00923350">
        <w:rPr>
          <w:bCs/>
        </w:rPr>
        <w:t>iting</w:t>
      </w:r>
      <w:r w:rsidRPr="000641B0" w:rsidR="009E6EE6">
        <w:rPr>
          <w:bCs/>
        </w:rPr>
        <w:t xml:space="preserve"> </w:t>
      </w:r>
      <w:r w:rsidRPr="000641B0" w:rsidR="00923350">
        <w:rPr>
          <w:bCs/>
        </w:rPr>
        <w:t>R</w:t>
      </w:r>
      <w:r w:rsidRPr="000641B0" w:rsidR="00D120AA">
        <w:rPr>
          <w:bCs/>
        </w:rPr>
        <w:t>ule 3.8(f)</w:t>
      </w:r>
      <w:r w:rsidRPr="000641B0" w:rsidR="00B12AA4">
        <w:rPr>
          <w:bCs/>
        </w:rPr>
        <w:t xml:space="preserve"> &amp;</w:t>
      </w:r>
      <w:r w:rsidRPr="000641B0" w:rsidR="0011400A">
        <w:rPr>
          <w:bCs/>
        </w:rPr>
        <w:t xml:space="preserve"> (g).</w:t>
      </w:r>
      <w:r w:rsidRPr="000641B0" w:rsidR="0091713A">
        <w:rPr>
          <w:bCs/>
        </w:rPr>
        <w:t>)</w:t>
      </w:r>
      <w:r>
        <w:rPr>
          <w:rStyle w:val="FootnoteReference"/>
          <w:rFonts w:cstheme="minorHAnsi"/>
          <w:bCs/>
          <w:szCs w:val="26"/>
        </w:rPr>
        <w:footnoteReference w:id="18"/>
      </w:r>
      <w:r w:rsidRPr="000641B0" w:rsidR="00D120AA">
        <w:rPr>
          <w:bCs/>
        </w:rPr>
        <w:t xml:space="preserve"> </w:t>
      </w:r>
      <w:r w:rsidRPr="000641B0" w:rsidR="003D7032">
        <w:rPr>
          <w:bCs/>
        </w:rPr>
        <w:t xml:space="preserve"> </w:t>
      </w:r>
      <w:r w:rsidRPr="000641B0" w:rsidR="00923350">
        <w:rPr>
          <w:rFonts w:cstheme="minorHAnsi"/>
          <w:szCs w:val="26"/>
        </w:rPr>
        <w:t>T</w:t>
      </w:r>
      <w:r w:rsidRPr="000641B0" w:rsidR="008F0309">
        <w:rPr>
          <w:rFonts w:cstheme="minorHAnsi"/>
          <w:szCs w:val="26"/>
        </w:rPr>
        <w:t>he fact that Rule 3.8(f) and (g) refer to a “convicted” defendant, wh</w:t>
      </w:r>
      <w:r w:rsidRPr="000641B0" w:rsidR="0063269D">
        <w:rPr>
          <w:rFonts w:cstheme="minorHAnsi"/>
          <w:szCs w:val="26"/>
        </w:rPr>
        <w:t>ile</w:t>
      </w:r>
      <w:r w:rsidRPr="000641B0" w:rsidR="008F0309">
        <w:rPr>
          <w:rFonts w:cstheme="minorHAnsi"/>
          <w:szCs w:val="26"/>
        </w:rPr>
        <w:t xml:space="preserve"> Rule 3.8(d) does not</w:t>
      </w:r>
      <w:r w:rsidRPr="000641B0" w:rsidR="00F83CEB">
        <w:rPr>
          <w:rFonts w:cstheme="minorHAnsi"/>
          <w:szCs w:val="26"/>
        </w:rPr>
        <w:t xml:space="preserve"> use </w:t>
      </w:r>
      <w:r w:rsidRPr="000641B0" w:rsidR="00902082">
        <w:rPr>
          <w:rFonts w:cstheme="minorHAnsi"/>
          <w:szCs w:val="26"/>
        </w:rPr>
        <w:t>that term</w:t>
      </w:r>
      <w:r w:rsidRPr="000641B0" w:rsidR="008F0309">
        <w:rPr>
          <w:rFonts w:cstheme="minorHAnsi"/>
          <w:szCs w:val="26"/>
        </w:rPr>
        <w:t xml:space="preserve">, </w:t>
      </w:r>
      <w:r w:rsidRPr="000641B0" w:rsidR="00374FE7">
        <w:rPr>
          <w:rFonts w:cstheme="minorHAnsi"/>
          <w:szCs w:val="26"/>
        </w:rPr>
        <w:t>can be explained</w:t>
      </w:r>
      <w:r w:rsidRPr="000641B0" w:rsidR="008F0309">
        <w:rPr>
          <w:rFonts w:cstheme="minorHAnsi"/>
          <w:szCs w:val="26"/>
        </w:rPr>
        <w:t xml:space="preserve"> by the fact that Rule 3.8(f) and (g) apply </w:t>
      </w:r>
      <w:r w:rsidRPr="000641B0" w:rsidR="008F0309">
        <w:rPr>
          <w:rFonts w:cstheme="minorHAnsi"/>
          <w:i/>
          <w:iCs/>
          <w:szCs w:val="26"/>
        </w:rPr>
        <w:t>exclusively</w:t>
      </w:r>
      <w:r w:rsidRPr="000641B0" w:rsidR="008F0309">
        <w:rPr>
          <w:rFonts w:cstheme="minorHAnsi"/>
          <w:szCs w:val="26"/>
        </w:rPr>
        <w:t xml:space="preserve"> to convicted defendants</w:t>
      </w:r>
      <w:r w:rsidRPr="000641B0" w:rsidR="0063269D">
        <w:rPr>
          <w:rFonts w:cstheme="minorHAnsi"/>
          <w:szCs w:val="26"/>
        </w:rPr>
        <w:t>, while Rule 3.8(d)</w:t>
      </w:r>
      <w:r w:rsidRPr="000641B0" w:rsidR="0065009A">
        <w:rPr>
          <w:rFonts w:cstheme="minorHAnsi"/>
          <w:szCs w:val="26"/>
        </w:rPr>
        <w:t xml:space="preserve"> </w:t>
      </w:r>
      <w:r w:rsidRPr="000641B0" w:rsidR="0065009A">
        <w:rPr>
          <w:rFonts w:cstheme="minorHAnsi"/>
          <w:i/>
          <w:iCs/>
          <w:szCs w:val="26"/>
        </w:rPr>
        <w:t>also</w:t>
      </w:r>
      <w:r w:rsidRPr="000641B0" w:rsidR="0065009A">
        <w:rPr>
          <w:rFonts w:cstheme="minorHAnsi"/>
          <w:szCs w:val="26"/>
        </w:rPr>
        <w:t xml:space="preserve"> applies prior to conviction</w:t>
      </w:r>
      <w:r w:rsidRPr="000641B0" w:rsidR="008F0309">
        <w:rPr>
          <w:rFonts w:cstheme="minorHAnsi"/>
          <w:szCs w:val="26"/>
        </w:rPr>
        <w:t>.</w:t>
      </w:r>
      <w:r>
        <w:rPr>
          <w:rStyle w:val="FootnoteReference"/>
          <w:rFonts w:cstheme="minorHAnsi"/>
          <w:szCs w:val="26"/>
        </w:rPr>
        <w:footnoteReference w:id="19"/>
      </w:r>
      <w:r w:rsidR="00CF4CBA">
        <w:rPr>
          <w:rStyle w:val="CommentReference"/>
        </w:rPr>
        <w:t xml:space="preserve"> </w:t>
      </w:r>
      <w:r w:rsidRPr="00CF4CBA" w:rsidR="00CF4CBA">
        <w:rPr>
          <w:rStyle w:val="CommentReference"/>
          <w:sz w:val="27"/>
          <w:szCs w:val="27"/>
        </w:rPr>
        <w:t xml:space="preserve">  </w:t>
      </w:r>
    </w:p>
    <w:p w:rsidR="00D541AC" w:rsidRPr="00E8113D" w:rsidP="00E8113D" w14:paraId="75F3E327" w14:textId="200E2540">
      <w:pPr>
        <w:ind w:firstLine="720"/>
        <w:rPr>
          <w:bCs/>
        </w:rPr>
      </w:pPr>
      <w:r w:rsidRPr="000641B0">
        <w:rPr>
          <w:bCs/>
        </w:rPr>
        <w:t>Having determined that</w:t>
      </w:r>
      <w:r w:rsidRPr="000641B0" w:rsidR="00B77764">
        <w:rPr>
          <w:bCs/>
        </w:rPr>
        <w:t xml:space="preserve"> the Attorney General has an ethical duty pursuant to Rule 3.8(d)</w:t>
      </w:r>
      <w:r w:rsidRPr="000641B0">
        <w:rPr>
          <w:bCs/>
        </w:rPr>
        <w:t xml:space="preserve"> in postco</w:t>
      </w:r>
      <w:r w:rsidRPr="000641B0" w:rsidR="00FB122F">
        <w:rPr>
          <w:bCs/>
        </w:rPr>
        <w:t>n</w:t>
      </w:r>
      <w:r w:rsidRPr="000641B0">
        <w:rPr>
          <w:bCs/>
        </w:rPr>
        <w:t>v</w:t>
      </w:r>
      <w:r w:rsidRPr="000641B0" w:rsidR="00FB122F">
        <w:rPr>
          <w:bCs/>
        </w:rPr>
        <w:t>iction settings, w</w:t>
      </w:r>
      <w:r w:rsidRPr="000641B0" w:rsidR="00E90DFE">
        <w:rPr>
          <w:bCs/>
        </w:rPr>
        <w:t xml:space="preserve">e </w:t>
      </w:r>
      <w:r w:rsidRPr="000641B0" w:rsidR="00F26318">
        <w:rPr>
          <w:bCs/>
        </w:rPr>
        <w:t>consider</w:t>
      </w:r>
      <w:r w:rsidRPr="000641B0" w:rsidR="00E90DFE">
        <w:rPr>
          <w:bCs/>
        </w:rPr>
        <w:t xml:space="preserve"> the Attorney General’s argument that Rule 3.8(d) does not establish any additional “duty of disclosure”</w:t>
      </w:r>
      <w:r w:rsidRPr="000641B0" w:rsidR="0094554F">
        <w:rPr>
          <w:bCs/>
        </w:rPr>
        <w:t xml:space="preserve"> beyond that </w:t>
      </w:r>
      <w:r w:rsidRPr="000641B0" w:rsidR="00E56261">
        <w:rPr>
          <w:bCs/>
        </w:rPr>
        <w:t xml:space="preserve">provided for by the law governing habeas </w:t>
      </w:r>
      <w:r w:rsidR="006C303D">
        <w:rPr>
          <w:bCs/>
        </w:rPr>
        <w:t xml:space="preserve">corpus </w:t>
      </w:r>
      <w:r w:rsidRPr="000641B0" w:rsidR="00E56261">
        <w:rPr>
          <w:bCs/>
        </w:rPr>
        <w:t xml:space="preserve">procedures. </w:t>
      </w:r>
      <w:r w:rsidRPr="000641B0" w:rsidR="00E90DFE">
        <w:rPr>
          <w:bCs/>
        </w:rPr>
        <w:t xml:space="preserve"> </w:t>
      </w:r>
      <w:r w:rsidRPr="000641B0" w:rsidR="000D5F48">
        <w:rPr>
          <w:bCs/>
        </w:rPr>
        <w:t>The Attorney General</w:t>
      </w:r>
      <w:r w:rsidRPr="000641B0" w:rsidR="00E42370">
        <w:rPr>
          <w:bCs/>
        </w:rPr>
        <w:t xml:space="preserve">’s argument is based on </w:t>
      </w:r>
      <w:r w:rsidRPr="000641B0" w:rsidR="009A2F20">
        <w:rPr>
          <w:bCs/>
        </w:rPr>
        <w:t>c</w:t>
      </w:r>
      <w:r w:rsidRPr="000641B0" w:rsidR="00D3218A">
        <w:rPr>
          <w:bCs/>
        </w:rPr>
        <w:t xml:space="preserve">omment [3] </w:t>
      </w:r>
      <w:r w:rsidRPr="000641B0" w:rsidR="0010491A">
        <w:rPr>
          <w:bCs/>
        </w:rPr>
        <w:t xml:space="preserve">to </w:t>
      </w:r>
      <w:r w:rsidRPr="000641B0" w:rsidR="009258BA">
        <w:rPr>
          <w:bCs/>
        </w:rPr>
        <w:t>Rule</w:t>
      </w:r>
      <w:r w:rsidR="009258BA">
        <w:rPr>
          <w:bCs/>
        </w:rPr>
        <w:t> </w:t>
      </w:r>
      <w:r w:rsidRPr="000641B0" w:rsidR="000E34DE">
        <w:rPr>
          <w:bCs/>
        </w:rPr>
        <w:t>3.8</w:t>
      </w:r>
      <w:r w:rsidRPr="000641B0" w:rsidR="00E42370">
        <w:rPr>
          <w:bCs/>
        </w:rPr>
        <w:t xml:space="preserve">, which </w:t>
      </w:r>
      <w:r w:rsidRPr="000641B0" w:rsidR="0010491A">
        <w:rPr>
          <w:bCs/>
        </w:rPr>
        <w:t>provides</w:t>
      </w:r>
      <w:r w:rsidR="007D1512">
        <w:rPr>
          <w:bCs/>
        </w:rPr>
        <w:t xml:space="preserve"> in part</w:t>
      </w:r>
      <w:r w:rsidRPr="000641B0" w:rsidR="0010491A">
        <w:rPr>
          <w:bCs/>
        </w:rPr>
        <w:t xml:space="preserve"> </w:t>
      </w:r>
      <w:r w:rsidRPr="000641B0" w:rsidR="008D1604">
        <w:rPr>
          <w:bCs/>
        </w:rPr>
        <w:t>that</w:t>
      </w:r>
      <w:r w:rsidRPr="000641B0" w:rsidR="009A0680">
        <w:rPr>
          <w:bCs/>
        </w:rPr>
        <w:t xml:space="preserve"> </w:t>
      </w:r>
      <w:r w:rsidRPr="000641B0" w:rsidR="00761505">
        <w:rPr>
          <w:bCs/>
        </w:rPr>
        <w:t xml:space="preserve">Rule 3.8(d) </w:t>
      </w:r>
      <w:r w:rsidRPr="000641B0" w:rsidR="009A0680">
        <w:rPr>
          <w:bCs/>
        </w:rPr>
        <w:t>should not be “</w:t>
      </w:r>
      <w:r w:rsidRPr="000641B0" w:rsidR="008D1604">
        <w:rPr>
          <w:bCs/>
        </w:rPr>
        <w:t>applied in a manner inconsistent with statutory and constitutional provisions governing discovery in California courts.</w:t>
      </w:r>
      <w:r w:rsidRPr="000641B0" w:rsidR="009A0680">
        <w:rPr>
          <w:bCs/>
        </w:rPr>
        <w:t>”</w:t>
      </w:r>
      <w:r w:rsidRPr="000641B0" w:rsidR="00AA4D09">
        <w:rPr>
          <w:bCs/>
        </w:rPr>
        <w:t xml:space="preserve">  This argument fails </w:t>
      </w:r>
      <w:r w:rsidRPr="000641B0" w:rsidR="00B03771">
        <w:rPr>
          <w:bCs/>
        </w:rPr>
        <w:t xml:space="preserve">because </w:t>
      </w:r>
      <w:r w:rsidRPr="000641B0" w:rsidR="006278B3">
        <w:rPr>
          <w:bCs/>
        </w:rPr>
        <w:t xml:space="preserve">even </w:t>
      </w:r>
      <w:r w:rsidRPr="000641B0" w:rsidR="005524BD">
        <w:rPr>
          <w:bCs/>
        </w:rPr>
        <w:t>assuming that</w:t>
      </w:r>
      <w:r w:rsidRPr="000641B0" w:rsidR="00E02450">
        <w:rPr>
          <w:bCs/>
        </w:rPr>
        <w:t xml:space="preserve"> </w:t>
      </w:r>
      <w:r w:rsidRPr="000641B0" w:rsidR="0049635B">
        <w:rPr>
          <w:bCs/>
        </w:rPr>
        <w:t>respo</w:t>
      </w:r>
      <w:r w:rsidRPr="000641B0" w:rsidR="003D5DF4">
        <w:rPr>
          <w:bCs/>
        </w:rPr>
        <w:t>n</w:t>
      </w:r>
      <w:r w:rsidRPr="000641B0" w:rsidR="0049635B">
        <w:rPr>
          <w:bCs/>
        </w:rPr>
        <w:t>dent’s</w:t>
      </w:r>
      <w:r w:rsidRPr="000641B0" w:rsidR="00D060E8">
        <w:rPr>
          <w:bCs/>
        </w:rPr>
        <w:t xml:space="preserve"> </w:t>
      </w:r>
      <w:r w:rsidRPr="000641B0" w:rsidR="00F449AB">
        <w:rPr>
          <w:bCs/>
        </w:rPr>
        <w:t>duties that we describe in part II.C</w:t>
      </w:r>
      <w:r w:rsidR="007D1512">
        <w:rPr>
          <w:bCs/>
        </w:rPr>
        <w:t>.</w:t>
      </w:r>
      <w:r w:rsidRPr="000641B0" w:rsidR="00F449AB">
        <w:rPr>
          <w:bCs/>
        </w:rPr>
        <w:t xml:space="preserve">, </w:t>
      </w:r>
      <w:r w:rsidRPr="000641B0" w:rsidR="00F449AB">
        <w:rPr>
          <w:bCs/>
          <w:i/>
          <w:iCs/>
        </w:rPr>
        <w:t>post</w:t>
      </w:r>
      <w:r w:rsidRPr="000641B0" w:rsidR="00F449AB">
        <w:rPr>
          <w:bCs/>
        </w:rPr>
        <w:t xml:space="preserve">, </w:t>
      </w:r>
      <w:r w:rsidRPr="000641B0" w:rsidR="005524BD">
        <w:rPr>
          <w:bCs/>
        </w:rPr>
        <w:t>are</w:t>
      </w:r>
      <w:r w:rsidRPr="000641B0" w:rsidR="00F449AB">
        <w:rPr>
          <w:bCs/>
        </w:rPr>
        <w:t xml:space="preserve"> </w:t>
      </w:r>
      <w:r w:rsidRPr="000641B0" w:rsidR="00F449AB">
        <w:rPr>
          <w:bCs/>
          <w:i/>
          <w:iCs/>
        </w:rPr>
        <w:t>discovery</w:t>
      </w:r>
      <w:r w:rsidRPr="000641B0" w:rsidR="00F449AB">
        <w:rPr>
          <w:bCs/>
        </w:rPr>
        <w:t xml:space="preserve"> provisions</w:t>
      </w:r>
      <w:r w:rsidRPr="000641B0" w:rsidR="005524BD">
        <w:rPr>
          <w:bCs/>
        </w:rPr>
        <w:t xml:space="preserve"> binding </w:t>
      </w:r>
      <w:r w:rsidRPr="000641B0" w:rsidR="003D3A39">
        <w:rPr>
          <w:bCs/>
        </w:rPr>
        <w:t xml:space="preserve">on </w:t>
      </w:r>
      <w:r w:rsidRPr="000641B0" w:rsidR="005524BD">
        <w:rPr>
          <w:bCs/>
        </w:rPr>
        <w:t>the Attorney General</w:t>
      </w:r>
      <w:r w:rsidRPr="000641B0" w:rsidR="00F449AB">
        <w:rPr>
          <w:bCs/>
        </w:rPr>
        <w:t>,</w:t>
      </w:r>
      <w:r>
        <w:rPr>
          <w:rStyle w:val="FootnoteReference"/>
          <w:bCs/>
        </w:rPr>
        <w:footnoteReference w:id="20"/>
      </w:r>
      <w:r w:rsidRPr="000641B0" w:rsidR="00D060E8">
        <w:rPr>
          <w:bCs/>
        </w:rPr>
        <w:t xml:space="preserve"> </w:t>
      </w:r>
      <w:r w:rsidRPr="000641B0" w:rsidR="000865E7">
        <w:rPr>
          <w:bCs/>
        </w:rPr>
        <w:t xml:space="preserve">the Attorney General has not demonstrated how </w:t>
      </w:r>
      <w:r w:rsidRPr="000641B0" w:rsidR="00DA3A5E">
        <w:rPr>
          <w:bCs/>
        </w:rPr>
        <w:t xml:space="preserve">“imposing a duty of disclosure </w:t>
      </w:r>
      <w:r w:rsidRPr="000641B0" w:rsidR="00663F15">
        <w:rPr>
          <w:bCs/>
        </w:rPr>
        <w:t xml:space="preserve">[pursuant to Rule 3.8(d)] </w:t>
      </w:r>
      <w:r w:rsidRPr="000641B0" w:rsidR="00DA3A5E">
        <w:rPr>
          <w:bCs/>
        </w:rPr>
        <w:t xml:space="preserve">independent of settled habeas procedures establishing a duty on the part of the Attorney General to acknowledge and potentially disclose the evidence at issue,” is </w:t>
      </w:r>
      <w:r w:rsidRPr="000641B0" w:rsidR="00DA3A5E">
        <w:rPr>
          <w:bCs/>
          <w:i/>
          <w:iCs/>
        </w:rPr>
        <w:t>inconsistent</w:t>
      </w:r>
      <w:r w:rsidRPr="000641B0" w:rsidR="00DA3A5E">
        <w:rPr>
          <w:bCs/>
        </w:rPr>
        <w:t xml:space="preserve"> with those habeas</w:t>
      </w:r>
      <w:r w:rsidR="00411D7C">
        <w:rPr>
          <w:bCs/>
        </w:rPr>
        <w:t xml:space="preserve"> corpus</w:t>
      </w:r>
      <w:r w:rsidRPr="000641B0" w:rsidR="00DA3A5E">
        <w:rPr>
          <w:bCs/>
        </w:rPr>
        <w:t xml:space="preserve"> procedures. </w:t>
      </w:r>
      <w:r w:rsidRPr="000641B0" w:rsidR="008D3429">
        <w:rPr>
          <w:bCs/>
        </w:rPr>
        <w:t xml:space="preserve"> </w:t>
      </w:r>
      <w:r w:rsidR="00DE7D31">
        <w:rPr>
          <w:bCs/>
        </w:rPr>
        <w:t>However, w</w:t>
      </w:r>
      <w:r w:rsidR="003E6266">
        <w:rPr>
          <w:bCs/>
        </w:rPr>
        <w:t xml:space="preserve">hile we </w:t>
      </w:r>
      <w:r w:rsidR="00D808FF">
        <w:rPr>
          <w:bCs/>
        </w:rPr>
        <w:t xml:space="preserve">reject the Attorney General’s argument that </w:t>
      </w:r>
      <w:r w:rsidR="0043744B">
        <w:rPr>
          <w:bCs/>
        </w:rPr>
        <w:t>c</w:t>
      </w:r>
      <w:r w:rsidR="00E205DC">
        <w:rPr>
          <w:bCs/>
        </w:rPr>
        <w:t xml:space="preserve">omment </w:t>
      </w:r>
      <w:r w:rsidR="0043744B">
        <w:rPr>
          <w:bCs/>
        </w:rPr>
        <w:t>[</w:t>
      </w:r>
      <w:r w:rsidR="00E205DC">
        <w:rPr>
          <w:bCs/>
        </w:rPr>
        <w:t>3</w:t>
      </w:r>
      <w:r w:rsidR="0043744B">
        <w:rPr>
          <w:bCs/>
        </w:rPr>
        <w:t>]</w:t>
      </w:r>
      <w:r w:rsidR="00E205DC">
        <w:rPr>
          <w:bCs/>
        </w:rPr>
        <w:t xml:space="preserve"> to Rule 3.8 limits </w:t>
      </w:r>
      <w:r w:rsidR="00D808FF">
        <w:rPr>
          <w:bCs/>
        </w:rPr>
        <w:t>his duty o</w:t>
      </w:r>
      <w:r w:rsidR="00E205DC">
        <w:rPr>
          <w:bCs/>
        </w:rPr>
        <w:t>f</w:t>
      </w:r>
      <w:r w:rsidR="00D808FF">
        <w:rPr>
          <w:bCs/>
        </w:rPr>
        <w:t xml:space="preserve"> disclosure to </w:t>
      </w:r>
      <w:r w:rsidR="00E205DC">
        <w:rPr>
          <w:bCs/>
        </w:rPr>
        <w:t xml:space="preserve">that prescribed in the </w:t>
      </w:r>
      <w:r w:rsidRPr="00F55F90" w:rsidR="00D808FF">
        <w:rPr>
          <w:bCs/>
          <w:i/>
          <w:iCs/>
        </w:rPr>
        <w:t>procedural law governing habeas</w:t>
      </w:r>
      <w:r w:rsidR="00E32113">
        <w:rPr>
          <w:bCs/>
          <w:i/>
          <w:iCs/>
        </w:rPr>
        <w:t xml:space="preserve"> corpus</w:t>
      </w:r>
      <w:r w:rsidRPr="00F55F90" w:rsidR="00D808FF">
        <w:rPr>
          <w:bCs/>
          <w:i/>
          <w:iCs/>
        </w:rPr>
        <w:t xml:space="preserve"> proceedings</w:t>
      </w:r>
      <w:r w:rsidR="00D808FF">
        <w:rPr>
          <w:bCs/>
        </w:rPr>
        <w:t xml:space="preserve">, we </w:t>
      </w:r>
      <w:r w:rsidR="005A24F5">
        <w:rPr>
          <w:bCs/>
        </w:rPr>
        <w:t xml:space="preserve">do not </w:t>
      </w:r>
      <w:r w:rsidRPr="005A24F5" w:rsidR="005A24F5">
        <w:rPr>
          <w:bCs/>
        </w:rPr>
        <w:t>sugges</w:t>
      </w:r>
      <w:r w:rsidR="005A24F5">
        <w:rPr>
          <w:bCs/>
        </w:rPr>
        <w:t>t</w:t>
      </w:r>
      <w:r w:rsidRPr="005A24F5" w:rsidR="005A24F5">
        <w:rPr>
          <w:bCs/>
        </w:rPr>
        <w:t xml:space="preserve"> that Rule 3.8(d) impose</w:t>
      </w:r>
      <w:r w:rsidR="005A24F5">
        <w:rPr>
          <w:bCs/>
        </w:rPr>
        <w:t>s</w:t>
      </w:r>
      <w:r w:rsidRPr="005A24F5" w:rsidR="005A24F5">
        <w:rPr>
          <w:bCs/>
        </w:rPr>
        <w:t xml:space="preserve"> duties beyond those specified in </w:t>
      </w:r>
      <w:r w:rsidRPr="00F55F90" w:rsidR="005A24F5">
        <w:rPr>
          <w:bCs/>
          <w:i/>
          <w:iCs/>
        </w:rPr>
        <w:t>statutory and constitutional provisions</w:t>
      </w:r>
      <w:r w:rsidRPr="00F55F90" w:rsidR="001E4E16">
        <w:rPr>
          <w:bCs/>
          <w:i/>
          <w:iCs/>
        </w:rPr>
        <w:t xml:space="preserve"> governing </w:t>
      </w:r>
      <w:r w:rsidRPr="00F55F90" w:rsidR="0056272C">
        <w:rPr>
          <w:bCs/>
          <w:i/>
          <w:iCs/>
        </w:rPr>
        <w:t>discovery</w:t>
      </w:r>
      <w:r w:rsidR="002124D0">
        <w:rPr>
          <w:bCs/>
          <w:i/>
          <w:iCs/>
        </w:rPr>
        <w:t xml:space="preserve"> in California courts</w:t>
      </w:r>
      <w:r w:rsidR="0056272C">
        <w:rPr>
          <w:bCs/>
        </w:rPr>
        <w:t xml:space="preserve">. </w:t>
      </w:r>
      <w:r w:rsidR="009258BA">
        <w:rPr>
          <w:bCs/>
        </w:rPr>
        <w:t xml:space="preserve"> </w:t>
      </w:r>
    </w:p>
    <w:p w:rsidR="00D541AC" w:rsidP="000641B0" w14:paraId="690E3083" w14:textId="5AD52F40">
      <w:pPr>
        <w:ind w:firstLine="720"/>
        <w:rPr>
          <w:rFonts w:cstheme="minorHAnsi"/>
          <w:szCs w:val="26"/>
        </w:rPr>
      </w:pPr>
      <w:r>
        <w:rPr>
          <w:rFonts w:cstheme="minorHAnsi"/>
          <w:szCs w:val="26"/>
        </w:rPr>
        <w:t>In fact, we</w:t>
      </w:r>
      <w:r w:rsidRPr="000641B0">
        <w:rPr>
          <w:rFonts w:cstheme="minorHAnsi"/>
          <w:szCs w:val="26"/>
        </w:rPr>
        <w:t xml:space="preserve"> </w:t>
      </w:r>
      <w:r w:rsidRPr="000641B0" w:rsidR="00D06574">
        <w:rPr>
          <w:rFonts w:cstheme="minorHAnsi"/>
          <w:szCs w:val="26"/>
        </w:rPr>
        <w:t>note</w:t>
      </w:r>
      <w:r w:rsidRPr="000641B0" w:rsidR="00C26E8B">
        <w:rPr>
          <w:rFonts w:cstheme="minorHAnsi"/>
          <w:szCs w:val="26"/>
        </w:rPr>
        <w:t xml:space="preserve"> that </w:t>
      </w:r>
      <w:r w:rsidRPr="000641B0" w:rsidR="009C50E3">
        <w:rPr>
          <w:rFonts w:cstheme="minorHAnsi"/>
          <w:szCs w:val="26"/>
        </w:rPr>
        <w:t xml:space="preserve">the </w:t>
      </w:r>
      <w:r w:rsidRPr="000641B0" w:rsidR="002A5D83">
        <w:rPr>
          <w:rFonts w:cstheme="minorHAnsi"/>
          <w:szCs w:val="26"/>
        </w:rPr>
        <w:t xml:space="preserve">ethical duty </w:t>
      </w:r>
      <w:r w:rsidRPr="000641B0" w:rsidR="001B6145">
        <w:rPr>
          <w:rFonts w:cstheme="minorHAnsi"/>
          <w:szCs w:val="26"/>
        </w:rPr>
        <w:t xml:space="preserve">in Rule </w:t>
      </w:r>
      <w:r w:rsidRPr="000641B0" w:rsidR="002A5D83">
        <w:rPr>
          <w:rFonts w:cstheme="minorHAnsi"/>
          <w:szCs w:val="26"/>
        </w:rPr>
        <w:t xml:space="preserve">3.8(d) </w:t>
      </w:r>
      <w:r w:rsidRPr="000641B0" w:rsidR="008652FB">
        <w:rPr>
          <w:rFonts w:cstheme="minorHAnsi"/>
          <w:szCs w:val="26"/>
        </w:rPr>
        <w:t xml:space="preserve">appears to be similar </w:t>
      </w:r>
      <w:r w:rsidRPr="000641B0" w:rsidR="002A5D83">
        <w:rPr>
          <w:rFonts w:cstheme="minorHAnsi"/>
          <w:szCs w:val="26"/>
        </w:rPr>
        <w:t xml:space="preserve">to the </w:t>
      </w:r>
      <w:r w:rsidRPr="000641B0" w:rsidR="009C50E3">
        <w:rPr>
          <w:rFonts w:cstheme="minorHAnsi"/>
          <w:szCs w:val="26"/>
        </w:rPr>
        <w:t>prosecut</w:t>
      </w:r>
      <w:r w:rsidRPr="000641B0" w:rsidR="002A5D83">
        <w:rPr>
          <w:rFonts w:cstheme="minorHAnsi"/>
          <w:szCs w:val="26"/>
        </w:rPr>
        <w:t xml:space="preserve">or’s statutory duty </w:t>
      </w:r>
      <w:r w:rsidRPr="000641B0" w:rsidR="00800DC6">
        <w:rPr>
          <w:rFonts w:cstheme="minorHAnsi"/>
          <w:szCs w:val="26"/>
        </w:rPr>
        <w:t xml:space="preserve">at trial </w:t>
      </w:r>
      <w:r w:rsidRPr="000641B0" w:rsidR="009C7DD5">
        <w:rPr>
          <w:rFonts w:cstheme="minorHAnsi"/>
          <w:szCs w:val="26"/>
        </w:rPr>
        <w:t xml:space="preserve">to </w:t>
      </w:r>
      <w:r w:rsidRPr="000641B0" w:rsidR="00182397">
        <w:rPr>
          <w:rFonts w:cstheme="minorHAnsi"/>
          <w:szCs w:val="26"/>
        </w:rPr>
        <w:t>provide discovery of “</w:t>
      </w:r>
      <w:r w:rsidRPr="000641B0" w:rsidR="005F7082">
        <w:rPr>
          <w:rFonts w:cstheme="minorHAnsi"/>
          <w:szCs w:val="26"/>
        </w:rPr>
        <w:t> </w:t>
      </w:r>
      <w:r w:rsidRPr="000641B0" w:rsidR="00981251">
        <w:rPr>
          <w:rFonts w:cstheme="minorHAnsi"/>
          <w:szCs w:val="26"/>
        </w:rPr>
        <w:t>‘</w:t>
      </w:r>
      <w:r w:rsidRPr="000641B0" w:rsidR="00182397">
        <w:rPr>
          <w:rFonts w:cstheme="minorHAnsi"/>
          <w:szCs w:val="26"/>
        </w:rPr>
        <w:t>[a]ny exculpatory evidence</w:t>
      </w:r>
      <w:r w:rsidR="00A43A11">
        <w:rPr>
          <w:rFonts w:cstheme="minorHAnsi"/>
          <w:szCs w:val="26"/>
        </w:rPr>
        <w:t>.</w:t>
      </w:r>
      <w:r w:rsidRPr="000641B0" w:rsidR="00981251">
        <w:rPr>
          <w:rFonts w:cstheme="minorHAnsi"/>
          <w:szCs w:val="26"/>
        </w:rPr>
        <w:t>’</w:t>
      </w:r>
      <w:r w:rsidRPr="000641B0" w:rsidR="005F7082">
        <w:rPr>
          <w:rFonts w:cstheme="minorHAnsi"/>
          <w:szCs w:val="26"/>
        </w:rPr>
        <w:t> </w:t>
      </w:r>
      <w:r w:rsidRPr="000641B0" w:rsidR="00182397">
        <w:rPr>
          <w:rFonts w:cstheme="minorHAnsi"/>
          <w:szCs w:val="26"/>
        </w:rPr>
        <w:t>”</w:t>
      </w:r>
      <w:r w:rsidR="00A43A11">
        <w:rPr>
          <w:rFonts w:cstheme="minorHAnsi"/>
          <w:szCs w:val="26"/>
        </w:rPr>
        <w:t xml:space="preserve"> </w:t>
      </w:r>
      <w:r w:rsidRPr="000641B0" w:rsidR="004471E1">
        <w:rPr>
          <w:rFonts w:cstheme="minorHAnsi"/>
          <w:szCs w:val="26"/>
        </w:rPr>
        <w:t xml:space="preserve"> </w:t>
      </w:r>
      <w:r w:rsidRPr="000641B0" w:rsidR="00A1454B">
        <w:rPr>
          <w:rFonts w:cstheme="minorHAnsi"/>
          <w:szCs w:val="26"/>
        </w:rPr>
        <w:t>(</w:t>
      </w:r>
      <w:r w:rsidRPr="000641B0" w:rsidR="00266827">
        <w:rPr>
          <w:i/>
          <w:iCs/>
        </w:rPr>
        <w:t>Cordova</w:t>
      </w:r>
      <w:r w:rsidRPr="000641B0" w:rsidR="00930856">
        <w:t xml:space="preserve">, </w:t>
      </w:r>
      <w:r w:rsidRPr="000641B0" w:rsidR="00930856">
        <w:rPr>
          <w:i/>
          <w:iCs/>
        </w:rPr>
        <w:t>supra</w:t>
      </w:r>
      <w:r w:rsidRPr="000641B0" w:rsidR="00930856">
        <w:t xml:space="preserve">, </w:t>
      </w:r>
      <w:r w:rsidRPr="000641B0" w:rsidR="00266827">
        <w:t>62</w:t>
      </w:r>
      <w:r w:rsidR="001E5668">
        <w:t> </w:t>
      </w:r>
      <w:r w:rsidRPr="000641B0" w:rsidR="00266827">
        <w:t xml:space="preserve">Cal.4th </w:t>
      </w:r>
      <w:r w:rsidRPr="000641B0" w:rsidR="00930856">
        <w:t>at p.</w:t>
      </w:r>
      <w:r w:rsidRPr="000641B0" w:rsidR="00266827">
        <w:t xml:space="preserve"> 124</w:t>
      </w:r>
      <w:r w:rsidRPr="000641B0" w:rsidR="00A1454B">
        <w:t>, quoting §</w:t>
      </w:r>
      <w:r w:rsidRPr="000641B0" w:rsidR="004D696D">
        <w:t> </w:t>
      </w:r>
      <w:r w:rsidRPr="000641B0" w:rsidR="00A1454B">
        <w:t>1054.1, subd.</w:t>
      </w:r>
      <w:r w:rsidRPr="000641B0" w:rsidR="00BD7A5B">
        <w:t> </w:t>
      </w:r>
      <w:r w:rsidRPr="000641B0" w:rsidR="00A1454B">
        <w:t>(e)</w:t>
      </w:r>
      <w:r w:rsidRPr="000641B0" w:rsidR="00423111">
        <w:t>.</w:t>
      </w:r>
      <w:r w:rsidRPr="000641B0" w:rsidR="00A1454B">
        <w:t>)</w:t>
      </w:r>
      <w:r>
        <w:rPr>
          <w:rStyle w:val="FootnoteReference"/>
        </w:rPr>
        <w:footnoteReference w:id="21"/>
      </w:r>
      <w:r w:rsidRPr="000641B0" w:rsidR="00266827">
        <w:t xml:space="preserve"> </w:t>
      </w:r>
      <w:r w:rsidRPr="000641B0" w:rsidR="004D696D">
        <w:t xml:space="preserve"> </w:t>
      </w:r>
      <w:r w:rsidRPr="000641B0" w:rsidR="00423111">
        <w:t xml:space="preserve">That duty </w:t>
      </w:r>
      <w:r w:rsidRPr="000641B0" w:rsidR="00266827">
        <w:t>“</w:t>
      </w:r>
      <w:r w:rsidRPr="000641B0" w:rsidR="004471E1">
        <w:rPr>
          <w:rFonts w:cstheme="minorHAnsi"/>
          <w:szCs w:val="26"/>
        </w:rPr>
        <w:t>requires the prosecution to provide all exculpatory evidence, not just evidence that is material under</w:t>
      </w:r>
      <w:r w:rsidRPr="000641B0" w:rsidR="00314F88">
        <w:rPr>
          <w:rFonts w:cstheme="minorHAnsi"/>
          <w:szCs w:val="26"/>
        </w:rPr>
        <w:t xml:space="preserve"> </w:t>
      </w:r>
      <w:r w:rsidRPr="000641B0" w:rsidR="004471E1">
        <w:rPr>
          <w:rFonts w:cstheme="minorHAnsi"/>
          <w:i/>
          <w:iCs/>
          <w:szCs w:val="26"/>
        </w:rPr>
        <w:t>Brady</w:t>
      </w:r>
      <w:r w:rsidRPr="000641B0" w:rsidR="00314F88">
        <w:rPr>
          <w:rFonts w:cstheme="minorHAnsi"/>
          <w:szCs w:val="26"/>
        </w:rPr>
        <w:t xml:space="preserve"> </w:t>
      </w:r>
      <w:r w:rsidRPr="000641B0" w:rsidR="004471E1">
        <w:rPr>
          <w:rFonts w:cstheme="minorHAnsi"/>
          <w:szCs w:val="26"/>
        </w:rPr>
        <w:t xml:space="preserve">and its progeny.” </w:t>
      </w:r>
      <w:r w:rsidRPr="000641B0" w:rsidR="00A1454B">
        <w:rPr>
          <w:rFonts w:cstheme="minorHAnsi"/>
          <w:szCs w:val="26"/>
        </w:rPr>
        <w:t xml:space="preserve"> </w:t>
      </w:r>
      <w:r w:rsidRPr="000641B0" w:rsidR="004471E1">
        <w:rPr>
          <w:rFonts w:cstheme="minorHAnsi"/>
          <w:szCs w:val="26"/>
        </w:rPr>
        <w:t>(</w:t>
      </w:r>
      <w:r w:rsidRPr="000641B0" w:rsidR="004471E1">
        <w:rPr>
          <w:rFonts w:cstheme="minorHAnsi"/>
          <w:i/>
          <w:iCs/>
          <w:szCs w:val="26"/>
        </w:rPr>
        <w:t>Cordova</w:t>
      </w:r>
      <w:r w:rsidRPr="000641B0" w:rsidR="004471E1">
        <w:rPr>
          <w:rFonts w:cstheme="minorHAnsi"/>
          <w:szCs w:val="26"/>
        </w:rPr>
        <w:t>, at p</w:t>
      </w:r>
      <w:r w:rsidRPr="000641B0" w:rsidR="00B6648F">
        <w:rPr>
          <w:rFonts w:cstheme="minorHAnsi"/>
          <w:szCs w:val="26"/>
        </w:rPr>
        <w:t>.</w:t>
      </w:r>
      <w:r w:rsidRPr="000641B0" w:rsidR="004D696D">
        <w:rPr>
          <w:rFonts w:cstheme="minorHAnsi"/>
          <w:szCs w:val="26"/>
        </w:rPr>
        <w:t> </w:t>
      </w:r>
      <w:r w:rsidRPr="000641B0" w:rsidR="007140E9">
        <w:rPr>
          <w:rFonts w:cstheme="minorHAnsi"/>
          <w:szCs w:val="26"/>
        </w:rPr>
        <w:t>124</w:t>
      </w:r>
      <w:r w:rsidRPr="000641B0" w:rsidR="00800DC6">
        <w:rPr>
          <w:rFonts w:cstheme="minorHAnsi"/>
          <w:szCs w:val="26"/>
        </w:rPr>
        <w:t>;</w:t>
      </w:r>
      <w:r w:rsidRPr="000641B0" w:rsidR="00B6648F">
        <w:rPr>
          <w:rFonts w:cstheme="minorHAnsi"/>
          <w:szCs w:val="26"/>
        </w:rPr>
        <w:t xml:space="preserve"> </w:t>
      </w:r>
      <w:r w:rsidRPr="000641B0" w:rsidR="001B6145">
        <w:rPr>
          <w:rFonts w:cstheme="minorHAnsi"/>
          <w:szCs w:val="26"/>
        </w:rPr>
        <w:t>see also</w:t>
      </w:r>
      <w:r w:rsidRPr="000641B0" w:rsidR="00C423DF">
        <w:rPr>
          <w:rFonts w:cstheme="minorHAnsi"/>
          <w:szCs w:val="26"/>
        </w:rPr>
        <w:t xml:space="preserve"> </w:t>
      </w:r>
      <w:r w:rsidRPr="000641B0" w:rsidR="005E2FB2">
        <w:rPr>
          <w:rFonts w:cstheme="minorHAnsi"/>
          <w:i/>
          <w:iCs/>
          <w:szCs w:val="26"/>
        </w:rPr>
        <w:t>Barnett</w:t>
      </w:r>
      <w:r w:rsidRPr="000641B0" w:rsidR="008652FB">
        <w:rPr>
          <w:rFonts w:cstheme="minorHAnsi"/>
          <w:szCs w:val="26"/>
        </w:rPr>
        <w:t>,</w:t>
      </w:r>
      <w:r w:rsidRPr="000641B0" w:rsidR="008652FB">
        <w:rPr>
          <w:rFonts w:cstheme="minorHAnsi"/>
          <w:i/>
          <w:iCs/>
          <w:szCs w:val="26"/>
        </w:rPr>
        <w:t xml:space="preserve"> supra</w:t>
      </w:r>
      <w:r w:rsidRPr="000641B0" w:rsidR="008652FB">
        <w:rPr>
          <w:rFonts w:cstheme="minorHAnsi"/>
          <w:szCs w:val="26"/>
        </w:rPr>
        <w:t>,</w:t>
      </w:r>
      <w:r w:rsidRPr="000641B0" w:rsidR="008652FB">
        <w:rPr>
          <w:rFonts w:cstheme="minorHAnsi"/>
          <w:i/>
          <w:iCs/>
          <w:szCs w:val="26"/>
        </w:rPr>
        <w:t xml:space="preserve"> </w:t>
      </w:r>
      <w:r w:rsidRPr="000641B0" w:rsidR="005E2FB2">
        <w:rPr>
          <w:rFonts w:cstheme="minorHAnsi"/>
          <w:szCs w:val="26"/>
        </w:rPr>
        <w:t xml:space="preserve">50 Cal.4th </w:t>
      </w:r>
      <w:r w:rsidRPr="000641B0" w:rsidR="009E75BD">
        <w:rPr>
          <w:rFonts w:cstheme="minorHAnsi"/>
          <w:szCs w:val="26"/>
        </w:rPr>
        <w:t>at p.</w:t>
      </w:r>
      <w:r w:rsidRPr="000641B0" w:rsidR="004D696D">
        <w:rPr>
          <w:rFonts w:cstheme="minorHAnsi"/>
          <w:szCs w:val="26"/>
        </w:rPr>
        <w:t> </w:t>
      </w:r>
      <w:r w:rsidRPr="000641B0" w:rsidR="005E2FB2">
        <w:rPr>
          <w:rFonts w:cstheme="minorHAnsi"/>
          <w:szCs w:val="26"/>
        </w:rPr>
        <w:t xml:space="preserve">901 </w:t>
      </w:r>
      <w:r w:rsidRPr="000641B0" w:rsidR="00C423DF">
        <w:rPr>
          <w:rFonts w:cstheme="minorHAnsi"/>
          <w:szCs w:val="26"/>
        </w:rPr>
        <w:t>[for purposes of postconviction discovery</w:t>
      </w:r>
      <w:r w:rsidRPr="000641B0" w:rsidR="005E2FB2">
        <w:rPr>
          <w:rFonts w:cstheme="minorHAnsi"/>
          <w:szCs w:val="26"/>
        </w:rPr>
        <w:t xml:space="preserve"> under </w:t>
      </w:r>
      <w:r w:rsidRPr="000641B0" w:rsidR="00ED224A">
        <w:rPr>
          <w:bCs/>
        </w:rPr>
        <w:t>§</w:t>
      </w:r>
      <w:r w:rsidR="00DC73E5">
        <w:rPr>
          <w:rFonts w:cstheme="minorHAnsi"/>
          <w:szCs w:val="26"/>
        </w:rPr>
        <w:t> </w:t>
      </w:r>
      <w:r w:rsidRPr="000641B0" w:rsidR="005E2FB2">
        <w:rPr>
          <w:rFonts w:cstheme="minorHAnsi"/>
          <w:szCs w:val="26"/>
        </w:rPr>
        <w:t xml:space="preserve">1054.9, </w:t>
      </w:r>
      <w:r w:rsidRPr="000641B0" w:rsidR="00C423DF">
        <w:rPr>
          <w:rFonts w:cstheme="minorHAnsi"/>
          <w:szCs w:val="26"/>
        </w:rPr>
        <w:t>“[i]f petitioner can show he has a reasonable basis for believing a specific item of exculpatory evidence exists, he is entitled to receive that evidence without additionally having to show its materiality”]</w:t>
      </w:r>
      <w:r w:rsidRPr="000641B0" w:rsidR="00373121">
        <w:rPr>
          <w:rFonts w:cstheme="minorHAnsi"/>
          <w:szCs w:val="26"/>
        </w:rPr>
        <w:t>; accord</w:t>
      </w:r>
      <w:r w:rsidR="00ED224A">
        <w:rPr>
          <w:rFonts w:cstheme="minorHAnsi"/>
          <w:szCs w:val="26"/>
        </w:rPr>
        <w:t>,</w:t>
      </w:r>
      <w:r w:rsidRPr="000641B0" w:rsidR="00373121">
        <w:rPr>
          <w:rFonts w:cstheme="minorHAnsi"/>
          <w:szCs w:val="26"/>
        </w:rPr>
        <w:t xml:space="preserve"> </w:t>
      </w:r>
      <w:r w:rsidRPr="000641B0" w:rsidR="00373121">
        <w:rPr>
          <w:rFonts w:cstheme="minorHAnsi"/>
          <w:i/>
          <w:iCs/>
          <w:szCs w:val="26"/>
        </w:rPr>
        <w:t xml:space="preserve">Deputy </w:t>
      </w:r>
      <w:r w:rsidRPr="000641B0" w:rsidR="009B20DE">
        <w:rPr>
          <w:rFonts w:cstheme="minorHAnsi"/>
          <w:i/>
          <w:iCs/>
          <w:szCs w:val="26"/>
        </w:rPr>
        <w:t>Sheriffs</w:t>
      </w:r>
      <w:r w:rsidRPr="000641B0" w:rsidR="00373121">
        <w:rPr>
          <w:rFonts w:cstheme="minorHAnsi"/>
          <w:szCs w:val="26"/>
        </w:rPr>
        <w:t>,</w:t>
      </w:r>
      <w:r w:rsidRPr="000641B0" w:rsidR="00373121">
        <w:rPr>
          <w:rFonts w:cstheme="minorHAnsi"/>
          <w:i/>
          <w:iCs/>
          <w:szCs w:val="26"/>
        </w:rPr>
        <w:t xml:space="preserve"> </w:t>
      </w:r>
      <w:r w:rsidRPr="000641B0" w:rsidR="009B20DE">
        <w:rPr>
          <w:rFonts w:cstheme="minorHAnsi"/>
          <w:i/>
          <w:iCs/>
          <w:szCs w:val="26"/>
        </w:rPr>
        <w:t>supra</w:t>
      </w:r>
      <w:r w:rsidRPr="000641B0" w:rsidR="009B20DE">
        <w:rPr>
          <w:rFonts w:cstheme="minorHAnsi"/>
          <w:szCs w:val="26"/>
        </w:rPr>
        <w:t xml:space="preserve">, </w:t>
      </w:r>
      <w:r w:rsidRPr="000641B0" w:rsidR="00373121">
        <w:rPr>
          <w:rFonts w:cstheme="minorHAnsi"/>
          <w:szCs w:val="26"/>
        </w:rPr>
        <w:t xml:space="preserve">8 Cal.5th </w:t>
      </w:r>
      <w:r w:rsidRPr="000641B0" w:rsidR="00266D60">
        <w:rPr>
          <w:rFonts w:cstheme="minorHAnsi"/>
          <w:szCs w:val="26"/>
        </w:rPr>
        <w:t>at p.</w:t>
      </w:r>
      <w:r w:rsidRPr="000641B0" w:rsidR="004D696D">
        <w:rPr>
          <w:rFonts w:cstheme="minorHAnsi"/>
          <w:szCs w:val="26"/>
        </w:rPr>
        <w:t> </w:t>
      </w:r>
      <w:r w:rsidRPr="000641B0" w:rsidR="00266D60">
        <w:rPr>
          <w:rFonts w:cstheme="minorHAnsi"/>
          <w:szCs w:val="26"/>
        </w:rPr>
        <w:t xml:space="preserve">40 </w:t>
      </w:r>
      <w:r w:rsidRPr="000641B0" w:rsidR="002A197C">
        <w:rPr>
          <w:rFonts w:cstheme="minorHAnsi"/>
          <w:szCs w:val="26"/>
        </w:rPr>
        <w:t>[</w:t>
      </w:r>
      <w:r w:rsidRPr="000641B0" w:rsidR="00ED7B19">
        <w:rPr>
          <w:rFonts w:cstheme="minorHAnsi"/>
          <w:szCs w:val="26"/>
        </w:rPr>
        <w:t>noting</w:t>
      </w:r>
      <w:r w:rsidRPr="000641B0" w:rsidR="00BA691F">
        <w:rPr>
          <w:rFonts w:cstheme="minorHAnsi"/>
          <w:szCs w:val="26"/>
        </w:rPr>
        <w:t xml:space="preserve"> that “[s]</w:t>
      </w:r>
      <w:r w:rsidRPr="000641B0" w:rsidR="002A197C">
        <w:rPr>
          <w:rFonts w:cstheme="minorHAnsi"/>
          <w:szCs w:val="26"/>
        </w:rPr>
        <w:t>tatutory</w:t>
      </w:r>
      <w:r w:rsidRPr="000641B0" w:rsidR="00BA691F">
        <w:rPr>
          <w:rFonts w:cstheme="minorHAnsi"/>
          <w:szCs w:val="26"/>
        </w:rPr>
        <w:t xml:space="preserve"> </w:t>
      </w:r>
      <w:r w:rsidRPr="000641B0" w:rsidR="002A197C">
        <w:rPr>
          <w:rFonts w:cstheme="minorHAnsi"/>
          <w:szCs w:val="26"/>
        </w:rPr>
        <w:t>and ethical obligations may require even more</w:t>
      </w:r>
      <w:r w:rsidRPr="000641B0" w:rsidR="00314F88">
        <w:rPr>
          <w:rFonts w:cstheme="minorHAnsi"/>
          <w:szCs w:val="26"/>
        </w:rPr>
        <w:t xml:space="preserve">” than the disclosure of material evidence and citing </w:t>
      </w:r>
      <w:r w:rsidRPr="000641B0" w:rsidR="00ED224A">
        <w:rPr>
          <w:bCs/>
        </w:rPr>
        <w:t>§</w:t>
      </w:r>
      <w:r w:rsidR="00DC73E5">
        <w:rPr>
          <w:rFonts w:cstheme="minorHAnsi"/>
          <w:szCs w:val="26"/>
        </w:rPr>
        <w:t> </w:t>
      </w:r>
      <w:r w:rsidRPr="000641B0" w:rsidR="002A197C">
        <w:rPr>
          <w:rFonts w:cstheme="minorHAnsi"/>
          <w:szCs w:val="26"/>
        </w:rPr>
        <w:t>1054.1, subds. (d)</w:t>
      </w:r>
      <w:r w:rsidRPr="000641B0" w:rsidR="00614FC1">
        <w:rPr>
          <w:bCs/>
        </w:rPr>
        <w:t>–</w:t>
      </w:r>
      <w:r w:rsidRPr="000641B0" w:rsidR="002A197C">
        <w:rPr>
          <w:rFonts w:cstheme="minorHAnsi"/>
          <w:szCs w:val="26"/>
        </w:rPr>
        <w:t>(e)</w:t>
      </w:r>
      <w:r w:rsidRPr="000641B0" w:rsidR="00314F88">
        <w:rPr>
          <w:rFonts w:cstheme="minorHAnsi"/>
          <w:szCs w:val="26"/>
        </w:rPr>
        <w:t xml:space="preserve"> and R</w:t>
      </w:r>
      <w:r w:rsidRPr="000641B0" w:rsidR="002A197C">
        <w:rPr>
          <w:rFonts w:cstheme="minorHAnsi"/>
          <w:szCs w:val="26"/>
        </w:rPr>
        <w:t>ule</w:t>
      </w:r>
      <w:r w:rsidRPr="000641B0" w:rsidR="00BA691F">
        <w:rPr>
          <w:rFonts w:cstheme="minorHAnsi"/>
          <w:szCs w:val="26"/>
        </w:rPr>
        <w:t xml:space="preserve"> </w:t>
      </w:r>
      <w:r w:rsidRPr="000641B0" w:rsidR="002A197C">
        <w:rPr>
          <w:rFonts w:cstheme="minorHAnsi"/>
          <w:szCs w:val="26"/>
        </w:rPr>
        <w:t>3.8(d) &amp; com. [3]</w:t>
      </w:r>
      <w:r w:rsidR="007D1512">
        <w:rPr>
          <w:rFonts w:cstheme="minorHAnsi"/>
          <w:szCs w:val="26"/>
        </w:rPr>
        <w:t>]</w:t>
      </w:r>
      <w:r w:rsidRPr="000641B0" w:rsidR="00C423DF">
        <w:rPr>
          <w:rFonts w:cstheme="minorHAnsi"/>
          <w:szCs w:val="26"/>
        </w:rPr>
        <w:t>.)</w:t>
      </w:r>
    </w:p>
    <w:p w:rsidR="003C2EF4" w:rsidRPr="000641B0" w:rsidP="00B61676" w14:paraId="19A918AD" w14:textId="3C0E385C">
      <w:pPr>
        <w:ind w:firstLine="720"/>
        <w:rPr>
          <w:rFonts w:cstheme="minorHAnsi"/>
          <w:szCs w:val="26"/>
        </w:rPr>
      </w:pPr>
      <w:r w:rsidRPr="000641B0">
        <w:rPr>
          <w:bCs/>
        </w:rPr>
        <w:t xml:space="preserve">The Attorney General also appears to argue that the applicability of Rule 3.8(d) in habeas </w:t>
      </w:r>
      <w:r w:rsidR="00E32113">
        <w:rPr>
          <w:bCs/>
        </w:rPr>
        <w:t xml:space="preserve">corpus </w:t>
      </w:r>
      <w:r w:rsidRPr="000641B0">
        <w:rPr>
          <w:bCs/>
        </w:rPr>
        <w:t xml:space="preserve">proceedings raising a </w:t>
      </w:r>
      <w:r w:rsidRPr="000641B0">
        <w:rPr>
          <w:bCs/>
          <w:i/>
          <w:iCs/>
        </w:rPr>
        <w:t>Brady</w:t>
      </w:r>
      <w:r w:rsidRPr="000641B0">
        <w:rPr>
          <w:bCs/>
        </w:rPr>
        <w:t xml:space="preserve"> claim turns on the Attorney General’s assessment of whether the evidence at issue is material to the</w:t>
      </w:r>
      <w:r w:rsidR="001859CF">
        <w:rPr>
          <w:bCs/>
        </w:rPr>
        <w:t xml:space="preserve"> petitioner</w:t>
      </w:r>
      <w:r w:rsidRPr="000641B0">
        <w:rPr>
          <w:bCs/>
        </w:rPr>
        <w:t>’s conviction.</w:t>
      </w:r>
      <w:r>
        <w:rPr>
          <w:rStyle w:val="FootnoteReference"/>
          <w:bCs/>
        </w:rPr>
        <w:footnoteReference w:id="22"/>
      </w:r>
      <w:r w:rsidRPr="000641B0">
        <w:rPr>
          <w:bCs/>
        </w:rPr>
        <w:t xml:space="preserve">  We reject any such argument.  Comment [3] to Rule 3.8 expressly states, “The disclosure obligations in paragraph (d) are not limited to evidence or information that is material as defined by </w:t>
      </w:r>
      <w:r w:rsidRPr="000641B0">
        <w:rPr>
          <w:bCs/>
          <w:i/>
          <w:iCs/>
        </w:rPr>
        <w:t>Brady</w:t>
      </w:r>
      <w:r w:rsidR="003D0267">
        <w:rPr>
          <w:bCs/>
        </w:rPr>
        <w:t> </w:t>
      </w:r>
      <w:r w:rsidR="004B4AE6">
        <w:rPr>
          <w:bCs/>
        </w:rPr>
        <w:t>. . .</w:t>
      </w:r>
      <w:r w:rsidR="003D0267">
        <w:rPr>
          <w:bCs/>
        </w:rPr>
        <w:t> </w:t>
      </w:r>
      <w:r w:rsidRPr="000641B0">
        <w:rPr>
          <w:bCs/>
        </w:rPr>
        <w:t xml:space="preserve">and its progeny.”  </w:t>
      </w:r>
      <w:r w:rsidRPr="000641B0" w:rsidR="00B61676">
        <w:rPr>
          <w:rFonts w:cstheme="minorHAnsi"/>
          <w:szCs w:val="26"/>
        </w:rPr>
        <w:t xml:space="preserve">This court’s approval of Rule 3.8(d) and the accompanying comment makes clear that the ethical disclosure obligation under Rule 3.8(d) is not limited to evidence material to a conviction.  </w:t>
      </w:r>
    </w:p>
    <w:p w:rsidR="00B67F0B" w:rsidRPr="000641B0" w:rsidP="000641B0" w14:paraId="6C8C1DF7" w14:textId="17A789C8">
      <w:pPr>
        <w:ind w:firstLine="720"/>
        <w:rPr>
          <w:rFonts w:cstheme="minorHAnsi"/>
          <w:szCs w:val="26"/>
        </w:rPr>
      </w:pPr>
      <w:r w:rsidRPr="000641B0">
        <w:rPr>
          <w:bCs/>
        </w:rPr>
        <w:t>According</w:t>
      </w:r>
      <w:r w:rsidRPr="000641B0" w:rsidR="003515AE">
        <w:rPr>
          <w:bCs/>
        </w:rPr>
        <w:t>ly</w:t>
      </w:r>
      <w:r w:rsidRPr="000641B0">
        <w:rPr>
          <w:bCs/>
        </w:rPr>
        <w:t>, we conclude that</w:t>
      </w:r>
      <w:r w:rsidRPr="000641B0" w:rsidR="0045279A">
        <w:rPr>
          <w:bCs/>
        </w:rPr>
        <w:t>,</w:t>
      </w:r>
      <w:r w:rsidRPr="000641B0" w:rsidR="00F23566">
        <w:rPr>
          <w:bCs/>
        </w:rPr>
        <w:t xml:space="preserve"> pursuant to Rule 3.8(d)</w:t>
      </w:r>
      <w:r w:rsidRPr="000641B0" w:rsidR="00930BB3">
        <w:rPr>
          <w:bCs/>
        </w:rPr>
        <w:t>,</w:t>
      </w:r>
      <w:r w:rsidRPr="000641B0" w:rsidR="00F23566">
        <w:rPr>
          <w:bCs/>
        </w:rPr>
        <w:t xml:space="preserve"> </w:t>
      </w:r>
      <w:r w:rsidRPr="000641B0">
        <w:rPr>
          <w:bCs/>
        </w:rPr>
        <w:t xml:space="preserve">in </w:t>
      </w:r>
      <w:r w:rsidRPr="000641B0" w:rsidR="0045279A">
        <w:rPr>
          <w:bCs/>
        </w:rPr>
        <w:t>responding to a petition</w:t>
      </w:r>
      <w:r w:rsidR="00E32113">
        <w:rPr>
          <w:bCs/>
        </w:rPr>
        <w:t xml:space="preserve"> for writ of habeas corpus</w:t>
      </w:r>
      <w:r w:rsidRPr="000641B0" w:rsidR="00D125E4">
        <w:rPr>
          <w:bCs/>
        </w:rPr>
        <w:t xml:space="preserve"> alleging a </w:t>
      </w:r>
      <w:r w:rsidRPr="000641B0" w:rsidR="00D125E4">
        <w:rPr>
          <w:bCs/>
          <w:i/>
          <w:iCs/>
        </w:rPr>
        <w:t>Brady</w:t>
      </w:r>
      <w:r w:rsidRPr="000641B0" w:rsidR="00D125E4">
        <w:rPr>
          <w:bCs/>
        </w:rPr>
        <w:t xml:space="preserve"> violation</w:t>
      </w:r>
      <w:r w:rsidRPr="000641B0" w:rsidR="00474F68">
        <w:rPr>
          <w:bCs/>
        </w:rPr>
        <w:t xml:space="preserve">, </w:t>
      </w:r>
      <w:r w:rsidRPr="000641B0" w:rsidR="00B31BA5">
        <w:rPr>
          <w:bCs/>
        </w:rPr>
        <w:t xml:space="preserve">the Attorney General </w:t>
      </w:r>
      <w:r w:rsidRPr="000641B0" w:rsidR="00CF41E6">
        <w:rPr>
          <w:bCs/>
        </w:rPr>
        <w:t>has an ethical duty to</w:t>
      </w:r>
      <w:r w:rsidRPr="000641B0" w:rsidR="00186DD1">
        <w:rPr>
          <w:bCs/>
        </w:rPr>
        <w:t xml:space="preserve"> make timely disclosure</w:t>
      </w:r>
      <w:r w:rsidRPr="000641B0" w:rsidR="001C3147">
        <w:rPr>
          <w:bCs/>
        </w:rPr>
        <w:t xml:space="preserve"> </w:t>
      </w:r>
      <w:r w:rsidRPr="000641B0" w:rsidR="00AA29BF">
        <w:rPr>
          <w:bCs/>
        </w:rPr>
        <w:t xml:space="preserve">to the petitioner </w:t>
      </w:r>
      <w:r w:rsidRPr="000641B0" w:rsidR="004D696D">
        <w:rPr>
          <w:bCs/>
        </w:rPr>
        <w:t xml:space="preserve">of </w:t>
      </w:r>
      <w:r w:rsidRPr="000641B0" w:rsidR="00AA29BF">
        <w:rPr>
          <w:bCs/>
        </w:rPr>
        <w:t xml:space="preserve">all </w:t>
      </w:r>
      <w:r w:rsidRPr="000641B0" w:rsidR="00186DD1">
        <w:rPr>
          <w:bCs/>
        </w:rPr>
        <w:t>evidence or information</w:t>
      </w:r>
      <w:r w:rsidRPr="000641B0" w:rsidR="00AA29BF">
        <w:rPr>
          <w:bCs/>
        </w:rPr>
        <w:t xml:space="preserve"> known to the Attorney General that</w:t>
      </w:r>
      <w:r w:rsidRPr="000641B0" w:rsidR="0032313E">
        <w:rPr>
          <w:bCs/>
        </w:rPr>
        <w:t xml:space="preserve"> was available</w:t>
      </w:r>
      <w:r w:rsidR="007748B5">
        <w:rPr>
          <w:bCs/>
        </w:rPr>
        <w:t xml:space="preserve"> but not disclosed</w:t>
      </w:r>
      <w:r w:rsidRPr="000641B0" w:rsidR="0032313E">
        <w:rPr>
          <w:bCs/>
        </w:rPr>
        <w:t xml:space="preserve"> at trial</w:t>
      </w:r>
      <w:r>
        <w:rPr>
          <w:rStyle w:val="FootnoteReference"/>
          <w:bCs/>
        </w:rPr>
        <w:footnoteReference w:id="23"/>
      </w:r>
      <w:r w:rsidRPr="000641B0" w:rsidR="0032313E">
        <w:rPr>
          <w:bCs/>
        </w:rPr>
        <w:t xml:space="preserve"> that</w:t>
      </w:r>
      <w:r w:rsidRPr="000641B0" w:rsidR="00AA29BF">
        <w:rPr>
          <w:bCs/>
        </w:rPr>
        <w:t xml:space="preserve"> the Attorney General knows or reasonably should know </w:t>
      </w:r>
      <w:r w:rsidRPr="000641B0" w:rsidR="00372464">
        <w:rPr>
          <w:bCs/>
        </w:rPr>
        <w:t xml:space="preserve">tends to </w:t>
      </w:r>
      <w:r w:rsidRPr="000641B0" w:rsidR="00186DD1">
        <w:rPr>
          <w:bCs/>
        </w:rPr>
        <w:t xml:space="preserve">negate the guilt of the </w:t>
      </w:r>
      <w:r w:rsidRPr="000641B0" w:rsidR="001C3147">
        <w:rPr>
          <w:bCs/>
        </w:rPr>
        <w:t>petitioner</w:t>
      </w:r>
      <w:r w:rsidRPr="000641B0" w:rsidR="00186DD1">
        <w:rPr>
          <w:bCs/>
        </w:rPr>
        <w:t xml:space="preserve">, mitigate the offense, or mitigate the sentence, except when the </w:t>
      </w:r>
      <w:r w:rsidRPr="000641B0" w:rsidR="001C3147">
        <w:rPr>
          <w:bCs/>
        </w:rPr>
        <w:t>Attorney General</w:t>
      </w:r>
      <w:r w:rsidRPr="000641B0" w:rsidR="00186DD1">
        <w:rPr>
          <w:bCs/>
        </w:rPr>
        <w:t xml:space="preserve"> is relieved of this responsibility by a protective order of the tribunal</w:t>
      </w:r>
      <w:r w:rsidRPr="000641B0" w:rsidR="00F23566">
        <w:rPr>
          <w:bCs/>
        </w:rPr>
        <w:t>.</w:t>
      </w:r>
      <w:r>
        <w:rPr>
          <w:rStyle w:val="FootnoteReference"/>
          <w:bCs/>
        </w:rPr>
        <w:footnoteReference w:id="24"/>
      </w:r>
      <w:r w:rsidRPr="000641B0" w:rsidR="009B3705">
        <w:rPr>
          <w:bCs/>
        </w:rPr>
        <w:t xml:space="preserve">  </w:t>
      </w:r>
    </w:p>
    <w:p w:rsidR="00DF6D1D" w:rsidRPr="000641B0" w:rsidP="00F55F90" w14:paraId="05DA0802" w14:textId="63A3F30C">
      <w:pPr>
        <w:pStyle w:val="Heading2"/>
        <w:keepLines/>
        <w:tabs>
          <w:tab w:val="clear" w:pos="1152"/>
        </w:tabs>
        <w:ind w:left="0" w:firstLine="0"/>
        <w:jc w:val="center"/>
      </w:pPr>
      <w:r w:rsidRPr="000641B0">
        <w:t>C.</w:t>
      </w:r>
    </w:p>
    <w:p w:rsidR="00D541AC" w:rsidRPr="000641B0" w:rsidP="000641B0" w14:paraId="7CC48DA7" w14:textId="2D4D3343">
      <w:pPr>
        <w:ind w:firstLine="720"/>
        <w:rPr>
          <w:rFonts w:cstheme="minorHAnsi"/>
          <w:szCs w:val="26"/>
        </w:rPr>
      </w:pPr>
      <w:r w:rsidRPr="000641B0">
        <w:rPr>
          <w:rFonts w:cstheme="minorHAnsi"/>
          <w:szCs w:val="26"/>
        </w:rPr>
        <w:t xml:space="preserve">In addition to the Attorney General’s </w:t>
      </w:r>
      <w:r w:rsidRPr="000641B0" w:rsidR="00231B44">
        <w:rPr>
          <w:rFonts w:cstheme="minorHAnsi"/>
          <w:szCs w:val="26"/>
        </w:rPr>
        <w:t>constitutional and ethical duties described in part</w:t>
      </w:r>
      <w:r w:rsidRPr="000641B0" w:rsidR="006E4D22">
        <w:rPr>
          <w:rFonts w:cstheme="minorHAnsi"/>
          <w:szCs w:val="26"/>
        </w:rPr>
        <w:t>s</w:t>
      </w:r>
      <w:r w:rsidRPr="000641B0" w:rsidR="00231B44">
        <w:rPr>
          <w:rFonts w:cstheme="minorHAnsi"/>
          <w:szCs w:val="26"/>
        </w:rPr>
        <w:t xml:space="preserve"> II.A</w:t>
      </w:r>
      <w:r w:rsidR="00ED224A">
        <w:rPr>
          <w:rFonts w:cstheme="minorHAnsi"/>
          <w:szCs w:val="26"/>
        </w:rPr>
        <w:t>.</w:t>
      </w:r>
      <w:r w:rsidRPr="000641B0" w:rsidR="00231B44">
        <w:rPr>
          <w:rFonts w:cstheme="minorHAnsi"/>
          <w:szCs w:val="26"/>
        </w:rPr>
        <w:t xml:space="preserve"> and</w:t>
      </w:r>
      <w:r w:rsidRPr="000641B0" w:rsidR="006E4D22">
        <w:rPr>
          <w:rFonts w:cstheme="minorHAnsi"/>
          <w:szCs w:val="26"/>
        </w:rPr>
        <w:t xml:space="preserve"> II.</w:t>
      </w:r>
      <w:r w:rsidRPr="000641B0" w:rsidR="00231B44">
        <w:rPr>
          <w:rFonts w:cstheme="minorHAnsi"/>
          <w:szCs w:val="26"/>
        </w:rPr>
        <w:t>B</w:t>
      </w:r>
      <w:r w:rsidR="00ED224A">
        <w:rPr>
          <w:rFonts w:cstheme="minorHAnsi"/>
          <w:szCs w:val="26"/>
        </w:rPr>
        <w:t>.</w:t>
      </w:r>
      <w:r w:rsidRPr="000641B0" w:rsidR="00231B44">
        <w:rPr>
          <w:rFonts w:cstheme="minorHAnsi"/>
          <w:szCs w:val="26"/>
        </w:rPr>
        <w:t xml:space="preserve">, </w:t>
      </w:r>
      <w:r w:rsidRPr="000641B0" w:rsidR="00231B44">
        <w:rPr>
          <w:rFonts w:cstheme="minorHAnsi"/>
          <w:i/>
          <w:iCs/>
          <w:szCs w:val="26"/>
        </w:rPr>
        <w:t>ante</w:t>
      </w:r>
      <w:r w:rsidRPr="000641B0" w:rsidR="00231B44">
        <w:rPr>
          <w:rFonts w:cstheme="minorHAnsi"/>
          <w:szCs w:val="26"/>
        </w:rPr>
        <w:t xml:space="preserve">, </w:t>
      </w:r>
      <w:r w:rsidRPr="000641B0" w:rsidR="00540226">
        <w:rPr>
          <w:rFonts w:cstheme="minorHAnsi"/>
          <w:szCs w:val="26"/>
        </w:rPr>
        <w:t>a</w:t>
      </w:r>
      <w:r w:rsidRPr="000641B0" w:rsidR="00E610E7">
        <w:rPr>
          <w:rFonts w:cstheme="minorHAnsi"/>
          <w:szCs w:val="26"/>
        </w:rPr>
        <w:t xml:space="preserve"> </w:t>
      </w:r>
      <w:r w:rsidRPr="000641B0" w:rsidR="00AA762A">
        <w:rPr>
          <w:rFonts w:cstheme="minorHAnsi"/>
          <w:szCs w:val="26"/>
        </w:rPr>
        <w:t>respondent to a petition</w:t>
      </w:r>
      <w:r w:rsidR="00D076F8">
        <w:rPr>
          <w:rFonts w:cstheme="minorHAnsi"/>
          <w:szCs w:val="26"/>
        </w:rPr>
        <w:t xml:space="preserve"> for writ of habeas corpus</w:t>
      </w:r>
      <w:r w:rsidRPr="000641B0" w:rsidR="00AA762A">
        <w:rPr>
          <w:rFonts w:cstheme="minorHAnsi"/>
          <w:szCs w:val="26"/>
        </w:rPr>
        <w:t xml:space="preserve"> </w:t>
      </w:r>
      <w:r w:rsidRPr="000641B0" w:rsidR="00887F02">
        <w:rPr>
          <w:rFonts w:cstheme="minorHAnsi"/>
          <w:szCs w:val="26"/>
        </w:rPr>
        <w:t xml:space="preserve">alleging a </w:t>
      </w:r>
      <w:r w:rsidRPr="000641B0" w:rsidR="00887F02">
        <w:rPr>
          <w:rFonts w:cstheme="minorHAnsi"/>
          <w:i/>
          <w:iCs/>
          <w:szCs w:val="26"/>
        </w:rPr>
        <w:t>Brady</w:t>
      </w:r>
      <w:r w:rsidRPr="000641B0" w:rsidR="00887F02">
        <w:rPr>
          <w:rFonts w:cstheme="minorHAnsi"/>
          <w:szCs w:val="26"/>
        </w:rPr>
        <w:t xml:space="preserve"> claim </w:t>
      </w:r>
      <w:r w:rsidRPr="000641B0" w:rsidR="00AA762A">
        <w:rPr>
          <w:rFonts w:cstheme="minorHAnsi"/>
          <w:szCs w:val="26"/>
        </w:rPr>
        <w:t>also has</w:t>
      </w:r>
      <w:r w:rsidRPr="000641B0" w:rsidR="00E610E7">
        <w:rPr>
          <w:rFonts w:cstheme="minorHAnsi"/>
          <w:szCs w:val="26"/>
        </w:rPr>
        <w:t xml:space="preserve"> dut</w:t>
      </w:r>
      <w:r w:rsidRPr="000641B0" w:rsidR="00AA762A">
        <w:rPr>
          <w:rFonts w:cstheme="minorHAnsi"/>
          <w:szCs w:val="26"/>
        </w:rPr>
        <w:t>ies</w:t>
      </w:r>
      <w:r w:rsidRPr="000641B0" w:rsidR="00E610E7">
        <w:rPr>
          <w:rFonts w:cstheme="minorHAnsi"/>
          <w:szCs w:val="26"/>
        </w:rPr>
        <w:t xml:space="preserve"> </w:t>
      </w:r>
      <w:r w:rsidRPr="000641B0" w:rsidR="00231B44">
        <w:rPr>
          <w:rFonts w:cstheme="minorHAnsi"/>
          <w:szCs w:val="26"/>
        </w:rPr>
        <w:t xml:space="preserve">that </w:t>
      </w:r>
      <w:r w:rsidRPr="000641B0" w:rsidR="00AA762A">
        <w:rPr>
          <w:rFonts w:cstheme="minorHAnsi"/>
          <w:szCs w:val="26"/>
        </w:rPr>
        <w:t>aris</w:t>
      </w:r>
      <w:r w:rsidRPr="000641B0" w:rsidR="00231B44">
        <w:rPr>
          <w:rFonts w:cstheme="minorHAnsi"/>
          <w:szCs w:val="26"/>
        </w:rPr>
        <w:t>e</w:t>
      </w:r>
      <w:r w:rsidRPr="000641B0" w:rsidR="00AA762A">
        <w:rPr>
          <w:rFonts w:cstheme="minorHAnsi"/>
          <w:szCs w:val="26"/>
        </w:rPr>
        <w:t xml:space="preserve"> from</w:t>
      </w:r>
      <w:r w:rsidRPr="000641B0" w:rsidR="00E610E7">
        <w:rPr>
          <w:rFonts w:cstheme="minorHAnsi"/>
          <w:szCs w:val="26"/>
        </w:rPr>
        <w:t xml:space="preserve"> </w:t>
      </w:r>
      <w:r w:rsidRPr="000641B0" w:rsidR="001A1761">
        <w:rPr>
          <w:rFonts w:cstheme="minorHAnsi"/>
          <w:szCs w:val="26"/>
        </w:rPr>
        <w:t>procedural law</w:t>
      </w:r>
      <w:r w:rsidRPr="000641B0" w:rsidR="00231B44">
        <w:rPr>
          <w:rFonts w:cstheme="minorHAnsi"/>
          <w:szCs w:val="26"/>
        </w:rPr>
        <w:t xml:space="preserve"> governing </w:t>
      </w:r>
      <w:r w:rsidR="00F763C5">
        <w:rPr>
          <w:rFonts w:cstheme="minorHAnsi"/>
          <w:szCs w:val="26"/>
        </w:rPr>
        <w:t>such</w:t>
      </w:r>
      <w:r w:rsidRPr="000641B0" w:rsidR="00D076F8">
        <w:rPr>
          <w:rFonts w:cstheme="minorHAnsi"/>
          <w:szCs w:val="26"/>
        </w:rPr>
        <w:t xml:space="preserve"> </w:t>
      </w:r>
      <w:r w:rsidRPr="000641B0" w:rsidR="00231B44">
        <w:rPr>
          <w:rFonts w:cstheme="minorHAnsi"/>
          <w:szCs w:val="26"/>
        </w:rPr>
        <w:t>petitions</w:t>
      </w:r>
      <w:r w:rsidRPr="000641B0" w:rsidR="00E610E7">
        <w:rPr>
          <w:rFonts w:cstheme="minorHAnsi"/>
          <w:szCs w:val="26"/>
        </w:rPr>
        <w:t>.</w:t>
      </w:r>
    </w:p>
    <w:p w:rsidR="00961F2B" w:rsidRPr="000641B0" w:rsidP="000641B0" w14:paraId="6EC7319C" w14:textId="11008E3F">
      <w:pPr>
        <w:ind w:firstLine="720"/>
        <w:rPr>
          <w:rFonts w:cstheme="minorHAnsi"/>
          <w:szCs w:val="26"/>
        </w:rPr>
      </w:pPr>
      <w:r w:rsidRPr="000641B0">
        <w:rPr>
          <w:rFonts w:cstheme="minorHAnsi"/>
          <w:szCs w:val="26"/>
        </w:rPr>
        <w:t xml:space="preserve">We begin by </w:t>
      </w:r>
      <w:r w:rsidRPr="000641B0" w:rsidR="00676803">
        <w:rPr>
          <w:rFonts w:cstheme="minorHAnsi"/>
          <w:szCs w:val="26"/>
        </w:rPr>
        <w:t xml:space="preserve">summarizing </w:t>
      </w:r>
      <w:r w:rsidRPr="000641B0">
        <w:rPr>
          <w:rFonts w:cstheme="minorHAnsi"/>
          <w:szCs w:val="26"/>
        </w:rPr>
        <w:t>well established law gove</w:t>
      </w:r>
      <w:r w:rsidRPr="000641B0" w:rsidR="007F2FBD">
        <w:rPr>
          <w:rFonts w:cstheme="minorHAnsi"/>
          <w:szCs w:val="26"/>
        </w:rPr>
        <w:t xml:space="preserve">rning </w:t>
      </w:r>
      <w:r w:rsidRPr="000641B0" w:rsidR="001A1761">
        <w:rPr>
          <w:rFonts w:cstheme="minorHAnsi"/>
          <w:szCs w:val="26"/>
        </w:rPr>
        <w:t>petitions</w:t>
      </w:r>
      <w:r w:rsidR="00D076F8">
        <w:rPr>
          <w:rFonts w:cstheme="minorHAnsi"/>
          <w:szCs w:val="26"/>
        </w:rPr>
        <w:t xml:space="preserve"> for writ of habeas corpus</w:t>
      </w:r>
      <w:r w:rsidRPr="000641B0" w:rsidR="00676803">
        <w:rPr>
          <w:rFonts w:cstheme="minorHAnsi"/>
          <w:szCs w:val="26"/>
        </w:rPr>
        <w:t>.  (</w:t>
      </w:r>
      <w:r w:rsidRPr="000641B0" w:rsidR="00121BCF">
        <w:rPr>
          <w:rFonts w:cstheme="minorHAnsi"/>
          <w:i/>
          <w:iCs/>
          <w:szCs w:val="26"/>
        </w:rPr>
        <w:t>Duvall</w:t>
      </w:r>
      <w:r w:rsidRPr="000641B0" w:rsidR="00183EFD">
        <w:rPr>
          <w:rFonts w:cstheme="minorHAnsi"/>
          <w:szCs w:val="26"/>
        </w:rPr>
        <w:t>,</w:t>
      </w:r>
      <w:r w:rsidRPr="000641B0" w:rsidR="00183EFD">
        <w:rPr>
          <w:rFonts w:cstheme="minorHAnsi"/>
          <w:i/>
          <w:iCs/>
          <w:szCs w:val="26"/>
        </w:rPr>
        <w:t xml:space="preserve"> supra</w:t>
      </w:r>
      <w:r w:rsidRPr="000641B0" w:rsidR="00183EFD">
        <w:rPr>
          <w:rFonts w:cstheme="minorHAnsi"/>
          <w:szCs w:val="26"/>
        </w:rPr>
        <w:t>,</w:t>
      </w:r>
      <w:r w:rsidRPr="000641B0" w:rsidR="00121BCF">
        <w:rPr>
          <w:rFonts w:cstheme="minorHAnsi"/>
          <w:szCs w:val="26"/>
        </w:rPr>
        <w:t xml:space="preserve"> 9</w:t>
      </w:r>
      <w:r w:rsidR="00F763C5">
        <w:rPr>
          <w:rFonts w:cstheme="minorHAnsi"/>
          <w:szCs w:val="26"/>
        </w:rPr>
        <w:t> </w:t>
      </w:r>
      <w:r w:rsidRPr="000641B0" w:rsidR="00121BCF">
        <w:rPr>
          <w:rFonts w:cstheme="minorHAnsi"/>
          <w:szCs w:val="26"/>
        </w:rPr>
        <w:t xml:space="preserve">Cal.4th </w:t>
      </w:r>
      <w:r w:rsidRPr="000641B0" w:rsidR="007E0176">
        <w:rPr>
          <w:rFonts w:cstheme="minorHAnsi"/>
          <w:szCs w:val="26"/>
        </w:rPr>
        <w:t>at pp.</w:t>
      </w:r>
      <w:r w:rsidRPr="000641B0" w:rsidR="00676803">
        <w:rPr>
          <w:rFonts w:cstheme="minorHAnsi"/>
          <w:szCs w:val="26"/>
        </w:rPr>
        <w:t xml:space="preserve"> 474</w:t>
      </w:r>
      <w:r w:rsidRPr="000641B0" w:rsidR="00EF7AD4">
        <w:rPr>
          <w:bCs/>
        </w:rPr>
        <w:t>–</w:t>
      </w:r>
      <w:r w:rsidRPr="000641B0" w:rsidR="00676803">
        <w:rPr>
          <w:rFonts w:cstheme="minorHAnsi"/>
          <w:szCs w:val="26"/>
        </w:rPr>
        <w:t>475.</w:t>
      </w:r>
      <w:r w:rsidRPr="000641B0" w:rsidR="00183EFD">
        <w:rPr>
          <w:rFonts w:cstheme="minorHAnsi"/>
          <w:szCs w:val="26"/>
        </w:rPr>
        <w:t>)</w:t>
      </w:r>
      <w:r w:rsidRPr="000641B0" w:rsidR="00676803">
        <w:rPr>
          <w:rFonts w:cstheme="minorHAnsi"/>
          <w:szCs w:val="26"/>
        </w:rPr>
        <w:t xml:space="preserve">  In </w:t>
      </w:r>
      <w:r w:rsidRPr="000641B0" w:rsidR="00676803">
        <w:rPr>
          <w:rFonts w:cstheme="minorHAnsi"/>
          <w:i/>
          <w:iCs/>
          <w:szCs w:val="26"/>
        </w:rPr>
        <w:t>Duvall</w:t>
      </w:r>
      <w:r w:rsidRPr="000641B0" w:rsidR="00676803">
        <w:rPr>
          <w:rFonts w:cstheme="minorHAnsi"/>
          <w:szCs w:val="26"/>
        </w:rPr>
        <w:t xml:space="preserve">, </w:t>
      </w:r>
      <w:r w:rsidRPr="000641B0" w:rsidR="00121BCF">
        <w:rPr>
          <w:rFonts w:cstheme="minorHAnsi"/>
          <w:szCs w:val="26"/>
        </w:rPr>
        <w:t xml:space="preserve">we outlined </w:t>
      </w:r>
      <w:r w:rsidRPr="000641B0" w:rsidR="00F116DE">
        <w:rPr>
          <w:rFonts w:cstheme="minorHAnsi"/>
          <w:szCs w:val="26"/>
        </w:rPr>
        <w:t>a</w:t>
      </w:r>
      <w:r w:rsidRPr="000641B0" w:rsidR="00121BCF">
        <w:rPr>
          <w:rFonts w:cstheme="minorHAnsi"/>
          <w:szCs w:val="26"/>
        </w:rPr>
        <w:t xml:space="preserve"> habeas </w:t>
      </w:r>
      <w:r w:rsidR="00522252">
        <w:rPr>
          <w:rFonts w:cstheme="minorHAnsi"/>
          <w:szCs w:val="26"/>
        </w:rPr>
        <w:t xml:space="preserve">corpus </w:t>
      </w:r>
      <w:r w:rsidRPr="000641B0" w:rsidR="00121BCF">
        <w:rPr>
          <w:rFonts w:cstheme="minorHAnsi"/>
          <w:szCs w:val="26"/>
        </w:rPr>
        <w:t>petitioner’s initial pleading burden:</w:t>
      </w:r>
      <w:r w:rsidRPr="000641B0" w:rsidR="005108D3">
        <w:rPr>
          <w:rFonts w:cstheme="minorHAnsi"/>
          <w:szCs w:val="26"/>
        </w:rPr>
        <w:t xml:space="preserve">  </w:t>
      </w:r>
      <w:r w:rsidRPr="000641B0" w:rsidR="008838AE">
        <w:rPr>
          <w:rFonts w:cstheme="minorHAnsi"/>
          <w:szCs w:val="26"/>
        </w:rPr>
        <w:t>“</w:t>
      </w:r>
      <w:r w:rsidRPr="000641B0" w:rsidR="000E58E1">
        <w:rPr>
          <w:rFonts w:cstheme="minorHAnsi"/>
          <w:szCs w:val="26"/>
        </w:rPr>
        <w:t xml:space="preserve">To satisfy the initial burden of pleading adequate grounds for relief, an application for habeas corpus must be made by petition, and </w:t>
      </w:r>
      <w:r w:rsidRPr="000641B0" w:rsidR="00043F57">
        <w:rPr>
          <w:rFonts w:cstheme="minorHAnsi"/>
          <w:szCs w:val="26"/>
        </w:rPr>
        <w:t>‘</w:t>
      </w:r>
      <w:r w:rsidRPr="000641B0" w:rsidR="000E58E1">
        <w:rPr>
          <w:rFonts w:cstheme="minorHAnsi"/>
          <w:szCs w:val="26"/>
        </w:rPr>
        <w:t>[i]f the imprisonment is alleged to be illegal, the petition must also state in what the alleged illegality consists.</w:t>
      </w:r>
      <w:r w:rsidRPr="000641B0" w:rsidR="00043F57">
        <w:rPr>
          <w:rFonts w:cstheme="minorHAnsi"/>
          <w:szCs w:val="26"/>
        </w:rPr>
        <w:t>’</w:t>
      </w:r>
      <w:r w:rsidRPr="000641B0" w:rsidR="000E58E1">
        <w:rPr>
          <w:rFonts w:cstheme="minorHAnsi"/>
          <w:szCs w:val="26"/>
        </w:rPr>
        <w:t xml:space="preserve"> </w:t>
      </w:r>
      <w:r w:rsidRPr="000641B0" w:rsidR="008838AE">
        <w:rPr>
          <w:rFonts w:cstheme="minorHAnsi"/>
          <w:szCs w:val="26"/>
        </w:rPr>
        <w:t xml:space="preserve"> [Citation.]</w:t>
      </w:r>
      <w:r w:rsidRPr="000641B0" w:rsidR="000E58E1">
        <w:rPr>
          <w:rFonts w:cstheme="minorHAnsi"/>
          <w:szCs w:val="26"/>
        </w:rPr>
        <w:t xml:space="preserve"> </w:t>
      </w:r>
      <w:r w:rsidRPr="000641B0" w:rsidR="00043F57">
        <w:rPr>
          <w:rFonts w:cstheme="minorHAnsi"/>
          <w:szCs w:val="26"/>
        </w:rPr>
        <w:t xml:space="preserve"> </w:t>
      </w:r>
      <w:r w:rsidRPr="000641B0" w:rsidR="000E58E1">
        <w:rPr>
          <w:rFonts w:cstheme="minorHAnsi"/>
          <w:szCs w:val="26"/>
        </w:rPr>
        <w:t>The petition should both (i)</w:t>
      </w:r>
      <w:r w:rsidRPr="000641B0" w:rsidR="00622156">
        <w:rPr>
          <w:rFonts w:cstheme="minorHAnsi"/>
          <w:szCs w:val="26"/>
        </w:rPr>
        <w:t> </w:t>
      </w:r>
      <w:r w:rsidRPr="000641B0" w:rsidR="000E58E1">
        <w:rPr>
          <w:rFonts w:cstheme="minorHAnsi"/>
          <w:szCs w:val="26"/>
        </w:rPr>
        <w:t xml:space="preserve">state fully and with particularity the facts on which relief is sought </w:t>
      </w:r>
      <w:r w:rsidRPr="000641B0" w:rsidR="008838AE">
        <w:rPr>
          <w:rFonts w:cstheme="minorHAnsi"/>
          <w:szCs w:val="26"/>
        </w:rPr>
        <w:t>[citations]</w:t>
      </w:r>
      <w:r w:rsidRPr="000641B0" w:rsidR="000E58E1">
        <w:rPr>
          <w:rFonts w:cstheme="minorHAnsi"/>
          <w:szCs w:val="26"/>
        </w:rPr>
        <w:t>, as well as (ii)</w:t>
      </w:r>
      <w:r w:rsidRPr="000641B0" w:rsidR="00622156">
        <w:rPr>
          <w:rFonts w:cstheme="minorHAnsi"/>
          <w:szCs w:val="26"/>
        </w:rPr>
        <w:t> </w:t>
      </w:r>
      <w:r w:rsidRPr="000641B0" w:rsidR="000E58E1">
        <w:rPr>
          <w:rFonts w:cstheme="minorHAnsi"/>
          <w:szCs w:val="26"/>
        </w:rPr>
        <w:t>include copies of reasonably available documentary evidence supporting the claim, including pertinent portions of trial transcripts and affidavits or declarations.</w:t>
      </w:r>
      <w:r w:rsidRPr="000641B0" w:rsidR="008838AE">
        <w:rPr>
          <w:rFonts w:cstheme="minorHAnsi"/>
          <w:szCs w:val="26"/>
        </w:rPr>
        <w:t xml:space="preserve"> </w:t>
      </w:r>
      <w:r w:rsidRPr="000641B0" w:rsidR="0046262B">
        <w:rPr>
          <w:rFonts w:cstheme="minorHAnsi"/>
          <w:szCs w:val="26"/>
        </w:rPr>
        <w:t xml:space="preserve"> </w:t>
      </w:r>
      <w:r w:rsidRPr="000641B0" w:rsidR="008838AE">
        <w:rPr>
          <w:rFonts w:cstheme="minorHAnsi"/>
          <w:szCs w:val="26"/>
        </w:rPr>
        <w:t>[Citations.]</w:t>
      </w:r>
      <w:r w:rsidRPr="000641B0" w:rsidR="000E58E1">
        <w:rPr>
          <w:rFonts w:cstheme="minorHAnsi"/>
          <w:szCs w:val="26"/>
        </w:rPr>
        <w:t xml:space="preserve"> </w:t>
      </w:r>
      <w:r w:rsidRPr="000641B0" w:rsidR="0046262B">
        <w:rPr>
          <w:rFonts w:cstheme="minorHAnsi"/>
          <w:szCs w:val="26"/>
        </w:rPr>
        <w:t xml:space="preserve"> </w:t>
      </w:r>
      <w:r w:rsidRPr="000641B0" w:rsidR="008838AE">
        <w:rPr>
          <w:rFonts w:cstheme="minorHAnsi"/>
          <w:szCs w:val="26"/>
        </w:rPr>
        <w:t>‘</w:t>
      </w:r>
      <w:r w:rsidRPr="000641B0" w:rsidR="000E58E1">
        <w:rPr>
          <w:rFonts w:cstheme="minorHAnsi"/>
          <w:szCs w:val="26"/>
        </w:rPr>
        <w:t>Conclusory allegations made without any explanation of the basis for the allegations do not warrant relief, let alone an evidentiary hearing.</w:t>
      </w:r>
      <w:r w:rsidRPr="000641B0" w:rsidR="008838AE">
        <w:rPr>
          <w:rFonts w:cstheme="minorHAnsi"/>
          <w:szCs w:val="26"/>
        </w:rPr>
        <w:t>’</w:t>
      </w:r>
      <w:r w:rsidRPr="000641B0" w:rsidR="000E58E1">
        <w:rPr>
          <w:rFonts w:cstheme="minorHAnsi"/>
          <w:szCs w:val="26"/>
        </w:rPr>
        <w:t xml:space="preserve"> </w:t>
      </w:r>
      <w:r w:rsidRPr="000641B0" w:rsidR="00043F57">
        <w:rPr>
          <w:rFonts w:cstheme="minorHAnsi"/>
          <w:szCs w:val="26"/>
        </w:rPr>
        <w:t xml:space="preserve"> </w:t>
      </w:r>
      <w:r w:rsidRPr="000641B0" w:rsidR="008838AE">
        <w:rPr>
          <w:rFonts w:cstheme="minorHAnsi"/>
          <w:szCs w:val="26"/>
        </w:rPr>
        <w:t>[Citation.]</w:t>
      </w:r>
      <w:r w:rsidRPr="000641B0" w:rsidR="000E58E1">
        <w:rPr>
          <w:rFonts w:cstheme="minorHAnsi"/>
          <w:szCs w:val="26"/>
        </w:rPr>
        <w:t xml:space="preserve"> </w:t>
      </w:r>
      <w:r w:rsidRPr="000641B0" w:rsidR="008838AE">
        <w:rPr>
          <w:rFonts w:cstheme="minorHAnsi"/>
          <w:szCs w:val="26"/>
        </w:rPr>
        <w:t xml:space="preserve"> </w:t>
      </w:r>
      <w:r w:rsidRPr="000641B0" w:rsidR="000E58E1">
        <w:rPr>
          <w:rFonts w:cstheme="minorHAnsi"/>
          <w:szCs w:val="26"/>
        </w:rPr>
        <w:t>We presume the regularity of proceedings that resulted in a final judgment</w:t>
      </w:r>
      <w:r w:rsidRPr="000641B0" w:rsidR="008838AE">
        <w:rPr>
          <w:rFonts w:cstheme="minorHAnsi"/>
          <w:szCs w:val="26"/>
        </w:rPr>
        <w:t xml:space="preserve"> [citation]</w:t>
      </w:r>
      <w:r w:rsidRPr="000641B0" w:rsidR="000E58E1">
        <w:rPr>
          <w:rFonts w:cstheme="minorHAnsi"/>
          <w:szCs w:val="26"/>
        </w:rPr>
        <w:t>, and</w:t>
      </w:r>
      <w:r w:rsidR="00783428">
        <w:rPr>
          <w:rFonts w:cstheme="minorHAnsi"/>
          <w:szCs w:val="26"/>
        </w:rPr>
        <w:t> . . . </w:t>
      </w:r>
      <w:r w:rsidRPr="000641B0" w:rsidR="000E58E1">
        <w:rPr>
          <w:rFonts w:cstheme="minorHAnsi"/>
          <w:szCs w:val="26"/>
        </w:rPr>
        <w:t>the burden is on the petitioner to establish grounds for his release.</w:t>
      </w:r>
      <w:r w:rsidRPr="000641B0" w:rsidR="00CD0A33">
        <w:rPr>
          <w:rFonts w:cstheme="minorHAnsi"/>
          <w:szCs w:val="26"/>
        </w:rPr>
        <w:t>”</w:t>
      </w:r>
      <w:r w:rsidRPr="000641B0" w:rsidR="00C65374">
        <w:rPr>
          <w:rFonts w:cstheme="minorHAnsi"/>
          <w:szCs w:val="26"/>
        </w:rPr>
        <w:t xml:space="preserve"> </w:t>
      </w:r>
      <w:r w:rsidRPr="000641B0" w:rsidR="00121BCF">
        <w:rPr>
          <w:rFonts w:cstheme="minorHAnsi"/>
          <w:szCs w:val="26"/>
        </w:rPr>
        <w:t xml:space="preserve"> (</w:t>
      </w:r>
      <w:r w:rsidRPr="000641B0" w:rsidR="00121BCF">
        <w:rPr>
          <w:rFonts w:cstheme="minorHAnsi"/>
          <w:i/>
          <w:iCs/>
          <w:szCs w:val="26"/>
        </w:rPr>
        <w:t>Id</w:t>
      </w:r>
      <w:r w:rsidRPr="000641B0" w:rsidR="00121BCF">
        <w:rPr>
          <w:rFonts w:cstheme="minorHAnsi"/>
          <w:szCs w:val="26"/>
        </w:rPr>
        <w:t>.</w:t>
      </w:r>
      <w:r w:rsidRPr="000641B0" w:rsidR="00960CAD">
        <w:rPr>
          <w:rFonts w:cstheme="minorHAnsi"/>
          <w:szCs w:val="26"/>
        </w:rPr>
        <w:t xml:space="preserve"> at p.</w:t>
      </w:r>
      <w:r w:rsidRPr="000641B0" w:rsidR="00EC411E">
        <w:rPr>
          <w:rFonts w:cstheme="minorHAnsi"/>
          <w:szCs w:val="26"/>
        </w:rPr>
        <w:t> </w:t>
      </w:r>
      <w:r w:rsidRPr="000641B0" w:rsidR="00960CAD">
        <w:rPr>
          <w:rFonts w:cstheme="minorHAnsi"/>
          <w:szCs w:val="26"/>
        </w:rPr>
        <w:t>474.)</w:t>
      </w:r>
    </w:p>
    <w:p w:rsidR="0083304E" w:rsidRPr="000641B0" w:rsidP="000641B0" w14:paraId="03023E90" w14:textId="33465219">
      <w:pPr>
        <w:ind w:firstLine="720"/>
        <w:rPr>
          <w:rFonts w:cstheme="minorHAnsi"/>
          <w:szCs w:val="26"/>
        </w:rPr>
      </w:pPr>
      <w:r w:rsidRPr="000641B0">
        <w:rPr>
          <w:rFonts w:cstheme="minorHAnsi"/>
          <w:szCs w:val="26"/>
        </w:rPr>
        <w:t>“</w:t>
      </w:r>
      <w:r w:rsidRPr="000641B0" w:rsidR="00F601C0">
        <w:rPr>
          <w:rFonts w:cstheme="minorHAnsi"/>
          <w:szCs w:val="26"/>
        </w:rPr>
        <w:t>A</w:t>
      </w:r>
      <w:r w:rsidRPr="000641B0">
        <w:rPr>
          <w:rFonts w:cstheme="minorHAnsi"/>
          <w:szCs w:val="26"/>
        </w:rPr>
        <w:t>n</w:t>
      </w:r>
      <w:r w:rsidRPr="000641B0" w:rsidR="00A22920">
        <w:rPr>
          <w:rFonts w:cstheme="minorHAnsi"/>
          <w:szCs w:val="26"/>
        </w:rPr>
        <w:t xml:space="preserve"> </w:t>
      </w:r>
      <w:r w:rsidRPr="000641B0">
        <w:rPr>
          <w:rFonts w:cstheme="minorHAnsi"/>
          <w:szCs w:val="26"/>
        </w:rPr>
        <w:t xml:space="preserve">appellate </w:t>
      </w:r>
      <w:r w:rsidRPr="000641B0" w:rsidR="00A22920">
        <w:rPr>
          <w:rFonts w:cstheme="minorHAnsi"/>
          <w:szCs w:val="26"/>
        </w:rPr>
        <w:t>court receiving such a petition evaluates it by asking whether, assuming the petition</w:t>
      </w:r>
      <w:r w:rsidRPr="000641B0" w:rsidR="00B56720">
        <w:rPr>
          <w:rFonts w:cstheme="minorHAnsi"/>
          <w:szCs w:val="26"/>
        </w:rPr>
        <w:t>’</w:t>
      </w:r>
      <w:r w:rsidRPr="000641B0" w:rsidR="00A22920">
        <w:rPr>
          <w:rFonts w:cstheme="minorHAnsi"/>
          <w:szCs w:val="26"/>
        </w:rPr>
        <w:t>s factual allegations are true, the petitioner</w:t>
      </w:r>
      <w:r w:rsidRPr="000641B0" w:rsidR="005108D3">
        <w:rPr>
          <w:rFonts w:cstheme="minorHAnsi"/>
          <w:szCs w:val="26"/>
        </w:rPr>
        <w:t xml:space="preserve"> </w:t>
      </w:r>
      <w:r w:rsidRPr="000641B0" w:rsidR="00A22920">
        <w:rPr>
          <w:rFonts w:cstheme="minorHAnsi"/>
          <w:szCs w:val="26"/>
        </w:rPr>
        <w:t>would be entitled to relief.”  (</w:t>
      </w:r>
      <w:r w:rsidRPr="000641B0" w:rsidR="00A22920">
        <w:rPr>
          <w:rFonts w:cstheme="minorHAnsi"/>
          <w:i/>
          <w:iCs/>
          <w:szCs w:val="26"/>
        </w:rPr>
        <w:t>Duvall</w:t>
      </w:r>
      <w:r w:rsidRPr="000641B0" w:rsidR="00A22920">
        <w:rPr>
          <w:rFonts w:cstheme="minorHAnsi"/>
          <w:szCs w:val="26"/>
        </w:rPr>
        <w:t>,</w:t>
      </w:r>
      <w:r w:rsidRPr="000641B0" w:rsidR="00A22920">
        <w:rPr>
          <w:rFonts w:cstheme="minorHAnsi"/>
          <w:i/>
          <w:iCs/>
          <w:szCs w:val="26"/>
        </w:rPr>
        <w:t xml:space="preserve"> supra</w:t>
      </w:r>
      <w:r w:rsidRPr="000641B0" w:rsidR="00A22920">
        <w:rPr>
          <w:rFonts w:cstheme="minorHAnsi"/>
          <w:szCs w:val="26"/>
        </w:rPr>
        <w:t>, 9 Cal.4th at pp.</w:t>
      </w:r>
      <w:r w:rsidRPr="000641B0" w:rsidR="00DF20AA">
        <w:rPr>
          <w:rFonts w:cstheme="minorHAnsi"/>
          <w:szCs w:val="26"/>
        </w:rPr>
        <w:t> </w:t>
      </w:r>
      <w:r w:rsidRPr="000641B0" w:rsidR="00A22920">
        <w:rPr>
          <w:rFonts w:cstheme="minorHAnsi"/>
          <w:szCs w:val="26"/>
        </w:rPr>
        <w:t>474–</w:t>
      </w:r>
      <w:r w:rsidRPr="000641B0" w:rsidR="00DF20AA">
        <w:rPr>
          <w:rFonts w:cstheme="minorHAnsi"/>
          <w:szCs w:val="26"/>
        </w:rPr>
        <w:t>4</w:t>
      </w:r>
      <w:r w:rsidRPr="000641B0" w:rsidR="00A22920">
        <w:rPr>
          <w:rFonts w:cstheme="minorHAnsi"/>
          <w:szCs w:val="26"/>
        </w:rPr>
        <w:t>75.)</w:t>
      </w:r>
      <w:r w:rsidRPr="000641B0" w:rsidR="00033B0C">
        <w:rPr>
          <w:rFonts w:cstheme="minorHAnsi"/>
          <w:szCs w:val="26"/>
        </w:rPr>
        <w:t xml:space="preserve"> </w:t>
      </w:r>
      <w:r w:rsidRPr="000641B0" w:rsidR="00AE3AE4">
        <w:rPr>
          <w:rFonts w:cstheme="minorHAnsi"/>
          <w:szCs w:val="26"/>
        </w:rPr>
        <w:t xml:space="preserve"> </w:t>
      </w:r>
      <w:r w:rsidRPr="000641B0" w:rsidR="00DF20AA">
        <w:rPr>
          <w:rFonts w:cstheme="minorHAnsi"/>
          <w:szCs w:val="26"/>
        </w:rPr>
        <w:t>T</w:t>
      </w:r>
      <w:r w:rsidRPr="000641B0">
        <w:rPr>
          <w:rFonts w:cstheme="minorHAnsi"/>
          <w:szCs w:val="26"/>
        </w:rPr>
        <w:t>he</w:t>
      </w:r>
      <w:r w:rsidRPr="000641B0" w:rsidR="00033B0C">
        <w:rPr>
          <w:rFonts w:cstheme="minorHAnsi"/>
          <w:szCs w:val="26"/>
        </w:rPr>
        <w:t xml:space="preserve"> court </w:t>
      </w:r>
      <w:r w:rsidRPr="000641B0" w:rsidR="00743613">
        <w:rPr>
          <w:rFonts w:cstheme="minorHAnsi"/>
          <w:szCs w:val="26"/>
        </w:rPr>
        <w:t xml:space="preserve">may </w:t>
      </w:r>
      <w:r w:rsidRPr="000641B0" w:rsidR="00F601C0">
        <w:rPr>
          <w:rFonts w:cstheme="minorHAnsi"/>
          <w:szCs w:val="26"/>
        </w:rPr>
        <w:t xml:space="preserve">request </w:t>
      </w:r>
      <w:r w:rsidRPr="000641B0" w:rsidR="00F116DE">
        <w:rPr>
          <w:rFonts w:cstheme="minorHAnsi"/>
          <w:szCs w:val="26"/>
        </w:rPr>
        <w:t xml:space="preserve">that </w:t>
      </w:r>
      <w:r w:rsidRPr="000641B0" w:rsidR="00F601C0">
        <w:rPr>
          <w:rFonts w:cstheme="minorHAnsi"/>
          <w:szCs w:val="26"/>
        </w:rPr>
        <w:t xml:space="preserve">the respondent provide an </w:t>
      </w:r>
      <w:r w:rsidRPr="000641B0" w:rsidR="00F6229A">
        <w:rPr>
          <w:rFonts w:cstheme="minorHAnsi"/>
          <w:szCs w:val="26"/>
        </w:rPr>
        <w:t>“</w:t>
      </w:r>
      <w:r w:rsidRPr="000641B0" w:rsidR="00F601C0">
        <w:rPr>
          <w:rFonts w:cstheme="minorHAnsi"/>
          <w:szCs w:val="26"/>
        </w:rPr>
        <w:t>inform</w:t>
      </w:r>
      <w:r w:rsidRPr="000641B0" w:rsidR="00F6229A">
        <w:rPr>
          <w:rFonts w:cstheme="minorHAnsi"/>
          <w:szCs w:val="26"/>
        </w:rPr>
        <w:t xml:space="preserve">al </w:t>
      </w:r>
      <w:r w:rsidR="004B4AE6">
        <w:rPr>
          <w:rFonts w:cstheme="minorHAnsi"/>
          <w:szCs w:val="26"/>
        </w:rPr>
        <w:t xml:space="preserve">written </w:t>
      </w:r>
      <w:r w:rsidRPr="000641B0" w:rsidR="00F6229A">
        <w:rPr>
          <w:rFonts w:cstheme="minorHAnsi"/>
          <w:szCs w:val="26"/>
        </w:rPr>
        <w:t>response.”</w:t>
      </w:r>
      <w:r w:rsidRPr="000641B0" w:rsidR="002E46B3">
        <w:rPr>
          <w:rFonts w:cstheme="minorHAnsi"/>
          <w:szCs w:val="26"/>
        </w:rPr>
        <w:t xml:space="preserve"> </w:t>
      </w:r>
      <w:r w:rsidRPr="000641B0" w:rsidR="00AE3AE4">
        <w:rPr>
          <w:rFonts w:cstheme="minorHAnsi"/>
          <w:szCs w:val="26"/>
        </w:rPr>
        <w:t xml:space="preserve"> </w:t>
      </w:r>
      <w:r w:rsidRPr="000641B0" w:rsidR="002E46B3">
        <w:rPr>
          <w:rFonts w:cstheme="minorHAnsi"/>
          <w:szCs w:val="26"/>
        </w:rPr>
        <w:t>(Cal. Rules of Court, rule</w:t>
      </w:r>
      <w:r w:rsidRPr="000641B0" w:rsidR="004722CB">
        <w:rPr>
          <w:rFonts w:cstheme="minorHAnsi"/>
          <w:szCs w:val="26"/>
        </w:rPr>
        <w:t xml:space="preserve"> </w:t>
      </w:r>
      <w:r w:rsidRPr="000641B0" w:rsidR="002E46B3">
        <w:rPr>
          <w:rFonts w:cstheme="minorHAnsi"/>
          <w:szCs w:val="26"/>
        </w:rPr>
        <w:t>8.385(b)</w:t>
      </w:r>
      <w:r w:rsidR="004B4AE6">
        <w:rPr>
          <w:rFonts w:cstheme="minorHAnsi"/>
          <w:szCs w:val="26"/>
        </w:rPr>
        <w:t>(1)</w:t>
      </w:r>
      <w:r w:rsidRPr="000641B0" w:rsidR="004722CB">
        <w:rPr>
          <w:rFonts w:cstheme="minorHAnsi"/>
          <w:szCs w:val="26"/>
        </w:rPr>
        <w:t xml:space="preserve">; see also </w:t>
      </w:r>
      <w:r w:rsidRPr="002C58F5" w:rsidR="00A43A11">
        <w:rPr>
          <w:rFonts w:cstheme="minorHAnsi"/>
          <w:i/>
          <w:iCs/>
          <w:szCs w:val="26"/>
        </w:rPr>
        <w:t>id</w:t>
      </w:r>
      <w:r w:rsidR="00A43A11">
        <w:rPr>
          <w:rFonts w:cstheme="minorHAnsi"/>
          <w:szCs w:val="26"/>
        </w:rPr>
        <w:t>.</w:t>
      </w:r>
      <w:r w:rsidRPr="000641B0" w:rsidR="00570260">
        <w:rPr>
          <w:rFonts w:cstheme="minorHAnsi"/>
          <w:szCs w:val="26"/>
        </w:rPr>
        <w:t>, rules 4.551(b)</w:t>
      </w:r>
      <w:r w:rsidRPr="000641B0" w:rsidR="00052E54">
        <w:rPr>
          <w:rFonts w:cstheme="minorHAnsi"/>
          <w:szCs w:val="26"/>
        </w:rPr>
        <w:t xml:space="preserve"> </w:t>
      </w:r>
      <w:r w:rsidRPr="000641B0" w:rsidR="00CA308F">
        <w:rPr>
          <w:rFonts w:cstheme="minorHAnsi"/>
          <w:szCs w:val="26"/>
        </w:rPr>
        <w:t>[</w:t>
      </w:r>
      <w:r w:rsidRPr="000641B0" w:rsidR="00CF3C03">
        <w:rPr>
          <w:rFonts w:cstheme="minorHAnsi"/>
          <w:szCs w:val="26"/>
        </w:rPr>
        <w:t xml:space="preserve">“informal response” in </w:t>
      </w:r>
      <w:r w:rsidRPr="000641B0" w:rsidR="00F70A8D">
        <w:rPr>
          <w:rFonts w:cstheme="minorHAnsi"/>
          <w:szCs w:val="26"/>
        </w:rPr>
        <w:t xml:space="preserve">noncapital </w:t>
      </w:r>
      <w:r w:rsidRPr="000641B0" w:rsidR="00CF3C03">
        <w:rPr>
          <w:rFonts w:cstheme="minorHAnsi"/>
          <w:szCs w:val="26"/>
        </w:rPr>
        <w:t xml:space="preserve">habeas </w:t>
      </w:r>
      <w:r w:rsidR="00522252">
        <w:rPr>
          <w:rFonts w:cstheme="minorHAnsi"/>
          <w:szCs w:val="26"/>
        </w:rPr>
        <w:t xml:space="preserve">corpus </w:t>
      </w:r>
      <w:r w:rsidRPr="000641B0" w:rsidR="00CF3C03">
        <w:rPr>
          <w:rFonts w:cstheme="minorHAnsi"/>
          <w:szCs w:val="26"/>
        </w:rPr>
        <w:t>proceedings in superior court</w:t>
      </w:r>
      <w:r w:rsidRPr="000641B0" w:rsidR="0061679C">
        <w:rPr>
          <w:rFonts w:cstheme="minorHAnsi"/>
          <w:szCs w:val="26"/>
        </w:rPr>
        <w:t>]</w:t>
      </w:r>
      <w:r w:rsidRPr="000641B0" w:rsidR="00570260">
        <w:rPr>
          <w:rFonts w:cstheme="minorHAnsi"/>
          <w:szCs w:val="26"/>
        </w:rPr>
        <w:t>, 4.573(</w:t>
      </w:r>
      <w:r w:rsidR="00BA741F">
        <w:rPr>
          <w:rFonts w:cstheme="minorHAnsi"/>
          <w:szCs w:val="26"/>
        </w:rPr>
        <w:t>a</w:t>
      </w:r>
      <w:r w:rsidRPr="000641B0" w:rsidR="00570260">
        <w:rPr>
          <w:rFonts w:cstheme="minorHAnsi"/>
          <w:szCs w:val="26"/>
        </w:rPr>
        <w:t xml:space="preserve">) </w:t>
      </w:r>
      <w:r w:rsidRPr="000641B0">
        <w:rPr>
          <w:rFonts w:cstheme="minorHAnsi"/>
          <w:szCs w:val="26"/>
        </w:rPr>
        <w:t xml:space="preserve">[“informal </w:t>
      </w:r>
      <w:r w:rsidRPr="000641B0" w:rsidR="0066099D">
        <w:rPr>
          <w:rFonts w:cstheme="minorHAnsi"/>
          <w:szCs w:val="26"/>
        </w:rPr>
        <w:t>written re</w:t>
      </w:r>
      <w:r w:rsidRPr="000641B0" w:rsidR="00052E54">
        <w:rPr>
          <w:rFonts w:cstheme="minorHAnsi"/>
          <w:szCs w:val="26"/>
        </w:rPr>
        <w:t>s</w:t>
      </w:r>
      <w:r w:rsidRPr="000641B0" w:rsidR="0066099D">
        <w:rPr>
          <w:rFonts w:cstheme="minorHAnsi"/>
          <w:szCs w:val="26"/>
        </w:rPr>
        <w:t xml:space="preserve">ponse” in </w:t>
      </w:r>
      <w:r w:rsidRPr="000641B0" w:rsidR="00F70A8D">
        <w:rPr>
          <w:rFonts w:cstheme="minorHAnsi"/>
          <w:szCs w:val="26"/>
        </w:rPr>
        <w:t>capital</w:t>
      </w:r>
      <w:r w:rsidRPr="000641B0" w:rsidR="0066099D">
        <w:rPr>
          <w:rFonts w:cstheme="minorHAnsi"/>
          <w:szCs w:val="26"/>
        </w:rPr>
        <w:t xml:space="preserve"> habeas </w:t>
      </w:r>
      <w:r w:rsidR="00522252">
        <w:rPr>
          <w:rFonts w:cstheme="minorHAnsi"/>
          <w:szCs w:val="26"/>
        </w:rPr>
        <w:t xml:space="preserve">corpus </w:t>
      </w:r>
      <w:r w:rsidRPr="000641B0" w:rsidR="0066099D">
        <w:rPr>
          <w:rFonts w:cstheme="minorHAnsi"/>
          <w:szCs w:val="26"/>
        </w:rPr>
        <w:t>proceedi</w:t>
      </w:r>
      <w:r w:rsidRPr="000641B0" w:rsidR="00052E54">
        <w:rPr>
          <w:rFonts w:cstheme="minorHAnsi"/>
          <w:szCs w:val="26"/>
        </w:rPr>
        <w:t>ngs in superior court]</w:t>
      </w:r>
      <w:r w:rsidRPr="000641B0" w:rsidR="002E46B3">
        <w:rPr>
          <w:rFonts w:cstheme="minorHAnsi"/>
          <w:szCs w:val="26"/>
        </w:rPr>
        <w:t xml:space="preserve">.) </w:t>
      </w:r>
      <w:r w:rsidRPr="000641B0" w:rsidR="009D133B">
        <w:rPr>
          <w:rFonts w:cstheme="minorHAnsi"/>
          <w:szCs w:val="26"/>
        </w:rPr>
        <w:t xml:space="preserve"> </w:t>
      </w:r>
    </w:p>
    <w:p w:rsidR="00961F2B" w:rsidRPr="000641B0" w:rsidP="000641B0" w14:paraId="729A25C3" w14:textId="35ACDE4F">
      <w:pPr>
        <w:ind w:firstLine="720"/>
        <w:rPr>
          <w:rFonts w:cstheme="minorHAnsi"/>
          <w:szCs w:val="26"/>
        </w:rPr>
      </w:pPr>
      <w:r w:rsidRPr="000641B0">
        <w:rPr>
          <w:rFonts w:cstheme="minorHAnsi"/>
          <w:szCs w:val="26"/>
        </w:rPr>
        <w:t>I</w:t>
      </w:r>
      <w:r w:rsidRPr="000641B0" w:rsidR="00AD18F0">
        <w:rPr>
          <w:rFonts w:cstheme="minorHAnsi"/>
          <w:szCs w:val="26"/>
        </w:rPr>
        <w:t xml:space="preserve">n </w:t>
      </w:r>
      <w:bookmarkStart w:id="51" w:name="_Hlk115253580"/>
      <w:bookmarkStart w:id="52" w:name="_Hlk125717076"/>
      <w:r w:rsidRPr="000641B0" w:rsidR="004327D2">
        <w:rPr>
          <w:rFonts w:cstheme="minorHAnsi"/>
          <w:i/>
          <w:iCs/>
          <w:szCs w:val="26"/>
        </w:rPr>
        <w:t xml:space="preserve">People v. Romero </w:t>
      </w:r>
      <w:r w:rsidRPr="000641B0" w:rsidR="004327D2">
        <w:rPr>
          <w:rFonts w:cstheme="minorHAnsi"/>
          <w:szCs w:val="26"/>
        </w:rPr>
        <w:t>(</w:t>
      </w:r>
      <w:r w:rsidRPr="000641B0" w:rsidR="00572571">
        <w:rPr>
          <w:rFonts w:cstheme="minorHAnsi"/>
          <w:szCs w:val="26"/>
        </w:rPr>
        <w:t>199</w:t>
      </w:r>
      <w:r w:rsidR="00572571">
        <w:rPr>
          <w:rFonts w:cstheme="minorHAnsi"/>
          <w:szCs w:val="26"/>
        </w:rPr>
        <w:t>4</w:t>
      </w:r>
      <w:r w:rsidRPr="000641B0" w:rsidR="004327D2">
        <w:rPr>
          <w:rFonts w:cstheme="minorHAnsi"/>
          <w:szCs w:val="26"/>
        </w:rPr>
        <w:t>) 8 Cal.4th 728</w:t>
      </w:r>
      <w:r w:rsidR="00BA741F">
        <w:rPr>
          <w:rFonts w:cstheme="minorHAnsi"/>
          <w:szCs w:val="26"/>
        </w:rPr>
        <w:t>, 742</w:t>
      </w:r>
      <w:r w:rsidRPr="000641B0" w:rsidR="008A1B40">
        <w:rPr>
          <w:rFonts w:cstheme="minorHAnsi"/>
          <w:szCs w:val="26"/>
        </w:rPr>
        <w:t xml:space="preserve"> </w:t>
      </w:r>
      <w:bookmarkEnd w:id="51"/>
      <w:r w:rsidRPr="000641B0" w:rsidR="00EF798D">
        <w:rPr>
          <w:rFonts w:cstheme="minorHAnsi"/>
          <w:szCs w:val="26"/>
        </w:rPr>
        <w:t>(</w:t>
      </w:r>
      <w:r w:rsidRPr="000641B0">
        <w:rPr>
          <w:rFonts w:cstheme="minorHAnsi"/>
          <w:i/>
          <w:iCs/>
          <w:szCs w:val="26"/>
        </w:rPr>
        <w:t>Romero</w:t>
      </w:r>
      <w:r w:rsidRPr="000641B0">
        <w:rPr>
          <w:rFonts w:cstheme="minorHAnsi"/>
          <w:szCs w:val="26"/>
        </w:rPr>
        <w:t xml:space="preserve">) </w:t>
      </w:r>
      <w:bookmarkEnd w:id="52"/>
      <w:r w:rsidRPr="000641B0">
        <w:rPr>
          <w:rFonts w:cstheme="minorHAnsi"/>
          <w:szCs w:val="26"/>
        </w:rPr>
        <w:t xml:space="preserve">we described </w:t>
      </w:r>
      <w:r w:rsidRPr="000641B0" w:rsidR="002835B6">
        <w:rPr>
          <w:rFonts w:cstheme="minorHAnsi"/>
          <w:szCs w:val="26"/>
        </w:rPr>
        <w:t xml:space="preserve">the “screening function” that </w:t>
      </w:r>
      <w:r w:rsidRPr="000641B0" w:rsidR="008A1B40">
        <w:rPr>
          <w:rFonts w:cstheme="minorHAnsi"/>
          <w:szCs w:val="26"/>
        </w:rPr>
        <w:t xml:space="preserve">an informal response </w:t>
      </w:r>
      <w:r w:rsidRPr="000641B0" w:rsidR="00262FB8">
        <w:rPr>
          <w:rFonts w:cstheme="minorHAnsi"/>
          <w:szCs w:val="26"/>
        </w:rPr>
        <w:t>serves</w:t>
      </w:r>
      <w:r w:rsidRPr="000641B0" w:rsidR="008A1B40">
        <w:rPr>
          <w:rFonts w:cstheme="minorHAnsi"/>
          <w:szCs w:val="26"/>
        </w:rPr>
        <w:t xml:space="preserve"> </w:t>
      </w:r>
      <w:r w:rsidRPr="000641B0" w:rsidR="00262FB8">
        <w:rPr>
          <w:rFonts w:cstheme="minorHAnsi"/>
          <w:szCs w:val="26"/>
        </w:rPr>
        <w:t>in resolving petitions</w:t>
      </w:r>
      <w:r w:rsidR="00522252">
        <w:rPr>
          <w:rFonts w:cstheme="minorHAnsi"/>
          <w:szCs w:val="26"/>
        </w:rPr>
        <w:t xml:space="preserve"> for writ of habeas corpus</w:t>
      </w:r>
      <w:r w:rsidRPr="000641B0" w:rsidR="00262FB8">
        <w:rPr>
          <w:rFonts w:cstheme="minorHAnsi"/>
          <w:szCs w:val="26"/>
        </w:rPr>
        <w:t>:</w:t>
      </w:r>
      <w:r w:rsidRPr="000641B0" w:rsidR="00497771">
        <w:rPr>
          <w:rFonts w:cstheme="minorHAnsi"/>
          <w:szCs w:val="26"/>
        </w:rPr>
        <w:t xml:space="preserve"> </w:t>
      </w:r>
      <w:r w:rsidRPr="000641B0" w:rsidR="00622156">
        <w:rPr>
          <w:rFonts w:cstheme="minorHAnsi"/>
          <w:szCs w:val="26"/>
        </w:rPr>
        <w:t xml:space="preserve"> </w:t>
      </w:r>
      <w:r w:rsidRPr="000641B0" w:rsidR="00BD5C54">
        <w:rPr>
          <w:rFonts w:cstheme="minorHAnsi"/>
          <w:szCs w:val="26"/>
        </w:rPr>
        <w:t>“Through the informal response, the custodian or real party in interest may demonstrate, by citation of legal authority and by submission of factual materials, that the claims asserted in the habeas corpus petition lack merit and that the court therefore may reject them summarily, without requiring formal pleadings (the return and traverse) or conducting an evidentiary hearing.</w:t>
      </w:r>
      <w:r w:rsidRPr="000641B0" w:rsidR="00083F80">
        <w:rPr>
          <w:rFonts w:cstheme="minorHAnsi"/>
          <w:szCs w:val="26"/>
        </w:rPr>
        <w:t xml:space="preserve"> </w:t>
      </w:r>
      <w:r w:rsidRPr="000641B0" w:rsidR="00EB2F76">
        <w:rPr>
          <w:rFonts w:cstheme="minorHAnsi"/>
          <w:szCs w:val="26"/>
        </w:rPr>
        <w:t xml:space="preserve"> </w:t>
      </w:r>
      <w:r w:rsidRPr="000641B0" w:rsidR="00BD5C54">
        <w:rPr>
          <w:rFonts w:cstheme="minorHAnsi"/>
          <w:szCs w:val="26"/>
        </w:rPr>
        <w:t>If the petitioner successfully controverts the factual materials submitted with the informal response,</w:t>
      </w:r>
      <w:r w:rsidR="0076440D">
        <w:rPr>
          <w:rStyle w:val="FootnoteReference"/>
          <w:rFonts w:cstheme="minorHAnsi"/>
          <w:szCs w:val="26"/>
        </w:rPr>
        <w:t>[</w:t>
      </w:r>
      <w:r>
        <w:rPr>
          <w:rStyle w:val="FootnoteReference"/>
          <w:rFonts w:cstheme="minorHAnsi"/>
          <w:bCs/>
          <w:szCs w:val="26"/>
        </w:rPr>
        <w:footnoteReference w:id="25"/>
      </w:r>
      <w:r w:rsidR="0076440D">
        <w:rPr>
          <w:rStyle w:val="FootnoteReference"/>
          <w:rFonts w:cstheme="minorHAnsi"/>
          <w:szCs w:val="26"/>
        </w:rPr>
        <w:t>]</w:t>
      </w:r>
      <w:r w:rsidRPr="000641B0" w:rsidR="00BD5C54">
        <w:rPr>
          <w:rFonts w:cstheme="minorHAnsi"/>
          <w:szCs w:val="26"/>
        </w:rPr>
        <w:t xml:space="preserve"> or if for any other reason the informal response does not persuade the court that the petition</w:t>
      </w:r>
      <w:r w:rsidRPr="000641B0" w:rsidR="00CF3339">
        <w:rPr>
          <w:rFonts w:cstheme="minorHAnsi"/>
          <w:szCs w:val="26"/>
        </w:rPr>
        <w:t>’</w:t>
      </w:r>
      <w:r w:rsidRPr="000641B0" w:rsidR="00BD5C54">
        <w:rPr>
          <w:rFonts w:cstheme="minorHAnsi"/>
          <w:szCs w:val="26"/>
        </w:rPr>
        <w:t xml:space="preserve">s claims are lacking in merit, then the court must proceed to the next stage by issuing an order to show cause or the now rarely used writ of habeas corpus. </w:t>
      </w:r>
      <w:r w:rsidRPr="000641B0" w:rsidR="00262FB8">
        <w:rPr>
          <w:rFonts w:cstheme="minorHAnsi"/>
          <w:szCs w:val="26"/>
        </w:rPr>
        <w:t xml:space="preserve"> </w:t>
      </w:r>
      <w:r w:rsidRPr="000641B0" w:rsidR="00BD5C54">
        <w:rPr>
          <w:rFonts w:cstheme="minorHAnsi"/>
          <w:szCs w:val="26"/>
        </w:rPr>
        <w:t>Deficiencies in the informal response do not provide a justification for shortcutting this procedural</w:t>
      </w:r>
      <w:r w:rsidRPr="000641B0" w:rsidR="00497771">
        <w:rPr>
          <w:rFonts w:cstheme="minorHAnsi"/>
          <w:szCs w:val="26"/>
        </w:rPr>
        <w:t xml:space="preserve"> </w:t>
      </w:r>
      <w:r w:rsidRPr="000641B0" w:rsidR="00BD5C54">
        <w:rPr>
          <w:rFonts w:cstheme="minorHAnsi"/>
          <w:szCs w:val="26"/>
        </w:rPr>
        <w:t>step.</w:t>
      </w:r>
      <w:r w:rsidRPr="000641B0" w:rsidR="00262FB8">
        <w:rPr>
          <w:rFonts w:cstheme="minorHAnsi"/>
          <w:szCs w:val="26"/>
        </w:rPr>
        <w:t xml:space="preserve">” </w:t>
      </w:r>
      <w:r w:rsidRPr="000641B0" w:rsidR="00AE1C0B">
        <w:rPr>
          <w:rFonts w:cstheme="minorHAnsi"/>
          <w:szCs w:val="26"/>
        </w:rPr>
        <w:t xml:space="preserve"> </w:t>
      </w:r>
      <w:r w:rsidRPr="000641B0" w:rsidR="00262FB8">
        <w:rPr>
          <w:rFonts w:cstheme="minorHAnsi"/>
          <w:szCs w:val="26"/>
        </w:rPr>
        <w:t>(</w:t>
      </w:r>
      <w:r w:rsidRPr="000641B0" w:rsidR="00262FB8">
        <w:rPr>
          <w:rFonts w:cstheme="minorHAnsi"/>
          <w:i/>
          <w:iCs/>
          <w:szCs w:val="26"/>
        </w:rPr>
        <w:t>Ibid</w:t>
      </w:r>
      <w:r w:rsidRPr="000641B0" w:rsidR="00AE1C0B">
        <w:rPr>
          <w:rFonts w:cstheme="minorHAnsi"/>
          <w:szCs w:val="26"/>
        </w:rPr>
        <w:t>.</w:t>
      </w:r>
      <w:r w:rsidRPr="000641B0" w:rsidR="00262FB8">
        <w:rPr>
          <w:rFonts w:cstheme="minorHAnsi"/>
          <w:szCs w:val="26"/>
        </w:rPr>
        <w:t>, fn. omitted.)</w:t>
      </w:r>
    </w:p>
    <w:p w:rsidR="00D541AC" w:rsidRPr="000641B0" w:rsidP="000641B0" w14:paraId="3FF6F2BB" w14:textId="474903D4">
      <w:pPr>
        <w:ind w:firstLine="720"/>
        <w:rPr>
          <w:rFonts w:cstheme="minorHAnsi"/>
          <w:szCs w:val="26"/>
        </w:rPr>
      </w:pPr>
      <w:r w:rsidRPr="000641B0">
        <w:rPr>
          <w:rFonts w:cstheme="minorHAnsi"/>
          <w:szCs w:val="26"/>
        </w:rPr>
        <w:t xml:space="preserve">Upon the issuance of the </w:t>
      </w:r>
      <w:r w:rsidRPr="000641B0" w:rsidR="00327916">
        <w:rPr>
          <w:rFonts w:cstheme="minorHAnsi"/>
          <w:szCs w:val="26"/>
        </w:rPr>
        <w:t xml:space="preserve">order to show cause, the respondent files a return. </w:t>
      </w:r>
      <w:r w:rsidRPr="000641B0" w:rsidR="00E21216">
        <w:rPr>
          <w:rFonts w:cstheme="minorHAnsi"/>
          <w:szCs w:val="26"/>
        </w:rPr>
        <w:t xml:space="preserve"> </w:t>
      </w:r>
      <w:r w:rsidRPr="000641B0" w:rsidR="00327916">
        <w:rPr>
          <w:rFonts w:cstheme="minorHAnsi"/>
          <w:szCs w:val="26"/>
        </w:rPr>
        <w:t>(</w:t>
      </w:r>
      <w:r w:rsidRPr="000641B0" w:rsidR="00327916">
        <w:rPr>
          <w:rFonts w:cstheme="minorHAnsi"/>
          <w:i/>
          <w:iCs/>
          <w:szCs w:val="26"/>
        </w:rPr>
        <w:t>Duvall</w:t>
      </w:r>
      <w:r w:rsidRPr="000641B0" w:rsidR="00327916">
        <w:rPr>
          <w:rFonts w:cstheme="minorHAnsi"/>
          <w:szCs w:val="26"/>
        </w:rPr>
        <w:t>,</w:t>
      </w:r>
      <w:r w:rsidRPr="000641B0" w:rsidR="00327916">
        <w:rPr>
          <w:rFonts w:cstheme="minorHAnsi"/>
          <w:i/>
          <w:iCs/>
          <w:szCs w:val="26"/>
        </w:rPr>
        <w:t xml:space="preserve"> supra</w:t>
      </w:r>
      <w:r w:rsidRPr="000641B0" w:rsidR="00327916">
        <w:rPr>
          <w:rFonts w:cstheme="minorHAnsi"/>
          <w:szCs w:val="26"/>
        </w:rPr>
        <w:t xml:space="preserve">, </w:t>
      </w:r>
      <w:r w:rsidRPr="000641B0" w:rsidR="00290967">
        <w:rPr>
          <w:rFonts w:cstheme="minorHAnsi"/>
          <w:szCs w:val="26"/>
        </w:rPr>
        <w:t>9 Cal.4th at p.</w:t>
      </w:r>
      <w:r w:rsidRPr="000641B0" w:rsidR="00E21216">
        <w:rPr>
          <w:rFonts w:cstheme="minorHAnsi"/>
          <w:szCs w:val="26"/>
        </w:rPr>
        <w:t> </w:t>
      </w:r>
      <w:r w:rsidRPr="000641B0" w:rsidR="00290967">
        <w:rPr>
          <w:rFonts w:cstheme="minorHAnsi"/>
          <w:szCs w:val="26"/>
        </w:rPr>
        <w:t xml:space="preserve">475.)  In </w:t>
      </w:r>
      <w:r w:rsidRPr="000641B0" w:rsidR="002C6DC3">
        <w:rPr>
          <w:rFonts w:cstheme="minorHAnsi"/>
          <w:szCs w:val="26"/>
        </w:rPr>
        <w:t>the return, the respondent is required to “</w:t>
      </w:r>
      <w:r w:rsidR="00A43A11">
        <w:rPr>
          <w:rFonts w:cstheme="minorHAnsi"/>
          <w:szCs w:val="26"/>
        </w:rPr>
        <w:t> </w:t>
      </w:r>
      <w:r w:rsidRPr="000641B0" w:rsidR="002C6DC3">
        <w:rPr>
          <w:rFonts w:cstheme="minorHAnsi"/>
          <w:szCs w:val="26"/>
        </w:rPr>
        <w:t>‘</w:t>
      </w:r>
      <w:r w:rsidRPr="000641B0" w:rsidR="00275BEC">
        <w:rPr>
          <w:rFonts w:cstheme="minorHAnsi"/>
          <w:szCs w:val="26"/>
        </w:rPr>
        <w:t>allege </w:t>
      </w:r>
      <w:r w:rsidRPr="000641B0" w:rsidR="00275BEC">
        <w:rPr>
          <w:rFonts w:cstheme="minorHAnsi"/>
          <w:i/>
          <w:iCs/>
          <w:szCs w:val="26"/>
        </w:rPr>
        <w:t>facts</w:t>
      </w:r>
      <w:r w:rsidRPr="000641B0" w:rsidR="00275BEC">
        <w:rPr>
          <w:rFonts w:cstheme="minorHAnsi"/>
          <w:szCs w:val="26"/>
        </w:rPr>
        <w:t> tending to establish the legality of petitioner</w:t>
      </w:r>
      <w:r w:rsidRPr="000641B0" w:rsidR="00917D81">
        <w:rPr>
          <w:rFonts w:cstheme="minorHAnsi"/>
          <w:szCs w:val="26"/>
        </w:rPr>
        <w:t>’</w:t>
      </w:r>
      <w:r w:rsidRPr="000641B0" w:rsidR="00275BEC">
        <w:rPr>
          <w:rFonts w:cstheme="minorHAnsi"/>
          <w:szCs w:val="26"/>
        </w:rPr>
        <w:t>s detention.</w:t>
      </w:r>
      <w:r w:rsidRPr="000641B0" w:rsidR="00917D81">
        <w:rPr>
          <w:rFonts w:cstheme="minorHAnsi"/>
          <w:szCs w:val="26"/>
        </w:rPr>
        <w:t>’</w:t>
      </w:r>
      <w:r w:rsidRPr="000641B0" w:rsidR="00E21216">
        <w:rPr>
          <w:rFonts w:cstheme="minorHAnsi"/>
          <w:szCs w:val="26"/>
        </w:rPr>
        <w:t> </w:t>
      </w:r>
      <w:r w:rsidRPr="000641B0" w:rsidR="00917D81">
        <w:rPr>
          <w:rFonts w:cstheme="minorHAnsi"/>
          <w:szCs w:val="26"/>
        </w:rPr>
        <w:t>”</w:t>
      </w:r>
      <w:r w:rsidRPr="000641B0" w:rsidR="00275BEC">
        <w:rPr>
          <w:rFonts w:cstheme="minorHAnsi"/>
          <w:szCs w:val="26"/>
        </w:rPr>
        <w:t xml:space="preserve"> </w:t>
      </w:r>
      <w:r w:rsidRPr="000641B0" w:rsidR="001173CC">
        <w:rPr>
          <w:rFonts w:cstheme="minorHAnsi"/>
          <w:szCs w:val="26"/>
        </w:rPr>
        <w:t xml:space="preserve"> (</w:t>
      </w:r>
      <w:r w:rsidRPr="000641B0" w:rsidR="00917D81">
        <w:rPr>
          <w:rFonts w:cstheme="minorHAnsi"/>
          <w:i/>
          <w:iCs/>
          <w:szCs w:val="26"/>
        </w:rPr>
        <w:t>Id</w:t>
      </w:r>
      <w:r w:rsidRPr="000641B0" w:rsidR="001173CC">
        <w:rPr>
          <w:rFonts w:cstheme="minorHAnsi"/>
          <w:szCs w:val="26"/>
        </w:rPr>
        <w:t>.</w:t>
      </w:r>
      <w:r w:rsidRPr="000641B0" w:rsidR="00917D81">
        <w:rPr>
          <w:rFonts w:cstheme="minorHAnsi"/>
          <w:szCs w:val="26"/>
        </w:rPr>
        <w:t xml:space="preserve"> a</w:t>
      </w:r>
      <w:r w:rsidRPr="000641B0" w:rsidR="001173CC">
        <w:rPr>
          <w:rFonts w:cstheme="minorHAnsi"/>
          <w:szCs w:val="26"/>
        </w:rPr>
        <w:t>t</w:t>
      </w:r>
      <w:r w:rsidRPr="000641B0" w:rsidR="00917D81">
        <w:rPr>
          <w:rFonts w:cstheme="minorHAnsi"/>
          <w:szCs w:val="26"/>
        </w:rPr>
        <w:t xml:space="preserve"> p.</w:t>
      </w:r>
      <w:r w:rsidRPr="000641B0" w:rsidR="00E21216">
        <w:rPr>
          <w:rFonts w:cstheme="minorHAnsi"/>
          <w:szCs w:val="26"/>
        </w:rPr>
        <w:t> </w:t>
      </w:r>
      <w:r w:rsidRPr="000641B0" w:rsidR="00917D81">
        <w:rPr>
          <w:rFonts w:cstheme="minorHAnsi"/>
          <w:szCs w:val="26"/>
        </w:rPr>
        <w:t>476</w:t>
      </w:r>
      <w:r w:rsidRPr="000641B0" w:rsidR="00012F49">
        <w:rPr>
          <w:rFonts w:cstheme="minorHAnsi"/>
          <w:szCs w:val="26"/>
        </w:rPr>
        <w:t>.)</w:t>
      </w:r>
      <w:r w:rsidRPr="000641B0" w:rsidR="00275BEC">
        <w:rPr>
          <w:rFonts w:cstheme="minorHAnsi"/>
          <w:szCs w:val="26"/>
        </w:rPr>
        <w:t xml:space="preserve"> </w:t>
      </w:r>
      <w:r w:rsidRPr="000641B0" w:rsidR="00900663">
        <w:rPr>
          <w:rFonts w:cstheme="minorHAnsi"/>
          <w:szCs w:val="26"/>
        </w:rPr>
        <w:t xml:space="preserve"> </w:t>
      </w:r>
      <w:r w:rsidRPr="000641B0" w:rsidR="00A75F4E">
        <w:rPr>
          <w:rFonts w:cstheme="minorHAnsi"/>
          <w:szCs w:val="26"/>
        </w:rPr>
        <w:t>“</w:t>
      </w:r>
      <w:r w:rsidRPr="000641B0" w:rsidR="00275BEC">
        <w:rPr>
          <w:rFonts w:cstheme="minorHAnsi"/>
          <w:szCs w:val="26"/>
        </w:rPr>
        <w:t xml:space="preserve">Those facts are not simply the existence of a judgment of conviction and sentence when the petitioner challenges his restraint in prison. </w:t>
      </w:r>
      <w:r w:rsidRPr="000641B0" w:rsidR="00900663">
        <w:rPr>
          <w:rFonts w:cstheme="minorHAnsi"/>
          <w:szCs w:val="26"/>
        </w:rPr>
        <w:t xml:space="preserve"> </w:t>
      </w:r>
      <w:r w:rsidRPr="000641B0" w:rsidR="00275BEC">
        <w:rPr>
          <w:rFonts w:cstheme="minorHAnsi"/>
          <w:szCs w:val="26"/>
        </w:rPr>
        <w:t>The factual allegations of a return must also respond to the allegations of the petition that form the basis of the petitioner</w:t>
      </w:r>
      <w:r w:rsidRPr="000641B0" w:rsidR="00F116DE">
        <w:rPr>
          <w:rFonts w:cstheme="minorHAnsi"/>
          <w:szCs w:val="26"/>
        </w:rPr>
        <w:t>’</w:t>
      </w:r>
      <w:r w:rsidRPr="000641B0" w:rsidR="00275BEC">
        <w:rPr>
          <w:rFonts w:cstheme="minorHAnsi"/>
          <w:szCs w:val="26"/>
        </w:rPr>
        <w:t>s claim that the confinement is unlawful.</w:t>
      </w:r>
      <w:r w:rsidRPr="000641B0" w:rsidR="00AD39D8">
        <w:rPr>
          <w:rFonts w:cstheme="minorHAnsi"/>
          <w:szCs w:val="26"/>
        </w:rPr>
        <w:t xml:space="preserve"> </w:t>
      </w:r>
      <w:r w:rsidRPr="000641B0" w:rsidR="00283C27">
        <w:rPr>
          <w:rFonts w:cstheme="minorHAnsi"/>
          <w:szCs w:val="26"/>
        </w:rPr>
        <w:t xml:space="preserve"> </w:t>
      </w:r>
      <w:r w:rsidRPr="000641B0" w:rsidR="00AD39D8">
        <w:rPr>
          <w:rFonts w:cstheme="minorHAnsi"/>
          <w:szCs w:val="26"/>
        </w:rPr>
        <w:t xml:space="preserve">[Citations.] </w:t>
      </w:r>
      <w:r w:rsidRPr="000641B0" w:rsidR="00E21216">
        <w:rPr>
          <w:rFonts w:cstheme="minorHAnsi"/>
          <w:szCs w:val="26"/>
        </w:rPr>
        <w:t xml:space="preserve"> </w:t>
      </w:r>
      <w:r w:rsidRPr="000641B0" w:rsidR="00AD39D8">
        <w:rPr>
          <w:rFonts w:cstheme="minorHAnsi"/>
          <w:szCs w:val="26"/>
        </w:rPr>
        <w:t>In addition to stating facts, the return should also, ‘where appropriate,</w:t>
      </w:r>
      <w:r w:rsidRPr="000641B0" w:rsidR="00E21216">
        <w:rPr>
          <w:rFonts w:cstheme="minorHAnsi"/>
          <w:szCs w:val="26"/>
        </w:rPr>
        <w:t> </w:t>
      </w:r>
      <w:r w:rsidRPr="000641B0" w:rsidR="00AD39D8">
        <w:rPr>
          <w:rFonts w:cstheme="minorHAnsi"/>
          <w:szCs w:val="26"/>
        </w:rPr>
        <w:t>.</w:t>
      </w:r>
      <w:r w:rsidRPr="000641B0" w:rsidR="00E21216">
        <w:rPr>
          <w:rFonts w:cstheme="minorHAnsi"/>
          <w:szCs w:val="26"/>
        </w:rPr>
        <w:t> </w:t>
      </w:r>
      <w:r w:rsidRPr="000641B0" w:rsidR="00AD39D8">
        <w:rPr>
          <w:rFonts w:cstheme="minorHAnsi"/>
          <w:szCs w:val="26"/>
        </w:rPr>
        <w:t>.</w:t>
      </w:r>
      <w:r w:rsidRPr="000641B0" w:rsidR="00E21216">
        <w:rPr>
          <w:rFonts w:cstheme="minorHAnsi"/>
          <w:szCs w:val="26"/>
        </w:rPr>
        <w:t> </w:t>
      </w:r>
      <w:r w:rsidRPr="000641B0" w:rsidR="00AD39D8">
        <w:rPr>
          <w:rFonts w:cstheme="minorHAnsi"/>
          <w:szCs w:val="26"/>
        </w:rPr>
        <w:t>.</w:t>
      </w:r>
      <w:r w:rsidRPr="000641B0" w:rsidR="00E21216">
        <w:rPr>
          <w:rFonts w:cstheme="minorHAnsi"/>
          <w:szCs w:val="26"/>
        </w:rPr>
        <w:t> </w:t>
      </w:r>
      <w:r w:rsidRPr="000641B0" w:rsidR="00AD39D8">
        <w:rPr>
          <w:rFonts w:cstheme="minorHAnsi"/>
          <w:szCs w:val="26"/>
        </w:rPr>
        <w:t>provide such documentary evidence, affidavits, or other materials as will enable the court to determine which issues are truly disputed.’</w:t>
      </w:r>
      <w:r w:rsidRPr="000641B0" w:rsidR="00E21216">
        <w:rPr>
          <w:rFonts w:cstheme="minorHAnsi"/>
          <w:szCs w:val="26"/>
        </w:rPr>
        <w:t> </w:t>
      </w:r>
      <w:r w:rsidRPr="000641B0" w:rsidR="00AD39D8">
        <w:rPr>
          <w:rFonts w:cstheme="minorHAnsi"/>
          <w:szCs w:val="26"/>
        </w:rPr>
        <w:t>”</w:t>
      </w:r>
      <w:r w:rsidRPr="000641B0" w:rsidR="00952649">
        <w:rPr>
          <w:rFonts w:cstheme="minorHAnsi"/>
          <w:szCs w:val="26"/>
        </w:rPr>
        <w:t xml:space="preserve">  </w:t>
      </w:r>
      <w:r w:rsidRPr="000641B0" w:rsidR="00AD39D8">
        <w:rPr>
          <w:rFonts w:cstheme="minorHAnsi"/>
          <w:szCs w:val="26"/>
        </w:rPr>
        <w:t>(</w:t>
      </w:r>
      <w:r w:rsidRPr="000641B0" w:rsidR="00900663">
        <w:rPr>
          <w:rFonts w:cstheme="minorHAnsi"/>
          <w:i/>
          <w:iCs/>
          <w:szCs w:val="26"/>
        </w:rPr>
        <w:t>Ibid</w:t>
      </w:r>
      <w:r w:rsidRPr="000641B0" w:rsidR="00AD39D8">
        <w:rPr>
          <w:rFonts w:cstheme="minorHAnsi"/>
          <w:szCs w:val="26"/>
        </w:rPr>
        <w:t>.</w:t>
      </w:r>
      <w:r w:rsidR="0076440D">
        <w:rPr>
          <w:rFonts w:cstheme="minorHAnsi"/>
          <w:szCs w:val="26"/>
        </w:rPr>
        <w:t>, fn. omitted.</w:t>
      </w:r>
      <w:r w:rsidRPr="000641B0" w:rsidR="00AD39D8">
        <w:rPr>
          <w:rFonts w:cstheme="minorHAnsi"/>
          <w:szCs w:val="26"/>
        </w:rPr>
        <w:t>)</w:t>
      </w:r>
      <w:r w:rsidRPr="000641B0" w:rsidR="00174672">
        <w:rPr>
          <w:rFonts w:cstheme="minorHAnsi"/>
          <w:szCs w:val="26"/>
        </w:rPr>
        <w:t xml:space="preserve">  </w:t>
      </w:r>
      <w:r w:rsidRPr="000641B0" w:rsidR="00275BEC">
        <w:rPr>
          <w:rFonts w:cstheme="minorHAnsi"/>
          <w:szCs w:val="26"/>
        </w:rPr>
        <w:t xml:space="preserve">Following the filing of the return, the petitioner </w:t>
      </w:r>
      <w:r w:rsidRPr="000641B0" w:rsidR="00925984">
        <w:rPr>
          <w:rFonts w:cstheme="minorHAnsi"/>
          <w:szCs w:val="26"/>
        </w:rPr>
        <w:t xml:space="preserve">may </w:t>
      </w:r>
      <w:r w:rsidRPr="000641B0" w:rsidR="00174672">
        <w:rPr>
          <w:rFonts w:cstheme="minorHAnsi"/>
          <w:szCs w:val="26"/>
        </w:rPr>
        <w:t>file</w:t>
      </w:r>
      <w:r w:rsidRPr="000641B0" w:rsidR="00925984">
        <w:rPr>
          <w:rFonts w:cstheme="minorHAnsi"/>
          <w:szCs w:val="26"/>
        </w:rPr>
        <w:t xml:space="preserve"> </w:t>
      </w:r>
      <w:r w:rsidRPr="000641B0" w:rsidR="00174672">
        <w:rPr>
          <w:rFonts w:cstheme="minorHAnsi"/>
          <w:szCs w:val="26"/>
        </w:rPr>
        <w:t xml:space="preserve">a </w:t>
      </w:r>
      <w:r w:rsidRPr="000641B0" w:rsidR="00FD7EFA">
        <w:rPr>
          <w:rFonts w:cstheme="minorHAnsi"/>
          <w:szCs w:val="26"/>
        </w:rPr>
        <w:t>pleading called a travers</w:t>
      </w:r>
      <w:r w:rsidRPr="000641B0" w:rsidR="00D3256C">
        <w:rPr>
          <w:rFonts w:cstheme="minorHAnsi"/>
          <w:szCs w:val="26"/>
        </w:rPr>
        <w:t xml:space="preserve">e that </w:t>
      </w:r>
      <w:r w:rsidRPr="000641B0" w:rsidR="00275BEC">
        <w:rPr>
          <w:rFonts w:cstheme="minorHAnsi"/>
          <w:szCs w:val="26"/>
        </w:rPr>
        <w:t xml:space="preserve">responds to the facts pleaded </w:t>
      </w:r>
      <w:r w:rsidRPr="000641B0" w:rsidR="00EF0446">
        <w:rPr>
          <w:rFonts w:cstheme="minorHAnsi"/>
          <w:szCs w:val="26"/>
        </w:rPr>
        <w:t xml:space="preserve">in the return. </w:t>
      </w:r>
      <w:r w:rsidRPr="000641B0" w:rsidR="00360B95">
        <w:rPr>
          <w:rFonts w:cstheme="minorHAnsi"/>
          <w:szCs w:val="26"/>
        </w:rPr>
        <w:t xml:space="preserve"> </w:t>
      </w:r>
      <w:r w:rsidRPr="000641B0" w:rsidR="00AD292E">
        <w:rPr>
          <w:rFonts w:cstheme="minorHAnsi"/>
          <w:szCs w:val="26"/>
        </w:rPr>
        <w:t>(</w:t>
      </w:r>
      <w:r w:rsidRPr="000641B0" w:rsidR="00AD292E">
        <w:rPr>
          <w:rFonts w:cstheme="minorHAnsi"/>
          <w:i/>
          <w:iCs/>
          <w:szCs w:val="26"/>
        </w:rPr>
        <w:t>Ibid</w:t>
      </w:r>
      <w:r w:rsidRPr="000641B0" w:rsidR="00AD292E">
        <w:rPr>
          <w:rFonts w:cstheme="minorHAnsi"/>
          <w:szCs w:val="26"/>
        </w:rPr>
        <w:t xml:space="preserve">.)  </w:t>
      </w:r>
    </w:p>
    <w:p w:rsidR="003A1B10" w:rsidRPr="000641B0" w:rsidP="000641B0" w14:paraId="2C7F1D81" w14:textId="5D5DBF3B">
      <w:pPr>
        <w:ind w:firstLine="720"/>
        <w:rPr>
          <w:rFonts w:cstheme="minorHAnsi"/>
          <w:szCs w:val="26"/>
        </w:rPr>
      </w:pPr>
      <w:r w:rsidRPr="000641B0">
        <w:rPr>
          <w:rFonts w:cstheme="minorHAnsi"/>
          <w:szCs w:val="26"/>
        </w:rPr>
        <w:t xml:space="preserve">In </w:t>
      </w:r>
      <w:r w:rsidRPr="000641B0">
        <w:rPr>
          <w:rFonts w:cstheme="minorHAnsi"/>
          <w:i/>
          <w:iCs/>
          <w:szCs w:val="26"/>
        </w:rPr>
        <w:t>Duvall</w:t>
      </w:r>
      <w:r w:rsidRPr="000641B0">
        <w:rPr>
          <w:rFonts w:cstheme="minorHAnsi"/>
          <w:szCs w:val="26"/>
        </w:rPr>
        <w:t xml:space="preserve">, we </w:t>
      </w:r>
      <w:r w:rsidRPr="000641B0" w:rsidR="00100AE9">
        <w:rPr>
          <w:rFonts w:cstheme="minorHAnsi"/>
          <w:szCs w:val="26"/>
        </w:rPr>
        <w:t>emphasized</w:t>
      </w:r>
      <w:r w:rsidRPr="000641B0" w:rsidR="00875094">
        <w:rPr>
          <w:rFonts w:cstheme="minorHAnsi"/>
          <w:szCs w:val="26"/>
        </w:rPr>
        <w:t xml:space="preserve"> that </w:t>
      </w:r>
      <w:r w:rsidRPr="000641B0" w:rsidR="008D7326">
        <w:rPr>
          <w:rFonts w:cstheme="minorHAnsi"/>
          <w:szCs w:val="26"/>
        </w:rPr>
        <w:t xml:space="preserve">the </w:t>
      </w:r>
      <w:r w:rsidRPr="000641B0" w:rsidR="00943C68">
        <w:rPr>
          <w:rFonts w:cstheme="minorHAnsi"/>
          <w:szCs w:val="26"/>
        </w:rPr>
        <w:t>“</w:t>
      </w:r>
      <w:r w:rsidRPr="000641B0" w:rsidR="00275BEC">
        <w:rPr>
          <w:rFonts w:cstheme="minorHAnsi"/>
          <w:szCs w:val="26"/>
        </w:rPr>
        <w:t>requirement that the return allege facts responsive to the petition is critical, for the factual allegations in the return are either admitted or disputed in the traverse and this interplay frames the factual issues that the court must decide.</w:t>
      </w:r>
      <w:r w:rsidRPr="000641B0" w:rsidR="00943C68">
        <w:rPr>
          <w:rFonts w:cstheme="minorHAnsi"/>
          <w:szCs w:val="26"/>
        </w:rPr>
        <w:t>”  (</w:t>
      </w:r>
      <w:r w:rsidRPr="000641B0" w:rsidR="00A22FDF">
        <w:rPr>
          <w:rFonts w:cstheme="minorHAnsi"/>
          <w:i/>
          <w:iCs/>
          <w:szCs w:val="26"/>
        </w:rPr>
        <w:t>Duvall</w:t>
      </w:r>
      <w:r w:rsidRPr="000641B0" w:rsidR="00A22FDF">
        <w:rPr>
          <w:rFonts w:cstheme="minorHAnsi"/>
          <w:szCs w:val="26"/>
        </w:rPr>
        <w:t xml:space="preserve">, </w:t>
      </w:r>
      <w:r w:rsidRPr="000641B0" w:rsidR="00A22FDF">
        <w:rPr>
          <w:rFonts w:cstheme="minorHAnsi"/>
          <w:i/>
          <w:iCs/>
          <w:szCs w:val="26"/>
        </w:rPr>
        <w:t>supra</w:t>
      </w:r>
      <w:r w:rsidRPr="000641B0" w:rsidR="00A22FDF">
        <w:rPr>
          <w:rFonts w:cstheme="minorHAnsi"/>
          <w:szCs w:val="26"/>
        </w:rPr>
        <w:t>, 9 Cal.4th at p. 477</w:t>
      </w:r>
      <w:r w:rsidRPr="000641B0" w:rsidR="00943C68">
        <w:rPr>
          <w:rFonts w:cstheme="minorHAnsi"/>
          <w:szCs w:val="26"/>
        </w:rPr>
        <w:t xml:space="preserve">.)  </w:t>
      </w:r>
      <w:r w:rsidRPr="000641B0" w:rsidR="0016350B">
        <w:rPr>
          <w:rFonts w:cstheme="minorHAnsi"/>
          <w:szCs w:val="26"/>
        </w:rPr>
        <w:t>Further, we specifically</w:t>
      </w:r>
      <w:r w:rsidRPr="000641B0" w:rsidR="004876EC">
        <w:rPr>
          <w:rFonts w:cstheme="minorHAnsi"/>
          <w:szCs w:val="26"/>
        </w:rPr>
        <w:t xml:space="preserve"> “reiterate[d] our disapproval of the practice of filing returns that merely contain a general denial of a habeas corpus petitioner</w:t>
      </w:r>
      <w:r w:rsidRPr="000641B0" w:rsidR="00F116DE">
        <w:rPr>
          <w:rFonts w:cstheme="minorHAnsi"/>
          <w:szCs w:val="26"/>
        </w:rPr>
        <w:t>’</w:t>
      </w:r>
      <w:r w:rsidRPr="000641B0" w:rsidR="004876EC">
        <w:rPr>
          <w:rFonts w:cstheme="minorHAnsi"/>
          <w:szCs w:val="26"/>
        </w:rPr>
        <w:t>s factual allegations.”</w:t>
      </w:r>
      <w:r w:rsidRPr="000641B0" w:rsidR="00360B95">
        <w:rPr>
          <w:rFonts w:cstheme="minorHAnsi"/>
          <w:szCs w:val="26"/>
        </w:rPr>
        <w:t xml:space="preserve"> </w:t>
      </w:r>
      <w:r w:rsidRPr="000641B0" w:rsidR="004876EC">
        <w:rPr>
          <w:rFonts w:cstheme="minorHAnsi"/>
          <w:szCs w:val="26"/>
        </w:rPr>
        <w:t xml:space="preserve"> (</w:t>
      </w:r>
      <w:r w:rsidRPr="000641B0" w:rsidR="004876EC">
        <w:rPr>
          <w:rFonts w:cstheme="minorHAnsi"/>
          <w:i/>
          <w:iCs/>
          <w:szCs w:val="26"/>
        </w:rPr>
        <w:t>Id</w:t>
      </w:r>
      <w:r w:rsidRPr="000641B0" w:rsidR="004876EC">
        <w:rPr>
          <w:rFonts w:cstheme="minorHAnsi"/>
          <w:szCs w:val="26"/>
        </w:rPr>
        <w:t>. at pp.</w:t>
      </w:r>
      <w:r w:rsidRPr="000641B0" w:rsidR="0083304E">
        <w:rPr>
          <w:rFonts w:cstheme="minorHAnsi"/>
          <w:szCs w:val="26"/>
        </w:rPr>
        <w:t> </w:t>
      </w:r>
      <w:r w:rsidRPr="000641B0" w:rsidR="004876EC">
        <w:rPr>
          <w:rFonts w:cstheme="minorHAnsi"/>
          <w:szCs w:val="26"/>
        </w:rPr>
        <w:t>48</w:t>
      </w:r>
      <w:r w:rsidR="0076440D">
        <w:rPr>
          <w:rFonts w:cstheme="minorHAnsi"/>
          <w:szCs w:val="26"/>
        </w:rPr>
        <w:t>0</w:t>
      </w:r>
      <w:r w:rsidRPr="000641B0" w:rsidR="00EF7AD4">
        <w:rPr>
          <w:bCs/>
        </w:rPr>
        <w:t>–</w:t>
      </w:r>
      <w:r w:rsidRPr="000641B0" w:rsidR="004876EC">
        <w:rPr>
          <w:rFonts w:cstheme="minorHAnsi"/>
          <w:szCs w:val="26"/>
        </w:rPr>
        <w:t>48</w:t>
      </w:r>
      <w:r w:rsidR="0076440D">
        <w:rPr>
          <w:rFonts w:cstheme="minorHAnsi"/>
          <w:szCs w:val="26"/>
        </w:rPr>
        <w:t>1</w:t>
      </w:r>
      <w:r w:rsidRPr="000641B0" w:rsidR="004876EC">
        <w:rPr>
          <w:rFonts w:cstheme="minorHAnsi"/>
          <w:szCs w:val="26"/>
        </w:rPr>
        <w:t>.</w:t>
      </w:r>
      <w:r w:rsidRPr="000641B0" w:rsidR="005373C2">
        <w:rPr>
          <w:rFonts w:cstheme="minorHAnsi"/>
          <w:szCs w:val="26"/>
        </w:rPr>
        <w:t xml:space="preserve">) </w:t>
      </w:r>
      <w:r w:rsidRPr="000641B0" w:rsidR="009D6FEA">
        <w:rPr>
          <w:rFonts w:cstheme="minorHAnsi"/>
          <w:szCs w:val="26"/>
        </w:rPr>
        <w:t xml:space="preserve"> </w:t>
      </w:r>
      <w:r w:rsidRPr="000641B0" w:rsidR="000A167D">
        <w:rPr>
          <w:rFonts w:cstheme="minorHAnsi"/>
          <w:szCs w:val="26"/>
        </w:rPr>
        <w:t>However, t</w:t>
      </w:r>
      <w:r w:rsidRPr="000641B0" w:rsidR="00B46C79">
        <w:rPr>
          <w:rFonts w:cstheme="minorHAnsi"/>
          <w:szCs w:val="26"/>
        </w:rPr>
        <w:t xml:space="preserve">he </w:t>
      </w:r>
      <w:r w:rsidRPr="000641B0" w:rsidR="00B46C79">
        <w:rPr>
          <w:rFonts w:cstheme="minorHAnsi"/>
          <w:i/>
          <w:iCs/>
          <w:szCs w:val="26"/>
        </w:rPr>
        <w:t>Duvall</w:t>
      </w:r>
      <w:r w:rsidRPr="000641B0" w:rsidR="00B46C79">
        <w:rPr>
          <w:rFonts w:cstheme="minorHAnsi"/>
          <w:szCs w:val="26"/>
        </w:rPr>
        <w:t xml:space="preserve"> court </w:t>
      </w:r>
      <w:r w:rsidRPr="000641B0" w:rsidR="0083304E">
        <w:rPr>
          <w:rFonts w:cstheme="minorHAnsi"/>
          <w:szCs w:val="26"/>
        </w:rPr>
        <w:t xml:space="preserve">outlined the procedures to follow when a </w:t>
      </w:r>
      <w:r w:rsidRPr="000641B0" w:rsidR="00984620">
        <w:rPr>
          <w:rFonts w:cstheme="minorHAnsi"/>
          <w:szCs w:val="26"/>
        </w:rPr>
        <w:t xml:space="preserve">respondent </w:t>
      </w:r>
      <w:r w:rsidRPr="000641B0" w:rsidR="00B46C79">
        <w:rPr>
          <w:rFonts w:cstheme="minorHAnsi"/>
          <w:szCs w:val="26"/>
        </w:rPr>
        <w:t>d</w:t>
      </w:r>
      <w:r w:rsidRPr="000641B0" w:rsidR="00984620">
        <w:rPr>
          <w:rFonts w:cstheme="minorHAnsi"/>
          <w:szCs w:val="26"/>
        </w:rPr>
        <w:t>oes</w:t>
      </w:r>
      <w:r w:rsidRPr="000641B0" w:rsidR="00B46C79">
        <w:rPr>
          <w:rFonts w:cstheme="minorHAnsi"/>
          <w:szCs w:val="26"/>
        </w:rPr>
        <w:t xml:space="preserve"> not have access to information </w:t>
      </w:r>
      <w:r w:rsidRPr="000641B0" w:rsidR="0083304E">
        <w:rPr>
          <w:rFonts w:cstheme="minorHAnsi"/>
          <w:szCs w:val="26"/>
        </w:rPr>
        <w:t xml:space="preserve">needed to </w:t>
      </w:r>
      <w:r w:rsidRPr="000641B0" w:rsidR="00B46C79">
        <w:rPr>
          <w:rFonts w:cstheme="minorHAnsi"/>
          <w:szCs w:val="26"/>
        </w:rPr>
        <w:t>either admit or deny a factual allegation of the petition</w:t>
      </w:r>
      <w:r w:rsidRPr="000641B0" w:rsidR="0083304E">
        <w:rPr>
          <w:rFonts w:cstheme="minorHAnsi"/>
          <w:szCs w:val="26"/>
        </w:rPr>
        <w:t>.  In such circumstances</w:t>
      </w:r>
      <w:r w:rsidRPr="000641B0" w:rsidR="00B46C79">
        <w:rPr>
          <w:rFonts w:cstheme="minorHAnsi"/>
          <w:szCs w:val="26"/>
        </w:rPr>
        <w:t>, the “return should set forth with specificity:</w:t>
      </w:r>
      <w:r w:rsidRPr="000641B0" w:rsidR="00E21216">
        <w:rPr>
          <w:rFonts w:cstheme="minorHAnsi"/>
          <w:szCs w:val="26"/>
        </w:rPr>
        <w:t xml:space="preserve"> </w:t>
      </w:r>
      <w:r w:rsidR="00783428">
        <w:rPr>
          <w:rFonts w:cstheme="minorHAnsi"/>
          <w:szCs w:val="26"/>
        </w:rPr>
        <w:t xml:space="preserve"> </w:t>
      </w:r>
      <w:r w:rsidRPr="000641B0" w:rsidR="00B46C79">
        <w:rPr>
          <w:rFonts w:cstheme="minorHAnsi"/>
          <w:szCs w:val="26"/>
        </w:rPr>
        <w:t>(i)</w:t>
      </w:r>
      <w:r w:rsidRPr="000641B0" w:rsidR="00E21216">
        <w:rPr>
          <w:rFonts w:cstheme="minorHAnsi"/>
          <w:szCs w:val="26"/>
        </w:rPr>
        <w:t> </w:t>
      </w:r>
      <w:r w:rsidRPr="000641B0" w:rsidR="00B46C79">
        <w:rPr>
          <w:rFonts w:cstheme="minorHAnsi"/>
          <w:szCs w:val="26"/>
        </w:rPr>
        <w:t>why information is not readily available; (ii)</w:t>
      </w:r>
      <w:r w:rsidRPr="000641B0" w:rsidR="00E21216">
        <w:rPr>
          <w:rFonts w:cstheme="minorHAnsi"/>
          <w:szCs w:val="26"/>
        </w:rPr>
        <w:t> </w:t>
      </w:r>
      <w:r w:rsidRPr="000641B0" w:rsidR="00B46C79">
        <w:rPr>
          <w:rFonts w:cstheme="minorHAnsi"/>
          <w:szCs w:val="26"/>
        </w:rPr>
        <w:t>the steps that were taken to try to obtain it; and (iii)</w:t>
      </w:r>
      <w:r w:rsidRPr="000641B0" w:rsidR="00E21216">
        <w:rPr>
          <w:rFonts w:cstheme="minorHAnsi"/>
          <w:szCs w:val="26"/>
        </w:rPr>
        <w:t> </w:t>
      </w:r>
      <w:r w:rsidRPr="000641B0" w:rsidR="00B46C79">
        <w:rPr>
          <w:rFonts w:cstheme="minorHAnsi"/>
          <w:szCs w:val="26"/>
        </w:rPr>
        <w:t xml:space="preserve">why </w:t>
      </w:r>
      <w:r w:rsidRPr="000641B0" w:rsidR="008C3C49">
        <w:rPr>
          <w:rFonts w:cstheme="minorHAnsi"/>
          <w:szCs w:val="26"/>
        </w:rPr>
        <w:t>[respondent]</w:t>
      </w:r>
      <w:r w:rsidRPr="000641B0" w:rsidR="00B46C79">
        <w:rPr>
          <w:rFonts w:cstheme="minorHAnsi"/>
          <w:szCs w:val="26"/>
        </w:rPr>
        <w:t xml:space="preserve"> believes in good faith that certain alleged facts are untrue.” </w:t>
      </w:r>
      <w:r w:rsidRPr="000641B0" w:rsidR="00753731">
        <w:rPr>
          <w:rFonts w:cstheme="minorHAnsi"/>
          <w:szCs w:val="26"/>
        </w:rPr>
        <w:t xml:space="preserve"> </w:t>
      </w:r>
      <w:r w:rsidRPr="000641B0" w:rsidR="00B46C79">
        <w:rPr>
          <w:rFonts w:cstheme="minorHAnsi"/>
          <w:szCs w:val="26"/>
        </w:rPr>
        <w:t>(</w:t>
      </w:r>
      <w:r w:rsidRPr="000641B0" w:rsidR="00DD7842">
        <w:rPr>
          <w:rFonts w:cstheme="minorHAnsi"/>
          <w:i/>
          <w:iCs/>
          <w:szCs w:val="26"/>
        </w:rPr>
        <w:t>Id</w:t>
      </w:r>
      <w:r w:rsidRPr="000641B0" w:rsidR="00DD7842">
        <w:rPr>
          <w:rFonts w:cstheme="minorHAnsi"/>
          <w:szCs w:val="26"/>
        </w:rPr>
        <w:t>.</w:t>
      </w:r>
      <w:r w:rsidRPr="000641B0" w:rsidR="00B46C79">
        <w:rPr>
          <w:rFonts w:cstheme="minorHAnsi"/>
          <w:szCs w:val="26"/>
        </w:rPr>
        <w:t xml:space="preserve"> at p.</w:t>
      </w:r>
      <w:r w:rsidRPr="000641B0" w:rsidR="0083304E">
        <w:rPr>
          <w:rFonts w:cstheme="minorHAnsi"/>
          <w:szCs w:val="26"/>
        </w:rPr>
        <w:t> </w:t>
      </w:r>
      <w:r w:rsidRPr="000641B0" w:rsidR="00B46C79">
        <w:rPr>
          <w:rFonts w:cstheme="minorHAnsi"/>
          <w:szCs w:val="26"/>
        </w:rPr>
        <w:t>485.)</w:t>
      </w:r>
    </w:p>
    <w:p w:rsidR="00D541AC" w:rsidRPr="0052118B" w:rsidP="0052118B" w14:paraId="7D3C3ECA" w14:textId="14B01B59">
      <w:pPr>
        <w:ind w:firstLine="720"/>
      </w:pPr>
      <w:r w:rsidRPr="000641B0">
        <w:rPr>
          <w:rFonts w:cstheme="minorHAnsi"/>
          <w:szCs w:val="26"/>
        </w:rPr>
        <w:t xml:space="preserve">With these procedures in mind, we consider </w:t>
      </w:r>
      <w:r w:rsidRPr="000641B0" w:rsidR="00C03D72">
        <w:rPr>
          <w:rFonts w:cstheme="minorHAnsi"/>
          <w:szCs w:val="26"/>
        </w:rPr>
        <w:t xml:space="preserve">a </w:t>
      </w:r>
      <w:r w:rsidRPr="000641B0" w:rsidR="0062581E">
        <w:rPr>
          <w:rFonts w:cstheme="minorHAnsi"/>
          <w:szCs w:val="26"/>
        </w:rPr>
        <w:t xml:space="preserve">respondent’s duty </w:t>
      </w:r>
      <w:r w:rsidRPr="000641B0" w:rsidR="009E61AF">
        <w:rPr>
          <w:rFonts w:cstheme="minorHAnsi"/>
          <w:szCs w:val="26"/>
        </w:rPr>
        <w:t xml:space="preserve">in responding to a </w:t>
      </w:r>
      <w:r w:rsidR="006F3687">
        <w:rPr>
          <w:rFonts w:cstheme="minorHAnsi"/>
          <w:szCs w:val="26"/>
        </w:rPr>
        <w:t xml:space="preserve">habeas corpus </w:t>
      </w:r>
      <w:r w:rsidRPr="000641B0" w:rsidR="009E61AF">
        <w:rPr>
          <w:rFonts w:cstheme="minorHAnsi"/>
          <w:szCs w:val="26"/>
        </w:rPr>
        <w:t xml:space="preserve">petitioner’s </w:t>
      </w:r>
      <w:r w:rsidRPr="000641B0" w:rsidR="00E11F80">
        <w:rPr>
          <w:rFonts w:cstheme="minorHAnsi"/>
          <w:i/>
          <w:iCs/>
          <w:szCs w:val="26"/>
        </w:rPr>
        <w:t>Brady</w:t>
      </w:r>
      <w:r w:rsidRPr="000641B0" w:rsidR="00E11F80">
        <w:rPr>
          <w:rFonts w:cstheme="minorHAnsi"/>
          <w:szCs w:val="26"/>
        </w:rPr>
        <w:t xml:space="preserve"> claim in a case in which the respondent </w:t>
      </w:r>
      <w:r w:rsidRPr="000641B0" w:rsidR="00E1092A">
        <w:rPr>
          <w:rFonts w:cstheme="minorHAnsi"/>
          <w:bCs/>
          <w:szCs w:val="26"/>
        </w:rPr>
        <w:t xml:space="preserve">has knowledge of, or is in actual or constructive possession of, </w:t>
      </w:r>
      <w:r w:rsidRPr="000641B0" w:rsidR="00B76C48">
        <w:rPr>
          <w:rFonts w:cstheme="minorHAnsi"/>
          <w:bCs/>
          <w:szCs w:val="26"/>
        </w:rPr>
        <w:t>the</w:t>
      </w:r>
      <w:r w:rsidRPr="000641B0" w:rsidR="00E1092A">
        <w:rPr>
          <w:rFonts w:cstheme="minorHAnsi"/>
          <w:bCs/>
          <w:szCs w:val="26"/>
        </w:rPr>
        <w:t xml:space="preserve"> evidence</w:t>
      </w:r>
      <w:r w:rsidRPr="000641B0" w:rsidR="00B76C48">
        <w:rPr>
          <w:rFonts w:cstheme="minorHAnsi"/>
          <w:bCs/>
          <w:szCs w:val="26"/>
        </w:rPr>
        <w:t xml:space="preserve"> </w:t>
      </w:r>
      <w:r w:rsidRPr="000641B0" w:rsidR="003C45AA">
        <w:rPr>
          <w:rFonts w:cstheme="minorHAnsi"/>
          <w:bCs/>
          <w:szCs w:val="26"/>
        </w:rPr>
        <w:t>forming the basis</w:t>
      </w:r>
      <w:r w:rsidRPr="000641B0" w:rsidR="00B76C48">
        <w:rPr>
          <w:rFonts w:cstheme="minorHAnsi"/>
          <w:bCs/>
          <w:szCs w:val="26"/>
        </w:rPr>
        <w:t xml:space="preserve"> </w:t>
      </w:r>
      <w:r w:rsidRPr="000641B0" w:rsidR="00E21216">
        <w:rPr>
          <w:rFonts w:cstheme="minorHAnsi"/>
          <w:bCs/>
          <w:szCs w:val="26"/>
        </w:rPr>
        <w:t xml:space="preserve">of </w:t>
      </w:r>
      <w:r w:rsidRPr="000641B0" w:rsidR="00B76C48">
        <w:rPr>
          <w:rFonts w:cstheme="minorHAnsi"/>
          <w:bCs/>
          <w:szCs w:val="26"/>
        </w:rPr>
        <w:t xml:space="preserve">the claim.  </w:t>
      </w:r>
      <w:r w:rsidR="008C558C">
        <w:rPr>
          <w:rFonts w:cstheme="minorHAnsi"/>
          <w:bCs/>
          <w:szCs w:val="26"/>
        </w:rPr>
        <w:t>As alluded to above</w:t>
      </w:r>
      <w:r w:rsidR="009263F1">
        <w:rPr>
          <w:rFonts w:cstheme="minorHAnsi"/>
          <w:bCs/>
          <w:szCs w:val="26"/>
        </w:rPr>
        <w:t xml:space="preserve">, we reiterate that upon the filing of a petition alleging a </w:t>
      </w:r>
      <w:r w:rsidRPr="00F55F90" w:rsidR="009263F1">
        <w:rPr>
          <w:rFonts w:cstheme="minorHAnsi"/>
          <w:bCs/>
          <w:i/>
          <w:iCs/>
          <w:szCs w:val="26"/>
        </w:rPr>
        <w:t>Brady</w:t>
      </w:r>
      <w:r w:rsidR="009263F1">
        <w:rPr>
          <w:rFonts w:cstheme="minorHAnsi"/>
          <w:bCs/>
          <w:szCs w:val="26"/>
        </w:rPr>
        <w:t xml:space="preserve"> violation, if </w:t>
      </w:r>
      <w:r w:rsidRPr="009263F1" w:rsidR="009263F1">
        <w:rPr>
          <w:rFonts w:cstheme="minorHAnsi"/>
          <w:bCs/>
          <w:szCs w:val="26"/>
        </w:rPr>
        <w:t xml:space="preserve">the </w:t>
      </w:r>
      <w:r w:rsidR="00390B49">
        <w:rPr>
          <w:rFonts w:cstheme="minorHAnsi"/>
          <w:bCs/>
          <w:szCs w:val="26"/>
        </w:rPr>
        <w:t xml:space="preserve">allegedly suppressed </w:t>
      </w:r>
      <w:r w:rsidRPr="009263F1" w:rsidR="009263F1">
        <w:rPr>
          <w:rFonts w:cstheme="minorHAnsi"/>
          <w:bCs/>
          <w:szCs w:val="26"/>
        </w:rPr>
        <w:t xml:space="preserve">evidence </w:t>
      </w:r>
      <w:r w:rsidRPr="009263F1" w:rsidR="009263F1">
        <w:rPr>
          <w:rFonts w:cstheme="minorHAnsi"/>
          <w:bCs/>
          <w:i/>
          <w:iCs/>
          <w:szCs w:val="26"/>
        </w:rPr>
        <w:t>is</w:t>
      </w:r>
      <w:r w:rsidRPr="009263F1" w:rsidR="009263F1">
        <w:rPr>
          <w:rFonts w:cstheme="minorHAnsi"/>
          <w:bCs/>
          <w:szCs w:val="26"/>
        </w:rPr>
        <w:t xml:space="preserve"> material and exculpatory, the Attorney General has an independent constitutional duty to disclose the evidence (</w:t>
      </w:r>
      <w:r w:rsidR="00DA5481">
        <w:rPr>
          <w:rFonts w:cstheme="minorHAnsi"/>
          <w:bCs/>
          <w:szCs w:val="26"/>
        </w:rPr>
        <w:t>s</w:t>
      </w:r>
      <w:r w:rsidRPr="009263F1" w:rsidR="009263F1">
        <w:rPr>
          <w:rFonts w:cstheme="minorHAnsi"/>
          <w:bCs/>
          <w:szCs w:val="26"/>
        </w:rPr>
        <w:t>ee pt. II.A</w:t>
      </w:r>
      <w:r w:rsidR="00ED224A">
        <w:rPr>
          <w:rFonts w:cstheme="minorHAnsi"/>
          <w:bCs/>
          <w:szCs w:val="26"/>
        </w:rPr>
        <w:t>.</w:t>
      </w:r>
      <w:r w:rsidRPr="009263F1" w:rsidR="009263F1">
        <w:rPr>
          <w:rFonts w:cstheme="minorHAnsi"/>
          <w:bCs/>
          <w:szCs w:val="26"/>
        </w:rPr>
        <w:t xml:space="preserve">, </w:t>
      </w:r>
      <w:r w:rsidRPr="009263F1" w:rsidR="009263F1">
        <w:rPr>
          <w:rFonts w:cstheme="minorHAnsi"/>
          <w:bCs/>
          <w:i/>
          <w:iCs/>
          <w:szCs w:val="26"/>
        </w:rPr>
        <w:t>ante</w:t>
      </w:r>
      <w:r w:rsidRPr="009263F1" w:rsidR="009263F1">
        <w:rPr>
          <w:rFonts w:cstheme="minorHAnsi"/>
          <w:bCs/>
          <w:szCs w:val="26"/>
        </w:rPr>
        <w:t xml:space="preserve">), and to the extent the evidence </w:t>
      </w:r>
      <w:r w:rsidRPr="00F55F90" w:rsidR="009263F1">
        <w:rPr>
          <w:rFonts w:cstheme="minorHAnsi"/>
          <w:bCs/>
          <w:i/>
          <w:iCs/>
          <w:szCs w:val="26"/>
        </w:rPr>
        <w:t>is</w:t>
      </w:r>
      <w:r w:rsidRPr="009263F1" w:rsidR="009263F1">
        <w:rPr>
          <w:rFonts w:cstheme="minorHAnsi"/>
          <w:bCs/>
          <w:szCs w:val="26"/>
        </w:rPr>
        <w:t xml:space="preserve"> subject to Rule 3.8(d), the Attorney General has an independent ethical duty to disclose the evidence (</w:t>
      </w:r>
      <w:r w:rsidR="008B2F9B">
        <w:rPr>
          <w:rFonts w:cstheme="minorHAnsi"/>
          <w:bCs/>
          <w:szCs w:val="26"/>
        </w:rPr>
        <w:t>s</w:t>
      </w:r>
      <w:r w:rsidRPr="009263F1" w:rsidR="009263F1">
        <w:rPr>
          <w:rFonts w:cstheme="minorHAnsi"/>
          <w:bCs/>
          <w:szCs w:val="26"/>
        </w:rPr>
        <w:t>ee pt. II.B</w:t>
      </w:r>
      <w:r w:rsidR="00ED224A">
        <w:rPr>
          <w:rFonts w:cstheme="minorHAnsi"/>
          <w:bCs/>
          <w:szCs w:val="26"/>
        </w:rPr>
        <w:t>.</w:t>
      </w:r>
      <w:r w:rsidRPr="009263F1" w:rsidR="009263F1">
        <w:rPr>
          <w:rFonts w:cstheme="minorHAnsi"/>
          <w:bCs/>
          <w:szCs w:val="26"/>
        </w:rPr>
        <w:t xml:space="preserve">, </w:t>
      </w:r>
      <w:r w:rsidRPr="009263F1" w:rsidR="009263F1">
        <w:rPr>
          <w:rFonts w:cstheme="minorHAnsi"/>
          <w:bCs/>
          <w:i/>
          <w:iCs/>
          <w:szCs w:val="26"/>
        </w:rPr>
        <w:t>ante</w:t>
      </w:r>
      <w:r w:rsidRPr="009263F1" w:rsidR="009263F1">
        <w:rPr>
          <w:rFonts w:cstheme="minorHAnsi"/>
          <w:bCs/>
          <w:szCs w:val="26"/>
        </w:rPr>
        <w:t>)</w:t>
      </w:r>
      <w:r w:rsidR="008B2F9B">
        <w:rPr>
          <w:rFonts w:cstheme="minorHAnsi"/>
          <w:bCs/>
          <w:szCs w:val="26"/>
        </w:rPr>
        <w:t>.</w:t>
      </w:r>
      <w:r>
        <w:rPr>
          <w:rStyle w:val="FootnoteReference"/>
          <w:rFonts w:cstheme="minorHAnsi"/>
          <w:bCs/>
          <w:szCs w:val="26"/>
        </w:rPr>
        <w:footnoteReference w:id="26"/>
      </w:r>
      <w:r w:rsidRPr="009263F1" w:rsidR="009263F1">
        <w:rPr>
          <w:rFonts w:cstheme="minorHAnsi"/>
          <w:bCs/>
          <w:szCs w:val="26"/>
        </w:rPr>
        <w:t xml:space="preserve"> </w:t>
      </w:r>
      <w:r w:rsidR="00083FB0">
        <w:rPr>
          <w:rFonts w:cstheme="minorHAnsi"/>
          <w:bCs/>
          <w:szCs w:val="26"/>
        </w:rPr>
        <w:t xml:space="preserve"> </w:t>
      </w:r>
      <w:r w:rsidR="00AF576B">
        <w:rPr>
          <w:rFonts w:cstheme="minorHAnsi"/>
          <w:bCs/>
          <w:szCs w:val="26"/>
        </w:rPr>
        <w:t>In this part we consider</w:t>
      </w:r>
      <w:r w:rsidRPr="00D71E4C" w:rsidR="003B1DEF">
        <w:t xml:space="preserve"> </w:t>
      </w:r>
      <w:r w:rsidRPr="00D71E4C" w:rsidR="003B1DEF">
        <w:rPr>
          <w:i/>
          <w:iCs/>
        </w:rPr>
        <w:t>additional</w:t>
      </w:r>
      <w:r w:rsidRPr="00D71E4C" w:rsidR="003B1DEF">
        <w:t xml:space="preserve"> duties aris</w:t>
      </w:r>
      <w:r w:rsidR="00F22C16">
        <w:t>ing</w:t>
      </w:r>
      <w:r w:rsidRPr="00D71E4C" w:rsidR="003B1DEF">
        <w:t xml:space="preserve"> from habeas </w:t>
      </w:r>
      <w:r w:rsidR="00515824">
        <w:t xml:space="preserve">corpus </w:t>
      </w:r>
      <w:r w:rsidRPr="00D71E4C" w:rsidR="003B1DEF">
        <w:t xml:space="preserve">procedural law that apply upon the mere </w:t>
      </w:r>
      <w:r w:rsidRPr="00D71E4C" w:rsidR="003B1DEF">
        <w:rPr>
          <w:i/>
          <w:iCs/>
        </w:rPr>
        <w:t>allegation</w:t>
      </w:r>
      <w:r w:rsidRPr="00D71E4C" w:rsidR="003B1DEF">
        <w:t xml:space="preserve"> of a </w:t>
      </w:r>
      <w:r w:rsidRPr="00D71E4C" w:rsidR="003B1DEF">
        <w:rPr>
          <w:i/>
          <w:iCs/>
        </w:rPr>
        <w:t>Brady</w:t>
      </w:r>
      <w:r w:rsidRPr="00D71E4C" w:rsidR="003B1DEF">
        <w:t xml:space="preserve"> violation. </w:t>
      </w:r>
      <w:r w:rsidR="009258BA">
        <w:t xml:space="preserve"> </w:t>
      </w:r>
      <w:r w:rsidRPr="000641B0" w:rsidR="00B76C48">
        <w:rPr>
          <w:rFonts w:cstheme="minorHAnsi"/>
          <w:bCs/>
          <w:szCs w:val="26"/>
        </w:rPr>
        <w:t xml:space="preserve">Specifically, we consider </w:t>
      </w:r>
      <w:r w:rsidRPr="000641B0" w:rsidR="00351414">
        <w:rPr>
          <w:rFonts w:cstheme="minorHAnsi"/>
          <w:bCs/>
          <w:szCs w:val="26"/>
        </w:rPr>
        <w:t xml:space="preserve">respondent’s duty </w:t>
      </w:r>
      <w:r w:rsidRPr="000641B0" w:rsidR="00A57EDE">
        <w:rPr>
          <w:rFonts w:cstheme="minorHAnsi"/>
          <w:bCs/>
          <w:szCs w:val="26"/>
        </w:rPr>
        <w:t xml:space="preserve">in filing an informal response </w:t>
      </w:r>
      <w:r w:rsidRPr="000641B0" w:rsidR="00351414">
        <w:rPr>
          <w:rFonts w:cstheme="minorHAnsi"/>
          <w:bCs/>
          <w:szCs w:val="26"/>
        </w:rPr>
        <w:t>prior to the issua</w:t>
      </w:r>
      <w:r w:rsidRPr="000641B0" w:rsidR="002265F8">
        <w:rPr>
          <w:rFonts w:cstheme="minorHAnsi"/>
          <w:bCs/>
          <w:szCs w:val="26"/>
        </w:rPr>
        <w:t xml:space="preserve">nce of </w:t>
      </w:r>
      <w:r w:rsidRPr="000641B0" w:rsidR="00540226">
        <w:rPr>
          <w:rFonts w:cstheme="minorHAnsi"/>
          <w:bCs/>
          <w:szCs w:val="26"/>
        </w:rPr>
        <w:t>an</w:t>
      </w:r>
      <w:r w:rsidRPr="000641B0" w:rsidR="002265F8">
        <w:rPr>
          <w:rFonts w:cstheme="minorHAnsi"/>
          <w:bCs/>
          <w:szCs w:val="26"/>
        </w:rPr>
        <w:t xml:space="preserve"> order to show cause, and </w:t>
      </w:r>
      <w:r w:rsidRPr="000641B0" w:rsidR="000C1D33">
        <w:rPr>
          <w:rFonts w:cstheme="minorHAnsi"/>
          <w:bCs/>
          <w:szCs w:val="26"/>
        </w:rPr>
        <w:t>respondent</w:t>
      </w:r>
      <w:r w:rsidRPr="000641B0" w:rsidR="00132CC2">
        <w:rPr>
          <w:rFonts w:cstheme="minorHAnsi"/>
          <w:bCs/>
          <w:szCs w:val="26"/>
        </w:rPr>
        <w:t>’</w:t>
      </w:r>
      <w:r w:rsidRPr="000641B0" w:rsidR="000C1D33">
        <w:rPr>
          <w:rFonts w:cstheme="minorHAnsi"/>
          <w:bCs/>
          <w:szCs w:val="26"/>
        </w:rPr>
        <w:t>s duty</w:t>
      </w:r>
      <w:r w:rsidRPr="000641B0" w:rsidR="00A57EDE">
        <w:t xml:space="preserve"> </w:t>
      </w:r>
      <w:r w:rsidRPr="000641B0" w:rsidR="00A57EDE">
        <w:rPr>
          <w:rFonts w:cstheme="minorHAnsi"/>
          <w:bCs/>
          <w:szCs w:val="26"/>
        </w:rPr>
        <w:t xml:space="preserve">in filing a return </w:t>
      </w:r>
      <w:r w:rsidRPr="000641B0" w:rsidR="00BF6925">
        <w:rPr>
          <w:rFonts w:cstheme="minorHAnsi"/>
          <w:bCs/>
          <w:szCs w:val="26"/>
        </w:rPr>
        <w:t>should a court issue</w:t>
      </w:r>
      <w:r w:rsidRPr="000641B0" w:rsidR="00540226">
        <w:rPr>
          <w:rFonts w:cstheme="minorHAnsi"/>
          <w:bCs/>
          <w:szCs w:val="26"/>
        </w:rPr>
        <w:t xml:space="preserve"> an order to show cause</w:t>
      </w:r>
      <w:r w:rsidRPr="000641B0" w:rsidR="000C1D33">
        <w:rPr>
          <w:rFonts w:cstheme="minorHAnsi"/>
          <w:bCs/>
          <w:szCs w:val="26"/>
        </w:rPr>
        <w:t xml:space="preserve">. </w:t>
      </w:r>
    </w:p>
    <w:p w:rsidR="00D541AC" w:rsidRPr="00CA233A" w:rsidP="000641B0" w14:paraId="718BF28D" w14:textId="5085A29F">
      <w:pPr>
        <w:ind w:firstLine="720"/>
        <w:rPr>
          <w:rFonts w:cstheme="minorHAnsi"/>
          <w:szCs w:val="26"/>
        </w:rPr>
      </w:pPr>
      <w:r w:rsidRPr="000641B0">
        <w:rPr>
          <w:rFonts w:cstheme="minorHAnsi"/>
          <w:bCs/>
          <w:szCs w:val="26"/>
        </w:rPr>
        <w:t xml:space="preserve">Jenkins contends </w:t>
      </w:r>
      <w:r w:rsidRPr="000641B0" w:rsidR="00F51F6D">
        <w:rPr>
          <w:rFonts w:cstheme="minorHAnsi"/>
          <w:bCs/>
          <w:szCs w:val="26"/>
        </w:rPr>
        <w:t>the “Attorney General</w:t>
      </w:r>
      <w:r w:rsidR="0076440D">
        <w:rPr>
          <w:rStyle w:val="FootnoteReference"/>
          <w:rFonts w:cstheme="minorHAnsi"/>
          <w:bCs/>
          <w:szCs w:val="26"/>
        </w:rPr>
        <w:t>[</w:t>
      </w:r>
      <w:r>
        <w:rPr>
          <w:rStyle w:val="FootnoteReference"/>
          <w:rFonts w:cstheme="minorHAnsi"/>
          <w:szCs w:val="26"/>
        </w:rPr>
        <w:footnoteReference w:id="27"/>
      </w:r>
      <w:r w:rsidR="0076440D">
        <w:rPr>
          <w:rStyle w:val="FootnoteReference"/>
          <w:rFonts w:cstheme="minorHAnsi"/>
          <w:bCs/>
          <w:szCs w:val="26"/>
        </w:rPr>
        <w:t>]</w:t>
      </w:r>
      <w:r w:rsidRPr="000641B0" w:rsidR="00F51F6D">
        <w:rPr>
          <w:rFonts w:cstheme="minorHAnsi"/>
          <w:bCs/>
          <w:szCs w:val="26"/>
        </w:rPr>
        <w:t xml:space="preserve"> should not be</w:t>
      </w:r>
      <w:r w:rsidRPr="000641B0" w:rsidR="000C3039">
        <w:rPr>
          <w:rFonts w:cstheme="minorHAnsi"/>
          <w:bCs/>
          <w:szCs w:val="26"/>
        </w:rPr>
        <w:t xml:space="preserve"> </w:t>
      </w:r>
      <w:r w:rsidRPr="000641B0" w:rsidR="00F51F6D">
        <w:rPr>
          <w:rFonts w:cstheme="minorHAnsi"/>
          <w:bCs/>
          <w:szCs w:val="26"/>
        </w:rPr>
        <w:t>permitted to sit on exculpatory evidence undermining a criminal</w:t>
      </w:r>
      <w:r w:rsidRPr="000641B0" w:rsidR="000C3039">
        <w:rPr>
          <w:rFonts w:cstheme="minorHAnsi"/>
          <w:bCs/>
          <w:szCs w:val="26"/>
        </w:rPr>
        <w:t xml:space="preserve"> </w:t>
      </w:r>
      <w:r w:rsidRPr="000641B0" w:rsidR="00F51F6D">
        <w:rPr>
          <w:rFonts w:cstheme="minorHAnsi"/>
          <w:bCs/>
          <w:szCs w:val="26"/>
        </w:rPr>
        <w:t>defendant’s conviction and hope that the case does not survive the</w:t>
      </w:r>
      <w:r w:rsidRPr="000641B0" w:rsidR="000C3039">
        <w:rPr>
          <w:rFonts w:cstheme="minorHAnsi"/>
          <w:bCs/>
          <w:szCs w:val="26"/>
        </w:rPr>
        <w:t xml:space="preserve"> </w:t>
      </w:r>
      <w:r w:rsidRPr="000641B0" w:rsidR="00F51F6D">
        <w:rPr>
          <w:rFonts w:cstheme="minorHAnsi"/>
          <w:bCs/>
          <w:szCs w:val="26"/>
        </w:rPr>
        <w:t>informal briefing stage.</w:t>
      </w:r>
      <w:r w:rsidRPr="000641B0" w:rsidR="000C3039">
        <w:rPr>
          <w:rFonts w:cstheme="minorHAnsi"/>
          <w:szCs w:val="26"/>
        </w:rPr>
        <w:t>”</w:t>
      </w:r>
      <w:r w:rsidRPr="000641B0" w:rsidR="00D47C7B">
        <w:rPr>
          <w:rFonts w:cstheme="minorHAnsi"/>
          <w:szCs w:val="26"/>
        </w:rPr>
        <w:t xml:space="preserve"> </w:t>
      </w:r>
      <w:r w:rsidRPr="000641B0" w:rsidR="003C45AA">
        <w:rPr>
          <w:rFonts w:cstheme="minorHAnsi"/>
          <w:szCs w:val="26"/>
        </w:rPr>
        <w:t xml:space="preserve"> </w:t>
      </w:r>
      <w:r w:rsidRPr="000641B0" w:rsidR="00D47C7B">
        <w:rPr>
          <w:rFonts w:cstheme="minorHAnsi"/>
          <w:szCs w:val="26"/>
        </w:rPr>
        <w:t xml:space="preserve">She </w:t>
      </w:r>
      <w:r w:rsidRPr="000641B0" w:rsidR="00A95218">
        <w:rPr>
          <w:rFonts w:cstheme="minorHAnsi"/>
          <w:szCs w:val="26"/>
        </w:rPr>
        <w:t xml:space="preserve">supports her argument by noting “the vast number of unrepresented habeas petitioners,” </w:t>
      </w:r>
      <w:r w:rsidRPr="000641B0" w:rsidR="002D7667">
        <w:rPr>
          <w:rFonts w:cstheme="minorHAnsi"/>
          <w:szCs w:val="26"/>
        </w:rPr>
        <w:t xml:space="preserve">and </w:t>
      </w:r>
      <w:r w:rsidRPr="000641B0" w:rsidR="00D47C7B">
        <w:rPr>
          <w:rFonts w:cstheme="minorHAnsi"/>
          <w:szCs w:val="26"/>
        </w:rPr>
        <w:t>argues that</w:t>
      </w:r>
      <w:r w:rsidRPr="000641B0" w:rsidR="00770942">
        <w:rPr>
          <w:rFonts w:cstheme="minorHAnsi"/>
          <w:szCs w:val="26"/>
        </w:rPr>
        <w:t xml:space="preserve"> a contrary rule would </w:t>
      </w:r>
      <w:r w:rsidRPr="000641B0" w:rsidR="00273CF1">
        <w:rPr>
          <w:rFonts w:cstheme="minorHAnsi"/>
          <w:szCs w:val="26"/>
        </w:rPr>
        <w:t xml:space="preserve">“incentivize </w:t>
      </w:r>
      <w:r w:rsidRPr="000641B0" w:rsidR="005B432B">
        <w:rPr>
          <w:rFonts w:cstheme="minorHAnsi"/>
          <w:szCs w:val="26"/>
        </w:rPr>
        <w:t>continued suppression</w:t>
      </w:r>
      <w:r w:rsidRPr="000641B0" w:rsidR="002D7667">
        <w:rPr>
          <w:rFonts w:cstheme="minorHAnsi"/>
          <w:szCs w:val="26"/>
        </w:rPr>
        <w:t>.</w:t>
      </w:r>
      <w:r w:rsidRPr="000641B0" w:rsidR="005B432B">
        <w:rPr>
          <w:rFonts w:cstheme="minorHAnsi"/>
          <w:szCs w:val="26"/>
        </w:rPr>
        <w:t>”</w:t>
      </w:r>
      <w:r w:rsidRPr="000641B0" w:rsidR="002D7667">
        <w:rPr>
          <w:rFonts w:cstheme="minorHAnsi"/>
          <w:szCs w:val="26"/>
        </w:rPr>
        <w:t xml:space="preserve"> </w:t>
      </w:r>
      <w:r w:rsidR="009258BA">
        <w:rPr>
          <w:rFonts w:cstheme="minorHAnsi"/>
          <w:szCs w:val="26"/>
        </w:rPr>
        <w:t xml:space="preserve"> </w:t>
      </w:r>
      <w:r w:rsidR="00CA233A">
        <w:rPr>
          <w:rFonts w:cstheme="minorHAnsi"/>
          <w:szCs w:val="26"/>
        </w:rPr>
        <w:t xml:space="preserve">She argues that the mere filing of a petition </w:t>
      </w:r>
      <w:r w:rsidR="00515824">
        <w:rPr>
          <w:rFonts w:cstheme="minorHAnsi"/>
          <w:szCs w:val="26"/>
        </w:rPr>
        <w:t xml:space="preserve">for writ of habeas corpus </w:t>
      </w:r>
      <w:r w:rsidR="00CA233A">
        <w:rPr>
          <w:rFonts w:cstheme="minorHAnsi"/>
          <w:szCs w:val="26"/>
        </w:rPr>
        <w:t xml:space="preserve">alleging a </w:t>
      </w:r>
      <w:r w:rsidR="00CA233A">
        <w:rPr>
          <w:rFonts w:cstheme="minorHAnsi"/>
          <w:i/>
          <w:iCs/>
          <w:szCs w:val="26"/>
        </w:rPr>
        <w:t>Brady</w:t>
      </w:r>
      <w:r w:rsidR="00CA233A">
        <w:rPr>
          <w:rFonts w:cstheme="minorHAnsi"/>
          <w:szCs w:val="26"/>
        </w:rPr>
        <w:t xml:space="preserve"> claim requires the Attorney General to disclose the allegedly exculpatory evidence.</w:t>
      </w:r>
    </w:p>
    <w:p w:rsidR="00D541AC" w:rsidRPr="000641B0" w:rsidP="000641B0" w14:paraId="13D5F0F4" w14:textId="26E1E52F">
      <w:pPr>
        <w:ind w:firstLine="720"/>
        <w:rPr>
          <w:rFonts w:cstheme="minorHAnsi"/>
          <w:szCs w:val="26"/>
        </w:rPr>
      </w:pPr>
      <w:r w:rsidRPr="000641B0">
        <w:rPr>
          <w:rFonts w:cstheme="minorHAnsi"/>
          <w:szCs w:val="26"/>
        </w:rPr>
        <w:t>We reject this argument</w:t>
      </w:r>
      <w:r w:rsidRPr="000641B0" w:rsidR="007257D9">
        <w:rPr>
          <w:rFonts w:cstheme="minorHAnsi"/>
          <w:szCs w:val="26"/>
        </w:rPr>
        <w:t xml:space="preserve">.  </w:t>
      </w:r>
      <w:r w:rsidRPr="000641B0" w:rsidR="00157C30">
        <w:rPr>
          <w:rFonts w:cstheme="minorHAnsi"/>
          <w:szCs w:val="26"/>
        </w:rPr>
        <w:t>To begin with</w:t>
      </w:r>
      <w:r w:rsidRPr="000641B0" w:rsidR="00C87D57">
        <w:rPr>
          <w:rFonts w:cstheme="minorHAnsi"/>
          <w:szCs w:val="26"/>
        </w:rPr>
        <w:t xml:space="preserve">, </w:t>
      </w:r>
      <w:r w:rsidRPr="000641B0" w:rsidR="00157C30">
        <w:rPr>
          <w:rFonts w:cstheme="minorHAnsi"/>
          <w:szCs w:val="26"/>
        </w:rPr>
        <w:t>a</w:t>
      </w:r>
      <w:r w:rsidRPr="000641B0" w:rsidR="007257D9">
        <w:rPr>
          <w:rFonts w:cstheme="minorHAnsi"/>
          <w:szCs w:val="26"/>
        </w:rPr>
        <w:t xml:space="preserve"> petitioner’s filing of a petition</w:t>
      </w:r>
      <w:r w:rsidR="00515824">
        <w:rPr>
          <w:rFonts w:cstheme="minorHAnsi"/>
          <w:szCs w:val="26"/>
        </w:rPr>
        <w:t xml:space="preserve"> for writ of habeas corpus</w:t>
      </w:r>
      <w:r w:rsidRPr="000641B0" w:rsidR="007257D9">
        <w:rPr>
          <w:rFonts w:cstheme="minorHAnsi"/>
          <w:szCs w:val="26"/>
        </w:rPr>
        <w:t xml:space="preserve"> </w:t>
      </w:r>
      <w:r w:rsidRPr="000641B0" w:rsidR="007257D9">
        <w:rPr>
          <w:rFonts w:cstheme="minorHAnsi"/>
          <w:i/>
          <w:iCs/>
          <w:szCs w:val="26"/>
        </w:rPr>
        <w:t>alleging</w:t>
      </w:r>
      <w:r w:rsidRPr="000641B0" w:rsidR="007257D9">
        <w:rPr>
          <w:rFonts w:cstheme="minorHAnsi"/>
          <w:szCs w:val="26"/>
        </w:rPr>
        <w:t xml:space="preserve"> a </w:t>
      </w:r>
      <w:r w:rsidRPr="000641B0" w:rsidR="007257D9">
        <w:rPr>
          <w:rFonts w:cstheme="minorHAnsi"/>
          <w:i/>
          <w:iCs/>
          <w:szCs w:val="26"/>
        </w:rPr>
        <w:t>Brady</w:t>
      </w:r>
      <w:r w:rsidRPr="000641B0" w:rsidR="007257D9">
        <w:rPr>
          <w:rFonts w:cstheme="minorHAnsi"/>
          <w:szCs w:val="26"/>
        </w:rPr>
        <w:t xml:space="preserve"> claim, does not establish th</w:t>
      </w:r>
      <w:r w:rsidRPr="000641B0" w:rsidR="00D76BD8">
        <w:rPr>
          <w:rFonts w:cstheme="minorHAnsi"/>
          <w:szCs w:val="26"/>
        </w:rPr>
        <w:t xml:space="preserve">e </w:t>
      </w:r>
      <w:r w:rsidRPr="000641B0" w:rsidR="00D76BD8">
        <w:rPr>
          <w:rFonts w:cstheme="minorHAnsi"/>
          <w:i/>
          <w:iCs/>
          <w:szCs w:val="26"/>
        </w:rPr>
        <w:t>existence</w:t>
      </w:r>
      <w:r w:rsidRPr="000641B0" w:rsidR="00D76BD8">
        <w:rPr>
          <w:rFonts w:cstheme="minorHAnsi"/>
          <w:szCs w:val="26"/>
        </w:rPr>
        <w:t xml:space="preserve"> of </w:t>
      </w:r>
      <w:r w:rsidRPr="000641B0" w:rsidR="000B1D73">
        <w:rPr>
          <w:rFonts w:cstheme="minorHAnsi"/>
          <w:szCs w:val="26"/>
        </w:rPr>
        <w:t xml:space="preserve">any </w:t>
      </w:r>
      <w:r w:rsidRPr="000641B0" w:rsidR="00D76BD8">
        <w:rPr>
          <w:rFonts w:cstheme="minorHAnsi"/>
          <w:szCs w:val="26"/>
        </w:rPr>
        <w:t>exculpatory evidence</w:t>
      </w:r>
      <w:r w:rsidRPr="000641B0" w:rsidR="00157C30">
        <w:rPr>
          <w:rFonts w:cstheme="minorHAnsi"/>
          <w:szCs w:val="26"/>
        </w:rPr>
        <w:t xml:space="preserve">.  Thus, </w:t>
      </w:r>
      <w:r w:rsidR="00844B59">
        <w:rPr>
          <w:rFonts w:cstheme="minorHAnsi"/>
          <w:szCs w:val="26"/>
        </w:rPr>
        <w:t>the analysis depends on</w:t>
      </w:r>
      <w:r w:rsidRPr="000641B0" w:rsidR="009D23CA">
        <w:rPr>
          <w:rFonts w:cstheme="minorHAnsi"/>
          <w:szCs w:val="26"/>
        </w:rPr>
        <w:t xml:space="preserve"> whether the mere </w:t>
      </w:r>
      <w:r w:rsidRPr="000641B0" w:rsidR="009D23CA">
        <w:rPr>
          <w:rFonts w:cstheme="minorHAnsi"/>
          <w:i/>
          <w:iCs/>
          <w:szCs w:val="26"/>
        </w:rPr>
        <w:t>allegation</w:t>
      </w:r>
      <w:r w:rsidRPr="000641B0" w:rsidR="009D23CA">
        <w:rPr>
          <w:rFonts w:cstheme="minorHAnsi"/>
          <w:szCs w:val="26"/>
        </w:rPr>
        <w:t xml:space="preserve"> </w:t>
      </w:r>
      <w:r w:rsidRPr="000641B0" w:rsidR="004B083E">
        <w:rPr>
          <w:rFonts w:cstheme="minorHAnsi"/>
          <w:szCs w:val="26"/>
        </w:rPr>
        <w:t xml:space="preserve">of a </w:t>
      </w:r>
      <w:r w:rsidRPr="000641B0" w:rsidR="004B083E">
        <w:rPr>
          <w:rFonts w:cstheme="minorHAnsi"/>
          <w:i/>
          <w:iCs/>
          <w:szCs w:val="26"/>
        </w:rPr>
        <w:t>Brady</w:t>
      </w:r>
      <w:r w:rsidRPr="000641B0" w:rsidR="004B083E">
        <w:rPr>
          <w:rFonts w:cstheme="minorHAnsi"/>
          <w:szCs w:val="26"/>
        </w:rPr>
        <w:t xml:space="preserve"> violation in a petition</w:t>
      </w:r>
      <w:r w:rsidR="00515824">
        <w:rPr>
          <w:rFonts w:cstheme="minorHAnsi"/>
          <w:szCs w:val="26"/>
        </w:rPr>
        <w:t xml:space="preserve"> for writ of habeas corpus</w:t>
      </w:r>
      <w:r w:rsidRPr="000641B0" w:rsidR="004B083E">
        <w:rPr>
          <w:rFonts w:cstheme="minorHAnsi"/>
          <w:szCs w:val="26"/>
        </w:rPr>
        <w:t xml:space="preserve"> triggers a</w:t>
      </w:r>
      <w:r w:rsidRPr="000641B0" w:rsidR="00835CA2">
        <w:rPr>
          <w:rFonts w:cstheme="minorHAnsi"/>
          <w:szCs w:val="26"/>
        </w:rPr>
        <w:t xml:space="preserve"> respondent’s</w:t>
      </w:r>
      <w:r w:rsidRPr="000641B0" w:rsidR="004B083E">
        <w:rPr>
          <w:rFonts w:cstheme="minorHAnsi"/>
          <w:szCs w:val="26"/>
        </w:rPr>
        <w:t xml:space="preserve"> duty under our habeas </w:t>
      </w:r>
      <w:r w:rsidR="00B85AB1">
        <w:rPr>
          <w:rFonts w:cstheme="minorHAnsi"/>
          <w:szCs w:val="26"/>
        </w:rPr>
        <w:t xml:space="preserve">corpus </w:t>
      </w:r>
      <w:r w:rsidRPr="000641B0" w:rsidR="004B083E">
        <w:rPr>
          <w:rFonts w:cstheme="minorHAnsi"/>
          <w:szCs w:val="26"/>
        </w:rPr>
        <w:t xml:space="preserve">case law to disclose the existence of </w:t>
      </w:r>
      <w:r w:rsidRPr="000641B0" w:rsidR="00B364B2">
        <w:rPr>
          <w:rFonts w:cstheme="minorHAnsi"/>
          <w:szCs w:val="26"/>
        </w:rPr>
        <w:t xml:space="preserve">known </w:t>
      </w:r>
      <w:r w:rsidRPr="000641B0" w:rsidR="004B083E">
        <w:rPr>
          <w:rFonts w:cstheme="minorHAnsi"/>
          <w:szCs w:val="26"/>
        </w:rPr>
        <w:t>evidence underlying such claim.</w:t>
      </w:r>
      <w:r>
        <w:rPr>
          <w:rStyle w:val="FootnoteReference"/>
          <w:rFonts w:cstheme="minorHAnsi"/>
          <w:szCs w:val="26"/>
        </w:rPr>
        <w:footnoteReference w:id="28"/>
      </w:r>
    </w:p>
    <w:p w:rsidR="00D541AC" w:rsidRPr="000641B0" w:rsidP="000641B0" w14:paraId="33EC2688" w14:textId="29F9BF27">
      <w:pPr>
        <w:ind w:firstLine="720"/>
        <w:rPr>
          <w:rFonts w:cstheme="minorHAnsi"/>
          <w:szCs w:val="26"/>
        </w:rPr>
      </w:pPr>
      <w:r w:rsidRPr="000641B0">
        <w:rPr>
          <w:rFonts w:cstheme="minorHAnsi"/>
          <w:szCs w:val="26"/>
        </w:rPr>
        <w:t>The informal response is a judicially created procedure</w:t>
      </w:r>
      <w:r w:rsidRPr="000641B0" w:rsidR="00D51597">
        <w:rPr>
          <w:rFonts w:cstheme="minorHAnsi"/>
          <w:szCs w:val="26"/>
        </w:rPr>
        <w:t xml:space="preserve">.  </w:t>
      </w:r>
      <w:r w:rsidRPr="000641B0">
        <w:rPr>
          <w:rFonts w:cstheme="minorHAnsi"/>
          <w:szCs w:val="26"/>
        </w:rPr>
        <w:t>(</w:t>
      </w:r>
      <w:r w:rsidRPr="000641B0" w:rsidR="00D51597">
        <w:rPr>
          <w:rFonts w:cstheme="minorHAnsi"/>
          <w:szCs w:val="26"/>
        </w:rPr>
        <w:t>S</w:t>
      </w:r>
      <w:r w:rsidRPr="000641B0">
        <w:rPr>
          <w:rFonts w:cstheme="minorHAnsi"/>
          <w:szCs w:val="26"/>
        </w:rPr>
        <w:t xml:space="preserve">ee </w:t>
      </w:r>
      <w:r w:rsidRPr="000641B0" w:rsidR="004F06CC">
        <w:rPr>
          <w:rFonts w:cstheme="minorHAnsi"/>
          <w:i/>
          <w:iCs/>
          <w:szCs w:val="26"/>
        </w:rPr>
        <w:t>Romero</w:t>
      </w:r>
      <w:r w:rsidRPr="000641B0" w:rsidR="004F06CC">
        <w:rPr>
          <w:rFonts w:cstheme="minorHAnsi"/>
          <w:szCs w:val="26"/>
        </w:rPr>
        <w:t>,</w:t>
      </w:r>
      <w:r w:rsidRPr="000641B0" w:rsidR="004F06CC">
        <w:rPr>
          <w:rFonts w:cstheme="minorHAnsi"/>
          <w:i/>
          <w:iCs/>
          <w:szCs w:val="26"/>
        </w:rPr>
        <w:t xml:space="preserve"> supra</w:t>
      </w:r>
      <w:r w:rsidRPr="000641B0" w:rsidR="004F06CC">
        <w:rPr>
          <w:rFonts w:cstheme="minorHAnsi"/>
          <w:szCs w:val="26"/>
        </w:rPr>
        <w:t>,</w:t>
      </w:r>
      <w:r w:rsidRPr="000641B0">
        <w:rPr>
          <w:rFonts w:cstheme="minorHAnsi"/>
          <w:szCs w:val="26"/>
        </w:rPr>
        <w:t xml:space="preserve"> 8 Cal.4th </w:t>
      </w:r>
      <w:r w:rsidRPr="000641B0" w:rsidR="00AF3435">
        <w:rPr>
          <w:rFonts w:cstheme="minorHAnsi"/>
          <w:szCs w:val="26"/>
        </w:rPr>
        <w:t>at pp.</w:t>
      </w:r>
      <w:r w:rsidRPr="000641B0">
        <w:rPr>
          <w:rFonts w:cstheme="minorHAnsi"/>
          <w:szCs w:val="26"/>
        </w:rPr>
        <w:t xml:space="preserve"> 741–</w:t>
      </w:r>
      <w:r w:rsidRPr="000641B0" w:rsidR="00165E4F">
        <w:rPr>
          <w:rFonts w:cstheme="minorHAnsi"/>
          <w:szCs w:val="26"/>
        </w:rPr>
        <w:t>7</w:t>
      </w:r>
      <w:r w:rsidRPr="000641B0">
        <w:rPr>
          <w:rFonts w:cstheme="minorHAnsi"/>
          <w:szCs w:val="26"/>
        </w:rPr>
        <w:t xml:space="preserve">42 [outlining history of the development of the use of informal responses in habeas </w:t>
      </w:r>
      <w:r w:rsidR="00B85AB1">
        <w:rPr>
          <w:rFonts w:cstheme="minorHAnsi"/>
          <w:szCs w:val="26"/>
        </w:rPr>
        <w:t xml:space="preserve">corpus </w:t>
      </w:r>
      <w:r w:rsidRPr="000641B0">
        <w:rPr>
          <w:rFonts w:cstheme="minorHAnsi"/>
          <w:szCs w:val="26"/>
        </w:rPr>
        <w:t>proceedings]</w:t>
      </w:r>
      <w:r w:rsidRPr="000641B0" w:rsidR="00D51597">
        <w:rPr>
          <w:rFonts w:cstheme="minorHAnsi"/>
          <w:szCs w:val="26"/>
        </w:rPr>
        <w:t>.</w:t>
      </w:r>
      <w:r w:rsidRPr="000641B0">
        <w:rPr>
          <w:rFonts w:cstheme="minorHAnsi"/>
          <w:szCs w:val="26"/>
        </w:rPr>
        <w:t>)</w:t>
      </w:r>
      <w:r w:rsidRPr="000641B0" w:rsidR="00D51597">
        <w:rPr>
          <w:rFonts w:cstheme="minorHAnsi"/>
          <w:szCs w:val="26"/>
        </w:rPr>
        <w:t xml:space="preserve">  </w:t>
      </w:r>
      <w:r w:rsidRPr="000641B0" w:rsidR="00FA6829">
        <w:rPr>
          <w:rFonts w:cstheme="minorHAnsi"/>
          <w:szCs w:val="26"/>
        </w:rPr>
        <w:t>W</w:t>
      </w:r>
      <w:r w:rsidRPr="000641B0" w:rsidR="00D51597">
        <w:rPr>
          <w:rFonts w:cstheme="minorHAnsi"/>
          <w:szCs w:val="26"/>
        </w:rPr>
        <w:t xml:space="preserve">e are </w:t>
      </w:r>
      <w:r w:rsidRPr="000641B0" w:rsidR="008D5501">
        <w:rPr>
          <w:rFonts w:cstheme="minorHAnsi"/>
          <w:szCs w:val="26"/>
        </w:rPr>
        <w:t xml:space="preserve">not </w:t>
      </w:r>
      <w:r w:rsidRPr="000641B0" w:rsidR="00D51597">
        <w:rPr>
          <w:rFonts w:cstheme="minorHAnsi"/>
          <w:szCs w:val="26"/>
        </w:rPr>
        <w:t>aware of</w:t>
      </w:r>
      <w:r w:rsidRPr="000641B0" w:rsidR="008D5501">
        <w:rPr>
          <w:rFonts w:cstheme="minorHAnsi"/>
          <w:szCs w:val="26"/>
        </w:rPr>
        <w:t xml:space="preserve"> any</w:t>
      </w:r>
      <w:r w:rsidRPr="000641B0" w:rsidR="00D51597">
        <w:rPr>
          <w:rFonts w:cstheme="minorHAnsi"/>
          <w:szCs w:val="26"/>
        </w:rPr>
        <w:t xml:space="preserve"> case law</w:t>
      </w:r>
      <w:r w:rsidRPr="000641B0" w:rsidR="000A1E70">
        <w:rPr>
          <w:rFonts w:cstheme="minorHAnsi"/>
          <w:szCs w:val="26"/>
        </w:rPr>
        <w:t xml:space="preserve">, and Jenkins cites none, </w:t>
      </w:r>
      <w:r w:rsidRPr="000641B0" w:rsidR="00165E4F">
        <w:rPr>
          <w:rFonts w:cstheme="minorHAnsi"/>
          <w:szCs w:val="26"/>
        </w:rPr>
        <w:t xml:space="preserve">holding </w:t>
      </w:r>
      <w:r w:rsidRPr="000641B0" w:rsidR="00891351">
        <w:rPr>
          <w:rFonts w:cstheme="minorHAnsi"/>
          <w:szCs w:val="26"/>
        </w:rPr>
        <w:t xml:space="preserve">that a respondent must come forward with affirmative evidence </w:t>
      </w:r>
      <w:r w:rsidRPr="000641B0" w:rsidR="00FA6829">
        <w:rPr>
          <w:rFonts w:cstheme="minorHAnsi"/>
          <w:szCs w:val="26"/>
        </w:rPr>
        <w:t>of any kind in an informal response</w:t>
      </w:r>
      <w:r w:rsidRPr="000641B0">
        <w:rPr>
          <w:rFonts w:cstheme="minorHAnsi"/>
          <w:szCs w:val="26"/>
        </w:rPr>
        <w:t>.  (See</w:t>
      </w:r>
      <w:r w:rsidRPr="000641B0" w:rsidR="00933F1B">
        <w:rPr>
          <w:rFonts w:cstheme="minorHAnsi"/>
          <w:szCs w:val="26"/>
        </w:rPr>
        <w:t xml:space="preserve"> </w:t>
      </w:r>
      <w:r w:rsidRPr="000641B0">
        <w:rPr>
          <w:rFonts w:cstheme="minorHAnsi"/>
          <w:i/>
          <w:iCs/>
          <w:szCs w:val="26"/>
        </w:rPr>
        <w:t>I</w:t>
      </w:r>
      <w:bookmarkStart w:id="53" w:name="_Hlk115253992"/>
      <w:r w:rsidRPr="000641B0">
        <w:rPr>
          <w:rFonts w:cstheme="minorHAnsi"/>
          <w:i/>
          <w:iCs/>
          <w:szCs w:val="26"/>
        </w:rPr>
        <w:t>n re Robbins</w:t>
      </w:r>
      <w:r w:rsidRPr="000641B0">
        <w:rPr>
          <w:rFonts w:cstheme="minorHAnsi"/>
          <w:szCs w:val="26"/>
        </w:rPr>
        <w:t xml:space="preserve"> (1998) 18 Cal.4th 770, 798, fn.</w:t>
      </w:r>
      <w:r w:rsidRPr="000641B0" w:rsidR="00165E4F">
        <w:rPr>
          <w:rFonts w:cstheme="minorHAnsi"/>
          <w:szCs w:val="26"/>
        </w:rPr>
        <w:t> </w:t>
      </w:r>
      <w:r w:rsidRPr="000641B0">
        <w:rPr>
          <w:rFonts w:cstheme="minorHAnsi"/>
          <w:szCs w:val="26"/>
        </w:rPr>
        <w:t xml:space="preserve">20 </w:t>
      </w:r>
      <w:bookmarkEnd w:id="53"/>
      <w:r w:rsidRPr="000641B0">
        <w:rPr>
          <w:rFonts w:cstheme="minorHAnsi"/>
          <w:szCs w:val="26"/>
        </w:rPr>
        <w:t>[“Nothing in </w:t>
      </w:r>
      <w:r w:rsidR="00EE0B84">
        <w:rPr>
          <w:rFonts w:cstheme="minorHAnsi"/>
          <w:szCs w:val="26"/>
        </w:rPr>
        <w:t>. . </w:t>
      </w:r>
      <w:r w:rsidR="00ED6477">
        <w:rPr>
          <w:rFonts w:cstheme="minorHAnsi"/>
          <w:szCs w:val="26"/>
        </w:rPr>
        <w:t>. </w:t>
      </w:r>
      <w:r w:rsidRPr="000641B0">
        <w:rPr>
          <w:rFonts w:cstheme="minorHAnsi"/>
          <w:i/>
          <w:iCs/>
          <w:szCs w:val="26"/>
        </w:rPr>
        <w:t>Duvall</w:t>
      </w:r>
      <w:r w:rsidRPr="000641B0" w:rsidR="00D34DF0">
        <w:rPr>
          <w:rFonts w:cstheme="minorHAnsi"/>
          <w:szCs w:val="26"/>
        </w:rPr>
        <w:t xml:space="preserve">, </w:t>
      </w:r>
      <w:r w:rsidRPr="000641B0" w:rsidR="00D34DF0">
        <w:rPr>
          <w:rFonts w:cstheme="minorHAnsi"/>
          <w:i/>
          <w:iCs/>
          <w:szCs w:val="26"/>
        </w:rPr>
        <w:t>supra</w:t>
      </w:r>
      <w:r w:rsidRPr="000641B0" w:rsidR="00D34DF0">
        <w:rPr>
          <w:rFonts w:cstheme="minorHAnsi"/>
          <w:szCs w:val="26"/>
        </w:rPr>
        <w:t xml:space="preserve">, </w:t>
      </w:r>
      <w:r w:rsidRPr="000641B0">
        <w:rPr>
          <w:rFonts w:cstheme="minorHAnsi"/>
          <w:szCs w:val="26"/>
        </w:rPr>
        <w:t xml:space="preserve">9 Cal.4th </w:t>
      </w:r>
      <w:r w:rsidR="00EE0B84">
        <w:rPr>
          <w:rFonts w:cstheme="minorHAnsi"/>
          <w:szCs w:val="26"/>
        </w:rPr>
        <w:t>464, [</w:t>
      </w:r>
      <w:r w:rsidRPr="000641B0" w:rsidR="0076440D">
        <w:rPr>
          <w:rFonts w:cstheme="minorHAnsi"/>
          <w:szCs w:val="26"/>
        </w:rPr>
        <w:t>47</w:t>
      </w:r>
      <w:r w:rsidR="0076440D">
        <w:rPr>
          <w:rFonts w:cstheme="minorHAnsi"/>
          <w:szCs w:val="26"/>
        </w:rPr>
        <w:t>6</w:t>
      </w:r>
      <w:r w:rsidRPr="000641B0">
        <w:rPr>
          <w:rFonts w:cstheme="minorHAnsi"/>
          <w:szCs w:val="26"/>
        </w:rPr>
        <w:t>], suggests, much less holds, that respondent is obligated to provide</w:t>
      </w:r>
      <w:r w:rsidRPr="000641B0" w:rsidR="00165E4F">
        <w:rPr>
          <w:rFonts w:cstheme="minorHAnsi"/>
          <w:szCs w:val="26"/>
        </w:rPr>
        <w:t> </w:t>
      </w:r>
      <w:r w:rsidRPr="000641B0">
        <w:rPr>
          <w:rFonts w:cstheme="minorHAnsi"/>
          <w:szCs w:val="26"/>
        </w:rPr>
        <w:t>.</w:t>
      </w:r>
      <w:r w:rsidRPr="000641B0" w:rsidR="00165E4F">
        <w:rPr>
          <w:rFonts w:cstheme="minorHAnsi"/>
          <w:szCs w:val="26"/>
        </w:rPr>
        <w:t> </w:t>
      </w:r>
      <w:r w:rsidRPr="000641B0">
        <w:rPr>
          <w:rFonts w:cstheme="minorHAnsi"/>
          <w:szCs w:val="26"/>
        </w:rPr>
        <w:t>.</w:t>
      </w:r>
      <w:r w:rsidRPr="000641B0" w:rsidR="00165E4F">
        <w:rPr>
          <w:rFonts w:cstheme="minorHAnsi"/>
          <w:szCs w:val="26"/>
        </w:rPr>
        <w:t> </w:t>
      </w:r>
      <w:r w:rsidRPr="000641B0">
        <w:rPr>
          <w:rFonts w:cstheme="minorHAnsi"/>
          <w:szCs w:val="26"/>
        </w:rPr>
        <w:t>.</w:t>
      </w:r>
      <w:r w:rsidRPr="000641B0" w:rsidR="00165E4F">
        <w:rPr>
          <w:rFonts w:cstheme="minorHAnsi"/>
          <w:szCs w:val="26"/>
        </w:rPr>
        <w:t> </w:t>
      </w:r>
      <w:r w:rsidRPr="000641B0">
        <w:rPr>
          <w:rFonts w:cstheme="minorHAnsi"/>
          <w:szCs w:val="26"/>
        </w:rPr>
        <w:t>documentary evidence in an</w:t>
      </w:r>
      <w:r w:rsidRPr="000641B0" w:rsidR="00165E4F">
        <w:rPr>
          <w:rFonts w:cstheme="minorHAnsi"/>
          <w:szCs w:val="26"/>
        </w:rPr>
        <w:t xml:space="preserve"> </w:t>
      </w:r>
      <w:r w:rsidRPr="000641B0">
        <w:rPr>
          <w:rFonts w:cstheme="minorHAnsi"/>
          <w:szCs w:val="26"/>
        </w:rPr>
        <w:t>informal</w:t>
      </w:r>
      <w:r w:rsidRPr="000641B0" w:rsidR="00165E4F">
        <w:rPr>
          <w:rFonts w:cstheme="minorHAnsi"/>
          <w:szCs w:val="26"/>
        </w:rPr>
        <w:t xml:space="preserve"> </w:t>
      </w:r>
      <w:r w:rsidRPr="000641B0">
        <w:rPr>
          <w:rFonts w:cstheme="minorHAnsi"/>
          <w:szCs w:val="26"/>
        </w:rPr>
        <w:t>response,” that will “</w:t>
      </w:r>
      <w:r w:rsidRPr="000641B0" w:rsidR="005F7082">
        <w:rPr>
          <w:rFonts w:cstheme="minorHAnsi"/>
          <w:szCs w:val="26"/>
        </w:rPr>
        <w:t> </w:t>
      </w:r>
      <w:r w:rsidRPr="000641B0" w:rsidR="00A320F4">
        <w:rPr>
          <w:rFonts w:cstheme="minorHAnsi"/>
          <w:szCs w:val="26"/>
        </w:rPr>
        <w:t>‘</w:t>
      </w:r>
      <w:r w:rsidRPr="000641B0" w:rsidR="005F7082">
        <w:rPr>
          <w:rFonts w:cstheme="minorHAnsi"/>
          <w:szCs w:val="26"/>
        </w:rPr>
        <w:t> </w:t>
      </w:r>
      <w:r w:rsidRPr="000641B0" w:rsidR="00A320F4">
        <w:rPr>
          <w:rFonts w:cstheme="minorHAnsi"/>
          <w:szCs w:val="26"/>
        </w:rPr>
        <w:t>“</w:t>
      </w:r>
      <w:r w:rsidRPr="000641B0">
        <w:rPr>
          <w:rFonts w:cstheme="minorHAnsi"/>
          <w:szCs w:val="26"/>
        </w:rPr>
        <w:t>enable the court to determine which issues are truly disputed</w:t>
      </w:r>
      <w:r w:rsidRPr="000641B0" w:rsidR="00A320F4">
        <w:rPr>
          <w:rFonts w:cstheme="minorHAnsi"/>
          <w:szCs w:val="26"/>
        </w:rPr>
        <w:t>”</w:t>
      </w:r>
      <w:r w:rsidRPr="000641B0" w:rsidR="005F7082">
        <w:rPr>
          <w:rFonts w:cstheme="minorHAnsi"/>
          <w:szCs w:val="26"/>
        </w:rPr>
        <w:t> </w:t>
      </w:r>
      <w:r w:rsidRPr="000641B0" w:rsidR="00A320F4">
        <w:rPr>
          <w:rFonts w:cstheme="minorHAnsi"/>
          <w:szCs w:val="26"/>
        </w:rPr>
        <w:t>’</w:t>
      </w:r>
      <w:r w:rsidRPr="000641B0" w:rsidR="005F7082">
        <w:rPr>
          <w:rFonts w:cstheme="minorHAnsi"/>
          <w:szCs w:val="26"/>
        </w:rPr>
        <w:t> </w:t>
      </w:r>
      <w:r w:rsidRPr="000641B0">
        <w:rPr>
          <w:rFonts w:cstheme="minorHAnsi"/>
          <w:szCs w:val="26"/>
        </w:rPr>
        <w:t>”].)</w:t>
      </w:r>
      <w:r w:rsidRPr="000641B0" w:rsidR="00B516EA">
        <w:rPr>
          <w:rFonts w:cstheme="minorHAnsi"/>
          <w:szCs w:val="26"/>
        </w:rPr>
        <w:t xml:space="preserve">  </w:t>
      </w:r>
      <w:r w:rsidRPr="000641B0">
        <w:rPr>
          <w:rFonts w:cstheme="minorHAnsi"/>
          <w:szCs w:val="26"/>
        </w:rPr>
        <w:t xml:space="preserve">Nor do the relevant rules of court </w:t>
      </w:r>
      <w:r w:rsidRPr="000641B0" w:rsidR="00B516EA">
        <w:rPr>
          <w:rFonts w:cstheme="minorHAnsi"/>
          <w:szCs w:val="26"/>
        </w:rPr>
        <w:t xml:space="preserve">that now </w:t>
      </w:r>
      <w:r w:rsidRPr="000641B0">
        <w:rPr>
          <w:rFonts w:cstheme="minorHAnsi"/>
          <w:szCs w:val="26"/>
        </w:rPr>
        <w:t xml:space="preserve">govern informal responses in habeas </w:t>
      </w:r>
      <w:r w:rsidR="00B85AB1">
        <w:rPr>
          <w:rFonts w:cstheme="minorHAnsi"/>
          <w:szCs w:val="26"/>
        </w:rPr>
        <w:t xml:space="preserve">corpus </w:t>
      </w:r>
      <w:r w:rsidRPr="000641B0">
        <w:rPr>
          <w:rFonts w:cstheme="minorHAnsi"/>
          <w:szCs w:val="26"/>
        </w:rPr>
        <w:t xml:space="preserve">proceedings specify any such duty. </w:t>
      </w:r>
      <w:r w:rsidRPr="000641B0" w:rsidR="00F15B19">
        <w:rPr>
          <w:rFonts w:cstheme="minorHAnsi"/>
          <w:szCs w:val="26"/>
        </w:rPr>
        <w:t xml:space="preserve"> </w:t>
      </w:r>
      <w:r w:rsidRPr="000641B0" w:rsidR="00B516EA">
        <w:rPr>
          <w:rFonts w:cstheme="minorHAnsi"/>
          <w:szCs w:val="26"/>
        </w:rPr>
        <w:t>(</w:t>
      </w:r>
      <w:r w:rsidRPr="000641B0" w:rsidR="00F15B19">
        <w:rPr>
          <w:rFonts w:cstheme="minorHAnsi"/>
          <w:szCs w:val="26"/>
        </w:rPr>
        <w:t>S</w:t>
      </w:r>
      <w:r w:rsidRPr="000641B0" w:rsidR="00B516EA">
        <w:rPr>
          <w:rFonts w:cstheme="minorHAnsi"/>
          <w:szCs w:val="26"/>
        </w:rPr>
        <w:t xml:space="preserve">ee </w:t>
      </w:r>
      <w:r w:rsidRPr="000641B0" w:rsidR="00F15B19">
        <w:rPr>
          <w:rFonts w:cstheme="minorHAnsi"/>
          <w:szCs w:val="26"/>
        </w:rPr>
        <w:t>Cal. Rules of Court, rules 8.385(b), 4.551(b)</w:t>
      </w:r>
      <w:r w:rsidRPr="000641B0" w:rsidR="00285BDD">
        <w:rPr>
          <w:rFonts w:cstheme="minorHAnsi"/>
          <w:szCs w:val="26"/>
        </w:rPr>
        <w:t>,</w:t>
      </w:r>
      <w:r w:rsidRPr="000641B0" w:rsidR="00F15B19">
        <w:rPr>
          <w:rFonts w:cstheme="minorHAnsi"/>
          <w:szCs w:val="26"/>
        </w:rPr>
        <w:t xml:space="preserve"> 4.573(</w:t>
      </w:r>
      <w:r w:rsidR="0076440D">
        <w:rPr>
          <w:rFonts w:cstheme="minorHAnsi"/>
          <w:szCs w:val="26"/>
        </w:rPr>
        <w:t>a</w:t>
      </w:r>
      <w:r w:rsidRPr="000641B0" w:rsidR="00F15B19">
        <w:rPr>
          <w:rFonts w:cstheme="minorHAnsi"/>
          <w:szCs w:val="26"/>
        </w:rPr>
        <w:t>).)</w:t>
      </w:r>
      <w:r w:rsidRPr="000641B0" w:rsidR="00341895">
        <w:rPr>
          <w:rFonts w:cstheme="minorHAnsi"/>
          <w:szCs w:val="26"/>
        </w:rPr>
        <w:t xml:space="preserve">  Further, the “screening function” (</w:t>
      </w:r>
      <w:r w:rsidRPr="000641B0" w:rsidR="00341895">
        <w:rPr>
          <w:rFonts w:cstheme="minorHAnsi"/>
          <w:i/>
          <w:iCs/>
          <w:szCs w:val="26"/>
        </w:rPr>
        <w:t>Romero</w:t>
      </w:r>
      <w:r w:rsidRPr="000641B0" w:rsidR="00341895">
        <w:rPr>
          <w:rFonts w:cstheme="minorHAnsi"/>
          <w:szCs w:val="26"/>
        </w:rPr>
        <w:t>,</w:t>
      </w:r>
      <w:r w:rsidRPr="000641B0" w:rsidR="00341895">
        <w:rPr>
          <w:rFonts w:cstheme="minorHAnsi"/>
          <w:i/>
          <w:iCs/>
          <w:szCs w:val="26"/>
        </w:rPr>
        <w:t xml:space="preserve"> </w:t>
      </w:r>
      <w:r w:rsidRPr="000641B0" w:rsidR="00B43AD9">
        <w:rPr>
          <w:rFonts w:cstheme="minorHAnsi"/>
          <w:szCs w:val="26"/>
        </w:rPr>
        <w:t xml:space="preserve">at </w:t>
      </w:r>
      <w:r w:rsidRPr="000641B0" w:rsidR="00165E4F">
        <w:rPr>
          <w:rFonts w:cstheme="minorHAnsi"/>
          <w:szCs w:val="26"/>
        </w:rPr>
        <w:t>p. </w:t>
      </w:r>
      <w:r w:rsidRPr="000641B0" w:rsidR="00B43AD9">
        <w:rPr>
          <w:rFonts w:cstheme="minorHAnsi"/>
          <w:szCs w:val="26"/>
        </w:rPr>
        <w:t xml:space="preserve">742) that an informal response </w:t>
      </w:r>
      <w:r w:rsidRPr="000641B0" w:rsidR="000F4F01">
        <w:rPr>
          <w:rFonts w:cstheme="minorHAnsi"/>
          <w:szCs w:val="26"/>
        </w:rPr>
        <w:t>serves</w:t>
      </w:r>
      <w:r w:rsidRPr="000641B0" w:rsidR="0023411F">
        <w:rPr>
          <w:rFonts w:cstheme="minorHAnsi"/>
          <w:szCs w:val="26"/>
        </w:rPr>
        <w:t> —</w:t>
      </w:r>
      <w:r w:rsidR="0076440D">
        <w:rPr>
          <w:rFonts w:cstheme="minorHAnsi"/>
          <w:szCs w:val="26"/>
        </w:rPr>
        <w:t xml:space="preserve"> </w:t>
      </w:r>
      <w:r w:rsidRPr="000641B0" w:rsidR="0023411F">
        <w:rPr>
          <w:rFonts w:cstheme="minorHAnsi"/>
          <w:szCs w:val="26"/>
        </w:rPr>
        <w:t xml:space="preserve">allowing for the identification of </w:t>
      </w:r>
      <w:r w:rsidRPr="000641B0" w:rsidR="009B3B54">
        <w:rPr>
          <w:rFonts w:cstheme="minorHAnsi"/>
          <w:szCs w:val="26"/>
        </w:rPr>
        <w:t>facially deficient petitions</w:t>
      </w:r>
      <w:r w:rsidRPr="000641B0" w:rsidR="009F7DA2">
        <w:rPr>
          <w:rFonts w:cstheme="minorHAnsi"/>
          <w:szCs w:val="26"/>
        </w:rPr>
        <w:t> </w:t>
      </w:r>
      <w:r w:rsidRPr="000641B0" w:rsidR="0023411F">
        <w:rPr>
          <w:rFonts w:cstheme="minorHAnsi"/>
          <w:szCs w:val="26"/>
        </w:rPr>
        <w:t>—</w:t>
      </w:r>
      <w:r w:rsidR="0076440D">
        <w:rPr>
          <w:rFonts w:cstheme="minorHAnsi"/>
          <w:szCs w:val="26"/>
        </w:rPr>
        <w:t xml:space="preserve"> </w:t>
      </w:r>
      <w:r w:rsidRPr="000641B0" w:rsidR="009B3B54">
        <w:rPr>
          <w:rFonts w:cstheme="minorHAnsi"/>
          <w:szCs w:val="26"/>
        </w:rPr>
        <w:t>does</w:t>
      </w:r>
      <w:r w:rsidRPr="000641B0" w:rsidR="0023411F">
        <w:rPr>
          <w:rFonts w:cstheme="minorHAnsi"/>
          <w:szCs w:val="26"/>
        </w:rPr>
        <w:t xml:space="preserve"> </w:t>
      </w:r>
      <w:r w:rsidRPr="000641B0" w:rsidR="009B3B54">
        <w:rPr>
          <w:rFonts w:cstheme="minorHAnsi"/>
          <w:szCs w:val="26"/>
        </w:rPr>
        <w:t xml:space="preserve">not support imposing such a duty. </w:t>
      </w:r>
      <w:r w:rsidRPr="000641B0" w:rsidR="00165E4F">
        <w:rPr>
          <w:rFonts w:cstheme="minorHAnsi"/>
          <w:szCs w:val="26"/>
        </w:rPr>
        <w:t xml:space="preserve"> </w:t>
      </w:r>
    </w:p>
    <w:p w:rsidR="00D541AC" w:rsidRPr="000641B0" w:rsidP="000641B0" w14:paraId="0DFA0DC1" w14:textId="530039C5">
      <w:pPr>
        <w:ind w:firstLine="720"/>
        <w:rPr>
          <w:rFonts w:cstheme="minorHAnsi"/>
          <w:szCs w:val="26"/>
        </w:rPr>
      </w:pPr>
      <w:r w:rsidRPr="000641B0">
        <w:rPr>
          <w:rFonts w:cstheme="minorHAnsi"/>
          <w:szCs w:val="26"/>
        </w:rPr>
        <w:t>Therefore, we</w:t>
      </w:r>
      <w:r w:rsidRPr="000641B0" w:rsidR="0045297F">
        <w:rPr>
          <w:rFonts w:cstheme="minorHAnsi"/>
          <w:szCs w:val="26"/>
        </w:rPr>
        <w:t xml:space="preserve"> </w:t>
      </w:r>
      <w:r w:rsidRPr="000641B0" w:rsidR="008A5330">
        <w:rPr>
          <w:rFonts w:cstheme="minorHAnsi"/>
          <w:szCs w:val="26"/>
        </w:rPr>
        <w:t xml:space="preserve">agree with the Attorney General that, </w:t>
      </w:r>
      <w:r w:rsidRPr="000641B0" w:rsidR="008A5330">
        <w:rPr>
          <w:rFonts w:cstheme="minorHAnsi"/>
          <w:i/>
          <w:iCs/>
          <w:szCs w:val="26"/>
        </w:rPr>
        <w:t>prior</w:t>
      </w:r>
      <w:r w:rsidRPr="000641B0" w:rsidR="008A5330">
        <w:rPr>
          <w:rFonts w:cstheme="minorHAnsi"/>
          <w:szCs w:val="26"/>
        </w:rPr>
        <w:t xml:space="preserve"> to the issuance of an order to show cause, </w:t>
      </w:r>
      <w:r w:rsidRPr="000641B0" w:rsidR="009F4474">
        <w:rPr>
          <w:rFonts w:cstheme="minorHAnsi"/>
          <w:szCs w:val="26"/>
        </w:rPr>
        <w:t>in an informal response,</w:t>
      </w:r>
      <w:r w:rsidRPr="000641B0" w:rsidR="008A5330">
        <w:rPr>
          <w:rFonts w:cstheme="minorHAnsi"/>
          <w:szCs w:val="26"/>
        </w:rPr>
        <w:t xml:space="preserve"> respondent may</w:t>
      </w:r>
      <w:r w:rsidRPr="000641B0" w:rsidR="00D1721F">
        <w:rPr>
          <w:rFonts w:cstheme="minorHAnsi"/>
          <w:szCs w:val="26"/>
        </w:rPr>
        <w:t xml:space="preserve"> </w:t>
      </w:r>
      <w:r w:rsidRPr="000641B0" w:rsidR="00B2769B">
        <w:rPr>
          <w:rFonts w:cstheme="minorHAnsi"/>
          <w:szCs w:val="26"/>
        </w:rPr>
        <w:t>choose to neither “confirm nor dispute”</w:t>
      </w:r>
      <w:r w:rsidRPr="000641B0" w:rsidR="004F60C1">
        <w:rPr>
          <w:rFonts w:cstheme="minorHAnsi"/>
          <w:szCs w:val="26"/>
        </w:rPr>
        <w:t xml:space="preserve"> </w:t>
      </w:r>
      <w:r w:rsidRPr="000641B0" w:rsidR="00B2769B">
        <w:rPr>
          <w:rFonts w:cstheme="minorHAnsi"/>
          <w:szCs w:val="26"/>
        </w:rPr>
        <w:t xml:space="preserve">the existence of the </w:t>
      </w:r>
      <w:r w:rsidRPr="000641B0" w:rsidR="000F4F01">
        <w:rPr>
          <w:rFonts w:cstheme="minorHAnsi"/>
          <w:szCs w:val="26"/>
        </w:rPr>
        <w:t xml:space="preserve">alleged </w:t>
      </w:r>
      <w:r w:rsidRPr="000641B0" w:rsidR="000F4F01">
        <w:rPr>
          <w:rFonts w:cstheme="minorHAnsi"/>
          <w:i/>
          <w:iCs/>
          <w:szCs w:val="26"/>
        </w:rPr>
        <w:t>Brady</w:t>
      </w:r>
      <w:r w:rsidRPr="000641B0" w:rsidR="000F4F01">
        <w:rPr>
          <w:rFonts w:cstheme="minorHAnsi"/>
          <w:szCs w:val="26"/>
        </w:rPr>
        <w:t xml:space="preserve"> </w:t>
      </w:r>
      <w:r w:rsidRPr="000641B0" w:rsidR="00B2769B">
        <w:rPr>
          <w:rFonts w:cstheme="minorHAnsi"/>
          <w:szCs w:val="26"/>
        </w:rPr>
        <w:t xml:space="preserve">evidence and may argue </w:t>
      </w:r>
      <w:r w:rsidRPr="000641B0" w:rsidR="003D7E5F">
        <w:rPr>
          <w:rFonts w:cstheme="minorHAnsi"/>
          <w:szCs w:val="26"/>
        </w:rPr>
        <w:t xml:space="preserve">instead </w:t>
      </w:r>
      <w:r w:rsidRPr="000641B0" w:rsidR="00CE6C89">
        <w:rPr>
          <w:rFonts w:cstheme="minorHAnsi"/>
          <w:szCs w:val="26"/>
        </w:rPr>
        <w:t xml:space="preserve">that, assuming the existence of the evidence, </w:t>
      </w:r>
      <w:r w:rsidRPr="000641B0" w:rsidR="00473358">
        <w:rPr>
          <w:rFonts w:cstheme="minorHAnsi"/>
          <w:szCs w:val="26"/>
        </w:rPr>
        <w:t xml:space="preserve">the evidence is not subject to </w:t>
      </w:r>
      <w:r w:rsidRPr="000641B0" w:rsidR="00473358">
        <w:rPr>
          <w:rFonts w:cstheme="minorHAnsi"/>
          <w:i/>
          <w:iCs/>
          <w:szCs w:val="26"/>
        </w:rPr>
        <w:t>Brady</w:t>
      </w:r>
      <w:r w:rsidRPr="000641B0" w:rsidR="00D1721F">
        <w:rPr>
          <w:rFonts w:cstheme="minorHAnsi"/>
          <w:szCs w:val="26"/>
        </w:rPr>
        <w:t>.</w:t>
      </w:r>
      <w:r>
        <w:rPr>
          <w:rStyle w:val="FootnoteReference"/>
          <w:rFonts w:cstheme="minorHAnsi"/>
          <w:szCs w:val="26"/>
        </w:rPr>
        <w:footnoteReference w:id="29"/>
      </w:r>
      <w:r w:rsidRPr="000641B0" w:rsidR="00ED0B5D">
        <w:rPr>
          <w:rFonts w:cstheme="minorHAnsi"/>
          <w:szCs w:val="26"/>
        </w:rPr>
        <w:t xml:space="preserve"> </w:t>
      </w:r>
      <w:r w:rsidRPr="000641B0" w:rsidR="00165E4F">
        <w:rPr>
          <w:rFonts w:cstheme="minorHAnsi"/>
          <w:szCs w:val="26"/>
        </w:rPr>
        <w:t xml:space="preserve"> </w:t>
      </w:r>
      <w:r w:rsidRPr="000641B0" w:rsidR="004F4A64">
        <w:rPr>
          <w:rFonts w:cstheme="minorHAnsi"/>
          <w:szCs w:val="26"/>
        </w:rPr>
        <w:t>Permitting</w:t>
      </w:r>
      <w:r w:rsidRPr="000641B0" w:rsidR="00292917">
        <w:rPr>
          <w:rFonts w:cstheme="minorHAnsi"/>
          <w:szCs w:val="26"/>
        </w:rPr>
        <w:t xml:space="preserve"> respondent to </w:t>
      </w:r>
      <w:r w:rsidRPr="000641B0" w:rsidR="002C203F">
        <w:rPr>
          <w:rFonts w:cstheme="minorHAnsi"/>
          <w:szCs w:val="26"/>
        </w:rPr>
        <w:t>argue in such a fashion</w:t>
      </w:r>
      <w:r w:rsidRPr="000641B0" w:rsidR="00292917">
        <w:rPr>
          <w:rFonts w:cstheme="minorHAnsi"/>
          <w:szCs w:val="26"/>
        </w:rPr>
        <w:t xml:space="preserve"> </w:t>
      </w:r>
      <w:r w:rsidRPr="000641B0" w:rsidR="00C8543A">
        <w:rPr>
          <w:rFonts w:cstheme="minorHAnsi"/>
          <w:szCs w:val="26"/>
        </w:rPr>
        <w:t>should</w:t>
      </w:r>
      <w:r w:rsidRPr="000641B0" w:rsidR="00292917">
        <w:rPr>
          <w:rFonts w:cstheme="minorHAnsi"/>
          <w:szCs w:val="26"/>
        </w:rPr>
        <w:t xml:space="preserve"> not prejudice a </w:t>
      </w:r>
      <w:r w:rsidRPr="000641B0" w:rsidR="00C8543A">
        <w:rPr>
          <w:rFonts w:cstheme="minorHAnsi"/>
          <w:szCs w:val="26"/>
        </w:rPr>
        <w:t xml:space="preserve">habeas </w:t>
      </w:r>
      <w:r w:rsidR="00B85AB1">
        <w:rPr>
          <w:rFonts w:cstheme="minorHAnsi"/>
          <w:szCs w:val="26"/>
        </w:rPr>
        <w:t xml:space="preserve">corpus </w:t>
      </w:r>
      <w:r w:rsidRPr="000641B0" w:rsidR="00C8543A">
        <w:rPr>
          <w:rFonts w:cstheme="minorHAnsi"/>
          <w:szCs w:val="26"/>
        </w:rPr>
        <w:t xml:space="preserve">petitioner </w:t>
      </w:r>
      <w:r w:rsidRPr="000641B0" w:rsidR="0000745B">
        <w:rPr>
          <w:rFonts w:cstheme="minorHAnsi"/>
          <w:szCs w:val="26"/>
        </w:rPr>
        <w:t xml:space="preserve">who </w:t>
      </w:r>
      <w:r w:rsidRPr="000641B0" w:rsidR="00292917">
        <w:rPr>
          <w:rFonts w:cstheme="minorHAnsi"/>
          <w:szCs w:val="26"/>
        </w:rPr>
        <w:t>merely carries a pleading burden</w:t>
      </w:r>
      <w:r w:rsidRPr="000641B0" w:rsidR="002C203F">
        <w:rPr>
          <w:rFonts w:cstheme="minorHAnsi"/>
          <w:szCs w:val="26"/>
        </w:rPr>
        <w:t xml:space="preserve"> </w:t>
      </w:r>
      <w:r w:rsidRPr="000641B0" w:rsidR="00C8543A">
        <w:rPr>
          <w:rFonts w:cstheme="minorHAnsi"/>
          <w:szCs w:val="26"/>
        </w:rPr>
        <w:t>prior to the issuance of an order to show cause.</w:t>
      </w:r>
      <w:r w:rsidRPr="000641B0" w:rsidR="004F4A64">
        <w:rPr>
          <w:rFonts w:cstheme="minorHAnsi"/>
          <w:szCs w:val="26"/>
        </w:rPr>
        <w:t xml:space="preserve">  (</w:t>
      </w:r>
      <w:r w:rsidRPr="000641B0" w:rsidR="00424B3A">
        <w:rPr>
          <w:rFonts w:cstheme="minorHAnsi"/>
          <w:szCs w:val="26"/>
        </w:rPr>
        <w:t xml:space="preserve">See </w:t>
      </w:r>
      <w:r w:rsidRPr="000641B0" w:rsidR="004F4A64">
        <w:rPr>
          <w:rFonts w:cstheme="minorHAnsi"/>
          <w:i/>
          <w:iCs/>
          <w:szCs w:val="26"/>
        </w:rPr>
        <w:t>Duvall</w:t>
      </w:r>
      <w:r w:rsidRPr="000641B0" w:rsidR="004F4A64">
        <w:rPr>
          <w:rFonts w:cstheme="minorHAnsi"/>
          <w:szCs w:val="26"/>
        </w:rPr>
        <w:t xml:space="preserve">, </w:t>
      </w:r>
      <w:r w:rsidRPr="000641B0" w:rsidR="004F4A64">
        <w:rPr>
          <w:rFonts w:cstheme="minorHAnsi"/>
          <w:i/>
          <w:iCs/>
          <w:szCs w:val="26"/>
        </w:rPr>
        <w:t>supra</w:t>
      </w:r>
      <w:r w:rsidRPr="000641B0" w:rsidR="004F4A64">
        <w:rPr>
          <w:rFonts w:cstheme="minorHAnsi"/>
          <w:szCs w:val="26"/>
        </w:rPr>
        <w:t>, 9 Cal.4th at p.</w:t>
      </w:r>
      <w:r w:rsidRPr="000641B0" w:rsidR="00165E4F">
        <w:rPr>
          <w:rFonts w:cstheme="minorHAnsi"/>
          <w:szCs w:val="26"/>
        </w:rPr>
        <w:t> </w:t>
      </w:r>
      <w:r w:rsidRPr="000641B0" w:rsidR="004F4A64">
        <w:rPr>
          <w:rFonts w:cstheme="minorHAnsi"/>
          <w:szCs w:val="26"/>
        </w:rPr>
        <w:t>474</w:t>
      </w:r>
      <w:r w:rsidRPr="000641B0" w:rsidR="00424B3A">
        <w:rPr>
          <w:rFonts w:cstheme="minorHAnsi"/>
          <w:szCs w:val="26"/>
        </w:rPr>
        <w:t xml:space="preserve"> [specifying a habeas</w:t>
      </w:r>
      <w:r w:rsidR="00B85AB1">
        <w:rPr>
          <w:rFonts w:cstheme="minorHAnsi"/>
          <w:szCs w:val="26"/>
        </w:rPr>
        <w:t xml:space="preserve"> corpus</w:t>
      </w:r>
      <w:r w:rsidRPr="000641B0" w:rsidR="00424B3A">
        <w:rPr>
          <w:rFonts w:cstheme="minorHAnsi"/>
          <w:szCs w:val="26"/>
        </w:rPr>
        <w:t xml:space="preserve"> petitioner’s pleading burden].) </w:t>
      </w:r>
    </w:p>
    <w:p w:rsidR="00D541AC" w:rsidRPr="000641B0" w:rsidP="000641B0" w14:paraId="41EF7A7F" w14:textId="7354C4DC">
      <w:pPr>
        <w:ind w:firstLine="720"/>
        <w:rPr>
          <w:rFonts w:cstheme="minorHAnsi"/>
          <w:szCs w:val="26"/>
        </w:rPr>
      </w:pPr>
      <w:r w:rsidRPr="000641B0">
        <w:rPr>
          <w:rFonts w:cstheme="minorHAnsi"/>
          <w:szCs w:val="26"/>
        </w:rPr>
        <w:t>However, given that a</w:t>
      </w:r>
      <w:r w:rsidRPr="000641B0" w:rsidR="00B1591E">
        <w:rPr>
          <w:rFonts w:cstheme="minorHAnsi"/>
          <w:szCs w:val="26"/>
        </w:rPr>
        <w:t xml:space="preserve"> </w:t>
      </w:r>
      <w:r w:rsidRPr="000641B0">
        <w:rPr>
          <w:rFonts w:cstheme="minorHAnsi"/>
          <w:szCs w:val="26"/>
        </w:rPr>
        <w:t xml:space="preserve">court is </w:t>
      </w:r>
      <w:r w:rsidRPr="000641B0" w:rsidR="00D41830">
        <w:rPr>
          <w:rFonts w:cstheme="minorHAnsi"/>
          <w:szCs w:val="26"/>
        </w:rPr>
        <w:t>empowered, after al</w:t>
      </w:r>
      <w:r w:rsidRPr="000641B0" w:rsidR="0012588B">
        <w:rPr>
          <w:rFonts w:cstheme="minorHAnsi"/>
          <w:szCs w:val="26"/>
        </w:rPr>
        <w:t>lowing a petitioner to file a reply to the informal response (</w:t>
      </w:r>
      <w:r w:rsidRPr="000641B0" w:rsidR="00B1591E">
        <w:rPr>
          <w:rFonts w:cstheme="minorHAnsi"/>
          <w:szCs w:val="26"/>
        </w:rPr>
        <w:t xml:space="preserve">see </w:t>
      </w:r>
      <w:r w:rsidRPr="000641B0" w:rsidR="00B1591E">
        <w:rPr>
          <w:rFonts w:cstheme="minorHAnsi"/>
          <w:i/>
          <w:iCs/>
          <w:szCs w:val="26"/>
        </w:rPr>
        <w:t>Romero</w:t>
      </w:r>
      <w:r w:rsidRPr="000641B0" w:rsidR="00B1591E">
        <w:rPr>
          <w:rFonts w:cstheme="minorHAnsi"/>
          <w:szCs w:val="26"/>
        </w:rPr>
        <w:t xml:space="preserve">, </w:t>
      </w:r>
      <w:r w:rsidRPr="000641B0" w:rsidR="00B1591E">
        <w:rPr>
          <w:rFonts w:cstheme="minorHAnsi"/>
          <w:i/>
          <w:iCs/>
          <w:szCs w:val="26"/>
        </w:rPr>
        <w:t>supra</w:t>
      </w:r>
      <w:r w:rsidRPr="000641B0" w:rsidR="00B1591E">
        <w:rPr>
          <w:rFonts w:cstheme="minorHAnsi"/>
          <w:szCs w:val="26"/>
        </w:rPr>
        <w:t>, 8 Cal.4th at p. 74</w:t>
      </w:r>
      <w:r w:rsidRPr="000641B0" w:rsidR="003C6747">
        <w:rPr>
          <w:rFonts w:cstheme="minorHAnsi"/>
          <w:szCs w:val="26"/>
        </w:rPr>
        <w:t>1</w:t>
      </w:r>
      <w:r w:rsidRPr="000641B0" w:rsidR="0012588B">
        <w:rPr>
          <w:rFonts w:cstheme="minorHAnsi"/>
          <w:szCs w:val="26"/>
        </w:rPr>
        <w:t xml:space="preserve">) to </w:t>
      </w:r>
      <w:r w:rsidRPr="000641B0" w:rsidR="00D41830">
        <w:rPr>
          <w:rFonts w:cstheme="minorHAnsi"/>
          <w:szCs w:val="26"/>
        </w:rPr>
        <w:t xml:space="preserve">summarily reject a petition for habeas corpus on the basis of </w:t>
      </w:r>
      <w:r w:rsidRPr="000641B0" w:rsidR="00E228E8">
        <w:rPr>
          <w:rFonts w:cstheme="minorHAnsi"/>
          <w:szCs w:val="26"/>
        </w:rPr>
        <w:t>“</w:t>
      </w:r>
      <w:r w:rsidRPr="000641B0" w:rsidR="00D41830">
        <w:rPr>
          <w:rFonts w:cstheme="minorHAnsi"/>
          <w:i/>
          <w:iCs/>
          <w:szCs w:val="26"/>
        </w:rPr>
        <w:t>fact</w:t>
      </w:r>
      <w:r w:rsidRPr="000641B0" w:rsidR="00E228E8">
        <w:rPr>
          <w:rFonts w:cstheme="minorHAnsi"/>
          <w:i/>
          <w:iCs/>
          <w:szCs w:val="26"/>
        </w:rPr>
        <w:t>ual materials</w:t>
      </w:r>
      <w:r w:rsidRPr="000641B0" w:rsidR="00E228E8">
        <w:rPr>
          <w:rFonts w:cstheme="minorHAnsi"/>
          <w:szCs w:val="26"/>
        </w:rPr>
        <w:t>”</w:t>
      </w:r>
      <w:r w:rsidRPr="000641B0" w:rsidR="00E228E8">
        <w:rPr>
          <w:rFonts w:cstheme="minorHAnsi"/>
          <w:i/>
          <w:iCs/>
          <w:szCs w:val="26"/>
        </w:rPr>
        <w:t xml:space="preserve"> </w:t>
      </w:r>
      <w:r w:rsidRPr="000641B0" w:rsidR="00E228E8">
        <w:rPr>
          <w:rFonts w:cstheme="minorHAnsi"/>
          <w:szCs w:val="26"/>
        </w:rPr>
        <w:t>submitted</w:t>
      </w:r>
      <w:r w:rsidRPr="000641B0" w:rsidR="00D41830">
        <w:rPr>
          <w:rFonts w:cstheme="minorHAnsi"/>
          <w:szCs w:val="26"/>
        </w:rPr>
        <w:t xml:space="preserve"> in an informal response</w:t>
      </w:r>
      <w:r w:rsidRPr="000641B0" w:rsidR="00B1591E">
        <w:rPr>
          <w:rFonts w:cstheme="minorHAnsi"/>
          <w:szCs w:val="26"/>
        </w:rPr>
        <w:t xml:space="preserve"> </w:t>
      </w:r>
      <w:r w:rsidRPr="000641B0" w:rsidR="00D41830">
        <w:rPr>
          <w:rFonts w:cstheme="minorHAnsi"/>
          <w:szCs w:val="26"/>
        </w:rPr>
        <w:t>(</w:t>
      </w:r>
      <w:r w:rsidRPr="000641B0" w:rsidR="00B1591E">
        <w:rPr>
          <w:rFonts w:cstheme="minorHAnsi"/>
          <w:i/>
          <w:iCs/>
          <w:szCs w:val="26"/>
        </w:rPr>
        <w:t>id</w:t>
      </w:r>
      <w:r w:rsidRPr="000641B0" w:rsidR="00B1591E">
        <w:rPr>
          <w:rFonts w:cstheme="minorHAnsi"/>
          <w:szCs w:val="26"/>
        </w:rPr>
        <w:t>.</w:t>
      </w:r>
      <w:r w:rsidR="0076440D">
        <w:rPr>
          <w:rFonts w:cstheme="minorHAnsi"/>
          <w:szCs w:val="26"/>
        </w:rPr>
        <w:t xml:space="preserve"> at p. 742, italics added</w:t>
      </w:r>
      <w:r w:rsidRPr="000641B0" w:rsidR="00B1591E">
        <w:rPr>
          <w:rFonts w:cstheme="minorHAnsi"/>
          <w:szCs w:val="26"/>
        </w:rPr>
        <w:t>)</w:t>
      </w:r>
      <w:r w:rsidRPr="000641B0" w:rsidR="00B10024">
        <w:rPr>
          <w:rFonts w:cstheme="minorHAnsi"/>
          <w:szCs w:val="26"/>
        </w:rPr>
        <w:t xml:space="preserve">, we </w:t>
      </w:r>
      <w:r w:rsidRPr="000641B0" w:rsidR="00E634DA">
        <w:rPr>
          <w:rFonts w:cstheme="minorHAnsi"/>
          <w:szCs w:val="26"/>
        </w:rPr>
        <w:t xml:space="preserve">do impose one restriction on </w:t>
      </w:r>
      <w:r w:rsidRPr="000641B0" w:rsidR="002E5DDA">
        <w:rPr>
          <w:rFonts w:cstheme="minorHAnsi"/>
          <w:szCs w:val="26"/>
        </w:rPr>
        <w:t xml:space="preserve">a respondent’s </w:t>
      </w:r>
      <w:r w:rsidRPr="000641B0" w:rsidR="002747EF">
        <w:rPr>
          <w:rFonts w:cstheme="minorHAnsi"/>
          <w:szCs w:val="26"/>
        </w:rPr>
        <w:t>informal response</w:t>
      </w:r>
      <w:r w:rsidRPr="000641B0" w:rsidR="00762F33">
        <w:rPr>
          <w:rFonts w:cstheme="minorHAnsi"/>
          <w:szCs w:val="26"/>
        </w:rPr>
        <w:t>.  Specifically, we conclude that</w:t>
      </w:r>
      <w:r w:rsidRPr="000641B0" w:rsidR="00F732B8">
        <w:rPr>
          <w:rFonts w:cstheme="minorHAnsi"/>
          <w:szCs w:val="26"/>
        </w:rPr>
        <w:t>,</w:t>
      </w:r>
      <w:r w:rsidRPr="000641B0" w:rsidR="00762F33">
        <w:rPr>
          <w:rFonts w:cstheme="minorHAnsi"/>
          <w:szCs w:val="26"/>
        </w:rPr>
        <w:t xml:space="preserve"> </w:t>
      </w:r>
      <w:r w:rsidRPr="000641B0" w:rsidR="00F732B8">
        <w:rPr>
          <w:rFonts w:cstheme="minorHAnsi"/>
          <w:szCs w:val="26"/>
        </w:rPr>
        <w:t>if the Attorney General has knowledge of</w:t>
      </w:r>
      <w:r w:rsidR="003626F5">
        <w:rPr>
          <w:rFonts w:cstheme="minorHAnsi"/>
          <w:szCs w:val="26"/>
        </w:rPr>
        <w:t>, or is in actual or constructive possession of,</w:t>
      </w:r>
      <w:r w:rsidRPr="000641B0" w:rsidR="00F732B8">
        <w:rPr>
          <w:rFonts w:cstheme="minorHAnsi"/>
          <w:szCs w:val="26"/>
        </w:rPr>
        <w:t xml:space="preserve"> evidence underlying a habeas </w:t>
      </w:r>
      <w:r w:rsidR="00B85AB1">
        <w:rPr>
          <w:rFonts w:cstheme="minorHAnsi"/>
          <w:szCs w:val="26"/>
        </w:rPr>
        <w:t xml:space="preserve">corpus </w:t>
      </w:r>
      <w:r w:rsidRPr="000641B0" w:rsidR="00F732B8">
        <w:rPr>
          <w:rFonts w:cstheme="minorHAnsi"/>
          <w:szCs w:val="26"/>
        </w:rPr>
        <w:t xml:space="preserve">petitioner’s </w:t>
      </w:r>
      <w:r w:rsidRPr="000641B0" w:rsidR="00F732B8">
        <w:rPr>
          <w:rFonts w:cstheme="minorHAnsi"/>
          <w:i/>
          <w:iCs/>
          <w:szCs w:val="26"/>
        </w:rPr>
        <w:t>Brady</w:t>
      </w:r>
      <w:r w:rsidRPr="000641B0" w:rsidR="00F732B8">
        <w:rPr>
          <w:rFonts w:cstheme="minorHAnsi"/>
          <w:szCs w:val="26"/>
        </w:rPr>
        <w:t xml:space="preserve"> claim, he </w:t>
      </w:r>
      <w:r w:rsidRPr="000641B0" w:rsidR="00FA2336">
        <w:rPr>
          <w:rFonts w:cstheme="minorHAnsi"/>
          <w:szCs w:val="26"/>
        </w:rPr>
        <w:t>shall</w:t>
      </w:r>
      <w:r w:rsidRPr="000641B0" w:rsidR="00F732B8">
        <w:rPr>
          <w:rFonts w:cstheme="minorHAnsi"/>
          <w:szCs w:val="26"/>
        </w:rPr>
        <w:t xml:space="preserve"> not file an informal response</w:t>
      </w:r>
      <w:r w:rsidRPr="000641B0" w:rsidR="002E5DDA">
        <w:rPr>
          <w:rFonts w:cstheme="minorHAnsi"/>
          <w:szCs w:val="26"/>
        </w:rPr>
        <w:t xml:space="preserve"> on behalf of respondent</w:t>
      </w:r>
      <w:r w:rsidRPr="000641B0" w:rsidR="00F732B8">
        <w:rPr>
          <w:rFonts w:cstheme="minorHAnsi"/>
          <w:szCs w:val="26"/>
        </w:rPr>
        <w:t xml:space="preserve"> that </w:t>
      </w:r>
      <w:r w:rsidRPr="000641B0" w:rsidR="003C45AA">
        <w:rPr>
          <w:rFonts w:cstheme="minorHAnsi"/>
          <w:szCs w:val="26"/>
        </w:rPr>
        <w:t xml:space="preserve">argues the petitioner has failed to present “documentary evidence supporting the claim” </w:t>
      </w:r>
      <w:r w:rsidRPr="000641B0" w:rsidR="0023259D">
        <w:rPr>
          <w:rFonts w:cstheme="minorHAnsi"/>
          <w:szCs w:val="26"/>
        </w:rPr>
        <w:t>(</w:t>
      </w:r>
      <w:r w:rsidRPr="000641B0" w:rsidR="0023259D">
        <w:rPr>
          <w:rFonts w:cstheme="minorHAnsi"/>
          <w:i/>
          <w:iCs/>
          <w:szCs w:val="26"/>
        </w:rPr>
        <w:t>Duvall</w:t>
      </w:r>
      <w:r w:rsidRPr="000641B0" w:rsidR="0023259D">
        <w:rPr>
          <w:rFonts w:cstheme="minorHAnsi"/>
          <w:szCs w:val="26"/>
        </w:rPr>
        <w:t xml:space="preserve">, </w:t>
      </w:r>
      <w:r w:rsidRPr="000641B0" w:rsidR="0023259D">
        <w:rPr>
          <w:rFonts w:cstheme="minorHAnsi"/>
          <w:i/>
          <w:iCs/>
          <w:szCs w:val="26"/>
        </w:rPr>
        <w:t>supra</w:t>
      </w:r>
      <w:r w:rsidRPr="000641B0" w:rsidR="0023259D">
        <w:rPr>
          <w:rFonts w:cstheme="minorHAnsi"/>
          <w:szCs w:val="26"/>
        </w:rPr>
        <w:t>, 9</w:t>
      </w:r>
      <w:r w:rsidR="00B644E9">
        <w:rPr>
          <w:rFonts w:cstheme="minorHAnsi"/>
          <w:szCs w:val="26"/>
        </w:rPr>
        <w:t> </w:t>
      </w:r>
      <w:r w:rsidRPr="000641B0" w:rsidR="0023259D">
        <w:rPr>
          <w:rFonts w:cstheme="minorHAnsi"/>
          <w:szCs w:val="26"/>
        </w:rPr>
        <w:t>Cal.4th at p.</w:t>
      </w:r>
      <w:r w:rsidRPr="000641B0" w:rsidR="00165E4F">
        <w:rPr>
          <w:rFonts w:cstheme="minorHAnsi"/>
          <w:szCs w:val="26"/>
        </w:rPr>
        <w:t> </w:t>
      </w:r>
      <w:r w:rsidRPr="000641B0" w:rsidR="0023259D">
        <w:rPr>
          <w:rFonts w:cstheme="minorHAnsi"/>
          <w:szCs w:val="26"/>
        </w:rPr>
        <w:t>474)</w:t>
      </w:r>
      <w:r w:rsidRPr="000641B0" w:rsidR="00165E4F">
        <w:rPr>
          <w:rFonts w:cstheme="minorHAnsi"/>
          <w:szCs w:val="26"/>
        </w:rPr>
        <w:t>,</w:t>
      </w:r>
      <w:r w:rsidRPr="000641B0" w:rsidR="0023259D">
        <w:rPr>
          <w:rFonts w:cstheme="minorHAnsi"/>
          <w:szCs w:val="26"/>
        </w:rPr>
        <w:t xml:space="preserve"> </w:t>
      </w:r>
      <w:r w:rsidRPr="000641B0" w:rsidR="00FE28F2">
        <w:rPr>
          <w:rFonts w:cstheme="minorHAnsi"/>
          <w:szCs w:val="26"/>
        </w:rPr>
        <w:t xml:space="preserve">unless </w:t>
      </w:r>
      <w:r w:rsidRPr="000641B0" w:rsidR="00043049">
        <w:rPr>
          <w:rFonts w:cstheme="minorHAnsi"/>
          <w:szCs w:val="26"/>
        </w:rPr>
        <w:t xml:space="preserve">the Attorney General </w:t>
      </w:r>
      <w:r w:rsidRPr="000641B0" w:rsidR="00FE28F2">
        <w:rPr>
          <w:rFonts w:cstheme="minorHAnsi"/>
          <w:szCs w:val="26"/>
        </w:rPr>
        <w:t xml:space="preserve">explains </w:t>
      </w:r>
      <w:r w:rsidRPr="000641B0" w:rsidR="00402E6B">
        <w:rPr>
          <w:rFonts w:cstheme="minorHAnsi"/>
          <w:szCs w:val="26"/>
        </w:rPr>
        <w:t xml:space="preserve">the basis for such </w:t>
      </w:r>
      <w:r w:rsidRPr="000641B0" w:rsidR="0023259D">
        <w:rPr>
          <w:rFonts w:cstheme="minorHAnsi"/>
          <w:szCs w:val="26"/>
        </w:rPr>
        <w:t>an argument</w:t>
      </w:r>
      <w:r w:rsidRPr="000641B0" w:rsidR="0021374C">
        <w:rPr>
          <w:rFonts w:cstheme="minorHAnsi"/>
          <w:szCs w:val="26"/>
        </w:rPr>
        <w:t xml:space="preserve"> (</w:t>
      </w:r>
      <w:r w:rsidRPr="000641B0" w:rsidR="00A90A94">
        <w:rPr>
          <w:rFonts w:cstheme="minorHAnsi"/>
          <w:szCs w:val="26"/>
        </w:rPr>
        <w:t>e.g</w:t>
      </w:r>
      <w:r w:rsidRPr="000641B0" w:rsidR="00100D90">
        <w:rPr>
          <w:rFonts w:cstheme="minorHAnsi"/>
          <w:szCs w:val="26"/>
        </w:rPr>
        <w:t>.</w:t>
      </w:r>
      <w:r w:rsidRPr="000641B0" w:rsidR="00165E4F">
        <w:rPr>
          <w:rFonts w:cstheme="minorHAnsi"/>
          <w:szCs w:val="26"/>
        </w:rPr>
        <w:t>,</w:t>
      </w:r>
      <w:r w:rsidRPr="000641B0" w:rsidR="00100D90">
        <w:rPr>
          <w:rFonts w:cstheme="minorHAnsi"/>
          <w:szCs w:val="26"/>
        </w:rPr>
        <w:t xml:space="preserve"> </w:t>
      </w:r>
      <w:r w:rsidRPr="000641B0" w:rsidR="0021374C">
        <w:rPr>
          <w:rFonts w:cstheme="minorHAnsi"/>
          <w:szCs w:val="26"/>
        </w:rPr>
        <w:t xml:space="preserve">by explaining </w:t>
      </w:r>
      <w:r w:rsidRPr="000641B0" w:rsidR="00A90A94">
        <w:rPr>
          <w:rFonts w:cstheme="minorHAnsi"/>
          <w:szCs w:val="26"/>
        </w:rPr>
        <w:t>that confidentiality provisions prohibit the Attorney General from</w:t>
      </w:r>
      <w:r w:rsidRPr="000641B0" w:rsidR="0021374C">
        <w:rPr>
          <w:rFonts w:cstheme="minorHAnsi"/>
          <w:szCs w:val="26"/>
        </w:rPr>
        <w:t xml:space="preserve"> confirming the exist</w:t>
      </w:r>
      <w:r w:rsidRPr="000641B0" w:rsidR="002F48CE">
        <w:rPr>
          <w:rFonts w:cstheme="minorHAnsi"/>
          <w:szCs w:val="26"/>
        </w:rPr>
        <w:t xml:space="preserve">ence </w:t>
      </w:r>
      <w:r w:rsidRPr="000641B0" w:rsidR="0021374C">
        <w:rPr>
          <w:rFonts w:cstheme="minorHAnsi"/>
          <w:szCs w:val="26"/>
        </w:rPr>
        <w:t>of the evidence</w:t>
      </w:r>
      <w:r w:rsidRPr="000641B0" w:rsidR="009F5D81">
        <w:rPr>
          <w:rFonts w:cstheme="minorHAnsi"/>
          <w:szCs w:val="26"/>
        </w:rPr>
        <w:t xml:space="preserve"> and the petitioner has failed to utilize available </w:t>
      </w:r>
      <w:r w:rsidRPr="000641B0" w:rsidR="006424B8">
        <w:rPr>
          <w:rFonts w:cstheme="minorHAnsi"/>
          <w:szCs w:val="26"/>
        </w:rPr>
        <w:t xml:space="preserve">procedures </w:t>
      </w:r>
      <w:r w:rsidRPr="000641B0" w:rsidR="009F5D81">
        <w:rPr>
          <w:rFonts w:cstheme="minorHAnsi"/>
          <w:szCs w:val="26"/>
        </w:rPr>
        <w:t xml:space="preserve">to seek </w:t>
      </w:r>
      <w:r w:rsidRPr="000641B0" w:rsidR="0012741F">
        <w:rPr>
          <w:rFonts w:cstheme="minorHAnsi"/>
          <w:szCs w:val="26"/>
        </w:rPr>
        <w:t xml:space="preserve">access to </w:t>
      </w:r>
      <w:r w:rsidRPr="000641B0" w:rsidR="009F5D81">
        <w:rPr>
          <w:rFonts w:cstheme="minorHAnsi"/>
          <w:szCs w:val="26"/>
        </w:rPr>
        <w:t>the evidence</w:t>
      </w:r>
      <w:r w:rsidRPr="000641B0" w:rsidR="0021374C">
        <w:rPr>
          <w:rFonts w:cstheme="minorHAnsi"/>
          <w:szCs w:val="26"/>
        </w:rPr>
        <w:t>)</w:t>
      </w:r>
      <w:r w:rsidRPr="000641B0" w:rsidR="00FE28F2">
        <w:rPr>
          <w:rFonts w:cstheme="minorHAnsi"/>
          <w:szCs w:val="26"/>
        </w:rPr>
        <w:t>.</w:t>
      </w:r>
      <w:r>
        <w:rPr>
          <w:rStyle w:val="FootnoteReference"/>
          <w:rFonts w:cstheme="minorHAnsi"/>
          <w:szCs w:val="26"/>
        </w:rPr>
        <w:footnoteReference w:id="30"/>
      </w:r>
      <w:r w:rsidRPr="000641B0" w:rsidR="00FE28F2">
        <w:rPr>
          <w:rFonts w:cstheme="minorHAnsi"/>
          <w:szCs w:val="26"/>
        </w:rPr>
        <w:t xml:space="preserve">  </w:t>
      </w:r>
      <w:r w:rsidRPr="000641B0" w:rsidR="005243FC">
        <w:rPr>
          <w:rFonts w:cstheme="minorHAnsi"/>
          <w:szCs w:val="26"/>
        </w:rPr>
        <w:t>This limited restriction i</w:t>
      </w:r>
      <w:r w:rsidRPr="000641B0" w:rsidR="00234A36">
        <w:rPr>
          <w:rFonts w:cstheme="minorHAnsi"/>
          <w:szCs w:val="26"/>
        </w:rPr>
        <w:t xml:space="preserve">s sufficient to guard against the possibility that a court would summarily reject a petition on the erroneous </w:t>
      </w:r>
      <w:r w:rsidRPr="000641B0" w:rsidR="00AB3A3B">
        <w:rPr>
          <w:rFonts w:cstheme="minorHAnsi"/>
          <w:szCs w:val="26"/>
        </w:rPr>
        <w:t>premise</w:t>
      </w:r>
      <w:r w:rsidRPr="000641B0" w:rsidR="00234A36">
        <w:rPr>
          <w:rFonts w:cstheme="minorHAnsi"/>
          <w:szCs w:val="26"/>
        </w:rPr>
        <w:t xml:space="preserve"> that the evidence does not exist</w:t>
      </w:r>
      <w:r w:rsidRPr="000641B0" w:rsidR="00AB3A3B">
        <w:rPr>
          <w:rFonts w:cstheme="minorHAnsi"/>
          <w:szCs w:val="26"/>
        </w:rPr>
        <w:t>, when in fact the Attorney General has knowledge of the existence of the evidence.</w:t>
      </w:r>
      <w:r w:rsidRPr="000641B0" w:rsidR="00532B7D">
        <w:rPr>
          <w:rFonts w:cstheme="minorHAnsi"/>
          <w:szCs w:val="26"/>
        </w:rPr>
        <w:t xml:space="preserve"> </w:t>
      </w:r>
      <w:r w:rsidRPr="000641B0" w:rsidR="001F2FBE">
        <w:rPr>
          <w:rFonts w:cstheme="minorHAnsi"/>
          <w:szCs w:val="26"/>
        </w:rPr>
        <w:t xml:space="preserve"> </w:t>
      </w:r>
    </w:p>
    <w:p w:rsidR="00D541AC" w:rsidRPr="000641B0" w:rsidP="000641B0" w14:paraId="03BEB4C2" w14:textId="52B3228A">
      <w:pPr>
        <w:ind w:firstLine="720"/>
        <w:rPr>
          <w:rFonts w:cstheme="minorHAnsi"/>
          <w:szCs w:val="26"/>
        </w:rPr>
      </w:pPr>
      <w:r w:rsidRPr="000641B0">
        <w:rPr>
          <w:rFonts w:cstheme="minorHAnsi"/>
          <w:szCs w:val="26"/>
        </w:rPr>
        <w:t xml:space="preserve">However, </w:t>
      </w:r>
      <w:r w:rsidRPr="000641B0" w:rsidR="00F43948">
        <w:rPr>
          <w:rFonts w:cstheme="minorHAnsi"/>
          <w:i/>
          <w:iCs/>
          <w:szCs w:val="26"/>
        </w:rPr>
        <w:t>after</w:t>
      </w:r>
      <w:r w:rsidRPr="000641B0" w:rsidR="00F43948">
        <w:rPr>
          <w:rFonts w:cstheme="minorHAnsi"/>
          <w:szCs w:val="26"/>
        </w:rPr>
        <w:t xml:space="preserve"> the issuance of an order to show cause,</w:t>
      </w:r>
      <w:r w:rsidRPr="000641B0" w:rsidR="001366EE">
        <w:rPr>
          <w:rFonts w:cstheme="minorHAnsi"/>
          <w:szCs w:val="26"/>
        </w:rPr>
        <w:t xml:space="preserve"> different </w:t>
      </w:r>
      <w:r w:rsidRPr="000641B0" w:rsidR="00F119B8">
        <w:rPr>
          <w:rFonts w:cstheme="minorHAnsi"/>
          <w:szCs w:val="26"/>
        </w:rPr>
        <w:t xml:space="preserve">rules apply.  As </w:t>
      </w:r>
      <w:r w:rsidRPr="000641B0" w:rsidR="00980325">
        <w:rPr>
          <w:rFonts w:cstheme="minorHAnsi"/>
          <w:szCs w:val="26"/>
        </w:rPr>
        <w:t>w</w:t>
      </w:r>
      <w:r w:rsidRPr="000641B0" w:rsidR="00503993">
        <w:rPr>
          <w:rFonts w:cstheme="minorHAnsi"/>
          <w:szCs w:val="26"/>
        </w:rPr>
        <w:t>e</w:t>
      </w:r>
      <w:r w:rsidRPr="000641B0" w:rsidR="00980325">
        <w:rPr>
          <w:rFonts w:cstheme="minorHAnsi"/>
          <w:szCs w:val="26"/>
        </w:rPr>
        <w:t xml:space="preserve"> outlined </w:t>
      </w:r>
      <w:r w:rsidRPr="000641B0" w:rsidR="00980325">
        <w:rPr>
          <w:rFonts w:cstheme="minorHAnsi"/>
          <w:i/>
          <w:iCs/>
          <w:szCs w:val="26"/>
        </w:rPr>
        <w:t>ante</w:t>
      </w:r>
      <w:r w:rsidRPr="000641B0" w:rsidR="00F119B8">
        <w:rPr>
          <w:rFonts w:cstheme="minorHAnsi"/>
          <w:szCs w:val="26"/>
        </w:rPr>
        <w:t xml:space="preserve">, </w:t>
      </w:r>
      <w:r w:rsidRPr="000641B0" w:rsidR="00757FB4">
        <w:rPr>
          <w:rFonts w:cstheme="minorHAnsi"/>
          <w:i/>
          <w:iCs/>
          <w:szCs w:val="26"/>
        </w:rPr>
        <w:t>Duvall</w:t>
      </w:r>
      <w:r w:rsidRPr="000641B0" w:rsidR="0044094A">
        <w:rPr>
          <w:rFonts w:cstheme="minorHAnsi"/>
          <w:i/>
          <w:iCs/>
          <w:szCs w:val="26"/>
        </w:rPr>
        <w:t xml:space="preserve"> </w:t>
      </w:r>
      <w:r w:rsidRPr="000641B0" w:rsidR="0044094A">
        <w:rPr>
          <w:rFonts w:cstheme="minorHAnsi"/>
          <w:szCs w:val="26"/>
        </w:rPr>
        <w:t>requires a</w:t>
      </w:r>
      <w:r w:rsidRPr="000641B0" w:rsidR="00FE0C85">
        <w:rPr>
          <w:rFonts w:cstheme="minorHAnsi"/>
          <w:szCs w:val="26"/>
        </w:rPr>
        <w:t xml:space="preserve"> respondent to </w:t>
      </w:r>
      <w:r w:rsidRPr="000641B0" w:rsidR="00DA2BB7">
        <w:rPr>
          <w:rFonts w:cstheme="minorHAnsi"/>
          <w:szCs w:val="26"/>
        </w:rPr>
        <w:t xml:space="preserve">plead </w:t>
      </w:r>
      <w:r w:rsidRPr="000641B0" w:rsidR="00FE0C85">
        <w:rPr>
          <w:rFonts w:cstheme="minorHAnsi"/>
          <w:szCs w:val="26"/>
        </w:rPr>
        <w:t>facts respons</w:t>
      </w:r>
      <w:r w:rsidRPr="000641B0" w:rsidR="00AC337E">
        <w:rPr>
          <w:rFonts w:cstheme="minorHAnsi"/>
          <w:szCs w:val="26"/>
        </w:rPr>
        <w:t>ive</w:t>
      </w:r>
      <w:r w:rsidRPr="000641B0" w:rsidR="00DA2BB7">
        <w:rPr>
          <w:rFonts w:cstheme="minorHAnsi"/>
          <w:szCs w:val="26"/>
        </w:rPr>
        <w:t xml:space="preserve"> </w:t>
      </w:r>
      <w:r w:rsidRPr="000641B0" w:rsidR="00EF585F">
        <w:rPr>
          <w:rFonts w:cstheme="minorHAnsi"/>
          <w:szCs w:val="26"/>
        </w:rPr>
        <w:t xml:space="preserve">to </w:t>
      </w:r>
      <w:r w:rsidRPr="000641B0" w:rsidR="00DA2BB7">
        <w:rPr>
          <w:rFonts w:cstheme="minorHAnsi"/>
          <w:szCs w:val="26"/>
        </w:rPr>
        <w:t>the petitioner’s allegations</w:t>
      </w:r>
      <w:r w:rsidRPr="000641B0" w:rsidR="00976F02">
        <w:rPr>
          <w:rFonts w:cstheme="minorHAnsi"/>
          <w:szCs w:val="26"/>
        </w:rPr>
        <w:t xml:space="preserve">, </w:t>
      </w:r>
      <w:r w:rsidR="00E03591">
        <w:rPr>
          <w:rFonts w:cstheme="minorHAnsi"/>
          <w:szCs w:val="26"/>
        </w:rPr>
        <w:t>including “</w:t>
      </w:r>
      <w:r w:rsidR="00ED224A">
        <w:rPr>
          <w:rFonts w:cstheme="minorHAnsi"/>
          <w:szCs w:val="26"/>
        </w:rPr>
        <w:t> </w:t>
      </w:r>
      <w:r w:rsidR="002359D0">
        <w:rPr>
          <w:rFonts w:cstheme="minorHAnsi"/>
          <w:szCs w:val="26"/>
        </w:rPr>
        <w:t>‘</w:t>
      </w:r>
      <w:r w:rsidR="00C20EA8">
        <w:rPr>
          <w:rFonts w:cstheme="minorHAnsi"/>
          <w:szCs w:val="26"/>
        </w:rPr>
        <w:t>where appropriate,</w:t>
      </w:r>
      <w:r w:rsidR="00D839CE">
        <w:rPr>
          <w:rFonts w:cstheme="minorHAnsi"/>
          <w:szCs w:val="26"/>
        </w:rPr>
        <w:t> </w:t>
      </w:r>
      <w:r w:rsidR="00C20EA8">
        <w:rPr>
          <w:rFonts w:cstheme="minorHAnsi"/>
          <w:szCs w:val="26"/>
        </w:rPr>
        <w:t>.</w:t>
      </w:r>
      <w:r w:rsidR="00D839CE">
        <w:rPr>
          <w:rFonts w:cstheme="minorHAnsi"/>
          <w:szCs w:val="26"/>
        </w:rPr>
        <w:t> </w:t>
      </w:r>
      <w:r w:rsidR="00C20EA8">
        <w:rPr>
          <w:rFonts w:cstheme="minorHAnsi"/>
          <w:szCs w:val="26"/>
        </w:rPr>
        <w:t>.</w:t>
      </w:r>
      <w:r w:rsidR="00D839CE">
        <w:rPr>
          <w:rFonts w:cstheme="minorHAnsi"/>
          <w:szCs w:val="26"/>
        </w:rPr>
        <w:t> </w:t>
      </w:r>
      <w:r w:rsidR="00C20EA8">
        <w:rPr>
          <w:rFonts w:cstheme="minorHAnsi"/>
          <w:szCs w:val="26"/>
        </w:rPr>
        <w:t>.</w:t>
      </w:r>
      <w:r w:rsidR="00D839CE">
        <w:rPr>
          <w:rFonts w:cstheme="minorHAnsi"/>
          <w:szCs w:val="26"/>
        </w:rPr>
        <w:t> </w:t>
      </w:r>
      <w:r w:rsidRPr="00E03591" w:rsidR="00E03591">
        <w:rPr>
          <w:rFonts w:cstheme="minorHAnsi"/>
          <w:szCs w:val="26"/>
        </w:rPr>
        <w:t>provid</w:t>
      </w:r>
      <w:r w:rsidR="00E03591">
        <w:rPr>
          <w:rFonts w:cstheme="minorHAnsi"/>
          <w:szCs w:val="26"/>
        </w:rPr>
        <w:t>[ing]</w:t>
      </w:r>
      <w:r w:rsidRPr="00E03591" w:rsidR="00E03591">
        <w:rPr>
          <w:rFonts w:cstheme="minorHAnsi"/>
          <w:szCs w:val="26"/>
        </w:rPr>
        <w:t xml:space="preserve"> such documentary evidence, affidavits, or other materials </w:t>
      </w:r>
      <w:r w:rsidRPr="00F55F90" w:rsidR="00E03591">
        <w:rPr>
          <w:rFonts w:cstheme="minorHAnsi"/>
          <w:szCs w:val="26"/>
        </w:rPr>
        <w:t>as will enable the court to determine which issues are truly disputed</w:t>
      </w:r>
      <w:r w:rsidRPr="00E03591" w:rsidR="00E03591">
        <w:rPr>
          <w:rFonts w:cstheme="minorHAnsi"/>
          <w:szCs w:val="26"/>
        </w:rPr>
        <w:t xml:space="preserve">.’ ”  </w:t>
      </w:r>
      <w:r w:rsidRPr="000641B0" w:rsidR="00D2438A">
        <w:rPr>
          <w:rFonts w:cstheme="minorHAnsi"/>
          <w:szCs w:val="26"/>
        </w:rPr>
        <w:t>(</w:t>
      </w:r>
      <w:r w:rsidRPr="000641B0" w:rsidR="00D2438A">
        <w:rPr>
          <w:rFonts w:cstheme="minorHAnsi"/>
          <w:i/>
          <w:iCs/>
          <w:szCs w:val="26"/>
        </w:rPr>
        <w:t>Duvall</w:t>
      </w:r>
      <w:r w:rsidRPr="000641B0" w:rsidR="00D2438A">
        <w:rPr>
          <w:rFonts w:cstheme="minorHAnsi"/>
          <w:szCs w:val="26"/>
        </w:rPr>
        <w:t>,</w:t>
      </w:r>
      <w:r w:rsidRPr="000641B0" w:rsidR="00D2438A">
        <w:rPr>
          <w:rFonts w:cstheme="minorHAnsi"/>
          <w:i/>
          <w:iCs/>
          <w:szCs w:val="26"/>
        </w:rPr>
        <w:t xml:space="preserve"> </w:t>
      </w:r>
      <w:r w:rsidRPr="000641B0" w:rsidR="00DD2E33">
        <w:rPr>
          <w:rFonts w:cstheme="minorHAnsi"/>
          <w:i/>
          <w:iCs/>
          <w:szCs w:val="26"/>
        </w:rPr>
        <w:t>supra</w:t>
      </w:r>
      <w:r w:rsidRPr="000641B0" w:rsidR="00DD2E33">
        <w:rPr>
          <w:rFonts w:cstheme="minorHAnsi"/>
          <w:szCs w:val="26"/>
        </w:rPr>
        <w:t xml:space="preserve">, </w:t>
      </w:r>
      <w:r w:rsidRPr="000641B0" w:rsidR="00D2438A">
        <w:rPr>
          <w:rFonts w:cstheme="minorHAnsi"/>
          <w:szCs w:val="26"/>
        </w:rPr>
        <w:t>9 Cal.4th at p.</w:t>
      </w:r>
      <w:r w:rsidRPr="000641B0" w:rsidR="00165E4F">
        <w:rPr>
          <w:rFonts w:cstheme="minorHAnsi"/>
          <w:szCs w:val="26"/>
        </w:rPr>
        <w:t> </w:t>
      </w:r>
      <w:r w:rsidRPr="000641B0" w:rsidR="00D2438A">
        <w:rPr>
          <w:rFonts w:cstheme="minorHAnsi"/>
          <w:szCs w:val="26"/>
        </w:rPr>
        <w:t>4</w:t>
      </w:r>
      <w:r w:rsidRPr="000641B0" w:rsidR="00DD2E33">
        <w:rPr>
          <w:rFonts w:cstheme="minorHAnsi"/>
          <w:szCs w:val="26"/>
        </w:rPr>
        <w:t>76.)</w:t>
      </w:r>
      <w:r w:rsidRPr="000641B0" w:rsidR="00971199">
        <w:rPr>
          <w:rFonts w:cstheme="minorHAnsi"/>
          <w:szCs w:val="26"/>
        </w:rPr>
        <w:t xml:space="preserve">  Thus, as the Attorney General acknowledges, </w:t>
      </w:r>
      <w:r w:rsidRPr="000641B0" w:rsidR="00057742">
        <w:rPr>
          <w:rFonts w:cstheme="minorHAnsi"/>
          <w:szCs w:val="26"/>
        </w:rPr>
        <w:t xml:space="preserve">“This obligation to allege facts would ordinarily include acknowledging the existence of alleged </w:t>
      </w:r>
      <w:r w:rsidRPr="000641B0" w:rsidR="00057742">
        <w:rPr>
          <w:rFonts w:cstheme="minorHAnsi"/>
          <w:i/>
          <w:iCs/>
          <w:szCs w:val="26"/>
        </w:rPr>
        <w:t>Brady</w:t>
      </w:r>
      <w:r w:rsidRPr="000641B0" w:rsidR="00057742">
        <w:rPr>
          <w:rFonts w:cstheme="minorHAnsi"/>
          <w:szCs w:val="26"/>
        </w:rPr>
        <w:t xml:space="preserve"> evidence known to or possessed by the Attorney General.” </w:t>
      </w:r>
      <w:r w:rsidRPr="000641B0" w:rsidR="00165E4F">
        <w:rPr>
          <w:rFonts w:cstheme="minorHAnsi"/>
          <w:szCs w:val="26"/>
        </w:rPr>
        <w:t xml:space="preserve"> </w:t>
      </w:r>
      <w:r w:rsidRPr="000641B0" w:rsidR="00617362">
        <w:rPr>
          <w:rFonts w:cstheme="minorHAnsi"/>
          <w:szCs w:val="26"/>
        </w:rPr>
        <w:t>We agree.</w:t>
      </w:r>
      <w:r w:rsidRPr="000641B0" w:rsidR="006043C4">
        <w:rPr>
          <w:rFonts w:cstheme="minorHAnsi"/>
          <w:szCs w:val="26"/>
        </w:rPr>
        <w:t xml:space="preserve">  </w:t>
      </w:r>
    </w:p>
    <w:p w:rsidR="00D541AC" w:rsidRPr="000641B0" w:rsidP="000641B0" w14:paraId="27D3BFAD" w14:textId="744227BE">
      <w:pPr>
        <w:ind w:firstLine="720"/>
        <w:rPr>
          <w:rFonts w:cstheme="minorHAnsi"/>
          <w:szCs w:val="26"/>
        </w:rPr>
      </w:pPr>
      <w:r w:rsidRPr="000641B0">
        <w:rPr>
          <w:rFonts w:cstheme="minorHAnsi"/>
          <w:szCs w:val="26"/>
        </w:rPr>
        <w:t xml:space="preserve">Thus, for example, </w:t>
      </w:r>
      <w:r w:rsidRPr="000641B0" w:rsidR="00424280">
        <w:rPr>
          <w:rFonts w:cstheme="minorHAnsi"/>
          <w:szCs w:val="26"/>
        </w:rPr>
        <w:t xml:space="preserve">if a habeas </w:t>
      </w:r>
      <w:r w:rsidR="00B85AB1">
        <w:rPr>
          <w:rFonts w:cstheme="minorHAnsi"/>
          <w:szCs w:val="26"/>
        </w:rPr>
        <w:t xml:space="preserve">corpus </w:t>
      </w:r>
      <w:r w:rsidRPr="000641B0" w:rsidR="00424280">
        <w:rPr>
          <w:rFonts w:cstheme="minorHAnsi"/>
          <w:szCs w:val="26"/>
        </w:rPr>
        <w:t>petitioner allege</w:t>
      </w:r>
      <w:r w:rsidRPr="000641B0" w:rsidR="00010C52">
        <w:rPr>
          <w:rFonts w:cstheme="minorHAnsi"/>
          <w:szCs w:val="26"/>
        </w:rPr>
        <w:t>d</w:t>
      </w:r>
      <w:r w:rsidRPr="000641B0" w:rsidR="00424280">
        <w:rPr>
          <w:rFonts w:cstheme="minorHAnsi"/>
          <w:szCs w:val="26"/>
        </w:rPr>
        <w:t xml:space="preserve"> that a prosecution witness had a prior conviction that was suppressed </w:t>
      </w:r>
      <w:r w:rsidRPr="000641B0" w:rsidR="00845403">
        <w:rPr>
          <w:rFonts w:cstheme="minorHAnsi"/>
          <w:szCs w:val="26"/>
        </w:rPr>
        <w:t xml:space="preserve">at trial </w:t>
      </w:r>
      <w:r w:rsidRPr="000641B0" w:rsidR="00424280">
        <w:rPr>
          <w:rFonts w:cstheme="minorHAnsi"/>
          <w:szCs w:val="26"/>
        </w:rPr>
        <w:t xml:space="preserve">under </w:t>
      </w:r>
      <w:r w:rsidRPr="000641B0" w:rsidR="00424280">
        <w:rPr>
          <w:rFonts w:cstheme="minorHAnsi"/>
          <w:i/>
          <w:iCs/>
          <w:szCs w:val="26"/>
        </w:rPr>
        <w:t>Brady</w:t>
      </w:r>
      <w:r w:rsidRPr="000641B0" w:rsidR="00424280">
        <w:rPr>
          <w:rFonts w:cstheme="minorHAnsi"/>
          <w:szCs w:val="26"/>
        </w:rPr>
        <w:t xml:space="preserve">, </w:t>
      </w:r>
      <w:r w:rsidRPr="000641B0" w:rsidR="00434072">
        <w:rPr>
          <w:rFonts w:cstheme="minorHAnsi"/>
          <w:szCs w:val="26"/>
        </w:rPr>
        <w:t xml:space="preserve">after the issuance of an order to show cause, </w:t>
      </w:r>
      <w:r w:rsidRPr="000641B0" w:rsidR="003E7E94">
        <w:rPr>
          <w:rFonts w:cstheme="minorHAnsi"/>
          <w:szCs w:val="26"/>
        </w:rPr>
        <w:t xml:space="preserve">the Attorney General, on behalf of </w:t>
      </w:r>
      <w:r w:rsidRPr="000641B0" w:rsidR="00154496">
        <w:rPr>
          <w:rFonts w:cstheme="minorHAnsi"/>
          <w:szCs w:val="26"/>
        </w:rPr>
        <w:t>respondent</w:t>
      </w:r>
      <w:r w:rsidRPr="000641B0" w:rsidR="003E7E94">
        <w:rPr>
          <w:rFonts w:cstheme="minorHAnsi"/>
          <w:szCs w:val="26"/>
        </w:rPr>
        <w:t>,</w:t>
      </w:r>
      <w:r w:rsidRPr="000641B0" w:rsidR="00845403">
        <w:rPr>
          <w:rFonts w:cstheme="minorHAnsi"/>
          <w:szCs w:val="26"/>
        </w:rPr>
        <w:t xml:space="preserve"> </w:t>
      </w:r>
      <w:r w:rsidRPr="000641B0" w:rsidR="00424280">
        <w:rPr>
          <w:rFonts w:cstheme="minorHAnsi"/>
          <w:szCs w:val="26"/>
        </w:rPr>
        <w:t xml:space="preserve">would normally be required </w:t>
      </w:r>
      <w:r w:rsidRPr="000641B0" w:rsidR="00752033">
        <w:rPr>
          <w:rFonts w:cstheme="minorHAnsi"/>
          <w:szCs w:val="26"/>
        </w:rPr>
        <w:t xml:space="preserve">to </w:t>
      </w:r>
      <w:r w:rsidRPr="000641B0" w:rsidR="00F45454">
        <w:rPr>
          <w:rFonts w:cstheme="minorHAnsi"/>
          <w:szCs w:val="26"/>
        </w:rPr>
        <w:t xml:space="preserve">file a return that </w:t>
      </w:r>
      <w:r w:rsidRPr="000641B0" w:rsidR="00010C52">
        <w:rPr>
          <w:rFonts w:cstheme="minorHAnsi"/>
          <w:szCs w:val="26"/>
        </w:rPr>
        <w:t xml:space="preserve">either </w:t>
      </w:r>
      <w:r w:rsidRPr="000641B0" w:rsidR="00424280">
        <w:rPr>
          <w:rFonts w:cstheme="minorHAnsi"/>
          <w:szCs w:val="26"/>
        </w:rPr>
        <w:t>admit</w:t>
      </w:r>
      <w:r w:rsidRPr="000641B0" w:rsidR="00F45454">
        <w:rPr>
          <w:rFonts w:cstheme="minorHAnsi"/>
          <w:szCs w:val="26"/>
        </w:rPr>
        <w:t>ted</w:t>
      </w:r>
      <w:r w:rsidRPr="000641B0" w:rsidR="00424280">
        <w:rPr>
          <w:rFonts w:cstheme="minorHAnsi"/>
          <w:szCs w:val="26"/>
        </w:rPr>
        <w:t xml:space="preserve"> or den</w:t>
      </w:r>
      <w:r w:rsidRPr="000641B0" w:rsidR="00F45454">
        <w:rPr>
          <w:rFonts w:cstheme="minorHAnsi"/>
          <w:szCs w:val="26"/>
        </w:rPr>
        <w:t>ied</w:t>
      </w:r>
      <w:r w:rsidRPr="000641B0" w:rsidR="00424280">
        <w:rPr>
          <w:rFonts w:cstheme="minorHAnsi"/>
          <w:szCs w:val="26"/>
        </w:rPr>
        <w:t xml:space="preserve"> the </w:t>
      </w:r>
      <w:r w:rsidRPr="000641B0" w:rsidR="00424280">
        <w:rPr>
          <w:rFonts w:cstheme="minorHAnsi"/>
          <w:i/>
          <w:iCs/>
          <w:szCs w:val="26"/>
        </w:rPr>
        <w:t>existence</w:t>
      </w:r>
      <w:r w:rsidRPr="000641B0" w:rsidR="00424280">
        <w:rPr>
          <w:rFonts w:cstheme="minorHAnsi"/>
          <w:szCs w:val="26"/>
        </w:rPr>
        <w:t xml:space="preserve"> of the prior conviction</w:t>
      </w:r>
      <w:r w:rsidRPr="000641B0" w:rsidR="00845403">
        <w:rPr>
          <w:rFonts w:cstheme="minorHAnsi"/>
          <w:szCs w:val="26"/>
        </w:rPr>
        <w:t>.</w:t>
      </w:r>
      <w:r>
        <w:rPr>
          <w:rStyle w:val="FootnoteReference"/>
          <w:rFonts w:cstheme="minorHAnsi"/>
          <w:szCs w:val="26"/>
        </w:rPr>
        <w:footnoteReference w:id="31"/>
      </w:r>
      <w:r w:rsidRPr="000641B0" w:rsidR="00010C52">
        <w:rPr>
          <w:rFonts w:cstheme="minorHAnsi"/>
          <w:szCs w:val="26"/>
        </w:rPr>
        <w:t xml:space="preserve">  By </w:t>
      </w:r>
      <w:r w:rsidRPr="000641B0" w:rsidR="00226B85">
        <w:rPr>
          <w:rFonts w:cstheme="minorHAnsi"/>
          <w:szCs w:val="26"/>
        </w:rPr>
        <w:t xml:space="preserve">either admitting or denying the </w:t>
      </w:r>
      <w:r w:rsidRPr="000641B0" w:rsidR="00226B85">
        <w:rPr>
          <w:rFonts w:cstheme="minorHAnsi"/>
          <w:i/>
          <w:iCs/>
          <w:szCs w:val="26"/>
        </w:rPr>
        <w:t xml:space="preserve">factual </w:t>
      </w:r>
      <w:r w:rsidRPr="000641B0" w:rsidR="00226B85">
        <w:rPr>
          <w:rFonts w:cstheme="minorHAnsi"/>
          <w:szCs w:val="26"/>
        </w:rPr>
        <w:t xml:space="preserve">basis of the habeas </w:t>
      </w:r>
      <w:r w:rsidR="00B85AB1">
        <w:rPr>
          <w:rFonts w:cstheme="minorHAnsi"/>
          <w:szCs w:val="26"/>
        </w:rPr>
        <w:t xml:space="preserve">corpus </w:t>
      </w:r>
      <w:r w:rsidRPr="000641B0" w:rsidR="00226B85">
        <w:rPr>
          <w:rFonts w:cstheme="minorHAnsi"/>
          <w:szCs w:val="26"/>
        </w:rPr>
        <w:t xml:space="preserve">petitioner’s </w:t>
      </w:r>
      <w:r w:rsidRPr="000641B0" w:rsidR="00226B85">
        <w:rPr>
          <w:rFonts w:cstheme="minorHAnsi"/>
          <w:i/>
          <w:iCs/>
          <w:szCs w:val="26"/>
        </w:rPr>
        <w:t>Brady</w:t>
      </w:r>
      <w:r w:rsidRPr="000641B0" w:rsidR="00226B85">
        <w:rPr>
          <w:rFonts w:cstheme="minorHAnsi"/>
          <w:szCs w:val="26"/>
        </w:rPr>
        <w:t xml:space="preserve"> claim, </w:t>
      </w:r>
      <w:r w:rsidRPr="000641B0" w:rsidR="00154496">
        <w:rPr>
          <w:rFonts w:cstheme="minorHAnsi"/>
          <w:szCs w:val="26"/>
        </w:rPr>
        <w:t>respondent</w:t>
      </w:r>
      <w:r w:rsidRPr="000641B0" w:rsidR="00F15ED9">
        <w:rPr>
          <w:rFonts w:cstheme="minorHAnsi"/>
          <w:szCs w:val="26"/>
        </w:rPr>
        <w:t xml:space="preserve"> </w:t>
      </w:r>
      <w:r w:rsidRPr="000641B0" w:rsidR="00BD6C35">
        <w:rPr>
          <w:rFonts w:cstheme="minorHAnsi"/>
          <w:szCs w:val="26"/>
        </w:rPr>
        <w:t xml:space="preserve">would </w:t>
      </w:r>
      <w:r w:rsidRPr="000641B0" w:rsidR="00F568C1">
        <w:rPr>
          <w:rFonts w:cstheme="minorHAnsi"/>
          <w:szCs w:val="26"/>
        </w:rPr>
        <w:t xml:space="preserve">thereby </w:t>
      </w:r>
      <w:r w:rsidRPr="000641B0" w:rsidR="00BD6C35">
        <w:rPr>
          <w:rFonts w:cstheme="minorHAnsi"/>
          <w:szCs w:val="26"/>
        </w:rPr>
        <w:t xml:space="preserve">“sharpen[] the issues” that remain to be decided in </w:t>
      </w:r>
      <w:r w:rsidRPr="000641B0" w:rsidR="00D802D6">
        <w:rPr>
          <w:rFonts w:cstheme="minorHAnsi"/>
          <w:szCs w:val="26"/>
        </w:rPr>
        <w:t>any evidentiary hearing.</w:t>
      </w:r>
      <w:r>
        <w:rPr>
          <w:rStyle w:val="FootnoteReference"/>
          <w:rFonts w:cstheme="minorHAnsi"/>
          <w:szCs w:val="26"/>
        </w:rPr>
        <w:footnoteReference w:id="32"/>
      </w:r>
      <w:r w:rsidRPr="000641B0" w:rsidR="00D802D6">
        <w:rPr>
          <w:rFonts w:cstheme="minorHAnsi"/>
          <w:szCs w:val="26"/>
        </w:rPr>
        <w:t xml:space="preserve"> </w:t>
      </w:r>
      <w:r w:rsidRPr="000641B0" w:rsidR="001B3810">
        <w:rPr>
          <w:rFonts w:cstheme="minorHAnsi"/>
          <w:szCs w:val="26"/>
        </w:rPr>
        <w:t xml:space="preserve"> (</w:t>
      </w:r>
      <w:r w:rsidRPr="000641B0" w:rsidR="001B3810">
        <w:rPr>
          <w:rFonts w:cstheme="minorHAnsi"/>
          <w:i/>
          <w:iCs/>
          <w:szCs w:val="26"/>
        </w:rPr>
        <w:t>Duvall</w:t>
      </w:r>
      <w:r w:rsidRPr="000641B0" w:rsidR="001B3810">
        <w:rPr>
          <w:rFonts w:cstheme="minorHAnsi"/>
          <w:szCs w:val="26"/>
        </w:rPr>
        <w:t>,</w:t>
      </w:r>
      <w:r w:rsidRPr="000641B0" w:rsidR="001B3810">
        <w:rPr>
          <w:rFonts w:cstheme="minorHAnsi"/>
          <w:i/>
          <w:iCs/>
          <w:szCs w:val="26"/>
        </w:rPr>
        <w:t xml:space="preserve"> supra</w:t>
      </w:r>
      <w:r w:rsidRPr="000641B0" w:rsidR="001B3810">
        <w:rPr>
          <w:rFonts w:cstheme="minorHAnsi"/>
          <w:szCs w:val="26"/>
        </w:rPr>
        <w:t>, 9 Cal.4th at p.</w:t>
      </w:r>
      <w:r w:rsidRPr="000641B0" w:rsidR="004B7161">
        <w:rPr>
          <w:rFonts w:cstheme="minorHAnsi"/>
          <w:szCs w:val="26"/>
        </w:rPr>
        <w:t> </w:t>
      </w:r>
      <w:r w:rsidRPr="000641B0" w:rsidR="001B3810">
        <w:rPr>
          <w:rFonts w:cstheme="minorHAnsi"/>
          <w:szCs w:val="26"/>
        </w:rPr>
        <w:t>480.)</w:t>
      </w:r>
      <w:r w:rsidRPr="000641B0" w:rsidR="00C9628C">
        <w:rPr>
          <w:rFonts w:cstheme="minorHAnsi"/>
          <w:szCs w:val="26"/>
        </w:rPr>
        <w:t xml:space="preserve">  </w:t>
      </w:r>
    </w:p>
    <w:p w:rsidR="00DF2C9D" w:rsidRPr="000641B0" w:rsidP="000641B0" w14:paraId="153A833C" w14:textId="69770D69">
      <w:pPr>
        <w:ind w:firstLine="720"/>
        <w:rPr>
          <w:rFonts w:cstheme="minorHAnsi"/>
          <w:szCs w:val="26"/>
        </w:rPr>
      </w:pPr>
      <w:r w:rsidRPr="000641B0">
        <w:rPr>
          <w:rFonts w:cstheme="minorHAnsi"/>
          <w:szCs w:val="26"/>
        </w:rPr>
        <w:t xml:space="preserve">Accordingly, we conclude that </w:t>
      </w:r>
      <w:r w:rsidRPr="000641B0" w:rsidR="00DC1C90">
        <w:rPr>
          <w:rFonts w:cstheme="minorHAnsi"/>
          <w:i/>
          <w:iCs/>
          <w:szCs w:val="26"/>
        </w:rPr>
        <w:t>prior</w:t>
      </w:r>
      <w:r w:rsidRPr="000641B0" w:rsidR="00DC1C90">
        <w:rPr>
          <w:rFonts w:cstheme="minorHAnsi"/>
          <w:szCs w:val="26"/>
        </w:rPr>
        <w:t xml:space="preserve"> to the issuance of an order to show cause</w:t>
      </w:r>
      <w:r w:rsidRPr="000641B0" w:rsidR="004A3888">
        <w:rPr>
          <w:rFonts w:cstheme="minorHAnsi"/>
          <w:szCs w:val="26"/>
        </w:rPr>
        <w:t xml:space="preserve"> on a petition</w:t>
      </w:r>
      <w:r w:rsidR="00C167F1">
        <w:rPr>
          <w:rFonts w:cstheme="minorHAnsi"/>
          <w:szCs w:val="26"/>
        </w:rPr>
        <w:t xml:space="preserve"> for writ of habeas corpus</w:t>
      </w:r>
      <w:r w:rsidRPr="000641B0" w:rsidR="004A3888">
        <w:rPr>
          <w:rFonts w:cstheme="minorHAnsi"/>
          <w:szCs w:val="26"/>
        </w:rPr>
        <w:t xml:space="preserve"> raising a </w:t>
      </w:r>
      <w:r w:rsidRPr="000641B0" w:rsidR="004A3888">
        <w:rPr>
          <w:rFonts w:cstheme="minorHAnsi"/>
          <w:i/>
          <w:iCs/>
          <w:szCs w:val="26"/>
        </w:rPr>
        <w:t>Brady</w:t>
      </w:r>
      <w:r w:rsidRPr="000641B0" w:rsidR="004A3888">
        <w:rPr>
          <w:rFonts w:cstheme="minorHAnsi"/>
          <w:szCs w:val="26"/>
        </w:rPr>
        <w:t xml:space="preserve"> claim</w:t>
      </w:r>
      <w:r w:rsidRPr="000641B0" w:rsidR="00DC1C90">
        <w:rPr>
          <w:rFonts w:cstheme="minorHAnsi"/>
          <w:szCs w:val="26"/>
        </w:rPr>
        <w:t xml:space="preserve">, the Attorney General </w:t>
      </w:r>
      <w:r w:rsidRPr="000641B0" w:rsidR="0079036B">
        <w:rPr>
          <w:rFonts w:cstheme="minorHAnsi"/>
          <w:szCs w:val="26"/>
        </w:rPr>
        <w:t xml:space="preserve">generally </w:t>
      </w:r>
      <w:r w:rsidRPr="000641B0" w:rsidR="00DC1C90">
        <w:rPr>
          <w:rFonts w:cstheme="minorHAnsi"/>
          <w:szCs w:val="26"/>
        </w:rPr>
        <w:t xml:space="preserve">may </w:t>
      </w:r>
      <w:r w:rsidRPr="000641B0" w:rsidR="00AE22E8">
        <w:rPr>
          <w:rFonts w:cstheme="minorHAnsi"/>
          <w:szCs w:val="26"/>
        </w:rPr>
        <w:t xml:space="preserve">file an informal response on behalf of a </w:t>
      </w:r>
      <w:r w:rsidRPr="000641B0" w:rsidR="00DC1C90">
        <w:rPr>
          <w:rFonts w:cstheme="minorHAnsi"/>
          <w:szCs w:val="26"/>
        </w:rPr>
        <w:t xml:space="preserve">respondent </w:t>
      </w:r>
      <w:r w:rsidRPr="000641B0" w:rsidR="00AE22E8">
        <w:rPr>
          <w:rFonts w:cstheme="minorHAnsi"/>
          <w:szCs w:val="26"/>
        </w:rPr>
        <w:t xml:space="preserve">that </w:t>
      </w:r>
      <w:r w:rsidRPr="000641B0" w:rsidR="00DC1C90">
        <w:rPr>
          <w:rFonts w:cstheme="minorHAnsi"/>
          <w:szCs w:val="26"/>
        </w:rPr>
        <w:t>neither confirm</w:t>
      </w:r>
      <w:r w:rsidRPr="000641B0" w:rsidR="00AE22E8">
        <w:rPr>
          <w:rFonts w:cstheme="minorHAnsi"/>
          <w:szCs w:val="26"/>
        </w:rPr>
        <w:t>s</w:t>
      </w:r>
      <w:r w:rsidRPr="000641B0" w:rsidR="00DC1C90">
        <w:rPr>
          <w:rFonts w:cstheme="minorHAnsi"/>
          <w:szCs w:val="26"/>
        </w:rPr>
        <w:t xml:space="preserve"> nor disput</w:t>
      </w:r>
      <w:r w:rsidRPr="000641B0" w:rsidR="00AE22E8">
        <w:rPr>
          <w:rFonts w:cstheme="minorHAnsi"/>
          <w:szCs w:val="26"/>
        </w:rPr>
        <w:t>es</w:t>
      </w:r>
      <w:r w:rsidRPr="000641B0" w:rsidR="00DC1C90">
        <w:rPr>
          <w:rFonts w:cstheme="minorHAnsi"/>
          <w:szCs w:val="26"/>
        </w:rPr>
        <w:t xml:space="preserve"> the existence of the alleged </w:t>
      </w:r>
      <w:r w:rsidRPr="000641B0" w:rsidR="00DC1C90">
        <w:rPr>
          <w:rFonts w:cstheme="minorHAnsi"/>
          <w:i/>
          <w:iCs/>
          <w:szCs w:val="26"/>
        </w:rPr>
        <w:t>Brady</w:t>
      </w:r>
      <w:r w:rsidRPr="000641B0" w:rsidR="00DC1C90">
        <w:rPr>
          <w:rFonts w:cstheme="minorHAnsi"/>
          <w:szCs w:val="26"/>
        </w:rPr>
        <w:t xml:space="preserve"> evidence</w:t>
      </w:r>
      <w:r w:rsidRPr="000641B0" w:rsidR="0079036B">
        <w:rPr>
          <w:rFonts w:cstheme="minorHAnsi"/>
          <w:szCs w:val="26"/>
        </w:rPr>
        <w:t xml:space="preserve">.  However, the Attorney General </w:t>
      </w:r>
      <w:r w:rsidRPr="00EF1F84" w:rsidR="0079036B">
        <w:rPr>
          <w:rFonts w:cstheme="minorHAnsi"/>
          <w:szCs w:val="26"/>
        </w:rPr>
        <w:t>shall not</w:t>
      </w:r>
      <w:r w:rsidRPr="000641B0" w:rsidR="0079036B">
        <w:rPr>
          <w:rFonts w:cstheme="minorHAnsi"/>
          <w:szCs w:val="26"/>
        </w:rPr>
        <w:t xml:space="preserve"> file an informal response </w:t>
      </w:r>
      <w:r w:rsidRPr="000641B0" w:rsidR="001C57F6">
        <w:rPr>
          <w:rFonts w:cstheme="minorHAnsi"/>
          <w:szCs w:val="26"/>
        </w:rPr>
        <w:t>c</w:t>
      </w:r>
      <w:r w:rsidRPr="000641B0" w:rsidR="00FE4CB4">
        <w:rPr>
          <w:rFonts w:cstheme="minorHAnsi"/>
          <w:szCs w:val="26"/>
        </w:rPr>
        <w:t>ontend</w:t>
      </w:r>
      <w:r w:rsidRPr="000641B0" w:rsidR="006E7A9C">
        <w:rPr>
          <w:rFonts w:cstheme="minorHAnsi"/>
          <w:szCs w:val="26"/>
        </w:rPr>
        <w:t>ing</w:t>
      </w:r>
      <w:r w:rsidRPr="000641B0" w:rsidR="00FE4CB4">
        <w:rPr>
          <w:rFonts w:cstheme="minorHAnsi"/>
          <w:szCs w:val="26"/>
        </w:rPr>
        <w:t xml:space="preserve"> that the petitioner has failed to demonstrate the existence of the evidenc</w:t>
      </w:r>
      <w:r w:rsidRPr="000641B0" w:rsidR="008E5C68">
        <w:rPr>
          <w:rFonts w:cstheme="minorHAnsi"/>
          <w:szCs w:val="26"/>
        </w:rPr>
        <w:t xml:space="preserve">e </w:t>
      </w:r>
      <w:r w:rsidRPr="000641B0" w:rsidR="006E7A9C">
        <w:rPr>
          <w:rFonts w:cstheme="minorHAnsi"/>
          <w:szCs w:val="26"/>
        </w:rPr>
        <w:t>where</w:t>
      </w:r>
      <w:r w:rsidRPr="000641B0" w:rsidR="008E5C68">
        <w:rPr>
          <w:rFonts w:cstheme="minorHAnsi"/>
          <w:szCs w:val="26"/>
        </w:rPr>
        <w:t xml:space="preserve"> the Attorney General </w:t>
      </w:r>
      <w:r w:rsidRPr="000641B0" w:rsidR="002E529F">
        <w:rPr>
          <w:rFonts w:cstheme="minorHAnsi"/>
          <w:szCs w:val="26"/>
        </w:rPr>
        <w:t xml:space="preserve">has knowledge </w:t>
      </w:r>
      <w:r w:rsidRPr="000641B0" w:rsidR="006E7A9C">
        <w:rPr>
          <w:rFonts w:cstheme="minorHAnsi"/>
          <w:szCs w:val="26"/>
        </w:rPr>
        <w:t>of</w:t>
      </w:r>
      <w:r w:rsidR="0087585A">
        <w:rPr>
          <w:rFonts w:cstheme="minorHAnsi"/>
          <w:szCs w:val="26"/>
        </w:rPr>
        <w:t>, or is in actual or constructive possession of,</w:t>
      </w:r>
      <w:r w:rsidRPr="000641B0" w:rsidR="006E7A9C">
        <w:rPr>
          <w:rFonts w:cstheme="minorHAnsi"/>
          <w:szCs w:val="26"/>
        </w:rPr>
        <w:t xml:space="preserve"> the evidence</w:t>
      </w:r>
      <w:r w:rsidR="0087585A">
        <w:rPr>
          <w:rFonts w:cstheme="minorHAnsi"/>
          <w:szCs w:val="26"/>
        </w:rPr>
        <w:t>,</w:t>
      </w:r>
      <w:r w:rsidRPr="000641B0" w:rsidR="006E7A9C">
        <w:rPr>
          <w:rFonts w:cstheme="minorHAnsi"/>
          <w:szCs w:val="26"/>
        </w:rPr>
        <w:t xml:space="preserve"> </w:t>
      </w:r>
      <w:r w:rsidRPr="000641B0" w:rsidR="002E529F">
        <w:rPr>
          <w:rFonts w:cstheme="minorHAnsi"/>
          <w:szCs w:val="26"/>
        </w:rPr>
        <w:t xml:space="preserve">without </w:t>
      </w:r>
      <w:r w:rsidRPr="000641B0" w:rsidR="0028522E">
        <w:rPr>
          <w:rFonts w:cstheme="minorHAnsi"/>
          <w:szCs w:val="26"/>
        </w:rPr>
        <w:t xml:space="preserve">providing </w:t>
      </w:r>
      <w:r w:rsidRPr="000641B0" w:rsidR="002E529F">
        <w:rPr>
          <w:rFonts w:cstheme="minorHAnsi"/>
          <w:szCs w:val="26"/>
        </w:rPr>
        <w:t>a reasoned explanation</w:t>
      </w:r>
      <w:r w:rsidRPr="000641B0" w:rsidR="006E7A9C">
        <w:rPr>
          <w:rFonts w:cstheme="minorHAnsi"/>
          <w:szCs w:val="26"/>
        </w:rPr>
        <w:t xml:space="preserve"> </w:t>
      </w:r>
      <w:r w:rsidRPr="000641B0" w:rsidR="00F458AD">
        <w:rPr>
          <w:rFonts w:cstheme="minorHAnsi"/>
          <w:szCs w:val="26"/>
        </w:rPr>
        <w:t xml:space="preserve">rooted in the </w:t>
      </w:r>
      <w:r w:rsidR="006B30D8">
        <w:rPr>
          <w:rFonts w:cstheme="minorHAnsi"/>
          <w:szCs w:val="26"/>
        </w:rPr>
        <w:t xml:space="preserve">Attorney General’s inability to confirm the existence of the evidence and </w:t>
      </w:r>
      <w:r w:rsidRPr="000641B0" w:rsidR="00F458AD">
        <w:rPr>
          <w:rFonts w:cstheme="minorHAnsi"/>
          <w:szCs w:val="26"/>
        </w:rPr>
        <w:t xml:space="preserve">petitioner’s failure to utilize procedures for obtaining </w:t>
      </w:r>
      <w:r w:rsidRPr="000641B0" w:rsidR="006A34BD">
        <w:rPr>
          <w:rFonts w:cstheme="minorHAnsi"/>
          <w:szCs w:val="26"/>
        </w:rPr>
        <w:t>the</w:t>
      </w:r>
      <w:r w:rsidRPr="000641B0" w:rsidR="00F458AD">
        <w:rPr>
          <w:rFonts w:cstheme="minorHAnsi"/>
          <w:szCs w:val="26"/>
        </w:rPr>
        <w:t xml:space="preserve"> </w:t>
      </w:r>
      <w:r w:rsidRPr="000641B0" w:rsidR="007334FA">
        <w:rPr>
          <w:rFonts w:cstheme="minorHAnsi"/>
          <w:szCs w:val="26"/>
        </w:rPr>
        <w:t>evidence</w:t>
      </w:r>
      <w:r w:rsidRPr="000641B0" w:rsidR="002E529F">
        <w:rPr>
          <w:rFonts w:cstheme="minorHAnsi"/>
          <w:szCs w:val="26"/>
        </w:rPr>
        <w:t>.  Fu</w:t>
      </w:r>
      <w:r w:rsidRPr="000641B0" w:rsidR="004054C6">
        <w:rPr>
          <w:rFonts w:cstheme="minorHAnsi"/>
          <w:szCs w:val="26"/>
        </w:rPr>
        <w:t>r</w:t>
      </w:r>
      <w:r w:rsidRPr="000641B0" w:rsidR="002E529F">
        <w:rPr>
          <w:rFonts w:cstheme="minorHAnsi"/>
          <w:szCs w:val="26"/>
        </w:rPr>
        <w:t>ther, a</w:t>
      </w:r>
      <w:r w:rsidRPr="000641B0" w:rsidR="005208F1">
        <w:rPr>
          <w:rFonts w:cstheme="minorHAnsi"/>
          <w:szCs w:val="26"/>
        </w:rPr>
        <w:t xml:space="preserve">t the </w:t>
      </w:r>
      <w:r w:rsidRPr="000641B0" w:rsidR="005208F1">
        <w:rPr>
          <w:rFonts w:cstheme="minorHAnsi"/>
          <w:i/>
          <w:iCs/>
          <w:szCs w:val="26"/>
        </w:rPr>
        <w:t>return</w:t>
      </w:r>
      <w:r w:rsidRPr="000641B0" w:rsidR="005208F1">
        <w:rPr>
          <w:rFonts w:cstheme="minorHAnsi"/>
          <w:szCs w:val="26"/>
        </w:rPr>
        <w:t xml:space="preserve"> stage</w:t>
      </w:r>
      <w:r w:rsidRPr="000641B0" w:rsidR="00C9628C">
        <w:rPr>
          <w:rFonts w:cstheme="minorHAnsi"/>
          <w:szCs w:val="26"/>
        </w:rPr>
        <w:t xml:space="preserve">, the </w:t>
      </w:r>
      <w:r w:rsidRPr="000641B0" w:rsidR="002E529F">
        <w:rPr>
          <w:rFonts w:cstheme="minorHAnsi"/>
          <w:szCs w:val="26"/>
        </w:rPr>
        <w:t xml:space="preserve">Attorney General, on behalf of the </w:t>
      </w:r>
      <w:r w:rsidRPr="000641B0" w:rsidR="00807C9E">
        <w:rPr>
          <w:rFonts w:cstheme="minorHAnsi"/>
          <w:szCs w:val="26"/>
        </w:rPr>
        <w:t>respondent</w:t>
      </w:r>
      <w:r w:rsidRPr="000641B0" w:rsidR="004054C6">
        <w:rPr>
          <w:rFonts w:cstheme="minorHAnsi"/>
          <w:szCs w:val="26"/>
        </w:rPr>
        <w:t xml:space="preserve">, </w:t>
      </w:r>
      <w:r w:rsidRPr="00EF1F84" w:rsidR="00EF1F84">
        <w:rPr>
          <w:rFonts w:cstheme="minorHAnsi"/>
          <w:szCs w:val="26"/>
        </w:rPr>
        <w:t xml:space="preserve">shall </w:t>
      </w:r>
      <w:r w:rsidRPr="00EF1F84" w:rsidR="00C9628C">
        <w:rPr>
          <w:rFonts w:cstheme="minorHAnsi"/>
          <w:szCs w:val="26"/>
        </w:rPr>
        <w:t>not</w:t>
      </w:r>
      <w:r w:rsidRPr="000641B0" w:rsidR="00C9628C">
        <w:rPr>
          <w:rFonts w:cstheme="minorHAnsi"/>
          <w:szCs w:val="26"/>
        </w:rPr>
        <w:t xml:space="preserve"> </w:t>
      </w:r>
      <w:r w:rsidRPr="000641B0" w:rsidR="0008298B">
        <w:rPr>
          <w:rFonts w:cstheme="minorHAnsi"/>
          <w:szCs w:val="26"/>
        </w:rPr>
        <w:t>persist in</w:t>
      </w:r>
      <w:r w:rsidRPr="000641B0" w:rsidR="005208F1">
        <w:rPr>
          <w:rFonts w:cstheme="minorHAnsi"/>
          <w:szCs w:val="26"/>
        </w:rPr>
        <w:t xml:space="preserve"> raising </w:t>
      </w:r>
      <w:r w:rsidRPr="000641B0" w:rsidR="004A1286">
        <w:rPr>
          <w:rFonts w:cstheme="minorHAnsi"/>
          <w:szCs w:val="26"/>
        </w:rPr>
        <w:t xml:space="preserve">any argument put forth in an informal response that the petitioner </w:t>
      </w:r>
      <w:r w:rsidRPr="000641B0" w:rsidR="00BD3689">
        <w:rPr>
          <w:rFonts w:cstheme="minorHAnsi"/>
          <w:szCs w:val="26"/>
        </w:rPr>
        <w:t>failed to carry</w:t>
      </w:r>
      <w:r w:rsidRPr="000641B0" w:rsidR="004A1286">
        <w:rPr>
          <w:rFonts w:cstheme="minorHAnsi"/>
          <w:szCs w:val="26"/>
        </w:rPr>
        <w:t xml:space="preserve"> </w:t>
      </w:r>
      <w:r w:rsidR="00EE0B84">
        <w:rPr>
          <w:rFonts w:cstheme="minorHAnsi"/>
          <w:szCs w:val="26"/>
        </w:rPr>
        <w:t xml:space="preserve">his or </w:t>
      </w:r>
      <w:r w:rsidRPr="000641B0" w:rsidR="004A1286">
        <w:rPr>
          <w:rFonts w:cstheme="minorHAnsi"/>
          <w:szCs w:val="26"/>
        </w:rPr>
        <w:t>her burden of showing the evidence exists</w:t>
      </w:r>
      <w:r w:rsidRPr="000641B0" w:rsidR="006D113B">
        <w:rPr>
          <w:rFonts w:cstheme="minorHAnsi"/>
          <w:szCs w:val="26"/>
        </w:rPr>
        <w:t xml:space="preserve"> </w:t>
      </w:r>
      <w:r w:rsidRPr="000641B0" w:rsidR="005B5A1D">
        <w:rPr>
          <w:rFonts w:cstheme="minorHAnsi"/>
          <w:szCs w:val="26"/>
        </w:rPr>
        <w:t xml:space="preserve">without </w:t>
      </w:r>
      <w:r w:rsidRPr="000641B0" w:rsidR="00F9517A">
        <w:rPr>
          <w:rFonts w:cstheme="minorHAnsi"/>
          <w:szCs w:val="26"/>
        </w:rPr>
        <w:t xml:space="preserve">providing a reason </w:t>
      </w:r>
      <w:r w:rsidRPr="000641B0" w:rsidR="009A34A8">
        <w:rPr>
          <w:rFonts w:cstheme="minorHAnsi"/>
          <w:szCs w:val="26"/>
        </w:rPr>
        <w:t>for why</w:t>
      </w:r>
      <w:r w:rsidRPr="000641B0" w:rsidR="00F9517A">
        <w:rPr>
          <w:rFonts w:cstheme="minorHAnsi"/>
          <w:szCs w:val="26"/>
        </w:rPr>
        <w:t xml:space="preserve"> </w:t>
      </w:r>
      <w:r w:rsidRPr="000641B0" w:rsidR="00154496">
        <w:rPr>
          <w:rFonts w:cstheme="minorHAnsi"/>
          <w:szCs w:val="26"/>
        </w:rPr>
        <w:t>respondent</w:t>
      </w:r>
      <w:r w:rsidRPr="000641B0" w:rsidR="00F9517A">
        <w:rPr>
          <w:rFonts w:cstheme="minorHAnsi"/>
          <w:szCs w:val="26"/>
        </w:rPr>
        <w:t xml:space="preserve"> is unable to </w:t>
      </w:r>
      <w:r w:rsidRPr="000641B0" w:rsidR="009C1671">
        <w:rPr>
          <w:rFonts w:cstheme="minorHAnsi"/>
          <w:szCs w:val="26"/>
        </w:rPr>
        <w:t>confirm or deny the existence of the evidence (e.g., because the alleged evidence is subject to disclosure prohibitions).</w:t>
      </w:r>
      <w:r>
        <w:rPr>
          <w:rStyle w:val="FootnoteReference"/>
          <w:rFonts w:cstheme="minorHAnsi"/>
          <w:szCs w:val="26"/>
        </w:rPr>
        <w:footnoteReference w:id="33"/>
      </w:r>
      <w:r w:rsidRPr="000641B0" w:rsidR="009C1671">
        <w:rPr>
          <w:rFonts w:cstheme="minorHAnsi"/>
          <w:szCs w:val="26"/>
        </w:rPr>
        <w:t xml:space="preserve"> </w:t>
      </w:r>
    </w:p>
    <w:p w:rsidR="009D1B4C" w:rsidRPr="000641B0" w:rsidP="007649D1" w14:paraId="587FB812" w14:textId="67E9CA06">
      <w:pPr>
        <w:pStyle w:val="Heading2"/>
        <w:keepLines/>
        <w:tabs>
          <w:tab w:val="clear" w:pos="1152"/>
        </w:tabs>
        <w:ind w:left="0" w:firstLine="0"/>
        <w:jc w:val="center"/>
      </w:pPr>
      <w:r w:rsidRPr="000641B0">
        <w:t>D.</w:t>
      </w:r>
    </w:p>
    <w:p w:rsidR="00D541AC" w:rsidRPr="000641B0" w:rsidP="000641B0" w14:paraId="50F66AAD" w14:textId="2930408E">
      <w:pPr>
        <w:ind w:firstLine="720"/>
        <w:rPr>
          <w:rFonts w:cstheme="minorHAnsi"/>
          <w:szCs w:val="26"/>
        </w:rPr>
      </w:pPr>
      <w:bookmarkStart w:id="55" w:name="mainstory"/>
      <w:bookmarkEnd w:id="55"/>
      <w:r w:rsidRPr="000641B0">
        <w:rPr>
          <w:rFonts w:cstheme="minorHAnsi"/>
          <w:szCs w:val="26"/>
        </w:rPr>
        <w:t xml:space="preserve">In his answering brief in this court, the Attorney General points out </w:t>
      </w:r>
      <w:r w:rsidRPr="000641B0" w:rsidR="00181AAA">
        <w:rPr>
          <w:rFonts w:cstheme="minorHAnsi"/>
          <w:szCs w:val="26"/>
        </w:rPr>
        <w:t xml:space="preserve">that the </w:t>
      </w:r>
      <w:r w:rsidRPr="000641B0" w:rsidR="00FC6B4D">
        <w:rPr>
          <w:rFonts w:cstheme="minorHAnsi"/>
          <w:szCs w:val="26"/>
        </w:rPr>
        <w:t>evidence</w:t>
      </w:r>
      <w:r w:rsidRPr="000641B0" w:rsidR="00181AAA">
        <w:rPr>
          <w:rFonts w:cstheme="minorHAnsi"/>
          <w:szCs w:val="26"/>
        </w:rPr>
        <w:t xml:space="preserve"> </w:t>
      </w:r>
      <w:r w:rsidRPr="000641B0" w:rsidR="003F2996">
        <w:rPr>
          <w:rFonts w:cstheme="minorHAnsi"/>
          <w:szCs w:val="26"/>
        </w:rPr>
        <w:t xml:space="preserve">underlying Jenkins’s </w:t>
      </w:r>
      <w:r w:rsidRPr="000641B0" w:rsidR="003F2996">
        <w:rPr>
          <w:rFonts w:cstheme="minorHAnsi"/>
          <w:i/>
          <w:iCs/>
          <w:szCs w:val="26"/>
        </w:rPr>
        <w:t>Brady</w:t>
      </w:r>
      <w:r w:rsidRPr="000641B0" w:rsidR="003F2996">
        <w:rPr>
          <w:rFonts w:cstheme="minorHAnsi"/>
          <w:szCs w:val="26"/>
        </w:rPr>
        <w:t xml:space="preserve"> claim, namely the</w:t>
      </w:r>
      <w:r w:rsidRPr="000641B0" w:rsidR="00871740">
        <w:rPr>
          <w:rFonts w:cstheme="minorHAnsi"/>
          <w:szCs w:val="26"/>
        </w:rPr>
        <w:t xml:space="preserve"> </w:t>
      </w:r>
      <w:r w:rsidRPr="000641B0" w:rsidR="003F2996">
        <w:rPr>
          <w:rFonts w:cstheme="minorHAnsi"/>
          <w:szCs w:val="26"/>
        </w:rPr>
        <w:t xml:space="preserve">juvenile adjudications </w:t>
      </w:r>
      <w:r w:rsidRPr="000641B0" w:rsidR="00E910CB">
        <w:rPr>
          <w:rFonts w:cstheme="minorHAnsi"/>
          <w:szCs w:val="26"/>
        </w:rPr>
        <w:t xml:space="preserve">that </w:t>
      </w:r>
      <w:r w:rsidRPr="000641B0" w:rsidR="003F2996">
        <w:rPr>
          <w:rFonts w:cstheme="minorHAnsi"/>
          <w:szCs w:val="26"/>
        </w:rPr>
        <w:t>Brittneeh and Sade</w:t>
      </w:r>
      <w:r w:rsidRPr="000641B0" w:rsidR="00871740">
        <w:rPr>
          <w:rFonts w:cstheme="minorHAnsi"/>
          <w:szCs w:val="26"/>
        </w:rPr>
        <w:t xml:space="preserve"> allegedly suffered</w:t>
      </w:r>
      <w:r w:rsidRPr="000641B0" w:rsidR="003F2996">
        <w:rPr>
          <w:rFonts w:cstheme="minorHAnsi"/>
          <w:szCs w:val="26"/>
        </w:rPr>
        <w:t xml:space="preserve">, </w:t>
      </w:r>
      <w:r w:rsidRPr="000641B0" w:rsidR="004310A2">
        <w:rPr>
          <w:rFonts w:cstheme="minorHAnsi"/>
          <w:szCs w:val="26"/>
        </w:rPr>
        <w:t xml:space="preserve">are subject to disclosure </w:t>
      </w:r>
      <w:r w:rsidRPr="000641B0" w:rsidR="001451C6">
        <w:rPr>
          <w:rFonts w:cstheme="minorHAnsi"/>
          <w:szCs w:val="26"/>
        </w:rPr>
        <w:t>restrictions contained in</w:t>
      </w:r>
      <w:r w:rsidRPr="000641B0" w:rsidR="004310A2">
        <w:rPr>
          <w:rFonts w:cstheme="minorHAnsi"/>
          <w:szCs w:val="26"/>
        </w:rPr>
        <w:t xml:space="preserve"> Welfare and Institutions Code </w:t>
      </w:r>
      <w:r w:rsidRPr="000641B0" w:rsidR="001451C6">
        <w:rPr>
          <w:rFonts w:cstheme="minorHAnsi"/>
          <w:szCs w:val="26"/>
        </w:rPr>
        <w:t>section 827.</w:t>
      </w:r>
      <w:r>
        <w:rPr>
          <w:rStyle w:val="FootnoteReference"/>
          <w:rFonts w:cstheme="minorHAnsi"/>
          <w:szCs w:val="26"/>
        </w:rPr>
        <w:footnoteReference w:id="34"/>
      </w:r>
      <w:r w:rsidRPr="000641B0" w:rsidR="00922E9E">
        <w:rPr>
          <w:rFonts w:cstheme="minorHAnsi"/>
          <w:szCs w:val="26"/>
        </w:rPr>
        <w:t xml:space="preserve">  </w:t>
      </w:r>
      <w:r w:rsidRPr="000641B0" w:rsidR="00014BDC">
        <w:rPr>
          <w:rFonts w:cstheme="minorHAnsi"/>
          <w:szCs w:val="26"/>
        </w:rPr>
        <w:t xml:space="preserve">In considering the relevance of this fact to the duties discussed in this opinion, </w:t>
      </w:r>
      <w:r w:rsidRPr="000641B0" w:rsidR="00483985">
        <w:rPr>
          <w:rFonts w:cstheme="minorHAnsi"/>
          <w:szCs w:val="26"/>
        </w:rPr>
        <w:t>w</w:t>
      </w:r>
      <w:r w:rsidRPr="000641B0" w:rsidR="005C4A33">
        <w:rPr>
          <w:rFonts w:cstheme="minorHAnsi"/>
          <w:szCs w:val="26"/>
        </w:rPr>
        <w:t xml:space="preserve">e </w:t>
      </w:r>
      <w:r w:rsidRPr="000641B0" w:rsidR="00483985">
        <w:rPr>
          <w:rFonts w:cstheme="minorHAnsi"/>
          <w:szCs w:val="26"/>
        </w:rPr>
        <w:t>first outline</w:t>
      </w:r>
      <w:r w:rsidRPr="000641B0" w:rsidR="00EA110D">
        <w:rPr>
          <w:rFonts w:cstheme="minorHAnsi"/>
          <w:szCs w:val="26"/>
        </w:rPr>
        <w:t xml:space="preserve"> </w:t>
      </w:r>
      <w:r w:rsidRPr="000641B0" w:rsidR="004A7ED6">
        <w:rPr>
          <w:rFonts w:cstheme="minorHAnsi"/>
          <w:szCs w:val="26"/>
        </w:rPr>
        <w:t>the</w:t>
      </w:r>
      <w:r w:rsidRPr="000641B0" w:rsidR="00F171B0">
        <w:rPr>
          <w:rFonts w:cstheme="minorHAnsi"/>
          <w:szCs w:val="26"/>
        </w:rPr>
        <w:t xml:space="preserve"> existing</w:t>
      </w:r>
      <w:r w:rsidRPr="000641B0" w:rsidR="004A7ED6">
        <w:rPr>
          <w:rFonts w:cstheme="minorHAnsi"/>
          <w:szCs w:val="26"/>
        </w:rPr>
        <w:t xml:space="preserve"> law governing the government’s </w:t>
      </w:r>
      <w:r w:rsidRPr="000641B0" w:rsidR="004A7ED6">
        <w:rPr>
          <w:rFonts w:cstheme="minorHAnsi"/>
          <w:i/>
          <w:iCs/>
          <w:szCs w:val="26"/>
        </w:rPr>
        <w:t>Brady</w:t>
      </w:r>
      <w:r w:rsidRPr="000641B0" w:rsidR="004A7ED6">
        <w:rPr>
          <w:rFonts w:cstheme="minorHAnsi"/>
          <w:szCs w:val="26"/>
        </w:rPr>
        <w:t xml:space="preserve"> obligation in the context of confidential records </w:t>
      </w:r>
      <w:r w:rsidRPr="000641B0" w:rsidR="00CA7A75">
        <w:rPr>
          <w:rFonts w:cstheme="minorHAnsi"/>
          <w:szCs w:val="26"/>
        </w:rPr>
        <w:t>protected by Welfare and Institutions Code section 827</w:t>
      </w:r>
      <w:r w:rsidRPr="000641B0" w:rsidR="00483985">
        <w:rPr>
          <w:rFonts w:cstheme="minorHAnsi"/>
          <w:szCs w:val="26"/>
        </w:rPr>
        <w:t xml:space="preserve">. </w:t>
      </w:r>
      <w:r w:rsidRPr="000641B0" w:rsidR="00EB7601">
        <w:rPr>
          <w:rFonts w:cstheme="minorHAnsi"/>
          <w:szCs w:val="26"/>
        </w:rPr>
        <w:t xml:space="preserve"> </w:t>
      </w:r>
      <w:r w:rsidRPr="000641B0" w:rsidR="00483985">
        <w:rPr>
          <w:rFonts w:cstheme="minorHAnsi"/>
          <w:szCs w:val="26"/>
        </w:rPr>
        <w:t>We then</w:t>
      </w:r>
      <w:r w:rsidRPr="000641B0" w:rsidR="00B14730">
        <w:rPr>
          <w:rFonts w:cstheme="minorHAnsi"/>
          <w:szCs w:val="26"/>
        </w:rPr>
        <w:t xml:space="preserve"> </w:t>
      </w:r>
      <w:r w:rsidRPr="000641B0" w:rsidR="000D39F2">
        <w:rPr>
          <w:rFonts w:cstheme="minorHAnsi"/>
          <w:szCs w:val="26"/>
        </w:rPr>
        <w:t>discuss how this</w:t>
      </w:r>
      <w:r w:rsidRPr="000641B0" w:rsidR="00B14730">
        <w:rPr>
          <w:rFonts w:cstheme="minorHAnsi"/>
          <w:szCs w:val="26"/>
        </w:rPr>
        <w:t xml:space="preserve"> law applies with respect to </w:t>
      </w:r>
      <w:r w:rsidRPr="000641B0" w:rsidR="005E1AC4">
        <w:rPr>
          <w:rFonts w:cstheme="minorHAnsi"/>
          <w:szCs w:val="26"/>
        </w:rPr>
        <w:t>the constitutional, ethical, and habeas</w:t>
      </w:r>
      <w:r w:rsidR="00C167F1">
        <w:rPr>
          <w:rFonts w:cstheme="minorHAnsi"/>
          <w:szCs w:val="26"/>
        </w:rPr>
        <w:t xml:space="preserve"> corpus</w:t>
      </w:r>
      <w:r w:rsidRPr="000641B0" w:rsidR="005E1AC4">
        <w:rPr>
          <w:rFonts w:cstheme="minorHAnsi"/>
          <w:szCs w:val="26"/>
        </w:rPr>
        <w:t xml:space="preserve"> procedural duties outlined in part</w:t>
      </w:r>
      <w:r w:rsidRPr="000641B0" w:rsidR="006E4D22">
        <w:rPr>
          <w:rFonts w:cstheme="minorHAnsi"/>
          <w:szCs w:val="26"/>
        </w:rPr>
        <w:t>s</w:t>
      </w:r>
      <w:r w:rsidRPr="000641B0" w:rsidR="005E1AC4">
        <w:rPr>
          <w:rFonts w:cstheme="minorHAnsi"/>
          <w:szCs w:val="26"/>
        </w:rPr>
        <w:t xml:space="preserve"> II</w:t>
      </w:r>
      <w:r w:rsidRPr="000641B0" w:rsidR="00D53AB3">
        <w:rPr>
          <w:rFonts w:cstheme="minorHAnsi"/>
          <w:szCs w:val="26"/>
        </w:rPr>
        <w:t>.A</w:t>
      </w:r>
      <w:r w:rsidR="00ED224A">
        <w:rPr>
          <w:rFonts w:cstheme="minorHAnsi"/>
          <w:szCs w:val="26"/>
        </w:rPr>
        <w:t>.</w:t>
      </w:r>
      <w:r w:rsidRPr="000641B0" w:rsidR="00D53AB3">
        <w:rPr>
          <w:rFonts w:cstheme="minorHAnsi"/>
          <w:szCs w:val="26"/>
        </w:rPr>
        <w:t>, II.B</w:t>
      </w:r>
      <w:r w:rsidR="00ED224A">
        <w:rPr>
          <w:rFonts w:cstheme="minorHAnsi"/>
          <w:szCs w:val="26"/>
        </w:rPr>
        <w:t>.</w:t>
      </w:r>
      <w:r w:rsidRPr="000641B0" w:rsidR="00D53AB3">
        <w:rPr>
          <w:rFonts w:cstheme="minorHAnsi"/>
          <w:szCs w:val="26"/>
        </w:rPr>
        <w:t>, and II.C</w:t>
      </w:r>
      <w:r w:rsidR="00ED224A">
        <w:rPr>
          <w:rFonts w:cstheme="minorHAnsi"/>
          <w:szCs w:val="26"/>
        </w:rPr>
        <w:t>.</w:t>
      </w:r>
      <w:r w:rsidRPr="000641B0" w:rsidR="00D53AB3">
        <w:rPr>
          <w:rFonts w:cstheme="minorHAnsi"/>
          <w:szCs w:val="26"/>
        </w:rPr>
        <w:t xml:space="preserve">, </w:t>
      </w:r>
      <w:r w:rsidRPr="000641B0" w:rsidR="00B636C7">
        <w:rPr>
          <w:rFonts w:cstheme="minorHAnsi"/>
          <w:i/>
          <w:iCs/>
          <w:szCs w:val="26"/>
        </w:rPr>
        <w:t>ante</w:t>
      </w:r>
      <w:r w:rsidRPr="000641B0" w:rsidR="00B636C7">
        <w:rPr>
          <w:rFonts w:cstheme="minorHAnsi"/>
          <w:szCs w:val="26"/>
        </w:rPr>
        <w:t xml:space="preserve">, </w:t>
      </w:r>
      <w:r w:rsidRPr="000641B0" w:rsidR="00D53AB3">
        <w:rPr>
          <w:rFonts w:cstheme="minorHAnsi"/>
          <w:szCs w:val="26"/>
        </w:rPr>
        <w:t>respectively.</w:t>
      </w:r>
      <w:r>
        <w:rPr>
          <w:rStyle w:val="FootnoteReference"/>
          <w:rFonts w:cstheme="minorHAnsi"/>
          <w:szCs w:val="26"/>
        </w:rPr>
        <w:footnoteReference w:id="35"/>
      </w:r>
      <w:r w:rsidRPr="000641B0" w:rsidR="00D53AB3">
        <w:rPr>
          <w:rFonts w:cstheme="minorHAnsi"/>
          <w:szCs w:val="26"/>
        </w:rPr>
        <w:t xml:space="preserve"> </w:t>
      </w:r>
      <w:r w:rsidRPr="000641B0" w:rsidR="00CA7A75">
        <w:rPr>
          <w:rFonts w:cstheme="minorHAnsi"/>
          <w:szCs w:val="26"/>
        </w:rPr>
        <w:t xml:space="preserve"> </w:t>
      </w:r>
    </w:p>
    <w:p w:rsidR="006F5201" w:rsidRPr="000641B0" w:rsidP="00A36709" w14:paraId="381C3005" w14:textId="68B0CF96">
      <w:pPr>
        <w:ind w:firstLine="720"/>
        <w:rPr>
          <w:rFonts w:cstheme="minorHAnsi"/>
          <w:szCs w:val="26"/>
        </w:rPr>
      </w:pPr>
      <w:r w:rsidRPr="000641B0">
        <w:rPr>
          <w:rFonts w:cstheme="minorHAnsi"/>
          <w:szCs w:val="26"/>
        </w:rPr>
        <w:t xml:space="preserve">Welfare and Institutions Code section </w:t>
      </w:r>
      <w:r w:rsidRPr="000641B0" w:rsidR="003D4279">
        <w:rPr>
          <w:rFonts w:cstheme="minorHAnsi"/>
          <w:szCs w:val="26"/>
        </w:rPr>
        <w:t xml:space="preserve">827 </w:t>
      </w:r>
      <w:r w:rsidRPr="000641B0" w:rsidR="0018395F">
        <w:rPr>
          <w:rFonts w:cstheme="minorHAnsi"/>
          <w:szCs w:val="26"/>
        </w:rPr>
        <w:t>has long since “repose[d] in the juvenile court control of juvenile records</w:t>
      </w:r>
      <w:r w:rsidRPr="000641B0" w:rsidR="00861AE3">
        <w:rPr>
          <w:rFonts w:cstheme="minorHAnsi"/>
          <w:szCs w:val="26"/>
        </w:rPr>
        <w:t xml:space="preserve">.” </w:t>
      </w:r>
      <w:r w:rsidRPr="000641B0" w:rsidR="00861AE3">
        <w:rPr>
          <w:rFonts w:cstheme="minorHAnsi"/>
          <w:i/>
          <w:iCs/>
          <w:szCs w:val="26"/>
        </w:rPr>
        <w:t xml:space="preserve"> </w:t>
      </w:r>
      <w:r w:rsidRPr="000641B0" w:rsidR="00C66296">
        <w:rPr>
          <w:rFonts w:cstheme="minorHAnsi"/>
          <w:szCs w:val="26"/>
        </w:rPr>
        <w:t>(</w:t>
      </w:r>
      <w:bookmarkStart w:id="56" w:name="_Hlk115254616"/>
      <w:r w:rsidRPr="000641B0" w:rsidR="00861AE3">
        <w:rPr>
          <w:rFonts w:cstheme="minorHAnsi"/>
          <w:i/>
          <w:iCs/>
          <w:szCs w:val="26"/>
        </w:rPr>
        <w:t>T.N.G. v. Superior C</w:t>
      </w:r>
      <w:r w:rsidR="00B644E9">
        <w:rPr>
          <w:rFonts w:cstheme="minorHAnsi"/>
          <w:i/>
          <w:iCs/>
          <w:szCs w:val="26"/>
        </w:rPr>
        <w:t>our</w:t>
      </w:r>
      <w:r w:rsidRPr="000641B0" w:rsidR="00861AE3">
        <w:rPr>
          <w:rFonts w:cstheme="minorHAnsi"/>
          <w:i/>
          <w:iCs/>
          <w:szCs w:val="26"/>
        </w:rPr>
        <w:t>t</w:t>
      </w:r>
      <w:r w:rsidRPr="000641B0" w:rsidR="00861AE3">
        <w:rPr>
          <w:rFonts w:cstheme="minorHAnsi"/>
          <w:szCs w:val="26"/>
        </w:rPr>
        <w:t xml:space="preserve"> (1971) 4 Cal.3d 767, 780.)</w:t>
      </w:r>
      <w:r w:rsidRPr="000641B0" w:rsidR="001C0A4E">
        <w:rPr>
          <w:rFonts w:cstheme="minorHAnsi"/>
          <w:szCs w:val="26"/>
        </w:rPr>
        <w:t xml:space="preserve">  </w:t>
      </w:r>
      <w:bookmarkEnd w:id="56"/>
      <w:r w:rsidRPr="000641B0" w:rsidR="00861AE3">
        <w:rPr>
          <w:rFonts w:cstheme="minorHAnsi"/>
          <w:szCs w:val="26"/>
        </w:rPr>
        <w:t>The statute “</w:t>
      </w:r>
      <w:r w:rsidRPr="000641B0" w:rsidR="0018395F">
        <w:rPr>
          <w:rFonts w:cstheme="minorHAnsi"/>
          <w:szCs w:val="26"/>
        </w:rPr>
        <w:t>requires the permission of the court before any information about juveniles is disclosed to third parties by any law enforcement official.”</w:t>
      </w:r>
      <w:r w:rsidRPr="000641B0" w:rsidR="00861AE3">
        <w:rPr>
          <w:rFonts w:cstheme="minorHAnsi"/>
          <w:szCs w:val="26"/>
        </w:rPr>
        <w:t xml:space="preserve">  (</w:t>
      </w:r>
      <w:r w:rsidRPr="000641B0" w:rsidR="00861AE3">
        <w:rPr>
          <w:rFonts w:cstheme="minorHAnsi"/>
          <w:i/>
          <w:iCs/>
          <w:szCs w:val="26"/>
        </w:rPr>
        <w:t>Ibid</w:t>
      </w:r>
      <w:r w:rsidRPr="000641B0" w:rsidR="00861AE3">
        <w:rPr>
          <w:rFonts w:cstheme="minorHAnsi"/>
          <w:szCs w:val="26"/>
        </w:rPr>
        <w:t xml:space="preserve">.)  </w:t>
      </w:r>
      <w:r w:rsidRPr="000641B0">
        <w:rPr>
          <w:rFonts w:cstheme="minorHAnsi"/>
          <w:szCs w:val="26"/>
        </w:rPr>
        <w:t xml:space="preserve">In </w:t>
      </w:r>
      <w:bookmarkStart w:id="57" w:name="_Hlk115254631"/>
      <w:r w:rsidRPr="000641B0">
        <w:rPr>
          <w:rFonts w:cstheme="minorHAnsi"/>
          <w:i/>
          <w:iCs/>
          <w:szCs w:val="26"/>
        </w:rPr>
        <w:t>J.E. v. Superior C</w:t>
      </w:r>
      <w:r w:rsidR="00B644E9">
        <w:rPr>
          <w:rFonts w:cstheme="minorHAnsi"/>
          <w:i/>
          <w:iCs/>
          <w:szCs w:val="26"/>
        </w:rPr>
        <w:t>our</w:t>
      </w:r>
      <w:r w:rsidRPr="000641B0">
        <w:rPr>
          <w:rFonts w:cstheme="minorHAnsi"/>
          <w:i/>
          <w:iCs/>
          <w:szCs w:val="26"/>
        </w:rPr>
        <w:t>t</w:t>
      </w:r>
      <w:r w:rsidRPr="000641B0">
        <w:rPr>
          <w:rFonts w:cstheme="minorHAnsi"/>
          <w:szCs w:val="26"/>
        </w:rPr>
        <w:t xml:space="preserve"> (2014) 223</w:t>
      </w:r>
      <w:r w:rsidR="00B644E9">
        <w:rPr>
          <w:rFonts w:cstheme="minorHAnsi"/>
          <w:szCs w:val="26"/>
        </w:rPr>
        <w:t> </w:t>
      </w:r>
      <w:r w:rsidRPr="000641B0">
        <w:rPr>
          <w:rFonts w:cstheme="minorHAnsi"/>
          <w:szCs w:val="26"/>
        </w:rPr>
        <w:t>Cal.App.4th 1329</w:t>
      </w:r>
      <w:r w:rsidRPr="000641B0" w:rsidR="005368A5">
        <w:rPr>
          <w:rFonts w:cstheme="minorHAnsi"/>
          <w:szCs w:val="26"/>
        </w:rPr>
        <w:t xml:space="preserve"> (</w:t>
      </w:r>
      <w:r w:rsidRPr="000641B0" w:rsidR="005368A5">
        <w:rPr>
          <w:rFonts w:cstheme="minorHAnsi"/>
          <w:i/>
          <w:iCs/>
          <w:szCs w:val="26"/>
        </w:rPr>
        <w:t>J.E</w:t>
      </w:r>
      <w:r w:rsidRPr="000641B0" w:rsidR="005368A5">
        <w:rPr>
          <w:rFonts w:cstheme="minorHAnsi"/>
          <w:szCs w:val="26"/>
        </w:rPr>
        <w:t>.)</w:t>
      </w:r>
      <w:bookmarkEnd w:id="57"/>
      <w:r w:rsidRPr="000641B0">
        <w:rPr>
          <w:rFonts w:cstheme="minorHAnsi"/>
          <w:szCs w:val="26"/>
        </w:rPr>
        <w:t>,</w:t>
      </w:r>
      <w:r w:rsidRPr="000641B0" w:rsidR="009B2667">
        <w:rPr>
          <w:rFonts w:cstheme="minorHAnsi"/>
          <w:szCs w:val="26"/>
        </w:rPr>
        <w:t xml:space="preserve"> </w:t>
      </w:r>
      <w:r w:rsidRPr="000641B0">
        <w:rPr>
          <w:rFonts w:cstheme="minorHAnsi"/>
          <w:szCs w:val="26"/>
        </w:rPr>
        <w:t xml:space="preserve">the Court of Appeal provided an overview of </w:t>
      </w:r>
      <w:r w:rsidRPr="000641B0" w:rsidR="00C42D96">
        <w:rPr>
          <w:rFonts w:cstheme="minorHAnsi"/>
          <w:szCs w:val="26"/>
        </w:rPr>
        <w:t>Welfare and Institution</w:t>
      </w:r>
      <w:r w:rsidRPr="000641B0" w:rsidR="00AB256E">
        <w:rPr>
          <w:rFonts w:cstheme="minorHAnsi"/>
          <w:szCs w:val="26"/>
        </w:rPr>
        <w:t>s</w:t>
      </w:r>
      <w:r w:rsidRPr="000641B0" w:rsidR="00C42D96">
        <w:rPr>
          <w:rFonts w:cstheme="minorHAnsi"/>
          <w:szCs w:val="26"/>
        </w:rPr>
        <w:t xml:space="preserve"> Code</w:t>
      </w:r>
      <w:r w:rsidRPr="000641B0" w:rsidR="00AB256E">
        <w:rPr>
          <w:rFonts w:cstheme="minorHAnsi"/>
          <w:szCs w:val="26"/>
        </w:rPr>
        <w:t xml:space="preserve"> </w:t>
      </w:r>
      <w:r w:rsidRPr="000641B0">
        <w:rPr>
          <w:rFonts w:cstheme="minorHAnsi"/>
          <w:szCs w:val="26"/>
        </w:rPr>
        <w:t xml:space="preserve">section 827’s confidentiality provisions </w:t>
      </w:r>
      <w:r w:rsidRPr="000641B0" w:rsidR="00C47685">
        <w:rPr>
          <w:rFonts w:cstheme="minorHAnsi"/>
          <w:szCs w:val="26"/>
        </w:rPr>
        <w:t xml:space="preserve">and the petition procedure </w:t>
      </w:r>
      <w:r w:rsidRPr="000641B0" w:rsidR="00DE04C7">
        <w:rPr>
          <w:rFonts w:cstheme="minorHAnsi"/>
          <w:szCs w:val="26"/>
        </w:rPr>
        <w:t>that may be used by those not specifically</w:t>
      </w:r>
      <w:r w:rsidRPr="000641B0" w:rsidR="00644914">
        <w:rPr>
          <w:rFonts w:cstheme="minorHAnsi"/>
          <w:szCs w:val="26"/>
        </w:rPr>
        <w:t xml:space="preserve"> statutorily</w:t>
      </w:r>
      <w:r w:rsidRPr="000641B0" w:rsidR="00DE04C7">
        <w:rPr>
          <w:rFonts w:cstheme="minorHAnsi"/>
          <w:szCs w:val="26"/>
        </w:rPr>
        <w:t xml:space="preserve"> authorized </w:t>
      </w:r>
      <w:r w:rsidRPr="000641B0" w:rsidR="00BC685B">
        <w:rPr>
          <w:rFonts w:cstheme="minorHAnsi"/>
          <w:szCs w:val="26"/>
        </w:rPr>
        <w:t>to inspect such records</w:t>
      </w:r>
      <w:r w:rsidRPr="000641B0" w:rsidR="00417224">
        <w:rPr>
          <w:rFonts w:cstheme="minorHAnsi"/>
          <w:szCs w:val="26"/>
        </w:rPr>
        <w:t xml:space="preserve"> to gain access to them</w:t>
      </w:r>
      <w:r w:rsidRPr="000641B0" w:rsidR="007A1FEA">
        <w:rPr>
          <w:rFonts w:cstheme="minorHAnsi"/>
          <w:szCs w:val="26"/>
        </w:rPr>
        <w:t>, including criminal defendants such as Jenkins</w:t>
      </w:r>
      <w:r w:rsidRPr="000641B0">
        <w:rPr>
          <w:rFonts w:cstheme="minorHAnsi"/>
          <w:szCs w:val="26"/>
        </w:rPr>
        <w:t xml:space="preserve">: </w:t>
      </w:r>
      <w:r w:rsidR="007E0585">
        <w:rPr>
          <w:rFonts w:cstheme="minorHAnsi"/>
          <w:szCs w:val="26"/>
        </w:rPr>
        <w:t xml:space="preserve"> </w:t>
      </w:r>
      <w:r w:rsidRPr="000641B0">
        <w:rPr>
          <w:rFonts w:cstheme="minorHAnsi"/>
          <w:szCs w:val="26"/>
        </w:rPr>
        <w:t xml:space="preserve">“Section 827 specifies who is authorized to inspect the files, and it lists the prosecutor as one of the authorized persons. </w:t>
      </w:r>
      <w:r w:rsidRPr="000641B0" w:rsidR="0031403B">
        <w:rPr>
          <w:rFonts w:cstheme="minorHAnsi"/>
          <w:szCs w:val="26"/>
        </w:rPr>
        <w:t xml:space="preserve"> </w:t>
      </w:r>
      <w:r w:rsidRPr="000641B0">
        <w:rPr>
          <w:rFonts w:cstheme="minorHAnsi"/>
          <w:szCs w:val="26"/>
        </w:rPr>
        <w:t>An authorized person, in turn, may not disclose information from the files to an unauthorized person without a court order</w:t>
      </w:r>
      <w:r w:rsidR="00D42431">
        <w:rPr>
          <w:rFonts w:cstheme="minorHAnsi"/>
          <w:szCs w:val="26"/>
        </w:rPr>
        <w:t>. . . .</w:t>
      </w:r>
      <w:r w:rsidRPr="000641B0">
        <w:rPr>
          <w:rFonts w:cstheme="minorHAnsi"/>
          <w:szCs w:val="26"/>
        </w:rPr>
        <w:t xml:space="preserve"> </w:t>
      </w:r>
      <w:r w:rsidR="00B644E9">
        <w:rPr>
          <w:rFonts w:cstheme="minorHAnsi"/>
          <w:szCs w:val="26"/>
        </w:rPr>
        <w:t xml:space="preserve"> [¶]  </w:t>
      </w:r>
      <w:r w:rsidRPr="000641B0">
        <w:rPr>
          <w:rFonts w:cstheme="minorHAnsi"/>
          <w:szCs w:val="26"/>
        </w:rPr>
        <w:t>Section 827 also contains provisions that permit unauthorized persons to directly petition the juvenile court for access to the confidential records.</w:t>
      </w:r>
      <w:r w:rsidRPr="000641B0" w:rsidR="00A322EB">
        <w:rPr>
          <w:rFonts w:cstheme="minorHAnsi"/>
          <w:szCs w:val="26"/>
        </w:rPr>
        <w:t xml:space="preserve"> </w:t>
      </w:r>
      <w:r w:rsidRPr="000641B0">
        <w:rPr>
          <w:rFonts w:cstheme="minorHAnsi"/>
          <w:szCs w:val="26"/>
        </w:rPr>
        <w:t xml:space="preserve"> [Citations.] </w:t>
      </w:r>
      <w:r w:rsidRPr="000641B0" w:rsidR="0031403B">
        <w:rPr>
          <w:rFonts w:cstheme="minorHAnsi"/>
          <w:szCs w:val="26"/>
        </w:rPr>
        <w:t xml:space="preserve"> </w:t>
      </w:r>
      <w:r w:rsidRPr="000641B0">
        <w:rPr>
          <w:rFonts w:cstheme="minorHAnsi"/>
          <w:szCs w:val="26"/>
        </w:rPr>
        <w:t>Under</w:t>
      </w:r>
      <w:r w:rsidRPr="000641B0" w:rsidR="0031403B">
        <w:rPr>
          <w:rFonts w:cstheme="minorHAnsi"/>
          <w:szCs w:val="26"/>
        </w:rPr>
        <w:t xml:space="preserve"> </w:t>
      </w:r>
      <w:r w:rsidRPr="000641B0">
        <w:rPr>
          <w:rFonts w:cstheme="minorHAnsi"/>
          <w:szCs w:val="26"/>
        </w:rPr>
        <w:t xml:space="preserve">section 827 the juvenile court has ‘exclusive authority to determine whether and to what extent to grant access to confidential juvenile records’ to unauthorized persons. </w:t>
      </w:r>
      <w:r w:rsidRPr="000641B0" w:rsidR="0031403B">
        <w:rPr>
          <w:rFonts w:cstheme="minorHAnsi"/>
          <w:szCs w:val="26"/>
        </w:rPr>
        <w:t xml:space="preserve"> </w:t>
      </w:r>
      <w:r w:rsidRPr="000641B0">
        <w:rPr>
          <w:rFonts w:cstheme="minorHAnsi"/>
          <w:szCs w:val="26"/>
        </w:rPr>
        <w:t>[Cita</w:t>
      </w:r>
      <w:r w:rsidRPr="000641B0" w:rsidR="009B2667">
        <w:rPr>
          <w:rFonts w:cstheme="minorHAnsi"/>
          <w:szCs w:val="26"/>
        </w:rPr>
        <w:t>ti</w:t>
      </w:r>
      <w:r w:rsidRPr="000641B0">
        <w:rPr>
          <w:rFonts w:cstheme="minorHAnsi"/>
          <w:szCs w:val="26"/>
        </w:rPr>
        <w:t xml:space="preserve">on.] </w:t>
      </w:r>
      <w:r w:rsidRPr="000641B0" w:rsidR="00A322EB">
        <w:rPr>
          <w:rFonts w:cstheme="minorHAnsi"/>
          <w:szCs w:val="26"/>
        </w:rPr>
        <w:t xml:space="preserve"> </w:t>
      </w:r>
      <w:r w:rsidRPr="000641B0">
        <w:rPr>
          <w:rFonts w:cstheme="minorHAnsi"/>
          <w:szCs w:val="26"/>
        </w:rPr>
        <w:t>This statutory scheme</w:t>
      </w:r>
      <w:r w:rsidRPr="000641B0" w:rsidR="0031403B">
        <w:rPr>
          <w:rFonts w:cstheme="minorHAnsi"/>
          <w:szCs w:val="26"/>
        </w:rPr>
        <w:t xml:space="preserve"> </w:t>
      </w:r>
      <w:r w:rsidRPr="000641B0">
        <w:rPr>
          <w:rFonts w:cstheme="minorHAnsi"/>
          <w:szCs w:val="26"/>
        </w:rPr>
        <w:t>reflects a legislative determination that the juvenile court has ‘both the “</w:t>
      </w:r>
      <w:r w:rsidRPr="000641B0" w:rsidR="0031403B">
        <w:rPr>
          <w:rFonts w:cstheme="minorHAnsi"/>
          <w:szCs w:val="26"/>
        </w:rPr>
        <w:t> </w:t>
      </w:r>
      <w:r w:rsidRPr="000641B0">
        <w:rPr>
          <w:rFonts w:cstheme="minorHAnsi"/>
          <w:szCs w:val="26"/>
        </w:rPr>
        <w:t>‘sensitivity and expertise’ to make decisions about access to juvenile records.”</w:t>
      </w:r>
      <w:r w:rsidRPr="000641B0" w:rsidR="005F7082">
        <w:rPr>
          <w:rFonts w:cstheme="minorHAnsi"/>
          <w:szCs w:val="26"/>
        </w:rPr>
        <w:t> </w:t>
      </w:r>
      <w:r w:rsidRPr="000641B0">
        <w:rPr>
          <w:rFonts w:cstheme="minorHAnsi"/>
          <w:szCs w:val="26"/>
        </w:rPr>
        <w:t>’</w:t>
      </w:r>
      <w:r w:rsidRPr="000641B0" w:rsidR="005F7082">
        <w:rPr>
          <w:rFonts w:cstheme="minorHAnsi"/>
          <w:szCs w:val="26"/>
        </w:rPr>
        <w:t> </w:t>
      </w:r>
      <w:r w:rsidRPr="000641B0">
        <w:rPr>
          <w:rFonts w:cstheme="minorHAnsi"/>
          <w:szCs w:val="26"/>
        </w:rPr>
        <w:t>”  (</w:t>
      </w:r>
      <w:r w:rsidRPr="000641B0" w:rsidR="00AB256E">
        <w:rPr>
          <w:rFonts w:cstheme="minorHAnsi"/>
          <w:i/>
          <w:iCs/>
          <w:szCs w:val="26"/>
        </w:rPr>
        <w:t>J.E.</w:t>
      </w:r>
      <w:r w:rsidRPr="000641B0" w:rsidR="00AB256E">
        <w:rPr>
          <w:rFonts w:cstheme="minorHAnsi"/>
          <w:szCs w:val="26"/>
        </w:rPr>
        <w:t>,</w:t>
      </w:r>
      <w:r w:rsidRPr="000641B0" w:rsidR="00AB256E">
        <w:rPr>
          <w:rFonts w:cstheme="minorHAnsi"/>
          <w:i/>
          <w:iCs/>
          <w:szCs w:val="26"/>
        </w:rPr>
        <w:t xml:space="preserve"> </w:t>
      </w:r>
      <w:r w:rsidRPr="000641B0">
        <w:rPr>
          <w:rFonts w:cstheme="minorHAnsi"/>
          <w:szCs w:val="26"/>
        </w:rPr>
        <w:t>at p.</w:t>
      </w:r>
      <w:r w:rsidRPr="000641B0" w:rsidR="00ED1197">
        <w:rPr>
          <w:rFonts w:cstheme="minorHAnsi"/>
          <w:szCs w:val="26"/>
        </w:rPr>
        <w:t> </w:t>
      </w:r>
      <w:r w:rsidRPr="000641B0">
        <w:rPr>
          <w:rFonts w:cstheme="minorHAnsi"/>
          <w:szCs w:val="26"/>
        </w:rPr>
        <w:t>1337, f</w:t>
      </w:r>
      <w:r w:rsidR="00A43A11">
        <w:rPr>
          <w:rFonts w:cstheme="minorHAnsi"/>
          <w:szCs w:val="26"/>
        </w:rPr>
        <w:t>n</w:t>
      </w:r>
      <w:r w:rsidRPr="000641B0">
        <w:rPr>
          <w:rFonts w:cstheme="minorHAnsi"/>
          <w:szCs w:val="26"/>
        </w:rPr>
        <w:t>s</w:t>
      </w:r>
      <w:r w:rsidR="00A43A11">
        <w:rPr>
          <w:rFonts w:cstheme="minorHAnsi"/>
          <w:szCs w:val="26"/>
        </w:rPr>
        <w:t>.</w:t>
      </w:r>
      <w:r w:rsidRPr="000641B0">
        <w:rPr>
          <w:rFonts w:cstheme="minorHAnsi"/>
          <w:szCs w:val="26"/>
        </w:rPr>
        <w:t xml:space="preserve"> omitted.)</w:t>
      </w:r>
    </w:p>
    <w:p w:rsidR="00D541AC" w:rsidRPr="000641B0" w:rsidP="000641B0" w14:paraId="79E8B195" w14:textId="29219137">
      <w:pPr>
        <w:ind w:firstLine="720"/>
        <w:rPr>
          <w:rFonts w:cstheme="minorHAnsi"/>
          <w:szCs w:val="26"/>
        </w:rPr>
      </w:pPr>
      <w:r w:rsidRPr="000641B0">
        <w:rPr>
          <w:rFonts w:cstheme="minorHAnsi"/>
          <w:szCs w:val="26"/>
        </w:rPr>
        <w:t xml:space="preserve">The </w:t>
      </w:r>
      <w:r w:rsidRPr="000641B0">
        <w:rPr>
          <w:rFonts w:cstheme="minorHAnsi"/>
          <w:i/>
          <w:iCs/>
          <w:szCs w:val="26"/>
        </w:rPr>
        <w:t>J.E.</w:t>
      </w:r>
      <w:r w:rsidRPr="000641B0">
        <w:rPr>
          <w:rFonts w:cstheme="minorHAnsi"/>
          <w:szCs w:val="26"/>
        </w:rPr>
        <w:t xml:space="preserve"> cou</w:t>
      </w:r>
      <w:r w:rsidRPr="000641B0" w:rsidR="00134BBB">
        <w:rPr>
          <w:rFonts w:cstheme="minorHAnsi"/>
          <w:szCs w:val="26"/>
        </w:rPr>
        <w:t xml:space="preserve">rt </w:t>
      </w:r>
      <w:r w:rsidRPr="000641B0" w:rsidR="00EF5B5A">
        <w:rPr>
          <w:rFonts w:cstheme="minorHAnsi"/>
          <w:szCs w:val="26"/>
        </w:rPr>
        <w:t xml:space="preserve">also </w:t>
      </w:r>
      <w:r w:rsidRPr="000641B0" w:rsidR="00134BBB">
        <w:rPr>
          <w:rFonts w:cstheme="minorHAnsi"/>
          <w:szCs w:val="26"/>
        </w:rPr>
        <w:t xml:space="preserve">summarized </w:t>
      </w:r>
      <w:r w:rsidRPr="000641B0" w:rsidR="00A1282B">
        <w:rPr>
          <w:rFonts w:cstheme="minorHAnsi"/>
          <w:szCs w:val="26"/>
        </w:rPr>
        <w:t xml:space="preserve">the </w:t>
      </w:r>
      <w:r w:rsidRPr="000641B0" w:rsidR="007B5820">
        <w:rPr>
          <w:rFonts w:cstheme="minorHAnsi"/>
          <w:szCs w:val="26"/>
        </w:rPr>
        <w:t>in camera review procedures specified by</w:t>
      </w:r>
      <w:r w:rsidR="00955469">
        <w:rPr>
          <w:rFonts w:cstheme="minorHAnsi"/>
          <w:szCs w:val="26"/>
        </w:rPr>
        <w:t xml:space="preserve"> Welfare and Institutions Code</w:t>
      </w:r>
      <w:r w:rsidRPr="000641B0" w:rsidR="007B5820">
        <w:rPr>
          <w:rFonts w:cstheme="minorHAnsi"/>
          <w:szCs w:val="26"/>
        </w:rPr>
        <w:t xml:space="preserve"> </w:t>
      </w:r>
      <w:r w:rsidRPr="000641B0" w:rsidR="009258BA">
        <w:rPr>
          <w:rFonts w:cstheme="minorHAnsi"/>
          <w:szCs w:val="26"/>
        </w:rPr>
        <w:t>section</w:t>
      </w:r>
      <w:r w:rsidR="009258BA">
        <w:rPr>
          <w:rFonts w:cstheme="minorHAnsi"/>
          <w:szCs w:val="26"/>
        </w:rPr>
        <w:t> </w:t>
      </w:r>
      <w:r w:rsidRPr="000641B0" w:rsidR="00134BBB">
        <w:rPr>
          <w:rFonts w:cstheme="minorHAnsi"/>
          <w:szCs w:val="26"/>
        </w:rPr>
        <w:t xml:space="preserve">827 </w:t>
      </w:r>
      <w:r w:rsidRPr="000641B0" w:rsidR="007B5820">
        <w:rPr>
          <w:rFonts w:cstheme="minorHAnsi"/>
          <w:szCs w:val="26"/>
        </w:rPr>
        <w:t>and California Rule</w:t>
      </w:r>
      <w:r w:rsidR="00521C4D">
        <w:rPr>
          <w:rFonts w:cstheme="minorHAnsi"/>
          <w:szCs w:val="26"/>
        </w:rPr>
        <w:t>s</w:t>
      </w:r>
      <w:r w:rsidRPr="000641B0" w:rsidR="007B5820">
        <w:rPr>
          <w:rFonts w:cstheme="minorHAnsi"/>
          <w:szCs w:val="26"/>
        </w:rPr>
        <w:t xml:space="preserve"> of Court, rule 5.552</w:t>
      </w:r>
      <w:r w:rsidRPr="000641B0" w:rsidR="000B36BF">
        <w:rPr>
          <w:rFonts w:cstheme="minorHAnsi"/>
          <w:szCs w:val="26"/>
        </w:rPr>
        <w:t xml:space="preserve"> that govern </w:t>
      </w:r>
      <w:r w:rsidRPr="000641B0" w:rsidR="00154F11">
        <w:rPr>
          <w:rFonts w:cstheme="minorHAnsi"/>
          <w:szCs w:val="26"/>
        </w:rPr>
        <w:t xml:space="preserve">a </w:t>
      </w:r>
      <w:r w:rsidRPr="000641B0" w:rsidR="004C56DC">
        <w:rPr>
          <w:rFonts w:cstheme="minorHAnsi"/>
          <w:szCs w:val="26"/>
        </w:rPr>
        <w:t>p</w:t>
      </w:r>
      <w:r w:rsidRPr="000641B0" w:rsidR="00134BBB">
        <w:rPr>
          <w:rFonts w:cstheme="minorHAnsi"/>
          <w:szCs w:val="26"/>
        </w:rPr>
        <w:t>etition</w:t>
      </w:r>
      <w:r w:rsidRPr="000641B0" w:rsidR="000B36BF">
        <w:rPr>
          <w:rFonts w:cstheme="minorHAnsi"/>
          <w:szCs w:val="26"/>
        </w:rPr>
        <w:t xml:space="preserve"> </w:t>
      </w:r>
      <w:r w:rsidRPr="000641B0" w:rsidR="00154F11">
        <w:rPr>
          <w:rFonts w:cstheme="minorHAnsi"/>
          <w:szCs w:val="26"/>
        </w:rPr>
        <w:t xml:space="preserve">for disclosure of confidential juvenile documents. </w:t>
      </w:r>
      <w:r w:rsidRPr="000641B0" w:rsidR="003E3A03">
        <w:rPr>
          <w:rFonts w:cstheme="minorHAnsi"/>
          <w:szCs w:val="26"/>
        </w:rPr>
        <w:t xml:space="preserve"> </w:t>
      </w:r>
      <w:r w:rsidRPr="000641B0" w:rsidR="00EF5B5A">
        <w:rPr>
          <w:rFonts w:cstheme="minorHAnsi"/>
          <w:szCs w:val="26"/>
        </w:rPr>
        <w:t>(</w:t>
      </w:r>
      <w:r w:rsidRPr="000641B0" w:rsidR="0020510A">
        <w:rPr>
          <w:rFonts w:cstheme="minorHAnsi"/>
          <w:i/>
          <w:iCs/>
          <w:szCs w:val="26"/>
        </w:rPr>
        <w:t>J.E.</w:t>
      </w:r>
      <w:r w:rsidRPr="000641B0" w:rsidR="0020510A">
        <w:rPr>
          <w:rFonts w:cstheme="minorHAnsi"/>
          <w:szCs w:val="26"/>
        </w:rPr>
        <w:t xml:space="preserve">, </w:t>
      </w:r>
      <w:r w:rsidRPr="000641B0" w:rsidR="008B4235">
        <w:rPr>
          <w:rFonts w:cstheme="minorHAnsi"/>
          <w:i/>
          <w:iCs/>
          <w:szCs w:val="26"/>
        </w:rPr>
        <w:t>supra</w:t>
      </w:r>
      <w:r w:rsidRPr="000641B0" w:rsidR="008B4235">
        <w:rPr>
          <w:rFonts w:cstheme="minorHAnsi"/>
          <w:szCs w:val="26"/>
        </w:rPr>
        <w:t xml:space="preserve">, </w:t>
      </w:r>
      <w:r w:rsidRPr="000641B0" w:rsidR="0020510A">
        <w:rPr>
          <w:rFonts w:cstheme="minorHAnsi"/>
          <w:szCs w:val="26"/>
        </w:rPr>
        <w:t>223 Cal.App.4th at p.</w:t>
      </w:r>
      <w:r w:rsidRPr="000641B0" w:rsidR="0031403B">
        <w:rPr>
          <w:rFonts w:cstheme="minorHAnsi"/>
          <w:szCs w:val="26"/>
        </w:rPr>
        <w:t> </w:t>
      </w:r>
      <w:r w:rsidRPr="000641B0" w:rsidR="0020510A">
        <w:rPr>
          <w:rFonts w:cstheme="minorHAnsi"/>
          <w:szCs w:val="26"/>
        </w:rPr>
        <w:t>1338.</w:t>
      </w:r>
      <w:r w:rsidRPr="000641B0" w:rsidR="00EF5B5A">
        <w:rPr>
          <w:rFonts w:cstheme="minorHAnsi"/>
          <w:szCs w:val="26"/>
        </w:rPr>
        <w:t>)</w:t>
      </w:r>
      <w:r w:rsidRPr="000641B0" w:rsidR="00FD42B3">
        <w:rPr>
          <w:rFonts w:cstheme="minorHAnsi"/>
          <w:szCs w:val="26"/>
        </w:rPr>
        <w:t xml:space="preserve">  </w:t>
      </w:r>
      <w:r w:rsidRPr="000641B0" w:rsidR="00154F11">
        <w:rPr>
          <w:rFonts w:cstheme="minorHAnsi"/>
          <w:szCs w:val="26"/>
        </w:rPr>
        <w:t xml:space="preserve">The </w:t>
      </w:r>
      <w:r w:rsidRPr="000641B0" w:rsidR="00154F11">
        <w:rPr>
          <w:rFonts w:cstheme="minorHAnsi"/>
          <w:i/>
          <w:iCs/>
          <w:szCs w:val="26"/>
        </w:rPr>
        <w:t>J.E.</w:t>
      </w:r>
      <w:r w:rsidRPr="000641B0" w:rsidR="00154F11">
        <w:rPr>
          <w:rFonts w:cstheme="minorHAnsi"/>
          <w:szCs w:val="26"/>
        </w:rPr>
        <w:t xml:space="preserve"> court </w:t>
      </w:r>
      <w:r w:rsidRPr="000641B0" w:rsidR="00EB1DB9">
        <w:rPr>
          <w:rFonts w:cstheme="minorHAnsi"/>
          <w:szCs w:val="26"/>
        </w:rPr>
        <w:t xml:space="preserve">concluded </w:t>
      </w:r>
      <w:r w:rsidRPr="000641B0" w:rsidR="0083105C">
        <w:rPr>
          <w:rFonts w:cstheme="minorHAnsi"/>
          <w:szCs w:val="26"/>
        </w:rPr>
        <w:t xml:space="preserve">that these </w:t>
      </w:r>
      <w:r w:rsidRPr="000641B0" w:rsidR="00EB1DB9">
        <w:rPr>
          <w:rFonts w:cstheme="minorHAnsi"/>
          <w:szCs w:val="26"/>
        </w:rPr>
        <w:t xml:space="preserve">in camera review </w:t>
      </w:r>
      <w:r w:rsidRPr="000641B0" w:rsidR="0083105C">
        <w:rPr>
          <w:rFonts w:cstheme="minorHAnsi"/>
          <w:szCs w:val="26"/>
        </w:rPr>
        <w:t>procedures provide the “</w:t>
      </w:r>
      <w:r w:rsidRPr="000641B0" w:rsidR="00EB1DB9">
        <w:rPr>
          <w:rFonts w:cstheme="minorHAnsi"/>
          <w:szCs w:val="26"/>
        </w:rPr>
        <w:t>proper mechanism to resolve a defense</w:t>
      </w:r>
      <w:r w:rsidRPr="000641B0" w:rsidR="001851DA">
        <w:rPr>
          <w:rFonts w:cstheme="minorHAnsi"/>
          <w:szCs w:val="26"/>
        </w:rPr>
        <w:t xml:space="preserve"> </w:t>
      </w:r>
      <w:r w:rsidRPr="000641B0" w:rsidR="00EB1DB9">
        <w:rPr>
          <w:rFonts w:cstheme="minorHAnsi"/>
          <w:i/>
          <w:iCs/>
          <w:szCs w:val="26"/>
        </w:rPr>
        <w:t>Brady</w:t>
      </w:r>
      <w:r w:rsidRPr="000641B0" w:rsidR="001851DA">
        <w:rPr>
          <w:rFonts w:cstheme="minorHAnsi"/>
          <w:szCs w:val="26"/>
        </w:rPr>
        <w:t xml:space="preserve"> </w:t>
      </w:r>
      <w:r w:rsidRPr="000641B0" w:rsidR="00EB1DB9">
        <w:rPr>
          <w:rFonts w:cstheme="minorHAnsi"/>
          <w:szCs w:val="26"/>
        </w:rPr>
        <w:t>disclosure request involving information in a juvenile file.</w:t>
      </w:r>
      <w:r w:rsidRPr="000641B0" w:rsidR="00D87AA0">
        <w:rPr>
          <w:rFonts w:cstheme="minorHAnsi"/>
          <w:szCs w:val="26"/>
        </w:rPr>
        <w:t>”</w:t>
      </w:r>
      <w:r w:rsidRPr="000641B0" w:rsidR="00EB1DB9">
        <w:rPr>
          <w:rFonts w:cstheme="minorHAnsi"/>
          <w:szCs w:val="26"/>
        </w:rPr>
        <w:t xml:space="preserve"> </w:t>
      </w:r>
      <w:r w:rsidRPr="000641B0" w:rsidR="005368A5">
        <w:rPr>
          <w:rFonts w:cstheme="minorHAnsi"/>
          <w:szCs w:val="26"/>
        </w:rPr>
        <w:t xml:space="preserve"> </w:t>
      </w:r>
      <w:r w:rsidRPr="000641B0" w:rsidR="00D87AA0">
        <w:rPr>
          <w:rFonts w:cstheme="minorHAnsi"/>
          <w:szCs w:val="26"/>
        </w:rPr>
        <w:t>(</w:t>
      </w:r>
      <w:r w:rsidRPr="000641B0" w:rsidR="00FD42B3">
        <w:rPr>
          <w:rFonts w:cstheme="minorHAnsi"/>
          <w:i/>
          <w:iCs/>
          <w:szCs w:val="26"/>
        </w:rPr>
        <w:t>Ibid</w:t>
      </w:r>
      <w:r w:rsidRPr="000641B0" w:rsidR="00965700">
        <w:rPr>
          <w:rFonts w:cstheme="minorHAnsi"/>
          <w:szCs w:val="26"/>
        </w:rPr>
        <w:t>.)</w:t>
      </w:r>
      <w:r w:rsidRPr="000641B0" w:rsidR="00700B95">
        <w:rPr>
          <w:rFonts w:cstheme="minorHAnsi"/>
          <w:szCs w:val="26"/>
        </w:rPr>
        <w:t xml:space="preserve">  </w:t>
      </w:r>
    </w:p>
    <w:p w:rsidR="00D541AC" w:rsidRPr="000641B0" w:rsidP="000641B0" w14:paraId="55584C53" w14:textId="20067D20">
      <w:pPr>
        <w:ind w:firstLine="720"/>
        <w:rPr>
          <w:rFonts w:cstheme="minorHAnsi"/>
          <w:szCs w:val="26"/>
        </w:rPr>
      </w:pPr>
      <w:r w:rsidRPr="000641B0">
        <w:rPr>
          <w:rFonts w:cstheme="minorHAnsi"/>
          <w:szCs w:val="26"/>
        </w:rPr>
        <w:t xml:space="preserve">In reaching this conclusion, the </w:t>
      </w:r>
      <w:r w:rsidRPr="000641B0">
        <w:rPr>
          <w:rFonts w:cstheme="minorHAnsi"/>
          <w:i/>
          <w:iCs/>
          <w:szCs w:val="26"/>
        </w:rPr>
        <w:t>J.E</w:t>
      </w:r>
      <w:r w:rsidRPr="000641B0">
        <w:rPr>
          <w:rFonts w:cstheme="minorHAnsi"/>
          <w:szCs w:val="26"/>
        </w:rPr>
        <w:t xml:space="preserve">. court </w:t>
      </w:r>
      <w:r w:rsidRPr="000641B0" w:rsidR="00F805E1">
        <w:rPr>
          <w:rFonts w:cstheme="minorHAnsi"/>
          <w:szCs w:val="26"/>
        </w:rPr>
        <w:t xml:space="preserve">noted that although </w:t>
      </w:r>
      <w:r w:rsidRPr="000641B0" w:rsidR="00690BE7">
        <w:rPr>
          <w:rFonts w:cstheme="minorHAnsi"/>
          <w:szCs w:val="26"/>
        </w:rPr>
        <w:t>the “</w:t>
      </w:r>
      <w:r w:rsidRPr="000641B0" w:rsidR="00F805E1">
        <w:rPr>
          <w:rFonts w:cstheme="minorHAnsi"/>
          <w:szCs w:val="26"/>
        </w:rPr>
        <w:t>government</w:t>
      </w:r>
      <w:r w:rsidRPr="000641B0" w:rsidR="00690BE7">
        <w:rPr>
          <w:rFonts w:cstheme="minorHAnsi"/>
          <w:szCs w:val="26"/>
        </w:rPr>
        <w:t>’</w:t>
      </w:r>
      <w:r w:rsidRPr="000641B0" w:rsidR="00F805E1">
        <w:rPr>
          <w:rFonts w:cstheme="minorHAnsi"/>
          <w:szCs w:val="26"/>
        </w:rPr>
        <w:t xml:space="preserve">s </w:t>
      </w:r>
      <w:r w:rsidRPr="000641B0" w:rsidR="00F805E1">
        <w:rPr>
          <w:rFonts w:cstheme="minorHAnsi"/>
          <w:i/>
          <w:iCs/>
          <w:szCs w:val="26"/>
        </w:rPr>
        <w:t xml:space="preserve">Brady </w:t>
      </w:r>
      <w:r w:rsidRPr="000641B0" w:rsidR="00F805E1">
        <w:rPr>
          <w:rFonts w:cstheme="minorHAnsi"/>
          <w:szCs w:val="26"/>
        </w:rPr>
        <w:t xml:space="preserve">obligations are typically placed upon the </w:t>
      </w:r>
      <w:r w:rsidRPr="000641B0" w:rsidR="00F805E1">
        <w:rPr>
          <w:rFonts w:cstheme="minorHAnsi"/>
          <w:i/>
          <w:iCs/>
          <w:szCs w:val="26"/>
        </w:rPr>
        <w:t>prosecutor</w:t>
      </w:r>
      <w:r w:rsidRPr="000641B0" w:rsidR="00F805E1">
        <w:rPr>
          <w:rFonts w:cstheme="minorHAnsi"/>
          <w:szCs w:val="26"/>
        </w:rPr>
        <w:t xml:space="preserve">, the courts have recognized that the </w:t>
      </w:r>
      <w:r w:rsidRPr="000641B0" w:rsidR="00F805E1">
        <w:rPr>
          <w:rFonts w:cstheme="minorHAnsi"/>
          <w:i/>
          <w:iCs/>
          <w:szCs w:val="26"/>
        </w:rPr>
        <w:t>Brady</w:t>
      </w:r>
      <w:r w:rsidRPr="000641B0" w:rsidR="00F805E1">
        <w:rPr>
          <w:rFonts w:cstheme="minorHAnsi"/>
          <w:szCs w:val="26"/>
        </w:rPr>
        <w:t xml:space="preserve"> requirements can also be satisfied when a</w:t>
      </w:r>
      <w:r w:rsidRPr="000641B0" w:rsidR="00690BE7">
        <w:rPr>
          <w:rFonts w:cstheme="minorHAnsi"/>
          <w:szCs w:val="26"/>
        </w:rPr>
        <w:t xml:space="preserve"> </w:t>
      </w:r>
      <w:r w:rsidRPr="000641B0" w:rsidR="00F805E1">
        <w:rPr>
          <w:rFonts w:cstheme="minorHAnsi"/>
          <w:i/>
          <w:iCs/>
          <w:szCs w:val="26"/>
        </w:rPr>
        <w:t>trial court</w:t>
      </w:r>
      <w:r w:rsidRPr="000641B0" w:rsidR="00690BE7">
        <w:rPr>
          <w:rFonts w:cstheme="minorHAnsi"/>
          <w:szCs w:val="26"/>
        </w:rPr>
        <w:t xml:space="preserve"> </w:t>
      </w:r>
      <w:r w:rsidRPr="000641B0" w:rsidR="00F805E1">
        <w:rPr>
          <w:rFonts w:cstheme="minorHAnsi"/>
          <w:szCs w:val="26"/>
        </w:rPr>
        <w:t>conducts an in camera review of documents containing possible exculpatory or impeachment evidence.</w:t>
      </w:r>
      <w:r w:rsidRPr="000641B0" w:rsidR="00690BE7">
        <w:rPr>
          <w:rFonts w:cstheme="minorHAnsi"/>
          <w:szCs w:val="26"/>
        </w:rPr>
        <w:t xml:space="preserve">” </w:t>
      </w:r>
      <w:r w:rsidRPr="000641B0" w:rsidR="003B4581">
        <w:rPr>
          <w:rFonts w:cstheme="minorHAnsi"/>
          <w:szCs w:val="26"/>
        </w:rPr>
        <w:t xml:space="preserve"> </w:t>
      </w:r>
      <w:r w:rsidRPr="000641B0" w:rsidR="00690BE7">
        <w:rPr>
          <w:rFonts w:cstheme="minorHAnsi"/>
          <w:szCs w:val="26"/>
        </w:rPr>
        <w:t>(</w:t>
      </w:r>
      <w:r w:rsidRPr="000641B0" w:rsidR="00690BE7">
        <w:rPr>
          <w:rFonts w:cstheme="minorHAnsi"/>
          <w:i/>
          <w:iCs/>
          <w:szCs w:val="26"/>
        </w:rPr>
        <w:t>J.E</w:t>
      </w:r>
      <w:r w:rsidRPr="000641B0" w:rsidR="00690BE7">
        <w:rPr>
          <w:rFonts w:cstheme="minorHAnsi"/>
          <w:szCs w:val="26"/>
        </w:rPr>
        <w:t>.,</w:t>
      </w:r>
      <w:r w:rsidRPr="000641B0" w:rsidR="00690BE7">
        <w:rPr>
          <w:rFonts w:cstheme="minorHAnsi"/>
          <w:i/>
          <w:iCs/>
          <w:szCs w:val="26"/>
        </w:rPr>
        <w:t xml:space="preserve"> </w:t>
      </w:r>
      <w:r w:rsidRPr="000641B0" w:rsidR="00DE58CC">
        <w:rPr>
          <w:rFonts w:cstheme="minorHAnsi"/>
          <w:i/>
          <w:iCs/>
          <w:szCs w:val="26"/>
        </w:rPr>
        <w:t>supra</w:t>
      </w:r>
      <w:r w:rsidRPr="000641B0" w:rsidR="00DE58CC">
        <w:rPr>
          <w:rFonts w:cstheme="minorHAnsi"/>
          <w:szCs w:val="26"/>
        </w:rPr>
        <w:t>, 223</w:t>
      </w:r>
      <w:r w:rsidR="00B644E9">
        <w:rPr>
          <w:rFonts w:cstheme="minorHAnsi"/>
          <w:szCs w:val="26"/>
        </w:rPr>
        <w:t> </w:t>
      </w:r>
      <w:r w:rsidRPr="000641B0" w:rsidR="00DE58CC">
        <w:rPr>
          <w:rFonts w:cstheme="minorHAnsi"/>
          <w:szCs w:val="26"/>
        </w:rPr>
        <w:t>Cal.App.4th at p.</w:t>
      </w:r>
      <w:r w:rsidRPr="000641B0" w:rsidR="0031403B">
        <w:rPr>
          <w:rFonts w:cstheme="minorHAnsi"/>
          <w:szCs w:val="26"/>
        </w:rPr>
        <w:t> </w:t>
      </w:r>
      <w:r w:rsidRPr="000641B0" w:rsidR="00DE58CC">
        <w:rPr>
          <w:rFonts w:cstheme="minorHAnsi"/>
          <w:szCs w:val="26"/>
        </w:rPr>
        <w:t>13</w:t>
      </w:r>
      <w:r w:rsidRPr="000641B0" w:rsidR="002526F6">
        <w:rPr>
          <w:rFonts w:cstheme="minorHAnsi"/>
          <w:szCs w:val="26"/>
        </w:rPr>
        <w:t>36</w:t>
      </w:r>
      <w:r w:rsidRPr="000641B0" w:rsidR="00DE58CC">
        <w:rPr>
          <w:rFonts w:cstheme="minorHAnsi"/>
          <w:szCs w:val="26"/>
        </w:rPr>
        <w:t>, c</w:t>
      </w:r>
      <w:r w:rsidRPr="000641B0" w:rsidR="00690BE7">
        <w:rPr>
          <w:rFonts w:cstheme="minorHAnsi"/>
          <w:szCs w:val="26"/>
        </w:rPr>
        <w:t>iting</w:t>
      </w:r>
      <w:r w:rsidRPr="000641B0" w:rsidR="00794FC3">
        <w:rPr>
          <w:rFonts w:cstheme="minorHAnsi"/>
          <w:szCs w:val="26"/>
        </w:rPr>
        <w:t>, inter ali</w:t>
      </w:r>
      <w:r w:rsidRPr="000641B0" w:rsidR="001851DA">
        <w:rPr>
          <w:rFonts w:cstheme="minorHAnsi"/>
          <w:szCs w:val="26"/>
        </w:rPr>
        <w:t>a</w:t>
      </w:r>
      <w:r w:rsidRPr="000641B0" w:rsidR="00794FC3">
        <w:rPr>
          <w:rFonts w:cstheme="minorHAnsi"/>
          <w:szCs w:val="26"/>
        </w:rPr>
        <w:t xml:space="preserve">, </w:t>
      </w:r>
      <w:r w:rsidRPr="000641B0" w:rsidR="00794FC3">
        <w:rPr>
          <w:rFonts w:cstheme="minorHAnsi"/>
          <w:i/>
          <w:iCs/>
          <w:szCs w:val="26"/>
        </w:rPr>
        <w:t>Ritchie</w:t>
      </w:r>
      <w:r w:rsidRPr="000641B0" w:rsidR="00794FC3">
        <w:rPr>
          <w:rFonts w:cstheme="minorHAnsi"/>
          <w:szCs w:val="26"/>
        </w:rPr>
        <w:t xml:space="preserve">, </w:t>
      </w:r>
      <w:r w:rsidRPr="000641B0" w:rsidR="00794FC3">
        <w:rPr>
          <w:rFonts w:cstheme="minorHAnsi"/>
          <w:i/>
          <w:iCs/>
          <w:szCs w:val="26"/>
        </w:rPr>
        <w:t>supra</w:t>
      </w:r>
      <w:r w:rsidRPr="000641B0" w:rsidR="00794FC3">
        <w:rPr>
          <w:rFonts w:cstheme="minorHAnsi"/>
          <w:szCs w:val="26"/>
        </w:rPr>
        <w:t>, 480</w:t>
      </w:r>
      <w:r w:rsidR="00B644E9">
        <w:rPr>
          <w:rFonts w:cstheme="minorHAnsi"/>
          <w:szCs w:val="26"/>
        </w:rPr>
        <w:t> </w:t>
      </w:r>
      <w:r w:rsidRPr="000641B0" w:rsidR="00794FC3">
        <w:rPr>
          <w:rFonts w:cstheme="minorHAnsi"/>
          <w:szCs w:val="26"/>
        </w:rPr>
        <w:t xml:space="preserve">U.S. </w:t>
      </w:r>
      <w:r w:rsidRPr="000641B0" w:rsidR="001851DA">
        <w:rPr>
          <w:rFonts w:cstheme="minorHAnsi"/>
          <w:szCs w:val="26"/>
        </w:rPr>
        <w:t>at pp.</w:t>
      </w:r>
      <w:r w:rsidRPr="000641B0" w:rsidR="00ED1197">
        <w:rPr>
          <w:rFonts w:cstheme="minorHAnsi"/>
          <w:szCs w:val="26"/>
        </w:rPr>
        <w:t> </w:t>
      </w:r>
      <w:r w:rsidRPr="000641B0" w:rsidR="00794FC3">
        <w:rPr>
          <w:rFonts w:cstheme="minorHAnsi"/>
          <w:szCs w:val="26"/>
        </w:rPr>
        <w:t>57–58.)</w:t>
      </w:r>
      <w:r w:rsidRPr="000641B0" w:rsidR="00690BE7">
        <w:rPr>
          <w:rFonts w:cstheme="minorHAnsi"/>
          <w:szCs w:val="26"/>
        </w:rPr>
        <w:t xml:space="preserve"> </w:t>
      </w:r>
      <w:r w:rsidRPr="000641B0" w:rsidR="001851DA">
        <w:rPr>
          <w:rFonts w:cstheme="minorHAnsi"/>
          <w:szCs w:val="26"/>
        </w:rPr>
        <w:t xml:space="preserve"> The </w:t>
      </w:r>
      <w:r w:rsidRPr="000641B0" w:rsidR="001851DA">
        <w:rPr>
          <w:rFonts w:cstheme="minorHAnsi"/>
          <w:i/>
          <w:iCs/>
          <w:szCs w:val="26"/>
        </w:rPr>
        <w:t>J.E</w:t>
      </w:r>
      <w:r w:rsidRPr="000641B0" w:rsidR="001851DA">
        <w:rPr>
          <w:rFonts w:cstheme="minorHAnsi"/>
          <w:szCs w:val="26"/>
        </w:rPr>
        <w:t xml:space="preserve">. court noted </w:t>
      </w:r>
      <w:r w:rsidRPr="000641B0" w:rsidR="0006473D">
        <w:rPr>
          <w:rFonts w:cstheme="minorHAnsi"/>
          <w:szCs w:val="26"/>
        </w:rPr>
        <w:t xml:space="preserve">that, </w:t>
      </w:r>
      <w:r w:rsidRPr="000641B0" w:rsidR="001851DA">
        <w:rPr>
          <w:rFonts w:cstheme="minorHAnsi"/>
          <w:szCs w:val="26"/>
        </w:rPr>
        <w:t xml:space="preserve">in </w:t>
      </w:r>
      <w:r w:rsidRPr="000641B0" w:rsidR="001851DA">
        <w:rPr>
          <w:rFonts w:cstheme="minorHAnsi"/>
          <w:i/>
          <w:iCs/>
          <w:szCs w:val="26"/>
        </w:rPr>
        <w:t>Ritchie</w:t>
      </w:r>
      <w:r w:rsidRPr="000641B0" w:rsidR="00461C38">
        <w:rPr>
          <w:rFonts w:cstheme="minorHAnsi"/>
          <w:szCs w:val="26"/>
        </w:rPr>
        <w:t>, t</w:t>
      </w:r>
      <w:r w:rsidRPr="000641B0" w:rsidR="008C5A47">
        <w:rPr>
          <w:rFonts w:cstheme="minorHAnsi"/>
          <w:szCs w:val="26"/>
        </w:rPr>
        <w:t xml:space="preserve">he United States Supreme Court </w:t>
      </w:r>
      <w:r w:rsidRPr="000641B0" w:rsidR="00DD1E5D">
        <w:rPr>
          <w:rFonts w:cstheme="minorHAnsi"/>
          <w:szCs w:val="26"/>
        </w:rPr>
        <w:t>held that a defendant</w:t>
      </w:r>
      <w:r w:rsidRPr="000641B0" w:rsidR="004943F8">
        <w:rPr>
          <w:rFonts w:cstheme="minorHAnsi"/>
          <w:szCs w:val="26"/>
        </w:rPr>
        <w:t>’s</w:t>
      </w:r>
      <w:r w:rsidRPr="000641B0" w:rsidR="00DD1E5D">
        <w:rPr>
          <w:rFonts w:cstheme="minorHAnsi"/>
          <w:szCs w:val="26"/>
        </w:rPr>
        <w:t xml:space="preserve"> right to a fair </w:t>
      </w:r>
      <w:r w:rsidRPr="000641B0" w:rsidR="00AC5A97">
        <w:rPr>
          <w:rFonts w:cstheme="minorHAnsi"/>
          <w:szCs w:val="26"/>
        </w:rPr>
        <w:t>trial was sufficiently protected by</w:t>
      </w:r>
      <w:r w:rsidRPr="000641B0" w:rsidR="008C5A47">
        <w:rPr>
          <w:rFonts w:cstheme="minorHAnsi"/>
          <w:szCs w:val="26"/>
        </w:rPr>
        <w:t xml:space="preserve"> a</w:t>
      </w:r>
      <w:r w:rsidRPr="000641B0" w:rsidR="004943F8">
        <w:rPr>
          <w:rFonts w:cstheme="minorHAnsi"/>
          <w:szCs w:val="26"/>
        </w:rPr>
        <w:t xml:space="preserve"> trial court</w:t>
      </w:r>
      <w:r w:rsidRPr="000641B0" w:rsidR="00FD42B3">
        <w:rPr>
          <w:rFonts w:cstheme="minorHAnsi"/>
          <w:szCs w:val="26"/>
        </w:rPr>
        <w:t>’</w:t>
      </w:r>
      <w:r w:rsidRPr="000641B0" w:rsidR="004943F8">
        <w:rPr>
          <w:rFonts w:cstheme="minorHAnsi"/>
          <w:szCs w:val="26"/>
        </w:rPr>
        <w:t>s</w:t>
      </w:r>
      <w:r w:rsidRPr="000641B0" w:rsidR="008C5A47">
        <w:rPr>
          <w:rFonts w:cstheme="minorHAnsi"/>
          <w:szCs w:val="26"/>
        </w:rPr>
        <w:t xml:space="preserve"> in camera review of confidential child protection agency files </w:t>
      </w:r>
      <w:r w:rsidRPr="000641B0" w:rsidR="007058A8">
        <w:rPr>
          <w:rFonts w:cstheme="minorHAnsi"/>
          <w:szCs w:val="26"/>
        </w:rPr>
        <w:t xml:space="preserve">that </w:t>
      </w:r>
      <w:r w:rsidRPr="000641B0" w:rsidR="007D27B6">
        <w:rPr>
          <w:rFonts w:cstheme="minorHAnsi"/>
          <w:szCs w:val="26"/>
        </w:rPr>
        <w:t>the</w:t>
      </w:r>
      <w:r w:rsidRPr="000641B0" w:rsidR="007058A8">
        <w:rPr>
          <w:rFonts w:cstheme="minorHAnsi"/>
          <w:szCs w:val="26"/>
        </w:rPr>
        <w:t xml:space="preserve"> defendant </w:t>
      </w:r>
      <w:r w:rsidRPr="000641B0" w:rsidR="00A40C27">
        <w:rPr>
          <w:rFonts w:cstheme="minorHAnsi"/>
          <w:szCs w:val="26"/>
        </w:rPr>
        <w:t>sought</w:t>
      </w:r>
      <w:r w:rsidRPr="000641B0" w:rsidR="00461C38">
        <w:rPr>
          <w:rFonts w:cstheme="minorHAnsi"/>
          <w:szCs w:val="26"/>
        </w:rPr>
        <w:t>.</w:t>
      </w:r>
      <w:r w:rsidRPr="000641B0" w:rsidR="003B1239">
        <w:rPr>
          <w:rFonts w:cstheme="minorHAnsi"/>
          <w:szCs w:val="26"/>
        </w:rPr>
        <w:t xml:space="preserve">  </w:t>
      </w:r>
      <w:r w:rsidRPr="000641B0" w:rsidR="00BB01E5">
        <w:rPr>
          <w:rFonts w:cstheme="minorHAnsi"/>
          <w:szCs w:val="26"/>
        </w:rPr>
        <w:t>(</w:t>
      </w:r>
      <w:r w:rsidRPr="000641B0" w:rsidR="00BB01E5">
        <w:rPr>
          <w:rFonts w:cstheme="minorHAnsi"/>
          <w:i/>
          <w:iCs/>
          <w:szCs w:val="26"/>
        </w:rPr>
        <w:t>J.E.</w:t>
      </w:r>
      <w:r w:rsidRPr="000641B0" w:rsidR="00BB01E5">
        <w:rPr>
          <w:rFonts w:cstheme="minorHAnsi"/>
          <w:szCs w:val="26"/>
        </w:rPr>
        <w:t>,</w:t>
      </w:r>
      <w:r w:rsidRPr="000641B0" w:rsidR="00BB01E5">
        <w:rPr>
          <w:rFonts w:cstheme="minorHAnsi"/>
          <w:i/>
          <w:iCs/>
          <w:szCs w:val="26"/>
        </w:rPr>
        <w:t xml:space="preserve"> </w:t>
      </w:r>
      <w:r w:rsidRPr="000641B0" w:rsidR="00BB01E5">
        <w:rPr>
          <w:rFonts w:cstheme="minorHAnsi"/>
          <w:szCs w:val="26"/>
        </w:rPr>
        <w:t>at p.</w:t>
      </w:r>
      <w:r w:rsidRPr="000641B0" w:rsidR="0031403B">
        <w:rPr>
          <w:rFonts w:cstheme="minorHAnsi"/>
          <w:szCs w:val="26"/>
        </w:rPr>
        <w:t> </w:t>
      </w:r>
      <w:r w:rsidRPr="000641B0" w:rsidR="00BB01E5">
        <w:rPr>
          <w:rFonts w:cstheme="minorHAnsi"/>
          <w:szCs w:val="26"/>
        </w:rPr>
        <w:t>13</w:t>
      </w:r>
      <w:r w:rsidRPr="000641B0" w:rsidR="00B873C8">
        <w:rPr>
          <w:rFonts w:cstheme="minorHAnsi"/>
          <w:szCs w:val="26"/>
        </w:rPr>
        <w:t>36</w:t>
      </w:r>
      <w:r w:rsidRPr="000641B0" w:rsidR="00BB01E5">
        <w:rPr>
          <w:rFonts w:cstheme="minorHAnsi"/>
          <w:szCs w:val="26"/>
        </w:rPr>
        <w:t xml:space="preserve">, citing </w:t>
      </w:r>
      <w:r w:rsidRPr="000641B0" w:rsidR="00BB01E5">
        <w:rPr>
          <w:rFonts w:cstheme="minorHAnsi"/>
          <w:i/>
          <w:iCs/>
          <w:szCs w:val="26"/>
        </w:rPr>
        <w:t>Ritchie</w:t>
      </w:r>
      <w:r w:rsidRPr="000641B0" w:rsidR="00BB01E5">
        <w:rPr>
          <w:rFonts w:cstheme="minorHAnsi"/>
          <w:szCs w:val="26"/>
        </w:rPr>
        <w:t>, at pp.</w:t>
      </w:r>
      <w:r w:rsidRPr="000641B0" w:rsidR="0031403B">
        <w:rPr>
          <w:rFonts w:cstheme="minorHAnsi"/>
          <w:szCs w:val="26"/>
        </w:rPr>
        <w:t> </w:t>
      </w:r>
      <w:r w:rsidRPr="000641B0" w:rsidR="00BB01E5">
        <w:rPr>
          <w:rFonts w:cstheme="minorHAnsi"/>
          <w:szCs w:val="26"/>
        </w:rPr>
        <w:t>5</w:t>
      </w:r>
      <w:r w:rsidRPr="000641B0" w:rsidR="00AE2B0D">
        <w:rPr>
          <w:rFonts w:cstheme="minorHAnsi"/>
          <w:szCs w:val="26"/>
        </w:rPr>
        <w:t>9</w:t>
      </w:r>
      <w:r w:rsidRPr="000641B0" w:rsidR="00EF7AD4">
        <w:rPr>
          <w:bCs/>
        </w:rPr>
        <w:t>–</w:t>
      </w:r>
      <w:r w:rsidRPr="000641B0" w:rsidR="00AE2B0D">
        <w:rPr>
          <w:rFonts w:cstheme="minorHAnsi"/>
          <w:szCs w:val="26"/>
        </w:rPr>
        <w:t>61</w:t>
      </w:r>
      <w:r w:rsidRPr="000641B0" w:rsidR="00BB01E5">
        <w:rPr>
          <w:rFonts w:cstheme="minorHAnsi"/>
          <w:szCs w:val="26"/>
        </w:rPr>
        <w:t xml:space="preserve">.) </w:t>
      </w:r>
      <w:r w:rsidRPr="000641B0" w:rsidR="001539E0">
        <w:rPr>
          <w:rFonts w:cstheme="minorHAnsi"/>
          <w:szCs w:val="26"/>
        </w:rPr>
        <w:t xml:space="preserve"> </w:t>
      </w:r>
      <w:r w:rsidRPr="000641B0" w:rsidR="003B1239">
        <w:rPr>
          <w:rFonts w:cstheme="minorHAnsi"/>
          <w:szCs w:val="26"/>
        </w:rPr>
        <w:t>T</w:t>
      </w:r>
      <w:r w:rsidRPr="000641B0" w:rsidR="003B4581">
        <w:rPr>
          <w:rFonts w:cstheme="minorHAnsi"/>
          <w:szCs w:val="26"/>
        </w:rPr>
        <w:t xml:space="preserve">he </w:t>
      </w:r>
      <w:r w:rsidRPr="000641B0" w:rsidR="003B4581">
        <w:rPr>
          <w:rFonts w:cstheme="minorHAnsi"/>
          <w:i/>
          <w:iCs/>
          <w:szCs w:val="26"/>
        </w:rPr>
        <w:t>Ritchie</w:t>
      </w:r>
      <w:r w:rsidRPr="000641B0" w:rsidR="003B4581">
        <w:rPr>
          <w:rFonts w:cstheme="minorHAnsi"/>
          <w:szCs w:val="26"/>
        </w:rPr>
        <w:t xml:space="preserve"> court </w:t>
      </w:r>
      <w:r w:rsidRPr="000641B0" w:rsidR="00154DC8">
        <w:rPr>
          <w:rFonts w:cstheme="minorHAnsi"/>
          <w:szCs w:val="26"/>
        </w:rPr>
        <w:t>stated</w:t>
      </w:r>
      <w:r w:rsidRPr="000641B0" w:rsidR="003B4581">
        <w:rPr>
          <w:rFonts w:cstheme="minorHAnsi"/>
          <w:szCs w:val="26"/>
        </w:rPr>
        <w:t xml:space="preserve"> that</w:t>
      </w:r>
      <w:r w:rsidRPr="000641B0" w:rsidR="00762DB0">
        <w:rPr>
          <w:rFonts w:cstheme="minorHAnsi"/>
          <w:szCs w:val="26"/>
        </w:rPr>
        <w:t xml:space="preserve"> </w:t>
      </w:r>
      <w:r w:rsidRPr="000641B0" w:rsidR="003B1239">
        <w:rPr>
          <w:rFonts w:cstheme="minorHAnsi"/>
          <w:szCs w:val="26"/>
        </w:rPr>
        <w:t xml:space="preserve">the trial court was required to </w:t>
      </w:r>
      <w:r w:rsidRPr="000641B0" w:rsidR="005C4CD7">
        <w:rPr>
          <w:rFonts w:cstheme="minorHAnsi"/>
          <w:szCs w:val="26"/>
        </w:rPr>
        <w:t>disclose the material to the defense</w:t>
      </w:r>
      <w:r w:rsidRPr="000641B0" w:rsidR="00762DB0">
        <w:rPr>
          <w:rFonts w:cstheme="minorHAnsi"/>
          <w:szCs w:val="26"/>
        </w:rPr>
        <w:t xml:space="preserve"> if it were to determine the confidential files contained </w:t>
      </w:r>
      <w:r w:rsidRPr="000641B0" w:rsidR="00762DB0">
        <w:rPr>
          <w:rFonts w:cstheme="minorHAnsi"/>
          <w:i/>
          <w:iCs/>
          <w:szCs w:val="26"/>
        </w:rPr>
        <w:t>Brady</w:t>
      </w:r>
      <w:r w:rsidRPr="000641B0" w:rsidR="00762DB0">
        <w:rPr>
          <w:rFonts w:cstheme="minorHAnsi"/>
          <w:szCs w:val="26"/>
        </w:rPr>
        <w:t xml:space="preserve"> material</w:t>
      </w:r>
      <w:r w:rsidRPr="000641B0" w:rsidR="00B54F1B">
        <w:rPr>
          <w:rFonts w:cstheme="minorHAnsi"/>
          <w:szCs w:val="26"/>
        </w:rPr>
        <w:t>.</w:t>
      </w:r>
      <w:r w:rsidRPr="000641B0" w:rsidR="00762DB0">
        <w:rPr>
          <w:rFonts w:cstheme="minorHAnsi"/>
          <w:szCs w:val="26"/>
        </w:rPr>
        <w:t xml:space="preserve"> </w:t>
      </w:r>
      <w:r w:rsidRPr="000641B0" w:rsidR="00B54F1B">
        <w:rPr>
          <w:rFonts w:cstheme="minorHAnsi"/>
          <w:szCs w:val="26"/>
        </w:rPr>
        <w:t xml:space="preserve"> </w:t>
      </w:r>
      <w:r w:rsidRPr="000641B0" w:rsidR="005C4CD7">
        <w:rPr>
          <w:rFonts w:cstheme="minorHAnsi"/>
          <w:szCs w:val="26"/>
        </w:rPr>
        <w:t>(</w:t>
      </w:r>
      <w:r w:rsidRPr="000641B0" w:rsidR="00FE31F1">
        <w:rPr>
          <w:rFonts w:cstheme="minorHAnsi"/>
          <w:i/>
          <w:iCs/>
          <w:szCs w:val="26"/>
        </w:rPr>
        <w:t>Ritchie</w:t>
      </w:r>
      <w:r w:rsidRPr="000641B0" w:rsidR="00FE31F1">
        <w:rPr>
          <w:rFonts w:cstheme="minorHAnsi"/>
          <w:szCs w:val="26"/>
        </w:rPr>
        <w:t>, at p</w:t>
      </w:r>
      <w:r w:rsidRPr="000641B0" w:rsidR="001E224E">
        <w:rPr>
          <w:rFonts w:cstheme="minorHAnsi"/>
          <w:szCs w:val="26"/>
        </w:rPr>
        <w:t>p</w:t>
      </w:r>
      <w:r w:rsidRPr="000641B0" w:rsidR="00FE31F1">
        <w:rPr>
          <w:rFonts w:cstheme="minorHAnsi"/>
          <w:szCs w:val="26"/>
        </w:rPr>
        <w:t>.</w:t>
      </w:r>
      <w:r w:rsidRPr="000641B0" w:rsidR="0031403B">
        <w:rPr>
          <w:rFonts w:cstheme="minorHAnsi"/>
          <w:szCs w:val="26"/>
        </w:rPr>
        <w:t> </w:t>
      </w:r>
      <w:r w:rsidRPr="000641B0" w:rsidR="001E224E">
        <w:rPr>
          <w:rFonts w:cstheme="minorHAnsi"/>
          <w:szCs w:val="26"/>
        </w:rPr>
        <w:t>60</w:t>
      </w:r>
      <w:r w:rsidRPr="000641B0" w:rsidR="00EF7AD4">
        <w:rPr>
          <w:bCs/>
        </w:rPr>
        <w:t>–</w:t>
      </w:r>
      <w:r w:rsidRPr="000641B0" w:rsidR="001E224E">
        <w:rPr>
          <w:rFonts w:cstheme="minorHAnsi"/>
          <w:szCs w:val="26"/>
        </w:rPr>
        <w:t>61</w:t>
      </w:r>
      <w:r w:rsidRPr="000641B0" w:rsidR="00F76ED2">
        <w:rPr>
          <w:rFonts w:cstheme="minorHAnsi"/>
          <w:szCs w:val="26"/>
        </w:rPr>
        <w:t>.)</w:t>
      </w:r>
      <w:r w:rsidRPr="000641B0" w:rsidR="0086407B">
        <w:rPr>
          <w:rFonts w:cstheme="minorHAnsi"/>
          <w:szCs w:val="26"/>
        </w:rPr>
        <w:t xml:space="preserve"> </w:t>
      </w:r>
      <w:r w:rsidRPr="000641B0" w:rsidR="00ED1197">
        <w:rPr>
          <w:rFonts w:cstheme="minorHAnsi"/>
          <w:szCs w:val="26"/>
        </w:rPr>
        <w:t xml:space="preserve"> </w:t>
      </w:r>
    </w:p>
    <w:p w:rsidR="00D541AC" w:rsidRPr="000641B0" w:rsidP="000641B0" w14:paraId="55D0704E" w14:textId="14AE80AA">
      <w:pPr>
        <w:ind w:firstLine="720"/>
        <w:rPr>
          <w:rFonts w:cstheme="minorHAnsi"/>
          <w:szCs w:val="26"/>
        </w:rPr>
      </w:pPr>
      <w:r w:rsidRPr="000641B0">
        <w:rPr>
          <w:rFonts w:cstheme="minorHAnsi"/>
          <w:szCs w:val="26"/>
        </w:rPr>
        <w:t xml:space="preserve">The </w:t>
      </w:r>
      <w:r w:rsidRPr="000641B0">
        <w:rPr>
          <w:rFonts w:cstheme="minorHAnsi"/>
          <w:i/>
          <w:iCs/>
          <w:szCs w:val="26"/>
        </w:rPr>
        <w:t>J.E.</w:t>
      </w:r>
      <w:r w:rsidRPr="000641B0">
        <w:rPr>
          <w:rFonts w:cstheme="minorHAnsi"/>
          <w:szCs w:val="26"/>
        </w:rPr>
        <w:t xml:space="preserve"> </w:t>
      </w:r>
      <w:r w:rsidRPr="000641B0" w:rsidR="003E1267">
        <w:rPr>
          <w:rFonts w:cstheme="minorHAnsi"/>
          <w:szCs w:val="26"/>
        </w:rPr>
        <w:t xml:space="preserve">court explained that </w:t>
      </w:r>
      <w:r w:rsidRPr="000641B0" w:rsidR="006E4D22">
        <w:rPr>
          <w:rFonts w:cstheme="minorHAnsi"/>
          <w:szCs w:val="26"/>
        </w:rPr>
        <w:t xml:space="preserve">Welfare and Institutions Code </w:t>
      </w:r>
      <w:r w:rsidRPr="000641B0" w:rsidR="003E1267">
        <w:rPr>
          <w:rFonts w:cstheme="minorHAnsi"/>
          <w:szCs w:val="26"/>
        </w:rPr>
        <w:t>section 827 codified a similar procedure for in camera review</w:t>
      </w:r>
      <w:r w:rsidRPr="000641B0" w:rsidR="00154DC8">
        <w:rPr>
          <w:rFonts w:cstheme="minorHAnsi"/>
          <w:szCs w:val="26"/>
        </w:rPr>
        <w:t>, and possible disclosure,</w:t>
      </w:r>
      <w:r w:rsidRPr="000641B0" w:rsidR="003E1267">
        <w:rPr>
          <w:rFonts w:cstheme="minorHAnsi"/>
          <w:szCs w:val="26"/>
        </w:rPr>
        <w:t xml:space="preserve"> of juvenile records</w:t>
      </w:r>
      <w:r w:rsidRPr="000641B0" w:rsidR="00FE31F1">
        <w:rPr>
          <w:rFonts w:cstheme="minorHAnsi"/>
          <w:szCs w:val="26"/>
        </w:rPr>
        <w:t xml:space="preserve"> that “</w:t>
      </w:r>
      <w:r w:rsidRPr="000641B0" w:rsidR="00A53DCD">
        <w:rPr>
          <w:rFonts w:cstheme="minorHAnsi"/>
          <w:szCs w:val="26"/>
        </w:rPr>
        <w:t>has long been recognized as an appropriate vehicle to protect both the defendant’s right to a fair trial and the state</w:t>
      </w:r>
      <w:r w:rsidRPr="000641B0" w:rsidR="007C6D77">
        <w:rPr>
          <w:rFonts w:cstheme="minorHAnsi"/>
          <w:szCs w:val="26"/>
        </w:rPr>
        <w:t>’</w:t>
      </w:r>
      <w:r w:rsidRPr="000641B0" w:rsidR="00A53DCD">
        <w:rPr>
          <w:rFonts w:cstheme="minorHAnsi"/>
          <w:szCs w:val="26"/>
        </w:rPr>
        <w:t>s interest in confidentiality of the files.</w:t>
      </w:r>
      <w:r w:rsidRPr="000641B0" w:rsidR="009A619D">
        <w:rPr>
          <w:rFonts w:cstheme="minorHAnsi"/>
          <w:szCs w:val="26"/>
        </w:rPr>
        <w:t>”</w:t>
      </w:r>
      <w:r w:rsidRPr="000641B0" w:rsidR="00A53DCD">
        <w:rPr>
          <w:rFonts w:cstheme="minorHAnsi"/>
          <w:szCs w:val="26"/>
        </w:rPr>
        <w:t xml:space="preserve">  (</w:t>
      </w:r>
      <w:r w:rsidRPr="000641B0" w:rsidR="00C42A3D">
        <w:rPr>
          <w:rFonts w:cstheme="minorHAnsi"/>
          <w:i/>
          <w:iCs/>
          <w:szCs w:val="26"/>
        </w:rPr>
        <w:t>J.E.</w:t>
      </w:r>
      <w:r w:rsidRPr="000641B0" w:rsidR="00C42A3D">
        <w:rPr>
          <w:rFonts w:cstheme="minorHAnsi"/>
          <w:szCs w:val="26"/>
        </w:rPr>
        <w:t>,</w:t>
      </w:r>
      <w:r w:rsidRPr="000641B0" w:rsidR="00C42A3D">
        <w:rPr>
          <w:rFonts w:cstheme="minorHAnsi"/>
          <w:i/>
          <w:iCs/>
          <w:szCs w:val="26"/>
        </w:rPr>
        <w:t xml:space="preserve"> supra</w:t>
      </w:r>
      <w:r w:rsidRPr="000641B0" w:rsidR="00C42A3D">
        <w:rPr>
          <w:rFonts w:cstheme="minorHAnsi"/>
          <w:szCs w:val="26"/>
        </w:rPr>
        <w:t>, 223 Cal.App.4th at p.</w:t>
      </w:r>
      <w:r w:rsidRPr="000641B0" w:rsidR="00ED1197">
        <w:rPr>
          <w:rFonts w:cstheme="minorHAnsi"/>
          <w:szCs w:val="26"/>
        </w:rPr>
        <w:t> </w:t>
      </w:r>
      <w:r w:rsidRPr="000641B0" w:rsidR="00C42A3D">
        <w:rPr>
          <w:rFonts w:cstheme="minorHAnsi"/>
          <w:szCs w:val="26"/>
        </w:rPr>
        <w:t>1338, c</w:t>
      </w:r>
      <w:r w:rsidRPr="000641B0" w:rsidR="00A53DCD">
        <w:rPr>
          <w:rFonts w:cstheme="minorHAnsi"/>
          <w:szCs w:val="26"/>
        </w:rPr>
        <w:t xml:space="preserve">iting, inter alia, </w:t>
      </w:r>
      <w:r w:rsidRPr="000641B0" w:rsidR="00A53DCD">
        <w:rPr>
          <w:rFonts w:cstheme="minorHAnsi"/>
          <w:i/>
          <w:iCs/>
          <w:szCs w:val="26"/>
        </w:rPr>
        <w:t>People v. Martinez</w:t>
      </w:r>
      <w:r w:rsidRPr="000641B0" w:rsidR="0010513B">
        <w:rPr>
          <w:rFonts w:cstheme="minorHAnsi"/>
          <w:szCs w:val="26"/>
        </w:rPr>
        <w:t xml:space="preserve"> </w:t>
      </w:r>
      <w:r w:rsidRPr="000641B0" w:rsidR="00A53DCD">
        <w:rPr>
          <w:rFonts w:cstheme="minorHAnsi"/>
          <w:szCs w:val="26"/>
        </w:rPr>
        <w:t>(2009) 47 Cal.4th 399, 450–454.)</w:t>
      </w:r>
      <w:r w:rsidRPr="000641B0" w:rsidR="0086407B">
        <w:rPr>
          <w:rFonts w:cstheme="minorHAnsi"/>
          <w:szCs w:val="26"/>
        </w:rPr>
        <w:t xml:space="preserve">  </w:t>
      </w:r>
      <w:r w:rsidRPr="000641B0" w:rsidR="009C35CF">
        <w:rPr>
          <w:rFonts w:cstheme="minorHAnsi"/>
          <w:szCs w:val="26"/>
        </w:rPr>
        <w:t xml:space="preserve">And, as we described in </w:t>
      </w:r>
      <w:r w:rsidRPr="000641B0" w:rsidR="009C35CF">
        <w:rPr>
          <w:rFonts w:cstheme="minorHAnsi"/>
          <w:i/>
          <w:iCs/>
          <w:szCs w:val="26"/>
        </w:rPr>
        <w:t>Johnson</w:t>
      </w:r>
      <w:r w:rsidRPr="000641B0" w:rsidR="009C35CF">
        <w:rPr>
          <w:rFonts w:cstheme="minorHAnsi"/>
          <w:szCs w:val="26"/>
        </w:rPr>
        <w:t>, “</w:t>
      </w:r>
      <w:r w:rsidR="00BC51E5">
        <w:rPr>
          <w:rFonts w:cstheme="minorHAnsi"/>
          <w:szCs w:val="26"/>
        </w:rPr>
        <w:t>T</w:t>
      </w:r>
      <w:r w:rsidRPr="000641B0" w:rsidR="00C91F81">
        <w:rPr>
          <w:rFonts w:cstheme="minorHAnsi"/>
          <w:szCs w:val="26"/>
        </w:rPr>
        <w:t>he </w:t>
      </w:r>
      <w:r w:rsidRPr="000641B0" w:rsidR="00C91F81">
        <w:rPr>
          <w:rFonts w:cstheme="minorHAnsi"/>
          <w:i/>
          <w:iCs/>
          <w:szCs w:val="26"/>
        </w:rPr>
        <w:t>J.E.</w:t>
      </w:r>
      <w:r w:rsidRPr="000641B0" w:rsidR="00C91F81">
        <w:rPr>
          <w:rFonts w:cstheme="minorHAnsi"/>
          <w:szCs w:val="26"/>
        </w:rPr>
        <w:t xml:space="preserve"> court explained that, </w:t>
      </w:r>
      <w:r w:rsidRPr="000641B0" w:rsidR="009C35CF">
        <w:rPr>
          <w:rFonts w:cstheme="minorHAnsi"/>
          <w:szCs w:val="26"/>
        </w:rPr>
        <w:t>‘</w:t>
      </w:r>
      <w:r w:rsidRPr="000641B0" w:rsidR="00C91F81">
        <w:rPr>
          <w:rFonts w:cstheme="minorHAnsi"/>
          <w:szCs w:val="26"/>
        </w:rPr>
        <w:t>[a]s a practical matter, use of a</w:t>
      </w:r>
      <w:r w:rsidRPr="000641B0" w:rsidR="0010513B">
        <w:rPr>
          <w:rFonts w:cstheme="minorHAnsi"/>
          <w:szCs w:val="26"/>
        </w:rPr>
        <w:t xml:space="preserve"> </w:t>
      </w:r>
      <w:r w:rsidRPr="000641B0" w:rsidR="00C91F81">
        <w:rPr>
          <w:rFonts w:cstheme="minorHAnsi"/>
          <w:szCs w:val="26"/>
        </w:rPr>
        <w:t>[Welfare and Institutions Code] section 827</w:t>
      </w:r>
      <w:r w:rsidRPr="000641B0" w:rsidR="0010513B">
        <w:rPr>
          <w:rFonts w:cstheme="minorHAnsi"/>
          <w:szCs w:val="26"/>
        </w:rPr>
        <w:t xml:space="preserve"> </w:t>
      </w:r>
      <w:r w:rsidRPr="000641B0" w:rsidR="00C91F81">
        <w:rPr>
          <w:rFonts w:cstheme="minorHAnsi"/>
          <w:szCs w:val="26"/>
        </w:rPr>
        <w:t>petition to secure</w:t>
      </w:r>
      <w:r w:rsidRPr="000641B0" w:rsidR="0010513B">
        <w:rPr>
          <w:rFonts w:cstheme="minorHAnsi"/>
          <w:szCs w:val="26"/>
        </w:rPr>
        <w:t xml:space="preserve"> </w:t>
      </w:r>
      <w:r w:rsidRPr="000641B0" w:rsidR="00C91F81">
        <w:rPr>
          <w:rFonts w:cstheme="minorHAnsi"/>
          <w:i/>
          <w:iCs/>
          <w:szCs w:val="26"/>
        </w:rPr>
        <w:t>Brady</w:t>
      </w:r>
      <w:r w:rsidRPr="000641B0" w:rsidR="0010513B">
        <w:rPr>
          <w:rFonts w:cstheme="minorHAnsi"/>
          <w:szCs w:val="26"/>
        </w:rPr>
        <w:t xml:space="preserve"> </w:t>
      </w:r>
      <w:r w:rsidRPr="000641B0" w:rsidR="00C91F81">
        <w:rPr>
          <w:rFonts w:cstheme="minorHAnsi"/>
          <w:szCs w:val="26"/>
        </w:rPr>
        <w:t>review can also serve to streamline the review process.</w:t>
      </w:r>
      <w:r w:rsidRPr="000641B0" w:rsidR="009C35CF">
        <w:rPr>
          <w:rFonts w:cstheme="minorHAnsi"/>
          <w:szCs w:val="26"/>
        </w:rPr>
        <w:t xml:space="preserve"> </w:t>
      </w:r>
      <w:r w:rsidRPr="000641B0" w:rsidR="00C91F81">
        <w:rPr>
          <w:rFonts w:cstheme="minorHAnsi"/>
          <w:szCs w:val="26"/>
        </w:rPr>
        <w:t xml:space="preserve"> A</w:t>
      </w:r>
      <w:r w:rsidRPr="000641B0" w:rsidR="0010513B">
        <w:rPr>
          <w:rFonts w:cstheme="minorHAnsi"/>
          <w:szCs w:val="26"/>
        </w:rPr>
        <w:t xml:space="preserve"> </w:t>
      </w:r>
      <w:r w:rsidRPr="000641B0" w:rsidR="00C91F81">
        <w:rPr>
          <w:rFonts w:cstheme="minorHAnsi"/>
          <w:szCs w:val="26"/>
        </w:rPr>
        <w:t>section 827</w:t>
      </w:r>
      <w:r w:rsidRPr="000641B0" w:rsidR="0010513B">
        <w:rPr>
          <w:rFonts w:cstheme="minorHAnsi"/>
          <w:szCs w:val="26"/>
        </w:rPr>
        <w:t xml:space="preserve"> </w:t>
      </w:r>
      <w:r w:rsidRPr="000641B0" w:rsidR="00C91F81">
        <w:rPr>
          <w:rFonts w:cstheme="minorHAnsi"/>
          <w:szCs w:val="26"/>
        </w:rPr>
        <w:t xml:space="preserve">petition filed directly with the juvenile court bypasses the prosecutor as an intermediary and allows the court to make the disclosure decision in the first instance. </w:t>
      </w:r>
      <w:r w:rsidRPr="000641B0" w:rsidR="009C35CF">
        <w:rPr>
          <w:rFonts w:cstheme="minorHAnsi"/>
          <w:szCs w:val="26"/>
        </w:rPr>
        <w:t xml:space="preserve"> </w:t>
      </w:r>
      <w:r w:rsidRPr="000641B0" w:rsidR="00C91F81">
        <w:rPr>
          <w:rFonts w:cstheme="minorHAnsi"/>
          <w:szCs w:val="26"/>
        </w:rPr>
        <w:t>This eliminates the need for the prosecution to request court permission for disclosure after its </w:t>
      </w:r>
      <w:r w:rsidRPr="000641B0" w:rsidR="00C91F81">
        <w:rPr>
          <w:rFonts w:cstheme="minorHAnsi"/>
          <w:i/>
          <w:iCs/>
          <w:szCs w:val="26"/>
        </w:rPr>
        <w:t>Brady</w:t>
      </w:r>
      <w:r w:rsidRPr="000641B0" w:rsidR="00C91F81">
        <w:rPr>
          <w:rFonts w:cstheme="minorHAnsi"/>
          <w:szCs w:val="26"/>
        </w:rPr>
        <w:t> review, and forestalls litigation brought by the defense over whether the prosecution has complied with its </w:t>
      </w:r>
      <w:r w:rsidRPr="000641B0" w:rsidR="00C91F81">
        <w:rPr>
          <w:rFonts w:cstheme="minorHAnsi"/>
          <w:i/>
          <w:iCs/>
          <w:szCs w:val="26"/>
        </w:rPr>
        <w:t>Brady</w:t>
      </w:r>
      <w:r w:rsidRPr="000641B0" w:rsidR="00C91F81">
        <w:rPr>
          <w:rFonts w:cstheme="minorHAnsi"/>
          <w:szCs w:val="26"/>
        </w:rPr>
        <w:t xml:space="preserve"> obligations. </w:t>
      </w:r>
      <w:r w:rsidRPr="000641B0" w:rsidR="009C35CF">
        <w:rPr>
          <w:rFonts w:cstheme="minorHAnsi"/>
          <w:szCs w:val="26"/>
        </w:rPr>
        <w:t xml:space="preserve"> </w:t>
      </w:r>
      <w:r w:rsidRPr="000641B0" w:rsidR="00C91F81">
        <w:rPr>
          <w:rFonts w:cstheme="minorHAnsi"/>
          <w:szCs w:val="26"/>
        </w:rPr>
        <w:t>Given that the Legislature has established the section 827 court petition process for access to juvenile files, it makes practical sense to allow use of this process to resolve </w:t>
      </w:r>
      <w:r w:rsidRPr="000641B0" w:rsidR="00C91F81">
        <w:rPr>
          <w:rFonts w:cstheme="minorHAnsi"/>
          <w:i/>
          <w:iCs/>
          <w:szCs w:val="26"/>
        </w:rPr>
        <w:t>Brady</w:t>
      </w:r>
      <w:r w:rsidRPr="000641B0" w:rsidR="00C91F81">
        <w:rPr>
          <w:rFonts w:cstheme="minorHAnsi"/>
          <w:szCs w:val="26"/>
        </w:rPr>
        <w:t> requests through a single procedure.</w:t>
      </w:r>
      <w:r w:rsidRPr="000641B0" w:rsidR="00850F06">
        <w:rPr>
          <w:rFonts w:cstheme="minorHAnsi"/>
          <w:szCs w:val="26"/>
        </w:rPr>
        <w:t xml:space="preserve">’ </w:t>
      </w:r>
      <w:r w:rsidRPr="000641B0" w:rsidR="009C35CF">
        <w:rPr>
          <w:rFonts w:cstheme="minorHAnsi"/>
          <w:szCs w:val="26"/>
        </w:rPr>
        <w:t xml:space="preserve"> </w:t>
      </w:r>
      <w:r w:rsidRPr="000641B0" w:rsidR="00C91F81">
        <w:rPr>
          <w:rFonts w:cstheme="minorHAnsi"/>
          <w:szCs w:val="26"/>
        </w:rPr>
        <w:t>(</w:t>
      </w:r>
      <w:r w:rsidR="00E76D3B">
        <w:rPr>
          <w:rFonts w:cstheme="minorHAnsi"/>
          <w:szCs w:val="26"/>
        </w:rPr>
        <w:t>[</w:t>
      </w:r>
      <w:r w:rsidRPr="000641B0" w:rsidR="00C91F81">
        <w:rPr>
          <w:rFonts w:cstheme="minorHAnsi"/>
          <w:i/>
          <w:iCs/>
          <w:szCs w:val="26"/>
        </w:rPr>
        <w:t>J.E.</w:t>
      </w:r>
      <w:r w:rsidRPr="00E76D3B" w:rsidR="00E76D3B">
        <w:rPr>
          <w:rFonts w:cstheme="minorHAnsi"/>
          <w:szCs w:val="26"/>
        </w:rPr>
        <w:t>]</w:t>
      </w:r>
      <w:r w:rsidRPr="000641B0" w:rsidR="00C91F81">
        <w:rPr>
          <w:rFonts w:cstheme="minorHAnsi"/>
          <w:szCs w:val="26"/>
        </w:rPr>
        <w:t>,</w:t>
      </w:r>
      <w:r w:rsidRPr="000641B0" w:rsidR="00C91F81">
        <w:rPr>
          <w:rFonts w:cstheme="minorHAnsi"/>
          <w:i/>
          <w:iCs/>
          <w:szCs w:val="26"/>
        </w:rPr>
        <w:t xml:space="preserve"> supra</w:t>
      </w:r>
      <w:r w:rsidRPr="000641B0" w:rsidR="00C91F81">
        <w:rPr>
          <w:rFonts w:cstheme="minorHAnsi"/>
          <w:szCs w:val="26"/>
        </w:rPr>
        <w:t>, 223 Cal.App.4th at p.</w:t>
      </w:r>
      <w:r w:rsidRPr="000641B0" w:rsidR="00ED1197">
        <w:rPr>
          <w:rFonts w:cstheme="minorHAnsi"/>
          <w:szCs w:val="26"/>
        </w:rPr>
        <w:t> </w:t>
      </w:r>
      <w:r w:rsidRPr="000641B0" w:rsidR="00C91F81">
        <w:rPr>
          <w:rFonts w:cstheme="minorHAnsi"/>
          <w:szCs w:val="26"/>
        </w:rPr>
        <w:t>1339</w:t>
      </w:r>
      <w:r w:rsidRPr="000641B0" w:rsidR="00850F06">
        <w:rPr>
          <w:rFonts w:cstheme="minorHAnsi"/>
          <w:szCs w:val="26"/>
        </w:rPr>
        <w:t>.</w:t>
      </w:r>
      <w:r w:rsidRPr="000641B0" w:rsidR="00C91F81">
        <w:rPr>
          <w:rFonts w:cstheme="minorHAnsi"/>
          <w:szCs w:val="26"/>
        </w:rPr>
        <w:t>)</w:t>
      </w:r>
      <w:r w:rsidRPr="000641B0" w:rsidR="003932E5">
        <w:rPr>
          <w:rFonts w:cstheme="minorHAnsi"/>
          <w:szCs w:val="26"/>
        </w:rPr>
        <w:t>”</w:t>
      </w:r>
      <w:r w:rsidRPr="000641B0" w:rsidR="00E24B30">
        <w:rPr>
          <w:rFonts w:cstheme="minorHAnsi"/>
          <w:szCs w:val="26"/>
        </w:rPr>
        <w:t xml:space="preserve"> </w:t>
      </w:r>
      <w:r w:rsidRPr="000641B0" w:rsidR="008D2033">
        <w:rPr>
          <w:rFonts w:cstheme="minorHAnsi"/>
          <w:szCs w:val="26"/>
        </w:rPr>
        <w:t xml:space="preserve"> </w:t>
      </w:r>
      <w:r w:rsidRPr="000641B0" w:rsidR="00271FA6">
        <w:rPr>
          <w:rFonts w:cstheme="minorHAnsi"/>
          <w:szCs w:val="26"/>
        </w:rPr>
        <w:t>(</w:t>
      </w:r>
      <w:r w:rsidRPr="000641B0" w:rsidR="00271FA6">
        <w:rPr>
          <w:rFonts w:cstheme="minorHAnsi"/>
          <w:i/>
          <w:iCs/>
          <w:szCs w:val="26"/>
        </w:rPr>
        <w:t>Johnson</w:t>
      </w:r>
      <w:r w:rsidRPr="000641B0" w:rsidR="00271FA6">
        <w:rPr>
          <w:rFonts w:cstheme="minorHAnsi"/>
          <w:szCs w:val="26"/>
        </w:rPr>
        <w:t>,</w:t>
      </w:r>
      <w:r w:rsidRPr="000641B0" w:rsidR="00271FA6">
        <w:rPr>
          <w:rFonts w:cstheme="minorHAnsi"/>
          <w:i/>
          <w:iCs/>
          <w:szCs w:val="26"/>
        </w:rPr>
        <w:t xml:space="preserve"> supra</w:t>
      </w:r>
      <w:r w:rsidRPr="000641B0" w:rsidR="00271FA6">
        <w:rPr>
          <w:rFonts w:cstheme="minorHAnsi"/>
          <w:szCs w:val="26"/>
        </w:rPr>
        <w:t xml:space="preserve">, </w:t>
      </w:r>
      <w:r w:rsidRPr="000641B0" w:rsidR="009258BA">
        <w:rPr>
          <w:rFonts w:cstheme="minorHAnsi"/>
          <w:szCs w:val="26"/>
        </w:rPr>
        <w:t>61</w:t>
      </w:r>
      <w:r w:rsidR="009258BA">
        <w:rPr>
          <w:rFonts w:cstheme="minorHAnsi"/>
          <w:szCs w:val="26"/>
        </w:rPr>
        <w:t> </w:t>
      </w:r>
      <w:r w:rsidRPr="000641B0" w:rsidR="00271FA6">
        <w:rPr>
          <w:rFonts w:cstheme="minorHAnsi"/>
          <w:szCs w:val="26"/>
        </w:rPr>
        <w:t xml:space="preserve">Cal.4th at p. 718.)  </w:t>
      </w:r>
      <w:r w:rsidRPr="000641B0" w:rsidR="007A1FEA">
        <w:rPr>
          <w:rFonts w:cstheme="minorHAnsi"/>
          <w:szCs w:val="26"/>
        </w:rPr>
        <w:t>Accordingly, i</w:t>
      </w:r>
      <w:r w:rsidRPr="000641B0" w:rsidR="00F82318">
        <w:rPr>
          <w:rFonts w:cstheme="minorHAnsi"/>
          <w:szCs w:val="26"/>
        </w:rPr>
        <w:t xml:space="preserve">n </w:t>
      </w:r>
      <w:r w:rsidRPr="000641B0" w:rsidR="00F82318">
        <w:rPr>
          <w:rFonts w:cstheme="minorHAnsi"/>
          <w:i/>
          <w:iCs/>
          <w:szCs w:val="26"/>
        </w:rPr>
        <w:t>Johnson</w:t>
      </w:r>
      <w:r w:rsidRPr="000641B0" w:rsidR="00F82318">
        <w:rPr>
          <w:rFonts w:cstheme="minorHAnsi"/>
          <w:szCs w:val="26"/>
        </w:rPr>
        <w:t xml:space="preserve">, we </w:t>
      </w:r>
      <w:r w:rsidRPr="000641B0" w:rsidR="00494849">
        <w:rPr>
          <w:rFonts w:cstheme="minorHAnsi"/>
          <w:szCs w:val="26"/>
        </w:rPr>
        <w:t>cited</w:t>
      </w:r>
      <w:r w:rsidRPr="000641B0" w:rsidR="00F82318">
        <w:rPr>
          <w:rFonts w:cstheme="minorHAnsi"/>
          <w:szCs w:val="26"/>
        </w:rPr>
        <w:t xml:space="preserve"> </w:t>
      </w:r>
      <w:r w:rsidRPr="000641B0" w:rsidR="005F635A">
        <w:rPr>
          <w:rFonts w:cstheme="minorHAnsi"/>
          <w:i/>
          <w:iCs/>
          <w:szCs w:val="26"/>
        </w:rPr>
        <w:t>Ritchie</w:t>
      </w:r>
      <w:r w:rsidRPr="000641B0" w:rsidR="00096C63">
        <w:rPr>
          <w:rFonts w:cstheme="minorHAnsi"/>
          <w:szCs w:val="26"/>
        </w:rPr>
        <w:t xml:space="preserve"> and </w:t>
      </w:r>
      <w:r w:rsidRPr="000641B0" w:rsidR="00096C63">
        <w:rPr>
          <w:rFonts w:cstheme="minorHAnsi"/>
          <w:i/>
          <w:iCs/>
          <w:szCs w:val="26"/>
        </w:rPr>
        <w:t>J.E</w:t>
      </w:r>
      <w:r w:rsidRPr="000641B0" w:rsidR="00096C63">
        <w:rPr>
          <w:rFonts w:cstheme="minorHAnsi"/>
          <w:szCs w:val="26"/>
        </w:rPr>
        <w:t>.</w:t>
      </w:r>
      <w:r w:rsidRPr="000641B0" w:rsidR="00045295">
        <w:rPr>
          <w:rFonts w:cstheme="minorHAnsi"/>
          <w:szCs w:val="26"/>
        </w:rPr>
        <w:t xml:space="preserve">, </w:t>
      </w:r>
      <w:r w:rsidRPr="000641B0" w:rsidR="007A1FEA">
        <w:rPr>
          <w:rFonts w:cstheme="minorHAnsi"/>
          <w:szCs w:val="26"/>
        </w:rPr>
        <w:t xml:space="preserve">as </w:t>
      </w:r>
      <w:r w:rsidRPr="000641B0" w:rsidR="00096C63">
        <w:rPr>
          <w:rFonts w:cstheme="minorHAnsi"/>
          <w:szCs w:val="26"/>
        </w:rPr>
        <w:t>provid</w:t>
      </w:r>
      <w:r w:rsidRPr="000641B0" w:rsidR="007A1FEA">
        <w:rPr>
          <w:rFonts w:cstheme="minorHAnsi"/>
          <w:szCs w:val="26"/>
        </w:rPr>
        <w:t>ing</w:t>
      </w:r>
      <w:r w:rsidRPr="000641B0" w:rsidR="00096C63">
        <w:rPr>
          <w:rFonts w:cstheme="minorHAnsi"/>
          <w:szCs w:val="26"/>
        </w:rPr>
        <w:t xml:space="preserve"> the “</w:t>
      </w:r>
      <w:r w:rsidRPr="000641B0" w:rsidR="005F635A">
        <w:rPr>
          <w:rFonts w:cstheme="minorHAnsi"/>
          <w:szCs w:val="26"/>
        </w:rPr>
        <w:t>procedure used for confidential juvenile records</w:t>
      </w:r>
      <w:r w:rsidRPr="000641B0" w:rsidR="007F073F">
        <w:rPr>
          <w:rFonts w:cstheme="minorHAnsi"/>
          <w:szCs w:val="26"/>
        </w:rPr>
        <w:t>.</w:t>
      </w:r>
      <w:r w:rsidRPr="000641B0" w:rsidR="003102D8">
        <w:rPr>
          <w:rFonts w:cstheme="minorHAnsi"/>
          <w:szCs w:val="26"/>
        </w:rPr>
        <w:t xml:space="preserve">” </w:t>
      </w:r>
      <w:r w:rsidRPr="000641B0" w:rsidR="007F073F">
        <w:rPr>
          <w:rFonts w:cstheme="minorHAnsi"/>
          <w:szCs w:val="26"/>
        </w:rPr>
        <w:t xml:space="preserve"> </w:t>
      </w:r>
      <w:r w:rsidRPr="000641B0" w:rsidR="00C25ABA">
        <w:rPr>
          <w:rFonts w:cstheme="minorHAnsi"/>
          <w:szCs w:val="26"/>
        </w:rPr>
        <w:t>(</w:t>
      </w:r>
      <w:r w:rsidR="00955469">
        <w:rPr>
          <w:rFonts w:cstheme="minorHAnsi"/>
          <w:i/>
          <w:iCs/>
          <w:szCs w:val="26"/>
        </w:rPr>
        <w:t>Ibid</w:t>
      </w:r>
      <w:r w:rsidRPr="000641B0" w:rsidR="00AF1CF6">
        <w:rPr>
          <w:rFonts w:cstheme="minorHAnsi"/>
          <w:szCs w:val="26"/>
        </w:rPr>
        <w:t>.</w:t>
      </w:r>
      <w:r w:rsidRPr="000641B0" w:rsidR="007A1FEA">
        <w:rPr>
          <w:rFonts w:cstheme="minorHAnsi"/>
          <w:szCs w:val="26"/>
        </w:rPr>
        <w:t>)</w:t>
      </w:r>
      <w:r w:rsidRPr="000641B0" w:rsidR="00E2717E">
        <w:rPr>
          <w:rFonts w:cstheme="minorHAnsi"/>
          <w:szCs w:val="26"/>
        </w:rPr>
        <w:t xml:space="preserve"> </w:t>
      </w:r>
      <w:r w:rsidRPr="000641B0" w:rsidR="00586DFE">
        <w:rPr>
          <w:rFonts w:cstheme="minorHAnsi"/>
          <w:szCs w:val="26"/>
        </w:rPr>
        <w:t xml:space="preserve"> </w:t>
      </w:r>
    </w:p>
    <w:p w:rsidR="00D541AC" w:rsidRPr="000641B0" w:rsidP="000641B0" w14:paraId="78F84DE7" w14:textId="341894D6">
      <w:pPr>
        <w:ind w:firstLine="720"/>
        <w:rPr>
          <w:rFonts w:cstheme="minorHAnsi"/>
          <w:szCs w:val="26"/>
        </w:rPr>
      </w:pPr>
      <w:r w:rsidRPr="000641B0">
        <w:rPr>
          <w:rFonts w:cstheme="minorHAnsi"/>
          <w:szCs w:val="26"/>
        </w:rPr>
        <w:t xml:space="preserve">Finally, in </w:t>
      </w:r>
      <w:bookmarkStart w:id="58" w:name="_Hlk125717959"/>
      <w:bookmarkStart w:id="59" w:name="_Hlk115255250"/>
      <w:r w:rsidRPr="000641B0">
        <w:rPr>
          <w:rFonts w:cstheme="minorHAnsi"/>
          <w:i/>
          <w:iCs/>
          <w:szCs w:val="26"/>
        </w:rPr>
        <w:t>People v. Stewart</w:t>
      </w:r>
      <w:r w:rsidRPr="000641B0">
        <w:rPr>
          <w:rFonts w:cstheme="minorHAnsi"/>
          <w:szCs w:val="26"/>
        </w:rPr>
        <w:t xml:space="preserve"> (2020) 55 Cal.App.5th 755</w:t>
      </w:r>
      <w:r w:rsidRPr="000641B0" w:rsidR="0067368D">
        <w:rPr>
          <w:rFonts w:cstheme="minorHAnsi"/>
          <w:szCs w:val="26"/>
        </w:rPr>
        <w:t xml:space="preserve"> (</w:t>
      </w:r>
      <w:r w:rsidRPr="000641B0" w:rsidR="0067368D">
        <w:rPr>
          <w:rFonts w:cstheme="minorHAnsi"/>
          <w:i/>
          <w:iCs/>
          <w:szCs w:val="26"/>
        </w:rPr>
        <w:t>Stewart</w:t>
      </w:r>
      <w:r w:rsidRPr="000641B0" w:rsidR="0067368D">
        <w:rPr>
          <w:rFonts w:cstheme="minorHAnsi"/>
          <w:szCs w:val="26"/>
        </w:rPr>
        <w:t>)</w:t>
      </w:r>
      <w:bookmarkEnd w:id="58"/>
      <w:r w:rsidRPr="000641B0">
        <w:rPr>
          <w:rFonts w:cstheme="minorHAnsi"/>
          <w:szCs w:val="26"/>
        </w:rPr>
        <w:t xml:space="preserve">, </w:t>
      </w:r>
      <w:bookmarkEnd w:id="59"/>
      <w:r w:rsidRPr="000641B0">
        <w:rPr>
          <w:rFonts w:cstheme="minorHAnsi"/>
          <w:szCs w:val="26"/>
        </w:rPr>
        <w:t xml:space="preserve">the Court of Appeal </w:t>
      </w:r>
      <w:r w:rsidRPr="000641B0" w:rsidR="00E00FAE">
        <w:rPr>
          <w:rFonts w:cstheme="minorHAnsi"/>
          <w:szCs w:val="26"/>
        </w:rPr>
        <w:t>conclud</w:t>
      </w:r>
      <w:r w:rsidRPr="000641B0" w:rsidR="00E94721">
        <w:rPr>
          <w:rFonts w:cstheme="minorHAnsi"/>
          <w:szCs w:val="26"/>
        </w:rPr>
        <w:t>ed</w:t>
      </w:r>
      <w:r w:rsidRPr="000641B0" w:rsidR="00E00FAE">
        <w:rPr>
          <w:rFonts w:cstheme="minorHAnsi"/>
          <w:szCs w:val="26"/>
        </w:rPr>
        <w:t xml:space="preserve"> that </w:t>
      </w:r>
      <w:r w:rsidRPr="000641B0" w:rsidR="004B247E">
        <w:rPr>
          <w:rFonts w:cstheme="minorHAnsi"/>
          <w:szCs w:val="26"/>
        </w:rPr>
        <w:t xml:space="preserve">the People had violated their duty under </w:t>
      </w:r>
      <w:r w:rsidRPr="000641B0" w:rsidR="004B247E">
        <w:rPr>
          <w:rFonts w:cstheme="minorHAnsi"/>
          <w:i/>
          <w:iCs/>
          <w:szCs w:val="26"/>
        </w:rPr>
        <w:t>Brady</w:t>
      </w:r>
      <w:r w:rsidRPr="000641B0" w:rsidR="004B247E">
        <w:rPr>
          <w:rFonts w:cstheme="minorHAnsi"/>
          <w:szCs w:val="26"/>
        </w:rPr>
        <w:t xml:space="preserve"> and its progeny</w:t>
      </w:r>
      <w:r w:rsidRPr="000641B0" w:rsidR="00E00FAE">
        <w:rPr>
          <w:rFonts w:cstheme="minorHAnsi"/>
          <w:szCs w:val="26"/>
        </w:rPr>
        <w:t xml:space="preserve"> </w:t>
      </w:r>
      <w:r w:rsidRPr="000641B0" w:rsidR="00030F3C">
        <w:rPr>
          <w:rFonts w:cstheme="minorHAnsi"/>
          <w:szCs w:val="26"/>
        </w:rPr>
        <w:t>in connection</w:t>
      </w:r>
      <w:r w:rsidRPr="000641B0" w:rsidR="00B04A5A">
        <w:rPr>
          <w:rFonts w:cstheme="minorHAnsi"/>
          <w:szCs w:val="26"/>
        </w:rPr>
        <w:t xml:space="preserve"> with </w:t>
      </w:r>
      <w:r w:rsidRPr="000641B0" w:rsidR="00CE5E75">
        <w:rPr>
          <w:rFonts w:cstheme="minorHAnsi"/>
          <w:szCs w:val="26"/>
        </w:rPr>
        <w:t xml:space="preserve">a police report </w:t>
      </w:r>
      <w:r w:rsidRPr="000641B0" w:rsidR="00E72762">
        <w:rPr>
          <w:rFonts w:cstheme="minorHAnsi"/>
          <w:szCs w:val="26"/>
        </w:rPr>
        <w:t xml:space="preserve">that was </w:t>
      </w:r>
      <w:r w:rsidRPr="000641B0" w:rsidR="00B04A5A">
        <w:rPr>
          <w:rFonts w:cstheme="minorHAnsi"/>
          <w:szCs w:val="26"/>
        </w:rPr>
        <w:t xml:space="preserve">protected from disclosure by Welfare and Institutions Code section 827.  </w:t>
      </w:r>
      <w:r w:rsidRPr="000641B0" w:rsidR="00C36089">
        <w:rPr>
          <w:rFonts w:cstheme="minorHAnsi"/>
          <w:szCs w:val="26"/>
        </w:rPr>
        <w:t xml:space="preserve">The </w:t>
      </w:r>
      <w:r w:rsidRPr="000641B0" w:rsidR="0013399C">
        <w:rPr>
          <w:rFonts w:cstheme="minorHAnsi"/>
          <w:szCs w:val="26"/>
        </w:rPr>
        <w:t xml:space="preserve">alleged victim </w:t>
      </w:r>
      <w:r w:rsidRPr="000641B0" w:rsidR="00E305A8">
        <w:rPr>
          <w:rFonts w:cstheme="minorHAnsi"/>
          <w:szCs w:val="26"/>
        </w:rPr>
        <w:t>of the offenses</w:t>
      </w:r>
      <w:r w:rsidRPr="000641B0" w:rsidR="002C4728">
        <w:rPr>
          <w:rFonts w:cstheme="minorHAnsi"/>
          <w:szCs w:val="26"/>
        </w:rPr>
        <w:t xml:space="preserve"> discussed in the police report</w:t>
      </w:r>
      <w:r w:rsidRPr="000641B0" w:rsidR="007236F4">
        <w:rPr>
          <w:rFonts w:cstheme="minorHAnsi"/>
          <w:szCs w:val="26"/>
        </w:rPr>
        <w:t>, which pertained to an incident separate from the charged offenses</w:t>
      </w:r>
      <w:r w:rsidRPr="000641B0" w:rsidR="002C4728">
        <w:rPr>
          <w:rFonts w:cstheme="minorHAnsi"/>
          <w:szCs w:val="26"/>
        </w:rPr>
        <w:t>,</w:t>
      </w:r>
      <w:r w:rsidRPr="000641B0" w:rsidR="00E305A8">
        <w:rPr>
          <w:rFonts w:cstheme="minorHAnsi"/>
          <w:szCs w:val="26"/>
        </w:rPr>
        <w:t xml:space="preserve"> </w:t>
      </w:r>
      <w:r w:rsidRPr="000641B0" w:rsidR="00360277">
        <w:rPr>
          <w:rFonts w:cstheme="minorHAnsi"/>
          <w:szCs w:val="26"/>
        </w:rPr>
        <w:t>was</w:t>
      </w:r>
      <w:r w:rsidRPr="000641B0" w:rsidR="0013399C">
        <w:rPr>
          <w:rFonts w:cstheme="minorHAnsi"/>
          <w:szCs w:val="26"/>
        </w:rPr>
        <w:t xml:space="preserve"> a </w:t>
      </w:r>
      <w:r w:rsidRPr="000641B0" w:rsidR="001204ED">
        <w:rPr>
          <w:rFonts w:cstheme="minorHAnsi"/>
          <w:szCs w:val="26"/>
        </w:rPr>
        <w:t xml:space="preserve">minor and a </w:t>
      </w:r>
      <w:r w:rsidRPr="000641B0" w:rsidR="0013399C">
        <w:rPr>
          <w:rFonts w:cstheme="minorHAnsi"/>
          <w:szCs w:val="26"/>
        </w:rPr>
        <w:t xml:space="preserve">key </w:t>
      </w:r>
      <w:r w:rsidRPr="000641B0" w:rsidR="00FE074B">
        <w:rPr>
          <w:rFonts w:cstheme="minorHAnsi"/>
          <w:szCs w:val="26"/>
        </w:rPr>
        <w:t xml:space="preserve">prosecution </w:t>
      </w:r>
      <w:r w:rsidRPr="000641B0" w:rsidR="0013399C">
        <w:rPr>
          <w:rFonts w:cstheme="minorHAnsi"/>
          <w:szCs w:val="26"/>
        </w:rPr>
        <w:t xml:space="preserve">witness in the defendant’s </w:t>
      </w:r>
      <w:r w:rsidRPr="000641B0" w:rsidR="00030F3C">
        <w:rPr>
          <w:rFonts w:cstheme="minorHAnsi"/>
          <w:szCs w:val="26"/>
        </w:rPr>
        <w:t>case</w:t>
      </w:r>
      <w:r w:rsidRPr="000641B0" w:rsidR="00C36089">
        <w:rPr>
          <w:rFonts w:cstheme="minorHAnsi"/>
          <w:szCs w:val="26"/>
        </w:rPr>
        <w:t>.  (</w:t>
      </w:r>
      <w:r w:rsidRPr="000641B0" w:rsidR="00B63916">
        <w:rPr>
          <w:rFonts w:cstheme="minorHAnsi"/>
          <w:i/>
          <w:iCs/>
          <w:szCs w:val="26"/>
        </w:rPr>
        <w:t>Stewart</w:t>
      </w:r>
      <w:r w:rsidRPr="000641B0" w:rsidR="00B63916">
        <w:rPr>
          <w:rFonts w:cstheme="minorHAnsi"/>
          <w:szCs w:val="26"/>
        </w:rPr>
        <w:t>,</w:t>
      </w:r>
      <w:r w:rsidRPr="000641B0" w:rsidR="00B63916">
        <w:rPr>
          <w:rFonts w:cstheme="minorHAnsi"/>
          <w:i/>
          <w:iCs/>
          <w:szCs w:val="26"/>
        </w:rPr>
        <w:t xml:space="preserve"> </w:t>
      </w:r>
      <w:r w:rsidRPr="000641B0" w:rsidR="00C36089">
        <w:rPr>
          <w:rFonts w:cstheme="minorHAnsi"/>
          <w:szCs w:val="26"/>
        </w:rPr>
        <w:t xml:space="preserve">at </w:t>
      </w:r>
      <w:r w:rsidRPr="000641B0" w:rsidR="00171B8C">
        <w:rPr>
          <w:rFonts w:cstheme="minorHAnsi"/>
          <w:szCs w:val="26"/>
        </w:rPr>
        <w:t>p</w:t>
      </w:r>
      <w:r w:rsidRPr="000641B0" w:rsidR="00C36089">
        <w:rPr>
          <w:rFonts w:cstheme="minorHAnsi"/>
          <w:szCs w:val="26"/>
        </w:rPr>
        <w:t>p.</w:t>
      </w:r>
      <w:r w:rsidRPr="000641B0" w:rsidR="00ED1197">
        <w:rPr>
          <w:rFonts w:cstheme="minorHAnsi"/>
          <w:szCs w:val="26"/>
        </w:rPr>
        <w:t> </w:t>
      </w:r>
      <w:r w:rsidRPr="000641B0" w:rsidR="00EA4587">
        <w:rPr>
          <w:rFonts w:cstheme="minorHAnsi"/>
          <w:szCs w:val="26"/>
        </w:rPr>
        <w:t>761,</w:t>
      </w:r>
      <w:r w:rsidRPr="000641B0" w:rsidR="00C73259">
        <w:rPr>
          <w:rFonts w:cstheme="minorHAnsi"/>
          <w:szCs w:val="26"/>
        </w:rPr>
        <w:t xml:space="preserve"> </w:t>
      </w:r>
      <w:r w:rsidRPr="000641B0" w:rsidR="00C36089">
        <w:rPr>
          <w:rFonts w:cstheme="minorHAnsi"/>
          <w:szCs w:val="26"/>
        </w:rPr>
        <w:t xml:space="preserve">776.)  </w:t>
      </w:r>
      <w:r w:rsidRPr="000641B0" w:rsidR="0037659A">
        <w:rPr>
          <w:rFonts w:cstheme="minorHAnsi"/>
          <w:szCs w:val="26"/>
        </w:rPr>
        <w:t xml:space="preserve">After discussing </w:t>
      </w:r>
      <w:r w:rsidRPr="00BC51E5" w:rsidR="00F66487">
        <w:rPr>
          <w:rFonts w:cstheme="minorHAnsi"/>
          <w:i/>
          <w:iCs/>
          <w:szCs w:val="26"/>
        </w:rPr>
        <w:t>Ritchie</w:t>
      </w:r>
      <w:r w:rsidRPr="00BC51E5" w:rsidR="00F66487">
        <w:rPr>
          <w:rFonts w:cstheme="minorHAnsi"/>
          <w:szCs w:val="26"/>
        </w:rPr>
        <w:t xml:space="preserve">, </w:t>
      </w:r>
      <w:r w:rsidRPr="00BC51E5" w:rsidR="00F66487">
        <w:rPr>
          <w:rFonts w:cstheme="minorHAnsi"/>
          <w:i/>
          <w:iCs/>
          <w:szCs w:val="26"/>
        </w:rPr>
        <w:t>J.E</w:t>
      </w:r>
      <w:r w:rsidRPr="00BC51E5" w:rsidR="00F66487">
        <w:rPr>
          <w:rFonts w:cstheme="minorHAnsi"/>
          <w:szCs w:val="26"/>
        </w:rPr>
        <w:t xml:space="preserve">., and </w:t>
      </w:r>
      <w:r w:rsidRPr="00BC51E5" w:rsidR="00F66487">
        <w:rPr>
          <w:rFonts w:cstheme="minorHAnsi"/>
          <w:i/>
          <w:iCs/>
          <w:szCs w:val="26"/>
        </w:rPr>
        <w:t>Johnson</w:t>
      </w:r>
      <w:r w:rsidRPr="000641B0" w:rsidR="008D2033">
        <w:rPr>
          <w:rFonts w:cstheme="minorHAnsi"/>
          <w:szCs w:val="26"/>
        </w:rPr>
        <w:t> </w:t>
      </w:r>
      <w:r w:rsidRPr="000641B0" w:rsidR="0067368D">
        <w:rPr>
          <w:szCs w:val="26"/>
        </w:rPr>
        <w:t>—</w:t>
      </w:r>
      <w:r w:rsidR="00B644E9">
        <w:rPr>
          <w:szCs w:val="26"/>
        </w:rPr>
        <w:t xml:space="preserve"> </w:t>
      </w:r>
      <w:r w:rsidRPr="000641B0" w:rsidR="0037659A">
        <w:rPr>
          <w:rFonts w:cstheme="minorHAnsi"/>
          <w:szCs w:val="26"/>
        </w:rPr>
        <w:t>“three cases that bear on a</w:t>
      </w:r>
      <w:r w:rsidRPr="000641B0" w:rsidR="00F66487">
        <w:rPr>
          <w:rFonts w:cstheme="minorHAnsi"/>
          <w:szCs w:val="26"/>
        </w:rPr>
        <w:t xml:space="preserve"> </w:t>
      </w:r>
      <w:r w:rsidRPr="000641B0" w:rsidR="0037659A">
        <w:rPr>
          <w:rFonts w:cstheme="minorHAnsi"/>
          <w:szCs w:val="26"/>
        </w:rPr>
        <w:t>prosecutor’</w:t>
      </w:r>
      <w:r w:rsidRPr="000641B0" w:rsidR="00F66487">
        <w:rPr>
          <w:rFonts w:cstheme="minorHAnsi"/>
          <w:szCs w:val="26"/>
        </w:rPr>
        <w:t xml:space="preserve">s </w:t>
      </w:r>
      <w:r w:rsidRPr="000641B0" w:rsidR="0037659A">
        <w:rPr>
          <w:rFonts w:cstheme="minorHAnsi"/>
          <w:i/>
          <w:iCs/>
          <w:szCs w:val="26"/>
        </w:rPr>
        <w:t>Brady</w:t>
      </w:r>
      <w:r w:rsidRPr="000641B0" w:rsidR="00F66487">
        <w:rPr>
          <w:rFonts w:cstheme="minorHAnsi"/>
          <w:szCs w:val="26"/>
        </w:rPr>
        <w:t xml:space="preserve"> </w:t>
      </w:r>
      <w:r w:rsidRPr="000641B0" w:rsidR="0037659A">
        <w:rPr>
          <w:rFonts w:cstheme="minorHAnsi"/>
          <w:szCs w:val="26"/>
        </w:rPr>
        <w:t xml:space="preserve">obligation in the context of confidential records” </w:t>
      </w:r>
      <w:r w:rsidRPr="000641B0" w:rsidR="009D67DB">
        <w:rPr>
          <w:rFonts w:cstheme="minorHAnsi"/>
          <w:szCs w:val="26"/>
        </w:rPr>
        <w:t>(</w:t>
      </w:r>
      <w:r w:rsidRPr="00BC51E5" w:rsidR="00BC51E5">
        <w:rPr>
          <w:rFonts w:cstheme="minorHAnsi"/>
          <w:i/>
          <w:iCs/>
          <w:szCs w:val="26"/>
        </w:rPr>
        <w:t>Stewart</w:t>
      </w:r>
      <w:r w:rsidR="00BC51E5">
        <w:rPr>
          <w:rFonts w:cstheme="minorHAnsi"/>
          <w:szCs w:val="26"/>
        </w:rPr>
        <w:t>,</w:t>
      </w:r>
      <w:r w:rsidRPr="000641B0" w:rsidR="009D67DB">
        <w:rPr>
          <w:rFonts w:cstheme="minorHAnsi"/>
          <w:szCs w:val="26"/>
        </w:rPr>
        <w:t xml:space="preserve"> </w:t>
      </w:r>
      <w:r w:rsidRPr="000641B0" w:rsidR="0067368D">
        <w:rPr>
          <w:rFonts w:cstheme="minorHAnsi"/>
          <w:szCs w:val="26"/>
        </w:rPr>
        <w:t>at p.</w:t>
      </w:r>
      <w:r w:rsidRPr="000641B0" w:rsidR="00ED1197">
        <w:rPr>
          <w:rFonts w:cstheme="minorHAnsi"/>
          <w:szCs w:val="26"/>
        </w:rPr>
        <w:t> </w:t>
      </w:r>
      <w:r w:rsidRPr="000641B0" w:rsidR="0067368D">
        <w:rPr>
          <w:rFonts w:cstheme="minorHAnsi"/>
          <w:szCs w:val="26"/>
        </w:rPr>
        <w:t>771</w:t>
      </w:r>
      <w:r w:rsidRPr="000641B0" w:rsidR="009D67DB">
        <w:rPr>
          <w:rFonts w:cstheme="minorHAnsi"/>
          <w:szCs w:val="26"/>
        </w:rPr>
        <w:t>)</w:t>
      </w:r>
      <w:r w:rsidRPr="000641B0" w:rsidR="008D2033">
        <w:rPr>
          <w:rFonts w:cstheme="minorHAnsi"/>
          <w:szCs w:val="26"/>
        </w:rPr>
        <w:t> </w:t>
      </w:r>
      <w:r w:rsidRPr="000641B0" w:rsidR="0067368D">
        <w:rPr>
          <w:szCs w:val="26"/>
        </w:rPr>
        <w:t>—</w:t>
      </w:r>
      <w:r w:rsidR="00B644E9">
        <w:rPr>
          <w:szCs w:val="26"/>
        </w:rPr>
        <w:t xml:space="preserve"> </w:t>
      </w:r>
      <w:r w:rsidRPr="000641B0" w:rsidR="00F66487">
        <w:rPr>
          <w:rFonts w:cstheme="minorHAnsi"/>
          <w:szCs w:val="26"/>
        </w:rPr>
        <w:t xml:space="preserve">the </w:t>
      </w:r>
      <w:r w:rsidRPr="000641B0" w:rsidR="000E3E14">
        <w:rPr>
          <w:rFonts w:cstheme="minorHAnsi"/>
          <w:i/>
          <w:iCs/>
          <w:szCs w:val="26"/>
        </w:rPr>
        <w:t>St</w:t>
      </w:r>
      <w:r w:rsidRPr="000641B0" w:rsidR="00733E66">
        <w:rPr>
          <w:rFonts w:cstheme="minorHAnsi"/>
          <w:i/>
          <w:iCs/>
          <w:szCs w:val="26"/>
        </w:rPr>
        <w:t>ewart</w:t>
      </w:r>
      <w:r w:rsidRPr="000641B0" w:rsidR="00733E66">
        <w:rPr>
          <w:rFonts w:cstheme="minorHAnsi"/>
          <w:szCs w:val="26"/>
        </w:rPr>
        <w:t xml:space="preserve"> court</w:t>
      </w:r>
      <w:r w:rsidRPr="000641B0" w:rsidR="0053470A">
        <w:rPr>
          <w:rFonts w:cstheme="minorHAnsi"/>
          <w:szCs w:val="26"/>
        </w:rPr>
        <w:t xml:space="preserve"> concluded</w:t>
      </w:r>
      <w:r w:rsidRPr="000641B0" w:rsidR="00733E66">
        <w:rPr>
          <w:rFonts w:cstheme="minorHAnsi"/>
          <w:szCs w:val="26"/>
        </w:rPr>
        <w:t xml:space="preserve"> </w:t>
      </w:r>
      <w:r w:rsidRPr="000641B0" w:rsidR="004C1A09">
        <w:rPr>
          <w:rFonts w:cstheme="minorHAnsi"/>
          <w:szCs w:val="26"/>
        </w:rPr>
        <w:t>that the</w:t>
      </w:r>
      <w:r w:rsidRPr="000641B0" w:rsidR="0091375E">
        <w:rPr>
          <w:rFonts w:cstheme="minorHAnsi"/>
          <w:szCs w:val="26"/>
        </w:rPr>
        <w:t xml:space="preserve"> </w:t>
      </w:r>
      <w:r w:rsidRPr="000641B0" w:rsidR="00CA49F4">
        <w:rPr>
          <w:rFonts w:cstheme="minorHAnsi"/>
          <w:szCs w:val="26"/>
        </w:rPr>
        <w:t xml:space="preserve">government had suppressed the </w:t>
      </w:r>
      <w:r w:rsidRPr="000641B0" w:rsidR="00E72762">
        <w:rPr>
          <w:rFonts w:cstheme="minorHAnsi"/>
          <w:szCs w:val="26"/>
        </w:rPr>
        <w:t>police report</w:t>
      </w:r>
      <w:r w:rsidRPr="000641B0" w:rsidR="00707AC1">
        <w:rPr>
          <w:rFonts w:cstheme="minorHAnsi"/>
          <w:szCs w:val="26"/>
        </w:rPr>
        <w:t xml:space="preserve">, which contained potentially impeaching information as to </w:t>
      </w:r>
      <w:r w:rsidRPr="000641B0" w:rsidR="007A5843">
        <w:rPr>
          <w:rFonts w:cstheme="minorHAnsi"/>
          <w:szCs w:val="26"/>
        </w:rPr>
        <w:t xml:space="preserve">the </w:t>
      </w:r>
      <w:r w:rsidRPr="000641B0" w:rsidR="008572F8">
        <w:rPr>
          <w:rFonts w:cstheme="minorHAnsi"/>
          <w:szCs w:val="26"/>
        </w:rPr>
        <w:t>alleged victim/</w:t>
      </w:r>
      <w:r w:rsidRPr="000641B0" w:rsidR="00C42ABF">
        <w:rPr>
          <w:rFonts w:cstheme="minorHAnsi"/>
          <w:szCs w:val="26"/>
        </w:rPr>
        <w:t>witness</w:t>
      </w:r>
      <w:r w:rsidRPr="000641B0" w:rsidR="00C36089">
        <w:rPr>
          <w:rFonts w:cstheme="minorHAnsi"/>
          <w:szCs w:val="26"/>
        </w:rPr>
        <w:t xml:space="preserve">. </w:t>
      </w:r>
      <w:r w:rsidRPr="000641B0" w:rsidR="00F700BC">
        <w:rPr>
          <w:rFonts w:cstheme="minorHAnsi"/>
          <w:szCs w:val="26"/>
        </w:rPr>
        <w:t xml:space="preserve"> </w:t>
      </w:r>
      <w:r w:rsidRPr="000641B0" w:rsidR="009A5E0A">
        <w:rPr>
          <w:rFonts w:cstheme="minorHAnsi"/>
          <w:szCs w:val="26"/>
        </w:rPr>
        <w:t>(</w:t>
      </w:r>
      <w:r w:rsidRPr="000641B0" w:rsidR="009A5E0A">
        <w:rPr>
          <w:rFonts w:cstheme="minorHAnsi"/>
          <w:i/>
          <w:iCs/>
          <w:szCs w:val="26"/>
        </w:rPr>
        <w:t>Id</w:t>
      </w:r>
      <w:r w:rsidRPr="000641B0" w:rsidR="009A5E0A">
        <w:rPr>
          <w:rFonts w:cstheme="minorHAnsi"/>
          <w:szCs w:val="26"/>
        </w:rPr>
        <w:t>. at pp.</w:t>
      </w:r>
      <w:r w:rsidRPr="000641B0" w:rsidR="008D2033">
        <w:rPr>
          <w:rFonts w:cstheme="minorHAnsi"/>
          <w:szCs w:val="26"/>
        </w:rPr>
        <w:t> </w:t>
      </w:r>
      <w:r w:rsidRPr="000641B0" w:rsidR="00570346">
        <w:rPr>
          <w:rFonts w:cstheme="minorHAnsi"/>
          <w:szCs w:val="26"/>
        </w:rPr>
        <w:t>775</w:t>
      </w:r>
      <w:r w:rsidRPr="000641B0" w:rsidR="00EF7AD4">
        <w:rPr>
          <w:bCs/>
        </w:rPr>
        <w:t>–</w:t>
      </w:r>
      <w:r w:rsidRPr="000641B0" w:rsidR="00570346">
        <w:rPr>
          <w:rFonts w:cstheme="minorHAnsi"/>
          <w:szCs w:val="26"/>
        </w:rPr>
        <w:t>776.)</w:t>
      </w:r>
      <w:r w:rsidRPr="000641B0" w:rsidR="000254B7">
        <w:rPr>
          <w:rFonts w:cstheme="minorHAnsi"/>
          <w:szCs w:val="26"/>
        </w:rPr>
        <w:t xml:space="preserve">  </w:t>
      </w:r>
      <w:r w:rsidRPr="000641B0" w:rsidR="0091375E">
        <w:rPr>
          <w:rFonts w:cstheme="minorHAnsi"/>
          <w:szCs w:val="26"/>
        </w:rPr>
        <w:t xml:space="preserve">The </w:t>
      </w:r>
      <w:r w:rsidRPr="000641B0" w:rsidR="0091375E">
        <w:rPr>
          <w:rFonts w:cstheme="minorHAnsi"/>
          <w:i/>
          <w:iCs/>
          <w:szCs w:val="26"/>
        </w:rPr>
        <w:t>Stewart</w:t>
      </w:r>
      <w:r w:rsidRPr="000641B0" w:rsidR="0091375E">
        <w:rPr>
          <w:rFonts w:cstheme="minorHAnsi"/>
          <w:szCs w:val="26"/>
        </w:rPr>
        <w:t xml:space="preserve"> court reasoned that the People could have </w:t>
      </w:r>
      <w:r w:rsidRPr="000641B0" w:rsidR="00127043">
        <w:rPr>
          <w:rFonts w:cstheme="minorHAnsi"/>
          <w:szCs w:val="26"/>
        </w:rPr>
        <w:t xml:space="preserve">satisfied their </w:t>
      </w:r>
      <w:r w:rsidRPr="000641B0" w:rsidR="00127043">
        <w:rPr>
          <w:rFonts w:cstheme="minorHAnsi"/>
          <w:i/>
          <w:iCs/>
          <w:szCs w:val="26"/>
        </w:rPr>
        <w:t>Brady</w:t>
      </w:r>
      <w:r w:rsidRPr="000641B0" w:rsidR="00127043">
        <w:rPr>
          <w:rFonts w:cstheme="minorHAnsi"/>
          <w:szCs w:val="26"/>
        </w:rPr>
        <w:t xml:space="preserve"> obligation </w:t>
      </w:r>
      <w:r w:rsidRPr="000641B0" w:rsidR="009D62B2">
        <w:rPr>
          <w:rFonts w:cstheme="minorHAnsi"/>
          <w:szCs w:val="26"/>
        </w:rPr>
        <w:t xml:space="preserve">under such case law </w:t>
      </w:r>
      <w:r w:rsidRPr="000641B0" w:rsidR="00127043">
        <w:rPr>
          <w:rFonts w:cstheme="minorHAnsi"/>
          <w:szCs w:val="26"/>
        </w:rPr>
        <w:t xml:space="preserve">by </w:t>
      </w:r>
      <w:r w:rsidRPr="000641B0" w:rsidR="0088720A">
        <w:rPr>
          <w:rFonts w:cstheme="minorHAnsi"/>
          <w:szCs w:val="26"/>
        </w:rPr>
        <w:t>“</w:t>
      </w:r>
      <w:r w:rsidRPr="000641B0" w:rsidR="00127043">
        <w:rPr>
          <w:rFonts w:cstheme="minorHAnsi"/>
          <w:szCs w:val="26"/>
        </w:rPr>
        <w:t xml:space="preserve">informing the defense of the existence of potential impeachment material in the police report, making a copy of the </w:t>
      </w:r>
      <w:r w:rsidRPr="000641B0" w:rsidR="00DE60FE">
        <w:rPr>
          <w:rFonts w:cstheme="minorHAnsi"/>
          <w:szCs w:val="26"/>
        </w:rPr>
        <w:t>[police report]</w:t>
      </w:r>
      <w:r w:rsidRPr="000641B0" w:rsidR="00127043">
        <w:rPr>
          <w:rFonts w:cstheme="minorHAnsi"/>
          <w:szCs w:val="26"/>
        </w:rPr>
        <w:t xml:space="preserve"> available for the juvenile court</w:t>
      </w:r>
      <w:r w:rsidRPr="000641B0" w:rsidR="00727A7C">
        <w:rPr>
          <w:rFonts w:cstheme="minorHAnsi"/>
          <w:szCs w:val="26"/>
        </w:rPr>
        <w:t>’</w:t>
      </w:r>
      <w:r w:rsidRPr="000641B0" w:rsidR="00127043">
        <w:rPr>
          <w:rFonts w:cstheme="minorHAnsi"/>
          <w:szCs w:val="26"/>
        </w:rPr>
        <w:t xml:space="preserve">s review, and referring </w:t>
      </w:r>
      <w:r w:rsidRPr="000641B0" w:rsidR="00F700BC">
        <w:rPr>
          <w:rFonts w:cstheme="minorHAnsi"/>
          <w:szCs w:val="26"/>
        </w:rPr>
        <w:t>[the defendant]</w:t>
      </w:r>
      <w:r w:rsidRPr="000641B0" w:rsidR="00127043">
        <w:rPr>
          <w:rFonts w:cstheme="minorHAnsi"/>
          <w:szCs w:val="26"/>
        </w:rPr>
        <w:t xml:space="preserve"> to the</w:t>
      </w:r>
      <w:r w:rsidRPr="000641B0" w:rsidR="00DE60FE">
        <w:rPr>
          <w:rFonts w:cstheme="minorHAnsi"/>
          <w:szCs w:val="26"/>
        </w:rPr>
        <w:t xml:space="preserve"> </w:t>
      </w:r>
      <w:r w:rsidRPr="000641B0" w:rsidR="00127043">
        <w:rPr>
          <w:rFonts w:cstheme="minorHAnsi"/>
          <w:szCs w:val="26"/>
        </w:rPr>
        <w:t>section 827</w:t>
      </w:r>
      <w:r w:rsidRPr="000641B0" w:rsidR="00DE60FE">
        <w:rPr>
          <w:rFonts w:cstheme="minorHAnsi"/>
          <w:szCs w:val="26"/>
        </w:rPr>
        <w:t xml:space="preserve"> </w:t>
      </w:r>
      <w:r w:rsidRPr="000641B0" w:rsidR="00127043">
        <w:rPr>
          <w:rFonts w:cstheme="minorHAnsi"/>
          <w:szCs w:val="26"/>
        </w:rPr>
        <w:t>procedure to obtain it</w:t>
      </w:r>
      <w:r w:rsidRPr="000641B0" w:rsidR="0032428B">
        <w:rPr>
          <w:rFonts w:cstheme="minorHAnsi"/>
          <w:szCs w:val="26"/>
        </w:rPr>
        <w:t>,</w:t>
      </w:r>
      <w:r w:rsidRPr="000641B0" w:rsidR="00E2250E">
        <w:rPr>
          <w:rFonts w:cstheme="minorHAnsi"/>
          <w:szCs w:val="26"/>
        </w:rPr>
        <w:t>”</w:t>
      </w:r>
      <w:r w:rsidRPr="000641B0" w:rsidR="0032428B">
        <w:rPr>
          <w:rFonts w:cstheme="minorHAnsi"/>
          <w:szCs w:val="26"/>
        </w:rPr>
        <w:t xml:space="preserve"> but had failed to do so.</w:t>
      </w:r>
      <w:r w:rsidRPr="000641B0" w:rsidR="00E2250E">
        <w:rPr>
          <w:rFonts w:cstheme="minorHAnsi"/>
          <w:szCs w:val="26"/>
        </w:rPr>
        <w:t xml:space="preserve">  (</w:t>
      </w:r>
      <w:r w:rsidR="00955469">
        <w:rPr>
          <w:rFonts w:cstheme="minorHAnsi"/>
          <w:i/>
          <w:iCs/>
          <w:szCs w:val="26"/>
        </w:rPr>
        <w:t>Id</w:t>
      </w:r>
      <w:r w:rsidRPr="00861954" w:rsidR="00955469">
        <w:rPr>
          <w:rFonts w:cstheme="minorHAnsi"/>
          <w:szCs w:val="26"/>
        </w:rPr>
        <w:t>.</w:t>
      </w:r>
      <w:r w:rsidRPr="000641B0" w:rsidR="00E2250E">
        <w:rPr>
          <w:rFonts w:cstheme="minorHAnsi"/>
          <w:szCs w:val="26"/>
        </w:rPr>
        <w:t xml:space="preserve"> at p.</w:t>
      </w:r>
      <w:r w:rsidRPr="000641B0" w:rsidR="008D2033">
        <w:rPr>
          <w:rFonts w:cstheme="minorHAnsi"/>
          <w:szCs w:val="26"/>
        </w:rPr>
        <w:t> </w:t>
      </w:r>
      <w:r w:rsidRPr="000641B0" w:rsidR="00E2250E">
        <w:rPr>
          <w:rFonts w:cstheme="minorHAnsi"/>
          <w:szCs w:val="26"/>
        </w:rPr>
        <w:t>7</w:t>
      </w:r>
      <w:r w:rsidRPr="000641B0" w:rsidR="00570346">
        <w:rPr>
          <w:rFonts w:cstheme="minorHAnsi"/>
          <w:szCs w:val="26"/>
        </w:rPr>
        <w:t>7</w:t>
      </w:r>
      <w:r w:rsidRPr="000641B0" w:rsidR="00E2250E">
        <w:rPr>
          <w:rFonts w:cstheme="minorHAnsi"/>
          <w:szCs w:val="26"/>
        </w:rPr>
        <w:t>5.)</w:t>
      </w:r>
      <w:r w:rsidRPr="000641B0" w:rsidR="0032428B">
        <w:rPr>
          <w:rFonts w:cstheme="minorHAnsi"/>
          <w:szCs w:val="26"/>
        </w:rPr>
        <w:t xml:space="preserve"> </w:t>
      </w:r>
      <w:r w:rsidR="009258BA">
        <w:rPr>
          <w:rFonts w:cstheme="minorHAnsi"/>
          <w:szCs w:val="26"/>
        </w:rPr>
        <w:t xml:space="preserve"> </w:t>
      </w:r>
    </w:p>
    <w:p w:rsidR="00D541AC" w:rsidRPr="000641B0" w:rsidP="000641B0" w14:paraId="75D53159" w14:textId="282835C1">
      <w:pPr>
        <w:ind w:firstLine="720"/>
        <w:rPr>
          <w:rFonts w:cstheme="minorHAnsi"/>
          <w:szCs w:val="26"/>
        </w:rPr>
      </w:pPr>
      <w:r w:rsidRPr="000641B0">
        <w:rPr>
          <w:rFonts w:cstheme="minorHAnsi"/>
          <w:szCs w:val="26"/>
        </w:rPr>
        <w:t>This</w:t>
      </w:r>
      <w:r w:rsidRPr="000641B0" w:rsidR="00A76B8F">
        <w:rPr>
          <w:rFonts w:cstheme="minorHAnsi"/>
          <w:szCs w:val="26"/>
        </w:rPr>
        <w:t xml:space="preserve"> case law </w:t>
      </w:r>
      <w:r w:rsidRPr="000641B0" w:rsidR="001A51C9">
        <w:rPr>
          <w:rFonts w:cstheme="minorHAnsi"/>
          <w:szCs w:val="26"/>
        </w:rPr>
        <w:t xml:space="preserve">informs our </w:t>
      </w:r>
      <w:r w:rsidRPr="000641B0" w:rsidR="00815131">
        <w:rPr>
          <w:rFonts w:cstheme="minorHAnsi"/>
          <w:szCs w:val="26"/>
        </w:rPr>
        <w:t>assessment</w:t>
      </w:r>
      <w:r w:rsidRPr="000641B0" w:rsidR="001A51C9">
        <w:rPr>
          <w:rFonts w:cstheme="minorHAnsi"/>
          <w:szCs w:val="26"/>
        </w:rPr>
        <w:t xml:space="preserve"> of </w:t>
      </w:r>
      <w:r w:rsidRPr="000641B0" w:rsidR="00A86267">
        <w:rPr>
          <w:rFonts w:cstheme="minorHAnsi"/>
          <w:szCs w:val="26"/>
        </w:rPr>
        <w:t>the Attorney General’s duty</w:t>
      </w:r>
      <w:r w:rsidRPr="000641B0" w:rsidR="006160DA">
        <w:rPr>
          <w:rFonts w:cstheme="minorHAnsi"/>
          <w:szCs w:val="26"/>
        </w:rPr>
        <w:t xml:space="preserve"> in responding to a petition</w:t>
      </w:r>
      <w:r w:rsidR="00C167F1">
        <w:rPr>
          <w:rFonts w:cstheme="minorHAnsi"/>
          <w:szCs w:val="26"/>
        </w:rPr>
        <w:t xml:space="preserve"> for writ of habeas corpus</w:t>
      </w:r>
      <w:r w:rsidRPr="000641B0" w:rsidR="006160DA">
        <w:rPr>
          <w:rFonts w:cstheme="minorHAnsi"/>
          <w:szCs w:val="26"/>
        </w:rPr>
        <w:t xml:space="preserve"> alleging a </w:t>
      </w:r>
      <w:r w:rsidRPr="000641B0" w:rsidR="006160DA">
        <w:rPr>
          <w:rFonts w:cstheme="minorHAnsi"/>
          <w:i/>
          <w:iCs/>
          <w:szCs w:val="26"/>
        </w:rPr>
        <w:t>Brady</w:t>
      </w:r>
      <w:r w:rsidRPr="000641B0" w:rsidR="006160DA">
        <w:rPr>
          <w:rFonts w:cstheme="minorHAnsi"/>
          <w:szCs w:val="26"/>
        </w:rPr>
        <w:t xml:space="preserve"> violation </w:t>
      </w:r>
      <w:r w:rsidRPr="000641B0" w:rsidR="00725B1D">
        <w:rPr>
          <w:rFonts w:cstheme="minorHAnsi"/>
          <w:szCs w:val="26"/>
        </w:rPr>
        <w:t xml:space="preserve">from the failure to disclose </w:t>
      </w:r>
      <w:r w:rsidRPr="000641B0" w:rsidR="0033026D">
        <w:rPr>
          <w:rFonts w:cstheme="minorHAnsi"/>
          <w:szCs w:val="26"/>
        </w:rPr>
        <w:t xml:space="preserve">evidence </w:t>
      </w:r>
      <w:r w:rsidRPr="000641B0" w:rsidR="00BB6474">
        <w:rPr>
          <w:rFonts w:cstheme="minorHAnsi"/>
          <w:szCs w:val="26"/>
        </w:rPr>
        <w:t>in a case in which t</w:t>
      </w:r>
      <w:r w:rsidRPr="000641B0" w:rsidR="000C7E3D">
        <w:rPr>
          <w:rFonts w:cstheme="minorHAnsi"/>
          <w:szCs w:val="26"/>
        </w:rPr>
        <w:t xml:space="preserve">he Attorney General is </w:t>
      </w:r>
      <w:r w:rsidRPr="000641B0" w:rsidR="002734B6">
        <w:rPr>
          <w:rFonts w:cstheme="minorHAnsi"/>
          <w:szCs w:val="26"/>
        </w:rPr>
        <w:t xml:space="preserve">himself </w:t>
      </w:r>
      <w:r w:rsidRPr="000641B0" w:rsidR="000C7E3D">
        <w:rPr>
          <w:rFonts w:cstheme="minorHAnsi"/>
          <w:szCs w:val="26"/>
        </w:rPr>
        <w:t xml:space="preserve">prohibited from disclosing </w:t>
      </w:r>
      <w:r w:rsidRPr="000641B0" w:rsidR="00A60C30">
        <w:rPr>
          <w:rFonts w:cstheme="minorHAnsi"/>
          <w:szCs w:val="26"/>
        </w:rPr>
        <w:t>the evidence pursuant to</w:t>
      </w:r>
      <w:r w:rsidRPr="000641B0" w:rsidR="000C7E3D">
        <w:rPr>
          <w:rFonts w:cstheme="minorHAnsi"/>
          <w:szCs w:val="26"/>
        </w:rPr>
        <w:t xml:space="preserve"> Welfare and Institutions Code section 827</w:t>
      </w:r>
      <w:r w:rsidRPr="000641B0" w:rsidR="00A76B8F">
        <w:rPr>
          <w:rFonts w:cstheme="minorHAnsi"/>
          <w:szCs w:val="26"/>
        </w:rPr>
        <w:t xml:space="preserve">. </w:t>
      </w:r>
      <w:r w:rsidRPr="000641B0" w:rsidR="00855A59">
        <w:rPr>
          <w:rFonts w:cstheme="minorHAnsi"/>
          <w:szCs w:val="26"/>
        </w:rPr>
        <w:t xml:space="preserve"> </w:t>
      </w:r>
      <w:r w:rsidRPr="000641B0" w:rsidR="00B45EE5">
        <w:rPr>
          <w:rFonts w:cstheme="minorHAnsi"/>
          <w:szCs w:val="26"/>
        </w:rPr>
        <w:t>Applying such law, we</w:t>
      </w:r>
      <w:r w:rsidRPr="000641B0" w:rsidR="00815131">
        <w:rPr>
          <w:rFonts w:cstheme="minorHAnsi"/>
          <w:szCs w:val="26"/>
        </w:rPr>
        <w:t xml:space="preserve"> </w:t>
      </w:r>
      <w:r w:rsidRPr="000641B0" w:rsidR="00855A59">
        <w:rPr>
          <w:rFonts w:cstheme="minorHAnsi"/>
          <w:szCs w:val="26"/>
        </w:rPr>
        <w:t xml:space="preserve">conclude that </w:t>
      </w:r>
      <w:r w:rsidRPr="000641B0" w:rsidR="000C7E3D">
        <w:rPr>
          <w:rFonts w:cstheme="minorHAnsi"/>
          <w:szCs w:val="26"/>
        </w:rPr>
        <w:t>the A</w:t>
      </w:r>
      <w:r w:rsidRPr="000641B0" w:rsidR="00B80252">
        <w:rPr>
          <w:rFonts w:cstheme="minorHAnsi"/>
          <w:szCs w:val="26"/>
        </w:rPr>
        <w:t>ttorney General</w:t>
      </w:r>
      <w:r w:rsidRPr="000641B0" w:rsidR="000C7E3D">
        <w:rPr>
          <w:rFonts w:cstheme="minorHAnsi"/>
          <w:szCs w:val="26"/>
        </w:rPr>
        <w:t xml:space="preserve"> may satisfy </w:t>
      </w:r>
      <w:r w:rsidRPr="000641B0" w:rsidR="009F7DA2">
        <w:rPr>
          <w:rFonts w:cstheme="minorHAnsi"/>
          <w:szCs w:val="26"/>
        </w:rPr>
        <w:t>his</w:t>
      </w:r>
      <w:r w:rsidRPr="000641B0" w:rsidR="000C7E3D">
        <w:rPr>
          <w:rFonts w:cstheme="minorHAnsi"/>
          <w:szCs w:val="26"/>
        </w:rPr>
        <w:t xml:space="preserve"> </w:t>
      </w:r>
      <w:r w:rsidRPr="000641B0" w:rsidR="000C7E3D">
        <w:rPr>
          <w:rFonts w:cstheme="minorHAnsi"/>
          <w:i/>
          <w:iCs/>
          <w:szCs w:val="26"/>
        </w:rPr>
        <w:t>Brady</w:t>
      </w:r>
      <w:r w:rsidRPr="000641B0" w:rsidR="000C7E3D">
        <w:rPr>
          <w:rFonts w:cstheme="minorHAnsi"/>
          <w:szCs w:val="26"/>
        </w:rPr>
        <w:t xml:space="preserve"> duty </w:t>
      </w:r>
      <w:r w:rsidRPr="000641B0" w:rsidR="004654C5">
        <w:rPr>
          <w:rFonts w:cstheme="minorHAnsi"/>
          <w:szCs w:val="26"/>
        </w:rPr>
        <w:t xml:space="preserve">under such circumstances </w:t>
      </w:r>
      <w:r w:rsidRPr="000641B0" w:rsidR="000C7E3D">
        <w:rPr>
          <w:rFonts w:cstheme="minorHAnsi"/>
          <w:szCs w:val="26"/>
        </w:rPr>
        <w:t xml:space="preserve">by: </w:t>
      </w:r>
      <w:r w:rsidRPr="000641B0" w:rsidR="008D2033">
        <w:rPr>
          <w:rFonts w:cstheme="minorHAnsi"/>
          <w:szCs w:val="26"/>
        </w:rPr>
        <w:t xml:space="preserve"> </w:t>
      </w:r>
      <w:r w:rsidRPr="000641B0" w:rsidR="000C7E3D">
        <w:rPr>
          <w:rFonts w:cstheme="minorHAnsi"/>
          <w:szCs w:val="26"/>
        </w:rPr>
        <w:t>(1)</w:t>
      </w:r>
      <w:r w:rsidRPr="000641B0" w:rsidR="008D2033">
        <w:rPr>
          <w:rFonts w:cstheme="minorHAnsi"/>
          <w:szCs w:val="26"/>
        </w:rPr>
        <w:t> </w:t>
      </w:r>
      <w:r w:rsidRPr="000641B0" w:rsidR="000C7E3D">
        <w:rPr>
          <w:rFonts w:cstheme="minorHAnsi"/>
          <w:szCs w:val="26"/>
        </w:rPr>
        <w:t xml:space="preserve">informing the </w:t>
      </w:r>
      <w:r w:rsidRPr="000641B0" w:rsidR="00ED0875">
        <w:rPr>
          <w:rFonts w:cstheme="minorHAnsi"/>
          <w:szCs w:val="26"/>
        </w:rPr>
        <w:t xml:space="preserve">petitioner or </w:t>
      </w:r>
      <w:r w:rsidR="00AB2B1A">
        <w:rPr>
          <w:rFonts w:cstheme="minorHAnsi"/>
          <w:szCs w:val="26"/>
        </w:rPr>
        <w:t>petitioner’s</w:t>
      </w:r>
      <w:r w:rsidRPr="000641B0" w:rsidR="00AB2B1A">
        <w:rPr>
          <w:rFonts w:cstheme="minorHAnsi"/>
          <w:szCs w:val="26"/>
        </w:rPr>
        <w:t xml:space="preserve"> </w:t>
      </w:r>
      <w:r w:rsidRPr="000641B0" w:rsidR="00ED0875">
        <w:rPr>
          <w:rFonts w:cstheme="minorHAnsi"/>
          <w:szCs w:val="26"/>
        </w:rPr>
        <w:t xml:space="preserve">counsel </w:t>
      </w:r>
      <w:r w:rsidR="00230565">
        <w:rPr>
          <w:rFonts w:cstheme="minorHAnsi"/>
          <w:szCs w:val="26"/>
        </w:rPr>
        <w:t xml:space="preserve">that </w:t>
      </w:r>
      <w:r w:rsidR="00F759BE">
        <w:rPr>
          <w:rFonts w:cstheme="minorHAnsi"/>
          <w:szCs w:val="26"/>
        </w:rPr>
        <w:t>the materials alleged</w:t>
      </w:r>
      <w:r w:rsidR="00FD7A4B">
        <w:rPr>
          <w:rFonts w:cstheme="minorHAnsi"/>
          <w:szCs w:val="26"/>
        </w:rPr>
        <w:t>ly</w:t>
      </w:r>
      <w:r w:rsidR="00F759BE">
        <w:rPr>
          <w:rFonts w:cstheme="minorHAnsi"/>
          <w:szCs w:val="26"/>
        </w:rPr>
        <w:t xml:space="preserve"> </w:t>
      </w:r>
      <w:r w:rsidR="009722B5">
        <w:rPr>
          <w:rFonts w:cstheme="minorHAnsi"/>
          <w:szCs w:val="26"/>
        </w:rPr>
        <w:t>suppressed</w:t>
      </w:r>
      <w:r w:rsidR="00230565">
        <w:rPr>
          <w:rFonts w:cstheme="minorHAnsi"/>
          <w:szCs w:val="26"/>
        </w:rPr>
        <w:t xml:space="preserve"> are </w:t>
      </w:r>
      <w:r w:rsidRPr="000641B0" w:rsidR="000C7E3D">
        <w:rPr>
          <w:rFonts w:cstheme="minorHAnsi"/>
          <w:szCs w:val="26"/>
        </w:rPr>
        <w:t xml:space="preserve">protected by </w:t>
      </w:r>
      <w:r w:rsidRPr="000641B0">
        <w:rPr>
          <w:rFonts w:cstheme="minorHAnsi"/>
          <w:szCs w:val="26"/>
        </w:rPr>
        <w:t xml:space="preserve">Welfare and Institutions Code </w:t>
      </w:r>
      <w:r w:rsidRPr="000641B0" w:rsidR="000C7E3D">
        <w:rPr>
          <w:rFonts w:cstheme="minorHAnsi"/>
          <w:szCs w:val="26"/>
        </w:rPr>
        <w:t xml:space="preserve">section 827; </w:t>
      </w:r>
      <w:r w:rsidR="00C65FEA">
        <w:rPr>
          <w:rFonts w:cstheme="minorHAnsi"/>
          <w:szCs w:val="26"/>
        </w:rPr>
        <w:t>(2</w:t>
      </w:r>
      <w:r w:rsidRPr="000641B0" w:rsidR="00C65FEA">
        <w:rPr>
          <w:rFonts w:cstheme="minorHAnsi"/>
          <w:szCs w:val="26"/>
        </w:rPr>
        <w:t>) informing the petitioner or</w:t>
      </w:r>
      <w:r w:rsidR="00AB2B1A">
        <w:rPr>
          <w:rFonts w:cstheme="minorHAnsi"/>
          <w:szCs w:val="26"/>
        </w:rPr>
        <w:t xml:space="preserve"> petitioner’s</w:t>
      </w:r>
      <w:r w:rsidRPr="000641B0" w:rsidR="00C65FEA">
        <w:rPr>
          <w:rFonts w:cstheme="minorHAnsi"/>
          <w:szCs w:val="26"/>
        </w:rPr>
        <w:t xml:space="preserve"> counsel of the Welfare and Institutions Code</w:t>
      </w:r>
      <w:r w:rsidR="007D1BA6">
        <w:rPr>
          <w:rFonts w:cstheme="minorHAnsi"/>
          <w:szCs w:val="26"/>
        </w:rPr>
        <w:t xml:space="preserve"> </w:t>
      </w:r>
      <w:r w:rsidRPr="000641B0" w:rsidR="00C65FEA">
        <w:rPr>
          <w:rFonts w:cstheme="minorHAnsi"/>
          <w:szCs w:val="26"/>
        </w:rPr>
        <w:t>section 827 procedure needed to obtain such evidence</w:t>
      </w:r>
      <w:r w:rsidR="006B30D8">
        <w:rPr>
          <w:rFonts w:cstheme="minorHAnsi"/>
          <w:szCs w:val="26"/>
        </w:rPr>
        <w:t xml:space="preserve">; </w:t>
      </w:r>
      <w:r w:rsidR="00C65FEA">
        <w:rPr>
          <w:rFonts w:cstheme="minorHAnsi"/>
          <w:szCs w:val="26"/>
        </w:rPr>
        <w:t>and</w:t>
      </w:r>
      <w:r w:rsidRPr="000641B0" w:rsidR="00C65FEA">
        <w:rPr>
          <w:rFonts w:cstheme="minorHAnsi"/>
          <w:szCs w:val="26"/>
        </w:rPr>
        <w:t xml:space="preserve"> </w:t>
      </w:r>
      <w:r w:rsidRPr="000641B0" w:rsidR="000C7E3D">
        <w:rPr>
          <w:rFonts w:cstheme="minorHAnsi"/>
          <w:szCs w:val="26"/>
        </w:rPr>
        <w:t>(</w:t>
      </w:r>
      <w:r w:rsidR="00DF7DF2">
        <w:rPr>
          <w:rFonts w:cstheme="minorHAnsi"/>
          <w:szCs w:val="26"/>
        </w:rPr>
        <w:t>3</w:t>
      </w:r>
      <w:r w:rsidRPr="000641B0" w:rsidR="000C7E3D">
        <w:rPr>
          <w:rFonts w:cstheme="minorHAnsi"/>
          <w:szCs w:val="26"/>
        </w:rPr>
        <w:t>)</w:t>
      </w:r>
      <w:r w:rsidRPr="000641B0" w:rsidR="008D2033">
        <w:rPr>
          <w:rFonts w:cstheme="minorHAnsi"/>
          <w:szCs w:val="26"/>
        </w:rPr>
        <w:t> </w:t>
      </w:r>
      <w:r w:rsidRPr="00AD47E8" w:rsidR="00C65FEA">
        <w:rPr>
          <w:rFonts w:cstheme="minorHAnsi"/>
          <w:szCs w:val="26"/>
        </w:rPr>
        <w:t xml:space="preserve">after the petitioner files a </w:t>
      </w:r>
      <w:r w:rsidRPr="000641B0" w:rsidR="007D1BA6">
        <w:rPr>
          <w:rFonts w:cstheme="minorHAnsi"/>
          <w:szCs w:val="26"/>
        </w:rPr>
        <w:t>Welfare and Institutions Code</w:t>
      </w:r>
      <w:r w:rsidR="007D1BA6">
        <w:rPr>
          <w:rFonts w:cstheme="minorHAnsi"/>
          <w:szCs w:val="26"/>
        </w:rPr>
        <w:t xml:space="preserve"> </w:t>
      </w:r>
      <w:r w:rsidRPr="00AD47E8" w:rsidR="00C65FEA">
        <w:rPr>
          <w:rFonts w:cstheme="minorHAnsi"/>
          <w:szCs w:val="26"/>
        </w:rPr>
        <w:t>section 827</w:t>
      </w:r>
      <w:r w:rsidR="00E453A1">
        <w:rPr>
          <w:rFonts w:cstheme="minorHAnsi"/>
          <w:szCs w:val="26"/>
        </w:rPr>
        <w:t xml:space="preserve"> petition</w:t>
      </w:r>
      <w:r w:rsidR="00C65FEA">
        <w:rPr>
          <w:rFonts w:cstheme="minorHAnsi"/>
          <w:szCs w:val="26"/>
        </w:rPr>
        <w:t xml:space="preserve">, </w:t>
      </w:r>
      <w:r w:rsidRPr="000641B0" w:rsidR="000C7E3D">
        <w:rPr>
          <w:rFonts w:cstheme="minorHAnsi"/>
          <w:szCs w:val="26"/>
        </w:rPr>
        <w:t xml:space="preserve">making </w:t>
      </w:r>
      <w:r w:rsidRPr="000641B0" w:rsidR="007A1FEA">
        <w:rPr>
          <w:rFonts w:cstheme="minorHAnsi"/>
          <w:szCs w:val="26"/>
        </w:rPr>
        <w:t>any</w:t>
      </w:r>
      <w:r w:rsidRPr="000641B0" w:rsidR="000C7E3D">
        <w:rPr>
          <w:rFonts w:cstheme="minorHAnsi"/>
          <w:szCs w:val="26"/>
        </w:rPr>
        <w:t xml:space="preserve"> </w:t>
      </w:r>
      <w:r w:rsidRPr="000641B0" w:rsidR="00580515">
        <w:rPr>
          <w:rFonts w:cstheme="minorHAnsi"/>
          <w:szCs w:val="26"/>
        </w:rPr>
        <w:t xml:space="preserve">such </w:t>
      </w:r>
      <w:r w:rsidRPr="000641B0" w:rsidR="000C7E3D">
        <w:rPr>
          <w:rFonts w:cstheme="minorHAnsi"/>
          <w:szCs w:val="26"/>
        </w:rPr>
        <w:t xml:space="preserve">evidence </w:t>
      </w:r>
      <w:r w:rsidRPr="000641B0" w:rsidR="007A1FEA">
        <w:rPr>
          <w:rFonts w:cstheme="minorHAnsi"/>
          <w:szCs w:val="26"/>
        </w:rPr>
        <w:t xml:space="preserve">that </w:t>
      </w:r>
      <w:r w:rsidRPr="000641B0" w:rsidR="008D2033">
        <w:rPr>
          <w:rFonts w:cstheme="minorHAnsi"/>
          <w:szCs w:val="26"/>
        </w:rPr>
        <w:t xml:space="preserve">the </w:t>
      </w:r>
      <w:r w:rsidRPr="000641B0" w:rsidR="007A1FEA">
        <w:rPr>
          <w:rFonts w:cstheme="minorHAnsi"/>
          <w:szCs w:val="26"/>
        </w:rPr>
        <w:t xml:space="preserve">Attorney General possesses </w:t>
      </w:r>
      <w:r w:rsidRPr="000641B0" w:rsidR="000C7E3D">
        <w:rPr>
          <w:rFonts w:cstheme="minorHAnsi"/>
          <w:szCs w:val="26"/>
        </w:rPr>
        <w:t xml:space="preserve">available for a juvenile court’s review under that statute.  (See </w:t>
      </w:r>
      <w:r w:rsidRPr="000641B0" w:rsidR="000C7E3D">
        <w:rPr>
          <w:rFonts w:cstheme="minorHAnsi"/>
          <w:i/>
          <w:iCs/>
          <w:szCs w:val="26"/>
        </w:rPr>
        <w:t>Stewart</w:t>
      </w:r>
      <w:r w:rsidRPr="000641B0" w:rsidR="009B1EE5">
        <w:rPr>
          <w:rFonts w:cstheme="minorHAnsi"/>
          <w:szCs w:val="26"/>
        </w:rPr>
        <w:t xml:space="preserve">, </w:t>
      </w:r>
      <w:r w:rsidRPr="000641B0" w:rsidR="009B1EE5">
        <w:rPr>
          <w:rFonts w:cstheme="minorHAnsi"/>
          <w:i/>
          <w:iCs/>
          <w:szCs w:val="26"/>
        </w:rPr>
        <w:t>supra</w:t>
      </w:r>
      <w:r w:rsidRPr="000641B0" w:rsidR="009B1EE5">
        <w:rPr>
          <w:rFonts w:cstheme="minorHAnsi"/>
          <w:szCs w:val="26"/>
        </w:rPr>
        <w:t xml:space="preserve">, </w:t>
      </w:r>
      <w:r w:rsidRPr="000641B0" w:rsidR="000C7E3D">
        <w:rPr>
          <w:rFonts w:cstheme="minorHAnsi"/>
          <w:szCs w:val="26"/>
        </w:rPr>
        <w:t xml:space="preserve">55 Cal.App.5th </w:t>
      </w:r>
      <w:r w:rsidRPr="000641B0" w:rsidR="009B1EE5">
        <w:rPr>
          <w:rFonts w:cstheme="minorHAnsi"/>
          <w:szCs w:val="26"/>
        </w:rPr>
        <w:t>at p.</w:t>
      </w:r>
      <w:r w:rsidRPr="000641B0" w:rsidR="008D2033">
        <w:rPr>
          <w:rFonts w:cstheme="minorHAnsi"/>
          <w:szCs w:val="26"/>
        </w:rPr>
        <w:t> </w:t>
      </w:r>
      <w:r w:rsidRPr="000641B0" w:rsidR="000C7E3D">
        <w:rPr>
          <w:rFonts w:cstheme="minorHAnsi"/>
          <w:szCs w:val="26"/>
        </w:rPr>
        <w:t xml:space="preserve">775 </w:t>
      </w:r>
      <w:r w:rsidRPr="000641B0" w:rsidR="009B1EE5">
        <w:rPr>
          <w:rFonts w:cstheme="minorHAnsi"/>
          <w:szCs w:val="26"/>
        </w:rPr>
        <w:t>[</w:t>
      </w:r>
      <w:r w:rsidRPr="000641B0" w:rsidR="000C7E3D">
        <w:rPr>
          <w:rFonts w:cstheme="minorHAnsi"/>
          <w:szCs w:val="26"/>
        </w:rPr>
        <w:t xml:space="preserve">outlining prosecutor’s duty with respect to such evidence prior to conviction].)  </w:t>
      </w:r>
    </w:p>
    <w:p w:rsidR="00D541AC" w:rsidRPr="000641B0" w:rsidP="000641B0" w14:paraId="7345DEB0" w14:textId="5AE3A793">
      <w:pPr>
        <w:ind w:firstLine="720"/>
        <w:rPr>
          <w:rFonts w:cstheme="minorHAnsi"/>
          <w:szCs w:val="26"/>
        </w:rPr>
      </w:pPr>
      <w:r w:rsidRPr="000641B0">
        <w:rPr>
          <w:rFonts w:cstheme="minorHAnsi"/>
          <w:szCs w:val="26"/>
        </w:rPr>
        <w:t xml:space="preserve">Similarly, with respect to </w:t>
      </w:r>
      <w:r w:rsidRPr="000641B0" w:rsidR="00AB503B">
        <w:rPr>
          <w:rFonts w:cstheme="minorHAnsi"/>
          <w:szCs w:val="26"/>
        </w:rPr>
        <w:t xml:space="preserve">his </w:t>
      </w:r>
      <w:r w:rsidRPr="000641B0">
        <w:rPr>
          <w:rFonts w:cstheme="minorHAnsi"/>
          <w:szCs w:val="26"/>
        </w:rPr>
        <w:t xml:space="preserve">ethical duty under </w:t>
      </w:r>
      <w:r w:rsidRPr="000641B0" w:rsidR="009258BA">
        <w:rPr>
          <w:rFonts w:cstheme="minorHAnsi"/>
          <w:szCs w:val="26"/>
        </w:rPr>
        <w:t>Rule</w:t>
      </w:r>
      <w:r w:rsidR="009258BA">
        <w:rPr>
          <w:rFonts w:cstheme="minorHAnsi"/>
          <w:szCs w:val="26"/>
        </w:rPr>
        <w:t> </w:t>
      </w:r>
      <w:r w:rsidRPr="000641B0">
        <w:rPr>
          <w:rFonts w:cstheme="minorHAnsi"/>
          <w:szCs w:val="26"/>
        </w:rPr>
        <w:t>3.8(d)</w:t>
      </w:r>
      <w:r w:rsidRPr="000641B0" w:rsidR="00BD4A9B">
        <w:rPr>
          <w:rFonts w:cstheme="minorHAnsi"/>
          <w:szCs w:val="26"/>
        </w:rPr>
        <w:t xml:space="preserve"> under these circumstances</w:t>
      </w:r>
      <w:r w:rsidRPr="000641B0">
        <w:rPr>
          <w:rFonts w:cstheme="minorHAnsi"/>
          <w:szCs w:val="26"/>
        </w:rPr>
        <w:t xml:space="preserve">, while the Attorney General properly notes that </w:t>
      </w:r>
      <w:r w:rsidRPr="000641B0" w:rsidR="001D1A6D">
        <w:rPr>
          <w:rFonts w:cstheme="minorHAnsi"/>
          <w:szCs w:val="26"/>
        </w:rPr>
        <w:t>comment [3] to R</w:t>
      </w:r>
      <w:r w:rsidRPr="000641B0">
        <w:rPr>
          <w:rFonts w:cstheme="minorHAnsi"/>
          <w:szCs w:val="26"/>
        </w:rPr>
        <w:t>ule</w:t>
      </w:r>
      <w:r w:rsidRPr="000641B0" w:rsidR="001D1A6D">
        <w:rPr>
          <w:rFonts w:cstheme="minorHAnsi"/>
          <w:szCs w:val="26"/>
        </w:rPr>
        <w:t xml:space="preserve"> 3.8 specifies </w:t>
      </w:r>
      <w:r w:rsidRPr="000641B0" w:rsidR="00CD3CFB">
        <w:rPr>
          <w:rFonts w:cstheme="minorHAnsi"/>
          <w:szCs w:val="26"/>
        </w:rPr>
        <w:t>that it</w:t>
      </w:r>
      <w:r w:rsidRPr="000641B0">
        <w:rPr>
          <w:rFonts w:cstheme="minorHAnsi"/>
          <w:szCs w:val="26"/>
        </w:rPr>
        <w:t xml:space="preserve"> “does not require disclosure of information protected from disclosure by federal or California laws and rules</w:t>
      </w:r>
      <w:r w:rsidRPr="000641B0" w:rsidR="00FE6E06">
        <w:rPr>
          <w:rFonts w:cstheme="minorHAnsi"/>
          <w:szCs w:val="26"/>
        </w:rPr>
        <w:t>,</w:t>
      </w:r>
      <w:r w:rsidRPr="000641B0">
        <w:rPr>
          <w:rFonts w:cstheme="minorHAnsi"/>
          <w:szCs w:val="26"/>
        </w:rPr>
        <w:t xml:space="preserve">” </w:t>
      </w:r>
      <w:r w:rsidRPr="000641B0" w:rsidR="002C0CA6">
        <w:rPr>
          <w:rFonts w:cstheme="minorHAnsi"/>
          <w:szCs w:val="26"/>
        </w:rPr>
        <w:t>a</w:t>
      </w:r>
      <w:r w:rsidRPr="000641B0">
        <w:rPr>
          <w:rFonts w:cstheme="minorHAnsi"/>
          <w:szCs w:val="26"/>
        </w:rPr>
        <w:t>s discussed</w:t>
      </w:r>
      <w:r w:rsidRPr="000641B0" w:rsidR="00FE6E06">
        <w:rPr>
          <w:rFonts w:cstheme="minorHAnsi"/>
          <w:szCs w:val="26"/>
        </w:rPr>
        <w:t xml:space="preserve"> in the previous paragraph</w:t>
      </w:r>
      <w:r w:rsidRPr="000641B0">
        <w:rPr>
          <w:rFonts w:cstheme="minorHAnsi"/>
          <w:szCs w:val="26"/>
        </w:rPr>
        <w:t>, the A</w:t>
      </w:r>
      <w:r w:rsidRPr="000641B0" w:rsidR="00FE6E06">
        <w:rPr>
          <w:rFonts w:cstheme="minorHAnsi"/>
          <w:szCs w:val="26"/>
        </w:rPr>
        <w:t>ttorney General</w:t>
      </w:r>
      <w:r w:rsidRPr="000641B0">
        <w:rPr>
          <w:rFonts w:cstheme="minorHAnsi"/>
          <w:szCs w:val="26"/>
        </w:rPr>
        <w:t xml:space="preserve"> need not </w:t>
      </w:r>
      <w:r w:rsidRPr="000641B0">
        <w:rPr>
          <w:rFonts w:cstheme="minorHAnsi"/>
          <w:i/>
          <w:iCs/>
          <w:szCs w:val="26"/>
        </w:rPr>
        <w:t>disclose</w:t>
      </w:r>
      <w:r w:rsidRPr="000641B0">
        <w:rPr>
          <w:rFonts w:cstheme="minorHAnsi"/>
          <w:szCs w:val="26"/>
        </w:rPr>
        <w:t xml:space="preserve"> confidential materials.  Rather, </w:t>
      </w:r>
      <w:r w:rsidRPr="000641B0" w:rsidR="00E70DB0">
        <w:rPr>
          <w:rFonts w:cstheme="minorHAnsi"/>
          <w:szCs w:val="26"/>
        </w:rPr>
        <w:t xml:space="preserve">we conclude that </w:t>
      </w:r>
      <w:r w:rsidRPr="000641B0" w:rsidR="00AB503B">
        <w:rPr>
          <w:rFonts w:cstheme="minorHAnsi"/>
          <w:szCs w:val="26"/>
        </w:rPr>
        <w:t>the Attorney General</w:t>
      </w:r>
      <w:r w:rsidRPr="000641B0">
        <w:rPr>
          <w:rFonts w:cstheme="minorHAnsi"/>
          <w:szCs w:val="26"/>
        </w:rPr>
        <w:t xml:space="preserve"> may comply with his Rule 3.8(d) duty in the same manner as he may comply with his </w:t>
      </w:r>
      <w:r w:rsidRPr="000641B0">
        <w:rPr>
          <w:rFonts w:cstheme="minorHAnsi"/>
          <w:i/>
          <w:iCs/>
          <w:szCs w:val="26"/>
        </w:rPr>
        <w:t>Brady</w:t>
      </w:r>
      <w:r w:rsidRPr="000641B0">
        <w:rPr>
          <w:rFonts w:cstheme="minorHAnsi"/>
          <w:szCs w:val="26"/>
        </w:rPr>
        <w:t xml:space="preserve"> duty with respect to confidential materials</w:t>
      </w:r>
      <w:r w:rsidR="001D5930">
        <w:rPr>
          <w:rFonts w:cstheme="minorHAnsi"/>
          <w:szCs w:val="26"/>
        </w:rPr>
        <w:t>.</w:t>
      </w:r>
      <w:r w:rsidRPr="000641B0" w:rsidR="00617655">
        <w:rPr>
          <w:rFonts w:cstheme="minorHAnsi"/>
          <w:szCs w:val="26"/>
        </w:rPr>
        <w:t xml:space="preserve"> </w:t>
      </w:r>
      <w:r w:rsidR="007B2DDE">
        <w:rPr>
          <w:rFonts w:cstheme="minorHAnsi"/>
          <w:szCs w:val="26"/>
        </w:rPr>
        <w:t xml:space="preserve"> </w:t>
      </w:r>
      <w:r w:rsidRPr="000641B0" w:rsidR="00E70DB0">
        <w:rPr>
          <w:rFonts w:cstheme="minorHAnsi"/>
          <w:szCs w:val="26"/>
        </w:rPr>
        <w:t>(Cf.</w:t>
      </w:r>
      <w:r w:rsidRPr="000641B0" w:rsidR="003E7571">
        <w:rPr>
          <w:rFonts w:cstheme="minorHAnsi"/>
          <w:szCs w:val="26"/>
        </w:rPr>
        <w:t xml:space="preserve"> </w:t>
      </w:r>
      <w:r w:rsidRPr="000641B0" w:rsidR="00E70DB0">
        <w:rPr>
          <w:rFonts w:cstheme="minorHAnsi"/>
          <w:i/>
          <w:iCs/>
          <w:szCs w:val="26"/>
        </w:rPr>
        <w:t>Stewart</w:t>
      </w:r>
      <w:r w:rsidRPr="000641B0" w:rsidR="00E70DB0">
        <w:rPr>
          <w:rFonts w:cstheme="minorHAnsi"/>
          <w:szCs w:val="26"/>
        </w:rPr>
        <w:t xml:space="preserve">, </w:t>
      </w:r>
      <w:r w:rsidRPr="000641B0" w:rsidR="00E70DB0">
        <w:rPr>
          <w:rFonts w:cstheme="minorHAnsi"/>
          <w:i/>
          <w:iCs/>
          <w:szCs w:val="26"/>
        </w:rPr>
        <w:t>supra</w:t>
      </w:r>
      <w:r w:rsidRPr="000641B0" w:rsidR="00E70DB0">
        <w:rPr>
          <w:rFonts w:cstheme="minorHAnsi"/>
          <w:szCs w:val="26"/>
        </w:rPr>
        <w:t>, 55</w:t>
      </w:r>
      <w:r w:rsidR="00B644E9">
        <w:rPr>
          <w:rFonts w:cstheme="minorHAnsi"/>
          <w:szCs w:val="26"/>
        </w:rPr>
        <w:t> </w:t>
      </w:r>
      <w:r w:rsidRPr="000641B0" w:rsidR="00E70DB0">
        <w:rPr>
          <w:rFonts w:cstheme="minorHAnsi"/>
          <w:szCs w:val="26"/>
        </w:rPr>
        <w:t>Cal.App.5th at p.</w:t>
      </w:r>
      <w:r w:rsidRPr="000641B0" w:rsidR="00ED1197">
        <w:rPr>
          <w:rFonts w:cstheme="minorHAnsi"/>
          <w:szCs w:val="26"/>
        </w:rPr>
        <w:t> </w:t>
      </w:r>
      <w:r w:rsidRPr="000641B0" w:rsidR="00E70DB0">
        <w:rPr>
          <w:rFonts w:cstheme="minorHAnsi"/>
          <w:szCs w:val="26"/>
        </w:rPr>
        <w:t>775.)</w:t>
      </w:r>
    </w:p>
    <w:p w:rsidR="00D541AC" w:rsidRPr="000641B0" w:rsidP="000641B0" w14:paraId="7ED52DD7" w14:textId="2D1F8D76">
      <w:pPr>
        <w:ind w:firstLine="720"/>
        <w:rPr>
          <w:rFonts w:cstheme="minorHAnsi"/>
          <w:szCs w:val="26"/>
        </w:rPr>
      </w:pPr>
      <w:r w:rsidRPr="000641B0">
        <w:rPr>
          <w:rFonts w:cstheme="minorHAnsi"/>
          <w:szCs w:val="26"/>
        </w:rPr>
        <w:t xml:space="preserve">Finally, with respect to </w:t>
      </w:r>
      <w:r w:rsidRPr="000641B0" w:rsidR="00580515">
        <w:rPr>
          <w:rFonts w:cstheme="minorHAnsi"/>
          <w:szCs w:val="26"/>
        </w:rPr>
        <w:t xml:space="preserve">a </w:t>
      </w:r>
      <w:r w:rsidRPr="000641B0">
        <w:rPr>
          <w:rFonts w:cstheme="minorHAnsi"/>
          <w:szCs w:val="26"/>
        </w:rPr>
        <w:t xml:space="preserve">respondent’s duty in filing a return </w:t>
      </w:r>
      <w:r w:rsidRPr="000641B0" w:rsidR="00162A9D">
        <w:rPr>
          <w:rFonts w:cstheme="minorHAnsi"/>
          <w:szCs w:val="26"/>
        </w:rPr>
        <w:t>under these circumstances</w:t>
      </w:r>
      <w:r w:rsidRPr="000641B0" w:rsidR="003F5C57">
        <w:rPr>
          <w:rFonts w:cstheme="minorHAnsi"/>
          <w:szCs w:val="26"/>
        </w:rPr>
        <w:t>, we conclude that</w:t>
      </w:r>
      <w:r w:rsidRPr="000641B0" w:rsidR="00580515">
        <w:rPr>
          <w:rFonts w:cstheme="minorHAnsi"/>
          <w:szCs w:val="26"/>
        </w:rPr>
        <w:t xml:space="preserve"> a </w:t>
      </w:r>
      <w:r w:rsidRPr="000641B0" w:rsidR="003F5C57">
        <w:rPr>
          <w:rFonts w:cstheme="minorHAnsi"/>
          <w:szCs w:val="26"/>
        </w:rPr>
        <w:t>respondent may</w:t>
      </w:r>
      <w:r w:rsidRPr="000641B0" w:rsidR="00281EB7">
        <w:rPr>
          <w:rFonts w:cstheme="minorHAnsi"/>
          <w:szCs w:val="26"/>
        </w:rPr>
        <w:t xml:space="preserve"> plead an inability to plead facts about the alleged </w:t>
      </w:r>
      <w:r w:rsidRPr="000641B0" w:rsidR="00281EB7">
        <w:rPr>
          <w:rFonts w:cstheme="minorHAnsi"/>
          <w:i/>
          <w:iCs/>
          <w:szCs w:val="26"/>
        </w:rPr>
        <w:t xml:space="preserve">Brady </w:t>
      </w:r>
      <w:r w:rsidRPr="000641B0" w:rsidR="00281EB7">
        <w:rPr>
          <w:rFonts w:cstheme="minorHAnsi"/>
          <w:szCs w:val="26"/>
        </w:rPr>
        <w:t>evidence due to the Welfare and Institutions Code section 827 disclosure bar</w:t>
      </w:r>
      <w:r w:rsidRPr="000641B0" w:rsidR="00EF4C02">
        <w:rPr>
          <w:rFonts w:cstheme="minorHAnsi"/>
          <w:szCs w:val="26"/>
        </w:rPr>
        <w:t>.</w:t>
      </w:r>
      <w:r w:rsidRPr="000641B0" w:rsidR="009A6C17">
        <w:rPr>
          <w:rFonts w:cstheme="minorHAnsi"/>
          <w:szCs w:val="26"/>
        </w:rPr>
        <w:t xml:space="preserve">  </w:t>
      </w:r>
      <w:r w:rsidRPr="000641B0" w:rsidR="00EF4C02">
        <w:rPr>
          <w:rFonts w:cstheme="minorHAnsi"/>
          <w:szCs w:val="26"/>
        </w:rPr>
        <w:t xml:space="preserve">Permitting </w:t>
      </w:r>
      <w:r w:rsidRPr="000641B0" w:rsidR="00580515">
        <w:rPr>
          <w:rFonts w:cstheme="minorHAnsi"/>
          <w:szCs w:val="26"/>
        </w:rPr>
        <w:t>a</w:t>
      </w:r>
      <w:r w:rsidRPr="000641B0" w:rsidR="00EF4C02">
        <w:rPr>
          <w:rFonts w:cstheme="minorHAnsi"/>
          <w:szCs w:val="26"/>
        </w:rPr>
        <w:t xml:space="preserve"> </w:t>
      </w:r>
      <w:r w:rsidRPr="000641B0" w:rsidR="002E625B">
        <w:rPr>
          <w:rFonts w:cstheme="minorHAnsi"/>
          <w:szCs w:val="26"/>
        </w:rPr>
        <w:t>respondent to file s</w:t>
      </w:r>
      <w:r w:rsidRPr="000641B0" w:rsidR="00EF4C02">
        <w:rPr>
          <w:rFonts w:cstheme="minorHAnsi"/>
          <w:szCs w:val="26"/>
        </w:rPr>
        <w:t xml:space="preserve">uch a pleading would be consistent with our discussion in </w:t>
      </w:r>
      <w:r w:rsidRPr="000641B0" w:rsidR="00EF4C02">
        <w:rPr>
          <w:rFonts w:cstheme="minorHAnsi"/>
          <w:i/>
          <w:iCs/>
          <w:szCs w:val="26"/>
        </w:rPr>
        <w:t xml:space="preserve">Duvall </w:t>
      </w:r>
      <w:r w:rsidRPr="000641B0" w:rsidR="00EF4C02">
        <w:rPr>
          <w:rFonts w:cstheme="minorHAnsi"/>
          <w:szCs w:val="26"/>
        </w:rPr>
        <w:t>of pleading rules to be applied “where access to critical information is limited or denied to one party</w:t>
      </w:r>
      <w:r w:rsidRPr="000641B0" w:rsidR="00AF25F4">
        <w:rPr>
          <w:rFonts w:cstheme="minorHAnsi"/>
          <w:szCs w:val="26"/>
        </w:rPr>
        <w:t>.</w:t>
      </w:r>
      <w:r w:rsidRPr="000641B0" w:rsidR="00EF4C02">
        <w:rPr>
          <w:rFonts w:cstheme="minorHAnsi"/>
          <w:szCs w:val="26"/>
        </w:rPr>
        <w:t>”  (</w:t>
      </w:r>
      <w:r w:rsidRPr="000641B0" w:rsidR="00EF4C02">
        <w:rPr>
          <w:rFonts w:cstheme="minorHAnsi"/>
          <w:i/>
          <w:iCs/>
          <w:szCs w:val="26"/>
        </w:rPr>
        <w:t>Duvall</w:t>
      </w:r>
      <w:r w:rsidRPr="000641B0" w:rsidR="00EF4C02">
        <w:rPr>
          <w:rFonts w:cstheme="minorHAnsi"/>
          <w:szCs w:val="26"/>
        </w:rPr>
        <w:t>,</w:t>
      </w:r>
      <w:r w:rsidRPr="000641B0" w:rsidR="00EF4C02">
        <w:rPr>
          <w:rFonts w:cstheme="minorHAnsi"/>
          <w:i/>
          <w:iCs/>
          <w:szCs w:val="26"/>
        </w:rPr>
        <w:t xml:space="preserve"> supra</w:t>
      </w:r>
      <w:r w:rsidRPr="000641B0" w:rsidR="00EF4C02">
        <w:rPr>
          <w:rFonts w:cstheme="minorHAnsi"/>
          <w:szCs w:val="26"/>
        </w:rPr>
        <w:t>, 9 Cal.4th at p.</w:t>
      </w:r>
      <w:r w:rsidRPr="000641B0" w:rsidR="008D2033">
        <w:rPr>
          <w:rFonts w:cstheme="minorHAnsi"/>
          <w:szCs w:val="26"/>
        </w:rPr>
        <w:t> </w:t>
      </w:r>
      <w:r w:rsidRPr="000641B0" w:rsidR="00EF4C02">
        <w:rPr>
          <w:rFonts w:cstheme="minorHAnsi"/>
          <w:szCs w:val="26"/>
        </w:rPr>
        <w:t xml:space="preserve">485.) </w:t>
      </w:r>
      <w:r w:rsidRPr="000641B0" w:rsidR="00047B5D">
        <w:rPr>
          <w:rFonts w:cstheme="minorHAnsi"/>
          <w:szCs w:val="26"/>
        </w:rPr>
        <w:t xml:space="preserve"> </w:t>
      </w:r>
      <w:r w:rsidRPr="000641B0" w:rsidR="002E625B">
        <w:rPr>
          <w:rFonts w:cstheme="minorHAnsi"/>
          <w:szCs w:val="26"/>
        </w:rPr>
        <w:t xml:space="preserve">Such a pleading would </w:t>
      </w:r>
      <w:r w:rsidRPr="000641B0" w:rsidR="00046F03">
        <w:rPr>
          <w:rFonts w:cstheme="minorHAnsi"/>
          <w:szCs w:val="26"/>
        </w:rPr>
        <w:t xml:space="preserve">also </w:t>
      </w:r>
      <w:r w:rsidRPr="000641B0" w:rsidR="002E625B">
        <w:rPr>
          <w:rFonts w:cstheme="minorHAnsi"/>
          <w:szCs w:val="26"/>
        </w:rPr>
        <w:t xml:space="preserve">be consistent with the requirement in </w:t>
      </w:r>
      <w:r w:rsidRPr="000641B0" w:rsidR="002E625B">
        <w:rPr>
          <w:rFonts w:cstheme="minorHAnsi"/>
          <w:i/>
          <w:iCs/>
          <w:szCs w:val="26"/>
        </w:rPr>
        <w:t>Duvall</w:t>
      </w:r>
      <w:r w:rsidRPr="000641B0" w:rsidR="002E625B">
        <w:rPr>
          <w:rFonts w:cstheme="minorHAnsi"/>
          <w:szCs w:val="26"/>
        </w:rPr>
        <w:t xml:space="preserve"> that the </w:t>
      </w:r>
      <w:r w:rsidRPr="000641B0" w:rsidR="00AF25F4">
        <w:rPr>
          <w:rFonts w:cstheme="minorHAnsi"/>
          <w:szCs w:val="26"/>
        </w:rPr>
        <w:t>“</w:t>
      </w:r>
      <w:r w:rsidRPr="000641B0" w:rsidR="002E625B">
        <w:rPr>
          <w:rFonts w:cstheme="minorHAnsi"/>
          <w:szCs w:val="26"/>
        </w:rPr>
        <w:t xml:space="preserve">return </w:t>
      </w:r>
      <w:r w:rsidRPr="000641B0" w:rsidR="000E186A">
        <w:rPr>
          <w:rFonts w:cstheme="minorHAnsi"/>
          <w:szCs w:val="26"/>
        </w:rPr>
        <w:t xml:space="preserve">should </w:t>
      </w:r>
      <w:r w:rsidRPr="000641B0" w:rsidR="002E625B">
        <w:rPr>
          <w:rFonts w:cstheme="minorHAnsi"/>
          <w:szCs w:val="26"/>
        </w:rPr>
        <w:t>set forth with specificity</w:t>
      </w:r>
      <w:r w:rsidR="007B2DDE">
        <w:rPr>
          <w:rFonts w:cstheme="minorHAnsi"/>
          <w:szCs w:val="26"/>
        </w:rPr>
        <w:t> . . . </w:t>
      </w:r>
      <w:r w:rsidRPr="000641B0" w:rsidR="002E625B">
        <w:rPr>
          <w:rFonts w:cstheme="minorHAnsi"/>
          <w:szCs w:val="26"/>
        </w:rPr>
        <w:t>why information is not readily available.”</w:t>
      </w:r>
      <w:r w:rsidRPr="000641B0" w:rsidR="008D2033">
        <w:rPr>
          <w:rFonts w:cstheme="minorHAnsi"/>
          <w:szCs w:val="26"/>
        </w:rPr>
        <w:t xml:space="preserve"> </w:t>
      </w:r>
      <w:r w:rsidRPr="000641B0" w:rsidR="002E625B">
        <w:rPr>
          <w:rFonts w:cstheme="minorHAnsi"/>
          <w:szCs w:val="26"/>
        </w:rPr>
        <w:t xml:space="preserve"> (</w:t>
      </w:r>
      <w:r w:rsidRPr="000641B0" w:rsidR="002E625B">
        <w:rPr>
          <w:rFonts w:cstheme="minorHAnsi"/>
          <w:i/>
          <w:iCs/>
          <w:szCs w:val="26"/>
        </w:rPr>
        <w:t>Ibid</w:t>
      </w:r>
      <w:r w:rsidRPr="000641B0" w:rsidR="002E625B">
        <w:rPr>
          <w:rFonts w:cstheme="minorHAnsi"/>
          <w:szCs w:val="26"/>
        </w:rPr>
        <w:t xml:space="preserve">.)  </w:t>
      </w:r>
      <w:r w:rsidRPr="000641B0" w:rsidR="00281EB7">
        <w:rPr>
          <w:rFonts w:cstheme="minorHAnsi"/>
          <w:szCs w:val="26"/>
        </w:rPr>
        <w:t xml:space="preserve">The Attorney General should </w:t>
      </w:r>
      <w:r w:rsidRPr="000641B0" w:rsidR="00046F03">
        <w:rPr>
          <w:rFonts w:cstheme="minorHAnsi"/>
          <w:szCs w:val="26"/>
        </w:rPr>
        <w:t xml:space="preserve">also </w:t>
      </w:r>
      <w:r w:rsidRPr="000641B0" w:rsidR="000844C5">
        <w:rPr>
          <w:rFonts w:cstheme="minorHAnsi"/>
          <w:szCs w:val="26"/>
        </w:rPr>
        <w:t xml:space="preserve">state in respondent’s return that the petitioner or </w:t>
      </w:r>
      <w:r w:rsidR="000844C5">
        <w:rPr>
          <w:rFonts w:cstheme="minorHAnsi"/>
          <w:szCs w:val="26"/>
        </w:rPr>
        <w:t>petitioner’s</w:t>
      </w:r>
      <w:r w:rsidRPr="000641B0" w:rsidR="000844C5">
        <w:rPr>
          <w:rFonts w:cstheme="minorHAnsi"/>
          <w:szCs w:val="26"/>
        </w:rPr>
        <w:t xml:space="preserve"> counsel may utilize the procedure specified in that statute to attempt to obtain such evidence </w:t>
      </w:r>
      <w:r w:rsidR="000844C5">
        <w:rPr>
          <w:rFonts w:cstheme="minorHAnsi"/>
          <w:szCs w:val="26"/>
        </w:rPr>
        <w:t xml:space="preserve">and </w:t>
      </w:r>
      <w:r w:rsidRPr="000641B0" w:rsidR="00281EB7">
        <w:rPr>
          <w:rFonts w:cstheme="minorHAnsi"/>
          <w:szCs w:val="26"/>
        </w:rPr>
        <w:t xml:space="preserve">make </w:t>
      </w:r>
      <w:r w:rsidRPr="000641B0" w:rsidR="00580515">
        <w:rPr>
          <w:rFonts w:cstheme="minorHAnsi"/>
          <w:szCs w:val="26"/>
        </w:rPr>
        <w:t xml:space="preserve">any such evidence he possesses </w:t>
      </w:r>
      <w:r w:rsidRPr="000641B0" w:rsidR="00281EB7">
        <w:rPr>
          <w:rFonts w:cstheme="minorHAnsi"/>
          <w:szCs w:val="26"/>
        </w:rPr>
        <w:t xml:space="preserve">available for a juvenile court’s review under </w:t>
      </w:r>
      <w:r w:rsidRPr="000641B0" w:rsidR="00FE7FCF">
        <w:rPr>
          <w:rFonts w:cstheme="minorHAnsi"/>
          <w:szCs w:val="26"/>
        </w:rPr>
        <w:t xml:space="preserve">Welfare and Institutions Code </w:t>
      </w:r>
      <w:r w:rsidRPr="000641B0" w:rsidR="00281EB7">
        <w:rPr>
          <w:rFonts w:cstheme="minorHAnsi"/>
          <w:szCs w:val="26"/>
        </w:rPr>
        <w:t xml:space="preserve">section 827.  </w:t>
      </w:r>
      <w:r w:rsidRPr="000641B0" w:rsidR="002E625B">
        <w:rPr>
          <w:rFonts w:cstheme="minorHAnsi"/>
          <w:szCs w:val="26"/>
        </w:rPr>
        <w:t xml:space="preserve">By filing such a return, </w:t>
      </w:r>
      <w:r w:rsidRPr="000641B0" w:rsidR="00154496">
        <w:rPr>
          <w:rFonts w:cstheme="minorHAnsi"/>
          <w:szCs w:val="26"/>
        </w:rPr>
        <w:t>respondent</w:t>
      </w:r>
      <w:r w:rsidRPr="000641B0" w:rsidR="00EF4C02">
        <w:rPr>
          <w:rFonts w:cstheme="minorHAnsi"/>
          <w:szCs w:val="26"/>
        </w:rPr>
        <w:t xml:space="preserve"> also </w:t>
      </w:r>
      <w:r w:rsidRPr="000641B0" w:rsidR="009A6C17">
        <w:rPr>
          <w:rFonts w:cstheme="minorHAnsi"/>
          <w:szCs w:val="26"/>
        </w:rPr>
        <w:t xml:space="preserve">will serve the salutary purpose of </w:t>
      </w:r>
      <w:r w:rsidRPr="000641B0" w:rsidR="00281EB7">
        <w:rPr>
          <w:rFonts w:cstheme="minorHAnsi"/>
          <w:szCs w:val="26"/>
        </w:rPr>
        <w:t>alert</w:t>
      </w:r>
      <w:r w:rsidRPr="000641B0" w:rsidR="009A6C17">
        <w:rPr>
          <w:rFonts w:cstheme="minorHAnsi"/>
          <w:szCs w:val="26"/>
        </w:rPr>
        <w:t xml:space="preserve">ing </w:t>
      </w:r>
      <w:r w:rsidRPr="000641B0" w:rsidR="00281EB7">
        <w:rPr>
          <w:rFonts w:cstheme="minorHAnsi"/>
          <w:szCs w:val="26"/>
        </w:rPr>
        <w:t xml:space="preserve">the habeas </w:t>
      </w:r>
      <w:r w:rsidR="006A6041">
        <w:rPr>
          <w:rFonts w:cstheme="minorHAnsi"/>
          <w:szCs w:val="26"/>
        </w:rPr>
        <w:t xml:space="preserve">corpus </w:t>
      </w:r>
      <w:r w:rsidRPr="000641B0" w:rsidR="00281EB7">
        <w:rPr>
          <w:rFonts w:cstheme="minorHAnsi"/>
          <w:szCs w:val="26"/>
        </w:rPr>
        <w:t>court of the possibl</w:t>
      </w:r>
      <w:r w:rsidRPr="000641B0" w:rsidR="000D2CCE">
        <w:rPr>
          <w:rFonts w:cstheme="minorHAnsi"/>
          <w:szCs w:val="26"/>
        </w:rPr>
        <w:t>e</w:t>
      </w:r>
      <w:r w:rsidRPr="000641B0" w:rsidR="00281EB7">
        <w:rPr>
          <w:rFonts w:cstheme="minorHAnsi"/>
          <w:szCs w:val="26"/>
        </w:rPr>
        <w:t xml:space="preserve"> need for ancillary proceedings in the juvenile court before the habeas </w:t>
      </w:r>
      <w:r w:rsidR="006A6041">
        <w:rPr>
          <w:rFonts w:cstheme="minorHAnsi"/>
          <w:szCs w:val="26"/>
        </w:rPr>
        <w:t xml:space="preserve">corpus </w:t>
      </w:r>
      <w:r w:rsidRPr="000641B0" w:rsidR="00281EB7">
        <w:rPr>
          <w:rFonts w:cstheme="minorHAnsi"/>
          <w:szCs w:val="26"/>
        </w:rPr>
        <w:t xml:space="preserve">court can “endeavor to determine whether there are facts legitimately in dispute that may require holding an evidentiary hearing.” </w:t>
      </w:r>
      <w:r w:rsidRPr="000641B0" w:rsidR="008D2033">
        <w:rPr>
          <w:rFonts w:cstheme="minorHAnsi"/>
          <w:szCs w:val="26"/>
        </w:rPr>
        <w:t xml:space="preserve"> </w:t>
      </w:r>
      <w:r w:rsidRPr="000641B0" w:rsidR="00281EB7">
        <w:rPr>
          <w:rFonts w:cstheme="minorHAnsi"/>
          <w:szCs w:val="26"/>
        </w:rPr>
        <w:t>(</w:t>
      </w:r>
      <w:r w:rsidRPr="000641B0" w:rsidR="00292B8E">
        <w:rPr>
          <w:rFonts w:cstheme="minorHAnsi"/>
          <w:i/>
          <w:iCs/>
          <w:szCs w:val="26"/>
        </w:rPr>
        <w:t>Duvall</w:t>
      </w:r>
      <w:r w:rsidRPr="000641B0" w:rsidR="00292B8E">
        <w:rPr>
          <w:rFonts w:cstheme="minorHAnsi"/>
          <w:szCs w:val="26"/>
        </w:rPr>
        <w:t>,</w:t>
      </w:r>
      <w:r w:rsidRPr="000641B0" w:rsidR="00292B8E">
        <w:rPr>
          <w:rFonts w:cstheme="minorHAnsi"/>
          <w:i/>
          <w:iCs/>
          <w:szCs w:val="26"/>
        </w:rPr>
        <w:t xml:space="preserve"> </w:t>
      </w:r>
      <w:r w:rsidRPr="000641B0" w:rsidR="00292B8E">
        <w:rPr>
          <w:rFonts w:cstheme="minorHAnsi"/>
          <w:szCs w:val="26"/>
        </w:rPr>
        <w:t>at p.</w:t>
      </w:r>
      <w:r w:rsidRPr="000641B0" w:rsidR="008D2033">
        <w:rPr>
          <w:rFonts w:cstheme="minorHAnsi"/>
          <w:szCs w:val="26"/>
        </w:rPr>
        <w:t> </w:t>
      </w:r>
      <w:r w:rsidRPr="000641B0" w:rsidR="00292B8E">
        <w:rPr>
          <w:rFonts w:cstheme="minorHAnsi"/>
          <w:szCs w:val="26"/>
        </w:rPr>
        <w:t>485</w:t>
      </w:r>
      <w:r w:rsidRPr="000641B0" w:rsidR="00281EB7">
        <w:rPr>
          <w:rFonts w:cstheme="minorHAnsi"/>
          <w:szCs w:val="26"/>
        </w:rPr>
        <w:t>.)</w:t>
      </w:r>
    </w:p>
    <w:p w:rsidR="000C25BC" w:rsidRPr="000641B0" w:rsidP="000641B0" w14:paraId="67AA2BFE" w14:textId="6E880DB9">
      <w:pPr>
        <w:ind w:firstLine="720"/>
        <w:rPr>
          <w:rFonts w:cstheme="minorHAnsi"/>
          <w:szCs w:val="26"/>
        </w:rPr>
      </w:pPr>
      <w:r w:rsidRPr="000641B0">
        <w:rPr>
          <w:rFonts w:cstheme="minorHAnsi"/>
          <w:szCs w:val="26"/>
        </w:rPr>
        <w:t xml:space="preserve">In sum, </w:t>
      </w:r>
      <w:r w:rsidRPr="000641B0" w:rsidR="00982E60">
        <w:rPr>
          <w:rFonts w:cstheme="minorHAnsi"/>
          <w:szCs w:val="26"/>
        </w:rPr>
        <w:t>in</w:t>
      </w:r>
      <w:r w:rsidRPr="000641B0" w:rsidR="00982E60">
        <w:rPr>
          <w:rFonts w:cstheme="minorHAnsi"/>
          <w:b/>
          <w:bCs/>
          <w:szCs w:val="26"/>
        </w:rPr>
        <w:t xml:space="preserve"> </w:t>
      </w:r>
      <w:r w:rsidRPr="000641B0" w:rsidR="00982E60">
        <w:rPr>
          <w:rFonts w:cstheme="minorHAnsi"/>
          <w:szCs w:val="26"/>
        </w:rPr>
        <w:t>responding to a petition</w:t>
      </w:r>
      <w:r w:rsidR="006A6041">
        <w:rPr>
          <w:rFonts w:cstheme="minorHAnsi"/>
          <w:szCs w:val="26"/>
        </w:rPr>
        <w:t xml:space="preserve"> for writ of habeas corpus</w:t>
      </w:r>
      <w:r w:rsidRPr="000641B0" w:rsidR="00982E60">
        <w:rPr>
          <w:rFonts w:cstheme="minorHAnsi"/>
          <w:szCs w:val="26"/>
        </w:rPr>
        <w:t xml:space="preserve"> alleging a </w:t>
      </w:r>
      <w:r w:rsidRPr="000641B0" w:rsidR="00982E60">
        <w:rPr>
          <w:rFonts w:cstheme="minorHAnsi"/>
          <w:i/>
          <w:iCs/>
          <w:szCs w:val="26"/>
        </w:rPr>
        <w:t>Brady</w:t>
      </w:r>
      <w:r w:rsidRPr="000641B0" w:rsidR="00982E60">
        <w:rPr>
          <w:rFonts w:cstheme="minorHAnsi"/>
          <w:szCs w:val="26"/>
        </w:rPr>
        <w:t xml:space="preserve"> violation </w:t>
      </w:r>
      <w:r w:rsidR="00D709F7">
        <w:rPr>
          <w:rFonts w:cstheme="minorHAnsi"/>
          <w:szCs w:val="26"/>
        </w:rPr>
        <w:t xml:space="preserve">based on </w:t>
      </w:r>
      <w:r w:rsidR="00FF0AF8">
        <w:rPr>
          <w:rFonts w:cstheme="minorHAnsi"/>
          <w:szCs w:val="26"/>
        </w:rPr>
        <w:t>a</w:t>
      </w:r>
      <w:r w:rsidRPr="000641B0" w:rsidR="00FF0AF8">
        <w:rPr>
          <w:rFonts w:cstheme="minorHAnsi"/>
          <w:szCs w:val="26"/>
        </w:rPr>
        <w:t xml:space="preserve"> </w:t>
      </w:r>
      <w:r w:rsidRPr="000641B0" w:rsidR="00982E60">
        <w:rPr>
          <w:rFonts w:cstheme="minorHAnsi"/>
          <w:szCs w:val="26"/>
        </w:rPr>
        <w:t xml:space="preserve">failure to disclose evidence when the Attorney General is himself prohibited from disclosing </w:t>
      </w:r>
      <w:r w:rsidRPr="000641B0" w:rsidR="00FF0AF8">
        <w:rPr>
          <w:rFonts w:cstheme="minorHAnsi"/>
          <w:szCs w:val="26"/>
        </w:rPr>
        <w:t>th</w:t>
      </w:r>
      <w:r w:rsidR="00FF0AF8">
        <w:rPr>
          <w:rFonts w:cstheme="minorHAnsi"/>
          <w:szCs w:val="26"/>
        </w:rPr>
        <w:t>at</w:t>
      </w:r>
      <w:r w:rsidRPr="000641B0" w:rsidR="00FF0AF8">
        <w:rPr>
          <w:rFonts w:cstheme="minorHAnsi"/>
          <w:szCs w:val="26"/>
        </w:rPr>
        <w:t xml:space="preserve"> </w:t>
      </w:r>
      <w:r w:rsidRPr="000641B0" w:rsidR="00982E60">
        <w:rPr>
          <w:rFonts w:cstheme="minorHAnsi"/>
          <w:szCs w:val="26"/>
        </w:rPr>
        <w:t xml:space="preserve">evidence pursuant to Welfare and Institutions Code section 827, the Attorney General </w:t>
      </w:r>
      <w:r w:rsidRPr="000641B0" w:rsidR="001948B7">
        <w:rPr>
          <w:rFonts w:cstheme="minorHAnsi"/>
          <w:szCs w:val="26"/>
        </w:rPr>
        <w:t xml:space="preserve">need not, and should not, himself disclose the evidence in contravention of </w:t>
      </w:r>
      <w:r w:rsidRPr="000641B0" w:rsidR="00254CD0">
        <w:rPr>
          <w:rFonts w:cstheme="minorHAnsi"/>
          <w:szCs w:val="26"/>
        </w:rPr>
        <w:t>statutory confidential</w:t>
      </w:r>
      <w:r w:rsidRPr="000641B0" w:rsidR="00292B8E">
        <w:rPr>
          <w:rFonts w:cstheme="minorHAnsi"/>
          <w:szCs w:val="26"/>
        </w:rPr>
        <w:t>ity</w:t>
      </w:r>
      <w:r w:rsidRPr="000641B0" w:rsidR="00254CD0">
        <w:rPr>
          <w:rFonts w:cstheme="minorHAnsi"/>
          <w:szCs w:val="26"/>
        </w:rPr>
        <w:t xml:space="preserve"> procedures.  However, the existence of such confidentiality provisions do</w:t>
      </w:r>
      <w:r w:rsidRPr="000641B0" w:rsidR="002873AC">
        <w:rPr>
          <w:rFonts w:cstheme="minorHAnsi"/>
          <w:szCs w:val="26"/>
        </w:rPr>
        <w:t>es</w:t>
      </w:r>
      <w:r w:rsidRPr="000641B0" w:rsidR="00254CD0">
        <w:rPr>
          <w:rFonts w:cstheme="minorHAnsi"/>
          <w:szCs w:val="26"/>
        </w:rPr>
        <w:t xml:space="preserve"> not </w:t>
      </w:r>
      <w:r w:rsidRPr="000641B0" w:rsidR="008D2033">
        <w:rPr>
          <w:rFonts w:cstheme="minorHAnsi"/>
          <w:szCs w:val="26"/>
        </w:rPr>
        <w:t xml:space="preserve">relieve </w:t>
      </w:r>
      <w:r w:rsidRPr="000641B0" w:rsidR="00254CD0">
        <w:rPr>
          <w:rFonts w:cstheme="minorHAnsi"/>
          <w:szCs w:val="26"/>
        </w:rPr>
        <w:t xml:space="preserve">the </w:t>
      </w:r>
      <w:r w:rsidRPr="000641B0" w:rsidR="00AD11B8">
        <w:rPr>
          <w:rFonts w:cstheme="minorHAnsi"/>
          <w:szCs w:val="26"/>
        </w:rPr>
        <w:t xml:space="preserve">Attorney General </w:t>
      </w:r>
      <w:r w:rsidRPr="000641B0" w:rsidR="008D2033">
        <w:rPr>
          <w:rFonts w:cstheme="minorHAnsi"/>
          <w:szCs w:val="26"/>
        </w:rPr>
        <w:t xml:space="preserve">of </w:t>
      </w:r>
      <w:r w:rsidRPr="000641B0" w:rsidR="007845BA">
        <w:rPr>
          <w:rFonts w:cstheme="minorHAnsi"/>
          <w:szCs w:val="26"/>
        </w:rPr>
        <w:t xml:space="preserve">the various disclosure </w:t>
      </w:r>
      <w:r w:rsidRPr="000641B0" w:rsidR="008D2033">
        <w:rPr>
          <w:rFonts w:cstheme="minorHAnsi"/>
          <w:szCs w:val="26"/>
        </w:rPr>
        <w:t xml:space="preserve">duties outlined </w:t>
      </w:r>
      <w:r w:rsidRPr="000641B0" w:rsidR="007845BA">
        <w:rPr>
          <w:rFonts w:cstheme="minorHAnsi"/>
          <w:szCs w:val="26"/>
        </w:rPr>
        <w:t>in this opinion.  Instead</w:t>
      </w:r>
      <w:r w:rsidRPr="000641B0" w:rsidR="002873AC">
        <w:rPr>
          <w:rFonts w:cstheme="minorHAnsi"/>
          <w:szCs w:val="26"/>
        </w:rPr>
        <w:t xml:space="preserve">, when faced with such a petition, the </w:t>
      </w:r>
      <w:r w:rsidRPr="000641B0" w:rsidR="00B95DE8">
        <w:rPr>
          <w:rFonts w:cstheme="minorHAnsi"/>
          <w:szCs w:val="26"/>
        </w:rPr>
        <w:t xml:space="preserve">Attorney General should proceed as outlined in this part </w:t>
      </w:r>
      <w:r w:rsidRPr="000641B0" w:rsidR="00C80B04">
        <w:rPr>
          <w:rFonts w:cstheme="minorHAnsi"/>
          <w:szCs w:val="26"/>
        </w:rPr>
        <w:t>and</w:t>
      </w:r>
      <w:r w:rsidRPr="000641B0" w:rsidR="000D2CCE">
        <w:rPr>
          <w:rFonts w:cstheme="minorHAnsi"/>
          <w:szCs w:val="26"/>
        </w:rPr>
        <w:t>,</w:t>
      </w:r>
      <w:r w:rsidRPr="000641B0" w:rsidR="00C80B04">
        <w:rPr>
          <w:rFonts w:cstheme="minorHAnsi"/>
          <w:szCs w:val="26"/>
        </w:rPr>
        <w:t xml:space="preserve"> in so doing</w:t>
      </w:r>
      <w:r w:rsidRPr="000641B0" w:rsidR="000D2CCE">
        <w:rPr>
          <w:rFonts w:cstheme="minorHAnsi"/>
          <w:szCs w:val="26"/>
        </w:rPr>
        <w:t>,</w:t>
      </w:r>
      <w:r w:rsidRPr="000641B0" w:rsidR="00C80B04">
        <w:rPr>
          <w:rFonts w:cstheme="minorHAnsi"/>
          <w:szCs w:val="26"/>
        </w:rPr>
        <w:t xml:space="preserve"> will comply with the duties we have described </w:t>
      </w:r>
      <w:r w:rsidRPr="000641B0" w:rsidR="002D1226">
        <w:rPr>
          <w:rFonts w:cstheme="minorHAnsi"/>
          <w:szCs w:val="26"/>
        </w:rPr>
        <w:t xml:space="preserve">in this opinion </w:t>
      </w:r>
      <w:r w:rsidRPr="000641B0" w:rsidR="00C80B04">
        <w:rPr>
          <w:rFonts w:cstheme="minorHAnsi"/>
          <w:szCs w:val="26"/>
        </w:rPr>
        <w:t>w</w:t>
      </w:r>
      <w:r w:rsidRPr="000641B0" w:rsidR="00ED2CB8">
        <w:rPr>
          <w:rFonts w:cstheme="minorHAnsi"/>
          <w:szCs w:val="26"/>
        </w:rPr>
        <w:t xml:space="preserve">ithout contravening the </w:t>
      </w:r>
      <w:r w:rsidRPr="000641B0" w:rsidR="00465B9E">
        <w:rPr>
          <w:rFonts w:cstheme="minorHAnsi"/>
          <w:szCs w:val="26"/>
        </w:rPr>
        <w:t>disclosure restrictions contained in Welfare and Institutions Code section 827.</w:t>
      </w:r>
    </w:p>
    <w:p w:rsidR="000A7F30" w:rsidRPr="000641B0" w:rsidP="00F55F90" w14:paraId="1CFEE6CC" w14:textId="417D9B05">
      <w:pPr>
        <w:pStyle w:val="Heading2"/>
        <w:keepLines/>
        <w:tabs>
          <w:tab w:val="clear" w:pos="1152"/>
        </w:tabs>
        <w:ind w:left="0" w:firstLine="0"/>
        <w:jc w:val="center"/>
      </w:pPr>
      <w:r w:rsidRPr="000641B0">
        <w:t>E.</w:t>
      </w:r>
    </w:p>
    <w:p w:rsidR="00D541AC" w:rsidRPr="000641B0" w:rsidP="000641B0" w14:paraId="4DB9625E" w14:textId="390BB4EF">
      <w:pPr>
        <w:ind w:firstLine="720"/>
        <w:rPr>
          <w:bCs/>
        </w:rPr>
      </w:pPr>
      <w:bookmarkStart w:id="60" w:name="_Hlk112046565"/>
      <w:r w:rsidRPr="000641B0">
        <w:rPr>
          <w:bCs/>
        </w:rPr>
        <w:t xml:space="preserve">To recap, </w:t>
      </w:r>
      <w:r w:rsidRPr="000641B0" w:rsidR="00CD128F">
        <w:rPr>
          <w:bCs/>
        </w:rPr>
        <w:t xml:space="preserve">where </w:t>
      </w:r>
      <w:r w:rsidRPr="000641B0" w:rsidR="00542443">
        <w:rPr>
          <w:bCs/>
        </w:rPr>
        <w:t xml:space="preserve">allegedly suppressed </w:t>
      </w:r>
      <w:r w:rsidRPr="000641B0" w:rsidR="00CD128F">
        <w:rPr>
          <w:bCs/>
        </w:rPr>
        <w:t xml:space="preserve">evidence forming the basis of a </w:t>
      </w:r>
      <w:r w:rsidRPr="000641B0" w:rsidR="00257886">
        <w:rPr>
          <w:bCs/>
          <w:i/>
          <w:iCs/>
        </w:rPr>
        <w:t xml:space="preserve">Brady </w:t>
      </w:r>
      <w:r w:rsidRPr="000641B0" w:rsidR="00542443">
        <w:rPr>
          <w:bCs/>
        </w:rPr>
        <w:t>claim</w:t>
      </w:r>
      <w:r w:rsidRPr="000641B0" w:rsidR="00257886">
        <w:rPr>
          <w:bCs/>
        </w:rPr>
        <w:t xml:space="preserve"> </w:t>
      </w:r>
      <w:r w:rsidRPr="000641B0" w:rsidR="00542443">
        <w:rPr>
          <w:bCs/>
        </w:rPr>
        <w:t>in a petition</w:t>
      </w:r>
      <w:r w:rsidR="00412448">
        <w:rPr>
          <w:bCs/>
        </w:rPr>
        <w:t xml:space="preserve"> for writ of habeas corpus</w:t>
      </w:r>
      <w:r w:rsidRPr="000641B0" w:rsidR="00542443">
        <w:rPr>
          <w:bCs/>
        </w:rPr>
        <w:t xml:space="preserve"> </w:t>
      </w:r>
      <w:r w:rsidRPr="000641B0" w:rsidR="00CD128F">
        <w:rPr>
          <w:bCs/>
        </w:rPr>
        <w:t xml:space="preserve">is in fact subject to </w:t>
      </w:r>
      <w:r w:rsidRPr="000641B0" w:rsidR="00CD128F">
        <w:rPr>
          <w:bCs/>
          <w:i/>
          <w:iCs/>
        </w:rPr>
        <w:t>Brad</w:t>
      </w:r>
      <w:r w:rsidRPr="000641B0" w:rsidR="00D91FE9">
        <w:rPr>
          <w:bCs/>
          <w:i/>
          <w:iCs/>
        </w:rPr>
        <w:t>y</w:t>
      </w:r>
      <w:r w:rsidRPr="000641B0" w:rsidR="00D91FE9">
        <w:rPr>
          <w:bCs/>
        </w:rPr>
        <w:t>,</w:t>
      </w:r>
      <w:r w:rsidRPr="000641B0" w:rsidR="00D91FE9">
        <w:rPr>
          <w:bCs/>
          <w:i/>
          <w:iCs/>
        </w:rPr>
        <w:t xml:space="preserve"> </w:t>
      </w:r>
      <w:r w:rsidRPr="000641B0" w:rsidR="00CD128F">
        <w:rPr>
          <w:bCs/>
        </w:rPr>
        <w:t xml:space="preserve">the Attorney General has a constitutional duty of disclosure </w:t>
      </w:r>
      <w:r w:rsidRPr="000641B0" w:rsidR="00780646">
        <w:rPr>
          <w:bCs/>
        </w:rPr>
        <w:t xml:space="preserve">that exists as of </w:t>
      </w:r>
      <w:r w:rsidRPr="000641B0" w:rsidR="00BB3DAB">
        <w:rPr>
          <w:bCs/>
        </w:rPr>
        <w:t xml:space="preserve">the time of </w:t>
      </w:r>
      <w:r w:rsidRPr="000641B0" w:rsidR="00CD128F">
        <w:rPr>
          <w:bCs/>
        </w:rPr>
        <w:t>the filing of the petition</w:t>
      </w:r>
      <w:r w:rsidRPr="000641B0" w:rsidR="00780646">
        <w:rPr>
          <w:bCs/>
        </w:rPr>
        <w:t xml:space="preserve"> as outlined in part II.A</w:t>
      </w:r>
      <w:r w:rsidR="00ED224A">
        <w:rPr>
          <w:bCs/>
        </w:rPr>
        <w:t>.</w:t>
      </w:r>
      <w:r w:rsidRPr="000641B0" w:rsidR="00780646">
        <w:rPr>
          <w:bCs/>
        </w:rPr>
        <w:t xml:space="preserve">, </w:t>
      </w:r>
      <w:r w:rsidRPr="000641B0" w:rsidR="00780646">
        <w:rPr>
          <w:bCs/>
          <w:i/>
          <w:iCs/>
        </w:rPr>
        <w:t>ante</w:t>
      </w:r>
      <w:bookmarkEnd w:id="60"/>
      <w:r w:rsidRPr="000641B0" w:rsidR="00CD128F">
        <w:rPr>
          <w:bCs/>
        </w:rPr>
        <w:t>.</w:t>
      </w:r>
      <w:r>
        <w:rPr>
          <w:rStyle w:val="FootnoteReference"/>
          <w:bCs/>
        </w:rPr>
        <w:footnoteReference w:id="36"/>
      </w:r>
      <w:r w:rsidRPr="000641B0" w:rsidR="006E626D">
        <w:rPr>
          <w:bCs/>
        </w:rPr>
        <w:t xml:space="preserve"> </w:t>
      </w:r>
      <w:r w:rsidRPr="000641B0" w:rsidR="001929D9">
        <w:rPr>
          <w:bCs/>
        </w:rPr>
        <w:t xml:space="preserve"> </w:t>
      </w:r>
      <w:r w:rsidRPr="000641B0" w:rsidR="00CD128F">
        <w:rPr>
          <w:bCs/>
        </w:rPr>
        <w:t xml:space="preserve">Where </w:t>
      </w:r>
      <w:r w:rsidRPr="000641B0" w:rsidR="00244A68">
        <w:rPr>
          <w:bCs/>
        </w:rPr>
        <w:t xml:space="preserve">such evidence </w:t>
      </w:r>
      <w:r w:rsidRPr="000641B0" w:rsidR="00CD128F">
        <w:rPr>
          <w:bCs/>
        </w:rPr>
        <w:t xml:space="preserve">is </w:t>
      </w:r>
      <w:r w:rsidRPr="000641B0" w:rsidR="00CD128F">
        <w:rPr>
          <w:bCs/>
          <w:i/>
          <w:iCs/>
        </w:rPr>
        <w:t xml:space="preserve">not </w:t>
      </w:r>
      <w:r w:rsidRPr="000641B0" w:rsidR="00CD128F">
        <w:rPr>
          <w:bCs/>
        </w:rPr>
        <w:t xml:space="preserve">subject to </w:t>
      </w:r>
      <w:r w:rsidRPr="000641B0" w:rsidR="00CD128F">
        <w:rPr>
          <w:bCs/>
          <w:i/>
          <w:iCs/>
        </w:rPr>
        <w:t>Brady</w:t>
      </w:r>
      <w:r w:rsidRPr="000641B0" w:rsidR="00CD128F">
        <w:rPr>
          <w:bCs/>
        </w:rPr>
        <w:t xml:space="preserve">, but is </w:t>
      </w:r>
      <w:r w:rsidRPr="000641B0" w:rsidR="002351EA">
        <w:rPr>
          <w:bCs/>
        </w:rPr>
        <w:t>subject to</w:t>
      </w:r>
      <w:r w:rsidRPr="000641B0" w:rsidR="00CD128F">
        <w:rPr>
          <w:bCs/>
        </w:rPr>
        <w:t xml:space="preserve"> Rule 3.8(d)</w:t>
      </w:r>
      <w:r w:rsidRPr="000641B0" w:rsidR="002351EA">
        <w:rPr>
          <w:bCs/>
        </w:rPr>
        <w:t xml:space="preserve">, </w:t>
      </w:r>
      <w:r w:rsidRPr="000641B0" w:rsidR="00CD128F">
        <w:rPr>
          <w:bCs/>
        </w:rPr>
        <w:t xml:space="preserve">the Attorney General has </w:t>
      </w:r>
      <w:r w:rsidRPr="000641B0" w:rsidR="002351EA">
        <w:rPr>
          <w:bCs/>
        </w:rPr>
        <w:t xml:space="preserve">an ethical </w:t>
      </w:r>
      <w:r w:rsidRPr="000641B0" w:rsidR="00CD128F">
        <w:rPr>
          <w:bCs/>
        </w:rPr>
        <w:t xml:space="preserve">duty of disclosure </w:t>
      </w:r>
      <w:r w:rsidRPr="000641B0" w:rsidR="0041552A">
        <w:rPr>
          <w:bCs/>
        </w:rPr>
        <w:t xml:space="preserve">that exists as of </w:t>
      </w:r>
      <w:r w:rsidRPr="000641B0" w:rsidR="00BB3DAB">
        <w:rPr>
          <w:bCs/>
        </w:rPr>
        <w:t xml:space="preserve">the time of </w:t>
      </w:r>
      <w:r w:rsidRPr="000641B0" w:rsidR="00CD128F">
        <w:rPr>
          <w:bCs/>
        </w:rPr>
        <w:t>the filing of the petition</w:t>
      </w:r>
      <w:r w:rsidRPr="000641B0" w:rsidR="00780646">
        <w:rPr>
          <w:bCs/>
        </w:rPr>
        <w:t xml:space="preserve"> as outlined in part II.B</w:t>
      </w:r>
      <w:r w:rsidR="00ED224A">
        <w:rPr>
          <w:bCs/>
        </w:rPr>
        <w:t>.</w:t>
      </w:r>
      <w:r w:rsidRPr="000641B0" w:rsidR="00780646">
        <w:rPr>
          <w:bCs/>
        </w:rPr>
        <w:t xml:space="preserve">, </w:t>
      </w:r>
      <w:r w:rsidRPr="000641B0" w:rsidR="00780646">
        <w:rPr>
          <w:bCs/>
          <w:i/>
          <w:iCs/>
        </w:rPr>
        <w:t>ante</w:t>
      </w:r>
      <w:r w:rsidRPr="000641B0" w:rsidR="00CD128F">
        <w:rPr>
          <w:bCs/>
        </w:rPr>
        <w:t xml:space="preserve">. </w:t>
      </w:r>
      <w:r w:rsidRPr="000641B0" w:rsidR="00464427">
        <w:rPr>
          <w:bCs/>
        </w:rPr>
        <w:t xml:space="preserve"> </w:t>
      </w:r>
      <w:r w:rsidRPr="000641B0" w:rsidR="0028456F">
        <w:rPr>
          <w:bCs/>
        </w:rPr>
        <w:t>W</w:t>
      </w:r>
      <w:r w:rsidRPr="000641B0" w:rsidR="00464427">
        <w:rPr>
          <w:bCs/>
        </w:rPr>
        <w:t>here</w:t>
      </w:r>
      <w:r w:rsidRPr="000641B0" w:rsidR="00244A68">
        <w:rPr>
          <w:bCs/>
        </w:rPr>
        <w:t xml:space="preserve"> such evidence </w:t>
      </w:r>
      <w:r w:rsidRPr="000641B0" w:rsidR="00464427">
        <w:rPr>
          <w:bCs/>
        </w:rPr>
        <w:t xml:space="preserve">is neither subject to </w:t>
      </w:r>
      <w:r w:rsidRPr="000641B0" w:rsidR="00464427">
        <w:rPr>
          <w:bCs/>
          <w:i/>
          <w:iCs/>
        </w:rPr>
        <w:t xml:space="preserve">Brady </w:t>
      </w:r>
      <w:r w:rsidRPr="000641B0" w:rsidR="002351EA">
        <w:rPr>
          <w:bCs/>
        </w:rPr>
        <w:t>nor subject to</w:t>
      </w:r>
      <w:r w:rsidRPr="000641B0" w:rsidR="00464427">
        <w:rPr>
          <w:bCs/>
        </w:rPr>
        <w:t xml:space="preserve"> </w:t>
      </w:r>
      <w:r w:rsidRPr="000641B0" w:rsidR="004B7161">
        <w:rPr>
          <w:bCs/>
        </w:rPr>
        <w:t>disclosure</w:t>
      </w:r>
      <w:r w:rsidRPr="000641B0" w:rsidR="00464427">
        <w:rPr>
          <w:bCs/>
        </w:rPr>
        <w:t xml:space="preserve"> under Rule 3.8(d), </w:t>
      </w:r>
      <w:r w:rsidRPr="000641B0" w:rsidR="00CA0AEA">
        <w:rPr>
          <w:bCs/>
        </w:rPr>
        <w:t>respondent</w:t>
      </w:r>
      <w:r w:rsidRPr="000641B0" w:rsidR="00464427">
        <w:rPr>
          <w:bCs/>
        </w:rPr>
        <w:t xml:space="preserve"> has a duty to disclose the existence of the evidence under </w:t>
      </w:r>
      <w:r w:rsidRPr="000641B0" w:rsidR="00464427">
        <w:rPr>
          <w:bCs/>
          <w:i/>
          <w:iCs/>
        </w:rPr>
        <w:t>Duvall</w:t>
      </w:r>
      <w:r w:rsidRPr="000641B0" w:rsidR="00464427">
        <w:rPr>
          <w:bCs/>
        </w:rPr>
        <w:t xml:space="preserve"> </w:t>
      </w:r>
      <w:r w:rsidRPr="000641B0" w:rsidR="00292B8E">
        <w:rPr>
          <w:bCs/>
        </w:rPr>
        <w:t xml:space="preserve">that arises </w:t>
      </w:r>
      <w:r w:rsidRPr="000641B0" w:rsidR="00464427">
        <w:rPr>
          <w:bCs/>
        </w:rPr>
        <w:t>after the issuance of an order to show cause</w:t>
      </w:r>
      <w:r w:rsidRPr="000641B0" w:rsidR="00380857">
        <w:rPr>
          <w:bCs/>
        </w:rPr>
        <w:t xml:space="preserve"> as outlined in part III.C</w:t>
      </w:r>
      <w:r w:rsidR="00ED224A">
        <w:rPr>
          <w:bCs/>
        </w:rPr>
        <w:t>.</w:t>
      </w:r>
      <w:r w:rsidRPr="000641B0" w:rsidR="00380857">
        <w:rPr>
          <w:bCs/>
        </w:rPr>
        <w:t xml:space="preserve">, </w:t>
      </w:r>
      <w:r w:rsidRPr="000641B0" w:rsidR="00380857">
        <w:rPr>
          <w:bCs/>
          <w:i/>
          <w:iCs/>
        </w:rPr>
        <w:t>ante</w:t>
      </w:r>
      <w:r w:rsidRPr="000641B0" w:rsidR="00464427">
        <w:rPr>
          <w:bCs/>
        </w:rPr>
        <w:t>.</w:t>
      </w:r>
      <w:r w:rsidRPr="000641B0" w:rsidR="0028456F">
        <w:rPr>
          <w:bCs/>
        </w:rPr>
        <w:t xml:space="preserve">  </w:t>
      </w:r>
      <w:r w:rsidRPr="000641B0" w:rsidR="00CA0AEA">
        <w:rPr>
          <w:bCs/>
        </w:rPr>
        <w:t>Finally, w</w:t>
      </w:r>
      <w:r w:rsidRPr="000641B0" w:rsidR="001929D9">
        <w:rPr>
          <w:bCs/>
        </w:rPr>
        <w:t xml:space="preserve">here </w:t>
      </w:r>
      <w:r w:rsidRPr="000641B0" w:rsidR="00244A68">
        <w:rPr>
          <w:bCs/>
        </w:rPr>
        <w:t>such</w:t>
      </w:r>
      <w:r w:rsidRPr="000641B0" w:rsidR="001929D9">
        <w:rPr>
          <w:bCs/>
        </w:rPr>
        <w:t xml:space="preserve"> evidence is subject to disclosure restrictions contained in Welfare and Institutions Code section</w:t>
      </w:r>
      <w:r w:rsidR="004A3768">
        <w:rPr>
          <w:bCs/>
        </w:rPr>
        <w:t> </w:t>
      </w:r>
      <w:r w:rsidRPr="000641B0" w:rsidR="001929D9">
        <w:rPr>
          <w:bCs/>
        </w:rPr>
        <w:t>827, the Attorney General and the respondent may fulfill their duties by proceeding as outlined in part II.D</w:t>
      </w:r>
      <w:r w:rsidR="00ED224A">
        <w:rPr>
          <w:bCs/>
        </w:rPr>
        <w:t>.</w:t>
      </w:r>
      <w:r w:rsidRPr="000641B0" w:rsidR="001929D9">
        <w:rPr>
          <w:bCs/>
        </w:rPr>
        <w:t xml:space="preserve">, </w:t>
      </w:r>
      <w:r w:rsidRPr="000641B0" w:rsidR="001929D9">
        <w:rPr>
          <w:bCs/>
          <w:i/>
          <w:iCs/>
        </w:rPr>
        <w:t>ante</w:t>
      </w:r>
      <w:r w:rsidRPr="000641B0" w:rsidR="001929D9">
        <w:rPr>
          <w:bCs/>
        </w:rPr>
        <w:t>.</w:t>
      </w:r>
    </w:p>
    <w:p w:rsidR="00D541AC" w:rsidRPr="000641B0" w:rsidP="000641B0" w14:paraId="4FFFFC2F" w14:textId="0F236491">
      <w:pPr>
        <w:ind w:firstLine="720"/>
        <w:rPr>
          <w:bCs/>
        </w:rPr>
      </w:pPr>
      <w:r w:rsidRPr="000641B0">
        <w:rPr>
          <w:bCs/>
        </w:rPr>
        <w:t xml:space="preserve">We emphasize that </w:t>
      </w:r>
      <w:r w:rsidRPr="000641B0" w:rsidR="006E686E">
        <w:rPr>
          <w:rFonts w:cstheme="minorHAnsi"/>
          <w:szCs w:val="26"/>
        </w:rPr>
        <w:t xml:space="preserve">where the evidence at issue is </w:t>
      </w:r>
      <w:r w:rsidRPr="000641B0" w:rsidR="006E686E">
        <w:rPr>
          <w:rFonts w:cstheme="minorHAnsi"/>
          <w:i/>
          <w:iCs/>
          <w:szCs w:val="26"/>
        </w:rPr>
        <w:t>actually</w:t>
      </w:r>
      <w:r w:rsidRPr="000641B0" w:rsidR="006E686E">
        <w:rPr>
          <w:rFonts w:cstheme="minorHAnsi"/>
          <w:szCs w:val="26"/>
        </w:rPr>
        <w:t xml:space="preserve"> </w:t>
      </w:r>
      <w:r w:rsidRPr="000641B0" w:rsidR="006E686E">
        <w:rPr>
          <w:rFonts w:cstheme="minorHAnsi"/>
          <w:i/>
          <w:iCs/>
          <w:szCs w:val="26"/>
        </w:rPr>
        <w:t>Brady</w:t>
      </w:r>
      <w:r w:rsidRPr="000641B0" w:rsidR="006E686E">
        <w:rPr>
          <w:rFonts w:cstheme="minorHAnsi"/>
          <w:szCs w:val="26"/>
        </w:rPr>
        <w:t xml:space="preserve"> material and/or subject to Rule 3.8(d), </w:t>
      </w:r>
      <w:r w:rsidRPr="000641B0">
        <w:rPr>
          <w:bCs/>
        </w:rPr>
        <w:t>t</w:t>
      </w:r>
      <w:r w:rsidRPr="000641B0" w:rsidR="00E610E7">
        <w:rPr>
          <w:rFonts w:cstheme="minorHAnsi"/>
          <w:szCs w:val="26"/>
        </w:rPr>
        <w:t xml:space="preserve">he Attorney General’s constitutional and ethical obligations </w:t>
      </w:r>
      <w:r w:rsidRPr="000641B0" w:rsidR="006E686E">
        <w:rPr>
          <w:rFonts w:cstheme="minorHAnsi"/>
          <w:szCs w:val="26"/>
        </w:rPr>
        <w:t>exist</w:t>
      </w:r>
      <w:r w:rsidRPr="000641B0" w:rsidR="00464427">
        <w:rPr>
          <w:rFonts w:cstheme="minorHAnsi"/>
          <w:szCs w:val="26"/>
        </w:rPr>
        <w:t xml:space="preserve"> </w:t>
      </w:r>
      <w:r w:rsidRPr="000641B0" w:rsidR="00E610E7">
        <w:rPr>
          <w:rFonts w:cstheme="minorHAnsi"/>
          <w:szCs w:val="26"/>
        </w:rPr>
        <w:t>independently from respondent’</w:t>
      </w:r>
      <w:r w:rsidRPr="000641B0" w:rsidR="003719DB">
        <w:rPr>
          <w:rFonts w:cstheme="minorHAnsi"/>
          <w:szCs w:val="26"/>
        </w:rPr>
        <w:t>s</w:t>
      </w:r>
      <w:r w:rsidRPr="000641B0" w:rsidR="00E610E7">
        <w:rPr>
          <w:rFonts w:cstheme="minorHAnsi"/>
          <w:szCs w:val="26"/>
        </w:rPr>
        <w:t xml:space="preserve"> duty under habeas </w:t>
      </w:r>
      <w:r w:rsidR="00412448">
        <w:rPr>
          <w:rFonts w:cstheme="minorHAnsi"/>
          <w:szCs w:val="26"/>
        </w:rPr>
        <w:t xml:space="preserve">corpus </w:t>
      </w:r>
      <w:r w:rsidRPr="000641B0" w:rsidR="00E610E7">
        <w:rPr>
          <w:rFonts w:cstheme="minorHAnsi"/>
          <w:szCs w:val="26"/>
        </w:rPr>
        <w:t xml:space="preserve">case law to respond to a petitioner’s </w:t>
      </w:r>
      <w:r w:rsidRPr="000641B0" w:rsidR="00E610E7">
        <w:rPr>
          <w:rFonts w:cstheme="minorHAnsi"/>
          <w:i/>
          <w:iCs/>
          <w:szCs w:val="26"/>
        </w:rPr>
        <w:t xml:space="preserve">Brady </w:t>
      </w:r>
      <w:r w:rsidRPr="000641B0" w:rsidR="00E610E7">
        <w:rPr>
          <w:rFonts w:cstheme="minorHAnsi"/>
          <w:szCs w:val="26"/>
        </w:rPr>
        <w:t xml:space="preserve">claim.  Thus, </w:t>
      </w:r>
      <w:r w:rsidRPr="000641B0" w:rsidR="003719DB">
        <w:rPr>
          <w:rFonts w:cstheme="minorHAnsi"/>
          <w:szCs w:val="26"/>
        </w:rPr>
        <w:t xml:space="preserve">when triggered, such duties </w:t>
      </w:r>
      <w:r w:rsidRPr="000641B0" w:rsidR="00DD2BBA">
        <w:rPr>
          <w:rFonts w:cstheme="minorHAnsi"/>
          <w:szCs w:val="26"/>
        </w:rPr>
        <w:t xml:space="preserve">exist as of the filing of the petition. </w:t>
      </w:r>
      <w:r w:rsidRPr="000641B0" w:rsidR="006E686E">
        <w:rPr>
          <w:rFonts w:cstheme="minorHAnsi"/>
          <w:szCs w:val="26"/>
        </w:rPr>
        <w:t xml:space="preserve"> In addition, </w:t>
      </w:r>
      <w:r w:rsidR="00BC51E5">
        <w:rPr>
          <w:rFonts w:cstheme="minorHAnsi"/>
          <w:szCs w:val="26"/>
        </w:rPr>
        <w:t xml:space="preserve">the </w:t>
      </w:r>
      <w:r w:rsidRPr="000641B0" w:rsidR="00E77898">
        <w:rPr>
          <w:bCs/>
        </w:rPr>
        <w:t>respondent</w:t>
      </w:r>
      <w:r w:rsidRPr="000641B0" w:rsidR="006E686E">
        <w:rPr>
          <w:bCs/>
        </w:rPr>
        <w:t xml:space="preserve"> has </w:t>
      </w:r>
      <w:r w:rsidRPr="000641B0" w:rsidR="00E77898">
        <w:rPr>
          <w:bCs/>
        </w:rPr>
        <w:t xml:space="preserve">procedural duties that arise from a petitioner’s </w:t>
      </w:r>
      <w:r w:rsidRPr="000641B0" w:rsidR="00E77898">
        <w:rPr>
          <w:bCs/>
          <w:i/>
          <w:iCs/>
        </w:rPr>
        <w:t>allegation</w:t>
      </w:r>
      <w:r w:rsidRPr="000641B0" w:rsidR="00E77898">
        <w:rPr>
          <w:bCs/>
        </w:rPr>
        <w:t xml:space="preserve"> </w:t>
      </w:r>
      <w:r w:rsidRPr="000641B0" w:rsidR="0020181A">
        <w:rPr>
          <w:bCs/>
        </w:rPr>
        <w:t xml:space="preserve">that are triggered upon the issuance of an order to show cause. </w:t>
      </w:r>
      <w:r w:rsidRPr="000641B0" w:rsidR="0031403B">
        <w:rPr>
          <w:bCs/>
        </w:rPr>
        <w:t xml:space="preserve"> </w:t>
      </w:r>
    </w:p>
    <w:p w:rsidR="00E634E0" w:rsidP="00203FC2" w14:paraId="76009F9A" w14:textId="4E2C655F">
      <w:pPr>
        <w:ind w:firstLine="720"/>
        <w:rPr>
          <w:rFonts w:cstheme="minorHAnsi"/>
          <w:szCs w:val="26"/>
        </w:rPr>
      </w:pPr>
      <w:r>
        <w:rPr>
          <w:rFonts w:cstheme="minorHAnsi"/>
          <w:szCs w:val="26"/>
        </w:rPr>
        <w:t>I</w:t>
      </w:r>
      <w:r w:rsidR="00792462">
        <w:rPr>
          <w:rFonts w:cstheme="minorHAnsi"/>
          <w:szCs w:val="26"/>
        </w:rPr>
        <w:t xml:space="preserve">n light of </w:t>
      </w:r>
      <w:r w:rsidR="00205086">
        <w:rPr>
          <w:rFonts w:cstheme="minorHAnsi"/>
          <w:szCs w:val="26"/>
        </w:rPr>
        <w:t xml:space="preserve">the Attorney General’s </w:t>
      </w:r>
      <w:r w:rsidR="00B50174">
        <w:rPr>
          <w:rFonts w:cstheme="minorHAnsi"/>
          <w:szCs w:val="26"/>
        </w:rPr>
        <w:t>admittedly deficient</w:t>
      </w:r>
      <w:r w:rsidR="00EA29ED">
        <w:rPr>
          <w:rFonts w:cstheme="minorHAnsi"/>
          <w:szCs w:val="26"/>
        </w:rPr>
        <w:t xml:space="preserve"> </w:t>
      </w:r>
      <w:r w:rsidR="001E6A7E">
        <w:rPr>
          <w:rFonts w:cstheme="minorHAnsi"/>
          <w:szCs w:val="26"/>
        </w:rPr>
        <w:t>litigation practices</w:t>
      </w:r>
      <w:r w:rsidR="006755D2">
        <w:rPr>
          <w:rFonts w:cstheme="minorHAnsi"/>
          <w:szCs w:val="26"/>
        </w:rPr>
        <w:t xml:space="preserve"> </w:t>
      </w:r>
      <w:r w:rsidR="001E6A7E">
        <w:rPr>
          <w:rFonts w:cstheme="minorHAnsi"/>
          <w:szCs w:val="26"/>
        </w:rPr>
        <w:t>in the Court of Appeal</w:t>
      </w:r>
      <w:r w:rsidR="006755D2">
        <w:rPr>
          <w:rFonts w:cstheme="minorHAnsi"/>
          <w:szCs w:val="26"/>
        </w:rPr>
        <w:t>,</w:t>
      </w:r>
      <w:r>
        <w:rPr>
          <w:rStyle w:val="FootnoteReference"/>
          <w:rFonts w:cstheme="minorHAnsi"/>
          <w:szCs w:val="26"/>
        </w:rPr>
        <w:footnoteReference w:id="37"/>
      </w:r>
      <w:r w:rsidRPr="000641B0" w:rsidR="006755D2">
        <w:rPr>
          <w:rFonts w:cstheme="minorHAnsi"/>
          <w:szCs w:val="26"/>
        </w:rPr>
        <w:t xml:space="preserve"> </w:t>
      </w:r>
      <w:r w:rsidR="00205086">
        <w:rPr>
          <w:rFonts w:cstheme="minorHAnsi"/>
          <w:szCs w:val="26"/>
        </w:rPr>
        <w:t xml:space="preserve">as well as </w:t>
      </w:r>
      <w:r w:rsidR="00792462">
        <w:rPr>
          <w:rFonts w:cstheme="minorHAnsi"/>
          <w:szCs w:val="26"/>
        </w:rPr>
        <w:t>our clarification of the Attorney General’s</w:t>
      </w:r>
      <w:r w:rsidR="0080423B">
        <w:rPr>
          <w:rFonts w:cstheme="minorHAnsi"/>
          <w:szCs w:val="26"/>
        </w:rPr>
        <w:t xml:space="preserve"> disclosure duties</w:t>
      </w:r>
      <w:r w:rsidR="00EA29ED">
        <w:rPr>
          <w:rFonts w:cstheme="minorHAnsi"/>
          <w:szCs w:val="26"/>
        </w:rPr>
        <w:t xml:space="preserve">, </w:t>
      </w:r>
      <w:r w:rsidR="00974B48">
        <w:rPr>
          <w:rFonts w:cstheme="minorHAnsi"/>
          <w:szCs w:val="26"/>
        </w:rPr>
        <w:t>it is appropriate to remand the matter to the Court of Appeal for further proceedings</w:t>
      </w:r>
      <w:r w:rsidR="00052BA5">
        <w:rPr>
          <w:rFonts w:cstheme="minorHAnsi"/>
          <w:szCs w:val="26"/>
        </w:rPr>
        <w:t xml:space="preserve"> so as to permit </w:t>
      </w:r>
      <w:r w:rsidR="00C11038">
        <w:rPr>
          <w:rFonts w:cstheme="minorHAnsi"/>
          <w:szCs w:val="26"/>
        </w:rPr>
        <w:t>that court</w:t>
      </w:r>
      <w:r w:rsidR="00052BA5">
        <w:rPr>
          <w:rFonts w:cstheme="minorHAnsi"/>
          <w:szCs w:val="26"/>
        </w:rPr>
        <w:t xml:space="preserve"> to consider </w:t>
      </w:r>
      <w:r w:rsidR="007E63F9">
        <w:rPr>
          <w:rFonts w:cstheme="minorHAnsi"/>
          <w:szCs w:val="26"/>
        </w:rPr>
        <w:t>Jenkins’s petition</w:t>
      </w:r>
      <w:r w:rsidR="00052BA5">
        <w:rPr>
          <w:rFonts w:cstheme="minorHAnsi"/>
          <w:szCs w:val="26"/>
        </w:rPr>
        <w:t xml:space="preserve"> </w:t>
      </w:r>
      <w:r w:rsidR="001E6A7E">
        <w:rPr>
          <w:rFonts w:cstheme="minorHAnsi"/>
          <w:szCs w:val="26"/>
        </w:rPr>
        <w:t xml:space="preserve">upon a fulsome record prepared in accordance with the principles </w:t>
      </w:r>
      <w:r w:rsidR="00E14C11">
        <w:rPr>
          <w:rFonts w:cstheme="minorHAnsi"/>
          <w:szCs w:val="26"/>
        </w:rPr>
        <w:t xml:space="preserve">that </w:t>
      </w:r>
      <w:r w:rsidR="001E6A7E">
        <w:rPr>
          <w:rFonts w:cstheme="minorHAnsi"/>
          <w:szCs w:val="26"/>
        </w:rPr>
        <w:t xml:space="preserve">we </w:t>
      </w:r>
      <w:r w:rsidR="00E14C11">
        <w:rPr>
          <w:rFonts w:cstheme="minorHAnsi"/>
          <w:szCs w:val="26"/>
        </w:rPr>
        <w:t xml:space="preserve">have </w:t>
      </w:r>
      <w:r w:rsidR="001E6A7E">
        <w:rPr>
          <w:rFonts w:cstheme="minorHAnsi"/>
          <w:szCs w:val="26"/>
        </w:rPr>
        <w:t>outline</w:t>
      </w:r>
      <w:r w:rsidR="00E14C11">
        <w:rPr>
          <w:rFonts w:cstheme="minorHAnsi"/>
          <w:szCs w:val="26"/>
        </w:rPr>
        <w:t>d</w:t>
      </w:r>
      <w:r w:rsidR="001E6A7E">
        <w:rPr>
          <w:rFonts w:cstheme="minorHAnsi"/>
          <w:szCs w:val="26"/>
        </w:rPr>
        <w:t xml:space="preserve"> in this opinion.</w:t>
      </w:r>
      <w:r w:rsidR="0010139C">
        <w:rPr>
          <w:rFonts w:cstheme="minorHAnsi"/>
          <w:szCs w:val="26"/>
        </w:rPr>
        <w:t xml:space="preserve"> </w:t>
      </w:r>
      <w:r w:rsidR="003E1F7A">
        <w:rPr>
          <w:rFonts w:cstheme="minorHAnsi"/>
          <w:szCs w:val="26"/>
        </w:rPr>
        <w:t xml:space="preserve"> In remanding, we </w:t>
      </w:r>
      <w:r>
        <w:rPr>
          <w:rFonts w:cstheme="minorHAnsi"/>
          <w:szCs w:val="26"/>
        </w:rPr>
        <w:t xml:space="preserve">express no opinion </w:t>
      </w:r>
      <w:r w:rsidR="00323082">
        <w:rPr>
          <w:rFonts w:cstheme="minorHAnsi"/>
          <w:szCs w:val="26"/>
        </w:rPr>
        <w:t>on the merits of</w:t>
      </w:r>
      <w:r>
        <w:rPr>
          <w:rFonts w:cstheme="minorHAnsi"/>
          <w:szCs w:val="26"/>
        </w:rPr>
        <w:t xml:space="preserve"> Jenkins’s petition for </w:t>
      </w:r>
      <w:r w:rsidR="00E42026">
        <w:rPr>
          <w:rFonts w:cstheme="minorHAnsi"/>
          <w:szCs w:val="26"/>
        </w:rPr>
        <w:t xml:space="preserve">writ of </w:t>
      </w:r>
      <w:r>
        <w:rPr>
          <w:rFonts w:cstheme="minorHAnsi"/>
          <w:szCs w:val="26"/>
        </w:rPr>
        <w:t xml:space="preserve">habeas corpus.  </w:t>
      </w:r>
    </w:p>
    <w:p w:rsidR="00205086" w:rsidRPr="00BC51E5" w:rsidP="008F65EB" w14:paraId="419645BE" w14:textId="0AC8CB05">
      <w:pPr>
        <w:ind w:firstLine="720"/>
        <w:rPr>
          <w:rFonts w:cstheme="minorHAnsi"/>
          <w:szCs w:val="26"/>
        </w:rPr>
      </w:pPr>
      <w:r>
        <w:rPr>
          <w:rFonts w:cstheme="minorHAnsi"/>
          <w:szCs w:val="26"/>
        </w:rPr>
        <w:t>Finally, w</w:t>
      </w:r>
      <w:r w:rsidRPr="00205086">
        <w:rPr>
          <w:rFonts w:cstheme="minorHAnsi"/>
          <w:szCs w:val="26"/>
        </w:rPr>
        <w:t xml:space="preserve">e urge </w:t>
      </w:r>
      <w:r w:rsidR="008F65EB">
        <w:rPr>
          <w:rFonts w:cstheme="minorHAnsi"/>
          <w:szCs w:val="26"/>
        </w:rPr>
        <w:t xml:space="preserve">the </w:t>
      </w:r>
      <w:r w:rsidRPr="00205086">
        <w:rPr>
          <w:rFonts w:cstheme="minorHAnsi"/>
          <w:szCs w:val="26"/>
        </w:rPr>
        <w:t>prosecutors</w:t>
      </w:r>
      <w:r w:rsidR="008F65EB">
        <w:rPr>
          <w:rFonts w:cstheme="minorHAnsi"/>
          <w:szCs w:val="26"/>
        </w:rPr>
        <w:t xml:space="preserve"> in this case, and in every other, </w:t>
      </w:r>
      <w:r w:rsidRPr="00205086">
        <w:rPr>
          <w:rFonts w:cstheme="minorHAnsi"/>
          <w:szCs w:val="26"/>
        </w:rPr>
        <w:t xml:space="preserve">to carefully consider the constitutional, ethical, and habeas </w:t>
      </w:r>
      <w:r w:rsidR="00412448">
        <w:rPr>
          <w:rFonts w:cstheme="minorHAnsi"/>
          <w:szCs w:val="26"/>
        </w:rPr>
        <w:t xml:space="preserve">corpus </w:t>
      </w:r>
      <w:r w:rsidRPr="00205086">
        <w:rPr>
          <w:rFonts w:cstheme="minorHAnsi"/>
          <w:szCs w:val="26"/>
        </w:rPr>
        <w:t xml:space="preserve">procedural duties that we have outlined herein to ensure that they faithfully bear the special responsibilities ascribed to </w:t>
      </w:r>
      <w:r w:rsidR="007B0C6C">
        <w:rPr>
          <w:rFonts w:cstheme="minorHAnsi"/>
          <w:szCs w:val="26"/>
        </w:rPr>
        <w:t xml:space="preserve">the </w:t>
      </w:r>
      <w:r w:rsidR="00365C1F">
        <w:rPr>
          <w:rFonts w:cstheme="minorHAnsi"/>
          <w:szCs w:val="26"/>
        </w:rPr>
        <w:t>prosecut</w:t>
      </w:r>
      <w:r w:rsidR="007B0C6C">
        <w:rPr>
          <w:rFonts w:cstheme="minorHAnsi"/>
          <w:szCs w:val="26"/>
        </w:rPr>
        <w:t>ion</w:t>
      </w:r>
      <w:r w:rsidRPr="00205086" w:rsidR="00365C1F">
        <w:rPr>
          <w:rFonts w:cstheme="minorHAnsi"/>
          <w:szCs w:val="26"/>
        </w:rPr>
        <w:t xml:space="preserve"> </w:t>
      </w:r>
      <w:r w:rsidRPr="00205086">
        <w:rPr>
          <w:rFonts w:cstheme="minorHAnsi"/>
          <w:szCs w:val="26"/>
        </w:rPr>
        <w:t>in our system of justice.</w:t>
      </w:r>
      <w:r w:rsidR="008F65EB">
        <w:rPr>
          <w:rFonts w:cstheme="minorHAnsi"/>
          <w:szCs w:val="26"/>
        </w:rPr>
        <w:t xml:space="preserve">  </w:t>
      </w:r>
      <w:r w:rsidRPr="00207C85" w:rsidR="00207C85">
        <w:rPr>
          <w:rFonts w:cstheme="minorHAnsi"/>
          <w:szCs w:val="26"/>
        </w:rPr>
        <w:t>We remind the prosecutors of today of what we said</w:t>
      </w:r>
      <w:r w:rsidR="00BC51E5">
        <w:rPr>
          <w:rFonts w:cstheme="minorHAnsi"/>
          <w:szCs w:val="26"/>
        </w:rPr>
        <w:t xml:space="preserve"> in</w:t>
      </w:r>
      <w:r w:rsidRPr="00207C85" w:rsidR="00207C85">
        <w:rPr>
          <w:rFonts w:cstheme="minorHAnsi"/>
          <w:szCs w:val="26"/>
        </w:rPr>
        <w:t xml:space="preserve"> </w:t>
      </w:r>
      <w:r w:rsidRPr="009C67BC" w:rsidR="00207C85">
        <w:rPr>
          <w:rFonts w:cstheme="minorHAnsi"/>
          <w:i/>
          <w:iCs/>
          <w:szCs w:val="26"/>
        </w:rPr>
        <w:t>In re Ferguson</w:t>
      </w:r>
      <w:r w:rsidRPr="00207C85" w:rsidR="00207C85">
        <w:rPr>
          <w:rFonts w:cstheme="minorHAnsi"/>
          <w:szCs w:val="26"/>
        </w:rPr>
        <w:t xml:space="preserve"> (1971) 5</w:t>
      </w:r>
      <w:r w:rsidR="00B644E9">
        <w:rPr>
          <w:rFonts w:cstheme="minorHAnsi"/>
          <w:szCs w:val="26"/>
        </w:rPr>
        <w:t> </w:t>
      </w:r>
      <w:r w:rsidRPr="00207C85" w:rsidR="00207C85">
        <w:rPr>
          <w:rFonts w:cstheme="minorHAnsi"/>
          <w:szCs w:val="26"/>
        </w:rPr>
        <w:t>Cal.3d 525:</w:t>
      </w:r>
      <w:r w:rsidR="00BC0A27">
        <w:rPr>
          <w:rFonts w:cstheme="minorHAnsi"/>
          <w:szCs w:val="26"/>
        </w:rPr>
        <w:t xml:space="preserve"> </w:t>
      </w:r>
      <w:r w:rsidRPr="00207C85" w:rsidR="00207C85">
        <w:rPr>
          <w:rFonts w:cstheme="minorHAnsi"/>
          <w:szCs w:val="26"/>
        </w:rPr>
        <w:t xml:space="preserve"> </w:t>
      </w:r>
      <w:r w:rsidRPr="00205086">
        <w:rPr>
          <w:rFonts w:cstheme="minorHAnsi"/>
          <w:szCs w:val="26"/>
        </w:rPr>
        <w:t>“The search for truth is not served but hindered by the concealment of relevant and material evidence.  Although our system of administering criminal justice is adversary in nature, a trial is not a game.  Its ultimate goal is the ascertainment of truth, and where furtherance of the adversary system comes in conflict with the ultimate goal, the adversary system must give way to reasonable restraints designed to further that goal.  Implementation of this policy requires recognition of a duty on the part of the prosecution to disclose evidence to the defense in appropriate cases.”</w:t>
      </w:r>
      <w:r w:rsidR="00BC51E5">
        <w:rPr>
          <w:rFonts w:cstheme="minorHAnsi"/>
          <w:szCs w:val="26"/>
        </w:rPr>
        <w:t xml:space="preserve">  (</w:t>
      </w:r>
      <w:r w:rsidR="00BC51E5">
        <w:rPr>
          <w:rFonts w:cstheme="minorHAnsi"/>
          <w:i/>
          <w:iCs/>
          <w:szCs w:val="26"/>
        </w:rPr>
        <w:t xml:space="preserve">Id. </w:t>
      </w:r>
      <w:r w:rsidR="00BC51E5">
        <w:rPr>
          <w:rFonts w:cstheme="minorHAnsi"/>
          <w:szCs w:val="26"/>
        </w:rPr>
        <w:t>at pp. 531</w:t>
      </w:r>
      <w:r w:rsidRPr="00E66C89" w:rsidR="00BC51E5">
        <w:rPr>
          <w:rFonts w:cstheme="minorHAnsi"/>
          <w:bCs/>
          <w:szCs w:val="26"/>
        </w:rPr>
        <w:t>–</w:t>
      </w:r>
      <w:r w:rsidR="00BC51E5">
        <w:rPr>
          <w:rFonts w:cstheme="minorHAnsi"/>
          <w:bCs/>
          <w:szCs w:val="26"/>
        </w:rPr>
        <w:t>532.)</w:t>
      </w:r>
    </w:p>
    <w:p w:rsidR="004A221C" w:rsidRPr="000641B0" w:rsidP="00C3445F" w14:paraId="23E49377" w14:textId="77777777">
      <w:pPr>
        <w:pStyle w:val="Heading1"/>
        <w:keepLines/>
        <w:widowControl w:val="0"/>
      </w:pPr>
      <w:r w:rsidRPr="000641B0">
        <w:t>DISPOSITION</w:t>
      </w:r>
    </w:p>
    <w:p w:rsidR="00D541AC" w:rsidRPr="000641B0" w:rsidP="00C3445F" w14:paraId="482EC34B" w14:textId="565A93DB">
      <w:pPr>
        <w:keepNext/>
        <w:keepLines/>
        <w:widowControl w:val="0"/>
        <w:ind w:firstLine="720"/>
        <w:rPr>
          <w:bCs/>
        </w:rPr>
      </w:pPr>
      <w:r>
        <w:t>T</w:t>
      </w:r>
      <w:r w:rsidRPr="000641B0">
        <w:t xml:space="preserve">he </w:t>
      </w:r>
      <w:r w:rsidRPr="000641B0" w:rsidR="004A221C">
        <w:t>judgment of the Court of Appeal</w:t>
      </w:r>
      <w:r>
        <w:t xml:space="preserve"> is </w:t>
      </w:r>
      <w:r w:rsidR="00527A77">
        <w:t>reversed,</w:t>
      </w:r>
      <w:r w:rsidR="00517CE1">
        <w:t xml:space="preserve"> and the matter is remanded </w:t>
      </w:r>
      <w:r w:rsidR="00F75417">
        <w:t xml:space="preserve">to that court </w:t>
      </w:r>
      <w:r w:rsidR="00517CE1">
        <w:t>for further proceedings consistent with this opinion</w:t>
      </w:r>
      <w:r w:rsidRPr="000641B0" w:rsidR="004A221C">
        <w:t>.</w:t>
      </w:r>
    </w:p>
    <w:p w:rsidR="004A221C" w:rsidRPr="000641B0" w:rsidP="00C3445F" w14:paraId="1BEBE7B8" w14:textId="77777777">
      <w:pPr>
        <w:keepNext/>
        <w:keepLines/>
        <w:widowControl w:val="0"/>
      </w:pPr>
    </w:p>
    <w:p w:rsidR="004A221C" w:rsidRPr="000641B0" w:rsidP="00C3445F" w14:paraId="442536B7" w14:textId="601F3D1C">
      <w:pPr>
        <w:keepNext/>
        <w:keepLines/>
        <w:widowControl w:val="0"/>
        <w:ind w:left="5040"/>
        <w:rPr>
          <w:b/>
        </w:rPr>
      </w:pPr>
      <w:r w:rsidRPr="000641B0">
        <w:rPr>
          <w:b/>
        </w:rPr>
        <w:t xml:space="preserve">GUERRERO, </w:t>
      </w:r>
      <w:r w:rsidR="00196918">
        <w:rPr>
          <w:b/>
        </w:rPr>
        <w:t>C.</w:t>
      </w:r>
      <w:r w:rsidR="00113993">
        <w:rPr>
          <w:b/>
        </w:rPr>
        <w:t> </w:t>
      </w:r>
      <w:r w:rsidRPr="000641B0">
        <w:rPr>
          <w:b/>
        </w:rPr>
        <w:t>J.</w:t>
      </w:r>
    </w:p>
    <w:p w:rsidR="004A221C" w:rsidP="001B04E9" w14:paraId="30CC889C" w14:textId="0902A93B">
      <w:pPr>
        <w:keepNext/>
      </w:pPr>
    </w:p>
    <w:p w:rsidR="00955469" w:rsidP="00955469" w14:paraId="1447BFA4" w14:textId="17CE8131">
      <w:pPr>
        <w:rPr>
          <w:b/>
          <w:bCs/>
        </w:rPr>
      </w:pPr>
      <w:r>
        <w:rPr>
          <w:b/>
          <w:bCs/>
        </w:rPr>
        <w:t>We Concur:</w:t>
      </w:r>
    </w:p>
    <w:p w:rsidR="00222BA1" w:rsidRPr="00077BAA" w:rsidP="00222BA1" w14:paraId="2915EE2E" w14:textId="77777777">
      <w:pPr>
        <w:spacing w:after="0" w:line="240" w:lineRule="auto"/>
        <w:rPr>
          <w:b/>
          <w:lang w:val="it-IT"/>
        </w:rPr>
      </w:pPr>
      <w:r w:rsidRPr="00077BAA">
        <w:rPr>
          <w:b/>
          <w:lang w:val="it-IT"/>
        </w:rPr>
        <w:t>CORRIGAN, J.</w:t>
      </w:r>
    </w:p>
    <w:p w:rsidR="00222BA1" w:rsidRPr="00077BAA" w:rsidP="00222BA1" w14:paraId="495F1E4C" w14:textId="77777777">
      <w:pPr>
        <w:spacing w:after="0" w:line="240" w:lineRule="auto"/>
        <w:jc w:val="left"/>
        <w:rPr>
          <w:b/>
        </w:rPr>
      </w:pPr>
      <w:r>
        <w:rPr>
          <w:b/>
        </w:rPr>
        <w:t>LIU</w:t>
      </w:r>
      <w:r w:rsidRPr="00077BAA">
        <w:rPr>
          <w:b/>
        </w:rPr>
        <w:t>, J.</w:t>
      </w:r>
    </w:p>
    <w:p w:rsidR="00222BA1" w:rsidP="00222BA1" w14:paraId="611A1D4D" w14:textId="77777777">
      <w:pPr>
        <w:spacing w:after="0" w:line="240" w:lineRule="auto"/>
        <w:jc w:val="left"/>
        <w:rPr>
          <w:b/>
          <w:lang w:val="it-IT"/>
        </w:rPr>
      </w:pPr>
      <w:r w:rsidRPr="00077BAA">
        <w:rPr>
          <w:b/>
          <w:lang w:val="it-IT"/>
        </w:rPr>
        <w:t>KRUGER, J.</w:t>
      </w:r>
    </w:p>
    <w:p w:rsidR="00B32456" w:rsidRPr="00077BAA" w:rsidP="00222BA1" w14:paraId="61BD225C" w14:textId="1119AED2">
      <w:pPr>
        <w:spacing w:after="0" w:line="240" w:lineRule="auto"/>
        <w:jc w:val="left"/>
        <w:rPr>
          <w:b/>
          <w:lang w:val="it-IT"/>
        </w:rPr>
      </w:pPr>
      <w:r>
        <w:rPr>
          <w:b/>
          <w:lang w:val="it-IT"/>
        </w:rPr>
        <w:t>GROBAN, J.</w:t>
      </w:r>
    </w:p>
    <w:p w:rsidR="00222BA1" w:rsidP="00222BA1" w14:paraId="41E30F0E" w14:textId="77777777">
      <w:pPr>
        <w:spacing w:after="0" w:line="240" w:lineRule="auto"/>
        <w:jc w:val="left"/>
        <w:rPr>
          <w:b/>
        </w:rPr>
      </w:pPr>
      <w:r w:rsidRPr="00077BAA">
        <w:rPr>
          <w:b/>
        </w:rPr>
        <w:t>JENKINS, J.</w:t>
      </w:r>
    </w:p>
    <w:p w:rsidR="00B32456" w:rsidRPr="00077BAA" w:rsidP="00222BA1" w14:paraId="3C1ADAAE" w14:textId="1D4B5B4F">
      <w:pPr>
        <w:spacing w:after="0" w:line="240" w:lineRule="auto"/>
        <w:jc w:val="left"/>
        <w:rPr>
          <w:b/>
        </w:rPr>
      </w:pPr>
      <w:r>
        <w:rPr>
          <w:b/>
        </w:rPr>
        <w:t>EVANS, J.</w:t>
      </w:r>
    </w:p>
    <w:p w:rsidR="00113993" w:rsidP="000641B0" w14:paraId="0767D9CB" w14:textId="77777777">
      <w:pPr>
        <w:sectPr w:rsidSect="000641B0">
          <w:footerReference w:type="first" r:id="rId8"/>
          <w:pgSz w:w="12240" w:h="15840"/>
          <w:pgMar w:top="1800" w:right="2160" w:bottom="1440" w:left="2160" w:header="720" w:footer="720" w:gutter="0"/>
          <w:pgNumType w:start="1"/>
          <w:cols w:space="720"/>
          <w:titlePg/>
          <w:docGrid w:linePitch="367"/>
        </w:sectPr>
      </w:pPr>
    </w:p>
    <w:p w:rsidR="000B6692" w:rsidRPr="000B6692" w:rsidP="000B6692" w14:paraId="1643408C" w14:textId="77777777">
      <w:pPr>
        <w:spacing w:after="0" w:line="240" w:lineRule="auto"/>
        <w:jc w:val="left"/>
        <w:rPr>
          <w:i/>
          <w:sz w:val="24"/>
          <w:szCs w:val="24"/>
        </w:rPr>
      </w:pPr>
      <w:r w:rsidRPr="000B6692">
        <w:rPr>
          <w:i/>
          <w:sz w:val="24"/>
          <w:szCs w:val="24"/>
        </w:rPr>
        <w:t>See next page for addresses and telephone numbers for counsel who argued in Supreme Court.</w:t>
      </w:r>
    </w:p>
    <w:p w:rsidR="000B6692" w:rsidRPr="000B6692" w:rsidP="000B6692" w14:paraId="2D0FF442" w14:textId="77777777">
      <w:pPr>
        <w:spacing w:after="0" w:line="240" w:lineRule="auto"/>
        <w:jc w:val="left"/>
        <w:rPr>
          <w:i/>
          <w:sz w:val="24"/>
          <w:szCs w:val="24"/>
        </w:rPr>
      </w:pPr>
    </w:p>
    <w:p w:rsidR="000B6692" w:rsidRPr="000B6692" w:rsidP="000B6692" w14:paraId="581A40B2" w14:textId="77777777">
      <w:pPr>
        <w:spacing w:after="0" w:line="240" w:lineRule="auto"/>
        <w:jc w:val="left"/>
        <w:rPr>
          <w:bCs/>
          <w:sz w:val="24"/>
          <w:szCs w:val="24"/>
        </w:rPr>
      </w:pPr>
      <w:r w:rsidRPr="000B6692">
        <w:rPr>
          <w:b/>
          <w:sz w:val="24"/>
          <w:szCs w:val="24"/>
        </w:rPr>
        <w:t xml:space="preserve">Name of Opinion  </w:t>
      </w:r>
      <w:r w:rsidRPr="000B6692">
        <w:rPr>
          <w:bCs/>
          <w:sz w:val="24"/>
          <w:szCs w:val="24"/>
        </w:rPr>
        <w:t>In re Jenkins</w:t>
      </w:r>
    </w:p>
    <w:p w:rsidR="000B6692" w:rsidRPr="000B6692" w:rsidP="000B6692" w14:paraId="0230D9C4" w14:textId="77777777">
      <w:pPr>
        <w:spacing w:after="0" w:line="240" w:lineRule="auto"/>
        <w:jc w:val="left"/>
        <w:rPr>
          <w:b/>
          <w:sz w:val="24"/>
          <w:szCs w:val="24"/>
        </w:rPr>
      </w:pPr>
      <w:r w:rsidRPr="000B6692">
        <w:rPr>
          <w:b/>
          <w:sz w:val="24"/>
          <w:szCs w:val="24"/>
        </w:rPr>
        <w:t xml:space="preserve">__________________________________________________________ </w:t>
      </w:r>
    </w:p>
    <w:p w:rsidR="000B6692" w:rsidRPr="000B6692" w:rsidP="000B6692" w14:paraId="271ED34D" w14:textId="77777777">
      <w:pPr>
        <w:spacing w:after="0" w:line="240" w:lineRule="auto"/>
        <w:jc w:val="left"/>
        <w:rPr>
          <w:b/>
          <w:sz w:val="24"/>
          <w:szCs w:val="24"/>
        </w:rPr>
      </w:pPr>
    </w:p>
    <w:p w:rsidR="000B6692" w:rsidRPr="000B6692" w:rsidP="000B6692" w14:paraId="649CF30F" w14:textId="77777777">
      <w:pPr>
        <w:spacing w:after="0" w:line="240" w:lineRule="auto"/>
        <w:jc w:val="left"/>
        <w:rPr>
          <w:sz w:val="24"/>
          <w:szCs w:val="24"/>
        </w:rPr>
      </w:pPr>
      <w:r w:rsidRPr="000B6692">
        <w:rPr>
          <w:b/>
          <w:bCs/>
          <w:sz w:val="24"/>
          <w:szCs w:val="24"/>
          <w:u w:val="single"/>
        </w:rPr>
        <w:t>Procedural Posture</w:t>
      </w:r>
      <w:r w:rsidRPr="000B6692">
        <w:rPr>
          <w:b/>
          <w:bCs/>
          <w:sz w:val="24"/>
          <w:szCs w:val="24"/>
        </w:rPr>
        <w:t xml:space="preserve"> </w:t>
      </w:r>
      <w:r w:rsidRPr="000B6692">
        <w:rPr>
          <w:sz w:val="24"/>
          <w:szCs w:val="24"/>
        </w:rPr>
        <w:t>(see XX below)</w:t>
      </w:r>
    </w:p>
    <w:p w:rsidR="000B6692" w:rsidRPr="000B6692" w:rsidP="000B6692" w14:paraId="74257F3B" w14:textId="77777777">
      <w:pPr>
        <w:spacing w:after="0" w:line="240" w:lineRule="auto"/>
        <w:jc w:val="left"/>
        <w:rPr>
          <w:sz w:val="24"/>
          <w:szCs w:val="24"/>
        </w:rPr>
      </w:pPr>
      <w:r w:rsidRPr="000B6692">
        <w:rPr>
          <w:b/>
          <w:bCs/>
          <w:sz w:val="24"/>
          <w:szCs w:val="24"/>
        </w:rPr>
        <w:t>Original Appeal</w:t>
      </w:r>
      <w:r w:rsidRPr="000B6692">
        <w:rPr>
          <w:sz w:val="24"/>
          <w:szCs w:val="24"/>
        </w:rPr>
        <w:t xml:space="preserve"> </w:t>
      </w:r>
    </w:p>
    <w:p w:rsidR="000B6692" w:rsidRPr="000B6692" w:rsidP="000B6692" w14:paraId="5D8EF324" w14:textId="77777777">
      <w:pPr>
        <w:spacing w:after="0" w:line="240" w:lineRule="auto"/>
        <w:jc w:val="left"/>
        <w:rPr>
          <w:b/>
          <w:bCs/>
          <w:sz w:val="24"/>
          <w:szCs w:val="24"/>
        </w:rPr>
      </w:pPr>
      <w:r w:rsidRPr="000B6692">
        <w:rPr>
          <w:b/>
          <w:bCs/>
          <w:sz w:val="24"/>
          <w:szCs w:val="24"/>
        </w:rPr>
        <w:t>Original Proceeding</w:t>
      </w:r>
    </w:p>
    <w:p w:rsidR="000B6692" w:rsidRPr="000B6692" w:rsidP="000B6692" w14:paraId="50129DE5" w14:textId="77777777">
      <w:pPr>
        <w:spacing w:after="0" w:line="240" w:lineRule="auto"/>
        <w:jc w:val="left"/>
        <w:rPr>
          <w:sz w:val="24"/>
          <w:szCs w:val="24"/>
        </w:rPr>
      </w:pPr>
      <w:r w:rsidRPr="000B6692">
        <w:rPr>
          <w:b/>
          <w:bCs/>
          <w:sz w:val="24"/>
          <w:szCs w:val="24"/>
        </w:rPr>
        <w:t>Review Granted</w:t>
      </w:r>
      <w:r w:rsidRPr="000B6692">
        <w:rPr>
          <w:sz w:val="24"/>
          <w:szCs w:val="24"/>
        </w:rPr>
        <w:t xml:space="preserve"> </w:t>
      </w:r>
      <w:r w:rsidRPr="000B6692">
        <w:rPr>
          <w:b/>
          <w:bCs/>
          <w:sz w:val="24"/>
          <w:szCs w:val="24"/>
        </w:rPr>
        <w:t xml:space="preserve">(published) </w:t>
      </w:r>
    </w:p>
    <w:p w:rsidR="000B6692" w:rsidRPr="000B6692" w:rsidP="000B6692" w14:paraId="754030A8" w14:textId="77777777">
      <w:pPr>
        <w:spacing w:after="0" w:line="240" w:lineRule="auto"/>
        <w:jc w:val="left"/>
        <w:rPr>
          <w:sz w:val="24"/>
          <w:szCs w:val="24"/>
        </w:rPr>
      </w:pPr>
      <w:r w:rsidRPr="000B6692">
        <w:rPr>
          <w:b/>
          <w:bCs/>
          <w:sz w:val="24"/>
          <w:szCs w:val="24"/>
        </w:rPr>
        <w:t xml:space="preserve">Review Granted (unpublished) </w:t>
      </w:r>
      <w:r w:rsidRPr="000B6692">
        <w:rPr>
          <w:sz w:val="24"/>
          <w:szCs w:val="24"/>
        </w:rPr>
        <w:t>XX NP opn. filed 1/22/21 – 2d Dist., Div. 1</w:t>
      </w:r>
    </w:p>
    <w:p w:rsidR="000B6692" w:rsidRPr="000B6692" w:rsidP="000B6692" w14:paraId="3A978E66" w14:textId="77777777">
      <w:pPr>
        <w:spacing w:after="0" w:line="240" w:lineRule="auto"/>
        <w:jc w:val="left"/>
        <w:rPr>
          <w:b/>
          <w:bCs/>
          <w:sz w:val="24"/>
          <w:szCs w:val="24"/>
        </w:rPr>
      </w:pPr>
      <w:r w:rsidRPr="000B6692">
        <w:rPr>
          <w:b/>
          <w:bCs/>
          <w:sz w:val="24"/>
          <w:szCs w:val="24"/>
        </w:rPr>
        <w:t>Rehearing Granted</w:t>
      </w:r>
    </w:p>
    <w:p w:rsidR="000B6692" w:rsidRPr="000B6692" w:rsidP="000B6692" w14:paraId="633EB226" w14:textId="77777777">
      <w:pPr>
        <w:spacing w:after="0" w:line="240" w:lineRule="auto"/>
        <w:jc w:val="left"/>
        <w:rPr>
          <w:b/>
          <w:sz w:val="24"/>
          <w:szCs w:val="24"/>
        </w:rPr>
      </w:pPr>
      <w:r w:rsidRPr="000B6692">
        <w:rPr>
          <w:b/>
          <w:sz w:val="24"/>
          <w:szCs w:val="24"/>
        </w:rPr>
        <w:t xml:space="preserve">__________________________________________________________ </w:t>
      </w:r>
    </w:p>
    <w:p w:rsidR="000B6692" w:rsidRPr="000B6692" w:rsidP="000B6692" w14:paraId="77454680" w14:textId="77777777">
      <w:pPr>
        <w:spacing w:after="0" w:line="240" w:lineRule="auto"/>
        <w:jc w:val="left"/>
        <w:rPr>
          <w:b/>
          <w:sz w:val="24"/>
          <w:szCs w:val="24"/>
        </w:rPr>
      </w:pPr>
    </w:p>
    <w:p w:rsidR="000B6692" w:rsidRPr="000B6692" w:rsidP="000B6692" w14:paraId="37AE8F84" w14:textId="77777777">
      <w:pPr>
        <w:spacing w:after="0" w:line="240" w:lineRule="auto"/>
        <w:jc w:val="left"/>
        <w:rPr>
          <w:bCs/>
          <w:sz w:val="24"/>
          <w:szCs w:val="24"/>
        </w:rPr>
      </w:pPr>
      <w:r w:rsidRPr="000B6692">
        <w:rPr>
          <w:b/>
          <w:sz w:val="24"/>
          <w:szCs w:val="24"/>
        </w:rPr>
        <w:t>Opinion No.</w:t>
      </w:r>
      <w:r w:rsidRPr="000B6692">
        <w:rPr>
          <w:sz w:val="24"/>
          <w:szCs w:val="24"/>
        </w:rPr>
        <w:t xml:space="preserve"> S267391</w:t>
      </w:r>
    </w:p>
    <w:p w:rsidR="000B6692" w:rsidRPr="000B6692" w:rsidP="000B6692" w14:paraId="3EC48DE6" w14:textId="77777777">
      <w:pPr>
        <w:spacing w:after="0" w:line="240" w:lineRule="auto"/>
        <w:jc w:val="left"/>
        <w:rPr>
          <w:bCs/>
          <w:sz w:val="24"/>
          <w:szCs w:val="24"/>
        </w:rPr>
      </w:pPr>
      <w:r w:rsidRPr="000B6692">
        <w:rPr>
          <w:b/>
          <w:sz w:val="24"/>
          <w:szCs w:val="24"/>
        </w:rPr>
        <w:t>Date Filed:</w:t>
      </w:r>
      <w:r w:rsidRPr="000B6692">
        <w:rPr>
          <w:sz w:val="24"/>
          <w:szCs w:val="24"/>
        </w:rPr>
        <w:t xml:space="preserve">  March 27, 2023</w:t>
      </w:r>
    </w:p>
    <w:p w:rsidR="000B6692" w:rsidRPr="000B6692" w:rsidP="000B6692" w14:paraId="15848D52" w14:textId="77777777">
      <w:pPr>
        <w:spacing w:after="0" w:line="240" w:lineRule="auto"/>
        <w:jc w:val="left"/>
        <w:rPr>
          <w:b/>
          <w:sz w:val="24"/>
          <w:szCs w:val="24"/>
        </w:rPr>
      </w:pPr>
      <w:r w:rsidRPr="000B6692">
        <w:rPr>
          <w:b/>
          <w:sz w:val="24"/>
          <w:szCs w:val="24"/>
        </w:rPr>
        <w:t xml:space="preserve">__________________________________________________________ </w:t>
      </w:r>
    </w:p>
    <w:p w:rsidR="000B6692" w:rsidRPr="000B6692" w:rsidP="000B6692" w14:paraId="192E3152" w14:textId="77777777">
      <w:pPr>
        <w:spacing w:after="0" w:line="240" w:lineRule="auto"/>
        <w:jc w:val="left"/>
        <w:rPr>
          <w:b/>
          <w:sz w:val="24"/>
          <w:szCs w:val="24"/>
        </w:rPr>
      </w:pPr>
    </w:p>
    <w:p w:rsidR="000B6692" w:rsidRPr="000B6692" w:rsidP="000B6692" w14:paraId="1C26E8EA" w14:textId="77777777">
      <w:pPr>
        <w:spacing w:after="0" w:line="240" w:lineRule="auto"/>
        <w:jc w:val="left"/>
        <w:rPr>
          <w:bCs/>
          <w:sz w:val="24"/>
          <w:szCs w:val="24"/>
        </w:rPr>
      </w:pPr>
      <w:r w:rsidRPr="000B6692">
        <w:rPr>
          <w:b/>
          <w:sz w:val="24"/>
          <w:szCs w:val="24"/>
        </w:rPr>
        <w:t xml:space="preserve">Court:  </w:t>
      </w:r>
      <w:r w:rsidRPr="000B6692">
        <w:rPr>
          <w:bCs/>
          <w:sz w:val="24"/>
          <w:szCs w:val="24"/>
        </w:rPr>
        <w:t>Superior</w:t>
      </w:r>
      <w:r w:rsidRPr="000B6692">
        <w:rPr>
          <w:b/>
          <w:sz w:val="24"/>
          <w:szCs w:val="24"/>
        </w:rPr>
        <w:t xml:space="preserve"> </w:t>
      </w:r>
    </w:p>
    <w:p w:rsidR="000B6692" w:rsidRPr="000B6692" w:rsidP="000B6692" w14:paraId="1BC20F7C" w14:textId="77777777">
      <w:pPr>
        <w:spacing w:after="0" w:line="240" w:lineRule="auto"/>
        <w:jc w:val="left"/>
        <w:rPr>
          <w:bCs/>
          <w:sz w:val="24"/>
          <w:szCs w:val="24"/>
        </w:rPr>
      </w:pPr>
      <w:r w:rsidRPr="000B6692">
        <w:rPr>
          <w:b/>
          <w:sz w:val="24"/>
          <w:szCs w:val="24"/>
        </w:rPr>
        <w:t xml:space="preserve">County:  </w:t>
      </w:r>
      <w:r w:rsidRPr="000B6692">
        <w:rPr>
          <w:bCs/>
          <w:sz w:val="24"/>
          <w:szCs w:val="24"/>
        </w:rPr>
        <w:t>Los Angeles</w:t>
      </w:r>
      <w:r w:rsidRPr="000B6692">
        <w:rPr>
          <w:b/>
          <w:sz w:val="24"/>
          <w:szCs w:val="24"/>
        </w:rPr>
        <w:t xml:space="preserve"> </w:t>
      </w:r>
    </w:p>
    <w:p w:rsidR="000B6692" w:rsidRPr="000B6692" w:rsidP="000B6692" w14:paraId="7ED8BD8B" w14:textId="77777777">
      <w:pPr>
        <w:spacing w:after="0" w:line="240" w:lineRule="auto"/>
        <w:ind w:left="720" w:hanging="720"/>
        <w:jc w:val="left"/>
        <w:rPr>
          <w:bCs/>
          <w:sz w:val="24"/>
          <w:szCs w:val="24"/>
        </w:rPr>
      </w:pPr>
      <w:r w:rsidRPr="000B6692">
        <w:rPr>
          <w:b/>
          <w:sz w:val="24"/>
          <w:szCs w:val="24"/>
        </w:rPr>
        <w:t xml:space="preserve">Judge: </w:t>
      </w:r>
      <w:r w:rsidRPr="000B6692">
        <w:rPr>
          <w:bCs/>
          <w:sz w:val="24"/>
          <w:szCs w:val="24"/>
        </w:rPr>
        <w:t xml:space="preserve"> Lisa B. Lench</w:t>
      </w:r>
    </w:p>
    <w:p w:rsidR="000B6692" w:rsidRPr="000B6692" w:rsidP="000B6692" w14:paraId="5BEC71DC" w14:textId="77777777">
      <w:pPr>
        <w:spacing w:after="0" w:line="240" w:lineRule="auto"/>
        <w:jc w:val="left"/>
        <w:rPr>
          <w:b/>
          <w:sz w:val="24"/>
          <w:szCs w:val="24"/>
        </w:rPr>
      </w:pPr>
      <w:r w:rsidRPr="000B6692">
        <w:rPr>
          <w:b/>
          <w:sz w:val="24"/>
          <w:szCs w:val="24"/>
        </w:rPr>
        <w:t xml:space="preserve">__________________________________________________________  </w:t>
      </w:r>
    </w:p>
    <w:p w:rsidR="000B6692" w:rsidRPr="000B6692" w:rsidP="000B6692" w14:paraId="18D8E236" w14:textId="77777777">
      <w:pPr>
        <w:spacing w:after="0" w:line="240" w:lineRule="auto"/>
        <w:jc w:val="left"/>
        <w:rPr>
          <w:b/>
          <w:sz w:val="24"/>
          <w:szCs w:val="24"/>
        </w:rPr>
      </w:pPr>
    </w:p>
    <w:p w:rsidR="000B6692" w:rsidRPr="000B6692" w:rsidP="000B6692" w14:paraId="536AEA90" w14:textId="77777777">
      <w:pPr>
        <w:spacing w:after="0" w:line="240" w:lineRule="auto"/>
        <w:jc w:val="left"/>
        <w:rPr>
          <w:b/>
          <w:sz w:val="24"/>
          <w:szCs w:val="24"/>
        </w:rPr>
      </w:pPr>
      <w:r w:rsidRPr="000B6692">
        <w:rPr>
          <w:b/>
          <w:sz w:val="24"/>
          <w:szCs w:val="24"/>
        </w:rPr>
        <w:t>Counsel:</w:t>
      </w:r>
    </w:p>
    <w:p w:rsidR="000B6692" w:rsidRPr="000B6692" w:rsidP="000B6692" w14:paraId="47B571F3" w14:textId="77777777">
      <w:pPr>
        <w:spacing w:after="0" w:line="240" w:lineRule="auto"/>
        <w:jc w:val="left"/>
        <w:rPr>
          <w:bCs/>
          <w:sz w:val="24"/>
          <w:szCs w:val="24"/>
        </w:rPr>
      </w:pPr>
    </w:p>
    <w:p w:rsidR="000B6692" w:rsidRPr="000B6692" w:rsidP="000B6692" w14:paraId="16E156BD"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Rudolph J. Alejo, under appointment by the Supreme Court, for Petitioner Jasmine Jenkins.</w:t>
      </w:r>
    </w:p>
    <w:p w:rsidR="000B6692" w:rsidRPr="000B6692" w:rsidP="000B6692" w14:paraId="5DC953DF" w14:textId="77777777">
      <w:pPr>
        <w:spacing w:after="0" w:line="240" w:lineRule="auto"/>
        <w:jc w:val="left"/>
        <w:rPr>
          <w:color w:val="212121"/>
          <w:sz w:val="24"/>
          <w:szCs w:val="24"/>
          <w:shd w:val="clear" w:color="auto" w:fill="FFFFFF"/>
        </w:rPr>
      </w:pPr>
    </w:p>
    <w:p w:rsidR="000B6692" w:rsidRPr="000B6692" w:rsidP="000B6692" w14:paraId="0FA3693B" w14:textId="77777777">
      <w:pPr>
        <w:spacing w:after="0" w:line="240" w:lineRule="auto"/>
        <w:jc w:val="left"/>
        <w:rPr>
          <w:b/>
          <w:sz w:val="24"/>
          <w:szCs w:val="24"/>
        </w:rPr>
      </w:pPr>
      <w:r w:rsidRPr="000B6692">
        <w:rPr>
          <w:color w:val="212121"/>
          <w:sz w:val="24"/>
          <w:szCs w:val="24"/>
          <w:shd w:val="clear" w:color="auto" w:fill="FFFFFF"/>
        </w:rPr>
        <w:t>Xavier Becerra and Rob Bonta, Attorneys General, Lance E. Winters, Chief Assistant Attorney General, Susan Sullivan Pithey and Jeffrey M. Laurence, Assistant Attorneys General, Zee Rodriguez, Paul Thies, Seth K. Schalit and J. Michael Chamberlain, Deputy Attorneys General, for Respondent Department of Corrections and Rehabilitation.</w:t>
      </w:r>
      <w:r w:rsidRPr="000B6692">
        <w:rPr>
          <w:color w:val="212121"/>
          <w:sz w:val="24"/>
          <w:szCs w:val="24"/>
          <w:shd w:val="clear" w:color="auto" w:fill="FFFFFF"/>
        </w:rPr>
        <w:br w:type="page"/>
      </w:r>
      <w:r w:rsidRPr="000B6692">
        <w:rPr>
          <w:b/>
          <w:sz w:val="24"/>
          <w:szCs w:val="24"/>
        </w:rPr>
        <w:t>Counsel who argued in Supreme Court (not intended for publication with opinion):</w:t>
      </w:r>
    </w:p>
    <w:p w:rsidR="000B6692" w:rsidRPr="000B6692" w:rsidP="000B6692" w14:paraId="0B08C066" w14:textId="77777777">
      <w:pPr>
        <w:spacing w:after="0" w:line="240" w:lineRule="auto"/>
        <w:jc w:val="left"/>
        <w:rPr>
          <w:b/>
          <w:sz w:val="24"/>
          <w:szCs w:val="24"/>
        </w:rPr>
      </w:pPr>
    </w:p>
    <w:p w:rsidR="000B6692" w:rsidRPr="000B6692" w:rsidP="000B6692" w14:paraId="69C9B2DD"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 xml:space="preserve">Rudolph J. Alejo </w:t>
      </w:r>
    </w:p>
    <w:p w:rsidR="000B6692" w:rsidRPr="000B6692" w:rsidP="000B6692" w14:paraId="79DFAFC2"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Attorney at Law</w:t>
      </w:r>
    </w:p>
    <w:p w:rsidR="000B6692" w:rsidRPr="000B6692" w:rsidP="000B6692" w14:paraId="15669FC3"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520 South Grand Avenue, 4th Floor</w:t>
      </w:r>
    </w:p>
    <w:p w:rsidR="000B6692" w:rsidRPr="000B6692" w:rsidP="000B6692" w14:paraId="1D0BC01A"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Los Angeles, CA 90071</w:t>
      </w:r>
    </w:p>
    <w:p w:rsidR="000B6692" w:rsidRPr="000B6692" w:rsidP="000B6692" w14:paraId="66D56B20"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(213) 243-0300</w:t>
      </w:r>
    </w:p>
    <w:p w:rsidR="000B6692" w:rsidRPr="000B6692" w:rsidP="000B6692" w14:paraId="247BA7FB" w14:textId="77777777">
      <w:pPr>
        <w:spacing w:after="0" w:line="240" w:lineRule="auto"/>
        <w:jc w:val="left"/>
        <w:rPr>
          <w:color w:val="212121"/>
          <w:sz w:val="24"/>
          <w:szCs w:val="24"/>
          <w:shd w:val="clear" w:color="auto" w:fill="FFFFFF"/>
        </w:rPr>
      </w:pPr>
    </w:p>
    <w:p w:rsidR="000B6692" w:rsidRPr="000B6692" w:rsidP="000B6692" w14:paraId="36E81D9A"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J. Michael Chamberlain</w:t>
      </w:r>
    </w:p>
    <w:p w:rsidR="000B6692" w:rsidRPr="000B6692" w:rsidP="000B6692" w14:paraId="01C4797C" w14:textId="77777777">
      <w:pPr>
        <w:spacing w:after="0" w:line="240" w:lineRule="auto"/>
        <w:jc w:val="left"/>
        <w:rPr>
          <w:color w:val="212121"/>
          <w:sz w:val="24"/>
          <w:szCs w:val="24"/>
          <w:shd w:val="clear" w:color="auto" w:fill="FFFFFF"/>
        </w:rPr>
      </w:pPr>
      <w:r w:rsidRPr="000B6692">
        <w:rPr>
          <w:color w:val="212121"/>
          <w:sz w:val="24"/>
          <w:szCs w:val="24"/>
          <w:shd w:val="clear" w:color="auto" w:fill="FFFFFF"/>
        </w:rPr>
        <w:t>Deputy Attorney General</w:t>
      </w:r>
    </w:p>
    <w:p w:rsidR="000B6692" w:rsidRPr="000B6692" w:rsidP="000B6692" w14:paraId="69754A09" w14:textId="77777777">
      <w:pPr>
        <w:spacing w:after="0" w:line="240" w:lineRule="auto"/>
        <w:jc w:val="left"/>
        <w:rPr>
          <w:sz w:val="24"/>
          <w:szCs w:val="24"/>
        </w:rPr>
      </w:pPr>
      <w:r w:rsidRPr="000B6692">
        <w:rPr>
          <w:sz w:val="24"/>
          <w:szCs w:val="24"/>
        </w:rPr>
        <w:t>455 Golden Gate Avenue, Suite 11000</w:t>
      </w:r>
    </w:p>
    <w:p w:rsidR="000B6692" w:rsidRPr="000B6692" w:rsidP="000B6692" w14:paraId="53A619C1" w14:textId="77777777">
      <w:pPr>
        <w:spacing w:after="0" w:line="240" w:lineRule="auto"/>
        <w:jc w:val="left"/>
        <w:rPr>
          <w:sz w:val="24"/>
          <w:szCs w:val="24"/>
        </w:rPr>
      </w:pPr>
      <w:r w:rsidRPr="000B6692">
        <w:rPr>
          <w:sz w:val="24"/>
          <w:szCs w:val="24"/>
        </w:rPr>
        <w:t>San Francisco, CA 94102</w:t>
      </w:r>
    </w:p>
    <w:p w:rsidR="000B6692" w:rsidRPr="000B6692" w:rsidP="000B6692" w14:paraId="2636F3D5" w14:textId="77777777">
      <w:pPr>
        <w:spacing w:after="0" w:line="240" w:lineRule="auto"/>
        <w:jc w:val="left"/>
        <w:rPr>
          <w:sz w:val="24"/>
          <w:szCs w:val="24"/>
        </w:rPr>
      </w:pPr>
      <w:r w:rsidRPr="000B6692">
        <w:rPr>
          <w:sz w:val="24"/>
          <w:szCs w:val="24"/>
        </w:rPr>
        <w:t>(415) 510-3775</w:t>
      </w:r>
    </w:p>
    <w:p w:rsidR="00955469" w:rsidRPr="000641B0" w:rsidP="000641B0" w14:paraId="4622F7B4" w14:textId="61FD1DFC"/>
    <w:sectPr w:rsidSect="00EC2BB8">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67C" w14:paraId="15D03744"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1B0" w14:paraId="12596C17"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C05" w14:paraId="31669DD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C05" w14:paraId="5055B1E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C05" w14:paraId="0EF9E0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7ED2" w14:paraId="1F9B56E5" w14:textId="77777777">
      <w:r>
        <w:separator/>
      </w:r>
    </w:p>
  </w:footnote>
  <w:footnote w:type="continuationSeparator" w:id="1">
    <w:p w:rsidR="007B7ED2" w14:paraId="236EFBF2" w14:textId="77777777">
      <w:pPr>
        <w:rPr>
          <w:sz w:val="22"/>
        </w:rPr>
      </w:pPr>
      <w:r>
        <w:continuationSeparator/>
      </w:r>
    </w:p>
  </w:footnote>
  <w:footnote w:type="continuationNotice" w:id="2">
    <w:p w:rsidR="007B7ED2" w14:paraId="48660BF7" w14:textId="77777777">
      <w:pPr>
        <w:jc w:val="right"/>
        <w:rPr>
          <w:i/>
          <w:sz w:val="20"/>
        </w:rPr>
      </w:pPr>
    </w:p>
  </w:footnote>
  <w:footnote w:id="3">
    <w:p w:rsidR="00C61A9E" w:rsidRPr="00797BB5" w:rsidP="000641B0" w14:paraId="0C7162E5" w14:textId="4C297FB4">
      <w:pPr>
        <w:pStyle w:val="FootnoteText"/>
        <w:rPr>
          <w:bCs/>
        </w:rPr>
      </w:pPr>
      <w:r w:rsidRPr="007537B4">
        <w:rPr>
          <w:rStyle w:val="FootnoteReference"/>
        </w:rPr>
        <w:footnoteRef/>
      </w:r>
      <w:r w:rsidRPr="007537B4">
        <w:t xml:space="preserve"> </w:t>
      </w:r>
      <w:r w:rsidRPr="007537B4">
        <w:tab/>
      </w:r>
      <w:r w:rsidRPr="007537B4" w:rsidR="00355434">
        <w:t xml:space="preserve">We provide </w:t>
      </w:r>
      <w:r w:rsidRPr="007537B4" w:rsidR="007537B4">
        <w:t>a brief</w:t>
      </w:r>
      <w:r w:rsidRPr="007537B4" w:rsidR="00355434">
        <w:t xml:space="preserve"> summary of fac</w:t>
      </w:r>
      <w:r w:rsidRPr="007537B4" w:rsidR="007537B4">
        <w:t xml:space="preserve">ts </w:t>
      </w:r>
      <w:r w:rsidRPr="007537B4" w:rsidR="00455075">
        <w:t>leading to Jenkins’s conviction</w:t>
      </w:r>
      <w:r w:rsidRPr="007537B4" w:rsidR="00FD5091">
        <w:t xml:space="preserve"> </w:t>
      </w:r>
      <w:r w:rsidRPr="007537B4">
        <w:t>based on the Court of Appeal’s unpublished opinion in this mat</w:t>
      </w:r>
      <w:r w:rsidRPr="007537B4" w:rsidR="00C93FBA">
        <w:t>ter</w:t>
      </w:r>
      <w:r w:rsidRPr="007537B4">
        <w:t xml:space="preserve">. </w:t>
      </w:r>
      <w:r w:rsidRPr="007537B4" w:rsidR="00035F44">
        <w:t xml:space="preserve"> </w:t>
      </w:r>
      <w:r w:rsidR="00ED224A">
        <w:rPr>
          <w:bCs/>
        </w:rPr>
        <w:t>(</w:t>
      </w:r>
      <w:r w:rsidR="00ED224A">
        <w:rPr>
          <w:bCs/>
          <w:i/>
          <w:iCs/>
        </w:rPr>
        <w:t xml:space="preserve">People v. Jenkins </w:t>
      </w:r>
      <w:r w:rsidR="00ED224A">
        <w:rPr>
          <w:bCs/>
        </w:rPr>
        <w:t xml:space="preserve">(Jan. 22, 2021, B294747, B301638) [nonpub. opn.].)  </w:t>
      </w:r>
    </w:p>
  </w:footnote>
  <w:footnote w:id="4">
    <w:p w:rsidR="006867EA" w14:paraId="6D48180B" w14:textId="41DFAA9A">
      <w:pPr>
        <w:pStyle w:val="FootnoteText"/>
      </w:pPr>
      <w:r>
        <w:rPr>
          <w:rStyle w:val="FootnoteReference"/>
        </w:rPr>
        <w:footnoteRef/>
      </w:r>
      <w:r>
        <w:t xml:space="preserve"> </w:t>
      </w:r>
      <w:r w:rsidR="00C74346">
        <w:tab/>
      </w:r>
      <w:r>
        <w:t xml:space="preserve">Because the victim and a witness share the same last name, </w:t>
      </w:r>
      <w:r w:rsidR="00AF31E9">
        <w:t xml:space="preserve">after introducing them, </w:t>
      </w:r>
      <w:r>
        <w:t>we use their first names</w:t>
      </w:r>
      <w:r w:rsidR="00032FE9">
        <w:t xml:space="preserve"> when referring to them individually</w:t>
      </w:r>
      <w:r>
        <w:t xml:space="preserve"> to avoid confusion.</w:t>
      </w:r>
    </w:p>
  </w:footnote>
  <w:footnote w:id="5">
    <w:p w:rsidR="0014677F" w:rsidRPr="009258BA" w:rsidP="000641B0" w14:paraId="510CD248" w14:textId="3A799EDD">
      <w:pPr>
        <w:pStyle w:val="FootnoteText"/>
        <w:rPr>
          <w:bCs/>
        </w:rPr>
      </w:pPr>
      <w:r>
        <w:rPr>
          <w:rStyle w:val="FootnoteReference"/>
        </w:rPr>
        <w:footnoteRef/>
      </w:r>
      <w:r>
        <w:t xml:space="preserve"> </w:t>
      </w:r>
      <w:r>
        <w:tab/>
        <w:t xml:space="preserve">Jenkins noted that the </w:t>
      </w:r>
      <w:r w:rsidRPr="006E5638">
        <w:rPr>
          <w:bCs/>
        </w:rPr>
        <w:t>Los Angeles County District Attorney</w:t>
      </w:r>
      <w:r w:rsidRPr="00542512">
        <w:t xml:space="preserve"> </w:t>
      </w:r>
      <w:r>
        <w:t xml:space="preserve">had prosecuted her case as well as the case allegedly involving Brittneeh and Sade. </w:t>
      </w:r>
      <w:r w:rsidR="009258BA">
        <w:t xml:space="preserve"> </w:t>
      </w:r>
    </w:p>
  </w:footnote>
  <w:footnote w:id="6">
    <w:p w:rsidR="004B208F" w:rsidP="000641B0" w14:paraId="06F8E018" w14:textId="359F701A">
      <w:pPr>
        <w:pStyle w:val="FootnoteText"/>
      </w:pPr>
      <w:r w:rsidRPr="00655D2E">
        <w:rPr>
          <w:rStyle w:val="FootnoteReference"/>
        </w:rPr>
        <w:footnoteRef/>
      </w:r>
      <w:r w:rsidRPr="00655D2E">
        <w:t xml:space="preserve"> </w:t>
      </w:r>
      <w:r w:rsidRPr="00655D2E">
        <w:tab/>
        <w:t>Although Jenkins use</w:t>
      </w:r>
      <w:r w:rsidRPr="00655D2E" w:rsidR="00F34183">
        <w:t>s</w:t>
      </w:r>
      <w:r w:rsidRPr="00655D2E">
        <w:t xml:space="preserve"> the word “respondent” </w:t>
      </w:r>
      <w:r w:rsidRPr="00655D2E" w:rsidR="00806F6D">
        <w:t xml:space="preserve">it is clear </w:t>
      </w:r>
      <w:r w:rsidRPr="00655D2E" w:rsidR="00CB42D0">
        <w:t xml:space="preserve">here, and in several other places in her </w:t>
      </w:r>
      <w:r w:rsidRPr="00655D2E" w:rsidR="00F34183">
        <w:t>briefing</w:t>
      </w:r>
      <w:r w:rsidRPr="00655D2E" w:rsidR="001F5669">
        <w:t xml:space="preserve"> below</w:t>
      </w:r>
      <w:r w:rsidRPr="00655D2E" w:rsidR="0056489E">
        <w:t xml:space="preserve"> and in</w:t>
      </w:r>
      <w:r w:rsidRPr="00655D2E" w:rsidR="005D6468">
        <w:t xml:space="preserve"> this court</w:t>
      </w:r>
      <w:r w:rsidRPr="00655D2E" w:rsidR="00CB42D0">
        <w:t>,</w:t>
      </w:r>
      <w:r w:rsidRPr="00655D2E" w:rsidR="00806F6D">
        <w:t xml:space="preserve"> </w:t>
      </w:r>
      <w:r w:rsidRPr="00655D2E" w:rsidR="00F34183">
        <w:t xml:space="preserve">that </w:t>
      </w:r>
      <w:r w:rsidRPr="00655D2E" w:rsidR="00806F6D">
        <w:t xml:space="preserve">she intended to refer to </w:t>
      </w:r>
      <w:r w:rsidRPr="00655D2E" w:rsidR="00916EB2">
        <w:t xml:space="preserve">respondent’s counsel, the </w:t>
      </w:r>
      <w:r w:rsidRPr="00655D2E" w:rsidR="00806F6D">
        <w:t>Attorney General, rather than</w:t>
      </w:r>
      <w:r w:rsidRPr="00655D2E" w:rsidR="00154496">
        <w:t xml:space="preserve"> </w:t>
      </w:r>
      <w:r w:rsidRPr="00655D2E" w:rsidR="00916EB2">
        <w:t xml:space="preserve">respondent, </w:t>
      </w:r>
      <w:r w:rsidRPr="00655D2E" w:rsidR="00806F6D">
        <w:t xml:space="preserve">the Secretary of the Department </w:t>
      </w:r>
      <w:r w:rsidR="00C20E30">
        <w:t xml:space="preserve">of </w:t>
      </w:r>
      <w:r w:rsidRPr="00655D2E" w:rsidR="00916EB2">
        <w:t>Corrections</w:t>
      </w:r>
      <w:r w:rsidR="00C20E30">
        <w:t xml:space="preserve"> and Rehabilitation</w:t>
      </w:r>
      <w:r w:rsidRPr="00655D2E" w:rsidR="00916EB2">
        <w:t xml:space="preserve">. </w:t>
      </w:r>
      <w:r w:rsidRPr="00655D2E" w:rsidR="002C2F39">
        <w:t xml:space="preserve"> </w:t>
      </w:r>
      <w:r w:rsidRPr="00655D2E" w:rsidR="00BF626C">
        <w:t>(</w:t>
      </w:r>
      <w:bookmarkStart w:id="7" w:name="_Hlk115101440"/>
      <w:r w:rsidRPr="00655D2E" w:rsidR="00BF626C">
        <w:t>See fn.</w:t>
      </w:r>
      <w:r w:rsidRPr="00655D2E" w:rsidR="00F24523">
        <w:t xml:space="preserve"> </w:t>
      </w:r>
      <w:r w:rsidRPr="00655D2E" w:rsidR="00863528">
        <w:t>2</w:t>
      </w:r>
      <w:r w:rsidR="005E4B13">
        <w:t>5</w:t>
      </w:r>
      <w:r w:rsidRPr="00655D2E" w:rsidR="00A42714">
        <w:t xml:space="preserve">, </w:t>
      </w:r>
      <w:r w:rsidRPr="00655D2E" w:rsidR="00A42714">
        <w:rPr>
          <w:i/>
          <w:iCs/>
        </w:rPr>
        <w:t>post</w:t>
      </w:r>
      <w:bookmarkEnd w:id="7"/>
      <w:r w:rsidRPr="00655D2E" w:rsidR="00BF626C">
        <w:t xml:space="preserve">.) </w:t>
      </w:r>
      <w:r w:rsidRPr="00655D2E" w:rsidR="002C2F39">
        <w:t xml:space="preserve"> We have </w:t>
      </w:r>
      <w:r w:rsidRPr="00655D2E" w:rsidR="008C17DF">
        <w:t xml:space="preserve">replaced the word “respondent” with “Attorney General” </w:t>
      </w:r>
      <w:r w:rsidRPr="00655D2E" w:rsidR="007E3C4D">
        <w:t>in those instances in which it is clear Jenkins intended to refer to the Attorney General.</w:t>
      </w:r>
      <w:r w:rsidR="007E3C4D">
        <w:t xml:space="preserve"> </w:t>
      </w:r>
    </w:p>
  </w:footnote>
  <w:footnote w:id="7">
    <w:p w:rsidR="0041611A" w:rsidP="000641B0" w14:paraId="3DDC5D79" w14:textId="5057E5EE">
      <w:pPr>
        <w:pStyle w:val="FootnoteText"/>
      </w:pPr>
      <w:r>
        <w:rPr>
          <w:rStyle w:val="FootnoteReference"/>
        </w:rPr>
        <w:footnoteRef/>
      </w:r>
      <w:r>
        <w:t xml:space="preserve"> </w:t>
      </w:r>
      <w:r>
        <w:tab/>
      </w:r>
      <w:r w:rsidRPr="00655D2E">
        <w:t xml:space="preserve">Jenkins also contends in summary fashion, “Even </w:t>
      </w:r>
      <w:r w:rsidR="00D709E5">
        <w:t>[</w:t>
      </w:r>
      <w:r w:rsidRPr="00655D2E">
        <w:t>i</w:t>
      </w:r>
      <w:r w:rsidR="00D709E5">
        <w:t>]</w:t>
      </w:r>
      <w:r w:rsidRPr="00655D2E">
        <w:t xml:space="preserve">f the Attorney General </w:t>
      </w:r>
      <w:r w:rsidR="00D709E5">
        <w:t>[</w:t>
      </w:r>
      <w:r w:rsidRPr="00655D2E">
        <w:t>m</w:t>
      </w:r>
      <w:r w:rsidR="00D709E5">
        <w:t>]</w:t>
      </w:r>
      <w:r w:rsidRPr="00655D2E">
        <w:t xml:space="preserve">ay </w:t>
      </w:r>
      <w:r w:rsidR="00D709E5">
        <w:t>[</w:t>
      </w:r>
      <w:r w:rsidRPr="00655D2E">
        <w:t>s</w:t>
      </w:r>
      <w:r w:rsidR="00D709E5">
        <w:t>]</w:t>
      </w:r>
      <w:r w:rsidRPr="00655D2E">
        <w:t xml:space="preserve">uppress </w:t>
      </w:r>
      <w:r w:rsidR="00D709E5">
        <w:t>[</w:t>
      </w:r>
      <w:r w:rsidRPr="00655D2E">
        <w:t>e</w:t>
      </w:r>
      <w:r w:rsidR="00D709E5">
        <w:t>]</w:t>
      </w:r>
      <w:r w:rsidRPr="00655D2E">
        <w:t xml:space="preserve">vidence under the </w:t>
      </w:r>
      <w:r w:rsidR="00D709E5">
        <w:t>[</w:t>
      </w:r>
      <w:r w:rsidRPr="00655D2E">
        <w:t>f</w:t>
      </w:r>
      <w:r w:rsidR="00D709E5">
        <w:t>]</w:t>
      </w:r>
      <w:r w:rsidRPr="00655D2E">
        <w:t xml:space="preserve">ederal </w:t>
      </w:r>
      <w:r w:rsidR="00D709E5">
        <w:t>C</w:t>
      </w:r>
      <w:r w:rsidRPr="00655D2E" w:rsidR="00D709E5">
        <w:t xml:space="preserve">onstitution </w:t>
      </w:r>
      <w:r w:rsidRPr="00655D2E">
        <w:t xml:space="preserve">. . . this </w:t>
      </w:r>
      <w:r w:rsidR="00D709E5">
        <w:t>[</w:t>
      </w:r>
      <w:r w:rsidRPr="00655D2E">
        <w:t>c</w:t>
      </w:r>
      <w:r w:rsidR="00D709E5">
        <w:t>]</w:t>
      </w:r>
      <w:r w:rsidRPr="00655D2E">
        <w:t xml:space="preserve">ourt </w:t>
      </w:r>
      <w:r w:rsidR="00D709E5">
        <w:t>[</w:t>
      </w:r>
      <w:r w:rsidRPr="00655D2E">
        <w:t>s</w:t>
      </w:r>
      <w:r w:rsidR="00D709E5">
        <w:t>]</w:t>
      </w:r>
      <w:r w:rsidRPr="00655D2E">
        <w:t xml:space="preserve">hould </w:t>
      </w:r>
      <w:r w:rsidR="00D709E5">
        <w:t>[</w:t>
      </w:r>
      <w:r w:rsidRPr="00655D2E">
        <w:t>b</w:t>
      </w:r>
      <w:r w:rsidR="00D709E5">
        <w:t>]</w:t>
      </w:r>
      <w:r w:rsidRPr="00655D2E">
        <w:t xml:space="preserve">ar </w:t>
      </w:r>
      <w:r w:rsidR="00D709E5">
        <w:t>[</w:t>
      </w:r>
      <w:r w:rsidRPr="00655D2E">
        <w:t>s</w:t>
      </w:r>
      <w:r w:rsidR="00D709E5">
        <w:t>]</w:t>
      </w:r>
      <w:r w:rsidRPr="00655D2E">
        <w:t xml:space="preserve">uch </w:t>
      </w:r>
      <w:r w:rsidR="00D709E5">
        <w:t>[</w:t>
      </w:r>
      <w:r w:rsidRPr="00655D2E">
        <w:t>c</w:t>
      </w:r>
      <w:r w:rsidR="00D709E5">
        <w:t>]</w:t>
      </w:r>
      <w:r w:rsidRPr="00655D2E">
        <w:t xml:space="preserve">onduct under the </w:t>
      </w:r>
      <w:r w:rsidR="00D709E5">
        <w:t>D</w:t>
      </w:r>
      <w:r w:rsidRPr="00655D2E" w:rsidR="00D709E5">
        <w:t xml:space="preserve">ue </w:t>
      </w:r>
      <w:r w:rsidR="00D709E5">
        <w:t>P</w:t>
      </w:r>
      <w:r w:rsidRPr="00655D2E" w:rsidR="00D709E5">
        <w:t xml:space="preserve">rocess </w:t>
      </w:r>
      <w:r w:rsidR="00D709E5">
        <w:t>C</w:t>
      </w:r>
      <w:r w:rsidRPr="00655D2E" w:rsidR="00D709E5">
        <w:t xml:space="preserve">lause </w:t>
      </w:r>
      <w:r w:rsidRPr="00655D2E">
        <w:t xml:space="preserve">of the </w:t>
      </w:r>
      <w:r w:rsidR="00D709E5">
        <w:t>[</w:t>
      </w:r>
      <w:r w:rsidRPr="00655D2E">
        <w:t>s</w:t>
      </w:r>
      <w:r w:rsidR="00D709E5">
        <w:t>]</w:t>
      </w:r>
      <w:r w:rsidRPr="00655D2E">
        <w:t xml:space="preserve">tate </w:t>
      </w:r>
      <w:r w:rsidR="00D709E5">
        <w:t>C</w:t>
      </w:r>
      <w:r w:rsidRPr="00655D2E" w:rsidR="00D709E5">
        <w:t>onstitution</w:t>
      </w:r>
      <w:r w:rsidRPr="00655D2E">
        <w:t>.”  However, Jenkins fails to develop her state constitutional argument, and we decline to address any such contention here.  (</w:t>
      </w:r>
      <w:bookmarkStart w:id="8" w:name="_Hlk115184489"/>
      <w:bookmarkStart w:id="9" w:name="_Hlk115249530"/>
      <w:r w:rsidRPr="00655D2E">
        <w:t xml:space="preserve">See </w:t>
      </w:r>
      <w:r w:rsidRPr="00655D2E">
        <w:rPr>
          <w:i/>
          <w:iCs/>
        </w:rPr>
        <w:t>People v. Guzman</w:t>
      </w:r>
      <w:r w:rsidRPr="00655D2E">
        <w:t xml:space="preserve"> (2019) 8 Cal.5th 673, </w:t>
      </w:r>
      <w:r w:rsidR="0014677F">
        <w:t xml:space="preserve">683, </w:t>
      </w:r>
      <w:r w:rsidRPr="00655D2E">
        <w:t>fn. </w:t>
      </w:r>
      <w:bookmarkEnd w:id="8"/>
      <w:r w:rsidRPr="00655D2E">
        <w:t>7</w:t>
      </w:r>
      <w:bookmarkEnd w:id="9"/>
      <w:r w:rsidRPr="00655D2E">
        <w:t>.)</w:t>
      </w:r>
    </w:p>
  </w:footnote>
  <w:footnote w:id="8">
    <w:p w:rsidR="002D0742" w:rsidP="000641B0" w14:paraId="18319325" w14:textId="29AE8C9D">
      <w:pPr>
        <w:pStyle w:val="FootnoteText"/>
      </w:pPr>
      <w:r>
        <w:rPr>
          <w:rStyle w:val="FootnoteReference"/>
        </w:rPr>
        <w:footnoteRef/>
      </w:r>
      <w:r>
        <w:t xml:space="preserve"> </w:t>
      </w:r>
      <w:r>
        <w:tab/>
        <w:t xml:space="preserve">Steidl filed suit </w:t>
      </w:r>
      <w:r w:rsidR="00E92E4A">
        <w:t>against several other defendants</w:t>
      </w:r>
      <w:r w:rsidR="000F1EC6">
        <w:t xml:space="preserve"> in addition to the </w:t>
      </w:r>
      <w:r w:rsidR="002D4927">
        <w:t xml:space="preserve">Illinois </w:t>
      </w:r>
      <w:r w:rsidR="009F1395">
        <w:t>S</w:t>
      </w:r>
      <w:r w:rsidR="002D4927">
        <w:t xml:space="preserve">tate </w:t>
      </w:r>
      <w:r w:rsidR="009F1395">
        <w:t>P</w:t>
      </w:r>
      <w:r w:rsidR="002D4927">
        <w:t>olice o</w:t>
      </w:r>
      <w:r w:rsidR="002B1E7B">
        <w:t>fficials</w:t>
      </w:r>
      <w:r w:rsidR="000F1EC6">
        <w:t xml:space="preserve">. </w:t>
      </w:r>
      <w:r w:rsidR="002B1E7B">
        <w:t xml:space="preserve"> </w:t>
      </w:r>
      <w:r w:rsidR="000F1EC6">
        <w:t>(</w:t>
      </w:r>
      <w:r w:rsidR="00513BC2">
        <w:t xml:space="preserve">See </w:t>
      </w:r>
      <w:r w:rsidRPr="00A14F6D" w:rsidR="00513BC2">
        <w:rPr>
          <w:i/>
          <w:iCs/>
        </w:rPr>
        <w:t>Steidl</w:t>
      </w:r>
      <w:r w:rsidRPr="00B267C7" w:rsidR="00513BC2">
        <w:t>,</w:t>
      </w:r>
      <w:r w:rsidRPr="00A14F6D" w:rsidR="00513BC2">
        <w:rPr>
          <w:i/>
          <w:iCs/>
        </w:rPr>
        <w:t xml:space="preserve"> </w:t>
      </w:r>
      <w:r w:rsidRPr="00A14F6D" w:rsidR="00A14F6D">
        <w:rPr>
          <w:i/>
          <w:iCs/>
        </w:rPr>
        <w:t>supra</w:t>
      </w:r>
      <w:r w:rsidR="00A14F6D">
        <w:t xml:space="preserve">, </w:t>
      </w:r>
      <w:r w:rsidR="00513BC2">
        <w:t xml:space="preserve">494 F.3d at p. </w:t>
      </w:r>
      <w:r w:rsidR="00A14F6D">
        <w:t>626.</w:t>
      </w:r>
      <w:r w:rsidR="000F1EC6">
        <w:t xml:space="preserve">) </w:t>
      </w:r>
      <w:r w:rsidR="00A14F6D">
        <w:t xml:space="preserve"> </w:t>
      </w:r>
      <w:r w:rsidR="000F1EC6">
        <w:t xml:space="preserve">However, </w:t>
      </w:r>
      <w:r w:rsidR="005F1B91">
        <w:t xml:space="preserve">these other defendants were not parties to the </w:t>
      </w:r>
      <w:r w:rsidRPr="005F1B91" w:rsidR="005F1B91">
        <w:rPr>
          <w:i/>
          <w:iCs/>
        </w:rPr>
        <w:t>Steidl</w:t>
      </w:r>
      <w:r w:rsidR="005F1B91">
        <w:t xml:space="preserve"> appeal. </w:t>
      </w:r>
      <w:r w:rsidR="00581F7C">
        <w:t xml:space="preserve"> </w:t>
      </w:r>
      <w:r w:rsidRPr="005F1B91" w:rsidR="005F1B91">
        <w:t>(</w:t>
      </w:r>
      <w:r w:rsidR="005F1B91">
        <w:rPr>
          <w:i/>
          <w:iCs/>
        </w:rPr>
        <w:t>Ibid</w:t>
      </w:r>
      <w:r w:rsidRPr="00DB0180" w:rsidR="005F1B91">
        <w:t>.</w:t>
      </w:r>
      <w:r w:rsidR="005F1B91">
        <w:t xml:space="preserve">) </w:t>
      </w:r>
      <w:r w:rsidR="00153E3C">
        <w:t xml:space="preserve"> </w:t>
      </w:r>
      <w:r w:rsidR="005F1B91">
        <w:t>T</w:t>
      </w:r>
      <w:r w:rsidR="000221DC">
        <w:t>hus</w:t>
      </w:r>
      <w:r w:rsidR="005F1B91">
        <w:t>,</w:t>
      </w:r>
      <w:r w:rsidR="000221DC">
        <w:t xml:space="preserve"> for ease of reference we refer to th</w:t>
      </w:r>
      <w:r w:rsidR="00AC36B0">
        <w:t xml:space="preserve">e </w:t>
      </w:r>
      <w:r w:rsidR="002B1E7B">
        <w:t xml:space="preserve">Illinois </w:t>
      </w:r>
      <w:r w:rsidR="009F1395">
        <w:t>S</w:t>
      </w:r>
      <w:r w:rsidR="002B1E7B">
        <w:t xml:space="preserve">tate </w:t>
      </w:r>
      <w:r w:rsidR="009F1395">
        <w:t>P</w:t>
      </w:r>
      <w:r w:rsidR="002B1E7B">
        <w:t>olice officials</w:t>
      </w:r>
      <w:r w:rsidR="00AC36B0">
        <w:t xml:space="preserve"> as defend</w:t>
      </w:r>
      <w:r w:rsidR="000309BD">
        <w:t>a</w:t>
      </w:r>
      <w:r w:rsidR="00AC36B0">
        <w:t xml:space="preserve">nts. </w:t>
      </w:r>
      <w:r w:rsidR="00B267C7">
        <w:t xml:space="preserve"> </w:t>
      </w:r>
    </w:p>
  </w:footnote>
  <w:footnote w:id="9">
    <w:p w:rsidR="00042DFE" w:rsidRPr="00437B85" w14:paraId="097599EE" w14:textId="37B6877E">
      <w:pPr>
        <w:pStyle w:val="FootnoteText"/>
      </w:pPr>
      <w:r>
        <w:rPr>
          <w:rStyle w:val="FootnoteReference"/>
        </w:rPr>
        <w:footnoteRef/>
      </w:r>
      <w:r>
        <w:t xml:space="preserve"> </w:t>
      </w:r>
      <w:r>
        <w:tab/>
      </w:r>
      <w:r w:rsidR="00437B85">
        <w:t xml:space="preserve">In </w:t>
      </w:r>
      <w:r w:rsidR="00437B85">
        <w:rPr>
          <w:i/>
          <w:iCs/>
        </w:rPr>
        <w:t>Ritchie</w:t>
      </w:r>
      <w:r w:rsidR="00437B85">
        <w:t>, which we discuss in greater detail in part II.D</w:t>
      </w:r>
      <w:r w:rsidR="00ED224A">
        <w:t>.</w:t>
      </w:r>
      <w:r w:rsidR="00437B85">
        <w:t xml:space="preserve">, </w:t>
      </w:r>
      <w:r w:rsidRPr="00CF4CBA" w:rsidR="00437B85">
        <w:rPr>
          <w:i/>
          <w:iCs/>
        </w:rPr>
        <w:t>post</w:t>
      </w:r>
      <w:r w:rsidR="00437B85">
        <w:t>, the United States Supreme Court stated that a state’s “</w:t>
      </w:r>
      <w:r w:rsidRPr="00CF4CBA" w:rsidR="00437B85">
        <w:rPr>
          <w:i/>
          <w:iCs/>
        </w:rPr>
        <w:t>duty to disclose</w:t>
      </w:r>
      <w:r w:rsidR="00437B85">
        <w:t xml:space="preserve"> [</w:t>
      </w:r>
      <w:r w:rsidRPr="00CF4CBA" w:rsidR="00437B85">
        <w:rPr>
          <w:i/>
          <w:iCs/>
        </w:rPr>
        <w:t>under Brady</w:t>
      </w:r>
      <w:r w:rsidR="00437B85">
        <w:t xml:space="preserve">] </w:t>
      </w:r>
      <w:r w:rsidRPr="00CF4CBA" w:rsidR="00437B85">
        <w:rPr>
          <w:i/>
          <w:iCs/>
        </w:rPr>
        <w:t>is ongoing</w:t>
      </w:r>
      <w:r w:rsidR="00437B85">
        <w:t xml:space="preserve">; information that may be deemed immaterial upon original examination may become important as the proceedings progress.”  </w:t>
      </w:r>
      <w:bookmarkStart w:id="29" w:name="_Hlk125715611"/>
      <w:r w:rsidR="00437B85">
        <w:t>(</w:t>
      </w:r>
      <w:r w:rsidRPr="00CF4CBA" w:rsidR="00437B85">
        <w:rPr>
          <w:i/>
          <w:iCs/>
        </w:rPr>
        <w:t>Pennsylvania v. Ritchie</w:t>
      </w:r>
      <w:r w:rsidR="00437B85">
        <w:t xml:space="preserve"> (1987) 480 U.S. 39, 60, italics added (</w:t>
      </w:r>
      <w:r w:rsidRPr="00CF4CBA" w:rsidR="00437B85">
        <w:rPr>
          <w:i/>
          <w:iCs/>
        </w:rPr>
        <w:t>Ritchie</w:t>
      </w:r>
      <w:r w:rsidR="00437B85">
        <w:t>).)</w:t>
      </w:r>
      <w:bookmarkEnd w:id="29"/>
    </w:p>
  </w:footnote>
  <w:footnote w:id="10">
    <w:p w:rsidR="00241F10" w:rsidP="000641B0" w14:paraId="76191CE7" w14:textId="310BE71B">
      <w:pPr>
        <w:pStyle w:val="FootnoteText"/>
      </w:pPr>
      <w:r>
        <w:rPr>
          <w:rStyle w:val="FootnoteReference"/>
        </w:rPr>
        <w:footnoteRef/>
      </w:r>
      <w:r>
        <w:t xml:space="preserve"> </w:t>
      </w:r>
      <w:r>
        <w:tab/>
      </w:r>
      <w:r w:rsidR="001319EE">
        <w:t xml:space="preserve">We note that while a petitioner’s </w:t>
      </w:r>
      <w:r w:rsidRPr="000106C4" w:rsidR="001319EE">
        <w:t>allegations</w:t>
      </w:r>
      <w:r w:rsidR="001319EE">
        <w:t xml:space="preserve"> </w:t>
      </w:r>
      <w:r w:rsidR="006C5F27">
        <w:t xml:space="preserve">are not determinative of the Attorney General’s </w:t>
      </w:r>
      <w:r w:rsidRPr="0014677F" w:rsidR="00120A8E">
        <w:t>constitutional</w:t>
      </w:r>
      <w:r w:rsidR="00120A8E">
        <w:rPr>
          <w:i/>
          <w:iCs/>
        </w:rPr>
        <w:t xml:space="preserve"> </w:t>
      </w:r>
      <w:r w:rsidR="006C5F27">
        <w:t>dut</w:t>
      </w:r>
      <w:r w:rsidR="00120A8E">
        <w:t xml:space="preserve">y under </w:t>
      </w:r>
      <w:r w:rsidRPr="00120A8E" w:rsidR="00120A8E">
        <w:rPr>
          <w:i/>
          <w:iCs/>
        </w:rPr>
        <w:t>Brady</w:t>
      </w:r>
      <w:r w:rsidR="006C5F27">
        <w:t xml:space="preserve">, such </w:t>
      </w:r>
      <w:r w:rsidRPr="000106C4" w:rsidR="006C5F27">
        <w:t>allegations</w:t>
      </w:r>
      <w:r w:rsidR="006C5F27">
        <w:t xml:space="preserve"> </w:t>
      </w:r>
      <w:r w:rsidR="00120A8E">
        <w:t xml:space="preserve">do inform </w:t>
      </w:r>
      <w:r w:rsidR="001C7ED7">
        <w:t xml:space="preserve">a respondent’s duties </w:t>
      </w:r>
      <w:r w:rsidR="001319EE">
        <w:t xml:space="preserve">pursuant to </w:t>
      </w:r>
      <w:r w:rsidR="009949F4">
        <w:t xml:space="preserve">our state’s </w:t>
      </w:r>
      <w:r w:rsidRPr="0014677F" w:rsidR="009949F4">
        <w:t>habeas</w:t>
      </w:r>
      <w:r w:rsidR="00833DA9">
        <w:t xml:space="preserve"> corpus</w:t>
      </w:r>
      <w:r w:rsidRPr="0014677F" w:rsidR="009949F4">
        <w:t xml:space="preserve"> pro</w:t>
      </w:r>
      <w:r w:rsidRPr="0014677F" w:rsidR="001319EE">
        <w:t>cedures</w:t>
      </w:r>
      <w:r w:rsidR="001319EE">
        <w:t xml:space="preserve"> </w:t>
      </w:r>
      <w:r w:rsidR="001C7ED7">
        <w:t xml:space="preserve">in filing a return to a </w:t>
      </w:r>
      <w:r w:rsidR="006A2991">
        <w:t>petition</w:t>
      </w:r>
      <w:r w:rsidR="00F744D5">
        <w:t xml:space="preserve"> for writ of habeas corpus</w:t>
      </w:r>
      <w:r w:rsidR="006A2991">
        <w:t xml:space="preserve"> alleging a </w:t>
      </w:r>
      <w:r w:rsidRPr="00443628" w:rsidR="006A2991">
        <w:rPr>
          <w:i/>
          <w:iCs/>
        </w:rPr>
        <w:t>Brady</w:t>
      </w:r>
      <w:r w:rsidR="006A2991">
        <w:t xml:space="preserve"> violation.</w:t>
      </w:r>
      <w:r w:rsidR="00120A8E">
        <w:t xml:space="preserve"> </w:t>
      </w:r>
      <w:r w:rsidR="00443628">
        <w:t xml:space="preserve"> </w:t>
      </w:r>
      <w:r w:rsidR="00120A8E">
        <w:t>(See part II.C</w:t>
      </w:r>
      <w:r w:rsidR="00ED224A">
        <w:t>.</w:t>
      </w:r>
      <w:r w:rsidR="00120A8E">
        <w:t xml:space="preserve">, </w:t>
      </w:r>
      <w:r w:rsidRPr="001319EE" w:rsidR="00120A8E">
        <w:rPr>
          <w:i/>
          <w:iCs/>
        </w:rPr>
        <w:t>post</w:t>
      </w:r>
      <w:r w:rsidR="00120A8E">
        <w:t xml:space="preserve">.) </w:t>
      </w:r>
      <w:r w:rsidR="006A2991">
        <w:t xml:space="preserve"> </w:t>
      </w:r>
    </w:p>
  </w:footnote>
  <w:footnote w:id="11">
    <w:p w:rsidR="00ED224A" w:rsidP="00253F4F" w14:paraId="37F6BACE" w14:textId="2F95D280">
      <w:pPr>
        <w:spacing w:line="240" w:lineRule="auto"/>
      </w:pPr>
      <w:r>
        <w:rPr>
          <w:rStyle w:val="FootnoteReference"/>
        </w:rPr>
        <w:footnoteRef/>
      </w:r>
      <w:r>
        <w:tab/>
        <w:t>Unless otherwise specified, all subsequent statutory references are to the Penal Code.</w:t>
      </w:r>
    </w:p>
  </w:footnote>
  <w:footnote w:id="12">
    <w:p w:rsidR="001D5F1A" w:rsidRPr="00655D2E" w:rsidP="00A36709" w14:paraId="769558BE" w14:textId="55ED330D">
      <w:pPr>
        <w:pStyle w:val="FootnoteText"/>
        <w:spacing w:line="240" w:lineRule="auto"/>
        <w:rPr>
          <w:bCs/>
        </w:rPr>
      </w:pPr>
      <w:r>
        <w:rPr>
          <w:rStyle w:val="FootnoteReference"/>
        </w:rPr>
        <w:footnoteRef/>
      </w:r>
      <w:r>
        <w:t xml:space="preserve"> </w:t>
      </w:r>
      <w:r>
        <w:tab/>
      </w:r>
      <w:r w:rsidR="00815024">
        <w:rPr>
          <w:rFonts w:cstheme="minorHAnsi"/>
          <w:sz w:val="26"/>
          <w:szCs w:val="26"/>
        </w:rPr>
        <w:t xml:space="preserve">While section </w:t>
      </w:r>
      <w:r w:rsidRPr="00655D2E" w:rsidR="00815024">
        <w:rPr>
          <w:bCs/>
        </w:rPr>
        <w:t xml:space="preserve">1054.9 </w:t>
      </w:r>
      <w:r w:rsidR="00815024">
        <w:rPr>
          <w:bCs/>
        </w:rPr>
        <w:t xml:space="preserve">authorizes </w:t>
      </w:r>
      <w:r w:rsidR="00CD0F8E">
        <w:rPr>
          <w:bCs/>
        </w:rPr>
        <w:t xml:space="preserve">postconviction discovery in certain cases, the statute </w:t>
      </w:r>
      <w:r w:rsidRPr="00B11ACC" w:rsidR="00815024">
        <w:rPr>
          <w:rFonts w:cstheme="minorHAnsi"/>
          <w:sz w:val="26"/>
          <w:szCs w:val="26"/>
        </w:rPr>
        <w:t>does not apply to petitioner</w:t>
      </w:r>
      <w:r w:rsidR="00CD0F8E">
        <w:rPr>
          <w:rFonts w:cstheme="minorHAnsi"/>
          <w:sz w:val="26"/>
          <w:szCs w:val="26"/>
        </w:rPr>
        <w:t xml:space="preserve"> given </w:t>
      </w:r>
      <w:r w:rsidR="00C22D4B">
        <w:rPr>
          <w:rFonts w:cstheme="minorHAnsi"/>
          <w:sz w:val="26"/>
          <w:szCs w:val="26"/>
        </w:rPr>
        <w:t xml:space="preserve">her </w:t>
      </w:r>
      <w:r w:rsidR="005E7F4E">
        <w:rPr>
          <w:rFonts w:cstheme="minorHAnsi"/>
          <w:sz w:val="26"/>
          <w:szCs w:val="26"/>
        </w:rPr>
        <w:t>11-</w:t>
      </w:r>
      <w:r w:rsidR="00C22D4B">
        <w:rPr>
          <w:rFonts w:cstheme="minorHAnsi"/>
          <w:sz w:val="26"/>
          <w:szCs w:val="26"/>
        </w:rPr>
        <w:t>year sentence</w:t>
      </w:r>
      <w:r w:rsidRPr="00B11ACC" w:rsidR="00815024">
        <w:rPr>
          <w:rFonts w:cstheme="minorHAnsi"/>
          <w:sz w:val="26"/>
          <w:szCs w:val="26"/>
        </w:rPr>
        <w:t xml:space="preserve">.  (§ 1054.9, subd. (a) [allowing postconviction discovery in cases involving a criminal conviction of a serious felony or a violent felony resulting in a sentence of </w:t>
      </w:r>
      <w:r w:rsidRPr="00F55F90" w:rsidR="00815024">
        <w:rPr>
          <w:rFonts w:cstheme="minorHAnsi"/>
          <w:i/>
          <w:iCs/>
          <w:sz w:val="26"/>
          <w:szCs w:val="26"/>
        </w:rPr>
        <w:t>15 years or more</w:t>
      </w:r>
      <w:r w:rsidRPr="00B11ACC" w:rsidR="00815024">
        <w:rPr>
          <w:rFonts w:cstheme="minorHAnsi"/>
          <w:sz w:val="26"/>
          <w:szCs w:val="26"/>
        </w:rPr>
        <w:t xml:space="preserve">].)  </w:t>
      </w:r>
      <w:r w:rsidR="00C22D4B">
        <w:rPr>
          <w:rFonts w:cstheme="minorHAnsi"/>
          <w:sz w:val="26"/>
          <w:szCs w:val="26"/>
        </w:rPr>
        <w:t>Thus, w</w:t>
      </w:r>
      <w:r w:rsidRPr="00655D2E">
        <w:rPr>
          <w:bCs/>
        </w:rPr>
        <w:t xml:space="preserve">e express </w:t>
      </w:r>
      <w:r w:rsidRPr="00655D2E" w:rsidR="00432E4C">
        <w:rPr>
          <w:bCs/>
        </w:rPr>
        <w:t>no</w:t>
      </w:r>
      <w:r w:rsidRPr="00655D2E">
        <w:rPr>
          <w:bCs/>
        </w:rPr>
        <w:t xml:space="preserve"> opinion </w:t>
      </w:r>
      <w:r w:rsidRPr="00655D2E" w:rsidR="00ED3C61">
        <w:rPr>
          <w:bCs/>
        </w:rPr>
        <w:t xml:space="preserve">regarding </w:t>
      </w:r>
      <w:r w:rsidRPr="00655D2E">
        <w:rPr>
          <w:bCs/>
        </w:rPr>
        <w:t>the Attorney General’s postconviction statutory discovery duties under section 1054.9 or court</w:t>
      </w:r>
      <w:r w:rsidRPr="00655D2E" w:rsidR="00ED3C61">
        <w:rPr>
          <w:bCs/>
        </w:rPr>
        <w:t>-</w:t>
      </w:r>
      <w:r w:rsidRPr="00655D2E">
        <w:rPr>
          <w:bCs/>
        </w:rPr>
        <w:t xml:space="preserve">ordered discovery following an order to show cause.  (See </w:t>
      </w:r>
      <w:r w:rsidRPr="00655D2E">
        <w:rPr>
          <w:bCs/>
          <w:i/>
          <w:iCs/>
        </w:rPr>
        <w:t>Scott</w:t>
      </w:r>
      <w:r w:rsidRPr="00655D2E" w:rsidR="009061A4">
        <w:rPr>
          <w:bCs/>
        </w:rPr>
        <w:t>,</w:t>
      </w:r>
      <w:r w:rsidRPr="00655D2E" w:rsidR="009061A4">
        <w:rPr>
          <w:bCs/>
          <w:i/>
          <w:iCs/>
        </w:rPr>
        <w:t xml:space="preserve"> supra</w:t>
      </w:r>
      <w:r w:rsidRPr="00655D2E" w:rsidR="009061A4">
        <w:rPr>
          <w:bCs/>
        </w:rPr>
        <w:t>,</w:t>
      </w:r>
      <w:r w:rsidRPr="00655D2E" w:rsidR="009061A4">
        <w:rPr>
          <w:bCs/>
          <w:i/>
          <w:iCs/>
        </w:rPr>
        <w:t xml:space="preserve"> </w:t>
      </w:r>
      <w:r w:rsidRPr="00655D2E">
        <w:rPr>
          <w:bCs/>
        </w:rPr>
        <w:t>29 Cal.4th</w:t>
      </w:r>
      <w:r w:rsidRPr="00655D2E" w:rsidR="000E4B89">
        <w:rPr>
          <w:bCs/>
        </w:rPr>
        <w:t xml:space="preserve"> at p.</w:t>
      </w:r>
      <w:r w:rsidRPr="00655D2E" w:rsidR="00AE418A">
        <w:rPr>
          <w:bCs/>
        </w:rPr>
        <w:t> </w:t>
      </w:r>
      <w:r w:rsidRPr="00655D2E" w:rsidR="000E4B89">
        <w:rPr>
          <w:bCs/>
        </w:rPr>
        <w:t>813</w:t>
      </w:r>
      <w:r w:rsidRPr="00655D2E">
        <w:rPr>
          <w:bCs/>
        </w:rPr>
        <w:t xml:space="preserve"> [after order to show cause issues, the “scope of discovery in habeas corpus proceedings has generally been resolved on a case-by-case basis”</w:t>
      </w:r>
      <w:r w:rsidRPr="00655D2E" w:rsidR="00287A8A">
        <w:rPr>
          <w:bCs/>
        </w:rPr>
        <w:t>]</w:t>
      </w:r>
      <w:r w:rsidRPr="00655D2E">
        <w:rPr>
          <w:bCs/>
        </w:rPr>
        <w:t>.)</w:t>
      </w:r>
      <w:r w:rsidR="00DE36D4">
        <w:rPr>
          <w:bCs/>
        </w:rPr>
        <w:t xml:space="preserve"> </w:t>
      </w:r>
      <w:r w:rsidRPr="00655D2E">
        <w:rPr>
          <w:bCs/>
        </w:rPr>
        <w:t xml:space="preserve"> </w:t>
      </w:r>
    </w:p>
    <w:p w:rsidR="005564E6" w:rsidRPr="00655D2E" w:rsidP="006F1B1B" w14:paraId="0BA242FB" w14:textId="0947056B">
      <w:pPr>
        <w:pStyle w:val="FootnoteText"/>
        <w:spacing w:after="0" w:line="240" w:lineRule="auto"/>
        <w:ind w:firstLine="720"/>
        <w:rPr>
          <w:bCs/>
        </w:rPr>
      </w:pPr>
      <w:r w:rsidRPr="00655D2E">
        <w:rPr>
          <w:bCs/>
        </w:rPr>
        <w:t xml:space="preserve">We also express no opinion </w:t>
      </w:r>
      <w:r w:rsidRPr="00655D2E" w:rsidR="00ED3C61">
        <w:rPr>
          <w:bCs/>
        </w:rPr>
        <w:t xml:space="preserve">regarding </w:t>
      </w:r>
      <w:r w:rsidRPr="00655D2E">
        <w:rPr>
          <w:bCs/>
        </w:rPr>
        <w:t xml:space="preserve">the Attorney General’s duty in a hypothetical situation described in </w:t>
      </w:r>
      <w:r w:rsidRPr="00655D2E" w:rsidR="007519DC">
        <w:rPr>
          <w:bCs/>
        </w:rPr>
        <w:t xml:space="preserve">his </w:t>
      </w:r>
      <w:r w:rsidRPr="00655D2E">
        <w:rPr>
          <w:bCs/>
        </w:rPr>
        <w:t xml:space="preserve">brief, “in which </w:t>
      </w:r>
      <w:r w:rsidRPr="00655D2E">
        <w:rPr>
          <w:bCs/>
          <w:i/>
          <w:iCs/>
        </w:rPr>
        <w:t xml:space="preserve">no </w:t>
      </w:r>
      <w:r w:rsidRPr="00655D2E">
        <w:rPr>
          <w:bCs/>
        </w:rPr>
        <w:t xml:space="preserve">petition for a writ of habeas corpus has been filed alleging a </w:t>
      </w:r>
      <w:r w:rsidRPr="00655D2E">
        <w:rPr>
          <w:bCs/>
          <w:i/>
          <w:iCs/>
        </w:rPr>
        <w:t xml:space="preserve">Brady </w:t>
      </w:r>
      <w:r w:rsidRPr="00655D2E">
        <w:rPr>
          <w:bCs/>
        </w:rPr>
        <w:t xml:space="preserve">violation but the Attorney General becomes aware of evidence that should have been disclosed at trial pursuant to </w:t>
      </w:r>
      <w:r w:rsidRPr="00655D2E">
        <w:rPr>
          <w:bCs/>
          <w:i/>
          <w:iCs/>
        </w:rPr>
        <w:t>Brady</w:t>
      </w:r>
      <w:r w:rsidRPr="00655D2E">
        <w:rPr>
          <w:bCs/>
        </w:rPr>
        <w:t xml:space="preserve">.” </w:t>
      </w:r>
      <w:r w:rsidR="00DE36D4">
        <w:rPr>
          <w:bCs/>
        </w:rPr>
        <w:t xml:space="preserve"> </w:t>
      </w:r>
    </w:p>
  </w:footnote>
  <w:footnote w:id="13">
    <w:p w:rsidR="00C17549" w14:paraId="575ADBF6" w14:textId="7CDA55E1">
      <w:pPr>
        <w:pStyle w:val="FootnoteText"/>
      </w:pPr>
      <w:r>
        <w:rPr>
          <w:rStyle w:val="FootnoteReference"/>
        </w:rPr>
        <w:footnoteRef/>
      </w:r>
      <w:r>
        <w:t xml:space="preserve"> </w:t>
      </w:r>
      <w:r w:rsidR="006F3028">
        <w:tab/>
      </w:r>
      <w:r w:rsidR="00462654">
        <w:t>A</w:t>
      </w:r>
      <w:r w:rsidR="00984651">
        <w:t>t oral argument</w:t>
      </w:r>
      <w:r w:rsidR="00D21B7F">
        <w:t>,</w:t>
      </w:r>
      <w:r w:rsidR="00984651">
        <w:t xml:space="preserve"> </w:t>
      </w:r>
      <w:r w:rsidR="00901FC1">
        <w:t xml:space="preserve">the Attorney General </w:t>
      </w:r>
      <w:r w:rsidR="00FA3BEE">
        <w:t xml:space="preserve">acknowledged the </w:t>
      </w:r>
      <w:r w:rsidR="008B691B">
        <w:t xml:space="preserve">potential constitutional dimension to </w:t>
      </w:r>
      <w:r w:rsidR="00B9338A">
        <w:t>his</w:t>
      </w:r>
      <w:r w:rsidR="00B15439">
        <w:t xml:space="preserve"> disclosure duties in the habeas</w:t>
      </w:r>
      <w:r w:rsidR="00F744D5">
        <w:t xml:space="preserve"> corpus</w:t>
      </w:r>
      <w:r w:rsidR="00B15439">
        <w:t xml:space="preserve"> context</w:t>
      </w:r>
      <w:r w:rsidR="00C069C4">
        <w:t>, stating</w:t>
      </w:r>
      <w:r w:rsidR="00B15439">
        <w:t>, for example,</w:t>
      </w:r>
      <w:r w:rsidR="00C069C4">
        <w:t xml:space="preserve"> that “there may well be some due process</w:t>
      </w:r>
      <w:r w:rsidR="00D722AE">
        <w:t xml:space="preserve"> . . . based obligation to disclose</w:t>
      </w:r>
      <w:r w:rsidR="00AA2432">
        <w:t> </w:t>
      </w:r>
      <w:r w:rsidR="00FA3BEE">
        <w:t>.</w:t>
      </w:r>
      <w:r w:rsidR="00AA2432">
        <w:t> </w:t>
      </w:r>
      <w:r w:rsidR="00FA3BEE">
        <w:t>.</w:t>
      </w:r>
      <w:r w:rsidR="00AA2432">
        <w:t> </w:t>
      </w:r>
      <w:r w:rsidR="00FA3BEE">
        <w:t>.</w:t>
      </w:r>
      <w:r w:rsidR="00AA2432">
        <w:t> </w:t>
      </w:r>
      <w:r w:rsidR="00FA3BEE">
        <w:t>evidence</w:t>
      </w:r>
      <w:r w:rsidR="00C069C4">
        <w:t xml:space="preserve">” </w:t>
      </w:r>
      <w:r w:rsidR="0098388B">
        <w:t xml:space="preserve">where a </w:t>
      </w:r>
      <w:r w:rsidR="0035639C">
        <w:t xml:space="preserve">district attorney fails to turn over </w:t>
      </w:r>
      <w:r w:rsidRPr="00F55F90" w:rsidR="0035639C">
        <w:rPr>
          <w:i/>
          <w:iCs/>
        </w:rPr>
        <w:t>Brady</w:t>
      </w:r>
      <w:r w:rsidR="0035639C">
        <w:t xml:space="preserve"> material</w:t>
      </w:r>
      <w:r w:rsidR="00B204B2">
        <w:t>.</w:t>
      </w:r>
      <w:r w:rsidR="004E0CDB">
        <w:t xml:space="preserve">  </w:t>
      </w:r>
      <w:r w:rsidR="008C058A">
        <w:t>The Attorney General also stated, “</w:t>
      </w:r>
      <w:r w:rsidR="005E7F4E">
        <w:t>[</w:t>
      </w:r>
      <w:r w:rsidR="008C058A">
        <w:t>W</w:t>
      </w:r>
      <w:r w:rsidR="005E7F4E">
        <w:t>]</w:t>
      </w:r>
      <w:r w:rsidR="008C058A">
        <w:t xml:space="preserve">e are not denying that there may be a constitutional imperative behind this obligation.” </w:t>
      </w:r>
    </w:p>
    <w:p w:rsidR="00D02596" w:rsidP="00F55F90" w14:paraId="725CA4AC" w14:textId="5DD5B8D2">
      <w:pPr>
        <w:pStyle w:val="FootnoteText"/>
        <w:ind w:firstLine="720"/>
      </w:pPr>
      <w:r>
        <w:t xml:space="preserve">However, the Attorney General </w:t>
      </w:r>
      <w:r w:rsidR="00901FC1">
        <w:t xml:space="preserve">expressed </w:t>
      </w:r>
      <w:r w:rsidR="004E0CDB">
        <w:t>skepticism</w:t>
      </w:r>
      <w:r w:rsidR="00901FC1">
        <w:t xml:space="preserve"> </w:t>
      </w:r>
      <w:r w:rsidR="008C5F39">
        <w:t xml:space="preserve">as to </w:t>
      </w:r>
      <w:r w:rsidR="00470F1F">
        <w:t xml:space="preserve">the applicability of the </w:t>
      </w:r>
      <w:r w:rsidRPr="00F55F90" w:rsidR="00470F1F">
        <w:rPr>
          <w:i/>
          <w:iCs/>
        </w:rPr>
        <w:t>Brady</w:t>
      </w:r>
      <w:r w:rsidR="00470F1F">
        <w:t xml:space="preserve"> right in the postconviction context</w:t>
      </w:r>
      <w:r w:rsidR="00FC1496">
        <w:t xml:space="preserve"> be</w:t>
      </w:r>
      <w:r w:rsidR="00A1726F">
        <w:t xml:space="preserve">cause, according to the Attorney General, </w:t>
      </w:r>
      <w:r w:rsidR="00F62182">
        <w:t xml:space="preserve">the postconviction context varies considerably from that </w:t>
      </w:r>
      <w:r w:rsidR="00C35712">
        <w:t xml:space="preserve">which </w:t>
      </w:r>
      <w:r w:rsidR="00F62182">
        <w:t xml:space="preserve">exists </w:t>
      </w:r>
      <w:r w:rsidR="008D32D8">
        <w:t xml:space="preserve">prior to conviction. </w:t>
      </w:r>
      <w:r w:rsidR="00C25E99">
        <w:t xml:space="preserve"> </w:t>
      </w:r>
      <w:r w:rsidR="00D21B7F">
        <w:t>Specifically</w:t>
      </w:r>
      <w:r w:rsidR="008D32D8">
        <w:t xml:space="preserve">, the Attorney General argued </w:t>
      </w:r>
      <w:r w:rsidR="00D21B7F">
        <w:t xml:space="preserve">that </w:t>
      </w:r>
      <w:r w:rsidR="00850E6D">
        <w:t xml:space="preserve">while </w:t>
      </w:r>
      <w:r w:rsidRPr="00F55F90" w:rsidR="00F62182">
        <w:rPr>
          <w:i/>
          <w:iCs/>
        </w:rPr>
        <w:t>Brady</w:t>
      </w:r>
      <w:r w:rsidR="00F62182">
        <w:t xml:space="preserve"> </w:t>
      </w:r>
      <w:r w:rsidR="005C315D">
        <w:t>obligate</w:t>
      </w:r>
      <w:r w:rsidR="00A76F56">
        <w:t>s</w:t>
      </w:r>
      <w:r w:rsidR="005C315D">
        <w:t xml:space="preserve"> the prosecutor to proactively disclose information to</w:t>
      </w:r>
      <w:r w:rsidR="008D32D8">
        <w:t xml:space="preserve"> further the factfinding function of a trial</w:t>
      </w:r>
      <w:r w:rsidR="00850E6D">
        <w:t>,</w:t>
      </w:r>
      <w:r w:rsidR="002E68CC">
        <w:t xml:space="preserve"> </w:t>
      </w:r>
      <w:r w:rsidR="006B6F7A">
        <w:t xml:space="preserve">“when a </w:t>
      </w:r>
      <w:r w:rsidR="00892680">
        <w:t xml:space="preserve">habeas </w:t>
      </w:r>
      <w:r w:rsidR="006B6F7A">
        <w:t>claim is filed it</w:t>
      </w:r>
      <w:r w:rsidR="00892680">
        <w:t xml:space="preserve"> is not for the purpose of investigating potential violations</w:t>
      </w:r>
      <w:r w:rsidR="00984651">
        <w:t>.</w:t>
      </w:r>
      <w:r w:rsidR="00892680">
        <w:t xml:space="preserve">” </w:t>
      </w:r>
      <w:r w:rsidR="00984651">
        <w:t xml:space="preserve"> We</w:t>
      </w:r>
      <w:r w:rsidR="006B1689">
        <w:t xml:space="preserve"> emphasize the</w:t>
      </w:r>
      <w:r w:rsidR="002B5D14">
        <w:t xml:space="preserve"> </w:t>
      </w:r>
      <w:r w:rsidRPr="00F55F90" w:rsidR="00247743">
        <w:rPr>
          <w:i/>
          <w:iCs/>
        </w:rPr>
        <w:t>Brady</w:t>
      </w:r>
      <w:r w:rsidR="00247743">
        <w:t xml:space="preserve"> </w:t>
      </w:r>
      <w:r w:rsidR="00D829E5">
        <w:t xml:space="preserve">duty we </w:t>
      </w:r>
      <w:r w:rsidR="00147316">
        <w:t>recognize in this opinion</w:t>
      </w:r>
      <w:r w:rsidR="00247743">
        <w:t xml:space="preserve"> is </w:t>
      </w:r>
      <w:r w:rsidR="002B5D14">
        <w:t>limit</w:t>
      </w:r>
      <w:r w:rsidR="00247743">
        <w:t>ed</w:t>
      </w:r>
      <w:r w:rsidR="002B5D14">
        <w:t xml:space="preserve"> </w:t>
      </w:r>
      <w:r w:rsidR="00147316">
        <w:t>to circumstances in which the</w:t>
      </w:r>
      <w:r w:rsidR="006B1689">
        <w:t xml:space="preserve"> </w:t>
      </w:r>
      <w:r w:rsidR="002B5D14">
        <w:t>Attorney General</w:t>
      </w:r>
      <w:r w:rsidR="00147316">
        <w:t xml:space="preserve"> has</w:t>
      </w:r>
      <w:r w:rsidR="002B5D14">
        <w:t xml:space="preserve"> </w:t>
      </w:r>
      <w:r w:rsidRPr="002B5D14" w:rsidR="002B5D14">
        <w:rPr>
          <w:bCs/>
        </w:rPr>
        <w:t xml:space="preserve">knowledge of, </w:t>
      </w:r>
      <w:r w:rsidR="008C5F39">
        <w:rPr>
          <w:bCs/>
        </w:rPr>
        <w:t xml:space="preserve">or </w:t>
      </w:r>
      <w:r w:rsidR="005B0F70">
        <w:rPr>
          <w:bCs/>
        </w:rPr>
        <w:t>is</w:t>
      </w:r>
      <w:r w:rsidRPr="002B5D14" w:rsidR="002B5D14">
        <w:rPr>
          <w:bCs/>
        </w:rPr>
        <w:t xml:space="preserve"> in actual or constructive possession of</w:t>
      </w:r>
      <w:r w:rsidR="005B0F70">
        <w:rPr>
          <w:bCs/>
        </w:rPr>
        <w:t>,</w:t>
      </w:r>
      <w:r w:rsidR="002B5D14">
        <w:rPr>
          <w:bCs/>
        </w:rPr>
        <w:t xml:space="preserve"> allegedly suppressed evidence</w:t>
      </w:r>
      <w:r w:rsidR="00B56495">
        <w:rPr>
          <w:bCs/>
        </w:rPr>
        <w:t xml:space="preserve"> that </w:t>
      </w:r>
      <w:r w:rsidR="005B0F70">
        <w:rPr>
          <w:bCs/>
        </w:rPr>
        <w:t xml:space="preserve">is referenced </w:t>
      </w:r>
      <w:r w:rsidR="0040397E">
        <w:rPr>
          <w:bCs/>
        </w:rPr>
        <w:t xml:space="preserve">in </w:t>
      </w:r>
      <w:r w:rsidR="00D829E5">
        <w:rPr>
          <w:bCs/>
        </w:rPr>
        <w:t xml:space="preserve">a </w:t>
      </w:r>
      <w:r w:rsidR="0040397E">
        <w:rPr>
          <w:bCs/>
        </w:rPr>
        <w:t>petition</w:t>
      </w:r>
      <w:r w:rsidR="00D829E5">
        <w:rPr>
          <w:bCs/>
        </w:rPr>
        <w:t xml:space="preserve"> for</w:t>
      </w:r>
      <w:r w:rsidR="005E7F4E">
        <w:rPr>
          <w:bCs/>
        </w:rPr>
        <w:t xml:space="preserve"> writ of</w:t>
      </w:r>
      <w:r w:rsidR="00D829E5">
        <w:rPr>
          <w:bCs/>
        </w:rPr>
        <w:t xml:space="preserve"> habeas corpu</w:t>
      </w:r>
      <w:r w:rsidR="008C5F39">
        <w:rPr>
          <w:bCs/>
        </w:rPr>
        <w:t>s</w:t>
      </w:r>
      <w:r w:rsidR="0040397E">
        <w:rPr>
          <w:bCs/>
        </w:rPr>
        <w:t>.</w:t>
      </w:r>
      <w:r w:rsidR="00222F3E">
        <w:rPr>
          <w:bCs/>
        </w:rPr>
        <w:t xml:space="preserve">  </w:t>
      </w:r>
      <w:r w:rsidRPr="00093ED1" w:rsidR="00093ED1">
        <w:rPr>
          <w:bCs/>
        </w:rPr>
        <w:t>Given our disposition remanding the case to the Court of Appeal for further proceedings, we find it unnecessary to consider what circumstances would demonstrate constructive possession in this context.</w:t>
      </w:r>
      <w:r w:rsidR="0040397E">
        <w:rPr>
          <w:bCs/>
        </w:rPr>
        <w:t xml:space="preserve">  </w:t>
      </w:r>
    </w:p>
  </w:footnote>
  <w:footnote w:id="14">
    <w:p w:rsidR="00E861EC" w:rsidP="000641B0" w14:paraId="7D036E72" w14:textId="0599AC91">
      <w:pPr>
        <w:pStyle w:val="FootnoteText"/>
      </w:pPr>
      <w:r w:rsidRPr="00655D2E">
        <w:rPr>
          <w:rStyle w:val="FootnoteReference"/>
        </w:rPr>
        <w:footnoteRef/>
      </w:r>
      <w:r w:rsidRPr="00655D2E">
        <w:t xml:space="preserve"> </w:t>
      </w:r>
      <w:r w:rsidRPr="00655D2E">
        <w:tab/>
        <w:t>In part II.D</w:t>
      </w:r>
      <w:r w:rsidR="00C92EB0">
        <w:t>.</w:t>
      </w:r>
      <w:r w:rsidRPr="00655D2E">
        <w:t xml:space="preserve">, </w:t>
      </w:r>
      <w:r w:rsidRPr="00655D2E">
        <w:rPr>
          <w:i/>
          <w:iCs/>
        </w:rPr>
        <w:t>post</w:t>
      </w:r>
      <w:r w:rsidRPr="00655D2E">
        <w:t xml:space="preserve">, we discuss </w:t>
      </w:r>
      <w:r w:rsidRPr="00655D2E" w:rsidR="00275E1F">
        <w:t xml:space="preserve">how the Attorney General may </w:t>
      </w:r>
      <w:r w:rsidRPr="00655D2E" w:rsidR="00AE418A">
        <w:t xml:space="preserve">comply with his disclosure obligations </w:t>
      </w:r>
      <w:r w:rsidRPr="00655D2E">
        <w:t xml:space="preserve">in a case in which the alleged </w:t>
      </w:r>
      <w:r w:rsidRPr="00655D2E">
        <w:rPr>
          <w:i/>
          <w:iCs/>
        </w:rPr>
        <w:t>Brady</w:t>
      </w:r>
      <w:r w:rsidRPr="00655D2E">
        <w:t xml:space="preserve"> material is subject to confidentiality provisions </w:t>
      </w:r>
      <w:r w:rsidRPr="00655D2E" w:rsidR="00AE418A">
        <w:t xml:space="preserve">under </w:t>
      </w:r>
      <w:r w:rsidRPr="00655D2E">
        <w:t>Welfare and Instit</w:t>
      </w:r>
      <w:r>
        <w:t xml:space="preserve">utions Code section 827. </w:t>
      </w:r>
    </w:p>
  </w:footnote>
  <w:footnote w:id="15">
    <w:p w:rsidR="00B62E8B" w:rsidRPr="00241D07" w:rsidP="000641B0" w14:paraId="7AEDFCFD" w14:textId="2B7FA599">
      <w:pPr>
        <w:pStyle w:val="FootnoteText"/>
        <w:rPr>
          <w:bCs/>
        </w:rPr>
      </w:pPr>
      <w:r>
        <w:rPr>
          <w:rStyle w:val="FootnoteReference"/>
        </w:rPr>
        <w:footnoteRef/>
      </w:r>
      <w:r>
        <w:t xml:space="preserve"> </w:t>
      </w:r>
      <w:r>
        <w:tab/>
        <w:t>“</w:t>
      </w:r>
      <w:r w:rsidRPr="00EA248B">
        <w:t xml:space="preserve">In 2018, </w:t>
      </w:r>
      <w:r>
        <w:t xml:space="preserve">[this </w:t>
      </w:r>
      <w:r w:rsidR="004A2F35">
        <w:t>c</w:t>
      </w:r>
      <w:r>
        <w:t>ourt]</w:t>
      </w:r>
      <w:r w:rsidRPr="00EA248B">
        <w:t xml:space="preserve"> approved a</w:t>
      </w:r>
      <w:r>
        <w:t xml:space="preserve"> </w:t>
      </w:r>
      <w:r w:rsidRPr="00EA248B">
        <w:t>comprehensive</w:t>
      </w:r>
      <w:r>
        <w:t xml:space="preserve"> </w:t>
      </w:r>
      <w:r w:rsidRPr="00EA248B">
        <w:t>revision of the California</w:t>
      </w:r>
      <w:r>
        <w:t xml:space="preserve"> </w:t>
      </w:r>
      <w:r w:rsidRPr="00EA248B">
        <w:t>Rules</w:t>
      </w:r>
      <w:r>
        <w:t xml:space="preserve"> </w:t>
      </w:r>
      <w:r w:rsidRPr="00EA248B">
        <w:t>of</w:t>
      </w:r>
      <w:r>
        <w:t xml:space="preserve"> </w:t>
      </w:r>
      <w:r w:rsidRPr="00EA248B">
        <w:t>Professional</w:t>
      </w:r>
      <w:r>
        <w:t xml:space="preserve"> </w:t>
      </w:r>
      <w:r w:rsidRPr="00EA248B">
        <w:t xml:space="preserve">Conduct, effective November 1, 2018. </w:t>
      </w:r>
      <w:r w:rsidR="008A01B7">
        <w:t xml:space="preserve"> </w:t>
      </w:r>
      <w:r w:rsidRPr="00EA248B">
        <w:t>The new rules replace the former rules, and implement a decimal numbering and organizational system based on the American Bar Association Model Rules of Professional Conduct.</w:t>
      </w:r>
      <w:r>
        <w:t xml:space="preserve">” </w:t>
      </w:r>
      <w:r w:rsidR="008A01B7">
        <w:t xml:space="preserve"> </w:t>
      </w:r>
      <w:bookmarkStart w:id="45" w:name="_Hlk115252974"/>
      <w:r>
        <w:t>(</w:t>
      </w:r>
      <w:r w:rsidRPr="00EA248B">
        <w:rPr>
          <w:i/>
          <w:iCs/>
        </w:rPr>
        <w:t>Davis v. TWC Dealer Gr</w:t>
      </w:r>
      <w:r w:rsidR="00241D07">
        <w:rPr>
          <w:i/>
          <w:iCs/>
        </w:rPr>
        <w:t>ou</w:t>
      </w:r>
      <w:r w:rsidRPr="00EA248B">
        <w:rPr>
          <w:i/>
          <w:iCs/>
        </w:rPr>
        <w:t>p, Inc.</w:t>
      </w:r>
      <w:r>
        <w:t xml:space="preserve"> (2019) </w:t>
      </w:r>
      <w:r w:rsidRPr="00EA248B">
        <w:t>41 Cal.App.5th 662, 677</w:t>
      </w:r>
      <w:bookmarkEnd w:id="45"/>
      <w:r>
        <w:t>.)</w:t>
      </w:r>
      <w:r w:rsidR="00B148A0">
        <w:t xml:space="preserve">  </w:t>
      </w:r>
      <w:r w:rsidRPr="00935848">
        <w:t>Rule 3.8 became effective as part of this revision</w:t>
      </w:r>
      <w:r w:rsidR="006E4D22">
        <w:t>.</w:t>
      </w:r>
      <w:r w:rsidR="00DA6E71">
        <w:t xml:space="preserve">  </w:t>
      </w:r>
    </w:p>
    <w:p w:rsidR="006E4D22" w:rsidRPr="002F244F" w:rsidP="000641B0" w14:paraId="4AD30004" w14:textId="7789299C">
      <w:pPr>
        <w:pStyle w:val="FootnoteText"/>
        <w:ind w:firstLine="720"/>
      </w:pPr>
      <w:r>
        <w:t>This court</w:t>
      </w:r>
      <w:r w:rsidR="00F22C16">
        <w:t xml:space="preserve"> had previously</w:t>
      </w:r>
      <w:r>
        <w:t xml:space="preserve"> entered an order enacting a</w:t>
      </w:r>
      <w:r w:rsidRPr="002F244F">
        <w:t xml:space="preserve"> rule</w:t>
      </w:r>
      <w:r>
        <w:t xml:space="preserve"> of professional conduct,</w:t>
      </w:r>
      <w:r w:rsidRPr="006E4D22">
        <w:t xml:space="preserve"> </w:t>
      </w:r>
      <w:r w:rsidRPr="002F244F">
        <w:t>operative</w:t>
      </w:r>
      <w:r w:rsidR="008F58B3">
        <w:t xml:space="preserve"> </w:t>
      </w:r>
      <w:r w:rsidR="008B7D8D">
        <w:t>November 2</w:t>
      </w:r>
      <w:r w:rsidRPr="002F244F">
        <w:t>, 2017, identical in all material respects to Rule 3.8(d),</w:t>
      </w:r>
      <w:r>
        <w:t xml:space="preserve"> </w:t>
      </w:r>
      <w:r w:rsidRPr="002F244F">
        <w:t xml:space="preserve">as </w:t>
      </w:r>
      <w:r>
        <w:t xml:space="preserve">an amendment to former </w:t>
      </w:r>
      <w:r w:rsidR="00942352">
        <w:t>r</w:t>
      </w:r>
      <w:r w:rsidR="00A96A0F">
        <w:t xml:space="preserve">ule </w:t>
      </w:r>
      <w:r w:rsidR="00EA43FC">
        <w:t xml:space="preserve">5-110 of the </w:t>
      </w:r>
      <w:r>
        <w:t>Rule</w:t>
      </w:r>
      <w:r w:rsidR="00EA43FC">
        <w:t>s</w:t>
      </w:r>
      <w:r>
        <w:t xml:space="preserve"> of Professional Conduct</w:t>
      </w:r>
      <w:r w:rsidRPr="002F244F">
        <w:t xml:space="preserve">.  </w:t>
      </w:r>
    </w:p>
  </w:footnote>
  <w:footnote w:id="16">
    <w:p w:rsidR="005E7F4E" w14:paraId="4D44B26F" w14:textId="3A53BE0E">
      <w:pPr>
        <w:pStyle w:val="FootnoteText"/>
      </w:pPr>
      <w:r>
        <w:rPr>
          <w:rStyle w:val="FootnoteReference"/>
        </w:rPr>
        <w:footnoteRef/>
      </w:r>
      <w:r>
        <w:t xml:space="preserve"> </w:t>
      </w:r>
      <w:r>
        <w:tab/>
        <w:t>Former rule 5-220 of the Rules of Professional Conduct provided, “</w:t>
      </w:r>
      <w:r w:rsidRPr="00B311B4">
        <w:t>A member shall not suppress any evidence that the member or the member’s client has a legal obligation to reveal or to produce.</w:t>
      </w:r>
      <w:r>
        <w:t>”</w:t>
      </w:r>
    </w:p>
  </w:footnote>
  <w:footnote w:id="17">
    <w:p w:rsidR="009238ED" w:rsidP="000641B0" w14:paraId="65BE4374" w14:textId="0A6749A4">
      <w:pPr>
        <w:pStyle w:val="FootnoteText"/>
      </w:pPr>
      <w:r>
        <w:rPr>
          <w:rStyle w:val="FootnoteReference"/>
        </w:rPr>
        <w:footnoteRef/>
      </w:r>
      <w:r>
        <w:t xml:space="preserve"> </w:t>
      </w:r>
      <w:r>
        <w:tab/>
        <w:t xml:space="preserve">Although not </w:t>
      </w:r>
      <w:r w:rsidR="003274EA">
        <w:t xml:space="preserve">specifically </w:t>
      </w:r>
      <w:r>
        <w:t xml:space="preserve">mentioned by the Attorney General, we have also considered that Rule 3.8 refers generically to a “prosecutor in a criminal case,” and does not specifically refer to the Attorney General in habeas </w:t>
      </w:r>
      <w:r w:rsidR="001457D7">
        <w:t xml:space="preserve">corpus </w:t>
      </w:r>
      <w:r>
        <w:t>proceedings.</w:t>
      </w:r>
    </w:p>
  </w:footnote>
  <w:footnote w:id="18">
    <w:p w:rsidR="00FB6E03" w:rsidRPr="00A142A4" w:rsidP="000641B0" w14:paraId="084C0CCD" w14:textId="37E7674F">
      <w:pPr>
        <w:pStyle w:val="FootnoteText"/>
        <w:rPr>
          <w:szCs w:val="26"/>
        </w:rPr>
      </w:pPr>
      <w:r w:rsidRPr="00A142A4">
        <w:rPr>
          <w:rStyle w:val="FootnoteReference"/>
          <w:szCs w:val="26"/>
        </w:rPr>
        <w:footnoteRef/>
      </w:r>
      <w:r w:rsidRPr="00A142A4">
        <w:rPr>
          <w:szCs w:val="26"/>
        </w:rPr>
        <w:t xml:space="preserve"> </w:t>
      </w:r>
      <w:r w:rsidRPr="00A142A4">
        <w:rPr>
          <w:szCs w:val="26"/>
        </w:rPr>
        <w:tab/>
      </w:r>
      <w:r w:rsidR="0011400A">
        <w:rPr>
          <w:szCs w:val="26"/>
        </w:rPr>
        <w:t>R</w:t>
      </w:r>
      <w:r w:rsidRPr="00A142A4">
        <w:rPr>
          <w:szCs w:val="26"/>
        </w:rPr>
        <w:t xml:space="preserve">ule 3.8(f) provides: </w:t>
      </w:r>
      <w:r w:rsidR="00374FE7">
        <w:rPr>
          <w:szCs w:val="26"/>
        </w:rPr>
        <w:t xml:space="preserve"> </w:t>
      </w:r>
      <w:r w:rsidRPr="00A142A4">
        <w:rPr>
          <w:szCs w:val="26"/>
        </w:rPr>
        <w:t xml:space="preserve">“When a prosecutor knows of new, credible and material evidence creating a reasonable likelihood that a convicted defendant did not commit an offense of which the defendant was convicted, the prosecutor shall: </w:t>
      </w:r>
    </w:p>
    <w:p w:rsidR="00FB6E03" w:rsidRPr="00A142A4" w:rsidP="000641B0" w14:paraId="6893DCA0" w14:textId="32DA4476">
      <w:pPr>
        <w:pStyle w:val="FootnoteText"/>
        <w:rPr>
          <w:szCs w:val="26"/>
        </w:rPr>
      </w:pPr>
      <w:r>
        <w:rPr>
          <w:szCs w:val="26"/>
        </w:rPr>
        <w:t>“</w:t>
      </w:r>
      <w:r w:rsidRPr="00A142A4">
        <w:rPr>
          <w:szCs w:val="26"/>
        </w:rPr>
        <w:t>(1)</w:t>
      </w:r>
      <w:r w:rsidR="00374FE7">
        <w:rPr>
          <w:szCs w:val="26"/>
        </w:rPr>
        <w:tab/>
      </w:r>
      <w:r w:rsidRPr="00A142A4">
        <w:rPr>
          <w:szCs w:val="26"/>
        </w:rPr>
        <w:t xml:space="preserve">promptly disclose that evidence to an appropriate court or authority, and </w:t>
      </w:r>
    </w:p>
    <w:p w:rsidR="00FB6E03" w:rsidRPr="00A142A4" w:rsidP="000641B0" w14:paraId="0B83E342" w14:textId="4787A584">
      <w:pPr>
        <w:pStyle w:val="FootnoteText"/>
        <w:rPr>
          <w:szCs w:val="26"/>
        </w:rPr>
      </w:pPr>
      <w:r>
        <w:rPr>
          <w:szCs w:val="26"/>
        </w:rPr>
        <w:t>“</w:t>
      </w:r>
      <w:r w:rsidRPr="00A142A4">
        <w:rPr>
          <w:szCs w:val="26"/>
        </w:rPr>
        <w:t>(2)</w:t>
      </w:r>
      <w:r w:rsidR="00374FE7">
        <w:rPr>
          <w:szCs w:val="26"/>
        </w:rPr>
        <w:tab/>
      </w:r>
      <w:r w:rsidRPr="00A142A4">
        <w:rPr>
          <w:szCs w:val="26"/>
        </w:rPr>
        <w:t xml:space="preserve">if the conviction was obtained in the prosecutor’s jurisdiction, </w:t>
      </w:r>
    </w:p>
    <w:p w:rsidR="00FB6E03" w:rsidRPr="00A142A4" w:rsidP="00861954" w14:paraId="5DB21B7D" w14:textId="3B0F8E2C">
      <w:pPr>
        <w:pStyle w:val="FootnoteText"/>
        <w:rPr>
          <w:szCs w:val="26"/>
        </w:rPr>
      </w:pPr>
      <w:r>
        <w:rPr>
          <w:szCs w:val="26"/>
        </w:rPr>
        <w:t>“</w:t>
      </w:r>
      <w:r w:rsidRPr="00A142A4">
        <w:rPr>
          <w:szCs w:val="26"/>
        </w:rPr>
        <w:t xml:space="preserve">(i) promptly disclose that evidence to the defendant unless a court authorizes delay, and </w:t>
      </w:r>
    </w:p>
    <w:p w:rsidR="00FB6E03" w:rsidRPr="00A142A4" w:rsidP="00861954" w14:paraId="14D57350" w14:textId="0CED8046">
      <w:pPr>
        <w:pStyle w:val="FootnoteText"/>
        <w:rPr>
          <w:szCs w:val="26"/>
        </w:rPr>
      </w:pPr>
      <w:r>
        <w:rPr>
          <w:szCs w:val="26"/>
        </w:rPr>
        <w:t>“</w:t>
      </w:r>
      <w:r w:rsidRPr="00A142A4">
        <w:rPr>
          <w:szCs w:val="26"/>
        </w:rPr>
        <w:t xml:space="preserve">(ii) undertake further investigation, or make reasonable efforts to cause an investigation, to determine whether the defendant was convicted of an offense that the defendant did not commit.” </w:t>
      </w:r>
      <w:r>
        <w:rPr>
          <w:szCs w:val="26"/>
        </w:rPr>
        <w:t xml:space="preserve"> </w:t>
      </w:r>
    </w:p>
    <w:p w:rsidR="00FB6E03" w:rsidRPr="00A142A4" w:rsidP="000641B0" w14:paraId="5BB582ED" w14:textId="2A8AE2E6">
      <w:pPr>
        <w:pStyle w:val="FootnoteText"/>
        <w:spacing w:before="120"/>
        <w:ind w:firstLine="720"/>
        <w:rPr>
          <w:szCs w:val="26"/>
        </w:rPr>
      </w:pPr>
      <w:r>
        <w:rPr>
          <w:szCs w:val="26"/>
        </w:rPr>
        <w:t>R</w:t>
      </w:r>
      <w:r w:rsidRPr="00A142A4">
        <w:rPr>
          <w:szCs w:val="26"/>
        </w:rPr>
        <w:t>ule 3.8(g) provides:</w:t>
      </w:r>
      <w:r w:rsidR="00374FE7">
        <w:rPr>
          <w:szCs w:val="26"/>
        </w:rPr>
        <w:t xml:space="preserve"> </w:t>
      </w:r>
      <w:r w:rsidRPr="00A142A4">
        <w:rPr>
          <w:szCs w:val="26"/>
        </w:rPr>
        <w:t xml:space="preserve"> “When a prosecutor knows of clear and convincing evidence establishing that a defendant in the prosecutor’s jurisdiction was convicted of an offense that the defendant did not commit, the prosecutor shall seek to remedy the conviction.”</w:t>
      </w:r>
      <w:r>
        <w:rPr>
          <w:szCs w:val="26"/>
        </w:rPr>
        <w:t xml:space="preserve"> </w:t>
      </w:r>
      <w:r w:rsidR="0036727D">
        <w:rPr>
          <w:szCs w:val="26"/>
        </w:rPr>
        <w:t xml:space="preserve"> </w:t>
      </w:r>
    </w:p>
  </w:footnote>
  <w:footnote w:id="19">
    <w:p w:rsidR="000A248B" w:rsidRPr="008D3429" w:rsidP="000641B0" w14:paraId="09AD8CAC" w14:textId="4D010E64">
      <w:pPr>
        <w:pStyle w:val="FootnoteText"/>
      </w:pPr>
      <w:r>
        <w:rPr>
          <w:rStyle w:val="FootnoteReference"/>
        </w:rPr>
        <w:footnoteRef/>
      </w:r>
      <w:r>
        <w:t xml:space="preserve"> </w:t>
      </w:r>
      <w:r>
        <w:tab/>
      </w:r>
      <w:r w:rsidR="00FA3D39">
        <w:t>In addition,</w:t>
      </w:r>
      <w:r>
        <w:t xml:space="preserve"> the </w:t>
      </w:r>
      <w:r w:rsidR="00761505">
        <w:t>paragraph</w:t>
      </w:r>
      <w:r>
        <w:t xml:space="preserve"> of ABA Model Rule 3.8</w:t>
      </w:r>
      <w:r w:rsidR="003644EB">
        <w:t>(d)</w:t>
      </w:r>
      <w:r>
        <w:t xml:space="preserve"> from which Rule 3.8(d) was drawn was first adopted in 1977 (see </w:t>
      </w:r>
      <w:r w:rsidRPr="00030AA9" w:rsidR="00030AA9">
        <w:rPr>
          <w:i/>
          <w:iCs/>
        </w:rPr>
        <w:t>Att</w:t>
      </w:r>
      <w:r w:rsidR="007D1512">
        <w:rPr>
          <w:i/>
          <w:iCs/>
        </w:rPr>
        <w:t>orne</w:t>
      </w:r>
      <w:r w:rsidRPr="00030AA9" w:rsidR="00030AA9">
        <w:rPr>
          <w:i/>
          <w:iCs/>
        </w:rPr>
        <w:t>y Grievance v. Cassilly</w:t>
      </w:r>
      <w:r w:rsidRPr="00030AA9" w:rsidR="00030AA9">
        <w:t xml:space="preserve"> (</w:t>
      </w:r>
      <w:r w:rsidR="0097083A">
        <w:t>Md.Ct.</w:t>
      </w:r>
      <w:r w:rsidR="004562F9">
        <w:t xml:space="preserve">App. </w:t>
      </w:r>
      <w:r w:rsidRPr="00030AA9" w:rsidR="00030AA9">
        <w:t xml:space="preserve">2021) </w:t>
      </w:r>
      <w:r w:rsidR="00AF4D83">
        <w:t xml:space="preserve">262 A.3d </w:t>
      </w:r>
      <w:r w:rsidR="00B5142D">
        <w:t>272</w:t>
      </w:r>
      <w:r w:rsidR="00030AA9">
        <w:rPr>
          <w:i/>
          <w:iCs/>
        </w:rPr>
        <w:t xml:space="preserve">, </w:t>
      </w:r>
      <w:r>
        <w:t>3</w:t>
      </w:r>
      <w:r w:rsidR="00B5142D">
        <w:t>11</w:t>
      </w:r>
      <w:r>
        <w:t xml:space="preserve">), while the </w:t>
      </w:r>
      <w:r w:rsidR="00761505">
        <w:t>paragraphs</w:t>
      </w:r>
      <w:r>
        <w:t xml:space="preserve"> of the ABA Model Rule 3.8 from which Rule 3.8(f) </w:t>
      </w:r>
      <w:r w:rsidR="00F144EE">
        <w:t xml:space="preserve">and </w:t>
      </w:r>
      <w:r>
        <w:t>(g) were drawn were not adopted until 2008.  (</w:t>
      </w:r>
      <w:r w:rsidR="00BF7DC9">
        <w:t>S</w:t>
      </w:r>
      <w:r>
        <w:t xml:space="preserve">ee </w:t>
      </w:r>
      <w:r w:rsidRPr="009F2D11">
        <w:rPr>
          <w:i/>
          <w:iCs/>
        </w:rPr>
        <w:t>Ca</w:t>
      </w:r>
      <w:r w:rsidR="00E35EF2">
        <w:rPr>
          <w:i/>
          <w:iCs/>
        </w:rPr>
        <w:t>s</w:t>
      </w:r>
      <w:r w:rsidRPr="009F2D11">
        <w:rPr>
          <w:i/>
          <w:iCs/>
        </w:rPr>
        <w:t>silly</w:t>
      </w:r>
      <w:r w:rsidRPr="00374FE7">
        <w:t>,</w:t>
      </w:r>
      <w:r w:rsidRPr="009F2D11">
        <w:rPr>
          <w:i/>
          <w:iCs/>
        </w:rPr>
        <w:t xml:space="preserve"> </w:t>
      </w:r>
      <w:r>
        <w:t>at p.</w:t>
      </w:r>
      <w:r w:rsidR="001704D1">
        <w:t xml:space="preserve"> </w:t>
      </w:r>
      <w:r w:rsidR="005519FA">
        <w:t>3</w:t>
      </w:r>
      <w:r w:rsidR="00B5142D">
        <w:t>11</w:t>
      </w:r>
      <w:r w:rsidR="00FA3D39">
        <w:t>.</w:t>
      </w:r>
      <w:r>
        <w:t>)</w:t>
      </w:r>
      <w:r w:rsidR="00FA3D39">
        <w:t xml:space="preserve">  </w:t>
      </w:r>
      <w:r>
        <w:t>Th</w:t>
      </w:r>
      <w:r w:rsidR="00FA3D39">
        <w:t xml:space="preserve">e </w:t>
      </w:r>
      <w:r w:rsidR="00E2601E">
        <w:t xml:space="preserve">adoption of </w:t>
      </w:r>
      <w:r>
        <w:t>the</w:t>
      </w:r>
      <w:r w:rsidR="00FA4036">
        <w:t xml:space="preserve">se provisions </w:t>
      </w:r>
      <w:r w:rsidR="00802493">
        <w:t>at</w:t>
      </w:r>
      <w:r>
        <w:t xml:space="preserve"> different time</w:t>
      </w:r>
      <w:r w:rsidR="00E2601E">
        <w:t>s</w:t>
      </w:r>
      <w:r>
        <w:t xml:space="preserve"> </w:t>
      </w:r>
      <w:r w:rsidR="00D06096">
        <w:t xml:space="preserve">provides a </w:t>
      </w:r>
      <w:r w:rsidR="007C0957">
        <w:t xml:space="preserve">practical explanation for drafting </w:t>
      </w:r>
      <w:r w:rsidR="00620773">
        <w:t xml:space="preserve">terminology </w:t>
      </w:r>
      <w:r w:rsidR="007C0957">
        <w:t>differences.</w:t>
      </w:r>
      <w:r w:rsidR="001704D1">
        <w:t xml:space="preserve">  </w:t>
      </w:r>
      <w:r w:rsidR="000A42AC">
        <w:t>(</w:t>
      </w:r>
      <w:r w:rsidR="003A1069">
        <w:t>Cf.</w:t>
      </w:r>
      <w:r w:rsidR="000A42AC">
        <w:t xml:space="preserve"> </w:t>
      </w:r>
      <w:r w:rsidRPr="00AE55E5" w:rsidR="00AE55E5">
        <w:rPr>
          <w:i/>
          <w:iCs/>
        </w:rPr>
        <w:t>United Riggers &amp; Erectors, Inc. v. Coast Iron &amp; Steel Co.</w:t>
      </w:r>
      <w:r w:rsidR="001704D1">
        <w:t xml:space="preserve"> </w:t>
      </w:r>
      <w:r w:rsidRPr="00AE55E5" w:rsidR="00AE55E5">
        <w:t>(2018) 4</w:t>
      </w:r>
      <w:r w:rsidR="005519FA">
        <w:t> </w:t>
      </w:r>
      <w:r w:rsidRPr="00AE55E5" w:rsidR="00AE55E5">
        <w:t xml:space="preserve">Cal.5th 1082, 1093 </w:t>
      </w:r>
      <w:r w:rsidR="00AE55E5">
        <w:t>[“</w:t>
      </w:r>
      <w:r w:rsidRPr="00AE55E5" w:rsidR="00AE55E5">
        <w:t>Different bills, drafted by different authors, passed at different times, might well use different language to convey the same basic rule</w:t>
      </w:r>
      <w:r w:rsidR="00AE55E5">
        <w:t>”].)</w:t>
      </w:r>
    </w:p>
  </w:footnote>
  <w:footnote w:id="20">
    <w:p w:rsidR="00D060E8" w:rsidP="000641B0" w14:paraId="072110DB" w14:textId="20C0D654">
      <w:pPr>
        <w:pStyle w:val="FootnoteText"/>
      </w:pPr>
      <w:r>
        <w:rPr>
          <w:rStyle w:val="FootnoteReference"/>
        </w:rPr>
        <w:footnoteRef/>
      </w:r>
      <w:r>
        <w:t xml:space="preserve"> </w:t>
      </w:r>
      <w:r>
        <w:tab/>
      </w:r>
      <w:r w:rsidR="001F1C25">
        <w:t>As a technical matter, the</w:t>
      </w:r>
      <w:r>
        <w:t xml:space="preserve"> law governing petitions</w:t>
      </w:r>
      <w:r w:rsidR="001457D7">
        <w:t xml:space="preserve"> for writ of habeas corpus</w:t>
      </w:r>
      <w:r>
        <w:t xml:space="preserve"> binds the respondent to </w:t>
      </w:r>
      <w:r w:rsidR="008E033D">
        <w:t xml:space="preserve">such </w:t>
      </w:r>
      <w:r>
        <w:t>a petition</w:t>
      </w:r>
      <w:r w:rsidR="001236D8">
        <w:t> —</w:t>
      </w:r>
      <w:r w:rsidR="00EE43A8">
        <w:t xml:space="preserve"> </w:t>
      </w:r>
      <w:r>
        <w:t>in</w:t>
      </w:r>
      <w:r w:rsidR="001236D8">
        <w:t xml:space="preserve"> </w:t>
      </w:r>
      <w:r>
        <w:t>this case</w:t>
      </w:r>
      <w:r w:rsidR="006915F0">
        <w:t xml:space="preserve">, </w:t>
      </w:r>
      <w:r>
        <w:t xml:space="preserve">the Secretary of the Department of Corrections and Rehabilitation. </w:t>
      </w:r>
      <w:r w:rsidR="006915F0">
        <w:t xml:space="preserve"> </w:t>
      </w:r>
      <w:r w:rsidR="003D17EB">
        <w:t>(See fn</w:t>
      </w:r>
      <w:r w:rsidRPr="00655D2E" w:rsidR="003D17EB">
        <w:t>.</w:t>
      </w:r>
      <w:r w:rsidRPr="00655D2E" w:rsidR="00F24523">
        <w:t xml:space="preserve"> </w:t>
      </w:r>
      <w:r w:rsidRPr="00655D2E" w:rsidR="00863528">
        <w:t>2</w:t>
      </w:r>
      <w:r w:rsidR="003848F7">
        <w:t>5</w:t>
      </w:r>
      <w:r w:rsidRPr="00655D2E" w:rsidR="003D17EB">
        <w:t xml:space="preserve">, </w:t>
      </w:r>
      <w:r w:rsidRPr="00655D2E" w:rsidR="003D17EB">
        <w:rPr>
          <w:i/>
          <w:iCs/>
        </w:rPr>
        <w:t>post</w:t>
      </w:r>
      <w:r w:rsidR="003D17EB">
        <w:t xml:space="preserve">.) </w:t>
      </w:r>
      <w:r w:rsidR="003D3A39">
        <w:t xml:space="preserve"> </w:t>
      </w:r>
      <w:r>
        <w:t xml:space="preserve">Rule 3.8(d) prescribes the ethical duties of respondent’s </w:t>
      </w:r>
      <w:r w:rsidRPr="002B26B3">
        <w:rPr>
          <w:i/>
          <w:iCs/>
        </w:rPr>
        <w:t>counsel</w:t>
      </w:r>
      <w:r>
        <w:t xml:space="preserve">, the Attorney General.  </w:t>
      </w:r>
      <w:r w:rsidR="00AA7FF1">
        <w:t>Further</w:t>
      </w:r>
      <w:r>
        <w:t xml:space="preserve">, </w:t>
      </w:r>
      <w:r w:rsidRPr="001236D8">
        <w:t xml:space="preserve">we </w:t>
      </w:r>
      <w:r w:rsidRPr="001236D8" w:rsidR="001236D8">
        <w:t xml:space="preserve">are not convinced </w:t>
      </w:r>
      <w:r w:rsidRPr="001236D8">
        <w:t>that</w:t>
      </w:r>
      <w:r>
        <w:t xml:space="preserve"> the procedural duties we describe in </w:t>
      </w:r>
      <w:r w:rsidR="002F3A4C">
        <w:t>part II.C</w:t>
      </w:r>
      <w:r w:rsidR="007D1512">
        <w:t>.</w:t>
      </w:r>
      <w:r w:rsidR="002F3A4C">
        <w:t xml:space="preserve">, </w:t>
      </w:r>
      <w:r w:rsidRPr="001F1C25" w:rsidR="002F3A4C">
        <w:rPr>
          <w:i/>
          <w:iCs/>
        </w:rPr>
        <w:t>post</w:t>
      </w:r>
      <w:r w:rsidRPr="00A36709" w:rsidR="009C67BC">
        <w:t>,</w:t>
      </w:r>
      <w:r w:rsidR="002F3A4C">
        <w:t xml:space="preserve"> arising from our case law </w:t>
      </w:r>
      <w:r w:rsidR="004C7CF2">
        <w:t>governing petitions</w:t>
      </w:r>
      <w:r w:rsidR="008E033D">
        <w:t xml:space="preserve"> for writ of habeas corpus</w:t>
      </w:r>
      <w:r w:rsidR="001236D8">
        <w:t>,</w:t>
      </w:r>
      <w:r w:rsidR="004C7CF2">
        <w:t xml:space="preserve"> </w:t>
      </w:r>
      <w:r w:rsidR="00603EFB">
        <w:t>should be interpreted as</w:t>
      </w:r>
      <w:r w:rsidR="002F3A4C">
        <w:t xml:space="preserve"> </w:t>
      </w:r>
      <w:r w:rsidR="002B26B3">
        <w:t>“</w:t>
      </w:r>
      <w:r w:rsidRPr="006915F0" w:rsidR="006915F0">
        <w:rPr>
          <w:bCs/>
        </w:rPr>
        <w:t>statutory</w:t>
      </w:r>
      <w:r w:rsidR="00C02CE6">
        <w:rPr>
          <w:bCs/>
        </w:rPr>
        <w:t> . . . </w:t>
      </w:r>
      <w:r w:rsidRPr="006915F0" w:rsidR="006915F0">
        <w:rPr>
          <w:bCs/>
        </w:rPr>
        <w:t>provision</w:t>
      </w:r>
      <w:r w:rsidR="002B26B3">
        <w:rPr>
          <w:bCs/>
        </w:rPr>
        <w:t>s</w:t>
      </w:r>
      <w:r w:rsidR="006915F0">
        <w:rPr>
          <w:bCs/>
        </w:rPr>
        <w:t xml:space="preserve"> </w:t>
      </w:r>
      <w:r w:rsidRPr="006915F0" w:rsidR="006915F0">
        <w:rPr>
          <w:bCs/>
        </w:rPr>
        <w:t>governing discovery</w:t>
      </w:r>
      <w:r w:rsidR="006915F0">
        <w:t xml:space="preserve">” </w:t>
      </w:r>
      <w:r w:rsidR="00603EFB">
        <w:t xml:space="preserve">within the meaning of comment </w:t>
      </w:r>
      <w:r w:rsidR="00A25B94">
        <w:t xml:space="preserve">[3] to </w:t>
      </w:r>
      <w:r w:rsidR="006915F0">
        <w:t>Rule 3.8</w:t>
      </w:r>
      <w:r w:rsidR="00A25B94">
        <w:t>.</w:t>
      </w:r>
      <w:r>
        <w:t xml:space="preserve"> </w:t>
      </w:r>
      <w:r w:rsidR="001236D8">
        <w:t xml:space="preserve"> </w:t>
      </w:r>
    </w:p>
  </w:footnote>
  <w:footnote w:id="21">
    <w:p w:rsidR="00C6026E" w:rsidP="000641B0" w14:paraId="384819C5" w14:textId="73DF1670">
      <w:pPr>
        <w:pStyle w:val="FootnoteText"/>
      </w:pPr>
      <w:r>
        <w:rPr>
          <w:rStyle w:val="FootnoteReference"/>
        </w:rPr>
        <w:footnoteRef/>
      </w:r>
      <w:r>
        <w:t xml:space="preserve"> </w:t>
      </w:r>
      <w:r>
        <w:tab/>
      </w:r>
      <w:r w:rsidR="00CC3727">
        <w:t>While i</w:t>
      </w:r>
      <w:r w:rsidR="004D696D">
        <w:t xml:space="preserve">t is unnecessary for us to decide </w:t>
      </w:r>
      <w:r>
        <w:t>whether the two duties are identical</w:t>
      </w:r>
      <w:r w:rsidR="0003103B">
        <w:t>, we emphasize that nothing in this opinion should be understood to prescribe a duty of disclosure “</w:t>
      </w:r>
      <w:r w:rsidRPr="0003103B" w:rsidR="0003103B">
        <w:t>inconsistent with statutory and constitutional provisions governing discovery in California courts</w:t>
      </w:r>
      <w:r>
        <w:t>.</w:t>
      </w:r>
      <w:r w:rsidR="006C0950">
        <w:t xml:space="preserve">” </w:t>
      </w:r>
      <w:r w:rsidR="003C79F1">
        <w:t xml:space="preserve"> </w:t>
      </w:r>
      <w:r w:rsidR="006C0950">
        <w:t>(Rule 3.8</w:t>
      </w:r>
      <w:r w:rsidR="0005735A">
        <w:t xml:space="preserve">, com. </w:t>
      </w:r>
      <w:r w:rsidR="009B09A5">
        <w:t>[3]</w:t>
      </w:r>
      <w:r w:rsidR="006C0950">
        <w:t>.)</w:t>
      </w:r>
      <w:r>
        <w:t xml:space="preserve"> </w:t>
      </w:r>
    </w:p>
  </w:footnote>
  <w:footnote w:id="22">
    <w:p w:rsidR="003C2EF4" w:rsidP="003C2EF4" w14:paraId="1BE6B117" w14:textId="663381F2">
      <w:pPr>
        <w:pStyle w:val="FootnoteText"/>
      </w:pPr>
      <w:r>
        <w:rPr>
          <w:rStyle w:val="FootnoteReference"/>
        </w:rPr>
        <w:footnoteRef/>
      </w:r>
      <w:r>
        <w:t xml:space="preserve"> </w:t>
      </w:r>
      <w:r>
        <w:tab/>
        <w:t>In his answering brief, the Attorney General argues, “</w:t>
      </w:r>
      <w:r w:rsidRPr="00C702C6">
        <w:t>No ethical rule would have required the</w:t>
      </w:r>
      <w:r>
        <w:t xml:space="preserve"> </w:t>
      </w:r>
      <w:r w:rsidRPr="00C702C6">
        <w:t>Attorney General in this case to disclose records the Attorney</w:t>
      </w:r>
      <w:r>
        <w:t xml:space="preserve"> </w:t>
      </w:r>
      <w:r w:rsidRPr="00C702C6">
        <w:t xml:space="preserve">General did not consider </w:t>
      </w:r>
      <w:r w:rsidRPr="009F7DA2">
        <w:t>material</w:t>
      </w:r>
      <w:r w:rsidRPr="00C702C6">
        <w:t xml:space="preserve"> to the trial outcome</w:t>
      </w:r>
      <w:r>
        <w:t xml:space="preserve">.”  </w:t>
      </w:r>
    </w:p>
  </w:footnote>
  <w:footnote w:id="23">
    <w:p w:rsidR="0085640A" w:rsidRPr="009F7DA2" w:rsidP="000641B0" w14:paraId="46AF5E4F" w14:textId="51E4FF24">
      <w:pPr>
        <w:pStyle w:val="FootnoteText"/>
      </w:pPr>
      <w:r>
        <w:rPr>
          <w:rStyle w:val="FootnoteReference"/>
        </w:rPr>
        <w:footnoteRef/>
      </w:r>
      <w:r>
        <w:t xml:space="preserve"> </w:t>
      </w:r>
      <w:r>
        <w:tab/>
      </w:r>
      <w:r w:rsidRPr="00D21A2E">
        <w:t xml:space="preserve">The parties </w:t>
      </w:r>
      <w:r w:rsidRPr="00655D2E">
        <w:t xml:space="preserve">have not briefed, and we do not consider, whether Rule 3.8(d) requires disclosure of evidence </w:t>
      </w:r>
      <w:r w:rsidRPr="009F7DA2">
        <w:t>that was not available at trial.</w:t>
      </w:r>
    </w:p>
  </w:footnote>
  <w:footnote w:id="24">
    <w:p w:rsidR="001722BF" w:rsidP="000641B0" w14:paraId="30A652CB" w14:textId="54C0507C">
      <w:pPr>
        <w:pStyle w:val="FootnoteText"/>
      </w:pPr>
      <w:r w:rsidRPr="00655D2E">
        <w:rPr>
          <w:rStyle w:val="FootnoteReference"/>
        </w:rPr>
        <w:footnoteRef/>
      </w:r>
      <w:r w:rsidRPr="00655D2E">
        <w:t xml:space="preserve"> </w:t>
      </w:r>
      <w:r w:rsidRPr="00655D2E">
        <w:tab/>
      </w:r>
      <w:r w:rsidRPr="00655D2E">
        <w:rPr>
          <w:bCs/>
        </w:rPr>
        <w:t xml:space="preserve">The Attorney General also </w:t>
      </w:r>
      <w:r w:rsidRPr="00655D2E" w:rsidR="00BD7A5B">
        <w:rPr>
          <w:bCs/>
        </w:rPr>
        <w:t xml:space="preserve">cites </w:t>
      </w:r>
      <w:r w:rsidR="004B4AE6">
        <w:rPr>
          <w:bCs/>
        </w:rPr>
        <w:t xml:space="preserve">another portion of </w:t>
      </w:r>
      <w:r w:rsidRPr="00655D2E">
        <w:rPr>
          <w:bCs/>
        </w:rPr>
        <w:t xml:space="preserve">comment </w:t>
      </w:r>
      <w:r w:rsidRPr="00655D2E" w:rsidR="00EB2BD5">
        <w:rPr>
          <w:bCs/>
        </w:rPr>
        <w:t>[</w:t>
      </w:r>
      <w:r w:rsidRPr="00655D2E">
        <w:rPr>
          <w:bCs/>
        </w:rPr>
        <w:t>3</w:t>
      </w:r>
      <w:r w:rsidRPr="00655D2E" w:rsidR="00EB2BD5">
        <w:rPr>
          <w:bCs/>
        </w:rPr>
        <w:t>]</w:t>
      </w:r>
      <w:r w:rsidRPr="00655D2E">
        <w:rPr>
          <w:bCs/>
        </w:rPr>
        <w:t xml:space="preserve"> to Rule 3.8</w:t>
      </w:r>
      <w:r w:rsidRPr="00655D2E" w:rsidR="00BD7A5B">
        <w:rPr>
          <w:bCs/>
        </w:rPr>
        <w:t xml:space="preserve">, which </w:t>
      </w:r>
      <w:r w:rsidRPr="00655D2E">
        <w:rPr>
          <w:bCs/>
        </w:rPr>
        <w:t xml:space="preserve">provides </w:t>
      </w:r>
      <w:r w:rsidRPr="00655D2E" w:rsidR="00BD7A5B">
        <w:rPr>
          <w:bCs/>
        </w:rPr>
        <w:t xml:space="preserve">that </w:t>
      </w:r>
      <w:r w:rsidRPr="00655D2E">
        <w:rPr>
          <w:bCs/>
        </w:rPr>
        <w:t>the rule “</w:t>
      </w:r>
      <w:r w:rsidRPr="00655D2E" w:rsidR="00BD7A5B">
        <w:rPr>
          <w:bCs/>
        </w:rPr>
        <w:t> ‘</w:t>
      </w:r>
      <w:r w:rsidRPr="00655D2E">
        <w:rPr>
          <w:bCs/>
        </w:rPr>
        <w:t>does not require disclosure of information protected from disclosure by federal or California laws and rules.</w:t>
      </w:r>
      <w:r w:rsidRPr="00655D2E" w:rsidR="00BD7A5B">
        <w:rPr>
          <w:bCs/>
        </w:rPr>
        <w:t>’</w:t>
      </w:r>
      <w:r w:rsidRPr="00655D2E" w:rsidR="00BD7A5B">
        <w:t> </w:t>
      </w:r>
      <w:r w:rsidRPr="00655D2E">
        <w:rPr>
          <w:bCs/>
        </w:rPr>
        <w:t>”</w:t>
      </w:r>
      <w:r w:rsidRPr="00655D2E" w:rsidR="003C45AA">
        <w:rPr>
          <w:bCs/>
        </w:rPr>
        <w:t xml:space="preserve">  </w:t>
      </w:r>
      <w:r w:rsidRPr="00655D2E">
        <w:rPr>
          <w:bCs/>
        </w:rPr>
        <w:t xml:space="preserve">Thus, the Attorney General argues Rule 3.8(d) would not compel disclosure of the </w:t>
      </w:r>
      <w:r w:rsidRPr="00655D2E" w:rsidR="00F116DE">
        <w:rPr>
          <w:bCs/>
        </w:rPr>
        <w:t>evidence</w:t>
      </w:r>
      <w:r w:rsidR="00F116DE">
        <w:rPr>
          <w:bCs/>
        </w:rPr>
        <w:t xml:space="preserve"> </w:t>
      </w:r>
      <w:r w:rsidRPr="001722BF" w:rsidR="00F116DE">
        <w:rPr>
          <w:bCs/>
        </w:rPr>
        <w:t>at issue in this case</w:t>
      </w:r>
      <w:r w:rsidR="003C45AA">
        <w:rPr>
          <w:bCs/>
        </w:rPr>
        <w:t xml:space="preserve"> </w:t>
      </w:r>
      <w:r w:rsidR="00F116DE">
        <w:rPr>
          <w:bCs/>
        </w:rPr>
        <w:t xml:space="preserve">because </w:t>
      </w:r>
      <w:r w:rsidR="003C45AA">
        <w:rPr>
          <w:bCs/>
        </w:rPr>
        <w:t>it consists of</w:t>
      </w:r>
      <w:r w:rsidRPr="001722BF" w:rsidR="00F116DE">
        <w:rPr>
          <w:bCs/>
        </w:rPr>
        <w:t xml:space="preserve"> </w:t>
      </w:r>
      <w:r w:rsidRPr="001722BF">
        <w:rPr>
          <w:bCs/>
        </w:rPr>
        <w:t>confidential juvenile court records protected from dissemination pursuant to Welfare and Institutions Code section 827.</w:t>
      </w:r>
      <w:r w:rsidR="00ED7CA1">
        <w:rPr>
          <w:bCs/>
        </w:rPr>
        <w:t xml:space="preserve">  </w:t>
      </w:r>
      <w:r w:rsidRPr="001722BF">
        <w:rPr>
          <w:bCs/>
        </w:rPr>
        <w:t>We discuss in part II.D</w:t>
      </w:r>
      <w:r w:rsidR="00ED224A">
        <w:rPr>
          <w:bCs/>
        </w:rPr>
        <w:t>.</w:t>
      </w:r>
      <w:r w:rsidRPr="001722BF">
        <w:rPr>
          <w:bCs/>
        </w:rPr>
        <w:t xml:space="preserve">, </w:t>
      </w:r>
      <w:r w:rsidRPr="001722BF">
        <w:rPr>
          <w:bCs/>
          <w:i/>
          <w:iCs/>
        </w:rPr>
        <w:t>post</w:t>
      </w:r>
      <w:r w:rsidRPr="001722BF">
        <w:rPr>
          <w:bCs/>
        </w:rPr>
        <w:t xml:space="preserve">, </w:t>
      </w:r>
      <w:r w:rsidR="00DE0ABC">
        <w:rPr>
          <w:bCs/>
        </w:rPr>
        <w:t>how</w:t>
      </w:r>
      <w:r w:rsidRPr="001722BF">
        <w:rPr>
          <w:bCs/>
        </w:rPr>
        <w:t xml:space="preserve"> the Attorney General may comply with </w:t>
      </w:r>
      <w:r w:rsidR="00231E9E">
        <w:rPr>
          <w:bCs/>
        </w:rPr>
        <w:t xml:space="preserve">his </w:t>
      </w:r>
      <w:r w:rsidRPr="001722BF">
        <w:rPr>
          <w:bCs/>
        </w:rPr>
        <w:t>ethical duty of disclosure in cases involving records subject to Welfare and Institutions Code section 827.</w:t>
      </w:r>
    </w:p>
  </w:footnote>
  <w:footnote w:id="25">
    <w:p w:rsidR="0076440D" w14:paraId="63F580CD" w14:textId="7486AEC7">
      <w:pPr>
        <w:pStyle w:val="FootnoteText"/>
      </w:pPr>
      <w:r>
        <w:rPr>
          <w:rStyle w:val="FootnoteReference"/>
        </w:rPr>
        <w:footnoteRef/>
      </w:r>
      <w:r>
        <w:t xml:space="preserve"> </w:t>
      </w:r>
      <w:r>
        <w:tab/>
        <w:t xml:space="preserve">The </w:t>
      </w:r>
      <w:r w:rsidRPr="007E4DA7">
        <w:rPr>
          <w:i/>
          <w:iCs/>
        </w:rPr>
        <w:t>Romero</w:t>
      </w:r>
      <w:r>
        <w:t xml:space="preserve"> court noted that a </w:t>
      </w:r>
      <w:r w:rsidRPr="00083F80">
        <w:t>petitioner is afforded an opportunity to file a reply to any informal response.</w:t>
      </w:r>
      <w:r>
        <w:t xml:space="preserve"> </w:t>
      </w:r>
      <w:r w:rsidRPr="00083F80">
        <w:t xml:space="preserve"> (</w:t>
      </w:r>
      <w:r>
        <w:rPr>
          <w:i/>
          <w:iCs/>
        </w:rPr>
        <w:t>Romero</w:t>
      </w:r>
      <w:r w:rsidRPr="00861954">
        <w:t>,</w:t>
      </w:r>
      <w:r>
        <w:rPr>
          <w:i/>
          <w:iCs/>
        </w:rPr>
        <w:t xml:space="preserve"> supra</w:t>
      </w:r>
      <w:r w:rsidRPr="00861954">
        <w:t>, 8 Cal.4th</w:t>
      </w:r>
      <w:r>
        <w:t xml:space="preserve"> at p. 741; see </w:t>
      </w:r>
      <w:r w:rsidRPr="00083F80">
        <w:t>Cal. Rules of Court, rule</w:t>
      </w:r>
      <w:r>
        <w:t>s</w:t>
      </w:r>
      <w:r w:rsidRPr="00083F80">
        <w:t xml:space="preserve"> 8.385(b)(3)</w:t>
      </w:r>
      <w:r>
        <w:t>,</w:t>
      </w:r>
      <w:r w:rsidRPr="00083F80">
        <w:t xml:space="preserve"> 4.551(b)(2), 4.573(</w:t>
      </w:r>
      <w:r>
        <w:t>a</w:t>
      </w:r>
      <w:r w:rsidRPr="00083F80">
        <w:t>)(3).)</w:t>
      </w:r>
    </w:p>
  </w:footnote>
  <w:footnote w:id="26">
    <w:p w:rsidR="00E7125B" w14:paraId="5B9D01CF" w14:textId="4315D343">
      <w:pPr>
        <w:pStyle w:val="FootnoteText"/>
      </w:pPr>
      <w:r>
        <w:rPr>
          <w:rStyle w:val="FootnoteReference"/>
        </w:rPr>
        <w:footnoteRef/>
      </w:r>
      <w:r>
        <w:t xml:space="preserve"> </w:t>
      </w:r>
      <w:r>
        <w:tab/>
      </w:r>
      <w:r w:rsidR="00047F6D">
        <w:t xml:space="preserve">In addition, even where disclosure is </w:t>
      </w:r>
      <w:r w:rsidRPr="00F55F90" w:rsidR="00047F6D">
        <w:rPr>
          <w:i/>
          <w:iCs/>
        </w:rPr>
        <w:t>not</w:t>
      </w:r>
      <w:r w:rsidR="00047F6D">
        <w:t xml:space="preserve"> mandated by </w:t>
      </w:r>
      <w:r w:rsidRPr="00AD47E8" w:rsidR="00047F6D">
        <w:rPr>
          <w:i/>
          <w:iCs/>
        </w:rPr>
        <w:t>Brady</w:t>
      </w:r>
      <w:r w:rsidR="00047F6D">
        <w:rPr>
          <w:i/>
          <w:iCs/>
        </w:rPr>
        <w:t xml:space="preserve"> </w:t>
      </w:r>
      <w:r w:rsidRPr="00AD47E8" w:rsidR="00047F6D">
        <w:t xml:space="preserve">or </w:t>
      </w:r>
      <w:r w:rsidR="00047F6D">
        <w:t>R</w:t>
      </w:r>
      <w:r w:rsidRPr="00AD47E8" w:rsidR="00047F6D">
        <w:t>ule 3.8(d)</w:t>
      </w:r>
      <w:r w:rsidR="00047F6D">
        <w:t>, the Attorney General may disclose the evidence to promote justice as a policy matter.  Further, t</w:t>
      </w:r>
      <w:r>
        <w:t>he Attorney General’s disclosure of allegedly suppressed evidence in response to a petition</w:t>
      </w:r>
      <w:r w:rsidR="002F6B50">
        <w:t xml:space="preserve"> for writ of habeas corpus</w:t>
      </w:r>
      <w:r>
        <w:t xml:space="preserve"> </w:t>
      </w:r>
      <w:r w:rsidR="00047F6D">
        <w:t xml:space="preserve">alleging a </w:t>
      </w:r>
      <w:r w:rsidRPr="00F55F90" w:rsidR="00047F6D">
        <w:rPr>
          <w:i/>
          <w:iCs/>
        </w:rPr>
        <w:t>Brady</w:t>
      </w:r>
      <w:r w:rsidR="00047F6D">
        <w:t xml:space="preserve"> violation </w:t>
      </w:r>
      <w:r w:rsidR="00844B59">
        <w:t>is not necessarily an admission or concession on the merits because</w:t>
      </w:r>
      <w:r>
        <w:t>, as noted in part II.A</w:t>
      </w:r>
      <w:r w:rsidR="00ED224A">
        <w:t>.</w:t>
      </w:r>
      <w:r>
        <w:t xml:space="preserve">, </w:t>
      </w:r>
      <w:r w:rsidRPr="00AD47E8">
        <w:rPr>
          <w:i/>
          <w:iCs/>
        </w:rPr>
        <w:t>ante</w:t>
      </w:r>
      <w:r>
        <w:t xml:space="preserve">, the Attorney General may disclose the evidence </w:t>
      </w:r>
      <w:r w:rsidR="001C684C">
        <w:t>in an attempt to comply with</w:t>
      </w:r>
      <w:r w:rsidR="00CE2AAB">
        <w:t xml:space="preserve"> his </w:t>
      </w:r>
      <w:r w:rsidRPr="00F55F90" w:rsidR="00CE2AAB">
        <w:rPr>
          <w:i/>
          <w:iCs/>
        </w:rPr>
        <w:t>Brady</w:t>
      </w:r>
      <w:r w:rsidR="00934724">
        <w:t xml:space="preserve"> duty</w:t>
      </w:r>
      <w:r w:rsidR="00A22AE2">
        <w:t xml:space="preserve"> even where a court ultimately concludes that </w:t>
      </w:r>
      <w:r w:rsidRPr="00E66C89" w:rsidR="00A22AE2">
        <w:rPr>
          <w:i/>
          <w:iCs/>
        </w:rPr>
        <w:t xml:space="preserve">Brady </w:t>
      </w:r>
      <w:r w:rsidRPr="00F55F90" w:rsidR="00A22AE2">
        <w:t>did not mandate</w:t>
      </w:r>
      <w:r w:rsidRPr="00E66C89" w:rsidR="00A22AE2">
        <w:t xml:space="preserve"> disclosure</w:t>
      </w:r>
      <w:r w:rsidRPr="00E66C89">
        <w:t>.  (</w:t>
      </w:r>
      <w:r w:rsidRPr="00E66C89">
        <w:rPr>
          <w:i/>
          <w:iCs/>
        </w:rPr>
        <w:t>Kyles</w:t>
      </w:r>
      <w:r w:rsidRPr="00E66C89">
        <w:t>,</w:t>
      </w:r>
      <w:r w:rsidRPr="00E66C89">
        <w:rPr>
          <w:i/>
          <w:iCs/>
        </w:rPr>
        <w:t xml:space="preserve"> supra</w:t>
      </w:r>
      <w:r w:rsidRPr="00E66C89">
        <w:t xml:space="preserve">, 514 U.S. at p. 439; </w:t>
      </w:r>
      <w:r w:rsidRPr="00E66C89">
        <w:rPr>
          <w:i/>
          <w:iCs/>
        </w:rPr>
        <w:t>Deputy Sheriffs</w:t>
      </w:r>
      <w:r w:rsidRPr="00E66C89">
        <w:t xml:space="preserve">, </w:t>
      </w:r>
      <w:r w:rsidRPr="00E66C89">
        <w:rPr>
          <w:i/>
          <w:iCs/>
        </w:rPr>
        <w:t>supra</w:t>
      </w:r>
      <w:r w:rsidRPr="00E66C89">
        <w:t>, 8 Cal.5th at p. 40</w:t>
      </w:r>
      <w:r w:rsidR="002A032C">
        <w:t xml:space="preserve">.) </w:t>
      </w:r>
      <w:r w:rsidRPr="00E66C89">
        <w:t xml:space="preserve"> </w:t>
      </w:r>
    </w:p>
  </w:footnote>
  <w:footnote w:id="27">
    <w:p w:rsidR="0076440D" w14:paraId="49A63D53" w14:textId="6A843972">
      <w:pPr>
        <w:pStyle w:val="FootnoteText"/>
      </w:pPr>
      <w:r>
        <w:rPr>
          <w:rStyle w:val="FootnoteReference"/>
        </w:rPr>
        <w:footnoteRef/>
      </w:r>
      <w:r>
        <w:t xml:space="preserve"> </w:t>
      </w:r>
      <w:r>
        <w:tab/>
        <w:t xml:space="preserve">While our order limiting the </w:t>
      </w:r>
      <w:r w:rsidRPr="00655D2E">
        <w:t>issue to be briefed and argued suggested that this duty was the Attorney General’s, as a technical matter, the duty belongs to the Attorney General’s client, respondent Secretary of the Department of Corrections and Rehabilitation.  (See § 1477 [stating that a writ of habeas corpus “must be directed to the person having custody of or restraini</w:t>
      </w:r>
      <w:r w:rsidRPr="00552F3A">
        <w:t>ng the person on whose behalf the application is made</w:t>
      </w:r>
      <w:r>
        <w:t xml:space="preserve">”].)  However, </w:t>
      </w:r>
      <w:r w:rsidRPr="00350299">
        <w:t>the Attorney General</w:t>
      </w:r>
      <w:r>
        <w:t xml:space="preserve"> </w:t>
      </w:r>
      <w:r w:rsidRPr="00350299">
        <w:t>must also comply with the habeas corpus procedural duties specif</w:t>
      </w:r>
      <w:r>
        <w:t xml:space="preserve">ied in this opinion </w:t>
      </w:r>
      <w:r w:rsidRPr="00350299">
        <w:t>when acting on behalf of respondent as counsel</w:t>
      </w:r>
      <w:r>
        <w:t>.</w:t>
      </w:r>
    </w:p>
  </w:footnote>
  <w:footnote w:id="28">
    <w:p w:rsidR="0045297F" w:rsidP="000641B0" w14:paraId="13B3F09D" w14:textId="440FD00F">
      <w:pPr>
        <w:pStyle w:val="FootnoteText"/>
      </w:pPr>
      <w:r w:rsidRPr="00655D2E">
        <w:rPr>
          <w:rStyle w:val="FootnoteReference"/>
        </w:rPr>
        <w:footnoteRef/>
      </w:r>
      <w:r w:rsidRPr="00655D2E">
        <w:t xml:space="preserve"> </w:t>
      </w:r>
      <w:r w:rsidRPr="00655D2E">
        <w:tab/>
        <w:t>Again, the fact that respondent has knowledge, whether actual or constructive, of the evidence does not establish that the evidence is material or exculpatory.</w:t>
      </w:r>
      <w:r>
        <w:t xml:space="preserve"> </w:t>
      </w:r>
    </w:p>
  </w:footnote>
  <w:footnote w:id="29">
    <w:p w:rsidR="008012E8" w:rsidRPr="00C62DCF" w:rsidP="000641B0" w14:paraId="39567ABD" w14:textId="749ADB13">
      <w:pPr>
        <w:pStyle w:val="FootnoteText"/>
        <w:rPr>
          <w:bCs/>
        </w:rPr>
      </w:pPr>
      <w:r>
        <w:rPr>
          <w:rStyle w:val="FootnoteReference"/>
        </w:rPr>
        <w:footnoteRef/>
      </w:r>
      <w:r>
        <w:t xml:space="preserve"> </w:t>
      </w:r>
      <w:r>
        <w:tab/>
      </w:r>
      <w:r w:rsidR="00DE3C9D">
        <w:t>Again, we emphasize that we are discussing here only the respondent</w:t>
      </w:r>
      <w:r w:rsidR="00CF693E">
        <w:t xml:space="preserve">’s </w:t>
      </w:r>
      <w:r w:rsidR="00DE3C9D">
        <w:t>d</w:t>
      </w:r>
      <w:r w:rsidR="00C032C2">
        <w:t>uties under the law governing habeas corpus petitions</w:t>
      </w:r>
      <w:r>
        <w:t xml:space="preserve"> in responding to an </w:t>
      </w:r>
      <w:r w:rsidRPr="00F55F90">
        <w:rPr>
          <w:i/>
          <w:iCs/>
        </w:rPr>
        <w:t>allegation</w:t>
      </w:r>
      <w:r>
        <w:t xml:space="preserve"> of a </w:t>
      </w:r>
      <w:r w:rsidRPr="00F55F90">
        <w:rPr>
          <w:i/>
          <w:iCs/>
        </w:rPr>
        <w:t>Brady</w:t>
      </w:r>
      <w:r>
        <w:t xml:space="preserve"> violation.  </w:t>
      </w:r>
      <w:r w:rsidR="0059135B">
        <w:t xml:space="preserve">If the allegedly suppressed evidence is </w:t>
      </w:r>
      <w:r w:rsidRPr="00F55F90" w:rsidR="0059135B">
        <w:rPr>
          <w:i/>
          <w:iCs/>
        </w:rPr>
        <w:t>in fact</w:t>
      </w:r>
      <w:r w:rsidR="0059135B">
        <w:t xml:space="preserve"> subject to </w:t>
      </w:r>
      <w:r w:rsidRPr="00F55F90" w:rsidR="0059135B">
        <w:rPr>
          <w:i/>
          <w:iCs/>
        </w:rPr>
        <w:t>Brady</w:t>
      </w:r>
      <w:r w:rsidR="0059135B">
        <w:t xml:space="preserve"> </w:t>
      </w:r>
      <w:r w:rsidR="005F61CC">
        <w:t>and</w:t>
      </w:r>
      <w:r w:rsidR="00C62DCF">
        <w:t>/or</w:t>
      </w:r>
      <w:r w:rsidR="0059135B">
        <w:t xml:space="preserve"> Rule 3.8(d), the Attorney General </w:t>
      </w:r>
      <w:r w:rsidR="00F65A14">
        <w:rPr>
          <w:bCs/>
        </w:rPr>
        <w:t>has a duty</w:t>
      </w:r>
      <w:r w:rsidRPr="0059135B" w:rsidR="0059135B">
        <w:rPr>
          <w:bCs/>
        </w:rPr>
        <w:t xml:space="preserve"> </w:t>
      </w:r>
      <w:r w:rsidR="0076440D">
        <w:rPr>
          <w:bCs/>
        </w:rPr>
        <w:t xml:space="preserve">to </w:t>
      </w:r>
      <w:r w:rsidRPr="0059135B" w:rsidR="0059135B">
        <w:rPr>
          <w:bCs/>
        </w:rPr>
        <w:t xml:space="preserve">disclose the evidence </w:t>
      </w:r>
      <w:r w:rsidR="005F61CC">
        <w:rPr>
          <w:bCs/>
        </w:rPr>
        <w:t>as outlined in part II.A</w:t>
      </w:r>
      <w:r w:rsidR="00ED224A">
        <w:rPr>
          <w:bCs/>
        </w:rPr>
        <w:t>.</w:t>
      </w:r>
      <w:r w:rsidR="005F61CC">
        <w:rPr>
          <w:bCs/>
        </w:rPr>
        <w:t xml:space="preserve"> and</w:t>
      </w:r>
      <w:r w:rsidR="00E875D5">
        <w:rPr>
          <w:bCs/>
        </w:rPr>
        <w:t>/or part</w:t>
      </w:r>
      <w:r w:rsidR="005F61CC">
        <w:rPr>
          <w:bCs/>
        </w:rPr>
        <w:t xml:space="preserve"> II.B</w:t>
      </w:r>
      <w:r w:rsidR="00ED224A">
        <w:rPr>
          <w:bCs/>
        </w:rPr>
        <w:t>.</w:t>
      </w:r>
      <w:r w:rsidR="005F61CC">
        <w:rPr>
          <w:bCs/>
        </w:rPr>
        <w:t xml:space="preserve">, </w:t>
      </w:r>
      <w:r w:rsidRPr="00A36709" w:rsidR="009258BA">
        <w:rPr>
          <w:bCs/>
          <w:i/>
          <w:iCs/>
        </w:rPr>
        <w:t>ante</w:t>
      </w:r>
      <w:r w:rsidR="009258BA">
        <w:rPr>
          <w:bCs/>
        </w:rPr>
        <w:t xml:space="preserve">, </w:t>
      </w:r>
      <w:r w:rsidR="005F61CC">
        <w:rPr>
          <w:bCs/>
        </w:rPr>
        <w:t xml:space="preserve">respectively. </w:t>
      </w:r>
    </w:p>
    <w:p w:rsidR="00ED0B5D" w:rsidP="00F55F90" w14:paraId="09533259" w14:textId="426C901A">
      <w:pPr>
        <w:pStyle w:val="FootnoteText"/>
        <w:ind w:firstLine="720"/>
      </w:pPr>
      <w:r>
        <w:t xml:space="preserve">In addition, if </w:t>
      </w:r>
      <w:r w:rsidR="00195CAD">
        <w:t xml:space="preserve">the </w:t>
      </w:r>
      <w:r>
        <w:t xml:space="preserve">evidence does </w:t>
      </w:r>
      <w:r w:rsidRPr="00077C71">
        <w:rPr>
          <w:i/>
          <w:iCs/>
        </w:rPr>
        <w:t>not</w:t>
      </w:r>
      <w:r>
        <w:t xml:space="preserve"> </w:t>
      </w:r>
      <w:r w:rsidR="00AC3455">
        <w:t xml:space="preserve">in fact </w:t>
      </w:r>
      <w:r>
        <w:t xml:space="preserve">exist, contrary to our hypothetical positing that the </w:t>
      </w:r>
      <w:r w:rsidR="007334FA">
        <w:t>Attorney General</w:t>
      </w:r>
      <w:r>
        <w:t xml:space="preserve"> has knowledge of </w:t>
      </w:r>
      <w:r w:rsidR="000F4F01">
        <w:t>its existence</w:t>
      </w:r>
      <w:r>
        <w:t>, respo</w:t>
      </w:r>
      <w:r w:rsidR="00195CAD">
        <w:t xml:space="preserve">ndent may </w:t>
      </w:r>
      <w:r w:rsidR="00D149AE">
        <w:t xml:space="preserve">argue that the evidence does not exist. </w:t>
      </w:r>
      <w:r w:rsidR="00165E4F">
        <w:t xml:space="preserve"> </w:t>
      </w:r>
    </w:p>
  </w:footnote>
  <w:footnote w:id="30">
    <w:p w:rsidR="00E30CE1" w:rsidRPr="00C71FE7" w:rsidP="000641B0" w14:paraId="5A81AA51" w14:textId="0D4A412A">
      <w:pPr>
        <w:pStyle w:val="FootnoteText"/>
        <w:rPr>
          <w:bCs/>
        </w:rPr>
      </w:pPr>
      <w:r>
        <w:rPr>
          <w:rStyle w:val="FootnoteReference"/>
        </w:rPr>
        <w:footnoteRef/>
      </w:r>
      <w:r>
        <w:t xml:space="preserve"> </w:t>
      </w:r>
      <w:r>
        <w:tab/>
      </w:r>
      <w:r w:rsidRPr="00E30CE1">
        <w:rPr>
          <w:bCs/>
        </w:rPr>
        <w:t xml:space="preserve">In discussing his responsibilities in filing an informal response responding to a habeas </w:t>
      </w:r>
      <w:r w:rsidR="00CF0A28">
        <w:rPr>
          <w:bCs/>
        </w:rPr>
        <w:t xml:space="preserve">corpus </w:t>
      </w:r>
      <w:r w:rsidRPr="00E30CE1">
        <w:rPr>
          <w:bCs/>
        </w:rPr>
        <w:t xml:space="preserve">petitioner’s </w:t>
      </w:r>
      <w:r w:rsidRPr="00E30CE1">
        <w:rPr>
          <w:bCs/>
          <w:i/>
          <w:iCs/>
        </w:rPr>
        <w:t>Brady</w:t>
      </w:r>
      <w:r w:rsidRPr="00E30CE1">
        <w:rPr>
          <w:bCs/>
        </w:rPr>
        <w:t xml:space="preserve"> claim, the Attorney General </w:t>
      </w:r>
      <w:r w:rsidR="00EB7D25">
        <w:rPr>
          <w:bCs/>
        </w:rPr>
        <w:t>proposes a similar restriction, stating</w:t>
      </w:r>
      <w:r w:rsidRPr="00E30CE1">
        <w:rPr>
          <w:bCs/>
        </w:rPr>
        <w:t>, “[W]</w:t>
      </w:r>
      <w:r w:rsidRPr="007E6243">
        <w:rPr>
          <w:bCs/>
        </w:rPr>
        <w:t>hen the Attorney</w:t>
      </w:r>
      <w:r w:rsidRPr="00E30CE1">
        <w:rPr>
          <w:bCs/>
        </w:rPr>
        <w:t xml:space="preserve"> </w:t>
      </w:r>
      <w:r w:rsidRPr="007E6243">
        <w:rPr>
          <w:bCs/>
        </w:rPr>
        <w:t>General has ready access to information that would confirm or</w:t>
      </w:r>
      <w:r w:rsidRPr="00E30CE1">
        <w:rPr>
          <w:bCs/>
        </w:rPr>
        <w:t xml:space="preserve"> </w:t>
      </w:r>
      <w:r w:rsidRPr="007E6243">
        <w:rPr>
          <w:bCs/>
        </w:rPr>
        <w:t>dispel the accuracy of petitioner’s factual claims, the Attorney</w:t>
      </w:r>
      <w:r w:rsidRPr="00E30CE1">
        <w:rPr>
          <w:bCs/>
        </w:rPr>
        <w:t xml:space="preserve"> </w:t>
      </w:r>
      <w:r w:rsidRPr="007E6243">
        <w:rPr>
          <w:bCs/>
        </w:rPr>
        <w:t>General should not contest the sufficiency of evidence provided by</w:t>
      </w:r>
      <w:r w:rsidRPr="00E30CE1">
        <w:rPr>
          <w:bCs/>
        </w:rPr>
        <w:t xml:space="preserve"> </w:t>
      </w:r>
      <w:r w:rsidRPr="007E6243">
        <w:rPr>
          <w:bCs/>
        </w:rPr>
        <w:t>petitioner without providing factual clarification</w:t>
      </w:r>
      <w:r w:rsidR="00165E4F">
        <w:rPr>
          <w:bCs/>
        </w:rPr>
        <w:t> </w:t>
      </w:r>
      <w:r w:rsidRPr="007E6243">
        <w:rPr>
          <w:bCs/>
        </w:rPr>
        <w:t>—</w:t>
      </w:r>
      <w:r w:rsidR="00B644E9">
        <w:rPr>
          <w:bCs/>
        </w:rPr>
        <w:t xml:space="preserve"> </w:t>
      </w:r>
      <w:r w:rsidRPr="007E6243">
        <w:rPr>
          <w:bCs/>
        </w:rPr>
        <w:t>or identifying</w:t>
      </w:r>
      <w:r w:rsidRPr="00E30CE1">
        <w:rPr>
          <w:bCs/>
        </w:rPr>
        <w:t xml:space="preserve"> a statutory inability to do so.” </w:t>
      </w:r>
      <w:r w:rsidR="00354E6F">
        <w:rPr>
          <w:bCs/>
        </w:rPr>
        <w:t xml:space="preserve"> </w:t>
      </w:r>
      <w:r w:rsidRPr="00E30CE1">
        <w:rPr>
          <w:bCs/>
        </w:rPr>
        <w:t xml:space="preserve"> </w:t>
      </w:r>
    </w:p>
  </w:footnote>
  <w:footnote w:id="31">
    <w:p w:rsidR="00FC6B4D" w:rsidP="000641B0" w14:paraId="0E0D5D79" w14:textId="664A043A">
      <w:pPr>
        <w:spacing w:line="300" w:lineRule="exact"/>
      </w:pPr>
      <w:r>
        <w:rPr>
          <w:rStyle w:val="FootnoteReference"/>
        </w:rPr>
        <w:footnoteRef/>
      </w:r>
      <w:r>
        <w:t xml:space="preserve"> </w:t>
      </w:r>
      <w:r>
        <w:tab/>
      </w:r>
      <w:r w:rsidR="00A73DD3">
        <w:t>In this hypothetical scenario, t</w:t>
      </w:r>
      <w:r>
        <w:t xml:space="preserve">he Attorney General </w:t>
      </w:r>
      <w:r w:rsidR="002D7A8E">
        <w:t xml:space="preserve">would have </w:t>
      </w:r>
      <w:r>
        <w:t xml:space="preserve">knowledge of such evidence </w:t>
      </w:r>
      <w:r w:rsidR="002D7A8E">
        <w:t xml:space="preserve"> </w:t>
      </w:r>
      <w:r>
        <w:t xml:space="preserve">given his role in </w:t>
      </w:r>
      <w:r w:rsidRPr="006D6DF3">
        <w:t>administer</w:t>
      </w:r>
      <w:r>
        <w:t>ing</w:t>
      </w:r>
      <w:r w:rsidRPr="006D6DF3">
        <w:t xml:space="preserve"> the state</w:t>
      </w:r>
      <w:r>
        <w:t>’s</w:t>
      </w:r>
      <w:r w:rsidRPr="006D6DF3">
        <w:t xml:space="preserve"> </w:t>
      </w:r>
      <w:r>
        <w:t xml:space="preserve">depository of </w:t>
      </w:r>
      <w:r w:rsidRPr="006D6DF3">
        <w:t xml:space="preserve">criminal history </w:t>
      </w:r>
      <w:r>
        <w:t xml:space="preserve">records.  </w:t>
      </w:r>
      <w:r w:rsidRPr="006D6DF3">
        <w:t>(</w:t>
      </w:r>
      <w:r w:rsidR="00F000C6">
        <w:t>Cf.</w:t>
      </w:r>
      <w:r w:rsidRPr="006D6DF3">
        <w:t xml:space="preserve"> </w:t>
      </w:r>
      <w:bookmarkStart w:id="54" w:name="_Hlk115254525"/>
      <w:r w:rsidRPr="006D6DF3">
        <w:t>§</w:t>
      </w:r>
      <w:r w:rsidR="004B7161">
        <w:t> </w:t>
      </w:r>
      <w:r w:rsidRPr="006D6DF3">
        <w:t>1110</w:t>
      </w:r>
      <w:r>
        <w:t>5, subd</w:t>
      </w:r>
      <w:r w:rsidR="009258BA">
        <w:t>. </w:t>
      </w:r>
      <w:r>
        <w:t>(a)(2)</w:t>
      </w:r>
      <w:r w:rsidRPr="006D6DF3">
        <w:t>(A)</w:t>
      </w:r>
      <w:r>
        <w:t xml:space="preserve"> </w:t>
      </w:r>
      <w:bookmarkEnd w:id="54"/>
      <w:r w:rsidR="004B7161">
        <w:t>[“ </w:t>
      </w:r>
      <w:r>
        <w:t>‘</w:t>
      </w:r>
      <w:r w:rsidRPr="006D6DF3">
        <w:t>State summary criminal history information</w:t>
      </w:r>
      <w:r>
        <w:t>’</w:t>
      </w:r>
      <w:r w:rsidRPr="006D6DF3">
        <w:t xml:space="preserve"> means the master record of information compiled by the Attorney General pertaining to the identification and criminal history of a person</w:t>
      </w:r>
      <w:r>
        <w:t xml:space="preserve">”].)  </w:t>
      </w:r>
    </w:p>
  </w:footnote>
  <w:footnote w:id="32">
    <w:p w:rsidR="00B7310C" w:rsidP="000641B0" w14:paraId="1B910BB8" w14:textId="5D37EF70">
      <w:pPr>
        <w:pStyle w:val="FootnoteText"/>
      </w:pPr>
      <w:r>
        <w:rPr>
          <w:rStyle w:val="FootnoteReference"/>
        </w:rPr>
        <w:footnoteRef/>
      </w:r>
      <w:r>
        <w:t xml:space="preserve"> </w:t>
      </w:r>
      <w:r>
        <w:tab/>
      </w:r>
      <w:r w:rsidRPr="00B7310C">
        <w:t xml:space="preserve">At the return stage, the </w:t>
      </w:r>
      <w:r>
        <w:t>respondent</w:t>
      </w:r>
      <w:r w:rsidRPr="00B7310C">
        <w:t xml:space="preserve"> remains free to present whatever </w:t>
      </w:r>
      <w:r w:rsidRPr="004B7161">
        <w:t>legal</w:t>
      </w:r>
      <w:r w:rsidRPr="00B7310C">
        <w:t xml:space="preserve"> arguments he </w:t>
      </w:r>
      <w:r w:rsidR="00EE0B84">
        <w:t xml:space="preserve">or she </w:t>
      </w:r>
      <w:r w:rsidRPr="00B7310C">
        <w:t>deems appropriate in responding to the petitioner’s claim.</w:t>
      </w:r>
      <w:r>
        <w:t xml:space="preserve">  Thus, with respect to a </w:t>
      </w:r>
      <w:r w:rsidRPr="00B7310C">
        <w:rPr>
          <w:i/>
          <w:iCs/>
        </w:rPr>
        <w:t>Brady</w:t>
      </w:r>
      <w:r>
        <w:t xml:space="preserve"> claim, the respondent might argue that the evidence </w:t>
      </w:r>
      <w:r w:rsidR="007334FA">
        <w:t>i</w:t>
      </w:r>
      <w:r>
        <w:t xml:space="preserve">s not material. </w:t>
      </w:r>
      <w:r w:rsidR="004B7161">
        <w:t xml:space="preserve"> </w:t>
      </w:r>
    </w:p>
  </w:footnote>
  <w:footnote w:id="33">
    <w:p w:rsidR="00DE10C0" w:rsidP="000641B0" w14:paraId="33288207" w14:textId="3B295D01">
      <w:pPr>
        <w:pStyle w:val="FootnoteText"/>
      </w:pPr>
      <w:r>
        <w:rPr>
          <w:rStyle w:val="FootnoteReference"/>
        </w:rPr>
        <w:footnoteRef/>
      </w:r>
      <w:r>
        <w:t xml:space="preserve"> </w:t>
      </w:r>
      <w:r>
        <w:tab/>
      </w:r>
      <w:r w:rsidRPr="00F22C16" w:rsidR="00F22C16">
        <w:t xml:space="preserve">As previously noted, we discuss in part </w:t>
      </w:r>
      <w:r>
        <w:t>II.D</w:t>
      </w:r>
      <w:r w:rsidR="00ED224A">
        <w:t>.</w:t>
      </w:r>
      <w:r>
        <w:t xml:space="preserve">, </w:t>
      </w:r>
      <w:r w:rsidRPr="00D10B6B" w:rsidR="001555DB">
        <w:rPr>
          <w:i/>
          <w:iCs/>
        </w:rPr>
        <w:t>post</w:t>
      </w:r>
      <w:r w:rsidR="001555DB">
        <w:t xml:space="preserve">, </w:t>
      </w:r>
      <w:r w:rsidR="003118E0">
        <w:t xml:space="preserve">how the respondent may </w:t>
      </w:r>
      <w:r w:rsidR="001555DB">
        <w:t>ca</w:t>
      </w:r>
      <w:r w:rsidR="002D5F3C">
        <w:t xml:space="preserve">rry its </w:t>
      </w:r>
      <w:r w:rsidRPr="00807C9E" w:rsidR="002D5F3C">
        <w:rPr>
          <w:i/>
          <w:iCs/>
        </w:rPr>
        <w:t>Duvall</w:t>
      </w:r>
      <w:r w:rsidR="002D5F3C">
        <w:t xml:space="preserve"> pleading duty when</w:t>
      </w:r>
      <w:r w:rsidR="00807C9E">
        <w:t xml:space="preserve"> </w:t>
      </w:r>
      <w:r w:rsidR="002D5F3C">
        <w:t xml:space="preserve">a statute, such </w:t>
      </w:r>
      <w:r w:rsidRPr="00D67130" w:rsidR="00D67130">
        <w:t xml:space="preserve">as </w:t>
      </w:r>
      <w:r w:rsidR="00D67130">
        <w:t xml:space="preserve">Welfare and Institutions Code section </w:t>
      </w:r>
      <w:r w:rsidRPr="00D67130" w:rsidR="00D67130">
        <w:t>827</w:t>
      </w:r>
      <w:r w:rsidR="00682B61">
        <w:t>,</w:t>
      </w:r>
      <w:r w:rsidR="00D67130">
        <w:t xml:space="preserve"> restricts the </w:t>
      </w:r>
      <w:r w:rsidRPr="00D67130" w:rsidR="00D67130">
        <w:t>disclos</w:t>
      </w:r>
      <w:r w:rsidR="00D67130">
        <w:t>ure of</w:t>
      </w:r>
      <w:r w:rsidR="00807C9E">
        <w:t xml:space="preserve"> the evidence </w:t>
      </w:r>
      <w:r w:rsidR="00D10B6B">
        <w:t xml:space="preserve">underlying the respondent’s pleading burden. </w:t>
      </w:r>
      <w:r w:rsidR="00D67130">
        <w:t xml:space="preserve"> </w:t>
      </w:r>
    </w:p>
  </w:footnote>
  <w:footnote w:id="34">
    <w:p w:rsidR="001451C6" w:rsidP="000641B0" w14:paraId="4E33E959" w14:textId="6D952770">
      <w:pPr>
        <w:pStyle w:val="FootnoteText"/>
      </w:pPr>
      <w:r>
        <w:rPr>
          <w:rStyle w:val="FootnoteReference"/>
        </w:rPr>
        <w:footnoteRef/>
      </w:r>
      <w:r>
        <w:t xml:space="preserve"> </w:t>
      </w:r>
      <w:r>
        <w:tab/>
      </w:r>
      <w:r w:rsidR="006B30D8">
        <w:t>Neither</w:t>
      </w:r>
      <w:r w:rsidR="0089346C">
        <w:t xml:space="preserve"> party</w:t>
      </w:r>
      <w:r w:rsidR="006B30D8">
        <w:t xml:space="preserve"> referred to these disclosure restrictions</w:t>
      </w:r>
      <w:r w:rsidR="0089346C">
        <w:t xml:space="preserve"> in the proceedings in the Court of Appeal</w:t>
      </w:r>
      <w:r w:rsidR="00254FB1">
        <w:t xml:space="preserve"> </w:t>
      </w:r>
      <w:r w:rsidR="00BE6DAA">
        <w:t xml:space="preserve">or at the petition stage in this </w:t>
      </w:r>
      <w:r w:rsidR="00284A7E">
        <w:t>c</w:t>
      </w:r>
      <w:r w:rsidR="00BE6DAA">
        <w:t xml:space="preserve">ourt. </w:t>
      </w:r>
      <w:r w:rsidR="00B93A23">
        <w:t xml:space="preserve"> </w:t>
      </w:r>
      <w:r w:rsidRPr="00B93A23" w:rsidR="00B93A23">
        <w:t xml:space="preserve">In her reply brief, Jenkins does not dispute that Welfare and Institutions Code section 827 restricts the disclosure of the </w:t>
      </w:r>
      <w:r w:rsidR="00F93F87">
        <w:t xml:space="preserve">alleged </w:t>
      </w:r>
      <w:r w:rsidRPr="00B93A23" w:rsidR="00B93A23">
        <w:t xml:space="preserve">adjudications. </w:t>
      </w:r>
      <w:r w:rsidR="00354E6F">
        <w:t xml:space="preserve"> </w:t>
      </w:r>
    </w:p>
  </w:footnote>
  <w:footnote w:id="35">
    <w:p w:rsidR="00D67F92" w:rsidP="000641B0" w14:paraId="0A16E97E" w14:textId="7859CEC3">
      <w:pPr>
        <w:pStyle w:val="FootnoteText"/>
      </w:pPr>
      <w:r>
        <w:rPr>
          <w:rStyle w:val="FootnoteReference"/>
        </w:rPr>
        <w:footnoteRef/>
      </w:r>
      <w:r>
        <w:t xml:space="preserve"> </w:t>
      </w:r>
      <w:r>
        <w:tab/>
        <w:t xml:space="preserve">Apart from </w:t>
      </w:r>
      <w:r w:rsidRPr="00B93A23">
        <w:t>Welfare and Institutions Code section 827</w:t>
      </w:r>
      <w:r>
        <w:t xml:space="preserve">, we express no opinion as to whether and how other disclosure restrictions might apply with respect to </w:t>
      </w:r>
      <w:r w:rsidR="007334FA">
        <w:t xml:space="preserve">the evidence underlying a </w:t>
      </w:r>
      <w:r w:rsidRPr="007334FA" w:rsidR="007334FA">
        <w:rPr>
          <w:i/>
          <w:iCs/>
        </w:rPr>
        <w:t>Brady</w:t>
      </w:r>
      <w:r w:rsidR="007334FA">
        <w:t xml:space="preserve"> claim in a petition</w:t>
      </w:r>
      <w:r w:rsidR="00CF0A28">
        <w:t xml:space="preserve"> for writ of habeas corpus</w:t>
      </w:r>
      <w:r>
        <w:t xml:space="preserve"> and how such restrictions might affect the duties we have outlined in part</w:t>
      </w:r>
      <w:r w:rsidR="00AB256E">
        <w:t>s</w:t>
      </w:r>
      <w:r>
        <w:t xml:space="preserve"> II.A</w:t>
      </w:r>
      <w:r w:rsidR="00ED224A">
        <w:t>.</w:t>
      </w:r>
      <w:r>
        <w:t>, II.B</w:t>
      </w:r>
      <w:r w:rsidR="00ED224A">
        <w:t>.</w:t>
      </w:r>
      <w:r>
        <w:t>, and II.C</w:t>
      </w:r>
      <w:r w:rsidR="00ED224A">
        <w:t>.</w:t>
      </w:r>
      <w:r w:rsidR="006E4D22">
        <w:t>,</w:t>
      </w:r>
      <w:r>
        <w:t xml:space="preserve"> </w:t>
      </w:r>
      <w:r w:rsidRPr="00577FA6">
        <w:rPr>
          <w:i/>
          <w:iCs/>
        </w:rPr>
        <w:t>ante</w:t>
      </w:r>
      <w:r>
        <w:t>.</w:t>
      </w:r>
    </w:p>
  </w:footnote>
  <w:footnote w:id="36">
    <w:p w:rsidR="00B25B3B" w:rsidP="000641B0" w14:paraId="736FFABE" w14:textId="0DC35702">
      <w:pPr>
        <w:pStyle w:val="FootnoteText"/>
      </w:pPr>
      <w:r>
        <w:rPr>
          <w:rStyle w:val="FootnoteReference"/>
        </w:rPr>
        <w:footnoteRef/>
      </w:r>
      <w:r>
        <w:t xml:space="preserve"> </w:t>
      </w:r>
      <w:r>
        <w:tab/>
      </w:r>
      <w:r w:rsidR="00A441C3">
        <w:rPr>
          <w:bCs/>
        </w:rPr>
        <w:t xml:space="preserve">The </w:t>
      </w:r>
      <w:r w:rsidRPr="00B25B3B">
        <w:t>Attorney General s</w:t>
      </w:r>
      <w:r w:rsidR="00EB3281">
        <w:t>tate</w:t>
      </w:r>
      <w:r w:rsidR="00A441C3">
        <w:t>s</w:t>
      </w:r>
      <w:r w:rsidR="00EB3281">
        <w:t xml:space="preserve"> in his brief</w:t>
      </w:r>
      <w:r w:rsidRPr="00B25B3B">
        <w:t xml:space="preserve"> that in cases in which the material underlying a </w:t>
      </w:r>
      <w:r w:rsidRPr="00B25B3B">
        <w:rPr>
          <w:i/>
          <w:iCs/>
        </w:rPr>
        <w:t>Brady</w:t>
      </w:r>
      <w:r w:rsidRPr="00B25B3B">
        <w:t xml:space="preserve"> petition</w:t>
      </w:r>
      <w:r w:rsidR="00CF0A28">
        <w:t xml:space="preserve"> for writ of habeas corpus</w:t>
      </w:r>
      <w:r w:rsidRPr="00B25B3B">
        <w:t xml:space="preserve"> is in fact </w:t>
      </w:r>
      <w:r w:rsidRPr="00B25B3B">
        <w:rPr>
          <w:i/>
          <w:iCs/>
        </w:rPr>
        <w:t>Brady</w:t>
      </w:r>
      <w:r w:rsidRPr="00B25B3B">
        <w:t xml:space="preserve"> material, as a “policy decision</w:t>
      </w:r>
      <w:r w:rsidR="000D2CCE">
        <w:t>,</w:t>
      </w:r>
      <w:r w:rsidRPr="00B25B3B">
        <w:t>” he will either</w:t>
      </w:r>
      <w:r w:rsidR="00A441C3">
        <w:t>:</w:t>
      </w:r>
      <w:r w:rsidRPr="00B25B3B">
        <w:t xml:space="preserve"> </w:t>
      </w:r>
      <w:r w:rsidR="000D2CCE">
        <w:t xml:space="preserve"> </w:t>
      </w:r>
      <w:r w:rsidRPr="00B25B3B">
        <w:t>(1)</w:t>
      </w:r>
      <w:r w:rsidR="000D2CCE">
        <w:t> </w:t>
      </w:r>
      <w:r w:rsidRPr="00B25B3B">
        <w:t xml:space="preserve">provide the material directly to </w:t>
      </w:r>
      <w:r w:rsidR="00BC51E5">
        <w:t xml:space="preserve">the </w:t>
      </w:r>
      <w:r w:rsidRPr="00B25B3B">
        <w:t>petitioner</w:t>
      </w:r>
      <w:r w:rsidR="00A441C3">
        <w:t xml:space="preserve">, </w:t>
      </w:r>
      <w:r w:rsidRPr="00B25B3B">
        <w:t>or (2)</w:t>
      </w:r>
      <w:r w:rsidR="000D2CCE">
        <w:t> </w:t>
      </w:r>
      <w:r w:rsidRPr="00B25B3B">
        <w:t>if the evidence is subject to disclosure restrictions, provide the petitioner with notice sufficient to permit the petitioner to seek court</w:t>
      </w:r>
      <w:r w:rsidR="000D2CCE">
        <w:t>-</w:t>
      </w:r>
      <w:r w:rsidRPr="00B25B3B">
        <w:t xml:space="preserve">ordered disclosure.  We </w:t>
      </w:r>
      <w:r w:rsidR="007519DC">
        <w:t xml:space="preserve">emphasize </w:t>
      </w:r>
      <w:r w:rsidRPr="00B25B3B">
        <w:t xml:space="preserve">that </w:t>
      </w:r>
      <w:r w:rsidR="007541F9">
        <w:t xml:space="preserve">the Attorney General has </w:t>
      </w:r>
      <w:r w:rsidRPr="00B25B3B">
        <w:t xml:space="preserve">a legal duty mandated by </w:t>
      </w:r>
      <w:r w:rsidRPr="00B25B3B">
        <w:rPr>
          <w:i/>
          <w:iCs/>
        </w:rPr>
        <w:t>Brady</w:t>
      </w:r>
      <w:r w:rsidRPr="00B25B3B">
        <w:t xml:space="preserve"> and its progeny</w:t>
      </w:r>
      <w:r w:rsidR="006B28E9">
        <w:t xml:space="preserve"> to disclose such evidence</w:t>
      </w:r>
      <w:r w:rsidRPr="00B25B3B">
        <w:t xml:space="preserve">.  In addition, because evidence that </w:t>
      </w:r>
      <w:r w:rsidR="008A71F8">
        <w:t xml:space="preserve">is </w:t>
      </w:r>
      <w:r w:rsidRPr="00B25B3B">
        <w:t xml:space="preserve">in fact </w:t>
      </w:r>
      <w:r w:rsidRPr="00B25B3B">
        <w:rPr>
          <w:i/>
          <w:iCs/>
        </w:rPr>
        <w:t>Brady</w:t>
      </w:r>
      <w:r w:rsidRPr="00B25B3B">
        <w:t xml:space="preserve"> material will also</w:t>
      </w:r>
      <w:r w:rsidR="00306778">
        <w:t>,</w:t>
      </w:r>
      <w:r w:rsidRPr="00B25B3B">
        <w:t xml:space="preserve"> by definition</w:t>
      </w:r>
      <w:r w:rsidR="00306778">
        <w:t>,</w:t>
      </w:r>
      <w:r w:rsidRPr="00B25B3B">
        <w:t xml:space="preserve"> b</w:t>
      </w:r>
      <w:r w:rsidR="00306778">
        <w:t>e</w:t>
      </w:r>
      <w:r w:rsidRPr="00B25B3B">
        <w:t xml:space="preserve"> subject to Rule</w:t>
      </w:r>
      <w:r w:rsidR="00184CD4">
        <w:t> </w:t>
      </w:r>
      <w:r w:rsidRPr="00B25B3B">
        <w:t xml:space="preserve">3.8(d), the Attorney General also has an ethical duty to disclose such evidence.  </w:t>
      </w:r>
      <w:r w:rsidR="00292B8E">
        <w:t>In addition</w:t>
      </w:r>
      <w:r w:rsidRPr="00B25B3B">
        <w:t xml:space="preserve">, as </w:t>
      </w:r>
      <w:r w:rsidR="00071BBF">
        <w:t>noted</w:t>
      </w:r>
      <w:r w:rsidRPr="00B25B3B">
        <w:t xml:space="preserve"> in the text, </w:t>
      </w:r>
      <w:r w:rsidR="00306778">
        <w:t>in a case in which</w:t>
      </w:r>
      <w:r w:rsidRPr="00B25B3B">
        <w:t xml:space="preserve"> the evidence is subject to disclosure restrictions </w:t>
      </w:r>
      <w:r w:rsidR="00071BBF">
        <w:t>contained in</w:t>
      </w:r>
      <w:r w:rsidRPr="00B25B3B">
        <w:t xml:space="preserve"> Welfare and Institutions Code section 827, the Attorney General may satisfy those duties by proceeding as outlined in part II.D</w:t>
      </w:r>
      <w:r w:rsidR="00101893">
        <w:t>.</w:t>
      </w:r>
      <w:r w:rsidRPr="00B25B3B">
        <w:t xml:space="preserve">, </w:t>
      </w:r>
      <w:r w:rsidRPr="00B25B3B">
        <w:rPr>
          <w:i/>
          <w:iCs/>
        </w:rPr>
        <w:t>ante</w:t>
      </w:r>
      <w:r w:rsidRPr="00B25B3B">
        <w:t>.</w:t>
      </w:r>
    </w:p>
  </w:footnote>
  <w:footnote w:id="37">
    <w:p w:rsidR="006755D2" w:rsidRPr="006269CB" w:rsidP="006755D2" w14:paraId="0300395B" w14:textId="6C4E54B7">
      <w:pPr>
        <w:spacing w:line="240" w:lineRule="auto"/>
        <w:rPr>
          <w:bCs/>
        </w:rPr>
      </w:pPr>
      <w:r>
        <w:rPr>
          <w:rStyle w:val="FootnoteReference"/>
        </w:rPr>
        <w:footnoteRef/>
      </w:r>
      <w:r>
        <w:t xml:space="preserve"> </w:t>
      </w:r>
      <w:r>
        <w:tab/>
        <w:t xml:space="preserve">In his </w:t>
      </w:r>
      <w:r w:rsidR="009953BD">
        <w:t xml:space="preserve">merits </w:t>
      </w:r>
      <w:r>
        <w:t>brief in this court, the Attorney General acknowledged that his return in the Court of Appeal was “</w:t>
      </w:r>
      <w:r w:rsidRPr="00B6067E">
        <w:t>deficient</w:t>
      </w:r>
      <w:r w:rsidR="00F30348">
        <w:t> . . . </w:t>
      </w:r>
      <w:r w:rsidRPr="00B6067E">
        <w:t>because it</w:t>
      </w:r>
      <w:r w:rsidR="00F30348">
        <w:t> . . . </w:t>
      </w:r>
      <w:r w:rsidRPr="00B6067E">
        <w:t>argued (in part) that petitioner had not</w:t>
      </w:r>
      <w:r>
        <w:t xml:space="preserve"> </w:t>
      </w:r>
      <w:r w:rsidRPr="00B6067E">
        <w:t>provided sufficient proof of the alleged juvenile adjudications</w:t>
      </w:r>
      <w:r w:rsidR="00E76D3B">
        <w:t>,</w:t>
      </w:r>
      <w:r w:rsidRPr="00B6067E">
        <w:t xml:space="preserve"> yet</w:t>
      </w:r>
      <w:r>
        <w:t xml:space="preserve"> </w:t>
      </w:r>
      <w:r w:rsidRPr="00B6067E">
        <w:t>did not provide clarifying materials or plead an inability to do so.</w:t>
      </w:r>
      <w:r>
        <w:t xml:space="preserve">”  In addition, </w:t>
      </w:r>
      <w:r w:rsidR="009953BD">
        <w:t xml:space="preserve">in that brief, </w:t>
      </w:r>
      <w:r>
        <w:t xml:space="preserve">the Attorney General </w:t>
      </w:r>
      <w:r w:rsidR="00EE202A">
        <w:t xml:space="preserve">stated </w:t>
      </w:r>
      <w:r>
        <w:t xml:space="preserve">that his informal response in the Court of Appeal “did not represent best practices” for similar reasons. </w:t>
      </w:r>
      <w:r>
        <w:rPr>
          <w:bCs/>
        </w:rPr>
        <w:t xml:space="preserve"> </w:t>
      </w:r>
      <w:r w:rsidR="002E7F07">
        <w:rPr>
          <w:bCs/>
        </w:rPr>
        <w:t>At oral argument</w:t>
      </w:r>
      <w:r w:rsidR="009953BD">
        <w:rPr>
          <w:bCs/>
        </w:rPr>
        <w:t xml:space="preserve"> in </w:t>
      </w:r>
      <w:r w:rsidR="009258BA">
        <w:rPr>
          <w:bCs/>
        </w:rPr>
        <w:t xml:space="preserve">this </w:t>
      </w:r>
      <w:r w:rsidR="009953BD">
        <w:rPr>
          <w:bCs/>
        </w:rPr>
        <w:t>court</w:t>
      </w:r>
      <w:r w:rsidR="002E7F07">
        <w:rPr>
          <w:bCs/>
        </w:rPr>
        <w:t xml:space="preserve">, the Attorney General </w:t>
      </w:r>
      <w:r w:rsidR="00BA3CFA">
        <w:rPr>
          <w:bCs/>
        </w:rPr>
        <w:t>stated</w:t>
      </w:r>
      <w:r w:rsidR="00EE202A">
        <w:rPr>
          <w:bCs/>
        </w:rPr>
        <w:t>,</w:t>
      </w:r>
      <w:r w:rsidR="009953BD">
        <w:rPr>
          <w:bCs/>
        </w:rPr>
        <w:t xml:space="preserve"> </w:t>
      </w:r>
      <w:r w:rsidR="001E7E8C">
        <w:rPr>
          <w:bCs/>
        </w:rPr>
        <w:t xml:space="preserve">“We did not fulfill our duty to assist the habeas </w:t>
      </w:r>
      <w:r w:rsidR="00C06692">
        <w:rPr>
          <w:bCs/>
        </w:rPr>
        <w:t>tribunal to understand what facts were actually at issue</w:t>
      </w:r>
      <w:r w:rsidR="006269CB">
        <w:rPr>
          <w:bCs/>
        </w:rPr>
        <w:t xml:space="preserve"> in this case.</w:t>
      </w:r>
      <w:r w:rsidR="00E34DF8">
        <w:rPr>
          <w:bCs/>
        </w:rPr>
        <w:t>”</w:t>
      </w:r>
      <w:r w:rsidR="006269CB">
        <w:rPr>
          <w:bCs/>
        </w:rPr>
        <w:t xml:space="preserve">  </w:t>
      </w:r>
      <w:r>
        <w:t>W</w:t>
      </w:r>
      <w:r w:rsidR="000A183E">
        <w:t xml:space="preserve">hile </w:t>
      </w:r>
      <w:r w:rsidR="009258BA">
        <w:t xml:space="preserve">we appreciate </w:t>
      </w:r>
      <w:r w:rsidR="000A183E">
        <w:t>the Attorney General’s eventual concessions, w</w:t>
      </w:r>
      <w:r>
        <w:t xml:space="preserve">e emphasize </w:t>
      </w:r>
      <w:r w:rsidRPr="00B239EB">
        <w:t xml:space="preserve">that we do not condone </w:t>
      </w:r>
      <w:r>
        <w:t>such errors</w:t>
      </w:r>
      <w:r w:rsidRPr="00B239EB">
        <w:t xml:space="preserve"> and that a prudent prosecutor should take care to not make these</w:t>
      </w:r>
      <w:r>
        <w:t xml:space="preserve"> mistakes in the future.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1B0" w14:paraId="1065A484" w14:textId="4FE475D1">
    <w:pPr>
      <w:pStyle w:val="Header"/>
    </w:pPr>
    <w:r>
      <w:t xml:space="preserve"> </w:t>
    </w:r>
    <w:r w:rsidR="00EF6C20">
      <w:t>In re JENKINS</w:t>
    </w:r>
    <w:r>
      <w:t xml:space="preserve"> </w:t>
    </w:r>
  </w:p>
  <w:p w:rsidR="000641B0" w14:paraId="0DF3E1CD" w14:textId="46D80021">
    <w:pPr>
      <w:pStyle w:val="Header"/>
    </w:pPr>
    <w:r>
      <w:t>Opinion of the Court by Guerrero, C.</w:t>
    </w:r>
    <w:r w:rsidR="00552BA1">
      <w:t xml:space="preserve"> </w:t>
    </w:r>
    <w:r>
      <w:t>J.</w:t>
    </w:r>
  </w:p>
  <w:p w:rsidR="000641B0" w14:paraId="5B2397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C05" w14:paraId="2534E9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C05" w14:paraId="1E6225B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C05" w14:paraId="5D714BA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C5"/>
    <w:rsid w:val="00000456"/>
    <w:rsid w:val="0000079E"/>
    <w:rsid w:val="00000C43"/>
    <w:rsid w:val="00001FF5"/>
    <w:rsid w:val="00002C78"/>
    <w:rsid w:val="0000331D"/>
    <w:rsid w:val="00004606"/>
    <w:rsid w:val="00004E60"/>
    <w:rsid w:val="00005264"/>
    <w:rsid w:val="00005B74"/>
    <w:rsid w:val="0000711C"/>
    <w:rsid w:val="000072B0"/>
    <w:rsid w:val="00007304"/>
    <w:rsid w:val="0000745B"/>
    <w:rsid w:val="00007D11"/>
    <w:rsid w:val="00010103"/>
    <w:rsid w:val="0001046D"/>
    <w:rsid w:val="00010477"/>
    <w:rsid w:val="000106C4"/>
    <w:rsid w:val="00010C52"/>
    <w:rsid w:val="00011F31"/>
    <w:rsid w:val="00012F49"/>
    <w:rsid w:val="000131E4"/>
    <w:rsid w:val="00013EEB"/>
    <w:rsid w:val="00014BDC"/>
    <w:rsid w:val="00014D77"/>
    <w:rsid w:val="0001509F"/>
    <w:rsid w:val="00015A2E"/>
    <w:rsid w:val="00016116"/>
    <w:rsid w:val="000168DE"/>
    <w:rsid w:val="00016D9E"/>
    <w:rsid w:val="000175B0"/>
    <w:rsid w:val="00017B92"/>
    <w:rsid w:val="00020314"/>
    <w:rsid w:val="000205D0"/>
    <w:rsid w:val="00021539"/>
    <w:rsid w:val="00021D16"/>
    <w:rsid w:val="000221DC"/>
    <w:rsid w:val="00022504"/>
    <w:rsid w:val="00022DAB"/>
    <w:rsid w:val="00023A02"/>
    <w:rsid w:val="00023E8C"/>
    <w:rsid w:val="00024A40"/>
    <w:rsid w:val="00024AD2"/>
    <w:rsid w:val="000254B7"/>
    <w:rsid w:val="0002683F"/>
    <w:rsid w:val="00026994"/>
    <w:rsid w:val="00030941"/>
    <w:rsid w:val="000309BD"/>
    <w:rsid w:val="00030AA9"/>
    <w:rsid w:val="00030B32"/>
    <w:rsid w:val="00030F3C"/>
    <w:rsid w:val="0003103B"/>
    <w:rsid w:val="00031B72"/>
    <w:rsid w:val="00032FE9"/>
    <w:rsid w:val="00033B0C"/>
    <w:rsid w:val="00034E09"/>
    <w:rsid w:val="000351EE"/>
    <w:rsid w:val="00035AD8"/>
    <w:rsid w:val="00035B35"/>
    <w:rsid w:val="00035F44"/>
    <w:rsid w:val="00035F9E"/>
    <w:rsid w:val="0003622E"/>
    <w:rsid w:val="00040209"/>
    <w:rsid w:val="00040764"/>
    <w:rsid w:val="00040937"/>
    <w:rsid w:val="00040D7A"/>
    <w:rsid w:val="00041441"/>
    <w:rsid w:val="00041856"/>
    <w:rsid w:val="00042111"/>
    <w:rsid w:val="00042DFE"/>
    <w:rsid w:val="00043049"/>
    <w:rsid w:val="00043077"/>
    <w:rsid w:val="0004395B"/>
    <w:rsid w:val="00043F57"/>
    <w:rsid w:val="00044B8F"/>
    <w:rsid w:val="00044D69"/>
    <w:rsid w:val="000450BD"/>
    <w:rsid w:val="000451A5"/>
    <w:rsid w:val="00045295"/>
    <w:rsid w:val="0004648F"/>
    <w:rsid w:val="00046536"/>
    <w:rsid w:val="0004676A"/>
    <w:rsid w:val="00046B37"/>
    <w:rsid w:val="00046F03"/>
    <w:rsid w:val="00047330"/>
    <w:rsid w:val="000473BC"/>
    <w:rsid w:val="000473D5"/>
    <w:rsid w:val="00047B5D"/>
    <w:rsid w:val="00047F6D"/>
    <w:rsid w:val="00050025"/>
    <w:rsid w:val="00050A83"/>
    <w:rsid w:val="00050E6E"/>
    <w:rsid w:val="00051891"/>
    <w:rsid w:val="00051E82"/>
    <w:rsid w:val="000523EC"/>
    <w:rsid w:val="00052BA5"/>
    <w:rsid w:val="00052CFE"/>
    <w:rsid w:val="00052E54"/>
    <w:rsid w:val="00053071"/>
    <w:rsid w:val="000536BC"/>
    <w:rsid w:val="000537CC"/>
    <w:rsid w:val="000538CB"/>
    <w:rsid w:val="00053904"/>
    <w:rsid w:val="0005568B"/>
    <w:rsid w:val="00055B77"/>
    <w:rsid w:val="0005657F"/>
    <w:rsid w:val="00056958"/>
    <w:rsid w:val="00056B88"/>
    <w:rsid w:val="00056D2E"/>
    <w:rsid w:val="00056E45"/>
    <w:rsid w:val="00057055"/>
    <w:rsid w:val="000571EC"/>
    <w:rsid w:val="0005735A"/>
    <w:rsid w:val="00057742"/>
    <w:rsid w:val="000603EC"/>
    <w:rsid w:val="00060E4F"/>
    <w:rsid w:val="0006152E"/>
    <w:rsid w:val="00061661"/>
    <w:rsid w:val="00061F40"/>
    <w:rsid w:val="00062859"/>
    <w:rsid w:val="00062C63"/>
    <w:rsid w:val="00062D36"/>
    <w:rsid w:val="0006311B"/>
    <w:rsid w:val="00063236"/>
    <w:rsid w:val="000638B5"/>
    <w:rsid w:val="00063926"/>
    <w:rsid w:val="00063B69"/>
    <w:rsid w:val="00063CF1"/>
    <w:rsid w:val="000641B0"/>
    <w:rsid w:val="00064286"/>
    <w:rsid w:val="0006473D"/>
    <w:rsid w:val="00064B29"/>
    <w:rsid w:val="0006519B"/>
    <w:rsid w:val="00065B88"/>
    <w:rsid w:val="00065C21"/>
    <w:rsid w:val="00065D29"/>
    <w:rsid w:val="00066002"/>
    <w:rsid w:val="00066059"/>
    <w:rsid w:val="000670C0"/>
    <w:rsid w:val="0006790B"/>
    <w:rsid w:val="00067A11"/>
    <w:rsid w:val="00067BF9"/>
    <w:rsid w:val="00067CE5"/>
    <w:rsid w:val="00067D60"/>
    <w:rsid w:val="0007027D"/>
    <w:rsid w:val="00070972"/>
    <w:rsid w:val="00070D14"/>
    <w:rsid w:val="00071BBF"/>
    <w:rsid w:val="00073ED3"/>
    <w:rsid w:val="0007474E"/>
    <w:rsid w:val="00074A47"/>
    <w:rsid w:val="00075F90"/>
    <w:rsid w:val="00076860"/>
    <w:rsid w:val="00077697"/>
    <w:rsid w:val="00077954"/>
    <w:rsid w:val="00077A72"/>
    <w:rsid w:val="00077BAA"/>
    <w:rsid w:val="00077C71"/>
    <w:rsid w:val="00080495"/>
    <w:rsid w:val="0008216C"/>
    <w:rsid w:val="00082314"/>
    <w:rsid w:val="0008298B"/>
    <w:rsid w:val="00082F8F"/>
    <w:rsid w:val="00082F93"/>
    <w:rsid w:val="00083F80"/>
    <w:rsid w:val="00083FB0"/>
    <w:rsid w:val="000844C5"/>
    <w:rsid w:val="000847EB"/>
    <w:rsid w:val="00084A8F"/>
    <w:rsid w:val="00084DCC"/>
    <w:rsid w:val="00084EB1"/>
    <w:rsid w:val="0008504E"/>
    <w:rsid w:val="000851F1"/>
    <w:rsid w:val="00085332"/>
    <w:rsid w:val="000856B3"/>
    <w:rsid w:val="00085F91"/>
    <w:rsid w:val="000862FF"/>
    <w:rsid w:val="0008647B"/>
    <w:rsid w:val="000865E7"/>
    <w:rsid w:val="000870DD"/>
    <w:rsid w:val="000874B1"/>
    <w:rsid w:val="000879AA"/>
    <w:rsid w:val="00087C69"/>
    <w:rsid w:val="00087CDB"/>
    <w:rsid w:val="00090570"/>
    <w:rsid w:val="00090E3F"/>
    <w:rsid w:val="00090F4C"/>
    <w:rsid w:val="0009101E"/>
    <w:rsid w:val="000910D2"/>
    <w:rsid w:val="00091323"/>
    <w:rsid w:val="00091462"/>
    <w:rsid w:val="00091E42"/>
    <w:rsid w:val="00092602"/>
    <w:rsid w:val="000929F9"/>
    <w:rsid w:val="00092B19"/>
    <w:rsid w:val="00092C20"/>
    <w:rsid w:val="00093650"/>
    <w:rsid w:val="00093C7F"/>
    <w:rsid w:val="00093DDE"/>
    <w:rsid w:val="00093ED1"/>
    <w:rsid w:val="0009490C"/>
    <w:rsid w:val="00094C94"/>
    <w:rsid w:val="00094E03"/>
    <w:rsid w:val="000957BB"/>
    <w:rsid w:val="00095DC3"/>
    <w:rsid w:val="000965EA"/>
    <w:rsid w:val="00096A66"/>
    <w:rsid w:val="00096C63"/>
    <w:rsid w:val="0009709B"/>
    <w:rsid w:val="000976D4"/>
    <w:rsid w:val="000A0C31"/>
    <w:rsid w:val="000A0CF9"/>
    <w:rsid w:val="000A167D"/>
    <w:rsid w:val="000A183E"/>
    <w:rsid w:val="000A1883"/>
    <w:rsid w:val="000A1E70"/>
    <w:rsid w:val="000A248B"/>
    <w:rsid w:val="000A25D9"/>
    <w:rsid w:val="000A42AC"/>
    <w:rsid w:val="000A4444"/>
    <w:rsid w:val="000A56CD"/>
    <w:rsid w:val="000A6686"/>
    <w:rsid w:val="000A6A79"/>
    <w:rsid w:val="000A7078"/>
    <w:rsid w:val="000A7148"/>
    <w:rsid w:val="000A754E"/>
    <w:rsid w:val="000A7597"/>
    <w:rsid w:val="000A79AA"/>
    <w:rsid w:val="000A7C2B"/>
    <w:rsid w:val="000A7F30"/>
    <w:rsid w:val="000A7FDB"/>
    <w:rsid w:val="000B0B4B"/>
    <w:rsid w:val="000B0BA2"/>
    <w:rsid w:val="000B1B9D"/>
    <w:rsid w:val="000B1D73"/>
    <w:rsid w:val="000B2BB2"/>
    <w:rsid w:val="000B36BF"/>
    <w:rsid w:val="000B3CC8"/>
    <w:rsid w:val="000B3D25"/>
    <w:rsid w:val="000B49C2"/>
    <w:rsid w:val="000B4F38"/>
    <w:rsid w:val="000B56A9"/>
    <w:rsid w:val="000B5A6F"/>
    <w:rsid w:val="000B5BDA"/>
    <w:rsid w:val="000B5CDC"/>
    <w:rsid w:val="000B62A5"/>
    <w:rsid w:val="000B6425"/>
    <w:rsid w:val="000B6692"/>
    <w:rsid w:val="000B78A9"/>
    <w:rsid w:val="000B7B89"/>
    <w:rsid w:val="000C00C1"/>
    <w:rsid w:val="000C076E"/>
    <w:rsid w:val="000C0AF4"/>
    <w:rsid w:val="000C0F01"/>
    <w:rsid w:val="000C17E3"/>
    <w:rsid w:val="000C1D33"/>
    <w:rsid w:val="000C244E"/>
    <w:rsid w:val="000C25BC"/>
    <w:rsid w:val="000C3039"/>
    <w:rsid w:val="000C33AB"/>
    <w:rsid w:val="000C37D9"/>
    <w:rsid w:val="000C3B73"/>
    <w:rsid w:val="000C44B5"/>
    <w:rsid w:val="000C5050"/>
    <w:rsid w:val="000C5293"/>
    <w:rsid w:val="000C5762"/>
    <w:rsid w:val="000C66A6"/>
    <w:rsid w:val="000C6B77"/>
    <w:rsid w:val="000C7E3D"/>
    <w:rsid w:val="000D0265"/>
    <w:rsid w:val="000D06D0"/>
    <w:rsid w:val="000D0D19"/>
    <w:rsid w:val="000D13C6"/>
    <w:rsid w:val="000D1E78"/>
    <w:rsid w:val="000D2AB0"/>
    <w:rsid w:val="000D2CCE"/>
    <w:rsid w:val="000D39F2"/>
    <w:rsid w:val="000D45BB"/>
    <w:rsid w:val="000D5A01"/>
    <w:rsid w:val="000D5E89"/>
    <w:rsid w:val="000D5F48"/>
    <w:rsid w:val="000D60A0"/>
    <w:rsid w:val="000D6B9A"/>
    <w:rsid w:val="000D6EAB"/>
    <w:rsid w:val="000D7173"/>
    <w:rsid w:val="000E0899"/>
    <w:rsid w:val="000E090A"/>
    <w:rsid w:val="000E0FEF"/>
    <w:rsid w:val="000E186A"/>
    <w:rsid w:val="000E1890"/>
    <w:rsid w:val="000E1F2E"/>
    <w:rsid w:val="000E2363"/>
    <w:rsid w:val="000E2A16"/>
    <w:rsid w:val="000E2C83"/>
    <w:rsid w:val="000E3380"/>
    <w:rsid w:val="000E34DE"/>
    <w:rsid w:val="000E384B"/>
    <w:rsid w:val="000E3E14"/>
    <w:rsid w:val="000E4466"/>
    <w:rsid w:val="000E4B89"/>
    <w:rsid w:val="000E58E1"/>
    <w:rsid w:val="000E5AEF"/>
    <w:rsid w:val="000E6175"/>
    <w:rsid w:val="000E7EBE"/>
    <w:rsid w:val="000F0C2C"/>
    <w:rsid w:val="000F0C8C"/>
    <w:rsid w:val="000F0E86"/>
    <w:rsid w:val="000F113C"/>
    <w:rsid w:val="000F1B8C"/>
    <w:rsid w:val="000F1E91"/>
    <w:rsid w:val="000F1EC6"/>
    <w:rsid w:val="000F1FB0"/>
    <w:rsid w:val="000F2785"/>
    <w:rsid w:val="000F2A27"/>
    <w:rsid w:val="000F3084"/>
    <w:rsid w:val="000F3136"/>
    <w:rsid w:val="000F3A4C"/>
    <w:rsid w:val="000F3E61"/>
    <w:rsid w:val="000F4F01"/>
    <w:rsid w:val="000F5E9B"/>
    <w:rsid w:val="000F6F57"/>
    <w:rsid w:val="000F7215"/>
    <w:rsid w:val="000F7926"/>
    <w:rsid w:val="000F7B40"/>
    <w:rsid w:val="001003C2"/>
    <w:rsid w:val="00100A2E"/>
    <w:rsid w:val="00100AE9"/>
    <w:rsid w:val="00100D90"/>
    <w:rsid w:val="0010139C"/>
    <w:rsid w:val="00101893"/>
    <w:rsid w:val="00102AF4"/>
    <w:rsid w:val="00102BB5"/>
    <w:rsid w:val="001034D6"/>
    <w:rsid w:val="001035C9"/>
    <w:rsid w:val="00103795"/>
    <w:rsid w:val="0010491A"/>
    <w:rsid w:val="00104971"/>
    <w:rsid w:val="00104C50"/>
    <w:rsid w:val="0010513B"/>
    <w:rsid w:val="0010565D"/>
    <w:rsid w:val="00105CB6"/>
    <w:rsid w:val="00106933"/>
    <w:rsid w:val="00106A7C"/>
    <w:rsid w:val="00106EEB"/>
    <w:rsid w:val="00107193"/>
    <w:rsid w:val="00107267"/>
    <w:rsid w:val="0011004D"/>
    <w:rsid w:val="0011004E"/>
    <w:rsid w:val="00110759"/>
    <w:rsid w:val="00110852"/>
    <w:rsid w:val="00110CA0"/>
    <w:rsid w:val="00111DD6"/>
    <w:rsid w:val="0011286F"/>
    <w:rsid w:val="00112B3A"/>
    <w:rsid w:val="00112FFC"/>
    <w:rsid w:val="00113609"/>
    <w:rsid w:val="00113993"/>
    <w:rsid w:val="00113C4D"/>
    <w:rsid w:val="0011400A"/>
    <w:rsid w:val="0011448A"/>
    <w:rsid w:val="00114592"/>
    <w:rsid w:val="00114A18"/>
    <w:rsid w:val="00115139"/>
    <w:rsid w:val="00115241"/>
    <w:rsid w:val="001167CE"/>
    <w:rsid w:val="00116887"/>
    <w:rsid w:val="00116C17"/>
    <w:rsid w:val="0011720C"/>
    <w:rsid w:val="001172ED"/>
    <w:rsid w:val="001173CC"/>
    <w:rsid w:val="00117577"/>
    <w:rsid w:val="001204ED"/>
    <w:rsid w:val="00120A8E"/>
    <w:rsid w:val="00121630"/>
    <w:rsid w:val="00121BCF"/>
    <w:rsid w:val="00122D56"/>
    <w:rsid w:val="001235FE"/>
    <w:rsid w:val="001236D8"/>
    <w:rsid w:val="0012588B"/>
    <w:rsid w:val="00126529"/>
    <w:rsid w:val="0012678A"/>
    <w:rsid w:val="00126C48"/>
    <w:rsid w:val="00127005"/>
    <w:rsid w:val="0012703D"/>
    <w:rsid w:val="00127043"/>
    <w:rsid w:val="0012741F"/>
    <w:rsid w:val="00127B37"/>
    <w:rsid w:val="00127CAE"/>
    <w:rsid w:val="00127E8A"/>
    <w:rsid w:val="001300F2"/>
    <w:rsid w:val="00130402"/>
    <w:rsid w:val="00130EC1"/>
    <w:rsid w:val="0013123D"/>
    <w:rsid w:val="001319EE"/>
    <w:rsid w:val="00132CC2"/>
    <w:rsid w:val="0013357C"/>
    <w:rsid w:val="0013361A"/>
    <w:rsid w:val="0013399C"/>
    <w:rsid w:val="001340C8"/>
    <w:rsid w:val="00134BBB"/>
    <w:rsid w:val="001350EE"/>
    <w:rsid w:val="00136542"/>
    <w:rsid w:val="001366EE"/>
    <w:rsid w:val="001367BA"/>
    <w:rsid w:val="00137D90"/>
    <w:rsid w:val="00140091"/>
    <w:rsid w:val="001407D9"/>
    <w:rsid w:val="001407E6"/>
    <w:rsid w:val="001408B7"/>
    <w:rsid w:val="0014127B"/>
    <w:rsid w:val="001421C9"/>
    <w:rsid w:val="00142DA5"/>
    <w:rsid w:val="00142DF0"/>
    <w:rsid w:val="00142E22"/>
    <w:rsid w:val="00142ECE"/>
    <w:rsid w:val="00142EDC"/>
    <w:rsid w:val="00143862"/>
    <w:rsid w:val="00143DA4"/>
    <w:rsid w:val="00143EF2"/>
    <w:rsid w:val="00144881"/>
    <w:rsid w:val="00144C18"/>
    <w:rsid w:val="001451C6"/>
    <w:rsid w:val="001457D7"/>
    <w:rsid w:val="00145A33"/>
    <w:rsid w:val="001461F4"/>
    <w:rsid w:val="001466F1"/>
    <w:rsid w:val="0014677F"/>
    <w:rsid w:val="00146DD6"/>
    <w:rsid w:val="00146F44"/>
    <w:rsid w:val="00147316"/>
    <w:rsid w:val="001476AF"/>
    <w:rsid w:val="001476EB"/>
    <w:rsid w:val="00150E65"/>
    <w:rsid w:val="00151F60"/>
    <w:rsid w:val="00152004"/>
    <w:rsid w:val="00152411"/>
    <w:rsid w:val="0015338A"/>
    <w:rsid w:val="001539E0"/>
    <w:rsid w:val="00153E3C"/>
    <w:rsid w:val="00153EEB"/>
    <w:rsid w:val="00154496"/>
    <w:rsid w:val="00154C16"/>
    <w:rsid w:val="00154DC8"/>
    <w:rsid w:val="00154F11"/>
    <w:rsid w:val="00155174"/>
    <w:rsid w:val="001555DB"/>
    <w:rsid w:val="00156861"/>
    <w:rsid w:val="00157B3D"/>
    <w:rsid w:val="00157C30"/>
    <w:rsid w:val="00160531"/>
    <w:rsid w:val="001605C5"/>
    <w:rsid w:val="001611A3"/>
    <w:rsid w:val="00162321"/>
    <w:rsid w:val="0016267B"/>
    <w:rsid w:val="00162A9D"/>
    <w:rsid w:val="00162D7F"/>
    <w:rsid w:val="001631D9"/>
    <w:rsid w:val="0016328E"/>
    <w:rsid w:val="0016350B"/>
    <w:rsid w:val="001641E0"/>
    <w:rsid w:val="001647EC"/>
    <w:rsid w:val="001649F2"/>
    <w:rsid w:val="00165E4F"/>
    <w:rsid w:val="0016603E"/>
    <w:rsid w:val="0016773E"/>
    <w:rsid w:val="00170440"/>
    <w:rsid w:val="001704BF"/>
    <w:rsid w:val="001704D1"/>
    <w:rsid w:val="00170AB7"/>
    <w:rsid w:val="00170B24"/>
    <w:rsid w:val="00171807"/>
    <w:rsid w:val="00171A33"/>
    <w:rsid w:val="00171B8C"/>
    <w:rsid w:val="001722BF"/>
    <w:rsid w:val="00172DD6"/>
    <w:rsid w:val="0017347E"/>
    <w:rsid w:val="00173B1A"/>
    <w:rsid w:val="00173D72"/>
    <w:rsid w:val="00174005"/>
    <w:rsid w:val="00174672"/>
    <w:rsid w:val="00174F3F"/>
    <w:rsid w:val="001756E2"/>
    <w:rsid w:val="00176BD0"/>
    <w:rsid w:val="00176BDC"/>
    <w:rsid w:val="001771A8"/>
    <w:rsid w:val="00177FC2"/>
    <w:rsid w:val="0018034B"/>
    <w:rsid w:val="00181AAA"/>
    <w:rsid w:val="00182375"/>
    <w:rsid w:val="00182397"/>
    <w:rsid w:val="0018395F"/>
    <w:rsid w:val="00183A7F"/>
    <w:rsid w:val="00183EFD"/>
    <w:rsid w:val="00183F50"/>
    <w:rsid w:val="001844E4"/>
    <w:rsid w:val="00184CD4"/>
    <w:rsid w:val="001851DA"/>
    <w:rsid w:val="001853B4"/>
    <w:rsid w:val="0018551E"/>
    <w:rsid w:val="001856E5"/>
    <w:rsid w:val="001857A5"/>
    <w:rsid w:val="001859CF"/>
    <w:rsid w:val="00185B95"/>
    <w:rsid w:val="0018684A"/>
    <w:rsid w:val="00186970"/>
    <w:rsid w:val="00186B75"/>
    <w:rsid w:val="00186C75"/>
    <w:rsid w:val="00186DD1"/>
    <w:rsid w:val="00187375"/>
    <w:rsid w:val="001875A4"/>
    <w:rsid w:val="00187AA9"/>
    <w:rsid w:val="00187DB7"/>
    <w:rsid w:val="00187ECB"/>
    <w:rsid w:val="001907F0"/>
    <w:rsid w:val="00190B3B"/>
    <w:rsid w:val="00190C30"/>
    <w:rsid w:val="0019139B"/>
    <w:rsid w:val="001917ED"/>
    <w:rsid w:val="00191993"/>
    <w:rsid w:val="00191D16"/>
    <w:rsid w:val="00191E34"/>
    <w:rsid w:val="0019221B"/>
    <w:rsid w:val="0019225F"/>
    <w:rsid w:val="00192735"/>
    <w:rsid w:val="001929D9"/>
    <w:rsid w:val="00192C3A"/>
    <w:rsid w:val="00193880"/>
    <w:rsid w:val="00193A79"/>
    <w:rsid w:val="00193F31"/>
    <w:rsid w:val="00194150"/>
    <w:rsid w:val="001948B7"/>
    <w:rsid w:val="00194960"/>
    <w:rsid w:val="0019501F"/>
    <w:rsid w:val="00195797"/>
    <w:rsid w:val="001959AA"/>
    <w:rsid w:val="00195CAD"/>
    <w:rsid w:val="00195F84"/>
    <w:rsid w:val="001965C1"/>
    <w:rsid w:val="00196918"/>
    <w:rsid w:val="0019751D"/>
    <w:rsid w:val="001A1761"/>
    <w:rsid w:val="001A18BF"/>
    <w:rsid w:val="001A1CB9"/>
    <w:rsid w:val="001A1F33"/>
    <w:rsid w:val="001A3067"/>
    <w:rsid w:val="001A31ED"/>
    <w:rsid w:val="001A3223"/>
    <w:rsid w:val="001A399D"/>
    <w:rsid w:val="001A3A9F"/>
    <w:rsid w:val="001A4423"/>
    <w:rsid w:val="001A46C3"/>
    <w:rsid w:val="001A500E"/>
    <w:rsid w:val="001A51B9"/>
    <w:rsid w:val="001A51C9"/>
    <w:rsid w:val="001A662B"/>
    <w:rsid w:val="001A6D97"/>
    <w:rsid w:val="001A730C"/>
    <w:rsid w:val="001A7C20"/>
    <w:rsid w:val="001B04E9"/>
    <w:rsid w:val="001B0FF9"/>
    <w:rsid w:val="001B1301"/>
    <w:rsid w:val="001B13B7"/>
    <w:rsid w:val="001B1A74"/>
    <w:rsid w:val="001B1CCB"/>
    <w:rsid w:val="001B1D16"/>
    <w:rsid w:val="001B23C9"/>
    <w:rsid w:val="001B2E0B"/>
    <w:rsid w:val="001B2F81"/>
    <w:rsid w:val="001B3810"/>
    <w:rsid w:val="001B3A89"/>
    <w:rsid w:val="001B4740"/>
    <w:rsid w:val="001B4C0D"/>
    <w:rsid w:val="001B5130"/>
    <w:rsid w:val="001B5B44"/>
    <w:rsid w:val="001B6145"/>
    <w:rsid w:val="001B6AB3"/>
    <w:rsid w:val="001B72E9"/>
    <w:rsid w:val="001C003C"/>
    <w:rsid w:val="001C049A"/>
    <w:rsid w:val="001C0A4E"/>
    <w:rsid w:val="001C0AD9"/>
    <w:rsid w:val="001C2768"/>
    <w:rsid w:val="001C30AA"/>
    <w:rsid w:val="001C3147"/>
    <w:rsid w:val="001C349B"/>
    <w:rsid w:val="001C3D2C"/>
    <w:rsid w:val="001C4623"/>
    <w:rsid w:val="001C4CD5"/>
    <w:rsid w:val="001C4EFC"/>
    <w:rsid w:val="001C4F0C"/>
    <w:rsid w:val="001C57F6"/>
    <w:rsid w:val="001C684C"/>
    <w:rsid w:val="001C7232"/>
    <w:rsid w:val="001C7710"/>
    <w:rsid w:val="001C7734"/>
    <w:rsid w:val="001C77CD"/>
    <w:rsid w:val="001C7ED7"/>
    <w:rsid w:val="001C7EE8"/>
    <w:rsid w:val="001D07EA"/>
    <w:rsid w:val="001D0C28"/>
    <w:rsid w:val="001D1159"/>
    <w:rsid w:val="001D1A6D"/>
    <w:rsid w:val="001D1EAF"/>
    <w:rsid w:val="001D2AA1"/>
    <w:rsid w:val="001D38BD"/>
    <w:rsid w:val="001D395D"/>
    <w:rsid w:val="001D4746"/>
    <w:rsid w:val="001D50EE"/>
    <w:rsid w:val="001D55B2"/>
    <w:rsid w:val="001D564F"/>
    <w:rsid w:val="001D5930"/>
    <w:rsid w:val="001D5F1A"/>
    <w:rsid w:val="001D6B91"/>
    <w:rsid w:val="001D7892"/>
    <w:rsid w:val="001E00E3"/>
    <w:rsid w:val="001E0241"/>
    <w:rsid w:val="001E0C19"/>
    <w:rsid w:val="001E0F09"/>
    <w:rsid w:val="001E1494"/>
    <w:rsid w:val="001E1E09"/>
    <w:rsid w:val="001E224E"/>
    <w:rsid w:val="001E27F9"/>
    <w:rsid w:val="001E2C1B"/>
    <w:rsid w:val="001E2C5F"/>
    <w:rsid w:val="001E34D1"/>
    <w:rsid w:val="001E37CF"/>
    <w:rsid w:val="001E4E16"/>
    <w:rsid w:val="001E5333"/>
    <w:rsid w:val="001E53B4"/>
    <w:rsid w:val="001E5668"/>
    <w:rsid w:val="001E5934"/>
    <w:rsid w:val="001E66A0"/>
    <w:rsid w:val="001E6A25"/>
    <w:rsid w:val="001E6A7E"/>
    <w:rsid w:val="001E6B2A"/>
    <w:rsid w:val="001E7E8C"/>
    <w:rsid w:val="001F1C25"/>
    <w:rsid w:val="001F1E77"/>
    <w:rsid w:val="001F2775"/>
    <w:rsid w:val="001F2FBE"/>
    <w:rsid w:val="001F3BCF"/>
    <w:rsid w:val="001F3C13"/>
    <w:rsid w:val="001F3E99"/>
    <w:rsid w:val="001F48DF"/>
    <w:rsid w:val="001F49B7"/>
    <w:rsid w:val="001F4D08"/>
    <w:rsid w:val="001F506D"/>
    <w:rsid w:val="001F5669"/>
    <w:rsid w:val="001F6109"/>
    <w:rsid w:val="001F6A87"/>
    <w:rsid w:val="001F7144"/>
    <w:rsid w:val="001F7E78"/>
    <w:rsid w:val="00200556"/>
    <w:rsid w:val="00200C3A"/>
    <w:rsid w:val="00201090"/>
    <w:rsid w:val="0020181A"/>
    <w:rsid w:val="00201D64"/>
    <w:rsid w:val="00201E10"/>
    <w:rsid w:val="00202509"/>
    <w:rsid w:val="00202B7A"/>
    <w:rsid w:val="00203FC2"/>
    <w:rsid w:val="0020447B"/>
    <w:rsid w:val="00204C5E"/>
    <w:rsid w:val="00205086"/>
    <w:rsid w:val="0020510A"/>
    <w:rsid w:val="00205E1D"/>
    <w:rsid w:val="00206554"/>
    <w:rsid w:val="002067B2"/>
    <w:rsid w:val="00207781"/>
    <w:rsid w:val="00207C85"/>
    <w:rsid w:val="002102BC"/>
    <w:rsid w:val="002102F2"/>
    <w:rsid w:val="00210F23"/>
    <w:rsid w:val="00211092"/>
    <w:rsid w:val="00211353"/>
    <w:rsid w:val="002120AF"/>
    <w:rsid w:val="0021218F"/>
    <w:rsid w:val="0021246F"/>
    <w:rsid w:val="002124D0"/>
    <w:rsid w:val="00212A76"/>
    <w:rsid w:val="00213445"/>
    <w:rsid w:val="0021374C"/>
    <w:rsid w:val="002139EF"/>
    <w:rsid w:val="002146A0"/>
    <w:rsid w:val="002149F5"/>
    <w:rsid w:val="00215DA6"/>
    <w:rsid w:val="002162E4"/>
    <w:rsid w:val="0021707D"/>
    <w:rsid w:val="002178E0"/>
    <w:rsid w:val="00220D82"/>
    <w:rsid w:val="00221314"/>
    <w:rsid w:val="0022149A"/>
    <w:rsid w:val="002218D7"/>
    <w:rsid w:val="00222BA1"/>
    <w:rsid w:val="00222F3E"/>
    <w:rsid w:val="00223274"/>
    <w:rsid w:val="00223916"/>
    <w:rsid w:val="0022452D"/>
    <w:rsid w:val="00224559"/>
    <w:rsid w:val="002247D7"/>
    <w:rsid w:val="002259CD"/>
    <w:rsid w:val="0022643B"/>
    <w:rsid w:val="002265EE"/>
    <w:rsid w:val="002265F8"/>
    <w:rsid w:val="00226B85"/>
    <w:rsid w:val="00226DC2"/>
    <w:rsid w:val="00226E8D"/>
    <w:rsid w:val="0022773C"/>
    <w:rsid w:val="00230087"/>
    <w:rsid w:val="00230470"/>
    <w:rsid w:val="00230565"/>
    <w:rsid w:val="002315ED"/>
    <w:rsid w:val="00231B44"/>
    <w:rsid w:val="00231E9E"/>
    <w:rsid w:val="00232148"/>
    <w:rsid w:val="0023259D"/>
    <w:rsid w:val="00232748"/>
    <w:rsid w:val="00232793"/>
    <w:rsid w:val="00232AAF"/>
    <w:rsid w:val="00232D1F"/>
    <w:rsid w:val="00232EEC"/>
    <w:rsid w:val="00233364"/>
    <w:rsid w:val="00233B79"/>
    <w:rsid w:val="00233E41"/>
    <w:rsid w:val="0023411F"/>
    <w:rsid w:val="002344B5"/>
    <w:rsid w:val="002347AF"/>
    <w:rsid w:val="00234A36"/>
    <w:rsid w:val="00234A48"/>
    <w:rsid w:val="00234E82"/>
    <w:rsid w:val="00235196"/>
    <w:rsid w:val="002351EA"/>
    <w:rsid w:val="002354C6"/>
    <w:rsid w:val="002359D0"/>
    <w:rsid w:val="00235B21"/>
    <w:rsid w:val="0023636E"/>
    <w:rsid w:val="002363A7"/>
    <w:rsid w:val="00236457"/>
    <w:rsid w:val="00236872"/>
    <w:rsid w:val="00237156"/>
    <w:rsid w:val="0023788F"/>
    <w:rsid w:val="00237C73"/>
    <w:rsid w:val="00240B44"/>
    <w:rsid w:val="00241C2A"/>
    <w:rsid w:val="00241D07"/>
    <w:rsid w:val="00241F10"/>
    <w:rsid w:val="0024241B"/>
    <w:rsid w:val="00242539"/>
    <w:rsid w:val="00242EF7"/>
    <w:rsid w:val="0024334E"/>
    <w:rsid w:val="00244A68"/>
    <w:rsid w:val="00245716"/>
    <w:rsid w:val="00246183"/>
    <w:rsid w:val="00246235"/>
    <w:rsid w:val="00246B93"/>
    <w:rsid w:val="00246BC2"/>
    <w:rsid w:val="00246C0C"/>
    <w:rsid w:val="00246E8D"/>
    <w:rsid w:val="00247743"/>
    <w:rsid w:val="002500B6"/>
    <w:rsid w:val="0025108C"/>
    <w:rsid w:val="002518CC"/>
    <w:rsid w:val="0025230E"/>
    <w:rsid w:val="002526F6"/>
    <w:rsid w:val="00252DC0"/>
    <w:rsid w:val="0025399C"/>
    <w:rsid w:val="00253ECD"/>
    <w:rsid w:val="00253F4F"/>
    <w:rsid w:val="00253F95"/>
    <w:rsid w:val="00254CD0"/>
    <w:rsid w:val="00254DBB"/>
    <w:rsid w:val="00254EC7"/>
    <w:rsid w:val="00254FB1"/>
    <w:rsid w:val="00255070"/>
    <w:rsid w:val="00256C69"/>
    <w:rsid w:val="00257886"/>
    <w:rsid w:val="002601A9"/>
    <w:rsid w:val="00260C69"/>
    <w:rsid w:val="00261D22"/>
    <w:rsid w:val="00262138"/>
    <w:rsid w:val="00262FB8"/>
    <w:rsid w:val="00263338"/>
    <w:rsid w:val="00264AD9"/>
    <w:rsid w:val="00265E29"/>
    <w:rsid w:val="00265F85"/>
    <w:rsid w:val="0026641B"/>
    <w:rsid w:val="00266827"/>
    <w:rsid w:val="00266966"/>
    <w:rsid w:val="00266D60"/>
    <w:rsid w:val="00267012"/>
    <w:rsid w:val="002672D3"/>
    <w:rsid w:val="002677F7"/>
    <w:rsid w:val="00267B40"/>
    <w:rsid w:val="00267D09"/>
    <w:rsid w:val="002707F1"/>
    <w:rsid w:val="00271FA6"/>
    <w:rsid w:val="002727D0"/>
    <w:rsid w:val="0027309A"/>
    <w:rsid w:val="002734B6"/>
    <w:rsid w:val="00273B86"/>
    <w:rsid w:val="00273CF1"/>
    <w:rsid w:val="002747EF"/>
    <w:rsid w:val="00275BEC"/>
    <w:rsid w:val="00275D41"/>
    <w:rsid w:val="00275E1F"/>
    <w:rsid w:val="00275F34"/>
    <w:rsid w:val="00276225"/>
    <w:rsid w:val="00276337"/>
    <w:rsid w:val="00277627"/>
    <w:rsid w:val="00277A13"/>
    <w:rsid w:val="00277C0A"/>
    <w:rsid w:val="00277D0E"/>
    <w:rsid w:val="0028005D"/>
    <w:rsid w:val="0028069B"/>
    <w:rsid w:val="00280B96"/>
    <w:rsid w:val="00280CD2"/>
    <w:rsid w:val="0028103F"/>
    <w:rsid w:val="002814E1"/>
    <w:rsid w:val="00281ACF"/>
    <w:rsid w:val="00281EB7"/>
    <w:rsid w:val="0028243A"/>
    <w:rsid w:val="002824F7"/>
    <w:rsid w:val="00282D5D"/>
    <w:rsid w:val="00283289"/>
    <w:rsid w:val="002835B6"/>
    <w:rsid w:val="002836E6"/>
    <w:rsid w:val="002839F1"/>
    <w:rsid w:val="00283C27"/>
    <w:rsid w:val="00284061"/>
    <w:rsid w:val="0028456F"/>
    <w:rsid w:val="00284A5F"/>
    <w:rsid w:val="00284A7E"/>
    <w:rsid w:val="00284DAB"/>
    <w:rsid w:val="00284EC6"/>
    <w:rsid w:val="00284F03"/>
    <w:rsid w:val="002851EC"/>
    <w:rsid w:val="0028522E"/>
    <w:rsid w:val="002853EC"/>
    <w:rsid w:val="00285BDD"/>
    <w:rsid w:val="00286766"/>
    <w:rsid w:val="00286D1F"/>
    <w:rsid w:val="002873AC"/>
    <w:rsid w:val="002879EF"/>
    <w:rsid w:val="00287A8A"/>
    <w:rsid w:val="00287DF0"/>
    <w:rsid w:val="002905F5"/>
    <w:rsid w:val="00290601"/>
    <w:rsid w:val="002906B8"/>
    <w:rsid w:val="00290828"/>
    <w:rsid w:val="00290967"/>
    <w:rsid w:val="00290DA7"/>
    <w:rsid w:val="00291120"/>
    <w:rsid w:val="0029187F"/>
    <w:rsid w:val="00292177"/>
    <w:rsid w:val="0029217F"/>
    <w:rsid w:val="00292917"/>
    <w:rsid w:val="00292B8E"/>
    <w:rsid w:val="0029393D"/>
    <w:rsid w:val="00293FC6"/>
    <w:rsid w:val="002945D5"/>
    <w:rsid w:val="0029643A"/>
    <w:rsid w:val="002965C6"/>
    <w:rsid w:val="00296781"/>
    <w:rsid w:val="002968BB"/>
    <w:rsid w:val="00296E60"/>
    <w:rsid w:val="00297121"/>
    <w:rsid w:val="002978F9"/>
    <w:rsid w:val="002A032C"/>
    <w:rsid w:val="002A04BD"/>
    <w:rsid w:val="002A197C"/>
    <w:rsid w:val="002A2609"/>
    <w:rsid w:val="002A273D"/>
    <w:rsid w:val="002A2B96"/>
    <w:rsid w:val="002A3036"/>
    <w:rsid w:val="002A31F6"/>
    <w:rsid w:val="002A36BC"/>
    <w:rsid w:val="002A3BC7"/>
    <w:rsid w:val="002A4290"/>
    <w:rsid w:val="002A4E4F"/>
    <w:rsid w:val="002A5D83"/>
    <w:rsid w:val="002A60F8"/>
    <w:rsid w:val="002A62FC"/>
    <w:rsid w:val="002A6607"/>
    <w:rsid w:val="002A688E"/>
    <w:rsid w:val="002A79C0"/>
    <w:rsid w:val="002B07F7"/>
    <w:rsid w:val="002B09FB"/>
    <w:rsid w:val="002B0B58"/>
    <w:rsid w:val="002B1827"/>
    <w:rsid w:val="002B1E7B"/>
    <w:rsid w:val="002B26B3"/>
    <w:rsid w:val="002B28D4"/>
    <w:rsid w:val="002B2F01"/>
    <w:rsid w:val="002B44AC"/>
    <w:rsid w:val="002B4707"/>
    <w:rsid w:val="002B487F"/>
    <w:rsid w:val="002B4CED"/>
    <w:rsid w:val="002B500D"/>
    <w:rsid w:val="002B5354"/>
    <w:rsid w:val="002B56AC"/>
    <w:rsid w:val="002B58E1"/>
    <w:rsid w:val="002B5949"/>
    <w:rsid w:val="002B5D14"/>
    <w:rsid w:val="002B5DF5"/>
    <w:rsid w:val="002B604E"/>
    <w:rsid w:val="002B631D"/>
    <w:rsid w:val="002B7804"/>
    <w:rsid w:val="002C0153"/>
    <w:rsid w:val="002C0456"/>
    <w:rsid w:val="002C0526"/>
    <w:rsid w:val="002C0B02"/>
    <w:rsid w:val="002C0CA6"/>
    <w:rsid w:val="002C0FE3"/>
    <w:rsid w:val="002C17A0"/>
    <w:rsid w:val="002C203F"/>
    <w:rsid w:val="002C2EC7"/>
    <w:rsid w:val="002C2F39"/>
    <w:rsid w:val="002C35BC"/>
    <w:rsid w:val="002C3C0F"/>
    <w:rsid w:val="002C4728"/>
    <w:rsid w:val="002C4EEB"/>
    <w:rsid w:val="002C58F5"/>
    <w:rsid w:val="002C690E"/>
    <w:rsid w:val="002C6DC3"/>
    <w:rsid w:val="002C7061"/>
    <w:rsid w:val="002C70C7"/>
    <w:rsid w:val="002C71B6"/>
    <w:rsid w:val="002D0742"/>
    <w:rsid w:val="002D1047"/>
    <w:rsid w:val="002D1226"/>
    <w:rsid w:val="002D1A57"/>
    <w:rsid w:val="002D1D5E"/>
    <w:rsid w:val="002D1DEB"/>
    <w:rsid w:val="002D3198"/>
    <w:rsid w:val="002D3338"/>
    <w:rsid w:val="002D3D20"/>
    <w:rsid w:val="002D4749"/>
    <w:rsid w:val="002D4927"/>
    <w:rsid w:val="002D4A66"/>
    <w:rsid w:val="002D4ACB"/>
    <w:rsid w:val="002D4C0D"/>
    <w:rsid w:val="002D4E65"/>
    <w:rsid w:val="002D5661"/>
    <w:rsid w:val="002D5CF7"/>
    <w:rsid w:val="002D5F3C"/>
    <w:rsid w:val="002D6C4F"/>
    <w:rsid w:val="002D730F"/>
    <w:rsid w:val="002D7667"/>
    <w:rsid w:val="002D7A8E"/>
    <w:rsid w:val="002E027D"/>
    <w:rsid w:val="002E02B1"/>
    <w:rsid w:val="002E0511"/>
    <w:rsid w:val="002E0985"/>
    <w:rsid w:val="002E0DE8"/>
    <w:rsid w:val="002E100A"/>
    <w:rsid w:val="002E1BF1"/>
    <w:rsid w:val="002E1F50"/>
    <w:rsid w:val="002E2764"/>
    <w:rsid w:val="002E42C2"/>
    <w:rsid w:val="002E42DA"/>
    <w:rsid w:val="002E46B3"/>
    <w:rsid w:val="002E47CE"/>
    <w:rsid w:val="002E4C73"/>
    <w:rsid w:val="002E4D46"/>
    <w:rsid w:val="002E4DD3"/>
    <w:rsid w:val="002E51BB"/>
    <w:rsid w:val="002E529F"/>
    <w:rsid w:val="002E57FE"/>
    <w:rsid w:val="002E5DDA"/>
    <w:rsid w:val="002E5DF2"/>
    <w:rsid w:val="002E61BB"/>
    <w:rsid w:val="002E625B"/>
    <w:rsid w:val="002E68CC"/>
    <w:rsid w:val="002E73A6"/>
    <w:rsid w:val="002E79E3"/>
    <w:rsid w:val="002E7F07"/>
    <w:rsid w:val="002F022E"/>
    <w:rsid w:val="002F102E"/>
    <w:rsid w:val="002F177C"/>
    <w:rsid w:val="002F2153"/>
    <w:rsid w:val="002F23A2"/>
    <w:rsid w:val="002F244F"/>
    <w:rsid w:val="002F27D3"/>
    <w:rsid w:val="002F28F2"/>
    <w:rsid w:val="002F298E"/>
    <w:rsid w:val="002F2C69"/>
    <w:rsid w:val="002F2DB0"/>
    <w:rsid w:val="002F2DEA"/>
    <w:rsid w:val="002F358B"/>
    <w:rsid w:val="002F3599"/>
    <w:rsid w:val="002F3A4C"/>
    <w:rsid w:val="002F3E80"/>
    <w:rsid w:val="002F46DD"/>
    <w:rsid w:val="002F4796"/>
    <w:rsid w:val="002F4799"/>
    <w:rsid w:val="002F48CE"/>
    <w:rsid w:val="002F4BF6"/>
    <w:rsid w:val="002F5549"/>
    <w:rsid w:val="002F5756"/>
    <w:rsid w:val="002F57C9"/>
    <w:rsid w:val="002F5ECF"/>
    <w:rsid w:val="002F6698"/>
    <w:rsid w:val="002F66C4"/>
    <w:rsid w:val="002F6B50"/>
    <w:rsid w:val="002F6D19"/>
    <w:rsid w:val="002F7484"/>
    <w:rsid w:val="002F748A"/>
    <w:rsid w:val="002F74E3"/>
    <w:rsid w:val="002F751E"/>
    <w:rsid w:val="002F7579"/>
    <w:rsid w:val="00300BA1"/>
    <w:rsid w:val="00300D0B"/>
    <w:rsid w:val="00301199"/>
    <w:rsid w:val="0030211D"/>
    <w:rsid w:val="00303122"/>
    <w:rsid w:val="003039E4"/>
    <w:rsid w:val="00303C4E"/>
    <w:rsid w:val="00304814"/>
    <w:rsid w:val="00304E5C"/>
    <w:rsid w:val="00304F0F"/>
    <w:rsid w:val="0030660C"/>
    <w:rsid w:val="00306778"/>
    <w:rsid w:val="00306EDC"/>
    <w:rsid w:val="00306FF4"/>
    <w:rsid w:val="00307558"/>
    <w:rsid w:val="003102D8"/>
    <w:rsid w:val="00310478"/>
    <w:rsid w:val="00310D96"/>
    <w:rsid w:val="00310E67"/>
    <w:rsid w:val="003116E6"/>
    <w:rsid w:val="003118E0"/>
    <w:rsid w:val="00311D54"/>
    <w:rsid w:val="0031205F"/>
    <w:rsid w:val="00312300"/>
    <w:rsid w:val="00312BD5"/>
    <w:rsid w:val="00312F2B"/>
    <w:rsid w:val="00313560"/>
    <w:rsid w:val="00313877"/>
    <w:rsid w:val="00313E8D"/>
    <w:rsid w:val="0031403B"/>
    <w:rsid w:val="00314F88"/>
    <w:rsid w:val="003153BF"/>
    <w:rsid w:val="003154FD"/>
    <w:rsid w:val="00315E6A"/>
    <w:rsid w:val="00316771"/>
    <w:rsid w:val="00317606"/>
    <w:rsid w:val="003204FD"/>
    <w:rsid w:val="00320827"/>
    <w:rsid w:val="00320BA6"/>
    <w:rsid w:val="00321187"/>
    <w:rsid w:val="0032137B"/>
    <w:rsid w:val="00321506"/>
    <w:rsid w:val="00322182"/>
    <w:rsid w:val="003222B2"/>
    <w:rsid w:val="00322963"/>
    <w:rsid w:val="00322BE5"/>
    <w:rsid w:val="00322DA5"/>
    <w:rsid w:val="00323082"/>
    <w:rsid w:val="0032313E"/>
    <w:rsid w:val="0032384F"/>
    <w:rsid w:val="00323E1A"/>
    <w:rsid w:val="0032428B"/>
    <w:rsid w:val="003249A1"/>
    <w:rsid w:val="00324C60"/>
    <w:rsid w:val="00325242"/>
    <w:rsid w:val="00325A27"/>
    <w:rsid w:val="003263BE"/>
    <w:rsid w:val="003274EA"/>
    <w:rsid w:val="00327916"/>
    <w:rsid w:val="003301B4"/>
    <w:rsid w:val="0033026D"/>
    <w:rsid w:val="00330553"/>
    <w:rsid w:val="00330561"/>
    <w:rsid w:val="003309B5"/>
    <w:rsid w:val="00330CB2"/>
    <w:rsid w:val="00330CF2"/>
    <w:rsid w:val="00330DD5"/>
    <w:rsid w:val="003331D6"/>
    <w:rsid w:val="00333F01"/>
    <w:rsid w:val="00333FD1"/>
    <w:rsid w:val="0033419F"/>
    <w:rsid w:val="003342B3"/>
    <w:rsid w:val="003349DB"/>
    <w:rsid w:val="00335158"/>
    <w:rsid w:val="0033589C"/>
    <w:rsid w:val="00336475"/>
    <w:rsid w:val="003369BB"/>
    <w:rsid w:val="00336A37"/>
    <w:rsid w:val="003372F1"/>
    <w:rsid w:val="00337C80"/>
    <w:rsid w:val="00340165"/>
    <w:rsid w:val="00340200"/>
    <w:rsid w:val="00340C6B"/>
    <w:rsid w:val="00340FCF"/>
    <w:rsid w:val="00340FEA"/>
    <w:rsid w:val="003415AA"/>
    <w:rsid w:val="00341631"/>
    <w:rsid w:val="00341895"/>
    <w:rsid w:val="00342306"/>
    <w:rsid w:val="00343704"/>
    <w:rsid w:val="003437D6"/>
    <w:rsid w:val="00343B52"/>
    <w:rsid w:val="00343FD6"/>
    <w:rsid w:val="0034452A"/>
    <w:rsid w:val="00344C75"/>
    <w:rsid w:val="00345163"/>
    <w:rsid w:val="00345E33"/>
    <w:rsid w:val="003463C2"/>
    <w:rsid w:val="00346668"/>
    <w:rsid w:val="00346A27"/>
    <w:rsid w:val="00347035"/>
    <w:rsid w:val="0034748C"/>
    <w:rsid w:val="00350299"/>
    <w:rsid w:val="003511D5"/>
    <w:rsid w:val="00351414"/>
    <w:rsid w:val="003515AE"/>
    <w:rsid w:val="00351F28"/>
    <w:rsid w:val="00353BB4"/>
    <w:rsid w:val="00353C10"/>
    <w:rsid w:val="003548EC"/>
    <w:rsid w:val="003549D3"/>
    <w:rsid w:val="00354DDA"/>
    <w:rsid w:val="00354E6F"/>
    <w:rsid w:val="00355434"/>
    <w:rsid w:val="0035557B"/>
    <w:rsid w:val="003560AA"/>
    <w:rsid w:val="00356152"/>
    <w:rsid w:val="0035639C"/>
    <w:rsid w:val="00356681"/>
    <w:rsid w:val="00356A3F"/>
    <w:rsid w:val="00357294"/>
    <w:rsid w:val="003573EE"/>
    <w:rsid w:val="003574DB"/>
    <w:rsid w:val="00357819"/>
    <w:rsid w:val="00357E2A"/>
    <w:rsid w:val="00360277"/>
    <w:rsid w:val="00360B95"/>
    <w:rsid w:val="00360CC4"/>
    <w:rsid w:val="00361991"/>
    <w:rsid w:val="003619FE"/>
    <w:rsid w:val="00361B32"/>
    <w:rsid w:val="00361C22"/>
    <w:rsid w:val="0036207D"/>
    <w:rsid w:val="00362162"/>
    <w:rsid w:val="0036231D"/>
    <w:rsid w:val="003626F5"/>
    <w:rsid w:val="00362A22"/>
    <w:rsid w:val="00362F5A"/>
    <w:rsid w:val="003633FF"/>
    <w:rsid w:val="003638E1"/>
    <w:rsid w:val="00363954"/>
    <w:rsid w:val="00363A96"/>
    <w:rsid w:val="00363F0D"/>
    <w:rsid w:val="003644EB"/>
    <w:rsid w:val="00364A33"/>
    <w:rsid w:val="003650AF"/>
    <w:rsid w:val="003655CF"/>
    <w:rsid w:val="00365C1F"/>
    <w:rsid w:val="00365ED0"/>
    <w:rsid w:val="0036727D"/>
    <w:rsid w:val="00367877"/>
    <w:rsid w:val="00367B03"/>
    <w:rsid w:val="00367BE3"/>
    <w:rsid w:val="00371145"/>
    <w:rsid w:val="003719DB"/>
    <w:rsid w:val="00371BA5"/>
    <w:rsid w:val="00372464"/>
    <w:rsid w:val="0037256F"/>
    <w:rsid w:val="00373121"/>
    <w:rsid w:val="003733D7"/>
    <w:rsid w:val="00373DE5"/>
    <w:rsid w:val="00374561"/>
    <w:rsid w:val="00374770"/>
    <w:rsid w:val="00374864"/>
    <w:rsid w:val="003749AB"/>
    <w:rsid w:val="00374FE7"/>
    <w:rsid w:val="00375DE5"/>
    <w:rsid w:val="0037659A"/>
    <w:rsid w:val="003768AF"/>
    <w:rsid w:val="00380022"/>
    <w:rsid w:val="00380857"/>
    <w:rsid w:val="00380FE4"/>
    <w:rsid w:val="00381874"/>
    <w:rsid w:val="00381EBA"/>
    <w:rsid w:val="00382C46"/>
    <w:rsid w:val="00382E1A"/>
    <w:rsid w:val="00383318"/>
    <w:rsid w:val="003834C2"/>
    <w:rsid w:val="00383CAA"/>
    <w:rsid w:val="00383E55"/>
    <w:rsid w:val="00383ED0"/>
    <w:rsid w:val="003848F7"/>
    <w:rsid w:val="003851C9"/>
    <w:rsid w:val="003858F8"/>
    <w:rsid w:val="00386A6D"/>
    <w:rsid w:val="003872CE"/>
    <w:rsid w:val="00387E18"/>
    <w:rsid w:val="00390140"/>
    <w:rsid w:val="0039015D"/>
    <w:rsid w:val="00390B49"/>
    <w:rsid w:val="00390E50"/>
    <w:rsid w:val="003919AD"/>
    <w:rsid w:val="00391D7E"/>
    <w:rsid w:val="003920D1"/>
    <w:rsid w:val="00392189"/>
    <w:rsid w:val="00392970"/>
    <w:rsid w:val="00392EF6"/>
    <w:rsid w:val="00392FED"/>
    <w:rsid w:val="003932E5"/>
    <w:rsid w:val="00393482"/>
    <w:rsid w:val="00394275"/>
    <w:rsid w:val="003943FF"/>
    <w:rsid w:val="0039767B"/>
    <w:rsid w:val="003A0C3A"/>
    <w:rsid w:val="003A0FA8"/>
    <w:rsid w:val="003A1069"/>
    <w:rsid w:val="003A1962"/>
    <w:rsid w:val="003A196D"/>
    <w:rsid w:val="003A1B10"/>
    <w:rsid w:val="003A1F68"/>
    <w:rsid w:val="003A1FAC"/>
    <w:rsid w:val="003A24D1"/>
    <w:rsid w:val="003A2B55"/>
    <w:rsid w:val="003A2C5B"/>
    <w:rsid w:val="003A2DFA"/>
    <w:rsid w:val="003A35CB"/>
    <w:rsid w:val="003A3B1A"/>
    <w:rsid w:val="003A4797"/>
    <w:rsid w:val="003A512B"/>
    <w:rsid w:val="003A5A43"/>
    <w:rsid w:val="003A6980"/>
    <w:rsid w:val="003A77F2"/>
    <w:rsid w:val="003B03F5"/>
    <w:rsid w:val="003B0A7E"/>
    <w:rsid w:val="003B0C46"/>
    <w:rsid w:val="003B1144"/>
    <w:rsid w:val="003B1239"/>
    <w:rsid w:val="003B1DEF"/>
    <w:rsid w:val="003B249C"/>
    <w:rsid w:val="003B28DA"/>
    <w:rsid w:val="003B2C84"/>
    <w:rsid w:val="003B30E2"/>
    <w:rsid w:val="003B37D0"/>
    <w:rsid w:val="003B380C"/>
    <w:rsid w:val="003B4581"/>
    <w:rsid w:val="003B48E8"/>
    <w:rsid w:val="003B53C1"/>
    <w:rsid w:val="003B570C"/>
    <w:rsid w:val="003B57C8"/>
    <w:rsid w:val="003B6D43"/>
    <w:rsid w:val="003B6DDA"/>
    <w:rsid w:val="003B7E9C"/>
    <w:rsid w:val="003C049E"/>
    <w:rsid w:val="003C0C67"/>
    <w:rsid w:val="003C0D0C"/>
    <w:rsid w:val="003C131D"/>
    <w:rsid w:val="003C1B64"/>
    <w:rsid w:val="003C2274"/>
    <w:rsid w:val="003C2CB7"/>
    <w:rsid w:val="003C2EF4"/>
    <w:rsid w:val="003C426C"/>
    <w:rsid w:val="003C4447"/>
    <w:rsid w:val="003C45AA"/>
    <w:rsid w:val="003C4AFE"/>
    <w:rsid w:val="003C5346"/>
    <w:rsid w:val="003C62F5"/>
    <w:rsid w:val="003C6747"/>
    <w:rsid w:val="003C6A63"/>
    <w:rsid w:val="003C6EE0"/>
    <w:rsid w:val="003C6F16"/>
    <w:rsid w:val="003C79F1"/>
    <w:rsid w:val="003C7A7D"/>
    <w:rsid w:val="003C7D8C"/>
    <w:rsid w:val="003D01FC"/>
    <w:rsid w:val="003D0267"/>
    <w:rsid w:val="003D0886"/>
    <w:rsid w:val="003D17EB"/>
    <w:rsid w:val="003D1A85"/>
    <w:rsid w:val="003D1D24"/>
    <w:rsid w:val="003D1E79"/>
    <w:rsid w:val="003D2980"/>
    <w:rsid w:val="003D2D2C"/>
    <w:rsid w:val="003D2E33"/>
    <w:rsid w:val="003D3A39"/>
    <w:rsid w:val="003D403D"/>
    <w:rsid w:val="003D4279"/>
    <w:rsid w:val="003D470A"/>
    <w:rsid w:val="003D57A9"/>
    <w:rsid w:val="003D59D0"/>
    <w:rsid w:val="003D5DF4"/>
    <w:rsid w:val="003D5FC9"/>
    <w:rsid w:val="003D7032"/>
    <w:rsid w:val="003D706D"/>
    <w:rsid w:val="003D716D"/>
    <w:rsid w:val="003D7D00"/>
    <w:rsid w:val="003D7E5F"/>
    <w:rsid w:val="003E0E3D"/>
    <w:rsid w:val="003E1267"/>
    <w:rsid w:val="003E1401"/>
    <w:rsid w:val="003E1F7A"/>
    <w:rsid w:val="003E250F"/>
    <w:rsid w:val="003E26C0"/>
    <w:rsid w:val="003E3A03"/>
    <w:rsid w:val="003E44CD"/>
    <w:rsid w:val="003E45DA"/>
    <w:rsid w:val="003E487B"/>
    <w:rsid w:val="003E4B7B"/>
    <w:rsid w:val="003E4C6A"/>
    <w:rsid w:val="003E4F89"/>
    <w:rsid w:val="003E51E1"/>
    <w:rsid w:val="003E5629"/>
    <w:rsid w:val="003E5E21"/>
    <w:rsid w:val="003E6266"/>
    <w:rsid w:val="003E66CF"/>
    <w:rsid w:val="003E6BD0"/>
    <w:rsid w:val="003E7571"/>
    <w:rsid w:val="003E7E94"/>
    <w:rsid w:val="003F03CF"/>
    <w:rsid w:val="003F07F6"/>
    <w:rsid w:val="003F0A72"/>
    <w:rsid w:val="003F0D69"/>
    <w:rsid w:val="003F1958"/>
    <w:rsid w:val="003F23B3"/>
    <w:rsid w:val="003F2775"/>
    <w:rsid w:val="003F2804"/>
    <w:rsid w:val="003F2996"/>
    <w:rsid w:val="003F2B24"/>
    <w:rsid w:val="003F447C"/>
    <w:rsid w:val="003F4646"/>
    <w:rsid w:val="003F49B3"/>
    <w:rsid w:val="003F5C57"/>
    <w:rsid w:val="003F60BE"/>
    <w:rsid w:val="003F60E1"/>
    <w:rsid w:val="0040095A"/>
    <w:rsid w:val="004009B3"/>
    <w:rsid w:val="00402BA4"/>
    <w:rsid w:val="00402E6B"/>
    <w:rsid w:val="004035F5"/>
    <w:rsid w:val="0040397E"/>
    <w:rsid w:val="00403CEB"/>
    <w:rsid w:val="00405103"/>
    <w:rsid w:val="004054C6"/>
    <w:rsid w:val="004055EE"/>
    <w:rsid w:val="00405C66"/>
    <w:rsid w:val="0040703D"/>
    <w:rsid w:val="00407525"/>
    <w:rsid w:val="0041083E"/>
    <w:rsid w:val="00410C16"/>
    <w:rsid w:val="00410D75"/>
    <w:rsid w:val="004116D8"/>
    <w:rsid w:val="00411C17"/>
    <w:rsid w:val="00411D7C"/>
    <w:rsid w:val="00412448"/>
    <w:rsid w:val="00412ADB"/>
    <w:rsid w:val="004130B5"/>
    <w:rsid w:val="00413A0F"/>
    <w:rsid w:val="004143ED"/>
    <w:rsid w:val="00415217"/>
    <w:rsid w:val="0041552A"/>
    <w:rsid w:val="004155A7"/>
    <w:rsid w:val="00415E1A"/>
    <w:rsid w:val="0041611A"/>
    <w:rsid w:val="00416A56"/>
    <w:rsid w:val="00416E98"/>
    <w:rsid w:val="00417179"/>
    <w:rsid w:val="00417224"/>
    <w:rsid w:val="004202F9"/>
    <w:rsid w:val="00420538"/>
    <w:rsid w:val="004223B9"/>
    <w:rsid w:val="00422437"/>
    <w:rsid w:val="00422AE4"/>
    <w:rsid w:val="00423111"/>
    <w:rsid w:val="004239C0"/>
    <w:rsid w:val="00424280"/>
    <w:rsid w:val="00424770"/>
    <w:rsid w:val="00424A76"/>
    <w:rsid w:val="00424B3A"/>
    <w:rsid w:val="0042571A"/>
    <w:rsid w:val="00425724"/>
    <w:rsid w:val="00426272"/>
    <w:rsid w:val="0042790C"/>
    <w:rsid w:val="0042793E"/>
    <w:rsid w:val="00430158"/>
    <w:rsid w:val="004303D3"/>
    <w:rsid w:val="00430B5D"/>
    <w:rsid w:val="004310A2"/>
    <w:rsid w:val="004327D2"/>
    <w:rsid w:val="0043298B"/>
    <w:rsid w:val="00432C5C"/>
    <w:rsid w:val="00432E4C"/>
    <w:rsid w:val="004336ED"/>
    <w:rsid w:val="00433736"/>
    <w:rsid w:val="00434072"/>
    <w:rsid w:val="004343F9"/>
    <w:rsid w:val="00434A29"/>
    <w:rsid w:val="00435A30"/>
    <w:rsid w:val="00435C11"/>
    <w:rsid w:val="00435F1F"/>
    <w:rsid w:val="00436562"/>
    <w:rsid w:val="00437030"/>
    <w:rsid w:val="0043744B"/>
    <w:rsid w:val="00437B85"/>
    <w:rsid w:val="00437E03"/>
    <w:rsid w:val="00437E7B"/>
    <w:rsid w:val="00437F0F"/>
    <w:rsid w:val="0044036A"/>
    <w:rsid w:val="0044094A"/>
    <w:rsid w:val="00440B2C"/>
    <w:rsid w:val="00440CFB"/>
    <w:rsid w:val="00440DA7"/>
    <w:rsid w:val="00441376"/>
    <w:rsid w:val="0044171D"/>
    <w:rsid w:val="004432D0"/>
    <w:rsid w:val="004434C8"/>
    <w:rsid w:val="00443628"/>
    <w:rsid w:val="00444E6D"/>
    <w:rsid w:val="00445E15"/>
    <w:rsid w:val="00445F64"/>
    <w:rsid w:val="00446053"/>
    <w:rsid w:val="00446242"/>
    <w:rsid w:val="00446921"/>
    <w:rsid w:val="004471E1"/>
    <w:rsid w:val="00447D7C"/>
    <w:rsid w:val="00450715"/>
    <w:rsid w:val="00450966"/>
    <w:rsid w:val="00450D6D"/>
    <w:rsid w:val="00451506"/>
    <w:rsid w:val="00451A4C"/>
    <w:rsid w:val="0045279A"/>
    <w:rsid w:val="0045297F"/>
    <w:rsid w:val="00452C1A"/>
    <w:rsid w:val="0045308A"/>
    <w:rsid w:val="00453D9F"/>
    <w:rsid w:val="00454180"/>
    <w:rsid w:val="00454831"/>
    <w:rsid w:val="00454FCA"/>
    <w:rsid w:val="00454FF3"/>
    <w:rsid w:val="00455075"/>
    <w:rsid w:val="004550B5"/>
    <w:rsid w:val="00455CE1"/>
    <w:rsid w:val="004562F9"/>
    <w:rsid w:val="004567FB"/>
    <w:rsid w:val="004573AA"/>
    <w:rsid w:val="004574A2"/>
    <w:rsid w:val="004579B0"/>
    <w:rsid w:val="00457DDF"/>
    <w:rsid w:val="00460EC4"/>
    <w:rsid w:val="00461C38"/>
    <w:rsid w:val="0046262B"/>
    <w:rsid w:val="00462654"/>
    <w:rsid w:val="00463814"/>
    <w:rsid w:val="00463FDF"/>
    <w:rsid w:val="00464427"/>
    <w:rsid w:val="004654A8"/>
    <w:rsid w:val="004654B2"/>
    <w:rsid w:val="004654C5"/>
    <w:rsid w:val="00465B9E"/>
    <w:rsid w:val="004662D1"/>
    <w:rsid w:val="004673B8"/>
    <w:rsid w:val="00467EB0"/>
    <w:rsid w:val="00470032"/>
    <w:rsid w:val="00470338"/>
    <w:rsid w:val="00470562"/>
    <w:rsid w:val="00470BB4"/>
    <w:rsid w:val="00470F1F"/>
    <w:rsid w:val="004722CB"/>
    <w:rsid w:val="004722E4"/>
    <w:rsid w:val="00472662"/>
    <w:rsid w:val="00473358"/>
    <w:rsid w:val="004736B0"/>
    <w:rsid w:val="00473730"/>
    <w:rsid w:val="00473A2B"/>
    <w:rsid w:val="00473AD0"/>
    <w:rsid w:val="00474020"/>
    <w:rsid w:val="004746C2"/>
    <w:rsid w:val="00474F68"/>
    <w:rsid w:val="00475411"/>
    <w:rsid w:val="00475BAB"/>
    <w:rsid w:val="00475F7F"/>
    <w:rsid w:val="004773C8"/>
    <w:rsid w:val="00480016"/>
    <w:rsid w:val="0048035B"/>
    <w:rsid w:val="00481126"/>
    <w:rsid w:val="0048255D"/>
    <w:rsid w:val="004829E8"/>
    <w:rsid w:val="00482A01"/>
    <w:rsid w:val="00482B6B"/>
    <w:rsid w:val="00482EBD"/>
    <w:rsid w:val="004837B5"/>
    <w:rsid w:val="00483985"/>
    <w:rsid w:val="00484129"/>
    <w:rsid w:val="004842A7"/>
    <w:rsid w:val="00484869"/>
    <w:rsid w:val="004854BD"/>
    <w:rsid w:val="00485A99"/>
    <w:rsid w:val="00485AA1"/>
    <w:rsid w:val="00486CCB"/>
    <w:rsid w:val="00486D71"/>
    <w:rsid w:val="004870AF"/>
    <w:rsid w:val="0048760A"/>
    <w:rsid w:val="004876EC"/>
    <w:rsid w:val="00487F52"/>
    <w:rsid w:val="00490C2F"/>
    <w:rsid w:val="00490F08"/>
    <w:rsid w:val="00491888"/>
    <w:rsid w:val="00491B73"/>
    <w:rsid w:val="004925DF"/>
    <w:rsid w:val="004941C6"/>
    <w:rsid w:val="004943F8"/>
    <w:rsid w:val="0049466D"/>
    <w:rsid w:val="00494849"/>
    <w:rsid w:val="00495D7F"/>
    <w:rsid w:val="0049635B"/>
    <w:rsid w:val="0049648C"/>
    <w:rsid w:val="0049694F"/>
    <w:rsid w:val="00497017"/>
    <w:rsid w:val="0049711C"/>
    <w:rsid w:val="00497409"/>
    <w:rsid w:val="00497771"/>
    <w:rsid w:val="00497D21"/>
    <w:rsid w:val="00497EE3"/>
    <w:rsid w:val="004A0072"/>
    <w:rsid w:val="004A00EE"/>
    <w:rsid w:val="004A04F1"/>
    <w:rsid w:val="004A0944"/>
    <w:rsid w:val="004A0C48"/>
    <w:rsid w:val="004A1286"/>
    <w:rsid w:val="004A1E09"/>
    <w:rsid w:val="004A2028"/>
    <w:rsid w:val="004A20A0"/>
    <w:rsid w:val="004A221C"/>
    <w:rsid w:val="004A2271"/>
    <w:rsid w:val="004A289B"/>
    <w:rsid w:val="004A2DD7"/>
    <w:rsid w:val="004A2F35"/>
    <w:rsid w:val="004A3768"/>
    <w:rsid w:val="004A37F6"/>
    <w:rsid w:val="004A3888"/>
    <w:rsid w:val="004A3CCB"/>
    <w:rsid w:val="004A3D7C"/>
    <w:rsid w:val="004A4906"/>
    <w:rsid w:val="004A4DF0"/>
    <w:rsid w:val="004A4EAD"/>
    <w:rsid w:val="004A4EDD"/>
    <w:rsid w:val="004A6629"/>
    <w:rsid w:val="004A6B6F"/>
    <w:rsid w:val="004A6CE8"/>
    <w:rsid w:val="004A7D76"/>
    <w:rsid w:val="004A7E26"/>
    <w:rsid w:val="004A7ED6"/>
    <w:rsid w:val="004B022A"/>
    <w:rsid w:val="004B083E"/>
    <w:rsid w:val="004B103C"/>
    <w:rsid w:val="004B1090"/>
    <w:rsid w:val="004B1E5A"/>
    <w:rsid w:val="004B1F7E"/>
    <w:rsid w:val="004B208F"/>
    <w:rsid w:val="004B247E"/>
    <w:rsid w:val="004B2591"/>
    <w:rsid w:val="004B25F3"/>
    <w:rsid w:val="004B2A37"/>
    <w:rsid w:val="004B42E2"/>
    <w:rsid w:val="004B4AE6"/>
    <w:rsid w:val="004B5340"/>
    <w:rsid w:val="004B54EF"/>
    <w:rsid w:val="004B56B4"/>
    <w:rsid w:val="004B6A0E"/>
    <w:rsid w:val="004B6A7C"/>
    <w:rsid w:val="004B6DFD"/>
    <w:rsid w:val="004B7161"/>
    <w:rsid w:val="004B794D"/>
    <w:rsid w:val="004C0EFA"/>
    <w:rsid w:val="004C0FC9"/>
    <w:rsid w:val="004C17C9"/>
    <w:rsid w:val="004C1A09"/>
    <w:rsid w:val="004C1BDD"/>
    <w:rsid w:val="004C28F2"/>
    <w:rsid w:val="004C2F2F"/>
    <w:rsid w:val="004C4C30"/>
    <w:rsid w:val="004C52BF"/>
    <w:rsid w:val="004C56DC"/>
    <w:rsid w:val="004C5E9B"/>
    <w:rsid w:val="004C7CF2"/>
    <w:rsid w:val="004D01CF"/>
    <w:rsid w:val="004D0F0D"/>
    <w:rsid w:val="004D1083"/>
    <w:rsid w:val="004D1095"/>
    <w:rsid w:val="004D1B4D"/>
    <w:rsid w:val="004D2FE6"/>
    <w:rsid w:val="004D3726"/>
    <w:rsid w:val="004D375D"/>
    <w:rsid w:val="004D3F82"/>
    <w:rsid w:val="004D45A1"/>
    <w:rsid w:val="004D57A6"/>
    <w:rsid w:val="004D58BD"/>
    <w:rsid w:val="004D5B89"/>
    <w:rsid w:val="004D6882"/>
    <w:rsid w:val="004D696D"/>
    <w:rsid w:val="004D7D14"/>
    <w:rsid w:val="004E03F6"/>
    <w:rsid w:val="004E078D"/>
    <w:rsid w:val="004E09E8"/>
    <w:rsid w:val="004E09F7"/>
    <w:rsid w:val="004E0CDB"/>
    <w:rsid w:val="004E1F22"/>
    <w:rsid w:val="004E243C"/>
    <w:rsid w:val="004E2A27"/>
    <w:rsid w:val="004E2A41"/>
    <w:rsid w:val="004E3EDF"/>
    <w:rsid w:val="004E4B6D"/>
    <w:rsid w:val="004E7F28"/>
    <w:rsid w:val="004F06CC"/>
    <w:rsid w:val="004F0B87"/>
    <w:rsid w:val="004F0D7F"/>
    <w:rsid w:val="004F1124"/>
    <w:rsid w:val="004F131B"/>
    <w:rsid w:val="004F156F"/>
    <w:rsid w:val="004F2F74"/>
    <w:rsid w:val="004F32CB"/>
    <w:rsid w:val="004F38C8"/>
    <w:rsid w:val="004F38ED"/>
    <w:rsid w:val="004F4387"/>
    <w:rsid w:val="004F4A64"/>
    <w:rsid w:val="004F55AB"/>
    <w:rsid w:val="004F60C1"/>
    <w:rsid w:val="004F61CF"/>
    <w:rsid w:val="004F6B5C"/>
    <w:rsid w:val="004F6C77"/>
    <w:rsid w:val="004F6DC3"/>
    <w:rsid w:val="0050017E"/>
    <w:rsid w:val="0050061A"/>
    <w:rsid w:val="00500741"/>
    <w:rsid w:val="00500870"/>
    <w:rsid w:val="00500CF9"/>
    <w:rsid w:val="00501699"/>
    <w:rsid w:val="00502763"/>
    <w:rsid w:val="005029FC"/>
    <w:rsid w:val="00502B0A"/>
    <w:rsid w:val="00503388"/>
    <w:rsid w:val="00503902"/>
    <w:rsid w:val="00503993"/>
    <w:rsid w:val="00503CE7"/>
    <w:rsid w:val="00504FA2"/>
    <w:rsid w:val="00505036"/>
    <w:rsid w:val="005052BC"/>
    <w:rsid w:val="005054B8"/>
    <w:rsid w:val="005054BF"/>
    <w:rsid w:val="005055BF"/>
    <w:rsid w:val="00505A0A"/>
    <w:rsid w:val="00506940"/>
    <w:rsid w:val="00507FDF"/>
    <w:rsid w:val="0051036B"/>
    <w:rsid w:val="005106EA"/>
    <w:rsid w:val="005108D3"/>
    <w:rsid w:val="005117B8"/>
    <w:rsid w:val="00511895"/>
    <w:rsid w:val="00512058"/>
    <w:rsid w:val="00512BFF"/>
    <w:rsid w:val="00512C39"/>
    <w:rsid w:val="00513715"/>
    <w:rsid w:val="00513873"/>
    <w:rsid w:val="005138BB"/>
    <w:rsid w:val="00513BC2"/>
    <w:rsid w:val="00513C06"/>
    <w:rsid w:val="005146A3"/>
    <w:rsid w:val="005147FB"/>
    <w:rsid w:val="005153C0"/>
    <w:rsid w:val="00515824"/>
    <w:rsid w:val="00515959"/>
    <w:rsid w:val="00515F99"/>
    <w:rsid w:val="00516294"/>
    <w:rsid w:val="005167C4"/>
    <w:rsid w:val="00516D1B"/>
    <w:rsid w:val="00517CE1"/>
    <w:rsid w:val="005201BF"/>
    <w:rsid w:val="00520273"/>
    <w:rsid w:val="005208F1"/>
    <w:rsid w:val="00520E80"/>
    <w:rsid w:val="0052118B"/>
    <w:rsid w:val="0052129E"/>
    <w:rsid w:val="00521951"/>
    <w:rsid w:val="00521999"/>
    <w:rsid w:val="00521C4D"/>
    <w:rsid w:val="00522252"/>
    <w:rsid w:val="00522532"/>
    <w:rsid w:val="00522BA0"/>
    <w:rsid w:val="00523005"/>
    <w:rsid w:val="00523314"/>
    <w:rsid w:val="00523441"/>
    <w:rsid w:val="00523F93"/>
    <w:rsid w:val="005243FC"/>
    <w:rsid w:val="00524894"/>
    <w:rsid w:val="00525A6D"/>
    <w:rsid w:val="00526757"/>
    <w:rsid w:val="005267A8"/>
    <w:rsid w:val="005272CB"/>
    <w:rsid w:val="005274BF"/>
    <w:rsid w:val="00527603"/>
    <w:rsid w:val="00527A77"/>
    <w:rsid w:val="0053070A"/>
    <w:rsid w:val="00530A3D"/>
    <w:rsid w:val="00532B7D"/>
    <w:rsid w:val="00534117"/>
    <w:rsid w:val="0053470A"/>
    <w:rsid w:val="0053604A"/>
    <w:rsid w:val="005368A5"/>
    <w:rsid w:val="005372A8"/>
    <w:rsid w:val="005373C2"/>
    <w:rsid w:val="00537B20"/>
    <w:rsid w:val="00540226"/>
    <w:rsid w:val="00540260"/>
    <w:rsid w:val="00540D62"/>
    <w:rsid w:val="00540DFB"/>
    <w:rsid w:val="00540E91"/>
    <w:rsid w:val="005412A1"/>
    <w:rsid w:val="00542031"/>
    <w:rsid w:val="00542443"/>
    <w:rsid w:val="00542512"/>
    <w:rsid w:val="0054337A"/>
    <w:rsid w:val="005456D2"/>
    <w:rsid w:val="00545CCC"/>
    <w:rsid w:val="00545D5A"/>
    <w:rsid w:val="00545D89"/>
    <w:rsid w:val="00545DE4"/>
    <w:rsid w:val="0054769E"/>
    <w:rsid w:val="0054775E"/>
    <w:rsid w:val="00547967"/>
    <w:rsid w:val="00547BF4"/>
    <w:rsid w:val="00550107"/>
    <w:rsid w:val="0055037B"/>
    <w:rsid w:val="00550959"/>
    <w:rsid w:val="0055119B"/>
    <w:rsid w:val="005519FA"/>
    <w:rsid w:val="00551A4D"/>
    <w:rsid w:val="005524BD"/>
    <w:rsid w:val="005528EA"/>
    <w:rsid w:val="00552BA1"/>
    <w:rsid w:val="00552F3A"/>
    <w:rsid w:val="00553109"/>
    <w:rsid w:val="005531DA"/>
    <w:rsid w:val="0055376A"/>
    <w:rsid w:val="00553ECE"/>
    <w:rsid w:val="00554B9A"/>
    <w:rsid w:val="00554CEE"/>
    <w:rsid w:val="00555821"/>
    <w:rsid w:val="0055591A"/>
    <w:rsid w:val="00555AD5"/>
    <w:rsid w:val="00555B6B"/>
    <w:rsid w:val="00555CC8"/>
    <w:rsid w:val="0055625D"/>
    <w:rsid w:val="00556367"/>
    <w:rsid w:val="005564E6"/>
    <w:rsid w:val="0055654F"/>
    <w:rsid w:val="00557577"/>
    <w:rsid w:val="0056063C"/>
    <w:rsid w:val="00560F76"/>
    <w:rsid w:val="0056126B"/>
    <w:rsid w:val="00561325"/>
    <w:rsid w:val="00561658"/>
    <w:rsid w:val="00561E7F"/>
    <w:rsid w:val="00562253"/>
    <w:rsid w:val="0056272C"/>
    <w:rsid w:val="00563FEF"/>
    <w:rsid w:val="0056472A"/>
    <w:rsid w:val="0056484F"/>
    <w:rsid w:val="0056489E"/>
    <w:rsid w:val="00564976"/>
    <w:rsid w:val="00565233"/>
    <w:rsid w:val="00566D9D"/>
    <w:rsid w:val="00567055"/>
    <w:rsid w:val="00567330"/>
    <w:rsid w:val="005678C3"/>
    <w:rsid w:val="005678FA"/>
    <w:rsid w:val="00567994"/>
    <w:rsid w:val="00570260"/>
    <w:rsid w:val="005702ED"/>
    <w:rsid w:val="00570346"/>
    <w:rsid w:val="005708E6"/>
    <w:rsid w:val="00571017"/>
    <w:rsid w:val="005717A4"/>
    <w:rsid w:val="00572392"/>
    <w:rsid w:val="00572571"/>
    <w:rsid w:val="00572E5E"/>
    <w:rsid w:val="0057303D"/>
    <w:rsid w:val="00573084"/>
    <w:rsid w:val="00573CB8"/>
    <w:rsid w:val="00573D28"/>
    <w:rsid w:val="005742DE"/>
    <w:rsid w:val="00574C69"/>
    <w:rsid w:val="005750D3"/>
    <w:rsid w:val="0057525A"/>
    <w:rsid w:val="005755FF"/>
    <w:rsid w:val="005757A6"/>
    <w:rsid w:val="00575B65"/>
    <w:rsid w:val="00575BB3"/>
    <w:rsid w:val="005762D8"/>
    <w:rsid w:val="00576410"/>
    <w:rsid w:val="00576911"/>
    <w:rsid w:val="005773B1"/>
    <w:rsid w:val="00577FA6"/>
    <w:rsid w:val="0058002E"/>
    <w:rsid w:val="005800B9"/>
    <w:rsid w:val="00580182"/>
    <w:rsid w:val="00580515"/>
    <w:rsid w:val="00580F22"/>
    <w:rsid w:val="005816FB"/>
    <w:rsid w:val="00581A46"/>
    <w:rsid w:val="00581DC0"/>
    <w:rsid w:val="00581F7C"/>
    <w:rsid w:val="00582028"/>
    <w:rsid w:val="005822ED"/>
    <w:rsid w:val="00582872"/>
    <w:rsid w:val="005832A7"/>
    <w:rsid w:val="00584030"/>
    <w:rsid w:val="00585359"/>
    <w:rsid w:val="0058537E"/>
    <w:rsid w:val="00586DFE"/>
    <w:rsid w:val="00587036"/>
    <w:rsid w:val="00590E29"/>
    <w:rsid w:val="0059135B"/>
    <w:rsid w:val="00591443"/>
    <w:rsid w:val="00591DA9"/>
    <w:rsid w:val="00591F97"/>
    <w:rsid w:val="00591FBE"/>
    <w:rsid w:val="00593EAC"/>
    <w:rsid w:val="00593EB9"/>
    <w:rsid w:val="00595769"/>
    <w:rsid w:val="0059671C"/>
    <w:rsid w:val="00596F89"/>
    <w:rsid w:val="005A0619"/>
    <w:rsid w:val="005A0DD9"/>
    <w:rsid w:val="005A1228"/>
    <w:rsid w:val="005A1D3E"/>
    <w:rsid w:val="005A24A5"/>
    <w:rsid w:val="005A24F5"/>
    <w:rsid w:val="005A2851"/>
    <w:rsid w:val="005A3C44"/>
    <w:rsid w:val="005A4590"/>
    <w:rsid w:val="005A4C54"/>
    <w:rsid w:val="005A4FB8"/>
    <w:rsid w:val="005A56B3"/>
    <w:rsid w:val="005A5CCC"/>
    <w:rsid w:val="005A60E1"/>
    <w:rsid w:val="005A6620"/>
    <w:rsid w:val="005A6986"/>
    <w:rsid w:val="005A6D7F"/>
    <w:rsid w:val="005A6DBA"/>
    <w:rsid w:val="005A6F13"/>
    <w:rsid w:val="005A7272"/>
    <w:rsid w:val="005A756A"/>
    <w:rsid w:val="005A757E"/>
    <w:rsid w:val="005A7925"/>
    <w:rsid w:val="005B01AD"/>
    <w:rsid w:val="005B079F"/>
    <w:rsid w:val="005B0935"/>
    <w:rsid w:val="005B0F70"/>
    <w:rsid w:val="005B13B4"/>
    <w:rsid w:val="005B1967"/>
    <w:rsid w:val="005B1ADA"/>
    <w:rsid w:val="005B1EC6"/>
    <w:rsid w:val="005B1F49"/>
    <w:rsid w:val="005B24DA"/>
    <w:rsid w:val="005B33BD"/>
    <w:rsid w:val="005B370C"/>
    <w:rsid w:val="005B37FD"/>
    <w:rsid w:val="005B3DEC"/>
    <w:rsid w:val="005B432B"/>
    <w:rsid w:val="005B5A1D"/>
    <w:rsid w:val="005B5DBE"/>
    <w:rsid w:val="005B5E7E"/>
    <w:rsid w:val="005B606B"/>
    <w:rsid w:val="005B6AA5"/>
    <w:rsid w:val="005B71CB"/>
    <w:rsid w:val="005B7D35"/>
    <w:rsid w:val="005B7EE2"/>
    <w:rsid w:val="005C14AD"/>
    <w:rsid w:val="005C17B3"/>
    <w:rsid w:val="005C251D"/>
    <w:rsid w:val="005C261E"/>
    <w:rsid w:val="005C2962"/>
    <w:rsid w:val="005C2E30"/>
    <w:rsid w:val="005C307C"/>
    <w:rsid w:val="005C315D"/>
    <w:rsid w:val="005C363E"/>
    <w:rsid w:val="005C45F9"/>
    <w:rsid w:val="005C462A"/>
    <w:rsid w:val="005C4A33"/>
    <w:rsid w:val="005C4CD7"/>
    <w:rsid w:val="005C4EB8"/>
    <w:rsid w:val="005C594D"/>
    <w:rsid w:val="005C5BDA"/>
    <w:rsid w:val="005C632D"/>
    <w:rsid w:val="005C633A"/>
    <w:rsid w:val="005C6677"/>
    <w:rsid w:val="005C6751"/>
    <w:rsid w:val="005C73A6"/>
    <w:rsid w:val="005D034A"/>
    <w:rsid w:val="005D0FF1"/>
    <w:rsid w:val="005D1486"/>
    <w:rsid w:val="005D1980"/>
    <w:rsid w:val="005D243F"/>
    <w:rsid w:val="005D273E"/>
    <w:rsid w:val="005D2D91"/>
    <w:rsid w:val="005D35A6"/>
    <w:rsid w:val="005D4DE1"/>
    <w:rsid w:val="005D5058"/>
    <w:rsid w:val="005D534B"/>
    <w:rsid w:val="005D574C"/>
    <w:rsid w:val="005D59B5"/>
    <w:rsid w:val="005D5CC9"/>
    <w:rsid w:val="005D6157"/>
    <w:rsid w:val="005D6468"/>
    <w:rsid w:val="005D6AF4"/>
    <w:rsid w:val="005D6C80"/>
    <w:rsid w:val="005D7207"/>
    <w:rsid w:val="005D79BD"/>
    <w:rsid w:val="005E0642"/>
    <w:rsid w:val="005E0CF2"/>
    <w:rsid w:val="005E0F38"/>
    <w:rsid w:val="005E13FA"/>
    <w:rsid w:val="005E1AC4"/>
    <w:rsid w:val="005E1AC8"/>
    <w:rsid w:val="005E2FB2"/>
    <w:rsid w:val="005E2FBF"/>
    <w:rsid w:val="005E34B0"/>
    <w:rsid w:val="005E3A4B"/>
    <w:rsid w:val="005E3ADC"/>
    <w:rsid w:val="005E3DC4"/>
    <w:rsid w:val="005E408A"/>
    <w:rsid w:val="005E4B13"/>
    <w:rsid w:val="005E4C2A"/>
    <w:rsid w:val="005E4EBC"/>
    <w:rsid w:val="005E517E"/>
    <w:rsid w:val="005E5497"/>
    <w:rsid w:val="005E584B"/>
    <w:rsid w:val="005E7F1C"/>
    <w:rsid w:val="005E7F4E"/>
    <w:rsid w:val="005E7F7E"/>
    <w:rsid w:val="005E7FF0"/>
    <w:rsid w:val="005F0001"/>
    <w:rsid w:val="005F026B"/>
    <w:rsid w:val="005F0479"/>
    <w:rsid w:val="005F0FAB"/>
    <w:rsid w:val="005F16E5"/>
    <w:rsid w:val="005F19C2"/>
    <w:rsid w:val="005F1B91"/>
    <w:rsid w:val="005F1BB8"/>
    <w:rsid w:val="005F1D58"/>
    <w:rsid w:val="005F36DC"/>
    <w:rsid w:val="005F40A6"/>
    <w:rsid w:val="005F411A"/>
    <w:rsid w:val="005F61CC"/>
    <w:rsid w:val="005F635A"/>
    <w:rsid w:val="005F67C3"/>
    <w:rsid w:val="005F7082"/>
    <w:rsid w:val="005F773D"/>
    <w:rsid w:val="005F79DD"/>
    <w:rsid w:val="005F7D78"/>
    <w:rsid w:val="005F7F49"/>
    <w:rsid w:val="00600108"/>
    <w:rsid w:val="006002BA"/>
    <w:rsid w:val="006003AF"/>
    <w:rsid w:val="00600C00"/>
    <w:rsid w:val="00600D86"/>
    <w:rsid w:val="00600FA8"/>
    <w:rsid w:val="00602A0B"/>
    <w:rsid w:val="00602A19"/>
    <w:rsid w:val="00602E44"/>
    <w:rsid w:val="00603A9A"/>
    <w:rsid w:val="00603BBC"/>
    <w:rsid w:val="00603BE6"/>
    <w:rsid w:val="00603EFB"/>
    <w:rsid w:val="006043C4"/>
    <w:rsid w:val="006046B3"/>
    <w:rsid w:val="006046DC"/>
    <w:rsid w:val="00604A45"/>
    <w:rsid w:val="00604B29"/>
    <w:rsid w:val="00604E43"/>
    <w:rsid w:val="00606E4B"/>
    <w:rsid w:val="0060781E"/>
    <w:rsid w:val="00610605"/>
    <w:rsid w:val="00610D29"/>
    <w:rsid w:val="00610FE8"/>
    <w:rsid w:val="006115DA"/>
    <w:rsid w:val="00611725"/>
    <w:rsid w:val="00611CF5"/>
    <w:rsid w:val="00611DE9"/>
    <w:rsid w:val="00612162"/>
    <w:rsid w:val="0061224E"/>
    <w:rsid w:val="0061263E"/>
    <w:rsid w:val="00612CC3"/>
    <w:rsid w:val="00613064"/>
    <w:rsid w:val="0061327E"/>
    <w:rsid w:val="00613B55"/>
    <w:rsid w:val="006143EE"/>
    <w:rsid w:val="00614F63"/>
    <w:rsid w:val="00614FC1"/>
    <w:rsid w:val="006150E2"/>
    <w:rsid w:val="00615733"/>
    <w:rsid w:val="00615CF1"/>
    <w:rsid w:val="006160DA"/>
    <w:rsid w:val="006161A2"/>
    <w:rsid w:val="0061679C"/>
    <w:rsid w:val="00616C2F"/>
    <w:rsid w:val="00617362"/>
    <w:rsid w:val="00617655"/>
    <w:rsid w:val="00617A1E"/>
    <w:rsid w:val="0062017E"/>
    <w:rsid w:val="00620722"/>
    <w:rsid w:val="00620773"/>
    <w:rsid w:val="00621028"/>
    <w:rsid w:val="006212B9"/>
    <w:rsid w:val="0062210A"/>
    <w:rsid w:val="00622156"/>
    <w:rsid w:val="00622C53"/>
    <w:rsid w:val="0062361D"/>
    <w:rsid w:val="00623BC1"/>
    <w:rsid w:val="006240B7"/>
    <w:rsid w:val="006242F1"/>
    <w:rsid w:val="00624624"/>
    <w:rsid w:val="00624E91"/>
    <w:rsid w:val="00625083"/>
    <w:rsid w:val="0062581E"/>
    <w:rsid w:val="00625919"/>
    <w:rsid w:val="00625DCD"/>
    <w:rsid w:val="00625EE5"/>
    <w:rsid w:val="0062637B"/>
    <w:rsid w:val="006269CB"/>
    <w:rsid w:val="00626AA4"/>
    <w:rsid w:val="00626CD0"/>
    <w:rsid w:val="006278B3"/>
    <w:rsid w:val="006304F8"/>
    <w:rsid w:val="006306FA"/>
    <w:rsid w:val="00631081"/>
    <w:rsid w:val="00631928"/>
    <w:rsid w:val="00631939"/>
    <w:rsid w:val="00632007"/>
    <w:rsid w:val="00632056"/>
    <w:rsid w:val="0063269D"/>
    <w:rsid w:val="00632700"/>
    <w:rsid w:val="00632B02"/>
    <w:rsid w:val="00633B0F"/>
    <w:rsid w:val="006353FE"/>
    <w:rsid w:val="00635641"/>
    <w:rsid w:val="006359DC"/>
    <w:rsid w:val="00635BEE"/>
    <w:rsid w:val="00635DD9"/>
    <w:rsid w:val="0063672A"/>
    <w:rsid w:val="006369DA"/>
    <w:rsid w:val="00636B4C"/>
    <w:rsid w:val="006373EF"/>
    <w:rsid w:val="00637D02"/>
    <w:rsid w:val="00637D24"/>
    <w:rsid w:val="00640CB6"/>
    <w:rsid w:val="00641271"/>
    <w:rsid w:val="006424B8"/>
    <w:rsid w:val="00642513"/>
    <w:rsid w:val="0064285B"/>
    <w:rsid w:val="006429F4"/>
    <w:rsid w:val="00642D93"/>
    <w:rsid w:val="00644914"/>
    <w:rsid w:val="00644F82"/>
    <w:rsid w:val="006451A5"/>
    <w:rsid w:val="0064561E"/>
    <w:rsid w:val="006456F5"/>
    <w:rsid w:val="00647176"/>
    <w:rsid w:val="00647725"/>
    <w:rsid w:val="00647B97"/>
    <w:rsid w:val="0065009A"/>
    <w:rsid w:val="006525DA"/>
    <w:rsid w:val="00652F63"/>
    <w:rsid w:val="0065389E"/>
    <w:rsid w:val="00653B5A"/>
    <w:rsid w:val="0065427B"/>
    <w:rsid w:val="0065432A"/>
    <w:rsid w:val="0065496C"/>
    <w:rsid w:val="00655999"/>
    <w:rsid w:val="00655A20"/>
    <w:rsid w:val="00655D2E"/>
    <w:rsid w:val="006567BA"/>
    <w:rsid w:val="00656803"/>
    <w:rsid w:val="00656A52"/>
    <w:rsid w:val="006570E7"/>
    <w:rsid w:val="006578BE"/>
    <w:rsid w:val="0066039E"/>
    <w:rsid w:val="006605EB"/>
    <w:rsid w:val="0066099D"/>
    <w:rsid w:val="00660D51"/>
    <w:rsid w:val="00660F7C"/>
    <w:rsid w:val="0066151A"/>
    <w:rsid w:val="006615AE"/>
    <w:rsid w:val="00662B24"/>
    <w:rsid w:val="00663B27"/>
    <w:rsid w:val="00663F15"/>
    <w:rsid w:val="006645E9"/>
    <w:rsid w:val="00664716"/>
    <w:rsid w:val="006657D7"/>
    <w:rsid w:val="00665B44"/>
    <w:rsid w:val="00666321"/>
    <w:rsid w:val="006674A8"/>
    <w:rsid w:val="00670175"/>
    <w:rsid w:val="006703F1"/>
    <w:rsid w:val="00670E47"/>
    <w:rsid w:val="006715FB"/>
    <w:rsid w:val="006716AF"/>
    <w:rsid w:val="00671CA9"/>
    <w:rsid w:val="00671D39"/>
    <w:rsid w:val="00672134"/>
    <w:rsid w:val="00673667"/>
    <w:rsid w:val="0067368D"/>
    <w:rsid w:val="00673FC3"/>
    <w:rsid w:val="00674F49"/>
    <w:rsid w:val="006755D2"/>
    <w:rsid w:val="00675AA2"/>
    <w:rsid w:val="006766B1"/>
    <w:rsid w:val="00676803"/>
    <w:rsid w:val="00677285"/>
    <w:rsid w:val="006773AF"/>
    <w:rsid w:val="0067769D"/>
    <w:rsid w:val="00677728"/>
    <w:rsid w:val="00680004"/>
    <w:rsid w:val="00680893"/>
    <w:rsid w:val="00681695"/>
    <w:rsid w:val="00681F61"/>
    <w:rsid w:val="00682337"/>
    <w:rsid w:val="00682B61"/>
    <w:rsid w:val="00682C14"/>
    <w:rsid w:val="00683035"/>
    <w:rsid w:val="0068324E"/>
    <w:rsid w:val="0068351B"/>
    <w:rsid w:val="00686608"/>
    <w:rsid w:val="006867EA"/>
    <w:rsid w:val="00687B05"/>
    <w:rsid w:val="00690163"/>
    <w:rsid w:val="0069097C"/>
    <w:rsid w:val="006909C2"/>
    <w:rsid w:val="00690BE7"/>
    <w:rsid w:val="0069139D"/>
    <w:rsid w:val="006915F0"/>
    <w:rsid w:val="006926B1"/>
    <w:rsid w:val="00692B04"/>
    <w:rsid w:val="0069317A"/>
    <w:rsid w:val="00693654"/>
    <w:rsid w:val="00693CE7"/>
    <w:rsid w:val="00693F40"/>
    <w:rsid w:val="00694AB0"/>
    <w:rsid w:val="006959BE"/>
    <w:rsid w:val="00695EF0"/>
    <w:rsid w:val="00696543"/>
    <w:rsid w:val="006968F8"/>
    <w:rsid w:val="0069714C"/>
    <w:rsid w:val="00697219"/>
    <w:rsid w:val="0069786B"/>
    <w:rsid w:val="006A023C"/>
    <w:rsid w:val="006A0AD9"/>
    <w:rsid w:val="006A0B25"/>
    <w:rsid w:val="006A10AB"/>
    <w:rsid w:val="006A167C"/>
    <w:rsid w:val="006A2906"/>
    <w:rsid w:val="006A2991"/>
    <w:rsid w:val="006A2E51"/>
    <w:rsid w:val="006A31A2"/>
    <w:rsid w:val="006A31B1"/>
    <w:rsid w:val="006A331A"/>
    <w:rsid w:val="006A34BD"/>
    <w:rsid w:val="006A53E8"/>
    <w:rsid w:val="006A53F4"/>
    <w:rsid w:val="006A5850"/>
    <w:rsid w:val="006A5CB0"/>
    <w:rsid w:val="006A5D19"/>
    <w:rsid w:val="006A6041"/>
    <w:rsid w:val="006A6774"/>
    <w:rsid w:val="006A6792"/>
    <w:rsid w:val="006A7086"/>
    <w:rsid w:val="006A71A0"/>
    <w:rsid w:val="006A7CC1"/>
    <w:rsid w:val="006B010B"/>
    <w:rsid w:val="006B03F2"/>
    <w:rsid w:val="006B046A"/>
    <w:rsid w:val="006B0513"/>
    <w:rsid w:val="006B0568"/>
    <w:rsid w:val="006B0F8F"/>
    <w:rsid w:val="006B12DE"/>
    <w:rsid w:val="006B1689"/>
    <w:rsid w:val="006B1DD8"/>
    <w:rsid w:val="006B1FD9"/>
    <w:rsid w:val="006B24BD"/>
    <w:rsid w:val="006B27E6"/>
    <w:rsid w:val="006B28E9"/>
    <w:rsid w:val="006B2F88"/>
    <w:rsid w:val="006B30D8"/>
    <w:rsid w:val="006B348E"/>
    <w:rsid w:val="006B37E1"/>
    <w:rsid w:val="006B3CC7"/>
    <w:rsid w:val="006B3E50"/>
    <w:rsid w:val="006B60F9"/>
    <w:rsid w:val="006B6BD1"/>
    <w:rsid w:val="006B6F7A"/>
    <w:rsid w:val="006B732E"/>
    <w:rsid w:val="006B73BC"/>
    <w:rsid w:val="006B765E"/>
    <w:rsid w:val="006B78CF"/>
    <w:rsid w:val="006B78D9"/>
    <w:rsid w:val="006C0172"/>
    <w:rsid w:val="006C0950"/>
    <w:rsid w:val="006C0B2A"/>
    <w:rsid w:val="006C0CA2"/>
    <w:rsid w:val="006C14E1"/>
    <w:rsid w:val="006C1DA5"/>
    <w:rsid w:val="006C2836"/>
    <w:rsid w:val="006C2892"/>
    <w:rsid w:val="006C303D"/>
    <w:rsid w:val="006C3D0B"/>
    <w:rsid w:val="006C3E1A"/>
    <w:rsid w:val="006C427D"/>
    <w:rsid w:val="006C4433"/>
    <w:rsid w:val="006C4874"/>
    <w:rsid w:val="006C4875"/>
    <w:rsid w:val="006C5610"/>
    <w:rsid w:val="006C5F27"/>
    <w:rsid w:val="006C60A5"/>
    <w:rsid w:val="006C6442"/>
    <w:rsid w:val="006D0993"/>
    <w:rsid w:val="006D113B"/>
    <w:rsid w:val="006D1512"/>
    <w:rsid w:val="006D1F8C"/>
    <w:rsid w:val="006D32CD"/>
    <w:rsid w:val="006D3522"/>
    <w:rsid w:val="006D3FE5"/>
    <w:rsid w:val="006D4DCB"/>
    <w:rsid w:val="006D54B1"/>
    <w:rsid w:val="006D5C87"/>
    <w:rsid w:val="006D5F90"/>
    <w:rsid w:val="006D60C0"/>
    <w:rsid w:val="006D61D1"/>
    <w:rsid w:val="006D67E7"/>
    <w:rsid w:val="006D6DF3"/>
    <w:rsid w:val="006D7ED4"/>
    <w:rsid w:val="006E01A6"/>
    <w:rsid w:val="006E0BE6"/>
    <w:rsid w:val="006E0BFD"/>
    <w:rsid w:val="006E1E8D"/>
    <w:rsid w:val="006E1FD8"/>
    <w:rsid w:val="006E277B"/>
    <w:rsid w:val="006E2AF4"/>
    <w:rsid w:val="006E39AE"/>
    <w:rsid w:val="006E3D93"/>
    <w:rsid w:val="006E41A1"/>
    <w:rsid w:val="006E4D22"/>
    <w:rsid w:val="006E5638"/>
    <w:rsid w:val="006E58DA"/>
    <w:rsid w:val="006E5B5B"/>
    <w:rsid w:val="006E5D7B"/>
    <w:rsid w:val="006E626D"/>
    <w:rsid w:val="006E686E"/>
    <w:rsid w:val="006E6870"/>
    <w:rsid w:val="006E6A18"/>
    <w:rsid w:val="006E6D52"/>
    <w:rsid w:val="006E7660"/>
    <w:rsid w:val="006E79EB"/>
    <w:rsid w:val="006E7A9C"/>
    <w:rsid w:val="006E7F36"/>
    <w:rsid w:val="006F072A"/>
    <w:rsid w:val="006F0A77"/>
    <w:rsid w:val="006F13AC"/>
    <w:rsid w:val="006F159A"/>
    <w:rsid w:val="006F1B1B"/>
    <w:rsid w:val="006F1E06"/>
    <w:rsid w:val="006F2A60"/>
    <w:rsid w:val="006F2FA3"/>
    <w:rsid w:val="006F3028"/>
    <w:rsid w:val="006F3687"/>
    <w:rsid w:val="006F3E75"/>
    <w:rsid w:val="006F42B3"/>
    <w:rsid w:val="006F4588"/>
    <w:rsid w:val="006F5201"/>
    <w:rsid w:val="006F59FF"/>
    <w:rsid w:val="006F72E9"/>
    <w:rsid w:val="006F72EA"/>
    <w:rsid w:val="006F7BF5"/>
    <w:rsid w:val="006F7F9A"/>
    <w:rsid w:val="006F7FD8"/>
    <w:rsid w:val="00700B95"/>
    <w:rsid w:val="00701806"/>
    <w:rsid w:val="00701B6D"/>
    <w:rsid w:val="00701F72"/>
    <w:rsid w:val="00701FC2"/>
    <w:rsid w:val="00702979"/>
    <w:rsid w:val="00703911"/>
    <w:rsid w:val="0070402D"/>
    <w:rsid w:val="00704193"/>
    <w:rsid w:val="00704421"/>
    <w:rsid w:val="00705685"/>
    <w:rsid w:val="007058A8"/>
    <w:rsid w:val="0070590E"/>
    <w:rsid w:val="0070610E"/>
    <w:rsid w:val="00707702"/>
    <w:rsid w:val="00707AC1"/>
    <w:rsid w:val="00707BE1"/>
    <w:rsid w:val="00707E38"/>
    <w:rsid w:val="0071019F"/>
    <w:rsid w:val="00710912"/>
    <w:rsid w:val="007121E3"/>
    <w:rsid w:val="00712751"/>
    <w:rsid w:val="00712B35"/>
    <w:rsid w:val="00712F02"/>
    <w:rsid w:val="00713989"/>
    <w:rsid w:val="00713ABB"/>
    <w:rsid w:val="00713D6E"/>
    <w:rsid w:val="007140E9"/>
    <w:rsid w:val="0071415D"/>
    <w:rsid w:val="0071450E"/>
    <w:rsid w:val="00714EE5"/>
    <w:rsid w:val="0071522B"/>
    <w:rsid w:val="00717FFC"/>
    <w:rsid w:val="0072031F"/>
    <w:rsid w:val="00720AB0"/>
    <w:rsid w:val="007236F4"/>
    <w:rsid w:val="00723AA9"/>
    <w:rsid w:val="00724367"/>
    <w:rsid w:val="00724852"/>
    <w:rsid w:val="00724DB7"/>
    <w:rsid w:val="00724EEE"/>
    <w:rsid w:val="00724F28"/>
    <w:rsid w:val="007257C1"/>
    <w:rsid w:val="007257D9"/>
    <w:rsid w:val="00725848"/>
    <w:rsid w:val="00725A28"/>
    <w:rsid w:val="00725B1D"/>
    <w:rsid w:val="00725DA1"/>
    <w:rsid w:val="00726781"/>
    <w:rsid w:val="00726A67"/>
    <w:rsid w:val="00727373"/>
    <w:rsid w:val="00727A7C"/>
    <w:rsid w:val="007301B5"/>
    <w:rsid w:val="0073028A"/>
    <w:rsid w:val="00730459"/>
    <w:rsid w:val="00731339"/>
    <w:rsid w:val="00731731"/>
    <w:rsid w:val="00731F46"/>
    <w:rsid w:val="00732332"/>
    <w:rsid w:val="00732592"/>
    <w:rsid w:val="0073289C"/>
    <w:rsid w:val="00732CAB"/>
    <w:rsid w:val="00732FB3"/>
    <w:rsid w:val="007330E5"/>
    <w:rsid w:val="007334FA"/>
    <w:rsid w:val="007338FE"/>
    <w:rsid w:val="00733AA6"/>
    <w:rsid w:val="00733E5E"/>
    <w:rsid w:val="00733E66"/>
    <w:rsid w:val="00734714"/>
    <w:rsid w:val="00734A4A"/>
    <w:rsid w:val="00735628"/>
    <w:rsid w:val="0073690E"/>
    <w:rsid w:val="0073694E"/>
    <w:rsid w:val="00737B2D"/>
    <w:rsid w:val="00737F4A"/>
    <w:rsid w:val="0074028F"/>
    <w:rsid w:val="00740767"/>
    <w:rsid w:val="007408CB"/>
    <w:rsid w:val="0074110D"/>
    <w:rsid w:val="0074118F"/>
    <w:rsid w:val="00741546"/>
    <w:rsid w:val="00741B3C"/>
    <w:rsid w:val="00742EF0"/>
    <w:rsid w:val="00743590"/>
    <w:rsid w:val="007435AE"/>
    <w:rsid w:val="00743613"/>
    <w:rsid w:val="00743A17"/>
    <w:rsid w:val="00743B95"/>
    <w:rsid w:val="00743C3A"/>
    <w:rsid w:val="00743DDD"/>
    <w:rsid w:val="007448E0"/>
    <w:rsid w:val="00744B5D"/>
    <w:rsid w:val="00745D25"/>
    <w:rsid w:val="00745F63"/>
    <w:rsid w:val="007460AA"/>
    <w:rsid w:val="007460F0"/>
    <w:rsid w:val="00746260"/>
    <w:rsid w:val="0074629A"/>
    <w:rsid w:val="00746B72"/>
    <w:rsid w:val="00746FEA"/>
    <w:rsid w:val="00747334"/>
    <w:rsid w:val="007474B0"/>
    <w:rsid w:val="007476C3"/>
    <w:rsid w:val="00750078"/>
    <w:rsid w:val="007519DC"/>
    <w:rsid w:val="00752033"/>
    <w:rsid w:val="00752540"/>
    <w:rsid w:val="007532E1"/>
    <w:rsid w:val="00753731"/>
    <w:rsid w:val="007537B4"/>
    <w:rsid w:val="00753CBD"/>
    <w:rsid w:val="00753FD6"/>
    <w:rsid w:val="007541F9"/>
    <w:rsid w:val="00754D15"/>
    <w:rsid w:val="007561B5"/>
    <w:rsid w:val="007565BE"/>
    <w:rsid w:val="00757342"/>
    <w:rsid w:val="00757AEE"/>
    <w:rsid w:val="00757FB4"/>
    <w:rsid w:val="00760BAB"/>
    <w:rsid w:val="00761505"/>
    <w:rsid w:val="0076271A"/>
    <w:rsid w:val="00762D03"/>
    <w:rsid w:val="00762DB0"/>
    <w:rsid w:val="00762F33"/>
    <w:rsid w:val="00763737"/>
    <w:rsid w:val="0076440D"/>
    <w:rsid w:val="007644D2"/>
    <w:rsid w:val="007649D1"/>
    <w:rsid w:val="00765D26"/>
    <w:rsid w:val="00765E3C"/>
    <w:rsid w:val="007662D5"/>
    <w:rsid w:val="00766BAD"/>
    <w:rsid w:val="0076710A"/>
    <w:rsid w:val="0076796F"/>
    <w:rsid w:val="00767EC1"/>
    <w:rsid w:val="00770740"/>
    <w:rsid w:val="00770942"/>
    <w:rsid w:val="00770AE0"/>
    <w:rsid w:val="007719C9"/>
    <w:rsid w:val="007729B0"/>
    <w:rsid w:val="007731E3"/>
    <w:rsid w:val="007748B5"/>
    <w:rsid w:val="00774B1E"/>
    <w:rsid w:val="00777001"/>
    <w:rsid w:val="007771EA"/>
    <w:rsid w:val="007779BA"/>
    <w:rsid w:val="00777ABB"/>
    <w:rsid w:val="00780646"/>
    <w:rsid w:val="007806B4"/>
    <w:rsid w:val="00780A14"/>
    <w:rsid w:val="00781546"/>
    <w:rsid w:val="00781B76"/>
    <w:rsid w:val="00781CAE"/>
    <w:rsid w:val="00781D8B"/>
    <w:rsid w:val="00782221"/>
    <w:rsid w:val="007822AF"/>
    <w:rsid w:val="00782964"/>
    <w:rsid w:val="00783428"/>
    <w:rsid w:val="0078353F"/>
    <w:rsid w:val="007845BA"/>
    <w:rsid w:val="00784C55"/>
    <w:rsid w:val="007850C0"/>
    <w:rsid w:val="007859F4"/>
    <w:rsid w:val="00785A93"/>
    <w:rsid w:val="00786937"/>
    <w:rsid w:val="00786C58"/>
    <w:rsid w:val="00786F0E"/>
    <w:rsid w:val="0079036B"/>
    <w:rsid w:val="0079039E"/>
    <w:rsid w:val="00792166"/>
    <w:rsid w:val="007921CA"/>
    <w:rsid w:val="00792462"/>
    <w:rsid w:val="0079282E"/>
    <w:rsid w:val="00794542"/>
    <w:rsid w:val="00794FC3"/>
    <w:rsid w:val="007951C4"/>
    <w:rsid w:val="00795469"/>
    <w:rsid w:val="00795470"/>
    <w:rsid w:val="007954D6"/>
    <w:rsid w:val="00795991"/>
    <w:rsid w:val="00795F34"/>
    <w:rsid w:val="00796323"/>
    <w:rsid w:val="007965CB"/>
    <w:rsid w:val="0079666B"/>
    <w:rsid w:val="00796C3F"/>
    <w:rsid w:val="007971AC"/>
    <w:rsid w:val="0079728A"/>
    <w:rsid w:val="007974A2"/>
    <w:rsid w:val="00797AB6"/>
    <w:rsid w:val="00797BB5"/>
    <w:rsid w:val="00797CC4"/>
    <w:rsid w:val="007A00B2"/>
    <w:rsid w:val="007A04E4"/>
    <w:rsid w:val="007A0563"/>
    <w:rsid w:val="007A0EA3"/>
    <w:rsid w:val="007A10FD"/>
    <w:rsid w:val="007A155A"/>
    <w:rsid w:val="007A1FEA"/>
    <w:rsid w:val="007A23D8"/>
    <w:rsid w:val="007A33C9"/>
    <w:rsid w:val="007A3C64"/>
    <w:rsid w:val="007A4354"/>
    <w:rsid w:val="007A46E4"/>
    <w:rsid w:val="007A5596"/>
    <w:rsid w:val="007A5843"/>
    <w:rsid w:val="007A5EE4"/>
    <w:rsid w:val="007A634C"/>
    <w:rsid w:val="007A7B8D"/>
    <w:rsid w:val="007B0205"/>
    <w:rsid w:val="007B04BF"/>
    <w:rsid w:val="007B0502"/>
    <w:rsid w:val="007B0C6C"/>
    <w:rsid w:val="007B112D"/>
    <w:rsid w:val="007B152B"/>
    <w:rsid w:val="007B2149"/>
    <w:rsid w:val="007B26EF"/>
    <w:rsid w:val="007B2933"/>
    <w:rsid w:val="007B2DDE"/>
    <w:rsid w:val="007B32A3"/>
    <w:rsid w:val="007B5820"/>
    <w:rsid w:val="007B6050"/>
    <w:rsid w:val="007B6314"/>
    <w:rsid w:val="007B6487"/>
    <w:rsid w:val="007B7625"/>
    <w:rsid w:val="007B7E2B"/>
    <w:rsid w:val="007B7ED2"/>
    <w:rsid w:val="007B7FC3"/>
    <w:rsid w:val="007C094B"/>
    <w:rsid w:val="007C0957"/>
    <w:rsid w:val="007C0E12"/>
    <w:rsid w:val="007C1674"/>
    <w:rsid w:val="007C190F"/>
    <w:rsid w:val="007C2172"/>
    <w:rsid w:val="007C21AF"/>
    <w:rsid w:val="007C273F"/>
    <w:rsid w:val="007C3150"/>
    <w:rsid w:val="007C3B39"/>
    <w:rsid w:val="007C4C50"/>
    <w:rsid w:val="007C4E35"/>
    <w:rsid w:val="007C4F46"/>
    <w:rsid w:val="007C525D"/>
    <w:rsid w:val="007C54C9"/>
    <w:rsid w:val="007C63FB"/>
    <w:rsid w:val="007C6D77"/>
    <w:rsid w:val="007C6D8E"/>
    <w:rsid w:val="007C7206"/>
    <w:rsid w:val="007C74F3"/>
    <w:rsid w:val="007D0541"/>
    <w:rsid w:val="007D068C"/>
    <w:rsid w:val="007D070F"/>
    <w:rsid w:val="007D09A0"/>
    <w:rsid w:val="007D1009"/>
    <w:rsid w:val="007D107F"/>
    <w:rsid w:val="007D1512"/>
    <w:rsid w:val="007D1BA6"/>
    <w:rsid w:val="007D27B6"/>
    <w:rsid w:val="007D2B91"/>
    <w:rsid w:val="007D4161"/>
    <w:rsid w:val="007D428E"/>
    <w:rsid w:val="007D433F"/>
    <w:rsid w:val="007D4725"/>
    <w:rsid w:val="007D473B"/>
    <w:rsid w:val="007D5AE6"/>
    <w:rsid w:val="007D5C1E"/>
    <w:rsid w:val="007D5D06"/>
    <w:rsid w:val="007D6061"/>
    <w:rsid w:val="007D6545"/>
    <w:rsid w:val="007D6CA3"/>
    <w:rsid w:val="007D720E"/>
    <w:rsid w:val="007D7E67"/>
    <w:rsid w:val="007E0176"/>
    <w:rsid w:val="007E0585"/>
    <w:rsid w:val="007E0ACA"/>
    <w:rsid w:val="007E18F6"/>
    <w:rsid w:val="007E3A8F"/>
    <w:rsid w:val="007E3C4D"/>
    <w:rsid w:val="007E4DA7"/>
    <w:rsid w:val="007E50F7"/>
    <w:rsid w:val="007E6243"/>
    <w:rsid w:val="007E63F9"/>
    <w:rsid w:val="007E6BD0"/>
    <w:rsid w:val="007E7473"/>
    <w:rsid w:val="007E754C"/>
    <w:rsid w:val="007E7894"/>
    <w:rsid w:val="007E78BB"/>
    <w:rsid w:val="007F073F"/>
    <w:rsid w:val="007F1F9D"/>
    <w:rsid w:val="007F21C4"/>
    <w:rsid w:val="007F2FBD"/>
    <w:rsid w:val="007F32E5"/>
    <w:rsid w:val="007F4DA6"/>
    <w:rsid w:val="007F4FBD"/>
    <w:rsid w:val="007F53CD"/>
    <w:rsid w:val="007F59C0"/>
    <w:rsid w:val="007F66D7"/>
    <w:rsid w:val="007F6C5D"/>
    <w:rsid w:val="007F7265"/>
    <w:rsid w:val="007F75B4"/>
    <w:rsid w:val="007F7B65"/>
    <w:rsid w:val="007F7CED"/>
    <w:rsid w:val="0080002E"/>
    <w:rsid w:val="00800871"/>
    <w:rsid w:val="00800DC6"/>
    <w:rsid w:val="00801099"/>
    <w:rsid w:val="00801195"/>
    <w:rsid w:val="008012E8"/>
    <w:rsid w:val="00801809"/>
    <w:rsid w:val="00802493"/>
    <w:rsid w:val="00802C7D"/>
    <w:rsid w:val="00802DC2"/>
    <w:rsid w:val="00802F17"/>
    <w:rsid w:val="00803B34"/>
    <w:rsid w:val="0080423B"/>
    <w:rsid w:val="00804CD5"/>
    <w:rsid w:val="00804E5C"/>
    <w:rsid w:val="00804EAA"/>
    <w:rsid w:val="00804F2F"/>
    <w:rsid w:val="00805EDD"/>
    <w:rsid w:val="0080647B"/>
    <w:rsid w:val="00806F6D"/>
    <w:rsid w:val="00807246"/>
    <w:rsid w:val="00807982"/>
    <w:rsid w:val="00807C9E"/>
    <w:rsid w:val="00807E7A"/>
    <w:rsid w:val="00810191"/>
    <w:rsid w:val="0081091E"/>
    <w:rsid w:val="00811091"/>
    <w:rsid w:val="00812E01"/>
    <w:rsid w:val="0081368E"/>
    <w:rsid w:val="00815024"/>
    <w:rsid w:val="00815131"/>
    <w:rsid w:val="00815485"/>
    <w:rsid w:val="008156B9"/>
    <w:rsid w:val="0081609F"/>
    <w:rsid w:val="00816B31"/>
    <w:rsid w:val="00816BB1"/>
    <w:rsid w:val="00816E6E"/>
    <w:rsid w:val="008205F2"/>
    <w:rsid w:val="00820991"/>
    <w:rsid w:val="00821294"/>
    <w:rsid w:val="008212E7"/>
    <w:rsid w:val="008213BE"/>
    <w:rsid w:val="00821846"/>
    <w:rsid w:val="00821AB6"/>
    <w:rsid w:val="00821B0A"/>
    <w:rsid w:val="00821F0D"/>
    <w:rsid w:val="00821FF1"/>
    <w:rsid w:val="008220BE"/>
    <w:rsid w:val="008220C8"/>
    <w:rsid w:val="0082245F"/>
    <w:rsid w:val="008225F9"/>
    <w:rsid w:val="0082278D"/>
    <w:rsid w:val="008229B5"/>
    <w:rsid w:val="0082432F"/>
    <w:rsid w:val="008300C8"/>
    <w:rsid w:val="00830109"/>
    <w:rsid w:val="0083105C"/>
    <w:rsid w:val="00831F2D"/>
    <w:rsid w:val="008321A0"/>
    <w:rsid w:val="00832C08"/>
    <w:rsid w:val="0083304E"/>
    <w:rsid w:val="00833419"/>
    <w:rsid w:val="00833DA9"/>
    <w:rsid w:val="00834095"/>
    <w:rsid w:val="00834C68"/>
    <w:rsid w:val="00835CA2"/>
    <w:rsid w:val="00836B34"/>
    <w:rsid w:val="00836EF7"/>
    <w:rsid w:val="00837884"/>
    <w:rsid w:val="00837CF9"/>
    <w:rsid w:val="008401E7"/>
    <w:rsid w:val="0084072D"/>
    <w:rsid w:val="00841D68"/>
    <w:rsid w:val="0084323F"/>
    <w:rsid w:val="008446AA"/>
    <w:rsid w:val="00844B59"/>
    <w:rsid w:val="00845403"/>
    <w:rsid w:val="00846237"/>
    <w:rsid w:val="00846800"/>
    <w:rsid w:val="0084693D"/>
    <w:rsid w:val="00846B46"/>
    <w:rsid w:val="00850339"/>
    <w:rsid w:val="00850DDC"/>
    <w:rsid w:val="00850E6D"/>
    <w:rsid w:val="00850F06"/>
    <w:rsid w:val="00851D5F"/>
    <w:rsid w:val="00852EF9"/>
    <w:rsid w:val="00855210"/>
    <w:rsid w:val="008553ED"/>
    <w:rsid w:val="00855A59"/>
    <w:rsid w:val="0085640A"/>
    <w:rsid w:val="00856A7D"/>
    <w:rsid w:val="008572F8"/>
    <w:rsid w:val="00857539"/>
    <w:rsid w:val="00860AA8"/>
    <w:rsid w:val="00861058"/>
    <w:rsid w:val="00861954"/>
    <w:rsid w:val="00861AE3"/>
    <w:rsid w:val="00862045"/>
    <w:rsid w:val="008622B7"/>
    <w:rsid w:val="008625C4"/>
    <w:rsid w:val="008631EC"/>
    <w:rsid w:val="00863528"/>
    <w:rsid w:val="008636FB"/>
    <w:rsid w:val="008637C7"/>
    <w:rsid w:val="00863E39"/>
    <w:rsid w:val="0086407B"/>
    <w:rsid w:val="008644A5"/>
    <w:rsid w:val="00864991"/>
    <w:rsid w:val="0086499D"/>
    <w:rsid w:val="008652FB"/>
    <w:rsid w:val="008656AB"/>
    <w:rsid w:val="00865D2A"/>
    <w:rsid w:val="00866282"/>
    <w:rsid w:val="008664A5"/>
    <w:rsid w:val="0086667C"/>
    <w:rsid w:val="0087013C"/>
    <w:rsid w:val="00871740"/>
    <w:rsid w:val="00874440"/>
    <w:rsid w:val="00875094"/>
    <w:rsid w:val="0087585A"/>
    <w:rsid w:val="00875B01"/>
    <w:rsid w:val="00876822"/>
    <w:rsid w:val="008773E0"/>
    <w:rsid w:val="00877A0D"/>
    <w:rsid w:val="00877BDB"/>
    <w:rsid w:val="008811EF"/>
    <w:rsid w:val="00881930"/>
    <w:rsid w:val="00881A45"/>
    <w:rsid w:val="00881DAE"/>
    <w:rsid w:val="0088280B"/>
    <w:rsid w:val="00882E81"/>
    <w:rsid w:val="008838AE"/>
    <w:rsid w:val="00883937"/>
    <w:rsid w:val="00883A99"/>
    <w:rsid w:val="00884243"/>
    <w:rsid w:val="00884807"/>
    <w:rsid w:val="00884F26"/>
    <w:rsid w:val="00884F93"/>
    <w:rsid w:val="0088511F"/>
    <w:rsid w:val="0088574C"/>
    <w:rsid w:val="00885F09"/>
    <w:rsid w:val="00886423"/>
    <w:rsid w:val="0088720A"/>
    <w:rsid w:val="00887C92"/>
    <w:rsid w:val="00887F02"/>
    <w:rsid w:val="008900EF"/>
    <w:rsid w:val="00890900"/>
    <w:rsid w:val="0089115A"/>
    <w:rsid w:val="00891351"/>
    <w:rsid w:val="00891BA9"/>
    <w:rsid w:val="00891F9C"/>
    <w:rsid w:val="008921E3"/>
    <w:rsid w:val="00892680"/>
    <w:rsid w:val="00892AF4"/>
    <w:rsid w:val="00892E71"/>
    <w:rsid w:val="0089321B"/>
    <w:rsid w:val="0089346C"/>
    <w:rsid w:val="00893519"/>
    <w:rsid w:val="00893D68"/>
    <w:rsid w:val="008949E7"/>
    <w:rsid w:val="00894ABA"/>
    <w:rsid w:val="00894EEC"/>
    <w:rsid w:val="00895493"/>
    <w:rsid w:val="0089556A"/>
    <w:rsid w:val="008959ED"/>
    <w:rsid w:val="00896185"/>
    <w:rsid w:val="0089653B"/>
    <w:rsid w:val="0089675C"/>
    <w:rsid w:val="00896836"/>
    <w:rsid w:val="008A0129"/>
    <w:rsid w:val="008A01B7"/>
    <w:rsid w:val="008A1636"/>
    <w:rsid w:val="008A1901"/>
    <w:rsid w:val="008A1B40"/>
    <w:rsid w:val="008A1D88"/>
    <w:rsid w:val="008A20A4"/>
    <w:rsid w:val="008A24EF"/>
    <w:rsid w:val="008A2804"/>
    <w:rsid w:val="008A2AF5"/>
    <w:rsid w:val="008A329D"/>
    <w:rsid w:val="008A33A6"/>
    <w:rsid w:val="008A347C"/>
    <w:rsid w:val="008A3EE1"/>
    <w:rsid w:val="008A3F9E"/>
    <w:rsid w:val="008A4CC6"/>
    <w:rsid w:val="008A5330"/>
    <w:rsid w:val="008A585C"/>
    <w:rsid w:val="008A5C15"/>
    <w:rsid w:val="008A7017"/>
    <w:rsid w:val="008A71F8"/>
    <w:rsid w:val="008A7293"/>
    <w:rsid w:val="008B034E"/>
    <w:rsid w:val="008B0ED1"/>
    <w:rsid w:val="008B136D"/>
    <w:rsid w:val="008B24D4"/>
    <w:rsid w:val="008B25D9"/>
    <w:rsid w:val="008B279E"/>
    <w:rsid w:val="008B2D95"/>
    <w:rsid w:val="008B2F9B"/>
    <w:rsid w:val="008B3198"/>
    <w:rsid w:val="008B3AFA"/>
    <w:rsid w:val="008B413F"/>
    <w:rsid w:val="008B4235"/>
    <w:rsid w:val="008B451C"/>
    <w:rsid w:val="008B4591"/>
    <w:rsid w:val="008B47EA"/>
    <w:rsid w:val="008B4885"/>
    <w:rsid w:val="008B4C82"/>
    <w:rsid w:val="008B4D4C"/>
    <w:rsid w:val="008B51F1"/>
    <w:rsid w:val="008B5819"/>
    <w:rsid w:val="008B590B"/>
    <w:rsid w:val="008B5922"/>
    <w:rsid w:val="008B658D"/>
    <w:rsid w:val="008B6860"/>
    <w:rsid w:val="008B691B"/>
    <w:rsid w:val="008B7173"/>
    <w:rsid w:val="008B780E"/>
    <w:rsid w:val="008B7CA1"/>
    <w:rsid w:val="008B7D8D"/>
    <w:rsid w:val="008B7FD9"/>
    <w:rsid w:val="008C0141"/>
    <w:rsid w:val="008C058A"/>
    <w:rsid w:val="008C11E1"/>
    <w:rsid w:val="008C17DF"/>
    <w:rsid w:val="008C1A46"/>
    <w:rsid w:val="008C1AD7"/>
    <w:rsid w:val="008C1C0F"/>
    <w:rsid w:val="008C1E30"/>
    <w:rsid w:val="008C25D4"/>
    <w:rsid w:val="008C261C"/>
    <w:rsid w:val="008C2772"/>
    <w:rsid w:val="008C279A"/>
    <w:rsid w:val="008C2A94"/>
    <w:rsid w:val="008C37E8"/>
    <w:rsid w:val="008C3C49"/>
    <w:rsid w:val="008C4C31"/>
    <w:rsid w:val="008C4D55"/>
    <w:rsid w:val="008C4D75"/>
    <w:rsid w:val="008C5395"/>
    <w:rsid w:val="008C558C"/>
    <w:rsid w:val="008C5A47"/>
    <w:rsid w:val="008C5A61"/>
    <w:rsid w:val="008C5F39"/>
    <w:rsid w:val="008C757A"/>
    <w:rsid w:val="008D0A21"/>
    <w:rsid w:val="008D0BD2"/>
    <w:rsid w:val="008D0EE1"/>
    <w:rsid w:val="008D135D"/>
    <w:rsid w:val="008D13B7"/>
    <w:rsid w:val="008D1604"/>
    <w:rsid w:val="008D16E9"/>
    <w:rsid w:val="008D2033"/>
    <w:rsid w:val="008D2627"/>
    <w:rsid w:val="008D2A17"/>
    <w:rsid w:val="008D2A53"/>
    <w:rsid w:val="008D32D8"/>
    <w:rsid w:val="008D3429"/>
    <w:rsid w:val="008D3702"/>
    <w:rsid w:val="008D3872"/>
    <w:rsid w:val="008D3AD1"/>
    <w:rsid w:val="008D3FE1"/>
    <w:rsid w:val="008D418F"/>
    <w:rsid w:val="008D54B3"/>
    <w:rsid w:val="008D5501"/>
    <w:rsid w:val="008D5AD2"/>
    <w:rsid w:val="008D5F6A"/>
    <w:rsid w:val="008D62DF"/>
    <w:rsid w:val="008D652E"/>
    <w:rsid w:val="008D67A2"/>
    <w:rsid w:val="008D6A06"/>
    <w:rsid w:val="008D6D27"/>
    <w:rsid w:val="008D6FAC"/>
    <w:rsid w:val="008D7326"/>
    <w:rsid w:val="008D7DCA"/>
    <w:rsid w:val="008D7FB5"/>
    <w:rsid w:val="008E033D"/>
    <w:rsid w:val="008E0517"/>
    <w:rsid w:val="008E063A"/>
    <w:rsid w:val="008E0793"/>
    <w:rsid w:val="008E0C16"/>
    <w:rsid w:val="008E1306"/>
    <w:rsid w:val="008E1A87"/>
    <w:rsid w:val="008E267C"/>
    <w:rsid w:val="008E2A0B"/>
    <w:rsid w:val="008E2C1D"/>
    <w:rsid w:val="008E2F2E"/>
    <w:rsid w:val="008E2FBC"/>
    <w:rsid w:val="008E3164"/>
    <w:rsid w:val="008E3479"/>
    <w:rsid w:val="008E39AD"/>
    <w:rsid w:val="008E50DE"/>
    <w:rsid w:val="008E5BCC"/>
    <w:rsid w:val="008E5C68"/>
    <w:rsid w:val="008E5CA7"/>
    <w:rsid w:val="008E5F8A"/>
    <w:rsid w:val="008E62B5"/>
    <w:rsid w:val="008E637A"/>
    <w:rsid w:val="008E6421"/>
    <w:rsid w:val="008E6831"/>
    <w:rsid w:val="008E6A80"/>
    <w:rsid w:val="008E6C36"/>
    <w:rsid w:val="008E6E36"/>
    <w:rsid w:val="008E72B9"/>
    <w:rsid w:val="008E7559"/>
    <w:rsid w:val="008E79EE"/>
    <w:rsid w:val="008F0309"/>
    <w:rsid w:val="008F0CCE"/>
    <w:rsid w:val="008F0D09"/>
    <w:rsid w:val="008F1B5F"/>
    <w:rsid w:val="008F2FE9"/>
    <w:rsid w:val="008F3D8E"/>
    <w:rsid w:val="008F411B"/>
    <w:rsid w:val="008F5175"/>
    <w:rsid w:val="008F5338"/>
    <w:rsid w:val="008F58B3"/>
    <w:rsid w:val="008F65EB"/>
    <w:rsid w:val="008F76A3"/>
    <w:rsid w:val="008F7DA3"/>
    <w:rsid w:val="00900474"/>
    <w:rsid w:val="00900615"/>
    <w:rsid w:val="00900663"/>
    <w:rsid w:val="00901FC1"/>
    <w:rsid w:val="00902082"/>
    <w:rsid w:val="00902BFD"/>
    <w:rsid w:val="009047BC"/>
    <w:rsid w:val="009061A4"/>
    <w:rsid w:val="00906704"/>
    <w:rsid w:val="00906B9B"/>
    <w:rsid w:val="009077CA"/>
    <w:rsid w:val="00907891"/>
    <w:rsid w:val="00907E58"/>
    <w:rsid w:val="009103B4"/>
    <w:rsid w:val="0091057C"/>
    <w:rsid w:val="00910647"/>
    <w:rsid w:val="009111D6"/>
    <w:rsid w:val="009114BD"/>
    <w:rsid w:val="0091161A"/>
    <w:rsid w:val="00911C6D"/>
    <w:rsid w:val="00911F02"/>
    <w:rsid w:val="00913261"/>
    <w:rsid w:val="0091375E"/>
    <w:rsid w:val="00913A4A"/>
    <w:rsid w:val="00913B40"/>
    <w:rsid w:val="00913B4B"/>
    <w:rsid w:val="00913D82"/>
    <w:rsid w:val="009141C3"/>
    <w:rsid w:val="00914BAA"/>
    <w:rsid w:val="00914EBA"/>
    <w:rsid w:val="00916EB2"/>
    <w:rsid w:val="0091713A"/>
    <w:rsid w:val="009171B7"/>
    <w:rsid w:val="00917260"/>
    <w:rsid w:val="00917AF3"/>
    <w:rsid w:val="00917D81"/>
    <w:rsid w:val="00920448"/>
    <w:rsid w:val="009207F1"/>
    <w:rsid w:val="00920DC9"/>
    <w:rsid w:val="00922662"/>
    <w:rsid w:val="00922ACA"/>
    <w:rsid w:val="00922B8A"/>
    <w:rsid w:val="00922E9E"/>
    <w:rsid w:val="00923350"/>
    <w:rsid w:val="0092366D"/>
    <w:rsid w:val="009238ED"/>
    <w:rsid w:val="00923F9B"/>
    <w:rsid w:val="00924739"/>
    <w:rsid w:val="00924CCC"/>
    <w:rsid w:val="009258BA"/>
    <w:rsid w:val="00925984"/>
    <w:rsid w:val="00925BE3"/>
    <w:rsid w:val="00925FF7"/>
    <w:rsid w:val="009263C5"/>
    <w:rsid w:val="009263F1"/>
    <w:rsid w:val="00926FD9"/>
    <w:rsid w:val="0092732E"/>
    <w:rsid w:val="009273C4"/>
    <w:rsid w:val="009275C5"/>
    <w:rsid w:val="00927C80"/>
    <w:rsid w:val="00930006"/>
    <w:rsid w:val="00930015"/>
    <w:rsid w:val="009300D9"/>
    <w:rsid w:val="00930856"/>
    <w:rsid w:val="00930BA2"/>
    <w:rsid w:val="00930BB3"/>
    <w:rsid w:val="00930FF1"/>
    <w:rsid w:val="009318FC"/>
    <w:rsid w:val="00931AA8"/>
    <w:rsid w:val="00932031"/>
    <w:rsid w:val="00932357"/>
    <w:rsid w:val="00933470"/>
    <w:rsid w:val="00933AB8"/>
    <w:rsid w:val="00933F1B"/>
    <w:rsid w:val="00934724"/>
    <w:rsid w:val="009348AC"/>
    <w:rsid w:val="00934A21"/>
    <w:rsid w:val="00934E33"/>
    <w:rsid w:val="00935848"/>
    <w:rsid w:val="00935915"/>
    <w:rsid w:val="00935A2B"/>
    <w:rsid w:val="009368C2"/>
    <w:rsid w:val="00936D08"/>
    <w:rsid w:val="00937A39"/>
    <w:rsid w:val="00937B39"/>
    <w:rsid w:val="00937EB6"/>
    <w:rsid w:val="00940046"/>
    <w:rsid w:val="0094088B"/>
    <w:rsid w:val="00940C17"/>
    <w:rsid w:val="00942352"/>
    <w:rsid w:val="00942BB0"/>
    <w:rsid w:val="00942D12"/>
    <w:rsid w:val="00942ED3"/>
    <w:rsid w:val="00943C68"/>
    <w:rsid w:val="00944610"/>
    <w:rsid w:val="009448E9"/>
    <w:rsid w:val="0094554F"/>
    <w:rsid w:val="00945B26"/>
    <w:rsid w:val="009460A6"/>
    <w:rsid w:val="009461C2"/>
    <w:rsid w:val="00947D02"/>
    <w:rsid w:val="00947E0F"/>
    <w:rsid w:val="00950151"/>
    <w:rsid w:val="00951256"/>
    <w:rsid w:val="00951287"/>
    <w:rsid w:val="0095211D"/>
    <w:rsid w:val="00952649"/>
    <w:rsid w:val="00952993"/>
    <w:rsid w:val="00953063"/>
    <w:rsid w:val="009532E7"/>
    <w:rsid w:val="00954B1D"/>
    <w:rsid w:val="00954BFA"/>
    <w:rsid w:val="00954DC5"/>
    <w:rsid w:val="00954EED"/>
    <w:rsid w:val="009551ED"/>
    <w:rsid w:val="00955469"/>
    <w:rsid w:val="00955689"/>
    <w:rsid w:val="00955D20"/>
    <w:rsid w:val="009568EF"/>
    <w:rsid w:val="00956B00"/>
    <w:rsid w:val="00957822"/>
    <w:rsid w:val="00957890"/>
    <w:rsid w:val="009602AC"/>
    <w:rsid w:val="0096030D"/>
    <w:rsid w:val="0096065A"/>
    <w:rsid w:val="00960CAD"/>
    <w:rsid w:val="00961647"/>
    <w:rsid w:val="00961CA3"/>
    <w:rsid w:val="00961F2B"/>
    <w:rsid w:val="00962127"/>
    <w:rsid w:val="00962CAF"/>
    <w:rsid w:val="0096311A"/>
    <w:rsid w:val="00963962"/>
    <w:rsid w:val="00963C15"/>
    <w:rsid w:val="0096449C"/>
    <w:rsid w:val="009647EE"/>
    <w:rsid w:val="00964F75"/>
    <w:rsid w:val="00965700"/>
    <w:rsid w:val="00966135"/>
    <w:rsid w:val="0096747D"/>
    <w:rsid w:val="00967865"/>
    <w:rsid w:val="00967973"/>
    <w:rsid w:val="0097001C"/>
    <w:rsid w:val="009700C8"/>
    <w:rsid w:val="0097083A"/>
    <w:rsid w:val="00970F31"/>
    <w:rsid w:val="00971199"/>
    <w:rsid w:val="009717D6"/>
    <w:rsid w:val="009719DD"/>
    <w:rsid w:val="00971BC0"/>
    <w:rsid w:val="009722B5"/>
    <w:rsid w:val="009723A0"/>
    <w:rsid w:val="00973696"/>
    <w:rsid w:val="0097380A"/>
    <w:rsid w:val="0097414F"/>
    <w:rsid w:val="00974B48"/>
    <w:rsid w:val="00975583"/>
    <w:rsid w:val="0097588E"/>
    <w:rsid w:val="00975E38"/>
    <w:rsid w:val="00976F02"/>
    <w:rsid w:val="0097786A"/>
    <w:rsid w:val="00977AB0"/>
    <w:rsid w:val="00977F8F"/>
    <w:rsid w:val="00980325"/>
    <w:rsid w:val="00980876"/>
    <w:rsid w:val="009809B6"/>
    <w:rsid w:val="00980B2E"/>
    <w:rsid w:val="00980C42"/>
    <w:rsid w:val="00981251"/>
    <w:rsid w:val="0098183E"/>
    <w:rsid w:val="00981941"/>
    <w:rsid w:val="00982E60"/>
    <w:rsid w:val="00982FCF"/>
    <w:rsid w:val="0098381E"/>
    <w:rsid w:val="0098388B"/>
    <w:rsid w:val="00983C77"/>
    <w:rsid w:val="00983D1E"/>
    <w:rsid w:val="00983EF5"/>
    <w:rsid w:val="009841ED"/>
    <w:rsid w:val="00984620"/>
    <w:rsid w:val="00984651"/>
    <w:rsid w:val="00984DDD"/>
    <w:rsid w:val="00985849"/>
    <w:rsid w:val="009865E4"/>
    <w:rsid w:val="009867F6"/>
    <w:rsid w:val="00986AC5"/>
    <w:rsid w:val="00987875"/>
    <w:rsid w:val="00987B3F"/>
    <w:rsid w:val="00987D62"/>
    <w:rsid w:val="009910AB"/>
    <w:rsid w:val="009914E6"/>
    <w:rsid w:val="00991BB8"/>
    <w:rsid w:val="00992579"/>
    <w:rsid w:val="00993A78"/>
    <w:rsid w:val="009949F4"/>
    <w:rsid w:val="00994AC7"/>
    <w:rsid w:val="009953AC"/>
    <w:rsid w:val="009953BD"/>
    <w:rsid w:val="009959FE"/>
    <w:rsid w:val="009964DF"/>
    <w:rsid w:val="00997714"/>
    <w:rsid w:val="00997C07"/>
    <w:rsid w:val="00997FD1"/>
    <w:rsid w:val="009A0680"/>
    <w:rsid w:val="009A0D6A"/>
    <w:rsid w:val="009A10B2"/>
    <w:rsid w:val="009A2B61"/>
    <w:rsid w:val="009A2D09"/>
    <w:rsid w:val="009A2EF2"/>
    <w:rsid w:val="009A2F20"/>
    <w:rsid w:val="009A3363"/>
    <w:rsid w:val="009A34A8"/>
    <w:rsid w:val="009A34FD"/>
    <w:rsid w:val="009A403A"/>
    <w:rsid w:val="009A41D2"/>
    <w:rsid w:val="009A46AB"/>
    <w:rsid w:val="009A5E0A"/>
    <w:rsid w:val="009A619D"/>
    <w:rsid w:val="009A6C17"/>
    <w:rsid w:val="009A73F0"/>
    <w:rsid w:val="009A7888"/>
    <w:rsid w:val="009A78CC"/>
    <w:rsid w:val="009A7E04"/>
    <w:rsid w:val="009B01E4"/>
    <w:rsid w:val="009B03CF"/>
    <w:rsid w:val="009B09A5"/>
    <w:rsid w:val="009B1EE5"/>
    <w:rsid w:val="009B20DE"/>
    <w:rsid w:val="009B2221"/>
    <w:rsid w:val="009B24FE"/>
    <w:rsid w:val="009B2667"/>
    <w:rsid w:val="009B26CC"/>
    <w:rsid w:val="009B2915"/>
    <w:rsid w:val="009B2E4D"/>
    <w:rsid w:val="009B3705"/>
    <w:rsid w:val="009B3891"/>
    <w:rsid w:val="009B3B54"/>
    <w:rsid w:val="009B4A57"/>
    <w:rsid w:val="009B4C95"/>
    <w:rsid w:val="009B4DD2"/>
    <w:rsid w:val="009B5247"/>
    <w:rsid w:val="009B5837"/>
    <w:rsid w:val="009B5879"/>
    <w:rsid w:val="009B5A77"/>
    <w:rsid w:val="009B5DB7"/>
    <w:rsid w:val="009B70AD"/>
    <w:rsid w:val="009B7284"/>
    <w:rsid w:val="009B7473"/>
    <w:rsid w:val="009B7615"/>
    <w:rsid w:val="009C0886"/>
    <w:rsid w:val="009C1004"/>
    <w:rsid w:val="009C1671"/>
    <w:rsid w:val="009C1F30"/>
    <w:rsid w:val="009C2C28"/>
    <w:rsid w:val="009C2F2F"/>
    <w:rsid w:val="009C3165"/>
    <w:rsid w:val="009C35CF"/>
    <w:rsid w:val="009C3B85"/>
    <w:rsid w:val="009C50E3"/>
    <w:rsid w:val="009C5D29"/>
    <w:rsid w:val="009C65E6"/>
    <w:rsid w:val="009C666F"/>
    <w:rsid w:val="009C67BC"/>
    <w:rsid w:val="009C6FAA"/>
    <w:rsid w:val="009C79B9"/>
    <w:rsid w:val="009C7DD5"/>
    <w:rsid w:val="009C7ECB"/>
    <w:rsid w:val="009D044F"/>
    <w:rsid w:val="009D053D"/>
    <w:rsid w:val="009D133B"/>
    <w:rsid w:val="009D1B4C"/>
    <w:rsid w:val="009D23BF"/>
    <w:rsid w:val="009D23CA"/>
    <w:rsid w:val="009D2C5D"/>
    <w:rsid w:val="009D2C85"/>
    <w:rsid w:val="009D3684"/>
    <w:rsid w:val="009D369D"/>
    <w:rsid w:val="009D382B"/>
    <w:rsid w:val="009D5D32"/>
    <w:rsid w:val="009D5E45"/>
    <w:rsid w:val="009D5FFA"/>
    <w:rsid w:val="009D6229"/>
    <w:rsid w:val="009D62B2"/>
    <w:rsid w:val="009D6416"/>
    <w:rsid w:val="009D67DB"/>
    <w:rsid w:val="009D699E"/>
    <w:rsid w:val="009D6A93"/>
    <w:rsid w:val="009D6FEA"/>
    <w:rsid w:val="009D7743"/>
    <w:rsid w:val="009D7A68"/>
    <w:rsid w:val="009E000F"/>
    <w:rsid w:val="009E1DA6"/>
    <w:rsid w:val="009E2220"/>
    <w:rsid w:val="009E22AE"/>
    <w:rsid w:val="009E2574"/>
    <w:rsid w:val="009E2815"/>
    <w:rsid w:val="009E4577"/>
    <w:rsid w:val="009E4DAA"/>
    <w:rsid w:val="009E576D"/>
    <w:rsid w:val="009E5B90"/>
    <w:rsid w:val="009E61AF"/>
    <w:rsid w:val="009E6DF0"/>
    <w:rsid w:val="009E6EE6"/>
    <w:rsid w:val="009E75BD"/>
    <w:rsid w:val="009E7F4B"/>
    <w:rsid w:val="009F00E0"/>
    <w:rsid w:val="009F09F7"/>
    <w:rsid w:val="009F1395"/>
    <w:rsid w:val="009F15BE"/>
    <w:rsid w:val="009F16CA"/>
    <w:rsid w:val="009F1B71"/>
    <w:rsid w:val="009F1D64"/>
    <w:rsid w:val="009F2D11"/>
    <w:rsid w:val="009F3C53"/>
    <w:rsid w:val="009F3E3D"/>
    <w:rsid w:val="009F4163"/>
    <w:rsid w:val="009F4221"/>
    <w:rsid w:val="009F4474"/>
    <w:rsid w:val="009F4D92"/>
    <w:rsid w:val="009F4E61"/>
    <w:rsid w:val="009F5251"/>
    <w:rsid w:val="009F5D53"/>
    <w:rsid w:val="009F5D81"/>
    <w:rsid w:val="009F6BA9"/>
    <w:rsid w:val="009F7436"/>
    <w:rsid w:val="009F7DA2"/>
    <w:rsid w:val="00A0020E"/>
    <w:rsid w:val="00A00CDA"/>
    <w:rsid w:val="00A01BC1"/>
    <w:rsid w:val="00A01DF9"/>
    <w:rsid w:val="00A02A3F"/>
    <w:rsid w:val="00A02E6D"/>
    <w:rsid w:val="00A05172"/>
    <w:rsid w:val="00A0577D"/>
    <w:rsid w:val="00A05B79"/>
    <w:rsid w:val="00A05DE6"/>
    <w:rsid w:val="00A065F4"/>
    <w:rsid w:val="00A06C2F"/>
    <w:rsid w:val="00A06FE2"/>
    <w:rsid w:val="00A07476"/>
    <w:rsid w:val="00A07E2C"/>
    <w:rsid w:val="00A10019"/>
    <w:rsid w:val="00A10A29"/>
    <w:rsid w:val="00A10AB3"/>
    <w:rsid w:val="00A11055"/>
    <w:rsid w:val="00A11151"/>
    <w:rsid w:val="00A124B9"/>
    <w:rsid w:val="00A1282B"/>
    <w:rsid w:val="00A12D14"/>
    <w:rsid w:val="00A13B07"/>
    <w:rsid w:val="00A13E9E"/>
    <w:rsid w:val="00A140DE"/>
    <w:rsid w:val="00A142A4"/>
    <w:rsid w:val="00A1454B"/>
    <w:rsid w:val="00A1464F"/>
    <w:rsid w:val="00A14F6D"/>
    <w:rsid w:val="00A15B15"/>
    <w:rsid w:val="00A160F3"/>
    <w:rsid w:val="00A1726F"/>
    <w:rsid w:val="00A20B67"/>
    <w:rsid w:val="00A20F88"/>
    <w:rsid w:val="00A212D8"/>
    <w:rsid w:val="00A21965"/>
    <w:rsid w:val="00A22811"/>
    <w:rsid w:val="00A22920"/>
    <w:rsid w:val="00A22AE2"/>
    <w:rsid w:val="00A22FDF"/>
    <w:rsid w:val="00A2367A"/>
    <w:rsid w:val="00A239D2"/>
    <w:rsid w:val="00A23BF3"/>
    <w:rsid w:val="00A24491"/>
    <w:rsid w:val="00A248C6"/>
    <w:rsid w:val="00A24C53"/>
    <w:rsid w:val="00A24D8C"/>
    <w:rsid w:val="00A24DF4"/>
    <w:rsid w:val="00A24F8F"/>
    <w:rsid w:val="00A25499"/>
    <w:rsid w:val="00A25B94"/>
    <w:rsid w:val="00A26740"/>
    <w:rsid w:val="00A2769D"/>
    <w:rsid w:val="00A27993"/>
    <w:rsid w:val="00A302A6"/>
    <w:rsid w:val="00A302B6"/>
    <w:rsid w:val="00A30925"/>
    <w:rsid w:val="00A30C5A"/>
    <w:rsid w:val="00A3116C"/>
    <w:rsid w:val="00A31475"/>
    <w:rsid w:val="00A31DC3"/>
    <w:rsid w:val="00A320F4"/>
    <w:rsid w:val="00A322EB"/>
    <w:rsid w:val="00A32A39"/>
    <w:rsid w:val="00A3321A"/>
    <w:rsid w:val="00A33C7D"/>
    <w:rsid w:val="00A33C83"/>
    <w:rsid w:val="00A342EB"/>
    <w:rsid w:val="00A3523E"/>
    <w:rsid w:val="00A35662"/>
    <w:rsid w:val="00A3578E"/>
    <w:rsid w:val="00A35B5D"/>
    <w:rsid w:val="00A36709"/>
    <w:rsid w:val="00A369C8"/>
    <w:rsid w:val="00A37D33"/>
    <w:rsid w:val="00A4027E"/>
    <w:rsid w:val="00A4042E"/>
    <w:rsid w:val="00A40816"/>
    <w:rsid w:val="00A40971"/>
    <w:rsid w:val="00A40C27"/>
    <w:rsid w:val="00A41146"/>
    <w:rsid w:val="00A41805"/>
    <w:rsid w:val="00A42714"/>
    <w:rsid w:val="00A42CB5"/>
    <w:rsid w:val="00A42F56"/>
    <w:rsid w:val="00A433BD"/>
    <w:rsid w:val="00A43A11"/>
    <w:rsid w:val="00A43A8B"/>
    <w:rsid w:val="00A43AAB"/>
    <w:rsid w:val="00A441A6"/>
    <w:rsid w:val="00A441C3"/>
    <w:rsid w:val="00A46160"/>
    <w:rsid w:val="00A4655F"/>
    <w:rsid w:val="00A4732B"/>
    <w:rsid w:val="00A47440"/>
    <w:rsid w:val="00A47971"/>
    <w:rsid w:val="00A47B8F"/>
    <w:rsid w:val="00A47ECB"/>
    <w:rsid w:val="00A5135C"/>
    <w:rsid w:val="00A51E22"/>
    <w:rsid w:val="00A524BC"/>
    <w:rsid w:val="00A53912"/>
    <w:rsid w:val="00A53920"/>
    <w:rsid w:val="00A53B3E"/>
    <w:rsid w:val="00A53DCD"/>
    <w:rsid w:val="00A55A44"/>
    <w:rsid w:val="00A55EDE"/>
    <w:rsid w:val="00A56D63"/>
    <w:rsid w:val="00A57467"/>
    <w:rsid w:val="00A57493"/>
    <w:rsid w:val="00A57EDE"/>
    <w:rsid w:val="00A60ACB"/>
    <w:rsid w:val="00A60C30"/>
    <w:rsid w:val="00A61170"/>
    <w:rsid w:val="00A613FF"/>
    <w:rsid w:val="00A621E7"/>
    <w:rsid w:val="00A63548"/>
    <w:rsid w:val="00A652E1"/>
    <w:rsid w:val="00A65A31"/>
    <w:rsid w:val="00A65A3A"/>
    <w:rsid w:val="00A65D97"/>
    <w:rsid w:val="00A668B4"/>
    <w:rsid w:val="00A670BC"/>
    <w:rsid w:val="00A6716E"/>
    <w:rsid w:val="00A672A9"/>
    <w:rsid w:val="00A67A06"/>
    <w:rsid w:val="00A67E25"/>
    <w:rsid w:val="00A71090"/>
    <w:rsid w:val="00A713DD"/>
    <w:rsid w:val="00A71C56"/>
    <w:rsid w:val="00A730DF"/>
    <w:rsid w:val="00A73252"/>
    <w:rsid w:val="00A735D0"/>
    <w:rsid w:val="00A73DD3"/>
    <w:rsid w:val="00A73E91"/>
    <w:rsid w:val="00A7444D"/>
    <w:rsid w:val="00A74FBD"/>
    <w:rsid w:val="00A75390"/>
    <w:rsid w:val="00A75F4E"/>
    <w:rsid w:val="00A76B8F"/>
    <w:rsid w:val="00A76F56"/>
    <w:rsid w:val="00A7717C"/>
    <w:rsid w:val="00A77A20"/>
    <w:rsid w:val="00A806C5"/>
    <w:rsid w:val="00A80DCE"/>
    <w:rsid w:val="00A811F4"/>
    <w:rsid w:val="00A81CDD"/>
    <w:rsid w:val="00A823B9"/>
    <w:rsid w:val="00A834B3"/>
    <w:rsid w:val="00A83B32"/>
    <w:rsid w:val="00A84963"/>
    <w:rsid w:val="00A85256"/>
    <w:rsid w:val="00A85708"/>
    <w:rsid w:val="00A85E8E"/>
    <w:rsid w:val="00A8601C"/>
    <w:rsid w:val="00A860E4"/>
    <w:rsid w:val="00A86267"/>
    <w:rsid w:val="00A8694D"/>
    <w:rsid w:val="00A87A98"/>
    <w:rsid w:val="00A87BD7"/>
    <w:rsid w:val="00A90620"/>
    <w:rsid w:val="00A90A94"/>
    <w:rsid w:val="00A92739"/>
    <w:rsid w:val="00A93036"/>
    <w:rsid w:val="00A93DBE"/>
    <w:rsid w:val="00A94F40"/>
    <w:rsid w:val="00A95218"/>
    <w:rsid w:val="00A96A0F"/>
    <w:rsid w:val="00A97322"/>
    <w:rsid w:val="00A97567"/>
    <w:rsid w:val="00AA01E0"/>
    <w:rsid w:val="00AA0445"/>
    <w:rsid w:val="00AA0848"/>
    <w:rsid w:val="00AA0C8A"/>
    <w:rsid w:val="00AA0F25"/>
    <w:rsid w:val="00AA11AA"/>
    <w:rsid w:val="00AA15DB"/>
    <w:rsid w:val="00AA17CA"/>
    <w:rsid w:val="00AA2432"/>
    <w:rsid w:val="00AA29BF"/>
    <w:rsid w:val="00AA2B0F"/>
    <w:rsid w:val="00AA2DE0"/>
    <w:rsid w:val="00AA3078"/>
    <w:rsid w:val="00AA36C9"/>
    <w:rsid w:val="00AA3E90"/>
    <w:rsid w:val="00AA43BE"/>
    <w:rsid w:val="00AA4D09"/>
    <w:rsid w:val="00AA5D66"/>
    <w:rsid w:val="00AA63C0"/>
    <w:rsid w:val="00AA6500"/>
    <w:rsid w:val="00AA74C6"/>
    <w:rsid w:val="00AA762A"/>
    <w:rsid w:val="00AA78A4"/>
    <w:rsid w:val="00AA7A27"/>
    <w:rsid w:val="00AA7B9A"/>
    <w:rsid w:val="00AA7FF1"/>
    <w:rsid w:val="00AB000F"/>
    <w:rsid w:val="00AB0EA2"/>
    <w:rsid w:val="00AB15F1"/>
    <w:rsid w:val="00AB17FE"/>
    <w:rsid w:val="00AB256E"/>
    <w:rsid w:val="00AB25BA"/>
    <w:rsid w:val="00AB2B1A"/>
    <w:rsid w:val="00AB3A3B"/>
    <w:rsid w:val="00AB46D3"/>
    <w:rsid w:val="00AB4CFB"/>
    <w:rsid w:val="00AB503B"/>
    <w:rsid w:val="00AB5421"/>
    <w:rsid w:val="00AB5609"/>
    <w:rsid w:val="00AB5CE1"/>
    <w:rsid w:val="00AB679D"/>
    <w:rsid w:val="00AB6AC4"/>
    <w:rsid w:val="00AB7637"/>
    <w:rsid w:val="00AC0BC6"/>
    <w:rsid w:val="00AC0F06"/>
    <w:rsid w:val="00AC13D0"/>
    <w:rsid w:val="00AC18D1"/>
    <w:rsid w:val="00AC2776"/>
    <w:rsid w:val="00AC337E"/>
    <w:rsid w:val="00AC3455"/>
    <w:rsid w:val="00AC36B0"/>
    <w:rsid w:val="00AC437F"/>
    <w:rsid w:val="00AC4A96"/>
    <w:rsid w:val="00AC5372"/>
    <w:rsid w:val="00AC5A97"/>
    <w:rsid w:val="00AC5C87"/>
    <w:rsid w:val="00AC60B5"/>
    <w:rsid w:val="00AC6371"/>
    <w:rsid w:val="00AC71D3"/>
    <w:rsid w:val="00AC7A69"/>
    <w:rsid w:val="00AD02C0"/>
    <w:rsid w:val="00AD09CD"/>
    <w:rsid w:val="00AD11B8"/>
    <w:rsid w:val="00AD1310"/>
    <w:rsid w:val="00AD18F0"/>
    <w:rsid w:val="00AD234B"/>
    <w:rsid w:val="00AD292E"/>
    <w:rsid w:val="00AD35CD"/>
    <w:rsid w:val="00AD3937"/>
    <w:rsid w:val="00AD39B6"/>
    <w:rsid w:val="00AD39D8"/>
    <w:rsid w:val="00AD3BE1"/>
    <w:rsid w:val="00AD3D2F"/>
    <w:rsid w:val="00AD3DA6"/>
    <w:rsid w:val="00AD45DB"/>
    <w:rsid w:val="00AD47E8"/>
    <w:rsid w:val="00AD590E"/>
    <w:rsid w:val="00AD63EB"/>
    <w:rsid w:val="00AD640B"/>
    <w:rsid w:val="00AD6667"/>
    <w:rsid w:val="00AD68B7"/>
    <w:rsid w:val="00AD69CB"/>
    <w:rsid w:val="00AD69D5"/>
    <w:rsid w:val="00AD69DD"/>
    <w:rsid w:val="00AD7556"/>
    <w:rsid w:val="00AD7814"/>
    <w:rsid w:val="00AE0038"/>
    <w:rsid w:val="00AE00EE"/>
    <w:rsid w:val="00AE0559"/>
    <w:rsid w:val="00AE0A28"/>
    <w:rsid w:val="00AE1010"/>
    <w:rsid w:val="00AE1962"/>
    <w:rsid w:val="00AE1C0B"/>
    <w:rsid w:val="00AE1F34"/>
    <w:rsid w:val="00AE22E8"/>
    <w:rsid w:val="00AE2A9E"/>
    <w:rsid w:val="00AE2B0D"/>
    <w:rsid w:val="00AE2C3A"/>
    <w:rsid w:val="00AE30B6"/>
    <w:rsid w:val="00AE397A"/>
    <w:rsid w:val="00AE3A3C"/>
    <w:rsid w:val="00AE3AE4"/>
    <w:rsid w:val="00AE3B1F"/>
    <w:rsid w:val="00AE4028"/>
    <w:rsid w:val="00AE418A"/>
    <w:rsid w:val="00AE419F"/>
    <w:rsid w:val="00AE4436"/>
    <w:rsid w:val="00AE4BE8"/>
    <w:rsid w:val="00AE55E5"/>
    <w:rsid w:val="00AE5C62"/>
    <w:rsid w:val="00AE5DCD"/>
    <w:rsid w:val="00AE5F4E"/>
    <w:rsid w:val="00AE651E"/>
    <w:rsid w:val="00AE6763"/>
    <w:rsid w:val="00AE7849"/>
    <w:rsid w:val="00AE7A6B"/>
    <w:rsid w:val="00AE7BC1"/>
    <w:rsid w:val="00AE7F6F"/>
    <w:rsid w:val="00AF07DA"/>
    <w:rsid w:val="00AF0DC6"/>
    <w:rsid w:val="00AF14CC"/>
    <w:rsid w:val="00AF1CF6"/>
    <w:rsid w:val="00AF25F4"/>
    <w:rsid w:val="00AF2A1A"/>
    <w:rsid w:val="00AF2DC5"/>
    <w:rsid w:val="00AF31E9"/>
    <w:rsid w:val="00AF3435"/>
    <w:rsid w:val="00AF39C3"/>
    <w:rsid w:val="00AF3CFC"/>
    <w:rsid w:val="00AF3DB5"/>
    <w:rsid w:val="00AF425C"/>
    <w:rsid w:val="00AF4384"/>
    <w:rsid w:val="00AF47F4"/>
    <w:rsid w:val="00AF4940"/>
    <w:rsid w:val="00AF4989"/>
    <w:rsid w:val="00AF4C40"/>
    <w:rsid w:val="00AF4D83"/>
    <w:rsid w:val="00AF576B"/>
    <w:rsid w:val="00AF59FB"/>
    <w:rsid w:val="00AF622A"/>
    <w:rsid w:val="00AF659A"/>
    <w:rsid w:val="00AF6725"/>
    <w:rsid w:val="00AF7922"/>
    <w:rsid w:val="00AF7C32"/>
    <w:rsid w:val="00B000B5"/>
    <w:rsid w:val="00B00123"/>
    <w:rsid w:val="00B003FC"/>
    <w:rsid w:val="00B004EF"/>
    <w:rsid w:val="00B00754"/>
    <w:rsid w:val="00B0113A"/>
    <w:rsid w:val="00B01823"/>
    <w:rsid w:val="00B02685"/>
    <w:rsid w:val="00B026E3"/>
    <w:rsid w:val="00B02A30"/>
    <w:rsid w:val="00B034F5"/>
    <w:rsid w:val="00B03771"/>
    <w:rsid w:val="00B037F8"/>
    <w:rsid w:val="00B0467D"/>
    <w:rsid w:val="00B04A5A"/>
    <w:rsid w:val="00B0538C"/>
    <w:rsid w:val="00B060E8"/>
    <w:rsid w:val="00B0683B"/>
    <w:rsid w:val="00B06DCD"/>
    <w:rsid w:val="00B06F76"/>
    <w:rsid w:val="00B072B0"/>
    <w:rsid w:val="00B0730B"/>
    <w:rsid w:val="00B074A3"/>
    <w:rsid w:val="00B10024"/>
    <w:rsid w:val="00B108C4"/>
    <w:rsid w:val="00B10D88"/>
    <w:rsid w:val="00B113D6"/>
    <w:rsid w:val="00B115C0"/>
    <w:rsid w:val="00B11ACC"/>
    <w:rsid w:val="00B11DD6"/>
    <w:rsid w:val="00B12127"/>
    <w:rsid w:val="00B12759"/>
    <w:rsid w:val="00B12AA4"/>
    <w:rsid w:val="00B135FC"/>
    <w:rsid w:val="00B14730"/>
    <w:rsid w:val="00B14841"/>
    <w:rsid w:val="00B148A0"/>
    <w:rsid w:val="00B14A92"/>
    <w:rsid w:val="00B14C7C"/>
    <w:rsid w:val="00B14D41"/>
    <w:rsid w:val="00B14E5A"/>
    <w:rsid w:val="00B15439"/>
    <w:rsid w:val="00B1591E"/>
    <w:rsid w:val="00B15B7F"/>
    <w:rsid w:val="00B15E66"/>
    <w:rsid w:val="00B160D0"/>
    <w:rsid w:val="00B16897"/>
    <w:rsid w:val="00B16E30"/>
    <w:rsid w:val="00B17680"/>
    <w:rsid w:val="00B17AC7"/>
    <w:rsid w:val="00B17F98"/>
    <w:rsid w:val="00B204B2"/>
    <w:rsid w:val="00B204EC"/>
    <w:rsid w:val="00B2053F"/>
    <w:rsid w:val="00B2098F"/>
    <w:rsid w:val="00B20E3E"/>
    <w:rsid w:val="00B21122"/>
    <w:rsid w:val="00B2112D"/>
    <w:rsid w:val="00B239EB"/>
    <w:rsid w:val="00B23C2A"/>
    <w:rsid w:val="00B23DAD"/>
    <w:rsid w:val="00B23FE7"/>
    <w:rsid w:val="00B24BE6"/>
    <w:rsid w:val="00B24FDA"/>
    <w:rsid w:val="00B2575C"/>
    <w:rsid w:val="00B25B3B"/>
    <w:rsid w:val="00B265B4"/>
    <w:rsid w:val="00B267C7"/>
    <w:rsid w:val="00B26ADC"/>
    <w:rsid w:val="00B2755A"/>
    <w:rsid w:val="00B2769B"/>
    <w:rsid w:val="00B27E70"/>
    <w:rsid w:val="00B311B4"/>
    <w:rsid w:val="00B31429"/>
    <w:rsid w:val="00B315FB"/>
    <w:rsid w:val="00B318B4"/>
    <w:rsid w:val="00B31BA5"/>
    <w:rsid w:val="00B32456"/>
    <w:rsid w:val="00B332DC"/>
    <w:rsid w:val="00B34E0F"/>
    <w:rsid w:val="00B34FDE"/>
    <w:rsid w:val="00B364B2"/>
    <w:rsid w:val="00B36970"/>
    <w:rsid w:val="00B36A2B"/>
    <w:rsid w:val="00B36BA4"/>
    <w:rsid w:val="00B36C6C"/>
    <w:rsid w:val="00B37103"/>
    <w:rsid w:val="00B37749"/>
    <w:rsid w:val="00B37CC1"/>
    <w:rsid w:val="00B40BDE"/>
    <w:rsid w:val="00B40E6C"/>
    <w:rsid w:val="00B41331"/>
    <w:rsid w:val="00B4162E"/>
    <w:rsid w:val="00B433E1"/>
    <w:rsid w:val="00B43461"/>
    <w:rsid w:val="00B43AD9"/>
    <w:rsid w:val="00B44E1A"/>
    <w:rsid w:val="00B45799"/>
    <w:rsid w:val="00B45A03"/>
    <w:rsid w:val="00B45EC8"/>
    <w:rsid w:val="00B45EE5"/>
    <w:rsid w:val="00B46C79"/>
    <w:rsid w:val="00B46CE9"/>
    <w:rsid w:val="00B50174"/>
    <w:rsid w:val="00B504B8"/>
    <w:rsid w:val="00B50518"/>
    <w:rsid w:val="00B5117F"/>
    <w:rsid w:val="00B5142D"/>
    <w:rsid w:val="00B516EA"/>
    <w:rsid w:val="00B520FB"/>
    <w:rsid w:val="00B5257E"/>
    <w:rsid w:val="00B52977"/>
    <w:rsid w:val="00B542DB"/>
    <w:rsid w:val="00B54F1B"/>
    <w:rsid w:val="00B56305"/>
    <w:rsid w:val="00B56495"/>
    <w:rsid w:val="00B564F4"/>
    <w:rsid w:val="00B56720"/>
    <w:rsid w:val="00B5793F"/>
    <w:rsid w:val="00B602B7"/>
    <w:rsid w:val="00B6061C"/>
    <w:rsid w:val="00B6067E"/>
    <w:rsid w:val="00B60FC6"/>
    <w:rsid w:val="00B61676"/>
    <w:rsid w:val="00B61A4D"/>
    <w:rsid w:val="00B62B26"/>
    <w:rsid w:val="00B62D0A"/>
    <w:rsid w:val="00B62E32"/>
    <w:rsid w:val="00B62E8B"/>
    <w:rsid w:val="00B636C7"/>
    <w:rsid w:val="00B63916"/>
    <w:rsid w:val="00B63BE0"/>
    <w:rsid w:val="00B63C58"/>
    <w:rsid w:val="00B63F07"/>
    <w:rsid w:val="00B64045"/>
    <w:rsid w:val="00B64171"/>
    <w:rsid w:val="00B644E9"/>
    <w:rsid w:val="00B65503"/>
    <w:rsid w:val="00B65902"/>
    <w:rsid w:val="00B6648F"/>
    <w:rsid w:val="00B679B7"/>
    <w:rsid w:val="00B67F0B"/>
    <w:rsid w:val="00B703E5"/>
    <w:rsid w:val="00B70519"/>
    <w:rsid w:val="00B715E7"/>
    <w:rsid w:val="00B72A0B"/>
    <w:rsid w:val="00B72BCD"/>
    <w:rsid w:val="00B72CA0"/>
    <w:rsid w:val="00B7310C"/>
    <w:rsid w:val="00B7314A"/>
    <w:rsid w:val="00B73D61"/>
    <w:rsid w:val="00B73FCE"/>
    <w:rsid w:val="00B74529"/>
    <w:rsid w:val="00B746E5"/>
    <w:rsid w:val="00B74FED"/>
    <w:rsid w:val="00B75401"/>
    <w:rsid w:val="00B75589"/>
    <w:rsid w:val="00B7644B"/>
    <w:rsid w:val="00B76BD7"/>
    <w:rsid w:val="00B76C48"/>
    <w:rsid w:val="00B76DCF"/>
    <w:rsid w:val="00B77029"/>
    <w:rsid w:val="00B77151"/>
    <w:rsid w:val="00B77764"/>
    <w:rsid w:val="00B80252"/>
    <w:rsid w:val="00B804A9"/>
    <w:rsid w:val="00B80757"/>
    <w:rsid w:val="00B80945"/>
    <w:rsid w:val="00B81B81"/>
    <w:rsid w:val="00B81F80"/>
    <w:rsid w:val="00B82139"/>
    <w:rsid w:val="00B828F6"/>
    <w:rsid w:val="00B82C13"/>
    <w:rsid w:val="00B83035"/>
    <w:rsid w:val="00B83182"/>
    <w:rsid w:val="00B83E26"/>
    <w:rsid w:val="00B840C8"/>
    <w:rsid w:val="00B8453C"/>
    <w:rsid w:val="00B85136"/>
    <w:rsid w:val="00B85145"/>
    <w:rsid w:val="00B85AB1"/>
    <w:rsid w:val="00B85E07"/>
    <w:rsid w:val="00B86AB2"/>
    <w:rsid w:val="00B873C8"/>
    <w:rsid w:val="00B87AD5"/>
    <w:rsid w:val="00B87C97"/>
    <w:rsid w:val="00B9088C"/>
    <w:rsid w:val="00B92495"/>
    <w:rsid w:val="00B9338A"/>
    <w:rsid w:val="00B93444"/>
    <w:rsid w:val="00B93A23"/>
    <w:rsid w:val="00B94F85"/>
    <w:rsid w:val="00B95413"/>
    <w:rsid w:val="00B95DE8"/>
    <w:rsid w:val="00B9698A"/>
    <w:rsid w:val="00B97208"/>
    <w:rsid w:val="00B972B3"/>
    <w:rsid w:val="00B9760D"/>
    <w:rsid w:val="00BA0BCE"/>
    <w:rsid w:val="00BA0F33"/>
    <w:rsid w:val="00BA11A5"/>
    <w:rsid w:val="00BA1999"/>
    <w:rsid w:val="00BA1D8A"/>
    <w:rsid w:val="00BA2402"/>
    <w:rsid w:val="00BA2677"/>
    <w:rsid w:val="00BA2738"/>
    <w:rsid w:val="00BA297F"/>
    <w:rsid w:val="00BA2E7C"/>
    <w:rsid w:val="00BA2F33"/>
    <w:rsid w:val="00BA37A7"/>
    <w:rsid w:val="00BA3AC4"/>
    <w:rsid w:val="00BA3CFA"/>
    <w:rsid w:val="00BA468B"/>
    <w:rsid w:val="00BA4BAA"/>
    <w:rsid w:val="00BA4C70"/>
    <w:rsid w:val="00BA4E55"/>
    <w:rsid w:val="00BA691F"/>
    <w:rsid w:val="00BA7099"/>
    <w:rsid w:val="00BA741F"/>
    <w:rsid w:val="00BA79FE"/>
    <w:rsid w:val="00BA7C73"/>
    <w:rsid w:val="00BA7DAD"/>
    <w:rsid w:val="00BA7F3E"/>
    <w:rsid w:val="00BB00DF"/>
    <w:rsid w:val="00BB01E5"/>
    <w:rsid w:val="00BB0B0C"/>
    <w:rsid w:val="00BB0C4F"/>
    <w:rsid w:val="00BB0CF8"/>
    <w:rsid w:val="00BB102F"/>
    <w:rsid w:val="00BB1049"/>
    <w:rsid w:val="00BB2C7D"/>
    <w:rsid w:val="00BB3147"/>
    <w:rsid w:val="00BB31E7"/>
    <w:rsid w:val="00BB387C"/>
    <w:rsid w:val="00BB3C19"/>
    <w:rsid w:val="00BB3DAB"/>
    <w:rsid w:val="00BB59DC"/>
    <w:rsid w:val="00BB5CC9"/>
    <w:rsid w:val="00BB6474"/>
    <w:rsid w:val="00BB68C1"/>
    <w:rsid w:val="00BB6A07"/>
    <w:rsid w:val="00BB6DA3"/>
    <w:rsid w:val="00BB6FEE"/>
    <w:rsid w:val="00BB7593"/>
    <w:rsid w:val="00BB7615"/>
    <w:rsid w:val="00BB785B"/>
    <w:rsid w:val="00BB7BDC"/>
    <w:rsid w:val="00BC03F3"/>
    <w:rsid w:val="00BC0506"/>
    <w:rsid w:val="00BC0A27"/>
    <w:rsid w:val="00BC0CFF"/>
    <w:rsid w:val="00BC0DBB"/>
    <w:rsid w:val="00BC177B"/>
    <w:rsid w:val="00BC1AB2"/>
    <w:rsid w:val="00BC1B2E"/>
    <w:rsid w:val="00BC25DF"/>
    <w:rsid w:val="00BC2C25"/>
    <w:rsid w:val="00BC364A"/>
    <w:rsid w:val="00BC3BCC"/>
    <w:rsid w:val="00BC4967"/>
    <w:rsid w:val="00BC4B37"/>
    <w:rsid w:val="00BC4B8A"/>
    <w:rsid w:val="00BC51E5"/>
    <w:rsid w:val="00BC553D"/>
    <w:rsid w:val="00BC5DD0"/>
    <w:rsid w:val="00BC619F"/>
    <w:rsid w:val="00BC6619"/>
    <w:rsid w:val="00BC685B"/>
    <w:rsid w:val="00BC6F2E"/>
    <w:rsid w:val="00BC6F5B"/>
    <w:rsid w:val="00BC73C8"/>
    <w:rsid w:val="00BC7691"/>
    <w:rsid w:val="00BD1712"/>
    <w:rsid w:val="00BD2326"/>
    <w:rsid w:val="00BD2352"/>
    <w:rsid w:val="00BD3535"/>
    <w:rsid w:val="00BD3689"/>
    <w:rsid w:val="00BD4A9B"/>
    <w:rsid w:val="00BD4DFB"/>
    <w:rsid w:val="00BD5777"/>
    <w:rsid w:val="00BD587C"/>
    <w:rsid w:val="00BD5C54"/>
    <w:rsid w:val="00BD6004"/>
    <w:rsid w:val="00BD6443"/>
    <w:rsid w:val="00BD6924"/>
    <w:rsid w:val="00BD6C35"/>
    <w:rsid w:val="00BD7230"/>
    <w:rsid w:val="00BD76E0"/>
    <w:rsid w:val="00BD7A5B"/>
    <w:rsid w:val="00BE0910"/>
    <w:rsid w:val="00BE1153"/>
    <w:rsid w:val="00BE125B"/>
    <w:rsid w:val="00BE168C"/>
    <w:rsid w:val="00BE16BA"/>
    <w:rsid w:val="00BE239E"/>
    <w:rsid w:val="00BE2B62"/>
    <w:rsid w:val="00BE2E3E"/>
    <w:rsid w:val="00BE2E4E"/>
    <w:rsid w:val="00BE3C02"/>
    <w:rsid w:val="00BE3F98"/>
    <w:rsid w:val="00BE4026"/>
    <w:rsid w:val="00BE4FA8"/>
    <w:rsid w:val="00BE506B"/>
    <w:rsid w:val="00BE59E5"/>
    <w:rsid w:val="00BE62C0"/>
    <w:rsid w:val="00BE659D"/>
    <w:rsid w:val="00BE6DAA"/>
    <w:rsid w:val="00BE6E69"/>
    <w:rsid w:val="00BF10E2"/>
    <w:rsid w:val="00BF11A2"/>
    <w:rsid w:val="00BF1E09"/>
    <w:rsid w:val="00BF22E5"/>
    <w:rsid w:val="00BF24A3"/>
    <w:rsid w:val="00BF27B8"/>
    <w:rsid w:val="00BF34CD"/>
    <w:rsid w:val="00BF51C4"/>
    <w:rsid w:val="00BF57EE"/>
    <w:rsid w:val="00BF596B"/>
    <w:rsid w:val="00BF626C"/>
    <w:rsid w:val="00BF6925"/>
    <w:rsid w:val="00BF6D14"/>
    <w:rsid w:val="00BF7DC9"/>
    <w:rsid w:val="00C0072E"/>
    <w:rsid w:val="00C01F7B"/>
    <w:rsid w:val="00C029CC"/>
    <w:rsid w:val="00C02CE6"/>
    <w:rsid w:val="00C02EB4"/>
    <w:rsid w:val="00C032C2"/>
    <w:rsid w:val="00C035B3"/>
    <w:rsid w:val="00C03C62"/>
    <w:rsid w:val="00C03D0B"/>
    <w:rsid w:val="00C03D72"/>
    <w:rsid w:val="00C0435B"/>
    <w:rsid w:val="00C04F3F"/>
    <w:rsid w:val="00C05666"/>
    <w:rsid w:val="00C05F26"/>
    <w:rsid w:val="00C061FE"/>
    <w:rsid w:val="00C06460"/>
    <w:rsid w:val="00C06692"/>
    <w:rsid w:val="00C069C4"/>
    <w:rsid w:val="00C07EAF"/>
    <w:rsid w:val="00C10089"/>
    <w:rsid w:val="00C10E1D"/>
    <w:rsid w:val="00C11038"/>
    <w:rsid w:val="00C111A9"/>
    <w:rsid w:val="00C11595"/>
    <w:rsid w:val="00C11ED1"/>
    <w:rsid w:val="00C12067"/>
    <w:rsid w:val="00C12710"/>
    <w:rsid w:val="00C12C69"/>
    <w:rsid w:val="00C12E14"/>
    <w:rsid w:val="00C130C9"/>
    <w:rsid w:val="00C13B70"/>
    <w:rsid w:val="00C13FAB"/>
    <w:rsid w:val="00C144D2"/>
    <w:rsid w:val="00C146F5"/>
    <w:rsid w:val="00C149AD"/>
    <w:rsid w:val="00C14B9C"/>
    <w:rsid w:val="00C15344"/>
    <w:rsid w:val="00C15353"/>
    <w:rsid w:val="00C1616B"/>
    <w:rsid w:val="00C167F1"/>
    <w:rsid w:val="00C1692B"/>
    <w:rsid w:val="00C16DBB"/>
    <w:rsid w:val="00C17549"/>
    <w:rsid w:val="00C17FB5"/>
    <w:rsid w:val="00C20654"/>
    <w:rsid w:val="00C20B32"/>
    <w:rsid w:val="00C20E30"/>
    <w:rsid w:val="00C20EA8"/>
    <w:rsid w:val="00C212D1"/>
    <w:rsid w:val="00C22293"/>
    <w:rsid w:val="00C22700"/>
    <w:rsid w:val="00C229EA"/>
    <w:rsid w:val="00C22D4B"/>
    <w:rsid w:val="00C22FA3"/>
    <w:rsid w:val="00C2466A"/>
    <w:rsid w:val="00C24B90"/>
    <w:rsid w:val="00C24E73"/>
    <w:rsid w:val="00C24EE7"/>
    <w:rsid w:val="00C254C9"/>
    <w:rsid w:val="00C259BD"/>
    <w:rsid w:val="00C25ABA"/>
    <w:rsid w:val="00C25ADD"/>
    <w:rsid w:val="00C25D08"/>
    <w:rsid w:val="00C25E99"/>
    <w:rsid w:val="00C26E8B"/>
    <w:rsid w:val="00C27B0B"/>
    <w:rsid w:val="00C30047"/>
    <w:rsid w:val="00C32920"/>
    <w:rsid w:val="00C329F9"/>
    <w:rsid w:val="00C33094"/>
    <w:rsid w:val="00C33685"/>
    <w:rsid w:val="00C3445F"/>
    <w:rsid w:val="00C34DCF"/>
    <w:rsid w:val="00C34E0E"/>
    <w:rsid w:val="00C35712"/>
    <w:rsid w:val="00C35989"/>
    <w:rsid w:val="00C36089"/>
    <w:rsid w:val="00C36A89"/>
    <w:rsid w:val="00C371BE"/>
    <w:rsid w:val="00C3760A"/>
    <w:rsid w:val="00C3768B"/>
    <w:rsid w:val="00C40501"/>
    <w:rsid w:val="00C40BBA"/>
    <w:rsid w:val="00C410F3"/>
    <w:rsid w:val="00C41758"/>
    <w:rsid w:val="00C41A25"/>
    <w:rsid w:val="00C41A7E"/>
    <w:rsid w:val="00C423DF"/>
    <w:rsid w:val="00C42990"/>
    <w:rsid w:val="00C42A3D"/>
    <w:rsid w:val="00C42AAB"/>
    <w:rsid w:val="00C42ABF"/>
    <w:rsid w:val="00C42D96"/>
    <w:rsid w:val="00C43099"/>
    <w:rsid w:val="00C43919"/>
    <w:rsid w:val="00C440BE"/>
    <w:rsid w:val="00C441CD"/>
    <w:rsid w:val="00C45579"/>
    <w:rsid w:val="00C45D87"/>
    <w:rsid w:val="00C4616E"/>
    <w:rsid w:val="00C46429"/>
    <w:rsid w:val="00C46684"/>
    <w:rsid w:val="00C475B2"/>
    <w:rsid w:val="00C47685"/>
    <w:rsid w:val="00C507A6"/>
    <w:rsid w:val="00C50A0D"/>
    <w:rsid w:val="00C51388"/>
    <w:rsid w:val="00C5301C"/>
    <w:rsid w:val="00C539C2"/>
    <w:rsid w:val="00C53C25"/>
    <w:rsid w:val="00C53EE1"/>
    <w:rsid w:val="00C5444E"/>
    <w:rsid w:val="00C55649"/>
    <w:rsid w:val="00C56109"/>
    <w:rsid w:val="00C56AA6"/>
    <w:rsid w:val="00C57C59"/>
    <w:rsid w:val="00C6026E"/>
    <w:rsid w:val="00C61A9E"/>
    <w:rsid w:val="00C62CD2"/>
    <w:rsid w:val="00C62DCF"/>
    <w:rsid w:val="00C6320C"/>
    <w:rsid w:val="00C635A4"/>
    <w:rsid w:val="00C63FA5"/>
    <w:rsid w:val="00C64508"/>
    <w:rsid w:val="00C64986"/>
    <w:rsid w:val="00C64A3D"/>
    <w:rsid w:val="00C64AC2"/>
    <w:rsid w:val="00C65374"/>
    <w:rsid w:val="00C653C6"/>
    <w:rsid w:val="00C65FEA"/>
    <w:rsid w:val="00C6622C"/>
    <w:rsid w:val="00C66296"/>
    <w:rsid w:val="00C66589"/>
    <w:rsid w:val="00C66786"/>
    <w:rsid w:val="00C66E9B"/>
    <w:rsid w:val="00C67B29"/>
    <w:rsid w:val="00C67D6B"/>
    <w:rsid w:val="00C67E47"/>
    <w:rsid w:val="00C702C6"/>
    <w:rsid w:val="00C71FE7"/>
    <w:rsid w:val="00C7220B"/>
    <w:rsid w:val="00C72273"/>
    <w:rsid w:val="00C73259"/>
    <w:rsid w:val="00C733BB"/>
    <w:rsid w:val="00C739C5"/>
    <w:rsid w:val="00C74346"/>
    <w:rsid w:val="00C7744B"/>
    <w:rsid w:val="00C77976"/>
    <w:rsid w:val="00C80B04"/>
    <w:rsid w:val="00C81027"/>
    <w:rsid w:val="00C81163"/>
    <w:rsid w:val="00C8199E"/>
    <w:rsid w:val="00C82769"/>
    <w:rsid w:val="00C827C4"/>
    <w:rsid w:val="00C82A0B"/>
    <w:rsid w:val="00C8360D"/>
    <w:rsid w:val="00C846D3"/>
    <w:rsid w:val="00C8543A"/>
    <w:rsid w:val="00C85E7C"/>
    <w:rsid w:val="00C85F31"/>
    <w:rsid w:val="00C8667A"/>
    <w:rsid w:val="00C8709E"/>
    <w:rsid w:val="00C8757F"/>
    <w:rsid w:val="00C87D57"/>
    <w:rsid w:val="00C91207"/>
    <w:rsid w:val="00C9198A"/>
    <w:rsid w:val="00C91F81"/>
    <w:rsid w:val="00C92644"/>
    <w:rsid w:val="00C92B4E"/>
    <w:rsid w:val="00C92BEC"/>
    <w:rsid w:val="00C92EB0"/>
    <w:rsid w:val="00C93C2D"/>
    <w:rsid w:val="00C93FBA"/>
    <w:rsid w:val="00C94519"/>
    <w:rsid w:val="00C94CCE"/>
    <w:rsid w:val="00C94F61"/>
    <w:rsid w:val="00C950E0"/>
    <w:rsid w:val="00C95C2E"/>
    <w:rsid w:val="00C95D05"/>
    <w:rsid w:val="00C9628C"/>
    <w:rsid w:val="00C96D31"/>
    <w:rsid w:val="00C96DCD"/>
    <w:rsid w:val="00C97874"/>
    <w:rsid w:val="00C97A88"/>
    <w:rsid w:val="00C97DB7"/>
    <w:rsid w:val="00CA00A9"/>
    <w:rsid w:val="00CA0343"/>
    <w:rsid w:val="00CA05C1"/>
    <w:rsid w:val="00CA0AEA"/>
    <w:rsid w:val="00CA233A"/>
    <w:rsid w:val="00CA2863"/>
    <w:rsid w:val="00CA308F"/>
    <w:rsid w:val="00CA30CB"/>
    <w:rsid w:val="00CA348D"/>
    <w:rsid w:val="00CA4556"/>
    <w:rsid w:val="00CA466D"/>
    <w:rsid w:val="00CA46DA"/>
    <w:rsid w:val="00CA49F4"/>
    <w:rsid w:val="00CA4A14"/>
    <w:rsid w:val="00CA4C7A"/>
    <w:rsid w:val="00CA5CC4"/>
    <w:rsid w:val="00CA64F8"/>
    <w:rsid w:val="00CA682B"/>
    <w:rsid w:val="00CA6F0E"/>
    <w:rsid w:val="00CA6F90"/>
    <w:rsid w:val="00CA7099"/>
    <w:rsid w:val="00CA7A75"/>
    <w:rsid w:val="00CB000D"/>
    <w:rsid w:val="00CB071C"/>
    <w:rsid w:val="00CB0D86"/>
    <w:rsid w:val="00CB0F0C"/>
    <w:rsid w:val="00CB16C0"/>
    <w:rsid w:val="00CB1C5D"/>
    <w:rsid w:val="00CB1E80"/>
    <w:rsid w:val="00CB24BE"/>
    <w:rsid w:val="00CB2E20"/>
    <w:rsid w:val="00CB3D79"/>
    <w:rsid w:val="00CB42CA"/>
    <w:rsid w:val="00CB42D0"/>
    <w:rsid w:val="00CB5B3F"/>
    <w:rsid w:val="00CB6929"/>
    <w:rsid w:val="00CB70D2"/>
    <w:rsid w:val="00CB724B"/>
    <w:rsid w:val="00CB726D"/>
    <w:rsid w:val="00CB7FFA"/>
    <w:rsid w:val="00CC0069"/>
    <w:rsid w:val="00CC11B4"/>
    <w:rsid w:val="00CC1F86"/>
    <w:rsid w:val="00CC24DA"/>
    <w:rsid w:val="00CC2BD1"/>
    <w:rsid w:val="00CC3471"/>
    <w:rsid w:val="00CC3585"/>
    <w:rsid w:val="00CC3727"/>
    <w:rsid w:val="00CC43AB"/>
    <w:rsid w:val="00CC4961"/>
    <w:rsid w:val="00CC4BB4"/>
    <w:rsid w:val="00CC57CE"/>
    <w:rsid w:val="00CC674E"/>
    <w:rsid w:val="00CC68C5"/>
    <w:rsid w:val="00CD0A33"/>
    <w:rsid w:val="00CD0B91"/>
    <w:rsid w:val="00CD0F8E"/>
    <w:rsid w:val="00CD128F"/>
    <w:rsid w:val="00CD129C"/>
    <w:rsid w:val="00CD13BB"/>
    <w:rsid w:val="00CD2767"/>
    <w:rsid w:val="00CD2E1C"/>
    <w:rsid w:val="00CD3CFB"/>
    <w:rsid w:val="00CD408F"/>
    <w:rsid w:val="00CD4868"/>
    <w:rsid w:val="00CD4DB8"/>
    <w:rsid w:val="00CD4E21"/>
    <w:rsid w:val="00CD4F0B"/>
    <w:rsid w:val="00CD5844"/>
    <w:rsid w:val="00CD795B"/>
    <w:rsid w:val="00CD7F26"/>
    <w:rsid w:val="00CE00FF"/>
    <w:rsid w:val="00CE02BE"/>
    <w:rsid w:val="00CE07EF"/>
    <w:rsid w:val="00CE19C3"/>
    <w:rsid w:val="00CE2AAB"/>
    <w:rsid w:val="00CE35F4"/>
    <w:rsid w:val="00CE3728"/>
    <w:rsid w:val="00CE3786"/>
    <w:rsid w:val="00CE39B9"/>
    <w:rsid w:val="00CE3A8E"/>
    <w:rsid w:val="00CE3B9A"/>
    <w:rsid w:val="00CE3CC4"/>
    <w:rsid w:val="00CE4024"/>
    <w:rsid w:val="00CE43A5"/>
    <w:rsid w:val="00CE4478"/>
    <w:rsid w:val="00CE5364"/>
    <w:rsid w:val="00CE556F"/>
    <w:rsid w:val="00CE5E75"/>
    <w:rsid w:val="00CE6A9B"/>
    <w:rsid w:val="00CE6BDB"/>
    <w:rsid w:val="00CE6C89"/>
    <w:rsid w:val="00CE701C"/>
    <w:rsid w:val="00CE71E3"/>
    <w:rsid w:val="00CE72C7"/>
    <w:rsid w:val="00CE72D4"/>
    <w:rsid w:val="00CE78DF"/>
    <w:rsid w:val="00CF0104"/>
    <w:rsid w:val="00CF0141"/>
    <w:rsid w:val="00CF058C"/>
    <w:rsid w:val="00CF0A28"/>
    <w:rsid w:val="00CF0D27"/>
    <w:rsid w:val="00CF18DF"/>
    <w:rsid w:val="00CF1D1B"/>
    <w:rsid w:val="00CF23B7"/>
    <w:rsid w:val="00CF2DB0"/>
    <w:rsid w:val="00CF3339"/>
    <w:rsid w:val="00CF3C03"/>
    <w:rsid w:val="00CF40C4"/>
    <w:rsid w:val="00CF41E6"/>
    <w:rsid w:val="00CF4682"/>
    <w:rsid w:val="00CF48A4"/>
    <w:rsid w:val="00CF4A0F"/>
    <w:rsid w:val="00CF4B64"/>
    <w:rsid w:val="00CF4CBA"/>
    <w:rsid w:val="00CF5D4D"/>
    <w:rsid w:val="00CF627A"/>
    <w:rsid w:val="00CF693E"/>
    <w:rsid w:val="00CF761C"/>
    <w:rsid w:val="00CF76FD"/>
    <w:rsid w:val="00CF7A26"/>
    <w:rsid w:val="00D0044A"/>
    <w:rsid w:val="00D021FB"/>
    <w:rsid w:val="00D02596"/>
    <w:rsid w:val="00D0263E"/>
    <w:rsid w:val="00D02B71"/>
    <w:rsid w:val="00D031D9"/>
    <w:rsid w:val="00D03DCC"/>
    <w:rsid w:val="00D043BF"/>
    <w:rsid w:val="00D044D7"/>
    <w:rsid w:val="00D04B55"/>
    <w:rsid w:val="00D04CD5"/>
    <w:rsid w:val="00D04E65"/>
    <w:rsid w:val="00D0506A"/>
    <w:rsid w:val="00D052F5"/>
    <w:rsid w:val="00D05A21"/>
    <w:rsid w:val="00D06096"/>
    <w:rsid w:val="00D060E8"/>
    <w:rsid w:val="00D06574"/>
    <w:rsid w:val="00D06779"/>
    <w:rsid w:val="00D06AB0"/>
    <w:rsid w:val="00D076F8"/>
    <w:rsid w:val="00D10066"/>
    <w:rsid w:val="00D10391"/>
    <w:rsid w:val="00D1042D"/>
    <w:rsid w:val="00D10A63"/>
    <w:rsid w:val="00D10B6B"/>
    <w:rsid w:val="00D10BFC"/>
    <w:rsid w:val="00D120AA"/>
    <w:rsid w:val="00D125E4"/>
    <w:rsid w:val="00D133F2"/>
    <w:rsid w:val="00D134FC"/>
    <w:rsid w:val="00D13861"/>
    <w:rsid w:val="00D14531"/>
    <w:rsid w:val="00D1477B"/>
    <w:rsid w:val="00D149AE"/>
    <w:rsid w:val="00D15223"/>
    <w:rsid w:val="00D159C2"/>
    <w:rsid w:val="00D16B40"/>
    <w:rsid w:val="00D1721F"/>
    <w:rsid w:val="00D179B4"/>
    <w:rsid w:val="00D17A02"/>
    <w:rsid w:val="00D17BC8"/>
    <w:rsid w:val="00D21356"/>
    <w:rsid w:val="00D2164F"/>
    <w:rsid w:val="00D217DE"/>
    <w:rsid w:val="00D21A2E"/>
    <w:rsid w:val="00D21B7F"/>
    <w:rsid w:val="00D22408"/>
    <w:rsid w:val="00D2363B"/>
    <w:rsid w:val="00D2373B"/>
    <w:rsid w:val="00D23E71"/>
    <w:rsid w:val="00D2438A"/>
    <w:rsid w:val="00D244E3"/>
    <w:rsid w:val="00D24553"/>
    <w:rsid w:val="00D24B11"/>
    <w:rsid w:val="00D2512D"/>
    <w:rsid w:val="00D25E4D"/>
    <w:rsid w:val="00D26134"/>
    <w:rsid w:val="00D2629D"/>
    <w:rsid w:val="00D26C54"/>
    <w:rsid w:val="00D26FC9"/>
    <w:rsid w:val="00D27238"/>
    <w:rsid w:val="00D2771C"/>
    <w:rsid w:val="00D27860"/>
    <w:rsid w:val="00D27AB5"/>
    <w:rsid w:val="00D30A3B"/>
    <w:rsid w:val="00D3218A"/>
    <w:rsid w:val="00D322EB"/>
    <w:rsid w:val="00D3256C"/>
    <w:rsid w:val="00D32883"/>
    <w:rsid w:val="00D328B4"/>
    <w:rsid w:val="00D3347D"/>
    <w:rsid w:val="00D336A4"/>
    <w:rsid w:val="00D339AF"/>
    <w:rsid w:val="00D33A40"/>
    <w:rsid w:val="00D33CD7"/>
    <w:rsid w:val="00D343B9"/>
    <w:rsid w:val="00D34D07"/>
    <w:rsid w:val="00D34DF0"/>
    <w:rsid w:val="00D352BC"/>
    <w:rsid w:val="00D35C7F"/>
    <w:rsid w:val="00D3600B"/>
    <w:rsid w:val="00D360F7"/>
    <w:rsid w:val="00D36903"/>
    <w:rsid w:val="00D36EEC"/>
    <w:rsid w:val="00D37102"/>
    <w:rsid w:val="00D3716A"/>
    <w:rsid w:val="00D3725A"/>
    <w:rsid w:val="00D376FC"/>
    <w:rsid w:val="00D3770B"/>
    <w:rsid w:val="00D37F67"/>
    <w:rsid w:val="00D40248"/>
    <w:rsid w:val="00D414D9"/>
    <w:rsid w:val="00D41830"/>
    <w:rsid w:val="00D42431"/>
    <w:rsid w:val="00D42DB8"/>
    <w:rsid w:val="00D43881"/>
    <w:rsid w:val="00D4396D"/>
    <w:rsid w:val="00D44295"/>
    <w:rsid w:val="00D44339"/>
    <w:rsid w:val="00D445EB"/>
    <w:rsid w:val="00D447F3"/>
    <w:rsid w:val="00D449F3"/>
    <w:rsid w:val="00D44D6B"/>
    <w:rsid w:val="00D45446"/>
    <w:rsid w:val="00D45C06"/>
    <w:rsid w:val="00D4622A"/>
    <w:rsid w:val="00D46541"/>
    <w:rsid w:val="00D468CA"/>
    <w:rsid w:val="00D46F5F"/>
    <w:rsid w:val="00D47497"/>
    <w:rsid w:val="00D47BAA"/>
    <w:rsid w:val="00D47C7B"/>
    <w:rsid w:val="00D50819"/>
    <w:rsid w:val="00D51041"/>
    <w:rsid w:val="00D51597"/>
    <w:rsid w:val="00D5243D"/>
    <w:rsid w:val="00D5271B"/>
    <w:rsid w:val="00D53072"/>
    <w:rsid w:val="00D53163"/>
    <w:rsid w:val="00D534A5"/>
    <w:rsid w:val="00D53AB3"/>
    <w:rsid w:val="00D53D70"/>
    <w:rsid w:val="00D53E9B"/>
    <w:rsid w:val="00D541AC"/>
    <w:rsid w:val="00D54EC5"/>
    <w:rsid w:val="00D5511A"/>
    <w:rsid w:val="00D5513C"/>
    <w:rsid w:val="00D555D3"/>
    <w:rsid w:val="00D56EDB"/>
    <w:rsid w:val="00D604C6"/>
    <w:rsid w:val="00D61256"/>
    <w:rsid w:val="00D61E18"/>
    <w:rsid w:val="00D61E5F"/>
    <w:rsid w:val="00D61FD6"/>
    <w:rsid w:val="00D626CD"/>
    <w:rsid w:val="00D62F4F"/>
    <w:rsid w:val="00D63129"/>
    <w:rsid w:val="00D63454"/>
    <w:rsid w:val="00D6366E"/>
    <w:rsid w:val="00D65138"/>
    <w:rsid w:val="00D65310"/>
    <w:rsid w:val="00D66C84"/>
    <w:rsid w:val="00D66D06"/>
    <w:rsid w:val="00D67114"/>
    <w:rsid w:val="00D67130"/>
    <w:rsid w:val="00D675DC"/>
    <w:rsid w:val="00D67752"/>
    <w:rsid w:val="00D67778"/>
    <w:rsid w:val="00D67D5D"/>
    <w:rsid w:val="00D67F92"/>
    <w:rsid w:val="00D70483"/>
    <w:rsid w:val="00D709E5"/>
    <w:rsid w:val="00D709F7"/>
    <w:rsid w:val="00D70DF1"/>
    <w:rsid w:val="00D71986"/>
    <w:rsid w:val="00D71E4C"/>
    <w:rsid w:val="00D71EFA"/>
    <w:rsid w:val="00D72210"/>
    <w:rsid w:val="00D722AE"/>
    <w:rsid w:val="00D7342E"/>
    <w:rsid w:val="00D73B01"/>
    <w:rsid w:val="00D73B8E"/>
    <w:rsid w:val="00D73BC6"/>
    <w:rsid w:val="00D73D17"/>
    <w:rsid w:val="00D74410"/>
    <w:rsid w:val="00D74623"/>
    <w:rsid w:val="00D74811"/>
    <w:rsid w:val="00D752B8"/>
    <w:rsid w:val="00D75BCD"/>
    <w:rsid w:val="00D761A5"/>
    <w:rsid w:val="00D76BD8"/>
    <w:rsid w:val="00D77645"/>
    <w:rsid w:val="00D802D6"/>
    <w:rsid w:val="00D808FF"/>
    <w:rsid w:val="00D80989"/>
    <w:rsid w:val="00D80A53"/>
    <w:rsid w:val="00D80EEF"/>
    <w:rsid w:val="00D80F5F"/>
    <w:rsid w:val="00D81062"/>
    <w:rsid w:val="00D829E5"/>
    <w:rsid w:val="00D82EE1"/>
    <w:rsid w:val="00D8308C"/>
    <w:rsid w:val="00D839CE"/>
    <w:rsid w:val="00D84052"/>
    <w:rsid w:val="00D84682"/>
    <w:rsid w:val="00D86AFD"/>
    <w:rsid w:val="00D86EAF"/>
    <w:rsid w:val="00D8733D"/>
    <w:rsid w:val="00D874F0"/>
    <w:rsid w:val="00D877E8"/>
    <w:rsid w:val="00D87AA0"/>
    <w:rsid w:val="00D87C47"/>
    <w:rsid w:val="00D87E2C"/>
    <w:rsid w:val="00D901F9"/>
    <w:rsid w:val="00D90E62"/>
    <w:rsid w:val="00D91574"/>
    <w:rsid w:val="00D915AD"/>
    <w:rsid w:val="00D9172F"/>
    <w:rsid w:val="00D91A22"/>
    <w:rsid w:val="00D91DA8"/>
    <w:rsid w:val="00D91DF0"/>
    <w:rsid w:val="00D91FE9"/>
    <w:rsid w:val="00D922AC"/>
    <w:rsid w:val="00D9239F"/>
    <w:rsid w:val="00D929A6"/>
    <w:rsid w:val="00D92AB2"/>
    <w:rsid w:val="00D92F1D"/>
    <w:rsid w:val="00D93819"/>
    <w:rsid w:val="00D94484"/>
    <w:rsid w:val="00D94816"/>
    <w:rsid w:val="00D94CAB"/>
    <w:rsid w:val="00D9554E"/>
    <w:rsid w:val="00D9601E"/>
    <w:rsid w:val="00D96450"/>
    <w:rsid w:val="00D96605"/>
    <w:rsid w:val="00D96A88"/>
    <w:rsid w:val="00D96CAD"/>
    <w:rsid w:val="00D97107"/>
    <w:rsid w:val="00D976DF"/>
    <w:rsid w:val="00D97C90"/>
    <w:rsid w:val="00DA05F4"/>
    <w:rsid w:val="00DA1A85"/>
    <w:rsid w:val="00DA2BB7"/>
    <w:rsid w:val="00DA3375"/>
    <w:rsid w:val="00DA3A5E"/>
    <w:rsid w:val="00DA3C53"/>
    <w:rsid w:val="00DA4CAF"/>
    <w:rsid w:val="00DA4D42"/>
    <w:rsid w:val="00DA525C"/>
    <w:rsid w:val="00DA5481"/>
    <w:rsid w:val="00DA5574"/>
    <w:rsid w:val="00DA574D"/>
    <w:rsid w:val="00DA638E"/>
    <w:rsid w:val="00DA6D6A"/>
    <w:rsid w:val="00DA6E71"/>
    <w:rsid w:val="00DA72B6"/>
    <w:rsid w:val="00DB0180"/>
    <w:rsid w:val="00DB0D44"/>
    <w:rsid w:val="00DB132E"/>
    <w:rsid w:val="00DB190C"/>
    <w:rsid w:val="00DB1BB8"/>
    <w:rsid w:val="00DB212E"/>
    <w:rsid w:val="00DB2D10"/>
    <w:rsid w:val="00DB2DE7"/>
    <w:rsid w:val="00DB3899"/>
    <w:rsid w:val="00DB3A13"/>
    <w:rsid w:val="00DB6037"/>
    <w:rsid w:val="00DB626D"/>
    <w:rsid w:val="00DB6630"/>
    <w:rsid w:val="00DB6662"/>
    <w:rsid w:val="00DB6B17"/>
    <w:rsid w:val="00DB7048"/>
    <w:rsid w:val="00DB709F"/>
    <w:rsid w:val="00DB74F3"/>
    <w:rsid w:val="00DB7E07"/>
    <w:rsid w:val="00DB7E73"/>
    <w:rsid w:val="00DB7E97"/>
    <w:rsid w:val="00DC0044"/>
    <w:rsid w:val="00DC0C56"/>
    <w:rsid w:val="00DC0D59"/>
    <w:rsid w:val="00DC121F"/>
    <w:rsid w:val="00DC1C90"/>
    <w:rsid w:val="00DC1D8E"/>
    <w:rsid w:val="00DC2952"/>
    <w:rsid w:val="00DC2ADE"/>
    <w:rsid w:val="00DC2BF6"/>
    <w:rsid w:val="00DC3AB0"/>
    <w:rsid w:val="00DC3AEE"/>
    <w:rsid w:val="00DC3F6E"/>
    <w:rsid w:val="00DC4E8F"/>
    <w:rsid w:val="00DC6988"/>
    <w:rsid w:val="00DC6EBB"/>
    <w:rsid w:val="00DC720D"/>
    <w:rsid w:val="00DC73E5"/>
    <w:rsid w:val="00DC75B7"/>
    <w:rsid w:val="00DC7DC3"/>
    <w:rsid w:val="00DD087A"/>
    <w:rsid w:val="00DD0DCB"/>
    <w:rsid w:val="00DD0E51"/>
    <w:rsid w:val="00DD1E5D"/>
    <w:rsid w:val="00DD1F22"/>
    <w:rsid w:val="00DD238C"/>
    <w:rsid w:val="00DD2720"/>
    <w:rsid w:val="00DD2BBA"/>
    <w:rsid w:val="00DD2DB6"/>
    <w:rsid w:val="00DD2E33"/>
    <w:rsid w:val="00DD32C4"/>
    <w:rsid w:val="00DD342B"/>
    <w:rsid w:val="00DD37B1"/>
    <w:rsid w:val="00DD498F"/>
    <w:rsid w:val="00DD49EF"/>
    <w:rsid w:val="00DD53A3"/>
    <w:rsid w:val="00DD55F8"/>
    <w:rsid w:val="00DD6537"/>
    <w:rsid w:val="00DD7531"/>
    <w:rsid w:val="00DD7842"/>
    <w:rsid w:val="00DD7F67"/>
    <w:rsid w:val="00DE040D"/>
    <w:rsid w:val="00DE04C7"/>
    <w:rsid w:val="00DE0ABC"/>
    <w:rsid w:val="00DE0D0A"/>
    <w:rsid w:val="00DE10C0"/>
    <w:rsid w:val="00DE23F4"/>
    <w:rsid w:val="00DE36D4"/>
    <w:rsid w:val="00DE3C9D"/>
    <w:rsid w:val="00DE4000"/>
    <w:rsid w:val="00DE4806"/>
    <w:rsid w:val="00DE4B4E"/>
    <w:rsid w:val="00DE58CC"/>
    <w:rsid w:val="00DE60FE"/>
    <w:rsid w:val="00DE644E"/>
    <w:rsid w:val="00DE696E"/>
    <w:rsid w:val="00DE6AF0"/>
    <w:rsid w:val="00DE778D"/>
    <w:rsid w:val="00DE7D31"/>
    <w:rsid w:val="00DF0144"/>
    <w:rsid w:val="00DF0287"/>
    <w:rsid w:val="00DF11EF"/>
    <w:rsid w:val="00DF15A3"/>
    <w:rsid w:val="00DF2075"/>
    <w:rsid w:val="00DF20AA"/>
    <w:rsid w:val="00DF276E"/>
    <w:rsid w:val="00DF2C9D"/>
    <w:rsid w:val="00DF2FC5"/>
    <w:rsid w:val="00DF36D9"/>
    <w:rsid w:val="00DF3A39"/>
    <w:rsid w:val="00DF4218"/>
    <w:rsid w:val="00DF42CF"/>
    <w:rsid w:val="00DF497B"/>
    <w:rsid w:val="00DF4D4E"/>
    <w:rsid w:val="00DF6D1D"/>
    <w:rsid w:val="00DF6E2F"/>
    <w:rsid w:val="00DF71F1"/>
    <w:rsid w:val="00DF7352"/>
    <w:rsid w:val="00DF7C7F"/>
    <w:rsid w:val="00DF7DF2"/>
    <w:rsid w:val="00E005E7"/>
    <w:rsid w:val="00E006F9"/>
    <w:rsid w:val="00E0070E"/>
    <w:rsid w:val="00E00E1C"/>
    <w:rsid w:val="00E00EE3"/>
    <w:rsid w:val="00E00FAE"/>
    <w:rsid w:val="00E013FC"/>
    <w:rsid w:val="00E0157F"/>
    <w:rsid w:val="00E01674"/>
    <w:rsid w:val="00E0170A"/>
    <w:rsid w:val="00E02450"/>
    <w:rsid w:val="00E027A0"/>
    <w:rsid w:val="00E028ED"/>
    <w:rsid w:val="00E02A0E"/>
    <w:rsid w:val="00E03591"/>
    <w:rsid w:val="00E03E94"/>
    <w:rsid w:val="00E04725"/>
    <w:rsid w:val="00E049AB"/>
    <w:rsid w:val="00E04C96"/>
    <w:rsid w:val="00E04DDE"/>
    <w:rsid w:val="00E0567E"/>
    <w:rsid w:val="00E0568F"/>
    <w:rsid w:val="00E06093"/>
    <w:rsid w:val="00E06260"/>
    <w:rsid w:val="00E07EE6"/>
    <w:rsid w:val="00E1025F"/>
    <w:rsid w:val="00E10651"/>
    <w:rsid w:val="00E1092A"/>
    <w:rsid w:val="00E10C7C"/>
    <w:rsid w:val="00E10DA3"/>
    <w:rsid w:val="00E10DA9"/>
    <w:rsid w:val="00E11043"/>
    <w:rsid w:val="00E11A97"/>
    <w:rsid w:val="00E11F80"/>
    <w:rsid w:val="00E121E6"/>
    <w:rsid w:val="00E1269A"/>
    <w:rsid w:val="00E127D0"/>
    <w:rsid w:val="00E13652"/>
    <w:rsid w:val="00E14253"/>
    <w:rsid w:val="00E1486A"/>
    <w:rsid w:val="00E14B8A"/>
    <w:rsid w:val="00E14C11"/>
    <w:rsid w:val="00E1552C"/>
    <w:rsid w:val="00E15F71"/>
    <w:rsid w:val="00E160AD"/>
    <w:rsid w:val="00E16702"/>
    <w:rsid w:val="00E170E9"/>
    <w:rsid w:val="00E1736E"/>
    <w:rsid w:val="00E205DC"/>
    <w:rsid w:val="00E20EE9"/>
    <w:rsid w:val="00E21216"/>
    <w:rsid w:val="00E214F2"/>
    <w:rsid w:val="00E21598"/>
    <w:rsid w:val="00E2219D"/>
    <w:rsid w:val="00E223D8"/>
    <w:rsid w:val="00E2250E"/>
    <w:rsid w:val="00E22777"/>
    <w:rsid w:val="00E228E8"/>
    <w:rsid w:val="00E22DD8"/>
    <w:rsid w:val="00E237A4"/>
    <w:rsid w:val="00E23876"/>
    <w:rsid w:val="00E23A50"/>
    <w:rsid w:val="00E24B30"/>
    <w:rsid w:val="00E25263"/>
    <w:rsid w:val="00E252E7"/>
    <w:rsid w:val="00E2584D"/>
    <w:rsid w:val="00E2601E"/>
    <w:rsid w:val="00E26A95"/>
    <w:rsid w:val="00E2717E"/>
    <w:rsid w:val="00E274AF"/>
    <w:rsid w:val="00E27E4E"/>
    <w:rsid w:val="00E305A8"/>
    <w:rsid w:val="00E30CE1"/>
    <w:rsid w:val="00E3194F"/>
    <w:rsid w:val="00E31990"/>
    <w:rsid w:val="00E31C0B"/>
    <w:rsid w:val="00E31E0A"/>
    <w:rsid w:val="00E32038"/>
    <w:rsid w:val="00E32113"/>
    <w:rsid w:val="00E327E3"/>
    <w:rsid w:val="00E32A73"/>
    <w:rsid w:val="00E32C3F"/>
    <w:rsid w:val="00E32EBF"/>
    <w:rsid w:val="00E32EF7"/>
    <w:rsid w:val="00E333C7"/>
    <w:rsid w:val="00E33800"/>
    <w:rsid w:val="00E34C06"/>
    <w:rsid w:val="00E34DF8"/>
    <w:rsid w:val="00E34F8C"/>
    <w:rsid w:val="00E350CA"/>
    <w:rsid w:val="00E35EF2"/>
    <w:rsid w:val="00E35FF4"/>
    <w:rsid w:val="00E366C4"/>
    <w:rsid w:val="00E37ABB"/>
    <w:rsid w:val="00E40882"/>
    <w:rsid w:val="00E40B1F"/>
    <w:rsid w:val="00E414D4"/>
    <w:rsid w:val="00E42026"/>
    <w:rsid w:val="00E42061"/>
    <w:rsid w:val="00E42370"/>
    <w:rsid w:val="00E42764"/>
    <w:rsid w:val="00E43522"/>
    <w:rsid w:val="00E4451A"/>
    <w:rsid w:val="00E445B3"/>
    <w:rsid w:val="00E44BD5"/>
    <w:rsid w:val="00E453A1"/>
    <w:rsid w:val="00E45515"/>
    <w:rsid w:val="00E45A2F"/>
    <w:rsid w:val="00E4654B"/>
    <w:rsid w:val="00E46CE3"/>
    <w:rsid w:val="00E51A7A"/>
    <w:rsid w:val="00E51F9D"/>
    <w:rsid w:val="00E528FF"/>
    <w:rsid w:val="00E52C4E"/>
    <w:rsid w:val="00E546E8"/>
    <w:rsid w:val="00E5570E"/>
    <w:rsid w:val="00E56261"/>
    <w:rsid w:val="00E56C64"/>
    <w:rsid w:val="00E57AF8"/>
    <w:rsid w:val="00E57F92"/>
    <w:rsid w:val="00E610E7"/>
    <w:rsid w:val="00E610F6"/>
    <w:rsid w:val="00E6142D"/>
    <w:rsid w:val="00E634DA"/>
    <w:rsid w:val="00E634E0"/>
    <w:rsid w:val="00E63994"/>
    <w:rsid w:val="00E63B17"/>
    <w:rsid w:val="00E6486A"/>
    <w:rsid w:val="00E64C1C"/>
    <w:rsid w:val="00E650C2"/>
    <w:rsid w:val="00E65ABF"/>
    <w:rsid w:val="00E66010"/>
    <w:rsid w:val="00E665E0"/>
    <w:rsid w:val="00E669AF"/>
    <w:rsid w:val="00E66C89"/>
    <w:rsid w:val="00E67F44"/>
    <w:rsid w:val="00E70651"/>
    <w:rsid w:val="00E70DB0"/>
    <w:rsid w:val="00E7125B"/>
    <w:rsid w:val="00E717C2"/>
    <w:rsid w:val="00E725BD"/>
    <w:rsid w:val="00E72762"/>
    <w:rsid w:val="00E72FA5"/>
    <w:rsid w:val="00E72FF4"/>
    <w:rsid w:val="00E734C9"/>
    <w:rsid w:val="00E75438"/>
    <w:rsid w:val="00E75EBC"/>
    <w:rsid w:val="00E76040"/>
    <w:rsid w:val="00E76449"/>
    <w:rsid w:val="00E76916"/>
    <w:rsid w:val="00E76A68"/>
    <w:rsid w:val="00E76D3B"/>
    <w:rsid w:val="00E776DB"/>
    <w:rsid w:val="00E77898"/>
    <w:rsid w:val="00E801D5"/>
    <w:rsid w:val="00E80261"/>
    <w:rsid w:val="00E804C4"/>
    <w:rsid w:val="00E80EC9"/>
    <w:rsid w:val="00E8113D"/>
    <w:rsid w:val="00E8146F"/>
    <w:rsid w:val="00E815A4"/>
    <w:rsid w:val="00E81646"/>
    <w:rsid w:val="00E82237"/>
    <w:rsid w:val="00E82F6C"/>
    <w:rsid w:val="00E83275"/>
    <w:rsid w:val="00E834C7"/>
    <w:rsid w:val="00E83A7A"/>
    <w:rsid w:val="00E8419A"/>
    <w:rsid w:val="00E8506B"/>
    <w:rsid w:val="00E861EC"/>
    <w:rsid w:val="00E8653E"/>
    <w:rsid w:val="00E86991"/>
    <w:rsid w:val="00E86FE6"/>
    <w:rsid w:val="00E87012"/>
    <w:rsid w:val="00E87096"/>
    <w:rsid w:val="00E875D5"/>
    <w:rsid w:val="00E9020C"/>
    <w:rsid w:val="00E90CFE"/>
    <w:rsid w:val="00E90DFE"/>
    <w:rsid w:val="00E910CB"/>
    <w:rsid w:val="00E91717"/>
    <w:rsid w:val="00E92E4A"/>
    <w:rsid w:val="00E92F0E"/>
    <w:rsid w:val="00E932F7"/>
    <w:rsid w:val="00E93A83"/>
    <w:rsid w:val="00E944F0"/>
    <w:rsid w:val="00E946FF"/>
    <w:rsid w:val="00E94721"/>
    <w:rsid w:val="00E94F58"/>
    <w:rsid w:val="00E9688E"/>
    <w:rsid w:val="00E9706D"/>
    <w:rsid w:val="00E979A1"/>
    <w:rsid w:val="00EA110D"/>
    <w:rsid w:val="00EA248B"/>
    <w:rsid w:val="00EA29ED"/>
    <w:rsid w:val="00EA2AA5"/>
    <w:rsid w:val="00EA4392"/>
    <w:rsid w:val="00EA43FC"/>
    <w:rsid w:val="00EA4587"/>
    <w:rsid w:val="00EA5818"/>
    <w:rsid w:val="00EA5A3F"/>
    <w:rsid w:val="00EA5AD5"/>
    <w:rsid w:val="00EA652B"/>
    <w:rsid w:val="00EA676D"/>
    <w:rsid w:val="00EA68F2"/>
    <w:rsid w:val="00EA6C04"/>
    <w:rsid w:val="00EA74A2"/>
    <w:rsid w:val="00EA7560"/>
    <w:rsid w:val="00EA7D3A"/>
    <w:rsid w:val="00EB02F3"/>
    <w:rsid w:val="00EB08DC"/>
    <w:rsid w:val="00EB0DB7"/>
    <w:rsid w:val="00EB0E24"/>
    <w:rsid w:val="00EB1282"/>
    <w:rsid w:val="00EB1DB9"/>
    <w:rsid w:val="00EB26CE"/>
    <w:rsid w:val="00EB2BD5"/>
    <w:rsid w:val="00EB2F76"/>
    <w:rsid w:val="00EB3261"/>
    <w:rsid w:val="00EB3281"/>
    <w:rsid w:val="00EB3B1D"/>
    <w:rsid w:val="00EB3DA6"/>
    <w:rsid w:val="00EB4533"/>
    <w:rsid w:val="00EB487C"/>
    <w:rsid w:val="00EB4A0A"/>
    <w:rsid w:val="00EB4CC5"/>
    <w:rsid w:val="00EB5162"/>
    <w:rsid w:val="00EB6B5A"/>
    <w:rsid w:val="00EB6F79"/>
    <w:rsid w:val="00EB7236"/>
    <w:rsid w:val="00EB7441"/>
    <w:rsid w:val="00EB7601"/>
    <w:rsid w:val="00EB7A3B"/>
    <w:rsid w:val="00EB7ACC"/>
    <w:rsid w:val="00EB7D25"/>
    <w:rsid w:val="00EC081A"/>
    <w:rsid w:val="00EC0856"/>
    <w:rsid w:val="00EC156F"/>
    <w:rsid w:val="00EC15BF"/>
    <w:rsid w:val="00EC1747"/>
    <w:rsid w:val="00EC1EC6"/>
    <w:rsid w:val="00EC1F2A"/>
    <w:rsid w:val="00EC294A"/>
    <w:rsid w:val="00EC2C05"/>
    <w:rsid w:val="00EC3A2F"/>
    <w:rsid w:val="00EC3A4F"/>
    <w:rsid w:val="00EC409E"/>
    <w:rsid w:val="00EC411E"/>
    <w:rsid w:val="00EC41C2"/>
    <w:rsid w:val="00EC4977"/>
    <w:rsid w:val="00EC4DD0"/>
    <w:rsid w:val="00EC7117"/>
    <w:rsid w:val="00EC7C1A"/>
    <w:rsid w:val="00ED04AF"/>
    <w:rsid w:val="00ED05A6"/>
    <w:rsid w:val="00ED0875"/>
    <w:rsid w:val="00ED0B5D"/>
    <w:rsid w:val="00ED1197"/>
    <w:rsid w:val="00ED224A"/>
    <w:rsid w:val="00ED2CB8"/>
    <w:rsid w:val="00ED35C2"/>
    <w:rsid w:val="00ED3745"/>
    <w:rsid w:val="00ED39DC"/>
    <w:rsid w:val="00ED3C61"/>
    <w:rsid w:val="00ED3D6D"/>
    <w:rsid w:val="00ED4F8F"/>
    <w:rsid w:val="00ED5543"/>
    <w:rsid w:val="00ED63DB"/>
    <w:rsid w:val="00ED6477"/>
    <w:rsid w:val="00ED7A83"/>
    <w:rsid w:val="00ED7B19"/>
    <w:rsid w:val="00ED7C68"/>
    <w:rsid w:val="00ED7CA1"/>
    <w:rsid w:val="00EE05C2"/>
    <w:rsid w:val="00EE0B84"/>
    <w:rsid w:val="00EE202A"/>
    <w:rsid w:val="00EE329E"/>
    <w:rsid w:val="00EE3E08"/>
    <w:rsid w:val="00EE43A8"/>
    <w:rsid w:val="00EE447B"/>
    <w:rsid w:val="00EE4575"/>
    <w:rsid w:val="00EE4932"/>
    <w:rsid w:val="00EE4D00"/>
    <w:rsid w:val="00EE671E"/>
    <w:rsid w:val="00EE707A"/>
    <w:rsid w:val="00EE71C7"/>
    <w:rsid w:val="00EE7767"/>
    <w:rsid w:val="00EE7C32"/>
    <w:rsid w:val="00EF0446"/>
    <w:rsid w:val="00EF0582"/>
    <w:rsid w:val="00EF08D8"/>
    <w:rsid w:val="00EF1F84"/>
    <w:rsid w:val="00EF200A"/>
    <w:rsid w:val="00EF22FC"/>
    <w:rsid w:val="00EF23AA"/>
    <w:rsid w:val="00EF29F3"/>
    <w:rsid w:val="00EF32D7"/>
    <w:rsid w:val="00EF4C02"/>
    <w:rsid w:val="00EF575B"/>
    <w:rsid w:val="00EF585F"/>
    <w:rsid w:val="00EF594C"/>
    <w:rsid w:val="00EF5B5A"/>
    <w:rsid w:val="00EF6C20"/>
    <w:rsid w:val="00EF78A7"/>
    <w:rsid w:val="00EF798D"/>
    <w:rsid w:val="00EF7A33"/>
    <w:rsid w:val="00EF7AD4"/>
    <w:rsid w:val="00EF7BC7"/>
    <w:rsid w:val="00EF7E21"/>
    <w:rsid w:val="00F000C6"/>
    <w:rsid w:val="00F00121"/>
    <w:rsid w:val="00F007C5"/>
    <w:rsid w:val="00F007EB"/>
    <w:rsid w:val="00F00A54"/>
    <w:rsid w:val="00F00A9E"/>
    <w:rsid w:val="00F02210"/>
    <w:rsid w:val="00F02CC1"/>
    <w:rsid w:val="00F031F2"/>
    <w:rsid w:val="00F04C00"/>
    <w:rsid w:val="00F05408"/>
    <w:rsid w:val="00F056D2"/>
    <w:rsid w:val="00F05EE7"/>
    <w:rsid w:val="00F0629F"/>
    <w:rsid w:val="00F06512"/>
    <w:rsid w:val="00F06DF9"/>
    <w:rsid w:val="00F07948"/>
    <w:rsid w:val="00F10CA2"/>
    <w:rsid w:val="00F116DE"/>
    <w:rsid w:val="00F119B8"/>
    <w:rsid w:val="00F12439"/>
    <w:rsid w:val="00F12506"/>
    <w:rsid w:val="00F12CBB"/>
    <w:rsid w:val="00F1318F"/>
    <w:rsid w:val="00F13558"/>
    <w:rsid w:val="00F1384C"/>
    <w:rsid w:val="00F14024"/>
    <w:rsid w:val="00F140CC"/>
    <w:rsid w:val="00F144EE"/>
    <w:rsid w:val="00F14F01"/>
    <w:rsid w:val="00F155DD"/>
    <w:rsid w:val="00F15A6B"/>
    <w:rsid w:val="00F15B19"/>
    <w:rsid w:val="00F15ED9"/>
    <w:rsid w:val="00F15FC0"/>
    <w:rsid w:val="00F16533"/>
    <w:rsid w:val="00F16D2E"/>
    <w:rsid w:val="00F171B0"/>
    <w:rsid w:val="00F17972"/>
    <w:rsid w:val="00F17AC9"/>
    <w:rsid w:val="00F17BC8"/>
    <w:rsid w:val="00F2052D"/>
    <w:rsid w:val="00F20F76"/>
    <w:rsid w:val="00F210E6"/>
    <w:rsid w:val="00F21554"/>
    <w:rsid w:val="00F216AF"/>
    <w:rsid w:val="00F21F28"/>
    <w:rsid w:val="00F22C16"/>
    <w:rsid w:val="00F23566"/>
    <w:rsid w:val="00F241D8"/>
    <w:rsid w:val="00F24523"/>
    <w:rsid w:val="00F24CA1"/>
    <w:rsid w:val="00F24D3D"/>
    <w:rsid w:val="00F26318"/>
    <w:rsid w:val="00F265F7"/>
    <w:rsid w:val="00F26B2E"/>
    <w:rsid w:val="00F2725E"/>
    <w:rsid w:val="00F27986"/>
    <w:rsid w:val="00F27A9F"/>
    <w:rsid w:val="00F30085"/>
    <w:rsid w:val="00F30348"/>
    <w:rsid w:val="00F306B3"/>
    <w:rsid w:val="00F307F8"/>
    <w:rsid w:val="00F3129E"/>
    <w:rsid w:val="00F314CF"/>
    <w:rsid w:val="00F316E4"/>
    <w:rsid w:val="00F3213D"/>
    <w:rsid w:val="00F32FAD"/>
    <w:rsid w:val="00F34183"/>
    <w:rsid w:val="00F35371"/>
    <w:rsid w:val="00F3549F"/>
    <w:rsid w:val="00F356AF"/>
    <w:rsid w:val="00F35E19"/>
    <w:rsid w:val="00F35FCD"/>
    <w:rsid w:val="00F36634"/>
    <w:rsid w:val="00F36E67"/>
    <w:rsid w:val="00F3741A"/>
    <w:rsid w:val="00F37CC8"/>
    <w:rsid w:val="00F400EC"/>
    <w:rsid w:val="00F40DAC"/>
    <w:rsid w:val="00F410D2"/>
    <w:rsid w:val="00F41B03"/>
    <w:rsid w:val="00F42325"/>
    <w:rsid w:val="00F42549"/>
    <w:rsid w:val="00F42E9A"/>
    <w:rsid w:val="00F42F7D"/>
    <w:rsid w:val="00F4336F"/>
    <w:rsid w:val="00F4369F"/>
    <w:rsid w:val="00F43948"/>
    <w:rsid w:val="00F43B35"/>
    <w:rsid w:val="00F448A4"/>
    <w:rsid w:val="00F449AB"/>
    <w:rsid w:val="00F45454"/>
    <w:rsid w:val="00F458A6"/>
    <w:rsid w:val="00F458AD"/>
    <w:rsid w:val="00F46329"/>
    <w:rsid w:val="00F46637"/>
    <w:rsid w:val="00F468D5"/>
    <w:rsid w:val="00F475A9"/>
    <w:rsid w:val="00F47D16"/>
    <w:rsid w:val="00F50243"/>
    <w:rsid w:val="00F503F5"/>
    <w:rsid w:val="00F50A7E"/>
    <w:rsid w:val="00F50E79"/>
    <w:rsid w:val="00F51704"/>
    <w:rsid w:val="00F5172A"/>
    <w:rsid w:val="00F51C05"/>
    <w:rsid w:val="00F51DDF"/>
    <w:rsid w:val="00F51F6D"/>
    <w:rsid w:val="00F52E5E"/>
    <w:rsid w:val="00F53239"/>
    <w:rsid w:val="00F53701"/>
    <w:rsid w:val="00F5378B"/>
    <w:rsid w:val="00F556FC"/>
    <w:rsid w:val="00F5598D"/>
    <w:rsid w:val="00F55B6B"/>
    <w:rsid w:val="00F55F90"/>
    <w:rsid w:val="00F568C1"/>
    <w:rsid w:val="00F56CCC"/>
    <w:rsid w:val="00F5709C"/>
    <w:rsid w:val="00F601C0"/>
    <w:rsid w:val="00F61938"/>
    <w:rsid w:val="00F62182"/>
    <w:rsid w:val="00F62215"/>
    <w:rsid w:val="00F6229A"/>
    <w:rsid w:val="00F622A2"/>
    <w:rsid w:val="00F62FF5"/>
    <w:rsid w:val="00F63140"/>
    <w:rsid w:val="00F6337C"/>
    <w:rsid w:val="00F634FB"/>
    <w:rsid w:val="00F63569"/>
    <w:rsid w:val="00F644A7"/>
    <w:rsid w:val="00F64B72"/>
    <w:rsid w:val="00F65016"/>
    <w:rsid w:val="00F6533E"/>
    <w:rsid w:val="00F65583"/>
    <w:rsid w:val="00F65A14"/>
    <w:rsid w:val="00F66487"/>
    <w:rsid w:val="00F66B50"/>
    <w:rsid w:val="00F670D3"/>
    <w:rsid w:val="00F67202"/>
    <w:rsid w:val="00F700BC"/>
    <w:rsid w:val="00F70A8D"/>
    <w:rsid w:val="00F7109D"/>
    <w:rsid w:val="00F710A0"/>
    <w:rsid w:val="00F71292"/>
    <w:rsid w:val="00F717B2"/>
    <w:rsid w:val="00F72351"/>
    <w:rsid w:val="00F726FA"/>
    <w:rsid w:val="00F72C1C"/>
    <w:rsid w:val="00F72FCA"/>
    <w:rsid w:val="00F732B8"/>
    <w:rsid w:val="00F73C26"/>
    <w:rsid w:val="00F73C50"/>
    <w:rsid w:val="00F744D5"/>
    <w:rsid w:val="00F74895"/>
    <w:rsid w:val="00F74DB8"/>
    <w:rsid w:val="00F74E53"/>
    <w:rsid w:val="00F75417"/>
    <w:rsid w:val="00F754A5"/>
    <w:rsid w:val="00F759BE"/>
    <w:rsid w:val="00F76205"/>
    <w:rsid w:val="00F763C5"/>
    <w:rsid w:val="00F764F8"/>
    <w:rsid w:val="00F76ED2"/>
    <w:rsid w:val="00F7706F"/>
    <w:rsid w:val="00F7710E"/>
    <w:rsid w:val="00F773B1"/>
    <w:rsid w:val="00F774EE"/>
    <w:rsid w:val="00F804A7"/>
    <w:rsid w:val="00F804F7"/>
    <w:rsid w:val="00F805E1"/>
    <w:rsid w:val="00F80D5C"/>
    <w:rsid w:val="00F80EA4"/>
    <w:rsid w:val="00F8103F"/>
    <w:rsid w:val="00F8150E"/>
    <w:rsid w:val="00F81EFB"/>
    <w:rsid w:val="00F82318"/>
    <w:rsid w:val="00F82C65"/>
    <w:rsid w:val="00F83101"/>
    <w:rsid w:val="00F83CEB"/>
    <w:rsid w:val="00F8416E"/>
    <w:rsid w:val="00F84385"/>
    <w:rsid w:val="00F85920"/>
    <w:rsid w:val="00F85EE1"/>
    <w:rsid w:val="00F867F8"/>
    <w:rsid w:val="00F875FF"/>
    <w:rsid w:val="00F90B53"/>
    <w:rsid w:val="00F90FCD"/>
    <w:rsid w:val="00F918DA"/>
    <w:rsid w:val="00F9230A"/>
    <w:rsid w:val="00F92602"/>
    <w:rsid w:val="00F9283E"/>
    <w:rsid w:val="00F92CD5"/>
    <w:rsid w:val="00F9329F"/>
    <w:rsid w:val="00F93564"/>
    <w:rsid w:val="00F938C8"/>
    <w:rsid w:val="00F93F87"/>
    <w:rsid w:val="00F941DA"/>
    <w:rsid w:val="00F943AF"/>
    <w:rsid w:val="00F94A69"/>
    <w:rsid w:val="00F9517A"/>
    <w:rsid w:val="00F95B3C"/>
    <w:rsid w:val="00F961CB"/>
    <w:rsid w:val="00F973B0"/>
    <w:rsid w:val="00F97645"/>
    <w:rsid w:val="00F97736"/>
    <w:rsid w:val="00F97A3A"/>
    <w:rsid w:val="00F97C2C"/>
    <w:rsid w:val="00F97E6D"/>
    <w:rsid w:val="00FA0354"/>
    <w:rsid w:val="00FA0B0D"/>
    <w:rsid w:val="00FA14E4"/>
    <w:rsid w:val="00FA2336"/>
    <w:rsid w:val="00FA271A"/>
    <w:rsid w:val="00FA297B"/>
    <w:rsid w:val="00FA2C7A"/>
    <w:rsid w:val="00FA3708"/>
    <w:rsid w:val="00FA3BEE"/>
    <w:rsid w:val="00FA3D39"/>
    <w:rsid w:val="00FA3E50"/>
    <w:rsid w:val="00FA4036"/>
    <w:rsid w:val="00FA46FE"/>
    <w:rsid w:val="00FA4B2F"/>
    <w:rsid w:val="00FA4BF8"/>
    <w:rsid w:val="00FA4FE5"/>
    <w:rsid w:val="00FA53F0"/>
    <w:rsid w:val="00FA6398"/>
    <w:rsid w:val="00FA66AD"/>
    <w:rsid w:val="00FA6829"/>
    <w:rsid w:val="00FA6B12"/>
    <w:rsid w:val="00FA6E8A"/>
    <w:rsid w:val="00FA6ECE"/>
    <w:rsid w:val="00FA75E6"/>
    <w:rsid w:val="00FB122F"/>
    <w:rsid w:val="00FB20F3"/>
    <w:rsid w:val="00FB2442"/>
    <w:rsid w:val="00FB3257"/>
    <w:rsid w:val="00FB325E"/>
    <w:rsid w:val="00FB3C77"/>
    <w:rsid w:val="00FB4475"/>
    <w:rsid w:val="00FB4629"/>
    <w:rsid w:val="00FB49B9"/>
    <w:rsid w:val="00FB5394"/>
    <w:rsid w:val="00FB55FB"/>
    <w:rsid w:val="00FB5963"/>
    <w:rsid w:val="00FB62CE"/>
    <w:rsid w:val="00FB6E03"/>
    <w:rsid w:val="00FB7D6D"/>
    <w:rsid w:val="00FC1328"/>
    <w:rsid w:val="00FC1496"/>
    <w:rsid w:val="00FC2954"/>
    <w:rsid w:val="00FC346C"/>
    <w:rsid w:val="00FC3705"/>
    <w:rsid w:val="00FC3ED3"/>
    <w:rsid w:val="00FC3FA3"/>
    <w:rsid w:val="00FC4BAB"/>
    <w:rsid w:val="00FC4D54"/>
    <w:rsid w:val="00FC6B4D"/>
    <w:rsid w:val="00FD0244"/>
    <w:rsid w:val="00FD026A"/>
    <w:rsid w:val="00FD06F3"/>
    <w:rsid w:val="00FD0A03"/>
    <w:rsid w:val="00FD0E90"/>
    <w:rsid w:val="00FD2253"/>
    <w:rsid w:val="00FD23B2"/>
    <w:rsid w:val="00FD275D"/>
    <w:rsid w:val="00FD287E"/>
    <w:rsid w:val="00FD2F6F"/>
    <w:rsid w:val="00FD3256"/>
    <w:rsid w:val="00FD3854"/>
    <w:rsid w:val="00FD42B3"/>
    <w:rsid w:val="00FD5091"/>
    <w:rsid w:val="00FD5A71"/>
    <w:rsid w:val="00FD5AEA"/>
    <w:rsid w:val="00FD6BF5"/>
    <w:rsid w:val="00FD7157"/>
    <w:rsid w:val="00FD7847"/>
    <w:rsid w:val="00FD7A4B"/>
    <w:rsid w:val="00FD7CF3"/>
    <w:rsid w:val="00FD7DB9"/>
    <w:rsid w:val="00FD7EFA"/>
    <w:rsid w:val="00FD7F87"/>
    <w:rsid w:val="00FE029B"/>
    <w:rsid w:val="00FE03F9"/>
    <w:rsid w:val="00FE074B"/>
    <w:rsid w:val="00FE0876"/>
    <w:rsid w:val="00FE0C85"/>
    <w:rsid w:val="00FE0DC5"/>
    <w:rsid w:val="00FE12BE"/>
    <w:rsid w:val="00FE1FFC"/>
    <w:rsid w:val="00FE22D9"/>
    <w:rsid w:val="00FE27A3"/>
    <w:rsid w:val="00FE28F2"/>
    <w:rsid w:val="00FE31D0"/>
    <w:rsid w:val="00FE31F1"/>
    <w:rsid w:val="00FE3DF8"/>
    <w:rsid w:val="00FE43C8"/>
    <w:rsid w:val="00FE4BC5"/>
    <w:rsid w:val="00FE4C67"/>
    <w:rsid w:val="00FE4CB4"/>
    <w:rsid w:val="00FE6E06"/>
    <w:rsid w:val="00FE716F"/>
    <w:rsid w:val="00FE7A56"/>
    <w:rsid w:val="00FE7FCF"/>
    <w:rsid w:val="00FF0AF8"/>
    <w:rsid w:val="00FF0E3D"/>
    <w:rsid w:val="00FF11D4"/>
    <w:rsid w:val="00FF139B"/>
    <w:rsid w:val="00FF1561"/>
    <w:rsid w:val="00FF1D65"/>
    <w:rsid w:val="00FF3767"/>
    <w:rsid w:val="00FF3AA2"/>
    <w:rsid w:val="00FF45F3"/>
    <w:rsid w:val="00FF4874"/>
    <w:rsid w:val="00FF4A77"/>
    <w:rsid w:val="00FF5C95"/>
    <w:rsid w:val="00FF61DA"/>
    <w:rsid w:val="00FF6F0D"/>
    <w:rsid w:val="00FF71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B0"/>
    <w:pPr>
      <w:spacing w:after="100" w:line="400" w:lineRule="exact"/>
      <w:jc w:val="both"/>
    </w:pPr>
    <w:rPr>
      <w:rFonts w:ascii="Century Schoolbook" w:hAnsi="Century Schoolbook"/>
      <w:sz w:val="27"/>
    </w:rPr>
  </w:style>
  <w:style w:type="paragraph" w:styleId="Heading1">
    <w:name w:val="heading 1"/>
    <w:basedOn w:val="Normal"/>
    <w:next w:val="Normal"/>
    <w:qFormat/>
    <w:rsid w:val="000641B0"/>
    <w:pPr>
      <w:keepNext/>
      <w:spacing w:before="140" w:line="240" w:lineRule="atLeast"/>
      <w:jc w:val="center"/>
      <w:outlineLvl w:val="0"/>
    </w:pPr>
    <w:rPr>
      <w:b/>
      <w:smallCaps/>
    </w:rPr>
  </w:style>
  <w:style w:type="paragraph" w:styleId="Heading2">
    <w:name w:val="heading 2"/>
    <w:basedOn w:val="Normal"/>
    <w:next w:val="Normal"/>
    <w:qFormat/>
    <w:rsid w:val="000641B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641B0"/>
    <w:pPr>
      <w:keepNext/>
      <w:tabs>
        <w:tab w:val="left" w:pos="1584"/>
      </w:tabs>
      <w:spacing w:before="140" w:line="240" w:lineRule="atLeast"/>
      <w:ind w:left="1584" w:hanging="432"/>
      <w:jc w:val="left"/>
      <w:outlineLvl w:val="2"/>
    </w:pPr>
    <w:rPr>
      <w:i/>
    </w:rPr>
  </w:style>
  <w:style w:type="paragraph" w:styleId="Heading4">
    <w:name w:val="heading 4"/>
    <w:basedOn w:val="Normal"/>
    <w:rsid w:val="000641B0"/>
    <w:pPr>
      <w:keepNext/>
      <w:tabs>
        <w:tab w:val="left" w:pos="2016"/>
      </w:tabs>
      <w:spacing w:before="140" w:line="240" w:lineRule="atLeast"/>
      <w:ind w:left="2016" w:hanging="432"/>
      <w:jc w:val="left"/>
      <w:outlineLvl w:val="3"/>
    </w:pPr>
    <w:rPr>
      <w:i/>
    </w:rPr>
  </w:style>
  <w:style w:type="paragraph" w:styleId="Heading5">
    <w:name w:val="heading 5"/>
    <w:basedOn w:val="Normal"/>
    <w:rsid w:val="000641B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641B0"/>
    <w:pPr>
      <w:ind w:left="720"/>
    </w:pPr>
  </w:style>
  <w:style w:type="paragraph" w:styleId="Footer">
    <w:name w:val="footer"/>
    <w:basedOn w:val="Normal"/>
    <w:qFormat/>
    <w:rsid w:val="000641B0"/>
    <w:pPr>
      <w:tabs>
        <w:tab w:val="center" w:pos="3960"/>
        <w:tab w:val="right" w:pos="10080"/>
      </w:tabs>
      <w:spacing w:after="0" w:line="240" w:lineRule="auto"/>
      <w:jc w:val="center"/>
    </w:pPr>
    <w:rPr>
      <w:sz w:val="22"/>
    </w:rPr>
  </w:style>
  <w:style w:type="paragraph" w:styleId="Header">
    <w:name w:val="header"/>
    <w:basedOn w:val="Normal"/>
    <w:qFormat/>
    <w:rsid w:val="000641B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641B0"/>
    <w:rPr>
      <w:rFonts w:ascii="Century Schoolbook" w:hAnsi="Century Schoolbook"/>
      <w:b/>
      <w:i w:val="0"/>
      <w:position w:val="4"/>
      <w:sz w:val="27"/>
      <w:vertAlign w:val="superscript"/>
    </w:rPr>
  </w:style>
  <w:style w:type="paragraph" w:styleId="FootnoteText">
    <w:name w:val="footnote text"/>
    <w:basedOn w:val="Normal"/>
    <w:link w:val="FootnoteTextChar"/>
    <w:rsid w:val="000641B0"/>
    <w:pPr>
      <w:spacing w:line="300" w:lineRule="exact"/>
    </w:pPr>
  </w:style>
  <w:style w:type="paragraph" w:customStyle="1" w:styleId="Title1">
    <w:name w:val="Title1"/>
    <w:basedOn w:val="Normal"/>
    <w:rsid w:val="000641B0"/>
    <w:pPr>
      <w:tabs>
        <w:tab w:val="left" w:pos="5760"/>
        <w:tab w:val="left" w:pos="6480"/>
      </w:tabs>
      <w:spacing w:line="240" w:lineRule="atLeast"/>
    </w:pPr>
  </w:style>
  <w:style w:type="paragraph" w:customStyle="1" w:styleId="Recommend">
    <w:name w:val="Recommend"/>
    <w:basedOn w:val="Normal"/>
    <w:rsid w:val="000641B0"/>
  </w:style>
  <w:style w:type="paragraph" w:customStyle="1" w:styleId="Summary">
    <w:name w:val="Summary"/>
    <w:basedOn w:val="Normal"/>
    <w:rsid w:val="000641B0"/>
    <w:pPr>
      <w:ind w:left="2160" w:hanging="2160"/>
    </w:pPr>
  </w:style>
  <w:style w:type="paragraph" w:customStyle="1" w:styleId="Text">
    <w:name w:val="Text"/>
    <w:basedOn w:val="Normal"/>
    <w:rsid w:val="000641B0"/>
    <w:pPr>
      <w:tabs>
        <w:tab w:val="left" w:pos="720"/>
        <w:tab w:val="left" w:pos="1440"/>
        <w:tab w:val="left" w:pos="2160"/>
        <w:tab w:val="center" w:pos="4320"/>
      </w:tabs>
      <w:spacing w:line="480" w:lineRule="atLeast"/>
      <w:ind w:firstLine="540"/>
    </w:pPr>
  </w:style>
  <w:style w:type="paragraph" w:styleId="Date">
    <w:name w:val="Date"/>
    <w:basedOn w:val="Normal"/>
    <w:semiHidden/>
    <w:rsid w:val="000641B0"/>
    <w:pPr>
      <w:jc w:val="right"/>
    </w:pPr>
  </w:style>
  <w:style w:type="character" w:styleId="PageNumber">
    <w:name w:val="page number"/>
    <w:basedOn w:val="DefaultParagraphFont"/>
    <w:semiHidden/>
    <w:rsid w:val="000641B0"/>
  </w:style>
  <w:style w:type="paragraph" w:customStyle="1" w:styleId="subject">
    <w:name w:val="subject"/>
    <w:basedOn w:val="Normal"/>
    <w:rsid w:val="000641B0"/>
    <w:pPr>
      <w:tabs>
        <w:tab w:val="left" w:pos="1008"/>
      </w:tabs>
      <w:ind w:left="990" w:hanging="990"/>
    </w:pPr>
    <w:rPr>
      <w:b/>
    </w:rPr>
  </w:style>
  <w:style w:type="paragraph" w:customStyle="1" w:styleId="Titles">
    <w:name w:val="Titles"/>
    <w:basedOn w:val="Normal"/>
    <w:rsid w:val="000641B0"/>
    <w:pPr>
      <w:tabs>
        <w:tab w:val="left" w:pos="2160"/>
      </w:tabs>
      <w:ind w:left="2160" w:hanging="2160"/>
    </w:pPr>
    <w:rPr>
      <w:b/>
    </w:rPr>
  </w:style>
  <w:style w:type="paragraph" w:styleId="TOAHeading">
    <w:name w:val="toa heading"/>
    <w:basedOn w:val="Normal"/>
    <w:next w:val="Normal"/>
    <w:semiHidden/>
    <w:rsid w:val="000641B0"/>
    <w:pPr>
      <w:spacing w:before="120"/>
    </w:pPr>
    <w:rPr>
      <w:b/>
    </w:rPr>
  </w:style>
  <w:style w:type="paragraph" w:styleId="TOC1">
    <w:name w:val="toc 1"/>
    <w:basedOn w:val="Normal"/>
    <w:next w:val="Normal"/>
    <w:autoRedefine/>
    <w:semiHidden/>
    <w:rsid w:val="000641B0"/>
  </w:style>
  <w:style w:type="paragraph" w:styleId="TOC2">
    <w:name w:val="toc 2"/>
    <w:basedOn w:val="Normal"/>
    <w:next w:val="Normal"/>
    <w:autoRedefine/>
    <w:semiHidden/>
    <w:rsid w:val="000641B0"/>
    <w:pPr>
      <w:ind w:left="259"/>
    </w:pPr>
  </w:style>
  <w:style w:type="paragraph" w:styleId="TOC3">
    <w:name w:val="toc 3"/>
    <w:basedOn w:val="Normal"/>
    <w:next w:val="Normal"/>
    <w:autoRedefine/>
    <w:semiHidden/>
    <w:rsid w:val="000641B0"/>
    <w:pPr>
      <w:ind w:left="520"/>
    </w:pPr>
  </w:style>
  <w:style w:type="paragraph" w:styleId="TOC4">
    <w:name w:val="toc 4"/>
    <w:basedOn w:val="Normal"/>
    <w:next w:val="Normal"/>
    <w:autoRedefine/>
    <w:semiHidden/>
    <w:rsid w:val="000641B0"/>
    <w:pPr>
      <w:ind w:left="780"/>
    </w:pPr>
  </w:style>
  <w:style w:type="paragraph" w:styleId="TOC5">
    <w:name w:val="toc 5"/>
    <w:basedOn w:val="Normal"/>
    <w:next w:val="Normal"/>
    <w:autoRedefine/>
    <w:semiHidden/>
    <w:rsid w:val="000641B0"/>
    <w:pPr>
      <w:ind w:left="1040"/>
    </w:pPr>
  </w:style>
  <w:style w:type="paragraph" w:styleId="TOC6">
    <w:name w:val="toc 6"/>
    <w:basedOn w:val="Normal"/>
    <w:next w:val="Normal"/>
    <w:autoRedefine/>
    <w:semiHidden/>
    <w:rsid w:val="000641B0"/>
    <w:pPr>
      <w:ind w:left="1300"/>
    </w:pPr>
  </w:style>
  <w:style w:type="paragraph" w:styleId="TOC7">
    <w:name w:val="toc 7"/>
    <w:basedOn w:val="Normal"/>
    <w:next w:val="Normal"/>
    <w:autoRedefine/>
    <w:semiHidden/>
    <w:rsid w:val="000641B0"/>
    <w:pPr>
      <w:ind w:left="1560"/>
    </w:pPr>
  </w:style>
  <w:style w:type="paragraph" w:styleId="TOC8">
    <w:name w:val="toc 8"/>
    <w:basedOn w:val="Normal"/>
    <w:next w:val="Normal"/>
    <w:autoRedefine/>
    <w:semiHidden/>
    <w:rsid w:val="000641B0"/>
    <w:pPr>
      <w:ind w:left="1820"/>
    </w:pPr>
  </w:style>
  <w:style w:type="paragraph" w:styleId="TOC9">
    <w:name w:val="toc 9"/>
    <w:basedOn w:val="Normal"/>
    <w:next w:val="Normal"/>
    <w:autoRedefine/>
    <w:semiHidden/>
    <w:rsid w:val="000641B0"/>
    <w:pPr>
      <w:ind w:left="2080"/>
    </w:pPr>
  </w:style>
  <w:style w:type="paragraph" w:customStyle="1" w:styleId="Contents">
    <w:name w:val="Contents"/>
    <w:basedOn w:val="Normal"/>
    <w:rsid w:val="000641B0"/>
    <w:pPr>
      <w:jc w:val="center"/>
    </w:pPr>
    <w:rPr>
      <w:b/>
      <w:spacing w:val="100"/>
    </w:rPr>
  </w:style>
  <w:style w:type="character" w:customStyle="1" w:styleId="FootnoteTextChar">
    <w:name w:val="Footnote Text Char"/>
    <w:basedOn w:val="DefaultParagraphFont"/>
    <w:link w:val="FootnoteText"/>
    <w:rsid w:val="001631D9"/>
    <w:rPr>
      <w:rFonts w:ascii="Century Schoolbook" w:hAnsi="Century Schoolbook"/>
      <w:sz w:val="27"/>
    </w:rPr>
  </w:style>
  <w:style w:type="character" w:styleId="Hyperlink">
    <w:name w:val="Hyperlink"/>
    <w:basedOn w:val="DefaultParagraphFont"/>
    <w:uiPriority w:val="99"/>
    <w:unhideWhenUsed/>
    <w:rsid w:val="00C45579"/>
    <w:rPr>
      <w:color w:val="0000FF" w:themeColor="hyperlink"/>
      <w:u w:val="single"/>
    </w:rPr>
  </w:style>
  <w:style w:type="character" w:customStyle="1" w:styleId="UnresolvedMention1">
    <w:name w:val="Unresolved Mention1"/>
    <w:basedOn w:val="DefaultParagraphFont"/>
    <w:uiPriority w:val="99"/>
    <w:semiHidden/>
    <w:unhideWhenUsed/>
    <w:rsid w:val="00C45579"/>
    <w:rPr>
      <w:color w:val="605E5C"/>
      <w:shd w:val="clear" w:color="auto" w:fill="E1DFDD"/>
    </w:rPr>
  </w:style>
  <w:style w:type="table" w:styleId="TableGrid">
    <w:name w:val="Table Grid"/>
    <w:basedOn w:val="TableNormal"/>
    <w:uiPriority w:val="39"/>
    <w:rsid w:val="00C846D3"/>
    <w:rPr>
      <w:rFonts w:asciiTheme="minorHAnsi" w:eastAsiaTheme="minorHAnsi" w:hAnsiTheme="minorHAns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94D"/>
    <w:rPr>
      <w:sz w:val="16"/>
      <w:szCs w:val="16"/>
    </w:rPr>
  </w:style>
  <w:style w:type="paragraph" w:styleId="CommentText">
    <w:name w:val="annotation text"/>
    <w:basedOn w:val="Normal"/>
    <w:link w:val="CommentTextChar"/>
    <w:uiPriority w:val="99"/>
    <w:unhideWhenUsed/>
    <w:rsid w:val="00A8694D"/>
    <w:rPr>
      <w:sz w:val="20"/>
    </w:rPr>
  </w:style>
  <w:style w:type="character" w:customStyle="1" w:styleId="CommentTextChar">
    <w:name w:val="Comment Text Char"/>
    <w:basedOn w:val="DefaultParagraphFont"/>
    <w:link w:val="CommentText"/>
    <w:uiPriority w:val="99"/>
    <w:rsid w:val="00A8694D"/>
  </w:style>
  <w:style w:type="paragraph" w:styleId="CommentSubject">
    <w:name w:val="annotation subject"/>
    <w:basedOn w:val="CommentText"/>
    <w:next w:val="CommentText"/>
    <w:link w:val="CommentSubjectChar"/>
    <w:uiPriority w:val="99"/>
    <w:semiHidden/>
    <w:unhideWhenUsed/>
    <w:rsid w:val="00A8694D"/>
    <w:rPr>
      <w:b/>
      <w:bCs/>
    </w:rPr>
  </w:style>
  <w:style w:type="character" w:customStyle="1" w:styleId="CommentSubjectChar">
    <w:name w:val="Comment Subject Char"/>
    <w:basedOn w:val="CommentTextChar"/>
    <w:link w:val="CommentSubject"/>
    <w:uiPriority w:val="99"/>
    <w:semiHidden/>
    <w:rsid w:val="00A8694D"/>
    <w:rPr>
      <w:b/>
      <w:bCs/>
    </w:rPr>
  </w:style>
  <w:style w:type="paragraph" w:styleId="BodyText">
    <w:name w:val="Body Text"/>
    <w:basedOn w:val="Normal"/>
    <w:link w:val="BodyTextChar"/>
    <w:qFormat/>
    <w:rsid w:val="000641B0"/>
  </w:style>
  <w:style w:type="character" w:customStyle="1" w:styleId="BodyTextChar">
    <w:name w:val="Body Text Char"/>
    <w:basedOn w:val="DefaultParagraphFont"/>
    <w:link w:val="BodyText"/>
    <w:rsid w:val="000641B0"/>
    <w:rPr>
      <w:rFonts w:ascii="Century Schoolbook" w:hAnsi="Century Schoolbook"/>
      <w:sz w:val="27"/>
    </w:rPr>
  </w:style>
  <w:style w:type="paragraph" w:styleId="Revision">
    <w:name w:val="Revision"/>
    <w:hidden/>
    <w:uiPriority w:val="99"/>
    <w:semiHidden/>
    <w:rsid w:val="009700C8"/>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16A4-BB5D-478F-9633-7805D32C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11978</Words>
  <Characters>68279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2023-03-27T15:50:03Z</dcterms:created>
  <dcterms:modified xsi:type="dcterms:W3CDTF">2023-03-27T15:50:03Z</dcterms:modified>
</cp:coreProperties>
</file>