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A800" w14:textId="77777777" w:rsidR="00C83E61" w:rsidRPr="00DB38C0" w:rsidRDefault="00000000" w:rsidP="00DB38C0">
      <w:pPr>
        <w:tabs>
          <w:tab w:val="left" w:pos="1440"/>
        </w:tabs>
        <w:spacing w:line="400" w:lineRule="exact"/>
        <w:jc w:val="center"/>
        <w:rPr>
          <w:rFonts w:ascii="Century Schoolbook" w:hAnsi="Century Schoolbook"/>
          <w:caps/>
          <w:sz w:val="36"/>
          <w:szCs w:val="36"/>
        </w:rPr>
      </w:pPr>
      <w:bookmarkStart w:id="0" w:name="MarkDocLoc"/>
      <w:bookmarkEnd w:id="0"/>
      <w:r w:rsidRPr="00DB38C0">
        <w:rPr>
          <w:rFonts w:ascii="Century Schoolbook" w:hAnsi="Century Schoolbook"/>
          <w:b/>
          <w:caps/>
          <w:sz w:val="36"/>
          <w:szCs w:val="36"/>
        </w:rPr>
        <w:t>IN THE SUPREME COURT OF CALIFORNIA</w:t>
      </w:r>
    </w:p>
    <w:p w14:paraId="3705A801" w14:textId="77777777" w:rsidR="00C83E61" w:rsidRPr="00DB38C0" w:rsidRDefault="00C83E61" w:rsidP="00DB38C0">
      <w:pPr>
        <w:tabs>
          <w:tab w:val="left" w:pos="1440"/>
        </w:tabs>
        <w:spacing w:line="400" w:lineRule="exact"/>
        <w:jc w:val="center"/>
        <w:rPr>
          <w:rFonts w:ascii="Century Schoolbook" w:hAnsi="Century Schoolbook"/>
          <w:caps/>
          <w:sz w:val="27"/>
          <w:szCs w:val="27"/>
        </w:rPr>
      </w:pPr>
    </w:p>
    <w:p w14:paraId="3705A802" w14:textId="77777777" w:rsidR="00C83E61" w:rsidRPr="00DB38C0" w:rsidRDefault="00000000" w:rsidP="00DB38C0">
      <w:pPr>
        <w:tabs>
          <w:tab w:val="left" w:pos="1440"/>
        </w:tabs>
        <w:spacing w:line="400" w:lineRule="exact"/>
        <w:jc w:val="center"/>
        <w:rPr>
          <w:rFonts w:ascii="Century Schoolbook" w:hAnsi="Century Schoolbook"/>
          <w:caps/>
          <w:sz w:val="27"/>
          <w:szCs w:val="27"/>
        </w:rPr>
      </w:pPr>
      <w:r>
        <w:rPr>
          <w:rFonts w:ascii="Century Schoolbook" w:hAnsi="Century Schoolbook"/>
          <w:caps/>
          <w:sz w:val="27"/>
          <w:szCs w:val="27"/>
        </w:rPr>
        <w:t>THE PEOPLE,</w:t>
      </w:r>
    </w:p>
    <w:p w14:paraId="3705A803" w14:textId="77777777" w:rsidR="00C83E61" w:rsidRDefault="00000000" w:rsidP="00DB38C0">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 xml:space="preserve">Plaintiff and </w:t>
      </w:r>
      <w:r w:rsidR="00870978">
        <w:rPr>
          <w:rFonts w:ascii="Century Schoolbook" w:hAnsi="Century Schoolbook"/>
          <w:sz w:val="27"/>
          <w:szCs w:val="27"/>
        </w:rPr>
        <w:t>Respondent</w:t>
      </w:r>
      <w:r w:rsidRPr="00DB38C0">
        <w:rPr>
          <w:rFonts w:ascii="Century Schoolbook" w:hAnsi="Century Schoolbook"/>
          <w:sz w:val="27"/>
          <w:szCs w:val="27"/>
        </w:rPr>
        <w:t>,</w:t>
      </w:r>
    </w:p>
    <w:p w14:paraId="3705A804" w14:textId="77777777" w:rsidR="00C83E61" w:rsidRDefault="00000000" w:rsidP="00DB38C0">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v.</w:t>
      </w:r>
    </w:p>
    <w:p w14:paraId="3705A805" w14:textId="77777777" w:rsidR="00C83E61" w:rsidRPr="00DB38C0" w:rsidRDefault="00000000" w:rsidP="00DB38C0">
      <w:pPr>
        <w:tabs>
          <w:tab w:val="left" w:pos="1440"/>
        </w:tabs>
        <w:spacing w:line="400" w:lineRule="exact"/>
        <w:jc w:val="center"/>
        <w:rPr>
          <w:rFonts w:ascii="Century Schoolbook" w:hAnsi="Century Schoolbook"/>
          <w:caps/>
          <w:sz w:val="27"/>
          <w:szCs w:val="27"/>
        </w:rPr>
      </w:pPr>
      <w:r>
        <w:rPr>
          <w:rFonts w:ascii="Century Schoolbook" w:hAnsi="Century Schoolbook"/>
          <w:caps/>
          <w:sz w:val="27"/>
          <w:szCs w:val="27"/>
        </w:rPr>
        <w:t>MONICA MARIE MARTINEZ</w:t>
      </w:r>
      <w:r w:rsidRPr="00DB38C0">
        <w:rPr>
          <w:rFonts w:ascii="Century Schoolbook" w:hAnsi="Century Schoolbook"/>
          <w:caps/>
          <w:sz w:val="27"/>
          <w:szCs w:val="27"/>
        </w:rPr>
        <w:t>,</w:t>
      </w:r>
    </w:p>
    <w:p w14:paraId="3705A806" w14:textId="77777777" w:rsidR="00C83E61" w:rsidRPr="00DB38C0" w:rsidRDefault="00000000" w:rsidP="00DB38C0">
      <w:pPr>
        <w:tabs>
          <w:tab w:val="left" w:pos="1440"/>
        </w:tabs>
        <w:spacing w:line="400" w:lineRule="exact"/>
        <w:jc w:val="center"/>
        <w:rPr>
          <w:rFonts w:ascii="Century Schoolbook" w:hAnsi="Century Schoolbook"/>
          <w:sz w:val="27"/>
          <w:szCs w:val="27"/>
        </w:rPr>
      </w:pPr>
      <w:r w:rsidRPr="00DB38C0">
        <w:rPr>
          <w:rFonts w:ascii="Century Schoolbook" w:hAnsi="Century Schoolbook"/>
          <w:sz w:val="27"/>
          <w:szCs w:val="27"/>
        </w:rPr>
        <w:t xml:space="preserve">Defendant and </w:t>
      </w:r>
      <w:r w:rsidR="00870978">
        <w:rPr>
          <w:rFonts w:ascii="Century Schoolbook" w:hAnsi="Century Schoolbook"/>
          <w:sz w:val="27"/>
          <w:szCs w:val="27"/>
        </w:rPr>
        <w:t>Appellant</w:t>
      </w:r>
      <w:r w:rsidRPr="00DB38C0">
        <w:rPr>
          <w:rFonts w:ascii="Century Schoolbook" w:hAnsi="Century Schoolbook"/>
          <w:sz w:val="27"/>
          <w:szCs w:val="27"/>
        </w:rPr>
        <w:t>.</w:t>
      </w:r>
    </w:p>
    <w:p w14:paraId="3705A807" w14:textId="77777777" w:rsidR="00C83E61" w:rsidRPr="00DB38C0" w:rsidRDefault="00C83E61" w:rsidP="00DB38C0">
      <w:pPr>
        <w:tabs>
          <w:tab w:val="left" w:pos="1440"/>
        </w:tabs>
        <w:spacing w:line="400" w:lineRule="exact"/>
        <w:jc w:val="center"/>
        <w:rPr>
          <w:rFonts w:ascii="Century Schoolbook" w:hAnsi="Century Schoolbook"/>
          <w:caps/>
          <w:sz w:val="27"/>
          <w:szCs w:val="27"/>
        </w:rPr>
      </w:pPr>
    </w:p>
    <w:p w14:paraId="3705A808" w14:textId="77777777" w:rsidR="00C83E61" w:rsidRPr="00DB38C0" w:rsidRDefault="00000000" w:rsidP="00DB38C0">
      <w:pPr>
        <w:tabs>
          <w:tab w:val="left" w:pos="1440"/>
        </w:tabs>
        <w:spacing w:line="400" w:lineRule="exact"/>
        <w:jc w:val="center"/>
        <w:rPr>
          <w:rFonts w:ascii="Century Schoolbook" w:hAnsi="Century Schoolbook"/>
          <w:caps/>
          <w:sz w:val="27"/>
          <w:szCs w:val="27"/>
        </w:rPr>
      </w:pPr>
      <w:r w:rsidRPr="00DB38C0">
        <w:rPr>
          <w:rFonts w:ascii="Century Schoolbook" w:hAnsi="Century Schoolbook"/>
          <w:caps/>
          <w:sz w:val="27"/>
          <w:szCs w:val="27"/>
        </w:rPr>
        <w:t>S2</w:t>
      </w:r>
      <w:r w:rsidR="00CC0E38">
        <w:rPr>
          <w:rFonts w:ascii="Century Schoolbook" w:hAnsi="Century Schoolbook"/>
          <w:caps/>
          <w:sz w:val="27"/>
          <w:szCs w:val="27"/>
        </w:rPr>
        <w:t>67138</w:t>
      </w:r>
    </w:p>
    <w:p w14:paraId="3705A809" w14:textId="77777777" w:rsidR="00C83E61" w:rsidRPr="00DB38C0" w:rsidRDefault="00C83E61" w:rsidP="00DB38C0">
      <w:pPr>
        <w:tabs>
          <w:tab w:val="left" w:pos="1440"/>
        </w:tabs>
        <w:spacing w:line="400" w:lineRule="exact"/>
        <w:jc w:val="center"/>
        <w:rPr>
          <w:rFonts w:ascii="Century Schoolbook" w:hAnsi="Century Schoolbook"/>
          <w:caps/>
          <w:sz w:val="27"/>
          <w:szCs w:val="27"/>
        </w:rPr>
      </w:pPr>
    </w:p>
    <w:p w14:paraId="3705A80A" w14:textId="77777777" w:rsidR="00C83E61" w:rsidRPr="00DB38C0" w:rsidRDefault="00000000" w:rsidP="00DB38C0">
      <w:pPr>
        <w:tabs>
          <w:tab w:val="left" w:pos="1440"/>
        </w:tabs>
        <w:spacing w:line="400" w:lineRule="exact"/>
        <w:jc w:val="center"/>
        <w:rPr>
          <w:rFonts w:ascii="Century Schoolbook" w:hAnsi="Century Schoolbook"/>
          <w:sz w:val="27"/>
          <w:szCs w:val="27"/>
        </w:rPr>
      </w:pPr>
      <w:r>
        <w:rPr>
          <w:rFonts w:ascii="Century Schoolbook" w:hAnsi="Century Schoolbook"/>
          <w:sz w:val="27"/>
          <w:szCs w:val="27"/>
        </w:rPr>
        <w:t>Sixth</w:t>
      </w:r>
      <w:r w:rsidRPr="00DB38C0">
        <w:rPr>
          <w:rFonts w:ascii="Century Schoolbook" w:hAnsi="Century Schoolbook"/>
          <w:sz w:val="27"/>
          <w:szCs w:val="27"/>
        </w:rPr>
        <w:t xml:space="preserve"> Appellate District</w:t>
      </w:r>
    </w:p>
    <w:p w14:paraId="3705A80B" w14:textId="77777777" w:rsidR="00C83E61" w:rsidRPr="00DB38C0" w:rsidRDefault="00000000" w:rsidP="00DB38C0">
      <w:pPr>
        <w:tabs>
          <w:tab w:val="left" w:pos="1440"/>
        </w:tabs>
        <w:spacing w:line="400" w:lineRule="exact"/>
        <w:jc w:val="center"/>
        <w:rPr>
          <w:rFonts w:ascii="Century Schoolbook" w:hAnsi="Century Schoolbook"/>
          <w:caps/>
          <w:sz w:val="27"/>
          <w:szCs w:val="27"/>
        </w:rPr>
      </w:pPr>
      <w:r>
        <w:rPr>
          <w:rFonts w:ascii="Century Schoolbook" w:hAnsi="Century Schoolbook"/>
          <w:caps/>
          <w:sz w:val="27"/>
          <w:szCs w:val="27"/>
        </w:rPr>
        <w:t>H046164</w:t>
      </w:r>
    </w:p>
    <w:p w14:paraId="3705A80C" w14:textId="77777777" w:rsidR="00C83E61" w:rsidRPr="00DB38C0" w:rsidRDefault="00C83E61" w:rsidP="00DB38C0">
      <w:pPr>
        <w:tabs>
          <w:tab w:val="left" w:pos="1440"/>
        </w:tabs>
        <w:spacing w:line="400" w:lineRule="exact"/>
        <w:jc w:val="center"/>
        <w:rPr>
          <w:rFonts w:ascii="Century Schoolbook" w:hAnsi="Century Schoolbook"/>
          <w:caps/>
          <w:sz w:val="27"/>
          <w:szCs w:val="27"/>
        </w:rPr>
      </w:pPr>
    </w:p>
    <w:p w14:paraId="3705A80D" w14:textId="77777777" w:rsidR="00C83E61" w:rsidRPr="00DB38C0" w:rsidRDefault="00000000" w:rsidP="00DB38C0">
      <w:pPr>
        <w:tabs>
          <w:tab w:val="left" w:pos="1440"/>
        </w:tabs>
        <w:spacing w:line="400" w:lineRule="exact"/>
        <w:jc w:val="center"/>
        <w:rPr>
          <w:rFonts w:ascii="Century Schoolbook" w:hAnsi="Century Schoolbook"/>
          <w:sz w:val="27"/>
          <w:szCs w:val="27"/>
        </w:rPr>
      </w:pPr>
      <w:r>
        <w:rPr>
          <w:rFonts w:ascii="Century Schoolbook" w:hAnsi="Century Schoolbook"/>
          <w:sz w:val="27"/>
          <w:szCs w:val="27"/>
        </w:rPr>
        <w:t>Santa Clara</w:t>
      </w:r>
      <w:r w:rsidRPr="00DB38C0">
        <w:rPr>
          <w:rFonts w:ascii="Century Schoolbook" w:hAnsi="Century Schoolbook"/>
          <w:sz w:val="27"/>
          <w:szCs w:val="27"/>
        </w:rPr>
        <w:t xml:space="preserve"> County Superior Court</w:t>
      </w:r>
    </w:p>
    <w:p w14:paraId="3705A80E" w14:textId="77777777" w:rsidR="00C83E61" w:rsidRPr="00DB38C0" w:rsidRDefault="00000000" w:rsidP="00DB38C0">
      <w:pPr>
        <w:pBdr>
          <w:bottom w:val="single" w:sz="4" w:space="1" w:color="auto"/>
        </w:pBdr>
        <w:tabs>
          <w:tab w:val="left" w:pos="1440"/>
        </w:tabs>
        <w:spacing w:line="400" w:lineRule="exact"/>
        <w:jc w:val="center"/>
        <w:rPr>
          <w:rFonts w:ascii="Century Schoolbook" w:hAnsi="Century Schoolbook"/>
          <w:sz w:val="27"/>
          <w:szCs w:val="27"/>
        </w:rPr>
      </w:pPr>
      <w:r>
        <w:rPr>
          <w:rFonts w:ascii="Century Schoolbook" w:hAnsi="Century Schoolbook"/>
          <w:sz w:val="27"/>
          <w:szCs w:val="27"/>
        </w:rPr>
        <w:t>C151858</w:t>
      </w:r>
      <w:r w:rsidR="008115E0">
        <w:rPr>
          <w:rFonts w:ascii="Century Schoolbook" w:hAnsi="Century Schoolbook"/>
          <w:sz w:val="27"/>
          <w:szCs w:val="27"/>
        </w:rPr>
        <w:t>5</w:t>
      </w:r>
    </w:p>
    <w:p w14:paraId="3705A80F" w14:textId="77777777" w:rsidR="00C83E61" w:rsidRPr="00DB38C0" w:rsidRDefault="00C83E61" w:rsidP="00DB38C0">
      <w:pPr>
        <w:pBdr>
          <w:bottom w:val="single" w:sz="4" w:space="1" w:color="auto"/>
        </w:pBdr>
        <w:tabs>
          <w:tab w:val="left" w:pos="1440"/>
        </w:tabs>
        <w:spacing w:line="400" w:lineRule="exact"/>
        <w:jc w:val="center"/>
        <w:rPr>
          <w:rFonts w:ascii="Century Schoolbook" w:hAnsi="Century Schoolbook"/>
          <w:caps/>
          <w:sz w:val="27"/>
          <w:szCs w:val="27"/>
        </w:rPr>
      </w:pPr>
    </w:p>
    <w:p w14:paraId="3705A810" w14:textId="77777777" w:rsidR="00C83E61" w:rsidRPr="00DB38C0" w:rsidRDefault="00C83E61" w:rsidP="00DB38C0">
      <w:pPr>
        <w:tabs>
          <w:tab w:val="left" w:pos="1440"/>
        </w:tabs>
        <w:spacing w:line="400" w:lineRule="exact"/>
        <w:jc w:val="center"/>
        <w:rPr>
          <w:rFonts w:ascii="Century Schoolbook" w:hAnsi="Century Schoolbook"/>
          <w:caps/>
          <w:sz w:val="27"/>
          <w:szCs w:val="27"/>
        </w:rPr>
      </w:pPr>
    </w:p>
    <w:p w14:paraId="3705A811" w14:textId="77777777" w:rsidR="00C83E61" w:rsidRPr="00DB38C0" w:rsidRDefault="00000000" w:rsidP="00F3688D">
      <w:pPr>
        <w:tabs>
          <w:tab w:val="left" w:pos="1440"/>
        </w:tabs>
        <w:spacing w:line="400" w:lineRule="exact"/>
        <w:jc w:val="center"/>
        <w:rPr>
          <w:rFonts w:ascii="Century Schoolbook" w:hAnsi="Century Schoolbook"/>
          <w:sz w:val="27"/>
          <w:szCs w:val="27"/>
        </w:rPr>
      </w:pPr>
      <w:r>
        <w:rPr>
          <w:rFonts w:ascii="Century Schoolbook" w:hAnsi="Century Schoolbook"/>
          <w:color w:val="000000" w:themeColor="text1"/>
          <w:sz w:val="27"/>
          <w:szCs w:val="27"/>
        </w:rPr>
        <w:t>August 24</w:t>
      </w:r>
      <w:r w:rsidR="00F35F34" w:rsidRPr="00F3688D">
        <w:rPr>
          <w:rFonts w:ascii="Century Schoolbook" w:hAnsi="Century Schoolbook"/>
          <w:color w:val="000000" w:themeColor="text1"/>
          <w:sz w:val="27"/>
          <w:szCs w:val="27"/>
        </w:rPr>
        <w:t>,</w:t>
      </w:r>
      <w:r w:rsidRPr="00F3688D">
        <w:rPr>
          <w:rFonts w:ascii="Century Schoolbook" w:hAnsi="Century Schoolbook"/>
          <w:color w:val="000000" w:themeColor="text1"/>
          <w:sz w:val="27"/>
          <w:szCs w:val="27"/>
        </w:rPr>
        <w:t xml:space="preserve"> </w:t>
      </w:r>
      <w:r w:rsidRPr="00DB38C0">
        <w:rPr>
          <w:rFonts w:ascii="Century Schoolbook" w:hAnsi="Century Schoolbook"/>
          <w:sz w:val="27"/>
          <w:szCs w:val="27"/>
        </w:rPr>
        <w:t>2023</w:t>
      </w:r>
    </w:p>
    <w:p w14:paraId="3705A812" w14:textId="77777777" w:rsidR="00C83E61" w:rsidRPr="00DB38C0" w:rsidRDefault="00C83E61" w:rsidP="00DB38C0">
      <w:pPr>
        <w:tabs>
          <w:tab w:val="left" w:pos="1440"/>
        </w:tabs>
        <w:spacing w:line="400" w:lineRule="exact"/>
        <w:jc w:val="center"/>
        <w:rPr>
          <w:rFonts w:ascii="Century Schoolbook" w:hAnsi="Century Schoolbook"/>
          <w:sz w:val="27"/>
          <w:szCs w:val="27"/>
        </w:rPr>
      </w:pPr>
    </w:p>
    <w:p w14:paraId="3705A813" w14:textId="77777777" w:rsidR="00C83E61" w:rsidRPr="00DB38C0" w:rsidRDefault="00000000" w:rsidP="009E6298">
      <w:pPr>
        <w:tabs>
          <w:tab w:val="left" w:pos="1440"/>
        </w:tabs>
        <w:spacing w:line="400" w:lineRule="exact"/>
        <w:rPr>
          <w:rFonts w:ascii="Century Schoolbook" w:hAnsi="Century Schoolbook"/>
          <w:sz w:val="27"/>
          <w:szCs w:val="27"/>
        </w:rPr>
      </w:pPr>
      <w:r w:rsidRPr="00DB38C0">
        <w:rPr>
          <w:rFonts w:ascii="Century Schoolbook" w:hAnsi="Century Schoolbook"/>
          <w:sz w:val="27"/>
          <w:szCs w:val="27"/>
        </w:rPr>
        <w:t xml:space="preserve">Justice Kruger authored the opinion of the Court, in which </w:t>
      </w:r>
      <w:r w:rsidR="00187775">
        <w:rPr>
          <w:rFonts w:ascii="Century Schoolbook" w:hAnsi="Century Schoolbook"/>
          <w:sz w:val="27"/>
          <w:szCs w:val="27"/>
        </w:rPr>
        <w:t>Chief Justice Guerrero and Justices Corrigan, Liu, Groban, Jenkins, and Evans</w:t>
      </w:r>
      <w:r w:rsidRPr="00DB38C0">
        <w:rPr>
          <w:rFonts w:ascii="Century Schoolbook" w:hAnsi="Century Schoolbook"/>
          <w:sz w:val="27"/>
          <w:szCs w:val="27"/>
        </w:rPr>
        <w:t xml:space="preserve"> concurred.</w:t>
      </w:r>
    </w:p>
    <w:p w14:paraId="3705A814" w14:textId="77777777" w:rsidR="00C83E61" w:rsidRPr="00DB38C0" w:rsidRDefault="00C83E61" w:rsidP="00DB38C0">
      <w:pPr>
        <w:pBdr>
          <w:bottom w:val="single" w:sz="4" w:space="1" w:color="auto"/>
        </w:pBdr>
        <w:tabs>
          <w:tab w:val="left" w:pos="1440"/>
        </w:tabs>
        <w:spacing w:line="400" w:lineRule="exact"/>
        <w:jc w:val="center"/>
        <w:rPr>
          <w:rFonts w:ascii="Century Schoolbook" w:hAnsi="Century Schoolbook"/>
          <w:sz w:val="27"/>
          <w:szCs w:val="27"/>
        </w:rPr>
      </w:pPr>
    </w:p>
    <w:p w14:paraId="3705A815" w14:textId="77777777" w:rsidR="00C83E61" w:rsidRPr="00DB38C0" w:rsidRDefault="00C83E61" w:rsidP="00D21CAD">
      <w:pPr>
        <w:spacing w:afterLines="100" w:after="240" w:line="400" w:lineRule="exact"/>
        <w:jc w:val="both"/>
        <w:rPr>
          <w:rFonts w:ascii="Century Schoolbook" w:hAnsi="Century Schoolbook"/>
          <w:sz w:val="27"/>
          <w:szCs w:val="27"/>
        </w:rPr>
      </w:pPr>
      <w:bookmarkStart w:id="1" w:name="Return"/>
      <w:bookmarkStart w:id="2" w:name="plaintiff"/>
      <w:bookmarkStart w:id="3" w:name="defendent"/>
      <w:bookmarkStart w:id="4" w:name="supernum"/>
      <w:bookmarkStart w:id="5" w:name="mainstory"/>
      <w:bookmarkEnd w:id="1"/>
      <w:bookmarkEnd w:id="2"/>
      <w:bookmarkEnd w:id="3"/>
      <w:bookmarkEnd w:id="4"/>
      <w:bookmarkEnd w:id="5"/>
    </w:p>
    <w:p w14:paraId="3705A816" w14:textId="77777777" w:rsidR="00F3688D" w:rsidRDefault="00F3688D">
      <w:pPr>
        <w:spacing w:after="100" w:line="400" w:lineRule="exact"/>
        <w:ind w:firstLine="720"/>
        <w:jc w:val="center"/>
        <w:rPr>
          <w:rFonts w:ascii="Century Schoolbook" w:hAnsi="Century Schoolbook"/>
          <w:sz w:val="27"/>
          <w:szCs w:val="27"/>
        </w:rPr>
        <w:sectPr w:rsidR="00F3688D" w:rsidSect="00F3688D">
          <w:headerReference w:type="default" r:id="rId8"/>
          <w:footerReference w:type="default" r:id="rId9"/>
          <w:footerReference w:type="first" r:id="rId10"/>
          <w:pgSz w:w="12240" w:h="15840"/>
          <w:pgMar w:top="1800" w:right="2160" w:bottom="1440" w:left="2160" w:header="720" w:footer="720" w:gutter="0"/>
          <w:pgNumType w:start="0"/>
          <w:cols w:space="720"/>
          <w:titlePg/>
          <w:docGrid w:linePitch="360"/>
        </w:sectPr>
      </w:pPr>
    </w:p>
    <w:p w14:paraId="3705A817" w14:textId="77777777" w:rsidR="00C83E61" w:rsidRPr="00DB38C0" w:rsidRDefault="00000000" w:rsidP="001B771A">
      <w:pPr>
        <w:spacing w:after="100" w:line="400" w:lineRule="exact"/>
        <w:jc w:val="center"/>
        <w:rPr>
          <w:rFonts w:ascii="Century Schoolbook" w:hAnsi="Century Schoolbook"/>
          <w:sz w:val="27"/>
          <w:szCs w:val="27"/>
        </w:rPr>
      </w:pPr>
      <w:r>
        <w:rPr>
          <w:rFonts w:ascii="Century Schoolbook" w:hAnsi="Century Schoolbook"/>
          <w:sz w:val="27"/>
          <w:szCs w:val="27"/>
        </w:rPr>
        <w:lastRenderedPageBreak/>
        <w:t>PEOPLE</w:t>
      </w:r>
      <w:r w:rsidRPr="00DB38C0">
        <w:rPr>
          <w:rFonts w:ascii="Century Schoolbook" w:hAnsi="Century Schoolbook"/>
          <w:sz w:val="27"/>
          <w:szCs w:val="27"/>
        </w:rPr>
        <w:t xml:space="preserve"> v. </w:t>
      </w:r>
      <w:r>
        <w:rPr>
          <w:rFonts w:ascii="Century Schoolbook" w:hAnsi="Century Schoolbook"/>
          <w:sz w:val="27"/>
          <w:szCs w:val="27"/>
        </w:rPr>
        <w:t>MARTINEZ</w:t>
      </w:r>
    </w:p>
    <w:p w14:paraId="3705A818" w14:textId="77777777" w:rsidR="00C83E61" w:rsidRPr="00DB38C0" w:rsidRDefault="00000000" w:rsidP="001B771A">
      <w:pPr>
        <w:spacing w:after="100" w:line="400" w:lineRule="exact"/>
        <w:jc w:val="center"/>
        <w:rPr>
          <w:rFonts w:ascii="Century Schoolbook" w:hAnsi="Century Schoolbook"/>
          <w:sz w:val="27"/>
          <w:szCs w:val="27"/>
        </w:rPr>
      </w:pPr>
      <w:r w:rsidRPr="00DB38C0">
        <w:rPr>
          <w:rFonts w:ascii="Century Schoolbook" w:hAnsi="Century Schoolbook"/>
          <w:sz w:val="27"/>
          <w:szCs w:val="27"/>
        </w:rPr>
        <w:t>S2</w:t>
      </w:r>
      <w:r w:rsidR="00CC0E38">
        <w:rPr>
          <w:rFonts w:ascii="Century Schoolbook" w:hAnsi="Century Schoolbook"/>
          <w:sz w:val="27"/>
          <w:szCs w:val="27"/>
        </w:rPr>
        <w:t>67138</w:t>
      </w:r>
    </w:p>
    <w:p w14:paraId="3705A819" w14:textId="77777777" w:rsidR="00C83E61" w:rsidRPr="00DB38C0" w:rsidRDefault="00C83E61" w:rsidP="00DB38C0">
      <w:pPr>
        <w:spacing w:after="100" w:line="400" w:lineRule="exact"/>
        <w:ind w:firstLine="720"/>
        <w:jc w:val="both"/>
        <w:rPr>
          <w:rFonts w:ascii="Century Schoolbook" w:hAnsi="Century Schoolbook"/>
          <w:sz w:val="27"/>
          <w:szCs w:val="27"/>
        </w:rPr>
      </w:pPr>
    </w:p>
    <w:p w14:paraId="3705A81A" w14:textId="77777777" w:rsidR="00C83E61" w:rsidRPr="00DB38C0" w:rsidRDefault="00000000" w:rsidP="001B771A">
      <w:pPr>
        <w:spacing w:after="100" w:line="400" w:lineRule="exact"/>
        <w:jc w:val="center"/>
        <w:rPr>
          <w:rFonts w:ascii="Century Schoolbook" w:hAnsi="Century Schoolbook"/>
          <w:sz w:val="27"/>
          <w:szCs w:val="27"/>
        </w:rPr>
      </w:pPr>
      <w:r w:rsidRPr="00DB38C0">
        <w:rPr>
          <w:rFonts w:ascii="Century Schoolbook" w:hAnsi="Century Schoolbook"/>
          <w:sz w:val="27"/>
          <w:szCs w:val="27"/>
        </w:rPr>
        <w:t>Opinion of the Court by Kruger, J.</w:t>
      </w:r>
    </w:p>
    <w:p w14:paraId="3705A81B" w14:textId="77777777" w:rsidR="00C83E61" w:rsidRPr="00DB38C0" w:rsidRDefault="00C83E61" w:rsidP="00DB38C0">
      <w:pPr>
        <w:spacing w:after="100" w:line="400" w:lineRule="exact"/>
        <w:ind w:firstLine="720"/>
        <w:jc w:val="both"/>
        <w:rPr>
          <w:rFonts w:ascii="Century Schoolbook" w:hAnsi="Century Schoolbook"/>
          <w:sz w:val="27"/>
          <w:szCs w:val="27"/>
        </w:rPr>
      </w:pPr>
    </w:p>
    <w:p w14:paraId="3705A81C"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Since 1941, a Department of Insurance regulation has prohibited bail bond agents from entering agreements with jail inmates</w:t>
      </w:r>
      <w:r w:rsidR="001F0F5F">
        <w:rPr>
          <w:rFonts w:ascii="Century Schoolbook" w:hAnsi="Century Schoolbook"/>
          <w:sz w:val="27"/>
          <w:szCs w:val="27"/>
        </w:rPr>
        <w:t xml:space="preserve"> </w:t>
      </w:r>
      <w:r w:rsidRPr="00CC0E38">
        <w:rPr>
          <w:rFonts w:ascii="Century Schoolbook" w:hAnsi="Century Schoolbook"/>
          <w:sz w:val="27"/>
          <w:szCs w:val="27"/>
        </w:rPr>
        <w:t xml:space="preserve">to be notified when individuals have recently been arrested and thus may be in need of bail bond services.  </w:t>
      </w:r>
      <w:bookmarkStart w:id="6" w:name="_Hlk122080947"/>
      <w:r w:rsidRPr="00CC0E38">
        <w:rPr>
          <w:rFonts w:ascii="Century Schoolbook" w:hAnsi="Century Schoolbook"/>
          <w:sz w:val="27"/>
          <w:szCs w:val="27"/>
        </w:rPr>
        <w:t>(Cal. Code Regs., tit. 10, § 2076.)</w:t>
      </w:r>
      <w:bookmarkEnd w:id="6"/>
      <w:r w:rsidRPr="00CC0E38">
        <w:rPr>
          <w:rFonts w:ascii="Century Schoolbook" w:hAnsi="Century Schoolbook"/>
          <w:sz w:val="27"/>
          <w:szCs w:val="27"/>
        </w:rPr>
        <w:t xml:space="preserve">  The Court of Appeal in this case held </w:t>
      </w:r>
      <w:r w:rsidR="00035A98">
        <w:rPr>
          <w:rFonts w:ascii="Century Schoolbook" w:hAnsi="Century Schoolbook"/>
          <w:sz w:val="27"/>
          <w:szCs w:val="27"/>
        </w:rPr>
        <w:t xml:space="preserve">the regulation </w:t>
      </w:r>
      <w:r w:rsidRPr="00CC0E38">
        <w:rPr>
          <w:rFonts w:ascii="Century Schoolbook" w:hAnsi="Century Schoolbook"/>
          <w:sz w:val="27"/>
          <w:szCs w:val="27"/>
        </w:rPr>
        <w:t xml:space="preserve">facially invalid under the First Amendment.  </w:t>
      </w:r>
      <w:r w:rsidR="005D65C4">
        <w:rPr>
          <w:rFonts w:ascii="Century Schoolbook" w:hAnsi="Century Schoolbook"/>
          <w:sz w:val="27"/>
          <w:szCs w:val="27"/>
        </w:rPr>
        <w:t>T</w:t>
      </w:r>
      <w:r w:rsidRPr="00CC0E38">
        <w:rPr>
          <w:rFonts w:ascii="Century Schoolbook" w:hAnsi="Century Schoolbook"/>
          <w:sz w:val="27"/>
          <w:szCs w:val="27"/>
        </w:rPr>
        <w:t xml:space="preserve">he court concluded that the </w:t>
      </w:r>
      <w:r w:rsidR="00035A98">
        <w:rPr>
          <w:rFonts w:ascii="Century Schoolbook" w:hAnsi="Century Schoolbook"/>
          <w:sz w:val="27"/>
          <w:szCs w:val="27"/>
        </w:rPr>
        <w:t xml:space="preserve">regulation </w:t>
      </w:r>
      <w:r w:rsidRPr="00CC0E38">
        <w:rPr>
          <w:rFonts w:ascii="Century Schoolbook" w:hAnsi="Century Schoolbook"/>
          <w:sz w:val="27"/>
          <w:szCs w:val="27"/>
        </w:rPr>
        <w:t xml:space="preserve">imposes burdens on the speech rights of bail bond agents that are not </w:t>
      </w:r>
      <w:r w:rsidR="005D65C4">
        <w:rPr>
          <w:rFonts w:ascii="Century Schoolbook" w:hAnsi="Century Schoolbook"/>
          <w:sz w:val="27"/>
          <w:szCs w:val="27"/>
        </w:rPr>
        <w:t xml:space="preserve">adequately </w:t>
      </w:r>
      <w:r w:rsidRPr="00CC0E38">
        <w:rPr>
          <w:rFonts w:ascii="Century Schoolbook" w:hAnsi="Century Schoolbook"/>
          <w:sz w:val="27"/>
          <w:szCs w:val="27"/>
        </w:rPr>
        <w:t>justified by the state’s interest</w:t>
      </w:r>
      <w:r w:rsidR="00CA5895">
        <w:rPr>
          <w:rFonts w:ascii="Century Schoolbook" w:hAnsi="Century Schoolbook"/>
          <w:sz w:val="27"/>
          <w:szCs w:val="27"/>
        </w:rPr>
        <w:t>s</w:t>
      </w:r>
      <w:r w:rsidRPr="00CC0E38">
        <w:rPr>
          <w:rFonts w:ascii="Century Schoolbook" w:hAnsi="Century Schoolbook"/>
          <w:sz w:val="27"/>
          <w:szCs w:val="27"/>
        </w:rPr>
        <w:t xml:space="preserve"> in </w:t>
      </w:r>
      <w:r w:rsidR="00AA7858">
        <w:rPr>
          <w:rFonts w:ascii="Century Schoolbook" w:hAnsi="Century Schoolbook"/>
          <w:sz w:val="27"/>
          <w:szCs w:val="27"/>
        </w:rPr>
        <w:t xml:space="preserve">deterring </w:t>
      </w:r>
      <w:r w:rsidRPr="00CC0E38">
        <w:rPr>
          <w:rFonts w:ascii="Century Schoolbook" w:hAnsi="Century Schoolbook"/>
          <w:sz w:val="27"/>
          <w:szCs w:val="27"/>
        </w:rPr>
        <w:t xml:space="preserve">abusive bail solicitation practices. </w:t>
      </w:r>
    </w:p>
    <w:p w14:paraId="3705A81D" w14:textId="77777777" w:rsidR="004644FA" w:rsidRDefault="00000000" w:rsidP="004C74FA">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We now reverse.  </w:t>
      </w:r>
      <w:r w:rsidR="002E6FAA">
        <w:rPr>
          <w:rFonts w:ascii="Century Schoolbook" w:hAnsi="Century Schoolbook"/>
          <w:sz w:val="27"/>
          <w:szCs w:val="27"/>
        </w:rPr>
        <w:t xml:space="preserve">In </w:t>
      </w:r>
      <w:r w:rsidR="00205063">
        <w:rPr>
          <w:rFonts w:ascii="Century Schoolbook" w:hAnsi="Century Schoolbook"/>
          <w:sz w:val="27"/>
          <w:szCs w:val="27"/>
        </w:rPr>
        <w:t xml:space="preserve">invalidating the regulation, </w:t>
      </w:r>
      <w:r w:rsidR="002E6FAA">
        <w:rPr>
          <w:rFonts w:ascii="Century Schoolbook" w:hAnsi="Century Schoolbook"/>
          <w:sz w:val="27"/>
          <w:szCs w:val="27"/>
        </w:rPr>
        <w:t xml:space="preserve">the Court of Appeal </w:t>
      </w:r>
      <w:r w:rsidR="00CC0E38" w:rsidRPr="00CC0E38">
        <w:rPr>
          <w:rFonts w:ascii="Century Schoolbook" w:hAnsi="Century Schoolbook"/>
          <w:sz w:val="27"/>
          <w:szCs w:val="27"/>
        </w:rPr>
        <w:t xml:space="preserve">failed to </w:t>
      </w:r>
      <w:r>
        <w:rPr>
          <w:rFonts w:ascii="Century Schoolbook" w:hAnsi="Century Schoolbook"/>
          <w:sz w:val="27"/>
          <w:szCs w:val="27"/>
        </w:rPr>
        <w:t xml:space="preserve">consider </w:t>
      </w:r>
      <w:r w:rsidR="00CC0E38" w:rsidRPr="00CC0E38">
        <w:rPr>
          <w:rFonts w:ascii="Century Schoolbook" w:hAnsi="Century Schoolbook"/>
          <w:sz w:val="27"/>
          <w:szCs w:val="27"/>
        </w:rPr>
        <w:t xml:space="preserve">the full range of interests at stake when a commercial bail bond agent engages the services of a jail inmate to gain private access to information about prospective clients.  </w:t>
      </w:r>
      <w:r w:rsidR="00443E29">
        <w:rPr>
          <w:rFonts w:ascii="Century Schoolbook" w:hAnsi="Century Schoolbook"/>
          <w:sz w:val="27"/>
          <w:szCs w:val="27"/>
        </w:rPr>
        <w:t xml:space="preserve">The </w:t>
      </w:r>
      <w:r w:rsidR="00895A66">
        <w:rPr>
          <w:rFonts w:ascii="Century Schoolbook" w:hAnsi="Century Schoolbook"/>
          <w:sz w:val="27"/>
          <w:szCs w:val="27"/>
        </w:rPr>
        <w:t xml:space="preserve">state’s interests in </w:t>
      </w:r>
      <w:r w:rsidR="00A42513">
        <w:rPr>
          <w:rFonts w:ascii="Century Schoolbook" w:hAnsi="Century Schoolbook"/>
          <w:sz w:val="27"/>
          <w:szCs w:val="27"/>
        </w:rPr>
        <w:t xml:space="preserve">stemming this practice are not </w:t>
      </w:r>
      <w:r w:rsidR="00DA0608">
        <w:rPr>
          <w:rFonts w:ascii="Century Schoolbook" w:hAnsi="Century Schoolbook"/>
          <w:sz w:val="27"/>
          <w:szCs w:val="27"/>
        </w:rPr>
        <w:t>solely </w:t>
      </w:r>
      <w:r w:rsidR="00A42513">
        <w:rPr>
          <w:rFonts w:ascii="Century Schoolbook" w:hAnsi="Century Schoolbook"/>
          <w:sz w:val="27"/>
          <w:szCs w:val="27"/>
        </w:rPr>
        <w:t>— or even primarily</w:t>
      </w:r>
      <w:r w:rsidR="00DA0608">
        <w:rPr>
          <w:rFonts w:ascii="Century Schoolbook" w:hAnsi="Century Schoolbook"/>
          <w:sz w:val="27"/>
          <w:szCs w:val="27"/>
        </w:rPr>
        <w:t> </w:t>
      </w:r>
      <w:r w:rsidR="00A42513">
        <w:rPr>
          <w:rFonts w:ascii="Century Schoolbook" w:hAnsi="Century Schoolbook"/>
          <w:sz w:val="27"/>
          <w:szCs w:val="27"/>
        </w:rPr>
        <w:t>— about</w:t>
      </w:r>
      <w:r w:rsidR="00BE6D8B">
        <w:rPr>
          <w:rFonts w:ascii="Century Schoolbook" w:hAnsi="Century Schoolbook"/>
          <w:sz w:val="27"/>
          <w:szCs w:val="27"/>
        </w:rPr>
        <w:t xml:space="preserve"> the manner in which bail bond agents solicit clients</w:t>
      </w:r>
      <w:r w:rsidR="00F56135">
        <w:rPr>
          <w:rFonts w:ascii="Century Schoolbook" w:hAnsi="Century Schoolbook"/>
          <w:sz w:val="27"/>
          <w:szCs w:val="27"/>
        </w:rPr>
        <w:t xml:space="preserve">.  The </w:t>
      </w:r>
      <w:r w:rsidR="00940E26">
        <w:rPr>
          <w:rFonts w:ascii="Century Schoolbook" w:hAnsi="Century Schoolbook"/>
          <w:sz w:val="27"/>
          <w:szCs w:val="27"/>
        </w:rPr>
        <w:t xml:space="preserve">state’s interests instead </w:t>
      </w:r>
      <w:r w:rsidR="00097420">
        <w:rPr>
          <w:rFonts w:ascii="Century Schoolbook" w:hAnsi="Century Schoolbook"/>
          <w:sz w:val="27"/>
          <w:szCs w:val="27"/>
        </w:rPr>
        <w:t xml:space="preserve">mainly </w:t>
      </w:r>
      <w:r w:rsidR="00940E26">
        <w:rPr>
          <w:rFonts w:ascii="Century Schoolbook" w:hAnsi="Century Schoolbook"/>
          <w:sz w:val="27"/>
          <w:szCs w:val="27"/>
        </w:rPr>
        <w:t xml:space="preserve">concern the effects of these arrangements on </w:t>
      </w:r>
      <w:r w:rsidR="009D2CA1">
        <w:rPr>
          <w:rFonts w:ascii="Century Schoolbook" w:hAnsi="Century Schoolbook"/>
          <w:sz w:val="27"/>
          <w:szCs w:val="27"/>
        </w:rPr>
        <w:t xml:space="preserve">sound jail administration and fair competition in the bail bond industry.  </w:t>
      </w:r>
      <w:r w:rsidR="00CC0E38" w:rsidRPr="00CC0E38">
        <w:rPr>
          <w:rFonts w:ascii="Century Schoolbook" w:hAnsi="Century Schoolbook"/>
          <w:sz w:val="27"/>
          <w:szCs w:val="27"/>
        </w:rPr>
        <w:t xml:space="preserve">Without foreclosing the possibility of as-applied challenges in other cases, </w:t>
      </w:r>
      <w:r w:rsidR="0076799A">
        <w:rPr>
          <w:rFonts w:ascii="Century Schoolbook" w:hAnsi="Century Schoolbook"/>
          <w:sz w:val="27"/>
          <w:szCs w:val="27"/>
        </w:rPr>
        <w:t>we</w:t>
      </w:r>
      <w:r w:rsidR="00CC0E38" w:rsidRPr="00CC0E38">
        <w:rPr>
          <w:rFonts w:ascii="Century Schoolbook" w:hAnsi="Century Schoolbook"/>
          <w:sz w:val="27"/>
          <w:szCs w:val="27"/>
        </w:rPr>
        <w:t xml:space="preserve"> conclude the Court of Appeal erred in holding the regulation unconstitutional on its face.</w:t>
      </w:r>
    </w:p>
    <w:p w14:paraId="3705A81E" w14:textId="77777777" w:rsidR="004644FA" w:rsidRDefault="00000000">
      <w:pPr>
        <w:rPr>
          <w:rFonts w:ascii="Century Schoolbook" w:hAnsi="Century Schoolbook"/>
          <w:sz w:val="27"/>
          <w:szCs w:val="27"/>
        </w:rPr>
      </w:pPr>
      <w:r>
        <w:rPr>
          <w:rFonts w:ascii="Century Schoolbook" w:hAnsi="Century Schoolbook"/>
          <w:sz w:val="27"/>
          <w:szCs w:val="27"/>
        </w:rPr>
        <w:br w:type="page"/>
      </w:r>
    </w:p>
    <w:p w14:paraId="3705A81F" w14:textId="77777777" w:rsidR="00CC0E38" w:rsidRPr="00CC0E38" w:rsidRDefault="00000000" w:rsidP="0076799A">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lastRenderedPageBreak/>
        <w:t>I.</w:t>
      </w:r>
    </w:p>
    <w:p w14:paraId="3705A820" w14:textId="77777777" w:rsidR="00CC0E38" w:rsidRPr="00CC0E38" w:rsidRDefault="00000000" w:rsidP="0076799A">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t>A.</w:t>
      </w:r>
    </w:p>
    <w:p w14:paraId="3705A821"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When an individual is arrested and charged with a crime, bail may be set to </w:t>
      </w:r>
      <w:r w:rsidR="0076799A">
        <w:rPr>
          <w:rFonts w:ascii="Century Schoolbook" w:hAnsi="Century Schoolbook"/>
          <w:sz w:val="27"/>
          <w:szCs w:val="27"/>
        </w:rPr>
        <w:t xml:space="preserve">help </w:t>
      </w:r>
      <w:r w:rsidRPr="00CC0E38">
        <w:rPr>
          <w:rFonts w:ascii="Century Schoolbook" w:hAnsi="Century Schoolbook"/>
          <w:sz w:val="27"/>
          <w:szCs w:val="27"/>
        </w:rPr>
        <w:t>ensure the individual’s appearance in court while allowing the individual to be released from jail in the interim.</w:t>
      </w:r>
      <w:r w:rsidR="00DC5FF8">
        <w:rPr>
          <w:rFonts w:ascii="Century Schoolbook" w:hAnsi="Century Schoolbook"/>
          <w:sz w:val="27"/>
          <w:szCs w:val="27"/>
        </w:rPr>
        <w:t xml:space="preserve">  (See </w:t>
      </w:r>
      <w:r w:rsidR="00DC5FF8">
        <w:rPr>
          <w:rFonts w:ascii="Century Schoolbook" w:hAnsi="Century Schoolbook"/>
          <w:i/>
          <w:iCs/>
          <w:sz w:val="27"/>
          <w:szCs w:val="27"/>
        </w:rPr>
        <w:t>In re Humphrey</w:t>
      </w:r>
      <w:r w:rsidR="00DC5FF8">
        <w:rPr>
          <w:rFonts w:ascii="Century Schoolbook" w:hAnsi="Century Schoolbook"/>
          <w:sz w:val="27"/>
          <w:szCs w:val="27"/>
        </w:rPr>
        <w:t xml:space="preserve"> (2021) 11 Cal.5th 135, 154</w:t>
      </w:r>
      <w:r w:rsidR="00324D91">
        <w:rPr>
          <w:rFonts w:ascii="Century Schoolbook" w:hAnsi="Century Schoolbook"/>
          <w:sz w:val="27"/>
          <w:szCs w:val="27"/>
        </w:rPr>
        <w:t xml:space="preserve"> (</w:t>
      </w:r>
      <w:r w:rsidR="00324D91">
        <w:rPr>
          <w:rFonts w:ascii="Century Schoolbook" w:hAnsi="Century Schoolbook"/>
          <w:i/>
          <w:iCs/>
          <w:sz w:val="27"/>
          <w:szCs w:val="27"/>
        </w:rPr>
        <w:t>Humphrey</w:t>
      </w:r>
      <w:r w:rsidR="00324D91">
        <w:rPr>
          <w:rFonts w:ascii="Century Schoolbook" w:hAnsi="Century Schoolbook"/>
          <w:sz w:val="27"/>
          <w:szCs w:val="27"/>
        </w:rPr>
        <w:t>)</w:t>
      </w:r>
      <w:r w:rsidR="00DC5FF8">
        <w:rPr>
          <w:rFonts w:ascii="Century Schoolbook" w:hAnsi="Century Schoolbook"/>
          <w:sz w:val="27"/>
          <w:szCs w:val="27"/>
        </w:rPr>
        <w:t>.)</w:t>
      </w:r>
      <w:r>
        <w:rPr>
          <w:rStyle w:val="FootnoteReference"/>
          <w:rFonts w:ascii="Century Schoolbook" w:hAnsi="Century Schoolbook"/>
          <w:b/>
          <w:bCs/>
          <w:position w:val="4"/>
          <w:sz w:val="27"/>
          <w:szCs w:val="27"/>
        </w:rPr>
        <w:footnoteReference w:id="2"/>
      </w:r>
      <w:r w:rsidRPr="00CC0E38">
        <w:rPr>
          <w:rFonts w:ascii="Century Schoolbook" w:hAnsi="Century Schoolbook"/>
          <w:sz w:val="27"/>
          <w:szCs w:val="27"/>
        </w:rPr>
        <w:t xml:space="preserve">  To make bail, “an arrestee posts security — in the form of cash, property, or (more often) a commercial bail bond — which is forfeited if the arrestee later fails to appear in court.”  (</w:t>
      </w:r>
      <w:r w:rsidR="00187775" w:rsidRPr="00187775">
        <w:rPr>
          <w:rFonts w:ascii="Century Schoolbook" w:hAnsi="Century Schoolbook"/>
          <w:i/>
          <w:iCs/>
          <w:sz w:val="27"/>
          <w:szCs w:val="27"/>
        </w:rPr>
        <w:t>Humphrey</w:t>
      </w:r>
      <w:r w:rsidR="00187775">
        <w:rPr>
          <w:rFonts w:ascii="Century Schoolbook" w:hAnsi="Century Schoolbook"/>
          <w:sz w:val="27"/>
          <w:szCs w:val="27"/>
        </w:rPr>
        <w:t xml:space="preserve">, </w:t>
      </w:r>
      <w:r w:rsidR="00DC5FF8">
        <w:rPr>
          <w:rFonts w:ascii="Century Schoolbook" w:hAnsi="Century Schoolbook"/>
          <w:sz w:val="27"/>
          <w:szCs w:val="27"/>
        </w:rPr>
        <w:t>at p.</w:t>
      </w:r>
      <w:r w:rsidR="00105364">
        <w:rPr>
          <w:rFonts w:ascii="Century Schoolbook" w:hAnsi="Century Schoolbook"/>
          <w:sz w:val="27"/>
          <w:szCs w:val="27"/>
        </w:rPr>
        <w:t> </w:t>
      </w:r>
      <w:r w:rsidRPr="00CC0E38">
        <w:rPr>
          <w:rFonts w:ascii="Century Schoolbook" w:hAnsi="Century Schoolbook"/>
          <w:sz w:val="27"/>
          <w:szCs w:val="27"/>
        </w:rPr>
        <w:t xml:space="preserve">142.) </w:t>
      </w:r>
    </w:p>
    <w:p w14:paraId="3705A822"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“The vast majority of defendants who are released on bail in California rely on commercial bail bonds to secure their release.”  (Pretrial Detention Reform Workgroup, Pretrial Detention Reform:  Recommendations to the Chief Justice (</w:t>
      </w:r>
      <w:r w:rsidR="00B333AB">
        <w:rPr>
          <w:rFonts w:ascii="Century Schoolbook" w:hAnsi="Century Schoolbook"/>
          <w:sz w:val="27"/>
          <w:szCs w:val="27"/>
        </w:rPr>
        <w:t xml:space="preserve">Oct. </w:t>
      </w:r>
      <w:r w:rsidRPr="00CC0E38">
        <w:rPr>
          <w:rFonts w:ascii="Century Schoolbook" w:hAnsi="Century Schoolbook"/>
          <w:sz w:val="27"/>
          <w:szCs w:val="27"/>
        </w:rPr>
        <w:t>2017) p. 9</w:t>
      </w:r>
      <w:r w:rsidR="00111FE7">
        <w:rPr>
          <w:rFonts w:ascii="Century Schoolbook" w:hAnsi="Century Schoolbook"/>
          <w:sz w:val="27"/>
          <w:szCs w:val="27"/>
        </w:rPr>
        <w:t xml:space="preserve"> &lt;</w:t>
      </w:r>
      <w:r w:rsidR="00111FE7" w:rsidRPr="00111FE7">
        <w:rPr>
          <w:rFonts w:ascii="Century Schoolbook" w:hAnsi="Century Schoolbook"/>
          <w:sz w:val="27"/>
          <w:szCs w:val="27"/>
        </w:rPr>
        <w:t>https://www.courts.ca.gov/documents/PDRReport-20171023.pdf</w:t>
      </w:r>
      <w:r w:rsidR="00111FE7">
        <w:rPr>
          <w:rFonts w:ascii="Century Schoolbook" w:hAnsi="Century Schoolbook"/>
          <w:sz w:val="27"/>
          <w:szCs w:val="27"/>
        </w:rPr>
        <w:t xml:space="preserve">&gt; [as of August </w:t>
      </w:r>
      <w:r w:rsidR="00782FB7">
        <w:rPr>
          <w:rFonts w:ascii="Century Schoolbook" w:hAnsi="Century Schoolbook"/>
          <w:sz w:val="27"/>
          <w:szCs w:val="27"/>
        </w:rPr>
        <w:t>24</w:t>
      </w:r>
      <w:r w:rsidR="00111FE7">
        <w:rPr>
          <w:rFonts w:ascii="Century Schoolbook" w:hAnsi="Century Schoolbook"/>
          <w:sz w:val="27"/>
          <w:szCs w:val="27"/>
        </w:rPr>
        <w:t>, 2023]</w:t>
      </w:r>
      <w:r w:rsidRPr="00CC0E38">
        <w:rPr>
          <w:rFonts w:ascii="Century Schoolbook" w:hAnsi="Century Schoolbook"/>
          <w:sz w:val="27"/>
          <w:szCs w:val="27"/>
        </w:rPr>
        <w:t>.)</w:t>
      </w:r>
      <w:r>
        <w:rPr>
          <w:rStyle w:val="FootnoteReference"/>
          <w:rFonts w:ascii="Century Schoolbook" w:hAnsi="Century Schoolbook"/>
          <w:b/>
          <w:bCs/>
          <w:position w:val="4"/>
          <w:sz w:val="27"/>
          <w:szCs w:val="27"/>
        </w:rPr>
        <w:footnoteReference w:id="3"/>
      </w:r>
      <w:r w:rsidRPr="00CC0E38">
        <w:rPr>
          <w:rFonts w:ascii="Century Schoolbook" w:hAnsi="Century Schoolbook"/>
          <w:sz w:val="27"/>
          <w:szCs w:val="27"/>
        </w:rPr>
        <w:t xml:space="preserve">  A commercial bail bond is a written agreement in which a licensed surety guarantees the defendant’s appearance in court and promises to pay the full bail amount if the defendant fails to appear.  (</w:t>
      </w:r>
      <w:r w:rsidRPr="00CC0E38">
        <w:rPr>
          <w:rFonts w:ascii="Century Schoolbook" w:hAnsi="Century Schoolbook"/>
          <w:i/>
          <w:iCs/>
          <w:sz w:val="27"/>
          <w:szCs w:val="27"/>
        </w:rPr>
        <w:t>People v. Safety National Casualty Corp.</w:t>
      </w:r>
      <w:r w:rsidRPr="00CC0E38">
        <w:rPr>
          <w:rFonts w:ascii="Century Schoolbook" w:hAnsi="Century Schoolbook"/>
          <w:sz w:val="27"/>
          <w:szCs w:val="27"/>
        </w:rPr>
        <w:t xml:space="preserve"> (2016) 62 Cal.4th 703, 709.)  “Commercial bail bonds are underwritten and issued by licensed bail agents who act as the appointed representatives of licensed </w:t>
      </w:r>
      <w:r w:rsidRPr="00CC0E38">
        <w:rPr>
          <w:rFonts w:ascii="Century Schoolbook" w:hAnsi="Century Schoolbook"/>
          <w:sz w:val="27"/>
          <w:szCs w:val="27"/>
        </w:rPr>
        <w:lastRenderedPageBreak/>
        <w:t>surety insurance companies.”  (Pretrial Detention Reform, p. 29.)  To obtain such a bond, the defendant (or someone acting on the defendant’s behalf) pays the bail bond agent a nonrefundable premium for the service of providing the bond.  (</w:t>
      </w:r>
      <w:r w:rsidR="008115E0" w:rsidRPr="008115E0">
        <w:rPr>
          <w:rFonts w:ascii="Century Schoolbook" w:hAnsi="Century Schoolbook"/>
          <w:i/>
          <w:iCs/>
          <w:sz w:val="27"/>
          <w:szCs w:val="27"/>
        </w:rPr>
        <w:t>Id.</w:t>
      </w:r>
      <w:r w:rsidR="008115E0">
        <w:rPr>
          <w:rFonts w:ascii="Century Schoolbook" w:hAnsi="Century Schoolbook"/>
          <w:sz w:val="27"/>
          <w:szCs w:val="27"/>
        </w:rPr>
        <w:t xml:space="preserve"> at </w:t>
      </w:r>
      <w:r w:rsidRPr="00CC0E38">
        <w:rPr>
          <w:rFonts w:ascii="Century Schoolbook" w:hAnsi="Century Schoolbook"/>
          <w:sz w:val="27"/>
          <w:szCs w:val="27"/>
        </w:rPr>
        <w:t>p.</w:t>
      </w:r>
      <w:r w:rsidR="00936318">
        <w:rPr>
          <w:rFonts w:ascii="Century Schoolbook" w:hAnsi="Century Schoolbook"/>
          <w:sz w:val="27"/>
          <w:szCs w:val="27"/>
        </w:rPr>
        <w:t> </w:t>
      </w:r>
      <w:r w:rsidRPr="00CC0E38">
        <w:rPr>
          <w:rFonts w:ascii="Century Schoolbook" w:hAnsi="Century Schoolbook"/>
          <w:sz w:val="27"/>
          <w:szCs w:val="27"/>
        </w:rPr>
        <w:t>30 [noting that the premium is typically 10</w:t>
      </w:r>
      <w:r w:rsidR="008115E0">
        <w:rPr>
          <w:rFonts w:ascii="Century Schoolbook" w:hAnsi="Century Schoolbook"/>
          <w:sz w:val="27"/>
          <w:szCs w:val="27"/>
        </w:rPr>
        <w:t xml:space="preserve"> percent </w:t>
      </w:r>
      <w:r w:rsidRPr="00CC0E38">
        <w:rPr>
          <w:rFonts w:ascii="Century Schoolbook" w:hAnsi="Century Schoolbook"/>
          <w:sz w:val="27"/>
          <w:szCs w:val="27"/>
        </w:rPr>
        <w:t>of the bail amount].)</w:t>
      </w:r>
    </w:p>
    <w:p w14:paraId="3705A823"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Although the </w:t>
      </w:r>
      <w:r w:rsidR="00D3238B">
        <w:rPr>
          <w:rFonts w:ascii="Century Schoolbook" w:hAnsi="Century Schoolbook"/>
          <w:sz w:val="27"/>
          <w:szCs w:val="27"/>
        </w:rPr>
        <w:t xml:space="preserve">system of release on </w:t>
      </w:r>
      <w:r w:rsidRPr="00CC0E38">
        <w:rPr>
          <w:rFonts w:ascii="Century Schoolbook" w:hAnsi="Century Schoolbook"/>
          <w:sz w:val="27"/>
          <w:szCs w:val="27"/>
        </w:rPr>
        <w:t xml:space="preserve">bail dates back centuries, the commercial bail bond industry is a relatively recent innovation, having first emerged in the </w:t>
      </w:r>
      <w:r w:rsidR="00D3238B">
        <w:rPr>
          <w:rFonts w:ascii="Century Schoolbook" w:hAnsi="Century Schoolbook"/>
          <w:sz w:val="27"/>
          <w:szCs w:val="27"/>
        </w:rPr>
        <w:t xml:space="preserve">latter part of the </w:t>
      </w:r>
      <w:r w:rsidRPr="00CC0E38">
        <w:rPr>
          <w:rFonts w:ascii="Century Schoolbook" w:hAnsi="Century Schoolbook"/>
          <w:sz w:val="27"/>
          <w:szCs w:val="27"/>
        </w:rPr>
        <w:t>19th century.  (Baughman, The Bail Book:  A Comprehensive Look at Bail in America’s Criminal Justice System (2018) p. 164</w:t>
      </w:r>
      <w:r w:rsidR="00860C0F">
        <w:rPr>
          <w:rFonts w:ascii="Century Schoolbook" w:hAnsi="Century Schoolbook"/>
          <w:sz w:val="27"/>
          <w:szCs w:val="27"/>
        </w:rPr>
        <w:t>; see also</w:t>
      </w:r>
      <w:r w:rsidR="00A3383E">
        <w:rPr>
          <w:rFonts w:ascii="Century Schoolbook" w:hAnsi="Century Schoolbook"/>
          <w:sz w:val="27"/>
          <w:szCs w:val="27"/>
        </w:rPr>
        <w:t>, e.g.,</w:t>
      </w:r>
      <w:r w:rsidR="00860C0F">
        <w:rPr>
          <w:rFonts w:ascii="Century Schoolbook" w:hAnsi="Century Schoolbook"/>
          <w:sz w:val="27"/>
          <w:szCs w:val="27"/>
        </w:rPr>
        <w:t xml:space="preserve"> </w:t>
      </w:r>
      <w:r w:rsidR="00860C0F">
        <w:rPr>
          <w:rFonts w:ascii="Century Schoolbook" w:hAnsi="Century Schoolbook"/>
          <w:i/>
          <w:iCs/>
          <w:sz w:val="27"/>
          <w:szCs w:val="27"/>
        </w:rPr>
        <w:t xml:space="preserve">Holland v. Rosen </w:t>
      </w:r>
      <w:r w:rsidR="00860C0F">
        <w:rPr>
          <w:rFonts w:ascii="Century Schoolbook" w:hAnsi="Century Schoolbook"/>
          <w:sz w:val="27"/>
          <w:szCs w:val="27"/>
        </w:rPr>
        <w:t>(3d Cir. 2018) 895 F.3d 272, 293–294</w:t>
      </w:r>
      <w:r w:rsidR="00A3383E">
        <w:rPr>
          <w:rFonts w:ascii="Century Schoolbook" w:hAnsi="Century Schoolbook"/>
          <w:sz w:val="27"/>
          <w:szCs w:val="27"/>
        </w:rPr>
        <w:t xml:space="preserve"> [citing additional sources]</w:t>
      </w:r>
      <w:r w:rsidRPr="00CC0E38">
        <w:rPr>
          <w:rFonts w:ascii="Century Schoolbook" w:hAnsi="Century Schoolbook"/>
          <w:sz w:val="27"/>
          <w:szCs w:val="27"/>
        </w:rPr>
        <w:t xml:space="preserve">.)  In California, the industry was unregulated for several decades, until reports revealed abusive practices that had become widespread among bail bond businesses across the state.  Reports indicated, for example, that bail bond agents commonly entered kickback schemes with police officers to gain information about potential clients; in return for notifying bail bond agents of criminal arrests, police officers would take a share of the bond premium once the agents had secured the prisoners’ release.  (See, e.g., </w:t>
      </w:r>
      <w:r w:rsidRPr="00CC0E38">
        <w:rPr>
          <w:rFonts w:ascii="Century Schoolbook" w:hAnsi="Century Schoolbook"/>
          <w:i/>
          <w:iCs/>
          <w:sz w:val="27"/>
          <w:szCs w:val="27"/>
        </w:rPr>
        <w:t>Bail Broker Control Bill in Assembly</w:t>
      </w:r>
      <w:r w:rsidRPr="00CC0E38">
        <w:rPr>
          <w:rFonts w:ascii="Century Schoolbook" w:hAnsi="Century Schoolbook"/>
          <w:sz w:val="27"/>
          <w:szCs w:val="27"/>
        </w:rPr>
        <w:t xml:space="preserve">, Oakland Tribune (Mar. 30, 1937) p. 5.)  Other reports indicated that bail bond agents would agree to steer the prisoners to certain attorneys, who would, in turn, split legal fees with the agents and police officers involved in the schemes.  (See, e.g., </w:t>
      </w:r>
      <w:r w:rsidRPr="00CC0E38">
        <w:rPr>
          <w:rFonts w:ascii="Century Schoolbook" w:hAnsi="Century Schoolbook"/>
          <w:i/>
          <w:iCs/>
          <w:sz w:val="27"/>
          <w:szCs w:val="27"/>
        </w:rPr>
        <w:t>Bail Brokers Are Rapped As Bill Wins Okeh</w:t>
      </w:r>
      <w:r w:rsidRPr="00CC0E38">
        <w:rPr>
          <w:rFonts w:ascii="Century Schoolbook" w:hAnsi="Century Schoolbook"/>
          <w:sz w:val="27"/>
          <w:szCs w:val="27"/>
        </w:rPr>
        <w:t>, Sacramento Bee (Mar. 30, 1937) p. 13.)</w:t>
      </w:r>
    </w:p>
    <w:p w14:paraId="3705A824"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These revelations prompted calls for reform and increased oversight over the burgeoning commercial bail industry.  The Legislature responded by enacting the Bail Bond Regulatory Act</w:t>
      </w:r>
      <w:r w:rsidR="00762BBF">
        <w:rPr>
          <w:rFonts w:ascii="Century Schoolbook" w:hAnsi="Century Schoolbook"/>
          <w:sz w:val="27"/>
          <w:szCs w:val="27"/>
        </w:rPr>
        <w:t xml:space="preserve"> of 1937</w:t>
      </w:r>
      <w:r w:rsidRPr="00CC0E38">
        <w:rPr>
          <w:rFonts w:ascii="Century Schoolbook" w:hAnsi="Century Schoolbook"/>
          <w:sz w:val="27"/>
          <w:szCs w:val="27"/>
        </w:rPr>
        <w:t xml:space="preserve">, which established a framework for industry regulation.  </w:t>
      </w:r>
      <w:r w:rsidRPr="00CC0E38">
        <w:rPr>
          <w:rFonts w:ascii="Century Schoolbook" w:hAnsi="Century Schoolbook"/>
          <w:sz w:val="27"/>
          <w:szCs w:val="27"/>
        </w:rPr>
        <w:lastRenderedPageBreak/>
        <w:t xml:space="preserve">(Stats. 1937, ch. 653, pp. 1797–1800; Stats. 1937, ch. 654, pp. 1800–1804; see </w:t>
      </w:r>
      <w:r w:rsidRPr="00CC0E38">
        <w:rPr>
          <w:rFonts w:ascii="Century Schoolbook" w:hAnsi="Century Schoolbook"/>
          <w:i/>
          <w:iCs/>
          <w:sz w:val="27"/>
          <w:szCs w:val="27"/>
        </w:rPr>
        <w:t>McDonough v. Goodcell</w:t>
      </w:r>
      <w:r w:rsidRPr="00CC0E38">
        <w:rPr>
          <w:rFonts w:ascii="Century Schoolbook" w:hAnsi="Century Schoolbook"/>
          <w:sz w:val="27"/>
          <w:szCs w:val="27"/>
        </w:rPr>
        <w:t xml:space="preserve"> (1939) 13 Cal.2d 741, 743.)  The Act requires every person engaged in the bail bond business to secure a license from the Insurance Commissioner.  (See Ins. Code, §§ 1800, 1802.)  The Act further vests the Insurance Commissioner with the authority to “make reasonable rules necessary, advisable, or convenient” for the regulation of bail licensees.  (</w:t>
      </w:r>
      <w:r w:rsidRPr="00CC0E38">
        <w:rPr>
          <w:rFonts w:ascii="Century Schoolbook" w:hAnsi="Century Schoolbook"/>
          <w:i/>
          <w:iCs/>
          <w:sz w:val="27"/>
          <w:szCs w:val="27"/>
        </w:rPr>
        <w:t>Id.</w:t>
      </w:r>
      <w:r w:rsidRPr="00CC0E38">
        <w:rPr>
          <w:rFonts w:ascii="Century Schoolbook" w:hAnsi="Century Schoolbook"/>
          <w:sz w:val="27"/>
          <w:szCs w:val="27"/>
        </w:rPr>
        <w:t xml:space="preserve">, § 1812.)  </w:t>
      </w:r>
    </w:p>
    <w:p w14:paraId="3705A825"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In 1941, following further investigations into the </w:t>
      </w:r>
      <w:r w:rsidR="00317AEE">
        <w:rPr>
          <w:rFonts w:ascii="Century Schoolbook" w:hAnsi="Century Schoolbook"/>
          <w:sz w:val="27"/>
          <w:szCs w:val="27"/>
        </w:rPr>
        <w:t xml:space="preserve">bail </w:t>
      </w:r>
      <w:r w:rsidRPr="00CC0E38">
        <w:rPr>
          <w:rFonts w:ascii="Century Schoolbook" w:hAnsi="Century Schoolbook"/>
          <w:sz w:val="27"/>
          <w:szCs w:val="27"/>
        </w:rPr>
        <w:t>industry, the Insurance Commissioner promulgated a slate of regulations governing the conduct of bail licensees.  (Cal. Dept. of Insurance, Rules &amp; Regulations Governing Bail Bond Transactions, Ruling No. 21 (Dec. 1, 1941) (Ruling No. 21).)  Those regulations, many of which remain in force in substantially similar form today, prohibit bail licensees from, among other practices:  engaging unlicensed persons to solicit or negotiate bail on the licensed agent’s behalf (Cal. Code Regs., tit. 10, § 2068); entering bail agreements in advance of the commission of an offense or an arrest (</w:t>
      </w:r>
      <w:r w:rsidRPr="00CC0E38">
        <w:rPr>
          <w:rFonts w:ascii="Century Schoolbook" w:hAnsi="Century Schoolbook"/>
          <w:i/>
          <w:iCs/>
          <w:sz w:val="27"/>
          <w:szCs w:val="27"/>
        </w:rPr>
        <w:t>id.</w:t>
      </w:r>
      <w:r w:rsidRPr="00CC0E38">
        <w:rPr>
          <w:rFonts w:ascii="Century Schoolbook" w:hAnsi="Century Schoolbook"/>
          <w:sz w:val="27"/>
          <w:szCs w:val="27"/>
        </w:rPr>
        <w:t>, § 2070); referring arrestees to defense attorneys (</w:t>
      </w:r>
      <w:r w:rsidRPr="00CC0E38">
        <w:rPr>
          <w:rFonts w:ascii="Century Schoolbook" w:hAnsi="Century Schoolbook"/>
          <w:i/>
          <w:iCs/>
          <w:sz w:val="27"/>
          <w:szCs w:val="27"/>
        </w:rPr>
        <w:t>id.</w:t>
      </w:r>
      <w:r w:rsidRPr="00CC0E38">
        <w:rPr>
          <w:rFonts w:ascii="Century Schoolbook" w:hAnsi="Century Schoolbook"/>
          <w:sz w:val="27"/>
          <w:szCs w:val="27"/>
        </w:rPr>
        <w:t>, § 2071); soliciting bail in certain places, like jails and courthouses (</w:t>
      </w:r>
      <w:r w:rsidRPr="00CC0E38">
        <w:rPr>
          <w:rFonts w:ascii="Century Schoolbook" w:hAnsi="Century Schoolbook"/>
          <w:i/>
          <w:iCs/>
          <w:sz w:val="27"/>
          <w:szCs w:val="27"/>
        </w:rPr>
        <w:t>id.</w:t>
      </w:r>
      <w:r w:rsidRPr="00CC0E38">
        <w:rPr>
          <w:rFonts w:ascii="Century Schoolbook" w:hAnsi="Century Schoolbook"/>
          <w:sz w:val="27"/>
          <w:szCs w:val="27"/>
        </w:rPr>
        <w:t>, § 2074); and charging rates or fees that differ from those that appear in rate schedules that licensees must file with the Department of Insurance (</w:t>
      </w:r>
      <w:r w:rsidRPr="00CC0E38">
        <w:rPr>
          <w:rFonts w:ascii="Century Schoolbook" w:hAnsi="Century Schoolbook"/>
          <w:i/>
          <w:iCs/>
          <w:sz w:val="27"/>
          <w:szCs w:val="27"/>
        </w:rPr>
        <w:t>id.</w:t>
      </w:r>
      <w:r w:rsidRPr="00CC0E38">
        <w:rPr>
          <w:rFonts w:ascii="Century Schoolbook" w:hAnsi="Century Schoolbook"/>
          <w:sz w:val="27"/>
          <w:szCs w:val="27"/>
        </w:rPr>
        <w:t xml:space="preserve">, § 2082).  (See Ruling No. 21, </w:t>
      </w:r>
      <w:r w:rsidR="00B333AB" w:rsidRPr="00B333AB">
        <w:rPr>
          <w:rFonts w:ascii="Century Schoolbook" w:hAnsi="Century Schoolbook"/>
          <w:i/>
          <w:iCs/>
          <w:sz w:val="27"/>
          <w:szCs w:val="27"/>
        </w:rPr>
        <w:t>supra</w:t>
      </w:r>
      <w:r w:rsidR="00B333AB">
        <w:rPr>
          <w:rFonts w:ascii="Century Schoolbook" w:hAnsi="Century Schoolbook"/>
          <w:sz w:val="27"/>
          <w:szCs w:val="27"/>
        </w:rPr>
        <w:t xml:space="preserve">, </w:t>
      </w:r>
      <w:r w:rsidRPr="00CC0E38">
        <w:rPr>
          <w:rFonts w:ascii="Century Schoolbook" w:hAnsi="Century Schoolbook"/>
          <w:sz w:val="27"/>
          <w:szCs w:val="27"/>
        </w:rPr>
        <w:t xml:space="preserve">¶¶ 19, 23, 27, 35–36, 38.)  Another later-added regulation prohibits bail bond agents from directly soliciting arrestees unless the agent has received a bona fide request for bail services from the arrestee or other specified individuals acting on the arrestee’s behalf.  (See Cal. Code Regs., tit. 10, § 2079.1; see </w:t>
      </w:r>
      <w:r w:rsidRPr="00CC0E38">
        <w:rPr>
          <w:rFonts w:ascii="Century Schoolbook" w:hAnsi="Century Schoolbook"/>
          <w:i/>
          <w:iCs/>
          <w:sz w:val="27"/>
          <w:szCs w:val="27"/>
        </w:rPr>
        <w:t>id.</w:t>
      </w:r>
      <w:r w:rsidRPr="00CC0E38">
        <w:rPr>
          <w:rFonts w:ascii="Century Schoolbook" w:hAnsi="Century Schoolbook"/>
          <w:sz w:val="27"/>
          <w:szCs w:val="27"/>
        </w:rPr>
        <w:t>, § 2079.)</w:t>
      </w:r>
    </w:p>
    <w:p w14:paraId="3705A826"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The provision at issue in this case, California Code of Regulations, </w:t>
      </w:r>
      <w:r w:rsidR="00111FE7">
        <w:rPr>
          <w:rFonts w:ascii="Century Schoolbook" w:hAnsi="Century Schoolbook"/>
          <w:sz w:val="27"/>
          <w:szCs w:val="27"/>
        </w:rPr>
        <w:t>t</w:t>
      </w:r>
      <w:r w:rsidRPr="00CC0E38">
        <w:rPr>
          <w:rFonts w:ascii="Century Schoolbook" w:hAnsi="Century Schoolbook"/>
          <w:sz w:val="27"/>
          <w:szCs w:val="27"/>
        </w:rPr>
        <w:t xml:space="preserve">itle 10, section 2076 (section 2076), was added as </w:t>
      </w:r>
      <w:r w:rsidRPr="00CC0E38">
        <w:rPr>
          <w:rFonts w:ascii="Century Schoolbook" w:hAnsi="Century Schoolbook"/>
          <w:sz w:val="27"/>
          <w:szCs w:val="27"/>
        </w:rPr>
        <w:lastRenderedPageBreak/>
        <w:t xml:space="preserve">part of the initial 1941 slate of regulations.  (See Ruling No. 21, </w:t>
      </w:r>
      <w:r w:rsidRPr="00CC0E38">
        <w:rPr>
          <w:rFonts w:ascii="Century Schoolbook" w:hAnsi="Century Schoolbook"/>
          <w:i/>
          <w:iCs/>
          <w:sz w:val="27"/>
          <w:szCs w:val="27"/>
        </w:rPr>
        <w:t>supra</w:t>
      </w:r>
      <w:r w:rsidRPr="00CC0E38">
        <w:rPr>
          <w:rFonts w:ascii="Century Schoolbook" w:hAnsi="Century Schoolbook"/>
          <w:sz w:val="27"/>
          <w:szCs w:val="27"/>
        </w:rPr>
        <w:t>, ¶ 37.)  Section 2076, as presently in force, provides in full:  “No bail licensee shall, for any purpose, directly or indirectly, enter into an arrangement of any kind or have any understanding with a law enforcement officer, newspaper employee, messenger service or any of its employees, a trusty in a jail, any other person incarcerated in a jail, or with any other persons, to inform or notify any licensee (except in direct answer to a question relating to the public records concerning a specific person named by the licensees in the request for information), directly or indirectly, of:  [¶]  (a) The existence of a criminal complaint;  [¶]  (b) The fact of an arrest; or  [¶]  (c) The fact that an arrest of any person is impending or contemplated;  [¶]  (d)</w:t>
      </w:r>
      <w:r w:rsidR="001A535C">
        <w:rPr>
          <w:rFonts w:ascii="Century Schoolbook" w:hAnsi="Century Schoolbook"/>
          <w:sz w:val="27"/>
          <w:szCs w:val="27"/>
        </w:rPr>
        <w:t> </w:t>
      </w:r>
      <w:r w:rsidRPr="00CC0E38">
        <w:rPr>
          <w:rFonts w:ascii="Century Schoolbook" w:hAnsi="Century Schoolbook"/>
          <w:sz w:val="27"/>
          <w:szCs w:val="27"/>
        </w:rPr>
        <w:t>Any information pertaining to the matters set forth in (a) to (c) hereof or the persons involved therein.”</w:t>
      </w:r>
      <w:r>
        <w:rPr>
          <w:rFonts w:ascii="Century Schoolbook" w:hAnsi="Century Schoolbook"/>
          <w:b/>
          <w:bCs/>
          <w:position w:val="4"/>
          <w:sz w:val="27"/>
          <w:szCs w:val="27"/>
          <w:vertAlign w:val="superscript"/>
        </w:rPr>
        <w:footnoteReference w:id="4"/>
      </w:r>
      <w:r w:rsidRPr="001A535C">
        <w:rPr>
          <w:rFonts w:ascii="Century Schoolbook" w:hAnsi="Century Schoolbook"/>
          <w:sz w:val="27"/>
          <w:szCs w:val="27"/>
        </w:rPr>
        <w:t xml:space="preserve"> </w:t>
      </w:r>
      <w:r w:rsidRPr="00CC0E38">
        <w:rPr>
          <w:rFonts w:ascii="Century Schoolbook" w:hAnsi="Century Schoolbook"/>
          <w:sz w:val="27"/>
          <w:szCs w:val="27"/>
        </w:rPr>
        <w:t xml:space="preserve"> Section 1814 of the Insurance Code makes the violation of a rule promulgated by the Insurance Commissioner, including section 2076, an offense chargeable either as a misdemeanor or a felony</w:t>
      </w:r>
      <w:r w:rsidR="006D440A">
        <w:rPr>
          <w:rFonts w:ascii="Century Schoolbook" w:hAnsi="Century Schoolbook"/>
          <w:sz w:val="27"/>
          <w:szCs w:val="27"/>
        </w:rPr>
        <w:t>.</w:t>
      </w:r>
    </w:p>
    <w:p w14:paraId="3705A827" w14:textId="77777777" w:rsidR="00CC0E38" w:rsidRPr="00CC0E38" w:rsidRDefault="00000000" w:rsidP="0076799A">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t>B.</w:t>
      </w:r>
    </w:p>
    <w:p w14:paraId="3705A828"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In 2015, the Santa Clara County District Attorney charged defendant Monica Marie Martinez with seven felony counts of violating section 2076.</w:t>
      </w:r>
      <w:r>
        <w:rPr>
          <w:rStyle w:val="FootnoteReference"/>
          <w:rFonts w:ascii="Century Schoolbook" w:hAnsi="Century Schoolbook"/>
          <w:b/>
          <w:bCs/>
          <w:position w:val="4"/>
          <w:sz w:val="27"/>
          <w:szCs w:val="27"/>
        </w:rPr>
        <w:footnoteReference w:id="5"/>
      </w:r>
      <w:r w:rsidRPr="00CC0E38">
        <w:rPr>
          <w:rFonts w:ascii="Century Schoolbook" w:hAnsi="Century Schoolbook"/>
          <w:sz w:val="27"/>
          <w:szCs w:val="27"/>
        </w:rPr>
        <w:t xml:space="preserve">  The complaint alleged that on </w:t>
      </w:r>
      <w:r w:rsidRPr="00CC0E38">
        <w:rPr>
          <w:rFonts w:ascii="Century Schoolbook" w:hAnsi="Century Schoolbook"/>
          <w:sz w:val="27"/>
          <w:szCs w:val="27"/>
        </w:rPr>
        <w:lastRenderedPageBreak/>
        <w:t>seven different dates in 2014, Martinez “enter[ed] into an agreement and ha[d] an understanding with a person incarcerated in jail, to inform and notify defendant, a bail licensee, of the fact of an arrest.”</w:t>
      </w:r>
      <w:r w:rsidRPr="00CC0E38">
        <w:rPr>
          <w:rFonts w:ascii="Century Schoolbook" w:hAnsi="Century Schoolbook"/>
          <w:i/>
          <w:iCs/>
          <w:sz w:val="27"/>
          <w:szCs w:val="27"/>
        </w:rPr>
        <w:t xml:space="preserve">  </w:t>
      </w:r>
      <w:r w:rsidRPr="00CC0E38">
        <w:rPr>
          <w:rFonts w:ascii="Century Schoolbook" w:hAnsi="Century Schoolbook"/>
          <w:sz w:val="27"/>
          <w:szCs w:val="27"/>
        </w:rPr>
        <w:t>Martinez demurred.  Among other things, she argued that section 2076 violates her right to freedom of speech under the First Amendment to the United States Constitution and article 2, section 2(a) of the California Constitution.  The trial court overruled the demurrer.  Martinez subsequently pleaded no contest to one of the counts in the complaint, and the prosecution agreed to dismiss the remaining six.  The court suspended imposition of sentence and placed Martinez on probation for three years.  The court also ordered that she serve four months in custody in the county jail</w:t>
      </w:r>
      <w:r w:rsidR="00000615">
        <w:rPr>
          <w:rFonts w:ascii="Century Schoolbook" w:hAnsi="Century Schoolbook"/>
          <w:sz w:val="27"/>
          <w:szCs w:val="27"/>
        </w:rPr>
        <w:t>,</w:t>
      </w:r>
      <w:r w:rsidRPr="00CC0E38">
        <w:rPr>
          <w:rFonts w:ascii="Century Schoolbook" w:hAnsi="Century Schoolbook"/>
          <w:sz w:val="27"/>
          <w:szCs w:val="27"/>
        </w:rPr>
        <w:t xml:space="preserve"> and </w:t>
      </w:r>
      <w:r w:rsidR="00D3238B">
        <w:rPr>
          <w:rFonts w:ascii="Century Schoolbook" w:hAnsi="Century Schoolbook"/>
          <w:sz w:val="27"/>
          <w:szCs w:val="27"/>
        </w:rPr>
        <w:t xml:space="preserve">it </w:t>
      </w:r>
      <w:r w:rsidRPr="00CC0E38">
        <w:rPr>
          <w:rFonts w:ascii="Century Schoolbook" w:hAnsi="Century Schoolbook"/>
          <w:sz w:val="27"/>
          <w:szCs w:val="27"/>
        </w:rPr>
        <w:t>promised to reduce the offense to a misdemeanor if she successfully completed one year of probation.  (See Pen. Code, § 17.)</w:t>
      </w:r>
    </w:p>
    <w:p w14:paraId="3705A829"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Martinez appealed her conviction after obtaining a certificate of probable cause.  (See Pen. Code, § 1237.5; Cal. Rules of Court, rule 8.304(b)(1).)  On appeal, a divided court agreed with Martinez that </w:t>
      </w:r>
      <w:r w:rsidR="00111170">
        <w:rPr>
          <w:rFonts w:ascii="Century Schoolbook" w:hAnsi="Century Schoolbook"/>
          <w:sz w:val="27"/>
          <w:szCs w:val="27"/>
        </w:rPr>
        <w:t>section 2076</w:t>
      </w:r>
      <w:r w:rsidRPr="00CC0E38">
        <w:rPr>
          <w:rFonts w:ascii="Century Schoolbook" w:hAnsi="Century Schoolbook"/>
          <w:sz w:val="27"/>
          <w:szCs w:val="27"/>
        </w:rPr>
        <w:t xml:space="preserve"> is facially unconstitutional and reversed the conviction.  (</w:t>
      </w:r>
      <w:r w:rsidRPr="00CC0E38">
        <w:rPr>
          <w:rFonts w:ascii="Century Schoolbook" w:hAnsi="Century Schoolbook"/>
          <w:i/>
          <w:iCs/>
          <w:sz w:val="27"/>
          <w:szCs w:val="27"/>
        </w:rPr>
        <w:t>People v. Martinez</w:t>
      </w:r>
      <w:r w:rsidRPr="00CC0E38">
        <w:rPr>
          <w:rFonts w:ascii="Century Schoolbook" w:hAnsi="Century Schoolbook"/>
          <w:sz w:val="27"/>
          <w:szCs w:val="27"/>
        </w:rPr>
        <w:t xml:space="preserve"> (2020) 59 Cal.App.5th 280, 290 (</w:t>
      </w:r>
      <w:r w:rsidRPr="00CC0E38">
        <w:rPr>
          <w:rFonts w:ascii="Century Schoolbook" w:hAnsi="Century Schoolbook"/>
          <w:i/>
          <w:iCs/>
          <w:sz w:val="27"/>
          <w:szCs w:val="27"/>
        </w:rPr>
        <w:t>Martinez</w:t>
      </w:r>
      <w:r w:rsidRPr="00CC0E38">
        <w:rPr>
          <w:rFonts w:ascii="Century Schoolbook" w:hAnsi="Century Schoolbook"/>
          <w:sz w:val="27"/>
          <w:szCs w:val="27"/>
        </w:rPr>
        <w:t>).)</w:t>
      </w:r>
    </w:p>
    <w:p w14:paraId="3705A82A"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At the outset, the Court of Appeal considered the applicable standard of constitutional scrutiny:  whether </w:t>
      </w:r>
      <w:r w:rsidR="00111170">
        <w:rPr>
          <w:rFonts w:ascii="Century Schoolbook" w:hAnsi="Century Schoolbook"/>
          <w:sz w:val="27"/>
          <w:szCs w:val="27"/>
        </w:rPr>
        <w:t>section 2076</w:t>
      </w:r>
      <w:r w:rsidRPr="00CC0E38">
        <w:rPr>
          <w:rFonts w:ascii="Century Schoolbook" w:hAnsi="Century Schoolbook"/>
          <w:sz w:val="27"/>
          <w:szCs w:val="27"/>
        </w:rPr>
        <w:t xml:space="preserve"> was subject to the strict scrutiny typically applicable to content-based speech regulations, as Martinez argued, or instead subject to the intermediate scrutiny applicable to commercial speech regulations, as the People argued.  The court agreed with Martinez that the regulation </w:t>
      </w:r>
      <w:r w:rsidR="00000615">
        <w:rPr>
          <w:rFonts w:ascii="Century Schoolbook" w:hAnsi="Century Schoolbook"/>
          <w:sz w:val="27"/>
          <w:szCs w:val="27"/>
        </w:rPr>
        <w:t>wa</w:t>
      </w:r>
      <w:r w:rsidRPr="00CC0E38">
        <w:rPr>
          <w:rFonts w:ascii="Century Schoolbook" w:hAnsi="Century Schoolbook"/>
          <w:sz w:val="27"/>
          <w:szCs w:val="27"/>
        </w:rPr>
        <w:t>s content-based but ultimately did not decide whether strict scrutiny applie</w:t>
      </w:r>
      <w:r w:rsidR="00000615">
        <w:rPr>
          <w:rFonts w:ascii="Century Schoolbook" w:hAnsi="Century Schoolbook"/>
          <w:sz w:val="27"/>
          <w:szCs w:val="27"/>
        </w:rPr>
        <w:t>d</w:t>
      </w:r>
      <w:r w:rsidRPr="00CC0E38">
        <w:rPr>
          <w:rFonts w:ascii="Century Schoolbook" w:hAnsi="Century Schoolbook"/>
          <w:sz w:val="27"/>
          <w:szCs w:val="27"/>
        </w:rPr>
        <w:t xml:space="preserve"> because, in the court’s view, the regulation failed even </w:t>
      </w:r>
      <w:r w:rsidRPr="00CC0E38">
        <w:rPr>
          <w:rFonts w:ascii="Century Schoolbook" w:hAnsi="Century Schoolbook"/>
          <w:sz w:val="27"/>
          <w:szCs w:val="27"/>
        </w:rPr>
        <w:lastRenderedPageBreak/>
        <w:t>intermediate scrutiny.  (</w:t>
      </w:r>
      <w:r w:rsidRPr="00CC0E38">
        <w:rPr>
          <w:rFonts w:ascii="Century Schoolbook" w:hAnsi="Century Schoolbook"/>
          <w:i/>
          <w:iCs/>
          <w:sz w:val="27"/>
          <w:szCs w:val="27"/>
        </w:rPr>
        <w:t>Martinez</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59 Cal.App.5th</w:t>
      </w:r>
      <w:r w:rsidRPr="00CC0E38">
        <w:rPr>
          <w:rFonts w:ascii="Century Schoolbook" w:hAnsi="Century Schoolbook"/>
          <w:i/>
          <w:iCs/>
          <w:sz w:val="27"/>
          <w:szCs w:val="27"/>
        </w:rPr>
        <w:t xml:space="preserve"> </w:t>
      </w:r>
      <w:r w:rsidRPr="00CC0E38">
        <w:rPr>
          <w:rFonts w:ascii="Century Schoolbook" w:hAnsi="Century Schoolbook"/>
          <w:sz w:val="27"/>
          <w:szCs w:val="27"/>
        </w:rPr>
        <w:t xml:space="preserve">at pp. 303, 305–307, citing </w:t>
      </w:r>
      <w:r w:rsidRPr="00CC0E38">
        <w:rPr>
          <w:rFonts w:ascii="Century Schoolbook" w:hAnsi="Century Schoolbook"/>
          <w:i/>
          <w:sz w:val="27"/>
          <w:szCs w:val="27"/>
        </w:rPr>
        <w:t>Central Hudson Gas &amp; Electric Corp. v. Public Service Commission of New York</w:t>
      </w:r>
      <w:r w:rsidR="008115E0">
        <w:rPr>
          <w:rFonts w:ascii="Century Schoolbook" w:hAnsi="Century Schoolbook"/>
          <w:i/>
          <w:sz w:val="27"/>
          <w:szCs w:val="27"/>
        </w:rPr>
        <w:t xml:space="preserve"> </w:t>
      </w:r>
      <w:r w:rsidR="008115E0">
        <w:rPr>
          <w:rFonts w:ascii="Century Schoolbook" w:hAnsi="Century Schoolbook"/>
          <w:iCs/>
          <w:sz w:val="27"/>
          <w:szCs w:val="27"/>
        </w:rPr>
        <w:t>(1980)</w:t>
      </w:r>
      <w:r w:rsidRPr="00CC0E38">
        <w:rPr>
          <w:rFonts w:ascii="Century Schoolbook" w:hAnsi="Century Schoolbook"/>
          <w:iCs/>
          <w:sz w:val="27"/>
          <w:szCs w:val="27"/>
        </w:rPr>
        <w:t xml:space="preserve"> </w:t>
      </w:r>
      <w:r w:rsidRPr="00CC0E38">
        <w:rPr>
          <w:rFonts w:ascii="Century Schoolbook" w:hAnsi="Century Schoolbook"/>
          <w:sz w:val="27"/>
          <w:szCs w:val="27"/>
        </w:rPr>
        <w:t>447 U.S. 557 (</w:t>
      </w:r>
      <w:r w:rsidRPr="00CC0E38">
        <w:rPr>
          <w:rFonts w:ascii="Century Schoolbook" w:hAnsi="Century Schoolbook"/>
          <w:i/>
          <w:iCs/>
          <w:sz w:val="27"/>
          <w:szCs w:val="27"/>
        </w:rPr>
        <w:t>Central Hudson</w:t>
      </w:r>
      <w:r w:rsidRPr="00CC0E38">
        <w:rPr>
          <w:rFonts w:ascii="Century Schoolbook" w:hAnsi="Century Schoolbook"/>
          <w:sz w:val="27"/>
          <w:szCs w:val="27"/>
        </w:rPr>
        <w:t>).)  The court acknowledged that the People had identified substantial state interests underlying section 2076.  The court cited, in particular, the state’s interests in deterring bail bond agents from engaging in forms of arrestee solicitation prohibited by other provisions of California law.  (</w:t>
      </w:r>
      <w:r w:rsidRPr="00CC0E38">
        <w:rPr>
          <w:rFonts w:ascii="Century Schoolbook" w:hAnsi="Century Schoolbook"/>
          <w:i/>
          <w:iCs/>
          <w:sz w:val="27"/>
          <w:szCs w:val="27"/>
        </w:rPr>
        <w:t>Martinez</w:t>
      </w:r>
      <w:r w:rsidRPr="00CC0E38">
        <w:rPr>
          <w:rFonts w:ascii="Century Schoolbook" w:hAnsi="Century Schoolbook"/>
          <w:sz w:val="27"/>
          <w:szCs w:val="27"/>
        </w:rPr>
        <w:t>, at pp. 307–311; see, e.g., Cal. Code Regs., tit. 10, § 2079.1 [prohibiting bail bond agents from directly soliciting arrestees who have not requested their services]; Pen. Code, § 160 [prohibiting agents from employing inmates to solicit arrestees on the agents’ behalf].)  But in the court’s view, the People failed to adduce sufficient empirical or anecdotal evidence to show that section 2076 “</w:t>
      </w:r>
      <w:r w:rsidRPr="00CC0E38">
        <w:rPr>
          <w:rFonts w:ascii="Century Schoolbook" w:hAnsi="Century Schoolbook"/>
          <w:i/>
          <w:iCs/>
          <w:sz w:val="27"/>
          <w:szCs w:val="27"/>
        </w:rPr>
        <w:t>directly and materially</w:t>
      </w:r>
      <w:r w:rsidRPr="00CC0E38">
        <w:rPr>
          <w:rFonts w:ascii="Century Schoolbook" w:hAnsi="Century Schoolbook"/>
          <w:sz w:val="27"/>
          <w:szCs w:val="27"/>
        </w:rPr>
        <w:t xml:space="preserve"> advance[d]” the state’s interests in deterring unlawful solicitation practices, as</w:t>
      </w:r>
      <w:r w:rsidR="00860C0F">
        <w:rPr>
          <w:rFonts w:ascii="Century Schoolbook" w:hAnsi="Century Schoolbook"/>
          <w:sz w:val="27"/>
          <w:szCs w:val="27"/>
        </w:rPr>
        <w:t xml:space="preserve"> intermediate scrutiny under</w:t>
      </w:r>
      <w:r w:rsidRPr="00CC0E38">
        <w:rPr>
          <w:rFonts w:ascii="Century Schoolbook" w:hAnsi="Century Schoolbook"/>
          <w:sz w:val="27"/>
          <w:szCs w:val="27"/>
        </w:rPr>
        <w:t xml:space="preserve"> </w:t>
      </w:r>
      <w:r w:rsidRPr="00CC0E38">
        <w:rPr>
          <w:rFonts w:ascii="Century Schoolbook" w:hAnsi="Century Schoolbook"/>
          <w:i/>
          <w:iCs/>
          <w:sz w:val="27"/>
          <w:szCs w:val="27"/>
        </w:rPr>
        <w:t>Central Hudson</w:t>
      </w:r>
      <w:r w:rsidRPr="00CC0E38">
        <w:rPr>
          <w:rFonts w:ascii="Century Schoolbook" w:hAnsi="Century Schoolbook"/>
          <w:sz w:val="27"/>
          <w:szCs w:val="27"/>
        </w:rPr>
        <w:t xml:space="preserve"> requires.  (</w:t>
      </w:r>
      <w:r w:rsidRPr="00CC0E38">
        <w:rPr>
          <w:rFonts w:ascii="Century Schoolbook" w:hAnsi="Century Schoolbook"/>
          <w:i/>
          <w:iCs/>
          <w:sz w:val="27"/>
          <w:szCs w:val="27"/>
        </w:rPr>
        <w:t>Martinez</w:t>
      </w:r>
      <w:r w:rsidRPr="00CC0E38">
        <w:rPr>
          <w:rFonts w:ascii="Century Schoolbook" w:hAnsi="Century Schoolbook"/>
          <w:sz w:val="27"/>
          <w:szCs w:val="27"/>
        </w:rPr>
        <w:t>, at p. 312 &amp; fn. 14.)</w:t>
      </w:r>
      <w:r>
        <w:rPr>
          <w:rFonts w:ascii="Century Schoolbook" w:hAnsi="Century Schoolbook"/>
          <w:b/>
          <w:bCs/>
          <w:position w:val="4"/>
          <w:sz w:val="27"/>
          <w:szCs w:val="27"/>
          <w:vertAlign w:val="superscript"/>
        </w:rPr>
        <w:footnoteReference w:id="6"/>
      </w:r>
    </w:p>
    <w:p w14:paraId="3705A82B"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Justice Grover dissented.  (</w:t>
      </w:r>
      <w:r w:rsidRPr="00CC0E38">
        <w:rPr>
          <w:rFonts w:ascii="Century Schoolbook" w:hAnsi="Century Schoolbook"/>
          <w:i/>
          <w:iCs/>
          <w:sz w:val="27"/>
          <w:szCs w:val="27"/>
        </w:rPr>
        <w:t>Martinez</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xml:space="preserve">, 59 Cal.App.5th at p. 314 (dis. opn. of Grover, J.).)  In contrast to the majority, which focused on the state’s interest in deterring unlawful solicitation of arrestees, Justice Grover instead focused on the state’s “substantial interest[s]” in “prevent[ing] unfair competition among licensed bail agents” and in </w:t>
      </w:r>
      <w:r w:rsidRPr="00CC0E38">
        <w:rPr>
          <w:rFonts w:ascii="Century Schoolbook" w:hAnsi="Century Schoolbook"/>
          <w:sz w:val="27"/>
          <w:szCs w:val="27"/>
        </w:rPr>
        <w:lastRenderedPageBreak/>
        <w:t>“maintaining professional and ethical standards.”  (</w:t>
      </w:r>
      <w:r w:rsidRPr="00CC0E38">
        <w:rPr>
          <w:rFonts w:ascii="Century Schoolbook" w:hAnsi="Century Schoolbook"/>
          <w:i/>
          <w:iCs/>
          <w:sz w:val="27"/>
          <w:szCs w:val="27"/>
        </w:rPr>
        <w:t>Id.</w:t>
      </w:r>
      <w:r w:rsidRPr="00CC0E38">
        <w:rPr>
          <w:rFonts w:ascii="Century Schoolbook" w:hAnsi="Century Schoolbook"/>
          <w:sz w:val="27"/>
          <w:szCs w:val="27"/>
        </w:rPr>
        <w:t xml:space="preserve"> at p. 315 (dis. opn. of Grover, J.).)  In Justice Grover’s view, section 2076 directly advances those interests by “restricting bail licensees’ access to . . . insider information” permitting “the wholesale identification of people with imminent bail needs.”  (</w:t>
      </w:r>
      <w:r w:rsidR="008115E0" w:rsidRPr="008115E0">
        <w:rPr>
          <w:rFonts w:ascii="Century Schoolbook" w:hAnsi="Century Schoolbook"/>
          <w:i/>
          <w:iCs/>
          <w:sz w:val="27"/>
          <w:szCs w:val="27"/>
        </w:rPr>
        <w:t>Martinez</w:t>
      </w:r>
      <w:r w:rsidR="008115E0">
        <w:rPr>
          <w:rFonts w:ascii="Century Schoolbook" w:hAnsi="Century Schoolbook"/>
          <w:sz w:val="27"/>
          <w:szCs w:val="27"/>
        </w:rPr>
        <w:t>, at p. 315 (dis. opn. of Grover, J.)</w:t>
      </w:r>
      <w:r w:rsidRPr="00CC0E38">
        <w:rPr>
          <w:rFonts w:ascii="Century Schoolbook" w:hAnsi="Century Schoolbook"/>
          <w:i/>
          <w:iCs/>
          <w:sz w:val="27"/>
          <w:szCs w:val="27"/>
        </w:rPr>
        <w:t>.</w:t>
      </w:r>
      <w:r w:rsidRPr="00CC0E38">
        <w:rPr>
          <w:rFonts w:ascii="Century Schoolbook" w:hAnsi="Century Schoolbook"/>
          <w:sz w:val="27"/>
          <w:szCs w:val="27"/>
        </w:rPr>
        <w:t>)  Justice Grover reasoned, “By restricting bail licensees’ access to that insider information, the regulation directly prevents unfair competition among licensed bail agents.  Restricting licensees’ access to wholesale identifying information also directly advances the state’s interest in protecting arrestees from intrusive conduct.  Further, the regulation is not unduly restrictive in light of the state’s interests, as it does not prohibit agreements to obtain public records regarding persons already known to and identified by a bail agent.”  (</w:t>
      </w:r>
      <w:r w:rsidR="008115E0" w:rsidRPr="008115E0">
        <w:rPr>
          <w:rFonts w:ascii="Century Schoolbook" w:hAnsi="Century Schoolbook"/>
          <w:i/>
          <w:iCs/>
          <w:sz w:val="27"/>
          <w:szCs w:val="27"/>
        </w:rPr>
        <w:t>Ibid.</w:t>
      </w:r>
      <w:r w:rsidRPr="00CC0E38">
        <w:rPr>
          <w:rFonts w:ascii="Century Schoolbook" w:hAnsi="Century Schoolbook"/>
          <w:sz w:val="27"/>
          <w:szCs w:val="27"/>
        </w:rPr>
        <w:t>)  “Seeing no constitutional impediment to enforcing California Code of Regulations, title 10, section 2076,” Justice Grover would have affirmed.</w:t>
      </w:r>
      <w:r>
        <w:rPr>
          <w:rFonts w:ascii="Century Schoolbook" w:hAnsi="Century Schoolbook"/>
          <w:b/>
          <w:bCs/>
          <w:position w:val="4"/>
          <w:sz w:val="27"/>
          <w:szCs w:val="27"/>
          <w:vertAlign w:val="superscript"/>
        </w:rPr>
        <w:footnoteReference w:id="7"/>
      </w:r>
      <w:r w:rsidRPr="00CC0E38">
        <w:rPr>
          <w:rFonts w:ascii="Century Schoolbook" w:hAnsi="Century Schoolbook"/>
          <w:sz w:val="27"/>
          <w:szCs w:val="27"/>
        </w:rPr>
        <w:t xml:space="preserve">  (</w:t>
      </w:r>
      <w:r w:rsidR="008115E0">
        <w:rPr>
          <w:rFonts w:ascii="Century Schoolbook" w:hAnsi="Century Schoolbook"/>
          <w:i/>
          <w:iCs/>
          <w:sz w:val="27"/>
          <w:szCs w:val="27"/>
        </w:rPr>
        <w:t>Martinez</w:t>
      </w:r>
      <w:r w:rsidR="008115E0" w:rsidRPr="008115E0">
        <w:rPr>
          <w:rFonts w:ascii="Century Schoolbook" w:hAnsi="Century Schoolbook"/>
          <w:sz w:val="27"/>
          <w:szCs w:val="27"/>
        </w:rPr>
        <w:t>,</w:t>
      </w:r>
      <w:r w:rsidR="008115E0">
        <w:rPr>
          <w:rFonts w:ascii="Century Schoolbook" w:hAnsi="Century Schoolbook"/>
          <w:i/>
          <w:iCs/>
          <w:sz w:val="27"/>
          <w:szCs w:val="27"/>
        </w:rPr>
        <w:t xml:space="preserve"> </w:t>
      </w:r>
      <w:r w:rsidRPr="00CC0E38">
        <w:rPr>
          <w:rFonts w:ascii="Century Schoolbook" w:hAnsi="Century Schoolbook"/>
          <w:sz w:val="27"/>
          <w:szCs w:val="27"/>
        </w:rPr>
        <w:t>at p. 316 (dis. opn. of Grover, J.).)</w:t>
      </w:r>
    </w:p>
    <w:p w14:paraId="3705A82C" w14:textId="77777777" w:rsidR="00782FB7" w:rsidRPr="00426AED" w:rsidRDefault="00000000" w:rsidP="00CC0E38">
      <w:pPr>
        <w:spacing w:after="100" w:line="400" w:lineRule="exact"/>
        <w:ind w:firstLine="720"/>
        <w:jc w:val="both"/>
        <w:rPr>
          <w:rFonts w:ascii="Century Schoolbook" w:hAnsi="Century Schoolbook"/>
          <w:sz w:val="27"/>
          <w:vertAlign w:val="superscript"/>
        </w:rPr>
      </w:pPr>
      <w:r w:rsidRPr="00CC0E38">
        <w:rPr>
          <w:rFonts w:ascii="Century Schoolbook" w:hAnsi="Century Schoolbook"/>
          <w:sz w:val="27"/>
          <w:szCs w:val="27"/>
        </w:rPr>
        <w:t>We granted review to consider the issue.</w:t>
      </w:r>
      <w:r w:rsidR="00DA5ACF" w:rsidRPr="00CC0E38">
        <w:rPr>
          <w:rFonts w:ascii="Century Schoolbook" w:hAnsi="Century Schoolbook"/>
          <w:sz w:val="27"/>
          <w:szCs w:val="27"/>
          <w:vertAlign w:val="superscript"/>
        </w:rPr>
        <w:t xml:space="preserve"> </w:t>
      </w:r>
      <w:bookmarkStart w:id="7" w:name="_Hlk114150538"/>
    </w:p>
    <w:p w14:paraId="3705A82D" w14:textId="77777777" w:rsidR="00CC0E38" w:rsidRPr="00CC0E38" w:rsidRDefault="00000000" w:rsidP="0076799A">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t>II.</w:t>
      </w:r>
    </w:p>
    <w:p w14:paraId="3705A82E" w14:textId="77777777" w:rsidR="00CC0E38" w:rsidRPr="00CC0E38" w:rsidRDefault="00000000" w:rsidP="0076799A">
      <w:pPr>
        <w:spacing w:after="100" w:line="400" w:lineRule="exact"/>
        <w:jc w:val="center"/>
        <w:rPr>
          <w:rFonts w:ascii="Century Schoolbook" w:hAnsi="Century Schoolbook"/>
          <w:sz w:val="27"/>
          <w:szCs w:val="27"/>
        </w:rPr>
      </w:pPr>
      <w:r w:rsidRPr="00CC0E38">
        <w:rPr>
          <w:rFonts w:ascii="Century Schoolbook" w:hAnsi="Century Schoolbook"/>
          <w:b/>
          <w:bCs/>
          <w:sz w:val="27"/>
          <w:szCs w:val="27"/>
        </w:rPr>
        <w:t>A.</w:t>
      </w:r>
    </w:p>
    <w:p w14:paraId="3705A82F"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Our first task is to define the scope of our review.  By its terms, section 2076 prohibits notification arrangements involving a variety of different classes of informants with access to information about recent arrests, including law enforcement officers, newspaper employees, and others.  The charges in Martinez’s case, however, stem from just one type of arrangement, involving an informant who is a “person </w:t>
      </w:r>
      <w:r w:rsidRPr="00CC0E38">
        <w:rPr>
          <w:rFonts w:ascii="Century Schoolbook" w:hAnsi="Century Schoolbook"/>
          <w:sz w:val="27"/>
          <w:szCs w:val="27"/>
        </w:rPr>
        <w:lastRenderedPageBreak/>
        <w:t xml:space="preserve">incarcerated in a jail.”  (§ 2076.)  Martinez’s argument does not focus specifically on such arrangements; her argument is that section 2076 is unconstitutional in all, or nearly all, its applications.  But the Attorney General asks us to focus more particularly on notification arrangements with incarcerated persons, which, in his view, call for a different analysis than notification arrangements with, for example, police officers or newspaper reporters.  The Attorney General accordingly urges us to treat Martinez’s challenge as a “partial facial challenge[], or class or category-based as-applied challenge[].” </w:t>
      </w:r>
      <w:r w:rsidR="00751291">
        <w:rPr>
          <w:rFonts w:ascii="Century Schoolbook" w:hAnsi="Century Schoolbook"/>
          <w:sz w:val="27"/>
          <w:szCs w:val="27"/>
        </w:rPr>
        <w:t xml:space="preserve"> </w:t>
      </w:r>
      <w:r w:rsidRPr="00CC0E38">
        <w:rPr>
          <w:rFonts w:ascii="Century Schoolbook" w:hAnsi="Century Schoolbook"/>
          <w:sz w:val="27"/>
          <w:szCs w:val="27"/>
        </w:rPr>
        <w:t xml:space="preserve">(See </w:t>
      </w:r>
      <w:r w:rsidRPr="00CC0E38">
        <w:rPr>
          <w:rFonts w:ascii="Century Schoolbook" w:hAnsi="Century Schoolbook"/>
          <w:i/>
          <w:iCs/>
          <w:sz w:val="27"/>
          <w:szCs w:val="27"/>
        </w:rPr>
        <w:t>Mathews v. Becerra</w:t>
      </w:r>
      <w:r w:rsidRPr="00CC0E38">
        <w:rPr>
          <w:rFonts w:ascii="Century Schoolbook" w:hAnsi="Century Schoolbook"/>
          <w:sz w:val="27"/>
          <w:szCs w:val="27"/>
        </w:rPr>
        <w:t xml:space="preserve"> (2019) 8 Cal.5th 756, 768 [employing a similar category-based facial analysis].)  </w:t>
      </w:r>
    </w:p>
    <w:p w14:paraId="3705A830"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For present purposes, it does not matter whether we </w:t>
      </w:r>
      <w:r w:rsidR="00A3383E">
        <w:rPr>
          <w:rFonts w:ascii="Century Schoolbook" w:hAnsi="Century Schoolbook"/>
          <w:sz w:val="27"/>
          <w:szCs w:val="27"/>
        </w:rPr>
        <w:t xml:space="preserve">characterize </w:t>
      </w:r>
      <w:r w:rsidRPr="00CC0E38">
        <w:rPr>
          <w:rFonts w:ascii="Century Schoolbook" w:hAnsi="Century Schoolbook"/>
          <w:sz w:val="27"/>
          <w:szCs w:val="27"/>
        </w:rPr>
        <w:t xml:space="preserve">Martinez’s challenge as a “partial” facial challenge or a “full” one.  </w:t>
      </w:r>
      <w:r w:rsidR="00A3383E">
        <w:rPr>
          <w:rFonts w:ascii="Century Schoolbook" w:hAnsi="Century Schoolbook"/>
          <w:sz w:val="27"/>
          <w:szCs w:val="27"/>
        </w:rPr>
        <w:t>Either way</w:t>
      </w:r>
      <w:r w:rsidR="00994645">
        <w:rPr>
          <w:rFonts w:ascii="Century Schoolbook" w:hAnsi="Century Schoolbook"/>
          <w:sz w:val="27"/>
          <w:szCs w:val="27"/>
        </w:rPr>
        <w:t>, the fact remains that</w:t>
      </w:r>
      <w:r w:rsidRPr="00CC0E38">
        <w:rPr>
          <w:rFonts w:ascii="Century Schoolbook" w:hAnsi="Century Schoolbook"/>
          <w:sz w:val="27"/>
          <w:szCs w:val="27"/>
        </w:rPr>
        <w:t xml:space="preserve"> Martinez seeks relief that extends “beyond [her] particular circumstances</w:t>
      </w:r>
      <w:r w:rsidR="0089743C">
        <w:rPr>
          <w:rFonts w:ascii="Century Schoolbook" w:hAnsi="Century Schoolbook"/>
          <w:sz w:val="27"/>
          <w:szCs w:val="27"/>
        </w:rPr>
        <w:t>,</w:t>
      </w:r>
      <w:r w:rsidRPr="00CC0E38">
        <w:rPr>
          <w:rFonts w:ascii="Century Schoolbook" w:hAnsi="Century Schoolbook"/>
          <w:sz w:val="27"/>
          <w:szCs w:val="27"/>
        </w:rPr>
        <w:t xml:space="preserve">” and </w:t>
      </w:r>
      <w:r w:rsidR="00F771B5">
        <w:rPr>
          <w:rFonts w:ascii="Century Schoolbook" w:hAnsi="Century Schoolbook"/>
          <w:sz w:val="27"/>
          <w:szCs w:val="27"/>
        </w:rPr>
        <w:t xml:space="preserve">she </w:t>
      </w:r>
      <w:r w:rsidRPr="00CC0E38">
        <w:rPr>
          <w:rFonts w:ascii="Century Schoolbook" w:hAnsi="Century Schoolbook"/>
          <w:sz w:val="27"/>
          <w:szCs w:val="27"/>
        </w:rPr>
        <w:t>therefore must “satisfy our standards for a facial challenge to the extent of that reach.”  (</w:t>
      </w:r>
      <w:r w:rsidRPr="00CC0E38">
        <w:rPr>
          <w:rFonts w:ascii="Century Schoolbook" w:hAnsi="Century Schoolbook"/>
          <w:i/>
          <w:iCs/>
          <w:sz w:val="27"/>
          <w:szCs w:val="27"/>
        </w:rPr>
        <w:t xml:space="preserve">Doe v. Reed </w:t>
      </w:r>
      <w:r w:rsidRPr="00CC0E38">
        <w:rPr>
          <w:rFonts w:ascii="Century Schoolbook" w:hAnsi="Century Schoolbook"/>
          <w:sz w:val="27"/>
          <w:szCs w:val="27"/>
        </w:rPr>
        <w:t xml:space="preserve">(2010) 561 U.S. 186, 194.)  To prevail on a facial challenge, litigants must show that the challenged rule creates constitutional problems in “at least ‘ “the generality” ’ [citation] or ‘vast majority’ ” of cases. </w:t>
      </w:r>
      <w:r w:rsidR="000C196B">
        <w:rPr>
          <w:rFonts w:ascii="Century Schoolbook" w:hAnsi="Century Schoolbook"/>
          <w:sz w:val="27"/>
          <w:szCs w:val="27"/>
        </w:rPr>
        <w:t xml:space="preserve"> </w:t>
      </w:r>
      <w:r w:rsidRPr="00CC0E38">
        <w:rPr>
          <w:rFonts w:ascii="Century Schoolbook" w:hAnsi="Century Schoolbook"/>
          <w:sz w:val="27"/>
          <w:szCs w:val="27"/>
        </w:rPr>
        <w:t>(</w:t>
      </w:r>
      <w:r w:rsidRPr="00CC0E38">
        <w:rPr>
          <w:rFonts w:ascii="Century Schoolbook" w:hAnsi="Century Schoolbook"/>
          <w:i/>
          <w:iCs/>
          <w:sz w:val="27"/>
          <w:szCs w:val="27"/>
        </w:rPr>
        <w:t>Today’s Fresh Start, Inc. v. Los Angeles County Office of Education</w:t>
      </w:r>
      <w:r w:rsidRPr="00CC0E38">
        <w:rPr>
          <w:rFonts w:ascii="Century Schoolbook" w:hAnsi="Century Schoolbook"/>
          <w:sz w:val="27"/>
          <w:szCs w:val="27"/>
        </w:rPr>
        <w:t xml:space="preserve"> (2013) 57 Cal.4th 197, 218; cf. </w:t>
      </w:r>
      <w:r w:rsidRPr="00CC0E38">
        <w:rPr>
          <w:rFonts w:ascii="Century Schoolbook" w:hAnsi="Century Schoolbook"/>
          <w:i/>
          <w:iCs/>
          <w:sz w:val="27"/>
          <w:szCs w:val="27"/>
        </w:rPr>
        <w:t>Reno v. Flores</w:t>
      </w:r>
      <w:r w:rsidRPr="00CC0E38">
        <w:rPr>
          <w:rFonts w:ascii="Century Schoolbook" w:hAnsi="Century Schoolbook"/>
          <w:sz w:val="27"/>
          <w:szCs w:val="27"/>
        </w:rPr>
        <w:t xml:space="preserve"> (1993) 507 U.S. 292, 301 [noting that a facial challenge to a regulation is subject to the same standards as a facial challenge to a statute].)  Here, Martinez advances no theory on which she could establish the invalidity of section 2076 in the generality or vast majority of cases without also establishing the invalidity of section 2076 as applied to the class of arrangements involving incarcerated </w:t>
      </w:r>
      <w:r w:rsidRPr="00CC0E38">
        <w:rPr>
          <w:rFonts w:ascii="Century Schoolbook" w:hAnsi="Century Schoolbook"/>
          <w:sz w:val="27"/>
          <w:szCs w:val="27"/>
        </w:rPr>
        <w:lastRenderedPageBreak/>
        <w:t>persons.</w:t>
      </w:r>
      <w:r>
        <w:rPr>
          <w:rFonts w:ascii="Century Schoolbook" w:hAnsi="Century Schoolbook"/>
          <w:b/>
          <w:bCs/>
          <w:position w:val="4"/>
          <w:sz w:val="27"/>
          <w:szCs w:val="27"/>
          <w:vertAlign w:val="superscript"/>
        </w:rPr>
        <w:footnoteReference w:id="8"/>
      </w:r>
      <w:r w:rsidRPr="00CC0E38">
        <w:rPr>
          <w:rFonts w:ascii="Century Schoolbook" w:hAnsi="Century Schoolbook"/>
          <w:sz w:val="27"/>
          <w:szCs w:val="27"/>
        </w:rPr>
        <w:t xml:space="preserve">  Accordingly, regardless of whether we treat Martinez’s claim as a “partial” or “full” facial challenge, she must show that the regulation’s application to </w:t>
      </w:r>
      <w:r w:rsidR="008C64B3">
        <w:rPr>
          <w:rFonts w:ascii="Century Schoolbook" w:hAnsi="Century Schoolbook"/>
          <w:sz w:val="27"/>
          <w:szCs w:val="27"/>
        </w:rPr>
        <w:t xml:space="preserve">this </w:t>
      </w:r>
      <w:r w:rsidRPr="00CC0E38">
        <w:rPr>
          <w:rFonts w:ascii="Century Schoolbook" w:hAnsi="Century Schoolbook"/>
          <w:sz w:val="27"/>
          <w:szCs w:val="27"/>
        </w:rPr>
        <w:t xml:space="preserve">class of arrangements is unconstitutional.  </w:t>
      </w:r>
      <w:r w:rsidR="00FF28CB">
        <w:rPr>
          <w:rFonts w:ascii="Century Schoolbook" w:hAnsi="Century Schoolbook"/>
          <w:sz w:val="27"/>
          <w:szCs w:val="27"/>
        </w:rPr>
        <w:t>W</w:t>
      </w:r>
      <w:r w:rsidRPr="00CC0E38">
        <w:rPr>
          <w:rFonts w:ascii="Century Schoolbook" w:hAnsi="Century Schoolbook"/>
          <w:sz w:val="27"/>
          <w:szCs w:val="27"/>
        </w:rPr>
        <w:t xml:space="preserve">e </w:t>
      </w:r>
      <w:r w:rsidR="00FF28CB">
        <w:rPr>
          <w:rFonts w:ascii="Century Schoolbook" w:hAnsi="Century Schoolbook"/>
          <w:sz w:val="27"/>
          <w:szCs w:val="27"/>
        </w:rPr>
        <w:t xml:space="preserve">therefore </w:t>
      </w:r>
      <w:r w:rsidRPr="00CC0E38">
        <w:rPr>
          <w:rFonts w:ascii="Century Schoolbook" w:hAnsi="Century Schoolbook"/>
          <w:sz w:val="27"/>
          <w:szCs w:val="27"/>
        </w:rPr>
        <w:t xml:space="preserve">begin by analyzing whether section 2076 is valid as applied to the class of bail bond agents who, like Martinez, have entered prohibited notification arrangements with incarcerated persons; if it is, Martinez’s challenge to the regulation as a whole cannot prevail. </w:t>
      </w:r>
    </w:p>
    <w:bookmarkEnd w:id="7"/>
    <w:p w14:paraId="3705A831" w14:textId="77777777" w:rsidR="00CC0E38" w:rsidRPr="00CC0E38" w:rsidRDefault="00000000" w:rsidP="0076799A">
      <w:pPr>
        <w:spacing w:after="100" w:line="400" w:lineRule="exact"/>
        <w:jc w:val="center"/>
        <w:rPr>
          <w:rFonts w:ascii="Century Schoolbook" w:hAnsi="Century Schoolbook"/>
          <w:sz w:val="27"/>
          <w:szCs w:val="27"/>
        </w:rPr>
      </w:pPr>
      <w:r w:rsidRPr="00CC0E38">
        <w:rPr>
          <w:rFonts w:ascii="Century Schoolbook" w:hAnsi="Century Schoolbook"/>
          <w:b/>
          <w:bCs/>
          <w:sz w:val="27"/>
          <w:szCs w:val="27"/>
        </w:rPr>
        <w:t>B.</w:t>
      </w:r>
    </w:p>
    <w:p w14:paraId="3705A832" w14:textId="77777777" w:rsidR="00EE555E"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Our next task is to define the nature of our review.  Martinez brings a challenge under the First Amendment, which protects rights of expression, including the right to share information.  (</w:t>
      </w:r>
      <w:r w:rsidRPr="00CC0E38">
        <w:rPr>
          <w:rFonts w:ascii="Century Schoolbook" w:hAnsi="Century Schoolbook"/>
          <w:i/>
          <w:iCs/>
          <w:sz w:val="27"/>
          <w:szCs w:val="27"/>
        </w:rPr>
        <w:t>Kleindienst v. Mandel</w:t>
      </w:r>
      <w:r w:rsidRPr="00CC0E38">
        <w:rPr>
          <w:rFonts w:ascii="Century Schoolbook" w:hAnsi="Century Schoolbook"/>
          <w:sz w:val="27"/>
          <w:szCs w:val="27"/>
        </w:rPr>
        <w:t xml:space="preserve"> (1972) 408 U.S. 753, 762 [the First Amendment protects “ ‘the right to receive information and ideas’ ”]; </w:t>
      </w:r>
      <w:r w:rsidRPr="00CC0E38">
        <w:rPr>
          <w:rFonts w:ascii="Century Schoolbook" w:hAnsi="Century Schoolbook"/>
          <w:i/>
          <w:iCs/>
          <w:sz w:val="27"/>
          <w:szCs w:val="27"/>
        </w:rPr>
        <w:t xml:space="preserve">Sorrell v. IMS Health Inc. </w:t>
      </w:r>
      <w:r w:rsidRPr="00CC0E38">
        <w:rPr>
          <w:rFonts w:ascii="Century Schoolbook" w:hAnsi="Century Schoolbook"/>
          <w:sz w:val="27"/>
          <w:szCs w:val="27"/>
        </w:rPr>
        <w:t xml:space="preserve">(2011) 564 U.S. 552, 570 </w:t>
      </w:r>
      <w:r w:rsidR="008115E0">
        <w:rPr>
          <w:rFonts w:ascii="Century Schoolbook" w:hAnsi="Century Schoolbook"/>
          <w:sz w:val="27"/>
          <w:szCs w:val="27"/>
        </w:rPr>
        <w:t>(</w:t>
      </w:r>
      <w:r w:rsidR="008115E0" w:rsidRPr="008115E0">
        <w:rPr>
          <w:rFonts w:ascii="Century Schoolbook" w:hAnsi="Century Schoolbook"/>
          <w:i/>
          <w:iCs/>
          <w:sz w:val="27"/>
          <w:szCs w:val="27"/>
        </w:rPr>
        <w:t>Sorrell</w:t>
      </w:r>
      <w:r w:rsidR="008115E0">
        <w:rPr>
          <w:rFonts w:ascii="Century Schoolbook" w:hAnsi="Century Schoolbook"/>
          <w:sz w:val="27"/>
          <w:szCs w:val="27"/>
        </w:rPr>
        <w:t xml:space="preserve">) </w:t>
      </w:r>
      <w:r w:rsidRPr="00CC0E38">
        <w:rPr>
          <w:rFonts w:ascii="Century Schoolbook" w:hAnsi="Century Schoolbook"/>
          <w:sz w:val="27"/>
          <w:szCs w:val="27"/>
        </w:rPr>
        <w:t>[“</w:t>
      </w:r>
      <w:r w:rsidR="00D4285C">
        <w:rPr>
          <w:rFonts w:ascii="Century Schoolbook" w:hAnsi="Century Schoolbook"/>
          <w:sz w:val="27"/>
          <w:szCs w:val="27"/>
        </w:rPr>
        <w:t>t</w:t>
      </w:r>
      <w:r w:rsidRPr="00CC0E38">
        <w:rPr>
          <w:rFonts w:ascii="Century Schoolbook" w:hAnsi="Century Schoolbook"/>
          <w:sz w:val="27"/>
          <w:szCs w:val="27"/>
        </w:rPr>
        <w:t xml:space="preserve">he creation and dissemination of information are speech within the meaning of the First Amendment”].)  </w:t>
      </w:r>
    </w:p>
    <w:p w14:paraId="3705A833" w14:textId="77777777" w:rsidR="006D440A"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Martinez contends section 2076 infringes this right by prohibiting bail licensees from receiving information about arrestees.  </w:t>
      </w:r>
      <w:r w:rsidR="00AB095A">
        <w:rPr>
          <w:rFonts w:ascii="Century Schoolbook" w:hAnsi="Century Schoolbook"/>
          <w:sz w:val="27"/>
          <w:szCs w:val="27"/>
        </w:rPr>
        <w:t xml:space="preserve">Martinez’s </w:t>
      </w:r>
      <w:r w:rsidRPr="00CC0E38">
        <w:rPr>
          <w:rFonts w:ascii="Century Schoolbook" w:hAnsi="Century Schoolbook"/>
          <w:sz w:val="27"/>
          <w:szCs w:val="27"/>
        </w:rPr>
        <w:t xml:space="preserve">characterization of section 2076 is not quite accurate; the regulation does not, as </w:t>
      </w:r>
      <w:r w:rsidR="00AB095A">
        <w:rPr>
          <w:rFonts w:ascii="Century Schoolbook" w:hAnsi="Century Schoolbook"/>
          <w:sz w:val="27"/>
          <w:szCs w:val="27"/>
        </w:rPr>
        <w:t xml:space="preserve">she </w:t>
      </w:r>
      <w:r w:rsidRPr="00CC0E38">
        <w:rPr>
          <w:rFonts w:ascii="Century Schoolbook" w:hAnsi="Century Schoolbook"/>
          <w:sz w:val="27"/>
          <w:szCs w:val="27"/>
        </w:rPr>
        <w:t xml:space="preserve">would have it, </w:t>
      </w:r>
      <w:r w:rsidRPr="00CC0E38">
        <w:rPr>
          <w:rFonts w:ascii="Century Schoolbook" w:hAnsi="Century Schoolbook"/>
          <w:sz w:val="27"/>
          <w:szCs w:val="27"/>
        </w:rPr>
        <w:lastRenderedPageBreak/>
        <w:t>directly forbid any particular exchange of information.  Section 2076 instead forbids “arrangement[s]” (or “understanding[s]”) between bail licensees and jail inmates (among others) to inform or notify the licensee</w:t>
      </w:r>
      <w:r w:rsidR="00FF28CB">
        <w:rPr>
          <w:rFonts w:ascii="Century Schoolbook" w:hAnsi="Century Schoolbook"/>
          <w:sz w:val="27"/>
          <w:szCs w:val="27"/>
        </w:rPr>
        <w:t>s</w:t>
      </w:r>
      <w:r w:rsidRPr="00CC0E38">
        <w:rPr>
          <w:rFonts w:ascii="Century Schoolbook" w:hAnsi="Century Schoolbook"/>
          <w:sz w:val="27"/>
          <w:szCs w:val="27"/>
        </w:rPr>
        <w:t xml:space="preserve"> about arrests, while expressly exempting information </w:t>
      </w:r>
      <w:r w:rsidR="008C64B3" w:rsidRPr="00CC0E38">
        <w:rPr>
          <w:rFonts w:ascii="Century Schoolbook" w:hAnsi="Century Schoolbook"/>
          <w:sz w:val="27"/>
          <w:szCs w:val="27"/>
        </w:rPr>
        <w:t xml:space="preserve">about particular arrestees </w:t>
      </w:r>
      <w:r w:rsidR="008C64B3">
        <w:rPr>
          <w:rFonts w:ascii="Century Schoolbook" w:hAnsi="Century Schoolbook"/>
          <w:sz w:val="27"/>
          <w:szCs w:val="27"/>
        </w:rPr>
        <w:t xml:space="preserve">that is sought </w:t>
      </w:r>
      <w:r w:rsidRPr="00CC0E38">
        <w:rPr>
          <w:rFonts w:ascii="Century Schoolbook" w:hAnsi="Century Schoolbook"/>
          <w:sz w:val="27"/>
          <w:szCs w:val="27"/>
        </w:rPr>
        <w:t>or disclosed via public records requests.  (§ 2076.)  In other words, as the Court of Appeal correctly explained, the regulation forbids both formally binding contracts and less formal agreements to share arrest information.  (</w:t>
      </w:r>
      <w:r w:rsidRPr="00CC0E38">
        <w:rPr>
          <w:rFonts w:ascii="Century Schoolbook" w:hAnsi="Century Schoolbook"/>
          <w:i/>
          <w:iCs/>
          <w:sz w:val="27"/>
          <w:szCs w:val="27"/>
        </w:rPr>
        <w:t>Martinez</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59 Cal.App.5th at pp. 298–299.)  The regulation does not prohibit a bail licensee from seeking or receiving such information, “provided the information is not being conveyed pursuant to a prohibited arrangement or understanding” with an incarcerated person or other prohibited informant.  (</w:t>
      </w:r>
      <w:r w:rsidRPr="00CC0E38">
        <w:rPr>
          <w:rFonts w:ascii="Century Schoolbook" w:hAnsi="Century Schoolbook"/>
          <w:i/>
          <w:iCs/>
          <w:sz w:val="27"/>
          <w:szCs w:val="27"/>
        </w:rPr>
        <w:t>Id.</w:t>
      </w:r>
      <w:r w:rsidRPr="00CC0E38">
        <w:rPr>
          <w:rFonts w:ascii="Century Schoolbook" w:hAnsi="Century Schoolbook"/>
          <w:sz w:val="27"/>
          <w:szCs w:val="27"/>
        </w:rPr>
        <w:t xml:space="preserve"> at p. 306.)</w:t>
      </w:r>
      <w:r>
        <w:rPr>
          <w:rFonts w:ascii="Century Schoolbook" w:hAnsi="Century Schoolbook"/>
          <w:sz w:val="27"/>
          <w:szCs w:val="27"/>
        </w:rPr>
        <w:t xml:space="preserve">  </w:t>
      </w:r>
      <w:r w:rsidRPr="00CC0E38">
        <w:rPr>
          <w:rFonts w:ascii="Century Schoolbook" w:hAnsi="Century Schoolbook"/>
          <w:sz w:val="27"/>
          <w:szCs w:val="27"/>
        </w:rPr>
        <w:t>All the same, at least for purposes of this case, the Attorney General does not dispute that the prohibition on notification arrangements “implicates the First Amendment-protected rights of commercial bail agents</w:t>
      </w:r>
      <w:r w:rsidR="00C16799">
        <w:rPr>
          <w:rFonts w:ascii="Century Schoolbook" w:hAnsi="Century Schoolbook"/>
          <w:sz w:val="27"/>
          <w:szCs w:val="27"/>
        </w:rPr>
        <w:t>,</w:t>
      </w:r>
      <w:r w:rsidRPr="00CC0E38">
        <w:rPr>
          <w:rFonts w:ascii="Century Schoolbook" w:hAnsi="Century Schoolbook"/>
          <w:sz w:val="27"/>
          <w:szCs w:val="27"/>
        </w:rPr>
        <w:t>”</w:t>
      </w:r>
      <w:r w:rsidR="00C16799">
        <w:rPr>
          <w:rFonts w:ascii="Century Schoolbook" w:hAnsi="Century Schoolbook"/>
          <w:sz w:val="27"/>
          <w:szCs w:val="27"/>
        </w:rPr>
        <w:t xml:space="preserve"> and we therefore </w:t>
      </w:r>
      <w:r w:rsidR="00707F1D">
        <w:rPr>
          <w:rFonts w:ascii="Century Schoolbook" w:hAnsi="Century Schoolbook"/>
          <w:sz w:val="27"/>
          <w:szCs w:val="27"/>
        </w:rPr>
        <w:t>assume without deciding</w:t>
      </w:r>
      <w:r w:rsidR="00C16799">
        <w:rPr>
          <w:rFonts w:ascii="Century Schoolbook" w:hAnsi="Century Schoolbook"/>
          <w:sz w:val="27"/>
          <w:szCs w:val="27"/>
        </w:rPr>
        <w:t xml:space="preserve"> that </w:t>
      </w:r>
      <w:r w:rsidR="00F112F7">
        <w:rPr>
          <w:rFonts w:ascii="Century Schoolbook" w:hAnsi="Century Schoolbook"/>
          <w:sz w:val="27"/>
          <w:szCs w:val="27"/>
        </w:rPr>
        <w:t xml:space="preserve">the </w:t>
      </w:r>
      <w:r w:rsidR="0068716D">
        <w:rPr>
          <w:rFonts w:ascii="Century Schoolbook" w:hAnsi="Century Schoolbook"/>
          <w:sz w:val="27"/>
          <w:szCs w:val="27"/>
        </w:rPr>
        <w:t>regulation</w:t>
      </w:r>
      <w:r w:rsidR="00C16799">
        <w:rPr>
          <w:rFonts w:ascii="Century Schoolbook" w:hAnsi="Century Schoolbook"/>
          <w:sz w:val="27"/>
          <w:szCs w:val="27"/>
        </w:rPr>
        <w:t xml:space="preserve"> </w:t>
      </w:r>
      <w:r w:rsidR="00AB095A">
        <w:rPr>
          <w:rFonts w:ascii="Century Schoolbook" w:hAnsi="Century Schoolbook"/>
          <w:sz w:val="27"/>
          <w:szCs w:val="27"/>
        </w:rPr>
        <w:t>warrants scrutiny</w:t>
      </w:r>
      <w:r w:rsidR="0068716D">
        <w:rPr>
          <w:rFonts w:ascii="Century Schoolbook" w:hAnsi="Century Schoolbook"/>
          <w:sz w:val="27"/>
          <w:szCs w:val="27"/>
        </w:rPr>
        <w:t xml:space="preserve"> under the First Amendment</w:t>
      </w:r>
      <w:r w:rsidR="00C16799">
        <w:rPr>
          <w:rFonts w:ascii="Century Schoolbook" w:hAnsi="Century Schoolbook"/>
          <w:sz w:val="27"/>
          <w:szCs w:val="27"/>
        </w:rPr>
        <w:t>.</w:t>
      </w:r>
      <w:r>
        <w:rPr>
          <w:rStyle w:val="FootnoteReference"/>
          <w:rFonts w:ascii="Century Schoolbook" w:hAnsi="Century Schoolbook"/>
          <w:b/>
          <w:bCs/>
          <w:position w:val="6"/>
          <w:sz w:val="27"/>
          <w:szCs w:val="27"/>
        </w:rPr>
        <w:footnoteReference w:id="9"/>
      </w:r>
      <w:r w:rsidRPr="00CC0E38">
        <w:rPr>
          <w:rFonts w:ascii="Century Schoolbook" w:hAnsi="Century Schoolbook"/>
          <w:sz w:val="27"/>
          <w:szCs w:val="27"/>
        </w:rPr>
        <w:t xml:space="preserve">  </w:t>
      </w:r>
    </w:p>
    <w:p w14:paraId="3705A834" w14:textId="77777777" w:rsidR="00CC0E38" w:rsidRPr="00CC0E38" w:rsidRDefault="00000000" w:rsidP="00CC0E38">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The next question concerns </w:t>
      </w:r>
      <w:r w:rsidRPr="00CC0E38">
        <w:rPr>
          <w:rFonts w:ascii="Century Schoolbook" w:hAnsi="Century Schoolbook"/>
          <w:sz w:val="27"/>
          <w:szCs w:val="27"/>
        </w:rPr>
        <w:t xml:space="preserve">the standard of scrutiny we should apply in evaluating the constitutionality of the regulation.  </w:t>
      </w:r>
      <w:r>
        <w:rPr>
          <w:rFonts w:ascii="Century Schoolbook" w:hAnsi="Century Schoolbook"/>
          <w:sz w:val="27"/>
          <w:szCs w:val="27"/>
        </w:rPr>
        <w:t>On this subject</w:t>
      </w:r>
      <w:r w:rsidR="006D440A">
        <w:rPr>
          <w:rFonts w:ascii="Century Schoolbook" w:hAnsi="Century Schoolbook"/>
          <w:sz w:val="27"/>
          <w:szCs w:val="27"/>
        </w:rPr>
        <w:t>,</w:t>
      </w:r>
      <w:r>
        <w:rPr>
          <w:rFonts w:ascii="Century Schoolbook" w:hAnsi="Century Schoolbook"/>
          <w:sz w:val="27"/>
          <w:szCs w:val="27"/>
        </w:rPr>
        <w:t xml:space="preserve"> Martinez and the Attorney General disagree sharply.  </w:t>
      </w:r>
      <w:r w:rsidRPr="00CC0E38">
        <w:rPr>
          <w:rFonts w:ascii="Century Schoolbook" w:hAnsi="Century Schoolbook"/>
          <w:sz w:val="27"/>
          <w:szCs w:val="27"/>
        </w:rPr>
        <w:t xml:space="preserve">While Martinez argues that section 2076 should be subject to strict scrutiny — the most exacting form of </w:t>
      </w:r>
      <w:r w:rsidR="00577076">
        <w:rPr>
          <w:rFonts w:ascii="Century Schoolbook" w:hAnsi="Century Schoolbook"/>
          <w:sz w:val="27"/>
          <w:szCs w:val="27"/>
        </w:rPr>
        <w:lastRenderedPageBreak/>
        <w:t xml:space="preserve">constitutional </w:t>
      </w:r>
      <w:r w:rsidRPr="00CC0E38">
        <w:rPr>
          <w:rFonts w:ascii="Century Schoolbook" w:hAnsi="Century Schoolbook"/>
          <w:sz w:val="27"/>
          <w:szCs w:val="27"/>
        </w:rPr>
        <w:t xml:space="preserve">review — the Attorney General argues for a far less demanding standard appropriate to a regulation that applies to (1) commercial activity (2) in a jail setting.  Collectively, the parties invoke essentially every possible standard of </w:t>
      </w:r>
      <w:r>
        <w:rPr>
          <w:rFonts w:ascii="Century Schoolbook" w:hAnsi="Century Schoolbook"/>
          <w:sz w:val="27"/>
          <w:szCs w:val="27"/>
        </w:rPr>
        <w:t xml:space="preserve">First Amendment </w:t>
      </w:r>
      <w:r w:rsidRPr="00CC0E38">
        <w:rPr>
          <w:rFonts w:ascii="Century Schoolbook" w:hAnsi="Century Schoolbook"/>
          <w:sz w:val="27"/>
          <w:szCs w:val="27"/>
        </w:rPr>
        <w:t xml:space="preserve">review, ranging from the most demanding possible standard to the least.  We address the two extremes before we turn to the intermediate standard the Court of Appeal applied in the decision </w:t>
      </w:r>
      <w:r>
        <w:rPr>
          <w:rFonts w:ascii="Century Schoolbook" w:hAnsi="Century Schoolbook"/>
          <w:sz w:val="27"/>
          <w:szCs w:val="27"/>
        </w:rPr>
        <w:t>below</w:t>
      </w:r>
      <w:r w:rsidRPr="00CC0E38">
        <w:rPr>
          <w:rFonts w:ascii="Century Schoolbook" w:hAnsi="Century Schoolbook"/>
          <w:sz w:val="27"/>
          <w:szCs w:val="27"/>
        </w:rPr>
        <w:t>.</w:t>
      </w:r>
    </w:p>
    <w:p w14:paraId="3705A835"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Emphasizing that this case concerns the class of prohibited arrangements involving incarcerated individuals, the Attorney General</w:t>
      </w:r>
      <w:r w:rsidR="00B16F45">
        <w:rPr>
          <w:rFonts w:ascii="Century Schoolbook" w:hAnsi="Century Schoolbook"/>
          <w:sz w:val="27"/>
          <w:szCs w:val="27"/>
        </w:rPr>
        <w:t xml:space="preserve"> first argues </w:t>
      </w:r>
      <w:r w:rsidRPr="00CC0E38">
        <w:rPr>
          <w:rFonts w:ascii="Century Schoolbook" w:hAnsi="Century Schoolbook"/>
          <w:sz w:val="27"/>
          <w:szCs w:val="27"/>
        </w:rPr>
        <w:t xml:space="preserve">that we should review section 2076 under the standard for reviewing constitutional challenges to jail and prison regulations set out in </w:t>
      </w:r>
      <w:r w:rsidRPr="00CC0E38">
        <w:rPr>
          <w:rFonts w:ascii="Century Schoolbook" w:hAnsi="Century Schoolbook"/>
          <w:i/>
          <w:iCs/>
          <w:sz w:val="27"/>
          <w:szCs w:val="27"/>
        </w:rPr>
        <w:t>Turner v. Safley</w:t>
      </w:r>
      <w:r w:rsidR="008115E0">
        <w:rPr>
          <w:rFonts w:ascii="Century Schoolbook" w:hAnsi="Century Schoolbook"/>
          <w:sz w:val="27"/>
          <w:szCs w:val="27"/>
        </w:rPr>
        <w:t xml:space="preserve"> (1987) </w:t>
      </w:r>
      <w:r w:rsidRPr="00CC0E38">
        <w:rPr>
          <w:rFonts w:ascii="Century Schoolbook" w:hAnsi="Century Schoolbook"/>
          <w:sz w:val="27"/>
          <w:szCs w:val="27"/>
        </w:rPr>
        <w:t xml:space="preserve">482 U.S. 78.  This standard is highly deferential; under </w:t>
      </w:r>
      <w:r w:rsidRPr="00CC0E38">
        <w:rPr>
          <w:rFonts w:ascii="Century Schoolbook" w:hAnsi="Century Schoolbook"/>
          <w:i/>
          <w:iCs/>
          <w:sz w:val="27"/>
          <w:szCs w:val="27"/>
        </w:rPr>
        <w:t>Turner</w:t>
      </w:r>
      <w:r w:rsidRPr="00CC0E38">
        <w:rPr>
          <w:rFonts w:ascii="Century Schoolbook" w:hAnsi="Century Schoolbook"/>
          <w:sz w:val="27"/>
          <w:szCs w:val="27"/>
        </w:rPr>
        <w:t>, courts generally must uphold such regulations if they are “reasonably related to legitimate penological interests.”  (</w:t>
      </w:r>
      <w:r w:rsidR="008115E0" w:rsidRPr="008115E0">
        <w:rPr>
          <w:rFonts w:ascii="Century Schoolbook" w:hAnsi="Century Schoolbook"/>
          <w:i/>
          <w:iCs/>
          <w:sz w:val="27"/>
          <w:szCs w:val="27"/>
        </w:rPr>
        <w:t>Id.</w:t>
      </w:r>
      <w:r w:rsidRPr="00CC0E38">
        <w:rPr>
          <w:rFonts w:ascii="Century Schoolbook" w:hAnsi="Century Schoolbook"/>
          <w:sz w:val="27"/>
          <w:szCs w:val="27"/>
        </w:rPr>
        <w:t xml:space="preserve"> at p. 89.)  </w:t>
      </w:r>
      <w:r w:rsidR="00E941BC">
        <w:rPr>
          <w:rFonts w:ascii="Century Schoolbook" w:hAnsi="Century Schoolbook"/>
          <w:sz w:val="27"/>
          <w:szCs w:val="27"/>
        </w:rPr>
        <w:t>T</w:t>
      </w:r>
      <w:r w:rsidRPr="00CC0E38">
        <w:rPr>
          <w:rFonts w:ascii="Century Schoolbook" w:hAnsi="Century Schoolbook"/>
          <w:sz w:val="27"/>
          <w:szCs w:val="27"/>
        </w:rPr>
        <w:t xml:space="preserve">he Attorney General </w:t>
      </w:r>
      <w:r w:rsidR="008B4829">
        <w:rPr>
          <w:rFonts w:ascii="Century Schoolbook" w:hAnsi="Century Schoolbook"/>
          <w:sz w:val="27"/>
          <w:szCs w:val="27"/>
        </w:rPr>
        <w:t>asserts</w:t>
      </w:r>
      <w:r w:rsidR="008B4829" w:rsidRPr="00CC0E38">
        <w:rPr>
          <w:rFonts w:ascii="Century Schoolbook" w:hAnsi="Century Schoolbook"/>
          <w:sz w:val="27"/>
          <w:szCs w:val="27"/>
        </w:rPr>
        <w:t xml:space="preserve"> </w:t>
      </w:r>
      <w:r w:rsidRPr="00CC0E38">
        <w:rPr>
          <w:rFonts w:ascii="Century Schoolbook" w:hAnsi="Century Schoolbook"/>
          <w:sz w:val="27"/>
          <w:szCs w:val="27"/>
        </w:rPr>
        <w:t>that section 2076 is reasonably related to multiple legitimate interests in sound jail administration and safety.  For one thing, the Attorney General contends, the prohibited arrangements are typically compensated in cash or in kind, which allows inmates to profit from their incarceration by “steer[ing] business toward a particular bail bond firm.”</w:t>
      </w:r>
      <w:r>
        <w:rPr>
          <w:rFonts w:ascii="Century Schoolbook" w:hAnsi="Century Schoolbook"/>
          <w:b/>
          <w:bCs/>
          <w:position w:val="4"/>
          <w:sz w:val="27"/>
          <w:szCs w:val="27"/>
          <w:vertAlign w:val="superscript"/>
        </w:rPr>
        <w:footnoteReference w:id="10"/>
      </w:r>
      <w:r w:rsidRPr="00315BE2">
        <w:rPr>
          <w:rFonts w:ascii="Century Schoolbook" w:hAnsi="Century Schoolbook"/>
          <w:sz w:val="27"/>
          <w:szCs w:val="27"/>
        </w:rPr>
        <w:t xml:space="preserve"> </w:t>
      </w:r>
      <w:r w:rsidRPr="00CC0E38">
        <w:rPr>
          <w:rFonts w:ascii="Century Schoolbook" w:hAnsi="Century Schoolbook"/>
          <w:sz w:val="27"/>
          <w:szCs w:val="27"/>
        </w:rPr>
        <w:t xml:space="preserve"> The Attorney General argues that </w:t>
      </w:r>
      <w:r w:rsidRPr="00CC0E38">
        <w:rPr>
          <w:rFonts w:ascii="Century Schoolbook" w:hAnsi="Century Schoolbook"/>
          <w:sz w:val="27"/>
          <w:szCs w:val="27"/>
        </w:rPr>
        <w:lastRenderedPageBreak/>
        <w:t>such business arrangements with outside commercial entities “erode the deterrent and retributive value of incarceration” — at least for those jail inmates who are serving sentences following conviction for a crime</w:t>
      </w:r>
      <w:r w:rsidR="0044504A">
        <w:rPr>
          <w:rFonts w:ascii="Century Schoolbook" w:hAnsi="Century Schoolbook"/>
          <w:sz w:val="27"/>
          <w:szCs w:val="27"/>
        </w:rPr>
        <w:t>.</w:t>
      </w:r>
      <w:r>
        <w:rPr>
          <w:rFonts w:ascii="Century Schoolbook" w:hAnsi="Century Schoolbook"/>
          <w:b/>
          <w:bCs/>
          <w:position w:val="4"/>
          <w:sz w:val="27"/>
          <w:szCs w:val="27"/>
          <w:vertAlign w:val="superscript"/>
        </w:rPr>
        <w:footnoteReference w:id="11"/>
      </w:r>
      <w:r w:rsidR="00315BE2">
        <w:rPr>
          <w:rFonts w:ascii="Century Schoolbook" w:hAnsi="Century Schoolbook"/>
          <w:sz w:val="27"/>
          <w:szCs w:val="27"/>
        </w:rPr>
        <w:t xml:space="preserve"> </w:t>
      </w:r>
      <w:r w:rsidR="0044504A">
        <w:rPr>
          <w:rFonts w:ascii="Century Schoolbook" w:hAnsi="Century Schoolbook"/>
          <w:sz w:val="27"/>
          <w:szCs w:val="27"/>
        </w:rPr>
        <w:t xml:space="preserve"> For this reason, courts have long upheld restrictions on commercial activity inside prisons</w:t>
      </w:r>
      <w:r w:rsidRPr="00CC0E38">
        <w:rPr>
          <w:rFonts w:ascii="Century Schoolbook" w:hAnsi="Century Schoolbook"/>
          <w:sz w:val="27"/>
          <w:szCs w:val="27"/>
        </w:rPr>
        <w:t xml:space="preserve">.  (See, e.g., </w:t>
      </w:r>
      <w:r w:rsidRPr="00CC0E38">
        <w:rPr>
          <w:rFonts w:ascii="Century Schoolbook" w:hAnsi="Century Schoolbook"/>
          <w:i/>
          <w:iCs/>
          <w:sz w:val="27"/>
          <w:szCs w:val="27"/>
        </w:rPr>
        <w:t>French v. Butterworth</w:t>
      </w:r>
      <w:r w:rsidRPr="00CC0E38">
        <w:rPr>
          <w:rFonts w:ascii="Century Schoolbook" w:hAnsi="Century Schoolbook"/>
          <w:sz w:val="27"/>
          <w:szCs w:val="27"/>
        </w:rPr>
        <w:t xml:space="preserve"> (1st Cir. 1980) 614 F.2d 23, 24 [“a prisoner has no recognized right to conduct a business while incarcerated”]; see also, e.g., </w:t>
      </w:r>
      <w:r w:rsidRPr="00CC0E38">
        <w:rPr>
          <w:rFonts w:ascii="Century Schoolbook" w:hAnsi="Century Schoolbook"/>
          <w:i/>
          <w:iCs/>
          <w:sz w:val="27"/>
          <w:szCs w:val="27"/>
        </w:rPr>
        <w:t>King v. Federal Bureau of Prisons</w:t>
      </w:r>
      <w:r w:rsidRPr="00CC0E38">
        <w:rPr>
          <w:rFonts w:ascii="Century Schoolbook" w:hAnsi="Century Schoolbook"/>
          <w:sz w:val="27"/>
          <w:szCs w:val="27"/>
        </w:rPr>
        <w:t xml:space="preserve"> (7th Cir. 2005) 415 F.3d 634, 636 [citing cases]; </w:t>
      </w:r>
      <w:r w:rsidRPr="00CC0E38">
        <w:rPr>
          <w:rFonts w:ascii="Century Schoolbook" w:hAnsi="Century Schoolbook"/>
          <w:i/>
          <w:iCs/>
          <w:sz w:val="27"/>
          <w:szCs w:val="27"/>
        </w:rPr>
        <w:t>Stroud v. Swope</w:t>
      </w:r>
      <w:r w:rsidRPr="00CC0E38">
        <w:rPr>
          <w:rFonts w:ascii="Century Schoolbook" w:hAnsi="Century Schoolbook"/>
          <w:sz w:val="27"/>
          <w:szCs w:val="27"/>
        </w:rPr>
        <w:t xml:space="preserve"> (9th Cir. 1951) 187 F.2d 850, 851 [prisoner had no constitutional right to conduct business concerning the publication of books he had authored].)</w:t>
      </w:r>
    </w:p>
    <w:p w14:paraId="3705A836" w14:textId="77777777" w:rsidR="00CC0E38" w:rsidRPr="00CC0E38" w:rsidRDefault="00000000" w:rsidP="00CC0E38">
      <w:pPr>
        <w:spacing w:after="100" w:line="400" w:lineRule="exact"/>
        <w:ind w:firstLine="720"/>
        <w:jc w:val="both"/>
        <w:rPr>
          <w:rFonts w:ascii="Century Schoolbook" w:hAnsi="Century Schoolbook"/>
          <w:sz w:val="27"/>
          <w:szCs w:val="27"/>
        </w:rPr>
      </w:pPr>
      <w:r>
        <w:rPr>
          <w:rFonts w:ascii="Century Schoolbook" w:hAnsi="Century Schoolbook"/>
          <w:sz w:val="27"/>
          <w:szCs w:val="27"/>
        </w:rPr>
        <w:t>M</w:t>
      </w:r>
      <w:r w:rsidRPr="00CC0E38">
        <w:rPr>
          <w:rFonts w:ascii="Century Schoolbook" w:hAnsi="Century Schoolbook"/>
          <w:sz w:val="27"/>
          <w:szCs w:val="27"/>
        </w:rPr>
        <w:t xml:space="preserve">ore generally, the Attorney General argues that business arrangements between bail bond agents and jail insiders can threaten jail security by “promot[ing] inmate rivalries and even violence.”  The Attorney General cites a 2017 investigation by the Santa Clara County District Attorney’s Office, which found that inmates involved in the prohibited arrangements would threaten or pressure other inmates to sign contracts with certain bail agents and would retaliate against inmates working for rival bail firms.  (See Lewis, </w:t>
      </w:r>
      <w:r w:rsidRPr="00CC0E38">
        <w:rPr>
          <w:rFonts w:ascii="Century Schoolbook" w:hAnsi="Century Schoolbook"/>
          <w:i/>
          <w:iCs/>
          <w:sz w:val="27"/>
          <w:szCs w:val="27"/>
        </w:rPr>
        <w:t xml:space="preserve">Inside Santa </w:t>
      </w:r>
      <w:r w:rsidRPr="00CC0E38">
        <w:rPr>
          <w:rFonts w:ascii="Century Schoolbook" w:hAnsi="Century Schoolbook"/>
          <w:i/>
          <w:iCs/>
          <w:sz w:val="27"/>
          <w:szCs w:val="27"/>
        </w:rPr>
        <w:lastRenderedPageBreak/>
        <w:t>Clara Jails, Predatory Bail Schemes Flourished for Years</w:t>
      </w:r>
      <w:r w:rsidRPr="00CC0E38">
        <w:rPr>
          <w:rFonts w:ascii="Century Schoolbook" w:hAnsi="Century Schoolbook"/>
          <w:sz w:val="27"/>
          <w:szCs w:val="27"/>
        </w:rPr>
        <w:t xml:space="preserve"> (Apr. 10, 2017)</w:t>
      </w:r>
      <w:r w:rsidR="00111FE7">
        <w:rPr>
          <w:rFonts w:ascii="Century Schoolbook" w:hAnsi="Century Schoolbook"/>
          <w:sz w:val="27"/>
          <w:szCs w:val="27"/>
        </w:rPr>
        <w:t xml:space="preserve"> KQED </w:t>
      </w:r>
      <w:r w:rsidR="00527E55">
        <w:rPr>
          <w:rFonts w:ascii="Century Schoolbook" w:hAnsi="Century Schoolbook"/>
          <w:sz w:val="27"/>
          <w:szCs w:val="27"/>
        </w:rPr>
        <w:t>&lt;</w:t>
      </w:r>
      <w:r w:rsidR="00527E55" w:rsidRPr="00527E55">
        <w:rPr>
          <w:rFonts w:ascii="Century Schoolbook" w:hAnsi="Century Schoolbook"/>
          <w:sz w:val="27"/>
          <w:szCs w:val="27"/>
        </w:rPr>
        <w:t>https://www.kqed.org/news/11393155/inside-santa-clara-jails-predatory-bail-schemes-fluorished-for-years</w:t>
      </w:r>
      <w:r w:rsidR="00527E55">
        <w:rPr>
          <w:rFonts w:ascii="Century Schoolbook" w:hAnsi="Century Schoolbook"/>
          <w:sz w:val="27"/>
          <w:szCs w:val="27"/>
        </w:rPr>
        <w:t>&gt;</w:t>
      </w:r>
      <w:r w:rsidR="00111FE7">
        <w:rPr>
          <w:rFonts w:ascii="Century Schoolbook" w:hAnsi="Century Schoolbook"/>
          <w:sz w:val="27"/>
          <w:szCs w:val="27"/>
        </w:rPr>
        <w:t xml:space="preserve"> [as of August </w:t>
      </w:r>
      <w:r w:rsidR="00CE6518">
        <w:rPr>
          <w:rFonts w:ascii="Century Schoolbook" w:hAnsi="Century Schoolbook"/>
          <w:sz w:val="27"/>
          <w:szCs w:val="27"/>
        </w:rPr>
        <w:t>24</w:t>
      </w:r>
      <w:r w:rsidR="00111FE7">
        <w:rPr>
          <w:rFonts w:ascii="Century Schoolbook" w:hAnsi="Century Schoolbook"/>
          <w:sz w:val="27"/>
          <w:szCs w:val="27"/>
        </w:rPr>
        <w:t>, 2023]</w:t>
      </w:r>
      <w:r w:rsidRPr="00CC0E38">
        <w:rPr>
          <w:rFonts w:ascii="Century Schoolbook" w:hAnsi="Century Schoolbook"/>
          <w:sz w:val="27"/>
          <w:szCs w:val="27"/>
        </w:rPr>
        <w:t xml:space="preserve">.)  The Attorney General also points to a 2014 report by the New Jersey Commission of Investigation finding that aggressive competition among inmates retained by competing bail firms created dangerous conditions within New Jersey correctional facilities, particularly when the bail firms recruited rival prison gangs to drum up business.  (See State of N.J., Com. of Investigation, Inside Out: </w:t>
      </w:r>
      <w:r w:rsidR="00315BE2">
        <w:rPr>
          <w:rFonts w:ascii="Century Schoolbook" w:hAnsi="Century Schoolbook"/>
          <w:sz w:val="27"/>
          <w:szCs w:val="27"/>
        </w:rPr>
        <w:t xml:space="preserve"> </w:t>
      </w:r>
      <w:r w:rsidRPr="00CC0E38">
        <w:rPr>
          <w:rFonts w:ascii="Century Schoolbook" w:hAnsi="Century Schoolbook"/>
          <w:sz w:val="27"/>
          <w:szCs w:val="27"/>
        </w:rPr>
        <w:t>Questionable and Abusive Practices in New Jersey’s Bail-Bond Industry (2014) pp. 12–13</w:t>
      </w:r>
      <w:r w:rsidR="00527E55">
        <w:rPr>
          <w:rFonts w:ascii="Century Schoolbook" w:hAnsi="Century Schoolbook"/>
          <w:sz w:val="27"/>
          <w:szCs w:val="27"/>
        </w:rPr>
        <w:t xml:space="preserve"> </w:t>
      </w:r>
      <w:r w:rsidR="00187775">
        <w:rPr>
          <w:rFonts w:ascii="Century Schoolbook" w:hAnsi="Century Schoolbook"/>
          <w:sz w:val="27"/>
          <w:szCs w:val="27"/>
        </w:rPr>
        <w:t>&lt;</w:t>
      </w:r>
      <w:r w:rsidR="00782FB7" w:rsidRPr="00212F5C">
        <w:rPr>
          <w:rFonts w:ascii="Century Schoolbook" w:hAnsi="Century Schoolbook"/>
          <w:sz w:val="27"/>
          <w:szCs w:val="27"/>
        </w:rPr>
        <w:t>https://dspace.njstatelib.org/xmlui/bitstream/</w:t>
      </w:r>
      <w:r w:rsidR="00782FB7" w:rsidRPr="00212F5C">
        <w:rPr>
          <w:rFonts w:ascii="Century Schoolbook" w:hAnsi="Century Schoolbook"/>
          <w:sz w:val="27"/>
          <w:szCs w:val="27"/>
        </w:rPr>
        <w:br/>
        <w:t>handle/10929/33879/i622014k.pdf</w:t>
      </w:r>
      <w:r w:rsidR="00187775">
        <w:rPr>
          <w:rFonts w:ascii="Century Schoolbook" w:hAnsi="Century Schoolbook"/>
          <w:sz w:val="27"/>
          <w:szCs w:val="27"/>
        </w:rPr>
        <w:t>&gt;</w:t>
      </w:r>
      <w:r w:rsidR="000C196B">
        <w:rPr>
          <w:rFonts w:ascii="Century Schoolbook" w:hAnsi="Century Schoolbook"/>
          <w:sz w:val="27"/>
          <w:szCs w:val="27"/>
        </w:rPr>
        <w:t xml:space="preserve"> </w:t>
      </w:r>
      <w:r w:rsidR="00527E55">
        <w:rPr>
          <w:rFonts w:ascii="Century Schoolbook" w:hAnsi="Century Schoolbook"/>
          <w:sz w:val="27"/>
          <w:szCs w:val="27"/>
        </w:rPr>
        <w:t xml:space="preserve">[as of August </w:t>
      </w:r>
      <w:r w:rsidR="00CE6518">
        <w:rPr>
          <w:rFonts w:ascii="Century Schoolbook" w:hAnsi="Century Schoolbook"/>
          <w:sz w:val="27"/>
          <w:szCs w:val="27"/>
        </w:rPr>
        <w:t>24</w:t>
      </w:r>
      <w:r w:rsidR="00527E55">
        <w:rPr>
          <w:rFonts w:ascii="Century Schoolbook" w:hAnsi="Century Schoolbook"/>
          <w:sz w:val="27"/>
          <w:szCs w:val="27"/>
        </w:rPr>
        <w:t>, 2023]</w:t>
      </w:r>
      <w:r w:rsidRPr="00CC0E38">
        <w:rPr>
          <w:rFonts w:ascii="Century Schoolbook" w:hAnsi="Century Schoolbook"/>
          <w:sz w:val="27"/>
          <w:szCs w:val="27"/>
        </w:rPr>
        <w:t xml:space="preserve">.)  Given these dangers, the Attorney General argues, we should defer under </w:t>
      </w:r>
      <w:r w:rsidRPr="00CC0E38">
        <w:rPr>
          <w:rFonts w:ascii="Century Schoolbook" w:hAnsi="Century Schoolbook"/>
          <w:i/>
          <w:iCs/>
          <w:sz w:val="27"/>
          <w:szCs w:val="27"/>
        </w:rPr>
        <w:t>Turner</w:t>
      </w:r>
      <w:r w:rsidRPr="00CC0E38">
        <w:rPr>
          <w:rFonts w:ascii="Century Schoolbook" w:hAnsi="Century Schoolbook"/>
          <w:sz w:val="27"/>
          <w:szCs w:val="27"/>
        </w:rPr>
        <w:t xml:space="preserve"> to the Insurance Commissioner’s judgment that notification arrangements between jail inmates and bail bond agents should be prohibited. </w:t>
      </w:r>
    </w:p>
    <w:p w14:paraId="3705A837"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Although the Attorney General is undoubtedly correct that section 2076 implicates matters of jail administration and security insofar as it applies to arrangements between bail licensees and incarcerated persons, it is not clear whether </w:t>
      </w:r>
      <w:r w:rsidRPr="00CC0E38">
        <w:rPr>
          <w:rFonts w:ascii="Century Schoolbook" w:hAnsi="Century Schoolbook"/>
          <w:i/>
          <w:iCs/>
          <w:sz w:val="27"/>
          <w:szCs w:val="27"/>
        </w:rPr>
        <w:t>Turner</w:t>
      </w:r>
      <w:r w:rsidRPr="00CC0E38">
        <w:rPr>
          <w:rFonts w:ascii="Century Schoolbook" w:hAnsi="Century Schoolbook"/>
          <w:sz w:val="27"/>
          <w:szCs w:val="27"/>
        </w:rPr>
        <w:t xml:space="preserve"> supplies the right lens for viewing the constitutionality of the regulation.  The rationale underlying the </w:t>
      </w:r>
      <w:r w:rsidRPr="00CC0E38">
        <w:rPr>
          <w:rFonts w:ascii="Century Schoolbook" w:hAnsi="Century Schoolbook"/>
          <w:i/>
          <w:iCs/>
          <w:sz w:val="27"/>
          <w:szCs w:val="27"/>
        </w:rPr>
        <w:t>Turner</w:t>
      </w:r>
      <w:r w:rsidRPr="00CC0E38">
        <w:rPr>
          <w:rFonts w:ascii="Century Schoolbook" w:hAnsi="Century Schoolbook"/>
          <w:sz w:val="27"/>
          <w:szCs w:val="27"/>
        </w:rPr>
        <w:t xml:space="preserve"> test is based on the “considerable deference” owed “to the determinations of prison administrators who, in the interest of security, regulate the relations between prisoners and the outside world.”  (</w:t>
      </w:r>
      <w:r w:rsidRPr="00CC0E38">
        <w:rPr>
          <w:rFonts w:ascii="Century Schoolbook" w:hAnsi="Century Schoolbook"/>
          <w:i/>
          <w:iCs/>
          <w:sz w:val="27"/>
          <w:szCs w:val="27"/>
        </w:rPr>
        <w:t>Thornburgh v. Abbott</w:t>
      </w:r>
      <w:r w:rsidRPr="00CC0E38">
        <w:rPr>
          <w:rFonts w:ascii="Century Schoolbook" w:hAnsi="Century Schoolbook"/>
          <w:sz w:val="27"/>
          <w:szCs w:val="27"/>
        </w:rPr>
        <w:t xml:space="preserve"> (1989) 490 U.S. 401, 408; </w:t>
      </w:r>
      <w:r w:rsidRPr="00CC0E38">
        <w:rPr>
          <w:rFonts w:ascii="Century Schoolbook" w:hAnsi="Century Schoolbook"/>
          <w:i/>
          <w:iCs/>
          <w:sz w:val="27"/>
          <w:szCs w:val="27"/>
        </w:rPr>
        <w:t>id.</w:t>
      </w:r>
      <w:r w:rsidRPr="00CC0E38">
        <w:rPr>
          <w:rFonts w:ascii="Century Schoolbook" w:hAnsi="Century Schoolbook"/>
          <w:sz w:val="27"/>
          <w:szCs w:val="27"/>
        </w:rPr>
        <w:t xml:space="preserve"> at p. 407 [noting the “expertise of these officials” and emphasizing the need to “be[] sensitive to the delicate balance that [they] must strike between the order and security of the internal prison environment and the legitimate demands of </w:t>
      </w:r>
      <w:r w:rsidRPr="00CC0E38">
        <w:rPr>
          <w:rFonts w:ascii="Century Schoolbook" w:hAnsi="Century Schoolbook"/>
          <w:sz w:val="27"/>
          <w:szCs w:val="27"/>
        </w:rPr>
        <w:lastRenderedPageBreak/>
        <w:t>those on the ‘outside’ who seek to enter that environment” in some way].)  Section 2076 was not, however, promulgated by a prison or jail administrator; it was promulgated by the Insurance Commissioner as part of a broader slate of bail industry regulations</w:t>
      </w:r>
      <w:r w:rsidR="008B4829">
        <w:rPr>
          <w:rFonts w:ascii="Century Schoolbook" w:hAnsi="Century Schoolbook"/>
          <w:sz w:val="27"/>
          <w:szCs w:val="27"/>
        </w:rPr>
        <w:t xml:space="preserve"> </w:t>
      </w:r>
      <w:r w:rsidRPr="00CC0E38">
        <w:rPr>
          <w:rFonts w:ascii="Century Schoolbook" w:hAnsi="Century Schoolbook"/>
          <w:sz w:val="27"/>
          <w:szCs w:val="27"/>
        </w:rPr>
        <w:t>directed at licensed bail bond agents</w:t>
      </w:r>
      <w:r w:rsidR="00B336A7">
        <w:rPr>
          <w:rFonts w:ascii="Century Schoolbook" w:hAnsi="Century Schoolbook"/>
          <w:sz w:val="27"/>
          <w:szCs w:val="27"/>
        </w:rPr>
        <w:t>.  T</w:t>
      </w:r>
      <w:r w:rsidR="00B86764">
        <w:rPr>
          <w:rFonts w:ascii="Century Schoolbook" w:hAnsi="Century Schoolbook"/>
          <w:sz w:val="27"/>
          <w:szCs w:val="27"/>
        </w:rPr>
        <w:t>he</w:t>
      </w:r>
      <w:r w:rsidR="008B4829">
        <w:rPr>
          <w:rFonts w:ascii="Century Schoolbook" w:hAnsi="Century Schoolbook"/>
          <w:sz w:val="27"/>
          <w:szCs w:val="27"/>
        </w:rPr>
        <w:t xml:space="preserve"> regulations</w:t>
      </w:r>
      <w:r w:rsidR="00B86764">
        <w:rPr>
          <w:rFonts w:ascii="Century Schoolbook" w:hAnsi="Century Schoolbook"/>
          <w:sz w:val="27"/>
          <w:szCs w:val="27"/>
        </w:rPr>
        <w:t xml:space="preserve"> do not </w:t>
      </w:r>
      <w:r w:rsidRPr="00CC0E38">
        <w:rPr>
          <w:rFonts w:ascii="Century Schoolbook" w:hAnsi="Century Schoolbook"/>
          <w:sz w:val="27"/>
          <w:szCs w:val="27"/>
        </w:rPr>
        <w:t xml:space="preserve">directly target the conduct of inmates in any of </w:t>
      </w:r>
      <w:r w:rsidR="003E7E97">
        <w:rPr>
          <w:rFonts w:ascii="Century Schoolbook" w:hAnsi="Century Schoolbook"/>
          <w:sz w:val="27"/>
          <w:szCs w:val="27"/>
        </w:rPr>
        <w:t xml:space="preserve">their </w:t>
      </w:r>
      <w:r w:rsidRPr="00CC0E38">
        <w:rPr>
          <w:rFonts w:ascii="Century Schoolbook" w:hAnsi="Century Schoolbook"/>
          <w:sz w:val="27"/>
          <w:szCs w:val="27"/>
        </w:rPr>
        <w:t>applications</w:t>
      </w:r>
      <w:r w:rsidR="005C03B5">
        <w:rPr>
          <w:rFonts w:ascii="Century Schoolbook" w:hAnsi="Century Schoolbook"/>
          <w:sz w:val="27"/>
          <w:szCs w:val="27"/>
        </w:rPr>
        <w:t>.  (A</w:t>
      </w:r>
      <w:r w:rsidRPr="00CC0E38">
        <w:rPr>
          <w:rFonts w:ascii="Century Schoolbook" w:hAnsi="Century Schoolbook"/>
          <w:sz w:val="27"/>
          <w:szCs w:val="27"/>
        </w:rPr>
        <w:t xml:space="preserve">s we have noted, </w:t>
      </w:r>
      <w:r w:rsidR="005C03B5">
        <w:rPr>
          <w:rFonts w:ascii="Century Schoolbook" w:hAnsi="Century Schoolbook"/>
          <w:sz w:val="27"/>
          <w:szCs w:val="27"/>
        </w:rPr>
        <w:t xml:space="preserve">the regulation </w:t>
      </w:r>
      <w:r w:rsidRPr="00CC0E38">
        <w:rPr>
          <w:rFonts w:ascii="Century Schoolbook" w:hAnsi="Century Schoolbook"/>
          <w:sz w:val="27"/>
          <w:szCs w:val="27"/>
        </w:rPr>
        <w:t>prohibits</w:t>
      </w:r>
      <w:r w:rsidR="00D11EAA">
        <w:rPr>
          <w:rFonts w:ascii="Century Schoolbook" w:hAnsi="Century Schoolbook"/>
          <w:sz w:val="27"/>
          <w:szCs w:val="27"/>
        </w:rPr>
        <w:t xml:space="preserve"> bail bond agents from entering</w:t>
      </w:r>
      <w:r w:rsidRPr="00CC0E38">
        <w:rPr>
          <w:rFonts w:ascii="Century Schoolbook" w:hAnsi="Century Schoolbook"/>
          <w:sz w:val="27"/>
          <w:szCs w:val="27"/>
        </w:rPr>
        <w:t xml:space="preserve"> a variety of arrangements with both incarcerated and nonincarcerated persons — only some of which could directly affect the internal environment of the jail.</w:t>
      </w:r>
      <w:r w:rsidR="005C03B5">
        <w:rPr>
          <w:rFonts w:ascii="Century Schoolbook" w:hAnsi="Century Schoolbook"/>
          <w:sz w:val="27"/>
          <w:szCs w:val="27"/>
        </w:rPr>
        <w:t>)</w:t>
      </w:r>
      <w:r w:rsidRPr="00CC0E38">
        <w:rPr>
          <w:rFonts w:ascii="Century Schoolbook" w:hAnsi="Century Schoolbook"/>
          <w:sz w:val="27"/>
          <w:szCs w:val="27"/>
        </w:rPr>
        <w:t xml:space="preserve">  It is questionable whether we should afford </w:t>
      </w:r>
      <w:r w:rsidRPr="00CC0E38">
        <w:rPr>
          <w:rFonts w:ascii="Century Schoolbook" w:hAnsi="Century Schoolbook"/>
          <w:i/>
          <w:iCs/>
          <w:sz w:val="27"/>
          <w:szCs w:val="27"/>
        </w:rPr>
        <w:t>Turner</w:t>
      </w:r>
      <w:r w:rsidRPr="00CC0E38">
        <w:rPr>
          <w:rFonts w:ascii="Century Schoolbook" w:hAnsi="Century Schoolbook"/>
          <w:sz w:val="27"/>
          <w:szCs w:val="27"/>
        </w:rPr>
        <w:t xml:space="preserve"> deference to a regulation with these features.</w:t>
      </w:r>
      <w:r>
        <w:rPr>
          <w:rFonts w:ascii="Century Schoolbook" w:hAnsi="Century Schoolbook"/>
          <w:b/>
          <w:bCs/>
          <w:position w:val="4"/>
          <w:sz w:val="27"/>
          <w:szCs w:val="27"/>
          <w:vertAlign w:val="superscript"/>
        </w:rPr>
        <w:footnoteReference w:id="12"/>
      </w:r>
      <w:r w:rsidRPr="00CC0E38">
        <w:rPr>
          <w:rFonts w:ascii="Century Schoolbook" w:hAnsi="Century Schoolbook"/>
          <w:sz w:val="27"/>
          <w:szCs w:val="27"/>
        </w:rPr>
        <w:t xml:space="preserve">  </w:t>
      </w:r>
      <w:r w:rsidR="0003241C">
        <w:rPr>
          <w:rFonts w:ascii="Century Schoolbook" w:hAnsi="Century Schoolbook"/>
          <w:sz w:val="27"/>
          <w:szCs w:val="27"/>
        </w:rPr>
        <w:t xml:space="preserve">In </w:t>
      </w:r>
      <w:r w:rsidR="0003241C">
        <w:rPr>
          <w:rFonts w:ascii="Century Schoolbook" w:hAnsi="Century Schoolbook"/>
          <w:sz w:val="27"/>
          <w:szCs w:val="27"/>
        </w:rPr>
        <w:lastRenderedPageBreak/>
        <w:t>any event, f</w:t>
      </w:r>
      <w:r w:rsidRPr="00CC0E38">
        <w:rPr>
          <w:rFonts w:ascii="Century Schoolbook" w:hAnsi="Century Schoolbook"/>
          <w:sz w:val="27"/>
          <w:szCs w:val="27"/>
        </w:rPr>
        <w:t>or the reasons that follow, it is unnecessary for us to do so now in order to take adequate account of the range of governmental interests implicated by the application of section 2076 to notification arrangements with persons incarcerated in a jail.</w:t>
      </w:r>
      <w:r>
        <w:rPr>
          <w:rFonts w:ascii="Century Schoolbook" w:hAnsi="Century Schoolbook"/>
          <w:b/>
          <w:bCs/>
          <w:position w:val="4"/>
          <w:sz w:val="27"/>
          <w:szCs w:val="27"/>
          <w:vertAlign w:val="superscript"/>
        </w:rPr>
        <w:footnoteReference w:id="13"/>
      </w:r>
    </w:p>
    <w:p w14:paraId="3705A838" w14:textId="77777777" w:rsidR="00CC0E38" w:rsidRPr="00CC0E38" w:rsidRDefault="00000000" w:rsidP="00CC0E38">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Venturing to the opposite pole from deferential </w:t>
      </w:r>
      <w:r>
        <w:rPr>
          <w:rFonts w:ascii="Century Schoolbook" w:hAnsi="Century Schoolbook"/>
          <w:i/>
          <w:iCs/>
          <w:sz w:val="27"/>
          <w:szCs w:val="27"/>
        </w:rPr>
        <w:t>Turner</w:t>
      </w:r>
      <w:r>
        <w:rPr>
          <w:rFonts w:ascii="Century Schoolbook" w:hAnsi="Century Schoolbook"/>
          <w:sz w:val="27"/>
          <w:szCs w:val="27"/>
        </w:rPr>
        <w:t xml:space="preserve"> review, </w:t>
      </w:r>
      <w:r w:rsidRPr="00CC0E38">
        <w:rPr>
          <w:rFonts w:ascii="Century Schoolbook" w:hAnsi="Century Schoolbook"/>
          <w:sz w:val="27"/>
          <w:szCs w:val="27"/>
        </w:rPr>
        <w:t xml:space="preserve">Martinez argues that section 2076 should be subject to strict scrutiny because it regulates speech on the basis of its content.  (See, e.g., </w:t>
      </w:r>
      <w:r w:rsidRPr="00CC0E38">
        <w:rPr>
          <w:rFonts w:ascii="Century Schoolbook" w:hAnsi="Century Schoolbook"/>
          <w:i/>
          <w:iCs/>
          <w:sz w:val="27"/>
          <w:szCs w:val="27"/>
        </w:rPr>
        <w:t>Barr v. American Assn</w:t>
      </w:r>
      <w:r w:rsidR="00527E55">
        <w:rPr>
          <w:rFonts w:ascii="Century Schoolbook" w:hAnsi="Century Schoolbook"/>
          <w:i/>
          <w:iCs/>
          <w:sz w:val="27"/>
          <w:szCs w:val="27"/>
        </w:rPr>
        <w:t>.</w:t>
      </w:r>
      <w:r w:rsidRPr="00CC0E38">
        <w:rPr>
          <w:rFonts w:ascii="Century Schoolbook" w:hAnsi="Century Schoolbook"/>
          <w:i/>
          <w:iCs/>
          <w:sz w:val="27"/>
          <w:szCs w:val="27"/>
        </w:rPr>
        <w:t xml:space="preserve"> of Political Consultants</w:t>
      </w:r>
      <w:r w:rsidRPr="00CC0E38">
        <w:rPr>
          <w:rFonts w:ascii="Century Schoolbook" w:hAnsi="Century Schoolbook"/>
          <w:sz w:val="27"/>
          <w:szCs w:val="27"/>
        </w:rPr>
        <w:t xml:space="preserve"> (2020) __ U.S. __</w:t>
      </w:r>
      <w:r w:rsidR="000349FE">
        <w:rPr>
          <w:rFonts w:ascii="Century Schoolbook" w:hAnsi="Century Schoolbook"/>
          <w:sz w:val="27"/>
          <w:szCs w:val="27"/>
        </w:rPr>
        <w:t>, __</w:t>
      </w:r>
      <w:r w:rsidRPr="00CC0E38">
        <w:rPr>
          <w:rFonts w:ascii="Century Schoolbook" w:hAnsi="Century Schoolbook"/>
          <w:sz w:val="27"/>
          <w:szCs w:val="27"/>
        </w:rPr>
        <w:t xml:space="preserve"> [140 S.Ct. 2335, 2346].)  Under high court precedent, restrictions on speech are considered content-based if they “target speech based on its communicative content” — that is, “if a law applies to particular speech because of the topic discussed or the idea or message expressed.”  (</w:t>
      </w:r>
      <w:r w:rsidRPr="00CC0E38">
        <w:rPr>
          <w:rFonts w:ascii="Century Schoolbook" w:hAnsi="Century Schoolbook"/>
          <w:i/>
          <w:iCs/>
          <w:sz w:val="27"/>
          <w:szCs w:val="27"/>
        </w:rPr>
        <w:t>Reed v. Town of Gilbert</w:t>
      </w:r>
      <w:r w:rsidRPr="00CC0E38">
        <w:rPr>
          <w:rFonts w:ascii="Century Schoolbook" w:hAnsi="Century Schoolbook"/>
          <w:sz w:val="27"/>
          <w:szCs w:val="27"/>
        </w:rPr>
        <w:t xml:space="preserve"> (2015) 576 U.S. 155, 163; see </w:t>
      </w:r>
      <w:r w:rsidRPr="00CC0E38">
        <w:rPr>
          <w:rFonts w:ascii="Century Schoolbook" w:hAnsi="Century Schoolbook"/>
          <w:i/>
          <w:iCs/>
          <w:sz w:val="27"/>
          <w:szCs w:val="27"/>
        </w:rPr>
        <w:t xml:space="preserve">City of Austin, Texas v. Reagan National Advertising of Austin, LLC </w:t>
      </w:r>
      <w:r w:rsidRPr="00CC0E38">
        <w:rPr>
          <w:rFonts w:ascii="Century Schoolbook" w:hAnsi="Century Schoolbook"/>
          <w:sz w:val="27"/>
          <w:szCs w:val="27"/>
        </w:rPr>
        <w:t>(2022) __</w:t>
      </w:r>
      <w:r w:rsidR="000349FE">
        <w:rPr>
          <w:rFonts w:ascii="Century Schoolbook" w:hAnsi="Century Schoolbook"/>
          <w:sz w:val="27"/>
          <w:szCs w:val="27"/>
        </w:rPr>
        <w:t> </w:t>
      </w:r>
      <w:r w:rsidRPr="00CC0E38">
        <w:rPr>
          <w:rFonts w:ascii="Century Schoolbook" w:hAnsi="Century Schoolbook"/>
          <w:sz w:val="27"/>
          <w:szCs w:val="27"/>
        </w:rPr>
        <w:t>U.S. __</w:t>
      </w:r>
      <w:r w:rsidR="00527E55">
        <w:rPr>
          <w:rFonts w:ascii="Century Schoolbook" w:hAnsi="Century Schoolbook"/>
          <w:sz w:val="27"/>
          <w:szCs w:val="27"/>
        </w:rPr>
        <w:t xml:space="preserve">, </w:t>
      </w:r>
      <w:r w:rsidR="00527E55" w:rsidRPr="00CC0E38">
        <w:rPr>
          <w:rFonts w:ascii="Century Schoolbook" w:hAnsi="Century Schoolbook"/>
          <w:sz w:val="27"/>
          <w:szCs w:val="27"/>
        </w:rPr>
        <w:t>__</w:t>
      </w:r>
      <w:r w:rsidRPr="00CC0E38">
        <w:rPr>
          <w:rFonts w:ascii="Century Schoolbook" w:hAnsi="Century Schoolbook"/>
          <w:sz w:val="27"/>
          <w:szCs w:val="27"/>
        </w:rPr>
        <w:t xml:space="preserve"> [142 S.Ct. 1464, 1471].)  </w:t>
      </w:r>
      <w:r w:rsidR="00442A60">
        <w:rPr>
          <w:rFonts w:ascii="Century Schoolbook" w:hAnsi="Century Schoolbook"/>
          <w:sz w:val="27"/>
          <w:szCs w:val="27"/>
        </w:rPr>
        <w:t xml:space="preserve">The parties do not dispute </w:t>
      </w:r>
      <w:r w:rsidRPr="00CC0E38">
        <w:rPr>
          <w:rFonts w:ascii="Century Schoolbook" w:hAnsi="Century Schoolbook"/>
          <w:sz w:val="27"/>
          <w:szCs w:val="27"/>
        </w:rPr>
        <w:t>that section 2076 is content-based in this sense</w:t>
      </w:r>
      <w:r w:rsidR="00442A60">
        <w:rPr>
          <w:rFonts w:ascii="Century Schoolbook" w:hAnsi="Century Schoolbook"/>
          <w:sz w:val="27"/>
          <w:szCs w:val="27"/>
        </w:rPr>
        <w:t>;</w:t>
      </w:r>
      <w:r w:rsidRPr="00CC0E38">
        <w:rPr>
          <w:rFonts w:ascii="Century Schoolbook" w:hAnsi="Century Schoolbook"/>
          <w:sz w:val="27"/>
          <w:szCs w:val="27"/>
        </w:rPr>
        <w:t xml:space="preserve"> </w:t>
      </w:r>
      <w:r w:rsidR="00442A60">
        <w:rPr>
          <w:rFonts w:ascii="Century Schoolbook" w:hAnsi="Century Schoolbook"/>
          <w:sz w:val="27"/>
          <w:szCs w:val="27"/>
        </w:rPr>
        <w:t xml:space="preserve">to the extent </w:t>
      </w:r>
      <w:r w:rsidR="00442A60">
        <w:rPr>
          <w:rFonts w:ascii="Century Schoolbook" w:hAnsi="Century Schoolbook"/>
          <w:sz w:val="27"/>
          <w:szCs w:val="27"/>
        </w:rPr>
        <w:lastRenderedPageBreak/>
        <w:t>section 2076 burdens speech, it does so on the basis of the topic discussed</w:t>
      </w:r>
      <w:r w:rsidR="00751291">
        <w:rPr>
          <w:rFonts w:ascii="Century Schoolbook" w:hAnsi="Century Schoolbook"/>
          <w:sz w:val="27"/>
          <w:szCs w:val="27"/>
        </w:rPr>
        <w:t> </w:t>
      </w:r>
      <w:r w:rsidR="00442A60">
        <w:rPr>
          <w:rFonts w:ascii="Century Schoolbook" w:hAnsi="Century Schoolbook"/>
          <w:sz w:val="27"/>
          <w:szCs w:val="27"/>
        </w:rPr>
        <w:t xml:space="preserve">— namely, </w:t>
      </w:r>
      <w:r w:rsidRPr="00CC0E38">
        <w:rPr>
          <w:rFonts w:ascii="Century Schoolbook" w:hAnsi="Century Schoolbook"/>
          <w:sz w:val="27"/>
          <w:szCs w:val="27"/>
        </w:rPr>
        <w:t>information concerning arrestees.  As a general rule, the high court has held that noncommercial content-based restrictions “are presumptively unconstitutional and may be justified only if the government proves that they are narrowly tailored to serve compelling state interests.”  (</w:t>
      </w:r>
      <w:r w:rsidRPr="00CC0E38">
        <w:rPr>
          <w:rFonts w:ascii="Century Schoolbook" w:hAnsi="Century Schoolbook"/>
          <w:i/>
          <w:iCs/>
          <w:sz w:val="27"/>
          <w:szCs w:val="27"/>
        </w:rPr>
        <w:t>Reed</w:t>
      </w:r>
      <w:r w:rsidRPr="00CC0E38">
        <w:rPr>
          <w:rFonts w:ascii="Century Schoolbook" w:hAnsi="Century Schoolbook"/>
          <w:sz w:val="27"/>
          <w:szCs w:val="27"/>
        </w:rPr>
        <w:t>, at p. 163.)  Courts engage in this demanding form of scrutiny “to ensure that communication has not been prohibited ‘merely because public officials disapprove the speaker’s views.’ ”  (</w:t>
      </w:r>
      <w:r w:rsidRPr="00CC0E38">
        <w:rPr>
          <w:rFonts w:ascii="Century Schoolbook" w:hAnsi="Century Schoolbook"/>
          <w:i/>
          <w:iCs/>
          <w:sz w:val="27"/>
          <w:szCs w:val="27"/>
        </w:rPr>
        <w:t>Consolidated Edison Co. v. Public Serv. Comm’n</w:t>
      </w:r>
      <w:r w:rsidRPr="00CC0E38">
        <w:rPr>
          <w:rFonts w:ascii="Century Schoolbook" w:hAnsi="Century Schoolbook"/>
          <w:sz w:val="27"/>
          <w:szCs w:val="27"/>
        </w:rPr>
        <w:t xml:space="preserve"> (1980) 447 U.S. 530, 53</w:t>
      </w:r>
      <w:r w:rsidR="008115E0">
        <w:rPr>
          <w:rFonts w:ascii="Century Schoolbook" w:hAnsi="Century Schoolbook"/>
          <w:sz w:val="27"/>
          <w:szCs w:val="27"/>
        </w:rPr>
        <w:t>6</w:t>
      </w:r>
      <w:r w:rsidRPr="00CC0E38">
        <w:rPr>
          <w:rFonts w:ascii="Century Schoolbook" w:hAnsi="Century Schoolbook"/>
          <w:sz w:val="27"/>
          <w:szCs w:val="27"/>
        </w:rPr>
        <w:t xml:space="preserve">, quoting </w:t>
      </w:r>
      <w:r w:rsidRPr="00CC0E38">
        <w:rPr>
          <w:rFonts w:ascii="Century Schoolbook" w:hAnsi="Century Schoolbook"/>
          <w:i/>
          <w:iCs/>
          <w:sz w:val="27"/>
          <w:szCs w:val="27"/>
        </w:rPr>
        <w:t>Niemotko v. Maryland</w:t>
      </w:r>
      <w:r w:rsidRPr="00CC0E38">
        <w:rPr>
          <w:rFonts w:ascii="Century Schoolbook" w:hAnsi="Century Schoolbook"/>
          <w:sz w:val="27"/>
          <w:szCs w:val="27"/>
        </w:rPr>
        <w:t xml:space="preserve"> (1951) 340 U.S. 268, 282 (conc. opn. of Frankfurter, J.); see also </w:t>
      </w:r>
      <w:r w:rsidRPr="00CC0E38">
        <w:rPr>
          <w:rFonts w:ascii="Century Schoolbook" w:hAnsi="Century Schoolbook"/>
          <w:i/>
          <w:iCs/>
          <w:sz w:val="27"/>
          <w:szCs w:val="27"/>
        </w:rPr>
        <w:t>Reed</w:t>
      </w:r>
      <w:r w:rsidRPr="00CC0E38">
        <w:rPr>
          <w:rFonts w:ascii="Century Schoolbook" w:hAnsi="Century Schoolbook"/>
          <w:sz w:val="27"/>
          <w:szCs w:val="27"/>
        </w:rPr>
        <w:t>, at p. 174 (conc. opn. of Alito, J.) [“Content-based laws merit th[e] protection [of strict scrutiny] because they present, albeit sometimes in a subtler form, the same dangers as laws that regulate speech based on viewpoint.  Limiting speech based on its ‘topic’ or ‘subject’ favors those who do not want to disturb the status quo.  Such regulations may interfere with democratic self-government and the search for truth.”].)</w:t>
      </w:r>
    </w:p>
    <w:p w14:paraId="3705A839"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There are, however, several exceptions to the general presumption that content-based restrictions are unconstitutional. </w:t>
      </w:r>
      <w:r w:rsidR="00187775">
        <w:rPr>
          <w:rFonts w:ascii="Century Schoolbook" w:hAnsi="Century Schoolbook"/>
          <w:sz w:val="27"/>
          <w:szCs w:val="27"/>
        </w:rPr>
        <w:t xml:space="preserve"> </w:t>
      </w:r>
      <w:r w:rsidRPr="00CC0E38">
        <w:rPr>
          <w:rFonts w:ascii="Century Schoolbook" w:hAnsi="Century Schoolbook"/>
          <w:sz w:val="27"/>
          <w:szCs w:val="27"/>
        </w:rPr>
        <w:t xml:space="preserve">(See, e.g., Fallon, </w:t>
      </w:r>
      <w:r w:rsidRPr="00CC0E38">
        <w:rPr>
          <w:rFonts w:ascii="Century Schoolbook" w:hAnsi="Century Schoolbook"/>
          <w:i/>
          <w:iCs/>
          <w:sz w:val="27"/>
          <w:szCs w:val="27"/>
        </w:rPr>
        <w:t>Sexual Harassment, Content Neutrality, and the First Amendment Dog That Didn’t Bark</w:t>
      </w:r>
      <w:r w:rsidRPr="00CC0E38">
        <w:rPr>
          <w:rFonts w:ascii="Century Schoolbook" w:hAnsi="Century Schoolbook"/>
          <w:sz w:val="27"/>
          <w:szCs w:val="27"/>
        </w:rPr>
        <w:t xml:space="preserve"> </w:t>
      </w:r>
      <w:r w:rsidR="00527E55">
        <w:rPr>
          <w:rFonts w:ascii="Century Schoolbook" w:hAnsi="Century Schoolbook"/>
          <w:sz w:val="27"/>
          <w:szCs w:val="27"/>
        </w:rPr>
        <w:t>(</w:t>
      </w:r>
      <w:r w:rsidRPr="00CC0E38">
        <w:rPr>
          <w:rFonts w:ascii="Century Schoolbook" w:hAnsi="Century Schoolbook"/>
          <w:sz w:val="27"/>
          <w:szCs w:val="27"/>
        </w:rPr>
        <w:t>1994</w:t>
      </w:r>
      <w:r w:rsidR="00527E55">
        <w:rPr>
          <w:rFonts w:ascii="Century Schoolbook" w:hAnsi="Century Schoolbook"/>
          <w:sz w:val="27"/>
          <w:szCs w:val="27"/>
        </w:rPr>
        <w:t>)</w:t>
      </w:r>
      <w:r w:rsidRPr="00CC0E38">
        <w:rPr>
          <w:rFonts w:ascii="Century Schoolbook" w:hAnsi="Century Schoolbook"/>
          <w:sz w:val="27"/>
          <w:szCs w:val="27"/>
        </w:rPr>
        <w:t xml:space="preserve"> Sup. Ct. Rev. 1, 23; </w:t>
      </w:r>
      <w:r w:rsidRPr="00CC0E38">
        <w:rPr>
          <w:rFonts w:ascii="Century Schoolbook" w:hAnsi="Century Schoolbook"/>
          <w:i/>
          <w:iCs/>
          <w:sz w:val="27"/>
          <w:szCs w:val="27"/>
        </w:rPr>
        <w:t>Ralphs Grocery Co. v. United Food &amp; Commercial Workers Union Local 8</w:t>
      </w:r>
      <w:r w:rsidRPr="00CC0E38">
        <w:rPr>
          <w:rFonts w:ascii="Century Schoolbook" w:hAnsi="Century Schoolbook"/>
          <w:sz w:val="27"/>
          <w:szCs w:val="27"/>
        </w:rPr>
        <w:t xml:space="preserve"> (2012) 55 Cal.4th 1083, 1113–1114 (conc. opn. of Liu, J.).)  Commercial speech constitutes one such exception.  As the high court has explained, “ ‘commercial speech [enjoys] a limited measure of protection, commensurate with its subordinate position in the scale of First Amendment values,’ and is subject to ‘modes of regulation that might be impermissible in the realm of noncommercial </w:t>
      </w:r>
      <w:r w:rsidRPr="00CC0E38">
        <w:rPr>
          <w:rFonts w:ascii="Century Schoolbook" w:hAnsi="Century Schoolbook"/>
          <w:sz w:val="27"/>
          <w:szCs w:val="27"/>
        </w:rPr>
        <w:lastRenderedPageBreak/>
        <w:t>expression.’ ”  (</w:t>
      </w:r>
      <w:r w:rsidRPr="00CC0E38">
        <w:rPr>
          <w:rFonts w:ascii="Century Schoolbook" w:hAnsi="Century Schoolbook"/>
          <w:i/>
          <w:iCs/>
          <w:sz w:val="27"/>
          <w:szCs w:val="27"/>
        </w:rPr>
        <w:t>Board of Trustees, State Univ. of N.Y. v. Fox</w:t>
      </w:r>
      <w:r w:rsidRPr="00CC0E38">
        <w:rPr>
          <w:rFonts w:ascii="Century Schoolbook" w:hAnsi="Century Schoolbook"/>
          <w:sz w:val="27"/>
          <w:szCs w:val="27"/>
        </w:rPr>
        <w:t xml:space="preserve"> (1989) 492 U.S. 469, 477.)  Commercial speech restrictions — which not infrequently target speech based on its communicative content — are instead subject to “ ‘intermediate’ scrutiny . . . under the framework set forth in </w:t>
      </w:r>
      <w:r w:rsidRPr="00CC0E38">
        <w:rPr>
          <w:rFonts w:ascii="Century Schoolbook" w:hAnsi="Century Schoolbook"/>
          <w:i/>
          <w:iCs/>
          <w:sz w:val="27"/>
          <w:szCs w:val="27"/>
        </w:rPr>
        <w:t>Central Hudson</w:t>
      </w:r>
      <w:r w:rsidRPr="00CC0E38">
        <w:rPr>
          <w:rFonts w:ascii="Century Schoolbook" w:hAnsi="Century Schoolbook"/>
          <w:sz w:val="27"/>
          <w:szCs w:val="27"/>
        </w:rPr>
        <w:t>[,</w:t>
      </w:r>
      <w:r w:rsidR="00304BA0">
        <w:rPr>
          <w:rFonts w:ascii="Century Schoolbook" w:hAnsi="Century Schoolbook"/>
          <w:sz w:val="27"/>
          <w:szCs w:val="27"/>
        </w:rPr>
        <w:t> </w:t>
      </w:r>
      <w:r w:rsidRPr="00CC0E38">
        <w:rPr>
          <w:rFonts w:ascii="Century Schoolbook" w:hAnsi="Century Schoolbook"/>
          <w:i/>
          <w:iCs/>
          <w:sz w:val="27"/>
          <w:szCs w:val="27"/>
        </w:rPr>
        <w:t>supra</w:t>
      </w:r>
      <w:r w:rsidRPr="00CC0E38">
        <w:rPr>
          <w:rFonts w:ascii="Century Schoolbook" w:hAnsi="Century Schoolbook"/>
          <w:sz w:val="27"/>
          <w:szCs w:val="27"/>
        </w:rPr>
        <w:t>, 447 U.S. 557].”  (</w:t>
      </w:r>
      <w:r w:rsidRPr="00CC0E38">
        <w:rPr>
          <w:rFonts w:ascii="Century Schoolbook" w:hAnsi="Century Schoolbook"/>
          <w:i/>
          <w:iCs/>
          <w:sz w:val="27"/>
          <w:szCs w:val="27"/>
        </w:rPr>
        <w:t>Florida Bar v. Went For It, Inc.</w:t>
      </w:r>
      <w:r w:rsidRPr="00CC0E38">
        <w:rPr>
          <w:rFonts w:ascii="Century Schoolbook" w:hAnsi="Century Schoolbook"/>
          <w:sz w:val="27"/>
          <w:szCs w:val="27"/>
        </w:rPr>
        <w:t xml:space="preserve"> (1995) 515 U.S. 618, 623.)</w:t>
      </w:r>
    </w:p>
    <w:p w14:paraId="3705A83A" w14:textId="77777777" w:rsidR="00CC0E38" w:rsidRPr="00CC0E38" w:rsidRDefault="00000000" w:rsidP="00CC0E38">
      <w:pPr>
        <w:spacing w:after="100" w:line="400" w:lineRule="exact"/>
        <w:ind w:firstLine="720"/>
        <w:jc w:val="both"/>
        <w:rPr>
          <w:rFonts w:ascii="Century Schoolbook" w:hAnsi="Century Schoolbook"/>
          <w:sz w:val="27"/>
          <w:szCs w:val="27"/>
        </w:rPr>
      </w:pPr>
      <w:r>
        <w:rPr>
          <w:rFonts w:ascii="Century Schoolbook" w:hAnsi="Century Schoolbook"/>
          <w:sz w:val="27"/>
          <w:szCs w:val="27"/>
        </w:rPr>
        <w:t>T</w:t>
      </w:r>
      <w:r w:rsidRPr="00CC0E38">
        <w:rPr>
          <w:rFonts w:ascii="Century Schoolbook" w:hAnsi="Century Schoolbook"/>
          <w:sz w:val="27"/>
          <w:szCs w:val="27"/>
        </w:rPr>
        <w:t xml:space="preserve">he Attorney General argues that if the prohibition on notification arrangements is not subject to deferential review under </w:t>
      </w:r>
      <w:r w:rsidRPr="00CC0E38">
        <w:rPr>
          <w:rFonts w:ascii="Century Schoolbook" w:hAnsi="Century Schoolbook"/>
          <w:i/>
          <w:iCs/>
          <w:sz w:val="27"/>
          <w:szCs w:val="27"/>
        </w:rPr>
        <w:t>Turner</w:t>
      </w:r>
      <w:r w:rsidRPr="00CC0E38">
        <w:rPr>
          <w:rFonts w:ascii="Century Schoolbook" w:hAnsi="Century Schoolbook"/>
          <w:sz w:val="27"/>
          <w:szCs w:val="27"/>
        </w:rPr>
        <w:t xml:space="preserve">, the regulation aims at speech that is inextricably bound up with traditional regulation of commercial activity and thus at most should be subject to intermediate scrutiny, not strict scrutiny.  </w:t>
      </w:r>
      <w:r w:rsidR="00EB61FF">
        <w:rPr>
          <w:rFonts w:ascii="Century Schoolbook" w:hAnsi="Century Schoolbook"/>
          <w:sz w:val="27"/>
          <w:szCs w:val="27"/>
        </w:rPr>
        <w:t>To the extent that section 2076 impinges on a protected speech right, w</w:t>
      </w:r>
      <w:r w:rsidR="003008E5">
        <w:rPr>
          <w:rFonts w:ascii="Century Schoolbook" w:hAnsi="Century Schoolbook"/>
          <w:sz w:val="27"/>
          <w:szCs w:val="27"/>
        </w:rPr>
        <w:t>e</w:t>
      </w:r>
      <w:r w:rsidRPr="00CC0E38">
        <w:rPr>
          <w:rFonts w:ascii="Century Schoolbook" w:hAnsi="Century Schoolbook"/>
          <w:sz w:val="27"/>
          <w:szCs w:val="27"/>
        </w:rPr>
        <w:t xml:space="preserve"> agree </w:t>
      </w:r>
      <w:r w:rsidR="00EB61FF">
        <w:rPr>
          <w:rFonts w:ascii="Century Schoolbook" w:hAnsi="Century Schoolbook"/>
          <w:sz w:val="27"/>
          <w:szCs w:val="27"/>
        </w:rPr>
        <w:t xml:space="preserve">with the Attorney General </w:t>
      </w:r>
      <w:r w:rsidRPr="00CC0E38">
        <w:rPr>
          <w:rFonts w:ascii="Century Schoolbook" w:hAnsi="Century Schoolbook"/>
          <w:sz w:val="27"/>
          <w:szCs w:val="27"/>
        </w:rPr>
        <w:t xml:space="preserve">that intermediate </w:t>
      </w:r>
      <w:r w:rsidR="007579D6">
        <w:rPr>
          <w:rFonts w:ascii="Century Schoolbook" w:hAnsi="Century Schoolbook"/>
          <w:sz w:val="27"/>
          <w:szCs w:val="27"/>
        </w:rPr>
        <w:t xml:space="preserve">scrutiny </w:t>
      </w:r>
      <w:r w:rsidRPr="00CC0E38">
        <w:rPr>
          <w:rFonts w:ascii="Century Schoolbook" w:hAnsi="Century Schoolbook"/>
          <w:sz w:val="27"/>
          <w:szCs w:val="27"/>
        </w:rPr>
        <w:t>is the more appropriate standard.</w:t>
      </w:r>
    </w:p>
    <w:p w14:paraId="3705A83B"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The Attorney General’s argument </w:t>
      </w:r>
      <w:r w:rsidR="00851125">
        <w:rPr>
          <w:rFonts w:ascii="Century Schoolbook" w:hAnsi="Century Schoolbook"/>
          <w:sz w:val="27"/>
          <w:szCs w:val="27"/>
        </w:rPr>
        <w:t xml:space="preserve">in this regard </w:t>
      </w:r>
      <w:r w:rsidRPr="00CC0E38">
        <w:rPr>
          <w:rFonts w:ascii="Century Schoolbook" w:hAnsi="Century Schoolbook"/>
          <w:sz w:val="27"/>
          <w:szCs w:val="27"/>
        </w:rPr>
        <w:t xml:space="preserve">relies heavily on cases addressing the contours of the commercial speech doctrine.  As the Court of Appeal in this case correctly observed, this case differs from many of those cases in that it does not involve restrictions on advertising or solicitation — at least, not directly.  (See </w:t>
      </w:r>
      <w:r w:rsidRPr="00CC0E38">
        <w:rPr>
          <w:rFonts w:ascii="Century Schoolbook" w:hAnsi="Century Schoolbook"/>
          <w:i/>
          <w:iCs/>
          <w:sz w:val="27"/>
          <w:szCs w:val="27"/>
        </w:rPr>
        <w:t>Martinez</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xml:space="preserve">, 59 Cal.App.5th at pp. 304–305; see also, e.g., </w:t>
      </w:r>
      <w:r w:rsidRPr="00CC0E38">
        <w:rPr>
          <w:rFonts w:ascii="Century Schoolbook" w:hAnsi="Century Schoolbook"/>
          <w:i/>
          <w:iCs/>
          <w:sz w:val="27"/>
          <w:szCs w:val="27"/>
        </w:rPr>
        <w:t>Va. Pharmacy Bd. v. Va. Consumer Council</w:t>
      </w:r>
      <w:r w:rsidRPr="00CC0E38">
        <w:rPr>
          <w:rFonts w:ascii="Century Schoolbook" w:hAnsi="Century Schoolbook"/>
          <w:sz w:val="27"/>
          <w:szCs w:val="27"/>
        </w:rPr>
        <w:t xml:space="preserve"> (1976) 425 U.S. 748, 761–770 [prohibition on advertising prescription drug prices]; </w:t>
      </w:r>
      <w:r w:rsidRPr="00CC0E38">
        <w:rPr>
          <w:rFonts w:ascii="Century Schoolbook" w:hAnsi="Century Schoolbook"/>
          <w:i/>
          <w:iCs/>
          <w:sz w:val="27"/>
          <w:szCs w:val="27"/>
        </w:rPr>
        <w:t>Central Hudson</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xml:space="preserve">, 447 U.S. at pp. 563–566 [prohibition on promotional advertising by a utility]; </w:t>
      </w:r>
      <w:r w:rsidRPr="00CC0E38">
        <w:rPr>
          <w:rFonts w:ascii="Century Schoolbook" w:hAnsi="Century Schoolbook"/>
          <w:i/>
          <w:iCs/>
          <w:sz w:val="27"/>
          <w:szCs w:val="27"/>
        </w:rPr>
        <w:t>Lorillard Tobacco Co. v. Reilly</w:t>
      </w:r>
      <w:r w:rsidRPr="00CC0E38">
        <w:rPr>
          <w:rFonts w:ascii="Century Schoolbook" w:hAnsi="Century Schoolbook"/>
          <w:sz w:val="27"/>
          <w:szCs w:val="27"/>
        </w:rPr>
        <w:t xml:space="preserve"> (2001) 533 U.S. 525, 553–554 [restrictions on the sale, promotion, and labeling of tobacco products]; </w:t>
      </w:r>
      <w:r w:rsidRPr="00CC0E38">
        <w:rPr>
          <w:rFonts w:ascii="Century Schoolbook" w:hAnsi="Century Schoolbook"/>
          <w:i/>
          <w:iCs/>
          <w:sz w:val="27"/>
          <w:szCs w:val="27"/>
        </w:rPr>
        <w:t>44 Liquormart, Inc. v. Rhode Island</w:t>
      </w:r>
      <w:r w:rsidRPr="00CC0E38">
        <w:rPr>
          <w:rFonts w:ascii="Century Schoolbook" w:hAnsi="Century Schoolbook"/>
          <w:sz w:val="27"/>
          <w:szCs w:val="27"/>
        </w:rPr>
        <w:t xml:space="preserve"> (1996) 517 U.S. 484, 501–504 [prohibition on advertising liquor prices].)  </w:t>
      </w:r>
    </w:p>
    <w:p w14:paraId="3705A83C" w14:textId="77777777" w:rsidR="00D44650" w:rsidRDefault="00000000" w:rsidP="00E45A39">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lastRenderedPageBreak/>
        <w:t>But while the commercial speech doctrine has most commonly been applied to such restrictions, the doctrine is not so limited.  “Although commercial speech is often described as ‘speech proposing a commercial transaction’ [citation], the high court has also referred to commercial speech more broadly as ‘expression related solely to the economic interests of the speaker and its audience’ (</w:t>
      </w:r>
      <w:r w:rsidRPr="00CC0E38">
        <w:rPr>
          <w:rFonts w:ascii="Century Schoolbook" w:hAnsi="Century Schoolbook"/>
          <w:i/>
          <w:iCs/>
          <w:sz w:val="27"/>
          <w:szCs w:val="27"/>
        </w:rPr>
        <w:t>Central Hudson</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447 U.S. at p. 561).”  (</w:t>
      </w:r>
      <w:r w:rsidR="00435AAE" w:rsidRPr="00CC0E38">
        <w:rPr>
          <w:rFonts w:ascii="Century Schoolbook" w:hAnsi="Century Schoolbook"/>
          <w:i/>
          <w:iCs/>
          <w:sz w:val="27"/>
          <w:szCs w:val="27"/>
        </w:rPr>
        <w:t>Beeman v. Anthem Prescription Management, LLC</w:t>
      </w:r>
      <w:r w:rsidR="00435AAE" w:rsidRPr="00CC0E38">
        <w:rPr>
          <w:rFonts w:ascii="Century Schoolbook" w:hAnsi="Century Schoolbook"/>
          <w:sz w:val="27"/>
          <w:szCs w:val="27"/>
        </w:rPr>
        <w:t xml:space="preserve"> (2013) 58 Cal.4th 329, 35</w:t>
      </w:r>
      <w:r w:rsidR="00435AAE">
        <w:rPr>
          <w:rFonts w:ascii="Century Schoolbook" w:hAnsi="Century Schoolbook"/>
          <w:sz w:val="27"/>
          <w:szCs w:val="27"/>
        </w:rPr>
        <w:t>2</w:t>
      </w:r>
      <w:r w:rsidR="00435AAE" w:rsidRPr="00CC0E38">
        <w:rPr>
          <w:rFonts w:ascii="Century Schoolbook" w:hAnsi="Century Schoolbook"/>
          <w:sz w:val="27"/>
          <w:szCs w:val="27"/>
        </w:rPr>
        <w:t xml:space="preserve"> (</w:t>
      </w:r>
      <w:r w:rsidR="00435AAE" w:rsidRPr="00CC0E38">
        <w:rPr>
          <w:rFonts w:ascii="Century Schoolbook" w:hAnsi="Century Schoolbook"/>
          <w:i/>
          <w:iCs/>
          <w:sz w:val="27"/>
          <w:szCs w:val="27"/>
        </w:rPr>
        <w:t>Beeman</w:t>
      </w:r>
      <w:r w:rsidR="00435AAE" w:rsidRPr="00CC0E38">
        <w:rPr>
          <w:rFonts w:ascii="Century Schoolbook" w:hAnsi="Century Schoolbook"/>
          <w:sz w:val="27"/>
          <w:szCs w:val="27"/>
        </w:rPr>
        <w:t>).)</w:t>
      </w:r>
      <w:r w:rsidRPr="00CC0E38">
        <w:rPr>
          <w:rFonts w:ascii="Century Schoolbook" w:hAnsi="Century Schoolbook"/>
          <w:sz w:val="27"/>
          <w:szCs w:val="27"/>
        </w:rPr>
        <w:t xml:space="preserve">  </w:t>
      </w:r>
      <w:r w:rsidR="00551087">
        <w:rPr>
          <w:rFonts w:ascii="Century Schoolbook" w:hAnsi="Century Schoolbook"/>
          <w:sz w:val="27"/>
          <w:szCs w:val="27"/>
        </w:rPr>
        <w:t xml:space="preserve">Exploring </w:t>
      </w:r>
      <w:r w:rsidR="00334BC6">
        <w:rPr>
          <w:rFonts w:ascii="Century Schoolbook" w:hAnsi="Century Schoolbook"/>
          <w:sz w:val="27"/>
          <w:szCs w:val="27"/>
        </w:rPr>
        <w:t>the high court’s guidance</w:t>
      </w:r>
      <w:r w:rsidRPr="00CC0E38">
        <w:rPr>
          <w:rFonts w:ascii="Century Schoolbook" w:hAnsi="Century Schoolbook"/>
          <w:sz w:val="27"/>
          <w:szCs w:val="27"/>
        </w:rPr>
        <w:t>, we held</w:t>
      </w:r>
      <w:r w:rsidR="0012403C">
        <w:rPr>
          <w:rFonts w:ascii="Century Schoolbook" w:hAnsi="Century Schoolbook"/>
          <w:sz w:val="27"/>
          <w:szCs w:val="27"/>
        </w:rPr>
        <w:t xml:space="preserve"> in </w:t>
      </w:r>
      <w:r w:rsidR="0012403C">
        <w:rPr>
          <w:rFonts w:ascii="Century Schoolbook" w:hAnsi="Century Schoolbook"/>
          <w:i/>
          <w:iCs/>
          <w:sz w:val="27"/>
          <w:szCs w:val="27"/>
        </w:rPr>
        <w:t>Beeman</w:t>
      </w:r>
      <w:r w:rsidRPr="00CC0E38">
        <w:rPr>
          <w:rFonts w:ascii="Century Schoolbook" w:hAnsi="Century Schoolbook"/>
          <w:sz w:val="27"/>
          <w:szCs w:val="27"/>
        </w:rPr>
        <w:t xml:space="preserve"> that the commercial speech doctrine applied to a law requiring prescription drug claims processors to transmit a report on pharmacy fees to their clients.  (</w:t>
      </w:r>
      <w:r w:rsidRPr="00CC0E38">
        <w:rPr>
          <w:rFonts w:ascii="Century Schoolbook" w:hAnsi="Century Schoolbook"/>
          <w:i/>
          <w:iCs/>
          <w:sz w:val="27"/>
          <w:szCs w:val="27"/>
        </w:rPr>
        <w:t>Ibid.</w:t>
      </w:r>
      <w:r w:rsidRPr="00CC0E38">
        <w:rPr>
          <w:rFonts w:ascii="Century Schoolbook" w:hAnsi="Century Schoolbook"/>
          <w:sz w:val="27"/>
          <w:szCs w:val="27"/>
        </w:rPr>
        <w:t>)  We explained that although the required report does not “ ‘propose[] a commercial transaction between the speaker . . . and its audience,’ ” that “does not necessarily mean the report is not commercial speech.”  (</w:t>
      </w:r>
      <w:r w:rsidRPr="00CC0E38">
        <w:rPr>
          <w:rFonts w:ascii="Century Schoolbook" w:hAnsi="Century Schoolbook"/>
          <w:i/>
          <w:iCs/>
          <w:sz w:val="27"/>
          <w:szCs w:val="27"/>
        </w:rPr>
        <w:t>Ibid.</w:t>
      </w:r>
      <w:r w:rsidRPr="00CC0E38">
        <w:rPr>
          <w:rFonts w:ascii="Century Schoolbook" w:hAnsi="Century Schoolbook"/>
          <w:sz w:val="27"/>
          <w:szCs w:val="27"/>
        </w:rPr>
        <w:t xml:space="preserve">)  We cited several factors in support of the conclusion that the statute was, in fact, a commercial speech regulation.  The statute, we explained, “operates in a commercial setting [and] prescribes a specific communication that a business entity must make to its clients”; the communication in question is “related to the economic interests of prescription drug claims processors and their clients”; and the communication </w:t>
      </w:r>
      <w:r w:rsidR="00D35B37">
        <w:rPr>
          <w:rFonts w:ascii="Century Schoolbook" w:hAnsi="Century Schoolbook"/>
          <w:sz w:val="27"/>
          <w:szCs w:val="27"/>
        </w:rPr>
        <w:t xml:space="preserve">is </w:t>
      </w:r>
      <w:r w:rsidRPr="00CC0E38">
        <w:rPr>
          <w:rFonts w:ascii="Century Schoolbook" w:hAnsi="Century Schoolbook"/>
          <w:sz w:val="27"/>
          <w:szCs w:val="27"/>
        </w:rPr>
        <w:t>“</w:t>
      </w:r>
      <w:r w:rsidR="008115E0">
        <w:rPr>
          <w:rFonts w:ascii="Century Schoolbook" w:hAnsi="Century Schoolbook"/>
          <w:sz w:val="27"/>
          <w:szCs w:val="27"/>
        </w:rPr>
        <w:t> ‘ “ ‘</w:t>
      </w:r>
      <w:r w:rsidRPr="00CC0E38">
        <w:rPr>
          <w:rFonts w:ascii="Century Schoolbook" w:hAnsi="Century Schoolbook"/>
          <w:sz w:val="27"/>
          <w:szCs w:val="27"/>
        </w:rPr>
        <w:t>linked inextricably</w:t>
      </w:r>
      <w:r w:rsidR="008115E0">
        <w:rPr>
          <w:rFonts w:ascii="Century Schoolbook" w:hAnsi="Century Schoolbook"/>
          <w:sz w:val="27"/>
          <w:szCs w:val="27"/>
        </w:rPr>
        <w:t>’ ” ’ </w:t>
      </w:r>
      <w:r w:rsidRPr="00CC0E38">
        <w:rPr>
          <w:rFonts w:ascii="Century Schoolbook" w:hAnsi="Century Schoolbook"/>
          <w:sz w:val="27"/>
          <w:szCs w:val="27"/>
        </w:rPr>
        <w:t>” to commercial transactions within the government’s power to regulate “ ‘to prevent commercial harms.’ ”</w:t>
      </w:r>
      <w:r>
        <w:rPr>
          <w:rFonts w:ascii="Century Schoolbook" w:hAnsi="Century Schoolbook"/>
          <w:b/>
          <w:bCs/>
          <w:position w:val="4"/>
          <w:sz w:val="27"/>
          <w:szCs w:val="27"/>
          <w:vertAlign w:val="superscript"/>
        </w:rPr>
        <w:footnoteReference w:id="14"/>
      </w:r>
      <w:r w:rsidRPr="00385DF8">
        <w:rPr>
          <w:rFonts w:ascii="Century Schoolbook" w:hAnsi="Century Schoolbook"/>
          <w:sz w:val="27"/>
          <w:szCs w:val="27"/>
        </w:rPr>
        <w:t xml:space="preserve">  </w:t>
      </w:r>
      <w:r w:rsidRPr="00CC0E38">
        <w:rPr>
          <w:rFonts w:ascii="Century Schoolbook" w:hAnsi="Century Schoolbook"/>
          <w:sz w:val="27"/>
          <w:szCs w:val="27"/>
        </w:rPr>
        <w:t>(</w:t>
      </w:r>
      <w:r w:rsidRPr="00CC0E38">
        <w:rPr>
          <w:rFonts w:ascii="Century Schoolbook" w:hAnsi="Century Schoolbook"/>
          <w:i/>
          <w:iCs/>
          <w:sz w:val="27"/>
          <w:szCs w:val="27"/>
        </w:rPr>
        <w:t>Beeman</w:t>
      </w:r>
      <w:r w:rsidRPr="00CC0E38">
        <w:rPr>
          <w:rFonts w:ascii="Century Schoolbook" w:hAnsi="Century Schoolbook"/>
          <w:sz w:val="27"/>
          <w:szCs w:val="27"/>
        </w:rPr>
        <w:t xml:space="preserve">, at p. 352, </w:t>
      </w:r>
      <w:r w:rsidRPr="00CC0E38">
        <w:rPr>
          <w:rFonts w:ascii="Century Schoolbook" w:hAnsi="Century Schoolbook"/>
          <w:sz w:val="27"/>
          <w:szCs w:val="27"/>
        </w:rPr>
        <w:lastRenderedPageBreak/>
        <w:t xml:space="preserve">quoting </w:t>
      </w:r>
      <w:r w:rsidRPr="00CC0E38">
        <w:rPr>
          <w:rFonts w:ascii="Century Schoolbook" w:hAnsi="Century Schoolbook"/>
          <w:i/>
          <w:iCs/>
          <w:sz w:val="27"/>
          <w:szCs w:val="27"/>
        </w:rPr>
        <w:t>Kasky v. Nike, Inc.</w:t>
      </w:r>
      <w:r w:rsidRPr="00CC0E38">
        <w:rPr>
          <w:rFonts w:ascii="Century Schoolbook" w:hAnsi="Century Schoolbook"/>
          <w:sz w:val="27"/>
          <w:szCs w:val="27"/>
        </w:rPr>
        <w:t xml:space="preserve"> (2002) 27 Cal.4th 939, 955.)</w:t>
      </w:r>
      <w:r>
        <w:rPr>
          <w:rFonts w:ascii="Century Schoolbook" w:hAnsi="Century Schoolbook"/>
          <w:sz w:val="27"/>
          <w:szCs w:val="27"/>
        </w:rPr>
        <w:t xml:space="preserve">  </w:t>
      </w:r>
      <w:r w:rsidRPr="00CC0E38">
        <w:rPr>
          <w:rFonts w:ascii="Century Schoolbook" w:hAnsi="Century Schoolbook"/>
          <w:sz w:val="27"/>
          <w:szCs w:val="27"/>
        </w:rPr>
        <w:t xml:space="preserve">Other courts have focused on similar factors to reach similar conclusions about laws operating outside the narrow context of marketing and advertising restrictions.  (See, e.g., </w:t>
      </w:r>
      <w:r w:rsidRPr="00CC0E38">
        <w:rPr>
          <w:rFonts w:ascii="Century Schoolbook" w:hAnsi="Century Schoolbook"/>
          <w:i/>
          <w:iCs/>
          <w:sz w:val="27"/>
          <w:szCs w:val="27"/>
        </w:rPr>
        <w:t xml:space="preserve">Greater Philadelphia Chamber v. City of Phila. </w:t>
      </w:r>
      <w:r w:rsidRPr="00CC0E38">
        <w:rPr>
          <w:rFonts w:ascii="Century Schoolbook" w:hAnsi="Century Schoolbook"/>
          <w:sz w:val="27"/>
          <w:szCs w:val="27"/>
        </w:rPr>
        <w:t>(3d Cir. 2020) 949 F.3d 116, 136–137 [applying the commercial speech framework to a city ordinance prohibiting employers from inquiring into a prospective employee’s wage history in the process of setting or negotiating that employee’s wage]</w:t>
      </w:r>
      <w:r w:rsidR="00711A17">
        <w:rPr>
          <w:rFonts w:ascii="Century Schoolbook" w:hAnsi="Century Schoolbook"/>
          <w:sz w:val="27"/>
          <w:szCs w:val="27"/>
        </w:rPr>
        <w:t xml:space="preserve">; </w:t>
      </w:r>
      <w:r w:rsidR="00264720">
        <w:rPr>
          <w:rFonts w:ascii="Century Schoolbook" w:hAnsi="Century Schoolbook"/>
          <w:sz w:val="27"/>
          <w:szCs w:val="27"/>
        </w:rPr>
        <w:t xml:space="preserve">see also </w:t>
      </w:r>
      <w:r w:rsidR="006A6A80">
        <w:rPr>
          <w:rFonts w:ascii="Century Schoolbook" w:hAnsi="Century Schoolbook"/>
          <w:i/>
          <w:iCs/>
          <w:sz w:val="27"/>
          <w:szCs w:val="27"/>
        </w:rPr>
        <w:t xml:space="preserve">Yim v. City of Seattle </w:t>
      </w:r>
      <w:r w:rsidR="006A6A80">
        <w:rPr>
          <w:rFonts w:ascii="Century Schoolbook" w:hAnsi="Century Schoolbook"/>
          <w:sz w:val="27"/>
          <w:szCs w:val="27"/>
        </w:rPr>
        <w:t>(9th Cir. 2023) 63 F.4th 783, 799</w:t>
      </w:r>
      <w:r w:rsidR="006A6A80" w:rsidRPr="00CC0E38">
        <w:rPr>
          <w:rFonts w:ascii="Century Schoolbook" w:hAnsi="Century Schoolbook"/>
          <w:sz w:val="27"/>
          <w:szCs w:val="27"/>
        </w:rPr>
        <w:t>–</w:t>
      </w:r>
      <w:r w:rsidR="006A6A80">
        <w:rPr>
          <w:rFonts w:ascii="Century Schoolbook" w:hAnsi="Century Schoolbook"/>
          <w:sz w:val="27"/>
          <w:szCs w:val="27"/>
        </w:rPr>
        <w:t xml:space="preserve">801 (conc. opn. of Wardlaw, J.) [concluding that a city ordinance prohibiting landlords from inquiring into the criminal history of </w:t>
      </w:r>
      <w:r w:rsidR="00DA61C4">
        <w:rPr>
          <w:rFonts w:ascii="Century Schoolbook" w:hAnsi="Century Schoolbook"/>
          <w:sz w:val="27"/>
          <w:szCs w:val="27"/>
        </w:rPr>
        <w:t xml:space="preserve">current and </w:t>
      </w:r>
      <w:r w:rsidR="006A6A80">
        <w:rPr>
          <w:rFonts w:ascii="Century Schoolbook" w:hAnsi="Century Schoolbook"/>
          <w:sz w:val="27"/>
          <w:szCs w:val="27"/>
        </w:rPr>
        <w:t xml:space="preserve">prospective tenants regulates commercial speech]; </w:t>
      </w:r>
      <w:r w:rsidR="006A6A80">
        <w:rPr>
          <w:rFonts w:ascii="Century Schoolbook" w:hAnsi="Century Schoolbook"/>
          <w:i/>
          <w:iCs/>
          <w:sz w:val="27"/>
          <w:szCs w:val="27"/>
        </w:rPr>
        <w:t>id.</w:t>
      </w:r>
      <w:r w:rsidR="006A6A80">
        <w:rPr>
          <w:rFonts w:ascii="Century Schoolbook" w:hAnsi="Century Schoolbook"/>
          <w:sz w:val="27"/>
          <w:szCs w:val="27"/>
        </w:rPr>
        <w:t xml:space="preserve"> at p.</w:t>
      </w:r>
      <w:r w:rsidR="00385DF8">
        <w:rPr>
          <w:rFonts w:ascii="Century Schoolbook" w:hAnsi="Century Schoolbook"/>
          <w:sz w:val="27"/>
          <w:szCs w:val="27"/>
        </w:rPr>
        <w:t> </w:t>
      </w:r>
      <w:r w:rsidR="006A6A80">
        <w:rPr>
          <w:rFonts w:ascii="Century Schoolbook" w:hAnsi="Century Schoolbook"/>
          <w:sz w:val="27"/>
          <w:szCs w:val="27"/>
        </w:rPr>
        <w:t>809 (conc. &amp; dis. opn. of Gould, J.) [agreeing that the regulated speech is commercial in nature]</w:t>
      </w:r>
      <w:r w:rsidRPr="00CC0E38">
        <w:rPr>
          <w:rFonts w:ascii="Century Schoolbook" w:hAnsi="Century Schoolbook"/>
          <w:sz w:val="27"/>
          <w:szCs w:val="27"/>
        </w:rPr>
        <w:t>.)</w:t>
      </w:r>
    </w:p>
    <w:p w14:paraId="3705A83D" w14:textId="77777777" w:rsidR="005B4CFC" w:rsidRPr="00CC0E38" w:rsidRDefault="00000000" w:rsidP="005B4CFC">
      <w:pPr>
        <w:spacing w:after="100" w:line="400" w:lineRule="exact"/>
        <w:ind w:firstLine="720"/>
        <w:jc w:val="both"/>
        <w:rPr>
          <w:rFonts w:ascii="Century Schoolbook" w:hAnsi="Century Schoolbook"/>
          <w:sz w:val="27"/>
          <w:szCs w:val="27"/>
        </w:rPr>
      </w:pPr>
      <w:r>
        <w:rPr>
          <w:rFonts w:ascii="Century Schoolbook" w:hAnsi="Century Schoolbook"/>
          <w:sz w:val="27"/>
          <w:szCs w:val="27"/>
        </w:rPr>
        <w:t>A</w:t>
      </w:r>
      <w:r w:rsidRPr="00CC0E38">
        <w:rPr>
          <w:rFonts w:ascii="Century Schoolbook" w:hAnsi="Century Schoolbook"/>
          <w:sz w:val="27"/>
          <w:szCs w:val="27"/>
        </w:rPr>
        <w:t xml:space="preserve"> related line of cases </w:t>
      </w:r>
      <w:r w:rsidR="00481879">
        <w:rPr>
          <w:rFonts w:ascii="Century Schoolbook" w:hAnsi="Century Schoolbook"/>
          <w:sz w:val="27"/>
          <w:szCs w:val="27"/>
        </w:rPr>
        <w:t xml:space="preserve">has applied an intermediate level of scrutiny, akin to a commercial speech inquiry, to regulations restricting </w:t>
      </w:r>
      <w:r w:rsidRPr="00CC0E38">
        <w:rPr>
          <w:rFonts w:ascii="Century Schoolbook" w:hAnsi="Century Schoolbook"/>
          <w:sz w:val="27"/>
          <w:szCs w:val="27"/>
        </w:rPr>
        <w:t>sales of customer data</w:t>
      </w:r>
      <w:r w:rsidR="00481879">
        <w:rPr>
          <w:rFonts w:ascii="Century Schoolbook" w:hAnsi="Century Schoolbook"/>
          <w:sz w:val="27"/>
          <w:szCs w:val="27"/>
        </w:rPr>
        <w:t>.</w:t>
      </w:r>
      <w:r w:rsidRPr="00CC0E38">
        <w:rPr>
          <w:rFonts w:ascii="Century Schoolbook" w:hAnsi="Century Schoolbook"/>
          <w:sz w:val="27"/>
          <w:szCs w:val="27"/>
        </w:rPr>
        <w:t xml:space="preserve"> </w:t>
      </w:r>
      <w:r w:rsidR="00481879">
        <w:rPr>
          <w:rFonts w:ascii="Century Schoolbook" w:hAnsi="Century Schoolbook"/>
          <w:sz w:val="27"/>
          <w:szCs w:val="27"/>
        </w:rPr>
        <w:t xml:space="preserve"> </w:t>
      </w:r>
      <w:r w:rsidRPr="00CC0E38">
        <w:rPr>
          <w:rFonts w:ascii="Century Schoolbook" w:hAnsi="Century Schoolbook"/>
          <w:sz w:val="27"/>
          <w:szCs w:val="27"/>
        </w:rPr>
        <w:t xml:space="preserve">That line of cases begins with </w:t>
      </w:r>
      <w:r w:rsidRPr="00CC0E38">
        <w:rPr>
          <w:rFonts w:ascii="Century Schoolbook" w:hAnsi="Century Schoolbook"/>
          <w:i/>
          <w:iCs/>
          <w:sz w:val="27"/>
          <w:szCs w:val="27"/>
        </w:rPr>
        <w:t xml:space="preserve">Dun &amp; Bradstreet, Inc. v. Greenmoss Builders </w:t>
      </w:r>
      <w:r w:rsidRPr="00CC0E38">
        <w:rPr>
          <w:rFonts w:ascii="Century Schoolbook" w:hAnsi="Century Schoolbook"/>
          <w:sz w:val="27"/>
          <w:szCs w:val="27"/>
        </w:rPr>
        <w:t>(1985) 472 U.S. 749, 751 (</w:t>
      </w:r>
      <w:r w:rsidRPr="00CC0E38">
        <w:rPr>
          <w:rFonts w:ascii="Century Schoolbook" w:hAnsi="Century Schoolbook"/>
          <w:i/>
          <w:iCs/>
          <w:sz w:val="27"/>
          <w:szCs w:val="27"/>
        </w:rPr>
        <w:t>Dun &amp; Bradstreet</w:t>
      </w:r>
      <w:r w:rsidRPr="00CC0E38">
        <w:rPr>
          <w:rFonts w:ascii="Century Schoolbook" w:hAnsi="Century Schoolbook"/>
          <w:sz w:val="27"/>
          <w:szCs w:val="27"/>
        </w:rPr>
        <w:t>), in which the high court considered the First Amendment interests at stake in a defamation action against a credit reporting agency that circulated a report containing false information about a business’s financial position.  (</w:t>
      </w:r>
      <w:r w:rsidRPr="00CC0E38">
        <w:rPr>
          <w:rFonts w:ascii="Century Schoolbook" w:hAnsi="Century Schoolbook"/>
          <w:i/>
          <w:iCs/>
          <w:sz w:val="27"/>
          <w:szCs w:val="27"/>
        </w:rPr>
        <w:t>Dun &amp; Bradstreet</w:t>
      </w:r>
      <w:r w:rsidRPr="00CC0E38">
        <w:rPr>
          <w:rFonts w:ascii="Century Schoolbook" w:hAnsi="Century Schoolbook"/>
          <w:sz w:val="27"/>
          <w:szCs w:val="27"/>
        </w:rPr>
        <w:t xml:space="preserve">, at p. 751 (plur. opn. of Powell, J.).)  </w:t>
      </w:r>
      <w:r w:rsidRPr="00CC0E38">
        <w:rPr>
          <w:rFonts w:ascii="Century Schoolbook" w:hAnsi="Century Schoolbook"/>
          <w:sz w:val="27"/>
          <w:szCs w:val="27"/>
        </w:rPr>
        <w:lastRenderedPageBreak/>
        <w:t>The high court “recognized that not all speech is of equal First Amendment importance” and noted that “[i]t is speech on ‘ “matters of public concern” ’ that is ‘at the heart of the First Amendment’s protection.’ ”  (</w:t>
      </w:r>
      <w:r w:rsidRPr="00CC0E38">
        <w:rPr>
          <w:rFonts w:ascii="Century Schoolbook" w:hAnsi="Century Schoolbook"/>
          <w:i/>
          <w:iCs/>
          <w:sz w:val="27"/>
          <w:szCs w:val="27"/>
        </w:rPr>
        <w:t>Id.</w:t>
      </w:r>
      <w:r w:rsidRPr="00CC0E38">
        <w:rPr>
          <w:rFonts w:ascii="Century Schoolbook" w:hAnsi="Century Schoolbook"/>
          <w:sz w:val="27"/>
          <w:szCs w:val="27"/>
        </w:rPr>
        <w:t xml:space="preserve"> at pp. 758–759, quoting </w:t>
      </w:r>
      <w:r w:rsidRPr="00CC0E38">
        <w:rPr>
          <w:rFonts w:ascii="Century Schoolbook" w:hAnsi="Century Schoolbook"/>
          <w:i/>
          <w:iCs/>
          <w:sz w:val="27"/>
          <w:szCs w:val="27"/>
        </w:rPr>
        <w:t>First National Bank of Boston v. Bellotti</w:t>
      </w:r>
      <w:r w:rsidRPr="00CC0E38">
        <w:rPr>
          <w:rFonts w:ascii="Century Schoolbook" w:hAnsi="Century Schoolbook"/>
          <w:sz w:val="27"/>
          <w:szCs w:val="27"/>
        </w:rPr>
        <w:t xml:space="preserve"> (1978) 435 U.S. 765, 776.)  Evaluating the “ ‘content, form, and context’ ” of the credit report “ ‘as revealed by the whole record’ ” (</w:t>
      </w:r>
      <w:r w:rsidRPr="00CC0E38">
        <w:rPr>
          <w:rFonts w:ascii="Century Schoolbook" w:hAnsi="Century Schoolbook"/>
          <w:i/>
          <w:iCs/>
          <w:sz w:val="27"/>
          <w:szCs w:val="27"/>
        </w:rPr>
        <w:t>Dun &amp; Bradstreet</w:t>
      </w:r>
      <w:r w:rsidRPr="00CC0E38">
        <w:rPr>
          <w:rFonts w:ascii="Century Schoolbook" w:hAnsi="Century Schoolbook"/>
          <w:sz w:val="27"/>
          <w:szCs w:val="27"/>
        </w:rPr>
        <w:t>, at p. 761), the high court concluded that the report contained speech on matters of purely private concern and therefore warranted reduced constitutional protection (</w:t>
      </w:r>
      <w:r w:rsidRPr="00CC0E38">
        <w:rPr>
          <w:rFonts w:ascii="Century Schoolbook" w:hAnsi="Century Schoolbook"/>
          <w:i/>
          <w:iCs/>
          <w:sz w:val="27"/>
          <w:szCs w:val="27"/>
        </w:rPr>
        <w:t>id.</w:t>
      </w:r>
      <w:r w:rsidRPr="00CC0E38">
        <w:rPr>
          <w:rFonts w:ascii="Century Schoolbook" w:hAnsi="Century Schoolbook"/>
          <w:sz w:val="27"/>
          <w:szCs w:val="27"/>
        </w:rPr>
        <w:t xml:space="preserve"> at pp. 762–763).  Specifically, the high court reasoned that the credit report “was speech solely in the individual interest of the speaker and its specific business audience”; that special protection for such credit reporting was not necessary to ensure that “ ‘debate on public issues [will] be uninhibited, robust, and wide-open’ ”; and that, like similarly profit-driven commercial speech, credit reporting was “unlikely to be deterred by incidental state regulation.”  (</w:t>
      </w:r>
      <w:r w:rsidRPr="00CC0E38">
        <w:rPr>
          <w:rFonts w:ascii="Century Schoolbook" w:hAnsi="Century Schoolbook"/>
          <w:i/>
          <w:iCs/>
          <w:sz w:val="27"/>
          <w:szCs w:val="27"/>
        </w:rPr>
        <w:t xml:space="preserve">Id. </w:t>
      </w:r>
      <w:r w:rsidRPr="00CC0E38">
        <w:rPr>
          <w:rFonts w:ascii="Century Schoolbook" w:hAnsi="Century Schoolbook"/>
          <w:sz w:val="27"/>
          <w:szCs w:val="27"/>
        </w:rPr>
        <w:t>at p. 762.)</w:t>
      </w:r>
      <w:r>
        <w:rPr>
          <w:rFonts w:ascii="Century Schoolbook" w:hAnsi="Century Schoolbook"/>
          <w:b/>
          <w:bCs/>
          <w:position w:val="4"/>
          <w:sz w:val="27"/>
          <w:szCs w:val="27"/>
          <w:vertAlign w:val="superscript"/>
        </w:rPr>
        <w:footnoteReference w:id="15"/>
      </w:r>
      <w:r w:rsidRPr="00CC0E38">
        <w:rPr>
          <w:rFonts w:ascii="Century Schoolbook" w:hAnsi="Century Schoolbook"/>
          <w:sz w:val="27"/>
          <w:szCs w:val="27"/>
        </w:rPr>
        <w:t xml:space="preserve">  </w:t>
      </w:r>
    </w:p>
    <w:p w14:paraId="3705A83E" w14:textId="77777777" w:rsidR="00E45A39" w:rsidRDefault="00000000" w:rsidP="005B4CFC">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Relying on </w:t>
      </w:r>
      <w:r w:rsidRPr="00CC0E38">
        <w:rPr>
          <w:rFonts w:ascii="Century Schoolbook" w:hAnsi="Century Schoolbook"/>
          <w:i/>
          <w:iCs/>
          <w:sz w:val="27"/>
          <w:szCs w:val="27"/>
        </w:rPr>
        <w:t>Dun &amp; Bradstreet</w:t>
      </w:r>
      <w:r w:rsidRPr="00CC0E38">
        <w:rPr>
          <w:rFonts w:ascii="Century Schoolbook" w:hAnsi="Century Schoolbook"/>
          <w:sz w:val="27"/>
          <w:szCs w:val="27"/>
        </w:rPr>
        <w:t>, the D.C. Circuit has declined to apply strict scrutiny to regulations that prohibit the sale of certain consumer information for purposes of targeted marketing.  (</w:t>
      </w:r>
      <w:r w:rsidRPr="00CC0E38">
        <w:rPr>
          <w:rFonts w:ascii="Century Schoolbook" w:hAnsi="Century Schoolbook"/>
          <w:i/>
          <w:iCs/>
          <w:sz w:val="27"/>
          <w:szCs w:val="27"/>
        </w:rPr>
        <w:t xml:space="preserve">Trans Union Corp. v. F.T.C. </w:t>
      </w:r>
      <w:r w:rsidRPr="00CC0E38">
        <w:rPr>
          <w:rFonts w:ascii="Century Schoolbook" w:hAnsi="Century Schoolbook"/>
          <w:sz w:val="27"/>
          <w:szCs w:val="27"/>
        </w:rPr>
        <w:t>(D.C. Cir. 2001) 245 F.3d 809, 818</w:t>
      </w:r>
      <w:r w:rsidR="009E6849">
        <w:rPr>
          <w:rFonts w:ascii="Century Schoolbook" w:hAnsi="Century Schoolbook"/>
          <w:sz w:val="27"/>
          <w:szCs w:val="27"/>
        </w:rPr>
        <w:t xml:space="preserve"> (</w:t>
      </w:r>
      <w:r w:rsidR="009E6849">
        <w:rPr>
          <w:rFonts w:ascii="Century Schoolbook" w:hAnsi="Century Schoolbook"/>
          <w:i/>
          <w:iCs/>
          <w:sz w:val="27"/>
          <w:szCs w:val="27"/>
        </w:rPr>
        <w:t>Trans Union I</w:t>
      </w:r>
      <w:r w:rsidR="009E6849">
        <w:rPr>
          <w:rFonts w:ascii="Century Schoolbook" w:hAnsi="Century Schoolbook"/>
          <w:sz w:val="27"/>
          <w:szCs w:val="27"/>
        </w:rPr>
        <w:t>)</w:t>
      </w:r>
      <w:r w:rsidRPr="00CC0E38">
        <w:rPr>
          <w:rFonts w:ascii="Century Schoolbook" w:hAnsi="Century Schoolbook"/>
          <w:sz w:val="27"/>
          <w:szCs w:val="27"/>
        </w:rPr>
        <w:t xml:space="preserve"> [reasoning that marketing lists containing information about individual consumers and their credit performance warrant reduced constitutional protection]; </w:t>
      </w:r>
      <w:r w:rsidRPr="00CC0E38">
        <w:rPr>
          <w:rFonts w:ascii="Century Schoolbook" w:hAnsi="Century Schoolbook"/>
          <w:i/>
          <w:iCs/>
          <w:sz w:val="27"/>
          <w:szCs w:val="27"/>
        </w:rPr>
        <w:lastRenderedPageBreak/>
        <w:t xml:space="preserve">Trans Union LLC v. F.T.C. </w:t>
      </w:r>
      <w:r w:rsidRPr="00CC0E38">
        <w:rPr>
          <w:rFonts w:ascii="Century Schoolbook" w:hAnsi="Century Schoolbook"/>
          <w:sz w:val="27"/>
          <w:szCs w:val="27"/>
        </w:rPr>
        <w:t>(D.C. Cir. 2002) 295 F.3d 42, 52–53</w:t>
      </w:r>
      <w:r w:rsidR="009E6849">
        <w:rPr>
          <w:rFonts w:ascii="Century Schoolbook" w:hAnsi="Century Schoolbook"/>
          <w:sz w:val="27"/>
          <w:szCs w:val="27"/>
        </w:rPr>
        <w:t xml:space="preserve"> (</w:t>
      </w:r>
      <w:r w:rsidR="009E6849">
        <w:rPr>
          <w:rFonts w:ascii="Century Schoolbook" w:hAnsi="Century Schoolbook"/>
          <w:i/>
          <w:iCs/>
          <w:sz w:val="27"/>
          <w:szCs w:val="27"/>
        </w:rPr>
        <w:t>Trans Union II</w:t>
      </w:r>
      <w:r w:rsidR="009E6849">
        <w:rPr>
          <w:rFonts w:ascii="Century Schoolbook" w:hAnsi="Century Schoolbook"/>
          <w:sz w:val="27"/>
          <w:szCs w:val="27"/>
        </w:rPr>
        <w:t>)</w:t>
      </w:r>
      <w:r w:rsidRPr="00CC0E38">
        <w:rPr>
          <w:rFonts w:ascii="Century Schoolbook" w:hAnsi="Century Schoolbook"/>
          <w:sz w:val="27"/>
          <w:szCs w:val="27"/>
        </w:rPr>
        <w:t xml:space="preserve"> [same</w:t>
      </w:r>
      <w:r w:rsidR="00481879">
        <w:rPr>
          <w:rFonts w:ascii="Century Schoolbook" w:hAnsi="Century Schoolbook"/>
          <w:sz w:val="27"/>
          <w:szCs w:val="27"/>
        </w:rPr>
        <w:t>, suggesting that the regulations burdened only commercial speech</w:t>
      </w:r>
      <w:r w:rsidRPr="00CC0E38">
        <w:rPr>
          <w:rFonts w:ascii="Century Schoolbook" w:hAnsi="Century Schoolbook"/>
          <w:sz w:val="27"/>
          <w:szCs w:val="27"/>
        </w:rPr>
        <w:t xml:space="preserve">]; see also </w:t>
      </w:r>
      <w:r w:rsidRPr="00CC0E38">
        <w:rPr>
          <w:rFonts w:ascii="Century Schoolbook" w:hAnsi="Century Schoolbook"/>
          <w:i/>
          <w:iCs/>
          <w:sz w:val="27"/>
          <w:szCs w:val="27"/>
        </w:rPr>
        <w:t>U.S. West, Inc. v. F.C.C.</w:t>
      </w:r>
      <w:r w:rsidRPr="00CC0E38">
        <w:rPr>
          <w:rFonts w:ascii="Century Schoolbook" w:hAnsi="Century Schoolbook"/>
          <w:sz w:val="27"/>
          <w:szCs w:val="27"/>
        </w:rPr>
        <w:t xml:space="preserve"> (10th Cir. 1999) 182 F.3d 1224, 1232–1233 [applying </w:t>
      </w:r>
      <w:r w:rsidRPr="00CC0E38">
        <w:rPr>
          <w:rFonts w:ascii="Century Schoolbook" w:hAnsi="Century Schoolbook"/>
          <w:i/>
          <w:iCs/>
          <w:sz w:val="27"/>
          <w:szCs w:val="27"/>
        </w:rPr>
        <w:t>Central Hudson</w:t>
      </w:r>
      <w:r w:rsidRPr="00CC0E38">
        <w:rPr>
          <w:rFonts w:ascii="Century Schoolbook" w:hAnsi="Century Schoolbook"/>
          <w:sz w:val="27"/>
          <w:szCs w:val="27"/>
        </w:rPr>
        <w:t xml:space="preserve"> intermediate scrutiny to regulation limiting the ability of telecommunications carriers to share customer information];</w:t>
      </w:r>
      <w:r w:rsidRPr="00CC0E38">
        <w:rPr>
          <w:rFonts w:ascii="Century Schoolbook" w:hAnsi="Century Schoolbook"/>
          <w:i/>
          <w:iCs/>
          <w:sz w:val="27"/>
          <w:szCs w:val="27"/>
        </w:rPr>
        <w:t xml:space="preserve"> National Cable &amp; Telecoms. Ass’n v. F.C.C.</w:t>
      </w:r>
      <w:r w:rsidRPr="00CC0E38">
        <w:rPr>
          <w:rFonts w:ascii="Century Schoolbook" w:hAnsi="Century Schoolbook"/>
          <w:sz w:val="27"/>
          <w:szCs w:val="27"/>
        </w:rPr>
        <w:t xml:space="preserve"> (D.C. Cir. 2009) 555 F.3d 996, 1000–1001 [same, where all parties agreed that the regulated speech was commercial in nature].)  </w:t>
      </w:r>
    </w:p>
    <w:p w14:paraId="3705A83F" w14:textId="77777777" w:rsidR="00CC0E38" w:rsidRPr="00CC0E38" w:rsidRDefault="00000000" w:rsidP="00481879">
      <w:pPr>
        <w:spacing w:after="100" w:line="400" w:lineRule="exact"/>
        <w:ind w:firstLine="720"/>
        <w:jc w:val="both"/>
        <w:rPr>
          <w:rFonts w:ascii="Century Schoolbook" w:hAnsi="Century Schoolbook"/>
          <w:sz w:val="27"/>
          <w:szCs w:val="27"/>
        </w:rPr>
      </w:pPr>
      <w:r>
        <w:rPr>
          <w:rFonts w:ascii="Century Schoolbook" w:hAnsi="Century Schoolbook"/>
          <w:sz w:val="27"/>
          <w:szCs w:val="27"/>
        </w:rPr>
        <w:t>All of these cases suggest that</w:t>
      </w:r>
      <w:r w:rsidR="00EB61FF">
        <w:rPr>
          <w:rFonts w:ascii="Century Schoolbook" w:hAnsi="Century Schoolbook"/>
          <w:sz w:val="27"/>
          <w:szCs w:val="27"/>
        </w:rPr>
        <w:t>, to the extent a protected speech right is implicated here,</w:t>
      </w:r>
      <w:r>
        <w:rPr>
          <w:rFonts w:ascii="Century Schoolbook" w:hAnsi="Century Schoolbook"/>
          <w:sz w:val="27"/>
          <w:szCs w:val="27"/>
        </w:rPr>
        <w:t xml:space="preserve"> intermediate </w:t>
      </w:r>
      <w:r w:rsidR="00000615">
        <w:rPr>
          <w:rFonts w:ascii="Century Schoolbook" w:hAnsi="Century Schoolbook"/>
          <w:sz w:val="27"/>
          <w:szCs w:val="27"/>
        </w:rPr>
        <w:t xml:space="preserve">rather than strict </w:t>
      </w:r>
      <w:r>
        <w:rPr>
          <w:rFonts w:ascii="Century Schoolbook" w:hAnsi="Century Schoolbook"/>
          <w:sz w:val="27"/>
          <w:szCs w:val="27"/>
        </w:rPr>
        <w:t>scrutiny</w:t>
      </w:r>
      <w:r w:rsidR="009E6849">
        <w:rPr>
          <w:rFonts w:ascii="Century Schoolbook" w:hAnsi="Century Schoolbook"/>
          <w:sz w:val="27"/>
          <w:szCs w:val="27"/>
        </w:rPr>
        <w:t xml:space="preserve"> is the </w:t>
      </w:r>
      <w:r w:rsidR="00DA271A">
        <w:rPr>
          <w:rFonts w:ascii="Century Schoolbook" w:hAnsi="Century Schoolbook"/>
          <w:sz w:val="27"/>
          <w:szCs w:val="27"/>
        </w:rPr>
        <w:t xml:space="preserve">more </w:t>
      </w:r>
      <w:r w:rsidR="009E6849">
        <w:rPr>
          <w:rFonts w:ascii="Century Schoolbook" w:hAnsi="Century Schoolbook"/>
          <w:sz w:val="27"/>
          <w:szCs w:val="27"/>
        </w:rPr>
        <w:t xml:space="preserve">appropriate standard.  Like the regulations at issue in </w:t>
      </w:r>
      <w:r w:rsidR="009E6849">
        <w:rPr>
          <w:rFonts w:ascii="Century Schoolbook" w:hAnsi="Century Schoolbook"/>
          <w:i/>
          <w:iCs/>
          <w:sz w:val="27"/>
          <w:szCs w:val="27"/>
        </w:rPr>
        <w:t xml:space="preserve">Trans Union </w:t>
      </w:r>
      <w:r w:rsidR="009E6849" w:rsidRPr="009E6849">
        <w:rPr>
          <w:rFonts w:ascii="Century Schoolbook" w:hAnsi="Century Schoolbook"/>
          <w:i/>
          <w:iCs/>
          <w:sz w:val="27"/>
          <w:szCs w:val="27"/>
        </w:rPr>
        <w:t>I</w:t>
      </w:r>
      <w:r w:rsidR="009E6849">
        <w:rPr>
          <w:rFonts w:ascii="Century Schoolbook" w:hAnsi="Century Schoolbook"/>
          <w:sz w:val="27"/>
          <w:szCs w:val="27"/>
        </w:rPr>
        <w:t xml:space="preserve">, </w:t>
      </w:r>
      <w:r w:rsidR="009E6849">
        <w:rPr>
          <w:rFonts w:ascii="Century Schoolbook" w:hAnsi="Century Schoolbook"/>
          <w:i/>
          <w:iCs/>
          <w:sz w:val="27"/>
          <w:szCs w:val="27"/>
        </w:rPr>
        <w:t>Trans Union II</w:t>
      </w:r>
      <w:r w:rsidR="009E6849">
        <w:rPr>
          <w:rFonts w:ascii="Century Schoolbook" w:hAnsi="Century Schoolbook"/>
          <w:sz w:val="27"/>
          <w:szCs w:val="27"/>
        </w:rPr>
        <w:t>, and related cases, s</w:t>
      </w:r>
      <w:r w:rsidR="005B4CFC" w:rsidRPr="009E6849">
        <w:rPr>
          <w:rFonts w:ascii="Century Schoolbook" w:hAnsi="Century Schoolbook"/>
          <w:sz w:val="27"/>
          <w:szCs w:val="27"/>
        </w:rPr>
        <w:t>ection</w:t>
      </w:r>
      <w:r w:rsidR="005B4CFC" w:rsidRPr="00CC0E38">
        <w:rPr>
          <w:rFonts w:ascii="Century Schoolbook" w:hAnsi="Century Schoolbook"/>
          <w:sz w:val="27"/>
          <w:szCs w:val="27"/>
        </w:rPr>
        <w:t xml:space="preserve"> 2076 </w:t>
      </w:r>
      <w:r w:rsidR="00EB61FF">
        <w:rPr>
          <w:rFonts w:ascii="Century Schoolbook" w:hAnsi="Century Schoolbook"/>
          <w:sz w:val="27"/>
          <w:szCs w:val="27"/>
        </w:rPr>
        <w:t xml:space="preserve">operates in a commercial setting:  It </w:t>
      </w:r>
      <w:r w:rsidR="009E6849">
        <w:rPr>
          <w:rFonts w:ascii="Century Schoolbook" w:hAnsi="Century Schoolbook"/>
          <w:sz w:val="27"/>
          <w:szCs w:val="27"/>
        </w:rPr>
        <w:t xml:space="preserve">places limits on </w:t>
      </w:r>
      <w:r w:rsidR="00E777BF">
        <w:rPr>
          <w:rFonts w:ascii="Century Schoolbook" w:hAnsi="Century Schoolbook"/>
          <w:sz w:val="27"/>
          <w:szCs w:val="27"/>
        </w:rPr>
        <w:t xml:space="preserve">arrangements for </w:t>
      </w:r>
      <w:r w:rsidR="009E6849">
        <w:rPr>
          <w:rFonts w:ascii="Century Schoolbook" w:hAnsi="Century Schoolbook"/>
          <w:sz w:val="27"/>
          <w:szCs w:val="27"/>
        </w:rPr>
        <w:t>the</w:t>
      </w:r>
      <w:r w:rsidR="005B4CFC">
        <w:rPr>
          <w:rFonts w:ascii="Century Schoolbook" w:hAnsi="Century Schoolbook"/>
          <w:sz w:val="27"/>
          <w:szCs w:val="27"/>
        </w:rPr>
        <w:t xml:space="preserve"> </w:t>
      </w:r>
      <w:r w:rsidR="009E6849">
        <w:rPr>
          <w:rFonts w:ascii="Century Schoolbook" w:hAnsi="Century Schoolbook"/>
          <w:sz w:val="27"/>
          <w:szCs w:val="27"/>
        </w:rPr>
        <w:t xml:space="preserve">sharing of </w:t>
      </w:r>
      <w:r w:rsidR="005B4CFC" w:rsidRPr="00CC0E38">
        <w:rPr>
          <w:rFonts w:ascii="Century Schoolbook" w:hAnsi="Century Schoolbook"/>
          <w:sz w:val="27"/>
          <w:szCs w:val="27"/>
        </w:rPr>
        <w:t xml:space="preserve">information about </w:t>
      </w:r>
      <w:r w:rsidR="009E6849">
        <w:rPr>
          <w:rFonts w:ascii="Century Schoolbook" w:hAnsi="Century Schoolbook"/>
          <w:sz w:val="27"/>
          <w:szCs w:val="27"/>
        </w:rPr>
        <w:t xml:space="preserve">a class of </w:t>
      </w:r>
      <w:r w:rsidR="005B4CFC" w:rsidRPr="00CC0E38">
        <w:rPr>
          <w:rFonts w:ascii="Century Schoolbook" w:hAnsi="Century Schoolbook"/>
          <w:sz w:val="27"/>
          <w:szCs w:val="27"/>
        </w:rPr>
        <w:t xml:space="preserve">consumers </w:t>
      </w:r>
      <w:r w:rsidR="009E6849">
        <w:rPr>
          <w:rFonts w:ascii="Century Schoolbook" w:hAnsi="Century Schoolbook"/>
          <w:sz w:val="27"/>
          <w:szCs w:val="27"/>
        </w:rPr>
        <w:t>(here, inmate-consumers of</w:t>
      </w:r>
      <w:r w:rsidR="005B4CFC" w:rsidRPr="00CC0E38">
        <w:rPr>
          <w:rFonts w:ascii="Century Schoolbook" w:hAnsi="Century Schoolbook"/>
          <w:sz w:val="27"/>
          <w:szCs w:val="27"/>
        </w:rPr>
        <w:t xml:space="preserve"> bail service</w:t>
      </w:r>
      <w:r w:rsidR="005B4CFC">
        <w:rPr>
          <w:rFonts w:ascii="Century Schoolbook" w:hAnsi="Century Schoolbook"/>
          <w:sz w:val="27"/>
          <w:szCs w:val="27"/>
        </w:rPr>
        <w:t>s</w:t>
      </w:r>
      <w:r w:rsidR="009E6849">
        <w:rPr>
          <w:rFonts w:ascii="Century Schoolbook" w:hAnsi="Century Schoolbook"/>
          <w:sz w:val="27"/>
          <w:szCs w:val="27"/>
        </w:rPr>
        <w:t xml:space="preserve">) </w:t>
      </w:r>
      <w:r w:rsidR="001D7F66">
        <w:rPr>
          <w:rFonts w:ascii="Century Schoolbook" w:hAnsi="Century Schoolbook"/>
          <w:sz w:val="27"/>
          <w:szCs w:val="27"/>
        </w:rPr>
        <w:t xml:space="preserve">with </w:t>
      </w:r>
      <w:r w:rsidR="009E6849">
        <w:rPr>
          <w:rFonts w:ascii="Century Schoolbook" w:hAnsi="Century Schoolbook"/>
          <w:sz w:val="27"/>
          <w:szCs w:val="27"/>
        </w:rPr>
        <w:t>commercial actors seeking to profit from that information</w:t>
      </w:r>
      <w:r w:rsidR="005B4CFC">
        <w:rPr>
          <w:rFonts w:ascii="Century Schoolbook" w:hAnsi="Century Schoolbook"/>
          <w:sz w:val="27"/>
          <w:szCs w:val="27"/>
        </w:rPr>
        <w:t xml:space="preserve">.  </w:t>
      </w:r>
      <w:r w:rsidRPr="00CC0E38">
        <w:rPr>
          <w:rFonts w:ascii="Century Schoolbook" w:hAnsi="Century Schoolbook"/>
          <w:sz w:val="27"/>
          <w:szCs w:val="27"/>
        </w:rPr>
        <w:t>Such communications are directly</w:t>
      </w:r>
      <w:r w:rsidR="00410D20">
        <w:rPr>
          <w:rFonts w:ascii="Century Schoolbook" w:hAnsi="Century Schoolbook"/>
          <w:sz w:val="27"/>
          <w:szCs w:val="27"/>
        </w:rPr>
        <w:t xml:space="preserve"> and solely</w:t>
      </w:r>
      <w:r w:rsidRPr="00CC0E38">
        <w:rPr>
          <w:rFonts w:ascii="Century Schoolbook" w:hAnsi="Century Schoolbook"/>
          <w:sz w:val="27"/>
          <w:szCs w:val="27"/>
        </w:rPr>
        <w:t xml:space="preserve"> related to the economic interests of the agents:  Early access to information identifying potential clients enables the licensee to achieve a competitive advantage over other bail bond agents in soliciting business.  And much as in </w:t>
      </w:r>
      <w:r w:rsidRPr="00CC0E38">
        <w:rPr>
          <w:rFonts w:ascii="Century Schoolbook" w:hAnsi="Century Schoolbook"/>
          <w:i/>
          <w:iCs/>
          <w:sz w:val="27"/>
          <w:szCs w:val="27"/>
        </w:rPr>
        <w:t>Beeman</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the communications at issue are “linked inextricably” to commercial bail bond transactions that</w:t>
      </w:r>
      <w:r w:rsidR="00EF2683">
        <w:rPr>
          <w:rFonts w:ascii="Century Schoolbook" w:hAnsi="Century Schoolbook"/>
          <w:sz w:val="27"/>
          <w:szCs w:val="27"/>
        </w:rPr>
        <w:t xml:space="preserve"> are</w:t>
      </w:r>
      <w:r w:rsidRPr="00CC0E38">
        <w:rPr>
          <w:rFonts w:ascii="Century Schoolbook" w:hAnsi="Century Schoolbook"/>
          <w:sz w:val="27"/>
          <w:szCs w:val="27"/>
        </w:rPr>
        <w:t xml:space="preserve"> subject to extensive governmental regulation, including an extensive governmental licensing regime.  (</w:t>
      </w:r>
      <w:r w:rsidRPr="00CC0E38">
        <w:rPr>
          <w:rFonts w:ascii="Century Schoolbook" w:hAnsi="Century Schoolbook"/>
          <w:i/>
          <w:iCs/>
          <w:sz w:val="27"/>
          <w:szCs w:val="27"/>
        </w:rPr>
        <w:t>Beeman</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xml:space="preserve">, 58 Cal.4th at p. 352; see </w:t>
      </w:r>
      <w:r w:rsidRPr="00CC0E38">
        <w:rPr>
          <w:rFonts w:ascii="Century Schoolbook" w:hAnsi="Century Schoolbook"/>
          <w:i/>
          <w:iCs/>
          <w:sz w:val="27"/>
          <w:szCs w:val="27"/>
        </w:rPr>
        <w:t>McDonough v. Goodcell</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13 Cal.2d at p. 743.)</w:t>
      </w:r>
      <w:r>
        <w:rPr>
          <w:rFonts w:ascii="Century Schoolbook" w:hAnsi="Century Schoolbook"/>
          <w:sz w:val="27"/>
          <w:szCs w:val="27"/>
        </w:rPr>
        <w:t xml:space="preserve">  Assuming that section 2076 </w:t>
      </w:r>
      <w:r w:rsidR="00147480">
        <w:rPr>
          <w:rFonts w:ascii="Century Schoolbook" w:hAnsi="Century Schoolbook"/>
          <w:sz w:val="27"/>
          <w:szCs w:val="27"/>
        </w:rPr>
        <w:t xml:space="preserve">restricts </w:t>
      </w:r>
      <w:r>
        <w:rPr>
          <w:rFonts w:ascii="Century Schoolbook" w:hAnsi="Century Schoolbook"/>
          <w:sz w:val="27"/>
          <w:szCs w:val="27"/>
        </w:rPr>
        <w:t xml:space="preserve">the protected speech rights of bail bond agents, it is not the type of restriction </w:t>
      </w:r>
      <w:r>
        <w:rPr>
          <w:rFonts w:ascii="Century Schoolbook" w:hAnsi="Century Schoolbook"/>
          <w:sz w:val="27"/>
          <w:szCs w:val="27"/>
        </w:rPr>
        <w:lastRenderedPageBreak/>
        <w:t>that warrants the most exacting standard of constitutional review.</w:t>
      </w:r>
      <w:r>
        <w:rPr>
          <w:rFonts w:ascii="Century Schoolbook" w:hAnsi="Century Schoolbook"/>
          <w:b/>
          <w:bCs/>
          <w:position w:val="4"/>
          <w:sz w:val="27"/>
          <w:szCs w:val="27"/>
          <w:vertAlign w:val="superscript"/>
        </w:rPr>
        <w:footnoteReference w:id="16"/>
      </w:r>
    </w:p>
    <w:p w14:paraId="3705A840" w14:textId="77777777" w:rsidR="00CC0E38" w:rsidRPr="00CC0E38" w:rsidRDefault="00000000" w:rsidP="00B613C5">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Martinez resists this conclusion</w:t>
      </w:r>
      <w:r w:rsidR="001D7F66">
        <w:rPr>
          <w:rFonts w:ascii="Century Schoolbook" w:hAnsi="Century Schoolbook"/>
          <w:sz w:val="27"/>
          <w:szCs w:val="27"/>
        </w:rPr>
        <w:t>.</w:t>
      </w:r>
      <w:r w:rsidRPr="00CC0E38">
        <w:rPr>
          <w:rFonts w:ascii="Century Schoolbook" w:hAnsi="Century Schoolbook"/>
          <w:sz w:val="27"/>
          <w:szCs w:val="27"/>
        </w:rPr>
        <w:t xml:space="preserve"> </w:t>
      </w:r>
      <w:r w:rsidR="001D7F66">
        <w:rPr>
          <w:rFonts w:ascii="Century Schoolbook" w:hAnsi="Century Schoolbook"/>
          <w:sz w:val="27"/>
          <w:szCs w:val="27"/>
        </w:rPr>
        <w:t xml:space="preserve"> S</w:t>
      </w:r>
      <w:r w:rsidRPr="00CC0E38">
        <w:rPr>
          <w:rFonts w:ascii="Century Schoolbook" w:hAnsi="Century Schoolbook"/>
          <w:sz w:val="27"/>
          <w:szCs w:val="27"/>
        </w:rPr>
        <w:t>he argues that regardless of the economic interests at stake, strict scrutiny is appropriate because section 2076 regulates the content of noncommercial speech concerning a matter of public concern</w:t>
      </w:r>
      <w:r w:rsidR="00784D8F">
        <w:rPr>
          <w:rFonts w:ascii="Century Schoolbook" w:hAnsi="Century Schoolbook"/>
          <w:sz w:val="27"/>
          <w:szCs w:val="27"/>
        </w:rPr>
        <w:t>, namely, t</w:t>
      </w:r>
      <w:r w:rsidRPr="00CC0E38">
        <w:rPr>
          <w:rFonts w:ascii="Century Schoolbook" w:hAnsi="Century Schoolbook"/>
          <w:sz w:val="27"/>
          <w:szCs w:val="27"/>
        </w:rPr>
        <w:t xml:space="preserve">he identity of persons the state has arrested.  There is no question that information about arrests is of great public concern.  But to regulate the specific type of notification arrangement at issue — between jail inmates and bail bond agents — is not to prevent the speech of those who want to speak out about arrests or other important criminal justice issues.  Martinez </w:t>
      </w:r>
      <w:r w:rsidR="001C4335">
        <w:rPr>
          <w:rFonts w:ascii="Century Schoolbook" w:hAnsi="Century Schoolbook"/>
          <w:sz w:val="27"/>
          <w:szCs w:val="27"/>
        </w:rPr>
        <w:t xml:space="preserve">contends </w:t>
      </w:r>
      <w:r w:rsidRPr="00CC0E38">
        <w:rPr>
          <w:rFonts w:ascii="Century Schoolbook" w:hAnsi="Century Schoolbook"/>
          <w:sz w:val="27"/>
          <w:szCs w:val="27"/>
        </w:rPr>
        <w:t xml:space="preserve">that section 2076 “criminalizes the free communication about important public facts” by preventing not just bail licensees but also arrestees, those who seek bail services on their behalf, and the public from receiving information about who the state has arrested.  This is incorrect:  The regulation </w:t>
      </w:r>
      <w:r w:rsidR="00695EA7">
        <w:rPr>
          <w:rFonts w:ascii="Century Schoolbook" w:hAnsi="Century Schoolbook"/>
          <w:sz w:val="27"/>
          <w:szCs w:val="27"/>
        </w:rPr>
        <w:t xml:space="preserve">is directed at the conduct of </w:t>
      </w:r>
      <w:r w:rsidRPr="00CC0E38">
        <w:rPr>
          <w:rFonts w:ascii="Century Schoolbook" w:hAnsi="Century Schoolbook"/>
          <w:sz w:val="27"/>
          <w:szCs w:val="27"/>
        </w:rPr>
        <w:t xml:space="preserve">“bail licensee[s]” (§ 2076); it does not regulate the conduct of any other person.  Moreover, section 2076 prohibits only the transmission of arrest information pursuant to a bail licensee’s “arrangement” or “understanding” with a jail insider.  Nothing in the regulation prohibits bail licensees from obtaining that information through other means available to the general public.  Indeed, the </w:t>
      </w:r>
      <w:r w:rsidRPr="00CC0E38">
        <w:rPr>
          <w:rFonts w:ascii="Century Schoolbook" w:hAnsi="Century Schoolbook"/>
          <w:sz w:val="27"/>
          <w:szCs w:val="27"/>
        </w:rPr>
        <w:lastRenderedPageBreak/>
        <w:t xml:space="preserve">California Public Records Act requires state and local law enforcement to publicly disclose information about recent arrests upon request (Gov. Code, § 6254, subd. (f)(1); </w:t>
      </w:r>
      <w:r w:rsidRPr="00CC0E38">
        <w:rPr>
          <w:rFonts w:ascii="Century Schoolbook" w:hAnsi="Century Schoolbook"/>
          <w:i/>
          <w:iCs/>
          <w:sz w:val="27"/>
          <w:szCs w:val="27"/>
        </w:rPr>
        <w:t xml:space="preserve">County of Los Angeles v. Superior Court </w:t>
      </w:r>
      <w:r w:rsidRPr="00CC0E38">
        <w:rPr>
          <w:rFonts w:ascii="Century Schoolbook" w:hAnsi="Century Schoolbook"/>
          <w:sz w:val="27"/>
          <w:szCs w:val="27"/>
        </w:rPr>
        <w:t>(1993) 18 Cal.App.4th 588, 595), and section 2076 explicitly permits the bail licensees to request the public records of specific inmates.  In short, section 2076 is much more limited than Martinez suggests:  It focuses on the transmission of information about arrestees to commercial actors, for a commercial purpose,</w:t>
      </w:r>
      <w:r w:rsidR="008E0F94">
        <w:rPr>
          <w:rFonts w:ascii="Century Schoolbook" w:hAnsi="Century Schoolbook"/>
          <w:sz w:val="27"/>
          <w:szCs w:val="27"/>
        </w:rPr>
        <w:t xml:space="preserve"> pursuant to </w:t>
      </w:r>
      <w:r w:rsidR="00F956AC">
        <w:rPr>
          <w:rFonts w:ascii="Century Schoolbook" w:hAnsi="Century Schoolbook"/>
          <w:sz w:val="27"/>
          <w:szCs w:val="27"/>
        </w:rPr>
        <w:t xml:space="preserve">an </w:t>
      </w:r>
      <w:r w:rsidR="008E0F94">
        <w:rPr>
          <w:rFonts w:ascii="Century Schoolbook" w:hAnsi="Century Schoolbook"/>
          <w:sz w:val="27"/>
          <w:szCs w:val="27"/>
        </w:rPr>
        <w:t>“arrangement” or “understanding,”</w:t>
      </w:r>
      <w:r w:rsidRPr="00CC0E38">
        <w:rPr>
          <w:rFonts w:ascii="Century Schoolbook" w:hAnsi="Century Schoolbook"/>
          <w:sz w:val="27"/>
          <w:szCs w:val="27"/>
        </w:rPr>
        <w:t xml:space="preserve"> and not on the dissemination of arrestee information more generally.</w:t>
      </w:r>
    </w:p>
    <w:p w14:paraId="3705A841" w14:textId="77777777" w:rsidR="00CC0E38" w:rsidRPr="00CC0E38" w:rsidRDefault="00000000" w:rsidP="00CC0E38">
      <w:pPr>
        <w:spacing w:after="100" w:line="400" w:lineRule="exact"/>
        <w:ind w:firstLine="720"/>
        <w:jc w:val="both"/>
        <w:rPr>
          <w:rFonts w:ascii="Century Schoolbook" w:hAnsi="Century Schoolbook"/>
          <w:i/>
          <w:iCs/>
          <w:sz w:val="27"/>
          <w:szCs w:val="27"/>
        </w:rPr>
      </w:pPr>
      <w:r w:rsidRPr="00CC0E38">
        <w:rPr>
          <w:rFonts w:ascii="Century Schoolbook" w:hAnsi="Century Schoolbook"/>
          <w:sz w:val="27"/>
          <w:szCs w:val="27"/>
        </w:rPr>
        <w:t>For th</w:t>
      </w:r>
      <w:r w:rsidR="00527E55">
        <w:rPr>
          <w:rFonts w:ascii="Century Schoolbook" w:hAnsi="Century Schoolbook"/>
          <w:sz w:val="27"/>
          <w:szCs w:val="27"/>
        </w:rPr>
        <w:t>e</w:t>
      </w:r>
      <w:r w:rsidRPr="00CC0E38">
        <w:rPr>
          <w:rFonts w:ascii="Century Schoolbook" w:hAnsi="Century Schoolbook"/>
          <w:sz w:val="27"/>
          <w:szCs w:val="27"/>
        </w:rPr>
        <w:t xml:space="preserve">se reasons, we reject Martinez’s arguments for strict scrutiny.  As previously noted, however, we need </w:t>
      </w:r>
      <w:r w:rsidR="009D0F80">
        <w:rPr>
          <w:rFonts w:ascii="Century Schoolbook" w:hAnsi="Century Schoolbook"/>
          <w:sz w:val="27"/>
          <w:szCs w:val="27"/>
        </w:rPr>
        <w:t>not</w:t>
      </w:r>
      <w:r w:rsidRPr="00CC0E38">
        <w:rPr>
          <w:rFonts w:ascii="Century Schoolbook" w:hAnsi="Century Schoolbook"/>
          <w:sz w:val="27"/>
          <w:szCs w:val="27"/>
        </w:rPr>
        <w:t xml:space="preserve"> definitively decide whether intermediate scrutiny </w:t>
      </w:r>
      <w:r w:rsidR="00C552E5">
        <w:rPr>
          <w:rFonts w:ascii="Century Schoolbook" w:hAnsi="Century Schoolbook"/>
          <w:sz w:val="27"/>
          <w:szCs w:val="27"/>
        </w:rPr>
        <w:t xml:space="preserve">or a lesser standard </w:t>
      </w:r>
      <w:r w:rsidRPr="00CC0E38">
        <w:rPr>
          <w:rFonts w:ascii="Century Schoolbook" w:hAnsi="Century Schoolbook"/>
          <w:sz w:val="27"/>
          <w:szCs w:val="27"/>
        </w:rPr>
        <w:t xml:space="preserve">should apply.  </w:t>
      </w:r>
      <w:r w:rsidR="008E0F94">
        <w:rPr>
          <w:rFonts w:ascii="Century Schoolbook" w:hAnsi="Century Schoolbook"/>
          <w:sz w:val="27"/>
          <w:szCs w:val="27"/>
        </w:rPr>
        <w:t>W</w:t>
      </w:r>
      <w:r w:rsidRPr="00CC0E38">
        <w:rPr>
          <w:rFonts w:ascii="Century Schoolbook" w:hAnsi="Century Schoolbook"/>
          <w:sz w:val="27"/>
          <w:szCs w:val="27"/>
        </w:rPr>
        <w:t>e assume without deciding that intermediate scrutiny applies and</w:t>
      </w:r>
      <w:r w:rsidR="001E188C">
        <w:rPr>
          <w:rFonts w:ascii="Century Schoolbook" w:hAnsi="Century Schoolbook"/>
          <w:sz w:val="27"/>
          <w:szCs w:val="27"/>
        </w:rPr>
        <w:t>, for the reasons below,</w:t>
      </w:r>
      <w:r w:rsidRPr="00CC0E38">
        <w:rPr>
          <w:rFonts w:ascii="Century Schoolbook" w:hAnsi="Century Schoolbook"/>
          <w:sz w:val="27"/>
          <w:szCs w:val="27"/>
        </w:rPr>
        <w:t xml:space="preserve"> hold that, considered on its face, section 2076 survives that heightened standard.</w:t>
      </w:r>
      <w:r w:rsidR="00E138A9">
        <w:rPr>
          <w:rStyle w:val="FootnoteReference"/>
          <w:rFonts w:ascii="Century Schoolbook" w:hAnsi="Century Schoolbook"/>
          <w:sz w:val="27"/>
          <w:szCs w:val="27"/>
        </w:rPr>
        <w:t xml:space="preserve"> </w:t>
      </w:r>
    </w:p>
    <w:p w14:paraId="3705A842" w14:textId="77777777" w:rsidR="00CC0E38" w:rsidRPr="00CC0E38" w:rsidRDefault="00000000" w:rsidP="0076799A">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t>III.</w:t>
      </w:r>
    </w:p>
    <w:p w14:paraId="3705A843" w14:textId="77777777" w:rsidR="00CC0E38" w:rsidRPr="00CC0E38" w:rsidRDefault="00000000" w:rsidP="00CC0E38">
      <w:pPr>
        <w:spacing w:after="100" w:line="400" w:lineRule="exact"/>
        <w:ind w:firstLine="720"/>
        <w:jc w:val="both"/>
        <w:rPr>
          <w:rFonts w:ascii="Century Schoolbook" w:hAnsi="Century Schoolbook"/>
          <w:b/>
          <w:bCs/>
          <w:sz w:val="27"/>
          <w:szCs w:val="27"/>
        </w:rPr>
      </w:pPr>
      <w:bookmarkStart w:id="9" w:name="_Hlk125384588"/>
      <w:r w:rsidRPr="00CC0E38">
        <w:rPr>
          <w:rFonts w:ascii="Century Schoolbook" w:hAnsi="Century Schoolbook"/>
          <w:sz w:val="27"/>
          <w:szCs w:val="27"/>
        </w:rPr>
        <w:t xml:space="preserve">The intermediate scrutiny inquiry </w:t>
      </w:r>
      <w:r w:rsidR="007150D7">
        <w:rPr>
          <w:rFonts w:ascii="Century Schoolbook" w:hAnsi="Century Schoolbook"/>
          <w:sz w:val="27"/>
          <w:szCs w:val="27"/>
        </w:rPr>
        <w:t xml:space="preserve">under </w:t>
      </w:r>
      <w:r w:rsidRPr="00CC0E38">
        <w:rPr>
          <w:rFonts w:ascii="Century Schoolbook" w:hAnsi="Century Schoolbook"/>
          <w:i/>
          <w:iCs/>
          <w:sz w:val="27"/>
          <w:szCs w:val="27"/>
        </w:rPr>
        <w:t xml:space="preserve">Central Hudson </w:t>
      </w:r>
      <w:r w:rsidRPr="00CC0E38">
        <w:rPr>
          <w:rFonts w:ascii="Century Schoolbook" w:hAnsi="Century Schoolbook"/>
          <w:sz w:val="27"/>
          <w:szCs w:val="27"/>
        </w:rPr>
        <w:t>consists of a multipart test for evaluating whether a restriction on commercial speech unconstitutionally infringes freedom of speech.  At the threshold, we must determine whether the speech concerns lawful activity and is not misleading.  (</w:t>
      </w:r>
      <w:r w:rsidRPr="00CC0E38">
        <w:rPr>
          <w:rFonts w:ascii="Century Schoolbook" w:hAnsi="Century Schoolbook"/>
          <w:i/>
          <w:iCs/>
          <w:sz w:val="27"/>
          <w:szCs w:val="27"/>
        </w:rPr>
        <w:t>Central Hudson</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xml:space="preserve">, 447 U.S. at p. 566.)  Assuming that threshold is met, the state must show that </w:t>
      </w:r>
      <w:r w:rsidR="007150D7">
        <w:rPr>
          <w:rFonts w:ascii="Century Schoolbook" w:hAnsi="Century Schoolbook"/>
          <w:sz w:val="27"/>
          <w:szCs w:val="27"/>
        </w:rPr>
        <w:t xml:space="preserve">the regulation is supported by a “substantial” governmental interest; </w:t>
      </w:r>
      <w:r w:rsidRPr="00CC0E38">
        <w:rPr>
          <w:rFonts w:ascii="Century Schoolbook" w:hAnsi="Century Schoolbook"/>
          <w:sz w:val="27"/>
          <w:szCs w:val="27"/>
        </w:rPr>
        <w:t xml:space="preserve">that the regulation </w:t>
      </w:r>
      <w:r w:rsidR="007150D7">
        <w:rPr>
          <w:rFonts w:ascii="Century Schoolbook" w:hAnsi="Century Schoolbook"/>
          <w:sz w:val="27"/>
          <w:szCs w:val="27"/>
        </w:rPr>
        <w:t>“</w:t>
      </w:r>
      <w:r w:rsidRPr="00CC0E38">
        <w:rPr>
          <w:rFonts w:ascii="Century Schoolbook" w:hAnsi="Century Schoolbook"/>
          <w:sz w:val="27"/>
          <w:szCs w:val="27"/>
        </w:rPr>
        <w:t>directly advances the governmental interest asserted”</w:t>
      </w:r>
      <w:r w:rsidR="00527E55">
        <w:rPr>
          <w:rFonts w:ascii="Century Schoolbook" w:hAnsi="Century Schoolbook"/>
          <w:sz w:val="27"/>
          <w:szCs w:val="27"/>
        </w:rPr>
        <w:t>;</w:t>
      </w:r>
      <w:r w:rsidRPr="00CC0E38">
        <w:rPr>
          <w:rFonts w:ascii="Century Schoolbook" w:hAnsi="Century Schoolbook"/>
          <w:sz w:val="27"/>
          <w:szCs w:val="27"/>
        </w:rPr>
        <w:t xml:space="preserve"> and that the regulation “is not more extensive than is necessary to serve that interest.”  (</w:t>
      </w:r>
      <w:r w:rsidRPr="00CC0E38">
        <w:rPr>
          <w:rFonts w:ascii="Century Schoolbook" w:hAnsi="Century Schoolbook"/>
          <w:i/>
          <w:iCs/>
          <w:sz w:val="27"/>
          <w:szCs w:val="27"/>
        </w:rPr>
        <w:t>Ibid.</w:t>
      </w:r>
      <w:r w:rsidRPr="00CC0E38">
        <w:rPr>
          <w:rFonts w:ascii="Century Schoolbook" w:hAnsi="Century Schoolbook"/>
          <w:sz w:val="27"/>
          <w:szCs w:val="27"/>
        </w:rPr>
        <w:t>)</w:t>
      </w:r>
    </w:p>
    <w:bookmarkEnd w:id="9"/>
    <w:p w14:paraId="3705A844"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lastRenderedPageBreak/>
        <w:t>As a threshold matter, there is no dispute that section 2076 regulates the transmission of expression</w:t>
      </w:r>
      <w:r w:rsidR="00FF52FA">
        <w:rPr>
          <w:rFonts w:ascii="Century Schoolbook" w:hAnsi="Century Schoolbook"/>
          <w:sz w:val="27"/>
          <w:szCs w:val="27"/>
        </w:rPr>
        <w:t xml:space="preserve"> that neither relates to unlawful activity nor is misleading</w:t>
      </w:r>
      <w:r w:rsidRPr="00CC0E38">
        <w:rPr>
          <w:rFonts w:ascii="Century Schoolbook" w:hAnsi="Century Schoolbook"/>
          <w:sz w:val="27"/>
          <w:szCs w:val="27"/>
        </w:rPr>
        <w:t>.  Section 2076 prohibits arrangements to share information about recent arrests</w:t>
      </w:r>
      <w:r w:rsidR="007E17CC">
        <w:rPr>
          <w:rFonts w:ascii="Century Schoolbook" w:hAnsi="Century Schoolbook"/>
          <w:sz w:val="27"/>
          <w:szCs w:val="27"/>
        </w:rPr>
        <w:t>,</w:t>
      </w:r>
      <w:r w:rsidRPr="00CC0E38">
        <w:rPr>
          <w:rFonts w:ascii="Century Schoolbook" w:hAnsi="Century Schoolbook"/>
          <w:sz w:val="27"/>
          <w:szCs w:val="27"/>
        </w:rPr>
        <w:t xml:space="preserve"> even when that information is accurate</w:t>
      </w:r>
      <w:r w:rsidR="007150D7">
        <w:rPr>
          <w:rFonts w:ascii="Century Schoolbook" w:hAnsi="Century Schoolbook"/>
          <w:sz w:val="27"/>
          <w:szCs w:val="27"/>
        </w:rPr>
        <w:t>,</w:t>
      </w:r>
      <w:r w:rsidRPr="00CC0E38">
        <w:rPr>
          <w:rFonts w:ascii="Century Schoolbook" w:hAnsi="Century Schoolbook"/>
          <w:sz w:val="27"/>
          <w:szCs w:val="27"/>
        </w:rPr>
        <w:t xml:space="preserve"> and regardless of whether the arrangement is meant to facilitate unlawful conduct (for example, direct solicitation of inmates in violation of Cal. Code Regs., tit. 10, § 2079.1).  </w:t>
      </w:r>
      <w:r w:rsidR="006E0E82">
        <w:rPr>
          <w:rFonts w:ascii="Century Schoolbook" w:hAnsi="Century Schoolbook"/>
          <w:sz w:val="27"/>
          <w:szCs w:val="27"/>
        </w:rPr>
        <w:t>Accordingly</w:t>
      </w:r>
      <w:r w:rsidRPr="00CC0E38">
        <w:rPr>
          <w:rFonts w:ascii="Century Schoolbook" w:hAnsi="Century Schoolbook"/>
          <w:sz w:val="27"/>
          <w:szCs w:val="27"/>
        </w:rPr>
        <w:t>, the state bears the burden to demonstrate that the regulation is narrowly tailored to advance a substantial governmental interest.</w:t>
      </w:r>
    </w:p>
    <w:p w14:paraId="3705A845" w14:textId="77777777" w:rsidR="00CC0E38" w:rsidRPr="00CC0E38" w:rsidRDefault="00000000" w:rsidP="00CC0E38">
      <w:pPr>
        <w:spacing w:after="100" w:line="400" w:lineRule="exact"/>
        <w:ind w:firstLine="720"/>
        <w:jc w:val="both"/>
        <w:rPr>
          <w:rFonts w:ascii="Century Schoolbook" w:hAnsi="Century Schoolbook"/>
          <w:b/>
          <w:bCs/>
          <w:sz w:val="27"/>
          <w:szCs w:val="27"/>
        </w:rPr>
      </w:pPr>
      <w:r>
        <w:rPr>
          <w:rFonts w:ascii="Century Schoolbook" w:hAnsi="Century Schoolbook"/>
          <w:sz w:val="27"/>
          <w:szCs w:val="27"/>
        </w:rPr>
        <w:t xml:space="preserve">There is also no </w:t>
      </w:r>
      <w:r w:rsidRPr="00CC0E38">
        <w:rPr>
          <w:rFonts w:ascii="Century Schoolbook" w:hAnsi="Century Schoolbook"/>
          <w:sz w:val="27"/>
          <w:szCs w:val="27"/>
        </w:rPr>
        <w:t xml:space="preserve">dispute that the government’s </w:t>
      </w:r>
      <w:r w:rsidR="001E188C">
        <w:rPr>
          <w:rFonts w:ascii="Century Schoolbook" w:hAnsi="Century Schoolbook"/>
          <w:sz w:val="27"/>
          <w:szCs w:val="27"/>
        </w:rPr>
        <w:t>asserted</w:t>
      </w:r>
      <w:r w:rsidR="001E188C" w:rsidRPr="00CC0E38">
        <w:rPr>
          <w:rFonts w:ascii="Century Schoolbook" w:hAnsi="Century Schoolbook"/>
          <w:sz w:val="27"/>
          <w:szCs w:val="27"/>
        </w:rPr>
        <w:t xml:space="preserve"> </w:t>
      </w:r>
      <w:r w:rsidRPr="00CC0E38">
        <w:rPr>
          <w:rFonts w:ascii="Century Schoolbook" w:hAnsi="Century Schoolbook"/>
          <w:sz w:val="27"/>
          <w:szCs w:val="27"/>
        </w:rPr>
        <w:t xml:space="preserve">interests </w:t>
      </w:r>
      <w:r>
        <w:rPr>
          <w:rFonts w:ascii="Century Schoolbook" w:hAnsi="Century Schoolbook"/>
          <w:sz w:val="27"/>
          <w:szCs w:val="27"/>
        </w:rPr>
        <w:t xml:space="preserve">in the regulation </w:t>
      </w:r>
      <w:r w:rsidRPr="00CC0E38">
        <w:rPr>
          <w:rFonts w:ascii="Century Schoolbook" w:hAnsi="Century Schoolbook"/>
          <w:sz w:val="27"/>
          <w:szCs w:val="27"/>
        </w:rPr>
        <w:t xml:space="preserve">are substantial.  We agree.  First, the Attorney General contends that section 2076 advances the state’s interest in promoting “sound, secure jail administration.”  We have little trouble concluding that this interest is substantial for purposes of </w:t>
      </w:r>
      <w:r w:rsidRPr="00CC0E38">
        <w:rPr>
          <w:rFonts w:ascii="Century Schoolbook" w:hAnsi="Century Schoolbook"/>
          <w:i/>
          <w:iCs/>
          <w:sz w:val="27"/>
          <w:szCs w:val="27"/>
        </w:rPr>
        <w:t>Central Hudson</w:t>
      </w:r>
      <w:r w:rsidRPr="00CC0E38">
        <w:rPr>
          <w:rFonts w:ascii="Century Schoolbook" w:hAnsi="Century Schoolbook"/>
          <w:sz w:val="27"/>
          <w:szCs w:val="27"/>
        </w:rPr>
        <w:t>; our cases have emphasized the importance of the state’s interests in “ ‘preserv[ing] internal order and discipline’ ” and “ ‘maintain[ing] institutional security’ ” in the jail and prison environment.  (</w:t>
      </w:r>
      <w:r w:rsidRPr="00CC0E38">
        <w:rPr>
          <w:rFonts w:ascii="Century Schoolbook" w:hAnsi="Century Schoolbook"/>
          <w:i/>
          <w:iCs/>
          <w:sz w:val="27"/>
          <w:szCs w:val="27"/>
        </w:rPr>
        <w:t>In re Jenkins</w:t>
      </w:r>
      <w:r w:rsidRPr="00CC0E38">
        <w:rPr>
          <w:rFonts w:ascii="Century Schoolbook" w:hAnsi="Century Schoolbook"/>
          <w:sz w:val="27"/>
          <w:szCs w:val="27"/>
        </w:rPr>
        <w:t xml:space="preserve"> (2010) 50 Cal.4th 1167, 1175, quoting </w:t>
      </w:r>
      <w:r w:rsidRPr="00CC0E38">
        <w:rPr>
          <w:rFonts w:ascii="Century Schoolbook" w:hAnsi="Century Schoolbook"/>
          <w:i/>
          <w:iCs/>
          <w:sz w:val="27"/>
          <w:szCs w:val="27"/>
        </w:rPr>
        <w:t>Bell v. Wolfish</w:t>
      </w:r>
      <w:r w:rsidRPr="00CC0E38">
        <w:rPr>
          <w:rFonts w:ascii="Century Schoolbook" w:hAnsi="Century Schoolbook"/>
          <w:sz w:val="27"/>
          <w:szCs w:val="27"/>
        </w:rPr>
        <w:t xml:space="preserve"> (1979) 441 U.S. 520, 547</w:t>
      </w:r>
      <w:r w:rsidR="00E570AE">
        <w:rPr>
          <w:rFonts w:ascii="Century Schoolbook" w:hAnsi="Century Schoolbook"/>
          <w:sz w:val="27"/>
          <w:szCs w:val="27"/>
        </w:rPr>
        <w:t xml:space="preserve">; see also </w:t>
      </w:r>
      <w:r w:rsidR="00E570AE">
        <w:rPr>
          <w:rFonts w:ascii="Century Schoolbook" w:hAnsi="Century Schoolbook"/>
          <w:i/>
          <w:iCs/>
          <w:sz w:val="27"/>
          <w:szCs w:val="27"/>
        </w:rPr>
        <w:t>People v. Dolezal</w:t>
      </w:r>
      <w:r w:rsidR="00E570AE">
        <w:rPr>
          <w:rFonts w:ascii="Century Schoolbook" w:hAnsi="Century Schoolbook"/>
          <w:sz w:val="27"/>
          <w:szCs w:val="27"/>
        </w:rPr>
        <w:t xml:space="preserve"> (2013) 221 Cal.App.4th 167, 174 [“orderly and efficient jail administration” is a substantial state interest]</w:t>
      </w:r>
      <w:r w:rsidRPr="00CC0E38">
        <w:rPr>
          <w:rFonts w:ascii="Century Schoolbook" w:hAnsi="Century Schoolbook"/>
          <w:sz w:val="27"/>
          <w:szCs w:val="27"/>
        </w:rPr>
        <w:t>.)  Second, the Attorney General argues that section 2076 furthers the state’s interest in promoting “fair competition in the bail bond industry.”  We conclude that this interest is also substantial.  Long ago, we recognized that the “bail bond business is such a business as is subject to reasonable regulation under the police power of the state” and noted the Legislature’s determination that “abuses” in the industry required “that there be some public supervision” of the field.  (</w:t>
      </w:r>
      <w:r w:rsidRPr="00CC0E38">
        <w:rPr>
          <w:rFonts w:ascii="Century Schoolbook" w:hAnsi="Century Schoolbook"/>
          <w:i/>
          <w:iCs/>
          <w:sz w:val="27"/>
          <w:szCs w:val="27"/>
        </w:rPr>
        <w:t xml:space="preserve">McDonough v. </w:t>
      </w:r>
      <w:r w:rsidRPr="00CC0E38">
        <w:rPr>
          <w:rFonts w:ascii="Century Schoolbook" w:hAnsi="Century Schoolbook"/>
          <w:i/>
          <w:iCs/>
          <w:sz w:val="27"/>
          <w:szCs w:val="27"/>
        </w:rPr>
        <w:lastRenderedPageBreak/>
        <w:t>Goodcell</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13 Cal.2d at p. 746.)  And in cases concerning other professionals, like lawyers and accountants, the high court has recognized that the state has compelling and important interests in licensing and regulating the practice of the professions and in maintaining standards of ethical conduct in those fields.  (</w:t>
      </w:r>
      <w:r w:rsidRPr="00CC0E38">
        <w:rPr>
          <w:rFonts w:ascii="Century Schoolbook" w:hAnsi="Century Schoolbook"/>
          <w:i/>
          <w:iCs/>
          <w:sz w:val="27"/>
          <w:szCs w:val="27"/>
        </w:rPr>
        <w:t>Florida Bar v. Went For It, Inc.</w:t>
      </w:r>
      <w:r w:rsidRPr="00CC0E38">
        <w:rPr>
          <w:rFonts w:ascii="Century Schoolbook" w:hAnsi="Century Schoolbook"/>
          <w:sz w:val="27"/>
          <w:szCs w:val="27"/>
        </w:rPr>
        <w:t xml:space="preserve">, </w:t>
      </w:r>
      <w:r w:rsidRPr="00CC0E38">
        <w:rPr>
          <w:rFonts w:ascii="Century Schoolbook" w:hAnsi="Century Schoolbook"/>
          <w:i/>
          <w:iCs/>
          <w:sz w:val="27"/>
          <w:szCs w:val="27"/>
        </w:rPr>
        <w:t>supra</w:t>
      </w:r>
      <w:r w:rsidRPr="00CC0E38">
        <w:rPr>
          <w:rFonts w:ascii="Century Schoolbook" w:hAnsi="Century Schoolbook"/>
          <w:sz w:val="27"/>
          <w:szCs w:val="27"/>
        </w:rPr>
        <w:t xml:space="preserve">, 515 U.S. at p. 625; </w:t>
      </w:r>
      <w:r w:rsidRPr="00CC0E38">
        <w:rPr>
          <w:rFonts w:ascii="Century Schoolbook" w:hAnsi="Century Schoolbook"/>
          <w:i/>
          <w:iCs/>
          <w:sz w:val="27"/>
          <w:szCs w:val="27"/>
        </w:rPr>
        <w:t>Edenfield v. Fane</w:t>
      </w:r>
      <w:r w:rsidRPr="00CC0E38">
        <w:rPr>
          <w:rFonts w:ascii="Century Schoolbook" w:hAnsi="Century Schoolbook"/>
          <w:sz w:val="27"/>
          <w:szCs w:val="27"/>
        </w:rPr>
        <w:t xml:space="preserve"> (1993) 507 U.S. 761, 770.)  Bail bond agents are licensed professionals who are “an integral part of the criminal justice system,” and we conclude that the state has a similarly substantial interest in establishing rules for fair competition in the industry and ensuring that bail bond agents operate in an “honest and professional manner.”  (</w:t>
      </w:r>
      <w:r w:rsidRPr="00CC0E38">
        <w:rPr>
          <w:rFonts w:ascii="Century Schoolbook" w:hAnsi="Century Schoolbook"/>
          <w:i/>
          <w:iCs/>
          <w:sz w:val="27"/>
          <w:szCs w:val="27"/>
        </w:rPr>
        <w:t>Dolezal</w:t>
      </w:r>
      <w:r w:rsidR="00957D22">
        <w:rPr>
          <w:rFonts w:ascii="Century Schoolbook" w:hAnsi="Century Schoolbook"/>
          <w:sz w:val="27"/>
          <w:szCs w:val="27"/>
        </w:rPr>
        <w:t>, at p.</w:t>
      </w:r>
      <w:r w:rsidR="00385DF8">
        <w:rPr>
          <w:rFonts w:ascii="Century Schoolbook" w:hAnsi="Century Schoolbook"/>
          <w:sz w:val="27"/>
          <w:szCs w:val="27"/>
        </w:rPr>
        <w:t> </w:t>
      </w:r>
      <w:r w:rsidRPr="00CC0E38">
        <w:rPr>
          <w:rFonts w:ascii="Century Schoolbook" w:hAnsi="Century Schoolbook"/>
          <w:sz w:val="27"/>
          <w:szCs w:val="27"/>
        </w:rPr>
        <w:t>174.)</w:t>
      </w:r>
      <w:r w:rsidR="00E570AE" w:rsidRPr="00CC0E38">
        <w:rPr>
          <w:rFonts w:ascii="Century Schoolbook" w:hAnsi="Century Schoolbook"/>
          <w:b/>
          <w:bCs/>
          <w:sz w:val="27"/>
          <w:szCs w:val="27"/>
        </w:rPr>
        <w:t xml:space="preserve"> </w:t>
      </w:r>
    </w:p>
    <w:p w14:paraId="3705A846"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Martinez’s main contention is that section 2076</w:t>
      </w:r>
      <w:r w:rsidR="007F0BD6">
        <w:rPr>
          <w:rFonts w:ascii="Century Schoolbook" w:hAnsi="Century Schoolbook"/>
          <w:sz w:val="27"/>
          <w:szCs w:val="27"/>
        </w:rPr>
        <w:t xml:space="preserve"> </w:t>
      </w:r>
      <w:r w:rsidRPr="00CC0E38">
        <w:rPr>
          <w:rFonts w:ascii="Century Schoolbook" w:hAnsi="Century Schoolbook"/>
          <w:sz w:val="27"/>
          <w:szCs w:val="27"/>
        </w:rPr>
        <w:t>do</w:t>
      </w:r>
      <w:r w:rsidR="005B26A3">
        <w:rPr>
          <w:rFonts w:ascii="Century Schoolbook" w:hAnsi="Century Schoolbook"/>
          <w:sz w:val="27"/>
          <w:szCs w:val="27"/>
        </w:rPr>
        <w:t>es</w:t>
      </w:r>
      <w:r w:rsidRPr="00CC0E38">
        <w:rPr>
          <w:rFonts w:ascii="Century Schoolbook" w:hAnsi="Century Schoolbook"/>
          <w:sz w:val="27"/>
          <w:szCs w:val="27"/>
        </w:rPr>
        <w:t xml:space="preserve"> not directly advance the interests asserted by the state.  The Court of Appeal agreed with her on this point</w:t>
      </w:r>
      <w:r w:rsidR="00B47D64">
        <w:rPr>
          <w:rFonts w:ascii="Century Schoolbook" w:hAnsi="Century Schoolbook"/>
          <w:sz w:val="27"/>
          <w:szCs w:val="27"/>
        </w:rPr>
        <w:t xml:space="preserve">.  Although the court briefly acknowledged the state’s argument that section 2076 </w:t>
      </w:r>
      <w:r w:rsidR="00263DE7">
        <w:rPr>
          <w:rFonts w:ascii="Century Schoolbook" w:hAnsi="Century Schoolbook"/>
          <w:sz w:val="27"/>
          <w:szCs w:val="27"/>
        </w:rPr>
        <w:t>promotes</w:t>
      </w:r>
      <w:r w:rsidR="00B47D64">
        <w:rPr>
          <w:rFonts w:ascii="Century Schoolbook" w:hAnsi="Century Schoolbook"/>
          <w:sz w:val="27"/>
          <w:szCs w:val="27"/>
        </w:rPr>
        <w:t xml:space="preserve"> fair competition and sound jail administration (</w:t>
      </w:r>
      <w:r w:rsidR="00B47D64">
        <w:rPr>
          <w:rFonts w:ascii="Century Schoolbook" w:hAnsi="Century Schoolbook"/>
          <w:i/>
          <w:iCs/>
          <w:sz w:val="27"/>
          <w:szCs w:val="27"/>
        </w:rPr>
        <w:t>Martinez</w:t>
      </w:r>
      <w:r w:rsidR="00B47D64">
        <w:rPr>
          <w:rFonts w:ascii="Century Schoolbook" w:hAnsi="Century Schoolbook"/>
          <w:sz w:val="27"/>
          <w:szCs w:val="27"/>
        </w:rPr>
        <w:t xml:space="preserve">, </w:t>
      </w:r>
      <w:r w:rsidR="00B47D64">
        <w:rPr>
          <w:rFonts w:ascii="Century Schoolbook" w:hAnsi="Century Schoolbook"/>
          <w:i/>
          <w:iCs/>
          <w:sz w:val="27"/>
          <w:szCs w:val="27"/>
        </w:rPr>
        <w:t>supra</w:t>
      </w:r>
      <w:r w:rsidR="00B47D64">
        <w:rPr>
          <w:rFonts w:ascii="Century Schoolbook" w:hAnsi="Century Schoolbook"/>
          <w:sz w:val="27"/>
          <w:szCs w:val="27"/>
        </w:rPr>
        <w:t>, 59 Cal.App.5th at p</w:t>
      </w:r>
      <w:r w:rsidR="00385DF8">
        <w:rPr>
          <w:rFonts w:ascii="Century Schoolbook" w:hAnsi="Century Schoolbook"/>
          <w:sz w:val="27"/>
          <w:szCs w:val="27"/>
        </w:rPr>
        <w:t>p</w:t>
      </w:r>
      <w:r w:rsidR="00B47D64">
        <w:rPr>
          <w:rFonts w:ascii="Century Schoolbook" w:hAnsi="Century Schoolbook"/>
          <w:sz w:val="27"/>
          <w:szCs w:val="27"/>
        </w:rPr>
        <w:t>.</w:t>
      </w:r>
      <w:r w:rsidR="00385DF8">
        <w:rPr>
          <w:rFonts w:ascii="Century Schoolbook" w:hAnsi="Century Schoolbook"/>
          <w:sz w:val="27"/>
          <w:szCs w:val="27"/>
        </w:rPr>
        <w:t> </w:t>
      </w:r>
      <w:r w:rsidR="00B47D64">
        <w:rPr>
          <w:rFonts w:ascii="Century Schoolbook" w:hAnsi="Century Schoolbook"/>
          <w:sz w:val="27"/>
          <w:szCs w:val="27"/>
        </w:rPr>
        <w:t>30</w:t>
      </w:r>
      <w:r w:rsidR="00F85464">
        <w:rPr>
          <w:rFonts w:ascii="Century Schoolbook" w:hAnsi="Century Schoolbook"/>
          <w:sz w:val="27"/>
          <w:szCs w:val="27"/>
        </w:rPr>
        <w:t>7–308</w:t>
      </w:r>
      <w:r w:rsidR="00B47D64">
        <w:rPr>
          <w:rFonts w:ascii="Century Schoolbook" w:hAnsi="Century Schoolbook"/>
          <w:sz w:val="27"/>
          <w:szCs w:val="27"/>
        </w:rPr>
        <w:t>)</w:t>
      </w:r>
      <w:r w:rsidRPr="00CC0E38">
        <w:rPr>
          <w:rFonts w:ascii="Century Schoolbook" w:hAnsi="Century Schoolbook"/>
          <w:sz w:val="27"/>
          <w:szCs w:val="27"/>
        </w:rPr>
        <w:t>,</w:t>
      </w:r>
      <w:r w:rsidR="00B47D64">
        <w:rPr>
          <w:rFonts w:ascii="Century Schoolbook" w:hAnsi="Century Schoolbook"/>
          <w:sz w:val="27"/>
          <w:szCs w:val="27"/>
        </w:rPr>
        <w:t xml:space="preserve"> the</w:t>
      </w:r>
      <w:r w:rsidR="00F85464">
        <w:rPr>
          <w:rFonts w:ascii="Century Schoolbook" w:hAnsi="Century Schoolbook"/>
          <w:sz w:val="27"/>
          <w:szCs w:val="27"/>
        </w:rPr>
        <w:t xml:space="preserve"> court focused its analysis on a narrower </w:t>
      </w:r>
      <w:r w:rsidR="00263DE7">
        <w:rPr>
          <w:rFonts w:ascii="Century Schoolbook" w:hAnsi="Century Schoolbook"/>
          <w:sz w:val="27"/>
          <w:szCs w:val="27"/>
        </w:rPr>
        <w:t>state interest</w:t>
      </w:r>
      <w:r w:rsidR="00385DF8">
        <w:rPr>
          <w:rFonts w:ascii="Century Schoolbook" w:hAnsi="Century Schoolbook"/>
          <w:sz w:val="27"/>
          <w:szCs w:val="27"/>
        </w:rPr>
        <w:t> </w:t>
      </w:r>
      <w:r w:rsidR="00F85464">
        <w:rPr>
          <w:rFonts w:ascii="Century Schoolbook" w:hAnsi="Century Schoolbook"/>
          <w:sz w:val="27"/>
          <w:szCs w:val="27"/>
        </w:rPr>
        <w:t>—</w:t>
      </w:r>
      <w:r w:rsidRPr="00CC0E38">
        <w:rPr>
          <w:rFonts w:ascii="Century Schoolbook" w:hAnsi="Century Schoolbook"/>
          <w:sz w:val="27"/>
          <w:szCs w:val="27"/>
        </w:rPr>
        <w:t xml:space="preserve"> “preventing unlawful, predatory solicitation of arrestees” (</w:t>
      </w:r>
      <w:r w:rsidR="00F85464">
        <w:rPr>
          <w:rFonts w:ascii="Century Schoolbook" w:hAnsi="Century Schoolbook"/>
          <w:i/>
          <w:iCs/>
          <w:sz w:val="27"/>
          <w:szCs w:val="27"/>
        </w:rPr>
        <w:t>id.</w:t>
      </w:r>
      <w:r w:rsidRPr="00CC0E38">
        <w:rPr>
          <w:rFonts w:ascii="Century Schoolbook" w:hAnsi="Century Schoolbook"/>
          <w:sz w:val="27"/>
          <w:szCs w:val="27"/>
        </w:rPr>
        <w:t xml:space="preserve"> at p. 311)</w:t>
      </w:r>
      <w:r w:rsidR="00F85464">
        <w:rPr>
          <w:rFonts w:ascii="Century Schoolbook" w:hAnsi="Century Schoolbook"/>
          <w:sz w:val="27"/>
          <w:szCs w:val="27"/>
        </w:rPr>
        <w:t>.</w:t>
      </w:r>
      <w:r w:rsidRPr="00CC0E38">
        <w:rPr>
          <w:rFonts w:ascii="Century Schoolbook" w:hAnsi="Century Schoolbook"/>
          <w:sz w:val="27"/>
          <w:szCs w:val="27"/>
        </w:rPr>
        <w:t xml:space="preserve">  The court “assume[d] that section 2076 might indirectly deter unlawful solicitation of arrestees,” but reasoned that “an indirect effect is not enough to survive judicial scrutiny.”  (</w:t>
      </w:r>
      <w:r w:rsidRPr="00CC0E38">
        <w:rPr>
          <w:rFonts w:ascii="Century Schoolbook" w:hAnsi="Century Schoolbook"/>
          <w:i/>
          <w:iCs/>
          <w:sz w:val="27"/>
          <w:szCs w:val="27"/>
        </w:rPr>
        <w:t>Id.</w:t>
      </w:r>
      <w:r w:rsidRPr="00CC0E38">
        <w:rPr>
          <w:rFonts w:ascii="Century Schoolbook" w:hAnsi="Century Schoolbook"/>
          <w:sz w:val="27"/>
          <w:szCs w:val="27"/>
        </w:rPr>
        <w:t xml:space="preserve"> at p. 313.)  Because, in the court’s view, the state had not demonstrated that section 2076 “</w:t>
      </w:r>
      <w:r w:rsidRPr="00CC0E38">
        <w:rPr>
          <w:rFonts w:ascii="Century Schoolbook" w:hAnsi="Century Schoolbook"/>
          <w:i/>
          <w:iCs/>
          <w:sz w:val="27"/>
          <w:szCs w:val="27"/>
        </w:rPr>
        <w:t xml:space="preserve">directly and materially </w:t>
      </w:r>
      <w:r w:rsidRPr="00CC0E38">
        <w:rPr>
          <w:rFonts w:ascii="Century Schoolbook" w:hAnsi="Century Schoolbook"/>
          <w:sz w:val="27"/>
          <w:szCs w:val="27"/>
        </w:rPr>
        <w:t>advance[d] the state’s substantial interests,” the court concluded that the state had “failed to carry its burden.”  (</w:t>
      </w:r>
      <w:r w:rsidRPr="00CC0E38">
        <w:rPr>
          <w:rFonts w:ascii="Century Schoolbook" w:hAnsi="Century Schoolbook"/>
          <w:i/>
          <w:iCs/>
          <w:sz w:val="27"/>
          <w:szCs w:val="27"/>
        </w:rPr>
        <w:t>Martinez</w:t>
      </w:r>
      <w:r w:rsidRPr="00CC0E38">
        <w:rPr>
          <w:rFonts w:ascii="Century Schoolbook" w:hAnsi="Century Schoolbook"/>
          <w:sz w:val="27"/>
          <w:szCs w:val="27"/>
        </w:rPr>
        <w:t>, at pp. 312, 313</w:t>
      </w:r>
      <w:r w:rsidRPr="00CC0E38">
        <w:rPr>
          <w:rFonts w:ascii="Century Schoolbook" w:hAnsi="Century Schoolbook"/>
          <w:i/>
          <w:iCs/>
          <w:sz w:val="27"/>
          <w:szCs w:val="27"/>
        </w:rPr>
        <w:t>.</w:t>
      </w:r>
      <w:r w:rsidRPr="00CC0E38">
        <w:rPr>
          <w:rFonts w:ascii="Century Schoolbook" w:hAnsi="Century Schoolbook"/>
          <w:sz w:val="27"/>
          <w:szCs w:val="27"/>
        </w:rPr>
        <w:t>)</w:t>
      </w:r>
      <w:r w:rsidRPr="00CC0E38">
        <w:rPr>
          <w:rFonts w:ascii="Century Schoolbook" w:hAnsi="Century Schoolbook"/>
          <w:i/>
          <w:iCs/>
          <w:sz w:val="27"/>
          <w:szCs w:val="27"/>
        </w:rPr>
        <w:t xml:space="preserve"> </w:t>
      </w:r>
    </w:p>
    <w:p w14:paraId="3705A847"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By focusing narrowly on whether section 2076 would prevent bail bond agents from engaging in unlawful solicitation, </w:t>
      </w:r>
      <w:r w:rsidRPr="00CC0E38">
        <w:rPr>
          <w:rFonts w:ascii="Century Schoolbook" w:hAnsi="Century Schoolbook"/>
          <w:sz w:val="27"/>
          <w:szCs w:val="27"/>
        </w:rPr>
        <w:lastRenderedPageBreak/>
        <w:t xml:space="preserve">the Court of Appeal failed to account for the full range of governmental interests at stake.  California Code of Regulations, title 10, section 2076 is not merely an ancillary regulation designed to bolster the prohibitions on predatory solicitation practices found in California Code of Regulations, title 10, section 2079.1 (prohibiting direct solicitation of arrestees) and Penal Code section 160 (prohibiting the employment of unlicensed jail inmates to conduct direct solicitation).  </w:t>
      </w:r>
      <w:r w:rsidR="00C8253C">
        <w:rPr>
          <w:rFonts w:ascii="Century Schoolbook" w:hAnsi="Century Schoolbook"/>
          <w:sz w:val="27"/>
          <w:szCs w:val="27"/>
        </w:rPr>
        <w:t>S</w:t>
      </w:r>
      <w:r w:rsidRPr="00CC0E38">
        <w:rPr>
          <w:rFonts w:ascii="Century Schoolbook" w:hAnsi="Century Schoolbook"/>
          <w:sz w:val="27"/>
          <w:szCs w:val="27"/>
        </w:rPr>
        <w:t xml:space="preserve">ection 2076’s prohibition on notification arrangements with current inmates </w:t>
      </w:r>
      <w:r w:rsidR="00C8253C">
        <w:rPr>
          <w:rFonts w:ascii="Century Schoolbook" w:hAnsi="Century Schoolbook"/>
          <w:sz w:val="27"/>
          <w:szCs w:val="27"/>
        </w:rPr>
        <w:t>aims primarily at other purposes</w:t>
      </w:r>
      <w:r w:rsidR="00722839">
        <w:rPr>
          <w:rFonts w:ascii="Century Schoolbook" w:hAnsi="Century Schoolbook"/>
          <w:sz w:val="27"/>
          <w:szCs w:val="27"/>
        </w:rPr>
        <w:t xml:space="preserve">:  </w:t>
      </w:r>
      <w:r w:rsidR="00B336A7">
        <w:rPr>
          <w:rFonts w:ascii="Century Schoolbook" w:hAnsi="Century Schoolbook"/>
          <w:sz w:val="27"/>
          <w:szCs w:val="27"/>
        </w:rPr>
        <w:t>I</w:t>
      </w:r>
      <w:r w:rsidR="00C8253C">
        <w:rPr>
          <w:rFonts w:ascii="Century Schoolbook" w:hAnsi="Century Schoolbook"/>
          <w:sz w:val="27"/>
          <w:szCs w:val="27"/>
        </w:rPr>
        <w:t xml:space="preserve">t </w:t>
      </w:r>
      <w:r w:rsidRPr="00CC0E38">
        <w:rPr>
          <w:rFonts w:ascii="Century Schoolbook" w:hAnsi="Century Schoolbook"/>
          <w:sz w:val="27"/>
          <w:szCs w:val="27"/>
        </w:rPr>
        <w:t xml:space="preserve">is designed to serve the state’s interest in sound, secure jail administration and to prevent the sort of corruption and unfair competition in the bail bond industry more generally that prompted the creation of the current system of bail bond regulation.  (See </w:t>
      </w:r>
      <w:r w:rsidRPr="00CC0E38">
        <w:rPr>
          <w:rFonts w:ascii="Century Schoolbook" w:hAnsi="Century Schoolbook"/>
          <w:i/>
          <w:iCs/>
          <w:sz w:val="27"/>
          <w:szCs w:val="27"/>
        </w:rPr>
        <w:t>Martinez</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59 Cal.App.5th at p. 315 (dis. opn. of Grover, J.).)</w:t>
      </w:r>
    </w:p>
    <w:p w14:paraId="3705A848"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Under United States Supreme Court precedent, we may consult “history</w:t>
      </w:r>
      <w:r w:rsidR="001E188C">
        <w:rPr>
          <w:rFonts w:ascii="Century Schoolbook" w:hAnsi="Century Schoolbook"/>
          <w:sz w:val="27"/>
          <w:szCs w:val="27"/>
        </w:rPr>
        <w:t>” and even</w:t>
      </w:r>
      <w:r w:rsidRPr="00CC0E38">
        <w:rPr>
          <w:rFonts w:ascii="Century Schoolbook" w:hAnsi="Century Schoolbook"/>
          <w:sz w:val="27"/>
          <w:szCs w:val="27"/>
        </w:rPr>
        <w:t xml:space="preserve"> </w:t>
      </w:r>
      <w:r w:rsidR="001E188C">
        <w:rPr>
          <w:rFonts w:ascii="Century Schoolbook" w:hAnsi="Century Schoolbook"/>
          <w:sz w:val="27"/>
          <w:szCs w:val="27"/>
        </w:rPr>
        <w:t>“ </w:t>
      </w:r>
      <w:r w:rsidRPr="00CC0E38">
        <w:rPr>
          <w:rFonts w:ascii="Century Schoolbook" w:hAnsi="Century Schoolbook"/>
          <w:sz w:val="27"/>
          <w:szCs w:val="27"/>
        </w:rPr>
        <w:t xml:space="preserve">‘simple common sense’ ” to determine whether a speech regulation advances substantial government interests under </w:t>
      </w:r>
      <w:r w:rsidR="00B0131F">
        <w:rPr>
          <w:rFonts w:ascii="Century Schoolbook" w:hAnsi="Century Schoolbook"/>
          <w:i/>
          <w:iCs/>
          <w:sz w:val="27"/>
          <w:szCs w:val="27"/>
        </w:rPr>
        <w:t>Central Hudson</w:t>
      </w:r>
      <w:r w:rsidRPr="00CC0E38">
        <w:rPr>
          <w:rFonts w:ascii="Century Schoolbook" w:hAnsi="Century Schoolbook"/>
          <w:sz w:val="27"/>
          <w:szCs w:val="27"/>
        </w:rPr>
        <w:t>.  (</w:t>
      </w:r>
      <w:r w:rsidRPr="00CC0E38">
        <w:rPr>
          <w:rFonts w:ascii="Century Schoolbook" w:hAnsi="Century Schoolbook"/>
          <w:i/>
          <w:iCs/>
          <w:sz w:val="27"/>
          <w:szCs w:val="27"/>
        </w:rPr>
        <w:t>Florida Bar v. Went For It, Inc.</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xml:space="preserve">, 515 U.S. at p. 628.)  The historical record, recent experience, and </w:t>
      </w:r>
      <w:r w:rsidR="00D1455B">
        <w:rPr>
          <w:rFonts w:ascii="Century Schoolbook" w:hAnsi="Century Schoolbook"/>
          <w:sz w:val="27"/>
          <w:szCs w:val="27"/>
        </w:rPr>
        <w:t xml:space="preserve">common sense </w:t>
      </w:r>
      <w:r w:rsidRPr="00CC0E38">
        <w:rPr>
          <w:rFonts w:ascii="Century Schoolbook" w:hAnsi="Century Schoolbook"/>
          <w:sz w:val="27"/>
          <w:szCs w:val="27"/>
        </w:rPr>
        <w:t>all confirm that section 2076 directly and materially advances the interests the state has identified here.  By prohibiting arrangements with inmates that “facilitate the wholesale identification of people with imminent bail needs” (</w:t>
      </w:r>
      <w:r w:rsidRPr="00CC0E38">
        <w:rPr>
          <w:rFonts w:ascii="Century Schoolbook" w:hAnsi="Century Schoolbook"/>
          <w:i/>
          <w:iCs/>
          <w:sz w:val="27"/>
          <w:szCs w:val="27"/>
        </w:rPr>
        <w:t>Martinez</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 xml:space="preserve">59 Cal.App.5th at p. 315 (dis. opn. of Grover, J.)), section 2076 prevents bail bond businesses from developing insider information networks within jails and prisons that would give them an unfair “first mover” advantage in the bond services market.  As Martinez acknowledges, bail bond businesses would benefit from this first </w:t>
      </w:r>
      <w:r w:rsidRPr="00CC0E38">
        <w:rPr>
          <w:rFonts w:ascii="Century Schoolbook" w:hAnsi="Century Schoolbook"/>
          <w:sz w:val="27"/>
          <w:szCs w:val="27"/>
        </w:rPr>
        <w:lastRenderedPageBreak/>
        <w:t>mover advantage even if they engaged in strictly lawful solicitation — for example, of an arrestee’s family members (see Cal. Code Regs., tit. 10, §§ 2079, 2079.1), who are likely to be in a particularly vulnerable position and liable to engage the services of the first bail bond agent to reach out directly.  With section 2076 in place, bail bond businesses cannot compete based on the speed with which they can procure inside information about arrestees and reach those vulnerable consumers; instead, they must seek the arrest information from publicly available arrest reports or wait to receive a bona fide request for bail services from the arrestees, their families, or their designated representatives.  (See Cal. Code Regs., tit. 10, § 2079.1.)  As the Attorney General explains, section 2076 thereby encourages more “legitimate forms of competition,” such as competition on “price, scope, and quality of services.”</w:t>
      </w:r>
    </w:p>
    <w:p w14:paraId="3705A849"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The history behind the Bail Bond Regulatory Act shows how these types of insider arrangements enabled certain firms to gain monopolistic control over bail in the regions where they operated.</w:t>
      </w:r>
      <w:r>
        <w:rPr>
          <w:rFonts w:ascii="Century Schoolbook" w:hAnsi="Century Schoolbook"/>
          <w:b/>
          <w:bCs/>
          <w:position w:val="4"/>
          <w:sz w:val="27"/>
          <w:szCs w:val="27"/>
          <w:vertAlign w:val="superscript"/>
        </w:rPr>
        <w:footnoteReference w:id="17"/>
      </w:r>
      <w:r w:rsidRPr="00CC0E38">
        <w:rPr>
          <w:rFonts w:ascii="Century Schoolbook" w:hAnsi="Century Schoolbook"/>
          <w:sz w:val="27"/>
          <w:szCs w:val="27"/>
        </w:rPr>
        <w:t xml:space="preserve">  Before the Act’s passage, public attention focused, </w:t>
      </w:r>
      <w:r w:rsidRPr="00CC0E38">
        <w:rPr>
          <w:rFonts w:ascii="Century Schoolbook" w:hAnsi="Century Schoolbook"/>
          <w:sz w:val="27"/>
          <w:szCs w:val="27"/>
        </w:rPr>
        <w:lastRenderedPageBreak/>
        <w:t xml:space="preserve">in particular, on abuses by one of the first for-profit bail bond businesses in the United States, the McDonough Brothers Bail Bond Brokers.  (Barnes, </w:t>
      </w:r>
      <w:r w:rsidRPr="00CC0E38">
        <w:rPr>
          <w:rFonts w:ascii="Century Schoolbook" w:hAnsi="Century Schoolbook"/>
          <w:i/>
          <w:iCs/>
          <w:sz w:val="27"/>
          <w:szCs w:val="27"/>
        </w:rPr>
        <w:t>“Fountainhead of Corruption”:  Peter P. McDonough, Boss of San Francisco’s Underworld</w:t>
      </w:r>
      <w:r w:rsidRPr="00CC0E38">
        <w:rPr>
          <w:rFonts w:ascii="Century Schoolbook" w:hAnsi="Century Schoolbook"/>
          <w:sz w:val="27"/>
          <w:szCs w:val="27"/>
        </w:rPr>
        <w:t xml:space="preserve"> (1979) 58 Cal. History 142, 151–152.)  </w:t>
      </w:r>
      <w:r w:rsidR="009711C3">
        <w:rPr>
          <w:rFonts w:ascii="Century Schoolbook" w:hAnsi="Century Schoolbook"/>
          <w:sz w:val="27"/>
          <w:szCs w:val="27"/>
        </w:rPr>
        <w:t>The public learned that t</w:t>
      </w:r>
      <w:r w:rsidRPr="00CC0E38">
        <w:rPr>
          <w:rFonts w:ascii="Century Schoolbook" w:hAnsi="Century Schoolbook"/>
          <w:sz w:val="27"/>
          <w:szCs w:val="27"/>
        </w:rPr>
        <w:t>he McDonough Brothers</w:t>
      </w:r>
      <w:r w:rsidR="009711C3">
        <w:rPr>
          <w:rFonts w:ascii="Century Schoolbook" w:hAnsi="Century Schoolbook"/>
          <w:sz w:val="27"/>
          <w:szCs w:val="27"/>
        </w:rPr>
        <w:t xml:space="preserve"> had</w:t>
      </w:r>
      <w:r w:rsidRPr="00CC0E38">
        <w:rPr>
          <w:rFonts w:ascii="Century Schoolbook" w:hAnsi="Century Schoolbook"/>
          <w:sz w:val="27"/>
          <w:szCs w:val="27"/>
        </w:rPr>
        <w:t xml:space="preserve"> “monopolized the bail bond business in San Francisco” by developing a system for acquiring insider information about the bail needs of recent arrestees.  (</w:t>
      </w:r>
      <w:r w:rsidR="00E172C5" w:rsidRPr="00126E00">
        <w:rPr>
          <w:rFonts w:ascii="Century Schoolbook" w:hAnsi="Century Schoolbook"/>
          <w:sz w:val="27"/>
          <w:szCs w:val="27"/>
        </w:rPr>
        <w:t>Barnes</w:t>
      </w:r>
      <w:r w:rsidR="00E172C5">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at p. 145</w:t>
      </w:r>
      <w:r w:rsidRPr="00CC0E38">
        <w:rPr>
          <w:rFonts w:ascii="Century Schoolbook" w:hAnsi="Century Schoolbook"/>
          <w:i/>
          <w:iCs/>
          <w:sz w:val="27"/>
          <w:szCs w:val="27"/>
        </w:rPr>
        <w:t>.</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“Besides stationing functionaries of the firm at local, state, and federal courts, the McDonough organization created a remarkable network of informants” — including police officers who “provided daily lists of who had been arrested, the charges, and the bail set” — and even set up radios that connected the prisons and jails to the McDonough offices.  (</w:t>
      </w:r>
      <w:r w:rsidRPr="00CC0E38">
        <w:rPr>
          <w:rFonts w:ascii="Century Schoolbook" w:hAnsi="Century Schoolbook"/>
          <w:i/>
          <w:iCs/>
          <w:sz w:val="27"/>
          <w:szCs w:val="27"/>
        </w:rPr>
        <w:t>Id.</w:t>
      </w:r>
      <w:r w:rsidRPr="00CC0E38">
        <w:rPr>
          <w:rFonts w:ascii="Century Schoolbook" w:hAnsi="Century Schoolbook"/>
          <w:sz w:val="27"/>
          <w:szCs w:val="27"/>
        </w:rPr>
        <w:t xml:space="preserve"> at p. 146.)  The firm </w:t>
      </w:r>
      <w:r w:rsidR="009711C3">
        <w:rPr>
          <w:rFonts w:ascii="Century Schoolbook" w:hAnsi="Century Schoolbook"/>
          <w:sz w:val="27"/>
          <w:szCs w:val="27"/>
        </w:rPr>
        <w:t xml:space="preserve">reportedly </w:t>
      </w:r>
      <w:r w:rsidRPr="00CC0E38">
        <w:rPr>
          <w:rFonts w:ascii="Century Schoolbook" w:hAnsi="Century Schoolbook"/>
          <w:sz w:val="27"/>
          <w:szCs w:val="27"/>
        </w:rPr>
        <w:t>used the information it acquired to quickly solicit business from recent arrestees and secure release orders from the city’s superior court judges.  (</w:t>
      </w:r>
      <w:r w:rsidRPr="00CC0E38">
        <w:rPr>
          <w:rFonts w:ascii="Century Schoolbook" w:hAnsi="Century Schoolbook"/>
          <w:i/>
          <w:iCs/>
          <w:sz w:val="27"/>
          <w:szCs w:val="27"/>
        </w:rPr>
        <w:t>Ibid.</w:t>
      </w:r>
      <w:r w:rsidRPr="00CC0E38">
        <w:rPr>
          <w:rFonts w:ascii="Century Schoolbook" w:hAnsi="Century Schoolbook"/>
          <w:sz w:val="27"/>
          <w:szCs w:val="27"/>
        </w:rPr>
        <w:t>)  A 1937 report following an investigation into citywide corruption — the “Atherton Report” — found that the McDonough Brothers had developed a “virtual ‘corner’ on the [b]ail bonds business” by “ ‘freez[ing] out’ ” its competition and noted that the firm had used the wealth, influence, and police connections that it had acquired through that business to expand into the city’s other vice trades, like prostitution, gambling, and bootlegging.  (</w:t>
      </w:r>
      <w:r w:rsidRPr="00CC0E38">
        <w:rPr>
          <w:rFonts w:ascii="Century Schoolbook" w:hAnsi="Century Schoolbook"/>
          <w:i/>
          <w:iCs/>
          <w:sz w:val="27"/>
          <w:szCs w:val="27"/>
        </w:rPr>
        <w:t xml:space="preserve">Report to the 1937 Grand Jury on Graft in </w:t>
      </w:r>
      <w:r w:rsidR="00E172C5">
        <w:rPr>
          <w:rFonts w:ascii="Century Schoolbook" w:hAnsi="Century Schoolbook"/>
          <w:i/>
          <w:iCs/>
          <w:sz w:val="27"/>
          <w:szCs w:val="27"/>
        </w:rPr>
        <w:t xml:space="preserve">the </w:t>
      </w:r>
      <w:r w:rsidRPr="00CC0E38">
        <w:rPr>
          <w:rFonts w:ascii="Century Schoolbook" w:hAnsi="Century Schoolbook"/>
          <w:i/>
          <w:iCs/>
          <w:sz w:val="27"/>
          <w:szCs w:val="27"/>
        </w:rPr>
        <w:t>San Francisco</w:t>
      </w:r>
      <w:r w:rsidR="00E172C5">
        <w:rPr>
          <w:rFonts w:ascii="Century Schoolbook" w:hAnsi="Century Schoolbook"/>
          <w:i/>
          <w:iCs/>
          <w:sz w:val="27"/>
          <w:szCs w:val="27"/>
        </w:rPr>
        <w:t xml:space="preserve"> </w:t>
      </w:r>
      <w:r w:rsidR="00E172C5">
        <w:rPr>
          <w:rFonts w:ascii="Century Schoolbook" w:hAnsi="Century Schoolbook"/>
          <w:i/>
          <w:iCs/>
          <w:sz w:val="27"/>
          <w:szCs w:val="27"/>
        </w:rPr>
        <w:lastRenderedPageBreak/>
        <w:t>Police Department</w:t>
      </w:r>
      <w:r w:rsidRPr="00CC0E38">
        <w:rPr>
          <w:rFonts w:ascii="Century Schoolbook" w:hAnsi="Century Schoolbook"/>
          <w:sz w:val="27"/>
          <w:szCs w:val="27"/>
        </w:rPr>
        <w:t xml:space="preserve">, reprinted in S.F. Chronicle (Mar. 17, 1937) p. F2, col. 4; see also Barnes, at pp. 146–147.)  </w:t>
      </w:r>
      <w:r w:rsidR="009711C3">
        <w:rPr>
          <w:rFonts w:ascii="Century Schoolbook" w:hAnsi="Century Schoolbook"/>
          <w:sz w:val="27"/>
          <w:szCs w:val="27"/>
        </w:rPr>
        <w:t>According to news reports of the time, b</w:t>
      </w:r>
      <w:r w:rsidRPr="00CC0E38">
        <w:rPr>
          <w:rFonts w:ascii="Century Schoolbook" w:hAnsi="Century Schoolbook"/>
          <w:sz w:val="27"/>
          <w:szCs w:val="27"/>
        </w:rPr>
        <w:t xml:space="preserve">ail bond businesses across the state engaged in similar abusive practices, recruiting police officers to notify them of recent arrests in exchange for a share of the bail premium and using that information to charge exorbitant bond fees from friends or relatives of the arrestees.  (See, e.g., </w:t>
      </w:r>
      <w:r w:rsidRPr="00CC0E38">
        <w:rPr>
          <w:rFonts w:ascii="Century Schoolbook" w:hAnsi="Century Schoolbook"/>
          <w:i/>
          <w:iCs/>
          <w:sz w:val="27"/>
          <w:szCs w:val="27"/>
        </w:rPr>
        <w:t>Bail Bondsmen Facing Inquiry</w:t>
      </w:r>
      <w:r w:rsidRPr="00CC0E38">
        <w:rPr>
          <w:rFonts w:ascii="Century Schoolbook" w:hAnsi="Century Schoolbook"/>
          <w:sz w:val="27"/>
          <w:szCs w:val="27"/>
        </w:rPr>
        <w:t>, L.A. Times</w:t>
      </w:r>
      <w:r w:rsidR="00E172C5">
        <w:rPr>
          <w:rFonts w:ascii="Century Schoolbook" w:hAnsi="Century Schoolbook"/>
          <w:sz w:val="27"/>
          <w:szCs w:val="27"/>
        </w:rPr>
        <w:t xml:space="preserve"> (June 25, 1941)</w:t>
      </w:r>
      <w:r w:rsidRPr="00CC0E38">
        <w:rPr>
          <w:rFonts w:ascii="Century Schoolbook" w:hAnsi="Century Schoolbook"/>
          <w:sz w:val="27"/>
          <w:szCs w:val="27"/>
        </w:rPr>
        <w:t xml:space="preserve"> p. 23.)</w:t>
      </w:r>
      <w:r>
        <w:rPr>
          <w:rFonts w:ascii="Century Schoolbook" w:hAnsi="Century Schoolbook"/>
          <w:b/>
          <w:bCs/>
          <w:position w:val="4"/>
          <w:sz w:val="27"/>
          <w:szCs w:val="27"/>
          <w:vertAlign w:val="superscript"/>
        </w:rPr>
        <w:footnoteReference w:id="18"/>
      </w:r>
      <w:r w:rsidRPr="00CC0E38">
        <w:rPr>
          <w:rFonts w:ascii="Century Schoolbook" w:hAnsi="Century Schoolbook"/>
          <w:sz w:val="27"/>
          <w:szCs w:val="27"/>
        </w:rPr>
        <w:t xml:space="preserve">  These abusive practices, among others, led to the passage of the Bail Bond Regulatory Act and, later, to the Insurance Commissioner’s promulgation of regulations like section 2076 that are still in force today.  (See, e.g., </w:t>
      </w:r>
      <w:r w:rsidRPr="00CC0E38">
        <w:rPr>
          <w:rFonts w:ascii="Century Schoolbook" w:hAnsi="Century Schoolbook"/>
          <w:i/>
          <w:iCs/>
          <w:sz w:val="27"/>
          <w:szCs w:val="27"/>
        </w:rPr>
        <w:t>Bills to End M’Donough’s Rule Signed</w:t>
      </w:r>
      <w:r w:rsidRPr="00CC0E38">
        <w:rPr>
          <w:rFonts w:ascii="Century Schoolbook" w:hAnsi="Century Schoolbook"/>
          <w:sz w:val="27"/>
          <w:szCs w:val="27"/>
        </w:rPr>
        <w:t xml:space="preserve">, S.F. Examiner (July 3, 1937) p. 1; MacDonald, </w:t>
      </w:r>
      <w:r w:rsidRPr="00CC0E38">
        <w:rPr>
          <w:rFonts w:ascii="Century Schoolbook" w:hAnsi="Century Schoolbook"/>
          <w:i/>
          <w:iCs/>
          <w:sz w:val="27"/>
          <w:szCs w:val="27"/>
        </w:rPr>
        <w:t>48 Stringent Rules Set Up By Caminetti</w:t>
      </w:r>
      <w:r w:rsidRPr="00CC0E38">
        <w:rPr>
          <w:rFonts w:ascii="Century Schoolbook" w:hAnsi="Century Schoolbook"/>
          <w:sz w:val="27"/>
          <w:szCs w:val="27"/>
        </w:rPr>
        <w:t>, S.F. Chronicle</w:t>
      </w:r>
      <w:r w:rsidR="00E172C5">
        <w:rPr>
          <w:rFonts w:ascii="Century Schoolbook" w:hAnsi="Century Schoolbook"/>
          <w:sz w:val="27"/>
          <w:szCs w:val="27"/>
        </w:rPr>
        <w:t xml:space="preserve"> (Dec. 8, 1941) </w:t>
      </w:r>
      <w:r w:rsidRPr="00CC0E38">
        <w:rPr>
          <w:rFonts w:ascii="Century Schoolbook" w:hAnsi="Century Schoolbook"/>
          <w:sz w:val="27"/>
          <w:szCs w:val="27"/>
        </w:rPr>
        <w:t>p. 29.)</w:t>
      </w:r>
    </w:p>
    <w:p w14:paraId="3705A84A"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Recent reports indicate that these practices continue to undermine fair competition in the industry, with deleterious effects on the internal jail and prison environment.  For example, the Court of Appeal took judicial notice of the Insurance Commissioner’s 2018 report titled Recommendations for California’s Bail System, which emphasized the need to improve oversight and regulation of the bail industry to protect vulnerable bail consumers.  (See </w:t>
      </w:r>
      <w:r w:rsidRPr="00CC0E38">
        <w:rPr>
          <w:rFonts w:ascii="Century Schoolbook" w:hAnsi="Century Schoolbook"/>
          <w:i/>
          <w:iCs/>
          <w:sz w:val="27"/>
          <w:szCs w:val="27"/>
        </w:rPr>
        <w:t>Martinez</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59 Cal. App.5th at p. 311, fn. 13.)  The report noted that recent investigations had uncovered “schemes by bail agents to scoop business away from competitors by rewarding jail inmates with money added to their jail accounts for providing information about newly booked individuals in the jails.”  (</w:t>
      </w:r>
      <w:r w:rsidR="00E172C5">
        <w:rPr>
          <w:rFonts w:ascii="Century Schoolbook" w:hAnsi="Century Schoolbook"/>
          <w:sz w:val="27"/>
          <w:szCs w:val="27"/>
        </w:rPr>
        <w:t xml:space="preserve">Cal. Dept. of </w:t>
      </w:r>
      <w:r w:rsidR="00E172C5">
        <w:rPr>
          <w:rFonts w:ascii="Century Schoolbook" w:hAnsi="Century Schoolbook"/>
          <w:sz w:val="27"/>
          <w:szCs w:val="27"/>
        </w:rPr>
        <w:lastRenderedPageBreak/>
        <w:t>Insurance,</w:t>
      </w:r>
      <w:r w:rsidRPr="00CC0E38">
        <w:rPr>
          <w:rFonts w:ascii="Century Schoolbook" w:hAnsi="Century Schoolbook"/>
          <w:sz w:val="27"/>
          <w:szCs w:val="27"/>
        </w:rPr>
        <w:t xml:space="preserve"> Recommendations for California’s Bail System, </w:t>
      </w:r>
      <w:r w:rsidRPr="00CC0E38">
        <w:rPr>
          <w:rFonts w:ascii="Century Schoolbook" w:hAnsi="Century Schoolbook"/>
          <w:i/>
          <w:iCs/>
          <w:sz w:val="27"/>
          <w:szCs w:val="27"/>
        </w:rPr>
        <w:t>supra</w:t>
      </w:r>
      <w:r w:rsidRPr="00CC0E38">
        <w:rPr>
          <w:rFonts w:ascii="Century Schoolbook" w:hAnsi="Century Schoolbook"/>
          <w:sz w:val="27"/>
          <w:szCs w:val="27"/>
        </w:rPr>
        <w:t xml:space="preserve">, at p. 6.)  Those investigations found that the schemes undermined the security conditions within the jail because the inmates recruited to provide such information would frequently threaten or pressure other inmates to engage the services of certain bail bond firms and would retaliate against those working for rival businesses.  (See Lewis, </w:t>
      </w:r>
      <w:r w:rsidRPr="00CC0E38">
        <w:rPr>
          <w:rFonts w:ascii="Century Schoolbook" w:hAnsi="Century Schoolbook"/>
          <w:i/>
          <w:iCs/>
          <w:sz w:val="27"/>
          <w:szCs w:val="27"/>
        </w:rPr>
        <w:t>Inside Santa Clara Jails, Predatory Bail Schemes Flourished for Years</w:t>
      </w:r>
      <w:r w:rsidRPr="00CC0E38">
        <w:rPr>
          <w:rFonts w:ascii="Century Schoolbook" w:hAnsi="Century Schoolbook"/>
          <w:sz w:val="27"/>
          <w:szCs w:val="27"/>
        </w:rPr>
        <w:t xml:space="preserve">, </w:t>
      </w:r>
      <w:r w:rsidR="007E17CC">
        <w:rPr>
          <w:rFonts w:ascii="Century Schoolbook" w:hAnsi="Century Schoolbook"/>
          <w:i/>
          <w:iCs/>
          <w:sz w:val="27"/>
          <w:szCs w:val="27"/>
        </w:rPr>
        <w:t>supra</w:t>
      </w:r>
      <w:r w:rsidR="007E17CC">
        <w:rPr>
          <w:rFonts w:ascii="Century Schoolbook" w:hAnsi="Century Schoolbook"/>
          <w:sz w:val="27"/>
          <w:szCs w:val="27"/>
        </w:rPr>
        <w:t>,</w:t>
      </w:r>
      <w:r w:rsidR="007E17CC">
        <w:rPr>
          <w:rFonts w:ascii="Century Schoolbook" w:hAnsi="Century Schoolbook"/>
          <w:i/>
          <w:iCs/>
          <w:sz w:val="27"/>
          <w:szCs w:val="27"/>
        </w:rPr>
        <w:t xml:space="preserve"> </w:t>
      </w:r>
      <w:r w:rsidRPr="00CC0E38">
        <w:rPr>
          <w:rFonts w:ascii="Century Schoolbook" w:hAnsi="Century Schoolbook"/>
          <w:sz w:val="27"/>
          <w:szCs w:val="27"/>
        </w:rPr>
        <w:t xml:space="preserve">KQED.)  Other states have grappled with similar problems arising from similar notification arrangements.  (See, e.g., State of N.J., Com. of Investigation, Inside Out:  Questionable and Abusive Practices in New Jersey’s Bail-Bond Industry, </w:t>
      </w:r>
      <w:r w:rsidRPr="00CC0E38">
        <w:rPr>
          <w:rFonts w:ascii="Century Schoolbook" w:hAnsi="Century Schoolbook"/>
          <w:i/>
          <w:iCs/>
          <w:sz w:val="27"/>
          <w:szCs w:val="27"/>
        </w:rPr>
        <w:t>supra</w:t>
      </w:r>
      <w:r w:rsidRPr="00CC0E38">
        <w:rPr>
          <w:rFonts w:ascii="Century Schoolbook" w:hAnsi="Century Schoolbook"/>
          <w:sz w:val="27"/>
          <w:szCs w:val="27"/>
        </w:rPr>
        <w:t>, at pp. 12–13.)  By prohibiting such schemes, section 2076 directly serves the state’s substantial interests in avoiding such adverse consequences.</w:t>
      </w:r>
    </w:p>
    <w:p w14:paraId="3705A84B"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Finally, we must consider whether section 2076 is “more extensive than is necessary to serve” those substantial governmental interests.  (</w:t>
      </w:r>
      <w:r w:rsidRPr="00CC0E38">
        <w:rPr>
          <w:rFonts w:ascii="Century Schoolbook" w:hAnsi="Century Schoolbook"/>
          <w:i/>
          <w:iCs/>
          <w:sz w:val="27"/>
          <w:szCs w:val="27"/>
        </w:rPr>
        <w:t>Central Hudson</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447 U.S. at p. 566.)  This step of the analysis requires that there be a “ ‘ “fit” between the legislature’s ends and the means chosen to accomplish those ends,’ [citation]</w:t>
      </w:r>
      <w:r w:rsidR="00E172C5">
        <w:rPr>
          <w:rFonts w:ascii="Century Schoolbook" w:hAnsi="Century Schoolbook"/>
          <w:sz w:val="27"/>
          <w:szCs w:val="27"/>
        </w:rPr>
        <w:t> —</w:t>
      </w:r>
      <w:r w:rsidRPr="00CC0E38">
        <w:rPr>
          <w:rFonts w:ascii="Century Schoolbook" w:hAnsi="Century Schoolbook"/>
          <w:sz w:val="27"/>
          <w:szCs w:val="27"/>
        </w:rPr>
        <w:t xml:space="preserve"> a fit that is not necessarily perfect, but reasonable.”  (</w:t>
      </w:r>
      <w:r w:rsidRPr="00CC0E38">
        <w:rPr>
          <w:rFonts w:ascii="Century Schoolbook" w:hAnsi="Century Schoolbook"/>
          <w:i/>
          <w:iCs/>
          <w:sz w:val="27"/>
          <w:szCs w:val="27"/>
        </w:rPr>
        <w:t>Board of Trustees, State Uni</w:t>
      </w:r>
      <w:r w:rsidR="007C7C3F">
        <w:rPr>
          <w:rFonts w:ascii="Century Schoolbook" w:hAnsi="Century Schoolbook"/>
          <w:i/>
          <w:iCs/>
          <w:sz w:val="27"/>
          <w:szCs w:val="27"/>
        </w:rPr>
        <w:t>v</w:t>
      </w:r>
      <w:r w:rsidRPr="00CC0E38">
        <w:rPr>
          <w:rFonts w:ascii="Century Schoolbook" w:hAnsi="Century Schoolbook"/>
          <w:i/>
          <w:iCs/>
          <w:sz w:val="27"/>
          <w:szCs w:val="27"/>
        </w:rPr>
        <w:t>. of N.Y. v. Fox</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w:t>
      </w:r>
      <w:r w:rsidRPr="00CC0E38">
        <w:rPr>
          <w:rFonts w:ascii="Century Schoolbook" w:hAnsi="Century Schoolbook"/>
          <w:i/>
          <w:iCs/>
          <w:sz w:val="27"/>
          <w:szCs w:val="27"/>
        </w:rPr>
        <w:t xml:space="preserve"> </w:t>
      </w:r>
      <w:r w:rsidRPr="00CC0E38">
        <w:rPr>
          <w:rFonts w:ascii="Century Schoolbook" w:hAnsi="Century Schoolbook"/>
          <w:sz w:val="27"/>
          <w:szCs w:val="27"/>
        </w:rPr>
        <w:t>492 U.S. at p. 480.)  Unlike strict scrutiny, intermediate scrutiny does not require the Legislature to choose the “least restrictive means</w:t>
      </w:r>
      <w:r w:rsidR="0073647E">
        <w:rPr>
          <w:rFonts w:ascii="Century Schoolbook" w:hAnsi="Century Schoolbook"/>
          <w:sz w:val="27"/>
          <w:szCs w:val="27"/>
        </w:rPr>
        <w:t>,</w:t>
      </w:r>
      <w:r w:rsidRPr="00CC0E38">
        <w:rPr>
          <w:rFonts w:ascii="Century Schoolbook" w:hAnsi="Century Schoolbook"/>
          <w:sz w:val="27"/>
          <w:szCs w:val="27"/>
        </w:rPr>
        <w:t>” so long as the means are “narrowly tailored to achieve the desired objective.”  (</w:t>
      </w:r>
      <w:r w:rsidRPr="00CC0E38">
        <w:rPr>
          <w:rFonts w:ascii="Century Schoolbook" w:hAnsi="Century Schoolbook"/>
          <w:i/>
          <w:iCs/>
          <w:sz w:val="27"/>
          <w:szCs w:val="27"/>
        </w:rPr>
        <w:t>Ibid.</w:t>
      </w:r>
      <w:r w:rsidRPr="00CC0E38">
        <w:rPr>
          <w:rFonts w:ascii="Century Schoolbook" w:hAnsi="Century Schoolbook"/>
          <w:sz w:val="27"/>
          <w:szCs w:val="27"/>
        </w:rPr>
        <w:t xml:space="preserve">; </w:t>
      </w:r>
      <w:r w:rsidRPr="00CC0E38">
        <w:rPr>
          <w:rFonts w:ascii="Century Schoolbook" w:hAnsi="Century Schoolbook"/>
          <w:i/>
          <w:iCs/>
          <w:sz w:val="27"/>
          <w:szCs w:val="27"/>
        </w:rPr>
        <w:t>Florida Bar v. Went For It, Inc.</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515 U.S. at p. 632.)</w:t>
      </w:r>
    </w:p>
    <w:p w14:paraId="3705A84C"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As applied to arrangements with jail inmates, section 2076 is narrowly tailored because it prohibits only the very “arrangement[s]” or “understanding[s]” that have led to the unfair competitive practices and jail administration issues </w:t>
      </w:r>
      <w:r w:rsidRPr="00CC0E38">
        <w:rPr>
          <w:rFonts w:ascii="Century Schoolbook" w:hAnsi="Century Schoolbook"/>
          <w:sz w:val="27"/>
          <w:szCs w:val="27"/>
        </w:rPr>
        <w:lastRenderedPageBreak/>
        <w:t xml:space="preserve">identified by the Attorney General.  As we have already explained (see </w:t>
      </w:r>
      <w:r w:rsidR="00CA45AE">
        <w:rPr>
          <w:rFonts w:ascii="Century Schoolbook" w:hAnsi="Century Schoolbook"/>
          <w:sz w:val="27"/>
          <w:szCs w:val="27"/>
        </w:rPr>
        <w:t>p</w:t>
      </w:r>
      <w:r w:rsidRPr="00CC0E38">
        <w:rPr>
          <w:rFonts w:ascii="Century Schoolbook" w:hAnsi="Century Schoolbook"/>
          <w:sz w:val="27"/>
          <w:szCs w:val="27"/>
        </w:rPr>
        <w:t>p. </w:t>
      </w:r>
      <w:r w:rsidR="00CA45AE">
        <w:rPr>
          <w:rFonts w:ascii="Century Schoolbook" w:hAnsi="Century Schoolbook"/>
          <w:sz w:val="27"/>
          <w:szCs w:val="27"/>
        </w:rPr>
        <w:t>10</w:t>
      </w:r>
      <w:r w:rsidR="00CA45AE" w:rsidRPr="00CC0E38">
        <w:rPr>
          <w:rFonts w:ascii="Century Schoolbook" w:hAnsi="Century Schoolbook"/>
          <w:sz w:val="27"/>
          <w:szCs w:val="27"/>
        </w:rPr>
        <w:t>–</w:t>
      </w:r>
      <w:r w:rsidRPr="00CC0E38">
        <w:rPr>
          <w:rFonts w:ascii="Century Schoolbook" w:hAnsi="Century Schoolbook"/>
          <w:sz w:val="27"/>
          <w:szCs w:val="27"/>
        </w:rPr>
        <w:t xml:space="preserve">11, </w:t>
      </w:r>
      <w:r w:rsidRPr="00CC0E38">
        <w:rPr>
          <w:rFonts w:ascii="Century Schoolbook" w:hAnsi="Century Schoolbook"/>
          <w:i/>
          <w:iCs/>
          <w:sz w:val="27"/>
          <w:szCs w:val="27"/>
        </w:rPr>
        <w:t>ante</w:t>
      </w:r>
      <w:r w:rsidRPr="00CC0E38">
        <w:rPr>
          <w:rFonts w:ascii="Century Schoolbook" w:hAnsi="Century Schoolbook"/>
          <w:sz w:val="27"/>
          <w:szCs w:val="27"/>
        </w:rPr>
        <w:t xml:space="preserve">), Martinez overstates the scope of section 2076 when she contends that the regulation prohibits bail licensees from receiving information about recent arrests.  Instead, while the regulation does forbid both formal and less formal arrangements between licensed bail bond agents and inmates about the sharing of arrest information, bail licensees are free to obtain that information through public records requests or any other publicly available source.  </w:t>
      </w:r>
    </w:p>
    <w:p w14:paraId="3705A84D" w14:textId="77777777" w:rsidR="00CC0E38" w:rsidRPr="00CC0E38" w:rsidRDefault="00000000" w:rsidP="006E0E82">
      <w:pPr>
        <w:spacing w:after="100" w:line="400" w:lineRule="exact"/>
        <w:ind w:firstLine="720"/>
        <w:jc w:val="both"/>
        <w:rPr>
          <w:rFonts w:ascii="Century Schoolbook" w:hAnsi="Century Schoolbook"/>
          <w:b/>
          <w:bCs/>
          <w:sz w:val="27"/>
          <w:szCs w:val="27"/>
        </w:rPr>
      </w:pPr>
      <w:r w:rsidRPr="00CC0E38">
        <w:rPr>
          <w:rFonts w:ascii="Century Schoolbook" w:hAnsi="Century Schoolbook"/>
          <w:sz w:val="27"/>
          <w:szCs w:val="27"/>
        </w:rPr>
        <w:t>Moreover, Martinez is incorrect when she argues that other provisions — like California Code of Regulations, title 10, section 2079.1, which prohibits bail licensees from directly soliciting arrestees who have not requested their services, and Penal Code section 160, which prohibits bail licensees from employing inmates to solicit arrestees on the licensees’ behalf — suffice to address the governmental interests at stake.  In making this argument, Martinez repeats the error of the Court of Appeal, which failed to appreciate that California Code of Regulations, title 10, section 2076 addresses distinct harms to fair competition and secure jail administration that can arise from even lawful solicitation practices that capitalize on asymmetric access to information about new arrestees.</w:t>
      </w:r>
    </w:p>
    <w:p w14:paraId="3705A84E" w14:textId="77777777" w:rsidR="00CC0E38" w:rsidRPr="00CC0E38" w:rsidRDefault="00000000" w:rsidP="007E142C">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In sum, </w:t>
      </w:r>
      <w:r w:rsidR="009E0CC9">
        <w:rPr>
          <w:rFonts w:ascii="Century Schoolbook" w:hAnsi="Century Schoolbook"/>
          <w:sz w:val="27"/>
          <w:szCs w:val="27"/>
        </w:rPr>
        <w:t>our opinion today assumes without deciding that section 2076 burdens a protected speech right</w:t>
      </w:r>
      <w:r w:rsidR="005E03E1">
        <w:rPr>
          <w:rFonts w:ascii="Century Schoolbook" w:hAnsi="Century Schoolbook"/>
          <w:sz w:val="27"/>
          <w:szCs w:val="27"/>
        </w:rPr>
        <w:t>.  T</w:t>
      </w:r>
      <w:r w:rsidR="009E0CC9">
        <w:rPr>
          <w:rFonts w:ascii="Century Schoolbook" w:hAnsi="Century Schoolbook"/>
          <w:sz w:val="27"/>
          <w:szCs w:val="27"/>
        </w:rPr>
        <w:t>o the extent it does, we hold that intermediate, rather than strict, scrutiny applies, and that section 2076 passes muster.  T</w:t>
      </w:r>
      <w:r w:rsidRPr="00CC0E38">
        <w:rPr>
          <w:rFonts w:ascii="Century Schoolbook" w:hAnsi="Century Schoolbook"/>
          <w:sz w:val="27"/>
          <w:szCs w:val="27"/>
        </w:rPr>
        <w:t xml:space="preserve">he Court of Appeal erred in </w:t>
      </w:r>
      <w:r w:rsidR="009E0CC9">
        <w:rPr>
          <w:rFonts w:ascii="Century Schoolbook" w:hAnsi="Century Schoolbook"/>
          <w:sz w:val="27"/>
          <w:szCs w:val="27"/>
        </w:rPr>
        <w:t>concluding</w:t>
      </w:r>
      <w:r w:rsidR="009E0CC9" w:rsidRPr="00CC0E38">
        <w:rPr>
          <w:rFonts w:ascii="Century Schoolbook" w:hAnsi="Century Schoolbook"/>
          <w:sz w:val="27"/>
          <w:szCs w:val="27"/>
        </w:rPr>
        <w:t xml:space="preserve"> </w:t>
      </w:r>
      <w:r w:rsidRPr="00CC0E38">
        <w:rPr>
          <w:rFonts w:ascii="Century Schoolbook" w:hAnsi="Century Schoolbook"/>
          <w:sz w:val="27"/>
          <w:szCs w:val="27"/>
        </w:rPr>
        <w:t xml:space="preserve">that the People had failed to make a sufficient showing that section 2076 directly advances the state’s interests.  </w:t>
      </w:r>
      <w:r w:rsidR="005E6C75">
        <w:rPr>
          <w:rFonts w:ascii="Century Schoolbook" w:hAnsi="Century Schoolbook"/>
          <w:sz w:val="27"/>
          <w:szCs w:val="27"/>
        </w:rPr>
        <w:t>T</w:t>
      </w:r>
      <w:r w:rsidRPr="00CC0E38">
        <w:rPr>
          <w:rFonts w:ascii="Century Schoolbook" w:hAnsi="Century Schoolbook"/>
          <w:sz w:val="27"/>
          <w:szCs w:val="27"/>
        </w:rPr>
        <w:t>he court</w:t>
      </w:r>
      <w:r w:rsidR="00D23606">
        <w:rPr>
          <w:rFonts w:ascii="Century Schoolbook" w:hAnsi="Century Schoolbook"/>
          <w:sz w:val="27"/>
          <w:szCs w:val="27"/>
        </w:rPr>
        <w:t>’</w:t>
      </w:r>
      <w:r w:rsidR="005E6C75">
        <w:rPr>
          <w:rFonts w:ascii="Century Schoolbook" w:hAnsi="Century Schoolbook"/>
          <w:sz w:val="27"/>
          <w:szCs w:val="27"/>
        </w:rPr>
        <w:t>s analysis</w:t>
      </w:r>
      <w:r w:rsidRPr="00CC0E38">
        <w:rPr>
          <w:rFonts w:ascii="Century Schoolbook" w:hAnsi="Century Schoolbook"/>
          <w:sz w:val="27"/>
          <w:szCs w:val="27"/>
        </w:rPr>
        <w:t xml:space="preserve"> focused narrowly on the question whether the regulation would deter the unlawful solicitation of arrestees.  </w:t>
      </w:r>
      <w:r w:rsidR="00D23606">
        <w:rPr>
          <w:rFonts w:ascii="Century Schoolbook" w:hAnsi="Century Schoolbook"/>
          <w:sz w:val="27"/>
          <w:szCs w:val="27"/>
        </w:rPr>
        <w:t>Its attention thus diverted, t</w:t>
      </w:r>
      <w:r w:rsidRPr="00CC0E38">
        <w:rPr>
          <w:rFonts w:ascii="Century Schoolbook" w:hAnsi="Century Schoolbook"/>
          <w:sz w:val="27"/>
          <w:szCs w:val="27"/>
        </w:rPr>
        <w:t xml:space="preserve">he court </w:t>
      </w:r>
      <w:r w:rsidRPr="00CC0E38">
        <w:rPr>
          <w:rFonts w:ascii="Century Schoolbook" w:hAnsi="Century Schoolbook"/>
          <w:sz w:val="27"/>
          <w:szCs w:val="27"/>
        </w:rPr>
        <w:lastRenderedPageBreak/>
        <w:t>failed to consider other substantial interests at stake</w:t>
      </w:r>
      <w:r w:rsidR="00772A12">
        <w:rPr>
          <w:rFonts w:ascii="Century Schoolbook" w:hAnsi="Century Schoolbook"/>
          <w:sz w:val="27"/>
          <w:szCs w:val="27"/>
        </w:rPr>
        <w:t> </w:t>
      </w:r>
      <w:r w:rsidR="00795C12">
        <w:rPr>
          <w:rFonts w:ascii="Century Schoolbook" w:hAnsi="Century Schoolbook"/>
          <w:sz w:val="27"/>
          <w:szCs w:val="27"/>
        </w:rPr>
        <w:t xml:space="preserve">— interests </w:t>
      </w:r>
      <w:r w:rsidR="006E0E82">
        <w:rPr>
          <w:rFonts w:ascii="Century Schoolbook" w:hAnsi="Century Schoolbook"/>
          <w:sz w:val="27"/>
          <w:szCs w:val="27"/>
        </w:rPr>
        <w:t>that</w:t>
      </w:r>
      <w:r w:rsidR="006E0E82" w:rsidRPr="00CC0E38">
        <w:rPr>
          <w:rFonts w:ascii="Century Schoolbook" w:hAnsi="Century Schoolbook"/>
          <w:sz w:val="27"/>
          <w:szCs w:val="27"/>
        </w:rPr>
        <w:t xml:space="preserve"> </w:t>
      </w:r>
      <w:r w:rsidRPr="00CC0E38">
        <w:rPr>
          <w:rFonts w:ascii="Century Schoolbook" w:hAnsi="Century Schoolbook"/>
          <w:sz w:val="27"/>
          <w:szCs w:val="27"/>
        </w:rPr>
        <w:t>the regulation is, in fact, narrowly drawn to advance.  Martinez’s facial challenge to the regulation therefore fail</w:t>
      </w:r>
      <w:r w:rsidR="005E6C75">
        <w:rPr>
          <w:rFonts w:ascii="Century Schoolbook" w:hAnsi="Century Schoolbook"/>
          <w:sz w:val="27"/>
          <w:szCs w:val="27"/>
        </w:rPr>
        <w:t>s</w:t>
      </w:r>
      <w:r w:rsidRPr="00CC0E38">
        <w:rPr>
          <w:rFonts w:ascii="Century Schoolbook" w:hAnsi="Century Schoolbook"/>
          <w:sz w:val="27"/>
          <w:szCs w:val="27"/>
        </w:rPr>
        <w:t xml:space="preserve">. </w:t>
      </w:r>
    </w:p>
    <w:p w14:paraId="3705A84F" w14:textId="77777777" w:rsidR="00CC0E38" w:rsidRPr="00CC0E38" w:rsidRDefault="00000000" w:rsidP="00CC0E38">
      <w:pPr>
        <w:spacing w:after="100" w:line="400" w:lineRule="exact"/>
        <w:ind w:firstLine="720"/>
        <w:jc w:val="both"/>
        <w:rPr>
          <w:rFonts w:ascii="Century Schoolbook" w:hAnsi="Century Schoolbook"/>
          <w:sz w:val="27"/>
          <w:szCs w:val="27"/>
        </w:rPr>
      </w:pPr>
      <w:r w:rsidRPr="00CC0E38">
        <w:rPr>
          <w:rFonts w:ascii="Century Schoolbook" w:hAnsi="Century Schoolbook"/>
          <w:sz w:val="27"/>
          <w:szCs w:val="27"/>
        </w:rPr>
        <w:t xml:space="preserve">We emphasize that our conclusion is limited to the facial validity of the regulation.  A litigant </w:t>
      </w:r>
      <w:r w:rsidR="000171DD">
        <w:rPr>
          <w:rFonts w:ascii="Century Schoolbook" w:hAnsi="Century Schoolbook"/>
          <w:sz w:val="27"/>
          <w:szCs w:val="27"/>
        </w:rPr>
        <w:t xml:space="preserve">mounting a facial challenge </w:t>
      </w:r>
      <w:r w:rsidRPr="00CC0E38">
        <w:rPr>
          <w:rFonts w:ascii="Century Schoolbook" w:hAnsi="Century Schoolbook"/>
          <w:sz w:val="27"/>
          <w:szCs w:val="27"/>
        </w:rPr>
        <w:t>bears a formidable burden to demonstrate the regulation’s invalidity in “at least ‘ “the generality” ’ [citation] or ‘vast majority’ ” of cases.  (</w:t>
      </w:r>
      <w:r w:rsidRPr="00CC0E38">
        <w:rPr>
          <w:rFonts w:ascii="Century Schoolbook" w:hAnsi="Century Schoolbook"/>
          <w:i/>
          <w:iCs/>
          <w:sz w:val="27"/>
          <w:szCs w:val="27"/>
        </w:rPr>
        <w:t>Today’s Fresh Start, Inc. v. Los Angeles County Office of Education</w:t>
      </w:r>
      <w:r w:rsidRPr="00CC0E38">
        <w:rPr>
          <w:rFonts w:ascii="Century Schoolbook" w:hAnsi="Century Schoolbook"/>
          <w:sz w:val="27"/>
          <w:szCs w:val="27"/>
        </w:rPr>
        <w:t>,</w:t>
      </w:r>
      <w:r w:rsidRPr="00CC0E38">
        <w:rPr>
          <w:rFonts w:ascii="Century Schoolbook" w:hAnsi="Century Schoolbook"/>
          <w:i/>
          <w:iCs/>
          <w:sz w:val="27"/>
          <w:szCs w:val="27"/>
        </w:rPr>
        <w:t xml:space="preserve"> supra</w:t>
      </w:r>
      <w:r w:rsidRPr="00CC0E38">
        <w:rPr>
          <w:rFonts w:ascii="Century Schoolbook" w:hAnsi="Century Schoolbook"/>
          <w:sz w:val="27"/>
          <w:szCs w:val="27"/>
        </w:rPr>
        <w:t>, 57 Cal.4th at p. 218.)  This is an “exacting” standard (</w:t>
      </w:r>
      <w:r w:rsidRPr="00CC0E38">
        <w:rPr>
          <w:rFonts w:ascii="Century Schoolbook" w:hAnsi="Century Schoolbook"/>
          <w:i/>
          <w:iCs/>
          <w:sz w:val="27"/>
          <w:szCs w:val="27"/>
        </w:rPr>
        <w:t>ibid.</w:t>
      </w:r>
      <w:r w:rsidRPr="00CC0E38">
        <w:rPr>
          <w:rFonts w:ascii="Century Schoolbook" w:hAnsi="Century Schoolbook"/>
          <w:sz w:val="27"/>
          <w:szCs w:val="27"/>
        </w:rPr>
        <w:t>) — understandably so, because the consequence of facial invalidation is to undo the work of the political branches of government, without regard to the circumstances of the case at hand (</w:t>
      </w:r>
      <w:r w:rsidRPr="00CC0E38">
        <w:rPr>
          <w:rFonts w:ascii="Century Schoolbook" w:hAnsi="Century Schoolbook"/>
          <w:i/>
          <w:iCs/>
          <w:sz w:val="27"/>
          <w:szCs w:val="27"/>
        </w:rPr>
        <w:t>Washington State Grange v. Washington State Republican Party</w:t>
      </w:r>
      <w:r w:rsidRPr="00CC0E38">
        <w:rPr>
          <w:rFonts w:ascii="Century Schoolbook" w:hAnsi="Century Schoolbook"/>
          <w:sz w:val="27"/>
          <w:szCs w:val="27"/>
        </w:rPr>
        <w:t xml:space="preserve"> (2008) 552 U.S. 442, 450–451).  Our decision, however, does not foreclose future as-applied challenges to section 2076 — either to applications of the law to inmate arrangements that might, under the circumstances of a particular case, raise distinct constitutional concerns, or to arrangements with other groups of informants.  Although Martinez has not prevailed in her argument for invalidating section 2076 on its face, our holding today leaves open the possibility that other </w:t>
      </w:r>
      <w:r w:rsidR="003A11CF">
        <w:rPr>
          <w:rFonts w:ascii="Century Schoolbook" w:hAnsi="Century Schoolbook"/>
          <w:sz w:val="27"/>
          <w:szCs w:val="27"/>
        </w:rPr>
        <w:t xml:space="preserve">litigants </w:t>
      </w:r>
      <w:r w:rsidRPr="00CC0E38">
        <w:rPr>
          <w:rFonts w:ascii="Century Schoolbook" w:hAnsi="Century Schoolbook"/>
          <w:sz w:val="27"/>
          <w:szCs w:val="27"/>
        </w:rPr>
        <w:t>may raise more particularized challenges.</w:t>
      </w:r>
    </w:p>
    <w:p w14:paraId="3705A850" w14:textId="77777777" w:rsidR="00827273" w:rsidRDefault="00000000">
      <w:pPr>
        <w:rPr>
          <w:rFonts w:ascii="Century Schoolbook" w:hAnsi="Century Schoolbook"/>
          <w:b/>
          <w:bCs/>
          <w:sz w:val="27"/>
          <w:szCs w:val="27"/>
        </w:rPr>
      </w:pPr>
      <w:r>
        <w:rPr>
          <w:rFonts w:ascii="Century Schoolbook" w:hAnsi="Century Schoolbook"/>
          <w:b/>
          <w:bCs/>
          <w:sz w:val="27"/>
          <w:szCs w:val="27"/>
        </w:rPr>
        <w:br w:type="page"/>
      </w:r>
    </w:p>
    <w:p w14:paraId="3705A851" w14:textId="77777777" w:rsidR="00CC0E38" w:rsidRPr="00CC0E38" w:rsidRDefault="00000000" w:rsidP="00CC0E38">
      <w:pPr>
        <w:spacing w:after="100" w:line="400" w:lineRule="exact"/>
        <w:jc w:val="center"/>
        <w:rPr>
          <w:rFonts w:ascii="Century Schoolbook" w:hAnsi="Century Schoolbook"/>
          <w:b/>
          <w:bCs/>
          <w:sz w:val="27"/>
          <w:szCs w:val="27"/>
        </w:rPr>
      </w:pPr>
      <w:r w:rsidRPr="00CC0E38">
        <w:rPr>
          <w:rFonts w:ascii="Century Schoolbook" w:hAnsi="Century Schoolbook"/>
          <w:b/>
          <w:bCs/>
          <w:sz w:val="27"/>
          <w:szCs w:val="27"/>
        </w:rPr>
        <w:lastRenderedPageBreak/>
        <w:t>IV.</w:t>
      </w:r>
    </w:p>
    <w:p w14:paraId="3705A852" w14:textId="77777777" w:rsidR="00AF6281" w:rsidRPr="00FA5FF3" w:rsidRDefault="00000000" w:rsidP="00CC0E38">
      <w:pPr>
        <w:spacing w:after="100" w:line="400" w:lineRule="exact"/>
        <w:ind w:firstLine="720"/>
        <w:jc w:val="both"/>
        <w:rPr>
          <w:rFonts w:ascii="Century Schoolbook" w:hAnsi="Century Schoolbook"/>
          <w:sz w:val="27"/>
          <w:szCs w:val="27"/>
        </w:rPr>
      </w:pPr>
      <w:r>
        <w:rPr>
          <w:rFonts w:ascii="Century Schoolbook" w:hAnsi="Century Schoolbook"/>
          <w:sz w:val="27"/>
          <w:szCs w:val="27"/>
        </w:rPr>
        <w:t>W</w:t>
      </w:r>
      <w:r w:rsidR="00CC0E38" w:rsidRPr="00CC0E38">
        <w:rPr>
          <w:rFonts w:ascii="Century Schoolbook" w:hAnsi="Century Schoolbook"/>
          <w:sz w:val="27"/>
          <w:szCs w:val="27"/>
        </w:rPr>
        <w:t>e reverse the judgment of the Court of Appeal and remand for further proceedings consistent with this opinion.</w:t>
      </w:r>
    </w:p>
    <w:p w14:paraId="3705A853" w14:textId="77777777" w:rsidR="00625CE2" w:rsidRPr="00FA5FF3" w:rsidRDefault="00625CE2" w:rsidP="00FA5FF3">
      <w:pPr>
        <w:spacing w:after="100" w:line="400" w:lineRule="exact"/>
        <w:ind w:firstLine="720"/>
        <w:jc w:val="both"/>
        <w:rPr>
          <w:rFonts w:ascii="Century Schoolbook" w:hAnsi="Century Schoolbook"/>
          <w:b/>
          <w:bCs/>
          <w:sz w:val="27"/>
          <w:szCs w:val="27"/>
          <w:u w:val="single"/>
        </w:rPr>
      </w:pPr>
    </w:p>
    <w:p w14:paraId="3705A854" w14:textId="77777777" w:rsidR="00625CE2" w:rsidRPr="00FA5FF3" w:rsidRDefault="00000000" w:rsidP="00FA5FF3">
      <w:pPr>
        <w:tabs>
          <w:tab w:val="left" w:pos="1440"/>
        </w:tabs>
        <w:spacing w:after="100" w:line="400" w:lineRule="exact"/>
        <w:ind w:firstLine="720"/>
        <w:jc w:val="both"/>
        <w:rPr>
          <w:rFonts w:ascii="Century Schoolbook" w:hAnsi="Century Schoolbook"/>
          <w:b/>
          <w:bCs/>
          <w:sz w:val="27"/>
          <w:szCs w:val="27"/>
        </w:rPr>
      </w:pP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Pr="00FA5FF3">
        <w:rPr>
          <w:rFonts w:ascii="Century Schoolbook" w:hAnsi="Century Schoolbook"/>
          <w:sz w:val="27"/>
          <w:szCs w:val="27"/>
        </w:rPr>
        <w:tab/>
      </w:r>
      <w:r w:rsidR="00D02174">
        <w:rPr>
          <w:rFonts w:ascii="Century Schoolbook" w:hAnsi="Century Schoolbook"/>
          <w:sz w:val="27"/>
          <w:szCs w:val="27"/>
        </w:rPr>
        <w:t xml:space="preserve">    </w:t>
      </w:r>
      <w:r w:rsidRPr="00FA5FF3">
        <w:rPr>
          <w:rFonts w:ascii="Century Schoolbook" w:hAnsi="Century Schoolbook"/>
          <w:b/>
          <w:bCs/>
          <w:sz w:val="27"/>
          <w:szCs w:val="27"/>
        </w:rPr>
        <w:t>KRUGER, J.</w:t>
      </w:r>
    </w:p>
    <w:p w14:paraId="3705A855" w14:textId="77777777" w:rsidR="002E4955" w:rsidRPr="00FA5FF3" w:rsidRDefault="002E4955" w:rsidP="00FA5FF3">
      <w:pPr>
        <w:tabs>
          <w:tab w:val="left" w:pos="1440"/>
        </w:tabs>
        <w:spacing w:after="100" w:line="400" w:lineRule="exact"/>
        <w:jc w:val="both"/>
        <w:rPr>
          <w:rFonts w:ascii="Century Schoolbook" w:hAnsi="Century Schoolbook"/>
          <w:sz w:val="27"/>
          <w:szCs w:val="27"/>
        </w:rPr>
      </w:pPr>
    </w:p>
    <w:p w14:paraId="3705A856" w14:textId="77777777" w:rsidR="00625CE2" w:rsidRDefault="00000000" w:rsidP="00FA5FF3">
      <w:pPr>
        <w:tabs>
          <w:tab w:val="left" w:pos="1440"/>
        </w:tabs>
        <w:spacing w:after="100" w:line="400" w:lineRule="exact"/>
        <w:jc w:val="both"/>
        <w:rPr>
          <w:rFonts w:ascii="Century Schoolbook" w:hAnsi="Century Schoolbook"/>
          <w:b/>
          <w:bCs/>
          <w:sz w:val="27"/>
          <w:szCs w:val="27"/>
        </w:rPr>
      </w:pPr>
      <w:r w:rsidRPr="00FA5FF3">
        <w:rPr>
          <w:rFonts w:ascii="Century Schoolbook" w:hAnsi="Century Schoolbook"/>
          <w:b/>
          <w:bCs/>
          <w:sz w:val="27"/>
          <w:szCs w:val="27"/>
        </w:rPr>
        <w:t xml:space="preserve">We </w:t>
      </w:r>
      <w:r w:rsidR="00CD1F85">
        <w:rPr>
          <w:rFonts w:ascii="Century Schoolbook" w:hAnsi="Century Schoolbook"/>
          <w:b/>
          <w:bCs/>
          <w:sz w:val="27"/>
          <w:szCs w:val="27"/>
        </w:rPr>
        <w:t>C</w:t>
      </w:r>
      <w:r w:rsidRPr="00FA5FF3">
        <w:rPr>
          <w:rFonts w:ascii="Century Schoolbook" w:hAnsi="Century Schoolbook"/>
          <w:b/>
          <w:bCs/>
          <w:sz w:val="27"/>
          <w:szCs w:val="27"/>
        </w:rPr>
        <w:t>oncur:</w:t>
      </w:r>
    </w:p>
    <w:p w14:paraId="3705A857" w14:textId="77777777" w:rsidR="00187775" w:rsidRDefault="00000000" w:rsidP="00187775">
      <w:pPr>
        <w:tabs>
          <w:tab w:val="left" w:pos="1440"/>
        </w:tabs>
        <w:jc w:val="both"/>
        <w:rPr>
          <w:rFonts w:ascii="Century Schoolbook" w:hAnsi="Century Schoolbook"/>
          <w:b/>
          <w:bCs/>
          <w:sz w:val="27"/>
          <w:szCs w:val="27"/>
        </w:rPr>
      </w:pPr>
      <w:r>
        <w:rPr>
          <w:rFonts w:ascii="Century Schoolbook" w:hAnsi="Century Schoolbook"/>
          <w:b/>
          <w:bCs/>
          <w:sz w:val="27"/>
          <w:szCs w:val="27"/>
        </w:rPr>
        <w:t>GUERRERO, C. J.</w:t>
      </w:r>
    </w:p>
    <w:p w14:paraId="3705A858" w14:textId="77777777" w:rsidR="00187775" w:rsidRDefault="00000000" w:rsidP="00187775">
      <w:pPr>
        <w:tabs>
          <w:tab w:val="left" w:pos="1440"/>
        </w:tabs>
        <w:jc w:val="both"/>
        <w:rPr>
          <w:rFonts w:ascii="Century Schoolbook" w:hAnsi="Century Schoolbook"/>
          <w:b/>
          <w:bCs/>
          <w:sz w:val="27"/>
          <w:szCs w:val="27"/>
        </w:rPr>
      </w:pPr>
      <w:r>
        <w:rPr>
          <w:rFonts w:ascii="Century Schoolbook" w:hAnsi="Century Schoolbook"/>
          <w:b/>
          <w:bCs/>
          <w:sz w:val="27"/>
          <w:szCs w:val="27"/>
        </w:rPr>
        <w:t>CORRIGAN, J.</w:t>
      </w:r>
    </w:p>
    <w:p w14:paraId="3705A859" w14:textId="77777777" w:rsidR="00187775" w:rsidRDefault="00000000" w:rsidP="00187775">
      <w:pPr>
        <w:tabs>
          <w:tab w:val="left" w:pos="1440"/>
        </w:tabs>
        <w:jc w:val="both"/>
        <w:rPr>
          <w:rFonts w:ascii="Century Schoolbook" w:hAnsi="Century Schoolbook"/>
          <w:b/>
          <w:bCs/>
          <w:sz w:val="27"/>
          <w:szCs w:val="27"/>
        </w:rPr>
      </w:pPr>
      <w:r>
        <w:rPr>
          <w:rFonts w:ascii="Century Schoolbook" w:hAnsi="Century Schoolbook"/>
          <w:b/>
          <w:bCs/>
          <w:sz w:val="27"/>
          <w:szCs w:val="27"/>
        </w:rPr>
        <w:t>LIU, J.</w:t>
      </w:r>
    </w:p>
    <w:p w14:paraId="3705A85A" w14:textId="77777777" w:rsidR="00187775" w:rsidRDefault="00000000" w:rsidP="00187775">
      <w:pPr>
        <w:tabs>
          <w:tab w:val="left" w:pos="1440"/>
        </w:tabs>
        <w:jc w:val="both"/>
        <w:rPr>
          <w:rFonts w:ascii="Century Schoolbook" w:hAnsi="Century Schoolbook"/>
          <w:b/>
          <w:bCs/>
          <w:sz w:val="27"/>
          <w:szCs w:val="27"/>
        </w:rPr>
      </w:pPr>
      <w:r>
        <w:rPr>
          <w:rFonts w:ascii="Century Schoolbook" w:hAnsi="Century Schoolbook"/>
          <w:b/>
          <w:bCs/>
          <w:sz w:val="27"/>
          <w:szCs w:val="27"/>
        </w:rPr>
        <w:t>GROBAN, J.</w:t>
      </w:r>
    </w:p>
    <w:p w14:paraId="3705A85B" w14:textId="77777777" w:rsidR="00187775" w:rsidRDefault="00000000" w:rsidP="00187775">
      <w:pPr>
        <w:tabs>
          <w:tab w:val="left" w:pos="1440"/>
        </w:tabs>
        <w:jc w:val="both"/>
        <w:rPr>
          <w:rFonts w:ascii="Century Schoolbook" w:hAnsi="Century Schoolbook"/>
          <w:b/>
          <w:bCs/>
          <w:sz w:val="27"/>
          <w:szCs w:val="27"/>
        </w:rPr>
      </w:pPr>
      <w:r>
        <w:rPr>
          <w:rFonts w:ascii="Century Schoolbook" w:hAnsi="Century Schoolbook"/>
          <w:b/>
          <w:bCs/>
          <w:sz w:val="27"/>
          <w:szCs w:val="27"/>
        </w:rPr>
        <w:t>JENKINS, J.</w:t>
      </w:r>
    </w:p>
    <w:p w14:paraId="3705A85C" w14:textId="77777777" w:rsidR="00187775" w:rsidRDefault="00000000" w:rsidP="00426AED">
      <w:pPr>
        <w:tabs>
          <w:tab w:val="left" w:pos="1440"/>
        </w:tabs>
        <w:jc w:val="both"/>
        <w:rPr>
          <w:rFonts w:ascii="Century Schoolbook" w:hAnsi="Century Schoolbook"/>
          <w:b/>
          <w:bCs/>
          <w:sz w:val="27"/>
          <w:szCs w:val="27"/>
        </w:rPr>
      </w:pPr>
      <w:r>
        <w:rPr>
          <w:rFonts w:ascii="Century Schoolbook" w:hAnsi="Century Schoolbook"/>
          <w:b/>
          <w:bCs/>
          <w:sz w:val="27"/>
          <w:szCs w:val="27"/>
        </w:rPr>
        <w:t>EVANS, J.</w:t>
      </w:r>
    </w:p>
    <w:p w14:paraId="09CD960A" w14:textId="77777777" w:rsidR="00B76FFB" w:rsidRDefault="00B76FFB" w:rsidP="00426AED">
      <w:pPr>
        <w:tabs>
          <w:tab w:val="left" w:pos="1440"/>
        </w:tabs>
        <w:jc w:val="both"/>
        <w:rPr>
          <w:rFonts w:ascii="Century Schoolbook" w:hAnsi="Century Schoolbook"/>
          <w:sz w:val="27"/>
          <w:szCs w:val="27"/>
        </w:rPr>
        <w:sectPr w:rsidR="00B76FFB" w:rsidSect="00C52FE4">
          <w:footerReference w:type="default" r:id="rId11"/>
          <w:footerReference w:type="first" r:id="rId12"/>
          <w:pgSz w:w="12240" w:h="15840"/>
          <w:pgMar w:top="1800" w:right="2160" w:bottom="1440" w:left="2160" w:header="720" w:footer="720" w:gutter="0"/>
          <w:pgNumType w:start="1"/>
          <w:cols w:space="720"/>
          <w:titlePg/>
          <w:docGrid w:linePitch="360"/>
        </w:sectPr>
      </w:pPr>
    </w:p>
    <w:p w14:paraId="2F01B17C" w14:textId="77777777" w:rsidR="00B76FFB" w:rsidRPr="00A95DB7" w:rsidRDefault="00B76FFB" w:rsidP="00B76FFB">
      <w:pPr>
        <w:rPr>
          <w:rFonts w:ascii="Century Schoolbook" w:hAnsi="Century Schoolbook"/>
          <w:i/>
          <w:sz w:val="24"/>
        </w:rPr>
      </w:pPr>
      <w:r w:rsidRPr="00A95DB7">
        <w:rPr>
          <w:rFonts w:ascii="Century Schoolbook" w:hAnsi="Century Schoolbook"/>
          <w:i/>
          <w:sz w:val="24"/>
        </w:rPr>
        <w:lastRenderedPageBreak/>
        <w:t>See next page for addresses and telephone numbers for counsel who argued in Supreme Court.</w:t>
      </w:r>
    </w:p>
    <w:p w14:paraId="6F02B032" w14:textId="77777777" w:rsidR="00B76FFB" w:rsidRPr="00A95DB7" w:rsidRDefault="00B76FFB" w:rsidP="00B76FFB">
      <w:pPr>
        <w:rPr>
          <w:rFonts w:ascii="Century Schoolbook" w:hAnsi="Century Schoolbook"/>
          <w:i/>
          <w:sz w:val="24"/>
        </w:rPr>
      </w:pPr>
    </w:p>
    <w:p w14:paraId="552E5950" w14:textId="77777777" w:rsidR="00B76FFB" w:rsidRDefault="00B76FFB" w:rsidP="00B76FFB">
      <w:pPr>
        <w:rPr>
          <w:rFonts w:ascii="Century Schoolbook" w:hAnsi="Century Schoolbook"/>
          <w:bCs/>
          <w:sz w:val="24"/>
        </w:rPr>
      </w:pPr>
      <w:r w:rsidRPr="00A95DB7">
        <w:rPr>
          <w:rFonts w:ascii="Century Schoolbook" w:hAnsi="Century Schoolbook"/>
          <w:b/>
          <w:sz w:val="24"/>
        </w:rPr>
        <w:t>Name of Opinion</w:t>
      </w:r>
      <w:r>
        <w:rPr>
          <w:rFonts w:ascii="Century Schoolbook" w:hAnsi="Century Schoolbook"/>
          <w:b/>
          <w:sz w:val="24"/>
        </w:rPr>
        <w:t xml:space="preserve">  </w:t>
      </w:r>
      <w:r w:rsidRPr="00F61B2C">
        <w:rPr>
          <w:rFonts w:ascii="Century Schoolbook" w:hAnsi="Century Schoolbook"/>
          <w:bCs/>
          <w:sz w:val="24"/>
        </w:rPr>
        <w:t>People v. Martinez</w:t>
      </w:r>
    </w:p>
    <w:p w14:paraId="6E25224F" w14:textId="77777777" w:rsidR="00B76FFB" w:rsidRPr="00A95DB7" w:rsidRDefault="00B76FFB" w:rsidP="00B76FFB">
      <w:pPr>
        <w:rPr>
          <w:rFonts w:ascii="Century Schoolbook" w:hAnsi="Century Schoolbook"/>
          <w:b/>
          <w:sz w:val="24"/>
        </w:rPr>
      </w:pPr>
      <w:r w:rsidRPr="00A95DB7">
        <w:rPr>
          <w:rFonts w:ascii="Century Schoolbook" w:hAnsi="Century Schoolbook"/>
          <w:b/>
          <w:sz w:val="24"/>
        </w:rPr>
        <w:t xml:space="preserve">__________________________________________________________ </w:t>
      </w:r>
    </w:p>
    <w:p w14:paraId="21A21F25" w14:textId="77777777" w:rsidR="00B76FFB" w:rsidRPr="00A95DB7" w:rsidRDefault="00B76FFB" w:rsidP="00B76FFB">
      <w:pPr>
        <w:rPr>
          <w:rFonts w:ascii="Century Schoolbook" w:hAnsi="Century Schoolbook"/>
          <w:b/>
          <w:sz w:val="24"/>
        </w:rPr>
      </w:pPr>
    </w:p>
    <w:p w14:paraId="63919E63" w14:textId="77777777" w:rsidR="00B76FFB" w:rsidRDefault="00B76FFB" w:rsidP="00B76FFB">
      <w:pPr>
        <w:rPr>
          <w:rFonts w:ascii="Century Schoolbook" w:hAnsi="Century Schoolbook"/>
          <w:sz w:val="24"/>
        </w:rPr>
      </w:pPr>
      <w:r>
        <w:rPr>
          <w:rFonts w:ascii="Century Schoolbook" w:hAnsi="Century Schoolbook"/>
          <w:b/>
          <w:bCs/>
          <w:sz w:val="24"/>
          <w:u w:val="single"/>
        </w:rPr>
        <w:t>Procedural Posture</w:t>
      </w:r>
      <w:r>
        <w:rPr>
          <w:rFonts w:ascii="Century Schoolbook" w:hAnsi="Century Schoolbook"/>
          <w:b/>
          <w:bCs/>
          <w:sz w:val="24"/>
        </w:rPr>
        <w:t xml:space="preserve"> </w:t>
      </w:r>
      <w:r>
        <w:rPr>
          <w:rFonts w:ascii="Century Schoolbook" w:hAnsi="Century Schoolbook"/>
          <w:sz w:val="24"/>
        </w:rPr>
        <w:t>(see XX below)</w:t>
      </w:r>
    </w:p>
    <w:p w14:paraId="647634E6" w14:textId="77777777" w:rsidR="00B76FFB" w:rsidRPr="00841C22" w:rsidRDefault="00B76FFB" w:rsidP="00B76FFB">
      <w:pPr>
        <w:rPr>
          <w:rFonts w:ascii="Century Schoolbook" w:hAnsi="Century Schoolbook"/>
          <w:sz w:val="24"/>
        </w:rPr>
      </w:pPr>
      <w:r>
        <w:rPr>
          <w:rFonts w:ascii="Century Schoolbook" w:hAnsi="Century Schoolbook"/>
          <w:b/>
          <w:bCs/>
          <w:sz w:val="24"/>
        </w:rPr>
        <w:t>Original Appeal</w:t>
      </w:r>
      <w:r>
        <w:rPr>
          <w:rFonts w:ascii="Century Schoolbook" w:hAnsi="Century Schoolbook"/>
          <w:sz w:val="24"/>
        </w:rPr>
        <w:t xml:space="preserve"> </w:t>
      </w:r>
    </w:p>
    <w:p w14:paraId="25D83BD7" w14:textId="77777777" w:rsidR="00B76FFB" w:rsidRDefault="00B76FFB" w:rsidP="00B76FFB">
      <w:pPr>
        <w:rPr>
          <w:rFonts w:ascii="Century Schoolbook" w:hAnsi="Century Schoolbook"/>
          <w:b/>
          <w:bCs/>
          <w:sz w:val="24"/>
        </w:rPr>
      </w:pPr>
      <w:r>
        <w:rPr>
          <w:rFonts w:ascii="Century Schoolbook" w:hAnsi="Century Schoolbook"/>
          <w:b/>
          <w:bCs/>
          <w:sz w:val="24"/>
        </w:rPr>
        <w:t>Original Proceeding</w:t>
      </w:r>
    </w:p>
    <w:p w14:paraId="737C6A3D" w14:textId="77777777" w:rsidR="00B76FFB" w:rsidRDefault="00B76FFB" w:rsidP="00B76FFB">
      <w:pPr>
        <w:rPr>
          <w:rFonts w:ascii="Century Schoolbook" w:hAnsi="Century Schoolbook"/>
          <w:sz w:val="24"/>
        </w:rPr>
      </w:pPr>
      <w:r>
        <w:rPr>
          <w:rFonts w:ascii="Century Schoolbook" w:hAnsi="Century Schoolbook"/>
          <w:b/>
          <w:bCs/>
          <w:sz w:val="24"/>
        </w:rPr>
        <w:t>Review Granted</w:t>
      </w:r>
      <w:r>
        <w:rPr>
          <w:rFonts w:ascii="Century Schoolbook" w:hAnsi="Century Schoolbook"/>
          <w:sz w:val="24"/>
        </w:rPr>
        <w:t xml:space="preserve"> </w:t>
      </w:r>
      <w:r>
        <w:rPr>
          <w:rFonts w:ascii="Century Schoolbook" w:hAnsi="Century Schoolbook"/>
          <w:b/>
          <w:bCs/>
          <w:sz w:val="24"/>
        </w:rPr>
        <w:t xml:space="preserve">(published) </w:t>
      </w:r>
      <w:r w:rsidRPr="007E28A9">
        <w:rPr>
          <w:rFonts w:ascii="Century Schoolbook" w:hAnsi="Century Schoolbook"/>
          <w:sz w:val="24"/>
        </w:rPr>
        <w:t>XX</w:t>
      </w:r>
      <w:r>
        <w:rPr>
          <w:rFonts w:ascii="Century Schoolbook" w:hAnsi="Century Schoolbook"/>
          <w:sz w:val="24"/>
        </w:rPr>
        <w:t xml:space="preserve"> 59</w:t>
      </w:r>
      <w:r w:rsidRPr="003C38C0">
        <w:rPr>
          <w:rFonts w:ascii="Century Schoolbook" w:hAnsi="Century Schoolbook"/>
          <w:sz w:val="24"/>
        </w:rPr>
        <w:t xml:space="preserve"> Cal.App.5th </w:t>
      </w:r>
      <w:r>
        <w:rPr>
          <w:rFonts w:ascii="Century Schoolbook" w:hAnsi="Century Schoolbook"/>
          <w:sz w:val="24"/>
        </w:rPr>
        <w:t>280</w:t>
      </w:r>
    </w:p>
    <w:p w14:paraId="07049CC7" w14:textId="77777777" w:rsidR="00B76FFB" w:rsidRDefault="00B76FFB" w:rsidP="00B76FFB">
      <w:pPr>
        <w:rPr>
          <w:rFonts w:ascii="Century Schoolbook" w:hAnsi="Century Schoolbook"/>
          <w:sz w:val="24"/>
        </w:rPr>
      </w:pPr>
      <w:r>
        <w:rPr>
          <w:rFonts w:ascii="Century Schoolbook" w:hAnsi="Century Schoolbook"/>
          <w:b/>
          <w:bCs/>
          <w:sz w:val="24"/>
        </w:rPr>
        <w:t>Review Granted (unpublished)</w:t>
      </w:r>
    </w:p>
    <w:p w14:paraId="56FF2016" w14:textId="77777777" w:rsidR="00B76FFB" w:rsidRPr="003B378D" w:rsidRDefault="00B76FFB" w:rsidP="00B76FFB">
      <w:pPr>
        <w:rPr>
          <w:rFonts w:ascii="Century Schoolbook" w:hAnsi="Century Schoolbook"/>
          <w:b/>
          <w:bCs/>
          <w:sz w:val="24"/>
        </w:rPr>
      </w:pPr>
      <w:r>
        <w:rPr>
          <w:rFonts w:ascii="Century Schoolbook" w:hAnsi="Century Schoolbook"/>
          <w:b/>
          <w:bCs/>
          <w:sz w:val="24"/>
        </w:rPr>
        <w:t>Rehearing Granted</w:t>
      </w:r>
    </w:p>
    <w:p w14:paraId="147EC2C3" w14:textId="77777777" w:rsidR="00B76FFB" w:rsidRPr="00A95DB7" w:rsidRDefault="00B76FFB" w:rsidP="00B76FFB">
      <w:pPr>
        <w:rPr>
          <w:rFonts w:ascii="Century Schoolbook" w:hAnsi="Century Schoolbook"/>
          <w:b/>
          <w:sz w:val="24"/>
        </w:rPr>
      </w:pPr>
      <w:r w:rsidRPr="00A95DB7">
        <w:rPr>
          <w:rFonts w:ascii="Century Schoolbook" w:hAnsi="Century Schoolbook"/>
          <w:b/>
          <w:sz w:val="24"/>
        </w:rPr>
        <w:t xml:space="preserve">__________________________________________________________ </w:t>
      </w:r>
    </w:p>
    <w:p w14:paraId="5E02735A" w14:textId="77777777" w:rsidR="00B76FFB" w:rsidRPr="00A95DB7" w:rsidRDefault="00B76FFB" w:rsidP="00B76FFB">
      <w:pPr>
        <w:rPr>
          <w:rFonts w:ascii="Century Schoolbook" w:hAnsi="Century Schoolbook"/>
          <w:b/>
          <w:sz w:val="24"/>
        </w:rPr>
      </w:pPr>
    </w:p>
    <w:p w14:paraId="1F102C99" w14:textId="77777777" w:rsidR="00B76FFB" w:rsidRPr="00A95DB7" w:rsidRDefault="00B76FFB" w:rsidP="00B76FFB">
      <w:pPr>
        <w:rPr>
          <w:rFonts w:ascii="Century Schoolbook" w:hAnsi="Century Schoolbook"/>
          <w:bCs/>
          <w:sz w:val="24"/>
        </w:rPr>
      </w:pPr>
      <w:r w:rsidRPr="00A95DB7">
        <w:rPr>
          <w:rFonts w:ascii="Century Schoolbook" w:hAnsi="Century Schoolbook"/>
          <w:b/>
          <w:sz w:val="24"/>
        </w:rPr>
        <w:t>Opinion No.</w:t>
      </w:r>
      <w:r w:rsidRPr="00A95DB7">
        <w:rPr>
          <w:rFonts w:ascii="Century Schoolbook" w:hAnsi="Century Schoolbook"/>
          <w:sz w:val="24"/>
        </w:rPr>
        <w:t xml:space="preserve"> </w:t>
      </w:r>
      <w:r w:rsidRPr="00F61B2C">
        <w:rPr>
          <w:rFonts w:ascii="Century Schoolbook" w:hAnsi="Century Schoolbook"/>
          <w:sz w:val="24"/>
        </w:rPr>
        <w:t>S267138</w:t>
      </w:r>
    </w:p>
    <w:p w14:paraId="4A8BA872" w14:textId="77777777" w:rsidR="00B76FFB" w:rsidRPr="00A95DB7" w:rsidRDefault="00B76FFB" w:rsidP="00B76FFB">
      <w:pPr>
        <w:rPr>
          <w:rFonts w:ascii="Century Schoolbook" w:hAnsi="Century Schoolbook"/>
          <w:bCs/>
          <w:sz w:val="24"/>
        </w:rPr>
      </w:pPr>
      <w:r w:rsidRPr="00A95DB7">
        <w:rPr>
          <w:rFonts w:ascii="Century Schoolbook" w:hAnsi="Century Schoolbook"/>
          <w:b/>
          <w:sz w:val="24"/>
        </w:rPr>
        <w:t>Date Filed:</w:t>
      </w:r>
      <w:r w:rsidRPr="00A95DB7">
        <w:rPr>
          <w:rFonts w:ascii="Century Schoolbook" w:hAnsi="Century Schoolbook"/>
          <w:sz w:val="24"/>
        </w:rPr>
        <w:t xml:space="preserve">  </w:t>
      </w:r>
      <w:r>
        <w:rPr>
          <w:rFonts w:ascii="Century Schoolbook" w:hAnsi="Century Schoolbook"/>
          <w:sz w:val="24"/>
        </w:rPr>
        <w:t xml:space="preserve">August 24, </w:t>
      </w:r>
      <w:r w:rsidRPr="00A95DB7">
        <w:rPr>
          <w:rFonts w:ascii="Century Schoolbook" w:hAnsi="Century Schoolbook"/>
          <w:sz w:val="24"/>
        </w:rPr>
        <w:t>202</w:t>
      </w:r>
      <w:r>
        <w:rPr>
          <w:rFonts w:ascii="Century Schoolbook" w:hAnsi="Century Schoolbook"/>
          <w:sz w:val="24"/>
        </w:rPr>
        <w:t>3</w:t>
      </w:r>
    </w:p>
    <w:p w14:paraId="6ACA0676" w14:textId="77777777" w:rsidR="00B76FFB" w:rsidRPr="00A95DB7" w:rsidRDefault="00B76FFB" w:rsidP="00B76FFB">
      <w:pPr>
        <w:rPr>
          <w:rFonts w:ascii="Century Schoolbook" w:hAnsi="Century Schoolbook"/>
          <w:b/>
          <w:sz w:val="24"/>
        </w:rPr>
      </w:pPr>
      <w:r w:rsidRPr="00A95DB7">
        <w:rPr>
          <w:rFonts w:ascii="Century Schoolbook" w:hAnsi="Century Schoolbook"/>
          <w:b/>
          <w:sz w:val="24"/>
        </w:rPr>
        <w:t xml:space="preserve">__________________________________________________________ </w:t>
      </w:r>
    </w:p>
    <w:p w14:paraId="6366D008" w14:textId="77777777" w:rsidR="00B76FFB" w:rsidRPr="00A95DB7" w:rsidRDefault="00B76FFB" w:rsidP="00B76FFB">
      <w:pPr>
        <w:rPr>
          <w:rFonts w:ascii="Century Schoolbook" w:hAnsi="Century Schoolbook"/>
          <w:b/>
          <w:sz w:val="24"/>
        </w:rPr>
      </w:pPr>
    </w:p>
    <w:p w14:paraId="7A47A3C9" w14:textId="77777777" w:rsidR="00B76FFB" w:rsidRPr="00A95DB7" w:rsidRDefault="00B76FFB" w:rsidP="00B76FFB">
      <w:pPr>
        <w:rPr>
          <w:rFonts w:ascii="Century Schoolbook" w:hAnsi="Century Schoolbook"/>
          <w:bCs/>
          <w:sz w:val="24"/>
        </w:rPr>
      </w:pPr>
      <w:r w:rsidRPr="00A95DB7">
        <w:rPr>
          <w:rFonts w:ascii="Century Schoolbook" w:hAnsi="Century Schoolbook"/>
          <w:b/>
          <w:sz w:val="24"/>
        </w:rPr>
        <w:t xml:space="preserve">Court:  </w:t>
      </w:r>
      <w:r w:rsidRPr="00A95DB7">
        <w:rPr>
          <w:rFonts w:ascii="Century Schoolbook" w:hAnsi="Century Schoolbook"/>
          <w:bCs/>
          <w:sz w:val="24"/>
        </w:rPr>
        <w:t>Superior</w:t>
      </w:r>
      <w:r w:rsidRPr="00A95DB7">
        <w:rPr>
          <w:rFonts w:ascii="Century Schoolbook" w:hAnsi="Century Schoolbook"/>
          <w:b/>
          <w:sz w:val="24"/>
        </w:rPr>
        <w:t xml:space="preserve"> </w:t>
      </w:r>
    </w:p>
    <w:p w14:paraId="296350E7" w14:textId="77777777" w:rsidR="00B76FFB" w:rsidRPr="00A95DB7" w:rsidRDefault="00B76FFB" w:rsidP="00B76FFB">
      <w:pPr>
        <w:rPr>
          <w:rFonts w:ascii="Century Schoolbook" w:hAnsi="Century Schoolbook"/>
          <w:bCs/>
          <w:sz w:val="24"/>
        </w:rPr>
      </w:pPr>
      <w:r w:rsidRPr="00A95DB7">
        <w:rPr>
          <w:rFonts w:ascii="Century Schoolbook" w:hAnsi="Century Schoolbook"/>
          <w:b/>
          <w:sz w:val="24"/>
        </w:rPr>
        <w:t xml:space="preserve">County: </w:t>
      </w:r>
      <w:r>
        <w:rPr>
          <w:rFonts w:ascii="Century Schoolbook" w:hAnsi="Century Schoolbook"/>
          <w:b/>
          <w:sz w:val="24"/>
        </w:rPr>
        <w:t xml:space="preserve"> </w:t>
      </w:r>
      <w:r>
        <w:rPr>
          <w:rFonts w:ascii="Century Schoolbook" w:hAnsi="Century Schoolbook"/>
          <w:bCs/>
          <w:sz w:val="24"/>
        </w:rPr>
        <w:t>Santa Clara</w:t>
      </w:r>
    </w:p>
    <w:p w14:paraId="6223838F" w14:textId="77777777" w:rsidR="00B76FFB" w:rsidRPr="003B378D" w:rsidRDefault="00B76FFB" w:rsidP="00B76FFB">
      <w:pPr>
        <w:ind w:left="720" w:hanging="720"/>
        <w:rPr>
          <w:rFonts w:ascii="Century Schoolbook" w:hAnsi="Century Schoolbook"/>
          <w:bCs/>
          <w:sz w:val="24"/>
        </w:rPr>
      </w:pPr>
      <w:r w:rsidRPr="00A95DB7">
        <w:rPr>
          <w:rFonts w:ascii="Century Schoolbook" w:hAnsi="Century Schoolbook"/>
          <w:b/>
          <w:sz w:val="24"/>
        </w:rPr>
        <w:t xml:space="preserve">Judge: </w:t>
      </w:r>
      <w:r>
        <w:rPr>
          <w:rFonts w:ascii="Century Schoolbook" w:hAnsi="Century Schoolbook"/>
          <w:bCs/>
          <w:sz w:val="24"/>
        </w:rPr>
        <w:t xml:space="preserve"> </w:t>
      </w:r>
      <w:r w:rsidRPr="00F61B2C">
        <w:rPr>
          <w:rFonts w:ascii="Century Schoolbook" w:hAnsi="Century Schoolbook"/>
          <w:bCs/>
          <w:sz w:val="24"/>
        </w:rPr>
        <w:t>Socrates Peter Manoukian</w:t>
      </w:r>
    </w:p>
    <w:p w14:paraId="077AF665" w14:textId="77777777" w:rsidR="00B76FFB" w:rsidRPr="00A95DB7" w:rsidRDefault="00B76FFB" w:rsidP="00B76FFB">
      <w:pPr>
        <w:rPr>
          <w:rFonts w:ascii="Century Schoolbook" w:hAnsi="Century Schoolbook"/>
          <w:b/>
          <w:sz w:val="24"/>
        </w:rPr>
      </w:pPr>
      <w:r w:rsidRPr="00A95DB7">
        <w:rPr>
          <w:rFonts w:ascii="Century Schoolbook" w:hAnsi="Century Schoolbook"/>
          <w:b/>
          <w:sz w:val="24"/>
        </w:rPr>
        <w:t xml:space="preserve">__________________________________________________________  </w:t>
      </w:r>
    </w:p>
    <w:p w14:paraId="134B3452" w14:textId="77777777" w:rsidR="00B76FFB" w:rsidRPr="00A95DB7" w:rsidRDefault="00B76FFB" w:rsidP="00B76FFB">
      <w:pPr>
        <w:rPr>
          <w:rFonts w:ascii="Century Schoolbook" w:hAnsi="Century Schoolbook"/>
          <w:b/>
          <w:sz w:val="24"/>
        </w:rPr>
      </w:pPr>
    </w:p>
    <w:p w14:paraId="4722E709" w14:textId="77777777" w:rsidR="00B76FFB" w:rsidRDefault="00B76FFB" w:rsidP="00B76FFB">
      <w:pPr>
        <w:rPr>
          <w:rFonts w:ascii="Century Schoolbook" w:hAnsi="Century Schoolbook"/>
          <w:b/>
          <w:sz w:val="24"/>
        </w:rPr>
      </w:pPr>
      <w:r w:rsidRPr="00A95DB7">
        <w:rPr>
          <w:rFonts w:ascii="Century Schoolbook" w:hAnsi="Century Schoolbook"/>
          <w:b/>
          <w:sz w:val="24"/>
        </w:rPr>
        <w:t>Counsel:</w:t>
      </w:r>
    </w:p>
    <w:p w14:paraId="2106156B" w14:textId="77777777" w:rsidR="00B76FFB" w:rsidRDefault="00B76FFB" w:rsidP="00B76FFB">
      <w:pPr>
        <w:rPr>
          <w:rFonts w:ascii="Century Schoolbook" w:hAnsi="Century Schoolbook"/>
          <w:b/>
          <w:sz w:val="24"/>
        </w:rPr>
      </w:pPr>
    </w:p>
    <w:p w14:paraId="017078DA" w14:textId="77777777" w:rsidR="00B76FFB" w:rsidRPr="00DC6602"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 xml:space="preserve">Law Office of John Rorabaugh, John Mark Rorabaugh; and </w:t>
      </w:r>
      <w:r w:rsidRPr="00DC6602">
        <w:rPr>
          <w:rFonts w:ascii="Century Schoolbook" w:hAnsi="Century Schoolbook"/>
          <w:color w:val="212121"/>
          <w:sz w:val="24"/>
          <w:shd w:val="clear" w:color="auto" w:fill="FFFFFF"/>
        </w:rPr>
        <w:t>Lori A. Quick, under appointment by the Court of Appeal, for Defendant and Appellant.</w:t>
      </w:r>
    </w:p>
    <w:p w14:paraId="52D8E18A" w14:textId="77777777" w:rsidR="00B76FFB" w:rsidRPr="00DC6602" w:rsidRDefault="00B76FFB" w:rsidP="00B76FFB">
      <w:pPr>
        <w:rPr>
          <w:rFonts w:ascii="Century Schoolbook" w:hAnsi="Century Schoolbook"/>
          <w:color w:val="212121"/>
          <w:sz w:val="24"/>
          <w:shd w:val="clear" w:color="auto" w:fill="FFFFFF"/>
        </w:rPr>
      </w:pPr>
    </w:p>
    <w:p w14:paraId="65515AA0" w14:textId="77777777" w:rsidR="00B76FFB" w:rsidRPr="00A909D6" w:rsidRDefault="00B76FFB" w:rsidP="00B76FFB">
      <w:pPr>
        <w:rPr>
          <w:rFonts w:ascii="Century Schoolbook" w:hAnsi="Century Schoolbook"/>
          <w:color w:val="212121"/>
          <w:sz w:val="24"/>
          <w:shd w:val="clear" w:color="auto" w:fill="FFFFFF"/>
        </w:rPr>
      </w:pPr>
      <w:r w:rsidRPr="00DC6602">
        <w:rPr>
          <w:rFonts w:ascii="Century Schoolbook" w:hAnsi="Century Schoolbook"/>
          <w:color w:val="212121"/>
          <w:sz w:val="24"/>
          <w:shd w:val="clear" w:color="auto" w:fill="FFFFFF"/>
        </w:rPr>
        <w:t>Xavier Becerra</w:t>
      </w:r>
      <w:r>
        <w:rPr>
          <w:rFonts w:ascii="Century Schoolbook" w:hAnsi="Century Schoolbook"/>
          <w:color w:val="212121"/>
          <w:sz w:val="24"/>
          <w:shd w:val="clear" w:color="auto" w:fill="FFFFFF"/>
        </w:rPr>
        <w:t xml:space="preserve"> and Rob Bonta</w:t>
      </w:r>
      <w:r w:rsidRPr="00DC6602">
        <w:rPr>
          <w:rFonts w:ascii="Century Schoolbook" w:hAnsi="Century Schoolbook"/>
          <w:color w:val="212121"/>
          <w:sz w:val="24"/>
          <w:shd w:val="clear" w:color="auto" w:fill="FFFFFF"/>
        </w:rPr>
        <w:t>, Attorney</w:t>
      </w:r>
      <w:r>
        <w:rPr>
          <w:rFonts w:ascii="Century Schoolbook" w:hAnsi="Century Schoolbook"/>
          <w:color w:val="212121"/>
          <w:sz w:val="24"/>
          <w:shd w:val="clear" w:color="auto" w:fill="FFFFFF"/>
        </w:rPr>
        <w:t>s</w:t>
      </w:r>
      <w:r w:rsidRPr="00DC6602">
        <w:rPr>
          <w:rFonts w:ascii="Century Schoolbook" w:hAnsi="Century Schoolbook"/>
          <w:color w:val="212121"/>
          <w:sz w:val="24"/>
          <w:shd w:val="clear" w:color="auto" w:fill="FFFFFF"/>
        </w:rPr>
        <w:t xml:space="preserve"> General, </w:t>
      </w:r>
      <w:r>
        <w:rPr>
          <w:rFonts w:ascii="Century Schoolbook" w:hAnsi="Century Schoolbook"/>
          <w:color w:val="212121"/>
          <w:sz w:val="24"/>
          <w:shd w:val="clear" w:color="auto" w:fill="FFFFFF"/>
        </w:rPr>
        <w:t xml:space="preserve">Michael J. Mongan, State Solicitor General, </w:t>
      </w:r>
      <w:r w:rsidRPr="00DC6602">
        <w:rPr>
          <w:rFonts w:ascii="Century Schoolbook" w:hAnsi="Century Schoolbook"/>
          <w:color w:val="212121"/>
          <w:sz w:val="24"/>
          <w:shd w:val="clear" w:color="auto" w:fill="FFFFFF"/>
        </w:rPr>
        <w:t xml:space="preserve">Lance E. Winters, Chief Assistant Attorney General, </w:t>
      </w:r>
      <w:r>
        <w:rPr>
          <w:rFonts w:ascii="Century Schoolbook" w:hAnsi="Century Schoolbook"/>
          <w:color w:val="212121"/>
          <w:sz w:val="24"/>
          <w:shd w:val="clear" w:color="auto" w:fill="FFFFFF"/>
        </w:rPr>
        <w:t xml:space="preserve">Janill L. Richards, Principal Deputy State Solicitor General, </w:t>
      </w:r>
      <w:r w:rsidRPr="00DC6602">
        <w:rPr>
          <w:rFonts w:ascii="Century Schoolbook" w:hAnsi="Century Schoolbook"/>
          <w:color w:val="212121"/>
          <w:sz w:val="24"/>
          <w:shd w:val="clear" w:color="auto" w:fill="FFFFFF"/>
        </w:rPr>
        <w:t>Jeffrey M. Laurence, Assistant Attorney General, Samuel T. Harbourt</w:t>
      </w:r>
      <w:r>
        <w:rPr>
          <w:rFonts w:ascii="Century Schoolbook" w:hAnsi="Century Schoolbook"/>
          <w:color w:val="212121"/>
          <w:sz w:val="24"/>
          <w:shd w:val="clear" w:color="auto" w:fill="FFFFFF"/>
        </w:rPr>
        <w:t>, Deputy State Solicitor General,</w:t>
      </w:r>
      <w:r w:rsidRPr="00DC6602">
        <w:rPr>
          <w:rFonts w:ascii="Century Schoolbook" w:hAnsi="Century Schoolbook"/>
          <w:color w:val="212121"/>
          <w:sz w:val="24"/>
          <w:shd w:val="clear" w:color="auto" w:fill="FFFFFF"/>
        </w:rPr>
        <w:t xml:space="preserve"> René A. Chacón</w:t>
      </w:r>
      <w:r>
        <w:rPr>
          <w:rFonts w:ascii="Century Schoolbook" w:hAnsi="Century Schoolbook"/>
          <w:color w:val="212121"/>
          <w:sz w:val="24"/>
          <w:shd w:val="clear" w:color="auto" w:fill="FFFFFF"/>
        </w:rPr>
        <w:t xml:space="preserve"> and </w:t>
      </w:r>
      <w:r w:rsidRPr="00DC6602">
        <w:rPr>
          <w:rFonts w:ascii="Century Schoolbook" w:hAnsi="Century Schoolbook"/>
          <w:color w:val="212121"/>
          <w:sz w:val="24"/>
          <w:shd w:val="clear" w:color="auto" w:fill="FFFFFF"/>
        </w:rPr>
        <w:t>Julia Y. Je, Deputy Attorneys General, for Plaintiff and Respondent.</w:t>
      </w:r>
      <w:r w:rsidRPr="00A95DB7">
        <w:rPr>
          <w:rFonts w:ascii="Century Schoolbook" w:hAnsi="Century Schoolbook"/>
          <w:color w:val="212121"/>
          <w:sz w:val="24"/>
          <w:shd w:val="clear" w:color="auto" w:fill="FFFFFF"/>
        </w:rPr>
        <w:br w:type="page"/>
      </w:r>
      <w:r w:rsidRPr="00A95DB7">
        <w:rPr>
          <w:rFonts w:ascii="Century Schoolbook" w:hAnsi="Century Schoolbook"/>
          <w:b/>
          <w:sz w:val="24"/>
        </w:rPr>
        <w:lastRenderedPageBreak/>
        <w:t>Counsel who argued in Supreme Court (not intended for publication with opinion):</w:t>
      </w:r>
    </w:p>
    <w:p w14:paraId="7D0E9C37" w14:textId="77777777" w:rsidR="00B76FFB" w:rsidRDefault="00B76FFB" w:rsidP="00B76FFB">
      <w:pPr>
        <w:rPr>
          <w:rFonts w:ascii="Century Schoolbook" w:hAnsi="Century Schoolbook"/>
          <w:sz w:val="24"/>
        </w:rPr>
      </w:pPr>
    </w:p>
    <w:p w14:paraId="348BDFFE"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John Mark Rorabaugh</w:t>
      </w:r>
    </w:p>
    <w:p w14:paraId="751CF068"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Law Office of John Rorabaugh</w:t>
      </w:r>
    </w:p>
    <w:p w14:paraId="723FBD84"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801 Parkcenter Drive, Suite 205</w:t>
      </w:r>
    </w:p>
    <w:p w14:paraId="125654FC"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Santa Ana, CA 92705</w:t>
      </w:r>
    </w:p>
    <w:p w14:paraId="15070DE8" w14:textId="77777777" w:rsidR="00B76FFB" w:rsidRDefault="00B76FFB" w:rsidP="00B76FFB">
      <w:pPr>
        <w:rPr>
          <w:rFonts w:ascii="Century Schoolbook" w:hAnsi="Century Schoolbook"/>
          <w:sz w:val="24"/>
        </w:rPr>
      </w:pPr>
      <w:r>
        <w:rPr>
          <w:rFonts w:ascii="Century Schoolbook" w:hAnsi="Century Schoolbook"/>
          <w:color w:val="212121"/>
          <w:sz w:val="24"/>
          <w:shd w:val="clear" w:color="auto" w:fill="FFFFFF"/>
        </w:rPr>
        <w:t>(714) 617-9600</w:t>
      </w:r>
    </w:p>
    <w:p w14:paraId="4AAD4643" w14:textId="77777777" w:rsidR="00B76FFB" w:rsidRDefault="00B76FFB" w:rsidP="00B76FFB">
      <w:pPr>
        <w:rPr>
          <w:rFonts w:ascii="Century Schoolbook" w:hAnsi="Century Schoolbook"/>
          <w:sz w:val="24"/>
        </w:rPr>
      </w:pPr>
    </w:p>
    <w:p w14:paraId="746D4F07" w14:textId="77777777" w:rsidR="00B76FFB" w:rsidRDefault="00B76FFB" w:rsidP="00B76FFB">
      <w:pPr>
        <w:rPr>
          <w:rFonts w:ascii="Century Schoolbook" w:hAnsi="Century Schoolbook"/>
          <w:color w:val="212121"/>
          <w:sz w:val="24"/>
          <w:shd w:val="clear" w:color="auto" w:fill="FFFFFF"/>
        </w:rPr>
      </w:pPr>
      <w:r w:rsidRPr="00DC6602">
        <w:rPr>
          <w:rFonts w:ascii="Century Schoolbook" w:hAnsi="Century Schoolbook"/>
          <w:color w:val="212121"/>
          <w:sz w:val="24"/>
          <w:shd w:val="clear" w:color="auto" w:fill="FFFFFF"/>
        </w:rPr>
        <w:t>Samuel T. Harbourt</w:t>
      </w:r>
    </w:p>
    <w:p w14:paraId="207DC5D1"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Deputy State Solicitor General</w:t>
      </w:r>
    </w:p>
    <w:p w14:paraId="141AA996"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455 Golden Gate Avenue, Suite 11000</w:t>
      </w:r>
    </w:p>
    <w:p w14:paraId="5DE89DFB" w14:textId="77777777" w:rsidR="00B76FFB" w:rsidRDefault="00B76FFB" w:rsidP="00B76FFB">
      <w:pPr>
        <w:rPr>
          <w:rFonts w:ascii="Century Schoolbook" w:hAnsi="Century Schoolbook"/>
          <w:color w:val="212121"/>
          <w:sz w:val="24"/>
          <w:shd w:val="clear" w:color="auto" w:fill="FFFFFF"/>
        </w:rPr>
      </w:pPr>
      <w:r>
        <w:rPr>
          <w:rFonts w:ascii="Century Schoolbook" w:hAnsi="Century Schoolbook"/>
          <w:color w:val="212121"/>
          <w:sz w:val="24"/>
          <w:shd w:val="clear" w:color="auto" w:fill="FFFFFF"/>
        </w:rPr>
        <w:t>San Francisco, CA 94102-7004</w:t>
      </w:r>
    </w:p>
    <w:p w14:paraId="400192C1" w14:textId="77777777" w:rsidR="00B76FFB" w:rsidRPr="00A95DB7" w:rsidRDefault="00B76FFB" w:rsidP="00B76FFB">
      <w:pPr>
        <w:rPr>
          <w:rFonts w:ascii="Century Schoolbook" w:hAnsi="Century Schoolbook"/>
          <w:sz w:val="24"/>
        </w:rPr>
      </w:pPr>
      <w:r>
        <w:rPr>
          <w:rFonts w:ascii="Century Schoolbook" w:hAnsi="Century Schoolbook"/>
          <w:color w:val="212121"/>
          <w:sz w:val="24"/>
          <w:shd w:val="clear" w:color="auto" w:fill="FFFFFF"/>
        </w:rPr>
        <w:t>(415) 510-3919</w:t>
      </w:r>
    </w:p>
    <w:p w14:paraId="30898A47" w14:textId="77777777" w:rsidR="00B76FFB" w:rsidRPr="00FA5FF3" w:rsidRDefault="00B76FFB" w:rsidP="00426AED">
      <w:pPr>
        <w:tabs>
          <w:tab w:val="left" w:pos="1440"/>
        </w:tabs>
        <w:jc w:val="both"/>
        <w:rPr>
          <w:rFonts w:ascii="Century Schoolbook" w:hAnsi="Century Schoolbook"/>
          <w:sz w:val="27"/>
          <w:szCs w:val="27"/>
        </w:rPr>
      </w:pPr>
    </w:p>
    <w:sectPr w:rsidR="00B76FFB" w:rsidRPr="00FA5FF3" w:rsidSect="00EC2BB8">
      <w:headerReference w:type="default" r:id="rId13"/>
      <w:footerReference w:type="default" r:id="rId14"/>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9575" w14:textId="77777777" w:rsidR="00E252AC" w:rsidRDefault="00E252AC">
      <w:r>
        <w:separator/>
      </w:r>
    </w:p>
  </w:endnote>
  <w:endnote w:type="continuationSeparator" w:id="0">
    <w:p w14:paraId="69ED8816" w14:textId="77777777" w:rsidR="00E252AC" w:rsidRDefault="00E2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sz w:val="27"/>
        <w:szCs w:val="27"/>
      </w:rPr>
      <w:id w:val="1905710621"/>
      <w:docPartObj>
        <w:docPartGallery w:val="Page Numbers (Bottom of Page)"/>
        <w:docPartUnique/>
      </w:docPartObj>
    </w:sdtPr>
    <w:sdtEndPr>
      <w:rPr>
        <w:noProof/>
        <w:sz w:val="22"/>
        <w:szCs w:val="22"/>
      </w:rPr>
    </w:sdtEndPr>
    <w:sdtContent>
      <w:p w14:paraId="3705A862" w14:textId="77777777" w:rsidR="00413814" w:rsidRDefault="00000000" w:rsidP="004B118E">
        <w:pPr>
          <w:pStyle w:val="Footer"/>
          <w:jc w:val="center"/>
        </w:pPr>
        <w:r w:rsidRPr="004B118E">
          <w:rPr>
            <w:rFonts w:ascii="Century Schoolbook" w:hAnsi="Century Schoolbook"/>
            <w:sz w:val="22"/>
            <w:szCs w:val="22"/>
          </w:rPr>
          <w:fldChar w:fldCharType="begin"/>
        </w:r>
        <w:r w:rsidRPr="00D21CAD">
          <w:rPr>
            <w:rFonts w:ascii="Century Schoolbook" w:hAnsi="Century Schoolbook"/>
            <w:sz w:val="22"/>
            <w:szCs w:val="22"/>
          </w:rPr>
          <w:instrText xml:space="preserve"> PAGE   \* MERGEFORMAT </w:instrText>
        </w:r>
        <w:r w:rsidRPr="004B118E">
          <w:rPr>
            <w:rFonts w:ascii="Century Schoolbook" w:hAnsi="Century Schoolbook"/>
            <w:sz w:val="22"/>
            <w:szCs w:val="22"/>
          </w:rPr>
          <w:fldChar w:fldCharType="separate"/>
        </w:r>
        <w:r w:rsidRPr="00D21CAD">
          <w:rPr>
            <w:rFonts w:ascii="Century Schoolbook" w:hAnsi="Century Schoolbook"/>
            <w:noProof/>
            <w:sz w:val="22"/>
            <w:szCs w:val="22"/>
          </w:rPr>
          <w:t>2</w:t>
        </w:r>
        <w:r w:rsidRPr="004B118E">
          <w:rPr>
            <w:rFonts w:ascii="Century Schoolbook" w:hAnsi="Century Schoolbook"/>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863" w14:textId="77777777" w:rsidR="00F3688D" w:rsidRDefault="00F3688D" w:rsidP="00DB38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sz w:val="27"/>
        <w:szCs w:val="27"/>
      </w:rPr>
      <w:id w:val="1920212099"/>
      <w:docPartObj>
        <w:docPartGallery w:val="Page Numbers (Bottom of Page)"/>
        <w:docPartUnique/>
      </w:docPartObj>
    </w:sdtPr>
    <w:sdtEndPr>
      <w:rPr>
        <w:noProof/>
        <w:sz w:val="22"/>
        <w:szCs w:val="22"/>
      </w:rPr>
    </w:sdtEndPr>
    <w:sdtContent>
      <w:p w14:paraId="3705A864" w14:textId="77777777" w:rsidR="00C52FE4" w:rsidRDefault="00000000" w:rsidP="004B118E">
        <w:pPr>
          <w:pStyle w:val="Footer"/>
          <w:jc w:val="center"/>
        </w:pPr>
        <w:r w:rsidRPr="004B118E">
          <w:rPr>
            <w:rFonts w:ascii="Century Schoolbook" w:hAnsi="Century Schoolbook"/>
            <w:sz w:val="22"/>
            <w:szCs w:val="22"/>
          </w:rPr>
          <w:fldChar w:fldCharType="begin"/>
        </w:r>
        <w:r w:rsidRPr="00D21CAD">
          <w:rPr>
            <w:rFonts w:ascii="Century Schoolbook" w:hAnsi="Century Schoolbook"/>
            <w:sz w:val="22"/>
            <w:szCs w:val="22"/>
          </w:rPr>
          <w:instrText xml:space="preserve"> PAGE   \* MERGEFORMAT </w:instrText>
        </w:r>
        <w:r w:rsidRPr="004B118E">
          <w:rPr>
            <w:rFonts w:ascii="Century Schoolbook" w:hAnsi="Century Schoolbook"/>
            <w:sz w:val="22"/>
            <w:szCs w:val="22"/>
          </w:rPr>
          <w:fldChar w:fldCharType="separate"/>
        </w:r>
        <w:r w:rsidRPr="00D21CAD">
          <w:rPr>
            <w:rFonts w:ascii="Century Schoolbook" w:hAnsi="Century Schoolbook"/>
            <w:noProof/>
            <w:sz w:val="22"/>
            <w:szCs w:val="22"/>
          </w:rPr>
          <w:t>35</w:t>
        </w:r>
        <w:r w:rsidRPr="004B118E">
          <w:rPr>
            <w:rFonts w:ascii="Century Schoolbook" w:hAnsi="Century Schoolbook"/>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865" w14:textId="77777777" w:rsidR="00F3688D" w:rsidRPr="00C52FE4" w:rsidRDefault="00000000" w:rsidP="00DB38C0">
    <w:pPr>
      <w:pStyle w:val="Footer"/>
      <w:jc w:val="center"/>
      <w:rPr>
        <w:rFonts w:ascii="Century Schoolbook" w:hAnsi="Century Schoolbook"/>
        <w:sz w:val="22"/>
        <w:szCs w:val="22"/>
      </w:rPr>
    </w:pPr>
    <w:r w:rsidRPr="00C52FE4">
      <w:rPr>
        <w:rFonts w:ascii="Century Schoolbook" w:hAnsi="Century Schoolbook"/>
        <w:sz w:val="22"/>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4102" w14:textId="25F9B5C1" w:rsidR="00AB5991" w:rsidRDefault="00AB5991" w:rsidP="004B11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BA1F" w14:textId="77777777" w:rsidR="00E252AC" w:rsidRDefault="00E252AC" w:rsidP="00413814">
      <w:r>
        <w:separator/>
      </w:r>
    </w:p>
  </w:footnote>
  <w:footnote w:type="continuationSeparator" w:id="0">
    <w:p w14:paraId="2ED97445" w14:textId="77777777" w:rsidR="00E252AC" w:rsidRDefault="00E252AC" w:rsidP="00413814">
      <w:r>
        <w:continuationSeparator/>
      </w:r>
    </w:p>
  </w:footnote>
  <w:footnote w:type="continuationNotice" w:id="1">
    <w:p w14:paraId="3EC0CC22" w14:textId="77777777" w:rsidR="00E252AC" w:rsidRDefault="00E252AC"/>
  </w:footnote>
  <w:footnote w:id="2">
    <w:p w14:paraId="3705A866" w14:textId="77777777" w:rsidR="00324D91"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4"/>
          <w:sz w:val="27"/>
          <w:szCs w:val="27"/>
          <w:vertAlign w:val="superscript"/>
        </w:rPr>
        <w:t xml:space="preserve"> </w:t>
      </w:r>
      <w:r w:rsidRPr="002E3857">
        <w:rPr>
          <w:rFonts w:ascii="Century Schoolbook" w:hAnsi="Century Schoolbook"/>
          <w:sz w:val="27"/>
          <w:szCs w:val="27"/>
        </w:rPr>
        <w:tab/>
        <w:t xml:space="preserve">In </w:t>
      </w:r>
      <w:r w:rsidRPr="002E3857">
        <w:rPr>
          <w:rFonts w:ascii="Century Schoolbook" w:hAnsi="Century Schoolbook"/>
          <w:i/>
          <w:iCs/>
          <w:sz w:val="27"/>
          <w:szCs w:val="27"/>
        </w:rPr>
        <w:t>Humphrey</w:t>
      </w:r>
      <w:r w:rsidRPr="002E3857">
        <w:rPr>
          <w:rFonts w:ascii="Century Schoolbook" w:hAnsi="Century Schoolbook"/>
          <w:sz w:val="27"/>
          <w:szCs w:val="27"/>
        </w:rPr>
        <w:t xml:space="preserve">, we held that </w:t>
      </w:r>
      <w:r w:rsidR="00EF51D9" w:rsidRPr="002E3857">
        <w:rPr>
          <w:rFonts w:ascii="Century Schoolbook" w:hAnsi="Century Schoolbook"/>
          <w:sz w:val="27"/>
          <w:szCs w:val="27"/>
        </w:rPr>
        <w:t>it is unconstitutional to detain defendant</w:t>
      </w:r>
      <w:r w:rsidR="00994645" w:rsidRPr="002E3857">
        <w:rPr>
          <w:rFonts w:ascii="Century Schoolbook" w:hAnsi="Century Schoolbook"/>
          <w:sz w:val="27"/>
          <w:szCs w:val="27"/>
        </w:rPr>
        <w:t>s</w:t>
      </w:r>
      <w:r w:rsidR="00EF51D9" w:rsidRPr="002E3857">
        <w:rPr>
          <w:rFonts w:ascii="Century Schoolbook" w:hAnsi="Century Schoolbook"/>
          <w:sz w:val="27"/>
          <w:szCs w:val="27"/>
        </w:rPr>
        <w:t xml:space="preserve"> before trial solely because </w:t>
      </w:r>
      <w:r w:rsidR="00994645" w:rsidRPr="002E3857">
        <w:rPr>
          <w:rFonts w:ascii="Century Schoolbook" w:hAnsi="Century Schoolbook"/>
          <w:sz w:val="27"/>
          <w:szCs w:val="27"/>
        </w:rPr>
        <w:t>t</w:t>
      </w:r>
      <w:r w:rsidR="00EF51D9" w:rsidRPr="002E3857">
        <w:rPr>
          <w:rFonts w:ascii="Century Schoolbook" w:hAnsi="Century Schoolbook"/>
          <w:sz w:val="27"/>
          <w:szCs w:val="27"/>
        </w:rPr>
        <w:t>he</w:t>
      </w:r>
      <w:r w:rsidR="00994645" w:rsidRPr="002E3857">
        <w:rPr>
          <w:rFonts w:ascii="Century Schoolbook" w:hAnsi="Century Schoolbook"/>
          <w:sz w:val="27"/>
          <w:szCs w:val="27"/>
        </w:rPr>
        <w:t>y</w:t>
      </w:r>
      <w:r w:rsidR="00EF51D9" w:rsidRPr="002E3857">
        <w:rPr>
          <w:rFonts w:ascii="Century Schoolbook" w:hAnsi="Century Schoolbook"/>
          <w:sz w:val="27"/>
          <w:szCs w:val="27"/>
        </w:rPr>
        <w:t xml:space="preserve"> lack the financial resources to make bail</w:t>
      </w:r>
      <w:r w:rsidR="00C5036D" w:rsidRPr="002E3857">
        <w:rPr>
          <w:rFonts w:ascii="Century Schoolbook" w:hAnsi="Century Schoolbook"/>
          <w:sz w:val="27"/>
          <w:szCs w:val="27"/>
        </w:rPr>
        <w:t xml:space="preserve"> and that accordingly, “courts must consider an arrestee’s ability to pay alongside the efficacy of less restrictive alternatives when setting bail.”</w:t>
      </w:r>
      <w:r w:rsidR="00EF51D9" w:rsidRPr="002E3857">
        <w:rPr>
          <w:rFonts w:ascii="Century Schoolbook" w:hAnsi="Century Schoolbook"/>
          <w:sz w:val="27"/>
          <w:szCs w:val="27"/>
        </w:rPr>
        <w:t xml:space="preserve">  (</w:t>
      </w:r>
      <w:r w:rsidR="00EF51D9" w:rsidRPr="002E3857">
        <w:rPr>
          <w:rFonts w:ascii="Century Schoolbook" w:hAnsi="Century Schoolbook"/>
          <w:i/>
          <w:iCs/>
          <w:sz w:val="27"/>
          <w:szCs w:val="27"/>
        </w:rPr>
        <w:t>Humphrey</w:t>
      </w:r>
      <w:r w:rsidR="00EF51D9" w:rsidRPr="002E3857">
        <w:rPr>
          <w:rFonts w:ascii="Century Schoolbook" w:hAnsi="Century Schoolbook"/>
          <w:sz w:val="27"/>
          <w:szCs w:val="27"/>
        </w:rPr>
        <w:t xml:space="preserve">, </w:t>
      </w:r>
      <w:r w:rsidR="00EF51D9" w:rsidRPr="002E3857">
        <w:rPr>
          <w:rFonts w:ascii="Century Schoolbook" w:hAnsi="Century Schoolbook"/>
          <w:i/>
          <w:iCs/>
          <w:sz w:val="27"/>
          <w:szCs w:val="27"/>
        </w:rPr>
        <w:t>supra</w:t>
      </w:r>
      <w:r w:rsidR="00EF51D9" w:rsidRPr="002E3857">
        <w:rPr>
          <w:rFonts w:ascii="Century Schoolbook" w:hAnsi="Century Schoolbook"/>
          <w:sz w:val="27"/>
          <w:szCs w:val="27"/>
        </w:rPr>
        <w:t>, 11 Cal.5th at p.</w:t>
      </w:r>
      <w:r w:rsidR="00C5036D" w:rsidRPr="002E3857">
        <w:rPr>
          <w:rFonts w:ascii="Century Schoolbook" w:hAnsi="Century Schoolbook"/>
          <w:sz w:val="27"/>
          <w:szCs w:val="27"/>
        </w:rPr>
        <w:t> 152.</w:t>
      </w:r>
      <w:r w:rsidR="00EF51D9" w:rsidRPr="002E3857">
        <w:rPr>
          <w:rFonts w:ascii="Century Schoolbook" w:hAnsi="Century Schoolbook"/>
          <w:sz w:val="27"/>
          <w:szCs w:val="27"/>
        </w:rPr>
        <w:t xml:space="preserve">)  </w:t>
      </w:r>
    </w:p>
  </w:footnote>
  <w:footnote w:id="3">
    <w:p w14:paraId="3705A867" w14:textId="77777777" w:rsidR="00111FE7" w:rsidRPr="002E3857" w:rsidRDefault="00000000" w:rsidP="00426AED">
      <w:pPr>
        <w:pStyle w:val="FootnoteText"/>
        <w:spacing w:after="100" w:line="300" w:lineRule="exact"/>
        <w:jc w:val="both"/>
        <w:rPr>
          <w:rFonts w:ascii="Century Schoolbook" w:hAnsi="Century Schoolbook"/>
          <w:sz w:val="27"/>
          <w:szCs w:val="27"/>
        </w:rPr>
      </w:pPr>
      <w:r w:rsidRPr="00772A12">
        <w:rPr>
          <w:rStyle w:val="FootnoteReference"/>
          <w:rFonts w:ascii="Century Schoolbook" w:hAnsi="Century Schoolbook"/>
          <w:b/>
          <w:bCs/>
          <w:position w:val="4"/>
          <w:sz w:val="27"/>
          <w:szCs w:val="27"/>
        </w:rPr>
        <w:footnoteRef/>
      </w:r>
      <w:r w:rsidRPr="002E3857">
        <w:rPr>
          <w:rFonts w:ascii="Century Schoolbook" w:hAnsi="Century Schoolbook"/>
          <w:sz w:val="27"/>
          <w:szCs w:val="27"/>
        </w:rPr>
        <w:t xml:space="preserve"> </w:t>
      </w:r>
      <w:r w:rsidRPr="002E3857">
        <w:rPr>
          <w:rFonts w:ascii="Century Schoolbook" w:hAnsi="Century Schoolbook"/>
          <w:sz w:val="27"/>
          <w:szCs w:val="27"/>
        </w:rPr>
        <w:tab/>
        <w:t>All Internet citations in this opinion are archived by year, docket number, and case name at &lt;http://www.courts.ca.gov/38</w:t>
      </w:r>
      <w:r w:rsidR="007579D6">
        <w:rPr>
          <w:rFonts w:ascii="Century Schoolbook" w:hAnsi="Century Schoolbook"/>
          <w:sz w:val="27"/>
          <w:szCs w:val="27"/>
        </w:rPr>
        <w:t>3</w:t>
      </w:r>
      <w:r w:rsidRPr="002E3857">
        <w:rPr>
          <w:rFonts w:ascii="Century Schoolbook" w:hAnsi="Century Schoolbook"/>
          <w:sz w:val="27"/>
          <w:szCs w:val="27"/>
        </w:rPr>
        <w:t>24.htm&gt;.</w:t>
      </w:r>
    </w:p>
  </w:footnote>
  <w:footnote w:id="4">
    <w:p w14:paraId="3705A868"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6"/>
          <w:sz w:val="27"/>
          <w:szCs w:val="27"/>
        </w:rPr>
        <w:t xml:space="preserve"> </w:t>
      </w:r>
      <w:r w:rsidRPr="002E3857">
        <w:rPr>
          <w:rFonts w:ascii="Century Schoolbook" w:hAnsi="Century Schoolbook"/>
          <w:sz w:val="27"/>
          <w:szCs w:val="27"/>
        </w:rPr>
        <w:tab/>
        <w:t xml:space="preserve">The current regulation is essentially the same in substance as the version originally promulgated in 1941 (see Ruling No. 21, </w:t>
      </w:r>
      <w:r w:rsidRPr="002E3857">
        <w:rPr>
          <w:rFonts w:ascii="Century Schoolbook" w:hAnsi="Century Schoolbook"/>
          <w:i/>
          <w:iCs/>
          <w:sz w:val="27"/>
          <w:szCs w:val="27"/>
        </w:rPr>
        <w:t>supra</w:t>
      </w:r>
      <w:r w:rsidRPr="002E3857">
        <w:rPr>
          <w:rFonts w:ascii="Century Schoolbook" w:hAnsi="Century Schoolbook"/>
          <w:sz w:val="27"/>
          <w:szCs w:val="27"/>
        </w:rPr>
        <w:t>, ¶ 37), except that the original version did not include the public</w:t>
      </w:r>
      <w:r w:rsidR="00111FE7" w:rsidRPr="002E3857">
        <w:rPr>
          <w:rFonts w:ascii="Century Schoolbook" w:hAnsi="Century Schoolbook"/>
          <w:sz w:val="27"/>
          <w:szCs w:val="27"/>
        </w:rPr>
        <w:t xml:space="preserve"> </w:t>
      </w:r>
      <w:r w:rsidRPr="002E3857">
        <w:rPr>
          <w:rFonts w:ascii="Century Schoolbook" w:hAnsi="Century Schoolbook"/>
          <w:sz w:val="27"/>
          <w:szCs w:val="27"/>
        </w:rPr>
        <w:t>records exception, which was added in 1977 (Cal. Reg. Notice Register 77, No. 38 (Sept. 17, 1977) p. 1741).</w:t>
      </w:r>
    </w:p>
  </w:footnote>
  <w:footnote w:id="5">
    <w:p w14:paraId="3705A869" w14:textId="77777777" w:rsidR="007E17CC" w:rsidRPr="00860C0F" w:rsidRDefault="00000000" w:rsidP="00426AED">
      <w:pPr>
        <w:pStyle w:val="FootnoteText"/>
        <w:spacing w:after="100" w:line="300" w:lineRule="exact"/>
        <w:jc w:val="both"/>
        <w:rPr>
          <w:rFonts w:ascii="Century Schoolbook" w:hAnsi="Century Schoolbook"/>
          <w:sz w:val="27"/>
          <w:szCs w:val="27"/>
        </w:rPr>
      </w:pPr>
      <w:r w:rsidRPr="00772A12">
        <w:rPr>
          <w:rStyle w:val="FootnoteReference"/>
          <w:rFonts w:ascii="Century Schoolbook" w:hAnsi="Century Schoolbook"/>
          <w:b/>
          <w:bCs/>
          <w:position w:val="4"/>
          <w:sz w:val="27"/>
          <w:szCs w:val="27"/>
        </w:rPr>
        <w:footnoteRef/>
      </w:r>
      <w:r w:rsidRPr="00860C0F">
        <w:rPr>
          <w:rFonts w:ascii="Century Schoolbook" w:hAnsi="Century Schoolbook"/>
          <w:sz w:val="27"/>
          <w:szCs w:val="27"/>
        </w:rPr>
        <w:t xml:space="preserve"> </w:t>
      </w:r>
      <w:r w:rsidRPr="00860C0F">
        <w:rPr>
          <w:rFonts w:ascii="Century Schoolbook" w:hAnsi="Century Schoolbook"/>
          <w:sz w:val="27"/>
          <w:szCs w:val="27"/>
        </w:rPr>
        <w:tab/>
        <w:t xml:space="preserve">In various places in the record, Martinez is also referred to as Monica Milla or Monica Marie Milla.  </w:t>
      </w:r>
      <w:r w:rsidR="00F376A1" w:rsidRPr="00860C0F">
        <w:rPr>
          <w:rFonts w:ascii="Century Schoolbook" w:hAnsi="Century Schoolbook"/>
          <w:sz w:val="27"/>
          <w:szCs w:val="27"/>
        </w:rPr>
        <w:t>To remain consistent with the charging documents and the Court of Appeal’s opinion, however, we will refer to her as Martinez.</w:t>
      </w:r>
    </w:p>
  </w:footnote>
  <w:footnote w:id="6">
    <w:p w14:paraId="3705A86A"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b/>
          <w:bCs/>
          <w:sz w:val="27"/>
          <w:szCs w:val="27"/>
        </w:rPr>
        <w:t xml:space="preserve"> </w:t>
      </w:r>
      <w:r w:rsidRPr="002E3857">
        <w:rPr>
          <w:rFonts w:ascii="Century Schoolbook" w:hAnsi="Century Schoolbook"/>
          <w:sz w:val="27"/>
          <w:szCs w:val="27"/>
        </w:rPr>
        <w:tab/>
        <w:t>Martinez also raised two other constitutional arguments:  that section 2076 is unconstitutionally vague on its face and that it is unconstitutionally overbroad.  The Court of Appeal rejected the first (</w:t>
      </w:r>
      <w:r w:rsidRPr="002E3857">
        <w:rPr>
          <w:rFonts w:ascii="Century Schoolbook" w:hAnsi="Century Schoolbook"/>
          <w:i/>
          <w:sz w:val="27"/>
          <w:szCs w:val="27"/>
        </w:rPr>
        <w:t>Martinez</w:t>
      </w:r>
      <w:r w:rsidRPr="002E3857">
        <w:rPr>
          <w:rFonts w:ascii="Century Schoolbook" w:hAnsi="Century Schoolbook"/>
          <w:sz w:val="27"/>
          <w:szCs w:val="27"/>
        </w:rPr>
        <w:t xml:space="preserve">, </w:t>
      </w:r>
      <w:r w:rsidRPr="002E3857">
        <w:rPr>
          <w:rFonts w:ascii="Century Schoolbook" w:hAnsi="Century Schoolbook"/>
          <w:i/>
          <w:sz w:val="27"/>
          <w:szCs w:val="27"/>
        </w:rPr>
        <w:t>supra</w:t>
      </w:r>
      <w:r w:rsidRPr="002E3857">
        <w:rPr>
          <w:rFonts w:ascii="Century Schoolbook" w:hAnsi="Century Schoolbook"/>
          <w:sz w:val="27"/>
          <w:szCs w:val="27"/>
        </w:rPr>
        <w:t xml:space="preserve">, 59 Cal.App.5th at p. 297), and, in light of its conclusion that </w:t>
      </w:r>
      <w:r w:rsidR="00C37719" w:rsidRPr="002E3857">
        <w:rPr>
          <w:rFonts w:ascii="Century Schoolbook" w:hAnsi="Century Schoolbook"/>
          <w:sz w:val="27"/>
          <w:szCs w:val="27"/>
        </w:rPr>
        <w:t>section 2076</w:t>
      </w:r>
      <w:r w:rsidRPr="002E3857">
        <w:rPr>
          <w:rFonts w:ascii="Century Schoolbook" w:hAnsi="Century Schoolbook"/>
          <w:sz w:val="27"/>
          <w:szCs w:val="27"/>
        </w:rPr>
        <w:t xml:space="preserve"> was an invalid content-based regulation, declined to address the second (</w:t>
      </w:r>
      <w:r w:rsidR="00187775" w:rsidRPr="00187775">
        <w:rPr>
          <w:rFonts w:ascii="Century Schoolbook" w:hAnsi="Century Schoolbook"/>
          <w:i/>
          <w:iCs/>
          <w:sz w:val="27"/>
          <w:szCs w:val="27"/>
        </w:rPr>
        <w:t>Martinez</w:t>
      </w:r>
      <w:r w:rsidR="00187775">
        <w:rPr>
          <w:rFonts w:ascii="Century Schoolbook" w:hAnsi="Century Schoolbook"/>
          <w:sz w:val="27"/>
          <w:szCs w:val="27"/>
        </w:rPr>
        <w:t xml:space="preserve">, </w:t>
      </w:r>
      <w:r w:rsidRPr="002E3857">
        <w:rPr>
          <w:rFonts w:ascii="Century Schoolbook" w:hAnsi="Century Schoolbook"/>
          <w:sz w:val="27"/>
          <w:szCs w:val="27"/>
        </w:rPr>
        <w:t>at pp. </w:t>
      </w:r>
      <w:r w:rsidRPr="002E3857">
        <w:rPr>
          <w:rFonts w:ascii="Century Schoolbook" w:hAnsi="Century Schoolbook"/>
          <w:color w:val="000000"/>
          <w:sz w:val="27"/>
          <w:szCs w:val="27"/>
        </w:rPr>
        <w:t>290, 313)</w:t>
      </w:r>
      <w:r w:rsidRPr="002E3857">
        <w:rPr>
          <w:rFonts w:ascii="Century Schoolbook" w:hAnsi="Century Schoolbook"/>
          <w:sz w:val="27"/>
          <w:szCs w:val="27"/>
        </w:rPr>
        <w:t>.  Martinez has not pressed either of these arguments before this court, and we express no view on them.</w:t>
      </w:r>
    </w:p>
  </w:footnote>
  <w:footnote w:id="7">
    <w:p w14:paraId="3705A86B" w14:textId="77777777" w:rsidR="00E5684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6"/>
          <w:sz w:val="27"/>
          <w:szCs w:val="27"/>
        </w:rPr>
        <w:t xml:space="preserve"> </w:t>
      </w:r>
      <w:r w:rsidRPr="002E3857">
        <w:rPr>
          <w:rFonts w:ascii="Century Schoolbook" w:hAnsi="Century Schoolbook"/>
          <w:sz w:val="27"/>
          <w:szCs w:val="27"/>
        </w:rPr>
        <w:tab/>
        <w:t>Justice Grover also would have rejected Martinez’s vagueness and overbreadth challenges.  (See</w:t>
      </w:r>
      <w:r w:rsidRPr="002E3857">
        <w:rPr>
          <w:rFonts w:ascii="Century Schoolbook" w:hAnsi="Century Schoolbook"/>
          <w:i/>
          <w:iCs/>
          <w:sz w:val="27"/>
          <w:szCs w:val="27"/>
        </w:rPr>
        <w:t xml:space="preserve"> </w:t>
      </w:r>
      <w:r w:rsidRPr="002E3857">
        <w:rPr>
          <w:rFonts w:ascii="Century Schoolbook" w:hAnsi="Century Schoolbook"/>
          <w:sz w:val="27"/>
          <w:szCs w:val="27"/>
        </w:rPr>
        <w:t xml:space="preserve">fn. </w:t>
      </w:r>
      <w:r w:rsidR="009078CE">
        <w:rPr>
          <w:rFonts w:ascii="Century Schoolbook" w:hAnsi="Century Schoolbook"/>
          <w:sz w:val="27"/>
          <w:szCs w:val="27"/>
        </w:rPr>
        <w:t>5</w:t>
      </w:r>
      <w:r w:rsidRPr="002E3857">
        <w:rPr>
          <w:rFonts w:ascii="Century Schoolbook" w:hAnsi="Century Schoolbook"/>
          <w:sz w:val="27"/>
          <w:szCs w:val="27"/>
        </w:rPr>
        <w:t xml:space="preserve">, </w:t>
      </w:r>
      <w:r w:rsidRPr="002E3857">
        <w:rPr>
          <w:rFonts w:ascii="Century Schoolbook" w:hAnsi="Century Schoolbook"/>
          <w:i/>
          <w:iCs/>
          <w:sz w:val="27"/>
          <w:szCs w:val="27"/>
        </w:rPr>
        <w:t>ante</w:t>
      </w:r>
      <w:r w:rsidRPr="002E3857">
        <w:rPr>
          <w:rFonts w:ascii="Century Schoolbook" w:hAnsi="Century Schoolbook"/>
          <w:sz w:val="27"/>
          <w:szCs w:val="27"/>
        </w:rPr>
        <w:t>.)</w:t>
      </w:r>
    </w:p>
  </w:footnote>
  <w:footnote w:id="8">
    <w:p w14:paraId="3705A86C"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sz w:val="27"/>
          <w:szCs w:val="27"/>
        </w:rPr>
        <w:tab/>
        <w:t>This is because Martinez raises what we might call a “typical facial attack.”  (</w:t>
      </w:r>
      <w:r w:rsidRPr="002E3857">
        <w:rPr>
          <w:rFonts w:ascii="Century Schoolbook" w:hAnsi="Century Schoolbook"/>
          <w:i/>
          <w:iCs/>
          <w:sz w:val="27"/>
          <w:szCs w:val="27"/>
        </w:rPr>
        <w:t>United States v. Stevens</w:t>
      </w:r>
      <w:r w:rsidRPr="002E3857">
        <w:rPr>
          <w:rFonts w:ascii="Century Schoolbook" w:hAnsi="Century Schoolbook"/>
          <w:sz w:val="27"/>
          <w:szCs w:val="27"/>
        </w:rPr>
        <w:t xml:space="preserve"> (2010) 559 U.S. 460, 472.)  In the First Amendment context, courts have recognized another “ ‘type of facial challenge,’ whereby a law may be invalidated as overbroad if ‘a substantial number of its applications are unconstitutional, judged in relation to the statute’s plainly legitimate sweep.’ ”  (</w:t>
      </w:r>
      <w:r w:rsidR="008115E0" w:rsidRPr="002E3857">
        <w:rPr>
          <w:rFonts w:ascii="Century Schoolbook" w:hAnsi="Century Schoolbook"/>
          <w:i/>
          <w:iCs/>
          <w:sz w:val="27"/>
          <w:szCs w:val="27"/>
        </w:rPr>
        <w:t>Stevens</w:t>
      </w:r>
      <w:r w:rsidR="008115E0" w:rsidRPr="002E3857">
        <w:rPr>
          <w:rFonts w:ascii="Century Schoolbook" w:hAnsi="Century Schoolbook"/>
          <w:sz w:val="27"/>
          <w:szCs w:val="27"/>
        </w:rPr>
        <w:t>,</w:t>
      </w:r>
      <w:r w:rsidRPr="002E3857">
        <w:rPr>
          <w:rFonts w:ascii="Century Schoolbook" w:hAnsi="Century Schoolbook"/>
          <w:sz w:val="27"/>
          <w:szCs w:val="27"/>
        </w:rPr>
        <w:t xml:space="preserve"> at p. 473.)  But as we have noted, Martinez does not press th</w:t>
      </w:r>
      <w:r w:rsidR="00EE555E" w:rsidRPr="002E3857">
        <w:rPr>
          <w:rFonts w:ascii="Century Schoolbook" w:hAnsi="Century Schoolbook"/>
          <w:sz w:val="27"/>
          <w:szCs w:val="27"/>
        </w:rPr>
        <w:t>at</w:t>
      </w:r>
      <w:r w:rsidRPr="002E3857">
        <w:rPr>
          <w:rFonts w:ascii="Century Schoolbook" w:hAnsi="Century Schoolbook"/>
          <w:sz w:val="27"/>
          <w:szCs w:val="27"/>
        </w:rPr>
        <w:t xml:space="preserve"> sort of First Amendment overbreadth challenge in this court.  (See fn. </w:t>
      </w:r>
      <w:r w:rsidR="009078CE">
        <w:rPr>
          <w:rFonts w:ascii="Century Schoolbook" w:hAnsi="Century Schoolbook"/>
          <w:sz w:val="27"/>
          <w:szCs w:val="27"/>
        </w:rPr>
        <w:t>5</w:t>
      </w:r>
      <w:r w:rsidRPr="002E3857">
        <w:rPr>
          <w:rFonts w:ascii="Century Schoolbook" w:hAnsi="Century Schoolbook"/>
          <w:sz w:val="27"/>
          <w:szCs w:val="27"/>
        </w:rPr>
        <w:t xml:space="preserve">, </w:t>
      </w:r>
      <w:r w:rsidRPr="002E3857">
        <w:rPr>
          <w:rFonts w:ascii="Century Schoolbook" w:hAnsi="Century Schoolbook"/>
          <w:i/>
          <w:iCs/>
          <w:sz w:val="27"/>
          <w:szCs w:val="27"/>
        </w:rPr>
        <w:t>ante</w:t>
      </w:r>
      <w:r w:rsidRPr="002E3857">
        <w:rPr>
          <w:rFonts w:ascii="Century Schoolbook" w:hAnsi="Century Schoolbook"/>
          <w:sz w:val="27"/>
          <w:szCs w:val="27"/>
        </w:rPr>
        <w:t>.)</w:t>
      </w:r>
    </w:p>
  </w:footnote>
  <w:footnote w:id="9">
    <w:p w14:paraId="3705A86D" w14:textId="77777777" w:rsidR="00E138A9"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sz w:val="27"/>
          <w:szCs w:val="27"/>
        </w:rPr>
        <w:t xml:space="preserve"> </w:t>
      </w:r>
      <w:r w:rsidRPr="002E3857">
        <w:rPr>
          <w:rFonts w:ascii="Century Schoolbook" w:hAnsi="Century Schoolbook"/>
          <w:sz w:val="27"/>
          <w:szCs w:val="27"/>
        </w:rPr>
        <w:tab/>
      </w:r>
      <w:r w:rsidR="00AB095A" w:rsidRPr="002E3857">
        <w:rPr>
          <w:rFonts w:ascii="Century Schoolbook" w:hAnsi="Century Schoolbook"/>
          <w:sz w:val="27"/>
          <w:szCs w:val="27"/>
        </w:rPr>
        <w:t>The Attorney General has not argued, and we thus do not address, whether</w:t>
      </w:r>
      <w:r w:rsidR="006C5B13" w:rsidRPr="002E3857">
        <w:rPr>
          <w:rFonts w:ascii="Century Schoolbook" w:hAnsi="Century Schoolbook"/>
          <w:sz w:val="27"/>
          <w:szCs w:val="27"/>
        </w:rPr>
        <w:t xml:space="preserve"> the speech-related burdens of</w:t>
      </w:r>
      <w:r w:rsidR="00AB095A" w:rsidRPr="002E3857">
        <w:rPr>
          <w:rFonts w:ascii="Century Schoolbook" w:hAnsi="Century Schoolbook"/>
          <w:sz w:val="27"/>
          <w:szCs w:val="27"/>
        </w:rPr>
        <w:t xml:space="preserve"> section 2076’s </w:t>
      </w:r>
      <w:r w:rsidR="006C5B13" w:rsidRPr="002E3857">
        <w:rPr>
          <w:rFonts w:ascii="Century Schoolbook" w:hAnsi="Century Schoolbook"/>
          <w:sz w:val="27"/>
          <w:szCs w:val="27"/>
        </w:rPr>
        <w:t xml:space="preserve">prohibition on notification arrangements </w:t>
      </w:r>
      <w:r w:rsidR="005561A8" w:rsidRPr="002E3857">
        <w:rPr>
          <w:rFonts w:ascii="Century Schoolbook" w:hAnsi="Century Schoolbook"/>
          <w:sz w:val="27"/>
          <w:szCs w:val="27"/>
        </w:rPr>
        <w:t xml:space="preserve">can be considered </w:t>
      </w:r>
      <w:r w:rsidR="006C5B13" w:rsidRPr="002E3857">
        <w:rPr>
          <w:rFonts w:ascii="Century Schoolbook" w:hAnsi="Century Schoolbook"/>
          <w:sz w:val="27"/>
          <w:szCs w:val="27"/>
        </w:rPr>
        <w:t xml:space="preserve">incidental to the state’s regulation of commercial activity.  </w:t>
      </w:r>
      <w:r w:rsidRPr="002E3857">
        <w:rPr>
          <w:rFonts w:ascii="Century Schoolbook" w:hAnsi="Century Schoolbook"/>
          <w:sz w:val="27"/>
          <w:szCs w:val="27"/>
        </w:rPr>
        <w:t>(</w:t>
      </w:r>
      <w:r w:rsidR="00EE555E" w:rsidRPr="002E3857">
        <w:rPr>
          <w:rFonts w:ascii="Century Schoolbook" w:hAnsi="Century Schoolbook"/>
          <w:sz w:val="27"/>
          <w:szCs w:val="27"/>
        </w:rPr>
        <w:t>See</w:t>
      </w:r>
      <w:r w:rsidRPr="002E3857">
        <w:rPr>
          <w:rFonts w:ascii="Century Schoolbook" w:hAnsi="Century Schoolbook"/>
          <w:sz w:val="27"/>
          <w:szCs w:val="27"/>
        </w:rPr>
        <w:t xml:space="preserve"> </w:t>
      </w:r>
      <w:r w:rsidRPr="002E3857">
        <w:rPr>
          <w:rFonts w:ascii="Century Schoolbook" w:hAnsi="Century Schoolbook"/>
          <w:i/>
          <w:iCs/>
          <w:sz w:val="27"/>
          <w:szCs w:val="27"/>
        </w:rPr>
        <w:t>Sorrell</w:t>
      </w:r>
      <w:r w:rsidRPr="002E3857">
        <w:rPr>
          <w:rFonts w:ascii="Century Schoolbook" w:hAnsi="Century Schoolbook"/>
          <w:sz w:val="27"/>
          <w:szCs w:val="27"/>
        </w:rPr>
        <w:t xml:space="preserve">, </w:t>
      </w:r>
      <w:r w:rsidRPr="002E3857">
        <w:rPr>
          <w:rFonts w:ascii="Century Schoolbook" w:hAnsi="Century Schoolbook"/>
          <w:i/>
          <w:iCs/>
          <w:sz w:val="27"/>
          <w:szCs w:val="27"/>
        </w:rPr>
        <w:t>supra</w:t>
      </w:r>
      <w:r w:rsidRPr="002E3857">
        <w:rPr>
          <w:rFonts w:ascii="Century Schoolbook" w:hAnsi="Century Schoolbook"/>
          <w:sz w:val="27"/>
          <w:szCs w:val="27"/>
        </w:rPr>
        <w:t>, 564 U.S. at p.</w:t>
      </w:r>
      <w:r w:rsidR="00315BE2" w:rsidRPr="002E3857">
        <w:rPr>
          <w:rFonts w:ascii="Century Schoolbook" w:hAnsi="Century Schoolbook"/>
          <w:sz w:val="27"/>
          <w:szCs w:val="27"/>
        </w:rPr>
        <w:t> </w:t>
      </w:r>
      <w:r w:rsidRPr="002E3857">
        <w:rPr>
          <w:rFonts w:ascii="Century Schoolbook" w:hAnsi="Century Schoolbook"/>
          <w:sz w:val="27"/>
          <w:szCs w:val="27"/>
        </w:rPr>
        <w:t>567 [</w:t>
      </w:r>
      <w:r w:rsidR="00315745" w:rsidRPr="002E3857">
        <w:rPr>
          <w:rFonts w:ascii="Century Schoolbook" w:hAnsi="Century Schoolbook"/>
          <w:sz w:val="27"/>
          <w:szCs w:val="27"/>
        </w:rPr>
        <w:t>“</w:t>
      </w:r>
      <w:r w:rsidR="009E0105">
        <w:rPr>
          <w:rFonts w:ascii="Century Schoolbook" w:hAnsi="Century Schoolbook"/>
          <w:sz w:val="27"/>
          <w:szCs w:val="27"/>
        </w:rPr>
        <w:t>[T]</w:t>
      </w:r>
      <w:r w:rsidRPr="002E3857">
        <w:rPr>
          <w:rFonts w:ascii="Century Schoolbook" w:hAnsi="Century Schoolbook"/>
          <w:sz w:val="27"/>
          <w:szCs w:val="27"/>
        </w:rPr>
        <w:t xml:space="preserve">he First Amendment does not prevent restrictions directed at commerce or conduct from imposing incidental burdens on speech”].) </w:t>
      </w:r>
    </w:p>
  </w:footnote>
  <w:footnote w:id="10">
    <w:p w14:paraId="3705A86E" w14:textId="77777777" w:rsidR="00CC0E38" w:rsidRPr="002E3857" w:rsidRDefault="00000000" w:rsidP="00426AED">
      <w:pPr>
        <w:pStyle w:val="FootnoteText"/>
        <w:spacing w:after="100" w:line="300" w:lineRule="exact"/>
        <w:jc w:val="both"/>
        <w:rPr>
          <w:rFonts w:ascii="Century Schoolbook" w:hAnsi="Century Schoolbook"/>
          <w:color w:val="000000"/>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b/>
          <w:bCs/>
          <w:position w:val="6"/>
          <w:sz w:val="27"/>
          <w:szCs w:val="27"/>
        </w:rPr>
        <w:t xml:space="preserve"> </w:t>
      </w:r>
      <w:r w:rsidRPr="002E3857">
        <w:rPr>
          <w:rFonts w:ascii="Century Schoolbook" w:hAnsi="Century Schoolbook"/>
          <w:sz w:val="27"/>
          <w:szCs w:val="27"/>
        </w:rPr>
        <w:tab/>
        <w:t xml:space="preserve">Martinez is correct that the payment of compensation is not a necessary element of a section 2076 violation.  But the Attorney General notes, and common sense would also suggest, that a bail licensee’s “ ‘arrangement’ or ‘understanding’ ” with a jail inmate to obtain information about recent arrests will often involve some form of </w:t>
      </w:r>
      <w:r w:rsidR="00F164AF" w:rsidRPr="002E3857">
        <w:rPr>
          <w:rFonts w:ascii="Century Schoolbook" w:hAnsi="Century Schoolbook"/>
          <w:sz w:val="27"/>
          <w:szCs w:val="27"/>
        </w:rPr>
        <w:t>consideration</w:t>
      </w:r>
      <w:r w:rsidR="00577076" w:rsidRPr="002E3857">
        <w:rPr>
          <w:rFonts w:ascii="Century Schoolbook" w:hAnsi="Century Schoolbook"/>
          <w:sz w:val="27"/>
          <w:szCs w:val="27"/>
        </w:rPr>
        <w:t xml:space="preserve"> </w:t>
      </w:r>
      <w:r w:rsidRPr="002E3857">
        <w:rPr>
          <w:rFonts w:ascii="Century Schoolbook" w:hAnsi="Century Schoolbook"/>
          <w:sz w:val="27"/>
          <w:szCs w:val="27"/>
        </w:rPr>
        <w:t>from the bail licensee, whether monetary or in kind.  (</w:t>
      </w:r>
      <w:r w:rsidR="00127F21">
        <w:rPr>
          <w:rFonts w:ascii="Century Schoolbook" w:hAnsi="Century Schoolbook"/>
          <w:sz w:val="27"/>
          <w:szCs w:val="27"/>
        </w:rPr>
        <w:t>See also</w:t>
      </w:r>
      <w:r w:rsidRPr="002E3857">
        <w:rPr>
          <w:rFonts w:ascii="Century Schoolbook" w:hAnsi="Century Schoolbook"/>
          <w:sz w:val="27"/>
          <w:szCs w:val="27"/>
        </w:rPr>
        <w:t xml:space="preserve"> </w:t>
      </w:r>
      <w:r w:rsidR="008115E0" w:rsidRPr="002E3857">
        <w:rPr>
          <w:rFonts w:ascii="Century Schoolbook" w:hAnsi="Century Schoolbook"/>
          <w:sz w:val="27"/>
          <w:szCs w:val="27"/>
        </w:rPr>
        <w:t>Cal. Dept. of Insurance,</w:t>
      </w:r>
      <w:r w:rsidRPr="002E3857">
        <w:rPr>
          <w:rFonts w:ascii="Century Schoolbook" w:hAnsi="Century Schoolbook"/>
          <w:color w:val="000000"/>
          <w:sz w:val="27"/>
          <w:szCs w:val="27"/>
        </w:rPr>
        <w:t xml:space="preserve"> Recommendations for California’s Bail System (Feb. 2018) p. 6 [noting results of a multiyear investigation in Santa Clara County “uncovering schemes by bail agents to scoop business away from competitors by rewarding jail inmates with money added to their jail accounts for providing information about newly booked individuals in the jails”].)</w:t>
      </w:r>
    </w:p>
  </w:footnote>
  <w:footnote w:id="11">
    <w:p w14:paraId="3705A86F" w14:textId="77777777" w:rsidR="0044504A"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6"/>
          <w:sz w:val="27"/>
          <w:szCs w:val="27"/>
        </w:rPr>
        <w:t xml:space="preserve"> </w:t>
      </w:r>
      <w:r w:rsidRPr="002E3857">
        <w:rPr>
          <w:rFonts w:ascii="Century Schoolbook" w:hAnsi="Century Schoolbook"/>
          <w:sz w:val="27"/>
          <w:szCs w:val="27"/>
        </w:rPr>
        <w:tab/>
        <w:t>Although pretrial detention arguably does not serve any retributive purpose, the Attorney General points out that jails in California also frequently house convicted inmates, who might be in a position to provide information about recently arrested pretrial detainees.  (See Pen. Code, § 4002, subd. (a) [authorizing jail to group together “persons . . . detained for trial [and] . . . persons convicted and under sentence” for certain purposes, including “supervised activities and . . . housing”].)</w:t>
      </w:r>
    </w:p>
  </w:footnote>
  <w:footnote w:id="12">
    <w:p w14:paraId="3705A870"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6"/>
          <w:sz w:val="27"/>
          <w:szCs w:val="27"/>
        </w:rPr>
        <w:t xml:space="preserve"> </w:t>
      </w:r>
      <w:r w:rsidRPr="002E3857">
        <w:rPr>
          <w:rFonts w:ascii="Century Schoolbook" w:hAnsi="Century Schoolbook"/>
          <w:sz w:val="27"/>
          <w:szCs w:val="27"/>
        </w:rPr>
        <w:tab/>
        <w:t xml:space="preserve">The Attorney General cites cases from other jurisdictions indicating that </w:t>
      </w:r>
      <w:r w:rsidRPr="002E3857">
        <w:rPr>
          <w:rFonts w:ascii="Century Schoolbook" w:hAnsi="Century Schoolbook"/>
          <w:i/>
          <w:iCs/>
          <w:sz w:val="27"/>
          <w:szCs w:val="27"/>
        </w:rPr>
        <w:t xml:space="preserve">Turner </w:t>
      </w:r>
      <w:r w:rsidRPr="002E3857">
        <w:rPr>
          <w:rFonts w:ascii="Century Schoolbook" w:hAnsi="Century Schoolbook"/>
          <w:sz w:val="27"/>
          <w:szCs w:val="27"/>
        </w:rPr>
        <w:t xml:space="preserve">deference is not exclusively reserved for the judgments of jail and prison officials and applies, for instance, to statutory jail and prison regulations enacted by legislatures.  None of the Attorney General’s cases, however, involves circumstances comparable to this case, where the regulation in question was promulgated by a commercial regulator to govern the conduct of nonincarcerated </w:t>
      </w:r>
      <w:r w:rsidR="002B4370" w:rsidRPr="002E3857">
        <w:rPr>
          <w:rFonts w:ascii="Century Schoolbook" w:hAnsi="Century Schoolbook"/>
          <w:sz w:val="27"/>
          <w:szCs w:val="27"/>
        </w:rPr>
        <w:t>commercial actors</w:t>
      </w:r>
      <w:r w:rsidRPr="002E3857">
        <w:rPr>
          <w:rFonts w:ascii="Century Schoolbook" w:hAnsi="Century Schoolbook"/>
          <w:sz w:val="27"/>
          <w:szCs w:val="27"/>
        </w:rPr>
        <w:t xml:space="preserve">.  (Cf., e.g., </w:t>
      </w:r>
      <w:r w:rsidRPr="002E3857">
        <w:rPr>
          <w:rFonts w:ascii="Century Schoolbook" w:hAnsi="Century Schoolbook"/>
          <w:i/>
          <w:iCs/>
          <w:sz w:val="27"/>
          <w:szCs w:val="27"/>
        </w:rPr>
        <w:t xml:space="preserve">Mass. Prisoners Ass’n v. Acting Governor </w:t>
      </w:r>
      <w:r w:rsidRPr="002E3857">
        <w:rPr>
          <w:rFonts w:ascii="Century Schoolbook" w:hAnsi="Century Schoolbook"/>
          <w:sz w:val="27"/>
          <w:szCs w:val="27"/>
        </w:rPr>
        <w:t xml:space="preserve">(Mass. 2002) 761 N.E.2d 952, 955 [challenge to </w:t>
      </w:r>
      <w:r w:rsidR="0044504A" w:rsidRPr="002E3857">
        <w:rPr>
          <w:rFonts w:ascii="Century Schoolbook" w:hAnsi="Century Schoolbook"/>
          <w:sz w:val="27"/>
          <w:szCs w:val="27"/>
        </w:rPr>
        <w:t xml:space="preserve">an </w:t>
      </w:r>
      <w:r w:rsidRPr="002E3857">
        <w:rPr>
          <w:rFonts w:ascii="Century Schoolbook" w:hAnsi="Century Schoolbook"/>
          <w:sz w:val="27"/>
          <w:szCs w:val="27"/>
        </w:rPr>
        <w:t xml:space="preserve">executive order directing the state corrections department to prohibit political fundraising in state prisons, pursuant to a state statute]; </w:t>
      </w:r>
      <w:r w:rsidRPr="002E3857">
        <w:rPr>
          <w:rFonts w:ascii="Century Schoolbook" w:hAnsi="Century Schoolbook"/>
          <w:i/>
          <w:iCs/>
          <w:sz w:val="27"/>
          <w:szCs w:val="27"/>
        </w:rPr>
        <w:t>Waterman v. Farmer</w:t>
      </w:r>
      <w:r w:rsidRPr="002E3857">
        <w:rPr>
          <w:rFonts w:ascii="Century Schoolbook" w:hAnsi="Century Schoolbook"/>
          <w:sz w:val="27"/>
          <w:szCs w:val="27"/>
        </w:rPr>
        <w:t xml:space="preserve"> (3d Cir. 1999) 183 F.3d 208, 211 [challenge to a state statute prohibiting access to “ ‘</w:t>
      </w:r>
      <w:r w:rsidR="008115E0" w:rsidRPr="002E3857">
        <w:rPr>
          <w:rFonts w:ascii="Century Schoolbook" w:hAnsi="Century Schoolbook"/>
          <w:sz w:val="27"/>
          <w:szCs w:val="27"/>
        </w:rPr>
        <w:t>[</w:t>
      </w:r>
      <w:r w:rsidRPr="002E3857">
        <w:rPr>
          <w:rFonts w:ascii="Century Schoolbook" w:hAnsi="Century Schoolbook"/>
          <w:sz w:val="27"/>
          <w:szCs w:val="27"/>
        </w:rPr>
        <w:t>s</w:t>
      </w:r>
      <w:r w:rsidR="008115E0" w:rsidRPr="002E3857">
        <w:rPr>
          <w:rFonts w:ascii="Century Schoolbook" w:hAnsi="Century Schoolbook"/>
          <w:sz w:val="27"/>
          <w:szCs w:val="27"/>
        </w:rPr>
        <w:t>]</w:t>
      </w:r>
      <w:r w:rsidRPr="002E3857">
        <w:rPr>
          <w:rFonts w:ascii="Century Schoolbook" w:hAnsi="Century Schoolbook"/>
          <w:sz w:val="27"/>
          <w:szCs w:val="27"/>
        </w:rPr>
        <w:t xml:space="preserve">exually oriented material’ ” in a correctional facility for treatment of sex offenders, which the court construed in light of implementing regulations by the state corrections department]; </w:t>
      </w:r>
      <w:r w:rsidRPr="002E3857">
        <w:rPr>
          <w:rFonts w:ascii="Century Schoolbook" w:hAnsi="Century Schoolbook"/>
          <w:i/>
          <w:iCs/>
          <w:sz w:val="27"/>
          <w:szCs w:val="27"/>
        </w:rPr>
        <w:t>Amatel v. Reno</w:t>
      </w:r>
      <w:r w:rsidRPr="002E3857">
        <w:rPr>
          <w:rFonts w:ascii="Century Schoolbook" w:hAnsi="Century Schoolbook"/>
          <w:sz w:val="27"/>
          <w:szCs w:val="27"/>
        </w:rPr>
        <w:t xml:space="preserve"> (D.C. Cir. 1998) 156 F.3d 192, 196, 202 [challenge to a federal statute banning use of Bureau of Prisons funds to distribute sexually explicit material to prisoners, which the court construed in light of implementing regulations by the Bureau of Prisons]; </w:t>
      </w:r>
      <w:r w:rsidRPr="002E3857">
        <w:rPr>
          <w:rFonts w:ascii="Century Schoolbook" w:hAnsi="Century Schoolbook"/>
          <w:i/>
          <w:iCs/>
          <w:sz w:val="27"/>
          <w:szCs w:val="27"/>
        </w:rPr>
        <w:t xml:space="preserve">Matthews v. Morales </w:t>
      </w:r>
      <w:r w:rsidRPr="002E3857">
        <w:rPr>
          <w:rFonts w:ascii="Century Schoolbook" w:hAnsi="Century Schoolbook"/>
          <w:sz w:val="27"/>
          <w:szCs w:val="27"/>
        </w:rPr>
        <w:t xml:space="preserve">(5th Cir. 1994) 23 F.3d 118, 119 [challenge to a state statute barring convicted felons from changing their names].)  </w:t>
      </w:r>
    </w:p>
  </w:footnote>
  <w:footnote w:id="13">
    <w:p w14:paraId="3705A871"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b/>
          <w:bCs/>
          <w:position w:val="4"/>
          <w:sz w:val="27"/>
          <w:szCs w:val="27"/>
        </w:rPr>
        <w:t xml:space="preserve"> </w:t>
      </w:r>
      <w:r w:rsidRPr="002E3857">
        <w:rPr>
          <w:rFonts w:ascii="Century Schoolbook" w:hAnsi="Century Schoolbook"/>
          <w:sz w:val="27"/>
          <w:szCs w:val="27"/>
        </w:rPr>
        <w:tab/>
        <w:t xml:space="preserve">Martinez also argues that </w:t>
      </w:r>
      <w:r w:rsidRPr="002E3857">
        <w:rPr>
          <w:rFonts w:ascii="Century Schoolbook" w:hAnsi="Century Schoolbook"/>
          <w:i/>
          <w:iCs/>
          <w:sz w:val="27"/>
          <w:szCs w:val="27"/>
        </w:rPr>
        <w:t>Turner</w:t>
      </w:r>
      <w:r w:rsidRPr="002E3857">
        <w:rPr>
          <w:rFonts w:ascii="Century Schoolbook" w:hAnsi="Century Schoolbook"/>
          <w:sz w:val="27"/>
          <w:szCs w:val="27"/>
        </w:rPr>
        <w:t xml:space="preserve"> is inapplicable because it governs only the constitutional claims of convicted inmates and not the claims of pretrial detainees.  Courts have not, however, generally distinguished between the two types of claims in applying the </w:t>
      </w:r>
      <w:r w:rsidRPr="002E3857">
        <w:rPr>
          <w:rFonts w:ascii="Century Schoolbook" w:hAnsi="Century Schoolbook"/>
          <w:i/>
          <w:iCs/>
          <w:sz w:val="27"/>
          <w:szCs w:val="27"/>
        </w:rPr>
        <w:t>Turner</w:t>
      </w:r>
      <w:r w:rsidRPr="002E3857">
        <w:rPr>
          <w:rFonts w:ascii="Century Schoolbook" w:hAnsi="Century Schoolbook"/>
          <w:sz w:val="27"/>
          <w:szCs w:val="27"/>
        </w:rPr>
        <w:t xml:space="preserve"> test.  (See, e.g., </w:t>
      </w:r>
      <w:r w:rsidRPr="002E3857">
        <w:rPr>
          <w:rFonts w:ascii="Century Schoolbook" w:hAnsi="Century Schoolbook"/>
          <w:i/>
          <w:iCs/>
          <w:sz w:val="27"/>
          <w:szCs w:val="27"/>
        </w:rPr>
        <w:t>Florence v. Board of Chosen Freeholders of County of Burlington</w:t>
      </w:r>
      <w:r w:rsidRPr="002E3857">
        <w:rPr>
          <w:rFonts w:ascii="Century Schoolbook" w:hAnsi="Century Schoolbook"/>
          <w:sz w:val="27"/>
          <w:szCs w:val="27"/>
        </w:rPr>
        <w:t xml:space="preserve"> (2012) 566 U.S. 318, 330 [stating that the case, which involved searches of arrested persons held in jail pretrial, is “governed by the principles announced in </w:t>
      </w:r>
      <w:r w:rsidRPr="002E3857">
        <w:rPr>
          <w:rFonts w:ascii="Century Schoolbook" w:hAnsi="Century Schoolbook"/>
          <w:i/>
          <w:iCs/>
          <w:sz w:val="27"/>
          <w:szCs w:val="27"/>
        </w:rPr>
        <w:t>Turner</w:t>
      </w:r>
      <w:r w:rsidRPr="002E3857">
        <w:rPr>
          <w:rFonts w:ascii="Century Schoolbook" w:hAnsi="Century Schoolbook"/>
          <w:sz w:val="27"/>
          <w:szCs w:val="27"/>
        </w:rPr>
        <w:t xml:space="preserve">”]; </w:t>
      </w:r>
      <w:r w:rsidRPr="002E3857">
        <w:rPr>
          <w:rFonts w:ascii="Century Schoolbook" w:hAnsi="Century Schoolbook"/>
          <w:i/>
          <w:iCs/>
          <w:sz w:val="27"/>
          <w:szCs w:val="27"/>
        </w:rPr>
        <w:t>Bull v. City and County of San Francisco</w:t>
      </w:r>
      <w:r w:rsidRPr="002E3857">
        <w:rPr>
          <w:rFonts w:ascii="Century Schoolbook" w:hAnsi="Century Schoolbook"/>
          <w:sz w:val="27"/>
          <w:szCs w:val="27"/>
        </w:rPr>
        <w:t xml:space="preserve"> (9th Cir. 2010) 595 F.3d 964, 974, fn. 10 (en banc) [“We have never distinguished between pretrial detainees and prisoners in applying the </w:t>
      </w:r>
      <w:r w:rsidRPr="002E3857">
        <w:rPr>
          <w:rFonts w:ascii="Century Schoolbook" w:hAnsi="Century Schoolbook"/>
          <w:i/>
          <w:iCs/>
          <w:sz w:val="27"/>
          <w:szCs w:val="27"/>
        </w:rPr>
        <w:t>Turner</w:t>
      </w:r>
      <w:r w:rsidRPr="002E3857">
        <w:rPr>
          <w:rFonts w:ascii="Century Schoolbook" w:hAnsi="Century Schoolbook"/>
          <w:sz w:val="27"/>
          <w:szCs w:val="27"/>
        </w:rPr>
        <w:t xml:space="preserve"> test, but have identified the interests of correction facility officials responsible for pretrial detainees as being ‘penological’ in nature</w:t>
      </w:r>
      <w:r w:rsidR="001B0C63">
        <w:rPr>
          <w:rFonts w:ascii="Century Schoolbook" w:hAnsi="Century Schoolbook"/>
          <w:sz w:val="27"/>
          <w:szCs w:val="27"/>
        </w:rPr>
        <w:t>.</w:t>
      </w:r>
      <w:r w:rsidRPr="002E3857">
        <w:rPr>
          <w:rFonts w:ascii="Century Schoolbook" w:hAnsi="Century Schoolbook"/>
          <w:sz w:val="27"/>
          <w:szCs w:val="27"/>
        </w:rPr>
        <w:t>”].)  In any event, we need not resolve that issue</w:t>
      </w:r>
      <w:r w:rsidR="005E65F1">
        <w:rPr>
          <w:rFonts w:ascii="Century Schoolbook" w:hAnsi="Century Schoolbook"/>
          <w:sz w:val="27"/>
          <w:szCs w:val="27"/>
        </w:rPr>
        <w:t xml:space="preserve"> here</w:t>
      </w:r>
      <w:r w:rsidR="008B4829">
        <w:rPr>
          <w:rFonts w:ascii="Century Schoolbook" w:hAnsi="Century Schoolbook"/>
          <w:sz w:val="27"/>
          <w:szCs w:val="27"/>
        </w:rPr>
        <w:t xml:space="preserve">; </w:t>
      </w:r>
      <w:r w:rsidR="007F20BD">
        <w:rPr>
          <w:rFonts w:ascii="Century Schoolbook" w:hAnsi="Century Schoolbook"/>
          <w:sz w:val="27"/>
          <w:szCs w:val="27"/>
        </w:rPr>
        <w:t xml:space="preserve">as explained below, we will </w:t>
      </w:r>
      <w:r w:rsidRPr="002E3857">
        <w:rPr>
          <w:rFonts w:ascii="Century Schoolbook" w:hAnsi="Century Schoolbook"/>
          <w:sz w:val="27"/>
          <w:szCs w:val="27"/>
        </w:rPr>
        <w:t>assume without deciding that intermediate scrutiny applies.</w:t>
      </w:r>
    </w:p>
  </w:footnote>
  <w:footnote w:id="14">
    <w:p w14:paraId="3705A872"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sz w:val="27"/>
          <w:szCs w:val="27"/>
        </w:rPr>
        <w:t xml:space="preserve"> </w:t>
      </w:r>
      <w:r w:rsidRPr="002E3857">
        <w:rPr>
          <w:rFonts w:ascii="Century Schoolbook" w:hAnsi="Century Schoolbook"/>
          <w:sz w:val="27"/>
          <w:szCs w:val="27"/>
        </w:rPr>
        <w:tab/>
      </w:r>
      <w:bookmarkStart w:id="8" w:name="_Hlk126925829"/>
      <w:r w:rsidRPr="002E3857">
        <w:rPr>
          <w:rFonts w:ascii="Century Schoolbook" w:hAnsi="Century Schoolbook"/>
          <w:sz w:val="27"/>
          <w:szCs w:val="27"/>
        </w:rPr>
        <w:t>Although we determined that the reports concerned only “</w:t>
      </w:r>
      <w:r w:rsidR="008115E0" w:rsidRPr="002E3857">
        <w:rPr>
          <w:rFonts w:ascii="Century Schoolbook" w:hAnsi="Century Schoolbook"/>
          <w:sz w:val="27"/>
          <w:szCs w:val="27"/>
        </w:rPr>
        <w:t> ‘</w:t>
      </w:r>
      <w:r w:rsidRPr="002E3857">
        <w:rPr>
          <w:rFonts w:ascii="Century Schoolbook" w:hAnsi="Century Schoolbook"/>
          <w:sz w:val="27"/>
          <w:szCs w:val="27"/>
        </w:rPr>
        <w:t>commercial speech,</w:t>
      </w:r>
      <w:r w:rsidR="008115E0" w:rsidRPr="002E3857">
        <w:rPr>
          <w:rFonts w:ascii="Century Schoolbook" w:hAnsi="Century Schoolbook"/>
          <w:sz w:val="27"/>
          <w:szCs w:val="27"/>
        </w:rPr>
        <w:t>’ </w:t>
      </w:r>
      <w:r w:rsidRPr="002E3857">
        <w:rPr>
          <w:rFonts w:ascii="Century Schoolbook" w:hAnsi="Century Schoolbook"/>
          <w:sz w:val="27"/>
          <w:szCs w:val="27"/>
        </w:rPr>
        <w:t>” we concluded that labeling them as such “does not dispositively determine” the applicable level of scrutiny.  (</w:t>
      </w:r>
      <w:r w:rsidRPr="002E3857">
        <w:rPr>
          <w:rFonts w:ascii="Century Schoolbook" w:hAnsi="Century Schoolbook"/>
          <w:i/>
          <w:iCs/>
          <w:sz w:val="27"/>
          <w:szCs w:val="27"/>
        </w:rPr>
        <w:t>Beeman</w:t>
      </w:r>
      <w:r w:rsidRPr="002E3857">
        <w:rPr>
          <w:rFonts w:ascii="Century Schoolbook" w:hAnsi="Century Schoolbook"/>
          <w:sz w:val="27"/>
          <w:szCs w:val="27"/>
        </w:rPr>
        <w:t>,</w:t>
      </w:r>
      <w:r w:rsidRPr="002E3857">
        <w:rPr>
          <w:rFonts w:ascii="Century Schoolbook" w:hAnsi="Century Schoolbook"/>
          <w:i/>
          <w:iCs/>
          <w:sz w:val="27"/>
          <w:szCs w:val="27"/>
        </w:rPr>
        <w:t xml:space="preserve"> supra</w:t>
      </w:r>
      <w:r w:rsidRPr="002E3857">
        <w:rPr>
          <w:rFonts w:ascii="Century Schoolbook" w:hAnsi="Century Schoolbook"/>
          <w:sz w:val="27"/>
          <w:szCs w:val="27"/>
        </w:rPr>
        <w:t>, 58 Cal.4th at p. 353.)  We observed that the challenged law did not “impede the free flow of commercial information”; rather, the law enhanced the flow of commercial information by compelling disclosure of data that was relevant to the market participants.  (</w:t>
      </w:r>
      <w:r w:rsidRPr="002E3857">
        <w:rPr>
          <w:rFonts w:ascii="Century Schoolbook" w:hAnsi="Century Schoolbook"/>
          <w:i/>
          <w:iCs/>
          <w:sz w:val="27"/>
          <w:szCs w:val="27"/>
        </w:rPr>
        <w:t>Id.</w:t>
      </w:r>
      <w:r w:rsidRPr="002E3857">
        <w:rPr>
          <w:rFonts w:ascii="Century Schoolbook" w:hAnsi="Century Schoolbook"/>
          <w:sz w:val="27"/>
          <w:szCs w:val="27"/>
        </w:rPr>
        <w:t xml:space="preserve"> at p. 354.)  Because “the free speech interests implicated by compelled disclosure of ‘purely factual and uncontroversial information’ are ‘substantially weaker than those at stake when speech is actually suppressed,’ ” we held that rational basis review was appropriate under California’s free speech clause.  (</w:t>
      </w:r>
      <w:r w:rsidRPr="002E3857">
        <w:rPr>
          <w:rFonts w:ascii="Century Schoolbook" w:hAnsi="Century Schoolbook"/>
          <w:i/>
          <w:iCs/>
          <w:sz w:val="27"/>
          <w:szCs w:val="27"/>
        </w:rPr>
        <w:t>Id.</w:t>
      </w:r>
      <w:r w:rsidRPr="002E3857">
        <w:rPr>
          <w:rFonts w:ascii="Century Schoolbook" w:hAnsi="Century Schoolbook"/>
          <w:sz w:val="27"/>
          <w:szCs w:val="27"/>
        </w:rPr>
        <w:t xml:space="preserve"> at p. 356.)</w:t>
      </w:r>
      <w:bookmarkEnd w:id="8"/>
    </w:p>
  </w:footnote>
  <w:footnote w:id="15">
    <w:p w14:paraId="3705A873" w14:textId="77777777" w:rsidR="005B4CFC"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sz w:val="27"/>
          <w:szCs w:val="27"/>
        </w:rPr>
        <w:t xml:space="preserve"> </w:t>
      </w:r>
      <w:r w:rsidRPr="002E3857">
        <w:rPr>
          <w:rFonts w:ascii="Century Schoolbook" w:hAnsi="Century Schoolbook"/>
          <w:sz w:val="27"/>
          <w:szCs w:val="27"/>
        </w:rPr>
        <w:tab/>
        <w:t xml:space="preserve">Two other Justices joined Justice Powell’s plurality opinion.  Chief Justice Burger and Justice White concurred in the judgment only, but both agreed with the plurality that the speech at issue did not concern matters of public importance and thus did not warrant special constitutional protection.  (See </w:t>
      </w:r>
      <w:r w:rsidRPr="002E3857">
        <w:rPr>
          <w:rFonts w:ascii="Century Schoolbook" w:hAnsi="Century Schoolbook"/>
          <w:i/>
          <w:iCs/>
          <w:sz w:val="27"/>
          <w:szCs w:val="27"/>
        </w:rPr>
        <w:t>Dun &amp; Bradstreet</w:t>
      </w:r>
      <w:r w:rsidRPr="002E3857">
        <w:rPr>
          <w:rFonts w:ascii="Century Schoolbook" w:hAnsi="Century Schoolbook"/>
          <w:sz w:val="27"/>
          <w:szCs w:val="27"/>
        </w:rPr>
        <w:t xml:space="preserve">, </w:t>
      </w:r>
      <w:r w:rsidRPr="002E3857">
        <w:rPr>
          <w:rFonts w:ascii="Century Schoolbook" w:hAnsi="Century Schoolbook"/>
          <w:i/>
          <w:iCs/>
          <w:sz w:val="27"/>
          <w:szCs w:val="27"/>
        </w:rPr>
        <w:t>supra</w:t>
      </w:r>
      <w:r w:rsidRPr="002E3857">
        <w:rPr>
          <w:rFonts w:ascii="Century Schoolbook" w:hAnsi="Century Schoolbook"/>
          <w:sz w:val="27"/>
          <w:szCs w:val="27"/>
        </w:rPr>
        <w:t xml:space="preserve">, 472 U.S. at p. 764 (conc. opn. of Burger, C. J.); </w:t>
      </w:r>
      <w:r w:rsidRPr="002E3857">
        <w:rPr>
          <w:rFonts w:ascii="Century Schoolbook" w:hAnsi="Century Schoolbook"/>
          <w:i/>
          <w:iCs/>
          <w:sz w:val="27"/>
          <w:szCs w:val="27"/>
        </w:rPr>
        <w:t>id.</w:t>
      </w:r>
      <w:r w:rsidRPr="002E3857">
        <w:rPr>
          <w:rFonts w:ascii="Century Schoolbook" w:hAnsi="Century Schoolbook"/>
          <w:sz w:val="27"/>
          <w:szCs w:val="27"/>
        </w:rPr>
        <w:t xml:space="preserve"> at p. 774 (conc. opn. of White, J.).)</w:t>
      </w:r>
    </w:p>
  </w:footnote>
  <w:footnote w:id="16">
    <w:p w14:paraId="3705A874"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4"/>
          <w:sz w:val="27"/>
          <w:szCs w:val="27"/>
        </w:rPr>
        <w:t xml:space="preserve"> </w:t>
      </w:r>
      <w:r w:rsidRPr="002E3857">
        <w:rPr>
          <w:rFonts w:ascii="Century Schoolbook" w:hAnsi="Century Schoolbook"/>
          <w:sz w:val="27"/>
          <w:szCs w:val="27"/>
        </w:rPr>
        <w:tab/>
        <w:t xml:space="preserve">This conclusion is consistent with </w:t>
      </w:r>
      <w:r w:rsidRPr="002E3857">
        <w:rPr>
          <w:rFonts w:ascii="Century Schoolbook" w:hAnsi="Century Schoolbook"/>
          <w:i/>
          <w:iCs/>
          <w:sz w:val="27"/>
          <w:szCs w:val="27"/>
        </w:rPr>
        <w:t>Sorrell</w:t>
      </w:r>
      <w:r w:rsidRPr="002E3857">
        <w:rPr>
          <w:rFonts w:ascii="Century Schoolbook" w:hAnsi="Century Schoolbook"/>
          <w:sz w:val="27"/>
          <w:szCs w:val="27"/>
        </w:rPr>
        <w:t>,</w:t>
      </w:r>
      <w:r w:rsidRPr="002E3857">
        <w:rPr>
          <w:rFonts w:ascii="Century Schoolbook" w:hAnsi="Century Schoolbook"/>
          <w:i/>
          <w:iCs/>
          <w:sz w:val="27"/>
          <w:szCs w:val="27"/>
        </w:rPr>
        <w:t xml:space="preserve"> supra</w:t>
      </w:r>
      <w:r w:rsidRPr="002E3857">
        <w:rPr>
          <w:rFonts w:ascii="Century Schoolbook" w:hAnsi="Century Schoolbook"/>
          <w:sz w:val="27"/>
          <w:szCs w:val="27"/>
        </w:rPr>
        <w:t>, 564 U.S. 552, in which the high court employed what it described as “a special commercial speech inquiry” to evaluate the constitutionality of a state law that restricted the sale, disclosure, and use, for marketing purposes, of pharmacy records that revealed the prescribing practices of individual doctors.  (</w:t>
      </w:r>
      <w:r w:rsidRPr="002E3857">
        <w:rPr>
          <w:rFonts w:ascii="Century Schoolbook" w:hAnsi="Century Schoolbook"/>
          <w:i/>
          <w:iCs/>
          <w:sz w:val="27"/>
          <w:szCs w:val="27"/>
        </w:rPr>
        <w:t>Id.</w:t>
      </w:r>
      <w:r w:rsidRPr="002E3857">
        <w:rPr>
          <w:rFonts w:ascii="Century Schoolbook" w:hAnsi="Century Schoolbook"/>
          <w:sz w:val="27"/>
          <w:szCs w:val="27"/>
        </w:rPr>
        <w:t xml:space="preserve"> at p. 571; see </w:t>
      </w:r>
      <w:r w:rsidRPr="002E3857">
        <w:rPr>
          <w:rFonts w:ascii="Century Schoolbook" w:hAnsi="Century Schoolbook"/>
          <w:i/>
          <w:iCs/>
          <w:sz w:val="27"/>
          <w:szCs w:val="27"/>
        </w:rPr>
        <w:t>id.</w:t>
      </w:r>
      <w:r w:rsidRPr="002E3857">
        <w:rPr>
          <w:rFonts w:ascii="Century Schoolbook" w:hAnsi="Century Schoolbook"/>
          <w:sz w:val="27"/>
          <w:szCs w:val="27"/>
        </w:rPr>
        <w:t xml:space="preserve"> at pp. 571–572, citing, inter alia, </w:t>
      </w:r>
      <w:r w:rsidRPr="002E3857">
        <w:rPr>
          <w:rFonts w:ascii="Century Schoolbook" w:hAnsi="Century Schoolbook"/>
          <w:i/>
          <w:iCs/>
          <w:sz w:val="27"/>
          <w:szCs w:val="27"/>
        </w:rPr>
        <w:t>Central Hudson</w:t>
      </w:r>
      <w:r w:rsidRPr="002E3857">
        <w:rPr>
          <w:rFonts w:ascii="Century Schoolbook" w:hAnsi="Century Schoolbook"/>
          <w:sz w:val="27"/>
          <w:szCs w:val="27"/>
        </w:rPr>
        <w:t xml:space="preserve">, </w:t>
      </w:r>
      <w:r w:rsidRPr="002E3857">
        <w:rPr>
          <w:rFonts w:ascii="Century Schoolbook" w:hAnsi="Century Schoolbook"/>
          <w:i/>
          <w:iCs/>
          <w:sz w:val="27"/>
          <w:szCs w:val="27"/>
        </w:rPr>
        <w:t>supra</w:t>
      </w:r>
      <w:r w:rsidRPr="002E3857">
        <w:rPr>
          <w:rFonts w:ascii="Century Schoolbook" w:hAnsi="Century Schoolbook"/>
          <w:sz w:val="27"/>
          <w:szCs w:val="27"/>
        </w:rPr>
        <w:t>, 447 U.S. 557.)</w:t>
      </w:r>
    </w:p>
  </w:footnote>
  <w:footnote w:id="17">
    <w:p w14:paraId="3705A875" w14:textId="77777777" w:rsidR="0032758A"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position w:val="6"/>
          <w:sz w:val="27"/>
          <w:szCs w:val="27"/>
        </w:rPr>
        <w:t xml:space="preserve"> </w:t>
      </w:r>
      <w:r w:rsidRPr="002E3857">
        <w:rPr>
          <w:rFonts w:ascii="Century Schoolbook" w:hAnsi="Century Schoolbook"/>
          <w:sz w:val="27"/>
          <w:szCs w:val="27"/>
        </w:rPr>
        <w:tab/>
        <w:t xml:space="preserve">In </w:t>
      </w:r>
      <w:r w:rsidR="00A240B2" w:rsidRPr="002E3857">
        <w:rPr>
          <w:rFonts w:ascii="Century Schoolbook" w:hAnsi="Century Schoolbook"/>
          <w:sz w:val="27"/>
          <w:szCs w:val="27"/>
        </w:rPr>
        <w:t>recounting</w:t>
      </w:r>
      <w:r w:rsidRPr="002E3857">
        <w:rPr>
          <w:rFonts w:ascii="Century Schoolbook" w:hAnsi="Century Schoolbook"/>
          <w:sz w:val="27"/>
          <w:szCs w:val="27"/>
        </w:rPr>
        <w:t xml:space="preserve"> the history </w:t>
      </w:r>
      <w:r w:rsidR="00A240B2" w:rsidRPr="002E3857">
        <w:rPr>
          <w:rFonts w:ascii="Century Schoolbook" w:hAnsi="Century Schoolbook"/>
          <w:sz w:val="27"/>
          <w:szCs w:val="27"/>
        </w:rPr>
        <w:t>behind</w:t>
      </w:r>
      <w:r w:rsidRPr="002E3857">
        <w:rPr>
          <w:rFonts w:ascii="Century Schoolbook" w:hAnsi="Century Schoolbook"/>
          <w:sz w:val="27"/>
          <w:szCs w:val="27"/>
        </w:rPr>
        <w:t xml:space="preserve"> the Act and </w:t>
      </w:r>
      <w:r w:rsidR="00A240B2" w:rsidRPr="002E3857">
        <w:rPr>
          <w:rFonts w:ascii="Century Schoolbook" w:hAnsi="Century Schoolbook"/>
          <w:sz w:val="27"/>
          <w:szCs w:val="27"/>
        </w:rPr>
        <w:t>describing more recent examples of the prohibited notification arrangements</w:t>
      </w:r>
      <w:r w:rsidRPr="002E3857">
        <w:rPr>
          <w:rFonts w:ascii="Century Schoolbook" w:hAnsi="Century Schoolbook"/>
          <w:sz w:val="27"/>
          <w:szCs w:val="27"/>
        </w:rPr>
        <w:t>, the Attorney General</w:t>
      </w:r>
      <w:r w:rsidR="00A240B2" w:rsidRPr="002E3857">
        <w:rPr>
          <w:rFonts w:ascii="Century Schoolbook" w:hAnsi="Century Schoolbook"/>
          <w:sz w:val="27"/>
          <w:szCs w:val="27"/>
        </w:rPr>
        <w:t>’s briefs</w:t>
      </w:r>
      <w:r w:rsidRPr="002E3857">
        <w:rPr>
          <w:rFonts w:ascii="Century Schoolbook" w:hAnsi="Century Schoolbook"/>
          <w:sz w:val="27"/>
          <w:szCs w:val="27"/>
        </w:rPr>
        <w:t xml:space="preserve"> </w:t>
      </w:r>
      <w:r w:rsidR="00A240B2" w:rsidRPr="002E3857">
        <w:rPr>
          <w:rFonts w:ascii="Century Schoolbook" w:hAnsi="Century Schoolbook"/>
          <w:sz w:val="27"/>
          <w:szCs w:val="27"/>
        </w:rPr>
        <w:t>rely</w:t>
      </w:r>
      <w:r w:rsidRPr="002E3857">
        <w:rPr>
          <w:rFonts w:ascii="Century Schoolbook" w:hAnsi="Century Schoolbook"/>
          <w:sz w:val="27"/>
          <w:szCs w:val="27"/>
        </w:rPr>
        <w:t xml:space="preserve"> on materials such as newspaper and journal articles and government reports that are not formally part of the evidentiary record.  Martinez has not objected to our consideration of those materials, and at oral argument, Martinez’s counsel expressly agreed that we can consider the materials as an aid to our interpretation of the law.  (See, e.g., </w:t>
      </w:r>
      <w:r w:rsidRPr="002E3857">
        <w:rPr>
          <w:rFonts w:ascii="Century Schoolbook" w:hAnsi="Century Schoolbook"/>
          <w:i/>
          <w:iCs/>
          <w:sz w:val="27"/>
          <w:szCs w:val="27"/>
        </w:rPr>
        <w:t xml:space="preserve">Cabral v. Ralphs Grocery Co. </w:t>
      </w:r>
      <w:r w:rsidRPr="002E3857">
        <w:rPr>
          <w:rFonts w:ascii="Century Schoolbook" w:hAnsi="Century Schoolbook"/>
          <w:sz w:val="27"/>
          <w:szCs w:val="27"/>
        </w:rPr>
        <w:t xml:space="preserve">(2011) 51 Cal.4th 764, 776, fn. 5 [“In determining de novo what the law is, appellate courts routinely consider materials that were not introduced at the trial, including publications containing expressions of viewpoints and generalized statements about the state of the world.  These are considered not as a substitute for evidence but as an aid to the court’s work of interpreting, explaining and forming the law.”]; </w:t>
      </w:r>
      <w:r w:rsidRPr="002E3857">
        <w:rPr>
          <w:rFonts w:ascii="Century Schoolbook" w:hAnsi="Century Schoolbook"/>
          <w:i/>
          <w:iCs/>
          <w:sz w:val="27"/>
          <w:szCs w:val="27"/>
        </w:rPr>
        <w:t>Kasler v. Lockyer</w:t>
      </w:r>
      <w:r w:rsidRPr="002E3857">
        <w:rPr>
          <w:rFonts w:ascii="Century Schoolbook" w:hAnsi="Century Schoolbook"/>
          <w:sz w:val="27"/>
          <w:szCs w:val="27"/>
        </w:rPr>
        <w:t xml:space="preserve"> (2000) 23 Cal.4th 472, 482–483, 485–487 [relying on newspaper articles describing, among other things, the details of mass shootings and legislative negotiations in evaluating the state interests involved in a constitutional challenge to California’s assault weapons ban].)   </w:t>
      </w:r>
    </w:p>
  </w:footnote>
  <w:footnote w:id="18">
    <w:p w14:paraId="3705A876" w14:textId="77777777" w:rsidR="00CC0E38" w:rsidRPr="002E3857" w:rsidRDefault="00000000" w:rsidP="00426AED">
      <w:pPr>
        <w:pStyle w:val="FootnoteText"/>
        <w:spacing w:after="100" w:line="300" w:lineRule="exact"/>
        <w:jc w:val="both"/>
        <w:rPr>
          <w:rFonts w:ascii="Century Schoolbook" w:hAnsi="Century Schoolbook"/>
          <w:sz w:val="27"/>
          <w:szCs w:val="27"/>
        </w:rPr>
      </w:pPr>
      <w:r w:rsidRPr="002E3857">
        <w:rPr>
          <w:rStyle w:val="FootnoteReference"/>
          <w:rFonts w:ascii="Century Schoolbook" w:hAnsi="Century Schoolbook"/>
          <w:b/>
          <w:bCs/>
          <w:position w:val="4"/>
          <w:sz w:val="27"/>
          <w:szCs w:val="27"/>
        </w:rPr>
        <w:footnoteRef/>
      </w:r>
      <w:r w:rsidRPr="002E3857">
        <w:rPr>
          <w:rFonts w:ascii="Century Schoolbook" w:hAnsi="Century Schoolbook"/>
          <w:sz w:val="27"/>
          <w:szCs w:val="27"/>
        </w:rPr>
        <w:t xml:space="preserve"> </w:t>
      </w:r>
      <w:r w:rsidRPr="002E3857">
        <w:rPr>
          <w:rFonts w:ascii="Century Schoolbook" w:hAnsi="Century Schoolbook"/>
          <w:sz w:val="27"/>
          <w:szCs w:val="27"/>
        </w:rPr>
        <w:tab/>
        <w:t xml:space="preserve">See also </w:t>
      </w:r>
      <w:r w:rsidRPr="002E3857">
        <w:rPr>
          <w:rFonts w:ascii="Century Schoolbook" w:hAnsi="Century Schoolbook"/>
          <w:i/>
          <w:iCs/>
          <w:sz w:val="27"/>
          <w:szCs w:val="27"/>
        </w:rPr>
        <w:t>Bail Bondsmen Activities Probed</w:t>
      </w:r>
      <w:r w:rsidRPr="002E3857">
        <w:rPr>
          <w:rFonts w:ascii="Century Schoolbook" w:hAnsi="Century Schoolbook"/>
          <w:sz w:val="27"/>
          <w:szCs w:val="27"/>
        </w:rPr>
        <w:t>, San Pedro News-Pilot</w:t>
      </w:r>
      <w:r w:rsidR="00E172C5" w:rsidRPr="002E3857">
        <w:rPr>
          <w:rFonts w:ascii="Century Schoolbook" w:hAnsi="Century Schoolbook"/>
          <w:sz w:val="27"/>
          <w:szCs w:val="27"/>
        </w:rPr>
        <w:t xml:space="preserve"> (June 24, 1941)</w:t>
      </w:r>
      <w:r w:rsidRPr="002E3857">
        <w:rPr>
          <w:rFonts w:ascii="Century Schoolbook" w:hAnsi="Century Schoolbook"/>
          <w:sz w:val="27"/>
          <w:szCs w:val="27"/>
        </w:rPr>
        <w:t xml:space="preserve"> p. 2;</w:t>
      </w:r>
      <w:r w:rsidRPr="002E3857">
        <w:rPr>
          <w:rFonts w:ascii="Century Schoolbook" w:hAnsi="Century Schoolbook"/>
          <w:i/>
          <w:iCs/>
          <w:sz w:val="27"/>
          <w:szCs w:val="27"/>
        </w:rPr>
        <w:t xml:space="preserve"> Bail Broker Control Bill in Assembly</w:t>
      </w:r>
      <w:r w:rsidRPr="002E3857">
        <w:rPr>
          <w:rFonts w:ascii="Century Schoolbook" w:hAnsi="Century Schoolbook"/>
          <w:sz w:val="27"/>
          <w:szCs w:val="27"/>
        </w:rPr>
        <w:t xml:space="preserve">, Oakland Tribune, </w:t>
      </w:r>
      <w:r w:rsidRPr="002E3857">
        <w:rPr>
          <w:rFonts w:ascii="Century Schoolbook" w:hAnsi="Century Schoolbook"/>
          <w:i/>
          <w:iCs/>
          <w:sz w:val="27"/>
          <w:szCs w:val="27"/>
        </w:rPr>
        <w:t>supra</w:t>
      </w:r>
      <w:r w:rsidRPr="002E3857">
        <w:rPr>
          <w:rFonts w:ascii="Century Schoolbook" w:hAnsi="Century Schoolbook"/>
          <w:sz w:val="27"/>
          <w:szCs w:val="27"/>
        </w:rPr>
        <w:t>, at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860" w14:textId="77777777" w:rsidR="00041935" w:rsidRDefault="00000000" w:rsidP="00F3688D">
    <w:pPr>
      <w:pStyle w:val="Header"/>
      <w:spacing w:after="80"/>
      <w:jc w:val="center"/>
      <w:rPr>
        <w:rFonts w:ascii="Century Schoolbook" w:hAnsi="Century Schoolbook"/>
        <w:sz w:val="22"/>
        <w:szCs w:val="22"/>
      </w:rPr>
    </w:pPr>
    <w:r>
      <w:rPr>
        <w:rFonts w:ascii="Century Schoolbook" w:hAnsi="Century Schoolbook"/>
        <w:sz w:val="22"/>
        <w:szCs w:val="22"/>
      </w:rPr>
      <w:t>PEOPLE v. MARTINEZ</w:t>
    </w:r>
  </w:p>
  <w:p w14:paraId="3705A861" w14:textId="77777777" w:rsidR="00F3688D" w:rsidRPr="00F3688D" w:rsidRDefault="00000000" w:rsidP="00F3688D">
    <w:pPr>
      <w:pStyle w:val="Header"/>
      <w:spacing w:after="80"/>
      <w:jc w:val="center"/>
      <w:rPr>
        <w:rFonts w:ascii="Century Schoolbook" w:hAnsi="Century Schoolbook"/>
        <w:sz w:val="22"/>
        <w:szCs w:val="22"/>
      </w:rPr>
    </w:pPr>
    <w:r>
      <w:rPr>
        <w:rFonts w:ascii="Century Schoolbook" w:hAnsi="Century Schoolbook"/>
        <w:sz w:val="22"/>
        <w:szCs w:val="22"/>
      </w:rPr>
      <w:t>Opinion of the Court by Kruger,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6E3C" w14:textId="564BADD3" w:rsidR="00AB5991" w:rsidRPr="00AB5991" w:rsidRDefault="00AB5991" w:rsidP="00AB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142"/>
    <w:multiLevelType w:val="hybridMultilevel"/>
    <w:tmpl w:val="18561490"/>
    <w:lvl w:ilvl="0" w:tplc="5D18D42E">
      <w:start w:val="1"/>
      <w:numFmt w:val="lowerRoman"/>
      <w:pStyle w:val="Heading4"/>
      <w:lvlText w:val="%1."/>
      <w:lvlJc w:val="right"/>
      <w:pPr>
        <w:ind w:left="1890" w:hanging="360"/>
      </w:pPr>
      <w:rPr>
        <w:rFonts w:ascii="Times New Roman" w:hAnsi="Times New Roman" w:cs="Times New Roman" w:hint="default"/>
      </w:rPr>
    </w:lvl>
    <w:lvl w:ilvl="1" w:tplc="94109E14" w:tentative="1">
      <w:start w:val="1"/>
      <w:numFmt w:val="lowerLetter"/>
      <w:lvlText w:val="%2."/>
      <w:lvlJc w:val="left"/>
      <w:pPr>
        <w:ind w:left="2610" w:hanging="360"/>
      </w:pPr>
    </w:lvl>
    <w:lvl w:ilvl="2" w:tplc="0CA6BAE2" w:tentative="1">
      <w:start w:val="1"/>
      <w:numFmt w:val="lowerRoman"/>
      <w:lvlText w:val="%3."/>
      <w:lvlJc w:val="right"/>
      <w:pPr>
        <w:ind w:left="3330" w:hanging="180"/>
      </w:pPr>
    </w:lvl>
    <w:lvl w:ilvl="3" w:tplc="E398EB16" w:tentative="1">
      <w:start w:val="1"/>
      <w:numFmt w:val="decimal"/>
      <w:lvlText w:val="%4."/>
      <w:lvlJc w:val="left"/>
      <w:pPr>
        <w:ind w:left="4050" w:hanging="360"/>
      </w:pPr>
    </w:lvl>
    <w:lvl w:ilvl="4" w:tplc="59880EE6" w:tentative="1">
      <w:start w:val="1"/>
      <w:numFmt w:val="lowerLetter"/>
      <w:lvlText w:val="%5."/>
      <w:lvlJc w:val="left"/>
      <w:pPr>
        <w:ind w:left="4770" w:hanging="360"/>
      </w:pPr>
    </w:lvl>
    <w:lvl w:ilvl="5" w:tplc="085E6CB0" w:tentative="1">
      <w:start w:val="1"/>
      <w:numFmt w:val="lowerRoman"/>
      <w:lvlText w:val="%6."/>
      <w:lvlJc w:val="right"/>
      <w:pPr>
        <w:ind w:left="5490" w:hanging="180"/>
      </w:pPr>
    </w:lvl>
    <w:lvl w:ilvl="6" w:tplc="38CA1D3A" w:tentative="1">
      <w:start w:val="1"/>
      <w:numFmt w:val="decimal"/>
      <w:lvlText w:val="%7."/>
      <w:lvlJc w:val="left"/>
      <w:pPr>
        <w:ind w:left="6210" w:hanging="360"/>
      </w:pPr>
    </w:lvl>
    <w:lvl w:ilvl="7" w:tplc="997CADE8" w:tentative="1">
      <w:start w:val="1"/>
      <w:numFmt w:val="lowerLetter"/>
      <w:lvlText w:val="%8."/>
      <w:lvlJc w:val="left"/>
      <w:pPr>
        <w:ind w:left="6930" w:hanging="360"/>
      </w:pPr>
    </w:lvl>
    <w:lvl w:ilvl="8" w:tplc="40BAA7E2" w:tentative="1">
      <w:start w:val="1"/>
      <w:numFmt w:val="lowerRoman"/>
      <w:lvlText w:val="%9."/>
      <w:lvlJc w:val="right"/>
      <w:pPr>
        <w:ind w:left="7650" w:hanging="180"/>
      </w:pPr>
    </w:lvl>
  </w:abstractNum>
  <w:num w:numId="1" w16cid:durableId="15241718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B"/>
    <w:rsid w:val="00000615"/>
    <w:rsid w:val="000014FB"/>
    <w:rsid w:val="000023A2"/>
    <w:rsid w:val="00002DE6"/>
    <w:rsid w:val="0000487D"/>
    <w:rsid w:val="00006DEA"/>
    <w:rsid w:val="0001012E"/>
    <w:rsid w:val="00011B06"/>
    <w:rsid w:val="000126D9"/>
    <w:rsid w:val="00012EB7"/>
    <w:rsid w:val="00014DCB"/>
    <w:rsid w:val="000158E1"/>
    <w:rsid w:val="00015C35"/>
    <w:rsid w:val="000171DD"/>
    <w:rsid w:val="00017F85"/>
    <w:rsid w:val="0002057A"/>
    <w:rsid w:val="00024C1D"/>
    <w:rsid w:val="00025470"/>
    <w:rsid w:val="0003241C"/>
    <w:rsid w:val="00033C90"/>
    <w:rsid w:val="00034582"/>
    <w:rsid w:val="000349FE"/>
    <w:rsid w:val="00035A98"/>
    <w:rsid w:val="00035E7D"/>
    <w:rsid w:val="000363DF"/>
    <w:rsid w:val="0004054A"/>
    <w:rsid w:val="00041764"/>
    <w:rsid w:val="00041935"/>
    <w:rsid w:val="00041F45"/>
    <w:rsid w:val="000438B4"/>
    <w:rsid w:val="00045367"/>
    <w:rsid w:val="00046638"/>
    <w:rsid w:val="00046CA0"/>
    <w:rsid w:val="00050060"/>
    <w:rsid w:val="0005079A"/>
    <w:rsid w:val="00050C70"/>
    <w:rsid w:val="000514F0"/>
    <w:rsid w:val="00051610"/>
    <w:rsid w:val="00051999"/>
    <w:rsid w:val="000530D2"/>
    <w:rsid w:val="000534DB"/>
    <w:rsid w:val="00053EE1"/>
    <w:rsid w:val="000572B0"/>
    <w:rsid w:val="00063031"/>
    <w:rsid w:val="000658A3"/>
    <w:rsid w:val="00075604"/>
    <w:rsid w:val="000758C7"/>
    <w:rsid w:val="00076267"/>
    <w:rsid w:val="00077682"/>
    <w:rsid w:val="00082111"/>
    <w:rsid w:val="00082893"/>
    <w:rsid w:val="000830AB"/>
    <w:rsid w:val="00083AFC"/>
    <w:rsid w:val="000867B8"/>
    <w:rsid w:val="00086EC0"/>
    <w:rsid w:val="00090241"/>
    <w:rsid w:val="000907AA"/>
    <w:rsid w:val="00091D11"/>
    <w:rsid w:val="00095EBA"/>
    <w:rsid w:val="000962AB"/>
    <w:rsid w:val="0009720B"/>
    <w:rsid w:val="00097420"/>
    <w:rsid w:val="000A18D4"/>
    <w:rsid w:val="000A2F09"/>
    <w:rsid w:val="000A3C28"/>
    <w:rsid w:val="000A4475"/>
    <w:rsid w:val="000A661D"/>
    <w:rsid w:val="000B1414"/>
    <w:rsid w:val="000B2363"/>
    <w:rsid w:val="000B417F"/>
    <w:rsid w:val="000B4843"/>
    <w:rsid w:val="000B55CE"/>
    <w:rsid w:val="000B59AD"/>
    <w:rsid w:val="000B5A50"/>
    <w:rsid w:val="000B618B"/>
    <w:rsid w:val="000B76ED"/>
    <w:rsid w:val="000B7870"/>
    <w:rsid w:val="000C0683"/>
    <w:rsid w:val="000C196B"/>
    <w:rsid w:val="000C230D"/>
    <w:rsid w:val="000C5216"/>
    <w:rsid w:val="000C557E"/>
    <w:rsid w:val="000C5585"/>
    <w:rsid w:val="000C5A59"/>
    <w:rsid w:val="000C653B"/>
    <w:rsid w:val="000C65A2"/>
    <w:rsid w:val="000C680A"/>
    <w:rsid w:val="000D0735"/>
    <w:rsid w:val="000D208F"/>
    <w:rsid w:val="000D24FB"/>
    <w:rsid w:val="000D2BA9"/>
    <w:rsid w:val="000D3419"/>
    <w:rsid w:val="000D3C96"/>
    <w:rsid w:val="000D4FAC"/>
    <w:rsid w:val="000E05E4"/>
    <w:rsid w:val="000E0C3E"/>
    <w:rsid w:val="000E1CF3"/>
    <w:rsid w:val="000E25E7"/>
    <w:rsid w:val="000E2E95"/>
    <w:rsid w:val="000E2FB6"/>
    <w:rsid w:val="000E3379"/>
    <w:rsid w:val="000E4188"/>
    <w:rsid w:val="000E642E"/>
    <w:rsid w:val="000F14A0"/>
    <w:rsid w:val="000F1AF5"/>
    <w:rsid w:val="000F2FE9"/>
    <w:rsid w:val="000F3DBB"/>
    <w:rsid w:val="000F4A86"/>
    <w:rsid w:val="000F5C5E"/>
    <w:rsid w:val="000F76DB"/>
    <w:rsid w:val="001010C1"/>
    <w:rsid w:val="00104B5C"/>
    <w:rsid w:val="00105364"/>
    <w:rsid w:val="001073D5"/>
    <w:rsid w:val="00110859"/>
    <w:rsid w:val="00111170"/>
    <w:rsid w:val="00111FE7"/>
    <w:rsid w:val="00112066"/>
    <w:rsid w:val="00112C4B"/>
    <w:rsid w:val="0011366A"/>
    <w:rsid w:val="00115B53"/>
    <w:rsid w:val="00117C42"/>
    <w:rsid w:val="00120EA0"/>
    <w:rsid w:val="00121D92"/>
    <w:rsid w:val="001221C5"/>
    <w:rsid w:val="00122F6D"/>
    <w:rsid w:val="001233FD"/>
    <w:rsid w:val="0012403C"/>
    <w:rsid w:val="0012689E"/>
    <w:rsid w:val="00126D1C"/>
    <w:rsid w:val="00126DA6"/>
    <w:rsid w:val="00126E00"/>
    <w:rsid w:val="00127F21"/>
    <w:rsid w:val="001302DA"/>
    <w:rsid w:val="001309B4"/>
    <w:rsid w:val="00130EBB"/>
    <w:rsid w:val="001311DF"/>
    <w:rsid w:val="00134E95"/>
    <w:rsid w:val="00141779"/>
    <w:rsid w:val="001450E5"/>
    <w:rsid w:val="00145883"/>
    <w:rsid w:val="00147480"/>
    <w:rsid w:val="00150BF6"/>
    <w:rsid w:val="0015269B"/>
    <w:rsid w:val="001528AD"/>
    <w:rsid w:val="001530CB"/>
    <w:rsid w:val="00154653"/>
    <w:rsid w:val="001553F3"/>
    <w:rsid w:val="0015667D"/>
    <w:rsid w:val="0015688D"/>
    <w:rsid w:val="00157046"/>
    <w:rsid w:val="00160334"/>
    <w:rsid w:val="00162C5F"/>
    <w:rsid w:val="001647A9"/>
    <w:rsid w:val="00165913"/>
    <w:rsid w:val="00166500"/>
    <w:rsid w:val="00166515"/>
    <w:rsid w:val="0016725B"/>
    <w:rsid w:val="00167654"/>
    <w:rsid w:val="00167EF4"/>
    <w:rsid w:val="00170D0D"/>
    <w:rsid w:val="00171272"/>
    <w:rsid w:val="00171658"/>
    <w:rsid w:val="001735F1"/>
    <w:rsid w:val="00173704"/>
    <w:rsid w:val="00177EE6"/>
    <w:rsid w:val="00181939"/>
    <w:rsid w:val="00182131"/>
    <w:rsid w:val="0018297B"/>
    <w:rsid w:val="001830F1"/>
    <w:rsid w:val="001839D1"/>
    <w:rsid w:val="00186F64"/>
    <w:rsid w:val="00187116"/>
    <w:rsid w:val="00187775"/>
    <w:rsid w:val="0019032E"/>
    <w:rsid w:val="0019162D"/>
    <w:rsid w:val="00192B13"/>
    <w:rsid w:val="00193595"/>
    <w:rsid w:val="00195D0C"/>
    <w:rsid w:val="00195EA2"/>
    <w:rsid w:val="00197B5E"/>
    <w:rsid w:val="001A0F1F"/>
    <w:rsid w:val="001A30DA"/>
    <w:rsid w:val="001A3621"/>
    <w:rsid w:val="001A49A1"/>
    <w:rsid w:val="001A512B"/>
    <w:rsid w:val="001A535C"/>
    <w:rsid w:val="001A5A6A"/>
    <w:rsid w:val="001A5E47"/>
    <w:rsid w:val="001A6109"/>
    <w:rsid w:val="001A664F"/>
    <w:rsid w:val="001B0919"/>
    <w:rsid w:val="001B0C63"/>
    <w:rsid w:val="001B0CE3"/>
    <w:rsid w:val="001B0E26"/>
    <w:rsid w:val="001B10E5"/>
    <w:rsid w:val="001B1B9A"/>
    <w:rsid w:val="001B28B1"/>
    <w:rsid w:val="001B39AA"/>
    <w:rsid w:val="001B41CE"/>
    <w:rsid w:val="001B4A96"/>
    <w:rsid w:val="001B5EE0"/>
    <w:rsid w:val="001B6015"/>
    <w:rsid w:val="001B69E1"/>
    <w:rsid w:val="001B771A"/>
    <w:rsid w:val="001C0DCF"/>
    <w:rsid w:val="001C4335"/>
    <w:rsid w:val="001C6EF8"/>
    <w:rsid w:val="001C7A70"/>
    <w:rsid w:val="001C7E1A"/>
    <w:rsid w:val="001D16CE"/>
    <w:rsid w:val="001D3479"/>
    <w:rsid w:val="001D40A1"/>
    <w:rsid w:val="001D40E3"/>
    <w:rsid w:val="001D4E98"/>
    <w:rsid w:val="001D6A33"/>
    <w:rsid w:val="001D7423"/>
    <w:rsid w:val="001D75CA"/>
    <w:rsid w:val="001D7F66"/>
    <w:rsid w:val="001E188C"/>
    <w:rsid w:val="001E2A1C"/>
    <w:rsid w:val="001E2C0B"/>
    <w:rsid w:val="001E2ED3"/>
    <w:rsid w:val="001E5750"/>
    <w:rsid w:val="001E723D"/>
    <w:rsid w:val="001E7A88"/>
    <w:rsid w:val="001F0F5F"/>
    <w:rsid w:val="001F1607"/>
    <w:rsid w:val="001F2A08"/>
    <w:rsid w:val="001F4B62"/>
    <w:rsid w:val="001F4E6B"/>
    <w:rsid w:val="001F5D64"/>
    <w:rsid w:val="001F71A1"/>
    <w:rsid w:val="002008CB"/>
    <w:rsid w:val="00202829"/>
    <w:rsid w:val="00202BE2"/>
    <w:rsid w:val="002032F3"/>
    <w:rsid w:val="00204899"/>
    <w:rsid w:val="00205063"/>
    <w:rsid w:val="00207768"/>
    <w:rsid w:val="00212F5C"/>
    <w:rsid w:val="0021614D"/>
    <w:rsid w:val="00216589"/>
    <w:rsid w:val="00220601"/>
    <w:rsid w:val="0022168B"/>
    <w:rsid w:val="0022660C"/>
    <w:rsid w:val="00230B24"/>
    <w:rsid w:val="00233A64"/>
    <w:rsid w:val="00234877"/>
    <w:rsid w:val="00234D7B"/>
    <w:rsid w:val="0023554E"/>
    <w:rsid w:val="00235CE5"/>
    <w:rsid w:val="00235E9F"/>
    <w:rsid w:val="0023627A"/>
    <w:rsid w:val="00236A95"/>
    <w:rsid w:val="0023727D"/>
    <w:rsid w:val="00237C0F"/>
    <w:rsid w:val="00241AC6"/>
    <w:rsid w:val="00241E7A"/>
    <w:rsid w:val="002435AA"/>
    <w:rsid w:val="002445CE"/>
    <w:rsid w:val="00244CBC"/>
    <w:rsid w:val="002457CB"/>
    <w:rsid w:val="00251355"/>
    <w:rsid w:val="00252E4E"/>
    <w:rsid w:val="00254C02"/>
    <w:rsid w:val="00255D83"/>
    <w:rsid w:val="002630C7"/>
    <w:rsid w:val="0026356C"/>
    <w:rsid w:val="00263DE7"/>
    <w:rsid w:val="00264720"/>
    <w:rsid w:val="00264ED0"/>
    <w:rsid w:val="00265920"/>
    <w:rsid w:val="00265E07"/>
    <w:rsid w:val="0026613D"/>
    <w:rsid w:val="002668E1"/>
    <w:rsid w:val="00266BA3"/>
    <w:rsid w:val="0026794C"/>
    <w:rsid w:val="00272DF0"/>
    <w:rsid w:val="00273FEB"/>
    <w:rsid w:val="00275DF6"/>
    <w:rsid w:val="002776C4"/>
    <w:rsid w:val="00280F8B"/>
    <w:rsid w:val="002819FF"/>
    <w:rsid w:val="0028256E"/>
    <w:rsid w:val="002826D3"/>
    <w:rsid w:val="00284B49"/>
    <w:rsid w:val="00284C5A"/>
    <w:rsid w:val="00285D1D"/>
    <w:rsid w:val="00285D3F"/>
    <w:rsid w:val="002871A3"/>
    <w:rsid w:val="00291DA9"/>
    <w:rsid w:val="00292BCF"/>
    <w:rsid w:val="0029454F"/>
    <w:rsid w:val="00296E5F"/>
    <w:rsid w:val="002A11B7"/>
    <w:rsid w:val="002A404D"/>
    <w:rsid w:val="002A4BB0"/>
    <w:rsid w:val="002A5120"/>
    <w:rsid w:val="002A59F1"/>
    <w:rsid w:val="002A5AB2"/>
    <w:rsid w:val="002B06B8"/>
    <w:rsid w:val="002B197E"/>
    <w:rsid w:val="002B3BFA"/>
    <w:rsid w:val="002B4370"/>
    <w:rsid w:val="002B505D"/>
    <w:rsid w:val="002C14FA"/>
    <w:rsid w:val="002C1F11"/>
    <w:rsid w:val="002C27A5"/>
    <w:rsid w:val="002C3EB4"/>
    <w:rsid w:val="002C4B50"/>
    <w:rsid w:val="002C4D79"/>
    <w:rsid w:val="002C59E7"/>
    <w:rsid w:val="002C65AB"/>
    <w:rsid w:val="002D0F7D"/>
    <w:rsid w:val="002D26B0"/>
    <w:rsid w:val="002D2A69"/>
    <w:rsid w:val="002D2F36"/>
    <w:rsid w:val="002D502A"/>
    <w:rsid w:val="002E085B"/>
    <w:rsid w:val="002E0B4C"/>
    <w:rsid w:val="002E1916"/>
    <w:rsid w:val="002E26DC"/>
    <w:rsid w:val="002E355B"/>
    <w:rsid w:val="002E3857"/>
    <w:rsid w:val="002E4955"/>
    <w:rsid w:val="002E4BAA"/>
    <w:rsid w:val="002E5105"/>
    <w:rsid w:val="002E5FB7"/>
    <w:rsid w:val="002E6614"/>
    <w:rsid w:val="002E6FAA"/>
    <w:rsid w:val="002E7A88"/>
    <w:rsid w:val="002F1454"/>
    <w:rsid w:val="002F19B9"/>
    <w:rsid w:val="002F19C6"/>
    <w:rsid w:val="002F2044"/>
    <w:rsid w:val="002F41E5"/>
    <w:rsid w:val="002F4AB4"/>
    <w:rsid w:val="002F5A67"/>
    <w:rsid w:val="002F731E"/>
    <w:rsid w:val="002F7872"/>
    <w:rsid w:val="003008E5"/>
    <w:rsid w:val="00300E56"/>
    <w:rsid w:val="00301900"/>
    <w:rsid w:val="00304BA0"/>
    <w:rsid w:val="0030554A"/>
    <w:rsid w:val="003108D7"/>
    <w:rsid w:val="00311ED1"/>
    <w:rsid w:val="00312D11"/>
    <w:rsid w:val="003131E5"/>
    <w:rsid w:val="00314DB1"/>
    <w:rsid w:val="00315745"/>
    <w:rsid w:val="00315AC7"/>
    <w:rsid w:val="00315BE2"/>
    <w:rsid w:val="00315D6E"/>
    <w:rsid w:val="00317AEE"/>
    <w:rsid w:val="00317C0E"/>
    <w:rsid w:val="003211F5"/>
    <w:rsid w:val="003213F1"/>
    <w:rsid w:val="00321B61"/>
    <w:rsid w:val="00324D91"/>
    <w:rsid w:val="00324FA5"/>
    <w:rsid w:val="00326088"/>
    <w:rsid w:val="00326BC4"/>
    <w:rsid w:val="00326CDC"/>
    <w:rsid w:val="0032758A"/>
    <w:rsid w:val="0033034A"/>
    <w:rsid w:val="00333E29"/>
    <w:rsid w:val="00334B9F"/>
    <w:rsid w:val="00334BC6"/>
    <w:rsid w:val="00335A38"/>
    <w:rsid w:val="0033683F"/>
    <w:rsid w:val="0033784C"/>
    <w:rsid w:val="0033784D"/>
    <w:rsid w:val="003409E5"/>
    <w:rsid w:val="0034327F"/>
    <w:rsid w:val="00344B7D"/>
    <w:rsid w:val="00345FC3"/>
    <w:rsid w:val="0035026B"/>
    <w:rsid w:val="003512FC"/>
    <w:rsid w:val="0035286B"/>
    <w:rsid w:val="0035312F"/>
    <w:rsid w:val="0035325F"/>
    <w:rsid w:val="003532D6"/>
    <w:rsid w:val="0036499C"/>
    <w:rsid w:val="00365224"/>
    <w:rsid w:val="0036768A"/>
    <w:rsid w:val="00367C06"/>
    <w:rsid w:val="00370297"/>
    <w:rsid w:val="003717A2"/>
    <w:rsid w:val="003725E8"/>
    <w:rsid w:val="003751DA"/>
    <w:rsid w:val="00377C4A"/>
    <w:rsid w:val="00380D86"/>
    <w:rsid w:val="00380DE7"/>
    <w:rsid w:val="003810E7"/>
    <w:rsid w:val="00385DF8"/>
    <w:rsid w:val="003868BC"/>
    <w:rsid w:val="0039094F"/>
    <w:rsid w:val="00390BEE"/>
    <w:rsid w:val="00391414"/>
    <w:rsid w:val="003914A6"/>
    <w:rsid w:val="00391B2C"/>
    <w:rsid w:val="003944A1"/>
    <w:rsid w:val="0039462A"/>
    <w:rsid w:val="00394F51"/>
    <w:rsid w:val="00396333"/>
    <w:rsid w:val="003A10AC"/>
    <w:rsid w:val="003A11CF"/>
    <w:rsid w:val="003A24EB"/>
    <w:rsid w:val="003A3B99"/>
    <w:rsid w:val="003A3DD6"/>
    <w:rsid w:val="003A68AE"/>
    <w:rsid w:val="003A6BF2"/>
    <w:rsid w:val="003A6EB6"/>
    <w:rsid w:val="003B08E3"/>
    <w:rsid w:val="003B1CA5"/>
    <w:rsid w:val="003B2FF6"/>
    <w:rsid w:val="003B3A33"/>
    <w:rsid w:val="003B43FF"/>
    <w:rsid w:val="003B4BDB"/>
    <w:rsid w:val="003B5C06"/>
    <w:rsid w:val="003B607C"/>
    <w:rsid w:val="003B73F4"/>
    <w:rsid w:val="003C1B0B"/>
    <w:rsid w:val="003C30BE"/>
    <w:rsid w:val="003C347B"/>
    <w:rsid w:val="003C5350"/>
    <w:rsid w:val="003C6F2A"/>
    <w:rsid w:val="003D2D84"/>
    <w:rsid w:val="003D56D2"/>
    <w:rsid w:val="003D5B5D"/>
    <w:rsid w:val="003D5C96"/>
    <w:rsid w:val="003D5F94"/>
    <w:rsid w:val="003D6C81"/>
    <w:rsid w:val="003E4275"/>
    <w:rsid w:val="003E54A8"/>
    <w:rsid w:val="003E5512"/>
    <w:rsid w:val="003E7793"/>
    <w:rsid w:val="003E7C85"/>
    <w:rsid w:val="003E7E97"/>
    <w:rsid w:val="003F0B38"/>
    <w:rsid w:val="003F4098"/>
    <w:rsid w:val="003F4572"/>
    <w:rsid w:val="003F458A"/>
    <w:rsid w:val="003F4A3D"/>
    <w:rsid w:val="003F7558"/>
    <w:rsid w:val="004004F0"/>
    <w:rsid w:val="00400FFC"/>
    <w:rsid w:val="00401D28"/>
    <w:rsid w:val="00402E5A"/>
    <w:rsid w:val="00403E20"/>
    <w:rsid w:val="004048FB"/>
    <w:rsid w:val="004053BB"/>
    <w:rsid w:val="004055D7"/>
    <w:rsid w:val="004072AC"/>
    <w:rsid w:val="004073C6"/>
    <w:rsid w:val="004109B0"/>
    <w:rsid w:val="00410D20"/>
    <w:rsid w:val="004114F3"/>
    <w:rsid w:val="00413735"/>
    <w:rsid w:val="00413814"/>
    <w:rsid w:val="004143DA"/>
    <w:rsid w:val="0041475E"/>
    <w:rsid w:val="00416F61"/>
    <w:rsid w:val="00420A34"/>
    <w:rsid w:val="00420E2D"/>
    <w:rsid w:val="004254B3"/>
    <w:rsid w:val="00426AED"/>
    <w:rsid w:val="004303FF"/>
    <w:rsid w:val="004306C6"/>
    <w:rsid w:val="00432B14"/>
    <w:rsid w:val="00433932"/>
    <w:rsid w:val="00433CEA"/>
    <w:rsid w:val="00435AAE"/>
    <w:rsid w:val="00435AD0"/>
    <w:rsid w:val="00436E2C"/>
    <w:rsid w:val="00440FBA"/>
    <w:rsid w:val="00441332"/>
    <w:rsid w:val="00441AC0"/>
    <w:rsid w:val="004429A4"/>
    <w:rsid w:val="00442A60"/>
    <w:rsid w:val="00443E29"/>
    <w:rsid w:val="0044504A"/>
    <w:rsid w:val="0044511F"/>
    <w:rsid w:val="00447436"/>
    <w:rsid w:val="004479F4"/>
    <w:rsid w:val="004521EC"/>
    <w:rsid w:val="00453D76"/>
    <w:rsid w:val="0045459C"/>
    <w:rsid w:val="00454C8E"/>
    <w:rsid w:val="00454F21"/>
    <w:rsid w:val="00457D50"/>
    <w:rsid w:val="00463D9E"/>
    <w:rsid w:val="004644FA"/>
    <w:rsid w:val="00465C59"/>
    <w:rsid w:val="00466F24"/>
    <w:rsid w:val="004676BB"/>
    <w:rsid w:val="00467CFB"/>
    <w:rsid w:val="00470F75"/>
    <w:rsid w:val="00471D07"/>
    <w:rsid w:val="00472151"/>
    <w:rsid w:val="004723C1"/>
    <w:rsid w:val="004762F2"/>
    <w:rsid w:val="00477778"/>
    <w:rsid w:val="004801B1"/>
    <w:rsid w:val="00481170"/>
    <w:rsid w:val="00481879"/>
    <w:rsid w:val="00482AB2"/>
    <w:rsid w:val="00487110"/>
    <w:rsid w:val="00487A02"/>
    <w:rsid w:val="004919A4"/>
    <w:rsid w:val="00492165"/>
    <w:rsid w:val="00492BBD"/>
    <w:rsid w:val="0049450E"/>
    <w:rsid w:val="0049690B"/>
    <w:rsid w:val="00497624"/>
    <w:rsid w:val="004A2386"/>
    <w:rsid w:val="004A2A2F"/>
    <w:rsid w:val="004A304A"/>
    <w:rsid w:val="004A3D85"/>
    <w:rsid w:val="004A4B27"/>
    <w:rsid w:val="004A5E65"/>
    <w:rsid w:val="004B0C41"/>
    <w:rsid w:val="004B118E"/>
    <w:rsid w:val="004B1284"/>
    <w:rsid w:val="004B14B0"/>
    <w:rsid w:val="004B2391"/>
    <w:rsid w:val="004B29D2"/>
    <w:rsid w:val="004B36A5"/>
    <w:rsid w:val="004B5830"/>
    <w:rsid w:val="004C296A"/>
    <w:rsid w:val="004C2A65"/>
    <w:rsid w:val="004C43DB"/>
    <w:rsid w:val="004C55E9"/>
    <w:rsid w:val="004C5B58"/>
    <w:rsid w:val="004C65E4"/>
    <w:rsid w:val="004C74FA"/>
    <w:rsid w:val="004C7ED7"/>
    <w:rsid w:val="004D18CC"/>
    <w:rsid w:val="004D4330"/>
    <w:rsid w:val="004D4FB8"/>
    <w:rsid w:val="004D5603"/>
    <w:rsid w:val="004D6793"/>
    <w:rsid w:val="004D68ED"/>
    <w:rsid w:val="004D6E73"/>
    <w:rsid w:val="004D7275"/>
    <w:rsid w:val="004D75F3"/>
    <w:rsid w:val="004E02B8"/>
    <w:rsid w:val="004F0004"/>
    <w:rsid w:val="004F0932"/>
    <w:rsid w:val="004F1E91"/>
    <w:rsid w:val="004F232C"/>
    <w:rsid w:val="004F3E2F"/>
    <w:rsid w:val="004F4E8A"/>
    <w:rsid w:val="004F60A0"/>
    <w:rsid w:val="004F62C5"/>
    <w:rsid w:val="004F6479"/>
    <w:rsid w:val="004F6A7D"/>
    <w:rsid w:val="004F6CA2"/>
    <w:rsid w:val="004F76ED"/>
    <w:rsid w:val="004F7F39"/>
    <w:rsid w:val="00500534"/>
    <w:rsid w:val="005034DC"/>
    <w:rsid w:val="00505A13"/>
    <w:rsid w:val="005107DC"/>
    <w:rsid w:val="005111AB"/>
    <w:rsid w:val="005143D9"/>
    <w:rsid w:val="005156D8"/>
    <w:rsid w:val="00515E4A"/>
    <w:rsid w:val="00521676"/>
    <w:rsid w:val="00521E09"/>
    <w:rsid w:val="00521E33"/>
    <w:rsid w:val="005224CE"/>
    <w:rsid w:val="00524BFB"/>
    <w:rsid w:val="00525827"/>
    <w:rsid w:val="00526BC0"/>
    <w:rsid w:val="00527551"/>
    <w:rsid w:val="005276E6"/>
    <w:rsid w:val="00527E55"/>
    <w:rsid w:val="0053380A"/>
    <w:rsid w:val="00536648"/>
    <w:rsid w:val="005422F0"/>
    <w:rsid w:val="00542431"/>
    <w:rsid w:val="005455B1"/>
    <w:rsid w:val="00545643"/>
    <w:rsid w:val="00546365"/>
    <w:rsid w:val="005465D0"/>
    <w:rsid w:val="005475BC"/>
    <w:rsid w:val="00551087"/>
    <w:rsid w:val="00554E3A"/>
    <w:rsid w:val="0055599E"/>
    <w:rsid w:val="005561A8"/>
    <w:rsid w:val="00560401"/>
    <w:rsid w:val="0056112C"/>
    <w:rsid w:val="00562BD9"/>
    <w:rsid w:val="005639C0"/>
    <w:rsid w:val="005660F9"/>
    <w:rsid w:val="00566D86"/>
    <w:rsid w:val="00566DAC"/>
    <w:rsid w:val="00570CD6"/>
    <w:rsid w:val="00570EBD"/>
    <w:rsid w:val="005715C3"/>
    <w:rsid w:val="00572602"/>
    <w:rsid w:val="005733F3"/>
    <w:rsid w:val="005747E5"/>
    <w:rsid w:val="00576B1B"/>
    <w:rsid w:val="00577076"/>
    <w:rsid w:val="00577BF7"/>
    <w:rsid w:val="005800CE"/>
    <w:rsid w:val="00580221"/>
    <w:rsid w:val="005806C2"/>
    <w:rsid w:val="00583274"/>
    <w:rsid w:val="0058368B"/>
    <w:rsid w:val="0058448A"/>
    <w:rsid w:val="00584AC5"/>
    <w:rsid w:val="00584B10"/>
    <w:rsid w:val="00590C8D"/>
    <w:rsid w:val="0059115D"/>
    <w:rsid w:val="00592F2D"/>
    <w:rsid w:val="00594C56"/>
    <w:rsid w:val="0059596C"/>
    <w:rsid w:val="00595E54"/>
    <w:rsid w:val="0059667A"/>
    <w:rsid w:val="00596C0A"/>
    <w:rsid w:val="00597010"/>
    <w:rsid w:val="005972CD"/>
    <w:rsid w:val="005975FF"/>
    <w:rsid w:val="005A2191"/>
    <w:rsid w:val="005A280E"/>
    <w:rsid w:val="005A43EB"/>
    <w:rsid w:val="005A4611"/>
    <w:rsid w:val="005A5805"/>
    <w:rsid w:val="005A63F6"/>
    <w:rsid w:val="005B0F7B"/>
    <w:rsid w:val="005B1A66"/>
    <w:rsid w:val="005B1BF9"/>
    <w:rsid w:val="005B1E1C"/>
    <w:rsid w:val="005B26A3"/>
    <w:rsid w:val="005B45CC"/>
    <w:rsid w:val="005B4CFC"/>
    <w:rsid w:val="005B5605"/>
    <w:rsid w:val="005B664C"/>
    <w:rsid w:val="005B6750"/>
    <w:rsid w:val="005B701E"/>
    <w:rsid w:val="005B77B4"/>
    <w:rsid w:val="005C03B5"/>
    <w:rsid w:val="005C38F2"/>
    <w:rsid w:val="005C4998"/>
    <w:rsid w:val="005C4E2F"/>
    <w:rsid w:val="005C4F46"/>
    <w:rsid w:val="005C5108"/>
    <w:rsid w:val="005C671B"/>
    <w:rsid w:val="005C77AB"/>
    <w:rsid w:val="005D0BDB"/>
    <w:rsid w:val="005D58C0"/>
    <w:rsid w:val="005D65C4"/>
    <w:rsid w:val="005D72E9"/>
    <w:rsid w:val="005D7AB7"/>
    <w:rsid w:val="005E03E1"/>
    <w:rsid w:val="005E276D"/>
    <w:rsid w:val="005E3460"/>
    <w:rsid w:val="005E65F1"/>
    <w:rsid w:val="005E6B6C"/>
    <w:rsid w:val="005E6C75"/>
    <w:rsid w:val="005F013F"/>
    <w:rsid w:val="005F060A"/>
    <w:rsid w:val="005F1567"/>
    <w:rsid w:val="005F2DBC"/>
    <w:rsid w:val="005F3154"/>
    <w:rsid w:val="005F3C03"/>
    <w:rsid w:val="005F3F33"/>
    <w:rsid w:val="005F613C"/>
    <w:rsid w:val="005F6FF1"/>
    <w:rsid w:val="005F7713"/>
    <w:rsid w:val="00600D2D"/>
    <w:rsid w:val="00601DC4"/>
    <w:rsid w:val="00602A6C"/>
    <w:rsid w:val="00603E6D"/>
    <w:rsid w:val="006047B5"/>
    <w:rsid w:val="00604D38"/>
    <w:rsid w:val="00604F65"/>
    <w:rsid w:val="0060502E"/>
    <w:rsid w:val="0060514C"/>
    <w:rsid w:val="00605D7A"/>
    <w:rsid w:val="00606B28"/>
    <w:rsid w:val="00607AFB"/>
    <w:rsid w:val="006101F4"/>
    <w:rsid w:val="0061046C"/>
    <w:rsid w:val="00611188"/>
    <w:rsid w:val="00611816"/>
    <w:rsid w:val="00613F1F"/>
    <w:rsid w:val="00615847"/>
    <w:rsid w:val="006165AE"/>
    <w:rsid w:val="006170CF"/>
    <w:rsid w:val="006211D8"/>
    <w:rsid w:val="006218A3"/>
    <w:rsid w:val="00622723"/>
    <w:rsid w:val="00622B74"/>
    <w:rsid w:val="00623997"/>
    <w:rsid w:val="00623C30"/>
    <w:rsid w:val="00625CE2"/>
    <w:rsid w:val="00626078"/>
    <w:rsid w:val="00633591"/>
    <w:rsid w:val="00633F1D"/>
    <w:rsid w:val="006340D3"/>
    <w:rsid w:val="00636285"/>
    <w:rsid w:val="00636E15"/>
    <w:rsid w:val="00637699"/>
    <w:rsid w:val="00640F6F"/>
    <w:rsid w:val="0064261B"/>
    <w:rsid w:val="00642A29"/>
    <w:rsid w:val="006453C8"/>
    <w:rsid w:val="00647F5E"/>
    <w:rsid w:val="006500A7"/>
    <w:rsid w:val="00650182"/>
    <w:rsid w:val="0065067B"/>
    <w:rsid w:val="00650C28"/>
    <w:rsid w:val="00652878"/>
    <w:rsid w:val="00653549"/>
    <w:rsid w:val="00655E52"/>
    <w:rsid w:val="00656680"/>
    <w:rsid w:val="0066048D"/>
    <w:rsid w:val="00660729"/>
    <w:rsid w:val="006658AF"/>
    <w:rsid w:val="0066611D"/>
    <w:rsid w:val="006668B6"/>
    <w:rsid w:val="006676ED"/>
    <w:rsid w:val="006702C0"/>
    <w:rsid w:val="00672049"/>
    <w:rsid w:val="006725DE"/>
    <w:rsid w:val="00673834"/>
    <w:rsid w:val="0067447A"/>
    <w:rsid w:val="00674726"/>
    <w:rsid w:val="00674B46"/>
    <w:rsid w:val="0067710C"/>
    <w:rsid w:val="00680F5E"/>
    <w:rsid w:val="00681704"/>
    <w:rsid w:val="00682065"/>
    <w:rsid w:val="00682E7D"/>
    <w:rsid w:val="0068370A"/>
    <w:rsid w:val="00684087"/>
    <w:rsid w:val="0068538F"/>
    <w:rsid w:val="0068716D"/>
    <w:rsid w:val="00690357"/>
    <w:rsid w:val="00690CD1"/>
    <w:rsid w:val="00692F09"/>
    <w:rsid w:val="00694AF8"/>
    <w:rsid w:val="00694EC6"/>
    <w:rsid w:val="006956EF"/>
    <w:rsid w:val="00695EA7"/>
    <w:rsid w:val="006967B1"/>
    <w:rsid w:val="0069726B"/>
    <w:rsid w:val="006978FF"/>
    <w:rsid w:val="006A0131"/>
    <w:rsid w:val="006A0EF7"/>
    <w:rsid w:val="006A21A2"/>
    <w:rsid w:val="006A3302"/>
    <w:rsid w:val="006A4B5B"/>
    <w:rsid w:val="006A6A80"/>
    <w:rsid w:val="006A6EDA"/>
    <w:rsid w:val="006B0E54"/>
    <w:rsid w:val="006B1555"/>
    <w:rsid w:val="006B2195"/>
    <w:rsid w:val="006B499A"/>
    <w:rsid w:val="006B4A74"/>
    <w:rsid w:val="006B4AE6"/>
    <w:rsid w:val="006B4C34"/>
    <w:rsid w:val="006B5594"/>
    <w:rsid w:val="006B5A8E"/>
    <w:rsid w:val="006B6185"/>
    <w:rsid w:val="006B7E52"/>
    <w:rsid w:val="006C0481"/>
    <w:rsid w:val="006C20B1"/>
    <w:rsid w:val="006C2AE4"/>
    <w:rsid w:val="006C3352"/>
    <w:rsid w:val="006C335C"/>
    <w:rsid w:val="006C337A"/>
    <w:rsid w:val="006C5607"/>
    <w:rsid w:val="006C5B13"/>
    <w:rsid w:val="006C6768"/>
    <w:rsid w:val="006D1E1C"/>
    <w:rsid w:val="006D2A97"/>
    <w:rsid w:val="006D3B61"/>
    <w:rsid w:val="006D40A6"/>
    <w:rsid w:val="006D440A"/>
    <w:rsid w:val="006D60A5"/>
    <w:rsid w:val="006D6DBC"/>
    <w:rsid w:val="006D70FB"/>
    <w:rsid w:val="006D71FC"/>
    <w:rsid w:val="006E0D03"/>
    <w:rsid w:val="006E0E82"/>
    <w:rsid w:val="006E1DEA"/>
    <w:rsid w:val="006E2308"/>
    <w:rsid w:val="006E336E"/>
    <w:rsid w:val="006E4234"/>
    <w:rsid w:val="006E5513"/>
    <w:rsid w:val="006E5F4A"/>
    <w:rsid w:val="006F2A9E"/>
    <w:rsid w:val="006F2B25"/>
    <w:rsid w:val="006F3A16"/>
    <w:rsid w:val="006F4022"/>
    <w:rsid w:val="006F48FA"/>
    <w:rsid w:val="006F544E"/>
    <w:rsid w:val="006F5810"/>
    <w:rsid w:val="006F60C5"/>
    <w:rsid w:val="006F7F13"/>
    <w:rsid w:val="00703A07"/>
    <w:rsid w:val="007051C3"/>
    <w:rsid w:val="00705F16"/>
    <w:rsid w:val="00705F7A"/>
    <w:rsid w:val="00707F1D"/>
    <w:rsid w:val="00711A17"/>
    <w:rsid w:val="00713037"/>
    <w:rsid w:val="00714DA9"/>
    <w:rsid w:val="007150D7"/>
    <w:rsid w:val="0071540F"/>
    <w:rsid w:val="007161C1"/>
    <w:rsid w:val="00717655"/>
    <w:rsid w:val="007179C2"/>
    <w:rsid w:val="007179D5"/>
    <w:rsid w:val="007211DD"/>
    <w:rsid w:val="00722839"/>
    <w:rsid w:val="00722C4D"/>
    <w:rsid w:val="0072341B"/>
    <w:rsid w:val="00723773"/>
    <w:rsid w:val="007275BF"/>
    <w:rsid w:val="00732217"/>
    <w:rsid w:val="0073233B"/>
    <w:rsid w:val="007329DA"/>
    <w:rsid w:val="0073548F"/>
    <w:rsid w:val="00735730"/>
    <w:rsid w:val="0073647E"/>
    <w:rsid w:val="00736DA8"/>
    <w:rsid w:val="00737319"/>
    <w:rsid w:val="007374A9"/>
    <w:rsid w:val="00741CA6"/>
    <w:rsid w:val="007425F3"/>
    <w:rsid w:val="0074489D"/>
    <w:rsid w:val="007448D9"/>
    <w:rsid w:val="00746D9E"/>
    <w:rsid w:val="007504A3"/>
    <w:rsid w:val="00751291"/>
    <w:rsid w:val="00753797"/>
    <w:rsid w:val="007544C2"/>
    <w:rsid w:val="00754F0B"/>
    <w:rsid w:val="00756556"/>
    <w:rsid w:val="007568D1"/>
    <w:rsid w:val="007579D6"/>
    <w:rsid w:val="00757D58"/>
    <w:rsid w:val="007626BA"/>
    <w:rsid w:val="007627F5"/>
    <w:rsid w:val="00762BBF"/>
    <w:rsid w:val="007632BB"/>
    <w:rsid w:val="00763823"/>
    <w:rsid w:val="00763AB8"/>
    <w:rsid w:val="00765729"/>
    <w:rsid w:val="00766674"/>
    <w:rsid w:val="0076799A"/>
    <w:rsid w:val="00770196"/>
    <w:rsid w:val="007707BD"/>
    <w:rsid w:val="007715CE"/>
    <w:rsid w:val="00772291"/>
    <w:rsid w:val="00772A12"/>
    <w:rsid w:val="0077334C"/>
    <w:rsid w:val="00773489"/>
    <w:rsid w:val="00775715"/>
    <w:rsid w:val="007814BF"/>
    <w:rsid w:val="00782EB7"/>
    <w:rsid w:val="00782FB7"/>
    <w:rsid w:val="00784D8F"/>
    <w:rsid w:val="00794ADC"/>
    <w:rsid w:val="00795B2F"/>
    <w:rsid w:val="00795C12"/>
    <w:rsid w:val="007961C5"/>
    <w:rsid w:val="0079641A"/>
    <w:rsid w:val="007A01FA"/>
    <w:rsid w:val="007A0D98"/>
    <w:rsid w:val="007A1784"/>
    <w:rsid w:val="007A1EEC"/>
    <w:rsid w:val="007A2C77"/>
    <w:rsid w:val="007A3838"/>
    <w:rsid w:val="007A4CF4"/>
    <w:rsid w:val="007A4D2E"/>
    <w:rsid w:val="007A57F8"/>
    <w:rsid w:val="007A73FB"/>
    <w:rsid w:val="007B0441"/>
    <w:rsid w:val="007B0506"/>
    <w:rsid w:val="007B0C13"/>
    <w:rsid w:val="007B1FEB"/>
    <w:rsid w:val="007B241A"/>
    <w:rsid w:val="007B2855"/>
    <w:rsid w:val="007B3C8C"/>
    <w:rsid w:val="007B5C34"/>
    <w:rsid w:val="007B6364"/>
    <w:rsid w:val="007C0ED4"/>
    <w:rsid w:val="007C11D3"/>
    <w:rsid w:val="007C1BCD"/>
    <w:rsid w:val="007C1C3A"/>
    <w:rsid w:val="007C2068"/>
    <w:rsid w:val="007C206F"/>
    <w:rsid w:val="007C2A69"/>
    <w:rsid w:val="007C3631"/>
    <w:rsid w:val="007C488B"/>
    <w:rsid w:val="007C7C3F"/>
    <w:rsid w:val="007D1E2B"/>
    <w:rsid w:val="007D2199"/>
    <w:rsid w:val="007D3430"/>
    <w:rsid w:val="007D4612"/>
    <w:rsid w:val="007D4FCC"/>
    <w:rsid w:val="007D50C5"/>
    <w:rsid w:val="007D53FA"/>
    <w:rsid w:val="007D572B"/>
    <w:rsid w:val="007D619E"/>
    <w:rsid w:val="007D70FF"/>
    <w:rsid w:val="007D7ED4"/>
    <w:rsid w:val="007E02DA"/>
    <w:rsid w:val="007E0898"/>
    <w:rsid w:val="007E0BE9"/>
    <w:rsid w:val="007E142C"/>
    <w:rsid w:val="007E17CC"/>
    <w:rsid w:val="007E2848"/>
    <w:rsid w:val="007E292A"/>
    <w:rsid w:val="007E478E"/>
    <w:rsid w:val="007E4CFB"/>
    <w:rsid w:val="007E4DB1"/>
    <w:rsid w:val="007E4E40"/>
    <w:rsid w:val="007E4E46"/>
    <w:rsid w:val="007E7205"/>
    <w:rsid w:val="007F0BD6"/>
    <w:rsid w:val="007F0FAC"/>
    <w:rsid w:val="007F20BD"/>
    <w:rsid w:val="007F28D5"/>
    <w:rsid w:val="007F2F40"/>
    <w:rsid w:val="007F50CE"/>
    <w:rsid w:val="007F5426"/>
    <w:rsid w:val="00800A86"/>
    <w:rsid w:val="00800F55"/>
    <w:rsid w:val="008022D7"/>
    <w:rsid w:val="00802B78"/>
    <w:rsid w:val="008036E1"/>
    <w:rsid w:val="00804067"/>
    <w:rsid w:val="0080600A"/>
    <w:rsid w:val="0080672F"/>
    <w:rsid w:val="00806803"/>
    <w:rsid w:val="008069E9"/>
    <w:rsid w:val="00806C41"/>
    <w:rsid w:val="008115E0"/>
    <w:rsid w:val="008123B6"/>
    <w:rsid w:val="00812B68"/>
    <w:rsid w:val="008150DA"/>
    <w:rsid w:val="008164A4"/>
    <w:rsid w:val="00820636"/>
    <w:rsid w:val="0082171D"/>
    <w:rsid w:val="00821C45"/>
    <w:rsid w:val="008227ED"/>
    <w:rsid w:val="00824AC0"/>
    <w:rsid w:val="00825004"/>
    <w:rsid w:val="00827273"/>
    <w:rsid w:val="00830389"/>
    <w:rsid w:val="008309B1"/>
    <w:rsid w:val="008309E1"/>
    <w:rsid w:val="008310DE"/>
    <w:rsid w:val="008365F2"/>
    <w:rsid w:val="00840004"/>
    <w:rsid w:val="008409E1"/>
    <w:rsid w:val="008449DA"/>
    <w:rsid w:val="00844EAC"/>
    <w:rsid w:val="0084632A"/>
    <w:rsid w:val="0084704F"/>
    <w:rsid w:val="00847579"/>
    <w:rsid w:val="0084788E"/>
    <w:rsid w:val="00851125"/>
    <w:rsid w:val="00851F11"/>
    <w:rsid w:val="00852084"/>
    <w:rsid w:val="008523CC"/>
    <w:rsid w:val="00852C48"/>
    <w:rsid w:val="008533D6"/>
    <w:rsid w:val="00854EDF"/>
    <w:rsid w:val="008570C8"/>
    <w:rsid w:val="00857143"/>
    <w:rsid w:val="008571B5"/>
    <w:rsid w:val="00860C0F"/>
    <w:rsid w:val="00861340"/>
    <w:rsid w:val="00862268"/>
    <w:rsid w:val="00863D2A"/>
    <w:rsid w:val="0086669F"/>
    <w:rsid w:val="00866AF0"/>
    <w:rsid w:val="00867BD5"/>
    <w:rsid w:val="0087039D"/>
    <w:rsid w:val="00870978"/>
    <w:rsid w:val="0087220E"/>
    <w:rsid w:val="00874A9A"/>
    <w:rsid w:val="00876DA4"/>
    <w:rsid w:val="0088134E"/>
    <w:rsid w:val="00881384"/>
    <w:rsid w:val="00881B0F"/>
    <w:rsid w:val="00881C95"/>
    <w:rsid w:val="00881CC3"/>
    <w:rsid w:val="00887B6E"/>
    <w:rsid w:val="008910E1"/>
    <w:rsid w:val="00891AA8"/>
    <w:rsid w:val="00891EA0"/>
    <w:rsid w:val="0089240D"/>
    <w:rsid w:val="008927C5"/>
    <w:rsid w:val="00893D08"/>
    <w:rsid w:val="00894D75"/>
    <w:rsid w:val="00895A66"/>
    <w:rsid w:val="0089743C"/>
    <w:rsid w:val="008974F5"/>
    <w:rsid w:val="008A123B"/>
    <w:rsid w:val="008A372F"/>
    <w:rsid w:val="008A71B0"/>
    <w:rsid w:val="008B4713"/>
    <w:rsid w:val="008B4829"/>
    <w:rsid w:val="008B5BA4"/>
    <w:rsid w:val="008B5FA0"/>
    <w:rsid w:val="008B7B20"/>
    <w:rsid w:val="008C04D4"/>
    <w:rsid w:val="008C0996"/>
    <w:rsid w:val="008C12DB"/>
    <w:rsid w:val="008C2092"/>
    <w:rsid w:val="008C4F63"/>
    <w:rsid w:val="008C6246"/>
    <w:rsid w:val="008C64B3"/>
    <w:rsid w:val="008D13C2"/>
    <w:rsid w:val="008D1BDA"/>
    <w:rsid w:val="008D2641"/>
    <w:rsid w:val="008D31A6"/>
    <w:rsid w:val="008D3D56"/>
    <w:rsid w:val="008D4118"/>
    <w:rsid w:val="008D4966"/>
    <w:rsid w:val="008D5312"/>
    <w:rsid w:val="008D5BB0"/>
    <w:rsid w:val="008D5CD4"/>
    <w:rsid w:val="008D697D"/>
    <w:rsid w:val="008E0F94"/>
    <w:rsid w:val="008E1295"/>
    <w:rsid w:val="008E1DA6"/>
    <w:rsid w:val="008E2C72"/>
    <w:rsid w:val="008E309E"/>
    <w:rsid w:val="008E494A"/>
    <w:rsid w:val="008E58CC"/>
    <w:rsid w:val="008E6C04"/>
    <w:rsid w:val="008E76FC"/>
    <w:rsid w:val="008F1A2F"/>
    <w:rsid w:val="008F1A38"/>
    <w:rsid w:val="008F2A17"/>
    <w:rsid w:val="008F323F"/>
    <w:rsid w:val="008F353E"/>
    <w:rsid w:val="008F5321"/>
    <w:rsid w:val="008F557E"/>
    <w:rsid w:val="008F5777"/>
    <w:rsid w:val="008F78C4"/>
    <w:rsid w:val="0090038A"/>
    <w:rsid w:val="009078CE"/>
    <w:rsid w:val="00907FC6"/>
    <w:rsid w:val="00910083"/>
    <w:rsid w:val="00910218"/>
    <w:rsid w:val="009114CE"/>
    <w:rsid w:val="00913081"/>
    <w:rsid w:val="0091409A"/>
    <w:rsid w:val="00915EAC"/>
    <w:rsid w:val="00916A85"/>
    <w:rsid w:val="009179FD"/>
    <w:rsid w:val="00917D14"/>
    <w:rsid w:val="00917D1C"/>
    <w:rsid w:val="00923003"/>
    <w:rsid w:val="00923A5A"/>
    <w:rsid w:val="00923F61"/>
    <w:rsid w:val="0092406A"/>
    <w:rsid w:val="00924572"/>
    <w:rsid w:val="00924F9B"/>
    <w:rsid w:val="00925EDA"/>
    <w:rsid w:val="009273B3"/>
    <w:rsid w:val="0093036D"/>
    <w:rsid w:val="0093080D"/>
    <w:rsid w:val="00930E85"/>
    <w:rsid w:val="009319CB"/>
    <w:rsid w:val="00931C20"/>
    <w:rsid w:val="0093352C"/>
    <w:rsid w:val="00933B49"/>
    <w:rsid w:val="00933DE8"/>
    <w:rsid w:val="00935230"/>
    <w:rsid w:val="00936318"/>
    <w:rsid w:val="00936C27"/>
    <w:rsid w:val="00936EDE"/>
    <w:rsid w:val="00940E26"/>
    <w:rsid w:val="0094170F"/>
    <w:rsid w:val="009424E8"/>
    <w:rsid w:val="009448F4"/>
    <w:rsid w:val="00945DB8"/>
    <w:rsid w:val="0094650F"/>
    <w:rsid w:val="00946A65"/>
    <w:rsid w:val="00946BED"/>
    <w:rsid w:val="0095083B"/>
    <w:rsid w:val="009512B8"/>
    <w:rsid w:val="009515CB"/>
    <w:rsid w:val="00952463"/>
    <w:rsid w:val="00952EDB"/>
    <w:rsid w:val="00953B95"/>
    <w:rsid w:val="009544F0"/>
    <w:rsid w:val="009548D5"/>
    <w:rsid w:val="00954FDC"/>
    <w:rsid w:val="0095544F"/>
    <w:rsid w:val="009558FD"/>
    <w:rsid w:val="00956F8D"/>
    <w:rsid w:val="009577D2"/>
    <w:rsid w:val="00957D22"/>
    <w:rsid w:val="009600F3"/>
    <w:rsid w:val="0096049B"/>
    <w:rsid w:val="00960E51"/>
    <w:rsid w:val="0096362F"/>
    <w:rsid w:val="00963AAC"/>
    <w:rsid w:val="00964643"/>
    <w:rsid w:val="00964E42"/>
    <w:rsid w:val="009658D4"/>
    <w:rsid w:val="0096627F"/>
    <w:rsid w:val="0097060C"/>
    <w:rsid w:val="009711C3"/>
    <w:rsid w:val="00973EE5"/>
    <w:rsid w:val="00974010"/>
    <w:rsid w:val="00974908"/>
    <w:rsid w:val="0097562F"/>
    <w:rsid w:val="00984B10"/>
    <w:rsid w:val="00984E6A"/>
    <w:rsid w:val="00984EE0"/>
    <w:rsid w:val="0098689F"/>
    <w:rsid w:val="009874B5"/>
    <w:rsid w:val="00987D4C"/>
    <w:rsid w:val="00990D25"/>
    <w:rsid w:val="0099126C"/>
    <w:rsid w:val="009912FD"/>
    <w:rsid w:val="00994645"/>
    <w:rsid w:val="009950B5"/>
    <w:rsid w:val="0099563A"/>
    <w:rsid w:val="00996CD9"/>
    <w:rsid w:val="009974CE"/>
    <w:rsid w:val="0099763B"/>
    <w:rsid w:val="009A05E8"/>
    <w:rsid w:val="009A0F97"/>
    <w:rsid w:val="009A144C"/>
    <w:rsid w:val="009A2322"/>
    <w:rsid w:val="009A2BCB"/>
    <w:rsid w:val="009A3C99"/>
    <w:rsid w:val="009A6A90"/>
    <w:rsid w:val="009B0CCC"/>
    <w:rsid w:val="009B3FF8"/>
    <w:rsid w:val="009B4141"/>
    <w:rsid w:val="009B592B"/>
    <w:rsid w:val="009B6563"/>
    <w:rsid w:val="009B6604"/>
    <w:rsid w:val="009B76CD"/>
    <w:rsid w:val="009C1035"/>
    <w:rsid w:val="009C10B3"/>
    <w:rsid w:val="009C358B"/>
    <w:rsid w:val="009C69B1"/>
    <w:rsid w:val="009D0480"/>
    <w:rsid w:val="009D0E66"/>
    <w:rsid w:val="009D0F80"/>
    <w:rsid w:val="009D2CA1"/>
    <w:rsid w:val="009D30DC"/>
    <w:rsid w:val="009D45A0"/>
    <w:rsid w:val="009D55E8"/>
    <w:rsid w:val="009D65EC"/>
    <w:rsid w:val="009D6CFF"/>
    <w:rsid w:val="009D7381"/>
    <w:rsid w:val="009D740C"/>
    <w:rsid w:val="009E0105"/>
    <w:rsid w:val="009E0C75"/>
    <w:rsid w:val="009E0CC9"/>
    <w:rsid w:val="009E5566"/>
    <w:rsid w:val="009E612E"/>
    <w:rsid w:val="009E6298"/>
    <w:rsid w:val="009E6849"/>
    <w:rsid w:val="009E6B4F"/>
    <w:rsid w:val="009F145E"/>
    <w:rsid w:val="009F42CD"/>
    <w:rsid w:val="009F5C84"/>
    <w:rsid w:val="009F7245"/>
    <w:rsid w:val="00A00FED"/>
    <w:rsid w:val="00A01B07"/>
    <w:rsid w:val="00A01D3C"/>
    <w:rsid w:val="00A01FCF"/>
    <w:rsid w:val="00A02483"/>
    <w:rsid w:val="00A02E66"/>
    <w:rsid w:val="00A04625"/>
    <w:rsid w:val="00A05C71"/>
    <w:rsid w:val="00A05E64"/>
    <w:rsid w:val="00A07BDE"/>
    <w:rsid w:val="00A10DC0"/>
    <w:rsid w:val="00A11C9A"/>
    <w:rsid w:val="00A133B7"/>
    <w:rsid w:val="00A141F8"/>
    <w:rsid w:val="00A1455C"/>
    <w:rsid w:val="00A153F2"/>
    <w:rsid w:val="00A16070"/>
    <w:rsid w:val="00A1632A"/>
    <w:rsid w:val="00A17E74"/>
    <w:rsid w:val="00A240B2"/>
    <w:rsid w:val="00A24A7D"/>
    <w:rsid w:val="00A26DE6"/>
    <w:rsid w:val="00A30163"/>
    <w:rsid w:val="00A30AC8"/>
    <w:rsid w:val="00A326D5"/>
    <w:rsid w:val="00A3383E"/>
    <w:rsid w:val="00A33A7A"/>
    <w:rsid w:val="00A35A85"/>
    <w:rsid w:val="00A36970"/>
    <w:rsid w:val="00A36BA0"/>
    <w:rsid w:val="00A36D65"/>
    <w:rsid w:val="00A40764"/>
    <w:rsid w:val="00A41FCC"/>
    <w:rsid w:val="00A42513"/>
    <w:rsid w:val="00A4369D"/>
    <w:rsid w:val="00A44BDC"/>
    <w:rsid w:val="00A44C07"/>
    <w:rsid w:val="00A45C97"/>
    <w:rsid w:val="00A47CCF"/>
    <w:rsid w:val="00A5023E"/>
    <w:rsid w:val="00A510E6"/>
    <w:rsid w:val="00A5177D"/>
    <w:rsid w:val="00A533E1"/>
    <w:rsid w:val="00A548CF"/>
    <w:rsid w:val="00A550C1"/>
    <w:rsid w:val="00A5534B"/>
    <w:rsid w:val="00A5583C"/>
    <w:rsid w:val="00A611DA"/>
    <w:rsid w:val="00A624B4"/>
    <w:rsid w:val="00A641BE"/>
    <w:rsid w:val="00A65769"/>
    <w:rsid w:val="00A703E7"/>
    <w:rsid w:val="00A70C6A"/>
    <w:rsid w:val="00A740EF"/>
    <w:rsid w:val="00A764D2"/>
    <w:rsid w:val="00A7725F"/>
    <w:rsid w:val="00A8118C"/>
    <w:rsid w:val="00A818B1"/>
    <w:rsid w:val="00A81D97"/>
    <w:rsid w:val="00A835B7"/>
    <w:rsid w:val="00A8386F"/>
    <w:rsid w:val="00A84160"/>
    <w:rsid w:val="00A87AE1"/>
    <w:rsid w:val="00A9004D"/>
    <w:rsid w:val="00A905C8"/>
    <w:rsid w:val="00A91B89"/>
    <w:rsid w:val="00A9369D"/>
    <w:rsid w:val="00A9404D"/>
    <w:rsid w:val="00A95C6B"/>
    <w:rsid w:val="00A96436"/>
    <w:rsid w:val="00A96F64"/>
    <w:rsid w:val="00AA08B6"/>
    <w:rsid w:val="00AA0CBA"/>
    <w:rsid w:val="00AA15AA"/>
    <w:rsid w:val="00AA2D0C"/>
    <w:rsid w:val="00AA3BCC"/>
    <w:rsid w:val="00AA6F4E"/>
    <w:rsid w:val="00AA718F"/>
    <w:rsid w:val="00AA7858"/>
    <w:rsid w:val="00AA7C14"/>
    <w:rsid w:val="00AB095A"/>
    <w:rsid w:val="00AB3873"/>
    <w:rsid w:val="00AB5991"/>
    <w:rsid w:val="00AB5D8E"/>
    <w:rsid w:val="00AC01EA"/>
    <w:rsid w:val="00AC211D"/>
    <w:rsid w:val="00AC2EA3"/>
    <w:rsid w:val="00AC3E79"/>
    <w:rsid w:val="00AC409A"/>
    <w:rsid w:val="00AC4E54"/>
    <w:rsid w:val="00AC5201"/>
    <w:rsid w:val="00AC5268"/>
    <w:rsid w:val="00AC5D42"/>
    <w:rsid w:val="00AC7226"/>
    <w:rsid w:val="00AD1E23"/>
    <w:rsid w:val="00AD5400"/>
    <w:rsid w:val="00AD6875"/>
    <w:rsid w:val="00AD72A4"/>
    <w:rsid w:val="00AD7472"/>
    <w:rsid w:val="00AE122F"/>
    <w:rsid w:val="00AE1CAA"/>
    <w:rsid w:val="00AE2F22"/>
    <w:rsid w:val="00AE54CC"/>
    <w:rsid w:val="00AE5E3E"/>
    <w:rsid w:val="00AE706C"/>
    <w:rsid w:val="00AE76EC"/>
    <w:rsid w:val="00AF2294"/>
    <w:rsid w:val="00AF2B32"/>
    <w:rsid w:val="00AF3406"/>
    <w:rsid w:val="00AF55DA"/>
    <w:rsid w:val="00AF6071"/>
    <w:rsid w:val="00AF6281"/>
    <w:rsid w:val="00B0131F"/>
    <w:rsid w:val="00B036D3"/>
    <w:rsid w:val="00B11371"/>
    <w:rsid w:val="00B16483"/>
    <w:rsid w:val="00B168BC"/>
    <w:rsid w:val="00B16F45"/>
    <w:rsid w:val="00B174D9"/>
    <w:rsid w:val="00B205FA"/>
    <w:rsid w:val="00B219F7"/>
    <w:rsid w:val="00B23452"/>
    <w:rsid w:val="00B241B0"/>
    <w:rsid w:val="00B2503B"/>
    <w:rsid w:val="00B26290"/>
    <w:rsid w:val="00B273CE"/>
    <w:rsid w:val="00B27825"/>
    <w:rsid w:val="00B316B5"/>
    <w:rsid w:val="00B333AB"/>
    <w:rsid w:val="00B336A7"/>
    <w:rsid w:val="00B337AC"/>
    <w:rsid w:val="00B33A94"/>
    <w:rsid w:val="00B3526C"/>
    <w:rsid w:val="00B37BDA"/>
    <w:rsid w:val="00B40525"/>
    <w:rsid w:val="00B40EEA"/>
    <w:rsid w:val="00B411B9"/>
    <w:rsid w:val="00B43DEC"/>
    <w:rsid w:val="00B45AD9"/>
    <w:rsid w:val="00B45B42"/>
    <w:rsid w:val="00B4630C"/>
    <w:rsid w:val="00B4665F"/>
    <w:rsid w:val="00B46793"/>
    <w:rsid w:val="00B47D64"/>
    <w:rsid w:val="00B51DFD"/>
    <w:rsid w:val="00B522D2"/>
    <w:rsid w:val="00B54329"/>
    <w:rsid w:val="00B554C2"/>
    <w:rsid w:val="00B55B73"/>
    <w:rsid w:val="00B60C65"/>
    <w:rsid w:val="00B613C5"/>
    <w:rsid w:val="00B61672"/>
    <w:rsid w:val="00B62A6D"/>
    <w:rsid w:val="00B63E5F"/>
    <w:rsid w:val="00B660DC"/>
    <w:rsid w:val="00B66C0E"/>
    <w:rsid w:val="00B67D08"/>
    <w:rsid w:val="00B67FE7"/>
    <w:rsid w:val="00B70164"/>
    <w:rsid w:val="00B72DA1"/>
    <w:rsid w:val="00B74830"/>
    <w:rsid w:val="00B74FA1"/>
    <w:rsid w:val="00B7511F"/>
    <w:rsid w:val="00B751FE"/>
    <w:rsid w:val="00B76E72"/>
    <w:rsid w:val="00B76FFB"/>
    <w:rsid w:val="00B77B77"/>
    <w:rsid w:val="00B800E7"/>
    <w:rsid w:val="00B83799"/>
    <w:rsid w:val="00B84C3B"/>
    <w:rsid w:val="00B86764"/>
    <w:rsid w:val="00B87700"/>
    <w:rsid w:val="00B87B64"/>
    <w:rsid w:val="00B9046F"/>
    <w:rsid w:val="00B947D5"/>
    <w:rsid w:val="00B951E1"/>
    <w:rsid w:val="00BA0A0A"/>
    <w:rsid w:val="00BA280D"/>
    <w:rsid w:val="00BA3254"/>
    <w:rsid w:val="00BA5CE1"/>
    <w:rsid w:val="00BA6557"/>
    <w:rsid w:val="00BA6F3D"/>
    <w:rsid w:val="00BA7C5B"/>
    <w:rsid w:val="00BB11A4"/>
    <w:rsid w:val="00BB1352"/>
    <w:rsid w:val="00BB1AEE"/>
    <w:rsid w:val="00BB1CC6"/>
    <w:rsid w:val="00BB2ABF"/>
    <w:rsid w:val="00BC0634"/>
    <w:rsid w:val="00BC0CDD"/>
    <w:rsid w:val="00BC0D35"/>
    <w:rsid w:val="00BC213C"/>
    <w:rsid w:val="00BC407D"/>
    <w:rsid w:val="00BC4F6E"/>
    <w:rsid w:val="00BC55CD"/>
    <w:rsid w:val="00BC58B5"/>
    <w:rsid w:val="00BC708C"/>
    <w:rsid w:val="00BD0CE3"/>
    <w:rsid w:val="00BD13CB"/>
    <w:rsid w:val="00BD18AD"/>
    <w:rsid w:val="00BD2957"/>
    <w:rsid w:val="00BD34FB"/>
    <w:rsid w:val="00BD4371"/>
    <w:rsid w:val="00BD5F7F"/>
    <w:rsid w:val="00BE1B82"/>
    <w:rsid w:val="00BE271D"/>
    <w:rsid w:val="00BE370D"/>
    <w:rsid w:val="00BE4EB6"/>
    <w:rsid w:val="00BE6D8B"/>
    <w:rsid w:val="00BE7596"/>
    <w:rsid w:val="00BF2E62"/>
    <w:rsid w:val="00BF3133"/>
    <w:rsid w:val="00BF3670"/>
    <w:rsid w:val="00BF39CA"/>
    <w:rsid w:val="00BF3A51"/>
    <w:rsid w:val="00BF3CE4"/>
    <w:rsid w:val="00BF4334"/>
    <w:rsid w:val="00BF589F"/>
    <w:rsid w:val="00BF74CD"/>
    <w:rsid w:val="00C03099"/>
    <w:rsid w:val="00C03D52"/>
    <w:rsid w:val="00C04146"/>
    <w:rsid w:val="00C046D3"/>
    <w:rsid w:val="00C04C0C"/>
    <w:rsid w:val="00C05849"/>
    <w:rsid w:val="00C07D8A"/>
    <w:rsid w:val="00C105D4"/>
    <w:rsid w:val="00C11D91"/>
    <w:rsid w:val="00C13EBD"/>
    <w:rsid w:val="00C16799"/>
    <w:rsid w:val="00C20269"/>
    <w:rsid w:val="00C204F3"/>
    <w:rsid w:val="00C20513"/>
    <w:rsid w:val="00C20F3E"/>
    <w:rsid w:val="00C21585"/>
    <w:rsid w:val="00C21AE8"/>
    <w:rsid w:val="00C24779"/>
    <w:rsid w:val="00C2546C"/>
    <w:rsid w:val="00C26997"/>
    <w:rsid w:val="00C272B4"/>
    <w:rsid w:val="00C2770C"/>
    <w:rsid w:val="00C27B40"/>
    <w:rsid w:val="00C306DA"/>
    <w:rsid w:val="00C30FCD"/>
    <w:rsid w:val="00C3330E"/>
    <w:rsid w:val="00C35177"/>
    <w:rsid w:val="00C37719"/>
    <w:rsid w:val="00C407A8"/>
    <w:rsid w:val="00C40D39"/>
    <w:rsid w:val="00C43041"/>
    <w:rsid w:val="00C44B4F"/>
    <w:rsid w:val="00C44EB7"/>
    <w:rsid w:val="00C450D2"/>
    <w:rsid w:val="00C45108"/>
    <w:rsid w:val="00C45C6C"/>
    <w:rsid w:val="00C4635A"/>
    <w:rsid w:val="00C5036D"/>
    <w:rsid w:val="00C52FE4"/>
    <w:rsid w:val="00C53B45"/>
    <w:rsid w:val="00C552E5"/>
    <w:rsid w:val="00C552EF"/>
    <w:rsid w:val="00C55614"/>
    <w:rsid w:val="00C56E3A"/>
    <w:rsid w:val="00C57DB5"/>
    <w:rsid w:val="00C60119"/>
    <w:rsid w:val="00C63968"/>
    <w:rsid w:val="00C6441A"/>
    <w:rsid w:val="00C65B98"/>
    <w:rsid w:val="00C65FA5"/>
    <w:rsid w:val="00C666D7"/>
    <w:rsid w:val="00C66890"/>
    <w:rsid w:val="00C66B29"/>
    <w:rsid w:val="00C67C0D"/>
    <w:rsid w:val="00C70868"/>
    <w:rsid w:val="00C70ED3"/>
    <w:rsid w:val="00C71288"/>
    <w:rsid w:val="00C714AE"/>
    <w:rsid w:val="00C7315A"/>
    <w:rsid w:val="00C81187"/>
    <w:rsid w:val="00C8191A"/>
    <w:rsid w:val="00C81E98"/>
    <w:rsid w:val="00C823CC"/>
    <w:rsid w:val="00C824EF"/>
    <w:rsid w:val="00C8253C"/>
    <w:rsid w:val="00C8260C"/>
    <w:rsid w:val="00C8356A"/>
    <w:rsid w:val="00C83E61"/>
    <w:rsid w:val="00C84652"/>
    <w:rsid w:val="00C846F8"/>
    <w:rsid w:val="00C84ED2"/>
    <w:rsid w:val="00C85B22"/>
    <w:rsid w:val="00C91014"/>
    <w:rsid w:val="00C94480"/>
    <w:rsid w:val="00C946DE"/>
    <w:rsid w:val="00C96090"/>
    <w:rsid w:val="00C963A9"/>
    <w:rsid w:val="00C9675D"/>
    <w:rsid w:val="00C970C7"/>
    <w:rsid w:val="00C97C0D"/>
    <w:rsid w:val="00CA013C"/>
    <w:rsid w:val="00CA037D"/>
    <w:rsid w:val="00CA069B"/>
    <w:rsid w:val="00CA1785"/>
    <w:rsid w:val="00CA20D8"/>
    <w:rsid w:val="00CA2FF3"/>
    <w:rsid w:val="00CA3369"/>
    <w:rsid w:val="00CA45AE"/>
    <w:rsid w:val="00CA5895"/>
    <w:rsid w:val="00CA72DC"/>
    <w:rsid w:val="00CA7D72"/>
    <w:rsid w:val="00CB1504"/>
    <w:rsid w:val="00CB1C39"/>
    <w:rsid w:val="00CB3E07"/>
    <w:rsid w:val="00CB543C"/>
    <w:rsid w:val="00CB54C1"/>
    <w:rsid w:val="00CB5AED"/>
    <w:rsid w:val="00CB5EE7"/>
    <w:rsid w:val="00CB6C08"/>
    <w:rsid w:val="00CB7313"/>
    <w:rsid w:val="00CB741B"/>
    <w:rsid w:val="00CC0D42"/>
    <w:rsid w:val="00CC0E38"/>
    <w:rsid w:val="00CC355E"/>
    <w:rsid w:val="00CC40F8"/>
    <w:rsid w:val="00CC4333"/>
    <w:rsid w:val="00CC5E44"/>
    <w:rsid w:val="00CC65DE"/>
    <w:rsid w:val="00CC695E"/>
    <w:rsid w:val="00CC6CE3"/>
    <w:rsid w:val="00CC75F2"/>
    <w:rsid w:val="00CC7B80"/>
    <w:rsid w:val="00CD0C5D"/>
    <w:rsid w:val="00CD1C9D"/>
    <w:rsid w:val="00CD1F85"/>
    <w:rsid w:val="00CD2E4B"/>
    <w:rsid w:val="00CD4040"/>
    <w:rsid w:val="00CD4ED2"/>
    <w:rsid w:val="00CD753F"/>
    <w:rsid w:val="00CE02C3"/>
    <w:rsid w:val="00CE0E6E"/>
    <w:rsid w:val="00CE2031"/>
    <w:rsid w:val="00CE3E4B"/>
    <w:rsid w:val="00CE6518"/>
    <w:rsid w:val="00CF0C8C"/>
    <w:rsid w:val="00CF1419"/>
    <w:rsid w:val="00CF157D"/>
    <w:rsid w:val="00CF1AF7"/>
    <w:rsid w:val="00CF21E1"/>
    <w:rsid w:val="00CF3ADB"/>
    <w:rsid w:val="00CF481D"/>
    <w:rsid w:val="00CF5A56"/>
    <w:rsid w:val="00CF677E"/>
    <w:rsid w:val="00D02174"/>
    <w:rsid w:val="00D02AC8"/>
    <w:rsid w:val="00D033F2"/>
    <w:rsid w:val="00D04140"/>
    <w:rsid w:val="00D048FA"/>
    <w:rsid w:val="00D049F2"/>
    <w:rsid w:val="00D04EA9"/>
    <w:rsid w:val="00D06903"/>
    <w:rsid w:val="00D10371"/>
    <w:rsid w:val="00D10A54"/>
    <w:rsid w:val="00D115CE"/>
    <w:rsid w:val="00D11EAA"/>
    <w:rsid w:val="00D12428"/>
    <w:rsid w:val="00D13789"/>
    <w:rsid w:val="00D1455B"/>
    <w:rsid w:val="00D15C80"/>
    <w:rsid w:val="00D1645C"/>
    <w:rsid w:val="00D16ED0"/>
    <w:rsid w:val="00D178C7"/>
    <w:rsid w:val="00D209B2"/>
    <w:rsid w:val="00D212C9"/>
    <w:rsid w:val="00D21CAD"/>
    <w:rsid w:val="00D22887"/>
    <w:rsid w:val="00D22DAF"/>
    <w:rsid w:val="00D23606"/>
    <w:rsid w:val="00D25E9E"/>
    <w:rsid w:val="00D27E47"/>
    <w:rsid w:val="00D321C0"/>
    <w:rsid w:val="00D3238B"/>
    <w:rsid w:val="00D34CA2"/>
    <w:rsid w:val="00D3582E"/>
    <w:rsid w:val="00D35B37"/>
    <w:rsid w:val="00D35DEB"/>
    <w:rsid w:val="00D3798A"/>
    <w:rsid w:val="00D401AE"/>
    <w:rsid w:val="00D4285C"/>
    <w:rsid w:val="00D429BE"/>
    <w:rsid w:val="00D43165"/>
    <w:rsid w:val="00D44650"/>
    <w:rsid w:val="00D451E6"/>
    <w:rsid w:val="00D4528B"/>
    <w:rsid w:val="00D4780F"/>
    <w:rsid w:val="00D50864"/>
    <w:rsid w:val="00D512D2"/>
    <w:rsid w:val="00D51AF2"/>
    <w:rsid w:val="00D51D57"/>
    <w:rsid w:val="00D524D4"/>
    <w:rsid w:val="00D5289A"/>
    <w:rsid w:val="00D562E5"/>
    <w:rsid w:val="00D60510"/>
    <w:rsid w:val="00D6129C"/>
    <w:rsid w:val="00D6329C"/>
    <w:rsid w:val="00D648C1"/>
    <w:rsid w:val="00D64CA9"/>
    <w:rsid w:val="00D654E7"/>
    <w:rsid w:val="00D67D7F"/>
    <w:rsid w:val="00D70062"/>
    <w:rsid w:val="00D71049"/>
    <w:rsid w:val="00D720E6"/>
    <w:rsid w:val="00D73020"/>
    <w:rsid w:val="00D73193"/>
    <w:rsid w:val="00D73325"/>
    <w:rsid w:val="00D74371"/>
    <w:rsid w:val="00D765B1"/>
    <w:rsid w:val="00D76AEE"/>
    <w:rsid w:val="00D77852"/>
    <w:rsid w:val="00D77B56"/>
    <w:rsid w:val="00D77F8A"/>
    <w:rsid w:val="00D813E3"/>
    <w:rsid w:val="00D826BA"/>
    <w:rsid w:val="00D826C4"/>
    <w:rsid w:val="00D86B53"/>
    <w:rsid w:val="00D9347E"/>
    <w:rsid w:val="00D93B45"/>
    <w:rsid w:val="00D93FF4"/>
    <w:rsid w:val="00D9430E"/>
    <w:rsid w:val="00D95EA3"/>
    <w:rsid w:val="00D9758C"/>
    <w:rsid w:val="00DA0608"/>
    <w:rsid w:val="00DA09F9"/>
    <w:rsid w:val="00DA11F1"/>
    <w:rsid w:val="00DA1A59"/>
    <w:rsid w:val="00DA22E4"/>
    <w:rsid w:val="00DA271A"/>
    <w:rsid w:val="00DA2823"/>
    <w:rsid w:val="00DA3225"/>
    <w:rsid w:val="00DA3745"/>
    <w:rsid w:val="00DA4DA1"/>
    <w:rsid w:val="00DA4FF7"/>
    <w:rsid w:val="00DA5ACF"/>
    <w:rsid w:val="00DA61C4"/>
    <w:rsid w:val="00DA632A"/>
    <w:rsid w:val="00DA643B"/>
    <w:rsid w:val="00DA6592"/>
    <w:rsid w:val="00DA6878"/>
    <w:rsid w:val="00DB089F"/>
    <w:rsid w:val="00DB08DF"/>
    <w:rsid w:val="00DB2CF0"/>
    <w:rsid w:val="00DB38C0"/>
    <w:rsid w:val="00DB3973"/>
    <w:rsid w:val="00DB5209"/>
    <w:rsid w:val="00DB6211"/>
    <w:rsid w:val="00DB75B3"/>
    <w:rsid w:val="00DB76E4"/>
    <w:rsid w:val="00DB7F1B"/>
    <w:rsid w:val="00DC1023"/>
    <w:rsid w:val="00DC2187"/>
    <w:rsid w:val="00DC2A20"/>
    <w:rsid w:val="00DC48AE"/>
    <w:rsid w:val="00DC5854"/>
    <w:rsid w:val="00DC5FF8"/>
    <w:rsid w:val="00DC74E7"/>
    <w:rsid w:val="00DC7FF4"/>
    <w:rsid w:val="00DD0BBA"/>
    <w:rsid w:val="00DD125B"/>
    <w:rsid w:val="00DD1657"/>
    <w:rsid w:val="00DD27E9"/>
    <w:rsid w:val="00DE11ED"/>
    <w:rsid w:val="00DE133F"/>
    <w:rsid w:val="00DE3AE0"/>
    <w:rsid w:val="00DE61AD"/>
    <w:rsid w:val="00DE79B6"/>
    <w:rsid w:val="00DF275F"/>
    <w:rsid w:val="00DF2C21"/>
    <w:rsid w:val="00DF7FE3"/>
    <w:rsid w:val="00E00ABA"/>
    <w:rsid w:val="00E0141C"/>
    <w:rsid w:val="00E0267E"/>
    <w:rsid w:val="00E058D5"/>
    <w:rsid w:val="00E11E41"/>
    <w:rsid w:val="00E1339F"/>
    <w:rsid w:val="00E138A9"/>
    <w:rsid w:val="00E14B78"/>
    <w:rsid w:val="00E14EC8"/>
    <w:rsid w:val="00E156E0"/>
    <w:rsid w:val="00E15E9D"/>
    <w:rsid w:val="00E1677B"/>
    <w:rsid w:val="00E172C5"/>
    <w:rsid w:val="00E175D3"/>
    <w:rsid w:val="00E17D92"/>
    <w:rsid w:val="00E20E68"/>
    <w:rsid w:val="00E211A3"/>
    <w:rsid w:val="00E2171C"/>
    <w:rsid w:val="00E252AC"/>
    <w:rsid w:val="00E25991"/>
    <w:rsid w:val="00E26214"/>
    <w:rsid w:val="00E262BB"/>
    <w:rsid w:val="00E26ADB"/>
    <w:rsid w:val="00E314EB"/>
    <w:rsid w:val="00E33BB8"/>
    <w:rsid w:val="00E33FDC"/>
    <w:rsid w:val="00E36B55"/>
    <w:rsid w:val="00E36BD2"/>
    <w:rsid w:val="00E40C4C"/>
    <w:rsid w:val="00E40C51"/>
    <w:rsid w:val="00E411D5"/>
    <w:rsid w:val="00E41485"/>
    <w:rsid w:val="00E41626"/>
    <w:rsid w:val="00E41ABA"/>
    <w:rsid w:val="00E43862"/>
    <w:rsid w:val="00E439C3"/>
    <w:rsid w:val="00E43EC2"/>
    <w:rsid w:val="00E44212"/>
    <w:rsid w:val="00E44E31"/>
    <w:rsid w:val="00E45A39"/>
    <w:rsid w:val="00E50503"/>
    <w:rsid w:val="00E51522"/>
    <w:rsid w:val="00E529DB"/>
    <w:rsid w:val="00E53849"/>
    <w:rsid w:val="00E5411B"/>
    <w:rsid w:val="00E56848"/>
    <w:rsid w:val="00E56C7D"/>
    <w:rsid w:val="00E5702F"/>
    <w:rsid w:val="00E570AE"/>
    <w:rsid w:val="00E60E58"/>
    <w:rsid w:val="00E61B93"/>
    <w:rsid w:val="00E63D22"/>
    <w:rsid w:val="00E6457C"/>
    <w:rsid w:val="00E65D17"/>
    <w:rsid w:val="00E66900"/>
    <w:rsid w:val="00E669A0"/>
    <w:rsid w:val="00E67F70"/>
    <w:rsid w:val="00E70E0E"/>
    <w:rsid w:val="00E71E27"/>
    <w:rsid w:val="00E7257C"/>
    <w:rsid w:val="00E73CB6"/>
    <w:rsid w:val="00E74137"/>
    <w:rsid w:val="00E777BF"/>
    <w:rsid w:val="00E77ED5"/>
    <w:rsid w:val="00E8077B"/>
    <w:rsid w:val="00E80CD1"/>
    <w:rsid w:val="00E80ECF"/>
    <w:rsid w:val="00E8545C"/>
    <w:rsid w:val="00E85742"/>
    <w:rsid w:val="00E85A49"/>
    <w:rsid w:val="00E900E3"/>
    <w:rsid w:val="00E914F4"/>
    <w:rsid w:val="00E923EA"/>
    <w:rsid w:val="00E941BC"/>
    <w:rsid w:val="00E945DC"/>
    <w:rsid w:val="00E94C80"/>
    <w:rsid w:val="00E961A7"/>
    <w:rsid w:val="00E96539"/>
    <w:rsid w:val="00E97B0A"/>
    <w:rsid w:val="00EA04AE"/>
    <w:rsid w:val="00EA20CB"/>
    <w:rsid w:val="00EA3AC4"/>
    <w:rsid w:val="00EA5158"/>
    <w:rsid w:val="00EA7F83"/>
    <w:rsid w:val="00EB058F"/>
    <w:rsid w:val="00EB0997"/>
    <w:rsid w:val="00EB15D1"/>
    <w:rsid w:val="00EB4183"/>
    <w:rsid w:val="00EB5CB4"/>
    <w:rsid w:val="00EB61FF"/>
    <w:rsid w:val="00EC0062"/>
    <w:rsid w:val="00EC6824"/>
    <w:rsid w:val="00EC700C"/>
    <w:rsid w:val="00ED1500"/>
    <w:rsid w:val="00ED1841"/>
    <w:rsid w:val="00ED1D80"/>
    <w:rsid w:val="00ED2A2D"/>
    <w:rsid w:val="00ED2A53"/>
    <w:rsid w:val="00ED2D91"/>
    <w:rsid w:val="00ED4256"/>
    <w:rsid w:val="00ED4EFA"/>
    <w:rsid w:val="00ED5821"/>
    <w:rsid w:val="00ED7F33"/>
    <w:rsid w:val="00EE1288"/>
    <w:rsid w:val="00EE1835"/>
    <w:rsid w:val="00EE3ACD"/>
    <w:rsid w:val="00EE3B7E"/>
    <w:rsid w:val="00EE4602"/>
    <w:rsid w:val="00EE5553"/>
    <w:rsid w:val="00EE555E"/>
    <w:rsid w:val="00EE68B3"/>
    <w:rsid w:val="00EE6CFA"/>
    <w:rsid w:val="00EE6EC3"/>
    <w:rsid w:val="00EE71D5"/>
    <w:rsid w:val="00EF18FA"/>
    <w:rsid w:val="00EF2683"/>
    <w:rsid w:val="00EF2FBF"/>
    <w:rsid w:val="00EF3AD2"/>
    <w:rsid w:val="00EF423E"/>
    <w:rsid w:val="00EF51D9"/>
    <w:rsid w:val="00EF5C86"/>
    <w:rsid w:val="00EF5CF5"/>
    <w:rsid w:val="00EF674B"/>
    <w:rsid w:val="00EF6858"/>
    <w:rsid w:val="00EF766B"/>
    <w:rsid w:val="00F01723"/>
    <w:rsid w:val="00F0178C"/>
    <w:rsid w:val="00F01EE8"/>
    <w:rsid w:val="00F02E26"/>
    <w:rsid w:val="00F061E6"/>
    <w:rsid w:val="00F112F7"/>
    <w:rsid w:val="00F12477"/>
    <w:rsid w:val="00F12E0D"/>
    <w:rsid w:val="00F15D66"/>
    <w:rsid w:val="00F164AF"/>
    <w:rsid w:val="00F16C4A"/>
    <w:rsid w:val="00F17617"/>
    <w:rsid w:val="00F20350"/>
    <w:rsid w:val="00F22AC5"/>
    <w:rsid w:val="00F22B92"/>
    <w:rsid w:val="00F234AE"/>
    <w:rsid w:val="00F23FC6"/>
    <w:rsid w:val="00F243EE"/>
    <w:rsid w:val="00F25DC1"/>
    <w:rsid w:val="00F26CB4"/>
    <w:rsid w:val="00F27245"/>
    <w:rsid w:val="00F342A5"/>
    <w:rsid w:val="00F35C0F"/>
    <w:rsid w:val="00F35F34"/>
    <w:rsid w:val="00F3603B"/>
    <w:rsid w:val="00F36861"/>
    <w:rsid w:val="00F3688D"/>
    <w:rsid w:val="00F376A1"/>
    <w:rsid w:val="00F40F00"/>
    <w:rsid w:val="00F4162B"/>
    <w:rsid w:val="00F41C2C"/>
    <w:rsid w:val="00F42083"/>
    <w:rsid w:val="00F425D6"/>
    <w:rsid w:val="00F4531D"/>
    <w:rsid w:val="00F45F73"/>
    <w:rsid w:val="00F46314"/>
    <w:rsid w:val="00F470CB"/>
    <w:rsid w:val="00F47943"/>
    <w:rsid w:val="00F50802"/>
    <w:rsid w:val="00F50D06"/>
    <w:rsid w:val="00F50FEF"/>
    <w:rsid w:val="00F51C26"/>
    <w:rsid w:val="00F5297B"/>
    <w:rsid w:val="00F5377D"/>
    <w:rsid w:val="00F540E5"/>
    <w:rsid w:val="00F541FF"/>
    <w:rsid w:val="00F54A92"/>
    <w:rsid w:val="00F54AD8"/>
    <w:rsid w:val="00F56135"/>
    <w:rsid w:val="00F56382"/>
    <w:rsid w:val="00F603B7"/>
    <w:rsid w:val="00F60418"/>
    <w:rsid w:val="00F6083C"/>
    <w:rsid w:val="00F6494C"/>
    <w:rsid w:val="00F651C2"/>
    <w:rsid w:val="00F66659"/>
    <w:rsid w:val="00F669CC"/>
    <w:rsid w:val="00F67CDD"/>
    <w:rsid w:val="00F704F6"/>
    <w:rsid w:val="00F70886"/>
    <w:rsid w:val="00F70A4B"/>
    <w:rsid w:val="00F7105F"/>
    <w:rsid w:val="00F716B6"/>
    <w:rsid w:val="00F72DDE"/>
    <w:rsid w:val="00F73020"/>
    <w:rsid w:val="00F73D9E"/>
    <w:rsid w:val="00F73E58"/>
    <w:rsid w:val="00F74972"/>
    <w:rsid w:val="00F75D8B"/>
    <w:rsid w:val="00F771B5"/>
    <w:rsid w:val="00F77FFA"/>
    <w:rsid w:val="00F8007B"/>
    <w:rsid w:val="00F82564"/>
    <w:rsid w:val="00F82DFE"/>
    <w:rsid w:val="00F84EE0"/>
    <w:rsid w:val="00F85464"/>
    <w:rsid w:val="00F85A37"/>
    <w:rsid w:val="00F861A0"/>
    <w:rsid w:val="00F874E4"/>
    <w:rsid w:val="00F8759C"/>
    <w:rsid w:val="00F875F0"/>
    <w:rsid w:val="00F87B53"/>
    <w:rsid w:val="00F90B11"/>
    <w:rsid w:val="00F90FA8"/>
    <w:rsid w:val="00F910FE"/>
    <w:rsid w:val="00F936E2"/>
    <w:rsid w:val="00F93A19"/>
    <w:rsid w:val="00F93A2C"/>
    <w:rsid w:val="00F93E1A"/>
    <w:rsid w:val="00F956AC"/>
    <w:rsid w:val="00F962CE"/>
    <w:rsid w:val="00F96943"/>
    <w:rsid w:val="00F96D48"/>
    <w:rsid w:val="00F97760"/>
    <w:rsid w:val="00F97860"/>
    <w:rsid w:val="00F97A16"/>
    <w:rsid w:val="00FA1BA0"/>
    <w:rsid w:val="00FA2794"/>
    <w:rsid w:val="00FA365D"/>
    <w:rsid w:val="00FA5FF3"/>
    <w:rsid w:val="00FB1854"/>
    <w:rsid w:val="00FB1A1A"/>
    <w:rsid w:val="00FB246B"/>
    <w:rsid w:val="00FB2541"/>
    <w:rsid w:val="00FB4C10"/>
    <w:rsid w:val="00FB4D58"/>
    <w:rsid w:val="00FB53BD"/>
    <w:rsid w:val="00FB6183"/>
    <w:rsid w:val="00FB74E1"/>
    <w:rsid w:val="00FB766D"/>
    <w:rsid w:val="00FC0096"/>
    <w:rsid w:val="00FC0A57"/>
    <w:rsid w:val="00FC1ACC"/>
    <w:rsid w:val="00FC2386"/>
    <w:rsid w:val="00FC23CB"/>
    <w:rsid w:val="00FC3091"/>
    <w:rsid w:val="00FC4B3F"/>
    <w:rsid w:val="00FC576E"/>
    <w:rsid w:val="00FC6B92"/>
    <w:rsid w:val="00FC6BC5"/>
    <w:rsid w:val="00FD0CFE"/>
    <w:rsid w:val="00FD1B17"/>
    <w:rsid w:val="00FD6917"/>
    <w:rsid w:val="00FE03DB"/>
    <w:rsid w:val="00FE1641"/>
    <w:rsid w:val="00FE4348"/>
    <w:rsid w:val="00FE5C36"/>
    <w:rsid w:val="00FE6F3B"/>
    <w:rsid w:val="00FE7521"/>
    <w:rsid w:val="00FF000F"/>
    <w:rsid w:val="00FF19B8"/>
    <w:rsid w:val="00FF28CB"/>
    <w:rsid w:val="00FF3EAB"/>
    <w:rsid w:val="00FF4805"/>
    <w:rsid w:val="00FF52FA"/>
    <w:rsid w:val="00FF5B06"/>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5A8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84"/>
    <w:rPr>
      <w:szCs w:val="24"/>
    </w:rPr>
  </w:style>
  <w:style w:type="paragraph" w:styleId="Heading1">
    <w:name w:val="heading 1"/>
    <w:basedOn w:val="Normal"/>
    <w:next w:val="Normal"/>
    <w:link w:val="Heading1Char"/>
    <w:uiPriority w:val="9"/>
    <w:qFormat/>
    <w:rsid w:val="008520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520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52084"/>
    <w:pPr>
      <w:keepNext/>
      <w:spacing w:before="240" w:after="60"/>
      <w:outlineLvl w:val="2"/>
    </w:pPr>
    <w:rPr>
      <w:rFonts w:asciiTheme="majorHAnsi" w:eastAsiaTheme="majorEastAsia" w:hAnsiTheme="majorHAnsi"/>
      <w:b/>
      <w:bCs/>
      <w:szCs w:val="26"/>
    </w:rPr>
  </w:style>
  <w:style w:type="paragraph" w:styleId="Heading4">
    <w:name w:val="heading 4"/>
    <w:basedOn w:val="ListParagraph"/>
    <w:next w:val="Normal"/>
    <w:link w:val="Heading4Char"/>
    <w:uiPriority w:val="9"/>
    <w:unhideWhenUsed/>
    <w:qFormat/>
    <w:rsid w:val="00CC0E38"/>
    <w:pPr>
      <w:numPr>
        <w:numId w:val="1"/>
      </w:numPr>
      <w:spacing w:after="160" w:line="360" w:lineRule="auto"/>
      <w:outlineLvl w:val="3"/>
    </w:pPr>
    <w:rPr>
      <w:rFonts w:ascii="Times New Roman" w:hAnsi="Times New Roman"/>
      <w:i/>
      <w:iCs/>
      <w:szCs w:val="26"/>
    </w:rPr>
  </w:style>
  <w:style w:type="paragraph" w:styleId="Heading6">
    <w:name w:val="heading 6"/>
    <w:basedOn w:val="Normal"/>
    <w:next w:val="Normal"/>
    <w:link w:val="Heading6Char"/>
    <w:uiPriority w:val="9"/>
    <w:semiHidden/>
    <w:unhideWhenUsed/>
    <w:qFormat/>
    <w:rsid w:val="0085208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52084"/>
    <w:pPr>
      <w:spacing w:before="240" w:after="60"/>
      <w:outlineLvl w:val="6"/>
    </w:pPr>
    <w:rPr>
      <w:sz w:val="24"/>
    </w:rPr>
  </w:style>
  <w:style w:type="paragraph" w:styleId="Heading8">
    <w:name w:val="heading 8"/>
    <w:basedOn w:val="Normal"/>
    <w:next w:val="Normal"/>
    <w:link w:val="Heading8Char"/>
    <w:uiPriority w:val="9"/>
    <w:semiHidden/>
    <w:unhideWhenUsed/>
    <w:qFormat/>
    <w:rsid w:val="0085208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5208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520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52084"/>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852084"/>
    <w:rPr>
      <w:b/>
      <w:bCs/>
    </w:rPr>
  </w:style>
  <w:style w:type="character" w:customStyle="1" w:styleId="Heading7Char">
    <w:name w:val="Heading 7 Char"/>
    <w:basedOn w:val="DefaultParagraphFont"/>
    <w:link w:val="Heading7"/>
    <w:uiPriority w:val="9"/>
    <w:semiHidden/>
    <w:rsid w:val="00852084"/>
    <w:rPr>
      <w:sz w:val="24"/>
      <w:szCs w:val="24"/>
    </w:rPr>
  </w:style>
  <w:style w:type="character" w:customStyle="1" w:styleId="Heading8Char">
    <w:name w:val="Heading 8 Char"/>
    <w:basedOn w:val="DefaultParagraphFont"/>
    <w:link w:val="Heading8"/>
    <w:uiPriority w:val="9"/>
    <w:semiHidden/>
    <w:rsid w:val="00852084"/>
    <w:rPr>
      <w:i/>
      <w:iCs/>
      <w:sz w:val="24"/>
      <w:szCs w:val="24"/>
    </w:rPr>
  </w:style>
  <w:style w:type="character" w:customStyle="1" w:styleId="Heading9Char">
    <w:name w:val="Heading 9 Char"/>
    <w:basedOn w:val="DefaultParagraphFont"/>
    <w:link w:val="Heading9"/>
    <w:uiPriority w:val="9"/>
    <w:semiHidden/>
    <w:rsid w:val="00852084"/>
    <w:rPr>
      <w:rFonts w:asciiTheme="majorHAnsi" w:eastAsiaTheme="majorEastAsia" w:hAnsiTheme="majorHAnsi"/>
    </w:rPr>
  </w:style>
  <w:style w:type="paragraph" w:styleId="Title">
    <w:name w:val="Title"/>
    <w:basedOn w:val="Normal"/>
    <w:next w:val="Normal"/>
    <w:link w:val="TitleChar"/>
    <w:uiPriority w:val="10"/>
    <w:qFormat/>
    <w:rsid w:val="008520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20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208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5208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52084"/>
    <w:pPr>
      <w:outlineLvl w:val="9"/>
    </w:pPr>
  </w:style>
  <w:style w:type="paragraph" w:styleId="ListParagraph">
    <w:name w:val="List Paragraph"/>
    <w:basedOn w:val="Normal"/>
    <w:uiPriority w:val="34"/>
    <w:qFormat/>
    <w:rsid w:val="00170D0D"/>
    <w:pPr>
      <w:ind w:left="720"/>
      <w:contextualSpacing/>
    </w:pPr>
  </w:style>
  <w:style w:type="paragraph" w:styleId="Header">
    <w:name w:val="header"/>
    <w:basedOn w:val="Normal"/>
    <w:link w:val="HeaderChar"/>
    <w:uiPriority w:val="99"/>
    <w:unhideWhenUsed/>
    <w:rsid w:val="00413814"/>
    <w:pPr>
      <w:tabs>
        <w:tab w:val="center" w:pos="4680"/>
        <w:tab w:val="right" w:pos="9360"/>
      </w:tabs>
    </w:pPr>
  </w:style>
  <w:style w:type="character" w:customStyle="1" w:styleId="HeaderChar">
    <w:name w:val="Header Char"/>
    <w:basedOn w:val="DefaultParagraphFont"/>
    <w:link w:val="Header"/>
    <w:uiPriority w:val="99"/>
    <w:rsid w:val="00413814"/>
    <w:rPr>
      <w:szCs w:val="24"/>
    </w:rPr>
  </w:style>
  <w:style w:type="paragraph" w:styleId="Footer">
    <w:name w:val="footer"/>
    <w:basedOn w:val="Normal"/>
    <w:link w:val="FooterChar"/>
    <w:uiPriority w:val="99"/>
    <w:unhideWhenUsed/>
    <w:rsid w:val="00413814"/>
    <w:pPr>
      <w:tabs>
        <w:tab w:val="center" w:pos="4680"/>
        <w:tab w:val="right" w:pos="9360"/>
      </w:tabs>
    </w:pPr>
  </w:style>
  <w:style w:type="character" w:customStyle="1" w:styleId="FooterChar">
    <w:name w:val="Footer Char"/>
    <w:basedOn w:val="DefaultParagraphFont"/>
    <w:link w:val="Footer"/>
    <w:uiPriority w:val="99"/>
    <w:rsid w:val="00413814"/>
    <w:rPr>
      <w:szCs w:val="24"/>
    </w:rPr>
  </w:style>
  <w:style w:type="paragraph" w:styleId="FootnoteText">
    <w:name w:val="footnote text"/>
    <w:basedOn w:val="Normal"/>
    <w:link w:val="FootnoteTextChar"/>
    <w:uiPriority w:val="99"/>
    <w:unhideWhenUsed/>
    <w:rsid w:val="00B273CE"/>
    <w:rPr>
      <w:sz w:val="20"/>
      <w:szCs w:val="20"/>
    </w:rPr>
  </w:style>
  <w:style w:type="character" w:customStyle="1" w:styleId="FootnoteTextChar">
    <w:name w:val="Footnote Text Char"/>
    <w:basedOn w:val="DefaultParagraphFont"/>
    <w:link w:val="FootnoteText"/>
    <w:uiPriority w:val="99"/>
    <w:rsid w:val="00B273CE"/>
    <w:rPr>
      <w:sz w:val="20"/>
      <w:szCs w:val="20"/>
    </w:rPr>
  </w:style>
  <w:style w:type="character" w:styleId="FootnoteReference">
    <w:name w:val="footnote reference"/>
    <w:basedOn w:val="DefaultParagraphFont"/>
    <w:uiPriority w:val="99"/>
    <w:semiHidden/>
    <w:unhideWhenUsed/>
    <w:rsid w:val="00B273CE"/>
    <w:rPr>
      <w:vertAlign w:val="superscript"/>
    </w:rPr>
  </w:style>
  <w:style w:type="character" w:styleId="Emphasis">
    <w:name w:val="Emphasis"/>
    <w:basedOn w:val="DefaultParagraphFont"/>
    <w:uiPriority w:val="20"/>
    <w:qFormat/>
    <w:rsid w:val="008022D7"/>
    <w:rPr>
      <w:i/>
      <w:iCs/>
    </w:rPr>
  </w:style>
  <w:style w:type="character" w:customStyle="1" w:styleId="cohl">
    <w:name w:val="co_hl"/>
    <w:basedOn w:val="DefaultParagraphFont"/>
    <w:rsid w:val="00C21AE8"/>
  </w:style>
  <w:style w:type="character" w:customStyle="1" w:styleId="costarpage">
    <w:name w:val="co_starpage"/>
    <w:basedOn w:val="DefaultParagraphFont"/>
    <w:rsid w:val="00824AC0"/>
  </w:style>
  <w:style w:type="character" w:styleId="CommentReference">
    <w:name w:val="annotation reference"/>
    <w:basedOn w:val="DefaultParagraphFont"/>
    <w:uiPriority w:val="99"/>
    <w:semiHidden/>
    <w:unhideWhenUsed/>
    <w:rsid w:val="00625CE2"/>
    <w:rPr>
      <w:sz w:val="16"/>
      <w:szCs w:val="16"/>
    </w:rPr>
  </w:style>
  <w:style w:type="paragraph" w:styleId="CommentText">
    <w:name w:val="annotation text"/>
    <w:basedOn w:val="Normal"/>
    <w:link w:val="CommentTextChar"/>
    <w:uiPriority w:val="99"/>
    <w:unhideWhenUsed/>
    <w:rsid w:val="00625CE2"/>
    <w:rPr>
      <w:sz w:val="20"/>
      <w:szCs w:val="20"/>
    </w:rPr>
  </w:style>
  <w:style w:type="character" w:customStyle="1" w:styleId="CommentTextChar">
    <w:name w:val="Comment Text Char"/>
    <w:basedOn w:val="DefaultParagraphFont"/>
    <w:link w:val="CommentText"/>
    <w:uiPriority w:val="99"/>
    <w:rsid w:val="00625CE2"/>
    <w:rPr>
      <w:sz w:val="20"/>
      <w:szCs w:val="20"/>
    </w:rPr>
  </w:style>
  <w:style w:type="paragraph" w:styleId="CommentSubject">
    <w:name w:val="annotation subject"/>
    <w:basedOn w:val="CommentText"/>
    <w:next w:val="CommentText"/>
    <w:link w:val="CommentSubjectChar"/>
    <w:uiPriority w:val="99"/>
    <w:semiHidden/>
    <w:unhideWhenUsed/>
    <w:rsid w:val="00625CE2"/>
    <w:rPr>
      <w:b/>
      <w:bCs/>
    </w:rPr>
  </w:style>
  <w:style w:type="character" w:customStyle="1" w:styleId="CommentSubjectChar">
    <w:name w:val="Comment Subject Char"/>
    <w:basedOn w:val="CommentTextChar"/>
    <w:link w:val="CommentSubject"/>
    <w:uiPriority w:val="99"/>
    <w:semiHidden/>
    <w:rsid w:val="00625CE2"/>
    <w:rPr>
      <w:b/>
      <w:bCs/>
      <w:sz w:val="20"/>
      <w:szCs w:val="20"/>
    </w:rPr>
  </w:style>
  <w:style w:type="paragraph" w:styleId="Revision">
    <w:name w:val="Revision"/>
    <w:hidden/>
    <w:uiPriority w:val="99"/>
    <w:semiHidden/>
    <w:rsid w:val="00DB08DF"/>
    <w:rPr>
      <w:szCs w:val="24"/>
    </w:rPr>
  </w:style>
  <w:style w:type="character" w:customStyle="1" w:styleId="ssrfcpassagedeactivated">
    <w:name w:val="ss_rfcpassage_deactivated"/>
    <w:basedOn w:val="DefaultParagraphFont"/>
    <w:rsid w:val="00E156E0"/>
  </w:style>
  <w:style w:type="character" w:customStyle="1" w:styleId="acb">
    <w:name w:val="acb"/>
    <w:basedOn w:val="DefaultParagraphFont"/>
    <w:rsid w:val="00E156E0"/>
  </w:style>
  <w:style w:type="character" w:customStyle="1" w:styleId="coconcept136">
    <w:name w:val="co_concept_1_36"/>
    <w:basedOn w:val="DefaultParagraphFont"/>
    <w:rsid w:val="00AA0CBA"/>
  </w:style>
  <w:style w:type="character" w:customStyle="1" w:styleId="Heading4Char">
    <w:name w:val="Heading 4 Char"/>
    <w:basedOn w:val="DefaultParagraphFont"/>
    <w:link w:val="Heading4"/>
    <w:uiPriority w:val="9"/>
    <w:rsid w:val="00CC0E38"/>
    <w:rPr>
      <w:rFonts w:ascii="Times New Roman" w:hAnsi="Times New Roman"/>
      <w:i/>
      <w:iCs/>
    </w:rPr>
  </w:style>
  <w:style w:type="paragraph" w:customStyle="1" w:styleId="Text">
    <w:name w:val="Text"/>
    <w:basedOn w:val="Normal"/>
    <w:rsid w:val="00CC0E38"/>
    <w:pPr>
      <w:spacing w:line="480" w:lineRule="atLeast"/>
      <w:ind w:firstLine="720"/>
    </w:pPr>
    <w:rPr>
      <w:rFonts w:ascii="Times New Roman" w:eastAsia="Times New Roman" w:hAnsi="Times New Roman"/>
      <w:szCs w:val="20"/>
    </w:rPr>
  </w:style>
  <w:style w:type="paragraph" w:customStyle="1" w:styleId="xmsonormal">
    <w:name w:val="x_msonormal"/>
    <w:basedOn w:val="Normal"/>
    <w:rsid w:val="00CC0E38"/>
    <w:rPr>
      <w:rFonts w:ascii="Calibri" w:hAnsi="Calibri" w:cs="Calibri"/>
      <w:szCs w:val="22"/>
    </w:rPr>
  </w:style>
  <w:style w:type="character" w:styleId="Hyperlink">
    <w:name w:val="Hyperlink"/>
    <w:basedOn w:val="DefaultParagraphFont"/>
    <w:uiPriority w:val="99"/>
    <w:unhideWhenUsed/>
    <w:rsid w:val="00CC0E38"/>
    <w:rPr>
      <w:color w:val="0000FF" w:themeColor="hyperlink"/>
      <w:u w:val="single"/>
    </w:rPr>
  </w:style>
  <w:style w:type="paragraph" w:styleId="BodyText">
    <w:name w:val="Body Text"/>
    <w:basedOn w:val="Normal"/>
    <w:link w:val="BodyTextChar"/>
    <w:uiPriority w:val="99"/>
    <w:unhideWhenUsed/>
    <w:rsid w:val="00CC0E38"/>
    <w:pPr>
      <w:spacing w:after="120" w:line="259" w:lineRule="auto"/>
    </w:pPr>
    <w:rPr>
      <w:rFonts w:ascii="Times New Roman" w:hAnsi="Times New Roman" w:cstheme="minorBidi"/>
      <w:szCs w:val="22"/>
    </w:rPr>
  </w:style>
  <w:style w:type="character" w:customStyle="1" w:styleId="BodyTextChar">
    <w:name w:val="Body Text Char"/>
    <w:basedOn w:val="DefaultParagraphFont"/>
    <w:link w:val="BodyText"/>
    <w:uiPriority w:val="99"/>
    <w:rsid w:val="00CC0E38"/>
    <w:rPr>
      <w:rFonts w:ascii="Times New Roman" w:hAnsi="Times New Roman" w:cstheme="minorBidi"/>
      <w:szCs w:val="22"/>
    </w:rPr>
  </w:style>
  <w:style w:type="character" w:customStyle="1" w:styleId="UnresolvedMention1">
    <w:name w:val="Unresolved Mention1"/>
    <w:basedOn w:val="DefaultParagraphFont"/>
    <w:uiPriority w:val="99"/>
    <w:semiHidden/>
    <w:unhideWhenUsed/>
    <w:rsid w:val="00CC0E38"/>
    <w:rPr>
      <w:color w:val="605E5C"/>
      <w:shd w:val="clear" w:color="auto" w:fill="E1DFDD"/>
    </w:rPr>
  </w:style>
  <w:style w:type="character" w:styleId="FollowedHyperlink">
    <w:name w:val="FollowedHyperlink"/>
    <w:basedOn w:val="DefaultParagraphFont"/>
    <w:uiPriority w:val="99"/>
    <w:semiHidden/>
    <w:unhideWhenUsed/>
    <w:rsid w:val="00CC0E38"/>
    <w:rPr>
      <w:color w:val="800080" w:themeColor="followedHyperlink"/>
      <w:u w:val="single"/>
    </w:rPr>
  </w:style>
  <w:style w:type="character" w:customStyle="1" w:styleId="ssit">
    <w:name w:val="ss_it"/>
    <w:basedOn w:val="DefaultParagraphFont"/>
    <w:rsid w:val="00CC0E38"/>
  </w:style>
  <w:style w:type="paragraph" w:styleId="NoSpacing">
    <w:name w:val="No Spacing"/>
    <w:uiPriority w:val="1"/>
    <w:qFormat/>
    <w:rsid w:val="00CC0E38"/>
    <w:rPr>
      <w:rFonts w:cstheme="minorBidi"/>
      <w:sz w:val="22"/>
      <w:szCs w:val="22"/>
    </w:rPr>
  </w:style>
  <w:style w:type="paragraph" w:styleId="Date">
    <w:name w:val="Date"/>
    <w:basedOn w:val="Normal"/>
    <w:next w:val="Normal"/>
    <w:link w:val="DateChar"/>
    <w:uiPriority w:val="99"/>
    <w:unhideWhenUsed/>
    <w:rsid w:val="00CC0E38"/>
    <w:pPr>
      <w:spacing w:after="160" w:line="259" w:lineRule="auto"/>
    </w:pPr>
    <w:rPr>
      <w:rFonts w:ascii="Times New Roman" w:hAnsi="Times New Roman" w:cstheme="minorBidi"/>
      <w:szCs w:val="22"/>
    </w:rPr>
  </w:style>
  <w:style w:type="character" w:customStyle="1" w:styleId="DateChar">
    <w:name w:val="Date Char"/>
    <w:basedOn w:val="DefaultParagraphFont"/>
    <w:link w:val="Date"/>
    <w:uiPriority w:val="99"/>
    <w:rsid w:val="00CC0E38"/>
    <w:rPr>
      <w:rFonts w:ascii="Times New Roman" w:hAnsi="Times New Roman" w:cstheme="minorBidi"/>
      <w:szCs w:val="22"/>
    </w:rPr>
  </w:style>
  <w:style w:type="paragraph" w:styleId="BodyTextFirstIndent">
    <w:name w:val="Body Text First Indent"/>
    <w:basedOn w:val="BodyText"/>
    <w:link w:val="BodyTextFirstIndentChar"/>
    <w:uiPriority w:val="99"/>
    <w:unhideWhenUsed/>
    <w:rsid w:val="00CC0E38"/>
    <w:pPr>
      <w:spacing w:after="160"/>
      <w:ind w:firstLine="360"/>
    </w:pPr>
  </w:style>
  <w:style w:type="character" w:customStyle="1" w:styleId="BodyTextFirstIndentChar">
    <w:name w:val="Body Text First Indent Char"/>
    <w:basedOn w:val="BodyTextChar"/>
    <w:link w:val="BodyTextFirstIndent"/>
    <w:uiPriority w:val="99"/>
    <w:rsid w:val="00CC0E38"/>
    <w:rPr>
      <w:rFonts w:ascii="Times New Roman" w:hAnsi="Times New Roman" w:cstheme="minorBidi"/>
      <w:szCs w:val="22"/>
    </w:rPr>
  </w:style>
  <w:style w:type="paragraph" w:styleId="BodyTextIndent">
    <w:name w:val="Body Text Indent"/>
    <w:basedOn w:val="Normal"/>
    <w:link w:val="BodyTextIndentChar"/>
    <w:uiPriority w:val="99"/>
    <w:semiHidden/>
    <w:unhideWhenUsed/>
    <w:rsid w:val="00CC0E38"/>
    <w:pPr>
      <w:spacing w:after="120" w:line="259" w:lineRule="auto"/>
      <w:ind w:left="360"/>
    </w:pPr>
    <w:rPr>
      <w:rFonts w:ascii="Times New Roman" w:hAnsi="Times New Roman" w:cstheme="minorBidi"/>
      <w:szCs w:val="22"/>
    </w:rPr>
  </w:style>
  <w:style w:type="character" w:customStyle="1" w:styleId="BodyTextIndentChar">
    <w:name w:val="Body Text Indent Char"/>
    <w:basedOn w:val="DefaultParagraphFont"/>
    <w:link w:val="BodyTextIndent"/>
    <w:uiPriority w:val="99"/>
    <w:semiHidden/>
    <w:rsid w:val="00CC0E38"/>
    <w:rPr>
      <w:rFonts w:ascii="Times New Roman" w:hAnsi="Times New Roman" w:cstheme="minorBidi"/>
      <w:szCs w:val="22"/>
    </w:rPr>
  </w:style>
  <w:style w:type="paragraph" w:styleId="BodyTextFirstIndent2">
    <w:name w:val="Body Text First Indent 2"/>
    <w:basedOn w:val="BodyTextIndent"/>
    <w:link w:val="BodyTextFirstIndent2Char"/>
    <w:uiPriority w:val="99"/>
    <w:unhideWhenUsed/>
    <w:rsid w:val="00CC0E38"/>
    <w:pPr>
      <w:spacing w:after="160"/>
      <w:ind w:firstLine="360"/>
    </w:pPr>
  </w:style>
  <w:style w:type="character" w:customStyle="1" w:styleId="BodyTextFirstIndent2Char">
    <w:name w:val="Body Text First Indent 2 Char"/>
    <w:basedOn w:val="BodyTextIndentChar"/>
    <w:link w:val="BodyTextFirstIndent2"/>
    <w:uiPriority w:val="99"/>
    <w:rsid w:val="00CC0E38"/>
    <w:rPr>
      <w:rFonts w:ascii="Times New Roman" w:hAnsi="Times New Roman" w:cstheme="minorBidi"/>
      <w:szCs w:val="22"/>
    </w:rPr>
  </w:style>
  <w:style w:type="character" w:styleId="PageNumber">
    <w:name w:val="page number"/>
    <w:basedOn w:val="DefaultParagraphFont"/>
    <w:uiPriority w:val="99"/>
    <w:semiHidden/>
    <w:unhideWhenUsed/>
    <w:rsid w:val="00CC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C0BE-9D16-4A49-9969-8AFCF0A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7996</Words>
  <Characters>45579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2023-08-23T16:31:00Z</dcterms:created>
  <dcterms:modified xsi:type="dcterms:W3CDTF">2023-08-23T16:47:00Z</dcterms:modified>
</cp:coreProperties>
</file>