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1B05" w14:textId="77777777" w:rsidR="00446EBF" w:rsidRPr="00446EBF" w:rsidRDefault="00446EBF" w:rsidP="00446EBF">
      <w:pPr>
        <w:tabs>
          <w:tab w:val="left" w:pos="1440"/>
          <w:tab w:val="left" w:pos="4680"/>
          <w:tab w:val="center" w:pos="7200"/>
        </w:tabs>
        <w:spacing w:after="0"/>
        <w:jc w:val="left"/>
        <w:rPr>
          <w:bCs/>
          <w:sz w:val="20"/>
        </w:rPr>
      </w:pPr>
      <w:r w:rsidRPr="00446EBF">
        <w:rPr>
          <w:bCs/>
          <w:sz w:val="20"/>
        </w:rPr>
        <w:t xml:space="preserve">Filed </w:t>
      </w:r>
      <w:proofErr w:type="gramStart"/>
      <w:r w:rsidRPr="00446EBF">
        <w:rPr>
          <w:bCs/>
          <w:sz w:val="20"/>
        </w:rPr>
        <w:t>2/15/23</w:t>
      </w:r>
      <w:proofErr w:type="gramEnd"/>
    </w:p>
    <w:p w14:paraId="4FFC5672" w14:textId="77777777" w:rsidR="00446EBF" w:rsidRPr="00446EBF" w:rsidRDefault="00446EBF" w:rsidP="00446EBF">
      <w:pPr>
        <w:tabs>
          <w:tab w:val="left" w:pos="1440"/>
          <w:tab w:val="left" w:pos="4680"/>
          <w:tab w:val="center" w:pos="7200"/>
        </w:tabs>
        <w:spacing w:after="0"/>
        <w:jc w:val="center"/>
        <w:rPr>
          <w:sz w:val="36"/>
          <w:szCs w:val="36"/>
        </w:rPr>
      </w:pPr>
      <w:r w:rsidRPr="00446EBF">
        <w:rPr>
          <w:b/>
          <w:sz w:val="36"/>
          <w:szCs w:val="36"/>
        </w:rPr>
        <w:t>IN THE SUPREME COURT OF CALIFORNIA</w:t>
      </w:r>
    </w:p>
    <w:p w14:paraId="1E8D4622" w14:textId="77777777" w:rsidR="00446EBF" w:rsidRPr="00446EBF" w:rsidRDefault="00446EBF" w:rsidP="00446EBF">
      <w:pPr>
        <w:tabs>
          <w:tab w:val="left" w:pos="1440"/>
          <w:tab w:val="left" w:pos="4680"/>
          <w:tab w:val="center" w:pos="7200"/>
        </w:tabs>
        <w:spacing w:after="0"/>
        <w:jc w:val="center"/>
        <w:rPr>
          <w:szCs w:val="27"/>
        </w:rPr>
      </w:pPr>
    </w:p>
    <w:p w14:paraId="2CC83D5A"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THE PEOPLE,</w:t>
      </w:r>
    </w:p>
    <w:p w14:paraId="18E6659D"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Plaintiff and Respondent,</w:t>
      </w:r>
    </w:p>
    <w:p w14:paraId="59D4E930"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v.</w:t>
      </w:r>
    </w:p>
    <w:p w14:paraId="5802B645"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JOSE DE JESUS DELGADILLO,</w:t>
      </w:r>
    </w:p>
    <w:p w14:paraId="7B175B1E"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Defendant and Appellant.</w:t>
      </w:r>
    </w:p>
    <w:p w14:paraId="4A0F76DF" w14:textId="77777777" w:rsidR="00446EBF" w:rsidRPr="00446EBF" w:rsidRDefault="00446EBF" w:rsidP="00446EBF">
      <w:pPr>
        <w:tabs>
          <w:tab w:val="left" w:pos="1440"/>
          <w:tab w:val="left" w:pos="4680"/>
          <w:tab w:val="center" w:pos="7200"/>
        </w:tabs>
        <w:spacing w:after="0"/>
        <w:jc w:val="center"/>
        <w:rPr>
          <w:szCs w:val="27"/>
        </w:rPr>
      </w:pPr>
    </w:p>
    <w:p w14:paraId="4E503548"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S266305</w:t>
      </w:r>
    </w:p>
    <w:p w14:paraId="7618F70D" w14:textId="77777777" w:rsidR="00446EBF" w:rsidRPr="00446EBF" w:rsidRDefault="00446EBF" w:rsidP="00446EBF">
      <w:pPr>
        <w:tabs>
          <w:tab w:val="left" w:pos="1440"/>
          <w:tab w:val="left" w:pos="4680"/>
          <w:tab w:val="center" w:pos="7200"/>
        </w:tabs>
        <w:spacing w:after="0"/>
        <w:jc w:val="center"/>
        <w:rPr>
          <w:szCs w:val="27"/>
        </w:rPr>
      </w:pPr>
    </w:p>
    <w:p w14:paraId="36CA9D24"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Second Appellate District, Division Four</w:t>
      </w:r>
    </w:p>
    <w:p w14:paraId="15FB4BD1"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B304441</w:t>
      </w:r>
    </w:p>
    <w:p w14:paraId="64984D51" w14:textId="77777777" w:rsidR="00446EBF" w:rsidRPr="00446EBF" w:rsidRDefault="00446EBF" w:rsidP="00446EBF">
      <w:pPr>
        <w:tabs>
          <w:tab w:val="left" w:pos="1440"/>
          <w:tab w:val="left" w:pos="4680"/>
          <w:tab w:val="center" w:pos="7200"/>
        </w:tabs>
        <w:spacing w:after="0"/>
        <w:jc w:val="center"/>
        <w:rPr>
          <w:szCs w:val="27"/>
        </w:rPr>
      </w:pPr>
    </w:p>
    <w:p w14:paraId="41DB05B3"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Los Angeles County Superior Court</w:t>
      </w:r>
    </w:p>
    <w:p w14:paraId="0A7685BD" w14:textId="77777777" w:rsidR="00446EBF" w:rsidRPr="00446EBF" w:rsidRDefault="00446EBF" w:rsidP="00446EBF">
      <w:pPr>
        <w:tabs>
          <w:tab w:val="left" w:pos="1440"/>
          <w:tab w:val="left" w:pos="4680"/>
          <w:tab w:val="center" w:pos="7200"/>
        </w:tabs>
        <w:spacing w:after="0"/>
        <w:jc w:val="center"/>
        <w:rPr>
          <w:szCs w:val="27"/>
        </w:rPr>
      </w:pPr>
      <w:r w:rsidRPr="00446EBF">
        <w:rPr>
          <w:szCs w:val="27"/>
        </w:rPr>
        <w:t>BA436900</w:t>
      </w:r>
    </w:p>
    <w:p w14:paraId="7FF551BD" w14:textId="77777777" w:rsidR="00446EBF" w:rsidRPr="00446EBF" w:rsidRDefault="00446EBF" w:rsidP="00446EBF">
      <w:pPr>
        <w:pBdr>
          <w:bottom w:val="single" w:sz="4" w:space="1" w:color="auto"/>
        </w:pBdr>
        <w:tabs>
          <w:tab w:val="left" w:pos="1440"/>
          <w:tab w:val="left" w:pos="4680"/>
          <w:tab w:val="center" w:pos="7200"/>
        </w:tabs>
        <w:spacing w:after="0"/>
        <w:jc w:val="center"/>
        <w:rPr>
          <w:szCs w:val="27"/>
        </w:rPr>
      </w:pPr>
    </w:p>
    <w:p w14:paraId="014DB4B4" w14:textId="77777777" w:rsidR="00446EBF" w:rsidRPr="00446EBF" w:rsidRDefault="00446EBF" w:rsidP="00446EBF">
      <w:pPr>
        <w:tabs>
          <w:tab w:val="left" w:pos="1440"/>
          <w:tab w:val="left" w:pos="4680"/>
          <w:tab w:val="center" w:pos="7200"/>
        </w:tabs>
        <w:spacing w:after="0"/>
        <w:jc w:val="center"/>
        <w:rPr>
          <w:szCs w:val="27"/>
        </w:rPr>
      </w:pPr>
    </w:p>
    <w:p w14:paraId="1D1A0661" w14:textId="77777777" w:rsidR="00446EBF" w:rsidRPr="00446EBF" w:rsidRDefault="00446EBF" w:rsidP="00446EBF">
      <w:pPr>
        <w:tabs>
          <w:tab w:val="left" w:pos="1440"/>
          <w:tab w:val="left" w:pos="4680"/>
          <w:tab w:val="center" w:pos="7200"/>
        </w:tabs>
        <w:spacing w:after="0"/>
        <w:jc w:val="center"/>
        <w:rPr>
          <w:b/>
          <w:bCs/>
          <w:szCs w:val="27"/>
        </w:rPr>
      </w:pPr>
      <w:bookmarkStart w:id="0" w:name="MarkDocLoc"/>
      <w:bookmarkEnd w:id="0"/>
      <w:r w:rsidRPr="00446EBF">
        <w:rPr>
          <w:b/>
          <w:bCs/>
          <w:szCs w:val="27"/>
        </w:rPr>
        <w:t>ORDER MODIFYING OPINION</w:t>
      </w:r>
    </w:p>
    <w:p w14:paraId="0A73786E" w14:textId="77777777" w:rsidR="00446EBF" w:rsidRPr="00446EBF" w:rsidRDefault="00446EBF" w:rsidP="00446EBF">
      <w:pPr>
        <w:tabs>
          <w:tab w:val="left" w:pos="1440"/>
          <w:tab w:val="left" w:pos="4680"/>
          <w:tab w:val="center" w:pos="7200"/>
        </w:tabs>
        <w:spacing w:after="0"/>
        <w:jc w:val="center"/>
        <w:rPr>
          <w:b/>
          <w:bCs/>
          <w:szCs w:val="27"/>
        </w:rPr>
      </w:pPr>
    </w:p>
    <w:p w14:paraId="0ADFD3FE" w14:textId="77777777" w:rsidR="00446EBF" w:rsidRPr="00446EBF" w:rsidRDefault="00446EBF" w:rsidP="00446EBF">
      <w:pPr>
        <w:tabs>
          <w:tab w:val="left" w:pos="1440"/>
          <w:tab w:val="left" w:pos="4680"/>
          <w:tab w:val="center" w:pos="7200"/>
        </w:tabs>
        <w:spacing w:after="0"/>
        <w:jc w:val="left"/>
        <w:rPr>
          <w:szCs w:val="27"/>
        </w:rPr>
      </w:pPr>
      <w:r w:rsidRPr="00446EBF">
        <w:rPr>
          <w:szCs w:val="27"/>
        </w:rPr>
        <w:t>THE COURT:</w:t>
      </w:r>
    </w:p>
    <w:p w14:paraId="47D45FB2" w14:textId="77777777" w:rsidR="00446EBF" w:rsidRPr="00446EBF" w:rsidRDefault="00446EBF" w:rsidP="00446EBF">
      <w:pPr>
        <w:tabs>
          <w:tab w:val="left" w:pos="1440"/>
          <w:tab w:val="left" w:pos="4680"/>
          <w:tab w:val="center" w:pos="7200"/>
        </w:tabs>
        <w:spacing w:after="0"/>
        <w:jc w:val="left"/>
        <w:rPr>
          <w:szCs w:val="27"/>
        </w:rPr>
      </w:pPr>
    </w:p>
    <w:p w14:paraId="39681C80" w14:textId="77777777" w:rsidR="00446EBF" w:rsidRPr="00446EBF" w:rsidRDefault="00446EBF" w:rsidP="00446EBF">
      <w:pPr>
        <w:spacing w:after="0"/>
        <w:ind w:firstLine="720"/>
        <w:jc w:val="left"/>
        <w:rPr>
          <w:szCs w:val="27"/>
        </w:rPr>
      </w:pPr>
      <w:r w:rsidRPr="00446EBF">
        <w:rPr>
          <w:szCs w:val="27"/>
        </w:rPr>
        <w:t>The majority opinion in this case, filed on December 19, 2022, and appearing at 14 Cal.5th 216, is modified as follows:</w:t>
      </w:r>
    </w:p>
    <w:p w14:paraId="6A1A1AC9" w14:textId="77777777" w:rsidR="00446EBF" w:rsidRPr="00446EBF" w:rsidRDefault="00446EBF" w:rsidP="00446EBF">
      <w:pPr>
        <w:spacing w:after="0"/>
        <w:jc w:val="left"/>
        <w:rPr>
          <w:szCs w:val="27"/>
        </w:rPr>
      </w:pPr>
      <w:r w:rsidRPr="00446EBF">
        <w:rPr>
          <w:szCs w:val="27"/>
        </w:rPr>
        <w:t>1.</w:t>
      </w:r>
      <w:r w:rsidRPr="00446EBF">
        <w:rPr>
          <w:szCs w:val="27"/>
        </w:rPr>
        <w:tab/>
        <w:t xml:space="preserve">Footnote 2 on page 222 presently reads:  “The brief summary of facts is drawn from the Court of Appeal’s prior opinion in Delgadillo’s direct appeal.”  After the only sentence in that footnote, add the following text:  “We rely on that opinion solely for the purpose of summarizing the background of this case; our consideration of whether Delgadillo is entitled </w:t>
      </w:r>
      <w:r w:rsidRPr="00446EBF">
        <w:rPr>
          <w:szCs w:val="27"/>
        </w:rPr>
        <w:lastRenderedPageBreak/>
        <w:t>to relief under section 1172.6 is based on our independent review of the record of conviction.”  As modified, the footnote reads as follows:</w:t>
      </w:r>
    </w:p>
    <w:p w14:paraId="06828B62" w14:textId="77777777" w:rsidR="00446EBF" w:rsidRPr="00446EBF" w:rsidRDefault="00446EBF" w:rsidP="00446EBF">
      <w:pPr>
        <w:spacing w:after="0" w:line="480" w:lineRule="atLeast"/>
        <w:jc w:val="left"/>
        <w:rPr>
          <w:szCs w:val="27"/>
        </w:rPr>
      </w:pPr>
    </w:p>
    <w:p w14:paraId="5929D377" w14:textId="77777777" w:rsidR="00446EBF" w:rsidRPr="00446EBF" w:rsidRDefault="00446EBF" w:rsidP="00446EBF">
      <w:pPr>
        <w:spacing w:after="0" w:line="240" w:lineRule="auto"/>
        <w:ind w:left="720"/>
        <w:jc w:val="left"/>
        <w:rPr>
          <w:szCs w:val="27"/>
        </w:rPr>
      </w:pPr>
      <w:r w:rsidRPr="00446EBF">
        <w:rPr>
          <w:szCs w:val="27"/>
        </w:rPr>
        <w:t>The brief summary of facts is drawn from the Court of Appeal’s prior opinion in Delgadillo’s direct appeal.  We rely on that opinion solely for the purpose of summarizing the background of this case; our consideration of whether Delgadillo is entitled to relief under section 1172.6 is based on our independent review of the record of conviction.</w:t>
      </w:r>
    </w:p>
    <w:p w14:paraId="34A26428" w14:textId="77777777" w:rsidR="00446EBF" w:rsidRPr="00446EBF" w:rsidRDefault="00446EBF" w:rsidP="00446EBF">
      <w:pPr>
        <w:spacing w:after="0" w:line="480" w:lineRule="atLeast"/>
        <w:jc w:val="left"/>
        <w:rPr>
          <w:szCs w:val="27"/>
        </w:rPr>
      </w:pPr>
    </w:p>
    <w:p w14:paraId="54E929E6" w14:textId="77777777" w:rsidR="00446EBF" w:rsidRPr="00446EBF" w:rsidRDefault="00446EBF" w:rsidP="00446EBF">
      <w:pPr>
        <w:spacing w:after="0"/>
        <w:jc w:val="left"/>
        <w:rPr>
          <w:szCs w:val="27"/>
        </w:rPr>
      </w:pPr>
      <w:r w:rsidRPr="00446EBF">
        <w:rPr>
          <w:szCs w:val="27"/>
        </w:rPr>
        <w:t>2.</w:t>
      </w:r>
      <w:r w:rsidRPr="00446EBF">
        <w:rPr>
          <w:szCs w:val="27"/>
        </w:rPr>
        <w:tab/>
        <w:t>The third sentence of the only full paragraph on page 233 presently reads:  “Specifically, eyewitnesses identified him as the driver of a Ford Explorer that crossed into incoming traffic and crashed into another vehicle, killing the passenger.”  That sentence is deleted.  As modified, the paragraph reads as follows:</w:t>
      </w:r>
    </w:p>
    <w:p w14:paraId="0FF92E74" w14:textId="77777777" w:rsidR="00446EBF" w:rsidRPr="00446EBF" w:rsidRDefault="00446EBF" w:rsidP="00446EBF">
      <w:pPr>
        <w:spacing w:after="0" w:line="480" w:lineRule="atLeast"/>
        <w:jc w:val="left"/>
        <w:rPr>
          <w:szCs w:val="27"/>
        </w:rPr>
      </w:pPr>
    </w:p>
    <w:p w14:paraId="6577E012" w14:textId="77777777" w:rsidR="00446EBF" w:rsidRPr="00446EBF" w:rsidRDefault="00446EBF" w:rsidP="00446EBF">
      <w:pPr>
        <w:spacing w:after="0" w:line="240" w:lineRule="auto"/>
        <w:ind w:left="720"/>
        <w:jc w:val="left"/>
        <w:rPr>
          <w:szCs w:val="27"/>
        </w:rPr>
      </w:pPr>
      <w:r w:rsidRPr="00446EBF">
        <w:rPr>
          <w:szCs w:val="27"/>
        </w:rPr>
        <w:t xml:space="preserve">Nevertheless, we determine, based on our independent review of the record, that Delgadillo is not entitled to any relief under section 1172.6.  Indeed, the record here makes clear that Delgadillo was the actual killer and the only participant in the killing.  At trial, defense counsel conceded that the accident occurred while Delgadillo was driving on the wrong side of the road.  (See § 1172.6, subd. (a) [“A person convicted of felony murder or murder under the natural and probable consequences doctrine or other theory under which malice is imputed to a person based solely on that person’s participation in a crime, attempted murder under the natural and probable consequences doctrine, or manslaughter may file a petition with the court” to have the conviction vacated].)  We affirm the Court of Appeal’s holding that </w:t>
      </w:r>
      <w:r w:rsidRPr="00446EBF">
        <w:rPr>
          <w:i/>
          <w:iCs/>
          <w:szCs w:val="27"/>
        </w:rPr>
        <w:t xml:space="preserve">Wende </w:t>
      </w:r>
      <w:r w:rsidRPr="00446EBF">
        <w:rPr>
          <w:szCs w:val="27"/>
        </w:rPr>
        <w:lastRenderedPageBreak/>
        <w:t>procedures are not constitutionally compelled on Delgadillo’s appeal.</w:t>
      </w:r>
      <w:r w:rsidRPr="00446EBF">
        <w:rPr>
          <w:b/>
          <w:bCs/>
          <w:position w:val="6"/>
          <w:sz w:val="20"/>
        </w:rPr>
        <w:t>6</w:t>
      </w:r>
    </w:p>
    <w:p w14:paraId="42DBFAC4" w14:textId="77777777" w:rsidR="00446EBF" w:rsidRPr="00446EBF" w:rsidRDefault="00446EBF" w:rsidP="00446EBF">
      <w:pPr>
        <w:tabs>
          <w:tab w:val="left" w:pos="1440"/>
          <w:tab w:val="left" w:pos="4680"/>
          <w:tab w:val="center" w:pos="7200"/>
        </w:tabs>
        <w:spacing w:after="0" w:line="480" w:lineRule="atLeast"/>
        <w:jc w:val="left"/>
        <w:rPr>
          <w:szCs w:val="27"/>
        </w:rPr>
      </w:pPr>
    </w:p>
    <w:p w14:paraId="0C2FFE15" w14:textId="77777777" w:rsidR="00446EBF" w:rsidRPr="00446EBF" w:rsidRDefault="00446EBF" w:rsidP="00446EBF">
      <w:pPr>
        <w:tabs>
          <w:tab w:val="left" w:pos="1440"/>
          <w:tab w:val="left" w:pos="4680"/>
          <w:tab w:val="center" w:pos="7200"/>
        </w:tabs>
        <w:spacing w:after="0" w:line="480" w:lineRule="atLeast"/>
        <w:ind w:firstLine="720"/>
        <w:jc w:val="left"/>
        <w:rPr>
          <w:szCs w:val="27"/>
        </w:rPr>
      </w:pPr>
      <w:r w:rsidRPr="00446EBF">
        <w:rPr>
          <w:szCs w:val="27"/>
        </w:rPr>
        <w:t>These modifications do not affect the judgment.</w:t>
      </w:r>
    </w:p>
    <w:p w14:paraId="231FA439" w14:textId="77777777" w:rsidR="009B45D8" w:rsidRDefault="009B45D8" w:rsidP="000D10C0">
      <w:pPr>
        <w:tabs>
          <w:tab w:val="left" w:pos="1440"/>
          <w:tab w:val="left" w:pos="4680"/>
          <w:tab w:val="center" w:pos="7200"/>
        </w:tabs>
        <w:spacing w:after="0"/>
        <w:jc w:val="center"/>
        <w:rPr>
          <w:b/>
          <w:sz w:val="36"/>
        </w:rPr>
        <w:sectPr w:rsidR="009B45D8" w:rsidSect="000D10C0">
          <w:footerReference w:type="default" r:id="rId8"/>
          <w:footerReference w:type="first" r:id="rId9"/>
          <w:pgSz w:w="12240" w:h="15840"/>
          <w:pgMar w:top="1800" w:right="2160" w:bottom="1440" w:left="2160" w:header="720" w:footer="720" w:gutter="0"/>
          <w:cols w:space="720"/>
          <w:titlePg/>
          <w:docGrid w:linePitch="367"/>
        </w:sectPr>
      </w:pPr>
    </w:p>
    <w:p w14:paraId="28F9D929" w14:textId="3EDF5927" w:rsidR="005B0512" w:rsidRDefault="000D10C0" w:rsidP="000D10C0">
      <w:pPr>
        <w:tabs>
          <w:tab w:val="left" w:pos="1440"/>
          <w:tab w:val="left" w:pos="4680"/>
          <w:tab w:val="center" w:pos="7200"/>
        </w:tabs>
        <w:spacing w:after="0"/>
        <w:jc w:val="center"/>
        <w:rPr>
          <w:sz w:val="36"/>
        </w:rPr>
      </w:pPr>
      <w:r>
        <w:rPr>
          <w:b/>
          <w:sz w:val="36"/>
        </w:rPr>
        <w:lastRenderedPageBreak/>
        <w:t>IN THE SUPREME COURT OF CALIFORNIA</w:t>
      </w:r>
    </w:p>
    <w:p w14:paraId="37E5F339" w14:textId="0BB0B1B2" w:rsidR="000D10C0" w:rsidRDefault="000D10C0" w:rsidP="000D10C0">
      <w:pPr>
        <w:tabs>
          <w:tab w:val="left" w:pos="1440"/>
          <w:tab w:val="left" w:pos="4680"/>
          <w:tab w:val="center" w:pos="7200"/>
        </w:tabs>
        <w:spacing w:after="0"/>
        <w:jc w:val="center"/>
      </w:pPr>
    </w:p>
    <w:p w14:paraId="149DA0EE" w14:textId="0EDFA23B" w:rsidR="000D10C0" w:rsidRDefault="000D10C0" w:rsidP="000D10C0">
      <w:pPr>
        <w:tabs>
          <w:tab w:val="left" w:pos="1440"/>
          <w:tab w:val="left" w:pos="4680"/>
          <w:tab w:val="center" w:pos="7200"/>
        </w:tabs>
        <w:spacing w:after="0"/>
        <w:jc w:val="center"/>
      </w:pPr>
      <w:r>
        <w:t>THE PEOPLE</w:t>
      </w:r>
      <w:r w:rsidR="00FE3386">
        <w:t>,</w:t>
      </w:r>
    </w:p>
    <w:p w14:paraId="379AAC67" w14:textId="345F70AD" w:rsidR="000D10C0" w:rsidRDefault="000D10C0" w:rsidP="000D10C0">
      <w:pPr>
        <w:tabs>
          <w:tab w:val="left" w:pos="1440"/>
          <w:tab w:val="left" w:pos="4680"/>
          <w:tab w:val="center" w:pos="7200"/>
        </w:tabs>
        <w:spacing w:after="0"/>
        <w:jc w:val="center"/>
      </w:pPr>
      <w:r>
        <w:t>Plaintiff and Respondent</w:t>
      </w:r>
      <w:r w:rsidR="00FE3386">
        <w:t>,</w:t>
      </w:r>
    </w:p>
    <w:p w14:paraId="17FC77FE" w14:textId="0A753CD6" w:rsidR="000D10C0" w:rsidRDefault="000D10C0" w:rsidP="000D10C0">
      <w:pPr>
        <w:tabs>
          <w:tab w:val="left" w:pos="1440"/>
          <w:tab w:val="left" w:pos="4680"/>
          <w:tab w:val="center" w:pos="7200"/>
        </w:tabs>
        <w:spacing w:after="0"/>
        <w:jc w:val="center"/>
      </w:pPr>
      <w:r>
        <w:t>v.</w:t>
      </w:r>
    </w:p>
    <w:p w14:paraId="4EAB8E12" w14:textId="4C725C03" w:rsidR="000D10C0" w:rsidRDefault="000D10C0" w:rsidP="000D10C0">
      <w:pPr>
        <w:tabs>
          <w:tab w:val="left" w:pos="1440"/>
          <w:tab w:val="left" w:pos="4680"/>
          <w:tab w:val="center" w:pos="7200"/>
        </w:tabs>
        <w:spacing w:after="0"/>
        <w:jc w:val="center"/>
      </w:pPr>
      <w:r>
        <w:t>JOSE DE JESUS DELGADILLO</w:t>
      </w:r>
      <w:r w:rsidR="00FE3386">
        <w:t>,</w:t>
      </w:r>
    </w:p>
    <w:p w14:paraId="2F9DA92E" w14:textId="3C1F8BC7" w:rsidR="000D10C0" w:rsidRDefault="000D10C0" w:rsidP="000D10C0">
      <w:pPr>
        <w:tabs>
          <w:tab w:val="left" w:pos="1440"/>
          <w:tab w:val="left" w:pos="4680"/>
          <w:tab w:val="center" w:pos="7200"/>
        </w:tabs>
        <w:spacing w:after="0"/>
        <w:jc w:val="center"/>
      </w:pPr>
      <w:r>
        <w:t>Defendant and Appellant.</w:t>
      </w:r>
    </w:p>
    <w:p w14:paraId="2142303B" w14:textId="0341003C" w:rsidR="000D10C0" w:rsidRDefault="000D10C0" w:rsidP="000D10C0">
      <w:pPr>
        <w:tabs>
          <w:tab w:val="left" w:pos="1440"/>
          <w:tab w:val="left" w:pos="4680"/>
          <w:tab w:val="center" w:pos="7200"/>
        </w:tabs>
        <w:spacing w:after="0"/>
        <w:jc w:val="center"/>
      </w:pPr>
    </w:p>
    <w:p w14:paraId="6FB2A522" w14:textId="4EAD7FA0" w:rsidR="000D10C0" w:rsidRDefault="000D10C0" w:rsidP="000D10C0">
      <w:pPr>
        <w:tabs>
          <w:tab w:val="left" w:pos="1440"/>
          <w:tab w:val="left" w:pos="4680"/>
          <w:tab w:val="center" w:pos="7200"/>
        </w:tabs>
        <w:spacing w:after="0"/>
        <w:jc w:val="center"/>
      </w:pPr>
      <w:r>
        <w:t>S266305</w:t>
      </w:r>
    </w:p>
    <w:p w14:paraId="7105F949" w14:textId="0D394F66" w:rsidR="000D10C0" w:rsidRDefault="000D10C0" w:rsidP="000D10C0">
      <w:pPr>
        <w:tabs>
          <w:tab w:val="left" w:pos="1440"/>
          <w:tab w:val="left" w:pos="4680"/>
          <w:tab w:val="center" w:pos="7200"/>
        </w:tabs>
        <w:spacing w:after="0"/>
        <w:jc w:val="center"/>
      </w:pPr>
    </w:p>
    <w:p w14:paraId="6AA7A27E" w14:textId="0AB0CDAF" w:rsidR="000D10C0" w:rsidRDefault="000D10C0" w:rsidP="000D10C0">
      <w:pPr>
        <w:tabs>
          <w:tab w:val="left" w:pos="1440"/>
          <w:tab w:val="left" w:pos="4680"/>
          <w:tab w:val="center" w:pos="7200"/>
        </w:tabs>
        <w:spacing w:after="0"/>
        <w:jc w:val="center"/>
      </w:pPr>
      <w:r>
        <w:t>Second Appellate District, Division Four</w:t>
      </w:r>
    </w:p>
    <w:p w14:paraId="3BCF65FA" w14:textId="606FDC30" w:rsidR="000D10C0" w:rsidRDefault="000D10C0" w:rsidP="000D10C0">
      <w:pPr>
        <w:tabs>
          <w:tab w:val="left" w:pos="1440"/>
          <w:tab w:val="left" w:pos="4680"/>
          <w:tab w:val="center" w:pos="7200"/>
        </w:tabs>
        <w:spacing w:after="0"/>
        <w:jc w:val="center"/>
      </w:pPr>
      <w:r>
        <w:t>B304441</w:t>
      </w:r>
    </w:p>
    <w:p w14:paraId="3E5F11A7" w14:textId="603502F1" w:rsidR="000D10C0" w:rsidRDefault="000D10C0" w:rsidP="000D10C0">
      <w:pPr>
        <w:tabs>
          <w:tab w:val="left" w:pos="1440"/>
          <w:tab w:val="left" w:pos="4680"/>
          <w:tab w:val="center" w:pos="7200"/>
        </w:tabs>
        <w:spacing w:after="0"/>
        <w:jc w:val="center"/>
      </w:pPr>
    </w:p>
    <w:p w14:paraId="6CBEB822" w14:textId="12E1E28D" w:rsidR="000D10C0" w:rsidRDefault="000D10C0" w:rsidP="000D10C0">
      <w:pPr>
        <w:tabs>
          <w:tab w:val="left" w:pos="1440"/>
          <w:tab w:val="left" w:pos="4680"/>
          <w:tab w:val="center" w:pos="7200"/>
        </w:tabs>
        <w:spacing w:after="0"/>
        <w:jc w:val="center"/>
      </w:pPr>
      <w:r>
        <w:t>Los Angeles County Superior Court</w:t>
      </w:r>
    </w:p>
    <w:p w14:paraId="7EBD04E0" w14:textId="6C5D8E33" w:rsidR="000D10C0" w:rsidRDefault="000D10C0" w:rsidP="000D10C0">
      <w:pPr>
        <w:tabs>
          <w:tab w:val="left" w:pos="1440"/>
          <w:tab w:val="left" w:pos="4680"/>
          <w:tab w:val="center" w:pos="7200"/>
        </w:tabs>
        <w:spacing w:after="0"/>
        <w:jc w:val="center"/>
      </w:pPr>
      <w:r>
        <w:t>BA436900</w:t>
      </w:r>
    </w:p>
    <w:p w14:paraId="5C2538DB" w14:textId="1B030CFE" w:rsidR="000D10C0" w:rsidRDefault="000D10C0" w:rsidP="000D10C0">
      <w:pPr>
        <w:pBdr>
          <w:bottom w:val="single" w:sz="4" w:space="1" w:color="auto"/>
        </w:pBdr>
        <w:tabs>
          <w:tab w:val="left" w:pos="1440"/>
          <w:tab w:val="left" w:pos="4680"/>
          <w:tab w:val="center" w:pos="7200"/>
        </w:tabs>
        <w:spacing w:after="0"/>
        <w:jc w:val="center"/>
      </w:pPr>
    </w:p>
    <w:p w14:paraId="5F16212C" w14:textId="6F0377F6" w:rsidR="000D10C0" w:rsidRDefault="000D10C0" w:rsidP="000D10C0">
      <w:pPr>
        <w:tabs>
          <w:tab w:val="left" w:pos="1440"/>
          <w:tab w:val="left" w:pos="4680"/>
          <w:tab w:val="center" w:pos="7200"/>
        </w:tabs>
        <w:spacing w:after="0"/>
        <w:jc w:val="center"/>
      </w:pPr>
    </w:p>
    <w:p w14:paraId="731E168B" w14:textId="100926E9" w:rsidR="000D10C0" w:rsidRDefault="000D10C0" w:rsidP="000D10C0">
      <w:pPr>
        <w:tabs>
          <w:tab w:val="left" w:pos="1440"/>
          <w:tab w:val="left" w:pos="4680"/>
          <w:tab w:val="center" w:pos="7200"/>
        </w:tabs>
        <w:spacing w:after="0"/>
        <w:jc w:val="center"/>
      </w:pPr>
      <w:r>
        <w:t>December</w:t>
      </w:r>
      <w:r w:rsidR="004344E1">
        <w:t xml:space="preserve"> 19</w:t>
      </w:r>
      <w:r>
        <w:t>, 2022</w:t>
      </w:r>
    </w:p>
    <w:p w14:paraId="584230D9" w14:textId="7E58CEF8" w:rsidR="000D10C0" w:rsidRDefault="000D10C0" w:rsidP="000D10C0">
      <w:pPr>
        <w:tabs>
          <w:tab w:val="left" w:pos="1440"/>
          <w:tab w:val="left" w:pos="4680"/>
          <w:tab w:val="center" w:pos="7200"/>
        </w:tabs>
        <w:spacing w:after="0"/>
        <w:jc w:val="center"/>
      </w:pPr>
    </w:p>
    <w:p w14:paraId="3008EDA4" w14:textId="30CCB841" w:rsidR="000D10C0" w:rsidRDefault="000D10C0" w:rsidP="000D10C0">
      <w:pPr>
        <w:tabs>
          <w:tab w:val="left" w:pos="1440"/>
          <w:tab w:val="left" w:pos="4680"/>
          <w:tab w:val="center" w:pos="7200"/>
        </w:tabs>
        <w:spacing w:after="0"/>
        <w:jc w:val="left"/>
      </w:pPr>
      <w:r>
        <w:t xml:space="preserve">Justice Groban authored the opinion of the Court, in which </w:t>
      </w:r>
      <w:r w:rsidR="00DD20AC">
        <w:rPr>
          <w:szCs w:val="26"/>
        </w:rPr>
        <w:t xml:space="preserve">Chief Justice Cantil-Sakauye and Justices Corrigan, Liu, Kruger, Jenkins, and Guerrero </w:t>
      </w:r>
      <w:r>
        <w:t>concurred.</w:t>
      </w:r>
    </w:p>
    <w:p w14:paraId="135BA667" w14:textId="77777777" w:rsidR="000D10C0" w:rsidRPr="000D10C0" w:rsidRDefault="000D10C0" w:rsidP="000D10C0">
      <w:pPr>
        <w:pBdr>
          <w:bottom w:val="single" w:sz="4" w:space="1" w:color="auto"/>
        </w:pBdr>
        <w:tabs>
          <w:tab w:val="left" w:pos="1440"/>
          <w:tab w:val="left" w:pos="4680"/>
          <w:tab w:val="center" w:pos="7200"/>
        </w:tabs>
        <w:spacing w:line="480" w:lineRule="atLeast"/>
        <w:jc w:val="left"/>
      </w:pPr>
      <w:bookmarkStart w:id="1" w:name="Return"/>
      <w:bookmarkEnd w:id="1"/>
    </w:p>
    <w:p w14:paraId="6C2E3868" w14:textId="77777777" w:rsidR="000D10C0" w:rsidRDefault="000D10C0">
      <w:pPr>
        <w:tabs>
          <w:tab w:val="left" w:pos="1440"/>
          <w:tab w:val="left" w:pos="4680"/>
          <w:tab w:val="center" w:pos="7200"/>
        </w:tabs>
        <w:spacing w:line="480" w:lineRule="atLeast"/>
        <w:sectPr w:rsidR="000D10C0" w:rsidSect="000D10C0">
          <w:footerReference w:type="first" r:id="rId10"/>
          <w:pgSz w:w="12240" w:h="15840"/>
          <w:pgMar w:top="1800" w:right="2160" w:bottom="1440" w:left="2160" w:header="720" w:footer="720" w:gutter="0"/>
          <w:cols w:space="720"/>
          <w:titlePg/>
          <w:docGrid w:linePitch="367"/>
        </w:sectPr>
      </w:pPr>
    </w:p>
    <w:p w14:paraId="656B124F" w14:textId="72E48300" w:rsidR="000D10C0" w:rsidRDefault="000D10C0" w:rsidP="000D10C0">
      <w:pPr>
        <w:tabs>
          <w:tab w:val="left" w:pos="1440"/>
          <w:tab w:val="left" w:pos="4680"/>
          <w:tab w:val="center" w:pos="7200"/>
        </w:tabs>
        <w:jc w:val="center"/>
      </w:pPr>
      <w:r>
        <w:lastRenderedPageBreak/>
        <w:t>PEOPLE v. DELGADILLO</w:t>
      </w:r>
    </w:p>
    <w:p w14:paraId="43829481" w14:textId="12E6A483" w:rsidR="000D10C0" w:rsidRDefault="000D10C0" w:rsidP="000D10C0">
      <w:pPr>
        <w:tabs>
          <w:tab w:val="left" w:pos="1440"/>
          <w:tab w:val="left" w:pos="4680"/>
          <w:tab w:val="center" w:pos="7200"/>
        </w:tabs>
        <w:jc w:val="center"/>
      </w:pPr>
      <w:r>
        <w:t>S266305</w:t>
      </w:r>
    </w:p>
    <w:p w14:paraId="3541F235" w14:textId="3DF5B312" w:rsidR="000D10C0" w:rsidRDefault="000D10C0" w:rsidP="000D10C0">
      <w:pPr>
        <w:tabs>
          <w:tab w:val="left" w:pos="1440"/>
          <w:tab w:val="left" w:pos="4680"/>
          <w:tab w:val="center" w:pos="7200"/>
        </w:tabs>
        <w:jc w:val="center"/>
      </w:pPr>
    </w:p>
    <w:p w14:paraId="15E38EE3" w14:textId="0B300F99" w:rsidR="000D10C0" w:rsidRDefault="000D10C0" w:rsidP="000D10C0">
      <w:pPr>
        <w:tabs>
          <w:tab w:val="left" w:pos="1440"/>
          <w:tab w:val="left" w:pos="4680"/>
          <w:tab w:val="center" w:pos="7200"/>
        </w:tabs>
        <w:jc w:val="center"/>
      </w:pPr>
      <w:r>
        <w:t>Opinion of the Court by Groban, J.</w:t>
      </w:r>
    </w:p>
    <w:p w14:paraId="4DD31854" w14:textId="77777777" w:rsidR="000D10C0" w:rsidRPr="000D10C0" w:rsidRDefault="000D10C0" w:rsidP="000D10C0">
      <w:pPr>
        <w:tabs>
          <w:tab w:val="left" w:pos="1440"/>
          <w:tab w:val="left" w:pos="4680"/>
          <w:tab w:val="center" w:pos="7200"/>
        </w:tabs>
        <w:jc w:val="center"/>
      </w:pPr>
    </w:p>
    <w:p w14:paraId="7FC299CC" w14:textId="5E845FD6" w:rsidR="00E73452" w:rsidRPr="000D10C0" w:rsidRDefault="00E73452" w:rsidP="000D10C0">
      <w:pPr>
        <w:tabs>
          <w:tab w:val="left" w:pos="1440"/>
        </w:tabs>
        <w:ind w:firstLine="720"/>
      </w:pPr>
      <w:bookmarkStart w:id="2" w:name="mainstory"/>
      <w:bookmarkEnd w:id="2"/>
      <w:r w:rsidRPr="000D10C0">
        <w:t xml:space="preserve">In </w:t>
      </w:r>
      <w:r w:rsidR="00FA4985" w:rsidRPr="000D10C0">
        <w:rPr>
          <w:i/>
          <w:iCs/>
        </w:rPr>
        <w:t>People v. Wende</w:t>
      </w:r>
      <w:r w:rsidR="00FA4985" w:rsidRPr="000D10C0">
        <w:t xml:space="preserve"> (1979) 25</w:t>
      </w:r>
      <w:r w:rsidR="007A3EF4" w:rsidRPr="000D10C0">
        <w:t> </w:t>
      </w:r>
      <w:r w:rsidR="00FA4985" w:rsidRPr="000D10C0">
        <w:t>Cal.3d 436 (</w:t>
      </w:r>
      <w:r w:rsidR="00FA4985" w:rsidRPr="000D10C0">
        <w:rPr>
          <w:i/>
          <w:iCs/>
        </w:rPr>
        <w:t>Wende</w:t>
      </w:r>
      <w:r w:rsidR="00FA4985" w:rsidRPr="000D10C0">
        <w:t xml:space="preserve">), we held </w:t>
      </w:r>
      <w:r w:rsidR="008F2329" w:rsidRPr="000D10C0">
        <w:t>the C</w:t>
      </w:r>
      <w:r w:rsidR="00FA4985" w:rsidRPr="000D10C0">
        <w:t>ourt</w:t>
      </w:r>
      <w:r w:rsidR="008F2329" w:rsidRPr="000D10C0">
        <w:t xml:space="preserve">s </w:t>
      </w:r>
      <w:r w:rsidR="00027F6D" w:rsidRPr="000D10C0">
        <w:t xml:space="preserve">of </w:t>
      </w:r>
      <w:r w:rsidR="008F2329" w:rsidRPr="000D10C0">
        <w:t>A</w:t>
      </w:r>
      <w:r w:rsidR="00027F6D" w:rsidRPr="000D10C0">
        <w:t>ppeal must</w:t>
      </w:r>
      <w:r w:rsidR="00FA4985" w:rsidRPr="000D10C0">
        <w:t xml:space="preserve"> conduct a review of the entire record whenever appointed counsel submits a brief </w:t>
      </w:r>
      <w:r w:rsidR="00027F6D" w:rsidRPr="000D10C0">
        <w:t xml:space="preserve">on direct appeal </w:t>
      </w:r>
      <w:r w:rsidR="00FA4985" w:rsidRPr="000D10C0">
        <w:t>which raises no specific issues or describes the appeal as frivolous</w:t>
      </w:r>
      <w:r w:rsidR="00027F6D" w:rsidRPr="000D10C0">
        <w:t xml:space="preserve">.  </w:t>
      </w:r>
      <w:r w:rsidR="008F2329" w:rsidRPr="000D10C0">
        <w:t>(</w:t>
      </w:r>
      <w:r w:rsidR="008F2329" w:rsidRPr="000D10C0">
        <w:rPr>
          <w:i/>
          <w:iCs/>
        </w:rPr>
        <w:t>Id</w:t>
      </w:r>
      <w:r w:rsidR="008F2329" w:rsidRPr="000D10C0">
        <w:t>. at p.</w:t>
      </w:r>
      <w:r w:rsidR="007A3EF4" w:rsidRPr="000D10C0">
        <w:t> </w:t>
      </w:r>
      <w:r w:rsidR="008F2329" w:rsidRPr="000D10C0">
        <w:t xml:space="preserve">441.)  This procedure </w:t>
      </w:r>
      <w:r w:rsidR="005C0B4D" w:rsidRPr="000D10C0">
        <w:t xml:space="preserve">is </w:t>
      </w:r>
      <w:r w:rsidR="0085642B" w:rsidRPr="000D10C0">
        <w:t>applicable to the first</w:t>
      </w:r>
      <w:r w:rsidR="008F2329" w:rsidRPr="000D10C0">
        <w:t xml:space="preserve"> appeal</w:t>
      </w:r>
      <w:r w:rsidR="00CD75B3" w:rsidRPr="000D10C0">
        <w:t xml:space="preserve"> as of right</w:t>
      </w:r>
      <w:r w:rsidR="0085642B" w:rsidRPr="000D10C0">
        <w:t xml:space="preserve"> </w:t>
      </w:r>
      <w:r w:rsidR="005C0B4D" w:rsidRPr="000D10C0">
        <w:t xml:space="preserve">and </w:t>
      </w:r>
      <w:r w:rsidR="00050906" w:rsidRPr="000D10C0">
        <w:t>is</w:t>
      </w:r>
      <w:r w:rsidR="008F2329" w:rsidRPr="000D10C0">
        <w:t xml:space="preserve"> compelled by the constitutional </w:t>
      </w:r>
      <w:r w:rsidR="0085642B" w:rsidRPr="000D10C0">
        <w:t xml:space="preserve">right to counsel </w:t>
      </w:r>
      <w:r w:rsidR="008F2329" w:rsidRPr="000D10C0">
        <w:t xml:space="preserve">under the Fourteenth Amendment </w:t>
      </w:r>
      <w:r w:rsidR="0085642B" w:rsidRPr="000D10C0">
        <w:t>of</w:t>
      </w:r>
      <w:r w:rsidR="008F2329" w:rsidRPr="000D10C0">
        <w:t xml:space="preserve"> the United States</w:t>
      </w:r>
      <w:r w:rsidR="0085642B" w:rsidRPr="000D10C0">
        <w:t xml:space="preserve"> Constitution</w:t>
      </w:r>
      <w:r w:rsidR="008F2329" w:rsidRPr="000D10C0">
        <w:t>.  (</w:t>
      </w:r>
      <w:r w:rsidR="00984DD9">
        <w:rPr>
          <w:i/>
          <w:iCs/>
        </w:rPr>
        <w:t>Wende,</w:t>
      </w:r>
      <w:r w:rsidR="008F2329" w:rsidRPr="000D10C0">
        <w:t xml:space="preserve"> at p</w:t>
      </w:r>
      <w:r w:rsidR="00884B0E" w:rsidRPr="000D10C0">
        <w:t>p</w:t>
      </w:r>
      <w:r w:rsidR="008F2329" w:rsidRPr="000D10C0">
        <w:t>.</w:t>
      </w:r>
      <w:r w:rsidR="007A3EF4" w:rsidRPr="000D10C0">
        <w:t> </w:t>
      </w:r>
      <w:r w:rsidR="008F2329" w:rsidRPr="000D10C0">
        <w:t>439, 441</w:t>
      </w:r>
      <w:r w:rsidR="00AF49C1" w:rsidRPr="000D10C0">
        <w:t xml:space="preserve">; </w:t>
      </w:r>
      <w:r w:rsidR="0085642B" w:rsidRPr="000D10C0">
        <w:t xml:space="preserve">see </w:t>
      </w:r>
      <w:r w:rsidR="00AF49C1" w:rsidRPr="000D10C0">
        <w:rPr>
          <w:i/>
          <w:iCs/>
        </w:rPr>
        <w:t>Pennsylvania v. Finley</w:t>
      </w:r>
      <w:r w:rsidR="00AF49C1" w:rsidRPr="000D10C0">
        <w:t xml:space="preserve"> (1987) 481</w:t>
      </w:r>
      <w:r w:rsidR="007A3EF4" w:rsidRPr="000D10C0">
        <w:t> </w:t>
      </w:r>
      <w:r w:rsidR="00AF49C1" w:rsidRPr="000D10C0">
        <w:t>U.S. 551, 554</w:t>
      </w:r>
      <w:r w:rsidR="00B724EC" w:rsidRPr="000D10C0">
        <w:rPr>
          <w:szCs w:val="26"/>
        </w:rPr>
        <w:t>–</w:t>
      </w:r>
      <w:r w:rsidR="0085642B" w:rsidRPr="000D10C0">
        <w:t>557</w:t>
      </w:r>
      <w:r w:rsidR="00B724EC" w:rsidRPr="000D10C0">
        <w:t xml:space="preserve"> (</w:t>
      </w:r>
      <w:r w:rsidR="00B724EC" w:rsidRPr="000D10C0">
        <w:rPr>
          <w:i/>
          <w:iCs/>
        </w:rPr>
        <w:t>Finley</w:t>
      </w:r>
      <w:r w:rsidR="00B724EC" w:rsidRPr="000D10C0">
        <w:t>)</w:t>
      </w:r>
      <w:r w:rsidR="0085642B" w:rsidRPr="000D10C0">
        <w:t xml:space="preserve">; </w:t>
      </w:r>
      <w:r w:rsidR="00B724EC" w:rsidRPr="000D10C0">
        <w:rPr>
          <w:i/>
          <w:iCs/>
        </w:rPr>
        <w:t>In re Sade C.</w:t>
      </w:r>
      <w:r w:rsidR="00B724EC" w:rsidRPr="000D10C0">
        <w:t xml:space="preserve"> (1996) 13</w:t>
      </w:r>
      <w:r w:rsidR="007A3EF4" w:rsidRPr="000D10C0">
        <w:t> </w:t>
      </w:r>
      <w:r w:rsidR="00B724EC" w:rsidRPr="000D10C0">
        <w:t xml:space="preserve">Cal.4th 952, </w:t>
      </w:r>
      <w:r w:rsidR="0001512F" w:rsidRPr="000D10C0">
        <w:t>983</w:t>
      </w:r>
      <w:r w:rsidR="0001512F" w:rsidRPr="000D10C0">
        <w:rPr>
          <w:szCs w:val="26"/>
        </w:rPr>
        <w:t>–</w:t>
      </w:r>
      <w:r w:rsidR="00B724EC" w:rsidRPr="000D10C0">
        <w:t>984 (</w:t>
      </w:r>
      <w:r w:rsidR="00B724EC" w:rsidRPr="000D10C0">
        <w:rPr>
          <w:i/>
          <w:iCs/>
        </w:rPr>
        <w:t>Sade C.</w:t>
      </w:r>
      <w:r w:rsidR="00B724EC" w:rsidRPr="000D10C0">
        <w:t>)</w:t>
      </w:r>
      <w:r w:rsidR="0085642B" w:rsidRPr="000D10C0">
        <w:t xml:space="preserve">.)  </w:t>
      </w:r>
      <w:r w:rsidR="008F2329" w:rsidRPr="000D10C0">
        <w:t>In this case, w</w:t>
      </w:r>
      <w:r w:rsidRPr="000D10C0">
        <w:t xml:space="preserve">e granted review </w:t>
      </w:r>
      <w:r w:rsidR="008F2329" w:rsidRPr="000D10C0">
        <w:t>to</w:t>
      </w:r>
      <w:r w:rsidRPr="000D10C0">
        <w:t xml:space="preserve"> determine </w:t>
      </w:r>
      <w:r w:rsidR="001475C1" w:rsidRPr="000D10C0">
        <w:t xml:space="preserve">the </w:t>
      </w:r>
      <w:r w:rsidRPr="000D10C0">
        <w:t xml:space="preserve">procedures appointed counsel and the Courts of Appeal </w:t>
      </w:r>
      <w:r w:rsidR="001475C1" w:rsidRPr="000D10C0">
        <w:t xml:space="preserve">must </w:t>
      </w:r>
      <w:r w:rsidRPr="000D10C0">
        <w:t xml:space="preserve">follow when counsel determines that an appeal from an order denying postconviction relief </w:t>
      </w:r>
      <w:r w:rsidR="0011124E">
        <w:t xml:space="preserve">under recently enacted remedial legislation </w:t>
      </w:r>
      <w:r w:rsidRPr="000D10C0">
        <w:t xml:space="preserve">lacks arguable merit and </w:t>
      </w:r>
      <w:r w:rsidR="0011124E">
        <w:t xml:space="preserve">to decide </w:t>
      </w:r>
      <w:r w:rsidRPr="000D10C0">
        <w:t xml:space="preserve">whether defendants are entitled to notice of these procedures.  </w:t>
      </w:r>
    </w:p>
    <w:p w14:paraId="6332DE49" w14:textId="175D84FD" w:rsidR="00B9384D" w:rsidRPr="000D10C0" w:rsidRDefault="009A479F" w:rsidP="000D10C0">
      <w:pPr>
        <w:tabs>
          <w:tab w:val="left" w:pos="1440"/>
        </w:tabs>
        <w:ind w:firstLine="720"/>
      </w:pPr>
      <w:r w:rsidRPr="000D10C0">
        <w:t xml:space="preserve">The Court of Appeal found that it has no duty to independently review an order denying a petition for postconviction relief under Penal Code </w:t>
      </w:r>
      <w:r w:rsidR="00222F62">
        <w:t>former</w:t>
      </w:r>
      <w:r w:rsidR="00222F62" w:rsidRPr="000D10C0">
        <w:t xml:space="preserve"> </w:t>
      </w:r>
      <w:r w:rsidRPr="000D10C0">
        <w:t xml:space="preserve">section 1170.95, which defendant Jose De Jesus Delgadillo filed here, when appointed counsel submits notice that the appeal lacks arguable </w:t>
      </w:r>
      <w:r w:rsidRPr="000D10C0">
        <w:lastRenderedPageBreak/>
        <w:t>merit.</w:t>
      </w:r>
      <w:r w:rsidRPr="000D10C0">
        <w:rPr>
          <w:rStyle w:val="FootnoteReference"/>
        </w:rPr>
        <w:footnoteReference w:id="2"/>
      </w:r>
      <w:r w:rsidRPr="000D10C0">
        <w:t xml:space="preserve">  </w:t>
      </w:r>
      <w:r w:rsidR="00F74913">
        <w:rPr>
          <w:szCs w:val="27"/>
        </w:rPr>
        <w:t xml:space="preserve">The Court of Appeal concluded that since Delgadillo’s appeal does </w:t>
      </w:r>
      <w:r w:rsidR="001D1335" w:rsidRPr="000D10C0">
        <w:t xml:space="preserve">not implicate a constitutional right to counsel, the procedures set out in </w:t>
      </w:r>
      <w:r w:rsidR="001D1335" w:rsidRPr="000D10C0">
        <w:rPr>
          <w:i/>
          <w:iCs/>
        </w:rPr>
        <w:t>Wende</w:t>
      </w:r>
      <w:r w:rsidR="001D1335" w:rsidRPr="000D10C0">
        <w:t xml:space="preserve"> do not apply.  </w:t>
      </w:r>
      <w:r w:rsidR="00F85023" w:rsidRPr="000D10C0">
        <w:t>(</w:t>
      </w:r>
      <w:r w:rsidR="00F85023" w:rsidRPr="000D10C0">
        <w:rPr>
          <w:i/>
          <w:iCs/>
        </w:rPr>
        <w:t>Finley, supra</w:t>
      </w:r>
      <w:r w:rsidR="00F85023" w:rsidRPr="000D10C0">
        <w:t>, 481</w:t>
      </w:r>
      <w:r w:rsidR="007A3EF4" w:rsidRPr="000D10C0">
        <w:t> </w:t>
      </w:r>
      <w:r w:rsidR="00F85023" w:rsidRPr="000D10C0">
        <w:t>U.S. at pp.</w:t>
      </w:r>
      <w:r w:rsidR="007A3EF4" w:rsidRPr="000D10C0">
        <w:t> </w:t>
      </w:r>
      <w:r w:rsidR="00F85023" w:rsidRPr="000D10C0">
        <w:t xml:space="preserve">556–557; </w:t>
      </w:r>
      <w:r w:rsidR="00F85023" w:rsidRPr="000D10C0">
        <w:rPr>
          <w:i/>
          <w:iCs/>
        </w:rPr>
        <w:t>Sade C., supra</w:t>
      </w:r>
      <w:r w:rsidR="00F85023" w:rsidRPr="000D10C0">
        <w:t>, 13</w:t>
      </w:r>
      <w:r w:rsidR="007A3EF4" w:rsidRPr="000D10C0">
        <w:t> </w:t>
      </w:r>
      <w:r w:rsidR="00F85023" w:rsidRPr="000D10C0">
        <w:t>Cal.4th at p.</w:t>
      </w:r>
      <w:r w:rsidR="007A3EF4" w:rsidRPr="000D10C0">
        <w:t> </w:t>
      </w:r>
      <w:r w:rsidR="00F85023" w:rsidRPr="000D10C0">
        <w:t>978</w:t>
      </w:r>
      <w:r w:rsidR="00FB6F19" w:rsidRPr="000D10C0">
        <w:t>.</w:t>
      </w:r>
      <w:r w:rsidR="00F85023" w:rsidRPr="000D10C0">
        <w:t>)</w:t>
      </w:r>
      <w:r w:rsidR="008F2329" w:rsidRPr="000D10C0">
        <w:t xml:space="preserve"> </w:t>
      </w:r>
      <w:r w:rsidR="009E12BA" w:rsidRPr="000D10C0">
        <w:t xml:space="preserve"> </w:t>
      </w:r>
      <w:r w:rsidR="00F74913">
        <w:t>We</w:t>
      </w:r>
      <w:r w:rsidR="00A93536" w:rsidRPr="000D10C0">
        <w:t xml:space="preserve"> </w:t>
      </w:r>
      <w:r w:rsidR="00CB6122" w:rsidRPr="000D10C0">
        <w:t>agree</w:t>
      </w:r>
      <w:r w:rsidRPr="000D10C0">
        <w:t xml:space="preserve"> with the Court of Appeal</w:t>
      </w:r>
      <w:r w:rsidR="00A31F04" w:rsidRPr="000D10C0">
        <w:t xml:space="preserve"> </w:t>
      </w:r>
      <w:r w:rsidR="001D1335" w:rsidRPr="000D10C0">
        <w:t>as to this issue</w:t>
      </w:r>
      <w:r w:rsidR="00EF740D" w:rsidRPr="000D10C0">
        <w:t>.</w:t>
      </w:r>
    </w:p>
    <w:p w14:paraId="3F02A3A2" w14:textId="162801EE" w:rsidR="004C3C07" w:rsidRPr="000D10C0" w:rsidRDefault="00F74913" w:rsidP="000D10C0">
      <w:pPr>
        <w:tabs>
          <w:tab w:val="left" w:pos="1440"/>
        </w:tabs>
        <w:ind w:firstLine="720"/>
      </w:pPr>
      <w:r>
        <w:t xml:space="preserve">We </w:t>
      </w:r>
      <w:r w:rsidR="00EF740D" w:rsidRPr="000D10C0">
        <w:t xml:space="preserve">further </w:t>
      </w:r>
      <w:r w:rsidR="000451A9" w:rsidRPr="000D10C0">
        <w:t xml:space="preserve">exercise </w:t>
      </w:r>
      <w:r w:rsidR="0011124E">
        <w:t>our</w:t>
      </w:r>
      <w:r w:rsidR="000451A9" w:rsidRPr="000D10C0">
        <w:t xml:space="preserve"> inherent </w:t>
      </w:r>
      <w:r w:rsidR="00FF6F5E" w:rsidRPr="000D10C0">
        <w:t>supervisory powers</w:t>
      </w:r>
      <w:r w:rsidR="000451A9" w:rsidRPr="000D10C0">
        <w:t xml:space="preserve"> to </w:t>
      </w:r>
      <w:r w:rsidR="00050906" w:rsidRPr="000D10C0">
        <w:t>establish</w:t>
      </w:r>
      <w:r w:rsidR="000451A9" w:rsidRPr="000D10C0">
        <w:t xml:space="preserve"> </w:t>
      </w:r>
      <w:r w:rsidR="005044E6" w:rsidRPr="000D10C0">
        <w:t xml:space="preserve">the </w:t>
      </w:r>
      <w:r w:rsidR="00FE4070" w:rsidRPr="000D10C0">
        <w:t xml:space="preserve">appellate </w:t>
      </w:r>
      <w:r w:rsidR="000451A9" w:rsidRPr="000D10C0">
        <w:t xml:space="preserve">procedures </w:t>
      </w:r>
      <w:r w:rsidR="005044E6" w:rsidRPr="000D10C0">
        <w:t xml:space="preserve">and </w:t>
      </w:r>
      <w:r w:rsidR="00183049">
        <w:t>the requirements for providing</w:t>
      </w:r>
      <w:r w:rsidR="00183049" w:rsidRPr="000D10C0">
        <w:t xml:space="preserve"> </w:t>
      </w:r>
      <w:r w:rsidR="005044E6" w:rsidRPr="000D10C0">
        <w:t xml:space="preserve">notice </w:t>
      </w:r>
      <w:r w:rsidR="00183049">
        <w:t xml:space="preserve">to a defendant </w:t>
      </w:r>
      <w:r w:rsidR="005044E6" w:rsidRPr="000D10C0">
        <w:t xml:space="preserve">before a Court of Appeal dismisses </w:t>
      </w:r>
      <w:r w:rsidR="009B6318" w:rsidRPr="000D10C0">
        <w:t xml:space="preserve">an appeal from the denial of a </w:t>
      </w:r>
      <w:r>
        <w:t xml:space="preserve">petition under </w:t>
      </w:r>
      <w:r w:rsidR="009B6318" w:rsidRPr="000D10C0">
        <w:t>section 117</w:t>
      </w:r>
      <w:r>
        <w:t>2</w:t>
      </w:r>
      <w:r w:rsidR="009B6318" w:rsidRPr="000D10C0">
        <w:t>.</w:t>
      </w:r>
      <w:r>
        <w:t>6</w:t>
      </w:r>
      <w:r w:rsidR="005044E6" w:rsidRPr="000D10C0">
        <w:t xml:space="preserve">.  When counsel submits notice that </w:t>
      </w:r>
      <w:r w:rsidR="009B6318" w:rsidRPr="000D10C0">
        <w:t>such an</w:t>
      </w:r>
      <w:r w:rsidR="005044E6" w:rsidRPr="000D10C0">
        <w:t xml:space="preserve"> appeal</w:t>
      </w:r>
      <w:r w:rsidR="009B6318" w:rsidRPr="000D10C0">
        <w:t xml:space="preserve"> </w:t>
      </w:r>
      <w:r w:rsidR="005044E6" w:rsidRPr="000D10C0">
        <w:t>lacks arguable merit, the Court of Appeal</w:t>
      </w:r>
      <w:r w:rsidR="000451A9" w:rsidRPr="000D10C0">
        <w:t xml:space="preserve"> </w:t>
      </w:r>
      <w:r w:rsidR="005044E6" w:rsidRPr="000D10C0">
        <w:t>should</w:t>
      </w:r>
      <w:r w:rsidR="00EF740D" w:rsidRPr="000D10C0">
        <w:t xml:space="preserve"> provide notice to </w:t>
      </w:r>
      <w:r w:rsidR="003A142B" w:rsidRPr="000D10C0">
        <w:t xml:space="preserve">the </w:t>
      </w:r>
      <w:r w:rsidR="00EF740D" w:rsidRPr="000D10C0">
        <w:t xml:space="preserve">defendant that counsel </w:t>
      </w:r>
      <w:r w:rsidR="00B76D84" w:rsidRPr="000D10C0">
        <w:t>was unable to find any arguable issues</w:t>
      </w:r>
      <w:r w:rsidR="00E92122" w:rsidRPr="000D10C0">
        <w:t>;</w:t>
      </w:r>
      <w:r w:rsidR="00B76D84" w:rsidRPr="000D10C0">
        <w:t xml:space="preserve"> </w:t>
      </w:r>
      <w:r w:rsidR="003A142B" w:rsidRPr="000D10C0">
        <w:t xml:space="preserve">the </w:t>
      </w:r>
      <w:r w:rsidR="00B76D84" w:rsidRPr="000D10C0">
        <w:t xml:space="preserve">defendant may file a supplemental brief or letter raising any argument the defendant wishes the court </w:t>
      </w:r>
      <w:r w:rsidR="00183049">
        <w:t>to</w:t>
      </w:r>
      <w:r w:rsidR="00183049" w:rsidRPr="000D10C0">
        <w:t xml:space="preserve"> </w:t>
      </w:r>
      <w:r w:rsidR="00B76D84" w:rsidRPr="000D10C0">
        <w:t>consider</w:t>
      </w:r>
      <w:r w:rsidR="00E92122" w:rsidRPr="000D10C0">
        <w:t>;</w:t>
      </w:r>
      <w:r w:rsidR="00B76D84" w:rsidRPr="000D10C0">
        <w:t xml:space="preserve"> and if no such supplemental brief or letter is</w:t>
      </w:r>
      <w:r w:rsidR="00740C3F" w:rsidRPr="000D10C0">
        <w:t xml:space="preserve"> timely</w:t>
      </w:r>
      <w:r w:rsidR="00B76D84" w:rsidRPr="000D10C0">
        <w:t xml:space="preserve"> filed</w:t>
      </w:r>
      <w:r w:rsidR="00222F62">
        <w:t>,</w:t>
      </w:r>
      <w:r w:rsidR="00B76D84" w:rsidRPr="000D10C0">
        <w:t xml:space="preserve"> the court may dismiss the appeal as abandoned.  </w:t>
      </w:r>
      <w:r w:rsidR="006A6732" w:rsidRPr="000D10C0">
        <w:t>I</w:t>
      </w:r>
      <w:r w:rsidR="00B76D84" w:rsidRPr="000D10C0">
        <w:t xml:space="preserve">n this case, </w:t>
      </w:r>
      <w:r w:rsidR="00183049">
        <w:t>although the Court of Appeal did provide notice to Delgadillo</w:t>
      </w:r>
      <w:r w:rsidR="005E5FB0" w:rsidRPr="000D10C0">
        <w:t xml:space="preserve">, </w:t>
      </w:r>
      <w:r w:rsidR="00B76D84" w:rsidRPr="000D10C0">
        <w:t>the notice</w:t>
      </w:r>
      <w:r w:rsidR="00050906" w:rsidRPr="000D10C0">
        <w:t xml:space="preserve"> was</w:t>
      </w:r>
      <w:r w:rsidR="00B76D84" w:rsidRPr="000D10C0">
        <w:t xml:space="preserve"> </w:t>
      </w:r>
      <w:r w:rsidR="00ED2436">
        <w:t xml:space="preserve">suboptimal </w:t>
      </w:r>
      <w:r w:rsidR="00B76D84" w:rsidRPr="000D10C0">
        <w:t>because</w:t>
      </w:r>
      <w:r w:rsidR="00674337" w:rsidRPr="000D10C0">
        <w:t xml:space="preserve"> it </w:t>
      </w:r>
      <w:r w:rsidR="00957C5C" w:rsidRPr="000D10C0">
        <w:t>indicated that</w:t>
      </w:r>
      <w:r w:rsidR="00674337" w:rsidRPr="000D10C0">
        <w:t xml:space="preserve"> the </w:t>
      </w:r>
      <w:r w:rsidR="00674337" w:rsidRPr="000D10C0">
        <w:rPr>
          <w:i/>
          <w:iCs/>
        </w:rPr>
        <w:t>Wende</w:t>
      </w:r>
      <w:r w:rsidR="00674337" w:rsidRPr="000D10C0">
        <w:t xml:space="preserve"> procedures would apply</w:t>
      </w:r>
      <w:r w:rsidR="001D69A4" w:rsidRPr="000D10C0">
        <w:t xml:space="preserve"> when they did not</w:t>
      </w:r>
      <w:r w:rsidR="00222F62">
        <w:t>,</w:t>
      </w:r>
      <w:r w:rsidR="00674337" w:rsidRPr="000D10C0">
        <w:t xml:space="preserve"> and </w:t>
      </w:r>
      <w:r w:rsidR="00B76D84" w:rsidRPr="000D10C0">
        <w:t xml:space="preserve">it did not inform </w:t>
      </w:r>
      <w:r w:rsidR="008F49CE">
        <w:t>Delgadillo</w:t>
      </w:r>
      <w:r w:rsidR="00B76D84" w:rsidRPr="000D10C0">
        <w:t xml:space="preserve"> that the appeal would be dismissed as abandoned if no supplemental brief or letter</w:t>
      </w:r>
      <w:r w:rsidR="003A142B" w:rsidRPr="000D10C0">
        <w:t xml:space="preserve"> was filed</w:t>
      </w:r>
      <w:r w:rsidR="00674337" w:rsidRPr="000D10C0">
        <w:t xml:space="preserve">.  </w:t>
      </w:r>
      <w:r w:rsidR="00B02CAF">
        <w:rPr>
          <w:szCs w:val="27"/>
        </w:rPr>
        <w:t>However</w:t>
      </w:r>
      <w:r w:rsidR="00183049">
        <w:rPr>
          <w:szCs w:val="27"/>
        </w:rPr>
        <w:t>,</w:t>
      </w:r>
      <w:r>
        <w:rPr>
          <w:szCs w:val="27"/>
        </w:rPr>
        <w:t xml:space="preserve"> based on our own independent review of the record, which we undertake voluntarily in the interest of judicial economy, we determine that Delgadillo is not entitled to relief under section 1172.6</w:t>
      </w:r>
      <w:r>
        <w:t>.</w:t>
      </w:r>
    </w:p>
    <w:p w14:paraId="73E3C59C" w14:textId="77777777" w:rsidR="00820442" w:rsidRDefault="00820442" w:rsidP="000D10C0">
      <w:pPr>
        <w:tabs>
          <w:tab w:val="left" w:pos="1440"/>
        </w:tabs>
        <w:jc w:val="center"/>
        <w:rPr>
          <w:b/>
          <w:bCs/>
        </w:rPr>
      </w:pPr>
    </w:p>
    <w:p w14:paraId="0646EB3C" w14:textId="2E50FC17" w:rsidR="00071B6F" w:rsidRPr="000D10C0" w:rsidRDefault="00071B6F" w:rsidP="000D10C0">
      <w:pPr>
        <w:tabs>
          <w:tab w:val="left" w:pos="1440"/>
        </w:tabs>
        <w:jc w:val="center"/>
        <w:rPr>
          <w:b/>
          <w:bCs/>
        </w:rPr>
      </w:pPr>
      <w:r w:rsidRPr="000D10C0">
        <w:rPr>
          <w:b/>
          <w:bCs/>
        </w:rPr>
        <w:lastRenderedPageBreak/>
        <w:t xml:space="preserve">I. </w:t>
      </w:r>
      <w:r w:rsidR="00894761" w:rsidRPr="000D10C0">
        <w:rPr>
          <w:b/>
          <w:bCs/>
        </w:rPr>
        <w:t>B</w:t>
      </w:r>
      <w:r w:rsidR="00894761" w:rsidRPr="003475F3">
        <w:rPr>
          <w:b/>
          <w:bCs/>
          <w:smallCaps/>
        </w:rPr>
        <w:t>ackground</w:t>
      </w:r>
    </w:p>
    <w:p w14:paraId="12598898" w14:textId="5A4E3179" w:rsidR="003E1952" w:rsidRPr="000D10C0" w:rsidRDefault="00071B6F" w:rsidP="000D10C0">
      <w:pPr>
        <w:tabs>
          <w:tab w:val="left" w:pos="1440"/>
        </w:tabs>
        <w:ind w:firstLine="720"/>
      </w:pPr>
      <w:r w:rsidRPr="000D10C0">
        <w:t xml:space="preserve">On the afternoon of May 27, 2015, Delgadillo’s Ford Explorer crossed into incoming traffic and collided head on </w:t>
      </w:r>
      <w:r w:rsidR="00CB3189" w:rsidRPr="000D10C0">
        <w:t>into</w:t>
      </w:r>
      <w:r w:rsidRPr="000D10C0">
        <w:t xml:space="preserve"> a Mazda sedan occupied by a driver and passenger in the front two seats.</w:t>
      </w:r>
      <w:r w:rsidRPr="000D10C0">
        <w:rPr>
          <w:rStyle w:val="FootnoteReference"/>
        </w:rPr>
        <w:footnoteReference w:id="3"/>
      </w:r>
      <w:r w:rsidRPr="000D10C0">
        <w:t xml:space="preserve">  The passenger died from injuries sustained in the accident.  The driver of the Ford Explorer, later identified as Delgadillo, fled the scene on foot, and a police dog located him hiding in a building nearby.  Approximately two and a half hours after the accident, two breath tests showed Delgadillo’s blood</w:t>
      </w:r>
      <w:r w:rsidR="00664FD9">
        <w:t>-</w:t>
      </w:r>
      <w:r w:rsidRPr="000D10C0">
        <w:t>alcohol level to be .13 and .14</w:t>
      </w:r>
      <w:r w:rsidR="00664FD9">
        <w:t xml:space="preserve"> percent</w:t>
      </w:r>
      <w:r w:rsidRPr="000D10C0">
        <w:t>.  Two hours later, Delgadillo provided a blood sample that showed a blood</w:t>
      </w:r>
      <w:r w:rsidR="00664FD9">
        <w:t>-</w:t>
      </w:r>
      <w:r w:rsidRPr="000D10C0">
        <w:t>alcohol level of .13</w:t>
      </w:r>
      <w:r w:rsidR="00664FD9">
        <w:t xml:space="preserve"> percent</w:t>
      </w:r>
      <w:r w:rsidRPr="000D10C0">
        <w:t>.</w:t>
      </w:r>
      <w:r w:rsidR="0056745F" w:rsidRPr="000D10C0">
        <w:t xml:space="preserve"> </w:t>
      </w:r>
    </w:p>
    <w:p w14:paraId="133E5092" w14:textId="03462384" w:rsidR="00FA4985" w:rsidRPr="000D10C0" w:rsidRDefault="00E73452" w:rsidP="000D10C0">
      <w:pPr>
        <w:tabs>
          <w:tab w:val="left" w:pos="1440"/>
        </w:tabs>
        <w:ind w:firstLine="720"/>
      </w:pPr>
      <w:r w:rsidRPr="000D10C0">
        <w:t xml:space="preserve">A jury convicted Delgadillo of second degree murder </w:t>
      </w:r>
      <w:r w:rsidR="00687C69" w:rsidRPr="000D10C0">
        <w:t xml:space="preserve">under </w:t>
      </w:r>
      <w:r w:rsidR="00452F37" w:rsidRPr="000D10C0">
        <w:t xml:space="preserve">an actual </w:t>
      </w:r>
      <w:r w:rsidR="00687C69" w:rsidRPr="000D10C0">
        <w:t xml:space="preserve">implied malice </w:t>
      </w:r>
      <w:r w:rsidR="00452F37" w:rsidRPr="000D10C0">
        <w:t xml:space="preserve">theory </w:t>
      </w:r>
      <w:r w:rsidRPr="000D10C0">
        <w:t xml:space="preserve">(§ 187, </w:t>
      </w:r>
      <w:r w:rsidR="009E3DC4" w:rsidRPr="000D10C0">
        <w:t>s</w:t>
      </w:r>
      <w:r w:rsidR="003B5B7A" w:rsidRPr="000D10C0">
        <w:t>ubd</w:t>
      </w:r>
      <w:r w:rsidRPr="000D10C0">
        <w:t xml:space="preserve">. (a)) and gross vehicular manslaughter while intoxicated (§ 191.5, </w:t>
      </w:r>
      <w:r w:rsidR="009E3DC4" w:rsidRPr="000D10C0">
        <w:t>s</w:t>
      </w:r>
      <w:r w:rsidR="003B5B7A" w:rsidRPr="000D10C0">
        <w:t>ubd.</w:t>
      </w:r>
      <w:r w:rsidRPr="000D10C0">
        <w:t xml:space="preserve"> (a))</w:t>
      </w:r>
      <w:r w:rsidR="003E1952" w:rsidRPr="000D10C0">
        <w:t xml:space="preserve">.  The jury also </w:t>
      </w:r>
      <w:r w:rsidRPr="000D10C0">
        <w:t xml:space="preserve">found true </w:t>
      </w:r>
      <w:r w:rsidR="00672B56" w:rsidRPr="000D10C0">
        <w:t xml:space="preserve">allegations that Delgadillo fled the scene (Veh. Code, § 20001, </w:t>
      </w:r>
      <w:r w:rsidR="009E3DC4" w:rsidRPr="000D10C0">
        <w:t>s</w:t>
      </w:r>
      <w:r w:rsidR="003B5B7A" w:rsidRPr="000D10C0">
        <w:t>ubd</w:t>
      </w:r>
      <w:r w:rsidR="00672B56" w:rsidRPr="000D10C0">
        <w:t xml:space="preserve">. (c)) and had two prior convictions for driving while under the influence of alcohol (Veh. Code, § 23152).  </w:t>
      </w:r>
      <w:r w:rsidR="00517C87" w:rsidRPr="000D10C0">
        <w:t xml:space="preserve">The court sentenced Delgadillo to a term of 15 years to life.  </w:t>
      </w:r>
      <w:r w:rsidRPr="000D10C0">
        <w:t>The</w:t>
      </w:r>
      <w:r w:rsidR="00517C87" w:rsidRPr="000D10C0">
        <w:t xml:space="preserve"> judgment was</w:t>
      </w:r>
      <w:r w:rsidRPr="000D10C0">
        <w:t xml:space="preserve"> </w:t>
      </w:r>
      <w:r w:rsidR="00517C87" w:rsidRPr="000D10C0">
        <w:t>affirmed on appeal</w:t>
      </w:r>
      <w:r w:rsidRPr="000D10C0">
        <w:t xml:space="preserve">. </w:t>
      </w:r>
    </w:p>
    <w:p w14:paraId="59C5530B" w14:textId="14501EEA" w:rsidR="00E73452" w:rsidRPr="000D10C0" w:rsidRDefault="00FE586C" w:rsidP="000D10C0">
      <w:pPr>
        <w:tabs>
          <w:tab w:val="left" w:pos="1440"/>
        </w:tabs>
        <w:ind w:firstLine="720"/>
      </w:pPr>
      <w:r w:rsidRPr="000D10C0">
        <w:t xml:space="preserve">After the </w:t>
      </w:r>
      <w:r w:rsidR="00113A39" w:rsidRPr="000D10C0">
        <w:t>appeal was final</w:t>
      </w:r>
      <w:r w:rsidR="00E73452" w:rsidRPr="000D10C0">
        <w:t>, Senate Bill No. 1437</w:t>
      </w:r>
      <w:r w:rsidR="00163A08">
        <w:t xml:space="preserve"> (2017–2018 Reg. Sess.)</w:t>
      </w:r>
      <w:r w:rsidR="00E73452" w:rsidRPr="000D10C0">
        <w:t xml:space="preserve"> (</w:t>
      </w:r>
      <w:r w:rsidR="00163A08">
        <w:t xml:space="preserve">Senate Bill 1437; </w:t>
      </w:r>
      <w:r w:rsidR="00E73452" w:rsidRPr="000D10C0">
        <w:t xml:space="preserve">Stats. 2018, ch. 1015) </w:t>
      </w:r>
      <w:r w:rsidR="0029256E" w:rsidRPr="000D10C0">
        <w:t>went into effect</w:t>
      </w:r>
      <w:r w:rsidR="00B9384D" w:rsidRPr="000D10C0">
        <w:t xml:space="preserve"> </w:t>
      </w:r>
      <w:r w:rsidR="00452F37" w:rsidRPr="000D10C0">
        <w:t>and</w:t>
      </w:r>
      <w:r w:rsidR="00B9384D" w:rsidRPr="000D10C0">
        <w:t xml:space="preserve"> </w:t>
      </w:r>
      <w:r w:rsidR="00E73452" w:rsidRPr="000D10C0">
        <w:t>barred a conviction for murder under the natural and probable consequences theory as well as limited the scope of the felony</w:t>
      </w:r>
      <w:r w:rsidR="007E6AD3">
        <w:t>-</w:t>
      </w:r>
      <w:r w:rsidR="00E73452" w:rsidRPr="000D10C0">
        <w:t>murder rule</w:t>
      </w:r>
      <w:r w:rsidR="00B9384D" w:rsidRPr="000D10C0">
        <w:t xml:space="preserve">.  </w:t>
      </w:r>
      <w:r w:rsidR="001D5BD8" w:rsidRPr="000D10C0">
        <w:t xml:space="preserve">(§ 188, </w:t>
      </w:r>
      <w:r w:rsidR="009E3DC4" w:rsidRPr="000D10C0">
        <w:t>s</w:t>
      </w:r>
      <w:r w:rsidR="003B5B7A" w:rsidRPr="000D10C0">
        <w:t>ubd</w:t>
      </w:r>
      <w:r w:rsidR="001D5BD8" w:rsidRPr="000D10C0">
        <w:t>. (a)(3),</w:t>
      </w:r>
      <w:r w:rsidR="007E6AD3">
        <w:t xml:space="preserve"> as amended by Stats. 2018, ch. 1015, § 2;</w:t>
      </w:r>
      <w:r w:rsidR="001D5BD8" w:rsidRPr="000D10C0">
        <w:t xml:space="preserve"> </w:t>
      </w:r>
      <w:r w:rsidR="007E6AD3">
        <w:t xml:space="preserve">§ </w:t>
      </w:r>
      <w:r w:rsidR="001D5BD8" w:rsidRPr="000D10C0">
        <w:t>189</w:t>
      </w:r>
      <w:r w:rsidRPr="000D10C0">
        <w:t xml:space="preserve">; </w:t>
      </w:r>
      <w:r w:rsidR="00687C69" w:rsidRPr="000D10C0">
        <w:t xml:space="preserve">see </w:t>
      </w:r>
      <w:r w:rsidRPr="000D10C0">
        <w:rPr>
          <w:i/>
          <w:iCs/>
        </w:rPr>
        <w:t>People v. Gentile</w:t>
      </w:r>
      <w:r w:rsidRPr="000D10C0">
        <w:t xml:space="preserve"> (2020</w:t>
      </w:r>
      <w:r w:rsidR="009E3DC4" w:rsidRPr="000D10C0">
        <w:t>)</w:t>
      </w:r>
      <w:r w:rsidRPr="000D10C0">
        <w:t xml:space="preserve"> 10</w:t>
      </w:r>
      <w:r w:rsidR="00B83F2E" w:rsidRPr="000D10C0">
        <w:t> </w:t>
      </w:r>
      <w:r w:rsidRPr="000D10C0">
        <w:t>C</w:t>
      </w:r>
      <w:r w:rsidR="009E3DC4" w:rsidRPr="000D10C0">
        <w:t>al.</w:t>
      </w:r>
      <w:r w:rsidRPr="000D10C0">
        <w:t>5th 830, 838</w:t>
      </w:r>
      <w:r w:rsidR="001D5BD8" w:rsidRPr="000D10C0">
        <w:t xml:space="preserve">.)  </w:t>
      </w:r>
      <w:r w:rsidR="00B9384D" w:rsidRPr="000D10C0">
        <w:t xml:space="preserve">This </w:t>
      </w:r>
      <w:r w:rsidRPr="000D10C0">
        <w:t xml:space="preserve">change in the law </w:t>
      </w:r>
      <w:r w:rsidR="00B9384D" w:rsidRPr="000D10C0">
        <w:t xml:space="preserve">was </w:t>
      </w:r>
      <w:r w:rsidR="00E73452" w:rsidRPr="000D10C0">
        <w:t xml:space="preserve">“to ensure that </w:t>
      </w:r>
      <w:r w:rsidR="00E73452" w:rsidRPr="000D10C0">
        <w:lastRenderedPageBreak/>
        <w:t>murder liability is not imposed on a person who is not the actual killer, did not act with the intent to kill, or was not a major participant in the underlying felony who acted with reckless indifference to human life.”  (</w:t>
      </w:r>
      <w:r w:rsidR="007E6AD3" w:rsidRPr="000D10C0">
        <w:t>Sen</w:t>
      </w:r>
      <w:r w:rsidR="007E6AD3">
        <w:t>.</w:t>
      </w:r>
      <w:r w:rsidR="007E6AD3" w:rsidRPr="000D10C0">
        <w:t xml:space="preserve"> </w:t>
      </w:r>
      <w:r w:rsidR="00E73452" w:rsidRPr="000D10C0">
        <w:t xml:space="preserve">Bill 1437, § </w:t>
      </w:r>
      <w:r w:rsidR="00AC409B">
        <w:t xml:space="preserve">1, </w:t>
      </w:r>
      <w:r w:rsidR="009E3DC4" w:rsidRPr="000D10C0">
        <w:t>s</w:t>
      </w:r>
      <w:r w:rsidR="003B5B7A" w:rsidRPr="000D10C0">
        <w:t>ubd.</w:t>
      </w:r>
      <w:r w:rsidR="00E73452" w:rsidRPr="000D10C0">
        <w:t xml:space="preserve"> (f).)  Senate Bill 1437 further create</w:t>
      </w:r>
      <w:r w:rsidR="001D5BD8" w:rsidRPr="000D10C0">
        <w:t>d</w:t>
      </w:r>
      <w:r w:rsidR="00E73452" w:rsidRPr="000D10C0">
        <w:t xml:space="preserve"> a </w:t>
      </w:r>
      <w:r w:rsidR="001D5BD8" w:rsidRPr="000D10C0">
        <w:t xml:space="preserve">procedure under </w:t>
      </w:r>
      <w:r w:rsidR="00F74913">
        <w:t xml:space="preserve">former </w:t>
      </w:r>
      <w:r w:rsidR="001D5BD8" w:rsidRPr="000D10C0">
        <w:t>section 1170.95</w:t>
      </w:r>
      <w:r w:rsidR="00E73452" w:rsidRPr="000D10C0">
        <w:t xml:space="preserve"> for persons convicted of felony murder or murder under a natural and probable consequences theory to petition for </w:t>
      </w:r>
      <w:r w:rsidR="00183049">
        <w:t xml:space="preserve">retroactive </w:t>
      </w:r>
      <w:r w:rsidR="00E73452" w:rsidRPr="000D10C0">
        <w:t>relief.</w:t>
      </w:r>
      <w:r w:rsidR="00437934" w:rsidRPr="000D10C0">
        <w:rPr>
          <w:rStyle w:val="FootnoteReference"/>
        </w:rPr>
        <w:footnoteReference w:id="4"/>
      </w:r>
    </w:p>
    <w:p w14:paraId="1B2451F5" w14:textId="211F093E" w:rsidR="001772E9" w:rsidRPr="000D10C0" w:rsidRDefault="00E73452" w:rsidP="000D10C0">
      <w:pPr>
        <w:tabs>
          <w:tab w:val="left" w:pos="1440"/>
        </w:tabs>
        <w:ind w:firstLine="720"/>
      </w:pPr>
      <w:r w:rsidRPr="000D10C0">
        <w:t xml:space="preserve">Delgadillo filed a petition for resentencing pursuant to </w:t>
      </w:r>
      <w:r w:rsidR="003C770A">
        <w:t>this new law</w:t>
      </w:r>
      <w:r w:rsidRPr="000D10C0">
        <w:t xml:space="preserve">.  After </w:t>
      </w:r>
      <w:r w:rsidR="009D5BCA" w:rsidRPr="000D10C0">
        <w:t xml:space="preserve">the cause was submitted upon written </w:t>
      </w:r>
      <w:r w:rsidR="00BF1942" w:rsidRPr="000D10C0">
        <w:t>briefing</w:t>
      </w:r>
      <w:r w:rsidRPr="000D10C0">
        <w:t>, the superior court denied the petition</w:t>
      </w:r>
      <w:r w:rsidR="009D5BCA" w:rsidRPr="000D10C0">
        <w:t xml:space="preserve"> at a hearing</w:t>
      </w:r>
      <w:r w:rsidR="009F5BF3" w:rsidRPr="000D10C0">
        <w:t>.  The superior court</w:t>
      </w:r>
      <w:r w:rsidRPr="000D10C0">
        <w:t xml:space="preserve"> </w:t>
      </w:r>
      <w:r w:rsidR="009F5BF3" w:rsidRPr="000D10C0">
        <w:t>found</w:t>
      </w:r>
      <w:r w:rsidRPr="000D10C0">
        <w:t xml:space="preserve"> no “grounds whatsoever for re-sentencing</w:t>
      </w:r>
      <w:r w:rsidR="009F5BF3" w:rsidRPr="000D10C0">
        <w:t>” because “d</w:t>
      </w:r>
      <w:r w:rsidRPr="000D10C0">
        <w:t xml:space="preserve">efendant was the actual and only </w:t>
      </w:r>
      <w:r w:rsidR="00E146CA" w:rsidRPr="000D10C0">
        <w:t>participant</w:t>
      </w:r>
      <w:r w:rsidRPr="000D10C0">
        <w:t>”</w:t>
      </w:r>
      <w:r w:rsidR="00183049">
        <w:t xml:space="preserve"> in the crime.</w:t>
      </w:r>
      <w:r w:rsidRPr="000D10C0">
        <w:t xml:space="preserve">  </w:t>
      </w:r>
      <w:r w:rsidR="00B27CF8" w:rsidRPr="000D10C0">
        <w:t>An</w:t>
      </w:r>
      <w:r w:rsidR="001E59B5" w:rsidRPr="000D10C0">
        <w:t xml:space="preserve"> order to show cause </w:t>
      </w:r>
      <w:r w:rsidR="00B27CF8" w:rsidRPr="000D10C0">
        <w:t xml:space="preserve">did not </w:t>
      </w:r>
      <w:r w:rsidR="001E59B5" w:rsidRPr="000D10C0">
        <w:t>issue.</w:t>
      </w:r>
    </w:p>
    <w:p w14:paraId="2592BA8D" w14:textId="12C83EBC" w:rsidR="00B0043A" w:rsidRPr="000D10C0" w:rsidRDefault="008D1A64" w:rsidP="000D10C0">
      <w:pPr>
        <w:tabs>
          <w:tab w:val="left" w:pos="1440"/>
        </w:tabs>
        <w:ind w:firstLine="720"/>
      </w:pPr>
      <w:r w:rsidRPr="000D10C0">
        <w:t xml:space="preserve">Delgadillo filed an appeal.  </w:t>
      </w:r>
      <w:r w:rsidR="00543B67" w:rsidRPr="000D10C0">
        <w:t>Appointed</w:t>
      </w:r>
      <w:r w:rsidR="00B0043A" w:rsidRPr="000D10C0">
        <w:t xml:space="preserve"> counsel </w:t>
      </w:r>
      <w:r w:rsidR="009F5BF3" w:rsidRPr="000D10C0">
        <w:t xml:space="preserve">found no arguable issues </w:t>
      </w:r>
      <w:r w:rsidRPr="000D10C0">
        <w:t xml:space="preserve">in the appeal </w:t>
      </w:r>
      <w:r w:rsidR="009F5BF3" w:rsidRPr="000D10C0">
        <w:t xml:space="preserve">and filed a brief in accordance with the procedures outlined in </w:t>
      </w:r>
      <w:r w:rsidR="009F5BF3" w:rsidRPr="000D10C0">
        <w:rPr>
          <w:i/>
          <w:iCs/>
        </w:rPr>
        <w:t>Wende.</w:t>
      </w:r>
      <w:r w:rsidR="009F5BF3" w:rsidRPr="000D10C0">
        <w:t xml:space="preserve">  </w:t>
      </w:r>
      <w:r w:rsidR="005E5FB0" w:rsidRPr="000D10C0">
        <w:t>The brief set out the procedural history and relevant facts of the case and</w:t>
      </w:r>
      <w:r w:rsidR="009F5BF3" w:rsidRPr="000D10C0">
        <w:t xml:space="preserve"> requested that the Court of Appeal conduct a</w:t>
      </w:r>
      <w:r w:rsidRPr="000D10C0">
        <w:t>n independent</w:t>
      </w:r>
      <w:r w:rsidR="009F5BF3" w:rsidRPr="000D10C0">
        <w:t xml:space="preserve"> review of the </w:t>
      </w:r>
      <w:r w:rsidR="009F5BF3" w:rsidRPr="000D10C0">
        <w:lastRenderedPageBreak/>
        <w:t xml:space="preserve">record in accordance with </w:t>
      </w:r>
      <w:r w:rsidR="009F5BF3" w:rsidRPr="000D10C0">
        <w:rPr>
          <w:i/>
          <w:iCs/>
        </w:rPr>
        <w:t>Wende</w:t>
      </w:r>
      <w:r w:rsidR="009F5BF3" w:rsidRPr="000D10C0">
        <w:t>.</w:t>
      </w:r>
      <w:r w:rsidR="00543B67" w:rsidRPr="000D10C0">
        <w:t xml:space="preserve">  In an accompanying declaration, counsel stated she had advised Delgadillo by letter “that a brief on his behalf would be filed according to the procedures outlined” in </w:t>
      </w:r>
      <w:r w:rsidR="00543B67" w:rsidRPr="000D10C0">
        <w:rPr>
          <w:i/>
          <w:iCs/>
        </w:rPr>
        <w:t>Wende</w:t>
      </w:r>
      <w:r w:rsidR="00543B67" w:rsidRPr="000D10C0">
        <w:t xml:space="preserve"> and that he would receive a copy of the brief. Counsel further stated she had also advised Delgadillo that “he may personally file a supplemental brief” raising “any points which he chooses to call to the court’s attention” and that she had provided him with the record.</w:t>
      </w:r>
    </w:p>
    <w:p w14:paraId="409DBD35" w14:textId="59567670" w:rsidR="00EE1172" w:rsidRPr="000D10C0" w:rsidRDefault="00E73452" w:rsidP="000D10C0">
      <w:pPr>
        <w:tabs>
          <w:tab w:val="left" w:pos="1440"/>
        </w:tabs>
        <w:ind w:firstLine="720"/>
      </w:pPr>
      <w:r w:rsidRPr="000D10C0">
        <w:t>The Court of Appeal</w:t>
      </w:r>
      <w:r w:rsidR="00CD572D" w:rsidRPr="000D10C0">
        <w:t xml:space="preserve"> </w:t>
      </w:r>
      <w:r w:rsidR="001C2FE5" w:rsidRPr="000D10C0">
        <w:t xml:space="preserve">directed counsel to </w:t>
      </w:r>
      <w:r w:rsidR="00EE1172" w:rsidRPr="000D10C0">
        <w:t>sen</w:t>
      </w:r>
      <w:r w:rsidR="001C2FE5" w:rsidRPr="000D10C0">
        <w:t>d</w:t>
      </w:r>
      <w:r w:rsidR="00EE1172" w:rsidRPr="000D10C0">
        <w:t xml:space="preserve"> the record and a copy of appointed counsel’s brief to Delgadillo.  The Court of Appeal </w:t>
      </w:r>
      <w:r w:rsidR="009A479F" w:rsidRPr="000D10C0">
        <w:t>sent notice to</w:t>
      </w:r>
      <w:r w:rsidR="00CD572D" w:rsidRPr="000D10C0">
        <w:t xml:space="preserve"> Delgadillo</w:t>
      </w:r>
      <w:r w:rsidR="009A479F" w:rsidRPr="000D10C0">
        <w:t xml:space="preserve"> and counsel</w:t>
      </w:r>
      <w:r w:rsidR="00CD572D" w:rsidRPr="000D10C0">
        <w:t xml:space="preserve"> that “</w:t>
      </w:r>
      <w:r w:rsidR="00AC4897" w:rsidRPr="000D10C0">
        <w:t>[c]</w:t>
      </w:r>
      <w:r w:rsidR="00CD572D" w:rsidRPr="000D10C0">
        <w:t>ounsel appointed to represent appellant on appeal has filed appellant</w:t>
      </w:r>
      <w:r w:rsidR="001370B8" w:rsidRPr="000D10C0">
        <w:t>’</w:t>
      </w:r>
      <w:r w:rsidR="00CD572D" w:rsidRPr="000D10C0">
        <w:t>s opening brief.  Counsel’s inability to find any arguable issues may be readily inferred from the failure to raise any.  (</w:t>
      </w:r>
      <w:r w:rsidR="00CD572D" w:rsidRPr="000D10C0">
        <w:rPr>
          <w:i/>
          <w:iCs/>
        </w:rPr>
        <w:t>People v. Wende</w:t>
      </w:r>
      <w:r w:rsidR="009F1DF6">
        <w:t xml:space="preserve">[, </w:t>
      </w:r>
      <w:r w:rsidR="009F1DF6">
        <w:rPr>
          <w:i/>
          <w:iCs/>
        </w:rPr>
        <w:t>supra,</w:t>
      </w:r>
      <w:r w:rsidR="009F1DF6">
        <w:t>]</w:t>
      </w:r>
      <w:r w:rsidR="00CD572D" w:rsidRPr="000D10C0">
        <w:t xml:space="preserve"> 25</w:t>
      </w:r>
      <w:r w:rsidR="007A3EF4" w:rsidRPr="000D10C0">
        <w:t> </w:t>
      </w:r>
      <w:r w:rsidR="00CD572D" w:rsidRPr="000D10C0">
        <w:t xml:space="preserve">Cal.3d </w:t>
      </w:r>
      <w:r w:rsidR="009F1DF6">
        <w:t>[at p.]</w:t>
      </w:r>
      <w:r w:rsidR="00CD572D" w:rsidRPr="000D10C0">
        <w:t xml:space="preserve"> 442.)  [¶]  Appointed counsel is directed to send the record on this appeal and a copy of appellan</w:t>
      </w:r>
      <w:r w:rsidR="001370B8" w:rsidRPr="000D10C0">
        <w:t>t’</w:t>
      </w:r>
      <w:r w:rsidR="00CD572D" w:rsidRPr="000D10C0">
        <w:t>s opening brief to appellant immediately.</w:t>
      </w:r>
      <w:r w:rsidR="001370B8" w:rsidRPr="000D10C0">
        <w:t xml:space="preserve"> </w:t>
      </w:r>
      <w:r w:rsidR="00CD572D" w:rsidRPr="000D10C0">
        <w:t xml:space="preserve"> Within 30 days of the date of this notice, appellant may submit by brief or letter any grounds of appeal contentions, or argument which appellant wishes this court to consider.” </w:t>
      </w:r>
      <w:r w:rsidR="001370B8" w:rsidRPr="000D10C0">
        <w:t xml:space="preserve"> </w:t>
      </w:r>
      <w:r w:rsidRPr="000D10C0">
        <w:t xml:space="preserve">Delgadillo did not </w:t>
      </w:r>
      <w:r w:rsidR="001370B8" w:rsidRPr="000D10C0">
        <w:t>submit a brief or letter</w:t>
      </w:r>
      <w:r w:rsidR="0056745F" w:rsidRPr="000D10C0">
        <w:t xml:space="preserve"> within the requisite time.</w:t>
      </w:r>
      <w:r w:rsidRPr="000D10C0">
        <w:t xml:space="preserve">  </w:t>
      </w:r>
    </w:p>
    <w:p w14:paraId="5B3929EE" w14:textId="5E08B730" w:rsidR="00AF49C1" w:rsidRPr="000D10C0" w:rsidRDefault="00B808F3" w:rsidP="000D10C0">
      <w:pPr>
        <w:tabs>
          <w:tab w:val="left" w:pos="1440"/>
        </w:tabs>
        <w:ind w:firstLine="720"/>
      </w:pPr>
      <w:r w:rsidRPr="000D10C0">
        <w:t>Following</w:t>
      </w:r>
      <w:r w:rsidR="008D1A64" w:rsidRPr="000D10C0">
        <w:t xml:space="preserve"> </w:t>
      </w:r>
      <w:r w:rsidR="008D1A64" w:rsidRPr="000D10C0">
        <w:rPr>
          <w:i/>
          <w:iCs/>
        </w:rPr>
        <w:t>People v. Cole</w:t>
      </w:r>
      <w:r w:rsidR="008D1A64" w:rsidRPr="000D10C0">
        <w:t xml:space="preserve"> (2020) 52</w:t>
      </w:r>
      <w:r w:rsidR="007A3EF4" w:rsidRPr="000D10C0">
        <w:t> </w:t>
      </w:r>
      <w:r w:rsidR="008D1A64" w:rsidRPr="000D10C0">
        <w:t>Cal.</w:t>
      </w:r>
      <w:r w:rsidR="009E3DC4" w:rsidRPr="000D10C0">
        <w:t>App.</w:t>
      </w:r>
      <w:r w:rsidR="008D1A64" w:rsidRPr="000D10C0">
        <w:t xml:space="preserve">5th 1023, </w:t>
      </w:r>
      <w:r w:rsidR="00627A40" w:rsidRPr="000D10C0">
        <w:t>review granted Oct</w:t>
      </w:r>
      <w:r w:rsidR="009F1DF6">
        <w:t>ober</w:t>
      </w:r>
      <w:r w:rsidR="00627A40" w:rsidRPr="000D10C0">
        <w:t xml:space="preserve"> 14, 2020, S264278</w:t>
      </w:r>
      <w:r w:rsidR="007D38DC" w:rsidRPr="000D10C0">
        <w:t xml:space="preserve"> (</w:t>
      </w:r>
      <w:r w:rsidR="007D38DC" w:rsidRPr="000D10C0">
        <w:rPr>
          <w:i/>
          <w:iCs/>
        </w:rPr>
        <w:t>Cole</w:t>
      </w:r>
      <w:r w:rsidR="007D38DC" w:rsidRPr="000D10C0">
        <w:t>)</w:t>
      </w:r>
      <w:r w:rsidR="00627A40" w:rsidRPr="000D10C0">
        <w:t xml:space="preserve">, </w:t>
      </w:r>
      <w:r w:rsidR="008D1A64" w:rsidRPr="000D10C0">
        <w:t>t</w:t>
      </w:r>
      <w:r w:rsidR="00EE1172" w:rsidRPr="000D10C0">
        <w:t>he Court of Appeal found</w:t>
      </w:r>
      <w:r w:rsidR="009F1DF6">
        <w:t>,</w:t>
      </w:r>
      <w:r w:rsidR="00EE1172" w:rsidRPr="000D10C0">
        <w:t xml:space="preserve"> “</w:t>
      </w:r>
      <w:r w:rsidR="009F1DF6">
        <w:t>[T]</w:t>
      </w:r>
      <w:r w:rsidR="00EE1172" w:rsidRPr="000D10C0">
        <w:t xml:space="preserve">he procedures set forth in </w:t>
      </w:r>
      <w:r w:rsidR="00EE1172" w:rsidRPr="000D10C0">
        <w:rPr>
          <w:i/>
          <w:iCs/>
        </w:rPr>
        <w:t>Wende</w:t>
      </w:r>
      <w:r w:rsidR="00EE1172" w:rsidRPr="000D10C0">
        <w:t xml:space="preserve"> are not constitutionally compelled if a criminal defendant’s appeal is not his or her initial appeal of right.”</w:t>
      </w:r>
      <w:r w:rsidR="00531FC5">
        <w:t xml:space="preserve">  (</w:t>
      </w:r>
      <w:r w:rsidR="00531FC5">
        <w:rPr>
          <w:i/>
          <w:iCs/>
        </w:rPr>
        <w:t>People v. Delgadillo</w:t>
      </w:r>
      <w:r w:rsidR="00531FC5">
        <w:t xml:space="preserve"> (Nov. 18, 2020, B304441)</w:t>
      </w:r>
      <w:r w:rsidR="00EE1172" w:rsidRPr="000D10C0">
        <w:t xml:space="preserve"> </w:t>
      </w:r>
      <w:r w:rsidR="00531FC5">
        <w:t>[nonpub. opn.].)</w:t>
      </w:r>
      <w:r w:rsidR="00EE1172" w:rsidRPr="000D10C0">
        <w:t xml:space="preserve"> </w:t>
      </w:r>
      <w:r w:rsidR="00531FC5">
        <w:t xml:space="preserve"> </w:t>
      </w:r>
      <w:r w:rsidR="00EE1172" w:rsidRPr="000D10C0">
        <w:t>Since Delgadillo did not file a brief</w:t>
      </w:r>
      <w:r w:rsidRPr="000D10C0">
        <w:t xml:space="preserve"> or letter</w:t>
      </w:r>
      <w:r w:rsidR="00EE1172" w:rsidRPr="000D10C0">
        <w:t xml:space="preserve">, the Court of Appeal presumed the order appealed from </w:t>
      </w:r>
      <w:r w:rsidR="008D1A64" w:rsidRPr="000D10C0">
        <w:t>was</w:t>
      </w:r>
      <w:r w:rsidR="00EE1172" w:rsidRPr="000D10C0">
        <w:t xml:space="preserve"> correct and</w:t>
      </w:r>
      <w:r w:rsidR="00E73452" w:rsidRPr="000D10C0">
        <w:t xml:space="preserve"> dismissed Delgadillo’s appeal as abandoned without conducting </w:t>
      </w:r>
      <w:r w:rsidR="00EE1172" w:rsidRPr="000D10C0">
        <w:t>an</w:t>
      </w:r>
      <w:r w:rsidR="00E73452" w:rsidRPr="000D10C0">
        <w:t xml:space="preserve"> independent review</w:t>
      </w:r>
      <w:r w:rsidR="00EE1172" w:rsidRPr="000D10C0">
        <w:t xml:space="preserve">. </w:t>
      </w:r>
      <w:r w:rsidR="00A77500" w:rsidRPr="000D10C0">
        <w:t xml:space="preserve"> </w:t>
      </w:r>
      <w:r w:rsidR="008A0ED1" w:rsidRPr="000D10C0">
        <w:t xml:space="preserve">The </w:t>
      </w:r>
      <w:r w:rsidR="008A0ED1" w:rsidRPr="000D10C0">
        <w:lastRenderedPageBreak/>
        <w:t>Court of Appeal denied Delgadillo’s petition for rehearing</w:t>
      </w:r>
      <w:r w:rsidR="00196D67" w:rsidRPr="000D10C0">
        <w:t>.  W</w:t>
      </w:r>
      <w:r w:rsidR="00C74662" w:rsidRPr="000D10C0">
        <w:t xml:space="preserve">e </w:t>
      </w:r>
      <w:r w:rsidR="008A0ED1" w:rsidRPr="000D10C0">
        <w:t xml:space="preserve">then </w:t>
      </w:r>
      <w:r w:rsidR="00C74662" w:rsidRPr="000D10C0">
        <w:t xml:space="preserve">granted review.  </w:t>
      </w:r>
    </w:p>
    <w:p w14:paraId="1B288D1E" w14:textId="0DEBD027" w:rsidR="00AF49C1" w:rsidRPr="003C770A" w:rsidRDefault="00F12A92" w:rsidP="003475F3">
      <w:pPr>
        <w:keepNext/>
        <w:tabs>
          <w:tab w:val="left" w:pos="1440"/>
        </w:tabs>
        <w:jc w:val="center"/>
        <w:rPr>
          <w:b/>
          <w:bCs/>
          <w:smallCaps/>
        </w:rPr>
      </w:pPr>
      <w:r w:rsidRPr="003C770A">
        <w:rPr>
          <w:b/>
          <w:bCs/>
          <w:smallCaps/>
        </w:rPr>
        <w:t>II. Discussion</w:t>
      </w:r>
    </w:p>
    <w:p w14:paraId="55C0A052" w14:textId="3F046FCC" w:rsidR="006F67BF" w:rsidRPr="003C770A" w:rsidRDefault="006F67BF" w:rsidP="003475F3">
      <w:pPr>
        <w:pStyle w:val="ListParagraph"/>
        <w:keepNext/>
        <w:numPr>
          <w:ilvl w:val="0"/>
          <w:numId w:val="2"/>
        </w:numPr>
        <w:tabs>
          <w:tab w:val="left" w:pos="1440"/>
        </w:tabs>
        <w:rPr>
          <w:b/>
          <w:bCs/>
        </w:rPr>
      </w:pPr>
      <w:r w:rsidRPr="003C770A">
        <w:rPr>
          <w:b/>
          <w:bCs/>
        </w:rPr>
        <w:t xml:space="preserve"> </w:t>
      </w:r>
      <w:r w:rsidR="003C770A" w:rsidRPr="003C770A">
        <w:rPr>
          <w:b/>
          <w:bCs/>
          <w:i/>
          <w:iCs/>
        </w:rPr>
        <w:t>Wende</w:t>
      </w:r>
      <w:r w:rsidR="003C770A" w:rsidRPr="003C770A">
        <w:rPr>
          <w:b/>
          <w:bCs/>
        </w:rPr>
        <w:t xml:space="preserve"> Procedures</w:t>
      </w:r>
    </w:p>
    <w:p w14:paraId="57AFE387" w14:textId="34D8451D" w:rsidR="00717032" w:rsidRPr="000D10C0" w:rsidRDefault="00717032" w:rsidP="003475F3">
      <w:pPr>
        <w:keepNext/>
        <w:tabs>
          <w:tab w:val="left" w:pos="1440"/>
        </w:tabs>
        <w:ind w:firstLine="720"/>
      </w:pPr>
      <w:r w:rsidRPr="000D10C0">
        <w:t xml:space="preserve">The Attorney General argues that </w:t>
      </w:r>
      <w:r w:rsidRPr="000D10C0">
        <w:rPr>
          <w:i/>
          <w:iCs/>
        </w:rPr>
        <w:t>Wende</w:t>
      </w:r>
      <w:r w:rsidRPr="000D10C0">
        <w:t xml:space="preserve"> and related cases are designed to protect only the indigent criminal defendant’s constitutional right to counsel on direct appeal from a criminal conviction.  </w:t>
      </w:r>
      <w:r w:rsidR="003C770A">
        <w:rPr>
          <w:szCs w:val="27"/>
        </w:rPr>
        <w:t>We agree that since Delgadillo’s appeal from the denial of his petition does</w:t>
      </w:r>
      <w:r w:rsidR="003C770A">
        <w:t xml:space="preserve"> </w:t>
      </w:r>
      <w:r w:rsidR="00E71558" w:rsidRPr="000D10C0">
        <w:t>not implicate a constitutional right to counsel</w:t>
      </w:r>
      <w:r w:rsidRPr="000D10C0">
        <w:t xml:space="preserve">, the procedures set out in </w:t>
      </w:r>
      <w:r w:rsidRPr="000D10C0">
        <w:rPr>
          <w:i/>
          <w:iCs/>
        </w:rPr>
        <w:t>Wende</w:t>
      </w:r>
      <w:r w:rsidRPr="000D10C0">
        <w:t xml:space="preserve"> do not apply.  </w:t>
      </w:r>
    </w:p>
    <w:p w14:paraId="481BAAA9" w14:textId="7AD978EA" w:rsidR="00B941CC" w:rsidRPr="000D10C0" w:rsidRDefault="005E12DB" w:rsidP="000D10C0">
      <w:pPr>
        <w:tabs>
          <w:tab w:val="left" w:pos="1440"/>
        </w:tabs>
        <w:ind w:firstLine="720"/>
      </w:pPr>
      <w:r w:rsidRPr="000D10C0">
        <w:t xml:space="preserve">The prophylactic procedures in </w:t>
      </w:r>
      <w:r w:rsidRPr="000D10C0">
        <w:rPr>
          <w:i/>
          <w:iCs/>
        </w:rPr>
        <w:t>Wende</w:t>
      </w:r>
      <w:r w:rsidRPr="000D10C0">
        <w:t xml:space="preserve"> are “relevant when, and only when, a litigant has a previously established constitutional right to counsel.”  (</w:t>
      </w:r>
      <w:r w:rsidRPr="000D10C0">
        <w:rPr>
          <w:i/>
          <w:iCs/>
        </w:rPr>
        <w:t>Finley, supra</w:t>
      </w:r>
      <w:r w:rsidRPr="000D10C0">
        <w:t>, 481</w:t>
      </w:r>
      <w:r w:rsidR="001E2927" w:rsidRPr="000D10C0">
        <w:t> </w:t>
      </w:r>
      <w:r w:rsidRPr="000D10C0">
        <w:t>U.S. at p.</w:t>
      </w:r>
      <w:r w:rsidR="00B83F2E" w:rsidRPr="000D10C0">
        <w:t> </w:t>
      </w:r>
      <w:r w:rsidRPr="000D10C0">
        <w:t xml:space="preserve">555.)  </w:t>
      </w:r>
      <w:r w:rsidR="007E2010" w:rsidRPr="000D10C0">
        <w:t>Criminal</w:t>
      </w:r>
      <w:r w:rsidR="00922DA1" w:rsidRPr="000D10C0">
        <w:t xml:space="preserve"> </w:t>
      </w:r>
      <w:r w:rsidR="007E2010" w:rsidRPr="000D10C0">
        <w:t xml:space="preserve">defendants have a right to the </w:t>
      </w:r>
      <w:r w:rsidR="00C6634A" w:rsidRPr="000D10C0">
        <w:t xml:space="preserve">effective </w:t>
      </w:r>
      <w:r w:rsidR="007E2010" w:rsidRPr="000D10C0">
        <w:t xml:space="preserve">assistance of counsel on the first appeal granted as a matter of right from a criminal conviction.  </w:t>
      </w:r>
      <w:r w:rsidR="00F559C8" w:rsidRPr="000D10C0">
        <w:t>(</w:t>
      </w:r>
      <w:r w:rsidR="002404D3" w:rsidRPr="000D10C0">
        <w:rPr>
          <w:i/>
          <w:iCs/>
        </w:rPr>
        <w:t>Evitts v. Lucey</w:t>
      </w:r>
      <w:r w:rsidR="002404D3" w:rsidRPr="000D10C0">
        <w:t xml:space="preserve"> (1985) 469</w:t>
      </w:r>
      <w:r w:rsidR="001E2927" w:rsidRPr="000D10C0">
        <w:t> </w:t>
      </w:r>
      <w:r w:rsidR="002404D3" w:rsidRPr="000D10C0">
        <w:t>U.S. 387, 394 [“right to counsel is limited to the first appeal as of right”]</w:t>
      </w:r>
      <w:r w:rsidR="003209B9" w:rsidRPr="000D10C0">
        <w:t xml:space="preserve">; </w:t>
      </w:r>
      <w:r w:rsidR="003209B9" w:rsidRPr="000D10C0">
        <w:rPr>
          <w:i/>
          <w:iCs/>
        </w:rPr>
        <w:t>Douglas v. California</w:t>
      </w:r>
      <w:r w:rsidR="003209B9" w:rsidRPr="000D10C0">
        <w:t xml:space="preserve"> (1963) 372</w:t>
      </w:r>
      <w:r w:rsidR="001E2927" w:rsidRPr="000D10C0">
        <w:t> </w:t>
      </w:r>
      <w:r w:rsidR="003209B9" w:rsidRPr="000D10C0">
        <w:t>U.S. 353, 356</w:t>
      </w:r>
      <w:r w:rsidR="00F559C8" w:rsidRPr="000D10C0">
        <w:t>.)</w:t>
      </w:r>
      <w:r w:rsidR="0025391B" w:rsidRPr="000D10C0">
        <w:t xml:space="preserve">  </w:t>
      </w:r>
      <w:r w:rsidR="00F559C8" w:rsidRPr="000D10C0">
        <w:t xml:space="preserve">In </w:t>
      </w:r>
      <w:r w:rsidR="00F559C8" w:rsidRPr="000D10C0">
        <w:rPr>
          <w:i/>
          <w:iCs/>
        </w:rPr>
        <w:t>Anders v. California</w:t>
      </w:r>
      <w:r w:rsidR="00F559C8" w:rsidRPr="000D10C0">
        <w:t xml:space="preserve"> (1967) 386</w:t>
      </w:r>
      <w:r w:rsidR="001E2927" w:rsidRPr="000D10C0">
        <w:t> </w:t>
      </w:r>
      <w:r w:rsidR="00F559C8" w:rsidRPr="000D10C0">
        <w:t>U.S. 738</w:t>
      </w:r>
      <w:r w:rsidR="00CD5E74" w:rsidRPr="000D10C0">
        <w:t xml:space="preserve"> (</w:t>
      </w:r>
      <w:r w:rsidR="00CD5E74" w:rsidRPr="000D10C0">
        <w:rPr>
          <w:i/>
          <w:iCs/>
        </w:rPr>
        <w:t>Anders</w:t>
      </w:r>
      <w:r w:rsidR="00CD5E74" w:rsidRPr="000D10C0">
        <w:t>)</w:t>
      </w:r>
      <w:r w:rsidR="00F559C8" w:rsidRPr="000D10C0">
        <w:t xml:space="preserve">, </w:t>
      </w:r>
      <w:r w:rsidR="003C1ED3" w:rsidRPr="000D10C0">
        <w:t>the</w:t>
      </w:r>
      <w:r w:rsidR="00CD5E74" w:rsidRPr="000D10C0">
        <w:t xml:space="preserve"> </w:t>
      </w:r>
      <w:r w:rsidR="001E45C3" w:rsidRPr="000D10C0">
        <w:t>United States Supreme Court</w:t>
      </w:r>
      <w:r w:rsidR="00CD5E74" w:rsidRPr="000D10C0">
        <w:t xml:space="preserve"> </w:t>
      </w:r>
      <w:r w:rsidR="003C1ED3" w:rsidRPr="000D10C0">
        <w:t>considered</w:t>
      </w:r>
      <w:r w:rsidR="00B97371" w:rsidRPr="000D10C0">
        <w:t xml:space="preserve"> </w:t>
      </w:r>
      <w:r w:rsidR="00F559C8" w:rsidRPr="000D10C0">
        <w:t>“the extent of the duty of a court</w:t>
      </w:r>
      <w:r w:rsidR="00810B8E" w:rsidRPr="000D10C0">
        <w:t>-</w:t>
      </w:r>
      <w:r w:rsidR="00F559C8" w:rsidRPr="000D10C0">
        <w:t>appointed</w:t>
      </w:r>
      <w:r w:rsidR="00B24B3F" w:rsidRPr="000D10C0">
        <w:t xml:space="preserve"> </w:t>
      </w:r>
      <w:r w:rsidR="00F559C8" w:rsidRPr="000D10C0">
        <w:t>appellate counsel to prosecute a first appeal from a</w:t>
      </w:r>
      <w:r w:rsidR="00B24B3F" w:rsidRPr="000D10C0">
        <w:t xml:space="preserve"> </w:t>
      </w:r>
      <w:r w:rsidR="00F559C8" w:rsidRPr="000D10C0">
        <w:t>criminal conviction, after that attorney has conscientiously</w:t>
      </w:r>
      <w:r w:rsidR="00B24B3F" w:rsidRPr="000D10C0">
        <w:t xml:space="preserve"> </w:t>
      </w:r>
      <w:r w:rsidR="00F559C8" w:rsidRPr="000D10C0">
        <w:t>determined that there is no merit to the indigent’s appeal.”</w:t>
      </w:r>
      <w:r w:rsidR="00810B8E" w:rsidRPr="000D10C0">
        <w:t xml:space="preserve"> </w:t>
      </w:r>
      <w:r w:rsidR="00F559C8" w:rsidRPr="000D10C0">
        <w:t xml:space="preserve"> (</w:t>
      </w:r>
      <w:r w:rsidR="00F559C8" w:rsidRPr="000D10C0">
        <w:rPr>
          <w:i/>
          <w:iCs/>
        </w:rPr>
        <w:t>Id</w:t>
      </w:r>
      <w:r w:rsidR="00F559C8" w:rsidRPr="000D10C0">
        <w:t>.</w:t>
      </w:r>
      <w:r w:rsidR="00B24B3F" w:rsidRPr="000D10C0">
        <w:t xml:space="preserve"> </w:t>
      </w:r>
      <w:r w:rsidR="00F559C8" w:rsidRPr="000D10C0">
        <w:t>at p.</w:t>
      </w:r>
      <w:r w:rsidR="00B83F2E" w:rsidRPr="000D10C0">
        <w:t> </w:t>
      </w:r>
      <w:r w:rsidR="00F559C8" w:rsidRPr="000D10C0">
        <w:t xml:space="preserve">739.) </w:t>
      </w:r>
      <w:r w:rsidR="00810B8E" w:rsidRPr="000D10C0">
        <w:t xml:space="preserve"> </w:t>
      </w:r>
      <w:r w:rsidR="009068E9" w:rsidRPr="000D10C0">
        <w:t xml:space="preserve">In the </w:t>
      </w:r>
      <w:r w:rsidR="001E45C3" w:rsidRPr="000D10C0">
        <w:t>state appellate court</w:t>
      </w:r>
      <w:r w:rsidR="009068E9" w:rsidRPr="000D10C0">
        <w:t xml:space="preserve">, </w:t>
      </w:r>
      <w:r w:rsidR="005946EE" w:rsidRPr="000D10C0">
        <w:t>court-</w:t>
      </w:r>
      <w:r w:rsidR="009068E9" w:rsidRPr="000D10C0">
        <w:t>appointed counsel concluded</w:t>
      </w:r>
      <w:r w:rsidR="005946EE" w:rsidRPr="000D10C0">
        <w:t>, after reviewing the record and consulting petitioner,</w:t>
      </w:r>
      <w:r w:rsidR="009068E9" w:rsidRPr="000D10C0">
        <w:t xml:space="preserve"> that </w:t>
      </w:r>
      <w:r w:rsidR="005946EE" w:rsidRPr="000D10C0">
        <w:t xml:space="preserve">an </w:t>
      </w:r>
      <w:r w:rsidR="009068E9" w:rsidRPr="000D10C0">
        <w:t>appeal</w:t>
      </w:r>
      <w:r w:rsidR="005946EE" w:rsidRPr="000D10C0">
        <w:t xml:space="preserve"> of the conviction had no merit</w:t>
      </w:r>
      <w:r w:rsidR="009068E9" w:rsidRPr="000D10C0">
        <w:t xml:space="preserve">. </w:t>
      </w:r>
      <w:r w:rsidR="00CD5E74" w:rsidRPr="000D10C0">
        <w:t xml:space="preserve"> </w:t>
      </w:r>
      <w:r w:rsidR="00620D99" w:rsidRPr="000D10C0">
        <w:t>(</w:t>
      </w:r>
      <w:r w:rsidR="00620D99" w:rsidRPr="000D10C0">
        <w:rPr>
          <w:i/>
          <w:iCs/>
        </w:rPr>
        <w:t>Ibid</w:t>
      </w:r>
      <w:r w:rsidR="00620D99" w:rsidRPr="000D10C0">
        <w:t xml:space="preserve">.)  </w:t>
      </w:r>
      <w:r w:rsidR="005946EE" w:rsidRPr="000D10C0">
        <w:t>Counsel</w:t>
      </w:r>
      <w:r w:rsidR="009068E9" w:rsidRPr="000D10C0">
        <w:t xml:space="preserve"> advised the court by letter </w:t>
      </w:r>
      <w:r w:rsidR="005946EE" w:rsidRPr="000D10C0">
        <w:t>that the appeal had no merit</w:t>
      </w:r>
      <w:r w:rsidR="009068E9" w:rsidRPr="000D10C0">
        <w:t xml:space="preserve"> </w:t>
      </w:r>
      <w:r w:rsidR="00620D99" w:rsidRPr="000D10C0">
        <w:t>and</w:t>
      </w:r>
      <w:r w:rsidR="009068E9" w:rsidRPr="000D10C0">
        <w:t xml:space="preserve"> that petitioner wished to file </w:t>
      </w:r>
      <w:r w:rsidR="00FC69B9" w:rsidRPr="000D10C0">
        <w:t>a pro se</w:t>
      </w:r>
      <w:r w:rsidR="009068E9" w:rsidRPr="000D10C0">
        <w:t xml:space="preserve"> brief.  (</w:t>
      </w:r>
      <w:r w:rsidR="009068E9" w:rsidRPr="000D10C0">
        <w:rPr>
          <w:i/>
          <w:iCs/>
        </w:rPr>
        <w:t>Id</w:t>
      </w:r>
      <w:r w:rsidR="009068E9" w:rsidRPr="000D10C0">
        <w:t>. at pp.</w:t>
      </w:r>
      <w:r w:rsidR="00B83F2E" w:rsidRPr="000D10C0">
        <w:t> </w:t>
      </w:r>
      <w:r w:rsidR="009068E9" w:rsidRPr="000D10C0">
        <w:t>739</w:t>
      </w:r>
      <w:r w:rsidR="00CB3189" w:rsidRPr="000D10C0">
        <w:rPr>
          <w:szCs w:val="26"/>
        </w:rPr>
        <w:t>–</w:t>
      </w:r>
      <w:r w:rsidR="009068E9" w:rsidRPr="000D10C0">
        <w:t xml:space="preserve">740.)  </w:t>
      </w:r>
      <w:r w:rsidR="00FE649B" w:rsidRPr="000D10C0">
        <w:t xml:space="preserve">After </w:t>
      </w:r>
      <w:r w:rsidR="00FC69B9" w:rsidRPr="000D10C0">
        <w:t>the</w:t>
      </w:r>
      <w:r w:rsidR="00FE649B" w:rsidRPr="000D10C0">
        <w:t xml:space="preserve"> pro se brief</w:t>
      </w:r>
      <w:r w:rsidR="00FC69B9" w:rsidRPr="000D10C0">
        <w:t xml:space="preserve"> was filed</w:t>
      </w:r>
      <w:r w:rsidR="00FE649B" w:rsidRPr="000D10C0">
        <w:t xml:space="preserve">, the </w:t>
      </w:r>
      <w:r w:rsidR="00FC69B9" w:rsidRPr="000D10C0">
        <w:t>court</w:t>
      </w:r>
      <w:r w:rsidR="00FE649B" w:rsidRPr="000D10C0">
        <w:t xml:space="preserve"> affirmed the conviction.  (</w:t>
      </w:r>
      <w:r w:rsidR="00FE649B" w:rsidRPr="000D10C0">
        <w:rPr>
          <w:i/>
          <w:iCs/>
        </w:rPr>
        <w:t>Id</w:t>
      </w:r>
      <w:r w:rsidR="00FE649B" w:rsidRPr="000D10C0">
        <w:t>. at p.</w:t>
      </w:r>
      <w:r w:rsidR="00B83F2E" w:rsidRPr="000D10C0">
        <w:t> </w:t>
      </w:r>
      <w:r w:rsidR="00FE649B" w:rsidRPr="000D10C0">
        <w:t xml:space="preserve">740.)  </w:t>
      </w:r>
      <w:r w:rsidR="00F559C8" w:rsidRPr="000D10C0">
        <w:t xml:space="preserve">The </w:t>
      </w:r>
      <w:r w:rsidR="00F35118" w:rsidRPr="000D10C0">
        <w:t xml:space="preserve">United States </w:t>
      </w:r>
      <w:r w:rsidR="00F35118" w:rsidRPr="000D10C0">
        <w:lastRenderedPageBreak/>
        <w:t>Supreme Court</w:t>
      </w:r>
      <w:r w:rsidR="00620D99" w:rsidRPr="000D10C0">
        <w:t xml:space="preserve"> ultimately reversed, concluding that the </w:t>
      </w:r>
      <w:r w:rsidR="00CD5E74" w:rsidRPr="000D10C0">
        <w:t xml:space="preserve">procedure </w:t>
      </w:r>
      <w:r w:rsidR="00620D99" w:rsidRPr="000D10C0">
        <w:t>was inadequate under</w:t>
      </w:r>
      <w:r w:rsidR="00CD5E74" w:rsidRPr="000D10C0">
        <w:t xml:space="preserve"> the Fourteenth Amendment</w:t>
      </w:r>
      <w:r w:rsidR="00620D99" w:rsidRPr="000D10C0">
        <w:t>.</w:t>
      </w:r>
      <w:r w:rsidR="00CD5E74" w:rsidRPr="000D10C0">
        <w:t xml:space="preserve">  (</w:t>
      </w:r>
      <w:r w:rsidR="004A6EB2">
        <w:rPr>
          <w:i/>
          <w:iCs/>
        </w:rPr>
        <w:t>Anders,</w:t>
      </w:r>
      <w:r w:rsidR="00CD5E74" w:rsidRPr="000D10C0">
        <w:t xml:space="preserve"> at p.</w:t>
      </w:r>
      <w:r w:rsidR="00B83F2E" w:rsidRPr="000D10C0">
        <w:t> </w:t>
      </w:r>
      <w:r w:rsidR="00CD5E74" w:rsidRPr="000D10C0">
        <w:t>741.)</w:t>
      </w:r>
    </w:p>
    <w:p w14:paraId="4329D99D" w14:textId="14C7B883" w:rsidR="001D380B" w:rsidRPr="000D10C0" w:rsidRDefault="00FE649B" w:rsidP="000D10C0">
      <w:pPr>
        <w:tabs>
          <w:tab w:val="left" w:pos="1440"/>
        </w:tabs>
        <w:ind w:firstLine="720"/>
      </w:pPr>
      <w:r w:rsidRPr="000D10C0">
        <w:t>The high court reasoned</w:t>
      </w:r>
      <w:r w:rsidR="004A6EB2">
        <w:t>,</w:t>
      </w:r>
      <w:r w:rsidRPr="000D10C0">
        <w:t xml:space="preserve"> </w:t>
      </w:r>
      <w:r w:rsidR="001D380B" w:rsidRPr="000D10C0">
        <w:t>“</w:t>
      </w:r>
      <w:r w:rsidR="004A6EB2">
        <w:t>T</w:t>
      </w:r>
      <w:r w:rsidR="001D380B" w:rsidRPr="000D10C0">
        <w:t xml:space="preserve">he constitutional requirement of substantial equality and fair process can only be attained where counsel acts in the role of an active advocate </w:t>
      </w:r>
      <w:r w:rsidR="00517D67">
        <w:t>[o]</w:t>
      </w:r>
      <w:r w:rsidR="001D380B" w:rsidRPr="000D10C0">
        <w:t xml:space="preserve">n behalf of his client, as opposed to that of </w:t>
      </w:r>
      <w:r w:rsidR="001D380B" w:rsidRPr="000D10C0">
        <w:rPr>
          <w:i/>
          <w:iCs/>
        </w:rPr>
        <w:t>amicus curiae</w:t>
      </w:r>
      <w:r w:rsidR="001D380B" w:rsidRPr="000D10C0">
        <w:t xml:space="preserve">. </w:t>
      </w:r>
      <w:r w:rsidR="00810B8E" w:rsidRPr="000D10C0">
        <w:t xml:space="preserve"> </w:t>
      </w:r>
      <w:r w:rsidR="001D380B" w:rsidRPr="000D10C0">
        <w:t>The no-merit letter and the procedure it triggers do not reach that dignity.</w:t>
      </w:r>
      <w:r w:rsidR="00C338FA">
        <w:t> . . .</w:t>
      </w:r>
      <w:r w:rsidR="001D380B" w:rsidRPr="000D10C0">
        <w:t xml:space="preserve"> Of course, if counsel finds his case to be wholly frivolous, after a conscientious examination of it, he should so advise the court and request permission to withdraw. </w:t>
      </w:r>
      <w:r w:rsidR="00810B8E" w:rsidRPr="000D10C0">
        <w:t xml:space="preserve"> </w:t>
      </w:r>
      <w:r w:rsidR="001D380B" w:rsidRPr="000D10C0">
        <w:t>That request must, however, be accompanied by a brief referring to anything in the record that might arguably support the appeal.  A copy of counsel’s brief should be furnished the indigent and time allowed him to raise any points that he chooses; the court</w:t>
      </w:r>
      <w:r w:rsidR="004A6EB2">
        <w:t> </w:t>
      </w:r>
      <w:r w:rsidR="001D380B" w:rsidRPr="000D10C0">
        <w:t>—</w:t>
      </w:r>
      <w:r w:rsidR="004A6EB2">
        <w:t xml:space="preserve"> </w:t>
      </w:r>
      <w:r w:rsidR="001D380B" w:rsidRPr="000D10C0">
        <w:t>not counsel</w:t>
      </w:r>
      <w:r w:rsidR="004A6EB2">
        <w:t> </w:t>
      </w:r>
      <w:r w:rsidR="001D380B" w:rsidRPr="000D10C0">
        <w:t>—</w:t>
      </w:r>
      <w:r w:rsidR="004A6EB2">
        <w:t xml:space="preserve"> </w:t>
      </w:r>
      <w:r w:rsidR="001D380B" w:rsidRPr="000D10C0">
        <w:t>then proceeds, after a full examination of all the proceedings, to decide whether the case is wholly frivolous.”</w:t>
      </w:r>
      <w:r w:rsidR="00810B8E" w:rsidRPr="000D10C0">
        <w:t xml:space="preserve">  (</w:t>
      </w:r>
      <w:r w:rsidR="002404D3" w:rsidRPr="000D10C0">
        <w:rPr>
          <w:i/>
          <w:iCs/>
        </w:rPr>
        <w:t>Anders</w:t>
      </w:r>
      <w:r w:rsidR="0028509C" w:rsidRPr="000D10C0">
        <w:rPr>
          <w:i/>
          <w:iCs/>
        </w:rPr>
        <w:t>, supra,</w:t>
      </w:r>
      <w:r w:rsidR="0028509C" w:rsidRPr="000D10C0">
        <w:t xml:space="preserve"> 386 U.S.</w:t>
      </w:r>
      <w:r w:rsidR="00810B8E" w:rsidRPr="000D10C0">
        <w:t xml:space="preserve"> at p.</w:t>
      </w:r>
      <w:r w:rsidR="0028509C" w:rsidRPr="000D10C0">
        <w:t> </w:t>
      </w:r>
      <w:r w:rsidR="00810B8E" w:rsidRPr="000D10C0">
        <w:t>744</w:t>
      </w:r>
      <w:r w:rsidRPr="000D10C0">
        <w:t>, fn. omitted</w:t>
      </w:r>
      <w:r w:rsidR="00810B8E" w:rsidRPr="000D10C0">
        <w:t xml:space="preserve">.) </w:t>
      </w:r>
    </w:p>
    <w:p w14:paraId="0A7A1F6B" w14:textId="43A5FB9B" w:rsidR="000E40BA" w:rsidRPr="000D10C0" w:rsidRDefault="0046497A" w:rsidP="000D10C0">
      <w:pPr>
        <w:tabs>
          <w:tab w:val="left" w:pos="1440"/>
        </w:tabs>
        <w:ind w:firstLine="720"/>
      </w:pPr>
      <w:r w:rsidRPr="000D10C0">
        <w:t>Subsequently, i</w:t>
      </w:r>
      <w:r w:rsidR="00B941CC" w:rsidRPr="000D10C0">
        <w:t xml:space="preserve">n </w:t>
      </w:r>
      <w:r w:rsidR="00B941CC" w:rsidRPr="000D10C0">
        <w:rPr>
          <w:i/>
          <w:iCs/>
        </w:rPr>
        <w:t>Wende</w:t>
      </w:r>
      <w:r w:rsidR="00B941CC" w:rsidRPr="000D10C0">
        <w:t xml:space="preserve">, </w:t>
      </w:r>
      <w:r w:rsidR="00B941CC" w:rsidRPr="000D10C0">
        <w:rPr>
          <w:i/>
          <w:iCs/>
        </w:rPr>
        <w:t>supra</w:t>
      </w:r>
      <w:r w:rsidR="00B941CC" w:rsidRPr="000D10C0">
        <w:t>, 25</w:t>
      </w:r>
      <w:r w:rsidR="007A3EF4" w:rsidRPr="000D10C0">
        <w:t> </w:t>
      </w:r>
      <w:r w:rsidR="00B941CC" w:rsidRPr="000D10C0">
        <w:t xml:space="preserve">Cal.3d 436, </w:t>
      </w:r>
      <w:r w:rsidR="00710100" w:rsidRPr="000D10C0">
        <w:t>we “approved a modified procedure to ensure an indigent criminal defendant’s right to effective assistance of counsel</w:t>
      </w:r>
      <w:r w:rsidR="00B941CC" w:rsidRPr="000D10C0">
        <w:t>.</w:t>
      </w:r>
      <w:r w:rsidR="00710100" w:rsidRPr="000D10C0">
        <w:t>”</w:t>
      </w:r>
      <w:r w:rsidR="00B941CC" w:rsidRPr="000D10C0">
        <w:t xml:space="preserve"> </w:t>
      </w:r>
      <w:r w:rsidR="006D2273" w:rsidRPr="000D10C0">
        <w:t xml:space="preserve"> </w:t>
      </w:r>
      <w:r w:rsidR="00B941CC" w:rsidRPr="000D10C0">
        <w:t>(</w:t>
      </w:r>
      <w:r w:rsidR="00B941CC" w:rsidRPr="000D10C0">
        <w:rPr>
          <w:i/>
          <w:iCs/>
        </w:rPr>
        <w:t>People v.</w:t>
      </w:r>
      <w:r w:rsidR="00844A0D" w:rsidRPr="000D10C0">
        <w:rPr>
          <w:i/>
          <w:iCs/>
        </w:rPr>
        <w:t xml:space="preserve"> </w:t>
      </w:r>
      <w:r w:rsidR="00B941CC" w:rsidRPr="000D10C0">
        <w:rPr>
          <w:i/>
          <w:iCs/>
        </w:rPr>
        <w:t>Kelly</w:t>
      </w:r>
      <w:r w:rsidR="00B941CC" w:rsidRPr="000D10C0">
        <w:t xml:space="preserve"> (2006) 40</w:t>
      </w:r>
      <w:r w:rsidR="00B83F2E" w:rsidRPr="000D10C0">
        <w:t> </w:t>
      </w:r>
      <w:r w:rsidR="00B941CC" w:rsidRPr="000D10C0">
        <w:t>C</w:t>
      </w:r>
      <w:r w:rsidR="009E3DC4" w:rsidRPr="000D10C0">
        <w:t>al.</w:t>
      </w:r>
      <w:r w:rsidR="00B941CC" w:rsidRPr="000D10C0">
        <w:t>4th 106, 118</w:t>
      </w:r>
      <w:r w:rsidR="00012D7A" w:rsidRPr="000D10C0">
        <w:t>.</w:t>
      </w:r>
      <w:r w:rsidR="00B941CC" w:rsidRPr="000D10C0">
        <w:t xml:space="preserve">) </w:t>
      </w:r>
      <w:r w:rsidR="00710100" w:rsidRPr="000D10C0">
        <w:t xml:space="preserve"> </w:t>
      </w:r>
      <w:r w:rsidR="00EC3947" w:rsidRPr="000D10C0">
        <w:t xml:space="preserve">In </w:t>
      </w:r>
      <w:r w:rsidR="006D2273" w:rsidRPr="000D10C0">
        <w:rPr>
          <w:i/>
          <w:iCs/>
        </w:rPr>
        <w:t>Wende</w:t>
      </w:r>
      <w:r w:rsidR="00EC3947" w:rsidRPr="000D10C0">
        <w:t xml:space="preserve">, </w:t>
      </w:r>
      <w:r w:rsidR="0082251E" w:rsidRPr="000D10C0">
        <w:t>c</w:t>
      </w:r>
      <w:r w:rsidR="00EC3947" w:rsidRPr="000D10C0">
        <w:t xml:space="preserve">ounsel filed a brief </w:t>
      </w:r>
      <w:r w:rsidR="0082251E" w:rsidRPr="000D10C0">
        <w:t>that summarized</w:t>
      </w:r>
      <w:r w:rsidR="00EC3947" w:rsidRPr="000D10C0">
        <w:t xml:space="preserve"> the proceedings and facts, rais</w:t>
      </w:r>
      <w:r w:rsidR="0082251E" w:rsidRPr="000D10C0">
        <w:t>ed</w:t>
      </w:r>
      <w:r w:rsidR="00EC3947" w:rsidRPr="000D10C0">
        <w:t xml:space="preserve"> no specific issues, and </w:t>
      </w:r>
      <w:r w:rsidR="0082251E" w:rsidRPr="000D10C0">
        <w:t>requested</w:t>
      </w:r>
      <w:r w:rsidR="00EC3947" w:rsidRPr="000D10C0">
        <w:t xml:space="preserve"> </w:t>
      </w:r>
      <w:r w:rsidR="00183049">
        <w:t xml:space="preserve">that </w:t>
      </w:r>
      <w:r w:rsidR="00EC3947" w:rsidRPr="000D10C0">
        <w:t xml:space="preserve">the court review the entire record to determine whether there were any arguable issues.  Counsel submitted a declaration stating that he had advised defendant of the nature of the brief, that he would send defendant a copy of the brief, and that he had informed defendant that the court would permit him to file a brief on his own behalf.  Counsel </w:t>
      </w:r>
      <w:r w:rsidR="0082251E" w:rsidRPr="000D10C0">
        <w:t xml:space="preserve">also stated that he would advise his client that he could move to have counsel relieved.  The defendant did not file a brief. </w:t>
      </w:r>
      <w:r w:rsidR="006015EC" w:rsidRPr="000D10C0">
        <w:t xml:space="preserve"> </w:t>
      </w:r>
      <w:r w:rsidR="00EC3947" w:rsidRPr="000D10C0">
        <w:t>(</w:t>
      </w:r>
      <w:r w:rsidR="00EC3947" w:rsidRPr="000D10C0">
        <w:rPr>
          <w:i/>
          <w:iCs/>
        </w:rPr>
        <w:t>Wende</w:t>
      </w:r>
      <w:r w:rsidR="00EC3947" w:rsidRPr="000D10C0">
        <w:t xml:space="preserve">, at </w:t>
      </w:r>
      <w:r w:rsidR="00EC3947" w:rsidRPr="000D10C0">
        <w:lastRenderedPageBreak/>
        <w:t>p.</w:t>
      </w:r>
      <w:r w:rsidR="00B83F2E" w:rsidRPr="000D10C0">
        <w:t> </w:t>
      </w:r>
      <w:r w:rsidR="006F76A0" w:rsidRPr="000D10C0">
        <w:t>438.)</w:t>
      </w:r>
      <w:r w:rsidR="008A5010" w:rsidRPr="000D10C0">
        <w:t xml:space="preserve">  Ultimately, after undertaking “a review of the entire record in this case,” a “thorough review of the merits,” and hearing oral argument, we affirmed the judgment.  (</w:t>
      </w:r>
      <w:r w:rsidR="008A5010" w:rsidRPr="000D10C0">
        <w:rPr>
          <w:i/>
          <w:iCs/>
        </w:rPr>
        <w:t>Id</w:t>
      </w:r>
      <w:r w:rsidR="008A5010" w:rsidRPr="000D10C0">
        <w:t>. at p.</w:t>
      </w:r>
      <w:r w:rsidR="00B83F2E" w:rsidRPr="000D10C0">
        <w:t> </w:t>
      </w:r>
      <w:r w:rsidR="008A5010" w:rsidRPr="000D10C0">
        <w:t>443.)</w:t>
      </w:r>
      <w:r w:rsidR="00745B93" w:rsidRPr="000D10C0">
        <w:t xml:space="preserve">  </w:t>
      </w:r>
      <w:r w:rsidR="008A5010" w:rsidRPr="000D10C0">
        <w:t>In the process, w</w:t>
      </w:r>
      <w:r w:rsidR="006015EC" w:rsidRPr="000D10C0">
        <w:t xml:space="preserve">e </w:t>
      </w:r>
      <w:r w:rsidR="002E6CD8" w:rsidRPr="000D10C0">
        <w:t xml:space="preserve">interpreted </w:t>
      </w:r>
      <w:r w:rsidR="002E6CD8" w:rsidRPr="000D10C0">
        <w:rPr>
          <w:i/>
          <w:iCs/>
        </w:rPr>
        <w:t>Anders</w:t>
      </w:r>
      <w:r w:rsidR="002E6CD8" w:rsidRPr="000D10C0">
        <w:t xml:space="preserve"> to require that</w:t>
      </w:r>
      <w:r w:rsidR="006015EC" w:rsidRPr="000D10C0">
        <w:t xml:space="preserve"> “[t]he court itself must expressly determine whether the appeal is wholly frivolous.  Since the court’s concern [in </w:t>
      </w:r>
      <w:r w:rsidR="006015EC" w:rsidRPr="000D10C0">
        <w:rPr>
          <w:i/>
          <w:iCs/>
        </w:rPr>
        <w:t>Anders</w:t>
      </w:r>
      <w:r w:rsidR="006015EC" w:rsidRPr="000D10C0">
        <w:t>] was with not merely accepting counsel’s assessment of the case, it follows that the determination and concomitant review of the entire record must be made regardless of whether the defendant has availed himself of the opportunity to submit a brief.”  (</w:t>
      </w:r>
      <w:r w:rsidR="00745B93" w:rsidRPr="000D10C0">
        <w:rPr>
          <w:i/>
          <w:iCs/>
        </w:rPr>
        <w:t>Id.</w:t>
      </w:r>
      <w:r w:rsidR="006015EC" w:rsidRPr="000D10C0">
        <w:t xml:space="preserve"> at p.</w:t>
      </w:r>
      <w:r w:rsidR="00B83F2E" w:rsidRPr="000D10C0">
        <w:t> </w:t>
      </w:r>
      <w:r w:rsidR="006015EC" w:rsidRPr="000D10C0">
        <w:t>441.)</w:t>
      </w:r>
    </w:p>
    <w:p w14:paraId="63703C31" w14:textId="17160E41" w:rsidR="0046497A" w:rsidRPr="000D10C0" w:rsidRDefault="000E40BA" w:rsidP="000D10C0">
      <w:pPr>
        <w:tabs>
          <w:tab w:val="left" w:pos="1440"/>
        </w:tabs>
        <w:ind w:firstLine="720"/>
      </w:pPr>
      <w:r w:rsidRPr="000D10C0">
        <w:t xml:space="preserve">The </w:t>
      </w:r>
      <w:r w:rsidR="001E45C3" w:rsidRPr="000D10C0">
        <w:t>United States Supreme Court</w:t>
      </w:r>
      <w:r w:rsidRPr="000D10C0">
        <w:t xml:space="preserve"> approved </w:t>
      </w:r>
      <w:r w:rsidR="008A5010" w:rsidRPr="000D10C0">
        <w:t>our</w:t>
      </w:r>
      <w:r w:rsidR="00C5011E" w:rsidRPr="000D10C0">
        <w:t xml:space="preserve"> </w:t>
      </w:r>
      <w:r w:rsidRPr="000D10C0">
        <w:rPr>
          <w:i/>
          <w:iCs/>
        </w:rPr>
        <w:t>Wende</w:t>
      </w:r>
      <w:r w:rsidRPr="000D10C0">
        <w:t xml:space="preserve"> </w:t>
      </w:r>
      <w:r w:rsidR="00C5011E" w:rsidRPr="000D10C0">
        <w:t xml:space="preserve">procedure </w:t>
      </w:r>
      <w:r w:rsidRPr="000D10C0">
        <w:t xml:space="preserve">in </w:t>
      </w:r>
      <w:r w:rsidRPr="000D10C0">
        <w:rPr>
          <w:i/>
          <w:iCs/>
        </w:rPr>
        <w:t>Smith v. Robbins</w:t>
      </w:r>
      <w:r w:rsidRPr="000D10C0">
        <w:t xml:space="preserve"> (2000) 528</w:t>
      </w:r>
      <w:r w:rsidR="00CF1A04" w:rsidRPr="000D10C0">
        <w:t> </w:t>
      </w:r>
      <w:r w:rsidRPr="000D10C0">
        <w:t>U.S. 259</w:t>
      </w:r>
      <w:r w:rsidR="00C5011E" w:rsidRPr="000D10C0">
        <w:t>, 276</w:t>
      </w:r>
      <w:r w:rsidRPr="000D10C0">
        <w:t>.</w:t>
      </w:r>
      <w:r w:rsidR="001B00AA" w:rsidRPr="000D10C0">
        <w:t xml:space="preserve">  </w:t>
      </w:r>
      <w:r w:rsidR="00934D2B" w:rsidRPr="000D10C0">
        <w:t xml:space="preserve">The high court reasoned that the </w:t>
      </w:r>
      <w:r w:rsidR="00423D58">
        <w:t>e</w:t>
      </w:r>
      <w:r w:rsidR="00934D2B" w:rsidRPr="000D10C0">
        <w:t xml:space="preserve">qual </w:t>
      </w:r>
      <w:r w:rsidR="00423D58">
        <w:t>p</w:t>
      </w:r>
      <w:r w:rsidR="00934D2B" w:rsidRPr="000D10C0">
        <w:t xml:space="preserve">rotection </w:t>
      </w:r>
      <w:r w:rsidR="00423D58">
        <w:t>c</w:t>
      </w:r>
      <w:r w:rsidR="00934D2B" w:rsidRPr="000D10C0">
        <w:t xml:space="preserve">lause of the Fourteenth Amendment and the </w:t>
      </w:r>
      <w:r w:rsidR="00423D58">
        <w:t>d</w:t>
      </w:r>
      <w:r w:rsidR="00934D2B" w:rsidRPr="000D10C0">
        <w:t xml:space="preserve">ue </w:t>
      </w:r>
      <w:r w:rsidR="00423D58">
        <w:t>p</w:t>
      </w:r>
      <w:r w:rsidR="00934D2B" w:rsidRPr="000D10C0">
        <w:t xml:space="preserve">rocess </w:t>
      </w:r>
      <w:r w:rsidR="00423D58">
        <w:t>c</w:t>
      </w:r>
      <w:r w:rsidR="00934D2B" w:rsidRPr="000D10C0">
        <w:t xml:space="preserve">lause of that </w:t>
      </w:r>
      <w:r w:rsidR="00423D58">
        <w:t>a</w:t>
      </w:r>
      <w:r w:rsidR="00934D2B" w:rsidRPr="000D10C0">
        <w:t xml:space="preserve">mendment “largely converge to require that a State’s procedure ‘affor[d] adequate and effective appellate review to indigent defendants,’ </w:t>
      </w:r>
      <w:r w:rsidR="00767CB2" w:rsidRPr="000D10C0">
        <w:t>[citation]</w:t>
      </w:r>
      <w:r w:rsidR="00934D2B" w:rsidRPr="000D10C0">
        <w:t>.  A State’s procedure provides such review so long as it reasonably ensures that an indigent’s appeal will be resolved in a way that is related to the merit of that appeal.”  (</w:t>
      </w:r>
      <w:r w:rsidR="00DD2D46">
        <w:rPr>
          <w:i/>
          <w:iCs/>
        </w:rPr>
        <w:t>Robbins</w:t>
      </w:r>
      <w:r w:rsidR="008A4C7F">
        <w:rPr>
          <w:i/>
          <w:iCs/>
        </w:rPr>
        <w:t>,</w:t>
      </w:r>
      <w:r w:rsidR="00934D2B" w:rsidRPr="000D10C0">
        <w:t xml:space="preserve"> at pp.</w:t>
      </w:r>
      <w:r w:rsidR="00CF1A04" w:rsidRPr="000D10C0">
        <w:t> </w:t>
      </w:r>
      <w:r w:rsidR="00934D2B" w:rsidRPr="000D10C0">
        <w:t>276</w:t>
      </w:r>
      <w:r w:rsidR="00F2677C" w:rsidRPr="000D10C0">
        <w:rPr>
          <w:szCs w:val="26"/>
        </w:rPr>
        <w:t>–277</w:t>
      </w:r>
      <w:r w:rsidR="00934D2B" w:rsidRPr="000D10C0">
        <w:t>.)</w:t>
      </w:r>
      <w:r w:rsidR="00745B93" w:rsidRPr="000D10C0">
        <w:t xml:space="preserve">  </w:t>
      </w:r>
      <w:r w:rsidR="00714721" w:rsidRPr="000D10C0">
        <w:t>The high court concluded that</w:t>
      </w:r>
      <w:r w:rsidR="00934D2B" w:rsidRPr="000D10C0">
        <w:t xml:space="preserve"> </w:t>
      </w:r>
      <w:r w:rsidR="00714721" w:rsidRPr="000D10C0">
        <w:t>“</w:t>
      </w:r>
      <w:r w:rsidR="00934D2B" w:rsidRPr="000D10C0">
        <w:t xml:space="preserve">the </w:t>
      </w:r>
      <w:r w:rsidR="00934D2B" w:rsidRPr="000D10C0">
        <w:rPr>
          <w:i/>
          <w:iCs/>
        </w:rPr>
        <w:t>Wende</w:t>
      </w:r>
      <w:r w:rsidR="00934D2B" w:rsidRPr="000D10C0">
        <w:t xml:space="preserve"> procedure reasonably ensures that an indigent</w:t>
      </w:r>
      <w:r w:rsidR="00E902B0" w:rsidRPr="000D10C0">
        <w:t>’</w:t>
      </w:r>
      <w:r w:rsidR="00934D2B" w:rsidRPr="000D10C0">
        <w:t>s appeal will be resolved in a way that is related to the merit of that appeal.”  (</w:t>
      </w:r>
      <w:r w:rsidR="00D77DC8" w:rsidRPr="000D10C0">
        <w:rPr>
          <w:i/>
          <w:iCs/>
        </w:rPr>
        <w:t>Id.</w:t>
      </w:r>
      <w:r w:rsidR="00767CB2" w:rsidRPr="000D10C0">
        <w:t xml:space="preserve"> </w:t>
      </w:r>
      <w:r w:rsidR="00934D2B" w:rsidRPr="000D10C0">
        <w:t>at pp.</w:t>
      </w:r>
      <w:r w:rsidR="00CF1A04" w:rsidRPr="000D10C0">
        <w:t> </w:t>
      </w:r>
      <w:r w:rsidR="00934D2B" w:rsidRPr="000D10C0">
        <w:t>278</w:t>
      </w:r>
      <w:r w:rsidR="00767CB2" w:rsidRPr="000D10C0">
        <w:rPr>
          <w:szCs w:val="26"/>
        </w:rPr>
        <w:t>–</w:t>
      </w:r>
      <w:r w:rsidR="00934D2B" w:rsidRPr="000D10C0">
        <w:t>279.)</w:t>
      </w:r>
      <w:r w:rsidR="00E902B0" w:rsidRPr="000D10C0">
        <w:t xml:space="preserve">  </w:t>
      </w:r>
      <w:r w:rsidR="00482A75" w:rsidRPr="000D10C0">
        <w:t xml:space="preserve">Specifically, </w:t>
      </w:r>
      <w:r w:rsidR="00B941CC" w:rsidRPr="000D10C0">
        <w:rPr>
          <w:i/>
          <w:iCs/>
        </w:rPr>
        <w:t>Wende</w:t>
      </w:r>
      <w:r w:rsidR="00B941CC" w:rsidRPr="000D10C0">
        <w:t xml:space="preserve"> </w:t>
      </w:r>
      <w:r w:rsidR="00714721" w:rsidRPr="000D10C0">
        <w:t xml:space="preserve">provides at least two tiers of review and </w:t>
      </w:r>
      <w:r w:rsidR="00B941CC" w:rsidRPr="000D10C0">
        <w:t>“</w:t>
      </w:r>
      <w:r w:rsidR="0046497A" w:rsidRPr="000D10C0">
        <w:t>ensures that a trained legal eye has searched the record for arguable issues and assists the reviewing court in its own evaluation of the case</w:t>
      </w:r>
      <w:r w:rsidR="00B941CC" w:rsidRPr="000D10C0">
        <w:t xml:space="preserve">.” </w:t>
      </w:r>
      <w:r w:rsidR="00C5011E" w:rsidRPr="000D10C0">
        <w:t xml:space="preserve"> </w:t>
      </w:r>
      <w:r w:rsidR="00B941CC" w:rsidRPr="000D10C0">
        <w:t>(</w:t>
      </w:r>
      <w:r w:rsidR="00B941CC" w:rsidRPr="000D10C0">
        <w:rPr>
          <w:i/>
          <w:iCs/>
        </w:rPr>
        <w:t>Id</w:t>
      </w:r>
      <w:r w:rsidR="00B941CC" w:rsidRPr="000D10C0">
        <w:t>. at p.</w:t>
      </w:r>
      <w:r w:rsidR="00CF1A04" w:rsidRPr="000D10C0">
        <w:t> </w:t>
      </w:r>
      <w:r w:rsidR="00B941CC" w:rsidRPr="000D10C0">
        <w:t>281.)</w:t>
      </w:r>
    </w:p>
    <w:p w14:paraId="4844ADAA" w14:textId="3166956C" w:rsidR="00774DE3" w:rsidRPr="000D10C0" w:rsidRDefault="00482A75" w:rsidP="000D10C0">
      <w:pPr>
        <w:tabs>
          <w:tab w:val="left" w:pos="1440"/>
        </w:tabs>
        <w:ind w:firstLine="720"/>
      </w:pPr>
      <w:r w:rsidRPr="000D10C0">
        <w:t xml:space="preserve">However, the procedures set out in </w:t>
      </w:r>
      <w:r w:rsidRPr="000D10C0">
        <w:rPr>
          <w:i/>
          <w:iCs/>
        </w:rPr>
        <w:t>Anders</w:t>
      </w:r>
      <w:r w:rsidRPr="000D10C0">
        <w:t xml:space="preserve"> and </w:t>
      </w:r>
      <w:r w:rsidRPr="000D10C0">
        <w:rPr>
          <w:i/>
          <w:iCs/>
        </w:rPr>
        <w:t>Wende</w:t>
      </w:r>
      <w:r w:rsidRPr="000D10C0">
        <w:t xml:space="preserve"> do not apply </w:t>
      </w:r>
      <w:r w:rsidR="00183049">
        <w:t xml:space="preserve">to an appeal </w:t>
      </w:r>
      <w:r w:rsidRPr="000D10C0">
        <w:t xml:space="preserve">from the denial of postconviction relief, even if the defendant has a state-created right to the </w:t>
      </w:r>
      <w:r w:rsidRPr="000D10C0">
        <w:lastRenderedPageBreak/>
        <w:t>appointment of counsel</w:t>
      </w:r>
      <w:r w:rsidR="00183049">
        <w:t xml:space="preserve"> for that appeal</w:t>
      </w:r>
      <w:r w:rsidRPr="000D10C0">
        <w:t>.  (</w:t>
      </w:r>
      <w:r w:rsidRPr="000D10C0">
        <w:rPr>
          <w:i/>
          <w:iCs/>
        </w:rPr>
        <w:t>Finley, supra</w:t>
      </w:r>
      <w:r w:rsidRPr="000D10C0">
        <w:t>, 481</w:t>
      </w:r>
      <w:r w:rsidR="00B96162" w:rsidRPr="000D10C0">
        <w:t> </w:t>
      </w:r>
      <w:r w:rsidRPr="000D10C0">
        <w:t>U.S. at pp.</w:t>
      </w:r>
      <w:r w:rsidR="00B96162" w:rsidRPr="000D10C0">
        <w:t> </w:t>
      </w:r>
      <w:r w:rsidRPr="000D10C0">
        <w:t xml:space="preserve">556–557; </w:t>
      </w:r>
      <w:r w:rsidRPr="000D10C0">
        <w:rPr>
          <w:i/>
          <w:iCs/>
        </w:rPr>
        <w:t>Sade C., supra</w:t>
      </w:r>
      <w:r w:rsidRPr="000D10C0">
        <w:t>, 13</w:t>
      </w:r>
      <w:r w:rsidR="00B96162" w:rsidRPr="000D10C0">
        <w:t> </w:t>
      </w:r>
      <w:r w:rsidRPr="000D10C0">
        <w:t>C</w:t>
      </w:r>
      <w:r w:rsidR="00907C7E" w:rsidRPr="000D10C0">
        <w:t>al.</w:t>
      </w:r>
      <w:r w:rsidRPr="000D10C0">
        <w:t>4th at p.</w:t>
      </w:r>
      <w:r w:rsidR="00B96162" w:rsidRPr="000D10C0">
        <w:t> </w:t>
      </w:r>
      <w:r w:rsidRPr="000D10C0">
        <w:t xml:space="preserve">978; see also </w:t>
      </w:r>
      <w:r w:rsidRPr="000D10C0">
        <w:rPr>
          <w:i/>
          <w:iCs/>
        </w:rPr>
        <w:t>Austin v. U</w:t>
      </w:r>
      <w:r w:rsidR="00DD2D46">
        <w:rPr>
          <w:i/>
          <w:iCs/>
        </w:rPr>
        <w:t xml:space="preserve">nited </w:t>
      </w:r>
      <w:r w:rsidRPr="000D10C0">
        <w:rPr>
          <w:i/>
          <w:iCs/>
        </w:rPr>
        <w:t>S</w:t>
      </w:r>
      <w:r w:rsidR="00DD2D46">
        <w:rPr>
          <w:i/>
          <w:iCs/>
        </w:rPr>
        <w:t>tates</w:t>
      </w:r>
      <w:r w:rsidRPr="000D10C0">
        <w:rPr>
          <w:i/>
          <w:iCs/>
        </w:rPr>
        <w:t xml:space="preserve"> </w:t>
      </w:r>
      <w:r w:rsidRPr="000D10C0">
        <w:t>(1994) 513</w:t>
      </w:r>
      <w:r w:rsidR="007A3EF4" w:rsidRPr="000D10C0">
        <w:t> </w:t>
      </w:r>
      <w:r w:rsidRPr="000D10C0">
        <w:t xml:space="preserve">U.S. 5, 8.)  This is because </w:t>
      </w:r>
      <w:r w:rsidR="003F0B9C" w:rsidRPr="000D10C0">
        <w:t xml:space="preserve">“there is no constitutional right to the effective assistance of counsel” in state postconviction proceedings.  </w:t>
      </w:r>
      <w:bookmarkStart w:id="3" w:name="_Hlk120009646"/>
      <w:r w:rsidR="003F0B9C" w:rsidRPr="000D10C0">
        <w:t>(</w:t>
      </w:r>
      <w:r w:rsidR="003F0B9C" w:rsidRPr="000D10C0">
        <w:rPr>
          <w:i/>
          <w:iCs/>
        </w:rPr>
        <w:t>People v. Boyer</w:t>
      </w:r>
      <w:r w:rsidR="003F0B9C" w:rsidRPr="000D10C0">
        <w:t xml:space="preserve"> (2006) 38</w:t>
      </w:r>
      <w:r w:rsidR="00B96162" w:rsidRPr="000D10C0">
        <w:t> </w:t>
      </w:r>
      <w:r w:rsidR="00C12543" w:rsidRPr="000D10C0">
        <w:t>Cal.</w:t>
      </w:r>
      <w:r w:rsidR="003F0B9C" w:rsidRPr="000D10C0">
        <w:t>4th 412, 489;</w:t>
      </w:r>
      <w:r w:rsidR="006D7200">
        <w:t xml:space="preserve"> see</w:t>
      </w:r>
      <w:r w:rsidR="003F0B9C" w:rsidRPr="000D10C0">
        <w:t xml:space="preserve"> </w:t>
      </w:r>
      <w:r w:rsidR="003F0B9C" w:rsidRPr="000D10C0">
        <w:rPr>
          <w:i/>
          <w:iCs/>
        </w:rPr>
        <w:t>People v. Young</w:t>
      </w:r>
      <w:r w:rsidR="003F0B9C" w:rsidRPr="000D10C0">
        <w:t xml:space="preserve"> (2005) 34</w:t>
      </w:r>
      <w:r w:rsidR="00B96162" w:rsidRPr="000D10C0">
        <w:t> </w:t>
      </w:r>
      <w:r w:rsidR="003F0B9C" w:rsidRPr="000D10C0">
        <w:t>C</w:t>
      </w:r>
      <w:r w:rsidR="00907C7E" w:rsidRPr="000D10C0">
        <w:t>al.</w:t>
      </w:r>
      <w:r w:rsidR="003F0B9C" w:rsidRPr="000D10C0">
        <w:t>4th 1149, 1232</w:t>
      </w:r>
      <w:r w:rsidR="000852C3" w:rsidRPr="000D10C0">
        <w:rPr>
          <w:szCs w:val="26"/>
        </w:rPr>
        <w:t>–</w:t>
      </w:r>
      <w:r w:rsidR="003F0B9C" w:rsidRPr="000D10C0">
        <w:t xml:space="preserve">1233; </w:t>
      </w:r>
      <w:r w:rsidR="003F0B9C" w:rsidRPr="000D10C0">
        <w:rPr>
          <w:i/>
          <w:iCs/>
        </w:rPr>
        <w:t>People v. Kipp</w:t>
      </w:r>
      <w:r w:rsidR="003F0B9C" w:rsidRPr="000D10C0">
        <w:t xml:space="preserve"> (2001) 26</w:t>
      </w:r>
      <w:r w:rsidR="00B96162" w:rsidRPr="000D10C0">
        <w:t> </w:t>
      </w:r>
      <w:r w:rsidR="003F0B9C" w:rsidRPr="000D10C0">
        <w:t>C</w:t>
      </w:r>
      <w:r w:rsidR="00907C7E" w:rsidRPr="000D10C0">
        <w:t>al.</w:t>
      </w:r>
      <w:r w:rsidR="003F0B9C" w:rsidRPr="000D10C0">
        <w:t>4th 1100, 1139</w:t>
      </w:r>
      <w:r w:rsidR="000852C3" w:rsidRPr="000D10C0">
        <w:rPr>
          <w:szCs w:val="26"/>
        </w:rPr>
        <w:t>–</w:t>
      </w:r>
      <w:r w:rsidR="003F0B9C" w:rsidRPr="000D10C0">
        <w:t>1140</w:t>
      </w:r>
      <w:r w:rsidR="00621BAA" w:rsidRPr="000D10C0">
        <w:t xml:space="preserve">; </w:t>
      </w:r>
      <w:r w:rsidR="00621BAA" w:rsidRPr="000D10C0">
        <w:rPr>
          <w:i/>
          <w:iCs/>
        </w:rPr>
        <w:t>Coleman v. Thompson</w:t>
      </w:r>
      <w:r w:rsidR="00621BAA" w:rsidRPr="000D10C0">
        <w:t xml:space="preserve"> (1991) 501</w:t>
      </w:r>
      <w:r w:rsidR="00B96162" w:rsidRPr="000D10C0">
        <w:t> </w:t>
      </w:r>
      <w:r w:rsidR="00621BAA" w:rsidRPr="000D10C0">
        <w:t xml:space="preserve">U.S. 722, </w:t>
      </w:r>
      <w:r w:rsidR="00F85E00" w:rsidRPr="000D10C0">
        <w:t>755</w:t>
      </w:r>
      <w:r w:rsidR="00621BAA" w:rsidRPr="000D10C0">
        <w:t xml:space="preserve"> (</w:t>
      </w:r>
      <w:r w:rsidR="00621BAA" w:rsidRPr="000D10C0">
        <w:rPr>
          <w:i/>
          <w:iCs/>
        </w:rPr>
        <w:t>Coleman</w:t>
      </w:r>
      <w:r w:rsidR="00621BAA" w:rsidRPr="000D10C0">
        <w:t>)</w:t>
      </w:r>
      <w:r w:rsidR="003F0B9C" w:rsidRPr="000D10C0">
        <w:t xml:space="preserve">.)  </w:t>
      </w:r>
      <w:bookmarkEnd w:id="3"/>
      <w:r w:rsidR="003D2A5F" w:rsidRPr="000D10C0">
        <w:t>“</w:t>
      </w:r>
      <w:r w:rsidR="003D2A5F" w:rsidRPr="000D10C0">
        <w:rPr>
          <w:i/>
          <w:iCs/>
        </w:rPr>
        <w:t>Anders</w:t>
      </w:r>
      <w:r w:rsidR="003D2A5F" w:rsidRPr="000D10C0">
        <w:t xml:space="preserve"> established a prophylactic framework that is relevant when, and only when, a litigant has a previously established constitutional right to counsel.”  (</w:t>
      </w:r>
      <w:r w:rsidR="003D2A5F" w:rsidRPr="000D10C0">
        <w:rPr>
          <w:i/>
          <w:iCs/>
        </w:rPr>
        <w:t xml:space="preserve">Finley, </w:t>
      </w:r>
      <w:r w:rsidR="003D2A5F" w:rsidRPr="000D10C0">
        <w:t>at p.</w:t>
      </w:r>
      <w:r w:rsidR="00B83F2E" w:rsidRPr="000D10C0">
        <w:t> </w:t>
      </w:r>
      <w:r w:rsidR="003D2A5F" w:rsidRPr="000D10C0">
        <w:t xml:space="preserve">555.)  </w:t>
      </w:r>
      <w:r w:rsidR="00774DE3" w:rsidRPr="000D10C0">
        <w:t xml:space="preserve"> “Postconviction relief is even further removed from the criminal trial than is discretionary direct review.  It is not part of the criminal proceeding itself, and it is in fact considered to be civil in nature.  See </w:t>
      </w:r>
      <w:r w:rsidR="00774DE3" w:rsidRPr="000D10C0">
        <w:rPr>
          <w:i/>
          <w:iCs/>
        </w:rPr>
        <w:t>Fay v. Noia</w:t>
      </w:r>
      <w:r w:rsidR="00774DE3" w:rsidRPr="000D10C0">
        <w:t>, 372</w:t>
      </w:r>
      <w:r w:rsidR="001E2927" w:rsidRPr="000D10C0">
        <w:t> </w:t>
      </w:r>
      <w:r w:rsidR="00774DE3" w:rsidRPr="000D10C0">
        <w:t xml:space="preserve">U.S. 391, 423–424 (1963).  It is a collateral attack that normally occurs only after the defendant has failed to secure relief through direct review of his conviction.  States have no obligation to provide this avenue of relief, cf. </w:t>
      </w:r>
      <w:r w:rsidR="00774DE3" w:rsidRPr="000D10C0">
        <w:rPr>
          <w:i/>
          <w:iCs/>
        </w:rPr>
        <w:t>United States v. MacCollom</w:t>
      </w:r>
      <w:r w:rsidR="00774DE3" w:rsidRPr="000D10C0">
        <w:t>, 426</w:t>
      </w:r>
      <w:r w:rsidR="001E2927" w:rsidRPr="000D10C0">
        <w:t> </w:t>
      </w:r>
      <w:r w:rsidR="00774DE3" w:rsidRPr="000D10C0">
        <w:t>U.S. 317, 323 (1976) (plurality opinion), and when they do, the fundamental fairness mandated by the Due Process Clause does not require that the State supply a lawyer as well.”  (</w:t>
      </w:r>
      <w:r w:rsidR="00774DE3" w:rsidRPr="000D10C0">
        <w:rPr>
          <w:i/>
          <w:iCs/>
        </w:rPr>
        <w:t xml:space="preserve">Finley, </w:t>
      </w:r>
      <w:r w:rsidR="00774DE3" w:rsidRPr="000D10C0">
        <w:t>at pp.</w:t>
      </w:r>
      <w:r w:rsidR="00B83F2E" w:rsidRPr="000D10C0">
        <w:t> </w:t>
      </w:r>
      <w:r w:rsidR="00774DE3" w:rsidRPr="000D10C0">
        <w:t xml:space="preserve">556–557.) </w:t>
      </w:r>
      <w:r w:rsidR="00922A0D" w:rsidRPr="000D10C0">
        <w:t xml:space="preserve"> After the first appeal as </w:t>
      </w:r>
      <w:r w:rsidR="001E45C3" w:rsidRPr="000D10C0">
        <w:t xml:space="preserve">a </w:t>
      </w:r>
      <w:r w:rsidR="00922A0D" w:rsidRPr="000D10C0">
        <w:t xml:space="preserve">right, “the Constitution does not put the State to the difficult choice between affording no counsel whatsoever or following the strict procedural guidelines </w:t>
      </w:r>
      <w:bookmarkStart w:id="4" w:name="_Hlk97974173"/>
      <w:r w:rsidR="00AC616D" w:rsidRPr="000D10C0">
        <w:t>a</w:t>
      </w:r>
      <w:r w:rsidR="00922A0D" w:rsidRPr="000D10C0">
        <w:t>n</w:t>
      </w:r>
      <w:r w:rsidR="00450775" w:rsidRPr="000D10C0">
        <w:t>n</w:t>
      </w:r>
      <w:r w:rsidR="00922A0D" w:rsidRPr="000D10C0">
        <w:t xml:space="preserve">unciated </w:t>
      </w:r>
      <w:bookmarkEnd w:id="4"/>
      <w:r w:rsidR="00922A0D" w:rsidRPr="000D10C0">
        <w:t xml:space="preserve">in </w:t>
      </w:r>
      <w:r w:rsidR="00922A0D" w:rsidRPr="000D10C0">
        <w:rPr>
          <w:i/>
          <w:iCs/>
        </w:rPr>
        <w:t>Anders</w:t>
      </w:r>
      <w:r w:rsidR="00922A0D" w:rsidRPr="000D10C0">
        <w:t>.”  (</w:t>
      </w:r>
      <w:r w:rsidR="00922A0D" w:rsidRPr="000D10C0">
        <w:rPr>
          <w:i/>
          <w:iCs/>
        </w:rPr>
        <w:t>Id</w:t>
      </w:r>
      <w:r w:rsidR="00922A0D" w:rsidRPr="000D10C0">
        <w:t>. at p.</w:t>
      </w:r>
      <w:r w:rsidR="00B83F2E" w:rsidRPr="000D10C0">
        <w:t> </w:t>
      </w:r>
      <w:r w:rsidR="00922A0D" w:rsidRPr="000D10C0">
        <w:t>559.)</w:t>
      </w:r>
    </w:p>
    <w:p w14:paraId="65AA33CE" w14:textId="619744AB" w:rsidR="0069506A" w:rsidRPr="000D10C0" w:rsidRDefault="007620C1" w:rsidP="000D10C0">
      <w:pPr>
        <w:tabs>
          <w:tab w:val="left" w:pos="1440"/>
        </w:tabs>
        <w:ind w:firstLine="720"/>
      </w:pPr>
      <w:r w:rsidRPr="000D10C0">
        <w:t xml:space="preserve"> </w:t>
      </w:r>
      <w:r w:rsidR="00B84ADC" w:rsidRPr="000D10C0">
        <w:t>“</w:t>
      </w:r>
      <w:r w:rsidR="006F76A0" w:rsidRPr="000D10C0">
        <w:rPr>
          <w:i/>
          <w:iCs/>
        </w:rPr>
        <w:t>Anders</w:t>
      </w:r>
      <w:r w:rsidR="006F76A0" w:rsidRPr="000D10C0">
        <w:t xml:space="preserve">’s </w:t>
      </w:r>
      <w:r w:rsidR="00B84ADC" w:rsidRPr="000D10C0">
        <w:t>‘</w:t>
      </w:r>
      <w:r w:rsidR="006F76A0" w:rsidRPr="000D10C0">
        <w:t>prophylactic</w:t>
      </w:r>
      <w:r w:rsidR="00B84ADC" w:rsidRPr="000D10C0">
        <w:t>’</w:t>
      </w:r>
      <w:r w:rsidR="006F76A0" w:rsidRPr="000D10C0">
        <w:t xml:space="preserve"> procedures are limited in their applicability to appointed appellate counsel’s representation of an indigent criminal defendant in his first appeal as of right.  (</w:t>
      </w:r>
      <w:r w:rsidR="006F76A0" w:rsidRPr="000D10C0">
        <w:rPr>
          <w:i/>
          <w:iCs/>
        </w:rPr>
        <w:t>Pennsylvania v. Finley</w:t>
      </w:r>
      <w:r w:rsidR="006F76A0" w:rsidRPr="000D10C0">
        <w:t xml:space="preserve">, </w:t>
      </w:r>
      <w:r w:rsidR="006F76A0" w:rsidRPr="000D10C0">
        <w:rPr>
          <w:i/>
          <w:iCs/>
        </w:rPr>
        <w:t>supra</w:t>
      </w:r>
      <w:r w:rsidR="006F76A0" w:rsidRPr="000D10C0">
        <w:t>, 481</w:t>
      </w:r>
      <w:r w:rsidR="007A3EF4" w:rsidRPr="000D10C0">
        <w:t> </w:t>
      </w:r>
      <w:r w:rsidR="006F76A0" w:rsidRPr="000D10C0">
        <w:t>U.S. at pp.</w:t>
      </w:r>
      <w:r w:rsidR="007A3EF4" w:rsidRPr="000D10C0">
        <w:t> </w:t>
      </w:r>
      <w:r w:rsidR="006F76A0" w:rsidRPr="000D10C0">
        <w:t>554–559</w:t>
      </w:r>
      <w:r w:rsidR="00E44AD3">
        <w:t xml:space="preserve"> [95 L.Ed.2d at pp. 545–549]</w:t>
      </w:r>
      <w:r w:rsidR="006F76A0" w:rsidRPr="000D10C0">
        <w:t xml:space="preserve">; see </w:t>
      </w:r>
      <w:r w:rsidR="006F76A0" w:rsidRPr="000D10C0">
        <w:rPr>
          <w:i/>
          <w:iCs/>
        </w:rPr>
        <w:t>Anders v. California</w:t>
      </w:r>
      <w:r w:rsidR="006F76A0" w:rsidRPr="000D10C0">
        <w:t xml:space="preserve">, </w:t>
      </w:r>
      <w:r w:rsidR="006F76A0" w:rsidRPr="000D10C0">
        <w:rPr>
          <w:i/>
          <w:iCs/>
        </w:rPr>
        <w:t>supra</w:t>
      </w:r>
      <w:r w:rsidR="006F76A0" w:rsidRPr="000D10C0">
        <w:t xml:space="preserve">, </w:t>
      </w:r>
      <w:r w:rsidR="006F76A0" w:rsidRPr="000D10C0">
        <w:lastRenderedPageBreak/>
        <w:t>386</w:t>
      </w:r>
      <w:r w:rsidR="007A3EF4" w:rsidRPr="000D10C0">
        <w:t> </w:t>
      </w:r>
      <w:r w:rsidR="006F76A0" w:rsidRPr="000D10C0">
        <w:t>U.S. at pp.</w:t>
      </w:r>
      <w:r w:rsidR="007A3EF4" w:rsidRPr="000D10C0">
        <w:t> </w:t>
      </w:r>
      <w:r w:rsidR="006F76A0" w:rsidRPr="000D10C0">
        <w:t>739, 741–742, 744–745</w:t>
      </w:r>
      <w:r w:rsidR="00E44AD3">
        <w:t xml:space="preserve"> [18 L.Ed.2d at pp. 495, 496–497, 498–499]</w:t>
      </w:r>
      <w:r w:rsidR="006F76A0" w:rsidRPr="000D10C0">
        <w:t xml:space="preserve">; see also </w:t>
      </w:r>
      <w:r w:rsidR="006F76A0" w:rsidRPr="000D10C0">
        <w:rPr>
          <w:i/>
          <w:iCs/>
        </w:rPr>
        <w:t>Austin v. U.S.</w:t>
      </w:r>
      <w:r w:rsidR="00F959F0" w:rsidRPr="000D10C0">
        <w:rPr>
          <w:i/>
          <w:iCs/>
        </w:rPr>
        <w:t>, supra</w:t>
      </w:r>
      <w:r w:rsidR="00F959F0" w:rsidRPr="000D10C0">
        <w:t>,</w:t>
      </w:r>
      <w:r w:rsidR="00F959F0" w:rsidRPr="000D10C0">
        <w:rPr>
          <w:i/>
          <w:iCs/>
        </w:rPr>
        <w:t xml:space="preserve"> </w:t>
      </w:r>
      <w:r w:rsidR="00F959F0" w:rsidRPr="000D10C0">
        <w:t>513</w:t>
      </w:r>
      <w:r w:rsidR="007A3EF4" w:rsidRPr="000D10C0">
        <w:t> </w:t>
      </w:r>
      <w:r w:rsidR="00F959F0" w:rsidRPr="000D10C0">
        <w:t>U.S. at p.</w:t>
      </w:r>
      <w:r w:rsidR="007A3EF4" w:rsidRPr="000D10C0">
        <w:t> </w:t>
      </w:r>
      <w:r w:rsidR="00F959F0" w:rsidRPr="000D10C0">
        <w:t>[8</w:t>
      </w:r>
      <w:r w:rsidR="0089350D" w:rsidRPr="000D10C0">
        <w:t>]</w:t>
      </w:r>
      <w:r w:rsidR="00E44AD3">
        <w:t xml:space="preserve"> [130 L.Ed.2d at p. 223, 115 S.Ct. at p. 381</w:t>
      </w:r>
      <w:r w:rsidR="005B1447">
        <w:t>]</w:t>
      </w:r>
      <w:r w:rsidR="006F76A0" w:rsidRPr="000D10C0">
        <w:t xml:space="preserve">.) </w:t>
      </w:r>
      <w:r w:rsidR="00AC4897" w:rsidRPr="000D10C0">
        <w:t xml:space="preserve"> </w:t>
      </w:r>
      <w:r w:rsidR="006F76A0" w:rsidRPr="000D10C0">
        <w:t xml:space="preserve">They do not extend to an appeal, even on direct review, that is discretionary. </w:t>
      </w:r>
      <w:r w:rsidR="0089350D" w:rsidRPr="000D10C0">
        <w:t xml:space="preserve"> </w:t>
      </w:r>
      <w:r w:rsidR="006F76A0" w:rsidRPr="000D10C0">
        <w:t xml:space="preserve">(See </w:t>
      </w:r>
      <w:r w:rsidR="006F76A0" w:rsidRPr="000D10C0">
        <w:rPr>
          <w:i/>
          <w:iCs/>
        </w:rPr>
        <w:t>Austin v. U.S., supra</w:t>
      </w:r>
      <w:r w:rsidR="006F76A0" w:rsidRPr="000D10C0">
        <w:t>, 513</w:t>
      </w:r>
      <w:r w:rsidR="007A3EF4" w:rsidRPr="000D10C0">
        <w:t> </w:t>
      </w:r>
      <w:r w:rsidR="006F76A0" w:rsidRPr="000D10C0">
        <w:t>U.S. at p.</w:t>
      </w:r>
      <w:r w:rsidR="007A3EF4" w:rsidRPr="000D10C0">
        <w:t> </w:t>
      </w:r>
      <w:r w:rsidR="00F959F0" w:rsidRPr="000D10C0">
        <w:t>[8]</w:t>
      </w:r>
      <w:r w:rsidR="005B1447">
        <w:t xml:space="preserve"> [130 L.Ed.2d at p. 223, 115 S.Ct. at p. 381]</w:t>
      </w:r>
      <w:r w:rsidR="006F76A0" w:rsidRPr="000D10C0">
        <w:t xml:space="preserve">.) </w:t>
      </w:r>
      <w:r w:rsidR="002038FC" w:rsidRPr="000D10C0">
        <w:t xml:space="preserve"> </w:t>
      </w:r>
      <w:r w:rsidR="006F76A0" w:rsidRPr="000D10C0">
        <w:t>A fortiori, they do not reach collateral postconviction proceedings.</w:t>
      </w:r>
      <w:r w:rsidR="00B84ADC" w:rsidRPr="000D10C0">
        <w:t>”  (</w:t>
      </w:r>
      <w:r w:rsidR="006F76A0" w:rsidRPr="000D10C0">
        <w:rPr>
          <w:i/>
          <w:iCs/>
        </w:rPr>
        <w:t>Sade C.</w:t>
      </w:r>
      <w:r w:rsidR="0089350D" w:rsidRPr="000D10C0">
        <w:t xml:space="preserve">, </w:t>
      </w:r>
      <w:r w:rsidR="0089350D" w:rsidRPr="000D10C0">
        <w:rPr>
          <w:i/>
          <w:iCs/>
        </w:rPr>
        <w:t>supra</w:t>
      </w:r>
      <w:r w:rsidR="0089350D" w:rsidRPr="000D10C0">
        <w:t>,</w:t>
      </w:r>
      <w:r w:rsidR="006F76A0" w:rsidRPr="000D10C0">
        <w:t xml:space="preserve"> 13</w:t>
      </w:r>
      <w:r w:rsidR="007A3EF4" w:rsidRPr="000D10C0">
        <w:t> </w:t>
      </w:r>
      <w:r w:rsidR="006F76A0" w:rsidRPr="000D10C0">
        <w:t>C</w:t>
      </w:r>
      <w:r w:rsidR="00A201C8" w:rsidRPr="000D10C0">
        <w:t>al.</w:t>
      </w:r>
      <w:r w:rsidR="006F76A0" w:rsidRPr="000D10C0">
        <w:t xml:space="preserve">4th </w:t>
      </w:r>
      <w:r w:rsidR="002038FC" w:rsidRPr="000D10C0">
        <w:t>at p.</w:t>
      </w:r>
      <w:r w:rsidR="007A3EF4" w:rsidRPr="000D10C0">
        <w:t> </w:t>
      </w:r>
      <w:r w:rsidR="006F76A0" w:rsidRPr="000D10C0">
        <w:t>978</w:t>
      </w:r>
      <w:r w:rsidR="006E793E" w:rsidRPr="000D10C0">
        <w:t xml:space="preserve"> </w:t>
      </w:r>
      <w:r w:rsidR="00AC4897" w:rsidRPr="000D10C0">
        <w:t>[</w:t>
      </w:r>
      <w:r w:rsidR="00AC4897" w:rsidRPr="000D10C0">
        <w:rPr>
          <w:i/>
          <w:iCs/>
        </w:rPr>
        <w:t>Anders</w:t>
      </w:r>
      <w:r w:rsidR="00AC4897" w:rsidRPr="000D10C0">
        <w:t xml:space="preserve"> and </w:t>
      </w:r>
      <w:r w:rsidR="00AC4897" w:rsidRPr="000D10C0">
        <w:rPr>
          <w:i/>
          <w:iCs/>
        </w:rPr>
        <w:t>Wende</w:t>
      </w:r>
      <w:r w:rsidR="00AC4897" w:rsidRPr="000D10C0">
        <w:t xml:space="preserve"> do not apply to an indigent parent </w:t>
      </w:r>
      <w:r w:rsidR="003D2A5F" w:rsidRPr="000D10C0">
        <w:t>appealing a</w:t>
      </w:r>
      <w:r w:rsidR="00AC4897" w:rsidRPr="000D10C0">
        <w:t xml:space="preserve"> child custody or parental status</w:t>
      </w:r>
      <w:r w:rsidR="00CD0806" w:rsidRPr="000D10C0">
        <w:t xml:space="preserve"> decision</w:t>
      </w:r>
      <w:r w:rsidR="00AC4897" w:rsidRPr="000D10C0">
        <w:t>]</w:t>
      </w:r>
      <w:r w:rsidR="003D2A5F" w:rsidRPr="000D10C0">
        <w:t xml:space="preserve">; </w:t>
      </w:r>
      <w:r w:rsidR="00C26027" w:rsidRPr="000D10C0">
        <w:t xml:space="preserve">see also </w:t>
      </w:r>
      <w:r w:rsidR="00CF17AA" w:rsidRPr="000D10C0">
        <w:rPr>
          <w:i/>
          <w:iCs/>
        </w:rPr>
        <w:t>Conservatorship of Ben C.</w:t>
      </w:r>
      <w:r w:rsidR="00CF17AA" w:rsidRPr="000D10C0">
        <w:t xml:space="preserve"> (2007) 40</w:t>
      </w:r>
      <w:r w:rsidR="004A44B3" w:rsidRPr="000D10C0">
        <w:t> </w:t>
      </w:r>
      <w:r w:rsidR="00CF17AA" w:rsidRPr="000D10C0">
        <w:t>C</w:t>
      </w:r>
      <w:r w:rsidR="009E3DC4" w:rsidRPr="000D10C0">
        <w:t>al.</w:t>
      </w:r>
      <w:r w:rsidR="00CF17AA" w:rsidRPr="000D10C0">
        <w:t xml:space="preserve">4th 529, 535 </w:t>
      </w:r>
      <w:r w:rsidR="005937AB" w:rsidRPr="000D10C0">
        <w:t>(</w:t>
      </w:r>
      <w:r w:rsidR="005937AB" w:rsidRPr="000D10C0">
        <w:rPr>
          <w:i/>
          <w:iCs/>
        </w:rPr>
        <w:t>Ben C.</w:t>
      </w:r>
      <w:r w:rsidR="005937AB" w:rsidRPr="000D10C0">
        <w:t xml:space="preserve">) </w:t>
      </w:r>
      <w:r w:rsidR="00CF17AA" w:rsidRPr="000D10C0">
        <w:t>[</w:t>
      </w:r>
      <w:r w:rsidR="00CF17AA" w:rsidRPr="000D10C0">
        <w:rPr>
          <w:i/>
          <w:iCs/>
        </w:rPr>
        <w:t>Anders</w:t>
      </w:r>
      <w:r w:rsidR="00CF17AA" w:rsidRPr="000D10C0">
        <w:t xml:space="preserve"> and </w:t>
      </w:r>
      <w:r w:rsidR="00CF17AA" w:rsidRPr="000D10C0">
        <w:rPr>
          <w:i/>
          <w:iCs/>
        </w:rPr>
        <w:t>Wende</w:t>
      </w:r>
      <w:r w:rsidR="00CF17AA" w:rsidRPr="000D10C0">
        <w:t xml:space="preserve"> </w:t>
      </w:r>
      <w:r w:rsidR="00D03EBB" w:rsidRPr="000D10C0">
        <w:t>do not apply</w:t>
      </w:r>
      <w:r w:rsidR="00CF17AA" w:rsidRPr="000D10C0">
        <w:t xml:space="preserve"> </w:t>
      </w:r>
      <w:r w:rsidR="00D03EBB" w:rsidRPr="000D10C0">
        <w:t>to</w:t>
      </w:r>
      <w:r w:rsidR="00CF17AA" w:rsidRPr="000D10C0">
        <w:t xml:space="preserve"> conservatorship proceedings under the Lanterman</w:t>
      </w:r>
      <w:r w:rsidR="00E44AD3">
        <w:t>-</w:t>
      </w:r>
      <w:r w:rsidR="00CF17AA" w:rsidRPr="000D10C0">
        <w:t>Petris</w:t>
      </w:r>
      <w:r w:rsidR="00E44AD3">
        <w:t>-</w:t>
      </w:r>
      <w:r w:rsidR="00CF17AA" w:rsidRPr="000D10C0">
        <w:t>Short Act]</w:t>
      </w:r>
      <w:r w:rsidR="00B77EEC" w:rsidRPr="000D10C0">
        <w:t xml:space="preserve">.)  </w:t>
      </w:r>
      <w:r w:rsidR="00F959F0" w:rsidRPr="000D10C0">
        <w:t xml:space="preserve">The reasoning that led to the procedures in </w:t>
      </w:r>
      <w:r w:rsidR="00F959F0" w:rsidRPr="000D10C0">
        <w:rPr>
          <w:i/>
          <w:iCs/>
        </w:rPr>
        <w:t>Anders</w:t>
      </w:r>
      <w:r w:rsidR="00F959F0" w:rsidRPr="000D10C0">
        <w:t xml:space="preserve"> and </w:t>
      </w:r>
      <w:r w:rsidR="00F959F0" w:rsidRPr="000D10C0">
        <w:rPr>
          <w:i/>
          <w:iCs/>
        </w:rPr>
        <w:t>Wende</w:t>
      </w:r>
      <w:r w:rsidR="00F959F0" w:rsidRPr="000D10C0">
        <w:t xml:space="preserve"> </w:t>
      </w:r>
      <w:r w:rsidR="00564C0E" w:rsidRPr="000D10C0">
        <w:t>thus</w:t>
      </w:r>
      <w:r w:rsidR="00F959F0" w:rsidRPr="000D10C0">
        <w:t xml:space="preserve"> do</w:t>
      </w:r>
      <w:r w:rsidR="00E03FD8" w:rsidRPr="000D10C0">
        <w:t>es</w:t>
      </w:r>
      <w:r w:rsidR="00F959F0" w:rsidRPr="000D10C0">
        <w:t xml:space="preserve"> not apply </w:t>
      </w:r>
      <w:r w:rsidR="00E65B59" w:rsidRPr="000D10C0">
        <w:t xml:space="preserve">to </w:t>
      </w:r>
      <w:r w:rsidR="003C770A">
        <w:t>Delgadillo’s</w:t>
      </w:r>
      <w:r w:rsidR="00FE2119" w:rsidRPr="000D10C0">
        <w:t xml:space="preserve"> </w:t>
      </w:r>
      <w:r w:rsidR="00E65B59" w:rsidRPr="000D10C0">
        <w:t xml:space="preserve">postconviction </w:t>
      </w:r>
      <w:r w:rsidR="00FA7DBC" w:rsidRPr="000D10C0">
        <w:t xml:space="preserve">proceeding </w:t>
      </w:r>
      <w:r w:rsidR="003C770A">
        <w:t>here.</w:t>
      </w:r>
      <w:r w:rsidRPr="000D10C0">
        <w:t xml:space="preserve"> </w:t>
      </w:r>
    </w:p>
    <w:p w14:paraId="4E97E46F" w14:textId="0D4D5EFD" w:rsidR="005369F0" w:rsidRPr="000D10C0" w:rsidRDefault="00D415B0" w:rsidP="00EF4733">
      <w:pPr>
        <w:tabs>
          <w:tab w:val="left" w:pos="1440"/>
        </w:tabs>
        <w:ind w:firstLine="720"/>
      </w:pPr>
      <w:r w:rsidRPr="0096388E">
        <w:t>Furthermore, w</w:t>
      </w:r>
      <w:r w:rsidR="005369F0" w:rsidRPr="0096388E">
        <w:t xml:space="preserve">e have recently affirmed the proposition, </w:t>
      </w:r>
      <w:r w:rsidRPr="0096388E">
        <w:t xml:space="preserve">specifically </w:t>
      </w:r>
      <w:r w:rsidR="005369F0" w:rsidRPr="0096388E">
        <w:t>in the context of section 117</w:t>
      </w:r>
      <w:r w:rsidR="003C770A" w:rsidRPr="0096388E">
        <w:t>2</w:t>
      </w:r>
      <w:r w:rsidR="005369F0" w:rsidRPr="0096388E">
        <w:t>.</w:t>
      </w:r>
      <w:r w:rsidR="003C770A" w:rsidRPr="0096388E">
        <w:t>6</w:t>
      </w:r>
      <w:r w:rsidR="005369F0" w:rsidRPr="0096388E">
        <w:t>, that “[t]here is no unconditional state or federal constitutional right to counsel to pursue collateral relief from a judgment of conviction.”  (</w:t>
      </w:r>
      <w:r w:rsidR="003C770A" w:rsidRPr="0096388E">
        <w:rPr>
          <w:i/>
          <w:iCs/>
        </w:rPr>
        <w:t>Lewis</w:t>
      </w:r>
      <w:r w:rsidR="003C770A" w:rsidRPr="0096388E">
        <w:rPr>
          <w:i/>
          <w:iCs/>
          <w:szCs w:val="27"/>
        </w:rPr>
        <w:t>, supra</w:t>
      </w:r>
      <w:r w:rsidR="003C770A" w:rsidRPr="0096388E">
        <w:rPr>
          <w:szCs w:val="27"/>
        </w:rPr>
        <w:t>,</w:t>
      </w:r>
      <w:r w:rsidR="003C770A" w:rsidRPr="0096388E">
        <w:t xml:space="preserve"> 11 Cal.5th </w:t>
      </w:r>
      <w:r w:rsidR="003C770A" w:rsidRPr="0096388E">
        <w:rPr>
          <w:szCs w:val="27"/>
        </w:rPr>
        <w:t>at p.</w:t>
      </w:r>
      <w:r w:rsidR="003C770A" w:rsidRPr="0096388E">
        <w:t xml:space="preserve"> 972</w:t>
      </w:r>
      <w:r w:rsidR="005369F0" w:rsidRPr="0096388E">
        <w:t xml:space="preserve">, citing </w:t>
      </w:r>
      <w:r w:rsidR="005369F0" w:rsidRPr="0096388E">
        <w:rPr>
          <w:i/>
          <w:iCs/>
        </w:rPr>
        <w:t>In re Barnett</w:t>
      </w:r>
      <w:r w:rsidR="005369F0" w:rsidRPr="0096388E">
        <w:t xml:space="preserve"> (2003) 31</w:t>
      </w:r>
      <w:r w:rsidR="007A3EF4" w:rsidRPr="0096388E">
        <w:t> </w:t>
      </w:r>
      <w:r w:rsidR="005369F0" w:rsidRPr="0096388E">
        <w:t>Cal.4th 466, 475 [no federal or state “constitutional right to counsel for seeking collateral relief from a judgment of conviction via state</w:t>
      </w:r>
      <w:r w:rsidR="005369F0" w:rsidRPr="000D10C0">
        <w:t xml:space="preserve"> habeas corpus proceedings”]; </w:t>
      </w:r>
      <w:r w:rsidR="005369F0" w:rsidRPr="000D10C0">
        <w:rPr>
          <w:i/>
          <w:iCs/>
        </w:rPr>
        <w:t>People v. Shipman</w:t>
      </w:r>
      <w:r w:rsidR="005369F0" w:rsidRPr="000D10C0">
        <w:t xml:space="preserve"> (1965) 62</w:t>
      </w:r>
      <w:r w:rsidR="00017C08" w:rsidRPr="000D10C0">
        <w:t> </w:t>
      </w:r>
      <w:r w:rsidR="005369F0" w:rsidRPr="000D10C0">
        <w:t xml:space="preserve">Cal.2d 226, 232 </w:t>
      </w:r>
      <w:r w:rsidR="00564C0E" w:rsidRPr="000D10C0">
        <w:t>(</w:t>
      </w:r>
      <w:r w:rsidR="00564C0E" w:rsidRPr="000D10C0">
        <w:rPr>
          <w:i/>
          <w:iCs/>
        </w:rPr>
        <w:t>Shipman</w:t>
      </w:r>
      <w:r w:rsidR="00564C0E" w:rsidRPr="000D10C0">
        <w:t xml:space="preserve">) </w:t>
      </w:r>
      <w:r w:rsidR="005369F0" w:rsidRPr="000D10C0">
        <w:t xml:space="preserve">[observing the same in the context of </w:t>
      </w:r>
      <w:r w:rsidR="005369F0" w:rsidRPr="003475F3">
        <w:rPr>
          <w:i/>
          <w:iCs/>
        </w:rPr>
        <w:t>coram nobis</w:t>
      </w:r>
      <w:r w:rsidR="005369F0" w:rsidRPr="000D10C0">
        <w:t xml:space="preserve"> relief]; </w:t>
      </w:r>
      <w:r w:rsidR="005369F0" w:rsidRPr="000D10C0">
        <w:rPr>
          <w:i/>
          <w:iCs/>
        </w:rPr>
        <w:t>Finley, supra</w:t>
      </w:r>
      <w:r w:rsidR="005369F0" w:rsidRPr="000D10C0">
        <w:t>, 481</w:t>
      </w:r>
      <w:r w:rsidR="001E2927" w:rsidRPr="000D10C0">
        <w:t> </w:t>
      </w:r>
      <w:r w:rsidR="005369F0" w:rsidRPr="000D10C0">
        <w:t>U.S. at p.</w:t>
      </w:r>
      <w:r w:rsidR="00B83F2E" w:rsidRPr="000D10C0">
        <w:t> </w:t>
      </w:r>
      <w:r w:rsidR="005369F0" w:rsidRPr="000D10C0">
        <w:t>557</w:t>
      </w:r>
      <w:r w:rsidR="00C706AE" w:rsidRPr="000D10C0">
        <w:t xml:space="preserve"> [</w:t>
      </w:r>
      <w:r w:rsidR="00731394" w:rsidRPr="000D10C0">
        <w:t xml:space="preserve">concluding </w:t>
      </w:r>
      <w:r w:rsidR="000F0D6F" w:rsidRPr="000D10C0">
        <w:t>“</w:t>
      </w:r>
      <w:r w:rsidR="00731394" w:rsidRPr="000D10C0">
        <w:t>respondent has no underlying constitutional right to appointed counsel in state postconviction proceedings</w:t>
      </w:r>
      <w:r w:rsidR="000F0D6F" w:rsidRPr="000D10C0">
        <w:t>”</w:t>
      </w:r>
      <w:r w:rsidR="00C706AE" w:rsidRPr="000D10C0">
        <w:t>]</w:t>
      </w:r>
      <w:r w:rsidR="005369F0" w:rsidRPr="000D10C0">
        <w:t xml:space="preserve">.)  </w:t>
      </w:r>
      <w:r w:rsidR="007E4FFA" w:rsidRPr="000D10C0">
        <w:t>As Delgadillo concedes, there is no federal constitutional right to counsel under subdivision (c) of section 117</w:t>
      </w:r>
      <w:r w:rsidR="007B0A42">
        <w:t>2</w:t>
      </w:r>
      <w:r w:rsidR="007E4FFA" w:rsidRPr="000D10C0">
        <w:t>.</w:t>
      </w:r>
      <w:r w:rsidR="007B0A42">
        <w:t>6</w:t>
      </w:r>
      <w:r w:rsidR="007E4FFA" w:rsidRPr="000D10C0">
        <w:t xml:space="preserve">, and the right to </w:t>
      </w:r>
      <w:r w:rsidR="007E4FFA" w:rsidRPr="000D10C0">
        <w:lastRenderedPageBreak/>
        <w:t>counsel at that point in the proceedings is purely statutory.</w:t>
      </w:r>
      <w:r w:rsidR="008D632A">
        <w:rPr>
          <w:rStyle w:val="FootnoteReference"/>
        </w:rPr>
        <w:footnoteReference w:id="5"/>
      </w:r>
      <w:r w:rsidR="00013DCC">
        <w:t xml:space="preserve">  </w:t>
      </w:r>
      <w:r w:rsidR="007648B9" w:rsidRPr="000D10C0">
        <w:t>G</w:t>
      </w:r>
      <w:r w:rsidR="00FD31FF" w:rsidRPr="000D10C0">
        <w:t>iven there is no</w:t>
      </w:r>
      <w:r w:rsidR="000C2A4A" w:rsidRPr="000D10C0">
        <w:t xml:space="preserve"> constitutional right to counsel in </w:t>
      </w:r>
      <w:r w:rsidR="000B5E58" w:rsidRPr="000D10C0">
        <w:t xml:space="preserve">a </w:t>
      </w:r>
      <w:r w:rsidR="000C2A4A" w:rsidRPr="000D10C0">
        <w:t>proceeding</w:t>
      </w:r>
      <w:r w:rsidR="003B5B7A" w:rsidRPr="000D10C0">
        <w:t xml:space="preserve"> under section 117</w:t>
      </w:r>
      <w:r w:rsidR="007B0A42">
        <w:t>2</w:t>
      </w:r>
      <w:r w:rsidR="003B5B7A" w:rsidRPr="000D10C0">
        <w:t>.</w:t>
      </w:r>
      <w:r w:rsidR="007B0A42">
        <w:t>6</w:t>
      </w:r>
      <w:r w:rsidR="00013DCC">
        <w:t>,</w:t>
      </w:r>
      <w:r w:rsidR="003B5B7A" w:rsidRPr="000D10C0">
        <w:t xml:space="preserve"> subdivision (c)</w:t>
      </w:r>
      <w:r w:rsidR="000C2A4A" w:rsidRPr="000D10C0">
        <w:t xml:space="preserve">, </w:t>
      </w:r>
      <w:r w:rsidR="00FD31FF" w:rsidRPr="000D10C0">
        <w:t>it would “defy logic” to conclude</w:t>
      </w:r>
      <w:r w:rsidR="000C2A4A" w:rsidRPr="000D10C0">
        <w:t xml:space="preserve"> </w:t>
      </w:r>
      <w:r w:rsidR="00FD31FF" w:rsidRPr="000D10C0">
        <w:t>there is a</w:t>
      </w:r>
      <w:r w:rsidR="003B5B7A" w:rsidRPr="000D10C0">
        <w:t xml:space="preserve"> </w:t>
      </w:r>
      <w:r w:rsidR="000C2A4A" w:rsidRPr="000D10C0">
        <w:t>constitutional right to counsel “to appeal [that] state collateral determination</w:t>
      </w:r>
      <w:r w:rsidR="00027F1E">
        <w:t>.</w:t>
      </w:r>
      <w:r w:rsidR="000C2A4A" w:rsidRPr="000D10C0">
        <w:t>”</w:t>
      </w:r>
      <w:r w:rsidR="00FD31FF" w:rsidRPr="000D10C0">
        <w:t xml:space="preserve"> </w:t>
      </w:r>
      <w:r w:rsidR="000C2A4A" w:rsidRPr="000D10C0">
        <w:t xml:space="preserve"> (</w:t>
      </w:r>
      <w:r w:rsidR="000C2A4A" w:rsidRPr="000D10C0">
        <w:rPr>
          <w:i/>
          <w:iCs/>
        </w:rPr>
        <w:t>Coleman, supra</w:t>
      </w:r>
      <w:r w:rsidR="000C2A4A" w:rsidRPr="000D10C0">
        <w:t>, 501</w:t>
      </w:r>
      <w:r w:rsidR="00B96162" w:rsidRPr="000D10C0">
        <w:t> </w:t>
      </w:r>
      <w:r w:rsidR="000C2A4A" w:rsidRPr="000D10C0">
        <w:t>U.S. at pp.</w:t>
      </w:r>
      <w:r w:rsidR="00B96162" w:rsidRPr="000D10C0">
        <w:t> </w:t>
      </w:r>
      <w:r w:rsidR="000C2A4A" w:rsidRPr="000D10C0">
        <w:t>756</w:t>
      </w:r>
      <w:r w:rsidR="00027F1E">
        <w:t xml:space="preserve">, </w:t>
      </w:r>
      <w:r w:rsidR="000C2A4A" w:rsidRPr="000D10C0">
        <w:t>757</w:t>
      </w:r>
      <w:r w:rsidR="00FD31FF" w:rsidRPr="000D10C0">
        <w:t>.</w:t>
      </w:r>
      <w:r w:rsidR="000C2A4A" w:rsidRPr="000D10C0">
        <w:t xml:space="preserve">)  </w:t>
      </w:r>
      <w:r w:rsidR="00CC0ED5">
        <w:t>C</w:t>
      </w:r>
      <w:r w:rsidR="005369F0" w:rsidRPr="000D10C0">
        <w:t xml:space="preserve">ourts below </w:t>
      </w:r>
      <w:r w:rsidR="00CC0ED5">
        <w:t xml:space="preserve">have </w:t>
      </w:r>
      <w:r w:rsidR="005369F0" w:rsidRPr="000D10C0">
        <w:t>uniformly agree</w:t>
      </w:r>
      <w:r w:rsidR="00CC0ED5">
        <w:t>d</w:t>
      </w:r>
      <w:r w:rsidR="005369F0" w:rsidRPr="000D10C0">
        <w:t xml:space="preserve"> that </w:t>
      </w:r>
      <w:r w:rsidR="005369F0" w:rsidRPr="000D10C0">
        <w:rPr>
          <w:i/>
          <w:iCs/>
        </w:rPr>
        <w:t>Wende</w:t>
      </w:r>
      <w:r w:rsidR="005369F0" w:rsidRPr="000D10C0">
        <w:t xml:space="preserve"> procedures </w:t>
      </w:r>
      <w:r w:rsidR="003963AE">
        <w:t>are not constitutionally required on</w:t>
      </w:r>
      <w:r w:rsidR="005369F0" w:rsidRPr="000D10C0">
        <w:t xml:space="preserve"> an appeal from a denial of </w:t>
      </w:r>
      <w:r w:rsidR="00B34B7B" w:rsidRPr="000D10C0">
        <w:t xml:space="preserve">a </w:t>
      </w:r>
      <w:r w:rsidR="005369F0" w:rsidRPr="000D10C0">
        <w:t xml:space="preserve">postconviction </w:t>
      </w:r>
      <w:r w:rsidR="007368C3" w:rsidRPr="000D10C0">
        <w:t xml:space="preserve">petition under </w:t>
      </w:r>
      <w:r w:rsidR="005369F0" w:rsidRPr="000D10C0">
        <w:t>section 117</w:t>
      </w:r>
      <w:r w:rsidR="007B0A42">
        <w:t>2.6</w:t>
      </w:r>
      <w:r w:rsidR="005369F0" w:rsidRPr="000D10C0">
        <w:t xml:space="preserve">.  (See </w:t>
      </w:r>
      <w:r w:rsidR="00EF4733" w:rsidRPr="003475F3">
        <w:rPr>
          <w:i/>
          <w:iCs/>
        </w:rPr>
        <w:t>People v. Griffin</w:t>
      </w:r>
      <w:r w:rsidR="00EF4733">
        <w:t xml:space="preserve"> (2022)</w:t>
      </w:r>
      <w:r w:rsidR="003963AE">
        <w:t xml:space="preserve"> </w:t>
      </w:r>
      <w:r w:rsidR="00201DB4">
        <w:t>85</w:t>
      </w:r>
      <w:r w:rsidR="00EF4733">
        <w:t xml:space="preserve"> </w:t>
      </w:r>
      <w:r w:rsidR="003963AE">
        <w:t xml:space="preserve">Cal.App.5th </w:t>
      </w:r>
      <w:r w:rsidR="00201DB4">
        <w:t>329,</w:t>
      </w:r>
      <w:r w:rsidR="003963AE">
        <w:t xml:space="preserve"> </w:t>
      </w:r>
      <w:r w:rsidR="00201DB4">
        <w:t>333</w:t>
      </w:r>
      <w:r w:rsidR="00EF4733">
        <w:t xml:space="preserve">; </w:t>
      </w:r>
      <w:r w:rsidR="00627A40" w:rsidRPr="000D10C0">
        <w:rPr>
          <w:i/>
          <w:iCs/>
        </w:rPr>
        <w:t xml:space="preserve">People v. Figueras </w:t>
      </w:r>
      <w:r w:rsidR="00627A40" w:rsidRPr="000D10C0">
        <w:t>(2021) 61</w:t>
      </w:r>
      <w:r w:rsidR="00017C08" w:rsidRPr="000D10C0">
        <w:t> </w:t>
      </w:r>
      <w:r w:rsidR="00627A40" w:rsidRPr="000D10C0">
        <w:t>Cal.App.</w:t>
      </w:r>
      <w:r w:rsidR="00332517">
        <w:t>5th</w:t>
      </w:r>
      <w:r w:rsidR="00627A40" w:rsidRPr="000D10C0">
        <w:t xml:space="preserve"> 108,</w:t>
      </w:r>
      <w:r w:rsidR="007D38DC" w:rsidRPr="000D10C0">
        <w:t xml:space="preserve"> 111,</w:t>
      </w:r>
      <w:r w:rsidR="00627A40" w:rsidRPr="000D10C0">
        <w:t xml:space="preserve"> review granted May 12, 2021, S267870</w:t>
      </w:r>
      <w:r w:rsidR="00407CAD" w:rsidRPr="000D10C0">
        <w:t xml:space="preserve"> (</w:t>
      </w:r>
      <w:r w:rsidR="00407CAD" w:rsidRPr="000D10C0">
        <w:rPr>
          <w:i/>
          <w:iCs/>
        </w:rPr>
        <w:t>Figueras</w:t>
      </w:r>
      <w:r w:rsidR="00407CAD" w:rsidRPr="000D10C0">
        <w:t>)</w:t>
      </w:r>
      <w:r w:rsidR="00627A40" w:rsidRPr="000D10C0">
        <w:t xml:space="preserve">; </w:t>
      </w:r>
      <w:r w:rsidR="005369F0" w:rsidRPr="000D10C0">
        <w:rPr>
          <w:i/>
          <w:iCs/>
        </w:rPr>
        <w:t>People v. Scott</w:t>
      </w:r>
      <w:r w:rsidR="005369F0" w:rsidRPr="000D10C0">
        <w:t xml:space="preserve"> (2020) 58</w:t>
      </w:r>
      <w:r w:rsidR="007A3EF4" w:rsidRPr="000D10C0">
        <w:t> </w:t>
      </w:r>
      <w:r w:rsidR="005369F0" w:rsidRPr="000D10C0">
        <w:t>Cal.App.</w:t>
      </w:r>
      <w:r w:rsidR="00332517">
        <w:t>5th</w:t>
      </w:r>
      <w:r w:rsidR="005369F0" w:rsidRPr="000D10C0">
        <w:t xml:space="preserve"> 1127, 1130–1131</w:t>
      </w:r>
      <w:r w:rsidR="00D81CD2" w:rsidRPr="000D10C0">
        <w:t>, review granted March 17, 2021, S266853</w:t>
      </w:r>
      <w:r w:rsidR="005B1447">
        <w:t xml:space="preserve"> </w:t>
      </w:r>
      <w:r w:rsidR="005B1447" w:rsidRPr="000D10C0">
        <w:t>(</w:t>
      </w:r>
      <w:r w:rsidR="005B1447" w:rsidRPr="000D10C0">
        <w:rPr>
          <w:i/>
          <w:iCs/>
        </w:rPr>
        <w:t>Scott</w:t>
      </w:r>
      <w:r w:rsidR="005B1447" w:rsidRPr="000D10C0">
        <w:t>)</w:t>
      </w:r>
      <w:r w:rsidRPr="000D10C0">
        <w:t xml:space="preserve">; </w:t>
      </w:r>
      <w:r w:rsidRPr="000D10C0">
        <w:rPr>
          <w:i/>
          <w:iCs/>
        </w:rPr>
        <w:t>People v. Gallo</w:t>
      </w:r>
      <w:r w:rsidRPr="000D10C0">
        <w:t xml:space="preserve"> (2020) 57</w:t>
      </w:r>
      <w:r w:rsidR="0088636E" w:rsidRPr="000D10C0">
        <w:t> </w:t>
      </w:r>
      <w:r w:rsidRPr="000D10C0">
        <w:t>Cal.App.</w:t>
      </w:r>
      <w:r w:rsidR="00332517">
        <w:t>5th</w:t>
      </w:r>
      <w:r w:rsidRPr="000D10C0">
        <w:t xml:space="preserve"> 594, 598–599</w:t>
      </w:r>
      <w:r w:rsidR="00841BB1" w:rsidRPr="000D10C0">
        <w:t>;</w:t>
      </w:r>
      <w:r w:rsidR="00407CAD" w:rsidRPr="000D10C0">
        <w:t xml:space="preserve"> </w:t>
      </w:r>
      <w:r w:rsidR="00407CAD" w:rsidRPr="000D10C0">
        <w:rPr>
          <w:i/>
          <w:iCs/>
        </w:rPr>
        <w:t>People v. Allison</w:t>
      </w:r>
      <w:r w:rsidR="00407CAD" w:rsidRPr="000D10C0">
        <w:t xml:space="preserve"> (2020) 55</w:t>
      </w:r>
      <w:r w:rsidR="009D2B83" w:rsidRPr="000D10C0">
        <w:t> </w:t>
      </w:r>
      <w:r w:rsidR="00407CAD" w:rsidRPr="000D10C0">
        <w:t>Cal.App.</w:t>
      </w:r>
      <w:r w:rsidR="00332517">
        <w:t>5th</w:t>
      </w:r>
      <w:r w:rsidR="00407CAD" w:rsidRPr="000D10C0">
        <w:t xml:space="preserve"> 449, 456</w:t>
      </w:r>
      <w:r w:rsidR="00671261" w:rsidRPr="000D10C0">
        <w:t xml:space="preserve"> (</w:t>
      </w:r>
      <w:r w:rsidR="00671261" w:rsidRPr="000D10C0">
        <w:rPr>
          <w:i/>
          <w:iCs/>
        </w:rPr>
        <w:t>Allison</w:t>
      </w:r>
      <w:r w:rsidR="00671261" w:rsidRPr="000D10C0">
        <w:t>)</w:t>
      </w:r>
      <w:r w:rsidR="00407CAD" w:rsidRPr="000D10C0">
        <w:t>;</w:t>
      </w:r>
      <w:r w:rsidR="00841BB1" w:rsidRPr="000D10C0">
        <w:rPr>
          <w:i/>
          <w:iCs/>
        </w:rPr>
        <w:t xml:space="preserve"> Cole, supra</w:t>
      </w:r>
      <w:r w:rsidR="00841BB1" w:rsidRPr="000D10C0">
        <w:t>, 52</w:t>
      </w:r>
      <w:r w:rsidR="009D2B83" w:rsidRPr="000D10C0">
        <w:t> </w:t>
      </w:r>
      <w:r w:rsidR="00841BB1" w:rsidRPr="000D10C0">
        <w:t>Cal.App.</w:t>
      </w:r>
      <w:r w:rsidR="00332517">
        <w:t>5th</w:t>
      </w:r>
      <w:r w:rsidR="00841BB1" w:rsidRPr="000D10C0">
        <w:t xml:space="preserve"> at pp.</w:t>
      </w:r>
      <w:r w:rsidR="009D2B83" w:rsidRPr="000D10C0">
        <w:t> </w:t>
      </w:r>
      <w:r w:rsidR="00841BB1" w:rsidRPr="000D10C0">
        <w:t>1028, 1039</w:t>
      </w:r>
      <w:r w:rsidR="00407CAD" w:rsidRPr="000D10C0">
        <w:t>, rev</w:t>
      </w:r>
      <w:r w:rsidR="00056CB7" w:rsidRPr="000D10C0">
        <w:t>iew</w:t>
      </w:r>
      <w:r w:rsidR="00407CAD" w:rsidRPr="000D10C0">
        <w:t xml:space="preserve"> granted</w:t>
      </w:r>
      <w:r w:rsidR="00841BB1" w:rsidRPr="000D10C0">
        <w:t xml:space="preserve">; </w:t>
      </w:r>
      <w:r w:rsidR="001D69A4" w:rsidRPr="000D10C0">
        <w:rPr>
          <w:i/>
          <w:iCs/>
        </w:rPr>
        <w:t xml:space="preserve">People v. Flores </w:t>
      </w:r>
      <w:r w:rsidR="001D69A4" w:rsidRPr="000D10C0">
        <w:t>(2020) 54</w:t>
      </w:r>
      <w:r w:rsidR="009D2B83" w:rsidRPr="000D10C0">
        <w:t> </w:t>
      </w:r>
      <w:r w:rsidR="001D69A4" w:rsidRPr="000D10C0">
        <w:t>Cal.App.</w:t>
      </w:r>
      <w:r w:rsidR="00332517">
        <w:t>5th</w:t>
      </w:r>
      <w:r w:rsidR="001D69A4" w:rsidRPr="000D10C0">
        <w:t xml:space="preserve"> 266, 269, 273 (</w:t>
      </w:r>
      <w:r w:rsidR="001D69A4" w:rsidRPr="000D10C0">
        <w:rPr>
          <w:i/>
          <w:iCs/>
        </w:rPr>
        <w:t>Flores</w:t>
      </w:r>
      <w:r w:rsidR="001D69A4" w:rsidRPr="000D10C0">
        <w:t>)</w:t>
      </w:r>
      <w:r w:rsidR="005369F0" w:rsidRPr="000D10C0">
        <w:t>.)</w:t>
      </w:r>
      <w:r w:rsidR="00CC0ED5">
        <w:t xml:space="preserve">  </w:t>
      </w:r>
      <w:r w:rsidR="00CC0ED5" w:rsidRPr="007B0A42">
        <w:t xml:space="preserve">Indeed, </w:t>
      </w:r>
      <w:r w:rsidR="00CC0ED5">
        <w:t xml:space="preserve">at oral argument, </w:t>
      </w:r>
      <w:r w:rsidR="00CC0ED5" w:rsidRPr="007B0A42">
        <w:t xml:space="preserve">Delgadillo’s counsel abandoned </w:t>
      </w:r>
      <w:r w:rsidR="00CC0ED5">
        <w:t>the position</w:t>
      </w:r>
      <w:r w:rsidR="00CC0ED5" w:rsidRPr="007B0A42">
        <w:t xml:space="preserve"> that federal constitutional principles require </w:t>
      </w:r>
      <w:r w:rsidR="00CC0ED5" w:rsidRPr="00D85C08">
        <w:rPr>
          <w:i/>
          <w:iCs/>
        </w:rPr>
        <w:t>Wende</w:t>
      </w:r>
      <w:r w:rsidR="00CC0ED5" w:rsidRPr="007B0A42">
        <w:t xml:space="preserve"> review in this case.  </w:t>
      </w:r>
      <w:r w:rsidR="00E41229" w:rsidRPr="000D10C0" w:rsidDel="00E41229">
        <w:rPr>
          <w:rStyle w:val="FootnoteReference"/>
        </w:rPr>
        <w:t xml:space="preserve"> </w:t>
      </w:r>
    </w:p>
    <w:p w14:paraId="190A7C63" w14:textId="0E29ADC6" w:rsidR="007F0366" w:rsidRPr="000D10C0" w:rsidRDefault="007B0A42" w:rsidP="000D10C0">
      <w:pPr>
        <w:tabs>
          <w:tab w:val="left" w:pos="1440"/>
        </w:tabs>
        <w:ind w:firstLine="720"/>
      </w:pPr>
      <w:r>
        <w:t xml:space="preserve">We </w:t>
      </w:r>
      <w:r w:rsidR="000B5E58" w:rsidRPr="000D10C0">
        <w:t>have</w:t>
      </w:r>
      <w:r w:rsidR="0089120E" w:rsidRPr="000D10C0">
        <w:t xml:space="preserve"> note</w:t>
      </w:r>
      <w:r w:rsidR="000B5E58" w:rsidRPr="000D10C0">
        <w:t xml:space="preserve">d </w:t>
      </w:r>
      <w:r w:rsidR="0089120E" w:rsidRPr="000D10C0">
        <w:t xml:space="preserve">that </w:t>
      </w:r>
      <w:r w:rsidR="00C73587" w:rsidRPr="000D10C0">
        <w:t>a</w:t>
      </w:r>
      <w:r w:rsidR="00397C2B" w:rsidRPr="000D10C0">
        <w:t xml:space="preserve"> defendant </w:t>
      </w:r>
      <w:r w:rsidR="00C73587" w:rsidRPr="000D10C0">
        <w:t>can have</w:t>
      </w:r>
      <w:r w:rsidR="00397C2B" w:rsidRPr="000D10C0">
        <w:t xml:space="preserve"> a constitutional</w:t>
      </w:r>
      <w:r w:rsidR="00C73587" w:rsidRPr="000D10C0">
        <w:t xml:space="preserve"> </w:t>
      </w:r>
      <w:r w:rsidR="00397C2B" w:rsidRPr="000D10C0">
        <w:t xml:space="preserve">due process right to the appointment of counsel in </w:t>
      </w:r>
      <w:r w:rsidR="00CC0ED5" w:rsidRPr="007B0A42">
        <w:t xml:space="preserve">habeas corpus or </w:t>
      </w:r>
      <w:r w:rsidR="00CC0ED5" w:rsidRPr="00D85C08">
        <w:rPr>
          <w:i/>
          <w:iCs/>
        </w:rPr>
        <w:t>coram nobis</w:t>
      </w:r>
      <w:r w:rsidR="00CC0ED5" w:rsidRPr="007B0A42">
        <w:t xml:space="preserve"> </w:t>
      </w:r>
      <w:r w:rsidR="00397C2B" w:rsidRPr="000D10C0">
        <w:t>proceedings</w:t>
      </w:r>
      <w:r w:rsidR="0045599A" w:rsidRPr="000D10C0">
        <w:t xml:space="preserve"> </w:t>
      </w:r>
      <w:r w:rsidRPr="007B0A42">
        <w:t xml:space="preserve">after </w:t>
      </w:r>
      <w:r w:rsidR="00C73587" w:rsidRPr="000D10C0">
        <w:t xml:space="preserve">a defendant establishes </w:t>
      </w:r>
      <w:r w:rsidR="00C6634A" w:rsidRPr="000D10C0">
        <w:t xml:space="preserve">a </w:t>
      </w:r>
      <w:r w:rsidR="00C73587" w:rsidRPr="000D10C0">
        <w:t>prima facie case for postconviction relief</w:t>
      </w:r>
      <w:r w:rsidR="00397C2B" w:rsidRPr="000D10C0">
        <w:t xml:space="preserve">.  </w:t>
      </w:r>
      <w:r w:rsidR="0098042E" w:rsidRPr="000D10C0">
        <w:t>(</w:t>
      </w:r>
      <w:r w:rsidR="0098042E" w:rsidRPr="000D10C0">
        <w:rPr>
          <w:i/>
          <w:iCs/>
        </w:rPr>
        <w:t>Lewis, supra</w:t>
      </w:r>
      <w:r w:rsidR="0098042E" w:rsidRPr="000D10C0">
        <w:t>, 11</w:t>
      </w:r>
      <w:r w:rsidR="00470507" w:rsidRPr="000D10C0">
        <w:t> </w:t>
      </w:r>
      <w:r w:rsidR="0098042E" w:rsidRPr="000D10C0">
        <w:t>Cal.</w:t>
      </w:r>
      <w:r w:rsidR="00332517">
        <w:t>5th</w:t>
      </w:r>
      <w:r w:rsidR="0098042E" w:rsidRPr="000D10C0">
        <w:t xml:space="preserve"> at p.</w:t>
      </w:r>
      <w:r w:rsidR="00B83F2E" w:rsidRPr="000D10C0">
        <w:t> </w:t>
      </w:r>
      <w:r w:rsidR="0098042E" w:rsidRPr="000D10C0">
        <w:t>97</w:t>
      </w:r>
      <w:r w:rsidR="00B716F6" w:rsidRPr="000D10C0">
        <w:t>3</w:t>
      </w:r>
      <w:r w:rsidR="00C73587" w:rsidRPr="000D10C0">
        <w:t xml:space="preserve"> [“</w:t>
      </w:r>
      <w:r w:rsidR="00B716F6" w:rsidRPr="000D10C0">
        <w:t> ‘</w:t>
      </w:r>
      <w:r w:rsidR="00C73587" w:rsidRPr="000D10C0">
        <w:t>if a [habeas</w:t>
      </w:r>
      <w:r w:rsidR="00A468F1">
        <w:t xml:space="preserve"> corpus</w:t>
      </w:r>
      <w:r w:rsidR="00C73587" w:rsidRPr="000D10C0">
        <w:t>] petition attacking the validity of a judgment states a prima facie case leading to issuance of an order to show cause, the appointment of counsel is demanded by due process concerns</w:t>
      </w:r>
      <w:r w:rsidR="00B716F6" w:rsidRPr="000D10C0">
        <w:t>’ </w:t>
      </w:r>
      <w:r w:rsidR="00C73587" w:rsidRPr="000D10C0">
        <w:t>”]</w:t>
      </w:r>
      <w:r w:rsidR="00A468F1">
        <w:t xml:space="preserve">, quoting </w:t>
      </w:r>
      <w:r w:rsidR="00A468F1" w:rsidRPr="000D10C0">
        <w:rPr>
          <w:i/>
          <w:iCs/>
        </w:rPr>
        <w:t>In re Clark</w:t>
      </w:r>
      <w:r w:rsidR="00A468F1" w:rsidRPr="000D10C0">
        <w:t xml:space="preserve"> (1993) 5 Cal.</w:t>
      </w:r>
      <w:r w:rsidR="00332517">
        <w:t>4th</w:t>
      </w:r>
      <w:r w:rsidR="00A468F1" w:rsidRPr="000D10C0">
        <w:t xml:space="preserve"> 750, 780</w:t>
      </w:r>
      <w:r w:rsidR="00C73587" w:rsidRPr="000D10C0">
        <w:t xml:space="preserve">; </w:t>
      </w:r>
      <w:r w:rsidR="00C73587" w:rsidRPr="000D10C0">
        <w:rPr>
          <w:i/>
          <w:iCs/>
        </w:rPr>
        <w:t>Shipman</w:t>
      </w:r>
      <w:r w:rsidR="00564C0E" w:rsidRPr="000D10C0">
        <w:rPr>
          <w:i/>
          <w:iCs/>
        </w:rPr>
        <w:t>, supra</w:t>
      </w:r>
      <w:r w:rsidR="00564C0E" w:rsidRPr="000D10C0">
        <w:t>,</w:t>
      </w:r>
      <w:r w:rsidR="00C73587" w:rsidRPr="000D10C0">
        <w:t xml:space="preserve"> 62</w:t>
      </w:r>
      <w:r w:rsidR="00017C08" w:rsidRPr="000D10C0">
        <w:t> </w:t>
      </w:r>
      <w:r w:rsidR="00C73587" w:rsidRPr="000D10C0">
        <w:t xml:space="preserve">Cal.2d </w:t>
      </w:r>
      <w:r w:rsidR="00564C0E" w:rsidRPr="000D10C0">
        <w:t>at p.</w:t>
      </w:r>
      <w:r w:rsidR="00017C08" w:rsidRPr="000D10C0">
        <w:t> </w:t>
      </w:r>
      <w:r w:rsidR="00C73587" w:rsidRPr="000D10C0">
        <w:t xml:space="preserve">232 </w:t>
      </w:r>
      <w:r w:rsidR="00C73587" w:rsidRPr="000D10C0">
        <w:lastRenderedPageBreak/>
        <w:t xml:space="preserve">[when “an indigent petitioner has stated facts sufficient to satisfy the court that a hearing is required, his claim can no longer be treated as frivolous and he is entitled to have counsel appointed to represent him”].)  </w:t>
      </w:r>
      <w:r w:rsidRPr="007B0A42">
        <w:t>The questions raised in such cases that attack the validity of the original conviction “are as crucial as those that may be raised on direct appeal</w:t>
      </w:r>
      <w:r w:rsidR="0099162F">
        <w:t>.</w:t>
      </w:r>
      <w:r w:rsidRPr="007B0A42">
        <w:t xml:space="preserve">”  </w:t>
      </w:r>
      <w:r w:rsidR="0045599A" w:rsidRPr="000D10C0">
        <w:t>(</w:t>
      </w:r>
      <w:r w:rsidR="0045599A" w:rsidRPr="000D10C0">
        <w:rPr>
          <w:i/>
          <w:iCs/>
        </w:rPr>
        <w:t xml:space="preserve">Shipman, </w:t>
      </w:r>
      <w:r>
        <w:t xml:space="preserve">at </w:t>
      </w:r>
      <w:r>
        <w:rPr>
          <w:szCs w:val="27"/>
        </w:rPr>
        <w:t>p</w:t>
      </w:r>
      <w:r>
        <w:t>. </w:t>
      </w:r>
      <w:r>
        <w:rPr>
          <w:szCs w:val="27"/>
        </w:rPr>
        <w:t xml:space="preserve">231.)  </w:t>
      </w:r>
      <w:bookmarkStart w:id="5" w:name="_Hlk121150880"/>
      <w:r w:rsidR="004E4E21">
        <w:t>O</w:t>
      </w:r>
      <w:r w:rsidR="004E4E21" w:rsidRPr="004E4E21">
        <w:t xml:space="preserve">ur </w:t>
      </w:r>
      <w:r w:rsidR="004E4E21" w:rsidRPr="000826A0">
        <w:rPr>
          <w:i/>
          <w:iCs/>
        </w:rPr>
        <w:t>Shipman</w:t>
      </w:r>
      <w:r w:rsidR="004E4E21" w:rsidRPr="004E4E21">
        <w:t xml:space="preserve"> precedents have never extended the right to counsel to an appeal from a ruling in an ameliorative </w:t>
      </w:r>
      <w:r w:rsidR="004E4E21">
        <w:t xml:space="preserve">legislative </w:t>
      </w:r>
      <w:r w:rsidR="004E4E21" w:rsidRPr="004E4E21">
        <w:t>scheme</w:t>
      </w:r>
      <w:r w:rsidR="004E4E21">
        <w:t xml:space="preserve">.  </w:t>
      </w:r>
      <w:bookmarkEnd w:id="5"/>
      <w:r w:rsidR="00820442">
        <w:t>In any event</w:t>
      </w:r>
      <w:r w:rsidR="00C13BC9">
        <w:t xml:space="preserve">, </w:t>
      </w:r>
      <w:r w:rsidR="00C13BC9" w:rsidRPr="00C13BC9">
        <w:t xml:space="preserve">an order to show cause did not issue </w:t>
      </w:r>
      <w:r w:rsidR="00C13BC9">
        <w:t>in this case</w:t>
      </w:r>
      <w:r w:rsidR="00820442">
        <w:t>,</w:t>
      </w:r>
      <w:r w:rsidR="00C13BC9">
        <w:t xml:space="preserve"> </w:t>
      </w:r>
      <w:r w:rsidR="00C13BC9" w:rsidRPr="00C13BC9">
        <w:t>and Delgadillo did not establish a prima facie case for section 117</w:t>
      </w:r>
      <w:r w:rsidR="002D00FA">
        <w:t>2</w:t>
      </w:r>
      <w:r w:rsidR="00C13BC9" w:rsidRPr="00C13BC9">
        <w:t>.</w:t>
      </w:r>
      <w:r w:rsidR="002D00FA">
        <w:t>6</w:t>
      </w:r>
      <w:r w:rsidR="00C13BC9" w:rsidRPr="00C13BC9">
        <w:t xml:space="preserve"> relief.  (See </w:t>
      </w:r>
      <w:r w:rsidR="00C13BC9" w:rsidRPr="003475F3">
        <w:rPr>
          <w:i/>
          <w:iCs/>
        </w:rPr>
        <w:t>Shipman</w:t>
      </w:r>
      <w:r w:rsidR="00C13BC9" w:rsidRPr="00C13BC9">
        <w:t>, at p.</w:t>
      </w:r>
      <w:r w:rsidR="007C20AF">
        <w:t> </w:t>
      </w:r>
      <w:r w:rsidR="00C13BC9" w:rsidRPr="00C13BC9">
        <w:t xml:space="preserve">232 [“in the absence of adequate factual allegations stating a prima facie case, counsel need not be appointed either in the trial court or on appeal from a summary denial of relief in that court”].) </w:t>
      </w:r>
      <w:r w:rsidR="002D00FA">
        <w:t xml:space="preserve"> </w:t>
      </w:r>
      <w:r w:rsidR="00824F39" w:rsidRPr="000D10C0">
        <w:rPr>
          <w:i/>
          <w:iCs/>
        </w:rPr>
        <w:t>Anders</w:t>
      </w:r>
      <w:r w:rsidR="00824F39" w:rsidRPr="000D10C0">
        <w:t xml:space="preserve"> and </w:t>
      </w:r>
      <w:r w:rsidR="00824F39" w:rsidRPr="000D10C0">
        <w:rPr>
          <w:i/>
          <w:iCs/>
        </w:rPr>
        <w:t>Wende</w:t>
      </w:r>
      <w:r w:rsidR="00824F39" w:rsidRPr="000D10C0">
        <w:t>, accordingly, do not apply</w:t>
      </w:r>
      <w:r w:rsidR="00BA399A" w:rsidRPr="000D10C0">
        <w:t xml:space="preserve"> </w:t>
      </w:r>
      <w:r>
        <w:t>in this case.</w:t>
      </w:r>
    </w:p>
    <w:p w14:paraId="6814E72E" w14:textId="63BA029A" w:rsidR="00842DB4" w:rsidRDefault="007B0A42" w:rsidP="000D10C0">
      <w:pPr>
        <w:tabs>
          <w:tab w:val="left" w:pos="1440"/>
        </w:tabs>
        <w:ind w:firstLine="720"/>
      </w:pPr>
      <w:r>
        <w:rPr>
          <w:szCs w:val="27"/>
        </w:rPr>
        <w:t>Rather than rely upon</w:t>
      </w:r>
      <w:r>
        <w:t xml:space="preserve"> </w:t>
      </w:r>
      <w:bookmarkStart w:id="6" w:name="_Hlk120107879"/>
      <w:r>
        <w:rPr>
          <w:szCs w:val="27"/>
        </w:rPr>
        <w:t xml:space="preserve">constitutional right to counsel principles </w:t>
      </w:r>
      <w:bookmarkEnd w:id="6"/>
      <w:r>
        <w:rPr>
          <w:szCs w:val="27"/>
        </w:rPr>
        <w:t xml:space="preserve">that would compel </w:t>
      </w:r>
      <w:r>
        <w:rPr>
          <w:i/>
          <w:iCs/>
          <w:szCs w:val="27"/>
        </w:rPr>
        <w:t>Wende</w:t>
      </w:r>
      <w:r>
        <w:rPr>
          <w:szCs w:val="27"/>
        </w:rPr>
        <w:t xml:space="preserve"> review, </w:t>
      </w:r>
      <w:r w:rsidR="00D63F4D" w:rsidRPr="000D10C0">
        <w:t xml:space="preserve">Delgadillo </w:t>
      </w:r>
      <w:r w:rsidR="004F1FF9" w:rsidRPr="000D10C0">
        <w:t>alternatively</w:t>
      </w:r>
      <w:r w:rsidR="00326316" w:rsidRPr="000D10C0">
        <w:t xml:space="preserve"> </w:t>
      </w:r>
      <w:r w:rsidR="00AF49C1" w:rsidRPr="000D10C0">
        <w:t>contends that</w:t>
      </w:r>
      <w:r w:rsidR="00C02B64" w:rsidRPr="000D10C0">
        <w:t xml:space="preserve"> general</w:t>
      </w:r>
      <w:r w:rsidR="00AF49C1" w:rsidRPr="000D10C0">
        <w:t xml:space="preserve"> due</w:t>
      </w:r>
      <w:r w:rsidR="00FE586C" w:rsidRPr="000D10C0">
        <w:t xml:space="preserve"> </w:t>
      </w:r>
      <w:r w:rsidR="00AF49C1" w:rsidRPr="000D10C0">
        <w:t xml:space="preserve">process </w:t>
      </w:r>
      <w:r w:rsidR="00326316" w:rsidRPr="000D10C0">
        <w:t>principles</w:t>
      </w:r>
      <w:r w:rsidR="00AF49C1" w:rsidRPr="000D10C0">
        <w:t xml:space="preserve"> </w:t>
      </w:r>
      <w:r w:rsidR="00F33A66" w:rsidRPr="000D10C0">
        <w:t xml:space="preserve">requiring fundamental fairness </w:t>
      </w:r>
      <w:r w:rsidR="00326316" w:rsidRPr="000D10C0">
        <w:t>constitutionally mandate</w:t>
      </w:r>
      <w:r w:rsidR="00AF49C1" w:rsidRPr="000D10C0">
        <w:t xml:space="preserve"> </w:t>
      </w:r>
      <w:r w:rsidR="00D63F4D" w:rsidRPr="000D10C0">
        <w:rPr>
          <w:i/>
          <w:iCs/>
        </w:rPr>
        <w:t>Wende</w:t>
      </w:r>
      <w:r w:rsidR="00D63F4D" w:rsidRPr="000D10C0">
        <w:t>-type</w:t>
      </w:r>
      <w:r w:rsidR="00AF49C1" w:rsidRPr="000D10C0">
        <w:t xml:space="preserve"> procedures for </w:t>
      </w:r>
      <w:r>
        <w:rPr>
          <w:szCs w:val="27"/>
        </w:rPr>
        <w:t xml:space="preserve">his appeal under the test set forth in </w:t>
      </w:r>
      <w:r>
        <w:rPr>
          <w:i/>
          <w:iCs/>
          <w:szCs w:val="27"/>
        </w:rPr>
        <w:t>Lassiter v. Department of Social Services</w:t>
      </w:r>
      <w:r>
        <w:rPr>
          <w:szCs w:val="27"/>
        </w:rPr>
        <w:t xml:space="preserve"> (1981) 452 U.S. 18, 27.</w:t>
      </w:r>
      <w:r w:rsidR="00DC774E" w:rsidRPr="000D10C0">
        <w:t xml:space="preserve">  </w:t>
      </w:r>
      <w:r w:rsidR="00FA22C4" w:rsidRPr="000D10C0">
        <w:t>“[D]ue process does not call for the same procedures in every situation.</w:t>
      </w:r>
      <w:r w:rsidR="000852C3" w:rsidRPr="000D10C0">
        <w:t xml:space="preserve"> </w:t>
      </w:r>
      <w:r w:rsidR="00FA22C4" w:rsidRPr="000D10C0">
        <w:t xml:space="preserve"> Instead, ‘</w:t>
      </w:r>
      <w:r w:rsidR="00B755EE" w:rsidRPr="000D10C0">
        <w:t> </w:t>
      </w:r>
      <w:r w:rsidR="00FA22C4" w:rsidRPr="000D10C0">
        <w:t>“[d]ue process is flexible and calls for such procedural protections as the particular situation demands.”</w:t>
      </w:r>
      <w:r w:rsidR="00B755EE" w:rsidRPr="000D10C0">
        <w:t> </w:t>
      </w:r>
      <w:r w:rsidR="00FA22C4" w:rsidRPr="000D10C0">
        <w:t>’</w:t>
      </w:r>
      <w:r w:rsidR="00B755EE" w:rsidRPr="000D10C0">
        <w:t> </w:t>
      </w:r>
      <w:r w:rsidR="007518F7" w:rsidRPr="000D10C0">
        <w:t>”</w:t>
      </w:r>
      <w:r w:rsidR="00C31B7E" w:rsidRPr="000D10C0">
        <w:t> </w:t>
      </w:r>
      <w:r w:rsidR="007518F7" w:rsidRPr="000D10C0">
        <w:t xml:space="preserve"> </w:t>
      </w:r>
      <w:r w:rsidR="000852C3" w:rsidRPr="000D10C0">
        <w:t>(</w:t>
      </w:r>
      <w:r w:rsidR="000852C3" w:rsidRPr="000D10C0">
        <w:rPr>
          <w:i/>
          <w:iCs/>
        </w:rPr>
        <w:t>People v. Tilbury</w:t>
      </w:r>
      <w:r w:rsidR="000852C3" w:rsidRPr="000D10C0">
        <w:t xml:space="preserve"> (1991) 54</w:t>
      </w:r>
      <w:r w:rsidR="007A3EF4" w:rsidRPr="000D10C0">
        <w:t> </w:t>
      </w:r>
      <w:r w:rsidR="000852C3" w:rsidRPr="000D10C0">
        <w:t>Cal.3d 56, 68</w:t>
      </w:r>
      <w:r w:rsidR="007518F7" w:rsidRPr="000D10C0">
        <w:t xml:space="preserve">.)  “[W]e evaluate and balance these three elements in order to determine whether the Fourteenth Amendment’s due process clause requires </w:t>
      </w:r>
      <w:r w:rsidR="007518F7" w:rsidRPr="000D10C0">
        <w:rPr>
          <w:i/>
          <w:iCs/>
        </w:rPr>
        <w:t>Anders</w:t>
      </w:r>
      <w:r w:rsidR="007518F7" w:rsidRPr="000D10C0">
        <w:t xml:space="preserve">’s ‘prophylactic’ procedures for fundamental fairness: </w:t>
      </w:r>
      <w:r w:rsidR="00F95F7C">
        <w:t xml:space="preserve"> </w:t>
      </w:r>
      <w:r w:rsidR="007518F7" w:rsidRPr="000D10C0">
        <w:t xml:space="preserve">(1) the private interests at stake; (2) the state’s interests involved; and (3) the risk that the absence of the procedures in question will lead to an erroneous resolution of </w:t>
      </w:r>
      <w:r w:rsidR="007518F7" w:rsidRPr="000D10C0">
        <w:lastRenderedPageBreak/>
        <w:t>the appeal.”  (</w:t>
      </w:r>
      <w:r w:rsidR="007518F7" w:rsidRPr="000D10C0">
        <w:rPr>
          <w:i/>
          <w:iCs/>
        </w:rPr>
        <w:t>Sade C., supra</w:t>
      </w:r>
      <w:r w:rsidR="007518F7" w:rsidRPr="000D10C0">
        <w:t>, 13</w:t>
      </w:r>
      <w:r w:rsidR="007A3EF4" w:rsidRPr="000D10C0">
        <w:t> </w:t>
      </w:r>
      <w:r w:rsidR="007518F7" w:rsidRPr="000D10C0">
        <w:t>Cal.4th at p.</w:t>
      </w:r>
      <w:r w:rsidR="007A3EF4" w:rsidRPr="000D10C0">
        <w:t> </w:t>
      </w:r>
      <w:r w:rsidR="007518F7" w:rsidRPr="000D10C0">
        <w:t>987</w:t>
      </w:r>
      <w:r w:rsidR="00332517">
        <w:t xml:space="preserve">; see also </w:t>
      </w:r>
      <w:r w:rsidR="00842DB4" w:rsidRPr="00842DB4">
        <w:rPr>
          <w:i/>
          <w:iCs/>
        </w:rPr>
        <w:t xml:space="preserve">Lassiter, </w:t>
      </w:r>
      <w:r w:rsidR="00842DB4" w:rsidRPr="00842DB4">
        <w:t>at p. 27</w:t>
      </w:r>
      <w:r w:rsidR="00842DB4" w:rsidRPr="003475F3">
        <w:t>;</w:t>
      </w:r>
      <w:r w:rsidR="00842DB4" w:rsidRPr="00842DB4">
        <w:rPr>
          <w:i/>
          <w:iCs/>
        </w:rPr>
        <w:t xml:space="preserve"> Mathews v. Eldridge </w:t>
      </w:r>
      <w:r w:rsidR="00842DB4" w:rsidRPr="00842DB4">
        <w:t>(1976) 424 U.S. 319, 335.)</w:t>
      </w:r>
    </w:p>
    <w:p w14:paraId="3823C8AC" w14:textId="6F2F34DE" w:rsidR="00842DB4" w:rsidRPr="00842DB4" w:rsidRDefault="00842DB4" w:rsidP="000D10C0">
      <w:pPr>
        <w:tabs>
          <w:tab w:val="left" w:pos="1440"/>
        </w:tabs>
        <w:ind w:firstLine="720"/>
      </w:pPr>
      <w:r w:rsidRPr="00842DB4">
        <w:t xml:space="preserve">We note at the outset that the </w:t>
      </w:r>
      <w:r w:rsidRPr="003475F3">
        <w:rPr>
          <w:i/>
          <w:iCs/>
        </w:rPr>
        <w:t>Lassiter</w:t>
      </w:r>
      <w:r w:rsidRPr="00842DB4">
        <w:t xml:space="preserve"> test has more typically been applied to determine whether </w:t>
      </w:r>
      <w:r w:rsidRPr="003475F3">
        <w:rPr>
          <w:i/>
          <w:iCs/>
        </w:rPr>
        <w:t>Anders</w:t>
      </w:r>
      <w:r w:rsidRPr="00842DB4">
        <w:t xml:space="preserve"> and </w:t>
      </w:r>
      <w:r w:rsidRPr="003475F3">
        <w:rPr>
          <w:i/>
          <w:iCs/>
        </w:rPr>
        <w:t>Wende</w:t>
      </w:r>
      <w:r w:rsidRPr="00842DB4">
        <w:t xml:space="preserve"> should be extended to protect a right </w:t>
      </w:r>
      <w:r w:rsidR="00EF1302">
        <w:t xml:space="preserve">to counsel </w:t>
      </w:r>
      <w:r w:rsidRPr="00842DB4">
        <w:t xml:space="preserve">that has already been identified, which is not the case here.  (E.g., </w:t>
      </w:r>
      <w:r w:rsidR="005F4300" w:rsidRPr="000D10C0">
        <w:rPr>
          <w:i/>
          <w:iCs/>
        </w:rPr>
        <w:t>Sade C., supra</w:t>
      </w:r>
      <w:r w:rsidR="005F4300" w:rsidRPr="000D10C0">
        <w:t xml:space="preserve">, 13 Cal.4th </w:t>
      </w:r>
      <w:r w:rsidRPr="00842DB4">
        <w:t>at p.</w:t>
      </w:r>
      <w:r w:rsidR="005F4300">
        <w:t> </w:t>
      </w:r>
      <w:r w:rsidRPr="00842DB4">
        <w:t>986</w:t>
      </w:r>
      <w:r w:rsidR="00F80893">
        <w:t>.</w:t>
      </w:r>
      <w:r w:rsidRPr="00842DB4">
        <w:t xml:space="preserve">)  </w:t>
      </w:r>
      <w:r w:rsidR="00EF1302" w:rsidRPr="000826A0">
        <w:rPr>
          <w:szCs w:val="27"/>
        </w:rPr>
        <w:t xml:space="preserve">It is unclear whether </w:t>
      </w:r>
      <w:r w:rsidR="00EF1302" w:rsidRPr="000826A0">
        <w:rPr>
          <w:i/>
          <w:iCs/>
          <w:szCs w:val="27"/>
        </w:rPr>
        <w:t xml:space="preserve">Lassiter </w:t>
      </w:r>
      <w:r w:rsidR="00EF1302" w:rsidRPr="000826A0">
        <w:rPr>
          <w:szCs w:val="27"/>
        </w:rPr>
        <w:t>has any role where, as here, the U</w:t>
      </w:r>
      <w:r w:rsidR="006C263E">
        <w:rPr>
          <w:szCs w:val="27"/>
        </w:rPr>
        <w:t xml:space="preserve">nited </w:t>
      </w:r>
      <w:r w:rsidR="00EF1302" w:rsidRPr="000826A0">
        <w:rPr>
          <w:szCs w:val="27"/>
        </w:rPr>
        <w:t>S</w:t>
      </w:r>
      <w:r w:rsidR="006C263E">
        <w:rPr>
          <w:szCs w:val="27"/>
        </w:rPr>
        <w:t>tates</w:t>
      </w:r>
      <w:r w:rsidR="00EF1302" w:rsidRPr="000826A0">
        <w:rPr>
          <w:szCs w:val="27"/>
        </w:rPr>
        <w:t xml:space="preserve"> Supreme Court has already </w:t>
      </w:r>
      <w:r w:rsidR="00756445">
        <w:rPr>
          <w:szCs w:val="27"/>
        </w:rPr>
        <w:t>determined that the right to effective assistance of counsel does not extend to postconviction proceedings generally</w:t>
      </w:r>
      <w:r w:rsidR="00EF1302" w:rsidRPr="000826A0">
        <w:rPr>
          <w:szCs w:val="27"/>
        </w:rPr>
        <w:t xml:space="preserve">.  (See </w:t>
      </w:r>
      <w:r w:rsidR="00EF1302" w:rsidRPr="000826A0">
        <w:rPr>
          <w:i/>
          <w:iCs/>
        </w:rPr>
        <w:t>Finley, supra</w:t>
      </w:r>
      <w:r w:rsidR="00EF1302" w:rsidRPr="000826A0">
        <w:t>, 481 U.S. at p. 557.)</w:t>
      </w:r>
      <w:r w:rsidR="00EF1302">
        <w:t xml:space="preserve"> </w:t>
      </w:r>
      <w:r w:rsidR="00E23CDF">
        <w:t xml:space="preserve"> </w:t>
      </w:r>
      <w:r w:rsidR="005F4300">
        <w:rPr>
          <w:szCs w:val="27"/>
        </w:rPr>
        <w:t>Nonetheless, the</w:t>
      </w:r>
      <w:r w:rsidR="005F4300" w:rsidRPr="00862DA7">
        <w:rPr>
          <w:szCs w:val="27"/>
        </w:rPr>
        <w:t xml:space="preserve"> parties do not dispute that the </w:t>
      </w:r>
      <w:r w:rsidR="005F4300" w:rsidRPr="00896FE3">
        <w:rPr>
          <w:i/>
          <w:iCs/>
          <w:szCs w:val="27"/>
        </w:rPr>
        <w:t>Lassiter</w:t>
      </w:r>
      <w:r w:rsidR="005F4300" w:rsidRPr="00862DA7">
        <w:rPr>
          <w:szCs w:val="27"/>
        </w:rPr>
        <w:t xml:space="preserve"> </w:t>
      </w:r>
      <w:r w:rsidR="005F4300">
        <w:rPr>
          <w:szCs w:val="27"/>
        </w:rPr>
        <w:t xml:space="preserve">balancing </w:t>
      </w:r>
      <w:r w:rsidR="005F4300" w:rsidRPr="00862DA7">
        <w:rPr>
          <w:szCs w:val="27"/>
        </w:rPr>
        <w:t>test should be applied</w:t>
      </w:r>
      <w:r w:rsidR="005F4300">
        <w:rPr>
          <w:szCs w:val="27"/>
        </w:rPr>
        <w:t xml:space="preserve"> here in determining whether </w:t>
      </w:r>
      <w:r w:rsidR="005F4300" w:rsidRPr="00896FE3">
        <w:rPr>
          <w:i/>
          <w:iCs/>
          <w:szCs w:val="27"/>
        </w:rPr>
        <w:t>Wende</w:t>
      </w:r>
      <w:r w:rsidR="005F4300">
        <w:rPr>
          <w:szCs w:val="27"/>
        </w:rPr>
        <w:t xml:space="preserve"> procedures should be applied to section 1172.6 appeals</w:t>
      </w:r>
      <w:r w:rsidR="005F4300" w:rsidRPr="00862DA7">
        <w:rPr>
          <w:szCs w:val="27"/>
        </w:rPr>
        <w:t xml:space="preserve">.  </w:t>
      </w:r>
      <w:r w:rsidR="00316C21">
        <w:rPr>
          <w:szCs w:val="27"/>
        </w:rPr>
        <w:t>At oral argument, Delgadillo’s counsel argued that</w:t>
      </w:r>
      <w:r w:rsidR="005F4300" w:rsidRPr="00862DA7">
        <w:rPr>
          <w:szCs w:val="27"/>
        </w:rPr>
        <w:t xml:space="preserve"> </w:t>
      </w:r>
      <w:r w:rsidR="00316C21" w:rsidRPr="003475F3">
        <w:rPr>
          <w:i/>
          <w:iCs/>
          <w:szCs w:val="27"/>
        </w:rPr>
        <w:t>Lassiter</w:t>
      </w:r>
      <w:r w:rsidR="00316C21">
        <w:rPr>
          <w:szCs w:val="27"/>
        </w:rPr>
        <w:t xml:space="preserve"> provided the appropriate framework following</w:t>
      </w:r>
      <w:r w:rsidR="00316C21" w:rsidRPr="00862DA7">
        <w:rPr>
          <w:szCs w:val="27"/>
        </w:rPr>
        <w:t xml:space="preserve"> </w:t>
      </w:r>
      <w:r w:rsidR="00316C21">
        <w:rPr>
          <w:szCs w:val="27"/>
        </w:rPr>
        <w:t xml:space="preserve">the examples of </w:t>
      </w:r>
      <w:r w:rsidR="005F4300" w:rsidRPr="00896FE3">
        <w:rPr>
          <w:i/>
          <w:iCs/>
          <w:szCs w:val="27"/>
        </w:rPr>
        <w:t>Sade C., supra</w:t>
      </w:r>
      <w:r w:rsidR="005F4300">
        <w:rPr>
          <w:szCs w:val="27"/>
        </w:rPr>
        <w:t xml:space="preserve">, </w:t>
      </w:r>
      <w:r w:rsidR="005F4300" w:rsidRPr="00862DA7">
        <w:rPr>
          <w:szCs w:val="27"/>
        </w:rPr>
        <w:t>13</w:t>
      </w:r>
      <w:r w:rsidR="005F4300">
        <w:rPr>
          <w:szCs w:val="27"/>
        </w:rPr>
        <w:t> </w:t>
      </w:r>
      <w:r w:rsidR="005F4300" w:rsidRPr="00862DA7">
        <w:rPr>
          <w:szCs w:val="27"/>
        </w:rPr>
        <w:t xml:space="preserve">Cal.4th 952 and </w:t>
      </w:r>
      <w:r w:rsidR="005F4300" w:rsidRPr="00896FE3">
        <w:rPr>
          <w:i/>
          <w:iCs/>
          <w:szCs w:val="27"/>
        </w:rPr>
        <w:t>Ben C., supra</w:t>
      </w:r>
      <w:r w:rsidR="005F4300">
        <w:rPr>
          <w:szCs w:val="27"/>
        </w:rPr>
        <w:t xml:space="preserve">, </w:t>
      </w:r>
      <w:r w:rsidR="005F4300" w:rsidRPr="00862DA7">
        <w:rPr>
          <w:szCs w:val="27"/>
        </w:rPr>
        <w:t>40</w:t>
      </w:r>
      <w:r w:rsidR="005F4300">
        <w:rPr>
          <w:szCs w:val="27"/>
        </w:rPr>
        <w:t> </w:t>
      </w:r>
      <w:r w:rsidR="005F4300" w:rsidRPr="00862DA7">
        <w:rPr>
          <w:szCs w:val="27"/>
        </w:rPr>
        <w:t xml:space="preserve">Cal.4th 529.  </w:t>
      </w:r>
      <w:r w:rsidR="00873D22">
        <w:rPr>
          <w:szCs w:val="27"/>
        </w:rPr>
        <w:t>He argue</w:t>
      </w:r>
      <w:r w:rsidR="006207B5">
        <w:rPr>
          <w:szCs w:val="27"/>
        </w:rPr>
        <w:t>d</w:t>
      </w:r>
      <w:r w:rsidR="00873D22">
        <w:rPr>
          <w:szCs w:val="27"/>
        </w:rPr>
        <w:t xml:space="preserve"> that these cases suggest that even after we determined </w:t>
      </w:r>
      <w:r w:rsidR="005F4300" w:rsidRPr="00862DA7">
        <w:rPr>
          <w:szCs w:val="27"/>
        </w:rPr>
        <w:t xml:space="preserve">that </w:t>
      </w:r>
      <w:r w:rsidR="005F4300" w:rsidRPr="00896FE3">
        <w:rPr>
          <w:i/>
          <w:iCs/>
          <w:szCs w:val="27"/>
        </w:rPr>
        <w:t>Anders</w:t>
      </w:r>
      <w:r w:rsidR="005F4300" w:rsidRPr="00862DA7">
        <w:rPr>
          <w:szCs w:val="27"/>
        </w:rPr>
        <w:t>/</w:t>
      </w:r>
      <w:r w:rsidR="005F4300" w:rsidRPr="00896FE3">
        <w:rPr>
          <w:i/>
          <w:iCs/>
          <w:szCs w:val="27"/>
        </w:rPr>
        <w:t>Wende</w:t>
      </w:r>
      <w:r w:rsidR="005F4300" w:rsidRPr="00862DA7">
        <w:rPr>
          <w:szCs w:val="27"/>
        </w:rPr>
        <w:t xml:space="preserve"> did not apply directly to the circumstances before the court</w:t>
      </w:r>
      <w:r w:rsidR="008B529F">
        <w:rPr>
          <w:szCs w:val="27"/>
        </w:rPr>
        <w:t>,</w:t>
      </w:r>
      <w:r w:rsidR="005B1447">
        <w:rPr>
          <w:szCs w:val="27"/>
        </w:rPr>
        <w:t> </w:t>
      </w:r>
      <w:r w:rsidR="00873D22">
        <w:rPr>
          <w:szCs w:val="27"/>
        </w:rPr>
        <w:t>we</w:t>
      </w:r>
      <w:r w:rsidR="005F4300" w:rsidRPr="00862DA7">
        <w:rPr>
          <w:szCs w:val="27"/>
        </w:rPr>
        <w:t xml:space="preserve"> then went on nonetheless </w:t>
      </w:r>
      <w:r w:rsidR="005F4300">
        <w:rPr>
          <w:szCs w:val="27"/>
        </w:rPr>
        <w:t xml:space="preserve">to </w:t>
      </w:r>
      <w:r w:rsidR="005F4300" w:rsidRPr="00862DA7">
        <w:rPr>
          <w:szCs w:val="27"/>
        </w:rPr>
        <w:t xml:space="preserve">determine whether the </w:t>
      </w:r>
      <w:r w:rsidR="005F4300" w:rsidRPr="00896FE3">
        <w:rPr>
          <w:i/>
          <w:iCs/>
          <w:szCs w:val="27"/>
        </w:rPr>
        <w:t>Lassiter</w:t>
      </w:r>
      <w:r w:rsidR="005F4300" w:rsidRPr="00862DA7">
        <w:rPr>
          <w:szCs w:val="27"/>
        </w:rPr>
        <w:t xml:space="preserve"> test favored extending </w:t>
      </w:r>
      <w:r w:rsidR="005F4300" w:rsidRPr="00896FE3">
        <w:rPr>
          <w:i/>
          <w:iCs/>
          <w:szCs w:val="27"/>
        </w:rPr>
        <w:t>Anders/Wende</w:t>
      </w:r>
      <w:r w:rsidR="005F4300" w:rsidRPr="00862DA7">
        <w:rPr>
          <w:szCs w:val="27"/>
        </w:rPr>
        <w:t xml:space="preserve"> prophylactic procedures to the new context.  (</w:t>
      </w:r>
      <w:r w:rsidR="005F4300" w:rsidRPr="00896FE3">
        <w:rPr>
          <w:i/>
          <w:iCs/>
          <w:szCs w:val="27"/>
        </w:rPr>
        <w:t>Sade C.</w:t>
      </w:r>
      <w:r w:rsidR="005F4300" w:rsidRPr="00862DA7">
        <w:rPr>
          <w:szCs w:val="27"/>
        </w:rPr>
        <w:t>, at pp.</w:t>
      </w:r>
      <w:r w:rsidR="005F4300">
        <w:rPr>
          <w:szCs w:val="27"/>
        </w:rPr>
        <w:t> </w:t>
      </w:r>
      <w:r w:rsidR="005F4300" w:rsidRPr="00862DA7">
        <w:rPr>
          <w:szCs w:val="27"/>
        </w:rPr>
        <w:t xml:space="preserve">986–991; </w:t>
      </w:r>
      <w:r w:rsidR="005F4300" w:rsidRPr="00896FE3">
        <w:rPr>
          <w:i/>
          <w:iCs/>
          <w:szCs w:val="27"/>
        </w:rPr>
        <w:t>Ben C.</w:t>
      </w:r>
      <w:r w:rsidR="005F4300" w:rsidRPr="00862DA7">
        <w:rPr>
          <w:szCs w:val="27"/>
        </w:rPr>
        <w:t>, at pp.</w:t>
      </w:r>
      <w:r w:rsidR="005F4300">
        <w:rPr>
          <w:szCs w:val="27"/>
        </w:rPr>
        <w:t> </w:t>
      </w:r>
      <w:r w:rsidR="005F4300" w:rsidRPr="00862DA7">
        <w:rPr>
          <w:szCs w:val="27"/>
        </w:rPr>
        <w:t>537–543</w:t>
      </w:r>
      <w:r w:rsidR="005F4300">
        <w:rPr>
          <w:szCs w:val="27"/>
        </w:rPr>
        <w:t>]</w:t>
      </w:r>
      <w:r w:rsidR="005F4300" w:rsidRPr="00862DA7">
        <w:rPr>
          <w:szCs w:val="27"/>
        </w:rPr>
        <w:t>.</w:t>
      </w:r>
      <w:r w:rsidR="005F4300">
        <w:rPr>
          <w:szCs w:val="27"/>
        </w:rPr>
        <w:t>)</w:t>
      </w:r>
      <w:r w:rsidR="005F4300" w:rsidRPr="00862DA7">
        <w:rPr>
          <w:szCs w:val="27"/>
        </w:rPr>
        <w:t xml:space="preserve">   </w:t>
      </w:r>
      <w:r w:rsidR="00F80893" w:rsidRPr="00F80893">
        <w:rPr>
          <w:szCs w:val="27"/>
        </w:rPr>
        <w:t xml:space="preserve"> </w:t>
      </w:r>
      <w:bookmarkStart w:id="7" w:name="_Hlk121139811"/>
      <w:bookmarkStart w:id="8" w:name="_Hlk120632015"/>
      <w:r w:rsidR="00756445">
        <w:rPr>
          <w:szCs w:val="27"/>
        </w:rPr>
        <w:t xml:space="preserve">We need not decide whether the </w:t>
      </w:r>
      <w:r w:rsidR="00756445" w:rsidRPr="000826A0">
        <w:rPr>
          <w:i/>
          <w:iCs/>
          <w:szCs w:val="27"/>
        </w:rPr>
        <w:t>Lassiter</w:t>
      </w:r>
      <w:r w:rsidR="00756445">
        <w:rPr>
          <w:szCs w:val="27"/>
        </w:rPr>
        <w:t xml:space="preserve"> test must be applied here given </w:t>
      </w:r>
      <w:r w:rsidR="00756445" w:rsidRPr="000826A0">
        <w:rPr>
          <w:i/>
          <w:iCs/>
          <w:szCs w:val="27"/>
        </w:rPr>
        <w:t>Finley</w:t>
      </w:r>
      <w:r w:rsidR="00756445">
        <w:rPr>
          <w:szCs w:val="27"/>
        </w:rPr>
        <w:t>’s determination that the right to effective assistance of counsel does not extend to postconviction proceedings generally</w:t>
      </w:r>
      <w:bookmarkEnd w:id="7"/>
      <w:r w:rsidR="000C0DD2">
        <w:rPr>
          <w:szCs w:val="27"/>
        </w:rPr>
        <w:t xml:space="preserve">. </w:t>
      </w:r>
      <w:r w:rsidR="008F5A3D">
        <w:rPr>
          <w:szCs w:val="27"/>
        </w:rPr>
        <w:t xml:space="preserve"> </w:t>
      </w:r>
      <w:r w:rsidR="00F80893">
        <w:rPr>
          <w:szCs w:val="27"/>
        </w:rPr>
        <w:t xml:space="preserve">We apply the </w:t>
      </w:r>
      <w:r w:rsidR="00F80893" w:rsidRPr="003475F3">
        <w:rPr>
          <w:i/>
          <w:iCs/>
          <w:szCs w:val="27"/>
        </w:rPr>
        <w:t>Lassiter</w:t>
      </w:r>
      <w:r w:rsidR="00F80893">
        <w:rPr>
          <w:szCs w:val="27"/>
        </w:rPr>
        <w:t xml:space="preserve"> balancing test here only because the parties assume its applicability</w:t>
      </w:r>
      <w:r w:rsidR="00820442">
        <w:rPr>
          <w:szCs w:val="27"/>
        </w:rPr>
        <w:t>,</w:t>
      </w:r>
      <w:r w:rsidR="003C3E09">
        <w:rPr>
          <w:szCs w:val="27"/>
        </w:rPr>
        <w:t xml:space="preserve"> and </w:t>
      </w:r>
      <w:r w:rsidR="00F80893">
        <w:rPr>
          <w:szCs w:val="27"/>
        </w:rPr>
        <w:t>we do not now decide its applicability to the current circumstances.</w:t>
      </w:r>
      <w:bookmarkEnd w:id="8"/>
    </w:p>
    <w:p w14:paraId="3904B059" w14:textId="6B21E82F" w:rsidR="009C54BB" w:rsidRPr="000D10C0" w:rsidRDefault="00F80893" w:rsidP="000D10C0">
      <w:pPr>
        <w:tabs>
          <w:tab w:val="left" w:pos="1440"/>
        </w:tabs>
        <w:ind w:firstLine="720"/>
      </w:pPr>
      <w:r>
        <w:t>In any event, g</w:t>
      </w:r>
      <w:r w:rsidR="00FA22C4" w:rsidRPr="000D10C0">
        <w:t xml:space="preserve">eneral due process principles requiring fundamental fairness do not alter the outcome.  </w:t>
      </w:r>
      <w:r w:rsidR="00842DB4">
        <w:t>Applying the first factor, “[i]</w:t>
      </w:r>
      <w:r w:rsidR="00DE3D93" w:rsidRPr="000D10C0">
        <w:t xml:space="preserve">n an appeal from a denial of a section </w:t>
      </w:r>
      <w:r w:rsidR="00407F5A">
        <w:t>[</w:t>
      </w:r>
      <w:r w:rsidR="00DE3D93" w:rsidRPr="000D10C0">
        <w:t>117</w:t>
      </w:r>
      <w:r w:rsidR="00842DB4">
        <w:t>2</w:t>
      </w:r>
      <w:r w:rsidR="00DE3D93" w:rsidRPr="000D10C0">
        <w:t>.</w:t>
      </w:r>
      <w:r w:rsidR="00842DB4">
        <w:t>6</w:t>
      </w:r>
      <w:r w:rsidR="00407F5A">
        <w:t>]</w:t>
      </w:r>
      <w:r w:rsidR="00DE3D93" w:rsidRPr="000D10C0">
        <w:t xml:space="preserve"> </w:t>
      </w:r>
      <w:r w:rsidR="00DE3D93" w:rsidRPr="000D10C0">
        <w:lastRenderedPageBreak/>
        <w:t>petition, the private interests at stake are the liberty interests of the person who may be in custody and seeking release.</w:t>
      </w:r>
      <w:r w:rsidR="00CA5354" w:rsidRPr="000D10C0">
        <w:t>”</w:t>
      </w:r>
      <w:r w:rsidR="00DE3D93" w:rsidRPr="000D10C0">
        <w:t xml:space="preserve"> </w:t>
      </w:r>
      <w:r w:rsidR="00D41ACC" w:rsidRPr="000D10C0">
        <w:t xml:space="preserve"> </w:t>
      </w:r>
      <w:r w:rsidR="00DE3D93" w:rsidRPr="000D10C0">
        <w:t>(</w:t>
      </w:r>
      <w:r w:rsidR="00DE3D93" w:rsidRPr="000D10C0">
        <w:rPr>
          <w:i/>
          <w:iCs/>
        </w:rPr>
        <w:t>Flores, supra</w:t>
      </w:r>
      <w:r w:rsidR="00DE3D93" w:rsidRPr="000D10C0">
        <w:t xml:space="preserve">, </w:t>
      </w:r>
      <w:r w:rsidR="00CA5354" w:rsidRPr="000D10C0">
        <w:t>54</w:t>
      </w:r>
      <w:r w:rsidR="009D2B83" w:rsidRPr="000D10C0">
        <w:t> </w:t>
      </w:r>
      <w:r w:rsidR="00CA5354" w:rsidRPr="000D10C0">
        <w:t>Cal.App.5th at p.</w:t>
      </w:r>
      <w:r w:rsidR="009D2B83" w:rsidRPr="000D10C0">
        <w:t> </w:t>
      </w:r>
      <w:r w:rsidR="00CA5354" w:rsidRPr="000D10C0">
        <w:t>274</w:t>
      </w:r>
      <w:r w:rsidR="008F4D2B" w:rsidRPr="000D10C0">
        <w:t xml:space="preserve">.) </w:t>
      </w:r>
      <w:r w:rsidR="00CA5354" w:rsidRPr="000D10C0">
        <w:t xml:space="preserve"> </w:t>
      </w:r>
      <w:r w:rsidR="00827669" w:rsidRPr="000D10C0">
        <w:t>The potential for relief</w:t>
      </w:r>
      <w:r w:rsidR="00941916" w:rsidRPr="000D10C0">
        <w:t xml:space="preserve"> under section 117</w:t>
      </w:r>
      <w:r w:rsidR="00842DB4">
        <w:t>2</w:t>
      </w:r>
      <w:r w:rsidR="00941916" w:rsidRPr="000D10C0">
        <w:t>.</w:t>
      </w:r>
      <w:r w:rsidR="00842DB4">
        <w:t>6</w:t>
      </w:r>
      <w:r w:rsidR="00827669" w:rsidRPr="000D10C0">
        <w:t xml:space="preserve"> from a prior murder</w:t>
      </w:r>
      <w:r w:rsidR="00941916" w:rsidRPr="000D10C0">
        <w:t xml:space="preserve">, </w:t>
      </w:r>
      <w:r w:rsidR="00827669" w:rsidRPr="000D10C0">
        <w:t>attempted murder</w:t>
      </w:r>
      <w:r w:rsidR="00941916" w:rsidRPr="000D10C0">
        <w:t>, or manslaughter</w:t>
      </w:r>
      <w:r w:rsidR="00827669" w:rsidRPr="000D10C0">
        <w:t xml:space="preserve"> conviction is a “significant” interest.  </w:t>
      </w:r>
      <w:r w:rsidR="00E94A6F" w:rsidRPr="000D10C0">
        <w:t>(</w:t>
      </w:r>
      <w:r w:rsidR="00E94A6F" w:rsidRPr="000D10C0">
        <w:rPr>
          <w:i/>
          <w:iCs/>
        </w:rPr>
        <w:t>Ben C., supra</w:t>
      </w:r>
      <w:r w:rsidR="00E94A6F" w:rsidRPr="000D10C0">
        <w:t>, 40</w:t>
      </w:r>
      <w:r w:rsidR="00B83F2E" w:rsidRPr="000D10C0">
        <w:t> </w:t>
      </w:r>
      <w:r w:rsidR="00E94A6F" w:rsidRPr="000D10C0">
        <w:t>Cal.4th at p.</w:t>
      </w:r>
      <w:r w:rsidR="004A44B3" w:rsidRPr="000D10C0">
        <w:t> </w:t>
      </w:r>
      <w:r w:rsidR="00E94A6F" w:rsidRPr="000D10C0">
        <w:t>540.)</w:t>
      </w:r>
      <w:r w:rsidR="00941916" w:rsidRPr="000D10C0">
        <w:t xml:space="preserve"> </w:t>
      </w:r>
      <w:r w:rsidR="00E94A6F" w:rsidRPr="000D10C0">
        <w:t xml:space="preserve"> </w:t>
      </w:r>
      <w:r w:rsidR="00F80935" w:rsidRPr="000D10C0">
        <w:t xml:space="preserve">We agree with Delgadillo that this </w:t>
      </w:r>
      <w:r w:rsidR="00B32308" w:rsidRPr="000D10C0">
        <w:t>factor weighs in his favor.</w:t>
      </w:r>
    </w:p>
    <w:p w14:paraId="03EE128A" w14:textId="619DA236" w:rsidR="009C54BB" w:rsidRPr="000D10C0" w:rsidRDefault="000B18F4" w:rsidP="000D10C0">
      <w:pPr>
        <w:tabs>
          <w:tab w:val="left" w:pos="1440"/>
        </w:tabs>
        <w:ind w:firstLine="720"/>
      </w:pPr>
      <w:r w:rsidRPr="000D10C0">
        <w:t>The</w:t>
      </w:r>
      <w:r w:rsidR="008A161C" w:rsidRPr="000D10C0">
        <w:t xml:space="preserve"> state</w:t>
      </w:r>
      <w:r w:rsidRPr="000D10C0">
        <w:t>, however,</w:t>
      </w:r>
      <w:r w:rsidR="00492A22" w:rsidRPr="000D10C0">
        <w:t xml:space="preserve"> also</w:t>
      </w:r>
      <w:r w:rsidR="008A161C" w:rsidRPr="000D10C0">
        <w:t xml:space="preserve"> has an interest in an “economical and expeditious resolution” of an appeal from a decision that is “presumptively accurate and just.”  (</w:t>
      </w:r>
      <w:r w:rsidR="008A161C" w:rsidRPr="000D10C0">
        <w:rPr>
          <w:i/>
          <w:iCs/>
        </w:rPr>
        <w:t>Sade C., supra</w:t>
      </w:r>
      <w:r w:rsidR="008A161C" w:rsidRPr="000D10C0">
        <w:t>, 13</w:t>
      </w:r>
      <w:r w:rsidR="0066406C" w:rsidRPr="000D10C0">
        <w:t> </w:t>
      </w:r>
      <w:r w:rsidR="008A161C" w:rsidRPr="000D10C0">
        <w:t>Cal.4th at p.</w:t>
      </w:r>
      <w:r w:rsidR="0066406C" w:rsidRPr="000D10C0">
        <w:t> </w:t>
      </w:r>
      <w:r w:rsidR="008A161C" w:rsidRPr="000D10C0">
        <w:t>990.)</w:t>
      </w:r>
      <w:r w:rsidR="002D6061" w:rsidRPr="000D10C0">
        <w:t xml:space="preserve">  </w:t>
      </w:r>
      <w:r w:rsidRPr="000D10C0">
        <w:t>I</w:t>
      </w:r>
      <w:r w:rsidR="002D6061" w:rsidRPr="000D10C0">
        <w:t xml:space="preserve">ndependent review </w:t>
      </w:r>
      <w:r w:rsidR="0075660C" w:rsidRPr="000D10C0">
        <w:t xml:space="preserve">in </w:t>
      </w:r>
      <w:r w:rsidR="0075660C" w:rsidRPr="000D10C0">
        <w:rPr>
          <w:i/>
          <w:iCs/>
        </w:rPr>
        <w:t>Wende</w:t>
      </w:r>
      <w:r w:rsidR="0075660C" w:rsidRPr="000D10C0">
        <w:t xml:space="preserve"> appeals </w:t>
      </w:r>
      <w:r w:rsidR="00FA7FA3" w:rsidRPr="000D10C0">
        <w:t xml:space="preserve">consumes </w:t>
      </w:r>
      <w:r w:rsidR="002D6061" w:rsidRPr="000D10C0">
        <w:t xml:space="preserve">substantial </w:t>
      </w:r>
      <w:r w:rsidR="0075660C" w:rsidRPr="000D10C0">
        <w:t>judicial</w:t>
      </w:r>
      <w:r w:rsidR="002D6061" w:rsidRPr="000D10C0">
        <w:t xml:space="preserve"> resources.  (</w:t>
      </w:r>
      <w:r w:rsidR="00952C08" w:rsidRPr="000D10C0">
        <w:rPr>
          <w:i/>
          <w:iCs/>
        </w:rPr>
        <w:t xml:space="preserve">People v. Serrano </w:t>
      </w:r>
      <w:r w:rsidR="00952C08" w:rsidRPr="000D10C0">
        <w:t>(2012) 211</w:t>
      </w:r>
      <w:r w:rsidR="0066406C" w:rsidRPr="000D10C0">
        <w:t> </w:t>
      </w:r>
      <w:r w:rsidR="00952C08" w:rsidRPr="000D10C0">
        <w:t>Cal.App.4th 496, 503 (</w:t>
      </w:r>
      <w:r w:rsidR="00952C08" w:rsidRPr="000D10C0">
        <w:rPr>
          <w:i/>
          <w:iCs/>
        </w:rPr>
        <w:t>Serrano</w:t>
      </w:r>
      <w:r w:rsidR="00952C08" w:rsidRPr="000D10C0">
        <w:t>)</w:t>
      </w:r>
      <w:r w:rsidR="002D6061" w:rsidRPr="000D10C0">
        <w:t>.)</w:t>
      </w:r>
      <w:r w:rsidR="00657709" w:rsidRPr="000D10C0">
        <w:t xml:space="preserve">  </w:t>
      </w:r>
      <w:r w:rsidR="00A2749A">
        <w:t>Though not as onerous as ind</w:t>
      </w:r>
      <w:r w:rsidR="00E23CDF">
        <w:t>e</w:t>
      </w:r>
      <w:r w:rsidR="00A2749A">
        <w:t>pe</w:t>
      </w:r>
      <w:r w:rsidR="00E23CDF">
        <w:t>nd</w:t>
      </w:r>
      <w:r w:rsidR="00A2749A">
        <w:t>ent review on direct appeal</w:t>
      </w:r>
      <w:r w:rsidR="006207B5">
        <w:t>,</w:t>
      </w:r>
      <w:r w:rsidR="00A2749A">
        <w:t xml:space="preserve"> </w:t>
      </w:r>
      <w:r w:rsidR="00756445">
        <w:t>r</w:t>
      </w:r>
      <w:r w:rsidR="008A0E04" w:rsidRPr="000D10C0">
        <w:t xml:space="preserve">equiring appellate courts to independently review the records of numerous postconviction appeals after appointed counsel found no arguable issues would </w:t>
      </w:r>
      <w:r w:rsidR="00756445">
        <w:t xml:space="preserve">still </w:t>
      </w:r>
      <w:r w:rsidR="008A0E04" w:rsidRPr="000D10C0">
        <w:t xml:space="preserve">impose </w:t>
      </w:r>
      <w:r w:rsidR="004450DA" w:rsidRPr="000D10C0">
        <w:t>a significant</w:t>
      </w:r>
      <w:r w:rsidR="008A0E04" w:rsidRPr="000D10C0">
        <w:t xml:space="preserve"> burden on the court system.  </w:t>
      </w:r>
    </w:p>
    <w:p w14:paraId="6644B488" w14:textId="4BCC137C" w:rsidR="00D330E3" w:rsidRPr="000D10C0" w:rsidRDefault="00492A22" w:rsidP="000D10C0">
      <w:pPr>
        <w:tabs>
          <w:tab w:val="left" w:pos="1440"/>
        </w:tabs>
        <w:ind w:firstLine="720"/>
      </w:pPr>
      <w:r w:rsidRPr="000D10C0">
        <w:t xml:space="preserve">Ultimately, </w:t>
      </w:r>
      <w:r w:rsidR="00697C47" w:rsidRPr="000D10C0">
        <w:t>“</w:t>
      </w:r>
      <w:r w:rsidRPr="000D10C0">
        <w:t>[t]</w:t>
      </w:r>
      <w:r w:rsidR="00697C47" w:rsidRPr="000D10C0">
        <w:t xml:space="preserve">he salient question here is whether the absence of the </w:t>
      </w:r>
      <w:r w:rsidR="00697C47" w:rsidRPr="000D10C0">
        <w:rPr>
          <w:i/>
          <w:iCs/>
        </w:rPr>
        <w:t>Anders/Wende</w:t>
      </w:r>
      <w:r w:rsidR="00697C47" w:rsidRPr="000D10C0">
        <w:t xml:space="preserve"> procedures significantly increases the risk of erroneous resolutions.”  (</w:t>
      </w:r>
      <w:r w:rsidR="00697C47" w:rsidRPr="000D10C0">
        <w:rPr>
          <w:i/>
          <w:iCs/>
        </w:rPr>
        <w:t>Ben C., supra</w:t>
      </w:r>
      <w:r w:rsidR="00697C47" w:rsidRPr="000D10C0">
        <w:t>, 40</w:t>
      </w:r>
      <w:r w:rsidR="004A44B3" w:rsidRPr="000D10C0">
        <w:t> </w:t>
      </w:r>
      <w:r w:rsidR="00697C47" w:rsidRPr="000D10C0">
        <w:t>Cal.4th at p.</w:t>
      </w:r>
      <w:r w:rsidR="004A44B3" w:rsidRPr="000D10C0">
        <w:t> </w:t>
      </w:r>
      <w:r w:rsidR="00697C47" w:rsidRPr="000D10C0">
        <w:t>538</w:t>
      </w:r>
      <w:r w:rsidRPr="000D10C0">
        <w:t>.</w:t>
      </w:r>
      <w:r w:rsidR="00697C47" w:rsidRPr="000D10C0">
        <w:t>)</w:t>
      </w:r>
      <w:r w:rsidR="0024060D" w:rsidRPr="000D10C0">
        <w:t xml:space="preserve">  Delgadillo </w:t>
      </w:r>
      <w:r w:rsidR="00873D22">
        <w:t xml:space="preserve">and the Office of State Public Defender cite </w:t>
      </w:r>
      <w:r w:rsidR="008F5A3D">
        <w:t xml:space="preserve">a </w:t>
      </w:r>
      <w:r w:rsidR="00873D22">
        <w:t>handful of cases, mostly unpublished,</w:t>
      </w:r>
      <w:r w:rsidR="00DA382C">
        <w:t xml:space="preserve"> </w:t>
      </w:r>
      <w:r w:rsidR="00756445">
        <w:t xml:space="preserve">where the Court of Appeal identified </w:t>
      </w:r>
      <w:r w:rsidR="001D7BB7">
        <w:t xml:space="preserve">(or, they contend should have identified </w:t>
      </w:r>
      <w:r w:rsidR="00756445">
        <w:t>meritorious issues</w:t>
      </w:r>
      <w:r w:rsidR="00142305">
        <w:t xml:space="preserve">) </w:t>
      </w:r>
      <w:r w:rsidR="00B76C22">
        <w:t xml:space="preserve">in </w:t>
      </w:r>
      <w:r w:rsidR="00DA382C">
        <w:t>a section 1172.6 appeal,</w:t>
      </w:r>
      <w:r w:rsidR="00873D22">
        <w:t xml:space="preserve"> </w:t>
      </w:r>
      <w:r w:rsidR="00DA382C">
        <w:t>even though</w:t>
      </w:r>
      <w:r w:rsidR="00873D22">
        <w:t xml:space="preserve"> a no-issue brief was filed.  </w:t>
      </w:r>
      <w:r w:rsidR="00F4208F" w:rsidRPr="000D10C0">
        <w:t xml:space="preserve">However, </w:t>
      </w:r>
      <w:r w:rsidR="00842DB4">
        <w:t xml:space="preserve">this </w:t>
      </w:r>
      <w:r w:rsidR="004450DA" w:rsidRPr="000D10C0">
        <w:t xml:space="preserve">largely </w:t>
      </w:r>
      <w:r w:rsidR="00045CDC" w:rsidRPr="000D10C0">
        <w:t>anecdotal</w:t>
      </w:r>
      <w:r w:rsidR="004450DA" w:rsidRPr="000D10C0">
        <w:t xml:space="preserve"> recitation o</w:t>
      </w:r>
      <w:r w:rsidR="00842DB4">
        <w:t>f</w:t>
      </w:r>
      <w:r w:rsidR="004450DA" w:rsidRPr="000D10C0">
        <w:t xml:space="preserve"> errors ignores </w:t>
      </w:r>
      <w:r w:rsidR="005C1059" w:rsidRPr="000D10C0">
        <w:t xml:space="preserve">the </w:t>
      </w:r>
      <w:r w:rsidR="004450DA" w:rsidRPr="000D10C0">
        <w:t xml:space="preserve">broader </w:t>
      </w:r>
      <w:r w:rsidR="005C1059" w:rsidRPr="000D10C0">
        <w:t xml:space="preserve">procedural protections already in place.  </w:t>
      </w:r>
      <w:r w:rsidR="00F4208F" w:rsidRPr="000D10C0">
        <w:t>To proceed to a</w:t>
      </w:r>
      <w:r w:rsidR="00F655C0" w:rsidRPr="000D10C0">
        <w:t xml:space="preserve">n </w:t>
      </w:r>
      <w:r w:rsidR="00F4208F" w:rsidRPr="000D10C0">
        <w:t xml:space="preserve">evidentiary hearing, </w:t>
      </w:r>
      <w:r w:rsidR="005C1059" w:rsidRPr="000D10C0">
        <w:t>there is only a</w:t>
      </w:r>
      <w:r w:rsidR="00F4208F" w:rsidRPr="000D10C0">
        <w:t xml:space="preserve"> “limited” prima facie </w:t>
      </w:r>
      <w:r w:rsidR="005C1059" w:rsidRPr="000D10C0">
        <w:t>inquiry</w:t>
      </w:r>
      <w:r w:rsidR="00F655C0" w:rsidRPr="000D10C0">
        <w:t xml:space="preserve">.  </w:t>
      </w:r>
      <w:r w:rsidR="00F4208F" w:rsidRPr="000D10C0">
        <w:t>(</w:t>
      </w:r>
      <w:r w:rsidR="00B81B33">
        <w:rPr>
          <w:i/>
          <w:iCs/>
        </w:rPr>
        <w:t>Lewis</w:t>
      </w:r>
      <w:r w:rsidR="00B81B33">
        <w:t xml:space="preserve">, </w:t>
      </w:r>
      <w:r w:rsidR="00B81B33">
        <w:rPr>
          <w:i/>
          <w:iCs/>
        </w:rPr>
        <w:t>supra</w:t>
      </w:r>
      <w:r w:rsidR="00B81B33">
        <w:t>, 11 Cal.5th</w:t>
      </w:r>
      <w:r w:rsidR="00F4208F" w:rsidRPr="000D10C0">
        <w:t xml:space="preserve"> at</w:t>
      </w:r>
      <w:r w:rsidR="00605925" w:rsidRPr="000D10C0">
        <w:t xml:space="preserve"> </w:t>
      </w:r>
      <w:r w:rsidR="00F4208F" w:rsidRPr="000D10C0">
        <w:t>p.</w:t>
      </w:r>
      <w:r w:rsidR="00B83F2E" w:rsidRPr="000D10C0">
        <w:t> </w:t>
      </w:r>
      <w:r w:rsidR="005C1059" w:rsidRPr="000D10C0">
        <w:t>971</w:t>
      </w:r>
      <w:r w:rsidR="00F4208F" w:rsidRPr="000D10C0">
        <w:t xml:space="preserve">.) </w:t>
      </w:r>
      <w:r w:rsidR="00F655C0" w:rsidRPr="000D10C0">
        <w:t xml:space="preserve"> The “</w:t>
      </w:r>
      <w:r w:rsidR="00B716F6" w:rsidRPr="000D10C0">
        <w:t> </w:t>
      </w:r>
      <w:r w:rsidR="005C1059" w:rsidRPr="000D10C0">
        <w:t>‘</w:t>
      </w:r>
      <w:r w:rsidR="00F655C0" w:rsidRPr="000D10C0">
        <w:t>prima facie bar was intentionally and correctly set very low.</w:t>
      </w:r>
      <w:r w:rsidR="005C1059" w:rsidRPr="000D10C0">
        <w:t>’</w:t>
      </w:r>
      <w:r w:rsidR="00B716F6" w:rsidRPr="000D10C0">
        <w:t> </w:t>
      </w:r>
      <w:r w:rsidR="00F655C0" w:rsidRPr="000D10C0">
        <w:t xml:space="preserve">”  </w:t>
      </w:r>
      <w:r w:rsidR="005C1059" w:rsidRPr="000D10C0">
        <w:t>(</w:t>
      </w:r>
      <w:r w:rsidR="005C1059" w:rsidRPr="000D10C0">
        <w:rPr>
          <w:i/>
          <w:iCs/>
        </w:rPr>
        <w:t>Id</w:t>
      </w:r>
      <w:r w:rsidR="005C1059" w:rsidRPr="000D10C0">
        <w:t>. at p.</w:t>
      </w:r>
      <w:r w:rsidR="0088636E" w:rsidRPr="000D10C0">
        <w:t> </w:t>
      </w:r>
      <w:r w:rsidR="005C1059" w:rsidRPr="000D10C0">
        <w:t xml:space="preserve">972.)  </w:t>
      </w:r>
      <w:r w:rsidR="008B0952" w:rsidRPr="000D10C0">
        <w:t>In all cases, the superior court will review the petition</w:t>
      </w:r>
      <w:r w:rsidR="00FE01E3" w:rsidRPr="000D10C0">
        <w:t xml:space="preserve"> before deci</w:t>
      </w:r>
      <w:r w:rsidR="00610000" w:rsidRPr="000D10C0">
        <w:t>ding the matter</w:t>
      </w:r>
      <w:r w:rsidR="008B0952" w:rsidRPr="000D10C0">
        <w:t xml:space="preserve">.  While </w:t>
      </w:r>
      <w:r w:rsidR="008B0952" w:rsidRPr="000D10C0">
        <w:lastRenderedPageBreak/>
        <w:t>section 117</w:t>
      </w:r>
      <w:r w:rsidR="002C4C36">
        <w:t>2</w:t>
      </w:r>
      <w:r w:rsidR="008B0952" w:rsidRPr="000D10C0">
        <w:t>.</w:t>
      </w:r>
      <w:r w:rsidR="002C4C36">
        <w:t>6</w:t>
      </w:r>
      <w:r w:rsidR="008B0952" w:rsidRPr="000D10C0">
        <w:t xml:space="preserve"> does not require the appointment of counsel on appeal, </w:t>
      </w:r>
      <w:r w:rsidR="00FE01E3" w:rsidRPr="000D10C0">
        <w:t>some courts have a routine practice of appointing counsel to represent defendants appealing from the denial of postconviction relief</w:t>
      </w:r>
      <w:r w:rsidR="008B0952" w:rsidRPr="000D10C0">
        <w:t xml:space="preserve">.  (See, e.g., </w:t>
      </w:r>
      <w:r w:rsidR="008B0952" w:rsidRPr="000D10C0">
        <w:rPr>
          <w:i/>
          <w:iCs/>
        </w:rPr>
        <w:t>Cole, supra</w:t>
      </w:r>
      <w:r w:rsidR="008B0952" w:rsidRPr="000D10C0">
        <w:t>, 52</w:t>
      </w:r>
      <w:r w:rsidR="007A3EF4" w:rsidRPr="000D10C0">
        <w:t> </w:t>
      </w:r>
      <w:r w:rsidR="008B0952" w:rsidRPr="000D10C0">
        <w:t>Cal.App.5th at p.</w:t>
      </w:r>
      <w:r w:rsidR="00B83F2E" w:rsidRPr="000D10C0">
        <w:t> </w:t>
      </w:r>
      <w:r w:rsidR="008B0952" w:rsidRPr="000D10C0">
        <w:t>1029</w:t>
      </w:r>
      <w:r w:rsidR="003D2912" w:rsidRPr="000D10C0">
        <w:t>, rev</w:t>
      </w:r>
      <w:r w:rsidR="00056CB7" w:rsidRPr="000D10C0">
        <w:t>iew</w:t>
      </w:r>
      <w:r w:rsidR="003D2912" w:rsidRPr="000D10C0">
        <w:t xml:space="preserve"> granted</w:t>
      </w:r>
      <w:r w:rsidR="008B0952" w:rsidRPr="000D10C0">
        <w:t>.)</w:t>
      </w:r>
      <w:r w:rsidR="00D330E3" w:rsidRPr="000D10C0">
        <w:t xml:space="preserve">  </w:t>
      </w:r>
      <w:r w:rsidR="002C4C36" w:rsidRPr="002C4C36">
        <w:t xml:space="preserve">As Delgadillo concedes in arguing for a more limited review, appellate courts can often readily confirm that a defendant is ineligible for relief as a matter of law without conducting an independent review of the entire record.  As discussed below, the defendant is also permitted to file a supplemental brief if counsel files a brief raising no arguable issues.  As also detailed below, if the appellate court wishes, it </w:t>
      </w:r>
      <w:bookmarkStart w:id="9" w:name="_Hlk120623635"/>
      <w:r w:rsidR="002C4C36" w:rsidRPr="002C4C36">
        <w:t>may also exercise its discretion to conduct its own independent review of the record in the interest of justice.</w:t>
      </w:r>
      <w:bookmarkEnd w:id="9"/>
    </w:p>
    <w:p w14:paraId="4DC825B7" w14:textId="36E1974D" w:rsidR="002C4C36" w:rsidRPr="002C4C36" w:rsidRDefault="002C4C36" w:rsidP="002C4C36">
      <w:pPr>
        <w:tabs>
          <w:tab w:val="left" w:pos="1440"/>
        </w:tabs>
        <w:ind w:firstLine="720"/>
      </w:pPr>
      <w:r w:rsidRPr="002C4C36">
        <w:t>Indeed, the procedures implemented with respect to Delgadillo’s petition demonstrate the elaborate protections already in place.  After the appointment of counsel, a review of the record, briefing, and a hearing, the superior court concluded Delgadillo was ineligible for relief as a matter of law because the record showed he was the actual and only participant</w:t>
      </w:r>
      <w:r w:rsidR="00CB6082">
        <w:t xml:space="preserve"> in the crime</w:t>
      </w:r>
      <w:r w:rsidRPr="002C4C36">
        <w:t xml:space="preserve">.  On appeal from that determination, Delgadillo again had the assistance of appointed counsel, who again examined the record and determined there were no grounds upon which to challenge the superior court’s determination.  </w:t>
      </w:r>
      <w:r w:rsidRPr="00062AF3">
        <w:t>The Legislature has already given petitioners broad access to counsel in the superior courts (</w:t>
      </w:r>
      <w:r w:rsidRPr="00062AF3">
        <w:rPr>
          <w:i/>
          <w:iCs/>
        </w:rPr>
        <w:t>Lewis</w:t>
      </w:r>
      <w:r w:rsidRPr="00062AF3">
        <w:t xml:space="preserve">, </w:t>
      </w:r>
      <w:r w:rsidRPr="00062AF3">
        <w:rPr>
          <w:i/>
          <w:iCs/>
        </w:rPr>
        <w:t>supra</w:t>
      </w:r>
      <w:r w:rsidRPr="00062AF3">
        <w:t>, 11 Cal.5th at p. 968) and considered the competing policy considerations in enacting the postconviction procedures in section 1172.6.  (</w:t>
      </w:r>
      <w:r w:rsidR="005D4C89" w:rsidRPr="00062AF3">
        <w:rPr>
          <w:i/>
          <w:iCs/>
        </w:rPr>
        <w:t>Lewis</w:t>
      </w:r>
      <w:r w:rsidR="005D4C89" w:rsidRPr="00062AF3">
        <w:t>,</w:t>
      </w:r>
      <w:r w:rsidRPr="00062AF3">
        <w:t xml:space="preserve"> at p. 969 [the “legislative background shows the Legislature did, in fact, engage in the exact type of cost-benefit assessment and policy determination it was entitled to make”].)  Accordingly, once </w:t>
      </w:r>
      <w:r w:rsidRPr="002C4C36">
        <w:t xml:space="preserve">appointed counsel here concluded there are no arguable issues, </w:t>
      </w:r>
      <w:r w:rsidRPr="002C4C36">
        <w:lastRenderedPageBreak/>
        <w:t xml:space="preserve">“the value of applying the procedures required by our decision in </w:t>
      </w:r>
      <w:r w:rsidRPr="002C4C36">
        <w:rPr>
          <w:i/>
          <w:iCs/>
        </w:rPr>
        <w:t>Wende</w:t>
      </w:r>
      <w:r w:rsidRPr="002C4C36">
        <w:t xml:space="preserve"> in criminal appeals is ‘too slight to compel their invocation.’ ” </w:t>
      </w:r>
      <w:r w:rsidR="00296572">
        <w:t xml:space="preserve"> </w:t>
      </w:r>
      <w:r w:rsidRPr="002C4C36">
        <w:t>(</w:t>
      </w:r>
      <w:r w:rsidRPr="002C4C36">
        <w:rPr>
          <w:i/>
          <w:iCs/>
        </w:rPr>
        <w:t>In re Phoenix H.</w:t>
      </w:r>
      <w:r w:rsidRPr="002C4C36">
        <w:t xml:space="preserve"> (2009) 47 Cal.4th 835, 844, quoting </w:t>
      </w:r>
      <w:r w:rsidRPr="002C4C36">
        <w:rPr>
          <w:i/>
          <w:iCs/>
        </w:rPr>
        <w:t>Sade C., supra</w:t>
      </w:r>
      <w:r w:rsidRPr="002C4C36">
        <w:t xml:space="preserve">, 13 Cal.4th at p. 991.) </w:t>
      </w:r>
    </w:p>
    <w:p w14:paraId="3BAF2853" w14:textId="58E11B82" w:rsidR="002C4C36" w:rsidRPr="000D10C0" w:rsidRDefault="002C4C36" w:rsidP="002C4C36">
      <w:pPr>
        <w:tabs>
          <w:tab w:val="left" w:pos="1440"/>
        </w:tabs>
        <w:ind w:firstLine="720"/>
      </w:pPr>
      <w:r>
        <w:t xml:space="preserve">Delgadillo argues that the state </w:t>
      </w:r>
      <w:r w:rsidR="00AB2504">
        <w:t>C</w:t>
      </w:r>
      <w:r>
        <w:t xml:space="preserve">onstitution provides its own due process guarantee and that we are free to interpret it to afford more protection of a defendant’s rights than is required under the federal </w:t>
      </w:r>
      <w:r w:rsidR="00AB2504">
        <w:t>C</w:t>
      </w:r>
      <w:r>
        <w:t xml:space="preserve">onstitution.  </w:t>
      </w:r>
      <w:r>
        <w:rPr>
          <w:szCs w:val="27"/>
        </w:rPr>
        <w:t xml:space="preserve">However, for similar reasons, the Court of Appeal’s refusal to undertake an independent review of the record does not violate the due process clause of article I, section 7, subdivision (a), of the California Constitution because, again, the balance of interests </w:t>
      </w:r>
      <w:r w:rsidR="00A51C58">
        <w:rPr>
          <w:szCs w:val="27"/>
        </w:rPr>
        <w:t xml:space="preserve">and risks </w:t>
      </w:r>
      <w:r>
        <w:rPr>
          <w:szCs w:val="27"/>
        </w:rPr>
        <w:t>does not mandate such a procedure.  The analysis under the state constitutional provision would take into account not only the three elements discussed above, “but also, under the first, ‘the dignitary interest in informing individuals of the nature, grounds and consequences of the [governmental] action [in question] and in enabling them to present their side of the story before a responsible governmental official . . . .’ ”  (</w:t>
      </w:r>
      <w:r>
        <w:rPr>
          <w:i/>
          <w:iCs/>
          <w:szCs w:val="27"/>
        </w:rPr>
        <w:t>Sade C., supra</w:t>
      </w:r>
      <w:r>
        <w:rPr>
          <w:szCs w:val="27"/>
        </w:rPr>
        <w:t>, 13</w:t>
      </w:r>
      <w:r w:rsidR="00D2700D">
        <w:rPr>
          <w:szCs w:val="27"/>
        </w:rPr>
        <w:t> </w:t>
      </w:r>
      <w:r>
        <w:rPr>
          <w:szCs w:val="27"/>
        </w:rPr>
        <w:t>Cal.4th at p.</w:t>
      </w:r>
      <w:r w:rsidR="00D2700D">
        <w:rPr>
          <w:szCs w:val="27"/>
        </w:rPr>
        <w:t> </w:t>
      </w:r>
      <w:r>
        <w:rPr>
          <w:szCs w:val="27"/>
        </w:rPr>
        <w:t xml:space="preserve">991, fn. 18, quoting </w:t>
      </w:r>
      <w:r>
        <w:rPr>
          <w:i/>
          <w:iCs/>
          <w:szCs w:val="27"/>
        </w:rPr>
        <w:t>People v. Ramirez</w:t>
      </w:r>
      <w:r>
        <w:rPr>
          <w:szCs w:val="27"/>
        </w:rPr>
        <w:t xml:space="preserve"> (1979) 25</w:t>
      </w:r>
      <w:r w:rsidR="00D2700D">
        <w:rPr>
          <w:szCs w:val="27"/>
        </w:rPr>
        <w:t> </w:t>
      </w:r>
      <w:r>
        <w:rPr>
          <w:szCs w:val="27"/>
        </w:rPr>
        <w:t xml:space="preserve">Cal.3d 260, 269 (plur. opn. </w:t>
      </w:r>
      <w:r w:rsidR="005B1447">
        <w:rPr>
          <w:szCs w:val="27"/>
        </w:rPr>
        <w:t xml:space="preserve">of </w:t>
      </w:r>
      <w:r>
        <w:rPr>
          <w:szCs w:val="27"/>
        </w:rPr>
        <w:t xml:space="preserve">Mosk, J.).)  However, independent review does not further an individual’s dignitary interest when counsel has already been given an opportunity to present any arguments, found no issues warranting briefing, and the defendant was notified that counsel found no issues but that </w:t>
      </w:r>
      <w:r w:rsidR="00CB6082">
        <w:rPr>
          <w:szCs w:val="27"/>
        </w:rPr>
        <w:t xml:space="preserve">the </w:t>
      </w:r>
      <w:r>
        <w:rPr>
          <w:szCs w:val="27"/>
        </w:rPr>
        <w:t xml:space="preserve">defendant could file supplemental briefing presenting </w:t>
      </w:r>
      <w:r>
        <w:rPr>
          <w:szCs w:val="27"/>
        </w:rPr>
        <w:lastRenderedPageBreak/>
        <w:t>any arguments</w:t>
      </w:r>
      <w:r>
        <w:t xml:space="preserve">.  </w:t>
      </w:r>
      <w:r>
        <w:rPr>
          <w:szCs w:val="27"/>
        </w:rPr>
        <w:t>We</w:t>
      </w:r>
      <w:r>
        <w:t xml:space="preserve"> therefore </w:t>
      </w:r>
      <w:r>
        <w:rPr>
          <w:szCs w:val="27"/>
        </w:rPr>
        <w:t>find</w:t>
      </w:r>
      <w:r>
        <w:t xml:space="preserve"> that the procedures set out in </w:t>
      </w:r>
      <w:r>
        <w:rPr>
          <w:i/>
          <w:iCs/>
        </w:rPr>
        <w:t>Wende</w:t>
      </w:r>
      <w:r>
        <w:t xml:space="preserve"> do not apply </w:t>
      </w:r>
      <w:r>
        <w:rPr>
          <w:szCs w:val="27"/>
        </w:rPr>
        <w:t>to Delgadillo’s</w:t>
      </w:r>
      <w:r>
        <w:t xml:space="preserve"> appeal.</w:t>
      </w:r>
      <w:r>
        <w:rPr>
          <w:rStyle w:val="FootnoteReference"/>
        </w:rPr>
        <w:footnoteReference w:id="6"/>
      </w:r>
    </w:p>
    <w:p w14:paraId="57FB1439" w14:textId="08334844" w:rsidR="00B4164C" w:rsidRPr="000D10C0" w:rsidRDefault="00700DD7" w:rsidP="000D10C0">
      <w:pPr>
        <w:pStyle w:val="ListParagraph"/>
        <w:numPr>
          <w:ilvl w:val="0"/>
          <w:numId w:val="2"/>
        </w:numPr>
        <w:tabs>
          <w:tab w:val="left" w:pos="1440"/>
        </w:tabs>
        <w:rPr>
          <w:b/>
          <w:bCs/>
        </w:rPr>
      </w:pPr>
      <w:r w:rsidRPr="000D10C0">
        <w:rPr>
          <w:b/>
          <w:bCs/>
        </w:rPr>
        <w:t>Procedures</w:t>
      </w:r>
      <w:r w:rsidR="00B4164C" w:rsidRPr="000D10C0">
        <w:rPr>
          <w:b/>
          <w:bCs/>
        </w:rPr>
        <w:t xml:space="preserve"> Required in Section 117</w:t>
      </w:r>
      <w:r w:rsidR="002C4C36">
        <w:rPr>
          <w:b/>
          <w:bCs/>
        </w:rPr>
        <w:t>2</w:t>
      </w:r>
      <w:r w:rsidR="00B4164C" w:rsidRPr="000D10C0">
        <w:rPr>
          <w:b/>
          <w:bCs/>
        </w:rPr>
        <w:t>.</w:t>
      </w:r>
      <w:r w:rsidR="002C4C36">
        <w:rPr>
          <w:b/>
          <w:bCs/>
        </w:rPr>
        <w:t>6</w:t>
      </w:r>
      <w:r w:rsidR="00B4164C" w:rsidRPr="000D10C0">
        <w:rPr>
          <w:b/>
          <w:bCs/>
        </w:rPr>
        <w:t xml:space="preserve"> Proceedings</w:t>
      </w:r>
    </w:p>
    <w:p w14:paraId="4A66CB48" w14:textId="7E4832B1" w:rsidR="00B87480" w:rsidRPr="000D10C0" w:rsidRDefault="00FA5409" w:rsidP="000D10C0">
      <w:pPr>
        <w:tabs>
          <w:tab w:val="left" w:pos="1440"/>
        </w:tabs>
        <w:ind w:firstLine="720"/>
      </w:pPr>
      <w:r w:rsidRPr="000D10C0">
        <w:t xml:space="preserve">The Attorney General </w:t>
      </w:r>
      <w:r w:rsidR="00895616" w:rsidRPr="000D10C0">
        <w:t xml:space="preserve">and Delgadillo both </w:t>
      </w:r>
      <w:r w:rsidRPr="000D10C0">
        <w:t xml:space="preserve">suggest that we prescribe guidance for counsel and courts to follow in postconviction appeals where counsel finds no arguable issues.  The Attorney General also notes that the appropriate procedures may vary depending on the particular context.  </w:t>
      </w:r>
      <w:r w:rsidR="00895616" w:rsidRPr="000D10C0">
        <w:t xml:space="preserve">We agree that it </w:t>
      </w:r>
      <w:r w:rsidR="007B43A1" w:rsidRPr="000D10C0">
        <w:t>is possible that some more unusual postconviction context will call for additional or more specialized requirements.</w:t>
      </w:r>
      <w:r w:rsidRPr="000D10C0">
        <w:t xml:space="preserve"> </w:t>
      </w:r>
      <w:r w:rsidR="007B43A1" w:rsidRPr="000D10C0">
        <w:t xml:space="preserve"> </w:t>
      </w:r>
      <w:r w:rsidR="002C4C36" w:rsidRPr="002C4C36">
        <w:t xml:space="preserve">We agree though that we should invoke our inherent supervisory powers to prescribe a few basic procedures going forward, while leaving it to the Courts of Appeal to tailor and develop any additional procedures as they see fit.  (See </w:t>
      </w:r>
      <w:r w:rsidR="004B31D3" w:rsidRPr="003475F3">
        <w:rPr>
          <w:i/>
          <w:iCs/>
        </w:rPr>
        <w:t>Robinson v. Lewis</w:t>
      </w:r>
      <w:r w:rsidR="004B31D3">
        <w:t xml:space="preserve"> (</w:t>
      </w:r>
      <w:r w:rsidR="004B31D3" w:rsidRPr="004B31D3">
        <w:t>2020) 9 Cal.5th 883, 899</w:t>
      </w:r>
      <w:r w:rsidR="004B31D3">
        <w:t xml:space="preserve"> [</w:t>
      </w:r>
      <w:r w:rsidR="00FB1402">
        <w:t>“</w:t>
      </w:r>
      <w:r w:rsidR="004B31D3" w:rsidRPr="004B31D3">
        <w:t xml:space="preserve">This court has </w:t>
      </w:r>
      <w:r w:rsidR="00FB1402">
        <w:t>‘</w:t>
      </w:r>
      <w:r w:rsidR="004B31D3" w:rsidRPr="004B31D3">
        <w:t xml:space="preserve">inherent authority to establish </w:t>
      </w:r>
      <w:r w:rsidR="00FB1402">
        <w:t>“</w:t>
      </w:r>
      <w:r w:rsidR="004B31D3" w:rsidRPr="004B31D3">
        <w:t>rules of judicial procedure</w:t>
      </w:r>
      <w:r w:rsidR="00FB1402">
        <w:t>” </w:t>
      </w:r>
      <w:r w:rsidR="004B31D3" w:rsidRPr="004B31D3">
        <w:t>’</w:t>
      </w:r>
      <w:r w:rsidR="00FB1402">
        <w:t> </w:t>
      </w:r>
      <w:r w:rsidR="004B31D3" w:rsidRPr="004B31D3">
        <w:t>”</w:t>
      </w:r>
      <w:r w:rsidR="004B31D3">
        <w:t>]</w:t>
      </w:r>
      <w:r w:rsidR="002C4C36" w:rsidRPr="002C4C36">
        <w:t xml:space="preserve">.)  </w:t>
      </w:r>
    </w:p>
    <w:p w14:paraId="251035CA" w14:textId="2AD9FC20" w:rsidR="002C4C36" w:rsidRDefault="002C4C36" w:rsidP="002C4C36">
      <w:pPr>
        <w:tabs>
          <w:tab w:val="left" w:pos="1440"/>
        </w:tabs>
        <w:ind w:firstLine="720"/>
        <w:rPr>
          <w:szCs w:val="27"/>
        </w:rPr>
      </w:pPr>
      <w:bookmarkStart w:id="10" w:name="_Hlk97038336"/>
      <w:bookmarkStart w:id="11" w:name="_Hlk97820150"/>
      <w:r>
        <w:rPr>
          <w:szCs w:val="27"/>
        </w:rPr>
        <w:t>On an appeal from the denial of a section 1172.6 petition, we therefore prescribe the following framework</w:t>
      </w:r>
      <w:r w:rsidR="005B1447">
        <w:rPr>
          <w:szCs w:val="27"/>
        </w:rPr>
        <w:t>.</w:t>
      </w:r>
      <w:r>
        <w:rPr>
          <w:szCs w:val="27"/>
        </w:rPr>
        <w:t xml:space="preserve">  When appointed counsel finds no arguable issues to be pursued on appeal:</w:t>
      </w:r>
      <w:r w:rsidR="005B1447">
        <w:rPr>
          <w:szCs w:val="27"/>
        </w:rPr>
        <w:t xml:space="preserve"> </w:t>
      </w:r>
      <w:r>
        <w:rPr>
          <w:szCs w:val="27"/>
        </w:rPr>
        <w:t xml:space="preserve"> (1) counsel should file a brief informing the court of that </w:t>
      </w:r>
      <w:r>
        <w:rPr>
          <w:szCs w:val="27"/>
        </w:rPr>
        <w:lastRenderedPageBreak/>
        <w:t>determination, including a concise recitation of the facts bearing on the denial of the petition; and (2) the court should send,</w:t>
      </w:r>
      <w:r>
        <w:t xml:space="preserve"> with a copy of counsel’s brief, </w:t>
      </w:r>
      <w:r>
        <w:rPr>
          <w:szCs w:val="27"/>
        </w:rPr>
        <w:t>notice to the defendant, informing the defendant of the right to file a supplemental letter or brief and that if no letter or brief is filed within 30 days</w:t>
      </w:r>
      <w:r w:rsidR="0002255A">
        <w:rPr>
          <w:szCs w:val="27"/>
        </w:rPr>
        <w:t>,</w:t>
      </w:r>
      <w:r>
        <w:rPr>
          <w:szCs w:val="27"/>
        </w:rPr>
        <w:t xml:space="preserve"> the </w:t>
      </w:r>
      <w:r w:rsidR="00660721">
        <w:rPr>
          <w:szCs w:val="27"/>
        </w:rPr>
        <w:t xml:space="preserve">court </w:t>
      </w:r>
      <w:r w:rsidR="004B31D3">
        <w:rPr>
          <w:szCs w:val="27"/>
        </w:rPr>
        <w:t>may</w:t>
      </w:r>
      <w:r>
        <w:rPr>
          <w:szCs w:val="27"/>
        </w:rPr>
        <w:t xml:space="preserve"> dismiss</w:t>
      </w:r>
      <w:r w:rsidR="00660721">
        <w:rPr>
          <w:szCs w:val="27"/>
        </w:rPr>
        <w:t xml:space="preserve"> the matter</w:t>
      </w:r>
      <w:r>
        <w:rPr>
          <w:szCs w:val="27"/>
        </w:rPr>
        <w:t xml:space="preserve">. </w:t>
      </w:r>
      <w:r>
        <w:rPr>
          <w:rStyle w:val="CommentReference"/>
        </w:rPr>
        <w:t xml:space="preserve"> </w:t>
      </w:r>
      <w:r>
        <w:rPr>
          <w:szCs w:val="27"/>
        </w:rPr>
        <w:t>(</w:t>
      </w:r>
      <w:r>
        <w:rPr>
          <w:i/>
          <w:iCs/>
          <w:szCs w:val="27"/>
        </w:rPr>
        <w:t>Scott, supra</w:t>
      </w:r>
      <w:r>
        <w:rPr>
          <w:szCs w:val="27"/>
        </w:rPr>
        <w:t xml:space="preserve">, 58 Cal.App.5th at p. 1131, review granted; </w:t>
      </w:r>
      <w:r>
        <w:rPr>
          <w:i/>
          <w:iCs/>
          <w:szCs w:val="27"/>
        </w:rPr>
        <w:t>Serrano, supra</w:t>
      </w:r>
      <w:r>
        <w:rPr>
          <w:szCs w:val="27"/>
        </w:rPr>
        <w:t xml:space="preserve">, 211 Cal.App.4th at p. 503; </w:t>
      </w:r>
      <w:r>
        <w:rPr>
          <w:i/>
          <w:iCs/>
          <w:szCs w:val="27"/>
        </w:rPr>
        <w:t>Cole, supra</w:t>
      </w:r>
      <w:r>
        <w:rPr>
          <w:szCs w:val="27"/>
        </w:rPr>
        <w:t xml:space="preserve">, 52 Cal.App.5th at p. 1039, review granted; </w:t>
      </w:r>
      <w:r>
        <w:rPr>
          <w:i/>
          <w:iCs/>
          <w:szCs w:val="27"/>
        </w:rPr>
        <w:t>Figueras, supra</w:t>
      </w:r>
      <w:r>
        <w:rPr>
          <w:szCs w:val="27"/>
        </w:rPr>
        <w:t xml:space="preserve">, 61 Cal.App.5th at p. 112, review granted.)  </w:t>
      </w:r>
    </w:p>
    <w:p w14:paraId="4FF3E51B" w14:textId="60BEBC2A" w:rsidR="002C4C36" w:rsidRPr="000D10C0" w:rsidRDefault="002C4C36" w:rsidP="002C4C36">
      <w:pPr>
        <w:tabs>
          <w:tab w:val="left" w:pos="1440"/>
        </w:tabs>
        <w:ind w:firstLine="720"/>
      </w:pPr>
      <w:r>
        <w:t>If the defendant subsequently files a supplemental brief or letter, the Court of Appeal is required to evaluate the specific arguments presented in that brief and to issue a written opinion.  The filing of a supplemental brief or letter does not compel an independent review of the entire record to identify unraised issues.  (</w:t>
      </w:r>
      <w:r>
        <w:rPr>
          <w:i/>
          <w:iCs/>
        </w:rPr>
        <w:t>Cole</w:t>
      </w:r>
      <w:r>
        <w:t xml:space="preserve">, </w:t>
      </w:r>
      <w:r w:rsidR="00D2700D">
        <w:rPr>
          <w:i/>
          <w:iCs/>
          <w:szCs w:val="27"/>
        </w:rPr>
        <w:t>supra</w:t>
      </w:r>
      <w:r w:rsidR="00D2700D">
        <w:rPr>
          <w:szCs w:val="27"/>
        </w:rPr>
        <w:t xml:space="preserve">, 52 Cal.App.5th </w:t>
      </w:r>
      <w:r>
        <w:t>at p. 1028</w:t>
      </w:r>
      <w:r w:rsidR="00C42063">
        <w:t>, review granted</w:t>
      </w:r>
      <w:r>
        <w:t xml:space="preserve">; </w:t>
      </w:r>
      <w:r>
        <w:rPr>
          <w:i/>
          <w:iCs/>
        </w:rPr>
        <w:t>Figueras, supra</w:t>
      </w:r>
      <w:r>
        <w:t xml:space="preserve">, 61 Cal.App.5th at p. 113, review granted.)  </w:t>
      </w:r>
      <w:bookmarkStart w:id="12" w:name="_Hlk97038370"/>
      <w:r w:rsidR="00CB6082">
        <w:t>I</w:t>
      </w:r>
      <w:r>
        <w:t xml:space="preserve">f the defendant does not file a supplemental brief or letter, the Court of Appeal may dismiss the appeal as abandoned.  </w:t>
      </w:r>
      <w:bookmarkEnd w:id="12"/>
      <w:r>
        <w:t>(</w:t>
      </w:r>
      <w:r>
        <w:rPr>
          <w:i/>
          <w:iCs/>
        </w:rPr>
        <w:t xml:space="preserve">Serrano, supra, </w:t>
      </w:r>
      <w:r>
        <w:t>211 Cal.App.4th at pp. 503–504</w:t>
      </w:r>
      <w:r>
        <w:rPr>
          <w:szCs w:val="27"/>
        </w:rPr>
        <w:t>.)</w:t>
      </w:r>
      <w:r>
        <w:t xml:space="preserve">  If the appeal is dismissed as abandoned, the Court of Appeal does not need to write an opinion</w:t>
      </w:r>
      <w:r>
        <w:rPr>
          <w:szCs w:val="27"/>
        </w:rPr>
        <w:t xml:space="preserve"> but should notify the defendant</w:t>
      </w:r>
      <w:r>
        <w:t xml:space="preserve"> when </w:t>
      </w:r>
      <w:r>
        <w:rPr>
          <w:szCs w:val="27"/>
        </w:rPr>
        <w:t xml:space="preserve">it dismisses </w:t>
      </w:r>
      <w:r>
        <w:t xml:space="preserve">the </w:t>
      </w:r>
      <w:r>
        <w:rPr>
          <w:szCs w:val="27"/>
        </w:rPr>
        <w:t>matter</w:t>
      </w:r>
      <w:r>
        <w:t>.  (</w:t>
      </w:r>
      <w:r>
        <w:rPr>
          <w:i/>
          <w:iCs/>
        </w:rPr>
        <w:t>Ben C.,</w:t>
      </w:r>
      <w:r w:rsidR="0002255A">
        <w:rPr>
          <w:i/>
          <w:iCs/>
        </w:rPr>
        <w:t xml:space="preserve"> supra</w:t>
      </w:r>
      <w:r w:rsidR="0002255A">
        <w:t>, 40 Cal.4th</w:t>
      </w:r>
      <w:r>
        <w:rPr>
          <w:i/>
          <w:iCs/>
        </w:rPr>
        <w:t xml:space="preserve"> </w:t>
      </w:r>
      <w:r>
        <w:t xml:space="preserve">at p. 544.)  </w:t>
      </w:r>
      <w:r>
        <w:rPr>
          <w:szCs w:val="27"/>
        </w:rPr>
        <w:t>While it is wholly within the court’s discretion</w:t>
      </w:r>
      <w:r>
        <w:t xml:space="preserve">, the Court of Appeal </w:t>
      </w:r>
      <w:r>
        <w:rPr>
          <w:szCs w:val="27"/>
        </w:rPr>
        <w:t>is</w:t>
      </w:r>
      <w:r>
        <w:t xml:space="preserve"> not </w:t>
      </w:r>
      <w:r>
        <w:rPr>
          <w:szCs w:val="27"/>
        </w:rPr>
        <w:t xml:space="preserve">barred from </w:t>
      </w:r>
      <w:r>
        <w:t>conduct</w:t>
      </w:r>
      <w:r w:rsidR="00CB6082">
        <w:t>ing</w:t>
      </w:r>
      <w:r>
        <w:t xml:space="preserve"> its own independent review of the record in </w:t>
      </w:r>
      <w:r>
        <w:rPr>
          <w:szCs w:val="27"/>
        </w:rPr>
        <w:t>an</w:t>
      </w:r>
      <w:r w:rsidR="00CB6082">
        <w:rPr>
          <w:szCs w:val="27"/>
        </w:rPr>
        <w:t>y</w:t>
      </w:r>
      <w:r>
        <w:rPr>
          <w:szCs w:val="27"/>
        </w:rPr>
        <w:t xml:space="preserve"> individual section 1172.6 appeal.</w:t>
      </w:r>
      <w:r>
        <w:t xml:space="preserve"> </w:t>
      </w:r>
      <w:r w:rsidR="00127A75">
        <w:t xml:space="preserve"> </w:t>
      </w:r>
      <w:r>
        <w:t>(</w:t>
      </w:r>
      <w:r>
        <w:rPr>
          <w:i/>
          <w:iCs/>
        </w:rPr>
        <w:t>Scott, supra</w:t>
      </w:r>
      <w:r>
        <w:t xml:space="preserve">, 58 Cal.App.5th at p. 1131, review granted; </w:t>
      </w:r>
      <w:r>
        <w:rPr>
          <w:i/>
          <w:iCs/>
        </w:rPr>
        <w:t xml:space="preserve">Figueras, </w:t>
      </w:r>
      <w:r>
        <w:t>at p. 113, fn. 2, review granted.)</w:t>
      </w:r>
    </w:p>
    <w:p w14:paraId="3F8E049C" w14:textId="6EDAEADC" w:rsidR="00FA773B" w:rsidRPr="000D10C0" w:rsidRDefault="002C4C36" w:rsidP="005B1447">
      <w:pPr>
        <w:tabs>
          <w:tab w:val="left" w:pos="1440"/>
        </w:tabs>
        <w:ind w:firstLine="720"/>
      </w:pPr>
      <w:bookmarkStart w:id="13" w:name="_Hlk94704619"/>
      <w:r>
        <w:rPr>
          <w:szCs w:val="27"/>
        </w:rPr>
        <w:t>The procedures announced here, however, are not intended to be exhaustive</w:t>
      </w:r>
      <w:r w:rsidR="00820442">
        <w:rPr>
          <w:szCs w:val="27"/>
        </w:rPr>
        <w:t>,</w:t>
      </w:r>
      <w:r>
        <w:rPr>
          <w:szCs w:val="27"/>
        </w:rPr>
        <w:t xml:space="preserve"> and the Courts of Appeal are</w:t>
      </w:r>
      <w:r>
        <w:t xml:space="preserve"> well suited to identify </w:t>
      </w:r>
      <w:r>
        <w:rPr>
          <w:szCs w:val="27"/>
        </w:rPr>
        <w:t>any additional</w:t>
      </w:r>
      <w:r>
        <w:t xml:space="preserve"> procedures for counsel and courts to follow in postconviction appeals where counsel finds no </w:t>
      </w:r>
      <w:r>
        <w:lastRenderedPageBreak/>
        <w:t>arguable issues</w:t>
      </w:r>
      <w:bookmarkEnd w:id="13"/>
      <w:r>
        <w:t xml:space="preserve">.  </w:t>
      </w:r>
      <w:r w:rsidR="00315604">
        <w:t>The Courts of Appeal are free to adopt additional procedures as they see fit.</w:t>
      </w:r>
    </w:p>
    <w:bookmarkEnd w:id="10"/>
    <w:bookmarkEnd w:id="11"/>
    <w:p w14:paraId="374FF26F" w14:textId="77777777" w:rsidR="00060EF0" w:rsidRPr="000D10C0" w:rsidRDefault="00060EF0" w:rsidP="000D10C0">
      <w:pPr>
        <w:pStyle w:val="ListParagraph"/>
        <w:numPr>
          <w:ilvl w:val="0"/>
          <w:numId w:val="2"/>
        </w:numPr>
        <w:tabs>
          <w:tab w:val="left" w:pos="1440"/>
        </w:tabs>
        <w:rPr>
          <w:b/>
          <w:bCs/>
        </w:rPr>
      </w:pPr>
      <w:r w:rsidRPr="000D10C0">
        <w:rPr>
          <w:b/>
          <w:bCs/>
        </w:rPr>
        <w:t>Notice of the Procedures the Court of Appeal Employed</w:t>
      </w:r>
    </w:p>
    <w:p w14:paraId="59C0B3F8" w14:textId="58DB837B" w:rsidR="002C4C36" w:rsidRPr="000D10C0" w:rsidRDefault="002C4C36" w:rsidP="002C4C36">
      <w:pPr>
        <w:tabs>
          <w:tab w:val="left" w:pos="1440"/>
        </w:tabs>
        <w:ind w:firstLine="720"/>
      </w:pPr>
      <w:r>
        <w:t xml:space="preserve">Delgadillo argues the Court of Appeal provided inadequate notice of its procedures in violation of due process within the meaning of the Fourteenth Amendment.  He contends that the court should have notified his counsel that involuntary dismissal was being considered and requested briefing on that issue.  The Attorney General counters that Delgadillo had adequate notice and every reason to anticipate that his appeal could be dismissed. </w:t>
      </w:r>
    </w:p>
    <w:p w14:paraId="31E2FE1F" w14:textId="40374DBA" w:rsidR="00B52D59" w:rsidRDefault="002C4C36" w:rsidP="000D10C0">
      <w:pPr>
        <w:tabs>
          <w:tab w:val="left" w:pos="1440"/>
        </w:tabs>
        <w:ind w:firstLine="720"/>
      </w:pPr>
      <w:r>
        <w:rPr>
          <w:szCs w:val="27"/>
        </w:rPr>
        <w:t>We</w:t>
      </w:r>
      <w:r>
        <w:t xml:space="preserve"> </w:t>
      </w:r>
      <w:r w:rsidR="00EC4CCC">
        <w:t xml:space="preserve">conclude that </w:t>
      </w:r>
      <w:r>
        <w:t xml:space="preserve">the notice provided in this case </w:t>
      </w:r>
      <w:r w:rsidR="00127A75">
        <w:t xml:space="preserve">was </w:t>
      </w:r>
      <w:r w:rsidR="000903F6">
        <w:rPr>
          <w:szCs w:val="27"/>
        </w:rPr>
        <w:t>suboptimal</w:t>
      </w:r>
      <w:r>
        <w:t xml:space="preserve">. </w:t>
      </w:r>
      <w:r w:rsidR="00465600" w:rsidRPr="000D10C0">
        <w:t xml:space="preserve">Delgadillo’s counsel </w:t>
      </w:r>
      <w:r w:rsidR="004C5151" w:rsidRPr="000D10C0">
        <w:t>did file</w:t>
      </w:r>
      <w:r w:rsidR="00465600" w:rsidRPr="000D10C0">
        <w:t xml:space="preserve"> a brief raising no </w:t>
      </w:r>
      <w:r w:rsidR="00C6028B" w:rsidRPr="000D10C0">
        <w:t xml:space="preserve">arguable </w:t>
      </w:r>
      <w:r w:rsidR="00465600" w:rsidRPr="000D10C0">
        <w:t>issues</w:t>
      </w:r>
      <w:r w:rsidR="004C5151" w:rsidRPr="000D10C0">
        <w:t xml:space="preserve">.  The Court of Appeal also sent </w:t>
      </w:r>
      <w:r w:rsidR="00465600" w:rsidRPr="000D10C0">
        <w:t>Delgadillo notice of his right to file a supplemental brief</w:t>
      </w:r>
      <w:r w:rsidR="00937C6A">
        <w:t>,</w:t>
      </w:r>
      <w:r w:rsidR="00465600" w:rsidRPr="000D10C0">
        <w:t xml:space="preserve"> </w:t>
      </w:r>
      <w:r w:rsidR="004C5151" w:rsidRPr="000D10C0">
        <w:t xml:space="preserve">and yet he </w:t>
      </w:r>
      <w:r w:rsidR="00465600" w:rsidRPr="000D10C0">
        <w:t>declined to do so.</w:t>
      </w:r>
      <w:r w:rsidR="00BE65F8" w:rsidRPr="000D10C0">
        <w:t xml:space="preserve"> </w:t>
      </w:r>
      <w:r w:rsidR="00465600" w:rsidRPr="000D10C0">
        <w:t xml:space="preserve"> H</w:t>
      </w:r>
      <w:r w:rsidR="00BE65F8" w:rsidRPr="000D10C0">
        <w:t>owever,</w:t>
      </w:r>
      <w:r w:rsidR="00583BDD" w:rsidRPr="000D10C0">
        <w:t xml:space="preserve"> </w:t>
      </w:r>
      <w:r w:rsidR="00BE65F8" w:rsidRPr="000D10C0">
        <w:t xml:space="preserve">the notice </w:t>
      </w:r>
      <w:r w:rsidR="00465600" w:rsidRPr="000D10C0">
        <w:t>the Court of Appeal sent Delgad</w:t>
      </w:r>
      <w:r w:rsidR="004C5151" w:rsidRPr="000D10C0">
        <w:t>i</w:t>
      </w:r>
      <w:r w:rsidR="00465600" w:rsidRPr="000D10C0">
        <w:t xml:space="preserve">llo </w:t>
      </w:r>
      <w:r w:rsidR="002F30F6" w:rsidRPr="000D10C0">
        <w:t xml:space="preserve">and counsel </w:t>
      </w:r>
      <w:r w:rsidR="00583BDD" w:rsidRPr="000D10C0">
        <w:t xml:space="preserve">affirmatively cited </w:t>
      </w:r>
      <w:r w:rsidR="00583BDD" w:rsidRPr="000D10C0">
        <w:rPr>
          <w:i/>
          <w:iCs/>
        </w:rPr>
        <w:t>Wende</w:t>
      </w:r>
      <w:r w:rsidR="007B5746" w:rsidRPr="000D10C0">
        <w:t xml:space="preserve"> after Delgadillo’s counsel had filed a brief pursuant to </w:t>
      </w:r>
      <w:r w:rsidR="007B5746" w:rsidRPr="000D10C0">
        <w:rPr>
          <w:i/>
          <w:iCs/>
        </w:rPr>
        <w:t>Wende</w:t>
      </w:r>
      <w:r w:rsidR="00951D0F" w:rsidRPr="000D10C0">
        <w:rPr>
          <w:i/>
          <w:iCs/>
        </w:rPr>
        <w:t xml:space="preserve">.  </w:t>
      </w:r>
      <w:r w:rsidR="00A360F7" w:rsidRPr="000D10C0">
        <w:t>The</w:t>
      </w:r>
      <w:r w:rsidR="00951D0F" w:rsidRPr="000D10C0">
        <w:t xml:space="preserve"> court advised </w:t>
      </w:r>
      <w:r w:rsidR="00332D9F">
        <w:t xml:space="preserve">Delgadillo </w:t>
      </w:r>
      <w:r w:rsidR="00951D0F" w:rsidRPr="000D10C0">
        <w:t>by letter that</w:t>
      </w:r>
      <w:r w:rsidR="00951D0F" w:rsidRPr="000D10C0">
        <w:rPr>
          <w:i/>
          <w:iCs/>
        </w:rPr>
        <w:t xml:space="preserve"> </w:t>
      </w:r>
      <w:r w:rsidR="00951D0F" w:rsidRPr="000D10C0">
        <w:t>“[c]ounsel appointed to represent appellant on appeal has filed appellant’s opening brief.  Counsel’s inability to find any arguable issues may be readily inferred from the failure to raise any.  (</w:t>
      </w:r>
      <w:r w:rsidR="00951D0F" w:rsidRPr="000D10C0">
        <w:rPr>
          <w:i/>
          <w:iCs/>
        </w:rPr>
        <w:t>People v. Wende</w:t>
      </w:r>
      <w:r w:rsidR="009425DE">
        <w:t xml:space="preserve">[, </w:t>
      </w:r>
      <w:r w:rsidR="009425DE">
        <w:rPr>
          <w:i/>
          <w:iCs/>
        </w:rPr>
        <w:t>supra</w:t>
      </w:r>
      <w:r w:rsidR="009425DE">
        <w:t xml:space="preserve">, ] </w:t>
      </w:r>
      <w:r w:rsidR="00951D0F" w:rsidRPr="000D10C0">
        <w:t>25</w:t>
      </w:r>
      <w:r w:rsidR="007A3EF4" w:rsidRPr="000D10C0">
        <w:t> </w:t>
      </w:r>
      <w:r w:rsidR="00951D0F" w:rsidRPr="000D10C0">
        <w:t xml:space="preserve">Cal.3d </w:t>
      </w:r>
      <w:r w:rsidR="009425DE">
        <w:t>[at p.]</w:t>
      </w:r>
      <w:r w:rsidR="00951D0F" w:rsidRPr="000D10C0">
        <w:t xml:space="preserve"> 442.)”</w:t>
      </w:r>
      <w:r w:rsidR="007B5746" w:rsidRPr="000D10C0">
        <w:t xml:space="preserve">  </w:t>
      </w:r>
      <w:r w:rsidR="0024606F" w:rsidRPr="000D10C0">
        <w:t xml:space="preserve">This notice directly implicates the core holding of </w:t>
      </w:r>
      <w:r w:rsidR="0024606F" w:rsidRPr="000D10C0">
        <w:rPr>
          <w:i/>
          <w:iCs/>
        </w:rPr>
        <w:t>Wende</w:t>
      </w:r>
      <w:r w:rsidR="0024606F" w:rsidRPr="000D10C0">
        <w:t xml:space="preserve">: </w:t>
      </w:r>
      <w:r w:rsidR="00937C6A">
        <w:t xml:space="preserve"> </w:t>
      </w:r>
      <w:r w:rsidR="0024606F" w:rsidRPr="000D10C0">
        <w:t xml:space="preserve">“We conclude that </w:t>
      </w:r>
      <w:r w:rsidR="0024606F" w:rsidRPr="000D10C0">
        <w:rPr>
          <w:i/>
          <w:iCs/>
        </w:rPr>
        <w:t>Anders</w:t>
      </w:r>
      <w:r w:rsidR="0024606F" w:rsidRPr="000D10C0">
        <w:t xml:space="preserve"> requires the court to conduct a review of the entire record whenever appointed counsel submits a brief which raises no specific issues or describes the appeal as frivolous. </w:t>
      </w:r>
      <w:r w:rsidR="00254F58" w:rsidRPr="000D10C0">
        <w:t xml:space="preserve"> </w:t>
      </w:r>
      <w:r w:rsidR="0024606F" w:rsidRPr="000D10C0">
        <w:t xml:space="preserve">This obligation is triggered by the receipt of such a brief from counsel and does not depend on the subsequent receipt of a brief from the defendant personally.”  </w:t>
      </w:r>
      <w:r w:rsidR="0024606F" w:rsidRPr="000D10C0">
        <w:lastRenderedPageBreak/>
        <w:t>(</w:t>
      </w:r>
      <w:r w:rsidR="0024606F" w:rsidRPr="000D10C0">
        <w:rPr>
          <w:i/>
          <w:iCs/>
        </w:rPr>
        <w:t xml:space="preserve">Wende, </w:t>
      </w:r>
      <w:r w:rsidR="0024606F" w:rsidRPr="000D10C0">
        <w:t>at pp.</w:t>
      </w:r>
      <w:r w:rsidR="00B83F2E" w:rsidRPr="000D10C0">
        <w:t> </w:t>
      </w:r>
      <w:r w:rsidR="0024606F" w:rsidRPr="000D10C0">
        <w:t xml:space="preserve">441–442.)  </w:t>
      </w:r>
      <w:r w:rsidR="00332D9F">
        <w:t>Delgadillo reasonably could have concluded from this</w:t>
      </w:r>
      <w:r w:rsidR="0024606F" w:rsidRPr="000D10C0">
        <w:t xml:space="preserve"> </w:t>
      </w:r>
      <w:r w:rsidR="003F371F" w:rsidRPr="000D10C0">
        <w:t xml:space="preserve">notice </w:t>
      </w:r>
      <w:r w:rsidR="00BE65F8" w:rsidRPr="000D10C0">
        <w:t xml:space="preserve">that the </w:t>
      </w:r>
      <w:r w:rsidR="00BE65F8" w:rsidRPr="000D10C0">
        <w:rPr>
          <w:i/>
          <w:iCs/>
        </w:rPr>
        <w:t>Wende</w:t>
      </w:r>
      <w:r w:rsidR="00BE65F8" w:rsidRPr="000D10C0">
        <w:t xml:space="preserve"> procedures</w:t>
      </w:r>
      <w:r w:rsidR="00E834D4" w:rsidRPr="000D10C0">
        <w:t xml:space="preserve"> </w:t>
      </w:r>
      <w:r w:rsidR="00332D9F">
        <w:t xml:space="preserve">would apply </w:t>
      </w:r>
      <w:r w:rsidR="00E834D4" w:rsidRPr="000D10C0">
        <w:t>and</w:t>
      </w:r>
      <w:r w:rsidR="00FE36DF" w:rsidRPr="000D10C0">
        <w:t xml:space="preserve"> </w:t>
      </w:r>
      <w:r w:rsidR="00332D9F">
        <w:t xml:space="preserve">that the Court of Appeal would conduct </w:t>
      </w:r>
      <w:r w:rsidR="00FE36DF" w:rsidRPr="000D10C0">
        <w:t xml:space="preserve">an </w:t>
      </w:r>
      <w:r w:rsidR="00E834D4" w:rsidRPr="000D10C0">
        <w:t>independent</w:t>
      </w:r>
      <w:r w:rsidR="00FE36DF" w:rsidRPr="000D10C0">
        <w:t xml:space="preserve"> review of the record</w:t>
      </w:r>
      <w:r w:rsidR="00E834D4" w:rsidRPr="000D10C0">
        <w:t>,</w:t>
      </w:r>
      <w:r w:rsidR="00FE36DF" w:rsidRPr="000D10C0">
        <w:t xml:space="preserve"> even absent a supplemental brief</w:t>
      </w:r>
      <w:r w:rsidR="00820442">
        <w:t> </w:t>
      </w:r>
      <w:r w:rsidR="00332D9F">
        <w:t xml:space="preserve">— </w:t>
      </w:r>
      <w:r w:rsidR="00583BDD" w:rsidRPr="000D10C0">
        <w:t>even though</w:t>
      </w:r>
      <w:r w:rsidR="00BE65F8" w:rsidRPr="000D10C0">
        <w:t xml:space="preserve"> </w:t>
      </w:r>
      <w:r w:rsidR="00232D31" w:rsidRPr="000D10C0">
        <w:t xml:space="preserve">the Court of Appeal </w:t>
      </w:r>
      <w:r w:rsidR="004C5151" w:rsidRPr="000D10C0">
        <w:t>later</w:t>
      </w:r>
      <w:r w:rsidR="00232D31" w:rsidRPr="000D10C0">
        <w:t xml:space="preserve"> determined</w:t>
      </w:r>
      <w:r w:rsidR="00841F8E" w:rsidRPr="000D10C0">
        <w:t>, without providing an opportunity to be heard on the matter,</w:t>
      </w:r>
      <w:r w:rsidR="00232D31" w:rsidRPr="000D10C0">
        <w:t xml:space="preserve"> that </w:t>
      </w:r>
      <w:r w:rsidR="00332D9F" w:rsidRPr="003475F3">
        <w:rPr>
          <w:i/>
          <w:iCs/>
        </w:rPr>
        <w:t>Wende</w:t>
      </w:r>
      <w:r w:rsidR="00332D9F">
        <w:t xml:space="preserve"> was inapplicable</w:t>
      </w:r>
      <w:r w:rsidR="007B5746" w:rsidRPr="000D10C0">
        <w:t xml:space="preserve">. </w:t>
      </w:r>
      <w:r w:rsidR="00BE65F8" w:rsidRPr="000D10C0">
        <w:t xml:space="preserve"> </w:t>
      </w:r>
      <w:r w:rsidR="007B5746" w:rsidRPr="000D10C0">
        <w:t>The notice further</w:t>
      </w:r>
      <w:r w:rsidR="00BE65F8" w:rsidRPr="000D10C0">
        <w:t xml:space="preserve"> did not inform </w:t>
      </w:r>
      <w:r w:rsidR="007B5746" w:rsidRPr="000D10C0">
        <w:t>Delgadillo</w:t>
      </w:r>
      <w:r w:rsidR="00BE65F8" w:rsidRPr="000D10C0">
        <w:t xml:space="preserve"> that the appeal would be dismissed as abandoned if no supplemental brief or letter </w:t>
      </w:r>
      <w:r w:rsidR="00182D9E">
        <w:t>were</w:t>
      </w:r>
      <w:r w:rsidR="00BE65F8" w:rsidRPr="000D10C0">
        <w:t xml:space="preserve"> filed. </w:t>
      </w:r>
      <w:r w:rsidR="00686A62" w:rsidRPr="000D10C0">
        <w:t xml:space="preserve"> </w:t>
      </w:r>
      <w:r w:rsidR="00B52D59">
        <w:t xml:space="preserve">While arguing that the notice was adequate, the Attorney General concedes that the court should ordinarily “give the appellant clear notice that the court will dismiss the appeal as abandoned if no supplemental brief is received.”  We therefore </w:t>
      </w:r>
      <w:r w:rsidR="00332D9F">
        <w:t xml:space="preserve">conclude </w:t>
      </w:r>
      <w:r w:rsidR="00B52D59">
        <w:t xml:space="preserve">that the notice in this case </w:t>
      </w:r>
      <w:r w:rsidR="00332D9F">
        <w:t xml:space="preserve">was </w:t>
      </w:r>
      <w:r w:rsidR="000903F6">
        <w:rPr>
          <w:szCs w:val="27"/>
        </w:rPr>
        <w:t>suboptimal</w:t>
      </w:r>
      <w:r w:rsidR="00B52D59">
        <w:t xml:space="preserve">.  </w:t>
      </w:r>
    </w:p>
    <w:p w14:paraId="30BB7111" w14:textId="089AE0A5" w:rsidR="00B52D59" w:rsidRPr="000D10C0" w:rsidRDefault="00B52D59" w:rsidP="00B52D59">
      <w:pPr>
        <w:tabs>
          <w:tab w:val="left" w:pos="1440"/>
        </w:tabs>
        <w:ind w:firstLine="720"/>
        <w:rPr>
          <w:szCs w:val="27"/>
        </w:rPr>
      </w:pPr>
      <w:r>
        <w:rPr>
          <w:szCs w:val="27"/>
        </w:rPr>
        <w:t xml:space="preserve">Nevertheless, we determine, based on our independent review of the record, that Delgadillo is not entitled to any relief under section 1172.6.  Indeed, the record here makes clear that Delgadillo was the actual killer and the only participant in the killing.  Specifically, eyewitnesses identified him as the driver of a Ford Explorer that crossed into incoming traffic and crashed into another vehicle, killing the passenger.  At trial, defense counsel conceded that the accident occurred while Delgadillo was driving on the wrong side of the road.  (See § 1172.6, subd. (a) [“A person convicted of felony murder or murder under the natural and probable consequences doctrine or other theory under which malice is imputed to a person based solely on that person’s participation in a crime, attempted murder under the natural and probable consequences doctrine, or manslaughter may file a petition with the court” to have the conviction vacated].)  We affirm the Court of Appeal’s holding that </w:t>
      </w:r>
      <w:r>
        <w:rPr>
          <w:i/>
          <w:iCs/>
          <w:szCs w:val="27"/>
        </w:rPr>
        <w:t>Wende</w:t>
      </w:r>
      <w:r>
        <w:rPr>
          <w:szCs w:val="27"/>
        </w:rPr>
        <w:t xml:space="preserve"> </w:t>
      </w:r>
      <w:r>
        <w:rPr>
          <w:szCs w:val="27"/>
        </w:rPr>
        <w:lastRenderedPageBreak/>
        <w:t>procedures are not constitutionally compelled on Delgadillo’s appeal.</w:t>
      </w:r>
      <w:r>
        <w:rPr>
          <w:rStyle w:val="FootnoteReference"/>
        </w:rPr>
        <w:footnoteReference w:id="7"/>
      </w:r>
    </w:p>
    <w:p w14:paraId="6E4D836C" w14:textId="4A68FB11" w:rsidR="00050906" w:rsidRPr="00B52D59" w:rsidRDefault="00686A62" w:rsidP="00B52D59">
      <w:pPr>
        <w:tabs>
          <w:tab w:val="left" w:pos="1440"/>
        </w:tabs>
        <w:jc w:val="center"/>
        <w:rPr>
          <w:b/>
          <w:bCs/>
          <w:smallCaps/>
        </w:rPr>
      </w:pPr>
      <w:r w:rsidRPr="00B52D59">
        <w:rPr>
          <w:b/>
          <w:bCs/>
          <w:smallCaps/>
        </w:rPr>
        <w:t>III.  Disposition</w:t>
      </w:r>
    </w:p>
    <w:p w14:paraId="38E46E05" w14:textId="05FC3A14" w:rsidR="00B52D59" w:rsidRPr="000D10C0" w:rsidRDefault="00B52D59" w:rsidP="00B52D59">
      <w:pPr>
        <w:tabs>
          <w:tab w:val="left" w:pos="1440"/>
        </w:tabs>
        <w:ind w:firstLine="720"/>
      </w:pPr>
      <w:r>
        <w:t xml:space="preserve">For the reasons discussed above, the judgment of the Court of Appeal </w:t>
      </w:r>
      <w:r>
        <w:rPr>
          <w:szCs w:val="27"/>
        </w:rPr>
        <w:t>is affirmed</w:t>
      </w:r>
      <w:r>
        <w:t>.</w:t>
      </w:r>
    </w:p>
    <w:p w14:paraId="29A8203D" w14:textId="31E98E91" w:rsidR="0001512F" w:rsidRPr="000D10C0" w:rsidRDefault="0001512F" w:rsidP="000D10C0">
      <w:pPr>
        <w:tabs>
          <w:tab w:val="left" w:pos="1440"/>
        </w:tabs>
      </w:pPr>
    </w:p>
    <w:p w14:paraId="53984FF7" w14:textId="5E3DF52E" w:rsidR="001708B1" w:rsidRDefault="004D40F4" w:rsidP="00B52D59">
      <w:pPr>
        <w:pStyle w:val="FootnoteText"/>
        <w:spacing w:line="400" w:lineRule="exact"/>
        <w:rPr>
          <w:b/>
          <w:szCs w:val="26"/>
        </w:rPr>
      </w:pPr>
      <w:r w:rsidRPr="000D10C0">
        <w:rPr>
          <w:szCs w:val="26"/>
        </w:rPr>
        <w:tab/>
      </w:r>
      <w:r w:rsidRPr="000D10C0">
        <w:rPr>
          <w:szCs w:val="26"/>
        </w:rPr>
        <w:tab/>
      </w:r>
      <w:r w:rsidRPr="000D10C0">
        <w:rPr>
          <w:szCs w:val="26"/>
        </w:rPr>
        <w:tab/>
      </w:r>
      <w:r w:rsidRPr="000D10C0">
        <w:rPr>
          <w:szCs w:val="26"/>
        </w:rPr>
        <w:tab/>
      </w:r>
      <w:r w:rsidRPr="000D10C0">
        <w:rPr>
          <w:szCs w:val="26"/>
        </w:rPr>
        <w:tab/>
      </w:r>
      <w:r w:rsidRPr="000D10C0">
        <w:rPr>
          <w:b/>
          <w:szCs w:val="26"/>
        </w:rPr>
        <w:tab/>
      </w:r>
      <w:r w:rsidRPr="000D10C0">
        <w:rPr>
          <w:b/>
          <w:szCs w:val="26"/>
        </w:rPr>
        <w:tab/>
      </w:r>
      <w:r w:rsidR="00B34FB1" w:rsidRPr="000D10C0">
        <w:rPr>
          <w:b/>
          <w:szCs w:val="26"/>
        </w:rPr>
        <w:tab/>
      </w:r>
      <w:r w:rsidRPr="000D10C0">
        <w:rPr>
          <w:b/>
          <w:szCs w:val="26"/>
        </w:rPr>
        <w:t>GROBAN, J.</w:t>
      </w:r>
    </w:p>
    <w:p w14:paraId="09F3D98E" w14:textId="6AEDC904" w:rsidR="00DD20AC" w:rsidRDefault="00DD20AC" w:rsidP="00B52D59">
      <w:pPr>
        <w:pStyle w:val="FootnoteText"/>
        <w:spacing w:line="400" w:lineRule="exact"/>
        <w:rPr>
          <w:b/>
          <w:szCs w:val="26"/>
        </w:rPr>
      </w:pPr>
    </w:p>
    <w:p w14:paraId="3F4593A4" w14:textId="6B3DD7B6" w:rsidR="00DD20AC" w:rsidRDefault="00DD20AC" w:rsidP="00B52D59">
      <w:pPr>
        <w:pStyle w:val="FootnoteText"/>
        <w:spacing w:line="400" w:lineRule="exact"/>
        <w:rPr>
          <w:b/>
          <w:szCs w:val="26"/>
        </w:rPr>
      </w:pPr>
    </w:p>
    <w:p w14:paraId="3622873A" w14:textId="77777777" w:rsidR="00DD20AC" w:rsidRDefault="00DD20AC" w:rsidP="00DD20AC">
      <w:pPr>
        <w:rPr>
          <w:b/>
          <w:bCs/>
        </w:rPr>
      </w:pPr>
      <w:r w:rsidRPr="00A77EA8">
        <w:rPr>
          <w:b/>
          <w:bCs/>
        </w:rPr>
        <w:t>We Concur:</w:t>
      </w:r>
    </w:p>
    <w:p w14:paraId="65AA825A" w14:textId="2926CE56" w:rsidR="00DD20AC" w:rsidRDefault="00DD20AC" w:rsidP="00DD20AC">
      <w:pPr>
        <w:spacing w:after="0" w:line="240" w:lineRule="auto"/>
        <w:rPr>
          <w:rFonts w:ascii="Times New Roman" w:hAnsi="Times New Roman"/>
          <w:b/>
          <w:sz w:val="26"/>
          <w:szCs w:val="26"/>
        </w:rPr>
      </w:pPr>
      <w:r>
        <w:rPr>
          <w:b/>
          <w:szCs w:val="26"/>
        </w:rPr>
        <w:t>CANTIL-SAKAUYE, C.</w:t>
      </w:r>
      <w:r w:rsidR="00FE4C4B">
        <w:rPr>
          <w:b/>
          <w:szCs w:val="26"/>
        </w:rPr>
        <w:t> </w:t>
      </w:r>
      <w:r>
        <w:rPr>
          <w:b/>
          <w:szCs w:val="26"/>
        </w:rPr>
        <w:t>J.</w:t>
      </w:r>
    </w:p>
    <w:p w14:paraId="59579F12" w14:textId="4B1A5ABA" w:rsidR="00DD20AC" w:rsidRDefault="00DD20AC" w:rsidP="00DD20AC">
      <w:pPr>
        <w:spacing w:after="0" w:line="240" w:lineRule="auto"/>
        <w:rPr>
          <w:b/>
          <w:szCs w:val="26"/>
        </w:rPr>
      </w:pPr>
      <w:r>
        <w:rPr>
          <w:b/>
          <w:szCs w:val="26"/>
        </w:rPr>
        <w:t>CORRIGAN, J.</w:t>
      </w:r>
    </w:p>
    <w:p w14:paraId="4D17675D" w14:textId="3739FD46" w:rsidR="00DD20AC" w:rsidRDefault="00DD20AC" w:rsidP="00DD20AC">
      <w:pPr>
        <w:spacing w:after="0" w:line="240" w:lineRule="auto"/>
        <w:rPr>
          <w:b/>
          <w:szCs w:val="26"/>
        </w:rPr>
      </w:pPr>
      <w:r>
        <w:rPr>
          <w:b/>
          <w:szCs w:val="26"/>
        </w:rPr>
        <w:t>LIU, J.</w:t>
      </w:r>
    </w:p>
    <w:p w14:paraId="117E505B" w14:textId="77777777" w:rsidR="00DD20AC" w:rsidRDefault="00DD20AC" w:rsidP="00DD20AC">
      <w:pPr>
        <w:spacing w:after="0" w:line="240" w:lineRule="auto"/>
        <w:rPr>
          <w:b/>
        </w:rPr>
      </w:pPr>
      <w:r>
        <w:rPr>
          <w:b/>
        </w:rPr>
        <w:t>KRUGER, J.</w:t>
      </w:r>
    </w:p>
    <w:p w14:paraId="35DD6C3B" w14:textId="77777777" w:rsidR="00DD20AC" w:rsidRDefault="00DD20AC" w:rsidP="00DD20AC">
      <w:pPr>
        <w:spacing w:after="0" w:line="240" w:lineRule="auto"/>
        <w:rPr>
          <w:b/>
        </w:rPr>
      </w:pPr>
      <w:r>
        <w:rPr>
          <w:b/>
        </w:rPr>
        <w:t>JENKINS, J.</w:t>
      </w:r>
    </w:p>
    <w:p w14:paraId="0A8DDD9E" w14:textId="77777777" w:rsidR="00DD20AC" w:rsidRDefault="00DD20AC" w:rsidP="00DD20AC">
      <w:pPr>
        <w:spacing w:after="0" w:line="240" w:lineRule="auto"/>
        <w:rPr>
          <w:b/>
        </w:rPr>
      </w:pPr>
      <w:r>
        <w:rPr>
          <w:b/>
        </w:rPr>
        <w:t>GUERRERO, J.</w:t>
      </w:r>
    </w:p>
    <w:p w14:paraId="7F7BA321" w14:textId="77777777" w:rsidR="00DD20AC" w:rsidRPr="00BE060B" w:rsidRDefault="00DD20AC" w:rsidP="00DD20AC">
      <w:pPr>
        <w:spacing w:after="0" w:line="240" w:lineRule="auto"/>
        <w:rPr>
          <w:b/>
        </w:rPr>
      </w:pPr>
    </w:p>
    <w:p w14:paraId="3E8958DA" w14:textId="77777777" w:rsidR="00DD20AC" w:rsidRDefault="00DD20AC" w:rsidP="00B52D59">
      <w:pPr>
        <w:pStyle w:val="FootnoteText"/>
        <w:spacing w:line="400" w:lineRule="exact"/>
        <w:rPr>
          <w:b/>
          <w:szCs w:val="26"/>
        </w:rPr>
      </w:pPr>
    </w:p>
    <w:p w14:paraId="40A57931" w14:textId="77777777" w:rsidR="002E34B4" w:rsidRDefault="002E34B4" w:rsidP="001708B1">
      <w:pPr>
        <w:pStyle w:val="FootnoteText"/>
        <w:spacing w:line="240" w:lineRule="auto"/>
        <w:sectPr w:rsidR="002E34B4" w:rsidSect="008F50B4">
          <w:headerReference w:type="default" r:id="rId11"/>
          <w:footerReference w:type="first" r:id="rId12"/>
          <w:pgSz w:w="12240" w:h="15840"/>
          <w:pgMar w:top="1800" w:right="2160" w:bottom="1440" w:left="2160" w:header="720" w:footer="720" w:gutter="0"/>
          <w:pgNumType w:start="1"/>
          <w:cols w:space="720"/>
          <w:titlePg/>
          <w:docGrid w:linePitch="367"/>
        </w:sectPr>
      </w:pPr>
      <w:bookmarkStart w:id="14" w:name="date"/>
      <w:bookmarkEnd w:id="14"/>
    </w:p>
    <w:p w14:paraId="6A869B80" w14:textId="77777777" w:rsidR="002E34B4" w:rsidRPr="002E34B4" w:rsidRDefault="002E34B4" w:rsidP="002E34B4">
      <w:pPr>
        <w:spacing w:after="0" w:line="240" w:lineRule="auto"/>
        <w:jc w:val="left"/>
        <w:rPr>
          <w:i/>
          <w:sz w:val="24"/>
          <w:szCs w:val="24"/>
        </w:rPr>
      </w:pPr>
      <w:bookmarkStart w:id="15" w:name="_Hlk105508284"/>
      <w:r w:rsidRPr="002E34B4">
        <w:rPr>
          <w:i/>
          <w:sz w:val="24"/>
          <w:szCs w:val="24"/>
        </w:rPr>
        <w:lastRenderedPageBreak/>
        <w:t>See next page for addresses and telephone numbers for counsel who argued in Supreme Court.</w:t>
      </w:r>
    </w:p>
    <w:p w14:paraId="490869B2" w14:textId="77777777" w:rsidR="002E34B4" w:rsidRPr="002E34B4" w:rsidRDefault="002E34B4" w:rsidP="002E34B4">
      <w:pPr>
        <w:spacing w:after="0" w:line="240" w:lineRule="auto"/>
        <w:jc w:val="left"/>
        <w:rPr>
          <w:i/>
          <w:sz w:val="24"/>
          <w:szCs w:val="24"/>
        </w:rPr>
      </w:pPr>
    </w:p>
    <w:p w14:paraId="62CBB697" w14:textId="77777777" w:rsidR="002E34B4" w:rsidRPr="002E34B4" w:rsidRDefault="002E34B4" w:rsidP="002E34B4">
      <w:pPr>
        <w:spacing w:after="0" w:line="240" w:lineRule="auto"/>
        <w:jc w:val="left"/>
        <w:rPr>
          <w:bCs/>
          <w:sz w:val="24"/>
          <w:szCs w:val="24"/>
        </w:rPr>
      </w:pPr>
      <w:r w:rsidRPr="002E34B4">
        <w:rPr>
          <w:b/>
          <w:sz w:val="24"/>
          <w:szCs w:val="24"/>
        </w:rPr>
        <w:t xml:space="preserve">Name of Opinion </w:t>
      </w:r>
      <w:r w:rsidRPr="002E34B4">
        <w:rPr>
          <w:bCs/>
          <w:sz w:val="24"/>
          <w:szCs w:val="24"/>
        </w:rPr>
        <w:t xml:space="preserve"> People v. Delgadillo</w:t>
      </w:r>
    </w:p>
    <w:p w14:paraId="3C28B265"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0050A9FB" w14:textId="77777777" w:rsidR="002E34B4" w:rsidRPr="002E34B4" w:rsidRDefault="002E34B4" w:rsidP="002E34B4">
      <w:pPr>
        <w:spacing w:after="0" w:line="240" w:lineRule="auto"/>
        <w:jc w:val="left"/>
        <w:rPr>
          <w:b/>
          <w:sz w:val="24"/>
          <w:szCs w:val="24"/>
        </w:rPr>
      </w:pPr>
    </w:p>
    <w:p w14:paraId="3195BB21" w14:textId="77777777" w:rsidR="002E34B4" w:rsidRPr="002E34B4" w:rsidRDefault="002E34B4" w:rsidP="002E34B4">
      <w:pPr>
        <w:spacing w:after="0" w:line="240" w:lineRule="auto"/>
        <w:jc w:val="left"/>
        <w:rPr>
          <w:sz w:val="24"/>
          <w:szCs w:val="24"/>
        </w:rPr>
      </w:pPr>
      <w:r w:rsidRPr="002E34B4">
        <w:rPr>
          <w:b/>
          <w:bCs/>
          <w:sz w:val="24"/>
          <w:szCs w:val="24"/>
          <w:u w:val="single"/>
        </w:rPr>
        <w:t>Procedural Posture</w:t>
      </w:r>
      <w:r w:rsidRPr="002E34B4">
        <w:rPr>
          <w:b/>
          <w:bCs/>
          <w:sz w:val="24"/>
          <w:szCs w:val="24"/>
        </w:rPr>
        <w:t xml:space="preserve"> </w:t>
      </w:r>
      <w:r w:rsidRPr="002E34B4">
        <w:rPr>
          <w:sz w:val="24"/>
          <w:szCs w:val="24"/>
        </w:rPr>
        <w:t>(see XX below)</w:t>
      </w:r>
    </w:p>
    <w:p w14:paraId="5838BCA0" w14:textId="77777777" w:rsidR="002E34B4" w:rsidRPr="002E34B4" w:rsidRDefault="002E34B4" w:rsidP="002E34B4">
      <w:pPr>
        <w:spacing w:after="0" w:line="240" w:lineRule="auto"/>
        <w:jc w:val="left"/>
        <w:rPr>
          <w:sz w:val="24"/>
          <w:szCs w:val="24"/>
        </w:rPr>
      </w:pPr>
      <w:r w:rsidRPr="002E34B4">
        <w:rPr>
          <w:b/>
          <w:bCs/>
          <w:sz w:val="24"/>
          <w:szCs w:val="24"/>
        </w:rPr>
        <w:t>Original Appeal</w:t>
      </w:r>
      <w:r w:rsidRPr="002E34B4">
        <w:rPr>
          <w:sz w:val="24"/>
          <w:szCs w:val="24"/>
        </w:rPr>
        <w:t xml:space="preserve"> </w:t>
      </w:r>
    </w:p>
    <w:p w14:paraId="13A933F9" w14:textId="77777777" w:rsidR="002E34B4" w:rsidRPr="002E34B4" w:rsidRDefault="002E34B4" w:rsidP="002E34B4">
      <w:pPr>
        <w:spacing w:after="0" w:line="240" w:lineRule="auto"/>
        <w:jc w:val="left"/>
        <w:rPr>
          <w:b/>
          <w:bCs/>
          <w:sz w:val="24"/>
          <w:szCs w:val="24"/>
        </w:rPr>
      </w:pPr>
      <w:r w:rsidRPr="002E34B4">
        <w:rPr>
          <w:b/>
          <w:bCs/>
          <w:sz w:val="24"/>
          <w:szCs w:val="24"/>
        </w:rPr>
        <w:t>Original Proceeding</w:t>
      </w:r>
    </w:p>
    <w:p w14:paraId="5D3B95DF" w14:textId="77777777" w:rsidR="002E34B4" w:rsidRPr="002E34B4" w:rsidRDefault="002E34B4" w:rsidP="002E34B4">
      <w:pPr>
        <w:spacing w:after="0" w:line="240" w:lineRule="auto"/>
        <w:jc w:val="left"/>
        <w:rPr>
          <w:sz w:val="24"/>
          <w:szCs w:val="24"/>
        </w:rPr>
      </w:pPr>
      <w:r w:rsidRPr="002E34B4">
        <w:rPr>
          <w:b/>
          <w:bCs/>
          <w:sz w:val="24"/>
          <w:szCs w:val="24"/>
        </w:rPr>
        <w:t>Review Granted</w:t>
      </w:r>
      <w:r w:rsidRPr="002E34B4">
        <w:rPr>
          <w:sz w:val="24"/>
          <w:szCs w:val="24"/>
        </w:rPr>
        <w:t xml:space="preserve"> </w:t>
      </w:r>
      <w:r w:rsidRPr="002E34B4">
        <w:rPr>
          <w:b/>
          <w:bCs/>
          <w:sz w:val="24"/>
          <w:szCs w:val="24"/>
        </w:rPr>
        <w:t xml:space="preserve">(published) </w:t>
      </w:r>
    </w:p>
    <w:p w14:paraId="51F1719D" w14:textId="77777777" w:rsidR="002E34B4" w:rsidRPr="002E34B4" w:rsidRDefault="002E34B4" w:rsidP="002E34B4">
      <w:pPr>
        <w:spacing w:after="0" w:line="240" w:lineRule="auto"/>
        <w:jc w:val="left"/>
        <w:rPr>
          <w:sz w:val="24"/>
          <w:szCs w:val="24"/>
        </w:rPr>
      </w:pPr>
      <w:r w:rsidRPr="002E34B4">
        <w:rPr>
          <w:b/>
          <w:bCs/>
          <w:sz w:val="24"/>
          <w:szCs w:val="24"/>
        </w:rPr>
        <w:t xml:space="preserve">Review Granted (unpublished) </w:t>
      </w:r>
      <w:r w:rsidRPr="002E34B4">
        <w:rPr>
          <w:sz w:val="24"/>
          <w:szCs w:val="24"/>
        </w:rPr>
        <w:t>XX NP opn. filed 11/18/20 – 2d Dist. Div. 4</w:t>
      </w:r>
    </w:p>
    <w:p w14:paraId="36A07990" w14:textId="77777777" w:rsidR="002E34B4" w:rsidRPr="002E34B4" w:rsidRDefault="002E34B4" w:rsidP="002E34B4">
      <w:pPr>
        <w:spacing w:after="0" w:line="240" w:lineRule="auto"/>
        <w:jc w:val="left"/>
        <w:rPr>
          <w:b/>
          <w:bCs/>
          <w:sz w:val="24"/>
          <w:szCs w:val="24"/>
        </w:rPr>
      </w:pPr>
      <w:r w:rsidRPr="002E34B4">
        <w:rPr>
          <w:b/>
          <w:bCs/>
          <w:sz w:val="24"/>
          <w:szCs w:val="24"/>
        </w:rPr>
        <w:t>Rehearing Granted</w:t>
      </w:r>
    </w:p>
    <w:p w14:paraId="456467DF"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37F1B8B1" w14:textId="77777777" w:rsidR="002E34B4" w:rsidRPr="002E34B4" w:rsidRDefault="002E34B4" w:rsidP="002E34B4">
      <w:pPr>
        <w:spacing w:after="0" w:line="240" w:lineRule="auto"/>
        <w:jc w:val="left"/>
        <w:rPr>
          <w:b/>
          <w:sz w:val="24"/>
          <w:szCs w:val="24"/>
        </w:rPr>
      </w:pPr>
    </w:p>
    <w:p w14:paraId="4F47409B" w14:textId="77777777" w:rsidR="002E34B4" w:rsidRPr="002E34B4" w:rsidRDefault="002E34B4" w:rsidP="002E34B4">
      <w:pPr>
        <w:spacing w:after="0" w:line="240" w:lineRule="auto"/>
        <w:jc w:val="left"/>
        <w:rPr>
          <w:bCs/>
          <w:sz w:val="24"/>
          <w:szCs w:val="24"/>
        </w:rPr>
      </w:pPr>
      <w:r w:rsidRPr="002E34B4">
        <w:rPr>
          <w:b/>
          <w:sz w:val="24"/>
          <w:szCs w:val="24"/>
        </w:rPr>
        <w:t>Opinion No.</w:t>
      </w:r>
      <w:r w:rsidRPr="002E34B4">
        <w:rPr>
          <w:sz w:val="24"/>
          <w:szCs w:val="24"/>
        </w:rPr>
        <w:t xml:space="preserve"> S266305</w:t>
      </w:r>
    </w:p>
    <w:p w14:paraId="7B866022" w14:textId="77777777" w:rsidR="002E34B4" w:rsidRPr="002E34B4" w:rsidRDefault="002E34B4" w:rsidP="002E34B4">
      <w:pPr>
        <w:spacing w:after="0" w:line="240" w:lineRule="auto"/>
        <w:jc w:val="left"/>
        <w:rPr>
          <w:bCs/>
          <w:sz w:val="24"/>
          <w:szCs w:val="24"/>
        </w:rPr>
      </w:pPr>
      <w:r w:rsidRPr="002E34B4">
        <w:rPr>
          <w:b/>
          <w:sz w:val="24"/>
          <w:szCs w:val="24"/>
        </w:rPr>
        <w:t>Date Filed:</w:t>
      </w:r>
      <w:r w:rsidRPr="002E34B4">
        <w:rPr>
          <w:sz w:val="24"/>
          <w:szCs w:val="24"/>
        </w:rPr>
        <w:t xml:space="preserve">  December 19, 2022</w:t>
      </w:r>
    </w:p>
    <w:p w14:paraId="6D22F2C8"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70C8DB5D" w14:textId="77777777" w:rsidR="002E34B4" w:rsidRPr="002E34B4" w:rsidRDefault="002E34B4" w:rsidP="002E34B4">
      <w:pPr>
        <w:spacing w:after="0" w:line="240" w:lineRule="auto"/>
        <w:jc w:val="left"/>
        <w:rPr>
          <w:b/>
          <w:sz w:val="24"/>
          <w:szCs w:val="24"/>
        </w:rPr>
      </w:pPr>
    </w:p>
    <w:p w14:paraId="64947099" w14:textId="77777777" w:rsidR="002E34B4" w:rsidRPr="002E34B4" w:rsidRDefault="002E34B4" w:rsidP="002E34B4">
      <w:pPr>
        <w:spacing w:after="0" w:line="240" w:lineRule="auto"/>
        <w:jc w:val="left"/>
        <w:rPr>
          <w:bCs/>
          <w:sz w:val="24"/>
          <w:szCs w:val="24"/>
        </w:rPr>
      </w:pPr>
      <w:r w:rsidRPr="002E34B4">
        <w:rPr>
          <w:b/>
          <w:sz w:val="24"/>
          <w:szCs w:val="24"/>
        </w:rPr>
        <w:t xml:space="preserve">Court:  </w:t>
      </w:r>
      <w:r w:rsidRPr="002E34B4">
        <w:rPr>
          <w:bCs/>
          <w:sz w:val="24"/>
          <w:szCs w:val="24"/>
        </w:rPr>
        <w:t>Superior</w:t>
      </w:r>
      <w:r w:rsidRPr="002E34B4">
        <w:rPr>
          <w:b/>
          <w:sz w:val="24"/>
          <w:szCs w:val="24"/>
        </w:rPr>
        <w:t xml:space="preserve"> </w:t>
      </w:r>
    </w:p>
    <w:p w14:paraId="2DB09A7D" w14:textId="77777777" w:rsidR="002E34B4" w:rsidRPr="002E34B4" w:rsidRDefault="002E34B4" w:rsidP="002E34B4">
      <w:pPr>
        <w:spacing w:after="0" w:line="240" w:lineRule="auto"/>
        <w:jc w:val="left"/>
        <w:rPr>
          <w:bCs/>
          <w:sz w:val="24"/>
          <w:szCs w:val="24"/>
        </w:rPr>
      </w:pPr>
      <w:r w:rsidRPr="002E34B4">
        <w:rPr>
          <w:b/>
          <w:sz w:val="24"/>
          <w:szCs w:val="24"/>
        </w:rPr>
        <w:t xml:space="preserve">County:  </w:t>
      </w:r>
      <w:r w:rsidRPr="002E34B4">
        <w:rPr>
          <w:bCs/>
          <w:sz w:val="24"/>
          <w:szCs w:val="24"/>
        </w:rPr>
        <w:t>Los Angeles</w:t>
      </w:r>
    </w:p>
    <w:p w14:paraId="6B237F61" w14:textId="77777777" w:rsidR="002E34B4" w:rsidRPr="002E34B4" w:rsidRDefault="002E34B4" w:rsidP="002E34B4">
      <w:pPr>
        <w:spacing w:after="0" w:line="240" w:lineRule="auto"/>
        <w:ind w:left="720" w:hanging="720"/>
        <w:jc w:val="left"/>
        <w:rPr>
          <w:bCs/>
          <w:sz w:val="24"/>
          <w:szCs w:val="24"/>
        </w:rPr>
      </w:pPr>
      <w:r w:rsidRPr="002E34B4">
        <w:rPr>
          <w:b/>
          <w:sz w:val="24"/>
          <w:szCs w:val="24"/>
        </w:rPr>
        <w:t xml:space="preserve">Judge:  </w:t>
      </w:r>
      <w:r w:rsidRPr="002E34B4">
        <w:rPr>
          <w:bCs/>
          <w:sz w:val="24"/>
          <w:szCs w:val="24"/>
        </w:rPr>
        <w:t>Katherine Mader</w:t>
      </w:r>
    </w:p>
    <w:p w14:paraId="4BDAA180"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1D728FAE" w14:textId="77777777" w:rsidR="002E34B4" w:rsidRPr="002E34B4" w:rsidRDefault="002E34B4" w:rsidP="002E34B4">
      <w:pPr>
        <w:spacing w:after="0" w:line="240" w:lineRule="auto"/>
        <w:jc w:val="left"/>
        <w:rPr>
          <w:b/>
          <w:sz w:val="24"/>
          <w:szCs w:val="24"/>
        </w:rPr>
      </w:pPr>
    </w:p>
    <w:p w14:paraId="4EFEDA6E" w14:textId="77777777" w:rsidR="002E34B4" w:rsidRPr="002E34B4" w:rsidRDefault="002E34B4" w:rsidP="002E34B4">
      <w:pPr>
        <w:spacing w:after="0" w:line="240" w:lineRule="auto"/>
        <w:jc w:val="left"/>
        <w:rPr>
          <w:b/>
          <w:sz w:val="24"/>
          <w:szCs w:val="24"/>
        </w:rPr>
      </w:pPr>
      <w:r w:rsidRPr="002E34B4">
        <w:rPr>
          <w:b/>
          <w:sz w:val="24"/>
          <w:szCs w:val="24"/>
        </w:rPr>
        <w:t>Counsel:</w:t>
      </w:r>
    </w:p>
    <w:p w14:paraId="220E8E19" w14:textId="77777777" w:rsidR="002E34B4" w:rsidRPr="002E34B4" w:rsidRDefault="002E34B4" w:rsidP="002E34B4">
      <w:pPr>
        <w:spacing w:after="0" w:line="240" w:lineRule="auto"/>
        <w:jc w:val="left"/>
        <w:rPr>
          <w:b/>
          <w:sz w:val="24"/>
          <w:szCs w:val="24"/>
        </w:rPr>
      </w:pPr>
    </w:p>
    <w:p w14:paraId="236E0A48"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Nancy J. King and Eric R. Larson, under appointments by the Supreme Court, for Defendant and Appellant.</w:t>
      </w:r>
    </w:p>
    <w:p w14:paraId="4F8D44A5" w14:textId="77777777" w:rsidR="002E34B4" w:rsidRPr="002E34B4" w:rsidRDefault="002E34B4" w:rsidP="002E34B4">
      <w:pPr>
        <w:spacing w:after="0" w:line="240" w:lineRule="auto"/>
        <w:jc w:val="left"/>
        <w:rPr>
          <w:bCs/>
          <w:color w:val="212121"/>
          <w:sz w:val="24"/>
          <w:szCs w:val="24"/>
          <w:shd w:val="clear" w:color="auto" w:fill="FFFFFF"/>
        </w:rPr>
      </w:pPr>
    </w:p>
    <w:p w14:paraId="798F5BA2"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Rob Bonta, Attorney General, Michael J. Mongan, State Solicitor General, Lance E. Winters, Chief Assistant Attorney General, Janill L. Richards, Principal Deputy State Solicitor General, Julie L. Garland and Charles Ragland, Assistant Attorneys General, Samuel P. Siegel, Deputy State Solicitor General, Lynne G. McGinnis, Deputy Attorney General, and Amari L. Hammonds, Associate Deputy State Solicitor General, for Plaintiff and Respondent.</w:t>
      </w:r>
      <w:r w:rsidRPr="002E34B4">
        <w:rPr>
          <w:bCs/>
          <w:color w:val="212121"/>
          <w:sz w:val="24"/>
          <w:szCs w:val="24"/>
          <w:shd w:val="clear" w:color="auto" w:fill="FFFFFF"/>
        </w:rPr>
        <w:br w:type="page"/>
      </w:r>
      <w:r w:rsidRPr="002E34B4">
        <w:rPr>
          <w:b/>
          <w:sz w:val="24"/>
          <w:szCs w:val="24"/>
        </w:rPr>
        <w:lastRenderedPageBreak/>
        <w:t>Counsel who argued in Supreme Court (not intended for publication with opinion):</w:t>
      </w:r>
    </w:p>
    <w:p w14:paraId="0BBB530F" w14:textId="77777777" w:rsidR="002E34B4" w:rsidRPr="002E34B4" w:rsidRDefault="002E34B4" w:rsidP="002E34B4">
      <w:pPr>
        <w:spacing w:after="0" w:line="240" w:lineRule="auto"/>
        <w:jc w:val="left"/>
        <w:rPr>
          <w:b/>
          <w:sz w:val="24"/>
          <w:szCs w:val="24"/>
        </w:rPr>
      </w:pPr>
    </w:p>
    <w:bookmarkEnd w:id="15"/>
    <w:p w14:paraId="2C6E2E02"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Eric R. Larson</w:t>
      </w:r>
    </w:p>
    <w:p w14:paraId="19E7C81D"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Attorney at Law</w:t>
      </w:r>
    </w:p>
    <w:p w14:paraId="6BF4BBA7"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330 J Street, #609</w:t>
      </w:r>
    </w:p>
    <w:p w14:paraId="26CFDB93"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San Diego, CA 92101</w:t>
      </w:r>
    </w:p>
    <w:p w14:paraId="0F274B15"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(619) 238-5575</w:t>
      </w:r>
    </w:p>
    <w:p w14:paraId="71780C57" w14:textId="77777777" w:rsidR="002E34B4" w:rsidRPr="002E34B4" w:rsidRDefault="002E34B4" w:rsidP="002E34B4">
      <w:pPr>
        <w:spacing w:after="0" w:line="240" w:lineRule="auto"/>
        <w:jc w:val="left"/>
        <w:rPr>
          <w:bCs/>
          <w:color w:val="212121"/>
          <w:sz w:val="24"/>
          <w:szCs w:val="24"/>
          <w:shd w:val="clear" w:color="auto" w:fill="FFFFFF"/>
        </w:rPr>
      </w:pPr>
    </w:p>
    <w:p w14:paraId="257E49C9"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Samuel P. Siegel</w:t>
      </w:r>
    </w:p>
    <w:p w14:paraId="78E17850"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Deputy State Solicitor General</w:t>
      </w:r>
    </w:p>
    <w:p w14:paraId="7CD17C29"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455 Golden Gate Avenue, Suite 11000</w:t>
      </w:r>
    </w:p>
    <w:p w14:paraId="0B952EB4"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San Francisco, CA 94102</w:t>
      </w:r>
    </w:p>
    <w:p w14:paraId="752D61F7"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(415) 510-3917</w:t>
      </w:r>
    </w:p>
    <w:p w14:paraId="691431DF" w14:textId="77777777" w:rsidR="002E34B4" w:rsidRPr="002E34B4" w:rsidRDefault="002E34B4" w:rsidP="002E34B4">
      <w:pPr>
        <w:spacing w:after="0" w:line="240" w:lineRule="auto"/>
        <w:jc w:val="left"/>
        <w:rPr>
          <w:bCs/>
          <w:color w:val="212121"/>
          <w:sz w:val="24"/>
          <w:szCs w:val="24"/>
          <w:shd w:val="clear" w:color="auto" w:fill="FFFFFF"/>
        </w:rPr>
      </w:pPr>
    </w:p>
    <w:p w14:paraId="1B8FB675" w14:textId="77777777" w:rsidR="0001512F" w:rsidRPr="000D10C0" w:rsidRDefault="0001512F" w:rsidP="001708B1">
      <w:pPr>
        <w:pStyle w:val="FootnoteText"/>
        <w:spacing w:line="240" w:lineRule="auto"/>
      </w:pPr>
    </w:p>
    <w:sectPr w:rsidR="0001512F" w:rsidRPr="000D10C0"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9718" w14:textId="77777777" w:rsidR="00663C83" w:rsidRDefault="00663C83">
      <w:r>
        <w:separator/>
      </w:r>
    </w:p>
  </w:endnote>
  <w:endnote w:type="continuationSeparator" w:id="0">
    <w:p w14:paraId="52074C39" w14:textId="77777777" w:rsidR="00663C83" w:rsidRDefault="0066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F179" w14:textId="77777777" w:rsidR="00EC0514" w:rsidRDefault="00EC0514">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121709"/>
      <w:docPartObj>
        <w:docPartGallery w:val="Page Numbers (Bottom of Page)"/>
        <w:docPartUnique/>
      </w:docPartObj>
    </w:sdtPr>
    <w:sdtEndPr>
      <w:rPr>
        <w:noProof/>
      </w:rPr>
    </w:sdtEndPr>
    <w:sdtContent>
      <w:p w14:paraId="7FAA7A02" w14:textId="5E801F68" w:rsidR="00E96717" w:rsidRDefault="00E9671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7058" w14:textId="77777777" w:rsidR="00E96717" w:rsidRDefault="00E96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FF4" w14:textId="77777777" w:rsidR="000D10C0" w:rsidRDefault="000D10C0">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BCD0" w14:textId="77777777" w:rsidR="000D623F"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FCC6" w14:textId="77777777" w:rsidR="000D623F" w:rsidRDefault="000000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F4D" w14:textId="77777777" w:rsidR="000D623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214" w14:textId="77777777" w:rsidR="00663C83" w:rsidRDefault="00663C83">
      <w:r>
        <w:separator/>
      </w:r>
    </w:p>
  </w:footnote>
  <w:footnote w:type="continuationSeparator" w:id="0">
    <w:p w14:paraId="786B7C76" w14:textId="77777777" w:rsidR="00663C83" w:rsidRDefault="00663C83">
      <w:pPr>
        <w:rPr>
          <w:sz w:val="22"/>
        </w:rPr>
      </w:pPr>
      <w:r>
        <w:continuationSeparator/>
      </w:r>
    </w:p>
  </w:footnote>
  <w:footnote w:type="continuationNotice" w:id="1">
    <w:p w14:paraId="6A429FC6" w14:textId="77777777" w:rsidR="00663C83" w:rsidRDefault="00663C83">
      <w:pPr>
        <w:jc w:val="right"/>
        <w:rPr>
          <w:i/>
          <w:sz w:val="20"/>
        </w:rPr>
      </w:pPr>
    </w:p>
  </w:footnote>
  <w:footnote w:id="2">
    <w:p w14:paraId="7D03D819" w14:textId="4EB7ED9F" w:rsidR="00EC0514" w:rsidRDefault="00EC0514" w:rsidP="000D10C0">
      <w:pPr>
        <w:pStyle w:val="FootnoteText"/>
      </w:pPr>
      <w:r>
        <w:rPr>
          <w:rStyle w:val="FootnoteReference"/>
        </w:rPr>
        <w:footnoteRef/>
      </w:r>
      <w:r>
        <w:t xml:space="preserve"> </w:t>
      </w:r>
      <w:r>
        <w:tab/>
      </w:r>
      <w:r w:rsidR="00F74913">
        <w:rPr>
          <w:szCs w:val="27"/>
        </w:rPr>
        <w:t xml:space="preserve">Assembly Bill No. 200 (Reg. Sess. 2021–2022; Assembly Bill 200) has since renumbered section 1170.95 as section 1172.6.  (See Stats. 2022, ch. 58, § 10.)  For clarity, we refer simply to section 1172.6 throughout the discussion section.  </w:t>
      </w:r>
      <w:r w:rsidRPr="00D206B0">
        <w:t>All undesignated statutory references are to the Penal Code.</w:t>
      </w:r>
    </w:p>
  </w:footnote>
  <w:footnote w:id="3">
    <w:p w14:paraId="749B13D5" w14:textId="1D8B1470" w:rsidR="00EC0514" w:rsidRDefault="00EC0514" w:rsidP="000D10C0">
      <w:pPr>
        <w:pStyle w:val="FootnoteText"/>
      </w:pPr>
      <w:r>
        <w:rPr>
          <w:rStyle w:val="FootnoteReference"/>
        </w:rPr>
        <w:footnoteRef/>
      </w:r>
      <w:r>
        <w:t xml:space="preserve"> </w:t>
      </w:r>
      <w:r>
        <w:tab/>
      </w:r>
      <w:r w:rsidRPr="00071B6F">
        <w:t>The brief summary of facts is drawn from the Court of Appeal</w:t>
      </w:r>
      <w:r>
        <w:t>’</w:t>
      </w:r>
      <w:r w:rsidRPr="00071B6F">
        <w:t xml:space="preserve">s prior opinion in </w:t>
      </w:r>
      <w:r>
        <w:t>Delgadillo’s</w:t>
      </w:r>
      <w:r w:rsidRPr="00071B6F">
        <w:t xml:space="preserve"> direct appeal</w:t>
      </w:r>
      <w:r>
        <w:t xml:space="preserve">. </w:t>
      </w:r>
    </w:p>
  </w:footnote>
  <w:footnote w:id="4">
    <w:p w14:paraId="79933517" w14:textId="41AED315" w:rsidR="00EC0514" w:rsidRDefault="00EC0514" w:rsidP="000D10C0">
      <w:pPr>
        <w:pStyle w:val="FootnoteText"/>
      </w:pPr>
      <w:r>
        <w:rPr>
          <w:rStyle w:val="FootnoteReference"/>
        </w:rPr>
        <w:footnoteRef/>
      </w:r>
      <w:r>
        <w:t xml:space="preserve"> </w:t>
      </w:r>
      <w:r>
        <w:tab/>
      </w:r>
      <w:r w:rsidRPr="00437934">
        <w:t xml:space="preserve">The Legislature has since amended </w:t>
      </w:r>
      <w:r w:rsidR="003C770A">
        <w:t xml:space="preserve">former </w:t>
      </w:r>
      <w:r w:rsidRPr="00437934">
        <w:t>section 1170.95 with the passage of Senate Bill No. 775</w:t>
      </w:r>
      <w:r w:rsidR="00AC409B">
        <w:t xml:space="preserve"> (2021–2022 Reg. Sess.)</w:t>
      </w:r>
      <w:r w:rsidRPr="00437934">
        <w:t xml:space="preserve"> (</w:t>
      </w:r>
      <w:r w:rsidR="00AC409B" w:rsidRPr="00437934">
        <w:t xml:space="preserve">Senate Bill </w:t>
      </w:r>
      <w:proofErr w:type="gramStart"/>
      <w:r w:rsidR="00AC409B" w:rsidRPr="00437934">
        <w:t>775</w:t>
      </w:r>
      <w:r w:rsidR="00AC409B">
        <w:t>;</w:t>
      </w:r>
      <w:proofErr w:type="gramEnd"/>
      <w:r w:rsidR="00AC409B">
        <w:t xml:space="preserve"> </w:t>
      </w:r>
      <w:r w:rsidRPr="00437934">
        <w:t xml:space="preserve">Stats. 2021, ch. 551).  Senate Bill 775 codified and clarified </w:t>
      </w:r>
      <w:r w:rsidR="003C770A">
        <w:rPr>
          <w:i/>
          <w:iCs/>
        </w:rPr>
        <w:t xml:space="preserve">People v. </w:t>
      </w:r>
      <w:r w:rsidRPr="00437934">
        <w:rPr>
          <w:i/>
          <w:iCs/>
        </w:rPr>
        <w:t>Lewis</w:t>
      </w:r>
      <w:r w:rsidR="003C770A">
        <w:rPr>
          <w:i/>
          <w:iCs/>
        </w:rPr>
        <w:t xml:space="preserve"> </w:t>
      </w:r>
      <w:r w:rsidR="003C770A">
        <w:t>(2021)</w:t>
      </w:r>
      <w:r w:rsidRPr="00437934">
        <w:t xml:space="preserve"> 11</w:t>
      </w:r>
      <w:r w:rsidR="00B716F6">
        <w:t> </w:t>
      </w:r>
      <w:r w:rsidRPr="00437934">
        <w:t xml:space="preserve">Cal.5th </w:t>
      </w:r>
      <w:r w:rsidR="003C770A">
        <w:t xml:space="preserve">952, </w:t>
      </w:r>
      <w:r w:rsidRPr="00437934">
        <w:t>961–972</w:t>
      </w:r>
      <w:r w:rsidR="003C770A">
        <w:t xml:space="preserve"> (</w:t>
      </w:r>
      <w:r w:rsidR="003C770A">
        <w:rPr>
          <w:i/>
          <w:iCs/>
        </w:rPr>
        <w:t>Lewis</w:t>
      </w:r>
      <w:r w:rsidR="003C770A">
        <w:t>)</w:t>
      </w:r>
      <w:r w:rsidRPr="00437934">
        <w:t xml:space="preserve">, reaffirmed that beyond a reasonable doubt is the proper burden of proof for a </w:t>
      </w:r>
      <w:r w:rsidR="003C770A">
        <w:t xml:space="preserve">former </w:t>
      </w:r>
      <w:r w:rsidRPr="00437934">
        <w:t xml:space="preserve">section 1170.95 resentencing hearing, and expanded </w:t>
      </w:r>
      <w:r w:rsidR="003C770A">
        <w:t xml:space="preserve">former </w:t>
      </w:r>
      <w:r w:rsidRPr="00437934">
        <w:t xml:space="preserve">section 1170.95’s </w:t>
      </w:r>
      <w:r>
        <w:t xml:space="preserve">provisions to apply also to </w:t>
      </w:r>
      <w:r w:rsidRPr="00437934">
        <w:t>persons convicted of attempted murder or manslaughter</w:t>
      </w:r>
      <w:r>
        <w:t>.</w:t>
      </w:r>
      <w:r w:rsidRPr="00437934">
        <w:t xml:space="preserve">  (</w:t>
      </w:r>
      <w:r w:rsidR="00AC409B" w:rsidRPr="00437934">
        <w:t>Sen</w:t>
      </w:r>
      <w:r w:rsidR="00AC409B">
        <w:t>.</w:t>
      </w:r>
      <w:r w:rsidR="00AC409B" w:rsidRPr="00437934">
        <w:t xml:space="preserve"> </w:t>
      </w:r>
      <w:r w:rsidRPr="00437934">
        <w:t xml:space="preserve">Bill 775, § 1, subds. (a)–(d).)  </w:t>
      </w:r>
      <w:r w:rsidR="003C770A" w:rsidRPr="003C770A">
        <w:t xml:space="preserve">As mentioned above, with the passage of Assembly Bill 200, the Legislature then renumbered former section 1170.95 to section 1172.6 without any further substantive change.  (See </w:t>
      </w:r>
      <w:r w:rsidR="003C770A" w:rsidRPr="00B22F6E">
        <w:rPr>
          <w:i/>
          <w:iCs/>
        </w:rPr>
        <w:t>People v. Strong</w:t>
      </w:r>
      <w:r w:rsidR="003C770A" w:rsidRPr="003C770A">
        <w:t xml:space="preserve"> (2022) 13</w:t>
      </w:r>
      <w:r w:rsidR="00FA773B">
        <w:t> </w:t>
      </w:r>
      <w:r w:rsidR="003C770A" w:rsidRPr="003C770A">
        <w:t>Cal.5th 698, 708, fn. 2.)</w:t>
      </w:r>
    </w:p>
  </w:footnote>
  <w:footnote w:id="5">
    <w:p w14:paraId="04352580" w14:textId="6AE4A771" w:rsidR="008D632A" w:rsidRDefault="008D632A">
      <w:pPr>
        <w:pStyle w:val="FootnoteText"/>
      </w:pPr>
      <w:r>
        <w:rPr>
          <w:rStyle w:val="FootnoteReference"/>
        </w:rPr>
        <w:footnoteRef/>
      </w:r>
      <w:r>
        <w:t xml:space="preserve"> </w:t>
      </w:r>
      <w:r>
        <w:tab/>
      </w:r>
      <w:r w:rsidR="00C93FB4">
        <w:t>S</w:t>
      </w:r>
      <w:r>
        <w:t>ubdivision (c) of section 1172.6</w:t>
      </w:r>
      <w:r w:rsidR="00C93FB4">
        <w:t xml:space="preserve"> describes the process for determining whether a prima facie case for relief has been made.</w:t>
      </w:r>
    </w:p>
  </w:footnote>
  <w:footnote w:id="6">
    <w:p w14:paraId="49AAC973" w14:textId="33D1216C" w:rsidR="002C4C36" w:rsidRDefault="002C4C36" w:rsidP="002C4C36">
      <w:pPr>
        <w:pStyle w:val="FootnoteText"/>
      </w:pPr>
      <w:r>
        <w:rPr>
          <w:rStyle w:val="FootnoteReference"/>
          <w:szCs w:val="27"/>
        </w:rPr>
        <w:footnoteRef/>
      </w:r>
      <w:r>
        <w:rPr>
          <w:szCs w:val="27"/>
        </w:rPr>
        <w:t xml:space="preserve"> </w:t>
      </w:r>
      <w:r>
        <w:rPr>
          <w:szCs w:val="27"/>
        </w:rPr>
        <w:tab/>
      </w:r>
      <w:r w:rsidR="00935392">
        <w:rPr>
          <w:szCs w:val="27"/>
        </w:rPr>
        <w:t>In this case, w</w:t>
      </w:r>
      <w:r>
        <w:rPr>
          <w:szCs w:val="27"/>
        </w:rPr>
        <w:t xml:space="preserve">e are not deciding </w:t>
      </w:r>
      <w:r>
        <w:rPr>
          <w:i/>
          <w:iCs/>
          <w:szCs w:val="27"/>
        </w:rPr>
        <w:t>Wende</w:t>
      </w:r>
      <w:r>
        <w:rPr>
          <w:szCs w:val="27"/>
        </w:rPr>
        <w:t>’s application to other postconviction context</w:t>
      </w:r>
      <w:r w:rsidR="00935392">
        <w:rPr>
          <w:szCs w:val="27"/>
        </w:rPr>
        <w:t>s</w:t>
      </w:r>
      <w:r w:rsidR="00CB6082">
        <w:rPr>
          <w:szCs w:val="27"/>
        </w:rPr>
        <w:t>,</w:t>
      </w:r>
      <w:r>
        <w:rPr>
          <w:szCs w:val="27"/>
        </w:rPr>
        <w:t xml:space="preserve"> which may present different considerations.  (E.g., </w:t>
      </w:r>
      <w:r>
        <w:rPr>
          <w:i/>
          <w:iCs/>
          <w:szCs w:val="27"/>
        </w:rPr>
        <w:t>Coleman, supra</w:t>
      </w:r>
      <w:r>
        <w:rPr>
          <w:szCs w:val="27"/>
        </w:rPr>
        <w:t>, 501</w:t>
      </w:r>
      <w:r w:rsidR="00D2700D">
        <w:rPr>
          <w:szCs w:val="27"/>
        </w:rPr>
        <w:t> </w:t>
      </w:r>
      <w:r>
        <w:rPr>
          <w:szCs w:val="27"/>
        </w:rPr>
        <w:t>U.S. at p.</w:t>
      </w:r>
      <w:r w:rsidR="00D2700D">
        <w:rPr>
          <w:szCs w:val="27"/>
        </w:rPr>
        <w:t> </w:t>
      </w:r>
      <w:r>
        <w:rPr>
          <w:szCs w:val="27"/>
        </w:rPr>
        <w:t xml:space="preserve">755 [not answering whether “an exception to the rule of </w:t>
      </w:r>
      <w:r>
        <w:rPr>
          <w:i/>
          <w:iCs/>
          <w:szCs w:val="27"/>
        </w:rPr>
        <w:t>Finley</w:t>
      </w:r>
      <w:r>
        <w:rPr>
          <w:szCs w:val="27"/>
        </w:rPr>
        <w:t xml:space="preserve">” provides for a right to effective counsel in state postconviction proceedings “where state collateral review is the first place a prisoner can present a challenge to his conviction”]; </w:t>
      </w:r>
      <w:r>
        <w:rPr>
          <w:i/>
          <w:iCs/>
          <w:szCs w:val="27"/>
        </w:rPr>
        <w:t>Martinez v. Ryan</w:t>
      </w:r>
      <w:r>
        <w:rPr>
          <w:szCs w:val="27"/>
        </w:rPr>
        <w:t xml:space="preserve"> (2012) 566</w:t>
      </w:r>
      <w:r w:rsidR="00FA773B">
        <w:rPr>
          <w:szCs w:val="27"/>
        </w:rPr>
        <w:t> </w:t>
      </w:r>
      <w:r>
        <w:rPr>
          <w:szCs w:val="27"/>
        </w:rPr>
        <w:t xml:space="preserve">U.S. 1, 8 [not resolving the question </w:t>
      </w:r>
      <w:r>
        <w:rPr>
          <w:i/>
          <w:iCs/>
          <w:szCs w:val="27"/>
        </w:rPr>
        <w:t>Coleman</w:t>
      </w:r>
      <w:r>
        <w:rPr>
          <w:szCs w:val="27"/>
        </w:rPr>
        <w:t xml:space="preserve"> “left open” of “whether a prisoner has a right to effective counsel in collateral proceedings which provide the first occasion to raise a claim of ineffective assistance at trial”].)</w:t>
      </w:r>
    </w:p>
  </w:footnote>
  <w:footnote w:id="7">
    <w:p w14:paraId="21ED57D1" w14:textId="78FBEC5F" w:rsidR="00B52D59" w:rsidRDefault="00B52D59" w:rsidP="00B52D59">
      <w:pPr>
        <w:pStyle w:val="FootnoteText"/>
      </w:pPr>
      <w:r>
        <w:rPr>
          <w:rStyle w:val="FootnoteReference"/>
          <w:szCs w:val="27"/>
        </w:rPr>
        <w:footnoteRef/>
      </w:r>
      <w:r>
        <w:rPr>
          <w:szCs w:val="27"/>
          <w:vertAlign w:val="superscript"/>
        </w:rPr>
        <w:t xml:space="preserve"> </w:t>
      </w:r>
      <w:r>
        <w:rPr>
          <w:szCs w:val="27"/>
        </w:rPr>
        <w:tab/>
        <w:t>We are choosing to conduct independent review in the interest of judicial economy, but we emphasize that the decision to conduct independent review is solely up to the discretion of the Courts of Appeal and is not required.  In light of our own independent review of the record, we do not reach the constitutional question raised by Delgadillo of whether the notice he received violated due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08A6" w14:textId="77777777" w:rsidR="00446EBF" w:rsidRDefault="00446EBF">
    <w:pPr>
      <w:pStyle w:val="Header"/>
    </w:pPr>
    <w:r>
      <w:t>PEOPLE v. DELGADILLO</w:t>
    </w:r>
  </w:p>
  <w:p w14:paraId="179AB3AE" w14:textId="77777777" w:rsidR="00446EBF" w:rsidRDefault="00446EBF">
    <w:pPr>
      <w:pStyle w:val="Header"/>
    </w:pPr>
    <w:r>
      <w:t>Opinion of the Court by Groban, J.</w:t>
    </w:r>
  </w:p>
  <w:p w14:paraId="24EBD8EE" w14:textId="77777777" w:rsidR="00446EBF" w:rsidRDefault="00446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CA4" w14:textId="77777777" w:rsidR="000D623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134B" w14:textId="77777777" w:rsidR="000D623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CF4" w14:textId="77777777" w:rsidR="000D623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01D3"/>
    <w:multiLevelType w:val="hybridMultilevel"/>
    <w:tmpl w:val="D27681F2"/>
    <w:lvl w:ilvl="0" w:tplc="372E2E84">
      <w:start w:val="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465D5D"/>
    <w:multiLevelType w:val="hybridMultilevel"/>
    <w:tmpl w:val="93025012"/>
    <w:lvl w:ilvl="0" w:tplc="8FBEF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606DD"/>
    <w:multiLevelType w:val="hybridMultilevel"/>
    <w:tmpl w:val="CA2A3B1A"/>
    <w:lvl w:ilvl="0" w:tplc="23F61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ED66D8"/>
    <w:multiLevelType w:val="hybridMultilevel"/>
    <w:tmpl w:val="E4EE10F8"/>
    <w:lvl w:ilvl="0" w:tplc="A9A48E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17922">
    <w:abstractNumId w:val="1"/>
  </w:num>
  <w:num w:numId="2" w16cid:durableId="1746293090">
    <w:abstractNumId w:val="2"/>
  </w:num>
  <w:num w:numId="3" w16cid:durableId="2117478844">
    <w:abstractNumId w:val="3"/>
  </w:num>
  <w:num w:numId="4" w16cid:durableId="159378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6"/>
    <w:rsid w:val="0000046E"/>
    <w:rsid w:val="00002C2D"/>
    <w:rsid w:val="00004104"/>
    <w:rsid w:val="00004569"/>
    <w:rsid w:val="00006612"/>
    <w:rsid w:val="00011B2C"/>
    <w:rsid w:val="00012D7A"/>
    <w:rsid w:val="000132C2"/>
    <w:rsid w:val="00013DCC"/>
    <w:rsid w:val="00014511"/>
    <w:rsid w:val="0001512F"/>
    <w:rsid w:val="00017C08"/>
    <w:rsid w:val="00020DEB"/>
    <w:rsid w:val="0002255A"/>
    <w:rsid w:val="0002697F"/>
    <w:rsid w:val="00027F1E"/>
    <w:rsid w:val="00027F6D"/>
    <w:rsid w:val="0003448B"/>
    <w:rsid w:val="00034B5B"/>
    <w:rsid w:val="000371E8"/>
    <w:rsid w:val="000434D9"/>
    <w:rsid w:val="000451A9"/>
    <w:rsid w:val="00045692"/>
    <w:rsid w:val="00045BAD"/>
    <w:rsid w:val="00045CDC"/>
    <w:rsid w:val="00050906"/>
    <w:rsid w:val="00056CB7"/>
    <w:rsid w:val="00060EF0"/>
    <w:rsid w:val="000623E7"/>
    <w:rsid w:val="00062AF3"/>
    <w:rsid w:val="00063011"/>
    <w:rsid w:val="0006769B"/>
    <w:rsid w:val="00071B6F"/>
    <w:rsid w:val="00073A3F"/>
    <w:rsid w:val="00074B00"/>
    <w:rsid w:val="000826A0"/>
    <w:rsid w:val="000826A4"/>
    <w:rsid w:val="000852C3"/>
    <w:rsid w:val="000860A4"/>
    <w:rsid w:val="000903F6"/>
    <w:rsid w:val="00090B17"/>
    <w:rsid w:val="000925BB"/>
    <w:rsid w:val="000943EE"/>
    <w:rsid w:val="00094529"/>
    <w:rsid w:val="000946B7"/>
    <w:rsid w:val="000959E1"/>
    <w:rsid w:val="000A6F43"/>
    <w:rsid w:val="000B1502"/>
    <w:rsid w:val="000B18F4"/>
    <w:rsid w:val="000B3D7A"/>
    <w:rsid w:val="000B5E58"/>
    <w:rsid w:val="000C0C4A"/>
    <w:rsid w:val="000C0DD2"/>
    <w:rsid w:val="000C1556"/>
    <w:rsid w:val="000C2A4A"/>
    <w:rsid w:val="000C6978"/>
    <w:rsid w:val="000C77EA"/>
    <w:rsid w:val="000D10C0"/>
    <w:rsid w:val="000E0712"/>
    <w:rsid w:val="000E40BA"/>
    <w:rsid w:val="000E4381"/>
    <w:rsid w:val="000E4546"/>
    <w:rsid w:val="000E4DE2"/>
    <w:rsid w:val="000E7D8F"/>
    <w:rsid w:val="000F0D6F"/>
    <w:rsid w:val="000F222D"/>
    <w:rsid w:val="000F446E"/>
    <w:rsid w:val="000F5A61"/>
    <w:rsid w:val="000F5BDA"/>
    <w:rsid w:val="00100D92"/>
    <w:rsid w:val="001033C8"/>
    <w:rsid w:val="0011124E"/>
    <w:rsid w:val="001138D1"/>
    <w:rsid w:val="00113A39"/>
    <w:rsid w:val="00117839"/>
    <w:rsid w:val="00117EFD"/>
    <w:rsid w:val="001211FB"/>
    <w:rsid w:val="00121CE9"/>
    <w:rsid w:val="00122512"/>
    <w:rsid w:val="00125829"/>
    <w:rsid w:val="00126D3C"/>
    <w:rsid w:val="00127A75"/>
    <w:rsid w:val="0013272B"/>
    <w:rsid w:val="00134A3C"/>
    <w:rsid w:val="001370B8"/>
    <w:rsid w:val="001378CE"/>
    <w:rsid w:val="00137B30"/>
    <w:rsid w:val="00142305"/>
    <w:rsid w:val="001475C1"/>
    <w:rsid w:val="00147DF9"/>
    <w:rsid w:val="0015063D"/>
    <w:rsid w:val="00155BA3"/>
    <w:rsid w:val="0015772E"/>
    <w:rsid w:val="00163A08"/>
    <w:rsid w:val="001641DC"/>
    <w:rsid w:val="001708B1"/>
    <w:rsid w:val="00172D8A"/>
    <w:rsid w:val="00172FFC"/>
    <w:rsid w:val="00176304"/>
    <w:rsid w:val="001772E9"/>
    <w:rsid w:val="001801F7"/>
    <w:rsid w:val="00182006"/>
    <w:rsid w:val="00182D9E"/>
    <w:rsid w:val="00183049"/>
    <w:rsid w:val="00184CF0"/>
    <w:rsid w:val="001855C4"/>
    <w:rsid w:val="0018572C"/>
    <w:rsid w:val="00185F98"/>
    <w:rsid w:val="00186A0B"/>
    <w:rsid w:val="00187EEE"/>
    <w:rsid w:val="001936C7"/>
    <w:rsid w:val="001940A7"/>
    <w:rsid w:val="00196D67"/>
    <w:rsid w:val="001A07B8"/>
    <w:rsid w:val="001A6A1B"/>
    <w:rsid w:val="001B00AA"/>
    <w:rsid w:val="001B22D4"/>
    <w:rsid w:val="001B2DF8"/>
    <w:rsid w:val="001B4B13"/>
    <w:rsid w:val="001B5192"/>
    <w:rsid w:val="001C1A6C"/>
    <w:rsid w:val="001C2FE5"/>
    <w:rsid w:val="001C3D3B"/>
    <w:rsid w:val="001C3EA3"/>
    <w:rsid w:val="001C64CE"/>
    <w:rsid w:val="001C64D3"/>
    <w:rsid w:val="001D1335"/>
    <w:rsid w:val="001D1DA3"/>
    <w:rsid w:val="001D380B"/>
    <w:rsid w:val="001D5BD8"/>
    <w:rsid w:val="001D69A4"/>
    <w:rsid w:val="001D7BB7"/>
    <w:rsid w:val="001E2927"/>
    <w:rsid w:val="001E45C3"/>
    <w:rsid w:val="001E59B5"/>
    <w:rsid w:val="001E73AD"/>
    <w:rsid w:val="001F1184"/>
    <w:rsid w:val="001F5270"/>
    <w:rsid w:val="001F7269"/>
    <w:rsid w:val="001F7646"/>
    <w:rsid w:val="00200D44"/>
    <w:rsid w:val="00201DB4"/>
    <w:rsid w:val="002038FC"/>
    <w:rsid w:val="00206532"/>
    <w:rsid w:val="00210EBB"/>
    <w:rsid w:val="002127BB"/>
    <w:rsid w:val="00212CCC"/>
    <w:rsid w:val="0021472A"/>
    <w:rsid w:val="00221457"/>
    <w:rsid w:val="00221506"/>
    <w:rsid w:val="00222F62"/>
    <w:rsid w:val="002243A1"/>
    <w:rsid w:val="0022602F"/>
    <w:rsid w:val="00226B2F"/>
    <w:rsid w:val="00226DDC"/>
    <w:rsid w:val="002311F0"/>
    <w:rsid w:val="00232D31"/>
    <w:rsid w:val="00235485"/>
    <w:rsid w:val="00235C69"/>
    <w:rsid w:val="00236183"/>
    <w:rsid w:val="002404D3"/>
    <w:rsid w:val="0024060D"/>
    <w:rsid w:val="002407D8"/>
    <w:rsid w:val="002419E0"/>
    <w:rsid w:val="002438FE"/>
    <w:rsid w:val="0024606F"/>
    <w:rsid w:val="0025391B"/>
    <w:rsid w:val="00254167"/>
    <w:rsid w:val="002548B9"/>
    <w:rsid w:val="00254F58"/>
    <w:rsid w:val="002574A7"/>
    <w:rsid w:val="00261792"/>
    <w:rsid w:val="00262C9F"/>
    <w:rsid w:val="00262E9C"/>
    <w:rsid w:val="00265BE6"/>
    <w:rsid w:val="00277545"/>
    <w:rsid w:val="00277DE7"/>
    <w:rsid w:val="0028509C"/>
    <w:rsid w:val="0028638B"/>
    <w:rsid w:val="0029256E"/>
    <w:rsid w:val="00294D4F"/>
    <w:rsid w:val="00296572"/>
    <w:rsid w:val="002A4815"/>
    <w:rsid w:val="002A5EDE"/>
    <w:rsid w:val="002B3182"/>
    <w:rsid w:val="002B5259"/>
    <w:rsid w:val="002B52D3"/>
    <w:rsid w:val="002C0CBB"/>
    <w:rsid w:val="002C2420"/>
    <w:rsid w:val="002C4713"/>
    <w:rsid w:val="002C4C36"/>
    <w:rsid w:val="002C5623"/>
    <w:rsid w:val="002C5724"/>
    <w:rsid w:val="002D00FA"/>
    <w:rsid w:val="002D0FD7"/>
    <w:rsid w:val="002D24BA"/>
    <w:rsid w:val="002D5B15"/>
    <w:rsid w:val="002D6061"/>
    <w:rsid w:val="002E266D"/>
    <w:rsid w:val="002E34B4"/>
    <w:rsid w:val="002E3FC7"/>
    <w:rsid w:val="002E4240"/>
    <w:rsid w:val="002E4CB3"/>
    <w:rsid w:val="002E5834"/>
    <w:rsid w:val="002E6CD8"/>
    <w:rsid w:val="002E7B6F"/>
    <w:rsid w:val="002E7D17"/>
    <w:rsid w:val="002F299A"/>
    <w:rsid w:val="002F301E"/>
    <w:rsid w:val="002F30F6"/>
    <w:rsid w:val="002F5816"/>
    <w:rsid w:val="00301ECA"/>
    <w:rsid w:val="00304186"/>
    <w:rsid w:val="003059E1"/>
    <w:rsid w:val="00306962"/>
    <w:rsid w:val="00307689"/>
    <w:rsid w:val="00315604"/>
    <w:rsid w:val="00316C21"/>
    <w:rsid w:val="003209B9"/>
    <w:rsid w:val="00321374"/>
    <w:rsid w:val="00322741"/>
    <w:rsid w:val="00326316"/>
    <w:rsid w:val="00332517"/>
    <w:rsid w:val="003325E9"/>
    <w:rsid w:val="00332705"/>
    <w:rsid w:val="003328BC"/>
    <w:rsid w:val="00332D9F"/>
    <w:rsid w:val="003371D5"/>
    <w:rsid w:val="00341168"/>
    <w:rsid w:val="00341247"/>
    <w:rsid w:val="00344055"/>
    <w:rsid w:val="00344D56"/>
    <w:rsid w:val="003475F3"/>
    <w:rsid w:val="00351322"/>
    <w:rsid w:val="00354267"/>
    <w:rsid w:val="003624B6"/>
    <w:rsid w:val="00364281"/>
    <w:rsid w:val="00366B79"/>
    <w:rsid w:val="00366E4D"/>
    <w:rsid w:val="00371399"/>
    <w:rsid w:val="0037268F"/>
    <w:rsid w:val="00373682"/>
    <w:rsid w:val="003749C8"/>
    <w:rsid w:val="00376C1A"/>
    <w:rsid w:val="003773DC"/>
    <w:rsid w:val="00377AB2"/>
    <w:rsid w:val="00380175"/>
    <w:rsid w:val="003848CE"/>
    <w:rsid w:val="00386228"/>
    <w:rsid w:val="0038679A"/>
    <w:rsid w:val="00387220"/>
    <w:rsid w:val="00387457"/>
    <w:rsid w:val="00387988"/>
    <w:rsid w:val="003912BF"/>
    <w:rsid w:val="003963AE"/>
    <w:rsid w:val="00397C2B"/>
    <w:rsid w:val="003A0C3D"/>
    <w:rsid w:val="003A142B"/>
    <w:rsid w:val="003A26FE"/>
    <w:rsid w:val="003A39CC"/>
    <w:rsid w:val="003A402F"/>
    <w:rsid w:val="003B07B8"/>
    <w:rsid w:val="003B226C"/>
    <w:rsid w:val="003B2279"/>
    <w:rsid w:val="003B45BB"/>
    <w:rsid w:val="003B5B7A"/>
    <w:rsid w:val="003B6801"/>
    <w:rsid w:val="003C1A4E"/>
    <w:rsid w:val="003C1ED3"/>
    <w:rsid w:val="003C3E09"/>
    <w:rsid w:val="003C58E2"/>
    <w:rsid w:val="003C65F0"/>
    <w:rsid w:val="003C770A"/>
    <w:rsid w:val="003D2912"/>
    <w:rsid w:val="003D2A5F"/>
    <w:rsid w:val="003D39CF"/>
    <w:rsid w:val="003D5E35"/>
    <w:rsid w:val="003E0CBE"/>
    <w:rsid w:val="003E16CD"/>
    <w:rsid w:val="003E1952"/>
    <w:rsid w:val="003E1E3F"/>
    <w:rsid w:val="003E47D8"/>
    <w:rsid w:val="003E4C03"/>
    <w:rsid w:val="003E7F23"/>
    <w:rsid w:val="003F0B9C"/>
    <w:rsid w:val="003F2A8A"/>
    <w:rsid w:val="003F2C7A"/>
    <w:rsid w:val="003F371F"/>
    <w:rsid w:val="003F43DF"/>
    <w:rsid w:val="003F51BC"/>
    <w:rsid w:val="003F5406"/>
    <w:rsid w:val="003F5454"/>
    <w:rsid w:val="003F5D56"/>
    <w:rsid w:val="0040318E"/>
    <w:rsid w:val="00407CAD"/>
    <w:rsid w:val="00407F5A"/>
    <w:rsid w:val="00411EE2"/>
    <w:rsid w:val="00412315"/>
    <w:rsid w:val="00414452"/>
    <w:rsid w:val="004153D1"/>
    <w:rsid w:val="00415B9C"/>
    <w:rsid w:val="0041632F"/>
    <w:rsid w:val="00417E4F"/>
    <w:rsid w:val="004220D1"/>
    <w:rsid w:val="0042242C"/>
    <w:rsid w:val="00423D58"/>
    <w:rsid w:val="004244A7"/>
    <w:rsid w:val="00430259"/>
    <w:rsid w:val="004304D2"/>
    <w:rsid w:val="004344E1"/>
    <w:rsid w:val="00436837"/>
    <w:rsid w:val="00437255"/>
    <w:rsid w:val="00437934"/>
    <w:rsid w:val="00437D76"/>
    <w:rsid w:val="00440672"/>
    <w:rsid w:val="004407D1"/>
    <w:rsid w:val="00444F1A"/>
    <w:rsid w:val="004450DA"/>
    <w:rsid w:val="0044616E"/>
    <w:rsid w:val="00446B99"/>
    <w:rsid w:val="00446EBF"/>
    <w:rsid w:val="004506E8"/>
    <w:rsid w:val="00450775"/>
    <w:rsid w:val="00452F37"/>
    <w:rsid w:val="0045599A"/>
    <w:rsid w:val="00457E8C"/>
    <w:rsid w:val="00461C68"/>
    <w:rsid w:val="00463C5B"/>
    <w:rsid w:val="0046497A"/>
    <w:rsid w:val="00465600"/>
    <w:rsid w:val="00470507"/>
    <w:rsid w:val="004708E4"/>
    <w:rsid w:val="00472E38"/>
    <w:rsid w:val="004770A9"/>
    <w:rsid w:val="00480793"/>
    <w:rsid w:val="0048260A"/>
    <w:rsid w:val="00482A75"/>
    <w:rsid w:val="00483D6F"/>
    <w:rsid w:val="0048437A"/>
    <w:rsid w:val="00485B63"/>
    <w:rsid w:val="00491124"/>
    <w:rsid w:val="00491A5A"/>
    <w:rsid w:val="00492A22"/>
    <w:rsid w:val="00492D6A"/>
    <w:rsid w:val="004A1B75"/>
    <w:rsid w:val="004A31D0"/>
    <w:rsid w:val="004A3315"/>
    <w:rsid w:val="004A44B3"/>
    <w:rsid w:val="004A474C"/>
    <w:rsid w:val="004A6EB2"/>
    <w:rsid w:val="004B04B3"/>
    <w:rsid w:val="004B10D6"/>
    <w:rsid w:val="004B31D3"/>
    <w:rsid w:val="004B52EC"/>
    <w:rsid w:val="004B7146"/>
    <w:rsid w:val="004C0187"/>
    <w:rsid w:val="004C1C8C"/>
    <w:rsid w:val="004C3C07"/>
    <w:rsid w:val="004C5151"/>
    <w:rsid w:val="004D40F4"/>
    <w:rsid w:val="004D55DB"/>
    <w:rsid w:val="004D5CA6"/>
    <w:rsid w:val="004D6903"/>
    <w:rsid w:val="004E0106"/>
    <w:rsid w:val="004E178C"/>
    <w:rsid w:val="004E4E21"/>
    <w:rsid w:val="004E7BCF"/>
    <w:rsid w:val="004F13EA"/>
    <w:rsid w:val="004F1FF9"/>
    <w:rsid w:val="004F22E6"/>
    <w:rsid w:val="004F3921"/>
    <w:rsid w:val="004F4315"/>
    <w:rsid w:val="004F559C"/>
    <w:rsid w:val="004F5B78"/>
    <w:rsid w:val="004F7D4E"/>
    <w:rsid w:val="00501680"/>
    <w:rsid w:val="00501C98"/>
    <w:rsid w:val="005044E6"/>
    <w:rsid w:val="00507669"/>
    <w:rsid w:val="005077C2"/>
    <w:rsid w:val="00511D02"/>
    <w:rsid w:val="0051751B"/>
    <w:rsid w:val="00517C87"/>
    <w:rsid w:val="00517D67"/>
    <w:rsid w:val="005205F9"/>
    <w:rsid w:val="00520EE8"/>
    <w:rsid w:val="00524F39"/>
    <w:rsid w:val="00530BB1"/>
    <w:rsid w:val="00531FC5"/>
    <w:rsid w:val="00534BC7"/>
    <w:rsid w:val="005369F0"/>
    <w:rsid w:val="00543072"/>
    <w:rsid w:val="00543B67"/>
    <w:rsid w:val="00547005"/>
    <w:rsid w:val="00552112"/>
    <w:rsid w:val="00560F4F"/>
    <w:rsid w:val="005645A5"/>
    <w:rsid w:val="00564C0E"/>
    <w:rsid w:val="0056745F"/>
    <w:rsid w:val="00567E41"/>
    <w:rsid w:val="00573337"/>
    <w:rsid w:val="0057706F"/>
    <w:rsid w:val="005773FA"/>
    <w:rsid w:val="00581061"/>
    <w:rsid w:val="00583BDD"/>
    <w:rsid w:val="00584319"/>
    <w:rsid w:val="00586AA2"/>
    <w:rsid w:val="0058795E"/>
    <w:rsid w:val="005902E7"/>
    <w:rsid w:val="00591F02"/>
    <w:rsid w:val="005926FD"/>
    <w:rsid w:val="005937AB"/>
    <w:rsid w:val="00593B67"/>
    <w:rsid w:val="005946EE"/>
    <w:rsid w:val="005975BE"/>
    <w:rsid w:val="005976D1"/>
    <w:rsid w:val="0059773F"/>
    <w:rsid w:val="005A135B"/>
    <w:rsid w:val="005A5AAD"/>
    <w:rsid w:val="005A5BBC"/>
    <w:rsid w:val="005A7D8A"/>
    <w:rsid w:val="005B0512"/>
    <w:rsid w:val="005B1447"/>
    <w:rsid w:val="005C0B4D"/>
    <w:rsid w:val="005C1059"/>
    <w:rsid w:val="005C20D3"/>
    <w:rsid w:val="005C2839"/>
    <w:rsid w:val="005C3144"/>
    <w:rsid w:val="005C3E90"/>
    <w:rsid w:val="005C674C"/>
    <w:rsid w:val="005C681C"/>
    <w:rsid w:val="005D1C60"/>
    <w:rsid w:val="005D4C89"/>
    <w:rsid w:val="005D7D82"/>
    <w:rsid w:val="005E12DB"/>
    <w:rsid w:val="005E14ED"/>
    <w:rsid w:val="005E5E6B"/>
    <w:rsid w:val="005E5FB0"/>
    <w:rsid w:val="005F2653"/>
    <w:rsid w:val="005F4300"/>
    <w:rsid w:val="005F51D5"/>
    <w:rsid w:val="006006D2"/>
    <w:rsid w:val="006015EC"/>
    <w:rsid w:val="0060199A"/>
    <w:rsid w:val="006035F4"/>
    <w:rsid w:val="00604786"/>
    <w:rsid w:val="00605925"/>
    <w:rsid w:val="00607688"/>
    <w:rsid w:val="00610000"/>
    <w:rsid w:val="006136FE"/>
    <w:rsid w:val="00613E3A"/>
    <w:rsid w:val="006207B5"/>
    <w:rsid w:val="00620B84"/>
    <w:rsid w:val="00620D99"/>
    <w:rsid w:val="00621BAA"/>
    <w:rsid w:val="00626C9F"/>
    <w:rsid w:val="00627A40"/>
    <w:rsid w:val="00627DFB"/>
    <w:rsid w:val="00630529"/>
    <w:rsid w:val="00631E66"/>
    <w:rsid w:val="00634639"/>
    <w:rsid w:val="006351FC"/>
    <w:rsid w:val="00636333"/>
    <w:rsid w:val="00644DC6"/>
    <w:rsid w:val="00645AEF"/>
    <w:rsid w:val="006462A9"/>
    <w:rsid w:val="0064696E"/>
    <w:rsid w:val="006517BB"/>
    <w:rsid w:val="00654D8F"/>
    <w:rsid w:val="00654DF8"/>
    <w:rsid w:val="00655522"/>
    <w:rsid w:val="00656CC4"/>
    <w:rsid w:val="00657709"/>
    <w:rsid w:val="00657A45"/>
    <w:rsid w:val="00660721"/>
    <w:rsid w:val="0066124E"/>
    <w:rsid w:val="0066278D"/>
    <w:rsid w:val="00663C83"/>
    <w:rsid w:val="0066406C"/>
    <w:rsid w:val="00664FD9"/>
    <w:rsid w:val="006655DA"/>
    <w:rsid w:val="00667E25"/>
    <w:rsid w:val="00671261"/>
    <w:rsid w:val="0067197B"/>
    <w:rsid w:val="00672B56"/>
    <w:rsid w:val="00674337"/>
    <w:rsid w:val="00677292"/>
    <w:rsid w:val="006800CA"/>
    <w:rsid w:val="00682D9E"/>
    <w:rsid w:val="00686A62"/>
    <w:rsid w:val="00687B66"/>
    <w:rsid w:val="00687C69"/>
    <w:rsid w:val="00691432"/>
    <w:rsid w:val="0069506A"/>
    <w:rsid w:val="00697591"/>
    <w:rsid w:val="00697C47"/>
    <w:rsid w:val="006A36DA"/>
    <w:rsid w:val="006A3A3C"/>
    <w:rsid w:val="006A6732"/>
    <w:rsid w:val="006A700E"/>
    <w:rsid w:val="006B173B"/>
    <w:rsid w:val="006B3B7D"/>
    <w:rsid w:val="006B4745"/>
    <w:rsid w:val="006B519D"/>
    <w:rsid w:val="006B7A9E"/>
    <w:rsid w:val="006C04FD"/>
    <w:rsid w:val="006C263E"/>
    <w:rsid w:val="006C50D5"/>
    <w:rsid w:val="006D2273"/>
    <w:rsid w:val="006D2280"/>
    <w:rsid w:val="006D7200"/>
    <w:rsid w:val="006D7B4C"/>
    <w:rsid w:val="006E793E"/>
    <w:rsid w:val="006F2B77"/>
    <w:rsid w:val="006F6227"/>
    <w:rsid w:val="006F67BF"/>
    <w:rsid w:val="006F76A0"/>
    <w:rsid w:val="00700DD7"/>
    <w:rsid w:val="007015DE"/>
    <w:rsid w:val="00701AC1"/>
    <w:rsid w:val="00703CE8"/>
    <w:rsid w:val="0070598F"/>
    <w:rsid w:val="00706B21"/>
    <w:rsid w:val="00710100"/>
    <w:rsid w:val="00711235"/>
    <w:rsid w:val="00714721"/>
    <w:rsid w:val="0071644C"/>
    <w:rsid w:val="00717032"/>
    <w:rsid w:val="00722608"/>
    <w:rsid w:val="00723FF7"/>
    <w:rsid w:val="0072716B"/>
    <w:rsid w:val="00731394"/>
    <w:rsid w:val="00732809"/>
    <w:rsid w:val="00734712"/>
    <w:rsid w:val="00734FB7"/>
    <w:rsid w:val="007368C3"/>
    <w:rsid w:val="00740C3F"/>
    <w:rsid w:val="0074177D"/>
    <w:rsid w:val="0074453B"/>
    <w:rsid w:val="00745B93"/>
    <w:rsid w:val="00745F70"/>
    <w:rsid w:val="007462FF"/>
    <w:rsid w:val="00746357"/>
    <w:rsid w:val="007471DE"/>
    <w:rsid w:val="00750EA2"/>
    <w:rsid w:val="007518F7"/>
    <w:rsid w:val="00751D1F"/>
    <w:rsid w:val="0075350A"/>
    <w:rsid w:val="0075523A"/>
    <w:rsid w:val="00756445"/>
    <w:rsid w:val="0075660C"/>
    <w:rsid w:val="00760214"/>
    <w:rsid w:val="00760F77"/>
    <w:rsid w:val="00761977"/>
    <w:rsid w:val="00762019"/>
    <w:rsid w:val="007620C1"/>
    <w:rsid w:val="007638B0"/>
    <w:rsid w:val="00764750"/>
    <w:rsid w:val="007648B9"/>
    <w:rsid w:val="007666F0"/>
    <w:rsid w:val="00767CB2"/>
    <w:rsid w:val="0077139A"/>
    <w:rsid w:val="00774DE3"/>
    <w:rsid w:val="00775299"/>
    <w:rsid w:val="0077623E"/>
    <w:rsid w:val="007810CC"/>
    <w:rsid w:val="007857C2"/>
    <w:rsid w:val="00786776"/>
    <w:rsid w:val="00786A19"/>
    <w:rsid w:val="00790489"/>
    <w:rsid w:val="0079048D"/>
    <w:rsid w:val="007922AC"/>
    <w:rsid w:val="00795F03"/>
    <w:rsid w:val="00796FA5"/>
    <w:rsid w:val="007A225F"/>
    <w:rsid w:val="007A3EF4"/>
    <w:rsid w:val="007A402D"/>
    <w:rsid w:val="007A62F9"/>
    <w:rsid w:val="007B0A42"/>
    <w:rsid w:val="007B1B0B"/>
    <w:rsid w:val="007B43A1"/>
    <w:rsid w:val="007B5746"/>
    <w:rsid w:val="007C1971"/>
    <w:rsid w:val="007C20AF"/>
    <w:rsid w:val="007C625D"/>
    <w:rsid w:val="007C6340"/>
    <w:rsid w:val="007D0F7E"/>
    <w:rsid w:val="007D1811"/>
    <w:rsid w:val="007D1C9F"/>
    <w:rsid w:val="007D281C"/>
    <w:rsid w:val="007D38DC"/>
    <w:rsid w:val="007D595B"/>
    <w:rsid w:val="007D69D9"/>
    <w:rsid w:val="007D7EF9"/>
    <w:rsid w:val="007E0EF4"/>
    <w:rsid w:val="007E2010"/>
    <w:rsid w:val="007E4FFA"/>
    <w:rsid w:val="007E6AD3"/>
    <w:rsid w:val="007E714C"/>
    <w:rsid w:val="007F0366"/>
    <w:rsid w:val="007F1A43"/>
    <w:rsid w:val="007F2574"/>
    <w:rsid w:val="007F6811"/>
    <w:rsid w:val="00800FCC"/>
    <w:rsid w:val="00810B8E"/>
    <w:rsid w:val="00812D19"/>
    <w:rsid w:val="008156DB"/>
    <w:rsid w:val="0081711A"/>
    <w:rsid w:val="00820442"/>
    <w:rsid w:val="0082251E"/>
    <w:rsid w:val="00824F39"/>
    <w:rsid w:val="008253E3"/>
    <w:rsid w:val="008257AF"/>
    <w:rsid w:val="00827669"/>
    <w:rsid w:val="008319CD"/>
    <w:rsid w:val="008324B4"/>
    <w:rsid w:val="00841BB1"/>
    <w:rsid w:val="00841E22"/>
    <w:rsid w:val="00841F8E"/>
    <w:rsid w:val="00842DB4"/>
    <w:rsid w:val="00844A0D"/>
    <w:rsid w:val="0085642B"/>
    <w:rsid w:val="0086140C"/>
    <w:rsid w:val="008642BC"/>
    <w:rsid w:val="008658A2"/>
    <w:rsid w:val="0086622B"/>
    <w:rsid w:val="00867ADA"/>
    <w:rsid w:val="008739FD"/>
    <w:rsid w:val="00873D22"/>
    <w:rsid w:val="00876884"/>
    <w:rsid w:val="0087695F"/>
    <w:rsid w:val="00876FA7"/>
    <w:rsid w:val="0087723C"/>
    <w:rsid w:val="0088043B"/>
    <w:rsid w:val="008848B2"/>
    <w:rsid w:val="0088490F"/>
    <w:rsid w:val="00884B0E"/>
    <w:rsid w:val="0088636E"/>
    <w:rsid w:val="00890CE5"/>
    <w:rsid w:val="0089120E"/>
    <w:rsid w:val="0089350D"/>
    <w:rsid w:val="00894761"/>
    <w:rsid w:val="00895616"/>
    <w:rsid w:val="008A0E04"/>
    <w:rsid w:val="008A0ED1"/>
    <w:rsid w:val="008A161C"/>
    <w:rsid w:val="008A19BE"/>
    <w:rsid w:val="008A33BF"/>
    <w:rsid w:val="008A3474"/>
    <w:rsid w:val="008A47B4"/>
    <w:rsid w:val="008A4C7F"/>
    <w:rsid w:val="008A5010"/>
    <w:rsid w:val="008A78E7"/>
    <w:rsid w:val="008A7D2B"/>
    <w:rsid w:val="008B0952"/>
    <w:rsid w:val="008B0A42"/>
    <w:rsid w:val="008B529F"/>
    <w:rsid w:val="008B52A9"/>
    <w:rsid w:val="008C0BEB"/>
    <w:rsid w:val="008C0F89"/>
    <w:rsid w:val="008C1366"/>
    <w:rsid w:val="008C16D2"/>
    <w:rsid w:val="008C2C55"/>
    <w:rsid w:val="008C4374"/>
    <w:rsid w:val="008C449B"/>
    <w:rsid w:val="008C5FA0"/>
    <w:rsid w:val="008C741A"/>
    <w:rsid w:val="008D1A64"/>
    <w:rsid w:val="008D632A"/>
    <w:rsid w:val="008E0994"/>
    <w:rsid w:val="008E0AF2"/>
    <w:rsid w:val="008E4372"/>
    <w:rsid w:val="008F0FBB"/>
    <w:rsid w:val="008F2329"/>
    <w:rsid w:val="008F3A11"/>
    <w:rsid w:val="008F49CE"/>
    <w:rsid w:val="008F4D2B"/>
    <w:rsid w:val="008F50B4"/>
    <w:rsid w:val="008F5A3D"/>
    <w:rsid w:val="008F6E13"/>
    <w:rsid w:val="009006C3"/>
    <w:rsid w:val="0090104D"/>
    <w:rsid w:val="00901920"/>
    <w:rsid w:val="0090233C"/>
    <w:rsid w:val="009026CA"/>
    <w:rsid w:val="009041C1"/>
    <w:rsid w:val="00904DD7"/>
    <w:rsid w:val="009068E9"/>
    <w:rsid w:val="00906E4F"/>
    <w:rsid w:val="00907C7E"/>
    <w:rsid w:val="00913FC8"/>
    <w:rsid w:val="00913FD7"/>
    <w:rsid w:val="009161E2"/>
    <w:rsid w:val="00916990"/>
    <w:rsid w:val="0091764A"/>
    <w:rsid w:val="00922A0D"/>
    <w:rsid w:val="00922DA1"/>
    <w:rsid w:val="00924B5B"/>
    <w:rsid w:val="009250DA"/>
    <w:rsid w:val="0092730A"/>
    <w:rsid w:val="00927839"/>
    <w:rsid w:val="00932DAD"/>
    <w:rsid w:val="00934D2B"/>
    <w:rsid w:val="00935392"/>
    <w:rsid w:val="00936D05"/>
    <w:rsid w:val="00937C6A"/>
    <w:rsid w:val="009413E7"/>
    <w:rsid w:val="00941916"/>
    <w:rsid w:val="009425DE"/>
    <w:rsid w:val="009432B5"/>
    <w:rsid w:val="00944493"/>
    <w:rsid w:val="00951D0F"/>
    <w:rsid w:val="00952C08"/>
    <w:rsid w:val="0095743F"/>
    <w:rsid w:val="00957C5C"/>
    <w:rsid w:val="00962912"/>
    <w:rsid w:val="0096388E"/>
    <w:rsid w:val="009724BD"/>
    <w:rsid w:val="00974405"/>
    <w:rsid w:val="0098004D"/>
    <w:rsid w:val="00980133"/>
    <w:rsid w:val="0098042E"/>
    <w:rsid w:val="00980D13"/>
    <w:rsid w:val="00981ED5"/>
    <w:rsid w:val="009843DF"/>
    <w:rsid w:val="00984DD9"/>
    <w:rsid w:val="00984F2B"/>
    <w:rsid w:val="0099162F"/>
    <w:rsid w:val="009917A3"/>
    <w:rsid w:val="00995E2A"/>
    <w:rsid w:val="00996BF4"/>
    <w:rsid w:val="0099754F"/>
    <w:rsid w:val="009A07F1"/>
    <w:rsid w:val="009A479F"/>
    <w:rsid w:val="009A5060"/>
    <w:rsid w:val="009A5636"/>
    <w:rsid w:val="009A613B"/>
    <w:rsid w:val="009A6DE7"/>
    <w:rsid w:val="009A7114"/>
    <w:rsid w:val="009B00A9"/>
    <w:rsid w:val="009B2F96"/>
    <w:rsid w:val="009B45D8"/>
    <w:rsid w:val="009B4D15"/>
    <w:rsid w:val="009B4DEB"/>
    <w:rsid w:val="009B5E61"/>
    <w:rsid w:val="009B6318"/>
    <w:rsid w:val="009B6351"/>
    <w:rsid w:val="009C391B"/>
    <w:rsid w:val="009C467C"/>
    <w:rsid w:val="009C54BB"/>
    <w:rsid w:val="009C5569"/>
    <w:rsid w:val="009C6D14"/>
    <w:rsid w:val="009D06D6"/>
    <w:rsid w:val="009D2B83"/>
    <w:rsid w:val="009D5BCA"/>
    <w:rsid w:val="009E12BA"/>
    <w:rsid w:val="009E1627"/>
    <w:rsid w:val="009E3DC4"/>
    <w:rsid w:val="009E3F26"/>
    <w:rsid w:val="009E668E"/>
    <w:rsid w:val="009E790A"/>
    <w:rsid w:val="009F0611"/>
    <w:rsid w:val="009F1DF6"/>
    <w:rsid w:val="009F3015"/>
    <w:rsid w:val="009F42E1"/>
    <w:rsid w:val="009F5BF3"/>
    <w:rsid w:val="00A00522"/>
    <w:rsid w:val="00A0243E"/>
    <w:rsid w:val="00A026CF"/>
    <w:rsid w:val="00A02D88"/>
    <w:rsid w:val="00A12B08"/>
    <w:rsid w:val="00A16F2A"/>
    <w:rsid w:val="00A201C8"/>
    <w:rsid w:val="00A240FC"/>
    <w:rsid w:val="00A26BA2"/>
    <w:rsid w:val="00A2749A"/>
    <w:rsid w:val="00A31F04"/>
    <w:rsid w:val="00A333C8"/>
    <w:rsid w:val="00A360F7"/>
    <w:rsid w:val="00A3653C"/>
    <w:rsid w:val="00A42BDB"/>
    <w:rsid w:val="00A4535B"/>
    <w:rsid w:val="00A468F1"/>
    <w:rsid w:val="00A50FF1"/>
    <w:rsid w:val="00A51C58"/>
    <w:rsid w:val="00A54CCA"/>
    <w:rsid w:val="00A556E6"/>
    <w:rsid w:val="00A56622"/>
    <w:rsid w:val="00A56826"/>
    <w:rsid w:val="00A6509D"/>
    <w:rsid w:val="00A67547"/>
    <w:rsid w:val="00A70A25"/>
    <w:rsid w:val="00A76051"/>
    <w:rsid w:val="00A77500"/>
    <w:rsid w:val="00A8095E"/>
    <w:rsid w:val="00A829ED"/>
    <w:rsid w:val="00A84352"/>
    <w:rsid w:val="00A84F09"/>
    <w:rsid w:val="00A93536"/>
    <w:rsid w:val="00A948BE"/>
    <w:rsid w:val="00A9539F"/>
    <w:rsid w:val="00A9696C"/>
    <w:rsid w:val="00AA0329"/>
    <w:rsid w:val="00AA28F2"/>
    <w:rsid w:val="00AA34AD"/>
    <w:rsid w:val="00AA4A45"/>
    <w:rsid w:val="00AA5193"/>
    <w:rsid w:val="00AA5723"/>
    <w:rsid w:val="00AB0015"/>
    <w:rsid w:val="00AB0FD7"/>
    <w:rsid w:val="00AB1776"/>
    <w:rsid w:val="00AB2504"/>
    <w:rsid w:val="00AB7178"/>
    <w:rsid w:val="00AC08BA"/>
    <w:rsid w:val="00AC3EC5"/>
    <w:rsid w:val="00AC409B"/>
    <w:rsid w:val="00AC4897"/>
    <w:rsid w:val="00AC616D"/>
    <w:rsid w:val="00AC763A"/>
    <w:rsid w:val="00AD792F"/>
    <w:rsid w:val="00AD7B33"/>
    <w:rsid w:val="00AE781C"/>
    <w:rsid w:val="00AF3C50"/>
    <w:rsid w:val="00AF49C1"/>
    <w:rsid w:val="00AF5A6D"/>
    <w:rsid w:val="00AF6C9A"/>
    <w:rsid w:val="00B0043A"/>
    <w:rsid w:val="00B02CAF"/>
    <w:rsid w:val="00B03457"/>
    <w:rsid w:val="00B047EE"/>
    <w:rsid w:val="00B10045"/>
    <w:rsid w:val="00B105CF"/>
    <w:rsid w:val="00B10C8C"/>
    <w:rsid w:val="00B1234B"/>
    <w:rsid w:val="00B14DE2"/>
    <w:rsid w:val="00B2026F"/>
    <w:rsid w:val="00B22F6E"/>
    <w:rsid w:val="00B249F9"/>
    <w:rsid w:val="00B24B3F"/>
    <w:rsid w:val="00B27CF8"/>
    <w:rsid w:val="00B32308"/>
    <w:rsid w:val="00B34B7B"/>
    <w:rsid w:val="00B34FB1"/>
    <w:rsid w:val="00B4164C"/>
    <w:rsid w:val="00B457FB"/>
    <w:rsid w:val="00B46A97"/>
    <w:rsid w:val="00B52D59"/>
    <w:rsid w:val="00B567BD"/>
    <w:rsid w:val="00B56C7C"/>
    <w:rsid w:val="00B65219"/>
    <w:rsid w:val="00B66F01"/>
    <w:rsid w:val="00B716F6"/>
    <w:rsid w:val="00B724EC"/>
    <w:rsid w:val="00B755EE"/>
    <w:rsid w:val="00B75E35"/>
    <w:rsid w:val="00B76C22"/>
    <w:rsid w:val="00B76D84"/>
    <w:rsid w:val="00B77EEC"/>
    <w:rsid w:val="00B80036"/>
    <w:rsid w:val="00B805C9"/>
    <w:rsid w:val="00B808F3"/>
    <w:rsid w:val="00B81B33"/>
    <w:rsid w:val="00B83329"/>
    <w:rsid w:val="00B83F2E"/>
    <w:rsid w:val="00B84ADC"/>
    <w:rsid w:val="00B85212"/>
    <w:rsid w:val="00B86CA5"/>
    <w:rsid w:val="00B87480"/>
    <w:rsid w:val="00B878F3"/>
    <w:rsid w:val="00B9318C"/>
    <w:rsid w:val="00B9384D"/>
    <w:rsid w:val="00B941CC"/>
    <w:rsid w:val="00B96162"/>
    <w:rsid w:val="00B97371"/>
    <w:rsid w:val="00BA3480"/>
    <w:rsid w:val="00BA399A"/>
    <w:rsid w:val="00BA7C81"/>
    <w:rsid w:val="00BB0CFA"/>
    <w:rsid w:val="00BB1B2E"/>
    <w:rsid w:val="00BB369B"/>
    <w:rsid w:val="00BB5060"/>
    <w:rsid w:val="00BB60A6"/>
    <w:rsid w:val="00BC034A"/>
    <w:rsid w:val="00BC28DA"/>
    <w:rsid w:val="00BC2E4C"/>
    <w:rsid w:val="00BC4AB6"/>
    <w:rsid w:val="00BC575B"/>
    <w:rsid w:val="00BC7CC3"/>
    <w:rsid w:val="00BD10B1"/>
    <w:rsid w:val="00BD4218"/>
    <w:rsid w:val="00BD5341"/>
    <w:rsid w:val="00BD68CA"/>
    <w:rsid w:val="00BE0C4D"/>
    <w:rsid w:val="00BE4950"/>
    <w:rsid w:val="00BE65F8"/>
    <w:rsid w:val="00BE6DD7"/>
    <w:rsid w:val="00BF1942"/>
    <w:rsid w:val="00BF490E"/>
    <w:rsid w:val="00BF5345"/>
    <w:rsid w:val="00BF5BB1"/>
    <w:rsid w:val="00BF5F38"/>
    <w:rsid w:val="00BF7CDC"/>
    <w:rsid w:val="00C00416"/>
    <w:rsid w:val="00C02B64"/>
    <w:rsid w:val="00C05F26"/>
    <w:rsid w:val="00C12543"/>
    <w:rsid w:val="00C13BC9"/>
    <w:rsid w:val="00C151CC"/>
    <w:rsid w:val="00C16E43"/>
    <w:rsid w:val="00C2207E"/>
    <w:rsid w:val="00C26027"/>
    <w:rsid w:val="00C26448"/>
    <w:rsid w:val="00C31B7E"/>
    <w:rsid w:val="00C323D5"/>
    <w:rsid w:val="00C338FA"/>
    <w:rsid w:val="00C34D6C"/>
    <w:rsid w:val="00C37C9F"/>
    <w:rsid w:val="00C40152"/>
    <w:rsid w:val="00C4067A"/>
    <w:rsid w:val="00C42063"/>
    <w:rsid w:val="00C448BD"/>
    <w:rsid w:val="00C5011E"/>
    <w:rsid w:val="00C50237"/>
    <w:rsid w:val="00C55638"/>
    <w:rsid w:val="00C6028B"/>
    <w:rsid w:val="00C6630F"/>
    <w:rsid w:val="00C6634A"/>
    <w:rsid w:val="00C706AE"/>
    <w:rsid w:val="00C72EDC"/>
    <w:rsid w:val="00C732FD"/>
    <w:rsid w:val="00C73587"/>
    <w:rsid w:val="00C74662"/>
    <w:rsid w:val="00C74F96"/>
    <w:rsid w:val="00C76086"/>
    <w:rsid w:val="00C841DD"/>
    <w:rsid w:val="00C849AD"/>
    <w:rsid w:val="00C9058C"/>
    <w:rsid w:val="00C91D45"/>
    <w:rsid w:val="00C93FB4"/>
    <w:rsid w:val="00C94CC2"/>
    <w:rsid w:val="00CA1268"/>
    <w:rsid w:val="00CA13C5"/>
    <w:rsid w:val="00CA1B7C"/>
    <w:rsid w:val="00CA3A62"/>
    <w:rsid w:val="00CA4DD2"/>
    <w:rsid w:val="00CA5354"/>
    <w:rsid w:val="00CA5611"/>
    <w:rsid w:val="00CA5C4D"/>
    <w:rsid w:val="00CB3017"/>
    <w:rsid w:val="00CB3189"/>
    <w:rsid w:val="00CB5DF5"/>
    <w:rsid w:val="00CB5F42"/>
    <w:rsid w:val="00CB6082"/>
    <w:rsid w:val="00CB6122"/>
    <w:rsid w:val="00CC0712"/>
    <w:rsid w:val="00CC0ED5"/>
    <w:rsid w:val="00CC2E90"/>
    <w:rsid w:val="00CC502E"/>
    <w:rsid w:val="00CD0806"/>
    <w:rsid w:val="00CD160F"/>
    <w:rsid w:val="00CD3683"/>
    <w:rsid w:val="00CD572D"/>
    <w:rsid w:val="00CD5E74"/>
    <w:rsid w:val="00CD6EEB"/>
    <w:rsid w:val="00CD75B3"/>
    <w:rsid w:val="00CE2DFE"/>
    <w:rsid w:val="00CE6883"/>
    <w:rsid w:val="00CF1186"/>
    <w:rsid w:val="00CF17AA"/>
    <w:rsid w:val="00CF1A04"/>
    <w:rsid w:val="00CF31C5"/>
    <w:rsid w:val="00D02140"/>
    <w:rsid w:val="00D03EBB"/>
    <w:rsid w:val="00D052BB"/>
    <w:rsid w:val="00D1109D"/>
    <w:rsid w:val="00D136FD"/>
    <w:rsid w:val="00D1428E"/>
    <w:rsid w:val="00D161A9"/>
    <w:rsid w:val="00D16492"/>
    <w:rsid w:val="00D205DB"/>
    <w:rsid w:val="00D206B0"/>
    <w:rsid w:val="00D24188"/>
    <w:rsid w:val="00D2700D"/>
    <w:rsid w:val="00D30D92"/>
    <w:rsid w:val="00D3227F"/>
    <w:rsid w:val="00D330E3"/>
    <w:rsid w:val="00D34F15"/>
    <w:rsid w:val="00D415B0"/>
    <w:rsid w:val="00D41ACC"/>
    <w:rsid w:val="00D420F8"/>
    <w:rsid w:val="00D459B4"/>
    <w:rsid w:val="00D4723D"/>
    <w:rsid w:val="00D5236B"/>
    <w:rsid w:val="00D5304F"/>
    <w:rsid w:val="00D54EB3"/>
    <w:rsid w:val="00D61FEB"/>
    <w:rsid w:val="00D63F4D"/>
    <w:rsid w:val="00D659A7"/>
    <w:rsid w:val="00D74744"/>
    <w:rsid w:val="00D74CEE"/>
    <w:rsid w:val="00D7577A"/>
    <w:rsid w:val="00D75970"/>
    <w:rsid w:val="00D77DC8"/>
    <w:rsid w:val="00D801CF"/>
    <w:rsid w:val="00D80314"/>
    <w:rsid w:val="00D81CD2"/>
    <w:rsid w:val="00D835E9"/>
    <w:rsid w:val="00D90DDB"/>
    <w:rsid w:val="00D916C8"/>
    <w:rsid w:val="00D93A34"/>
    <w:rsid w:val="00D9435A"/>
    <w:rsid w:val="00D95984"/>
    <w:rsid w:val="00D970BD"/>
    <w:rsid w:val="00D97309"/>
    <w:rsid w:val="00DA382C"/>
    <w:rsid w:val="00DA4C33"/>
    <w:rsid w:val="00DA5E14"/>
    <w:rsid w:val="00DA738C"/>
    <w:rsid w:val="00DB4130"/>
    <w:rsid w:val="00DB456D"/>
    <w:rsid w:val="00DB510C"/>
    <w:rsid w:val="00DB77B5"/>
    <w:rsid w:val="00DC2BDA"/>
    <w:rsid w:val="00DC51F1"/>
    <w:rsid w:val="00DC774E"/>
    <w:rsid w:val="00DD20AC"/>
    <w:rsid w:val="00DD2D46"/>
    <w:rsid w:val="00DE3D93"/>
    <w:rsid w:val="00DE6EA6"/>
    <w:rsid w:val="00DF3384"/>
    <w:rsid w:val="00E01D36"/>
    <w:rsid w:val="00E03FD8"/>
    <w:rsid w:val="00E057F2"/>
    <w:rsid w:val="00E10EDD"/>
    <w:rsid w:val="00E146CA"/>
    <w:rsid w:val="00E150D3"/>
    <w:rsid w:val="00E16131"/>
    <w:rsid w:val="00E20D7D"/>
    <w:rsid w:val="00E23CDF"/>
    <w:rsid w:val="00E244CE"/>
    <w:rsid w:val="00E30172"/>
    <w:rsid w:val="00E350CD"/>
    <w:rsid w:val="00E35F00"/>
    <w:rsid w:val="00E41229"/>
    <w:rsid w:val="00E441B5"/>
    <w:rsid w:val="00E44AD3"/>
    <w:rsid w:val="00E50CE5"/>
    <w:rsid w:val="00E51DDF"/>
    <w:rsid w:val="00E51ED5"/>
    <w:rsid w:val="00E54E7C"/>
    <w:rsid w:val="00E555C3"/>
    <w:rsid w:val="00E574A0"/>
    <w:rsid w:val="00E602AD"/>
    <w:rsid w:val="00E62C4A"/>
    <w:rsid w:val="00E65B59"/>
    <w:rsid w:val="00E65C34"/>
    <w:rsid w:val="00E71558"/>
    <w:rsid w:val="00E71F04"/>
    <w:rsid w:val="00E725F3"/>
    <w:rsid w:val="00E73452"/>
    <w:rsid w:val="00E73912"/>
    <w:rsid w:val="00E73DE6"/>
    <w:rsid w:val="00E7691F"/>
    <w:rsid w:val="00E77288"/>
    <w:rsid w:val="00E807D0"/>
    <w:rsid w:val="00E834D4"/>
    <w:rsid w:val="00E8458D"/>
    <w:rsid w:val="00E902B0"/>
    <w:rsid w:val="00E91BBD"/>
    <w:rsid w:val="00E92122"/>
    <w:rsid w:val="00E940D5"/>
    <w:rsid w:val="00E94A6F"/>
    <w:rsid w:val="00E94E3B"/>
    <w:rsid w:val="00E96717"/>
    <w:rsid w:val="00EA3AB9"/>
    <w:rsid w:val="00EA50E1"/>
    <w:rsid w:val="00EA6409"/>
    <w:rsid w:val="00EB3288"/>
    <w:rsid w:val="00EB543A"/>
    <w:rsid w:val="00EC0514"/>
    <w:rsid w:val="00EC3947"/>
    <w:rsid w:val="00EC3F66"/>
    <w:rsid w:val="00EC4213"/>
    <w:rsid w:val="00EC4CCC"/>
    <w:rsid w:val="00EC6EB2"/>
    <w:rsid w:val="00EC7D94"/>
    <w:rsid w:val="00ED1704"/>
    <w:rsid w:val="00ED2436"/>
    <w:rsid w:val="00ED3EA2"/>
    <w:rsid w:val="00EE0B19"/>
    <w:rsid w:val="00EE1172"/>
    <w:rsid w:val="00EE3865"/>
    <w:rsid w:val="00EE3A17"/>
    <w:rsid w:val="00EE618F"/>
    <w:rsid w:val="00EE71E4"/>
    <w:rsid w:val="00EF1302"/>
    <w:rsid w:val="00EF1ADE"/>
    <w:rsid w:val="00EF1F4F"/>
    <w:rsid w:val="00EF4733"/>
    <w:rsid w:val="00EF740D"/>
    <w:rsid w:val="00F04CBC"/>
    <w:rsid w:val="00F07BDD"/>
    <w:rsid w:val="00F12999"/>
    <w:rsid w:val="00F12A92"/>
    <w:rsid w:val="00F131EA"/>
    <w:rsid w:val="00F1583F"/>
    <w:rsid w:val="00F15CF6"/>
    <w:rsid w:val="00F218D4"/>
    <w:rsid w:val="00F23107"/>
    <w:rsid w:val="00F24855"/>
    <w:rsid w:val="00F263E9"/>
    <w:rsid w:val="00F2677C"/>
    <w:rsid w:val="00F31386"/>
    <w:rsid w:val="00F313BE"/>
    <w:rsid w:val="00F33A66"/>
    <w:rsid w:val="00F33DFE"/>
    <w:rsid w:val="00F35118"/>
    <w:rsid w:val="00F4072D"/>
    <w:rsid w:val="00F41A11"/>
    <w:rsid w:val="00F4208F"/>
    <w:rsid w:val="00F47553"/>
    <w:rsid w:val="00F53684"/>
    <w:rsid w:val="00F542E4"/>
    <w:rsid w:val="00F54860"/>
    <w:rsid w:val="00F55551"/>
    <w:rsid w:val="00F559C8"/>
    <w:rsid w:val="00F608AD"/>
    <w:rsid w:val="00F61FC8"/>
    <w:rsid w:val="00F62155"/>
    <w:rsid w:val="00F630A2"/>
    <w:rsid w:val="00F641B4"/>
    <w:rsid w:val="00F6510D"/>
    <w:rsid w:val="00F655C0"/>
    <w:rsid w:val="00F739DF"/>
    <w:rsid w:val="00F74913"/>
    <w:rsid w:val="00F76B0B"/>
    <w:rsid w:val="00F80893"/>
    <w:rsid w:val="00F80935"/>
    <w:rsid w:val="00F82E43"/>
    <w:rsid w:val="00F84D98"/>
    <w:rsid w:val="00F85023"/>
    <w:rsid w:val="00F85E00"/>
    <w:rsid w:val="00F8663D"/>
    <w:rsid w:val="00F93732"/>
    <w:rsid w:val="00F959F0"/>
    <w:rsid w:val="00F95F7C"/>
    <w:rsid w:val="00FA22C4"/>
    <w:rsid w:val="00FA2F10"/>
    <w:rsid w:val="00FA38CD"/>
    <w:rsid w:val="00FA4985"/>
    <w:rsid w:val="00FA5409"/>
    <w:rsid w:val="00FA5B7A"/>
    <w:rsid w:val="00FA773B"/>
    <w:rsid w:val="00FA7DBC"/>
    <w:rsid w:val="00FA7FA3"/>
    <w:rsid w:val="00FB1227"/>
    <w:rsid w:val="00FB1402"/>
    <w:rsid w:val="00FB1572"/>
    <w:rsid w:val="00FB46C1"/>
    <w:rsid w:val="00FB5AF9"/>
    <w:rsid w:val="00FB6F19"/>
    <w:rsid w:val="00FC06C0"/>
    <w:rsid w:val="00FC0B37"/>
    <w:rsid w:val="00FC6062"/>
    <w:rsid w:val="00FC69B9"/>
    <w:rsid w:val="00FC6FBC"/>
    <w:rsid w:val="00FD18E6"/>
    <w:rsid w:val="00FD285D"/>
    <w:rsid w:val="00FD31FF"/>
    <w:rsid w:val="00FE01E3"/>
    <w:rsid w:val="00FE2119"/>
    <w:rsid w:val="00FE3386"/>
    <w:rsid w:val="00FE36DF"/>
    <w:rsid w:val="00FE4070"/>
    <w:rsid w:val="00FE4BB2"/>
    <w:rsid w:val="00FE4C4B"/>
    <w:rsid w:val="00FE586C"/>
    <w:rsid w:val="00FE649B"/>
    <w:rsid w:val="00FF378E"/>
    <w:rsid w:val="00FF47EC"/>
    <w:rsid w:val="00FF5626"/>
    <w:rsid w:val="00FF6F5E"/>
    <w:rsid w:val="00FF7B48"/>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9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C0"/>
    <w:pPr>
      <w:spacing w:after="100" w:line="400" w:lineRule="exact"/>
      <w:jc w:val="both"/>
    </w:pPr>
    <w:rPr>
      <w:rFonts w:ascii="Century Schoolbook" w:hAnsi="Century Schoolbook"/>
      <w:sz w:val="27"/>
    </w:rPr>
  </w:style>
  <w:style w:type="paragraph" w:styleId="Heading1">
    <w:name w:val="heading 1"/>
    <w:basedOn w:val="Normal"/>
    <w:next w:val="Normal"/>
    <w:qFormat/>
    <w:rsid w:val="000D10C0"/>
    <w:pPr>
      <w:keepNext/>
      <w:spacing w:before="140" w:line="240" w:lineRule="atLeast"/>
      <w:jc w:val="center"/>
      <w:outlineLvl w:val="0"/>
    </w:pPr>
    <w:rPr>
      <w:b/>
      <w:smallCaps/>
    </w:rPr>
  </w:style>
  <w:style w:type="paragraph" w:styleId="Heading2">
    <w:name w:val="heading 2"/>
    <w:basedOn w:val="Normal"/>
    <w:next w:val="Normal"/>
    <w:qFormat/>
    <w:rsid w:val="000D10C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D10C0"/>
    <w:pPr>
      <w:keepNext/>
      <w:tabs>
        <w:tab w:val="left" w:pos="1584"/>
      </w:tabs>
      <w:spacing w:before="140" w:line="240" w:lineRule="atLeast"/>
      <w:ind w:left="1584" w:hanging="432"/>
      <w:jc w:val="left"/>
      <w:outlineLvl w:val="2"/>
    </w:pPr>
    <w:rPr>
      <w:i/>
    </w:rPr>
  </w:style>
  <w:style w:type="paragraph" w:styleId="Heading4">
    <w:name w:val="heading 4"/>
    <w:basedOn w:val="Normal"/>
    <w:rsid w:val="000D10C0"/>
    <w:pPr>
      <w:keepNext/>
      <w:tabs>
        <w:tab w:val="left" w:pos="2016"/>
      </w:tabs>
      <w:spacing w:before="140" w:line="240" w:lineRule="atLeast"/>
      <w:ind w:left="2016" w:hanging="432"/>
      <w:jc w:val="left"/>
      <w:outlineLvl w:val="3"/>
    </w:pPr>
    <w:rPr>
      <w:i/>
    </w:rPr>
  </w:style>
  <w:style w:type="paragraph" w:styleId="Heading5">
    <w:name w:val="heading 5"/>
    <w:basedOn w:val="Normal"/>
    <w:rsid w:val="000D10C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D10C0"/>
    <w:pPr>
      <w:ind w:left="720"/>
    </w:pPr>
  </w:style>
  <w:style w:type="paragraph" w:styleId="Footer">
    <w:name w:val="footer"/>
    <w:basedOn w:val="Normal"/>
    <w:link w:val="FooterChar"/>
    <w:uiPriority w:val="99"/>
    <w:qFormat/>
    <w:rsid w:val="000D10C0"/>
    <w:pPr>
      <w:tabs>
        <w:tab w:val="center" w:pos="3960"/>
        <w:tab w:val="right" w:pos="10080"/>
      </w:tabs>
      <w:spacing w:after="0" w:line="240" w:lineRule="auto"/>
      <w:jc w:val="center"/>
    </w:pPr>
    <w:rPr>
      <w:sz w:val="22"/>
    </w:rPr>
  </w:style>
  <w:style w:type="paragraph" w:styleId="Header">
    <w:name w:val="header"/>
    <w:basedOn w:val="Normal"/>
    <w:qFormat/>
    <w:rsid w:val="000D10C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D10C0"/>
    <w:rPr>
      <w:rFonts w:ascii="Century Schoolbook" w:hAnsi="Century Schoolbook"/>
      <w:b/>
      <w:i w:val="0"/>
      <w:position w:val="4"/>
      <w:sz w:val="27"/>
      <w:vertAlign w:val="superscript"/>
    </w:rPr>
  </w:style>
  <w:style w:type="paragraph" w:styleId="FootnoteText">
    <w:name w:val="footnote text"/>
    <w:basedOn w:val="Normal"/>
    <w:link w:val="FootnoteTextChar"/>
    <w:rsid w:val="000D10C0"/>
    <w:pPr>
      <w:spacing w:line="300" w:lineRule="exact"/>
    </w:pPr>
  </w:style>
  <w:style w:type="paragraph" w:customStyle="1" w:styleId="Title1">
    <w:name w:val="Title1"/>
    <w:basedOn w:val="Normal"/>
    <w:rsid w:val="000D10C0"/>
    <w:pPr>
      <w:tabs>
        <w:tab w:val="left" w:pos="5760"/>
        <w:tab w:val="left" w:pos="6480"/>
      </w:tabs>
      <w:spacing w:line="240" w:lineRule="atLeast"/>
    </w:pPr>
  </w:style>
  <w:style w:type="paragraph" w:customStyle="1" w:styleId="Recommend">
    <w:name w:val="Recommend"/>
    <w:basedOn w:val="Normal"/>
    <w:rsid w:val="000D10C0"/>
  </w:style>
  <w:style w:type="paragraph" w:customStyle="1" w:styleId="Summary">
    <w:name w:val="Summary"/>
    <w:basedOn w:val="Normal"/>
    <w:rsid w:val="000D10C0"/>
    <w:pPr>
      <w:ind w:left="2160" w:hanging="2160"/>
    </w:pPr>
  </w:style>
  <w:style w:type="paragraph" w:customStyle="1" w:styleId="Text">
    <w:name w:val="Text"/>
    <w:basedOn w:val="Normal"/>
    <w:rsid w:val="000D10C0"/>
    <w:pPr>
      <w:tabs>
        <w:tab w:val="left" w:pos="720"/>
        <w:tab w:val="left" w:pos="1440"/>
        <w:tab w:val="left" w:pos="2160"/>
        <w:tab w:val="center" w:pos="4320"/>
      </w:tabs>
      <w:spacing w:line="480" w:lineRule="atLeast"/>
      <w:ind w:firstLine="540"/>
    </w:pPr>
  </w:style>
  <w:style w:type="paragraph" w:styleId="Date">
    <w:name w:val="Date"/>
    <w:basedOn w:val="Normal"/>
    <w:semiHidden/>
    <w:rsid w:val="000D10C0"/>
    <w:pPr>
      <w:jc w:val="right"/>
    </w:pPr>
  </w:style>
  <w:style w:type="character" w:styleId="PageNumber">
    <w:name w:val="page number"/>
    <w:basedOn w:val="DefaultParagraphFont"/>
    <w:rsid w:val="000D10C0"/>
  </w:style>
  <w:style w:type="paragraph" w:customStyle="1" w:styleId="subject">
    <w:name w:val="subject"/>
    <w:basedOn w:val="Normal"/>
    <w:rsid w:val="000D10C0"/>
    <w:pPr>
      <w:tabs>
        <w:tab w:val="left" w:pos="1008"/>
      </w:tabs>
      <w:ind w:left="990" w:hanging="990"/>
    </w:pPr>
    <w:rPr>
      <w:b/>
    </w:rPr>
  </w:style>
  <w:style w:type="paragraph" w:customStyle="1" w:styleId="Titles">
    <w:name w:val="Titles"/>
    <w:basedOn w:val="Normal"/>
    <w:rsid w:val="000D10C0"/>
    <w:pPr>
      <w:tabs>
        <w:tab w:val="left" w:pos="2160"/>
      </w:tabs>
      <w:ind w:left="2160" w:hanging="2160"/>
    </w:pPr>
    <w:rPr>
      <w:b/>
    </w:rPr>
  </w:style>
  <w:style w:type="paragraph" w:styleId="TOAHeading">
    <w:name w:val="toa heading"/>
    <w:basedOn w:val="Normal"/>
    <w:next w:val="Normal"/>
    <w:semiHidden/>
    <w:rsid w:val="000D10C0"/>
    <w:pPr>
      <w:spacing w:before="120"/>
    </w:pPr>
    <w:rPr>
      <w:b/>
    </w:rPr>
  </w:style>
  <w:style w:type="paragraph" w:styleId="TOC1">
    <w:name w:val="toc 1"/>
    <w:basedOn w:val="Normal"/>
    <w:next w:val="Normal"/>
    <w:autoRedefine/>
    <w:semiHidden/>
    <w:rsid w:val="000D10C0"/>
  </w:style>
  <w:style w:type="paragraph" w:styleId="TOC2">
    <w:name w:val="toc 2"/>
    <w:basedOn w:val="Normal"/>
    <w:next w:val="Normal"/>
    <w:autoRedefine/>
    <w:semiHidden/>
    <w:rsid w:val="000D10C0"/>
    <w:pPr>
      <w:ind w:left="259"/>
    </w:pPr>
  </w:style>
  <w:style w:type="paragraph" w:styleId="TOC3">
    <w:name w:val="toc 3"/>
    <w:basedOn w:val="Normal"/>
    <w:next w:val="Normal"/>
    <w:autoRedefine/>
    <w:semiHidden/>
    <w:rsid w:val="000D10C0"/>
    <w:pPr>
      <w:ind w:left="520"/>
    </w:pPr>
  </w:style>
  <w:style w:type="paragraph" w:styleId="TOC4">
    <w:name w:val="toc 4"/>
    <w:basedOn w:val="Normal"/>
    <w:next w:val="Normal"/>
    <w:autoRedefine/>
    <w:semiHidden/>
    <w:rsid w:val="000D10C0"/>
    <w:pPr>
      <w:ind w:left="780"/>
    </w:pPr>
  </w:style>
  <w:style w:type="paragraph" w:styleId="TOC5">
    <w:name w:val="toc 5"/>
    <w:basedOn w:val="Normal"/>
    <w:next w:val="Normal"/>
    <w:autoRedefine/>
    <w:semiHidden/>
    <w:rsid w:val="000D10C0"/>
    <w:pPr>
      <w:ind w:left="1040"/>
    </w:pPr>
  </w:style>
  <w:style w:type="paragraph" w:styleId="TOC6">
    <w:name w:val="toc 6"/>
    <w:basedOn w:val="Normal"/>
    <w:next w:val="Normal"/>
    <w:autoRedefine/>
    <w:semiHidden/>
    <w:rsid w:val="000D10C0"/>
    <w:pPr>
      <w:ind w:left="1300"/>
    </w:pPr>
  </w:style>
  <w:style w:type="paragraph" w:styleId="TOC7">
    <w:name w:val="toc 7"/>
    <w:basedOn w:val="Normal"/>
    <w:next w:val="Normal"/>
    <w:autoRedefine/>
    <w:semiHidden/>
    <w:rsid w:val="000D10C0"/>
    <w:pPr>
      <w:ind w:left="1560"/>
    </w:pPr>
  </w:style>
  <w:style w:type="paragraph" w:styleId="TOC8">
    <w:name w:val="toc 8"/>
    <w:basedOn w:val="Normal"/>
    <w:next w:val="Normal"/>
    <w:autoRedefine/>
    <w:semiHidden/>
    <w:rsid w:val="000D10C0"/>
    <w:pPr>
      <w:ind w:left="1820"/>
    </w:pPr>
  </w:style>
  <w:style w:type="paragraph" w:styleId="TOC9">
    <w:name w:val="toc 9"/>
    <w:basedOn w:val="Normal"/>
    <w:next w:val="Normal"/>
    <w:autoRedefine/>
    <w:semiHidden/>
    <w:rsid w:val="000D10C0"/>
    <w:pPr>
      <w:ind w:left="2080"/>
    </w:pPr>
  </w:style>
  <w:style w:type="paragraph" w:customStyle="1" w:styleId="Contents">
    <w:name w:val="Contents"/>
    <w:basedOn w:val="Normal"/>
    <w:rsid w:val="000D10C0"/>
    <w:pPr>
      <w:jc w:val="center"/>
    </w:pPr>
    <w:rPr>
      <w:b/>
      <w:spacing w:val="100"/>
    </w:rPr>
  </w:style>
  <w:style w:type="character" w:styleId="CommentReference">
    <w:name w:val="annotation reference"/>
    <w:basedOn w:val="DefaultParagraphFont"/>
    <w:uiPriority w:val="99"/>
    <w:semiHidden/>
    <w:unhideWhenUsed/>
    <w:rsid w:val="00A93536"/>
    <w:rPr>
      <w:sz w:val="16"/>
      <w:szCs w:val="16"/>
    </w:rPr>
  </w:style>
  <w:style w:type="paragraph" w:styleId="CommentText">
    <w:name w:val="annotation text"/>
    <w:basedOn w:val="Normal"/>
    <w:link w:val="CommentTextChar"/>
    <w:uiPriority w:val="99"/>
    <w:unhideWhenUsed/>
    <w:rsid w:val="00A93536"/>
    <w:rPr>
      <w:sz w:val="20"/>
    </w:rPr>
  </w:style>
  <w:style w:type="character" w:customStyle="1" w:styleId="CommentTextChar">
    <w:name w:val="Comment Text Char"/>
    <w:basedOn w:val="DefaultParagraphFont"/>
    <w:link w:val="CommentText"/>
    <w:uiPriority w:val="99"/>
    <w:rsid w:val="00A93536"/>
  </w:style>
  <w:style w:type="paragraph" w:styleId="CommentSubject">
    <w:name w:val="annotation subject"/>
    <w:basedOn w:val="CommentText"/>
    <w:next w:val="CommentText"/>
    <w:link w:val="CommentSubjectChar"/>
    <w:uiPriority w:val="99"/>
    <w:semiHidden/>
    <w:unhideWhenUsed/>
    <w:rsid w:val="00A93536"/>
    <w:rPr>
      <w:b/>
      <w:bCs/>
    </w:rPr>
  </w:style>
  <w:style w:type="character" w:customStyle="1" w:styleId="CommentSubjectChar">
    <w:name w:val="Comment Subject Char"/>
    <w:basedOn w:val="CommentTextChar"/>
    <w:link w:val="CommentSubject"/>
    <w:uiPriority w:val="99"/>
    <w:semiHidden/>
    <w:rsid w:val="00A93536"/>
    <w:rPr>
      <w:b/>
      <w:bCs/>
    </w:rPr>
  </w:style>
  <w:style w:type="paragraph" w:styleId="Revision">
    <w:name w:val="Revision"/>
    <w:hidden/>
    <w:uiPriority w:val="99"/>
    <w:semiHidden/>
    <w:rsid w:val="00A93536"/>
    <w:rPr>
      <w:sz w:val="26"/>
    </w:rPr>
  </w:style>
  <w:style w:type="paragraph" w:styleId="BalloonText">
    <w:name w:val="Balloon Text"/>
    <w:basedOn w:val="Normal"/>
    <w:link w:val="BalloonTextChar"/>
    <w:uiPriority w:val="99"/>
    <w:semiHidden/>
    <w:unhideWhenUsed/>
    <w:rsid w:val="00A9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36"/>
    <w:rPr>
      <w:rFonts w:ascii="Segoe UI" w:hAnsi="Segoe UI" w:cs="Segoe UI"/>
      <w:sz w:val="18"/>
      <w:szCs w:val="18"/>
    </w:rPr>
  </w:style>
  <w:style w:type="paragraph" w:styleId="ListParagraph">
    <w:name w:val="List Paragraph"/>
    <w:basedOn w:val="Normal"/>
    <w:uiPriority w:val="34"/>
    <w:qFormat/>
    <w:rsid w:val="00894761"/>
    <w:pPr>
      <w:ind w:left="720"/>
      <w:contextualSpacing/>
    </w:pPr>
  </w:style>
  <w:style w:type="paragraph" w:styleId="NormalWeb">
    <w:name w:val="Normal (Web)"/>
    <w:basedOn w:val="Normal"/>
    <w:uiPriority w:val="99"/>
    <w:semiHidden/>
    <w:unhideWhenUsed/>
    <w:rsid w:val="006D7B4C"/>
    <w:pPr>
      <w:spacing w:before="100" w:beforeAutospacing="1" w:afterAutospacing="1"/>
    </w:pPr>
    <w:rPr>
      <w:sz w:val="24"/>
      <w:szCs w:val="24"/>
    </w:rPr>
  </w:style>
  <w:style w:type="character" w:customStyle="1" w:styleId="ssrfcpassagedeactivated">
    <w:name w:val="ss_rfcpassage_deactivated"/>
    <w:basedOn w:val="DefaultParagraphFont"/>
    <w:rsid w:val="006D7B4C"/>
  </w:style>
  <w:style w:type="character" w:customStyle="1" w:styleId="ssrfcsection">
    <w:name w:val="ss_rfcsection"/>
    <w:basedOn w:val="DefaultParagraphFont"/>
    <w:rsid w:val="006D7B4C"/>
  </w:style>
  <w:style w:type="character" w:customStyle="1" w:styleId="ssit">
    <w:name w:val="ss_it"/>
    <w:basedOn w:val="DefaultParagraphFont"/>
    <w:rsid w:val="006D7B4C"/>
  </w:style>
  <w:style w:type="character" w:styleId="Hyperlink">
    <w:name w:val="Hyperlink"/>
    <w:basedOn w:val="DefaultParagraphFont"/>
    <w:uiPriority w:val="99"/>
    <w:unhideWhenUsed/>
    <w:rsid w:val="006D7B4C"/>
    <w:rPr>
      <w:color w:val="0000FF"/>
      <w:u w:val="single"/>
    </w:rPr>
  </w:style>
  <w:style w:type="character" w:styleId="UnresolvedMention">
    <w:name w:val="Unresolved Mention"/>
    <w:basedOn w:val="DefaultParagraphFont"/>
    <w:uiPriority w:val="99"/>
    <w:semiHidden/>
    <w:unhideWhenUsed/>
    <w:rsid w:val="00E51DDF"/>
    <w:rPr>
      <w:color w:val="605E5C"/>
      <w:shd w:val="clear" w:color="auto" w:fill="E1DFDD"/>
    </w:rPr>
  </w:style>
  <w:style w:type="character" w:styleId="Strong">
    <w:name w:val="Strong"/>
    <w:basedOn w:val="DefaultParagraphFont"/>
    <w:uiPriority w:val="22"/>
    <w:qFormat/>
    <w:rsid w:val="002F5816"/>
    <w:rPr>
      <w:b/>
      <w:bCs/>
    </w:rPr>
  </w:style>
  <w:style w:type="character" w:customStyle="1" w:styleId="FootnoteTextChar">
    <w:name w:val="Footnote Text Char"/>
    <w:basedOn w:val="DefaultParagraphFont"/>
    <w:link w:val="FootnoteText"/>
    <w:rsid w:val="004D40F4"/>
    <w:rPr>
      <w:rFonts w:ascii="Century Schoolbook" w:hAnsi="Century Schoolbook"/>
      <w:sz w:val="27"/>
    </w:rPr>
  </w:style>
  <w:style w:type="paragraph" w:styleId="BodyText">
    <w:name w:val="Body Text"/>
    <w:basedOn w:val="Normal"/>
    <w:link w:val="BodyTextChar"/>
    <w:qFormat/>
    <w:rsid w:val="000D10C0"/>
  </w:style>
  <w:style w:type="character" w:customStyle="1" w:styleId="BodyTextChar">
    <w:name w:val="Body Text Char"/>
    <w:basedOn w:val="DefaultParagraphFont"/>
    <w:link w:val="BodyText"/>
    <w:rsid w:val="000D10C0"/>
    <w:rPr>
      <w:rFonts w:ascii="Century Schoolbook" w:hAnsi="Century Schoolbook"/>
      <w:sz w:val="27"/>
    </w:rPr>
  </w:style>
  <w:style w:type="character" w:customStyle="1" w:styleId="FooterChar">
    <w:name w:val="Footer Char"/>
    <w:basedOn w:val="DefaultParagraphFont"/>
    <w:link w:val="Footer"/>
    <w:uiPriority w:val="99"/>
    <w:rsid w:val="00E96717"/>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06">
      <w:bodyDiv w:val="1"/>
      <w:marLeft w:val="0"/>
      <w:marRight w:val="0"/>
      <w:marTop w:val="0"/>
      <w:marBottom w:val="0"/>
      <w:divBdr>
        <w:top w:val="none" w:sz="0" w:space="0" w:color="auto"/>
        <w:left w:val="none" w:sz="0" w:space="0" w:color="auto"/>
        <w:bottom w:val="none" w:sz="0" w:space="0" w:color="auto"/>
        <w:right w:val="none" w:sz="0" w:space="0" w:color="auto"/>
      </w:divBdr>
    </w:div>
    <w:div w:id="179394569">
      <w:bodyDiv w:val="1"/>
      <w:marLeft w:val="0"/>
      <w:marRight w:val="0"/>
      <w:marTop w:val="0"/>
      <w:marBottom w:val="0"/>
      <w:divBdr>
        <w:top w:val="none" w:sz="0" w:space="0" w:color="auto"/>
        <w:left w:val="none" w:sz="0" w:space="0" w:color="auto"/>
        <w:bottom w:val="none" w:sz="0" w:space="0" w:color="auto"/>
        <w:right w:val="none" w:sz="0" w:space="0" w:color="auto"/>
      </w:divBdr>
      <w:divsChild>
        <w:div w:id="1429615186">
          <w:marLeft w:val="0"/>
          <w:marRight w:val="0"/>
          <w:marTop w:val="0"/>
          <w:marBottom w:val="0"/>
          <w:divBdr>
            <w:top w:val="none" w:sz="0" w:space="0" w:color="auto"/>
            <w:left w:val="none" w:sz="0" w:space="0" w:color="auto"/>
            <w:bottom w:val="none" w:sz="0" w:space="0" w:color="auto"/>
            <w:right w:val="none" w:sz="0" w:space="0" w:color="auto"/>
          </w:divBdr>
          <w:divsChild>
            <w:div w:id="2142646164">
              <w:marLeft w:val="0"/>
              <w:marRight w:val="0"/>
              <w:marTop w:val="0"/>
              <w:marBottom w:val="0"/>
              <w:divBdr>
                <w:top w:val="none" w:sz="0" w:space="0" w:color="auto"/>
                <w:left w:val="none" w:sz="0" w:space="0" w:color="auto"/>
                <w:bottom w:val="none" w:sz="0" w:space="0" w:color="auto"/>
                <w:right w:val="none" w:sz="0" w:space="0" w:color="auto"/>
              </w:divBdr>
              <w:divsChild>
                <w:div w:id="1922442106">
                  <w:marLeft w:val="0"/>
                  <w:marRight w:val="0"/>
                  <w:marTop w:val="0"/>
                  <w:marBottom w:val="0"/>
                  <w:divBdr>
                    <w:top w:val="none" w:sz="0" w:space="0" w:color="auto"/>
                    <w:left w:val="none" w:sz="0" w:space="0" w:color="auto"/>
                    <w:bottom w:val="none" w:sz="0" w:space="0" w:color="auto"/>
                    <w:right w:val="none" w:sz="0" w:space="0" w:color="auto"/>
                  </w:divBdr>
                  <w:divsChild>
                    <w:div w:id="1568028605">
                      <w:marLeft w:val="0"/>
                      <w:marRight w:val="0"/>
                      <w:marTop w:val="0"/>
                      <w:marBottom w:val="0"/>
                      <w:divBdr>
                        <w:top w:val="none" w:sz="0" w:space="0" w:color="auto"/>
                        <w:left w:val="none" w:sz="0" w:space="0" w:color="auto"/>
                        <w:bottom w:val="none" w:sz="0" w:space="0" w:color="auto"/>
                        <w:right w:val="none" w:sz="0" w:space="0" w:color="auto"/>
                      </w:divBdr>
                      <w:divsChild>
                        <w:div w:id="59137677">
                          <w:marLeft w:val="0"/>
                          <w:marRight w:val="0"/>
                          <w:marTop w:val="0"/>
                          <w:marBottom w:val="0"/>
                          <w:divBdr>
                            <w:top w:val="none" w:sz="0" w:space="0" w:color="auto"/>
                            <w:left w:val="none" w:sz="0" w:space="0" w:color="auto"/>
                            <w:bottom w:val="none" w:sz="0" w:space="0" w:color="auto"/>
                            <w:right w:val="none" w:sz="0" w:space="0" w:color="auto"/>
                          </w:divBdr>
                          <w:divsChild>
                            <w:div w:id="138347981">
                              <w:marLeft w:val="0"/>
                              <w:marRight w:val="0"/>
                              <w:marTop w:val="0"/>
                              <w:marBottom w:val="0"/>
                              <w:divBdr>
                                <w:top w:val="none" w:sz="0" w:space="0" w:color="auto"/>
                                <w:left w:val="none" w:sz="0" w:space="0" w:color="auto"/>
                                <w:bottom w:val="none" w:sz="0" w:space="0" w:color="auto"/>
                                <w:right w:val="none" w:sz="0" w:space="0" w:color="auto"/>
                              </w:divBdr>
                              <w:divsChild>
                                <w:div w:id="967475156">
                                  <w:marLeft w:val="0"/>
                                  <w:marRight w:val="0"/>
                                  <w:marTop w:val="0"/>
                                  <w:marBottom w:val="0"/>
                                  <w:divBdr>
                                    <w:top w:val="none" w:sz="0" w:space="0" w:color="auto"/>
                                    <w:left w:val="none" w:sz="0" w:space="0" w:color="auto"/>
                                    <w:bottom w:val="none" w:sz="0" w:space="0" w:color="auto"/>
                                    <w:right w:val="none" w:sz="0" w:space="0" w:color="auto"/>
                                  </w:divBdr>
                                  <w:divsChild>
                                    <w:div w:id="1203522653">
                                      <w:marLeft w:val="0"/>
                                      <w:marRight w:val="0"/>
                                      <w:marTop w:val="0"/>
                                      <w:marBottom w:val="0"/>
                                      <w:divBdr>
                                        <w:top w:val="none" w:sz="0" w:space="0" w:color="auto"/>
                                        <w:left w:val="none" w:sz="0" w:space="0" w:color="auto"/>
                                        <w:bottom w:val="none" w:sz="0" w:space="0" w:color="auto"/>
                                        <w:right w:val="none" w:sz="0" w:space="0" w:color="auto"/>
                                      </w:divBdr>
                                      <w:divsChild>
                                        <w:div w:id="201527189">
                                          <w:marLeft w:val="0"/>
                                          <w:marRight w:val="0"/>
                                          <w:marTop w:val="0"/>
                                          <w:marBottom w:val="0"/>
                                          <w:divBdr>
                                            <w:top w:val="none" w:sz="0" w:space="0" w:color="auto"/>
                                            <w:left w:val="none" w:sz="0" w:space="0" w:color="auto"/>
                                            <w:bottom w:val="none" w:sz="0" w:space="0" w:color="auto"/>
                                            <w:right w:val="none" w:sz="0" w:space="0" w:color="auto"/>
                                          </w:divBdr>
                                          <w:divsChild>
                                            <w:div w:id="1138231787">
                                              <w:marLeft w:val="0"/>
                                              <w:marRight w:val="0"/>
                                              <w:marTop w:val="0"/>
                                              <w:marBottom w:val="0"/>
                                              <w:divBdr>
                                                <w:top w:val="none" w:sz="0" w:space="0" w:color="auto"/>
                                                <w:left w:val="none" w:sz="0" w:space="0" w:color="auto"/>
                                                <w:bottom w:val="none" w:sz="0" w:space="0" w:color="auto"/>
                                                <w:right w:val="none" w:sz="0" w:space="0" w:color="auto"/>
                                              </w:divBdr>
                                              <w:divsChild>
                                                <w:div w:id="152646801">
                                                  <w:marLeft w:val="0"/>
                                                  <w:marRight w:val="0"/>
                                                  <w:marTop w:val="0"/>
                                                  <w:marBottom w:val="0"/>
                                                  <w:divBdr>
                                                    <w:top w:val="none" w:sz="0" w:space="0" w:color="auto"/>
                                                    <w:left w:val="none" w:sz="0" w:space="0" w:color="auto"/>
                                                    <w:bottom w:val="none" w:sz="0" w:space="0" w:color="auto"/>
                                                    <w:right w:val="none" w:sz="0" w:space="0" w:color="auto"/>
                                                  </w:divBdr>
                                                  <w:divsChild>
                                                    <w:div w:id="635450822">
                                                      <w:marLeft w:val="0"/>
                                                      <w:marRight w:val="0"/>
                                                      <w:marTop w:val="0"/>
                                                      <w:marBottom w:val="0"/>
                                                      <w:divBdr>
                                                        <w:top w:val="none" w:sz="0" w:space="0" w:color="auto"/>
                                                        <w:left w:val="none" w:sz="0" w:space="0" w:color="auto"/>
                                                        <w:bottom w:val="none" w:sz="0" w:space="0" w:color="auto"/>
                                                        <w:right w:val="none" w:sz="0" w:space="0" w:color="auto"/>
                                                      </w:divBdr>
                                                      <w:divsChild>
                                                        <w:div w:id="138614720">
                                                          <w:marLeft w:val="0"/>
                                                          <w:marRight w:val="0"/>
                                                          <w:marTop w:val="0"/>
                                                          <w:marBottom w:val="0"/>
                                                          <w:divBdr>
                                                            <w:top w:val="none" w:sz="0" w:space="0" w:color="auto"/>
                                                            <w:left w:val="none" w:sz="0" w:space="0" w:color="auto"/>
                                                            <w:bottom w:val="none" w:sz="0" w:space="0" w:color="auto"/>
                                                            <w:right w:val="none" w:sz="0" w:space="0" w:color="auto"/>
                                                          </w:divBdr>
                                                          <w:divsChild>
                                                            <w:div w:id="559681187">
                                                              <w:marLeft w:val="0"/>
                                                              <w:marRight w:val="0"/>
                                                              <w:marTop w:val="0"/>
                                                              <w:marBottom w:val="0"/>
                                                              <w:divBdr>
                                                                <w:top w:val="none" w:sz="0" w:space="0" w:color="auto"/>
                                                                <w:left w:val="none" w:sz="0" w:space="0" w:color="auto"/>
                                                                <w:bottom w:val="none" w:sz="0" w:space="0" w:color="auto"/>
                                                                <w:right w:val="none" w:sz="0" w:space="0" w:color="auto"/>
                                                              </w:divBdr>
                                                              <w:divsChild>
                                                                <w:div w:id="778986143">
                                                                  <w:marLeft w:val="0"/>
                                                                  <w:marRight w:val="0"/>
                                                                  <w:marTop w:val="0"/>
                                                                  <w:marBottom w:val="0"/>
                                                                  <w:divBdr>
                                                                    <w:top w:val="none" w:sz="0" w:space="0" w:color="auto"/>
                                                                    <w:left w:val="none" w:sz="0" w:space="0" w:color="auto"/>
                                                                    <w:bottom w:val="none" w:sz="0" w:space="0" w:color="auto"/>
                                                                    <w:right w:val="none" w:sz="0" w:space="0" w:color="auto"/>
                                                                  </w:divBdr>
                                                                  <w:divsChild>
                                                                    <w:div w:id="1736003691">
                                                                      <w:marLeft w:val="0"/>
                                                                      <w:marRight w:val="0"/>
                                                                      <w:marTop w:val="0"/>
                                                                      <w:marBottom w:val="0"/>
                                                                      <w:divBdr>
                                                                        <w:top w:val="none" w:sz="0" w:space="0" w:color="auto"/>
                                                                        <w:left w:val="none" w:sz="0" w:space="0" w:color="auto"/>
                                                                        <w:bottom w:val="none" w:sz="0" w:space="0" w:color="auto"/>
                                                                        <w:right w:val="none" w:sz="0" w:space="0" w:color="auto"/>
                                                                      </w:divBdr>
                                                                      <w:divsChild>
                                                                        <w:div w:id="1793792491">
                                                                          <w:marLeft w:val="0"/>
                                                                          <w:marRight w:val="0"/>
                                                                          <w:marTop w:val="0"/>
                                                                          <w:marBottom w:val="0"/>
                                                                          <w:divBdr>
                                                                            <w:top w:val="none" w:sz="0" w:space="0" w:color="auto"/>
                                                                            <w:left w:val="none" w:sz="0" w:space="0" w:color="auto"/>
                                                                            <w:bottom w:val="none" w:sz="0" w:space="0" w:color="auto"/>
                                                                            <w:right w:val="none" w:sz="0" w:space="0" w:color="auto"/>
                                                                          </w:divBdr>
                                                                          <w:divsChild>
                                                                            <w:div w:id="1953127263">
                                                                              <w:marLeft w:val="0"/>
                                                                              <w:marRight w:val="0"/>
                                                                              <w:marTop w:val="0"/>
                                                                              <w:marBottom w:val="0"/>
                                                                              <w:divBdr>
                                                                                <w:top w:val="none" w:sz="0" w:space="0" w:color="auto"/>
                                                                                <w:left w:val="none" w:sz="0" w:space="0" w:color="auto"/>
                                                                                <w:bottom w:val="none" w:sz="0" w:space="0" w:color="auto"/>
                                                                                <w:right w:val="none" w:sz="0" w:space="0" w:color="auto"/>
                                                                              </w:divBdr>
                                                                            </w:div>
                                                                          </w:divsChild>
                                                                        </w:div>
                                                                        <w:div w:id="20784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730659">
      <w:bodyDiv w:val="1"/>
      <w:marLeft w:val="0"/>
      <w:marRight w:val="0"/>
      <w:marTop w:val="0"/>
      <w:marBottom w:val="0"/>
      <w:divBdr>
        <w:top w:val="none" w:sz="0" w:space="0" w:color="auto"/>
        <w:left w:val="none" w:sz="0" w:space="0" w:color="auto"/>
        <w:bottom w:val="none" w:sz="0" w:space="0" w:color="auto"/>
        <w:right w:val="none" w:sz="0" w:space="0" w:color="auto"/>
      </w:divBdr>
      <w:divsChild>
        <w:div w:id="467357091">
          <w:marLeft w:val="0"/>
          <w:marRight w:val="0"/>
          <w:marTop w:val="0"/>
          <w:marBottom w:val="0"/>
          <w:divBdr>
            <w:top w:val="none" w:sz="0" w:space="0" w:color="auto"/>
            <w:left w:val="none" w:sz="0" w:space="0" w:color="auto"/>
            <w:bottom w:val="none" w:sz="0" w:space="0" w:color="auto"/>
            <w:right w:val="none" w:sz="0" w:space="0" w:color="auto"/>
          </w:divBdr>
        </w:div>
      </w:divsChild>
    </w:div>
    <w:div w:id="382095153">
      <w:bodyDiv w:val="1"/>
      <w:marLeft w:val="0"/>
      <w:marRight w:val="0"/>
      <w:marTop w:val="0"/>
      <w:marBottom w:val="0"/>
      <w:divBdr>
        <w:top w:val="none" w:sz="0" w:space="0" w:color="auto"/>
        <w:left w:val="none" w:sz="0" w:space="0" w:color="auto"/>
        <w:bottom w:val="none" w:sz="0" w:space="0" w:color="auto"/>
        <w:right w:val="none" w:sz="0" w:space="0" w:color="auto"/>
      </w:divBdr>
      <w:divsChild>
        <w:div w:id="1068501987">
          <w:marLeft w:val="0"/>
          <w:marRight w:val="0"/>
          <w:marTop w:val="0"/>
          <w:marBottom w:val="0"/>
          <w:divBdr>
            <w:top w:val="none" w:sz="0" w:space="0" w:color="auto"/>
            <w:left w:val="none" w:sz="0" w:space="0" w:color="auto"/>
            <w:bottom w:val="none" w:sz="0" w:space="0" w:color="auto"/>
            <w:right w:val="none" w:sz="0" w:space="0" w:color="auto"/>
          </w:divBdr>
        </w:div>
      </w:divsChild>
    </w:div>
    <w:div w:id="1770734797">
      <w:bodyDiv w:val="1"/>
      <w:marLeft w:val="0"/>
      <w:marRight w:val="0"/>
      <w:marTop w:val="0"/>
      <w:marBottom w:val="0"/>
      <w:divBdr>
        <w:top w:val="none" w:sz="0" w:space="0" w:color="auto"/>
        <w:left w:val="none" w:sz="0" w:space="0" w:color="auto"/>
        <w:bottom w:val="none" w:sz="0" w:space="0" w:color="auto"/>
        <w:right w:val="none" w:sz="0" w:space="0" w:color="auto"/>
      </w:divBdr>
      <w:divsChild>
        <w:div w:id="83381863">
          <w:marLeft w:val="0"/>
          <w:marRight w:val="0"/>
          <w:marTop w:val="0"/>
          <w:marBottom w:val="0"/>
          <w:divBdr>
            <w:top w:val="none" w:sz="0" w:space="0" w:color="auto"/>
            <w:left w:val="none" w:sz="0" w:space="0" w:color="auto"/>
            <w:bottom w:val="none" w:sz="0" w:space="0" w:color="auto"/>
            <w:right w:val="none" w:sz="0" w:space="0" w:color="auto"/>
          </w:divBdr>
          <w:divsChild>
            <w:div w:id="1916469552">
              <w:marLeft w:val="0"/>
              <w:marRight w:val="0"/>
              <w:marTop w:val="0"/>
              <w:marBottom w:val="0"/>
              <w:divBdr>
                <w:top w:val="none" w:sz="0" w:space="0" w:color="auto"/>
                <w:left w:val="none" w:sz="0" w:space="0" w:color="auto"/>
                <w:bottom w:val="none" w:sz="0" w:space="0" w:color="auto"/>
                <w:right w:val="none" w:sz="0" w:space="0" w:color="auto"/>
              </w:divBdr>
              <w:divsChild>
                <w:div w:id="1722171549">
                  <w:marLeft w:val="0"/>
                  <w:marRight w:val="0"/>
                  <w:marTop w:val="0"/>
                  <w:marBottom w:val="0"/>
                  <w:divBdr>
                    <w:top w:val="none" w:sz="0" w:space="0" w:color="auto"/>
                    <w:left w:val="none" w:sz="0" w:space="0" w:color="auto"/>
                    <w:bottom w:val="none" w:sz="0" w:space="0" w:color="auto"/>
                    <w:right w:val="none" w:sz="0" w:space="0" w:color="auto"/>
                  </w:divBdr>
                  <w:divsChild>
                    <w:div w:id="2104522830">
                      <w:marLeft w:val="0"/>
                      <w:marRight w:val="0"/>
                      <w:marTop w:val="0"/>
                      <w:marBottom w:val="0"/>
                      <w:divBdr>
                        <w:top w:val="none" w:sz="0" w:space="0" w:color="auto"/>
                        <w:left w:val="none" w:sz="0" w:space="0" w:color="auto"/>
                        <w:bottom w:val="none" w:sz="0" w:space="0" w:color="auto"/>
                        <w:right w:val="none" w:sz="0" w:space="0" w:color="auto"/>
                      </w:divBdr>
                      <w:divsChild>
                        <w:div w:id="1631354158">
                          <w:marLeft w:val="0"/>
                          <w:marRight w:val="0"/>
                          <w:marTop w:val="0"/>
                          <w:marBottom w:val="0"/>
                          <w:divBdr>
                            <w:top w:val="none" w:sz="0" w:space="0" w:color="auto"/>
                            <w:left w:val="none" w:sz="0" w:space="0" w:color="auto"/>
                            <w:bottom w:val="none" w:sz="0" w:space="0" w:color="auto"/>
                            <w:right w:val="none" w:sz="0" w:space="0" w:color="auto"/>
                          </w:divBdr>
                          <w:divsChild>
                            <w:div w:id="345791036">
                              <w:marLeft w:val="0"/>
                              <w:marRight w:val="0"/>
                              <w:marTop w:val="0"/>
                              <w:marBottom w:val="0"/>
                              <w:divBdr>
                                <w:top w:val="none" w:sz="0" w:space="0" w:color="auto"/>
                                <w:left w:val="none" w:sz="0" w:space="0" w:color="auto"/>
                                <w:bottom w:val="none" w:sz="0" w:space="0" w:color="auto"/>
                                <w:right w:val="none" w:sz="0" w:space="0" w:color="auto"/>
                              </w:divBdr>
                              <w:divsChild>
                                <w:div w:id="426390228">
                                  <w:marLeft w:val="0"/>
                                  <w:marRight w:val="0"/>
                                  <w:marTop w:val="0"/>
                                  <w:marBottom w:val="0"/>
                                  <w:divBdr>
                                    <w:top w:val="none" w:sz="0" w:space="0" w:color="auto"/>
                                    <w:left w:val="none" w:sz="0" w:space="0" w:color="auto"/>
                                    <w:bottom w:val="none" w:sz="0" w:space="0" w:color="auto"/>
                                    <w:right w:val="none" w:sz="0" w:space="0" w:color="auto"/>
                                  </w:divBdr>
                                  <w:divsChild>
                                    <w:div w:id="1230845806">
                                      <w:marLeft w:val="0"/>
                                      <w:marRight w:val="0"/>
                                      <w:marTop w:val="0"/>
                                      <w:marBottom w:val="0"/>
                                      <w:divBdr>
                                        <w:top w:val="none" w:sz="0" w:space="0" w:color="auto"/>
                                        <w:left w:val="none" w:sz="0" w:space="0" w:color="auto"/>
                                        <w:bottom w:val="none" w:sz="0" w:space="0" w:color="auto"/>
                                        <w:right w:val="none" w:sz="0" w:space="0" w:color="auto"/>
                                      </w:divBdr>
                                      <w:divsChild>
                                        <w:div w:id="1463497323">
                                          <w:marLeft w:val="0"/>
                                          <w:marRight w:val="0"/>
                                          <w:marTop w:val="0"/>
                                          <w:marBottom w:val="0"/>
                                          <w:divBdr>
                                            <w:top w:val="none" w:sz="0" w:space="0" w:color="auto"/>
                                            <w:left w:val="none" w:sz="0" w:space="0" w:color="auto"/>
                                            <w:bottom w:val="none" w:sz="0" w:space="0" w:color="auto"/>
                                            <w:right w:val="none" w:sz="0" w:space="0" w:color="auto"/>
                                          </w:divBdr>
                                          <w:divsChild>
                                            <w:div w:id="474487619">
                                              <w:marLeft w:val="0"/>
                                              <w:marRight w:val="0"/>
                                              <w:marTop w:val="0"/>
                                              <w:marBottom w:val="0"/>
                                              <w:divBdr>
                                                <w:top w:val="none" w:sz="0" w:space="0" w:color="auto"/>
                                                <w:left w:val="none" w:sz="0" w:space="0" w:color="auto"/>
                                                <w:bottom w:val="none" w:sz="0" w:space="0" w:color="auto"/>
                                                <w:right w:val="none" w:sz="0" w:space="0" w:color="auto"/>
                                              </w:divBdr>
                                              <w:divsChild>
                                                <w:div w:id="527378776">
                                                  <w:marLeft w:val="0"/>
                                                  <w:marRight w:val="0"/>
                                                  <w:marTop w:val="0"/>
                                                  <w:marBottom w:val="0"/>
                                                  <w:divBdr>
                                                    <w:top w:val="none" w:sz="0" w:space="0" w:color="auto"/>
                                                    <w:left w:val="none" w:sz="0" w:space="0" w:color="auto"/>
                                                    <w:bottom w:val="none" w:sz="0" w:space="0" w:color="auto"/>
                                                    <w:right w:val="none" w:sz="0" w:space="0" w:color="auto"/>
                                                  </w:divBdr>
                                                  <w:divsChild>
                                                    <w:div w:id="1778023073">
                                                      <w:marLeft w:val="0"/>
                                                      <w:marRight w:val="0"/>
                                                      <w:marTop w:val="0"/>
                                                      <w:marBottom w:val="0"/>
                                                      <w:divBdr>
                                                        <w:top w:val="single" w:sz="18" w:space="0" w:color="DADADA"/>
                                                        <w:left w:val="none" w:sz="0" w:space="0" w:color="auto"/>
                                                        <w:bottom w:val="none" w:sz="0" w:space="0" w:color="auto"/>
                                                        <w:right w:val="none" w:sz="0" w:space="0" w:color="auto"/>
                                                      </w:divBdr>
                                                      <w:divsChild>
                                                        <w:div w:id="717898009">
                                                          <w:marLeft w:val="0"/>
                                                          <w:marRight w:val="0"/>
                                                          <w:marTop w:val="0"/>
                                                          <w:marBottom w:val="0"/>
                                                          <w:divBdr>
                                                            <w:top w:val="none" w:sz="0" w:space="0" w:color="auto"/>
                                                            <w:left w:val="none" w:sz="0" w:space="0" w:color="auto"/>
                                                            <w:bottom w:val="none" w:sz="0" w:space="0" w:color="auto"/>
                                                            <w:right w:val="none" w:sz="0" w:space="0" w:color="auto"/>
                                                          </w:divBdr>
                                                          <w:divsChild>
                                                            <w:div w:id="2093358620">
                                                              <w:marLeft w:val="0"/>
                                                              <w:marRight w:val="0"/>
                                                              <w:marTop w:val="0"/>
                                                              <w:marBottom w:val="0"/>
                                                              <w:divBdr>
                                                                <w:top w:val="none" w:sz="0" w:space="0" w:color="auto"/>
                                                                <w:left w:val="none" w:sz="0" w:space="0" w:color="auto"/>
                                                                <w:bottom w:val="none" w:sz="0" w:space="0" w:color="auto"/>
                                                                <w:right w:val="none" w:sz="0" w:space="0" w:color="auto"/>
                                                              </w:divBdr>
                                                              <w:divsChild>
                                                                <w:div w:id="835000171">
                                                                  <w:marLeft w:val="0"/>
                                                                  <w:marRight w:val="0"/>
                                                                  <w:marTop w:val="0"/>
                                                                  <w:marBottom w:val="0"/>
                                                                  <w:divBdr>
                                                                    <w:top w:val="none" w:sz="0" w:space="0" w:color="auto"/>
                                                                    <w:left w:val="none" w:sz="0" w:space="0" w:color="auto"/>
                                                                    <w:bottom w:val="none" w:sz="0" w:space="0" w:color="auto"/>
                                                                    <w:right w:val="none" w:sz="0" w:space="0" w:color="auto"/>
                                                                  </w:divBdr>
                                                                  <w:divsChild>
                                                                    <w:div w:id="1986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904737">
      <w:bodyDiv w:val="1"/>
      <w:marLeft w:val="0"/>
      <w:marRight w:val="0"/>
      <w:marTop w:val="0"/>
      <w:marBottom w:val="0"/>
      <w:divBdr>
        <w:top w:val="none" w:sz="0" w:space="0" w:color="auto"/>
        <w:left w:val="none" w:sz="0" w:space="0" w:color="auto"/>
        <w:bottom w:val="none" w:sz="0" w:space="0" w:color="auto"/>
        <w:right w:val="none" w:sz="0" w:space="0" w:color="auto"/>
      </w:divBdr>
      <w:divsChild>
        <w:div w:id="1933389997">
          <w:marLeft w:val="0"/>
          <w:marRight w:val="0"/>
          <w:marTop w:val="0"/>
          <w:marBottom w:val="0"/>
          <w:divBdr>
            <w:top w:val="none" w:sz="0" w:space="0" w:color="auto"/>
            <w:left w:val="none" w:sz="0" w:space="0" w:color="auto"/>
            <w:bottom w:val="none" w:sz="0" w:space="0" w:color="auto"/>
            <w:right w:val="none" w:sz="0" w:space="0" w:color="auto"/>
          </w:divBdr>
        </w:div>
      </w:divsChild>
    </w:div>
    <w:div w:id="2094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6CF6-B49C-4FBE-A0D5-29E11A0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2023-02-16T16:36:00Z</dcterms:created>
  <dcterms:modified xsi:type="dcterms:W3CDTF">2023-02-16T16:49:00Z</dcterms:modified>
  <cp:category/>
</cp:coreProperties>
</file>