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21781" w:rsidP="00604EED" w14:paraId="47C8C0D7" w14:textId="77777777">
      <w:pPr>
        <w:tabs>
          <w:tab w:val="left" w:pos="1440"/>
        </w:tabs>
        <w:spacing w:after="0"/>
        <w:jc w:val="center"/>
        <w:rPr>
          <w:sz w:val="36"/>
        </w:rPr>
      </w:pPr>
      <w:bookmarkStart w:id="0" w:name="mainstory"/>
      <w:bookmarkStart w:id="1" w:name="MarkDocLoc"/>
      <w:bookmarkEnd w:id="0"/>
      <w:bookmarkEnd w:id="1"/>
      <w:r>
        <w:rPr>
          <w:b/>
          <w:sz w:val="36"/>
        </w:rPr>
        <w:t>IN THE SUPREME COURT OF CALIFORNIA</w:t>
      </w:r>
    </w:p>
    <w:p w:rsidR="00957A75" w:rsidP="00604EED" w14:paraId="47C8C0D8" w14:textId="77777777">
      <w:pPr>
        <w:tabs>
          <w:tab w:val="left" w:pos="1440"/>
        </w:tabs>
        <w:spacing w:after="0"/>
        <w:jc w:val="center"/>
      </w:pPr>
    </w:p>
    <w:p w:rsidR="00957A75" w:rsidRPr="00445A27" w:rsidP="00604EED" w14:paraId="47C8C0D9" w14:textId="77777777">
      <w:pPr>
        <w:tabs>
          <w:tab w:val="left" w:pos="1440"/>
        </w:tabs>
        <w:spacing w:after="0"/>
        <w:jc w:val="center"/>
      </w:pPr>
      <w:r w:rsidRPr="00445A27">
        <w:t>MATTHEW BOERMEESTER,</w:t>
      </w:r>
    </w:p>
    <w:p w:rsidR="00957A75" w:rsidRPr="00445A27" w:rsidP="00604EED" w14:paraId="47C8C0DA" w14:textId="77777777">
      <w:pPr>
        <w:tabs>
          <w:tab w:val="left" w:pos="1440"/>
        </w:tabs>
        <w:spacing w:after="0"/>
        <w:jc w:val="center"/>
      </w:pPr>
      <w:r w:rsidRPr="00445A27">
        <w:t>Plaintiff and Appellant,</w:t>
      </w:r>
    </w:p>
    <w:p w:rsidR="00957A75" w:rsidP="00604EED" w14:paraId="47C8C0DB" w14:textId="77777777">
      <w:pPr>
        <w:tabs>
          <w:tab w:val="left" w:pos="1440"/>
        </w:tabs>
        <w:spacing w:after="0"/>
        <w:jc w:val="center"/>
      </w:pPr>
      <w:r>
        <w:t>v.</w:t>
      </w:r>
    </w:p>
    <w:p w:rsidR="00957A75" w:rsidP="00604EED" w14:paraId="47C8C0DC" w14:textId="77777777">
      <w:pPr>
        <w:tabs>
          <w:tab w:val="left" w:pos="1440"/>
        </w:tabs>
        <w:spacing w:after="0"/>
        <w:jc w:val="center"/>
      </w:pPr>
      <w:r>
        <w:t xml:space="preserve">AINSLEY CARRY </w:t>
      </w:r>
      <w:r w:rsidR="00A83693">
        <w:t>et al</w:t>
      </w:r>
      <w:r>
        <w:t>.,</w:t>
      </w:r>
    </w:p>
    <w:p w:rsidR="00957A75" w:rsidP="00604EED" w14:paraId="47C8C0DD" w14:textId="77777777">
      <w:pPr>
        <w:tabs>
          <w:tab w:val="left" w:pos="1440"/>
        </w:tabs>
        <w:spacing w:after="0"/>
        <w:jc w:val="center"/>
      </w:pPr>
      <w:r>
        <w:t>Defendants and Respondents.</w:t>
      </w:r>
    </w:p>
    <w:p w:rsidR="00957A75" w:rsidP="00604EED" w14:paraId="47C8C0DE" w14:textId="77777777">
      <w:pPr>
        <w:tabs>
          <w:tab w:val="left" w:pos="1440"/>
        </w:tabs>
        <w:spacing w:after="0"/>
        <w:jc w:val="center"/>
      </w:pPr>
    </w:p>
    <w:p w:rsidR="00957A75" w:rsidP="00604EED" w14:paraId="47C8C0DF" w14:textId="77777777">
      <w:pPr>
        <w:tabs>
          <w:tab w:val="left" w:pos="1440"/>
        </w:tabs>
        <w:spacing w:after="0"/>
        <w:jc w:val="center"/>
      </w:pPr>
      <w:r>
        <w:t>S263180</w:t>
      </w:r>
    </w:p>
    <w:p w:rsidR="00957A75" w:rsidP="00604EED" w14:paraId="47C8C0E0" w14:textId="77777777">
      <w:pPr>
        <w:tabs>
          <w:tab w:val="left" w:pos="1440"/>
        </w:tabs>
        <w:spacing w:after="0"/>
        <w:jc w:val="center"/>
      </w:pPr>
    </w:p>
    <w:p w:rsidR="00957A75" w:rsidP="00604EED" w14:paraId="47C8C0E1" w14:textId="3B6B298F">
      <w:pPr>
        <w:tabs>
          <w:tab w:val="left" w:pos="1440"/>
        </w:tabs>
        <w:spacing w:after="0"/>
        <w:jc w:val="center"/>
      </w:pPr>
      <w:r>
        <w:t>Second Appellate District, Division Eight</w:t>
      </w:r>
    </w:p>
    <w:p w:rsidR="00957A75" w:rsidP="00604EED" w14:paraId="47C8C0E2" w14:textId="77777777">
      <w:pPr>
        <w:tabs>
          <w:tab w:val="left" w:pos="1440"/>
        </w:tabs>
        <w:spacing w:after="0"/>
        <w:jc w:val="center"/>
      </w:pPr>
      <w:r>
        <w:t>B290675</w:t>
      </w:r>
    </w:p>
    <w:p w:rsidR="00957A75" w:rsidP="00604EED" w14:paraId="47C8C0E3" w14:textId="77777777">
      <w:pPr>
        <w:tabs>
          <w:tab w:val="left" w:pos="1440"/>
        </w:tabs>
        <w:spacing w:after="0"/>
        <w:jc w:val="center"/>
      </w:pPr>
    </w:p>
    <w:p w:rsidR="00957A75" w:rsidP="00604EED" w14:paraId="47C8C0E4" w14:textId="77777777">
      <w:pPr>
        <w:tabs>
          <w:tab w:val="left" w:pos="1440"/>
        </w:tabs>
        <w:spacing w:after="0"/>
        <w:jc w:val="center"/>
      </w:pPr>
      <w:r>
        <w:t>Los Angeles County</w:t>
      </w:r>
      <w:r w:rsidR="00A83693">
        <w:t xml:space="preserve"> Superior Court</w:t>
      </w:r>
    </w:p>
    <w:p w:rsidR="00957A75" w:rsidP="00604EED" w14:paraId="47C8C0E5" w14:textId="77777777">
      <w:pPr>
        <w:tabs>
          <w:tab w:val="left" w:pos="1440"/>
        </w:tabs>
        <w:spacing w:after="0"/>
        <w:jc w:val="center"/>
      </w:pPr>
      <w:r>
        <w:t>BS170473</w:t>
      </w:r>
    </w:p>
    <w:p w:rsidR="00957A75" w:rsidP="00604EED" w14:paraId="47C8C0E6" w14:textId="77777777">
      <w:pPr>
        <w:pBdr>
          <w:bottom w:val="single" w:sz="4" w:space="1" w:color="auto"/>
        </w:pBdr>
        <w:tabs>
          <w:tab w:val="left" w:pos="1440"/>
        </w:tabs>
        <w:spacing w:after="0"/>
        <w:jc w:val="center"/>
      </w:pPr>
    </w:p>
    <w:p w:rsidR="00957A75" w:rsidP="00604EED" w14:paraId="47C8C0E7" w14:textId="77777777">
      <w:pPr>
        <w:tabs>
          <w:tab w:val="left" w:pos="1440"/>
        </w:tabs>
        <w:spacing w:after="0"/>
        <w:jc w:val="center"/>
      </w:pPr>
    </w:p>
    <w:p w:rsidR="00957A75" w:rsidP="00604EED" w14:paraId="47C8C0E8" w14:textId="77777777">
      <w:pPr>
        <w:tabs>
          <w:tab w:val="left" w:pos="1440"/>
        </w:tabs>
        <w:spacing w:after="0"/>
        <w:jc w:val="center"/>
      </w:pPr>
      <w:r>
        <w:t>July 31, 2023</w:t>
      </w:r>
    </w:p>
    <w:p w:rsidR="00957A75" w:rsidP="00604EED" w14:paraId="47C8C0E9" w14:textId="77777777">
      <w:pPr>
        <w:tabs>
          <w:tab w:val="left" w:pos="1440"/>
        </w:tabs>
        <w:spacing w:after="0"/>
        <w:jc w:val="center"/>
      </w:pPr>
    </w:p>
    <w:p w:rsidR="00957A75" w:rsidP="00604EED" w14:paraId="47C8C0EA" w14:textId="77777777">
      <w:pPr>
        <w:tabs>
          <w:tab w:val="left" w:pos="1440"/>
        </w:tabs>
        <w:spacing w:after="0"/>
        <w:jc w:val="left"/>
      </w:pPr>
      <w:r>
        <w:t xml:space="preserve">Justice Groban authored the opinion of the Court, in which </w:t>
      </w:r>
      <w:r w:rsidRPr="00077BAA" w:rsidR="00C700E0">
        <w:rPr>
          <w:szCs w:val="27"/>
        </w:rPr>
        <w:t xml:space="preserve">Chief Justice Guerrero and Justices Corrigan, </w:t>
      </w:r>
      <w:r w:rsidR="00C700E0">
        <w:rPr>
          <w:szCs w:val="27"/>
        </w:rPr>
        <w:t xml:space="preserve">Liu, </w:t>
      </w:r>
      <w:r w:rsidRPr="00077BAA" w:rsidR="00C700E0">
        <w:rPr>
          <w:szCs w:val="27"/>
        </w:rPr>
        <w:t>Kruger, Jenkins,</w:t>
      </w:r>
      <w:r w:rsidRPr="00077BAA" w:rsidR="00C700E0">
        <w:t xml:space="preserve"> and </w:t>
      </w:r>
      <w:r w:rsidR="00C700E0">
        <w:rPr>
          <w:szCs w:val="27"/>
        </w:rPr>
        <w:t>Evans</w:t>
      </w:r>
      <w:r w:rsidR="00C700E0">
        <w:t xml:space="preserve"> concurred</w:t>
      </w:r>
      <w:r>
        <w:t>.</w:t>
      </w:r>
    </w:p>
    <w:p w:rsidR="00957A75" w:rsidRPr="00957A75" w:rsidP="00604EED" w14:paraId="47C8C0EB" w14:textId="77777777">
      <w:pPr>
        <w:pBdr>
          <w:bottom w:val="single" w:sz="4" w:space="1" w:color="auto"/>
        </w:pBdr>
        <w:tabs>
          <w:tab w:val="left" w:pos="1440"/>
        </w:tabs>
        <w:spacing w:line="480" w:lineRule="atLeast"/>
        <w:jc w:val="left"/>
      </w:pPr>
      <w:bookmarkStart w:id="2" w:name="Return"/>
      <w:bookmarkEnd w:id="2"/>
    </w:p>
    <w:p w:rsidR="00957A75" w14:paraId="47C8C0EC" w14:textId="77777777">
      <w:pPr>
        <w:tabs>
          <w:tab w:val="left" w:pos="1440"/>
        </w:tabs>
        <w:spacing w:line="480" w:lineRule="atLeast"/>
        <w:ind w:firstLine="720"/>
        <w:sectPr w:rsidSect="00604EED">
          <w:headerReference w:type="default" r:id="rId6"/>
          <w:footerReference w:type="default" r:id="rId7"/>
          <w:pgSz w:w="12240" w:h="15840"/>
          <w:pgMar w:top="1800" w:right="2160" w:bottom="1440" w:left="2160" w:header="720" w:footer="720" w:gutter="0"/>
          <w:cols w:space="720"/>
          <w:titlePg/>
          <w:docGrid w:linePitch="367"/>
        </w:sectPr>
      </w:pPr>
    </w:p>
    <w:p w:rsidR="00957A75" w:rsidP="00903763" w14:paraId="47C8C0ED" w14:textId="77777777">
      <w:pPr>
        <w:tabs>
          <w:tab w:val="left" w:pos="1440"/>
        </w:tabs>
        <w:jc w:val="center"/>
      </w:pPr>
      <w:r>
        <w:t>BOERMEESTER</w:t>
      </w:r>
      <w:r w:rsidR="00445A27">
        <w:t xml:space="preserve"> </w:t>
      </w:r>
      <w:r>
        <w:t>v. CARRY</w:t>
      </w:r>
    </w:p>
    <w:p w:rsidR="00957A75" w:rsidP="00552096" w14:paraId="47C8C0EE" w14:textId="77777777">
      <w:pPr>
        <w:tabs>
          <w:tab w:val="left" w:pos="1440"/>
        </w:tabs>
        <w:jc w:val="center"/>
      </w:pPr>
      <w:r>
        <w:t>S263180</w:t>
      </w:r>
    </w:p>
    <w:p w:rsidR="00957A75" w:rsidP="00552096" w14:paraId="47C8C0EF" w14:textId="77777777">
      <w:pPr>
        <w:tabs>
          <w:tab w:val="left" w:pos="1440"/>
        </w:tabs>
        <w:jc w:val="center"/>
      </w:pPr>
    </w:p>
    <w:p w:rsidR="00957A75" w:rsidP="00552096" w14:paraId="47C8C0F0" w14:textId="77777777">
      <w:pPr>
        <w:tabs>
          <w:tab w:val="left" w:pos="1440"/>
        </w:tabs>
        <w:jc w:val="center"/>
      </w:pPr>
      <w:r>
        <w:t>Opinion of the Court by Groban, J.</w:t>
      </w:r>
    </w:p>
    <w:p w:rsidR="00957A75" w:rsidRPr="00957A75" w:rsidP="00604EED" w14:paraId="47C8C0F1" w14:textId="77777777">
      <w:pPr>
        <w:tabs>
          <w:tab w:val="left" w:pos="1440"/>
        </w:tabs>
        <w:ind w:firstLine="720"/>
        <w:jc w:val="center"/>
      </w:pPr>
    </w:p>
    <w:p w:rsidR="008B6BDA" w:rsidRPr="00957A75" w:rsidP="00604EED" w14:paraId="47C8C0F2" w14:textId="77777777">
      <w:pPr>
        <w:tabs>
          <w:tab w:val="left" w:pos="1440"/>
        </w:tabs>
        <w:ind w:firstLine="720"/>
      </w:pPr>
      <w:r w:rsidRPr="00957A75">
        <w:t xml:space="preserve">In recent years, courts in California and throughout the nation, as well as the California Legislature and </w:t>
      </w:r>
      <w:r w:rsidRPr="00957A75" w:rsidR="003670E2">
        <w:t xml:space="preserve">the </w:t>
      </w:r>
      <w:bookmarkStart w:id="3" w:name="_Hlk138162372"/>
      <w:r w:rsidRPr="00957A75" w:rsidR="003670E2">
        <w:t>United States Department of Education’s Office for Civil Rights (OCR)</w:t>
      </w:r>
      <w:r w:rsidRPr="00957A75">
        <w:t xml:space="preserve">, </w:t>
      </w:r>
      <w:bookmarkEnd w:id="3"/>
      <w:r w:rsidRPr="00957A75">
        <w:t xml:space="preserve">have </w:t>
      </w:r>
      <w:r w:rsidRPr="00957A75" w:rsidR="00932A3C">
        <w:t>attempted to determine</w:t>
      </w:r>
      <w:r w:rsidRPr="00957A75">
        <w:t xml:space="preserve"> the precise procedures universities</w:t>
      </w:r>
      <w:r>
        <w:rPr>
          <w:rStyle w:val="FootnoteReference"/>
        </w:rPr>
        <w:footnoteReference w:id="3"/>
      </w:r>
      <w:r w:rsidRPr="00957A75">
        <w:t xml:space="preserve"> must utilize when investigating and disciplining students accused of sexual misconduct or intimate partner violence.  This judicial and legislative activity likely began in response to a “Dear Colleague” letter </w:t>
      </w:r>
      <w:r w:rsidRPr="00957A75" w:rsidR="002B71DF">
        <w:t xml:space="preserve">relating to </w:t>
      </w:r>
      <w:r w:rsidR="00DE555B">
        <w:t>t</w:t>
      </w:r>
      <w:r w:rsidRPr="00957A75" w:rsidR="002B71DF">
        <w:t>itle IX of the Education Amendments of 1972 (20</w:t>
      </w:r>
      <w:r w:rsidR="007A3B82">
        <w:t> </w:t>
      </w:r>
      <w:r w:rsidRPr="00957A75" w:rsidR="002B71DF">
        <w:t xml:space="preserve">U.S.C. § 1681 et seq.) (Title IX) </w:t>
      </w:r>
      <w:r w:rsidRPr="00957A75" w:rsidR="00BF2399">
        <w:t>that the OCR</w:t>
      </w:r>
      <w:r w:rsidRPr="00957A75" w:rsidR="002B71DF">
        <w:t xml:space="preserve"> </w:t>
      </w:r>
      <w:r w:rsidRPr="00957A75">
        <w:t>issued in 2011, which gave guidance on the specific procedures federally funded universities should implement when investigating sexual harassment allegations.  The letter sought to stymie the rising tide of sexual assault on campuses by making it easier for victims to prove their claims in university disciplinary actions.  Though the letter was rescinded in 2017, students accused of sexual misconduct or intimate partner violence continue to challenge many of the disciplinary procedures universities have since implemented, asserting that these procedures create an unfair process which may result in</w:t>
      </w:r>
      <w:r w:rsidRPr="00957A75" w:rsidR="00D54529">
        <w:t xml:space="preserve"> universities mistakenly imposing severe sanctions upon </w:t>
      </w:r>
      <w:r w:rsidRPr="00957A75" w:rsidR="00141B89">
        <w:t xml:space="preserve">accused </w:t>
      </w:r>
      <w:r w:rsidRPr="00957A75" w:rsidR="00D54529">
        <w:t>students, including expulsion.</w:t>
      </w:r>
      <w:r w:rsidRPr="00957A75">
        <w:t xml:space="preserve"> </w:t>
      </w:r>
    </w:p>
    <w:p w:rsidR="008B6BDA" w:rsidRPr="00957A75" w:rsidP="00604EED" w14:paraId="47C8C0F3" w14:textId="77777777">
      <w:pPr>
        <w:tabs>
          <w:tab w:val="left" w:pos="1440"/>
        </w:tabs>
        <w:ind w:firstLine="720"/>
      </w:pPr>
      <w:bookmarkStart w:id="4" w:name="_Hlk134176773"/>
      <w:r w:rsidRPr="00957A75">
        <w:t xml:space="preserve">In this case, respondents University of Southern California and </w:t>
      </w:r>
      <w:r w:rsidRPr="00957A75" w:rsidR="00456F6D">
        <w:t xml:space="preserve">its Vice President of Student Affairs, </w:t>
      </w:r>
      <w:r w:rsidRPr="00957A75">
        <w:t>Ainsley Carry (</w:t>
      </w:r>
      <w:r w:rsidR="0093645A">
        <w:t>collectively</w:t>
      </w:r>
      <w:r w:rsidRPr="00957A75">
        <w:t xml:space="preserve">, USC) expelled appellant Matthew Boermeester from the </w:t>
      </w:r>
      <w:r w:rsidRPr="00957A75" w:rsidR="00D934C0">
        <w:t xml:space="preserve">private </w:t>
      </w:r>
      <w:r w:rsidRPr="00957A75">
        <w:t xml:space="preserve">university after conducting a two-month investigation and determining that he violated </w:t>
      </w:r>
      <w:r w:rsidR="00E771AB">
        <w:t>USC’s</w:t>
      </w:r>
      <w:r w:rsidRPr="00957A75">
        <w:t xml:space="preserve"> policy against engaging in intimate partner violence.  Boermeester filed a petition for a writ of administrative mandate under </w:t>
      </w:r>
      <w:bookmarkStart w:id="5" w:name="_Hlk138163413"/>
      <w:r w:rsidRPr="00957A75">
        <w:t>Code of Civil Procedure section 1094.5</w:t>
      </w:r>
      <w:r w:rsidRPr="00957A75" w:rsidR="00C473B5">
        <w:t xml:space="preserve"> (section 1094.5)</w:t>
      </w:r>
      <w:r w:rsidRPr="00957A75">
        <w:t>,</w:t>
      </w:r>
      <w:bookmarkEnd w:id="5"/>
      <w:r w:rsidRPr="00957A75">
        <w:t xml:space="preserve"> alleging that he was deprived of the “fair trial” required by that section.  A divided Court of Appeal agreed, with the majority concluding that “USC’s disciplinary procedures . . . were unfair because they denied Boermeester a meaningful opportunity to cross-examine critical witnesses at an in-person hearing.”  </w:t>
      </w:r>
      <w:bookmarkStart w:id="6" w:name="_Hlk137733391"/>
      <w:r w:rsidRPr="00957A75">
        <w:t>(</w:t>
      </w:r>
      <w:r w:rsidRPr="00957A75">
        <w:rPr>
          <w:i/>
          <w:iCs/>
        </w:rPr>
        <w:t>Boermeester v. Carry</w:t>
      </w:r>
      <w:r w:rsidRPr="00957A75">
        <w:t xml:space="preserve"> (June 4, 2020, B290675) review granted and opn. ordered nonpub. Sept. 16, 2020, S263180.)  </w:t>
      </w:r>
      <w:bookmarkEnd w:id="4"/>
      <w:bookmarkEnd w:id="6"/>
      <w:r w:rsidRPr="00957A75">
        <w:t>More specifically, the Court of Appeal majority determined that USC’s disciplinary procedures were unfair because</w:t>
      </w:r>
      <w:r w:rsidRPr="00957A75" w:rsidR="006C1E2F">
        <w:t xml:space="preserve"> USC</w:t>
      </w:r>
      <w:r w:rsidRPr="00957A75">
        <w:t xml:space="preserve"> </w:t>
      </w:r>
      <w:r w:rsidRPr="00957A75" w:rsidR="00456F6D">
        <w:t>should have afforded</w:t>
      </w:r>
      <w:r w:rsidRPr="00957A75">
        <w:t xml:space="preserve"> </w:t>
      </w:r>
      <w:r w:rsidRPr="00957A75" w:rsidR="00EC06B3">
        <w:t xml:space="preserve">Boermeester </w:t>
      </w:r>
      <w:r w:rsidRPr="00957A75">
        <w:t>the opportunity to</w:t>
      </w:r>
      <w:r w:rsidRPr="00957A75" w:rsidR="00456F6D">
        <w:t xml:space="preserve"> atten</w:t>
      </w:r>
      <w:r w:rsidRPr="00957A75" w:rsidR="005C6D8D">
        <w:t>d</w:t>
      </w:r>
      <w:r w:rsidRPr="00957A75" w:rsidR="00A845A3">
        <w:t xml:space="preserve"> </w:t>
      </w:r>
      <w:r w:rsidRPr="00957A75" w:rsidR="005C6D8D">
        <w:t xml:space="preserve">a </w:t>
      </w:r>
      <w:r w:rsidRPr="00957A75" w:rsidR="00A845A3">
        <w:t xml:space="preserve">live </w:t>
      </w:r>
      <w:r w:rsidRPr="00957A75" w:rsidR="005C6D8D">
        <w:t>hearing</w:t>
      </w:r>
      <w:r w:rsidRPr="00957A75" w:rsidR="006C1E2F">
        <w:t xml:space="preserve"> at which he</w:t>
      </w:r>
      <w:r w:rsidRPr="00957A75" w:rsidR="00BB20B2">
        <w:t xml:space="preserve"> or his advisor-attorney would directly cross-examine </w:t>
      </w:r>
      <w:r w:rsidRPr="00957A75" w:rsidR="006C1E2F">
        <w:t>the alleged victim, Jane Roe,</w:t>
      </w:r>
      <w:r>
        <w:rPr>
          <w:rStyle w:val="FootnoteReference"/>
        </w:rPr>
        <w:footnoteReference w:id="4"/>
      </w:r>
      <w:r w:rsidRPr="00957A75" w:rsidR="006C1E2F">
        <w:t xml:space="preserve"> </w:t>
      </w:r>
      <w:r w:rsidRPr="00957A75" w:rsidR="003670E2">
        <w:t>a</w:t>
      </w:r>
      <w:r w:rsidRPr="00957A75" w:rsidR="008C5872">
        <w:t>s well as</w:t>
      </w:r>
      <w:r w:rsidRPr="00957A75" w:rsidR="003670E2">
        <w:t xml:space="preserve"> the third</w:t>
      </w:r>
      <w:r w:rsidR="001F18C3">
        <w:t xml:space="preserve"> </w:t>
      </w:r>
      <w:r w:rsidRPr="00957A75" w:rsidR="003670E2">
        <w:t>party witnesses</w:t>
      </w:r>
      <w:r w:rsidRPr="00957A75" w:rsidR="006C1E2F">
        <w:t>,</w:t>
      </w:r>
      <w:r w:rsidRPr="00957A75" w:rsidR="003670E2">
        <w:t xml:space="preserve"> </w:t>
      </w:r>
      <w:r w:rsidRPr="00957A75" w:rsidR="005C6D8D">
        <w:t>or indirectly cross-examine</w:t>
      </w:r>
      <w:r w:rsidRPr="00957A75" w:rsidR="003670E2">
        <w:t xml:space="preserve"> </w:t>
      </w:r>
      <w:r w:rsidRPr="00957A75" w:rsidR="00BB20B2">
        <w:t xml:space="preserve">them by submitting questions </w:t>
      </w:r>
      <w:r w:rsidRPr="00957A75" w:rsidR="00C90404">
        <w:t>for</w:t>
      </w:r>
      <w:r w:rsidRPr="00957A75" w:rsidR="00BB20B2">
        <w:t xml:space="preserve"> USC’s adjudicators to </w:t>
      </w:r>
      <w:r w:rsidRPr="00957A75" w:rsidR="006C1E2F">
        <w:t xml:space="preserve">ask </w:t>
      </w:r>
      <w:r w:rsidRPr="00957A75" w:rsidR="008C5872">
        <w:t xml:space="preserve">them </w:t>
      </w:r>
      <w:r w:rsidRPr="00957A75" w:rsidR="00932A3C">
        <w:t xml:space="preserve">at </w:t>
      </w:r>
      <w:r w:rsidRPr="00957A75" w:rsidR="006D75DB">
        <w:t>the</w:t>
      </w:r>
      <w:r w:rsidRPr="00957A75" w:rsidR="001142EE">
        <w:t xml:space="preserve"> live</w:t>
      </w:r>
      <w:r w:rsidRPr="00957A75" w:rsidR="00932A3C">
        <w:t xml:space="preserve"> hearing</w:t>
      </w:r>
      <w:r w:rsidRPr="00957A75" w:rsidR="00BB20B2">
        <w:t xml:space="preserve">.  </w:t>
      </w:r>
      <w:r w:rsidRPr="00957A75" w:rsidR="00767930">
        <w:t>(</w:t>
      </w:r>
      <w:r w:rsidRPr="00957A75" w:rsidR="00767930">
        <w:rPr>
          <w:i/>
          <w:iCs/>
        </w:rPr>
        <w:t>Boermeester v. Carry</w:t>
      </w:r>
      <w:r w:rsidRPr="00957A75" w:rsidR="00767930">
        <w:t xml:space="preserve">, </w:t>
      </w:r>
      <w:r w:rsidRPr="00957A75" w:rsidR="00767930">
        <w:rPr>
          <w:i/>
          <w:iCs/>
        </w:rPr>
        <w:t>supra</w:t>
      </w:r>
      <w:r w:rsidRPr="00957A75" w:rsidR="00767930">
        <w:t>, B290675.)</w:t>
      </w:r>
      <w:r w:rsidRPr="00957A75" w:rsidR="00BF2399">
        <w:t xml:space="preserve">  </w:t>
      </w:r>
      <w:bookmarkStart w:id="7" w:name="_Hlk117000531"/>
      <w:r w:rsidRPr="00957A75" w:rsidR="00015B65">
        <w:t xml:space="preserve">The Court of Appeal majority made clear that the witnesses need not be “physically present to allow the accused student to confront them” </w:t>
      </w:r>
      <w:r w:rsidRPr="00957A75" w:rsidR="00A55407">
        <w:t>and</w:t>
      </w:r>
      <w:r w:rsidRPr="00957A75" w:rsidR="00015B65">
        <w:t xml:space="preserve"> could instead appear “by videoconference, or by another method that would facilitate the assessment of credibility.”  (</w:t>
      </w:r>
      <w:r w:rsidRPr="00957A75" w:rsidR="00015B65">
        <w:rPr>
          <w:i/>
          <w:iCs/>
        </w:rPr>
        <w:t>Ibid</w:t>
      </w:r>
      <w:r w:rsidRPr="00957A75" w:rsidR="00015B65">
        <w:t>.)  Nevertheless, the Court of Appeal majority believed that accused student</w:t>
      </w:r>
      <w:r w:rsidRPr="00957A75" w:rsidR="00A55407">
        <w:t>s</w:t>
      </w:r>
      <w:r w:rsidRPr="00957A75" w:rsidR="00015B65">
        <w:t xml:space="preserve"> must b</w:t>
      </w:r>
      <w:r w:rsidRPr="00957A75" w:rsidR="00A55407">
        <w:t>e</w:t>
      </w:r>
      <w:r w:rsidRPr="00957A75" w:rsidR="00015B65">
        <w:t xml:space="preserve"> </w:t>
      </w:r>
      <w:r w:rsidRPr="00957A75" w:rsidR="00A55407">
        <w:t>able</w:t>
      </w:r>
      <w:r w:rsidRPr="00957A75" w:rsidR="00015B65">
        <w:t xml:space="preserve"> to</w:t>
      </w:r>
      <w:r w:rsidRPr="00957A75" w:rsidR="00E52B02">
        <w:t xml:space="preserve"> contemporaneously</w:t>
      </w:r>
      <w:r w:rsidRPr="00957A75" w:rsidR="00015B65">
        <w:t xml:space="preserve"> hear and </w:t>
      </w:r>
      <w:r w:rsidRPr="00957A75" w:rsidR="00A55407">
        <w:t xml:space="preserve">observe </w:t>
      </w:r>
      <w:r w:rsidRPr="00957A75" w:rsidR="00941D36">
        <w:t xml:space="preserve">the </w:t>
      </w:r>
      <w:r w:rsidRPr="00957A75" w:rsidR="00C473B5">
        <w:t xml:space="preserve">real-time </w:t>
      </w:r>
      <w:r w:rsidRPr="00957A75" w:rsidR="00941D36">
        <w:t xml:space="preserve">testimony </w:t>
      </w:r>
      <w:r w:rsidRPr="00957A75" w:rsidR="00A55407">
        <w:t xml:space="preserve">of the accuser and other witnesses at a live hearing </w:t>
      </w:r>
      <w:r w:rsidRPr="00957A75" w:rsidR="00095B5A">
        <w:t>to have</w:t>
      </w:r>
      <w:r w:rsidRPr="00957A75" w:rsidR="00A55407">
        <w:t xml:space="preserve"> a “meaningful opportunity to respond to the evidence against [them]”</w:t>
      </w:r>
      <w:r w:rsidRPr="00957A75" w:rsidR="008C2E52">
        <w:t xml:space="preserve"> and ask follow-up questions</w:t>
      </w:r>
      <w:r w:rsidRPr="00957A75" w:rsidR="007006D7">
        <w:t>.</w:t>
      </w:r>
      <w:r w:rsidRPr="00957A75" w:rsidR="00E52B02">
        <w:t xml:space="preserve">  (</w:t>
      </w:r>
      <w:r w:rsidRPr="00957A75" w:rsidR="00E52B02">
        <w:rPr>
          <w:i/>
          <w:iCs/>
        </w:rPr>
        <w:t>Ibid</w:t>
      </w:r>
      <w:r w:rsidRPr="00957A75" w:rsidR="00E52B02">
        <w:t>.)</w:t>
      </w:r>
      <w:r w:rsidRPr="00957A75" w:rsidR="00A55407">
        <w:t xml:space="preserve"> </w:t>
      </w:r>
    </w:p>
    <w:bookmarkEnd w:id="7"/>
    <w:p w:rsidR="008B6BDA" w:rsidRPr="00957A75" w:rsidP="001C6826" w14:paraId="47C8C0F4" w14:textId="77777777">
      <w:pPr>
        <w:tabs>
          <w:tab w:val="left" w:pos="1440"/>
        </w:tabs>
        <w:ind w:firstLine="720"/>
      </w:pPr>
      <w:r w:rsidRPr="00957A75">
        <w:t>We hold that</w:t>
      </w:r>
      <w:r w:rsidR="000D5821">
        <w:t>, though</w:t>
      </w:r>
      <w:r w:rsidR="00FF2C16">
        <w:t xml:space="preserve"> </w:t>
      </w:r>
      <w:r w:rsidRPr="00957A75" w:rsidR="00E2622B">
        <w:t>private universities are required to comply with</w:t>
      </w:r>
      <w:r w:rsidR="00055761">
        <w:t xml:space="preserve"> the common law doctrine of</w:t>
      </w:r>
      <w:r w:rsidRPr="00957A75" w:rsidR="00E2622B">
        <w:t xml:space="preserve"> fair procedure by providing accused students with notice of the charges and a meaningful opportunity to be heard</w:t>
      </w:r>
      <w:r w:rsidR="000D5821">
        <w:t xml:space="preserve">, they </w:t>
      </w:r>
      <w:r w:rsidR="00FF2C16">
        <w:t xml:space="preserve">are not required to provide accused students the opportunity to directly or indirectly cross-examine the accuser and other witnesses at a live hearing with </w:t>
      </w:r>
      <w:r w:rsidR="00026559">
        <w:t>the accused student</w:t>
      </w:r>
      <w:r w:rsidR="00FF2C16">
        <w:t xml:space="preserve"> in attendance, either in person or virtually.  </w:t>
      </w:r>
      <w:r w:rsidRPr="00957A75" w:rsidR="00E2622B">
        <w:t xml:space="preserve">Requiring private universities to conduct the sort of hearing the Court of Appeal majority envisioned would be contrary to our long-standing fair procedure admonition that courts should not attempt to fix any rigid procedures </w:t>
      </w:r>
      <w:r w:rsidR="00D1175A">
        <w:t xml:space="preserve">that </w:t>
      </w:r>
      <w:r w:rsidRPr="00957A75" w:rsidR="00E2622B">
        <w:t>private organizations must “invariably” adopt</w:t>
      </w:r>
      <w:r w:rsidR="00FF2C16">
        <w:t xml:space="preserve">.  </w:t>
      </w:r>
      <w:r w:rsidRPr="00957A75" w:rsidR="00FF2C16">
        <w:t>(</w:t>
      </w:r>
      <w:r w:rsidRPr="00957A75" w:rsidR="00FF2C16">
        <w:rPr>
          <w:i/>
          <w:iCs/>
        </w:rPr>
        <w:t>Pinsker v. Pacific Coast Society of Orthodontists</w:t>
      </w:r>
      <w:r w:rsidRPr="00957A75" w:rsidR="00FF2C16">
        <w:t xml:space="preserve"> (1974) 12</w:t>
      </w:r>
      <w:r w:rsidR="00FF2C16">
        <w:t> </w:t>
      </w:r>
      <w:r w:rsidRPr="00957A75" w:rsidR="00FF2C16">
        <w:t>Cal.3d 541, 555 (</w:t>
      </w:r>
      <w:r w:rsidRPr="00957A75" w:rsidR="00FF2C16">
        <w:rPr>
          <w:i/>
          <w:iCs/>
        </w:rPr>
        <w:t>Pinsker II</w:t>
      </w:r>
      <w:r w:rsidRPr="00957A75" w:rsidR="00FF2C16">
        <w:t>).</w:t>
      </w:r>
      <w:r w:rsidR="00FE2131">
        <w:t>)</w:t>
      </w:r>
      <w:r w:rsidR="00FF2C16">
        <w:t xml:space="preserve">  Instead,</w:t>
      </w:r>
      <w:r w:rsidRPr="00957A75" w:rsidR="00E2622B">
        <w:t xml:space="preserve"> private organizations should “retain the initial and primary responsibility for devising a method” to ensure adequate notice and a meaningful opportunity to be heard.  </w:t>
      </w:r>
      <w:bookmarkStart w:id="8" w:name="_Hlk137733419"/>
      <w:bookmarkStart w:id="9" w:name="_Hlk138154637"/>
      <w:r w:rsidR="00FF2C16">
        <w:t>(</w:t>
      </w:r>
      <w:r w:rsidR="00FF2C16">
        <w:rPr>
          <w:i/>
          <w:iCs/>
        </w:rPr>
        <w:t>Ibid.</w:t>
      </w:r>
      <w:r w:rsidRPr="00957A75" w:rsidR="005E3A0F">
        <w:t>)</w:t>
      </w:r>
      <w:bookmarkEnd w:id="8"/>
      <w:r w:rsidR="001C6826">
        <w:t xml:space="preserve">  </w:t>
      </w:r>
      <w:bookmarkEnd w:id="9"/>
      <w:r w:rsidRPr="00957A75" w:rsidR="0005505B">
        <w:t xml:space="preserve">We </w:t>
      </w:r>
      <w:r w:rsidRPr="00957A75" w:rsidR="00BB17F1">
        <w:t>accordingly</w:t>
      </w:r>
      <w:r w:rsidRPr="00957A75">
        <w:t xml:space="preserve"> reverse the Court of Appeal’s judgment</w:t>
      </w:r>
      <w:r w:rsidR="001C6826">
        <w:t>.</w:t>
      </w:r>
      <w:r w:rsidRPr="00957A75">
        <w:t xml:space="preserve"> </w:t>
      </w:r>
      <w:r w:rsidR="001C6826">
        <w:t xml:space="preserve"> </w:t>
      </w:r>
    </w:p>
    <w:p w:rsidR="008B6BDA" w:rsidRPr="00957A75" w:rsidP="00957A75" w14:paraId="47C8C0F5" w14:textId="77777777">
      <w:pPr>
        <w:pStyle w:val="Heading1"/>
      </w:pPr>
      <w:r w:rsidRPr="00957A75">
        <w:t>I.  Background</w:t>
      </w:r>
    </w:p>
    <w:p w:rsidR="008B6BDA" w:rsidRPr="00957A75" w:rsidP="00604EED" w14:paraId="47C8C0F6" w14:textId="77777777">
      <w:pPr>
        <w:tabs>
          <w:tab w:val="left" w:pos="1440"/>
        </w:tabs>
        <w:ind w:firstLine="720"/>
      </w:pPr>
      <w:r w:rsidRPr="00957A75">
        <w:t xml:space="preserve">This </w:t>
      </w:r>
      <w:r w:rsidRPr="00957A75" w:rsidR="00ED669D">
        <w:t xml:space="preserve">matter </w:t>
      </w:r>
      <w:r w:rsidRPr="00957A75">
        <w:t>comes to us on appeal from a judgment on a petition for a writ of administrative mandate made pursuant to section 1094.5.</w:t>
      </w:r>
      <w:r w:rsidRPr="00957A75" w:rsidR="00E918AF">
        <w:t xml:space="preserve"> </w:t>
      </w:r>
      <w:r w:rsidRPr="00957A75" w:rsidR="000F2B2B">
        <w:t xml:space="preserve"> </w:t>
      </w:r>
      <w:r w:rsidRPr="00957A75">
        <w:t xml:space="preserve">Our recitation of the facts is accordingly derived solely from the administrative record.  </w:t>
      </w:r>
      <w:bookmarkStart w:id="10" w:name="_Hlk137733435"/>
      <w:r w:rsidRPr="00957A75">
        <w:t>(</w:t>
      </w:r>
      <w:r w:rsidRPr="00957A75">
        <w:rPr>
          <w:i/>
          <w:iCs/>
        </w:rPr>
        <w:t>Sierra Club v. California Coastal Com.</w:t>
      </w:r>
      <w:r w:rsidRPr="00957A75">
        <w:t xml:space="preserve"> (2005) 35 Cal.4th 839, 864; accord</w:t>
      </w:r>
      <w:r w:rsidR="0093645A">
        <w:t>,</w:t>
      </w:r>
      <w:r w:rsidRPr="00957A75">
        <w:t xml:space="preserve"> </w:t>
      </w:r>
      <w:r w:rsidRPr="00957A75">
        <w:rPr>
          <w:i/>
          <w:iCs/>
        </w:rPr>
        <w:t>Pomona Valley Hospital Medical Center v. Superior Court</w:t>
      </w:r>
      <w:r w:rsidRPr="00957A75">
        <w:t xml:space="preserve"> (1997) 55 Cal.App.4th 93, 101.)</w:t>
      </w:r>
      <w:bookmarkEnd w:id="10"/>
      <w:r w:rsidRPr="00957A75" w:rsidR="008E75CB">
        <w:rPr>
          <w:rStyle w:val="FootnoteReference"/>
          <w:bCs/>
        </w:rPr>
        <w:t xml:space="preserve"> </w:t>
      </w:r>
      <w:r w:rsidRPr="00957A75">
        <w:t xml:space="preserve">    </w:t>
      </w:r>
    </w:p>
    <w:p w:rsidR="000F2B2B" w:rsidRPr="00957A75" w:rsidP="005D0408" w14:paraId="47C8C0F7" w14:textId="77777777">
      <w:pPr>
        <w:pStyle w:val="Heading2"/>
        <w:numPr>
          <w:ilvl w:val="0"/>
          <w:numId w:val="1"/>
        </w:numPr>
        <w:ind w:left="1109" w:hanging="389"/>
        <w:contextualSpacing/>
      </w:pPr>
      <w:r w:rsidRPr="00957A75">
        <w:tab/>
        <w:t>USC’s Policies</w:t>
      </w:r>
    </w:p>
    <w:p w:rsidR="002A78AB" w:rsidRPr="00957A75" w:rsidP="006B7356" w14:paraId="47C8C0F8" w14:textId="77777777">
      <w:pPr>
        <w:tabs>
          <w:tab w:val="left" w:pos="1440"/>
        </w:tabs>
        <w:ind w:firstLine="720"/>
      </w:pPr>
      <w:r w:rsidRPr="00957A75">
        <w:t xml:space="preserve">The </w:t>
      </w:r>
      <w:r w:rsidRPr="00957A75" w:rsidR="000F2B2B">
        <w:t xml:space="preserve">USC </w:t>
      </w:r>
      <w:r w:rsidR="00E45253">
        <w:t>s</w:t>
      </w:r>
      <w:r w:rsidRPr="00957A75" w:rsidR="000F2B2B">
        <w:t xml:space="preserve">tudent </w:t>
      </w:r>
      <w:r w:rsidR="00E45253">
        <w:t>c</w:t>
      </w:r>
      <w:r w:rsidRPr="00957A75" w:rsidR="000F2B2B">
        <w:t xml:space="preserve">onduct </w:t>
      </w:r>
      <w:r w:rsidR="00E45253">
        <w:t>c</w:t>
      </w:r>
      <w:r w:rsidRPr="00957A75" w:rsidR="000F2B2B">
        <w:t>ode</w:t>
      </w:r>
      <w:r w:rsidR="00933367">
        <w:t xml:space="preserve"> </w:t>
      </w:r>
      <w:r w:rsidRPr="00957A75" w:rsidR="00565032">
        <w:t xml:space="preserve">in effect at the time of the incident in question </w:t>
      </w:r>
      <w:r w:rsidRPr="00957A75" w:rsidR="000F2B2B">
        <w:t>prohibit</w:t>
      </w:r>
      <w:r w:rsidR="0034139A">
        <w:t>ed</w:t>
      </w:r>
      <w:r w:rsidRPr="00957A75" w:rsidR="000F2B2B">
        <w:t xml:space="preserve"> </w:t>
      </w:r>
      <w:r w:rsidRPr="00957A75">
        <w:t xml:space="preserve">students from engaging in intimate partner violence, </w:t>
      </w:r>
      <w:r w:rsidR="0034139A">
        <w:t xml:space="preserve">which it </w:t>
      </w:r>
      <w:r w:rsidRPr="00957A75">
        <w:t>define</w:t>
      </w:r>
      <w:r w:rsidRPr="00957A75" w:rsidR="005B4011">
        <w:t>d</w:t>
      </w:r>
      <w:r w:rsidRPr="00957A75">
        <w:t xml:space="preserve"> as </w:t>
      </w:r>
      <w:r w:rsidR="006B7356">
        <w:t>“</w:t>
      </w:r>
      <w:r w:rsidRPr="006B7356" w:rsidR="006B7356">
        <w:t xml:space="preserve">violence committed against a person . . . with whom </w:t>
      </w:r>
      <w:r w:rsidR="006B7356">
        <w:t>[the accused student has]</w:t>
      </w:r>
      <w:r w:rsidRPr="006B7356" w:rsidR="006B7356">
        <w:t xml:space="preserve"> had a previous or current dating, romantic, intimate, or sexual relationship.”  Violence, in turn, </w:t>
      </w:r>
      <w:r w:rsidR="0034139A">
        <w:t xml:space="preserve">was defined as </w:t>
      </w:r>
      <w:r w:rsidRPr="006B7356" w:rsidR="006B7356">
        <w:t>“causing physical harm to the person.”</w:t>
      </w:r>
      <w:r w:rsidR="006B7356">
        <w:t xml:space="preserve">  </w:t>
      </w:r>
      <w:r w:rsidRPr="00957A75" w:rsidR="005708DE">
        <w:t>Upon receiving a report of intimate partner violence</w:t>
      </w:r>
      <w:r w:rsidRPr="00957A75" w:rsidR="005B4011">
        <w:t xml:space="preserve"> or other prohibited conduct</w:t>
      </w:r>
      <w:r w:rsidRPr="00957A75" w:rsidR="005708DE">
        <w:t xml:space="preserve">, </w:t>
      </w:r>
      <w:r w:rsidRPr="00957A75">
        <w:t>USC’s Title IX office</w:t>
      </w:r>
      <w:r w:rsidRPr="00957A75" w:rsidR="005B4011">
        <w:t xml:space="preserve"> </w:t>
      </w:r>
      <w:r w:rsidR="0034139A">
        <w:t xml:space="preserve">would </w:t>
      </w:r>
      <w:r w:rsidRPr="00957A75" w:rsidR="005708DE">
        <w:t>conduct an intake interview of the accuser or alleged victim.</w:t>
      </w:r>
      <w:r>
        <w:rPr>
          <w:rStyle w:val="FootnoteReference"/>
        </w:rPr>
        <w:footnoteReference w:id="5"/>
      </w:r>
      <w:r w:rsidRPr="00957A75" w:rsidR="005708DE">
        <w:t xml:space="preserve">  If USC decide</w:t>
      </w:r>
      <w:r w:rsidR="0034139A">
        <w:t>d</w:t>
      </w:r>
      <w:r w:rsidRPr="00957A75" w:rsidR="005E0DB4">
        <w:t xml:space="preserve"> </w:t>
      </w:r>
      <w:r w:rsidRPr="00957A75" w:rsidR="005708DE">
        <w:t xml:space="preserve">to open a formal investigation, </w:t>
      </w:r>
      <w:r w:rsidRPr="00957A75" w:rsidR="006B63E1">
        <w:t xml:space="preserve">it </w:t>
      </w:r>
      <w:r w:rsidR="0034139A">
        <w:t xml:space="preserve">would </w:t>
      </w:r>
      <w:r w:rsidRPr="00957A75" w:rsidR="006B63E1">
        <w:t>notif</w:t>
      </w:r>
      <w:r w:rsidR="0034139A">
        <w:t xml:space="preserve">y </w:t>
      </w:r>
      <w:r w:rsidRPr="00957A75" w:rsidR="005708DE">
        <w:t xml:space="preserve">the accuser and the accused </w:t>
      </w:r>
      <w:r w:rsidRPr="00957A75" w:rsidR="006F4FA3">
        <w:t>student</w:t>
      </w:r>
      <w:r w:rsidRPr="00957A75" w:rsidR="005708DE">
        <w:t xml:space="preserve"> of the investigation and </w:t>
      </w:r>
      <w:r w:rsidRPr="00957A75" w:rsidR="006B63E1">
        <w:t>the alleged</w:t>
      </w:r>
      <w:r w:rsidRPr="00957A75" w:rsidR="005708DE">
        <w:t xml:space="preserve"> policy violations.  USC </w:t>
      </w:r>
      <w:r w:rsidR="0034139A">
        <w:t xml:space="preserve">would </w:t>
      </w:r>
      <w:r w:rsidRPr="00957A75" w:rsidR="009852CA">
        <w:t xml:space="preserve">also </w:t>
      </w:r>
      <w:r w:rsidRPr="00957A75" w:rsidR="005708DE">
        <w:t>assign</w:t>
      </w:r>
      <w:r w:rsidRPr="00957A75" w:rsidR="005B4011">
        <w:t xml:space="preserve"> </w:t>
      </w:r>
      <w:r w:rsidRPr="00957A75" w:rsidR="005708DE">
        <w:t xml:space="preserve">a Title IX investigator to the matter, who </w:t>
      </w:r>
      <w:r w:rsidR="0034139A">
        <w:t xml:space="preserve">would </w:t>
      </w:r>
      <w:r w:rsidRPr="00957A75" w:rsidR="005708DE">
        <w:t xml:space="preserve">gather facts and interview witnesses.  </w:t>
      </w:r>
      <w:r w:rsidR="0034139A">
        <w:t xml:space="preserve">Upon completion of the investigation, </w:t>
      </w:r>
      <w:r w:rsidRPr="00957A75" w:rsidR="006B63E1">
        <w:t>USC</w:t>
      </w:r>
      <w:r w:rsidR="0034139A">
        <w:t xml:space="preserve"> would</w:t>
      </w:r>
      <w:r w:rsidRPr="00957A75" w:rsidR="006B63E1">
        <w:t xml:space="preserve"> </w:t>
      </w:r>
      <w:r w:rsidR="0034139A">
        <w:t>provide</w:t>
      </w:r>
      <w:r w:rsidRPr="00957A75" w:rsidR="006B63E1">
        <w:t xml:space="preserve"> </w:t>
      </w:r>
      <w:r w:rsidRPr="00957A75" w:rsidR="006F4FA3">
        <w:t xml:space="preserve">the accuser and the accused student </w:t>
      </w:r>
      <w:r w:rsidR="006B7356">
        <w:t xml:space="preserve">“individual and </w:t>
      </w:r>
      <w:r w:rsidRPr="00957A75" w:rsidR="006B63E1">
        <w:t>separat</w:t>
      </w:r>
      <w:r w:rsidR="006B7356">
        <w:t>e”</w:t>
      </w:r>
      <w:r w:rsidRPr="00957A75" w:rsidR="006B63E1">
        <w:t xml:space="preserve"> </w:t>
      </w:r>
      <w:r w:rsidRPr="00957A75" w:rsidR="006F4FA3">
        <w:t>opportunities to review the</w:t>
      </w:r>
      <w:r w:rsidRPr="00957A75" w:rsidR="006B63E1">
        <w:t xml:space="preserve"> gathered</w:t>
      </w:r>
      <w:r w:rsidRPr="00957A75" w:rsidR="006F4FA3">
        <w:t xml:space="preserve"> evidence.  </w:t>
      </w:r>
      <w:r w:rsidRPr="00957A75" w:rsidR="005B4011">
        <w:t xml:space="preserve">After reviewing the evidence, </w:t>
      </w:r>
      <w:r w:rsidRPr="00957A75" w:rsidR="006F4FA3">
        <w:t xml:space="preserve">the accuser and </w:t>
      </w:r>
      <w:r w:rsidRPr="00957A75" w:rsidR="005E0DB4">
        <w:t xml:space="preserve">the </w:t>
      </w:r>
      <w:r w:rsidRPr="00957A75" w:rsidR="006F4FA3">
        <w:t>accused student</w:t>
      </w:r>
      <w:r w:rsidRPr="00957A75" w:rsidR="00190DB7">
        <w:t xml:space="preserve"> </w:t>
      </w:r>
      <w:r w:rsidR="0034139A">
        <w:t>would be</w:t>
      </w:r>
      <w:r w:rsidRPr="00957A75" w:rsidR="00190DB7">
        <w:t xml:space="preserve"> given </w:t>
      </w:r>
      <w:r w:rsidR="00F85DA2">
        <w:t>“</w:t>
      </w:r>
      <w:r w:rsidRPr="00957A75" w:rsidR="00190DB7">
        <w:t>individual and separate</w:t>
      </w:r>
      <w:r w:rsidR="00F85DA2">
        <w:t>”</w:t>
      </w:r>
      <w:r w:rsidRPr="00957A75" w:rsidR="00190DB7">
        <w:t xml:space="preserve"> opportunit</w:t>
      </w:r>
      <w:r w:rsidR="00F85DA2">
        <w:t>ies</w:t>
      </w:r>
      <w:r w:rsidRPr="00957A75" w:rsidR="00190DB7">
        <w:t xml:space="preserve"> to respond to the evidence through an “evidence hearing” held</w:t>
      </w:r>
      <w:r w:rsidRPr="00957A75" w:rsidR="006F4FA3">
        <w:t xml:space="preserve"> at </w:t>
      </w:r>
      <w:r w:rsidRPr="00957A75" w:rsidR="00ED669D">
        <w:t xml:space="preserve">the </w:t>
      </w:r>
      <w:r w:rsidRPr="00957A75" w:rsidR="006F4FA3">
        <w:t xml:space="preserve">Title IX office and conducted by </w:t>
      </w:r>
      <w:r w:rsidRPr="00957A75" w:rsidR="005E0DB4">
        <w:t>USC’s</w:t>
      </w:r>
      <w:r w:rsidRPr="00957A75" w:rsidR="006F4FA3">
        <w:t xml:space="preserve"> Title IX coordinator.  </w:t>
      </w:r>
      <w:r w:rsidRPr="00957A75" w:rsidR="006B63E1">
        <w:t xml:space="preserve">USC </w:t>
      </w:r>
      <w:r w:rsidR="0034139A">
        <w:t xml:space="preserve">would </w:t>
      </w:r>
      <w:r w:rsidRPr="00957A75" w:rsidR="006B63E1">
        <w:t xml:space="preserve">also </w:t>
      </w:r>
      <w:r w:rsidR="0034139A">
        <w:t>provide</w:t>
      </w:r>
      <w:r w:rsidRPr="00957A75" w:rsidR="006B63E1">
        <w:t xml:space="preserve"> the accuser and </w:t>
      </w:r>
      <w:r w:rsidRPr="00957A75" w:rsidR="005E0DB4">
        <w:t xml:space="preserve">the </w:t>
      </w:r>
      <w:r w:rsidRPr="00957A75" w:rsidR="006B63E1">
        <w:t>accused student</w:t>
      </w:r>
      <w:r w:rsidRPr="00957A75" w:rsidR="006F4FA3">
        <w:t xml:space="preserve"> the opportunity to submit questions for the Title IX coordinator to ask one another at the</w:t>
      </w:r>
      <w:r w:rsidRPr="00957A75" w:rsidR="005B4011">
        <w:t>ir</w:t>
      </w:r>
      <w:r w:rsidRPr="00957A75" w:rsidR="006F4FA3">
        <w:t xml:space="preserve"> separate hearings.  If </w:t>
      </w:r>
      <w:r w:rsidR="0034139A">
        <w:t xml:space="preserve">either student shared </w:t>
      </w:r>
      <w:r w:rsidRPr="00957A75" w:rsidR="006F4FA3">
        <w:t xml:space="preserve">new information during their </w:t>
      </w:r>
      <w:r w:rsidRPr="00957A75" w:rsidR="006B63E1">
        <w:t xml:space="preserve">separate </w:t>
      </w:r>
      <w:r w:rsidRPr="00957A75" w:rsidR="006F4FA3">
        <w:t xml:space="preserve">hearing, </w:t>
      </w:r>
      <w:r w:rsidRPr="00957A75" w:rsidR="00ED669D">
        <w:t xml:space="preserve">USC </w:t>
      </w:r>
      <w:r w:rsidR="0034139A">
        <w:t xml:space="preserve">would </w:t>
      </w:r>
      <w:r w:rsidRPr="00957A75" w:rsidR="00ED669D">
        <w:t xml:space="preserve">provide </w:t>
      </w:r>
      <w:r w:rsidRPr="00957A75" w:rsidR="006F4FA3">
        <w:t xml:space="preserve">the </w:t>
      </w:r>
      <w:r w:rsidRPr="00957A75" w:rsidR="005E0DB4">
        <w:t>other student</w:t>
      </w:r>
      <w:r w:rsidRPr="00957A75" w:rsidR="006F4FA3">
        <w:t xml:space="preserve"> an opportunity to review and respond to the new evidence.</w:t>
      </w:r>
    </w:p>
    <w:p w:rsidR="000B48BF" w:rsidRPr="00957A75" w:rsidP="001C6826" w14:paraId="47C8C0F9" w14:textId="096E3AF8">
      <w:pPr>
        <w:tabs>
          <w:tab w:val="left" w:pos="1440"/>
        </w:tabs>
        <w:ind w:firstLine="720"/>
      </w:pPr>
      <w:r w:rsidRPr="00957A75">
        <w:t xml:space="preserve">At the conclusion of the </w:t>
      </w:r>
      <w:r w:rsidRPr="00957A75" w:rsidR="005E0DB4">
        <w:t xml:space="preserve">evidence </w:t>
      </w:r>
      <w:r w:rsidRPr="00957A75">
        <w:t xml:space="preserve">hearings, the Title IX </w:t>
      </w:r>
      <w:r w:rsidRPr="00957A75" w:rsidR="008D2002">
        <w:t>investigator</w:t>
      </w:r>
      <w:r w:rsidRPr="00957A75" w:rsidR="009852CA">
        <w:t xml:space="preserve"> </w:t>
      </w:r>
      <w:r w:rsidR="0034139A">
        <w:t xml:space="preserve">would </w:t>
      </w:r>
      <w:r w:rsidRPr="00957A75">
        <w:t xml:space="preserve">prepare a </w:t>
      </w:r>
      <w:r w:rsidR="00310CF7">
        <w:t>s</w:t>
      </w:r>
      <w:r w:rsidRPr="00957A75">
        <w:t xml:space="preserve">ummary </w:t>
      </w:r>
      <w:r w:rsidR="00310CF7">
        <w:t>a</w:t>
      </w:r>
      <w:r w:rsidRPr="00957A75">
        <w:t xml:space="preserve">dministrative </w:t>
      </w:r>
      <w:r w:rsidR="00310CF7">
        <w:t>r</w:t>
      </w:r>
      <w:r w:rsidRPr="00957A75">
        <w:t xml:space="preserve">eview (SAR) which, using a preponderance of the evidence standard, </w:t>
      </w:r>
      <w:r w:rsidR="0034139A">
        <w:t xml:space="preserve">would </w:t>
      </w:r>
      <w:r w:rsidRPr="00957A75" w:rsidR="003011D9">
        <w:t xml:space="preserve">make </w:t>
      </w:r>
      <w:r w:rsidRPr="00957A75">
        <w:t>fact</w:t>
      </w:r>
      <w:r w:rsidRPr="00957A75" w:rsidR="00F15F62">
        <w:t>ual findings</w:t>
      </w:r>
      <w:r w:rsidRPr="00957A75">
        <w:t xml:space="preserve"> and conclusions as to whether the accused student violated one or more of USC’s policies.  If the SAR </w:t>
      </w:r>
      <w:r w:rsidRPr="00957A75" w:rsidR="008D2002">
        <w:t>f</w:t>
      </w:r>
      <w:r w:rsidR="0034139A">
        <w:t>ound</w:t>
      </w:r>
      <w:r w:rsidRPr="00957A75">
        <w:t xml:space="preserve"> that a policy was violated, the SAR </w:t>
      </w:r>
      <w:r w:rsidR="0034139A">
        <w:t>would be</w:t>
      </w:r>
      <w:r w:rsidRPr="00957A75">
        <w:t xml:space="preserve"> forwarded to a </w:t>
      </w:r>
      <w:r w:rsidR="00316881">
        <w:t>m</w:t>
      </w:r>
      <w:r w:rsidRPr="00957A75">
        <w:t xml:space="preserve">isconduct </w:t>
      </w:r>
      <w:r w:rsidR="00316881">
        <w:t>s</w:t>
      </w:r>
      <w:r w:rsidRPr="00957A75">
        <w:t xml:space="preserve">anctioning </w:t>
      </w:r>
      <w:r w:rsidR="00316881">
        <w:t>p</w:t>
      </w:r>
      <w:r w:rsidRPr="00957A75">
        <w:t>anel</w:t>
      </w:r>
      <w:r w:rsidR="009D0EF0">
        <w:t xml:space="preserve">, </w:t>
      </w:r>
      <w:r w:rsidRPr="00957A75" w:rsidR="000D2F06">
        <w:t xml:space="preserve">composed of one undergraduate student and two staff designated by the </w:t>
      </w:r>
      <w:r w:rsidR="00C71143">
        <w:t>p</w:t>
      </w:r>
      <w:r w:rsidRPr="00957A75" w:rsidR="000D2F06">
        <w:t xml:space="preserve">rovost and </w:t>
      </w:r>
      <w:r w:rsidR="00C71143">
        <w:t>s</w:t>
      </w:r>
      <w:r w:rsidRPr="00957A75" w:rsidR="000D2F06">
        <w:t xml:space="preserve">enior </w:t>
      </w:r>
      <w:r w:rsidR="00C71143">
        <w:t>v</w:t>
      </w:r>
      <w:r w:rsidRPr="00957A75" w:rsidR="000D2F06">
        <w:t xml:space="preserve">ice </w:t>
      </w:r>
      <w:r w:rsidR="00C71143">
        <w:t>p</w:t>
      </w:r>
      <w:r w:rsidRPr="00957A75" w:rsidR="000D2F06">
        <w:t xml:space="preserve">resident for </w:t>
      </w:r>
      <w:r w:rsidR="00C71143">
        <w:t>a</w:t>
      </w:r>
      <w:r w:rsidRPr="00957A75" w:rsidR="000D2F06">
        <w:t xml:space="preserve">cademic </w:t>
      </w:r>
      <w:r w:rsidR="00C71143">
        <w:t>a</w:t>
      </w:r>
      <w:r w:rsidRPr="00957A75" w:rsidR="000D2F06">
        <w:t xml:space="preserve">ffairs, to impose sanctions.  Either the accuser or the accused student </w:t>
      </w:r>
      <w:r w:rsidR="009D0EF0">
        <w:t>could</w:t>
      </w:r>
      <w:r w:rsidRPr="00957A75" w:rsidR="000D2F06">
        <w:t xml:space="preserve"> file a written appeal.  The appeal </w:t>
      </w:r>
      <w:r w:rsidR="009D0EF0">
        <w:t>would be</w:t>
      </w:r>
      <w:r w:rsidRPr="00957A75" w:rsidR="000D2F06">
        <w:t xml:space="preserve"> reviewed by an </w:t>
      </w:r>
      <w:r w:rsidR="00316881">
        <w:t>a</w:t>
      </w:r>
      <w:r w:rsidRPr="00957A75" w:rsidR="000D2F06">
        <w:t xml:space="preserve">ppellate </w:t>
      </w:r>
      <w:r w:rsidR="00316881">
        <w:t>p</w:t>
      </w:r>
      <w:r w:rsidRPr="00957A75" w:rsidR="000D2F06">
        <w:t xml:space="preserve">anel composed of three individuals appointed by the </w:t>
      </w:r>
      <w:r w:rsidR="00C71143">
        <w:t>v</w:t>
      </w:r>
      <w:r w:rsidRPr="00957A75" w:rsidR="000D2F06">
        <w:t xml:space="preserve">ice </w:t>
      </w:r>
      <w:r w:rsidR="00C71143">
        <w:t>p</w:t>
      </w:r>
      <w:r w:rsidRPr="00957A75" w:rsidR="000D2F06">
        <w:t xml:space="preserve">resident for </w:t>
      </w:r>
      <w:r w:rsidR="00C71143">
        <w:t>s</w:t>
      </w:r>
      <w:r w:rsidRPr="00957A75" w:rsidR="000D2F06">
        <w:t xml:space="preserve">tudent </w:t>
      </w:r>
      <w:r w:rsidR="00C71143">
        <w:t>a</w:t>
      </w:r>
      <w:r w:rsidRPr="00957A75" w:rsidR="000D2F06">
        <w:t xml:space="preserve">ffairs.  </w:t>
      </w:r>
      <w:r w:rsidR="009D0EF0">
        <w:t>T</w:t>
      </w:r>
      <w:r w:rsidRPr="00957A75" w:rsidR="000D2F06">
        <w:t xml:space="preserve">he </w:t>
      </w:r>
      <w:r w:rsidR="00C71143">
        <w:t>v</w:t>
      </w:r>
      <w:r w:rsidRPr="00957A75" w:rsidR="000D2F06">
        <w:t xml:space="preserve">ice </w:t>
      </w:r>
      <w:r w:rsidR="00C71143">
        <w:t>p</w:t>
      </w:r>
      <w:r w:rsidRPr="00957A75" w:rsidR="000D2F06">
        <w:t xml:space="preserve">resident of </w:t>
      </w:r>
      <w:r w:rsidR="00C71143">
        <w:t>s</w:t>
      </w:r>
      <w:r w:rsidRPr="00957A75" w:rsidR="000D2F06">
        <w:t xml:space="preserve">tudent </w:t>
      </w:r>
      <w:r w:rsidR="00C71143">
        <w:t>a</w:t>
      </w:r>
      <w:r w:rsidRPr="00957A75" w:rsidR="000D2F06">
        <w:t>ffairs ha</w:t>
      </w:r>
      <w:r w:rsidR="009D0EF0">
        <w:t>d</w:t>
      </w:r>
      <w:r w:rsidRPr="00957A75" w:rsidR="000D2F06">
        <w:t xml:space="preserve"> the discretion to accept or reject the </w:t>
      </w:r>
      <w:r w:rsidR="00316881">
        <w:t>a</w:t>
      </w:r>
      <w:r w:rsidRPr="00957A75" w:rsidR="000D2F06">
        <w:t xml:space="preserve">ppellate </w:t>
      </w:r>
      <w:r w:rsidR="00316881">
        <w:t>p</w:t>
      </w:r>
      <w:r w:rsidRPr="00957A75" w:rsidR="000D2F06">
        <w:t xml:space="preserve">anel’s recommendations and </w:t>
      </w:r>
      <w:r w:rsidR="0012287A">
        <w:t>made</w:t>
      </w:r>
      <w:r w:rsidRPr="00957A75" w:rsidR="000D2F06">
        <w:t xml:space="preserve"> the final decision.</w:t>
      </w:r>
      <w:r w:rsidRPr="00957A75" w:rsidR="00FE681D">
        <w:t xml:space="preserve">  Throughout the process</w:t>
      </w:r>
      <w:r w:rsidR="0011364E">
        <w:t> </w:t>
      </w:r>
      <w:r w:rsidRPr="00957A75" w:rsidR="00FE681D">
        <w:t>—</w:t>
      </w:r>
      <w:r w:rsidR="00DD5536">
        <w:t xml:space="preserve"> </w:t>
      </w:r>
      <w:r w:rsidRPr="00957A75" w:rsidR="00FE681D">
        <w:t>from investigation to final adjudication</w:t>
      </w:r>
      <w:r w:rsidR="00E005DF">
        <w:t> </w:t>
      </w:r>
      <w:r w:rsidRPr="00957A75" w:rsidR="00FE681D">
        <w:t>—</w:t>
      </w:r>
      <w:r w:rsidR="00DD5536">
        <w:t xml:space="preserve"> </w:t>
      </w:r>
      <w:r w:rsidRPr="00957A75" w:rsidR="00FE681D">
        <w:t xml:space="preserve">both the accuser and accused student </w:t>
      </w:r>
      <w:r w:rsidR="00A61314">
        <w:t>were</w:t>
      </w:r>
      <w:r w:rsidR="009D0EF0">
        <w:t xml:space="preserve"> allowed to</w:t>
      </w:r>
      <w:r w:rsidRPr="00957A75" w:rsidR="00FE681D">
        <w:t xml:space="preserve"> </w:t>
      </w:r>
      <w:r w:rsidRPr="00957A75" w:rsidR="00013B08">
        <w:t xml:space="preserve">receive support and assistance from </w:t>
      </w:r>
      <w:r w:rsidRPr="00957A75" w:rsidR="00FE681D">
        <w:t>an advisor of their choice, w</w:t>
      </w:r>
      <w:r w:rsidR="00A61314">
        <w:t>ho</w:t>
      </w:r>
      <w:r w:rsidR="009D0EF0">
        <w:t xml:space="preserve"> could</w:t>
      </w:r>
      <w:r w:rsidRPr="00957A75" w:rsidR="00FE681D">
        <w:t xml:space="preserve"> be an attorney</w:t>
      </w:r>
      <w:r w:rsidR="00A61314">
        <w:t>.</w:t>
      </w:r>
    </w:p>
    <w:p w:rsidR="000F2B2B" w:rsidRPr="00957A75" w:rsidP="0037775D" w14:paraId="47C8C0FA" w14:textId="77777777">
      <w:pPr>
        <w:pStyle w:val="ListParagraph"/>
        <w:numPr>
          <w:ilvl w:val="0"/>
          <w:numId w:val="1"/>
        </w:numPr>
        <w:tabs>
          <w:tab w:val="left" w:pos="1152"/>
        </w:tabs>
        <w:ind w:left="1109" w:hanging="389"/>
        <w:rPr>
          <w:b/>
          <w:bCs/>
        </w:rPr>
      </w:pPr>
      <w:r w:rsidRPr="00957A75">
        <w:rPr>
          <w:b/>
          <w:bCs/>
        </w:rPr>
        <w:t>The Incident</w:t>
      </w:r>
    </w:p>
    <w:p w:rsidR="008B6BDA" w:rsidRPr="00957A75" w:rsidP="00604EED" w14:paraId="47C8C0FB" w14:textId="77777777">
      <w:pPr>
        <w:tabs>
          <w:tab w:val="left" w:pos="1440"/>
        </w:tabs>
        <w:ind w:firstLine="720"/>
      </w:pPr>
      <w:r w:rsidRPr="00957A75">
        <w:t xml:space="preserve">Boermeester and Roe were students at USC who had an “ ‘on and off’ ” romantic relationship from approximately March 2016 to October 2016.  Although they were no longer </w:t>
      </w:r>
      <w:r w:rsidR="008C1914">
        <w:t>in a relationship</w:t>
      </w:r>
      <w:r w:rsidRPr="00957A75">
        <w:t xml:space="preserve"> by January 21, 2017 — the date the incident occurred — the two often spent time together and Boermeester regularly stayed the night at Roe’s apartment.  </w:t>
      </w:r>
    </w:p>
    <w:p w:rsidR="00E45F9B" w:rsidP="00E45F9B" w14:paraId="47C8C0FC" w14:textId="77777777">
      <w:pPr>
        <w:tabs>
          <w:tab w:val="left" w:pos="1440"/>
        </w:tabs>
        <w:ind w:firstLine="720"/>
      </w:pPr>
      <w:r w:rsidRPr="00E45F9B">
        <w:t>USC’s Title IX</w:t>
      </w:r>
      <w:r>
        <w:t xml:space="preserve"> office received a report of an incident that took place on January 21, 2017.  The office assigned a Title IX investigator to investigate the incident, who </w:t>
      </w:r>
      <w:r w:rsidRPr="00957A75">
        <w:t xml:space="preserve">interviewed Roe two days </w:t>
      </w:r>
      <w:r>
        <w:t xml:space="preserve">later. </w:t>
      </w:r>
      <w:r w:rsidRPr="00957A75">
        <w:t xml:space="preserve"> Roe explained that, on the night of the incident, Boermeester called </w:t>
      </w:r>
      <w:r w:rsidR="00801A94">
        <w:t>her</w:t>
      </w:r>
      <w:r w:rsidRPr="00957A75">
        <w:t xml:space="preserve"> and asked her to pick him up from a party.  He was the “ ‘drunkest’ ” she had ever seen him.  Roe had her dog with her, and when they arrived at Roe’s apartment and exited the car, Boermeester instructed Roe to drop her dog’s leash.</w:t>
      </w:r>
      <w:r>
        <w:t xml:space="preserve">  </w:t>
      </w:r>
      <w:r w:rsidRPr="00957A75">
        <w:t>She did not want to do so, so he grabbed the back of her hair “ ‘hard’ ” and said “ ‘drop the fucking leash.’ ”  Roe said “ ‘No’ ” and Boermeester grabbed her harder</w:t>
      </w:r>
      <w:r>
        <w:t>,</w:t>
      </w:r>
      <w:r w:rsidRPr="00957A75">
        <w:t xml:space="preserve"> causing her to drop the leash because it “ ‘hurt.’ ”  Boermeester then grabbed the front of Roe’s throat and neck, causing her to cough.  She was able to breathe but stated that the pressure “ ‘hurt.’ ”  Boermeester laughed and let go of her neck, but then grabbed her by the neck again and pushed her “ ‘hard,’ ” forcing her head against the concrete wall along the alley behind her apartment duplex.</w:t>
      </w:r>
      <w:r>
        <w:t xml:space="preserve">  </w:t>
      </w:r>
      <w:r w:rsidRPr="00957A75">
        <w:t xml:space="preserve">Boermeester again let her go, but then grabbed her neck once more and again hit her head against the wall.  Roe’s head hurt from the impact.  </w:t>
      </w:r>
    </w:p>
    <w:p w:rsidR="00E45F9B" w:rsidRPr="00957A75" w:rsidP="00E45F9B" w14:paraId="47C8C0FD" w14:textId="77777777">
      <w:pPr>
        <w:tabs>
          <w:tab w:val="left" w:pos="1440"/>
        </w:tabs>
        <w:ind w:firstLine="720"/>
      </w:pPr>
      <w:r w:rsidRPr="00957A75">
        <w:t>Roe also provided the Title IX investigator with a detailed account of prior instances of physical violence perpet</w:t>
      </w:r>
      <w:r>
        <w:t>ra</w:t>
      </w:r>
      <w:r w:rsidRPr="00957A75">
        <w:t>ted by Boermeester.  She described Boermeester as being “ ‘mean’ ” and “ ‘always putting [her] down,’ ” and she read a list of demeaning things he had said to her within a 24-hour period</w:t>
      </w:r>
      <w:r>
        <w:t>,</w:t>
      </w:r>
      <w:r w:rsidRPr="00957A75">
        <w:t xml:space="preserve"> which she had catalogued on her phone.  Roe requested an </w:t>
      </w:r>
      <w:r>
        <w:t>a</w:t>
      </w:r>
      <w:r w:rsidRPr="00957A75">
        <w:t xml:space="preserve">voidance of </w:t>
      </w:r>
      <w:r>
        <w:t>c</w:t>
      </w:r>
      <w:r w:rsidRPr="00957A75">
        <w:t xml:space="preserve">ontact order prohibiting Boermeester from contacting her and requested temporary emergency housing.  </w:t>
      </w:r>
    </w:p>
    <w:p w:rsidR="008B6BDA" w:rsidRPr="00957A75" w:rsidP="00604EED" w14:paraId="47C8C0FE" w14:textId="77777777">
      <w:pPr>
        <w:tabs>
          <w:tab w:val="left" w:pos="1440"/>
        </w:tabs>
        <w:ind w:firstLine="720"/>
      </w:pPr>
      <w:r w:rsidRPr="00957A75">
        <w:t xml:space="preserve">There were two eyewitnesses to the incident.  </w:t>
      </w:r>
      <w:r w:rsidR="00E45F9B">
        <w:t>A</w:t>
      </w:r>
      <w:r w:rsidRPr="00957A75">
        <w:t xml:space="preserve"> student, D</w:t>
      </w:r>
      <w:r w:rsidR="00892243">
        <w:t>.</w:t>
      </w:r>
      <w:r w:rsidRPr="00957A75">
        <w:t>H</w:t>
      </w:r>
      <w:r w:rsidR="00892243">
        <w:t>.</w:t>
      </w:r>
      <w:r w:rsidRPr="00957A75">
        <w:t xml:space="preserve">, reported </w:t>
      </w:r>
      <w:r w:rsidR="00E45F9B">
        <w:t xml:space="preserve">to the Title IX investigator </w:t>
      </w:r>
      <w:r w:rsidRPr="00957A75">
        <w:t xml:space="preserve">that sometime after midnight on January 21, 2017, he heard a male yelling loudly in the alley next to the apartment duplex </w:t>
      </w:r>
      <w:r w:rsidR="00552096">
        <w:t>D.H.</w:t>
      </w:r>
      <w:r w:rsidRPr="00957A75">
        <w:t xml:space="preserve"> shared with Roe.</w:t>
      </w:r>
      <w:r w:rsidRPr="00957A75" w:rsidR="005B6336">
        <w:t xml:space="preserve">  </w:t>
      </w:r>
      <w:r w:rsidRPr="00957A75" w:rsidR="00B157F7">
        <w:t>D</w:t>
      </w:r>
      <w:r w:rsidR="00892243">
        <w:t>.</w:t>
      </w:r>
      <w:r w:rsidRPr="00957A75" w:rsidR="00B157F7">
        <w:t>H</w:t>
      </w:r>
      <w:r w:rsidR="00892243">
        <w:t>.</w:t>
      </w:r>
      <w:r w:rsidRPr="00957A75">
        <w:t xml:space="preserve"> looked out the window and saw Boermeester pinning Roe against a wall with his hand around her neck.</w:t>
      </w:r>
      <w:r w:rsidRPr="00957A75" w:rsidR="005B6336">
        <w:t xml:space="preserve">  </w:t>
      </w:r>
      <w:r w:rsidRPr="00957A75">
        <w:t>He also saw Roe’s dog running up and down the street, which</w:t>
      </w:r>
      <w:r w:rsidR="00A61314">
        <w:t xml:space="preserve"> D.H. perceived as</w:t>
      </w:r>
      <w:r w:rsidRPr="00957A75">
        <w:t xml:space="preserve"> a problem </w:t>
      </w:r>
      <w:r w:rsidR="00C71143">
        <w:t>because</w:t>
      </w:r>
      <w:r w:rsidRPr="00957A75">
        <w:t xml:space="preserve"> Roe never allowed her dog to run freely.</w:t>
      </w:r>
      <w:r w:rsidRPr="00957A75" w:rsidR="005B6336">
        <w:t xml:space="preserve">  </w:t>
      </w:r>
      <w:r w:rsidRPr="00957A75">
        <w:t xml:space="preserve">He </w:t>
      </w:r>
      <w:r w:rsidR="00A61314">
        <w:t>awakened</w:t>
      </w:r>
      <w:r w:rsidRPr="00957A75">
        <w:t xml:space="preserve"> his roommate, T</w:t>
      </w:r>
      <w:r w:rsidR="00892243">
        <w:t>.</w:t>
      </w:r>
      <w:r w:rsidRPr="00957A75">
        <w:t>S</w:t>
      </w:r>
      <w:r w:rsidR="00892243">
        <w:t>.</w:t>
      </w:r>
      <w:r w:rsidRPr="00957A75">
        <w:t>, who did not see the incident but accompanied D</w:t>
      </w:r>
      <w:r w:rsidR="00892243">
        <w:t>.</w:t>
      </w:r>
      <w:r w:rsidRPr="00957A75">
        <w:t>H</w:t>
      </w:r>
      <w:r w:rsidR="00892243">
        <w:t>.</w:t>
      </w:r>
      <w:r w:rsidRPr="00957A75">
        <w:t xml:space="preserve"> outside.</w:t>
      </w:r>
      <w:r w:rsidRPr="00957A75" w:rsidR="005B6336">
        <w:t xml:space="preserve">  </w:t>
      </w:r>
      <w:r w:rsidRPr="00957A75">
        <w:t>D</w:t>
      </w:r>
      <w:r w:rsidR="00892243">
        <w:t>.</w:t>
      </w:r>
      <w:r w:rsidRPr="00957A75">
        <w:t>H</w:t>
      </w:r>
      <w:r w:rsidR="00892243">
        <w:t>.</w:t>
      </w:r>
      <w:r w:rsidRPr="00957A75">
        <w:t xml:space="preserve"> and T</w:t>
      </w:r>
      <w:r w:rsidR="00892243">
        <w:t>.</w:t>
      </w:r>
      <w:r w:rsidRPr="00957A75">
        <w:t>S</w:t>
      </w:r>
      <w:r w:rsidR="00892243">
        <w:t>.</w:t>
      </w:r>
      <w:r w:rsidRPr="00957A75">
        <w:t xml:space="preserve"> escorted Roe back to their apartment.</w:t>
      </w:r>
      <w:r w:rsidRPr="00957A75" w:rsidR="005B6336">
        <w:t xml:space="preserve">  </w:t>
      </w:r>
      <w:r w:rsidR="00E45F9B">
        <w:t>D.H. reported that Roe</w:t>
      </w:r>
      <w:r w:rsidRPr="00957A75">
        <w:t xml:space="preserve"> seemed “ ‘pretty scared’ ” but she refused to sleep at their apartment because she did</w:t>
      </w:r>
      <w:r w:rsidR="004D41B4">
        <w:t xml:space="preserve"> </w:t>
      </w:r>
      <w:r w:rsidRPr="00957A75">
        <w:t>n</w:t>
      </w:r>
      <w:r w:rsidR="004D41B4">
        <w:t>o</w:t>
      </w:r>
      <w:r w:rsidRPr="00957A75">
        <w:t>t want to make Boermeester “ ‘more mad.’ ”</w:t>
      </w:r>
      <w:r w:rsidRPr="00957A75" w:rsidR="00052B47">
        <w:t xml:space="preserve">  </w:t>
      </w:r>
      <w:r w:rsidRPr="00957A75" w:rsidR="00E45F9B">
        <w:t xml:space="preserve">Roe </w:t>
      </w:r>
      <w:r w:rsidR="00E45F9B">
        <w:t>told the investigator that</w:t>
      </w:r>
      <w:r w:rsidRPr="00957A75" w:rsidR="00E45F9B">
        <w:t xml:space="preserve"> </w:t>
      </w:r>
      <w:r w:rsidR="00552096">
        <w:t xml:space="preserve">she </w:t>
      </w:r>
      <w:r w:rsidRPr="00957A75" w:rsidR="00E45F9B">
        <w:t xml:space="preserve">refused to spend the night at </w:t>
      </w:r>
      <w:r w:rsidR="00E45F9B">
        <w:t xml:space="preserve">D.H.’s and T.S.’s apartment </w:t>
      </w:r>
      <w:r w:rsidRPr="00957A75" w:rsidR="00E45F9B">
        <w:t xml:space="preserve">because Boermeester “ ‘wouldn’t understand,’ ” and so she returned to her </w:t>
      </w:r>
      <w:r w:rsidR="00E45F9B">
        <w:t xml:space="preserve">own </w:t>
      </w:r>
      <w:r w:rsidRPr="00957A75" w:rsidR="00E45F9B">
        <w:t xml:space="preserve">apartment to avoid “ ‘mak[ing] it worse.’ ”  </w:t>
      </w:r>
      <w:r w:rsidRPr="00957A75" w:rsidR="004875EB">
        <w:t>Later the same day, D</w:t>
      </w:r>
      <w:r w:rsidR="00892243">
        <w:t>.</w:t>
      </w:r>
      <w:r w:rsidRPr="00957A75" w:rsidR="004875EB">
        <w:t>H</w:t>
      </w:r>
      <w:r w:rsidR="00892243">
        <w:t>.</w:t>
      </w:r>
      <w:r w:rsidRPr="00957A75" w:rsidR="004875EB">
        <w:t xml:space="preserve"> reported the incident to the men’s tennis coach, who in turn reported it to </w:t>
      </w:r>
      <w:r w:rsidR="00E45F9B">
        <w:t>the</w:t>
      </w:r>
      <w:r w:rsidRPr="00957A75" w:rsidR="004875EB">
        <w:t xml:space="preserve"> Title IX office.  </w:t>
      </w:r>
      <w:r w:rsidRPr="00957A75" w:rsidR="00052B47">
        <w:t xml:space="preserve"> </w:t>
      </w:r>
    </w:p>
    <w:p w:rsidR="008B6BDA" w:rsidRPr="00957A75" w:rsidP="00D32702" w14:paraId="47C8C0FF" w14:textId="4EE606C3">
      <w:pPr>
        <w:tabs>
          <w:tab w:val="left" w:pos="1440"/>
        </w:tabs>
        <w:ind w:firstLine="720"/>
      </w:pPr>
      <w:r w:rsidRPr="00957A75">
        <w:t>A second eyewitness, M</w:t>
      </w:r>
      <w:r w:rsidR="008D06DD">
        <w:t>.</w:t>
      </w:r>
      <w:r w:rsidRPr="00957A75">
        <w:t>B</w:t>
      </w:r>
      <w:r w:rsidR="008D06DD">
        <w:t>.</w:t>
      </w:r>
      <w:r w:rsidRPr="00957A75">
        <w:t xml:space="preserve">2, </w:t>
      </w:r>
      <w:r w:rsidRPr="00A61314" w:rsidR="00A61314">
        <w:t xml:space="preserve">was interviewed twice.  Initially, he told the Title IX investigator that he saw Roe arguing with a male he did not recognize but did not see any physical contact between the two.  </w:t>
      </w:r>
      <w:r w:rsidR="00A61314">
        <w:t xml:space="preserve">Later, however, </w:t>
      </w:r>
      <w:r w:rsidRPr="00A61314" w:rsidR="00A61314">
        <w:t xml:space="preserve">he </w:t>
      </w:r>
      <w:r w:rsidR="00A61314">
        <w:t>called</w:t>
      </w:r>
      <w:r w:rsidRPr="00A61314" w:rsidR="00A61314">
        <w:t xml:space="preserve"> the Title IX investigator </w:t>
      </w:r>
      <w:r w:rsidR="00A61314">
        <w:t xml:space="preserve">to report </w:t>
      </w:r>
      <w:r w:rsidRPr="00A61314" w:rsidR="00A61314">
        <w:t>that he “</w:t>
      </w:r>
      <w:r w:rsidR="00FC474C">
        <w:t> </w:t>
      </w:r>
      <w:r w:rsidRPr="00A61314" w:rsidR="00A61314">
        <w:t>‘saw everything’</w:t>
      </w:r>
      <w:r w:rsidR="00FC474C">
        <w:t> </w:t>
      </w:r>
      <w:r w:rsidRPr="00A61314" w:rsidR="00A61314">
        <w:t>” and w</w:t>
      </w:r>
      <w:r w:rsidR="00A61314">
        <w:t>ished</w:t>
      </w:r>
      <w:r w:rsidRPr="00A61314" w:rsidR="00A61314">
        <w:t xml:space="preserve"> to speak with the investigator again.  During the second interview, M</w:t>
      </w:r>
      <w:r w:rsidR="008D06DD">
        <w:t>.</w:t>
      </w:r>
      <w:r w:rsidRPr="00A61314" w:rsidR="00A61314">
        <w:t>B</w:t>
      </w:r>
      <w:r w:rsidR="008D06DD">
        <w:t>.</w:t>
      </w:r>
      <w:r w:rsidRPr="00A61314" w:rsidR="00A61314">
        <w:t>2 explained that he “</w:t>
      </w:r>
      <w:r w:rsidR="00A61314">
        <w:t> </w:t>
      </w:r>
      <w:r w:rsidRPr="00A61314" w:rsidR="00A61314">
        <w:t xml:space="preserve">‘tried to downplay’ the incident” </w:t>
      </w:r>
      <w:r w:rsidR="00A61314">
        <w:t xml:space="preserve">in his initial interview </w:t>
      </w:r>
      <w:r w:rsidRPr="00A61314" w:rsidR="00A61314">
        <w:t>both because he believed Roe was scared of Boermeester and because Roe had asked M</w:t>
      </w:r>
      <w:r w:rsidR="008D06DD">
        <w:t>.</w:t>
      </w:r>
      <w:r w:rsidRPr="00A61314" w:rsidR="00A61314">
        <w:t>B</w:t>
      </w:r>
      <w:r w:rsidR="008D06DD">
        <w:t>.</w:t>
      </w:r>
      <w:r w:rsidRPr="00A61314" w:rsidR="00A61314">
        <w:t>2</w:t>
      </w:r>
      <w:r w:rsidR="00A61314">
        <w:t xml:space="preserve"> </w:t>
      </w:r>
      <w:r w:rsidRPr="00A61314" w:rsidR="00A61314">
        <w:t>to “</w:t>
      </w:r>
      <w:r w:rsidR="00A61314">
        <w:t> </w:t>
      </w:r>
      <w:r w:rsidRPr="00A61314" w:rsidR="00A61314">
        <w:t>‘keep it on the down low.’</w:t>
      </w:r>
      <w:r w:rsidR="00FC474C">
        <w:t> </w:t>
      </w:r>
      <w:r w:rsidRPr="00A61314" w:rsidR="00A61314">
        <w:t xml:space="preserve">” </w:t>
      </w:r>
      <w:r w:rsidR="00A61314">
        <w:t xml:space="preserve"> </w:t>
      </w:r>
      <w:bookmarkStart w:id="11" w:name="_Hlk140246408"/>
      <w:r w:rsidRPr="00957A75">
        <w:t>M</w:t>
      </w:r>
      <w:r w:rsidR="008D06DD">
        <w:t>.</w:t>
      </w:r>
      <w:r w:rsidRPr="00957A75">
        <w:t>B</w:t>
      </w:r>
      <w:r w:rsidR="008D06DD">
        <w:t>.</w:t>
      </w:r>
      <w:r w:rsidRPr="00957A75">
        <w:t xml:space="preserve">2 </w:t>
      </w:r>
      <w:r w:rsidR="00A61314">
        <w:t>reported during his second interview that</w:t>
      </w:r>
      <w:r w:rsidR="00C13C2F">
        <w:t xml:space="preserve"> he</w:t>
      </w:r>
      <w:r w:rsidR="00A61314">
        <w:t>,</w:t>
      </w:r>
      <w:r w:rsidRPr="00957A75">
        <w:t xml:space="preserve"> </w:t>
      </w:r>
      <w:r w:rsidR="00552096">
        <w:t>like D.H.,</w:t>
      </w:r>
      <w:r w:rsidRPr="00957A75">
        <w:t xml:space="preserve"> heard screaming in the alley near his residence</w:t>
      </w:r>
      <w:r w:rsidR="00C13C2F">
        <w:t xml:space="preserve"> on the night in question</w:t>
      </w:r>
      <w:r w:rsidRPr="00957A75">
        <w:t xml:space="preserve">.  </w:t>
      </w:r>
      <w:bookmarkEnd w:id="11"/>
      <w:r w:rsidRPr="00957A75">
        <w:t>He looked out the window and saw Boermeester standing in front of Roe with both hands around her neck.  Boermeester pushed Roe into the alley wall and Roe made “ ‘gagging’ ” sounds.</w:t>
      </w:r>
      <w:r w:rsidR="00A7713E">
        <w:t xml:space="preserve">  Based on his observations, </w:t>
      </w:r>
      <w:r w:rsidRPr="00957A75">
        <w:t>M</w:t>
      </w:r>
      <w:r w:rsidR="008D06DD">
        <w:t>.</w:t>
      </w:r>
      <w:r w:rsidRPr="00957A75">
        <w:t>B</w:t>
      </w:r>
      <w:r w:rsidR="008D06DD">
        <w:t>.</w:t>
      </w:r>
      <w:r w:rsidRPr="00957A75">
        <w:t>2</w:t>
      </w:r>
      <w:r w:rsidR="00A7713E">
        <w:t xml:space="preserve"> stated that Boermeester</w:t>
      </w:r>
      <w:r w:rsidRPr="00957A75">
        <w:t xml:space="preserve"> “ ‘is violent’ ” an</w:t>
      </w:r>
      <w:r w:rsidR="00A7713E">
        <w:t>d</w:t>
      </w:r>
      <w:r w:rsidRPr="00957A75">
        <w:t xml:space="preserve"> “ ‘domestically was abusing [Roe].’ ”  M</w:t>
      </w:r>
      <w:r w:rsidR="008D06DD">
        <w:t>.</w:t>
      </w:r>
      <w:r w:rsidRPr="00957A75">
        <w:t>B</w:t>
      </w:r>
      <w:r w:rsidR="008D06DD">
        <w:t>.</w:t>
      </w:r>
      <w:r w:rsidRPr="00957A75">
        <w:t>2 grabbed a trash bag, went outside, and asked Roe and Boermeester how things were going, which “ ‘broke it up.’</w:t>
      </w:r>
      <w:r w:rsidR="00997472">
        <w:t> </w:t>
      </w:r>
      <w:r w:rsidRPr="00957A75">
        <w:t xml:space="preserve">”  </w:t>
      </w:r>
    </w:p>
    <w:p w:rsidR="008B6BDA" w:rsidRPr="00957A75" w:rsidP="00604EED" w14:paraId="47C8C100" w14:textId="77777777">
      <w:pPr>
        <w:tabs>
          <w:tab w:val="left" w:pos="1440"/>
        </w:tabs>
        <w:ind w:firstLine="720"/>
      </w:pPr>
      <w:r w:rsidRPr="00957A75">
        <w:t>In his own interview with the Title IX investigator, Boermeester admitted that he had instructed Roe to release her dog, and then put his hand around her neck while she was against the alleyway wall.</w:t>
      </w:r>
      <w:r w:rsidRPr="00957A75" w:rsidR="00AD3658">
        <w:t xml:space="preserve">  </w:t>
      </w:r>
      <w:r w:rsidRPr="00957A75">
        <w:t xml:space="preserve">But he insisted that the act amounted to playful “ ‘horsing around’ ” or sexual foreplay — not intimate partner violence.  </w:t>
      </w:r>
      <w:r w:rsidRPr="00957A75" w:rsidR="00AD3658">
        <w:t xml:space="preserve"> </w:t>
      </w:r>
      <w:r w:rsidRPr="00957A75">
        <w:t xml:space="preserve">  </w:t>
      </w:r>
      <w:r w:rsidRPr="00957A75">
        <w:rPr>
          <w:highlight w:val="green"/>
        </w:rPr>
        <w:t xml:space="preserve">   </w:t>
      </w:r>
      <w:r w:rsidRPr="00957A75">
        <w:t xml:space="preserve">    </w:t>
      </w:r>
    </w:p>
    <w:p w:rsidR="008B6BDA" w:rsidRPr="00957A75" w:rsidP="00604EED" w14:paraId="47C8C101" w14:textId="77777777">
      <w:pPr>
        <w:tabs>
          <w:tab w:val="left" w:pos="1440"/>
        </w:tabs>
        <w:ind w:firstLine="720"/>
      </w:pPr>
      <w:r w:rsidRPr="00957A75">
        <w:t>USC’s Title IX office obtained surveillance video of the incident.</w:t>
      </w:r>
      <w:r w:rsidRPr="00957A75" w:rsidR="0082247B">
        <w:t xml:space="preserve">  As the Court of Appeal majority observed, the video is </w:t>
      </w:r>
      <w:bookmarkStart w:id="12" w:name="_Hlk136542593"/>
      <w:r w:rsidRPr="00957A75" w:rsidR="0082247B">
        <w:t>“grainy and there is no audio”; Boermeester and Roe “are small figures in the frame of the video” since the camera “is positioned approximately two buildings away from [them]”; and “the interaction between Boermeester and Roe when they are near the wall [is] barely visible.”  (</w:t>
      </w:r>
      <w:r w:rsidRPr="00957A75" w:rsidR="0082247B">
        <w:rPr>
          <w:i/>
          <w:iCs/>
        </w:rPr>
        <w:t>Boermeester v. Carry</w:t>
      </w:r>
      <w:r w:rsidRPr="00957A75" w:rsidR="0082247B">
        <w:t xml:space="preserve">, </w:t>
      </w:r>
      <w:r w:rsidRPr="00957A75" w:rsidR="0082247B">
        <w:rPr>
          <w:i/>
          <w:iCs/>
        </w:rPr>
        <w:t>supra</w:t>
      </w:r>
      <w:r w:rsidRPr="00957A75" w:rsidR="0082247B">
        <w:t xml:space="preserve">, B290675.)  </w:t>
      </w:r>
      <w:bookmarkEnd w:id="12"/>
      <w:r w:rsidRPr="00957A75">
        <w:t xml:space="preserve">Nevertheless, the following events can be seen, as described by both the </w:t>
      </w:r>
      <w:r w:rsidR="00D239F9">
        <w:t>superior</w:t>
      </w:r>
      <w:r w:rsidRPr="00957A75">
        <w:t xml:space="preserve"> court and </w:t>
      </w:r>
      <w:r w:rsidRPr="00957A75" w:rsidR="0082247B">
        <w:t xml:space="preserve">the </w:t>
      </w:r>
      <w:r w:rsidRPr="00957A75">
        <w:t>Court of Appeal</w:t>
      </w:r>
      <w:r w:rsidRPr="00957A75" w:rsidR="00BF2399">
        <w:t xml:space="preserve"> majority</w:t>
      </w:r>
      <w:r w:rsidRPr="00957A75">
        <w:t>:  “ ‘At 12:16:16 a.m., the video shows [Boermeester] shoving Roe from the area adjacent to the house into the alleyway.  At 12:16:50, [Boermeester] appears to be holding Roe’s neck or upper body area.  At 12:17:12, [Boermeester] grabs Roe by the neck and pushes her toward the wall of the alley.  At 12:17:13 and 12:17:14, Roe’s head and body arch backwards.  Between 12:17:16 and 12:17:26, [Boermeester] and Roe are against the wall and barely visible from the camera.  At 12:17:26, [Boermeester] backs away from the wall and re-enters the camera’s view.  At 12:17:28, Roe re-enters the camera’s view.  Roe and [Boermeester] proceed to push each other.  At 12:17:38, [Boermeester] moves toward Roe and appears to be pushing her against the wall.  At 12:17:40, a dog can be seen running across the alley.  At 12:17:57, a third party enters the camera’s view and walks in the direction of [Boermeester] and Roe.  At that moment, [Boermeester] and Roe walk away from the wall and back towards the house.  At 12:18:19, the third party walks over to the dumpster, places a trash bag inside, and walks back toward the house.’ ”  (</w:t>
      </w:r>
      <w:r w:rsidRPr="00957A75" w:rsidR="00C03842">
        <w:rPr>
          <w:i/>
          <w:iCs/>
        </w:rPr>
        <w:t>Ibid</w:t>
      </w:r>
      <w:r w:rsidRPr="00957A75">
        <w:t xml:space="preserve">.)   </w:t>
      </w:r>
    </w:p>
    <w:p w:rsidR="008B6BDA" w:rsidRPr="00957A75" w:rsidP="00604EED" w14:paraId="47C8C102" w14:textId="77777777">
      <w:pPr>
        <w:tabs>
          <w:tab w:val="left" w:pos="1440"/>
        </w:tabs>
        <w:ind w:firstLine="720"/>
      </w:pPr>
      <w:r w:rsidRPr="00957A75">
        <w:t>Over the course of USC’s investigation, the Title IX investigator interviewed both partie</w:t>
      </w:r>
      <w:r w:rsidR="005A16FE">
        <w:t>s (as noted)</w:t>
      </w:r>
      <w:r w:rsidR="0062133C">
        <w:t xml:space="preserve"> and</w:t>
      </w:r>
      <w:r w:rsidRPr="00957A75">
        <w:t xml:space="preserve"> </w:t>
      </w:r>
      <w:r w:rsidR="00B42B67">
        <w:t>16</w:t>
      </w:r>
      <w:r w:rsidRPr="00957A75">
        <w:t xml:space="preserve"> additional witnesses</w:t>
      </w:r>
      <w:r w:rsidR="005A16FE">
        <w:t xml:space="preserve"> (including D.H., T.S., and M</w:t>
      </w:r>
      <w:r w:rsidR="008D06DD">
        <w:t>.</w:t>
      </w:r>
      <w:r w:rsidR="005A16FE">
        <w:t>B</w:t>
      </w:r>
      <w:r w:rsidR="008D06DD">
        <w:t>.</w:t>
      </w:r>
      <w:r w:rsidR="005A16FE">
        <w:t>2)</w:t>
      </w:r>
      <w:r w:rsidRPr="00957A75">
        <w:t xml:space="preserve">, and </w:t>
      </w:r>
      <w:r w:rsidR="0062133C">
        <w:t xml:space="preserve">also </w:t>
      </w:r>
      <w:r w:rsidRPr="00957A75">
        <w:t>gathered documentary evidence including the video and text messages.  Roe did not want to participate in the investigation and dis</w:t>
      </w:r>
      <w:r w:rsidRPr="00957A75" w:rsidR="00506C81">
        <w:t>couraged</w:t>
      </w:r>
      <w:r w:rsidRPr="00957A75">
        <w:t xml:space="preserve"> other witnesses from testifying against Boermeester.  Two days after her initial interview, she told the Title IX investigator she was “</w:t>
      </w:r>
      <w:r w:rsidRPr="00957A75" w:rsidR="00DA15E4">
        <w:t> ‘</w:t>
      </w:r>
      <w:r w:rsidRPr="00957A75">
        <w:t>freaked out</w:t>
      </w:r>
      <w:r w:rsidRPr="00957A75" w:rsidR="00DA15E4">
        <w:t>’ </w:t>
      </w:r>
      <w:r w:rsidRPr="00957A75">
        <w:t xml:space="preserve">” that Boermeester would learn of the investigation and she feared retaliation from </w:t>
      </w:r>
      <w:r w:rsidR="001968E0">
        <w:t>USC</w:t>
      </w:r>
      <w:r w:rsidR="00801A94">
        <w:t>’s</w:t>
      </w:r>
      <w:r w:rsidRPr="00957A75">
        <w:t xml:space="preserve"> football team</w:t>
      </w:r>
      <w:r w:rsidR="00CB0290">
        <w:t xml:space="preserve"> </w:t>
      </w:r>
      <w:r w:rsidR="004B179B">
        <w:t>(</w:t>
      </w:r>
      <w:r w:rsidR="001968E0">
        <w:t>Boermeester was a member of the team</w:t>
      </w:r>
      <w:r w:rsidR="004B179B">
        <w:t>)</w:t>
      </w:r>
      <w:r w:rsidRPr="00957A75">
        <w:t>.  The next day, she reiterated that she was “freaked out” and stressed that Boermeester “can’t know I made a statement” and “can’t know I met with you guys.”</w:t>
      </w:r>
      <w:r w:rsidRPr="00957A75" w:rsidR="00DA15E4">
        <w:t xml:space="preserve">  </w:t>
      </w:r>
      <w:r w:rsidRPr="00957A75">
        <w:t xml:space="preserve">After Boermeester was given notice of the investigation, Roe </w:t>
      </w:r>
      <w:r w:rsidR="004664FD">
        <w:t>stated</w:t>
      </w:r>
      <w:r w:rsidRPr="00957A75">
        <w:t xml:space="preserve"> that she no longer “</w:t>
      </w:r>
      <w:r w:rsidRPr="00957A75" w:rsidR="00DA15E4">
        <w:t> ‘</w:t>
      </w:r>
      <w:r w:rsidRPr="00957A75">
        <w:t>fully believe[d]</w:t>
      </w:r>
      <w:r w:rsidRPr="00957A75" w:rsidR="00DA15E4">
        <w:t>’ </w:t>
      </w:r>
      <w:r w:rsidRPr="00957A75">
        <w:t xml:space="preserve">” the statements she made during her initial interview and asked if she could withdraw her statement and the </w:t>
      </w:r>
      <w:r w:rsidR="00B42B67">
        <w:t>a</w:t>
      </w:r>
      <w:r w:rsidRPr="00957A75">
        <w:t xml:space="preserve">voidance of </w:t>
      </w:r>
      <w:r w:rsidR="00B42B67">
        <w:t>c</w:t>
      </w:r>
      <w:r w:rsidRPr="00957A75">
        <w:t xml:space="preserve">ontact order, explaining she did not want Boermeester to be “ ‘mad’ ” at her and she did not “ ‘trust’ ” that it would be clearly conveyed to Boermeester that the investigation was initiated by the Title IX office.  Roe also expressed concern that Boermeester would be punished too harshly.  After the investigation was reported in the media, Roe published a tweet </w:t>
      </w:r>
      <w:r w:rsidRPr="00957A75" w:rsidR="00151381">
        <w:t xml:space="preserve">on Twitter </w:t>
      </w:r>
      <w:r w:rsidRPr="00957A75">
        <w:t xml:space="preserve">stating that “I am the one involved in the investigation with Matt Boermeester.  The report is false.”    </w:t>
      </w:r>
    </w:p>
    <w:p w:rsidR="00F52089" w:rsidP="00F52089" w14:paraId="47C8C103" w14:textId="77777777">
      <w:pPr>
        <w:tabs>
          <w:tab w:val="left" w:pos="1440"/>
        </w:tabs>
        <w:ind w:firstLine="720"/>
      </w:pPr>
      <w:bookmarkStart w:id="13" w:name="_Hlk137733800"/>
      <w:r w:rsidRPr="00957A75">
        <w:t>At the conclusion of the investigation, Boermeester and Roe separately reviewed the evidence with their advisor-attorneys at the Title IX office.  The parties declined to attend their separate hearings or to submit questions for USC’s Title IX coordinator to ask one another during their hearings.  Instead, they opted to submit separate written statements responding to the evidence</w:t>
      </w:r>
      <w:r>
        <w:t xml:space="preserve">.  In her written statement, </w:t>
      </w:r>
      <w:r w:rsidRPr="00957A75">
        <w:t>Roe</w:t>
      </w:r>
      <w:r>
        <w:t xml:space="preserve"> </w:t>
      </w:r>
      <w:r w:rsidRPr="00957A75">
        <w:t>recanted her initial statement and claimed the Title IX office manipulated her into saying exaggerated or untrue things about Boermeester and their relationship.  Specifically, Roe explained that she believed her initial discussion with the Title IX office was a “counseling session where [she] was free to vent about [her] relationship or blow off steam,” but she later felt that the office was “trying to get [her] to say bad things about [Boermeester] so that they could use those things against him.”  She further claimed that, had she understood the true nature of the meeting, she “would not have said many of the things [she] said and [she] would have made a greater effort to be accurate.”  Finally, she emphasized that Boermeester never “hit, choked, kicked, pushed or otherwise physically abused” her.</w:t>
      </w:r>
      <w:r>
        <w:t xml:space="preserve">  (Boldface omitted.) </w:t>
      </w:r>
      <w:r w:rsidRPr="00957A75">
        <w:t xml:space="preserve"> </w:t>
      </w:r>
    </w:p>
    <w:p w:rsidR="008B6BDA" w:rsidRPr="00957A75" w:rsidP="00F52089" w14:paraId="47C8C104" w14:textId="77777777">
      <w:pPr>
        <w:tabs>
          <w:tab w:val="left" w:pos="1440"/>
        </w:tabs>
        <w:ind w:firstLine="720"/>
      </w:pPr>
      <w:r w:rsidRPr="00957A75">
        <w:t xml:space="preserve">The Title IX investigator issued an SAR concluding that Boermeester violated USC’s </w:t>
      </w:r>
      <w:r>
        <w:t>s</w:t>
      </w:r>
      <w:r w:rsidRPr="00957A75">
        <w:t xml:space="preserve">tudent </w:t>
      </w:r>
      <w:r>
        <w:t>c</w:t>
      </w:r>
      <w:r w:rsidRPr="00957A75">
        <w:t xml:space="preserve">onduct </w:t>
      </w:r>
      <w:r>
        <w:t>c</w:t>
      </w:r>
      <w:r w:rsidRPr="00957A75">
        <w:t xml:space="preserve">ode by (1) engaging in intimate partner violence and (2) violating the interim </w:t>
      </w:r>
      <w:r>
        <w:t>a</w:t>
      </w:r>
      <w:r w:rsidRPr="00957A75">
        <w:t xml:space="preserve">voidance of </w:t>
      </w:r>
      <w:r>
        <w:t>c</w:t>
      </w:r>
      <w:r w:rsidRPr="00957A75">
        <w:t xml:space="preserve">ontact </w:t>
      </w:r>
      <w:r>
        <w:t>o</w:t>
      </w:r>
      <w:r w:rsidRPr="00957A75">
        <w:t>rder.</w:t>
      </w:r>
      <w:r>
        <w:t xml:space="preserve"> </w:t>
      </w:r>
      <w:bookmarkStart w:id="14" w:name="_Hlk137733919"/>
      <w:bookmarkEnd w:id="13"/>
      <w:r>
        <w:t xml:space="preserve">  </w:t>
      </w:r>
      <w:r w:rsidRPr="00957A75">
        <w:t xml:space="preserve">The SAR was forwarded to </w:t>
      </w:r>
      <w:r w:rsidRPr="00957A75" w:rsidR="00173BDB">
        <w:t>a</w:t>
      </w:r>
      <w:r w:rsidRPr="00957A75">
        <w:t xml:space="preserve"> </w:t>
      </w:r>
      <w:r w:rsidR="00316881">
        <w:t>m</w:t>
      </w:r>
      <w:r w:rsidRPr="00957A75">
        <w:t xml:space="preserve">isconduct </w:t>
      </w:r>
      <w:r w:rsidR="00316881">
        <w:t>s</w:t>
      </w:r>
      <w:r w:rsidRPr="00957A75">
        <w:t xml:space="preserve">anctioning </w:t>
      </w:r>
      <w:r w:rsidR="00790974">
        <w:t>p</w:t>
      </w:r>
      <w:r w:rsidRPr="00957A75">
        <w:t>anel, which recommended expulsion.</w:t>
      </w:r>
      <w:r w:rsidR="00EF0D65">
        <w:t xml:space="preserve">  </w:t>
      </w:r>
      <w:r w:rsidRPr="00957A75">
        <w:t xml:space="preserve">Boermeester appealed to </w:t>
      </w:r>
      <w:r w:rsidRPr="00957A75" w:rsidR="00173BDB">
        <w:t xml:space="preserve">an </w:t>
      </w:r>
      <w:r w:rsidR="00316881">
        <w:t>a</w:t>
      </w:r>
      <w:r w:rsidRPr="00957A75">
        <w:t xml:space="preserve">ppellate </w:t>
      </w:r>
      <w:r w:rsidR="00316881">
        <w:t>p</w:t>
      </w:r>
      <w:r w:rsidRPr="00957A75">
        <w:t xml:space="preserve">anel, </w:t>
      </w:r>
      <w:r w:rsidRPr="00957A75" w:rsidR="00173BDB">
        <w:t xml:space="preserve">which </w:t>
      </w:r>
      <w:r w:rsidRPr="00957A75">
        <w:t>agreed that Boermeester</w:t>
      </w:r>
      <w:r w:rsidRPr="00957A75" w:rsidR="009852CA">
        <w:t xml:space="preserve"> </w:t>
      </w:r>
      <w:r w:rsidRPr="00957A75">
        <w:t>physical</w:t>
      </w:r>
      <w:r w:rsidRPr="00957A75" w:rsidR="00891071">
        <w:t>ly</w:t>
      </w:r>
      <w:r w:rsidRPr="00957A75">
        <w:t xml:space="preserve"> harm</w:t>
      </w:r>
      <w:r w:rsidRPr="00957A75" w:rsidR="00891071">
        <w:t>ed</w:t>
      </w:r>
      <w:r w:rsidRPr="00957A75">
        <w:t xml:space="preserve"> Roe — and thus engaged in intimate partner violence — but was “less certain as to whether </w:t>
      </w:r>
      <w:bookmarkStart w:id="15" w:name="_Hlk137733964"/>
      <w:r w:rsidRPr="00957A75">
        <w:t xml:space="preserve">[Boermeester] </w:t>
      </w:r>
      <w:r w:rsidRPr="00957A75">
        <w:rPr>
          <w:i/>
          <w:iCs/>
        </w:rPr>
        <w:t>intentionally</w:t>
      </w:r>
      <w:r w:rsidRPr="00957A75">
        <w:t xml:space="preserve"> physically harmed [Roe].”  </w:t>
      </w:r>
      <w:bookmarkEnd w:id="14"/>
      <w:r w:rsidRPr="00957A75">
        <w:t xml:space="preserve">The </w:t>
      </w:r>
      <w:r w:rsidR="00316881">
        <w:t>a</w:t>
      </w:r>
      <w:r w:rsidRPr="00957A75">
        <w:t xml:space="preserve">ppellate </w:t>
      </w:r>
      <w:r w:rsidR="00316881">
        <w:t>p</w:t>
      </w:r>
      <w:r w:rsidRPr="00957A75">
        <w:t>anel acknowledged that intent “is not a required element” for proving intimate partner violence as defined by USC’s policy, but nevertheless felt that intent was relevant for sanctioning purposes and accordingly recommended reducing the sanction to a two-year suspension and completion of a 52-</w:t>
      </w:r>
      <w:bookmarkEnd w:id="15"/>
      <w:r w:rsidRPr="00957A75">
        <w:t>week intimate partner violence program.</w:t>
      </w:r>
      <w:r w:rsidRPr="00957A75" w:rsidR="00D2131B">
        <w:t xml:space="preserve">  </w:t>
      </w:r>
      <w:r w:rsidRPr="00957A75">
        <w:t xml:space="preserve">The Vice President of Student Affairs, respondent Carry, rejected the </w:t>
      </w:r>
      <w:r w:rsidR="00316881">
        <w:t>a</w:t>
      </w:r>
      <w:r w:rsidRPr="00957A75">
        <w:t xml:space="preserve">ppellate </w:t>
      </w:r>
      <w:r w:rsidR="00316881">
        <w:t>p</w:t>
      </w:r>
      <w:r w:rsidRPr="00957A75">
        <w:t>anel’s recommendation to reduce the sanction of expulsion.</w:t>
      </w:r>
      <w:r w:rsidRPr="00957A75" w:rsidR="00D2131B">
        <w:t xml:space="preserve">  </w:t>
      </w:r>
      <w:r w:rsidRPr="00957A75">
        <w:t xml:space="preserve">She explained that, whether Boermeester intended to cause Roe physical harm or did so recklessly, expulsion was appropriate given the nature of the harm inflicted.  </w:t>
      </w:r>
    </w:p>
    <w:p w:rsidR="008B6BDA" w:rsidRPr="00957A75" w:rsidP="00604EED" w14:paraId="47C8C105" w14:textId="77777777">
      <w:pPr>
        <w:tabs>
          <w:tab w:val="left" w:pos="1440"/>
        </w:tabs>
        <w:ind w:firstLine="720"/>
      </w:pPr>
      <w:r w:rsidRPr="00957A75">
        <w:t xml:space="preserve">Boermeester filed a </w:t>
      </w:r>
      <w:r w:rsidRPr="00957A75" w:rsidR="00151381">
        <w:t xml:space="preserve">section 1094.5 </w:t>
      </w:r>
      <w:r w:rsidRPr="00957A75">
        <w:t>petition for writ of administrative mandate,</w:t>
      </w:r>
      <w:r w:rsidRPr="00957A75" w:rsidR="009C63A3">
        <w:t xml:space="preserve"> which the superior court denied.  </w:t>
      </w:r>
      <w:r w:rsidRPr="00957A75">
        <w:t xml:space="preserve">A divided Court of Appeal reversed, with the majority concluding that USC’s disciplinary procedures were unfair because Boermeester </w:t>
      </w:r>
      <w:r w:rsidRPr="00957A75" w:rsidR="00007D7D">
        <w:t xml:space="preserve">was unable </w:t>
      </w:r>
      <w:r w:rsidRPr="00957A75" w:rsidR="00195C59">
        <w:t xml:space="preserve">to </w:t>
      </w:r>
      <w:r w:rsidRPr="00957A75" w:rsidR="00007D7D">
        <w:t>directly or indirectly question Roe and the third</w:t>
      </w:r>
      <w:r w:rsidR="001F18C3">
        <w:t xml:space="preserve"> </w:t>
      </w:r>
      <w:r w:rsidRPr="00957A75" w:rsidR="00007D7D">
        <w:t>party witnesses in real time at a live hearing.</w:t>
      </w:r>
      <w:r w:rsidRPr="00957A75">
        <w:t xml:space="preserve">  (</w:t>
      </w:r>
      <w:r w:rsidRPr="00957A75">
        <w:rPr>
          <w:i/>
          <w:iCs/>
        </w:rPr>
        <w:t>Boermeester v. Carry</w:t>
      </w:r>
      <w:r w:rsidRPr="00957A75">
        <w:t xml:space="preserve">, </w:t>
      </w:r>
      <w:r w:rsidRPr="00957A75">
        <w:rPr>
          <w:i/>
          <w:iCs/>
        </w:rPr>
        <w:t>supra</w:t>
      </w:r>
      <w:r w:rsidRPr="00957A75">
        <w:t>, B290675.)  The Court of Appeal majority declined to reach Boermeester’s other claims regarding fairness, including his assertion that USC’s disciplinary procedures were unfair because USC’s Title IX investigator held the dual roles of investigator and adjudicator.  (</w:t>
      </w:r>
      <w:r w:rsidRPr="00957A75">
        <w:rPr>
          <w:i/>
          <w:iCs/>
        </w:rPr>
        <w:t>Ibid</w:t>
      </w:r>
      <w:r w:rsidRPr="00957A75">
        <w:t xml:space="preserve">.)  We granted review to determine whether the Court of Appeal majority was correct in concluding that USC </w:t>
      </w:r>
      <w:r w:rsidRPr="00957A75" w:rsidR="00015B65">
        <w:t xml:space="preserve">should have </w:t>
      </w:r>
      <w:r w:rsidRPr="00957A75" w:rsidR="00A55407">
        <w:t>held</w:t>
      </w:r>
      <w:r w:rsidRPr="00957A75" w:rsidR="00015B65">
        <w:t xml:space="preserve"> a live hearing featuring</w:t>
      </w:r>
      <w:r w:rsidRPr="00957A75">
        <w:t xml:space="preserve"> </w:t>
      </w:r>
      <w:r w:rsidRPr="00957A75" w:rsidR="00015B65">
        <w:t xml:space="preserve">real-time </w:t>
      </w:r>
      <w:r w:rsidRPr="00957A75" w:rsidR="00007D7D">
        <w:t xml:space="preserve">direct or indirect </w:t>
      </w:r>
      <w:r w:rsidRPr="00957A75">
        <w:t>cross-examin</w:t>
      </w:r>
      <w:r w:rsidRPr="00957A75" w:rsidR="00015B65">
        <w:t>ation of all parties and</w:t>
      </w:r>
      <w:r w:rsidRPr="00957A75">
        <w:t xml:space="preserve"> witnesses</w:t>
      </w:r>
      <w:r w:rsidRPr="00957A75" w:rsidR="00015B65">
        <w:t xml:space="preserve"> (whether conducted in-person or virtually)</w:t>
      </w:r>
      <w:r w:rsidRPr="00957A75">
        <w:t xml:space="preserve"> </w:t>
      </w:r>
      <w:r w:rsidRPr="00957A75" w:rsidR="00015B65">
        <w:t xml:space="preserve">with an opportunity for Boermeester to </w:t>
      </w:r>
      <w:r w:rsidRPr="00957A75">
        <w:t xml:space="preserve">ask </w:t>
      </w:r>
      <w:r w:rsidRPr="00957A75" w:rsidR="00151381">
        <w:t xml:space="preserve">the witnesses </w:t>
      </w:r>
      <w:r w:rsidRPr="00957A75">
        <w:t>follow-up questions.</w:t>
      </w:r>
      <w:r>
        <w:rPr>
          <w:rStyle w:val="FootnoteReference"/>
        </w:rPr>
        <w:footnoteReference w:id="6"/>
      </w:r>
    </w:p>
    <w:p w:rsidR="008B6BDA" w:rsidRPr="00957A75" w:rsidP="00957A75" w14:paraId="47C8C106" w14:textId="77777777">
      <w:pPr>
        <w:pStyle w:val="Heading1"/>
      </w:pPr>
      <w:r w:rsidRPr="00957A75">
        <w:t>II.  Discussion</w:t>
      </w:r>
    </w:p>
    <w:p w:rsidR="008B6BDA" w:rsidRPr="00957A75" w:rsidP="00604EED" w14:paraId="47C8C107" w14:textId="77777777">
      <w:pPr>
        <w:pStyle w:val="Heading2"/>
        <w:numPr>
          <w:ilvl w:val="0"/>
          <w:numId w:val="5"/>
        </w:numPr>
        <w:contextualSpacing/>
      </w:pPr>
      <w:r w:rsidRPr="00957A75">
        <w:tab/>
        <w:t xml:space="preserve">Writ of Administrative Review   </w:t>
      </w:r>
    </w:p>
    <w:p w:rsidR="00B13601" w:rsidRPr="00957A75" w:rsidP="00604EED" w14:paraId="47C8C108" w14:textId="77777777">
      <w:pPr>
        <w:ind w:firstLine="720"/>
      </w:pPr>
      <w:r w:rsidRPr="00957A75">
        <w:t xml:space="preserve">A writ of administrative review brought pursuant to section 1094.5 allows for judicial review of quasi-judicial decisions that are made “as the result of a proceeding in which by law a hearing is required to be given, evidence is required to be taken, and discretion in the determination of facts is vested in the inferior tribunal, corporation, board, or officer.”  </w:t>
      </w:r>
      <w:bookmarkStart w:id="17" w:name="_Hlk137734382"/>
      <w:r w:rsidRPr="00957A75">
        <w:t xml:space="preserve">(§ 1094.5, subd. (a).)  </w:t>
      </w:r>
      <w:bookmarkEnd w:id="17"/>
      <w:r w:rsidRPr="00957A75">
        <w:t>Judicial review is limited to “whether the respondent has proceeded without, or in excess of, jurisdiction; whether there was a fair trial; and whether there was any prejudicial abuse of discretion.”  (§ 1094.5, subd. (b).)  “ ‘A challenge to the procedural fairness of the administrative hearing is reviewed de novo on appeal because the ultimate determination of procedural fairness amounts to a question of law.’ ”</w:t>
      </w:r>
      <w:bookmarkStart w:id="18" w:name="_Hlk137734456"/>
      <w:r w:rsidR="00D14AFD">
        <w:t xml:space="preserve">  </w:t>
      </w:r>
      <w:r w:rsidRPr="00957A75">
        <w:t>(</w:t>
      </w:r>
      <w:bookmarkStart w:id="19" w:name="_Hlk138156439"/>
      <w:r w:rsidRPr="00957A75">
        <w:rPr>
          <w:i/>
          <w:iCs/>
        </w:rPr>
        <w:t xml:space="preserve">Doe v. </w:t>
      </w:r>
      <w:bookmarkStart w:id="20" w:name="_Hlk138156366"/>
      <w:r w:rsidRPr="00957A75">
        <w:rPr>
          <w:i/>
          <w:iCs/>
        </w:rPr>
        <w:t>University of Southern California</w:t>
      </w:r>
      <w:r w:rsidRPr="00957A75">
        <w:t xml:space="preserve"> (2016) 246 Cal.App.4th 221, 239 (</w:t>
      </w:r>
      <w:r w:rsidR="001F5999">
        <w:rPr>
          <w:i/>
          <w:iCs/>
        </w:rPr>
        <w:t>University</w:t>
      </w:r>
      <w:r w:rsidR="004B386B">
        <w:rPr>
          <w:i/>
          <w:iCs/>
        </w:rPr>
        <w:t xml:space="preserve"> I</w:t>
      </w:r>
      <w:r w:rsidRPr="00957A75">
        <w:t>)</w:t>
      </w:r>
      <w:bookmarkEnd w:id="20"/>
      <w:r w:rsidRPr="00957A75">
        <w:t xml:space="preserve">; </w:t>
      </w:r>
      <w:bookmarkEnd w:id="19"/>
      <w:r w:rsidRPr="00957A75">
        <w:t>accord</w:t>
      </w:r>
      <w:r w:rsidR="0093645A">
        <w:t>,</w:t>
      </w:r>
      <w:r w:rsidRPr="00957A75">
        <w:t xml:space="preserve"> </w:t>
      </w:r>
      <w:r w:rsidRPr="00957A75">
        <w:rPr>
          <w:i/>
          <w:iCs/>
        </w:rPr>
        <w:t>Natarajan v. Dignity Health</w:t>
      </w:r>
      <w:r w:rsidRPr="00957A75">
        <w:t xml:space="preserve"> (2021) 11 Cal.5th 1095, 1111.)</w:t>
      </w:r>
    </w:p>
    <w:bookmarkEnd w:id="18"/>
    <w:p w:rsidR="00E7448A" w:rsidRPr="00E7448A" w:rsidP="00E7448A" w14:paraId="47C8C109" w14:textId="77777777">
      <w:pPr>
        <w:ind w:firstLine="720"/>
      </w:pPr>
      <w:r w:rsidRPr="00957A75">
        <w:t xml:space="preserve">Section 1094.5 review applies not only to the decisions of governmental agencies but also to the decisions of private organizations, so long as the private organization was legally required to hold a hearing, take evidence, and make factual determinations in coming to its decision.  </w:t>
      </w:r>
      <w:bookmarkStart w:id="21" w:name="_Hlk137734475"/>
      <w:r w:rsidRPr="00957A75">
        <w:t>(</w:t>
      </w:r>
      <w:r w:rsidRPr="00957A75">
        <w:rPr>
          <w:i/>
          <w:iCs/>
        </w:rPr>
        <w:t>Anton v. San Antonio Community Hospital</w:t>
      </w:r>
      <w:r w:rsidRPr="00957A75">
        <w:t xml:space="preserve"> (1977) 19 Cal.3d 802, 815–817.)</w:t>
      </w:r>
      <w:bookmarkEnd w:id="21"/>
      <w:r w:rsidRPr="00957A75" w:rsidR="000E71D7">
        <w:t xml:space="preserve">  </w:t>
      </w:r>
      <w:r w:rsidRPr="00E7448A">
        <w:t>We have never previously applied section 1094.5 to a private university’s disciplinary decisions.  We nevertheless find that section 1094.5 writ review is appropriate because, for the reasons more fully explained below, the common law doctrine of fair procedure applies in this context.  Among other things, this doctrine</w:t>
      </w:r>
      <w:r>
        <w:t>,</w:t>
      </w:r>
      <w:r w:rsidRPr="00E7448A">
        <w:t xml:space="preserve"> when applicable</w:t>
      </w:r>
      <w:r>
        <w:t>,</w:t>
      </w:r>
      <w:r w:rsidRPr="00E7448A">
        <w:t xml:space="preserve"> requires </w:t>
      </w:r>
      <w:r>
        <w:t xml:space="preserve">a </w:t>
      </w:r>
      <w:r w:rsidRPr="00E7448A">
        <w:t>private organization</w:t>
      </w:r>
      <w:r>
        <w:t xml:space="preserve"> </w:t>
      </w:r>
      <w:r w:rsidRPr="00E7448A">
        <w:t xml:space="preserve">to comply with </w:t>
      </w:r>
      <w:r>
        <w:t>its</w:t>
      </w:r>
      <w:r w:rsidRPr="00E7448A">
        <w:t xml:space="preserve"> own procedural rules governing the expulsion of individuals from the organization</w:t>
      </w:r>
      <w:r w:rsidR="00552096">
        <w:t>, and it permits courts to evaluate the basic fairness of those procedural rules wh</w:t>
      </w:r>
      <w:r w:rsidR="008A34BF">
        <w:t>en the organization seeks to exclude or expel an individual from its membership</w:t>
      </w:r>
      <w:r w:rsidRPr="00E7448A">
        <w:t>.  (</w:t>
      </w:r>
      <w:r w:rsidRPr="00E7448A">
        <w:rPr>
          <w:i/>
          <w:iCs/>
        </w:rPr>
        <w:t>Cason v. Glass Bottle Blowers Assn</w:t>
      </w:r>
      <w:r w:rsidR="001F3EDC">
        <w:t>.</w:t>
      </w:r>
      <w:r w:rsidR="001F3EDC">
        <w:rPr>
          <w:i/>
          <w:iCs/>
        </w:rPr>
        <w:t xml:space="preserve"> </w:t>
      </w:r>
      <w:r w:rsidRPr="00E7448A">
        <w:t>(1951) 37 Cal.2d 134, 143 (</w:t>
      </w:r>
      <w:r w:rsidRPr="00E7448A">
        <w:rPr>
          <w:i/>
          <w:iCs/>
        </w:rPr>
        <w:t>Cason</w:t>
      </w:r>
      <w:r w:rsidRPr="00E7448A">
        <w:t>); accord</w:t>
      </w:r>
      <w:r w:rsidR="001F3EDC">
        <w:t>,</w:t>
      </w:r>
      <w:r w:rsidRPr="00E7448A">
        <w:t xml:space="preserve"> </w:t>
      </w:r>
      <w:r w:rsidRPr="00E7448A">
        <w:rPr>
          <w:i/>
          <w:iCs/>
        </w:rPr>
        <w:t>Otto v. Tailors’ P</w:t>
      </w:r>
      <w:r w:rsidR="001F3EDC">
        <w:t>.</w:t>
      </w:r>
      <w:r w:rsidRPr="00E7448A">
        <w:rPr>
          <w:i/>
          <w:iCs/>
        </w:rPr>
        <w:t xml:space="preserve"> &amp; B</w:t>
      </w:r>
      <w:r w:rsidR="001F3EDC">
        <w:t>.</w:t>
      </w:r>
      <w:r w:rsidRPr="00E7448A">
        <w:rPr>
          <w:i/>
          <w:iCs/>
        </w:rPr>
        <w:t xml:space="preserve"> Union</w:t>
      </w:r>
      <w:r w:rsidR="001F3EDC">
        <w:rPr>
          <w:i/>
          <w:iCs/>
        </w:rPr>
        <w:t xml:space="preserve"> </w:t>
      </w:r>
      <w:r w:rsidRPr="00E7448A">
        <w:t xml:space="preserve">(1888) 75 Cal. 308, </w:t>
      </w:r>
      <w:r w:rsidR="008A34BF">
        <w:t>314–</w:t>
      </w:r>
      <w:r w:rsidRPr="00E7448A">
        <w:t>315.)  Here, USC’s policies</w:t>
      </w:r>
      <w:r w:rsidR="008A34BF">
        <w:t xml:space="preserve"> were subject to the common law d</w:t>
      </w:r>
      <w:r w:rsidR="008946E4">
        <w:t>octrine</w:t>
      </w:r>
      <w:r w:rsidR="008A34BF">
        <w:t xml:space="preserve"> of fair procedure, and those policies</w:t>
      </w:r>
      <w:r w:rsidRPr="00E7448A">
        <w:t xml:space="preserve"> specified that </w:t>
      </w:r>
      <w:r w:rsidR="008A34BF">
        <w:t>the university</w:t>
      </w:r>
      <w:r w:rsidRPr="00E7448A">
        <w:t xml:space="preserve"> would offer the accused student a hearing, take evidence, and make factual determinations in a final adjudicatory decision issued by the </w:t>
      </w:r>
      <w:r w:rsidR="001F3EDC">
        <w:t>v</w:t>
      </w:r>
      <w:r w:rsidRPr="00E7448A">
        <w:t xml:space="preserve">ice </w:t>
      </w:r>
      <w:r w:rsidR="001F3EDC">
        <w:t>p</w:t>
      </w:r>
      <w:r w:rsidRPr="00E7448A">
        <w:t xml:space="preserve">resident of </w:t>
      </w:r>
      <w:r w:rsidR="00DC119C">
        <w:t>s</w:t>
      </w:r>
      <w:r w:rsidRPr="00E7448A">
        <w:t xml:space="preserve">tudent </w:t>
      </w:r>
      <w:r w:rsidR="00DC119C">
        <w:t>a</w:t>
      </w:r>
      <w:r w:rsidRPr="00E7448A">
        <w:t xml:space="preserve">ffairs.  </w:t>
      </w:r>
      <w:r w:rsidR="008A34BF">
        <w:t>Thus</w:t>
      </w:r>
      <w:r w:rsidRPr="00E7448A">
        <w:t>, the section 1094.5 “elements of hearing, evidence, and discretion in the determination of facts are clearly required by law” and section 1094.5 writ review applies.  (</w:t>
      </w:r>
      <w:r w:rsidRPr="00E7448A">
        <w:rPr>
          <w:i/>
          <w:iCs/>
        </w:rPr>
        <w:t>Anton</w:t>
      </w:r>
      <w:r w:rsidRPr="00E7448A">
        <w:t xml:space="preserve">, at p. 815; see also </w:t>
      </w:r>
      <w:r w:rsidRPr="00E7448A">
        <w:rPr>
          <w:i/>
          <w:iCs/>
        </w:rPr>
        <w:t>Bray v. International Molders &amp; Allied Workers Union</w:t>
      </w:r>
      <w:r w:rsidRPr="00E7448A">
        <w:t xml:space="preserve"> (1984) 155 Cal.App.3d 608, 616 [courts “</w:t>
      </w:r>
      <w:r>
        <w:t> ‘</w:t>
      </w:r>
      <w:r w:rsidRPr="00E7448A">
        <w:t>pay proper respect</w:t>
      </w:r>
      <w:r>
        <w:t>’ </w:t>
      </w:r>
      <w:r w:rsidRPr="00E7448A">
        <w:t>” to a private organization’s “</w:t>
      </w:r>
      <w:r>
        <w:t> ‘</w:t>
      </w:r>
      <w:r w:rsidRPr="00E7448A">
        <w:t>quasi-judicial procedure, precluding an aggrieved party from circumventing</w:t>
      </w:r>
      <w:r>
        <w:t>’ </w:t>
      </w:r>
      <w:r w:rsidRPr="00E7448A">
        <w:t>” section 1094.5 review].)</w:t>
      </w:r>
    </w:p>
    <w:p w:rsidR="00B241AE" w:rsidP="009D566A" w14:paraId="47C8C10A" w14:textId="77777777">
      <w:pPr>
        <w:ind w:firstLine="720"/>
      </w:pPr>
      <w:r w:rsidRPr="00957A75">
        <w:t>The parties</w:t>
      </w:r>
      <w:r>
        <w:t xml:space="preserve"> do not dispute that section 1094.5 applies.  </w:t>
      </w:r>
      <w:r w:rsidRPr="00957A75" w:rsidR="000E71D7">
        <w:t>The parties’ dispute instead centers on</w:t>
      </w:r>
      <w:r w:rsidRPr="00957A75" w:rsidR="008B6BDA">
        <w:t xml:space="preserve"> the meaning of a “fair trial” under section 1094.5, subdivision (b).  Boermeester asserts that section 1094.5’s fair trial component can only be satisfied by adhering to principles established by the common law doctrine of fair procedure which, in certain limited contexts, requires </w:t>
      </w:r>
      <w:r w:rsidRPr="00957A75" w:rsidR="005679CA">
        <w:t xml:space="preserve">a </w:t>
      </w:r>
      <w:r w:rsidRPr="00957A75" w:rsidR="008B6BDA">
        <w:t xml:space="preserve">private organization to </w:t>
      </w:r>
      <w:r w:rsidRPr="00957A75" w:rsidR="00151381">
        <w:t>give</w:t>
      </w:r>
      <w:r w:rsidRPr="00957A75" w:rsidR="008B6BDA">
        <w:t xml:space="preserve"> </w:t>
      </w:r>
      <w:r w:rsidRPr="00957A75" w:rsidR="005679CA">
        <w:t xml:space="preserve">an </w:t>
      </w:r>
      <w:r w:rsidRPr="00957A75" w:rsidR="008B6BDA">
        <w:t xml:space="preserve">individual adequate notice of the charges and a reasonable opportunity to respond before expelling </w:t>
      </w:r>
      <w:r w:rsidRPr="00957A75" w:rsidR="005679CA">
        <w:t>the</w:t>
      </w:r>
      <w:r w:rsidRPr="00957A75" w:rsidR="004D582F">
        <w:t xml:space="preserve"> individual</w:t>
      </w:r>
      <w:r w:rsidRPr="00957A75" w:rsidR="008B6BDA">
        <w:t xml:space="preserve"> from the organization’s membership.</w:t>
      </w:r>
      <w:r w:rsidR="00182344">
        <w:t xml:space="preserve">  </w:t>
      </w:r>
      <w:r w:rsidRPr="00957A75" w:rsidR="008B6BDA">
        <w:t>(</w:t>
      </w:r>
      <w:r w:rsidRPr="00957A75" w:rsidR="008B6BDA">
        <w:rPr>
          <w:i/>
          <w:iCs/>
        </w:rPr>
        <w:t>Pinsker II</w:t>
      </w:r>
      <w:r w:rsidRPr="00957A75" w:rsidR="008B6BDA">
        <w:t xml:space="preserve">, </w:t>
      </w:r>
      <w:r w:rsidRPr="00957A75" w:rsidR="008B6BDA">
        <w:rPr>
          <w:i/>
          <w:iCs/>
        </w:rPr>
        <w:t>supra</w:t>
      </w:r>
      <w:r w:rsidRPr="00957A75" w:rsidR="008B6BDA">
        <w:t>, 12 Cal.3d at p. 555.)  Boermeester additionally urges us to rely on constitutional due process principles, though he does not go so far as to suggest that due process applies to private universities like USC.  USC, on the other hand, claims that “[s]ection 1094.5 is a procedural vehicle for reviewing public and private administrative decisions” and “does not impose any particular standards of fair procedure.”  Even so, USC does not dispute that some minimum standard of procedural fairness is required in this context.  Moreover, USC relies on cases decided under the common law doctrine of fair procedure in asserting that it</w:t>
      </w:r>
      <w:r w:rsidRPr="00957A75" w:rsidR="00151381">
        <w:t xml:space="preserve">s disciplinary process </w:t>
      </w:r>
      <w:r w:rsidR="009B4DE8">
        <w:t>was</w:t>
      </w:r>
      <w:r w:rsidRPr="00957A75" w:rsidR="008B6BDA">
        <w:t xml:space="preserve"> fair</w:t>
      </w:r>
      <w:r w:rsidRPr="00957A75" w:rsidR="00151381">
        <w:t>.</w:t>
      </w:r>
      <w:r>
        <w:t xml:space="preserve">  </w:t>
      </w:r>
    </w:p>
    <w:p w:rsidR="009D566A" w:rsidP="009D566A" w14:paraId="47C8C10B" w14:textId="77777777">
      <w:pPr>
        <w:ind w:firstLine="720"/>
      </w:pPr>
      <w:r w:rsidRPr="00887E16">
        <w:t>Neither</w:t>
      </w:r>
      <w:r w:rsidRPr="00957A75">
        <w:t xml:space="preserve"> we nor any other court has held that the fair trial component of section 1094.5 is synonymous with either the common law doctrine of fair procedure or with due process principles, and we decline to do so here.</w:t>
      </w:r>
      <w:r w:rsidR="00D14AFD">
        <w:t xml:space="preserve">  Nevertheless, and as explained more fully below, our </w:t>
      </w:r>
      <w:r w:rsidRPr="00957A75" w:rsidR="00D14AFD">
        <w:t>fair procedure</w:t>
      </w:r>
      <w:r w:rsidR="00D14AFD">
        <w:t xml:space="preserve"> cases</w:t>
      </w:r>
      <w:r w:rsidRPr="00957A75" w:rsidR="00D14AFD">
        <w:t xml:space="preserve"> </w:t>
      </w:r>
      <w:r w:rsidR="00D14AFD">
        <w:t>are instructive</w:t>
      </w:r>
      <w:r w:rsidRPr="00957A75" w:rsidR="00D14AFD">
        <w:t xml:space="preserve"> </w:t>
      </w:r>
      <w:r w:rsidR="00D14AFD">
        <w:t>because</w:t>
      </w:r>
      <w:r w:rsidRPr="00957A75" w:rsidR="00D14AFD">
        <w:t xml:space="preserve"> the membership-related decisions made by the private organizations in those cases are similar in significant respects to private universities’ student disciplinary decisions</w:t>
      </w:r>
      <w:r w:rsidR="00182344">
        <w:t xml:space="preserve">.  </w:t>
      </w:r>
      <w:r w:rsidR="00D14AFD">
        <w:t xml:space="preserve"> </w:t>
      </w:r>
      <w:r w:rsidRPr="00957A75">
        <w:t xml:space="preserve">  </w:t>
      </w:r>
      <w:r w:rsidR="00D14AFD">
        <w:t xml:space="preserve"> </w:t>
      </w:r>
    </w:p>
    <w:p w:rsidR="008B6BDA" w:rsidRPr="00957A75" w:rsidP="00887E16" w14:paraId="47C8C10C" w14:textId="77777777">
      <w:pPr>
        <w:ind w:firstLine="720"/>
      </w:pPr>
      <w:r w:rsidRPr="00957A75">
        <w:t xml:space="preserve">The principles of common law fair procedure </w:t>
      </w:r>
      <w:r w:rsidR="002B75FA">
        <w:t xml:space="preserve">are similar to those of </w:t>
      </w:r>
      <w:r w:rsidRPr="00957A75">
        <w:t xml:space="preserve">constitutional due process in that they are flexible and context specific.  </w:t>
      </w:r>
      <w:r w:rsidR="00887E16">
        <w:t>Under either concept, t</w:t>
      </w:r>
      <w:r w:rsidRPr="00957A75">
        <w:t>he precise procedures necessary to provide a complainant with a meaningful opportunity to be heard “depend</w:t>
      </w:r>
      <w:r w:rsidR="002C7C08">
        <w:t>[]</w:t>
      </w:r>
      <w:r w:rsidRPr="00957A75">
        <w:t xml:space="preserve"> largely on ‘the nature of the tendered issue</w:t>
      </w:r>
      <w:r w:rsidRPr="00957A75" w:rsidR="00FC6B8F">
        <w:t>.</w:t>
      </w:r>
      <w:r w:rsidRPr="00957A75">
        <w:t xml:space="preserve">’ ” </w:t>
      </w:r>
      <w:r w:rsidRPr="00957A75" w:rsidR="00FC6B8F">
        <w:t xml:space="preserve"> </w:t>
      </w:r>
      <w:bookmarkStart w:id="22" w:name="_Hlk138161683"/>
      <w:bookmarkStart w:id="23" w:name="_Hlk137734609"/>
      <w:r w:rsidRPr="00957A75">
        <w:t>(</w:t>
      </w:r>
      <w:bookmarkStart w:id="24" w:name="_Hlk134187262"/>
      <w:r w:rsidRPr="00957A75">
        <w:rPr>
          <w:i/>
          <w:iCs/>
        </w:rPr>
        <w:t>Ezekial v. Winkley</w:t>
      </w:r>
      <w:r w:rsidRPr="00957A75">
        <w:t xml:space="preserve"> (1977) 20</w:t>
      </w:r>
      <w:r w:rsidR="008C5159">
        <w:t> </w:t>
      </w:r>
      <w:r w:rsidRPr="00957A75">
        <w:t>Cal.3d 267</w:t>
      </w:r>
      <w:bookmarkEnd w:id="24"/>
      <w:r w:rsidRPr="00957A75">
        <w:t>, 279 (</w:t>
      </w:r>
      <w:r w:rsidRPr="00957A75">
        <w:rPr>
          <w:i/>
          <w:iCs/>
        </w:rPr>
        <w:t>Ezekial</w:t>
      </w:r>
      <w:r w:rsidRPr="00957A75">
        <w:t xml:space="preserve">); </w:t>
      </w:r>
      <w:bookmarkEnd w:id="22"/>
      <w:r w:rsidRPr="00957A75">
        <w:t>accord</w:t>
      </w:r>
      <w:r w:rsidR="0093645A">
        <w:t>,</w:t>
      </w:r>
      <w:r w:rsidRPr="00957A75">
        <w:t xml:space="preserve"> </w:t>
      </w:r>
      <w:r w:rsidRPr="00957A75">
        <w:rPr>
          <w:i/>
          <w:iCs/>
        </w:rPr>
        <w:t>Saleeby v. State Bar</w:t>
      </w:r>
      <w:r w:rsidRPr="00957A75">
        <w:t xml:space="preserve"> (1985) 39 Cal.3d 547, 565.)</w:t>
      </w:r>
      <w:bookmarkEnd w:id="23"/>
      <w:r w:rsidRPr="00957A75">
        <w:t xml:space="preserve">  This is not to say that fair procedure and due process are identical.  Due process is a constitutional right designed to protect citizens from abuses of state power, and it does not apply here since no state action is involved.  Fair procedure, on the other hand, is a more flexible judicially</w:t>
      </w:r>
      <w:r w:rsidR="002C7C08">
        <w:t xml:space="preserve"> </w:t>
      </w:r>
      <w:r w:rsidRPr="00957A75">
        <w:t xml:space="preserve">created concept applicable to private organizations in limited situations.  (See </w:t>
      </w:r>
      <w:r w:rsidRPr="00957A75">
        <w:rPr>
          <w:i/>
          <w:iCs/>
        </w:rPr>
        <w:t>Pinsker II</w:t>
      </w:r>
      <w:r w:rsidRPr="00957A75">
        <w:t xml:space="preserve">, </w:t>
      </w:r>
      <w:r w:rsidRPr="007914A5">
        <w:rPr>
          <w:i/>
          <w:iCs/>
        </w:rPr>
        <w:t>supra</w:t>
      </w:r>
      <w:r w:rsidRPr="00957A75">
        <w:t xml:space="preserve">, 12 Cal.3d at p. 550, fn. 7 [distinguishing due process and fair procedure]; </w:t>
      </w:r>
      <w:bookmarkStart w:id="25" w:name="_Hlk137734627"/>
      <w:r w:rsidRPr="00957A75">
        <w:rPr>
          <w:i/>
          <w:iCs/>
        </w:rPr>
        <w:t>Cotran v. Rollins Hudig Hall Internat., Inc.</w:t>
      </w:r>
      <w:r w:rsidRPr="00957A75">
        <w:t xml:space="preserve"> (1998) 17 Cal.4th 93, 108, quoting Friendly, </w:t>
      </w:r>
      <w:r w:rsidR="00FC2C48">
        <w:t>“</w:t>
      </w:r>
      <w:r w:rsidRPr="00957A75">
        <w:rPr>
          <w:i/>
          <w:iCs/>
        </w:rPr>
        <w:t>Some Kind of Hearing</w:t>
      </w:r>
      <w:r w:rsidR="00FC2C48">
        <w:t>”</w:t>
      </w:r>
      <w:r w:rsidRPr="00957A75">
        <w:t xml:space="preserve"> (1975) 123 U. Pa. L.Rev. 1267, 1269–1270, fn. 10 </w:t>
      </w:r>
      <w:bookmarkEnd w:id="25"/>
      <w:r w:rsidRPr="00957A75">
        <w:t xml:space="preserve">[“ ‘The precise content of the common law “fair procedure” requirement is far more flexible than that which the Supreme Court has found to be mandated by due process’ ”].)  </w:t>
      </w:r>
      <w:bookmarkStart w:id="26" w:name="_Hlk133938471"/>
      <w:r w:rsidR="00182344">
        <w:t>B</w:t>
      </w:r>
      <w:r w:rsidRPr="00957A75">
        <w:t xml:space="preserve">ecause this matter involves a private university, </w:t>
      </w:r>
      <w:r w:rsidR="00E07BC7">
        <w:t xml:space="preserve">no constitutional rights are at stake and a greater degree of flexibility is warranted.  </w:t>
      </w:r>
      <w:r w:rsidRPr="00957A75">
        <w:t xml:space="preserve">(See </w:t>
      </w:r>
      <w:r w:rsidRPr="00957A75">
        <w:rPr>
          <w:i/>
          <w:iCs/>
        </w:rPr>
        <w:t>Pinsker II</w:t>
      </w:r>
      <w:r w:rsidRPr="00957A75">
        <w:t xml:space="preserve">, at p. 555.)   </w:t>
      </w:r>
    </w:p>
    <w:bookmarkEnd w:id="26"/>
    <w:p w:rsidR="008B6BDA" w:rsidRPr="00957A75" w:rsidP="00604EED" w14:paraId="47C8C10D" w14:textId="77777777">
      <w:pPr>
        <w:ind w:firstLine="720"/>
      </w:pPr>
      <w:r w:rsidRPr="00957A75">
        <w:t xml:space="preserve">With these considerations in mind, we next provide a background on the common law doctrine of fair procedure and discuss how it </w:t>
      </w:r>
      <w:r w:rsidR="00632CBF">
        <w:t>govern</w:t>
      </w:r>
      <w:r w:rsidRPr="00957A75">
        <w:t xml:space="preserve">s our inquiry.      </w:t>
      </w:r>
    </w:p>
    <w:p w:rsidR="008B6BDA" w:rsidRPr="00957A75" w:rsidP="00604EED" w14:paraId="47C8C10E" w14:textId="77777777">
      <w:pPr>
        <w:pStyle w:val="Heading2"/>
        <w:numPr>
          <w:ilvl w:val="0"/>
          <w:numId w:val="5"/>
        </w:numPr>
        <w:contextualSpacing/>
      </w:pPr>
      <w:bookmarkStart w:id="27" w:name="_Hlk119407023"/>
      <w:r w:rsidRPr="00957A75">
        <w:t>The Common Law Doctrine of Fair Procedure</w:t>
      </w:r>
    </w:p>
    <w:bookmarkEnd w:id="27"/>
    <w:p w:rsidR="008B6BDA" w:rsidRPr="00957A75" w:rsidP="00604EED" w14:paraId="47C8C10F" w14:textId="77777777">
      <w:pPr>
        <w:ind w:firstLine="720"/>
      </w:pPr>
      <w:r w:rsidRPr="00957A75">
        <w:t xml:space="preserve">The common law doctrine of fair procedure originally developed to prevent the arbitrary expulsion of individuals from memberships in certain private organizations — such as mutual aid societies, fraternities, or unions — where the expulsion “adversely affected [property] rights in specified funds held for the association’s members.”  </w:t>
      </w:r>
      <w:bookmarkStart w:id="28" w:name="_Hlk137734670"/>
      <w:bookmarkStart w:id="29" w:name="_Hlk138161755"/>
      <w:r w:rsidRPr="00957A75">
        <w:t>(</w:t>
      </w:r>
      <w:bookmarkStart w:id="30" w:name="_Hlk134187300"/>
      <w:r w:rsidRPr="00957A75">
        <w:rPr>
          <w:i/>
          <w:iCs/>
        </w:rPr>
        <w:t>Potvin v. Metropolitan Life Ins. Co</w:t>
      </w:r>
      <w:r w:rsidRPr="00957A75">
        <w:t>. (2000) 22 Cal.4th 1060</w:t>
      </w:r>
      <w:bookmarkEnd w:id="30"/>
      <w:r w:rsidRPr="00957A75">
        <w:t>, 1066 (</w:t>
      </w:r>
      <w:r w:rsidRPr="00957A75">
        <w:rPr>
          <w:i/>
          <w:iCs/>
        </w:rPr>
        <w:t>Potvin</w:t>
      </w:r>
      <w:r w:rsidRPr="00957A75">
        <w:t>).)</w:t>
      </w:r>
      <w:bookmarkEnd w:id="28"/>
      <w:r w:rsidRPr="00957A75">
        <w:t xml:space="preserve">  </w:t>
      </w:r>
      <w:bookmarkEnd w:id="29"/>
      <w:r w:rsidRPr="00957A75">
        <w:t>The doctrine was subsequently expanded to prevent the arbitrary expulsion or exclusion of individuals from private organizations that “possess substantial power either to thwart an individual’s pursuit of a lawful trade or profession, or to control the terms and conditions under which it is practiced.”  (</w:t>
      </w:r>
      <w:r w:rsidRPr="00957A75">
        <w:rPr>
          <w:i/>
          <w:iCs/>
        </w:rPr>
        <w:t>Ezekial</w:t>
      </w:r>
      <w:r w:rsidRPr="00957A75">
        <w:t xml:space="preserve">, </w:t>
      </w:r>
      <w:r w:rsidRPr="00957A75">
        <w:rPr>
          <w:i/>
          <w:iCs/>
        </w:rPr>
        <w:t>supra</w:t>
      </w:r>
      <w:r w:rsidRPr="00957A75">
        <w:t xml:space="preserve">, 20 Cal.3d at p. 272.)  </w:t>
      </w:r>
      <w:r w:rsidR="00AC012E">
        <w:t>For the doctrine to apply, individuals</w:t>
      </w:r>
      <w:r w:rsidRPr="00957A75">
        <w:t xml:space="preserve"> need not show that they would be fully unable to practice their chosen profession absent membership in the organization; they can instead show that “exclusion from membership </w:t>
      </w:r>
      <w:r w:rsidRPr="00604EED">
        <w:rPr>
          <w:szCs w:val="18"/>
        </w:rPr>
        <w:t>. . .</w:t>
      </w:r>
      <w:r w:rsidRPr="00957A75">
        <w:t xml:space="preserve"> deprives [them </w:t>
      </w:r>
      <w:r w:rsidR="00E07BC7">
        <w:t>of</w:t>
      </w:r>
      <w:r w:rsidRPr="00957A75">
        <w:t xml:space="preserve">] substantial . . . educational, financial, and professional advantages.”  </w:t>
      </w:r>
      <w:bookmarkStart w:id="31" w:name="_Hlk137734692"/>
      <w:bookmarkStart w:id="32" w:name="_Hlk138154674"/>
      <w:r w:rsidRPr="00957A75">
        <w:t>(</w:t>
      </w:r>
      <w:r w:rsidRPr="00957A75">
        <w:rPr>
          <w:i/>
          <w:iCs/>
        </w:rPr>
        <w:t>Pinsker v. Pacific Coast Soc</w:t>
      </w:r>
      <w:r w:rsidR="00F65AA2">
        <w:rPr>
          <w:i/>
          <w:iCs/>
        </w:rPr>
        <w:t>.</w:t>
      </w:r>
      <w:r w:rsidRPr="00957A75">
        <w:rPr>
          <w:i/>
          <w:iCs/>
        </w:rPr>
        <w:t xml:space="preserve"> of Orthodontists</w:t>
      </w:r>
      <w:r w:rsidRPr="00957A75">
        <w:t xml:space="preserve"> (1969) 1 Cal.3d 160, </w:t>
      </w:r>
      <w:r w:rsidR="007914A5">
        <w:t>164–</w:t>
      </w:r>
      <w:r w:rsidRPr="00957A75">
        <w:t>165</w:t>
      </w:r>
      <w:r w:rsidR="007914A5">
        <w:t>, italics omitted</w:t>
      </w:r>
      <w:r w:rsidRPr="00957A75">
        <w:t xml:space="preserve"> (</w:t>
      </w:r>
      <w:r w:rsidRPr="00957A75">
        <w:rPr>
          <w:i/>
          <w:iCs/>
        </w:rPr>
        <w:t>Pinsker</w:t>
      </w:r>
      <w:r w:rsidR="00287068">
        <w:rPr>
          <w:i/>
          <w:iCs/>
        </w:rPr>
        <w:t> </w:t>
      </w:r>
      <w:r w:rsidRPr="00957A75">
        <w:rPr>
          <w:i/>
          <w:iCs/>
        </w:rPr>
        <w:t>I</w:t>
      </w:r>
      <w:r w:rsidRPr="00957A75">
        <w:t>).)</w:t>
      </w:r>
      <w:bookmarkEnd w:id="31"/>
      <w:r w:rsidRPr="00957A75">
        <w:t xml:space="preserve"> </w:t>
      </w:r>
      <w:bookmarkEnd w:id="32"/>
    </w:p>
    <w:p w:rsidR="008B6BDA" w:rsidRPr="00957A75" w:rsidP="00604EED" w14:paraId="47C8C110" w14:textId="77777777">
      <w:pPr>
        <w:ind w:firstLine="720"/>
      </w:pPr>
      <w:r w:rsidRPr="00957A75">
        <w:t xml:space="preserve">In </w:t>
      </w:r>
      <w:r w:rsidRPr="00957A75">
        <w:rPr>
          <w:i/>
          <w:iCs/>
        </w:rPr>
        <w:t>Pinsker I</w:t>
      </w:r>
      <w:r w:rsidRPr="00957A75">
        <w:t>, for example, we held that an orthodontics association was subject to the doctrine of fair procedure, explaining that while membership in the association was “not economically necessary in the strict sense of the word,” it was a “practical necessity for a dentist who wishes not only to make a good living as an orthodontist but also to realize maximum potential achievement and recognition in such specialty.”  (</w:t>
      </w:r>
      <w:r w:rsidRPr="00957A75" w:rsidR="00237616">
        <w:rPr>
          <w:i/>
          <w:iCs/>
        </w:rPr>
        <w:t>Pinsker I</w:t>
      </w:r>
      <w:r w:rsidRPr="00957A75" w:rsidR="00237616">
        <w:t xml:space="preserve">, </w:t>
      </w:r>
      <w:r w:rsidRPr="00957A75" w:rsidR="00237616">
        <w:rPr>
          <w:i/>
          <w:iCs/>
        </w:rPr>
        <w:t>supra</w:t>
      </w:r>
      <w:r w:rsidRPr="00957A75" w:rsidR="00237616">
        <w:t>, 1</w:t>
      </w:r>
      <w:r w:rsidR="001C44DB">
        <w:t> </w:t>
      </w:r>
      <w:r w:rsidRPr="00957A75" w:rsidR="00237616">
        <w:t>Cal.3d</w:t>
      </w:r>
      <w:r w:rsidRPr="00957A75">
        <w:t xml:space="preserve"> at p. 166.)  Similarly, in </w:t>
      </w:r>
      <w:r w:rsidRPr="00957A75">
        <w:rPr>
          <w:i/>
          <w:iCs/>
        </w:rPr>
        <w:t>Potvin</w:t>
      </w:r>
      <w:r w:rsidRPr="00957A75">
        <w:t>, we held that an insurer’s removal of a physician from its preferred provider list was subject to the doctrine of fair procedure because “the insurer possesses power so substantial that the removal significantly impairs the ability of an ordinary, competent physician to practice medicine or a medical specialty in a particular geographic area, thereby affecting an important, substantial economic interest.”  (</w:t>
      </w:r>
      <w:r w:rsidRPr="00957A75">
        <w:rPr>
          <w:i/>
          <w:iCs/>
        </w:rPr>
        <w:t>Potvin</w:t>
      </w:r>
      <w:r w:rsidRPr="00957A75">
        <w:t xml:space="preserve">, </w:t>
      </w:r>
      <w:r w:rsidRPr="00957A75">
        <w:rPr>
          <w:i/>
          <w:iCs/>
        </w:rPr>
        <w:t>supra</w:t>
      </w:r>
      <w:r w:rsidRPr="00957A75">
        <w:t>, 22 Cal.4th at p. 1071.)</w:t>
      </w:r>
      <w:r w:rsidRPr="00957A75" w:rsidR="00791B4C">
        <w:t xml:space="preserve">  We also elaborated on our rationale for requiring certain private organizations to apply</w:t>
      </w:r>
      <w:r w:rsidRPr="00957A75" w:rsidR="00151381">
        <w:t xml:space="preserve"> </w:t>
      </w:r>
      <w:r w:rsidRPr="00957A75" w:rsidR="00791B4C">
        <w:t>fair procedure in their membership decisions</w:t>
      </w:r>
      <w:r w:rsidRPr="00957A75" w:rsidR="00237602">
        <w:t xml:space="preserve"> by observing</w:t>
      </w:r>
      <w:r w:rsidRPr="00957A75" w:rsidR="00791B4C">
        <w:t xml:space="preserve"> that </w:t>
      </w:r>
      <w:r w:rsidRPr="00957A75" w:rsidR="00151381">
        <w:t>these</w:t>
      </w:r>
      <w:r w:rsidRPr="00957A75" w:rsidR="00791B4C">
        <w:t xml:space="preserve"> organizations </w:t>
      </w:r>
      <w:r w:rsidRPr="00957A75" w:rsidR="00751B89">
        <w:t>“</w:t>
      </w:r>
      <w:r w:rsidRPr="00957A75" w:rsidR="00791B4C">
        <w:t>affect</w:t>
      </w:r>
      <w:r w:rsidRPr="00957A75" w:rsidR="00751B89">
        <w:t>[]</w:t>
      </w:r>
      <w:r w:rsidRPr="00957A75" w:rsidR="00791B4C">
        <w:t xml:space="preserve"> the public interest</w:t>
      </w:r>
      <w:r w:rsidRPr="00957A75" w:rsidR="00751B89">
        <w:t>”</w:t>
      </w:r>
      <w:r w:rsidRPr="00957A75" w:rsidR="00791B4C">
        <w:t xml:space="preserve"> and “</w:t>
      </w:r>
      <w:r w:rsidRPr="00957A75" w:rsidR="00751B89">
        <w:t> ‘</w:t>
      </w:r>
      <w:r w:rsidRPr="00957A75" w:rsidR="00791B4C">
        <w:t>are viewed by the courts as quasi-public in nature</w:t>
      </w:r>
      <w:r w:rsidR="00BB2D08">
        <w:t>’ </w:t>
      </w:r>
      <w:r w:rsidRPr="00957A75" w:rsidR="008C11CB">
        <w:t>” which “</w:t>
      </w:r>
      <w:r w:rsidR="00BB2D08">
        <w:t> ‘</w:t>
      </w:r>
      <w:r w:rsidRPr="00957A75" w:rsidR="008C11CB">
        <w:t>lead courts to impose</w:t>
      </w:r>
      <w:r w:rsidR="00BB2D08">
        <w:t>’ </w:t>
      </w:r>
      <w:r w:rsidRPr="00957A75" w:rsidR="008C11CB">
        <w:t>” on them certain obligations to the public and the individuals with whom they deal.</w:t>
      </w:r>
      <w:r w:rsidRPr="00957A75" w:rsidR="00791B4C">
        <w:t xml:space="preserve">  (</w:t>
      </w:r>
      <w:r w:rsidRPr="00957A75" w:rsidR="00791B4C">
        <w:rPr>
          <w:i/>
          <w:iCs/>
        </w:rPr>
        <w:t>I</w:t>
      </w:r>
      <w:r w:rsidRPr="00957A75" w:rsidR="00751B89">
        <w:rPr>
          <w:i/>
          <w:iCs/>
        </w:rPr>
        <w:t>d</w:t>
      </w:r>
      <w:r w:rsidRPr="00957A75" w:rsidR="00751B89">
        <w:t>. at p.</w:t>
      </w:r>
      <w:r w:rsidR="00BB2D08">
        <w:t> </w:t>
      </w:r>
      <w:r w:rsidRPr="00957A75" w:rsidR="00751B89">
        <w:t xml:space="preserve">1070.)  </w:t>
      </w:r>
      <w:r w:rsidRPr="00957A75" w:rsidR="008335E4">
        <w:t xml:space="preserve">This rationale applied </w:t>
      </w:r>
      <w:r w:rsidRPr="00957A75" w:rsidR="00E93C0D">
        <w:t xml:space="preserve">to the insurer in </w:t>
      </w:r>
      <w:r w:rsidRPr="00957A75" w:rsidR="00E93C0D">
        <w:rPr>
          <w:i/>
          <w:iCs/>
        </w:rPr>
        <w:t>Potvin</w:t>
      </w:r>
      <w:r w:rsidRPr="00957A75" w:rsidR="00E93C0D">
        <w:t xml:space="preserve"> </w:t>
      </w:r>
      <w:r w:rsidRPr="00957A75" w:rsidR="008335E4">
        <w:t xml:space="preserve">since </w:t>
      </w:r>
      <w:r w:rsidRPr="00957A75" w:rsidR="00751B89">
        <w:t>“ ‘[t]he public has a substantial interest in the relationship between [insurers] and their preferred provider physicians.</w:t>
      </w:r>
      <w:r w:rsidR="00BB2D08">
        <w:t>’ </w:t>
      </w:r>
      <w:r w:rsidRPr="00957A75" w:rsidR="00751B89">
        <w:t>”  (</w:t>
      </w:r>
      <w:r w:rsidRPr="00957A75" w:rsidR="00751B89">
        <w:rPr>
          <w:i/>
          <w:iCs/>
        </w:rPr>
        <w:t>Ibid</w:t>
      </w:r>
      <w:r w:rsidRPr="00957A75" w:rsidR="00751B89">
        <w:t>.)</w:t>
      </w:r>
      <w:r w:rsidRPr="00957A75" w:rsidR="00791B4C">
        <w:t xml:space="preserve">   </w:t>
      </w:r>
    </w:p>
    <w:p w:rsidR="008B6BDA" w:rsidRPr="00957A75" w:rsidP="00604EED" w14:paraId="47C8C111" w14:textId="77777777">
      <w:pPr>
        <w:ind w:firstLine="720"/>
      </w:pPr>
      <w:r w:rsidRPr="00957A75">
        <w:t xml:space="preserve"> </w:t>
      </w:r>
      <w:r w:rsidRPr="00957A75" w:rsidR="00151381">
        <w:t>Most notably, i</w:t>
      </w:r>
      <w:r w:rsidRPr="00957A75">
        <w:t xml:space="preserve">n </w:t>
      </w:r>
      <w:r w:rsidRPr="00957A75">
        <w:rPr>
          <w:i/>
          <w:iCs/>
        </w:rPr>
        <w:t>Ezekial</w:t>
      </w:r>
      <w:r w:rsidRPr="00957A75">
        <w:t xml:space="preserve">, </w:t>
      </w:r>
      <w:bookmarkStart w:id="33" w:name="_Hlk134187383"/>
      <w:r w:rsidRPr="00957A75">
        <w:t>we applied the fair procedure doctrine to prevent an individual’s arbitrary expulsion from a residency program at Kaiser, a private teaching hospital.  (</w:t>
      </w:r>
      <w:r w:rsidRPr="00957A75">
        <w:rPr>
          <w:i/>
          <w:iCs/>
        </w:rPr>
        <w:t>Ezekial</w:t>
      </w:r>
      <w:r w:rsidRPr="00957A75">
        <w:t xml:space="preserve">, </w:t>
      </w:r>
      <w:r w:rsidRPr="00957A75">
        <w:rPr>
          <w:i/>
          <w:iCs/>
        </w:rPr>
        <w:t>supra</w:t>
      </w:r>
      <w:r w:rsidRPr="00957A75">
        <w:t xml:space="preserve">, 20 Cal.3d 267.)  We </w:t>
      </w:r>
      <w:r w:rsidRPr="00957A75" w:rsidR="00237602">
        <w:t xml:space="preserve">found </w:t>
      </w:r>
      <w:r w:rsidRPr="00957A75">
        <w:t xml:space="preserve">that the plaintiff was entitled to fair procedure because, by accepting him into its residency program and later seeking to expel him from that program, “Kaiser has assumed the power to </w:t>
      </w:r>
      <w:r w:rsidR="008C5159">
        <w:t xml:space="preserve">permit or </w:t>
      </w:r>
      <w:r w:rsidRPr="00957A75">
        <w:t>prevent [the plaintiff’s] practice of a surgical specialty and to thwart the enjoyment of the economic and professional benefits flowing therefrom.”  (</w:t>
      </w:r>
      <w:r w:rsidRPr="00957A75">
        <w:rPr>
          <w:i/>
          <w:iCs/>
        </w:rPr>
        <w:t>Id.</w:t>
      </w:r>
      <w:r w:rsidRPr="00957A75">
        <w:t xml:space="preserve"> at p. 274.)  We </w:t>
      </w:r>
      <w:r w:rsidRPr="00957A75" w:rsidR="00D56737">
        <w:t>additionally</w:t>
      </w:r>
      <w:r w:rsidRPr="00957A75">
        <w:t xml:space="preserve"> </w:t>
      </w:r>
      <w:r w:rsidRPr="00957A75" w:rsidR="00D56737">
        <w:t>reasoned</w:t>
      </w:r>
      <w:r w:rsidRPr="00957A75">
        <w:t xml:space="preserve"> that “[d]ismissal from Kaiser will, as a practical matter and because of Kaiser’s close relationship with other teaching hospitals, prevent plaintiff’s acceptance in any other surgical residency program.  Successful completion of an approved surgical residency is a prerequisite to attainment of the status of a ‘board certified general surgeon,’ without which plaintiff cannot practice a surgical specialty in any accredited California hospital.”  (</w:t>
      </w:r>
      <w:r w:rsidRPr="00957A75">
        <w:rPr>
          <w:i/>
          <w:iCs/>
        </w:rPr>
        <w:t>Id.</w:t>
      </w:r>
      <w:r w:rsidRPr="00957A75">
        <w:t xml:space="preserve"> at pp. 270–271.)  </w:t>
      </w:r>
      <w:r w:rsidR="00EF3F7E">
        <w:t>Because</w:t>
      </w:r>
      <w:r w:rsidRPr="00957A75">
        <w:t xml:space="preserve"> “the right to practice a lawful trade or profession is sufficiently ‘fundamental’ to require substantial protection against arbitrary administrative interference,” the doctrine of fair procedure applied. </w:t>
      </w:r>
      <w:bookmarkEnd w:id="33"/>
      <w:r w:rsidRPr="00957A75">
        <w:t xml:space="preserve"> (</w:t>
      </w:r>
      <w:r w:rsidRPr="00957A75">
        <w:rPr>
          <w:i/>
          <w:iCs/>
        </w:rPr>
        <w:t xml:space="preserve">Id. </w:t>
      </w:r>
      <w:r w:rsidRPr="00957A75">
        <w:t xml:space="preserve">at p. 272.) </w:t>
      </w:r>
    </w:p>
    <w:p w:rsidR="008B6BDA" w:rsidRPr="00957A75" w:rsidP="00212D60" w14:paraId="47C8C112" w14:textId="77777777">
      <w:pPr>
        <w:ind w:firstLine="720"/>
      </w:pPr>
      <w:r w:rsidRPr="00957A75">
        <w:t>Unlike in the above cases, this matter does not involve a private entity with</w:t>
      </w:r>
      <w:r w:rsidR="00212D60">
        <w:t xml:space="preserve"> “a virtual monopoly” sufficient to impede an individual’s pursuit of a particular trade or profession.  (</w:t>
      </w:r>
      <w:r w:rsidR="00212D60">
        <w:rPr>
          <w:i/>
          <w:iCs/>
        </w:rPr>
        <w:t>Pinsker</w:t>
      </w:r>
      <w:r w:rsidR="007563A5">
        <w:rPr>
          <w:i/>
          <w:iCs/>
        </w:rPr>
        <w:t xml:space="preserve"> I</w:t>
      </w:r>
      <w:r w:rsidR="00212D60">
        <w:t xml:space="preserve">, </w:t>
      </w:r>
      <w:r w:rsidR="00212D60">
        <w:rPr>
          <w:i/>
          <w:iCs/>
        </w:rPr>
        <w:t>supra</w:t>
      </w:r>
      <w:r w:rsidR="00212D60">
        <w:t>, 1 Cal.3d at p. 166; accord</w:t>
      </w:r>
      <w:r w:rsidR="00DC119C">
        <w:t>,</w:t>
      </w:r>
      <w:r w:rsidR="00212D60">
        <w:t xml:space="preserve"> </w:t>
      </w:r>
      <w:r w:rsidRPr="00957A75" w:rsidR="00212D60">
        <w:rPr>
          <w:i/>
          <w:iCs/>
        </w:rPr>
        <w:t>Potvin</w:t>
      </w:r>
      <w:r w:rsidRPr="00957A75" w:rsidR="00212D60">
        <w:t xml:space="preserve">, </w:t>
      </w:r>
      <w:r w:rsidRPr="00957A75" w:rsidR="00212D60">
        <w:rPr>
          <w:i/>
          <w:iCs/>
        </w:rPr>
        <w:t>supra</w:t>
      </w:r>
      <w:r w:rsidRPr="00957A75" w:rsidR="00212D60">
        <w:t>, 22 Cal.4th at p. 107</w:t>
      </w:r>
      <w:r w:rsidR="00DC119C">
        <w:t>2</w:t>
      </w:r>
      <w:r w:rsidR="00212D60">
        <w:t xml:space="preserve"> [fair procedure applied because “only a handful of health care entities have a virtual monopoly on managed care” and “</w:t>
      </w:r>
      <w:r w:rsidRPr="00212D60" w:rsidR="00212D60">
        <w:t>removing individual physicians from preferred provider networks controlled by these entities could significantly impair those physicians</w:t>
      </w:r>
      <w:r w:rsidR="00212D60">
        <w:t>’</w:t>
      </w:r>
      <w:r w:rsidRPr="00212D60" w:rsidR="00212D60">
        <w:t xml:space="preserve"> practice of medicine</w:t>
      </w:r>
      <w:r w:rsidR="00212D60">
        <w:t>”].)</w:t>
      </w:r>
      <w:r w:rsidR="00DA7356">
        <w:t xml:space="preserve">  Nevertheless</w:t>
      </w:r>
      <w:r w:rsidR="00212D60">
        <w:t>,</w:t>
      </w:r>
      <w:r w:rsidRPr="00957A75">
        <w:t xml:space="preserve"> </w:t>
      </w:r>
      <w:r w:rsidRPr="00957A75" w:rsidR="0003209D">
        <w:t>a private university provides an important, quasi-public service —</w:t>
      </w:r>
      <w:r w:rsidR="00E005DF">
        <w:t xml:space="preserve"> </w:t>
      </w:r>
      <w:r w:rsidRPr="00957A75" w:rsidR="0003209D">
        <w:t>a postsecondary education —</w:t>
      </w:r>
      <w:r w:rsidR="00E005DF">
        <w:t xml:space="preserve"> </w:t>
      </w:r>
      <w:r w:rsidRPr="00957A75" w:rsidR="0003209D">
        <w:t xml:space="preserve">affecting the public interest. </w:t>
      </w:r>
      <w:r w:rsidR="00FE2131">
        <w:t xml:space="preserve"> </w:t>
      </w:r>
      <w:r w:rsidRPr="00957A75" w:rsidR="0003209D">
        <w:t xml:space="preserve">“ ‘[E]ducation is vital and, indeed, basic to civilized society. . . . [I]t is an interest of almost incalculable value, especially to those students who have already enrolled in the institution and begun the pursuit of their college training.’ ”  </w:t>
      </w:r>
      <w:bookmarkStart w:id="34" w:name="_Hlk138161849"/>
      <w:bookmarkStart w:id="35" w:name="_Hlk137734769"/>
      <w:r w:rsidRPr="00957A75" w:rsidR="0003209D">
        <w:t>(</w:t>
      </w:r>
      <w:r w:rsidRPr="00957A75" w:rsidR="0003209D">
        <w:rPr>
          <w:i/>
          <w:iCs/>
        </w:rPr>
        <w:t>Goldberg v. Regents of Univ</w:t>
      </w:r>
      <w:r w:rsidR="0060473B">
        <w:rPr>
          <w:i/>
          <w:iCs/>
        </w:rPr>
        <w:t>ersity</w:t>
      </w:r>
      <w:r w:rsidRPr="00957A75" w:rsidR="0003209D">
        <w:rPr>
          <w:i/>
          <w:iCs/>
        </w:rPr>
        <w:t xml:space="preserve"> of Cal</w:t>
      </w:r>
      <w:r w:rsidR="0060473B">
        <w:rPr>
          <w:i/>
          <w:iCs/>
        </w:rPr>
        <w:t>ifornia</w:t>
      </w:r>
      <w:r w:rsidRPr="00957A75" w:rsidR="0003209D">
        <w:t xml:space="preserve"> (1967) 248 Cal.App.2d 867, 876</w:t>
      </w:r>
      <w:r w:rsidRPr="00957A75" w:rsidR="002C2D0F">
        <w:t xml:space="preserve"> (</w:t>
      </w:r>
      <w:r w:rsidRPr="00957A75" w:rsidR="002C2D0F">
        <w:rPr>
          <w:i/>
          <w:iCs/>
        </w:rPr>
        <w:t>Goldberg</w:t>
      </w:r>
      <w:r w:rsidRPr="00957A75" w:rsidR="002C2D0F">
        <w:t>)</w:t>
      </w:r>
      <w:r w:rsidRPr="00957A75" w:rsidR="0003209D">
        <w:t xml:space="preserve">; </w:t>
      </w:r>
      <w:bookmarkEnd w:id="34"/>
      <w:r w:rsidRPr="00957A75" w:rsidR="0003209D">
        <w:t>accord</w:t>
      </w:r>
      <w:r w:rsidR="0093645A">
        <w:t>,</w:t>
      </w:r>
      <w:r w:rsidRPr="00957A75" w:rsidR="0003209D">
        <w:t xml:space="preserve"> </w:t>
      </w:r>
      <w:r w:rsidRPr="00957A75" w:rsidR="0003209D">
        <w:rPr>
          <w:i/>
          <w:iCs/>
        </w:rPr>
        <w:t>Doe v. Univ</w:t>
      </w:r>
      <w:r w:rsidR="00E874B3">
        <w:rPr>
          <w:i/>
          <w:iCs/>
        </w:rPr>
        <w:t>ersity</w:t>
      </w:r>
      <w:r w:rsidRPr="00957A75" w:rsidR="0003209D">
        <w:rPr>
          <w:i/>
          <w:iCs/>
        </w:rPr>
        <w:t xml:space="preserve"> of Cincinnati</w:t>
      </w:r>
      <w:r w:rsidRPr="00957A75" w:rsidR="0003209D">
        <w:t xml:space="preserve"> (6th Cir. 2017) 872 F.3d 393, 399</w:t>
      </w:r>
      <w:r w:rsidRPr="00957A75" w:rsidR="002C2D0F">
        <w:t xml:space="preserve"> </w:t>
      </w:r>
      <w:bookmarkEnd w:id="35"/>
      <w:r w:rsidRPr="00957A75" w:rsidR="0003209D">
        <w:t>[expulsion from a university “ ‘clearly implicates’ a protected property interest” and may also involve a protected liberty interest].)  M</w:t>
      </w:r>
      <w:r w:rsidRPr="00957A75">
        <w:t xml:space="preserve">uch like in </w:t>
      </w:r>
      <w:r w:rsidRPr="00957A75">
        <w:rPr>
          <w:i/>
          <w:iCs/>
        </w:rPr>
        <w:t>Ezekial</w:t>
      </w:r>
      <w:r w:rsidRPr="00957A75">
        <w:t>, this case involves “an important benefit or privilege</w:t>
      </w:r>
      <w:r w:rsidR="00AC012E">
        <w:t>,</w:t>
      </w:r>
      <w:r w:rsidRPr="00957A75">
        <w:t xml:space="preserve">” </w:t>
      </w:r>
      <w:r w:rsidR="00AC012E">
        <w:t>which</w:t>
      </w:r>
      <w:r w:rsidRPr="00957A75">
        <w:t xml:space="preserve"> was already conferred on Boermeester and which USC took away from him by expelling him.  (</w:t>
      </w:r>
      <w:r w:rsidRPr="00957A75">
        <w:rPr>
          <w:i/>
          <w:iCs/>
        </w:rPr>
        <w:t>Ezekial</w:t>
      </w:r>
      <w:r w:rsidRPr="00957A75">
        <w:t>,</w:t>
      </w:r>
      <w:r w:rsidRPr="00355F84" w:rsidR="00355F84">
        <w:rPr>
          <w:i/>
          <w:iCs/>
        </w:rPr>
        <w:t xml:space="preserve"> </w:t>
      </w:r>
      <w:r w:rsidRPr="00957A75" w:rsidR="00355F84">
        <w:rPr>
          <w:i/>
          <w:iCs/>
        </w:rPr>
        <w:t>supra</w:t>
      </w:r>
      <w:r w:rsidRPr="00957A75" w:rsidR="00355F84">
        <w:t>, 20 Cal.3d</w:t>
      </w:r>
      <w:r w:rsidR="00355F84">
        <w:t xml:space="preserve"> at</w:t>
      </w:r>
      <w:r w:rsidRPr="00957A75">
        <w:t xml:space="preserve"> p. 273.</w:t>
      </w:r>
      <w:r w:rsidRPr="00957A75" w:rsidR="0003209D">
        <w:t>)</w:t>
      </w:r>
      <w:r w:rsidR="00212D60">
        <w:t xml:space="preserve">  </w:t>
      </w:r>
      <w:r w:rsidRPr="00957A75">
        <w:t xml:space="preserve">Given the seriousness of sexual misconduct or intimate partner violence allegations, a student who is expelled from a university for such conduct may find it </w:t>
      </w:r>
      <w:r w:rsidRPr="00957A75" w:rsidR="00EC7AF8">
        <w:t xml:space="preserve">especially </w:t>
      </w:r>
      <w:r w:rsidRPr="00957A75">
        <w:t>difficult — if not impossible — to complete a postsecondary education elsewhere, thwarting the student’s ability to realize “the economic and professional benefits flowing” from a college degree.  (</w:t>
      </w:r>
      <w:r w:rsidRPr="00957A75" w:rsidR="00A67B08">
        <w:rPr>
          <w:i/>
          <w:iCs/>
        </w:rPr>
        <w:t>Id.</w:t>
      </w:r>
      <w:r w:rsidRPr="00957A75">
        <w:t xml:space="preserve"> at p. 274.)</w:t>
      </w:r>
      <w:r>
        <w:rPr>
          <w:rStyle w:val="FootnoteReference"/>
        </w:rPr>
        <w:footnoteReference w:id="7"/>
      </w:r>
      <w:r w:rsidRPr="00957A75">
        <w:t xml:space="preserve">  </w:t>
      </w:r>
      <w:r w:rsidRPr="00957A75" w:rsidR="00A67B08">
        <w:t>For these reasons</w:t>
      </w:r>
      <w:r w:rsidRPr="00957A75">
        <w:t xml:space="preserve">, we find that a student’s interest </w:t>
      </w:r>
      <w:r w:rsidR="000A7E9E">
        <w:t>in completing a postsecondary education at</w:t>
      </w:r>
      <w:r w:rsidRPr="00957A75">
        <w:t xml:space="preserve"> a private university </w:t>
      </w:r>
      <w:r w:rsidR="00E874B3">
        <w:t>is</w:t>
      </w:r>
      <w:r w:rsidRPr="00957A75">
        <w:t xml:space="preserve"> analogous to </w:t>
      </w:r>
      <w:r w:rsidR="000A7E9E">
        <w:t xml:space="preserve">an individual’s interest in continuing membership in a private organization that impacts the individual’s ability to practice his or her chosen profession.  </w:t>
      </w:r>
      <w:r w:rsidRPr="00957A75" w:rsidR="00211DF3">
        <w:t>O</w:t>
      </w:r>
      <w:r w:rsidRPr="00957A75" w:rsidR="0003209D">
        <w:t xml:space="preserve">ur </w:t>
      </w:r>
      <w:r w:rsidRPr="00957A75" w:rsidR="001B60A6">
        <w:t xml:space="preserve">common law doctrine of </w:t>
      </w:r>
      <w:r w:rsidRPr="00957A75">
        <w:t xml:space="preserve">fair procedure </w:t>
      </w:r>
      <w:r w:rsidRPr="00957A75" w:rsidR="00A67B08">
        <w:t xml:space="preserve">therefore </w:t>
      </w:r>
      <w:r w:rsidR="00D96838">
        <w:t>applies</w:t>
      </w:r>
      <w:r w:rsidRPr="00957A75" w:rsidR="0003209D">
        <w:t xml:space="preserve"> in</w:t>
      </w:r>
      <w:r w:rsidRPr="00957A75">
        <w:t xml:space="preserve"> determining whether USC</w:t>
      </w:r>
      <w:r w:rsidRPr="00957A75" w:rsidR="0003209D">
        <w:t xml:space="preserve">’s disciplinary procedures were fair. </w:t>
      </w:r>
      <w:r w:rsidRPr="00957A75">
        <w:t xml:space="preserve"> </w:t>
      </w:r>
      <w:r w:rsidRPr="00957A75" w:rsidR="0003209D">
        <w:t xml:space="preserve"> </w:t>
      </w:r>
    </w:p>
    <w:p w:rsidR="00CC0D3E" w:rsidRPr="00957A75" w:rsidP="00604EED" w14:paraId="47C8C113" w14:textId="77777777">
      <w:pPr>
        <w:ind w:firstLine="720"/>
      </w:pPr>
      <w:r w:rsidRPr="00957A75">
        <w:t xml:space="preserve">Where it applies, </w:t>
      </w:r>
      <w:bookmarkStart w:id="37" w:name="_Hlk134187481"/>
      <w:r w:rsidRPr="00957A75" w:rsidR="001B60A6">
        <w:t xml:space="preserve">the common law doctrine of </w:t>
      </w:r>
      <w:r w:rsidRPr="00957A75">
        <w:t xml:space="preserve">fair procedure requires private organizations to provide adequate notice of the charges and a meaningful opportunity to be heard.  </w:t>
      </w:r>
      <w:bookmarkEnd w:id="37"/>
      <w:r w:rsidRPr="00957A75">
        <w:t>(</w:t>
      </w:r>
      <w:r w:rsidRPr="00957A75">
        <w:rPr>
          <w:i/>
          <w:iCs/>
        </w:rPr>
        <w:t>Pinsker II</w:t>
      </w:r>
      <w:r w:rsidRPr="00957A75">
        <w:t xml:space="preserve">, </w:t>
      </w:r>
      <w:r w:rsidRPr="00957A75">
        <w:rPr>
          <w:i/>
          <w:iCs/>
        </w:rPr>
        <w:t>supra</w:t>
      </w:r>
      <w:r w:rsidRPr="00957A75">
        <w:t xml:space="preserve">, 12 Cal.3d at pp. 555–556; </w:t>
      </w:r>
      <w:r w:rsidRPr="00957A75">
        <w:rPr>
          <w:i/>
          <w:iCs/>
        </w:rPr>
        <w:t>Ezekial</w:t>
      </w:r>
      <w:r w:rsidRPr="00957A75">
        <w:t xml:space="preserve">, </w:t>
      </w:r>
      <w:r w:rsidRPr="00957A75">
        <w:rPr>
          <w:i/>
          <w:iCs/>
        </w:rPr>
        <w:t>supra</w:t>
      </w:r>
      <w:r w:rsidRPr="00957A75">
        <w:t xml:space="preserve">, 20 Cal.3d at p. 278.)  We have never held, however, that any specific or baseline procedures must be followed to satisfy these requirements.  Boermeester points to </w:t>
      </w:r>
      <w:bookmarkStart w:id="38" w:name="_Hlk134187805"/>
      <w:r w:rsidRPr="00957A75">
        <w:rPr>
          <w:i/>
          <w:iCs/>
        </w:rPr>
        <w:t>Cason</w:t>
      </w:r>
      <w:r w:rsidR="00D14AFD">
        <w:t xml:space="preserve">, </w:t>
      </w:r>
      <w:r w:rsidRPr="00D14AFD" w:rsidR="00D14AFD">
        <w:rPr>
          <w:i/>
          <w:iCs/>
        </w:rPr>
        <w:t>supra</w:t>
      </w:r>
      <w:r w:rsidR="00D14AFD">
        <w:t xml:space="preserve">, </w:t>
      </w:r>
      <w:r w:rsidRPr="00957A75">
        <w:t>37 Cal.2d 134</w:t>
      </w:r>
      <w:bookmarkEnd w:id="38"/>
      <w:r w:rsidRPr="00957A75">
        <w:t xml:space="preserve">, where we observed in dicta </w:t>
      </w:r>
      <w:bookmarkStart w:id="39" w:name="_Hlk134187906"/>
      <w:r w:rsidRPr="00957A75">
        <w:t>that a “fair trial</w:t>
      </w:r>
      <w:r w:rsidR="00574733">
        <w:t>”</w:t>
      </w:r>
      <w:r w:rsidRPr="00957A75">
        <w:t xml:space="preserve"> </w:t>
      </w:r>
      <w:r w:rsidR="00574733">
        <w:t>“</w:t>
      </w:r>
      <w:r w:rsidRPr="00957A75">
        <w:t>includes the right . . . to confront and cross-examine the accusers” (</w:t>
      </w:r>
      <w:r w:rsidRPr="00957A75">
        <w:rPr>
          <w:i/>
          <w:iCs/>
        </w:rPr>
        <w:t xml:space="preserve">id. </w:t>
      </w:r>
      <w:r w:rsidRPr="00957A75">
        <w:t>at pp.</w:t>
      </w:r>
      <w:r w:rsidR="00317360">
        <w:t> </w:t>
      </w:r>
      <w:r w:rsidRPr="00957A75">
        <w:t>143</w:t>
      </w:r>
      <w:r w:rsidR="00574733">
        <w:t xml:space="preserve">, </w:t>
      </w:r>
      <w:r w:rsidRPr="00957A75">
        <w:t>144)</w:t>
      </w:r>
      <w:bookmarkEnd w:id="39"/>
      <w:r w:rsidRPr="00957A75">
        <w:t xml:space="preserve">, </w:t>
      </w:r>
      <w:bookmarkStart w:id="40" w:name="_Hlk134187880"/>
      <w:r w:rsidRPr="00957A75">
        <w:t xml:space="preserve">but we did not hold in </w:t>
      </w:r>
      <w:r w:rsidRPr="00957A75">
        <w:rPr>
          <w:i/>
          <w:iCs/>
        </w:rPr>
        <w:t xml:space="preserve">Cason </w:t>
      </w:r>
      <w:r w:rsidRPr="00957A75">
        <w:t>that the plaintiff was denied a fair procedure on that ground.  Instead, we held that the plaintiff was denied a fair procedure because he was not permitted to hear or review the accuser’s testimony or to refute that testimony, nor was he allowed to examine the written evidence submitted against him.</w:t>
      </w:r>
      <w:bookmarkEnd w:id="40"/>
      <w:r w:rsidRPr="00957A75">
        <w:t xml:space="preserve">  (</w:t>
      </w:r>
      <w:r w:rsidRPr="00957A75">
        <w:rPr>
          <w:i/>
          <w:iCs/>
        </w:rPr>
        <w:t>Id</w:t>
      </w:r>
      <w:r w:rsidRPr="00957A75">
        <w:t>. at pp. 144–145.)  Moreover, we have since note</w:t>
      </w:r>
      <w:r w:rsidR="00937358">
        <w:t>d</w:t>
      </w:r>
      <w:r w:rsidRPr="00957A75">
        <w:t xml:space="preserve"> that </w:t>
      </w:r>
      <w:r w:rsidRPr="00957A75" w:rsidR="00901589">
        <w:t>“[t]he common law requirement of a fair procedure does not compel formal proceedings with all the embellishments of a court trial [citation]</w:t>
      </w:r>
      <w:r w:rsidR="003A6689">
        <w:t>,</w:t>
      </w:r>
      <w:r w:rsidRPr="00957A75" w:rsidR="00901589">
        <w:t xml:space="preserve"> nor adherence to a single mode of process.  It may be satisfied by any one of a variety of procedures which afford a fair opportunity for an applicant to present his position.”  (</w:t>
      </w:r>
      <w:r w:rsidRPr="00957A75" w:rsidR="00901589">
        <w:rPr>
          <w:i/>
          <w:iCs/>
        </w:rPr>
        <w:t>Pinsker II</w:t>
      </w:r>
      <w:r w:rsidRPr="00957A75" w:rsidR="00901589">
        <w:t xml:space="preserve">, at p. 555.)  </w:t>
      </w:r>
      <w:r w:rsidRPr="00957A75">
        <w:t xml:space="preserve">In fact, we have observed </w:t>
      </w:r>
      <w:bookmarkStart w:id="41" w:name="_Hlk134196299"/>
      <w:r w:rsidRPr="00957A75">
        <w:t xml:space="preserve">that a formal hearing is not required in all </w:t>
      </w:r>
      <w:r w:rsidRPr="00957A75" w:rsidR="005679CA">
        <w:t>circumstances;</w:t>
      </w:r>
      <w:r w:rsidRPr="00957A75">
        <w:t xml:space="preserve"> at times, it may be sufficient for a private organization to allow only a written response to the charges.  </w:t>
      </w:r>
      <w:bookmarkEnd w:id="41"/>
      <w:r w:rsidRPr="00957A75">
        <w:t>(</w:t>
      </w:r>
      <w:r w:rsidRPr="00957A75">
        <w:rPr>
          <w:i/>
          <w:iCs/>
        </w:rPr>
        <w:t>Ezekial</w:t>
      </w:r>
      <w:r w:rsidRPr="00957A75">
        <w:t>, at p. 279.)  We have further emphasized that, given “the practical limitations on the ability of private institutions to provide for the full airing of disputed factual issues” (</w:t>
      </w:r>
      <w:r w:rsidRPr="00957A75">
        <w:rPr>
          <w:i/>
          <w:iCs/>
        </w:rPr>
        <w:t>id.</w:t>
      </w:r>
      <w:r w:rsidRPr="00957A75">
        <w:t xml:space="preserve"> at p. 278), </w:t>
      </w:r>
      <w:bookmarkStart w:id="42" w:name="_Hlk134193597"/>
      <w:r w:rsidRPr="00957A75">
        <w:t>courts “should not attempt to fix a rigid procedure that must invariably be observed.  Instead, the associations themselves should retain the initial and primary responsibility for devising a method which provides an applicant adequate notice of the ‘charges’ against him [or her] and a reasonable opportunity to respond” (</w:t>
      </w:r>
      <w:r w:rsidRPr="00957A75">
        <w:rPr>
          <w:i/>
          <w:iCs/>
        </w:rPr>
        <w:t>Pinsker II</w:t>
      </w:r>
      <w:r w:rsidRPr="00957A75">
        <w:t>,</w:t>
      </w:r>
      <w:r w:rsidRPr="00957A75">
        <w:rPr>
          <w:i/>
          <w:iCs/>
        </w:rPr>
        <w:t xml:space="preserve"> </w:t>
      </w:r>
      <w:r w:rsidRPr="00957A75">
        <w:t>at p. 555).</w:t>
      </w:r>
      <w:bookmarkEnd w:id="42"/>
      <w:r w:rsidRPr="00957A75" w:rsidR="00901589">
        <w:t xml:space="preserve">  </w:t>
      </w:r>
    </w:p>
    <w:p w:rsidR="008B6BDA" w:rsidRPr="00957A75" w:rsidP="00604EED" w14:paraId="47C8C114" w14:textId="77777777">
      <w:pPr>
        <w:ind w:firstLine="720"/>
      </w:pPr>
      <w:r w:rsidRPr="00957A75">
        <w:t xml:space="preserve">In short, though </w:t>
      </w:r>
      <w:r w:rsidRPr="00957A75" w:rsidR="001B60A6">
        <w:t>the</w:t>
      </w:r>
      <w:r w:rsidRPr="00957A75">
        <w:t xml:space="preserve"> fair procedure</w:t>
      </w:r>
      <w:r w:rsidRPr="00957A75" w:rsidR="001B60A6">
        <w:t xml:space="preserve"> doctrine</w:t>
      </w:r>
      <w:r w:rsidRPr="00957A75">
        <w:t xml:space="preserve"> requires adequate notice of the charges and a reasonable opportunity to respond, applying </w:t>
      </w:r>
      <w:r w:rsidRPr="00957A75" w:rsidR="001B60A6">
        <w:t xml:space="preserve">the doctrine </w:t>
      </w:r>
      <w:r w:rsidRPr="00957A75">
        <w:t xml:space="preserve">to this context requires us to </w:t>
      </w:r>
      <w:r w:rsidRPr="00957A75" w:rsidR="00FA4074">
        <w:t>give</w:t>
      </w:r>
      <w:r w:rsidRPr="00957A75">
        <w:t xml:space="preserve"> </w:t>
      </w:r>
      <w:r w:rsidRPr="00957A75" w:rsidR="00901589">
        <w:t>private</w:t>
      </w:r>
      <w:r w:rsidRPr="00957A75" w:rsidR="00892049">
        <w:t xml:space="preserve"> universities primary responsibility for </w:t>
      </w:r>
      <w:r w:rsidRPr="00957A75">
        <w:t xml:space="preserve">crafting the precise procedures meant to afford a student with notice and an opportunity to respond.  </w:t>
      </w:r>
      <w:r w:rsidRPr="00957A75" w:rsidR="00A20945">
        <w:t>(</w:t>
      </w:r>
      <w:r w:rsidRPr="00957A75" w:rsidR="00A20945">
        <w:rPr>
          <w:i/>
          <w:iCs/>
        </w:rPr>
        <w:t>Pinsker II</w:t>
      </w:r>
      <w:r w:rsidRPr="00957A75" w:rsidR="00A20945">
        <w:t xml:space="preserve">, </w:t>
      </w:r>
      <w:r w:rsidRPr="00957A75" w:rsidR="00A20945">
        <w:rPr>
          <w:i/>
          <w:iCs/>
        </w:rPr>
        <w:t>supra</w:t>
      </w:r>
      <w:r w:rsidRPr="00957A75" w:rsidR="00A20945">
        <w:t xml:space="preserve">, 12 Cal.3d at p. 555.)  </w:t>
      </w:r>
      <w:r w:rsidR="00323F4D">
        <w:t>Private u</w:t>
      </w:r>
      <w:r w:rsidRPr="00957A75">
        <w:t>niversities generally know best how to manage their own operations, and requiring a fixed set of procedures they must utilize in every situation when determining student discipline would constitute an improper “ ‘intrusion into the[ir] internal affairs.’ ”  (</w:t>
      </w:r>
      <w:r w:rsidRPr="00957A75" w:rsidR="00892049">
        <w:rPr>
          <w:i/>
          <w:iCs/>
        </w:rPr>
        <w:t>Id.</w:t>
      </w:r>
      <w:r w:rsidRPr="00957A75">
        <w:t xml:space="preserve"> at p. 557; accord</w:t>
      </w:r>
      <w:r w:rsidR="0093645A">
        <w:t>,</w:t>
      </w:r>
      <w:r w:rsidRPr="00957A75">
        <w:t xml:space="preserve"> </w:t>
      </w:r>
      <w:r w:rsidRPr="00957A75">
        <w:rPr>
          <w:i/>
          <w:iCs/>
        </w:rPr>
        <w:t>Ezekial</w:t>
      </w:r>
      <w:r w:rsidRPr="00957A75">
        <w:t xml:space="preserve">, </w:t>
      </w:r>
      <w:r w:rsidRPr="00957A75">
        <w:rPr>
          <w:i/>
          <w:iCs/>
        </w:rPr>
        <w:t>supra</w:t>
      </w:r>
      <w:r w:rsidRPr="00957A75">
        <w:t>, 20 Cal.3d at pp. 278–279.)</w:t>
      </w:r>
      <w:r w:rsidRPr="00957A75">
        <w:rPr>
          <w:i/>
          <w:iCs/>
        </w:rPr>
        <w:t xml:space="preserve"> </w:t>
      </w:r>
    </w:p>
    <w:p w:rsidR="00D844CA" w:rsidRPr="00957A75" w:rsidP="00050592" w14:paraId="47C8C115" w14:textId="77777777">
      <w:pPr>
        <w:pStyle w:val="Heading2"/>
        <w:numPr>
          <w:ilvl w:val="0"/>
          <w:numId w:val="5"/>
        </w:numPr>
        <w:contextualSpacing/>
      </w:pPr>
      <w:r w:rsidRPr="00957A75">
        <w:t>Recent Legislation</w:t>
      </w:r>
    </w:p>
    <w:p w:rsidR="008A4DB8" w:rsidRPr="00957A75" w:rsidP="00050592" w14:paraId="47C8C116" w14:textId="77777777">
      <w:pPr>
        <w:ind w:firstLine="720"/>
      </w:pPr>
      <w:r w:rsidRPr="00957A75">
        <w:t xml:space="preserve">The Legislature recently enacted legislation setting forth the precise procedures it felt were necessary to ensure fairness </w:t>
      </w:r>
      <w:r w:rsidRPr="00621189">
        <w:t>to both the accused</w:t>
      </w:r>
      <w:r w:rsidRPr="00957A75">
        <w:t xml:space="preserve"> student and the accuser and to combat sexual violence on university campuses.  Senate Bill No. 493 </w:t>
      </w:r>
      <w:r w:rsidR="00C61298">
        <w:t>(</w:t>
      </w:r>
      <w:r w:rsidRPr="000B1431" w:rsidR="00C61298">
        <w:rPr>
          <w:szCs w:val="26"/>
        </w:rPr>
        <w:t>201</w:t>
      </w:r>
      <w:r w:rsidR="00C61298">
        <w:rPr>
          <w:szCs w:val="26"/>
        </w:rPr>
        <w:t>9</w:t>
      </w:r>
      <w:r w:rsidRPr="000B1431" w:rsidR="00C61298">
        <w:rPr>
          <w:szCs w:val="26"/>
        </w:rPr>
        <w:t>–20</w:t>
      </w:r>
      <w:r w:rsidR="00C61298">
        <w:rPr>
          <w:szCs w:val="26"/>
        </w:rPr>
        <w:t>20</w:t>
      </w:r>
      <w:r w:rsidRPr="000B1431" w:rsidR="00C61298">
        <w:rPr>
          <w:szCs w:val="26"/>
        </w:rPr>
        <w:t xml:space="preserve"> Reg. Sess.) </w:t>
      </w:r>
      <w:r w:rsidRPr="00957A75">
        <w:t>(S</w:t>
      </w:r>
      <w:r w:rsidR="00C61298">
        <w:t xml:space="preserve">enate </w:t>
      </w:r>
      <w:r w:rsidRPr="00957A75">
        <w:t>B</w:t>
      </w:r>
      <w:r w:rsidR="00C61298">
        <w:t>ill</w:t>
      </w:r>
      <w:r w:rsidRPr="00957A75">
        <w:t xml:space="preserve"> 493), which became effective on January 1, 2021</w:t>
      </w:r>
      <w:r w:rsidR="00C61298">
        <w:t xml:space="preserve"> (</w:t>
      </w:r>
      <w:r w:rsidRPr="00C61298" w:rsidR="00C61298">
        <w:t>Stats. 2020, ch. 303)</w:t>
      </w:r>
      <w:r w:rsidRPr="00957A75">
        <w:t>, applies to public or private universities that receive state financial assistance and are not exempt from the statute.  (Ed. Code, §</w:t>
      </w:r>
      <w:r w:rsidR="00252999">
        <w:t> </w:t>
      </w:r>
      <w:r w:rsidRPr="00957A75">
        <w:t xml:space="preserve">66281.8, subd. (a)(1); </w:t>
      </w:r>
      <w:r w:rsidRPr="00957A75">
        <w:rPr>
          <w:i/>
          <w:iCs/>
        </w:rPr>
        <w:t>id</w:t>
      </w:r>
      <w:r w:rsidRPr="00957A75">
        <w:t xml:space="preserve">., § 66271.)  It specifies the procedures universities must implement on and after its effective date to address incidents of sexual violence.  (See generally </w:t>
      </w:r>
      <w:r w:rsidRPr="00957A75">
        <w:rPr>
          <w:i/>
          <w:iCs/>
        </w:rPr>
        <w:t>id</w:t>
      </w:r>
      <w:r w:rsidRPr="00957A75">
        <w:t>., § 66281.8.)  S</w:t>
      </w:r>
      <w:r w:rsidR="00C61298">
        <w:t xml:space="preserve">enate </w:t>
      </w:r>
      <w:r w:rsidRPr="00957A75">
        <w:t>B</w:t>
      </w:r>
      <w:r w:rsidR="00C61298">
        <w:t>ill</w:t>
      </w:r>
      <w:r w:rsidRPr="00957A75">
        <w:t xml:space="preserve"> 493 does not apply here since the incident itself and USC’s subsequent investigation of the incident occurred prior to S</w:t>
      </w:r>
      <w:r w:rsidR="00C61298">
        <w:t xml:space="preserve">enate </w:t>
      </w:r>
      <w:r w:rsidRPr="00957A75">
        <w:t>B</w:t>
      </w:r>
      <w:r w:rsidR="00C61298">
        <w:t>ill</w:t>
      </w:r>
      <w:r w:rsidRPr="00957A75">
        <w:t xml:space="preserve"> 493’s effective date.  We nevertheless find it </w:t>
      </w:r>
      <w:r w:rsidRPr="00957A75" w:rsidR="00FC500F">
        <w:t>noteworthy</w:t>
      </w:r>
      <w:r w:rsidRPr="00957A75" w:rsidR="005E7D94">
        <w:t xml:space="preserve"> </w:t>
      </w:r>
      <w:r w:rsidRPr="00957A75">
        <w:t xml:space="preserve">that the statute does not require universities to conduct live hearings featuring cross-examination of the accuser and other witnesses.  (Cf. </w:t>
      </w:r>
      <w:bookmarkStart w:id="43" w:name="_Hlk137734846"/>
      <w:r w:rsidRPr="00957A75">
        <w:rPr>
          <w:i/>
          <w:iCs/>
        </w:rPr>
        <w:t>Nightlife Partners, Ltd. v. City of Beverly Hills</w:t>
      </w:r>
      <w:r w:rsidRPr="00957A75">
        <w:t xml:space="preserve"> (2003) 108 Cal.App.4th 81, 91 </w:t>
      </w:r>
      <w:bookmarkEnd w:id="43"/>
      <w:r w:rsidRPr="00957A75">
        <w:t xml:space="preserve">[the Administrative Procedure Act </w:t>
      </w:r>
      <w:r w:rsidRPr="00785108" w:rsidR="00785108">
        <w:t xml:space="preserve">(Gov. Code, § 11340 et seq.) </w:t>
      </w:r>
      <w:r w:rsidRPr="00957A75">
        <w:t xml:space="preserve">was inapplicable but was </w:t>
      </w:r>
      <w:r w:rsidRPr="00957A75" w:rsidR="00C278CC">
        <w:t xml:space="preserve">nonetheless </w:t>
      </w:r>
      <w:r w:rsidRPr="00957A75">
        <w:t xml:space="preserve">“helpful as indicating what the Legislature believes are the elements of a fair and carefully thought out system of procedure for use in administrative hearings”].)   </w:t>
      </w:r>
      <w:bookmarkStart w:id="44" w:name="_Hlk126883547"/>
    </w:p>
    <w:p w:rsidR="00D844CA" w:rsidRPr="00957A75" w:rsidP="00050592" w14:paraId="47C8C117" w14:textId="77777777">
      <w:pPr>
        <w:ind w:firstLine="720"/>
      </w:pPr>
      <w:r w:rsidRPr="00957A75">
        <w:t>S</w:t>
      </w:r>
      <w:r w:rsidR="00C61298">
        <w:t xml:space="preserve">enate </w:t>
      </w:r>
      <w:r w:rsidRPr="00957A75">
        <w:t>B</w:t>
      </w:r>
      <w:r w:rsidR="00C61298">
        <w:t>ill</w:t>
      </w:r>
      <w:r w:rsidRPr="00957A75">
        <w:t xml:space="preserve"> 493 is intended “to account for the significant individual civil consequences faced by respondents alleged to have committed sexual violence as well as the significant harm to individual complainants and to education equity more generally if sexual violence goes unaddressed.”  </w:t>
      </w:r>
      <w:bookmarkStart w:id="45" w:name="_Hlk137734869"/>
      <w:r w:rsidRPr="00957A75">
        <w:t>(Stats. 2020, ch. 303, § 1, subd. (n).)</w:t>
      </w:r>
      <w:bookmarkEnd w:id="44"/>
      <w:r w:rsidRPr="00957A75">
        <w:t xml:space="preserve">  </w:t>
      </w:r>
      <w:bookmarkEnd w:id="45"/>
      <w:r w:rsidRPr="00957A75">
        <w:t xml:space="preserve">As relevant here, it gives universities the discretion to decide whether “a hearing is necessary to determine whether any sexual violence more likely than not occurred.”  </w:t>
      </w:r>
      <w:bookmarkStart w:id="46" w:name="_Hlk137734882"/>
      <w:r w:rsidRPr="00957A75">
        <w:t>(Ed. Code, § 66281.8, subd. (b)(4)(A)(viii)</w:t>
      </w:r>
      <w:r w:rsidR="009A4E26">
        <w:t xml:space="preserve">, added by Stats. 2020, ch. 303, </w:t>
      </w:r>
      <w:r w:rsidRPr="00957A75" w:rsidR="009A4E26">
        <w:t>§</w:t>
      </w:r>
      <w:r w:rsidR="009A4E26">
        <w:t xml:space="preserve"> 3</w:t>
      </w:r>
      <w:r w:rsidRPr="00957A75">
        <w:t xml:space="preserve">.)  </w:t>
      </w:r>
      <w:bookmarkEnd w:id="46"/>
      <w:r w:rsidRPr="00957A75">
        <w:t xml:space="preserve">It also </w:t>
      </w:r>
      <w:r w:rsidR="00252999">
        <w:t>instructs</w:t>
      </w:r>
      <w:r w:rsidRPr="00957A75">
        <w:t xml:space="preserve"> universities to consider, “[i]n making this decision, . . . whether the parties elected to participate in the investigation and whether each party had the opportunity to suggest questions to be asked of the other party or witnesses, or both, during the investigation.”  (</w:t>
      </w:r>
      <w:r w:rsidRPr="00957A75">
        <w:rPr>
          <w:i/>
          <w:iCs/>
        </w:rPr>
        <w:t>Ibid</w:t>
      </w:r>
      <w:r w:rsidRPr="00957A75">
        <w:t xml:space="preserve">.)  Thus, universities are left to determine </w:t>
      </w:r>
      <w:r w:rsidRPr="00957A75" w:rsidR="00EF776A">
        <w:t xml:space="preserve">for themselves </w:t>
      </w:r>
      <w:r w:rsidRPr="00957A75">
        <w:t>whether to conduct a hearing</w:t>
      </w:r>
      <w:r w:rsidR="00252999">
        <w:t>, how to format it, and what rules govern it.</w:t>
      </w:r>
      <w:r w:rsidRPr="00957A75">
        <w:t xml:space="preserve"> </w:t>
      </w:r>
      <w:r w:rsidR="00252999">
        <w:t xml:space="preserve"> </w:t>
      </w:r>
      <w:r w:rsidRPr="00957A75">
        <w:t xml:space="preserve">  </w:t>
      </w:r>
    </w:p>
    <w:p w:rsidR="00D844CA" w:rsidRPr="00957A75" w:rsidP="00050592" w14:paraId="47C8C118" w14:textId="77777777">
      <w:pPr>
        <w:ind w:firstLine="720"/>
      </w:pPr>
      <w:r w:rsidRPr="00957A75">
        <w:t>S</w:t>
      </w:r>
      <w:r w:rsidR="00C61298">
        <w:t xml:space="preserve">enate </w:t>
      </w:r>
      <w:r w:rsidRPr="00957A75">
        <w:t>B</w:t>
      </w:r>
      <w:r w:rsidR="00C61298">
        <w:t>ill</w:t>
      </w:r>
      <w:r w:rsidRPr="00957A75">
        <w:t xml:space="preserve"> 493 expressly provides that universities need not comply with any </w:t>
      </w:r>
      <w:r w:rsidR="00094A27">
        <w:t xml:space="preserve">of its </w:t>
      </w:r>
      <w:r w:rsidRPr="00957A75">
        <w:t>provision</w:t>
      </w:r>
      <w:r w:rsidR="00094A27">
        <w:t>s</w:t>
      </w:r>
      <w:r w:rsidRPr="00957A75">
        <w:t xml:space="preserve"> that conflict with federal law</w:t>
      </w:r>
      <w:r w:rsidR="00BF4B91">
        <w:t xml:space="preserve">. </w:t>
      </w:r>
      <w:r w:rsidRPr="00957A75">
        <w:t xml:space="preserve"> (Ed. Code, § 66281.8, subd. (f)</w:t>
      </w:r>
      <w:r w:rsidR="00BF4B91">
        <w:t>.</w:t>
      </w:r>
      <w:r w:rsidRPr="00957A75">
        <w:t>)</w:t>
      </w:r>
      <w:r w:rsidR="00BF4B91">
        <w:t xml:space="preserve">  F</w:t>
      </w:r>
      <w:r w:rsidRPr="00957A75">
        <w:t>ederal law in this area is still evolving.  After the OCR rescinded its 2011 “Dear Colleague” letter in 2017, it began a rulemaking process culminating in Title IX regulations that went into effect on August 14, 2020</w:t>
      </w:r>
      <w:r w:rsidR="008031E6">
        <w:t>, three years after Boermeester’s expulsion from USC</w:t>
      </w:r>
      <w:r w:rsidRPr="00957A75">
        <w:t>.</w:t>
      </w:r>
      <w:r w:rsidR="008031E6">
        <w:t xml:space="preserve">  Though the 2020 Title IX regulations are inapplicable here, it is worth observing that the Title IX regulations may be trending </w:t>
      </w:r>
      <w:r w:rsidR="00813423">
        <w:t>toward</w:t>
      </w:r>
      <w:r w:rsidR="008A34BF">
        <w:t>s</w:t>
      </w:r>
      <w:r w:rsidR="00813423">
        <w:t xml:space="preserve"> </w:t>
      </w:r>
      <w:r w:rsidR="00DA7356">
        <w:t>providing private universities with more flexibility in determining whether to conduct a live hearing.</w:t>
      </w:r>
      <w:r w:rsidR="009C3BB8">
        <w:t xml:space="preserve">  </w:t>
      </w:r>
      <w:r w:rsidR="008031E6">
        <w:t>To explain,</w:t>
      </w:r>
      <w:r w:rsidRPr="00957A75">
        <w:t xml:space="preserve"> </w:t>
      </w:r>
      <w:r w:rsidR="008031E6">
        <w:t>t</w:t>
      </w:r>
      <w:r w:rsidRPr="00957A75">
        <w:t xml:space="preserve">he 2020 </w:t>
      </w:r>
      <w:r w:rsidR="00BF4B91">
        <w:t xml:space="preserve">Title IX </w:t>
      </w:r>
      <w:r w:rsidRPr="00957A75">
        <w:t xml:space="preserve">regulations require universities receiving federal funds to “provide for a live hearing” that allows “each party’s advisor to ask the other party and any witnesses all relevant questions and follow-up questions, including those challenging credibility,” which “must be conducted directly, orally, and in real time.”  </w:t>
      </w:r>
      <w:bookmarkStart w:id="47" w:name="_Hlk137734915"/>
      <w:r w:rsidRPr="00957A75">
        <w:t>(34 C.F.R. §</w:t>
      </w:r>
      <w:r w:rsidR="00FE66E3">
        <w:t> </w:t>
      </w:r>
      <w:r w:rsidRPr="00957A75">
        <w:t>106.45(b)(6)(i)</w:t>
      </w:r>
      <w:r w:rsidR="00C61298">
        <w:t xml:space="preserve"> (</w:t>
      </w:r>
      <w:r w:rsidR="00FE66E3">
        <w:t>2023</w:t>
      </w:r>
      <w:r w:rsidR="00C61298">
        <w:t>)</w:t>
      </w:r>
      <w:r w:rsidRPr="00957A75">
        <w:t xml:space="preserve">.)  </w:t>
      </w:r>
      <w:bookmarkEnd w:id="47"/>
      <w:r w:rsidRPr="00957A75">
        <w:t xml:space="preserve">In June 2022, however, the OCR proposed amendments to the 2020 regulations, which are not yet final.  The proposed amendments provide that universities may opt </w:t>
      </w:r>
      <w:r w:rsidRPr="007E2E4E">
        <w:t>“to conduct live hearings with cross-examination or have the parties meet separately with the decisionmaker and answer questions submitted by the other party when a credibility assessment is necessary</w:t>
      </w:r>
      <w:r w:rsidRPr="00957A75">
        <w:t>.”  (</w:t>
      </w:r>
      <w:bookmarkStart w:id="48" w:name="_Hlk137734926"/>
      <w:r w:rsidRPr="00957A75">
        <w:t>87 Fed. Reg. 41390, 41397</w:t>
      </w:r>
      <w:r w:rsidR="00C61298">
        <w:t xml:space="preserve"> (</w:t>
      </w:r>
      <w:r w:rsidR="007E2E4E">
        <w:t>July 12, 2022</w:t>
      </w:r>
      <w:r w:rsidR="00C61298">
        <w:t>)</w:t>
      </w:r>
      <w:r w:rsidRPr="00957A75">
        <w:t>.)</w:t>
      </w:r>
      <w:bookmarkEnd w:id="48"/>
      <w:r w:rsidRPr="00957A75">
        <w:t xml:space="preserve">  </w:t>
      </w:r>
      <w:r w:rsidR="008031E6">
        <w:t>A</w:t>
      </w:r>
      <w:r w:rsidRPr="00957A75" w:rsidR="008C0DD3">
        <w:t xml:space="preserve">fter </w:t>
      </w:r>
      <w:r w:rsidRPr="00957A75">
        <w:t>reexamin</w:t>
      </w:r>
      <w:r w:rsidRPr="00957A75" w:rsidR="008C0DD3">
        <w:t>ing</w:t>
      </w:r>
      <w:r w:rsidRPr="00957A75">
        <w:t xml:space="preserve"> its position and evaluat</w:t>
      </w:r>
      <w:r w:rsidRPr="00957A75" w:rsidR="008C0DD3">
        <w:t>ing</w:t>
      </w:r>
      <w:r w:rsidRPr="00957A75">
        <w:t xml:space="preserve"> relevant case law, </w:t>
      </w:r>
      <w:r w:rsidR="008031E6">
        <w:t xml:space="preserve">the OCR </w:t>
      </w:r>
      <w:r w:rsidRPr="00957A75">
        <w:t xml:space="preserve">determined that “neither Title IX nor due process and fundamental fairness” </w:t>
      </w:r>
      <w:bookmarkStart w:id="49" w:name="_Hlk137734945"/>
      <w:r w:rsidRPr="00957A75">
        <w:t>(87 Fed. Reg.</w:t>
      </w:r>
      <w:r w:rsidR="00C61298">
        <w:t xml:space="preserve">, </w:t>
      </w:r>
      <w:r w:rsidR="00C61298">
        <w:rPr>
          <w:i/>
          <w:iCs/>
        </w:rPr>
        <w:t>supra</w:t>
      </w:r>
      <w:r w:rsidR="00C61298">
        <w:t>,</w:t>
      </w:r>
      <w:r w:rsidRPr="00957A75">
        <w:t xml:space="preserve"> </w:t>
      </w:r>
      <w:r w:rsidR="00C61298">
        <w:t xml:space="preserve">at p. </w:t>
      </w:r>
      <w:r w:rsidRPr="00957A75">
        <w:t xml:space="preserve"> 41505) </w:t>
      </w:r>
      <w:bookmarkEnd w:id="49"/>
      <w:r w:rsidRPr="00957A75">
        <w:t>requires universities “to provide for a live hearing with advisor-conducted cross-examination in all cases” (</w:t>
      </w:r>
      <w:r w:rsidRPr="00957A75">
        <w:rPr>
          <w:i/>
          <w:iCs/>
        </w:rPr>
        <w:t>id.</w:t>
      </w:r>
      <w:r w:rsidRPr="00957A75">
        <w:t xml:space="preserve"> at p. 41507).  The OCR further justified the proposed amendments by stating that growing evidence calls into question “whether adversarial cross-examination is the most effective tool for truth-seeking in the context of sex-based harassment complaints involving students at postsecondary institutions” and shows that “information-gathering approaches such as questions asked in individual meetings instead of during a live hearing (sometimes described as inquisitorial procedures) are more likely to produce the truth than adversarial methods like cross-examination.”  (</w:t>
      </w:r>
      <w:r w:rsidRPr="00957A75">
        <w:rPr>
          <w:i/>
          <w:iCs/>
        </w:rPr>
        <w:t>Ibid</w:t>
      </w:r>
      <w:r w:rsidRPr="00957A75">
        <w:t xml:space="preserve">.)  </w:t>
      </w:r>
    </w:p>
    <w:p w:rsidR="008B6BDA" w:rsidRPr="00957A75" w:rsidP="00050592" w14:paraId="47C8C119" w14:textId="77777777">
      <w:r w:rsidRPr="00957A75">
        <w:tab/>
      </w:r>
      <w:r w:rsidRPr="00957A75" w:rsidR="00A537A2">
        <w:t>As stated above,</w:t>
      </w:r>
      <w:r w:rsidRPr="00957A75" w:rsidR="00C278CC">
        <w:t xml:space="preserve"> we find it significant</w:t>
      </w:r>
      <w:r w:rsidRPr="00957A75">
        <w:t xml:space="preserve"> that S</w:t>
      </w:r>
      <w:r w:rsidR="00C61298">
        <w:t xml:space="preserve">enate </w:t>
      </w:r>
      <w:r w:rsidRPr="00957A75">
        <w:t>B</w:t>
      </w:r>
      <w:r w:rsidR="00C61298">
        <w:t>ill</w:t>
      </w:r>
      <w:r w:rsidRPr="00957A75">
        <w:t xml:space="preserve"> 493</w:t>
      </w:r>
      <w:r w:rsidRPr="00957A75" w:rsidR="00C278CC">
        <w:t xml:space="preserve"> </w:t>
      </w:r>
      <w:r w:rsidRPr="00957A75" w:rsidR="00A537A2">
        <w:t>(</w:t>
      </w:r>
      <w:r w:rsidRPr="00957A75" w:rsidR="00C278CC">
        <w:t>as well as</w:t>
      </w:r>
      <w:r w:rsidRPr="00957A75">
        <w:t xml:space="preserve"> the OCR’s most recent proposed amendments to the Title IX regulations</w:t>
      </w:r>
      <w:r w:rsidRPr="00957A75" w:rsidR="00A537A2">
        <w:t>)</w:t>
      </w:r>
      <w:r w:rsidRPr="00957A75">
        <w:t xml:space="preserve"> give universities wide latitude in determining the precise nature of their disciplinary proceedings</w:t>
      </w:r>
      <w:r w:rsidRPr="00957A75" w:rsidR="00A537A2">
        <w:t>.  But</w:t>
      </w:r>
      <w:r w:rsidRPr="00957A75" w:rsidR="00D85874">
        <w:t xml:space="preserve"> we</w:t>
      </w:r>
      <w:r w:rsidRPr="00957A75">
        <w:t xml:space="preserve"> also observe that the state of the law in this area is in flux and is, therefore, subject to continued change and development.  We </w:t>
      </w:r>
      <w:r w:rsidRPr="00957A75" w:rsidR="008C0DD3">
        <w:t>further</w:t>
      </w:r>
      <w:r w:rsidRPr="00957A75">
        <w:t xml:space="preserve"> emphasize that</w:t>
      </w:r>
      <w:r w:rsidRPr="00957A75" w:rsidR="002F14FB">
        <w:t xml:space="preserve">, </w:t>
      </w:r>
      <w:r w:rsidR="007047EE">
        <w:t>because</w:t>
      </w:r>
      <w:r w:rsidRPr="00957A75">
        <w:t xml:space="preserve"> neither S</w:t>
      </w:r>
      <w:r w:rsidR="00C61298">
        <w:t xml:space="preserve">enate </w:t>
      </w:r>
      <w:r w:rsidRPr="00957A75">
        <w:t>B</w:t>
      </w:r>
      <w:r w:rsidR="00C61298">
        <w:t>ill</w:t>
      </w:r>
      <w:r w:rsidRPr="00957A75">
        <w:t xml:space="preserve"> 493 nor the </w:t>
      </w:r>
      <w:r w:rsidRPr="00957A75" w:rsidR="002F14FB">
        <w:t xml:space="preserve">current or proposed </w:t>
      </w:r>
      <w:r w:rsidRPr="00957A75">
        <w:t>Title IX regulations</w:t>
      </w:r>
      <w:r w:rsidRPr="00957A75" w:rsidR="002F14FB">
        <w:t xml:space="preserve"> apply to this matter, they</w:t>
      </w:r>
      <w:r w:rsidRPr="00957A75">
        <w:t xml:space="preserve"> are</w:t>
      </w:r>
      <w:r w:rsidRPr="00957A75" w:rsidR="002F14FB">
        <w:t xml:space="preserve"> not</w:t>
      </w:r>
      <w:r w:rsidRPr="00957A75">
        <w:t xml:space="preserve"> dispositive.</w:t>
      </w:r>
      <w:r>
        <w:rPr>
          <w:rStyle w:val="FootnoteReference"/>
        </w:rPr>
        <w:footnoteReference w:id="8"/>
      </w:r>
      <w:r w:rsidRPr="00957A75">
        <w:t xml:space="preserve">  </w:t>
      </w:r>
    </w:p>
    <w:p w:rsidR="008B6BDA" w:rsidRPr="00957A75" w:rsidP="00050592" w14:paraId="47C8C11A" w14:textId="77777777">
      <w:pPr>
        <w:pStyle w:val="Heading2"/>
        <w:numPr>
          <w:ilvl w:val="0"/>
          <w:numId w:val="5"/>
        </w:numPr>
        <w:ind w:left="1109" w:hanging="389"/>
        <w:contextualSpacing/>
      </w:pPr>
      <w:r w:rsidRPr="00957A75">
        <w:t>Fair Procedure Does Not Require</w:t>
      </w:r>
      <w:r w:rsidRPr="00957A75" w:rsidR="00AB2F61">
        <w:t xml:space="preserve"> Live Heari</w:t>
      </w:r>
      <w:r w:rsidRPr="00957A75">
        <w:t>ng</w:t>
      </w:r>
      <w:r w:rsidRPr="00957A75" w:rsidR="00104B69">
        <w:t>s</w:t>
      </w:r>
      <w:r w:rsidRPr="00957A75">
        <w:t xml:space="preserve"> with Cross-</w:t>
      </w:r>
      <w:r w:rsidR="00C61298">
        <w:t>e</w:t>
      </w:r>
      <w:r w:rsidRPr="00957A75">
        <w:t xml:space="preserve">xamination </w:t>
      </w:r>
    </w:p>
    <w:p w:rsidR="00BA1440" w:rsidRPr="00957A75" w:rsidP="00050592" w14:paraId="47C8C11B" w14:textId="77777777">
      <w:pPr>
        <w:ind w:firstLine="720"/>
      </w:pPr>
      <w:r>
        <w:t xml:space="preserve">We must decide whether fair procedure </w:t>
      </w:r>
      <w:r w:rsidRPr="00957A75" w:rsidR="003D79C0">
        <w:t>require</w:t>
      </w:r>
      <w:r>
        <w:t>s</w:t>
      </w:r>
      <w:r w:rsidRPr="00957A75" w:rsidR="003D79C0">
        <w:t xml:space="preserve"> private universities to </w:t>
      </w:r>
      <w:r w:rsidR="004B179B">
        <w:t xml:space="preserve">provide accused students the opportunity to directly or indirectly cross-examine the accuser and other witnesses at a live hearing with </w:t>
      </w:r>
      <w:r w:rsidR="00026559">
        <w:t>the accused student</w:t>
      </w:r>
      <w:r w:rsidR="004B179B">
        <w:t xml:space="preserve"> in attendance, either</w:t>
      </w:r>
      <w:r w:rsidRPr="00957A75" w:rsidR="00211DF3">
        <w:t xml:space="preserve"> i</w:t>
      </w:r>
      <w:r w:rsidR="004B179B">
        <w:t xml:space="preserve">n </w:t>
      </w:r>
      <w:r w:rsidRPr="00957A75" w:rsidR="00211DF3">
        <w:t>person or virtually</w:t>
      </w:r>
      <w:r w:rsidRPr="00957A75" w:rsidR="00272265">
        <w:t>.</w:t>
      </w:r>
      <w:r w:rsidR="00252999">
        <w:t xml:space="preserve">  Applying our fair procedure precedent discussed above, w</w:t>
      </w:r>
      <w:r>
        <w:t>e hold that it does not.</w:t>
      </w:r>
      <w:r w:rsidRPr="00957A75" w:rsidR="00126FF0">
        <w:t xml:space="preserve">  </w:t>
      </w:r>
      <w:r w:rsidRPr="00957A75" w:rsidR="00EC4F17">
        <w:t>Requiring live hearing</w:t>
      </w:r>
      <w:r w:rsidRPr="00957A75" w:rsidR="00EE5C67">
        <w:t>s</w:t>
      </w:r>
      <w:r w:rsidRPr="00957A75" w:rsidR="00EC4F17">
        <w:t xml:space="preserve"> </w:t>
      </w:r>
      <w:r w:rsidRPr="00957A75" w:rsidR="005545DC">
        <w:t>featuring real-time cross-examination of witnesses in the accused student’s presence</w:t>
      </w:r>
      <w:r w:rsidRPr="00957A75" w:rsidR="009F395E">
        <w:t xml:space="preserve"> would be contrary to our prior conclusion that “fair procedure does not compel formal proceedings with all the embellishments of a court trial</w:t>
      </w:r>
      <w:r w:rsidRPr="00957A75" w:rsidR="00996E9E">
        <w:t>.</w:t>
      </w:r>
      <w:r w:rsidRPr="00957A75" w:rsidR="009F395E">
        <w:t>”</w:t>
      </w:r>
      <w:r w:rsidRPr="00957A75" w:rsidR="00996E9E">
        <w:t xml:space="preserve">  (</w:t>
      </w:r>
      <w:r w:rsidRPr="00957A75" w:rsidR="00996E9E">
        <w:rPr>
          <w:i/>
          <w:iCs/>
        </w:rPr>
        <w:t>Pinsker II</w:t>
      </w:r>
      <w:r w:rsidRPr="00957A75" w:rsidR="00996E9E">
        <w:t xml:space="preserve">, </w:t>
      </w:r>
      <w:r w:rsidRPr="00957A75" w:rsidR="00996E9E">
        <w:rPr>
          <w:i/>
          <w:iCs/>
        </w:rPr>
        <w:t>supra</w:t>
      </w:r>
      <w:r w:rsidRPr="00957A75" w:rsidR="00996E9E">
        <w:t>, 12 Cal.3d at p. 555</w:t>
      </w:r>
      <w:r w:rsidR="00FE2131">
        <w:t>.</w:t>
      </w:r>
      <w:r w:rsidRPr="00957A75" w:rsidR="00996E9E">
        <w:t xml:space="preserve">)  It </w:t>
      </w:r>
      <w:r w:rsidRPr="00957A75" w:rsidR="009F395E">
        <w:t>would also</w:t>
      </w:r>
      <w:r w:rsidRPr="00957A75" w:rsidR="00393697">
        <w:t xml:space="preserve"> </w:t>
      </w:r>
      <w:r w:rsidR="004E470A">
        <w:t>be contrary to</w:t>
      </w:r>
      <w:r w:rsidRPr="00957A75" w:rsidR="009F395E">
        <w:t xml:space="preserve"> our</w:t>
      </w:r>
      <w:r w:rsidRPr="00957A75" w:rsidR="00857798">
        <w:t xml:space="preserve"> </w:t>
      </w:r>
      <w:r w:rsidRPr="00957A75" w:rsidR="009F395E">
        <w:t>admonition</w:t>
      </w:r>
      <w:r w:rsidRPr="00957A75" w:rsidR="00857798">
        <w:t xml:space="preserve"> </w:t>
      </w:r>
      <w:r w:rsidRPr="00957A75" w:rsidR="00996E9E">
        <w:t>that courts must</w:t>
      </w:r>
      <w:r w:rsidRPr="00957A75" w:rsidR="009F395E">
        <w:t xml:space="preserve"> refrain</w:t>
      </w:r>
      <w:r w:rsidRPr="00957A75" w:rsidR="00857798">
        <w:t xml:space="preserve"> from fixing rigid trial-like procedures “that must invariably be observed</w:t>
      </w:r>
      <w:r w:rsidRPr="00957A75" w:rsidR="009F395E">
        <w:t>.</w:t>
      </w:r>
      <w:r w:rsidRPr="00957A75" w:rsidR="00857798">
        <w:t>”</w:t>
      </w:r>
      <w:r w:rsidRPr="00957A75" w:rsidR="009F395E">
        <w:t xml:space="preserve"> </w:t>
      </w:r>
      <w:r w:rsidRPr="00957A75" w:rsidR="00857798">
        <w:t xml:space="preserve"> (</w:t>
      </w:r>
      <w:r w:rsidRPr="00957A75" w:rsidR="00996E9E">
        <w:rPr>
          <w:i/>
          <w:iCs/>
        </w:rPr>
        <w:t>Ibid</w:t>
      </w:r>
      <w:r w:rsidRPr="00957A75" w:rsidR="00996E9E">
        <w:t>.)</w:t>
      </w:r>
      <w:r w:rsidRPr="00957A75">
        <w:t xml:space="preserve">  </w:t>
      </w:r>
    </w:p>
    <w:p w:rsidR="008F50FD" w:rsidRPr="00957A75" w:rsidP="00050592" w14:paraId="47C8C11C" w14:textId="77777777">
      <w:pPr>
        <w:ind w:firstLine="720"/>
      </w:pPr>
      <w:r w:rsidRPr="00957A75">
        <w:t>As we have recognized,</w:t>
      </w:r>
      <w:r w:rsidRPr="00957A75" w:rsidR="008D4540">
        <w:t xml:space="preserve"> an accused student has a significant interest in completing a postsecondary education</w:t>
      </w:r>
      <w:r w:rsidRPr="00957A75">
        <w:t xml:space="preserve">.  </w:t>
      </w:r>
      <w:r w:rsidRPr="00957A75" w:rsidR="003F3FC7">
        <w:t xml:space="preserve">For this reason, private universities </w:t>
      </w:r>
      <w:r w:rsidR="00236351">
        <w:t>must</w:t>
      </w:r>
      <w:r w:rsidRPr="00957A75" w:rsidR="003F3FC7">
        <w:t xml:space="preserve"> comply with the fair procedure </w:t>
      </w:r>
      <w:r w:rsidRPr="00957A75" w:rsidR="003F0B9C">
        <w:t xml:space="preserve">doctrine </w:t>
      </w:r>
      <w:r w:rsidRPr="00957A75" w:rsidR="003F3FC7">
        <w:t>by affording accused students</w:t>
      </w:r>
      <w:r w:rsidR="00416336">
        <w:t xml:space="preserve"> </w:t>
      </w:r>
      <w:r w:rsidRPr="00957A75" w:rsidR="003F3FC7">
        <w:t xml:space="preserve">reasonable notice of the charges and a meaningful opportunity to respond before disciplining them. </w:t>
      </w:r>
      <w:r w:rsidRPr="00957A75" w:rsidR="003F0B9C">
        <w:t xml:space="preserve"> </w:t>
      </w:r>
      <w:r w:rsidRPr="00957A75">
        <w:t>When crafting the precise procedure</w:t>
      </w:r>
      <w:r w:rsidRPr="00957A75" w:rsidR="008C0DD3">
        <w:t>s</w:t>
      </w:r>
      <w:r w:rsidRPr="00957A75">
        <w:t xml:space="preserve"> </w:t>
      </w:r>
      <w:r w:rsidRPr="00957A75" w:rsidR="008C0DD3">
        <w:t xml:space="preserve">necessary </w:t>
      </w:r>
      <w:r w:rsidRPr="00957A75">
        <w:t xml:space="preserve">to </w:t>
      </w:r>
      <w:r w:rsidR="00236351">
        <w:t>provide</w:t>
      </w:r>
      <w:r w:rsidRPr="00957A75">
        <w:t xml:space="preserve"> a meaningful opportunity to respond, however, </w:t>
      </w:r>
      <w:r w:rsidRPr="00957A75" w:rsidR="004B179B">
        <w:t xml:space="preserve">a private university must balance </w:t>
      </w:r>
      <w:r w:rsidR="004B179B">
        <w:t xml:space="preserve">competing interests, including </w:t>
      </w:r>
      <w:r w:rsidRPr="00957A75" w:rsidR="004B179B">
        <w:t>the accused student’s interest</w:t>
      </w:r>
      <w:r w:rsidR="008A34BF">
        <w:t>s</w:t>
      </w:r>
      <w:r w:rsidRPr="00957A75" w:rsidR="004B179B">
        <w:t xml:space="preserve"> </w:t>
      </w:r>
      <w:r w:rsidR="004B179B">
        <w:t xml:space="preserve">in a fair procedure and completing a postsecondary education, </w:t>
      </w:r>
      <w:r w:rsidRPr="00957A75" w:rsidR="004B179B">
        <w:t>the accuser’s interest in</w:t>
      </w:r>
      <w:r w:rsidR="008A34BF">
        <w:t xml:space="preserve"> </w:t>
      </w:r>
      <w:r w:rsidR="004B179B">
        <w:t>not being retraumatized by the disciplinary process,</w:t>
      </w:r>
      <w:r w:rsidRPr="00957A75" w:rsidR="004B179B">
        <w:t xml:space="preserve"> and the private university’s interests in </w:t>
      </w:r>
      <w:r w:rsidR="004B179B">
        <w:t>maintaining a safe campus and encouraging victims to report instances of sexual misconduct or intimate partner violence without having to divert too many resources from its main purpose of education</w:t>
      </w:r>
      <w:r w:rsidRPr="00957A75" w:rsidR="004B179B">
        <w:t xml:space="preserve">.  </w:t>
      </w:r>
      <w:r w:rsidRPr="00957A75">
        <w:t xml:space="preserve">(See </w:t>
      </w:r>
      <w:r w:rsidRPr="00957A75">
        <w:rPr>
          <w:i/>
          <w:iCs/>
        </w:rPr>
        <w:t>Ezekial</w:t>
      </w:r>
      <w:r w:rsidRPr="00957A75">
        <w:t>,</w:t>
      </w:r>
      <w:r w:rsidRPr="00957A75">
        <w:rPr>
          <w:i/>
          <w:iCs/>
        </w:rPr>
        <w:t xml:space="preserve"> supra</w:t>
      </w:r>
      <w:r w:rsidRPr="00957A75">
        <w:t>,</w:t>
      </w:r>
      <w:r w:rsidRPr="00957A75">
        <w:rPr>
          <w:i/>
          <w:iCs/>
        </w:rPr>
        <w:t xml:space="preserve"> </w:t>
      </w:r>
      <w:r w:rsidRPr="00957A75">
        <w:t>20 Cal.3d at pp. 277–278 [weighing the plaintiff’s economic interest in completing the residency program against the private hospital’s interest in protecting itself from the mistakes of incompetent physicians]; accord</w:t>
      </w:r>
      <w:r w:rsidR="0093645A">
        <w:t>,</w:t>
      </w:r>
      <w:r w:rsidRPr="00957A75">
        <w:t xml:space="preserve"> </w:t>
      </w:r>
      <w:r w:rsidR="00AC012E">
        <w:rPr>
          <w:i/>
          <w:iCs/>
        </w:rPr>
        <w:t xml:space="preserve">Doe v. Westmont College </w:t>
      </w:r>
      <w:r w:rsidR="00AC012E">
        <w:t>(2019) 34 Cal.App.5th 622, 634 (</w:t>
      </w:r>
      <w:r w:rsidR="00AC012E">
        <w:rPr>
          <w:i/>
          <w:iCs/>
        </w:rPr>
        <w:t>Westmont</w:t>
      </w:r>
      <w:r w:rsidR="00AC012E">
        <w:t>)</w:t>
      </w:r>
      <w:r w:rsidRPr="00957A75">
        <w:t xml:space="preserve"> [observing that “</w:t>
      </w:r>
      <w:r w:rsidR="005C407F">
        <w:t>[</w:t>
      </w:r>
      <w:r w:rsidRPr="00957A75">
        <w:t>a</w:t>
      </w:r>
      <w:r w:rsidR="005C407F">
        <w:t>]</w:t>
      </w:r>
      <w:r w:rsidRPr="00957A75">
        <w:t xml:space="preserve"> fair hearing strives to balance three competing interests” among the accused student, the accuser, and the university].)  It is therefore appropriate to give private universities broad discretion in formulating their disciplinary processes to ensure that they not only </w:t>
      </w:r>
      <w:r w:rsidR="0061255E">
        <w:t>provide</w:t>
      </w:r>
      <w:r w:rsidRPr="00957A75">
        <w:t xml:space="preserve"> the accused student a meaningful opportunity to be heard, but also embolden victims to report incidents of sexual misconduct or intimate partner violence</w:t>
      </w:r>
      <w:r w:rsidRPr="00957A75" w:rsidR="00D81994">
        <w:t>,</w:t>
      </w:r>
      <w:r w:rsidRPr="00957A75">
        <w:t xml:space="preserve"> encourage witnesses to participate in the disciplinary process</w:t>
      </w:r>
      <w:r w:rsidRPr="00957A75" w:rsidR="00D81994">
        <w:t>,</w:t>
      </w:r>
      <w:r w:rsidRPr="00957A75">
        <w:t xml:space="preserve"> and allow the private university to conserve its resources so that it can remain focused on its primary mission of providing a postsecondary education.   </w:t>
      </w:r>
    </w:p>
    <w:p w:rsidR="00007AAC" w:rsidRPr="00957A75" w:rsidP="00050592" w14:paraId="47C8C11D" w14:textId="77777777">
      <w:pPr>
        <w:ind w:firstLine="720"/>
      </w:pPr>
      <w:r w:rsidRPr="00957A75">
        <w:t>The Court of Appeal majority</w:t>
      </w:r>
      <w:r w:rsidRPr="00957A75" w:rsidR="0024708F">
        <w:t xml:space="preserve"> </w:t>
      </w:r>
      <w:r w:rsidRPr="00957A75" w:rsidR="00EE5C67">
        <w:t xml:space="preserve">reasoned </w:t>
      </w:r>
      <w:r w:rsidRPr="00957A75" w:rsidR="00907BF4">
        <w:t>that</w:t>
      </w:r>
      <w:r w:rsidRPr="00957A75" w:rsidR="003F3FC7">
        <w:t xml:space="preserve"> </w:t>
      </w:r>
      <w:r w:rsidRPr="00957A75">
        <w:t>the accused student</w:t>
      </w:r>
      <w:r w:rsidRPr="00957A75" w:rsidR="003F3FC7">
        <w:t xml:space="preserve"> must be </w:t>
      </w:r>
      <w:r w:rsidR="00236351">
        <w:t>able</w:t>
      </w:r>
      <w:r w:rsidRPr="00957A75">
        <w:t xml:space="preserve"> to</w:t>
      </w:r>
      <w:r w:rsidRPr="00957A75" w:rsidR="00BC2D64">
        <w:t xml:space="preserve"> engage in adversarial back-and-forth questioning with </w:t>
      </w:r>
      <w:r w:rsidRPr="00957A75">
        <w:t>the accuser and other witnesses</w:t>
      </w:r>
      <w:r w:rsidR="00C55372">
        <w:t xml:space="preserve"> </w:t>
      </w:r>
      <w:r w:rsidRPr="00957A75" w:rsidR="00EA6C95">
        <w:t xml:space="preserve">at a live hearing in order to assess witness credibility and to “fully present his [or her] defense.”  </w:t>
      </w:r>
      <w:r w:rsidRPr="00957A75">
        <w:t>(</w:t>
      </w:r>
      <w:r w:rsidRPr="00957A75">
        <w:rPr>
          <w:i/>
          <w:iCs/>
        </w:rPr>
        <w:t>Boermeester v.</w:t>
      </w:r>
      <w:r w:rsidRPr="00957A75">
        <w:t xml:space="preserve"> </w:t>
      </w:r>
      <w:r w:rsidRPr="00957A75">
        <w:rPr>
          <w:i/>
          <w:iCs/>
        </w:rPr>
        <w:t>Carry</w:t>
      </w:r>
      <w:r w:rsidRPr="00957A75">
        <w:t xml:space="preserve">, </w:t>
      </w:r>
      <w:r w:rsidRPr="00957A75">
        <w:rPr>
          <w:i/>
          <w:iCs/>
        </w:rPr>
        <w:t>supra</w:t>
      </w:r>
      <w:r w:rsidRPr="00957A75">
        <w:t xml:space="preserve">, B290675.)  </w:t>
      </w:r>
      <w:r w:rsidRPr="00957A75" w:rsidR="00186039">
        <w:t xml:space="preserve">While live adversarial questioning </w:t>
      </w:r>
      <w:r w:rsidRPr="00957A75" w:rsidR="005C5F4F">
        <w:t>may be considered essential</w:t>
      </w:r>
      <w:r w:rsidRPr="00957A75" w:rsidR="004D32B6">
        <w:t xml:space="preserve"> </w:t>
      </w:r>
      <w:r w:rsidRPr="00957A75" w:rsidR="00186039">
        <w:t>in the context of a criminal trial</w:t>
      </w:r>
      <w:r w:rsidRPr="00957A75" w:rsidR="005C5F4F">
        <w:t xml:space="preserve"> </w:t>
      </w:r>
      <w:bookmarkStart w:id="52" w:name="_Hlk137735040"/>
      <w:r w:rsidRPr="00957A75" w:rsidR="005C5F4F">
        <w:t>(</w:t>
      </w:r>
      <w:r w:rsidRPr="00957A75" w:rsidR="005C5F4F">
        <w:rPr>
          <w:i/>
          <w:iCs/>
        </w:rPr>
        <w:t>People v. Louis</w:t>
      </w:r>
      <w:r w:rsidRPr="00957A75" w:rsidR="005C5F4F">
        <w:t xml:space="preserve"> (1986) 42</w:t>
      </w:r>
      <w:r w:rsidR="00E00088">
        <w:t> </w:t>
      </w:r>
      <w:r w:rsidRPr="00957A75" w:rsidR="005C5F4F">
        <w:t>Cal.3d 969, 982–983)</w:t>
      </w:r>
      <w:bookmarkEnd w:id="52"/>
      <w:r w:rsidRPr="00957A75" w:rsidR="00186039">
        <w:t xml:space="preserve">, </w:t>
      </w:r>
      <w:r w:rsidR="00714A8C">
        <w:t xml:space="preserve">there is no absolute right to a live hearing with cross-examination in </w:t>
      </w:r>
      <w:r w:rsidRPr="00957A75" w:rsidR="00186039">
        <w:t>administrative proceedings, even where constitutional due process applies.  As courts have explained in other administrative contexts, “ ‘[d]ifferences in the origin and function of administrative agencies “preclude wholesale transplantation of the rules of procedure, trial, and review which have evolved from the history and experience of courts</w:t>
      </w:r>
      <w:r w:rsidR="009C718C">
        <w:t>.</w:t>
      </w:r>
      <w:r w:rsidRPr="00957A75" w:rsidR="00186039">
        <w:t>” .</w:t>
      </w:r>
      <w:r w:rsidR="00E00088">
        <w:t> </w:t>
      </w:r>
      <w:r w:rsidRPr="00957A75" w:rsidR="00186039">
        <w:t>.</w:t>
      </w:r>
      <w:r w:rsidR="00E00088">
        <w:t> </w:t>
      </w:r>
      <w:r w:rsidRPr="00957A75" w:rsidR="00186039">
        <w:t xml:space="preserve">. The judicial model of an evidentiary hearing is neither a required, nor even the most effective, method of decisionmaking in all circumstances.’ ”  </w:t>
      </w:r>
      <w:bookmarkStart w:id="53" w:name="_Hlk137735060"/>
      <w:r w:rsidRPr="00957A75" w:rsidR="00186039">
        <w:t>(</w:t>
      </w:r>
      <w:r w:rsidRPr="00957A75" w:rsidR="00186039">
        <w:rPr>
          <w:i/>
          <w:iCs/>
        </w:rPr>
        <w:t>Murden v. County of Sacramento</w:t>
      </w:r>
      <w:r w:rsidRPr="00957A75" w:rsidR="00186039">
        <w:t xml:space="preserve"> (1984) 160</w:t>
      </w:r>
      <w:r w:rsidR="00E00088">
        <w:t> </w:t>
      </w:r>
      <w:r w:rsidRPr="00957A75" w:rsidR="00186039">
        <w:t xml:space="preserve">Cal.App.3d 302, 311.)  </w:t>
      </w:r>
      <w:bookmarkEnd w:id="53"/>
      <w:r w:rsidRPr="00957A75" w:rsidR="00BC2D64">
        <w:t>The</w:t>
      </w:r>
      <w:r w:rsidRPr="00957A75" w:rsidR="00CC5791">
        <w:t xml:space="preserve"> fair procedure doctrine </w:t>
      </w:r>
      <w:r w:rsidRPr="00957A75" w:rsidR="00D81994">
        <w:t xml:space="preserve">similarly </w:t>
      </w:r>
      <w:r w:rsidRPr="00957A75" w:rsidR="00CC5791">
        <w:t xml:space="preserve">recognizes </w:t>
      </w:r>
      <w:r w:rsidRPr="00957A75" w:rsidR="00CC5791">
        <w:rPr>
          <w:szCs w:val="26"/>
        </w:rPr>
        <w:t>“the practical limitations on the ability of private institutions to provide for the full airing of disputed factual issues.”  (</w:t>
      </w:r>
      <w:r w:rsidRPr="00957A75" w:rsidR="00CC5791">
        <w:rPr>
          <w:i/>
          <w:iCs/>
        </w:rPr>
        <w:t>Ezekial</w:t>
      </w:r>
      <w:r w:rsidRPr="00957A75" w:rsidR="00CC5791">
        <w:t>,</w:t>
      </w:r>
      <w:r w:rsidRPr="00957A75" w:rsidR="00CC5791">
        <w:rPr>
          <w:i/>
          <w:iCs/>
        </w:rPr>
        <w:t xml:space="preserve"> </w:t>
      </w:r>
      <w:r w:rsidRPr="00957A75" w:rsidR="009C2A87">
        <w:rPr>
          <w:i/>
          <w:iCs/>
        </w:rPr>
        <w:t>supra</w:t>
      </w:r>
      <w:r w:rsidRPr="00957A75" w:rsidR="009C2A87">
        <w:t xml:space="preserve">, </w:t>
      </w:r>
      <w:r w:rsidRPr="00957A75" w:rsidR="00CC5791">
        <w:t>20 Cal.3d at</w:t>
      </w:r>
      <w:r w:rsidRPr="00957A75" w:rsidR="00CC5791">
        <w:rPr>
          <w:szCs w:val="26"/>
        </w:rPr>
        <w:t xml:space="preserve"> p.</w:t>
      </w:r>
      <w:r w:rsidR="005C407F">
        <w:rPr>
          <w:szCs w:val="26"/>
        </w:rPr>
        <w:t> </w:t>
      </w:r>
      <w:r w:rsidRPr="00957A75" w:rsidR="00CC5791">
        <w:rPr>
          <w:szCs w:val="26"/>
        </w:rPr>
        <w:t xml:space="preserve">278.) </w:t>
      </w:r>
      <w:r w:rsidRPr="00957A75" w:rsidR="00CC5791">
        <w:t xml:space="preserve"> Private universities are ill-equipped to function as courts</w:t>
      </w:r>
      <w:r w:rsidRPr="00957A75" w:rsidR="004E5709">
        <w:t xml:space="preserve"> </w:t>
      </w:r>
      <w:r w:rsidR="00A33EB3">
        <w:t>because</w:t>
      </w:r>
      <w:r w:rsidRPr="00957A75" w:rsidR="004E5709">
        <w:t xml:space="preserve"> t</w:t>
      </w:r>
      <w:r w:rsidRPr="00957A75" w:rsidR="00CC5791">
        <w:t xml:space="preserve">hey lack subpoena power to force key witnesses to attend </w:t>
      </w:r>
      <w:r w:rsidR="00714A8C">
        <w:t xml:space="preserve">a hearing </w:t>
      </w:r>
      <w:r w:rsidRPr="00957A75" w:rsidR="00CC5791">
        <w:t>and</w:t>
      </w:r>
      <w:r w:rsidRPr="00957A75" w:rsidR="00BC2D64">
        <w:t xml:space="preserve"> be</w:t>
      </w:r>
      <w:r w:rsidR="00714A8C">
        <w:t xml:space="preserve"> subject to</w:t>
      </w:r>
      <w:r w:rsidRPr="00957A75" w:rsidR="00BC2D64">
        <w:t xml:space="preserve"> cross-examin</w:t>
      </w:r>
      <w:r w:rsidR="00714A8C">
        <w:t>ation</w:t>
      </w:r>
      <w:r w:rsidRPr="00957A75" w:rsidR="004E5709">
        <w:t xml:space="preserve">.  </w:t>
      </w:r>
      <w:r w:rsidRPr="00957A75" w:rsidR="00186039">
        <w:t xml:space="preserve">They </w:t>
      </w:r>
      <w:r w:rsidRPr="00957A75" w:rsidR="00CC5791">
        <w:t>must instead rely on the voluntary participation of witnesses</w:t>
      </w:r>
      <w:r w:rsidRPr="00957A75" w:rsidR="004E5709">
        <w:t xml:space="preserve">, which may </w:t>
      </w:r>
      <w:r w:rsidRPr="00957A75" w:rsidR="00211DF3">
        <w:t>prove</w:t>
      </w:r>
      <w:r w:rsidRPr="00957A75" w:rsidR="004E5709">
        <w:t xml:space="preserve"> more likely whe</w:t>
      </w:r>
      <w:r w:rsidRPr="00957A75" w:rsidR="00186039">
        <w:t>n the</w:t>
      </w:r>
      <w:r w:rsidRPr="00957A75" w:rsidR="00BC2D64">
        <w:t xml:space="preserve"> </w:t>
      </w:r>
      <w:r w:rsidRPr="00957A75" w:rsidR="00186039">
        <w:t xml:space="preserve">disciplinary process </w:t>
      </w:r>
      <w:r w:rsidRPr="00957A75" w:rsidR="00CA291F">
        <w:t xml:space="preserve">allows witnesses to testify outside of the context of a live hearing and </w:t>
      </w:r>
      <w:r w:rsidR="00C55372">
        <w:t>outside</w:t>
      </w:r>
      <w:r w:rsidRPr="00957A75" w:rsidR="00CA291F">
        <w:t xml:space="preserve"> the accused student</w:t>
      </w:r>
      <w:r w:rsidRPr="00957A75" w:rsidR="00BC2D64">
        <w:t>’s presence.</w:t>
      </w:r>
      <w:r w:rsidRPr="00957A75" w:rsidR="00186039">
        <w:t xml:space="preserve">  </w:t>
      </w:r>
      <w:r w:rsidR="00714A8C">
        <w:t>A</w:t>
      </w:r>
      <w:r w:rsidRPr="00957A75" w:rsidR="004C061C">
        <w:t xml:space="preserve">s </w:t>
      </w:r>
      <w:r w:rsidRPr="00957A75" w:rsidR="00EA6C95">
        <w:t>the</w:t>
      </w:r>
      <w:r w:rsidRPr="00957A75" w:rsidR="004C061C">
        <w:t xml:space="preserve"> Attorney General, appearing he</w:t>
      </w:r>
      <w:r w:rsidRPr="00957A75" w:rsidR="00476AD6">
        <w:t xml:space="preserve">re </w:t>
      </w:r>
      <w:r w:rsidRPr="00957A75" w:rsidR="004C061C">
        <w:t xml:space="preserve">as amicus </w:t>
      </w:r>
      <w:r w:rsidRPr="00957A75" w:rsidR="00EA6C95">
        <w:t>curiae</w:t>
      </w:r>
      <w:r w:rsidRPr="00957A75" w:rsidR="004C061C">
        <w:t>, observes,</w:t>
      </w:r>
      <w:r w:rsidRPr="00957A75" w:rsidR="004D32B6">
        <w:t xml:space="preserve"> </w:t>
      </w:r>
      <w:r w:rsidR="00F21538">
        <w:t xml:space="preserve">requiring </w:t>
      </w:r>
      <w:r w:rsidRPr="00957A75" w:rsidR="004D32B6">
        <w:t>l</w:t>
      </w:r>
      <w:r w:rsidRPr="00957A75" w:rsidR="00186039">
        <w:t>ive hearings featuring r</w:t>
      </w:r>
      <w:r w:rsidRPr="00957A75">
        <w:t>eal-time adversarial questioning</w:t>
      </w:r>
      <w:r w:rsidRPr="00957A75" w:rsidR="00EA6C95">
        <w:t xml:space="preserve"> “</w:t>
      </w:r>
      <w:r w:rsidRPr="00957A75" w:rsidR="004C061C">
        <w:t>threaten</w:t>
      </w:r>
      <w:r w:rsidR="00C55372">
        <w:t>s</w:t>
      </w:r>
      <w:r w:rsidRPr="00957A75" w:rsidR="004C061C">
        <w:t xml:space="preserve"> to deter students from participating and to traumatize those who do.”</w:t>
      </w:r>
      <w:r w:rsidRPr="00957A75" w:rsidR="00186039">
        <w:t xml:space="preserve">  </w:t>
      </w:r>
      <w:r w:rsidRPr="00957A75" w:rsidR="00476AD6">
        <w:t>Furthermore, s</w:t>
      </w:r>
      <w:r w:rsidRPr="00957A75" w:rsidR="00186039">
        <w:t xml:space="preserve">uch hearings </w:t>
      </w:r>
      <w:r w:rsidRPr="00957A75" w:rsidR="00B207D4">
        <w:t xml:space="preserve">would </w:t>
      </w:r>
      <w:r w:rsidRPr="00957A75" w:rsidR="00186039">
        <w:t>require private universities</w:t>
      </w:r>
      <w:r w:rsidRPr="00957A75" w:rsidR="00B207D4">
        <w:t xml:space="preserve"> to make on-the-fly rulings on objections to proposed questions and other issues raised during the hearing</w:t>
      </w:r>
      <w:r w:rsidRPr="00957A75" w:rsidR="00186039">
        <w:t xml:space="preserve">, which </w:t>
      </w:r>
      <w:r w:rsidRPr="00957A75" w:rsidR="00BC2D64">
        <w:t xml:space="preserve">university </w:t>
      </w:r>
      <w:r w:rsidRPr="00957A75" w:rsidR="00186039">
        <w:t xml:space="preserve">staff may not be adequately trained to do.  </w:t>
      </w:r>
      <w:r w:rsidRPr="00957A75" w:rsidR="00B207D4">
        <w:t xml:space="preserve">This would “divert both resources and attention from a university’s main calling, that is education.”  </w:t>
      </w:r>
      <w:bookmarkStart w:id="54" w:name="_Hlk137735076"/>
      <w:r w:rsidRPr="00957A75" w:rsidR="00B207D4">
        <w:t>(</w:t>
      </w:r>
      <w:r w:rsidRPr="00957A75" w:rsidR="00EE5C67">
        <w:rPr>
          <w:i/>
          <w:iCs/>
        </w:rPr>
        <w:t>Doe v. Regents of University of California</w:t>
      </w:r>
      <w:r w:rsidRPr="00957A75" w:rsidR="00EE5C67">
        <w:t xml:space="preserve"> (2016) 5</w:t>
      </w:r>
      <w:r w:rsidR="00E00088">
        <w:t> </w:t>
      </w:r>
      <w:r w:rsidRPr="00957A75" w:rsidR="00EE5C67">
        <w:t>Cal.App.5th 1055, 1078 (</w:t>
      </w:r>
      <w:r w:rsidRPr="00957A75" w:rsidR="00EE5C67">
        <w:rPr>
          <w:i/>
          <w:iCs/>
        </w:rPr>
        <w:t>Regents I</w:t>
      </w:r>
      <w:r w:rsidRPr="00957A75" w:rsidR="00EE5C67">
        <w:t>)</w:t>
      </w:r>
      <w:bookmarkEnd w:id="54"/>
      <w:r w:rsidRPr="00957A75" w:rsidR="00B207D4">
        <w:t>; accord</w:t>
      </w:r>
      <w:r w:rsidR="0093645A">
        <w:t>,</w:t>
      </w:r>
      <w:r w:rsidRPr="00957A75" w:rsidR="00B207D4">
        <w:t xml:space="preserve"> </w:t>
      </w:r>
      <w:bookmarkStart w:id="55" w:name="_Hlk137735092"/>
      <w:r w:rsidRPr="00957A75" w:rsidR="00B207D4">
        <w:rPr>
          <w:i/>
          <w:iCs/>
        </w:rPr>
        <w:t>Goss v. Lopez</w:t>
      </w:r>
      <w:r w:rsidRPr="00957A75" w:rsidR="00B207D4">
        <w:t xml:space="preserve"> (1975) 419 U.S. 565, 583 </w:t>
      </w:r>
      <w:bookmarkEnd w:id="55"/>
      <w:r w:rsidRPr="00957A75" w:rsidR="00B207D4">
        <w:t>[“To impose . . . even truncated trial-type procedures might well overwhelm administrative facilities in many places and, by diverting resources, cost more than it would save in educational effectiveness”].)</w:t>
      </w:r>
      <w:r w:rsidRPr="00957A75" w:rsidR="00186039">
        <w:t xml:space="preserve">  </w:t>
      </w:r>
      <w:r w:rsidRPr="00957A75" w:rsidR="000C08F0">
        <w:t xml:space="preserve">Simply put, the </w:t>
      </w:r>
      <w:r w:rsidRPr="00957A75" w:rsidR="00CB74E5">
        <w:t>“ ‘</w:t>
      </w:r>
      <w:r w:rsidRPr="00957A75" w:rsidR="000C08F0">
        <w:t xml:space="preserve">procedures for </w:t>
      </w:r>
      <w:r w:rsidRPr="00957A75" w:rsidR="00D5145E">
        <w:t>dis</w:t>
      </w:r>
      <w:r w:rsidR="00D5145E">
        <w:t>missing</w:t>
      </w:r>
      <w:r w:rsidRPr="00957A75" w:rsidR="00D5145E">
        <w:t xml:space="preserve"> </w:t>
      </w:r>
      <w:r w:rsidRPr="00957A75" w:rsidR="000C08F0">
        <w:t>college students [are] not analogous to criminal proceedings and could not be so without at the same time being both impractical and detrimental to the educational atmosphere and functions of a university.’</w:t>
      </w:r>
      <w:r w:rsidR="00D5145E">
        <w:t> </w:t>
      </w:r>
      <w:r w:rsidRPr="00957A75" w:rsidR="000C08F0">
        <w:t xml:space="preserve">”  </w:t>
      </w:r>
      <w:bookmarkStart w:id="56" w:name="_Hlk137735106"/>
      <w:r w:rsidRPr="00957A75" w:rsidR="000C08F0">
        <w:t>(</w:t>
      </w:r>
      <w:r w:rsidRPr="00957A75" w:rsidR="00CB74E5">
        <w:rPr>
          <w:i/>
          <w:iCs/>
        </w:rPr>
        <w:t>Andersen v. Regents of University of California</w:t>
      </w:r>
      <w:r w:rsidRPr="00957A75" w:rsidR="00CB74E5">
        <w:t xml:space="preserve"> (1972) 22</w:t>
      </w:r>
      <w:r w:rsidR="00714E88">
        <w:t> </w:t>
      </w:r>
      <w:r w:rsidRPr="00957A75" w:rsidR="00CB74E5">
        <w:t xml:space="preserve">Cal.App.3d 763, 770, quoting </w:t>
      </w:r>
      <w:r w:rsidRPr="00957A75" w:rsidR="00CB74E5">
        <w:rPr>
          <w:i/>
          <w:iCs/>
        </w:rPr>
        <w:t>Goldberg</w:t>
      </w:r>
      <w:r w:rsidRPr="00957A75" w:rsidR="002C2D0F">
        <w:t xml:space="preserve">, </w:t>
      </w:r>
      <w:r w:rsidRPr="00957A75" w:rsidR="002C2D0F">
        <w:rPr>
          <w:i/>
          <w:iCs/>
        </w:rPr>
        <w:t>supra</w:t>
      </w:r>
      <w:r w:rsidRPr="00957A75" w:rsidR="002C2D0F">
        <w:t>,</w:t>
      </w:r>
      <w:r w:rsidRPr="00957A75" w:rsidR="00CB74E5">
        <w:t xml:space="preserve"> 248</w:t>
      </w:r>
      <w:r w:rsidR="00317360">
        <w:t> </w:t>
      </w:r>
      <w:r w:rsidRPr="00957A75" w:rsidR="00CB74E5">
        <w:t xml:space="preserve">Cal.App.2d </w:t>
      </w:r>
      <w:r w:rsidRPr="00957A75" w:rsidR="002C2D0F">
        <w:t>at p. </w:t>
      </w:r>
      <w:r w:rsidRPr="00957A75" w:rsidR="00CB74E5">
        <w:t xml:space="preserve">881.)  </w:t>
      </w:r>
      <w:bookmarkEnd w:id="56"/>
    </w:p>
    <w:p w:rsidR="00D753AC" w:rsidRPr="00957A75" w:rsidP="00050592" w14:paraId="47C8C11E" w14:textId="77777777">
      <w:pPr>
        <w:ind w:firstLine="720"/>
      </w:pPr>
      <w:r w:rsidRPr="00957A75">
        <w:t xml:space="preserve">In this case, USC provided Boermeester notice of the allegations; the opportunity </w:t>
      </w:r>
      <w:r w:rsidRPr="00957A75" w:rsidR="0019670A">
        <w:t xml:space="preserve">to provide his version of events in </w:t>
      </w:r>
      <w:r w:rsidRPr="00957A75">
        <w:t xml:space="preserve">his interview with the Title IX investigator; the opportunity to independently review the testimonial and documentary evidence with his attorney-advisor; the opportunity to submit his own evidence and the names of potential witnesses to the Title IX investigator; the opportunity to respond to the testimonial and documentary evidence through an in-person evidence hearing held </w:t>
      </w:r>
      <w:r w:rsidRPr="00957A75" w:rsidR="00D81994">
        <w:t xml:space="preserve">at the Title IX office and conducted </w:t>
      </w:r>
      <w:r w:rsidRPr="00957A75">
        <w:t>by the Title IX coordinator</w:t>
      </w:r>
      <w:r w:rsidR="00C55372">
        <w:t xml:space="preserve"> (</w:t>
      </w:r>
      <w:r w:rsidRPr="00957A75">
        <w:t>which he declined</w:t>
      </w:r>
      <w:r w:rsidRPr="00957A75" w:rsidR="00476AD6">
        <w:t xml:space="preserve"> to attend</w:t>
      </w:r>
      <w:r w:rsidRPr="00957A75">
        <w:t xml:space="preserve"> in favor of submitting a written response to the evidence</w:t>
      </w:r>
      <w:r w:rsidR="00C55372">
        <w:t>)</w:t>
      </w:r>
      <w:r w:rsidRPr="00957A75">
        <w:t>; the opportunity to submit questions for the Title IX coordinator to ask Roe at her own evidence hearing</w:t>
      </w:r>
      <w:r w:rsidR="00C55372">
        <w:t xml:space="preserve"> (</w:t>
      </w:r>
      <w:r w:rsidRPr="00957A75">
        <w:t>which he also declined</w:t>
      </w:r>
      <w:r w:rsidRPr="00957A75" w:rsidR="00476AD6">
        <w:t xml:space="preserve"> to do</w:t>
      </w:r>
      <w:r w:rsidR="00C55372">
        <w:t>)</w:t>
      </w:r>
      <w:r w:rsidRPr="00957A75">
        <w:t xml:space="preserve">; and the opportunity to appeal the </w:t>
      </w:r>
      <w:r w:rsidR="00316881">
        <w:t>m</w:t>
      </w:r>
      <w:r w:rsidRPr="00957A75">
        <w:t xml:space="preserve">isconduct </w:t>
      </w:r>
      <w:r w:rsidR="00316881">
        <w:t>s</w:t>
      </w:r>
      <w:r w:rsidRPr="00957A75">
        <w:t xml:space="preserve">anctioning </w:t>
      </w:r>
      <w:r w:rsidR="00316881">
        <w:t>p</w:t>
      </w:r>
      <w:r w:rsidRPr="00957A75">
        <w:t xml:space="preserve">anel’s decision to the </w:t>
      </w:r>
      <w:r w:rsidR="00316881">
        <w:t>a</w:t>
      </w:r>
      <w:r w:rsidRPr="00957A75">
        <w:t xml:space="preserve">ppellate </w:t>
      </w:r>
      <w:r w:rsidR="00316881">
        <w:t>p</w:t>
      </w:r>
      <w:r w:rsidRPr="00957A75">
        <w:t xml:space="preserve">anel.  USC was not required to have gone further by conducting a live hearing </w:t>
      </w:r>
      <w:r w:rsidRPr="00957A75" w:rsidR="00476AD6">
        <w:t xml:space="preserve">with </w:t>
      </w:r>
      <w:r w:rsidRPr="00957A75">
        <w:t xml:space="preserve">Boermeester </w:t>
      </w:r>
      <w:r w:rsidRPr="00957A75" w:rsidR="00476AD6">
        <w:t xml:space="preserve">in attendance </w:t>
      </w:r>
      <w:r w:rsidRPr="00957A75">
        <w:t xml:space="preserve">and </w:t>
      </w:r>
      <w:r w:rsidRPr="00957A75" w:rsidR="00476AD6">
        <w:t xml:space="preserve">with Boermeester </w:t>
      </w:r>
      <w:r w:rsidRPr="00957A75">
        <w:t>directly or indirectly cross-examin</w:t>
      </w:r>
      <w:r w:rsidRPr="00957A75" w:rsidR="00476AD6">
        <w:t>ing</w:t>
      </w:r>
      <w:r w:rsidRPr="00957A75">
        <w:t xml:space="preserve"> </w:t>
      </w:r>
      <w:r w:rsidR="000056EF">
        <w:t>the</w:t>
      </w:r>
      <w:r w:rsidRPr="00957A75">
        <w:t xml:space="preserve"> witnesses </w:t>
      </w:r>
      <w:r w:rsidR="000056EF">
        <w:t xml:space="preserve">and asking follow-up questions, either </w:t>
      </w:r>
      <w:r w:rsidRPr="00957A75" w:rsidR="00211DF3">
        <w:t>in person or virtually</w:t>
      </w:r>
      <w:r w:rsidRPr="00957A75">
        <w:t xml:space="preserve">.   </w:t>
      </w:r>
      <w:r w:rsidRPr="00957A75" w:rsidR="00615363">
        <w:t xml:space="preserve"> </w:t>
      </w:r>
      <w:r w:rsidRPr="00957A75" w:rsidR="002F2680">
        <w:t xml:space="preserve"> </w:t>
      </w:r>
      <w:r w:rsidRPr="00957A75" w:rsidR="00CD2DD8">
        <w:t xml:space="preserve"> </w:t>
      </w:r>
    </w:p>
    <w:p w:rsidR="00CC4273" w:rsidP="00050592" w14:paraId="47C8C11F" w14:textId="6FFB9643">
      <w:pPr>
        <w:ind w:firstLine="720"/>
      </w:pPr>
      <w:r w:rsidRPr="00957A75">
        <w:t xml:space="preserve">Boermeester relies on </w:t>
      </w:r>
      <w:r w:rsidRPr="00957A75" w:rsidR="00C45091">
        <w:t xml:space="preserve">recent appellate court </w:t>
      </w:r>
      <w:r w:rsidRPr="00957A75" w:rsidR="00EE5C67">
        <w:t xml:space="preserve">decisions </w:t>
      </w:r>
      <w:r w:rsidRPr="00957A75" w:rsidR="00C45091">
        <w:t>to support his view that fair procedure requires live hearing</w:t>
      </w:r>
      <w:r w:rsidR="00BD7DD8">
        <w:t>s</w:t>
      </w:r>
      <w:r w:rsidRPr="00957A75" w:rsidR="00BE4900">
        <w:t xml:space="preserve"> </w:t>
      </w:r>
      <w:r w:rsidRPr="00957A75" w:rsidR="00F24B17">
        <w:t xml:space="preserve">at which </w:t>
      </w:r>
      <w:r w:rsidRPr="00957A75" w:rsidR="0004602C">
        <w:t xml:space="preserve">accused students </w:t>
      </w:r>
      <w:r w:rsidRPr="00957A75" w:rsidR="00BE4900">
        <w:t xml:space="preserve">are permitted to </w:t>
      </w:r>
      <w:r w:rsidRPr="00957A75" w:rsidR="0004602C">
        <w:t xml:space="preserve">cross-examine witnesses </w:t>
      </w:r>
      <w:r w:rsidRPr="00957A75" w:rsidR="000F5FA8">
        <w:t>(in person or virtually)</w:t>
      </w:r>
      <w:r w:rsidRPr="00957A75">
        <w:t xml:space="preserve">, but most of these cases do not help him.  In </w:t>
      </w:r>
      <w:r w:rsidRPr="00957A75">
        <w:rPr>
          <w:i/>
          <w:iCs/>
        </w:rPr>
        <w:t>U</w:t>
      </w:r>
      <w:r w:rsidR="001F5999">
        <w:rPr>
          <w:i/>
          <w:iCs/>
        </w:rPr>
        <w:t>niversity</w:t>
      </w:r>
      <w:r w:rsidRPr="00957A75">
        <w:rPr>
          <w:i/>
          <w:iCs/>
        </w:rPr>
        <w:t xml:space="preserve"> I</w:t>
      </w:r>
      <w:r w:rsidRPr="00957A75">
        <w:t xml:space="preserve">, the first California appellate case to analyze what procedures might be required in this context, the court </w:t>
      </w:r>
      <w:r w:rsidR="00C55372">
        <w:t>correctly</w:t>
      </w:r>
      <w:r w:rsidRPr="00957A75">
        <w:t xml:space="preserve"> </w:t>
      </w:r>
      <w:r w:rsidRPr="00957A75" w:rsidR="00DB71AF">
        <w:t xml:space="preserve">observed </w:t>
      </w:r>
      <w:r w:rsidRPr="00957A75">
        <w:t>that fair procedure requires only “</w:t>
      </w:r>
      <w:r w:rsidR="009E0867">
        <w:t> </w:t>
      </w:r>
      <w:r w:rsidRPr="00957A75">
        <w:t>‘notice reasonably calculated to apprise interested parties of the pendency of the action .</w:t>
      </w:r>
      <w:r w:rsidR="009E0867">
        <w:t> </w:t>
      </w:r>
      <w:r w:rsidRPr="00957A75">
        <w:t>.</w:t>
      </w:r>
      <w:r w:rsidR="009E0867">
        <w:t> </w:t>
      </w:r>
      <w:r w:rsidRPr="00957A75">
        <w:t>. and an opportunity to present their objections’ ”</w:t>
      </w:r>
      <w:r w:rsidRPr="00957A75" w:rsidR="00B44037">
        <w:t xml:space="preserve"> (</w:t>
      </w:r>
      <w:r w:rsidRPr="00957A75" w:rsidR="00B44037">
        <w:rPr>
          <w:i/>
          <w:iCs/>
        </w:rPr>
        <w:t>U</w:t>
      </w:r>
      <w:r w:rsidR="001F5999">
        <w:rPr>
          <w:i/>
          <w:iCs/>
        </w:rPr>
        <w:t>niversity</w:t>
      </w:r>
      <w:r w:rsidRPr="00957A75" w:rsidR="00B44037">
        <w:rPr>
          <w:i/>
          <w:iCs/>
        </w:rPr>
        <w:t xml:space="preserve"> I</w:t>
      </w:r>
      <w:r w:rsidRPr="00957A75" w:rsidR="00B44037">
        <w:t xml:space="preserve">, </w:t>
      </w:r>
      <w:r w:rsidRPr="00957A75" w:rsidR="00B44037">
        <w:rPr>
          <w:i/>
          <w:iCs/>
        </w:rPr>
        <w:t>supra</w:t>
      </w:r>
      <w:r w:rsidRPr="00957A75" w:rsidR="00B44037">
        <w:t>, 246</w:t>
      </w:r>
      <w:r w:rsidR="009E0867">
        <w:t> </w:t>
      </w:r>
      <w:r w:rsidRPr="00957A75" w:rsidR="00B44037">
        <w:t>Cal.App.4th at p.</w:t>
      </w:r>
      <w:r w:rsidRPr="00957A75" w:rsidR="0004602C">
        <w:t> </w:t>
      </w:r>
      <w:r w:rsidRPr="00957A75" w:rsidR="00B44037">
        <w:t>240) and</w:t>
      </w:r>
      <w:r w:rsidRPr="00957A75" w:rsidR="00DB71AF">
        <w:t xml:space="preserve"> concluded</w:t>
      </w:r>
      <w:r w:rsidRPr="00957A75" w:rsidR="00B44037">
        <w:t xml:space="preserve"> </w:t>
      </w:r>
      <w:r w:rsidRPr="00957A75" w:rsidR="0004602C">
        <w:t xml:space="preserve">from this </w:t>
      </w:r>
      <w:r w:rsidRPr="00957A75" w:rsidR="00B44037">
        <w:t>that “a full trial-like proceeding with the right of cross-examination is not necessary” (</w:t>
      </w:r>
      <w:r w:rsidRPr="00957A75" w:rsidR="00B44037">
        <w:rPr>
          <w:i/>
          <w:iCs/>
        </w:rPr>
        <w:t>i</w:t>
      </w:r>
      <w:r w:rsidRPr="00957A75">
        <w:rPr>
          <w:i/>
          <w:iCs/>
        </w:rPr>
        <w:t>d.</w:t>
      </w:r>
      <w:r w:rsidRPr="00957A75">
        <w:t xml:space="preserve"> at p.</w:t>
      </w:r>
      <w:r w:rsidR="009E0867">
        <w:t> </w:t>
      </w:r>
      <w:r w:rsidRPr="00957A75">
        <w:t>248)</w:t>
      </w:r>
      <w:r w:rsidRPr="00957A75" w:rsidR="00B44037">
        <w:t>.</w:t>
      </w:r>
      <w:r w:rsidRPr="00957A75">
        <w:t xml:space="preserve">  It is true that, subsequent to the </w:t>
      </w:r>
      <w:r w:rsidRPr="00957A75">
        <w:rPr>
          <w:i/>
          <w:iCs/>
        </w:rPr>
        <w:t>U</w:t>
      </w:r>
      <w:r w:rsidR="001F5999">
        <w:rPr>
          <w:i/>
          <w:iCs/>
        </w:rPr>
        <w:t>niversity</w:t>
      </w:r>
      <w:r w:rsidRPr="00957A75">
        <w:rPr>
          <w:i/>
          <w:iCs/>
        </w:rPr>
        <w:t xml:space="preserve"> I </w:t>
      </w:r>
      <w:r w:rsidRPr="00957A75">
        <w:t>decision</w:t>
      </w:r>
      <w:r w:rsidRPr="00957A75">
        <w:rPr>
          <w:i/>
          <w:iCs/>
        </w:rPr>
        <w:t xml:space="preserve">, </w:t>
      </w:r>
      <w:r w:rsidRPr="00957A75">
        <w:t xml:space="preserve">some courts have held that private universities </w:t>
      </w:r>
      <w:r w:rsidRPr="00957A75" w:rsidR="00B44037">
        <w:t>must</w:t>
      </w:r>
      <w:r w:rsidRPr="00957A75">
        <w:t xml:space="preserve"> </w:t>
      </w:r>
      <w:r w:rsidRPr="00957A75" w:rsidR="00B44037">
        <w:t>allow</w:t>
      </w:r>
      <w:r w:rsidRPr="00957A75">
        <w:t xml:space="preserve"> the accused student to indirectly cross-examine the accuser or third</w:t>
      </w:r>
      <w:r w:rsidR="008F264D">
        <w:t xml:space="preserve"> </w:t>
      </w:r>
      <w:r w:rsidRPr="00957A75">
        <w:t xml:space="preserve">party witnesses where the </w:t>
      </w:r>
      <w:r w:rsidR="00DA4251">
        <w:t xml:space="preserve">adjudication “turns on witness credibility,” </w:t>
      </w:r>
      <w:r w:rsidRPr="00957A75">
        <w:t xml:space="preserve">but most of these decisions have not specified that the indirect cross-examination </w:t>
      </w:r>
      <w:r w:rsidRPr="00957A75" w:rsidR="00B44037">
        <w:t>should</w:t>
      </w:r>
      <w:r w:rsidRPr="00957A75">
        <w:t xml:space="preserve"> occur within the context of a live hearing.  (</w:t>
      </w:r>
      <w:r w:rsidRPr="00957A75" w:rsidR="00DA4251">
        <w:rPr>
          <w:i/>
          <w:iCs/>
        </w:rPr>
        <w:t>Westmont</w:t>
      </w:r>
      <w:r w:rsidRPr="00957A75" w:rsidR="00DA4251">
        <w:t>,</w:t>
      </w:r>
      <w:r w:rsidRPr="00957A75" w:rsidR="00DA4251">
        <w:rPr>
          <w:i/>
          <w:iCs/>
        </w:rPr>
        <w:t xml:space="preserve"> supra, </w:t>
      </w:r>
      <w:r w:rsidRPr="00957A75" w:rsidR="00DA4251">
        <w:t>34 Cal.App.5th at p. 638</w:t>
      </w:r>
      <w:r w:rsidR="00DA4251">
        <w:t>; accord</w:t>
      </w:r>
      <w:r w:rsidR="0093645A">
        <w:t>,</w:t>
      </w:r>
      <w:r w:rsidR="00DA4251">
        <w:t xml:space="preserve"> </w:t>
      </w:r>
      <w:r w:rsidR="00AC012E">
        <w:rPr>
          <w:i/>
          <w:iCs/>
        </w:rPr>
        <w:t>Doe v. Claremont McKenna College</w:t>
      </w:r>
      <w:r w:rsidR="00AC012E">
        <w:t xml:space="preserve"> (2018) 25 Cal.App.5th 1055,</w:t>
      </w:r>
      <w:r w:rsidR="00395423">
        <w:t> </w:t>
      </w:r>
      <w:r w:rsidRPr="00957A75">
        <w:t>1070</w:t>
      </w:r>
      <w:r w:rsidR="00AC012E">
        <w:t xml:space="preserve"> (</w:t>
      </w:r>
      <w:r w:rsidR="00AC012E">
        <w:rPr>
          <w:i/>
          <w:iCs/>
        </w:rPr>
        <w:t>Claremont McKenna</w:t>
      </w:r>
      <w:r w:rsidR="00AC012E">
        <w:t>)</w:t>
      </w:r>
      <w:r w:rsidRPr="00957A75">
        <w:t xml:space="preserve">; </w:t>
      </w:r>
      <w:bookmarkStart w:id="57" w:name="_Hlk137735180"/>
      <w:bookmarkStart w:id="58" w:name="_Hlk138162218"/>
      <w:r w:rsidRPr="00957A75">
        <w:rPr>
          <w:i/>
          <w:iCs/>
        </w:rPr>
        <w:t>Doe v. University of Southern California</w:t>
      </w:r>
      <w:r w:rsidRPr="00957A75">
        <w:t xml:space="preserve"> (2018) 29</w:t>
      </w:r>
      <w:r w:rsidR="00D5145E">
        <w:t> </w:t>
      </w:r>
      <w:r w:rsidRPr="00957A75">
        <w:t>Cal.App.5th 1212, 1237 (</w:t>
      </w:r>
      <w:r w:rsidRPr="00957A75">
        <w:rPr>
          <w:i/>
          <w:iCs/>
        </w:rPr>
        <w:t>U</w:t>
      </w:r>
      <w:r w:rsidR="001F5999">
        <w:rPr>
          <w:i/>
          <w:iCs/>
        </w:rPr>
        <w:t>niversity</w:t>
      </w:r>
      <w:r w:rsidRPr="00957A75">
        <w:rPr>
          <w:i/>
          <w:iCs/>
        </w:rPr>
        <w:t xml:space="preserve"> II</w:t>
      </w:r>
      <w:r w:rsidRPr="00957A75">
        <w:t>)</w:t>
      </w:r>
      <w:bookmarkEnd w:id="57"/>
      <w:r>
        <w:t xml:space="preserve">; see also </w:t>
      </w:r>
      <w:r w:rsidRPr="00957A75">
        <w:rPr>
          <w:i/>
          <w:iCs/>
        </w:rPr>
        <w:t>Regents I</w:t>
      </w:r>
      <w:r w:rsidRPr="00957A75">
        <w:t>,</w:t>
      </w:r>
      <w:r w:rsidRPr="00957A75">
        <w:rPr>
          <w:i/>
          <w:iCs/>
        </w:rPr>
        <w:t xml:space="preserve"> supra</w:t>
      </w:r>
      <w:r w:rsidRPr="00957A75">
        <w:t>, 5</w:t>
      </w:r>
      <w:r>
        <w:t> </w:t>
      </w:r>
      <w:r w:rsidRPr="00957A75">
        <w:t xml:space="preserve">Cal.App.5th at p. 1084.)  </w:t>
      </w:r>
      <w:bookmarkEnd w:id="58"/>
      <w:r w:rsidRPr="00957A75" w:rsidR="00E1686D">
        <w:t xml:space="preserve">In </w:t>
      </w:r>
      <w:r w:rsidRPr="00957A75" w:rsidR="00E1686D">
        <w:rPr>
          <w:i/>
          <w:iCs/>
        </w:rPr>
        <w:t>U</w:t>
      </w:r>
      <w:r w:rsidR="000004A4">
        <w:rPr>
          <w:i/>
          <w:iCs/>
        </w:rPr>
        <w:t>niversity</w:t>
      </w:r>
      <w:r w:rsidRPr="00957A75" w:rsidR="00E1686D">
        <w:rPr>
          <w:i/>
          <w:iCs/>
        </w:rPr>
        <w:t xml:space="preserve"> II</w:t>
      </w:r>
      <w:r w:rsidRPr="00957A75" w:rsidR="00E1686D">
        <w:t xml:space="preserve">, for example, the </w:t>
      </w:r>
      <w:r w:rsidRPr="00957A75" w:rsidR="00B44037">
        <w:t>court directed</w:t>
      </w:r>
      <w:r w:rsidRPr="00957A75" w:rsidR="00E1686D">
        <w:t xml:space="preserve"> the private university </w:t>
      </w:r>
      <w:r w:rsidRPr="00957A75" w:rsidR="00B44037">
        <w:t>to</w:t>
      </w:r>
      <w:r w:rsidRPr="00957A75" w:rsidR="00E1686D">
        <w:t xml:space="preserve"> </w:t>
      </w:r>
      <w:r w:rsidRPr="00957A75" w:rsidR="00B44037">
        <w:t>give</w:t>
      </w:r>
      <w:r w:rsidRPr="00957A75" w:rsidR="00E1686D">
        <w:t xml:space="preserve"> the accused student “an opportunity to submit a list of questions” for the university’s adjudicators to ask the accuser if it </w:t>
      </w:r>
      <w:r w:rsidRPr="00957A75" w:rsidR="00B44037">
        <w:t xml:space="preserve">proceeded with a new disciplinary proceeding </w:t>
      </w:r>
      <w:r w:rsidRPr="00957A75" w:rsidR="00E1686D">
        <w:t>upon remand</w:t>
      </w:r>
      <w:r w:rsidRPr="00957A75" w:rsidR="00B44037">
        <w:t xml:space="preserve"> (</w:t>
      </w:r>
      <w:r w:rsidRPr="00957A75" w:rsidR="00B44037">
        <w:rPr>
          <w:i/>
          <w:iCs/>
        </w:rPr>
        <w:t>U</w:t>
      </w:r>
      <w:r w:rsidR="001F5999">
        <w:rPr>
          <w:i/>
          <w:iCs/>
        </w:rPr>
        <w:t>niversity</w:t>
      </w:r>
      <w:r w:rsidRPr="00957A75" w:rsidR="00B44037">
        <w:rPr>
          <w:i/>
          <w:iCs/>
        </w:rPr>
        <w:t xml:space="preserve"> II</w:t>
      </w:r>
      <w:r w:rsidRPr="00957A75" w:rsidR="00B44037">
        <w:t>, at p.</w:t>
      </w:r>
      <w:r w:rsidR="00395423">
        <w:t> </w:t>
      </w:r>
      <w:r w:rsidRPr="00957A75" w:rsidR="00B44037">
        <w:t xml:space="preserve">1238), but it did </w:t>
      </w:r>
      <w:r w:rsidRPr="00957A75" w:rsidR="000F5FA8">
        <w:t xml:space="preserve">not </w:t>
      </w:r>
      <w:r w:rsidRPr="00957A75" w:rsidR="00B44037">
        <w:t>direct the university to conduct a hearing</w:t>
      </w:r>
      <w:r>
        <w:t> —</w:t>
      </w:r>
      <w:r w:rsidR="00DD5536">
        <w:t xml:space="preserve"> </w:t>
      </w:r>
      <w:r w:rsidRPr="00957A75" w:rsidR="00B44037">
        <w:t xml:space="preserve">even after acknowledging that the university’s policies did not </w:t>
      </w:r>
      <w:r w:rsidR="00BD7DD8">
        <w:t>allow for</w:t>
      </w:r>
      <w:r w:rsidRPr="00957A75" w:rsidR="00B44037">
        <w:t xml:space="preserve"> a hearing (see </w:t>
      </w:r>
      <w:r w:rsidRPr="00957A75" w:rsidR="00B44037">
        <w:rPr>
          <w:i/>
          <w:iCs/>
        </w:rPr>
        <w:t>id.</w:t>
      </w:r>
      <w:r w:rsidRPr="00957A75" w:rsidR="00B44037">
        <w:t xml:space="preserve"> at pp.</w:t>
      </w:r>
      <w:r w:rsidR="00D5145E">
        <w:t> </w:t>
      </w:r>
      <w:r w:rsidRPr="00957A75" w:rsidR="00B44037">
        <w:t>1235, 1238)</w:t>
      </w:r>
      <w:r w:rsidRPr="00957A75" w:rsidR="00E1686D">
        <w:t>.  Moreover, courts have been careful to observe that there exist several “ ‘alternate ways of providing accused students with the opportunity to hear the evidence being presented against them’</w:t>
      </w:r>
      <w:r w:rsidR="008C5159">
        <w:t> </w:t>
      </w:r>
      <w:r w:rsidRPr="00957A75" w:rsidR="00E1686D">
        <w:t>” and to rebut such evidence, other than “permit[ting] [the accused student’s] presence during the [witnesses’] testimony.”  (</w:t>
      </w:r>
      <w:r w:rsidRPr="00957A75" w:rsidR="00E1686D">
        <w:rPr>
          <w:i/>
          <w:iCs/>
        </w:rPr>
        <w:t>Westmont</w:t>
      </w:r>
      <w:r w:rsidRPr="00957A75" w:rsidR="00E1686D">
        <w:t>, at p.</w:t>
      </w:r>
      <w:r w:rsidR="008C5159">
        <w:t> </w:t>
      </w:r>
      <w:r w:rsidRPr="00957A75" w:rsidR="00E1686D">
        <w:t>638; accord</w:t>
      </w:r>
      <w:r w:rsidR="0093645A">
        <w:t>,</w:t>
      </w:r>
      <w:r w:rsidRPr="00957A75" w:rsidR="00E1686D">
        <w:t xml:space="preserve"> </w:t>
      </w:r>
      <w:r w:rsidRPr="00957A75" w:rsidR="00E1686D">
        <w:rPr>
          <w:i/>
          <w:iCs/>
        </w:rPr>
        <w:t>U</w:t>
      </w:r>
      <w:r w:rsidR="001F5999">
        <w:rPr>
          <w:i/>
          <w:iCs/>
        </w:rPr>
        <w:t>niversity</w:t>
      </w:r>
      <w:r w:rsidRPr="00957A75" w:rsidR="00E1686D">
        <w:rPr>
          <w:i/>
          <w:iCs/>
        </w:rPr>
        <w:t xml:space="preserve"> I</w:t>
      </w:r>
      <w:r w:rsidRPr="00CC4273">
        <w:t xml:space="preserve">, </w:t>
      </w:r>
      <w:r w:rsidRPr="00957A75" w:rsidR="00E1686D">
        <w:t>at p.</w:t>
      </w:r>
      <w:r w:rsidR="009E0867">
        <w:t> </w:t>
      </w:r>
      <w:r w:rsidRPr="00957A75" w:rsidR="00E1686D">
        <w:t xml:space="preserve">245, fn. 12.)  </w:t>
      </w:r>
    </w:p>
    <w:p w:rsidR="00267772" w:rsidRPr="00957A75" w:rsidP="00050592" w14:paraId="47C8C120" w14:textId="77777777">
      <w:pPr>
        <w:ind w:firstLine="720"/>
      </w:pPr>
      <w:r w:rsidRPr="00957A75">
        <w:t>Indeed, a</w:t>
      </w:r>
      <w:r w:rsidRPr="00957A75" w:rsidR="0063798D">
        <w:t xml:space="preserve">side from the </w:t>
      </w:r>
      <w:r w:rsidR="00CC4273">
        <w:t xml:space="preserve">split opinion of the </w:t>
      </w:r>
      <w:r w:rsidRPr="00957A75" w:rsidR="0063798D">
        <w:t>Court of Appeal</w:t>
      </w:r>
      <w:r w:rsidR="00CC4273">
        <w:t xml:space="preserve"> below</w:t>
      </w:r>
      <w:r w:rsidRPr="00957A75" w:rsidR="0063798D">
        <w:t xml:space="preserve">, </w:t>
      </w:r>
      <w:r w:rsidRPr="00957A75" w:rsidR="0063798D">
        <w:rPr>
          <w:i/>
          <w:iCs/>
        </w:rPr>
        <w:t xml:space="preserve">Doe v. Allee </w:t>
      </w:r>
      <w:r w:rsidRPr="00957A75" w:rsidR="0063798D">
        <w:t xml:space="preserve">(2019) </w:t>
      </w:r>
      <w:bookmarkStart w:id="59" w:name="_Hlk137558721"/>
      <w:r w:rsidRPr="00957A75" w:rsidR="0063798D">
        <w:t>30 Cal.App.5th 1036</w:t>
      </w:r>
      <w:r w:rsidRPr="00957A75" w:rsidR="00DD3B47">
        <w:t xml:space="preserve"> </w:t>
      </w:r>
      <w:bookmarkEnd w:id="59"/>
      <w:r w:rsidRPr="00957A75" w:rsidR="00DD3B47">
        <w:t>is the only decision</w:t>
      </w:r>
      <w:r w:rsidRPr="00957A75" w:rsidR="0063798D">
        <w:t xml:space="preserve"> </w:t>
      </w:r>
      <w:r w:rsidRPr="00957A75" w:rsidR="000F5FA8">
        <w:t xml:space="preserve">to hold </w:t>
      </w:r>
      <w:r w:rsidRPr="00957A75" w:rsidR="0063798D">
        <w:t xml:space="preserve">that </w:t>
      </w:r>
      <w:r w:rsidR="00CC4273">
        <w:t xml:space="preserve">a private university must allow an accused student to </w:t>
      </w:r>
      <w:r w:rsidRPr="00957A75" w:rsidR="0063798D">
        <w:t>indirect</w:t>
      </w:r>
      <w:r w:rsidR="00CC4273">
        <w:t>ly</w:t>
      </w:r>
      <w:r w:rsidRPr="00957A75" w:rsidR="0063798D">
        <w:t xml:space="preserve"> cross-examin</w:t>
      </w:r>
      <w:r w:rsidR="00CC4273">
        <w:t>e witnesses</w:t>
      </w:r>
      <w:r w:rsidRPr="00957A75" w:rsidR="0063798D">
        <w:t xml:space="preserve"> </w:t>
      </w:r>
      <w:r w:rsidRPr="00957A75" w:rsidR="0004602C">
        <w:t>“</w:t>
      </w:r>
      <w:r w:rsidRPr="00957A75" w:rsidR="0063798D">
        <w:t>at a hearing at which the witnesses appear</w:t>
      </w:r>
      <w:r w:rsidR="00BD7DD8">
        <w:t>[]</w:t>
      </w:r>
      <w:r w:rsidRPr="00957A75" w:rsidR="0063798D">
        <w:t xml:space="preserve"> </w:t>
      </w:r>
      <w:r w:rsidRPr="00957A75" w:rsidR="0004602C">
        <w:t xml:space="preserve">in person or by other means </w:t>
      </w:r>
      <w:r w:rsidR="00D5145E">
        <w:t>[</w:t>
      </w:r>
      <w:r w:rsidRPr="00957A75" w:rsidR="0004602C">
        <w:t>e.g., videoconferencing</w:t>
      </w:r>
      <w:r w:rsidR="00D5145E">
        <w:t>]</w:t>
      </w:r>
      <w:r w:rsidRPr="00957A75" w:rsidR="0004602C">
        <w:t>,</w:t>
      </w:r>
      <w:r w:rsidRPr="00957A75" w:rsidR="0063798D">
        <w:t>”</w:t>
      </w:r>
      <w:r w:rsidRPr="00957A75" w:rsidR="0004602C">
        <w:t xml:space="preserve"> even where the private university’s policies do not provide a hearing.</w:t>
      </w:r>
      <w:r w:rsidRPr="00957A75" w:rsidR="00C45091">
        <w:t xml:space="preserve"> </w:t>
      </w:r>
      <w:r w:rsidRPr="00957A75" w:rsidR="000F5FA8">
        <w:t xml:space="preserve"> </w:t>
      </w:r>
      <w:r w:rsidRPr="00957A75" w:rsidR="00C45091">
        <w:t>(</w:t>
      </w:r>
      <w:r w:rsidRPr="00957A75" w:rsidR="000F5FA8">
        <w:rPr>
          <w:i/>
          <w:iCs/>
        </w:rPr>
        <w:t>I</w:t>
      </w:r>
      <w:r w:rsidRPr="00957A75" w:rsidR="00C45091">
        <w:rPr>
          <w:i/>
          <w:iCs/>
        </w:rPr>
        <w:t>d</w:t>
      </w:r>
      <w:r w:rsidRPr="00957A75" w:rsidR="00C45091">
        <w:t>. at p. </w:t>
      </w:r>
      <w:r w:rsidRPr="00957A75" w:rsidR="00CB36CC">
        <w:t>1071</w:t>
      </w:r>
      <w:r w:rsidRPr="00957A75" w:rsidR="000F5FA8">
        <w:t>.</w:t>
      </w:r>
      <w:r w:rsidRPr="00957A75" w:rsidR="00C45091">
        <w:t>)</w:t>
      </w:r>
      <w:r w:rsidRPr="00957A75" w:rsidR="000F5FA8">
        <w:t xml:space="preserve">  T</w:t>
      </w:r>
      <w:r w:rsidRPr="00957A75" w:rsidR="00C45091">
        <w:t xml:space="preserve">he </w:t>
      </w:r>
      <w:r w:rsidRPr="00957A75" w:rsidR="00C45091">
        <w:rPr>
          <w:i/>
          <w:iCs/>
        </w:rPr>
        <w:t xml:space="preserve">Allee </w:t>
      </w:r>
      <w:r w:rsidRPr="00957A75" w:rsidR="00C45091">
        <w:t>court</w:t>
      </w:r>
      <w:r w:rsidRPr="00957A75" w:rsidR="00CB36CC">
        <w:t xml:space="preserve"> acknowledged that fair procedure “requirements are ‘flexible’ and entail no ‘rigid procedure’</w:t>
      </w:r>
      <w:r w:rsidR="00D5145E">
        <w:t> </w:t>
      </w:r>
      <w:r w:rsidRPr="00957A75" w:rsidR="00CB36CC">
        <w:t>” (</w:t>
      </w:r>
      <w:r w:rsidRPr="00957A75" w:rsidR="00CB36CC">
        <w:rPr>
          <w:i/>
          <w:iCs/>
        </w:rPr>
        <w:t xml:space="preserve">id. </w:t>
      </w:r>
      <w:r w:rsidRPr="00957A75" w:rsidR="00CB36CC">
        <w:t>at p.</w:t>
      </w:r>
      <w:r w:rsidR="00D5145E">
        <w:t> </w:t>
      </w:r>
      <w:r w:rsidRPr="00957A75" w:rsidR="00CB36CC">
        <w:t xml:space="preserve">1062), yet it </w:t>
      </w:r>
      <w:r w:rsidRPr="00957A75" w:rsidR="00C45091">
        <w:t xml:space="preserve">failed to explain how </w:t>
      </w:r>
      <w:r w:rsidRPr="00957A75" w:rsidR="000F5FA8">
        <w:t>its</w:t>
      </w:r>
      <w:r w:rsidRPr="00957A75" w:rsidR="00C45091">
        <w:t xml:space="preserve"> </w:t>
      </w:r>
      <w:r w:rsidRPr="00957A75" w:rsidR="000F5FA8">
        <w:t xml:space="preserve">holding </w:t>
      </w:r>
      <w:r w:rsidRPr="00957A75" w:rsidR="00C45091">
        <w:t xml:space="preserve">comports with </w:t>
      </w:r>
      <w:r w:rsidRPr="00957A75" w:rsidR="00CB36CC">
        <w:t>these</w:t>
      </w:r>
      <w:r w:rsidRPr="00957A75" w:rsidR="00C45091">
        <w:t xml:space="preserve"> principles</w:t>
      </w:r>
      <w:r w:rsidRPr="00957A75" w:rsidR="00CB36CC">
        <w:t>.  We accordingly</w:t>
      </w:r>
      <w:r w:rsidRPr="00957A75" w:rsidR="000F5FA8">
        <w:t xml:space="preserve"> </w:t>
      </w:r>
      <w:r w:rsidRPr="00957A75" w:rsidR="00C45091">
        <w:t>disapprove of</w:t>
      </w:r>
      <w:r w:rsidRPr="00957A75">
        <w:t xml:space="preserve"> </w:t>
      </w:r>
      <w:r w:rsidRPr="00957A75" w:rsidR="00CF50D5">
        <w:rPr>
          <w:i/>
          <w:iCs/>
        </w:rPr>
        <w:t xml:space="preserve">Doe v. </w:t>
      </w:r>
      <w:r w:rsidRPr="00957A75">
        <w:rPr>
          <w:i/>
          <w:iCs/>
        </w:rPr>
        <w:t>Allee</w:t>
      </w:r>
      <w:r w:rsidR="00DB0A01">
        <w:t>,</w:t>
      </w:r>
      <w:r w:rsidR="009C2FBD">
        <w:t xml:space="preserve"> </w:t>
      </w:r>
      <w:r w:rsidR="00CF50D5">
        <w:rPr>
          <w:i/>
          <w:iCs/>
        </w:rPr>
        <w:t>supra</w:t>
      </w:r>
      <w:r w:rsidR="00CF50D5">
        <w:t>,</w:t>
      </w:r>
      <w:r w:rsidRPr="00957A75" w:rsidR="00CF50D5">
        <w:t xml:space="preserve"> 30 Cal.App.5th 1036</w:t>
      </w:r>
      <w:r w:rsidR="00CF50D5">
        <w:t xml:space="preserve"> </w:t>
      </w:r>
      <w:r w:rsidRPr="00957A75" w:rsidR="00C45091">
        <w:t xml:space="preserve">to the extent it is inconsistent with </w:t>
      </w:r>
      <w:r w:rsidRPr="00957A75" w:rsidR="000F5FA8">
        <w:t>our</w:t>
      </w:r>
      <w:r w:rsidRPr="00957A75" w:rsidR="00C45091">
        <w:t xml:space="preserve"> opinion.    </w:t>
      </w:r>
    </w:p>
    <w:p w:rsidR="00B44037" w:rsidRPr="00957A75" w:rsidP="00050592" w14:paraId="47C8C121" w14:textId="77777777">
      <w:pPr>
        <w:ind w:firstLine="720"/>
      </w:pPr>
      <w:r w:rsidRPr="00957A75">
        <w:t>At oral argument, Boermeester’s counsel asserted that</w:t>
      </w:r>
      <w:r w:rsidR="00DB394F">
        <w:t xml:space="preserve"> providing</w:t>
      </w:r>
      <w:r w:rsidRPr="00957A75">
        <w:t xml:space="preserve"> direct or indirect cross-examination of the accuser or other witnesses outside of a live hearing attended by the accused student is inadequate because the private university may “filter” or misrepresent witnesses’ answers to </w:t>
      </w:r>
      <w:r w:rsidRPr="00957A75" w:rsidR="00DB71AF">
        <w:t xml:space="preserve">the accused student’s </w:t>
      </w:r>
      <w:r w:rsidRPr="00957A75">
        <w:t>questions.  Of course, if universities choose to question the accuser or other witnesses outside of the accused</w:t>
      </w:r>
      <w:r w:rsidR="00BD7DD8">
        <w:t xml:space="preserve"> student</w:t>
      </w:r>
      <w:r w:rsidRPr="00957A75">
        <w:t xml:space="preserve">’s presence, they will need to conceive of a method by which to meaningfully convey the responses to the accused student, such as by providing the accused student with transcripts, video or audio recordings, or reasonably detailed summaries of the testimony.  (See </w:t>
      </w:r>
      <w:r w:rsidRPr="00957A75">
        <w:rPr>
          <w:i/>
          <w:iCs/>
        </w:rPr>
        <w:t>Westmont</w:t>
      </w:r>
      <w:r w:rsidRPr="00957A75">
        <w:t xml:space="preserve">, </w:t>
      </w:r>
      <w:r w:rsidRPr="00957A75">
        <w:rPr>
          <w:i/>
          <w:iCs/>
        </w:rPr>
        <w:t>supra</w:t>
      </w:r>
      <w:r w:rsidRPr="00957A75">
        <w:t xml:space="preserve">, 34 Cal.App.5th at p. 638.)  </w:t>
      </w:r>
      <w:r w:rsidR="00026559">
        <w:t>We leave these specific procedures up to the university</w:t>
      </w:r>
      <w:r w:rsidR="00C13C2F">
        <w:t xml:space="preserve"> to determine</w:t>
      </w:r>
      <w:r w:rsidR="00026559">
        <w:t xml:space="preserve">.  </w:t>
      </w:r>
      <w:r w:rsidRPr="00957A75">
        <w:t xml:space="preserve">But we see no reason to </w:t>
      </w:r>
      <w:r w:rsidR="00026559">
        <w:t>address</w:t>
      </w:r>
      <w:r w:rsidRPr="00957A75">
        <w:t xml:space="preserve"> the theoretical risk that </w:t>
      </w:r>
      <w:r w:rsidRPr="00957A75" w:rsidR="0004602C">
        <w:t xml:space="preserve">private </w:t>
      </w:r>
      <w:r w:rsidRPr="00957A75" w:rsidR="00DB71AF">
        <w:t xml:space="preserve">universities may filter </w:t>
      </w:r>
      <w:r w:rsidRPr="00957A75" w:rsidR="00FA084A">
        <w:t xml:space="preserve">answers </w:t>
      </w:r>
      <w:r w:rsidRPr="00957A75">
        <w:t>by</w:t>
      </w:r>
      <w:r w:rsidR="00026559">
        <w:t>, in response,</w:t>
      </w:r>
      <w:r w:rsidRPr="00957A75">
        <w:t xml:space="preserve"> categorically requiring </w:t>
      </w:r>
      <w:r w:rsidR="00DB394F">
        <w:t xml:space="preserve">them to conduct a live hearing </w:t>
      </w:r>
      <w:r w:rsidR="00B47AC6">
        <w:t>with the accused student in attendance and at which the accused student is allowed to</w:t>
      </w:r>
      <w:r w:rsidR="00DB394F">
        <w:t xml:space="preserve"> directly or indirectly cross-examine witnesses.  </w:t>
      </w:r>
    </w:p>
    <w:p w:rsidR="00081C45" w:rsidRPr="00957A75" w:rsidP="00050592" w14:paraId="47C8C122" w14:textId="77777777">
      <w:pPr>
        <w:ind w:firstLine="720"/>
      </w:pPr>
      <w:r w:rsidRPr="00957A75">
        <w:t xml:space="preserve">We note that this is not a case in which the accused student was </w:t>
      </w:r>
      <w:r w:rsidRPr="00957A75" w:rsidR="0004602C">
        <w:t>given</w:t>
      </w:r>
      <w:r w:rsidRPr="00957A75">
        <w:t xml:space="preserve"> </w:t>
      </w:r>
      <w:r w:rsidRPr="00957A75">
        <w:rPr>
          <w:i/>
          <w:iCs/>
        </w:rPr>
        <w:t>no</w:t>
      </w:r>
      <w:r w:rsidRPr="00957A75">
        <w:t xml:space="preserve"> hearing at all.  </w:t>
      </w:r>
      <w:r w:rsidRPr="00957A75" w:rsidR="00DA4071">
        <w:t>As described above, the</w:t>
      </w:r>
      <w:r w:rsidRPr="00957A75">
        <w:t xml:space="preserve"> parties agree that USC’s policies </w:t>
      </w:r>
      <w:r w:rsidRPr="00957A75" w:rsidR="0004602C">
        <w:t>provided</w:t>
      </w:r>
      <w:r w:rsidRPr="00957A75">
        <w:t xml:space="preserve"> separate and individual eviden</w:t>
      </w:r>
      <w:r w:rsidRPr="00957A75" w:rsidR="0004602C">
        <w:t>ce</w:t>
      </w:r>
      <w:r w:rsidRPr="00957A75">
        <w:t xml:space="preserve"> hearings for both Boermeester and Roe, and that USC complied with its policies by offering the parties the opportunity to attend their separate eviden</w:t>
      </w:r>
      <w:r w:rsidRPr="00957A75" w:rsidR="0004602C">
        <w:t>ce</w:t>
      </w:r>
      <w:r w:rsidRPr="00957A75">
        <w:t xml:space="preserve"> hearings.  </w:t>
      </w:r>
      <w:r w:rsidRPr="00957A75" w:rsidR="00E474C5">
        <w:t>Alt</w:t>
      </w:r>
      <w:r w:rsidRPr="00957A75">
        <w:t xml:space="preserve">hough Boermeester </w:t>
      </w:r>
      <w:r w:rsidR="00DB394F">
        <w:t xml:space="preserve">could not have cross-examined </w:t>
      </w:r>
      <w:r w:rsidRPr="00957A75">
        <w:t>Roe or the third</w:t>
      </w:r>
      <w:r w:rsidR="001F18C3">
        <w:t xml:space="preserve"> </w:t>
      </w:r>
      <w:r w:rsidRPr="00957A75">
        <w:t xml:space="preserve">party witnesses in real time at his hearing, he could have responded to the evidence and presented his defense before USC’s adjudicators had he chosen to attend </w:t>
      </w:r>
      <w:r w:rsidR="00DB394F">
        <w:t>his</w:t>
      </w:r>
      <w:r w:rsidRPr="00957A75">
        <w:t xml:space="preserve"> hearing.  We do not opine on whether and under what circumstances a private university might properly choose to refrain from providing an accused student with a hearing </w:t>
      </w:r>
      <w:r w:rsidR="000056EF">
        <w:t>that</w:t>
      </w:r>
      <w:r w:rsidRPr="00957A75">
        <w:t xml:space="preserve"> gives the accused student the opportunity to respond to the evidence before the university’s adjudicators, since such a hearing was offered to the accused student in this case.  </w:t>
      </w:r>
    </w:p>
    <w:p w:rsidR="00ED2EF4" w:rsidRPr="00957A75" w:rsidP="00050592" w14:paraId="47C8C123" w14:textId="77777777">
      <w:pPr>
        <w:ind w:firstLine="720"/>
      </w:pPr>
      <w:r w:rsidRPr="00957A75">
        <w:t xml:space="preserve">We also do not opine on whether and under what circumstances a private university might be </w:t>
      </w:r>
      <w:r w:rsidRPr="00BD7DD8">
        <w:rPr>
          <w:i/>
          <w:iCs/>
        </w:rPr>
        <w:t>required</w:t>
      </w:r>
      <w:r w:rsidRPr="00957A75">
        <w:t xml:space="preserve"> to allow the accused student to indirectly cross-examine the accuser by submitting questions for the university’s adjudicators to ask the accuser outside of the context of a live hearing or the accused student’s presence</w:t>
      </w:r>
      <w:r w:rsidRPr="00957A75" w:rsidR="00544E24">
        <w:t xml:space="preserve">, </w:t>
      </w:r>
      <w:r w:rsidRPr="00957A75">
        <w:t>since</w:t>
      </w:r>
      <w:r w:rsidRPr="00957A75" w:rsidR="00544E24">
        <w:t xml:space="preserve"> </w:t>
      </w:r>
      <w:r w:rsidRPr="00957A75">
        <w:t xml:space="preserve">USC afforded Boermeester the opportunity to submit questions for the Title IX </w:t>
      </w:r>
      <w:r w:rsidRPr="00957A75" w:rsidR="00141B89">
        <w:t>coordinator</w:t>
      </w:r>
      <w:r w:rsidRPr="00957A75">
        <w:t xml:space="preserve"> to ask Roe at her separate evidence hearing</w:t>
      </w:r>
      <w:r w:rsidRPr="00957A75" w:rsidR="00544E24">
        <w:t xml:space="preserve">.  Similarly, we </w:t>
      </w:r>
      <w:r w:rsidRPr="00957A75" w:rsidR="0049274B">
        <w:t>do not opine on whether USC’s procedure was unfair because Boermeester was not allowed to submit questions for USC’s adjudicators to ask the third</w:t>
      </w:r>
      <w:r w:rsidR="001F18C3">
        <w:t xml:space="preserve"> </w:t>
      </w:r>
      <w:r w:rsidRPr="00957A75" w:rsidR="0049274B">
        <w:t>party witnesses during the Title IX investigator’s interviews with those witnesses</w:t>
      </w:r>
      <w:r w:rsidRPr="00957A75" w:rsidR="009A6296">
        <w:t>, since Boermeester does not raise this claim</w:t>
      </w:r>
      <w:r w:rsidRPr="00957A75" w:rsidR="0049274B">
        <w:t xml:space="preserve">.  </w:t>
      </w:r>
    </w:p>
    <w:p w:rsidR="00F6691B" w:rsidRPr="00957A75" w:rsidP="00050592" w14:paraId="47C8C124" w14:textId="77777777">
      <w:pPr>
        <w:ind w:firstLine="720"/>
      </w:pPr>
      <w:r w:rsidRPr="00957A75">
        <w:t xml:space="preserve">Were we to assume, however, that </w:t>
      </w:r>
      <w:r w:rsidR="00BD57A8">
        <w:t xml:space="preserve">a private university must provide </w:t>
      </w:r>
      <w:r w:rsidRPr="00957A75" w:rsidR="00DB71AF">
        <w:t>an</w:t>
      </w:r>
      <w:r w:rsidRPr="00957A75" w:rsidR="009A6296">
        <w:t xml:space="preserve"> accused student the opportunity to indirectly cross-examine the accuser or third</w:t>
      </w:r>
      <w:r w:rsidR="00B86CAF">
        <w:t xml:space="preserve"> </w:t>
      </w:r>
      <w:r w:rsidRPr="00957A75" w:rsidR="009A6296">
        <w:t xml:space="preserve">party witnesses </w:t>
      </w:r>
      <w:r w:rsidRPr="00957A75" w:rsidR="00EF0D71">
        <w:t>outside of the context of a live hearing whe</w:t>
      </w:r>
      <w:r w:rsidR="00BD57A8">
        <w:t>n</w:t>
      </w:r>
      <w:r w:rsidRPr="00957A75" w:rsidR="009A6296">
        <w:t xml:space="preserve"> the credibility of the accuser or</w:t>
      </w:r>
      <w:r w:rsidRPr="00957A75" w:rsidR="00EF0D71">
        <w:t xml:space="preserve"> </w:t>
      </w:r>
      <w:r w:rsidRPr="00957A75" w:rsidR="009A6296">
        <w:t>third</w:t>
      </w:r>
      <w:r w:rsidR="001F18C3">
        <w:t xml:space="preserve"> </w:t>
      </w:r>
      <w:r w:rsidRPr="00957A75" w:rsidR="009A6296">
        <w:t>party witnesses is central to the adjudication</w:t>
      </w:r>
      <w:r w:rsidRPr="00957A75" w:rsidR="00EF0D71">
        <w:t>, as some lower courts have held</w:t>
      </w:r>
      <w:r w:rsidRPr="00957A75" w:rsidR="00C44D68">
        <w:t xml:space="preserve"> (</w:t>
      </w:r>
      <w:r w:rsidRPr="00957A75">
        <w:t>see</w:t>
      </w:r>
      <w:r w:rsidR="005C4AAB">
        <w:t xml:space="preserve"> </w:t>
      </w:r>
      <w:r w:rsidRPr="00957A75" w:rsidR="00C44D68">
        <w:rPr>
          <w:i/>
          <w:iCs/>
        </w:rPr>
        <w:t>Claremont McKenna</w:t>
      </w:r>
      <w:r w:rsidRPr="00957A75" w:rsidR="00C44D68">
        <w:t xml:space="preserve">, </w:t>
      </w:r>
      <w:r w:rsidRPr="00957A75" w:rsidR="00C44D68">
        <w:rPr>
          <w:i/>
          <w:iCs/>
        </w:rPr>
        <w:t>supra</w:t>
      </w:r>
      <w:r w:rsidRPr="00957A75" w:rsidR="00C44D68">
        <w:t>, 25</w:t>
      </w:r>
      <w:r w:rsidR="00395423">
        <w:t> </w:t>
      </w:r>
      <w:r w:rsidRPr="00957A75" w:rsidR="00C44D68">
        <w:t>Cal.App.5th at p.</w:t>
      </w:r>
      <w:r w:rsidR="00395423">
        <w:t> </w:t>
      </w:r>
      <w:r w:rsidRPr="00957A75" w:rsidR="00C44D68">
        <w:t xml:space="preserve">1070; </w:t>
      </w:r>
      <w:r w:rsidRPr="00957A75" w:rsidR="00C44D68">
        <w:rPr>
          <w:i/>
          <w:iCs/>
        </w:rPr>
        <w:t>U</w:t>
      </w:r>
      <w:r w:rsidR="001F5999">
        <w:rPr>
          <w:i/>
          <w:iCs/>
        </w:rPr>
        <w:t>niversity</w:t>
      </w:r>
      <w:r w:rsidRPr="00957A75" w:rsidR="00C44D68">
        <w:rPr>
          <w:i/>
          <w:iCs/>
        </w:rPr>
        <w:t xml:space="preserve"> II</w:t>
      </w:r>
      <w:r w:rsidRPr="00957A75" w:rsidR="00C44D68">
        <w:t xml:space="preserve">, </w:t>
      </w:r>
      <w:r w:rsidRPr="00957A75" w:rsidR="00C44D68">
        <w:rPr>
          <w:i/>
          <w:iCs/>
        </w:rPr>
        <w:t>supra</w:t>
      </w:r>
      <w:r w:rsidRPr="00957A75" w:rsidR="00C44D68">
        <w:t>, 29</w:t>
      </w:r>
      <w:r w:rsidR="00D5145E">
        <w:t> </w:t>
      </w:r>
      <w:r w:rsidRPr="00957A75" w:rsidR="00C44D68">
        <w:t>Cal.App.5th at p.</w:t>
      </w:r>
      <w:r w:rsidR="00D5145E">
        <w:t> </w:t>
      </w:r>
      <w:r w:rsidRPr="00957A75" w:rsidR="00C44D68">
        <w:t xml:space="preserve">1237; </w:t>
      </w:r>
      <w:r w:rsidRPr="00957A75" w:rsidR="00C44D68">
        <w:rPr>
          <w:i/>
          <w:iCs/>
        </w:rPr>
        <w:t>Westmont</w:t>
      </w:r>
      <w:r w:rsidRPr="00957A75" w:rsidR="00C44D68">
        <w:t>,</w:t>
      </w:r>
      <w:r w:rsidRPr="00957A75" w:rsidR="00C44D68">
        <w:rPr>
          <w:i/>
          <w:iCs/>
        </w:rPr>
        <w:t xml:space="preserve"> supra, </w:t>
      </w:r>
      <w:r w:rsidRPr="00957A75" w:rsidR="00C44D68">
        <w:t>34 Cal.App.5th at pp. 638–639</w:t>
      </w:r>
      <w:r w:rsidR="005C4AAB">
        <w:t>; see also</w:t>
      </w:r>
      <w:r w:rsidRPr="005C4AAB" w:rsidR="005C4AAB">
        <w:rPr>
          <w:i/>
          <w:iCs/>
        </w:rPr>
        <w:t xml:space="preserve"> </w:t>
      </w:r>
      <w:r w:rsidRPr="00957A75" w:rsidR="005C4AAB">
        <w:rPr>
          <w:i/>
          <w:iCs/>
        </w:rPr>
        <w:t>Regents I</w:t>
      </w:r>
      <w:r w:rsidRPr="00957A75" w:rsidR="005C4AAB">
        <w:t xml:space="preserve">, </w:t>
      </w:r>
      <w:r w:rsidRPr="00957A75" w:rsidR="005C4AAB">
        <w:rPr>
          <w:i/>
          <w:iCs/>
        </w:rPr>
        <w:t>supra</w:t>
      </w:r>
      <w:r w:rsidRPr="00957A75" w:rsidR="005C4AAB">
        <w:t>, 5</w:t>
      </w:r>
      <w:r w:rsidR="005C4AAB">
        <w:t> </w:t>
      </w:r>
      <w:r w:rsidRPr="00957A75" w:rsidR="005C4AAB">
        <w:t>Cal.App.5th at p.</w:t>
      </w:r>
      <w:r w:rsidR="005C4AAB">
        <w:t> </w:t>
      </w:r>
      <w:r w:rsidRPr="00957A75" w:rsidR="005C4AAB">
        <w:t>1084</w:t>
      </w:r>
      <w:r w:rsidRPr="00957A75" w:rsidR="00C44D68">
        <w:t>)</w:t>
      </w:r>
      <w:r w:rsidRPr="00957A75" w:rsidR="00EF0D71">
        <w:t>,</w:t>
      </w:r>
      <w:r w:rsidRPr="00957A75" w:rsidR="0049274B">
        <w:t xml:space="preserve"> we would find USC’s failure to provide </w:t>
      </w:r>
      <w:r w:rsidRPr="00957A75" w:rsidR="00EF0D71">
        <w:t xml:space="preserve">Boermeester the opportunity to submit questions for </w:t>
      </w:r>
      <w:r w:rsidR="00BD7DD8">
        <w:t xml:space="preserve">the </w:t>
      </w:r>
      <w:r w:rsidR="00D408DD">
        <w:t xml:space="preserve">third party </w:t>
      </w:r>
      <w:r w:rsidRPr="00957A75" w:rsidR="00EF0D71">
        <w:t>witnesses in this case</w:t>
      </w:r>
      <w:r w:rsidR="00134E29">
        <w:t xml:space="preserve"> to be harmless</w:t>
      </w:r>
      <w:r w:rsidRPr="00780557" w:rsidR="0049274B">
        <w:t>.</w:t>
      </w:r>
      <w:r w:rsidRPr="00957A75" w:rsidR="0049274B">
        <w:t xml:space="preserve">  </w:t>
      </w:r>
      <w:r w:rsidR="00026559">
        <w:t xml:space="preserve">In this case, the accounts of the third party witnesses merely corroborated Roe’s initial accusation that Boermeester harmed her during the incident in question.  </w:t>
      </w:r>
      <w:r w:rsidR="00D408DD">
        <w:t xml:space="preserve">Shortly after the incident occurred, </w:t>
      </w:r>
      <w:r w:rsidRPr="00957A75" w:rsidR="0049274B">
        <w:t xml:space="preserve">Roe </w:t>
      </w:r>
      <w:r w:rsidR="00D408DD">
        <w:t xml:space="preserve">told the Title IX investigator </w:t>
      </w:r>
      <w:r w:rsidRPr="00957A75" w:rsidR="0049274B">
        <w:t xml:space="preserve">that Boermeester had physically harmed her.  Specifically, Roe said that it “hurt” when Boermeester grabbed the back of her hair “hard” and told her to drop her dog’s leash; that it “hurt” when Boermeester grabbed the front of her throat and neck, causing her to cough; and that her “head hurt” after Boermeester grabbed her by the neck again and pushed her head “hard,” causing her head to hit the alleyway wall.  </w:t>
      </w:r>
      <w:r w:rsidR="00026559">
        <w:t>T</w:t>
      </w:r>
      <w:r w:rsidRPr="00957A75" w:rsidR="00267772">
        <w:t xml:space="preserve">he </w:t>
      </w:r>
      <w:r w:rsidRPr="00957A75" w:rsidR="0049274B">
        <w:t>video of the incident</w:t>
      </w:r>
      <w:r w:rsidR="00E005DF">
        <w:t> </w:t>
      </w:r>
      <w:r w:rsidRPr="00957A75" w:rsidR="0049274B">
        <w:t>— though grainy and soundless</w:t>
      </w:r>
      <w:r w:rsidR="00E005DF">
        <w:t> </w:t>
      </w:r>
      <w:r w:rsidRPr="00957A75" w:rsidR="0049274B">
        <w:t xml:space="preserve">— </w:t>
      </w:r>
      <w:r w:rsidR="00026559">
        <w:t xml:space="preserve">is consistent with </w:t>
      </w:r>
      <w:r w:rsidRPr="00957A75" w:rsidR="0049274B">
        <w:t>Roe’s initial account.  (</w:t>
      </w:r>
      <w:r w:rsidRPr="00957A75" w:rsidR="0049274B">
        <w:rPr>
          <w:i/>
          <w:iCs/>
        </w:rPr>
        <w:t>Boermeester v. Carry</w:t>
      </w:r>
      <w:r w:rsidRPr="00957A75" w:rsidR="0049274B">
        <w:t xml:space="preserve">, </w:t>
      </w:r>
      <w:r w:rsidRPr="00957A75" w:rsidR="0049274B">
        <w:rPr>
          <w:i/>
          <w:iCs/>
        </w:rPr>
        <w:t>supra</w:t>
      </w:r>
      <w:r w:rsidRPr="00957A75" w:rsidR="0049274B">
        <w:t>, B290675.)  Boermeester himself admitted that he had his hands on Roe’s neck and had her against the alleyway wall</w:t>
      </w:r>
      <w:r w:rsidRPr="00957A75">
        <w:t>.</w:t>
      </w:r>
      <w:r w:rsidR="00026559">
        <w:t xml:space="preserve"> </w:t>
      </w:r>
      <w:r w:rsidRPr="00026559" w:rsidR="00026559">
        <w:t xml:space="preserve"> </w:t>
      </w:r>
      <w:r w:rsidR="00026559">
        <w:t xml:space="preserve">In sum, even without considering the third party eyewitness testimony, USC could have concluded </w:t>
      </w:r>
      <w:r w:rsidRPr="00957A75" w:rsidR="00026559">
        <w:t xml:space="preserve">that Boermeester </w:t>
      </w:r>
      <w:r w:rsidR="00026559">
        <w:t>“caus[ed] physical harm” to Roe</w:t>
      </w:r>
      <w:r w:rsidRPr="00957A75" w:rsidR="00026559">
        <w:t xml:space="preserve"> and, thus, violated its policy against intimate partner violence.  </w:t>
      </w:r>
    </w:p>
    <w:p w:rsidR="0081424C" w:rsidRPr="00957A75" w:rsidP="00B47AC6" w14:paraId="47C8C125" w14:textId="70C1DF92">
      <w:pPr>
        <w:ind w:firstLine="720"/>
      </w:pPr>
      <w:r w:rsidRPr="00957A75">
        <w:t>Boermeester</w:t>
      </w:r>
      <w:r w:rsidRPr="00957A75" w:rsidR="0049274B">
        <w:t xml:space="preserve"> maintained that the act was playful or sexual in nature and amounted to mere “roughhousing.”  USC determined</w:t>
      </w:r>
      <w:r w:rsidRPr="00957A75">
        <w:t>, however,</w:t>
      </w:r>
      <w:r w:rsidRPr="00957A75" w:rsidR="00167C33">
        <w:t xml:space="preserve"> </w:t>
      </w:r>
      <w:r w:rsidRPr="00957A75" w:rsidR="0049274B">
        <w:t xml:space="preserve">that Boermeester’s intent was irrelevant.  </w:t>
      </w:r>
      <w:r w:rsidRPr="00957A75" w:rsidR="00DD1D0D">
        <w:t>Carry</w:t>
      </w:r>
      <w:r w:rsidR="00E005DF">
        <w:t> </w:t>
      </w:r>
      <w:r w:rsidRPr="00957A75" w:rsidR="00DD1D0D">
        <w:t xml:space="preserve">— who made the final decision </w:t>
      </w:r>
      <w:r w:rsidRPr="00957A75" w:rsidR="00A52661">
        <w:t>per</w:t>
      </w:r>
      <w:r w:rsidRPr="00957A75" w:rsidR="00DD1D0D">
        <w:t xml:space="preserve"> USC’s policy</w:t>
      </w:r>
      <w:r w:rsidR="00E005DF">
        <w:t> </w:t>
      </w:r>
      <w:r w:rsidRPr="00957A75" w:rsidR="00DD1D0D">
        <w:t>—</w:t>
      </w:r>
      <w:r w:rsidRPr="00957A75" w:rsidR="0049274B">
        <w:t xml:space="preserve"> </w:t>
      </w:r>
      <w:r w:rsidRPr="00957A75">
        <w:t xml:space="preserve">found </w:t>
      </w:r>
      <w:r w:rsidRPr="00957A75" w:rsidR="0049274B">
        <w:t xml:space="preserve">that </w:t>
      </w:r>
      <w:r w:rsidRPr="00957A75" w:rsidR="00DD1D0D">
        <w:t>since “[i]ntent to cause physical harm is not a required element” of USC’s policy against intimate partner violence, Boermeester’s alleged lack of intent to cause Roe physical harm was not a mitigating factor.  She</w:t>
      </w:r>
      <w:r w:rsidRPr="00957A75" w:rsidR="00A52661">
        <w:t xml:space="preserve"> </w:t>
      </w:r>
      <w:r w:rsidRPr="00957A75" w:rsidR="004E7E9E">
        <w:t>therefore</w:t>
      </w:r>
      <w:r w:rsidRPr="00957A75" w:rsidR="00DD1D0D">
        <w:t xml:space="preserve"> concluded</w:t>
      </w:r>
      <w:r w:rsidRPr="00957A75" w:rsidR="00660C49">
        <w:t xml:space="preserve"> </w:t>
      </w:r>
      <w:r w:rsidRPr="00957A75" w:rsidR="00DD1D0D">
        <w:t>that, “</w:t>
      </w:r>
      <w:r w:rsidRPr="00957A75" w:rsidR="00A52661">
        <w:t>[w]</w:t>
      </w:r>
      <w:r w:rsidRPr="00957A75" w:rsidR="00DD1D0D">
        <w:t xml:space="preserve">hether </w:t>
      </w:r>
      <w:r w:rsidRPr="00957A75" w:rsidR="00A52661">
        <w:t>[Boermeester]</w:t>
      </w:r>
      <w:r w:rsidRPr="00957A75" w:rsidR="00DD1D0D">
        <w:t xml:space="preserve"> intended to cause </w:t>
      </w:r>
      <w:r w:rsidRPr="00957A75" w:rsidR="00A52661">
        <w:t>[Roe]</w:t>
      </w:r>
      <w:r w:rsidRPr="00957A75" w:rsidR="00DD1D0D">
        <w:t xml:space="preserve"> harm or did so recklessly, expulsion </w:t>
      </w:r>
      <w:r w:rsidRPr="00957A75">
        <w:t>[was]</w:t>
      </w:r>
      <w:r w:rsidRPr="00957A75" w:rsidR="00DD1D0D">
        <w:t xml:space="preserve"> appropriate given the nature of the harm inflicted</w:t>
      </w:r>
      <w:r w:rsidRPr="00957A75" w:rsidR="00A52661">
        <w:t>.”</w:t>
      </w:r>
      <w:r w:rsidR="00D408DD">
        <w:t xml:space="preserve">  </w:t>
      </w:r>
      <w:r w:rsidR="006900E0">
        <w:t>Because</w:t>
      </w:r>
      <w:r w:rsidR="00D408DD">
        <w:t xml:space="preserve"> intent was irrelevant under USC’s policy against intimate partner violence, </w:t>
      </w:r>
      <w:r w:rsidRPr="00D408DD" w:rsidR="00D408DD">
        <w:t>USC could have based its decision to expel Boermeester exclusively on Roe’s initial statement, the video co</w:t>
      </w:r>
      <w:r w:rsidR="00FE2131">
        <w:t>nsistent with</w:t>
      </w:r>
      <w:r w:rsidRPr="00D408DD" w:rsidR="00D408DD">
        <w:t xml:space="preserve"> that statement, and Boermeester’s own admissions</w:t>
      </w:r>
      <w:r w:rsidR="00D408DD">
        <w:t> —</w:t>
      </w:r>
      <w:r w:rsidR="00DD5536">
        <w:t xml:space="preserve"> </w:t>
      </w:r>
      <w:r w:rsidRPr="00D408DD" w:rsidR="00D408DD">
        <w:t>all of which tended to show that Boermeester caused Roe physical harm.</w:t>
      </w:r>
    </w:p>
    <w:p w:rsidR="0049274B" w:rsidRPr="00957A75" w:rsidP="00050592" w14:paraId="47C8C126" w14:textId="77777777">
      <w:pPr>
        <w:ind w:firstLine="720"/>
      </w:pPr>
      <w:r w:rsidRPr="00957A75">
        <w:t>It is true that Roe later recanted her testimony and agree</w:t>
      </w:r>
      <w:r w:rsidR="00D408DD">
        <w:t>d</w:t>
      </w:r>
      <w:r w:rsidRPr="00957A75">
        <w:t xml:space="preserve"> with Boermeester that the incident was playful in nature.  But even if Roe’s recantation put her initial testimony in doubt, USC provided Boermeester the opportunity to indirectly cross-examine Roe</w:t>
      </w:r>
      <w:r w:rsidR="00026559">
        <w:t xml:space="preserve"> and explore any inconsistencies in her story</w:t>
      </w:r>
      <w:r w:rsidRPr="00957A75">
        <w:t xml:space="preserve">.  Boermeester thus had the opportunity to </w:t>
      </w:r>
      <w:r w:rsidRPr="00957A75" w:rsidR="00267772">
        <w:t xml:space="preserve">submit </w:t>
      </w:r>
      <w:r w:rsidRPr="00957A75">
        <w:t>question</w:t>
      </w:r>
      <w:r w:rsidRPr="00957A75" w:rsidR="00267772">
        <w:t>s to be asked of</w:t>
      </w:r>
      <w:r w:rsidRPr="00957A75">
        <w:t xml:space="preserve"> the most important witness</w:t>
      </w:r>
      <w:r w:rsidR="00E005DF">
        <w:t> </w:t>
      </w:r>
      <w:r w:rsidRPr="00957A75">
        <w:t>— the person he allegedly hurt.  Moreover,</w:t>
      </w:r>
      <w:r w:rsidR="00F21538">
        <w:t xml:space="preserve"> </w:t>
      </w:r>
      <w:r w:rsidRPr="00F21538" w:rsidR="00F21538">
        <w:t>USC, as the finder of fact, was entitled to determine that Roe</w:t>
      </w:r>
      <w:r w:rsidR="00830774">
        <w:t>’</w:t>
      </w:r>
      <w:r w:rsidRPr="00F21538" w:rsidR="00F21538">
        <w:t xml:space="preserve">s first statement was more credible than her </w:t>
      </w:r>
      <w:r w:rsidR="00F21538">
        <w:t xml:space="preserve">later </w:t>
      </w:r>
      <w:r w:rsidRPr="00F21538" w:rsidR="00F21538">
        <w:t>recantation.</w:t>
      </w:r>
      <w:r w:rsidR="00F21538">
        <w:t xml:space="preserve"> </w:t>
      </w:r>
      <w:r w:rsidRPr="00957A75">
        <w:t xml:space="preserve"> </w:t>
      </w:r>
      <w:r w:rsidR="00F21538">
        <w:t xml:space="preserve">Finally, </w:t>
      </w:r>
      <w:r w:rsidRPr="00957A75">
        <w:t xml:space="preserve">we must acknowledge, as we did in </w:t>
      </w:r>
      <w:bookmarkStart w:id="60" w:name="_Hlk137735274"/>
      <w:r w:rsidRPr="00957A75" w:rsidR="0081424C">
        <w:rPr>
          <w:i/>
          <w:iCs/>
        </w:rPr>
        <w:t>People v. Brown</w:t>
      </w:r>
      <w:r w:rsidRPr="00957A75" w:rsidR="0081424C">
        <w:t xml:space="preserve"> (2004) 33 Cal.4th 892, 899</w:t>
      </w:r>
      <w:bookmarkEnd w:id="60"/>
      <w:r w:rsidRPr="00957A75">
        <w:t xml:space="preserve">, that </w:t>
      </w:r>
      <w:r w:rsidR="00F21538">
        <w:t xml:space="preserve">it is not uncommon for </w:t>
      </w:r>
      <w:r w:rsidRPr="00957A75">
        <w:t xml:space="preserve">victims of intimate partner violence </w:t>
      </w:r>
      <w:r w:rsidR="00F21538">
        <w:t>to</w:t>
      </w:r>
      <w:r w:rsidRPr="00957A75">
        <w:t xml:space="preserve"> recant.  Roe’s </w:t>
      </w:r>
      <w:r w:rsidRPr="00957A75" w:rsidR="00267772">
        <w:t xml:space="preserve">post-incident </w:t>
      </w:r>
      <w:r w:rsidRPr="00957A75">
        <w:t xml:space="preserve">communications with </w:t>
      </w:r>
      <w:r w:rsidRPr="00957A75" w:rsidR="00267772">
        <w:t>USC’s</w:t>
      </w:r>
      <w:r w:rsidRPr="00957A75">
        <w:t xml:space="preserve"> Title IX office and </w:t>
      </w:r>
      <w:r w:rsidRPr="00957A75" w:rsidR="00267772">
        <w:t>her friends</w:t>
      </w:r>
      <w:r w:rsidRPr="00957A75">
        <w:t xml:space="preserve"> indicate that she feared retaliation and felt a sense of loyalty to</w:t>
      </w:r>
      <w:r w:rsidR="00026559">
        <w:t>wards</w:t>
      </w:r>
      <w:r w:rsidRPr="00957A75">
        <w:t xml:space="preserve"> Boermeester, either of which may have motivated her later recantation.  </w:t>
      </w:r>
    </w:p>
    <w:p w:rsidR="008B6BDA" w:rsidRPr="00957A75" w:rsidP="00050592" w14:paraId="47C8C127" w14:textId="77777777">
      <w:pPr>
        <w:ind w:firstLine="720"/>
      </w:pPr>
      <w:r w:rsidRPr="00957A75">
        <w:t>In conclusion, USC</w:t>
      </w:r>
      <w:r w:rsidRPr="00957A75" w:rsidR="00C11B7F">
        <w:t xml:space="preserve"> was not required </w:t>
      </w:r>
      <w:r w:rsidR="00F21538">
        <w:t>to provide Boermeester the opportunity to directly or indirectly cross-examine Roe and other witnesses at a live hearing with</w:t>
      </w:r>
      <w:r w:rsidR="00CA48C8">
        <w:t xml:space="preserve"> </w:t>
      </w:r>
      <w:r w:rsidR="005D77A4">
        <w:t>Boermeester</w:t>
      </w:r>
      <w:r w:rsidR="00F21538">
        <w:t xml:space="preserve"> in attendance, whether in person or virtually</w:t>
      </w:r>
      <w:r w:rsidRPr="00957A75" w:rsidR="00F21538">
        <w:t xml:space="preserve">.  </w:t>
      </w:r>
      <w:r w:rsidR="00830774">
        <w:t xml:space="preserve"> </w:t>
      </w:r>
    </w:p>
    <w:p w:rsidR="008B6BDA" w:rsidRPr="00957A75" w:rsidP="00957A75" w14:paraId="47C8C128" w14:textId="77777777">
      <w:pPr>
        <w:pStyle w:val="Heading1"/>
      </w:pPr>
      <w:r w:rsidRPr="00957A75">
        <w:t>III.  Disposition</w:t>
      </w:r>
    </w:p>
    <w:p w:rsidR="008B6BDA" w:rsidRPr="00957A75" w:rsidP="00DB434A" w14:paraId="47C8C129" w14:textId="77777777">
      <w:pPr>
        <w:tabs>
          <w:tab w:val="left" w:pos="1440"/>
        </w:tabs>
        <w:ind w:firstLine="720"/>
      </w:pPr>
      <w:r w:rsidRPr="00957A75">
        <w:t>We</w:t>
      </w:r>
      <w:r w:rsidR="00830774">
        <w:t xml:space="preserve"> </w:t>
      </w:r>
      <w:r w:rsidRPr="00957A75">
        <w:t>reverse the judgment of the Court of Appeal and remand for it to determine in the first instance the remaining claims Boermeester raised on appeal</w:t>
      </w:r>
      <w:r w:rsidR="0041076E">
        <w:t xml:space="preserve"> that the Court of Appeal expressly declined to reach.  </w:t>
      </w:r>
      <w:r w:rsidRPr="00957A75">
        <w:t xml:space="preserve">  </w:t>
      </w:r>
    </w:p>
    <w:p w:rsidR="006E0416" w:rsidRPr="00957A75" w:rsidP="00DB434A" w14:paraId="47C8C12A" w14:textId="77777777">
      <w:pPr>
        <w:tabs>
          <w:tab w:val="left" w:pos="1440"/>
        </w:tabs>
        <w:ind w:firstLine="720"/>
      </w:pPr>
    </w:p>
    <w:p w:rsidR="00E21781" w:rsidP="00DB434A" w14:paraId="47C8C12B" w14:textId="77777777">
      <w:pPr>
        <w:tabs>
          <w:tab w:val="left" w:pos="1440"/>
        </w:tabs>
        <w:ind w:firstLine="720"/>
        <w:rPr>
          <w:b/>
          <w:szCs w:val="26"/>
        </w:rPr>
      </w:pPr>
      <w:r w:rsidRPr="00957A75">
        <w:rPr>
          <w:b/>
          <w:szCs w:val="26"/>
        </w:rPr>
        <w:tab/>
      </w:r>
      <w:r w:rsidRPr="00957A75">
        <w:rPr>
          <w:b/>
          <w:szCs w:val="26"/>
        </w:rPr>
        <w:tab/>
      </w:r>
      <w:r w:rsidRPr="00957A75">
        <w:rPr>
          <w:b/>
          <w:szCs w:val="26"/>
        </w:rPr>
        <w:tab/>
      </w:r>
      <w:r w:rsidRPr="00957A75">
        <w:rPr>
          <w:b/>
          <w:szCs w:val="26"/>
        </w:rPr>
        <w:tab/>
      </w:r>
      <w:r w:rsidR="00287068">
        <w:rPr>
          <w:b/>
          <w:szCs w:val="26"/>
        </w:rPr>
        <w:tab/>
      </w:r>
      <w:r w:rsidR="00287068">
        <w:rPr>
          <w:b/>
          <w:szCs w:val="26"/>
        </w:rPr>
        <w:tab/>
      </w:r>
      <w:r w:rsidRPr="00957A75">
        <w:rPr>
          <w:b/>
          <w:szCs w:val="26"/>
        </w:rPr>
        <w:tab/>
        <w:t>GROBAN, J.</w:t>
      </w:r>
    </w:p>
    <w:p w:rsidR="00287068" w:rsidP="00DB434A" w14:paraId="47C8C12C" w14:textId="77777777">
      <w:pPr>
        <w:tabs>
          <w:tab w:val="left" w:pos="1440"/>
        </w:tabs>
        <w:ind w:firstLine="720"/>
        <w:rPr>
          <w:b/>
          <w:szCs w:val="26"/>
        </w:rPr>
      </w:pPr>
    </w:p>
    <w:p w:rsidR="00C700E0" w:rsidRPr="00077BAA" w:rsidP="00C700E0" w14:paraId="47C8C12D" w14:textId="77777777">
      <w:pPr>
        <w:rPr>
          <w:b/>
        </w:rPr>
      </w:pPr>
      <w:r w:rsidRPr="00077BAA">
        <w:rPr>
          <w:b/>
        </w:rPr>
        <w:t>We Concur:</w:t>
      </w:r>
    </w:p>
    <w:p w:rsidR="00C700E0" w:rsidRPr="00077BAA" w:rsidP="00C700E0" w14:paraId="47C8C12E" w14:textId="77777777">
      <w:pPr>
        <w:spacing w:after="0" w:line="240" w:lineRule="auto"/>
        <w:jc w:val="left"/>
        <w:rPr>
          <w:b/>
        </w:rPr>
      </w:pPr>
      <w:r w:rsidRPr="00077BAA">
        <w:rPr>
          <w:b/>
        </w:rPr>
        <w:t>GUERRERO, C.</w:t>
      </w:r>
      <w:r>
        <w:rPr>
          <w:b/>
        </w:rPr>
        <w:t> </w:t>
      </w:r>
      <w:r w:rsidRPr="00077BAA">
        <w:rPr>
          <w:b/>
        </w:rPr>
        <w:t>J.</w:t>
      </w:r>
    </w:p>
    <w:p w:rsidR="00C700E0" w:rsidRPr="00077BAA" w:rsidP="00C700E0" w14:paraId="47C8C12F" w14:textId="77777777">
      <w:pPr>
        <w:spacing w:after="0" w:line="240" w:lineRule="auto"/>
        <w:rPr>
          <w:b/>
          <w:lang w:val="it-IT"/>
        </w:rPr>
      </w:pPr>
      <w:r w:rsidRPr="00077BAA">
        <w:rPr>
          <w:b/>
          <w:lang w:val="it-IT"/>
        </w:rPr>
        <w:t>CORRIGAN, J.</w:t>
      </w:r>
    </w:p>
    <w:p w:rsidR="00C700E0" w:rsidRPr="00077BAA" w:rsidP="00C700E0" w14:paraId="47C8C130" w14:textId="77777777">
      <w:pPr>
        <w:spacing w:after="0" w:line="240" w:lineRule="auto"/>
        <w:jc w:val="left"/>
        <w:rPr>
          <w:b/>
        </w:rPr>
      </w:pPr>
      <w:r>
        <w:rPr>
          <w:b/>
        </w:rPr>
        <w:t>LIU</w:t>
      </w:r>
      <w:r w:rsidRPr="00077BAA">
        <w:rPr>
          <w:b/>
        </w:rPr>
        <w:t>, J.</w:t>
      </w:r>
    </w:p>
    <w:p w:rsidR="00C700E0" w:rsidRPr="00077BAA" w:rsidP="00C700E0" w14:paraId="47C8C131" w14:textId="77777777">
      <w:pPr>
        <w:spacing w:after="0" w:line="240" w:lineRule="auto"/>
        <w:jc w:val="left"/>
        <w:rPr>
          <w:b/>
          <w:lang w:val="it-IT"/>
        </w:rPr>
      </w:pPr>
      <w:r w:rsidRPr="00077BAA">
        <w:rPr>
          <w:b/>
          <w:lang w:val="it-IT"/>
        </w:rPr>
        <w:t>KRUGER, J.</w:t>
      </w:r>
    </w:p>
    <w:p w:rsidR="00C700E0" w:rsidRPr="00077BAA" w:rsidP="00C700E0" w14:paraId="47C8C132" w14:textId="77777777">
      <w:pPr>
        <w:spacing w:after="0" w:line="240" w:lineRule="auto"/>
        <w:jc w:val="left"/>
        <w:rPr>
          <w:b/>
        </w:rPr>
      </w:pPr>
      <w:r w:rsidRPr="00077BAA">
        <w:rPr>
          <w:b/>
        </w:rPr>
        <w:t>JENKINS, J.</w:t>
      </w:r>
    </w:p>
    <w:p w:rsidR="00DF00FE" w:rsidP="00025E9F" w14:paraId="0D96A50B" w14:textId="77777777">
      <w:pPr>
        <w:pStyle w:val="Text"/>
        <w:spacing w:after="0" w:line="240" w:lineRule="auto"/>
        <w:ind w:firstLine="0"/>
        <w:rPr>
          <w:b/>
        </w:rPr>
        <w:sectPr w:rsidSect="00604EED">
          <w:footerReference w:type="first" r:id="rId8"/>
          <w:pgSz w:w="12240" w:h="15840"/>
          <w:pgMar w:top="1800" w:right="2160" w:bottom="1440" w:left="2160" w:header="720" w:footer="720" w:gutter="0"/>
          <w:pgNumType w:start="1"/>
          <w:cols w:space="720"/>
          <w:titlePg/>
          <w:docGrid w:linePitch="367"/>
        </w:sectPr>
      </w:pPr>
      <w:r>
        <w:rPr>
          <w:b/>
          <w:lang w:val="it-IT"/>
        </w:rPr>
        <w:t>EVANS</w:t>
      </w:r>
      <w:r w:rsidRPr="00077BAA">
        <w:rPr>
          <w:b/>
        </w:rPr>
        <w:t>,</w:t>
      </w:r>
      <w:r>
        <w:rPr>
          <w:b/>
        </w:rPr>
        <w:t xml:space="preserve"> J.</w:t>
      </w:r>
    </w:p>
    <w:p w:rsidR="00DF00FE" w:rsidRPr="00DF00FE" w:rsidP="00DF00FE" w14:paraId="76FAB389" w14:textId="77777777">
      <w:pPr>
        <w:spacing w:after="0" w:line="240" w:lineRule="auto"/>
        <w:jc w:val="left"/>
        <w:rPr>
          <w:i/>
          <w:sz w:val="24"/>
          <w:szCs w:val="24"/>
        </w:rPr>
      </w:pPr>
      <w:r w:rsidRPr="00DF00FE">
        <w:rPr>
          <w:i/>
          <w:sz w:val="24"/>
          <w:szCs w:val="24"/>
        </w:rPr>
        <w:t>See next page for addresses and telephone numbers for counsel who argued in Supreme Court.</w:t>
      </w:r>
    </w:p>
    <w:p w:rsidR="00DF00FE" w:rsidRPr="00DF00FE" w:rsidP="00DF00FE" w14:paraId="0AC68FE0" w14:textId="77777777">
      <w:pPr>
        <w:spacing w:after="0" w:line="240" w:lineRule="auto"/>
        <w:jc w:val="left"/>
        <w:rPr>
          <w:i/>
          <w:sz w:val="24"/>
          <w:szCs w:val="24"/>
        </w:rPr>
      </w:pPr>
    </w:p>
    <w:p w:rsidR="00DF00FE" w:rsidRPr="00DF00FE" w:rsidP="00DF00FE" w14:paraId="7E8A36A6" w14:textId="77777777">
      <w:pPr>
        <w:spacing w:after="0" w:line="240" w:lineRule="auto"/>
        <w:jc w:val="left"/>
        <w:rPr>
          <w:bCs/>
          <w:sz w:val="24"/>
          <w:szCs w:val="24"/>
        </w:rPr>
      </w:pPr>
      <w:r w:rsidRPr="00DF00FE">
        <w:rPr>
          <w:b/>
          <w:sz w:val="24"/>
          <w:szCs w:val="24"/>
        </w:rPr>
        <w:t xml:space="preserve">Name of Opinion  </w:t>
      </w:r>
      <w:r w:rsidRPr="00DF00FE">
        <w:rPr>
          <w:bCs/>
          <w:sz w:val="24"/>
          <w:szCs w:val="24"/>
        </w:rPr>
        <w:t>Boermeester v. Carry</w:t>
      </w:r>
    </w:p>
    <w:p w:rsidR="00DF00FE" w:rsidRPr="00DF00FE" w:rsidP="00DF00FE" w14:paraId="175F79F0" w14:textId="77777777">
      <w:pPr>
        <w:spacing w:after="0" w:line="240" w:lineRule="auto"/>
        <w:jc w:val="left"/>
        <w:rPr>
          <w:b/>
          <w:sz w:val="24"/>
          <w:szCs w:val="24"/>
        </w:rPr>
      </w:pPr>
      <w:r w:rsidRPr="00DF00FE">
        <w:rPr>
          <w:b/>
          <w:sz w:val="24"/>
          <w:szCs w:val="24"/>
        </w:rPr>
        <w:t xml:space="preserve">__________________________________________________________ </w:t>
      </w:r>
    </w:p>
    <w:p w:rsidR="00DF00FE" w:rsidRPr="00DF00FE" w:rsidP="00DF00FE" w14:paraId="44D5BAF0" w14:textId="77777777">
      <w:pPr>
        <w:spacing w:after="0" w:line="240" w:lineRule="auto"/>
        <w:jc w:val="left"/>
        <w:rPr>
          <w:b/>
          <w:sz w:val="24"/>
          <w:szCs w:val="24"/>
        </w:rPr>
      </w:pPr>
    </w:p>
    <w:p w:rsidR="00DF00FE" w:rsidRPr="00DF00FE" w:rsidP="00DF00FE" w14:paraId="56715F5B" w14:textId="77777777">
      <w:pPr>
        <w:spacing w:after="0" w:line="240" w:lineRule="auto"/>
        <w:jc w:val="left"/>
        <w:rPr>
          <w:sz w:val="24"/>
          <w:szCs w:val="24"/>
        </w:rPr>
      </w:pPr>
      <w:r w:rsidRPr="00DF00FE">
        <w:rPr>
          <w:b/>
          <w:bCs/>
          <w:sz w:val="24"/>
          <w:szCs w:val="24"/>
          <w:u w:val="single"/>
        </w:rPr>
        <w:t>Procedural Posture</w:t>
      </w:r>
      <w:r w:rsidRPr="00DF00FE">
        <w:rPr>
          <w:b/>
          <w:bCs/>
          <w:sz w:val="24"/>
          <w:szCs w:val="24"/>
        </w:rPr>
        <w:t xml:space="preserve"> </w:t>
      </w:r>
      <w:r w:rsidRPr="00DF00FE">
        <w:rPr>
          <w:sz w:val="24"/>
          <w:szCs w:val="24"/>
        </w:rPr>
        <w:t>(see XX below)</w:t>
      </w:r>
    </w:p>
    <w:p w:rsidR="00DF00FE" w:rsidRPr="00DF00FE" w:rsidP="00DF00FE" w14:paraId="5663FB8D" w14:textId="77777777">
      <w:pPr>
        <w:spacing w:after="0" w:line="240" w:lineRule="auto"/>
        <w:jc w:val="left"/>
        <w:rPr>
          <w:sz w:val="24"/>
          <w:szCs w:val="24"/>
        </w:rPr>
      </w:pPr>
      <w:r w:rsidRPr="00DF00FE">
        <w:rPr>
          <w:b/>
          <w:bCs/>
          <w:sz w:val="24"/>
          <w:szCs w:val="24"/>
        </w:rPr>
        <w:t>Original Appeal</w:t>
      </w:r>
      <w:r w:rsidRPr="00DF00FE">
        <w:rPr>
          <w:sz w:val="24"/>
          <w:szCs w:val="24"/>
        </w:rPr>
        <w:t xml:space="preserve"> </w:t>
      </w:r>
    </w:p>
    <w:p w:rsidR="00DF00FE" w:rsidRPr="00DF00FE" w:rsidP="00DF00FE" w14:paraId="54B633BA" w14:textId="77777777">
      <w:pPr>
        <w:spacing w:after="0" w:line="240" w:lineRule="auto"/>
        <w:jc w:val="left"/>
        <w:rPr>
          <w:b/>
          <w:bCs/>
          <w:sz w:val="24"/>
          <w:szCs w:val="24"/>
        </w:rPr>
      </w:pPr>
      <w:r w:rsidRPr="00DF00FE">
        <w:rPr>
          <w:b/>
          <w:bCs/>
          <w:sz w:val="24"/>
          <w:szCs w:val="24"/>
        </w:rPr>
        <w:t>Original Proceeding</w:t>
      </w:r>
    </w:p>
    <w:p w:rsidR="00DF00FE" w:rsidRPr="00DF00FE" w:rsidP="00DF00FE" w14:paraId="6CEB48CD" w14:textId="77777777">
      <w:pPr>
        <w:spacing w:after="0" w:line="240" w:lineRule="auto"/>
        <w:jc w:val="left"/>
        <w:rPr>
          <w:sz w:val="24"/>
          <w:szCs w:val="24"/>
        </w:rPr>
      </w:pPr>
      <w:r w:rsidRPr="00DF00FE">
        <w:rPr>
          <w:b/>
          <w:bCs/>
          <w:sz w:val="24"/>
          <w:szCs w:val="24"/>
        </w:rPr>
        <w:t>Review Granted</w:t>
      </w:r>
      <w:r w:rsidRPr="00DF00FE">
        <w:rPr>
          <w:sz w:val="24"/>
          <w:szCs w:val="24"/>
        </w:rPr>
        <w:t xml:space="preserve"> </w:t>
      </w:r>
      <w:r w:rsidRPr="00DF00FE">
        <w:rPr>
          <w:b/>
          <w:bCs/>
          <w:sz w:val="24"/>
          <w:szCs w:val="24"/>
        </w:rPr>
        <w:t xml:space="preserve">(published) </w:t>
      </w:r>
      <w:r w:rsidRPr="00DF00FE">
        <w:rPr>
          <w:sz w:val="24"/>
          <w:szCs w:val="24"/>
        </w:rPr>
        <w:t>XX 49 Cal.App.5th 682</w:t>
      </w:r>
    </w:p>
    <w:p w:rsidR="00DF00FE" w:rsidRPr="00DF00FE" w:rsidP="00DF00FE" w14:paraId="1954BF56" w14:textId="77777777">
      <w:pPr>
        <w:spacing w:after="0" w:line="240" w:lineRule="auto"/>
        <w:jc w:val="left"/>
        <w:rPr>
          <w:sz w:val="24"/>
          <w:szCs w:val="24"/>
        </w:rPr>
      </w:pPr>
      <w:r w:rsidRPr="00DF00FE">
        <w:rPr>
          <w:b/>
          <w:bCs/>
          <w:sz w:val="24"/>
          <w:szCs w:val="24"/>
        </w:rPr>
        <w:t xml:space="preserve">Review Granted (unpublished) </w:t>
      </w:r>
    </w:p>
    <w:p w:rsidR="00DF00FE" w:rsidRPr="00DF00FE" w:rsidP="00DF00FE" w14:paraId="633CF838" w14:textId="77777777">
      <w:pPr>
        <w:spacing w:after="0" w:line="240" w:lineRule="auto"/>
        <w:jc w:val="left"/>
        <w:rPr>
          <w:b/>
          <w:bCs/>
          <w:sz w:val="24"/>
          <w:szCs w:val="24"/>
        </w:rPr>
      </w:pPr>
      <w:r w:rsidRPr="00DF00FE">
        <w:rPr>
          <w:b/>
          <w:bCs/>
          <w:sz w:val="24"/>
          <w:szCs w:val="24"/>
        </w:rPr>
        <w:t>Rehearing Granted</w:t>
      </w:r>
    </w:p>
    <w:p w:rsidR="00DF00FE" w:rsidRPr="00DF00FE" w:rsidP="00DF00FE" w14:paraId="350B5C1A" w14:textId="77777777">
      <w:pPr>
        <w:spacing w:after="0" w:line="240" w:lineRule="auto"/>
        <w:jc w:val="left"/>
        <w:rPr>
          <w:b/>
          <w:sz w:val="24"/>
          <w:szCs w:val="24"/>
        </w:rPr>
      </w:pPr>
      <w:r w:rsidRPr="00DF00FE">
        <w:rPr>
          <w:b/>
          <w:sz w:val="24"/>
          <w:szCs w:val="24"/>
        </w:rPr>
        <w:t xml:space="preserve">__________________________________________________________ </w:t>
      </w:r>
    </w:p>
    <w:p w:rsidR="00DF00FE" w:rsidRPr="00DF00FE" w:rsidP="00DF00FE" w14:paraId="0FD93088" w14:textId="77777777">
      <w:pPr>
        <w:spacing w:after="0" w:line="240" w:lineRule="auto"/>
        <w:jc w:val="left"/>
        <w:rPr>
          <w:b/>
          <w:sz w:val="24"/>
          <w:szCs w:val="24"/>
        </w:rPr>
      </w:pPr>
    </w:p>
    <w:p w:rsidR="00DF00FE" w:rsidRPr="00DF00FE" w:rsidP="00DF00FE" w14:paraId="1A279824" w14:textId="77777777">
      <w:pPr>
        <w:spacing w:after="0" w:line="240" w:lineRule="auto"/>
        <w:jc w:val="left"/>
        <w:rPr>
          <w:bCs/>
          <w:sz w:val="24"/>
          <w:szCs w:val="24"/>
        </w:rPr>
      </w:pPr>
      <w:r w:rsidRPr="00DF00FE">
        <w:rPr>
          <w:b/>
          <w:sz w:val="24"/>
          <w:szCs w:val="24"/>
        </w:rPr>
        <w:t>Opinion No.</w:t>
      </w:r>
      <w:r w:rsidRPr="00DF00FE">
        <w:rPr>
          <w:sz w:val="24"/>
          <w:szCs w:val="24"/>
        </w:rPr>
        <w:t xml:space="preserve"> S263180</w:t>
      </w:r>
    </w:p>
    <w:p w:rsidR="00DF00FE" w:rsidRPr="00DF00FE" w:rsidP="00DF00FE" w14:paraId="7C046289" w14:textId="77777777">
      <w:pPr>
        <w:spacing w:after="0" w:line="240" w:lineRule="auto"/>
        <w:jc w:val="left"/>
        <w:rPr>
          <w:bCs/>
          <w:sz w:val="24"/>
          <w:szCs w:val="24"/>
        </w:rPr>
      </w:pPr>
      <w:r w:rsidRPr="00DF00FE">
        <w:rPr>
          <w:b/>
          <w:sz w:val="24"/>
          <w:szCs w:val="24"/>
        </w:rPr>
        <w:t>Date Filed:</w:t>
      </w:r>
      <w:r w:rsidRPr="00DF00FE">
        <w:rPr>
          <w:sz w:val="24"/>
          <w:szCs w:val="24"/>
        </w:rPr>
        <w:t xml:space="preserve">  July 31, 2023</w:t>
      </w:r>
    </w:p>
    <w:p w:rsidR="00DF00FE" w:rsidRPr="00DF00FE" w:rsidP="00DF00FE" w14:paraId="4F450A38" w14:textId="77777777">
      <w:pPr>
        <w:spacing w:after="0" w:line="240" w:lineRule="auto"/>
        <w:jc w:val="left"/>
        <w:rPr>
          <w:b/>
          <w:sz w:val="24"/>
          <w:szCs w:val="24"/>
        </w:rPr>
      </w:pPr>
      <w:r w:rsidRPr="00DF00FE">
        <w:rPr>
          <w:b/>
          <w:sz w:val="24"/>
          <w:szCs w:val="24"/>
        </w:rPr>
        <w:t xml:space="preserve">__________________________________________________________ </w:t>
      </w:r>
    </w:p>
    <w:p w:rsidR="00DF00FE" w:rsidRPr="00DF00FE" w:rsidP="00DF00FE" w14:paraId="26A5E847" w14:textId="77777777">
      <w:pPr>
        <w:spacing w:after="0" w:line="240" w:lineRule="auto"/>
        <w:jc w:val="left"/>
        <w:rPr>
          <w:b/>
          <w:sz w:val="24"/>
          <w:szCs w:val="24"/>
        </w:rPr>
      </w:pPr>
    </w:p>
    <w:p w:rsidR="00DF00FE" w:rsidRPr="00DF00FE" w:rsidP="00DF00FE" w14:paraId="45CCAEC7" w14:textId="77777777">
      <w:pPr>
        <w:spacing w:after="0" w:line="240" w:lineRule="auto"/>
        <w:jc w:val="left"/>
        <w:rPr>
          <w:bCs/>
          <w:sz w:val="24"/>
          <w:szCs w:val="24"/>
        </w:rPr>
      </w:pPr>
      <w:r w:rsidRPr="00DF00FE">
        <w:rPr>
          <w:b/>
          <w:sz w:val="24"/>
          <w:szCs w:val="24"/>
        </w:rPr>
        <w:t xml:space="preserve">Court:  </w:t>
      </w:r>
      <w:r w:rsidRPr="00DF00FE">
        <w:rPr>
          <w:bCs/>
          <w:sz w:val="24"/>
          <w:szCs w:val="24"/>
        </w:rPr>
        <w:t>Superior</w:t>
      </w:r>
      <w:r w:rsidRPr="00DF00FE">
        <w:rPr>
          <w:b/>
          <w:sz w:val="24"/>
          <w:szCs w:val="24"/>
        </w:rPr>
        <w:t xml:space="preserve"> </w:t>
      </w:r>
    </w:p>
    <w:p w:rsidR="00DF00FE" w:rsidRPr="00DF00FE" w:rsidP="00DF00FE" w14:paraId="5859F0F7" w14:textId="77777777">
      <w:pPr>
        <w:spacing w:after="0" w:line="240" w:lineRule="auto"/>
        <w:jc w:val="left"/>
        <w:rPr>
          <w:bCs/>
          <w:sz w:val="24"/>
          <w:szCs w:val="24"/>
        </w:rPr>
      </w:pPr>
      <w:r w:rsidRPr="00DF00FE">
        <w:rPr>
          <w:b/>
          <w:sz w:val="24"/>
          <w:szCs w:val="24"/>
        </w:rPr>
        <w:t xml:space="preserve">County:  </w:t>
      </w:r>
      <w:r w:rsidRPr="00DF00FE">
        <w:rPr>
          <w:bCs/>
          <w:sz w:val="24"/>
          <w:szCs w:val="24"/>
        </w:rPr>
        <w:t>Los Angeles</w:t>
      </w:r>
    </w:p>
    <w:p w:rsidR="00DF00FE" w:rsidRPr="00DF00FE" w:rsidP="00DF00FE" w14:paraId="0D7E2A6C" w14:textId="77777777">
      <w:pPr>
        <w:spacing w:after="0" w:line="240" w:lineRule="auto"/>
        <w:ind w:left="720" w:hanging="720"/>
        <w:jc w:val="left"/>
        <w:rPr>
          <w:bCs/>
          <w:sz w:val="24"/>
          <w:szCs w:val="24"/>
        </w:rPr>
      </w:pPr>
      <w:r w:rsidRPr="00DF00FE">
        <w:rPr>
          <w:b/>
          <w:sz w:val="24"/>
          <w:szCs w:val="24"/>
        </w:rPr>
        <w:t xml:space="preserve">Judge: </w:t>
      </w:r>
      <w:r w:rsidRPr="00DF00FE">
        <w:rPr>
          <w:bCs/>
          <w:sz w:val="24"/>
          <w:szCs w:val="24"/>
        </w:rPr>
        <w:t xml:space="preserve"> Amy D. Hogue</w:t>
      </w:r>
    </w:p>
    <w:p w:rsidR="00DF00FE" w:rsidRPr="00DF00FE" w:rsidP="00DF00FE" w14:paraId="3C2E19EC" w14:textId="77777777">
      <w:pPr>
        <w:spacing w:after="0" w:line="240" w:lineRule="auto"/>
        <w:jc w:val="left"/>
        <w:rPr>
          <w:b/>
          <w:sz w:val="24"/>
          <w:szCs w:val="24"/>
        </w:rPr>
      </w:pPr>
      <w:r w:rsidRPr="00DF00FE">
        <w:rPr>
          <w:b/>
          <w:sz w:val="24"/>
          <w:szCs w:val="24"/>
        </w:rPr>
        <w:t xml:space="preserve">__________________________________________________________  </w:t>
      </w:r>
    </w:p>
    <w:p w:rsidR="00DF00FE" w:rsidRPr="00DF00FE" w:rsidP="00DF00FE" w14:paraId="4FA53E69" w14:textId="77777777">
      <w:pPr>
        <w:spacing w:after="0" w:line="240" w:lineRule="auto"/>
        <w:jc w:val="left"/>
        <w:rPr>
          <w:b/>
          <w:sz w:val="24"/>
          <w:szCs w:val="24"/>
        </w:rPr>
      </w:pPr>
    </w:p>
    <w:p w:rsidR="00DF00FE" w:rsidRPr="00DF00FE" w:rsidP="00DF00FE" w14:paraId="11582D85" w14:textId="77777777">
      <w:pPr>
        <w:spacing w:after="0" w:line="240" w:lineRule="auto"/>
        <w:jc w:val="left"/>
        <w:rPr>
          <w:b/>
          <w:sz w:val="24"/>
          <w:szCs w:val="24"/>
        </w:rPr>
      </w:pPr>
      <w:r w:rsidRPr="00DF00FE">
        <w:rPr>
          <w:b/>
          <w:sz w:val="24"/>
          <w:szCs w:val="24"/>
        </w:rPr>
        <w:t>Counsel:</w:t>
      </w:r>
    </w:p>
    <w:p w:rsidR="00DF00FE" w:rsidRPr="00DF00FE" w:rsidP="00DF00FE" w14:paraId="7ED705F4" w14:textId="77777777">
      <w:pPr>
        <w:spacing w:after="0" w:line="240" w:lineRule="auto"/>
        <w:jc w:val="left"/>
        <w:rPr>
          <w:b/>
          <w:sz w:val="24"/>
          <w:szCs w:val="24"/>
        </w:rPr>
      </w:pPr>
    </w:p>
    <w:p w:rsidR="00DF00FE" w:rsidRPr="00DF00FE" w:rsidP="00DF00FE" w14:paraId="1A0C5C27"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Hathaway Parker, Mark M. Hathaway and Jenna E. Parker for Plaintiff and Appellant.</w:t>
      </w:r>
    </w:p>
    <w:p w:rsidR="00DF00FE" w:rsidRPr="00DF00FE" w:rsidP="00DF00FE" w14:paraId="6737F70B" w14:textId="77777777">
      <w:pPr>
        <w:spacing w:after="0" w:line="240" w:lineRule="auto"/>
        <w:jc w:val="left"/>
        <w:rPr>
          <w:color w:val="212121"/>
          <w:sz w:val="24"/>
          <w:szCs w:val="24"/>
          <w:shd w:val="clear" w:color="auto" w:fill="FFFFFF"/>
        </w:rPr>
      </w:pPr>
    </w:p>
    <w:p w:rsidR="00DF00FE" w:rsidRPr="00DF00FE" w:rsidP="00DF00FE" w14:paraId="690D47A5"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Cynthia P. Garrett for Families Advocating for Campus Equality as Amicus Curiae on behalf of Plaintiff and Appellant.</w:t>
      </w:r>
    </w:p>
    <w:p w:rsidR="00DF00FE" w:rsidRPr="00DF00FE" w:rsidP="00DF00FE" w14:paraId="3D827F4D" w14:textId="77777777">
      <w:pPr>
        <w:spacing w:after="0" w:line="240" w:lineRule="auto"/>
        <w:jc w:val="left"/>
        <w:rPr>
          <w:color w:val="212121"/>
          <w:sz w:val="24"/>
          <w:szCs w:val="24"/>
          <w:shd w:val="clear" w:color="auto" w:fill="FFFFFF"/>
        </w:rPr>
      </w:pPr>
    </w:p>
    <w:p w:rsidR="00DF00FE" w:rsidRPr="00DF00FE" w:rsidP="00DF00FE" w14:paraId="525A7833"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 xml:space="preserve">Horvitz &amp; Levy, Beth J. Jay, Jeremy B. Rosen, Mark A. Kressel, Scott P. Dixler, Sarah E. Hamill; Young &amp; Zinn, Julie Arias Young and Karen J. Pazzani for Defendants and Respondents. </w:t>
      </w:r>
    </w:p>
    <w:p w:rsidR="00DF00FE" w:rsidRPr="00DF00FE" w:rsidP="00DF00FE" w14:paraId="73C22473" w14:textId="77777777">
      <w:pPr>
        <w:spacing w:after="0" w:line="240" w:lineRule="auto"/>
        <w:jc w:val="left"/>
        <w:rPr>
          <w:color w:val="212121"/>
          <w:sz w:val="24"/>
          <w:szCs w:val="24"/>
          <w:shd w:val="clear" w:color="auto" w:fill="FFFFFF"/>
        </w:rPr>
      </w:pPr>
    </w:p>
    <w:p w:rsidR="00DF00FE" w:rsidRPr="00DF00FE" w:rsidP="00DF00FE" w14:paraId="79FD4D81"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Rob Bonta, Attorney General, Matthew Rodriquez, Chief Assistant Attorney General, Michael L. Newman, Assistant Attorney General, Sarah E. Belton and Alexis M. Piazza, Deputy Attorneys General, for the Attorney General of California as Amicus Curiae on behalf of Defendants and Respondents.</w:t>
      </w:r>
    </w:p>
    <w:p w:rsidR="00DF00FE" w:rsidRPr="00DF00FE" w:rsidP="00DF00FE" w14:paraId="05934647" w14:textId="77777777">
      <w:pPr>
        <w:spacing w:after="0" w:line="240" w:lineRule="auto"/>
        <w:jc w:val="left"/>
        <w:rPr>
          <w:color w:val="212121"/>
          <w:sz w:val="24"/>
          <w:szCs w:val="24"/>
          <w:shd w:val="clear" w:color="auto" w:fill="FFFFFF"/>
        </w:rPr>
      </w:pPr>
    </w:p>
    <w:p w:rsidR="00DF00FE" w:rsidRPr="00DF00FE" w:rsidP="00DF00FE" w14:paraId="7DFBC15E"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Gibson, Dunn &amp; Crutcher, Theane Evangelis, Jeremy S. Smith, Andrew M. Kasabian; Amy Porter; and Brenda Adams for California Women’s Law Center, Equal Rights Advocates, Kylee O., Maryam I., Claudia R., Alliance for HOPE International, Atlanta Women for Equality, Child Abuse Forensic Institute, Center for Community Solutions, Community Legal Aid SoCal, Domestic Abuse Center, Family Violence Appellate Project, Family Violence Law Center, Feminist Majority Foundation, Law Foundation of Silicon Valley, Legal Aid at Work, Legal Voice, Los Angeles Center for Law and Justice, National Association of Women Lawyers, National Women’s Law Center, Public Counsel, Rural Human Services/Harrington House, San Diego Volunteer Lawyer Program, Southwest Women’s Law Center, Texas Association Against Sexual Assault, Walnut Avenue Family &amp; Women’s Center, WEAVE, Inc., and Women’s Law Project  as Amici Curiae on behalf of Defendants and Respondents.</w:t>
      </w:r>
    </w:p>
    <w:p w:rsidR="00DF00FE" w:rsidRPr="00DF00FE" w:rsidP="00DF00FE" w14:paraId="3E364077" w14:textId="77777777">
      <w:pPr>
        <w:spacing w:after="0" w:line="240" w:lineRule="auto"/>
        <w:jc w:val="left"/>
        <w:rPr>
          <w:color w:val="212121"/>
          <w:sz w:val="24"/>
          <w:szCs w:val="24"/>
          <w:shd w:val="clear" w:color="auto" w:fill="FFFFFF"/>
        </w:rPr>
      </w:pPr>
    </w:p>
    <w:p w:rsidR="00DF00FE" w:rsidRPr="00DF00FE" w:rsidP="00DF00FE" w14:paraId="4253DEE3"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O’Melveny &amp; Myers, Apalla U. Chopra, Marni Barta, Allan W. Gustin and Anton Metlitsky for California Institute of Technology, Chapman University, Claremont McKenna College, Occidental College and Pepperdine University as Amici Curiae on behalf of Defendants and Respondents.</w:t>
      </w:r>
    </w:p>
    <w:p w:rsidR="00DF00FE" w:rsidRPr="00DF00FE" w:rsidP="00DF00FE" w14:paraId="269A7326" w14:textId="77777777">
      <w:pPr>
        <w:spacing w:after="0" w:line="240" w:lineRule="auto"/>
        <w:jc w:val="left"/>
        <w:rPr>
          <w:color w:val="212121"/>
          <w:sz w:val="24"/>
          <w:szCs w:val="24"/>
          <w:shd w:val="clear" w:color="auto" w:fill="FFFFFF"/>
        </w:rPr>
      </w:pPr>
    </w:p>
    <w:p w:rsidR="00DF00FE" w:rsidRPr="00DF00FE" w:rsidP="00DF00FE" w14:paraId="0E4033A0"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Arent Fox, Lowell C. Brown and Candace C. Sandoval for California Hospital Association as Amicus Curiae.</w:t>
      </w:r>
      <w:r w:rsidRPr="00DF00FE">
        <w:rPr>
          <w:color w:val="212121"/>
          <w:sz w:val="24"/>
          <w:szCs w:val="24"/>
          <w:shd w:val="clear" w:color="auto" w:fill="FFFFFF"/>
        </w:rPr>
        <w:br w:type="page"/>
      </w:r>
      <w:r w:rsidRPr="00DF00FE">
        <w:rPr>
          <w:b/>
          <w:sz w:val="24"/>
          <w:szCs w:val="24"/>
        </w:rPr>
        <w:t>Counsel who argued in Supreme Court (not intended for publication with opinion):</w:t>
      </w:r>
    </w:p>
    <w:p w:rsidR="00DF00FE" w:rsidRPr="00DF00FE" w:rsidP="00DF00FE" w14:paraId="50094B27" w14:textId="77777777">
      <w:pPr>
        <w:spacing w:after="0" w:line="240" w:lineRule="auto"/>
        <w:jc w:val="left"/>
        <w:rPr>
          <w:sz w:val="24"/>
          <w:szCs w:val="24"/>
        </w:rPr>
      </w:pPr>
    </w:p>
    <w:p w:rsidR="00DF00FE" w:rsidRPr="00DF00FE" w:rsidP="00DF00FE" w14:paraId="0F9502B1"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Mark M. Hathaway</w:t>
      </w:r>
    </w:p>
    <w:p w:rsidR="00DF00FE" w:rsidRPr="00DF00FE" w:rsidP="00DF00FE" w14:paraId="62950CE0"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Hathaway Parker</w:t>
      </w:r>
    </w:p>
    <w:p w:rsidR="00DF00FE" w:rsidRPr="00DF00FE" w:rsidP="00DF00FE" w14:paraId="0B1BDFA5" w14:textId="77777777">
      <w:pPr>
        <w:spacing w:after="0" w:line="240" w:lineRule="auto"/>
        <w:jc w:val="left"/>
        <w:rPr>
          <w:color w:val="212121"/>
          <w:sz w:val="24"/>
          <w:szCs w:val="24"/>
          <w:shd w:val="clear" w:color="auto" w:fill="FFFFFF"/>
        </w:rPr>
      </w:pPr>
      <w:r w:rsidRPr="00DF00FE">
        <w:rPr>
          <w:color w:val="212121"/>
          <w:sz w:val="24"/>
          <w:szCs w:val="24"/>
          <w:shd w:val="clear" w:color="auto" w:fill="FFFFFF"/>
        </w:rPr>
        <w:t>445 South Figueroa Street, 31st Floor</w:t>
      </w:r>
    </w:p>
    <w:p w:rsidR="00DF00FE" w:rsidRPr="00DF00FE" w:rsidP="00DF00FE" w14:paraId="475F707E" w14:textId="77777777">
      <w:pPr>
        <w:spacing w:after="0" w:line="240" w:lineRule="auto"/>
        <w:jc w:val="left"/>
        <w:rPr>
          <w:sz w:val="24"/>
          <w:szCs w:val="24"/>
        </w:rPr>
      </w:pPr>
      <w:r w:rsidRPr="00DF00FE">
        <w:rPr>
          <w:sz w:val="24"/>
          <w:szCs w:val="24"/>
        </w:rPr>
        <w:t>Los Angeles, CA 90071</w:t>
      </w:r>
    </w:p>
    <w:p w:rsidR="00DF00FE" w:rsidRPr="00DF00FE" w:rsidP="00DF00FE" w14:paraId="336B6A6A" w14:textId="77777777">
      <w:pPr>
        <w:spacing w:after="0" w:line="240" w:lineRule="auto"/>
        <w:jc w:val="left"/>
        <w:rPr>
          <w:sz w:val="24"/>
          <w:szCs w:val="24"/>
        </w:rPr>
      </w:pPr>
      <w:r w:rsidRPr="00DF00FE">
        <w:rPr>
          <w:sz w:val="24"/>
          <w:szCs w:val="24"/>
        </w:rPr>
        <w:t>(213) 529-9000</w:t>
      </w:r>
    </w:p>
    <w:p w:rsidR="00DF00FE" w:rsidRPr="00DF00FE" w:rsidP="00DF00FE" w14:paraId="3ADE39C7" w14:textId="77777777">
      <w:pPr>
        <w:spacing w:after="0" w:line="240" w:lineRule="auto"/>
        <w:jc w:val="left"/>
        <w:rPr>
          <w:sz w:val="24"/>
          <w:szCs w:val="24"/>
        </w:rPr>
      </w:pPr>
    </w:p>
    <w:p w:rsidR="00DF00FE" w:rsidRPr="00DF00FE" w:rsidP="00DF00FE" w14:paraId="7A5B55E4" w14:textId="77777777">
      <w:pPr>
        <w:spacing w:after="0" w:line="240" w:lineRule="auto"/>
        <w:jc w:val="left"/>
        <w:rPr>
          <w:sz w:val="24"/>
          <w:szCs w:val="24"/>
        </w:rPr>
      </w:pPr>
      <w:r w:rsidRPr="00DF00FE">
        <w:rPr>
          <w:sz w:val="24"/>
          <w:szCs w:val="24"/>
        </w:rPr>
        <w:t>Jeremy B. Rosen</w:t>
      </w:r>
    </w:p>
    <w:p w:rsidR="00DF00FE" w:rsidRPr="00DF00FE" w:rsidP="00DF00FE" w14:paraId="1CFAFA6D" w14:textId="77777777">
      <w:pPr>
        <w:spacing w:after="0" w:line="240" w:lineRule="auto"/>
        <w:jc w:val="left"/>
        <w:rPr>
          <w:sz w:val="24"/>
          <w:szCs w:val="24"/>
        </w:rPr>
      </w:pPr>
      <w:r w:rsidRPr="00DF00FE">
        <w:rPr>
          <w:sz w:val="24"/>
          <w:szCs w:val="24"/>
        </w:rPr>
        <w:t>Horvitz &amp; Levy LLP</w:t>
      </w:r>
    </w:p>
    <w:p w:rsidR="00DF00FE" w:rsidRPr="00DF00FE" w:rsidP="00DF00FE" w14:paraId="6365DEF8" w14:textId="77777777">
      <w:pPr>
        <w:spacing w:after="0" w:line="240" w:lineRule="auto"/>
        <w:jc w:val="left"/>
        <w:rPr>
          <w:sz w:val="24"/>
          <w:szCs w:val="24"/>
        </w:rPr>
      </w:pPr>
      <w:r w:rsidRPr="00DF00FE">
        <w:rPr>
          <w:sz w:val="24"/>
          <w:szCs w:val="24"/>
        </w:rPr>
        <w:t>505 Sansome Street, Suite 375</w:t>
      </w:r>
    </w:p>
    <w:p w:rsidR="00DF00FE" w:rsidRPr="00DF00FE" w:rsidP="00DF00FE" w14:paraId="5627B2D9" w14:textId="77777777">
      <w:pPr>
        <w:spacing w:after="0" w:line="240" w:lineRule="auto"/>
        <w:jc w:val="left"/>
        <w:rPr>
          <w:sz w:val="24"/>
          <w:szCs w:val="24"/>
        </w:rPr>
      </w:pPr>
      <w:r w:rsidRPr="00DF00FE">
        <w:rPr>
          <w:sz w:val="24"/>
          <w:szCs w:val="24"/>
        </w:rPr>
        <w:t>San Francisco, CA 94111-3175</w:t>
      </w:r>
    </w:p>
    <w:p w:rsidR="00DF00FE" w:rsidRPr="00DF00FE" w:rsidP="00DF00FE" w14:paraId="4C05181B" w14:textId="77777777">
      <w:pPr>
        <w:spacing w:after="0" w:line="240" w:lineRule="auto"/>
        <w:jc w:val="left"/>
        <w:rPr>
          <w:sz w:val="24"/>
          <w:szCs w:val="24"/>
        </w:rPr>
      </w:pPr>
      <w:r w:rsidRPr="00DF00FE">
        <w:rPr>
          <w:sz w:val="24"/>
          <w:szCs w:val="24"/>
        </w:rPr>
        <w:t>(818) 995-5838</w:t>
      </w:r>
    </w:p>
    <w:p w:rsidR="00DF00FE" w:rsidRPr="00DF00FE" w:rsidP="00C700E0" w14:paraId="56EE5EB0" w14:textId="020F2368">
      <w:pPr>
        <w:pStyle w:val="Text"/>
        <w:spacing w:line="400" w:lineRule="exact"/>
        <w:ind w:firstLine="0"/>
        <w:rPr>
          <w:b/>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724" w14:paraId="47C8C13A"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A75" w14:paraId="47C8C13B"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0FE" w:rsidRPr="00DF00FE" w:rsidP="00DF00FE" w14:paraId="2E4ED988" w14:textId="21FC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4276" w14:paraId="589FD11D" w14:textId="77777777">
      <w:r>
        <w:separator/>
      </w:r>
    </w:p>
  </w:footnote>
  <w:footnote w:type="continuationSeparator" w:id="1">
    <w:p w:rsidR="00F24276" w14:paraId="01ADBF1C" w14:textId="77777777">
      <w:pPr>
        <w:rPr>
          <w:i/>
          <w:iCs/>
          <w:sz w:val="20"/>
        </w:rPr>
      </w:pPr>
      <w:r>
        <w:continuationSeparator/>
      </w:r>
    </w:p>
  </w:footnote>
  <w:footnote w:type="continuationNotice" w:id="2">
    <w:p w:rsidR="00F24276" w14:paraId="08E60ECE" w14:textId="77777777">
      <w:pPr>
        <w:jc w:val="right"/>
        <w:rPr>
          <w:i/>
          <w:iCs/>
          <w:sz w:val="20"/>
        </w:rPr>
      </w:pPr>
    </w:p>
  </w:footnote>
  <w:footnote w:id="3">
    <w:p w:rsidR="00B83724" w:rsidP="00957A75" w14:paraId="47C8C13C" w14:textId="77777777">
      <w:pPr>
        <w:pStyle w:val="FootnoteText"/>
      </w:pPr>
      <w:r>
        <w:rPr>
          <w:rStyle w:val="FootnoteReference"/>
        </w:rPr>
        <w:footnoteRef/>
      </w:r>
      <w:r>
        <w:tab/>
        <w:t xml:space="preserve">In this opinion, we use the term “universities” to refer to all postsecondary educational institutions.   </w:t>
      </w:r>
    </w:p>
  </w:footnote>
  <w:footnote w:id="4">
    <w:p w:rsidR="006C1E2F" w:rsidP="00957A75" w14:paraId="47C8C13D" w14:textId="77777777">
      <w:pPr>
        <w:pStyle w:val="FootnoteText"/>
      </w:pPr>
      <w:r>
        <w:rPr>
          <w:rStyle w:val="FootnoteReference"/>
        </w:rPr>
        <w:footnoteRef/>
      </w:r>
      <w:r>
        <w:t xml:space="preserve"> </w:t>
      </w:r>
      <w:r>
        <w:tab/>
        <w:t>Like the Court of Appeal, we refer to Roe and the other witnesses in a manner that protects their privacy.  (Cal. Rules of Court, rule 8.90.)</w:t>
      </w:r>
    </w:p>
  </w:footnote>
  <w:footnote w:id="5">
    <w:p w:rsidR="00B83724" w:rsidP="00957A75" w14:paraId="47C8C13E" w14:textId="77777777">
      <w:pPr>
        <w:pStyle w:val="FootnoteText"/>
      </w:pPr>
      <w:r>
        <w:rPr>
          <w:rStyle w:val="FootnoteReference"/>
        </w:rPr>
        <w:footnoteRef/>
      </w:r>
      <w:r>
        <w:t xml:space="preserve"> </w:t>
      </w:r>
      <w:r>
        <w:tab/>
        <w:t>All universities that receive federal financial assistance must designate at least one employee</w:t>
      </w:r>
      <w:r w:rsidR="00BE3EE4">
        <w:t xml:space="preserve">, referred to as the Title IX </w:t>
      </w:r>
      <w:r w:rsidR="0034139A">
        <w:t>c</w:t>
      </w:r>
      <w:r w:rsidR="00BE3EE4">
        <w:t>oordinator,</w:t>
      </w:r>
      <w:r>
        <w:t xml:space="preserve"> as being responsible for ensuring compliance with Title IX.  (</w:t>
      </w:r>
      <w:r w:rsidR="00BE3EE4">
        <w:t>34</w:t>
      </w:r>
      <w:r w:rsidRPr="003636F8">
        <w:t xml:space="preserve"> C.F.R. § </w:t>
      </w:r>
      <w:r w:rsidR="00BE3EE4">
        <w:t>106.8</w:t>
      </w:r>
      <w:r w:rsidR="00AD4ECE">
        <w:t>(a)</w:t>
      </w:r>
      <w:r w:rsidR="00C61298">
        <w:t xml:space="preserve"> </w:t>
      </w:r>
      <w:r w:rsidRPr="00BE3EE4" w:rsidR="00C61298">
        <w:t>(</w:t>
      </w:r>
      <w:r w:rsidRPr="00BE3EE4" w:rsidR="00AD4ECE">
        <w:t>2023</w:t>
      </w:r>
      <w:r w:rsidRPr="00BE3EE4" w:rsidR="00C61298">
        <w:t>)</w:t>
      </w:r>
      <w:r>
        <w:t xml:space="preserve">.)  At the time of the incident in question, USC had a Title IX office consisting of a Title IX </w:t>
      </w:r>
      <w:r w:rsidR="0034139A">
        <w:t>c</w:t>
      </w:r>
      <w:r>
        <w:t>oordinator, who overs</w:t>
      </w:r>
      <w:r w:rsidR="00BE3EE4">
        <w:t>aw</w:t>
      </w:r>
      <w:r>
        <w:t xml:space="preserve"> the office, and Title IX investigators, who investigate</w:t>
      </w:r>
      <w:r w:rsidR="00BE3EE4">
        <w:t>d</w:t>
      </w:r>
      <w:r>
        <w:t xml:space="preserve"> specific allegations of misconduct.  </w:t>
      </w:r>
    </w:p>
  </w:footnote>
  <w:footnote w:id="6">
    <w:p w:rsidR="00B83724" w:rsidP="00DB434A" w14:paraId="47C8C13F" w14:textId="77777777">
      <w:pPr>
        <w:pStyle w:val="FootnoteText"/>
      </w:pPr>
      <w:r>
        <w:rPr>
          <w:rStyle w:val="FootnoteReference"/>
        </w:rPr>
        <w:footnoteRef/>
      </w:r>
      <w:r>
        <w:t xml:space="preserve"> </w:t>
      </w:r>
      <w:r>
        <w:tab/>
        <w:t xml:space="preserve">The Court of Appeal was split as to whether Boermeester forfeited his right to challenge USC’s failure to provide him </w:t>
      </w:r>
      <w:r w:rsidR="00365427">
        <w:t>with a live hearing featuring direct or indirect cross-examination of Roe and the other witnesses.</w:t>
      </w:r>
      <w:r>
        <w:t xml:space="preserve">  Justice Wiley emphasized in his dissent that Boermeester </w:t>
      </w:r>
      <w:r w:rsidR="00D25F7D">
        <w:t>did not</w:t>
      </w:r>
      <w:r>
        <w:t xml:space="preserve"> submit cross-examination questions for </w:t>
      </w:r>
      <w:r w:rsidR="00237602">
        <w:t xml:space="preserve">USC’s adjudicators to ask </w:t>
      </w:r>
      <w:r>
        <w:t xml:space="preserve">Roe and </w:t>
      </w:r>
      <w:r w:rsidR="00B32D2C">
        <w:t>“</w:t>
      </w:r>
      <w:r w:rsidRPr="00B67CA3">
        <w:rPr>
          <w:i/>
          <w:iCs/>
        </w:rPr>
        <w:t xml:space="preserve">never </w:t>
      </w:r>
      <w:r w:rsidRPr="00B67CA3" w:rsidR="00B32D2C">
        <w:rPr>
          <w:i/>
          <w:iCs/>
        </w:rPr>
        <w:t>requested live cross-examination</w:t>
      </w:r>
      <w:r w:rsidR="00B32D2C">
        <w:t>”</w:t>
      </w:r>
      <w:r w:rsidR="00151381">
        <w:t xml:space="preserve"> of Roe or the other witnesses. </w:t>
      </w:r>
      <w:r>
        <w:t xml:space="preserve"> </w:t>
      </w:r>
      <w:r w:rsidRPr="00990503">
        <w:t>(</w:t>
      </w:r>
      <w:r w:rsidRPr="00990503">
        <w:rPr>
          <w:i/>
          <w:iCs/>
        </w:rPr>
        <w:t>Boermeester v. Carry</w:t>
      </w:r>
      <w:r w:rsidRPr="00990503">
        <w:t xml:space="preserve">, </w:t>
      </w:r>
      <w:r w:rsidRPr="00990503">
        <w:rPr>
          <w:i/>
          <w:iCs/>
        </w:rPr>
        <w:t>supra</w:t>
      </w:r>
      <w:r w:rsidRPr="00990503">
        <w:t>, B290675</w:t>
      </w:r>
      <w:r>
        <w:t xml:space="preserve"> (dis. opn. of Wiley, J.).)  The Court of Appeal majority </w:t>
      </w:r>
      <w:r w:rsidRPr="00BD3A23">
        <w:t>declined</w:t>
      </w:r>
      <w:r>
        <w:t xml:space="preserve"> to find forfeiture, deciding that it would have been futile for Boermeester to request </w:t>
      </w:r>
      <w:r w:rsidR="00B32D2C">
        <w:t xml:space="preserve">cross-examination </w:t>
      </w:r>
      <w:r w:rsidR="009852CA">
        <w:t xml:space="preserve">at a live hearing </w:t>
      </w:r>
      <w:r>
        <w:t xml:space="preserve">since neither USC’s policies nor the law at the time allowed for </w:t>
      </w:r>
      <w:r w:rsidR="00B32D2C">
        <w:t>it</w:t>
      </w:r>
      <w:r>
        <w:t>.  (</w:t>
      </w:r>
      <w:r w:rsidRPr="00990503">
        <w:rPr>
          <w:i/>
          <w:iCs/>
        </w:rPr>
        <w:t>Boermeester v. Carry</w:t>
      </w:r>
      <w:r w:rsidRPr="00990503">
        <w:t xml:space="preserve">, </w:t>
      </w:r>
      <w:r w:rsidRPr="00990503">
        <w:rPr>
          <w:i/>
          <w:iCs/>
        </w:rPr>
        <w:t>supra</w:t>
      </w:r>
      <w:r w:rsidRPr="00990503">
        <w:t>, B290675</w:t>
      </w:r>
      <w:r>
        <w:t xml:space="preserve">.) </w:t>
      </w:r>
    </w:p>
    <w:p w:rsidR="00B83724" w:rsidP="00957A75" w14:paraId="47C8C140" w14:textId="77777777">
      <w:pPr>
        <w:pStyle w:val="FootnoteText"/>
      </w:pPr>
      <w:r>
        <w:tab/>
        <w:t>Neither party asks that we resolve this matter on forfeiture grounds.  USC instead urges us to resolve the issue on the merits, noting the need for “clear guidance on what the common law actually requires.”</w:t>
      </w:r>
      <w:r w:rsidRPr="00B461A5">
        <w:t xml:space="preserve">  </w:t>
      </w:r>
      <w:r>
        <w:t xml:space="preserve">We find that the issues raised are important and recurring, and accordingly exercise our discretion to reach the merits without deciding whether Boermeester forfeited his claims.  </w:t>
      </w:r>
      <w:bookmarkStart w:id="16" w:name="_Hlk137734412"/>
      <w:r w:rsidRPr="00B461A5">
        <w:t>(</w:t>
      </w:r>
      <w:r>
        <w:t xml:space="preserve">See </w:t>
      </w:r>
      <w:r w:rsidRPr="00B461A5">
        <w:rPr>
          <w:i/>
          <w:iCs/>
        </w:rPr>
        <w:t>Teacher v. California Western School of Law</w:t>
      </w:r>
      <w:r w:rsidRPr="00B461A5">
        <w:t xml:space="preserve"> (2022) 77</w:t>
      </w:r>
      <w:r>
        <w:t> </w:t>
      </w:r>
      <w:r w:rsidRPr="00B461A5">
        <w:t xml:space="preserve">Cal.App.5th 111, 129; </w:t>
      </w:r>
      <w:r w:rsidRPr="00B461A5">
        <w:rPr>
          <w:i/>
          <w:iCs/>
        </w:rPr>
        <w:t>JMS Air Conditioning &amp; Appliance Service, Inc. v. Santa Monica Community College Dist.</w:t>
      </w:r>
      <w:r w:rsidRPr="00B461A5">
        <w:t xml:space="preserve"> (2018) 30</w:t>
      </w:r>
      <w:r>
        <w:t> </w:t>
      </w:r>
      <w:r w:rsidRPr="00B461A5">
        <w:t>Cal.App.5th 945, 962, fn. 6.)</w:t>
      </w:r>
      <w:bookmarkEnd w:id="16"/>
      <w:r w:rsidRPr="00B461A5">
        <w:t xml:space="preserve">       </w:t>
      </w:r>
    </w:p>
  </w:footnote>
  <w:footnote w:id="7">
    <w:p w:rsidR="00B83724" w:rsidP="00957A75" w14:paraId="47C8C141" w14:textId="77777777">
      <w:pPr>
        <w:pStyle w:val="FootnoteText"/>
      </w:pPr>
      <w:r>
        <w:rPr>
          <w:rStyle w:val="FootnoteReference"/>
        </w:rPr>
        <w:footnoteRef/>
      </w:r>
      <w:r>
        <w:t xml:space="preserve"> </w:t>
      </w:r>
      <w:r>
        <w:tab/>
      </w:r>
      <w:r w:rsidRPr="006539DF">
        <w:t>USC</w:t>
      </w:r>
      <w:r>
        <w:t xml:space="preserve"> counters that expulsion will not “tarnish a student’s reputation for life” because</w:t>
      </w:r>
      <w:r w:rsidRPr="006539DF">
        <w:t xml:space="preserve"> </w:t>
      </w:r>
      <w:r>
        <w:t>“</w:t>
      </w:r>
      <w:r w:rsidRPr="006539DF">
        <w:t>federal law prohibits universities from disclosing the findings of investigations into alleged misconduct to unauthorized persons without the consent of the student or, when applicable, his parent</w:t>
      </w:r>
      <w:r>
        <w:t>.</w:t>
      </w:r>
      <w:r w:rsidRPr="006539DF">
        <w:t xml:space="preserve">”  The statute to which USC cites, the Family Educational Rights and Privacy Act of 1974, prohibits the federal funding of educational institutions that have a policy or practice of releasing education records to unauthorized persons. </w:t>
      </w:r>
      <w:r>
        <w:t xml:space="preserve"> </w:t>
      </w:r>
      <w:bookmarkStart w:id="36" w:name="_Hlk137734804"/>
      <w:r>
        <w:t>(20</w:t>
      </w:r>
      <w:r w:rsidR="00317360">
        <w:t> </w:t>
      </w:r>
      <w:r>
        <w:t>U.S.C. § 1232g(b)(1).)</w:t>
      </w:r>
      <w:bookmarkEnd w:id="36"/>
      <w:r>
        <w:t xml:space="preserve">  </w:t>
      </w:r>
      <w:r w:rsidRPr="006539DF">
        <w:t xml:space="preserve">It contains an exception, however, </w:t>
      </w:r>
      <w:r>
        <w:t>that</w:t>
      </w:r>
      <w:r w:rsidRPr="006539DF">
        <w:t xml:space="preserve"> allows the release of a student’s records to other schools </w:t>
      </w:r>
      <w:r>
        <w:t>at</w:t>
      </w:r>
      <w:r w:rsidRPr="006539DF">
        <w:t xml:space="preserve"> which the student is seeking admission.  </w:t>
      </w:r>
      <w:r>
        <w:t>(20</w:t>
      </w:r>
      <w:r w:rsidR="00317360">
        <w:t> </w:t>
      </w:r>
      <w:r>
        <w:t xml:space="preserve">U.S.C. § 1232g(b)(1)(B).)  It therefore does not alter our observation that </w:t>
      </w:r>
      <w:r w:rsidRPr="00CD05CD">
        <w:t>a student</w:t>
      </w:r>
      <w:r>
        <w:t xml:space="preserve"> who is expelled from a university for committing sexual misconduct or intimate partner violence may find it difficult to complete </w:t>
      </w:r>
      <w:r w:rsidR="00E95EB0">
        <w:t xml:space="preserve">his or her </w:t>
      </w:r>
      <w:r>
        <w:t xml:space="preserve">education elsewhere.  </w:t>
      </w:r>
    </w:p>
  </w:footnote>
  <w:footnote w:id="8">
    <w:p w:rsidR="002F14FB" w:rsidP="008A34BF" w14:paraId="47C8C142" w14:textId="77777777">
      <w:pPr>
        <w:pStyle w:val="FootnoteText"/>
      </w:pPr>
      <w:r>
        <w:rPr>
          <w:rStyle w:val="FootnoteReference"/>
        </w:rPr>
        <w:footnoteRef/>
      </w:r>
      <w:r>
        <w:t xml:space="preserve"> </w:t>
      </w:r>
      <w:r>
        <w:tab/>
        <w:t>Going forward, all universities that receive state financial assistance and are not exempt from S</w:t>
      </w:r>
      <w:r w:rsidR="00C61298">
        <w:t xml:space="preserve">enate </w:t>
      </w:r>
      <w:r>
        <w:t>B</w:t>
      </w:r>
      <w:r w:rsidR="00C61298">
        <w:t>ill</w:t>
      </w:r>
      <w:r>
        <w:t xml:space="preserve"> 493 will need to comply with S</w:t>
      </w:r>
      <w:r w:rsidR="00C61298">
        <w:t xml:space="preserve">enate </w:t>
      </w:r>
      <w:r>
        <w:t>B</w:t>
      </w:r>
      <w:r w:rsidR="00C61298">
        <w:t>ill</w:t>
      </w:r>
      <w:r>
        <w:t xml:space="preserve"> 493 in any context in which the statute applies.  To the extent that our holding conflicts with any of the provisions of S</w:t>
      </w:r>
      <w:r w:rsidR="00C61298">
        <w:t xml:space="preserve">enate </w:t>
      </w:r>
      <w:r>
        <w:t>B</w:t>
      </w:r>
      <w:r w:rsidR="00C61298">
        <w:t>ill</w:t>
      </w:r>
      <w:r>
        <w:t xml:space="preserve"> 493, S</w:t>
      </w:r>
      <w:r w:rsidR="00C61298">
        <w:t xml:space="preserve">enate </w:t>
      </w:r>
      <w:r>
        <w:t>B</w:t>
      </w:r>
      <w:r w:rsidR="00C61298">
        <w:t>ill</w:t>
      </w:r>
      <w:r>
        <w:t xml:space="preserve"> 493’s provisions control.  </w:t>
      </w:r>
      <w:bookmarkStart w:id="50" w:name="_Hlk137734998"/>
      <w:r>
        <w:t>(</w:t>
      </w:r>
      <w:r w:rsidRPr="00A559AE">
        <w:t>Ed</w:t>
      </w:r>
      <w:r>
        <w:t>.</w:t>
      </w:r>
      <w:r w:rsidRPr="00A559AE">
        <w:t xml:space="preserve"> Code</w:t>
      </w:r>
      <w:r>
        <w:t>, §</w:t>
      </w:r>
      <w:r w:rsidRPr="00A559AE">
        <w:t xml:space="preserve"> 66281.8, subd</w:t>
      </w:r>
      <w:r>
        <w:t>.</w:t>
      </w:r>
      <w:r w:rsidRPr="00A559AE">
        <w:t xml:space="preserve"> (g)(2</w:t>
      </w:r>
      <w:r>
        <w:t>)</w:t>
      </w:r>
      <w:bookmarkEnd w:id="50"/>
      <w:r>
        <w:t xml:space="preserve"> [“A</w:t>
      </w:r>
      <w:r w:rsidRPr="00A559AE">
        <w:t xml:space="preserve">ny case law that conflicts with the provisions of the act </w:t>
      </w:r>
      <w:r>
        <w:t>.</w:t>
      </w:r>
      <w:r w:rsidR="007651B5">
        <w:t> </w:t>
      </w:r>
      <w:r>
        <w:t>.</w:t>
      </w:r>
      <w:r w:rsidR="007651B5">
        <w:t> </w:t>
      </w:r>
      <w:r>
        <w:t>.</w:t>
      </w:r>
      <w:r w:rsidRPr="00A559AE">
        <w:t xml:space="preserve"> shall be superseded as of this statute</w:t>
      </w:r>
      <w:r>
        <w:t>’</w:t>
      </w:r>
      <w:r w:rsidRPr="00A559AE">
        <w:t>s effective date</w:t>
      </w:r>
      <w:r>
        <w:t xml:space="preserve">”]; see also </w:t>
      </w:r>
      <w:bookmarkStart w:id="51" w:name="_Hlk137735008"/>
      <w:r w:rsidRPr="00D84260">
        <w:rPr>
          <w:i/>
          <w:iCs/>
        </w:rPr>
        <w:t>Woods v. Young</w:t>
      </w:r>
      <w:r>
        <w:t xml:space="preserve"> (1991) 53</w:t>
      </w:r>
      <w:r w:rsidR="007651B5">
        <w:t> </w:t>
      </w:r>
      <w:r>
        <w:t xml:space="preserve">Cal.3d 315, 324 </w:t>
      </w:r>
      <w:bookmarkEnd w:id="51"/>
      <w:r>
        <w:t>[“[A]</w:t>
      </w:r>
      <w:r w:rsidRPr="00BC39F4">
        <w:t xml:space="preserve"> later, more specific statute controls over an earlier, general statute</w:t>
      </w:r>
      <w:r>
        <w:t>”].)  The parties agree that S</w:t>
      </w:r>
      <w:r w:rsidR="00C61298">
        <w:t xml:space="preserve">enate </w:t>
      </w:r>
      <w:r>
        <w:t>B</w:t>
      </w:r>
      <w:r w:rsidR="00C61298">
        <w:t>ill</w:t>
      </w:r>
      <w:r>
        <w:t xml:space="preserve"> 493 does not apply retroactively to this matter, and we accordingly do not opine on what the outcome of Boermeester’s petition would have been had the statute applied to his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A75" w14:paraId="47C8C137" w14:textId="77777777">
    <w:pPr>
      <w:pStyle w:val="Header"/>
    </w:pPr>
    <w:r>
      <w:t>BOERMEESTER v. CARRY</w:t>
    </w:r>
  </w:p>
  <w:p w:rsidR="00957A75" w14:paraId="47C8C138" w14:textId="77777777">
    <w:pPr>
      <w:pStyle w:val="Header"/>
    </w:pPr>
    <w:r>
      <w:t>Opinion of the Court by Groban, J.</w:t>
    </w:r>
  </w:p>
  <w:p w:rsidR="00957A75" w14:paraId="47C8C1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0FE" w14:paraId="181B8F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921CF"/>
    <w:multiLevelType w:val="hybridMultilevel"/>
    <w:tmpl w:val="B0A064D8"/>
    <w:lvl w:ilvl="0">
      <w:start w:val="1"/>
      <w:numFmt w:val="upperLetter"/>
      <w:lvlText w:val="%1."/>
      <w:lvlJc w:val="left"/>
      <w:pPr>
        <w:ind w:left="1103" w:hanging="383"/>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3CF7FC2"/>
    <w:multiLevelType w:val="hybridMultilevel"/>
    <w:tmpl w:val="27682CDC"/>
    <w:lvl w:ilvl="0">
      <w:start w:val="1"/>
      <w:numFmt w:val="upperLetter"/>
      <w:lvlText w:val="%1."/>
      <w:lvlJc w:val="left"/>
      <w:pPr>
        <w:ind w:left="1103" w:hanging="383"/>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4574BF4"/>
    <w:multiLevelType w:val="hybridMultilevel"/>
    <w:tmpl w:val="DA9E9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68487D"/>
    <w:multiLevelType w:val="hybridMultilevel"/>
    <w:tmpl w:val="27682CDC"/>
    <w:lvl w:ilvl="0">
      <w:start w:val="1"/>
      <w:numFmt w:val="upperLetter"/>
      <w:lvlText w:val="%1."/>
      <w:lvlJc w:val="left"/>
      <w:pPr>
        <w:ind w:left="1103" w:hanging="383"/>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6424BB4"/>
    <w:multiLevelType w:val="hybridMultilevel"/>
    <w:tmpl w:val="07E06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C87C48"/>
    <w:multiLevelType w:val="hybridMultilevel"/>
    <w:tmpl w:val="ABDCC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9855C81"/>
    <w:multiLevelType w:val="hybridMultilevel"/>
    <w:tmpl w:val="1292D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5F223D6"/>
    <w:multiLevelType w:val="hybridMultilevel"/>
    <w:tmpl w:val="7BBA0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A"/>
    <w:rsid w:val="000004A4"/>
    <w:rsid w:val="00001BB3"/>
    <w:rsid w:val="000056EF"/>
    <w:rsid w:val="00007AAC"/>
    <w:rsid w:val="00007D7D"/>
    <w:rsid w:val="00013B08"/>
    <w:rsid w:val="00015B65"/>
    <w:rsid w:val="000171F5"/>
    <w:rsid w:val="00025E9F"/>
    <w:rsid w:val="00026559"/>
    <w:rsid w:val="00027E85"/>
    <w:rsid w:val="0003209D"/>
    <w:rsid w:val="000321EF"/>
    <w:rsid w:val="00037D62"/>
    <w:rsid w:val="0004602C"/>
    <w:rsid w:val="00046781"/>
    <w:rsid w:val="00050592"/>
    <w:rsid w:val="00052B47"/>
    <w:rsid w:val="0005505B"/>
    <w:rsid w:val="00055761"/>
    <w:rsid w:val="00057393"/>
    <w:rsid w:val="0006598D"/>
    <w:rsid w:val="00066631"/>
    <w:rsid w:val="00070FFF"/>
    <w:rsid w:val="00077BAA"/>
    <w:rsid w:val="00081112"/>
    <w:rsid w:val="00081C45"/>
    <w:rsid w:val="000834B1"/>
    <w:rsid w:val="0008604F"/>
    <w:rsid w:val="00092049"/>
    <w:rsid w:val="00094A27"/>
    <w:rsid w:val="00095B5A"/>
    <w:rsid w:val="000A08AB"/>
    <w:rsid w:val="000A229E"/>
    <w:rsid w:val="000A6DB5"/>
    <w:rsid w:val="000A7E9E"/>
    <w:rsid w:val="000B1431"/>
    <w:rsid w:val="000B48BF"/>
    <w:rsid w:val="000C08F0"/>
    <w:rsid w:val="000D2F06"/>
    <w:rsid w:val="000D4EB8"/>
    <w:rsid w:val="000D5821"/>
    <w:rsid w:val="000E37E1"/>
    <w:rsid w:val="000E57A9"/>
    <w:rsid w:val="000E5D80"/>
    <w:rsid w:val="000E5FDB"/>
    <w:rsid w:val="000E71D7"/>
    <w:rsid w:val="000F105A"/>
    <w:rsid w:val="000F1399"/>
    <w:rsid w:val="000F2B2B"/>
    <w:rsid w:val="000F4AE0"/>
    <w:rsid w:val="000F5FA8"/>
    <w:rsid w:val="00101C21"/>
    <w:rsid w:val="00102787"/>
    <w:rsid w:val="00104B69"/>
    <w:rsid w:val="00105FFA"/>
    <w:rsid w:val="001110FF"/>
    <w:rsid w:val="0011364E"/>
    <w:rsid w:val="001142EE"/>
    <w:rsid w:val="00120E48"/>
    <w:rsid w:val="00121C9A"/>
    <w:rsid w:val="0012287A"/>
    <w:rsid w:val="00126FF0"/>
    <w:rsid w:val="001305E1"/>
    <w:rsid w:val="00131E46"/>
    <w:rsid w:val="00134E29"/>
    <w:rsid w:val="00141B89"/>
    <w:rsid w:val="00142221"/>
    <w:rsid w:val="00142ABA"/>
    <w:rsid w:val="0014696D"/>
    <w:rsid w:val="00151381"/>
    <w:rsid w:val="00161D5F"/>
    <w:rsid w:val="001623F0"/>
    <w:rsid w:val="00163960"/>
    <w:rsid w:val="00167C33"/>
    <w:rsid w:val="00173BDB"/>
    <w:rsid w:val="0017533E"/>
    <w:rsid w:val="00181096"/>
    <w:rsid w:val="00182344"/>
    <w:rsid w:val="001835F0"/>
    <w:rsid w:val="00186039"/>
    <w:rsid w:val="00190DB7"/>
    <w:rsid w:val="0019423E"/>
    <w:rsid w:val="00195C59"/>
    <w:rsid w:val="0019670A"/>
    <w:rsid w:val="001968E0"/>
    <w:rsid w:val="001A0A3A"/>
    <w:rsid w:val="001A1D3C"/>
    <w:rsid w:val="001A4953"/>
    <w:rsid w:val="001B0205"/>
    <w:rsid w:val="001B15A3"/>
    <w:rsid w:val="001B1D11"/>
    <w:rsid w:val="001B60A6"/>
    <w:rsid w:val="001B6663"/>
    <w:rsid w:val="001C2B26"/>
    <w:rsid w:val="001C44DB"/>
    <w:rsid w:val="001C6826"/>
    <w:rsid w:val="001C761A"/>
    <w:rsid w:val="001D04A7"/>
    <w:rsid w:val="001D15F6"/>
    <w:rsid w:val="001D253E"/>
    <w:rsid w:val="001D6E8E"/>
    <w:rsid w:val="001F18C3"/>
    <w:rsid w:val="001F3EDC"/>
    <w:rsid w:val="001F5999"/>
    <w:rsid w:val="001F5E1F"/>
    <w:rsid w:val="0020264C"/>
    <w:rsid w:val="00204F72"/>
    <w:rsid w:val="00211DF3"/>
    <w:rsid w:val="00212D60"/>
    <w:rsid w:val="0021322C"/>
    <w:rsid w:val="00215591"/>
    <w:rsid w:val="002262B9"/>
    <w:rsid w:val="00230BCE"/>
    <w:rsid w:val="0023286E"/>
    <w:rsid w:val="00236351"/>
    <w:rsid w:val="00237602"/>
    <w:rsid w:val="00237616"/>
    <w:rsid w:val="0024708F"/>
    <w:rsid w:val="00252999"/>
    <w:rsid w:val="00256400"/>
    <w:rsid w:val="00267772"/>
    <w:rsid w:val="00272265"/>
    <w:rsid w:val="00282259"/>
    <w:rsid w:val="0028231E"/>
    <w:rsid w:val="00283E74"/>
    <w:rsid w:val="00287068"/>
    <w:rsid w:val="002A58D0"/>
    <w:rsid w:val="002A78AB"/>
    <w:rsid w:val="002B5908"/>
    <w:rsid w:val="002B71DF"/>
    <w:rsid w:val="002B75FA"/>
    <w:rsid w:val="002C2D0F"/>
    <w:rsid w:val="002C3DE9"/>
    <w:rsid w:val="002C4256"/>
    <w:rsid w:val="002C7C08"/>
    <w:rsid w:val="002D12FD"/>
    <w:rsid w:val="002D25E2"/>
    <w:rsid w:val="002D6863"/>
    <w:rsid w:val="002F14FB"/>
    <w:rsid w:val="002F2680"/>
    <w:rsid w:val="002F5C29"/>
    <w:rsid w:val="002F7331"/>
    <w:rsid w:val="003011D9"/>
    <w:rsid w:val="0030478B"/>
    <w:rsid w:val="00307EC4"/>
    <w:rsid w:val="00310CF7"/>
    <w:rsid w:val="00315C16"/>
    <w:rsid w:val="00316278"/>
    <w:rsid w:val="00316881"/>
    <w:rsid w:val="00317360"/>
    <w:rsid w:val="00322ABB"/>
    <w:rsid w:val="00323197"/>
    <w:rsid w:val="00323E9D"/>
    <w:rsid w:val="00323F4D"/>
    <w:rsid w:val="00326B37"/>
    <w:rsid w:val="00334FF0"/>
    <w:rsid w:val="0034139A"/>
    <w:rsid w:val="00355F84"/>
    <w:rsid w:val="003636F8"/>
    <w:rsid w:val="00365427"/>
    <w:rsid w:val="003670E2"/>
    <w:rsid w:val="0037775D"/>
    <w:rsid w:val="00391C4F"/>
    <w:rsid w:val="00393697"/>
    <w:rsid w:val="00395423"/>
    <w:rsid w:val="00395E08"/>
    <w:rsid w:val="00396A4A"/>
    <w:rsid w:val="003A2137"/>
    <w:rsid w:val="003A6689"/>
    <w:rsid w:val="003B0886"/>
    <w:rsid w:val="003B45D7"/>
    <w:rsid w:val="003C231D"/>
    <w:rsid w:val="003C5540"/>
    <w:rsid w:val="003C6A23"/>
    <w:rsid w:val="003D28A6"/>
    <w:rsid w:val="003D670C"/>
    <w:rsid w:val="003D79C0"/>
    <w:rsid w:val="003E02BA"/>
    <w:rsid w:val="003E56A4"/>
    <w:rsid w:val="003F0B9C"/>
    <w:rsid w:val="003F275D"/>
    <w:rsid w:val="003F3FC7"/>
    <w:rsid w:val="004056AA"/>
    <w:rsid w:val="0041076E"/>
    <w:rsid w:val="00416336"/>
    <w:rsid w:val="004211A2"/>
    <w:rsid w:val="0042433B"/>
    <w:rsid w:val="00435CB2"/>
    <w:rsid w:val="00440CCE"/>
    <w:rsid w:val="0044157B"/>
    <w:rsid w:val="00444776"/>
    <w:rsid w:val="004456D1"/>
    <w:rsid w:val="00445A27"/>
    <w:rsid w:val="00450D88"/>
    <w:rsid w:val="004510DA"/>
    <w:rsid w:val="00456F6D"/>
    <w:rsid w:val="004664FD"/>
    <w:rsid w:val="00476AD6"/>
    <w:rsid w:val="0048363D"/>
    <w:rsid w:val="004837FA"/>
    <w:rsid w:val="00483D6C"/>
    <w:rsid w:val="00484688"/>
    <w:rsid w:val="004866D3"/>
    <w:rsid w:val="004875EB"/>
    <w:rsid w:val="00487AE7"/>
    <w:rsid w:val="00490A6C"/>
    <w:rsid w:val="0049274B"/>
    <w:rsid w:val="004A19C7"/>
    <w:rsid w:val="004A455B"/>
    <w:rsid w:val="004A4697"/>
    <w:rsid w:val="004B045B"/>
    <w:rsid w:val="004B179B"/>
    <w:rsid w:val="004B1839"/>
    <w:rsid w:val="004B386B"/>
    <w:rsid w:val="004C000A"/>
    <w:rsid w:val="004C061C"/>
    <w:rsid w:val="004C2B51"/>
    <w:rsid w:val="004C37DC"/>
    <w:rsid w:val="004C5DCF"/>
    <w:rsid w:val="004D0300"/>
    <w:rsid w:val="004D1AA2"/>
    <w:rsid w:val="004D1CD5"/>
    <w:rsid w:val="004D32B6"/>
    <w:rsid w:val="004D41B4"/>
    <w:rsid w:val="004D582F"/>
    <w:rsid w:val="004E470A"/>
    <w:rsid w:val="004E5709"/>
    <w:rsid w:val="004E7E9E"/>
    <w:rsid w:val="004F4C2A"/>
    <w:rsid w:val="004F4E2B"/>
    <w:rsid w:val="004F54FA"/>
    <w:rsid w:val="004F679B"/>
    <w:rsid w:val="0050223C"/>
    <w:rsid w:val="00505D7E"/>
    <w:rsid w:val="0050674A"/>
    <w:rsid w:val="00506C81"/>
    <w:rsid w:val="0051592A"/>
    <w:rsid w:val="00516813"/>
    <w:rsid w:val="00522712"/>
    <w:rsid w:val="00523FF6"/>
    <w:rsid w:val="005243FC"/>
    <w:rsid w:val="00531A99"/>
    <w:rsid w:val="00531C67"/>
    <w:rsid w:val="00533927"/>
    <w:rsid w:val="00535EA7"/>
    <w:rsid w:val="00544E24"/>
    <w:rsid w:val="00552096"/>
    <w:rsid w:val="00552A6B"/>
    <w:rsid w:val="005545DC"/>
    <w:rsid w:val="00554957"/>
    <w:rsid w:val="00562D85"/>
    <w:rsid w:val="00563D5B"/>
    <w:rsid w:val="00564910"/>
    <w:rsid w:val="00565032"/>
    <w:rsid w:val="005679CA"/>
    <w:rsid w:val="005708DE"/>
    <w:rsid w:val="00571029"/>
    <w:rsid w:val="00574733"/>
    <w:rsid w:val="00580DFA"/>
    <w:rsid w:val="005837B5"/>
    <w:rsid w:val="005877FC"/>
    <w:rsid w:val="00593400"/>
    <w:rsid w:val="005A16FE"/>
    <w:rsid w:val="005B0930"/>
    <w:rsid w:val="005B0AA3"/>
    <w:rsid w:val="005B2FC7"/>
    <w:rsid w:val="005B4011"/>
    <w:rsid w:val="005B4237"/>
    <w:rsid w:val="005B6336"/>
    <w:rsid w:val="005C407F"/>
    <w:rsid w:val="005C4637"/>
    <w:rsid w:val="005C4AAB"/>
    <w:rsid w:val="005C5F4F"/>
    <w:rsid w:val="005C6D8D"/>
    <w:rsid w:val="005D0408"/>
    <w:rsid w:val="005D65A6"/>
    <w:rsid w:val="005D77A4"/>
    <w:rsid w:val="005E0DB4"/>
    <w:rsid w:val="005E3A0F"/>
    <w:rsid w:val="005E7D94"/>
    <w:rsid w:val="00601505"/>
    <w:rsid w:val="006034B1"/>
    <w:rsid w:val="006034F7"/>
    <w:rsid w:val="0060473B"/>
    <w:rsid w:val="00604EED"/>
    <w:rsid w:val="00611D5E"/>
    <w:rsid w:val="0061255E"/>
    <w:rsid w:val="00615363"/>
    <w:rsid w:val="00621189"/>
    <w:rsid w:val="0062133C"/>
    <w:rsid w:val="00625324"/>
    <w:rsid w:val="00632CBF"/>
    <w:rsid w:val="006354EF"/>
    <w:rsid w:val="0063798D"/>
    <w:rsid w:val="00644CE7"/>
    <w:rsid w:val="0064629A"/>
    <w:rsid w:val="006539DF"/>
    <w:rsid w:val="00655CA0"/>
    <w:rsid w:val="00660C49"/>
    <w:rsid w:val="00671750"/>
    <w:rsid w:val="00671CAD"/>
    <w:rsid w:val="00671F3D"/>
    <w:rsid w:val="00676CEA"/>
    <w:rsid w:val="006801DB"/>
    <w:rsid w:val="006825D8"/>
    <w:rsid w:val="006900E0"/>
    <w:rsid w:val="00690497"/>
    <w:rsid w:val="00692C29"/>
    <w:rsid w:val="00693A00"/>
    <w:rsid w:val="006971EE"/>
    <w:rsid w:val="006A1339"/>
    <w:rsid w:val="006A53AF"/>
    <w:rsid w:val="006B63E1"/>
    <w:rsid w:val="006B7356"/>
    <w:rsid w:val="006C1E2F"/>
    <w:rsid w:val="006C730C"/>
    <w:rsid w:val="006D3D52"/>
    <w:rsid w:val="006D5190"/>
    <w:rsid w:val="006D75DB"/>
    <w:rsid w:val="006E0416"/>
    <w:rsid w:val="006E1462"/>
    <w:rsid w:val="006E2A2C"/>
    <w:rsid w:val="006E70A7"/>
    <w:rsid w:val="006F456F"/>
    <w:rsid w:val="006F4FA3"/>
    <w:rsid w:val="007006D7"/>
    <w:rsid w:val="00700837"/>
    <w:rsid w:val="007010F6"/>
    <w:rsid w:val="00702DF5"/>
    <w:rsid w:val="007047EE"/>
    <w:rsid w:val="0071160C"/>
    <w:rsid w:val="007127CF"/>
    <w:rsid w:val="00714A8C"/>
    <w:rsid w:val="00714E88"/>
    <w:rsid w:val="00715F0E"/>
    <w:rsid w:val="0072445C"/>
    <w:rsid w:val="00725C45"/>
    <w:rsid w:val="00730066"/>
    <w:rsid w:val="007301E7"/>
    <w:rsid w:val="00731F1C"/>
    <w:rsid w:val="00735969"/>
    <w:rsid w:val="0073793B"/>
    <w:rsid w:val="00741A07"/>
    <w:rsid w:val="0074632E"/>
    <w:rsid w:val="00751B89"/>
    <w:rsid w:val="007563A5"/>
    <w:rsid w:val="007651B5"/>
    <w:rsid w:val="00767930"/>
    <w:rsid w:val="00767F6D"/>
    <w:rsid w:val="007708C1"/>
    <w:rsid w:val="007720C7"/>
    <w:rsid w:val="00776A53"/>
    <w:rsid w:val="007804A7"/>
    <w:rsid w:val="00780557"/>
    <w:rsid w:val="00781570"/>
    <w:rsid w:val="00783A2C"/>
    <w:rsid w:val="00785108"/>
    <w:rsid w:val="0078604A"/>
    <w:rsid w:val="00787770"/>
    <w:rsid w:val="00790974"/>
    <w:rsid w:val="007914A5"/>
    <w:rsid w:val="00791B4C"/>
    <w:rsid w:val="007A0B71"/>
    <w:rsid w:val="007A3B82"/>
    <w:rsid w:val="007B241C"/>
    <w:rsid w:val="007B34A1"/>
    <w:rsid w:val="007C4F95"/>
    <w:rsid w:val="007C7618"/>
    <w:rsid w:val="007E2E4E"/>
    <w:rsid w:val="007E3B2E"/>
    <w:rsid w:val="007E5ED2"/>
    <w:rsid w:val="007E6515"/>
    <w:rsid w:val="007E6821"/>
    <w:rsid w:val="007F0A4A"/>
    <w:rsid w:val="007F4147"/>
    <w:rsid w:val="00801A94"/>
    <w:rsid w:val="008031E6"/>
    <w:rsid w:val="008044B0"/>
    <w:rsid w:val="008067FB"/>
    <w:rsid w:val="00810FAA"/>
    <w:rsid w:val="008114DA"/>
    <w:rsid w:val="00813423"/>
    <w:rsid w:val="0081424C"/>
    <w:rsid w:val="008166A5"/>
    <w:rsid w:val="0081718F"/>
    <w:rsid w:val="008219C1"/>
    <w:rsid w:val="0082247B"/>
    <w:rsid w:val="008239C3"/>
    <w:rsid w:val="00824415"/>
    <w:rsid w:val="00825A90"/>
    <w:rsid w:val="00830774"/>
    <w:rsid w:val="00830993"/>
    <w:rsid w:val="008335E4"/>
    <w:rsid w:val="0083660B"/>
    <w:rsid w:val="0083662A"/>
    <w:rsid w:val="0084098D"/>
    <w:rsid w:val="0084123C"/>
    <w:rsid w:val="0084325C"/>
    <w:rsid w:val="00856B7A"/>
    <w:rsid w:val="00857798"/>
    <w:rsid w:val="008606D0"/>
    <w:rsid w:val="00867AEA"/>
    <w:rsid w:val="008755C1"/>
    <w:rsid w:val="008826CA"/>
    <w:rsid w:val="00884383"/>
    <w:rsid w:val="00887E16"/>
    <w:rsid w:val="00891071"/>
    <w:rsid w:val="00892049"/>
    <w:rsid w:val="00892243"/>
    <w:rsid w:val="008946E4"/>
    <w:rsid w:val="008A137A"/>
    <w:rsid w:val="008A2ACA"/>
    <w:rsid w:val="008A34BF"/>
    <w:rsid w:val="008A396E"/>
    <w:rsid w:val="008A4DB8"/>
    <w:rsid w:val="008B1E94"/>
    <w:rsid w:val="008B6BDA"/>
    <w:rsid w:val="008B6DC5"/>
    <w:rsid w:val="008B73EA"/>
    <w:rsid w:val="008C0DD3"/>
    <w:rsid w:val="008C11CB"/>
    <w:rsid w:val="008C1914"/>
    <w:rsid w:val="008C2242"/>
    <w:rsid w:val="008C2E52"/>
    <w:rsid w:val="008C5159"/>
    <w:rsid w:val="008C5872"/>
    <w:rsid w:val="008C72A7"/>
    <w:rsid w:val="008D06DD"/>
    <w:rsid w:val="008D0E05"/>
    <w:rsid w:val="008D2002"/>
    <w:rsid w:val="008D28A4"/>
    <w:rsid w:val="008D4540"/>
    <w:rsid w:val="008D5957"/>
    <w:rsid w:val="008E0640"/>
    <w:rsid w:val="008E2538"/>
    <w:rsid w:val="008E75CB"/>
    <w:rsid w:val="008F264D"/>
    <w:rsid w:val="008F3FEB"/>
    <w:rsid w:val="008F50FD"/>
    <w:rsid w:val="008F6E1C"/>
    <w:rsid w:val="0090002E"/>
    <w:rsid w:val="00901589"/>
    <w:rsid w:val="00903763"/>
    <w:rsid w:val="00907BF4"/>
    <w:rsid w:val="00920DD6"/>
    <w:rsid w:val="00923EEB"/>
    <w:rsid w:val="0092669A"/>
    <w:rsid w:val="00926828"/>
    <w:rsid w:val="00932A3C"/>
    <w:rsid w:val="00933367"/>
    <w:rsid w:val="00935752"/>
    <w:rsid w:val="0093645A"/>
    <w:rsid w:val="00937358"/>
    <w:rsid w:val="009402B7"/>
    <w:rsid w:val="00941D36"/>
    <w:rsid w:val="0094646C"/>
    <w:rsid w:val="009520E1"/>
    <w:rsid w:val="009565C1"/>
    <w:rsid w:val="00957A75"/>
    <w:rsid w:val="00960178"/>
    <w:rsid w:val="00972DB2"/>
    <w:rsid w:val="00974183"/>
    <w:rsid w:val="009763E3"/>
    <w:rsid w:val="00977E5E"/>
    <w:rsid w:val="009852CA"/>
    <w:rsid w:val="00987228"/>
    <w:rsid w:val="00990503"/>
    <w:rsid w:val="00991EE7"/>
    <w:rsid w:val="00996E9E"/>
    <w:rsid w:val="00997472"/>
    <w:rsid w:val="0099787B"/>
    <w:rsid w:val="009A4E26"/>
    <w:rsid w:val="009A6296"/>
    <w:rsid w:val="009A763A"/>
    <w:rsid w:val="009B3728"/>
    <w:rsid w:val="009B4DE8"/>
    <w:rsid w:val="009B5BA7"/>
    <w:rsid w:val="009C2A87"/>
    <w:rsid w:val="009C2FBD"/>
    <w:rsid w:val="009C3BB8"/>
    <w:rsid w:val="009C54F7"/>
    <w:rsid w:val="009C63A3"/>
    <w:rsid w:val="009C64F6"/>
    <w:rsid w:val="009C718C"/>
    <w:rsid w:val="009C7B59"/>
    <w:rsid w:val="009D0EF0"/>
    <w:rsid w:val="009D4018"/>
    <w:rsid w:val="009D566A"/>
    <w:rsid w:val="009D6883"/>
    <w:rsid w:val="009D6B2A"/>
    <w:rsid w:val="009E0867"/>
    <w:rsid w:val="009E28BA"/>
    <w:rsid w:val="009E33E6"/>
    <w:rsid w:val="009E51D3"/>
    <w:rsid w:val="009F395E"/>
    <w:rsid w:val="00A000AD"/>
    <w:rsid w:val="00A11A16"/>
    <w:rsid w:val="00A169CF"/>
    <w:rsid w:val="00A16ECB"/>
    <w:rsid w:val="00A177A5"/>
    <w:rsid w:val="00A20945"/>
    <w:rsid w:val="00A213A5"/>
    <w:rsid w:val="00A22402"/>
    <w:rsid w:val="00A3151D"/>
    <w:rsid w:val="00A33EB3"/>
    <w:rsid w:val="00A35681"/>
    <w:rsid w:val="00A40AE2"/>
    <w:rsid w:val="00A42BA4"/>
    <w:rsid w:val="00A44837"/>
    <w:rsid w:val="00A51480"/>
    <w:rsid w:val="00A52661"/>
    <w:rsid w:val="00A537A2"/>
    <w:rsid w:val="00A540D0"/>
    <w:rsid w:val="00A55407"/>
    <w:rsid w:val="00A559AE"/>
    <w:rsid w:val="00A55D00"/>
    <w:rsid w:val="00A57E76"/>
    <w:rsid w:val="00A61314"/>
    <w:rsid w:val="00A66BAB"/>
    <w:rsid w:val="00A67B08"/>
    <w:rsid w:val="00A74CD3"/>
    <w:rsid w:val="00A7713E"/>
    <w:rsid w:val="00A8020E"/>
    <w:rsid w:val="00A82CFB"/>
    <w:rsid w:val="00A83693"/>
    <w:rsid w:val="00A845A3"/>
    <w:rsid w:val="00A84C0C"/>
    <w:rsid w:val="00A86965"/>
    <w:rsid w:val="00A87766"/>
    <w:rsid w:val="00A94DA4"/>
    <w:rsid w:val="00AA0B7F"/>
    <w:rsid w:val="00AA4310"/>
    <w:rsid w:val="00AA7C62"/>
    <w:rsid w:val="00AB1943"/>
    <w:rsid w:val="00AB2F61"/>
    <w:rsid w:val="00AB7E65"/>
    <w:rsid w:val="00AC012E"/>
    <w:rsid w:val="00AC41EF"/>
    <w:rsid w:val="00AC69C6"/>
    <w:rsid w:val="00AC7108"/>
    <w:rsid w:val="00AD0EA2"/>
    <w:rsid w:val="00AD3658"/>
    <w:rsid w:val="00AD3D98"/>
    <w:rsid w:val="00AD4ECE"/>
    <w:rsid w:val="00AD6EE4"/>
    <w:rsid w:val="00AE4481"/>
    <w:rsid w:val="00B00E1E"/>
    <w:rsid w:val="00B022E9"/>
    <w:rsid w:val="00B02393"/>
    <w:rsid w:val="00B04596"/>
    <w:rsid w:val="00B11A07"/>
    <w:rsid w:val="00B13601"/>
    <w:rsid w:val="00B157F7"/>
    <w:rsid w:val="00B207D4"/>
    <w:rsid w:val="00B21B99"/>
    <w:rsid w:val="00B241AE"/>
    <w:rsid w:val="00B26568"/>
    <w:rsid w:val="00B272D7"/>
    <w:rsid w:val="00B32D2C"/>
    <w:rsid w:val="00B3496E"/>
    <w:rsid w:val="00B42B67"/>
    <w:rsid w:val="00B4355C"/>
    <w:rsid w:val="00B44037"/>
    <w:rsid w:val="00B461A5"/>
    <w:rsid w:val="00B47AC6"/>
    <w:rsid w:val="00B544B1"/>
    <w:rsid w:val="00B55CF5"/>
    <w:rsid w:val="00B56EA2"/>
    <w:rsid w:val="00B65D04"/>
    <w:rsid w:val="00B679A4"/>
    <w:rsid w:val="00B67CA3"/>
    <w:rsid w:val="00B77D81"/>
    <w:rsid w:val="00B814D6"/>
    <w:rsid w:val="00B83724"/>
    <w:rsid w:val="00B86CAF"/>
    <w:rsid w:val="00B90183"/>
    <w:rsid w:val="00B92245"/>
    <w:rsid w:val="00B9319A"/>
    <w:rsid w:val="00B943E2"/>
    <w:rsid w:val="00B97282"/>
    <w:rsid w:val="00B978D5"/>
    <w:rsid w:val="00BA1440"/>
    <w:rsid w:val="00BB17F1"/>
    <w:rsid w:val="00BB20B2"/>
    <w:rsid w:val="00BB2D08"/>
    <w:rsid w:val="00BB2E5D"/>
    <w:rsid w:val="00BC0864"/>
    <w:rsid w:val="00BC1A95"/>
    <w:rsid w:val="00BC2D64"/>
    <w:rsid w:val="00BC39F4"/>
    <w:rsid w:val="00BD3A23"/>
    <w:rsid w:val="00BD4D42"/>
    <w:rsid w:val="00BD57A8"/>
    <w:rsid w:val="00BD7DD8"/>
    <w:rsid w:val="00BE347A"/>
    <w:rsid w:val="00BE3EE4"/>
    <w:rsid w:val="00BE4900"/>
    <w:rsid w:val="00BE5E78"/>
    <w:rsid w:val="00BE6B0C"/>
    <w:rsid w:val="00BF2399"/>
    <w:rsid w:val="00BF4B91"/>
    <w:rsid w:val="00BF682D"/>
    <w:rsid w:val="00C03842"/>
    <w:rsid w:val="00C03C7B"/>
    <w:rsid w:val="00C0466E"/>
    <w:rsid w:val="00C05160"/>
    <w:rsid w:val="00C11B7F"/>
    <w:rsid w:val="00C13C2F"/>
    <w:rsid w:val="00C1722E"/>
    <w:rsid w:val="00C176E9"/>
    <w:rsid w:val="00C278CC"/>
    <w:rsid w:val="00C33780"/>
    <w:rsid w:val="00C33D54"/>
    <w:rsid w:val="00C35AC3"/>
    <w:rsid w:val="00C44D68"/>
    <w:rsid w:val="00C45091"/>
    <w:rsid w:val="00C473B5"/>
    <w:rsid w:val="00C55372"/>
    <w:rsid w:val="00C61298"/>
    <w:rsid w:val="00C67E4A"/>
    <w:rsid w:val="00C700E0"/>
    <w:rsid w:val="00C71143"/>
    <w:rsid w:val="00C71A91"/>
    <w:rsid w:val="00C83B0E"/>
    <w:rsid w:val="00C85EF7"/>
    <w:rsid w:val="00C8739A"/>
    <w:rsid w:val="00C90404"/>
    <w:rsid w:val="00C90BEE"/>
    <w:rsid w:val="00C948D0"/>
    <w:rsid w:val="00CA11A9"/>
    <w:rsid w:val="00CA291F"/>
    <w:rsid w:val="00CA48C8"/>
    <w:rsid w:val="00CB0290"/>
    <w:rsid w:val="00CB36CC"/>
    <w:rsid w:val="00CB50B8"/>
    <w:rsid w:val="00CB74E5"/>
    <w:rsid w:val="00CC0D3E"/>
    <w:rsid w:val="00CC3E69"/>
    <w:rsid w:val="00CC4273"/>
    <w:rsid w:val="00CC5791"/>
    <w:rsid w:val="00CD05CD"/>
    <w:rsid w:val="00CD2DD8"/>
    <w:rsid w:val="00CE212D"/>
    <w:rsid w:val="00CE2F55"/>
    <w:rsid w:val="00CE4158"/>
    <w:rsid w:val="00CF4F0C"/>
    <w:rsid w:val="00CF50D5"/>
    <w:rsid w:val="00D04A17"/>
    <w:rsid w:val="00D1175A"/>
    <w:rsid w:val="00D13AA8"/>
    <w:rsid w:val="00D14AFD"/>
    <w:rsid w:val="00D16D2A"/>
    <w:rsid w:val="00D2131B"/>
    <w:rsid w:val="00D217E7"/>
    <w:rsid w:val="00D239F9"/>
    <w:rsid w:val="00D25F7D"/>
    <w:rsid w:val="00D30B06"/>
    <w:rsid w:val="00D31680"/>
    <w:rsid w:val="00D32228"/>
    <w:rsid w:val="00D32702"/>
    <w:rsid w:val="00D32714"/>
    <w:rsid w:val="00D36EEA"/>
    <w:rsid w:val="00D408DD"/>
    <w:rsid w:val="00D43AF2"/>
    <w:rsid w:val="00D4665A"/>
    <w:rsid w:val="00D5145E"/>
    <w:rsid w:val="00D54529"/>
    <w:rsid w:val="00D56737"/>
    <w:rsid w:val="00D605A9"/>
    <w:rsid w:val="00D6608D"/>
    <w:rsid w:val="00D71478"/>
    <w:rsid w:val="00D72641"/>
    <w:rsid w:val="00D753AC"/>
    <w:rsid w:val="00D81994"/>
    <w:rsid w:val="00D84260"/>
    <w:rsid w:val="00D844CA"/>
    <w:rsid w:val="00D85874"/>
    <w:rsid w:val="00D934C0"/>
    <w:rsid w:val="00D94178"/>
    <w:rsid w:val="00D95D80"/>
    <w:rsid w:val="00D96838"/>
    <w:rsid w:val="00D96D37"/>
    <w:rsid w:val="00D9793F"/>
    <w:rsid w:val="00DA15E4"/>
    <w:rsid w:val="00DA2B42"/>
    <w:rsid w:val="00DA4071"/>
    <w:rsid w:val="00DA4251"/>
    <w:rsid w:val="00DA4823"/>
    <w:rsid w:val="00DA6A93"/>
    <w:rsid w:val="00DA7356"/>
    <w:rsid w:val="00DA7AAA"/>
    <w:rsid w:val="00DB0A01"/>
    <w:rsid w:val="00DB0AEA"/>
    <w:rsid w:val="00DB248A"/>
    <w:rsid w:val="00DB375D"/>
    <w:rsid w:val="00DB394F"/>
    <w:rsid w:val="00DB434A"/>
    <w:rsid w:val="00DB71AF"/>
    <w:rsid w:val="00DC119C"/>
    <w:rsid w:val="00DD14E8"/>
    <w:rsid w:val="00DD1D0D"/>
    <w:rsid w:val="00DD1FEC"/>
    <w:rsid w:val="00DD3B47"/>
    <w:rsid w:val="00DD5536"/>
    <w:rsid w:val="00DD62EF"/>
    <w:rsid w:val="00DE4B43"/>
    <w:rsid w:val="00DE555B"/>
    <w:rsid w:val="00DF00FE"/>
    <w:rsid w:val="00DF3D50"/>
    <w:rsid w:val="00E00088"/>
    <w:rsid w:val="00E005DF"/>
    <w:rsid w:val="00E07BC7"/>
    <w:rsid w:val="00E1001B"/>
    <w:rsid w:val="00E10549"/>
    <w:rsid w:val="00E1686D"/>
    <w:rsid w:val="00E21781"/>
    <w:rsid w:val="00E2622B"/>
    <w:rsid w:val="00E30A95"/>
    <w:rsid w:val="00E31D28"/>
    <w:rsid w:val="00E33259"/>
    <w:rsid w:val="00E333EE"/>
    <w:rsid w:val="00E42134"/>
    <w:rsid w:val="00E45253"/>
    <w:rsid w:val="00E454F2"/>
    <w:rsid w:val="00E45F9B"/>
    <w:rsid w:val="00E474C5"/>
    <w:rsid w:val="00E52B02"/>
    <w:rsid w:val="00E6021B"/>
    <w:rsid w:val="00E60ABB"/>
    <w:rsid w:val="00E62485"/>
    <w:rsid w:val="00E62EEF"/>
    <w:rsid w:val="00E662C0"/>
    <w:rsid w:val="00E72B0B"/>
    <w:rsid w:val="00E7448A"/>
    <w:rsid w:val="00E7605D"/>
    <w:rsid w:val="00E771AB"/>
    <w:rsid w:val="00E874B3"/>
    <w:rsid w:val="00E87F38"/>
    <w:rsid w:val="00E918AF"/>
    <w:rsid w:val="00E92346"/>
    <w:rsid w:val="00E9276F"/>
    <w:rsid w:val="00E92AD8"/>
    <w:rsid w:val="00E93C0D"/>
    <w:rsid w:val="00E93EA4"/>
    <w:rsid w:val="00E9525D"/>
    <w:rsid w:val="00E95EB0"/>
    <w:rsid w:val="00EA2F70"/>
    <w:rsid w:val="00EA6C95"/>
    <w:rsid w:val="00EB3A56"/>
    <w:rsid w:val="00EB45CE"/>
    <w:rsid w:val="00EB631F"/>
    <w:rsid w:val="00EC02DC"/>
    <w:rsid w:val="00EC06B3"/>
    <w:rsid w:val="00EC43CA"/>
    <w:rsid w:val="00EC4F17"/>
    <w:rsid w:val="00EC63EC"/>
    <w:rsid w:val="00EC6A0A"/>
    <w:rsid w:val="00EC7AF8"/>
    <w:rsid w:val="00ED2EF4"/>
    <w:rsid w:val="00ED3FD8"/>
    <w:rsid w:val="00ED4275"/>
    <w:rsid w:val="00ED61FB"/>
    <w:rsid w:val="00ED669D"/>
    <w:rsid w:val="00EE5C67"/>
    <w:rsid w:val="00EF0D65"/>
    <w:rsid w:val="00EF0D71"/>
    <w:rsid w:val="00EF3F7E"/>
    <w:rsid w:val="00EF52E5"/>
    <w:rsid w:val="00EF776A"/>
    <w:rsid w:val="00F00DC9"/>
    <w:rsid w:val="00F0241D"/>
    <w:rsid w:val="00F02D2D"/>
    <w:rsid w:val="00F114C4"/>
    <w:rsid w:val="00F15F62"/>
    <w:rsid w:val="00F21538"/>
    <w:rsid w:val="00F24229"/>
    <w:rsid w:val="00F24276"/>
    <w:rsid w:val="00F24B17"/>
    <w:rsid w:val="00F32F22"/>
    <w:rsid w:val="00F37AF6"/>
    <w:rsid w:val="00F40F86"/>
    <w:rsid w:val="00F4476D"/>
    <w:rsid w:val="00F502FC"/>
    <w:rsid w:val="00F52089"/>
    <w:rsid w:val="00F535B4"/>
    <w:rsid w:val="00F55E8E"/>
    <w:rsid w:val="00F65AA2"/>
    <w:rsid w:val="00F6691B"/>
    <w:rsid w:val="00F77038"/>
    <w:rsid w:val="00F83ABD"/>
    <w:rsid w:val="00F85DA2"/>
    <w:rsid w:val="00F90F3C"/>
    <w:rsid w:val="00F97CC1"/>
    <w:rsid w:val="00FA084A"/>
    <w:rsid w:val="00FA110D"/>
    <w:rsid w:val="00FA3A8A"/>
    <w:rsid w:val="00FA4074"/>
    <w:rsid w:val="00FA43B1"/>
    <w:rsid w:val="00FA614C"/>
    <w:rsid w:val="00FB31A3"/>
    <w:rsid w:val="00FC1C13"/>
    <w:rsid w:val="00FC2C48"/>
    <w:rsid w:val="00FC309B"/>
    <w:rsid w:val="00FC474C"/>
    <w:rsid w:val="00FC500F"/>
    <w:rsid w:val="00FC6B8F"/>
    <w:rsid w:val="00FC74B2"/>
    <w:rsid w:val="00FD1224"/>
    <w:rsid w:val="00FD5D4D"/>
    <w:rsid w:val="00FD6AF5"/>
    <w:rsid w:val="00FE2131"/>
    <w:rsid w:val="00FE66E3"/>
    <w:rsid w:val="00FE681D"/>
    <w:rsid w:val="00FE6E4A"/>
    <w:rsid w:val="00FF277B"/>
    <w:rsid w:val="00FF2C16"/>
    <w:rsid w:val="00FF3F69"/>
    <w:rsid w:val="00FF5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75"/>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57A75"/>
    <w:pPr>
      <w:keepNext/>
      <w:spacing w:before="140" w:line="240" w:lineRule="atLeast"/>
      <w:jc w:val="center"/>
      <w:outlineLvl w:val="0"/>
    </w:pPr>
    <w:rPr>
      <w:b/>
      <w:smallCaps/>
    </w:rPr>
  </w:style>
  <w:style w:type="paragraph" w:styleId="Heading2">
    <w:name w:val="heading 2"/>
    <w:basedOn w:val="Normal"/>
    <w:next w:val="Normal"/>
    <w:link w:val="Heading2Char"/>
    <w:qFormat/>
    <w:rsid w:val="00957A7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57A75"/>
    <w:pPr>
      <w:keepNext/>
      <w:tabs>
        <w:tab w:val="left" w:pos="1584"/>
      </w:tabs>
      <w:spacing w:before="140" w:line="240" w:lineRule="atLeast"/>
      <w:ind w:left="1584" w:hanging="432"/>
      <w:jc w:val="left"/>
      <w:outlineLvl w:val="2"/>
    </w:pPr>
    <w:rPr>
      <w:i/>
    </w:rPr>
  </w:style>
  <w:style w:type="paragraph" w:styleId="Heading4">
    <w:name w:val="heading 4"/>
    <w:basedOn w:val="Normal"/>
    <w:rsid w:val="00957A75"/>
    <w:pPr>
      <w:keepNext/>
      <w:tabs>
        <w:tab w:val="left" w:pos="2016"/>
      </w:tabs>
      <w:spacing w:before="140" w:line="240" w:lineRule="atLeast"/>
      <w:ind w:left="2016" w:hanging="432"/>
      <w:jc w:val="left"/>
      <w:outlineLvl w:val="3"/>
    </w:pPr>
    <w:rPr>
      <w:i/>
    </w:rPr>
  </w:style>
  <w:style w:type="paragraph" w:styleId="Heading5">
    <w:name w:val="heading 5"/>
    <w:basedOn w:val="Normal"/>
    <w:rsid w:val="00957A7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57A75"/>
    <w:pPr>
      <w:tabs>
        <w:tab w:val="center" w:pos="3960"/>
        <w:tab w:val="right" w:pos="10080"/>
      </w:tabs>
      <w:spacing w:after="0" w:line="240" w:lineRule="auto"/>
      <w:jc w:val="center"/>
    </w:pPr>
    <w:rPr>
      <w:sz w:val="22"/>
    </w:rPr>
  </w:style>
  <w:style w:type="character" w:styleId="FootnoteReference">
    <w:name w:val="footnote reference"/>
    <w:basedOn w:val="DefaultParagraphFont"/>
    <w:rsid w:val="00957A75"/>
    <w:rPr>
      <w:rFonts w:ascii="Century Schoolbook" w:hAnsi="Century Schoolbook"/>
      <w:b/>
      <w:i w:val="0"/>
      <w:position w:val="4"/>
      <w:sz w:val="27"/>
      <w:vertAlign w:val="superscript"/>
    </w:rPr>
  </w:style>
  <w:style w:type="paragraph" w:styleId="FootnoteText">
    <w:name w:val="footnote text"/>
    <w:basedOn w:val="Normal"/>
    <w:link w:val="FootnoteTextChar"/>
    <w:rsid w:val="00957A75"/>
    <w:pPr>
      <w:spacing w:line="300" w:lineRule="exact"/>
    </w:pPr>
  </w:style>
  <w:style w:type="paragraph" w:styleId="Date">
    <w:name w:val="Date"/>
    <w:basedOn w:val="Normal"/>
    <w:semiHidden/>
    <w:rsid w:val="00957A75"/>
    <w:pPr>
      <w:jc w:val="right"/>
    </w:pPr>
  </w:style>
  <w:style w:type="paragraph" w:styleId="Header">
    <w:name w:val="header"/>
    <w:basedOn w:val="Normal"/>
    <w:qFormat/>
    <w:rsid w:val="00957A75"/>
    <w:pPr>
      <w:tabs>
        <w:tab w:val="center" w:pos="3960"/>
        <w:tab w:val="right" w:pos="10080"/>
      </w:tabs>
      <w:spacing w:after="80" w:line="240" w:lineRule="auto"/>
      <w:jc w:val="center"/>
    </w:pPr>
    <w:rPr>
      <w:sz w:val="22"/>
    </w:rPr>
  </w:style>
  <w:style w:type="paragraph" w:styleId="NormalIndent">
    <w:name w:val="Normal Indent"/>
    <w:basedOn w:val="Normal"/>
    <w:semiHidden/>
    <w:rsid w:val="00957A75"/>
    <w:pPr>
      <w:ind w:left="720"/>
    </w:pPr>
  </w:style>
  <w:style w:type="character" w:styleId="PageNumber">
    <w:name w:val="page number"/>
    <w:basedOn w:val="DefaultParagraphFont"/>
    <w:semiHidden/>
    <w:rsid w:val="00957A75"/>
  </w:style>
  <w:style w:type="paragraph" w:customStyle="1" w:styleId="Recommend">
    <w:name w:val="Recommend"/>
    <w:basedOn w:val="Normal"/>
    <w:rsid w:val="00957A75"/>
  </w:style>
  <w:style w:type="paragraph" w:customStyle="1" w:styleId="subject">
    <w:name w:val="subject"/>
    <w:basedOn w:val="Normal"/>
    <w:rsid w:val="00957A75"/>
    <w:pPr>
      <w:tabs>
        <w:tab w:val="left" w:pos="1008"/>
      </w:tabs>
      <w:ind w:left="990" w:hanging="990"/>
    </w:pPr>
    <w:rPr>
      <w:b/>
    </w:rPr>
  </w:style>
  <w:style w:type="paragraph" w:customStyle="1" w:styleId="Summary">
    <w:name w:val="Summary"/>
    <w:basedOn w:val="Normal"/>
    <w:rsid w:val="00957A75"/>
    <w:pPr>
      <w:ind w:left="2160" w:hanging="2160"/>
    </w:pPr>
  </w:style>
  <w:style w:type="paragraph" w:customStyle="1" w:styleId="Text">
    <w:name w:val="Text"/>
    <w:basedOn w:val="Normal"/>
    <w:link w:val="TextChar"/>
    <w:rsid w:val="00957A75"/>
    <w:pPr>
      <w:tabs>
        <w:tab w:val="left" w:pos="720"/>
        <w:tab w:val="left" w:pos="1440"/>
        <w:tab w:val="left" w:pos="2160"/>
        <w:tab w:val="center" w:pos="4320"/>
      </w:tabs>
      <w:spacing w:line="480" w:lineRule="atLeast"/>
      <w:ind w:firstLine="540"/>
    </w:pPr>
  </w:style>
  <w:style w:type="paragraph" w:customStyle="1" w:styleId="Title1">
    <w:name w:val="Title1"/>
    <w:basedOn w:val="Normal"/>
    <w:rsid w:val="00957A75"/>
    <w:pPr>
      <w:tabs>
        <w:tab w:val="left" w:pos="5760"/>
        <w:tab w:val="left" w:pos="6480"/>
      </w:tabs>
      <w:spacing w:line="240" w:lineRule="atLeast"/>
    </w:pPr>
  </w:style>
  <w:style w:type="paragraph" w:customStyle="1" w:styleId="Titles">
    <w:name w:val="Titles"/>
    <w:basedOn w:val="Normal"/>
    <w:rsid w:val="00957A75"/>
    <w:pPr>
      <w:tabs>
        <w:tab w:val="left" w:pos="2160"/>
      </w:tabs>
      <w:ind w:left="2160" w:hanging="2160"/>
    </w:pPr>
    <w:rPr>
      <w:b/>
    </w:rPr>
  </w:style>
  <w:style w:type="paragraph" w:styleId="TOAHeading">
    <w:name w:val="toa heading"/>
    <w:basedOn w:val="Normal"/>
    <w:next w:val="Normal"/>
    <w:semiHidden/>
    <w:rsid w:val="00957A75"/>
    <w:pPr>
      <w:spacing w:before="120"/>
    </w:pPr>
    <w:rPr>
      <w:b/>
    </w:rPr>
  </w:style>
  <w:style w:type="paragraph" w:styleId="TOC1">
    <w:name w:val="toc 1"/>
    <w:basedOn w:val="Normal"/>
    <w:next w:val="Normal"/>
    <w:autoRedefine/>
    <w:semiHidden/>
    <w:rsid w:val="00957A75"/>
  </w:style>
  <w:style w:type="paragraph" w:styleId="TOC2">
    <w:name w:val="toc 2"/>
    <w:basedOn w:val="Normal"/>
    <w:next w:val="Normal"/>
    <w:autoRedefine/>
    <w:semiHidden/>
    <w:rsid w:val="00957A75"/>
    <w:pPr>
      <w:ind w:left="259"/>
    </w:pPr>
  </w:style>
  <w:style w:type="paragraph" w:styleId="TOC3">
    <w:name w:val="toc 3"/>
    <w:basedOn w:val="Normal"/>
    <w:next w:val="Normal"/>
    <w:autoRedefine/>
    <w:semiHidden/>
    <w:rsid w:val="00957A75"/>
    <w:pPr>
      <w:ind w:left="520"/>
    </w:pPr>
  </w:style>
  <w:style w:type="paragraph" w:styleId="TOC4">
    <w:name w:val="toc 4"/>
    <w:basedOn w:val="Normal"/>
    <w:next w:val="Normal"/>
    <w:autoRedefine/>
    <w:semiHidden/>
    <w:rsid w:val="00957A75"/>
    <w:pPr>
      <w:ind w:left="780"/>
    </w:pPr>
  </w:style>
  <w:style w:type="paragraph" w:styleId="TOC5">
    <w:name w:val="toc 5"/>
    <w:basedOn w:val="Normal"/>
    <w:next w:val="Normal"/>
    <w:autoRedefine/>
    <w:semiHidden/>
    <w:rsid w:val="00957A75"/>
    <w:pPr>
      <w:ind w:left="1040"/>
    </w:pPr>
  </w:style>
  <w:style w:type="paragraph" w:styleId="TOC6">
    <w:name w:val="toc 6"/>
    <w:basedOn w:val="Normal"/>
    <w:next w:val="Normal"/>
    <w:autoRedefine/>
    <w:semiHidden/>
    <w:rsid w:val="00957A75"/>
    <w:pPr>
      <w:ind w:left="1300"/>
    </w:pPr>
  </w:style>
  <w:style w:type="paragraph" w:styleId="TOC7">
    <w:name w:val="toc 7"/>
    <w:basedOn w:val="Normal"/>
    <w:next w:val="Normal"/>
    <w:autoRedefine/>
    <w:semiHidden/>
    <w:rsid w:val="00957A75"/>
    <w:pPr>
      <w:ind w:left="1560"/>
    </w:pPr>
  </w:style>
  <w:style w:type="paragraph" w:styleId="TOC8">
    <w:name w:val="toc 8"/>
    <w:basedOn w:val="Normal"/>
    <w:next w:val="Normal"/>
    <w:autoRedefine/>
    <w:semiHidden/>
    <w:rsid w:val="00957A75"/>
    <w:pPr>
      <w:ind w:left="1820"/>
    </w:pPr>
  </w:style>
  <w:style w:type="paragraph" w:styleId="TOC9">
    <w:name w:val="toc 9"/>
    <w:basedOn w:val="Normal"/>
    <w:next w:val="Normal"/>
    <w:autoRedefine/>
    <w:semiHidden/>
    <w:rsid w:val="00957A75"/>
    <w:pPr>
      <w:ind w:left="2080"/>
    </w:pPr>
  </w:style>
  <w:style w:type="paragraph" w:customStyle="1" w:styleId="Contents">
    <w:name w:val="Contents"/>
    <w:basedOn w:val="Normal"/>
    <w:rsid w:val="00957A75"/>
    <w:pPr>
      <w:jc w:val="center"/>
    </w:pPr>
    <w:rPr>
      <w:b/>
      <w:spacing w:val="100"/>
    </w:rPr>
  </w:style>
  <w:style w:type="character" w:customStyle="1" w:styleId="Heading1Char">
    <w:name w:val="Heading 1 Char"/>
    <w:basedOn w:val="DefaultParagraphFont"/>
    <w:link w:val="Heading1"/>
    <w:rsid w:val="008B6BDA"/>
    <w:rPr>
      <w:rFonts w:ascii="Century Schoolbook" w:hAnsi="Century Schoolbook"/>
      <w:b/>
      <w:smallCaps/>
      <w:sz w:val="27"/>
    </w:rPr>
  </w:style>
  <w:style w:type="character" w:styleId="CommentReference">
    <w:name w:val="annotation reference"/>
    <w:basedOn w:val="DefaultParagraphFont"/>
    <w:uiPriority w:val="99"/>
    <w:semiHidden/>
    <w:unhideWhenUsed/>
    <w:rsid w:val="008B6BDA"/>
    <w:rPr>
      <w:sz w:val="16"/>
      <w:szCs w:val="16"/>
    </w:rPr>
  </w:style>
  <w:style w:type="paragraph" w:styleId="CommentText">
    <w:name w:val="annotation text"/>
    <w:basedOn w:val="Normal"/>
    <w:link w:val="CommentTextChar"/>
    <w:uiPriority w:val="99"/>
    <w:unhideWhenUsed/>
    <w:rsid w:val="008B6BDA"/>
    <w:rPr>
      <w:sz w:val="20"/>
    </w:rPr>
  </w:style>
  <w:style w:type="character" w:customStyle="1" w:styleId="CommentTextChar">
    <w:name w:val="Comment Text Char"/>
    <w:basedOn w:val="DefaultParagraphFont"/>
    <w:link w:val="CommentText"/>
    <w:uiPriority w:val="99"/>
    <w:rsid w:val="008B6BDA"/>
  </w:style>
  <w:style w:type="paragraph" w:styleId="CommentSubject">
    <w:name w:val="annotation subject"/>
    <w:basedOn w:val="CommentText"/>
    <w:next w:val="CommentText"/>
    <w:link w:val="CommentSubjectChar"/>
    <w:uiPriority w:val="99"/>
    <w:semiHidden/>
    <w:unhideWhenUsed/>
    <w:rsid w:val="008B6BDA"/>
    <w:rPr>
      <w:b/>
      <w:bCs/>
    </w:rPr>
  </w:style>
  <w:style w:type="character" w:customStyle="1" w:styleId="CommentSubjectChar">
    <w:name w:val="Comment Subject Char"/>
    <w:basedOn w:val="CommentTextChar"/>
    <w:link w:val="CommentSubject"/>
    <w:uiPriority w:val="99"/>
    <w:semiHidden/>
    <w:rsid w:val="008B6BDA"/>
    <w:rPr>
      <w:b/>
      <w:bCs/>
    </w:rPr>
  </w:style>
  <w:style w:type="paragraph" w:styleId="Revision">
    <w:name w:val="Revision"/>
    <w:hidden/>
    <w:uiPriority w:val="99"/>
    <w:semiHidden/>
    <w:rsid w:val="008B6BDA"/>
    <w:rPr>
      <w:sz w:val="26"/>
    </w:rPr>
  </w:style>
  <w:style w:type="character" w:customStyle="1" w:styleId="Heading2Char">
    <w:name w:val="Heading 2 Char"/>
    <w:basedOn w:val="DefaultParagraphFont"/>
    <w:link w:val="Heading2"/>
    <w:rsid w:val="008B6BDA"/>
    <w:rPr>
      <w:rFonts w:ascii="Century Schoolbook" w:hAnsi="Century Schoolbook"/>
      <w:b/>
      <w:sz w:val="27"/>
    </w:rPr>
  </w:style>
  <w:style w:type="character" w:customStyle="1" w:styleId="FootnoteTextChar">
    <w:name w:val="Footnote Text Char"/>
    <w:basedOn w:val="DefaultParagraphFont"/>
    <w:link w:val="FootnoteText"/>
    <w:rsid w:val="008B6BDA"/>
    <w:rPr>
      <w:rFonts w:ascii="Century Schoolbook" w:hAnsi="Century Schoolbook"/>
      <w:sz w:val="27"/>
    </w:rPr>
  </w:style>
  <w:style w:type="paragraph" w:styleId="ListParagraph">
    <w:name w:val="List Paragraph"/>
    <w:basedOn w:val="Normal"/>
    <w:uiPriority w:val="34"/>
    <w:qFormat/>
    <w:rsid w:val="008B6BDA"/>
    <w:pPr>
      <w:ind w:left="720"/>
      <w:contextualSpacing/>
    </w:pPr>
  </w:style>
  <w:style w:type="character" w:styleId="Hyperlink">
    <w:name w:val="Hyperlink"/>
    <w:basedOn w:val="DefaultParagraphFont"/>
    <w:uiPriority w:val="99"/>
    <w:unhideWhenUsed/>
    <w:rsid w:val="008B6BDA"/>
    <w:rPr>
      <w:color w:val="0000FF" w:themeColor="hyperlink"/>
      <w:u w:val="single"/>
    </w:rPr>
  </w:style>
  <w:style w:type="character" w:customStyle="1" w:styleId="UnresolvedMention1">
    <w:name w:val="Unresolved Mention1"/>
    <w:basedOn w:val="DefaultParagraphFont"/>
    <w:uiPriority w:val="99"/>
    <w:semiHidden/>
    <w:unhideWhenUsed/>
    <w:rsid w:val="008B6BDA"/>
    <w:rPr>
      <w:color w:val="605E5C"/>
      <w:shd w:val="clear" w:color="auto" w:fill="E1DFDD"/>
    </w:rPr>
  </w:style>
  <w:style w:type="character" w:styleId="FollowedHyperlink">
    <w:name w:val="FollowedHyperlink"/>
    <w:basedOn w:val="DefaultParagraphFont"/>
    <w:uiPriority w:val="99"/>
    <w:semiHidden/>
    <w:unhideWhenUsed/>
    <w:rsid w:val="008B6BDA"/>
    <w:rPr>
      <w:color w:val="800080" w:themeColor="followedHyperlink"/>
      <w:u w:val="single"/>
    </w:rPr>
  </w:style>
  <w:style w:type="paragraph" w:styleId="BodyText">
    <w:name w:val="Body Text"/>
    <w:basedOn w:val="Normal"/>
    <w:link w:val="BodyTextChar"/>
    <w:qFormat/>
    <w:rsid w:val="00957A75"/>
  </w:style>
  <w:style w:type="character" w:customStyle="1" w:styleId="BodyTextChar">
    <w:name w:val="Body Text Char"/>
    <w:basedOn w:val="DefaultParagraphFont"/>
    <w:link w:val="BodyText"/>
    <w:rsid w:val="00957A75"/>
    <w:rPr>
      <w:rFonts w:ascii="Century Schoolbook" w:hAnsi="Century Schoolbook"/>
      <w:sz w:val="27"/>
    </w:rPr>
  </w:style>
  <w:style w:type="character" w:customStyle="1" w:styleId="TextChar">
    <w:name w:val="Text Char"/>
    <w:basedOn w:val="DefaultParagraphFont"/>
    <w:link w:val="Text"/>
    <w:locked/>
    <w:rsid w:val="00C700E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1E6F-D7FF-4CFA-BDAF-65308BD5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8923</Words>
  <Characters>50865</Characters>
  <Application>Microsoft Office Word</Application>
  <DocSecurity>0</DocSecurity>
  <Lines>423</Lines>
  <Paragraphs>119</Paragraphs>
  <ScaleCrop>false</ScaleCrop>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2023-08-07T19:29:22Z</dcterms:created>
  <dcterms:modified xsi:type="dcterms:W3CDTF">2023-08-07T19:29:22Z</dcterms:modified>
</cp:coreProperties>
</file>