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F7D9" w14:textId="530B7924" w:rsidR="00567E9B" w:rsidRPr="00A71F78" w:rsidRDefault="00A31766" w:rsidP="00A31766">
      <w:pPr>
        <w:tabs>
          <w:tab w:val="left" w:leader="underscore" w:pos="4680"/>
        </w:tabs>
        <w:spacing w:after="0"/>
        <w:jc w:val="center"/>
        <w:rPr>
          <w:sz w:val="36"/>
        </w:rPr>
      </w:pPr>
      <w:bookmarkStart w:id="0" w:name="MarkDocLoc"/>
      <w:bookmarkEnd w:id="0"/>
      <w:r w:rsidRPr="00A71F78">
        <w:rPr>
          <w:b/>
          <w:sz w:val="36"/>
        </w:rPr>
        <w:t>IN THE SUPREME COURT OF CALIFORNIA</w:t>
      </w:r>
    </w:p>
    <w:p w14:paraId="7A3338A3" w14:textId="1A10B589" w:rsidR="00A31766" w:rsidRPr="00A71F78" w:rsidRDefault="00A31766" w:rsidP="00A31766">
      <w:pPr>
        <w:tabs>
          <w:tab w:val="left" w:leader="underscore" w:pos="4680"/>
        </w:tabs>
        <w:spacing w:after="0"/>
        <w:jc w:val="center"/>
      </w:pPr>
    </w:p>
    <w:p w14:paraId="0E11070A" w14:textId="790F8949" w:rsidR="00A31766" w:rsidRPr="00A71F78" w:rsidRDefault="00A31766" w:rsidP="00A31766">
      <w:pPr>
        <w:tabs>
          <w:tab w:val="left" w:leader="underscore" w:pos="4680"/>
        </w:tabs>
        <w:spacing w:after="0"/>
        <w:jc w:val="center"/>
      </w:pPr>
      <w:r w:rsidRPr="00A71F78">
        <w:t>THE PEOPLE</w:t>
      </w:r>
      <w:r w:rsidR="002F532D">
        <w:t>,</w:t>
      </w:r>
    </w:p>
    <w:p w14:paraId="186D7E08" w14:textId="6412A6F6" w:rsidR="00A31766" w:rsidRPr="00A71F78" w:rsidRDefault="00A31766" w:rsidP="00A31766">
      <w:pPr>
        <w:tabs>
          <w:tab w:val="left" w:leader="underscore" w:pos="4680"/>
        </w:tabs>
        <w:spacing w:after="0"/>
        <w:jc w:val="center"/>
      </w:pPr>
      <w:r w:rsidRPr="00A71F78">
        <w:t>Plaintiff and Respondent</w:t>
      </w:r>
      <w:r w:rsidR="002F532D">
        <w:t>,</w:t>
      </w:r>
    </w:p>
    <w:p w14:paraId="54D5F0A4" w14:textId="22B6D2EF" w:rsidR="00A31766" w:rsidRPr="00A71F78" w:rsidRDefault="00A31766" w:rsidP="00A31766">
      <w:pPr>
        <w:tabs>
          <w:tab w:val="left" w:leader="underscore" w:pos="4680"/>
        </w:tabs>
        <w:spacing w:after="0"/>
        <w:jc w:val="center"/>
      </w:pPr>
      <w:r w:rsidRPr="00A71F78">
        <w:t>v.</w:t>
      </w:r>
    </w:p>
    <w:p w14:paraId="5AC6EBE5" w14:textId="332AFE73" w:rsidR="00A31766" w:rsidRPr="00A71F78" w:rsidRDefault="00A31766" w:rsidP="00A31766">
      <w:pPr>
        <w:tabs>
          <w:tab w:val="left" w:leader="underscore" w:pos="4680"/>
        </w:tabs>
        <w:spacing w:after="0"/>
        <w:jc w:val="center"/>
      </w:pPr>
      <w:r w:rsidRPr="00A71F78">
        <w:t>JAMES LEO CARNEY</w:t>
      </w:r>
      <w:r w:rsidR="002F532D">
        <w:t xml:space="preserve"> </w:t>
      </w:r>
      <w:r w:rsidRPr="00A71F78">
        <w:t>et al</w:t>
      </w:r>
      <w:r w:rsidR="002F532D">
        <w:t>.,</w:t>
      </w:r>
    </w:p>
    <w:p w14:paraId="29722B33" w14:textId="620B9A34" w:rsidR="00A31766" w:rsidRPr="00A71F78" w:rsidRDefault="00A31766" w:rsidP="00A31766">
      <w:pPr>
        <w:tabs>
          <w:tab w:val="left" w:leader="underscore" w:pos="4680"/>
        </w:tabs>
        <w:spacing w:after="0"/>
        <w:jc w:val="center"/>
      </w:pPr>
      <w:r w:rsidRPr="00A71F78">
        <w:t>Defendants and Appellants.</w:t>
      </w:r>
    </w:p>
    <w:p w14:paraId="7227A4AA" w14:textId="75E4FD8C" w:rsidR="00A31766" w:rsidRPr="00A71F78" w:rsidRDefault="00A31766" w:rsidP="00A31766">
      <w:pPr>
        <w:tabs>
          <w:tab w:val="left" w:leader="underscore" w:pos="4680"/>
        </w:tabs>
        <w:spacing w:after="0"/>
        <w:jc w:val="center"/>
      </w:pPr>
    </w:p>
    <w:p w14:paraId="6CDFE45C" w14:textId="4E0AF4F2" w:rsidR="00A31766" w:rsidRPr="00A71F78" w:rsidRDefault="00A31766" w:rsidP="00A31766">
      <w:pPr>
        <w:tabs>
          <w:tab w:val="left" w:leader="underscore" w:pos="4680"/>
        </w:tabs>
        <w:spacing w:after="0"/>
        <w:jc w:val="center"/>
      </w:pPr>
      <w:r w:rsidRPr="00A71F78">
        <w:t>S260063</w:t>
      </w:r>
    </w:p>
    <w:p w14:paraId="1563BA7D" w14:textId="2DF60755" w:rsidR="00A31766" w:rsidRPr="00A71F78" w:rsidRDefault="00A31766" w:rsidP="00A31766">
      <w:pPr>
        <w:tabs>
          <w:tab w:val="left" w:leader="underscore" w:pos="4680"/>
        </w:tabs>
        <w:spacing w:after="0"/>
        <w:jc w:val="center"/>
      </w:pPr>
    </w:p>
    <w:p w14:paraId="52840B04" w14:textId="67688978" w:rsidR="00A31766" w:rsidRPr="00A71F78" w:rsidRDefault="00A31766" w:rsidP="00A31766">
      <w:pPr>
        <w:tabs>
          <w:tab w:val="left" w:leader="underscore" w:pos="4680"/>
        </w:tabs>
        <w:spacing w:after="0"/>
        <w:jc w:val="center"/>
      </w:pPr>
      <w:r w:rsidRPr="00A71F78">
        <w:t>Third Appellate District</w:t>
      </w:r>
    </w:p>
    <w:p w14:paraId="306EB6C2" w14:textId="3C791BB3" w:rsidR="00A31766" w:rsidRPr="00A71F78" w:rsidRDefault="00A31766" w:rsidP="00A31766">
      <w:pPr>
        <w:tabs>
          <w:tab w:val="left" w:leader="underscore" w:pos="4680"/>
        </w:tabs>
        <w:spacing w:after="0"/>
        <w:jc w:val="center"/>
      </w:pPr>
      <w:r w:rsidRPr="00A71F78">
        <w:t>C077558</w:t>
      </w:r>
    </w:p>
    <w:p w14:paraId="0D28646B" w14:textId="61A10DCC" w:rsidR="00A31766" w:rsidRPr="00A71F78" w:rsidRDefault="00A31766" w:rsidP="00A31766">
      <w:pPr>
        <w:tabs>
          <w:tab w:val="left" w:leader="underscore" w:pos="4680"/>
        </w:tabs>
        <w:spacing w:after="0"/>
        <w:jc w:val="center"/>
      </w:pPr>
    </w:p>
    <w:p w14:paraId="7A9B3C66" w14:textId="495F947D" w:rsidR="00A31766" w:rsidRPr="00A71F78" w:rsidRDefault="00A31766" w:rsidP="00A31766">
      <w:pPr>
        <w:tabs>
          <w:tab w:val="left" w:leader="underscore" w:pos="4680"/>
        </w:tabs>
        <w:spacing w:after="0"/>
        <w:jc w:val="center"/>
      </w:pPr>
      <w:r w:rsidRPr="00A71F78">
        <w:t>Sacramento County</w:t>
      </w:r>
      <w:r w:rsidR="00464D53" w:rsidRPr="0020689D">
        <w:t xml:space="preserve"> Superior Court</w:t>
      </w:r>
    </w:p>
    <w:p w14:paraId="50ACBBAF" w14:textId="17097D9E" w:rsidR="00A31766" w:rsidRPr="00A71F78" w:rsidRDefault="00A31766" w:rsidP="00A31766">
      <w:pPr>
        <w:tabs>
          <w:tab w:val="left" w:leader="underscore" w:pos="4680"/>
        </w:tabs>
        <w:spacing w:after="0"/>
        <w:jc w:val="center"/>
      </w:pPr>
      <w:r w:rsidRPr="00A71F78">
        <w:t>11F00700</w:t>
      </w:r>
    </w:p>
    <w:p w14:paraId="0C3DDBB2" w14:textId="3C21E22E" w:rsidR="00A31766" w:rsidRPr="00A71F78" w:rsidRDefault="00A31766" w:rsidP="00A31766">
      <w:pPr>
        <w:pBdr>
          <w:bottom w:val="single" w:sz="4" w:space="1" w:color="auto"/>
        </w:pBdr>
        <w:tabs>
          <w:tab w:val="left" w:leader="underscore" w:pos="4680"/>
        </w:tabs>
        <w:spacing w:after="0"/>
        <w:jc w:val="center"/>
        <w:rPr>
          <w:u w:val="single"/>
        </w:rPr>
      </w:pPr>
    </w:p>
    <w:p w14:paraId="2DFA94DC" w14:textId="77777777" w:rsidR="00A31766" w:rsidRPr="00A71F78" w:rsidRDefault="00A31766" w:rsidP="00A31766">
      <w:pPr>
        <w:tabs>
          <w:tab w:val="left" w:pos="1440"/>
          <w:tab w:val="left" w:pos="4680"/>
          <w:tab w:val="center" w:pos="7200"/>
        </w:tabs>
        <w:spacing w:after="0"/>
        <w:jc w:val="center"/>
      </w:pPr>
      <w:bookmarkStart w:id="1" w:name="Return"/>
      <w:bookmarkEnd w:id="1"/>
    </w:p>
    <w:p w14:paraId="012D862E" w14:textId="44B00E7E" w:rsidR="00A31766" w:rsidRPr="00A71F78" w:rsidRDefault="0058377E" w:rsidP="00A31766">
      <w:pPr>
        <w:tabs>
          <w:tab w:val="left" w:pos="1440"/>
          <w:tab w:val="left" w:pos="4680"/>
          <w:tab w:val="center" w:pos="7200"/>
        </w:tabs>
        <w:spacing w:after="0"/>
        <w:jc w:val="center"/>
      </w:pPr>
      <w:r>
        <w:t xml:space="preserve">July 20, </w:t>
      </w:r>
      <w:r w:rsidR="00A31766" w:rsidRPr="00A71F78">
        <w:t>2023</w:t>
      </w:r>
    </w:p>
    <w:p w14:paraId="4A814669" w14:textId="77777777" w:rsidR="00A31766" w:rsidRPr="00A71F78" w:rsidRDefault="00A31766" w:rsidP="00A31766">
      <w:pPr>
        <w:tabs>
          <w:tab w:val="left" w:pos="1440"/>
          <w:tab w:val="left" w:pos="4680"/>
          <w:tab w:val="center" w:pos="7200"/>
        </w:tabs>
        <w:spacing w:after="0"/>
        <w:jc w:val="center"/>
      </w:pPr>
    </w:p>
    <w:p w14:paraId="6EB5D75B" w14:textId="6A3F7384" w:rsidR="00A31766" w:rsidRDefault="0058377E" w:rsidP="00DC2CE9">
      <w:pP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Guerrero and Justices Corrigan, Liu, Kruger, Groban, and Evans concurred</w:t>
      </w:r>
      <w:r w:rsidR="00A31766" w:rsidRPr="00A71F78">
        <w:t>.</w:t>
      </w:r>
    </w:p>
    <w:p w14:paraId="0E6CB961" w14:textId="77777777" w:rsidR="00A31766" w:rsidRPr="00A71F78" w:rsidRDefault="00A31766" w:rsidP="00A31766">
      <w:pPr>
        <w:pBdr>
          <w:bottom w:val="single" w:sz="4" w:space="1" w:color="auto"/>
        </w:pBdr>
        <w:tabs>
          <w:tab w:val="left" w:leader="underscore" w:pos="4680"/>
        </w:tabs>
        <w:spacing w:line="240" w:lineRule="atLeast"/>
        <w:jc w:val="left"/>
        <w:rPr>
          <w:u w:val="single"/>
        </w:rPr>
      </w:pPr>
    </w:p>
    <w:p w14:paraId="3F413B85" w14:textId="20EC4752" w:rsidR="00A31766" w:rsidRPr="00A71F78" w:rsidRDefault="00A31766" w:rsidP="00567E9B">
      <w:pPr>
        <w:tabs>
          <w:tab w:val="left" w:leader="underscore" w:pos="4680"/>
        </w:tabs>
        <w:spacing w:line="240" w:lineRule="atLeast"/>
        <w:rPr>
          <w:u w:val="single"/>
        </w:rPr>
        <w:sectPr w:rsidR="00A31766" w:rsidRPr="00A71F78" w:rsidSect="00A31766">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467B9CDB" w14:textId="14554142" w:rsidR="00A31766" w:rsidRPr="00CF5FB4" w:rsidRDefault="00A31766" w:rsidP="00A31766">
      <w:pPr>
        <w:tabs>
          <w:tab w:val="left" w:leader="underscore" w:pos="4680"/>
        </w:tabs>
        <w:jc w:val="center"/>
      </w:pPr>
      <w:r w:rsidRPr="00CF5FB4">
        <w:t>PEOPLE v. CARNEY</w:t>
      </w:r>
      <w:r w:rsidR="00464D53" w:rsidRPr="00A71F78">
        <w:t xml:space="preserve"> </w:t>
      </w:r>
    </w:p>
    <w:p w14:paraId="38F1F75C" w14:textId="077D6259" w:rsidR="00A31766" w:rsidRPr="00A71F78" w:rsidRDefault="00A31766" w:rsidP="00A31766">
      <w:pPr>
        <w:tabs>
          <w:tab w:val="left" w:leader="underscore" w:pos="4680"/>
        </w:tabs>
        <w:jc w:val="center"/>
        <w:rPr>
          <w:u w:val="single"/>
        </w:rPr>
      </w:pPr>
      <w:r w:rsidRPr="00CF5FB4">
        <w:t>S260063</w:t>
      </w:r>
    </w:p>
    <w:p w14:paraId="70329DD0" w14:textId="60DD1837" w:rsidR="00A31766" w:rsidRPr="00A71F78" w:rsidRDefault="00A31766" w:rsidP="00A31766">
      <w:pPr>
        <w:tabs>
          <w:tab w:val="left" w:leader="underscore" w:pos="4680"/>
        </w:tabs>
        <w:jc w:val="center"/>
        <w:rPr>
          <w:u w:val="single"/>
        </w:rPr>
      </w:pPr>
    </w:p>
    <w:p w14:paraId="1CF6E64D" w14:textId="4D76FC5A" w:rsidR="00A31766" w:rsidRPr="00CF5FB4" w:rsidRDefault="00A31766" w:rsidP="00A31766">
      <w:pPr>
        <w:tabs>
          <w:tab w:val="left" w:leader="underscore" w:pos="4680"/>
        </w:tabs>
        <w:jc w:val="center"/>
      </w:pPr>
      <w:r w:rsidRPr="00CF5FB4">
        <w:t xml:space="preserve">Opinion of the Court by Jenkins, </w:t>
      </w:r>
      <w:r w:rsidRPr="002F532D">
        <w:t>J.</w:t>
      </w:r>
      <w:r w:rsidRPr="00CF5FB4">
        <w:t xml:space="preserve"> </w:t>
      </w:r>
    </w:p>
    <w:p w14:paraId="38DF5788" w14:textId="77777777" w:rsidR="00A31766" w:rsidRPr="00A71F78" w:rsidRDefault="00A31766" w:rsidP="00A31766">
      <w:pPr>
        <w:tabs>
          <w:tab w:val="left" w:leader="underscore" w:pos="4680"/>
        </w:tabs>
        <w:jc w:val="center"/>
        <w:rPr>
          <w:u w:val="single"/>
        </w:rPr>
      </w:pPr>
    </w:p>
    <w:p w14:paraId="2261C5F5" w14:textId="01B5D854" w:rsidR="00982EF2" w:rsidRPr="00A71F78" w:rsidRDefault="00AA096E" w:rsidP="00A31766">
      <w:pPr>
        <w:tabs>
          <w:tab w:val="left" w:pos="1440"/>
        </w:tabs>
        <w:ind w:firstLine="720"/>
      </w:pPr>
      <w:bookmarkStart w:id="2" w:name="justice"/>
      <w:bookmarkStart w:id="3" w:name="mainstory"/>
      <w:bookmarkEnd w:id="2"/>
      <w:bookmarkEnd w:id="3"/>
      <w:r w:rsidRPr="00A71F78">
        <w:t>In</w:t>
      </w:r>
      <w:r w:rsidR="00380958" w:rsidRPr="00A71F78">
        <w:t xml:space="preserve"> </w:t>
      </w:r>
      <w:r w:rsidRPr="00A71F78">
        <w:rPr>
          <w:i/>
          <w:iCs/>
        </w:rPr>
        <w:t>People v. Sanchez</w:t>
      </w:r>
      <w:r w:rsidRPr="00A71F78">
        <w:t xml:space="preserve"> (2001) 26 Cal.4th 834 (</w:t>
      </w:r>
      <w:r w:rsidRPr="00A71F78">
        <w:rPr>
          <w:i/>
          <w:iCs/>
        </w:rPr>
        <w:t>Sanchez</w:t>
      </w:r>
      <w:r w:rsidRPr="00A71F78">
        <w:t xml:space="preserve">), this </w:t>
      </w:r>
      <w:r w:rsidR="00375563" w:rsidRPr="00A71F78">
        <w:t>c</w:t>
      </w:r>
      <w:r w:rsidR="008E64A3" w:rsidRPr="00A71F78">
        <w:t>ourt upheld the first degree murder conviction of a defendant who had engaged in</w:t>
      </w:r>
      <w:r w:rsidR="003B2E84" w:rsidRPr="00A71F78">
        <w:t xml:space="preserve"> a gang-related </w:t>
      </w:r>
      <w:r w:rsidR="0027743A" w:rsidRPr="00A71F78">
        <w:t>shootout</w:t>
      </w:r>
      <w:r w:rsidR="00601E2E" w:rsidRPr="00A71F78">
        <w:t xml:space="preserve"> that left </w:t>
      </w:r>
      <w:r w:rsidR="008E64A3" w:rsidRPr="00A71F78">
        <w:t>a</w:t>
      </w:r>
      <w:r w:rsidR="00C631E4" w:rsidRPr="00A71F78">
        <w:t>n innocent</w:t>
      </w:r>
      <w:r w:rsidR="008E64A3" w:rsidRPr="00A71F78">
        <w:t xml:space="preserve"> bystander</w:t>
      </w:r>
      <w:r w:rsidR="00601E2E" w:rsidRPr="00A71F78">
        <w:t xml:space="preserve"> dead</w:t>
      </w:r>
      <w:r w:rsidR="008E64A3" w:rsidRPr="00A71F78">
        <w:t xml:space="preserve">. </w:t>
      </w:r>
      <w:r w:rsidR="00B460EC" w:rsidRPr="00A71F78">
        <w:t xml:space="preserve"> </w:t>
      </w:r>
      <w:r w:rsidR="008E64A3" w:rsidRPr="00A71F78">
        <w:t>Though it was unclear</w:t>
      </w:r>
      <w:r w:rsidR="00BB550C" w:rsidRPr="00A71F78">
        <w:t xml:space="preserve"> whether </w:t>
      </w:r>
      <w:r w:rsidR="00780B50" w:rsidRPr="00A71F78">
        <w:t>the defendant</w:t>
      </w:r>
      <w:r w:rsidR="00BB550C" w:rsidRPr="00A71F78">
        <w:t xml:space="preserve"> or </w:t>
      </w:r>
      <w:r w:rsidR="006A6699" w:rsidRPr="00A71F78">
        <w:t>a rival gang member</w:t>
      </w:r>
      <w:r w:rsidR="00F01FD0" w:rsidRPr="00A71F78">
        <w:t xml:space="preserve"> </w:t>
      </w:r>
      <w:r w:rsidR="00C57BFA" w:rsidRPr="00A71F78">
        <w:t xml:space="preserve">had </w:t>
      </w:r>
      <w:r w:rsidR="002C3A18" w:rsidRPr="00A71F78">
        <w:t xml:space="preserve">fired </w:t>
      </w:r>
      <w:r w:rsidR="008E64A3" w:rsidRPr="00A71F78">
        <w:t xml:space="preserve">the </w:t>
      </w:r>
      <w:r w:rsidR="002E35EA" w:rsidRPr="00A71F78">
        <w:t>fatal</w:t>
      </w:r>
      <w:r w:rsidR="002631E1" w:rsidRPr="00A71F78">
        <w:t xml:space="preserve"> </w:t>
      </w:r>
      <w:r w:rsidR="002C3A18" w:rsidRPr="00A71F78">
        <w:t>shot</w:t>
      </w:r>
      <w:r w:rsidR="00D259AB" w:rsidRPr="00A71F78">
        <w:t>,</w:t>
      </w:r>
      <w:r w:rsidR="008E64A3" w:rsidRPr="00A71F78">
        <w:t xml:space="preserve"> we held that the defendant’s “commission of life-threatening deadly acts in connection with his attempt on [</w:t>
      </w:r>
      <w:r w:rsidR="00E05527" w:rsidRPr="00A71F78">
        <w:t xml:space="preserve">the </w:t>
      </w:r>
      <w:r w:rsidR="006A6699" w:rsidRPr="00A71F78">
        <w:t>rival gang member</w:t>
      </w:r>
      <w:r w:rsidR="008E64A3" w:rsidRPr="00A71F78">
        <w:t>’s] life was a substantial concurrent, hence proximate</w:t>
      </w:r>
      <w:r w:rsidR="007B16E3" w:rsidRPr="00A71F78">
        <w:t>,</w:t>
      </w:r>
      <w:r w:rsidR="008E64A3" w:rsidRPr="00A71F78">
        <w:t xml:space="preserve"> cause of [the victim’s] death.”  (</w:t>
      </w:r>
      <w:r w:rsidR="008E64A3" w:rsidRPr="00A71F78">
        <w:rPr>
          <w:i/>
          <w:iCs/>
        </w:rPr>
        <w:t>Id</w:t>
      </w:r>
      <w:r w:rsidR="008E64A3" w:rsidRPr="00A71F78">
        <w:t xml:space="preserve">. at </w:t>
      </w:r>
      <w:r w:rsidR="003B2E84" w:rsidRPr="00A71F78">
        <w:t>p</w:t>
      </w:r>
      <w:r w:rsidR="008E64A3" w:rsidRPr="00A71F78">
        <w:t xml:space="preserve">p. </w:t>
      </w:r>
      <w:r w:rsidR="003B2E84" w:rsidRPr="00A71F78">
        <w:t>848–849</w:t>
      </w:r>
      <w:r w:rsidR="008E64A3" w:rsidRPr="00A71F78">
        <w:t xml:space="preserve">.) </w:t>
      </w:r>
      <w:r w:rsidR="003B2E84" w:rsidRPr="00A71F78">
        <w:t xml:space="preserve"> </w:t>
      </w:r>
    </w:p>
    <w:p w14:paraId="4FFD3713" w14:textId="543EBEB2" w:rsidR="00F3479B" w:rsidRPr="00A71F78" w:rsidRDefault="00E15FBF" w:rsidP="00A31766">
      <w:pPr>
        <w:tabs>
          <w:tab w:val="left" w:pos="1440"/>
        </w:tabs>
        <w:ind w:firstLine="720"/>
      </w:pPr>
      <w:bookmarkStart w:id="4" w:name="_Hlk123795594"/>
      <w:r w:rsidRPr="00A71F78">
        <w:t xml:space="preserve">The instant case similarly involves a </w:t>
      </w:r>
      <w:r w:rsidR="00EF7404" w:rsidRPr="00A71F78">
        <w:t>gun battle</w:t>
      </w:r>
      <w:r w:rsidR="004B35C4" w:rsidRPr="00A71F78">
        <w:t xml:space="preserve"> </w:t>
      </w:r>
      <w:r w:rsidR="005B72ED" w:rsidRPr="00A71F78">
        <w:t xml:space="preserve">among </w:t>
      </w:r>
      <w:r w:rsidR="004B35C4" w:rsidRPr="00A71F78">
        <w:t>rivals</w:t>
      </w:r>
      <w:r w:rsidR="00671634" w:rsidRPr="00A71F78">
        <w:t>,</w:t>
      </w:r>
      <w:r w:rsidR="002A7DA3" w:rsidRPr="00A71F78">
        <w:t xml:space="preserve"> but unlike </w:t>
      </w:r>
      <w:r w:rsidR="00A142B6" w:rsidRPr="00A71F78">
        <w:t xml:space="preserve">in </w:t>
      </w:r>
      <w:r w:rsidR="00F425DA" w:rsidRPr="00A71F78">
        <w:rPr>
          <w:i/>
          <w:iCs/>
        </w:rPr>
        <w:t>Sanchez</w:t>
      </w:r>
      <w:r w:rsidR="00F425DA" w:rsidRPr="00A71F78">
        <w:t xml:space="preserve">, </w:t>
      </w:r>
      <w:r w:rsidR="00C24AC7" w:rsidRPr="00A71F78">
        <w:t xml:space="preserve">the </w:t>
      </w:r>
      <w:r w:rsidR="006C4F98" w:rsidRPr="00A71F78">
        <w:t xml:space="preserve">evidence </w:t>
      </w:r>
      <w:r w:rsidR="00C24AC7" w:rsidRPr="00A71F78">
        <w:t>here</w:t>
      </w:r>
      <w:r w:rsidR="009E7A2B" w:rsidRPr="00A71F78">
        <w:t xml:space="preserve"> conclusively</w:t>
      </w:r>
      <w:r w:rsidR="005E47A7" w:rsidRPr="00A71F78">
        <w:t xml:space="preserve"> </w:t>
      </w:r>
      <w:r w:rsidR="004B35C4" w:rsidRPr="00A71F78">
        <w:t xml:space="preserve">established </w:t>
      </w:r>
      <w:r w:rsidR="006C4F98" w:rsidRPr="00A71F78">
        <w:t xml:space="preserve">that </w:t>
      </w:r>
      <w:r w:rsidR="005B72ED" w:rsidRPr="00A71F78">
        <w:t>the fatal shot was fired by someone other than the two defendants whose first degree murder convictions are at issue</w:t>
      </w:r>
      <w:r w:rsidR="005962EE" w:rsidRPr="00A71F78">
        <w:t>.</w:t>
      </w:r>
      <w:r w:rsidR="00FD3BE4" w:rsidRPr="00A71F78">
        <w:t xml:space="preserve"> </w:t>
      </w:r>
      <w:r w:rsidR="006C4F98" w:rsidRPr="00A71F78">
        <w:t xml:space="preserve"> </w:t>
      </w:r>
      <w:r w:rsidR="00040FF2" w:rsidRPr="00A71F78">
        <w:t>T</w:t>
      </w:r>
      <w:r w:rsidR="004B35C4" w:rsidRPr="00A71F78">
        <w:t xml:space="preserve">he question now before </w:t>
      </w:r>
      <w:r w:rsidR="005B72ED" w:rsidRPr="00A71F78">
        <w:t xml:space="preserve">us </w:t>
      </w:r>
      <w:r w:rsidR="004B35C4" w:rsidRPr="00A71F78">
        <w:t xml:space="preserve">is whether </w:t>
      </w:r>
      <w:r w:rsidR="006C4F98" w:rsidRPr="00A71F78">
        <w:rPr>
          <w:i/>
          <w:iCs/>
        </w:rPr>
        <w:t>Sanchez</w:t>
      </w:r>
      <w:r w:rsidR="006C4F98" w:rsidRPr="00A71F78">
        <w:t>’s</w:t>
      </w:r>
      <w:r w:rsidR="00FE301D" w:rsidRPr="00A71F78">
        <w:t xml:space="preserve"> </w:t>
      </w:r>
      <w:r w:rsidR="006C4F98" w:rsidRPr="00A71F78">
        <w:t>“substantial concurrent</w:t>
      </w:r>
      <w:r w:rsidR="001D341D" w:rsidRPr="00A71F78">
        <w:t xml:space="preserve"> cause</w:t>
      </w:r>
      <w:r w:rsidR="006C4F98" w:rsidRPr="00A71F78">
        <w:t xml:space="preserve">” </w:t>
      </w:r>
      <w:r w:rsidR="006F1983" w:rsidRPr="00A71F78">
        <w:t xml:space="preserve">analysis </w:t>
      </w:r>
      <w:r w:rsidR="00FB4269" w:rsidRPr="00A71F78">
        <w:t xml:space="preserve">of proximate cause </w:t>
      </w:r>
      <w:r w:rsidR="0057756C" w:rsidRPr="00A71F78">
        <w:t>permits the defendants’ convictions.</w:t>
      </w:r>
      <w:r w:rsidR="004B35C4" w:rsidRPr="00A71F78">
        <w:t xml:space="preserve"> </w:t>
      </w:r>
      <w:r w:rsidR="004B2DDC" w:rsidRPr="00A71F78">
        <w:t xml:space="preserve"> </w:t>
      </w:r>
      <w:r w:rsidR="008C5632" w:rsidRPr="00A71F78">
        <w:t xml:space="preserve">The Court of Appeal </w:t>
      </w:r>
      <w:r w:rsidR="004B35C4" w:rsidRPr="00A71F78">
        <w:t xml:space="preserve">answered </w:t>
      </w:r>
      <w:r w:rsidR="00C855F2" w:rsidRPr="00A71F78">
        <w:t>this</w:t>
      </w:r>
      <w:r w:rsidR="004B35C4" w:rsidRPr="00A71F78">
        <w:t xml:space="preserve"> question in the affirmative</w:t>
      </w:r>
      <w:r w:rsidR="005B72ED" w:rsidRPr="00A71F78">
        <w:t xml:space="preserve">, emphasizing </w:t>
      </w:r>
      <w:r w:rsidR="00983AA2" w:rsidRPr="00A71F78">
        <w:t xml:space="preserve">that in </w:t>
      </w:r>
      <w:r w:rsidR="00983AA2" w:rsidRPr="00A71F78">
        <w:rPr>
          <w:i/>
          <w:iCs/>
        </w:rPr>
        <w:t>Sanchez</w:t>
      </w:r>
      <w:r w:rsidR="00983AA2" w:rsidRPr="00A71F78">
        <w:t>,</w:t>
      </w:r>
      <w:r w:rsidR="00551AE2" w:rsidRPr="00A71F78">
        <w:t xml:space="preserve"> each defendant’s liability for first degree murder </w:t>
      </w:r>
      <w:r w:rsidR="00040FF2" w:rsidRPr="00A71F78">
        <w:t xml:space="preserve">was not based on the mere </w:t>
      </w:r>
      <w:r w:rsidR="00FD3BE4" w:rsidRPr="00A71F78">
        <w:t xml:space="preserve">possibility that </w:t>
      </w:r>
      <w:r w:rsidR="00040FF2" w:rsidRPr="00A71F78">
        <w:t>he</w:t>
      </w:r>
      <w:r w:rsidR="00FD3BE4" w:rsidRPr="00A71F78">
        <w:t xml:space="preserve"> </w:t>
      </w:r>
      <w:r w:rsidR="00040FF2" w:rsidRPr="00A71F78">
        <w:t xml:space="preserve">had </w:t>
      </w:r>
      <w:r w:rsidR="00FD3BE4" w:rsidRPr="00A71F78">
        <w:t>fired the fatal shot</w:t>
      </w:r>
      <w:r w:rsidR="00B7451C" w:rsidRPr="00A71F78">
        <w:t>.</w:t>
      </w:r>
      <w:r w:rsidR="00054BEC" w:rsidRPr="00A71F78">
        <w:t xml:space="preserve">  </w:t>
      </w:r>
      <w:r w:rsidR="0031562B" w:rsidRPr="00A71F78">
        <w:t>Rather,</w:t>
      </w:r>
      <w:r w:rsidR="000064AC" w:rsidRPr="00A71F78">
        <w:t xml:space="preserve"> </w:t>
      </w:r>
      <w:r w:rsidR="00DB1D6A" w:rsidRPr="00A71F78">
        <w:t xml:space="preserve">the court explained, both </w:t>
      </w:r>
      <w:r w:rsidR="00054BEC" w:rsidRPr="00A71F78">
        <w:t>defendant</w:t>
      </w:r>
      <w:r w:rsidR="00DB1D6A" w:rsidRPr="00A71F78">
        <w:t>s</w:t>
      </w:r>
      <w:r w:rsidR="00054BEC" w:rsidRPr="00A71F78">
        <w:t xml:space="preserve"> </w:t>
      </w:r>
      <w:r w:rsidR="00E9557C" w:rsidRPr="00A71F78">
        <w:t xml:space="preserve">in </w:t>
      </w:r>
      <w:r w:rsidR="00E9557C" w:rsidRPr="00A71F78">
        <w:rPr>
          <w:i/>
          <w:iCs/>
        </w:rPr>
        <w:t xml:space="preserve">Sanchez </w:t>
      </w:r>
      <w:r w:rsidR="00055399" w:rsidRPr="00A71F78">
        <w:t>“</w:t>
      </w:r>
      <w:r w:rsidR="00A31766" w:rsidRPr="00A71F78">
        <w:t> </w:t>
      </w:r>
      <w:r w:rsidR="00055399" w:rsidRPr="00A71F78">
        <w:t xml:space="preserve">‘had equally culpable mental states and engaged in precisely the same </w:t>
      </w:r>
      <w:r w:rsidR="00F8640B" w:rsidRPr="00A71F78">
        <w:t xml:space="preserve">conduct at the same </w:t>
      </w:r>
      <w:r w:rsidR="00055399" w:rsidRPr="00A71F78">
        <w:t xml:space="preserve">time and place in exchanging shots’ such that it was not unfair to hold them equally responsible for the victim’s death.”  </w:t>
      </w:r>
      <w:r w:rsidR="00464D53" w:rsidRPr="00A71F78">
        <w:t>(</w:t>
      </w:r>
      <w:r w:rsidR="00464D53" w:rsidRPr="00CF5FB4">
        <w:rPr>
          <w:i/>
          <w:iCs/>
        </w:rPr>
        <w:t>People v. Carney</w:t>
      </w:r>
      <w:r w:rsidR="00464D53" w:rsidRPr="00A71F78">
        <w:t xml:space="preserve"> (Dec. 10, 2019, C077558 [nonpub. opn.]</w:t>
      </w:r>
      <w:r w:rsidR="00CF5FB4">
        <w:t>.)</w:t>
      </w:r>
      <w:r w:rsidR="00464D53" w:rsidRPr="00A71F78">
        <w:t xml:space="preserve"> </w:t>
      </w:r>
      <w:r w:rsidR="00CF5FB4">
        <w:t xml:space="preserve"> </w:t>
      </w:r>
      <w:r w:rsidR="00D12F8A" w:rsidRPr="00A71F78">
        <w:t>Based on that reasoning, t</w:t>
      </w:r>
      <w:r w:rsidR="00F8640B" w:rsidRPr="00A71F78">
        <w:t xml:space="preserve">he </w:t>
      </w:r>
      <w:r w:rsidR="00D65C47" w:rsidRPr="00A71F78">
        <w:t xml:space="preserve">Court of Appeal </w:t>
      </w:r>
      <w:r w:rsidR="00B826B2" w:rsidRPr="00A71F78">
        <w:t>concluded</w:t>
      </w:r>
      <w:r w:rsidR="00D65C47" w:rsidRPr="00A71F78">
        <w:t xml:space="preserve"> that </w:t>
      </w:r>
      <w:r w:rsidR="00671D1B" w:rsidRPr="00A71F78">
        <w:t xml:space="preserve">the </w:t>
      </w:r>
      <w:r w:rsidR="00803470" w:rsidRPr="00A71F78">
        <w:t>actions</w:t>
      </w:r>
      <w:r w:rsidR="00D133A5" w:rsidRPr="00A71F78">
        <w:t xml:space="preserve"> </w:t>
      </w:r>
      <w:r w:rsidR="00671D1B" w:rsidRPr="00A71F78">
        <w:t xml:space="preserve">of defendants </w:t>
      </w:r>
      <w:r w:rsidR="00671D1B" w:rsidRPr="00A71F78">
        <w:rPr>
          <w:szCs w:val="26"/>
        </w:rPr>
        <w:t xml:space="preserve">Lonnie </w:t>
      </w:r>
      <w:r w:rsidR="00D632EA" w:rsidRPr="00A71F78">
        <w:rPr>
          <w:szCs w:val="26"/>
        </w:rPr>
        <w:t xml:space="preserve">Orlando </w:t>
      </w:r>
      <w:r w:rsidR="00671D1B" w:rsidRPr="00A71F78">
        <w:rPr>
          <w:szCs w:val="26"/>
        </w:rPr>
        <w:t xml:space="preserve">Mitchell and Louis </w:t>
      </w:r>
      <w:r w:rsidR="00D632EA" w:rsidRPr="00A71F78">
        <w:rPr>
          <w:szCs w:val="26"/>
        </w:rPr>
        <w:t xml:space="preserve">James </w:t>
      </w:r>
      <w:r w:rsidR="00671D1B" w:rsidRPr="00A71F78">
        <w:rPr>
          <w:szCs w:val="26"/>
        </w:rPr>
        <w:t xml:space="preserve">Mitchell (collectively, the Mitchells) </w:t>
      </w:r>
      <w:r w:rsidR="00803470" w:rsidRPr="00A71F78">
        <w:t>were sufficient to demonstrate that</w:t>
      </w:r>
      <w:r w:rsidR="00FB1DA1" w:rsidRPr="00A71F78">
        <w:t xml:space="preserve"> each</w:t>
      </w:r>
      <w:r w:rsidR="00FB1980" w:rsidRPr="00A71F78">
        <w:t xml:space="preserve"> </w:t>
      </w:r>
      <w:r w:rsidR="00FB1DA1" w:rsidRPr="00A71F78">
        <w:t>p</w:t>
      </w:r>
      <w:r w:rsidR="00803470" w:rsidRPr="00A71F78">
        <w:t>roximately caused the victim’s death</w:t>
      </w:r>
      <w:r w:rsidR="006F1983" w:rsidRPr="00A71F78">
        <w:t>, regardless of who actually shot the victim</w:t>
      </w:r>
      <w:r w:rsidR="00803470" w:rsidRPr="00A71F78">
        <w:t xml:space="preserve">. </w:t>
      </w:r>
      <w:r w:rsidR="00497F5F" w:rsidRPr="00A71F78">
        <w:t xml:space="preserve"> </w:t>
      </w:r>
      <w:r w:rsidR="0031562B" w:rsidRPr="00A71F78">
        <w:t xml:space="preserve"> </w:t>
      </w:r>
    </w:p>
    <w:bookmarkEnd w:id="4"/>
    <w:p w14:paraId="698D26E3" w14:textId="0DACDCFB" w:rsidR="00FD247F" w:rsidRPr="00A71F78" w:rsidRDefault="00FD247F" w:rsidP="00A31766">
      <w:pPr>
        <w:tabs>
          <w:tab w:val="left" w:pos="1440"/>
        </w:tabs>
        <w:ind w:firstLine="720"/>
      </w:pPr>
      <w:r w:rsidRPr="00A71F78">
        <w:t>For reasons that follow,</w:t>
      </w:r>
      <w:r w:rsidR="0088193B" w:rsidRPr="00A71F78">
        <w:t xml:space="preserve"> we agree with the Court of Appeal that, although neither of the Mitchells fired the fatal shot, the</w:t>
      </w:r>
      <w:r w:rsidR="007718D7" w:rsidRPr="00A71F78">
        <w:t>ir</w:t>
      </w:r>
      <w:r w:rsidR="0088193B" w:rsidRPr="00A71F78">
        <w:t xml:space="preserve"> life-threatening </w:t>
      </w:r>
      <w:r w:rsidR="00FD68D5">
        <w:t xml:space="preserve">deadly </w:t>
      </w:r>
      <w:r w:rsidR="0088193B" w:rsidRPr="00A71F78">
        <w:t xml:space="preserve">actions constituted proximate cause consistent with our holding in </w:t>
      </w:r>
      <w:r w:rsidR="0088193B" w:rsidRPr="00A71F78">
        <w:rPr>
          <w:i/>
          <w:iCs/>
        </w:rPr>
        <w:t>Sanchez</w:t>
      </w:r>
      <w:r w:rsidR="0088193B" w:rsidRPr="00A71F78">
        <w:t xml:space="preserve">, </w:t>
      </w:r>
      <w:r w:rsidR="0088193B" w:rsidRPr="00A71F78">
        <w:rPr>
          <w:i/>
          <w:iCs/>
        </w:rPr>
        <w:t>supra</w:t>
      </w:r>
      <w:r w:rsidR="0088193B" w:rsidRPr="00A71F78">
        <w:t>, 26 Cal.4th 834.  W</w:t>
      </w:r>
      <w:r w:rsidRPr="00A71F78">
        <w:t xml:space="preserve">e </w:t>
      </w:r>
      <w:r w:rsidR="007C103B" w:rsidRPr="00A71F78">
        <w:t>affirm the Court of Appeal’s judgment.</w:t>
      </w:r>
      <w:r w:rsidR="00497F5F" w:rsidRPr="00A71F78">
        <w:rPr>
          <w:rStyle w:val="FootnoteReference"/>
        </w:rPr>
        <w:footnoteReference w:id="2"/>
      </w:r>
      <w:r w:rsidR="007C103B" w:rsidRPr="00A71F78">
        <w:t xml:space="preserve"> </w:t>
      </w:r>
    </w:p>
    <w:p w14:paraId="6468FF27" w14:textId="12CA30B0" w:rsidR="00FD247F" w:rsidRPr="00A71F78" w:rsidRDefault="00FD247F" w:rsidP="00A31766">
      <w:pPr>
        <w:pStyle w:val="Heading1"/>
      </w:pPr>
      <w:r w:rsidRPr="00A71F78">
        <w:t>Factual and Procedural Background</w:t>
      </w:r>
    </w:p>
    <w:p w14:paraId="779CB09A" w14:textId="0513DBF5" w:rsidR="00CE07A5" w:rsidRPr="00A71F78" w:rsidRDefault="00CE07A5" w:rsidP="00A31766">
      <w:pPr>
        <w:rPr>
          <w:szCs w:val="26"/>
        </w:rPr>
      </w:pPr>
      <w:r w:rsidRPr="00A71F78">
        <w:rPr>
          <w:szCs w:val="26"/>
        </w:rPr>
        <w:tab/>
        <w:t xml:space="preserve">In the early afternoon of December 14, 2010, </w:t>
      </w:r>
      <w:r w:rsidR="0067596E" w:rsidRPr="00A71F78">
        <w:rPr>
          <w:szCs w:val="26"/>
        </w:rPr>
        <w:t>the Mitchells</w:t>
      </w:r>
      <w:r w:rsidRPr="00A71F78">
        <w:rPr>
          <w:szCs w:val="26"/>
        </w:rPr>
        <w:t xml:space="preserve"> </w:t>
      </w:r>
      <w:r w:rsidR="005832E0" w:rsidRPr="00A71F78">
        <w:rPr>
          <w:szCs w:val="26"/>
        </w:rPr>
        <w:t>entered</w:t>
      </w:r>
      <w:r w:rsidR="00C22862" w:rsidRPr="00A71F78">
        <w:rPr>
          <w:szCs w:val="26"/>
        </w:rPr>
        <w:t xml:space="preserve"> </w:t>
      </w:r>
      <w:r w:rsidRPr="00A71F78">
        <w:rPr>
          <w:szCs w:val="26"/>
        </w:rPr>
        <w:t xml:space="preserve">a South Sacramento </w:t>
      </w:r>
      <w:r w:rsidR="00002D13" w:rsidRPr="00A71F78">
        <w:rPr>
          <w:szCs w:val="26"/>
        </w:rPr>
        <w:t xml:space="preserve">barbershop </w:t>
      </w:r>
      <w:r w:rsidRPr="00A71F78">
        <w:rPr>
          <w:szCs w:val="26"/>
        </w:rPr>
        <w:t>frequented by members of the G-Mobb street gang.  The Mitchells</w:t>
      </w:r>
      <w:r w:rsidR="00C22862" w:rsidRPr="00A71F78">
        <w:rPr>
          <w:szCs w:val="26"/>
        </w:rPr>
        <w:t xml:space="preserve"> were not members of G-Mobb</w:t>
      </w:r>
      <w:r w:rsidRPr="00A71F78">
        <w:rPr>
          <w:szCs w:val="26"/>
        </w:rPr>
        <w:t xml:space="preserve"> and had a history of confrontation with </w:t>
      </w:r>
      <w:r w:rsidR="00C22862" w:rsidRPr="00A71F78">
        <w:rPr>
          <w:szCs w:val="26"/>
        </w:rPr>
        <w:t xml:space="preserve">several </w:t>
      </w:r>
      <w:r w:rsidRPr="00A71F78">
        <w:rPr>
          <w:szCs w:val="26"/>
        </w:rPr>
        <w:t xml:space="preserve">G-Mobb gang members.  Lonnie </w:t>
      </w:r>
      <w:r w:rsidR="007D617B" w:rsidRPr="00A71F78">
        <w:rPr>
          <w:szCs w:val="26"/>
        </w:rPr>
        <w:t xml:space="preserve">Mitchell </w:t>
      </w:r>
      <w:r w:rsidRPr="00A71F78">
        <w:rPr>
          <w:szCs w:val="26"/>
        </w:rPr>
        <w:t xml:space="preserve">entered the barbershop with a TEC-9 assault weapon hanging from a cord around his neck; the outline of </w:t>
      </w:r>
      <w:r w:rsidR="009F6E83" w:rsidRPr="00A71F78">
        <w:rPr>
          <w:szCs w:val="26"/>
        </w:rPr>
        <w:t xml:space="preserve">the </w:t>
      </w:r>
      <w:r w:rsidRPr="00A71F78">
        <w:rPr>
          <w:szCs w:val="26"/>
        </w:rPr>
        <w:t xml:space="preserve">weapon was visible under his hoodie.  </w:t>
      </w:r>
      <w:r w:rsidR="009530AF" w:rsidRPr="00A71F78">
        <w:rPr>
          <w:szCs w:val="26"/>
        </w:rPr>
        <w:t xml:space="preserve">He </w:t>
      </w:r>
      <w:r w:rsidRPr="00A71F78">
        <w:rPr>
          <w:szCs w:val="26"/>
        </w:rPr>
        <w:t xml:space="preserve">spoke on his cell phone while he paced back and forth inside the barbershop, explaining to his caller that he wanted to “shoot the place up.” </w:t>
      </w:r>
      <w:r w:rsidR="005B043D" w:rsidRPr="00A71F78">
        <w:rPr>
          <w:szCs w:val="26"/>
        </w:rPr>
        <w:t xml:space="preserve"> </w:t>
      </w:r>
      <w:r w:rsidR="007D617B" w:rsidRPr="00A71F78">
        <w:rPr>
          <w:szCs w:val="26"/>
        </w:rPr>
        <w:t xml:space="preserve">Witnesses reported that </w:t>
      </w:r>
      <w:r w:rsidRPr="00A71F78">
        <w:rPr>
          <w:szCs w:val="26"/>
        </w:rPr>
        <w:t>Louis</w:t>
      </w:r>
      <w:r w:rsidR="007D617B" w:rsidRPr="00A71F78">
        <w:rPr>
          <w:szCs w:val="26"/>
        </w:rPr>
        <w:t xml:space="preserve"> Mitchell, who appeared to be carrying a gun, </w:t>
      </w:r>
      <w:r w:rsidRPr="00A71F78">
        <w:rPr>
          <w:szCs w:val="26"/>
        </w:rPr>
        <w:t xml:space="preserve">put on a barbershop cape and sat in a chair, as if waiting for a haircut. </w:t>
      </w:r>
      <w:r w:rsidR="008333D9" w:rsidRPr="00A71F78">
        <w:rPr>
          <w:szCs w:val="26"/>
        </w:rPr>
        <w:t xml:space="preserve">  </w:t>
      </w:r>
    </w:p>
    <w:p w14:paraId="512FEE31" w14:textId="371F0789" w:rsidR="00CE07A5" w:rsidRPr="00A71F78" w:rsidRDefault="00CE07A5" w:rsidP="00A31766">
      <w:pPr>
        <w:rPr>
          <w:szCs w:val="26"/>
        </w:rPr>
      </w:pPr>
      <w:r w:rsidRPr="00A71F78">
        <w:rPr>
          <w:szCs w:val="26"/>
        </w:rPr>
        <w:tab/>
        <w:t>Larry Jones and Ernest S.</w:t>
      </w:r>
      <w:r w:rsidR="00BE0206">
        <w:rPr>
          <w:szCs w:val="26"/>
        </w:rPr>
        <w:t> </w:t>
      </w:r>
      <w:r w:rsidR="00791131" w:rsidRPr="00A71F78">
        <w:rPr>
          <w:szCs w:val="26"/>
        </w:rPr>
        <w:t xml:space="preserve">— friends of </w:t>
      </w:r>
      <w:r w:rsidR="00464D53" w:rsidRPr="00A71F78">
        <w:rPr>
          <w:szCs w:val="26"/>
        </w:rPr>
        <w:t xml:space="preserve">defendant </w:t>
      </w:r>
      <w:r w:rsidR="00791131" w:rsidRPr="00A71F78">
        <w:rPr>
          <w:szCs w:val="26"/>
        </w:rPr>
        <w:t>James</w:t>
      </w:r>
      <w:r w:rsidR="00464D53" w:rsidRPr="00A71F78">
        <w:rPr>
          <w:szCs w:val="26"/>
        </w:rPr>
        <w:t xml:space="preserve"> Leo</w:t>
      </w:r>
      <w:r w:rsidR="00791131" w:rsidRPr="00A71F78">
        <w:rPr>
          <w:szCs w:val="26"/>
        </w:rPr>
        <w:t xml:space="preserve"> Carney</w:t>
      </w:r>
      <w:r w:rsidR="00AB4124" w:rsidRPr="00A71F78">
        <w:rPr>
          <w:szCs w:val="26"/>
        </w:rPr>
        <w:t> </w:t>
      </w:r>
      <w:r w:rsidR="00791131" w:rsidRPr="00A71F78">
        <w:rPr>
          <w:szCs w:val="26"/>
        </w:rPr>
        <w:t xml:space="preserve">— </w:t>
      </w:r>
      <w:r w:rsidRPr="00A71F78">
        <w:rPr>
          <w:szCs w:val="26"/>
        </w:rPr>
        <w:t>were both inside the barbershop</w:t>
      </w:r>
      <w:r w:rsidR="002C3A18" w:rsidRPr="00A71F78">
        <w:rPr>
          <w:szCs w:val="26"/>
        </w:rPr>
        <w:t xml:space="preserve"> when the Mitchells entered</w:t>
      </w:r>
      <w:r w:rsidRPr="00A71F78">
        <w:rPr>
          <w:szCs w:val="26"/>
        </w:rPr>
        <w:t>.  Ernest was</w:t>
      </w:r>
      <w:r w:rsidR="002C3A18" w:rsidRPr="00A71F78">
        <w:rPr>
          <w:szCs w:val="26"/>
        </w:rPr>
        <w:t xml:space="preserve"> seated</w:t>
      </w:r>
      <w:r w:rsidRPr="00A71F78">
        <w:rPr>
          <w:szCs w:val="26"/>
        </w:rPr>
        <w:t xml:space="preserve"> in a barber’s chair wearing a cape while his son</w:t>
      </w:r>
      <w:r w:rsidR="009530AF" w:rsidRPr="00A71F78">
        <w:rPr>
          <w:szCs w:val="26"/>
        </w:rPr>
        <w:t>, who sat adjacent to him,</w:t>
      </w:r>
      <w:r w:rsidRPr="00A71F78">
        <w:rPr>
          <w:szCs w:val="26"/>
        </w:rPr>
        <w:t xml:space="preserve"> was getting </w:t>
      </w:r>
      <w:r w:rsidR="006D05F9" w:rsidRPr="00A71F78">
        <w:rPr>
          <w:szCs w:val="26"/>
        </w:rPr>
        <w:t>a haircut</w:t>
      </w:r>
      <w:r w:rsidRPr="00A71F78">
        <w:rPr>
          <w:szCs w:val="26"/>
        </w:rPr>
        <w:t xml:space="preserve">.  Concerned about </w:t>
      </w:r>
      <w:r w:rsidR="00477C27" w:rsidRPr="00A71F78">
        <w:rPr>
          <w:szCs w:val="26"/>
        </w:rPr>
        <w:t xml:space="preserve">the Mitchells’ </w:t>
      </w:r>
      <w:r w:rsidRPr="00A71F78">
        <w:rPr>
          <w:szCs w:val="26"/>
        </w:rPr>
        <w:t xml:space="preserve">hostile armed presence in the shop, Jones </w:t>
      </w:r>
      <w:r w:rsidR="009530AF" w:rsidRPr="00A71F78">
        <w:rPr>
          <w:szCs w:val="26"/>
        </w:rPr>
        <w:t>called</w:t>
      </w:r>
      <w:r w:rsidR="00217B26" w:rsidRPr="00A71F78">
        <w:rPr>
          <w:szCs w:val="26"/>
        </w:rPr>
        <w:t xml:space="preserve"> </w:t>
      </w:r>
      <w:r w:rsidRPr="00A71F78">
        <w:rPr>
          <w:szCs w:val="26"/>
        </w:rPr>
        <w:t xml:space="preserve">Carney and asked him to pick </w:t>
      </w:r>
      <w:r w:rsidR="009530AF" w:rsidRPr="00A71F78">
        <w:rPr>
          <w:szCs w:val="26"/>
        </w:rPr>
        <w:t xml:space="preserve">him </w:t>
      </w:r>
      <w:r w:rsidRPr="00A71F78">
        <w:rPr>
          <w:szCs w:val="26"/>
        </w:rPr>
        <w:t>up,</w:t>
      </w:r>
      <w:r w:rsidR="009530AF" w:rsidRPr="00A71F78">
        <w:rPr>
          <w:szCs w:val="26"/>
        </w:rPr>
        <w:t xml:space="preserve"> along with</w:t>
      </w:r>
      <w:r w:rsidRPr="00A71F78">
        <w:rPr>
          <w:szCs w:val="26"/>
        </w:rPr>
        <w:t xml:space="preserve"> Ernest and Ernest’s son.  Carney </w:t>
      </w:r>
      <w:r w:rsidR="009530AF" w:rsidRPr="00A71F78">
        <w:rPr>
          <w:szCs w:val="26"/>
        </w:rPr>
        <w:t>then called</w:t>
      </w:r>
      <w:r w:rsidRPr="00A71F78">
        <w:rPr>
          <w:szCs w:val="26"/>
        </w:rPr>
        <w:t xml:space="preserve"> Marvion Barksdale</w:t>
      </w:r>
      <w:r w:rsidR="00A76A00" w:rsidRPr="00A71F78">
        <w:rPr>
          <w:szCs w:val="26"/>
        </w:rPr>
        <w:t>.</w:t>
      </w:r>
      <w:r w:rsidR="00584921" w:rsidRPr="00A71F78">
        <w:rPr>
          <w:szCs w:val="26"/>
        </w:rPr>
        <w:t xml:space="preserve">  </w:t>
      </w:r>
      <w:r w:rsidRPr="00A71F78">
        <w:rPr>
          <w:szCs w:val="26"/>
        </w:rPr>
        <w:t xml:space="preserve">Lonnie </w:t>
      </w:r>
      <w:r w:rsidR="007D617B" w:rsidRPr="00A71F78">
        <w:rPr>
          <w:szCs w:val="26"/>
        </w:rPr>
        <w:t xml:space="preserve">Mitchell </w:t>
      </w:r>
      <w:r w:rsidRPr="00A71F78">
        <w:rPr>
          <w:szCs w:val="26"/>
        </w:rPr>
        <w:t xml:space="preserve">had recently threatened to kill </w:t>
      </w:r>
      <w:r w:rsidR="009530AF" w:rsidRPr="00A71F78">
        <w:rPr>
          <w:szCs w:val="26"/>
        </w:rPr>
        <w:t xml:space="preserve">Barksdale </w:t>
      </w:r>
      <w:r w:rsidRPr="00A71F78">
        <w:rPr>
          <w:szCs w:val="26"/>
        </w:rPr>
        <w:t xml:space="preserve">over a dispute involving a robbery. </w:t>
      </w:r>
    </w:p>
    <w:p w14:paraId="36D1BD85" w14:textId="140E5F5C" w:rsidR="00CE07A5" w:rsidRPr="00A71F78" w:rsidRDefault="007D617B" w:rsidP="00A31766">
      <w:pPr>
        <w:rPr>
          <w:szCs w:val="26"/>
        </w:rPr>
      </w:pPr>
      <w:r w:rsidRPr="00A71F78">
        <w:rPr>
          <w:szCs w:val="26"/>
        </w:rPr>
        <w:tab/>
        <w:t xml:space="preserve">Armed with a revolver, </w:t>
      </w:r>
      <w:r w:rsidR="00CE07A5" w:rsidRPr="00A71F78">
        <w:rPr>
          <w:szCs w:val="26"/>
        </w:rPr>
        <w:t>Carney</w:t>
      </w:r>
      <w:r w:rsidRPr="00A71F78">
        <w:rPr>
          <w:szCs w:val="26"/>
        </w:rPr>
        <w:t xml:space="preserve"> drove to the barbershop</w:t>
      </w:r>
      <w:r w:rsidR="00CE07A5" w:rsidRPr="00A71F78">
        <w:rPr>
          <w:szCs w:val="26"/>
        </w:rPr>
        <w:t xml:space="preserve">.  </w:t>
      </w:r>
      <w:r w:rsidR="00A76A00" w:rsidRPr="00A71F78">
        <w:rPr>
          <w:szCs w:val="26"/>
        </w:rPr>
        <w:t>When he arrived, h</w:t>
      </w:r>
      <w:r w:rsidR="00CE07A5" w:rsidRPr="00A71F78">
        <w:rPr>
          <w:szCs w:val="26"/>
        </w:rPr>
        <w:t xml:space="preserve">e parked across the street </w:t>
      </w:r>
      <w:r w:rsidR="00A76A00" w:rsidRPr="00A71F78">
        <w:rPr>
          <w:szCs w:val="26"/>
        </w:rPr>
        <w:t xml:space="preserve">from the barbershop </w:t>
      </w:r>
      <w:r w:rsidR="00CE07A5" w:rsidRPr="00A71F78">
        <w:rPr>
          <w:szCs w:val="26"/>
        </w:rPr>
        <w:t xml:space="preserve">and stood outside his car.  Ernest quickly left the shop with his son and </w:t>
      </w:r>
      <w:r w:rsidR="00A76A00" w:rsidRPr="00A71F78">
        <w:rPr>
          <w:szCs w:val="26"/>
        </w:rPr>
        <w:t xml:space="preserve">placed </w:t>
      </w:r>
      <w:r w:rsidR="00DE6D56" w:rsidRPr="00A71F78">
        <w:rPr>
          <w:szCs w:val="26"/>
        </w:rPr>
        <w:t>him</w:t>
      </w:r>
      <w:r w:rsidR="00CE07A5" w:rsidRPr="00A71F78">
        <w:rPr>
          <w:szCs w:val="26"/>
        </w:rPr>
        <w:t xml:space="preserve"> in Carney’s car.  </w:t>
      </w:r>
    </w:p>
    <w:p w14:paraId="27606A7D" w14:textId="59002A72" w:rsidR="00CE07A5" w:rsidRPr="00A71F78" w:rsidRDefault="00CE07A5" w:rsidP="00A31766">
      <w:pPr>
        <w:rPr>
          <w:szCs w:val="26"/>
        </w:rPr>
      </w:pPr>
      <w:r w:rsidRPr="00A71F78">
        <w:rPr>
          <w:szCs w:val="26"/>
        </w:rPr>
        <w:tab/>
        <w:t>Barksdale also drove to the barbershop</w:t>
      </w:r>
      <w:r w:rsidR="00DE6D56" w:rsidRPr="00A71F78">
        <w:rPr>
          <w:szCs w:val="26"/>
        </w:rPr>
        <w:t xml:space="preserve"> with several passengers including </w:t>
      </w:r>
      <w:r w:rsidRPr="00A71F78">
        <w:rPr>
          <w:szCs w:val="26"/>
        </w:rPr>
        <w:t>Dominique Marcell Lott</w:t>
      </w:r>
      <w:r w:rsidR="00E7227A" w:rsidRPr="00A71F78">
        <w:rPr>
          <w:szCs w:val="26"/>
        </w:rPr>
        <w:t xml:space="preserve">. </w:t>
      </w:r>
      <w:r w:rsidRPr="00A71F78">
        <w:rPr>
          <w:szCs w:val="26"/>
        </w:rPr>
        <w:t xml:space="preserve"> </w:t>
      </w:r>
      <w:r w:rsidR="00DE6D56" w:rsidRPr="00A71F78">
        <w:rPr>
          <w:szCs w:val="26"/>
        </w:rPr>
        <w:t xml:space="preserve">When they arrived, </w:t>
      </w:r>
      <w:r w:rsidR="00671D1B" w:rsidRPr="00A71F78">
        <w:rPr>
          <w:szCs w:val="26"/>
        </w:rPr>
        <w:t xml:space="preserve">Barksdale </w:t>
      </w:r>
      <w:r w:rsidRPr="00A71F78">
        <w:rPr>
          <w:szCs w:val="26"/>
        </w:rPr>
        <w:t>and Lott exited the vehicle</w:t>
      </w:r>
      <w:r w:rsidR="00671D1B" w:rsidRPr="00A71F78">
        <w:rPr>
          <w:szCs w:val="26"/>
        </w:rPr>
        <w:t xml:space="preserve">, and </w:t>
      </w:r>
      <w:r w:rsidRPr="00A71F78">
        <w:rPr>
          <w:szCs w:val="26"/>
        </w:rPr>
        <w:t>armed with guns</w:t>
      </w:r>
      <w:r w:rsidR="00671D1B" w:rsidRPr="00A71F78">
        <w:rPr>
          <w:szCs w:val="26"/>
        </w:rPr>
        <w:t xml:space="preserve">, </w:t>
      </w:r>
      <w:r w:rsidR="00DE6D56" w:rsidRPr="00A71F78">
        <w:rPr>
          <w:szCs w:val="26"/>
        </w:rPr>
        <w:t>began walking</w:t>
      </w:r>
      <w:r w:rsidR="00135F38" w:rsidRPr="00A71F78">
        <w:rPr>
          <w:szCs w:val="26"/>
        </w:rPr>
        <w:t xml:space="preserve"> </w:t>
      </w:r>
      <w:r w:rsidRPr="00A71F78">
        <w:rPr>
          <w:szCs w:val="26"/>
        </w:rPr>
        <w:t xml:space="preserve">toward the barbershop.  </w:t>
      </w:r>
      <w:r w:rsidR="00602F2D" w:rsidRPr="00A71F78">
        <w:rPr>
          <w:szCs w:val="26"/>
        </w:rPr>
        <w:t xml:space="preserve">The Mitchells </w:t>
      </w:r>
      <w:r w:rsidRPr="00A71F78">
        <w:rPr>
          <w:szCs w:val="26"/>
        </w:rPr>
        <w:t>were standing outside the shop.  Gunfire erupted.  Louis</w:t>
      </w:r>
      <w:r w:rsidR="007F1BE8" w:rsidRPr="00A71F78">
        <w:rPr>
          <w:szCs w:val="26"/>
        </w:rPr>
        <w:t xml:space="preserve"> Mitchell</w:t>
      </w:r>
      <w:r w:rsidR="00171BB1" w:rsidRPr="00A71F78">
        <w:rPr>
          <w:szCs w:val="26"/>
        </w:rPr>
        <w:t>,</w:t>
      </w:r>
      <w:r w:rsidRPr="00A71F78">
        <w:rPr>
          <w:szCs w:val="26"/>
        </w:rPr>
        <w:t xml:space="preserve"> who was still wearing the barber’s cape, fired shots towards Carney and Ernest.  Lonnie</w:t>
      </w:r>
      <w:r w:rsidR="007F1BE8" w:rsidRPr="00A71F78">
        <w:rPr>
          <w:szCs w:val="26"/>
        </w:rPr>
        <w:t xml:space="preserve"> Mitchell</w:t>
      </w:r>
      <w:r w:rsidRPr="00A71F78">
        <w:rPr>
          <w:szCs w:val="26"/>
        </w:rPr>
        <w:t xml:space="preserve"> fired the </w:t>
      </w:r>
      <w:r w:rsidR="00EB372E" w:rsidRPr="00A71F78">
        <w:rPr>
          <w:szCs w:val="26"/>
        </w:rPr>
        <w:t xml:space="preserve">assault weapon </w:t>
      </w:r>
      <w:r w:rsidR="006678A7">
        <w:rPr>
          <w:szCs w:val="26"/>
        </w:rPr>
        <w:t>wildly,</w:t>
      </w:r>
      <w:r w:rsidR="006F1983" w:rsidRPr="00A71F78">
        <w:rPr>
          <w:szCs w:val="26"/>
        </w:rPr>
        <w:t xml:space="preserve"> according to one witness.</w:t>
      </w:r>
      <w:r w:rsidRPr="00A71F78">
        <w:rPr>
          <w:szCs w:val="26"/>
        </w:rPr>
        <w:t xml:space="preserve"> </w:t>
      </w:r>
      <w:r w:rsidR="00C769D3" w:rsidRPr="00A71F78">
        <w:rPr>
          <w:szCs w:val="26"/>
        </w:rPr>
        <w:t xml:space="preserve"> </w:t>
      </w:r>
      <w:r w:rsidRPr="00A71F78">
        <w:rPr>
          <w:szCs w:val="26"/>
        </w:rPr>
        <w:t xml:space="preserve">Barksdale and Lott </w:t>
      </w:r>
      <w:r w:rsidR="00426AAB" w:rsidRPr="00A71F78">
        <w:rPr>
          <w:szCs w:val="26"/>
        </w:rPr>
        <w:t>were both shot</w:t>
      </w:r>
      <w:r w:rsidR="00FA6C99" w:rsidRPr="00A71F78">
        <w:rPr>
          <w:szCs w:val="26"/>
        </w:rPr>
        <w:t>; Barksdale later died</w:t>
      </w:r>
      <w:r w:rsidR="009C3330" w:rsidRPr="00A71F78">
        <w:rPr>
          <w:szCs w:val="26"/>
        </w:rPr>
        <w:t>.  T</w:t>
      </w:r>
      <w:r w:rsidR="00426AAB" w:rsidRPr="00A71F78">
        <w:rPr>
          <w:szCs w:val="26"/>
        </w:rPr>
        <w:t xml:space="preserve">he evidence </w:t>
      </w:r>
      <w:r w:rsidR="009C3330" w:rsidRPr="00A71F78">
        <w:rPr>
          <w:szCs w:val="26"/>
        </w:rPr>
        <w:t>was inconclusive as to who</w:t>
      </w:r>
      <w:r w:rsidR="00844653" w:rsidRPr="00A71F78">
        <w:rPr>
          <w:szCs w:val="26"/>
        </w:rPr>
        <w:t xml:space="preserve"> </w:t>
      </w:r>
      <w:r w:rsidR="009C3330" w:rsidRPr="00A71F78">
        <w:rPr>
          <w:szCs w:val="26"/>
        </w:rPr>
        <w:t xml:space="preserve">fired the first shots. </w:t>
      </w:r>
    </w:p>
    <w:p w14:paraId="38E208B7" w14:textId="77FAD528" w:rsidR="00CE07A5" w:rsidRPr="00A71F78" w:rsidRDefault="00CE07A5" w:rsidP="00A31766">
      <w:pPr>
        <w:rPr>
          <w:szCs w:val="26"/>
        </w:rPr>
      </w:pPr>
      <w:r w:rsidRPr="00A71F78">
        <w:rPr>
          <w:szCs w:val="26"/>
        </w:rPr>
        <w:tab/>
      </w:r>
      <w:r w:rsidR="00DE6D56" w:rsidRPr="00A71F78">
        <w:rPr>
          <w:szCs w:val="26"/>
        </w:rPr>
        <w:t>During the exchange of gunfire, a shot</w:t>
      </w:r>
      <w:r w:rsidRPr="00A71F78">
        <w:rPr>
          <w:szCs w:val="26"/>
        </w:rPr>
        <w:t xml:space="preserve"> fired by Carney struck and killed a</w:t>
      </w:r>
      <w:r w:rsidR="00C855F2" w:rsidRPr="00A71F78">
        <w:rPr>
          <w:szCs w:val="26"/>
        </w:rPr>
        <w:t xml:space="preserve"> </w:t>
      </w:r>
      <w:r w:rsidRPr="00A71F78">
        <w:rPr>
          <w:szCs w:val="26"/>
        </w:rPr>
        <w:t>bystander, Monique N.</w:t>
      </w:r>
      <w:r w:rsidR="00844653" w:rsidRPr="00A71F78">
        <w:rPr>
          <w:szCs w:val="26"/>
        </w:rPr>
        <w:t>, as she stood at the open rear door of her SUV</w:t>
      </w:r>
      <w:r w:rsidR="00C855F2" w:rsidRPr="00A71F78">
        <w:rPr>
          <w:szCs w:val="26"/>
        </w:rPr>
        <w:t xml:space="preserve"> </w:t>
      </w:r>
      <w:r w:rsidR="00844653" w:rsidRPr="00A71F78">
        <w:rPr>
          <w:szCs w:val="26"/>
        </w:rPr>
        <w:t>shield</w:t>
      </w:r>
      <w:r w:rsidR="00C855F2" w:rsidRPr="00A71F78">
        <w:rPr>
          <w:szCs w:val="26"/>
        </w:rPr>
        <w:t>ing</w:t>
      </w:r>
      <w:r w:rsidR="00844653" w:rsidRPr="00A71F78">
        <w:rPr>
          <w:szCs w:val="26"/>
        </w:rPr>
        <w:t xml:space="preserve"> her two-year-old son</w:t>
      </w:r>
      <w:r w:rsidR="0015472A" w:rsidRPr="00A71F78">
        <w:rPr>
          <w:szCs w:val="26"/>
        </w:rPr>
        <w:t>.</w:t>
      </w:r>
      <w:r w:rsidRPr="00A71F78">
        <w:rPr>
          <w:szCs w:val="26"/>
        </w:rPr>
        <w:t xml:space="preserve"> </w:t>
      </w:r>
      <w:r w:rsidR="00CB7640" w:rsidRPr="00A71F78">
        <w:rPr>
          <w:szCs w:val="26"/>
        </w:rPr>
        <w:t xml:space="preserve"> </w:t>
      </w:r>
      <w:r w:rsidRPr="00A71F78">
        <w:rPr>
          <w:szCs w:val="26"/>
        </w:rPr>
        <w:t xml:space="preserve">Monique and her son had just posed for Christmas photos at a studio next door to the barbershop.  </w:t>
      </w:r>
      <w:r w:rsidR="005F6A64" w:rsidRPr="00A71F78">
        <w:rPr>
          <w:szCs w:val="26"/>
        </w:rPr>
        <w:t xml:space="preserve">She </w:t>
      </w:r>
      <w:r w:rsidRPr="00A71F78">
        <w:rPr>
          <w:szCs w:val="26"/>
        </w:rPr>
        <w:t xml:space="preserve">was pronounced dead at the scene. </w:t>
      </w:r>
      <w:r w:rsidR="00352FC0" w:rsidRPr="00A71F78">
        <w:rPr>
          <w:szCs w:val="26"/>
        </w:rPr>
        <w:t xml:space="preserve"> </w:t>
      </w:r>
    </w:p>
    <w:p w14:paraId="52751D03" w14:textId="0BD468BA" w:rsidR="00CE07A5" w:rsidRPr="00A71F78" w:rsidRDefault="00CE07A5" w:rsidP="00A31766">
      <w:pPr>
        <w:rPr>
          <w:szCs w:val="26"/>
        </w:rPr>
      </w:pPr>
      <w:r w:rsidRPr="00A71F78">
        <w:rPr>
          <w:szCs w:val="26"/>
        </w:rPr>
        <w:tab/>
        <w:t>Before fleeing the scene</w:t>
      </w:r>
      <w:r w:rsidR="009C3330" w:rsidRPr="00A71F78">
        <w:rPr>
          <w:szCs w:val="26"/>
        </w:rPr>
        <w:t xml:space="preserve"> in </w:t>
      </w:r>
      <w:r w:rsidR="001C246B" w:rsidRPr="00A71F78">
        <w:rPr>
          <w:szCs w:val="26"/>
        </w:rPr>
        <w:t xml:space="preserve">a </w:t>
      </w:r>
      <w:r w:rsidR="009C3330" w:rsidRPr="00A71F78">
        <w:rPr>
          <w:szCs w:val="26"/>
        </w:rPr>
        <w:t>waiting car</w:t>
      </w:r>
      <w:r w:rsidRPr="00A71F78">
        <w:rPr>
          <w:szCs w:val="26"/>
        </w:rPr>
        <w:t xml:space="preserve">, </w:t>
      </w:r>
      <w:r w:rsidR="00477C27" w:rsidRPr="00A71F78">
        <w:rPr>
          <w:szCs w:val="26"/>
        </w:rPr>
        <w:t xml:space="preserve">the Mitchells </w:t>
      </w:r>
      <w:r w:rsidRPr="00A71F78">
        <w:rPr>
          <w:szCs w:val="26"/>
        </w:rPr>
        <w:t xml:space="preserve">fired </w:t>
      </w:r>
      <w:r w:rsidR="00DE6D56" w:rsidRPr="00A71F78">
        <w:rPr>
          <w:szCs w:val="26"/>
        </w:rPr>
        <w:t xml:space="preserve">several more shots </w:t>
      </w:r>
      <w:r w:rsidR="009C3330" w:rsidRPr="00A71F78">
        <w:rPr>
          <w:szCs w:val="26"/>
        </w:rPr>
        <w:t>from</w:t>
      </w:r>
      <w:r w:rsidR="00401872" w:rsidRPr="00A71F78">
        <w:rPr>
          <w:szCs w:val="26"/>
        </w:rPr>
        <w:t xml:space="preserve"> </w:t>
      </w:r>
      <w:r w:rsidR="00DE3CE0" w:rsidRPr="00A71F78">
        <w:rPr>
          <w:szCs w:val="26"/>
        </w:rPr>
        <w:t xml:space="preserve">the front of </w:t>
      </w:r>
      <w:r w:rsidRPr="00A71F78">
        <w:rPr>
          <w:szCs w:val="26"/>
        </w:rPr>
        <w:t>the barbershop</w:t>
      </w:r>
      <w:r w:rsidR="00401872" w:rsidRPr="00A71F78">
        <w:rPr>
          <w:szCs w:val="26"/>
        </w:rPr>
        <w:t>,</w:t>
      </w:r>
      <w:r w:rsidR="00791131" w:rsidRPr="00A71F78">
        <w:rPr>
          <w:szCs w:val="26"/>
        </w:rPr>
        <w:t xml:space="preserve"> hitting and</w:t>
      </w:r>
      <w:r w:rsidR="00401872" w:rsidRPr="00A71F78">
        <w:rPr>
          <w:szCs w:val="26"/>
        </w:rPr>
        <w:t xml:space="preserve"> injuring </w:t>
      </w:r>
      <w:r w:rsidRPr="00A71F78">
        <w:rPr>
          <w:szCs w:val="26"/>
        </w:rPr>
        <w:t xml:space="preserve">four </w:t>
      </w:r>
      <w:r w:rsidR="00477C27" w:rsidRPr="00A71F78">
        <w:rPr>
          <w:szCs w:val="26"/>
        </w:rPr>
        <w:t xml:space="preserve">other </w:t>
      </w:r>
      <w:r w:rsidR="00791131" w:rsidRPr="00A71F78">
        <w:rPr>
          <w:szCs w:val="26"/>
        </w:rPr>
        <w:t>bystanders</w:t>
      </w:r>
      <w:r w:rsidR="00217B26" w:rsidRPr="00A71F78">
        <w:rPr>
          <w:szCs w:val="26"/>
        </w:rPr>
        <w:t xml:space="preserve"> inside the shop</w:t>
      </w:r>
      <w:r w:rsidR="00111B10" w:rsidRPr="00A71F78">
        <w:rPr>
          <w:szCs w:val="26"/>
        </w:rPr>
        <w:t xml:space="preserve"> (John E., Adam W., Joshua B., Gralin M.)</w:t>
      </w:r>
      <w:r w:rsidR="00791131" w:rsidRPr="00A71F78">
        <w:rPr>
          <w:szCs w:val="26"/>
        </w:rPr>
        <w:t>.</w:t>
      </w:r>
      <w:r w:rsidRPr="00A71F78">
        <w:rPr>
          <w:szCs w:val="26"/>
        </w:rPr>
        <w:t xml:space="preserve"> </w:t>
      </w:r>
      <w:r w:rsidR="003F4C66" w:rsidRPr="00A71F78">
        <w:rPr>
          <w:szCs w:val="26"/>
        </w:rPr>
        <w:t xml:space="preserve"> </w:t>
      </w:r>
      <w:r w:rsidRPr="00A71F78">
        <w:rPr>
          <w:szCs w:val="26"/>
        </w:rPr>
        <w:t>Jones</w:t>
      </w:r>
      <w:r w:rsidR="00CB7640" w:rsidRPr="00A71F78">
        <w:rPr>
          <w:szCs w:val="26"/>
        </w:rPr>
        <w:t xml:space="preserve"> who was still in the barbersh</w:t>
      </w:r>
      <w:r w:rsidR="0044078C" w:rsidRPr="00A71F78">
        <w:rPr>
          <w:szCs w:val="26"/>
        </w:rPr>
        <w:t>o</w:t>
      </w:r>
      <w:r w:rsidR="00CB7640" w:rsidRPr="00A71F78">
        <w:rPr>
          <w:szCs w:val="26"/>
        </w:rPr>
        <w:t xml:space="preserve">p, </w:t>
      </w:r>
      <w:r w:rsidRPr="00A71F78">
        <w:rPr>
          <w:szCs w:val="26"/>
        </w:rPr>
        <w:t xml:space="preserve">fled out the back while firing </w:t>
      </w:r>
      <w:r w:rsidR="00CB7640" w:rsidRPr="00A71F78">
        <w:rPr>
          <w:szCs w:val="26"/>
        </w:rPr>
        <w:t xml:space="preserve">his handgun </w:t>
      </w:r>
      <w:r w:rsidRPr="00A71F78">
        <w:rPr>
          <w:szCs w:val="26"/>
        </w:rPr>
        <w:t xml:space="preserve">at </w:t>
      </w:r>
      <w:r w:rsidR="000336E9" w:rsidRPr="00A71F78">
        <w:rPr>
          <w:szCs w:val="26"/>
        </w:rPr>
        <w:t>the Mitchells</w:t>
      </w:r>
      <w:r w:rsidRPr="00A71F78">
        <w:rPr>
          <w:szCs w:val="26"/>
        </w:rPr>
        <w:t xml:space="preserve">.  </w:t>
      </w:r>
      <w:r w:rsidR="00CB7640" w:rsidRPr="00A71F78">
        <w:rPr>
          <w:szCs w:val="26"/>
        </w:rPr>
        <w:t xml:space="preserve">Jones </w:t>
      </w:r>
      <w:r w:rsidR="00844653" w:rsidRPr="00A71F78">
        <w:rPr>
          <w:szCs w:val="26"/>
        </w:rPr>
        <w:t>escaped without injury</w:t>
      </w:r>
      <w:r w:rsidR="00CB7640" w:rsidRPr="00A71F78">
        <w:rPr>
          <w:szCs w:val="26"/>
        </w:rPr>
        <w:t>.</w:t>
      </w:r>
      <w:r w:rsidRPr="00A71F78">
        <w:rPr>
          <w:szCs w:val="26"/>
        </w:rPr>
        <w:t xml:space="preserve"> </w:t>
      </w:r>
    </w:p>
    <w:p w14:paraId="4776DA1A" w14:textId="098DEE7E" w:rsidR="005C6310" w:rsidRPr="00A71F78" w:rsidRDefault="000324B7" w:rsidP="00A31766">
      <w:pPr>
        <w:tabs>
          <w:tab w:val="left" w:pos="1440"/>
        </w:tabs>
        <w:ind w:firstLine="720"/>
        <w:rPr>
          <w:szCs w:val="26"/>
        </w:rPr>
      </w:pPr>
      <w:r w:rsidRPr="00A71F78">
        <w:rPr>
          <w:szCs w:val="26"/>
        </w:rPr>
        <w:t xml:space="preserve">As relevant here, the </w:t>
      </w:r>
      <w:r w:rsidR="00CE07A5" w:rsidRPr="00A71F78">
        <w:rPr>
          <w:szCs w:val="26"/>
        </w:rPr>
        <w:t xml:space="preserve">Sacramento County District Attorney filed an information </w:t>
      </w:r>
      <w:r w:rsidR="00D136C8" w:rsidRPr="00A71F78">
        <w:rPr>
          <w:szCs w:val="26"/>
        </w:rPr>
        <w:t xml:space="preserve">charging </w:t>
      </w:r>
      <w:r w:rsidR="00844653" w:rsidRPr="00A71F78">
        <w:rPr>
          <w:szCs w:val="26"/>
        </w:rPr>
        <w:t xml:space="preserve">the Mitchells, </w:t>
      </w:r>
      <w:r w:rsidR="00CE07A5" w:rsidRPr="00A71F78">
        <w:rPr>
          <w:szCs w:val="26"/>
        </w:rPr>
        <w:t xml:space="preserve">Carney, </w:t>
      </w:r>
      <w:r w:rsidR="00844653" w:rsidRPr="00A71F78">
        <w:rPr>
          <w:szCs w:val="26"/>
        </w:rPr>
        <w:t xml:space="preserve">and </w:t>
      </w:r>
      <w:r w:rsidR="00CE07A5" w:rsidRPr="00A71F78">
        <w:rPr>
          <w:szCs w:val="26"/>
        </w:rPr>
        <w:t>Jones with</w:t>
      </w:r>
      <w:r w:rsidR="00533CF0" w:rsidRPr="00A71F78">
        <w:rPr>
          <w:szCs w:val="26"/>
        </w:rPr>
        <w:t xml:space="preserve"> </w:t>
      </w:r>
      <w:r w:rsidR="00CE07A5" w:rsidRPr="00A71F78">
        <w:rPr>
          <w:szCs w:val="26"/>
        </w:rPr>
        <w:t>murder (Pen. Code,</w:t>
      </w:r>
      <w:r w:rsidR="003B25BD" w:rsidRPr="00A71F78">
        <w:rPr>
          <w:rStyle w:val="FootnoteReference"/>
        </w:rPr>
        <w:footnoteReference w:id="3"/>
      </w:r>
      <w:r w:rsidR="00CE07A5" w:rsidRPr="00A71F78">
        <w:rPr>
          <w:szCs w:val="26"/>
        </w:rPr>
        <w:t xml:space="preserve"> § 187, subd. (a)) for the death of Monique</w:t>
      </w:r>
      <w:r w:rsidRPr="00A71F78">
        <w:rPr>
          <w:szCs w:val="26"/>
        </w:rPr>
        <w:t xml:space="preserve">, and </w:t>
      </w:r>
      <w:r w:rsidR="006E63E9" w:rsidRPr="00A71F78">
        <w:rPr>
          <w:szCs w:val="26"/>
        </w:rPr>
        <w:t xml:space="preserve">with </w:t>
      </w:r>
      <w:r w:rsidR="00A2191E" w:rsidRPr="00A71F78">
        <w:rPr>
          <w:szCs w:val="26"/>
        </w:rPr>
        <w:t xml:space="preserve">four counts of </w:t>
      </w:r>
      <w:r w:rsidRPr="00A71F78">
        <w:rPr>
          <w:szCs w:val="26"/>
        </w:rPr>
        <w:t xml:space="preserve">assault with a firearm (§ 245, subd. (a)(2)) </w:t>
      </w:r>
      <w:r w:rsidR="00A2191E" w:rsidRPr="00A71F78">
        <w:rPr>
          <w:szCs w:val="26"/>
        </w:rPr>
        <w:t>for</w:t>
      </w:r>
      <w:r w:rsidRPr="00A71F78">
        <w:rPr>
          <w:szCs w:val="26"/>
        </w:rPr>
        <w:t xml:space="preserve"> the four </w:t>
      </w:r>
      <w:r w:rsidR="00056054" w:rsidRPr="00A71F78">
        <w:rPr>
          <w:szCs w:val="26"/>
        </w:rPr>
        <w:t xml:space="preserve">injured </w:t>
      </w:r>
      <w:r w:rsidRPr="00A71F78">
        <w:rPr>
          <w:szCs w:val="26"/>
        </w:rPr>
        <w:t>victims in the barbershop</w:t>
      </w:r>
      <w:r w:rsidR="00CE07A5" w:rsidRPr="00A71F78">
        <w:rPr>
          <w:szCs w:val="26"/>
        </w:rPr>
        <w:t xml:space="preserve">. </w:t>
      </w:r>
      <w:r w:rsidR="00B82CF5" w:rsidRPr="00A71F78">
        <w:rPr>
          <w:szCs w:val="26"/>
        </w:rPr>
        <w:t xml:space="preserve"> </w:t>
      </w:r>
      <w:r w:rsidR="008150E1" w:rsidRPr="00A71F78">
        <w:rPr>
          <w:szCs w:val="26"/>
        </w:rPr>
        <w:t xml:space="preserve">The information further alleged that Carney and Jones committed the murder for the benefit of a criminal street gang.  (§ 186.22, subd. (b)(1).)  </w:t>
      </w:r>
      <w:r w:rsidR="005C6310" w:rsidRPr="00A71F78">
        <w:rPr>
          <w:szCs w:val="26"/>
        </w:rPr>
        <w:t xml:space="preserve">Before trial, Lott pleaded guilty to voluntary manslaughter and was sentenced to 21 years in prison.  </w:t>
      </w:r>
    </w:p>
    <w:p w14:paraId="560DF753" w14:textId="51C88C8B" w:rsidR="00F659AA" w:rsidRPr="00A71F78" w:rsidRDefault="00CE07A5" w:rsidP="00A31766">
      <w:pPr>
        <w:tabs>
          <w:tab w:val="left" w:pos="1440"/>
        </w:tabs>
        <w:ind w:firstLine="720"/>
        <w:rPr>
          <w:szCs w:val="26"/>
        </w:rPr>
      </w:pPr>
      <w:r w:rsidRPr="00A71F78">
        <w:rPr>
          <w:szCs w:val="26"/>
        </w:rPr>
        <w:t xml:space="preserve">At trial, all four defendants asserted they had acted in self-defense — i.e., that </w:t>
      </w:r>
      <w:r w:rsidR="002E2762" w:rsidRPr="00A71F78">
        <w:rPr>
          <w:szCs w:val="26"/>
        </w:rPr>
        <w:t xml:space="preserve">participants on </w:t>
      </w:r>
      <w:r w:rsidRPr="00A71F78">
        <w:rPr>
          <w:szCs w:val="26"/>
        </w:rPr>
        <w:t>the other side were the aggressors</w:t>
      </w:r>
      <w:r w:rsidR="00251EAD" w:rsidRPr="00A71F78">
        <w:rPr>
          <w:szCs w:val="26"/>
        </w:rPr>
        <w:t xml:space="preserve"> who shot first</w:t>
      </w:r>
      <w:r w:rsidRPr="00A71F78">
        <w:rPr>
          <w:szCs w:val="26"/>
        </w:rPr>
        <w:t xml:space="preserve">. </w:t>
      </w:r>
      <w:r w:rsidR="0049200B" w:rsidRPr="00A71F78">
        <w:rPr>
          <w:szCs w:val="26"/>
        </w:rPr>
        <w:t xml:space="preserve"> </w:t>
      </w:r>
      <w:r w:rsidR="00135F38" w:rsidRPr="00A71F78">
        <w:rPr>
          <w:szCs w:val="26"/>
        </w:rPr>
        <w:t xml:space="preserve">When the </w:t>
      </w:r>
      <w:r w:rsidR="00CB7640" w:rsidRPr="00A71F78">
        <w:rPr>
          <w:szCs w:val="26"/>
        </w:rPr>
        <w:t>evidentiary portion of the trial</w:t>
      </w:r>
      <w:r w:rsidR="00135F38" w:rsidRPr="00A71F78">
        <w:rPr>
          <w:szCs w:val="26"/>
        </w:rPr>
        <w:t xml:space="preserve"> concluded</w:t>
      </w:r>
      <w:r w:rsidR="004E49E5" w:rsidRPr="00A71F78">
        <w:rPr>
          <w:szCs w:val="26"/>
        </w:rPr>
        <w:t xml:space="preserve">, </w:t>
      </w:r>
      <w:r w:rsidR="00937FED" w:rsidRPr="00A71F78">
        <w:rPr>
          <w:szCs w:val="26"/>
        </w:rPr>
        <w:t xml:space="preserve">the trial court </w:t>
      </w:r>
      <w:r w:rsidR="008856EB" w:rsidRPr="00A71F78">
        <w:rPr>
          <w:szCs w:val="26"/>
        </w:rPr>
        <w:t>instructed that “[a] defendant is guilty of first degree murder if the People have proved that he acted willfully, deliberately</w:t>
      </w:r>
      <w:r w:rsidR="0046363D" w:rsidRPr="00A71F78">
        <w:rPr>
          <w:szCs w:val="26"/>
        </w:rPr>
        <w:t>,</w:t>
      </w:r>
      <w:r w:rsidR="008856EB" w:rsidRPr="00A71F78">
        <w:rPr>
          <w:szCs w:val="26"/>
        </w:rPr>
        <w:t xml:space="preserve"> and with premeditation.</w:t>
      </w:r>
      <w:r w:rsidR="000A6B0D">
        <w:rPr>
          <w:szCs w:val="26"/>
        </w:rPr>
        <w:t xml:space="preserve">  The defendant acted </w:t>
      </w:r>
      <w:r w:rsidR="000A6B0D" w:rsidRPr="006330C7">
        <w:rPr>
          <w:szCs w:val="26"/>
        </w:rPr>
        <w:t>willfully</w:t>
      </w:r>
      <w:r w:rsidR="000A6B0D" w:rsidRPr="00CF5FB4">
        <w:rPr>
          <w:i/>
          <w:iCs/>
          <w:szCs w:val="26"/>
        </w:rPr>
        <w:t xml:space="preserve"> </w:t>
      </w:r>
      <w:r w:rsidR="000A6B0D">
        <w:rPr>
          <w:szCs w:val="26"/>
        </w:rPr>
        <w:t xml:space="preserve">if he intended to kill.  The defendant acted </w:t>
      </w:r>
      <w:r w:rsidR="000A6B0D" w:rsidRPr="006330C7">
        <w:rPr>
          <w:szCs w:val="26"/>
        </w:rPr>
        <w:t>deliberately</w:t>
      </w:r>
      <w:r w:rsidR="000A6B0D">
        <w:rPr>
          <w:szCs w:val="26"/>
        </w:rPr>
        <w:t xml:space="preserve"> if he carefully</w:t>
      </w:r>
      <w:r w:rsidR="007328BE">
        <w:rPr>
          <w:szCs w:val="26"/>
        </w:rPr>
        <w:t xml:space="preserve"> weighed the considerations for and against his choice and, knowing the consequences, decided to kill.  The defendant acted with </w:t>
      </w:r>
      <w:r w:rsidR="007328BE" w:rsidRPr="006330C7">
        <w:rPr>
          <w:szCs w:val="26"/>
        </w:rPr>
        <w:t>premeditation</w:t>
      </w:r>
      <w:r w:rsidR="007328BE">
        <w:rPr>
          <w:szCs w:val="26"/>
        </w:rPr>
        <w:t xml:space="preserve"> if he decided to kill before completing the acts that caused death.</w:t>
      </w:r>
      <w:r w:rsidR="008856EB" w:rsidRPr="00A71F78">
        <w:rPr>
          <w:szCs w:val="26"/>
        </w:rPr>
        <w:t xml:space="preserve">”  (See CALCRIM No. 521.)  </w:t>
      </w:r>
      <w:r w:rsidR="006330C7">
        <w:rPr>
          <w:szCs w:val="26"/>
        </w:rPr>
        <w:t>The court also instructed the jury with</w:t>
      </w:r>
      <w:r w:rsidR="004E49E5" w:rsidRPr="00A71F78">
        <w:rPr>
          <w:szCs w:val="26"/>
        </w:rPr>
        <w:t xml:space="preserve"> CALCRIM No. 520,</w:t>
      </w:r>
      <w:r w:rsidR="000363AF" w:rsidRPr="00A71F78">
        <w:rPr>
          <w:rStyle w:val="FootnoteReference"/>
          <w:szCs w:val="26"/>
        </w:rPr>
        <w:footnoteReference w:id="4"/>
      </w:r>
      <w:r w:rsidR="004E49E5" w:rsidRPr="00A71F78">
        <w:rPr>
          <w:szCs w:val="26"/>
        </w:rPr>
        <w:t xml:space="preserve"> which</w:t>
      </w:r>
      <w:r w:rsidR="008E0EA2" w:rsidRPr="00A71F78">
        <w:rPr>
          <w:szCs w:val="26"/>
        </w:rPr>
        <w:t>, as given,</w:t>
      </w:r>
      <w:r w:rsidR="00C1552C" w:rsidRPr="00A71F78">
        <w:rPr>
          <w:szCs w:val="26"/>
        </w:rPr>
        <w:t xml:space="preserve"> explained in part that “[w]hen the conduct of two or more persons contributes concurrently as a cause of the death, the conduct of each is a cause of the death if that conduct was also a substantial factor contributing to the death.”</w:t>
      </w:r>
      <w:r w:rsidR="004E49E5" w:rsidRPr="00A71F78">
        <w:rPr>
          <w:szCs w:val="26"/>
        </w:rPr>
        <w:t xml:space="preserve"> </w:t>
      </w:r>
      <w:r w:rsidR="009F6576" w:rsidRPr="00A71F78">
        <w:rPr>
          <w:szCs w:val="26"/>
        </w:rPr>
        <w:t xml:space="preserve"> </w:t>
      </w:r>
      <w:r w:rsidR="008856EB" w:rsidRPr="00A71F78">
        <w:rPr>
          <w:szCs w:val="26"/>
        </w:rPr>
        <w:t xml:space="preserve">This instruction also provided that “[m]urder under natural and probable consequences is murder in the second degree.”  </w:t>
      </w:r>
      <w:r w:rsidR="00C80F13" w:rsidRPr="00A71F78">
        <w:rPr>
          <w:szCs w:val="26"/>
        </w:rPr>
        <w:t>Additionally, t</w:t>
      </w:r>
      <w:r w:rsidR="008856EB" w:rsidRPr="00A71F78">
        <w:rPr>
          <w:szCs w:val="26"/>
        </w:rPr>
        <w:t>he</w:t>
      </w:r>
      <w:r w:rsidR="00937FED" w:rsidRPr="00A71F78">
        <w:rPr>
          <w:szCs w:val="26"/>
        </w:rPr>
        <w:t xml:space="preserve"> court gave</w:t>
      </w:r>
      <w:r w:rsidR="0007315E" w:rsidRPr="00A71F78">
        <w:rPr>
          <w:szCs w:val="26"/>
        </w:rPr>
        <w:t xml:space="preserve"> CALCRIM No. </w:t>
      </w:r>
      <w:r w:rsidR="008C7CFA" w:rsidRPr="00A71F78">
        <w:rPr>
          <w:szCs w:val="26"/>
        </w:rPr>
        <w:t>562</w:t>
      </w:r>
      <w:r w:rsidR="0007315E" w:rsidRPr="00A71F78">
        <w:rPr>
          <w:szCs w:val="26"/>
        </w:rPr>
        <w:t xml:space="preserve">, which provided that </w:t>
      </w:r>
      <w:r w:rsidR="00380F93" w:rsidRPr="00A71F78">
        <w:rPr>
          <w:szCs w:val="26"/>
        </w:rPr>
        <w:t xml:space="preserve">“[i]f the defendant intended to kill one person, but by mistake or accident killed someone else, then the crime, if any, is the same for the unintended killing as it is for the intended killing.”  </w:t>
      </w:r>
      <w:r w:rsidR="00501E67" w:rsidRPr="00A71F78">
        <w:rPr>
          <w:szCs w:val="26"/>
        </w:rPr>
        <w:t>A</w:t>
      </w:r>
      <w:r w:rsidR="0043008A" w:rsidRPr="00A71F78">
        <w:rPr>
          <w:szCs w:val="26"/>
        </w:rPr>
        <w:t xml:space="preserve"> second paragraph</w:t>
      </w:r>
      <w:r w:rsidR="00501E67" w:rsidRPr="00A71F78">
        <w:rPr>
          <w:szCs w:val="26"/>
        </w:rPr>
        <w:t xml:space="preserve"> of this instruction explained</w:t>
      </w:r>
      <w:r w:rsidR="0043008A" w:rsidRPr="00A71F78">
        <w:rPr>
          <w:szCs w:val="26"/>
        </w:rPr>
        <w:t xml:space="preserve"> that any defenses “which apply to the intended killing</w:t>
      </w:r>
      <w:r w:rsidR="00C4542C" w:rsidRPr="00A71F78">
        <w:rPr>
          <w:szCs w:val="26"/>
        </w:rPr>
        <w:t>,</w:t>
      </w:r>
      <w:r w:rsidR="0043008A" w:rsidRPr="00A71F78">
        <w:rPr>
          <w:szCs w:val="26"/>
        </w:rPr>
        <w:t xml:space="preserve"> also apply to an unintended killing,” including “defenses that decrease the level of homicide.”  </w:t>
      </w:r>
    </w:p>
    <w:p w14:paraId="71E6CF55" w14:textId="3390CB4B" w:rsidR="00CE07A5" w:rsidRPr="00A71F78" w:rsidRDefault="00CE07A5" w:rsidP="00A31766">
      <w:pPr>
        <w:tabs>
          <w:tab w:val="left" w:pos="1440"/>
        </w:tabs>
        <w:ind w:firstLine="720"/>
        <w:rPr>
          <w:szCs w:val="26"/>
        </w:rPr>
      </w:pPr>
      <w:r w:rsidRPr="00A71F78">
        <w:rPr>
          <w:szCs w:val="26"/>
        </w:rPr>
        <w:t>The jury found both of the Mitchells guilty of first degree murder</w:t>
      </w:r>
      <w:r w:rsidR="000324B7" w:rsidRPr="00A71F78">
        <w:rPr>
          <w:szCs w:val="26"/>
        </w:rPr>
        <w:t xml:space="preserve">.  It </w:t>
      </w:r>
      <w:r w:rsidR="00CB7640" w:rsidRPr="00A71F78">
        <w:rPr>
          <w:szCs w:val="26"/>
        </w:rPr>
        <w:t>acquitted Carney of murder but found him guilty of</w:t>
      </w:r>
      <w:r w:rsidRPr="00A71F78">
        <w:rPr>
          <w:szCs w:val="26"/>
        </w:rPr>
        <w:t xml:space="preserve"> voluntary manslaughter</w:t>
      </w:r>
      <w:r w:rsidR="000324B7" w:rsidRPr="00A71F78">
        <w:rPr>
          <w:szCs w:val="26"/>
        </w:rPr>
        <w:t xml:space="preserve">.  As to the four assault victims, the jury found the Mitchells guilty of the charges but </w:t>
      </w:r>
      <w:r w:rsidR="006E63E9" w:rsidRPr="00A71F78">
        <w:rPr>
          <w:szCs w:val="26"/>
        </w:rPr>
        <w:t xml:space="preserve">found </w:t>
      </w:r>
      <w:r w:rsidR="000324B7" w:rsidRPr="00A71F78">
        <w:rPr>
          <w:szCs w:val="26"/>
        </w:rPr>
        <w:t>Carney</w:t>
      </w:r>
      <w:r w:rsidR="006E63E9" w:rsidRPr="00A71F78">
        <w:rPr>
          <w:szCs w:val="26"/>
        </w:rPr>
        <w:t xml:space="preserve"> not guilty</w:t>
      </w:r>
      <w:r w:rsidR="000324B7" w:rsidRPr="00A71F78">
        <w:rPr>
          <w:szCs w:val="26"/>
        </w:rPr>
        <w:t>.</w:t>
      </w:r>
      <w:r w:rsidR="00340DDD" w:rsidRPr="00A71F78">
        <w:rPr>
          <w:szCs w:val="26"/>
        </w:rPr>
        <w:t xml:space="preserve"> </w:t>
      </w:r>
      <w:r w:rsidR="000324B7" w:rsidRPr="00A71F78">
        <w:rPr>
          <w:szCs w:val="26"/>
        </w:rPr>
        <w:t xml:space="preserve"> </w:t>
      </w:r>
      <w:r w:rsidR="00501E67" w:rsidRPr="00A71F78">
        <w:rPr>
          <w:szCs w:val="26"/>
        </w:rPr>
        <w:t xml:space="preserve">It acquitted </w:t>
      </w:r>
      <w:r w:rsidR="004D7066" w:rsidRPr="00A71F78">
        <w:rPr>
          <w:szCs w:val="26"/>
        </w:rPr>
        <w:t>Jones o</w:t>
      </w:r>
      <w:r w:rsidR="005832E0" w:rsidRPr="00A71F78">
        <w:rPr>
          <w:szCs w:val="26"/>
        </w:rPr>
        <w:t>n</w:t>
      </w:r>
      <w:r w:rsidR="000324B7" w:rsidRPr="00A71F78">
        <w:rPr>
          <w:szCs w:val="26"/>
        </w:rPr>
        <w:t xml:space="preserve"> all </w:t>
      </w:r>
      <w:r w:rsidR="00B32751" w:rsidRPr="00A71F78">
        <w:rPr>
          <w:szCs w:val="26"/>
        </w:rPr>
        <w:t>counts</w:t>
      </w:r>
      <w:r w:rsidRPr="00A71F78">
        <w:rPr>
          <w:szCs w:val="26"/>
        </w:rPr>
        <w:t xml:space="preserve">.  </w:t>
      </w:r>
    </w:p>
    <w:p w14:paraId="3EACE884" w14:textId="54D3DDBA" w:rsidR="00CE07A5" w:rsidRPr="00A71F78" w:rsidRDefault="00501E67" w:rsidP="00A31766">
      <w:pPr>
        <w:tabs>
          <w:tab w:val="left" w:pos="1440"/>
        </w:tabs>
        <w:ind w:firstLine="720"/>
        <w:rPr>
          <w:szCs w:val="26"/>
        </w:rPr>
      </w:pPr>
      <w:r w:rsidRPr="00A71F78">
        <w:rPr>
          <w:szCs w:val="26"/>
        </w:rPr>
        <w:t>T</w:t>
      </w:r>
      <w:r w:rsidR="00CE07A5" w:rsidRPr="00A71F78">
        <w:rPr>
          <w:szCs w:val="26"/>
        </w:rPr>
        <w:t>he Mitchells appealed</w:t>
      </w:r>
      <w:r w:rsidR="0042374F" w:rsidRPr="00A71F78">
        <w:rPr>
          <w:szCs w:val="26"/>
        </w:rPr>
        <w:t xml:space="preserve"> their first degree murder convictions</w:t>
      </w:r>
      <w:r w:rsidR="00CE07A5" w:rsidRPr="00A71F78">
        <w:rPr>
          <w:szCs w:val="26"/>
        </w:rPr>
        <w:t xml:space="preserve">.  </w:t>
      </w:r>
      <w:r w:rsidRPr="00A71F78">
        <w:rPr>
          <w:szCs w:val="26"/>
        </w:rPr>
        <w:t xml:space="preserve">They argued </w:t>
      </w:r>
      <w:r w:rsidR="00CE07A5" w:rsidRPr="00A71F78">
        <w:rPr>
          <w:szCs w:val="26"/>
        </w:rPr>
        <w:t>that because neither had fired the shot</w:t>
      </w:r>
      <w:r w:rsidR="002E2762" w:rsidRPr="00A71F78">
        <w:rPr>
          <w:szCs w:val="26"/>
        </w:rPr>
        <w:t xml:space="preserve"> that killed Monique</w:t>
      </w:r>
      <w:r w:rsidR="00CE07A5" w:rsidRPr="00A71F78">
        <w:rPr>
          <w:szCs w:val="26"/>
        </w:rPr>
        <w:t xml:space="preserve">, the jury must have found them guilty of murder based on their alleged status as accomplices.  </w:t>
      </w:r>
      <w:r w:rsidR="005F6A64" w:rsidRPr="00A71F78">
        <w:rPr>
          <w:szCs w:val="26"/>
        </w:rPr>
        <w:t>Citing</w:t>
      </w:r>
      <w:r w:rsidR="00BB52D8" w:rsidRPr="00A71F78">
        <w:rPr>
          <w:szCs w:val="26"/>
        </w:rPr>
        <w:t xml:space="preserve"> </w:t>
      </w:r>
      <w:r w:rsidR="00CE07A5" w:rsidRPr="00A71F78">
        <w:rPr>
          <w:szCs w:val="26"/>
        </w:rPr>
        <w:t xml:space="preserve">our then-recent </w:t>
      </w:r>
      <w:r w:rsidR="00CE07A5" w:rsidRPr="00A71F78">
        <w:rPr>
          <w:i/>
          <w:iCs/>
          <w:szCs w:val="26"/>
        </w:rPr>
        <w:t>Chiu</w:t>
      </w:r>
      <w:r w:rsidR="00CE07A5" w:rsidRPr="00A71F78">
        <w:rPr>
          <w:szCs w:val="26"/>
        </w:rPr>
        <w:t xml:space="preserve"> opinion</w:t>
      </w:r>
      <w:r w:rsidR="00CB7640" w:rsidRPr="00A71F78">
        <w:rPr>
          <w:szCs w:val="26"/>
        </w:rPr>
        <w:t>, they argued</w:t>
      </w:r>
      <w:r w:rsidR="003231F3" w:rsidRPr="00A71F78">
        <w:rPr>
          <w:szCs w:val="26"/>
        </w:rPr>
        <w:t xml:space="preserve"> </w:t>
      </w:r>
      <w:r w:rsidR="00CE07A5" w:rsidRPr="00A71F78">
        <w:rPr>
          <w:szCs w:val="26"/>
        </w:rPr>
        <w:t xml:space="preserve">their </w:t>
      </w:r>
      <w:r w:rsidR="00CB7640" w:rsidRPr="00A71F78">
        <w:rPr>
          <w:szCs w:val="26"/>
        </w:rPr>
        <w:t xml:space="preserve">culpability was limited </w:t>
      </w:r>
      <w:r w:rsidR="00CE07A5" w:rsidRPr="00A71F78">
        <w:rPr>
          <w:szCs w:val="26"/>
        </w:rPr>
        <w:t xml:space="preserve">to second degree murder.  </w:t>
      </w:r>
      <w:r w:rsidR="007F1BE8" w:rsidRPr="00A71F78">
        <w:rPr>
          <w:szCs w:val="26"/>
        </w:rPr>
        <w:t>T</w:t>
      </w:r>
      <w:r w:rsidR="00CE07A5" w:rsidRPr="00A71F78">
        <w:rPr>
          <w:szCs w:val="26"/>
        </w:rPr>
        <w:t>he Court of Appeal</w:t>
      </w:r>
      <w:r w:rsidR="00CB7640" w:rsidRPr="00A71F78">
        <w:rPr>
          <w:szCs w:val="26"/>
        </w:rPr>
        <w:t xml:space="preserve"> rejected </w:t>
      </w:r>
      <w:r w:rsidR="002E2762" w:rsidRPr="00A71F78">
        <w:rPr>
          <w:szCs w:val="26"/>
        </w:rPr>
        <w:t xml:space="preserve">the Mitchells’ </w:t>
      </w:r>
      <w:r w:rsidR="00CB7640" w:rsidRPr="00A71F78">
        <w:rPr>
          <w:szCs w:val="26"/>
        </w:rPr>
        <w:t xml:space="preserve">contentions.  </w:t>
      </w:r>
      <w:r w:rsidR="005F6A64" w:rsidRPr="00A71F78">
        <w:rPr>
          <w:szCs w:val="26"/>
        </w:rPr>
        <w:t xml:space="preserve">Relying on </w:t>
      </w:r>
      <w:r w:rsidR="005F6A64" w:rsidRPr="00A71F78">
        <w:rPr>
          <w:i/>
          <w:iCs/>
          <w:szCs w:val="26"/>
        </w:rPr>
        <w:t>Sanchez</w:t>
      </w:r>
      <w:r w:rsidR="005F6A64" w:rsidRPr="00A71F78">
        <w:rPr>
          <w:szCs w:val="26"/>
        </w:rPr>
        <w:t>,</w:t>
      </w:r>
      <w:r w:rsidR="005F6A64" w:rsidRPr="00A71F78">
        <w:rPr>
          <w:i/>
          <w:iCs/>
          <w:szCs w:val="26"/>
        </w:rPr>
        <w:t xml:space="preserve"> supra</w:t>
      </w:r>
      <w:r w:rsidR="005F6A64" w:rsidRPr="00A71F78">
        <w:rPr>
          <w:szCs w:val="26"/>
        </w:rPr>
        <w:t xml:space="preserve">, 26 Cal.4th 834, </w:t>
      </w:r>
      <w:r w:rsidRPr="00A71F78">
        <w:rPr>
          <w:szCs w:val="26"/>
        </w:rPr>
        <w:t>it</w:t>
      </w:r>
      <w:r w:rsidR="00CE07A5" w:rsidRPr="00A71F78">
        <w:rPr>
          <w:szCs w:val="26"/>
        </w:rPr>
        <w:t xml:space="preserve"> explained that </w:t>
      </w:r>
      <w:r w:rsidR="002E2762" w:rsidRPr="00A71F78">
        <w:rPr>
          <w:szCs w:val="26"/>
        </w:rPr>
        <w:t xml:space="preserve">the Mitchells’ </w:t>
      </w:r>
      <w:r w:rsidR="00CE07A5" w:rsidRPr="00A71F78">
        <w:rPr>
          <w:szCs w:val="26"/>
        </w:rPr>
        <w:t xml:space="preserve">first degree murder convictions were based on their own “ ‘culpable mens rea </w:t>
      </w:r>
      <w:r w:rsidR="00C4542C" w:rsidRPr="00A71F78">
        <w:rPr>
          <w:szCs w:val="26"/>
        </w:rPr>
        <w:t>(malice),</w:t>
      </w:r>
      <w:r w:rsidR="007328BE">
        <w:rPr>
          <w:szCs w:val="26"/>
        </w:rPr>
        <w:t>’</w:t>
      </w:r>
      <w:r w:rsidR="00C4542C" w:rsidRPr="00A71F78">
        <w:rPr>
          <w:szCs w:val="26"/>
        </w:rPr>
        <w:t xml:space="preserve"> </w:t>
      </w:r>
      <w:r w:rsidR="00CE07A5" w:rsidRPr="00A71F78">
        <w:rPr>
          <w:szCs w:val="26"/>
        </w:rPr>
        <w:t xml:space="preserve">not on vicarious liability for aiding and abetting,” which, coupled with the evidence that their actions proximately caused the victim’s death, provided sufficient evidence for their convictions.  </w:t>
      </w:r>
    </w:p>
    <w:p w14:paraId="0A60D484" w14:textId="05DEE9A8" w:rsidR="00CE07A5" w:rsidRPr="00A71F78" w:rsidRDefault="00E97EAB" w:rsidP="00EE2169">
      <w:pPr>
        <w:tabs>
          <w:tab w:val="left" w:pos="1440"/>
        </w:tabs>
        <w:ind w:firstLine="720"/>
        <w:rPr>
          <w:szCs w:val="26"/>
        </w:rPr>
      </w:pPr>
      <w:r w:rsidRPr="00A71F78">
        <w:rPr>
          <w:szCs w:val="26"/>
        </w:rPr>
        <w:t>The Mitchells</w:t>
      </w:r>
      <w:r w:rsidR="00CE07A5" w:rsidRPr="00A71F78">
        <w:rPr>
          <w:szCs w:val="26"/>
        </w:rPr>
        <w:t xml:space="preserve"> </w:t>
      </w:r>
      <w:r w:rsidR="00CB7640" w:rsidRPr="00A71F78">
        <w:rPr>
          <w:szCs w:val="26"/>
        </w:rPr>
        <w:t>filed</w:t>
      </w:r>
      <w:r w:rsidRPr="00A71F78">
        <w:rPr>
          <w:szCs w:val="26"/>
        </w:rPr>
        <w:t xml:space="preserve"> </w:t>
      </w:r>
      <w:r w:rsidR="00CE07A5" w:rsidRPr="00A71F78">
        <w:rPr>
          <w:szCs w:val="26"/>
        </w:rPr>
        <w:t>petition</w:t>
      </w:r>
      <w:r w:rsidRPr="00A71F78">
        <w:rPr>
          <w:szCs w:val="26"/>
        </w:rPr>
        <w:t>s</w:t>
      </w:r>
      <w:r w:rsidR="00CE07A5" w:rsidRPr="00A71F78">
        <w:rPr>
          <w:szCs w:val="26"/>
        </w:rPr>
        <w:t xml:space="preserve"> for review</w:t>
      </w:r>
      <w:r w:rsidR="00CB7640" w:rsidRPr="00A71F78">
        <w:rPr>
          <w:szCs w:val="26"/>
        </w:rPr>
        <w:t xml:space="preserve"> in this court</w:t>
      </w:r>
      <w:r w:rsidRPr="00A71F78">
        <w:rPr>
          <w:szCs w:val="26"/>
        </w:rPr>
        <w:t xml:space="preserve">, which we granted in part as to the question of </w:t>
      </w:r>
      <w:r w:rsidRPr="00A71F78">
        <w:rPr>
          <w:i/>
          <w:iCs/>
          <w:szCs w:val="26"/>
        </w:rPr>
        <w:t>Sanchez</w:t>
      </w:r>
      <w:r w:rsidRPr="00A71F78">
        <w:rPr>
          <w:szCs w:val="26"/>
        </w:rPr>
        <w:t>’s applicability in this case</w:t>
      </w:r>
      <w:r w:rsidR="00CE07A5" w:rsidRPr="00A71F78">
        <w:rPr>
          <w:szCs w:val="26"/>
        </w:rPr>
        <w:t>.</w:t>
      </w:r>
      <w:r w:rsidRPr="00A71F78">
        <w:rPr>
          <w:rStyle w:val="FootnoteReference"/>
          <w:szCs w:val="26"/>
        </w:rPr>
        <w:footnoteReference w:id="5"/>
      </w:r>
      <w:r w:rsidR="00CE07A5" w:rsidRPr="00A71F78">
        <w:rPr>
          <w:szCs w:val="26"/>
        </w:rPr>
        <w:t xml:space="preserve">  </w:t>
      </w:r>
      <w:r w:rsidRPr="00A71F78">
        <w:rPr>
          <w:szCs w:val="26"/>
        </w:rPr>
        <w:t>F</w:t>
      </w:r>
      <w:r w:rsidR="00AE74CA" w:rsidRPr="00A71F78">
        <w:rPr>
          <w:szCs w:val="26"/>
        </w:rPr>
        <w:t>or reasons explained below</w:t>
      </w:r>
      <w:r w:rsidR="00042BC5" w:rsidRPr="00A71F78">
        <w:rPr>
          <w:szCs w:val="26"/>
        </w:rPr>
        <w:t>,</w:t>
      </w:r>
      <w:r w:rsidR="00AE74CA" w:rsidRPr="00A71F78">
        <w:rPr>
          <w:szCs w:val="26"/>
        </w:rPr>
        <w:t xml:space="preserve"> </w:t>
      </w:r>
      <w:r w:rsidRPr="00A71F78">
        <w:rPr>
          <w:szCs w:val="26"/>
        </w:rPr>
        <w:t xml:space="preserve">we </w:t>
      </w:r>
      <w:r w:rsidR="008A7236" w:rsidRPr="00A71F78">
        <w:rPr>
          <w:szCs w:val="26"/>
        </w:rPr>
        <w:t xml:space="preserve">reject the Mitchells’ assertion </w:t>
      </w:r>
      <w:r w:rsidR="00AE74CA" w:rsidRPr="00A71F78">
        <w:rPr>
          <w:szCs w:val="26"/>
        </w:rPr>
        <w:t xml:space="preserve">that </w:t>
      </w:r>
      <w:r w:rsidR="00042BC5" w:rsidRPr="00A71F78">
        <w:rPr>
          <w:i/>
          <w:iCs/>
          <w:szCs w:val="26"/>
        </w:rPr>
        <w:t>Sanchez</w:t>
      </w:r>
      <w:r w:rsidR="002E2762" w:rsidRPr="00A71F78">
        <w:rPr>
          <w:szCs w:val="26"/>
        </w:rPr>
        <w:t xml:space="preserve">’s </w:t>
      </w:r>
      <w:r w:rsidR="002019BE" w:rsidRPr="00A71F78">
        <w:rPr>
          <w:szCs w:val="26"/>
        </w:rPr>
        <w:t>“</w:t>
      </w:r>
      <w:r w:rsidR="00AA38A1" w:rsidRPr="00A71F78">
        <w:rPr>
          <w:szCs w:val="26"/>
        </w:rPr>
        <w:t>substantial concurrent caus</w:t>
      </w:r>
      <w:r w:rsidR="00A0745D" w:rsidRPr="00A71F78">
        <w:rPr>
          <w:szCs w:val="26"/>
        </w:rPr>
        <w:t>e</w:t>
      </w:r>
      <w:r w:rsidR="00AA38A1" w:rsidRPr="00A71F78">
        <w:rPr>
          <w:szCs w:val="26"/>
        </w:rPr>
        <w:t>”</w:t>
      </w:r>
      <w:r w:rsidR="00A0745D" w:rsidRPr="00A71F78">
        <w:rPr>
          <w:szCs w:val="26"/>
        </w:rPr>
        <w:t xml:space="preserve"> </w:t>
      </w:r>
      <w:r w:rsidR="002E2762" w:rsidRPr="00A71F78">
        <w:rPr>
          <w:szCs w:val="26"/>
        </w:rPr>
        <w:t xml:space="preserve">analysis </w:t>
      </w:r>
      <w:r w:rsidR="00AE74CA" w:rsidRPr="00A71F78">
        <w:rPr>
          <w:szCs w:val="26"/>
        </w:rPr>
        <w:t xml:space="preserve">is limited </w:t>
      </w:r>
      <w:r w:rsidR="00FE08C3" w:rsidRPr="00A71F78">
        <w:rPr>
          <w:szCs w:val="26"/>
        </w:rPr>
        <w:t xml:space="preserve">to situations in which it </w:t>
      </w:r>
      <w:r w:rsidR="00AE1663" w:rsidRPr="00A71F78">
        <w:rPr>
          <w:szCs w:val="26"/>
        </w:rPr>
        <w:t>is</w:t>
      </w:r>
      <w:r w:rsidR="00FE08C3" w:rsidRPr="00A71F78">
        <w:rPr>
          <w:szCs w:val="26"/>
        </w:rPr>
        <w:t xml:space="preserve"> unclear who </w:t>
      </w:r>
      <w:r w:rsidR="002764C9" w:rsidRPr="00A71F78">
        <w:rPr>
          <w:szCs w:val="26"/>
        </w:rPr>
        <w:t xml:space="preserve">among the </w:t>
      </w:r>
      <w:r w:rsidR="002E2762" w:rsidRPr="00A71F78">
        <w:rPr>
          <w:szCs w:val="26"/>
        </w:rPr>
        <w:t>participants</w:t>
      </w:r>
      <w:r w:rsidR="002764C9" w:rsidRPr="00A71F78">
        <w:rPr>
          <w:szCs w:val="26"/>
        </w:rPr>
        <w:t xml:space="preserve"> </w:t>
      </w:r>
      <w:r w:rsidRPr="00A71F78">
        <w:rPr>
          <w:szCs w:val="26"/>
        </w:rPr>
        <w:t>in a gun battle actually fired the shot that killed the victim.</w:t>
      </w:r>
      <w:r w:rsidR="00FE08C3" w:rsidRPr="00A71F78">
        <w:rPr>
          <w:szCs w:val="26"/>
        </w:rPr>
        <w:t xml:space="preserve"> </w:t>
      </w:r>
      <w:r w:rsidR="00EE2169" w:rsidRPr="00A71F78">
        <w:rPr>
          <w:szCs w:val="26"/>
        </w:rPr>
        <w:t xml:space="preserve"> </w:t>
      </w:r>
      <w:r w:rsidR="00000E23" w:rsidRPr="00A71F78">
        <w:rPr>
          <w:szCs w:val="26"/>
        </w:rPr>
        <w:t xml:space="preserve">Rather, </w:t>
      </w:r>
      <w:r w:rsidR="004E4E20" w:rsidRPr="00A71F78">
        <w:rPr>
          <w:i/>
          <w:iCs/>
          <w:szCs w:val="26"/>
        </w:rPr>
        <w:t xml:space="preserve">Sanchez </w:t>
      </w:r>
      <w:r w:rsidRPr="00A71F78">
        <w:rPr>
          <w:szCs w:val="26"/>
        </w:rPr>
        <w:t>establishes</w:t>
      </w:r>
      <w:r w:rsidR="004E4E20" w:rsidRPr="00A71F78">
        <w:rPr>
          <w:szCs w:val="26"/>
        </w:rPr>
        <w:t xml:space="preserve"> that</w:t>
      </w:r>
      <w:r w:rsidR="00701796" w:rsidRPr="00A71F78">
        <w:rPr>
          <w:szCs w:val="26"/>
        </w:rPr>
        <w:t xml:space="preserve"> </w:t>
      </w:r>
      <w:r w:rsidR="009A7838" w:rsidRPr="00A71F78">
        <w:rPr>
          <w:szCs w:val="26"/>
        </w:rPr>
        <w:t xml:space="preserve">the conduct of </w:t>
      </w:r>
      <w:r w:rsidR="0079566B" w:rsidRPr="00A71F78">
        <w:rPr>
          <w:szCs w:val="26"/>
        </w:rPr>
        <w:t xml:space="preserve">a participant in a gun battle who did not fire the fatal shot may </w:t>
      </w:r>
      <w:r w:rsidR="009A7838" w:rsidRPr="00A71F78">
        <w:rPr>
          <w:szCs w:val="26"/>
        </w:rPr>
        <w:t xml:space="preserve">contribute substantially and concurrently </w:t>
      </w:r>
      <w:r w:rsidR="00386EDC" w:rsidRPr="00A71F78">
        <w:rPr>
          <w:szCs w:val="26"/>
        </w:rPr>
        <w:t>to</w:t>
      </w:r>
      <w:r w:rsidR="00BE0206">
        <w:rPr>
          <w:szCs w:val="26"/>
        </w:rPr>
        <w:t> </w:t>
      </w:r>
      <w:r w:rsidR="0079566B" w:rsidRPr="00A71F78">
        <w:rPr>
          <w:szCs w:val="26"/>
        </w:rPr>
        <w:t>— and be a proximate cause of</w:t>
      </w:r>
      <w:r w:rsidR="00BE0206">
        <w:t> </w:t>
      </w:r>
      <w:r w:rsidR="0063554C" w:rsidRPr="00A71F78">
        <w:rPr>
          <w:szCs w:val="26"/>
        </w:rPr>
        <w:t xml:space="preserve">— </w:t>
      </w:r>
      <w:r w:rsidR="00CE6D46" w:rsidRPr="00A71F78">
        <w:rPr>
          <w:szCs w:val="26"/>
        </w:rPr>
        <w:t xml:space="preserve">the </w:t>
      </w:r>
      <w:r w:rsidR="0079566B" w:rsidRPr="00A71F78">
        <w:rPr>
          <w:szCs w:val="26"/>
        </w:rPr>
        <w:t xml:space="preserve">victim’s </w:t>
      </w:r>
      <w:r w:rsidR="00CE6D46" w:rsidRPr="00A71F78">
        <w:rPr>
          <w:szCs w:val="26"/>
        </w:rPr>
        <w:t>death</w:t>
      </w:r>
      <w:r w:rsidR="00C8623A" w:rsidRPr="00A71F78">
        <w:rPr>
          <w:szCs w:val="26"/>
        </w:rPr>
        <w:t xml:space="preserve">. </w:t>
      </w:r>
      <w:r w:rsidR="006F4717" w:rsidRPr="00A71F78">
        <w:rPr>
          <w:szCs w:val="26"/>
        </w:rPr>
        <w:t xml:space="preserve"> (</w:t>
      </w:r>
      <w:r w:rsidR="006F4717" w:rsidRPr="00A71F78">
        <w:rPr>
          <w:i/>
          <w:iCs/>
          <w:szCs w:val="26"/>
        </w:rPr>
        <w:t>Sanchez</w:t>
      </w:r>
      <w:r w:rsidR="006F4717" w:rsidRPr="00A71F78">
        <w:rPr>
          <w:szCs w:val="26"/>
        </w:rPr>
        <w:t xml:space="preserve">, </w:t>
      </w:r>
      <w:r w:rsidR="006F4717" w:rsidRPr="00A71F78">
        <w:rPr>
          <w:i/>
          <w:iCs/>
          <w:szCs w:val="26"/>
        </w:rPr>
        <w:t>supra</w:t>
      </w:r>
      <w:r w:rsidR="006F4717" w:rsidRPr="00A71F78">
        <w:rPr>
          <w:szCs w:val="26"/>
        </w:rPr>
        <w:t>, 26 Cal.4th at pp</w:t>
      </w:r>
      <w:r w:rsidR="009C245F" w:rsidRPr="00A71F78">
        <w:rPr>
          <w:szCs w:val="26"/>
        </w:rPr>
        <w:t>. </w:t>
      </w:r>
      <w:r w:rsidR="006F4717" w:rsidRPr="00A71F78">
        <w:rPr>
          <w:szCs w:val="26"/>
        </w:rPr>
        <w:t>84</w:t>
      </w:r>
      <w:r w:rsidR="00C4542C" w:rsidRPr="00A71F78">
        <w:rPr>
          <w:szCs w:val="26"/>
        </w:rPr>
        <w:t>5</w:t>
      </w:r>
      <w:r w:rsidR="006F4717" w:rsidRPr="00A71F78">
        <w:rPr>
          <w:szCs w:val="26"/>
        </w:rPr>
        <w:t>–84</w:t>
      </w:r>
      <w:r w:rsidR="00C4542C" w:rsidRPr="00A71F78">
        <w:rPr>
          <w:szCs w:val="26"/>
        </w:rPr>
        <w:t>9</w:t>
      </w:r>
      <w:r w:rsidR="006F4717" w:rsidRPr="00A71F78">
        <w:rPr>
          <w:szCs w:val="26"/>
        </w:rPr>
        <w:t xml:space="preserve">.) </w:t>
      </w:r>
      <w:r w:rsidR="00D72FBE" w:rsidRPr="00A71F78">
        <w:rPr>
          <w:szCs w:val="26"/>
        </w:rPr>
        <w:t xml:space="preserve"> </w:t>
      </w:r>
    </w:p>
    <w:p w14:paraId="16148877" w14:textId="757FA139" w:rsidR="00FD247F" w:rsidRPr="00A71F78" w:rsidRDefault="00166514" w:rsidP="00A31766">
      <w:pPr>
        <w:pStyle w:val="Heading1"/>
      </w:pPr>
      <w:r w:rsidRPr="00A71F78">
        <w:t>Discussion</w:t>
      </w:r>
    </w:p>
    <w:p w14:paraId="0F9E95E5" w14:textId="48995F42" w:rsidR="008B64DF" w:rsidRPr="00A71F78" w:rsidRDefault="00464E25" w:rsidP="00A31766">
      <w:pPr>
        <w:pStyle w:val="Heading2"/>
      </w:pPr>
      <w:r w:rsidRPr="00A71F78">
        <w:t>A.</w:t>
      </w:r>
      <w:r w:rsidRPr="00A71F78">
        <w:tab/>
        <w:t>Proximate Caus</w:t>
      </w:r>
      <w:r w:rsidR="008B64DF" w:rsidRPr="00A71F78">
        <w:t>e</w:t>
      </w:r>
      <w:r w:rsidR="00B539D3" w:rsidRPr="00A71F78">
        <w:t xml:space="preserve"> </w:t>
      </w:r>
    </w:p>
    <w:p w14:paraId="0C8F6063" w14:textId="1CC7C20F" w:rsidR="007E180B" w:rsidRPr="00A71F78" w:rsidRDefault="00D53F3C" w:rsidP="00A31766">
      <w:pPr>
        <w:ind w:firstLine="720"/>
        <w:rPr>
          <w:szCs w:val="26"/>
        </w:rPr>
      </w:pPr>
      <w:r w:rsidRPr="00A71F78">
        <w:t>“Murder includes both actus reus and mens rea elements.  To satisfy the actus reus element of murder, an act of either the defendant or an accomplice must be the proximate cause of death.”  (</w:t>
      </w:r>
      <w:r w:rsidRPr="00A71F78">
        <w:rPr>
          <w:i/>
          <w:iCs/>
        </w:rPr>
        <w:t>People v. Concha</w:t>
      </w:r>
      <w:r w:rsidRPr="00A71F78">
        <w:t xml:space="preserve"> (2009) 47 Cal.4th 653, 660, italics omitted.)  Specifically, “</w:t>
      </w:r>
      <w:r w:rsidR="007E180B" w:rsidRPr="00A71F78">
        <w:t xml:space="preserve">a ‘cause of the death of [the </w:t>
      </w:r>
      <w:r w:rsidR="005577CB" w:rsidRPr="00A71F78">
        <w:t>victim</w:t>
      </w:r>
      <w:r w:rsidR="007E180B" w:rsidRPr="00A71F78">
        <w:t>] is an act or omission that sets in motion a chain of events that produces as a direct, natural and probable consequence of the act or omission the death of [the decedent] and without which the death would not occur.’  (See CALJIC No. 3.40.)  In general, ‘[p]roximate cause is clearly established where the act is directly connected with the resulting injury, with no intervening force operating.’  (1 Witkin &amp; Epstein, Cal. Criminal Law (3d ed. 2000) Elements, § 36, p. 242.</w:t>
      </w:r>
      <w:r w:rsidR="009A6396" w:rsidRPr="00A71F78">
        <w:t>)</w:t>
      </w:r>
      <w:r w:rsidR="007E180B" w:rsidRPr="00A71F78">
        <w:t>”  (</w:t>
      </w:r>
      <w:r w:rsidR="007E180B" w:rsidRPr="00A71F78">
        <w:rPr>
          <w:i/>
          <w:iCs/>
        </w:rPr>
        <w:t>People v. Cervantes</w:t>
      </w:r>
      <w:r w:rsidR="007E180B" w:rsidRPr="00A71F78">
        <w:t xml:space="preserve"> (2001) 26 Cal.4th 860, 866 (</w:t>
      </w:r>
      <w:r w:rsidR="007E180B" w:rsidRPr="00A71F78">
        <w:rPr>
          <w:i/>
          <w:iCs/>
        </w:rPr>
        <w:t>Cervantes</w:t>
      </w:r>
      <w:r w:rsidR="007E180B" w:rsidRPr="00A71F78">
        <w:t>).)</w:t>
      </w:r>
      <w:r w:rsidR="00A02E25" w:rsidRPr="00A71F78">
        <w:t xml:space="preserve">  </w:t>
      </w:r>
      <w:r w:rsidR="0013681F" w:rsidRPr="00CF5FB4">
        <w:rPr>
          <w:szCs w:val="26"/>
        </w:rPr>
        <w:t xml:space="preserve">An </w:t>
      </w:r>
      <w:r w:rsidR="00AE4C44" w:rsidRPr="00CF5FB4">
        <w:rPr>
          <w:szCs w:val="26"/>
          <w:bdr w:val="none" w:sz="0" w:space="0" w:color="auto" w:frame="1"/>
          <w:shd w:val="clear" w:color="auto" w:fill="FFFFFF"/>
        </w:rPr>
        <w:t>intervening</w:t>
      </w:r>
      <w:r w:rsidR="00AE4C44" w:rsidRPr="00CF5FB4">
        <w:rPr>
          <w:szCs w:val="26"/>
        </w:rPr>
        <w:t xml:space="preserve"> </w:t>
      </w:r>
      <w:r w:rsidR="00AE4C44" w:rsidRPr="00CF5FB4">
        <w:rPr>
          <w:szCs w:val="26"/>
          <w:bdr w:val="none" w:sz="0" w:space="0" w:color="auto" w:frame="1"/>
          <w:shd w:val="clear" w:color="auto" w:fill="FFFFFF"/>
        </w:rPr>
        <w:t>force</w:t>
      </w:r>
      <w:r w:rsidR="0013681F" w:rsidRPr="00CF5FB4">
        <w:rPr>
          <w:szCs w:val="26"/>
          <w:bdr w:val="none" w:sz="0" w:space="0" w:color="auto" w:frame="1"/>
          <w:shd w:val="clear" w:color="auto" w:fill="FFFFFF"/>
        </w:rPr>
        <w:t>, in turn, “</w:t>
      </w:r>
      <w:r w:rsidR="00AE4C44" w:rsidRPr="00CF5FB4">
        <w:rPr>
          <w:szCs w:val="26"/>
        </w:rPr>
        <w:t xml:space="preserve">is one which </w:t>
      </w:r>
      <w:r w:rsidR="00AE4C44" w:rsidRPr="00CF5FB4">
        <w:rPr>
          <w:szCs w:val="26"/>
          <w:bdr w:val="none" w:sz="0" w:space="0" w:color="auto" w:frame="1"/>
          <w:shd w:val="clear" w:color="auto" w:fill="FFFFFF"/>
        </w:rPr>
        <w:t>actively</w:t>
      </w:r>
      <w:r w:rsidR="00AE4C44" w:rsidRPr="00CF5FB4">
        <w:rPr>
          <w:szCs w:val="26"/>
        </w:rPr>
        <w:t xml:space="preserve"> </w:t>
      </w:r>
      <w:r w:rsidR="00AE4C44" w:rsidRPr="00CF5FB4">
        <w:rPr>
          <w:szCs w:val="26"/>
          <w:bdr w:val="none" w:sz="0" w:space="0" w:color="auto" w:frame="1"/>
          <w:shd w:val="clear" w:color="auto" w:fill="FFFFFF"/>
        </w:rPr>
        <w:t>operates</w:t>
      </w:r>
      <w:r w:rsidR="00AE4C44" w:rsidRPr="00CF5FB4">
        <w:rPr>
          <w:szCs w:val="26"/>
        </w:rPr>
        <w:t xml:space="preserve"> in producing harm to another after the actor</w:t>
      </w:r>
      <w:r w:rsidR="008025B8" w:rsidRPr="00CF5FB4">
        <w:rPr>
          <w:szCs w:val="26"/>
        </w:rPr>
        <w:t>’</w:t>
      </w:r>
      <w:r w:rsidR="00AE4C44" w:rsidRPr="00CF5FB4">
        <w:rPr>
          <w:szCs w:val="26"/>
        </w:rPr>
        <w:t>s</w:t>
      </w:r>
      <w:r w:rsidR="002424BF">
        <w:rPr>
          <w:szCs w:val="26"/>
        </w:rPr>
        <w:t xml:space="preserve"> . . . </w:t>
      </w:r>
      <w:r w:rsidR="00AE4C44" w:rsidRPr="00CF5FB4">
        <w:rPr>
          <w:szCs w:val="26"/>
        </w:rPr>
        <w:t>act or omission has been committed.”  (Rest.2d Torts, § 441, subd. (1)</w:t>
      </w:r>
      <w:r w:rsidR="008025B8" w:rsidRPr="00CF5FB4">
        <w:rPr>
          <w:szCs w:val="26"/>
        </w:rPr>
        <w:t xml:space="preserve">; see </w:t>
      </w:r>
      <w:r w:rsidR="008025B8" w:rsidRPr="00CF5FB4">
        <w:rPr>
          <w:i/>
          <w:iCs/>
          <w:szCs w:val="26"/>
        </w:rPr>
        <w:t>People v. Schmies</w:t>
      </w:r>
      <w:r w:rsidR="008025B8" w:rsidRPr="00CF5FB4">
        <w:rPr>
          <w:szCs w:val="26"/>
        </w:rPr>
        <w:t xml:space="preserve"> (1996) 44 Cal.App.4th 38, 46 (</w:t>
      </w:r>
      <w:r w:rsidR="008025B8" w:rsidRPr="00CF5FB4">
        <w:rPr>
          <w:i/>
          <w:iCs/>
          <w:szCs w:val="26"/>
        </w:rPr>
        <w:t>Schmies</w:t>
      </w:r>
      <w:r w:rsidR="008025B8" w:rsidRPr="00CF5FB4">
        <w:rPr>
          <w:szCs w:val="26"/>
        </w:rPr>
        <w:t>) [“principles of causation apply to crimes as well as torts”]</w:t>
      </w:r>
      <w:r w:rsidR="00AE4C44" w:rsidRPr="00CF5FB4">
        <w:rPr>
          <w:szCs w:val="26"/>
        </w:rPr>
        <w:t>.)</w:t>
      </w:r>
    </w:p>
    <w:p w14:paraId="65637FCD" w14:textId="4A1B8EB6" w:rsidR="000F10CC" w:rsidRPr="00A71F78" w:rsidRDefault="00EB26E6" w:rsidP="00F57E65">
      <w:pPr>
        <w:tabs>
          <w:tab w:val="left" w:pos="1440"/>
        </w:tabs>
        <w:ind w:firstLine="720"/>
      </w:pPr>
      <w:bookmarkStart w:id="5" w:name="_Hlk137647426"/>
      <w:bookmarkStart w:id="6" w:name="_Hlk138612794"/>
      <w:bookmarkStart w:id="7" w:name="_Hlk138654367"/>
      <w:r w:rsidRPr="00A71F78">
        <w:t>Broadly speaking, proximate cause consists of two components.  One is cause in fact</w:t>
      </w:r>
      <w:r w:rsidR="00D47505" w:rsidRPr="00A71F78">
        <w:t xml:space="preserve"> </w:t>
      </w:r>
      <w:r w:rsidR="005200D8" w:rsidRPr="00A71F78">
        <w:t>(</w:t>
      </w:r>
      <w:r w:rsidR="00AE6304" w:rsidRPr="00A71F78">
        <w:t>also called</w:t>
      </w:r>
      <w:r w:rsidR="001A1A75" w:rsidRPr="00A71F78">
        <w:t xml:space="preserve"> actual or direct causation</w:t>
      </w:r>
      <w:r w:rsidR="005200D8" w:rsidRPr="00A71F78">
        <w:t>)</w:t>
      </w:r>
      <w:r w:rsidR="001A1A75" w:rsidRPr="00A71F78">
        <w:t xml:space="preserve">.  </w:t>
      </w:r>
      <w:r w:rsidRPr="00A71F78">
        <w:t>“</w:t>
      </w:r>
      <w:r w:rsidR="001C1FF2" w:rsidRPr="00A71F78">
        <w:t> </w:t>
      </w:r>
      <w:r w:rsidRPr="00A71F78">
        <w:t>‘</w:t>
      </w:r>
      <w:r w:rsidR="00931916" w:rsidRPr="00A71F78">
        <w:t> “</w:t>
      </w:r>
      <w:r w:rsidR="0079566B" w:rsidRPr="00A71F78">
        <w:t xml:space="preserve">An act is a cause in fact if it is a </w:t>
      </w:r>
      <w:r w:rsidRPr="00A71F78">
        <w:t>necessary antecedent of an event</w:t>
      </w:r>
      <w:r w:rsidR="00CF5FB4">
        <w:t>”</w:t>
      </w:r>
      <w:r w:rsidR="00BE0206">
        <w:t> </w:t>
      </w:r>
      <w:r w:rsidRPr="00A71F78">
        <w:t>’</w:t>
      </w:r>
      <w:r w:rsidR="00BE0206">
        <w:t> </w:t>
      </w:r>
      <w:r w:rsidRPr="00A71F78">
        <w:t>”</w:t>
      </w:r>
      <w:r w:rsidR="007F22A3" w:rsidRPr="00A71F78">
        <w:t xml:space="preserve"> </w:t>
      </w:r>
      <w:r w:rsidR="00BE3A12" w:rsidRPr="00A71F78">
        <w:t>(</w:t>
      </w:r>
      <w:r w:rsidR="00931916" w:rsidRPr="00A71F78">
        <w:rPr>
          <w:i/>
          <w:iCs/>
        </w:rPr>
        <w:t>State Dept. of State Hospitals v. Superior Court</w:t>
      </w:r>
      <w:r w:rsidR="00931916" w:rsidRPr="00A71F78">
        <w:t xml:space="preserve"> (2015) 61 Cal.4th 339, 352 (</w:t>
      </w:r>
      <w:r w:rsidR="00931916" w:rsidRPr="00A71F78">
        <w:rPr>
          <w:i/>
          <w:iCs/>
        </w:rPr>
        <w:t>State Dept. of State Hospitals</w:t>
      </w:r>
      <w:r w:rsidR="00931916" w:rsidRPr="00A71F78">
        <w:t>)</w:t>
      </w:r>
      <w:r w:rsidR="007F22A3" w:rsidRPr="00A71F78">
        <w:t xml:space="preserve">), and </w:t>
      </w:r>
      <w:r w:rsidR="006330C7">
        <w:t xml:space="preserve">it </w:t>
      </w:r>
      <w:r w:rsidR="007F22A3" w:rsidRPr="00A71F78">
        <w:t>is commonly referred to as the “but-for” cause of death.  (S</w:t>
      </w:r>
      <w:r w:rsidR="0096187F" w:rsidRPr="00A71F78">
        <w:t>ee CALJIC No. 3.40</w:t>
      </w:r>
      <w:r w:rsidR="00731FA3" w:rsidRPr="00A71F78">
        <w:t>; CALCRIM No. 240</w:t>
      </w:r>
      <w:r w:rsidR="00BD3372" w:rsidRPr="00A71F78">
        <w:t xml:space="preserve"> [Causation]</w:t>
      </w:r>
      <w:r w:rsidR="00853929" w:rsidRPr="00A71F78">
        <w:t>; CALCRIM No. 520 [First or Second Degree Murder with Malice Aforethought (Pen. Code, § 187)]</w:t>
      </w:r>
      <w:r w:rsidR="0096187F" w:rsidRPr="00A71F78">
        <w:t xml:space="preserve">.) </w:t>
      </w:r>
      <w:bookmarkEnd w:id="5"/>
      <w:r w:rsidR="0096187F" w:rsidRPr="00A71F78">
        <w:t xml:space="preserve"> </w:t>
      </w:r>
      <w:r w:rsidR="003A1304" w:rsidRPr="00A71F78">
        <w:t xml:space="preserve">The second </w:t>
      </w:r>
      <w:r w:rsidR="004217E3" w:rsidRPr="00A71F78">
        <w:t>component</w:t>
      </w:r>
      <w:r w:rsidR="001C72F1" w:rsidRPr="00A71F78">
        <w:t xml:space="preserve"> </w:t>
      </w:r>
      <w:r w:rsidR="004217E3" w:rsidRPr="00A71F78">
        <w:t>“</w:t>
      </w:r>
      <w:r w:rsidR="00B653C9" w:rsidRPr="00A71F78">
        <w:t> </w:t>
      </w:r>
      <w:r w:rsidR="006D5984" w:rsidRPr="00A71F78">
        <w:t>‘focuses on public policy considerations.  Because the purpo</w:t>
      </w:r>
      <w:r w:rsidR="00042E03" w:rsidRPr="00A71F78">
        <w:t>rt</w:t>
      </w:r>
      <w:r w:rsidR="006D5984" w:rsidRPr="00A71F78">
        <w:t>ed [factual] causes of an event may be traced back to the dawn of humanity, the law has imposed additional “limitations on liability other than simple ca</w:t>
      </w:r>
      <w:r w:rsidR="0062340D" w:rsidRPr="00A71F78">
        <w:t>us</w:t>
      </w:r>
      <w:r w:rsidR="006D5984" w:rsidRPr="00A71F78">
        <w:t>ality.</w:t>
      </w:r>
      <w:r w:rsidR="004217E3" w:rsidRPr="00A71F78">
        <w:t>”  [Citation.]  “These additional limitations are related not only to the degree of connection between the conduct and the injury, but also with public policy.</w:t>
      </w:r>
      <w:r w:rsidR="0063554C" w:rsidRPr="00A71F78">
        <w:t>” ’ </w:t>
      </w:r>
      <w:r w:rsidR="004217E3" w:rsidRPr="00A71F78">
        <w:t xml:space="preserve">”  </w:t>
      </w:r>
      <w:r w:rsidR="00B653C9" w:rsidRPr="00A71F78">
        <w:t>(</w:t>
      </w:r>
      <w:r w:rsidR="00B653C9" w:rsidRPr="00A71F78">
        <w:rPr>
          <w:i/>
          <w:iCs/>
        </w:rPr>
        <w:t>State Dept. of State Hospital</w:t>
      </w:r>
      <w:r w:rsidR="00931916" w:rsidRPr="00A71F78">
        <w:rPr>
          <w:i/>
          <w:iCs/>
        </w:rPr>
        <w:t>s, supra,</w:t>
      </w:r>
      <w:r w:rsidR="00B653C9" w:rsidRPr="00A71F78">
        <w:t xml:space="preserve"> 61 Cal.4</w:t>
      </w:r>
      <w:r w:rsidR="00CF5FB4">
        <w:t>th</w:t>
      </w:r>
      <w:r w:rsidR="00931916" w:rsidRPr="00A71F78">
        <w:t xml:space="preserve"> </w:t>
      </w:r>
      <w:r w:rsidR="00CF5FB4">
        <w:t xml:space="preserve">at </w:t>
      </w:r>
      <w:r w:rsidR="00931916" w:rsidRPr="00A71F78">
        <w:t>p.</w:t>
      </w:r>
      <w:r w:rsidR="00B653C9" w:rsidRPr="00A71F78">
        <w:t xml:space="preserve"> </w:t>
      </w:r>
      <w:r w:rsidR="00931916" w:rsidRPr="00A71F78">
        <w:t>3</w:t>
      </w:r>
      <w:r w:rsidR="00B653C9" w:rsidRPr="00A71F78">
        <w:t>53</w:t>
      </w:r>
      <w:r w:rsidR="00931916" w:rsidRPr="00A71F78">
        <w:t>.)</w:t>
      </w:r>
      <w:r w:rsidR="0066615F" w:rsidRPr="00A71F78">
        <w:rPr>
          <w:rStyle w:val="FootnoteReference"/>
        </w:rPr>
        <w:footnoteReference w:id="6"/>
      </w:r>
      <w:r w:rsidR="00B653C9" w:rsidRPr="00A71F78">
        <w:t xml:space="preserve">  </w:t>
      </w:r>
    </w:p>
    <w:p w14:paraId="7DC5D3EC" w14:textId="166221B2" w:rsidR="00351A77" w:rsidRPr="00A71F78" w:rsidRDefault="0063554C" w:rsidP="00F57E65">
      <w:pPr>
        <w:tabs>
          <w:tab w:val="left" w:pos="1440"/>
        </w:tabs>
        <w:ind w:firstLine="720"/>
      </w:pPr>
      <w:bookmarkStart w:id="8" w:name="_Hlk138710214"/>
      <w:r w:rsidRPr="00A71F78">
        <w:t>As relevant here</w:t>
      </w:r>
      <w:r w:rsidR="000E354E" w:rsidRPr="00A71F78">
        <w:t>, w</w:t>
      </w:r>
      <w:r w:rsidR="0055773F" w:rsidRPr="00A71F78">
        <w:t>he</w:t>
      </w:r>
      <w:r w:rsidR="004C578C" w:rsidRPr="00A71F78">
        <w:t>n</w:t>
      </w:r>
      <w:r w:rsidR="00B66EA7" w:rsidRPr="00A71F78">
        <w:t xml:space="preserve"> there is evidence of concurrent causes</w:t>
      </w:r>
      <w:r w:rsidR="0055773F" w:rsidRPr="00A71F78">
        <w:t>,</w:t>
      </w:r>
      <w:r w:rsidR="00B66EA7" w:rsidRPr="00A71F78">
        <w:t xml:space="preserve"> </w:t>
      </w:r>
      <w:r w:rsidR="00F5223A" w:rsidRPr="00A71F78">
        <w:t>we have held that “</w:t>
      </w:r>
      <w:r w:rsidR="00BE0206">
        <w:t> </w:t>
      </w:r>
      <w:r w:rsidR="00F5223A" w:rsidRPr="00A71F78">
        <w:t>‘[t]</w:t>
      </w:r>
      <w:r w:rsidR="00F5223A" w:rsidRPr="001C328A">
        <w:rPr>
          <w:szCs w:val="27"/>
        </w:rPr>
        <w:t>o be considered the proximate cause of the victim’s death, the defendant</w:t>
      </w:r>
      <w:r w:rsidR="004542A9" w:rsidRPr="001C328A">
        <w:rPr>
          <w:szCs w:val="27"/>
        </w:rPr>
        <w:t>’</w:t>
      </w:r>
      <w:r w:rsidR="00F5223A" w:rsidRPr="001C328A">
        <w:rPr>
          <w:szCs w:val="27"/>
        </w:rPr>
        <w:t>s act must have been a substantial factor contributing to the result, rather than insignificant or merely theoretical.’</w:t>
      </w:r>
      <w:r w:rsidR="00BE0206">
        <w:rPr>
          <w:szCs w:val="27"/>
        </w:rPr>
        <w:t> </w:t>
      </w:r>
      <w:r w:rsidR="00F5223A" w:rsidRPr="001C328A">
        <w:rPr>
          <w:szCs w:val="27"/>
        </w:rPr>
        <w:t>”</w:t>
      </w:r>
      <w:r w:rsidR="00F57E65" w:rsidRPr="00A71F78">
        <w:t xml:space="preserve"> </w:t>
      </w:r>
      <w:r w:rsidR="000F7ADD">
        <w:t xml:space="preserve"> </w:t>
      </w:r>
      <w:r w:rsidR="00B66EA7" w:rsidRPr="00A71F78">
        <w:t>(</w:t>
      </w:r>
      <w:r w:rsidR="00B66EA7" w:rsidRPr="00A71F78">
        <w:rPr>
          <w:i/>
          <w:iCs/>
        </w:rPr>
        <w:t>People v. Jennings</w:t>
      </w:r>
      <w:r w:rsidR="00B66EA7" w:rsidRPr="00A71F78">
        <w:t xml:space="preserve"> (2010) 50 Cal.4</w:t>
      </w:r>
      <w:r w:rsidR="00401E41">
        <w:t xml:space="preserve">th </w:t>
      </w:r>
      <w:r w:rsidR="00B66EA7" w:rsidRPr="00A71F78">
        <w:t>616, 643</w:t>
      </w:r>
      <w:r w:rsidR="00F57E65" w:rsidRPr="00A71F78">
        <w:t xml:space="preserve"> </w:t>
      </w:r>
      <w:bookmarkEnd w:id="8"/>
      <w:r w:rsidR="00B66EA7" w:rsidRPr="00A71F78">
        <w:t>(</w:t>
      </w:r>
      <w:r w:rsidR="00B66EA7" w:rsidRPr="00A71F78">
        <w:rPr>
          <w:i/>
          <w:iCs/>
        </w:rPr>
        <w:t>Jennings</w:t>
      </w:r>
      <w:r w:rsidR="00B66EA7" w:rsidRPr="00A71F78">
        <w:t>); see CALJIC No. 3.4</w:t>
      </w:r>
      <w:r w:rsidR="00B66EA7" w:rsidRPr="001C328A">
        <w:t>1; see also CALCRIM No. 520.)</w:t>
      </w:r>
      <w:r w:rsidR="00B66EA7" w:rsidRPr="00A71F78">
        <w:t xml:space="preserve">  “[A] cause is concurrent if it was ‘operative at the time of the murder and acted with another cause to produce the murder.’</w:t>
      </w:r>
      <w:r w:rsidR="00BE0206">
        <w:t> </w:t>
      </w:r>
      <w:r w:rsidR="00B66EA7" w:rsidRPr="00A71F78">
        <w:t>”  (</w:t>
      </w:r>
      <w:r w:rsidR="00B66EA7" w:rsidRPr="00A71F78">
        <w:rPr>
          <w:i/>
          <w:iCs/>
        </w:rPr>
        <w:t>People v. Crew</w:t>
      </w:r>
      <w:r w:rsidR="00B66EA7" w:rsidRPr="00A71F78">
        <w:t xml:space="preserve"> (2003) 31 Cal.4</w:t>
      </w:r>
      <w:r w:rsidR="00401E41">
        <w:t xml:space="preserve">th </w:t>
      </w:r>
      <w:r w:rsidR="00B66EA7" w:rsidRPr="00A71F78">
        <w:t>822, 846 (</w:t>
      </w:r>
      <w:r w:rsidR="00B66EA7" w:rsidRPr="00A71F78">
        <w:rPr>
          <w:i/>
          <w:iCs/>
        </w:rPr>
        <w:t>Crew</w:t>
      </w:r>
      <w:r w:rsidR="00B66EA7" w:rsidRPr="00A71F78">
        <w:t xml:space="preserve">), quoting CALJIC No. 3.41.) </w:t>
      </w:r>
      <w:r w:rsidR="004542A9" w:rsidRPr="00A71F78">
        <w:t>“ ‘[A]s long as the jury finds that without the criminal act the death would not have occurred when it did, it need not determine which of the concurrent causes was the principal or primary cause of death.’</w:t>
      </w:r>
      <w:r w:rsidR="00BE0206">
        <w:t> </w:t>
      </w:r>
      <w:r w:rsidR="004542A9" w:rsidRPr="00A71F78">
        <w:t>”  (</w:t>
      </w:r>
      <w:r w:rsidR="004542A9" w:rsidRPr="00A71F78">
        <w:rPr>
          <w:i/>
          <w:iCs/>
        </w:rPr>
        <w:t>Jennings,</w:t>
      </w:r>
      <w:r w:rsidR="004542A9" w:rsidRPr="00A71F78">
        <w:t xml:space="preserve"> at p. 643.)</w:t>
      </w:r>
    </w:p>
    <w:bookmarkEnd w:id="6"/>
    <w:p w14:paraId="21B52DC4" w14:textId="237A19AC" w:rsidR="00BD3BD0" w:rsidRPr="00A71F78" w:rsidRDefault="00243CEA" w:rsidP="00A31766">
      <w:pPr>
        <w:tabs>
          <w:tab w:val="left" w:pos="1440"/>
        </w:tabs>
        <w:ind w:firstLine="720"/>
      </w:pPr>
      <w:r w:rsidRPr="00A71F78">
        <w:t xml:space="preserve">The </w:t>
      </w:r>
      <w:r w:rsidR="00E47392" w:rsidRPr="00A71F78">
        <w:t>limitation</w:t>
      </w:r>
      <w:r w:rsidR="00A224F0" w:rsidRPr="00A71F78">
        <w:t xml:space="preserve"> </w:t>
      </w:r>
      <w:r w:rsidR="0079566B" w:rsidRPr="00A71F78">
        <w:t>on</w:t>
      </w:r>
      <w:r w:rsidR="00B37406" w:rsidRPr="00A71F78">
        <w:t xml:space="preserve"> liability </w:t>
      </w:r>
      <w:r w:rsidR="008C0F26" w:rsidRPr="00A71F78">
        <w:t xml:space="preserve">under the second component of proximate cause </w:t>
      </w:r>
      <w:r w:rsidR="00B37406" w:rsidRPr="00A71F78">
        <w:t xml:space="preserve">comes down to the </w:t>
      </w:r>
      <w:r w:rsidR="00757D3A" w:rsidRPr="00A71F78">
        <w:t>question</w:t>
      </w:r>
      <w:r w:rsidR="00B37406" w:rsidRPr="00A71F78">
        <w:t xml:space="preserve"> of foreseeability. </w:t>
      </w:r>
      <w:r w:rsidR="005C4ACF" w:rsidRPr="00A71F78">
        <w:t xml:space="preserve"> (See </w:t>
      </w:r>
      <w:r w:rsidR="005C4ACF" w:rsidRPr="00A71F78">
        <w:rPr>
          <w:i/>
          <w:iCs/>
        </w:rPr>
        <w:t>People v. Roberts</w:t>
      </w:r>
      <w:r w:rsidR="005C4ACF" w:rsidRPr="00A71F78">
        <w:t xml:space="preserve"> (1992) 2 Cal.</w:t>
      </w:r>
      <w:r w:rsidR="002968A5" w:rsidRPr="00A71F78">
        <w:t xml:space="preserve">4th </w:t>
      </w:r>
      <w:r w:rsidR="005C4ACF" w:rsidRPr="00A71F78">
        <w:t>271, 321 (</w:t>
      </w:r>
      <w:r w:rsidR="005C4ACF" w:rsidRPr="00A71F78">
        <w:rPr>
          <w:i/>
          <w:iCs/>
        </w:rPr>
        <w:t>Roberts</w:t>
      </w:r>
      <w:r w:rsidR="005C4ACF" w:rsidRPr="00A71F78">
        <w:t xml:space="preserve">).) </w:t>
      </w:r>
      <w:r w:rsidR="007276D4" w:rsidRPr="00A71F78">
        <w:t xml:space="preserve"> “</w:t>
      </w:r>
      <w:r w:rsidR="00F71B99" w:rsidRPr="00A71F78">
        <w:t>The object of the criminal law is to deter the individual from committing acts that injur</w:t>
      </w:r>
      <w:r w:rsidR="00796F44" w:rsidRPr="00A71F78">
        <w:t>e society by harming others, their property, or the public welfare, and to express society’s condemnation of such acts by punishing them.  ‘The purpose of the criminal law is to define socially intolerable conduct, and to hold conduct within</w:t>
      </w:r>
      <w:r w:rsidR="002424BF">
        <w:rPr>
          <w:szCs w:val="26"/>
        </w:rPr>
        <w:t xml:space="preserve"> . . . </w:t>
      </w:r>
      <w:r w:rsidR="00796F44" w:rsidRPr="00A71F78">
        <w:t>limits</w:t>
      </w:r>
      <w:r w:rsidR="002424BF">
        <w:rPr>
          <w:szCs w:val="26"/>
        </w:rPr>
        <w:t> . . .</w:t>
      </w:r>
      <w:r w:rsidR="00796F44" w:rsidRPr="00A71F78">
        <w:t xml:space="preserve"> reasonably acceptable from the social point of view.’</w:t>
      </w:r>
      <w:r w:rsidR="00BE0206">
        <w:t> </w:t>
      </w:r>
      <w:r w:rsidR="002968A5" w:rsidRPr="00A71F78">
        <w:t>”</w:t>
      </w:r>
      <w:r w:rsidR="007F3CFB" w:rsidRPr="00A71F78">
        <w:t xml:space="preserve">  (</w:t>
      </w:r>
      <w:r w:rsidR="007F3CFB" w:rsidRPr="00A71F78">
        <w:rPr>
          <w:i/>
          <w:iCs/>
        </w:rPr>
        <w:t>Id</w:t>
      </w:r>
      <w:r w:rsidR="007F3CFB" w:rsidRPr="00A71F78">
        <w:t xml:space="preserve">. at p. 316.)  </w:t>
      </w:r>
      <w:bookmarkEnd w:id="7"/>
      <w:r w:rsidR="007F3CFB" w:rsidRPr="00A71F78">
        <w:t>“</w:t>
      </w:r>
      <w:r w:rsidR="007276D4" w:rsidRPr="00A71F78">
        <w:t>The criminal la</w:t>
      </w:r>
      <w:r w:rsidR="00F71B99" w:rsidRPr="00A71F78">
        <w:t xml:space="preserve">w thus </w:t>
      </w:r>
      <w:r w:rsidR="007276D4" w:rsidRPr="00A71F78">
        <w:t>is clear that for liability to be found, the cause of the harm not only must be direct, but also not so remote as to fail to constitute the natural and probable consequence of the defendant’s act.”  (</w:t>
      </w:r>
      <w:r w:rsidR="007276D4" w:rsidRPr="00A71F78">
        <w:rPr>
          <w:i/>
          <w:iCs/>
        </w:rPr>
        <w:t>Id</w:t>
      </w:r>
      <w:r w:rsidR="007276D4" w:rsidRPr="00A71F78">
        <w:t xml:space="preserve">. at p. 319.) </w:t>
      </w:r>
      <w:r w:rsidR="00B070A8" w:rsidRPr="00A71F78">
        <w:t xml:space="preserve"> </w:t>
      </w:r>
      <w:r w:rsidR="00CC6449" w:rsidRPr="00A71F78">
        <w:t xml:space="preserve">Put </w:t>
      </w:r>
      <w:r w:rsidR="005C490C" w:rsidRPr="00A71F78">
        <w:t>simply</w:t>
      </w:r>
      <w:r w:rsidR="00CC6449" w:rsidRPr="00A71F78">
        <w:t xml:space="preserve">, </w:t>
      </w:r>
      <w:r w:rsidR="00CA65D4" w:rsidRPr="00A71F78">
        <w:t>“[a]</w:t>
      </w:r>
      <w:r w:rsidR="005C4ACF" w:rsidRPr="00A71F78">
        <w:t xml:space="preserve"> result cannot be the natural and probable cause of an act if the act was unforeseeable.”  (</w:t>
      </w:r>
      <w:r w:rsidR="00F40353" w:rsidRPr="00A71F78">
        <w:rPr>
          <w:i/>
          <w:iCs/>
        </w:rPr>
        <w:t>Id</w:t>
      </w:r>
      <w:r w:rsidR="00F40353" w:rsidRPr="00A71F78">
        <w:t>.</w:t>
      </w:r>
      <w:r w:rsidR="005C4ACF" w:rsidRPr="00A71F78">
        <w:t xml:space="preserve"> at p</w:t>
      </w:r>
      <w:r w:rsidR="002968A5" w:rsidRPr="00A71F78">
        <w:t>p</w:t>
      </w:r>
      <w:r w:rsidR="005C4ACF" w:rsidRPr="00A71F78">
        <w:t>. 321</w:t>
      </w:r>
      <w:r w:rsidR="006330C7">
        <w:t>–</w:t>
      </w:r>
      <w:r w:rsidR="002968A5" w:rsidRPr="00A71F78">
        <w:t>322</w:t>
      </w:r>
      <w:r w:rsidR="00465B92" w:rsidRPr="00A71F78">
        <w:t xml:space="preserve">; see </w:t>
      </w:r>
      <w:r w:rsidR="00465B92" w:rsidRPr="00A71F78">
        <w:rPr>
          <w:i/>
          <w:iCs/>
        </w:rPr>
        <w:t xml:space="preserve">People v. Fiu </w:t>
      </w:r>
      <w:r w:rsidR="00465B92" w:rsidRPr="00A71F78">
        <w:t xml:space="preserve">(2008) 165 Cal.App.4th 360, 372 </w:t>
      </w:r>
      <w:r w:rsidR="00A224F0" w:rsidRPr="00A71F78">
        <w:t>(</w:t>
      </w:r>
      <w:r w:rsidR="00A224F0" w:rsidRPr="00A71F78">
        <w:rPr>
          <w:i/>
          <w:iCs/>
        </w:rPr>
        <w:t>Fiu</w:t>
      </w:r>
      <w:r w:rsidR="00A224F0" w:rsidRPr="00A71F78">
        <w:t xml:space="preserve">) </w:t>
      </w:r>
      <w:r w:rsidR="00465B92" w:rsidRPr="00A71F78">
        <w:t>[</w:t>
      </w:r>
      <w:r w:rsidR="00016A5D" w:rsidRPr="00A71F78">
        <w:t>“</w:t>
      </w:r>
      <w:r w:rsidR="00C00C39" w:rsidRPr="00A71F78">
        <w:t xml:space="preserve">language </w:t>
      </w:r>
      <w:r w:rsidR="00016A5D" w:rsidRPr="00A71F78">
        <w:t>in</w:t>
      </w:r>
      <w:r w:rsidR="00C00C39" w:rsidRPr="00A71F78">
        <w:t xml:space="preserve"> CALJIC No. 3.40</w:t>
      </w:r>
      <w:r w:rsidR="00465B92" w:rsidRPr="00A71F78">
        <w:t xml:space="preserve"> requiring an injury or death to be a direct, natural, and probable consequence of a defendant’s act necessarily refers to consequences that are reasonably foreseeable”]</w:t>
      </w:r>
      <w:r w:rsidR="005C4ACF" w:rsidRPr="00A71F78">
        <w:t xml:space="preserve">.) </w:t>
      </w:r>
      <w:r w:rsidR="00F40353" w:rsidRPr="00A71F78">
        <w:t xml:space="preserve"> </w:t>
      </w:r>
    </w:p>
    <w:p w14:paraId="241A391C" w14:textId="5A16B122" w:rsidR="00DB175C" w:rsidRPr="00A71F78" w:rsidRDefault="005F5F8D" w:rsidP="00A31766">
      <w:pPr>
        <w:tabs>
          <w:tab w:val="left" w:pos="1440"/>
        </w:tabs>
        <w:ind w:firstLine="720"/>
      </w:pPr>
      <w:r w:rsidRPr="00A71F78">
        <w:t xml:space="preserve">Foreseeability is also relevant when considering </w:t>
      </w:r>
      <w:r w:rsidR="0079566B" w:rsidRPr="00A71F78">
        <w:t xml:space="preserve">the effect of </w:t>
      </w:r>
      <w:r w:rsidRPr="00A71F78">
        <w:t xml:space="preserve">an intervening act </w:t>
      </w:r>
      <w:r w:rsidR="0079566B" w:rsidRPr="00A71F78">
        <w:t xml:space="preserve">on </w:t>
      </w:r>
      <w:r w:rsidRPr="00A71F78">
        <w:t xml:space="preserve">the chain of causation.  </w:t>
      </w:r>
      <w:r w:rsidR="00016A5D" w:rsidRPr="00A71F78">
        <w:t xml:space="preserve">(See </w:t>
      </w:r>
      <w:r w:rsidR="00016A5D" w:rsidRPr="00A71F78">
        <w:rPr>
          <w:i/>
          <w:iCs/>
        </w:rPr>
        <w:t>Roberts</w:t>
      </w:r>
      <w:r w:rsidR="00016A5D" w:rsidRPr="00A71F78">
        <w:t xml:space="preserve">, </w:t>
      </w:r>
      <w:r w:rsidR="00016A5D" w:rsidRPr="00A71F78">
        <w:rPr>
          <w:i/>
          <w:iCs/>
        </w:rPr>
        <w:t>supra</w:t>
      </w:r>
      <w:r w:rsidR="00016A5D" w:rsidRPr="00A71F78">
        <w:t xml:space="preserve">, 2 Cal.4th at pp. 321–322.)  </w:t>
      </w:r>
      <w:r w:rsidRPr="00A71F78">
        <w:t>“To relieve a defendant of criminal liability, an intervening cause must be an unforeseeable and extraordinary occurrence.  [Citation.]  The defendant remains criminally liable if either the possible consequence might reasonably have been contemplated or the defendant should have foreseen the possibility of harm of the kind that could result from his act.”  (</w:t>
      </w:r>
      <w:r w:rsidRPr="00A71F78">
        <w:rPr>
          <w:i/>
          <w:iCs/>
        </w:rPr>
        <w:t>Crew</w:t>
      </w:r>
      <w:r w:rsidRPr="00A71F78">
        <w:t xml:space="preserve">, </w:t>
      </w:r>
      <w:r w:rsidRPr="00A71F78">
        <w:rPr>
          <w:i/>
          <w:iCs/>
        </w:rPr>
        <w:t>supra</w:t>
      </w:r>
      <w:r w:rsidRPr="00A71F78">
        <w:t>, 31 Cal.4th at p. 84</w:t>
      </w:r>
      <w:r w:rsidR="002968A5" w:rsidRPr="00A71F78">
        <w:t>7</w:t>
      </w:r>
      <w:r w:rsidR="00D52E9D" w:rsidRPr="00A71F78">
        <w:t xml:space="preserve">; see </w:t>
      </w:r>
      <w:r w:rsidR="00D52E9D" w:rsidRPr="00A71F78">
        <w:rPr>
          <w:i/>
          <w:iCs/>
        </w:rPr>
        <w:t>Schmies</w:t>
      </w:r>
      <w:r w:rsidR="00D52E9D" w:rsidRPr="00A71F78">
        <w:t xml:space="preserve">, </w:t>
      </w:r>
      <w:r w:rsidR="00D52E9D" w:rsidRPr="00A71F78">
        <w:rPr>
          <w:i/>
          <w:iCs/>
        </w:rPr>
        <w:t>supra</w:t>
      </w:r>
      <w:r w:rsidR="00D52E9D" w:rsidRPr="00A71F78">
        <w:t>, 44 Cal.App.4th at p. 49 [</w:t>
      </w:r>
      <w:r w:rsidR="00235A73" w:rsidRPr="00A71F78">
        <w:t>“An ‘independent’ intervening ‘act may be so disconnected and unforeseeable as to be a superseding cause, i.e., in such a case the defendant’s act will be a remote, and not the proximate, cause</w:t>
      </w:r>
      <w:r w:rsidR="00392F51" w:rsidRPr="00A71F78">
        <w:t>’</w:t>
      </w:r>
      <w:r w:rsidR="00BE0206">
        <w:t> </w:t>
      </w:r>
      <w:r w:rsidR="00235A73" w:rsidRPr="00A71F78">
        <w:t>”</w:t>
      </w:r>
      <w:r w:rsidR="00D52E9D" w:rsidRPr="00A71F78">
        <w:t>]</w:t>
      </w:r>
      <w:r w:rsidRPr="00A71F78">
        <w:t xml:space="preserve">.) </w:t>
      </w:r>
      <w:r w:rsidR="009462A9" w:rsidRPr="00A71F78">
        <w:t xml:space="preserve"> </w:t>
      </w:r>
      <w:r w:rsidR="008104DD" w:rsidRPr="00A71F78">
        <w:t>“The act of another constitutes a superseding cause precluding responsibility of the initial actor only if the other’s conduct is both unforeseeable and causes harm that was not the foreseeable consequence of the initial actor’s conduct.”  (</w:t>
      </w:r>
      <w:r w:rsidR="008104DD" w:rsidRPr="00A71F78">
        <w:rPr>
          <w:i/>
          <w:iCs/>
        </w:rPr>
        <w:t>People v. Brady</w:t>
      </w:r>
      <w:r w:rsidR="008104DD" w:rsidRPr="00A71F78">
        <w:t xml:space="preserve"> (2005) 129 Cal.App.4th 1314, 132</w:t>
      </w:r>
      <w:r w:rsidR="001E7F53">
        <w:t>9–1330</w:t>
      </w:r>
      <w:r w:rsidR="00E76939" w:rsidRPr="00A71F78">
        <w:t xml:space="preserve"> [whether </w:t>
      </w:r>
      <w:r w:rsidR="00204FA1" w:rsidRPr="00A71F78">
        <w:t xml:space="preserve">in-air collision </w:t>
      </w:r>
      <w:r w:rsidR="00E76939" w:rsidRPr="00A71F78">
        <w:t>deaths of two firefighter pilots were “reasonably foreseeable consequences” of fire recklessly started near methamphetamine laboratory]</w:t>
      </w:r>
      <w:r w:rsidR="008104DD" w:rsidRPr="00A71F78">
        <w:t xml:space="preserve">.) </w:t>
      </w:r>
    </w:p>
    <w:p w14:paraId="2402F2B0" w14:textId="5EB64383" w:rsidR="00EC08D9" w:rsidRPr="00A71F78" w:rsidRDefault="005B5AD0" w:rsidP="00A31766">
      <w:pPr>
        <w:tabs>
          <w:tab w:val="left" w:pos="1440"/>
        </w:tabs>
        <w:ind w:firstLine="720"/>
      </w:pPr>
      <w:r w:rsidRPr="00A71F78">
        <w:t>With this</w:t>
      </w:r>
      <w:r w:rsidR="001B5D20" w:rsidRPr="00A71F78">
        <w:t xml:space="preserve"> </w:t>
      </w:r>
      <w:r w:rsidR="001D5C73" w:rsidRPr="00A71F78">
        <w:t>proximate</w:t>
      </w:r>
      <w:r w:rsidR="007F478F" w:rsidRPr="00A71F78">
        <w:t xml:space="preserve"> cause framework</w:t>
      </w:r>
      <w:r w:rsidRPr="00A71F78">
        <w:t xml:space="preserve"> in mind</w:t>
      </w:r>
      <w:r w:rsidR="001D5C73" w:rsidRPr="00A71F78">
        <w:t xml:space="preserve">, we </w:t>
      </w:r>
      <w:r w:rsidR="00F34A09" w:rsidRPr="00A71F78">
        <w:t xml:space="preserve">turn to </w:t>
      </w:r>
      <w:r w:rsidR="00601440" w:rsidRPr="00A71F78">
        <w:rPr>
          <w:i/>
          <w:iCs/>
        </w:rPr>
        <w:t>Sanchez</w:t>
      </w:r>
      <w:r w:rsidR="00BD3BD0" w:rsidRPr="00A71F78">
        <w:t xml:space="preserve"> </w:t>
      </w:r>
      <w:r w:rsidR="001B2E8E" w:rsidRPr="00A71F78">
        <w:t xml:space="preserve">and its use of the term “substantial concurrent cause.” </w:t>
      </w:r>
      <w:r w:rsidR="00A46D6C" w:rsidRPr="00A71F78">
        <w:t xml:space="preserve"> </w:t>
      </w:r>
    </w:p>
    <w:p w14:paraId="79DB09EF" w14:textId="77777777" w:rsidR="00EC08D9" w:rsidRPr="00A71F78" w:rsidRDefault="00EC08D9" w:rsidP="00A31766">
      <w:pPr>
        <w:pStyle w:val="Heading2"/>
      </w:pPr>
      <w:r w:rsidRPr="00A71F78">
        <w:t>B.</w:t>
      </w:r>
      <w:r w:rsidRPr="00A71F78">
        <w:tab/>
      </w:r>
      <w:r w:rsidRPr="00A71F78">
        <w:rPr>
          <w:i/>
          <w:iCs/>
        </w:rPr>
        <w:t>Sanchez</w:t>
      </w:r>
    </w:p>
    <w:p w14:paraId="740B73E7" w14:textId="7A031DE9" w:rsidR="00A63813" w:rsidRPr="00A71F78" w:rsidRDefault="0070654A" w:rsidP="00A31766">
      <w:pPr>
        <w:tabs>
          <w:tab w:val="left" w:pos="1440"/>
        </w:tabs>
        <w:ind w:firstLine="720"/>
      </w:pPr>
      <w:r w:rsidRPr="00A71F78">
        <w:t xml:space="preserve">In </w:t>
      </w:r>
      <w:r w:rsidRPr="00A71F78">
        <w:rPr>
          <w:i/>
          <w:iCs/>
        </w:rPr>
        <w:t>Sanchez</w:t>
      </w:r>
      <w:r w:rsidRPr="00A71F78">
        <w:t xml:space="preserve">, this court </w:t>
      </w:r>
      <w:r w:rsidR="002E2762" w:rsidRPr="00A71F78">
        <w:t>held that the act of a defendant who may not have fired the fatal bullet was sufficient to establish proximate cause because</w:t>
      </w:r>
      <w:r w:rsidR="00C07355" w:rsidRPr="00A71F78">
        <w:t xml:space="preserve"> the act</w:t>
      </w:r>
      <w:r w:rsidR="00BE0206">
        <w:t> </w:t>
      </w:r>
      <w:r w:rsidR="00F34A09" w:rsidRPr="00A71F78">
        <w:t xml:space="preserve">— </w:t>
      </w:r>
      <w:r w:rsidR="00EF2BF7" w:rsidRPr="00A71F78">
        <w:t xml:space="preserve">engaging a rival gang member </w:t>
      </w:r>
      <w:r w:rsidR="00C07355" w:rsidRPr="00A71F78">
        <w:t>in a public gun shootout</w:t>
      </w:r>
      <w:r w:rsidR="00BE0206">
        <w:t> </w:t>
      </w:r>
      <w:r w:rsidR="00F34A09" w:rsidRPr="00A71F78">
        <w:t xml:space="preserve">— </w:t>
      </w:r>
      <w:r w:rsidR="002E2762" w:rsidRPr="00A71F78">
        <w:t xml:space="preserve">was a </w:t>
      </w:r>
      <w:r w:rsidR="00C55A7A" w:rsidRPr="00A71F78">
        <w:t>“substantial concurrent cause”</w:t>
      </w:r>
      <w:r w:rsidR="002E2762" w:rsidRPr="00A71F78">
        <w:t xml:space="preserve"> of the victim’s death</w:t>
      </w:r>
      <w:r w:rsidR="00CF0E53" w:rsidRPr="00A71F78">
        <w:t xml:space="preserve">. </w:t>
      </w:r>
      <w:r w:rsidR="00CF3885" w:rsidRPr="00A71F78">
        <w:t xml:space="preserve"> </w:t>
      </w:r>
      <w:r w:rsidR="008A51B8" w:rsidRPr="00A71F78">
        <w:t>(</w:t>
      </w:r>
      <w:r w:rsidR="008A51B8" w:rsidRPr="00A71F78">
        <w:rPr>
          <w:i/>
          <w:iCs/>
        </w:rPr>
        <w:t>Sanchez</w:t>
      </w:r>
      <w:r w:rsidR="008A51B8" w:rsidRPr="00A71F78">
        <w:t xml:space="preserve">, </w:t>
      </w:r>
      <w:r w:rsidR="008A51B8" w:rsidRPr="00A71F78">
        <w:rPr>
          <w:i/>
          <w:iCs/>
        </w:rPr>
        <w:t>supra</w:t>
      </w:r>
      <w:r w:rsidR="008A51B8" w:rsidRPr="00A71F78">
        <w:t>, 26 Cal.4th at p. 845</w:t>
      </w:r>
      <w:r w:rsidR="008E48D6" w:rsidRPr="00A71F78">
        <w:t xml:space="preserve">; see </w:t>
      </w:r>
      <w:r w:rsidR="009F6576" w:rsidRPr="00A71F78">
        <w:rPr>
          <w:i/>
          <w:iCs/>
        </w:rPr>
        <w:t>id</w:t>
      </w:r>
      <w:r w:rsidR="009F6576" w:rsidRPr="00A71F78">
        <w:t xml:space="preserve">. at pp. </w:t>
      </w:r>
      <w:r w:rsidR="008E48D6" w:rsidRPr="00A71F78">
        <w:t>854–857 (conc. opn. of Kennard, J.)</w:t>
      </w:r>
      <w:r w:rsidR="008A51B8" w:rsidRPr="00A71F78">
        <w:t xml:space="preserve">.) </w:t>
      </w:r>
      <w:r w:rsidRPr="00A71F78">
        <w:t xml:space="preserve"> The parties</w:t>
      </w:r>
      <w:r w:rsidR="00455082" w:rsidRPr="00A71F78">
        <w:t xml:space="preserve"> here</w:t>
      </w:r>
      <w:r w:rsidR="00B32751" w:rsidRPr="00A71F78">
        <w:t xml:space="preserve"> </w:t>
      </w:r>
      <w:r w:rsidRPr="00A71F78">
        <w:t>offer competing views of</w:t>
      </w:r>
      <w:r w:rsidR="00887578" w:rsidRPr="00A71F78">
        <w:t xml:space="preserve"> what we meant by “substantial concurrent cause.”</w:t>
      </w:r>
      <w:r w:rsidR="008A51B8" w:rsidRPr="00A71F78">
        <w:t xml:space="preserve"> </w:t>
      </w:r>
      <w:r w:rsidR="00455082" w:rsidRPr="00A71F78">
        <w:t xml:space="preserve"> </w:t>
      </w:r>
    </w:p>
    <w:p w14:paraId="25DF2E0D" w14:textId="03F7ACAD" w:rsidR="00171BB1" w:rsidRPr="00A71F78" w:rsidRDefault="001A0A92" w:rsidP="00A31766">
      <w:pPr>
        <w:tabs>
          <w:tab w:val="left" w:pos="1440"/>
        </w:tabs>
        <w:ind w:firstLine="720"/>
        <w:rPr>
          <w:szCs w:val="26"/>
        </w:rPr>
      </w:pPr>
      <w:r w:rsidRPr="00A71F78">
        <w:rPr>
          <w:szCs w:val="26"/>
        </w:rPr>
        <w:t xml:space="preserve">The Mitchells </w:t>
      </w:r>
      <w:r w:rsidR="002B36F7" w:rsidRPr="00A71F78">
        <w:rPr>
          <w:szCs w:val="26"/>
        </w:rPr>
        <w:t xml:space="preserve">contend </w:t>
      </w:r>
      <w:r w:rsidR="003F682D" w:rsidRPr="00A71F78">
        <w:rPr>
          <w:szCs w:val="26"/>
        </w:rPr>
        <w:t xml:space="preserve">that </w:t>
      </w:r>
      <w:r w:rsidR="002B36F7" w:rsidRPr="00A71F78">
        <w:rPr>
          <w:szCs w:val="26"/>
        </w:rPr>
        <w:t>“</w:t>
      </w:r>
      <w:r w:rsidR="002B36F7" w:rsidRPr="00A71F78">
        <w:rPr>
          <w:i/>
          <w:iCs/>
          <w:szCs w:val="26"/>
        </w:rPr>
        <w:t>Sanchez</w:t>
      </w:r>
      <w:r w:rsidR="002B36F7" w:rsidRPr="00A71F78">
        <w:rPr>
          <w:szCs w:val="26"/>
        </w:rPr>
        <w:t>’s ‘substantial concurrent causation’ theory</w:t>
      </w:r>
      <w:r w:rsidR="00AB4124" w:rsidRPr="00A71F78">
        <w:rPr>
          <w:szCs w:val="26"/>
        </w:rPr>
        <w:t> </w:t>
      </w:r>
      <w:r w:rsidR="002B36F7" w:rsidRPr="00A71F78">
        <w:rPr>
          <w:szCs w:val="26"/>
        </w:rPr>
        <w:t>.</w:t>
      </w:r>
      <w:r w:rsidR="008E0AF1" w:rsidRPr="00A71F78">
        <w:rPr>
          <w:szCs w:val="26"/>
        </w:rPr>
        <w:t> </w:t>
      </w:r>
      <w:r w:rsidR="002B36F7" w:rsidRPr="00A71F78">
        <w:rPr>
          <w:szCs w:val="26"/>
        </w:rPr>
        <w:t>.</w:t>
      </w:r>
      <w:r w:rsidR="00AB4124" w:rsidRPr="00A71F78">
        <w:rPr>
          <w:szCs w:val="26"/>
        </w:rPr>
        <w:t> </w:t>
      </w:r>
      <w:r w:rsidR="002B36F7" w:rsidRPr="00A71F78">
        <w:rPr>
          <w:szCs w:val="26"/>
        </w:rPr>
        <w:t>. only makes sense where the actual killer is unknown.</w:t>
      </w:r>
      <w:r w:rsidR="00730313" w:rsidRPr="00A71F78">
        <w:rPr>
          <w:szCs w:val="26"/>
        </w:rPr>
        <w:t>”</w:t>
      </w:r>
      <w:r w:rsidR="0012733D" w:rsidRPr="00A71F78">
        <w:rPr>
          <w:szCs w:val="26"/>
        </w:rPr>
        <w:t xml:space="preserve"> </w:t>
      </w:r>
      <w:r w:rsidR="008E0AF1" w:rsidRPr="00A71F78">
        <w:rPr>
          <w:szCs w:val="26"/>
        </w:rPr>
        <w:t xml:space="preserve"> </w:t>
      </w:r>
      <w:r w:rsidR="00783C92" w:rsidRPr="00A71F78">
        <w:rPr>
          <w:szCs w:val="26"/>
        </w:rPr>
        <w:t xml:space="preserve">In their view, </w:t>
      </w:r>
      <w:r w:rsidR="00133229" w:rsidRPr="00A71F78">
        <w:rPr>
          <w:szCs w:val="26"/>
        </w:rPr>
        <w:t>“[</w:t>
      </w:r>
      <w:r w:rsidR="00826CAA" w:rsidRPr="00A71F78">
        <w:rPr>
          <w:szCs w:val="26"/>
        </w:rPr>
        <w:t>w</w:t>
      </w:r>
      <w:r w:rsidR="00133229" w:rsidRPr="00A71F78">
        <w:rPr>
          <w:szCs w:val="26"/>
        </w:rPr>
        <w:t>]</w:t>
      </w:r>
      <w:r w:rsidR="002B36F7" w:rsidRPr="00A71F78">
        <w:rPr>
          <w:szCs w:val="26"/>
        </w:rPr>
        <w:t xml:space="preserve">here the facts show that either defendant’s bullet could have killed the bystander, </w:t>
      </w:r>
      <w:r w:rsidR="002B36F7" w:rsidRPr="00A71F78">
        <w:rPr>
          <w:i/>
          <w:iCs/>
          <w:szCs w:val="26"/>
        </w:rPr>
        <w:t>Sanchez</w:t>
      </w:r>
      <w:r w:rsidR="002B36F7" w:rsidRPr="00A71F78">
        <w:rPr>
          <w:szCs w:val="26"/>
        </w:rPr>
        <w:t xml:space="preserve"> treats each defendant’s act in shooting as a ‘substantial’ cause of the bystander’s death, applying a </w:t>
      </w:r>
      <w:r w:rsidR="002B36F7" w:rsidRPr="00A71F78">
        <w:rPr>
          <w:i/>
          <w:iCs/>
          <w:szCs w:val="26"/>
        </w:rPr>
        <w:t>lesser standard</w:t>
      </w:r>
      <w:r w:rsidR="004A4816" w:rsidRPr="00A71F78">
        <w:rPr>
          <w:szCs w:val="26"/>
        </w:rPr>
        <w:t xml:space="preserve">” than actual causation to find defendant guilty of the bystander’s murder. </w:t>
      </w:r>
      <w:r w:rsidR="002B36F7" w:rsidRPr="00A71F78">
        <w:rPr>
          <w:szCs w:val="26"/>
        </w:rPr>
        <w:t xml:space="preserve"> </w:t>
      </w:r>
      <w:r w:rsidR="00783C92" w:rsidRPr="00A71F78">
        <w:rPr>
          <w:szCs w:val="26"/>
        </w:rPr>
        <w:t xml:space="preserve">So understood, </w:t>
      </w:r>
      <w:r w:rsidR="00783C92" w:rsidRPr="00A71F78">
        <w:rPr>
          <w:i/>
          <w:iCs/>
          <w:szCs w:val="26"/>
        </w:rPr>
        <w:t xml:space="preserve">Sanchez </w:t>
      </w:r>
      <w:r w:rsidR="00783C92" w:rsidRPr="00A71F78">
        <w:rPr>
          <w:szCs w:val="26"/>
        </w:rPr>
        <w:t xml:space="preserve">and its </w:t>
      </w:r>
      <w:r w:rsidR="002B36F7" w:rsidRPr="00A71F78">
        <w:rPr>
          <w:szCs w:val="26"/>
        </w:rPr>
        <w:t>“substantial concurrent causation</w:t>
      </w:r>
      <w:r w:rsidR="0058314A" w:rsidRPr="00A71F78">
        <w:rPr>
          <w:szCs w:val="26"/>
        </w:rPr>
        <w:t>”</w:t>
      </w:r>
      <w:r w:rsidR="002B36F7" w:rsidRPr="00A71F78">
        <w:rPr>
          <w:szCs w:val="26"/>
        </w:rPr>
        <w:t xml:space="preserve"> </w:t>
      </w:r>
      <w:r w:rsidR="00133229" w:rsidRPr="00A71F78">
        <w:rPr>
          <w:szCs w:val="26"/>
        </w:rPr>
        <w:t xml:space="preserve">rule </w:t>
      </w:r>
      <w:r w:rsidR="002B36F7" w:rsidRPr="00A71F78">
        <w:rPr>
          <w:szCs w:val="26"/>
        </w:rPr>
        <w:t xml:space="preserve">of liability </w:t>
      </w:r>
      <w:r w:rsidR="00783C92" w:rsidRPr="00A71F78">
        <w:rPr>
          <w:szCs w:val="26"/>
        </w:rPr>
        <w:t xml:space="preserve">are </w:t>
      </w:r>
      <w:r w:rsidR="00AE74CA" w:rsidRPr="00A71F78">
        <w:rPr>
          <w:szCs w:val="26"/>
        </w:rPr>
        <w:t>inapplicable</w:t>
      </w:r>
      <w:r w:rsidR="00783C92" w:rsidRPr="00A71F78">
        <w:rPr>
          <w:szCs w:val="26"/>
        </w:rPr>
        <w:t xml:space="preserve"> </w:t>
      </w:r>
      <w:r w:rsidR="00C855F2" w:rsidRPr="00A71F78">
        <w:rPr>
          <w:szCs w:val="26"/>
        </w:rPr>
        <w:t xml:space="preserve">here because </w:t>
      </w:r>
      <w:r w:rsidR="002B36F7" w:rsidRPr="00A71F78">
        <w:rPr>
          <w:szCs w:val="26"/>
        </w:rPr>
        <w:t>the evidence</w:t>
      </w:r>
      <w:r w:rsidR="00573F0C" w:rsidRPr="00A71F78">
        <w:rPr>
          <w:szCs w:val="26"/>
        </w:rPr>
        <w:t xml:space="preserve"> </w:t>
      </w:r>
      <w:r w:rsidR="00783C92" w:rsidRPr="00A71F78">
        <w:rPr>
          <w:szCs w:val="26"/>
        </w:rPr>
        <w:t xml:space="preserve">affirmatively </w:t>
      </w:r>
      <w:r w:rsidR="00573F0C" w:rsidRPr="00A71F78">
        <w:rPr>
          <w:szCs w:val="26"/>
        </w:rPr>
        <w:t>establishe</w:t>
      </w:r>
      <w:r w:rsidR="00C855F2" w:rsidRPr="00A71F78">
        <w:rPr>
          <w:szCs w:val="26"/>
        </w:rPr>
        <w:t>s</w:t>
      </w:r>
      <w:r w:rsidR="00573F0C" w:rsidRPr="00A71F78">
        <w:rPr>
          <w:szCs w:val="26"/>
        </w:rPr>
        <w:t xml:space="preserve"> that </w:t>
      </w:r>
      <w:r w:rsidR="00783C92" w:rsidRPr="00A71F78">
        <w:rPr>
          <w:szCs w:val="26"/>
        </w:rPr>
        <w:t xml:space="preserve">someone other than the Mitchells </w:t>
      </w:r>
      <w:r w:rsidR="002B36F7" w:rsidRPr="00A71F78">
        <w:rPr>
          <w:szCs w:val="26"/>
        </w:rPr>
        <w:t xml:space="preserve">fired the fatal shot.  </w:t>
      </w:r>
      <w:r w:rsidR="00783C92" w:rsidRPr="00A71F78">
        <w:rPr>
          <w:szCs w:val="26"/>
        </w:rPr>
        <w:t xml:space="preserve">To conclude otherwise, </w:t>
      </w:r>
      <w:r w:rsidR="005C579C" w:rsidRPr="00A71F78">
        <w:rPr>
          <w:szCs w:val="26"/>
        </w:rPr>
        <w:t xml:space="preserve">the Mitchells </w:t>
      </w:r>
      <w:r w:rsidR="00826CAA" w:rsidRPr="00A71F78">
        <w:rPr>
          <w:szCs w:val="26"/>
        </w:rPr>
        <w:t xml:space="preserve">contend, </w:t>
      </w:r>
      <w:r w:rsidR="009B5841" w:rsidRPr="00A71F78">
        <w:rPr>
          <w:szCs w:val="26"/>
        </w:rPr>
        <w:t xml:space="preserve">would </w:t>
      </w:r>
      <w:r w:rsidR="002B36F7" w:rsidRPr="00A71F78">
        <w:rPr>
          <w:szCs w:val="26"/>
        </w:rPr>
        <w:t xml:space="preserve">render actual causation a </w:t>
      </w:r>
      <w:r w:rsidR="009B5841" w:rsidRPr="00A71F78">
        <w:rPr>
          <w:szCs w:val="26"/>
        </w:rPr>
        <w:t>“</w:t>
      </w:r>
      <w:r w:rsidR="002B36F7" w:rsidRPr="00A71F78">
        <w:rPr>
          <w:szCs w:val="26"/>
        </w:rPr>
        <w:t>legal fiction”</w:t>
      </w:r>
      <w:r w:rsidR="00DA14BB" w:rsidRPr="00A71F78">
        <w:rPr>
          <w:szCs w:val="26"/>
        </w:rPr>
        <w:t xml:space="preserve"> </w:t>
      </w:r>
      <w:r w:rsidR="00783C92" w:rsidRPr="00A71F78">
        <w:rPr>
          <w:szCs w:val="26"/>
        </w:rPr>
        <w:t xml:space="preserve">in this case </w:t>
      </w:r>
      <w:r w:rsidR="00385BFD" w:rsidRPr="00A71F78">
        <w:rPr>
          <w:szCs w:val="26"/>
        </w:rPr>
        <w:t xml:space="preserve">because </w:t>
      </w:r>
      <w:r w:rsidR="00452E70" w:rsidRPr="00A71F78">
        <w:rPr>
          <w:szCs w:val="26"/>
        </w:rPr>
        <w:t>neither</w:t>
      </w:r>
      <w:r w:rsidR="00C07355" w:rsidRPr="00A71F78">
        <w:rPr>
          <w:szCs w:val="26"/>
        </w:rPr>
        <w:t xml:space="preserve"> of them</w:t>
      </w:r>
      <w:r w:rsidR="00452E70" w:rsidRPr="00A71F78">
        <w:rPr>
          <w:szCs w:val="26"/>
        </w:rPr>
        <w:t xml:space="preserve"> </w:t>
      </w:r>
      <w:r w:rsidR="00E156E5" w:rsidRPr="00A71F78">
        <w:rPr>
          <w:szCs w:val="26"/>
        </w:rPr>
        <w:t>fire</w:t>
      </w:r>
      <w:r w:rsidR="00452E70" w:rsidRPr="00A71F78">
        <w:rPr>
          <w:szCs w:val="26"/>
        </w:rPr>
        <w:t>d</w:t>
      </w:r>
      <w:r w:rsidR="00E156E5" w:rsidRPr="00A71F78">
        <w:rPr>
          <w:szCs w:val="26"/>
        </w:rPr>
        <w:t xml:space="preserve"> the fatal shot</w:t>
      </w:r>
      <w:r w:rsidR="0041338B" w:rsidRPr="00A71F78">
        <w:rPr>
          <w:szCs w:val="26"/>
        </w:rPr>
        <w:t>.</w:t>
      </w:r>
      <w:r w:rsidR="00385BFD" w:rsidRPr="00A71F78">
        <w:rPr>
          <w:szCs w:val="26"/>
        </w:rPr>
        <w:t xml:space="preserve"> </w:t>
      </w:r>
      <w:r w:rsidR="000A30C5" w:rsidRPr="00A71F78">
        <w:rPr>
          <w:szCs w:val="26"/>
        </w:rPr>
        <w:t xml:space="preserve"> </w:t>
      </w:r>
      <w:r w:rsidR="009128F2" w:rsidRPr="00A71F78">
        <w:rPr>
          <w:szCs w:val="26"/>
        </w:rPr>
        <w:t xml:space="preserve"> </w:t>
      </w:r>
    </w:p>
    <w:p w14:paraId="1C3A5874" w14:textId="0909605D" w:rsidR="005B5B96" w:rsidRPr="00A71F78" w:rsidRDefault="0046135B" w:rsidP="00A31766">
      <w:pPr>
        <w:tabs>
          <w:tab w:val="left" w:pos="1440"/>
        </w:tabs>
        <w:ind w:firstLine="720"/>
      </w:pPr>
      <w:r w:rsidRPr="00A71F78">
        <w:t xml:space="preserve">The Attorney General </w:t>
      </w:r>
      <w:r w:rsidR="00826CAA" w:rsidRPr="00A71F78">
        <w:t>submits</w:t>
      </w:r>
      <w:r w:rsidR="0066298E" w:rsidRPr="00A71F78">
        <w:t xml:space="preserve"> </w:t>
      </w:r>
      <w:r w:rsidR="009B5841" w:rsidRPr="00A71F78">
        <w:t xml:space="preserve">a different understanding of </w:t>
      </w:r>
      <w:r w:rsidR="0041338B" w:rsidRPr="00A71F78">
        <w:t xml:space="preserve">“substantial concurrent cause” and </w:t>
      </w:r>
      <w:r w:rsidR="00C11552" w:rsidRPr="00A71F78">
        <w:t xml:space="preserve">emphasizes </w:t>
      </w:r>
      <w:r w:rsidR="001738DE" w:rsidRPr="00A71F78">
        <w:t xml:space="preserve">the </w:t>
      </w:r>
      <w:r w:rsidR="00F17B5E" w:rsidRPr="00A71F78">
        <w:t xml:space="preserve">general </w:t>
      </w:r>
      <w:r w:rsidR="001738DE" w:rsidRPr="00A71F78">
        <w:t>reach of</w:t>
      </w:r>
      <w:r w:rsidR="00E57845" w:rsidRPr="00A71F78">
        <w:t xml:space="preserve"> </w:t>
      </w:r>
      <w:r w:rsidR="009B5841" w:rsidRPr="00A71F78">
        <w:rPr>
          <w:i/>
          <w:iCs/>
        </w:rPr>
        <w:t>Sanchez</w:t>
      </w:r>
      <w:r w:rsidR="00E57845" w:rsidRPr="00A71F78">
        <w:t>’s holding</w:t>
      </w:r>
      <w:r w:rsidR="00C21B1C" w:rsidRPr="00A71F78">
        <w:t>.</w:t>
      </w:r>
      <w:r w:rsidR="009B5841" w:rsidRPr="00A71F78">
        <w:t xml:space="preserve">  He contends </w:t>
      </w:r>
      <w:r w:rsidRPr="00A71F78">
        <w:t xml:space="preserve">that </w:t>
      </w:r>
      <w:r w:rsidR="001A0A92" w:rsidRPr="00A71F78">
        <w:t>our</w:t>
      </w:r>
      <w:r w:rsidR="009B5841" w:rsidRPr="00A71F78">
        <w:t xml:space="preserve"> conclusion in </w:t>
      </w:r>
      <w:r w:rsidRPr="00A71F78">
        <w:rPr>
          <w:i/>
          <w:iCs/>
        </w:rPr>
        <w:t xml:space="preserve">Sanchez </w:t>
      </w:r>
      <w:r w:rsidR="009B5841" w:rsidRPr="00A71F78">
        <w:t xml:space="preserve">did not </w:t>
      </w:r>
      <w:r w:rsidRPr="00A71F78">
        <w:t>turn on any</w:t>
      </w:r>
      <w:r w:rsidR="009B5841" w:rsidRPr="00A71F78">
        <w:t xml:space="preserve"> lack of evidence establishing </w:t>
      </w:r>
      <w:r w:rsidR="005962EE" w:rsidRPr="00A71F78">
        <w:t>who fired the fatal shot</w:t>
      </w:r>
      <w:r w:rsidR="009B5841" w:rsidRPr="00A71F78">
        <w:t xml:space="preserve">.  Rather, he asserts, </w:t>
      </w:r>
      <w:r w:rsidR="00372A60" w:rsidRPr="00A71F78">
        <w:t>our</w:t>
      </w:r>
      <w:r w:rsidR="009B5841" w:rsidRPr="00A71F78">
        <w:t xml:space="preserve"> application of the substantial concurrent causation theory focused on</w:t>
      </w:r>
      <w:r w:rsidRPr="00A71F78">
        <w:t xml:space="preserve"> the </w:t>
      </w:r>
      <w:r w:rsidR="0058314A" w:rsidRPr="00A71F78">
        <w:t>“</w:t>
      </w:r>
      <w:r w:rsidRPr="00A71F78">
        <w:t xml:space="preserve">effect of the defendant’s actions as they relate to the killing and that defendant’s personal culpability.” </w:t>
      </w:r>
      <w:r w:rsidR="00D02CBB" w:rsidRPr="00A71F78">
        <w:t xml:space="preserve"> </w:t>
      </w:r>
      <w:r w:rsidR="005F2EF2" w:rsidRPr="00A71F78">
        <w:t xml:space="preserve">In other words, </w:t>
      </w:r>
      <w:r w:rsidR="00066163" w:rsidRPr="00A71F78">
        <w:t xml:space="preserve">the Attorney General argues that </w:t>
      </w:r>
      <w:r w:rsidR="00E57845" w:rsidRPr="00A71F78">
        <w:t xml:space="preserve">the Mitchells’ actions </w:t>
      </w:r>
      <w:r w:rsidR="00382A74" w:rsidRPr="00A71F78">
        <w:t>of</w:t>
      </w:r>
      <w:r w:rsidR="00E57845" w:rsidRPr="00A71F78">
        <w:t xml:space="preserve"> </w:t>
      </w:r>
      <w:r w:rsidR="00E059A9" w:rsidRPr="00A71F78">
        <w:t xml:space="preserve">engaging in a gun battle in a crowded </w:t>
      </w:r>
      <w:r w:rsidR="00EB1486" w:rsidRPr="00A71F78">
        <w:t xml:space="preserve">public </w:t>
      </w:r>
      <w:r w:rsidR="00E059A9" w:rsidRPr="00A71F78">
        <w:t>place</w:t>
      </w:r>
      <w:r w:rsidR="00382A74" w:rsidRPr="00A71F78">
        <w:t xml:space="preserve"> </w:t>
      </w:r>
      <w:r w:rsidR="00E57845" w:rsidRPr="00A71F78">
        <w:t xml:space="preserve">satisfy </w:t>
      </w:r>
      <w:r w:rsidR="00E059A9" w:rsidRPr="00A71F78">
        <w:t xml:space="preserve">the proximate </w:t>
      </w:r>
      <w:r w:rsidR="00982761" w:rsidRPr="00A71F78">
        <w:t xml:space="preserve">cause </w:t>
      </w:r>
      <w:r w:rsidR="00E059A9" w:rsidRPr="00A71F78">
        <w:t>requirement and</w:t>
      </w:r>
      <w:r w:rsidR="00982761" w:rsidRPr="00A71F78">
        <w:t>,</w:t>
      </w:r>
      <w:r w:rsidR="0043059D" w:rsidRPr="00A71F78">
        <w:t xml:space="preserve"> </w:t>
      </w:r>
      <w:r w:rsidR="005B5B96" w:rsidRPr="00A71F78">
        <w:t xml:space="preserve">together with their intent to kill Carney and </w:t>
      </w:r>
      <w:r w:rsidR="00AF66F1" w:rsidRPr="00A71F78">
        <w:t>Jone</w:t>
      </w:r>
      <w:r w:rsidR="005B5B96" w:rsidRPr="00A71F78">
        <w:t>s,</w:t>
      </w:r>
      <w:r w:rsidR="001E63DD" w:rsidRPr="00A71F78">
        <w:t xml:space="preserve"> support </w:t>
      </w:r>
      <w:r w:rsidR="005B5B96" w:rsidRPr="00A71F78">
        <w:t xml:space="preserve">their convictions for </w:t>
      </w:r>
      <w:r w:rsidR="001E63DD" w:rsidRPr="00A71F78">
        <w:t xml:space="preserve">the </w:t>
      </w:r>
      <w:r w:rsidR="005B5B96" w:rsidRPr="00A71F78">
        <w:t>first degree murder</w:t>
      </w:r>
      <w:r w:rsidR="00E059A9" w:rsidRPr="00A71F78">
        <w:t xml:space="preserve"> of Monique</w:t>
      </w:r>
      <w:r w:rsidR="005B5B96" w:rsidRPr="00A71F78">
        <w:t xml:space="preserve">.  </w:t>
      </w:r>
    </w:p>
    <w:p w14:paraId="4E51A0FA" w14:textId="3AB433EE" w:rsidR="004D0700" w:rsidRPr="00A71F78" w:rsidRDefault="004D0700" w:rsidP="00A31766">
      <w:pPr>
        <w:tabs>
          <w:tab w:val="left" w:pos="1440"/>
        </w:tabs>
        <w:ind w:firstLine="720"/>
        <w:rPr>
          <w:szCs w:val="26"/>
        </w:rPr>
      </w:pPr>
      <w:r w:rsidRPr="00A71F78">
        <w:rPr>
          <w:szCs w:val="26"/>
        </w:rPr>
        <w:t xml:space="preserve">In </w:t>
      </w:r>
      <w:r w:rsidRPr="00A71F78">
        <w:rPr>
          <w:i/>
          <w:iCs/>
          <w:szCs w:val="26"/>
        </w:rPr>
        <w:t>Sanchez</w:t>
      </w:r>
      <w:r w:rsidRPr="00A71F78">
        <w:rPr>
          <w:szCs w:val="26"/>
        </w:rPr>
        <w:t>, defendant</w:t>
      </w:r>
      <w:r w:rsidR="00F54FA8" w:rsidRPr="00A71F78">
        <w:rPr>
          <w:szCs w:val="26"/>
        </w:rPr>
        <w:t xml:space="preserve"> Julio Cesar Sanchez </w:t>
      </w:r>
      <w:r w:rsidRPr="00A71F78">
        <w:rPr>
          <w:szCs w:val="26"/>
        </w:rPr>
        <w:t xml:space="preserve">and </w:t>
      </w:r>
      <w:r w:rsidR="003A38E1" w:rsidRPr="00A71F78">
        <w:rPr>
          <w:szCs w:val="26"/>
        </w:rPr>
        <w:t xml:space="preserve">rival gang member and </w:t>
      </w:r>
      <w:r w:rsidRPr="00A71F78">
        <w:rPr>
          <w:szCs w:val="26"/>
        </w:rPr>
        <w:t xml:space="preserve">codefendant, </w:t>
      </w:r>
      <w:r w:rsidR="00FC65AD" w:rsidRPr="00A71F78">
        <w:rPr>
          <w:szCs w:val="26"/>
        </w:rPr>
        <w:t xml:space="preserve">Ramon </w:t>
      </w:r>
      <w:r w:rsidRPr="00A71F78">
        <w:rPr>
          <w:szCs w:val="26"/>
        </w:rPr>
        <w:t xml:space="preserve">Gonzalez, engaged in a </w:t>
      </w:r>
      <w:r w:rsidR="00191D63" w:rsidRPr="00A71F78">
        <w:rPr>
          <w:szCs w:val="26"/>
        </w:rPr>
        <w:t xml:space="preserve">public </w:t>
      </w:r>
      <w:r w:rsidR="000D67D9" w:rsidRPr="00A71F78">
        <w:rPr>
          <w:szCs w:val="26"/>
        </w:rPr>
        <w:t>gun battle</w:t>
      </w:r>
      <w:r w:rsidRPr="00A71F78">
        <w:rPr>
          <w:szCs w:val="26"/>
        </w:rPr>
        <w:t xml:space="preserve"> </w:t>
      </w:r>
      <w:r w:rsidR="006B637D" w:rsidRPr="00A71F78">
        <w:rPr>
          <w:szCs w:val="26"/>
        </w:rPr>
        <w:t>that resulted in a</w:t>
      </w:r>
      <w:r w:rsidRPr="00A71F78">
        <w:rPr>
          <w:szCs w:val="26"/>
        </w:rPr>
        <w:t xml:space="preserve"> bystander</w:t>
      </w:r>
      <w:r w:rsidR="006B637D" w:rsidRPr="00A71F78">
        <w:rPr>
          <w:szCs w:val="26"/>
        </w:rPr>
        <w:t>’s death</w:t>
      </w:r>
      <w:r w:rsidRPr="00A71F78">
        <w:rPr>
          <w:szCs w:val="26"/>
        </w:rPr>
        <w:t xml:space="preserve">.  </w:t>
      </w:r>
      <w:r w:rsidR="00080840" w:rsidRPr="00A71F78">
        <w:rPr>
          <w:szCs w:val="26"/>
        </w:rPr>
        <w:t>In summarizing</w:t>
      </w:r>
      <w:r w:rsidRPr="00A71F78">
        <w:rPr>
          <w:szCs w:val="26"/>
        </w:rPr>
        <w:t xml:space="preserve"> the case</w:t>
      </w:r>
      <w:r w:rsidR="00080840" w:rsidRPr="00A71F78">
        <w:rPr>
          <w:szCs w:val="26"/>
        </w:rPr>
        <w:t>, we stated</w:t>
      </w:r>
      <w:r w:rsidRPr="00A71F78">
        <w:rPr>
          <w:szCs w:val="26"/>
        </w:rPr>
        <w:t>:  “We know a single stray bullet was the actual, direct cause of death.  At the close of evidence all parties agreed it could not be established [which defendant] had fired the fatal shot.”  (</w:t>
      </w:r>
      <w:r w:rsidRPr="00A71F78">
        <w:rPr>
          <w:i/>
          <w:iCs/>
          <w:szCs w:val="26"/>
        </w:rPr>
        <w:t>Sanchez</w:t>
      </w:r>
      <w:r w:rsidRPr="00A71F78">
        <w:rPr>
          <w:szCs w:val="26"/>
        </w:rPr>
        <w:t xml:space="preserve">, </w:t>
      </w:r>
      <w:r w:rsidRPr="00A71F78">
        <w:rPr>
          <w:i/>
          <w:iCs/>
          <w:szCs w:val="26"/>
        </w:rPr>
        <w:t>supra</w:t>
      </w:r>
      <w:r w:rsidRPr="00A71F78">
        <w:rPr>
          <w:szCs w:val="26"/>
        </w:rPr>
        <w:t>, 26 Cal.4th at p. 845.)</w:t>
      </w:r>
      <w:r w:rsidR="000821F2" w:rsidRPr="00A71F78">
        <w:rPr>
          <w:szCs w:val="26"/>
        </w:rPr>
        <w:t xml:space="preserve">  After being instructed on</w:t>
      </w:r>
      <w:r w:rsidR="00B87AC5" w:rsidRPr="00A71F78">
        <w:rPr>
          <w:szCs w:val="26"/>
        </w:rPr>
        <w:t xml:space="preserve"> proximate</w:t>
      </w:r>
      <w:r w:rsidR="000821F2" w:rsidRPr="00A71F78">
        <w:rPr>
          <w:szCs w:val="26"/>
        </w:rPr>
        <w:t xml:space="preserve"> causation,</w:t>
      </w:r>
      <w:r w:rsidR="000821F2" w:rsidRPr="00A71F78">
        <w:rPr>
          <w:rStyle w:val="FootnoteReference"/>
          <w:szCs w:val="26"/>
        </w:rPr>
        <w:footnoteReference w:id="7"/>
      </w:r>
      <w:r w:rsidR="000821F2" w:rsidRPr="00A71F78">
        <w:rPr>
          <w:szCs w:val="26"/>
        </w:rPr>
        <w:t xml:space="preserve"> t</w:t>
      </w:r>
      <w:r w:rsidRPr="00A71F78">
        <w:rPr>
          <w:szCs w:val="26"/>
        </w:rPr>
        <w:t>he jury convicted both defendants of first degree murder.  (</w:t>
      </w:r>
      <w:r w:rsidRPr="00A71F78">
        <w:rPr>
          <w:i/>
          <w:iCs/>
          <w:szCs w:val="26"/>
        </w:rPr>
        <w:t>Id.</w:t>
      </w:r>
      <w:r w:rsidRPr="00A71F78">
        <w:rPr>
          <w:szCs w:val="26"/>
        </w:rPr>
        <w:t xml:space="preserve"> at p. 839.)  The Court of Appeal </w:t>
      </w:r>
      <w:r w:rsidR="006B637D" w:rsidRPr="00A71F78">
        <w:rPr>
          <w:szCs w:val="26"/>
        </w:rPr>
        <w:t xml:space="preserve">reversed Sanchez’s conviction, </w:t>
      </w:r>
      <w:r w:rsidRPr="00A71F78">
        <w:rPr>
          <w:szCs w:val="26"/>
        </w:rPr>
        <w:t>conclud</w:t>
      </w:r>
      <w:r w:rsidR="006B637D" w:rsidRPr="00A71F78">
        <w:rPr>
          <w:szCs w:val="26"/>
        </w:rPr>
        <w:t xml:space="preserve">ing </w:t>
      </w:r>
      <w:r w:rsidRPr="00A71F78">
        <w:rPr>
          <w:szCs w:val="26"/>
        </w:rPr>
        <w:t>that in a single-fatal-bullet case “concurrent causation could not serve as a basis for finding both defendants liable for premeditated first degree murder” because there was only one “</w:t>
      </w:r>
      <w:r w:rsidR="008B6F63">
        <w:rPr>
          <w:szCs w:val="26"/>
        </w:rPr>
        <w:t> ‘</w:t>
      </w:r>
      <w:r w:rsidRPr="00A71F78">
        <w:rPr>
          <w:szCs w:val="26"/>
        </w:rPr>
        <w:t>direct or actual</w:t>
      </w:r>
      <w:r w:rsidR="008B6F63">
        <w:rPr>
          <w:szCs w:val="26"/>
        </w:rPr>
        <w:t>’</w:t>
      </w:r>
      <w:r w:rsidR="00BE0206">
        <w:rPr>
          <w:szCs w:val="26"/>
        </w:rPr>
        <w:t> </w:t>
      </w:r>
      <w:r w:rsidRPr="00A71F78">
        <w:rPr>
          <w:szCs w:val="26"/>
        </w:rPr>
        <w:t>” cause of death rather than two or more such causes.  (</w:t>
      </w:r>
      <w:r w:rsidRPr="00A71F78">
        <w:rPr>
          <w:i/>
          <w:iCs/>
          <w:szCs w:val="26"/>
        </w:rPr>
        <w:t>Id.</w:t>
      </w:r>
      <w:r w:rsidRPr="00A71F78">
        <w:rPr>
          <w:szCs w:val="26"/>
        </w:rPr>
        <w:t xml:space="preserve"> at p. 844.)  </w:t>
      </w:r>
      <w:r w:rsidR="006B637D" w:rsidRPr="00A71F78">
        <w:rPr>
          <w:szCs w:val="26"/>
        </w:rPr>
        <w:t xml:space="preserve"> </w:t>
      </w:r>
    </w:p>
    <w:p w14:paraId="38B52B29" w14:textId="7EDA41C8" w:rsidR="00E91208" w:rsidRPr="00A71F78" w:rsidRDefault="000821F2" w:rsidP="00A31766">
      <w:pPr>
        <w:widowControl w:val="0"/>
        <w:autoSpaceDE w:val="0"/>
        <w:autoSpaceDN w:val="0"/>
        <w:adjustRightInd w:val="0"/>
        <w:rPr>
          <w:szCs w:val="26"/>
        </w:rPr>
      </w:pPr>
      <w:r w:rsidRPr="00A71F78">
        <w:rPr>
          <w:szCs w:val="26"/>
        </w:rPr>
        <w:tab/>
        <w:t>We reversed the Court of Appeal’s judgment, holding that “[t]he circumstance that it cannot be determined who fired the single fatal bullet</w:t>
      </w:r>
      <w:r w:rsidR="00B87AC5" w:rsidRPr="00A71F78">
        <w:rPr>
          <w:szCs w:val="26"/>
        </w:rPr>
        <w:t>, i.e., that direct or actual causation cannot be established,</w:t>
      </w:r>
      <w:r w:rsidRPr="00A71F78">
        <w:rPr>
          <w:szCs w:val="26"/>
        </w:rPr>
        <w:t xml:space="preserve"> does not undermine defendant’s </w:t>
      </w:r>
      <w:r w:rsidR="00B87AC5" w:rsidRPr="00A71F78">
        <w:rPr>
          <w:szCs w:val="26"/>
        </w:rPr>
        <w:t xml:space="preserve">first degree murder conviction if it was shown beyond a reasonable doubt that defendant’s conduct was a substantial concurrent cause of </w:t>
      </w:r>
      <w:r w:rsidR="00FC2811" w:rsidRPr="00A71F78">
        <w:rPr>
          <w:szCs w:val="26"/>
        </w:rPr>
        <w:t>[the bystander]</w:t>
      </w:r>
      <w:r w:rsidR="00B87AC5" w:rsidRPr="00A71F78">
        <w:rPr>
          <w:szCs w:val="26"/>
        </w:rPr>
        <w:t xml:space="preserve">’s death.”  </w:t>
      </w:r>
      <w:r w:rsidRPr="00A71F78">
        <w:rPr>
          <w:szCs w:val="26"/>
        </w:rPr>
        <w:t>(</w:t>
      </w:r>
      <w:r w:rsidRPr="00A71F78">
        <w:rPr>
          <w:i/>
          <w:iCs/>
          <w:szCs w:val="26"/>
        </w:rPr>
        <w:t>Sanchez</w:t>
      </w:r>
      <w:r w:rsidRPr="00A71F78">
        <w:rPr>
          <w:szCs w:val="26"/>
        </w:rPr>
        <w:t xml:space="preserve">, </w:t>
      </w:r>
      <w:r w:rsidR="000941B3" w:rsidRPr="00A71F78">
        <w:rPr>
          <w:i/>
          <w:iCs/>
          <w:szCs w:val="26"/>
        </w:rPr>
        <w:t>supra</w:t>
      </w:r>
      <w:r w:rsidR="000941B3" w:rsidRPr="00A71F78">
        <w:rPr>
          <w:szCs w:val="26"/>
        </w:rPr>
        <w:t xml:space="preserve">, 26 Cal.4th </w:t>
      </w:r>
      <w:r w:rsidRPr="00A71F78">
        <w:rPr>
          <w:szCs w:val="26"/>
        </w:rPr>
        <w:t xml:space="preserve">at p. </w:t>
      </w:r>
      <w:r w:rsidR="00B87AC5" w:rsidRPr="00A71F78">
        <w:rPr>
          <w:szCs w:val="26"/>
        </w:rPr>
        <w:t>845</w:t>
      </w:r>
      <w:r w:rsidRPr="00A71F78">
        <w:rPr>
          <w:szCs w:val="26"/>
        </w:rPr>
        <w:t>.)  We explained</w:t>
      </w:r>
      <w:r w:rsidR="008B6F63">
        <w:rPr>
          <w:szCs w:val="26"/>
        </w:rPr>
        <w:t xml:space="preserve"> that</w:t>
      </w:r>
      <w:r w:rsidRPr="00A71F78">
        <w:rPr>
          <w:szCs w:val="26"/>
        </w:rPr>
        <w:t xml:space="preserve"> “</w:t>
      </w:r>
      <w:r w:rsidR="00B84174" w:rsidRPr="00A71F78">
        <w:rPr>
          <w:szCs w:val="26"/>
        </w:rPr>
        <w:t>i</w:t>
      </w:r>
      <w:r w:rsidRPr="00A71F78">
        <w:rPr>
          <w:szCs w:val="26"/>
        </w:rPr>
        <w:t>t is proximate causation, not direct or actual causation, which, together with the requisite culpable mens rea (malice), determines defendant’s liability for murder.”  (</w:t>
      </w:r>
      <w:r w:rsidR="00B87AC5" w:rsidRPr="00A71F78">
        <w:rPr>
          <w:i/>
          <w:iCs/>
          <w:szCs w:val="26"/>
        </w:rPr>
        <w:t>Ibid.</w:t>
      </w:r>
      <w:r w:rsidRPr="00A71F78">
        <w:rPr>
          <w:szCs w:val="26"/>
        </w:rPr>
        <w:t xml:space="preserve">) </w:t>
      </w:r>
      <w:r w:rsidR="0047557E" w:rsidRPr="00A71F78">
        <w:rPr>
          <w:szCs w:val="26"/>
        </w:rPr>
        <w:t xml:space="preserve"> We concluded that Sanchez’s “act of engaging Gonzalez in a gun battle and attempting to murder him was a substantial concurrent, and hence proximate, cause of [the </w:t>
      </w:r>
      <w:r w:rsidR="00AD2D63" w:rsidRPr="00A71F78">
        <w:rPr>
          <w:szCs w:val="26"/>
        </w:rPr>
        <w:t>bystander’s</w:t>
      </w:r>
      <w:r w:rsidR="0047557E" w:rsidRPr="00A71F78">
        <w:rPr>
          <w:szCs w:val="26"/>
        </w:rPr>
        <w:t>] death</w:t>
      </w:r>
      <w:r w:rsidR="008B6F63">
        <w:rPr>
          <w:szCs w:val="26"/>
        </w:rPr>
        <w:t>.</w:t>
      </w:r>
      <w:r w:rsidR="00D72FBE" w:rsidRPr="00A71F78">
        <w:rPr>
          <w:szCs w:val="26"/>
        </w:rPr>
        <w:t>”</w:t>
      </w:r>
      <w:r w:rsidRPr="00A71F78">
        <w:rPr>
          <w:bCs/>
          <w:szCs w:val="26"/>
        </w:rPr>
        <w:t xml:space="preserve"> </w:t>
      </w:r>
      <w:r w:rsidR="00CC6420" w:rsidRPr="00A71F78">
        <w:rPr>
          <w:bCs/>
          <w:szCs w:val="26"/>
        </w:rPr>
        <w:t xml:space="preserve"> </w:t>
      </w:r>
      <w:r w:rsidR="001A1A1A" w:rsidRPr="00A71F78">
        <w:rPr>
          <w:szCs w:val="26"/>
        </w:rPr>
        <w:t>(</w:t>
      </w:r>
      <w:r w:rsidR="001A1A1A" w:rsidRPr="00A71F78">
        <w:rPr>
          <w:i/>
          <w:iCs/>
          <w:szCs w:val="26"/>
        </w:rPr>
        <w:t>Id</w:t>
      </w:r>
      <w:r w:rsidR="001A1A1A" w:rsidRPr="00A71F78">
        <w:rPr>
          <w:szCs w:val="26"/>
        </w:rPr>
        <w:t>. at p. 839.)</w:t>
      </w:r>
    </w:p>
    <w:p w14:paraId="61297F05" w14:textId="59AB0425" w:rsidR="00267807" w:rsidRPr="00A71F78" w:rsidRDefault="00485B9A" w:rsidP="00A31766">
      <w:pPr>
        <w:widowControl w:val="0"/>
        <w:autoSpaceDE w:val="0"/>
        <w:autoSpaceDN w:val="0"/>
        <w:adjustRightInd w:val="0"/>
        <w:rPr>
          <w:szCs w:val="26"/>
        </w:rPr>
      </w:pPr>
      <w:r w:rsidRPr="00A71F78">
        <w:rPr>
          <w:szCs w:val="26"/>
        </w:rPr>
        <w:tab/>
      </w:r>
      <w:r w:rsidR="005962EE" w:rsidRPr="00A71F78">
        <w:rPr>
          <w:szCs w:val="26"/>
        </w:rPr>
        <w:t xml:space="preserve">Although </w:t>
      </w:r>
      <w:r w:rsidR="005962EE" w:rsidRPr="00A71F78">
        <w:rPr>
          <w:i/>
          <w:iCs/>
          <w:szCs w:val="26"/>
        </w:rPr>
        <w:t>Sanchez</w:t>
      </w:r>
      <w:r w:rsidR="005962EE" w:rsidRPr="00A71F78">
        <w:rPr>
          <w:szCs w:val="26"/>
        </w:rPr>
        <w:t xml:space="preserve"> was the first decision in which we used the term </w:t>
      </w:r>
      <w:r w:rsidR="0060221F" w:rsidRPr="00A71F78">
        <w:rPr>
          <w:szCs w:val="26"/>
        </w:rPr>
        <w:t xml:space="preserve">“substantial concurrent cause” </w:t>
      </w:r>
      <w:r w:rsidR="005962EE" w:rsidRPr="00A71F78">
        <w:rPr>
          <w:szCs w:val="26"/>
        </w:rPr>
        <w:t xml:space="preserve">in this context, </w:t>
      </w:r>
      <w:r w:rsidR="005962EE" w:rsidRPr="00A71F78">
        <w:rPr>
          <w:i/>
          <w:iCs/>
          <w:szCs w:val="26"/>
        </w:rPr>
        <w:t>Sanchez</w:t>
      </w:r>
      <w:r w:rsidR="005962EE" w:rsidRPr="00A71F78">
        <w:rPr>
          <w:szCs w:val="26"/>
        </w:rPr>
        <w:t xml:space="preserve"> did not articulate</w:t>
      </w:r>
      <w:r w:rsidR="0048681C" w:rsidRPr="00A71F78">
        <w:rPr>
          <w:szCs w:val="26"/>
        </w:rPr>
        <w:t xml:space="preserve"> a new theory of causation</w:t>
      </w:r>
      <w:r w:rsidR="005962EE" w:rsidRPr="00A71F78">
        <w:rPr>
          <w:szCs w:val="26"/>
        </w:rPr>
        <w:t xml:space="preserve"> or</w:t>
      </w:r>
      <w:r w:rsidR="0048681C" w:rsidRPr="00A71F78">
        <w:rPr>
          <w:szCs w:val="26"/>
        </w:rPr>
        <w:t xml:space="preserve">, </w:t>
      </w:r>
      <w:r w:rsidR="005962EE" w:rsidRPr="00A71F78">
        <w:rPr>
          <w:szCs w:val="26"/>
        </w:rPr>
        <w:t>as</w:t>
      </w:r>
      <w:r w:rsidR="0048681C" w:rsidRPr="00A71F78">
        <w:rPr>
          <w:szCs w:val="26"/>
        </w:rPr>
        <w:t xml:space="preserve"> the Mitchells</w:t>
      </w:r>
      <w:r w:rsidR="005962EE" w:rsidRPr="00A71F78">
        <w:rPr>
          <w:szCs w:val="26"/>
        </w:rPr>
        <w:t xml:space="preserve"> assert</w:t>
      </w:r>
      <w:r w:rsidR="0048681C" w:rsidRPr="00A71F78">
        <w:rPr>
          <w:szCs w:val="26"/>
        </w:rPr>
        <w:t>,</w:t>
      </w:r>
      <w:r w:rsidR="005962EE" w:rsidRPr="00A71F78">
        <w:rPr>
          <w:szCs w:val="26"/>
        </w:rPr>
        <w:t xml:space="preserve"> announce</w:t>
      </w:r>
      <w:r w:rsidR="0048681C" w:rsidRPr="00A71F78">
        <w:rPr>
          <w:szCs w:val="26"/>
        </w:rPr>
        <w:t xml:space="preserve"> </w:t>
      </w:r>
      <w:r w:rsidR="001D366C" w:rsidRPr="00A71F78">
        <w:rPr>
          <w:szCs w:val="26"/>
        </w:rPr>
        <w:t>a</w:t>
      </w:r>
      <w:r w:rsidR="00F802A8" w:rsidRPr="00A71F78">
        <w:rPr>
          <w:szCs w:val="26"/>
        </w:rPr>
        <w:t xml:space="preserve"> </w:t>
      </w:r>
      <w:r w:rsidR="001D366C" w:rsidRPr="00A71F78">
        <w:rPr>
          <w:szCs w:val="26"/>
        </w:rPr>
        <w:t xml:space="preserve">“reduced” standard of causation that </w:t>
      </w:r>
      <w:r w:rsidR="00603D34" w:rsidRPr="00A71F78">
        <w:rPr>
          <w:szCs w:val="26"/>
        </w:rPr>
        <w:t>served to lessen the prosecution’s</w:t>
      </w:r>
      <w:r w:rsidR="005666A7" w:rsidRPr="00A71F78">
        <w:rPr>
          <w:szCs w:val="26"/>
        </w:rPr>
        <w:t xml:space="preserve"> burden</w:t>
      </w:r>
      <w:r w:rsidR="007F1961" w:rsidRPr="00A71F78">
        <w:rPr>
          <w:szCs w:val="26"/>
        </w:rPr>
        <w:t xml:space="preserve"> of proof</w:t>
      </w:r>
      <w:r w:rsidR="00ED7370" w:rsidRPr="00A71F78">
        <w:rPr>
          <w:szCs w:val="26"/>
        </w:rPr>
        <w:t xml:space="preserve">. </w:t>
      </w:r>
      <w:r w:rsidR="001D366C" w:rsidRPr="00A71F78">
        <w:rPr>
          <w:szCs w:val="26"/>
        </w:rPr>
        <w:t xml:space="preserve"> </w:t>
      </w:r>
      <w:r w:rsidR="005E370A" w:rsidRPr="00A71F78">
        <w:rPr>
          <w:szCs w:val="26"/>
        </w:rPr>
        <w:t>Rather, t</w:t>
      </w:r>
      <w:r w:rsidR="005962EE" w:rsidRPr="00A71F78">
        <w:rPr>
          <w:szCs w:val="26"/>
        </w:rPr>
        <w:t xml:space="preserve">he term </w:t>
      </w:r>
      <w:r w:rsidR="001D366C" w:rsidRPr="00A71F78">
        <w:rPr>
          <w:szCs w:val="26"/>
        </w:rPr>
        <w:t>“substantial concurrent cause”</w:t>
      </w:r>
      <w:r w:rsidR="005E370A" w:rsidRPr="00A71F78">
        <w:rPr>
          <w:szCs w:val="26"/>
        </w:rPr>
        <w:t xml:space="preserve"> </w:t>
      </w:r>
      <w:r w:rsidR="005962EE" w:rsidRPr="00A71F78">
        <w:rPr>
          <w:szCs w:val="26"/>
        </w:rPr>
        <w:t>embraces</w:t>
      </w:r>
      <w:r w:rsidR="001A05C0" w:rsidRPr="00A71F78">
        <w:rPr>
          <w:szCs w:val="26"/>
        </w:rPr>
        <w:t xml:space="preserve"> </w:t>
      </w:r>
      <w:r w:rsidR="001E7FF7" w:rsidRPr="00A71F78">
        <w:rPr>
          <w:szCs w:val="26"/>
        </w:rPr>
        <w:t>familiar</w:t>
      </w:r>
      <w:r w:rsidR="00995E7B" w:rsidRPr="00A71F78">
        <w:rPr>
          <w:szCs w:val="26"/>
        </w:rPr>
        <w:t xml:space="preserve"> causation</w:t>
      </w:r>
      <w:r w:rsidR="001E7FF7" w:rsidRPr="00A71F78">
        <w:rPr>
          <w:szCs w:val="26"/>
        </w:rPr>
        <w:t xml:space="preserve"> </w:t>
      </w:r>
      <w:r w:rsidR="001A05C0" w:rsidRPr="00A71F78">
        <w:rPr>
          <w:szCs w:val="26"/>
        </w:rPr>
        <w:t xml:space="preserve">concepts of substantial factor </w:t>
      </w:r>
      <w:r w:rsidR="00504F58" w:rsidRPr="00A71F78">
        <w:rPr>
          <w:szCs w:val="26"/>
        </w:rPr>
        <w:t xml:space="preserve">and </w:t>
      </w:r>
      <w:r w:rsidR="001A05C0" w:rsidRPr="00A71F78">
        <w:rPr>
          <w:szCs w:val="26"/>
        </w:rPr>
        <w:t>concurren</w:t>
      </w:r>
      <w:r w:rsidR="00C92290" w:rsidRPr="00A71F78">
        <w:rPr>
          <w:szCs w:val="26"/>
        </w:rPr>
        <w:t xml:space="preserve">t </w:t>
      </w:r>
      <w:r w:rsidR="001A05C0" w:rsidRPr="00A71F78">
        <w:rPr>
          <w:szCs w:val="26"/>
        </w:rPr>
        <w:t xml:space="preserve">cause. </w:t>
      </w:r>
      <w:r w:rsidR="00DC60CF" w:rsidRPr="00A71F78">
        <w:rPr>
          <w:szCs w:val="26"/>
        </w:rPr>
        <w:t xml:space="preserve"> </w:t>
      </w:r>
      <w:r w:rsidR="005666A7" w:rsidRPr="00A71F78">
        <w:rPr>
          <w:szCs w:val="26"/>
        </w:rPr>
        <w:t xml:space="preserve">(See </w:t>
      </w:r>
      <w:r w:rsidR="005666A7" w:rsidRPr="00A71F78">
        <w:rPr>
          <w:i/>
          <w:iCs/>
          <w:szCs w:val="26"/>
        </w:rPr>
        <w:t>ante</w:t>
      </w:r>
      <w:r w:rsidR="005666A7" w:rsidRPr="00A71F78">
        <w:rPr>
          <w:szCs w:val="26"/>
        </w:rPr>
        <w:t xml:space="preserve">, at </w:t>
      </w:r>
      <w:r w:rsidR="0066615F" w:rsidRPr="00A71F78">
        <w:rPr>
          <w:szCs w:val="26"/>
        </w:rPr>
        <w:t>p</w:t>
      </w:r>
      <w:r w:rsidR="000C09D4">
        <w:rPr>
          <w:szCs w:val="26"/>
        </w:rPr>
        <w:t>p</w:t>
      </w:r>
      <w:r w:rsidR="005666A7" w:rsidRPr="00A71F78">
        <w:rPr>
          <w:szCs w:val="26"/>
        </w:rPr>
        <w:t xml:space="preserve">. </w:t>
      </w:r>
      <w:r w:rsidR="002665D8" w:rsidRPr="00A71F78">
        <w:rPr>
          <w:szCs w:val="26"/>
        </w:rPr>
        <w:t>7</w:t>
      </w:r>
      <w:r w:rsidR="000C09D4">
        <w:rPr>
          <w:szCs w:val="26"/>
        </w:rPr>
        <w:t>–8</w:t>
      </w:r>
      <w:r w:rsidR="005666A7" w:rsidRPr="00A71F78">
        <w:rPr>
          <w:szCs w:val="26"/>
        </w:rPr>
        <w:t>.)  It</w:t>
      </w:r>
      <w:r w:rsidR="00F3431E" w:rsidRPr="00A71F78">
        <w:rPr>
          <w:szCs w:val="26"/>
        </w:rPr>
        <w:t xml:space="preserve"> </w:t>
      </w:r>
      <w:r w:rsidR="002C7484" w:rsidRPr="00A71F78">
        <w:rPr>
          <w:szCs w:val="26"/>
        </w:rPr>
        <w:t xml:space="preserve">reflects </w:t>
      </w:r>
      <w:r w:rsidR="00001818" w:rsidRPr="00A71F78">
        <w:rPr>
          <w:szCs w:val="26"/>
        </w:rPr>
        <w:t xml:space="preserve">key </w:t>
      </w:r>
      <w:r w:rsidR="00964FBC" w:rsidRPr="00A71F78">
        <w:rPr>
          <w:szCs w:val="26"/>
        </w:rPr>
        <w:t>principles</w:t>
      </w:r>
      <w:r w:rsidR="00BE6C9B" w:rsidRPr="00A71F78">
        <w:rPr>
          <w:szCs w:val="26"/>
        </w:rPr>
        <w:t xml:space="preserve"> from </w:t>
      </w:r>
      <w:r w:rsidR="00EE3ECD" w:rsidRPr="001C328A">
        <w:rPr>
          <w:szCs w:val="26"/>
        </w:rPr>
        <w:t>CALJIC Nos. 3.40 and 3.41, which together “correctly define proximate caus</w:t>
      </w:r>
      <w:r w:rsidR="008B6F63">
        <w:rPr>
          <w:szCs w:val="26"/>
        </w:rPr>
        <w:t>ation</w:t>
      </w:r>
      <w:r w:rsidR="00EE3ECD" w:rsidRPr="001C328A">
        <w:rPr>
          <w:szCs w:val="26"/>
        </w:rPr>
        <w:t>” when the</w:t>
      </w:r>
      <w:r w:rsidR="005962EE" w:rsidRPr="001C328A">
        <w:rPr>
          <w:szCs w:val="26"/>
        </w:rPr>
        <w:t>re</w:t>
      </w:r>
      <w:r w:rsidR="00EE3ECD" w:rsidRPr="001C328A">
        <w:rPr>
          <w:szCs w:val="26"/>
        </w:rPr>
        <w:t xml:space="preserve"> </w:t>
      </w:r>
      <w:r w:rsidR="005962EE" w:rsidRPr="001C328A">
        <w:rPr>
          <w:szCs w:val="26"/>
        </w:rPr>
        <w:t xml:space="preserve">is </w:t>
      </w:r>
      <w:r w:rsidR="00EE3ECD" w:rsidRPr="001C328A">
        <w:rPr>
          <w:szCs w:val="26"/>
        </w:rPr>
        <w:t xml:space="preserve">evidence </w:t>
      </w:r>
      <w:r w:rsidR="005962EE" w:rsidRPr="001C328A">
        <w:rPr>
          <w:szCs w:val="26"/>
        </w:rPr>
        <w:t>of</w:t>
      </w:r>
      <w:r w:rsidR="00EE3ECD" w:rsidRPr="001C328A">
        <w:rPr>
          <w:szCs w:val="26"/>
        </w:rPr>
        <w:t xml:space="preserve"> more than one cause of death.  (</w:t>
      </w:r>
      <w:r w:rsidR="00EE3ECD" w:rsidRPr="001C328A">
        <w:rPr>
          <w:i/>
          <w:iCs/>
          <w:szCs w:val="26"/>
        </w:rPr>
        <w:t>People v. Bland</w:t>
      </w:r>
      <w:r w:rsidR="00EE3ECD" w:rsidRPr="001C328A">
        <w:rPr>
          <w:szCs w:val="26"/>
        </w:rPr>
        <w:t xml:space="preserve"> (2002) 28 Cal.4th 313, 338</w:t>
      </w:r>
      <w:r w:rsidR="00F3431E" w:rsidRPr="001C328A">
        <w:rPr>
          <w:szCs w:val="26"/>
        </w:rPr>
        <w:t xml:space="preserve">; see </w:t>
      </w:r>
      <w:r w:rsidR="00F3431E" w:rsidRPr="001C328A">
        <w:rPr>
          <w:i/>
          <w:iCs/>
          <w:szCs w:val="26"/>
        </w:rPr>
        <w:t>Sanchez</w:t>
      </w:r>
      <w:r w:rsidR="00F3431E" w:rsidRPr="001C328A">
        <w:rPr>
          <w:szCs w:val="26"/>
        </w:rPr>
        <w:t xml:space="preserve">, </w:t>
      </w:r>
      <w:r w:rsidR="00F3431E" w:rsidRPr="001C328A">
        <w:rPr>
          <w:i/>
          <w:iCs/>
          <w:szCs w:val="26"/>
        </w:rPr>
        <w:t>supra</w:t>
      </w:r>
      <w:r w:rsidR="00F3431E" w:rsidRPr="001C328A">
        <w:rPr>
          <w:szCs w:val="26"/>
        </w:rPr>
        <w:t>, 26 Cal.4th at p</w:t>
      </w:r>
      <w:r w:rsidR="00624384" w:rsidRPr="001C328A">
        <w:rPr>
          <w:szCs w:val="26"/>
        </w:rPr>
        <w:t>p</w:t>
      </w:r>
      <w:r w:rsidR="00F3431E" w:rsidRPr="001C328A">
        <w:rPr>
          <w:szCs w:val="26"/>
        </w:rPr>
        <w:t xml:space="preserve">. </w:t>
      </w:r>
      <w:r w:rsidR="00624384" w:rsidRPr="001C328A">
        <w:rPr>
          <w:szCs w:val="26"/>
        </w:rPr>
        <w:t>843, 845</w:t>
      </w:r>
      <w:r w:rsidR="00EE3ECD" w:rsidRPr="001C328A">
        <w:rPr>
          <w:szCs w:val="26"/>
        </w:rPr>
        <w:t xml:space="preserve">.)  </w:t>
      </w:r>
    </w:p>
    <w:p w14:paraId="21BE1B1A" w14:textId="00C0EF65" w:rsidR="00F15A75" w:rsidRPr="001C328A" w:rsidRDefault="00E35F00" w:rsidP="00A31766">
      <w:pPr>
        <w:widowControl w:val="0"/>
        <w:autoSpaceDE w:val="0"/>
        <w:autoSpaceDN w:val="0"/>
        <w:adjustRightInd w:val="0"/>
        <w:rPr>
          <w:szCs w:val="26"/>
        </w:rPr>
      </w:pPr>
      <w:r w:rsidRPr="00A71F78">
        <w:rPr>
          <w:szCs w:val="26"/>
        </w:rPr>
        <w:tab/>
      </w:r>
      <w:r w:rsidR="00EE3ECD" w:rsidRPr="00A71F78">
        <w:rPr>
          <w:szCs w:val="26"/>
        </w:rPr>
        <w:t>For instance,</w:t>
      </w:r>
      <w:r w:rsidR="008D1C72">
        <w:rPr>
          <w:szCs w:val="26"/>
        </w:rPr>
        <w:t xml:space="preserve"> as </w:t>
      </w:r>
      <w:r w:rsidR="002265E6">
        <w:rPr>
          <w:szCs w:val="26"/>
        </w:rPr>
        <w:t>given</w:t>
      </w:r>
      <w:r w:rsidR="008D1C72">
        <w:rPr>
          <w:szCs w:val="26"/>
        </w:rPr>
        <w:t xml:space="preserve"> in</w:t>
      </w:r>
      <w:r w:rsidR="008D1C72" w:rsidRPr="008D1C72">
        <w:rPr>
          <w:i/>
          <w:iCs/>
          <w:szCs w:val="26"/>
        </w:rPr>
        <w:t xml:space="preserve"> Sanchez</w:t>
      </w:r>
      <w:r w:rsidR="00EE3ECD" w:rsidRPr="00A71F78">
        <w:rPr>
          <w:szCs w:val="26"/>
        </w:rPr>
        <w:t xml:space="preserve"> </w:t>
      </w:r>
      <w:r w:rsidR="00B275BF" w:rsidRPr="001C328A">
        <w:rPr>
          <w:szCs w:val="26"/>
        </w:rPr>
        <w:t>CALJIC No. 3.41</w:t>
      </w:r>
      <w:r w:rsidR="00C34009" w:rsidRPr="001C328A">
        <w:rPr>
          <w:szCs w:val="26"/>
        </w:rPr>
        <w:t xml:space="preserve"> explain</w:t>
      </w:r>
      <w:r w:rsidR="008D1C72">
        <w:rPr>
          <w:szCs w:val="26"/>
        </w:rPr>
        <w:t>ed</w:t>
      </w:r>
      <w:r w:rsidR="00C34009" w:rsidRPr="001C328A">
        <w:rPr>
          <w:szCs w:val="26"/>
        </w:rPr>
        <w:t xml:space="preserve"> </w:t>
      </w:r>
      <w:r w:rsidR="009C5C78" w:rsidRPr="001C328A">
        <w:rPr>
          <w:szCs w:val="26"/>
        </w:rPr>
        <w:t>that</w:t>
      </w:r>
      <w:r w:rsidR="00B275BF" w:rsidRPr="001C328A">
        <w:rPr>
          <w:szCs w:val="26"/>
        </w:rPr>
        <w:t xml:space="preserve"> </w:t>
      </w:r>
      <w:r w:rsidR="00162983" w:rsidRPr="001C328A">
        <w:rPr>
          <w:szCs w:val="26"/>
        </w:rPr>
        <w:t>“</w:t>
      </w:r>
      <w:r w:rsidR="00BE0206">
        <w:rPr>
          <w:szCs w:val="26"/>
        </w:rPr>
        <w:t> </w:t>
      </w:r>
      <w:r w:rsidR="008D1C72">
        <w:rPr>
          <w:szCs w:val="26"/>
        </w:rPr>
        <w:t>‘</w:t>
      </w:r>
      <w:r w:rsidR="00162983" w:rsidRPr="001C328A">
        <w:rPr>
          <w:szCs w:val="26"/>
        </w:rPr>
        <w:t xml:space="preserve">[w]hen the conduct of two or more persons contributes concurrently as a cause of the death, the conduct of each is a cause of the death if that conduct was also a substantial factor contributing to the death.  [¶]  A cause is </w:t>
      </w:r>
      <w:r w:rsidR="000449A9">
        <w:rPr>
          <w:szCs w:val="26"/>
        </w:rPr>
        <w:t xml:space="preserve">a </w:t>
      </w:r>
      <w:r w:rsidR="00162983" w:rsidRPr="001C328A">
        <w:rPr>
          <w:szCs w:val="26"/>
        </w:rPr>
        <w:t xml:space="preserve">concurrent </w:t>
      </w:r>
      <w:r w:rsidR="000449A9">
        <w:rPr>
          <w:szCs w:val="26"/>
        </w:rPr>
        <w:t xml:space="preserve">cause </w:t>
      </w:r>
      <w:r w:rsidR="00162983" w:rsidRPr="001C328A">
        <w:rPr>
          <w:szCs w:val="26"/>
        </w:rPr>
        <w:t xml:space="preserve">if it was operative at the moment of death and acted with another </w:t>
      </w:r>
      <w:r w:rsidR="000449A9">
        <w:rPr>
          <w:szCs w:val="26"/>
        </w:rPr>
        <w:t>force</w:t>
      </w:r>
      <w:r w:rsidR="00162983" w:rsidRPr="001C328A">
        <w:rPr>
          <w:szCs w:val="26"/>
        </w:rPr>
        <w:t xml:space="preserve"> to produce the </w:t>
      </w:r>
      <w:r w:rsidR="006E4D84">
        <w:rPr>
          <w:szCs w:val="26"/>
        </w:rPr>
        <w:t>d</w:t>
      </w:r>
      <w:r w:rsidR="00162983" w:rsidRPr="001C328A">
        <w:rPr>
          <w:szCs w:val="26"/>
        </w:rPr>
        <w:t>eath.</w:t>
      </w:r>
      <w:r w:rsidR="008D1C72">
        <w:rPr>
          <w:szCs w:val="26"/>
        </w:rPr>
        <w:t>’</w:t>
      </w:r>
      <w:r w:rsidR="00BE0206">
        <w:rPr>
          <w:szCs w:val="26"/>
        </w:rPr>
        <w:t> </w:t>
      </w:r>
      <w:r w:rsidR="00162983" w:rsidRPr="001C328A">
        <w:rPr>
          <w:szCs w:val="26"/>
        </w:rPr>
        <w:t>”  (</w:t>
      </w:r>
      <w:r w:rsidR="00162983" w:rsidRPr="001C328A">
        <w:rPr>
          <w:i/>
          <w:iCs/>
          <w:szCs w:val="26"/>
        </w:rPr>
        <w:t>Sanchez</w:t>
      </w:r>
      <w:r w:rsidR="00162983" w:rsidRPr="001C328A">
        <w:rPr>
          <w:szCs w:val="26"/>
        </w:rPr>
        <w:t xml:space="preserve">, </w:t>
      </w:r>
      <w:r w:rsidR="00162983" w:rsidRPr="001C328A">
        <w:rPr>
          <w:i/>
          <w:iCs/>
          <w:szCs w:val="26"/>
        </w:rPr>
        <w:t>supra</w:t>
      </w:r>
      <w:r w:rsidR="00162983" w:rsidRPr="001C328A">
        <w:rPr>
          <w:szCs w:val="26"/>
        </w:rPr>
        <w:t xml:space="preserve">, </w:t>
      </w:r>
      <w:r w:rsidR="00841384" w:rsidRPr="001C328A">
        <w:rPr>
          <w:szCs w:val="26"/>
        </w:rPr>
        <w:t>26 Cal.4th at p. 845</w:t>
      </w:r>
      <w:r w:rsidR="00162983" w:rsidRPr="001C328A">
        <w:rPr>
          <w:szCs w:val="26"/>
        </w:rPr>
        <w:t xml:space="preserve">; </w:t>
      </w:r>
      <w:r w:rsidR="003E6DDA" w:rsidRPr="001C328A">
        <w:rPr>
          <w:szCs w:val="26"/>
        </w:rPr>
        <w:t xml:space="preserve">see </w:t>
      </w:r>
      <w:r w:rsidR="00162983" w:rsidRPr="001C328A">
        <w:rPr>
          <w:i/>
          <w:iCs/>
          <w:szCs w:val="26"/>
        </w:rPr>
        <w:t>ante</w:t>
      </w:r>
      <w:r w:rsidR="00162983" w:rsidRPr="001C328A">
        <w:rPr>
          <w:szCs w:val="26"/>
        </w:rPr>
        <w:t>, at p. 1</w:t>
      </w:r>
      <w:r w:rsidR="002665D8" w:rsidRPr="001C328A">
        <w:rPr>
          <w:szCs w:val="26"/>
        </w:rPr>
        <w:t>1</w:t>
      </w:r>
      <w:r w:rsidR="00162983" w:rsidRPr="001C328A">
        <w:rPr>
          <w:szCs w:val="26"/>
        </w:rPr>
        <w:t xml:space="preserve">, fn. </w:t>
      </w:r>
      <w:r w:rsidR="001D7220" w:rsidRPr="001C328A">
        <w:rPr>
          <w:szCs w:val="26"/>
        </w:rPr>
        <w:t>6</w:t>
      </w:r>
      <w:r w:rsidR="00162983" w:rsidRPr="001C328A">
        <w:rPr>
          <w:szCs w:val="26"/>
        </w:rPr>
        <w:t xml:space="preserve">.)  </w:t>
      </w:r>
      <w:r w:rsidR="00C34009" w:rsidRPr="001C328A">
        <w:rPr>
          <w:szCs w:val="26"/>
        </w:rPr>
        <w:t xml:space="preserve">In turn, </w:t>
      </w:r>
      <w:r w:rsidR="00901AB6" w:rsidRPr="001C328A">
        <w:rPr>
          <w:szCs w:val="26"/>
        </w:rPr>
        <w:t>“</w:t>
      </w:r>
      <w:r w:rsidR="00BE0206">
        <w:rPr>
          <w:szCs w:val="26"/>
        </w:rPr>
        <w:t> </w:t>
      </w:r>
      <w:r w:rsidR="006E4D84">
        <w:rPr>
          <w:szCs w:val="26"/>
        </w:rPr>
        <w:t>‘</w:t>
      </w:r>
      <w:r w:rsidR="00901AB6" w:rsidRPr="001C328A">
        <w:rPr>
          <w:szCs w:val="26"/>
        </w:rPr>
        <w:t>cause of death</w:t>
      </w:r>
      <w:r w:rsidR="006E4D84">
        <w:rPr>
          <w:szCs w:val="26"/>
        </w:rPr>
        <w:t>’</w:t>
      </w:r>
      <w:r w:rsidR="00BE0206">
        <w:rPr>
          <w:szCs w:val="26"/>
        </w:rPr>
        <w:t> </w:t>
      </w:r>
      <w:r w:rsidR="00C34009" w:rsidRPr="001C328A">
        <w:rPr>
          <w:szCs w:val="26"/>
        </w:rPr>
        <w:t xml:space="preserve">” </w:t>
      </w:r>
      <w:r w:rsidR="008D1C72">
        <w:rPr>
          <w:szCs w:val="26"/>
        </w:rPr>
        <w:t>w</w:t>
      </w:r>
      <w:r w:rsidR="00DE2FC7">
        <w:rPr>
          <w:szCs w:val="26"/>
        </w:rPr>
        <w:t>as</w:t>
      </w:r>
      <w:r w:rsidR="00C34009" w:rsidRPr="001C328A">
        <w:rPr>
          <w:szCs w:val="26"/>
        </w:rPr>
        <w:t xml:space="preserve"> </w:t>
      </w:r>
      <w:r w:rsidR="00DE2FC7">
        <w:rPr>
          <w:szCs w:val="26"/>
        </w:rPr>
        <w:t xml:space="preserve">defined in </w:t>
      </w:r>
      <w:r w:rsidR="00DE2FC7" w:rsidRPr="00DE2FC7">
        <w:rPr>
          <w:i/>
          <w:iCs/>
          <w:szCs w:val="26"/>
        </w:rPr>
        <w:t>Sanchez</w:t>
      </w:r>
      <w:r w:rsidR="00DE2FC7">
        <w:rPr>
          <w:szCs w:val="26"/>
        </w:rPr>
        <w:t xml:space="preserve"> </w:t>
      </w:r>
      <w:r w:rsidR="008D1C72">
        <w:rPr>
          <w:szCs w:val="26"/>
        </w:rPr>
        <w:t>a</w:t>
      </w:r>
      <w:r w:rsidR="00DE2FC7">
        <w:rPr>
          <w:szCs w:val="26"/>
        </w:rPr>
        <w:t>s</w:t>
      </w:r>
      <w:r w:rsidR="00F15A75" w:rsidRPr="001C328A">
        <w:rPr>
          <w:szCs w:val="26"/>
        </w:rPr>
        <w:t xml:space="preserve"> “</w:t>
      </w:r>
      <w:r w:rsidR="00BE0206">
        <w:rPr>
          <w:szCs w:val="26"/>
        </w:rPr>
        <w:t> </w:t>
      </w:r>
      <w:r w:rsidR="008D1C72">
        <w:rPr>
          <w:szCs w:val="26"/>
        </w:rPr>
        <w:t>‘</w:t>
      </w:r>
      <w:r w:rsidR="00F15A75" w:rsidRPr="001C328A">
        <w:rPr>
          <w:szCs w:val="26"/>
        </w:rPr>
        <w:t>an act that sets in motion a chain of events that produces as a direct, natural and probable consequence of the act, the death of a human being</w:t>
      </w:r>
      <w:r w:rsidR="003815A8" w:rsidRPr="001C328A">
        <w:rPr>
          <w:szCs w:val="26"/>
        </w:rPr>
        <w:t> . </w:t>
      </w:r>
      <w:r w:rsidR="00F15A75" w:rsidRPr="001C328A">
        <w:rPr>
          <w:szCs w:val="26"/>
        </w:rPr>
        <w:t>.</w:t>
      </w:r>
      <w:r w:rsidR="00BE0206">
        <w:rPr>
          <w:szCs w:val="26"/>
        </w:rPr>
        <w:t> </w:t>
      </w:r>
      <w:r w:rsidR="00F15A75" w:rsidRPr="001C328A">
        <w:rPr>
          <w:szCs w:val="26"/>
        </w:rPr>
        <w:t>.</w:t>
      </w:r>
      <w:r w:rsidR="00BE0206">
        <w:rPr>
          <w:szCs w:val="26"/>
        </w:rPr>
        <w:t> </w:t>
      </w:r>
      <w:r w:rsidR="00F15A75" w:rsidRPr="001C328A">
        <w:rPr>
          <w:szCs w:val="26"/>
        </w:rPr>
        <w:t>.</w:t>
      </w:r>
      <w:r w:rsidR="008D1C72">
        <w:rPr>
          <w:szCs w:val="26"/>
        </w:rPr>
        <w:t>’</w:t>
      </w:r>
      <w:r w:rsidR="00BE0206">
        <w:rPr>
          <w:szCs w:val="26"/>
        </w:rPr>
        <w:t> </w:t>
      </w:r>
      <w:r w:rsidR="00F15A75" w:rsidRPr="001C328A">
        <w:rPr>
          <w:szCs w:val="26"/>
        </w:rPr>
        <w:t>”  (</w:t>
      </w:r>
      <w:r w:rsidR="00F15A75" w:rsidRPr="001C328A">
        <w:rPr>
          <w:i/>
          <w:iCs/>
          <w:szCs w:val="26"/>
        </w:rPr>
        <w:t>Sanchez</w:t>
      </w:r>
      <w:r w:rsidR="00F15A75" w:rsidRPr="001C328A">
        <w:rPr>
          <w:szCs w:val="26"/>
        </w:rPr>
        <w:t xml:space="preserve">, </w:t>
      </w:r>
      <w:r w:rsidR="00F15A75" w:rsidRPr="001C328A">
        <w:rPr>
          <w:i/>
          <w:iCs/>
          <w:szCs w:val="26"/>
        </w:rPr>
        <w:t>supra</w:t>
      </w:r>
      <w:r w:rsidR="00F15A75" w:rsidRPr="001C328A">
        <w:rPr>
          <w:szCs w:val="26"/>
        </w:rPr>
        <w:t xml:space="preserve">, 26 Cal.4th at p. 845, </w:t>
      </w:r>
      <w:r w:rsidR="000C09D4">
        <w:rPr>
          <w:szCs w:val="26"/>
        </w:rPr>
        <w:t>see</w:t>
      </w:r>
      <w:r w:rsidR="000C09D4" w:rsidRPr="001C328A">
        <w:rPr>
          <w:szCs w:val="26"/>
        </w:rPr>
        <w:t xml:space="preserve"> CALJIC No. 3.40</w:t>
      </w:r>
      <w:r w:rsidR="000C09D4">
        <w:rPr>
          <w:szCs w:val="26"/>
        </w:rPr>
        <w:t xml:space="preserve">; </w:t>
      </w:r>
      <w:r w:rsidR="00F15A75" w:rsidRPr="001C328A">
        <w:rPr>
          <w:szCs w:val="26"/>
        </w:rPr>
        <w:t xml:space="preserve">see </w:t>
      </w:r>
      <w:r w:rsidR="000C09D4">
        <w:rPr>
          <w:szCs w:val="26"/>
        </w:rPr>
        <w:t xml:space="preserve">also </w:t>
      </w:r>
      <w:r w:rsidR="00F15A75" w:rsidRPr="001C328A">
        <w:rPr>
          <w:i/>
          <w:iCs/>
          <w:szCs w:val="26"/>
        </w:rPr>
        <w:t>ante</w:t>
      </w:r>
      <w:r w:rsidR="00F15A75" w:rsidRPr="001C328A">
        <w:rPr>
          <w:szCs w:val="26"/>
        </w:rPr>
        <w:t xml:space="preserve">, at p. </w:t>
      </w:r>
      <w:r w:rsidR="001D7220" w:rsidRPr="001C328A">
        <w:rPr>
          <w:szCs w:val="26"/>
        </w:rPr>
        <w:t>1</w:t>
      </w:r>
      <w:r w:rsidR="002665D8" w:rsidRPr="001C328A">
        <w:rPr>
          <w:szCs w:val="26"/>
        </w:rPr>
        <w:t>1</w:t>
      </w:r>
      <w:r w:rsidR="001D7220" w:rsidRPr="001C328A">
        <w:rPr>
          <w:szCs w:val="26"/>
        </w:rPr>
        <w:t>, fn. 6</w:t>
      </w:r>
      <w:r w:rsidR="00F15A75" w:rsidRPr="001C328A">
        <w:rPr>
          <w:szCs w:val="26"/>
        </w:rPr>
        <w:t xml:space="preserve">.) </w:t>
      </w:r>
      <w:r w:rsidR="00624384" w:rsidRPr="001C328A">
        <w:rPr>
          <w:szCs w:val="26"/>
        </w:rPr>
        <w:t xml:space="preserve"> </w:t>
      </w:r>
      <w:r w:rsidR="007F5D6E" w:rsidRPr="001C328A">
        <w:rPr>
          <w:szCs w:val="26"/>
        </w:rPr>
        <w:t>Draw</w:t>
      </w:r>
      <w:r w:rsidR="00394E12" w:rsidRPr="001C328A">
        <w:rPr>
          <w:szCs w:val="26"/>
        </w:rPr>
        <w:t>n fr</w:t>
      </w:r>
      <w:r w:rsidR="007F5D6E" w:rsidRPr="001C328A">
        <w:rPr>
          <w:szCs w:val="26"/>
        </w:rPr>
        <w:t xml:space="preserve">om </w:t>
      </w:r>
      <w:r w:rsidR="008539B4" w:rsidRPr="001C328A">
        <w:rPr>
          <w:szCs w:val="26"/>
        </w:rPr>
        <w:t xml:space="preserve">these </w:t>
      </w:r>
      <w:r w:rsidR="007F5D6E" w:rsidRPr="001C328A">
        <w:rPr>
          <w:szCs w:val="26"/>
        </w:rPr>
        <w:t xml:space="preserve">instructions, </w:t>
      </w:r>
      <w:r w:rsidR="005962EE" w:rsidRPr="001C328A">
        <w:rPr>
          <w:szCs w:val="26"/>
        </w:rPr>
        <w:t xml:space="preserve">the term </w:t>
      </w:r>
      <w:r w:rsidR="00624384" w:rsidRPr="001C328A">
        <w:rPr>
          <w:szCs w:val="26"/>
        </w:rPr>
        <w:t>“substantial concurrent cause”</w:t>
      </w:r>
      <w:r w:rsidR="00743A7B" w:rsidRPr="001C328A">
        <w:rPr>
          <w:szCs w:val="26"/>
        </w:rPr>
        <w:t xml:space="preserve"> </w:t>
      </w:r>
      <w:r w:rsidR="00E56811">
        <w:rPr>
          <w:szCs w:val="26"/>
        </w:rPr>
        <w:t xml:space="preserve">used in </w:t>
      </w:r>
      <w:r w:rsidR="00E56811" w:rsidRPr="00E56811">
        <w:rPr>
          <w:i/>
          <w:iCs/>
          <w:szCs w:val="26"/>
        </w:rPr>
        <w:t>Sanchez</w:t>
      </w:r>
      <w:r w:rsidR="00E56811">
        <w:rPr>
          <w:szCs w:val="26"/>
        </w:rPr>
        <w:t xml:space="preserve"> </w:t>
      </w:r>
      <w:r w:rsidR="006D1255" w:rsidRPr="001C328A">
        <w:rPr>
          <w:szCs w:val="26"/>
        </w:rPr>
        <w:t>accurate</w:t>
      </w:r>
      <w:r w:rsidR="005962EE" w:rsidRPr="001C328A">
        <w:rPr>
          <w:szCs w:val="26"/>
        </w:rPr>
        <w:t>ly</w:t>
      </w:r>
      <w:r w:rsidR="009473D0" w:rsidRPr="001C328A">
        <w:rPr>
          <w:szCs w:val="26"/>
        </w:rPr>
        <w:t xml:space="preserve"> descri</w:t>
      </w:r>
      <w:r w:rsidR="005962EE" w:rsidRPr="001C328A">
        <w:rPr>
          <w:szCs w:val="26"/>
        </w:rPr>
        <w:t>be</w:t>
      </w:r>
      <w:r w:rsidR="008D1C72">
        <w:rPr>
          <w:szCs w:val="26"/>
        </w:rPr>
        <w:t xml:space="preserve">s </w:t>
      </w:r>
      <w:r w:rsidR="006D1255" w:rsidRPr="001C328A">
        <w:rPr>
          <w:szCs w:val="26"/>
        </w:rPr>
        <w:t>proximate cause</w:t>
      </w:r>
      <w:r w:rsidR="00E269B2" w:rsidRPr="001C328A">
        <w:rPr>
          <w:szCs w:val="26"/>
        </w:rPr>
        <w:t>,</w:t>
      </w:r>
      <w:r w:rsidR="005962EE" w:rsidRPr="001C328A">
        <w:rPr>
          <w:szCs w:val="26"/>
        </w:rPr>
        <w:t xml:space="preserve"> encompassing </w:t>
      </w:r>
      <w:r w:rsidR="006D1255" w:rsidRPr="001C328A">
        <w:rPr>
          <w:szCs w:val="26"/>
        </w:rPr>
        <w:t xml:space="preserve">the components of </w:t>
      </w:r>
      <w:r w:rsidR="00150FA9" w:rsidRPr="001C328A">
        <w:rPr>
          <w:szCs w:val="26"/>
        </w:rPr>
        <w:t xml:space="preserve">(1) </w:t>
      </w:r>
      <w:r w:rsidR="006D1255" w:rsidRPr="001C328A">
        <w:rPr>
          <w:szCs w:val="26"/>
        </w:rPr>
        <w:t>cause in fact</w:t>
      </w:r>
      <w:r w:rsidR="00BE0206">
        <w:rPr>
          <w:szCs w:val="26"/>
        </w:rPr>
        <w:t> </w:t>
      </w:r>
      <w:r w:rsidR="008340BF" w:rsidRPr="001C328A">
        <w:rPr>
          <w:szCs w:val="26"/>
        </w:rPr>
        <w:t xml:space="preserve">— </w:t>
      </w:r>
      <w:r w:rsidR="00150FA9" w:rsidRPr="001C328A">
        <w:rPr>
          <w:szCs w:val="26"/>
        </w:rPr>
        <w:t>i.e.,</w:t>
      </w:r>
      <w:r w:rsidR="00205518" w:rsidRPr="001C328A">
        <w:rPr>
          <w:szCs w:val="26"/>
        </w:rPr>
        <w:t xml:space="preserve"> requiring the defendant’s conduct to be a </w:t>
      </w:r>
      <w:r w:rsidR="00D324E9" w:rsidRPr="001C328A">
        <w:rPr>
          <w:szCs w:val="26"/>
        </w:rPr>
        <w:t>“</w:t>
      </w:r>
      <w:r w:rsidR="00205518" w:rsidRPr="001C328A">
        <w:rPr>
          <w:szCs w:val="26"/>
        </w:rPr>
        <w:t>substantial factor</w:t>
      </w:r>
      <w:r w:rsidR="00D324E9" w:rsidRPr="001C328A">
        <w:rPr>
          <w:szCs w:val="26"/>
        </w:rPr>
        <w:t>”</w:t>
      </w:r>
      <w:r w:rsidR="00205518" w:rsidRPr="001C328A">
        <w:rPr>
          <w:szCs w:val="26"/>
        </w:rPr>
        <w:t xml:space="preserve"> contributing to the bystander’s death, and </w:t>
      </w:r>
      <w:r w:rsidR="00150FA9" w:rsidRPr="001C328A">
        <w:rPr>
          <w:szCs w:val="26"/>
        </w:rPr>
        <w:t xml:space="preserve">(2) </w:t>
      </w:r>
      <w:r w:rsidR="006D1255" w:rsidRPr="001C328A">
        <w:rPr>
          <w:szCs w:val="26"/>
        </w:rPr>
        <w:t>policy considerations</w:t>
      </w:r>
      <w:r w:rsidR="00BE0206">
        <w:rPr>
          <w:szCs w:val="26"/>
        </w:rPr>
        <w:t> </w:t>
      </w:r>
      <w:r w:rsidR="008340BF" w:rsidRPr="001C328A">
        <w:rPr>
          <w:szCs w:val="26"/>
        </w:rPr>
        <w:t>—</w:t>
      </w:r>
      <w:r w:rsidR="00205518" w:rsidRPr="001C328A">
        <w:rPr>
          <w:szCs w:val="26"/>
        </w:rPr>
        <w:t xml:space="preserve"> </w:t>
      </w:r>
      <w:r w:rsidR="00150FA9" w:rsidRPr="001C328A">
        <w:rPr>
          <w:szCs w:val="26"/>
        </w:rPr>
        <w:t>i.e.,</w:t>
      </w:r>
      <w:r w:rsidR="00205518" w:rsidRPr="001C328A">
        <w:rPr>
          <w:szCs w:val="26"/>
        </w:rPr>
        <w:t xml:space="preserve"> limiting liability </w:t>
      </w:r>
      <w:r w:rsidR="008539B4" w:rsidRPr="001C328A">
        <w:rPr>
          <w:szCs w:val="26"/>
        </w:rPr>
        <w:t>for</w:t>
      </w:r>
      <w:r w:rsidR="00205518" w:rsidRPr="001C328A">
        <w:rPr>
          <w:szCs w:val="26"/>
        </w:rPr>
        <w:t xml:space="preserve"> that </w:t>
      </w:r>
      <w:r w:rsidR="0044131C" w:rsidRPr="001C328A">
        <w:rPr>
          <w:szCs w:val="26"/>
        </w:rPr>
        <w:t>w</w:t>
      </w:r>
      <w:r w:rsidR="00205518" w:rsidRPr="001C328A">
        <w:rPr>
          <w:szCs w:val="26"/>
        </w:rPr>
        <w:t xml:space="preserve">hich is the </w:t>
      </w:r>
      <w:r w:rsidR="00D324E9" w:rsidRPr="001C328A">
        <w:rPr>
          <w:szCs w:val="26"/>
        </w:rPr>
        <w:t>“</w:t>
      </w:r>
      <w:r w:rsidR="00205518" w:rsidRPr="001C328A">
        <w:rPr>
          <w:szCs w:val="26"/>
        </w:rPr>
        <w:t>direct, natural and probable consequence</w:t>
      </w:r>
      <w:r w:rsidR="00D324E9" w:rsidRPr="001C328A">
        <w:rPr>
          <w:szCs w:val="26"/>
        </w:rPr>
        <w:t>”</w:t>
      </w:r>
      <w:r w:rsidR="00205518" w:rsidRPr="001C328A">
        <w:rPr>
          <w:szCs w:val="26"/>
        </w:rPr>
        <w:t xml:space="preserve"> of the defendant’s act</w:t>
      </w:r>
      <w:r w:rsidR="00F85454" w:rsidRPr="001C328A">
        <w:rPr>
          <w:szCs w:val="26"/>
        </w:rPr>
        <w:t>.</w:t>
      </w:r>
      <w:r w:rsidR="00446EB8" w:rsidRPr="001C328A">
        <w:rPr>
          <w:szCs w:val="26"/>
        </w:rPr>
        <w:t xml:space="preserve">  (See</w:t>
      </w:r>
      <w:r w:rsidR="00446EB8" w:rsidRPr="001C328A">
        <w:rPr>
          <w:i/>
          <w:iCs/>
          <w:szCs w:val="26"/>
        </w:rPr>
        <w:t xml:space="preserve"> ante</w:t>
      </w:r>
      <w:r w:rsidR="00446EB8" w:rsidRPr="001C328A">
        <w:rPr>
          <w:szCs w:val="26"/>
        </w:rPr>
        <w:t>, at p</w:t>
      </w:r>
      <w:r w:rsidR="00930CB9" w:rsidRPr="001C328A">
        <w:rPr>
          <w:szCs w:val="26"/>
        </w:rPr>
        <w:t>p</w:t>
      </w:r>
      <w:r w:rsidR="00446EB8" w:rsidRPr="001C328A">
        <w:rPr>
          <w:szCs w:val="26"/>
        </w:rPr>
        <w:t xml:space="preserve">. </w:t>
      </w:r>
      <w:r w:rsidR="000C09D4">
        <w:rPr>
          <w:szCs w:val="26"/>
        </w:rPr>
        <w:t>7</w:t>
      </w:r>
      <w:r w:rsidR="00930CB9" w:rsidRPr="001C328A">
        <w:rPr>
          <w:szCs w:val="26"/>
        </w:rPr>
        <w:t>–8</w:t>
      </w:r>
      <w:r w:rsidR="00446EB8" w:rsidRPr="001C328A">
        <w:rPr>
          <w:szCs w:val="26"/>
        </w:rPr>
        <w:t xml:space="preserve">.) </w:t>
      </w:r>
    </w:p>
    <w:p w14:paraId="0E185CC4" w14:textId="01FB4DA3" w:rsidR="00EB0BF8" w:rsidRPr="00A71F78" w:rsidRDefault="0081130F" w:rsidP="00A31766">
      <w:pPr>
        <w:widowControl w:val="0"/>
        <w:autoSpaceDE w:val="0"/>
        <w:autoSpaceDN w:val="0"/>
        <w:adjustRightInd w:val="0"/>
        <w:rPr>
          <w:szCs w:val="26"/>
        </w:rPr>
      </w:pPr>
      <w:r w:rsidRPr="00A71F78">
        <w:rPr>
          <w:szCs w:val="26"/>
        </w:rPr>
        <w:tab/>
      </w:r>
      <w:r w:rsidR="00114975" w:rsidRPr="00A71F78">
        <w:rPr>
          <w:szCs w:val="26"/>
        </w:rPr>
        <w:t xml:space="preserve">In </w:t>
      </w:r>
      <w:r w:rsidR="00A30AB1" w:rsidRPr="00A71F78">
        <w:rPr>
          <w:szCs w:val="26"/>
        </w:rPr>
        <w:t>concluding that</w:t>
      </w:r>
      <w:r w:rsidR="003A3B35" w:rsidRPr="00A71F78">
        <w:rPr>
          <w:szCs w:val="26"/>
        </w:rPr>
        <w:t xml:space="preserve"> the defendants’ life-threatening </w:t>
      </w:r>
      <w:r w:rsidR="0030662C">
        <w:rPr>
          <w:szCs w:val="26"/>
        </w:rPr>
        <w:t xml:space="preserve">deadly </w:t>
      </w:r>
      <w:r w:rsidR="003A3B35" w:rsidRPr="00A71F78">
        <w:rPr>
          <w:szCs w:val="26"/>
        </w:rPr>
        <w:t>act</w:t>
      </w:r>
      <w:r w:rsidR="0030662C">
        <w:rPr>
          <w:szCs w:val="26"/>
        </w:rPr>
        <w:t>ions</w:t>
      </w:r>
      <w:r w:rsidR="003A3B35" w:rsidRPr="00A71F78">
        <w:rPr>
          <w:szCs w:val="26"/>
        </w:rPr>
        <w:t xml:space="preserve"> </w:t>
      </w:r>
      <w:r w:rsidR="006A05FE" w:rsidRPr="00A71F78">
        <w:rPr>
          <w:szCs w:val="26"/>
        </w:rPr>
        <w:t xml:space="preserve">in </w:t>
      </w:r>
      <w:r w:rsidR="006A05FE" w:rsidRPr="00A71F78">
        <w:rPr>
          <w:i/>
          <w:iCs/>
          <w:szCs w:val="26"/>
        </w:rPr>
        <w:t xml:space="preserve">Sanchez </w:t>
      </w:r>
      <w:r w:rsidR="003A3B35" w:rsidRPr="00A71F78">
        <w:rPr>
          <w:szCs w:val="26"/>
        </w:rPr>
        <w:t>constituted</w:t>
      </w:r>
      <w:r w:rsidR="00A30AB1" w:rsidRPr="00A71F78">
        <w:rPr>
          <w:szCs w:val="26"/>
        </w:rPr>
        <w:t xml:space="preserve"> </w:t>
      </w:r>
      <w:r w:rsidR="00D4526B" w:rsidRPr="00A71F78">
        <w:rPr>
          <w:szCs w:val="26"/>
        </w:rPr>
        <w:t xml:space="preserve">the </w:t>
      </w:r>
      <w:r w:rsidR="00A30AB1" w:rsidRPr="00A71F78">
        <w:rPr>
          <w:szCs w:val="26"/>
        </w:rPr>
        <w:t xml:space="preserve">“substantial </w:t>
      </w:r>
      <w:r w:rsidR="003A3B35" w:rsidRPr="00A71F78">
        <w:rPr>
          <w:szCs w:val="26"/>
        </w:rPr>
        <w:t xml:space="preserve">concurrent, and hence proximate, </w:t>
      </w:r>
      <w:r w:rsidR="00A30AB1" w:rsidRPr="00A71F78">
        <w:rPr>
          <w:szCs w:val="26"/>
        </w:rPr>
        <w:t>cause”</w:t>
      </w:r>
      <w:r w:rsidR="003A3B35" w:rsidRPr="00A71F78">
        <w:rPr>
          <w:szCs w:val="26"/>
        </w:rPr>
        <w:t xml:space="preserve"> of the bystander’s death,</w:t>
      </w:r>
      <w:r w:rsidR="00A30AB1" w:rsidRPr="00A71F78">
        <w:rPr>
          <w:szCs w:val="26"/>
        </w:rPr>
        <w:t xml:space="preserve"> </w:t>
      </w:r>
      <w:r w:rsidR="005E370A" w:rsidRPr="00A71F78">
        <w:rPr>
          <w:szCs w:val="26"/>
        </w:rPr>
        <w:t xml:space="preserve">the </w:t>
      </w:r>
      <w:r w:rsidR="005E370A" w:rsidRPr="00A71F78">
        <w:rPr>
          <w:i/>
          <w:iCs/>
          <w:szCs w:val="26"/>
        </w:rPr>
        <w:t xml:space="preserve">Sanchez </w:t>
      </w:r>
      <w:r w:rsidR="005E370A" w:rsidRPr="00A71F78">
        <w:rPr>
          <w:szCs w:val="26"/>
        </w:rPr>
        <w:t xml:space="preserve">majority </w:t>
      </w:r>
      <w:r w:rsidR="003A3B35" w:rsidRPr="00A71F78">
        <w:rPr>
          <w:szCs w:val="26"/>
        </w:rPr>
        <w:t>emphasized</w:t>
      </w:r>
      <w:r w:rsidR="00A30AB1" w:rsidRPr="00A71F78">
        <w:rPr>
          <w:szCs w:val="26"/>
        </w:rPr>
        <w:t xml:space="preserve"> </w:t>
      </w:r>
      <w:r w:rsidR="00B923F4" w:rsidRPr="00A71F78">
        <w:rPr>
          <w:szCs w:val="26"/>
        </w:rPr>
        <w:t>the defendants</w:t>
      </w:r>
      <w:r w:rsidR="00AF48AA" w:rsidRPr="00A71F78">
        <w:rPr>
          <w:szCs w:val="26"/>
        </w:rPr>
        <w:t>’</w:t>
      </w:r>
      <w:r w:rsidR="007578F3" w:rsidRPr="00A71F78">
        <w:rPr>
          <w:szCs w:val="26"/>
        </w:rPr>
        <w:t xml:space="preserve"> act</w:t>
      </w:r>
      <w:r w:rsidR="003A3B35" w:rsidRPr="00A71F78">
        <w:rPr>
          <w:szCs w:val="26"/>
        </w:rPr>
        <w:t>s</w:t>
      </w:r>
      <w:r w:rsidR="007578F3" w:rsidRPr="00A71F78">
        <w:rPr>
          <w:szCs w:val="26"/>
        </w:rPr>
        <w:t xml:space="preserve"> of</w:t>
      </w:r>
      <w:r w:rsidR="008C263C" w:rsidRPr="00A71F78">
        <w:rPr>
          <w:szCs w:val="26"/>
        </w:rPr>
        <w:t xml:space="preserve"> </w:t>
      </w:r>
      <w:r w:rsidR="00B923F4" w:rsidRPr="00A71F78">
        <w:rPr>
          <w:szCs w:val="26"/>
        </w:rPr>
        <w:t xml:space="preserve">“engag[ing] one another in a gun battle on a public street in broad daylight” </w:t>
      </w:r>
      <w:r w:rsidR="00DB728B" w:rsidRPr="00A71F78">
        <w:rPr>
          <w:szCs w:val="26"/>
        </w:rPr>
        <w:t>(</w:t>
      </w:r>
      <w:r w:rsidR="00DB728B" w:rsidRPr="00A71F78">
        <w:rPr>
          <w:i/>
          <w:iCs/>
          <w:szCs w:val="26"/>
        </w:rPr>
        <w:t>Sanchez</w:t>
      </w:r>
      <w:r w:rsidR="00DB728B" w:rsidRPr="00A71F78">
        <w:rPr>
          <w:szCs w:val="26"/>
        </w:rPr>
        <w:t xml:space="preserve">, </w:t>
      </w:r>
      <w:r w:rsidR="00DB728B" w:rsidRPr="00A71F78">
        <w:rPr>
          <w:i/>
          <w:iCs/>
          <w:szCs w:val="26"/>
        </w:rPr>
        <w:t>supra</w:t>
      </w:r>
      <w:r w:rsidR="00DB728B" w:rsidRPr="00A71F78">
        <w:rPr>
          <w:szCs w:val="26"/>
        </w:rPr>
        <w:t>, 26 Cal.4th at p. 852)</w:t>
      </w:r>
      <w:r w:rsidR="00DB728B">
        <w:rPr>
          <w:szCs w:val="26"/>
        </w:rPr>
        <w:t xml:space="preserve"> </w:t>
      </w:r>
      <w:r w:rsidR="00B923F4" w:rsidRPr="00A71F78">
        <w:rPr>
          <w:szCs w:val="26"/>
        </w:rPr>
        <w:t xml:space="preserve">and </w:t>
      </w:r>
      <w:r w:rsidR="007578F3" w:rsidRPr="00A71F78">
        <w:rPr>
          <w:szCs w:val="26"/>
        </w:rPr>
        <w:t xml:space="preserve">making </w:t>
      </w:r>
      <w:r w:rsidR="00B923F4" w:rsidRPr="00A71F78">
        <w:rPr>
          <w:szCs w:val="26"/>
        </w:rPr>
        <w:t>“simultaneous attempts to murder one another in a preplanned blaze of gunfire”</w:t>
      </w:r>
      <w:r w:rsidR="00DB728B">
        <w:rPr>
          <w:szCs w:val="26"/>
        </w:rPr>
        <w:t xml:space="preserve"> (</w:t>
      </w:r>
      <w:r w:rsidR="00DB728B" w:rsidRPr="00DB728B">
        <w:rPr>
          <w:i/>
          <w:iCs/>
          <w:szCs w:val="26"/>
        </w:rPr>
        <w:t>id</w:t>
      </w:r>
      <w:r w:rsidR="00DB728B">
        <w:rPr>
          <w:szCs w:val="26"/>
        </w:rPr>
        <w:t>. at p. 853).</w:t>
      </w:r>
      <w:r w:rsidR="00A30AB1" w:rsidRPr="00A71F78">
        <w:rPr>
          <w:szCs w:val="26"/>
        </w:rPr>
        <w:t xml:space="preserve">  These</w:t>
      </w:r>
      <w:r w:rsidR="00B923F4" w:rsidRPr="00A71F78">
        <w:rPr>
          <w:szCs w:val="26"/>
        </w:rPr>
        <w:t xml:space="preserve"> </w:t>
      </w:r>
      <w:r w:rsidR="009C7871" w:rsidRPr="00A71F78">
        <w:rPr>
          <w:szCs w:val="26"/>
        </w:rPr>
        <w:t xml:space="preserve">mutual </w:t>
      </w:r>
      <w:r w:rsidR="003A3B35" w:rsidRPr="00A71F78">
        <w:rPr>
          <w:szCs w:val="26"/>
        </w:rPr>
        <w:t xml:space="preserve">acts </w:t>
      </w:r>
      <w:r w:rsidR="00B923F4" w:rsidRPr="00A71F78">
        <w:rPr>
          <w:szCs w:val="26"/>
        </w:rPr>
        <w:t xml:space="preserve">were </w:t>
      </w:r>
      <w:r w:rsidR="008C263C" w:rsidRPr="00A71F78">
        <w:rPr>
          <w:szCs w:val="26"/>
        </w:rPr>
        <w:t>without question</w:t>
      </w:r>
      <w:r w:rsidR="00040470" w:rsidRPr="00A71F78">
        <w:rPr>
          <w:szCs w:val="26"/>
        </w:rPr>
        <w:t xml:space="preserve"> </w:t>
      </w:r>
      <w:r w:rsidR="00C0689E" w:rsidRPr="00A71F78">
        <w:rPr>
          <w:szCs w:val="26"/>
        </w:rPr>
        <w:t xml:space="preserve">concurrent, </w:t>
      </w:r>
      <w:r w:rsidR="00B923F4" w:rsidRPr="00A71F78">
        <w:rPr>
          <w:szCs w:val="26"/>
        </w:rPr>
        <w:t>substantial factor</w:t>
      </w:r>
      <w:r w:rsidR="00C0689E" w:rsidRPr="00A71F78">
        <w:rPr>
          <w:szCs w:val="26"/>
        </w:rPr>
        <w:t>s</w:t>
      </w:r>
      <w:r w:rsidR="00B923F4" w:rsidRPr="00A71F78">
        <w:rPr>
          <w:szCs w:val="26"/>
        </w:rPr>
        <w:t xml:space="preserve"> contributing to the bystander’s death</w:t>
      </w:r>
      <w:r w:rsidR="005962EE" w:rsidRPr="00A71F78">
        <w:rPr>
          <w:szCs w:val="26"/>
        </w:rPr>
        <w:t xml:space="preserve">. </w:t>
      </w:r>
      <w:r w:rsidR="00727B2D" w:rsidRPr="00A71F78">
        <w:rPr>
          <w:szCs w:val="26"/>
        </w:rPr>
        <w:t xml:space="preserve"> </w:t>
      </w:r>
      <w:r w:rsidR="00EB0BF8" w:rsidRPr="00A71F78">
        <w:rPr>
          <w:szCs w:val="26"/>
        </w:rPr>
        <w:t xml:space="preserve">Quoting </w:t>
      </w:r>
      <w:r w:rsidR="00727B2D" w:rsidRPr="00A71F78">
        <w:rPr>
          <w:szCs w:val="26"/>
        </w:rPr>
        <w:t>Justice Kennard</w:t>
      </w:r>
      <w:r w:rsidR="00EB0BF8" w:rsidRPr="00A71F78">
        <w:rPr>
          <w:szCs w:val="26"/>
        </w:rPr>
        <w:t>’s</w:t>
      </w:r>
      <w:r w:rsidR="001E7A2B" w:rsidRPr="00A71F78">
        <w:rPr>
          <w:i/>
          <w:iCs/>
          <w:szCs w:val="26"/>
        </w:rPr>
        <w:t xml:space="preserve"> </w:t>
      </w:r>
      <w:r w:rsidR="001267EA" w:rsidRPr="00A71F78">
        <w:rPr>
          <w:szCs w:val="26"/>
        </w:rPr>
        <w:t>concurrence</w:t>
      </w:r>
      <w:r w:rsidR="00727B2D" w:rsidRPr="00A71F78">
        <w:rPr>
          <w:szCs w:val="26"/>
        </w:rPr>
        <w:t>,</w:t>
      </w:r>
      <w:r w:rsidR="0048241C" w:rsidRPr="00A71F78">
        <w:rPr>
          <w:szCs w:val="26"/>
        </w:rPr>
        <w:t xml:space="preserve"> </w:t>
      </w:r>
      <w:r w:rsidR="005E370A" w:rsidRPr="00A71F78">
        <w:rPr>
          <w:szCs w:val="26"/>
        </w:rPr>
        <w:t>the majority</w:t>
      </w:r>
      <w:r w:rsidR="00EB0BF8" w:rsidRPr="00A71F78">
        <w:rPr>
          <w:szCs w:val="26"/>
        </w:rPr>
        <w:t xml:space="preserve"> concluded:  </w:t>
      </w:r>
      <w:r w:rsidR="005E6238" w:rsidRPr="00A71F78">
        <w:rPr>
          <w:szCs w:val="26"/>
        </w:rPr>
        <w:t>“</w:t>
      </w:r>
      <w:r w:rsidR="00BE0206">
        <w:rPr>
          <w:szCs w:val="26"/>
        </w:rPr>
        <w:t> </w:t>
      </w:r>
      <w:r w:rsidR="00B460EC" w:rsidRPr="00A71F78">
        <w:rPr>
          <w:szCs w:val="26"/>
        </w:rPr>
        <w:t>‘</w:t>
      </w:r>
      <w:r w:rsidR="00EB0BF8" w:rsidRPr="00A71F78">
        <w:rPr>
          <w:szCs w:val="26"/>
        </w:rPr>
        <w:t xml:space="preserve">Because [Sanchez] and Gonzalez had equally culpable mental states and engaged in </w:t>
      </w:r>
      <w:r w:rsidR="00C4542C" w:rsidRPr="00A71F78">
        <w:rPr>
          <w:szCs w:val="26"/>
        </w:rPr>
        <w:t xml:space="preserve">precisely </w:t>
      </w:r>
      <w:r w:rsidR="00EB0BF8" w:rsidRPr="00A71F78">
        <w:rPr>
          <w:szCs w:val="26"/>
        </w:rPr>
        <w:t xml:space="preserve">the same conduct at the same time and place in exchanging shots, </w:t>
      </w:r>
      <w:r w:rsidR="00D47505" w:rsidRPr="00A71F78">
        <w:rPr>
          <w:szCs w:val="26"/>
        </w:rPr>
        <w:t>it is not unfair to hold them equally responsible for [the bystander’s] death, without regard to which of them actually fired the bullet that struck and killed [the bystander].’</w:t>
      </w:r>
      <w:r w:rsidR="00BE0206">
        <w:rPr>
          <w:szCs w:val="26"/>
        </w:rPr>
        <w:t> </w:t>
      </w:r>
      <w:r w:rsidR="00D47505" w:rsidRPr="00A71F78">
        <w:rPr>
          <w:szCs w:val="26"/>
        </w:rPr>
        <w:t>”  (</w:t>
      </w:r>
      <w:r w:rsidR="00EA261F" w:rsidRPr="00A71F78">
        <w:rPr>
          <w:i/>
          <w:iCs/>
          <w:szCs w:val="26"/>
        </w:rPr>
        <w:t>Id.</w:t>
      </w:r>
      <w:r w:rsidR="00D47505" w:rsidRPr="00A71F78">
        <w:rPr>
          <w:szCs w:val="26"/>
        </w:rPr>
        <w:t xml:space="preserve"> at p. 854, quoting </w:t>
      </w:r>
      <w:r w:rsidR="005D59BF" w:rsidRPr="005D59BF">
        <w:rPr>
          <w:i/>
          <w:iCs/>
          <w:szCs w:val="26"/>
        </w:rPr>
        <w:t>id</w:t>
      </w:r>
      <w:r w:rsidR="005D59BF">
        <w:rPr>
          <w:szCs w:val="26"/>
        </w:rPr>
        <w:t>. at p. 856 (</w:t>
      </w:r>
      <w:r w:rsidR="00D47505" w:rsidRPr="00A71F78">
        <w:rPr>
          <w:szCs w:val="26"/>
        </w:rPr>
        <w:t>conc. opn. of Kennard, J.)</w:t>
      </w:r>
      <w:r w:rsidR="005D59BF">
        <w:rPr>
          <w:szCs w:val="26"/>
        </w:rPr>
        <w:t>.)</w:t>
      </w:r>
      <w:r w:rsidR="00D47505" w:rsidRPr="00A71F78">
        <w:rPr>
          <w:szCs w:val="26"/>
        </w:rPr>
        <w:t xml:space="preserve"> </w:t>
      </w:r>
      <w:r w:rsidR="00EB0BF8" w:rsidRPr="00A71F78">
        <w:rPr>
          <w:szCs w:val="26"/>
        </w:rPr>
        <w:t xml:space="preserve"> Justice Kennard, who signed the majority opinion in </w:t>
      </w:r>
      <w:r w:rsidR="00EB0BF8" w:rsidRPr="00A71F78">
        <w:rPr>
          <w:i/>
          <w:iCs/>
          <w:szCs w:val="26"/>
        </w:rPr>
        <w:t>Sanchez</w:t>
      </w:r>
      <w:r w:rsidR="00EB0BF8" w:rsidRPr="00A71F78">
        <w:rPr>
          <w:szCs w:val="26"/>
        </w:rPr>
        <w:t>, reiterated these concurrent caus</w:t>
      </w:r>
      <w:r w:rsidR="005D59BF">
        <w:rPr>
          <w:szCs w:val="26"/>
        </w:rPr>
        <w:t>e</w:t>
      </w:r>
      <w:r w:rsidR="00EB0BF8" w:rsidRPr="00A71F78">
        <w:rPr>
          <w:szCs w:val="26"/>
        </w:rPr>
        <w:t xml:space="preserve"> principles in her separate concurrence, explaining:  “In legal terms, [Sanchez] committed the act of killing [the bystander] if his conduct was a legal or proximate cause of [that] death</w:t>
      </w:r>
      <w:r w:rsidR="0088193B" w:rsidRPr="00A71F78">
        <w:rPr>
          <w:szCs w:val="26"/>
        </w:rPr>
        <w:t xml:space="preserve">” even if it was Gonzalez who fired the fatal bullet.  </w:t>
      </w:r>
      <w:r w:rsidR="00EB0BF8" w:rsidRPr="00A71F78">
        <w:rPr>
          <w:szCs w:val="26"/>
        </w:rPr>
        <w:t>(</w:t>
      </w:r>
      <w:r w:rsidR="00C4542C" w:rsidRPr="00A71F78">
        <w:rPr>
          <w:i/>
          <w:iCs/>
          <w:szCs w:val="26"/>
        </w:rPr>
        <w:t xml:space="preserve">Id. </w:t>
      </w:r>
      <w:r w:rsidR="00EB0BF8" w:rsidRPr="00A71F78">
        <w:rPr>
          <w:szCs w:val="26"/>
        </w:rPr>
        <w:t>at p. 855 (conc. opn. of Kennard, J.).)</w:t>
      </w:r>
      <w:r w:rsidR="0088193B" w:rsidRPr="00A71F78">
        <w:rPr>
          <w:rStyle w:val="FootnoteReference"/>
          <w:szCs w:val="26"/>
        </w:rPr>
        <w:footnoteReference w:id="8"/>
      </w:r>
      <w:r w:rsidR="00EB0BF8" w:rsidRPr="00A71F78">
        <w:rPr>
          <w:szCs w:val="26"/>
        </w:rPr>
        <w:t xml:space="preserve">  </w:t>
      </w:r>
    </w:p>
    <w:p w14:paraId="50A363D2" w14:textId="3AB9E653" w:rsidR="00EB0BF8" w:rsidRPr="001C328A" w:rsidRDefault="00EB0BF8" w:rsidP="00A31766">
      <w:pPr>
        <w:widowControl w:val="0"/>
        <w:autoSpaceDE w:val="0"/>
        <w:autoSpaceDN w:val="0"/>
        <w:adjustRightInd w:val="0"/>
        <w:ind w:firstLine="720"/>
        <w:rPr>
          <w:szCs w:val="26"/>
        </w:rPr>
      </w:pPr>
      <w:r w:rsidRPr="00A71F78">
        <w:rPr>
          <w:szCs w:val="26"/>
        </w:rPr>
        <w:t xml:space="preserve">Justice Kennard went on to discuss </w:t>
      </w:r>
      <w:r w:rsidR="00C855F2" w:rsidRPr="00A71F78">
        <w:rPr>
          <w:szCs w:val="26"/>
        </w:rPr>
        <w:t xml:space="preserve">in her </w:t>
      </w:r>
      <w:r w:rsidR="00C855F2" w:rsidRPr="00A71F78">
        <w:rPr>
          <w:i/>
          <w:iCs/>
          <w:szCs w:val="26"/>
        </w:rPr>
        <w:t xml:space="preserve">Sanchez </w:t>
      </w:r>
      <w:r w:rsidR="00C855F2" w:rsidRPr="00A71F78">
        <w:rPr>
          <w:szCs w:val="26"/>
        </w:rPr>
        <w:t xml:space="preserve">concurrence </w:t>
      </w:r>
      <w:r w:rsidRPr="00A71F78">
        <w:rPr>
          <w:szCs w:val="26"/>
        </w:rPr>
        <w:t>whether Gonzalez’s conduct</w:t>
      </w:r>
      <w:r w:rsidR="00BE0206">
        <w:rPr>
          <w:szCs w:val="26"/>
        </w:rPr>
        <w:t> </w:t>
      </w:r>
      <w:r w:rsidRPr="00A71F78">
        <w:rPr>
          <w:szCs w:val="26"/>
        </w:rPr>
        <w:t xml:space="preserve">— firing at Sanchez “with a deliberate and premeditated intent to kill </w:t>
      </w:r>
      <w:r w:rsidR="005D59BF">
        <w:rPr>
          <w:szCs w:val="26"/>
        </w:rPr>
        <w:t>[</w:t>
      </w:r>
      <w:r w:rsidRPr="00A71F78">
        <w:rPr>
          <w:szCs w:val="26"/>
        </w:rPr>
        <w:t>him</w:t>
      </w:r>
      <w:r w:rsidR="005D59BF">
        <w:rPr>
          <w:szCs w:val="26"/>
        </w:rPr>
        <w:t>]</w:t>
      </w:r>
      <w:r w:rsidRPr="00A71F78">
        <w:rPr>
          <w:szCs w:val="26"/>
        </w:rPr>
        <w:t>”</w:t>
      </w:r>
      <w:r w:rsidR="00BE0206">
        <w:rPr>
          <w:szCs w:val="26"/>
        </w:rPr>
        <w:t> </w:t>
      </w:r>
      <w:r w:rsidRPr="00A71F78">
        <w:rPr>
          <w:szCs w:val="26"/>
        </w:rPr>
        <w:t xml:space="preserve">— “must in law be regarded as a ‘superseding cause’ that cut off </w:t>
      </w:r>
      <w:r w:rsidR="00C4542C" w:rsidRPr="00A71F78">
        <w:rPr>
          <w:szCs w:val="26"/>
        </w:rPr>
        <w:t xml:space="preserve">[Sanchez’s] </w:t>
      </w:r>
      <w:r w:rsidRPr="00A71F78">
        <w:rPr>
          <w:szCs w:val="26"/>
        </w:rPr>
        <w:t>responsibility for any injury or death inflicted by the bullets that Gonzales fired.”  (</w:t>
      </w:r>
      <w:r w:rsidR="00E269B2" w:rsidRPr="00A71F78">
        <w:rPr>
          <w:i/>
          <w:iCs/>
          <w:szCs w:val="26"/>
        </w:rPr>
        <w:t>Sanchez</w:t>
      </w:r>
      <w:r w:rsidR="00E269B2" w:rsidRPr="00A71F78">
        <w:rPr>
          <w:szCs w:val="26"/>
        </w:rPr>
        <w:t xml:space="preserve">, </w:t>
      </w:r>
      <w:r w:rsidR="00E269B2" w:rsidRPr="00A71F78">
        <w:rPr>
          <w:i/>
          <w:iCs/>
          <w:szCs w:val="26"/>
        </w:rPr>
        <w:t>supra</w:t>
      </w:r>
      <w:r w:rsidR="00E269B2" w:rsidRPr="00A71F78">
        <w:rPr>
          <w:szCs w:val="26"/>
        </w:rPr>
        <w:t>, 26 Cal.4th at p. 855</w:t>
      </w:r>
      <w:r w:rsidR="00AA532F" w:rsidRPr="00A71F78">
        <w:rPr>
          <w:szCs w:val="26"/>
        </w:rPr>
        <w:t xml:space="preserve"> (conc. </w:t>
      </w:r>
      <w:r w:rsidR="00C4542C" w:rsidRPr="00A71F78">
        <w:rPr>
          <w:szCs w:val="26"/>
        </w:rPr>
        <w:t xml:space="preserve">opn. </w:t>
      </w:r>
      <w:r w:rsidR="00AA532F" w:rsidRPr="00A71F78">
        <w:rPr>
          <w:szCs w:val="26"/>
        </w:rPr>
        <w:t>of Kennard, J.)</w:t>
      </w:r>
      <w:r w:rsidR="00E269B2" w:rsidRPr="00A71F78">
        <w:rPr>
          <w:szCs w:val="26"/>
        </w:rPr>
        <w:t>.</w:t>
      </w:r>
      <w:r w:rsidRPr="00A71F78">
        <w:rPr>
          <w:szCs w:val="26"/>
        </w:rPr>
        <w:t xml:space="preserve">)  She answered </w:t>
      </w:r>
      <w:r w:rsidR="00C855F2" w:rsidRPr="00A71F78">
        <w:rPr>
          <w:szCs w:val="26"/>
        </w:rPr>
        <w:t xml:space="preserve">this question </w:t>
      </w:r>
      <w:r w:rsidRPr="00A71F78">
        <w:rPr>
          <w:szCs w:val="26"/>
        </w:rPr>
        <w:t xml:space="preserve">in the negative, explaining:  </w:t>
      </w:r>
      <w:r w:rsidRPr="001C328A">
        <w:rPr>
          <w:szCs w:val="26"/>
        </w:rPr>
        <w:t>“</w:t>
      </w:r>
      <w:r w:rsidRPr="005D59BF">
        <w:rPr>
          <w:szCs w:val="26"/>
        </w:rPr>
        <w:t>I</w:t>
      </w:r>
      <w:r w:rsidRPr="001C328A">
        <w:rPr>
          <w:szCs w:val="26"/>
        </w:rPr>
        <w:t xml:space="preserve">n law, the term ‘superseding cause’ means “an independent event [that] intervenes in the chain of causation, producing harm of a kind and degree so far beyond the risk the original [wrongdoer] should have foreseen that the law deems it unfair to hold him responsible.”  [Citation.]  Here, </w:t>
      </w:r>
      <w:r w:rsidR="00C855F2" w:rsidRPr="001C328A">
        <w:rPr>
          <w:szCs w:val="26"/>
        </w:rPr>
        <w:t>[Sanchez]</w:t>
      </w:r>
      <w:r w:rsidRPr="001C328A">
        <w:rPr>
          <w:szCs w:val="26"/>
        </w:rPr>
        <w:t xml:space="preserve"> and Gonzalez during their gun battle were attempting to kill each other, so that the killing of a bystander was a harm that both in kind and degree was within the risk that </w:t>
      </w:r>
      <w:r w:rsidR="00C855F2" w:rsidRPr="001C328A">
        <w:rPr>
          <w:szCs w:val="26"/>
        </w:rPr>
        <w:t>[Sanchez]</w:t>
      </w:r>
      <w:r w:rsidRPr="001C328A">
        <w:rPr>
          <w:szCs w:val="26"/>
        </w:rPr>
        <w:t xml:space="preserve"> and Gonzalez must have expected. </w:t>
      </w:r>
      <w:r w:rsidR="00A33C55" w:rsidRPr="001C328A">
        <w:rPr>
          <w:szCs w:val="26"/>
        </w:rPr>
        <w:t xml:space="preserve"> </w:t>
      </w:r>
      <w:r w:rsidRPr="001C328A">
        <w:rPr>
          <w:szCs w:val="26"/>
        </w:rPr>
        <w:t xml:space="preserve">Because they each expected and intended a death to occur, and a death did </w:t>
      </w:r>
      <w:bookmarkStart w:id="10" w:name="co_pp_sp_4040_856_1"/>
      <w:bookmarkEnd w:id="10"/>
      <w:r w:rsidRPr="001C328A">
        <w:rPr>
          <w:szCs w:val="26"/>
        </w:rPr>
        <w:t>occur in a manner that was entirely foreseeable, it does not matter, for purposes of determining proximate or legal cause under criminal law, that the person killed was not the precise object of their lethal intent.”  (</w:t>
      </w:r>
      <w:r w:rsidRPr="001C328A">
        <w:rPr>
          <w:i/>
          <w:iCs/>
          <w:szCs w:val="26"/>
        </w:rPr>
        <w:t>Id</w:t>
      </w:r>
      <w:r w:rsidRPr="001C328A">
        <w:rPr>
          <w:szCs w:val="26"/>
        </w:rPr>
        <w:t>. at pp. 855–856</w:t>
      </w:r>
      <w:r w:rsidR="005D59BF">
        <w:rPr>
          <w:szCs w:val="26"/>
        </w:rPr>
        <w:t xml:space="preserve"> (conc. opn. of Kennard, J.)</w:t>
      </w:r>
      <w:r w:rsidRPr="001C328A">
        <w:rPr>
          <w:szCs w:val="26"/>
        </w:rPr>
        <w:t>.)</w:t>
      </w:r>
    </w:p>
    <w:p w14:paraId="427E8674" w14:textId="5DC70C75" w:rsidR="00EB0BF8" w:rsidRPr="00A71F78" w:rsidRDefault="00EB0BF8" w:rsidP="00A31766">
      <w:pPr>
        <w:widowControl w:val="0"/>
        <w:autoSpaceDE w:val="0"/>
        <w:autoSpaceDN w:val="0"/>
        <w:adjustRightInd w:val="0"/>
        <w:ind w:firstLine="720"/>
        <w:rPr>
          <w:szCs w:val="26"/>
        </w:rPr>
      </w:pPr>
      <w:r w:rsidRPr="001C328A">
        <w:rPr>
          <w:szCs w:val="26"/>
        </w:rPr>
        <w:t xml:space="preserve">Although the </w:t>
      </w:r>
      <w:r w:rsidRPr="001C328A">
        <w:rPr>
          <w:i/>
          <w:iCs/>
          <w:szCs w:val="26"/>
        </w:rPr>
        <w:t>Sanchez</w:t>
      </w:r>
      <w:r w:rsidRPr="001C328A">
        <w:rPr>
          <w:szCs w:val="26"/>
        </w:rPr>
        <w:t xml:space="preserve"> majority did not </w:t>
      </w:r>
      <w:r w:rsidR="002B079A" w:rsidRPr="001C328A">
        <w:rPr>
          <w:szCs w:val="26"/>
        </w:rPr>
        <w:t xml:space="preserve">refer </w:t>
      </w:r>
      <w:r w:rsidR="0088193B" w:rsidRPr="001C328A">
        <w:rPr>
          <w:szCs w:val="26"/>
        </w:rPr>
        <w:t>to</w:t>
      </w:r>
      <w:r w:rsidRPr="001C328A">
        <w:rPr>
          <w:szCs w:val="26"/>
        </w:rPr>
        <w:t xml:space="preserve"> the issue of superseding cause, its opinion should not be read as eliminating that issue from the causation analysis in concurrent cause cases.  The focus of the majority’s analysis was the Court of Appeal’s erroneous conclusion that, as a matter of law, “concurrent causation cannot be established in a single-fatal-bullet case.”  (</w:t>
      </w:r>
      <w:r w:rsidRPr="001C328A">
        <w:rPr>
          <w:i/>
          <w:iCs/>
          <w:szCs w:val="26"/>
        </w:rPr>
        <w:t>Sanchez</w:t>
      </w:r>
      <w:r w:rsidRPr="001C328A">
        <w:rPr>
          <w:szCs w:val="26"/>
        </w:rPr>
        <w:t xml:space="preserve">, </w:t>
      </w:r>
      <w:r w:rsidRPr="001C328A">
        <w:rPr>
          <w:i/>
          <w:iCs/>
          <w:szCs w:val="26"/>
        </w:rPr>
        <w:t>supra</w:t>
      </w:r>
      <w:r w:rsidRPr="001C328A">
        <w:rPr>
          <w:szCs w:val="26"/>
        </w:rPr>
        <w:t xml:space="preserve">, 26 Cal.4th at p. 839.)  </w:t>
      </w:r>
      <w:r w:rsidR="00F16574" w:rsidRPr="001C328A">
        <w:rPr>
          <w:szCs w:val="26"/>
        </w:rPr>
        <w:t>That the majority, in considering this narrow and specific legal question, did not also discuss superseding cause did not</w:t>
      </w:r>
      <w:r w:rsidR="00BE0206">
        <w:rPr>
          <w:szCs w:val="26"/>
        </w:rPr>
        <w:t> </w:t>
      </w:r>
      <w:r w:rsidR="00F16574" w:rsidRPr="001C328A">
        <w:rPr>
          <w:szCs w:val="26"/>
        </w:rPr>
        <w:t>— and was not intended to</w:t>
      </w:r>
      <w:r w:rsidR="00BE0206">
        <w:rPr>
          <w:szCs w:val="26"/>
        </w:rPr>
        <w:t> </w:t>
      </w:r>
      <w:r w:rsidR="00F16574" w:rsidRPr="001C328A">
        <w:rPr>
          <w:szCs w:val="26"/>
        </w:rPr>
        <w:t xml:space="preserve">— render the superseding cause question irrelevant to the determination of proximate cause.  To the extent that </w:t>
      </w:r>
      <w:r w:rsidR="00F16574" w:rsidRPr="001C328A">
        <w:rPr>
          <w:i/>
          <w:iCs/>
          <w:szCs w:val="26"/>
        </w:rPr>
        <w:t>Sanchez</w:t>
      </w:r>
      <w:r w:rsidR="00F16574" w:rsidRPr="001C328A">
        <w:rPr>
          <w:szCs w:val="26"/>
        </w:rPr>
        <w:t xml:space="preserve"> could be understood as suggesting otherwise, we now clarify that the question of superseding cause</w:t>
      </w:r>
      <w:r w:rsidR="00BE0206">
        <w:rPr>
          <w:szCs w:val="26"/>
        </w:rPr>
        <w:t> </w:t>
      </w:r>
      <w:r w:rsidR="00F16574" w:rsidRPr="001C328A">
        <w:rPr>
          <w:szCs w:val="26"/>
        </w:rPr>
        <w:t>— as Justice Kennard’s concurrence recognized</w:t>
      </w:r>
      <w:r w:rsidR="00BE0206">
        <w:rPr>
          <w:szCs w:val="26"/>
        </w:rPr>
        <w:t> </w:t>
      </w:r>
      <w:r w:rsidR="00F16574" w:rsidRPr="001C328A">
        <w:rPr>
          <w:szCs w:val="26"/>
        </w:rPr>
        <w:t xml:space="preserve">— remains part of the proximate cause analysis in concurrent cause cases. </w:t>
      </w:r>
    </w:p>
    <w:p w14:paraId="1B986440" w14:textId="00CFDFDF" w:rsidR="00944CFC" w:rsidRPr="00A71F78" w:rsidRDefault="00657717" w:rsidP="00A31766">
      <w:pPr>
        <w:widowControl w:val="0"/>
        <w:autoSpaceDE w:val="0"/>
        <w:autoSpaceDN w:val="0"/>
        <w:adjustRightInd w:val="0"/>
        <w:ind w:firstLine="720"/>
      </w:pPr>
      <w:r w:rsidRPr="00A71F78">
        <w:rPr>
          <w:szCs w:val="26"/>
        </w:rPr>
        <w:t>Notably</w:t>
      </w:r>
      <w:r w:rsidR="00CE7694" w:rsidRPr="00A71F78">
        <w:rPr>
          <w:szCs w:val="26"/>
        </w:rPr>
        <w:t xml:space="preserve">, the </w:t>
      </w:r>
      <w:r w:rsidRPr="00A71F78">
        <w:rPr>
          <w:szCs w:val="26"/>
        </w:rPr>
        <w:t xml:space="preserve">existing </w:t>
      </w:r>
      <w:r w:rsidR="006F7595" w:rsidRPr="00A71F78">
        <w:rPr>
          <w:szCs w:val="26"/>
        </w:rPr>
        <w:t>instructions on causation</w:t>
      </w:r>
      <w:r w:rsidRPr="00A71F78">
        <w:rPr>
          <w:szCs w:val="26"/>
        </w:rPr>
        <w:t xml:space="preserve"> </w:t>
      </w:r>
      <w:r w:rsidR="00F867EA" w:rsidRPr="00A71F78">
        <w:rPr>
          <w:szCs w:val="26"/>
        </w:rPr>
        <w:t xml:space="preserve">already </w:t>
      </w:r>
      <w:r w:rsidRPr="00A71F78">
        <w:rPr>
          <w:szCs w:val="26"/>
        </w:rPr>
        <w:t xml:space="preserve">incorporate the concept </w:t>
      </w:r>
      <w:r w:rsidR="006F7595" w:rsidRPr="00A71F78">
        <w:rPr>
          <w:szCs w:val="26"/>
        </w:rPr>
        <w:t>of an</w:t>
      </w:r>
      <w:r w:rsidR="004F2B3C" w:rsidRPr="00A71F78">
        <w:rPr>
          <w:szCs w:val="26"/>
        </w:rPr>
        <w:t>y</w:t>
      </w:r>
      <w:r w:rsidR="006F7595" w:rsidRPr="00A71F78">
        <w:rPr>
          <w:szCs w:val="26"/>
        </w:rPr>
        <w:t xml:space="preserve"> unforeseeable</w:t>
      </w:r>
      <w:r w:rsidR="00896E9F" w:rsidRPr="00A71F78">
        <w:rPr>
          <w:szCs w:val="26"/>
        </w:rPr>
        <w:t>,</w:t>
      </w:r>
      <w:r w:rsidR="006F7595" w:rsidRPr="00A71F78">
        <w:rPr>
          <w:szCs w:val="26"/>
        </w:rPr>
        <w:t xml:space="preserve"> superseding cause</w:t>
      </w:r>
      <w:r w:rsidR="00860277" w:rsidRPr="00A71F78">
        <w:rPr>
          <w:szCs w:val="26"/>
        </w:rPr>
        <w:t xml:space="preserve">.  </w:t>
      </w:r>
      <w:r w:rsidR="006F7595" w:rsidRPr="00A71F78">
        <w:rPr>
          <w:szCs w:val="26"/>
        </w:rPr>
        <w:t xml:space="preserve">CALJIC No. 3.40’s requirement that an injury or death be a direct, natural, and probable consequence of a defendant’s act “necessarily refers to consequences that are reasonably foreseeable.”  </w:t>
      </w:r>
      <w:r w:rsidR="00D02343" w:rsidRPr="00A71F78">
        <w:rPr>
          <w:szCs w:val="26"/>
        </w:rPr>
        <w:t>(</w:t>
      </w:r>
      <w:r w:rsidR="006F7595" w:rsidRPr="00A71F78">
        <w:rPr>
          <w:i/>
          <w:iCs/>
        </w:rPr>
        <w:t>Fiu</w:t>
      </w:r>
      <w:r w:rsidR="006F7595" w:rsidRPr="00A71F78">
        <w:t xml:space="preserve">, </w:t>
      </w:r>
      <w:r w:rsidR="006F7595" w:rsidRPr="00A71F78">
        <w:rPr>
          <w:i/>
          <w:iCs/>
        </w:rPr>
        <w:t>supra</w:t>
      </w:r>
      <w:r w:rsidR="006F7595" w:rsidRPr="00A71F78">
        <w:t xml:space="preserve">, 165 Cal.App.4th at p. 372; see CALCRIM No. 240 [“A </w:t>
      </w:r>
      <w:r w:rsidR="006F7595" w:rsidRPr="005D59BF">
        <w:rPr>
          <w:i/>
          <w:iCs/>
        </w:rPr>
        <w:t>natural and probable consequence</w:t>
      </w:r>
      <w:r w:rsidR="006F7595" w:rsidRPr="00A71F78">
        <w:t xml:space="preserve"> is one that a reasonable person would know is likely to happen </w:t>
      </w:r>
      <w:r w:rsidR="006F7595" w:rsidRPr="00A71F78">
        <w:rPr>
          <w:i/>
          <w:iCs/>
        </w:rPr>
        <w:t>if nothing unusual intervenes</w:t>
      </w:r>
      <w:r w:rsidR="006F7595" w:rsidRPr="00A71F78">
        <w:t>”</w:t>
      </w:r>
      <w:r w:rsidR="005D59BF">
        <w:t xml:space="preserve"> (second </w:t>
      </w:r>
      <w:r w:rsidR="006F7595" w:rsidRPr="00A71F78">
        <w:t>italics added)</w:t>
      </w:r>
      <w:r w:rsidR="005D59BF">
        <w:t>].)</w:t>
      </w:r>
      <w:r w:rsidR="006F7595" w:rsidRPr="00A71F78">
        <w:t xml:space="preserve">  </w:t>
      </w:r>
      <w:r w:rsidR="00D02343" w:rsidRPr="00A71F78">
        <w:t>Thus, if an intervening cause is a reasonably foreseeable result of a defendant’s initial act, “ ‘ “the intervening act is ‘dependent’ and not a superseding cause, and will not relieve [the] defendant of liability.”</w:t>
      </w:r>
      <w:r w:rsidR="00BE0206">
        <w:t> </w:t>
      </w:r>
      <w:r w:rsidR="00D02343" w:rsidRPr="00A71F78">
        <w:t>’</w:t>
      </w:r>
      <w:r w:rsidR="00BE0206">
        <w:t> </w:t>
      </w:r>
      <w:r w:rsidR="00D02343" w:rsidRPr="00A71F78">
        <w:t>”  (</w:t>
      </w:r>
      <w:r w:rsidR="00D02343" w:rsidRPr="00A71F78">
        <w:rPr>
          <w:i/>
          <w:iCs/>
        </w:rPr>
        <w:t>Cervantes</w:t>
      </w:r>
      <w:r w:rsidR="00D02343" w:rsidRPr="00A71F78">
        <w:t xml:space="preserve">, </w:t>
      </w:r>
      <w:r w:rsidR="00D02343" w:rsidRPr="00A71F78">
        <w:rPr>
          <w:i/>
          <w:iCs/>
        </w:rPr>
        <w:t>supra</w:t>
      </w:r>
      <w:r w:rsidR="00D02343" w:rsidRPr="00A71F78">
        <w:t>, 26 Cal.4th at p. 871</w:t>
      </w:r>
      <w:r w:rsidR="004D1C53" w:rsidRPr="00A71F78">
        <w:t>.</w:t>
      </w:r>
      <w:r w:rsidR="00D02343" w:rsidRPr="00A71F78">
        <w:t xml:space="preserve">) </w:t>
      </w:r>
      <w:r w:rsidR="00534665" w:rsidRPr="00A71F78">
        <w:t xml:space="preserve"> Conversely, </w:t>
      </w:r>
      <w:r w:rsidR="00534665" w:rsidRPr="00A71F78">
        <w:rPr>
          <w:szCs w:val="26"/>
        </w:rPr>
        <w:t xml:space="preserve">“[a] result cannot be the natural and probable cause of an act if the act was unforeseeable.” </w:t>
      </w:r>
      <w:r w:rsidR="00534665" w:rsidRPr="00A71F78">
        <w:t xml:space="preserve"> (</w:t>
      </w:r>
      <w:r w:rsidR="00534665" w:rsidRPr="00A71F78">
        <w:rPr>
          <w:i/>
          <w:iCs/>
        </w:rPr>
        <w:t>Roberts</w:t>
      </w:r>
      <w:r w:rsidR="00534665" w:rsidRPr="00A71F78">
        <w:t xml:space="preserve">, </w:t>
      </w:r>
      <w:r w:rsidR="00534665" w:rsidRPr="00A71F78">
        <w:rPr>
          <w:i/>
          <w:iCs/>
        </w:rPr>
        <w:t>supra</w:t>
      </w:r>
      <w:r w:rsidR="00534665" w:rsidRPr="00A71F78">
        <w:t xml:space="preserve">, 2 Cal.4th at pp. 321–322.) </w:t>
      </w:r>
      <w:r w:rsidR="00D02343" w:rsidRPr="00A71F78">
        <w:t xml:space="preserve"> Based on this foreseeability inquiry, therefore, a jury necessarily considers</w:t>
      </w:r>
      <w:r w:rsidR="003D1AB5" w:rsidRPr="00A71F78">
        <w:t>,</w:t>
      </w:r>
      <w:r w:rsidR="00D02343" w:rsidRPr="00A71F78">
        <w:t xml:space="preserve"> </w:t>
      </w:r>
      <w:r w:rsidR="004D1C53" w:rsidRPr="00A71F78">
        <w:t>in its determination of</w:t>
      </w:r>
      <w:r w:rsidR="00F16574" w:rsidRPr="00A71F78">
        <w:t xml:space="preserve"> </w:t>
      </w:r>
      <w:r w:rsidRPr="00A71F78">
        <w:t>proximate caus</w:t>
      </w:r>
      <w:r w:rsidR="0005416E" w:rsidRPr="00A71F78">
        <w:t>e</w:t>
      </w:r>
      <w:r w:rsidR="003D1AB5" w:rsidRPr="00A71F78">
        <w:t>,</w:t>
      </w:r>
      <w:r w:rsidR="004D1C53" w:rsidRPr="00A71F78">
        <w:t xml:space="preserve"> </w:t>
      </w:r>
      <w:r w:rsidR="00D02343" w:rsidRPr="00A71F78">
        <w:t xml:space="preserve">whether </w:t>
      </w:r>
      <w:r w:rsidR="004D1C53" w:rsidRPr="00A71F78">
        <w:t xml:space="preserve">there </w:t>
      </w:r>
      <w:r w:rsidRPr="00A71F78">
        <w:t>was</w:t>
      </w:r>
      <w:r w:rsidR="004D1C53" w:rsidRPr="00A71F78">
        <w:t xml:space="preserve"> </w:t>
      </w:r>
      <w:r w:rsidR="00D02343" w:rsidRPr="00A71F78">
        <w:t xml:space="preserve">any intervening cause </w:t>
      </w:r>
      <w:r w:rsidR="004D1C53" w:rsidRPr="00A71F78">
        <w:t xml:space="preserve">that </w:t>
      </w:r>
      <w:r w:rsidRPr="00A71F78">
        <w:t xml:space="preserve">was </w:t>
      </w:r>
      <w:r w:rsidR="004D1C53" w:rsidRPr="00A71F78">
        <w:t>unforeseeable</w:t>
      </w:r>
      <w:r w:rsidR="00743749" w:rsidRPr="00A71F78">
        <w:t xml:space="preserve"> and</w:t>
      </w:r>
      <w:r w:rsidR="004D1C53" w:rsidRPr="00A71F78">
        <w:t xml:space="preserve"> constitute</w:t>
      </w:r>
      <w:r w:rsidR="00834F23" w:rsidRPr="00A71F78">
        <w:t>d</w:t>
      </w:r>
      <w:r w:rsidR="004D1C53" w:rsidRPr="00A71F78">
        <w:t xml:space="preserve"> a superseding cause. </w:t>
      </w:r>
      <w:r w:rsidR="003D1AB5" w:rsidRPr="00A71F78">
        <w:t xml:space="preserve"> </w:t>
      </w:r>
      <w:r w:rsidR="00534665" w:rsidRPr="00A71F78">
        <w:t xml:space="preserve">(See </w:t>
      </w:r>
      <w:r w:rsidR="00C4542C" w:rsidRPr="00A71F78">
        <w:rPr>
          <w:i/>
          <w:iCs/>
        </w:rPr>
        <w:t xml:space="preserve">id. </w:t>
      </w:r>
      <w:r w:rsidR="00534665" w:rsidRPr="00A71F78">
        <w:t>at p. 320, fn. 11 [</w:t>
      </w:r>
      <w:r w:rsidR="009B356F" w:rsidRPr="00A71F78">
        <w:t>question of foreseeability will ordinarily be for jury to decide</w:t>
      </w:r>
      <w:r w:rsidR="00BE0206">
        <w:t> </w:t>
      </w:r>
      <w:r w:rsidR="009831BA" w:rsidRPr="00A71F78">
        <w:t>—</w:t>
      </w:r>
      <w:r w:rsidR="0029332E" w:rsidRPr="00A71F78">
        <w:t xml:space="preserve"> </w:t>
      </w:r>
      <w:r w:rsidR="009831BA" w:rsidRPr="00A71F78">
        <w:t>“there is no bright line demarcating a legally sufficient proximate cause from one that is too remote”</w:t>
      </w:r>
      <w:r w:rsidR="00534665" w:rsidRPr="00A71F78">
        <w:t>].)</w:t>
      </w:r>
      <w:r w:rsidR="00C35CDC" w:rsidRPr="00A71F78">
        <w:t xml:space="preserve">  </w:t>
      </w:r>
    </w:p>
    <w:p w14:paraId="0E13C5FB" w14:textId="62D40F81" w:rsidR="00FC09DC" w:rsidRPr="00A71F78" w:rsidRDefault="00930CB9" w:rsidP="00A31766">
      <w:pPr>
        <w:widowControl w:val="0"/>
        <w:autoSpaceDE w:val="0"/>
        <w:autoSpaceDN w:val="0"/>
        <w:adjustRightInd w:val="0"/>
        <w:ind w:firstLine="720"/>
        <w:rPr>
          <w:szCs w:val="26"/>
        </w:rPr>
      </w:pPr>
      <w:r w:rsidRPr="00A71F78">
        <w:rPr>
          <w:i/>
          <w:iCs/>
          <w:szCs w:val="26"/>
        </w:rPr>
        <w:t>Sanchez</w:t>
      </w:r>
      <w:r w:rsidRPr="00A71F78">
        <w:rPr>
          <w:szCs w:val="26"/>
        </w:rPr>
        <w:t xml:space="preserve">’s conclusion that both </w:t>
      </w:r>
      <w:r w:rsidR="00350A5D">
        <w:rPr>
          <w:szCs w:val="26"/>
        </w:rPr>
        <w:t>shooters</w:t>
      </w:r>
      <w:r w:rsidR="00350A5D" w:rsidRPr="00A71F78">
        <w:rPr>
          <w:szCs w:val="26"/>
        </w:rPr>
        <w:t xml:space="preserve"> </w:t>
      </w:r>
      <w:r w:rsidRPr="00A71F78">
        <w:rPr>
          <w:szCs w:val="26"/>
        </w:rPr>
        <w:t xml:space="preserve">in a gun battle </w:t>
      </w:r>
      <w:r w:rsidR="00F16574" w:rsidRPr="00A71F78">
        <w:rPr>
          <w:szCs w:val="26"/>
        </w:rPr>
        <w:t xml:space="preserve">may be </w:t>
      </w:r>
      <w:r w:rsidR="00350A5D">
        <w:rPr>
          <w:szCs w:val="26"/>
        </w:rPr>
        <w:t>guilty of murder</w:t>
      </w:r>
      <w:r w:rsidRPr="00A71F78">
        <w:rPr>
          <w:szCs w:val="26"/>
        </w:rPr>
        <w:t xml:space="preserve"> even though only one was the actual shooter </w:t>
      </w:r>
      <w:r w:rsidR="00B63EB9" w:rsidRPr="00A71F78">
        <w:rPr>
          <w:szCs w:val="26"/>
        </w:rPr>
        <w:t xml:space="preserve">was </w:t>
      </w:r>
      <w:r w:rsidR="00F16574" w:rsidRPr="00A71F78">
        <w:rPr>
          <w:szCs w:val="26"/>
        </w:rPr>
        <w:t>consistent with then-existing California decisions</w:t>
      </w:r>
      <w:r w:rsidRPr="00A71F78">
        <w:rPr>
          <w:szCs w:val="26"/>
        </w:rPr>
        <w:t xml:space="preserve">.  For instance, </w:t>
      </w:r>
      <w:r w:rsidR="00F16574" w:rsidRPr="00A71F78">
        <w:rPr>
          <w:szCs w:val="26"/>
        </w:rPr>
        <w:t xml:space="preserve">California case law recognized that </w:t>
      </w:r>
      <w:r w:rsidR="00B63EB9" w:rsidRPr="00A71F78">
        <w:rPr>
          <w:szCs w:val="26"/>
        </w:rPr>
        <w:t>a</w:t>
      </w:r>
      <w:r w:rsidRPr="00A71F78">
        <w:rPr>
          <w:szCs w:val="26"/>
        </w:rPr>
        <w:t xml:space="preserve"> defendant may be guilty of first degree murder </w:t>
      </w:r>
      <w:r w:rsidR="00F16574" w:rsidRPr="00A71F78">
        <w:rPr>
          <w:szCs w:val="26"/>
        </w:rPr>
        <w:t xml:space="preserve">where </w:t>
      </w:r>
      <w:r w:rsidRPr="00A71F78">
        <w:rPr>
          <w:szCs w:val="26"/>
        </w:rPr>
        <w:t xml:space="preserve">there </w:t>
      </w:r>
      <w:r w:rsidR="00F16574" w:rsidRPr="00A71F78">
        <w:rPr>
          <w:szCs w:val="26"/>
        </w:rPr>
        <w:t xml:space="preserve">are </w:t>
      </w:r>
      <w:r w:rsidRPr="00A71F78">
        <w:rPr>
          <w:szCs w:val="26"/>
        </w:rPr>
        <w:t xml:space="preserve">multiple proximate causes of death (see </w:t>
      </w:r>
      <w:r w:rsidRPr="00A71F78">
        <w:rPr>
          <w:i/>
          <w:iCs/>
          <w:szCs w:val="26"/>
        </w:rPr>
        <w:t>People v. Mai</w:t>
      </w:r>
      <w:r w:rsidRPr="00A71F78">
        <w:rPr>
          <w:szCs w:val="26"/>
        </w:rPr>
        <w:t xml:space="preserve"> (1994) 22 Cal.App.4th 117</w:t>
      </w:r>
      <w:r w:rsidR="007F0140" w:rsidRPr="00A71F78">
        <w:rPr>
          <w:szCs w:val="26"/>
        </w:rPr>
        <w:t>, 123, fn. 5</w:t>
      </w:r>
      <w:r w:rsidRPr="00A71F78">
        <w:rPr>
          <w:szCs w:val="26"/>
        </w:rPr>
        <w:t xml:space="preserve">); </w:t>
      </w:r>
      <w:r w:rsidRPr="00A71F78">
        <w:rPr>
          <w:i/>
          <w:iCs/>
          <w:szCs w:val="26"/>
        </w:rPr>
        <w:t>People v. Kemp</w:t>
      </w:r>
      <w:r w:rsidRPr="00A71F78">
        <w:rPr>
          <w:szCs w:val="26"/>
        </w:rPr>
        <w:t xml:space="preserve"> (1957) 150 Cal.App.2d 654</w:t>
      </w:r>
      <w:r w:rsidR="007F0140" w:rsidRPr="00A71F78">
        <w:rPr>
          <w:szCs w:val="26"/>
        </w:rPr>
        <w:t>, 658</w:t>
      </w:r>
      <w:r w:rsidRPr="00A71F78">
        <w:rPr>
          <w:szCs w:val="26"/>
        </w:rPr>
        <w:t>).  (</w:t>
      </w:r>
      <w:r w:rsidRPr="00A71F78">
        <w:rPr>
          <w:i/>
          <w:iCs/>
          <w:szCs w:val="26"/>
        </w:rPr>
        <w:t>Sanchez</w:t>
      </w:r>
      <w:r w:rsidRPr="00A71F78">
        <w:rPr>
          <w:szCs w:val="26"/>
        </w:rPr>
        <w:t xml:space="preserve">, </w:t>
      </w:r>
      <w:r w:rsidRPr="00A71F78">
        <w:rPr>
          <w:i/>
          <w:iCs/>
          <w:szCs w:val="26"/>
        </w:rPr>
        <w:t>supra</w:t>
      </w:r>
      <w:r w:rsidRPr="00A71F78">
        <w:rPr>
          <w:szCs w:val="26"/>
        </w:rPr>
        <w:t>, 26 Cal.4th at pp. 84</w:t>
      </w:r>
      <w:r w:rsidR="007F6990">
        <w:rPr>
          <w:szCs w:val="26"/>
        </w:rPr>
        <w:t>6</w:t>
      </w:r>
      <w:r w:rsidRPr="00A71F78">
        <w:rPr>
          <w:szCs w:val="26"/>
        </w:rPr>
        <w:t>–847.)</w:t>
      </w:r>
      <w:r w:rsidR="009F13EC" w:rsidRPr="00A71F78">
        <w:rPr>
          <w:szCs w:val="26"/>
        </w:rPr>
        <w:t xml:space="preserve">  </w:t>
      </w:r>
      <w:r w:rsidR="00F16574" w:rsidRPr="00A71F78">
        <w:rPr>
          <w:szCs w:val="26"/>
        </w:rPr>
        <w:t xml:space="preserve">We also note that </w:t>
      </w:r>
      <w:r w:rsidR="005F328B" w:rsidRPr="00A71F78">
        <w:rPr>
          <w:szCs w:val="26"/>
        </w:rPr>
        <w:t>several decisions from our sister states</w:t>
      </w:r>
      <w:r w:rsidR="00F16574" w:rsidRPr="00A71F78">
        <w:rPr>
          <w:szCs w:val="26"/>
        </w:rPr>
        <w:t xml:space="preserve"> </w:t>
      </w:r>
      <w:r w:rsidR="00F92A6F" w:rsidRPr="00A71F78">
        <w:rPr>
          <w:szCs w:val="26"/>
        </w:rPr>
        <w:t xml:space="preserve">have </w:t>
      </w:r>
      <w:r w:rsidR="00C855F2" w:rsidRPr="00A71F78">
        <w:rPr>
          <w:szCs w:val="26"/>
        </w:rPr>
        <w:t xml:space="preserve">similarly </w:t>
      </w:r>
      <w:r w:rsidR="00351A77" w:rsidRPr="00A71F78">
        <w:rPr>
          <w:szCs w:val="26"/>
        </w:rPr>
        <w:t xml:space="preserve">viewed a defendant’s culpability </w:t>
      </w:r>
      <w:r w:rsidR="00F16574" w:rsidRPr="00A71F78">
        <w:rPr>
          <w:szCs w:val="26"/>
        </w:rPr>
        <w:t xml:space="preserve">in connection with </w:t>
      </w:r>
      <w:r w:rsidR="00351A77" w:rsidRPr="00A71F78">
        <w:rPr>
          <w:szCs w:val="26"/>
        </w:rPr>
        <w:t xml:space="preserve">gun </w:t>
      </w:r>
      <w:r w:rsidR="009F13EC" w:rsidRPr="00A71F78">
        <w:rPr>
          <w:szCs w:val="26"/>
        </w:rPr>
        <w:t>battles</w:t>
      </w:r>
      <w:r w:rsidR="005F328B" w:rsidRPr="00A71F78">
        <w:rPr>
          <w:szCs w:val="26"/>
        </w:rPr>
        <w:t xml:space="preserve">.  </w:t>
      </w:r>
      <w:r w:rsidR="00365B0E" w:rsidRPr="00A71F78">
        <w:rPr>
          <w:szCs w:val="26"/>
        </w:rPr>
        <w:t>(</w:t>
      </w:r>
      <w:r w:rsidR="00893F69" w:rsidRPr="00A71F78">
        <w:rPr>
          <w:szCs w:val="26"/>
        </w:rPr>
        <w:t xml:space="preserve">See e.g., </w:t>
      </w:r>
      <w:r w:rsidR="005F328B" w:rsidRPr="001C328A">
        <w:rPr>
          <w:i/>
          <w:iCs/>
          <w:szCs w:val="26"/>
          <w:bdr w:val="none" w:sz="0" w:space="0" w:color="auto" w:frame="1"/>
        </w:rPr>
        <w:t>State v. Young</w:t>
      </w:r>
      <w:r w:rsidR="005F328B" w:rsidRPr="001C328A">
        <w:rPr>
          <w:szCs w:val="26"/>
        </w:rPr>
        <w:t xml:space="preserve"> (2020) </w:t>
      </w:r>
      <w:r w:rsidR="00351A77" w:rsidRPr="001C328A">
        <w:rPr>
          <w:szCs w:val="26"/>
        </w:rPr>
        <w:t xml:space="preserve">429 S.C. 155, 161 </w:t>
      </w:r>
      <w:r w:rsidR="005D59BF">
        <w:rPr>
          <w:szCs w:val="26"/>
        </w:rPr>
        <w:t>[</w:t>
      </w:r>
      <w:r w:rsidR="005F328B" w:rsidRPr="001C328A">
        <w:rPr>
          <w:szCs w:val="26"/>
        </w:rPr>
        <w:t>838 S.E.2d 516, 519</w:t>
      </w:r>
      <w:r w:rsidR="005D59BF">
        <w:rPr>
          <w:szCs w:val="26"/>
        </w:rPr>
        <w:t>]</w:t>
      </w:r>
      <w:r w:rsidR="005F328B" w:rsidRPr="001C328A">
        <w:rPr>
          <w:szCs w:val="26"/>
        </w:rPr>
        <w:t xml:space="preserve"> [“The majority of jurisdictions impose criminal responsibility on all combatants for the consequences of mutual combat”]; </w:t>
      </w:r>
      <w:r w:rsidR="005F328B" w:rsidRPr="001C328A">
        <w:rPr>
          <w:i/>
          <w:iCs/>
          <w:szCs w:val="26"/>
          <w:bdr w:val="none" w:sz="0" w:space="0" w:color="auto" w:frame="1"/>
        </w:rPr>
        <w:t xml:space="preserve">Commonwealth v. Santiago </w:t>
      </w:r>
      <w:r w:rsidR="005F328B" w:rsidRPr="001C328A">
        <w:rPr>
          <w:szCs w:val="26"/>
          <w:bdr w:val="none" w:sz="0" w:space="0" w:color="auto" w:frame="1"/>
        </w:rPr>
        <w:t>(1997)</w:t>
      </w:r>
      <w:r w:rsidR="005F6BE8" w:rsidRPr="001C328A">
        <w:rPr>
          <w:szCs w:val="26"/>
          <w:bdr w:val="none" w:sz="0" w:space="0" w:color="auto" w:frame="1"/>
        </w:rPr>
        <w:t xml:space="preserve"> 425 Mass. 491, 504,</w:t>
      </w:r>
      <w:r w:rsidR="005F328B" w:rsidRPr="001C328A">
        <w:rPr>
          <w:szCs w:val="26"/>
          <w:bdr w:val="none" w:sz="0" w:space="0" w:color="auto" w:frame="1"/>
        </w:rPr>
        <w:t xml:space="preserve"> </w:t>
      </w:r>
      <w:r w:rsidR="005F328B" w:rsidRPr="001C328A">
        <w:rPr>
          <w:szCs w:val="26"/>
        </w:rPr>
        <w:t xml:space="preserve">681 N.E.2d 1205, 1215 [“By choosing to engage in a shootout, a defendant may be the cause of a shooting by either side because the death of a bystander is a natural result of a shootout, and the shootout could not occur without participation from both sides”]; </w:t>
      </w:r>
      <w:r w:rsidR="005F328B" w:rsidRPr="001C328A">
        <w:rPr>
          <w:i/>
          <w:iCs/>
          <w:szCs w:val="26"/>
        </w:rPr>
        <w:t>Alston v. State</w:t>
      </w:r>
      <w:r w:rsidR="005F328B" w:rsidRPr="001C328A">
        <w:rPr>
          <w:szCs w:val="26"/>
        </w:rPr>
        <w:t xml:space="preserve"> (1995) </w:t>
      </w:r>
      <w:r w:rsidR="005F6BE8" w:rsidRPr="001C328A">
        <w:rPr>
          <w:szCs w:val="26"/>
        </w:rPr>
        <w:t xml:space="preserve">339 Md. 306, </w:t>
      </w:r>
      <w:r w:rsidR="005D59BF">
        <w:rPr>
          <w:szCs w:val="26"/>
        </w:rPr>
        <w:t>309 [</w:t>
      </w:r>
      <w:r w:rsidR="005F328B" w:rsidRPr="001C328A">
        <w:rPr>
          <w:szCs w:val="26"/>
        </w:rPr>
        <w:t xml:space="preserve">662 A.2d 247, </w:t>
      </w:r>
      <w:r w:rsidR="005D59BF">
        <w:rPr>
          <w:szCs w:val="26"/>
        </w:rPr>
        <w:t>248]</w:t>
      </w:r>
      <w:r w:rsidR="005F328B" w:rsidRPr="001C328A">
        <w:rPr>
          <w:szCs w:val="26"/>
        </w:rPr>
        <w:t xml:space="preserve"> [“</w:t>
      </w:r>
      <w:r w:rsidR="00BE0206">
        <w:rPr>
          <w:szCs w:val="26"/>
        </w:rPr>
        <w:t> </w:t>
      </w:r>
      <w:r w:rsidR="005F328B" w:rsidRPr="001C328A">
        <w:rPr>
          <w:szCs w:val="26"/>
        </w:rPr>
        <w:t>‘The deadly homicidal force</w:t>
      </w:r>
      <w:r w:rsidR="002424BF">
        <w:rPr>
          <w:szCs w:val="26"/>
        </w:rPr>
        <w:t> . . .</w:t>
      </w:r>
      <w:r w:rsidR="005F328B" w:rsidRPr="001C328A">
        <w:rPr>
          <w:szCs w:val="26"/>
        </w:rPr>
        <w:t xml:space="preserve"> was a collective hail of bullets, a collective fusillade, with no further parsing required.  Which bullet came from which gun is inconsequential’</w:t>
      </w:r>
      <w:r w:rsidR="00BE0206">
        <w:rPr>
          <w:szCs w:val="26"/>
        </w:rPr>
        <w:t> </w:t>
      </w:r>
      <w:r w:rsidR="005F328B" w:rsidRPr="001C328A">
        <w:rPr>
          <w:szCs w:val="26"/>
        </w:rPr>
        <w:t>”].</w:t>
      </w:r>
      <w:r w:rsidR="001B596D" w:rsidRPr="001C328A">
        <w:rPr>
          <w:szCs w:val="26"/>
        </w:rPr>
        <w:t>)</w:t>
      </w:r>
      <w:r w:rsidR="00AE5F38" w:rsidRPr="00A71F78">
        <w:rPr>
          <w:rStyle w:val="FootnoteReference"/>
        </w:rPr>
        <w:footnoteReference w:id="9"/>
      </w:r>
      <w:r w:rsidR="008E624A" w:rsidRPr="001C328A">
        <w:rPr>
          <w:szCs w:val="26"/>
        </w:rPr>
        <w:t xml:space="preserve">  </w:t>
      </w:r>
    </w:p>
    <w:p w14:paraId="699BE535" w14:textId="7B94EF59" w:rsidR="00402872" w:rsidRPr="00A71F78" w:rsidRDefault="000F388B" w:rsidP="00A31766">
      <w:pPr>
        <w:widowControl w:val="0"/>
        <w:autoSpaceDE w:val="0"/>
        <w:autoSpaceDN w:val="0"/>
        <w:adjustRightInd w:val="0"/>
        <w:ind w:firstLine="720"/>
        <w:rPr>
          <w:szCs w:val="26"/>
        </w:rPr>
      </w:pPr>
      <w:r w:rsidRPr="00A71F78">
        <w:rPr>
          <w:szCs w:val="26"/>
        </w:rPr>
        <w:t xml:space="preserve">In this case, </w:t>
      </w:r>
      <w:r w:rsidR="00F16574" w:rsidRPr="00A71F78">
        <w:rPr>
          <w:szCs w:val="26"/>
        </w:rPr>
        <w:t xml:space="preserve">although </w:t>
      </w:r>
      <w:r w:rsidR="0048368A" w:rsidRPr="00A71F78">
        <w:rPr>
          <w:szCs w:val="26"/>
        </w:rPr>
        <w:t xml:space="preserve">there was no evidence that either </w:t>
      </w:r>
      <w:r w:rsidR="006B637D" w:rsidRPr="00A71F78">
        <w:rPr>
          <w:szCs w:val="26"/>
        </w:rPr>
        <w:t>of the</w:t>
      </w:r>
      <w:r w:rsidR="00C21B1C" w:rsidRPr="00A71F78">
        <w:rPr>
          <w:szCs w:val="26"/>
        </w:rPr>
        <w:t xml:space="preserve"> </w:t>
      </w:r>
      <w:r w:rsidR="0048368A" w:rsidRPr="00A71F78">
        <w:rPr>
          <w:szCs w:val="26"/>
        </w:rPr>
        <w:t>Mitchell</w:t>
      </w:r>
      <w:r w:rsidR="006B637D" w:rsidRPr="00A71F78">
        <w:rPr>
          <w:szCs w:val="26"/>
        </w:rPr>
        <w:t>s</w:t>
      </w:r>
      <w:r w:rsidR="0048368A" w:rsidRPr="00A71F78">
        <w:rPr>
          <w:szCs w:val="26"/>
        </w:rPr>
        <w:t xml:space="preserve"> intended to or actually did shoot </w:t>
      </w:r>
      <w:r w:rsidR="006B637D" w:rsidRPr="00A71F78">
        <w:rPr>
          <w:szCs w:val="26"/>
        </w:rPr>
        <w:t>Monique</w:t>
      </w:r>
      <w:r w:rsidR="00F16574" w:rsidRPr="00A71F78">
        <w:rPr>
          <w:szCs w:val="26"/>
        </w:rPr>
        <w:t xml:space="preserve">, </w:t>
      </w:r>
      <w:r w:rsidR="0088193B" w:rsidRPr="00A71F78">
        <w:rPr>
          <w:szCs w:val="26"/>
        </w:rPr>
        <w:t>the</w:t>
      </w:r>
      <w:r w:rsidR="00F16574" w:rsidRPr="00A71F78">
        <w:rPr>
          <w:i/>
          <w:iCs/>
          <w:szCs w:val="26"/>
        </w:rPr>
        <w:t xml:space="preserve"> </w:t>
      </w:r>
      <w:r w:rsidR="00F16574" w:rsidRPr="00A71F78">
        <w:rPr>
          <w:szCs w:val="26"/>
        </w:rPr>
        <w:t xml:space="preserve">evidence </w:t>
      </w:r>
      <w:r w:rsidR="0088193B" w:rsidRPr="00A71F78">
        <w:rPr>
          <w:szCs w:val="26"/>
        </w:rPr>
        <w:t>did</w:t>
      </w:r>
      <w:r w:rsidR="00F16574" w:rsidRPr="00A71F78">
        <w:rPr>
          <w:szCs w:val="26"/>
        </w:rPr>
        <w:t xml:space="preserve"> establish the following:  A</w:t>
      </w:r>
      <w:r w:rsidR="00631EB8" w:rsidRPr="00A71F78">
        <w:rPr>
          <w:szCs w:val="26"/>
        </w:rPr>
        <w:t xml:space="preserve"> </w:t>
      </w:r>
      <w:r w:rsidR="00615549" w:rsidRPr="00A71F78">
        <w:rPr>
          <w:szCs w:val="26"/>
        </w:rPr>
        <w:t xml:space="preserve">week </w:t>
      </w:r>
      <w:r w:rsidR="00461C6E" w:rsidRPr="00A71F78">
        <w:rPr>
          <w:szCs w:val="26"/>
        </w:rPr>
        <w:t xml:space="preserve">before the </w:t>
      </w:r>
      <w:r w:rsidR="00E269B2" w:rsidRPr="00A71F78">
        <w:rPr>
          <w:szCs w:val="26"/>
        </w:rPr>
        <w:t>shootout</w:t>
      </w:r>
      <w:r w:rsidR="00461C6E" w:rsidRPr="00A71F78">
        <w:rPr>
          <w:szCs w:val="26"/>
        </w:rPr>
        <w:t xml:space="preserve">, </w:t>
      </w:r>
      <w:r w:rsidR="008E1D4C" w:rsidRPr="00A71F78">
        <w:rPr>
          <w:szCs w:val="26"/>
        </w:rPr>
        <w:t xml:space="preserve">Lonnie </w:t>
      </w:r>
      <w:r w:rsidR="006C506E" w:rsidRPr="00A71F78">
        <w:rPr>
          <w:szCs w:val="26"/>
        </w:rPr>
        <w:t>Mitchell</w:t>
      </w:r>
      <w:r w:rsidR="00461C6E" w:rsidRPr="00A71F78">
        <w:rPr>
          <w:szCs w:val="26"/>
        </w:rPr>
        <w:t xml:space="preserve"> had</w:t>
      </w:r>
      <w:r w:rsidR="006C506E" w:rsidRPr="00A71F78">
        <w:rPr>
          <w:szCs w:val="26"/>
        </w:rPr>
        <w:t xml:space="preserve"> </w:t>
      </w:r>
      <w:r w:rsidR="008E1D4C" w:rsidRPr="00A71F78">
        <w:rPr>
          <w:szCs w:val="26"/>
        </w:rPr>
        <w:t>threatened to kill a G-Mobb gang member</w:t>
      </w:r>
      <w:r w:rsidR="00461C6E" w:rsidRPr="00A71F78">
        <w:rPr>
          <w:szCs w:val="26"/>
        </w:rPr>
        <w:t xml:space="preserve">.  </w:t>
      </w:r>
      <w:r w:rsidR="00843F9A" w:rsidRPr="00A71F78">
        <w:rPr>
          <w:szCs w:val="26"/>
        </w:rPr>
        <w:t>O</w:t>
      </w:r>
      <w:r w:rsidR="002E31AA" w:rsidRPr="00A71F78">
        <w:rPr>
          <w:szCs w:val="26"/>
        </w:rPr>
        <w:t xml:space="preserve">n the day of </w:t>
      </w:r>
      <w:r w:rsidR="00F16574" w:rsidRPr="00A71F78">
        <w:rPr>
          <w:szCs w:val="26"/>
        </w:rPr>
        <w:t xml:space="preserve">the </w:t>
      </w:r>
      <w:r w:rsidR="00E269B2" w:rsidRPr="00A71F78">
        <w:rPr>
          <w:szCs w:val="26"/>
        </w:rPr>
        <w:t>shooting</w:t>
      </w:r>
      <w:r w:rsidR="002E31AA" w:rsidRPr="00A71F78">
        <w:rPr>
          <w:szCs w:val="26"/>
        </w:rPr>
        <w:t>,</w:t>
      </w:r>
      <w:r w:rsidR="00615549" w:rsidRPr="00A71F78">
        <w:rPr>
          <w:szCs w:val="26"/>
        </w:rPr>
        <w:t xml:space="preserve"> the </w:t>
      </w:r>
      <w:r w:rsidR="00515FB9" w:rsidRPr="00A71F78">
        <w:rPr>
          <w:szCs w:val="26"/>
        </w:rPr>
        <w:t>Mitchells</w:t>
      </w:r>
      <w:r w:rsidR="00037920" w:rsidRPr="00A71F78">
        <w:rPr>
          <w:szCs w:val="26"/>
        </w:rPr>
        <w:t xml:space="preserve"> </w:t>
      </w:r>
      <w:r w:rsidR="009E4CE4" w:rsidRPr="00A71F78">
        <w:rPr>
          <w:szCs w:val="26"/>
        </w:rPr>
        <w:t xml:space="preserve">armed themselves and </w:t>
      </w:r>
      <w:r w:rsidR="001250AA" w:rsidRPr="00A71F78">
        <w:rPr>
          <w:szCs w:val="26"/>
        </w:rPr>
        <w:t>headed t</w:t>
      </w:r>
      <w:r w:rsidR="001D6B87" w:rsidRPr="00A71F78">
        <w:rPr>
          <w:szCs w:val="26"/>
        </w:rPr>
        <w:t xml:space="preserve">o </w:t>
      </w:r>
      <w:r w:rsidR="008E1D4C" w:rsidRPr="00A71F78">
        <w:rPr>
          <w:szCs w:val="26"/>
        </w:rPr>
        <w:t>a</w:t>
      </w:r>
      <w:r w:rsidR="001D6B87" w:rsidRPr="00A71F78">
        <w:rPr>
          <w:szCs w:val="26"/>
        </w:rPr>
        <w:t xml:space="preserve"> </w:t>
      </w:r>
      <w:r w:rsidR="00793B7B" w:rsidRPr="00A71F78">
        <w:rPr>
          <w:szCs w:val="26"/>
        </w:rPr>
        <w:t>barbershop</w:t>
      </w:r>
      <w:r w:rsidR="009E4CE4" w:rsidRPr="00A71F78">
        <w:rPr>
          <w:szCs w:val="26"/>
        </w:rPr>
        <w:t xml:space="preserve"> that was</w:t>
      </w:r>
      <w:r w:rsidR="00793B7B" w:rsidRPr="00A71F78">
        <w:rPr>
          <w:szCs w:val="26"/>
        </w:rPr>
        <w:t xml:space="preserve"> a </w:t>
      </w:r>
      <w:r w:rsidR="001D6B87" w:rsidRPr="00A71F78">
        <w:rPr>
          <w:szCs w:val="26"/>
        </w:rPr>
        <w:t>known</w:t>
      </w:r>
      <w:r w:rsidR="000E6919" w:rsidRPr="00A71F78">
        <w:rPr>
          <w:szCs w:val="26"/>
        </w:rPr>
        <w:t xml:space="preserve"> hangout of the G-Mobb</w:t>
      </w:r>
      <w:r w:rsidR="003461F6" w:rsidRPr="00A71F78">
        <w:rPr>
          <w:szCs w:val="26"/>
        </w:rPr>
        <w:t xml:space="preserve">.  </w:t>
      </w:r>
      <w:r w:rsidR="002E31AA" w:rsidRPr="00A71F78">
        <w:rPr>
          <w:szCs w:val="26"/>
        </w:rPr>
        <w:t xml:space="preserve">After entering the barbershop, </w:t>
      </w:r>
      <w:r w:rsidR="008E1D4C" w:rsidRPr="00A71F78">
        <w:rPr>
          <w:szCs w:val="26"/>
        </w:rPr>
        <w:t xml:space="preserve">Lonnie </w:t>
      </w:r>
      <w:r w:rsidR="007D6F41" w:rsidRPr="00A71F78">
        <w:rPr>
          <w:szCs w:val="26"/>
        </w:rPr>
        <w:t xml:space="preserve">Mitchell </w:t>
      </w:r>
      <w:r w:rsidR="00E671BB" w:rsidRPr="00A71F78">
        <w:rPr>
          <w:szCs w:val="26"/>
        </w:rPr>
        <w:t xml:space="preserve">told </w:t>
      </w:r>
      <w:r w:rsidR="008E1D4C" w:rsidRPr="00A71F78">
        <w:rPr>
          <w:szCs w:val="26"/>
        </w:rPr>
        <w:t>someone over the phone he wanted to “shoot the place up</w:t>
      </w:r>
      <w:r w:rsidR="002E31AA" w:rsidRPr="00A71F78">
        <w:rPr>
          <w:szCs w:val="26"/>
        </w:rPr>
        <w:t>.</w:t>
      </w:r>
      <w:r w:rsidR="008E1D4C" w:rsidRPr="00A71F78">
        <w:rPr>
          <w:szCs w:val="26"/>
        </w:rPr>
        <w:t>”</w:t>
      </w:r>
      <w:r w:rsidR="002E31AA" w:rsidRPr="00A71F78">
        <w:rPr>
          <w:szCs w:val="26"/>
        </w:rPr>
        <w:t xml:space="preserve"> </w:t>
      </w:r>
      <w:r w:rsidR="00843F9A" w:rsidRPr="00A71F78">
        <w:rPr>
          <w:szCs w:val="26"/>
        </w:rPr>
        <w:t xml:space="preserve"> </w:t>
      </w:r>
      <w:r w:rsidR="003461F6" w:rsidRPr="00A71F78">
        <w:rPr>
          <w:szCs w:val="26"/>
        </w:rPr>
        <w:t>Jones</w:t>
      </w:r>
      <w:r w:rsidR="002E31AA" w:rsidRPr="00A71F78">
        <w:rPr>
          <w:szCs w:val="26"/>
        </w:rPr>
        <w:t xml:space="preserve"> then summoned</w:t>
      </w:r>
      <w:r w:rsidR="003461F6" w:rsidRPr="00A71F78">
        <w:rPr>
          <w:szCs w:val="26"/>
        </w:rPr>
        <w:t xml:space="preserve"> Carney</w:t>
      </w:r>
      <w:r w:rsidR="002E31AA" w:rsidRPr="00A71F78">
        <w:rPr>
          <w:szCs w:val="26"/>
        </w:rPr>
        <w:t xml:space="preserve"> for help</w:t>
      </w:r>
      <w:r w:rsidR="003461F6" w:rsidRPr="00A71F78">
        <w:rPr>
          <w:szCs w:val="26"/>
        </w:rPr>
        <w:t xml:space="preserve">. </w:t>
      </w:r>
      <w:r w:rsidR="008E1D4C" w:rsidRPr="00A71F78">
        <w:rPr>
          <w:szCs w:val="26"/>
        </w:rPr>
        <w:t xml:space="preserve"> </w:t>
      </w:r>
      <w:r w:rsidR="003461F6" w:rsidRPr="00A71F78">
        <w:rPr>
          <w:szCs w:val="26"/>
        </w:rPr>
        <w:t>W</w:t>
      </w:r>
      <w:r w:rsidR="00960B59" w:rsidRPr="00A71F78">
        <w:rPr>
          <w:szCs w:val="26"/>
        </w:rPr>
        <w:t>hen Carney</w:t>
      </w:r>
      <w:r w:rsidR="001130DD" w:rsidRPr="00A71F78">
        <w:rPr>
          <w:szCs w:val="26"/>
        </w:rPr>
        <w:t>, Barksdale, and</w:t>
      </w:r>
      <w:r w:rsidR="00960B59" w:rsidRPr="00A71F78">
        <w:rPr>
          <w:szCs w:val="26"/>
        </w:rPr>
        <w:t xml:space="preserve"> others arrived at the barbershop, </w:t>
      </w:r>
      <w:r w:rsidR="00EB372E" w:rsidRPr="00A71F78">
        <w:rPr>
          <w:szCs w:val="26"/>
        </w:rPr>
        <w:t>Lonnie</w:t>
      </w:r>
      <w:r w:rsidR="003461F6" w:rsidRPr="00A71F78">
        <w:rPr>
          <w:szCs w:val="26"/>
        </w:rPr>
        <w:t xml:space="preserve"> </w:t>
      </w:r>
      <w:r w:rsidR="007D6F41" w:rsidRPr="00A71F78">
        <w:rPr>
          <w:szCs w:val="26"/>
        </w:rPr>
        <w:t xml:space="preserve">Mitchell </w:t>
      </w:r>
      <w:r w:rsidR="00EB372E" w:rsidRPr="00A71F78">
        <w:rPr>
          <w:szCs w:val="26"/>
        </w:rPr>
        <w:t>shot at Carney and Louis</w:t>
      </w:r>
      <w:r w:rsidR="007D6F41" w:rsidRPr="00A71F78">
        <w:rPr>
          <w:szCs w:val="26"/>
        </w:rPr>
        <w:t xml:space="preserve"> Mitchell</w:t>
      </w:r>
      <w:r w:rsidR="003461F6" w:rsidRPr="00A71F78">
        <w:rPr>
          <w:szCs w:val="26"/>
        </w:rPr>
        <w:t xml:space="preserve"> </w:t>
      </w:r>
      <w:r w:rsidR="00EB372E" w:rsidRPr="00A71F78">
        <w:rPr>
          <w:szCs w:val="26"/>
        </w:rPr>
        <w:t xml:space="preserve">shot </w:t>
      </w:r>
      <w:r w:rsidR="00960B59" w:rsidRPr="00A71F78">
        <w:rPr>
          <w:szCs w:val="26"/>
        </w:rPr>
        <w:t xml:space="preserve">his assault weapon </w:t>
      </w:r>
      <w:r w:rsidR="004657D5">
        <w:rPr>
          <w:szCs w:val="26"/>
        </w:rPr>
        <w:t>wildly.</w:t>
      </w:r>
      <w:r w:rsidR="00515FB9" w:rsidRPr="00A71F78">
        <w:rPr>
          <w:szCs w:val="26"/>
        </w:rPr>
        <w:t xml:space="preserve"> </w:t>
      </w:r>
      <w:r w:rsidR="004657D5">
        <w:rPr>
          <w:szCs w:val="26"/>
        </w:rPr>
        <w:t xml:space="preserve"> </w:t>
      </w:r>
      <w:r w:rsidR="00711E66" w:rsidRPr="00A71F78">
        <w:rPr>
          <w:szCs w:val="26"/>
        </w:rPr>
        <w:t>During the public shootout, the Mitchells shot and killed</w:t>
      </w:r>
      <w:r w:rsidR="000E6919" w:rsidRPr="00A71F78">
        <w:rPr>
          <w:szCs w:val="26"/>
        </w:rPr>
        <w:t xml:space="preserve"> an adversary, Barksdale, and </w:t>
      </w:r>
      <w:r w:rsidR="00711E66" w:rsidRPr="00A71F78">
        <w:rPr>
          <w:szCs w:val="26"/>
        </w:rPr>
        <w:t xml:space="preserve">shot and injured </w:t>
      </w:r>
      <w:r w:rsidR="000E6919" w:rsidRPr="00A71F78">
        <w:rPr>
          <w:szCs w:val="26"/>
        </w:rPr>
        <w:t>four bystanders in the barbershop.</w:t>
      </w:r>
      <w:r w:rsidR="009C0FE2" w:rsidRPr="00A71F78">
        <w:rPr>
          <w:szCs w:val="26"/>
        </w:rPr>
        <w:t xml:space="preserve"> </w:t>
      </w:r>
      <w:r w:rsidR="00711E66" w:rsidRPr="00A71F78">
        <w:rPr>
          <w:szCs w:val="26"/>
        </w:rPr>
        <w:t xml:space="preserve"> </w:t>
      </w:r>
      <w:r w:rsidRPr="00A71F78">
        <w:rPr>
          <w:szCs w:val="26"/>
        </w:rPr>
        <w:t xml:space="preserve">In </w:t>
      </w:r>
      <w:r w:rsidR="00711E66" w:rsidRPr="00A71F78">
        <w:rPr>
          <w:szCs w:val="26"/>
        </w:rPr>
        <w:t xml:space="preserve">returning the Mitchells’ </w:t>
      </w:r>
      <w:r w:rsidRPr="00A71F78">
        <w:rPr>
          <w:szCs w:val="26"/>
        </w:rPr>
        <w:t>gun</w:t>
      </w:r>
      <w:r w:rsidR="00711E66" w:rsidRPr="00A71F78">
        <w:rPr>
          <w:szCs w:val="26"/>
        </w:rPr>
        <w:t>fire</w:t>
      </w:r>
      <w:r w:rsidR="004C496F" w:rsidRPr="00A71F78">
        <w:rPr>
          <w:szCs w:val="26"/>
        </w:rPr>
        <w:t>, Carney shot and killed Monique.</w:t>
      </w:r>
      <w:r w:rsidR="000E6919" w:rsidRPr="00A71F78">
        <w:rPr>
          <w:szCs w:val="26"/>
        </w:rPr>
        <w:t xml:space="preserve"> </w:t>
      </w:r>
      <w:r w:rsidR="00D72FBE" w:rsidRPr="00A71F78">
        <w:rPr>
          <w:szCs w:val="26"/>
        </w:rPr>
        <w:t xml:space="preserve"> </w:t>
      </w:r>
      <w:r w:rsidR="006F4173" w:rsidRPr="00A71F78">
        <w:rPr>
          <w:szCs w:val="26"/>
        </w:rPr>
        <w:t xml:space="preserve"> </w:t>
      </w:r>
    </w:p>
    <w:p w14:paraId="4ED6EF53" w14:textId="10B2452B" w:rsidR="00402872" w:rsidRPr="00A71F78" w:rsidRDefault="0056537D" w:rsidP="00A31766">
      <w:pPr>
        <w:widowControl w:val="0"/>
        <w:autoSpaceDE w:val="0"/>
        <w:autoSpaceDN w:val="0"/>
        <w:adjustRightInd w:val="0"/>
        <w:ind w:firstLine="720"/>
        <w:rPr>
          <w:szCs w:val="26"/>
        </w:rPr>
      </w:pPr>
      <w:bookmarkStart w:id="11" w:name="_Hlk139012579"/>
      <w:r w:rsidRPr="00A71F78">
        <w:rPr>
          <w:szCs w:val="26"/>
        </w:rPr>
        <w:t xml:space="preserve">Even though the evidence </w:t>
      </w:r>
      <w:r w:rsidR="00D96573" w:rsidRPr="00A71F78">
        <w:rPr>
          <w:szCs w:val="26"/>
        </w:rPr>
        <w:t xml:space="preserve">established </w:t>
      </w:r>
      <w:r w:rsidRPr="00A71F78">
        <w:rPr>
          <w:szCs w:val="26"/>
        </w:rPr>
        <w:t>that neither</w:t>
      </w:r>
      <w:r w:rsidR="001552A5" w:rsidRPr="00A71F78">
        <w:rPr>
          <w:szCs w:val="26"/>
        </w:rPr>
        <w:t xml:space="preserve"> of the</w:t>
      </w:r>
      <w:r w:rsidRPr="00A71F78">
        <w:rPr>
          <w:szCs w:val="26"/>
        </w:rPr>
        <w:t xml:space="preserve"> </w:t>
      </w:r>
      <w:r w:rsidR="00D96573" w:rsidRPr="00A71F78">
        <w:rPr>
          <w:szCs w:val="26"/>
        </w:rPr>
        <w:t>Mitchell</w:t>
      </w:r>
      <w:r w:rsidR="001552A5" w:rsidRPr="00A71F78">
        <w:rPr>
          <w:szCs w:val="26"/>
        </w:rPr>
        <w:t xml:space="preserve">s </w:t>
      </w:r>
      <w:r w:rsidRPr="00A71F78">
        <w:rPr>
          <w:szCs w:val="26"/>
        </w:rPr>
        <w:t xml:space="preserve">fired the fatal shot, </w:t>
      </w:r>
      <w:r w:rsidR="00D96573" w:rsidRPr="00A71F78">
        <w:rPr>
          <w:szCs w:val="26"/>
        </w:rPr>
        <w:t xml:space="preserve">their </w:t>
      </w:r>
      <w:r w:rsidR="0092523D" w:rsidRPr="00A71F78">
        <w:rPr>
          <w:szCs w:val="26"/>
        </w:rPr>
        <w:t>first degree murder convictions</w:t>
      </w:r>
      <w:r w:rsidR="00CD785B" w:rsidRPr="00A71F78">
        <w:rPr>
          <w:szCs w:val="26"/>
        </w:rPr>
        <w:t xml:space="preserve"> </w:t>
      </w:r>
      <w:r w:rsidR="00306874" w:rsidRPr="00A71F78">
        <w:rPr>
          <w:szCs w:val="26"/>
        </w:rPr>
        <w:t xml:space="preserve">are consistent with </w:t>
      </w:r>
      <w:r w:rsidR="00306874" w:rsidRPr="00A71F78">
        <w:rPr>
          <w:i/>
          <w:iCs/>
          <w:szCs w:val="26"/>
        </w:rPr>
        <w:t>Sanchez</w:t>
      </w:r>
      <w:r w:rsidR="00306874" w:rsidRPr="00A71F78">
        <w:rPr>
          <w:szCs w:val="26"/>
        </w:rPr>
        <w:t>’s</w:t>
      </w:r>
      <w:r w:rsidR="003B7C08" w:rsidRPr="00A71F78">
        <w:rPr>
          <w:szCs w:val="26"/>
        </w:rPr>
        <w:t xml:space="preserve"> holding that a defendant’s</w:t>
      </w:r>
      <w:r w:rsidR="004657D5">
        <w:rPr>
          <w:szCs w:val="26"/>
        </w:rPr>
        <w:t xml:space="preserve"> “life-threatening deadly acts” </w:t>
      </w:r>
      <w:r w:rsidR="00C855F2" w:rsidRPr="00A71F78">
        <w:rPr>
          <w:szCs w:val="26"/>
        </w:rPr>
        <w:t>in</w:t>
      </w:r>
      <w:r w:rsidR="003B7C08" w:rsidRPr="00A71F78">
        <w:rPr>
          <w:szCs w:val="26"/>
        </w:rPr>
        <w:t xml:space="preserve"> a gun battle</w:t>
      </w:r>
      <w:r w:rsidRPr="00A71F78">
        <w:rPr>
          <w:szCs w:val="26"/>
        </w:rPr>
        <w:t xml:space="preserve"> </w:t>
      </w:r>
      <w:r w:rsidR="00C855F2" w:rsidRPr="00A71F78">
        <w:rPr>
          <w:szCs w:val="26"/>
        </w:rPr>
        <w:t>may</w:t>
      </w:r>
      <w:r w:rsidR="003B7C08" w:rsidRPr="00A71F78">
        <w:rPr>
          <w:szCs w:val="26"/>
        </w:rPr>
        <w:t xml:space="preserve"> be a proximate cause of a bystander’s death.</w:t>
      </w:r>
      <w:bookmarkEnd w:id="11"/>
      <w:r w:rsidR="003B7C08" w:rsidRPr="00A71F78">
        <w:rPr>
          <w:szCs w:val="26"/>
        </w:rPr>
        <w:t xml:space="preserve"> </w:t>
      </w:r>
      <w:r w:rsidR="00FC09DC" w:rsidRPr="00A71F78">
        <w:rPr>
          <w:szCs w:val="26"/>
        </w:rPr>
        <w:t xml:space="preserve"> </w:t>
      </w:r>
      <w:r w:rsidR="00CF2B8A">
        <w:rPr>
          <w:szCs w:val="26"/>
        </w:rPr>
        <w:t>(</w:t>
      </w:r>
      <w:r w:rsidR="00CF2B8A" w:rsidRPr="001C328A">
        <w:rPr>
          <w:i/>
          <w:iCs/>
          <w:szCs w:val="26"/>
        </w:rPr>
        <w:t>Sanchez</w:t>
      </w:r>
      <w:r w:rsidR="00CF2B8A">
        <w:rPr>
          <w:szCs w:val="26"/>
        </w:rPr>
        <w:t>,</w:t>
      </w:r>
      <w:r w:rsidR="00CF2B8A" w:rsidRPr="001C328A">
        <w:rPr>
          <w:i/>
          <w:iCs/>
          <w:szCs w:val="26"/>
        </w:rPr>
        <w:t xml:space="preserve"> supra</w:t>
      </w:r>
      <w:r w:rsidR="00CF2B8A">
        <w:rPr>
          <w:szCs w:val="26"/>
        </w:rPr>
        <w:t xml:space="preserve">, 26 Cal.4th at pp. 848–849.)  </w:t>
      </w:r>
      <w:r w:rsidR="005E0B5B" w:rsidRPr="00A71F78">
        <w:rPr>
          <w:szCs w:val="26"/>
        </w:rPr>
        <w:t xml:space="preserve">The jury’s return of varying verdicts as to the four defendants — convicting the Mitchells of first degree murder </w:t>
      </w:r>
      <w:r w:rsidR="00F16574" w:rsidRPr="00A71F78">
        <w:rPr>
          <w:szCs w:val="26"/>
        </w:rPr>
        <w:t xml:space="preserve">and acquitting Jones, </w:t>
      </w:r>
      <w:r w:rsidR="005E0B5B" w:rsidRPr="00A71F78">
        <w:rPr>
          <w:szCs w:val="26"/>
        </w:rPr>
        <w:t>while convicting Carney,</w:t>
      </w:r>
      <w:r w:rsidR="00F16574" w:rsidRPr="00A71F78">
        <w:rPr>
          <w:szCs w:val="26"/>
        </w:rPr>
        <w:t xml:space="preserve"> who fired the fatal shot,</w:t>
      </w:r>
      <w:r w:rsidR="005E0B5B" w:rsidRPr="00A71F78">
        <w:rPr>
          <w:szCs w:val="26"/>
        </w:rPr>
        <w:t xml:space="preserve"> of only voluntary manslaughter</w:t>
      </w:r>
      <w:r w:rsidR="00BE0206">
        <w:rPr>
          <w:szCs w:val="26"/>
        </w:rPr>
        <w:t> </w:t>
      </w:r>
      <w:r w:rsidR="005E0B5B" w:rsidRPr="00A71F78">
        <w:rPr>
          <w:szCs w:val="26"/>
        </w:rPr>
        <w:t>— further reveals</w:t>
      </w:r>
      <w:r w:rsidR="00F16574" w:rsidRPr="00A71F78">
        <w:rPr>
          <w:szCs w:val="26"/>
        </w:rPr>
        <w:t xml:space="preserve"> that</w:t>
      </w:r>
      <w:r w:rsidR="005E0B5B" w:rsidRPr="00A71F78">
        <w:rPr>
          <w:szCs w:val="26"/>
        </w:rPr>
        <w:t xml:space="preserve"> the jur</w:t>
      </w:r>
      <w:r w:rsidR="00FC09DC" w:rsidRPr="00A71F78">
        <w:rPr>
          <w:szCs w:val="26"/>
        </w:rPr>
        <w:t>y did not base its verdict on the defendants’ mere participation in the gun battle, but</w:t>
      </w:r>
      <w:r w:rsidR="005E0B5B" w:rsidRPr="00A71F78">
        <w:rPr>
          <w:szCs w:val="26"/>
        </w:rPr>
        <w:t xml:space="preserve"> carefully considered the Mitchells’ own actions and their personal mens rea.  These differing verdicts reflect that the jury determined each defendant’s own mental state and assigned culpability accordingly.  </w:t>
      </w:r>
      <w:r w:rsidR="00462706" w:rsidRPr="00A71F78">
        <w:rPr>
          <w:szCs w:val="26"/>
        </w:rPr>
        <w:t>Th</w:t>
      </w:r>
      <w:r w:rsidR="002B079A" w:rsidRPr="00A71F78">
        <w:rPr>
          <w:szCs w:val="26"/>
        </w:rPr>
        <w:t>e conduct of each of the Mitchells constituted a “substantial concurrent cause” of the bystander’s death.  (</w:t>
      </w:r>
      <w:r w:rsidR="002B079A" w:rsidRPr="00A71F78">
        <w:rPr>
          <w:i/>
          <w:iCs/>
          <w:szCs w:val="26"/>
        </w:rPr>
        <w:t>Sanchez</w:t>
      </w:r>
      <w:r w:rsidR="002B079A" w:rsidRPr="00A71F78">
        <w:rPr>
          <w:szCs w:val="26"/>
        </w:rPr>
        <w:t xml:space="preserve">, </w:t>
      </w:r>
      <w:r w:rsidR="002B079A" w:rsidRPr="00A71F78">
        <w:rPr>
          <w:i/>
          <w:iCs/>
          <w:szCs w:val="26"/>
        </w:rPr>
        <w:t>supra</w:t>
      </w:r>
      <w:r w:rsidR="002B079A" w:rsidRPr="00A71F78">
        <w:rPr>
          <w:szCs w:val="26"/>
        </w:rPr>
        <w:t>, 26 Cal.4th at p. 845.)</w:t>
      </w:r>
    </w:p>
    <w:p w14:paraId="7E9BE65A" w14:textId="0E625E0E" w:rsidR="00955917" w:rsidRPr="00A71F78" w:rsidRDefault="00785339" w:rsidP="00A31766">
      <w:pPr>
        <w:widowControl w:val="0"/>
        <w:autoSpaceDE w:val="0"/>
        <w:autoSpaceDN w:val="0"/>
        <w:adjustRightInd w:val="0"/>
        <w:ind w:firstLine="720"/>
        <w:rPr>
          <w:szCs w:val="26"/>
        </w:rPr>
      </w:pPr>
      <w:r w:rsidRPr="00A71F78">
        <w:rPr>
          <w:szCs w:val="26"/>
        </w:rPr>
        <w:t>The Mitchells</w:t>
      </w:r>
      <w:r w:rsidR="00402872" w:rsidRPr="00A71F78">
        <w:rPr>
          <w:szCs w:val="26"/>
        </w:rPr>
        <w:t>, however,</w:t>
      </w:r>
      <w:r w:rsidRPr="00A71F78">
        <w:rPr>
          <w:szCs w:val="26"/>
        </w:rPr>
        <w:t xml:space="preserve"> </w:t>
      </w:r>
      <w:r w:rsidR="001B0287" w:rsidRPr="00A71F78">
        <w:rPr>
          <w:szCs w:val="26"/>
        </w:rPr>
        <w:t xml:space="preserve">contend that </w:t>
      </w:r>
      <w:r w:rsidR="00006A22" w:rsidRPr="00A71F78">
        <w:rPr>
          <w:i/>
          <w:iCs/>
          <w:szCs w:val="26"/>
        </w:rPr>
        <w:t>J</w:t>
      </w:r>
      <w:r w:rsidR="00E96106" w:rsidRPr="00A71F78">
        <w:rPr>
          <w:i/>
          <w:iCs/>
          <w:szCs w:val="26"/>
        </w:rPr>
        <w:t>ennings</w:t>
      </w:r>
      <w:r w:rsidR="001B45FE" w:rsidRPr="00A71F78">
        <w:rPr>
          <w:szCs w:val="26"/>
        </w:rPr>
        <w:t xml:space="preserve">, </w:t>
      </w:r>
      <w:r w:rsidR="001B45FE" w:rsidRPr="00A71F78">
        <w:rPr>
          <w:i/>
          <w:iCs/>
          <w:szCs w:val="26"/>
        </w:rPr>
        <w:t>supra</w:t>
      </w:r>
      <w:r w:rsidR="001B45FE" w:rsidRPr="00A71F78">
        <w:rPr>
          <w:szCs w:val="26"/>
        </w:rPr>
        <w:t xml:space="preserve">, </w:t>
      </w:r>
      <w:r w:rsidR="00E96106" w:rsidRPr="00A71F78">
        <w:rPr>
          <w:szCs w:val="26"/>
        </w:rPr>
        <w:t xml:space="preserve">50 Cal.4th 616 </w:t>
      </w:r>
      <w:r w:rsidR="001B0287" w:rsidRPr="00A71F78">
        <w:rPr>
          <w:szCs w:val="26"/>
        </w:rPr>
        <w:t>supports</w:t>
      </w:r>
      <w:r w:rsidR="005E52A0" w:rsidRPr="00A71F78">
        <w:rPr>
          <w:szCs w:val="26"/>
        </w:rPr>
        <w:t xml:space="preserve"> their interpretation of</w:t>
      </w:r>
      <w:r w:rsidR="00A556C2" w:rsidRPr="00A71F78">
        <w:rPr>
          <w:szCs w:val="26"/>
        </w:rPr>
        <w:t xml:space="preserve"> the</w:t>
      </w:r>
      <w:r w:rsidR="005E52A0" w:rsidRPr="00A71F78">
        <w:rPr>
          <w:szCs w:val="26"/>
        </w:rPr>
        <w:t xml:space="preserve"> “substantial concurrent cause”</w:t>
      </w:r>
      <w:r w:rsidR="00A556C2" w:rsidRPr="00A71F78">
        <w:rPr>
          <w:szCs w:val="26"/>
        </w:rPr>
        <w:t xml:space="preserve"> rule</w:t>
      </w:r>
      <w:r w:rsidR="005E52A0" w:rsidRPr="00A71F78">
        <w:rPr>
          <w:szCs w:val="26"/>
        </w:rPr>
        <w:t xml:space="preserve"> </w:t>
      </w:r>
      <w:r w:rsidR="00E06A20" w:rsidRPr="00A71F78">
        <w:rPr>
          <w:szCs w:val="26"/>
        </w:rPr>
        <w:t>and their view that</w:t>
      </w:r>
      <w:r w:rsidR="00A556C2" w:rsidRPr="00A71F78">
        <w:rPr>
          <w:szCs w:val="26"/>
        </w:rPr>
        <w:t xml:space="preserve"> the rule</w:t>
      </w:r>
      <w:r w:rsidR="00E06A20" w:rsidRPr="00A71F78">
        <w:rPr>
          <w:szCs w:val="26"/>
        </w:rPr>
        <w:t xml:space="preserve"> </w:t>
      </w:r>
      <w:r w:rsidR="00226898" w:rsidRPr="00A71F78">
        <w:rPr>
          <w:szCs w:val="26"/>
        </w:rPr>
        <w:t>does not apply</w:t>
      </w:r>
      <w:r w:rsidR="00E06A20" w:rsidRPr="00A71F78">
        <w:rPr>
          <w:szCs w:val="26"/>
        </w:rPr>
        <w:t xml:space="preserve"> where, as</w:t>
      </w:r>
      <w:r w:rsidR="00226898" w:rsidRPr="00A71F78">
        <w:rPr>
          <w:szCs w:val="26"/>
        </w:rPr>
        <w:t xml:space="preserve"> </w:t>
      </w:r>
      <w:r w:rsidR="0062223E" w:rsidRPr="00A71F78">
        <w:rPr>
          <w:szCs w:val="26"/>
        </w:rPr>
        <w:t>here</w:t>
      </w:r>
      <w:r w:rsidR="00E06A20" w:rsidRPr="00A71F78">
        <w:rPr>
          <w:szCs w:val="26"/>
        </w:rPr>
        <w:t>,</w:t>
      </w:r>
      <w:r w:rsidR="0062223E" w:rsidRPr="00A71F78">
        <w:rPr>
          <w:szCs w:val="26"/>
        </w:rPr>
        <w:t xml:space="preserve"> </w:t>
      </w:r>
      <w:r w:rsidR="00226898" w:rsidRPr="00A71F78">
        <w:rPr>
          <w:szCs w:val="26"/>
        </w:rPr>
        <w:t>only one bullet hit</w:t>
      </w:r>
      <w:r w:rsidR="0062223E" w:rsidRPr="00A71F78">
        <w:rPr>
          <w:szCs w:val="26"/>
        </w:rPr>
        <w:t xml:space="preserve"> </w:t>
      </w:r>
      <w:r w:rsidR="00226898" w:rsidRPr="00A71F78">
        <w:rPr>
          <w:szCs w:val="26"/>
        </w:rPr>
        <w:t>and kill</w:t>
      </w:r>
      <w:r w:rsidR="0062223E" w:rsidRPr="00A71F78">
        <w:rPr>
          <w:szCs w:val="26"/>
        </w:rPr>
        <w:t>ed</w:t>
      </w:r>
      <w:r w:rsidR="00226898" w:rsidRPr="00A71F78">
        <w:rPr>
          <w:szCs w:val="26"/>
        </w:rPr>
        <w:t xml:space="preserve"> a bystander</w:t>
      </w:r>
      <w:r w:rsidR="00B108D2" w:rsidRPr="00A71F78">
        <w:rPr>
          <w:szCs w:val="26"/>
        </w:rPr>
        <w:t>.</w:t>
      </w:r>
      <w:r w:rsidR="00226898" w:rsidRPr="00A71F78">
        <w:rPr>
          <w:szCs w:val="26"/>
        </w:rPr>
        <w:t xml:space="preserve"> </w:t>
      </w:r>
      <w:r w:rsidR="00402872" w:rsidRPr="00A71F78">
        <w:rPr>
          <w:szCs w:val="26"/>
        </w:rPr>
        <w:t xml:space="preserve"> </w:t>
      </w:r>
      <w:r w:rsidR="00DA39F5" w:rsidRPr="00A71F78">
        <w:t xml:space="preserve">In </w:t>
      </w:r>
      <w:r w:rsidR="00DA39F5" w:rsidRPr="00A71F78">
        <w:rPr>
          <w:i/>
          <w:iCs/>
        </w:rPr>
        <w:t>Jennings</w:t>
      </w:r>
      <w:r w:rsidR="00DA39F5" w:rsidRPr="00A71F78">
        <w:t>, t</w:t>
      </w:r>
      <w:r w:rsidR="007F095E" w:rsidRPr="00A71F78">
        <w:rPr>
          <w:szCs w:val="26"/>
        </w:rPr>
        <w:t xml:space="preserve">he defendant </w:t>
      </w:r>
      <w:r w:rsidR="00695EBF" w:rsidRPr="00A71F78">
        <w:rPr>
          <w:szCs w:val="26"/>
        </w:rPr>
        <w:t xml:space="preserve">administered lethal </w:t>
      </w:r>
      <w:r w:rsidR="00600846" w:rsidRPr="00A71F78">
        <w:rPr>
          <w:szCs w:val="26"/>
        </w:rPr>
        <w:t xml:space="preserve">doses of </w:t>
      </w:r>
      <w:r w:rsidR="00695EBF" w:rsidRPr="00A71F78">
        <w:rPr>
          <w:szCs w:val="26"/>
        </w:rPr>
        <w:t>sedatives and physically abused and deliberately starved his five-year-old son.  W</w:t>
      </w:r>
      <w:r w:rsidR="000C0162" w:rsidRPr="00A71F78">
        <w:rPr>
          <w:szCs w:val="26"/>
        </w:rPr>
        <w:t xml:space="preserve">e concluded that the </w:t>
      </w:r>
      <w:r w:rsidR="00522C8F" w:rsidRPr="00A71F78">
        <w:rPr>
          <w:szCs w:val="26"/>
        </w:rPr>
        <w:t>drugs</w:t>
      </w:r>
      <w:r w:rsidR="005649D2" w:rsidRPr="00A71F78">
        <w:rPr>
          <w:szCs w:val="26"/>
        </w:rPr>
        <w:t>,</w:t>
      </w:r>
      <w:r w:rsidR="00695EBF" w:rsidRPr="00A71F78">
        <w:rPr>
          <w:szCs w:val="26"/>
        </w:rPr>
        <w:t xml:space="preserve"> abuse</w:t>
      </w:r>
      <w:r w:rsidR="009A4066" w:rsidRPr="00A71F78">
        <w:rPr>
          <w:szCs w:val="26"/>
        </w:rPr>
        <w:t>,</w:t>
      </w:r>
      <w:r w:rsidR="00695EBF" w:rsidRPr="00A71F78">
        <w:rPr>
          <w:szCs w:val="26"/>
        </w:rPr>
        <w:t xml:space="preserve"> and</w:t>
      </w:r>
      <w:r w:rsidR="000C0162" w:rsidRPr="00A71F78">
        <w:rPr>
          <w:szCs w:val="26"/>
        </w:rPr>
        <w:t xml:space="preserve"> starvation</w:t>
      </w:r>
      <w:r w:rsidR="0076157C" w:rsidRPr="00A71F78">
        <w:rPr>
          <w:szCs w:val="26"/>
        </w:rPr>
        <w:t xml:space="preserve"> </w:t>
      </w:r>
      <w:r w:rsidR="000C0162" w:rsidRPr="00A71F78">
        <w:rPr>
          <w:szCs w:val="26"/>
        </w:rPr>
        <w:t xml:space="preserve">were each a concurrent cause of </w:t>
      </w:r>
      <w:r w:rsidR="00627DAE" w:rsidRPr="00A71F78">
        <w:rPr>
          <w:szCs w:val="26"/>
        </w:rPr>
        <w:t>his son’s</w:t>
      </w:r>
      <w:r w:rsidR="00DC22ED" w:rsidRPr="00A71F78">
        <w:rPr>
          <w:szCs w:val="26"/>
        </w:rPr>
        <w:t xml:space="preserve"> </w:t>
      </w:r>
      <w:r w:rsidR="00032391" w:rsidRPr="00A71F78">
        <w:rPr>
          <w:szCs w:val="26"/>
        </w:rPr>
        <w:t>death</w:t>
      </w:r>
      <w:r w:rsidR="000C0162" w:rsidRPr="00A71F78">
        <w:rPr>
          <w:szCs w:val="26"/>
        </w:rPr>
        <w:t xml:space="preserve">.  </w:t>
      </w:r>
      <w:r w:rsidR="00E46650" w:rsidRPr="00A71F78">
        <w:rPr>
          <w:szCs w:val="26"/>
        </w:rPr>
        <w:t>(</w:t>
      </w:r>
      <w:r w:rsidR="00D745F2" w:rsidRPr="00A71F78">
        <w:rPr>
          <w:i/>
          <w:iCs/>
          <w:szCs w:val="26"/>
        </w:rPr>
        <w:t>Id.</w:t>
      </w:r>
      <w:r w:rsidR="00E46650" w:rsidRPr="00A71F78">
        <w:rPr>
          <w:szCs w:val="26"/>
        </w:rPr>
        <w:t xml:space="preserve"> at p. 641 [evidence showed defendant administered drugs to </w:t>
      </w:r>
      <w:r w:rsidR="00627DAE" w:rsidRPr="00A71F78">
        <w:rPr>
          <w:szCs w:val="26"/>
        </w:rPr>
        <w:t>son</w:t>
      </w:r>
      <w:r w:rsidR="00E46650" w:rsidRPr="00A71F78">
        <w:rPr>
          <w:szCs w:val="26"/>
        </w:rPr>
        <w:t xml:space="preserve"> and directed wife to do the same].)  </w:t>
      </w:r>
      <w:r w:rsidR="00032391" w:rsidRPr="00A71F78">
        <w:rPr>
          <w:szCs w:val="26"/>
        </w:rPr>
        <w:t>W</w:t>
      </w:r>
      <w:r w:rsidR="00C560F9" w:rsidRPr="00A71F78">
        <w:rPr>
          <w:szCs w:val="26"/>
        </w:rPr>
        <w:t xml:space="preserve">e </w:t>
      </w:r>
      <w:r w:rsidR="00FD7D1F" w:rsidRPr="00A71F78">
        <w:rPr>
          <w:szCs w:val="26"/>
        </w:rPr>
        <w:t>emphasized</w:t>
      </w:r>
      <w:r w:rsidR="00C560F9" w:rsidRPr="00A71F78">
        <w:rPr>
          <w:szCs w:val="26"/>
        </w:rPr>
        <w:t xml:space="preserve"> that</w:t>
      </w:r>
      <w:r w:rsidR="00032391" w:rsidRPr="00A71F78">
        <w:rPr>
          <w:szCs w:val="26"/>
        </w:rPr>
        <w:t xml:space="preserve"> in the end, </w:t>
      </w:r>
      <w:r w:rsidR="00C560F9" w:rsidRPr="00A71F78">
        <w:rPr>
          <w:szCs w:val="26"/>
        </w:rPr>
        <w:t>“</w:t>
      </w:r>
      <w:r w:rsidR="00BE0206">
        <w:rPr>
          <w:szCs w:val="26"/>
        </w:rPr>
        <w:t> </w:t>
      </w:r>
      <w:r w:rsidR="00C560F9" w:rsidRPr="00A71F78">
        <w:rPr>
          <w:szCs w:val="26"/>
        </w:rPr>
        <w:t>‘</w:t>
      </w:r>
      <w:r w:rsidR="005D59BF">
        <w:rPr>
          <w:szCs w:val="26"/>
        </w:rPr>
        <w:t>[</w:t>
      </w:r>
      <w:r w:rsidR="00C560F9" w:rsidRPr="00A71F78">
        <w:rPr>
          <w:szCs w:val="26"/>
        </w:rPr>
        <w:t>a</w:t>
      </w:r>
      <w:r w:rsidR="005D59BF">
        <w:rPr>
          <w:szCs w:val="26"/>
        </w:rPr>
        <w:t>]</w:t>
      </w:r>
      <w:r w:rsidR="00C560F9" w:rsidRPr="00A71F78">
        <w:rPr>
          <w:szCs w:val="26"/>
        </w:rPr>
        <w:t>s long as the jury finds that without the criminal act the death would not have occurred when it did, it need not determine which of the concurrent causes was the principal or primary cause of death.’</w:t>
      </w:r>
      <w:r w:rsidR="00BE0206">
        <w:rPr>
          <w:szCs w:val="26"/>
        </w:rPr>
        <w:t> </w:t>
      </w:r>
      <w:r w:rsidR="00C560F9" w:rsidRPr="00A71F78">
        <w:rPr>
          <w:szCs w:val="26"/>
        </w:rPr>
        <w:t>”  (</w:t>
      </w:r>
      <w:r w:rsidR="00F0540B" w:rsidRPr="00A71F78">
        <w:rPr>
          <w:i/>
          <w:iCs/>
          <w:szCs w:val="26"/>
        </w:rPr>
        <w:t xml:space="preserve">Id. </w:t>
      </w:r>
      <w:r w:rsidR="00C560F9" w:rsidRPr="00A71F78">
        <w:rPr>
          <w:szCs w:val="26"/>
        </w:rPr>
        <w:t xml:space="preserve">at p. 643, quoting </w:t>
      </w:r>
      <w:r w:rsidR="00C560F9" w:rsidRPr="00A71F78">
        <w:rPr>
          <w:i/>
          <w:iCs/>
          <w:szCs w:val="26"/>
        </w:rPr>
        <w:t>People v. Catlin</w:t>
      </w:r>
      <w:r w:rsidR="00C560F9" w:rsidRPr="00A71F78">
        <w:rPr>
          <w:szCs w:val="26"/>
        </w:rPr>
        <w:t xml:space="preserve"> (2001) 26 Cal.4th 81, 155.) </w:t>
      </w:r>
      <w:r w:rsidR="00631EB8" w:rsidRPr="00A71F78">
        <w:rPr>
          <w:szCs w:val="26"/>
        </w:rPr>
        <w:t xml:space="preserve"> </w:t>
      </w:r>
      <w:r w:rsidR="00DA39F5" w:rsidRPr="001C328A">
        <w:rPr>
          <w:szCs w:val="26"/>
        </w:rPr>
        <w:t xml:space="preserve">We applied the </w:t>
      </w:r>
      <w:r w:rsidR="00DA39F5" w:rsidRPr="00A71F78">
        <w:rPr>
          <w:szCs w:val="26"/>
        </w:rPr>
        <w:t xml:space="preserve">“substantial factor” test of cause in fact </w:t>
      </w:r>
      <w:r w:rsidR="00DA39F5" w:rsidRPr="001C328A">
        <w:rPr>
          <w:szCs w:val="26"/>
        </w:rPr>
        <w:t xml:space="preserve">because there was </w:t>
      </w:r>
      <w:r w:rsidR="00DA39F5" w:rsidRPr="00A71F78">
        <w:rPr>
          <w:szCs w:val="26"/>
        </w:rPr>
        <w:t xml:space="preserve">evidence of more than one cause of death, not because the primary </w:t>
      </w:r>
      <w:r w:rsidR="00DA39F5" w:rsidRPr="001C328A">
        <w:rPr>
          <w:szCs w:val="26"/>
        </w:rPr>
        <w:t>cause of death was unknown</w:t>
      </w:r>
      <w:r w:rsidR="00DA39F5" w:rsidRPr="00A71F78">
        <w:rPr>
          <w:szCs w:val="26"/>
        </w:rPr>
        <w:t>.  (</w:t>
      </w:r>
      <w:r w:rsidR="00DA39F5" w:rsidRPr="00A71F78">
        <w:rPr>
          <w:i/>
          <w:iCs/>
          <w:szCs w:val="26"/>
        </w:rPr>
        <w:t>Jennings</w:t>
      </w:r>
      <w:r w:rsidR="00DA39F5" w:rsidRPr="00A71F78">
        <w:rPr>
          <w:szCs w:val="26"/>
        </w:rPr>
        <w:t xml:space="preserve">, </w:t>
      </w:r>
      <w:r w:rsidR="00DA39F5" w:rsidRPr="00A71F78">
        <w:rPr>
          <w:i/>
          <w:iCs/>
          <w:szCs w:val="26"/>
        </w:rPr>
        <w:t>supra</w:t>
      </w:r>
      <w:r w:rsidR="00DA39F5" w:rsidRPr="00A71F78">
        <w:rPr>
          <w:szCs w:val="26"/>
        </w:rPr>
        <w:t xml:space="preserve">, 50 Cal.4th at pp. 643–644; see </w:t>
      </w:r>
      <w:r w:rsidR="00DA39F5" w:rsidRPr="00A71F78">
        <w:rPr>
          <w:i/>
          <w:iCs/>
          <w:szCs w:val="26"/>
        </w:rPr>
        <w:t xml:space="preserve">Mitchell v. Gonzales </w:t>
      </w:r>
      <w:r w:rsidR="00DA39F5" w:rsidRPr="00A71F78">
        <w:rPr>
          <w:szCs w:val="26"/>
        </w:rPr>
        <w:t>(1991) 54 Cal.3d 1041, 1049, 1052</w:t>
      </w:r>
      <w:r w:rsidR="00DA39F5" w:rsidRPr="00A71F78">
        <w:t xml:space="preserve">.)  </w:t>
      </w:r>
      <w:r w:rsidR="009F13EC" w:rsidRPr="00A71F78">
        <w:rPr>
          <w:szCs w:val="26"/>
        </w:rPr>
        <w:t xml:space="preserve">Contrary to the Mitchells’ suggestion, </w:t>
      </w:r>
      <w:r w:rsidR="009F13EC" w:rsidRPr="00A71F78">
        <w:rPr>
          <w:i/>
          <w:iCs/>
          <w:szCs w:val="26"/>
        </w:rPr>
        <w:t xml:space="preserve">Jennings </w:t>
      </w:r>
      <w:r w:rsidR="009F13EC" w:rsidRPr="00A71F78">
        <w:rPr>
          <w:szCs w:val="26"/>
        </w:rPr>
        <w:t xml:space="preserve">does not compel a different interpretation of “substantial concurrent cause” as set out in </w:t>
      </w:r>
      <w:r w:rsidR="009F13EC" w:rsidRPr="00A71F78">
        <w:rPr>
          <w:i/>
          <w:iCs/>
          <w:szCs w:val="26"/>
        </w:rPr>
        <w:t>Sanchez</w:t>
      </w:r>
      <w:r w:rsidR="009F13EC" w:rsidRPr="00A71F78">
        <w:rPr>
          <w:szCs w:val="26"/>
        </w:rPr>
        <w:t xml:space="preserve">.  </w:t>
      </w:r>
    </w:p>
    <w:p w14:paraId="6A6C10EE" w14:textId="329836E0" w:rsidR="00A4314E" w:rsidRPr="00A71F78" w:rsidRDefault="005B043D" w:rsidP="00A31766">
      <w:pPr>
        <w:pStyle w:val="Heading2"/>
      </w:pPr>
      <w:r w:rsidRPr="00A71F78">
        <w:t>C</w:t>
      </w:r>
      <w:r w:rsidR="00464E25" w:rsidRPr="00A71F78">
        <w:t>.</w:t>
      </w:r>
      <w:r w:rsidR="00DE0BEF" w:rsidRPr="00A71F78">
        <w:tab/>
      </w:r>
      <w:r w:rsidR="00DE0BEF" w:rsidRPr="00A71F78">
        <w:rPr>
          <w:i/>
          <w:iCs/>
        </w:rPr>
        <w:t xml:space="preserve">Chiu </w:t>
      </w:r>
      <w:r w:rsidR="00DE0BEF" w:rsidRPr="00A71F78">
        <w:t xml:space="preserve">and Senate Bill </w:t>
      </w:r>
      <w:r w:rsidR="002E7FD9" w:rsidRPr="00A71F78">
        <w:t xml:space="preserve">No. </w:t>
      </w:r>
      <w:r w:rsidR="00DE0BEF" w:rsidRPr="00A71F78">
        <w:t>1437</w:t>
      </w:r>
    </w:p>
    <w:p w14:paraId="7948D97D" w14:textId="3604C0DA" w:rsidR="00A4314E" w:rsidRPr="00A71F78" w:rsidRDefault="00DE0BEF" w:rsidP="00A31766">
      <w:pPr>
        <w:widowControl w:val="0"/>
        <w:autoSpaceDE w:val="0"/>
        <w:autoSpaceDN w:val="0"/>
        <w:adjustRightInd w:val="0"/>
        <w:rPr>
          <w:szCs w:val="26"/>
        </w:rPr>
      </w:pPr>
      <w:r w:rsidRPr="00A71F78">
        <w:rPr>
          <w:szCs w:val="26"/>
        </w:rPr>
        <w:tab/>
        <w:t>As noted</w:t>
      </w:r>
      <w:r w:rsidR="007E6600" w:rsidRPr="00A71F78">
        <w:rPr>
          <w:szCs w:val="26"/>
        </w:rPr>
        <w:t xml:space="preserve"> (see </w:t>
      </w:r>
      <w:r w:rsidR="007E6600" w:rsidRPr="00A71F78">
        <w:rPr>
          <w:i/>
          <w:iCs/>
          <w:szCs w:val="26"/>
        </w:rPr>
        <w:t>ante</w:t>
      </w:r>
      <w:r w:rsidR="007E6600" w:rsidRPr="00A71F78">
        <w:rPr>
          <w:szCs w:val="26"/>
        </w:rPr>
        <w:t>, at p. 2, fn. 1)</w:t>
      </w:r>
      <w:r w:rsidRPr="00A71F78">
        <w:rPr>
          <w:szCs w:val="26"/>
        </w:rPr>
        <w:t xml:space="preserve">, our grant of review included the question </w:t>
      </w:r>
      <w:r w:rsidR="00F16574" w:rsidRPr="00A71F78">
        <w:rPr>
          <w:szCs w:val="26"/>
        </w:rPr>
        <w:t xml:space="preserve">of </w:t>
      </w:r>
      <w:r w:rsidR="00054216" w:rsidRPr="00A71F78">
        <w:rPr>
          <w:szCs w:val="26"/>
        </w:rPr>
        <w:t xml:space="preserve">what impact, if any, </w:t>
      </w:r>
      <w:r w:rsidR="00CB7240">
        <w:rPr>
          <w:i/>
          <w:iCs/>
          <w:szCs w:val="26"/>
        </w:rPr>
        <w:t>People v. C</w:t>
      </w:r>
      <w:r w:rsidR="00375A82" w:rsidRPr="00A71F78">
        <w:rPr>
          <w:i/>
          <w:iCs/>
          <w:szCs w:val="26"/>
        </w:rPr>
        <w:t>hiu</w:t>
      </w:r>
      <w:r w:rsidR="00375A82" w:rsidRPr="00A71F78">
        <w:rPr>
          <w:szCs w:val="26"/>
        </w:rPr>
        <w:t>,</w:t>
      </w:r>
      <w:r w:rsidR="00375A82" w:rsidRPr="00A71F78">
        <w:rPr>
          <w:i/>
          <w:iCs/>
          <w:szCs w:val="26"/>
        </w:rPr>
        <w:t xml:space="preserve"> supra</w:t>
      </w:r>
      <w:r w:rsidR="00375A82" w:rsidRPr="00A71F78">
        <w:rPr>
          <w:szCs w:val="26"/>
        </w:rPr>
        <w:t>, 59 Cal.4th 155</w:t>
      </w:r>
      <w:r w:rsidR="00CB7240">
        <w:rPr>
          <w:szCs w:val="26"/>
        </w:rPr>
        <w:t xml:space="preserve"> (</w:t>
      </w:r>
      <w:r w:rsidR="00CB7240" w:rsidRPr="00CB7240">
        <w:rPr>
          <w:i/>
          <w:iCs/>
          <w:szCs w:val="26"/>
        </w:rPr>
        <w:t>Chiu</w:t>
      </w:r>
      <w:r w:rsidR="00CB7240">
        <w:rPr>
          <w:szCs w:val="26"/>
        </w:rPr>
        <w:t>)</w:t>
      </w:r>
      <w:r w:rsidR="00375A82" w:rsidRPr="00A71F78">
        <w:rPr>
          <w:szCs w:val="26"/>
        </w:rPr>
        <w:t xml:space="preserve"> and </w:t>
      </w:r>
      <w:r w:rsidR="00C4549C" w:rsidRPr="00A71F78">
        <w:t xml:space="preserve">Senate Bill No. 1437 (Stats. 2018, ch. 1015, § 1, subd. (f)) </w:t>
      </w:r>
      <w:r w:rsidR="00375A82" w:rsidRPr="00A71F78">
        <w:rPr>
          <w:szCs w:val="26"/>
        </w:rPr>
        <w:t>have on the</w:t>
      </w:r>
      <w:r w:rsidR="00375A82" w:rsidRPr="00A71F78">
        <w:rPr>
          <w:i/>
          <w:iCs/>
          <w:szCs w:val="26"/>
        </w:rPr>
        <w:t xml:space="preserve"> </w:t>
      </w:r>
      <w:r w:rsidR="00F4004D" w:rsidRPr="00A71F78">
        <w:rPr>
          <w:i/>
          <w:iCs/>
          <w:szCs w:val="26"/>
        </w:rPr>
        <w:t xml:space="preserve">Sanchez </w:t>
      </w:r>
      <w:r w:rsidR="00375A82" w:rsidRPr="00A71F78">
        <w:rPr>
          <w:szCs w:val="26"/>
        </w:rPr>
        <w:t>rule</w:t>
      </w:r>
      <w:r w:rsidR="00F4004D" w:rsidRPr="00A71F78">
        <w:rPr>
          <w:szCs w:val="26"/>
        </w:rPr>
        <w:t>.</w:t>
      </w:r>
      <w:r w:rsidR="00375A82" w:rsidRPr="00A71F78">
        <w:rPr>
          <w:szCs w:val="26"/>
        </w:rPr>
        <w:t xml:space="preserve">  </w:t>
      </w:r>
      <w:r w:rsidR="00602F2D" w:rsidRPr="00A71F78">
        <w:rPr>
          <w:szCs w:val="26"/>
        </w:rPr>
        <w:t xml:space="preserve">The Mitchells </w:t>
      </w:r>
      <w:r w:rsidR="00485D0C" w:rsidRPr="00A71F78">
        <w:rPr>
          <w:szCs w:val="26"/>
        </w:rPr>
        <w:t xml:space="preserve">argue that </w:t>
      </w:r>
      <w:r w:rsidR="00485D0C" w:rsidRPr="00A71F78">
        <w:rPr>
          <w:i/>
          <w:iCs/>
          <w:szCs w:val="26"/>
        </w:rPr>
        <w:t>Sanchez</w:t>
      </w:r>
      <w:r w:rsidR="00485D0C" w:rsidRPr="00A71F78">
        <w:rPr>
          <w:szCs w:val="26"/>
        </w:rPr>
        <w:t>’s “substantial concurrent caus</w:t>
      </w:r>
      <w:r w:rsidR="007739AD" w:rsidRPr="00A71F78">
        <w:rPr>
          <w:szCs w:val="26"/>
        </w:rPr>
        <w:t>e</w:t>
      </w:r>
      <w:r w:rsidR="00485D0C" w:rsidRPr="00A71F78">
        <w:rPr>
          <w:szCs w:val="26"/>
        </w:rPr>
        <w:t xml:space="preserve">” </w:t>
      </w:r>
      <w:r w:rsidR="00C4549C" w:rsidRPr="00A71F78">
        <w:rPr>
          <w:szCs w:val="26"/>
        </w:rPr>
        <w:t xml:space="preserve">analysis </w:t>
      </w:r>
      <w:r w:rsidR="00485D0C" w:rsidRPr="00A71F78">
        <w:rPr>
          <w:szCs w:val="26"/>
        </w:rPr>
        <w:t xml:space="preserve">is “a type of natural and probable consequences liability that is inconsistent” with </w:t>
      </w:r>
      <w:r w:rsidR="00485D0C" w:rsidRPr="00A71F78">
        <w:rPr>
          <w:i/>
          <w:iCs/>
          <w:szCs w:val="26"/>
        </w:rPr>
        <w:t>Chiu</w:t>
      </w:r>
      <w:r w:rsidR="00485D0C" w:rsidRPr="00A71F78">
        <w:rPr>
          <w:szCs w:val="26"/>
        </w:rPr>
        <w:t xml:space="preserve"> and Senate Bill </w:t>
      </w:r>
      <w:r w:rsidR="00AA532F" w:rsidRPr="00A71F78">
        <w:rPr>
          <w:szCs w:val="26"/>
        </w:rPr>
        <w:t xml:space="preserve">No. </w:t>
      </w:r>
      <w:r w:rsidR="00485D0C" w:rsidRPr="00A71F78">
        <w:rPr>
          <w:szCs w:val="26"/>
        </w:rPr>
        <w:t xml:space="preserve">1437. </w:t>
      </w:r>
      <w:r w:rsidR="00AB1B8A" w:rsidRPr="00A71F78">
        <w:rPr>
          <w:szCs w:val="26"/>
        </w:rPr>
        <w:t xml:space="preserve"> </w:t>
      </w:r>
      <w:r w:rsidR="00D07CC8" w:rsidRPr="00A71F78">
        <w:rPr>
          <w:szCs w:val="26"/>
        </w:rPr>
        <w:t xml:space="preserve">As </w:t>
      </w:r>
      <w:r w:rsidR="008241D5" w:rsidRPr="00A71F78">
        <w:rPr>
          <w:szCs w:val="26"/>
        </w:rPr>
        <w:t xml:space="preserve">we </w:t>
      </w:r>
      <w:r w:rsidR="00D07CC8" w:rsidRPr="00A71F78">
        <w:rPr>
          <w:szCs w:val="26"/>
        </w:rPr>
        <w:t>explain below,</w:t>
      </w:r>
      <w:r w:rsidR="00AB1B8A" w:rsidRPr="00A71F78">
        <w:rPr>
          <w:szCs w:val="26"/>
        </w:rPr>
        <w:t xml:space="preserve"> </w:t>
      </w:r>
      <w:r w:rsidR="00602F2D" w:rsidRPr="00A71F78">
        <w:rPr>
          <w:szCs w:val="26"/>
        </w:rPr>
        <w:t xml:space="preserve">the Mitchells </w:t>
      </w:r>
      <w:r w:rsidR="00D07CC8" w:rsidRPr="00A71F78">
        <w:rPr>
          <w:szCs w:val="26"/>
        </w:rPr>
        <w:t xml:space="preserve">incorrectly </w:t>
      </w:r>
      <w:r w:rsidR="00091EA9" w:rsidRPr="00A71F78">
        <w:rPr>
          <w:szCs w:val="26"/>
        </w:rPr>
        <w:t>assume</w:t>
      </w:r>
      <w:r w:rsidR="00856848" w:rsidRPr="00A71F78">
        <w:rPr>
          <w:szCs w:val="26"/>
        </w:rPr>
        <w:t xml:space="preserve"> that </w:t>
      </w:r>
      <w:r w:rsidR="00D07CC8" w:rsidRPr="00A71F78">
        <w:rPr>
          <w:szCs w:val="26"/>
        </w:rPr>
        <w:t xml:space="preserve">the term </w:t>
      </w:r>
      <w:r w:rsidR="00856848" w:rsidRPr="00A71F78">
        <w:rPr>
          <w:szCs w:val="26"/>
        </w:rPr>
        <w:t xml:space="preserve">“natural and probable consequences” </w:t>
      </w:r>
      <w:r w:rsidR="00D07CC8" w:rsidRPr="00A71F78">
        <w:rPr>
          <w:szCs w:val="26"/>
        </w:rPr>
        <w:t xml:space="preserve">refers </w:t>
      </w:r>
      <w:r w:rsidR="00856848" w:rsidRPr="00A71F78">
        <w:rPr>
          <w:szCs w:val="26"/>
        </w:rPr>
        <w:t>only</w:t>
      </w:r>
      <w:r w:rsidR="005C0439">
        <w:rPr>
          <w:szCs w:val="26"/>
        </w:rPr>
        <w:t xml:space="preserve"> to</w:t>
      </w:r>
      <w:r w:rsidR="00856848" w:rsidRPr="00A71F78">
        <w:rPr>
          <w:szCs w:val="26"/>
        </w:rPr>
        <w:t xml:space="preserve"> </w:t>
      </w:r>
      <w:r w:rsidR="00A371E0" w:rsidRPr="00A71F78">
        <w:rPr>
          <w:szCs w:val="26"/>
        </w:rPr>
        <w:t xml:space="preserve">an </w:t>
      </w:r>
      <w:r w:rsidR="00856848" w:rsidRPr="00A71F78">
        <w:rPr>
          <w:szCs w:val="26"/>
        </w:rPr>
        <w:t>aider and abettor</w:t>
      </w:r>
      <w:r w:rsidR="008A196E" w:rsidRPr="00A71F78">
        <w:rPr>
          <w:szCs w:val="26"/>
        </w:rPr>
        <w:t>’s vicarious liability</w:t>
      </w:r>
      <w:r w:rsidR="00D07CC8" w:rsidRPr="00A71F78">
        <w:rPr>
          <w:szCs w:val="26"/>
        </w:rPr>
        <w:t>.</w:t>
      </w:r>
      <w:r w:rsidR="00856848" w:rsidRPr="00A71F78">
        <w:rPr>
          <w:szCs w:val="26"/>
        </w:rPr>
        <w:t xml:space="preserve"> </w:t>
      </w:r>
      <w:r w:rsidR="00F927D9" w:rsidRPr="00A71F78">
        <w:rPr>
          <w:szCs w:val="26"/>
        </w:rPr>
        <w:t xml:space="preserve"> </w:t>
      </w:r>
      <w:r w:rsidR="008D5377" w:rsidRPr="00A71F78">
        <w:t xml:space="preserve">(See </w:t>
      </w:r>
      <w:r w:rsidR="008D5377" w:rsidRPr="00A71F78">
        <w:rPr>
          <w:i/>
          <w:iCs/>
        </w:rPr>
        <w:t>Roberts</w:t>
      </w:r>
      <w:r w:rsidR="008D5377" w:rsidRPr="00A71F78">
        <w:t xml:space="preserve">, </w:t>
      </w:r>
      <w:r w:rsidR="008D5377" w:rsidRPr="00A71F78">
        <w:rPr>
          <w:i/>
          <w:iCs/>
        </w:rPr>
        <w:t>supra</w:t>
      </w:r>
      <w:r w:rsidR="008D5377" w:rsidRPr="00A71F78">
        <w:t>, 2 Cal.4th at p. 320.)</w:t>
      </w:r>
      <w:r w:rsidR="00F24C62" w:rsidRPr="00A71F78">
        <w:t xml:space="preserve">  </w:t>
      </w:r>
      <w:r w:rsidR="002B079A" w:rsidRPr="00A71F78">
        <w:t xml:space="preserve">Therefore, we are unpersuaded by </w:t>
      </w:r>
      <w:r w:rsidR="002B079A" w:rsidRPr="00A71F78">
        <w:rPr>
          <w:szCs w:val="26"/>
        </w:rPr>
        <w:t>their effort to</w:t>
      </w:r>
      <w:r w:rsidR="00D07CC8" w:rsidRPr="00A71F78">
        <w:rPr>
          <w:szCs w:val="26"/>
        </w:rPr>
        <w:t xml:space="preserve"> </w:t>
      </w:r>
      <w:r w:rsidR="00C4549C" w:rsidRPr="00A71F78">
        <w:rPr>
          <w:szCs w:val="26"/>
        </w:rPr>
        <w:t xml:space="preserve">bring </w:t>
      </w:r>
      <w:r w:rsidR="00D07CC8" w:rsidRPr="00A71F78">
        <w:rPr>
          <w:szCs w:val="26"/>
        </w:rPr>
        <w:t xml:space="preserve">the </w:t>
      </w:r>
      <w:r w:rsidR="002B079A" w:rsidRPr="00A71F78">
        <w:rPr>
          <w:szCs w:val="26"/>
        </w:rPr>
        <w:t xml:space="preserve">definition of </w:t>
      </w:r>
      <w:r w:rsidR="00091EA9" w:rsidRPr="00A71F78">
        <w:rPr>
          <w:szCs w:val="26"/>
        </w:rPr>
        <w:t>proximate cause</w:t>
      </w:r>
      <w:r w:rsidR="002B079A" w:rsidRPr="00A71F78">
        <w:rPr>
          <w:szCs w:val="26"/>
        </w:rPr>
        <w:t>, which deals with the actus reus of a crime</w:t>
      </w:r>
      <w:r w:rsidR="00462706" w:rsidRPr="00A71F78">
        <w:rPr>
          <w:szCs w:val="26"/>
        </w:rPr>
        <w:t xml:space="preserve"> (see, </w:t>
      </w:r>
      <w:r w:rsidR="00462706" w:rsidRPr="00A71F78">
        <w:rPr>
          <w:i/>
          <w:iCs/>
          <w:szCs w:val="26"/>
        </w:rPr>
        <w:t>ante</w:t>
      </w:r>
      <w:r w:rsidR="00462706" w:rsidRPr="00A71F78">
        <w:rPr>
          <w:szCs w:val="26"/>
        </w:rPr>
        <w:t>, at p. 6)</w:t>
      </w:r>
      <w:r w:rsidR="002B079A" w:rsidRPr="00A71F78">
        <w:rPr>
          <w:szCs w:val="26"/>
        </w:rPr>
        <w:t xml:space="preserve">, </w:t>
      </w:r>
      <w:r w:rsidR="00D07CC8" w:rsidRPr="00A71F78">
        <w:rPr>
          <w:szCs w:val="26"/>
        </w:rPr>
        <w:t>within</w:t>
      </w:r>
      <w:r w:rsidR="001F6375" w:rsidRPr="00A71F78">
        <w:rPr>
          <w:szCs w:val="26"/>
        </w:rPr>
        <w:t xml:space="preserve"> the</w:t>
      </w:r>
      <w:r w:rsidR="00D07CC8" w:rsidRPr="00A71F78">
        <w:rPr>
          <w:szCs w:val="26"/>
        </w:rPr>
        <w:t xml:space="preserve"> </w:t>
      </w:r>
      <w:r w:rsidR="00C4549C" w:rsidRPr="00A71F78">
        <w:rPr>
          <w:szCs w:val="26"/>
        </w:rPr>
        <w:t xml:space="preserve">ambit of Senate Bill </w:t>
      </w:r>
      <w:r w:rsidR="00AA532F" w:rsidRPr="00A71F78">
        <w:rPr>
          <w:szCs w:val="26"/>
        </w:rPr>
        <w:t xml:space="preserve">No. </w:t>
      </w:r>
      <w:r w:rsidR="00C4549C" w:rsidRPr="00A71F78">
        <w:rPr>
          <w:szCs w:val="26"/>
        </w:rPr>
        <w:t xml:space="preserve">1437 and </w:t>
      </w:r>
      <w:r w:rsidR="00C4549C" w:rsidRPr="00A71F78">
        <w:rPr>
          <w:i/>
          <w:iCs/>
          <w:szCs w:val="26"/>
        </w:rPr>
        <w:t>Chiu</w:t>
      </w:r>
      <w:r w:rsidR="00C4549C" w:rsidRPr="00A71F78">
        <w:rPr>
          <w:szCs w:val="26"/>
        </w:rPr>
        <w:t xml:space="preserve">’s discussion of </w:t>
      </w:r>
      <w:r w:rsidR="00A63BF7" w:rsidRPr="00A71F78">
        <w:t>the natural and probable consequences doctrine</w:t>
      </w:r>
      <w:r w:rsidR="002B079A" w:rsidRPr="00A71F78">
        <w:t xml:space="preserve">, which both concern the mens rea of a crime.  We conclude that Senate Bill No. 1437 and </w:t>
      </w:r>
      <w:r w:rsidR="002B079A" w:rsidRPr="00A71F78">
        <w:rPr>
          <w:i/>
          <w:iCs/>
        </w:rPr>
        <w:t xml:space="preserve">Chiu </w:t>
      </w:r>
      <w:r w:rsidR="002B079A" w:rsidRPr="00A71F78">
        <w:t xml:space="preserve">have no direct effect on our holding in </w:t>
      </w:r>
      <w:r w:rsidR="002B079A" w:rsidRPr="00A71F78">
        <w:rPr>
          <w:i/>
          <w:iCs/>
        </w:rPr>
        <w:t>Sanchez</w:t>
      </w:r>
      <w:r w:rsidR="002B079A" w:rsidRPr="00A71F78">
        <w:t>.</w:t>
      </w:r>
      <w:r w:rsidR="00462706" w:rsidRPr="00A71F78">
        <w:t xml:space="preserve"> </w:t>
      </w:r>
      <w:r w:rsidR="00A63BF7" w:rsidRPr="00A71F78">
        <w:t xml:space="preserve"> </w:t>
      </w:r>
    </w:p>
    <w:p w14:paraId="694C49D8" w14:textId="40DFFE8B" w:rsidR="007A71A6" w:rsidRPr="00A71F78" w:rsidRDefault="00666D6A" w:rsidP="00BE0206">
      <w:pPr>
        <w:widowControl w:val="0"/>
        <w:autoSpaceDE w:val="0"/>
        <w:autoSpaceDN w:val="0"/>
        <w:adjustRightInd w:val="0"/>
        <w:rPr>
          <w:szCs w:val="26"/>
        </w:rPr>
      </w:pPr>
      <w:r w:rsidRPr="00A71F78">
        <w:rPr>
          <w:szCs w:val="26"/>
        </w:rPr>
        <w:tab/>
      </w:r>
      <w:r w:rsidR="007D380D" w:rsidRPr="00A71F78">
        <w:rPr>
          <w:szCs w:val="26"/>
        </w:rPr>
        <w:t xml:space="preserve">Before </w:t>
      </w:r>
      <w:r w:rsidR="007D380D" w:rsidRPr="00A71F78">
        <w:rPr>
          <w:i/>
          <w:iCs/>
          <w:szCs w:val="26"/>
        </w:rPr>
        <w:t>Chiu</w:t>
      </w:r>
      <w:r w:rsidR="00FF2FCE" w:rsidRPr="00A71F78">
        <w:rPr>
          <w:szCs w:val="26"/>
        </w:rPr>
        <w:t>,</w:t>
      </w:r>
      <w:r w:rsidR="004431BA" w:rsidRPr="00A71F78">
        <w:rPr>
          <w:szCs w:val="26"/>
        </w:rPr>
        <w:t xml:space="preserve"> </w:t>
      </w:r>
      <w:r w:rsidR="00FF2FCE" w:rsidRPr="00A71F78">
        <w:rPr>
          <w:i/>
          <w:iCs/>
          <w:szCs w:val="26"/>
        </w:rPr>
        <w:t>supra</w:t>
      </w:r>
      <w:r w:rsidR="00FF2FCE" w:rsidRPr="00A71F78">
        <w:rPr>
          <w:szCs w:val="26"/>
        </w:rPr>
        <w:t xml:space="preserve">, </w:t>
      </w:r>
      <w:r w:rsidR="004431BA" w:rsidRPr="00A71F78">
        <w:rPr>
          <w:szCs w:val="26"/>
        </w:rPr>
        <w:t>59 Cal.4th 155</w:t>
      </w:r>
      <w:r w:rsidR="00FB00F6" w:rsidRPr="00A71F78">
        <w:rPr>
          <w:szCs w:val="26"/>
        </w:rPr>
        <w:t>,</w:t>
      </w:r>
      <w:r w:rsidR="007D380D" w:rsidRPr="00A71F78">
        <w:rPr>
          <w:szCs w:val="26"/>
        </w:rPr>
        <w:t xml:space="preserve"> an </w:t>
      </w:r>
      <w:r w:rsidR="003E6F1F" w:rsidRPr="00A71F78">
        <w:rPr>
          <w:szCs w:val="26"/>
        </w:rPr>
        <w:t>accomplice who aid</w:t>
      </w:r>
      <w:r w:rsidR="0070591F" w:rsidRPr="00A71F78">
        <w:rPr>
          <w:szCs w:val="26"/>
        </w:rPr>
        <w:t xml:space="preserve">ed </w:t>
      </w:r>
      <w:r w:rsidR="003E6F1F" w:rsidRPr="00A71F78">
        <w:rPr>
          <w:szCs w:val="26"/>
        </w:rPr>
        <w:t>and abet</w:t>
      </w:r>
      <w:r w:rsidR="0070591F" w:rsidRPr="00A71F78">
        <w:rPr>
          <w:szCs w:val="26"/>
        </w:rPr>
        <w:t>ted</w:t>
      </w:r>
      <w:r w:rsidR="003E6F1F" w:rsidRPr="00A71F78">
        <w:rPr>
          <w:szCs w:val="26"/>
        </w:rPr>
        <w:t xml:space="preserve"> a crime </w:t>
      </w:r>
      <w:r w:rsidR="007D380D" w:rsidRPr="00A71F78">
        <w:rPr>
          <w:szCs w:val="26"/>
        </w:rPr>
        <w:t>could be liable</w:t>
      </w:r>
      <w:r w:rsidR="005962EE" w:rsidRPr="00A71F78">
        <w:rPr>
          <w:szCs w:val="26"/>
        </w:rPr>
        <w:t>, not only</w:t>
      </w:r>
      <w:r w:rsidR="007D380D" w:rsidRPr="00A71F78">
        <w:rPr>
          <w:szCs w:val="26"/>
        </w:rPr>
        <w:t xml:space="preserve"> for </w:t>
      </w:r>
      <w:r w:rsidR="003E6F1F" w:rsidRPr="00A71F78">
        <w:rPr>
          <w:szCs w:val="26"/>
        </w:rPr>
        <w:t>that</w:t>
      </w:r>
      <w:r w:rsidR="007D380D" w:rsidRPr="00A71F78">
        <w:rPr>
          <w:szCs w:val="26"/>
        </w:rPr>
        <w:t xml:space="preserve"> target </w:t>
      </w:r>
      <w:r w:rsidR="004431BA" w:rsidRPr="00A71F78">
        <w:rPr>
          <w:szCs w:val="26"/>
        </w:rPr>
        <w:t>offense</w:t>
      </w:r>
      <w:r w:rsidR="005962EE" w:rsidRPr="00A71F78">
        <w:rPr>
          <w:szCs w:val="26"/>
        </w:rPr>
        <w:t xml:space="preserve">, but also </w:t>
      </w:r>
      <w:r w:rsidR="00C855F2" w:rsidRPr="00A71F78">
        <w:rPr>
          <w:szCs w:val="26"/>
        </w:rPr>
        <w:t xml:space="preserve">for </w:t>
      </w:r>
      <w:r w:rsidR="004431BA" w:rsidRPr="00A71F78">
        <w:rPr>
          <w:szCs w:val="26"/>
        </w:rPr>
        <w:t xml:space="preserve">any additional offense </w:t>
      </w:r>
      <w:r w:rsidR="002D1285" w:rsidRPr="00A71F78">
        <w:rPr>
          <w:szCs w:val="26"/>
        </w:rPr>
        <w:t xml:space="preserve">(including murder) </w:t>
      </w:r>
      <w:r w:rsidR="004431BA" w:rsidRPr="00A71F78">
        <w:rPr>
          <w:szCs w:val="26"/>
        </w:rPr>
        <w:t>u</w:t>
      </w:r>
      <w:r w:rsidR="007D380D" w:rsidRPr="00A71F78">
        <w:rPr>
          <w:szCs w:val="26"/>
        </w:rPr>
        <w:t>nder the natural and probable consequences doctrine</w:t>
      </w:r>
      <w:r w:rsidR="004431BA" w:rsidRPr="00A71F78">
        <w:rPr>
          <w:szCs w:val="26"/>
        </w:rPr>
        <w:t xml:space="preserve"> even if the </w:t>
      </w:r>
      <w:r w:rsidR="0070591F" w:rsidRPr="00A71F78">
        <w:rPr>
          <w:szCs w:val="26"/>
        </w:rPr>
        <w:t xml:space="preserve">accomplice </w:t>
      </w:r>
      <w:r w:rsidR="004431BA" w:rsidRPr="00A71F78">
        <w:rPr>
          <w:szCs w:val="26"/>
        </w:rPr>
        <w:t xml:space="preserve">did not intend the additional offense. </w:t>
      </w:r>
      <w:r w:rsidR="003E6F1F" w:rsidRPr="00A71F78">
        <w:rPr>
          <w:szCs w:val="26"/>
        </w:rPr>
        <w:t xml:space="preserve"> </w:t>
      </w:r>
      <w:r w:rsidR="00346CCF" w:rsidRPr="00A71F78">
        <w:rPr>
          <w:szCs w:val="26"/>
        </w:rPr>
        <w:t>(</w:t>
      </w:r>
      <w:r w:rsidR="00346CCF" w:rsidRPr="00A71F78">
        <w:rPr>
          <w:i/>
          <w:iCs/>
          <w:szCs w:val="26"/>
        </w:rPr>
        <w:t>Id</w:t>
      </w:r>
      <w:r w:rsidR="00346CCF" w:rsidRPr="00A71F78">
        <w:rPr>
          <w:szCs w:val="26"/>
        </w:rPr>
        <w:t>.</w:t>
      </w:r>
      <w:r w:rsidR="00CC105F" w:rsidRPr="00A71F78">
        <w:rPr>
          <w:szCs w:val="26"/>
        </w:rPr>
        <w:t xml:space="preserve"> at p. 164</w:t>
      </w:r>
      <w:r w:rsidR="00346CCF" w:rsidRPr="00A71F78">
        <w:rPr>
          <w:szCs w:val="26"/>
        </w:rPr>
        <w:t xml:space="preserve"> [“natural and probable consequences doctrine is based</w:t>
      </w:r>
      <w:r w:rsidR="002424BF">
        <w:rPr>
          <w:szCs w:val="26"/>
        </w:rPr>
        <w:t> . . .</w:t>
      </w:r>
      <w:r w:rsidR="002424BF" w:rsidRPr="00A71F78">
        <w:rPr>
          <w:szCs w:val="26"/>
        </w:rPr>
        <w:t xml:space="preserve"> </w:t>
      </w:r>
      <w:r w:rsidR="00B2391C" w:rsidRPr="00A71F78">
        <w:rPr>
          <w:szCs w:val="26"/>
        </w:rPr>
        <w:t>‘</w:t>
      </w:r>
      <w:r w:rsidR="00346CCF" w:rsidRPr="00A71F78">
        <w:rPr>
          <w:szCs w:val="26"/>
        </w:rPr>
        <w:t>on the policy [that]</w:t>
      </w:r>
      <w:r w:rsidR="002424BF">
        <w:rPr>
          <w:szCs w:val="26"/>
        </w:rPr>
        <w:t> . . .</w:t>
      </w:r>
      <w:r w:rsidR="00346CCF" w:rsidRPr="00A71F78">
        <w:rPr>
          <w:szCs w:val="26"/>
        </w:rPr>
        <w:t xml:space="preserve"> aiders and abettors should be responsible for the criminal harms they have naturally, probably, and foreseeably put in motion</w:t>
      </w:r>
      <w:r w:rsidR="00B2391C" w:rsidRPr="00A71F78">
        <w:rPr>
          <w:szCs w:val="26"/>
        </w:rPr>
        <w:t>’</w:t>
      </w:r>
      <w:r w:rsidR="00BE0206">
        <w:rPr>
          <w:szCs w:val="26"/>
        </w:rPr>
        <w:t> </w:t>
      </w:r>
      <w:r w:rsidR="00346CCF" w:rsidRPr="00A71F78">
        <w:rPr>
          <w:szCs w:val="26"/>
        </w:rPr>
        <w:t xml:space="preserve">” </w:t>
      </w:r>
      <w:r w:rsidR="00CB7240">
        <w:rPr>
          <w:szCs w:val="26"/>
        </w:rPr>
        <w:t>(</w:t>
      </w:r>
      <w:r w:rsidR="001F6375" w:rsidRPr="00A71F78">
        <w:rPr>
          <w:szCs w:val="26"/>
        </w:rPr>
        <w:t xml:space="preserve">italics </w:t>
      </w:r>
      <w:r w:rsidR="00346CCF" w:rsidRPr="00A71F78">
        <w:rPr>
          <w:szCs w:val="26"/>
        </w:rPr>
        <w:t>omitted</w:t>
      </w:r>
      <w:r w:rsidR="00CB7240">
        <w:rPr>
          <w:szCs w:val="26"/>
        </w:rPr>
        <w:t>)]</w:t>
      </w:r>
      <w:r w:rsidR="00346CCF" w:rsidRPr="00A71F78">
        <w:rPr>
          <w:szCs w:val="26"/>
        </w:rPr>
        <w:t xml:space="preserve">.) </w:t>
      </w:r>
      <w:r w:rsidR="003D3E4A" w:rsidRPr="00A71F78">
        <w:rPr>
          <w:szCs w:val="26"/>
        </w:rPr>
        <w:t xml:space="preserve"> </w:t>
      </w:r>
      <w:r w:rsidR="003E6F1F" w:rsidRPr="00A71F78">
        <w:rPr>
          <w:szCs w:val="26"/>
        </w:rPr>
        <w:t xml:space="preserve">In </w:t>
      </w:r>
      <w:r w:rsidR="003E6F1F" w:rsidRPr="00A71F78">
        <w:rPr>
          <w:i/>
          <w:iCs/>
          <w:szCs w:val="26"/>
        </w:rPr>
        <w:t>Chiu</w:t>
      </w:r>
      <w:r w:rsidR="003E6F1F" w:rsidRPr="00A71F78">
        <w:rPr>
          <w:szCs w:val="26"/>
        </w:rPr>
        <w:t xml:space="preserve">, we held that the natural and probable consequences </w:t>
      </w:r>
      <w:r w:rsidR="00C4549C" w:rsidRPr="00A71F78">
        <w:rPr>
          <w:szCs w:val="26"/>
        </w:rPr>
        <w:t xml:space="preserve">rule of </w:t>
      </w:r>
      <w:r w:rsidR="00C4549C" w:rsidRPr="00A71F78">
        <w:rPr>
          <w:i/>
          <w:iCs/>
          <w:szCs w:val="26"/>
        </w:rPr>
        <w:t>accomplice liability</w:t>
      </w:r>
      <w:r w:rsidR="00C4549C" w:rsidRPr="00A71F78">
        <w:rPr>
          <w:szCs w:val="26"/>
        </w:rPr>
        <w:t xml:space="preserve"> </w:t>
      </w:r>
      <w:r w:rsidR="003E6F1F" w:rsidRPr="00A71F78">
        <w:rPr>
          <w:szCs w:val="26"/>
        </w:rPr>
        <w:t xml:space="preserve">did not extend to first degree premeditated murder because </w:t>
      </w:r>
      <w:r w:rsidR="001B43EC" w:rsidRPr="00A71F78">
        <w:rPr>
          <w:szCs w:val="26"/>
        </w:rPr>
        <w:t xml:space="preserve">imposing </w:t>
      </w:r>
      <w:r w:rsidR="003E6F1F" w:rsidRPr="00A71F78">
        <w:rPr>
          <w:szCs w:val="26"/>
        </w:rPr>
        <w:t xml:space="preserve">such vicarious liability </w:t>
      </w:r>
      <w:r w:rsidR="001B43EC" w:rsidRPr="00A71F78">
        <w:rPr>
          <w:szCs w:val="26"/>
        </w:rPr>
        <w:t>on</w:t>
      </w:r>
      <w:r w:rsidR="000F5D57" w:rsidRPr="00A71F78">
        <w:rPr>
          <w:szCs w:val="26"/>
        </w:rPr>
        <w:t xml:space="preserve"> </w:t>
      </w:r>
      <w:r w:rsidR="001B43EC" w:rsidRPr="00A71F78">
        <w:rPr>
          <w:szCs w:val="26"/>
        </w:rPr>
        <w:t>an</w:t>
      </w:r>
      <w:r w:rsidR="001B43EC" w:rsidRPr="00A71F78">
        <w:rPr>
          <w:i/>
          <w:iCs/>
          <w:szCs w:val="26"/>
        </w:rPr>
        <w:t xml:space="preserve"> </w:t>
      </w:r>
      <w:r w:rsidR="008A3A71" w:rsidRPr="00A71F78">
        <w:rPr>
          <w:i/>
          <w:iCs/>
          <w:szCs w:val="26"/>
        </w:rPr>
        <w:t>aider and abettor</w:t>
      </w:r>
      <w:r w:rsidR="00BE0206">
        <w:rPr>
          <w:szCs w:val="26"/>
        </w:rPr>
        <w:t> </w:t>
      </w:r>
      <w:r w:rsidR="008602C0" w:rsidRPr="00A71F78">
        <w:rPr>
          <w:szCs w:val="26"/>
        </w:rPr>
        <w:t xml:space="preserve">— one </w:t>
      </w:r>
      <w:r w:rsidR="001B43EC" w:rsidRPr="00A71F78">
        <w:rPr>
          <w:szCs w:val="26"/>
        </w:rPr>
        <w:t xml:space="preserve">who </w:t>
      </w:r>
      <w:r w:rsidR="008A3A71" w:rsidRPr="00A71F78">
        <w:rPr>
          <w:szCs w:val="26"/>
        </w:rPr>
        <w:t>did not possess the “uniquely subjective and personal” mental state</w:t>
      </w:r>
      <w:r w:rsidR="00E70C50" w:rsidRPr="00A71F78">
        <w:rPr>
          <w:szCs w:val="26"/>
        </w:rPr>
        <w:t xml:space="preserve"> for first degree murder</w:t>
      </w:r>
      <w:r w:rsidR="00BE0206">
        <w:rPr>
          <w:szCs w:val="26"/>
        </w:rPr>
        <w:t> </w:t>
      </w:r>
      <w:r w:rsidR="008602C0" w:rsidRPr="00A71F78">
        <w:rPr>
          <w:szCs w:val="26"/>
        </w:rPr>
        <w:t xml:space="preserve">— </w:t>
      </w:r>
      <w:r w:rsidR="00E70C50" w:rsidRPr="00A71F78">
        <w:rPr>
          <w:szCs w:val="26"/>
        </w:rPr>
        <w:t>would not serve “legitimate public policy considerations of deterrence and culpability.”  (</w:t>
      </w:r>
      <w:r w:rsidR="00E70C50" w:rsidRPr="00A71F78">
        <w:rPr>
          <w:i/>
          <w:iCs/>
          <w:szCs w:val="26"/>
        </w:rPr>
        <w:t>Chiu</w:t>
      </w:r>
      <w:r w:rsidR="00E70C50" w:rsidRPr="00A71F78">
        <w:rPr>
          <w:szCs w:val="26"/>
        </w:rPr>
        <w:t xml:space="preserve">, at p. 166.) </w:t>
      </w:r>
      <w:r w:rsidR="00AB58F7" w:rsidRPr="00A71F78">
        <w:rPr>
          <w:szCs w:val="26"/>
        </w:rPr>
        <w:t xml:space="preserve"> In 2018, the Legislature</w:t>
      </w:r>
      <w:r w:rsidR="00E269B2" w:rsidRPr="00A71F78">
        <w:rPr>
          <w:szCs w:val="26"/>
        </w:rPr>
        <w:t xml:space="preserve"> </w:t>
      </w:r>
      <w:r w:rsidR="00790E0F" w:rsidRPr="00A71F78">
        <w:rPr>
          <w:szCs w:val="26"/>
        </w:rPr>
        <w:t>amend</w:t>
      </w:r>
      <w:r w:rsidR="005962EE" w:rsidRPr="00A71F78">
        <w:rPr>
          <w:szCs w:val="26"/>
        </w:rPr>
        <w:t>ed</w:t>
      </w:r>
      <w:r w:rsidR="00790E0F" w:rsidRPr="00A71F78">
        <w:rPr>
          <w:szCs w:val="26"/>
        </w:rPr>
        <w:t xml:space="preserve"> section 188</w:t>
      </w:r>
      <w:r w:rsidR="00E269B2" w:rsidRPr="00A71F78">
        <w:rPr>
          <w:szCs w:val="26"/>
        </w:rPr>
        <w:t xml:space="preserve"> through Senate Bill No. 1437 t</w:t>
      </w:r>
      <w:r w:rsidR="00790E0F" w:rsidRPr="00A71F78">
        <w:rPr>
          <w:szCs w:val="26"/>
        </w:rPr>
        <w:t>o provide that “[e]</w:t>
      </w:r>
      <w:r w:rsidR="00A04462" w:rsidRPr="00A71F78">
        <w:rPr>
          <w:szCs w:val="26"/>
        </w:rPr>
        <w:t>xcept a</w:t>
      </w:r>
      <w:r w:rsidR="00790E0F" w:rsidRPr="00A71F78">
        <w:rPr>
          <w:szCs w:val="26"/>
        </w:rPr>
        <w:t>s stated in subdivision (e) of Section 189 [governing felony murder], in order to be convicted of murder, a principal in a crime shall act with malice aforethought.  Malice shall not be imputed to a person based solely on his or her participation</w:t>
      </w:r>
      <w:r w:rsidR="00686AE7" w:rsidRPr="00A71F78">
        <w:rPr>
          <w:szCs w:val="26"/>
        </w:rPr>
        <w:t xml:space="preserve"> </w:t>
      </w:r>
      <w:r w:rsidR="00790E0F" w:rsidRPr="00A71F78">
        <w:rPr>
          <w:szCs w:val="26"/>
        </w:rPr>
        <w:t>in a crime.”  (§ 188, subd. (a)(3)</w:t>
      </w:r>
      <w:r w:rsidR="00CB7240">
        <w:rPr>
          <w:szCs w:val="26"/>
        </w:rPr>
        <w:t>, as amended by Stats. 2018, ch. 1015, § 2</w:t>
      </w:r>
      <w:r w:rsidR="00790E0F" w:rsidRPr="00A71F78">
        <w:rPr>
          <w:szCs w:val="26"/>
        </w:rPr>
        <w:t>.)  We subsequently held that this amendment applied to second degree murder.  (</w:t>
      </w:r>
      <w:r w:rsidR="00790E0F" w:rsidRPr="00A71F78">
        <w:rPr>
          <w:i/>
          <w:iCs/>
          <w:szCs w:val="26"/>
        </w:rPr>
        <w:t>People v. Gentile</w:t>
      </w:r>
      <w:r w:rsidR="00941258" w:rsidRPr="00A71F78">
        <w:rPr>
          <w:szCs w:val="26"/>
        </w:rPr>
        <w:t xml:space="preserve"> (2020) </w:t>
      </w:r>
      <w:r w:rsidR="00790E0F" w:rsidRPr="00A71F78">
        <w:rPr>
          <w:szCs w:val="26"/>
        </w:rPr>
        <w:t xml:space="preserve">10 Cal.5th </w:t>
      </w:r>
      <w:r w:rsidR="00941258" w:rsidRPr="00A71F78">
        <w:rPr>
          <w:szCs w:val="26"/>
        </w:rPr>
        <w:t>830,</w:t>
      </w:r>
      <w:r w:rsidR="00790E0F" w:rsidRPr="00A71F78">
        <w:rPr>
          <w:szCs w:val="26"/>
        </w:rPr>
        <w:t xml:space="preserve"> 839.) </w:t>
      </w:r>
    </w:p>
    <w:p w14:paraId="4B0A3F03" w14:textId="73D94364" w:rsidR="00E269B2" w:rsidRPr="00A71F78" w:rsidRDefault="007A71A6" w:rsidP="00A31766">
      <w:pPr>
        <w:widowControl w:val="0"/>
        <w:autoSpaceDE w:val="0"/>
        <w:autoSpaceDN w:val="0"/>
        <w:adjustRightInd w:val="0"/>
      </w:pPr>
      <w:r w:rsidRPr="00A71F78">
        <w:rPr>
          <w:szCs w:val="26"/>
        </w:rPr>
        <w:tab/>
        <w:t xml:space="preserve">Insofar as the proximate cause instruction quoted in </w:t>
      </w:r>
      <w:r w:rsidRPr="00A71F78">
        <w:rPr>
          <w:i/>
          <w:iCs/>
          <w:szCs w:val="26"/>
        </w:rPr>
        <w:t>Sanchez</w:t>
      </w:r>
      <w:r w:rsidR="005962EE" w:rsidRPr="00A71F78">
        <w:rPr>
          <w:szCs w:val="26"/>
        </w:rPr>
        <w:t xml:space="preserve">, </w:t>
      </w:r>
      <w:r w:rsidR="005962EE" w:rsidRPr="00A71F78">
        <w:rPr>
          <w:i/>
          <w:iCs/>
          <w:szCs w:val="26"/>
        </w:rPr>
        <w:t>supra</w:t>
      </w:r>
      <w:r w:rsidR="005962EE" w:rsidRPr="00A71F78">
        <w:rPr>
          <w:szCs w:val="26"/>
        </w:rPr>
        <w:t xml:space="preserve">, 26 Cal.4th at page 845, </w:t>
      </w:r>
      <w:r w:rsidRPr="00A71F78">
        <w:rPr>
          <w:szCs w:val="26"/>
        </w:rPr>
        <w:t>refers to a death that is “</w:t>
      </w:r>
      <w:r w:rsidR="00BE0206">
        <w:rPr>
          <w:szCs w:val="26"/>
        </w:rPr>
        <w:t> </w:t>
      </w:r>
      <w:r w:rsidR="00CB7240">
        <w:rPr>
          <w:szCs w:val="26"/>
        </w:rPr>
        <w:t>‘</w:t>
      </w:r>
      <w:r w:rsidRPr="00A71F78">
        <w:rPr>
          <w:szCs w:val="26"/>
        </w:rPr>
        <w:t>a direct, natural and probable consequence of</w:t>
      </w:r>
      <w:r w:rsidR="00CB7240">
        <w:rPr>
          <w:szCs w:val="26"/>
        </w:rPr>
        <w:t>’</w:t>
      </w:r>
      <w:r w:rsidR="00BE0206">
        <w:rPr>
          <w:szCs w:val="26"/>
        </w:rPr>
        <w:t> </w:t>
      </w:r>
      <w:r w:rsidRPr="00A71F78">
        <w:rPr>
          <w:szCs w:val="26"/>
        </w:rPr>
        <w:t>” the defendant’s act, it does not concern the imputed</w:t>
      </w:r>
      <w:r w:rsidR="002F0A07" w:rsidRPr="00A71F78">
        <w:t xml:space="preserve"> malice theory of </w:t>
      </w:r>
      <w:r w:rsidR="00D01714" w:rsidRPr="00A71F78">
        <w:t>criminal</w:t>
      </w:r>
      <w:r w:rsidR="002F0A07" w:rsidRPr="00A71F78">
        <w:t xml:space="preserve"> liability</w:t>
      </w:r>
      <w:r w:rsidRPr="00A71F78">
        <w:t xml:space="preserve"> that is part of the natural and probable consequences doctrine of accomplice liability affected by </w:t>
      </w:r>
      <w:r w:rsidRPr="00A71F78">
        <w:rPr>
          <w:i/>
          <w:iCs/>
        </w:rPr>
        <w:t>Chiu</w:t>
      </w:r>
      <w:r w:rsidRPr="00A71F78">
        <w:t xml:space="preserve"> and Senate Bill</w:t>
      </w:r>
      <w:r w:rsidR="00AA532F" w:rsidRPr="00A71F78">
        <w:t xml:space="preserve"> No.</w:t>
      </w:r>
      <w:r w:rsidRPr="00A71F78">
        <w:t xml:space="preserve"> 1437</w:t>
      </w:r>
      <w:r w:rsidR="00D01714" w:rsidRPr="00A71F78">
        <w:t xml:space="preserve">.  </w:t>
      </w:r>
      <w:r w:rsidR="006927EE" w:rsidRPr="00A71F78">
        <w:t xml:space="preserve">(See </w:t>
      </w:r>
      <w:r w:rsidR="006927EE" w:rsidRPr="00A71F78">
        <w:rPr>
          <w:i/>
          <w:iCs/>
        </w:rPr>
        <w:t>Roberts</w:t>
      </w:r>
      <w:r w:rsidR="006927EE" w:rsidRPr="00A71F78">
        <w:t xml:space="preserve">, </w:t>
      </w:r>
      <w:r w:rsidR="006927EE" w:rsidRPr="00A71F78">
        <w:rPr>
          <w:i/>
          <w:iCs/>
        </w:rPr>
        <w:t>supra</w:t>
      </w:r>
      <w:r w:rsidR="006927EE" w:rsidRPr="00A71F78">
        <w:t xml:space="preserve">, </w:t>
      </w:r>
      <w:r w:rsidR="00555DAE" w:rsidRPr="00A71F78">
        <w:t>2 Cal.4th at p.</w:t>
      </w:r>
      <w:r w:rsidR="00FB5C23" w:rsidRPr="00A71F78">
        <w:t> </w:t>
      </w:r>
      <w:r w:rsidR="00555DAE" w:rsidRPr="00A71F78">
        <w:t xml:space="preserve">320.) </w:t>
      </w:r>
      <w:r w:rsidR="00DD3E38" w:rsidRPr="00A71F78">
        <w:t xml:space="preserve"> </w:t>
      </w:r>
      <w:r w:rsidR="00645098" w:rsidRPr="00A71F78">
        <w:t>Understanding the r</w:t>
      </w:r>
      <w:r w:rsidR="0090096F" w:rsidRPr="00A71F78">
        <w:t xml:space="preserve">ationale </w:t>
      </w:r>
      <w:r w:rsidR="00645098" w:rsidRPr="00A71F78">
        <w:t xml:space="preserve">for </w:t>
      </w:r>
      <w:r w:rsidR="0090096F" w:rsidRPr="00A71F78">
        <w:t xml:space="preserve">the addition of </w:t>
      </w:r>
      <w:r w:rsidR="00645098" w:rsidRPr="00A71F78">
        <w:t xml:space="preserve">the </w:t>
      </w:r>
      <w:r w:rsidR="0090096F" w:rsidRPr="00A71F78">
        <w:t>“natural and probable consequences” language to the proximate cause instruction is helpful in resolving the question before us.</w:t>
      </w:r>
      <w:r w:rsidR="007E2A5E" w:rsidRPr="00A71F78">
        <w:t xml:space="preserve"> </w:t>
      </w:r>
      <w:r w:rsidR="0014566D" w:rsidRPr="00A71F78">
        <w:t xml:space="preserve"> </w:t>
      </w:r>
    </w:p>
    <w:p w14:paraId="2F55E05F" w14:textId="44676B5F" w:rsidR="005962EE" w:rsidRPr="00A71F78" w:rsidRDefault="00F07D1E" w:rsidP="00A31766">
      <w:pPr>
        <w:widowControl w:val="0"/>
        <w:autoSpaceDE w:val="0"/>
        <w:autoSpaceDN w:val="0"/>
        <w:adjustRightInd w:val="0"/>
        <w:ind w:firstLine="720"/>
      </w:pPr>
      <w:r w:rsidRPr="00A71F78">
        <w:t xml:space="preserve">In 1992, the </w:t>
      </w:r>
      <w:r w:rsidR="00432651" w:rsidRPr="00A71F78">
        <w:t xml:space="preserve">CALJIC committee added the language </w:t>
      </w:r>
      <w:r w:rsidRPr="00A71F78">
        <w:t xml:space="preserve">to </w:t>
      </w:r>
      <w:r w:rsidR="001C7AC1" w:rsidRPr="00A71F78">
        <w:t xml:space="preserve">the causation instruction </w:t>
      </w:r>
      <w:r w:rsidR="00C855F2" w:rsidRPr="00A71F78">
        <w:t>(</w:t>
      </w:r>
      <w:r w:rsidRPr="00A71F78">
        <w:t>CALJIC No. 3.40</w:t>
      </w:r>
      <w:r w:rsidR="00C855F2" w:rsidRPr="00A71F78">
        <w:t>)</w:t>
      </w:r>
      <w:r w:rsidR="008E7C27" w:rsidRPr="00A71F78">
        <w:t xml:space="preserve"> </w:t>
      </w:r>
      <w:r w:rsidR="00432651" w:rsidRPr="00A71F78">
        <w:t xml:space="preserve">after </w:t>
      </w:r>
      <w:r w:rsidR="00F4004D" w:rsidRPr="00A71F78">
        <w:t xml:space="preserve">we </w:t>
      </w:r>
      <w:r w:rsidR="009B6734" w:rsidRPr="00A71F78">
        <w:t>clarified the causation requirement</w:t>
      </w:r>
      <w:r w:rsidR="004929B8" w:rsidRPr="00A71F78">
        <w:t xml:space="preserve"> in certain jury instructions</w:t>
      </w:r>
      <w:r w:rsidR="00432651" w:rsidRPr="00A71F78">
        <w:t xml:space="preserve">. </w:t>
      </w:r>
      <w:r w:rsidR="00B1594B" w:rsidRPr="00A71F78">
        <w:t xml:space="preserve"> (</w:t>
      </w:r>
      <w:r w:rsidR="00EE0A4B" w:rsidRPr="00A71F78">
        <w:t xml:space="preserve">See </w:t>
      </w:r>
      <w:r w:rsidR="00B1594B" w:rsidRPr="00A71F78">
        <w:rPr>
          <w:i/>
          <w:iCs/>
        </w:rPr>
        <w:t>Mitchell</w:t>
      </w:r>
      <w:r w:rsidR="0025213B" w:rsidRPr="00A71F78">
        <w:rPr>
          <w:i/>
          <w:iCs/>
        </w:rPr>
        <w:t xml:space="preserve"> v. Gonzales</w:t>
      </w:r>
      <w:r w:rsidR="00B1594B" w:rsidRPr="00A71F78">
        <w:t>,</w:t>
      </w:r>
      <w:r w:rsidR="00B1594B" w:rsidRPr="00A71F78">
        <w:rPr>
          <w:i/>
          <w:iCs/>
        </w:rPr>
        <w:t xml:space="preserve"> </w:t>
      </w:r>
      <w:r w:rsidR="00F4004D" w:rsidRPr="00A71F78">
        <w:rPr>
          <w:i/>
          <w:iCs/>
        </w:rPr>
        <w:t>supra</w:t>
      </w:r>
      <w:r w:rsidR="00F4004D" w:rsidRPr="00A71F78">
        <w:t xml:space="preserve">, 54 Cal.3d </w:t>
      </w:r>
      <w:r w:rsidR="00B1594B" w:rsidRPr="00A71F78">
        <w:t>at p. 1052</w:t>
      </w:r>
      <w:r w:rsidR="00FB5C23" w:rsidRPr="00A71F78">
        <w:t xml:space="preserve"> [disapproving BAJI No. 375 because it asked jury to “focus improperly on the cause that is spatially or temporally closest to the harm”]; </w:t>
      </w:r>
      <w:r w:rsidR="00FB5C23" w:rsidRPr="00A71F78">
        <w:rPr>
          <w:i/>
          <w:iCs/>
        </w:rPr>
        <w:t>Roberts</w:t>
      </w:r>
      <w:r w:rsidR="00FB5C23" w:rsidRPr="00A71F78">
        <w:t>,</w:t>
      </w:r>
      <w:r w:rsidR="00AA532F" w:rsidRPr="00A71F78">
        <w:t xml:space="preserve"> </w:t>
      </w:r>
      <w:r w:rsidR="00AA532F" w:rsidRPr="00A71F78">
        <w:rPr>
          <w:i/>
          <w:iCs/>
        </w:rPr>
        <w:t>supra</w:t>
      </w:r>
      <w:r w:rsidR="00AA532F" w:rsidRPr="00A71F78">
        <w:t xml:space="preserve">, 2 Cal.4th </w:t>
      </w:r>
      <w:r w:rsidR="00FB5C23" w:rsidRPr="00A71F78">
        <w:t>at pp. 321–322 [</w:t>
      </w:r>
      <w:r w:rsidR="00B1594B" w:rsidRPr="00A71F78">
        <w:t xml:space="preserve">instructions </w:t>
      </w:r>
      <w:r w:rsidR="00FB5C23" w:rsidRPr="00A71F78">
        <w:t xml:space="preserve">effectively </w:t>
      </w:r>
      <w:r w:rsidR="00B1594B" w:rsidRPr="00A71F78">
        <w:t xml:space="preserve">told the jury to disregard </w:t>
      </w:r>
      <w:r w:rsidR="00490334" w:rsidRPr="00A71F78">
        <w:t>foreseeability when determining the proximate cause of an injury</w:t>
      </w:r>
      <w:r w:rsidR="00FB5C23" w:rsidRPr="00A71F78">
        <w:t>]</w:t>
      </w:r>
      <w:r w:rsidR="00490334" w:rsidRPr="00A71F78">
        <w:t>.</w:t>
      </w:r>
      <w:r w:rsidR="00FB5C23" w:rsidRPr="00A71F78">
        <w:t>)</w:t>
      </w:r>
      <w:r w:rsidR="00490334" w:rsidRPr="00A71F78">
        <w:t xml:space="preserve"> </w:t>
      </w:r>
      <w:r w:rsidR="00E269B2" w:rsidRPr="00A71F78">
        <w:t xml:space="preserve"> </w:t>
      </w:r>
      <w:r w:rsidR="005962EE" w:rsidRPr="00A71F78">
        <w:t xml:space="preserve">Our decisions </w:t>
      </w:r>
      <w:r w:rsidR="00AE48A1" w:rsidRPr="00A71F78">
        <w:t xml:space="preserve">explained that </w:t>
      </w:r>
      <w:r w:rsidR="00E8601D" w:rsidRPr="00A71F78">
        <w:t>“[t]he crimina</w:t>
      </w:r>
      <w:r w:rsidR="00C431D4" w:rsidRPr="00A71F78">
        <w:t>l</w:t>
      </w:r>
      <w:r w:rsidR="000629BB" w:rsidRPr="00A71F78">
        <w:t xml:space="preserve"> </w:t>
      </w:r>
      <w:r w:rsidR="00E8601D" w:rsidRPr="00A71F78">
        <w:t>law</w:t>
      </w:r>
      <w:r w:rsidR="00AA4BC8" w:rsidRPr="00A71F78">
        <w:t> </w:t>
      </w:r>
      <w:r w:rsidR="00E8601D" w:rsidRPr="00A71F78">
        <w:t>.</w:t>
      </w:r>
      <w:r w:rsidR="00AA4BC8" w:rsidRPr="00A71F78">
        <w:t> </w:t>
      </w:r>
      <w:r w:rsidR="00E8601D" w:rsidRPr="00A71F78">
        <w:t>.</w:t>
      </w:r>
      <w:r w:rsidR="002424BF">
        <w:t> </w:t>
      </w:r>
      <w:r w:rsidR="00E8601D" w:rsidRPr="00A71F78">
        <w:t>. is clear that for liability to be found, the cause of the harm not only must be direct, but also not so remote as to fail to constitute the natural and probable consequence of the defendant’s act.”  (</w:t>
      </w:r>
      <w:r w:rsidR="00CB7240">
        <w:rPr>
          <w:i/>
          <w:iCs/>
        </w:rPr>
        <w:t>Roberts</w:t>
      </w:r>
      <w:r w:rsidR="00113058">
        <w:t>,</w:t>
      </w:r>
      <w:r w:rsidR="00EA261F" w:rsidRPr="00A71F78">
        <w:rPr>
          <w:i/>
          <w:iCs/>
        </w:rPr>
        <w:t xml:space="preserve"> </w:t>
      </w:r>
      <w:r w:rsidR="00E8601D" w:rsidRPr="00A71F78">
        <w:t xml:space="preserve">at p. 319.) </w:t>
      </w:r>
      <w:r w:rsidR="002036E9" w:rsidRPr="00A71F78">
        <w:t xml:space="preserve"> </w:t>
      </w:r>
    </w:p>
    <w:p w14:paraId="7582FE05" w14:textId="3532685A" w:rsidR="00686AE7" w:rsidRPr="00A71F78" w:rsidRDefault="00EA7177" w:rsidP="00A31766">
      <w:pPr>
        <w:widowControl w:val="0"/>
        <w:autoSpaceDE w:val="0"/>
        <w:autoSpaceDN w:val="0"/>
        <w:adjustRightInd w:val="0"/>
        <w:ind w:firstLine="720"/>
      </w:pPr>
      <w:r w:rsidRPr="00A71F78">
        <w:t xml:space="preserve">Thereafter, </w:t>
      </w:r>
      <w:r w:rsidR="00BE7C82" w:rsidRPr="00A71F78">
        <w:t xml:space="preserve">with our pronouncements from </w:t>
      </w:r>
      <w:r w:rsidR="00BE7C82" w:rsidRPr="00A71F78">
        <w:rPr>
          <w:i/>
          <w:iCs/>
        </w:rPr>
        <w:t>Roberts</w:t>
      </w:r>
      <w:r w:rsidR="00BE7C82" w:rsidRPr="00A71F78">
        <w:t xml:space="preserve"> and </w:t>
      </w:r>
      <w:r w:rsidR="00BE7C82" w:rsidRPr="00A71F78">
        <w:rPr>
          <w:i/>
          <w:iCs/>
        </w:rPr>
        <w:t xml:space="preserve">Mitchell </w:t>
      </w:r>
      <w:r w:rsidR="0025213B" w:rsidRPr="00A71F78">
        <w:rPr>
          <w:i/>
          <w:iCs/>
        </w:rPr>
        <w:t xml:space="preserve">v. Gonzales </w:t>
      </w:r>
      <w:r w:rsidR="008A196E" w:rsidRPr="00A71F78">
        <w:t xml:space="preserve">expressly </w:t>
      </w:r>
      <w:r w:rsidR="00BE7C82" w:rsidRPr="00A71F78">
        <w:t>in mind</w:t>
      </w:r>
      <w:r w:rsidR="00FC66A6" w:rsidRPr="00A71F78">
        <w:t>,</w:t>
      </w:r>
      <w:r w:rsidR="00BE7C82" w:rsidRPr="00A71F78">
        <w:t xml:space="preserve"> </w:t>
      </w:r>
      <w:r w:rsidRPr="00A71F78">
        <w:t xml:space="preserve">the CALJIC committee revised CALJIC No. 3.40 </w:t>
      </w:r>
      <w:r w:rsidR="001F76E6" w:rsidRPr="00A71F78">
        <w:t>to add the phrase “direct, natural and probable consequence</w:t>
      </w:r>
      <w:r w:rsidR="00BE7C82" w:rsidRPr="00A71F78">
        <w:t>.</w:t>
      </w:r>
      <w:r w:rsidR="001F76E6" w:rsidRPr="00A71F78">
        <w:t>”</w:t>
      </w:r>
      <w:r w:rsidR="00195A4E" w:rsidRPr="00A71F78">
        <w:t xml:space="preserve"> </w:t>
      </w:r>
      <w:r w:rsidR="001F76E6" w:rsidRPr="00A71F78">
        <w:t xml:space="preserve"> </w:t>
      </w:r>
      <w:r w:rsidR="00545EE2" w:rsidRPr="00A71F78">
        <w:t>(</w:t>
      </w:r>
      <w:r w:rsidR="00545EE2" w:rsidRPr="00A71F78">
        <w:rPr>
          <w:i/>
          <w:iCs/>
        </w:rPr>
        <w:t>People v. Temple</w:t>
      </w:r>
      <w:r w:rsidR="00545EE2" w:rsidRPr="00A71F78">
        <w:t xml:space="preserve"> (1993) 19 Cal.App.4th 1750</w:t>
      </w:r>
      <w:r w:rsidR="00A10729" w:rsidRPr="00A71F78">
        <w:t>, 1756</w:t>
      </w:r>
      <w:r w:rsidR="00545EE2" w:rsidRPr="00A71F78">
        <w:t xml:space="preserve"> [1992 revision to CALJIC No. 3.40 “correctly embodies the </w:t>
      </w:r>
      <w:r w:rsidR="00545EE2" w:rsidRPr="00A71F78">
        <w:rPr>
          <w:i/>
          <w:iCs/>
        </w:rPr>
        <w:t>Mitchell v. Gonzales</w:t>
      </w:r>
      <w:r w:rsidR="005C0439">
        <w:rPr>
          <w:i/>
          <w:iCs/>
        </w:rPr>
        <w:t>-</w:t>
      </w:r>
      <w:r w:rsidR="00545EE2" w:rsidRPr="00A71F78">
        <w:rPr>
          <w:i/>
          <w:iCs/>
        </w:rPr>
        <w:t>People v. Roberts</w:t>
      </w:r>
      <w:r w:rsidR="00545EE2" w:rsidRPr="00A71F78">
        <w:t xml:space="preserve"> test of proximate cause</w:t>
      </w:r>
      <w:r w:rsidR="00031D6E" w:rsidRPr="00A71F78">
        <w:t>”</w:t>
      </w:r>
      <w:r w:rsidR="00545EE2" w:rsidRPr="00A71F78">
        <w:t>]</w:t>
      </w:r>
      <w:r w:rsidR="00A74194" w:rsidRPr="00A71F78">
        <w:t>; see</w:t>
      </w:r>
      <w:r w:rsidR="00570EA3" w:rsidRPr="00A71F78">
        <w:t xml:space="preserve"> CALCRIM No. 240.</w:t>
      </w:r>
      <w:r w:rsidR="00A74194" w:rsidRPr="00A71F78">
        <w:t>)</w:t>
      </w:r>
      <w:r w:rsidR="00570EA3" w:rsidRPr="00A71F78">
        <w:t xml:space="preserve">  </w:t>
      </w:r>
      <w:r w:rsidR="0090096F" w:rsidRPr="00A71F78">
        <w:t>C</w:t>
      </w:r>
      <w:r w:rsidR="005D44D3" w:rsidRPr="00A71F78">
        <w:t>ontrary to</w:t>
      </w:r>
      <w:r w:rsidR="00602F2D" w:rsidRPr="00A71F78">
        <w:t xml:space="preserve"> the Mitchells</w:t>
      </w:r>
      <w:r w:rsidR="005D44D3" w:rsidRPr="00A71F78">
        <w:t xml:space="preserve">’ argument, the reference to “direct, natural and probable consequence” </w:t>
      </w:r>
      <w:r w:rsidR="00F927D9" w:rsidRPr="00A71F78">
        <w:t>in the proximate cause jury instruction</w:t>
      </w:r>
      <w:r w:rsidR="003571B1" w:rsidRPr="00A71F78">
        <w:t xml:space="preserve">, which deals with the actus reus of murder, </w:t>
      </w:r>
      <w:r w:rsidR="005D44D3" w:rsidRPr="00A71F78">
        <w:t xml:space="preserve">does not implicate concerns regarding imputed mens rea </w:t>
      </w:r>
      <w:r w:rsidR="008469FF" w:rsidRPr="00A71F78">
        <w:t xml:space="preserve">and vicarious liability </w:t>
      </w:r>
      <w:r w:rsidR="005D44D3" w:rsidRPr="00A71F78">
        <w:t xml:space="preserve">identified in </w:t>
      </w:r>
      <w:r w:rsidR="005D44D3" w:rsidRPr="00A71F78">
        <w:rPr>
          <w:i/>
          <w:iCs/>
        </w:rPr>
        <w:t>Chiu</w:t>
      </w:r>
      <w:r w:rsidR="005D44D3" w:rsidRPr="00A71F78">
        <w:t xml:space="preserve"> and Senate Bill </w:t>
      </w:r>
      <w:r w:rsidR="00274071" w:rsidRPr="00A71F78">
        <w:t xml:space="preserve">No. </w:t>
      </w:r>
      <w:r w:rsidR="005D44D3" w:rsidRPr="00A71F78">
        <w:t>1437</w:t>
      </w:r>
      <w:r w:rsidR="00641B1B" w:rsidRPr="00A71F78">
        <w:t>.</w:t>
      </w:r>
    </w:p>
    <w:p w14:paraId="11109E4D" w14:textId="79100605" w:rsidR="00B93033" w:rsidRPr="00A71F78" w:rsidRDefault="00BA3C7B" w:rsidP="00CB7240">
      <w:pPr>
        <w:tabs>
          <w:tab w:val="left" w:pos="1440"/>
        </w:tabs>
        <w:ind w:firstLine="720"/>
        <w:rPr>
          <w:b/>
          <w:smallCaps/>
        </w:rPr>
      </w:pPr>
      <w:r w:rsidRPr="00A71F78">
        <w:t>Based on the foregoing</w:t>
      </w:r>
      <w:r w:rsidR="00C5378C" w:rsidRPr="00A71F78">
        <w:t xml:space="preserve">, </w:t>
      </w:r>
      <w:r w:rsidR="008241D5" w:rsidRPr="00A71F78">
        <w:t xml:space="preserve">we </w:t>
      </w:r>
      <w:r w:rsidR="00C5378C" w:rsidRPr="00A71F78">
        <w:t xml:space="preserve">conclude that </w:t>
      </w:r>
      <w:r w:rsidR="00C5378C" w:rsidRPr="00A71F78">
        <w:rPr>
          <w:i/>
          <w:iCs/>
        </w:rPr>
        <w:t>Chiu</w:t>
      </w:r>
      <w:r w:rsidR="00C5378C" w:rsidRPr="00A71F78">
        <w:t xml:space="preserve"> </w:t>
      </w:r>
      <w:r w:rsidR="0060432A" w:rsidRPr="00A71F78">
        <w:t xml:space="preserve">and </w:t>
      </w:r>
      <w:r w:rsidR="00C5378C" w:rsidRPr="00A71F78">
        <w:t>Senate Bill</w:t>
      </w:r>
      <w:r w:rsidR="00274071" w:rsidRPr="00A71F78">
        <w:t xml:space="preserve"> No.</w:t>
      </w:r>
      <w:r w:rsidR="00C5378C" w:rsidRPr="00A71F78">
        <w:t xml:space="preserve"> 1437 </w:t>
      </w:r>
      <w:r w:rsidR="0060432A" w:rsidRPr="00A71F78">
        <w:t xml:space="preserve">do not </w:t>
      </w:r>
      <w:r w:rsidR="0021254C" w:rsidRPr="00A71F78">
        <w:t xml:space="preserve">impact or otherwise </w:t>
      </w:r>
      <w:r w:rsidR="0060432A" w:rsidRPr="00A71F78">
        <w:t xml:space="preserve">inform </w:t>
      </w:r>
      <w:r w:rsidR="00F4004D" w:rsidRPr="00A71F78">
        <w:t xml:space="preserve">the question </w:t>
      </w:r>
      <w:r w:rsidR="007A71A6" w:rsidRPr="00A71F78">
        <w:t xml:space="preserve">of </w:t>
      </w:r>
      <w:r w:rsidR="0060432A" w:rsidRPr="00A71F78">
        <w:rPr>
          <w:i/>
          <w:iCs/>
        </w:rPr>
        <w:t>Sanchez</w:t>
      </w:r>
      <w:r w:rsidR="007A71A6" w:rsidRPr="00A71F78">
        <w:t>’s application</w:t>
      </w:r>
      <w:r w:rsidR="0060432A" w:rsidRPr="00A71F78">
        <w:t xml:space="preserve"> in this case.  </w:t>
      </w:r>
    </w:p>
    <w:p w14:paraId="716029A0" w14:textId="152A411C" w:rsidR="00773908" w:rsidRPr="00A71F78" w:rsidRDefault="00773908" w:rsidP="00A31766">
      <w:pPr>
        <w:pStyle w:val="Heading1"/>
      </w:pPr>
      <w:r w:rsidRPr="00A71F78">
        <w:t>Conclusion</w:t>
      </w:r>
    </w:p>
    <w:p w14:paraId="2639E7C6" w14:textId="3808FB04" w:rsidR="00773908" w:rsidRPr="00A71F78" w:rsidRDefault="008469FF" w:rsidP="00A31766">
      <w:pPr>
        <w:tabs>
          <w:tab w:val="left" w:pos="1440"/>
        </w:tabs>
        <w:ind w:firstLine="720"/>
      </w:pPr>
      <w:r w:rsidRPr="00A71F78">
        <w:t xml:space="preserve">Because </w:t>
      </w:r>
      <w:r w:rsidR="009372DE" w:rsidRPr="00A71F78">
        <w:t>the trial court</w:t>
      </w:r>
      <w:r w:rsidR="007A71A6" w:rsidRPr="00A71F78">
        <w:t xml:space="preserve">, </w:t>
      </w:r>
      <w:r w:rsidR="009372DE" w:rsidRPr="00A71F78">
        <w:t xml:space="preserve">consistent with </w:t>
      </w:r>
      <w:r w:rsidR="002B079A" w:rsidRPr="00A71F78">
        <w:t xml:space="preserve">our holding in </w:t>
      </w:r>
      <w:r w:rsidR="009372DE" w:rsidRPr="00A71F78">
        <w:rPr>
          <w:i/>
          <w:iCs/>
        </w:rPr>
        <w:t>Sanchez</w:t>
      </w:r>
      <w:r w:rsidR="009372DE" w:rsidRPr="00A71F78">
        <w:t xml:space="preserve">, </w:t>
      </w:r>
      <w:r w:rsidR="009372DE" w:rsidRPr="00A71F78">
        <w:rPr>
          <w:i/>
          <w:iCs/>
        </w:rPr>
        <w:t>supra</w:t>
      </w:r>
      <w:r w:rsidR="009372DE" w:rsidRPr="00A71F78">
        <w:t>, 26 Cal.4th 834</w:t>
      </w:r>
      <w:r w:rsidR="00B7554F" w:rsidRPr="00A71F78">
        <w:t>,</w:t>
      </w:r>
      <w:r w:rsidR="00E2036D" w:rsidRPr="00A71F78">
        <w:t xml:space="preserve"> </w:t>
      </w:r>
      <w:r w:rsidR="007A71A6" w:rsidRPr="00A71F78">
        <w:t>properly instructed the jury on substantial concurrent causation</w:t>
      </w:r>
      <w:r w:rsidR="00056054" w:rsidRPr="00A71F78">
        <w:t xml:space="preserve"> with respect to Monique’s death</w:t>
      </w:r>
      <w:r w:rsidR="00401872" w:rsidRPr="00A71F78">
        <w:t>,</w:t>
      </w:r>
      <w:r w:rsidR="003D6435" w:rsidRPr="00A71F78">
        <w:t xml:space="preserve"> we affirm the Court of Appeal’s judgment. </w:t>
      </w:r>
    </w:p>
    <w:p w14:paraId="7347C19B" w14:textId="77777777" w:rsidR="0058377E" w:rsidRPr="006E05DF" w:rsidRDefault="0058377E" w:rsidP="0058377E">
      <w:pPr>
        <w:spacing w:before="240"/>
        <w:ind w:left="5040"/>
        <w:rPr>
          <w:b/>
          <w:bCs/>
          <w:color w:val="212121"/>
          <w:szCs w:val="26"/>
        </w:rPr>
      </w:pPr>
      <w:r w:rsidRPr="006E05DF">
        <w:rPr>
          <w:b/>
          <w:bCs/>
          <w:color w:val="212121"/>
          <w:szCs w:val="26"/>
        </w:rPr>
        <w:t>JENKINS, J.</w:t>
      </w:r>
    </w:p>
    <w:p w14:paraId="22DB4934" w14:textId="77777777" w:rsidR="0058377E" w:rsidRDefault="0058377E" w:rsidP="00907E7F">
      <w:pPr>
        <w:tabs>
          <w:tab w:val="left" w:pos="1440"/>
        </w:tabs>
        <w:rPr>
          <w:b/>
          <w:bCs/>
        </w:rPr>
      </w:pPr>
      <w:r w:rsidRPr="00DA7ADF">
        <w:rPr>
          <w:b/>
          <w:bCs/>
        </w:rPr>
        <w:t>We Concur:</w:t>
      </w:r>
    </w:p>
    <w:p w14:paraId="519406F6" w14:textId="77777777" w:rsidR="0058377E" w:rsidRDefault="0058377E" w:rsidP="0058377E">
      <w:pPr>
        <w:tabs>
          <w:tab w:val="left" w:pos="1440"/>
        </w:tabs>
        <w:spacing w:after="0" w:line="240" w:lineRule="auto"/>
        <w:rPr>
          <w:b/>
          <w:bCs/>
        </w:rPr>
      </w:pPr>
      <w:r>
        <w:rPr>
          <w:b/>
          <w:bCs/>
        </w:rPr>
        <w:t>GUERRERO, C. J.</w:t>
      </w:r>
    </w:p>
    <w:p w14:paraId="36DBF89D" w14:textId="77777777" w:rsidR="0058377E" w:rsidRDefault="0058377E" w:rsidP="0058377E">
      <w:pPr>
        <w:tabs>
          <w:tab w:val="left" w:pos="1440"/>
        </w:tabs>
        <w:spacing w:after="0" w:line="240" w:lineRule="auto"/>
        <w:rPr>
          <w:b/>
          <w:bCs/>
        </w:rPr>
      </w:pPr>
      <w:r>
        <w:rPr>
          <w:b/>
          <w:bCs/>
        </w:rPr>
        <w:t>CORRIGAN, J.</w:t>
      </w:r>
    </w:p>
    <w:p w14:paraId="2FDD726F" w14:textId="77777777" w:rsidR="0058377E" w:rsidRDefault="0058377E" w:rsidP="0058377E">
      <w:pPr>
        <w:tabs>
          <w:tab w:val="left" w:pos="1440"/>
        </w:tabs>
        <w:spacing w:after="0" w:line="240" w:lineRule="auto"/>
        <w:rPr>
          <w:b/>
          <w:bCs/>
        </w:rPr>
      </w:pPr>
      <w:r>
        <w:rPr>
          <w:b/>
          <w:bCs/>
        </w:rPr>
        <w:t>LIU, J.</w:t>
      </w:r>
    </w:p>
    <w:p w14:paraId="5D7BC62B" w14:textId="77777777" w:rsidR="0058377E" w:rsidRDefault="0058377E" w:rsidP="0058377E">
      <w:pPr>
        <w:tabs>
          <w:tab w:val="left" w:pos="1440"/>
        </w:tabs>
        <w:spacing w:after="0" w:line="240" w:lineRule="auto"/>
        <w:rPr>
          <w:b/>
          <w:bCs/>
        </w:rPr>
      </w:pPr>
      <w:r>
        <w:rPr>
          <w:b/>
          <w:bCs/>
        </w:rPr>
        <w:t>KRUGER, J.</w:t>
      </w:r>
    </w:p>
    <w:p w14:paraId="706E4226" w14:textId="77777777" w:rsidR="0058377E" w:rsidRDefault="0058377E" w:rsidP="0058377E">
      <w:pPr>
        <w:tabs>
          <w:tab w:val="left" w:pos="1440"/>
        </w:tabs>
        <w:spacing w:after="0" w:line="240" w:lineRule="auto"/>
        <w:rPr>
          <w:b/>
          <w:bCs/>
        </w:rPr>
      </w:pPr>
      <w:r>
        <w:rPr>
          <w:b/>
          <w:bCs/>
        </w:rPr>
        <w:t>GROBAN, J.</w:t>
      </w:r>
    </w:p>
    <w:p w14:paraId="50ECA689" w14:textId="77777777" w:rsidR="0058377E" w:rsidRDefault="0058377E" w:rsidP="0058377E">
      <w:pPr>
        <w:tabs>
          <w:tab w:val="left" w:pos="1440"/>
        </w:tabs>
        <w:spacing w:after="0" w:line="240" w:lineRule="auto"/>
        <w:rPr>
          <w:b/>
          <w:bCs/>
        </w:rPr>
      </w:pPr>
      <w:r>
        <w:rPr>
          <w:b/>
          <w:bCs/>
        </w:rPr>
        <w:t>EVANS, J.</w:t>
      </w:r>
    </w:p>
    <w:p w14:paraId="39B19915" w14:textId="77777777" w:rsidR="00656D11" w:rsidRDefault="00656D11" w:rsidP="0058377E">
      <w:pPr>
        <w:tabs>
          <w:tab w:val="left" w:pos="1440"/>
        </w:tabs>
        <w:spacing w:after="0" w:line="240" w:lineRule="auto"/>
        <w:rPr>
          <w:color w:val="212121"/>
          <w:szCs w:val="27"/>
        </w:rPr>
        <w:sectPr w:rsidR="00656D11" w:rsidSect="00A31766">
          <w:footerReference w:type="first" r:id="rId14"/>
          <w:pgSz w:w="12240" w:h="15840"/>
          <w:pgMar w:top="1800" w:right="2160" w:bottom="1440" w:left="2160" w:header="720" w:footer="720" w:gutter="0"/>
          <w:pgNumType w:start="1"/>
          <w:cols w:space="720"/>
          <w:titlePg/>
          <w:docGrid w:linePitch="367"/>
        </w:sectPr>
      </w:pPr>
    </w:p>
    <w:p w14:paraId="427856BB" w14:textId="77777777" w:rsidR="00656D11" w:rsidRPr="00656D11" w:rsidRDefault="00656D11" w:rsidP="00656D11">
      <w:pPr>
        <w:spacing w:after="0" w:line="240" w:lineRule="auto"/>
        <w:jc w:val="left"/>
        <w:rPr>
          <w:i/>
          <w:sz w:val="24"/>
          <w:szCs w:val="24"/>
        </w:rPr>
      </w:pPr>
      <w:r w:rsidRPr="00656D11">
        <w:rPr>
          <w:i/>
          <w:sz w:val="24"/>
          <w:szCs w:val="24"/>
        </w:rPr>
        <w:t>See next page for addresses and telephone numbers for counsel who argued in Supreme Court.</w:t>
      </w:r>
    </w:p>
    <w:p w14:paraId="1DA42199" w14:textId="77777777" w:rsidR="00656D11" w:rsidRPr="00656D11" w:rsidRDefault="00656D11" w:rsidP="00656D11">
      <w:pPr>
        <w:spacing w:after="0" w:line="240" w:lineRule="auto"/>
        <w:jc w:val="left"/>
        <w:rPr>
          <w:i/>
          <w:sz w:val="24"/>
          <w:szCs w:val="24"/>
        </w:rPr>
      </w:pPr>
    </w:p>
    <w:p w14:paraId="3CA9A002" w14:textId="77777777" w:rsidR="00656D11" w:rsidRPr="00656D11" w:rsidRDefault="00656D11" w:rsidP="00656D11">
      <w:pPr>
        <w:spacing w:after="0" w:line="240" w:lineRule="auto"/>
        <w:jc w:val="left"/>
        <w:rPr>
          <w:bCs/>
          <w:sz w:val="24"/>
          <w:szCs w:val="24"/>
        </w:rPr>
      </w:pPr>
      <w:r w:rsidRPr="00656D11">
        <w:rPr>
          <w:b/>
          <w:sz w:val="24"/>
          <w:szCs w:val="24"/>
        </w:rPr>
        <w:t xml:space="preserve">Name of Opinion  </w:t>
      </w:r>
      <w:r w:rsidRPr="00656D11">
        <w:rPr>
          <w:bCs/>
          <w:sz w:val="24"/>
          <w:szCs w:val="24"/>
        </w:rPr>
        <w:t>People v. Carney</w:t>
      </w:r>
    </w:p>
    <w:p w14:paraId="526C33C2" w14:textId="77777777" w:rsidR="00656D11" w:rsidRPr="00656D11" w:rsidRDefault="00656D11" w:rsidP="00656D11">
      <w:pPr>
        <w:spacing w:after="0" w:line="240" w:lineRule="auto"/>
        <w:jc w:val="left"/>
        <w:rPr>
          <w:b/>
          <w:sz w:val="24"/>
          <w:szCs w:val="24"/>
        </w:rPr>
      </w:pPr>
      <w:r w:rsidRPr="00656D11">
        <w:rPr>
          <w:b/>
          <w:sz w:val="24"/>
          <w:szCs w:val="24"/>
        </w:rPr>
        <w:t xml:space="preserve">__________________________________________________________ </w:t>
      </w:r>
    </w:p>
    <w:p w14:paraId="1C0A7AD0" w14:textId="77777777" w:rsidR="00656D11" w:rsidRPr="00656D11" w:rsidRDefault="00656D11" w:rsidP="00656D11">
      <w:pPr>
        <w:spacing w:after="0" w:line="240" w:lineRule="auto"/>
        <w:jc w:val="left"/>
        <w:rPr>
          <w:b/>
          <w:sz w:val="24"/>
          <w:szCs w:val="24"/>
        </w:rPr>
      </w:pPr>
    </w:p>
    <w:p w14:paraId="59162F2A" w14:textId="77777777" w:rsidR="00656D11" w:rsidRPr="00656D11" w:rsidRDefault="00656D11" w:rsidP="00656D11">
      <w:pPr>
        <w:spacing w:after="0" w:line="240" w:lineRule="auto"/>
        <w:jc w:val="left"/>
        <w:rPr>
          <w:sz w:val="24"/>
          <w:szCs w:val="24"/>
        </w:rPr>
      </w:pPr>
      <w:r w:rsidRPr="00656D11">
        <w:rPr>
          <w:b/>
          <w:bCs/>
          <w:sz w:val="24"/>
          <w:szCs w:val="24"/>
          <w:u w:val="single"/>
        </w:rPr>
        <w:t>Procedural Posture</w:t>
      </w:r>
      <w:r w:rsidRPr="00656D11">
        <w:rPr>
          <w:b/>
          <w:bCs/>
          <w:sz w:val="24"/>
          <w:szCs w:val="24"/>
        </w:rPr>
        <w:t xml:space="preserve"> </w:t>
      </w:r>
      <w:r w:rsidRPr="00656D11">
        <w:rPr>
          <w:sz w:val="24"/>
          <w:szCs w:val="24"/>
        </w:rPr>
        <w:t>(see XX below)</w:t>
      </w:r>
    </w:p>
    <w:p w14:paraId="431C418A" w14:textId="77777777" w:rsidR="00656D11" w:rsidRPr="00656D11" w:rsidRDefault="00656D11" w:rsidP="00656D11">
      <w:pPr>
        <w:spacing w:after="0" w:line="240" w:lineRule="auto"/>
        <w:jc w:val="left"/>
        <w:rPr>
          <w:sz w:val="24"/>
          <w:szCs w:val="24"/>
        </w:rPr>
      </w:pPr>
      <w:r w:rsidRPr="00656D11">
        <w:rPr>
          <w:b/>
          <w:bCs/>
          <w:sz w:val="24"/>
          <w:szCs w:val="24"/>
        </w:rPr>
        <w:t>Original Appeal</w:t>
      </w:r>
      <w:r w:rsidRPr="00656D11">
        <w:rPr>
          <w:sz w:val="24"/>
          <w:szCs w:val="24"/>
        </w:rPr>
        <w:t xml:space="preserve"> </w:t>
      </w:r>
    </w:p>
    <w:p w14:paraId="2E0B1876" w14:textId="77777777" w:rsidR="00656D11" w:rsidRPr="00656D11" w:rsidRDefault="00656D11" w:rsidP="00656D11">
      <w:pPr>
        <w:spacing w:after="0" w:line="240" w:lineRule="auto"/>
        <w:jc w:val="left"/>
        <w:rPr>
          <w:b/>
          <w:bCs/>
          <w:sz w:val="24"/>
          <w:szCs w:val="24"/>
        </w:rPr>
      </w:pPr>
      <w:r w:rsidRPr="00656D11">
        <w:rPr>
          <w:b/>
          <w:bCs/>
          <w:sz w:val="24"/>
          <w:szCs w:val="24"/>
        </w:rPr>
        <w:t>Original Proceeding</w:t>
      </w:r>
    </w:p>
    <w:p w14:paraId="7AB62BB9" w14:textId="77777777" w:rsidR="00656D11" w:rsidRPr="00656D11" w:rsidRDefault="00656D11" w:rsidP="00656D11">
      <w:pPr>
        <w:spacing w:after="0" w:line="240" w:lineRule="auto"/>
        <w:jc w:val="left"/>
        <w:rPr>
          <w:sz w:val="24"/>
          <w:szCs w:val="24"/>
        </w:rPr>
      </w:pPr>
      <w:r w:rsidRPr="00656D11">
        <w:rPr>
          <w:b/>
          <w:bCs/>
          <w:sz w:val="24"/>
          <w:szCs w:val="24"/>
        </w:rPr>
        <w:t>Review Granted</w:t>
      </w:r>
      <w:r w:rsidRPr="00656D11">
        <w:rPr>
          <w:sz w:val="24"/>
          <w:szCs w:val="24"/>
        </w:rPr>
        <w:t xml:space="preserve"> </w:t>
      </w:r>
      <w:r w:rsidRPr="00656D11">
        <w:rPr>
          <w:b/>
          <w:bCs/>
          <w:sz w:val="24"/>
          <w:szCs w:val="24"/>
        </w:rPr>
        <w:t xml:space="preserve">(published) </w:t>
      </w:r>
    </w:p>
    <w:p w14:paraId="39B855A3" w14:textId="77777777" w:rsidR="00656D11" w:rsidRPr="00656D11" w:rsidRDefault="00656D11" w:rsidP="00656D11">
      <w:pPr>
        <w:spacing w:after="0" w:line="240" w:lineRule="auto"/>
        <w:jc w:val="left"/>
        <w:rPr>
          <w:sz w:val="24"/>
          <w:szCs w:val="24"/>
        </w:rPr>
      </w:pPr>
      <w:r w:rsidRPr="00656D11">
        <w:rPr>
          <w:b/>
          <w:bCs/>
          <w:sz w:val="24"/>
          <w:szCs w:val="24"/>
        </w:rPr>
        <w:t xml:space="preserve">Review Granted (unpublished) </w:t>
      </w:r>
      <w:r w:rsidRPr="00656D11">
        <w:rPr>
          <w:sz w:val="24"/>
          <w:szCs w:val="24"/>
        </w:rPr>
        <w:t>XX NP opn. filed 12/10/19 – 3d Dist.</w:t>
      </w:r>
    </w:p>
    <w:p w14:paraId="6FBA2AC0" w14:textId="77777777" w:rsidR="00656D11" w:rsidRPr="00656D11" w:rsidRDefault="00656D11" w:rsidP="00656D11">
      <w:pPr>
        <w:spacing w:after="0" w:line="240" w:lineRule="auto"/>
        <w:jc w:val="left"/>
        <w:rPr>
          <w:b/>
          <w:bCs/>
          <w:sz w:val="24"/>
          <w:szCs w:val="24"/>
        </w:rPr>
      </w:pPr>
      <w:r w:rsidRPr="00656D11">
        <w:rPr>
          <w:b/>
          <w:bCs/>
          <w:sz w:val="24"/>
          <w:szCs w:val="24"/>
        </w:rPr>
        <w:t>Rehearing Granted</w:t>
      </w:r>
    </w:p>
    <w:p w14:paraId="5406EE1A" w14:textId="77777777" w:rsidR="00656D11" w:rsidRPr="00656D11" w:rsidRDefault="00656D11" w:rsidP="00656D11">
      <w:pPr>
        <w:spacing w:after="0" w:line="240" w:lineRule="auto"/>
        <w:jc w:val="left"/>
        <w:rPr>
          <w:b/>
          <w:sz w:val="24"/>
          <w:szCs w:val="24"/>
        </w:rPr>
      </w:pPr>
      <w:r w:rsidRPr="00656D11">
        <w:rPr>
          <w:b/>
          <w:sz w:val="24"/>
          <w:szCs w:val="24"/>
        </w:rPr>
        <w:t xml:space="preserve">__________________________________________________________ </w:t>
      </w:r>
    </w:p>
    <w:p w14:paraId="28E93A15" w14:textId="77777777" w:rsidR="00656D11" w:rsidRPr="00656D11" w:rsidRDefault="00656D11" w:rsidP="00656D11">
      <w:pPr>
        <w:spacing w:after="0" w:line="240" w:lineRule="auto"/>
        <w:jc w:val="left"/>
        <w:rPr>
          <w:b/>
          <w:sz w:val="24"/>
          <w:szCs w:val="24"/>
        </w:rPr>
      </w:pPr>
    </w:p>
    <w:p w14:paraId="1665FAEB" w14:textId="77777777" w:rsidR="00656D11" w:rsidRPr="00656D11" w:rsidRDefault="00656D11" w:rsidP="00656D11">
      <w:pPr>
        <w:spacing w:after="0" w:line="240" w:lineRule="auto"/>
        <w:jc w:val="left"/>
        <w:rPr>
          <w:bCs/>
          <w:sz w:val="24"/>
          <w:szCs w:val="24"/>
        </w:rPr>
      </w:pPr>
      <w:r w:rsidRPr="00656D11">
        <w:rPr>
          <w:b/>
          <w:sz w:val="24"/>
          <w:szCs w:val="24"/>
        </w:rPr>
        <w:t>Opinion No.</w:t>
      </w:r>
      <w:r w:rsidRPr="00656D11">
        <w:rPr>
          <w:sz w:val="24"/>
          <w:szCs w:val="24"/>
        </w:rPr>
        <w:t xml:space="preserve"> S260063</w:t>
      </w:r>
    </w:p>
    <w:p w14:paraId="6157C131" w14:textId="77777777" w:rsidR="00656D11" w:rsidRPr="00656D11" w:rsidRDefault="00656D11" w:rsidP="00656D11">
      <w:pPr>
        <w:spacing w:after="0" w:line="240" w:lineRule="auto"/>
        <w:jc w:val="left"/>
        <w:rPr>
          <w:sz w:val="24"/>
          <w:szCs w:val="24"/>
        </w:rPr>
      </w:pPr>
      <w:r w:rsidRPr="00656D11">
        <w:rPr>
          <w:b/>
          <w:sz w:val="24"/>
          <w:szCs w:val="24"/>
        </w:rPr>
        <w:t>Date Filed:</w:t>
      </w:r>
      <w:r w:rsidRPr="00656D11">
        <w:rPr>
          <w:sz w:val="24"/>
          <w:szCs w:val="24"/>
        </w:rPr>
        <w:t xml:space="preserve">  July 20, 2023</w:t>
      </w:r>
    </w:p>
    <w:p w14:paraId="7E9B5B00" w14:textId="77777777" w:rsidR="00656D11" w:rsidRPr="00656D11" w:rsidRDefault="00656D11" w:rsidP="00656D11">
      <w:pPr>
        <w:spacing w:after="0" w:line="240" w:lineRule="auto"/>
        <w:jc w:val="left"/>
        <w:rPr>
          <w:b/>
          <w:sz w:val="24"/>
          <w:szCs w:val="24"/>
        </w:rPr>
      </w:pPr>
      <w:r w:rsidRPr="00656D11">
        <w:rPr>
          <w:b/>
          <w:sz w:val="24"/>
          <w:szCs w:val="24"/>
        </w:rPr>
        <w:t xml:space="preserve">__________________________________________________________ </w:t>
      </w:r>
    </w:p>
    <w:p w14:paraId="28FF05EA" w14:textId="77777777" w:rsidR="00656D11" w:rsidRPr="00656D11" w:rsidRDefault="00656D11" w:rsidP="00656D11">
      <w:pPr>
        <w:spacing w:after="0" w:line="240" w:lineRule="auto"/>
        <w:jc w:val="left"/>
        <w:rPr>
          <w:b/>
          <w:sz w:val="24"/>
          <w:szCs w:val="24"/>
        </w:rPr>
      </w:pPr>
    </w:p>
    <w:p w14:paraId="5A929FAC" w14:textId="77777777" w:rsidR="00656D11" w:rsidRPr="00656D11" w:rsidRDefault="00656D11" w:rsidP="00656D11">
      <w:pPr>
        <w:spacing w:after="0" w:line="240" w:lineRule="auto"/>
        <w:jc w:val="left"/>
        <w:rPr>
          <w:bCs/>
          <w:sz w:val="24"/>
          <w:szCs w:val="24"/>
        </w:rPr>
      </w:pPr>
      <w:r w:rsidRPr="00656D11">
        <w:rPr>
          <w:b/>
          <w:sz w:val="24"/>
          <w:szCs w:val="24"/>
        </w:rPr>
        <w:t xml:space="preserve">Court:  </w:t>
      </w:r>
      <w:r w:rsidRPr="00656D11">
        <w:rPr>
          <w:bCs/>
          <w:sz w:val="24"/>
          <w:szCs w:val="24"/>
        </w:rPr>
        <w:t>Superior</w:t>
      </w:r>
      <w:r w:rsidRPr="00656D11">
        <w:rPr>
          <w:b/>
          <w:sz w:val="24"/>
          <w:szCs w:val="24"/>
        </w:rPr>
        <w:t xml:space="preserve"> </w:t>
      </w:r>
    </w:p>
    <w:p w14:paraId="46047621" w14:textId="77777777" w:rsidR="00656D11" w:rsidRPr="00656D11" w:rsidRDefault="00656D11" w:rsidP="00656D11">
      <w:pPr>
        <w:spacing w:after="0" w:line="240" w:lineRule="auto"/>
        <w:jc w:val="left"/>
        <w:rPr>
          <w:bCs/>
          <w:sz w:val="24"/>
          <w:szCs w:val="24"/>
        </w:rPr>
      </w:pPr>
      <w:r w:rsidRPr="00656D11">
        <w:rPr>
          <w:b/>
          <w:sz w:val="24"/>
          <w:szCs w:val="24"/>
        </w:rPr>
        <w:t xml:space="preserve">County:  </w:t>
      </w:r>
      <w:r w:rsidRPr="00656D11">
        <w:rPr>
          <w:bCs/>
          <w:sz w:val="24"/>
          <w:szCs w:val="24"/>
        </w:rPr>
        <w:t>Sacramento</w:t>
      </w:r>
      <w:r w:rsidRPr="00656D11">
        <w:rPr>
          <w:b/>
          <w:sz w:val="24"/>
          <w:szCs w:val="24"/>
        </w:rPr>
        <w:t xml:space="preserve"> </w:t>
      </w:r>
    </w:p>
    <w:p w14:paraId="3434B85D" w14:textId="77777777" w:rsidR="00656D11" w:rsidRPr="00656D11" w:rsidRDefault="00656D11" w:rsidP="00656D11">
      <w:pPr>
        <w:spacing w:after="0" w:line="240" w:lineRule="auto"/>
        <w:ind w:left="720" w:hanging="720"/>
        <w:jc w:val="left"/>
        <w:rPr>
          <w:bCs/>
          <w:sz w:val="24"/>
          <w:szCs w:val="24"/>
        </w:rPr>
      </w:pPr>
      <w:r w:rsidRPr="00656D11">
        <w:rPr>
          <w:b/>
          <w:sz w:val="24"/>
          <w:szCs w:val="24"/>
        </w:rPr>
        <w:t xml:space="preserve">Judge: </w:t>
      </w:r>
      <w:r w:rsidRPr="00656D11">
        <w:rPr>
          <w:bCs/>
          <w:sz w:val="24"/>
          <w:szCs w:val="24"/>
        </w:rPr>
        <w:t xml:space="preserve"> Kevin J. McCormick</w:t>
      </w:r>
    </w:p>
    <w:p w14:paraId="6591A299" w14:textId="77777777" w:rsidR="00656D11" w:rsidRPr="00656D11" w:rsidRDefault="00656D11" w:rsidP="00656D11">
      <w:pPr>
        <w:spacing w:after="0" w:line="240" w:lineRule="auto"/>
        <w:jc w:val="left"/>
        <w:rPr>
          <w:b/>
          <w:sz w:val="24"/>
          <w:szCs w:val="24"/>
        </w:rPr>
      </w:pPr>
      <w:r w:rsidRPr="00656D11">
        <w:rPr>
          <w:b/>
          <w:sz w:val="24"/>
          <w:szCs w:val="24"/>
        </w:rPr>
        <w:t xml:space="preserve">__________________________________________________________  </w:t>
      </w:r>
    </w:p>
    <w:p w14:paraId="1F17A71E" w14:textId="77777777" w:rsidR="00656D11" w:rsidRPr="00656D11" w:rsidRDefault="00656D11" w:rsidP="00656D11">
      <w:pPr>
        <w:spacing w:after="0" w:line="240" w:lineRule="auto"/>
        <w:jc w:val="left"/>
        <w:rPr>
          <w:b/>
          <w:sz w:val="24"/>
          <w:szCs w:val="24"/>
        </w:rPr>
      </w:pPr>
    </w:p>
    <w:p w14:paraId="6972F413" w14:textId="77777777" w:rsidR="00656D11" w:rsidRPr="00656D11" w:rsidRDefault="00656D11" w:rsidP="00656D11">
      <w:pPr>
        <w:spacing w:after="0" w:line="240" w:lineRule="auto"/>
        <w:jc w:val="left"/>
        <w:rPr>
          <w:b/>
          <w:sz w:val="24"/>
          <w:szCs w:val="24"/>
        </w:rPr>
      </w:pPr>
      <w:r w:rsidRPr="00656D11">
        <w:rPr>
          <w:b/>
          <w:sz w:val="24"/>
          <w:szCs w:val="24"/>
        </w:rPr>
        <w:t>Counsel:</w:t>
      </w:r>
    </w:p>
    <w:p w14:paraId="7A0A765C" w14:textId="77777777" w:rsidR="00656D11" w:rsidRPr="00656D11" w:rsidRDefault="00656D11" w:rsidP="00656D11">
      <w:pPr>
        <w:spacing w:after="0" w:line="240" w:lineRule="auto"/>
        <w:jc w:val="left"/>
        <w:rPr>
          <w:bCs/>
          <w:sz w:val="24"/>
          <w:szCs w:val="24"/>
        </w:rPr>
      </w:pPr>
    </w:p>
    <w:p w14:paraId="7E6B921E" w14:textId="77777777" w:rsidR="00656D11" w:rsidRPr="00656D11" w:rsidRDefault="00656D11" w:rsidP="00656D11">
      <w:pPr>
        <w:spacing w:after="0" w:line="240" w:lineRule="auto"/>
        <w:jc w:val="left"/>
        <w:rPr>
          <w:color w:val="212121"/>
          <w:sz w:val="24"/>
          <w:szCs w:val="24"/>
          <w:shd w:val="clear" w:color="auto" w:fill="FFFFFF"/>
        </w:rPr>
      </w:pPr>
      <w:r w:rsidRPr="00656D11">
        <w:rPr>
          <w:color w:val="212121"/>
          <w:sz w:val="24"/>
          <w:szCs w:val="24"/>
          <w:shd w:val="clear" w:color="auto" w:fill="FFFFFF"/>
        </w:rPr>
        <w:t>Law Offices of Beles &amp; Beles, Robert J. Beles, Paul McCarthy and Micah Reyner for Defendants and Appellants Louis Mitchell and Lonnie Mitchell.</w:t>
      </w:r>
    </w:p>
    <w:p w14:paraId="7FD17BE9" w14:textId="77777777" w:rsidR="00656D11" w:rsidRPr="00656D11" w:rsidRDefault="00656D11" w:rsidP="00656D11">
      <w:pPr>
        <w:spacing w:after="0" w:line="240" w:lineRule="auto"/>
        <w:jc w:val="left"/>
        <w:rPr>
          <w:color w:val="212121"/>
          <w:sz w:val="24"/>
          <w:szCs w:val="24"/>
          <w:shd w:val="clear" w:color="auto" w:fill="FFFFFF"/>
        </w:rPr>
      </w:pPr>
    </w:p>
    <w:p w14:paraId="228B92F5" w14:textId="77777777" w:rsidR="00656D11" w:rsidRPr="00656D11" w:rsidRDefault="00656D11" w:rsidP="00656D11">
      <w:pPr>
        <w:spacing w:after="0" w:line="240" w:lineRule="auto"/>
        <w:jc w:val="left"/>
        <w:rPr>
          <w:color w:val="212121"/>
          <w:sz w:val="24"/>
          <w:szCs w:val="24"/>
          <w:shd w:val="clear" w:color="auto" w:fill="FFFFFF"/>
        </w:rPr>
      </w:pPr>
      <w:r w:rsidRPr="00656D11">
        <w:rPr>
          <w:color w:val="212121"/>
          <w:sz w:val="24"/>
          <w:szCs w:val="24"/>
          <w:shd w:val="clear" w:color="auto" w:fill="FFFFFF"/>
        </w:rPr>
        <w:t>Stephen Greenberg, under appointment by the Court of Appeal, for Defendant and Appellant James Leo Carney.</w:t>
      </w:r>
    </w:p>
    <w:p w14:paraId="5F91777A" w14:textId="77777777" w:rsidR="00656D11" w:rsidRPr="00656D11" w:rsidRDefault="00656D11" w:rsidP="00656D11">
      <w:pPr>
        <w:spacing w:after="0" w:line="240" w:lineRule="auto"/>
        <w:jc w:val="left"/>
        <w:rPr>
          <w:color w:val="212121"/>
          <w:sz w:val="24"/>
          <w:szCs w:val="24"/>
          <w:shd w:val="clear" w:color="auto" w:fill="FFFFFF"/>
        </w:rPr>
      </w:pPr>
    </w:p>
    <w:p w14:paraId="6AA15F2E" w14:textId="77777777" w:rsidR="00656D11" w:rsidRPr="00656D11" w:rsidRDefault="00656D11" w:rsidP="00656D11">
      <w:pPr>
        <w:spacing w:after="0" w:line="240" w:lineRule="auto"/>
        <w:jc w:val="left"/>
        <w:rPr>
          <w:color w:val="212121"/>
          <w:sz w:val="24"/>
          <w:szCs w:val="24"/>
          <w:shd w:val="clear" w:color="auto" w:fill="FFFFFF"/>
        </w:rPr>
      </w:pPr>
      <w:r w:rsidRPr="00656D11">
        <w:rPr>
          <w:color w:val="212121"/>
          <w:sz w:val="24"/>
          <w:szCs w:val="24"/>
          <w:shd w:val="clear" w:color="auto" w:fill="FFFFFF"/>
        </w:rPr>
        <w:t>Xavier Becerra and Rob Bonta, Attorneys General, Gerald A. Engler and Lance E. Winters, Chief Assistant Attorneys General, Michael P. Farrell, Assistant Attorney General, Daniel B. Bernstein, Stephen G. Herndon, Carlos A. Martinez, Catherine Chatman, Eric L. Christoffersen, Rachelle A. Newcomb and Kimberly A. Donohue, Deputy Attorneys General, for Plaintiff and Respondent.</w:t>
      </w:r>
    </w:p>
    <w:p w14:paraId="4BCD5C13" w14:textId="77777777" w:rsidR="00656D11" w:rsidRPr="00656D11" w:rsidRDefault="00656D11" w:rsidP="00656D11">
      <w:pPr>
        <w:spacing w:after="0" w:line="240" w:lineRule="auto"/>
        <w:jc w:val="left"/>
        <w:rPr>
          <w:color w:val="212121"/>
          <w:sz w:val="24"/>
          <w:szCs w:val="24"/>
          <w:shd w:val="clear" w:color="auto" w:fill="FFFFFF"/>
        </w:rPr>
      </w:pPr>
    </w:p>
    <w:p w14:paraId="2052221E" w14:textId="77777777" w:rsidR="00656D11" w:rsidRPr="00656D11" w:rsidRDefault="00656D11" w:rsidP="00656D11">
      <w:pPr>
        <w:spacing w:after="0" w:line="240" w:lineRule="auto"/>
        <w:jc w:val="left"/>
        <w:rPr>
          <w:b/>
          <w:sz w:val="24"/>
          <w:szCs w:val="24"/>
        </w:rPr>
      </w:pPr>
      <w:r w:rsidRPr="00656D11">
        <w:rPr>
          <w:color w:val="212121"/>
          <w:sz w:val="24"/>
          <w:szCs w:val="24"/>
          <w:shd w:val="clear" w:color="auto" w:fill="FFFFFF"/>
        </w:rPr>
        <w:t>Keiter Appellate Law and Mitchell Keiter for Amicus Populi as Amicus Curiae on behalf of Plaintiff and Respondent.</w:t>
      </w:r>
      <w:r w:rsidRPr="00656D11">
        <w:rPr>
          <w:color w:val="212121"/>
          <w:sz w:val="24"/>
          <w:szCs w:val="24"/>
          <w:shd w:val="clear" w:color="auto" w:fill="FFFFFF"/>
        </w:rPr>
        <w:br w:type="page"/>
      </w:r>
      <w:r w:rsidRPr="00656D11">
        <w:rPr>
          <w:b/>
          <w:sz w:val="24"/>
          <w:szCs w:val="24"/>
        </w:rPr>
        <w:t>Counsel who argued in Supreme Court (not intended for publication with opinion):</w:t>
      </w:r>
    </w:p>
    <w:p w14:paraId="09F38AE1" w14:textId="77777777" w:rsidR="00656D11" w:rsidRPr="00656D11" w:rsidRDefault="00656D11" w:rsidP="00656D11">
      <w:pPr>
        <w:spacing w:after="0" w:line="240" w:lineRule="auto"/>
        <w:jc w:val="left"/>
        <w:rPr>
          <w:b/>
          <w:sz w:val="24"/>
          <w:szCs w:val="24"/>
        </w:rPr>
      </w:pPr>
    </w:p>
    <w:p w14:paraId="5F239322" w14:textId="77777777" w:rsidR="00656D11" w:rsidRPr="00656D11" w:rsidRDefault="00656D11" w:rsidP="00656D11">
      <w:pPr>
        <w:spacing w:after="0" w:line="240" w:lineRule="auto"/>
        <w:jc w:val="left"/>
        <w:rPr>
          <w:color w:val="212121"/>
          <w:sz w:val="24"/>
          <w:szCs w:val="24"/>
          <w:shd w:val="clear" w:color="auto" w:fill="FFFFFF"/>
        </w:rPr>
      </w:pPr>
      <w:r w:rsidRPr="00656D11">
        <w:rPr>
          <w:color w:val="212121"/>
          <w:sz w:val="24"/>
          <w:szCs w:val="24"/>
          <w:shd w:val="clear" w:color="auto" w:fill="FFFFFF"/>
        </w:rPr>
        <w:t>Micah Reyner</w:t>
      </w:r>
    </w:p>
    <w:p w14:paraId="72D05E6F" w14:textId="77777777" w:rsidR="00656D11" w:rsidRPr="00656D11" w:rsidRDefault="00656D11" w:rsidP="00656D11">
      <w:pPr>
        <w:spacing w:after="0" w:line="240" w:lineRule="auto"/>
        <w:jc w:val="left"/>
        <w:rPr>
          <w:sz w:val="24"/>
          <w:szCs w:val="24"/>
        </w:rPr>
      </w:pPr>
      <w:r w:rsidRPr="00656D11">
        <w:rPr>
          <w:sz w:val="24"/>
          <w:szCs w:val="24"/>
        </w:rPr>
        <w:t>Law Offices of Beles &amp; Beles</w:t>
      </w:r>
    </w:p>
    <w:p w14:paraId="3EC3B56C" w14:textId="77777777" w:rsidR="00656D11" w:rsidRPr="00656D11" w:rsidRDefault="00656D11" w:rsidP="00656D11">
      <w:pPr>
        <w:spacing w:after="0" w:line="240" w:lineRule="auto"/>
        <w:jc w:val="left"/>
        <w:rPr>
          <w:sz w:val="24"/>
          <w:szCs w:val="24"/>
        </w:rPr>
      </w:pPr>
      <w:r w:rsidRPr="00656D11">
        <w:rPr>
          <w:sz w:val="24"/>
          <w:szCs w:val="24"/>
        </w:rPr>
        <w:t>1 Kaiser Plaza, Suite 2300</w:t>
      </w:r>
    </w:p>
    <w:p w14:paraId="7513B5B1" w14:textId="77777777" w:rsidR="00656D11" w:rsidRPr="00656D11" w:rsidRDefault="00656D11" w:rsidP="00656D11">
      <w:pPr>
        <w:spacing w:after="0" w:line="240" w:lineRule="auto"/>
        <w:jc w:val="left"/>
        <w:rPr>
          <w:sz w:val="24"/>
          <w:szCs w:val="24"/>
        </w:rPr>
      </w:pPr>
      <w:r w:rsidRPr="00656D11">
        <w:rPr>
          <w:sz w:val="24"/>
          <w:szCs w:val="24"/>
        </w:rPr>
        <w:t>Oakland, CA 94612</w:t>
      </w:r>
    </w:p>
    <w:p w14:paraId="102E2FC1" w14:textId="77777777" w:rsidR="00656D11" w:rsidRPr="00656D11" w:rsidRDefault="00656D11" w:rsidP="00656D11">
      <w:pPr>
        <w:spacing w:after="0" w:line="240" w:lineRule="auto"/>
        <w:jc w:val="left"/>
        <w:rPr>
          <w:sz w:val="24"/>
          <w:szCs w:val="24"/>
        </w:rPr>
      </w:pPr>
      <w:r w:rsidRPr="00656D11">
        <w:rPr>
          <w:sz w:val="24"/>
          <w:szCs w:val="24"/>
        </w:rPr>
        <w:t>(510) 836-0100</w:t>
      </w:r>
    </w:p>
    <w:p w14:paraId="56EABAAE" w14:textId="77777777" w:rsidR="00656D11" w:rsidRPr="00656D11" w:rsidRDefault="00656D11" w:rsidP="00656D11">
      <w:pPr>
        <w:spacing w:after="0" w:line="240" w:lineRule="auto"/>
        <w:jc w:val="left"/>
        <w:rPr>
          <w:sz w:val="24"/>
          <w:szCs w:val="24"/>
        </w:rPr>
      </w:pPr>
    </w:p>
    <w:p w14:paraId="06088E90" w14:textId="77777777" w:rsidR="00656D11" w:rsidRPr="00656D11" w:rsidRDefault="00656D11" w:rsidP="00656D11">
      <w:pPr>
        <w:spacing w:after="0" w:line="240" w:lineRule="auto"/>
        <w:jc w:val="left"/>
        <w:rPr>
          <w:sz w:val="24"/>
          <w:szCs w:val="24"/>
        </w:rPr>
      </w:pPr>
      <w:r w:rsidRPr="00656D11">
        <w:rPr>
          <w:sz w:val="24"/>
          <w:szCs w:val="24"/>
        </w:rPr>
        <w:t>Kimberley A. Donohue</w:t>
      </w:r>
    </w:p>
    <w:p w14:paraId="1151ECA1" w14:textId="77777777" w:rsidR="00656D11" w:rsidRPr="00656D11" w:rsidRDefault="00656D11" w:rsidP="00656D11">
      <w:pPr>
        <w:spacing w:after="0" w:line="240" w:lineRule="auto"/>
        <w:jc w:val="left"/>
        <w:rPr>
          <w:sz w:val="24"/>
          <w:szCs w:val="24"/>
        </w:rPr>
      </w:pPr>
      <w:r w:rsidRPr="00656D11">
        <w:rPr>
          <w:sz w:val="24"/>
          <w:szCs w:val="24"/>
        </w:rPr>
        <w:t>Deputy Attorney General</w:t>
      </w:r>
    </w:p>
    <w:p w14:paraId="0EEF8674" w14:textId="77777777" w:rsidR="00656D11" w:rsidRPr="00656D11" w:rsidRDefault="00656D11" w:rsidP="00656D11">
      <w:pPr>
        <w:spacing w:after="0" w:line="240" w:lineRule="auto"/>
        <w:jc w:val="left"/>
        <w:rPr>
          <w:sz w:val="24"/>
          <w:szCs w:val="24"/>
        </w:rPr>
      </w:pPr>
      <w:r w:rsidRPr="00656D11">
        <w:rPr>
          <w:sz w:val="24"/>
          <w:szCs w:val="24"/>
        </w:rPr>
        <w:t>1300 I Street</w:t>
      </w:r>
    </w:p>
    <w:p w14:paraId="1605B8D4" w14:textId="77777777" w:rsidR="00656D11" w:rsidRPr="00656D11" w:rsidRDefault="00656D11" w:rsidP="00656D11">
      <w:pPr>
        <w:spacing w:after="0" w:line="240" w:lineRule="auto"/>
        <w:jc w:val="left"/>
        <w:rPr>
          <w:sz w:val="24"/>
          <w:szCs w:val="24"/>
        </w:rPr>
      </w:pPr>
      <w:r w:rsidRPr="00656D11">
        <w:rPr>
          <w:sz w:val="24"/>
          <w:szCs w:val="24"/>
        </w:rPr>
        <w:t>Sacramento, CA 94244</w:t>
      </w:r>
    </w:p>
    <w:p w14:paraId="749068B1" w14:textId="77777777" w:rsidR="00656D11" w:rsidRPr="00656D11" w:rsidRDefault="00656D11" w:rsidP="00656D11">
      <w:pPr>
        <w:spacing w:after="0" w:line="240" w:lineRule="auto"/>
        <w:jc w:val="left"/>
        <w:rPr>
          <w:sz w:val="24"/>
          <w:szCs w:val="24"/>
        </w:rPr>
      </w:pPr>
      <w:r w:rsidRPr="00656D11">
        <w:rPr>
          <w:sz w:val="24"/>
          <w:szCs w:val="24"/>
        </w:rPr>
        <w:t>(916) 210-6135</w:t>
      </w:r>
    </w:p>
    <w:p w14:paraId="2A2B1072" w14:textId="77777777" w:rsidR="00656D11" w:rsidRPr="00B5115D" w:rsidRDefault="00656D11" w:rsidP="0058377E">
      <w:pPr>
        <w:tabs>
          <w:tab w:val="left" w:pos="1440"/>
        </w:tabs>
        <w:spacing w:after="0" w:line="240" w:lineRule="auto"/>
        <w:rPr>
          <w:color w:val="212121"/>
          <w:szCs w:val="27"/>
        </w:rPr>
      </w:pPr>
    </w:p>
    <w:sectPr w:rsidR="00656D11" w:rsidRPr="00B5115D"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1C09" w14:textId="77777777" w:rsidR="00B92E74" w:rsidRDefault="00B92E74">
      <w:r>
        <w:separator/>
      </w:r>
    </w:p>
  </w:endnote>
  <w:endnote w:type="continuationSeparator" w:id="0">
    <w:p w14:paraId="21ACDAE0" w14:textId="77777777" w:rsidR="00B92E74" w:rsidRDefault="00B9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4D1" w14:textId="77777777" w:rsidR="00E81258" w:rsidRDefault="00E8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7C17" w14:textId="77777777" w:rsidR="00642A4E" w:rsidRDefault="00E0552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4673" w14:textId="77777777" w:rsidR="00E81258" w:rsidRDefault="00E812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A58F" w14:textId="77777777" w:rsidR="00A31766" w:rsidRDefault="00A31766">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CA3" w14:textId="77777777" w:rsidR="00B271E8" w:rsidRDefault="00E812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1ACF" w14:textId="77777777" w:rsidR="00B271E8" w:rsidRDefault="00E812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543" w14:textId="77777777" w:rsidR="00B271E8" w:rsidRDefault="00E8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2D6F" w14:textId="77777777" w:rsidR="00B92E74" w:rsidRDefault="00B92E74">
      <w:r>
        <w:separator/>
      </w:r>
    </w:p>
  </w:footnote>
  <w:footnote w:type="continuationSeparator" w:id="0">
    <w:p w14:paraId="5DEBA0B3" w14:textId="364D7BF5" w:rsidR="00B92E74" w:rsidRDefault="00A31766">
      <w:pPr>
        <w:rPr>
          <w:sz w:val="22"/>
        </w:rPr>
      </w:pPr>
      <w:r>
        <w:continuationSeparator/>
      </w:r>
    </w:p>
  </w:footnote>
  <w:footnote w:type="continuationNotice" w:id="1">
    <w:p w14:paraId="5F26FDFF" w14:textId="55992D7C" w:rsidR="00B92E74" w:rsidRDefault="00B92E74">
      <w:pPr>
        <w:jc w:val="right"/>
        <w:rPr>
          <w:i/>
          <w:sz w:val="20"/>
        </w:rPr>
      </w:pPr>
    </w:p>
  </w:footnote>
  <w:footnote w:id="2">
    <w:p w14:paraId="071BA5EC" w14:textId="7DC05F89" w:rsidR="00497F5F" w:rsidRDefault="00497F5F" w:rsidP="00A31766">
      <w:pPr>
        <w:pStyle w:val="FootnoteText"/>
      </w:pPr>
      <w:r>
        <w:rPr>
          <w:rStyle w:val="FootnoteReference"/>
        </w:rPr>
        <w:footnoteRef/>
      </w:r>
      <w:r>
        <w:t xml:space="preserve"> </w:t>
      </w:r>
      <w:r>
        <w:tab/>
        <w:t xml:space="preserve">Our grant of review also included the following </w:t>
      </w:r>
      <w:r w:rsidR="000A67F4">
        <w:t>question</w:t>
      </w:r>
      <w:r>
        <w:t>:</w:t>
      </w:r>
      <w:r w:rsidR="000A67F4">
        <w:t xml:space="preserve"> </w:t>
      </w:r>
      <w:r w:rsidR="008C597F">
        <w:t xml:space="preserve"> </w:t>
      </w:r>
      <w:r w:rsidR="000A67F4">
        <w:t>“What</w:t>
      </w:r>
      <w:r w:rsidR="0026172E">
        <w:t xml:space="preserve"> impact</w:t>
      </w:r>
      <w:r w:rsidR="000A67F4">
        <w:t xml:space="preserve">, if any, do </w:t>
      </w:r>
      <w:r w:rsidR="000A67F4" w:rsidRPr="000A67F4">
        <w:rPr>
          <w:i/>
          <w:iCs/>
        </w:rPr>
        <w:t>People v. Chiu</w:t>
      </w:r>
      <w:r w:rsidR="000A67F4">
        <w:t xml:space="preserve"> (2014) 59 Cal.4th 155 and Senate Bill No. 1437 (Stats. 2018, ch. 1015, § 1, subd. (f)) have on the rule of </w:t>
      </w:r>
      <w:r w:rsidR="000A67F4" w:rsidRPr="000A67F4">
        <w:rPr>
          <w:i/>
          <w:iCs/>
        </w:rPr>
        <w:t>Sanchez</w:t>
      </w:r>
      <w:r w:rsidR="000A67F4">
        <w:t xml:space="preserve">?”  </w:t>
      </w:r>
      <w:r>
        <w:t xml:space="preserve">As </w:t>
      </w:r>
      <w:r w:rsidR="0057756C">
        <w:t xml:space="preserve">we </w:t>
      </w:r>
      <w:r>
        <w:t>explain below</w:t>
      </w:r>
      <w:r w:rsidR="003150DF">
        <w:t xml:space="preserve"> (see </w:t>
      </w:r>
      <w:r w:rsidR="003150DF" w:rsidRPr="009A4066">
        <w:rPr>
          <w:i/>
          <w:iCs/>
        </w:rPr>
        <w:t>post</w:t>
      </w:r>
      <w:r w:rsidR="003150DF">
        <w:t>, at pp.</w:t>
      </w:r>
      <w:r w:rsidR="00616744">
        <w:t xml:space="preserve"> </w:t>
      </w:r>
      <w:r w:rsidR="006330C7">
        <w:t>19</w:t>
      </w:r>
      <w:r w:rsidR="00455BA0">
        <w:t>–</w:t>
      </w:r>
      <w:r w:rsidR="006330C7">
        <w:t>22</w:t>
      </w:r>
      <w:r w:rsidR="003150DF">
        <w:t>)</w:t>
      </w:r>
      <w:r>
        <w:t>,</w:t>
      </w:r>
      <w:r w:rsidR="000A67F4">
        <w:t xml:space="preserve"> neither</w:t>
      </w:r>
      <w:r>
        <w:t xml:space="preserve"> </w:t>
      </w:r>
      <w:r w:rsidRPr="000A67F4">
        <w:rPr>
          <w:i/>
          <w:iCs/>
        </w:rPr>
        <w:t>Chiu</w:t>
      </w:r>
      <w:r>
        <w:t xml:space="preserve"> </w:t>
      </w:r>
      <w:r w:rsidR="000A67F4">
        <w:t>nor</w:t>
      </w:r>
      <w:r>
        <w:t xml:space="preserve"> Senate Bill</w:t>
      </w:r>
      <w:r w:rsidR="00274071">
        <w:t xml:space="preserve"> No.</w:t>
      </w:r>
      <w:r>
        <w:t xml:space="preserve"> 143</w:t>
      </w:r>
      <w:r w:rsidR="005832E0">
        <w:t>7</w:t>
      </w:r>
      <w:r w:rsidR="00D032D9">
        <w:t xml:space="preserve"> </w:t>
      </w:r>
      <w:r w:rsidR="00464D53">
        <w:t xml:space="preserve">(2017–2018 Reg. Sess.) (Senate Bill No. 1437) </w:t>
      </w:r>
      <w:r w:rsidR="00D032D9">
        <w:t xml:space="preserve">has any impact on whether </w:t>
      </w:r>
      <w:r w:rsidR="007E71A4">
        <w:t xml:space="preserve">our holding in </w:t>
      </w:r>
      <w:r w:rsidR="00D032D9" w:rsidRPr="00D032D9">
        <w:rPr>
          <w:i/>
          <w:iCs/>
        </w:rPr>
        <w:t>Sanchez</w:t>
      </w:r>
      <w:r w:rsidR="00D032D9">
        <w:t xml:space="preserve"> applies in this case.</w:t>
      </w:r>
    </w:p>
  </w:footnote>
  <w:footnote w:id="3">
    <w:p w14:paraId="175CD561" w14:textId="77777777" w:rsidR="003B25BD" w:rsidRDefault="003B25BD" w:rsidP="00A31766">
      <w:pPr>
        <w:pStyle w:val="FootnoteText"/>
      </w:pPr>
      <w:r>
        <w:rPr>
          <w:rStyle w:val="FootnoteReference"/>
        </w:rPr>
        <w:footnoteRef/>
      </w:r>
      <w:r>
        <w:t xml:space="preserve"> </w:t>
      </w:r>
      <w:r>
        <w:tab/>
        <w:t>All statutory references are to the Penal Code unless otherwise noted.</w:t>
      </w:r>
    </w:p>
  </w:footnote>
  <w:footnote w:id="4">
    <w:p w14:paraId="2C22870D" w14:textId="413D883A" w:rsidR="000363AF" w:rsidRDefault="000363AF" w:rsidP="00A31766">
      <w:pPr>
        <w:pStyle w:val="FootnoteText"/>
      </w:pPr>
      <w:r>
        <w:rPr>
          <w:rStyle w:val="FootnoteReference"/>
        </w:rPr>
        <w:footnoteRef/>
      </w:r>
      <w:r>
        <w:t xml:space="preserve"> </w:t>
      </w:r>
      <w:r>
        <w:tab/>
      </w:r>
      <w:r w:rsidR="003B35C0">
        <w:t xml:space="preserve">Though </w:t>
      </w:r>
      <w:r>
        <w:t>the standard instruction CALCRIM No. 520</w:t>
      </w:r>
      <w:r w:rsidR="003B35C0">
        <w:t xml:space="preserve"> explains that “[t]here may be more than one cause of death,”</w:t>
      </w:r>
      <w:r>
        <w:t xml:space="preserve"> </w:t>
      </w:r>
      <w:r w:rsidR="003B35C0">
        <w:t xml:space="preserve">it </w:t>
      </w:r>
      <w:r>
        <w:t xml:space="preserve">does </w:t>
      </w:r>
      <w:r w:rsidR="003B35C0">
        <w:t>not include language regarding “concurrent” causes, which is contained in CALJIC No. 3.41.</w:t>
      </w:r>
      <w:r w:rsidR="00B460EC">
        <w:t xml:space="preserve">  (See </w:t>
      </w:r>
      <w:r w:rsidR="00B460EC" w:rsidRPr="00B460EC">
        <w:rPr>
          <w:i/>
          <w:iCs/>
        </w:rPr>
        <w:t>post</w:t>
      </w:r>
      <w:r w:rsidR="00B460EC">
        <w:t>, at p</w:t>
      </w:r>
      <w:r w:rsidR="0094631A">
        <w:t xml:space="preserve">. </w:t>
      </w:r>
      <w:r w:rsidR="00692675">
        <w:t>8</w:t>
      </w:r>
      <w:r w:rsidR="00B460EC">
        <w:t xml:space="preserve">.) </w:t>
      </w:r>
      <w:r w:rsidR="003B35C0">
        <w:t xml:space="preserve"> </w:t>
      </w:r>
      <w:r w:rsidR="0094631A" w:rsidRPr="00CF5FB4">
        <w:t xml:space="preserve">CALCRIM No. 520 </w:t>
      </w:r>
      <w:r w:rsidR="00D30487">
        <w:t>provides</w:t>
      </w:r>
      <w:r w:rsidR="0094631A" w:rsidRPr="00CF5FB4">
        <w:t xml:space="preserve"> that a substantial factor, which is “more than a trivial or remote factor,” “does not have to be the only factor that causes the death.”</w:t>
      </w:r>
      <w:r w:rsidR="00CF5FB4">
        <w:t xml:space="preserve"> </w:t>
      </w:r>
      <w:r w:rsidR="0094631A">
        <w:t xml:space="preserve"> </w:t>
      </w:r>
      <w:r w:rsidR="003B35C0">
        <w:t xml:space="preserve">The trial court here instructed the jury in language virtually identical to CALJIC No. 3.41. </w:t>
      </w:r>
    </w:p>
  </w:footnote>
  <w:footnote w:id="5">
    <w:p w14:paraId="7A541DE3" w14:textId="6CF88DA8" w:rsidR="00E97EAB" w:rsidRDefault="00E97EAB" w:rsidP="00A31766">
      <w:pPr>
        <w:pStyle w:val="FootnoteText"/>
      </w:pPr>
      <w:r>
        <w:rPr>
          <w:rStyle w:val="FootnoteReference"/>
        </w:rPr>
        <w:footnoteRef/>
      </w:r>
      <w:r>
        <w:t xml:space="preserve"> </w:t>
      </w:r>
      <w:r>
        <w:tab/>
        <w:t>The Court of Appeal also affirmed Carney’s manslaughter conviction.  He petitioned for review in this court, but we denied his petition.</w:t>
      </w:r>
      <w:r w:rsidR="008F060D">
        <w:t xml:space="preserve"> </w:t>
      </w:r>
    </w:p>
  </w:footnote>
  <w:footnote w:id="6">
    <w:p w14:paraId="1823FABC" w14:textId="2CEC348D" w:rsidR="0066615F" w:rsidRDefault="0066615F" w:rsidP="00A31766">
      <w:pPr>
        <w:pStyle w:val="FootnoteText"/>
      </w:pPr>
      <w:r>
        <w:rPr>
          <w:rStyle w:val="FootnoteReference"/>
        </w:rPr>
        <w:footnoteRef/>
      </w:r>
      <w:r>
        <w:t xml:space="preserve"> </w:t>
      </w:r>
      <w:r>
        <w:tab/>
        <w:t>When referred to generally, the term “</w:t>
      </w:r>
      <w:r w:rsidR="00BE0206">
        <w:t> </w:t>
      </w:r>
      <w:r>
        <w:t>‘</w:t>
      </w:r>
      <w:r w:rsidR="00BE0206">
        <w:t> </w:t>
      </w:r>
      <w:r w:rsidR="002968A5">
        <w:t>“</w:t>
      </w:r>
      <w:r>
        <w:t xml:space="preserve">proximate cause </w:t>
      </w:r>
      <w:r w:rsidR="002968A5">
        <w:t>‘</w:t>
      </w:r>
      <w:r>
        <w:t>is ordinarily concerned, not with the fact of causation [i.e., cause in fact], but with the various considerations of policy that limit an actor’s responsibility for the consequences of his conduct.</w:t>
      </w:r>
      <w:r w:rsidR="002968A5">
        <w:t>’</w:t>
      </w:r>
      <w:r w:rsidR="00BE0206">
        <w:t> </w:t>
      </w:r>
      <w:r>
        <w:t>”</w:t>
      </w:r>
      <w:r w:rsidR="00486D0C">
        <w:t> ’</w:t>
      </w:r>
      <w:r>
        <w:t xml:space="preserve">  [Citation.]</w:t>
      </w:r>
      <w:r w:rsidR="008771F5">
        <w:t>”</w:t>
      </w:r>
      <w:r>
        <w:t xml:space="preserve"> </w:t>
      </w:r>
      <w:r w:rsidR="002968A5">
        <w:t xml:space="preserve"> [Citation.]</w:t>
      </w:r>
      <w:r>
        <w:t xml:space="preserve"> As Witkin puts it, ‘[t]he doctrine of proximate cause limits liability; i.e., in certain situations where the defendant’s conduct is an actual cause of </w:t>
      </w:r>
      <w:r w:rsidR="002F4608">
        <w:t xml:space="preserve">the </w:t>
      </w:r>
      <w:r>
        <w:t>harm, the defendant will nevertheless be absolved because of the manner in which the injury occurred.</w:t>
      </w:r>
      <w:r w:rsidR="002F4608">
        <w:t>’</w:t>
      </w:r>
      <w:r w:rsidR="00BE0206">
        <w:t> </w:t>
      </w:r>
      <w:r>
        <w:t>”  (</w:t>
      </w:r>
      <w:r w:rsidRPr="005F7B83">
        <w:rPr>
          <w:i/>
          <w:iCs/>
        </w:rPr>
        <w:t>State Dept. of State Hospital</w:t>
      </w:r>
      <w:r>
        <w:rPr>
          <w:i/>
          <w:iCs/>
        </w:rPr>
        <w:t>s, supra,</w:t>
      </w:r>
      <w:r>
        <w:t xml:space="preserve"> 61 Cal.4th at p. 353.)</w:t>
      </w:r>
    </w:p>
  </w:footnote>
  <w:footnote w:id="7">
    <w:p w14:paraId="2F1EE1DD" w14:textId="53C14EBE" w:rsidR="00237E7E" w:rsidRDefault="000821F2" w:rsidP="00A31766">
      <w:pPr>
        <w:pStyle w:val="FootnoteText"/>
        <w:rPr>
          <w:color w:val="000000"/>
          <w:szCs w:val="26"/>
        </w:rPr>
      </w:pPr>
      <w:r>
        <w:rPr>
          <w:rStyle w:val="FootnoteReference"/>
        </w:rPr>
        <w:footnoteRef/>
      </w:r>
      <w:r>
        <w:t xml:space="preserve"> </w:t>
      </w:r>
      <w:r>
        <w:tab/>
        <w:t xml:space="preserve">The </w:t>
      </w:r>
      <w:r w:rsidR="000D67D9" w:rsidRPr="000D67D9">
        <w:rPr>
          <w:i/>
          <w:iCs/>
        </w:rPr>
        <w:t xml:space="preserve">Sanchez </w:t>
      </w:r>
      <w:r>
        <w:t xml:space="preserve">jury </w:t>
      </w:r>
      <w:r w:rsidR="005962EE">
        <w:t>was instructed</w:t>
      </w:r>
      <w:r>
        <w:t>:</w:t>
      </w:r>
      <w:r w:rsidRPr="002D7B41">
        <w:rPr>
          <w:szCs w:val="26"/>
        </w:rPr>
        <w:t xml:space="preserve">  </w:t>
      </w:r>
      <w:r w:rsidRPr="002D7B41">
        <w:rPr>
          <w:color w:val="000000"/>
          <w:szCs w:val="26"/>
        </w:rPr>
        <w:t>“</w:t>
      </w:r>
      <w:r w:rsidR="00BE0206">
        <w:rPr>
          <w:color w:val="000000"/>
          <w:szCs w:val="26"/>
        </w:rPr>
        <w:t> </w:t>
      </w:r>
      <w:r w:rsidR="008B6F63">
        <w:rPr>
          <w:color w:val="000000"/>
          <w:szCs w:val="26"/>
        </w:rPr>
        <w:t>‘</w:t>
      </w:r>
      <w:r w:rsidRPr="002D7B41">
        <w:rPr>
          <w:color w:val="000000"/>
          <w:szCs w:val="26"/>
        </w:rPr>
        <w:t xml:space="preserve">A cause of death is an act that sets in motion a chain of events that produces as a direct, natural and probable consequence of the act, the death of a human being, and without which the death would not occur. </w:t>
      </w:r>
      <w:r>
        <w:rPr>
          <w:color w:val="000000"/>
          <w:szCs w:val="26"/>
        </w:rPr>
        <w:t xml:space="preserve"> </w:t>
      </w:r>
      <w:r w:rsidRPr="002D7B41">
        <w:rPr>
          <w:color w:val="000000"/>
          <w:szCs w:val="26"/>
        </w:rPr>
        <w:t>[¶]</w:t>
      </w:r>
      <w:r>
        <w:rPr>
          <w:color w:val="000000"/>
          <w:szCs w:val="26"/>
        </w:rPr>
        <w:t xml:space="preserve"> </w:t>
      </w:r>
      <w:r w:rsidRPr="002D7B41">
        <w:rPr>
          <w:color w:val="000000"/>
          <w:szCs w:val="26"/>
        </w:rPr>
        <w:t xml:space="preserve"> There may be more than one cause of the death.</w:t>
      </w:r>
      <w:r>
        <w:rPr>
          <w:color w:val="000000"/>
          <w:szCs w:val="26"/>
        </w:rPr>
        <w:t xml:space="preserve"> </w:t>
      </w:r>
      <w:r w:rsidRPr="002D7B41">
        <w:rPr>
          <w:color w:val="000000"/>
          <w:szCs w:val="26"/>
        </w:rPr>
        <w:t xml:space="preserve"> [¶] </w:t>
      </w:r>
      <w:r>
        <w:rPr>
          <w:color w:val="000000"/>
          <w:szCs w:val="26"/>
        </w:rPr>
        <w:t xml:space="preserve"> </w:t>
      </w:r>
      <w:r w:rsidRPr="00563325">
        <w:rPr>
          <w:i/>
          <w:iCs/>
          <w:color w:val="000000"/>
          <w:szCs w:val="26"/>
        </w:rPr>
        <w:t>When the conduct of two or more persons contributes concurrently as a cause of the death, the conduct of each is a cause of the death if that conduct was also a substantial factor contributing to the death</w:t>
      </w:r>
      <w:r w:rsidRPr="002D7B41">
        <w:rPr>
          <w:color w:val="000000"/>
          <w:szCs w:val="26"/>
        </w:rPr>
        <w:t xml:space="preserve">. </w:t>
      </w:r>
      <w:r>
        <w:rPr>
          <w:color w:val="000000"/>
          <w:szCs w:val="26"/>
        </w:rPr>
        <w:t xml:space="preserve"> </w:t>
      </w:r>
      <w:r w:rsidRPr="002D7B41">
        <w:rPr>
          <w:color w:val="000000"/>
          <w:szCs w:val="26"/>
        </w:rPr>
        <w:t xml:space="preserve">[¶] </w:t>
      </w:r>
      <w:r>
        <w:rPr>
          <w:color w:val="000000"/>
          <w:szCs w:val="26"/>
        </w:rPr>
        <w:t xml:space="preserve"> </w:t>
      </w:r>
      <w:r w:rsidRPr="002D7B41">
        <w:rPr>
          <w:color w:val="000000"/>
          <w:szCs w:val="26"/>
        </w:rPr>
        <w:t>A cause is a concurrent cause if it was operative at the moment of death and acted with another force to produce the death.</w:t>
      </w:r>
      <w:r>
        <w:rPr>
          <w:color w:val="000000"/>
          <w:szCs w:val="26"/>
        </w:rPr>
        <w:t xml:space="preserve"> </w:t>
      </w:r>
      <w:r w:rsidRPr="002D7B41">
        <w:rPr>
          <w:color w:val="000000"/>
          <w:szCs w:val="26"/>
        </w:rPr>
        <w:t xml:space="preserve"> [¶] </w:t>
      </w:r>
      <w:r>
        <w:rPr>
          <w:color w:val="000000"/>
          <w:szCs w:val="26"/>
        </w:rPr>
        <w:t xml:space="preserve"> </w:t>
      </w:r>
      <w:r w:rsidRPr="002D7B41">
        <w:rPr>
          <w:color w:val="000000"/>
          <w:szCs w:val="26"/>
        </w:rPr>
        <w:t>If you find that a defendant’s conduct was a cause of death to another person, then it is no defense that the conduct of some other person also contributed to the death.</w:t>
      </w:r>
      <w:r w:rsidR="008B6F63">
        <w:rPr>
          <w:color w:val="000000"/>
          <w:szCs w:val="26"/>
        </w:rPr>
        <w:t>’</w:t>
      </w:r>
      <w:r w:rsidR="00BE0206">
        <w:rPr>
          <w:color w:val="000000"/>
          <w:szCs w:val="26"/>
        </w:rPr>
        <w:t> </w:t>
      </w:r>
      <w:r w:rsidRPr="002D7B41">
        <w:rPr>
          <w:color w:val="000000"/>
          <w:szCs w:val="26"/>
        </w:rPr>
        <w:t xml:space="preserve">” </w:t>
      </w:r>
      <w:r>
        <w:rPr>
          <w:color w:val="000000"/>
          <w:szCs w:val="26"/>
        </w:rPr>
        <w:t xml:space="preserve"> (</w:t>
      </w:r>
      <w:r w:rsidRPr="00D36B3A">
        <w:rPr>
          <w:i/>
          <w:iCs/>
          <w:color w:val="000000"/>
          <w:szCs w:val="26"/>
        </w:rPr>
        <w:t>Sanchez</w:t>
      </w:r>
      <w:r>
        <w:rPr>
          <w:color w:val="000000"/>
          <w:szCs w:val="26"/>
        </w:rPr>
        <w:t xml:space="preserve">, </w:t>
      </w:r>
      <w:r w:rsidRPr="00D36B3A">
        <w:rPr>
          <w:i/>
          <w:iCs/>
          <w:color w:val="000000"/>
          <w:szCs w:val="26"/>
        </w:rPr>
        <w:t>supra</w:t>
      </w:r>
      <w:r>
        <w:rPr>
          <w:color w:val="000000"/>
          <w:szCs w:val="26"/>
        </w:rPr>
        <w:t>,</w:t>
      </w:r>
      <w:r w:rsidR="00DA14BB">
        <w:rPr>
          <w:color w:val="000000"/>
          <w:szCs w:val="26"/>
        </w:rPr>
        <w:t xml:space="preserve"> 26 Cal.4th </w:t>
      </w:r>
      <w:r>
        <w:rPr>
          <w:color w:val="000000"/>
          <w:szCs w:val="26"/>
        </w:rPr>
        <w:t xml:space="preserve">at </w:t>
      </w:r>
      <w:r w:rsidR="001A1A75">
        <w:rPr>
          <w:color w:val="000000"/>
          <w:szCs w:val="26"/>
        </w:rPr>
        <w:t>p</w:t>
      </w:r>
      <w:r>
        <w:rPr>
          <w:color w:val="000000"/>
          <w:szCs w:val="26"/>
        </w:rPr>
        <w:t>p.</w:t>
      </w:r>
      <w:r w:rsidR="001A1A75">
        <w:rPr>
          <w:color w:val="000000"/>
          <w:szCs w:val="26"/>
        </w:rPr>
        <w:t xml:space="preserve"> 843,</w:t>
      </w:r>
      <w:r>
        <w:rPr>
          <w:color w:val="000000"/>
          <w:szCs w:val="26"/>
        </w:rPr>
        <w:t xml:space="preserve"> 845, italics added; see CALJIC Nos. 3.40, 3.41.)  </w:t>
      </w:r>
    </w:p>
    <w:p w14:paraId="71FE1FCA" w14:textId="3186B4A5" w:rsidR="000821F2" w:rsidRDefault="00237E7E" w:rsidP="00A31766">
      <w:pPr>
        <w:pStyle w:val="FootnoteText"/>
      </w:pPr>
      <w:r>
        <w:rPr>
          <w:color w:val="000000"/>
          <w:szCs w:val="26"/>
        </w:rPr>
        <w:tab/>
      </w:r>
      <w:r w:rsidR="00CE21DA">
        <w:rPr>
          <w:color w:val="000000"/>
          <w:szCs w:val="26"/>
        </w:rPr>
        <w:t xml:space="preserve">The </w:t>
      </w:r>
      <w:r w:rsidR="002A399D">
        <w:rPr>
          <w:color w:val="000000"/>
          <w:szCs w:val="26"/>
        </w:rPr>
        <w:t xml:space="preserve">corresponding </w:t>
      </w:r>
      <w:r w:rsidR="00CE21DA">
        <w:rPr>
          <w:color w:val="000000"/>
          <w:szCs w:val="26"/>
        </w:rPr>
        <w:t>CAL</w:t>
      </w:r>
      <w:r w:rsidR="002A399D">
        <w:rPr>
          <w:color w:val="000000"/>
          <w:szCs w:val="26"/>
        </w:rPr>
        <w:t xml:space="preserve">CRIM </w:t>
      </w:r>
      <w:r w:rsidR="00E671F2">
        <w:rPr>
          <w:color w:val="000000"/>
          <w:szCs w:val="26"/>
        </w:rPr>
        <w:t xml:space="preserve">instruction on murder </w:t>
      </w:r>
      <w:r w:rsidR="00FA6D61">
        <w:rPr>
          <w:color w:val="000000"/>
          <w:szCs w:val="26"/>
        </w:rPr>
        <w:t>given in the instant case</w:t>
      </w:r>
      <w:r w:rsidR="00C776AE">
        <w:rPr>
          <w:color w:val="000000"/>
          <w:szCs w:val="26"/>
        </w:rPr>
        <w:t xml:space="preserve"> </w:t>
      </w:r>
      <w:r w:rsidR="00611C91">
        <w:rPr>
          <w:color w:val="000000"/>
          <w:szCs w:val="26"/>
        </w:rPr>
        <w:t xml:space="preserve">(CALCRIM No. 520) </w:t>
      </w:r>
      <w:r w:rsidR="00262874">
        <w:rPr>
          <w:color w:val="000000"/>
          <w:szCs w:val="26"/>
        </w:rPr>
        <w:t>incorporate</w:t>
      </w:r>
      <w:r w:rsidR="000C7A05">
        <w:rPr>
          <w:color w:val="000000"/>
          <w:szCs w:val="26"/>
        </w:rPr>
        <w:t>d the same</w:t>
      </w:r>
      <w:r w:rsidR="00FA6D61">
        <w:rPr>
          <w:color w:val="000000"/>
          <w:szCs w:val="26"/>
        </w:rPr>
        <w:t xml:space="preserve"> proximate cause language </w:t>
      </w:r>
      <w:r w:rsidR="000C7A05">
        <w:rPr>
          <w:color w:val="000000"/>
          <w:szCs w:val="26"/>
        </w:rPr>
        <w:t xml:space="preserve">as this instruction in </w:t>
      </w:r>
      <w:r w:rsidR="000C7A05" w:rsidRPr="00641B1B">
        <w:rPr>
          <w:i/>
          <w:iCs/>
          <w:color w:val="000000"/>
          <w:szCs w:val="26"/>
        </w:rPr>
        <w:t>Sanchez</w:t>
      </w:r>
      <w:r w:rsidR="00372E0A">
        <w:rPr>
          <w:color w:val="000000"/>
          <w:szCs w:val="26"/>
        </w:rPr>
        <w:t xml:space="preserve">. </w:t>
      </w:r>
    </w:p>
  </w:footnote>
  <w:footnote w:id="8">
    <w:p w14:paraId="63622232" w14:textId="3B168D61" w:rsidR="0088193B" w:rsidRDefault="0088193B" w:rsidP="00A31766">
      <w:pPr>
        <w:pStyle w:val="FootnoteText"/>
      </w:pPr>
      <w:r>
        <w:rPr>
          <w:rStyle w:val="FootnoteReference"/>
        </w:rPr>
        <w:footnoteRef/>
      </w:r>
      <w:r>
        <w:t xml:space="preserve"> </w:t>
      </w:r>
      <w:r>
        <w:tab/>
      </w:r>
      <w:bookmarkStart w:id="9" w:name="_Hlk137497007"/>
      <w:r>
        <w:t>In this part of her concurrence, Justice Kennard examined the possibility that Gonzalez rather than Sanchez fired the bullet that killed the bystander</w:t>
      </w:r>
      <w:r w:rsidR="005D59BF">
        <w:t xml:space="preserve"> </w:t>
      </w:r>
      <w:r w:rsidR="00B57AF9">
        <w:t xml:space="preserve">and explained </w:t>
      </w:r>
      <w:r w:rsidR="0087785E">
        <w:t xml:space="preserve">why </w:t>
      </w:r>
      <w:r w:rsidR="00B57AF9">
        <w:t>this possibility did not preclude a finding that Sanchez’s own “conduct caused [</w:t>
      </w:r>
      <w:r w:rsidR="00462706">
        <w:t>the</w:t>
      </w:r>
      <w:r w:rsidR="00B57AF9">
        <w:t>] death</w:t>
      </w:r>
      <w:r>
        <w:t>.</w:t>
      </w:r>
      <w:r w:rsidR="00B57AF9">
        <w:t>”</w:t>
      </w:r>
      <w:r>
        <w:t xml:space="preserve">  (</w:t>
      </w:r>
      <w:r w:rsidRPr="00462706">
        <w:rPr>
          <w:i/>
          <w:iCs/>
        </w:rPr>
        <w:t>Sanchez</w:t>
      </w:r>
      <w:r>
        <w:t xml:space="preserve">, </w:t>
      </w:r>
      <w:r w:rsidRPr="00462706">
        <w:rPr>
          <w:i/>
          <w:iCs/>
        </w:rPr>
        <w:t>supra</w:t>
      </w:r>
      <w:r>
        <w:t xml:space="preserve">, 26 Cal.4th at p. 855 (conc. opn. of Kennard, J.).) </w:t>
      </w:r>
      <w:bookmarkEnd w:id="9"/>
      <w:r>
        <w:t xml:space="preserve"> </w:t>
      </w:r>
    </w:p>
  </w:footnote>
  <w:footnote w:id="9">
    <w:p w14:paraId="6867038D" w14:textId="4787EEA5" w:rsidR="00AE5F38" w:rsidRDefault="00AE5F38" w:rsidP="00A31766">
      <w:pPr>
        <w:pStyle w:val="FootnoteText"/>
      </w:pPr>
      <w:r>
        <w:rPr>
          <w:rStyle w:val="FootnoteReference"/>
        </w:rPr>
        <w:footnoteRef/>
      </w:r>
      <w:r>
        <w:t xml:space="preserve"> </w:t>
      </w:r>
      <w:r>
        <w:tab/>
      </w:r>
      <w:r w:rsidR="00767B5C">
        <w:t xml:space="preserve">Some of our statements in </w:t>
      </w:r>
      <w:r w:rsidR="00767B5C" w:rsidRPr="00767B5C">
        <w:rPr>
          <w:i/>
          <w:iCs/>
        </w:rPr>
        <w:t>Sanchez</w:t>
      </w:r>
      <w:r w:rsidR="00767B5C">
        <w:t xml:space="preserve"> could be read as suggesting that the actual or direct cause of the bystander’s death is not relevant to the proximate cause determination.  (See, e.g., </w:t>
      </w:r>
      <w:r w:rsidR="00767B5C" w:rsidRPr="00767B5C">
        <w:rPr>
          <w:i/>
          <w:iCs/>
        </w:rPr>
        <w:t>Sanchez</w:t>
      </w:r>
      <w:r w:rsidR="00767B5C">
        <w:t>,</w:t>
      </w:r>
      <w:r w:rsidR="00767B5C" w:rsidRPr="00767B5C">
        <w:rPr>
          <w:i/>
          <w:iCs/>
        </w:rPr>
        <w:t xml:space="preserve"> supra</w:t>
      </w:r>
      <w:r w:rsidR="00767B5C">
        <w:t>, 26 Cal.4th at p. 845 [</w:t>
      </w:r>
      <w:r>
        <w:t>“it is proximate causation, not direct or actual causation, which, together with the requisite culpable mens rea (malice), determines defendant’s liability for murder”</w:t>
      </w:r>
      <w:r w:rsidR="00767B5C">
        <w:t>];</w:t>
      </w:r>
      <w:r>
        <w:t xml:space="preserve"> </w:t>
      </w:r>
      <w:r w:rsidRPr="00F10A88">
        <w:rPr>
          <w:i/>
          <w:iCs/>
        </w:rPr>
        <w:t>id</w:t>
      </w:r>
      <w:r>
        <w:t>. at p.</w:t>
      </w:r>
      <w:r w:rsidR="00767B5C">
        <w:t> </w:t>
      </w:r>
      <w:r>
        <w:t>854 [both defendants are guilty “</w:t>
      </w:r>
      <w:r w:rsidR="00BE0206">
        <w:t> </w:t>
      </w:r>
      <w:r w:rsidR="005D59BF">
        <w:t>‘</w:t>
      </w:r>
      <w:r>
        <w:t>without regard to which of them actually fired the bullet that struck and killed</w:t>
      </w:r>
      <w:r w:rsidR="005D59BF">
        <w:t>’</w:t>
      </w:r>
      <w:r w:rsidR="00BE0206">
        <w:t> </w:t>
      </w:r>
      <w:r>
        <w:t>” the bystander].)</w:t>
      </w:r>
      <w:r w:rsidR="00767B5C">
        <w:t xml:space="preserve">  To clarify, proximate cause consists of both cause in fact and policy considerations.  (See </w:t>
      </w:r>
      <w:r w:rsidR="00767B5C" w:rsidRPr="00767B5C">
        <w:rPr>
          <w:i/>
          <w:iCs/>
        </w:rPr>
        <w:t>ante</w:t>
      </w:r>
      <w:r w:rsidR="00767B5C">
        <w:t xml:space="preserve">, at pp. </w:t>
      </w:r>
      <w:r w:rsidR="002665D8">
        <w:t>7</w:t>
      </w:r>
      <w:r w:rsidR="00767B5C">
        <w:t>–</w:t>
      </w:r>
      <w:r w:rsidR="002665D8">
        <w:t>8</w:t>
      </w:r>
      <w:r w:rsidR="00767B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F50" w14:textId="77777777" w:rsidR="00E81258" w:rsidRDefault="00E8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8671" w14:textId="5FDC078D" w:rsidR="00D72FC0" w:rsidRDefault="00A31766">
    <w:pPr>
      <w:pStyle w:val="Header"/>
    </w:pPr>
    <w:r>
      <w:t>PEOPLE v. CARNEY</w:t>
    </w:r>
  </w:p>
  <w:p w14:paraId="1533223E" w14:textId="298FB93D" w:rsidR="00A31766" w:rsidRDefault="00A31766">
    <w:pPr>
      <w:pStyle w:val="Header"/>
    </w:pPr>
    <w:r>
      <w:t>Opinion of the Court by Jenkins, J.</w:t>
    </w:r>
  </w:p>
  <w:p w14:paraId="77B8BD3E" w14:textId="77777777" w:rsidR="00A31766" w:rsidRDefault="00A31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BDDA" w14:textId="77777777" w:rsidR="00E81258" w:rsidRDefault="00E812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39AC" w14:textId="77777777" w:rsidR="00B271E8" w:rsidRDefault="00E812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4F6D" w14:textId="77777777" w:rsidR="00B271E8" w:rsidRDefault="00E812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1CAE" w14:textId="77777777" w:rsidR="00B271E8" w:rsidRDefault="00E8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8CF"/>
    <w:multiLevelType w:val="hybridMultilevel"/>
    <w:tmpl w:val="BC663124"/>
    <w:lvl w:ilvl="0" w:tplc="23EC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13832"/>
    <w:multiLevelType w:val="hybridMultilevel"/>
    <w:tmpl w:val="B23411B6"/>
    <w:lvl w:ilvl="0" w:tplc="014AD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9933100">
    <w:abstractNumId w:val="1"/>
  </w:num>
  <w:num w:numId="2" w16cid:durableId="115895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4"/>
    <w:rsid w:val="000003A1"/>
    <w:rsid w:val="00000E23"/>
    <w:rsid w:val="00001818"/>
    <w:rsid w:val="000025AD"/>
    <w:rsid w:val="00002D13"/>
    <w:rsid w:val="0000482F"/>
    <w:rsid w:val="00004AB8"/>
    <w:rsid w:val="00005DCF"/>
    <w:rsid w:val="000064AC"/>
    <w:rsid w:val="00006A22"/>
    <w:rsid w:val="00007C1D"/>
    <w:rsid w:val="00007D92"/>
    <w:rsid w:val="00011E63"/>
    <w:rsid w:val="000120AE"/>
    <w:rsid w:val="00012B40"/>
    <w:rsid w:val="00013AC3"/>
    <w:rsid w:val="000143B3"/>
    <w:rsid w:val="00014D2D"/>
    <w:rsid w:val="00015B7D"/>
    <w:rsid w:val="00015E10"/>
    <w:rsid w:val="000167DB"/>
    <w:rsid w:val="00016912"/>
    <w:rsid w:val="00016A5D"/>
    <w:rsid w:val="00017749"/>
    <w:rsid w:val="00017AE9"/>
    <w:rsid w:val="00017F27"/>
    <w:rsid w:val="00020738"/>
    <w:rsid w:val="00021C14"/>
    <w:rsid w:val="000220FD"/>
    <w:rsid w:val="00022A25"/>
    <w:rsid w:val="0002460A"/>
    <w:rsid w:val="00024AEC"/>
    <w:rsid w:val="0002536D"/>
    <w:rsid w:val="00025D3E"/>
    <w:rsid w:val="00026D1E"/>
    <w:rsid w:val="00027FF1"/>
    <w:rsid w:val="00030412"/>
    <w:rsid w:val="0003048F"/>
    <w:rsid w:val="0003061F"/>
    <w:rsid w:val="00030F50"/>
    <w:rsid w:val="00031250"/>
    <w:rsid w:val="00031D6E"/>
    <w:rsid w:val="000322EF"/>
    <w:rsid w:val="00032391"/>
    <w:rsid w:val="000324B7"/>
    <w:rsid w:val="00032635"/>
    <w:rsid w:val="000336E9"/>
    <w:rsid w:val="0003444E"/>
    <w:rsid w:val="00034663"/>
    <w:rsid w:val="0003504E"/>
    <w:rsid w:val="000350B7"/>
    <w:rsid w:val="00035608"/>
    <w:rsid w:val="00035B50"/>
    <w:rsid w:val="00036118"/>
    <w:rsid w:val="000363AF"/>
    <w:rsid w:val="00036F5A"/>
    <w:rsid w:val="00037743"/>
    <w:rsid w:val="00037920"/>
    <w:rsid w:val="00040470"/>
    <w:rsid w:val="00040FF2"/>
    <w:rsid w:val="000411FF"/>
    <w:rsid w:val="000419B5"/>
    <w:rsid w:val="00042BC5"/>
    <w:rsid w:val="00042E03"/>
    <w:rsid w:val="0004354C"/>
    <w:rsid w:val="00043E30"/>
    <w:rsid w:val="000449A9"/>
    <w:rsid w:val="00045011"/>
    <w:rsid w:val="00045218"/>
    <w:rsid w:val="00046A34"/>
    <w:rsid w:val="00047648"/>
    <w:rsid w:val="0004770F"/>
    <w:rsid w:val="00047E4B"/>
    <w:rsid w:val="00050A1A"/>
    <w:rsid w:val="000522C3"/>
    <w:rsid w:val="0005310B"/>
    <w:rsid w:val="0005416E"/>
    <w:rsid w:val="00054216"/>
    <w:rsid w:val="000542F0"/>
    <w:rsid w:val="00054BEC"/>
    <w:rsid w:val="000551EE"/>
    <w:rsid w:val="00055399"/>
    <w:rsid w:val="000554E4"/>
    <w:rsid w:val="00056054"/>
    <w:rsid w:val="00056155"/>
    <w:rsid w:val="000600D4"/>
    <w:rsid w:val="00060C59"/>
    <w:rsid w:val="00060FD0"/>
    <w:rsid w:val="00061B74"/>
    <w:rsid w:val="000629BB"/>
    <w:rsid w:val="00063B7E"/>
    <w:rsid w:val="0006403F"/>
    <w:rsid w:val="000640EA"/>
    <w:rsid w:val="00064485"/>
    <w:rsid w:val="0006454A"/>
    <w:rsid w:val="00064E11"/>
    <w:rsid w:val="00065572"/>
    <w:rsid w:val="00065FD7"/>
    <w:rsid w:val="00066163"/>
    <w:rsid w:val="000667DF"/>
    <w:rsid w:val="00066F97"/>
    <w:rsid w:val="00070152"/>
    <w:rsid w:val="00070742"/>
    <w:rsid w:val="00071C78"/>
    <w:rsid w:val="00071C89"/>
    <w:rsid w:val="0007315E"/>
    <w:rsid w:val="0007324D"/>
    <w:rsid w:val="000761D3"/>
    <w:rsid w:val="000764D5"/>
    <w:rsid w:val="00076C1C"/>
    <w:rsid w:val="00080840"/>
    <w:rsid w:val="00080A30"/>
    <w:rsid w:val="00080CFD"/>
    <w:rsid w:val="000811C2"/>
    <w:rsid w:val="00081BA1"/>
    <w:rsid w:val="00081C54"/>
    <w:rsid w:val="000821F2"/>
    <w:rsid w:val="0008224E"/>
    <w:rsid w:val="00083404"/>
    <w:rsid w:val="000849C1"/>
    <w:rsid w:val="00084A0C"/>
    <w:rsid w:val="00084B1E"/>
    <w:rsid w:val="000856DC"/>
    <w:rsid w:val="00085930"/>
    <w:rsid w:val="00085EE1"/>
    <w:rsid w:val="00085F92"/>
    <w:rsid w:val="0008681F"/>
    <w:rsid w:val="00087923"/>
    <w:rsid w:val="00087A87"/>
    <w:rsid w:val="000904BB"/>
    <w:rsid w:val="000907B2"/>
    <w:rsid w:val="0009091B"/>
    <w:rsid w:val="00090DF3"/>
    <w:rsid w:val="00091947"/>
    <w:rsid w:val="00091EA9"/>
    <w:rsid w:val="00093799"/>
    <w:rsid w:val="000941B3"/>
    <w:rsid w:val="000948AD"/>
    <w:rsid w:val="00094AC4"/>
    <w:rsid w:val="00095DFF"/>
    <w:rsid w:val="000961FA"/>
    <w:rsid w:val="000963E0"/>
    <w:rsid w:val="000967D4"/>
    <w:rsid w:val="00096936"/>
    <w:rsid w:val="000A1F1F"/>
    <w:rsid w:val="000A2335"/>
    <w:rsid w:val="000A250C"/>
    <w:rsid w:val="000A26E1"/>
    <w:rsid w:val="000A30C5"/>
    <w:rsid w:val="000A328E"/>
    <w:rsid w:val="000A3D5C"/>
    <w:rsid w:val="000A4517"/>
    <w:rsid w:val="000A5D3F"/>
    <w:rsid w:val="000A67F4"/>
    <w:rsid w:val="000A67FC"/>
    <w:rsid w:val="000A698C"/>
    <w:rsid w:val="000A6B0D"/>
    <w:rsid w:val="000A7FE6"/>
    <w:rsid w:val="000B01CC"/>
    <w:rsid w:val="000B04FA"/>
    <w:rsid w:val="000B0E07"/>
    <w:rsid w:val="000B1CCA"/>
    <w:rsid w:val="000B2AA2"/>
    <w:rsid w:val="000B30C5"/>
    <w:rsid w:val="000B33D0"/>
    <w:rsid w:val="000B4FEF"/>
    <w:rsid w:val="000B7C35"/>
    <w:rsid w:val="000C0162"/>
    <w:rsid w:val="000C09D4"/>
    <w:rsid w:val="000C0B7C"/>
    <w:rsid w:val="000C1B62"/>
    <w:rsid w:val="000C1BE6"/>
    <w:rsid w:val="000C2338"/>
    <w:rsid w:val="000C3061"/>
    <w:rsid w:val="000C3302"/>
    <w:rsid w:val="000C3662"/>
    <w:rsid w:val="000C3D0C"/>
    <w:rsid w:val="000C41C5"/>
    <w:rsid w:val="000C4A78"/>
    <w:rsid w:val="000C4B4D"/>
    <w:rsid w:val="000C4C83"/>
    <w:rsid w:val="000C509B"/>
    <w:rsid w:val="000C64DB"/>
    <w:rsid w:val="000C6C57"/>
    <w:rsid w:val="000C791C"/>
    <w:rsid w:val="000C7A05"/>
    <w:rsid w:val="000D0536"/>
    <w:rsid w:val="000D1918"/>
    <w:rsid w:val="000D37A9"/>
    <w:rsid w:val="000D3E7F"/>
    <w:rsid w:val="000D4BB2"/>
    <w:rsid w:val="000D4F05"/>
    <w:rsid w:val="000D64BA"/>
    <w:rsid w:val="000D67D9"/>
    <w:rsid w:val="000D7EAC"/>
    <w:rsid w:val="000E02D9"/>
    <w:rsid w:val="000E0CFC"/>
    <w:rsid w:val="000E1261"/>
    <w:rsid w:val="000E278F"/>
    <w:rsid w:val="000E2BE2"/>
    <w:rsid w:val="000E2D3E"/>
    <w:rsid w:val="000E354E"/>
    <w:rsid w:val="000E3981"/>
    <w:rsid w:val="000E3EAE"/>
    <w:rsid w:val="000E6919"/>
    <w:rsid w:val="000F06DB"/>
    <w:rsid w:val="000F10CC"/>
    <w:rsid w:val="000F17B3"/>
    <w:rsid w:val="000F1A97"/>
    <w:rsid w:val="000F25DD"/>
    <w:rsid w:val="000F3857"/>
    <w:rsid w:val="000F388B"/>
    <w:rsid w:val="000F4245"/>
    <w:rsid w:val="000F4BCD"/>
    <w:rsid w:val="000F4BD9"/>
    <w:rsid w:val="000F4F7C"/>
    <w:rsid w:val="000F5D57"/>
    <w:rsid w:val="000F5DEA"/>
    <w:rsid w:val="000F692C"/>
    <w:rsid w:val="000F69A1"/>
    <w:rsid w:val="000F6B13"/>
    <w:rsid w:val="000F6F7C"/>
    <w:rsid w:val="000F70ED"/>
    <w:rsid w:val="000F714F"/>
    <w:rsid w:val="000F7555"/>
    <w:rsid w:val="000F7685"/>
    <w:rsid w:val="000F7ADD"/>
    <w:rsid w:val="00100960"/>
    <w:rsid w:val="00101A1D"/>
    <w:rsid w:val="00102BA7"/>
    <w:rsid w:val="00104B3D"/>
    <w:rsid w:val="00104B5E"/>
    <w:rsid w:val="001076C7"/>
    <w:rsid w:val="00110EC2"/>
    <w:rsid w:val="0011144E"/>
    <w:rsid w:val="00111AD6"/>
    <w:rsid w:val="00111B10"/>
    <w:rsid w:val="00112694"/>
    <w:rsid w:val="00112A50"/>
    <w:rsid w:val="00112F76"/>
    <w:rsid w:val="00113058"/>
    <w:rsid w:val="001130DD"/>
    <w:rsid w:val="00113524"/>
    <w:rsid w:val="00113B0C"/>
    <w:rsid w:val="00114975"/>
    <w:rsid w:val="00115054"/>
    <w:rsid w:val="0011510B"/>
    <w:rsid w:val="00116585"/>
    <w:rsid w:val="001165E1"/>
    <w:rsid w:val="0012124D"/>
    <w:rsid w:val="001229DA"/>
    <w:rsid w:val="00124EEA"/>
    <w:rsid w:val="001250AA"/>
    <w:rsid w:val="001267EA"/>
    <w:rsid w:val="0012733D"/>
    <w:rsid w:val="001275B4"/>
    <w:rsid w:val="00127E98"/>
    <w:rsid w:val="00131283"/>
    <w:rsid w:val="0013297E"/>
    <w:rsid w:val="00133229"/>
    <w:rsid w:val="00133ACA"/>
    <w:rsid w:val="00134263"/>
    <w:rsid w:val="001345E4"/>
    <w:rsid w:val="00135576"/>
    <w:rsid w:val="00135735"/>
    <w:rsid w:val="00135F38"/>
    <w:rsid w:val="0013681F"/>
    <w:rsid w:val="00136D71"/>
    <w:rsid w:val="00140054"/>
    <w:rsid w:val="00140524"/>
    <w:rsid w:val="001405CB"/>
    <w:rsid w:val="00140A4E"/>
    <w:rsid w:val="001413AF"/>
    <w:rsid w:val="0014165A"/>
    <w:rsid w:val="0014182B"/>
    <w:rsid w:val="00142BDB"/>
    <w:rsid w:val="00143407"/>
    <w:rsid w:val="001438BC"/>
    <w:rsid w:val="00144999"/>
    <w:rsid w:val="00144DB0"/>
    <w:rsid w:val="00144FAA"/>
    <w:rsid w:val="00145321"/>
    <w:rsid w:val="0014566D"/>
    <w:rsid w:val="00146296"/>
    <w:rsid w:val="001506BC"/>
    <w:rsid w:val="00150FA9"/>
    <w:rsid w:val="00151662"/>
    <w:rsid w:val="0015226A"/>
    <w:rsid w:val="0015294E"/>
    <w:rsid w:val="00153032"/>
    <w:rsid w:val="001537E6"/>
    <w:rsid w:val="0015472A"/>
    <w:rsid w:val="00154906"/>
    <w:rsid w:val="00154E8F"/>
    <w:rsid w:val="001552A5"/>
    <w:rsid w:val="0015674C"/>
    <w:rsid w:val="00157655"/>
    <w:rsid w:val="00157687"/>
    <w:rsid w:val="001600E4"/>
    <w:rsid w:val="00160221"/>
    <w:rsid w:val="0016058D"/>
    <w:rsid w:val="00162815"/>
    <w:rsid w:val="001628AA"/>
    <w:rsid w:val="001628C3"/>
    <w:rsid w:val="00162983"/>
    <w:rsid w:val="00162E06"/>
    <w:rsid w:val="00163CC2"/>
    <w:rsid w:val="00163E24"/>
    <w:rsid w:val="00164298"/>
    <w:rsid w:val="001648E9"/>
    <w:rsid w:val="00166514"/>
    <w:rsid w:val="001668EB"/>
    <w:rsid w:val="00167AFC"/>
    <w:rsid w:val="001704C7"/>
    <w:rsid w:val="001708D1"/>
    <w:rsid w:val="00171BB1"/>
    <w:rsid w:val="001738DE"/>
    <w:rsid w:val="00173E7C"/>
    <w:rsid w:val="0017498C"/>
    <w:rsid w:val="00174CE0"/>
    <w:rsid w:val="0017516A"/>
    <w:rsid w:val="00175228"/>
    <w:rsid w:val="00175930"/>
    <w:rsid w:val="00177E81"/>
    <w:rsid w:val="00180A25"/>
    <w:rsid w:val="001811D8"/>
    <w:rsid w:val="00181DB2"/>
    <w:rsid w:val="00182960"/>
    <w:rsid w:val="001829EA"/>
    <w:rsid w:val="001848B7"/>
    <w:rsid w:val="00184D1B"/>
    <w:rsid w:val="001851A7"/>
    <w:rsid w:val="00185A5E"/>
    <w:rsid w:val="00185E79"/>
    <w:rsid w:val="0018619C"/>
    <w:rsid w:val="0018635C"/>
    <w:rsid w:val="00187B23"/>
    <w:rsid w:val="00187D11"/>
    <w:rsid w:val="00190C11"/>
    <w:rsid w:val="00191D63"/>
    <w:rsid w:val="00192E92"/>
    <w:rsid w:val="00192F3B"/>
    <w:rsid w:val="001933A8"/>
    <w:rsid w:val="00195140"/>
    <w:rsid w:val="00195A4E"/>
    <w:rsid w:val="00195CEC"/>
    <w:rsid w:val="00196321"/>
    <w:rsid w:val="00197431"/>
    <w:rsid w:val="001A0233"/>
    <w:rsid w:val="001A05C0"/>
    <w:rsid w:val="001A0A92"/>
    <w:rsid w:val="001A15F1"/>
    <w:rsid w:val="001A1973"/>
    <w:rsid w:val="001A1A1A"/>
    <w:rsid w:val="001A1A75"/>
    <w:rsid w:val="001A241A"/>
    <w:rsid w:val="001A27F1"/>
    <w:rsid w:val="001A2AE7"/>
    <w:rsid w:val="001A36E7"/>
    <w:rsid w:val="001A4285"/>
    <w:rsid w:val="001A46F5"/>
    <w:rsid w:val="001A48AD"/>
    <w:rsid w:val="001A4CFA"/>
    <w:rsid w:val="001A6336"/>
    <w:rsid w:val="001A6691"/>
    <w:rsid w:val="001A6FB3"/>
    <w:rsid w:val="001B0170"/>
    <w:rsid w:val="001B0287"/>
    <w:rsid w:val="001B05F9"/>
    <w:rsid w:val="001B08A0"/>
    <w:rsid w:val="001B0C84"/>
    <w:rsid w:val="001B106A"/>
    <w:rsid w:val="001B11A4"/>
    <w:rsid w:val="001B194B"/>
    <w:rsid w:val="001B2A32"/>
    <w:rsid w:val="001B2CAF"/>
    <w:rsid w:val="001B2E8E"/>
    <w:rsid w:val="001B33FF"/>
    <w:rsid w:val="001B43EC"/>
    <w:rsid w:val="001B45FE"/>
    <w:rsid w:val="001B596D"/>
    <w:rsid w:val="001B5D20"/>
    <w:rsid w:val="001B69A8"/>
    <w:rsid w:val="001B768C"/>
    <w:rsid w:val="001B7A61"/>
    <w:rsid w:val="001C0BFB"/>
    <w:rsid w:val="001C1A16"/>
    <w:rsid w:val="001C1FF2"/>
    <w:rsid w:val="001C246B"/>
    <w:rsid w:val="001C29FF"/>
    <w:rsid w:val="001C2C4F"/>
    <w:rsid w:val="001C328A"/>
    <w:rsid w:val="001C4918"/>
    <w:rsid w:val="001C67B4"/>
    <w:rsid w:val="001C6BA7"/>
    <w:rsid w:val="001C72F1"/>
    <w:rsid w:val="001C7A3F"/>
    <w:rsid w:val="001C7A59"/>
    <w:rsid w:val="001C7AC1"/>
    <w:rsid w:val="001D0208"/>
    <w:rsid w:val="001D1C48"/>
    <w:rsid w:val="001D2B6A"/>
    <w:rsid w:val="001D341D"/>
    <w:rsid w:val="001D366C"/>
    <w:rsid w:val="001D40BC"/>
    <w:rsid w:val="001D4A0B"/>
    <w:rsid w:val="001D5C73"/>
    <w:rsid w:val="001D6019"/>
    <w:rsid w:val="001D63E6"/>
    <w:rsid w:val="001D6B87"/>
    <w:rsid w:val="001D7220"/>
    <w:rsid w:val="001E1939"/>
    <w:rsid w:val="001E2A95"/>
    <w:rsid w:val="001E4247"/>
    <w:rsid w:val="001E4669"/>
    <w:rsid w:val="001E46B5"/>
    <w:rsid w:val="001E48DD"/>
    <w:rsid w:val="001E4A25"/>
    <w:rsid w:val="001E605A"/>
    <w:rsid w:val="001E63DD"/>
    <w:rsid w:val="001E6A4A"/>
    <w:rsid w:val="001E6F39"/>
    <w:rsid w:val="001E7A2B"/>
    <w:rsid w:val="001E7F53"/>
    <w:rsid w:val="001E7FF7"/>
    <w:rsid w:val="001F0928"/>
    <w:rsid w:val="001F0D98"/>
    <w:rsid w:val="001F1006"/>
    <w:rsid w:val="001F15BE"/>
    <w:rsid w:val="001F20AC"/>
    <w:rsid w:val="001F2193"/>
    <w:rsid w:val="001F221C"/>
    <w:rsid w:val="001F2C66"/>
    <w:rsid w:val="001F3FA2"/>
    <w:rsid w:val="001F4906"/>
    <w:rsid w:val="001F59FA"/>
    <w:rsid w:val="001F5D52"/>
    <w:rsid w:val="001F618D"/>
    <w:rsid w:val="001F631B"/>
    <w:rsid w:val="001F6375"/>
    <w:rsid w:val="001F76E6"/>
    <w:rsid w:val="00200039"/>
    <w:rsid w:val="00200212"/>
    <w:rsid w:val="00200A21"/>
    <w:rsid w:val="00200AD2"/>
    <w:rsid w:val="002010EE"/>
    <w:rsid w:val="0020115D"/>
    <w:rsid w:val="002015B2"/>
    <w:rsid w:val="002016F5"/>
    <w:rsid w:val="002019BE"/>
    <w:rsid w:val="0020247C"/>
    <w:rsid w:val="0020285E"/>
    <w:rsid w:val="00202BBF"/>
    <w:rsid w:val="00202EC7"/>
    <w:rsid w:val="0020343C"/>
    <w:rsid w:val="002036E9"/>
    <w:rsid w:val="002046F2"/>
    <w:rsid w:val="00204FA1"/>
    <w:rsid w:val="00205457"/>
    <w:rsid w:val="00205518"/>
    <w:rsid w:val="0020595A"/>
    <w:rsid w:val="00205993"/>
    <w:rsid w:val="00207B18"/>
    <w:rsid w:val="00207F8E"/>
    <w:rsid w:val="002103B4"/>
    <w:rsid w:val="00210C46"/>
    <w:rsid w:val="00211155"/>
    <w:rsid w:val="00211327"/>
    <w:rsid w:val="00211E98"/>
    <w:rsid w:val="0021254C"/>
    <w:rsid w:val="00212EA8"/>
    <w:rsid w:val="0021309E"/>
    <w:rsid w:val="0021364D"/>
    <w:rsid w:val="00213AB1"/>
    <w:rsid w:val="00213E5E"/>
    <w:rsid w:val="00213E89"/>
    <w:rsid w:val="002149E3"/>
    <w:rsid w:val="00214A18"/>
    <w:rsid w:val="0021682D"/>
    <w:rsid w:val="00216B1F"/>
    <w:rsid w:val="00217B26"/>
    <w:rsid w:val="002209CF"/>
    <w:rsid w:val="0022214B"/>
    <w:rsid w:val="002222E8"/>
    <w:rsid w:val="00222781"/>
    <w:rsid w:val="00222BED"/>
    <w:rsid w:val="0022349D"/>
    <w:rsid w:val="00224F59"/>
    <w:rsid w:val="002259CA"/>
    <w:rsid w:val="002263D4"/>
    <w:rsid w:val="002265E6"/>
    <w:rsid w:val="00226796"/>
    <w:rsid w:val="00226819"/>
    <w:rsid w:val="00226898"/>
    <w:rsid w:val="00226B50"/>
    <w:rsid w:val="0023014E"/>
    <w:rsid w:val="0023039F"/>
    <w:rsid w:val="00232A65"/>
    <w:rsid w:val="002335C6"/>
    <w:rsid w:val="00233D38"/>
    <w:rsid w:val="002343A5"/>
    <w:rsid w:val="002354E6"/>
    <w:rsid w:val="00235A73"/>
    <w:rsid w:val="00237E7E"/>
    <w:rsid w:val="00240654"/>
    <w:rsid w:val="00240858"/>
    <w:rsid w:val="002424BF"/>
    <w:rsid w:val="002425AC"/>
    <w:rsid w:val="002425F2"/>
    <w:rsid w:val="00243CEA"/>
    <w:rsid w:val="00243F41"/>
    <w:rsid w:val="00243FBE"/>
    <w:rsid w:val="002451C4"/>
    <w:rsid w:val="002452CE"/>
    <w:rsid w:val="00245885"/>
    <w:rsid w:val="00245C90"/>
    <w:rsid w:val="00246150"/>
    <w:rsid w:val="00246A77"/>
    <w:rsid w:val="00250BCB"/>
    <w:rsid w:val="00250E5E"/>
    <w:rsid w:val="00251EAD"/>
    <w:rsid w:val="0025213B"/>
    <w:rsid w:val="00253C6B"/>
    <w:rsid w:val="00254695"/>
    <w:rsid w:val="00255B7C"/>
    <w:rsid w:val="002610BB"/>
    <w:rsid w:val="0026172E"/>
    <w:rsid w:val="00261931"/>
    <w:rsid w:val="00261CDC"/>
    <w:rsid w:val="00261E3F"/>
    <w:rsid w:val="002621AC"/>
    <w:rsid w:val="002623F3"/>
    <w:rsid w:val="00262734"/>
    <w:rsid w:val="00262874"/>
    <w:rsid w:val="002631E1"/>
    <w:rsid w:val="00263A3A"/>
    <w:rsid w:val="00264449"/>
    <w:rsid w:val="00265DF8"/>
    <w:rsid w:val="002665D8"/>
    <w:rsid w:val="00266D64"/>
    <w:rsid w:val="00267807"/>
    <w:rsid w:val="00270FEA"/>
    <w:rsid w:val="00272113"/>
    <w:rsid w:val="00272A62"/>
    <w:rsid w:val="00273EBF"/>
    <w:rsid w:val="00274071"/>
    <w:rsid w:val="00274485"/>
    <w:rsid w:val="002749B9"/>
    <w:rsid w:val="00274A01"/>
    <w:rsid w:val="00276364"/>
    <w:rsid w:val="002763A9"/>
    <w:rsid w:val="002764C9"/>
    <w:rsid w:val="002768E1"/>
    <w:rsid w:val="0027743A"/>
    <w:rsid w:val="00277698"/>
    <w:rsid w:val="00281913"/>
    <w:rsid w:val="00281A43"/>
    <w:rsid w:val="00282004"/>
    <w:rsid w:val="00282ECD"/>
    <w:rsid w:val="0028305F"/>
    <w:rsid w:val="00283E9A"/>
    <w:rsid w:val="00284121"/>
    <w:rsid w:val="00284482"/>
    <w:rsid w:val="00284C65"/>
    <w:rsid w:val="002850DD"/>
    <w:rsid w:val="002852DD"/>
    <w:rsid w:val="00285B50"/>
    <w:rsid w:val="00285D86"/>
    <w:rsid w:val="00285EF8"/>
    <w:rsid w:val="00286852"/>
    <w:rsid w:val="002873E0"/>
    <w:rsid w:val="00287A9D"/>
    <w:rsid w:val="00287FEB"/>
    <w:rsid w:val="0029061D"/>
    <w:rsid w:val="00290FC5"/>
    <w:rsid w:val="00291E37"/>
    <w:rsid w:val="00292D2C"/>
    <w:rsid w:val="00293165"/>
    <w:rsid w:val="0029332E"/>
    <w:rsid w:val="00293983"/>
    <w:rsid w:val="00294B5E"/>
    <w:rsid w:val="00294C72"/>
    <w:rsid w:val="002955FF"/>
    <w:rsid w:val="00295BA0"/>
    <w:rsid w:val="00295C70"/>
    <w:rsid w:val="00295F8F"/>
    <w:rsid w:val="0029603F"/>
    <w:rsid w:val="00296542"/>
    <w:rsid w:val="002968A5"/>
    <w:rsid w:val="002970DF"/>
    <w:rsid w:val="002973E3"/>
    <w:rsid w:val="002A0283"/>
    <w:rsid w:val="002A077B"/>
    <w:rsid w:val="002A0C2B"/>
    <w:rsid w:val="002A127D"/>
    <w:rsid w:val="002A1323"/>
    <w:rsid w:val="002A1A12"/>
    <w:rsid w:val="002A1E31"/>
    <w:rsid w:val="002A3236"/>
    <w:rsid w:val="002A346E"/>
    <w:rsid w:val="002A3598"/>
    <w:rsid w:val="002A370C"/>
    <w:rsid w:val="002A399D"/>
    <w:rsid w:val="002A39E5"/>
    <w:rsid w:val="002A4351"/>
    <w:rsid w:val="002A43C8"/>
    <w:rsid w:val="002A4C65"/>
    <w:rsid w:val="002A4D2D"/>
    <w:rsid w:val="002A5B9A"/>
    <w:rsid w:val="002A5E1B"/>
    <w:rsid w:val="002A6785"/>
    <w:rsid w:val="002A7DA3"/>
    <w:rsid w:val="002B079A"/>
    <w:rsid w:val="002B17CE"/>
    <w:rsid w:val="002B199B"/>
    <w:rsid w:val="002B1A7E"/>
    <w:rsid w:val="002B1DB0"/>
    <w:rsid w:val="002B1E2A"/>
    <w:rsid w:val="002B1F0D"/>
    <w:rsid w:val="002B2062"/>
    <w:rsid w:val="002B206C"/>
    <w:rsid w:val="002B2998"/>
    <w:rsid w:val="002B31A3"/>
    <w:rsid w:val="002B342F"/>
    <w:rsid w:val="002B36F7"/>
    <w:rsid w:val="002B3DDF"/>
    <w:rsid w:val="002B613A"/>
    <w:rsid w:val="002B62DD"/>
    <w:rsid w:val="002B63E5"/>
    <w:rsid w:val="002B646B"/>
    <w:rsid w:val="002B6B3F"/>
    <w:rsid w:val="002B6E39"/>
    <w:rsid w:val="002B79AB"/>
    <w:rsid w:val="002B7BBC"/>
    <w:rsid w:val="002B7E6F"/>
    <w:rsid w:val="002C0BD5"/>
    <w:rsid w:val="002C17E2"/>
    <w:rsid w:val="002C1A1B"/>
    <w:rsid w:val="002C1E87"/>
    <w:rsid w:val="002C254B"/>
    <w:rsid w:val="002C2FF0"/>
    <w:rsid w:val="002C30B8"/>
    <w:rsid w:val="002C3233"/>
    <w:rsid w:val="002C3A18"/>
    <w:rsid w:val="002C3C7D"/>
    <w:rsid w:val="002C4065"/>
    <w:rsid w:val="002C42B9"/>
    <w:rsid w:val="002C548D"/>
    <w:rsid w:val="002C5798"/>
    <w:rsid w:val="002C5D05"/>
    <w:rsid w:val="002C636E"/>
    <w:rsid w:val="002C725F"/>
    <w:rsid w:val="002C727B"/>
    <w:rsid w:val="002C7484"/>
    <w:rsid w:val="002C7A90"/>
    <w:rsid w:val="002C7FAD"/>
    <w:rsid w:val="002D1285"/>
    <w:rsid w:val="002D190D"/>
    <w:rsid w:val="002D1CA8"/>
    <w:rsid w:val="002D3471"/>
    <w:rsid w:val="002D3A55"/>
    <w:rsid w:val="002D3D9A"/>
    <w:rsid w:val="002D408D"/>
    <w:rsid w:val="002D59C1"/>
    <w:rsid w:val="002D5F23"/>
    <w:rsid w:val="002D7322"/>
    <w:rsid w:val="002D75E8"/>
    <w:rsid w:val="002D790E"/>
    <w:rsid w:val="002D7B41"/>
    <w:rsid w:val="002E04E0"/>
    <w:rsid w:val="002E14EB"/>
    <w:rsid w:val="002E1C42"/>
    <w:rsid w:val="002E2008"/>
    <w:rsid w:val="002E2762"/>
    <w:rsid w:val="002E285A"/>
    <w:rsid w:val="002E2D22"/>
    <w:rsid w:val="002E31AA"/>
    <w:rsid w:val="002E35EA"/>
    <w:rsid w:val="002E4948"/>
    <w:rsid w:val="002E4C8D"/>
    <w:rsid w:val="002E5E0A"/>
    <w:rsid w:val="002E7E80"/>
    <w:rsid w:val="002E7FD9"/>
    <w:rsid w:val="002F0300"/>
    <w:rsid w:val="002F0780"/>
    <w:rsid w:val="002F0A07"/>
    <w:rsid w:val="002F1AC2"/>
    <w:rsid w:val="002F2D94"/>
    <w:rsid w:val="002F34AA"/>
    <w:rsid w:val="002F4320"/>
    <w:rsid w:val="002F455D"/>
    <w:rsid w:val="002F4608"/>
    <w:rsid w:val="002F4AA4"/>
    <w:rsid w:val="002F4DD5"/>
    <w:rsid w:val="002F532D"/>
    <w:rsid w:val="002F5C41"/>
    <w:rsid w:val="002F627B"/>
    <w:rsid w:val="002F6332"/>
    <w:rsid w:val="002F6D93"/>
    <w:rsid w:val="002F79BC"/>
    <w:rsid w:val="002F7B96"/>
    <w:rsid w:val="00300F3D"/>
    <w:rsid w:val="00301076"/>
    <w:rsid w:val="003015C5"/>
    <w:rsid w:val="003037E5"/>
    <w:rsid w:val="00304A09"/>
    <w:rsid w:val="003051E0"/>
    <w:rsid w:val="003054BD"/>
    <w:rsid w:val="00305D38"/>
    <w:rsid w:val="00305D50"/>
    <w:rsid w:val="0030662C"/>
    <w:rsid w:val="00306874"/>
    <w:rsid w:val="00306F6E"/>
    <w:rsid w:val="003118DA"/>
    <w:rsid w:val="00311F0E"/>
    <w:rsid w:val="00313532"/>
    <w:rsid w:val="00314CAE"/>
    <w:rsid w:val="00314CD5"/>
    <w:rsid w:val="003150DF"/>
    <w:rsid w:val="0031562B"/>
    <w:rsid w:val="003161FD"/>
    <w:rsid w:val="00316785"/>
    <w:rsid w:val="00316C85"/>
    <w:rsid w:val="00316FF9"/>
    <w:rsid w:val="00317184"/>
    <w:rsid w:val="00317537"/>
    <w:rsid w:val="003211B4"/>
    <w:rsid w:val="00321BDF"/>
    <w:rsid w:val="003230CC"/>
    <w:rsid w:val="003231F3"/>
    <w:rsid w:val="003238DE"/>
    <w:rsid w:val="00323B9F"/>
    <w:rsid w:val="00323F1A"/>
    <w:rsid w:val="003247AA"/>
    <w:rsid w:val="003251CC"/>
    <w:rsid w:val="003251F5"/>
    <w:rsid w:val="003252B5"/>
    <w:rsid w:val="00326163"/>
    <w:rsid w:val="00326787"/>
    <w:rsid w:val="00327A6E"/>
    <w:rsid w:val="00327FB6"/>
    <w:rsid w:val="003324C0"/>
    <w:rsid w:val="0033656E"/>
    <w:rsid w:val="00336D2C"/>
    <w:rsid w:val="00336E96"/>
    <w:rsid w:val="00337263"/>
    <w:rsid w:val="003374DA"/>
    <w:rsid w:val="00337A1A"/>
    <w:rsid w:val="00337FCC"/>
    <w:rsid w:val="00340202"/>
    <w:rsid w:val="00340DDD"/>
    <w:rsid w:val="0034170D"/>
    <w:rsid w:val="003433DD"/>
    <w:rsid w:val="00345101"/>
    <w:rsid w:val="00345AE9"/>
    <w:rsid w:val="003460D9"/>
    <w:rsid w:val="003461F6"/>
    <w:rsid w:val="00346CCF"/>
    <w:rsid w:val="00346FA2"/>
    <w:rsid w:val="003474CE"/>
    <w:rsid w:val="003475A5"/>
    <w:rsid w:val="0035052A"/>
    <w:rsid w:val="00350A5D"/>
    <w:rsid w:val="00350EA9"/>
    <w:rsid w:val="00351212"/>
    <w:rsid w:val="0035129F"/>
    <w:rsid w:val="00351A77"/>
    <w:rsid w:val="003522AE"/>
    <w:rsid w:val="00352CB7"/>
    <w:rsid w:val="00352FC0"/>
    <w:rsid w:val="0035325B"/>
    <w:rsid w:val="0035372D"/>
    <w:rsid w:val="0035384F"/>
    <w:rsid w:val="00354E7C"/>
    <w:rsid w:val="003556B1"/>
    <w:rsid w:val="003563FC"/>
    <w:rsid w:val="00356921"/>
    <w:rsid w:val="003571B1"/>
    <w:rsid w:val="00360735"/>
    <w:rsid w:val="003608A8"/>
    <w:rsid w:val="00360A9B"/>
    <w:rsid w:val="00360FCF"/>
    <w:rsid w:val="0036277B"/>
    <w:rsid w:val="00362A87"/>
    <w:rsid w:val="00363721"/>
    <w:rsid w:val="00363DB6"/>
    <w:rsid w:val="0036401D"/>
    <w:rsid w:val="003642BE"/>
    <w:rsid w:val="00364933"/>
    <w:rsid w:val="00365B0E"/>
    <w:rsid w:val="00365E32"/>
    <w:rsid w:val="003662AD"/>
    <w:rsid w:val="00366B9A"/>
    <w:rsid w:val="00366C06"/>
    <w:rsid w:val="00366FC6"/>
    <w:rsid w:val="00367BBC"/>
    <w:rsid w:val="0037005B"/>
    <w:rsid w:val="00370E04"/>
    <w:rsid w:val="00371833"/>
    <w:rsid w:val="00371BBD"/>
    <w:rsid w:val="00371DC3"/>
    <w:rsid w:val="00372084"/>
    <w:rsid w:val="00372A60"/>
    <w:rsid w:val="00372E0A"/>
    <w:rsid w:val="00372F2E"/>
    <w:rsid w:val="003732F7"/>
    <w:rsid w:val="00374335"/>
    <w:rsid w:val="0037472A"/>
    <w:rsid w:val="003752D2"/>
    <w:rsid w:val="00375382"/>
    <w:rsid w:val="003754E6"/>
    <w:rsid w:val="00375563"/>
    <w:rsid w:val="00375608"/>
    <w:rsid w:val="00375A82"/>
    <w:rsid w:val="00376B04"/>
    <w:rsid w:val="0037720D"/>
    <w:rsid w:val="00377318"/>
    <w:rsid w:val="00380958"/>
    <w:rsid w:val="00380F93"/>
    <w:rsid w:val="003815A8"/>
    <w:rsid w:val="00382A74"/>
    <w:rsid w:val="00382F8E"/>
    <w:rsid w:val="00383AA0"/>
    <w:rsid w:val="0038429A"/>
    <w:rsid w:val="003845A0"/>
    <w:rsid w:val="00384A65"/>
    <w:rsid w:val="00384F40"/>
    <w:rsid w:val="00385BFD"/>
    <w:rsid w:val="00385CB4"/>
    <w:rsid w:val="00386EDC"/>
    <w:rsid w:val="003911AB"/>
    <w:rsid w:val="00391609"/>
    <w:rsid w:val="003928EE"/>
    <w:rsid w:val="00392F51"/>
    <w:rsid w:val="003938AF"/>
    <w:rsid w:val="00394E12"/>
    <w:rsid w:val="00396139"/>
    <w:rsid w:val="00397790"/>
    <w:rsid w:val="00397E49"/>
    <w:rsid w:val="003A0032"/>
    <w:rsid w:val="003A1304"/>
    <w:rsid w:val="003A313F"/>
    <w:rsid w:val="003A38E1"/>
    <w:rsid w:val="003A3B35"/>
    <w:rsid w:val="003A3FB9"/>
    <w:rsid w:val="003A4D1C"/>
    <w:rsid w:val="003A4E65"/>
    <w:rsid w:val="003A5348"/>
    <w:rsid w:val="003A5483"/>
    <w:rsid w:val="003A54E2"/>
    <w:rsid w:val="003A5951"/>
    <w:rsid w:val="003A5A34"/>
    <w:rsid w:val="003A6EBF"/>
    <w:rsid w:val="003A776B"/>
    <w:rsid w:val="003B0C87"/>
    <w:rsid w:val="003B1188"/>
    <w:rsid w:val="003B23AB"/>
    <w:rsid w:val="003B23C9"/>
    <w:rsid w:val="003B25BD"/>
    <w:rsid w:val="003B2E84"/>
    <w:rsid w:val="003B35C0"/>
    <w:rsid w:val="003B369F"/>
    <w:rsid w:val="003B38C8"/>
    <w:rsid w:val="003B40E3"/>
    <w:rsid w:val="003B4380"/>
    <w:rsid w:val="003B4826"/>
    <w:rsid w:val="003B48E1"/>
    <w:rsid w:val="003B49E0"/>
    <w:rsid w:val="003B4BEC"/>
    <w:rsid w:val="003B5B90"/>
    <w:rsid w:val="003B7C08"/>
    <w:rsid w:val="003C0C92"/>
    <w:rsid w:val="003C5003"/>
    <w:rsid w:val="003C5E8B"/>
    <w:rsid w:val="003C70C4"/>
    <w:rsid w:val="003C76DF"/>
    <w:rsid w:val="003C7875"/>
    <w:rsid w:val="003D0989"/>
    <w:rsid w:val="003D0B6D"/>
    <w:rsid w:val="003D143D"/>
    <w:rsid w:val="003D1AB5"/>
    <w:rsid w:val="003D1F4D"/>
    <w:rsid w:val="003D288F"/>
    <w:rsid w:val="003D3175"/>
    <w:rsid w:val="003D3E4A"/>
    <w:rsid w:val="003D43E3"/>
    <w:rsid w:val="003D6435"/>
    <w:rsid w:val="003D72C9"/>
    <w:rsid w:val="003D7FE5"/>
    <w:rsid w:val="003E0AD0"/>
    <w:rsid w:val="003E187C"/>
    <w:rsid w:val="003E1CBB"/>
    <w:rsid w:val="003E2E0D"/>
    <w:rsid w:val="003E506A"/>
    <w:rsid w:val="003E510C"/>
    <w:rsid w:val="003E53F5"/>
    <w:rsid w:val="003E618B"/>
    <w:rsid w:val="003E6317"/>
    <w:rsid w:val="003E6505"/>
    <w:rsid w:val="003E66D2"/>
    <w:rsid w:val="003E6DDA"/>
    <w:rsid w:val="003E6F1F"/>
    <w:rsid w:val="003E6F80"/>
    <w:rsid w:val="003E7A88"/>
    <w:rsid w:val="003E7DB5"/>
    <w:rsid w:val="003F0790"/>
    <w:rsid w:val="003F0BDD"/>
    <w:rsid w:val="003F23CB"/>
    <w:rsid w:val="003F2A96"/>
    <w:rsid w:val="003F3900"/>
    <w:rsid w:val="003F3A46"/>
    <w:rsid w:val="003F425A"/>
    <w:rsid w:val="003F4743"/>
    <w:rsid w:val="003F4C66"/>
    <w:rsid w:val="003F540A"/>
    <w:rsid w:val="003F57E2"/>
    <w:rsid w:val="003F5817"/>
    <w:rsid w:val="003F5A1B"/>
    <w:rsid w:val="003F682D"/>
    <w:rsid w:val="003F7448"/>
    <w:rsid w:val="003F7503"/>
    <w:rsid w:val="003F78C8"/>
    <w:rsid w:val="00401672"/>
    <w:rsid w:val="00401872"/>
    <w:rsid w:val="004018B2"/>
    <w:rsid w:val="00401E41"/>
    <w:rsid w:val="00402872"/>
    <w:rsid w:val="00402B2C"/>
    <w:rsid w:val="00402E4A"/>
    <w:rsid w:val="0040560E"/>
    <w:rsid w:val="00405DB0"/>
    <w:rsid w:val="004103A3"/>
    <w:rsid w:val="00411060"/>
    <w:rsid w:val="004114D1"/>
    <w:rsid w:val="004125E8"/>
    <w:rsid w:val="00412A9C"/>
    <w:rsid w:val="00412DD8"/>
    <w:rsid w:val="0041338B"/>
    <w:rsid w:val="00414046"/>
    <w:rsid w:val="00414937"/>
    <w:rsid w:val="00414987"/>
    <w:rsid w:val="00415426"/>
    <w:rsid w:val="00416225"/>
    <w:rsid w:val="00416276"/>
    <w:rsid w:val="004163A5"/>
    <w:rsid w:val="00416719"/>
    <w:rsid w:val="00420684"/>
    <w:rsid w:val="00420CC7"/>
    <w:rsid w:val="004217E3"/>
    <w:rsid w:val="00422042"/>
    <w:rsid w:val="0042374F"/>
    <w:rsid w:val="00423AEB"/>
    <w:rsid w:val="00424034"/>
    <w:rsid w:val="00424065"/>
    <w:rsid w:val="004242B5"/>
    <w:rsid w:val="00424647"/>
    <w:rsid w:val="00425776"/>
    <w:rsid w:val="004257F3"/>
    <w:rsid w:val="00426AAB"/>
    <w:rsid w:val="00426D7E"/>
    <w:rsid w:val="00426ED3"/>
    <w:rsid w:val="004278F0"/>
    <w:rsid w:val="0043008A"/>
    <w:rsid w:val="004304EC"/>
    <w:rsid w:val="0043059D"/>
    <w:rsid w:val="00430DCD"/>
    <w:rsid w:val="004319B8"/>
    <w:rsid w:val="00431EB2"/>
    <w:rsid w:val="00432651"/>
    <w:rsid w:val="00433B8C"/>
    <w:rsid w:val="00434D1A"/>
    <w:rsid w:val="0043530D"/>
    <w:rsid w:val="00436023"/>
    <w:rsid w:val="004360A9"/>
    <w:rsid w:val="00437394"/>
    <w:rsid w:val="004403A8"/>
    <w:rsid w:val="0044078C"/>
    <w:rsid w:val="0044131C"/>
    <w:rsid w:val="004413E8"/>
    <w:rsid w:val="00442ACE"/>
    <w:rsid w:val="00442D63"/>
    <w:rsid w:val="004431BA"/>
    <w:rsid w:val="004432A5"/>
    <w:rsid w:val="00444412"/>
    <w:rsid w:val="004447D9"/>
    <w:rsid w:val="0044536A"/>
    <w:rsid w:val="00445422"/>
    <w:rsid w:val="0044543C"/>
    <w:rsid w:val="00445F53"/>
    <w:rsid w:val="00445F93"/>
    <w:rsid w:val="00446EB8"/>
    <w:rsid w:val="0045048B"/>
    <w:rsid w:val="00450E35"/>
    <w:rsid w:val="00451507"/>
    <w:rsid w:val="00451F5B"/>
    <w:rsid w:val="00452E70"/>
    <w:rsid w:val="00453DC0"/>
    <w:rsid w:val="00453F97"/>
    <w:rsid w:val="00453FBD"/>
    <w:rsid w:val="004542A9"/>
    <w:rsid w:val="00455082"/>
    <w:rsid w:val="00455BA0"/>
    <w:rsid w:val="00455C99"/>
    <w:rsid w:val="00456AC6"/>
    <w:rsid w:val="0046135B"/>
    <w:rsid w:val="004617B6"/>
    <w:rsid w:val="004619A8"/>
    <w:rsid w:val="00461C6E"/>
    <w:rsid w:val="00462706"/>
    <w:rsid w:val="0046363D"/>
    <w:rsid w:val="00464006"/>
    <w:rsid w:val="004643DE"/>
    <w:rsid w:val="00464885"/>
    <w:rsid w:val="00464D53"/>
    <w:rsid w:val="00464E25"/>
    <w:rsid w:val="004657D5"/>
    <w:rsid w:val="00465AC9"/>
    <w:rsid w:val="00465B92"/>
    <w:rsid w:val="00466A8E"/>
    <w:rsid w:val="004672D1"/>
    <w:rsid w:val="004701C1"/>
    <w:rsid w:val="004714D1"/>
    <w:rsid w:val="00472402"/>
    <w:rsid w:val="00472D54"/>
    <w:rsid w:val="00473028"/>
    <w:rsid w:val="00473B0A"/>
    <w:rsid w:val="00473BF3"/>
    <w:rsid w:val="00473C24"/>
    <w:rsid w:val="0047557E"/>
    <w:rsid w:val="0047563E"/>
    <w:rsid w:val="00475B9C"/>
    <w:rsid w:val="00475DD2"/>
    <w:rsid w:val="00476174"/>
    <w:rsid w:val="0047718F"/>
    <w:rsid w:val="00477C27"/>
    <w:rsid w:val="00477D3F"/>
    <w:rsid w:val="00480014"/>
    <w:rsid w:val="0048241C"/>
    <w:rsid w:val="0048368A"/>
    <w:rsid w:val="00483B1D"/>
    <w:rsid w:val="004841C6"/>
    <w:rsid w:val="00485B9A"/>
    <w:rsid w:val="00485C71"/>
    <w:rsid w:val="00485D0C"/>
    <w:rsid w:val="0048681C"/>
    <w:rsid w:val="004869B4"/>
    <w:rsid w:val="00486D0C"/>
    <w:rsid w:val="00490334"/>
    <w:rsid w:val="00490A11"/>
    <w:rsid w:val="00491022"/>
    <w:rsid w:val="0049200B"/>
    <w:rsid w:val="004929B8"/>
    <w:rsid w:val="004929E9"/>
    <w:rsid w:val="00492E38"/>
    <w:rsid w:val="004935EE"/>
    <w:rsid w:val="00493D08"/>
    <w:rsid w:val="0049413F"/>
    <w:rsid w:val="0049430D"/>
    <w:rsid w:val="004965E4"/>
    <w:rsid w:val="00496924"/>
    <w:rsid w:val="00496DA4"/>
    <w:rsid w:val="00496E46"/>
    <w:rsid w:val="004972DE"/>
    <w:rsid w:val="0049773A"/>
    <w:rsid w:val="00497F5F"/>
    <w:rsid w:val="004A0667"/>
    <w:rsid w:val="004A0EC0"/>
    <w:rsid w:val="004A1114"/>
    <w:rsid w:val="004A2181"/>
    <w:rsid w:val="004A24DF"/>
    <w:rsid w:val="004A2AFC"/>
    <w:rsid w:val="004A3A49"/>
    <w:rsid w:val="004A3D39"/>
    <w:rsid w:val="004A4816"/>
    <w:rsid w:val="004A4E5D"/>
    <w:rsid w:val="004A5F81"/>
    <w:rsid w:val="004A6B82"/>
    <w:rsid w:val="004A6C30"/>
    <w:rsid w:val="004A776A"/>
    <w:rsid w:val="004A7CA6"/>
    <w:rsid w:val="004A7F62"/>
    <w:rsid w:val="004B1D55"/>
    <w:rsid w:val="004B22B1"/>
    <w:rsid w:val="004B2B43"/>
    <w:rsid w:val="004B2DDC"/>
    <w:rsid w:val="004B35C4"/>
    <w:rsid w:val="004B3B7F"/>
    <w:rsid w:val="004B4827"/>
    <w:rsid w:val="004B4E25"/>
    <w:rsid w:val="004B4E43"/>
    <w:rsid w:val="004B68A5"/>
    <w:rsid w:val="004B6C1E"/>
    <w:rsid w:val="004B6E22"/>
    <w:rsid w:val="004B7BB9"/>
    <w:rsid w:val="004C11A3"/>
    <w:rsid w:val="004C1234"/>
    <w:rsid w:val="004C250A"/>
    <w:rsid w:val="004C2569"/>
    <w:rsid w:val="004C3782"/>
    <w:rsid w:val="004C3BC9"/>
    <w:rsid w:val="004C3F4E"/>
    <w:rsid w:val="004C468B"/>
    <w:rsid w:val="004C478A"/>
    <w:rsid w:val="004C496F"/>
    <w:rsid w:val="004C578C"/>
    <w:rsid w:val="004C622B"/>
    <w:rsid w:val="004C7824"/>
    <w:rsid w:val="004C7E8A"/>
    <w:rsid w:val="004D0700"/>
    <w:rsid w:val="004D09BF"/>
    <w:rsid w:val="004D0F03"/>
    <w:rsid w:val="004D1AEC"/>
    <w:rsid w:val="004D1C53"/>
    <w:rsid w:val="004D1C62"/>
    <w:rsid w:val="004D2180"/>
    <w:rsid w:val="004D4962"/>
    <w:rsid w:val="004D4F3A"/>
    <w:rsid w:val="004D51ED"/>
    <w:rsid w:val="004D5C55"/>
    <w:rsid w:val="004D69A6"/>
    <w:rsid w:val="004D7066"/>
    <w:rsid w:val="004D71C6"/>
    <w:rsid w:val="004E1C85"/>
    <w:rsid w:val="004E1C97"/>
    <w:rsid w:val="004E22E8"/>
    <w:rsid w:val="004E2E2E"/>
    <w:rsid w:val="004E3649"/>
    <w:rsid w:val="004E3834"/>
    <w:rsid w:val="004E3DED"/>
    <w:rsid w:val="004E4808"/>
    <w:rsid w:val="004E49E5"/>
    <w:rsid w:val="004E4E20"/>
    <w:rsid w:val="004E50BA"/>
    <w:rsid w:val="004E5728"/>
    <w:rsid w:val="004E58ED"/>
    <w:rsid w:val="004E5BD2"/>
    <w:rsid w:val="004E690B"/>
    <w:rsid w:val="004E70BC"/>
    <w:rsid w:val="004E7DA5"/>
    <w:rsid w:val="004F076D"/>
    <w:rsid w:val="004F1642"/>
    <w:rsid w:val="004F1DBA"/>
    <w:rsid w:val="004F2015"/>
    <w:rsid w:val="004F20EB"/>
    <w:rsid w:val="004F2B3C"/>
    <w:rsid w:val="004F3657"/>
    <w:rsid w:val="004F3894"/>
    <w:rsid w:val="004F3D0C"/>
    <w:rsid w:val="004F433A"/>
    <w:rsid w:val="004F471B"/>
    <w:rsid w:val="004F4ACD"/>
    <w:rsid w:val="004F4B0B"/>
    <w:rsid w:val="004F5000"/>
    <w:rsid w:val="00501113"/>
    <w:rsid w:val="00501A98"/>
    <w:rsid w:val="00501E67"/>
    <w:rsid w:val="00501E8B"/>
    <w:rsid w:val="0050228E"/>
    <w:rsid w:val="00502BFF"/>
    <w:rsid w:val="00503C8E"/>
    <w:rsid w:val="005044A4"/>
    <w:rsid w:val="00504F58"/>
    <w:rsid w:val="00505685"/>
    <w:rsid w:val="00505703"/>
    <w:rsid w:val="00505D0B"/>
    <w:rsid w:val="00507045"/>
    <w:rsid w:val="00507901"/>
    <w:rsid w:val="00514397"/>
    <w:rsid w:val="00514AB3"/>
    <w:rsid w:val="005151A0"/>
    <w:rsid w:val="00515FB9"/>
    <w:rsid w:val="0051690E"/>
    <w:rsid w:val="00517815"/>
    <w:rsid w:val="00517D3D"/>
    <w:rsid w:val="00517E2C"/>
    <w:rsid w:val="005200D8"/>
    <w:rsid w:val="00520151"/>
    <w:rsid w:val="00520320"/>
    <w:rsid w:val="00520973"/>
    <w:rsid w:val="00521586"/>
    <w:rsid w:val="00521C0B"/>
    <w:rsid w:val="00522869"/>
    <w:rsid w:val="00522C8F"/>
    <w:rsid w:val="00523A13"/>
    <w:rsid w:val="00524BBB"/>
    <w:rsid w:val="00524F7F"/>
    <w:rsid w:val="005259C1"/>
    <w:rsid w:val="00527065"/>
    <w:rsid w:val="0053060B"/>
    <w:rsid w:val="005310DA"/>
    <w:rsid w:val="005310E6"/>
    <w:rsid w:val="0053157B"/>
    <w:rsid w:val="0053190C"/>
    <w:rsid w:val="00532166"/>
    <w:rsid w:val="00532D5C"/>
    <w:rsid w:val="00533AC8"/>
    <w:rsid w:val="00533CF0"/>
    <w:rsid w:val="00534665"/>
    <w:rsid w:val="005349EE"/>
    <w:rsid w:val="0053537E"/>
    <w:rsid w:val="00535D28"/>
    <w:rsid w:val="00535D93"/>
    <w:rsid w:val="0053691A"/>
    <w:rsid w:val="00537803"/>
    <w:rsid w:val="00537974"/>
    <w:rsid w:val="005404DE"/>
    <w:rsid w:val="00540815"/>
    <w:rsid w:val="005411A1"/>
    <w:rsid w:val="005411A5"/>
    <w:rsid w:val="00541DEB"/>
    <w:rsid w:val="00542015"/>
    <w:rsid w:val="00542C20"/>
    <w:rsid w:val="00542F6E"/>
    <w:rsid w:val="0054360D"/>
    <w:rsid w:val="00543F4A"/>
    <w:rsid w:val="0054420B"/>
    <w:rsid w:val="00545194"/>
    <w:rsid w:val="00545EE2"/>
    <w:rsid w:val="005460FA"/>
    <w:rsid w:val="00546BC3"/>
    <w:rsid w:val="00547E42"/>
    <w:rsid w:val="00550300"/>
    <w:rsid w:val="00551AE2"/>
    <w:rsid w:val="00552D8E"/>
    <w:rsid w:val="00553B91"/>
    <w:rsid w:val="00553F7F"/>
    <w:rsid w:val="005555B7"/>
    <w:rsid w:val="00555760"/>
    <w:rsid w:val="005558A5"/>
    <w:rsid w:val="00555DAE"/>
    <w:rsid w:val="005568DB"/>
    <w:rsid w:val="0055773F"/>
    <w:rsid w:val="005577CB"/>
    <w:rsid w:val="0056015F"/>
    <w:rsid w:val="00560751"/>
    <w:rsid w:val="00561078"/>
    <w:rsid w:val="005615A2"/>
    <w:rsid w:val="00563325"/>
    <w:rsid w:val="00563639"/>
    <w:rsid w:val="005638AF"/>
    <w:rsid w:val="005639DB"/>
    <w:rsid w:val="005649D2"/>
    <w:rsid w:val="005651C1"/>
    <w:rsid w:val="0056537D"/>
    <w:rsid w:val="005666A7"/>
    <w:rsid w:val="00566931"/>
    <w:rsid w:val="00567E9B"/>
    <w:rsid w:val="00570468"/>
    <w:rsid w:val="00570EA3"/>
    <w:rsid w:val="00571C83"/>
    <w:rsid w:val="00572546"/>
    <w:rsid w:val="005727B4"/>
    <w:rsid w:val="00573F0C"/>
    <w:rsid w:val="00576704"/>
    <w:rsid w:val="00576CC0"/>
    <w:rsid w:val="0057756C"/>
    <w:rsid w:val="005803D0"/>
    <w:rsid w:val="0058045F"/>
    <w:rsid w:val="00580592"/>
    <w:rsid w:val="0058314A"/>
    <w:rsid w:val="005831A8"/>
    <w:rsid w:val="0058325E"/>
    <w:rsid w:val="005832E0"/>
    <w:rsid w:val="005836C7"/>
    <w:rsid w:val="0058377E"/>
    <w:rsid w:val="00584921"/>
    <w:rsid w:val="005855F1"/>
    <w:rsid w:val="005859DB"/>
    <w:rsid w:val="005867C4"/>
    <w:rsid w:val="00586B3B"/>
    <w:rsid w:val="00587398"/>
    <w:rsid w:val="00587516"/>
    <w:rsid w:val="00587C01"/>
    <w:rsid w:val="00587D6D"/>
    <w:rsid w:val="0059098D"/>
    <w:rsid w:val="00590DB2"/>
    <w:rsid w:val="0059257D"/>
    <w:rsid w:val="005925D6"/>
    <w:rsid w:val="00592749"/>
    <w:rsid w:val="005933A8"/>
    <w:rsid w:val="00593E4F"/>
    <w:rsid w:val="00594A93"/>
    <w:rsid w:val="00594C5A"/>
    <w:rsid w:val="00594D7A"/>
    <w:rsid w:val="005958A0"/>
    <w:rsid w:val="00595CC1"/>
    <w:rsid w:val="005962EE"/>
    <w:rsid w:val="005A0800"/>
    <w:rsid w:val="005A0D8E"/>
    <w:rsid w:val="005A10E7"/>
    <w:rsid w:val="005A2B7F"/>
    <w:rsid w:val="005A43D8"/>
    <w:rsid w:val="005A4652"/>
    <w:rsid w:val="005A520F"/>
    <w:rsid w:val="005A6013"/>
    <w:rsid w:val="005A7BD9"/>
    <w:rsid w:val="005A7CF2"/>
    <w:rsid w:val="005A7F04"/>
    <w:rsid w:val="005B02D6"/>
    <w:rsid w:val="005B043D"/>
    <w:rsid w:val="005B0587"/>
    <w:rsid w:val="005B170A"/>
    <w:rsid w:val="005B1CA4"/>
    <w:rsid w:val="005B26E1"/>
    <w:rsid w:val="005B36B8"/>
    <w:rsid w:val="005B395B"/>
    <w:rsid w:val="005B532C"/>
    <w:rsid w:val="005B5563"/>
    <w:rsid w:val="005B5AD0"/>
    <w:rsid w:val="005B5B96"/>
    <w:rsid w:val="005B637E"/>
    <w:rsid w:val="005B72ED"/>
    <w:rsid w:val="005B75AB"/>
    <w:rsid w:val="005B7D9D"/>
    <w:rsid w:val="005C0243"/>
    <w:rsid w:val="005C03FB"/>
    <w:rsid w:val="005C0439"/>
    <w:rsid w:val="005C1049"/>
    <w:rsid w:val="005C34A0"/>
    <w:rsid w:val="005C3AAD"/>
    <w:rsid w:val="005C43F6"/>
    <w:rsid w:val="005C490C"/>
    <w:rsid w:val="005C4ACF"/>
    <w:rsid w:val="005C579C"/>
    <w:rsid w:val="005C5934"/>
    <w:rsid w:val="005C5CC9"/>
    <w:rsid w:val="005C6310"/>
    <w:rsid w:val="005D0149"/>
    <w:rsid w:val="005D079B"/>
    <w:rsid w:val="005D0846"/>
    <w:rsid w:val="005D09E4"/>
    <w:rsid w:val="005D0B97"/>
    <w:rsid w:val="005D1086"/>
    <w:rsid w:val="005D10EC"/>
    <w:rsid w:val="005D204F"/>
    <w:rsid w:val="005D266D"/>
    <w:rsid w:val="005D4451"/>
    <w:rsid w:val="005D44D3"/>
    <w:rsid w:val="005D4BDB"/>
    <w:rsid w:val="005D4F8A"/>
    <w:rsid w:val="005D59BF"/>
    <w:rsid w:val="005D5EFE"/>
    <w:rsid w:val="005D66DF"/>
    <w:rsid w:val="005D671D"/>
    <w:rsid w:val="005E049C"/>
    <w:rsid w:val="005E0788"/>
    <w:rsid w:val="005E0B5B"/>
    <w:rsid w:val="005E203C"/>
    <w:rsid w:val="005E240C"/>
    <w:rsid w:val="005E2BE7"/>
    <w:rsid w:val="005E36E6"/>
    <w:rsid w:val="005E370A"/>
    <w:rsid w:val="005E3B11"/>
    <w:rsid w:val="005E47A7"/>
    <w:rsid w:val="005E4D36"/>
    <w:rsid w:val="005E51BD"/>
    <w:rsid w:val="005E52A0"/>
    <w:rsid w:val="005E6238"/>
    <w:rsid w:val="005E67CC"/>
    <w:rsid w:val="005E6926"/>
    <w:rsid w:val="005E6A1E"/>
    <w:rsid w:val="005E75AA"/>
    <w:rsid w:val="005F0945"/>
    <w:rsid w:val="005F1080"/>
    <w:rsid w:val="005F1D84"/>
    <w:rsid w:val="005F1F7A"/>
    <w:rsid w:val="005F2C48"/>
    <w:rsid w:val="005F2EF2"/>
    <w:rsid w:val="005F328B"/>
    <w:rsid w:val="005F4416"/>
    <w:rsid w:val="005F47CF"/>
    <w:rsid w:val="005F59ED"/>
    <w:rsid w:val="005F5D43"/>
    <w:rsid w:val="005F5F8D"/>
    <w:rsid w:val="005F6829"/>
    <w:rsid w:val="005F6A64"/>
    <w:rsid w:val="005F6BE8"/>
    <w:rsid w:val="005F6EEB"/>
    <w:rsid w:val="00600846"/>
    <w:rsid w:val="00600856"/>
    <w:rsid w:val="00600D5C"/>
    <w:rsid w:val="00601440"/>
    <w:rsid w:val="00601E2E"/>
    <w:rsid w:val="0060221F"/>
    <w:rsid w:val="00602253"/>
    <w:rsid w:val="00602F2D"/>
    <w:rsid w:val="00603D34"/>
    <w:rsid w:val="0060432A"/>
    <w:rsid w:val="00605027"/>
    <w:rsid w:val="0060503C"/>
    <w:rsid w:val="0060560A"/>
    <w:rsid w:val="0060621D"/>
    <w:rsid w:val="00606371"/>
    <w:rsid w:val="00606D62"/>
    <w:rsid w:val="006072B8"/>
    <w:rsid w:val="00607B7B"/>
    <w:rsid w:val="00610584"/>
    <w:rsid w:val="006108ED"/>
    <w:rsid w:val="006109F1"/>
    <w:rsid w:val="00611542"/>
    <w:rsid w:val="00611610"/>
    <w:rsid w:val="00611C91"/>
    <w:rsid w:val="0061270E"/>
    <w:rsid w:val="00612BF3"/>
    <w:rsid w:val="00612C4F"/>
    <w:rsid w:val="00613273"/>
    <w:rsid w:val="00613579"/>
    <w:rsid w:val="00613B2E"/>
    <w:rsid w:val="00614740"/>
    <w:rsid w:val="00614EFD"/>
    <w:rsid w:val="00615549"/>
    <w:rsid w:val="00616744"/>
    <w:rsid w:val="00616CBF"/>
    <w:rsid w:val="00617667"/>
    <w:rsid w:val="0061767D"/>
    <w:rsid w:val="006202CE"/>
    <w:rsid w:val="00620D71"/>
    <w:rsid w:val="0062150C"/>
    <w:rsid w:val="00621721"/>
    <w:rsid w:val="006220B9"/>
    <w:rsid w:val="0062223E"/>
    <w:rsid w:val="006227AA"/>
    <w:rsid w:val="00622B4E"/>
    <w:rsid w:val="0062340D"/>
    <w:rsid w:val="00623949"/>
    <w:rsid w:val="00623F0F"/>
    <w:rsid w:val="00624291"/>
    <w:rsid w:val="00624384"/>
    <w:rsid w:val="006246F0"/>
    <w:rsid w:val="00625692"/>
    <w:rsid w:val="00627DAE"/>
    <w:rsid w:val="00630089"/>
    <w:rsid w:val="00630DC4"/>
    <w:rsid w:val="00630FC3"/>
    <w:rsid w:val="00631D35"/>
    <w:rsid w:val="00631EB8"/>
    <w:rsid w:val="006330C7"/>
    <w:rsid w:val="0063388B"/>
    <w:rsid w:val="00634723"/>
    <w:rsid w:val="006353B0"/>
    <w:rsid w:val="0063554C"/>
    <w:rsid w:val="0063596D"/>
    <w:rsid w:val="006375CE"/>
    <w:rsid w:val="00637A63"/>
    <w:rsid w:val="00637FD4"/>
    <w:rsid w:val="006406D7"/>
    <w:rsid w:val="006410A7"/>
    <w:rsid w:val="006413F9"/>
    <w:rsid w:val="006414C3"/>
    <w:rsid w:val="00641B1B"/>
    <w:rsid w:val="00641B1E"/>
    <w:rsid w:val="00642A4E"/>
    <w:rsid w:val="0064337A"/>
    <w:rsid w:val="00643D95"/>
    <w:rsid w:val="00645098"/>
    <w:rsid w:val="00646735"/>
    <w:rsid w:val="006472FE"/>
    <w:rsid w:val="0065061D"/>
    <w:rsid w:val="00650C95"/>
    <w:rsid w:val="00651219"/>
    <w:rsid w:val="006517FD"/>
    <w:rsid w:val="00652633"/>
    <w:rsid w:val="006529C7"/>
    <w:rsid w:val="00653780"/>
    <w:rsid w:val="00653D2A"/>
    <w:rsid w:val="0065406B"/>
    <w:rsid w:val="0065468E"/>
    <w:rsid w:val="006556A3"/>
    <w:rsid w:val="00655B10"/>
    <w:rsid w:val="00656186"/>
    <w:rsid w:val="00656538"/>
    <w:rsid w:val="00656D11"/>
    <w:rsid w:val="00657717"/>
    <w:rsid w:val="00657A89"/>
    <w:rsid w:val="00660835"/>
    <w:rsid w:val="00660EAB"/>
    <w:rsid w:val="006625E7"/>
    <w:rsid w:val="0066298E"/>
    <w:rsid w:val="00664C40"/>
    <w:rsid w:val="006654AD"/>
    <w:rsid w:val="0066615F"/>
    <w:rsid w:val="00666D6A"/>
    <w:rsid w:val="006671E3"/>
    <w:rsid w:val="006672E1"/>
    <w:rsid w:val="006678A7"/>
    <w:rsid w:val="0067030C"/>
    <w:rsid w:val="00670B04"/>
    <w:rsid w:val="00671305"/>
    <w:rsid w:val="00671634"/>
    <w:rsid w:val="00671A78"/>
    <w:rsid w:val="00671D1B"/>
    <w:rsid w:val="00671F2F"/>
    <w:rsid w:val="00673127"/>
    <w:rsid w:val="00674B13"/>
    <w:rsid w:val="0067596E"/>
    <w:rsid w:val="0067737C"/>
    <w:rsid w:val="0068058A"/>
    <w:rsid w:val="00680BDC"/>
    <w:rsid w:val="00682CBF"/>
    <w:rsid w:val="00683B9D"/>
    <w:rsid w:val="00684640"/>
    <w:rsid w:val="0068590E"/>
    <w:rsid w:val="00685FB6"/>
    <w:rsid w:val="0068632D"/>
    <w:rsid w:val="00686ADE"/>
    <w:rsid w:val="00686AE7"/>
    <w:rsid w:val="006916B1"/>
    <w:rsid w:val="006922F7"/>
    <w:rsid w:val="00692675"/>
    <w:rsid w:val="006927EE"/>
    <w:rsid w:val="0069355E"/>
    <w:rsid w:val="00694161"/>
    <w:rsid w:val="0069459E"/>
    <w:rsid w:val="00694826"/>
    <w:rsid w:val="00695163"/>
    <w:rsid w:val="006951D2"/>
    <w:rsid w:val="00695561"/>
    <w:rsid w:val="00695EBF"/>
    <w:rsid w:val="00696043"/>
    <w:rsid w:val="006966F7"/>
    <w:rsid w:val="00696BFB"/>
    <w:rsid w:val="00696C47"/>
    <w:rsid w:val="00697C62"/>
    <w:rsid w:val="006A0103"/>
    <w:rsid w:val="006A0399"/>
    <w:rsid w:val="006A05FE"/>
    <w:rsid w:val="006A1759"/>
    <w:rsid w:val="006A18A7"/>
    <w:rsid w:val="006A1F22"/>
    <w:rsid w:val="006A2036"/>
    <w:rsid w:val="006A3297"/>
    <w:rsid w:val="006A32C2"/>
    <w:rsid w:val="006A3412"/>
    <w:rsid w:val="006A39D9"/>
    <w:rsid w:val="006A3AA7"/>
    <w:rsid w:val="006A3B4B"/>
    <w:rsid w:val="006A3DA4"/>
    <w:rsid w:val="006A55AD"/>
    <w:rsid w:val="006A62A9"/>
    <w:rsid w:val="006A6699"/>
    <w:rsid w:val="006A6744"/>
    <w:rsid w:val="006A7042"/>
    <w:rsid w:val="006A72AE"/>
    <w:rsid w:val="006A773A"/>
    <w:rsid w:val="006A78BB"/>
    <w:rsid w:val="006A7ADA"/>
    <w:rsid w:val="006B0926"/>
    <w:rsid w:val="006B2B16"/>
    <w:rsid w:val="006B342D"/>
    <w:rsid w:val="006B3DC8"/>
    <w:rsid w:val="006B4761"/>
    <w:rsid w:val="006B637D"/>
    <w:rsid w:val="006B64AE"/>
    <w:rsid w:val="006B7A7B"/>
    <w:rsid w:val="006C15D8"/>
    <w:rsid w:val="006C1F5D"/>
    <w:rsid w:val="006C21F4"/>
    <w:rsid w:val="006C26C1"/>
    <w:rsid w:val="006C32F0"/>
    <w:rsid w:val="006C364C"/>
    <w:rsid w:val="006C4D9D"/>
    <w:rsid w:val="006C4F98"/>
    <w:rsid w:val="006C506E"/>
    <w:rsid w:val="006C5D13"/>
    <w:rsid w:val="006C60CA"/>
    <w:rsid w:val="006C613C"/>
    <w:rsid w:val="006C70FA"/>
    <w:rsid w:val="006D05F9"/>
    <w:rsid w:val="006D0FA3"/>
    <w:rsid w:val="006D1255"/>
    <w:rsid w:val="006D144C"/>
    <w:rsid w:val="006D15ED"/>
    <w:rsid w:val="006D1715"/>
    <w:rsid w:val="006D3759"/>
    <w:rsid w:val="006D5984"/>
    <w:rsid w:val="006D5D23"/>
    <w:rsid w:val="006D6263"/>
    <w:rsid w:val="006D69E7"/>
    <w:rsid w:val="006D6DC7"/>
    <w:rsid w:val="006E0F1B"/>
    <w:rsid w:val="006E0F71"/>
    <w:rsid w:val="006E21FB"/>
    <w:rsid w:val="006E2D0C"/>
    <w:rsid w:val="006E3F8A"/>
    <w:rsid w:val="006E4D84"/>
    <w:rsid w:val="006E565E"/>
    <w:rsid w:val="006E5E88"/>
    <w:rsid w:val="006E6041"/>
    <w:rsid w:val="006E63DC"/>
    <w:rsid w:val="006E63E9"/>
    <w:rsid w:val="006E6BFF"/>
    <w:rsid w:val="006E7E1E"/>
    <w:rsid w:val="006F02C7"/>
    <w:rsid w:val="006F0413"/>
    <w:rsid w:val="006F0DE5"/>
    <w:rsid w:val="006F1983"/>
    <w:rsid w:val="006F2A3E"/>
    <w:rsid w:val="006F3454"/>
    <w:rsid w:val="006F369C"/>
    <w:rsid w:val="006F412D"/>
    <w:rsid w:val="006F4173"/>
    <w:rsid w:val="006F4717"/>
    <w:rsid w:val="006F532A"/>
    <w:rsid w:val="006F5967"/>
    <w:rsid w:val="006F5F45"/>
    <w:rsid w:val="006F683B"/>
    <w:rsid w:val="006F6BC2"/>
    <w:rsid w:val="006F746A"/>
    <w:rsid w:val="006F7595"/>
    <w:rsid w:val="006F7EB1"/>
    <w:rsid w:val="00701796"/>
    <w:rsid w:val="0070231E"/>
    <w:rsid w:val="00702737"/>
    <w:rsid w:val="00703E6D"/>
    <w:rsid w:val="007045F7"/>
    <w:rsid w:val="0070591F"/>
    <w:rsid w:val="0070654A"/>
    <w:rsid w:val="007077FE"/>
    <w:rsid w:val="00710745"/>
    <w:rsid w:val="00710928"/>
    <w:rsid w:val="00711E66"/>
    <w:rsid w:val="00712A03"/>
    <w:rsid w:val="00712D1E"/>
    <w:rsid w:val="0071352D"/>
    <w:rsid w:val="00713CF1"/>
    <w:rsid w:val="0071430B"/>
    <w:rsid w:val="00714AF1"/>
    <w:rsid w:val="007151A8"/>
    <w:rsid w:val="00715D5A"/>
    <w:rsid w:val="0071608A"/>
    <w:rsid w:val="00716440"/>
    <w:rsid w:val="0071683E"/>
    <w:rsid w:val="00716D43"/>
    <w:rsid w:val="00716FF2"/>
    <w:rsid w:val="00717623"/>
    <w:rsid w:val="00721A8B"/>
    <w:rsid w:val="00722B34"/>
    <w:rsid w:val="00724978"/>
    <w:rsid w:val="00724A5F"/>
    <w:rsid w:val="0072513A"/>
    <w:rsid w:val="007252AE"/>
    <w:rsid w:val="00725323"/>
    <w:rsid w:val="00725434"/>
    <w:rsid w:val="007276D4"/>
    <w:rsid w:val="00727B2D"/>
    <w:rsid w:val="00727E93"/>
    <w:rsid w:val="0073001E"/>
    <w:rsid w:val="00730313"/>
    <w:rsid w:val="00730909"/>
    <w:rsid w:val="00730B8A"/>
    <w:rsid w:val="00730EFD"/>
    <w:rsid w:val="00730FCC"/>
    <w:rsid w:val="00731264"/>
    <w:rsid w:val="00731D89"/>
    <w:rsid w:val="00731FA3"/>
    <w:rsid w:val="007324F0"/>
    <w:rsid w:val="007328BE"/>
    <w:rsid w:val="00732CEC"/>
    <w:rsid w:val="0073412D"/>
    <w:rsid w:val="007345BE"/>
    <w:rsid w:val="0073483A"/>
    <w:rsid w:val="00734AA7"/>
    <w:rsid w:val="007367B8"/>
    <w:rsid w:val="007401D0"/>
    <w:rsid w:val="00741923"/>
    <w:rsid w:val="00741DB9"/>
    <w:rsid w:val="0074247C"/>
    <w:rsid w:val="00743560"/>
    <w:rsid w:val="007435C3"/>
    <w:rsid w:val="00743749"/>
    <w:rsid w:val="00743A7B"/>
    <w:rsid w:val="007442B9"/>
    <w:rsid w:val="00744515"/>
    <w:rsid w:val="00744A58"/>
    <w:rsid w:val="007455A9"/>
    <w:rsid w:val="007459FE"/>
    <w:rsid w:val="00745A21"/>
    <w:rsid w:val="007462AA"/>
    <w:rsid w:val="0074655E"/>
    <w:rsid w:val="0074782A"/>
    <w:rsid w:val="00750A15"/>
    <w:rsid w:val="00751A18"/>
    <w:rsid w:val="00751F7E"/>
    <w:rsid w:val="007529DB"/>
    <w:rsid w:val="00752F7E"/>
    <w:rsid w:val="0075341C"/>
    <w:rsid w:val="00753429"/>
    <w:rsid w:val="00753CC7"/>
    <w:rsid w:val="00754425"/>
    <w:rsid w:val="00754868"/>
    <w:rsid w:val="00755309"/>
    <w:rsid w:val="007558EB"/>
    <w:rsid w:val="00755D41"/>
    <w:rsid w:val="00756463"/>
    <w:rsid w:val="00756BED"/>
    <w:rsid w:val="00756D7C"/>
    <w:rsid w:val="0075705D"/>
    <w:rsid w:val="007575A1"/>
    <w:rsid w:val="007578F3"/>
    <w:rsid w:val="00757D3A"/>
    <w:rsid w:val="0076049A"/>
    <w:rsid w:val="0076082A"/>
    <w:rsid w:val="00760C02"/>
    <w:rsid w:val="0076138A"/>
    <w:rsid w:val="0076157C"/>
    <w:rsid w:val="007619C1"/>
    <w:rsid w:val="0076210B"/>
    <w:rsid w:val="0076377F"/>
    <w:rsid w:val="0076565B"/>
    <w:rsid w:val="007658A1"/>
    <w:rsid w:val="00765A19"/>
    <w:rsid w:val="0076714C"/>
    <w:rsid w:val="00767B5C"/>
    <w:rsid w:val="00770900"/>
    <w:rsid w:val="007718D7"/>
    <w:rsid w:val="00772F2C"/>
    <w:rsid w:val="00773219"/>
    <w:rsid w:val="00773908"/>
    <w:rsid w:val="007739AD"/>
    <w:rsid w:val="00773A07"/>
    <w:rsid w:val="00774757"/>
    <w:rsid w:val="00774CCD"/>
    <w:rsid w:val="00776DFD"/>
    <w:rsid w:val="00777167"/>
    <w:rsid w:val="007773E9"/>
    <w:rsid w:val="00780543"/>
    <w:rsid w:val="00780B50"/>
    <w:rsid w:val="00781914"/>
    <w:rsid w:val="00781D2E"/>
    <w:rsid w:val="007825F0"/>
    <w:rsid w:val="007831B4"/>
    <w:rsid w:val="007831F0"/>
    <w:rsid w:val="007837FB"/>
    <w:rsid w:val="00783B8A"/>
    <w:rsid w:val="00783C92"/>
    <w:rsid w:val="00785339"/>
    <w:rsid w:val="00785F90"/>
    <w:rsid w:val="0078679A"/>
    <w:rsid w:val="00786FF8"/>
    <w:rsid w:val="00790CEC"/>
    <w:rsid w:val="00790E0F"/>
    <w:rsid w:val="00790E3A"/>
    <w:rsid w:val="00791131"/>
    <w:rsid w:val="007915E6"/>
    <w:rsid w:val="00791661"/>
    <w:rsid w:val="007929EA"/>
    <w:rsid w:val="00792CEE"/>
    <w:rsid w:val="00792E50"/>
    <w:rsid w:val="00793B7B"/>
    <w:rsid w:val="0079566B"/>
    <w:rsid w:val="00795E68"/>
    <w:rsid w:val="00795F47"/>
    <w:rsid w:val="00795F7A"/>
    <w:rsid w:val="0079629F"/>
    <w:rsid w:val="007963AA"/>
    <w:rsid w:val="00796F44"/>
    <w:rsid w:val="007975EA"/>
    <w:rsid w:val="007A02ED"/>
    <w:rsid w:val="007A05E7"/>
    <w:rsid w:val="007A151F"/>
    <w:rsid w:val="007A1617"/>
    <w:rsid w:val="007A171C"/>
    <w:rsid w:val="007A25B5"/>
    <w:rsid w:val="007A2A26"/>
    <w:rsid w:val="007A36BF"/>
    <w:rsid w:val="007A4476"/>
    <w:rsid w:val="007A447E"/>
    <w:rsid w:val="007A451D"/>
    <w:rsid w:val="007A51CD"/>
    <w:rsid w:val="007A676A"/>
    <w:rsid w:val="007A67D4"/>
    <w:rsid w:val="007A67D6"/>
    <w:rsid w:val="007A6B57"/>
    <w:rsid w:val="007A71A6"/>
    <w:rsid w:val="007A7A19"/>
    <w:rsid w:val="007B02B9"/>
    <w:rsid w:val="007B0473"/>
    <w:rsid w:val="007B08E5"/>
    <w:rsid w:val="007B118A"/>
    <w:rsid w:val="007B16E3"/>
    <w:rsid w:val="007B1BE5"/>
    <w:rsid w:val="007B2986"/>
    <w:rsid w:val="007B4A0B"/>
    <w:rsid w:val="007B5083"/>
    <w:rsid w:val="007B5B84"/>
    <w:rsid w:val="007B715D"/>
    <w:rsid w:val="007B76D0"/>
    <w:rsid w:val="007C0866"/>
    <w:rsid w:val="007C0F06"/>
    <w:rsid w:val="007C0FF4"/>
    <w:rsid w:val="007C103B"/>
    <w:rsid w:val="007C220D"/>
    <w:rsid w:val="007C3132"/>
    <w:rsid w:val="007C36C9"/>
    <w:rsid w:val="007C3981"/>
    <w:rsid w:val="007C3BE2"/>
    <w:rsid w:val="007C3C23"/>
    <w:rsid w:val="007C3C36"/>
    <w:rsid w:val="007C4220"/>
    <w:rsid w:val="007C5AF1"/>
    <w:rsid w:val="007C63D6"/>
    <w:rsid w:val="007C6643"/>
    <w:rsid w:val="007C685E"/>
    <w:rsid w:val="007C6DC3"/>
    <w:rsid w:val="007C78BC"/>
    <w:rsid w:val="007C7E15"/>
    <w:rsid w:val="007D0927"/>
    <w:rsid w:val="007D3744"/>
    <w:rsid w:val="007D380D"/>
    <w:rsid w:val="007D3CCC"/>
    <w:rsid w:val="007D3DF1"/>
    <w:rsid w:val="007D5A20"/>
    <w:rsid w:val="007D617B"/>
    <w:rsid w:val="007D6541"/>
    <w:rsid w:val="007D6A6F"/>
    <w:rsid w:val="007D6F41"/>
    <w:rsid w:val="007D7419"/>
    <w:rsid w:val="007E0656"/>
    <w:rsid w:val="007E074E"/>
    <w:rsid w:val="007E089A"/>
    <w:rsid w:val="007E12B8"/>
    <w:rsid w:val="007E1513"/>
    <w:rsid w:val="007E180B"/>
    <w:rsid w:val="007E260C"/>
    <w:rsid w:val="007E2A5E"/>
    <w:rsid w:val="007E2AAA"/>
    <w:rsid w:val="007E2D69"/>
    <w:rsid w:val="007E3EE0"/>
    <w:rsid w:val="007E408F"/>
    <w:rsid w:val="007E46EE"/>
    <w:rsid w:val="007E4A3B"/>
    <w:rsid w:val="007E4C15"/>
    <w:rsid w:val="007E5C15"/>
    <w:rsid w:val="007E5D50"/>
    <w:rsid w:val="007E6600"/>
    <w:rsid w:val="007E69EA"/>
    <w:rsid w:val="007E6DAE"/>
    <w:rsid w:val="007E7134"/>
    <w:rsid w:val="007E71A4"/>
    <w:rsid w:val="007E780B"/>
    <w:rsid w:val="007F0140"/>
    <w:rsid w:val="007F0468"/>
    <w:rsid w:val="007F095E"/>
    <w:rsid w:val="007F09E9"/>
    <w:rsid w:val="007F0EB3"/>
    <w:rsid w:val="007F1961"/>
    <w:rsid w:val="007F1BE8"/>
    <w:rsid w:val="007F2030"/>
    <w:rsid w:val="007F22A3"/>
    <w:rsid w:val="007F26B1"/>
    <w:rsid w:val="007F293A"/>
    <w:rsid w:val="007F3CFB"/>
    <w:rsid w:val="007F478F"/>
    <w:rsid w:val="007F47ED"/>
    <w:rsid w:val="007F5CC4"/>
    <w:rsid w:val="007F5D6E"/>
    <w:rsid w:val="007F5DFF"/>
    <w:rsid w:val="007F6850"/>
    <w:rsid w:val="007F6990"/>
    <w:rsid w:val="007F7442"/>
    <w:rsid w:val="007F7A21"/>
    <w:rsid w:val="007F7E0E"/>
    <w:rsid w:val="008011EF"/>
    <w:rsid w:val="00801885"/>
    <w:rsid w:val="00801C44"/>
    <w:rsid w:val="0080214B"/>
    <w:rsid w:val="008025B8"/>
    <w:rsid w:val="00802D16"/>
    <w:rsid w:val="00802D5B"/>
    <w:rsid w:val="00803470"/>
    <w:rsid w:val="008038CB"/>
    <w:rsid w:val="00803D81"/>
    <w:rsid w:val="00804A77"/>
    <w:rsid w:val="0080550B"/>
    <w:rsid w:val="00805962"/>
    <w:rsid w:val="00805CD5"/>
    <w:rsid w:val="00806AAE"/>
    <w:rsid w:val="0080779A"/>
    <w:rsid w:val="00807C57"/>
    <w:rsid w:val="00810351"/>
    <w:rsid w:val="008104DD"/>
    <w:rsid w:val="008105E2"/>
    <w:rsid w:val="00810B91"/>
    <w:rsid w:val="00811114"/>
    <w:rsid w:val="0081130F"/>
    <w:rsid w:val="0081141D"/>
    <w:rsid w:val="008123AA"/>
    <w:rsid w:val="008125FD"/>
    <w:rsid w:val="00813335"/>
    <w:rsid w:val="00813BC9"/>
    <w:rsid w:val="00813E3D"/>
    <w:rsid w:val="008150E1"/>
    <w:rsid w:val="00815CE6"/>
    <w:rsid w:val="00816E0A"/>
    <w:rsid w:val="008175F3"/>
    <w:rsid w:val="00817978"/>
    <w:rsid w:val="00817EDC"/>
    <w:rsid w:val="0082050C"/>
    <w:rsid w:val="008205CC"/>
    <w:rsid w:val="00821AEC"/>
    <w:rsid w:val="00821D31"/>
    <w:rsid w:val="00821EC6"/>
    <w:rsid w:val="0082259B"/>
    <w:rsid w:val="00823137"/>
    <w:rsid w:val="008241D5"/>
    <w:rsid w:val="00824515"/>
    <w:rsid w:val="00824F0D"/>
    <w:rsid w:val="0082567A"/>
    <w:rsid w:val="00826CAA"/>
    <w:rsid w:val="00830887"/>
    <w:rsid w:val="008314D1"/>
    <w:rsid w:val="0083245F"/>
    <w:rsid w:val="008333D9"/>
    <w:rsid w:val="008339C5"/>
    <w:rsid w:val="008340BF"/>
    <w:rsid w:val="00834F23"/>
    <w:rsid w:val="00836178"/>
    <w:rsid w:val="00836EEA"/>
    <w:rsid w:val="00836F4E"/>
    <w:rsid w:val="00837414"/>
    <w:rsid w:val="0083759B"/>
    <w:rsid w:val="00840921"/>
    <w:rsid w:val="00841384"/>
    <w:rsid w:val="00841916"/>
    <w:rsid w:val="00843550"/>
    <w:rsid w:val="0084372C"/>
    <w:rsid w:val="00843F9A"/>
    <w:rsid w:val="00843FD7"/>
    <w:rsid w:val="00844653"/>
    <w:rsid w:val="00845540"/>
    <w:rsid w:val="00845C14"/>
    <w:rsid w:val="008469FF"/>
    <w:rsid w:val="00850494"/>
    <w:rsid w:val="0085188B"/>
    <w:rsid w:val="008518DA"/>
    <w:rsid w:val="00851C0B"/>
    <w:rsid w:val="00851DE5"/>
    <w:rsid w:val="00852058"/>
    <w:rsid w:val="008523D8"/>
    <w:rsid w:val="00853660"/>
    <w:rsid w:val="00853929"/>
    <w:rsid w:val="008539B4"/>
    <w:rsid w:val="008539F6"/>
    <w:rsid w:val="008545F9"/>
    <w:rsid w:val="00854BFB"/>
    <w:rsid w:val="00854F3F"/>
    <w:rsid w:val="00856848"/>
    <w:rsid w:val="00856FDE"/>
    <w:rsid w:val="00857011"/>
    <w:rsid w:val="00860277"/>
    <w:rsid w:val="008602C0"/>
    <w:rsid w:val="0086042C"/>
    <w:rsid w:val="00861B44"/>
    <w:rsid w:val="00861B6D"/>
    <w:rsid w:val="008626C0"/>
    <w:rsid w:val="00862DC1"/>
    <w:rsid w:val="00862EE9"/>
    <w:rsid w:val="00863B18"/>
    <w:rsid w:val="00865934"/>
    <w:rsid w:val="00866120"/>
    <w:rsid w:val="0086685D"/>
    <w:rsid w:val="0086749A"/>
    <w:rsid w:val="00870240"/>
    <w:rsid w:val="00872C34"/>
    <w:rsid w:val="008730DB"/>
    <w:rsid w:val="00873809"/>
    <w:rsid w:val="00873E34"/>
    <w:rsid w:val="008745C9"/>
    <w:rsid w:val="0087529D"/>
    <w:rsid w:val="00875A42"/>
    <w:rsid w:val="00875D63"/>
    <w:rsid w:val="008769DC"/>
    <w:rsid w:val="00876E4C"/>
    <w:rsid w:val="008771F5"/>
    <w:rsid w:val="00877756"/>
    <w:rsid w:val="0087785E"/>
    <w:rsid w:val="008813CF"/>
    <w:rsid w:val="00881457"/>
    <w:rsid w:val="00881644"/>
    <w:rsid w:val="0088193B"/>
    <w:rsid w:val="008850E2"/>
    <w:rsid w:val="008856EB"/>
    <w:rsid w:val="0088641B"/>
    <w:rsid w:val="00886D08"/>
    <w:rsid w:val="008874D5"/>
    <w:rsid w:val="00887578"/>
    <w:rsid w:val="00887790"/>
    <w:rsid w:val="00890C39"/>
    <w:rsid w:val="00891108"/>
    <w:rsid w:val="00891762"/>
    <w:rsid w:val="00891E7F"/>
    <w:rsid w:val="0089227D"/>
    <w:rsid w:val="00892FF6"/>
    <w:rsid w:val="00893C2D"/>
    <w:rsid w:val="00893E1D"/>
    <w:rsid w:val="00893F69"/>
    <w:rsid w:val="00894429"/>
    <w:rsid w:val="00894BF2"/>
    <w:rsid w:val="00894F82"/>
    <w:rsid w:val="008956DA"/>
    <w:rsid w:val="00895AEA"/>
    <w:rsid w:val="00895B8A"/>
    <w:rsid w:val="00895BC2"/>
    <w:rsid w:val="00895F7E"/>
    <w:rsid w:val="008965F4"/>
    <w:rsid w:val="0089661E"/>
    <w:rsid w:val="00896B51"/>
    <w:rsid w:val="00896E13"/>
    <w:rsid w:val="00896E9F"/>
    <w:rsid w:val="008A0BCC"/>
    <w:rsid w:val="008A196E"/>
    <w:rsid w:val="008A1A4B"/>
    <w:rsid w:val="008A2340"/>
    <w:rsid w:val="008A35CA"/>
    <w:rsid w:val="008A369D"/>
    <w:rsid w:val="008A3A71"/>
    <w:rsid w:val="008A4A0B"/>
    <w:rsid w:val="008A51B8"/>
    <w:rsid w:val="008A5DF5"/>
    <w:rsid w:val="008A60A3"/>
    <w:rsid w:val="008A61EA"/>
    <w:rsid w:val="008A7236"/>
    <w:rsid w:val="008B04AA"/>
    <w:rsid w:val="008B1EC2"/>
    <w:rsid w:val="008B2E1C"/>
    <w:rsid w:val="008B45FB"/>
    <w:rsid w:val="008B4601"/>
    <w:rsid w:val="008B4BD5"/>
    <w:rsid w:val="008B5789"/>
    <w:rsid w:val="008B64DF"/>
    <w:rsid w:val="008B6F63"/>
    <w:rsid w:val="008C0F26"/>
    <w:rsid w:val="008C23DD"/>
    <w:rsid w:val="008C263C"/>
    <w:rsid w:val="008C3B61"/>
    <w:rsid w:val="008C3BBC"/>
    <w:rsid w:val="008C3D7E"/>
    <w:rsid w:val="008C44CC"/>
    <w:rsid w:val="008C5259"/>
    <w:rsid w:val="008C54EE"/>
    <w:rsid w:val="008C5632"/>
    <w:rsid w:val="008C597F"/>
    <w:rsid w:val="008C5CD1"/>
    <w:rsid w:val="008C5D0B"/>
    <w:rsid w:val="008C6F84"/>
    <w:rsid w:val="008C7CFA"/>
    <w:rsid w:val="008D1C72"/>
    <w:rsid w:val="008D23F4"/>
    <w:rsid w:val="008D38AD"/>
    <w:rsid w:val="008D4082"/>
    <w:rsid w:val="008D4E0D"/>
    <w:rsid w:val="008D5377"/>
    <w:rsid w:val="008D64A9"/>
    <w:rsid w:val="008D6679"/>
    <w:rsid w:val="008D66E1"/>
    <w:rsid w:val="008D6C35"/>
    <w:rsid w:val="008D7297"/>
    <w:rsid w:val="008E03A2"/>
    <w:rsid w:val="008E0AF1"/>
    <w:rsid w:val="008E0EA2"/>
    <w:rsid w:val="008E1131"/>
    <w:rsid w:val="008E1D4C"/>
    <w:rsid w:val="008E2763"/>
    <w:rsid w:val="008E2E6D"/>
    <w:rsid w:val="008E327A"/>
    <w:rsid w:val="008E38FF"/>
    <w:rsid w:val="008E48D6"/>
    <w:rsid w:val="008E4AC0"/>
    <w:rsid w:val="008E4CB3"/>
    <w:rsid w:val="008E5811"/>
    <w:rsid w:val="008E5826"/>
    <w:rsid w:val="008E5987"/>
    <w:rsid w:val="008E6005"/>
    <w:rsid w:val="008E624A"/>
    <w:rsid w:val="008E6483"/>
    <w:rsid w:val="008E64A3"/>
    <w:rsid w:val="008E71BF"/>
    <w:rsid w:val="008E7915"/>
    <w:rsid w:val="008E7C27"/>
    <w:rsid w:val="008E7E4E"/>
    <w:rsid w:val="008E7E69"/>
    <w:rsid w:val="008F0412"/>
    <w:rsid w:val="008F060D"/>
    <w:rsid w:val="008F0DC8"/>
    <w:rsid w:val="008F10A5"/>
    <w:rsid w:val="008F2605"/>
    <w:rsid w:val="008F2728"/>
    <w:rsid w:val="008F29DE"/>
    <w:rsid w:val="008F4048"/>
    <w:rsid w:val="008F4D78"/>
    <w:rsid w:val="008F5181"/>
    <w:rsid w:val="008F58F1"/>
    <w:rsid w:val="008F6392"/>
    <w:rsid w:val="008F725C"/>
    <w:rsid w:val="008F750E"/>
    <w:rsid w:val="008F78F5"/>
    <w:rsid w:val="0090096F"/>
    <w:rsid w:val="00900D2D"/>
    <w:rsid w:val="009010AD"/>
    <w:rsid w:val="009011EB"/>
    <w:rsid w:val="0090136D"/>
    <w:rsid w:val="0090141A"/>
    <w:rsid w:val="00901AB6"/>
    <w:rsid w:val="009029BD"/>
    <w:rsid w:val="009041C3"/>
    <w:rsid w:val="00904444"/>
    <w:rsid w:val="00906435"/>
    <w:rsid w:val="00906FEE"/>
    <w:rsid w:val="009076F7"/>
    <w:rsid w:val="00907E7F"/>
    <w:rsid w:val="0091082D"/>
    <w:rsid w:val="00910D1D"/>
    <w:rsid w:val="0091155B"/>
    <w:rsid w:val="00911A67"/>
    <w:rsid w:val="009128A2"/>
    <w:rsid w:val="009128F2"/>
    <w:rsid w:val="00912B0A"/>
    <w:rsid w:val="00914243"/>
    <w:rsid w:val="00914436"/>
    <w:rsid w:val="00915EF3"/>
    <w:rsid w:val="00916475"/>
    <w:rsid w:val="00917A1A"/>
    <w:rsid w:val="00917D99"/>
    <w:rsid w:val="009200A6"/>
    <w:rsid w:val="009219A4"/>
    <w:rsid w:val="00921EC4"/>
    <w:rsid w:val="00922134"/>
    <w:rsid w:val="0092218A"/>
    <w:rsid w:val="00923042"/>
    <w:rsid w:val="0092362A"/>
    <w:rsid w:val="009238A7"/>
    <w:rsid w:val="00923F13"/>
    <w:rsid w:val="0092523D"/>
    <w:rsid w:val="0092609E"/>
    <w:rsid w:val="00930CB9"/>
    <w:rsid w:val="00931916"/>
    <w:rsid w:val="00931AB7"/>
    <w:rsid w:val="00931AC9"/>
    <w:rsid w:val="009324C1"/>
    <w:rsid w:val="00932A14"/>
    <w:rsid w:val="00934BF5"/>
    <w:rsid w:val="00935226"/>
    <w:rsid w:val="009355AC"/>
    <w:rsid w:val="009372DE"/>
    <w:rsid w:val="00937FED"/>
    <w:rsid w:val="009405BC"/>
    <w:rsid w:val="00941258"/>
    <w:rsid w:val="00941B51"/>
    <w:rsid w:val="009426E5"/>
    <w:rsid w:val="00942968"/>
    <w:rsid w:val="00942A00"/>
    <w:rsid w:val="00942F43"/>
    <w:rsid w:val="00943484"/>
    <w:rsid w:val="00943534"/>
    <w:rsid w:val="00944CFC"/>
    <w:rsid w:val="00945E49"/>
    <w:rsid w:val="00945F40"/>
    <w:rsid w:val="009462A9"/>
    <w:rsid w:val="0094631A"/>
    <w:rsid w:val="00946B01"/>
    <w:rsid w:val="00947119"/>
    <w:rsid w:val="009473D0"/>
    <w:rsid w:val="00947DF1"/>
    <w:rsid w:val="00951A51"/>
    <w:rsid w:val="009524A3"/>
    <w:rsid w:val="0095252D"/>
    <w:rsid w:val="009530AF"/>
    <w:rsid w:val="00953D89"/>
    <w:rsid w:val="00953EB4"/>
    <w:rsid w:val="00954711"/>
    <w:rsid w:val="009547EB"/>
    <w:rsid w:val="00954FCD"/>
    <w:rsid w:val="00955804"/>
    <w:rsid w:val="00955917"/>
    <w:rsid w:val="009562F8"/>
    <w:rsid w:val="00956F9C"/>
    <w:rsid w:val="00960892"/>
    <w:rsid w:val="00960B59"/>
    <w:rsid w:val="00961679"/>
    <w:rsid w:val="009616C5"/>
    <w:rsid w:val="0096187F"/>
    <w:rsid w:val="0096306D"/>
    <w:rsid w:val="0096432D"/>
    <w:rsid w:val="0096445B"/>
    <w:rsid w:val="009648B3"/>
    <w:rsid w:val="00964FBC"/>
    <w:rsid w:val="0096547A"/>
    <w:rsid w:val="0096549E"/>
    <w:rsid w:val="00965795"/>
    <w:rsid w:val="00966CC3"/>
    <w:rsid w:val="00967968"/>
    <w:rsid w:val="00970398"/>
    <w:rsid w:val="00970653"/>
    <w:rsid w:val="00970E48"/>
    <w:rsid w:val="0097190A"/>
    <w:rsid w:val="00971F45"/>
    <w:rsid w:val="009720CF"/>
    <w:rsid w:val="00973C9C"/>
    <w:rsid w:val="00975E7E"/>
    <w:rsid w:val="00977C57"/>
    <w:rsid w:val="009819C3"/>
    <w:rsid w:val="00981AFD"/>
    <w:rsid w:val="00981F70"/>
    <w:rsid w:val="00982517"/>
    <w:rsid w:val="009825E6"/>
    <w:rsid w:val="00982761"/>
    <w:rsid w:val="0098294E"/>
    <w:rsid w:val="00982BBD"/>
    <w:rsid w:val="00982EF2"/>
    <w:rsid w:val="009831BA"/>
    <w:rsid w:val="009833B7"/>
    <w:rsid w:val="00983AA2"/>
    <w:rsid w:val="00983EDA"/>
    <w:rsid w:val="009841F6"/>
    <w:rsid w:val="009854D6"/>
    <w:rsid w:val="0098659C"/>
    <w:rsid w:val="00986809"/>
    <w:rsid w:val="0098690E"/>
    <w:rsid w:val="00986A5A"/>
    <w:rsid w:val="00987286"/>
    <w:rsid w:val="009873C3"/>
    <w:rsid w:val="00990AD2"/>
    <w:rsid w:val="00990E28"/>
    <w:rsid w:val="00992A26"/>
    <w:rsid w:val="00992A60"/>
    <w:rsid w:val="00992DE2"/>
    <w:rsid w:val="0099345F"/>
    <w:rsid w:val="00995E7B"/>
    <w:rsid w:val="00995F72"/>
    <w:rsid w:val="00996D62"/>
    <w:rsid w:val="009A1087"/>
    <w:rsid w:val="009A1C0D"/>
    <w:rsid w:val="009A1FAB"/>
    <w:rsid w:val="009A2124"/>
    <w:rsid w:val="009A3E8C"/>
    <w:rsid w:val="009A4066"/>
    <w:rsid w:val="009A4624"/>
    <w:rsid w:val="009A4648"/>
    <w:rsid w:val="009A477A"/>
    <w:rsid w:val="009A6220"/>
    <w:rsid w:val="009A6396"/>
    <w:rsid w:val="009A6B27"/>
    <w:rsid w:val="009A7838"/>
    <w:rsid w:val="009A7B91"/>
    <w:rsid w:val="009B111A"/>
    <w:rsid w:val="009B1717"/>
    <w:rsid w:val="009B21DE"/>
    <w:rsid w:val="009B356F"/>
    <w:rsid w:val="009B5591"/>
    <w:rsid w:val="009B5841"/>
    <w:rsid w:val="009B6734"/>
    <w:rsid w:val="009B6C5B"/>
    <w:rsid w:val="009B7BA6"/>
    <w:rsid w:val="009C00D1"/>
    <w:rsid w:val="009C062C"/>
    <w:rsid w:val="009C0F23"/>
    <w:rsid w:val="009C0FE2"/>
    <w:rsid w:val="009C1B15"/>
    <w:rsid w:val="009C245F"/>
    <w:rsid w:val="009C3330"/>
    <w:rsid w:val="009C37C2"/>
    <w:rsid w:val="009C3A4D"/>
    <w:rsid w:val="009C3E01"/>
    <w:rsid w:val="009C5C78"/>
    <w:rsid w:val="009C69C9"/>
    <w:rsid w:val="009C7871"/>
    <w:rsid w:val="009C7A96"/>
    <w:rsid w:val="009D0244"/>
    <w:rsid w:val="009D0374"/>
    <w:rsid w:val="009D06ED"/>
    <w:rsid w:val="009D2E50"/>
    <w:rsid w:val="009D36FC"/>
    <w:rsid w:val="009D3BCD"/>
    <w:rsid w:val="009D4273"/>
    <w:rsid w:val="009D484B"/>
    <w:rsid w:val="009D4924"/>
    <w:rsid w:val="009D4D0B"/>
    <w:rsid w:val="009D4E79"/>
    <w:rsid w:val="009D54BB"/>
    <w:rsid w:val="009D5B05"/>
    <w:rsid w:val="009D67F1"/>
    <w:rsid w:val="009D68B0"/>
    <w:rsid w:val="009D6DCA"/>
    <w:rsid w:val="009D7E7F"/>
    <w:rsid w:val="009E028F"/>
    <w:rsid w:val="009E21D7"/>
    <w:rsid w:val="009E2D41"/>
    <w:rsid w:val="009E351B"/>
    <w:rsid w:val="009E3F1B"/>
    <w:rsid w:val="009E42BF"/>
    <w:rsid w:val="009E4346"/>
    <w:rsid w:val="009E4CA8"/>
    <w:rsid w:val="009E4CE4"/>
    <w:rsid w:val="009E55A6"/>
    <w:rsid w:val="009E742E"/>
    <w:rsid w:val="009E7A2B"/>
    <w:rsid w:val="009E7B7C"/>
    <w:rsid w:val="009E7DAC"/>
    <w:rsid w:val="009E7E37"/>
    <w:rsid w:val="009E7E5A"/>
    <w:rsid w:val="009F072B"/>
    <w:rsid w:val="009F0761"/>
    <w:rsid w:val="009F0D03"/>
    <w:rsid w:val="009F0DD3"/>
    <w:rsid w:val="009F13CC"/>
    <w:rsid w:val="009F13EC"/>
    <w:rsid w:val="009F23E0"/>
    <w:rsid w:val="009F465E"/>
    <w:rsid w:val="009F6576"/>
    <w:rsid w:val="009F6E83"/>
    <w:rsid w:val="009F742A"/>
    <w:rsid w:val="00A004B5"/>
    <w:rsid w:val="00A02301"/>
    <w:rsid w:val="00A02D3F"/>
    <w:rsid w:val="00A02E25"/>
    <w:rsid w:val="00A04462"/>
    <w:rsid w:val="00A04730"/>
    <w:rsid w:val="00A04773"/>
    <w:rsid w:val="00A05572"/>
    <w:rsid w:val="00A05DC2"/>
    <w:rsid w:val="00A064B5"/>
    <w:rsid w:val="00A06C00"/>
    <w:rsid w:val="00A06FB7"/>
    <w:rsid w:val="00A0745D"/>
    <w:rsid w:val="00A10729"/>
    <w:rsid w:val="00A10D0B"/>
    <w:rsid w:val="00A10F62"/>
    <w:rsid w:val="00A1100D"/>
    <w:rsid w:val="00A12CBC"/>
    <w:rsid w:val="00A13021"/>
    <w:rsid w:val="00A13048"/>
    <w:rsid w:val="00A13477"/>
    <w:rsid w:val="00A142B6"/>
    <w:rsid w:val="00A14E69"/>
    <w:rsid w:val="00A155F4"/>
    <w:rsid w:val="00A15C45"/>
    <w:rsid w:val="00A15DAC"/>
    <w:rsid w:val="00A168FA"/>
    <w:rsid w:val="00A20AAC"/>
    <w:rsid w:val="00A21905"/>
    <w:rsid w:val="00A2191E"/>
    <w:rsid w:val="00A224F0"/>
    <w:rsid w:val="00A22B7D"/>
    <w:rsid w:val="00A23D50"/>
    <w:rsid w:val="00A2421D"/>
    <w:rsid w:val="00A24F44"/>
    <w:rsid w:val="00A24FBD"/>
    <w:rsid w:val="00A25802"/>
    <w:rsid w:val="00A269B0"/>
    <w:rsid w:val="00A279AF"/>
    <w:rsid w:val="00A27B19"/>
    <w:rsid w:val="00A30AB1"/>
    <w:rsid w:val="00A30BBF"/>
    <w:rsid w:val="00A31766"/>
    <w:rsid w:val="00A31C3D"/>
    <w:rsid w:val="00A32BBD"/>
    <w:rsid w:val="00A32FC1"/>
    <w:rsid w:val="00A338A4"/>
    <w:rsid w:val="00A33A50"/>
    <w:rsid w:val="00A33BC2"/>
    <w:rsid w:val="00A33C55"/>
    <w:rsid w:val="00A34121"/>
    <w:rsid w:val="00A35E60"/>
    <w:rsid w:val="00A3652E"/>
    <w:rsid w:val="00A371E0"/>
    <w:rsid w:val="00A37E4F"/>
    <w:rsid w:val="00A40F70"/>
    <w:rsid w:val="00A4137C"/>
    <w:rsid w:val="00A415BD"/>
    <w:rsid w:val="00A4289E"/>
    <w:rsid w:val="00A42ED1"/>
    <w:rsid w:val="00A4314E"/>
    <w:rsid w:val="00A43308"/>
    <w:rsid w:val="00A43BDE"/>
    <w:rsid w:val="00A43E99"/>
    <w:rsid w:val="00A44A96"/>
    <w:rsid w:val="00A44D0E"/>
    <w:rsid w:val="00A45715"/>
    <w:rsid w:val="00A46D6C"/>
    <w:rsid w:val="00A47B81"/>
    <w:rsid w:val="00A5176C"/>
    <w:rsid w:val="00A5214C"/>
    <w:rsid w:val="00A52C31"/>
    <w:rsid w:val="00A52D72"/>
    <w:rsid w:val="00A52EDF"/>
    <w:rsid w:val="00A53FE7"/>
    <w:rsid w:val="00A540BD"/>
    <w:rsid w:val="00A549C4"/>
    <w:rsid w:val="00A556C2"/>
    <w:rsid w:val="00A56250"/>
    <w:rsid w:val="00A56881"/>
    <w:rsid w:val="00A603D0"/>
    <w:rsid w:val="00A60BCB"/>
    <w:rsid w:val="00A630BC"/>
    <w:rsid w:val="00A634E9"/>
    <w:rsid w:val="00A63813"/>
    <w:rsid w:val="00A63BF7"/>
    <w:rsid w:val="00A64BE1"/>
    <w:rsid w:val="00A654A3"/>
    <w:rsid w:val="00A65789"/>
    <w:rsid w:val="00A65CC7"/>
    <w:rsid w:val="00A66658"/>
    <w:rsid w:val="00A66ED6"/>
    <w:rsid w:val="00A672AC"/>
    <w:rsid w:val="00A709A2"/>
    <w:rsid w:val="00A70D53"/>
    <w:rsid w:val="00A71171"/>
    <w:rsid w:val="00A71F78"/>
    <w:rsid w:val="00A7315E"/>
    <w:rsid w:val="00A74194"/>
    <w:rsid w:val="00A74F4C"/>
    <w:rsid w:val="00A75C97"/>
    <w:rsid w:val="00A761DE"/>
    <w:rsid w:val="00A762C5"/>
    <w:rsid w:val="00A76A00"/>
    <w:rsid w:val="00A7767B"/>
    <w:rsid w:val="00A779F9"/>
    <w:rsid w:val="00A8050B"/>
    <w:rsid w:val="00A80F2F"/>
    <w:rsid w:val="00A80FD6"/>
    <w:rsid w:val="00A8165A"/>
    <w:rsid w:val="00A81EB7"/>
    <w:rsid w:val="00A83D4E"/>
    <w:rsid w:val="00A84349"/>
    <w:rsid w:val="00A8586E"/>
    <w:rsid w:val="00A85963"/>
    <w:rsid w:val="00A85C77"/>
    <w:rsid w:val="00A85F82"/>
    <w:rsid w:val="00A8672D"/>
    <w:rsid w:val="00A901D7"/>
    <w:rsid w:val="00A91AD9"/>
    <w:rsid w:val="00A9245E"/>
    <w:rsid w:val="00A92594"/>
    <w:rsid w:val="00A92971"/>
    <w:rsid w:val="00A92E17"/>
    <w:rsid w:val="00A933F2"/>
    <w:rsid w:val="00A938F8"/>
    <w:rsid w:val="00A93F2B"/>
    <w:rsid w:val="00A95054"/>
    <w:rsid w:val="00A95855"/>
    <w:rsid w:val="00A95A01"/>
    <w:rsid w:val="00A96532"/>
    <w:rsid w:val="00A97726"/>
    <w:rsid w:val="00AA027C"/>
    <w:rsid w:val="00AA0624"/>
    <w:rsid w:val="00AA096E"/>
    <w:rsid w:val="00AA0B33"/>
    <w:rsid w:val="00AA0B9B"/>
    <w:rsid w:val="00AA0C4D"/>
    <w:rsid w:val="00AA1600"/>
    <w:rsid w:val="00AA19F6"/>
    <w:rsid w:val="00AA1A37"/>
    <w:rsid w:val="00AA248A"/>
    <w:rsid w:val="00AA36DF"/>
    <w:rsid w:val="00AA38A1"/>
    <w:rsid w:val="00AA462F"/>
    <w:rsid w:val="00AA4BC8"/>
    <w:rsid w:val="00AA4D83"/>
    <w:rsid w:val="00AA50BD"/>
    <w:rsid w:val="00AA532F"/>
    <w:rsid w:val="00AA662D"/>
    <w:rsid w:val="00AA690C"/>
    <w:rsid w:val="00AA6B52"/>
    <w:rsid w:val="00AA6E66"/>
    <w:rsid w:val="00AA7184"/>
    <w:rsid w:val="00AA75FF"/>
    <w:rsid w:val="00AA7A61"/>
    <w:rsid w:val="00AA7E13"/>
    <w:rsid w:val="00AB095C"/>
    <w:rsid w:val="00AB12DC"/>
    <w:rsid w:val="00AB1307"/>
    <w:rsid w:val="00AB1B8A"/>
    <w:rsid w:val="00AB1B9E"/>
    <w:rsid w:val="00AB31B7"/>
    <w:rsid w:val="00AB3559"/>
    <w:rsid w:val="00AB37F2"/>
    <w:rsid w:val="00AB4124"/>
    <w:rsid w:val="00AB42A4"/>
    <w:rsid w:val="00AB44C6"/>
    <w:rsid w:val="00AB4960"/>
    <w:rsid w:val="00AB58F7"/>
    <w:rsid w:val="00AB64D4"/>
    <w:rsid w:val="00AB66B5"/>
    <w:rsid w:val="00AB6B04"/>
    <w:rsid w:val="00AB6EE2"/>
    <w:rsid w:val="00AB75A2"/>
    <w:rsid w:val="00AB75A5"/>
    <w:rsid w:val="00AC054D"/>
    <w:rsid w:val="00AC325C"/>
    <w:rsid w:val="00AC61AC"/>
    <w:rsid w:val="00AC663A"/>
    <w:rsid w:val="00AD00F9"/>
    <w:rsid w:val="00AD0BA2"/>
    <w:rsid w:val="00AD157C"/>
    <w:rsid w:val="00AD179A"/>
    <w:rsid w:val="00AD1D53"/>
    <w:rsid w:val="00AD2CE9"/>
    <w:rsid w:val="00AD2D63"/>
    <w:rsid w:val="00AD3976"/>
    <w:rsid w:val="00AD3DAD"/>
    <w:rsid w:val="00AD4B39"/>
    <w:rsid w:val="00AD5744"/>
    <w:rsid w:val="00AD5A2A"/>
    <w:rsid w:val="00AD5ACF"/>
    <w:rsid w:val="00AD619A"/>
    <w:rsid w:val="00AD6594"/>
    <w:rsid w:val="00AD6CAB"/>
    <w:rsid w:val="00AD72E1"/>
    <w:rsid w:val="00AD736E"/>
    <w:rsid w:val="00AE081C"/>
    <w:rsid w:val="00AE1663"/>
    <w:rsid w:val="00AE1CFA"/>
    <w:rsid w:val="00AE24AF"/>
    <w:rsid w:val="00AE299B"/>
    <w:rsid w:val="00AE313A"/>
    <w:rsid w:val="00AE3A00"/>
    <w:rsid w:val="00AE48A1"/>
    <w:rsid w:val="00AE4B1A"/>
    <w:rsid w:val="00AE4C44"/>
    <w:rsid w:val="00AE5D22"/>
    <w:rsid w:val="00AE5F1E"/>
    <w:rsid w:val="00AE5F38"/>
    <w:rsid w:val="00AE5F8D"/>
    <w:rsid w:val="00AE6304"/>
    <w:rsid w:val="00AE739E"/>
    <w:rsid w:val="00AE74CA"/>
    <w:rsid w:val="00AE7B79"/>
    <w:rsid w:val="00AF1683"/>
    <w:rsid w:val="00AF20F8"/>
    <w:rsid w:val="00AF31DE"/>
    <w:rsid w:val="00AF3337"/>
    <w:rsid w:val="00AF3361"/>
    <w:rsid w:val="00AF47FB"/>
    <w:rsid w:val="00AF48AA"/>
    <w:rsid w:val="00AF5231"/>
    <w:rsid w:val="00AF53A7"/>
    <w:rsid w:val="00AF62E5"/>
    <w:rsid w:val="00AF66F1"/>
    <w:rsid w:val="00AF6B2B"/>
    <w:rsid w:val="00AF710A"/>
    <w:rsid w:val="00B0092B"/>
    <w:rsid w:val="00B00F65"/>
    <w:rsid w:val="00B011D2"/>
    <w:rsid w:val="00B01282"/>
    <w:rsid w:val="00B01B5B"/>
    <w:rsid w:val="00B0254A"/>
    <w:rsid w:val="00B032EA"/>
    <w:rsid w:val="00B03F69"/>
    <w:rsid w:val="00B04954"/>
    <w:rsid w:val="00B04D91"/>
    <w:rsid w:val="00B05155"/>
    <w:rsid w:val="00B065F0"/>
    <w:rsid w:val="00B067F4"/>
    <w:rsid w:val="00B070A8"/>
    <w:rsid w:val="00B07898"/>
    <w:rsid w:val="00B07E23"/>
    <w:rsid w:val="00B10676"/>
    <w:rsid w:val="00B108D2"/>
    <w:rsid w:val="00B11B0B"/>
    <w:rsid w:val="00B11BAA"/>
    <w:rsid w:val="00B11BC5"/>
    <w:rsid w:val="00B11FC6"/>
    <w:rsid w:val="00B12174"/>
    <w:rsid w:val="00B12506"/>
    <w:rsid w:val="00B128D2"/>
    <w:rsid w:val="00B12C29"/>
    <w:rsid w:val="00B136F7"/>
    <w:rsid w:val="00B13D22"/>
    <w:rsid w:val="00B1594B"/>
    <w:rsid w:val="00B16449"/>
    <w:rsid w:val="00B16909"/>
    <w:rsid w:val="00B17630"/>
    <w:rsid w:val="00B17A1D"/>
    <w:rsid w:val="00B17E25"/>
    <w:rsid w:val="00B210AF"/>
    <w:rsid w:val="00B2133B"/>
    <w:rsid w:val="00B2243E"/>
    <w:rsid w:val="00B2311D"/>
    <w:rsid w:val="00B2391C"/>
    <w:rsid w:val="00B23C2B"/>
    <w:rsid w:val="00B24C20"/>
    <w:rsid w:val="00B25600"/>
    <w:rsid w:val="00B275BF"/>
    <w:rsid w:val="00B30101"/>
    <w:rsid w:val="00B305D6"/>
    <w:rsid w:val="00B3118B"/>
    <w:rsid w:val="00B31424"/>
    <w:rsid w:val="00B3174B"/>
    <w:rsid w:val="00B32751"/>
    <w:rsid w:val="00B32CF3"/>
    <w:rsid w:val="00B32D9B"/>
    <w:rsid w:val="00B339E9"/>
    <w:rsid w:val="00B34D37"/>
    <w:rsid w:val="00B356E8"/>
    <w:rsid w:val="00B35D60"/>
    <w:rsid w:val="00B36238"/>
    <w:rsid w:val="00B366B2"/>
    <w:rsid w:val="00B370BE"/>
    <w:rsid w:val="00B373EE"/>
    <w:rsid w:val="00B37406"/>
    <w:rsid w:val="00B403BA"/>
    <w:rsid w:val="00B4188B"/>
    <w:rsid w:val="00B42078"/>
    <w:rsid w:val="00B420BF"/>
    <w:rsid w:val="00B42285"/>
    <w:rsid w:val="00B42604"/>
    <w:rsid w:val="00B430EF"/>
    <w:rsid w:val="00B44241"/>
    <w:rsid w:val="00B460EC"/>
    <w:rsid w:val="00B46CB8"/>
    <w:rsid w:val="00B476C5"/>
    <w:rsid w:val="00B50960"/>
    <w:rsid w:val="00B50E62"/>
    <w:rsid w:val="00B51B9F"/>
    <w:rsid w:val="00B529E3"/>
    <w:rsid w:val="00B52EBC"/>
    <w:rsid w:val="00B539D3"/>
    <w:rsid w:val="00B53F26"/>
    <w:rsid w:val="00B545C6"/>
    <w:rsid w:val="00B55128"/>
    <w:rsid w:val="00B55167"/>
    <w:rsid w:val="00B57AF9"/>
    <w:rsid w:val="00B57B98"/>
    <w:rsid w:val="00B57F4D"/>
    <w:rsid w:val="00B57FF1"/>
    <w:rsid w:val="00B6187C"/>
    <w:rsid w:val="00B61C72"/>
    <w:rsid w:val="00B62699"/>
    <w:rsid w:val="00B63EB9"/>
    <w:rsid w:val="00B6462E"/>
    <w:rsid w:val="00B64697"/>
    <w:rsid w:val="00B64969"/>
    <w:rsid w:val="00B64980"/>
    <w:rsid w:val="00B653C9"/>
    <w:rsid w:val="00B664C2"/>
    <w:rsid w:val="00B665DA"/>
    <w:rsid w:val="00B66EA7"/>
    <w:rsid w:val="00B67AE1"/>
    <w:rsid w:val="00B70A44"/>
    <w:rsid w:val="00B7223C"/>
    <w:rsid w:val="00B728A9"/>
    <w:rsid w:val="00B74079"/>
    <w:rsid w:val="00B7451C"/>
    <w:rsid w:val="00B75017"/>
    <w:rsid w:val="00B7554F"/>
    <w:rsid w:val="00B76408"/>
    <w:rsid w:val="00B76C34"/>
    <w:rsid w:val="00B773BA"/>
    <w:rsid w:val="00B77627"/>
    <w:rsid w:val="00B7787D"/>
    <w:rsid w:val="00B778CA"/>
    <w:rsid w:val="00B77F9B"/>
    <w:rsid w:val="00B81C1C"/>
    <w:rsid w:val="00B82618"/>
    <w:rsid w:val="00B8268B"/>
    <w:rsid w:val="00B826B2"/>
    <w:rsid w:val="00B82CF5"/>
    <w:rsid w:val="00B83D39"/>
    <w:rsid w:val="00B83D72"/>
    <w:rsid w:val="00B83E07"/>
    <w:rsid w:val="00B84174"/>
    <w:rsid w:val="00B8449B"/>
    <w:rsid w:val="00B848E2"/>
    <w:rsid w:val="00B849B6"/>
    <w:rsid w:val="00B84FF2"/>
    <w:rsid w:val="00B852B2"/>
    <w:rsid w:val="00B863A0"/>
    <w:rsid w:val="00B865C6"/>
    <w:rsid w:val="00B8666B"/>
    <w:rsid w:val="00B86A86"/>
    <w:rsid w:val="00B8707C"/>
    <w:rsid w:val="00B879C5"/>
    <w:rsid w:val="00B87AC5"/>
    <w:rsid w:val="00B87B0D"/>
    <w:rsid w:val="00B90493"/>
    <w:rsid w:val="00B90E52"/>
    <w:rsid w:val="00B915AF"/>
    <w:rsid w:val="00B923F4"/>
    <w:rsid w:val="00B925B7"/>
    <w:rsid w:val="00B92839"/>
    <w:rsid w:val="00B92B0B"/>
    <w:rsid w:val="00B92E74"/>
    <w:rsid w:val="00B92EAC"/>
    <w:rsid w:val="00B93033"/>
    <w:rsid w:val="00B937B8"/>
    <w:rsid w:val="00B9390D"/>
    <w:rsid w:val="00B93A49"/>
    <w:rsid w:val="00B93BE9"/>
    <w:rsid w:val="00B93FC7"/>
    <w:rsid w:val="00B95355"/>
    <w:rsid w:val="00B96874"/>
    <w:rsid w:val="00B96A96"/>
    <w:rsid w:val="00B96B62"/>
    <w:rsid w:val="00B9784E"/>
    <w:rsid w:val="00BA085B"/>
    <w:rsid w:val="00BA0B23"/>
    <w:rsid w:val="00BA16CA"/>
    <w:rsid w:val="00BA1AFA"/>
    <w:rsid w:val="00BA1EB1"/>
    <w:rsid w:val="00BA24D3"/>
    <w:rsid w:val="00BA26FD"/>
    <w:rsid w:val="00BA2913"/>
    <w:rsid w:val="00BA299B"/>
    <w:rsid w:val="00BA3C7B"/>
    <w:rsid w:val="00BA4FB2"/>
    <w:rsid w:val="00BA50A8"/>
    <w:rsid w:val="00BA5A21"/>
    <w:rsid w:val="00BA5F0B"/>
    <w:rsid w:val="00BA6003"/>
    <w:rsid w:val="00BA626B"/>
    <w:rsid w:val="00BA70E4"/>
    <w:rsid w:val="00BA7D12"/>
    <w:rsid w:val="00BB01DB"/>
    <w:rsid w:val="00BB0D56"/>
    <w:rsid w:val="00BB10BF"/>
    <w:rsid w:val="00BB2168"/>
    <w:rsid w:val="00BB4907"/>
    <w:rsid w:val="00BB52D8"/>
    <w:rsid w:val="00BB550C"/>
    <w:rsid w:val="00BB5C46"/>
    <w:rsid w:val="00BB70A5"/>
    <w:rsid w:val="00BB7CA1"/>
    <w:rsid w:val="00BC0421"/>
    <w:rsid w:val="00BC1297"/>
    <w:rsid w:val="00BC1969"/>
    <w:rsid w:val="00BC2D1D"/>
    <w:rsid w:val="00BC346C"/>
    <w:rsid w:val="00BC45CB"/>
    <w:rsid w:val="00BC4BF5"/>
    <w:rsid w:val="00BC4D6E"/>
    <w:rsid w:val="00BC5FB5"/>
    <w:rsid w:val="00BC6065"/>
    <w:rsid w:val="00BC6BC7"/>
    <w:rsid w:val="00BC6C4E"/>
    <w:rsid w:val="00BC7532"/>
    <w:rsid w:val="00BD0535"/>
    <w:rsid w:val="00BD1903"/>
    <w:rsid w:val="00BD208A"/>
    <w:rsid w:val="00BD2AA8"/>
    <w:rsid w:val="00BD2AE9"/>
    <w:rsid w:val="00BD2DD6"/>
    <w:rsid w:val="00BD3372"/>
    <w:rsid w:val="00BD3BD0"/>
    <w:rsid w:val="00BD3FF8"/>
    <w:rsid w:val="00BD4944"/>
    <w:rsid w:val="00BD4EF6"/>
    <w:rsid w:val="00BD509A"/>
    <w:rsid w:val="00BD545A"/>
    <w:rsid w:val="00BD63F3"/>
    <w:rsid w:val="00BD7642"/>
    <w:rsid w:val="00BD77E4"/>
    <w:rsid w:val="00BD78C0"/>
    <w:rsid w:val="00BE0206"/>
    <w:rsid w:val="00BE1E20"/>
    <w:rsid w:val="00BE2C6B"/>
    <w:rsid w:val="00BE3A12"/>
    <w:rsid w:val="00BE3EF1"/>
    <w:rsid w:val="00BE4AAA"/>
    <w:rsid w:val="00BE4FB0"/>
    <w:rsid w:val="00BE553F"/>
    <w:rsid w:val="00BE58DE"/>
    <w:rsid w:val="00BE5C1E"/>
    <w:rsid w:val="00BE6C9B"/>
    <w:rsid w:val="00BE6FD8"/>
    <w:rsid w:val="00BE7C82"/>
    <w:rsid w:val="00BF0111"/>
    <w:rsid w:val="00BF3BAA"/>
    <w:rsid w:val="00BF532E"/>
    <w:rsid w:val="00BF725B"/>
    <w:rsid w:val="00BF7269"/>
    <w:rsid w:val="00BF7474"/>
    <w:rsid w:val="00C00042"/>
    <w:rsid w:val="00C002E7"/>
    <w:rsid w:val="00C00C39"/>
    <w:rsid w:val="00C0105E"/>
    <w:rsid w:val="00C016B9"/>
    <w:rsid w:val="00C02610"/>
    <w:rsid w:val="00C02DC8"/>
    <w:rsid w:val="00C0334C"/>
    <w:rsid w:val="00C044FC"/>
    <w:rsid w:val="00C04551"/>
    <w:rsid w:val="00C04A69"/>
    <w:rsid w:val="00C04E4F"/>
    <w:rsid w:val="00C05E42"/>
    <w:rsid w:val="00C0689E"/>
    <w:rsid w:val="00C07355"/>
    <w:rsid w:val="00C0749B"/>
    <w:rsid w:val="00C07647"/>
    <w:rsid w:val="00C07B3E"/>
    <w:rsid w:val="00C10AAF"/>
    <w:rsid w:val="00C10B69"/>
    <w:rsid w:val="00C10EF1"/>
    <w:rsid w:val="00C11552"/>
    <w:rsid w:val="00C11597"/>
    <w:rsid w:val="00C1197B"/>
    <w:rsid w:val="00C127AA"/>
    <w:rsid w:val="00C12FA6"/>
    <w:rsid w:val="00C13CE6"/>
    <w:rsid w:val="00C13F5E"/>
    <w:rsid w:val="00C14445"/>
    <w:rsid w:val="00C14579"/>
    <w:rsid w:val="00C145E1"/>
    <w:rsid w:val="00C14A0F"/>
    <w:rsid w:val="00C14B94"/>
    <w:rsid w:val="00C14D51"/>
    <w:rsid w:val="00C1552C"/>
    <w:rsid w:val="00C1771C"/>
    <w:rsid w:val="00C17BFD"/>
    <w:rsid w:val="00C17D3A"/>
    <w:rsid w:val="00C17F0C"/>
    <w:rsid w:val="00C17F5E"/>
    <w:rsid w:val="00C20496"/>
    <w:rsid w:val="00C21B1C"/>
    <w:rsid w:val="00C21EB4"/>
    <w:rsid w:val="00C21F09"/>
    <w:rsid w:val="00C22862"/>
    <w:rsid w:val="00C22977"/>
    <w:rsid w:val="00C22B6B"/>
    <w:rsid w:val="00C22CCA"/>
    <w:rsid w:val="00C22CF8"/>
    <w:rsid w:val="00C233FA"/>
    <w:rsid w:val="00C245C7"/>
    <w:rsid w:val="00C24AC7"/>
    <w:rsid w:val="00C24C02"/>
    <w:rsid w:val="00C25019"/>
    <w:rsid w:val="00C26310"/>
    <w:rsid w:val="00C26D08"/>
    <w:rsid w:val="00C308B3"/>
    <w:rsid w:val="00C30FAE"/>
    <w:rsid w:val="00C310BC"/>
    <w:rsid w:val="00C324AA"/>
    <w:rsid w:val="00C32694"/>
    <w:rsid w:val="00C328E3"/>
    <w:rsid w:val="00C33113"/>
    <w:rsid w:val="00C33477"/>
    <w:rsid w:val="00C34009"/>
    <w:rsid w:val="00C3455A"/>
    <w:rsid w:val="00C359D5"/>
    <w:rsid w:val="00C35CDC"/>
    <w:rsid w:val="00C36416"/>
    <w:rsid w:val="00C372DD"/>
    <w:rsid w:val="00C37447"/>
    <w:rsid w:val="00C37C5F"/>
    <w:rsid w:val="00C431D4"/>
    <w:rsid w:val="00C4542C"/>
    <w:rsid w:val="00C4549C"/>
    <w:rsid w:val="00C45AEB"/>
    <w:rsid w:val="00C45E6E"/>
    <w:rsid w:val="00C46ED1"/>
    <w:rsid w:val="00C4713C"/>
    <w:rsid w:val="00C476FB"/>
    <w:rsid w:val="00C47CC5"/>
    <w:rsid w:val="00C50304"/>
    <w:rsid w:val="00C50924"/>
    <w:rsid w:val="00C50A1F"/>
    <w:rsid w:val="00C510C4"/>
    <w:rsid w:val="00C5378C"/>
    <w:rsid w:val="00C53C37"/>
    <w:rsid w:val="00C54AF6"/>
    <w:rsid w:val="00C54CD7"/>
    <w:rsid w:val="00C54EEE"/>
    <w:rsid w:val="00C5538F"/>
    <w:rsid w:val="00C553AB"/>
    <w:rsid w:val="00C55553"/>
    <w:rsid w:val="00C55A7A"/>
    <w:rsid w:val="00C560F9"/>
    <w:rsid w:val="00C56416"/>
    <w:rsid w:val="00C57920"/>
    <w:rsid w:val="00C57BFA"/>
    <w:rsid w:val="00C61030"/>
    <w:rsid w:val="00C613F0"/>
    <w:rsid w:val="00C62E1E"/>
    <w:rsid w:val="00C62F5A"/>
    <w:rsid w:val="00C631E4"/>
    <w:rsid w:val="00C636C9"/>
    <w:rsid w:val="00C638B7"/>
    <w:rsid w:val="00C642E8"/>
    <w:rsid w:val="00C646BC"/>
    <w:rsid w:val="00C646D4"/>
    <w:rsid w:val="00C64743"/>
    <w:rsid w:val="00C64970"/>
    <w:rsid w:val="00C64CDA"/>
    <w:rsid w:val="00C65301"/>
    <w:rsid w:val="00C67752"/>
    <w:rsid w:val="00C7055D"/>
    <w:rsid w:val="00C70696"/>
    <w:rsid w:val="00C706F1"/>
    <w:rsid w:val="00C70731"/>
    <w:rsid w:val="00C709FB"/>
    <w:rsid w:val="00C70B11"/>
    <w:rsid w:val="00C70BA5"/>
    <w:rsid w:val="00C7214E"/>
    <w:rsid w:val="00C727DE"/>
    <w:rsid w:val="00C72823"/>
    <w:rsid w:val="00C72F86"/>
    <w:rsid w:val="00C738EB"/>
    <w:rsid w:val="00C73ACC"/>
    <w:rsid w:val="00C74251"/>
    <w:rsid w:val="00C7456A"/>
    <w:rsid w:val="00C74D48"/>
    <w:rsid w:val="00C753D5"/>
    <w:rsid w:val="00C755C8"/>
    <w:rsid w:val="00C769D3"/>
    <w:rsid w:val="00C76AF4"/>
    <w:rsid w:val="00C776AE"/>
    <w:rsid w:val="00C77BDC"/>
    <w:rsid w:val="00C80852"/>
    <w:rsid w:val="00C80AB6"/>
    <w:rsid w:val="00C80F13"/>
    <w:rsid w:val="00C8111D"/>
    <w:rsid w:val="00C81365"/>
    <w:rsid w:val="00C81A13"/>
    <w:rsid w:val="00C81CE7"/>
    <w:rsid w:val="00C82BB9"/>
    <w:rsid w:val="00C831C2"/>
    <w:rsid w:val="00C834F6"/>
    <w:rsid w:val="00C840E0"/>
    <w:rsid w:val="00C8432A"/>
    <w:rsid w:val="00C855F2"/>
    <w:rsid w:val="00C85E00"/>
    <w:rsid w:val="00C8623A"/>
    <w:rsid w:val="00C86595"/>
    <w:rsid w:val="00C86A23"/>
    <w:rsid w:val="00C86B91"/>
    <w:rsid w:val="00C87494"/>
    <w:rsid w:val="00C90CC9"/>
    <w:rsid w:val="00C92290"/>
    <w:rsid w:val="00C9251F"/>
    <w:rsid w:val="00C92A3F"/>
    <w:rsid w:val="00C92F92"/>
    <w:rsid w:val="00C9408D"/>
    <w:rsid w:val="00C94156"/>
    <w:rsid w:val="00C9430F"/>
    <w:rsid w:val="00C961C6"/>
    <w:rsid w:val="00C96E18"/>
    <w:rsid w:val="00C96F77"/>
    <w:rsid w:val="00C9737C"/>
    <w:rsid w:val="00C9785C"/>
    <w:rsid w:val="00CA0454"/>
    <w:rsid w:val="00CA0469"/>
    <w:rsid w:val="00CA0A45"/>
    <w:rsid w:val="00CA15E9"/>
    <w:rsid w:val="00CA17D2"/>
    <w:rsid w:val="00CA1A74"/>
    <w:rsid w:val="00CA3877"/>
    <w:rsid w:val="00CA3DC4"/>
    <w:rsid w:val="00CA651D"/>
    <w:rsid w:val="00CA65D4"/>
    <w:rsid w:val="00CA6F2F"/>
    <w:rsid w:val="00CA7083"/>
    <w:rsid w:val="00CA7877"/>
    <w:rsid w:val="00CB5A7C"/>
    <w:rsid w:val="00CB7100"/>
    <w:rsid w:val="00CB7240"/>
    <w:rsid w:val="00CB7640"/>
    <w:rsid w:val="00CC09E0"/>
    <w:rsid w:val="00CC105F"/>
    <w:rsid w:val="00CC10E4"/>
    <w:rsid w:val="00CC1E71"/>
    <w:rsid w:val="00CC228C"/>
    <w:rsid w:val="00CC5E60"/>
    <w:rsid w:val="00CC5FE5"/>
    <w:rsid w:val="00CC6420"/>
    <w:rsid w:val="00CC6449"/>
    <w:rsid w:val="00CC6A5E"/>
    <w:rsid w:val="00CC7749"/>
    <w:rsid w:val="00CC7D28"/>
    <w:rsid w:val="00CD112A"/>
    <w:rsid w:val="00CD1254"/>
    <w:rsid w:val="00CD12AC"/>
    <w:rsid w:val="00CD23EA"/>
    <w:rsid w:val="00CD25C1"/>
    <w:rsid w:val="00CD3015"/>
    <w:rsid w:val="00CD3450"/>
    <w:rsid w:val="00CD3ABA"/>
    <w:rsid w:val="00CD3BD5"/>
    <w:rsid w:val="00CD46B8"/>
    <w:rsid w:val="00CD5EBA"/>
    <w:rsid w:val="00CD785B"/>
    <w:rsid w:val="00CD79F0"/>
    <w:rsid w:val="00CD7BFF"/>
    <w:rsid w:val="00CE07A5"/>
    <w:rsid w:val="00CE0A18"/>
    <w:rsid w:val="00CE1278"/>
    <w:rsid w:val="00CE21DA"/>
    <w:rsid w:val="00CE25D2"/>
    <w:rsid w:val="00CE2E40"/>
    <w:rsid w:val="00CE3FE7"/>
    <w:rsid w:val="00CE4B8F"/>
    <w:rsid w:val="00CE53CB"/>
    <w:rsid w:val="00CE57E0"/>
    <w:rsid w:val="00CE598A"/>
    <w:rsid w:val="00CE6D46"/>
    <w:rsid w:val="00CE6EBF"/>
    <w:rsid w:val="00CE7694"/>
    <w:rsid w:val="00CE79C3"/>
    <w:rsid w:val="00CF0E53"/>
    <w:rsid w:val="00CF20F4"/>
    <w:rsid w:val="00CF2B8A"/>
    <w:rsid w:val="00CF2CB2"/>
    <w:rsid w:val="00CF2FFB"/>
    <w:rsid w:val="00CF3885"/>
    <w:rsid w:val="00CF456E"/>
    <w:rsid w:val="00CF5CC1"/>
    <w:rsid w:val="00CF5FB4"/>
    <w:rsid w:val="00CF6A0B"/>
    <w:rsid w:val="00CF7F3E"/>
    <w:rsid w:val="00D001F0"/>
    <w:rsid w:val="00D00633"/>
    <w:rsid w:val="00D00C3D"/>
    <w:rsid w:val="00D0138B"/>
    <w:rsid w:val="00D01714"/>
    <w:rsid w:val="00D02343"/>
    <w:rsid w:val="00D02CBB"/>
    <w:rsid w:val="00D032D9"/>
    <w:rsid w:val="00D038B7"/>
    <w:rsid w:val="00D04126"/>
    <w:rsid w:val="00D04B7F"/>
    <w:rsid w:val="00D05882"/>
    <w:rsid w:val="00D06A25"/>
    <w:rsid w:val="00D06AFA"/>
    <w:rsid w:val="00D0757E"/>
    <w:rsid w:val="00D07CC8"/>
    <w:rsid w:val="00D10084"/>
    <w:rsid w:val="00D10D65"/>
    <w:rsid w:val="00D12B91"/>
    <w:rsid w:val="00D12F8A"/>
    <w:rsid w:val="00D133A5"/>
    <w:rsid w:val="00D136C8"/>
    <w:rsid w:val="00D138B2"/>
    <w:rsid w:val="00D147CA"/>
    <w:rsid w:val="00D15B8F"/>
    <w:rsid w:val="00D1606E"/>
    <w:rsid w:val="00D162DC"/>
    <w:rsid w:val="00D20217"/>
    <w:rsid w:val="00D207C7"/>
    <w:rsid w:val="00D21FB4"/>
    <w:rsid w:val="00D22005"/>
    <w:rsid w:val="00D2220E"/>
    <w:rsid w:val="00D2288B"/>
    <w:rsid w:val="00D22BB0"/>
    <w:rsid w:val="00D22DB8"/>
    <w:rsid w:val="00D230D4"/>
    <w:rsid w:val="00D2418A"/>
    <w:rsid w:val="00D248EE"/>
    <w:rsid w:val="00D259AB"/>
    <w:rsid w:val="00D267A8"/>
    <w:rsid w:val="00D27C69"/>
    <w:rsid w:val="00D27EB8"/>
    <w:rsid w:val="00D30487"/>
    <w:rsid w:val="00D318C5"/>
    <w:rsid w:val="00D31C4C"/>
    <w:rsid w:val="00D324E9"/>
    <w:rsid w:val="00D32BD8"/>
    <w:rsid w:val="00D32EFD"/>
    <w:rsid w:val="00D330F4"/>
    <w:rsid w:val="00D339C2"/>
    <w:rsid w:val="00D33DCF"/>
    <w:rsid w:val="00D34DFB"/>
    <w:rsid w:val="00D36B3A"/>
    <w:rsid w:val="00D371C6"/>
    <w:rsid w:val="00D37426"/>
    <w:rsid w:val="00D37774"/>
    <w:rsid w:val="00D37C6D"/>
    <w:rsid w:val="00D40170"/>
    <w:rsid w:val="00D40EE9"/>
    <w:rsid w:val="00D40FC0"/>
    <w:rsid w:val="00D410DF"/>
    <w:rsid w:val="00D412EA"/>
    <w:rsid w:val="00D42013"/>
    <w:rsid w:val="00D427D3"/>
    <w:rsid w:val="00D4348D"/>
    <w:rsid w:val="00D44B3E"/>
    <w:rsid w:val="00D4526B"/>
    <w:rsid w:val="00D45D51"/>
    <w:rsid w:val="00D45DDE"/>
    <w:rsid w:val="00D4677E"/>
    <w:rsid w:val="00D4686A"/>
    <w:rsid w:val="00D47505"/>
    <w:rsid w:val="00D47BB9"/>
    <w:rsid w:val="00D507A0"/>
    <w:rsid w:val="00D50B66"/>
    <w:rsid w:val="00D50C43"/>
    <w:rsid w:val="00D51C21"/>
    <w:rsid w:val="00D5255C"/>
    <w:rsid w:val="00D52924"/>
    <w:rsid w:val="00D52DF0"/>
    <w:rsid w:val="00D52E9D"/>
    <w:rsid w:val="00D53096"/>
    <w:rsid w:val="00D53536"/>
    <w:rsid w:val="00D53DCA"/>
    <w:rsid w:val="00D53F3C"/>
    <w:rsid w:val="00D53FF2"/>
    <w:rsid w:val="00D54050"/>
    <w:rsid w:val="00D54056"/>
    <w:rsid w:val="00D55CA5"/>
    <w:rsid w:val="00D56019"/>
    <w:rsid w:val="00D5604E"/>
    <w:rsid w:val="00D56251"/>
    <w:rsid w:val="00D56B5A"/>
    <w:rsid w:val="00D56F7D"/>
    <w:rsid w:val="00D571A3"/>
    <w:rsid w:val="00D6118D"/>
    <w:rsid w:val="00D619AA"/>
    <w:rsid w:val="00D61B84"/>
    <w:rsid w:val="00D620D1"/>
    <w:rsid w:val="00D625AA"/>
    <w:rsid w:val="00D632EA"/>
    <w:rsid w:val="00D649E5"/>
    <w:rsid w:val="00D64F91"/>
    <w:rsid w:val="00D650B5"/>
    <w:rsid w:val="00D656B1"/>
    <w:rsid w:val="00D65C47"/>
    <w:rsid w:val="00D6630A"/>
    <w:rsid w:val="00D673A8"/>
    <w:rsid w:val="00D675D6"/>
    <w:rsid w:val="00D67B44"/>
    <w:rsid w:val="00D712BE"/>
    <w:rsid w:val="00D72E95"/>
    <w:rsid w:val="00D72FBE"/>
    <w:rsid w:val="00D72FC0"/>
    <w:rsid w:val="00D739D9"/>
    <w:rsid w:val="00D740E5"/>
    <w:rsid w:val="00D745F2"/>
    <w:rsid w:val="00D74F0C"/>
    <w:rsid w:val="00D752A4"/>
    <w:rsid w:val="00D76309"/>
    <w:rsid w:val="00D77678"/>
    <w:rsid w:val="00D803F8"/>
    <w:rsid w:val="00D8091A"/>
    <w:rsid w:val="00D80E04"/>
    <w:rsid w:val="00D81560"/>
    <w:rsid w:val="00D82193"/>
    <w:rsid w:val="00D8284D"/>
    <w:rsid w:val="00D838B9"/>
    <w:rsid w:val="00D854E3"/>
    <w:rsid w:val="00D86290"/>
    <w:rsid w:val="00D86819"/>
    <w:rsid w:val="00D86A38"/>
    <w:rsid w:val="00D87BB0"/>
    <w:rsid w:val="00D87C4F"/>
    <w:rsid w:val="00D90336"/>
    <w:rsid w:val="00D9063B"/>
    <w:rsid w:val="00D91465"/>
    <w:rsid w:val="00D91B39"/>
    <w:rsid w:val="00D92116"/>
    <w:rsid w:val="00D92452"/>
    <w:rsid w:val="00D924AC"/>
    <w:rsid w:val="00D92B6F"/>
    <w:rsid w:val="00D92D98"/>
    <w:rsid w:val="00D93FC3"/>
    <w:rsid w:val="00D9414C"/>
    <w:rsid w:val="00D94396"/>
    <w:rsid w:val="00D95F32"/>
    <w:rsid w:val="00D96573"/>
    <w:rsid w:val="00D973CE"/>
    <w:rsid w:val="00D97510"/>
    <w:rsid w:val="00DA08B4"/>
    <w:rsid w:val="00DA14BB"/>
    <w:rsid w:val="00DA1969"/>
    <w:rsid w:val="00DA39F5"/>
    <w:rsid w:val="00DA3F63"/>
    <w:rsid w:val="00DA3F70"/>
    <w:rsid w:val="00DA4A38"/>
    <w:rsid w:val="00DA4B36"/>
    <w:rsid w:val="00DA50D9"/>
    <w:rsid w:val="00DA5611"/>
    <w:rsid w:val="00DA5D67"/>
    <w:rsid w:val="00DA5F3A"/>
    <w:rsid w:val="00DA6599"/>
    <w:rsid w:val="00DA6BBA"/>
    <w:rsid w:val="00DA75CD"/>
    <w:rsid w:val="00DB175C"/>
    <w:rsid w:val="00DB1D6A"/>
    <w:rsid w:val="00DB2512"/>
    <w:rsid w:val="00DB2CC8"/>
    <w:rsid w:val="00DB30A2"/>
    <w:rsid w:val="00DB52B1"/>
    <w:rsid w:val="00DB5322"/>
    <w:rsid w:val="00DB5ED9"/>
    <w:rsid w:val="00DB64FA"/>
    <w:rsid w:val="00DB6B9F"/>
    <w:rsid w:val="00DB6EA9"/>
    <w:rsid w:val="00DB728B"/>
    <w:rsid w:val="00DB7772"/>
    <w:rsid w:val="00DC1EC2"/>
    <w:rsid w:val="00DC22ED"/>
    <w:rsid w:val="00DC2CE9"/>
    <w:rsid w:val="00DC4D1F"/>
    <w:rsid w:val="00DC501A"/>
    <w:rsid w:val="00DC52EA"/>
    <w:rsid w:val="00DC5561"/>
    <w:rsid w:val="00DC5A4E"/>
    <w:rsid w:val="00DC5FC0"/>
    <w:rsid w:val="00DC60CF"/>
    <w:rsid w:val="00DC635F"/>
    <w:rsid w:val="00DC65E3"/>
    <w:rsid w:val="00DC6AA9"/>
    <w:rsid w:val="00DD028D"/>
    <w:rsid w:val="00DD0A01"/>
    <w:rsid w:val="00DD0C44"/>
    <w:rsid w:val="00DD1E3A"/>
    <w:rsid w:val="00DD1EA9"/>
    <w:rsid w:val="00DD2A5D"/>
    <w:rsid w:val="00DD2CE9"/>
    <w:rsid w:val="00DD31AA"/>
    <w:rsid w:val="00DD3E38"/>
    <w:rsid w:val="00DD4127"/>
    <w:rsid w:val="00DD4217"/>
    <w:rsid w:val="00DD47E4"/>
    <w:rsid w:val="00DD4ACA"/>
    <w:rsid w:val="00DD5971"/>
    <w:rsid w:val="00DD5D00"/>
    <w:rsid w:val="00DD68D4"/>
    <w:rsid w:val="00DD777F"/>
    <w:rsid w:val="00DD7B33"/>
    <w:rsid w:val="00DE0BEF"/>
    <w:rsid w:val="00DE2FC7"/>
    <w:rsid w:val="00DE3523"/>
    <w:rsid w:val="00DE36AC"/>
    <w:rsid w:val="00DE3CE0"/>
    <w:rsid w:val="00DE52AB"/>
    <w:rsid w:val="00DE5F4C"/>
    <w:rsid w:val="00DE6609"/>
    <w:rsid w:val="00DE6D56"/>
    <w:rsid w:val="00DE7888"/>
    <w:rsid w:val="00DE7AC0"/>
    <w:rsid w:val="00DE7CEE"/>
    <w:rsid w:val="00DF065D"/>
    <w:rsid w:val="00DF08A0"/>
    <w:rsid w:val="00DF0CF4"/>
    <w:rsid w:val="00DF1B26"/>
    <w:rsid w:val="00DF1D03"/>
    <w:rsid w:val="00DF23F9"/>
    <w:rsid w:val="00DF2864"/>
    <w:rsid w:val="00DF2970"/>
    <w:rsid w:val="00DF396C"/>
    <w:rsid w:val="00DF3A0A"/>
    <w:rsid w:val="00DF45DD"/>
    <w:rsid w:val="00DF50D8"/>
    <w:rsid w:val="00DF5B14"/>
    <w:rsid w:val="00DF68BD"/>
    <w:rsid w:val="00DF691D"/>
    <w:rsid w:val="00DF6F8C"/>
    <w:rsid w:val="00E000BC"/>
    <w:rsid w:val="00E00726"/>
    <w:rsid w:val="00E0256E"/>
    <w:rsid w:val="00E04727"/>
    <w:rsid w:val="00E04941"/>
    <w:rsid w:val="00E0545D"/>
    <w:rsid w:val="00E05527"/>
    <w:rsid w:val="00E05883"/>
    <w:rsid w:val="00E059A9"/>
    <w:rsid w:val="00E05D1E"/>
    <w:rsid w:val="00E05FEA"/>
    <w:rsid w:val="00E06372"/>
    <w:rsid w:val="00E0662F"/>
    <w:rsid w:val="00E068E5"/>
    <w:rsid w:val="00E06A20"/>
    <w:rsid w:val="00E07279"/>
    <w:rsid w:val="00E10519"/>
    <w:rsid w:val="00E10B81"/>
    <w:rsid w:val="00E112D9"/>
    <w:rsid w:val="00E12A20"/>
    <w:rsid w:val="00E12C67"/>
    <w:rsid w:val="00E1522F"/>
    <w:rsid w:val="00E156E5"/>
    <w:rsid w:val="00E15FBF"/>
    <w:rsid w:val="00E16578"/>
    <w:rsid w:val="00E16888"/>
    <w:rsid w:val="00E17102"/>
    <w:rsid w:val="00E2036D"/>
    <w:rsid w:val="00E21248"/>
    <w:rsid w:val="00E2194A"/>
    <w:rsid w:val="00E223D3"/>
    <w:rsid w:val="00E2248F"/>
    <w:rsid w:val="00E225AF"/>
    <w:rsid w:val="00E22AFE"/>
    <w:rsid w:val="00E230B8"/>
    <w:rsid w:val="00E24135"/>
    <w:rsid w:val="00E24667"/>
    <w:rsid w:val="00E2468A"/>
    <w:rsid w:val="00E252B1"/>
    <w:rsid w:val="00E269B2"/>
    <w:rsid w:val="00E274CF"/>
    <w:rsid w:val="00E3006E"/>
    <w:rsid w:val="00E30E42"/>
    <w:rsid w:val="00E31136"/>
    <w:rsid w:val="00E31F8B"/>
    <w:rsid w:val="00E320FB"/>
    <w:rsid w:val="00E3213D"/>
    <w:rsid w:val="00E32E01"/>
    <w:rsid w:val="00E3517B"/>
    <w:rsid w:val="00E35F00"/>
    <w:rsid w:val="00E36BCD"/>
    <w:rsid w:val="00E36DA8"/>
    <w:rsid w:val="00E3736C"/>
    <w:rsid w:val="00E37A09"/>
    <w:rsid w:val="00E426B1"/>
    <w:rsid w:val="00E4308B"/>
    <w:rsid w:val="00E43BC7"/>
    <w:rsid w:val="00E44518"/>
    <w:rsid w:val="00E4531D"/>
    <w:rsid w:val="00E457E1"/>
    <w:rsid w:val="00E46498"/>
    <w:rsid w:val="00E46650"/>
    <w:rsid w:val="00E4666E"/>
    <w:rsid w:val="00E47392"/>
    <w:rsid w:val="00E4758C"/>
    <w:rsid w:val="00E515C8"/>
    <w:rsid w:val="00E51DFA"/>
    <w:rsid w:val="00E527CC"/>
    <w:rsid w:val="00E52C12"/>
    <w:rsid w:val="00E53555"/>
    <w:rsid w:val="00E53D66"/>
    <w:rsid w:val="00E54A2D"/>
    <w:rsid w:val="00E55BE5"/>
    <w:rsid w:val="00E5637E"/>
    <w:rsid w:val="00E56811"/>
    <w:rsid w:val="00E5775E"/>
    <w:rsid w:val="00E57845"/>
    <w:rsid w:val="00E61D99"/>
    <w:rsid w:val="00E624BE"/>
    <w:rsid w:val="00E6392D"/>
    <w:rsid w:val="00E63BAF"/>
    <w:rsid w:val="00E6491E"/>
    <w:rsid w:val="00E64D70"/>
    <w:rsid w:val="00E64E95"/>
    <w:rsid w:val="00E66643"/>
    <w:rsid w:val="00E671BB"/>
    <w:rsid w:val="00E671F2"/>
    <w:rsid w:val="00E67C7B"/>
    <w:rsid w:val="00E70C50"/>
    <w:rsid w:val="00E71182"/>
    <w:rsid w:val="00E71408"/>
    <w:rsid w:val="00E7227A"/>
    <w:rsid w:val="00E7378B"/>
    <w:rsid w:val="00E7408D"/>
    <w:rsid w:val="00E7409D"/>
    <w:rsid w:val="00E74102"/>
    <w:rsid w:val="00E747DE"/>
    <w:rsid w:val="00E7609A"/>
    <w:rsid w:val="00E76939"/>
    <w:rsid w:val="00E774C8"/>
    <w:rsid w:val="00E80182"/>
    <w:rsid w:val="00E81258"/>
    <w:rsid w:val="00E8246C"/>
    <w:rsid w:val="00E84CDC"/>
    <w:rsid w:val="00E84DF9"/>
    <w:rsid w:val="00E84F6D"/>
    <w:rsid w:val="00E8551E"/>
    <w:rsid w:val="00E855EC"/>
    <w:rsid w:val="00E8601D"/>
    <w:rsid w:val="00E87F0D"/>
    <w:rsid w:val="00E907F7"/>
    <w:rsid w:val="00E9098A"/>
    <w:rsid w:val="00E91208"/>
    <w:rsid w:val="00E91518"/>
    <w:rsid w:val="00E9272A"/>
    <w:rsid w:val="00E92B16"/>
    <w:rsid w:val="00E95234"/>
    <w:rsid w:val="00E9557C"/>
    <w:rsid w:val="00E96106"/>
    <w:rsid w:val="00E96EAE"/>
    <w:rsid w:val="00E96F24"/>
    <w:rsid w:val="00E97E2A"/>
    <w:rsid w:val="00E97EAB"/>
    <w:rsid w:val="00EA006F"/>
    <w:rsid w:val="00EA00A3"/>
    <w:rsid w:val="00EA108C"/>
    <w:rsid w:val="00EA261F"/>
    <w:rsid w:val="00EA2B1D"/>
    <w:rsid w:val="00EA40E5"/>
    <w:rsid w:val="00EA5014"/>
    <w:rsid w:val="00EA5494"/>
    <w:rsid w:val="00EA55C5"/>
    <w:rsid w:val="00EA5916"/>
    <w:rsid w:val="00EA646E"/>
    <w:rsid w:val="00EA6D46"/>
    <w:rsid w:val="00EA7019"/>
    <w:rsid w:val="00EA7177"/>
    <w:rsid w:val="00EA761C"/>
    <w:rsid w:val="00EB043A"/>
    <w:rsid w:val="00EB0926"/>
    <w:rsid w:val="00EB0BF8"/>
    <w:rsid w:val="00EB1486"/>
    <w:rsid w:val="00EB26E6"/>
    <w:rsid w:val="00EB2B06"/>
    <w:rsid w:val="00EB32BD"/>
    <w:rsid w:val="00EB372E"/>
    <w:rsid w:val="00EB57F2"/>
    <w:rsid w:val="00EB6CD1"/>
    <w:rsid w:val="00EB72AE"/>
    <w:rsid w:val="00EB78E6"/>
    <w:rsid w:val="00EB79B9"/>
    <w:rsid w:val="00EC05B5"/>
    <w:rsid w:val="00EC08D9"/>
    <w:rsid w:val="00EC1801"/>
    <w:rsid w:val="00EC2A9A"/>
    <w:rsid w:val="00EC2F15"/>
    <w:rsid w:val="00EC2F1A"/>
    <w:rsid w:val="00EC303B"/>
    <w:rsid w:val="00EC3B48"/>
    <w:rsid w:val="00EC3FEB"/>
    <w:rsid w:val="00EC5203"/>
    <w:rsid w:val="00EC5B22"/>
    <w:rsid w:val="00EC6DD6"/>
    <w:rsid w:val="00EC7150"/>
    <w:rsid w:val="00ED05E5"/>
    <w:rsid w:val="00ED05EC"/>
    <w:rsid w:val="00ED0D66"/>
    <w:rsid w:val="00ED184E"/>
    <w:rsid w:val="00ED2879"/>
    <w:rsid w:val="00ED361C"/>
    <w:rsid w:val="00ED4820"/>
    <w:rsid w:val="00ED5365"/>
    <w:rsid w:val="00ED5A86"/>
    <w:rsid w:val="00ED6601"/>
    <w:rsid w:val="00ED6D16"/>
    <w:rsid w:val="00ED7370"/>
    <w:rsid w:val="00ED7FBA"/>
    <w:rsid w:val="00EE0481"/>
    <w:rsid w:val="00EE0A4B"/>
    <w:rsid w:val="00EE1A30"/>
    <w:rsid w:val="00EE1E77"/>
    <w:rsid w:val="00EE2169"/>
    <w:rsid w:val="00EE21EB"/>
    <w:rsid w:val="00EE3ADA"/>
    <w:rsid w:val="00EE3ECD"/>
    <w:rsid w:val="00EE42E9"/>
    <w:rsid w:val="00EE4DAE"/>
    <w:rsid w:val="00EE5593"/>
    <w:rsid w:val="00EF0183"/>
    <w:rsid w:val="00EF14A3"/>
    <w:rsid w:val="00EF2BF7"/>
    <w:rsid w:val="00EF3D37"/>
    <w:rsid w:val="00EF48DC"/>
    <w:rsid w:val="00EF691F"/>
    <w:rsid w:val="00EF6B94"/>
    <w:rsid w:val="00EF7404"/>
    <w:rsid w:val="00EF7A95"/>
    <w:rsid w:val="00EF7AB0"/>
    <w:rsid w:val="00EF7D9B"/>
    <w:rsid w:val="00F00155"/>
    <w:rsid w:val="00F0016A"/>
    <w:rsid w:val="00F01292"/>
    <w:rsid w:val="00F01C0E"/>
    <w:rsid w:val="00F01E77"/>
    <w:rsid w:val="00F01FB7"/>
    <w:rsid w:val="00F01FD0"/>
    <w:rsid w:val="00F02443"/>
    <w:rsid w:val="00F05034"/>
    <w:rsid w:val="00F05080"/>
    <w:rsid w:val="00F0540B"/>
    <w:rsid w:val="00F057F1"/>
    <w:rsid w:val="00F058BF"/>
    <w:rsid w:val="00F05A34"/>
    <w:rsid w:val="00F05D4B"/>
    <w:rsid w:val="00F062F7"/>
    <w:rsid w:val="00F0668F"/>
    <w:rsid w:val="00F0780C"/>
    <w:rsid w:val="00F07D1E"/>
    <w:rsid w:val="00F1006A"/>
    <w:rsid w:val="00F10BA2"/>
    <w:rsid w:val="00F1176A"/>
    <w:rsid w:val="00F122FE"/>
    <w:rsid w:val="00F12409"/>
    <w:rsid w:val="00F12565"/>
    <w:rsid w:val="00F1270D"/>
    <w:rsid w:val="00F138EB"/>
    <w:rsid w:val="00F1406C"/>
    <w:rsid w:val="00F1435F"/>
    <w:rsid w:val="00F146AD"/>
    <w:rsid w:val="00F1529F"/>
    <w:rsid w:val="00F15436"/>
    <w:rsid w:val="00F15A75"/>
    <w:rsid w:val="00F163C2"/>
    <w:rsid w:val="00F16574"/>
    <w:rsid w:val="00F1694C"/>
    <w:rsid w:val="00F176A9"/>
    <w:rsid w:val="00F17B5E"/>
    <w:rsid w:val="00F17FBE"/>
    <w:rsid w:val="00F23CBF"/>
    <w:rsid w:val="00F245BA"/>
    <w:rsid w:val="00F24C62"/>
    <w:rsid w:val="00F25557"/>
    <w:rsid w:val="00F2627D"/>
    <w:rsid w:val="00F26704"/>
    <w:rsid w:val="00F279DB"/>
    <w:rsid w:val="00F27E9F"/>
    <w:rsid w:val="00F31E26"/>
    <w:rsid w:val="00F329F2"/>
    <w:rsid w:val="00F32F4F"/>
    <w:rsid w:val="00F341E3"/>
    <w:rsid w:val="00F3431E"/>
    <w:rsid w:val="00F346E0"/>
    <w:rsid w:val="00F3479B"/>
    <w:rsid w:val="00F34A09"/>
    <w:rsid w:val="00F35910"/>
    <w:rsid w:val="00F35AB5"/>
    <w:rsid w:val="00F36029"/>
    <w:rsid w:val="00F36480"/>
    <w:rsid w:val="00F37F4D"/>
    <w:rsid w:val="00F37FAB"/>
    <w:rsid w:val="00F4004D"/>
    <w:rsid w:val="00F40068"/>
    <w:rsid w:val="00F40353"/>
    <w:rsid w:val="00F41504"/>
    <w:rsid w:val="00F41DD0"/>
    <w:rsid w:val="00F4203B"/>
    <w:rsid w:val="00F425DA"/>
    <w:rsid w:val="00F431F6"/>
    <w:rsid w:val="00F439F8"/>
    <w:rsid w:val="00F43D06"/>
    <w:rsid w:val="00F44075"/>
    <w:rsid w:val="00F44D85"/>
    <w:rsid w:val="00F4603E"/>
    <w:rsid w:val="00F50D05"/>
    <w:rsid w:val="00F50D54"/>
    <w:rsid w:val="00F51357"/>
    <w:rsid w:val="00F513C3"/>
    <w:rsid w:val="00F51B7C"/>
    <w:rsid w:val="00F51EDF"/>
    <w:rsid w:val="00F5223A"/>
    <w:rsid w:val="00F5247C"/>
    <w:rsid w:val="00F53E83"/>
    <w:rsid w:val="00F5401F"/>
    <w:rsid w:val="00F54F64"/>
    <w:rsid w:val="00F54FA8"/>
    <w:rsid w:val="00F55241"/>
    <w:rsid w:val="00F56B5D"/>
    <w:rsid w:val="00F57E65"/>
    <w:rsid w:val="00F600B7"/>
    <w:rsid w:val="00F60623"/>
    <w:rsid w:val="00F60F2C"/>
    <w:rsid w:val="00F61821"/>
    <w:rsid w:val="00F63413"/>
    <w:rsid w:val="00F63A97"/>
    <w:rsid w:val="00F64483"/>
    <w:rsid w:val="00F653A1"/>
    <w:rsid w:val="00F65694"/>
    <w:rsid w:val="00F659AA"/>
    <w:rsid w:val="00F66470"/>
    <w:rsid w:val="00F6676D"/>
    <w:rsid w:val="00F678AB"/>
    <w:rsid w:val="00F717D6"/>
    <w:rsid w:val="00F719A4"/>
    <w:rsid w:val="00F71B99"/>
    <w:rsid w:val="00F72232"/>
    <w:rsid w:val="00F726D8"/>
    <w:rsid w:val="00F74735"/>
    <w:rsid w:val="00F75306"/>
    <w:rsid w:val="00F7591E"/>
    <w:rsid w:val="00F777CE"/>
    <w:rsid w:val="00F802A8"/>
    <w:rsid w:val="00F80E8B"/>
    <w:rsid w:val="00F80EB0"/>
    <w:rsid w:val="00F810F5"/>
    <w:rsid w:val="00F816EA"/>
    <w:rsid w:val="00F81BA7"/>
    <w:rsid w:val="00F8211F"/>
    <w:rsid w:val="00F824A5"/>
    <w:rsid w:val="00F8375B"/>
    <w:rsid w:val="00F838FB"/>
    <w:rsid w:val="00F83948"/>
    <w:rsid w:val="00F843AB"/>
    <w:rsid w:val="00F8489A"/>
    <w:rsid w:val="00F849A8"/>
    <w:rsid w:val="00F84A51"/>
    <w:rsid w:val="00F84B52"/>
    <w:rsid w:val="00F85454"/>
    <w:rsid w:val="00F8640B"/>
    <w:rsid w:val="00F867EA"/>
    <w:rsid w:val="00F86A82"/>
    <w:rsid w:val="00F87DCE"/>
    <w:rsid w:val="00F9016D"/>
    <w:rsid w:val="00F92069"/>
    <w:rsid w:val="00F923CE"/>
    <w:rsid w:val="00F927D9"/>
    <w:rsid w:val="00F929F5"/>
    <w:rsid w:val="00F92A6F"/>
    <w:rsid w:val="00F92FEE"/>
    <w:rsid w:val="00F938D8"/>
    <w:rsid w:val="00F93A0C"/>
    <w:rsid w:val="00F94568"/>
    <w:rsid w:val="00F94E9A"/>
    <w:rsid w:val="00F95754"/>
    <w:rsid w:val="00F95A8F"/>
    <w:rsid w:val="00F96A4B"/>
    <w:rsid w:val="00F9745E"/>
    <w:rsid w:val="00F97BDE"/>
    <w:rsid w:val="00FA08A3"/>
    <w:rsid w:val="00FA2023"/>
    <w:rsid w:val="00FA2312"/>
    <w:rsid w:val="00FA27C2"/>
    <w:rsid w:val="00FA3111"/>
    <w:rsid w:val="00FA4CF2"/>
    <w:rsid w:val="00FA4F51"/>
    <w:rsid w:val="00FA52FD"/>
    <w:rsid w:val="00FA5A33"/>
    <w:rsid w:val="00FA5DFC"/>
    <w:rsid w:val="00FA6682"/>
    <w:rsid w:val="00FA6C99"/>
    <w:rsid w:val="00FA6D61"/>
    <w:rsid w:val="00FA751D"/>
    <w:rsid w:val="00FA7A86"/>
    <w:rsid w:val="00FA7C44"/>
    <w:rsid w:val="00FB00F6"/>
    <w:rsid w:val="00FB0490"/>
    <w:rsid w:val="00FB07B5"/>
    <w:rsid w:val="00FB121F"/>
    <w:rsid w:val="00FB1980"/>
    <w:rsid w:val="00FB1DA1"/>
    <w:rsid w:val="00FB237B"/>
    <w:rsid w:val="00FB2B3F"/>
    <w:rsid w:val="00FB324F"/>
    <w:rsid w:val="00FB3595"/>
    <w:rsid w:val="00FB4269"/>
    <w:rsid w:val="00FB48F3"/>
    <w:rsid w:val="00FB4A8D"/>
    <w:rsid w:val="00FB4DB1"/>
    <w:rsid w:val="00FB55CB"/>
    <w:rsid w:val="00FB5C23"/>
    <w:rsid w:val="00FB5E0F"/>
    <w:rsid w:val="00FC09DC"/>
    <w:rsid w:val="00FC1796"/>
    <w:rsid w:val="00FC2811"/>
    <w:rsid w:val="00FC28B5"/>
    <w:rsid w:val="00FC3F83"/>
    <w:rsid w:val="00FC42F8"/>
    <w:rsid w:val="00FC4404"/>
    <w:rsid w:val="00FC4475"/>
    <w:rsid w:val="00FC4639"/>
    <w:rsid w:val="00FC48DE"/>
    <w:rsid w:val="00FC4DD9"/>
    <w:rsid w:val="00FC65AD"/>
    <w:rsid w:val="00FC66A6"/>
    <w:rsid w:val="00FC688F"/>
    <w:rsid w:val="00FC7F87"/>
    <w:rsid w:val="00FD1B21"/>
    <w:rsid w:val="00FD2372"/>
    <w:rsid w:val="00FD247F"/>
    <w:rsid w:val="00FD2E61"/>
    <w:rsid w:val="00FD3BE4"/>
    <w:rsid w:val="00FD49A5"/>
    <w:rsid w:val="00FD5524"/>
    <w:rsid w:val="00FD68D5"/>
    <w:rsid w:val="00FD6C04"/>
    <w:rsid w:val="00FD6C45"/>
    <w:rsid w:val="00FD6DDF"/>
    <w:rsid w:val="00FD6FB3"/>
    <w:rsid w:val="00FD78CC"/>
    <w:rsid w:val="00FD7D1F"/>
    <w:rsid w:val="00FD7FAF"/>
    <w:rsid w:val="00FE0391"/>
    <w:rsid w:val="00FE08C3"/>
    <w:rsid w:val="00FE08CB"/>
    <w:rsid w:val="00FE12F7"/>
    <w:rsid w:val="00FE13CF"/>
    <w:rsid w:val="00FE1E22"/>
    <w:rsid w:val="00FE301D"/>
    <w:rsid w:val="00FE3B62"/>
    <w:rsid w:val="00FE44B7"/>
    <w:rsid w:val="00FE49B0"/>
    <w:rsid w:val="00FE4D48"/>
    <w:rsid w:val="00FE4DC5"/>
    <w:rsid w:val="00FE5688"/>
    <w:rsid w:val="00FE6590"/>
    <w:rsid w:val="00FE6806"/>
    <w:rsid w:val="00FE78B3"/>
    <w:rsid w:val="00FF11E1"/>
    <w:rsid w:val="00FF13CE"/>
    <w:rsid w:val="00FF17BA"/>
    <w:rsid w:val="00FF21F8"/>
    <w:rsid w:val="00FF2FCE"/>
    <w:rsid w:val="00FF3498"/>
    <w:rsid w:val="00FF3D56"/>
    <w:rsid w:val="00FF4039"/>
    <w:rsid w:val="00FF4F16"/>
    <w:rsid w:val="00FF5553"/>
    <w:rsid w:val="00FF5D5D"/>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1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66"/>
    <w:pPr>
      <w:spacing w:after="100" w:line="400" w:lineRule="exact"/>
      <w:jc w:val="both"/>
    </w:pPr>
    <w:rPr>
      <w:rFonts w:ascii="Century Schoolbook" w:hAnsi="Century Schoolbook"/>
      <w:sz w:val="27"/>
    </w:rPr>
  </w:style>
  <w:style w:type="paragraph" w:styleId="Heading1">
    <w:name w:val="heading 1"/>
    <w:basedOn w:val="Normal"/>
    <w:next w:val="Normal"/>
    <w:qFormat/>
    <w:rsid w:val="00A31766"/>
    <w:pPr>
      <w:keepNext/>
      <w:spacing w:before="140" w:line="240" w:lineRule="atLeast"/>
      <w:jc w:val="center"/>
      <w:outlineLvl w:val="0"/>
    </w:pPr>
    <w:rPr>
      <w:b/>
      <w:smallCaps/>
    </w:rPr>
  </w:style>
  <w:style w:type="paragraph" w:styleId="Heading2">
    <w:name w:val="heading 2"/>
    <w:basedOn w:val="Normal"/>
    <w:next w:val="Normal"/>
    <w:qFormat/>
    <w:rsid w:val="00A3176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31766"/>
    <w:pPr>
      <w:keepNext/>
      <w:tabs>
        <w:tab w:val="left" w:pos="1584"/>
      </w:tabs>
      <w:spacing w:before="140" w:line="240" w:lineRule="atLeast"/>
      <w:ind w:left="1584" w:hanging="432"/>
      <w:jc w:val="left"/>
      <w:outlineLvl w:val="2"/>
    </w:pPr>
    <w:rPr>
      <w:i/>
    </w:rPr>
  </w:style>
  <w:style w:type="paragraph" w:styleId="Heading4">
    <w:name w:val="heading 4"/>
    <w:basedOn w:val="Normal"/>
    <w:rsid w:val="00A31766"/>
    <w:pPr>
      <w:keepNext/>
      <w:tabs>
        <w:tab w:val="left" w:pos="2016"/>
      </w:tabs>
      <w:spacing w:before="140" w:line="240" w:lineRule="atLeast"/>
      <w:ind w:left="2016" w:hanging="432"/>
      <w:jc w:val="left"/>
      <w:outlineLvl w:val="3"/>
    </w:pPr>
    <w:rPr>
      <w:i/>
    </w:rPr>
  </w:style>
  <w:style w:type="paragraph" w:styleId="Heading5">
    <w:name w:val="heading 5"/>
    <w:basedOn w:val="Normal"/>
    <w:rsid w:val="00A3176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31766"/>
    <w:pPr>
      <w:ind w:left="720"/>
    </w:pPr>
  </w:style>
  <w:style w:type="paragraph" w:styleId="Footer">
    <w:name w:val="footer"/>
    <w:basedOn w:val="Normal"/>
    <w:qFormat/>
    <w:rsid w:val="00A31766"/>
    <w:pPr>
      <w:tabs>
        <w:tab w:val="center" w:pos="3960"/>
        <w:tab w:val="right" w:pos="10080"/>
      </w:tabs>
      <w:spacing w:after="0" w:line="240" w:lineRule="auto"/>
      <w:jc w:val="center"/>
    </w:pPr>
    <w:rPr>
      <w:sz w:val="22"/>
    </w:rPr>
  </w:style>
  <w:style w:type="paragraph" w:styleId="Header">
    <w:name w:val="header"/>
    <w:basedOn w:val="Normal"/>
    <w:qFormat/>
    <w:rsid w:val="00A3176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31766"/>
    <w:rPr>
      <w:rFonts w:ascii="Century Schoolbook" w:hAnsi="Century Schoolbook"/>
      <w:b/>
      <w:i w:val="0"/>
      <w:position w:val="4"/>
      <w:sz w:val="27"/>
      <w:vertAlign w:val="superscript"/>
    </w:rPr>
  </w:style>
  <w:style w:type="paragraph" w:styleId="FootnoteText">
    <w:name w:val="footnote text"/>
    <w:basedOn w:val="Normal"/>
    <w:link w:val="FootnoteTextChar"/>
    <w:rsid w:val="00A31766"/>
    <w:pPr>
      <w:spacing w:line="300" w:lineRule="exact"/>
    </w:pPr>
  </w:style>
  <w:style w:type="paragraph" w:customStyle="1" w:styleId="Title1">
    <w:name w:val="Title1"/>
    <w:basedOn w:val="Normal"/>
    <w:rsid w:val="00A31766"/>
    <w:pPr>
      <w:tabs>
        <w:tab w:val="left" w:pos="5760"/>
        <w:tab w:val="left" w:pos="6480"/>
      </w:tabs>
      <w:spacing w:line="240" w:lineRule="atLeast"/>
    </w:pPr>
  </w:style>
  <w:style w:type="paragraph" w:customStyle="1" w:styleId="Recommend">
    <w:name w:val="Recommend"/>
    <w:basedOn w:val="Normal"/>
    <w:rsid w:val="00A31766"/>
  </w:style>
  <w:style w:type="paragraph" w:customStyle="1" w:styleId="Summary">
    <w:name w:val="Summary"/>
    <w:basedOn w:val="Normal"/>
    <w:rsid w:val="00A31766"/>
    <w:pPr>
      <w:ind w:left="2160" w:hanging="2160"/>
    </w:pPr>
  </w:style>
  <w:style w:type="paragraph" w:customStyle="1" w:styleId="Text">
    <w:name w:val="Text"/>
    <w:basedOn w:val="Normal"/>
    <w:rsid w:val="00A31766"/>
    <w:pPr>
      <w:tabs>
        <w:tab w:val="left" w:pos="720"/>
        <w:tab w:val="left" w:pos="1440"/>
        <w:tab w:val="left" w:pos="2160"/>
        <w:tab w:val="center" w:pos="4320"/>
      </w:tabs>
      <w:spacing w:line="480" w:lineRule="atLeast"/>
      <w:ind w:firstLine="540"/>
    </w:pPr>
  </w:style>
  <w:style w:type="paragraph" w:styleId="Date">
    <w:name w:val="Date"/>
    <w:basedOn w:val="Normal"/>
    <w:semiHidden/>
    <w:rsid w:val="00A31766"/>
    <w:pPr>
      <w:jc w:val="right"/>
    </w:pPr>
  </w:style>
  <w:style w:type="character" w:styleId="PageNumber">
    <w:name w:val="page number"/>
    <w:basedOn w:val="DefaultParagraphFont"/>
    <w:semiHidden/>
    <w:rsid w:val="00A31766"/>
  </w:style>
  <w:style w:type="paragraph" w:customStyle="1" w:styleId="subject">
    <w:name w:val="subject"/>
    <w:basedOn w:val="Normal"/>
    <w:rsid w:val="00A31766"/>
    <w:pPr>
      <w:tabs>
        <w:tab w:val="left" w:pos="1008"/>
      </w:tabs>
      <w:ind w:left="990" w:hanging="990"/>
    </w:pPr>
    <w:rPr>
      <w:b/>
    </w:rPr>
  </w:style>
  <w:style w:type="paragraph" w:customStyle="1" w:styleId="Titles">
    <w:name w:val="Titles"/>
    <w:basedOn w:val="Normal"/>
    <w:rsid w:val="00A31766"/>
    <w:pPr>
      <w:tabs>
        <w:tab w:val="left" w:pos="2160"/>
      </w:tabs>
      <w:ind w:left="2160" w:hanging="2160"/>
    </w:pPr>
    <w:rPr>
      <w:b/>
    </w:rPr>
  </w:style>
  <w:style w:type="paragraph" w:styleId="TOAHeading">
    <w:name w:val="toa heading"/>
    <w:basedOn w:val="Normal"/>
    <w:next w:val="Normal"/>
    <w:semiHidden/>
    <w:rsid w:val="00A31766"/>
    <w:pPr>
      <w:spacing w:before="120"/>
    </w:pPr>
    <w:rPr>
      <w:b/>
    </w:rPr>
  </w:style>
  <w:style w:type="paragraph" w:styleId="TOC1">
    <w:name w:val="toc 1"/>
    <w:basedOn w:val="Normal"/>
    <w:next w:val="Normal"/>
    <w:autoRedefine/>
    <w:semiHidden/>
    <w:rsid w:val="00A31766"/>
  </w:style>
  <w:style w:type="paragraph" w:styleId="TOC2">
    <w:name w:val="toc 2"/>
    <w:basedOn w:val="Normal"/>
    <w:next w:val="Normal"/>
    <w:autoRedefine/>
    <w:semiHidden/>
    <w:rsid w:val="00A31766"/>
    <w:pPr>
      <w:ind w:left="259"/>
    </w:pPr>
  </w:style>
  <w:style w:type="paragraph" w:styleId="TOC3">
    <w:name w:val="toc 3"/>
    <w:basedOn w:val="Normal"/>
    <w:next w:val="Normal"/>
    <w:autoRedefine/>
    <w:semiHidden/>
    <w:rsid w:val="00A31766"/>
    <w:pPr>
      <w:ind w:left="520"/>
    </w:pPr>
  </w:style>
  <w:style w:type="paragraph" w:styleId="TOC4">
    <w:name w:val="toc 4"/>
    <w:basedOn w:val="Normal"/>
    <w:next w:val="Normal"/>
    <w:autoRedefine/>
    <w:semiHidden/>
    <w:rsid w:val="00A31766"/>
    <w:pPr>
      <w:ind w:left="780"/>
    </w:pPr>
  </w:style>
  <w:style w:type="paragraph" w:styleId="TOC5">
    <w:name w:val="toc 5"/>
    <w:basedOn w:val="Normal"/>
    <w:next w:val="Normal"/>
    <w:autoRedefine/>
    <w:semiHidden/>
    <w:rsid w:val="00A31766"/>
    <w:pPr>
      <w:ind w:left="1040"/>
    </w:pPr>
  </w:style>
  <w:style w:type="paragraph" w:styleId="TOC6">
    <w:name w:val="toc 6"/>
    <w:basedOn w:val="Normal"/>
    <w:next w:val="Normal"/>
    <w:autoRedefine/>
    <w:semiHidden/>
    <w:rsid w:val="00A31766"/>
    <w:pPr>
      <w:ind w:left="1300"/>
    </w:pPr>
  </w:style>
  <w:style w:type="paragraph" w:styleId="TOC7">
    <w:name w:val="toc 7"/>
    <w:basedOn w:val="Normal"/>
    <w:next w:val="Normal"/>
    <w:autoRedefine/>
    <w:semiHidden/>
    <w:rsid w:val="00A31766"/>
    <w:pPr>
      <w:ind w:left="1560"/>
    </w:pPr>
  </w:style>
  <w:style w:type="paragraph" w:styleId="TOC8">
    <w:name w:val="toc 8"/>
    <w:basedOn w:val="Normal"/>
    <w:next w:val="Normal"/>
    <w:autoRedefine/>
    <w:semiHidden/>
    <w:rsid w:val="00A31766"/>
    <w:pPr>
      <w:ind w:left="1820"/>
    </w:pPr>
  </w:style>
  <w:style w:type="paragraph" w:styleId="TOC9">
    <w:name w:val="toc 9"/>
    <w:basedOn w:val="Normal"/>
    <w:next w:val="Normal"/>
    <w:autoRedefine/>
    <w:semiHidden/>
    <w:rsid w:val="00A31766"/>
    <w:pPr>
      <w:ind w:left="2080"/>
    </w:pPr>
  </w:style>
  <w:style w:type="paragraph" w:customStyle="1" w:styleId="Contents">
    <w:name w:val="Contents"/>
    <w:basedOn w:val="Normal"/>
    <w:rsid w:val="00A31766"/>
    <w:pPr>
      <w:jc w:val="center"/>
    </w:pPr>
    <w:rPr>
      <w:b/>
      <w:spacing w:val="100"/>
    </w:rPr>
  </w:style>
  <w:style w:type="character" w:styleId="Hyperlink">
    <w:name w:val="Hyperlink"/>
    <w:basedOn w:val="DefaultParagraphFont"/>
    <w:uiPriority w:val="99"/>
    <w:unhideWhenUsed/>
    <w:rsid w:val="00AA7E13"/>
    <w:rPr>
      <w:color w:val="0000FF"/>
      <w:u w:val="single"/>
    </w:rPr>
  </w:style>
  <w:style w:type="character" w:styleId="Emphasis">
    <w:name w:val="Emphasis"/>
    <w:basedOn w:val="DefaultParagraphFont"/>
    <w:uiPriority w:val="20"/>
    <w:qFormat/>
    <w:rsid w:val="00AA7E13"/>
    <w:rPr>
      <w:i/>
      <w:iCs/>
    </w:rPr>
  </w:style>
  <w:style w:type="paragraph" w:styleId="ListParagraph">
    <w:name w:val="List Paragraph"/>
    <w:basedOn w:val="Normal"/>
    <w:uiPriority w:val="34"/>
    <w:qFormat/>
    <w:rsid w:val="002D7B41"/>
    <w:pPr>
      <w:ind w:left="720"/>
      <w:contextualSpacing/>
    </w:pPr>
  </w:style>
  <w:style w:type="character" w:customStyle="1" w:styleId="costarpage">
    <w:name w:val="co_starpage"/>
    <w:basedOn w:val="DefaultParagraphFont"/>
    <w:rsid w:val="00D924AC"/>
  </w:style>
  <w:style w:type="character" w:customStyle="1" w:styleId="cosearchterm">
    <w:name w:val="co_searchterm"/>
    <w:basedOn w:val="DefaultParagraphFont"/>
    <w:rsid w:val="005E6926"/>
  </w:style>
  <w:style w:type="character" w:styleId="FollowedHyperlink">
    <w:name w:val="FollowedHyperlink"/>
    <w:basedOn w:val="DefaultParagraphFont"/>
    <w:uiPriority w:val="99"/>
    <w:semiHidden/>
    <w:unhideWhenUsed/>
    <w:rsid w:val="00660835"/>
    <w:rPr>
      <w:color w:val="800080" w:themeColor="followedHyperlink"/>
      <w:u w:val="single"/>
    </w:rPr>
  </w:style>
  <w:style w:type="paragraph" w:styleId="Revision">
    <w:name w:val="Revision"/>
    <w:hidden/>
    <w:uiPriority w:val="99"/>
    <w:semiHidden/>
    <w:rsid w:val="004D7066"/>
    <w:rPr>
      <w:sz w:val="26"/>
    </w:rPr>
  </w:style>
  <w:style w:type="character" w:styleId="CommentReference">
    <w:name w:val="annotation reference"/>
    <w:basedOn w:val="DefaultParagraphFont"/>
    <w:uiPriority w:val="99"/>
    <w:semiHidden/>
    <w:unhideWhenUsed/>
    <w:rsid w:val="004D7066"/>
    <w:rPr>
      <w:sz w:val="16"/>
      <w:szCs w:val="16"/>
    </w:rPr>
  </w:style>
  <w:style w:type="paragraph" w:styleId="CommentText">
    <w:name w:val="annotation text"/>
    <w:basedOn w:val="Normal"/>
    <w:link w:val="CommentTextChar"/>
    <w:uiPriority w:val="99"/>
    <w:semiHidden/>
    <w:unhideWhenUsed/>
    <w:rsid w:val="004D7066"/>
    <w:rPr>
      <w:sz w:val="20"/>
    </w:rPr>
  </w:style>
  <w:style w:type="character" w:customStyle="1" w:styleId="CommentTextChar">
    <w:name w:val="Comment Text Char"/>
    <w:basedOn w:val="DefaultParagraphFont"/>
    <w:link w:val="CommentText"/>
    <w:uiPriority w:val="99"/>
    <w:semiHidden/>
    <w:rsid w:val="004D7066"/>
  </w:style>
  <w:style w:type="paragraph" w:styleId="CommentSubject">
    <w:name w:val="annotation subject"/>
    <w:basedOn w:val="CommentText"/>
    <w:next w:val="CommentText"/>
    <w:link w:val="CommentSubjectChar"/>
    <w:uiPriority w:val="99"/>
    <w:semiHidden/>
    <w:unhideWhenUsed/>
    <w:rsid w:val="004D7066"/>
    <w:rPr>
      <w:b/>
      <w:bCs/>
    </w:rPr>
  </w:style>
  <w:style w:type="character" w:customStyle="1" w:styleId="CommentSubjectChar">
    <w:name w:val="Comment Subject Char"/>
    <w:basedOn w:val="CommentTextChar"/>
    <w:link w:val="CommentSubject"/>
    <w:uiPriority w:val="99"/>
    <w:semiHidden/>
    <w:rsid w:val="004D7066"/>
    <w:rPr>
      <w:b/>
      <w:bCs/>
    </w:rPr>
  </w:style>
  <w:style w:type="paragraph" w:styleId="NormalWeb">
    <w:name w:val="Normal (Web)"/>
    <w:basedOn w:val="Normal"/>
    <w:uiPriority w:val="99"/>
    <w:unhideWhenUsed/>
    <w:rsid w:val="00861B6D"/>
    <w:pPr>
      <w:spacing w:before="100" w:beforeAutospacing="1" w:afterAutospacing="1"/>
    </w:pPr>
    <w:rPr>
      <w:sz w:val="24"/>
    </w:rPr>
  </w:style>
  <w:style w:type="character" w:customStyle="1" w:styleId="FootnoteTextChar">
    <w:name w:val="Footnote Text Char"/>
    <w:basedOn w:val="DefaultParagraphFont"/>
    <w:link w:val="FootnoteText"/>
    <w:rsid w:val="00861B6D"/>
    <w:rPr>
      <w:rFonts w:ascii="Century Schoolbook" w:hAnsi="Century Schoolbook"/>
      <w:sz w:val="27"/>
    </w:rPr>
  </w:style>
  <w:style w:type="paragraph" w:styleId="BodyText">
    <w:name w:val="Body Text"/>
    <w:basedOn w:val="Normal"/>
    <w:link w:val="BodyTextChar"/>
    <w:qFormat/>
    <w:rsid w:val="00A31766"/>
  </w:style>
  <w:style w:type="character" w:customStyle="1" w:styleId="BodyTextChar">
    <w:name w:val="Body Text Char"/>
    <w:basedOn w:val="DefaultParagraphFont"/>
    <w:link w:val="BodyText"/>
    <w:rsid w:val="00A3176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0232">
      <w:bodyDiv w:val="1"/>
      <w:marLeft w:val="0"/>
      <w:marRight w:val="0"/>
      <w:marTop w:val="0"/>
      <w:marBottom w:val="0"/>
      <w:divBdr>
        <w:top w:val="none" w:sz="0" w:space="0" w:color="auto"/>
        <w:left w:val="none" w:sz="0" w:space="0" w:color="auto"/>
        <w:bottom w:val="none" w:sz="0" w:space="0" w:color="auto"/>
        <w:right w:val="none" w:sz="0" w:space="0" w:color="auto"/>
      </w:divBdr>
      <w:divsChild>
        <w:div w:id="1761680263">
          <w:marLeft w:val="0"/>
          <w:marRight w:val="0"/>
          <w:marTop w:val="0"/>
          <w:marBottom w:val="0"/>
          <w:divBdr>
            <w:top w:val="none" w:sz="0" w:space="0" w:color="3D3D3D"/>
            <w:left w:val="none" w:sz="0" w:space="0" w:color="3D3D3D"/>
            <w:bottom w:val="none" w:sz="0" w:space="0" w:color="3D3D3D"/>
            <w:right w:val="none" w:sz="0" w:space="0" w:color="3D3D3D"/>
          </w:divBdr>
          <w:divsChild>
            <w:div w:id="20722713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1840877">
      <w:bodyDiv w:val="1"/>
      <w:marLeft w:val="0"/>
      <w:marRight w:val="0"/>
      <w:marTop w:val="0"/>
      <w:marBottom w:val="0"/>
      <w:divBdr>
        <w:top w:val="none" w:sz="0" w:space="0" w:color="auto"/>
        <w:left w:val="none" w:sz="0" w:space="0" w:color="auto"/>
        <w:bottom w:val="none" w:sz="0" w:space="0" w:color="auto"/>
        <w:right w:val="none" w:sz="0" w:space="0" w:color="auto"/>
      </w:divBdr>
      <w:divsChild>
        <w:div w:id="284428000">
          <w:marLeft w:val="0"/>
          <w:marRight w:val="0"/>
          <w:marTop w:val="0"/>
          <w:marBottom w:val="0"/>
          <w:divBdr>
            <w:top w:val="none" w:sz="0" w:space="0" w:color="3D3D3D"/>
            <w:left w:val="none" w:sz="0" w:space="0" w:color="3D3D3D"/>
            <w:bottom w:val="none" w:sz="0" w:space="0" w:color="3D3D3D"/>
            <w:right w:val="none" w:sz="0" w:space="0" w:color="3D3D3D"/>
          </w:divBdr>
          <w:divsChild>
            <w:div w:id="16466675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0059410">
      <w:bodyDiv w:val="1"/>
      <w:marLeft w:val="0"/>
      <w:marRight w:val="0"/>
      <w:marTop w:val="0"/>
      <w:marBottom w:val="0"/>
      <w:divBdr>
        <w:top w:val="none" w:sz="0" w:space="0" w:color="auto"/>
        <w:left w:val="none" w:sz="0" w:space="0" w:color="auto"/>
        <w:bottom w:val="none" w:sz="0" w:space="0" w:color="auto"/>
        <w:right w:val="none" w:sz="0" w:space="0" w:color="auto"/>
      </w:divBdr>
      <w:divsChild>
        <w:div w:id="939293231">
          <w:marLeft w:val="0"/>
          <w:marRight w:val="0"/>
          <w:marTop w:val="0"/>
          <w:marBottom w:val="0"/>
          <w:divBdr>
            <w:top w:val="none" w:sz="0" w:space="0" w:color="auto"/>
            <w:left w:val="none" w:sz="0" w:space="0" w:color="auto"/>
            <w:bottom w:val="none" w:sz="0" w:space="0" w:color="auto"/>
            <w:right w:val="none" w:sz="0" w:space="0" w:color="auto"/>
          </w:divBdr>
          <w:divsChild>
            <w:div w:id="406265169">
              <w:marLeft w:val="0"/>
              <w:marRight w:val="0"/>
              <w:marTop w:val="0"/>
              <w:marBottom w:val="0"/>
              <w:divBdr>
                <w:top w:val="none" w:sz="0" w:space="0" w:color="auto"/>
                <w:left w:val="none" w:sz="0" w:space="0" w:color="auto"/>
                <w:bottom w:val="none" w:sz="0" w:space="0" w:color="auto"/>
                <w:right w:val="none" w:sz="0" w:space="0" w:color="auto"/>
              </w:divBdr>
              <w:divsChild>
                <w:div w:id="15635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C58F-19BB-40B8-ADB6-28FC60CF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5916</Words>
  <Characters>30902</Characters>
  <Application>Microsoft Office Word</Application>
  <DocSecurity>0</DocSecurity>
  <Lines>677</Lines>
  <Paragraphs>104</Paragraphs>
  <ScaleCrop>false</ScaleCrop>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2023-07-20T16:41:54.9825173Z</dcterms:created>
  <dcterms:modified xsi:type="dcterms:W3CDTF">2023-07-20T16:41:54.9825173Z</dcterms:modified>
</cp:coreProperties>
</file>