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71FF0" w:rsidRPr="00BF4C89" w:rsidP="00A25F42" w14:paraId="3FF39F47" w14:textId="6A822B62">
      <w:pPr>
        <w:spacing w:line="240" w:lineRule="auto"/>
        <w:rPr>
          <w:sz w:val="20"/>
          <w:szCs w:val="20"/>
        </w:rPr>
      </w:pPr>
      <w:r w:rsidRPr="00BF4C89">
        <w:rPr>
          <w:sz w:val="20"/>
          <w:szCs w:val="20"/>
        </w:rPr>
        <w:t>F</w:t>
      </w:r>
      <w:r w:rsidR="004D6506">
        <w:rPr>
          <w:sz w:val="20"/>
          <w:szCs w:val="20"/>
        </w:rPr>
        <w:t>iled</w:t>
      </w:r>
      <w:r w:rsidRPr="00BF4C89">
        <w:rPr>
          <w:sz w:val="20"/>
          <w:szCs w:val="20"/>
        </w:rPr>
        <w:t xml:space="preserve"> 12/29/23</w:t>
      </w:r>
      <w:r w:rsidR="002B7EB6">
        <w:rPr>
          <w:sz w:val="20"/>
          <w:szCs w:val="20"/>
        </w:rPr>
        <w:t>; Certified for Publication 1/29/24 (order attached)</w:t>
      </w:r>
    </w:p>
    <w:p w:rsidR="00A25F42" w:rsidP="00A25F42" w14:paraId="3CCA0793" w14:textId="2D916ECA">
      <w:pPr>
        <w:spacing w:line="240" w:lineRule="auto"/>
      </w:pPr>
    </w:p>
    <w:p w:rsidR="00440D13" w:rsidP="00A25F42" w14:paraId="1BE25CCA" w14:textId="77777777">
      <w:pPr>
        <w:spacing w:line="240" w:lineRule="auto"/>
      </w:pPr>
    </w:p>
    <w:p w:rsidR="00440D13" w:rsidP="00A25F42" w14:paraId="05C0C9BD" w14:textId="77777777">
      <w:pPr>
        <w:spacing w:line="240" w:lineRule="auto"/>
      </w:pPr>
    </w:p>
    <w:p w:rsidR="00440D13" w:rsidP="00A25F42" w14:paraId="5F1EB534" w14:textId="77777777">
      <w:pPr>
        <w:spacing w:line="240" w:lineRule="auto"/>
      </w:pPr>
    </w:p>
    <w:p w:rsidR="00440D13" w:rsidP="00A25F42" w14:paraId="6C77B228" w14:textId="77777777">
      <w:pPr>
        <w:spacing w:line="240" w:lineRule="auto"/>
      </w:pPr>
    </w:p>
    <w:p w:rsidR="00A25F42" w:rsidP="00A25F42" w14:paraId="3F5413CC" w14:textId="65D16FB4">
      <w:pPr>
        <w:spacing w:line="240" w:lineRule="auto"/>
        <w:jc w:val="center"/>
      </w:pPr>
      <w:r>
        <w:t>IN THE COURT OF APPEAL OF THE STATE OF CALIFORNIA</w:t>
      </w:r>
    </w:p>
    <w:p w:rsidR="00A25F42" w:rsidP="00A25F42" w14:paraId="2EB739DD" w14:textId="46339539">
      <w:pPr>
        <w:spacing w:line="240" w:lineRule="auto"/>
        <w:jc w:val="center"/>
      </w:pPr>
    </w:p>
    <w:p w:rsidR="00A25F42" w:rsidP="00A25F42" w14:paraId="43F07F8D" w14:textId="29B8AC8B">
      <w:pPr>
        <w:spacing w:line="240" w:lineRule="auto"/>
        <w:jc w:val="center"/>
      </w:pPr>
      <w:r>
        <w:t>SIXTH APPELLATE DISTRICT</w:t>
      </w:r>
    </w:p>
    <w:p w:rsidR="00A25F42" w:rsidP="00A25F42" w14:paraId="2CC02731" w14:textId="62AC3C58">
      <w:pPr>
        <w:spacing w:line="240" w:lineRule="auto"/>
        <w:jc w:val="center"/>
      </w:pPr>
    </w:p>
    <w:p w:rsidR="00A25F42" w:rsidP="00A25F42" w14:paraId="0493E8FE" w14:textId="395E16C4">
      <w:pPr>
        <w:spacing w:line="240" w:lineRule="auto"/>
        <w:jc w:val="center"/>
      </w:pPr>
    </w:p>
    <w:tbl>
      <w:tblPr>
        <w:tblW w:w="0" w:type="auto"/>
        <w:tblLayout w:type="fixed"/>
        <w:tblLook w:val="0000"/>
      </w:tblPr>
      <w:tblGrid>
        <w:gridCol w:w="4680"/>
        <w:gridCol w:w="4680"/>
      </w:tblGrid>
      <w:tr w14:paraId="77389BB3" w14:textId="77777777" w:rsidTr="00A25F42">
        <w:tblPrEx>
          <w:tblW w:w="0" w:type="auto"/>
          <w:tblLayout w:type="fixed"/>
          <w:tblLook w:val="0000"/>
        </w:tblPrEx>
        <w:tc>
          <w:tcPr>
            <w:tcW w:w="4680" w:type="dxa"/>
            <w:tcBorders>
              <w:bottom w:val="single" w:sz="4" w:space="0" w:color="auto"/>
              <w:right w:val="single" w:sz="4" w:space="0" w:color="auto"/>
            </w:tcBorders>
            <w:shd w:val="clear" w:color="auto" w:fill="auto"/>
          </w:tcPr>
          <w:p w:rsidR="00A25F42" w:rsidP="00A25F42" w14:paraId="2504694E" w14:textId="77777777">
            <w:pPr>
              <w:spacing w:line="240" w:lineRule="auto"/>
            </w:pPr>
            <w:r>
              <w:t>CHARLES RAMSEY,</w:t>
            </w:r>
          </w:p>
          <w:p w:rsidR="00A25F42" w:rsidP="00A25F42" w14:paraId="3C30D42A" w14:textId="77777777">
            <w:pPr>
              <w:spacing w:line="240" w:lineRule="auto"/>
            </w:pPr>
          </w:p>
          <w:p w:rsidR="00A25F42" w:rsidP="00A25F42" w14:paraId="3C86BD38" w14:textId="77777777">
            <w:pPr>
              <w:spacing w:line="240" w:lineRule="auto"/>
              <w:ind w:left="720"/>
            </w:pPr>
            <w:r>
              <w:t>Plaintiff and Respondent,</w:t>
            </w:r>
          </w:p>
          <w:p w:rsidR="00A25F42" w:rsidP="00A25F42" w14:paraId="19D478F3" w14:textId="77777777">
            <w:pPr>
              <w:spacing w:line="240" w:lineRule="auto"/>
              <w:ind w:left="720"/>
            </w:pPr>
          </w:p>
          <w:p w:rsidR="00A25F42" w:rsidP="00A25F42" w14:paraId="0E0A10FF" w14:textId="77777777">
            <w:pPr>
              <w:spacing w:line="240" w:lineRule="auto"/>
              <w:ind w:left="720"/>
            </w:pPr>
            <w:r>
              <w:t>v.</w:t>
            </w:r>
          </w:p>
          <w:p w:rsidR="00A25F42" w:rsidP="00A25F42" w14:paraId="6F75B708" w14:textId="77777777">
            <w:pPr>
              <w:spacing w:line="240" w:lineRule="auto"/>
            </w:pPr>
          </w:p>
          <w:p w:rsidR="00A25F42" w:rsidP="00A25F42" w14:paraId="276C7202" w14:textId="77777777">
            <w:pPr>
              <w:spacing w:line="240" w:lineRule="auto"/>
            </w:pPr>
            <w:r>
              <w:t>COMCAST CABLE COMMUNICATIONS, LLC,</w:t>
            </w:r>
          </w:p>
          <w:p w:rsidR="00A25F42" w:rsidP="00A25F42" w14:paraId="6F621B75" w14:textId="77777777">
            <w:pPr>
              <w:spacing w:line="240" w:lineRule="auto"/>
            </w:pPr>
          </w:p>
          <w:p w:rsidR="00A25F42" w:rsidP="00A25F42" w14:paraId="2FBAFFE1" w14:textId="77777777">
            <w:pPr>
              <w:spacing w:line="240" w:lineRule="auto"/>
              <w:ind w:left="720"/>
            </w:pPr>
            <w:r>
              <w:t>Defendant and Appellant.</w:t>
            </w:r>
          </w:p>
          <w:p w:rsidR="00A25F42" w:rsidP="00A25F42" w14:paraId="7331D1B0" w14:textId="01017390">
            <w:pPr>
              <w:spacing w:line="240" w:lineRule="auto"/>
              <w:ind w:left="1440"/>
            </w:pPr>
          </w:p>
        </w:tc>
        <w:tc>
          <w:tcPr>
            <w:tcW w:w="4680" w:type="dxa"/>
            <w:tcBorders>
              <w:left w:val="single" w:sz="4" w:space="0" w:color="auto"/>
            </w:tcBorders>
            <w:shd w:val="clear" w:color="auto" w:fill="auto"/>
          </w:tcPr>
          <w:p w:rsidR="00A25F42" w:rsidP="00A25F42" w14:paraId="02473959" w14:textId="77777777">
            <w:pPr>
              <w:spacing w:line="240" w:lineRule="auto"/>
            </w:pPr>
            <w:r>
              <w:t xml:space="preserve">      H049949</w:t>
            </w:r>
          </w:p>
          <w:p w:rsidR="00A25F42" w:rsidP="00A25F42" w14:paraId="445D7560" w14:textId="77777777">
            <w:pPr>
              <w:spacing w:line="240" w:lineRule="auto"/>
            </w:pPr>
            <w:r>
              <w:t xml:space="preserve">     (Santa Clara County</w:t>
            </w:r>
          </w:p>
          <w:p w:rsidR="00A25F42" w:rsidP="00A25F42" w14:paraId="7BDE718F" w14:textId="77777777">
            <w:pPr>
              <w:spacing w:line="240" w:lineRule="auto"/>
            </w:pPr>
            <w:r>
              <w:t xml:space="preserve">      Super. Ct. No. 21CV384867)</w:t>
            </w:r>
          </w:p>
          <w:p w:rsidR="00A25F42" w:rsidP="00A25F42" w14:paraId="59464101" w14:textId="73F0E718">
            <w:pPr>
              <w:spacing w:line="240" w:lineRule="auto"/>
            </w:pPr>
          </w:p>
        </w:tc>
      </w:tr>
    </w:tbl>
    <w:p w:rsidR="00394D6A" w:rsidP="00A25F42" w14:paraId="12A0D9EE" w14:textId="4FBD3771">
      <w:r>
        <w:tab/>
        <w:t>Charles Ramsey</w:t>
      </w:r>
      <w:r w:rsidR="008839C1">
        <w:t xml:space="preserve"> </w:t>
      </w:r>
      <w:r>
        <w:t xml:space="preserve">subscribes to Comcast Cable Communications, LLC’s </w:t>
      </w:r>
      <w:r w:rsidR="007D313E">
        <w:t xml:space="preserve">(Comcast) </w:t>
      </w:r>
      <w:r>
        <w:t>Xfinity services.  Ramsey sued Comcast</w:t>
      </w:r>
      <w:r w:rsidR="006A1F83">
        <w:t xml:space="preserve"> </w:t>
      </w:r>
      <w:r>
        <w:t xml:space="preserve">for violations of </w:t>
      </w:r>
      <w:r w:rsidR="006A1F83">
        <w:t>California</w:t>
      </w:r>
      <w:r w:rsidR="002674A9">
        <w:t>’s</w:t>
      </w:r>
      <w:r w:rsidR="006A1F83">
        <w:t xml:space="preserve"> consumer protection </w:t>
      </w:r>
      <w:r w:rsidR="002674A9">
        <w:t>statutes</w:t>
      </w:r>
      <w:r w:rsidR="00466494">
        <w:t>,</w:t>
      </w:r>
      <w:r w:rsidR="006A1F83">
        <w:t xml:space="preserve"> </w:t>
      </w:r>
      <w:r>
        <w:t>alleg</w:t>
      </w:r>
      <w:r w:rsidR="00C350E4">
        <w:t>ing</w:t>
      </w:r>
      <w:r>
        <w:t xml:space="preserve"> that Comcast engaged in unfair, unlawful, and deceptive business practices</w:t>
      </w:r>
      <w:r w:rsidR="00A1133C">
        <w:t xml:space="preserve"> </w:t>
      </w:r>
      <w:r w:rsidR="00C350E4">
        <w:t>under the Consumers Legal Remedies Act (CLRA) and the unfair competition law (UCL)</w:t>
      </w:r>
      <w:r w:rsidR="00110906">
        <w:t xml:space="preserve">.  Ramsey’s complaint </w:t>
      </w:r>
      <w:r w:rsidR="00456D30">
        <w:t xml:space="preserve">sought </w:t>
      </w:r>
      <w:r>
        <w:t>injunctive relief.  Comcast filed a petition to compel arbitration</w:t>
      </w:r>
      <w:r w:rsidR="00A1133C">
        <w:t xml:space="preserve"> pursuant to the arbitration provision in the parties’ subscriber agreement</w:t>
      </w:r>
      <w:r>
        <w:t xml:space="preserve">.  The </w:t>
      </w:r>
      <w:r w:rsidR="00A1133C">
        <w:t xml:space="preserve">trial </w:t>
      </w:r>
      <w:r w:rsidR="00C77276">
        <w:t>court</w:t>
      </w:r>
      <w:r>
        <w:t xml:space="preserve"> denied the petition based on the Supreme Court’s decision in </w:t>
      </w:r>
      <w:r w:rsidRPr="004E43A9">
        <w:rPr>
          <w:i/>
          <w:iCs/>
        </w:rPr>
        <w:t>McGill v. Citibank</w:t>
      </w:r>
      <w:r w:rsidRPr="004E43A9" w:rsidR="004E43A9">
        <w:rPr>
          <w:i/>
          <w:iCs/>
        </w:rPr>
        <w:t>, N.A.</w:t>
      </w:r>
      <w:r w:rsidR="004E43A9">
        <w:t xml:space="preserve"> (2017) 2 Cal.5th 945 (</w:t>
      </w:r>
      <w:r w:rsidRPr="004E43A9" w:rsidR="004E43A9">
        <w:rPr>
          <w:i/>
          <w:iCs/>
        </w:rPr>
        <w:t>McGill</w:t>
      </w:r>
      <w:r w:rsidR="004E43A9">
        <w:t>),</w:t>
      </w:r>
      <w:r>
        <w:t xml:space="preserve"> which held that a</w:t>
      </w:r>
      <w:r w:rsidR="004E43A9">
        <w:t xml:space="preserve"> predispute </w:t>
      </w:r>
      <w:r>
        <w:t xml:space="preserve">arbitration provision that </w:t>
      </w:r>
      <w:r w:rsidR="004E43A9">
        <w:t>waives</w:t>
      </w:r>
      <w:r>
        <w:t xml:space="preserve"> a plaintiff’s right to seek public injunctive relief in any forum is “contrary to California public policy and is thus unenforceable under California law.”  </w:t>
      </w:r>
      <w:r w:rsidRPr="00C17D00">
        <w:t>(</w:t>
      </w:r>
      <w:r w:rsidRPr="004E43A9" w:rsidR="004E43A9">
        <w:rPr>
          <w:i/>
          <w:iCs/>
        </w:rPr>
        <w:t>Id</w:t>
      </w:r>
      <w:r w:rsidR="004E43A9">
        <w:t>. at p. 951</w:t>
      </w:r>
      <w:r>
        <w:t xml:space="preserve">.)  Because the arbitration provision in </w:t>
      </w:r>
      <w:r w:rsidR="00652328">
        <w:t>Comcast’s</w:t>
      </w:r>
      <w:r w:rsidR="007D313E">
        <w:t xml:space="preserve"> </w:t>
      </w:r>
      <w:r>
        <w:t xml:space="preserve">subscriber agreement </w:t>
      </w:r>
      <w:r w:rsidR="003812AA">
        <w:t xml:space="preserve">required the parties to arbitrate all disputes and permitted </w:t>
      </w:r>
      <w:r w:rsidR="00A1133C">
        <w:t>the arbitrator to grant only individual relief</w:t>
      </w:r>
      <w:r w:rsidR="003812AA">
        <w:t xml:space="preserve">, </w:t>
      </w:r>
      <w:r>
        <w:t>the trial court held th</w:t>
      </w:r>
      <w:r w:rsidR="00FB0D27">
        <w:t>at the</w:t>
      </w:r>
      <w:r>
        <w:t xml:space="preserve"> provision waived </w:t>
      </w:r>
      <w:r>
        <w:t xml:space="preserve">Ramsey’s right to seek public injunctive relief in any forum.  </w:t>
      </w:r>
      <w:r w:rsidR="003951DA">
        <w:t>Further</w:t>
      </w:r>
      <w:r w:rsidR="003812AA">
        <w:t xml:space="preserve"> </w:t>
      </w:r>
      <w:r w:rsidR="00466494">
        <w:t>concluding</w:t>
      </w:r>
      <w:r w:rsidR="003812AA">
        <w:t xml:space="preserve"> that </w:t>
      </w:r>
      <w:r w:rsidR="00F21428">
        <w:t xml:space="preserve">Ramsey’s complaint </w:t>
      </w:r>
      <w:r w:rsidR="00652328">
        <w:t>sought</w:t>
      </w:r>
      <w:r w:rsidR="00F16013">
        <w:t xml:space="preserve"> </w:t>
      </w:r>
      <w:r w:rsidR="009E6E63">
        <w:t>public</w:t>
      </w:r>
      <w:r>
        <w:t xml:space="preserve"> injunctive relie</w:t>
      </w:r>
      <w:r w:rsidR="00A1133C">
        <w:t>f</w:t>
      </w:r>
      <w:r w:rsidR="003951DA">
        <w:t>, the court</w:t>
      </w:r>
      <w:r>
        <w:t xml:space="preserve"> held the arbitration provision to be unenforceable</w:t>
      </w:r>
      <w:r w:rsidR="0098381E">
        <w:t xml:space="preserve">. </w:t>
      </w:r>
    </w:p>
    <w:p w:rsidR="00D57D1E" w:rsidP="00A25F42" w14:paraId="5E002F40" w14:textId="2904B97A">
      <w:r>
        <w:tab/>
        <w:t xml:space="preserve">On appeal, Comcast </w:t>
      </w:r>
      <w:r w:rsidR="008839C1">
        <w:t>argues</w:t>
      </w:r>
      <w:r>
        <w:t xml:space="preserve"> that the trial court erred in concluding that </w:t>
      </w:r>
      <w:r w:rsidR="009E6E63">
        <w:t xml:space="preserve">Ramsey was seeking </w:t>
      </w:r>
      <w:r w:rsidR="005B200A">
        <w:t>public injuncti</w:t>
      </w:r>
      <w:r w:rsidR="002478F7">
        <w:t>ve relief</w:t>
      </w:r>
      <w:r w:rsidR="00821A1B">
        <w:t xml:space="preserve">.  </w:t>
      </w:r>
      <w:r w:rsidR="002478F7">
        <w:t>Comcast</w:t>
      </w:r>
      <w:r w:rsidR="00821A1B">
        <w:t xml:space="preserve"> contends that the </w:t>
      </w:r>
      <w:r w:rsidR="00B56FB1">
        <w:t>requested injunction was</w:t>
      </w:r>
      <w:r w:rsidR="00821A1B">
        <w:t xml:space="preserve"> private because</w:t>
      </w:r>
      <w:r w:rsidR="00FD164B">
        <w:t xml:space="preserve"> </w:t>
      </w:r>
      <w:r w:rsidR="00821A1B">
        <w:t xml:space="preserve">it would benefit only a subset of </w:t>
      </w:r>
      <w:r w:rsidR="00FD164B">
        <w:t xml:space="preserve">Comcast </w:t>
      </w:r>
      <w:r w:rsidR="00821A1B">
        <w:t xml:space="preserve">subscribers.  </w:t>
      </w:r>
      <w:r>
        <w:t xml:space="preserve">Comcast further argues that the Federal Arbitration Act (FAA) preempts </w:t>
      </w:r>
      <w:r w:rsidRPr="00E80A95" w:rsidR="003812AA">
        <w:rPr>
          <w:i/>
          <w:iCs/>
        </w:rPr>
        <w:t>McGill</w:t>
      </w:r>
      <w:r>
        <w:t xml:space="preserve">.  </w:t>
      </w:r>
      <w:r w:rsidR="008E7BC9">
        <w:t xml:space="preserve">Concluding that Ramsey’s complaint </w:t>
      </w:r>
      <w:r w:rsidR="00F21428">
        <w:t xml:space="preserve">seeks </w:t>
      </w:r>
      <w:r w:rsidR="008E7BC9">
        <w:t xml:space="preserve">public </w:t>
      </w:r>
      <w:r w:rsidR="005B200A">
        <w:t>injuncti</w:t>
      </w:r>
      <w:r w:rsidR="002478F7">
        <w:t>ve relief</w:t>
      </w:r>
      <w:r w:rsidR="005B200A">
        <w:t>,</w:t>
      </w:r>
      <w:r w:rsidR="008E7BC9">
        <w:t xml:space="preserve"> </w:t>
      </w:r>
      <w:r>
        <w:t xml:space="preserve">and that </w:t>
      </w:r>
      <w:r w:rsidRPr="00E80A95">
        <w:rPr>
          <w:i/>
          <w:iCs/>
        </w:rPr>
        <w:t xml:space="preserve">McGill </w:t>
      </w:r>
      <w:r>
        <w:t xml:space="preserve">is not preempted, </w:t>
      </w:r>
      <w:r w:rsidR="008E7BC9">
        <w:t>we affirm the trial court’s order</w:t>
      </w:r>
      <w:r w:rsidR="00A1538F">
        <w:t xml:space="preserve">. </w:t>
      </w:r>
      <w:r w:rsidR="008E7BC9">
        <w:t xml:space="preserve"> </w:t>
      </w:r>
    </w:p>
    <w:p w:rsidR="00EA5875" w:rsidRPr="00401F38" w:rsidP="00401F38" w14:paraId="5FAB80D1" w14:textId="5314DA73">
      <w:pPr>
        <w:pStyle w:val="ListParagraph"/>
        <w:numPr>
          <w:ilvl w:val="0"/>
          <w:numId w:val="1"/>
        </w:numPr>
        <w:jc w:val="center"/>
        <w:rPr>
          <w:b/>
          <w:bCs/>
          <w:smallCaps/>
        </w:rPr>
      </w:pPr>
      <w:r w:rsidRPr="00401F38">
        <w:rPr>
          <w:b/>
          <w:bCs/>
          <w:smallCaps/>
        </w:rPr>
        <w:t>Factual and Procedural Background</w:t>
      </w:r>
      <w:r>
        <w:rPr>
          <w:rStyle w:val="FootnoteReference"/>
          <w:b/>
          <w:bCs/>
          <w:smallCaps/>
        </w:rPr>
        <w:footnoteReference w:id="2"/>
      </w:r>
    </w:p>
    <w:p w:rsidR="00EA5875" w:rsidP="00EA5875" w14:paraId="701D01A4" w14:textId="34BFEB25">
      <w:r>
        <w:tab/>
      </w:r>
      <w:r w:rsidR="004B1160">
        <w:t xml:space="preserve">Comcast </w:t>
      </w:r>
      <w:r w:rsidR="005579F2">
        <w:t xml:space="preserve">designs, operates, markets, and sells </w:t>
      </w:r>
      <w:r w:rsidR="00891114">
        <w:t xml:space="preserve">its </w:t>
      </w:r>
      <w:r w:rsidR="005579F2">
        <w:t xml:space="preserve">Xfinity cable television, internet, home telephone, and related subscription services to millions of consumers in California and nationwide. </w:t>
      </w:r>
      <w:r w:rsidR="004B1160">
        <w:t xml:space="preserve"> Ramsey </w:t>
      </w:r>
      <w:r w:rsidR="005579F2">
        <w:t>has been</w:t>
      </w:r>
      <w:r w:rsidR="004B1160">
        <w:t xml:space="preserve"> a subscriber </w:t>
      </w:r>
      <w:r w:rsidR="00891114">
        <w:t>to</w:t>
      </w:r>
      <w:r w:rsidR="005579F2">
        <w:t xml:space="preserve"> Comcast’s services since 2009</w:t>
      </w:r>
      <w:r w:rsidR="004B1160">
        <w:t>.</w:t>
      </w:r>
      <w:r w:rsidR="005579F2">
        <w:t xml:space="preserve"> </w:t>
      </w:r>
      <w:r w:rsidR="004B1160">
        <w:t xml:space="preserve"> </w:t>
      </w:r>
      <w:r w:rsidR="00891114">
        <w:t>When</w:t>
      </w:r>
      <w:r w:rsidR="005579F2">
        <w:t xml:space="preserve"> Ramsey initially signed up for services, Comcast offered </w:t>
      </w:r>
      <w:r w:rsidR="001D1F39">
        <w:t xml:space="preserve">him </w:t>
      </w:r>
      <w:r w:rsidR="005579F2">
        <w:t>a “limited time promotional rate</w:t>
      </w:r>
      <w:r w:rsidR="00891114">
        <w:t xml:space="preserve">” and represented </w:t>
      </w:r>
      <w:r w:rsidR="005579F2">
        <w:t xml:space="preserve">that </w:t>
      </w:r>
      <w:r w:rsidR="00B20963">
        <w:t>it</w:t>
      </w:r>
      <w:r w:rsidR="005579F2">
        <w:t xml:space="preserve"> would last for approximately one year from the date the subscription began, after which, the price of </w:t>
      </w:r>
      <w:r w:rsidR="00891114">
        <w:t xml:space="preserve">the </w:t>
      </w:r>
      <w:r w:rsidR="005579F2">
        <w:t xml:space="preserve">subscription would increase. </w:t>
      </w:r>
    </w:p>
    <w:p w:rsidR="00891114" w:rsidP="00EA5875" w14:paraId="7DFFDB4A" w14:textId="4DB30C8C">
      <w:r>
        <w:tab/>
        <w:t xml:space="preserve">When Ramsey’s promotional rate for Comcast’s services was nearing its </w:t>
      </w:r>
      <w:r w:rsidR="00DD537F">
        <w:t xml:space="preserve">initial </w:t>
      </w:r>
      <w:r>
        <w:t xml:space="preserve">expiration, </w:t>
      </w:r>
      <w:r w:rsidR="00845D69">
        <w:t>he</w:t>
      </w:r>
      <w:r>
        <w:t xml:space="preserve"> determined that he was not willing to pay the additional price increase to maintain his subscription, and contacted Comcast to discuss cancelling his service.  Upon speaking to a customer service representative regarding the cancellation, Ramsey was “instead offered additional channels, faster internet speed, and additional services at a premium cost.”  Ramsey expressed </w:t>
      </w:r>
      <w:r w:rsidR="00540C5E">
        <w:t>his lack of interest</w:t>
      </w:r>
      <w:r>
        <w:t xml:space="preserve"> in the upgraded packages and indicated</w:t>
      </w:r>
      <w:r w:rsidR="00303FBC">
        <w:t xml:space="preserve"> </w:t>
      </w:r>
      <w:r>
        <w:t xml:space="preserve">he was only willing to continue purchasing Comcast’s most basic subscription package.  After some discussion, the customer service representative eventually offered Ramsey a “new” limited-time promotion, consisting of </w:t>
      </w:r>
      <w:r w:rsidR="00105AF3">
        <w:t>“</w:t>
      </w:r>
      <w:r>
        <w:t xml:space="preserve">similar, if not identical services to what </w:t>
      </w:r>
      <w:r w:rsidR="00105AF3">
        <w:t>[</w:t>
      </w:r>
      <w:r>
        <w:t>Ramsey</w:t>
      </w:r>
      <w:r w:rsidR="00105AF3">
        <w:t>]</w:t>
      </w:r>
      <w:r>
        <w:t xml:space="preserve"> had been receiving, at a cost comparable to the current promotional rate he was being charged.</w:t>
      </w:r>
      <w:r w:rsidR="00C91847">
        <w:t>”</w:t>
      </w:r>
      <w:r>
        <w:t xml:space="preserve">  The customer service representative again informed Ramsey that this promotion</w:t>
      </w:r>
      <w:r w:rsidR="00303FBC">
        <w:t xml:space="preserve">al rate </w:t>
      </w:r>
      <w:r>
        <w:t xml:space="preserve">would expire in </w:t>
      </w:r>
      <w:r w:rsidR="001F105B">
        <w:t xml:space="preserve">approximately </w:t>
      </w:r>
      <w:r>
        <w:t xml:space="preserve">one year. </w:t>
      </w:r>
    </w:p>
    <w:p w:rsidR="004B1160" w:rsidP="00EA5875" w14:paraId="71505218" w14:textId="6FFAC535">
      <w:r>
        <w:tab/>
      </w:r>
      <w:r w:rsidR="00692247">
        <w:t>Each year s</w:t>
      </w:r>
      <w:r w:rsidR="00845D69">
        <w:t>ince th</w:t>
      </w:r>
      <w:r w:rsidR="0038014F">
        <w:t>en</w:t>
      </w:r>
      <w:r w:rsidR="00845D69">
        <w:t xml:space="preserve">, Ramsey has </w:t>
      </w:r>
      <w:r w:rsidR="00C91847">
        <w:t>contacted</w:t>
      </w:r>
      <w:r w:rsidR="00845D69">
        <w:t xml:space="preserve"> Comcast </w:t>
      </w:r>
      <w:r w:rsidR="00692247">
        <w:t xml:space="preserve">near the </w:t>
      </w:r>
      <w:r w:rsidR="00873410">
        <w:t xml:space="preserve">conclusion </w:t>
      </w:r>
      <w:r w:rsidR="00692247">
        <w:t xml:space="preserve">of his promotional period </w:t>
      </w:r>
      <w:r w:rsidR="00845D69">
        <w:t xml:space="preserve">to discuss </w:t>
      </w:r>
      <w:r w:rsidR="00246364">
        <w:t>pricing options</w:t>
      </w:r>
      <w:r w:rsidR="00845D69">
        <w:t xml:space="preserve">. </w:t>
      </w:r>
      <w:r w:rsidR="00B53407">
        <w:t xml:space="preserve"> </w:t>
      </w:r>
      <w:r w:rsidR="00246364">
        <w:t>E</w:t>
      </w:r>
      <w:r w:rsidR="00845D69">
        <w:t>ach year, Comcast’s customer service representative has “miraculously come up with a ‘new’ comparable promotional package” to offer Ramsey.</w:t>
      </w:r>
      <w:r w:rsidR="00B53407">
        <w:t xml:space="preserve"> </w:t>
      </w:r>
      <w:r w:rsidR="00845D69">
        <w:t xml:space="preserve"> Comcast does not contact Ramsey to inform him that his promotional period is about to expire, nor</w:t>
      </w:r>
      <w:r w:rsidR="00246364">
        <w:t xml:space="preserve"> </w:t>
      </w:r>
      <w:r w:rsidR="00692247">
        <w:t>offer him</w:t>
      </w:r>
      <w:r w:rsidR="00845D69">
        <w:t xml:space="preserve"> any new and comparable promotions “unless and until </w:t>
      </w:r>
      <w:r w:rsidR="00246364">
        <w:t>he</w:t>
      </w:r>
      <w:r w:rsidR="00845D69">
        <w:t xml:space="preserve"> contacts </w:t>
      </w:r>
      <w:r w:rsidR="00246364">
        <w:t>[</w:t>
      </w:r>
      <w:r w:rsidR="00845D69">
        <w:t>Comcast</w:t>
      </w:r>
      <w:r w:rsidR="00246364">
        <w:t>]</w:t>
      </w:r>
      <w:r w:rsidR="00845D69">
        <w:t>.</w:t>
      </w:r>
      <w:r w:rsidR="00246364">
        <w:t xml:space="preserve">” </w:t>
      </w:r>
      <w:r w:rsidR="00B53407">
        <w:t xml:space="preserve"> </w:t>
      </w:r>
      <w:r w:rsidR="00845D69">
        <w:t xml:space="preserve">Each time, the </w:t>
      </w:r>
      <w:r w:rsidR="00246364">
        <w:t xml:space="preserve">new promotional rate </w:t>
      </w:r>
      <w:r w:rsidR="00692247">
        <w:t>Ramsey is offered</w:t>
      </w:r>
      <w:r w:rsidR="00845D69">
        <w:t xml:space="preserve"> has “arbitrarily varied,” but </w:t>
      </w:r>
      <w:r w:rsidR="00692247">
        <w:t xml:space="preserve">is </w:t>
      </w:r>
      <w:r w:rsidR="00845D69">
        <w:t xml:space="preserve">always less than the non-promotional rate </w:t>
      </w:r>
      <w:r w:rsidR="00C91847">
        <w:t>he</w:t>
      </w:r>
      <w:r w:rsidR="00845D69">
        <w:t xml:space="preserve"> would otherwise pay if he did not </w:t>
      </w:r>
      <w:r w:rsidR="00246364">
        <w:t xml:space="preserve">reach out to Comcast. </w:t>
      </w:r>
    </w:p>
    <w:p w:rsidR="007F4DE4" w:rsidRPr="002F1662" w:rsidP="002F1662" w14:paraId="217D55AF" w14:textId="7DC3D436">
      <w:pPr>
        <w:pStyle w:val="ListParagraph"/>
        <w:numPr>
          <w:ilvl w:val="0"/>
          <w:numId w:val="11"/>
        </w:numPr>
        <w:rPr>
          <w:b/>
          <w:bCs/>
          <w:i/>
          <w:iCs/>
        </w:rPr>
      </w:pPr>
      <w:r w:rsidRPr="002F1662">
        <w:rPr>
          <w:b/>
          <w:bCs/>
          <w:i/>
          <w:iCs/>
        </w:rPr>
        <w:t>Ramsey’s Complaint for Violations of the CLRA and UCL</w:t>
      </w:r>
    </w:p>
    <w:p w:rsidR="00730F0A" w:rsidP="00EA5875" w14:paraId="13E04A95" w14:textId="03FFE85B">
      <w:r>
        <w:tab/>
      </w:r>
      <w:r w:rsidR="00AE3ED6">
        <w:t>In</w:t>
      </w:r>
      <w:r>
        <w:t xml:space="preserve"> 2021, Ramsey filed a complaint against Comcast</w:t>
      </w:r>
      <w:r w:rsidR="00AE3ED6">
        <w:t xml:space="preserve"> in superior court</w:t>
      </w:r>
      <w:r>
        <w:t xml:space="preserve">, alleging violations of the </w:t>
      </w:r>
      <w:r w:rsidR="002F1662">
        <w:t>CLRA and UCL</w:t>
      </w:r>
      <w:r w:rsidR="002E19E1">
        <w:t xml:space="preserve">. </w:t>
      </w:r>
      <w:r w:rsidR="0038014F">
        <w:t xml:space="preserve"> </w:t>
      </w:r>
      <w:r w:rsidR="00AE3ED6">
        <w:t xml:space="preserve">Ramsey’s </w:t>
      </w:r>
      <w:r w:rsidR="002E19E1">
        <w:t>complaint set</w:t>
      </w:r>
      <w:r w:rsidR="00821A1B">
        <w:t>s</w:t>
      </w:r>
      <w:r w:rsidR="002E19E1">
        <w:t xml:space="preserve"> forth four causes of action</w:t>
      </w:r>
      <w:r w:rsidR="00B617B1">
        <w:t xml:space="preserve">.  </w:t>
      </w:r>
      <w:r w:rsidR="00AE3ED6">
        <w:t>The first cause of action</w:t>
      </w:r>
      <w:r w:rsidR="0038014F">
        <w:t xml:space="preserve"> </w:t>
      </w:r>
      <w:r w:rsidR="00637FFC">
        <w:t>alleges</w:t>
      </w:r>
      <w:r w:rsidR="00AA068A">
        <w:t xml:space="preserve"> a</w:t>
      </w:r>
      <w:r w:rsidR="00B617B1">
        <w:t xml:space="preserve"> </w:t>
      </w:r>
      <w:r w:rsidR="002E19E1">
        <w:t>violation of the CLRA</w:t>
      </w:r>
      <w:r w:rsidR="00B617B1">
        <w:t xml:space="preserve">, </w:t>
      </w:r>
      <w:r w:rsidR="00AE3ED6">
        <w:t xml:space="preserve">which prohibits </w:t>
      </w:r>
      <w:r w:rsidR="00B617B1">
        <w:t xml:space="preserve">“unfair or deceptive acts or practices undertaken by any person in a </w:t>
      </w:r>
      <w:r w:rsidR="00AE3ED6">
        <w:t>transaction</w:t>
      </w:r>
      <w:r w:rsidR="00B617B1">
        <w:t xml:space="preserve"> intended to result or </w:t>
      </w:r>
      <w:r w:rsidR="00A672F4">
        <w:t>that</w:t>
      </w:r>
      <w:r w:rsidR="00B617B1">
        <w:t xml:space="preserve"> results in the sale or lease of goods or services to any consumer.”</w:t>
      </w:r>
      <w:r w:rsidR="00F7615A">
        <w:t xml:space="preserve"> </w:t>
      </w:r>
      <w:r w:rsidR="00AE3ED6">
        <w:t xml:space="preserve"> (Civ. Code</w:t>
      </w:r>
      <w:r w:rsidR="00F7615A">
        <w:t>,</w:t>
      </w:r>
      <w:r w:rsidR="00AE3ED6">
        <w:t xml:space="preserve"> § 1770, subd. (a).)</w:t>
      </w:r>
      <w:r w:rsidR="00B53407">
        <w:t xml:space="preserve"> </w:t>
      </w:r>
      <w:r w:rsidR="00B617B1">
        <w:t xml:space="preserve"> </w:t>
      </w:r>
      <w:r w:rsidR="00AE3ED6">
        <w:t xml:space="preserve">In connection with this cause of action, Ramsey alleges that by “failing to disclose to [Ramsey] and concealing the existence of, and true and actual reasons for, Xfinity subscription service pricing, </w:t>
      </w:r>
      <w:r w:rsidR="00781ED4">
        <w:t xml:space="preserve">Defendants </w:t>
      </w:r>
      <w:r w:rsidR="00AE3ED6">
        <w:t xml:space="preserve">violated </w:t>
      </w:r>
      <w:r w:rsidR="00615CA1">
        <w:t xml:space="preserve">[the </w:t>
      </w:r>
      <w:r w:rsidR="00807E9D">
        <w:t>CLRA</w:t>
      </w:r>
      <w:r w:rsidR="00615CA1">
        <w:t>], as they misrepresented the reasons for, existence of, or amounts of, price reductions with respect to their services</w:t>
      </w:r>
      <w:r w:rsidR="00807E9D">
        <w:t xml:space="preserve">.” </w:t>
      </w:r>
      <w:r w:rsidR="00B53407">
        <w:t xml:space="preserve"> </w:t>
      </w:r>
      <w:r w:rsidR="00971CAB">
        <w:t xml:space="preserve">For this </w:t>
      </w:r>
      <w:r w:rsidR="00C91847">
        <w:t>cause of action</w:t>
      </w:r>
      <w:r w:rsidR="00971CAB">
        <w:t xml:space="preserve">, </w:t>
      </w:r>
      <w:r>
        <w:t xml:space="preserve">Ramsey </w:t>
      </w:r>
      <w:r w:rsidR="00821A1B">
        <w:t xml:space="preserve">seeks </w:t>
      </w:r>
      <w:r>
        <w:t>“public in</w:t>
      </w:r>
      <w:r w:rsidR="00615CA1">
        <w:t>junctive</w:t>
      </w:r>
      <w:r>
        <w:t xml:space="preserve"> relief enjoi</w:t>
      </w:r>
      <w:r w:rsidR="00615CA1">
        <w:t>ning</w:t>
      </w:r>
      <w:r w:rsidR="00971CAB">
        <w:t xml:space="preserve"> </w:t>
      </w:r>
      <w:r>
        <w:t>Defend</w:t>
      </w:r>
      <w:r w:rsidR="00615CA1">
        <w:t>ants’</w:t>
      </w:r>
      <w:r>
        <w:t xml:space="preserve"> unf</w:t>
      </w:r>
      <w:r w:rsidR="00615CA1">
        <w:t>air</w:t>
      </w:r>
      <w:r>
        <w:t xml:space="preserve"> or deceptive</w:t>
      </w:r>
      <w:r w:rsidR="00615CA1">
        <w:t xml:space="preserve"> acts or</w:t>
      </w:r>
      <w:r>
        <w:t xml:space="preserve"> practices and correcting all false and misleading </w:t>
      </w:r>
      <w:r w:rsidR="00615CA1">
        <w:t>statements</w:t>
      </w:r>
      <w:r>
        <w:t xml:space="preserve"> and material omissions concerning pricing model</w:t>
      </w:r>
      <w:r w:rsidR="00615CA1">
        <w:t>s</w:t>
      </w:r>
      <w:r>
        <w:t>, reasons for changes in pricing, and the availability of discounts, to prevent future injury to the general public.”</w:t>
      </w:r>
      <w:r w:rsidR="00615CA1">
        <w:t xml:space="preserve"> </w:t>
      </w:r>
    </w:p>
    <w:p w:rsidR="00730F0A" w:rsidP="00EA5875" w14:paraId="201CF59F" w14:textId="08221226">
      <w:r>
        <w:tab/>
        <w:t>Ramsey’s second cause of action allege</w:t>
      </w:r>
      <w:r w:rsidR="00821A1B">
        <w:t>s</w:t>
      </w:r>
      <w:r w:rsidR="00971CAB">
        <w:t xml:space="preserve"> a violation of the UCL’s prohibition </w:t>
      </w:r>
      <w:r w:rsidR="001F105B">
        <w:t>against</w:t>
      </w:r>
      <w:r w:rsidR="00971CAB">
        <w:t xml:space="preserve"> </w:t>
      </w:r>
      <w:r w:rsidR="003C711E">
        <w:t>unfair</w:t>
      </w:r>
      <w:r>
        <w:t xml:space="preserve"> business practices.</w:t>
      </w:r>
      <w:r w:rsidR="00971CAB">
        <w:t xml:space="preserve">  According to the complaint,</w:t>
      </w:r>
      <w:r>
        <w:t xml:space="preserve"> “</w:t>
      </w:r>
      <w:r w:rsidR="00971CAB">
        <w:t>[Ramsey]</w:t>
      </w:r>
      <w:r>
        <w:t xml:space="preserve"> purchased Defendants’ services at costs he reasonably believed to be the accurate, true, and </w:t>
      </w:r>
      <w:r w:rsidR="00971CAB">
        <w:t>the actual</w:t>
      </w:r>
      <w:r>
        <w:t xml:space="preserve"> price of those services, when in fact, Defendants have and continue to offer secret and unearned discounts on their services to select consumers, and concealing the existence and amount of these discounts to the general public</w:t>
      </w:r>
      <w:r w:rsidR="00971CAB">
        <w:t>.”</w:t>
      </w:r>
      <w:r w:rsidR="00B53407">
        <w:t xml:space="preserve"> </w:t>
      </w:r>
      <w:r w:rsidR="00215E3E">
        <w:t xml:space="preserve"> This</w:t>
      </w:r>
      <w:r w:rsidR="00971CAB">
        <w:t xml:space="preserve"> practice of “issuing secret rebates constitutes an unfair business </w:t>
      </w:r>
      <w:r w:rsidR="00215E3E">
        <w:t>practice</w:t>
      </w:r>
      <w:r w:rsidR="00971CAB">
        <w:t xml:space="preserve"> in violation of California </w:t>
      </w:r>
      <w:r w:rsidR="00215E3E">
        <w:t>Business</w:t>
      </w:r>
      <w:r w:rsidR="00971CAB">
        <w:t xml:space="preserve"> and Professions Code section 17200, et seq.”</w:t>
      </w:r>
      <w:r>
        <w:rPr>
          <w:rStyle w:val="FootnoteReference"/>
        </w:rPr>
        <w:footnoteReference w:id="3"/>
      </w:r>
      <w:r w:rsidR="00971CAB">
        <w:t xml:space="preserve"> </w:t>
      </w:r>
      <w:r w:rsidR="00215E3E">
        <w:t xml:space="preserve"> </w:t>
      </w:r>
      <w:r w:rsidR="00AA068A">
        <w:t xml:space="preserve">For this </w:t>
      </w:r>
      <w:r w:rsidR="00215E3E">
        <w:t>cause of action,</w:t>
      </w:r>
      <w:r w:rsidR="00AA068A">
        <w:t xml:space="preserve"> </w:t>
      </w:r>
      <w:r>
        <w:t xml:space="preserve">Ramsey </w:t>
      </w:r>
      <w:r w:rsidR="00AA068A">
        <w:t>s</w:t>
      </w:r>
      <w:r w:rsidR="00821A1B">
        <w:t>eeks</w:t>
      </w:r>
      <w:r>
        <w:t xml:space="preserve"> a </w:t>
      </w:r>
      <w:r w:rsidR="00AA068A">
        <w:t>“</w:t>
      </w:r>
      <w:r>
        <w:t xml:space="preserve">permanent injunction requiring Defendants to halt </w:t>
      </w:r>
      <w:r w:rsidR="00215E3E">
        <w:t>t</w:t>
      </w:r>
      <w:r>
        <w:t>heir practice of issuing secret discounts.”</w:t>
      </w:r>
    </w:p>
    <w:p w:rsidR="00730F0A" w:rsidP="00EA5875" w14:paraId="7557674F" w14:textId="5B360535">
      <w:r>
        <w:tab/>
        <w:t>Ramsey’s third cause of action allege</w:t>
      </w:r>
      <w:r w:rsidR="00821A1B">
        <w:t>s</w:t>
      </w:r>
      <w:r>
        <w:t xml:space="preserve"> </w:t>
      </w:r>
      <w:r w:rsidR="00463BF0">
        <w:t xml:space="preserve">a violation of </w:t>
      </w:r>
      <w:r w:rsidR="00692247">
        <w:t xml:space="preserve">section 17045, which falls under </w:t>
      </w:r>
      <w:r w:rsidR="00463BF0">
        <w:t xml:space="preserve">the UCL’s prohibition </w:t>
      </w:r>
      <w:r w:rsidR="001F105B">
        <w:t>against</w:t>
      </w:r>
      <w:r w:rsidR="00463BF0">
        <w:t xml:space="preserve"> unlawful business practices.  </w:t>
      </w:r>
      <w:r w:rsidR="00692247">
        <w:t xml:space="preserve">Section 17045 provides that </w:t>
      </w:r>
      <w:r w:rsidR="00463BF0">
        <w:t xml:space="preserve">the </w:t>
      </w:r>
      <w:r w:rsidR="00692247">
        <w:t>“</w:t>
      </w:r>
      <w:r w:rsidR="00463BF0">
        <w:t>secret payment or allowances of rebates, refunds, commissions, or unearned discounts</w:t>
      </w:r>
      <w:r w:rsidR="00692247">
        <w:t xml:space="preserve"> . . . to the injury of a competitor and where such payment</w:t>
      </w:r>
      <w:r w:rsidR="00A84B60">
        <w:t xml:space="preserve"> or allowance tends to destroy competition</w:t>
      </w:r>
      <w:r w:rsidR="00692247">
        <w:t>, is unlawful.</w:t>
      </w:r>
      <w:r w:rsidR="00A84B60">
        <w:t>”</w:t>
      </w:r>
      <w:r w:rsidR="003C711E">
        <w:t xml:space="preserve"> </w:t>
      </w:r>
      <w:r w:rsidR="00A84B60">
        <w:t xml:space="preserve"> (§</w:t>
      </w:r>
      <w:r w:rsidR="003D2CDB">
        <w:t xml:space="preserve"> </w:t>
      </w:r>
      <w:r w:rsidR="00A84B60">
        <w:t>17045.)</w:t>
      </w:r>
      <w:r w:rsidR="00B53407">
        <w:t xml:space="preserve"> </w:t>
      </w:r>
      <w:r w:rsidR="003C711E">
        <w:t xml:space="preserve"> </w:t>
      </w:r>
      <w:r w:rsidR="00C21097">
        <w:t xml:space="preserve">In </w:t>
      </w:r>
      <w:r w:rsidR="003C711E">
        <w:t>this c</w:t>
      </w:r>
      <w:r w:rsidR="00463BF0">
        <w:t>ause of action</w:t>
      </w:r>
      <w:r w:rsidR="003C711E">
        <w:t xml:space="preserve">, Ramsey </w:t>
      </w:r>
      <w:r w:rsidR="00821A1B">
        <w:t xml:space="preserve">seeks </w:t>
      </w:r>
      <w:r w:rsidR="003C711E">
        <w:t xml:space="preserve">“public injunctive relief and declaratory relief enjoining Defendants’ </w:t>
      </w:r>
      <w:r w:rsidR="00A84B60">
        <w:t>unfair</w:t>
      </w:r>
      <w:r w:rsidR="003C711E">
        <w:t xml:space="preserve"> or deceptive acts or practices to prevent injury to the general public.” </w:t>
      </w:r>
    </w:p>
    <w:p w:rsidR="00D61193" w:rsidP="00EA5875" w14:paraId="337C78E6" w14:textId="3B5DED08">
      <w:r>
        <w:tab/>
        <w:t xml:space="preserve">Ramsey’s </w:t>
      </w:r>
      <w:r w:rsidR="00EF470C">
        <w:t>fourth</w:t>
      </w:r>
      <w:r>
        <w:t xml:space="preserve"> cause of action</w:t>
      </w:r>
      <w:r w:rsidR="00C523BD">
        <w:t xml:space="preserve"> </w:t>
      </w:r>
      <w:r>
        <w:t>s</w:t>
      </w:r>
      <w:r w:rsidR="00821A1B">
        <w:t>eeks</w:t>
      </w:r>
      <w:r>
        <w:t xml:space="preserve"> </w:t>
      </w:r>
      <w:r w:rsidR="00EF470C">
        <w:t>declaratory</w:t>
      </w:r>
      <w:r>
        <w:t xml:space="preserve"> and </w:t>
      </w:r>
      <w:r w:rsidR="00EF470C">
        <w:t>injunctive</w:t>
      </w:r>
      <w:r>
        <w:t xml:space="preserve"> relief</w:t>
      </w:r>
      <w:r w:rsidR="00EF470C">
        <w:t xml:space="preserve"> for </w:t>
      </w:r>
      <w:r w:rsidR="001F105B">
        <w:t>the</w:t>
      </w:r>
      <w:r w:rsidR="00EF470C">
        <w:t xml:space="preserve"> </w:t>
      </w:r>
      <w:r w:rsidR="00C91847">
        <w:t xml:space="preserve">aforementioned </w:t>
      </w:r>
      <w:r w:rsidR="00280F40">
        <w:t xml:space="preserve">law </w:t>
      </w:r>
      <w:r w:rsidR="00C523BD">
        <w:t>violations</w:t>
      </w:r>
      <w:r>
        <w:t>.  In connection with this cause of action,</w:t>
      </w:r>
      <w:r w:rsidR="00EF470C">
        <w:t xml:space="preserve"> Ramsey </w:t>
      </w:r>
      <w:r w:rsidR="00821A1B">
        <w:t xml:space="preserve">requests </w:t>
      </w:r>
      <w:r w:rsidR="00EF470C">
        <w:t xml:space="preserve">that the </w:t>
      </w:r>
      <w:r w:rsidR="00A672F4">
        <w:t>c</w:t>
      </w:r>
      <w:r w:rsidR="00EF470C">
        <w:t xml:space="preserve">ourt adjudicate and declare that, (1) Ramsey has a right to view and rely upon truthful advertising, (2) that Comcast has an obligation to </w:t>
      </w:r>
      <w:r w:rsidR="00B0361D">
        <w:t>“</w:t>
      </w:r>
      <w:r w:rsidR="00EF470C">
        <w:t>ensure all of their advertisements and related statements and representations are truthful, complete, and not misleading,</w:t>
      </w:r>
      <w:r w:rsidR="00607DC1">
        <w:t>”</w:t>
      </w:r>
      <w:r w:rsidR="00EF470C">
        <w:t xml:space="preserve"> (3) that Comcast not issue </w:t>
      </w:r>
      <w:r w:rsidR="00607DC1">
        <w:t>“</w:t>
      </w:r>
      <w:r w:rsidR="00EF470C">
        <w:t>secret and earned</w:t>
      </w:r>
      <w:r w:rsidR="00527EBC">
        <w:t xml:space="preserve"> </w:t>
      </w:r>
      <w:r w:rsidR="00EF470C">
        <w:t>[</w:t>
      </w:r>
      <w:r w:rsidRPr="00C17D00" w:rsidR="00EF470C">
        <w:rPr>
          <w:i/>
          <w:iCs/>
        </w:rPr>
        <w:t>sic</w:t>
      </w:r>
      <w:r w:rsidR="00EF470C">
        <w:t>] discounts to select consumers,</w:t>
      </w:r>
      <w:r w:rsidR="00607DC1">
        <w:t>”</w:t>
      </w:r>
      <w:r w:rsidR="00EF470C">
        <w:t xml:space="preserve"> and</w:t>
      </w:r>
      <w:r w:rsidR="00607DC1">
        <w:t xml:space="preserve"> </w:t>
      </w:r>
      <w:r w:rsidR="00EF470C">
        <w:t>(</w:t>
      </w:r>
      <w:r w:rsidR="00C523BD">
        <w:t>4</w:t>
      </w:r>
      <w:r w:rsidR="00EF470C">
        <w:t xml:space="preserve">) </w:t>
      </w:r>
      <w:r w:rsidR="00C523BD">
        <w:t xml:space="preserve">that </w:t>
      </w:r>
      <w:r w:rsidR="00EF470C">
        <w:t xml:space="preserve">Comcast has an obligation to </w:t>
      </w:r>
      <w:r w:rsidR="00B0361D">
        <w:t>“</w:t>
      </w:r>
      <w:r w:rsidR="00EF470C">
        <w:t xml:space="preserve">train their personnel not to misrepresent </w:t>
      </w:r>
      <w:r w:rsidR="00B0361D">
        <w:t>Defendants’</w:t>
      </w:r>
      <w:r w:rsidR="00EF470C">
        <w:t xml:space="preserve"> services and pricing and to present consumers with truthful, complete and accurate information.</w:t>
      </w:r>
      <w:r w:rsidR="00C91847">
        <w:t>”</w:t>
      </w:r>
      <w:r w:rsidR="00EF470C">
        <w:t xml:space="preserve"> </w:t>
      </w:r>
      <w:r w:rsidR="00EE4A71">
        <w:t xml:space="preserve"> </w:t>
      </w:r>
      <w:r>
        <w:t>Ramsey</w:t>
      </w:r>
      <w:r w:rsidR="00C523BD">
        <w:t xml:space="preserve"> </w:t>
      </w:r>
      <w:r>
        <w:t xml:space="preserve">also </w:t>
      </w:r>
      <w:r w:rsidR="00821A1B">
        <w:t xml:space="preserve">seeks </w:t>
      </w:r>
      <w:r w:rsidR="00C523BD">
        <w:t xml:space="preserve">“related injunctive relief that requires </w:t>
      </w:r>
      <w:r w:rsidR="00B0361D">
        <w:t xml:space="preserve">Defendants </w:t>
      </w:r>
      <w:r w:rsidR="00C523BD">
        <w:t>to comply with their legal obligations and utilize only truthful and complete advertisements, statements, and representations, and ensure consumers are aware of any and all price reductions and rebates Defendants seek to grant to consumers</w:t>
      </w:r>
      <w:r>
        <w:t xml:space="preserve">.” </w:t>
      </w:r>
    </w:p>
    <w:p w:rsidR="003C711E" w:rsidP="00EA5875" w14:paraId="56CE896E" w14:textId="17169798">
      <w:r>
        <w:tab/>
        <w:t xml:space="preserve">In his prayer for relief, Ramsey </w:t>
      </w:r>
      <w:r w:rsidR="00821A1B">
        <w:t xml:space="preserve">seeks </w:t>
      </w:r>
      <w:r>
        <w:t>a “declaration requiring Defendants to comply with the various provisions of the CLRA and UCL alleged herein,” and an or</w:t>
      </w:r>
      <w:r w:rsidR="00AC31D9">
        <w:t>d</w:t>
      </w:r>
      <w:r>
        <w:t xml:space="preserve">er “enjoining Defendants from continuing their unlawful and unfair business practices.”  </w:t>
      </w:r>
      <w:r w:rsidR="00873410">
        <w:t>Though Ramsey allege</w:t>
      </w:r>
      <w:r w:rsidR="00821A1B">
        <w:t>s</w:t>
      </w:r>
      <w:r w:rsidR="00873410">
        <w:t xml:space="preserve"> that he </w:t>
      </w:r>
      <w:r w:rsidR="00821A1B">
        <w:t xml:space="preserve">had </w:t>
      </w:r>
      <w:r w:rsidR="00873410">
        <w:t>suffered “an ascertainable loss of money, including</w:t>
      </w:r>
      <w:r w:rsidR="00B53407">
        <w:t> </w:t>
      </w:r>
      <w:r w:rsidR="00873410">
        <w:t>.</w:t>
      </w:r>
      <w:r w:rsidR="00B53407">
        <w:t> </w:t>
      </w:r>
      <w:r w:rsidR="00873410">
        <w:t>.</w:t>
      </w:r>
      <w:r w:rsidR="00B53407">
        <w:t> </w:t>
      </w:r>
      <w:r w:rsidR="00873410">
        <w:t>. out of pocket costs incurred in paying nonpromotional rates when he did not immediately contact [Comcast] to obtain new promotional pricing,” he</w:t>
      </w:r>
      <w:r>
        <w:t xml:space="preserve"> </w:t>
      </w:r>
      <w:r w:rsidR="00821A1B">
        <w:t>does not</w:t>
      </w:r>
      <w:r>
        <w:t xml:space="preserve"> seek monetary damages</w:t>
      </w:r>
      <w:r w:rsidR="00AC31D9">
        <w:t xml:space="preserve"> </w:t>
      </w:r>
      <w:r>
        <w:t xml:space="preserve">but </w:t>
      </w:r>
      <w:r w:rsidR="00873410">
        <w:t>only</w:t>
      </w:r>
      <w:r w:rsidR="00280F40">
        <w:t xml:space="preserve"> declaratory and injunctive relief, and</w:t>
      </w:r>
      <w:r>
        <w:t xml:space="preserve"> an award of </w:t>
      </w:r>
      <w:r w:rsidR="00C91847">
        <w:t xml:space="preserve">costs and </w:t>
      </w:r>
      <w:r>
        <w:t>attorney’s fees</w:t>
      </w:r>
      <w:r w:rsidR="00AC31D9">
        <w:t xml:space="preserve">. </w:t>
      </w:r>
    </w:p>
    <w:p w:rsidR="007F4DE4" w:rsidRPr="00876063" w:rsidP="00876063" w14:paraId="1B837AE8" w14:textId="126F0127">
      <w:pPr>
        <w:pStyle w:val="ListParagraph"/>
        <w:numPr>
          <w:ilvl w:val="0"/>
          <w:numId w:val="11"/>
        </w:numPr>
        <w:rPr>
          <w:b/>
          <w:bCs/>
          <w:i/>
          <w:iCs/>
        </w:rPr>
      </w:pPr>
      <w:r w:rsidRPr="00876063">
        <w:rPr>
          <w:b/>
          <w:bCs/>
          <w:i/>
          <w:iCs/>
        </w:rPr>
        <w:t xml:space="preserve">Comcast’s Petition to Compel Arbitration </w:t>
      </w:r>
    </w:p>
    <w:p w:rsidR="00466494" w:rsidP="00EA5875" w14:paraId="759BC4DD" w14:textId="4E5C0FB2">
      <w:r>
        <w:tab/>
      </w:r>
      <w:r w:rsidR="00C21030">
        <w:t xml:space="preserve">Comcast </w:t>
      </w:r>
      <w:r w:rsidR="005D00AF">
        <w:t>sought</w:t>
      </w:r>
      <w:r w:rsidR="00C21030">
        <w:t xml:space="preserve"> to compel arbitration.  In the petition, Comcast argue</w:t>
      </w:r>
      <w:r w:rsidR="00064C0A">
        <w:t>d</w:t>
      </w:r>
      <w:r w:rsidR="00C21030">
        <w:t xml:space="preserve"> that Ramsey</w:t>
      </w:r>
      <w:r w:rsidR="001F105B">
        <w:t xml:space="preserve"> has</w:t>
      </w:r>
      <w:r w:rsidR="005552EC">
        <w:t xml:space="preserve"> </w:t>
      </w:r>
      <w:r w:rsidR="001F105B">
        <w:t>continuously</w:t>
      </w:r>
      <w:r w:rsidR="006407ED">
        <w:t xml:space="preserve"> accepted the terms of Comcast’s subscriber agreements, which has contained an arbitration provision since 2011. </w:t>
      </w:r>
      <w:r w:rsidR="00991DA9">
        <w:t xml:space="preserve"> </w:t>
      </w:r>
      <w:r w:rsidR="006407ED">
        <w:t>Comcast assert</w:t>
      </w:r>
      <w:r w:rsidR="00064C0A">
        <w:t>ed</w:t>
      </w:r>
      <w:r w:rsidR="006407ED">
        <w:t xml:space="preserve"> that the trial court should compel arbitration based on the subscriber agreement </w:t>
      </w:r>
      <w:r w:rsidR="001117CB">
        <w:t>included in</w:t>
      </w:r>
      <w:r w:rsidR="006407ED">
        <w:t xml:space="preserve"> Ramsey’s May 2021 bill</w:t>
      </w:r>
      <w:r w:rsidR="00B07095">
        <w:t xml:space="preserve"> (the 2021 subscriber agreement)</w:t>
      </w:r>
      <w:r w:rsidR="007B0AE1">
        <w:t>, which provide</w:t>
      </w:r>
      <w:r w:rsidR="00C75362">
        <w:t>d</w:t>
      </w:r>
      <w:r w:rsidR="007B0AE1">
        <w:t xml:space="preserve"> that any “Dispute” between the parties “shall be resolved through individual arbitration.</w:t>
      </w:r>
      <w:r w:rsidR="002F0493">
        <w:t>”</w:t>
      </w:r>
      <w:r w:rsidR="007B0AE1">
        <w:t xml:space="preserve"> </w:t>
      </w:r>
      <w:r w:rsidR="00C21030">
        <w:t xml:space="preserve"> </w:t>
      </w:r>
      <w:r w:rsidR="006407ED">
        <w:t xml:space="preserve">The 2021 subscriber agreement </w:t>
      </w:r>
      <w:r w:rsidR="003E40BD">
        <w:t xml:space="preserve">also </w:t>
      </w:r>
      <w:r w:rsidR="002F0493">
        <w:t>includ</w:t>
      </w:r>
      <w:r w:rsidR="00C75362">
        <w:t>ed</w:t>
      </w:r>
      <w:r w:rsidR="002F0493">
        <w:t xml:space="preserve"> </w:t>
      </w:r>
      <w:r w:rsidR="003E40BD">
        <w:t>a</w:t>
      </w:r>
      <w:r w:rsidR="006407ED">
        <w:t xml:space="preserve"> waiver of all class, collective, and </w:t>
      </w:r>
      <w:r w:rsidR="002F0493">
        <w:t>representative</w:t>
      </w:r>
      <w:r w:rsidR="006407ED">
        <w:t xml:space="preserve"> claims, </w:t>
      </w:r>
      <w:r w:rsidR="003E40BD">
        <w:t>providing that</w:t>
      </w:r>
      <w:r w:rsidR="002F0493">
        <w:t xml:space="preserve"> </w:t>
      </w:r>
      <w:r w:rsidR="006407ED">
        <w:t>“[t]he arbit</w:t>
      </w:r>
      <w:r w:rsidR="002F0493">
        <w:t xml:space="preserve">rator </w:t>
      </w:r>
      <w:r w:rsidR="006407ED">
        <w:t xml:space="preserve">may award injunctive relief only in favor of the individual party seeking relief and only to the extent necessary to provide relief warranted by that individual party’s claim, and the arbitrator may not award relief for or against or on behalf of anyone who is not a party.” </w:t>
      </w:r>
      <w:r>
        <w:t xml:space="preserve"> </w:t>
      </w:r>
    </w:p>
    <w:p w:rsidR="00C45AE6" w:rsidP="00EA5875" w14:paraId="201B4BEA" w14:textId="38CDB7E5">
      <w:r>
        <w:tab/>
      </w:r>
      <w:r w:rsidR="00064C0A">
        <w:t xml:space="preserve">In the petition, </w:t>
      </w:r>
      <w:r w:rsidR="00C21030">
        <w:t>Comcast acknowledge</w:t>
      </w:r>
      <w:r w:rsidR="00064C0A">
        <w:t>d</w:t>
      </w:r>
      <w:r w:rsidR="00C21030">
        <w:t xml:space="preserve"> the </w:t>
      </w:r>
      <w:r w:rsidRPr="00C75362" w:rsidR="00C21030">
        <w:rPr>
          <w:i/>
          <w:iCs/>
        </w:rPr>
        <w:t>McGill</w:t>
      </w:r>
      <w:r w:rsidR="007E537A">
        <w:t xml:space="preserve"> decision</w:t>
      </w:r>
      <w:r w:rsidR="00C21030">
        <w:t>,</w:t>
      </w:r>
      <w:r>
        <w:t xml:space="preserve"> </w:t>
      </w:r>
      <w:r w:rsidR="00CA2F61">
        <w:t>but</w:t>
      </w:r>
      <w:r w:rsidR="00064C0A">
        <w:t xml:space="preserve"> argue</w:t>
      </w:r>
      <w:r w:rsidR="00F80DEF">
        <w:t>d</w:t>
      </w:r>
      <w:r w:rsidR="00064C0A">
        <w:t xml:space="preserve"> that </w:t>
      </w:r>
      <w:r w:rsidR="00616DDD">
        <w:t xml:space="preserve">because Ramsey’s complaint </w:t>
      </w:r>
      <w:r>
        <w:t>sought</w:t>
      </w:r>
      <w:r w:rsidR="00616DDD">
        <w:t xml:space="preserve"> private, not public injunctive relief</w:t>
      </w:r>
      <w:r w:rsidR="00551B85">
        <w:t>,</w:t>
      </w:r>
      <w:r w:rsidRPr="00C75362" w:rsidR="00616DDD">
        <w:rPr>
          <w:i/>
          <w:iCs/>
        </w:rPr>
        <w:t xml:space="preserve"> </w:t>
      </w:r>
      <w:r w:rsidRPr="00C75362" w:rsidR="00064C0A">
        <w:rPr>
          <w:i/>
          <w:iCs/>
        </w:rPr>
        <w:t>McGill</w:t>
      </w:r>
      <w:r w:rsidR="00064C0A">
        <w:t xml:space="preserve"> </w:t>
      </w:r>
      <w:r w:rsidR="00C11171">
        <w:t>was</w:t>
      </w:r>
      <w:r w:rsidR="00064C0A">
        <w:t xml:space="preserve"> not implicated. </w:t>
      </w:r>
      <w:r w:rsidR="00F80DEF">
        <w:t xml:space="preserve"> Ramsey oppos</w:t>
      </w:r>
      <w:r w:rsidR="004E0660">
        <w:t>ed</w:t>
      </w:r>
      <w:r>
        <w:t xml:space="preserve"> </w:t>
      </w:r>
      <w:r w:rsidR="00C11171">
        <w:t>Comcast’s</w:t>
      </w:r>
      <w:r w:rsidR="00F80DEF">
        <w:t xml:space="preserve"> petition, </w:t>
      </w:r>
      <w:r w:rsidR="004E0660">
        <w:t>arguing that</w:t>
      </w:r>
      <w:r w:rsidR="00F63F63">
        <w:t xml:space="preserve"> his complaint sought public injunctive relief within the meaning of </w:t>
      </w:r>
      <w:r w:rsidRPr="00C75362" w:rsidR="00F63F63">
        <w:rPr>
          <w:i/>
          <w:iCs/>
        </w:rPr>
        <w:t>McGill</w:t>
      </w:r>
      <w:r w:rsidR="00F63F63">
        <w:t>.</w:t>
      </w:r>
      <w:r w:rsidR="0004652C">
        <w:t xml:space="preserve"> </w:t>
      </w:r>
      <w:r w:rsidR="00F63F63">
        <w:t xml:space="preserve"> </w:t>
      </w:r>
    </w:p>
    <w:p w:rsidR="006E71DD" w:rsidP="006E71DD" w14:paraId="23697A75" w14:textId="30BCF9AB">
      <w:pPr>
        <w:pStyle w:val="ListParagraph"/>
        <w:numPr>
          <w:ilvl w:val="0"/>
          <w:numId w:val="11"/>
        </w:numPr>
        <w:rPr>
          <w:b/>
          <w:bCs/>
          <w:i/>
          <w:iCs/>
        </w:rPr>
      </w:pPr>
      <w:r w:rsidRPr="00876063">
        <w:rPr>
          <w:b/>
          <w:bCs/>
          <w:i/>
          <w:iCs/>
        </w:rPr>
        <w:t>Trial Court’s Order Denying Comcast’s Petition</w:t>
      </w:r>
      <w:r w:rsidR="00876063">
        <w:rPr>
          <w:b/>
          <w:bCs/>
          <w:i/>
          <w:iCs/>
        </w:rPr>
        <w:t xml:space="preserve"> to Compel Arbitration</w:t>
      </w:r>
    </w:p>
    <w:p w:rsidR="007B41BB" w:rsidP="006E71DD" w14:paraId="5A5D4FFE" w14:textId="09B80681">
      <w:r>
        <w:tab/>
      </w:r>
      <w:r w:rsidR="006A6E72">
        <w:t>The trial court denied Comcast’s petition</w:t>
      </w:r>
      <w:r>
        <w:t xml:space="preserve">, finding unpersuasive Comcast’s argument that </w:t>
      </w:r>
      <w:r w:rsidRPr="006E71DD">
        <w:rPr>
          <w:i/>
          <w:iCs/>
        </w:rPr>
        <w:t xml:space="preserve">McGill </w:t>
      </w:r>
      <w:r>
        <w:t xml:space="preserve">did not apply because Ramsey was seeking private, not public injunctive relief.  </w:t>
      </w:r>
      <w:r w:rsidR="00503D00">
        <w:t xml:space="preserve">The court </w:t>
      </w:r>
      <w:r w:rsidR="0043472F">
        <w:t>held that</w:t>
      </w:r>
      <w:r w:rsidR="006A6E72">
        <w:t xml:space="preserve"> the </w:t>
      </w:r>
      <w:r w:rsidR="00503D00">
        <w:t xml:space="preserve">subject </w:t>
      </w:r>
      <w:r w:rsidR="006A6E72">
        <w:t>arbitration provision violated</w:t>
      </w:r>
      <w:r w:rsidR="0043472F">
        <w:t xml:space="preserve"> </w:t>
      </w:r>
      <w:r w:rsidRPr="006E71DD" w:rsidR="006A6E72">
        <w:rPr>
          <w:i/>
          <w:iCs/>
        </w:rPr>
        <w:t>McGill</w:t>
      </w:r>
      <w:r w:rsidR="004E1B21">
        <w:t xml:space="preserve"> </w:t>
      </w:r>
      <w:r w:rsidR="006A6E72">
        <w:t xml:space="preserve">because </w:t>
      </w:r>
      <w:r w:rsidR="004E1B21">
        <w:t>it</w:t>
      </w:r>
      <w:r w:rsidR="006A6E72">
        <w:t xml:space="preserve"> “</w:t>
      </w:r>
      <w:bookmarkStart w:id="0" w:name="_Hlk146360270"/>
      <w:r w:rsidR="006A6E72">
        <w:t>explicitly barred the arbitrator from determining ‘the rights, obligations, or interests of anyone other than a named party</w:t>
      </w:r>
      <w:bookmarkEnd w:id="0"/>
      <w:r w:rsidR="006A6E72">
        <w:t>,’ or from ‘making an award for the benefits of anyone . . . other than a named party.’</w:t>
      </w:r>
      <w:r w:rsidR="0043472F">
        <w:t xml:space="preserve"> </w:t>
      </w:r>
      <w:r w:rsidR="006A6E72">
        <w:t xml:space="preserve">” </w:t>
      </w:r>
    </w:p>
    <w:p w:rsidR="00C45AE6" w:rsidRPr="006E71DD" w:rsidP="006E71DD" w14:paraId="27E2545A" w14:textId="75773C37">
      <w:pPr>
        <w:rPr>
          <w:b/>
          <w:bCs/>
          <w:i/>
          <w:iCs/>
        </w:rPr>
      </w:pPr>
      <w:r>
        <w:tab/>
      </w:r>
      <w:r w:rsidR="00954C63">
        <w:t xml:space="preserve">Relying on </w:t>
      </w:r>
      <w:r w:rsidRPr="006E71DD" w:rsidR="00954C63">
        <w:rPr>
          <w:i/>
          <w:iCs/>
        </w:rPr>
        <w:t>Mejia</w:t>
      </w:r>
      <w:r w:rsidRPr="006E71DD" w:rsidR="00C75362">
        <w:rPr>
          <w:i/>
          <w:iCs/>
        </w:rPr>
        <w:t xml:space="preserve"> v. DACM Inc.</w:t>
      </w:r>
      <w:r w:rsidR="00C75362">
        <w:t xml:space="preserve"> (2020) 54 Cal.App.5th 691(</w:t>
      </w:r>
      <w:r w:rsidRPr="006E71DD" w:rsidR="00C75362">
        <w:rPr>
          <w:i/>
          <w:iCs/>
        </w:rPr>
        <w:t>Mejia</w:t>
      </w:r>
      <w:r w:rsidR="00C75362">
        <w:t>)</w:t>
      </w:r>
      <w:r w:rsidR="00954C63">
        <w:t xml:space="preserve"> and </w:t>
      </w:r>
      <w:r w:rsidRPr="006E71DD" w:rsidR="00954C63">
        <w:rPr>
          <w:i/>
          <w:iCs/>
        </w:rPr>
        <w:t>Maldonado</w:t>
      </w:r>
      <w:r w:rsidRPr="006E71DD" w:rsidR="00C75362">
        <w:rPr>
          <w:i/>
          <w:iCs/>
        </w:rPr>
        <w:t xml:space="preserve"> v. Fast Auto Loans, Inc.</w:t>
      </w:r>
      <w:r w:rsidR="00C75362">
        <w:t xml:space="preserve"> (2021) 60 Cal.App.5th 713 (</w:t>
      </w:r>
      <w:r w:rsidRPr="006E71DD" w:rsidR="00C75362">
        <w:rPr>
          <w:i/>
          <w:iCs/>
        </w:rPr>
        <w:t>Maldonado</w:t>
      </w:r>
      <w:r w:rsidR="00C75362">
        <w:t>)</w:t>
      </w:r>
      <w:r w:rsidR="00954C63">
        <w:t xml:space="preserve">, </w:t>
      </w:r>
      <w:r w:rsidR="000855DF">
        <w:t>the</w:t>
      </w:r>
      <w:r>
        <w:t xml:space="preserve"> trial</w:t>
      </w:r>
      <w:r w:rsidR="00954C63">
        <w:t xml:space="preserve"> court </w:t>
      </w:r>
      <w:r>
        <w:t xml:space="preserve">further </w:t>
      </w:r>
      <w:r w:rsidR="0043472F">
        <w:t xml:space="preserve">held that </w:t>
      </w:r>
      <w:r w:rsidRPr="006E71DD" w:rsidR="0043472F">
        <w:rPr>
          <w:i/>
          <w:iCs/>
        </w:rPr>
        <w:t xml:space="preserve">McGill </w:t>
      </w:r>
      <w:r w:rsidR="0043472F">
        <w:t>applie</w:t>
      </w:r>
      <w:r w:rsidR="00BA5FDD">
        <w:t>s</w:t>
      </w:r>
      <w:r w:rsidR="0043472F">
        <w:t xml:space="preserve"> when a plaintiff seeks to “</w:t>
      </w:r>
      <w:r w:rsidR="00954C63">
        <w:t xml:space="preserve">enjoin future violations of California’s consumer protection </w:t>
      </w:r>
      <w:r w:rsidR="001A4802">
        <w:t>statutes</w:t>
      </w:r>
      <w:r w:rsidR="00954C63">
        <w:t>.”</w:t>
      </w:r>
      <w:r w:rsidR="00A03342">
        <w:t xml:space="preserve"> </w:t>
      </w:r>
      <w:r w:rsidR="00954C63">
        <w:t xml:space="preserve"> </w:t>
      </w:r>
      <w:r w:rsidR="00637FFC">
        <w:t>The</w:t>
      </w:r>
      <w:r w:rsidR="0043472F">
        <w:t xml:space="preserve"> </w:t>
      </w:r>
      <w:r w:rsidR="00637FFC">
        <w:t>court</w:t>
      </w:r>
      <w:r>
        <w:t xml:space="preserve"> held </w:t>
      </w:r>
      <w:r w:rsidR="00637FFC">
        <w:t xml:space="preserve">that the </w:t>
      </w:r>
      <w:r w:rsidR="0043472F">
        <w:t>requested</w:t>
      </w:r>
      <w:r w:rsidR="00B81992">
        <w:t xml:space="preserve"> relief in </w:t>
      </w:r>
      <w:r w:rsidR="008B458B">
        <w:t xml:space="preserve">Ramsey’s complaint </w:t>
      </w:r>
      <w:r>
        <w:t>is</w:t>
      </w:r>
      <w:r w:rsidR="00821A1B">
        <w:t xml:space="preserve"> </w:t>
      </w:r>
      <w:r w:rsidR="00637FFC">
        <w:t>“</w:t>
      </w:r>
      <w:r w:rsidR="008B458B">
        <w:t>indistinguishable</w:t>
      </w:r>
      <w:r w:rsidR="00821A1B">
        <w:t>”</w:t>
      </w:r>
      <w:r w:rsidR="008B458B">
        <w:t xml:space="preserve"> from </w:t>
      </w:r>
      <w:r>
        <w:t>that</w:t>
      </w:r>
      <w:r w:rsidR="00821A1B">
        <w:t xml:space="preserve"> sought</w:t>
      </w:r>
      <w:r w:rsidR="008B458B">
        <w:t xml:space="preserve"> in </w:t>
      </w:r>
      <w:r w:rsidRPr="006E71DD" w:rsidR="008B458B">
        <w:rPr>
          <w:i/>
          <w:iCs/>
        </w:rPr>
        <w:t xml:space="preserve">Mejia </w:t>
      </w:r>
      <w:r w:rsidRPr="00630997" w:rsidR="008B458B">
        <w:t xml:space="preserve">and </w:t>
      </w:r>
      <w:r w:rsidRPr="006E71DD" w:rsidR="008B458B">
        <w:rPr>
          <w:i/>
          <w:iCs/>
        </w:rPr>
        <w:t>Maldonado</w:t>
      </w:r>
      <w:r w:rsidR="00B81992">
        <w:t xml:space="preserve">, and </w:t>
      </w:r>
      <w:r w:rsidR="00821A1B">
        <w:t>“</w:t>
      </w:r>
      <w:r w:rsidR="00B81992">
        <w:t>describe</w:t>
      </w:r>
      <w:r w:rsidR="00821A1B">
        <w:t>[s]</w:t>
      </w:r>
      <w:r w:rsidR="00B81992">
        <w:t xml:space="preserve"> public injunctive relief.</w:t>
      </w:r>
      <w:r w:rsidR="00821A1B">
        <w:t>”</w:t>
      </w:r>
      <w:r w:rsidR="00B81992">
        <w:t xml:space="preserve">  </w:t>
      </w:r>
      <w:r w:rsidR="0043472F">
        <w:t>The</w:t>
      </w:r>
      <w:r w:rsidR="004E1B21">
        <w:t xml:space="preserve"> </w:t>
      </w:r>
      <w:r w:rsidR="00D04375">
        <w:t xml:space="preserve">trial </w:t>
      </w:r>
      <w:r w:rsidR="0043472F">
        <w:t>court</w:t>
      </w:r>
      <w:r w:rsidR="001F105B">
        <w:t xml:space="preserve"> </w:t>
      </w:r>
      <w:r>
        <w:t xml:space="preserve">thus </w:t>
      </w:r>
      <w:r w:rsidR="001F105B">
        <w:t>concluded</w:t>
      </w:r>
      <w:r>
        <w:t xml:space="preserve"> </w:t>
      </w:r>
      <w:r w:rsidR="001F105B">
        <w:t>that</w:t>
      </w:r>
      <w:r w:rsidR="00E373A8">
        <w:t xml:space="preserve"> </w:t>
      </w:r>
      <w:r w:rsidR="001F105B">
        <w:t>the</w:t>
      </w:r>
      <w:r w:rsidR="00B81992">
        <w:t xml:space="preserve"> arbitration provision </w:t>
      </w:r>
      <w:r w:rsidR="001F105B">
        <w:t>was</w:t>
      </w:r>
      <w:r w:rsidR="00E373A8">
        <w:t xml:space="preserve"> </w:t>
      </w:r>
      <w:r w:rsidR="00B81992">
        <w:t xml:space="preserve">unenforceable. </w:t>
      </w:r>
    </w:p>
    <w:p w:rsidR="00834471" w:rsidP="00EA5875" w14:paraId="47E15255" w14:textId="7A4DF413">
      <w:r>
        <w:tab/>
        <w:t xml:space="preserve">Comcast timely appealed the </w:t>
      </w:r>
      <w:r w:rsidR="006548A4">
        <w:t xml:space="preserve">trial court’s </w:t>
      </w:r>
      <w:r>
        <w:t xml:space="preserve">order. </w:t>
      </w:r>
    </w:p>
    <w:p w:rsidR="00C45AE6" w:rsidRPr="00F42C62" w:rsidP="00F42C62" w14:paraId="1C5050C8" w14:textId="155B55EC">
      <w:pPr>
        <w:pStyle w:val="ListParagraph"/>
        <w:numPr>
          <w:ilvl w:val="0"/>
          <w:numId w:val="1"/>
        </w:numPr>
        <w:jc w:val="center"/>
        <w:rPr>
          <w:b/>
          <w:smallCaps/>
        </w:rPr>
      </w:pPr>
      <w:r w:rsidRPr="00F42C62">
        <w:rPr>
          <w:b/>
          <w:smallCaps/>
        </w:rPr>
        <w:t>Discussion</w:t>
      </w:r>
    </w:p>
    <w:p w:rsidR="00067061" w:rsidP="007F5A0D" w14:paraId="28D50A92" w14:textId="5F31FA8B">
      <w:pPr>
        <w:ind w:firstLine="360"/>
      </w:pPr>
      <w:r>
        <w:tab/>
      </w:r>
      <w:r w:rsidR="00146967">
        <w:t xml:space="preserve">On appeal, Comcast argues that the trial court erred in </w:t>
      </w:r>
      <w:r w:rsidR="00766997">
        <w:t xml:space="preserve">holding the arbitration provision in its 2021 subscriber agreement to be unenforceable </w:t>
      </w:r>
      <w:r w:rsidR="00E72DA7">
        <w:t>under</w:t>
      </w:r>
      <w:r w:rsidR="00766997">
        <w:t xml:space="preserve"> </w:t>
      </w:r>
      <w:r w:rsidRPr="00EF1648" w:rsidR="00766997">
        <w:rPr>
          <w:i/>
          <w:iCs/>
        </w:rPr>
        <w:t>McGill</w:t>
      </w:r>
      <w:r w:rsidR="00146967">
        <w:t xml:space="preserve">. </w:t>
      </w:r>
      <w:r w:rsidR="004B309C">
        <w:t xml:space="preserve"> </w:t>
      </w:r>
      <w:r w:rsidR="00E72DA7">
        <w:t xml:space="preserve">Comcast does not dispute that the arbitration provision, by its terms, waives Ramsey’s right to seek public injunctive relief in any forum. </w:t>
      </w:r>
      <w:r w:rsidR="00EF1648">
        <w:t xml:space="preserve"> </w:t>
      </w:r>
      <w:r w:rsidR="00E72DA7">
        <w:t>Rather, Comcast</w:t>
      </w:r>
      <w:r w:rsidR="00766997">
        <w:t xml:space="preserve"> contends that </w:t>
      </w:r>
      <w:r w:rsidRPr="00EF1648" w:rsidR="00766997">
        <w:rPr>
          <w:i/>
          <w:iCs/>
        </w:rPr>
        <w:t>McGill</w:t>
      </w:r>
      <w:r w:rsidR="003F768B">
        <w:t xml:space="preserve"> </w:t>
      </w:r>
      <w:r w:rsidR="00E72DA7">
        <w:t xml:space="preserve">is not </w:t>
      </w:r>
      <w:r w:rsidR="00707368">
        <w:t xml:space="preserve">implicated </w:t>
      </w:r>
      <w:r w:rsidR="00766997">
        <w:t>because Ramsey</w:t>
      </w:r>
      <w:r w:rsidR="00E72DA7">
        <w:t xml:space="preserve"> </w:t>
      </w:r>
      <w:r w:rsidR="00766997">
        <w:t>does not</w:t>
      </w:r>
      <w:r>
        <w:t xml:space="preserve"> </w:t>
      </w:r>
      <w:r w:rsidR="00EF1648">
        <w:t>seek</w:t>
      </w:r>
      <w:r w:rsidR="00766997">
        <w:t xml:space="preserve"> </w:t>
      </w:r>
      <w:r w:rsidR="00DF4330">
        <w:t>a public injunction</w:t>
      </w:r>
      <w:r w:rsidR="008E3426">
        <w:t>, but a private one</w:t>
      </w:r>
      <w:r w:rsidR="00766997">
        <w:t>.</w:t>
      </w:r>
      <w:r w:rsidR="00E72DA7">
        <w:t xml:space="preserve"> </w:t>
      </w:r>
      <w:r w:rsidR="00766997">
        <w:t xml:space="preserve"> </w:t>
      </w:r>
      <w:r w:rsidR="00E72DA7">
        <w:t xml:space="preserve">Alternatively, Comcast argues that </w:t>
      </w:r>
      <w:r w:rsidRPr="00EF1648" w:rsidR="007F5A0D">
        <w:rPr>
          <w:i/>
          <w:iCs/>
        </w:rPr>
        <w:t>McGill</w:t>
      </w:r>
      <w:r w:rsidR="007F5A0D">
        <w:t xml:space="preserve"> itself is invalid because it</w:t>
      </w:r>
      <w:r w:rsidR="003F768B">
        <w:t xml:space="preserve"> </w:t>
      </w:r>
      <w:r w:rsidR="00021B56">
        <w:t>is</w:t>
      </w:r>
      <w:r w:rsidR="007F5A0D">
        <w:t xml:space="preserve"> preempted by the FAA. </w:t>
      </w:r>
      <w:r w:rsidR="005753C0">
        <w:t xml:space="preserve"> </w:t>
      </w:r>
    </w:p>
    <w:p w:rsidR="005C7100" w:rsidP="007F5A0D" w14:paraId="3ABF2FFD" w14:textId="3635069B">
      <w:pPr>
        <w:ind w:firstLine="360"/>
      </w:pPr>
      <w:r>
        <w:tab/>
      </w:r>
      <w:r w:rsidR="00146967">
        <w:t xml:space="preserve">We conclude that the requested relief set forth in Ramsey’s complaint falls within </w:t>
      </w:r>
      <w:r w:rsidRPr="00EF1648" w:rsidR="005753C0">
        <w:rPr>
          <w:i/>
          <w:iCs/>
        </w:rPr>
        <w:t>McGill’s</w:t>
      </w:r>
      <w:r w:rsidRPr="00EF1648" w:rsidR="00146967">
        <w:rPr>
          <w:i/>
          <w:iCs/>
        </w:rPr>
        <w:t xml:space="preserve"> </w:t>
      </w:r>
      <w:r w:rsidR="00146967">
        <w:t>definition of public injunctive relief</w:t>
      </w:r>
      <w:r w:rsidR="00EF1648">
        <w:t>.  We decline t</w:t>
      </w:r>
      <w:r w:rsidR="007E76EC">
        <w:t>o hold</w:t>
      </w:r>
      <w:r w:rsidR="00EF1648">
        <w:t xml:space="preserve"> that</w:t>
      </w:r>
      <w:r w:rsidR="00707368">
        <w:t xml:space="preserve"> the FAA preempts </w:t>
      </w:r>
      <w:r w:rsidRPr="00EF1648" w:rsidR="00707368">
        <w:rPr>
          <w:i/>
          <w:iCs/>
        </w:rPr>
        <w:t>McGill</w:t>
      </w:r>
      <w:r w:rsidR="003F768B">
        <w:t xml:space="preserve">.  </w:t>
      </w:r>
      <w:r w:rsidR="00021B56">
        <w:t>W</w:t>
      </w:r>
      <w:r>
        <w:t>e</w:t>
      </w:r>
      <w:r w:rsidR="0035213C">
        <w:t xml:space="preserve"> </w:t>
      </w:r>
      <w:r>
        <w:t>affirm the trial court’s order denying Comcast’s petition to compel</w:t>
      </w:r>
      <w:r w:rsidR="00BC676B">
        <w:t xml:space="preserve"> </w:t>
      </w:r>
      <w:r>
        <w:t xml:space="preserve">arbitration. </w:t>
      </w:r>
    </w:p>
    <w:p w:rsidR="00146967" w:rsidRPr="00146967" w:rsidP="002221B3" w14:paraId="4D3F6527" w14:textId="7C12E0C4">
      <w:pPr>
        <w:ind w:firstLine="360"/>
        <w:rPr>
          <w:b/>
          <w:bCs/>
          <w:i/>
          <w:iCs/>
        </w:rPr>
      </w:pPr>
      <w:r w:rsidRPr="00146967">
        <w:rPr>
          <w:b/>
          <w:bCs/>
          <w:i/>
          <w:iCs/>
        </w:rPr>
        <w:t>A. Standard of Review</w:t>
      </w:r>
    </w:p>
    <w:p w:rsidR="002221B3" w:rsidP="006B3670" w14:paraId="3CF5895D" w14:textId="460C0104">
      <w:r>
        <w:tab/>
      </w:r>
      <w:r w:rsidR="006305A9">
        <w:t>An order denying a petition to compel arbitration is appealable.  (Code Civ. Proc.</w:t>
      </w:r>
      <w:r w:rsidR="003D2CDB">
        <w:t>,</w:t>
      </w:r>
      <w:r w:rsidR="006305A9">
        <w:t xml:space="preserve"> § 1294, subd. (a).)  When</w:t>
      </w:r>
      <w:r w:rsidR="000118DA">
        <w:t>, as here,</w:t>
      </w:r>
      <w:r w:rsidR="006305A9">
        <w:t xml:space="preserve"> a trial court’s order denying a petition to compel arbitration is based on a question of law, we review the denial de novo.</w:t>
      </w:r>
      <w:r w:rsidR="00527EBC">
        <w:t xml:space="preserve"> </w:t>
      </w:r>
      <w:r w:rsidR="006305A9">
        <w:t xml:space="preserve"> (</w:t>
      </w:r>
      <w:r w:rsidRPr="004826F8" w:rsidR="006305A9">
        <w:rPr>
          <w:i/>
          <w:iCs/>
        </w:rPr>
        <w:t>Clifford v. Quest Software Inc.</w:t>
      </w:r>
      <w:r w:rsidR="006305A9">
        <w:t xml:space="preserve"> (2019) 38 Cal.App.5th 745, 749.) </w:t>
      </w:r>
    </w:p>
    <w:p w:rsidR="00021B56" w:rsidRPr="00533E93" w:rsidP="00021B56" w14:paraId="5D66339C" w14:textId="41E041F7">
      <w:pPr>
        <w:pStyle w:val="ListParagraph"/>
        <w:numPr>
          <w:ilvl w:val="0"/>
          <w:numId w:val="6"/>
        </w:numPr>
        <w:rPr>
          <w:b/>
          <w:bCs/>
          <w:i/>
          <w:iCs/>
        </w:rPr>
      </w:pPr>
      <w:r>
        <w:rPr>
          <w:b/>
          <w:bCs/>
          <w:i/>
          <w:iCs/>
        </w:rPr>
        <w:t>The</w:t>
      </w:r>
      <w:r w:rsidRPr="00533E93" w:rsidR="002221B3">
        <w:rPr>
          <w:b/>
          <w:bCs/>
          <w:i/>
          <w:iCs/>
        </w:rPr>
        <w:t xml:space="preserve"> Complaint Seeks Public Injunctive Relief</w:t>
      </w:r>
    </w:p>
    <w:p w:rsidR="00852A9B" w:rsidRPr="00D7111C" w:rsidP="00CC0C95" w14:paraId="68BCA23D" w14:textId="7F936C1B">
      <w:pPr>
        <w:pStyle w:val="ListParagraph"/>
        <w:numPr>
          <w:ilvl w:val="0"/>
          <w:numId w:val="12"/>
        </w:numPr>
        <w:rPr>
          <w:i/>
          <w:iCs/>
        </w:rPr>
      </w:pPr>
      <w:r w:rsidRPr="00D7111C">
        <w:rPr>
          <w:i/>
          <w:iCs/>
        </w:rPr>
        <w:t xml:space="preserve">The </w:t>
      </w:r>
      <w:r w:rsidR="00DD7D58">
        <w:rPr>
          <w:i/>
          <w:iCs/>
        </w:rPr>
        <w:t>Relief Sought Falls</w:t>
      </w:r>
      <w:r w:rsidRPr="00D7111C">
        <w:rPr>
          <w:i/>
          <w:iCs/>
        </w:rPr>
        <w:t xml:space="preserve"> Within McGill’s Definition of Public </w:t>
      </w:r>
      <w:r w:rsidRPr="00D7111C" w:rsidR="00B25FBD">
        <w:rPr>
          <w:i/>
          <w:iCs/>
        </w:rPr>
        <w:t>Injuncti</w:t>
      </w:r>
      <w:r w:rsidRPr="00D7111C" w:rsidR="008E3426">
        <w:rPr>
          <w:i/>
          <w:iCs/>
        </w:rPr>
        <w:t>ve Relief</w:t>
      </w:r>
    </w:p>
    <w:p w:rsidR="00527148" w:rsidP="00021B56" w14:paraId="1DB55914" w14:textId="4A01478C">
      <w:r>
        <w:tab/>
      </w:r>
      <w:r w:rsidR="00BF022E">
        <w:t>To determine whether Ramsey’s complaint seeks public</w:t>
      </w:r>
      <w:r w:rsidR="00816775">
        <w:t xml:space="preserve"> or private </w:t>
      </w:r>
      <w:r w:rsidR="00BF022E">
        <w:t xml:space="preserve">injunctive relief, we look first to </w:t>
      </w:r>
      <w:r w:rsidRPr="00BC0B2F" w:rsidR="00BF022E">
        <w:rPr>
          <w:i/>
          <w:iCs/>
        </w:rPr>
        <w:t>McGill</w:t>
      </w:r>
      <w:r w:rsidR="00BF022E">
        <w:rPr>
          <w:i/>
          <w:iCs/>
        </w:rPr>
        <w:t xml:space="preserve"> </w:t>
      </w:r>
      <w:r w:rsidRPr="00C17D00" w:rsidR="00BF022E">
        <w:t>itself</w:t>
      </w:r>
      <w:r w:rsidRPr="00527EBC" w:rsidR="00BF022E">
        <w:t>.</w:t>
      </w:r>
      <w:r w:rsidR="00BF022E">
        <w:t xml:space="preserve"> </w:t>
      </w:r>
      <w:r w:rsidR="008E3426">
        <w:t xml:space="preserve"> </w:t>
      </w:r>
      <w:r w:rsidRPr="006D6DBE" w:rsidR="00901628">
        <w:t xml:space="preserve">In </w:t>
      </w:r>
      <w:r w:rsidRPr="006D6DBE" w:rsidR="00901628">
        <w:rPr>
          <w:i/>
          <w:iCs/>
        </w:rPr>
        <w:t>McGill</w:t>
      </w:r>
      <w:r w:rsidRPr="006D6DBE" w:rsidR="00901628">
        <w:t xml:space="preserve">, </w:t>
      </w:r>
      <w:r w:rsidRPr="006D6DBE" w:rsidR="003C092C">
        <w:t>the</w:t>
      </w:r>
      <w:r w:rsidRPr="006D6DBE" w:rsidR="00901628">
        <w:t xml:space="preserve"> </w:t>
      </w:r>
      <w:r w:rsidR="00527EBC">
        <w:t>S</w:t>
      </w:r>
      <w:r w:rsidRPr="006D6DBE" w:rsidR="00901628">
        <w:t xml:space="preserve">upreme </w:t>
      </w:r>
      <w:r w:rsidR="00527EBC">
        <w:t>C</w:t>
      </w:r>
      <w:r w:rsidRPr="006D6DBE" w:rsidR="00901628">
        <w:t>ourt</w:t>
      </w:r>
      <w:r w:rsidRPr="006D6DBE" w:rsidR="004B5822">
        <w:t>, r</w:t>
      </w:r>
      <w:r w:rsidRPr="006D6DBE" w:rsidR="007F4682">
        <w:t xml:space="preserve">elying on its </w:t>
      </w:r>
      <w:r w:rsidRPr="006D6DBE">
        <w:t>earlier</w:t>
      </w:r>
      <w:r w:rsidRPr="006D6DBE" w:rsidR="007F4682">
        <w:t xml:space="preserve"> decisions in </w:t>
      </w:r>
      <w:r w:rsidRPr="006D6DBE" w:rsidR="007F4682">
        <w:rPr>
          <w:i/>
          <w:iCs/>
        </w:rPr>
        <w:t>Broughton</w:t>
      </w:r>
      <w:r w:rsidRPr="006D6DBE" w:rsidR="006D6DBE">
        <w:rPr>
          <w:i/>
          <w:iCs/>
        </w:rPr>
        <w:t xml:space="preserve"> v. Cigna Healthplans</w:t>
      </w:r>
      <w:r w:rsidR="006D6DBE">
        <w:t xml:space="preserve"> (1999) 21 Cal.4th 1066 (</w:t>
      </w:r>
      <w:r w:rsidRPr="006D6DBE" w:rsidR="006D6DBE">
        <w:rPr>
          <w:i/>
          <w:iCs/>
        </w:rPr>
        <w:t>Broughton</w:t>
      </w:r>
      <w:r w:rsidR="006D6DBE">
        <w:t>)</w:t>
      </w:r>
      <w:r w:rsidRPr="006D6DBE" w:rsidR="007F4682">
        <w:t xml:space="preserve"> and</w:t>
      </w:r>
      <w:r w:rsidR="007F4682">
        <w:t xml:space="preserve"> </w:t>
      </w:r>
      <w:r w:rsidRPr="006D6DBE" w:rsidR="007F4682">
        <w:rPr>
          <w:i/>
          <w:iCs/>
        </w:rPr>
        <w:t>Cruz</w:t>
      </w:r>
      <w:r w:rsidRPr="006D6DBE" w:rsidR="006D6DBE">
        <w:rPr>
          <w:i/>
          <w:iCs/>
        </w:rPr>
        <w:t xml:space="preserve"> v. PacifiCare Health Systems, Inc</w:t>
      </w:r>
      <w:r w:rsidR="006D6DBE">
        <w:t>. (2003) 30 Cal.4th 303 (</w:t>
      </w:r>
      <w:r w:rsidRPr="006D6DBE" w:rsidR="006D6DBE">
        <w:rPr>
          <w:i/>
          <w:iCs/>
        </w:rPr>
        <w:t>Cruz</w:t>
      </w:r>
      <w:r w:rsidR="006D6DBE">
        <w:t>)</w:t>
      </w:r>
      <w:r w:rsidR="007F4682">
        <w:t xml:space="preserve">, </w:t>
      </w:r>
      <w:r>
        <w:t xml:space="preserve">distinguished </w:t>
      </w:r>
      <w:r w:rsidR="00BC48DD">
        <w:t xml:space="preserve">between </w:t>
      </w:r>
      <w:r w:rsidR="00205830">
        <w:t>the two types of</w:t>
      </w:r>
      <w:r w:rsidR="007F4682">
        <w:t xml:space="preserve"> injunctive relief:  </w:t>
      </w:r>
      <w:r w:rsidR="00BD7658">
        <w:t>P</w:t>
      </w:r>
      <w:r w:rsidR="007F4682">
        <w:t xml:space="preserve">rivate </w:t>
      </w:r>
      <w:r w:rsidR="002221B3">
        <w:t xml:space="preserve">injunctive relief </w:t>
      </w:r>
      <w:r w:rsidR="007F4682">
        <w:t>is</w:t>
      </w:r>
      <w:r w:rsidR="002221B3">
        <w:t xml:space="preserve"> “relief that primarily </w:t>
      </w:r>
      <w:r w:rsidR="00936F59">
        <w:t>‘</w:t>
      </w:r>
      <w:r w:rsidR="002221B3">
        <w:t>resolve</w:t>
      </w:r>
      <w:r w:rsidR="007F4682">
        <w:t>[</w:t>
      </w:r>
      <w:r w:rsidR="002221B3">
        <w:t>s</w:t>
      </w:r>
      <w:r w:rsidR="007F4682">
        <w:t>]</w:t>
      </w:r>
      <w:r w:rsidR="002221B3">
        <w:t xml:space="preserve"> a private dispute</w:t>
      </w:r>
      <w:r w:rsidR="007F4682">
        <w:t>’</w:t>
      </w:r>
      <w:r w:rsidR="002221B3">
        <w:t xml:space="preserve"> between the parties </w:t>
      </w:r>
      <w:r w:rsidR="007F4682">
        <w:t xml:space="preserve">. . . </w:t>
      </w:r>
      <w:r w:rsidR="002221B3">
        <w:t xml:space="preserve">and </w:t>
      </w:r>
      <w:r w:rsidR="00936F59">
        <w:t>‘</w:t>
      </w:r>
      <w:r w:rsidR="002221B3">
        <w:t>rectif</w:t>
      </w:r>
      <w:r w:rsidR="00936F59">
        <w:t>[</w:t>
      </w:r>
      <w:r w:rsidR="002221B3">
        <w:t>ies</w:t>
      </w:r>
      <w:r w:rsidR="00936F59">
        <w:t>]</w:t>
      </w:r>
      <w:r w:rsidR="002221B3">
        <w:t xml:space="preserve"> individual wrongs</w:t>
      </w:r>
      <w:r w:rsidR="00936F59">
        <w:t>’</w:t>
      </w:r>
      <w:r w:rsidR="007F4682">
        <w:t xml:space="preserve"> . . . </w:t>
      </w:r>
      <w:r w:rsidR="002221B3">
        <w:t>and that benefits the public, if at all, only incidentally</w:t>
      </w:r>
      <w:r w:rsidR="00A97121">
        <w:t xml:space="preserve">.”  </w:t>
      </w:r>
      <w:r w:rsidR="00936F59">
        <w:t>(</w:t>
      </w:r>
      <w:r w:rsidRPr="00936F59" w:rsidR="00936F59">
        <w:rPr>
          <w:i/>
          <w:iCs/>
        </w:rPr>
        <w:t>McGill, supra</w:t>
      </w:r>
      <w:r w:rsidR="00936F59">
        <w:t>, 2</w:t>
      </w:r>
      <w:r w:rsidR="004B11D6">
        <w:t> </w:t>
      </w:r>
      <w:r w:rsidR="00936F59">
        <w:t xml:space="preserve">Cal.5th at p. 955, quoting </w:t>
      </w:r>
      <w:r w:rsidRPr="00936F59" w:rsidR="00936F59">
        <w:rPr>
          <w:i/>
          <w:iCs/>
        </w:rPr>
        <w:t>Broughton, supra</w:t>
      </w:r>
      <w:r w:rsidR="00936F59">
        <w:t xml:space="preserve">, 21 Cal.4th at pp. 1079-1080.)  </w:t>
      </w:r>
      <w:r w:rsidR="00A97121">
        <w:t>P</w:t>
      </w:r>
      <w:r w:rsidR="0042431A">
        <w:t xml:space="preserve">ublic injunctive relief </w:t>
      </w:r>
      <w:r w:rsidR="007F4682">
        <w:t>is</w:t>
      </w:r>
      <w:r w:rsidR="0042431A">
        <w:t xml:space="preserve"> “</w:t>
      </w:r>
      <w:r w:rsidR="002221B3">
        <w:t>relief</w:t>
      </w:r>
      <w:r w:rsidR="0042431A">
        <w:t xml:space="preserve"> that </w:t>
      </w:r>
      <w:r w:rsidR="007F4682">
        <w:t>‘</w:t>
      </w:r>
      <w:r w:rsidR="0042431A">
        <w:t>by and large</w:t>
      </w:r>
      <w:r w:rsidR="007F4682">
        <w:t>’</w:t>
      </w:r>
      <w:r w:rsidR="0042431A">
        <w:t xml:space="preserve"> benefits the general public</w:t>
      </w:r>
      <w:r w:rsidR="007F4682">
        <w:t xml:space="preserve"> . . . </w:t>
      </w:r>
      <w:r w:rsidR="0042431A">
        <w:t xml:space="preserve">and that benefits the plaintiff, </w:t>
      </w:r>
      <w:r w:rsidR="007F4682">
        <w:t>‘</w:t>
      </w:r>
      <w:r w:rsidR="0042431A">
        <w:t>if at all,</w:t>
      </w:r>
      <w:r w:rsidR="007F4682">
        <w:t>’</w:t>
      </w:r>
      <w:r w:rsidR="0042431A">
        <w:t xml:space="preserve"> only </w:t>
      </w:r>
      <w:r w:rsidR="003E5475">
        <w:t>‘</w:t>
      </w:r>
      <w:r w:rsidR="0042431A">
        <w:t>incidental</w:t>
      </w:r>
      <w:r w:rsidR="007F4682">
        <w:t>[ly]</w:t>
      </w:r>
      <w:r w:rsidR="003E5475">
        <w:t>’</w:t>
      </w:r>
      <w:r w:rsidR="0042431A">
        <w:t xml:space="preserve"> and/or as </w:t>
      </w:r>
      <w:r w:rsidR="007F4682">
        <w:t>‘</w:t>
      </w:r>
      <w:r w:rsidR="0042431A">
        <w:t>a member of the general public.</w:t>
      </w:r>
      <w:r w:rsidR="007F4682">
        <w:t>’</w:t>
      </w:r>
      <w:r w:rsidR="00B55F83">
        <w:t xml:space="preserve"> </w:t>
      </w:r>
      <w:r w:rsidR="0042431A">
        <w:t xml:space="preserve">”  </w:t>
      </w:r>
      <w:r w:rsidR="002221B3">
        <w:t>(</w:t>
      </w:r>
      <w:r w:rsidRPr="003E5475" w:rsidR="00492438">
        <w:rPr>
          <w:i/>
          <w:iCs/>
        </w:rPr>
        <w:t>McGill</w:t>
      </w:r>
      <w:r w:rsidR="00492438">
        <w:t xml:space="preserve">, </w:t>
      </w:r>
      <w:r w:rsidRPr="003E5475" w:rsidR="003E5475">
        <w:rPr>
          <w:i/>
          <w:iCs/>
        </w:rPr>
        <w:t>supra</w:t>
      </w:r>
      <w:r w:rsidRPr="00F15147" w:rsidR="003E5475">
        <w:t xml:space="preserve">, </w:t>
      </w:r>
      <w:r w:rsidR="00492438">
        <w:t>at p. 955</w:t>
      </w:r>
      <w:r w:rsidR="00EF3158">
        <w:t xml:space="preserve">, </w:t>
      </w:r>
      <w:r w:rsidR="003E5475">
        <w:t xml:space="preserve">alterations </w:t>
      </w:r>
      <w:r w:rsidR="007F4682">
        <w:t>in original</w:t>
      </w:r>
      <w:r w:rsidR="00492438">
        <w:t xml:space="preserve">.)  </w:t>
      </w:r>
      <w:r w:rsidR="00EF3158">
        <w:t>“</w:t>
      </w:r>
      <w:r w:rsidR="00492438">
        <w:t xml:space="preserve">To summarize, public injunctive relief under the UCL, the </w:t>
      </w:r>
      <w:r w:rsidR="00EF3158">
        <w:t>CLRA</w:t>
      </w:r>
      <w:r w:rsidR="00492438">
        <w:t xml:space="preserve">, and the </w:t>
      </w:r>
      <w:r w:rsidR="00EF3158">
        <w:t>false</w:t>
      </w:r>
      <w:r w:rsidR="00492438">
        <w:t xml:space="preserve"> </w:t>
      </w:r>
      <w:r w:rsidR="00EF3158">
        <w:t>advertising</w:t>
      </w:r>
      <w:r w:rsidR="00492438">
        <w:t xml:space="preserve"> law is relief that has </w:t>
      </w:r>
      <w:bookmarkStart w:id="1" w:name="_Hlk146023731"/>
      <w:r w:rsidR="007F4682">
        <w:t>‘</w:t>
      </w:r>
      <w:r w:rsidR="00492438">
        <w:t xml:space="preserve">the primary </w:t>
      </w:r>
      <w:r w:rsidR="00EF3158">
        <w:t>purpose</w:t>
      </w:r>
      <w:r w:rsidR="00492438">
        <w:t xml:space="preserve"> and effect</w:t>
      </w:r>
      <w:r w:rsidR="00530A20">
        <w:t>’</w:t>
      </w:r>
      <w:r w:rsidR="00492438">
        <w:t xml:space="preserve"> of prohibiting </w:t>
      </w:r>
      <w:r w:rsidR="00EF3158">
        <w:t>unlawful</w:t>
      </w:r>
      <w:r w:rsidR="00492438">
        <w:t xml:space="preserve"> acts that threaten </w:t>
      </w:r>
      <w:r w:rsidR="00EF3158">
        <w:t>future</w:t>
      </w:r>
      <w:r w:rsidR="00492438">
        <w:t xml:space="preserve"> </w:t>
      </w:r>
      <w:r w:rsidR="00EF3158">
        <w:t>injury</w:t>
      </w:r>
      <w:r w:rsidR="00492438">
        <w:t xml:space="preserve"> to the public</w:t>
      </w:r>
      <w:bookmarkEnd w:id="1"/>
      <w:r w:rsidR="00492438">
        <w:t>.</w:t>
      </w:r>
      <w:r w:rsidR="003E5475">
        <w:t xml:space="preserve"> </w:t>
      </w:r>
      <w:r w:rsidR="00B55F83">
        <w:t xml:space="preserve"> </w:t>
      </w:r>
      <w:r w:rsidR="003E5475">
        <w:t>(</w:t>
      </w:r>
      <w:r w:rsidRPr="003E5475" w:rsidR="003E5475">
        <w:rPr>
          <w:i/>
          <w:iCs/>
        </w:rPr>
        <w:t>Broughton, s</w:t>
      </w:r>
      <w:r w:rsidR="003E5475">
        <w:rPr>
          <w:i/>
          <w:iCs/>
        </w:rPr>
        <w:t>upra</w:t>
      </w:r>
      <w:r w:rsidR="003E5475">
        <w:t>, at p. 1077.)</w:t>
      </w:r>
      <w:r w:rsidR="007F4682">
        <w:t>”</w:t>
      </w:r>
      <w:r w:rsidR="00B55F83">
        <w:t xml:space="preserve"> </w:t>
      </w:r>
      <w:r w:rsidR="003E5475">
        <w:t xml:space="preserve"> (</w:t>
      </w:r>
      <w:r w:rsidRPr="003E5475" w:rsidR="003E5475">
        <w:rPr>
          <w:i/>
          <w:iCs/>
        </w:rPr>
        <w:t>McGill, supra</w:t>
      </w:r>
      <w:r w:rsidR="003E5475">
        <w:t>, at p. 955.)</w:t>
      </w:r>
      <w:r w:rsidR="00492438">
        <w:t xml:space="preserve">  </w:t>
      </w:r>
      <w:r w:rsidR="003E5475">
        <w:t>“</w:t>
      </w:r>
      <w:r w:rsidR="00492438">
        <w:t xml:space="preserve">Relief that has the primary purpose or </w:t>
      </w:r>
      <w:r w:rsidR="00EF3158">
        <w:t>effect</w:t>
      </w:r>
      <w:r w:rsidR="00492438">
        <w:t xml:space="preserve"> of redressing or </w:t>
      </w:r>
      <w:r w:rsidR="00EF3158">
        <w:t>preventing</w:t>
      </w:r>
      <w:r w:rsidR="00492438">
        <w:t xml:space="preserve"> injury to an individual plaintiff</w:t>
      </w:r>
      <w:r w:rsidRPr="00A672F4" w:rsidR="00492438">
        <w:t>–</w:t>
      </w:r>
      <w:r w:rsidR="00492438">
        <w:t xml:space="preserve">or to a group of individuals similarly situated to the </w:t>
      </w:r>
      <w:r w:rsidRPr="00A672F4" w:rsidR="00492438">
        <w:t>plaintiff</w:t>
      </w:r>
      <w:r w:rsidRPr="00A672F4" w:rsidR="007F4682">
        <w:t>–</w:t>
      </w:r>
      <w:r w:rsidR="00492438">
        <w:t>does not constitute</w:t>
      </w:r>
      <w:r w:rsidR="00AE30D6">
        <w:t xml:space="preserve"> public</w:t>
      </w:r>
      <w:r w:rsidR="00492438">
        <w:t xml:space="preserve"> injunctive </w:t>
      </w:r>
      <w:r w:rsidR="00EF3158">
        <w:t>relief</w:t>
      </w:r>
      <w:r w:rsidR="00492438">
        <w:t>.</w:t>
      </w:r>
      <w:r w:rsidR="007F4682">
        <w:t>”</w:t>
      </w:r>
      <w:r w:rsidR="00492438">
        <w:t xml:space="preserve">  (</w:t>
      </w:r>
      <w:r w:rsidRPr="003E5475" w:rsidR="003E5475">
        <w:rPr>
          <w:i/>
          <w:iCs/>
        </w:rPr>
        <w:t>Ibid</w:t>
      </w:r>
      <w:r w:rsidR="003E5475">
        <w:t>.)</w:t>
      </w:r>
      <w:r w:rsidR="00492438">
        <w:t xml:space="preserve"> </w:t>
      </w:r>
    </w:p>
    <w:p w:rsidR="006305A9" w:rsidP="00AA068A" w14:paraId="7BAB003D" w14:textId="255D63F5">
      <w:r>
        <w:tab/>
      </w:r>
      <w:r w:rsidR="00757B5A">
        <w:t>McGill</w:t>
      </w:r>
      <w:r>
        <w:t xml:space="preserve"> opened a credit card account with</w:t>
      </w:r>
      <w:r w:rsidR="00EB3696">
        <w:t xml:space="preserve"> </w:t>
      </w:r>
      <w:r>
        <w:t xml:space="preserve">Citibank and purchased a </w:t>
      </w:r>
      <w:r w:rsidR="004329B5">
        <w:t>credit protection</w:t>
      </w:r>
      <w:r>
        <w:t xml:space="preserve"> plan, which </w:t>
      </w:r>
      <w:r w:rsidR="003C092C">
        <w:t>permitted</w:t>
      </w:r>
      <w:r>
        <w:t xml:space="preserve"> </w:t>
      </w:r>
      <w:r w:rsidR="00487292">
        <w:t>her</w:t>
      </w:r>
      <w:r>
        <w:t xml:space="preserve"> to defer payments on the credit card </w:t>
      </w:r>
      <w:r w:rsidR="003C092C">
        <w:t>in a</w:t>
      </w:r>
      <w:r>
        <w:t xml:space="preserve"> qualifying event, such as long-term disability or unemployment. </w:t>
      </w:r>
      <w:r w:rsidR="003C520D">
        <w:t xml:space="preserve"> (</w:t>
      </w:r>
      <w:r w:rsidRPr="003C520D" w:rsidR="003C520D">
        <w:rPr>
          <w:i/>
          <w:iCs/>
        </w:rPr>
        <w:t>McGill</w:t>
      </w:r>
      <w:r w:rsidR="003C520D">
        <w:t xml:space="preserve">, </w:t>
      </w:r>
      <w:r w:rsidRPr="003C520D" w:rsidR="003C520D">
        <w:rPr>
          <w:i/>
          <w:iCs/>
        </w:rPr>
        <w:t>supra</w:t>
      </w:r>
      <w:r w:rsidR="003C520D">
        <w:t>, 2</w:t>
      </w:r>
      <w:r w:rsidR="00F15147">
        <w:t> </w:t>
      </w:r>
      <w:r w:rsidR="003C520D">
        <w:t>Cal.5th at p.</w:t>
      </w:r>
      <w:r w:rsidR="00B009A6">
        <w:t> </w:t>
      </w:r>
      <w:r w:rsidR="003C520D">
        <w:t>952.)</w:t>
      </w:r>
      <w:r>
        <w:t xml:space="preserve"> </w:t>
      </w:r>
      <w:r w:rsidR="003C520D">
        <w:t xml:space="preserve"> </w:t>
      </w:r>
      <w:r>
        <w:t xml:space="preserve">While </w:t>
      </w:r>
      <w:r w:rsidR="00540C5E">
        <w:t>McGill’</w:t>
      </w:r>
      <w:r>
        <w:t>s initial account</w:t>
      </w:r>
      <w:r w:rsidR="003C092C">
        <w:t>h</w:t>
      </w:r>
      <w:r>
        <w:t>older agreement did not contain an arbitration provision, such a provision was later added and</w:t>
      </w:r>
      <w:r w:rsidR="003C092C">
        <w:t xml:space="preserve"> </w:t>
      </w:r>
      <w:r w:rsidR="004329B5">
        <w:t xml:space="preserve">there </w:t>
      </w:r>
      <w:r w:rsidR="00BA5FDD">
        <w:t>wa</w:t>
      </w:r>
      <w:r w:rsidR="004329B5">
        <w:t xml:space="preserve">s no dispute </w:t>
      </w:r>
      <w:r w:rsidR="00BA6219">
        <w:t>that it</w:t>
      </w:r>
      <w:r w:rsidR="004329B5">
        <w:t xml:space="preserve"> </w:t>
      </w:r>
      <w:r w:rsidR="003C092C">
        <w:t>was</w:t>
      </w:r>
      <w:r>
        <w:t xml:space="preserve"> in effect during the relevant time period. </w:t>
      </w:r>
      <w:r w:rsidR="004B5822">
        <w:t xml:space="preserve"> (</w:t>
      </w:r>
      <w:r w:rsidR="003C520D">
        <w:t xml:space="preserve">See </w:t>
      </w:r>
      <w:r w:rsidRPr="003C520D" w:rsidR="003C520D">
        <w:rPr>
          <w:i/>
          <w:iCs/>
        </w:rPr>
        <w:t>id.</w:t>
      </w:r>
      <w:r w:rsidR="003C520D">
        <w:t xml:space="preserve"> at pp. 952-953</w:t>
      </w:r>
      <w:r w:rsidR="004B5822">
        <w:t xml:space="preserve">.) </w:t>
      </w:r>
    </w:p>
    <w:p w:rsidR="00597E95" w:rsidP="00AA068A" w14:paraId="1663BD06" w14:textId="5EA242DD">
      <w:r>
        <w:tab/>
      </w:r>
      <w:r w:rsidR="00540C5E">
        <w:t>McGill</w:t>
      </w:r>
      <w:r w:rsidR="00150DEA">
        <w:t xml:space="preserve"> </w:t>
      </w:r>
      <w:r w:rsidR="003C520D">
        <w:t>filed a</w:t>
      </w:r>
      <w:r>
        <w:t xml:space="preserve"> class action lawsuit against Citibank based on </w:t>
      </w:r>
      <w:r w:rsidR="00150DEA">
        <w:t>Citibank’s</w:t>
      </w:r>
      <w:r>
        <w:t xml:space="preserve"> marketing of </w:t>
      </w:r>
      <w:r w:rsidR="004B5822">
        <w:t>the</w:t>
      </w:r>
      <w:r>
        <w:t xml:space="preserve"> credit protect</w:t>
      </w:r>
      <w:r w:rsidR="00BA6219">
        <w:t>ion</w:t>
      </w:r>
      <w:r>
        <w:t xml:space="preserve"> plan</w:t>
      </w:r>
      <w:r w:rsidR="003C520D">
        <w:t xml:space="preserve"> and its handling of a claim </w:t>
      </w:r>
      <w:r w:rsidR="00540C5E">
        <w:t>she</w:t>
      </w:r>
      <w:r w:rsidR="00964E98">
        <w:t xml:space="preserve"> </w:t>
      </w:r>
      <w:r w:rsidR="00CD4176">
        <w:t xml:space="preserve">had </w:t>
      </w:r>
      <w:r w:rsidR="003C520D">
        <w:t xml:space="preserve">made under it </w:t>
      </w:r>
      <w:r w:rsidR="00D27D7F">
        <w:t>after</w:t>
      </w:r>
      <w:r w:rsidR="003C520D">
        <w:t xml:space="preserve"> she lost her job</w:t>
      </w:r>
      <w:r>
        <w:t>.</w:t>
      </w:r>
      <w:r w:rsidR="00964E98">
        <w:t xml:space="preserve">  (</w:t>
      </w:r>
      <w:r w:rsidRPr="00964E98" w:rsidR="00964E98">
        <w:rPr>
          <w:i/>
          <w:iCs/>
        </w:rPr>
        <w:t>McGill, supra</w:t>
      </w:r>
      <w:r w:rsidR="00964E98">
        <w:t xml:space="preserve">, 2 Cal.5th at p. 953.)  </w:t>
      </w:r>
      <w:r>
        <w:t xml:space="preserve">The complaint alleged </w:t>
      </w:r>
      <w:r w:rsidR="00150DEA">
        <w:t xml:space="preserve">various </w:t>
      </w:r>
      <w:r>
        <w:t xml:space="preserve">violations of </w:t>
      </w:r>
      <w:r w:rsidR="00150DEA">
        <w:t xml:space="preserve">California’s consumer protection laws, including the </w:t>
      </w:r>
      <w:r>
        <w:t>CLRA, UCL,</w:t>
      </w:r>
      <w:r w:rsidR="000C7A7D">
        <w:t xml:space="preserve"> and</w:t>
      </w:r>
      <w:r>
        <w:t xml:space="preserve"> </w:t>
      </w:r>
      <w:r w:rsidR="00964E98">
        <w:t xml:space="preserve">the </w:t>
      </w:r>
      <w:r>
        <w:t>false advertising law</w:t>
      </w:r>
      <w:r w:rsidR="00872DF3">
        <w:t>s</w:t>
      </w:r>
      <w:r w:rsidR="00964E98">
        <w:t>,</w:t>
      </w:r>
      <w:r>
        <w:t xml:space="preserve"> and sought</w:t>
      </w:r>
      <w:r w:rsidR="00487292">
        <w:t xml:space="preserve"> </w:t>
      </w:r>
      <w:r>
        <w:t xml:space="preserve">“an injunction prohibiting Citibank from continuing to engage in </w:t>
      </w:r>
      <w:r w:rsidR="00150DEA">
        <w:t>its</w:t>
      </w:r>
      <w:r>
        <w:t xml:space="preserve"> illegal and deceptive practices</w:t>
      </w:r>
      <w:r w:rsidR="00BA5FDD">
        <w:t>,</w:t>
      </w:r>
      <w:r>
        <w:t>”</w:t>
      </w:r>
      <w:r w:rsidR="00BA5FDD">
        <w:t xml:space="preserve"> in addition to other relief.</w:t>
      </w:r>
      <w:r>
        <w:t xml:space="preserve">  </w:t>
      </w:r>
      <w:r w:rsidR="00964E98">
        <w:t>(</w:t>
      </w:r>
      <w:r w:rsidRPr="00964E98" w:rsidR="00964E98">
        <w:rPr>
          <w:i/>
          <w:iCs/>
        </w:rPr>
        <w:t>Ibid</w:t>
      </w:r>
      <w:r w:rsidR="00964E98">
        <w:t xml:space="preserve">.)  </w:t>
      </w:r>
      <w:r>
        <w:t xml:space="preserve">Citibank </w:t>
      </w:r>
      <w:r w:rsidR="004D7FC0">
        <w:t>moved to</w:t>
      </w:r>
      <w:r>
        <w:t xml:space="preserve"> compel arbitration</w:t>
      </w:r>
      <w:r w:rsidR="00150DEA">
        <w:t xml:space="preserve"> based on the arbitration provision set forth in </w:t>
      </w:r>
      <w:r w:rsidR="00BF3925">
        <w:t xml:space="preserve">the </w:t>
      </w:r>
      <w:r w:rsidR="00150DEA">
        <w:t>accountholder agreement</w:t>
      </w:r>
      <w:r>
        <w:t xml:space="preserve">. </w:t>
      </w:r>
      <w:r w:rsidR="00AB4DC1">
        <w:t xml:space="preserve"> (</w:t>
      </w:r>
      <w:r w:rsidRPr="00AB4DC1" w:rsidR="00AB4DC1">
        <w:rPr>
          <w:i/>
          <w:iCs/>
        </w:rPr>
        <w:t>Id.</w:t>
      </w:r>
      <w:r w:rsidR="004D7FC0">
        <w:t xml:space="preserve"> </w:t>
      </w:r>
      <w:r w:rsidR="00AB4DC1">
        <w:t xml:space="preserve">at pp. 952-953.) </w:t>
      </w:r>
      <w:r>
        <w:t xml:space="preserve"> The trial court granted the petition in connection with </w:t>
      </w:r>
      <w:r w:rsidR="00540C5E">
        <w:t>McGill’s</w:t>
      </w:r>
      <w:r>
        <w:t xml:space="preserve"> monetary claims but denied </w:t>
      </w:r>
      <w:r w:rsidR="00487292">
        <w:t xml:space="preserve">it </w:t>
      </w:r>
      <w:r>
        <w:t xml:space="preserve">in connection with </w:t>
      </w:r>
      <w:r w:rsidR="00540C5E">
        <w:t xml:space="preserve">the </w:t>
      </w:r>
      <w:r>
        <w:t xml:space="preserve">requests for </w:t>
      </w:r>
      <w:r w:rsidR="00150DEA">
        <w:t>injunct</w:t>
      </w:r>
      <w:r w:rsidR="004D7FC0">
        <w:t>ion</w:t>
      </w:r>
      <w:r>
        <w:t xml:space="preserve"> under the CLRA, UCL, and false advertising laws.  The </w:t>
      </w:r>
      <w:r w:rsidR="00B55F83">
        <w:t>C</w:t>
      </w:r>
      <w:r>
        <w:t xml:space="preserve">ourt of </w:t>
      </w:r>
      <w:r w:rsidR="00B55F83">
        <w:t>A</w:t>
      </w:r>
      <w:r>
        <w:t xml:space="preserve">ppeal reversed, concluding that all of </w:t>
      </w:r>
      <w:r w:rsidR="00540C5E">
        <w:t>McGill’s</w:t>
      </w:r>
      <w:r>
        <w:t xml:space="preserve"> claims </w:t>
      </w:r>
      <w:r w:rsidR="00872DF3">
        <w:t xml:space="preserve">were </w:t>
      </w:r>
      <w:r>
        <w:t xml:space="preserve">subject to arbitration. </w:t>
      </w:r>
      <w:r w:rsidR="004D7FC0">
        <w:t xml:space="preserve"> (</w:t>
      </w:r>
      <w:r w:rsidRPr="004D7FC0" w:rsidR="004D7FC0">
        <w:rPr>
          <w:i/>
          <w:iCs/>
        </w:rPr>
        <w:t>Id.</w:t>
      </w:r>
      <w:r w:rsidR="004D7FC0">
        <w:t xml:space="preserve"> at p.</w:t>
      </w:r>
      <w:r w:rsidR="00D065DA">
        <w:t> </w:t>
      </w:r>
      <w:r w:rsidR="004D7FC0">
        <w:t>953.)</w:t>
      </w:r>
    </w:p>
    <w:p w:rsidR="002E5A16" w:rsidP="00AA068A" w14:paraId="19E2B649" w14:textId="2C37DB55">
      <w:r>
        <w:tab/>
      </w:r>
      <w:r w:rsidRPr="00446049">
        <w:t xml:space="preserve">The </w:t>
      </w:r>
      <w:r w:rsidR="00B55F83">
        <w:t>S</w:t>
      </w:r>
      <w:r w:rsidRPr="00446049">
        <w:t xml:space="preserve">upreme </w:t>
      </w:r>
      <w:r w:rsidR="00B55F83">
        <w:t>C</w:t>
      </w:r>
      <w:r w:rsidRPr="00446049">
        <w:t xml:space="preserve">ourt </w:t>
      </w:r>
      <w:r w:rsidR="00BA5FDD">
        <w:t xml:space="preserve">in turn </w:t>
      </w:r>
      <w:r w:rsidRPr="00446049">
        <w:t>reversed</w:t>
      </w:r>
      <w:r w:rsidR="00BA5FDD">
        <w:t xml:space="preserve"> the appellate court</w:t>
      </w:r>
      <w:r w:rsidRPr="00446049">
        <w:t>, holding that</w:t>
      </w:r>
      <w:r w:rsidRPr="00446049" w:rsidR="00872DF3">
        <w:t xml:space="preserve"> an</w:t>
      </w:r>
      <w:r w:rsidRPr="00446049">
        <w:t xml:space="preserve"> arbitration provision </w:t>
      </w:r>
      <w:r w:rsidRPr="00446049" w:rsidR="00872DF3">
        <w:t>that waives a</w:t>
      </w:r>
      <w:r w:rsidR="00872DF3">
        <w:t xml:space="preserve"> plaintiff’s right to seek public injunctive relief in any forum is </w:t>
      </w:r>
      <w:r w:rsidR="00D27D7F">
        <w:t>invalid and unenforceable.</w:t>
      </w:r>
      <w:r w:rsidR="00446049">
        <w:t xml:space="preserve">  (</w:t>
      </w:r>
      <w:r w:rsidRPr="00446049" w:rsidR="00446049">
        <w:rPr>
          <w:i/>
          <w:iCs/>
        </w:rPr>
        <w:t>McGill, supra</w:t>
      </w:r>
      <w:r w:rsidR="00446049">
        <w:t>, 2 Cal.5th at pp. 951-952.)</w:t>
      </w:r>
      <w:r w:rsidR="00872DF3">
        <w:t xml:space="preserve"> </w:t>
      </w:r>
      <w:r>
        <w:t xml:space="preserve"> </w:t>
      </w:r>
      <w:bookmarkStart w:id="2" w:name="_Hlk145776293"/>
      <w:r w:rsidR="00493C70">
        <w:t xml:space="preserve">The court then examined </w:t>
      </w:r>
      <w:r w:rsidR="00540C5E">
        <w:t xml:space="preserve">McGill’s </w:t>
      </w:r>
      <w:r w:rsidR="00493C70">
        <w:t>complaint</w:t>
      </w:r>
      <w:r w:rsidR="00C770BA">
        <w:t xml:space="preserve"> </w:t>
      </w:r>
      <w:r w:rsidR="00493C70">
        <w:t xml:space="preserve">to determine whether </w:t>
      </w:r>
      <w:r w:rsidR="00021B56">
        <w:t xml:space="preserve">it </w:t>
      </w:r>
      <w:r w:rsidR="008E3426">
        <w:t>sought public or private</w:t>
      </w:r>
      <w:r w:rsidR="00493C70">
        <w:t xml:space="preserve"> injunctive relief.  </w:t>
      </w:r>
      <w:r w:rsidR="00022032">
        <w:t>(</w:t>
      </w:r>
      <w:r w:rsidRPr="00022032" w:rsidR="00022032">
        <w:rPr>
          <w:i/>
          <w:iCs/>
        </w:rPr>
        <w:t>Id.</w:t>
      </w:r>
      <w:r w:rsidR="00022032">
        <w:t xml:space="preserve"> at p. 956.)  </w:t>
      </w:r>
      <w:r w:rsidR="009B063B">
        <w:t>The</w:t>
      </w:r>
      <w:r w:rsidR="00320F76">
        <w:t xml:space="preserve"> court provided two examples of </w:t>
      </w:r>
      <w:r w:rsidR="00021B56">
        <w:t>what</w:t>
      </w:r>
      <w:r w:rsidR="009B063B">
        <w:t xml:space="preserve"> it believed</w:t>
      </w:r>
      <w:r w:rsidR="00021B56">
        <w:t xml:space="preserve"> </w:t>
      </w:r>
      <w:r w:rsidR="00D27D7F">
        <w:t>constituted</w:t>
      </w:r>
      <w:r w:rsidR="00021B56">
        <w:t xml:space="preserve"> </w:t>
      </w:r>
      <w:r w:rsidR="00320F76">
        <w:t>public</w:t>
      </w:r>
      <w:r w:rsidR="00FB478F">
        <w:t xml:space="preserve"> </w:t>
      </w:r>
      <w:r w:rsidR="00320F76">
        <w:t>injuncti</w:t>
      </w:r>
      <w:r w:rsidR="00FB478F">
        <w:t>ve relief</w:t>
      </w:r>
      <w:r w:rsidR="00493C70">
        <w:t xml:space="preserve">.  </w:t>
      </w:r>
      <w:r w:rsidR="00FB478F">
        <w:t>“</w:t>
      </w:r>
      <w:r w:rsidR="00BA5FDD">
        <w:t>[A]</w:t>
      </w:r>
      <w:r w:rsidR="00320F76">
        <w:t>n injunction under the CLRA against a defendant’s deceptive methods, acts, and practices ‘generally benefit</w:t>
      </w:r>
      <w:r w:rsidR="00C770BA">
        <w:t>[</w:t>
      </w:r>
      <w:r w:rsidR="00320F76">
        <w:t>s</w:t>
      </w:r>
      <w:r w:rsidR="00C770BA">
        <w:t>]’</w:t>
      </w:r>
      <w:r w:rsidR="00320F76">
        <w:t xml:space="preserve"> the public </w:t>
      </w:r>
      <w:r w:rsidR="00022032">
        <w:t>‘</w:t>
      </w:r>
      <w:r w:rsidR="00320F76">
        <w:t>directly</w:t>
      </w:r>
      <w:r w:rsidR="00022032">
        <w:t>’</w:t>
      </w:r>
      <w:r w:rsidR="00320F76">
        <w:t xml:space="preserve"> by the elimination of deceptive practices and </w:t>
      </w:r>
      <w:r w:rsidR="00022032">
        <w:t>‘</w:t>
      </w:r>
      <w:r w:rsidR="00320F76">
        <w:t>wil</w:t>
      </w:r>
      <w:r w:rsidR="00022032">
        <w:t xml:space="preserve">l . . . </w:t>
      </w:r>
      <w:r w:rsidR="00320F76">
        <w:t>not benefit</w:t>
      </w:r>
      <w:r w:rsidR="00022032">
        <w:t>’</w:t>
      </w:r>
      <w:r w:rsidR="00320F76">
        <w:t xml:space="preserve"> the plaintiff </w:t>
      </w:r>
      <w:r w:rsidR="00022032">
        <w:t>‘</w:t>
      </w:r>
      <w:r w:rsidR="00320F76">
        <w:t>directly,</w:t>
      </w:r>
      <w:r w:rsidR="00022032">
        <w:t>’</w:t>
      </w:r>
      <w:r w:rsidR="00320F76">
        <w:t xml:space="preserve"> because the plaintiff has </w:t>
      </w:r>
      <w:r w:rsidR="00A513B0">
        <w:t>‘</w:t>
      </w:r>
      <w:r w:rsidR="00320F76">
        <w:t xml:space="preserve">already been injured, allegedly, by such practices and </w:t>
      </w:r>
      <w:r w:rsidR="00A513B0">
        <w:t>[</w:t>
      </w:r>
      <w:r w:rsidR="00320F76">
        <w:t>is</w:t>
      </w:r>
      <w:r w:rsidR="00A513B0">
        <w:t>]</w:t>
      </w:r>
      <w:r w:rsidR="00320F76">
        <w:t xml:space="preserve"> aware of them.</w:t>
      </w:r>
      <w:r w:rsidR="00A513B0">
        <w:t>’</w:t>
      </w:r>
      <w:r w:rsidR="00C770BA">
        <w:t xml:space="preserve"> </w:t>
      </w:r>
      <w:r w:rsidR="00B55F83">
        <w:t xml:space="preserve"> </w:t>
      </w:r>
      <w:r w:rsidR="00A513B0">
        <w:t>[</w:t>
      </w:r>
      <w:r w:rsidRPr="00A513B0" w:rsidR="00C770BA">
        <w:rPr>
          <w:i/>
          <w:iCs/>
        </w:rPr>
        <w:t>B</w:t>
      </w:r>
      <w:r w:rsidRPr="00A513B0" w:rsidR="00A513B0">
        <w:rPr>
          <w:i/>
          <w:iCs/>
        </w:rPr>
        <w:t>r</w:t>
      </w:r>
      <w:r w:rsidRPr="00A513B0" w:rsidR="00C770BA">
        <w:rPr>
          <w:i/>
          <w:iCs/>
        </w:rPr>
        <w:t>oughton</w:t>
      </w:r>
      <w:r w:rsidRPr="00A513B0" w:rsidR="00A513B0">
        <w:rPr>
          <w:i/>
          <w:iCs/>
        </w:rPr>
        <w:t>, supra</w:t>
      </w:r>
      <w:r w:rsidR="00A513B0">
        <w:t>, 21 Cal.4th at p. 1080, fn. 5]</w:t>
      </w:r>
      <w:r w:rsidR="00C770BA">
        <w:t>).</w:t>
      </w:r>
      <w:r w:rsidR="00320F76">
        <w:t>”</w:t>
      </w:r>
      <w:r w:rsidR="00C770BA">
        <w:t xml:space="preserve"> </w:t>
      </w:r>
      <w:r w:rsidR="00B55F83">
        <w:t xml:space="preserve"> </w:t>
      </w:r>
      <w:r w:rsidR="00C770BA">
        <w:t>(</w:t>
      </w:r>
      <w:r w:rsidR="00B55F83">
        <w:rPr>
          <w:i/>
          <w:iCs/>
        </w:rPr>
        <w:t>McGill</w:t>
      </w:r>
      <w:r w:rsidR="00B55F83">
        <w:t>,</w:t>
      </w:r>
      <w:r w:rsidR="00C770BA">
        <w:t xml:space="preserve"> at p. 955.)</w:t>
      </w:r>
      <w:r w:rsidR="00320F76">
        <w:t xml:space="preserve">  </w:t>
      </w:r>
      <w:r w:rsidR="00C770BA">
        <w:t>Likewise,</w:t>
      </w:r>
      <w:r w:rsidR="00320F76">
        <w:t xml:space="preserve"> “an injunction under the UCL or the false advertising law against deceptive advertising practices </w:t>
      </w:r>
      <w:r w:rsidR="00C770BA">
        <w:t>‘</w:t>
      </w:r>
      <w:r w:rsidR="00320F76">
        <w:t>is clearly for the benefit of</w:t>
      </w:r>
      <w:r w:rsidR="00C770BA">
        <w:t xml:space="preserve"> . . . </w:t>
      </w:r>
      <w:r w:rsidR="00320F76">
        <w:t>the general public</w:t>
      </w:r>
      <w:r w:rsidR="007F694C">
        <w:t>’; ‘</w:t>
      </w:r>
      <w:r w:rsidR="00320F76">
        <w:t xml:space="preserve">it is designed to prevent further harm to the public at large rather than to redress or prevent injury to </w:t>
      </w:r>
      <w:r w:rsidR="007F694C">
        <w:t xml:space="preserve">a </w:t>
      </w:r>
      <w:r w:rsidR="00320F76">
        <w:t>plaintiff.</w:t>
      </w:r>
      <w:r w:rsidR="00D27D7F">
        <w:t>’</w:t>
      </w:r>
      <w:r w:rsidR="00C770BA">
        <w:t xml:space="preserve"> </w:t>
      </w:r>
      <w:r w:rsidR="00B55F83">
        <w:t xml:space="preserve"> </w:t>
      </w:r>
      <w:r w:rsidR="00C770BA">
        <w:t>(</w:t>
      </w:r>
      <w:r w:rsidRPr="007F694C" w:rsidR="00C770BA">
        <w:rPr>
          <w:i/>
          <w:iCs/>
        </w:rPr>
        <w:t>Cruz</w:t>
      </w:r>
      <w:r w:rsidRPr="007F694C" w:rsidR="007F694C">
        <w:rPr>
          <w:i/>
          <w:iCs/>
        </w:rPr>
        <w:t>, supra</w:t>
      </w:r>
      <w:r w:rsidR="007F694C">
        <w:t>, 30 Cal.4th at pp. 315-316.</w:t>
      </w:r>
      <w:r w:rsidR="00C770BA">
        <w:t>)”</w:t>
      </w:r>
      <w:r w:rsidR="00B55F83">
        <w:t xml:space="preserve"> </w:t>
      </w:r>
      <w:r w:rsidR="00320F76">
        <w:t xml:space="preserve"> </w:t>
      </w:r>
      <w:bookmarkEnd w:id="2"/>
      <w:r w:rsidR="00C770BA">
        <w:t>(</w:t>
      </w:r>
      <w:r w:rsidR="00B55F83">
        <w:rPr>
          <w:i/>
          <w:iCs/>
        </w:rPr>
        <w:t>McGill</w:t>
      </w:r>
      <w:r w:rsidR="00B55F83">
        <w:t>, at p. 955</w:t>
      </w:r>
      <w:r w:rsidR="00C770BA">
        <w:t xml:space="preserve">.)  </w:t>
      </w:r>
    </w:p>
    <w:p w:rsidR="00AA068A" w:rsidP="00AA068A" w14:paraId="4EA32E12" w14:textId="4E1B7EE5">
      <w:r>
        <w:tab/>
      </w:r>
      <w:r w:rsidR="00C770BA">
        <w:t>The</w:t>
      </w:r>
      <w:r>
        <w:t xml:space="preserve"> </w:t>
      </w:r>
      <w:r w:rsidR="00C770BA">
        <w:t>court</w:t>
      </w:r>
      <w:r w:rsidR="004E7902">
        <w:t xml:space="preserve"> </w:t>
      </w:r>
      <w:r w:rsidR="003C092C">
        <w:t xml:space="preserve">concluded that </w:t>
      </w:r>
      <w:r w:rsidR="00540C5E">
        <w:t>McGill’s</w:t>
      </w:r>
      <w:r w:rsidR="00872DF3">
        <w:t xml:space="preserve"> </w:t>
      </w:r>
      <w:r w:rsidR="00FB478F">
        <w:t xml:space="preserve">requested relief </w:t>
      </w:r>
      <w:r>
        <w:t xml:space="preserve">“does, in fact, appear to seek the type of public injunctive relief that </w:t>
      </w:r>
      <w:r w:rsidRPr="004E7902">
        <w:rPr>
          <w:i/>
          <w:iCs/>
        </w:rPr>
        <w:t xml:space="preserve">Broughton </w:t>
      </w:r>
      <w:r w:rsidRPr="004E7902">
        <w:t xml:space="preserve">and </w:t>
      </w:r>
      <w:r w:rsidRPr="004E7902">
        <w:rPr>
          <w:i/>
          <w:iCs/>
        </w:rPr>
        <w:t>Cruz</w:t>
      </w:r>
      <w:r>
        <w:t xml:space="preserve"> identified.” </w:t>
      </w:r>
      <w:r w:rsidR="00B55F83">
        <w:t xml:space="preserve"> </w:t>
      </w:r>
      <w:r w:rsidR="00837956">
        <w:t>(</w:t>
      </w:r>
      <w:r w:rsidRPr="004E7902" w:rsidR="00837956">
        <w:rPr>
          <w:i/>
          <w:iCs/>
        </w:rPr>
        <w:t>McGill</w:t>
      </w:r>
      <w:r w:rsidR="00837956">
        <w:t xml:space="preserve">, </w:t>
      </w:r>
      <w:r w:rsidRPr="004E7902" w:rsidR="004E7902">
        <w:rPr>
          <w:i/>
          <w:iCs/>
        </w:rPr>
        <w:t>supra</w:t>
      </w:r>
      <w:r w:rsidRPr="00631AB6" w:rsidR="004E7902">
        <w:t>,</w:t>
      </w:r>
      <w:r w:rsidRPr="003E3E2B" w:rsidR="004E7902">
        <w:t xml:space="preserve"> </w:t>
      </w:r>
      <w:r w:rsidR="004E7902">
        <w:t xml:space="preserve">2 Cal.5th </w:t>
      </w:r>
      <w:r w:rsidR="00837956">
        <w:t>at</w:t>
      </w:r>
      <w:r w:rsidR="004E7902">
        <w:t xml:space="preserve"> p. 956</w:t>
      </w:r>
      <w:r w:rsidR="00837956">
        <w:t xml:space="preserve">.)  </w:t>
      </w:r>
      <w:r w:rsidR="00487292">
        <w:t>The</w:t>
      </w:r>
      <w:r w:rsidR="00872DF3">
        <w:t xml:space="preserve"> complaint</w:t>
      </w:r>
      <w:r w:rsidR="00837956">
        <w:t xml:space="preserve"> was brought under the consumer protection </w:t>
      </w:r>
      <w:r w:rsidR="004E7902">
        <w:t>statutes</w:t>
      </w:r>
      <w:r w:rsidRPr="009C6A37" w:rsidR="00B172B2">
        <w:t xml:space="preserve"> and alleged</w:t>
      </w:r>
      <w:r w:rsidR="00837956">
        <w:t xml:space="preserve"> </w:t>
      </w:r>
      <w:r w:rsidRPr="009C6A37" w:rsidR="00B172B2">
        <w:t>“unfair, deceptive, untrue, and misleading</w:t>
      </w:r>
      <w:r w:rsidR="004E7902">
        <w:t>”</w:t>
      </w:r>
      <w:r w:rsidRPr="009C6A37" w:rsidR="00B172B2">
        <w:t xml:space="preserve"> </w:t>
      </w:r>
      <w:r w:rsidRPr="009C6A37" w:rsidR="009C6A37">
        <w:t>advertising and marketing</w:t>
      </w:r>
      <w:r w:rsidR="00021B56">
        <w:t xml:space="preserve">, </w:t>
      </w:r>
      <w:r w:rsidR="00837956">
        <w:t>and “false, deceptive, and/or misleading” representations and omissions.</w:t>
      </w:r>
      <w:r w:rsidRPr="009C6A37" w:rsidR="009C6A37">
        <w:t xml:space="preserve"> </w:t>
      </w:r>
      <w:r w:rsidR="004E7902">
        <w:t xml:space="preserve"> (</w:t>
      </w:r>
      <w:r w:rsidRPr="004E7902" w:rsidR="004E7902">
        <w:rPr>
          <w:i/>
          <w:iCs/>
        </w:rPr>
        <w:t>Id.</w:t>
      </w:r>
      <w:r w:rsidR="004E7902">
        <w:t xml:space="preserve"> at pp. 956-957.)</w:t>
      </w:r>
      <w:r w:rsidR="00837956">
        <w:t xml:space="preserve"> </w:t>
      </w:r>
      <w:r w:rsidR="008B683E">
        <w:t xml:space="preserve"> </w:t>
      </w:r>
      <w:r w:rsidR="00FB478F">
        <w:t>The</w:t>
      </w:r>
      <w:r w:rsidRPr="009C6A37" w:rsidR="009C6A37">
        <w:t xml:space="preserve"> complaint</w:t>
      </w:r>
      <w:r w:rsidR="00FB478F">
        <w:t xml:space="preserve"> </w:t>
      </w:r>
      <w:r w:rsidR="00837956">
        <w:t xml:space="preserve">sought </w:t>
      </w:r>
      <w:r w:rsidR="00021B56">
        <w:t>an injunction</w:t>
      </w:r>
      <w:r w:rsidRPr="009C6A37" w:rsidR="00B172B2">
        <w:t xml:space="preserve"> </w:t>
      </w:r>
      <w:r w:rsidRPr="009C6A37" w:rsidR="009C6A37">
        <w:t xml:space="preserve">“to ensure compliance” with </w:t>
      </w:r>
      <w:r w:rsidR="00837956">
        <w:t>these laws</w:t>
      </w:r>
      <w:r w:rsidRPr="009C6A37" w:rsidR="009C6A37">
        <w:t xml:space="preserve">, and to enjoin Citibank from </w:t>
      </w:r>
      <w:r w:rsidR="00837956">
        <w:t>“</w:t>
      </w:r>
      <w:r w:rsidRPr="009C6A37" w:rsidR="009C6A37">
        <w:t>continuing to falsely advertise or conceal material information</w:t>
      </w:r>
      <w:r w:rsidR="00837956">
        <w:t xml:space="preserve"> and conduct business via the unlawful and unfair business acts and practice complained herein</w:t>
      </w:r>
      <w:r w:rsidRPr="009C6A37" w:rsidR="009C6A37">
        <w:t>.”</w:t>
      </w:r>
      <w:r w:rsidR="00837956">
        <w:t xml:space="preserve"> </w:t>
      </w:r>
      <w:r w:rsidR="00B55F83">
        <w:t xml:space="preserve"> </w:t>
      </w:r>
      <w:r w:rsidR="00837956">
        <w:t>(</w:t>
      </w:r>
      <w:r w:rsidRPr="004E7902" w:rsidR="004E7902">
        <w:rPr>
          <w:i/>
          <w:iCs/>
        </w:rPr>
        <w:t>Id.</w:t>
      </w:r>
      <w:r w:rsidR="00837956">
        <w:t xml:space="preserve"> at p. 957.)</w:t>
      </w:r>
      <w:r w:rsidR="00D27D7F">
        <w:t xml:space="preserve">  </w:t>
      </w:r>
      <w:r w:rsidRPr="009C6A37" w:rsidR="009C6A37">
        <w:t xml:space="preserve">“In light of these </w:t>
      </w:r>
      <w:r w:rsidRPr="009C6A37" w:rsidR="002D75B0">
        <w:t>allegations</w:t>
      </w:r>
      <w:r w:rsidRPr="009C6A37" w:rsidR="009C6A37">
        <w:t xml:space="preserve"> and </w:t>
      </w:r>
      <w:r w:rsidRPr="009C6A37" w:rsidR="002D75B0">
        <w:t>requests</w:t>
      </w:r>
      <w:r w:rsidRPr="009C6A37" w:rsidR="009C6A37">
        <w:t xml:space="preserve"> for relief</w:t>
      </w:r>
      <w:r w:rsidR="004E7902">
        <w:t xml:space="preserve"> . . . </w:t>
      </w:r>
      <w:r w:rsidRPr="009C6A37" w:rsidR="009C6A37">
        <w:t xml:space="preserve">we disagree with Citibank that </w:t>
      </w:r>
      <w:r w:rsidR="0015794E">
        <w:t xml:space="preserve">McGill </w:t>
      </w:r>
      <w:r w:rsidRPr="009C6A37" w:rsidR="009C6A37">
        <w:t>ha</w:t>
      </w:r>
      <w:r w:rsidR="004E7902">
        <w:t>s</w:t>
      </w:r>
      <w:r w:rsidRPr="009C6A37" w:rsidR="009C6A37">
        <w:t xml:space="preserve"> failed </w:t>
      </w:r>
      <w:r w:rsidR="004E7902">
        <w:t xml:space="preserve">adequately . . . ‘to </w:t>
      </w:r>
      <w:r w:rsidRPr="009C6A37" w:rsidR="009C6A37">
        <w:t>explain how the public at large would benefit from</w:t>
      </w:r>
      <w:r w:rsidR="004E7902">
        <w:t>’</w:t>
      </w:r>
      <w:r w:rsidRPr="009C6A37" w:rsidR="009C6A37">
        <w:t xml:space="preserve"> that relief.”  (</w:t>
      </w:r>
      <w:r w:rsidRPr="004E7902" w:rsidR="004E7902">
        <w:rPr>
          <w:i/>
          <w:iCs/>
        </w:rPr>
        <w:t>Ibid</w:t>
      </w:r>
      <w:r w:rsidRPr="009C6A37" w:rsidR="009C6A37">
        <w:t xml:space="preserve">.) </w:t>
      </w:r>
      <w:r w:rsidRPr="009C6A37" w:rsidR="00B172B2">
        <w:t xml:space="preserve"> </w:t>
      </w:r>
    </w:p>
    <w:p w:rsidR="00DD228B" w:rsidP="0028734D" w14:paraId="4E9F2ECB" w14:textId="76284EF0">
      <w:r>
        <w:tab/>
      </w:r>
      <w:r w:rsidRPr="00E81CBA" w:rsidR="00B4378F">
        <w:t>As</w:t>
      </w:r>
      <w:r w:rsidRPr="00E81CBA" w:rsidR="00FB478F">
        <w:t xml:space="preserve"> </w:t>
      </w:r>
      <w:r w:rsidRPr="00E81CBA" w:rsidR="003D4A46">
        <w:t xml:space="preserve">in </w:t>
      </w:r>
      <w:r w:rsidRPr="00E81CBA" w:rsidR="003D4A46">
        <w:rPr>
          <w:i/>
          <w:iCs/>
        </w:rPr>
        <w:t>McGill</w:t>
      </w:r>
      <w:r w:rsidRPr="00E81CBA" w:rsidR="003D4A46">
        <w:t>,</w:t>
      </w:r>
      <w:r w:rsidRPr="00E81CBA">
        <w:t xml:space="preserve"> </w:t>
      </w:r>
      <w:r w:rsidRPr="00E81CBA" w:rsidR="00320F76">
        <w:t>Ramsey</w:t>
      </w:r>
      <w:r w:rsidR="00CD4176">
        <w:t xml:space="preserve"> </w:t>
      </w:r>
      <w:r w:rsidRPr="00E81CBA" w:rsidR="00320F76">
        <w:t>allege</w:t>
      </w:r>
      <w:r w:rsidR="008E3426">
        <w:t xml:space="preserve">s </w:t>
      </w:r>
      <w:r w:rsidRPr="00E81CBA" w:rsidR="00320F76">
        <w:t xml:space="preserve">violations of </w:t>
      </w:r>
      <w:r w:rsidR="0011102B">
        <w:t>California’s</w:t>
      </w:r>
      <w:r w:rsidRPr="00E81CBA" w:rsidR="0011102B">
        <w:t xml:space="preserve"> </w:t>
      </w:r>
      <w:r w:rsidRPr="00E81CBA" w:rsidR="00BC3D70">
        <w:t>consumer</w:t>
      </w:r>
      <w:r w:rsidR="00BC3D70">
        <w:t xml:space="preserve"> protection statutes–specifically, the </w:t>
      </w:r>
      <w:r w:rsidR="00320F76">
        <w:t>CLRA and UCL.</w:t>
      </w:r>
      <w:r w:rsidR="00E81CBA">
        <w:t xml:space="preserve">  </w:t>
      </w:r>
      <w:r w:rsidR="00320F76">
        <w:t>The complaint</w:t>
      </w:r>
      <w:r w:rsidR="00A65DAF">
        <w:t xml:space="preserve"> similarly</w:t>
      </w:r>
      <w:r w:rsidR="003E3327">
        <w:t xml:space="preserve"> </w:t>
      </w:r>
      <w:r w:rsidR="00D44CBA">
        <w:t>s</w:t>
      </w:r>
      <w:r w:rsidR="008E3426">
        <w:t>eeks</w:t>
      </w:r>
      <w:r w:rsidR="00D44CBA">
        <w:t xml:space="preserve"> </w:t>
      </w:r>
      <w:r w:rsidR="00B62277">
        <w:t>injunctive relief that “has the primary purpose and effect of prohibiting unlawful acts that threaten future injury to the general public.”</w:t>
      </w:r>
      <w:r w:rsidR="00B55F83">
        <w:t xml:space="preserve"> </w:t>
      </w:r>
      <w:r w:rsidR="00B62277">
        <w:t xml:space="preserve"> (</w:t>
      </w:r>
      <w:r w:rsidRPr="00E81CBA" w:rsidR="00B62277">
        <w:rPr>
          <w:i/>
          <w:iCs/>
        </w:rPr>
        <w:t>McGill,</w:t>
      </w:r>
      <w:r w:rsidRPr="00E81CBA" w:rsidR="00E81CBA">
        <w:rPr>
          <w:i/>
          <w:iCs/>
        </w:rPr>
        <w:t xml:space="preserve"> supra</w:t>
      </w:r>
      <w:r w:rsidR="00E81CBA">
        <w:t>, 2 Cal.5th</w:t>
      </w:r>
      <w:r w:rsidR="00B62277">
        <w:t xml:space="preserve"> at p. 955.) </w:t>
      </w:r>
      <w:r w:rsidR="00802555">
        <w:t xml:space="preserve"> </w:t>
      </w:r>
      <w:r>
        <w:t xml:space="preserve">For example, </w:t>
      </w:r>
      <w:r w:rsidR="00F9116A">
        <w:t>as</w:t>
      </w:r>
      <w:r>
        <w:t xml:space="preserve"> in </w:t>
      </w:r>
      <w:r w:rsidRPr="00CC0C95">
        <w:rPr>
          <w:i/>
          <w:iCs/>
        </w:rPr>
        <w:t>McGill</w:t>
      </w:r>
      <w:r>
        <w:t xml:space="preserve">, </w:t>
      </w:r>
      <w:r w:rsidR="00F9116A">
        <w:t>where</w:t>
      </w:r>
      <w:r w:rsidR="0015794E">
        <w:t xml:space="preserve"> the</w:t>
      </w:r>
      <w:r w:rsidR="00F9116A">
        <w:t xml:space="preserve"> plaintiff </w:t>
      </w:r>
      <w:r>
        <w:t>sought to enjoin unfair and deceptive marketing practices and ensure Citibank’s future compliance with consumer protection laws,</w:t>
      </w:r>
      <w:r w:rsidR="00B62277">
        <w:t xml:space="preserve"> Ramsey</w:t>
      </w:r>
      <w:r w:rsidR="004C6BDD">
        <w:t>’s complaint</w:t>
      </w:r>
      <w:r w:rsidR="008E3426">
        <w:t xml:space="preserve"> seeks to</w:t>
      </w:r>
      <w:r w:rsidR="00B62277">
        <w:t xml:space="preserve"> </w:t>
      </w:r>
      <w:r w:rsidR="00021926">
        <w:t xml:space="preserve">(1) </w:t>
      </w:r>
      <w:r w:rsidR="00C74F81">
        <w:t>enjoin Comcast</w:t>
      </w:r>
      <w:r w:rsidR="00681D0D">
        <w:t xml:space="preserve"> </w:t>
      </w:r>
      <w:r w:rsidR="00C74F81">
        <w:t>from engaging in “unfair</w:t>
      </w:r>
      <w:r w:rsidR="00021926">
        <w:t xml:space="preserve"> or deceptive acts or practices</w:t>
      </w:r>
      <w:r w:rsidR="00320F76">
        <w:t xml:space="preserve"> and correcting all false and misleading statements</w:t>
      </w:r>
      <w:r w:rsidR="00E81CBA">
        <w:t xml:space="preserve"> and material omissions</w:t>
      </w:r>
      <w:r w:rsidR="00320F76">
        <w:t xml:space="preserve"> </w:t>
      </w:r>
      <w:r w:rsidR="00021926">
        <w:t>. . . to prevent future</w:t>
      </w:r>
      <w:r>
        <w:t xml:space="preserve"> </w:t>
      </w:r>
      <w:r w:rsidR="00021926">
        <w:t xml:space="preserve">injury to the </w:t>
      </w:r>
      <w:r w:rsidR="00C74F81">
        <w:t>general</w:t>
      </w:r>
      <w:r w:rsidR="00021926">
        <w:t xml:space="preserve"> public</w:t>
      </w:r>
      <w:r w:rsidR="00C74F81">
        <w:t>”</w:t>
      </w:r>
      <w:r w:rsidR="00021926">
        <w:t xml:space="preserve">; (2) </w:t>
      </w:r>
      <w:r w:rsidR="00C74F81">
        <w:t>require Comcast</w:t>
      </w:r>
      <w:r w:rsidR="00681D0D">
        <w:t xml:space="preserve"> </w:t>
      </w:r>
      <w:r w:rsidR="00021926">
        <w:t xml:space="preserve">to </w:t>
      </w:r>
      <w:r w:rsidR="00C74F81">
        <w:t>“</w:t>
      </w:r>
      <w:r w:rsidR="00021926">
        <w:t>halt their practice of issuing secret discounts</w:t>
      </w:r>
      <w:r w:rsidR="00C74F81">
        <w:t>”</w:t>
      </w:r>
      <w:r w:rsidR="008B683E">
        <w:t>;</w:t>
      </w:r>
      <w:r w:rsidR="00C74F81">
        <w:t xml:space="preserve"> (3) require Comcast</w:t>
      </w:r>
      <w:r w:rsidR="00681D0D">
        <w:t xml:space="preserve"> </w:t>
      </w:r>
      <w:r w:rsidR="00C74F81">
        <w:t>to “</w:t>
      </w:r>
      <w:r w:rsidR="00021926">
        <w:t xml:space="preserve">comply with their legal obligations and </w:t>
      </w:r>
      <w:r w:rsidR="00C74F81">
        <w:t>utilize</w:t>
      </w:r>
      <w:r w:rsidR="00021926">
        <w:t xml:space="preserve"> only truthful and complete advertisements, statements, and representations</w:t>
      </w:r>
      <w:r w:rsidR="00D27D7F">
        <w:t>”</w:t>
      </w:r>
      <w:r w:rsidR="008B683E">
        <w:t>;</w:t>
      </w:r>
      <w:r w:rsidR="00B62277">
        <w:t xml:space="preserve"> and (4) enjoin Comcast from “continuing their unlawful and unfair business practices.”</w:t>
      </w:r>
      <w:r w:rsidR="008E3426">
        <w:t xml:space="preserve"> </w:t>
      </w:r>
    </w:p>
    <w:p w:rsidR="003D4A46" w:rsidP="0028734D" w14:paraId="72411CB2" w14:textId="5135C567">
      <w:r>
        <w:tab/>
      </w:r>
      <w:r w:rsidR="00F9116A">
        <w:t>A</w:t>
      </w:r>
      <w:r w:rsidR="009B063B">
        <w:t>n injunction</w:t>
      </w:r>
      <w:r w:rsidR="00565AD3">
        <w:t xml:space="preserve"> that </w:t>
      </w:r>
      <w:r w:rsidR="00802555">
        <w:t>seek</w:t>
      </w:r>
      <w:r w:rsidR="009B063B">
        <w:t>s</w:t>
      </w:r>
      <w:r w:rsidR="00802555">
        <w:t xml:space="preserve"> to </w:t>
      </w:r>
      <w:r w:rsidR="0028734D">
        <w:t>p</w:t>
      </w:r>
      <w:r w:rsidR="00822485">
        <w:t xml:space="preserve">rohibit a business from engaging in </w:t>
      </w:r>
      <w:r w:rsidR="000A5464">
        <w:t xml:space="preserve">unfair or </w:t>
      </w:r>
      <w:r w:rsidR="0028734D">
        <w:t>deceptive</w:t>
      </w:r>
      <w:r w:rsidR="00822485">
        <w:t xml:space="preserve"> practices</w:t>
      </w:r>
      <w:r>
        <w:t xml:space="preserve"> and marketing</w:t>
      </w:r>
      <w:r w:rsidR="0028734D">
        <w:t>, requir</w:t>
      </w:r>
      <w:r w:rsidR="00565AD3">
        <w:t>e</w:t>
      </w:r>
      <w:r w:rsidR="009B063B">
        <w:t>s</w:t>
      </w:r>
      <w:r w:rsidR="00565AD3">
        <w:t xml:space="preserve"> </w:t>
      </w:r>
      <w:r w:rsidR="0028734D">
        <w:t>it to provide</w:t>
      </w:r>
      <w:r w:rsidR="008B683E">
        <w:t xml:space="preserve"> enhanced</w:t>
      </w:r>
      <w:r w:rsidR="0028734D">
        <w:t xml:space="preserve"> pricing transparency</w:t>
      </w:r>
      <w:r w:rsidR="009B063B">
        <w:t xml:space="preserve">, </w:t>
      </w:r>
      <w:r w:rsidR="0028734D">
        <w:t>and requi</w:t>
      </w:r>
      <w:r w:rsidR="00565AD3">
        <w:t>re</w:t>
      </w:r>
      <w:r w:rsidR="000A5464">
        <w:t>s</w:t>
      </w:r>
      <w:r w:rsidR="0028734D">
        <w:t xml:space="preserve"> </w:t>
      </w:r>
      <w:r w:rsidR="008B683E">
        <w:t>it</w:t>
      </w:r>
      <w:r w:rsidR="0028734D">
        <w:t xml:space="preserve"> to comply with </w:t>
      </w:r>
      <w:r w:rsidR="00E81CBA">
        <w:t xml:space="preserve">our </w:t>
      </w:r>
      <w:r w:rsidR="00565AD3">
        <w:t>consumer protection laws</w:t>
      </w:r>
      <w:r w:rsidR="0028734D">
        <w:t xml:space="preserve">, </w:t>
      </w:r>
      <w:r w:rsidR="009B063B">
        <w:t>does have</w:t>
      </w:r>
      <w:r w:rsidR="0028734D">
        <w:t xml:space="preserve"> the primary purpose </w:t>
      </w:r>
      <w:r w:rsidR="008B683E">
        <w:t xml:space="preserve">and effect </w:t>
      </w:r>
      <w:r w:rsidR="0028734D">
        <w:t>of protecting the public</w:t>
      </w:r>
      <w:r w:rsidR="004C6BDD">
        <w:t>,</w:t>
      </w:r>
      <w:r w:rsidR="0028734D">
        <w:t xml:space="preserve"> </w:t>
      </w:r>
      <w:r w:rsidR="00E81CBA">
        <w:t>and</w:t>
      </w:r>
      <w:r w:rsidR="004C6BDD">
        <w:t xml:space="preserve"> thus</w:t>
      </w:r>
      <w:r w:rsidR="00E81CBA">
        <w:t xml:space="preserve"> </w:t>
      </w:r>
      <w:r w:rsidR="0028734D">
        <w:t xml:space="preserve">falls within </w:t>
      </w:r>
      <w:r w:rsidRPr="00E81CBA" w:rsidR="008B683E">
        <w:rPr>
          <w:i/>
          <w:iCs/>
        </w:rPr>
        <w:t>McGill’s</w:t>
      </w:r>
      <w:r w:rsidRPr="00E81CBA" w:rsidR="0028734D">
        <w:rPr>
          <w:i/>
          <w:iCs/>
        </w:rPr>
        <w:t xml:space="preserve"> </w:t>
      </w:r>
      <w:r w:rsidR="0028734D">
        <w:t xml:space="preserve">definition of public injunctive relief. </w:t>
      </w:r>
    </w:p>
    <w:p w:rsidR="00FE4310" w:rsidRPr="00D7111C" w:rsidP="00631AB6" w14:paraId="268F5CE6" w14:textId="0FE3A0C6">
      <w:pPr>
        <w:pStyle w:val="ListParagraph"/>
        <w:numPr>
          <w:ilvl w:val="0"/>
          <w:numId w:val="12"/>
        </w:numPr>
        <w:spacing w:before="120" w:line="240" w:lineRule="auto"/>
        <w:rPr>
          <w:i/>
          <w:iCs/>
        </w:rPr>
      </w:pPr>
      <w:r w:rsidRPr="00D7111C">
        <w:rPr>
          <w:i/>
          <w:iCs/>
        </w:rPr>
        <w:t xml:space="preserve">An Injunction </w:t>
      </w:r>
      <w:r w:rsidRPr="00D7111C" w:rsidR="00DF4330">
        <w:rPr>
          <w:i/>
          <w:iCs/>
        </w:rPr>
        <w:t>T</w:t>
      </w:r>
      <w:r w:rsidRPr="00D7111C">
        <w:rPr>
          <w:i/>
          <w:iCs/>
        </w:rPr>
        <w:t>hat</w:t>
      </w:r>
      <w:r w:rsidRPr="00D7111C" w:rsidR="004B7131">
        <w:rPr>
          <w:i/>
          <w:iCs/>
        </w:rPr>
        <w:t xml:space="preserve"> Primarily</w:t>
      </w:r>
      <w:r w:rsidRPr="00D7111C">
        <w:rPr>
          <w:i/>
          <w:iCs/>
        </w:rPr>
        <w:t xml:space="preserve"> Benefits</w:t>
      </w:r>
      <w:r w:rsidRPr="00D7111C" w:rsidR="00D43249">
        <w:rPr>
          <w:i/>
          <w:iCs/>
        </w:rPr>
        <w:t xml:space="preserve"> </w:t>
      </w:r>
      <w:r w:rsidR="00DD1F7A">
        <w:rPr>
          <w:i/>
          <w:iCs/>
        </w:rPr>
        <w:t xml:space="preserve">Both </w:t>
      </w:r>
      <w:r w:rsidRPr="00D7111C" w:rsidR="00AB1AFF">
        <w:rPr>
          <w:i/>
          <w:iCs/>
        </w:rPr>
        <w:t xml:space="preserve">Subscribers and Potential Subscribers </w:t>
      </w:r>
      <w:r w:rsidR="000048D4">
        <w:rPr>
          <w:i/>
          <w:iCs/>
        </w:rPr>
        <w:t>I</w:t>
      </w:r>
      <w:r w:rsidRPr="00D7111C" w:rsidR="00E90850">
        <w:rPr>
          <w:i/>
          <w:iCs/>
        </w:rPr>
        <w:t>s a Public Injunction</w:t>
      </w:r>
      <w:r w:rsidRPr="00D7111C" w:rsidR="00F525F5">
        <w:rPr>
          <w:i/>
          <w:iCs/>
        </w:rPr>
        <w:t xml:space="preserve"> </w:t>
      </w:r>
    </w:p>
    <w:p w:rsidR="0066785C" w:rsidP="005345E9" w14:paraId="78C5AF9B" w14:textId="61FAF1AB">
      <w:r>
        <w:tab/>
      </w:r>
      <w:r w:rsidR="00565AD3">
        <w:t xml:space="preserve">Comcast </w:t>
      </w:r>
      <w:r w:rsidR="005E412C">
        <w:t xml:space="preserve">contends </w:t>
      </w:r>
      <w:r w:rsidR="00565AD3">
        <w:t xml:space="preserve">that Ramsey’s complaint does not seek </w:t>
      </w:r>
      <w:r w:rsidR="00E96F7C">
        <w:t xml:space="preserve">public injunctive relief </w:t>
      </w:r>
      <w:r w:rsidR="00565AD3">
        <w:t xml:space="preserve">because “any injunction flowing from Ramsey’s claims would, primarily–if not exclusively, benefit a limited group of existing Comcast subscribers whose promotional terms are coming to an end.” </w:t>
      </w:r>
      <w:r w:rsidR="00353A20">
        <w:t xml:space="preserve"> </w:t>
      </w:r>
      <w:r w:rsidR="00565AD3">
        <w:t xml:space="preserve">Specifically, Comcast argues that any injunctive relief </w:t>
      </w:r>
      <w:r w:rsidR="003C092C">
        <w:t>granted</w:t>
      </w:r>
      <w:r w:rsidR="000A0522">
        <w:t xml:space="preserve"> under the complaint</w:t>
      </w:r>
      <w:r w:rsidR="003C092C">
        <w:t xml:space="preserve"> </w:t>
      </w:r>
      <w:r w:rsidR="00565AD3">
        <w:t>would benefit only the following</w:t>
      </w:r>
      <w:r w:rsidR="005034E5">
        <w:t xml:space="preserve"> subset of</w:t>
      </w:r>
      <w:r w:rsidR="00565AD3">
        <w:t xml:space="preserve"> individuals:  “(1)</w:t>
      </w:r>
      <w:r w:rsidR="00353A20">
        <w:t> </w:t>
      </w:r>
      <w:r w:rsidR="00565AD3">
        <w:t>existing Comcast subscribers, (2) who currently receive services on a promotional rate term agreement, (3) who are far enough into that term to make a decision about their next contact, and (4) who would make a commitment to another fixed term subscription.”</w:t>
      </w:r>
      <w:r w:rsidR="00C7029D">
        <w:t xml:space="preserve"> </w:t>
      </w:r>
    </w:p>
    <w:p w:rsidR="00C7029D" w:rsidP="005345E9" w14:paraId="3458FFA3" w14:textId="4CAE0A06">
      <w:r>
        <w:tab/>
      </w:r>
      <w:r w:rsidR="00BA5FDD">
        <w:t xml:space="preserve">But </w:t>
      </w:r>
      <w:r w:rsidR="004E0001">
        <w:t xml:space="preserve">we conclude that </w:t>
      </w:r>
      <w:r w:rsidR="00BA5FDD">
        <w:t>t</w:t>
      </w:r>
      <w:r w:rsidR="00EC0CA0">
        <w:t xml:space="preserve">he scope of </w:t>
      </w:r>
      <w:r w:rsidR="003C092C">
        <w:t xml:space="preserve">the requested </w:t>
      </w:r>
      <w:r w:rsidR="005034E5">
        <w:t>injunction</w:t>
      </w:r>
      <w:r w:rsidR="001A6816">
        <w:t xml:space="preserve"> </w:t>
      </w:r>
      <w:r w:rsidR="00A055AF">
        <w:t>is</w:t>
      </w:r>
      <w:r w:rsidR="00EA21F0">
        <w:t xml:space="preserve"> </w:t>
      </w:r>
      <w:r w:rsidR="00C06976">
        <w:t xml:space="preserve">not </w:t>
      </w:r>
      <w:r w:rsidR="00EA21F0">
        <w:t>so</w:t>
      </w:r>
      <w:r w:rsidR="005034E5">
        <w:t xml:space="preserve"> constricted</w:t>
      </w:r>
      <w:r w:rsidR="00565AD3">
        <w:t xml:space="preserve">.  </w:t>
      </w:r>
      <w:r w:rsidR="00CD02C1">
        <w:t xml:space="preserve">As </w:t>
      </w:r>
      <w:r w:rsidR="00466494">
        <w:t>Ramsey’s</w:t>
      </w:r>
      <w:r w:rsidR="00F0005F">
        <w:t xml:space="preserve"> </w:t>
      </w:r>
      <w:r w:rsidR="005034E5">
        <w:t>complaint</w:t>
      </w:r>
      <w:r w:rsidR="000E57F2">
        <w:t xml:space="preserve"> s</w:t>
      </w:r>
      <w:r w:rsidR="00CD02C1">
        <w:t>ets forth</w:t>
      </w:r>
      <w:r w:rsidR="00427CFC">
        <w:t xml:space="preserve">, </w:t>
      </w:r>
      <w:r w:rsidR="005034E5">
        <w:t xml:space="preserve">“[r]easonable consumers . . . rely on the representations made by service providers in determining whether to purchase their </w:t>
      </w:r>
      <w:r w:rsidR="00427CFC">
        <w:t>services and</w:t>
      </w:r>
      <w:r w:rsidR="005034E5">
        <w:t xml:space="preserve"> consider that information important to their purchase decision.”</w:t>
      </w:r>
      <w:r w:rsidR="00353A20">
        <w:t xml:space="preserve"> </w:t>
      </w:r>
      <w:r w:rsidR="005034E5">
        <w:t xml:space="preserve"> </w:t>
      </w:r>
      <w:r w:rsidR="00466494">
        <w:t>Ramsey</w:t>
      </w:r>
      <w:r w:rsidR="00CD02C1">
        <w:t xml:space="preserve"> </w:t>
      </w:r>
      <w:r w:rsidR="00BA5FDD">
        <w:t>argues</w:t>
      </w:r>
      <w:r w:rsidR="00466494">
        <w:t xml:space="preserve"> that</w:t>
      </w:r>
      <w:r w:rsidR="005034E5">
        <w:t xml:space="preserve"> any consumer would want </w:t>
      </w:r>
      <w:r w:rsidR="00427CFC">
        <w:t xml:space="preserve">a </w:t>
      </w:r>
      <w:r w:rsidR="005034E5">
        <w:t xml:space="preserve">“complete and accurate </w:t>
      </w:r>
      <w:r w:rsidR="00427CFC">
        <w:t xml:space="preserve">representation of </w:t>
      </w:r>
      <w:r w:rsidR="005034E5">
        <w:t xml:space="preserve">what happens after </w:t>
      </w:r>
      <w:r w:rsidR="00427CFC">
        <w:t>promotional</w:t>
      </w:r>
      <w:r w:rsidR="005034E5">
        <w:t xml:space="preserve"> pricing ends, what other </w:t>
      </w:r>
      <w:r w:rsidR="00427CFC">
        <w:t xml:space="preserve">pricing </w:t>
      </w:r>
      <w:r w:rsidR="005034E5">
        <w:t xml:space="preserve">is available, further </w:t>
      </w:r>
      <w:r w:rsidR="00427CFC">
        <w:t xml:space="preserve">discounts, etc., </w:t>
      </w:r>
      <w:r w:rsidR="005034E5">
        <w:t>without misre</w:t>
      </w:r>
      <w:r w:rsidR="00427CFC">
        <w:t>presentations and concealment, when deciding whether to purchase such subscription services.</w:t>
      </w:r>
      <w:r w:rsidR="000A0522">
        <w:t>”</w:t>
      </w:r>
      <w:r w:rsidR="00353A20">
        <w:t xml:space="preserve"> </w:t>
      </w:r>
      <w:r w:rsidR="005034E5">
        <w:t xml:space="preserve"> Thus, </w:t>
      </w:r>
      <w:r w:rsidR="000A0522">
        <w:t>an injunction</w:t>
      </w:r>
      <w:r w:rsidR="005034E5">
        <w:t xml:space="preserve"> </w:t>
      </w:r>
      <w:r w:rsidR="0060637D">
        <w:t xml:space="preserve">that </w:t>
      </w:r>
      <w:r w:rsidR="005034E5">
        <w:t>prohibit</w:t>
      </w:r>
      <w:r w:rsidR="0060637D">
        <w:t>s</w:t>
      </w:r>
      <w:r w:rsidR="005034E5">
        <w:t xml:space="preserve"> Comcast from</w:t>
      </w:r>
      <w:r w:rsidR="00EA21F0">
        <w:t xml:space="preserve"> </w:t>
      </w:r>
      <w:r w:rsidR="005034E5">
        <w:t>engaging in “</w:t>
      </w:r>
      <w:r w:rsidR="00427CFC">
        <w:t>deceptive</w:t>
      </w:r>
      <w:r w:rsidR="00450512">
        <w:t xml:space="preserve"> acts and practices,” requir</w:t>
      </w:r>
      <w:r w:rsidR="0060637D">
        <w:t>es</w:t>
      </w:r>
      <w:r w:rsidR="00450512">
        <w:t xml:space="preserve"> Comcast to utilize “only truthful and complete adver</w:t>
      </w:r>
      <w:r w:rsidR="00427CFC">
        <w:t>tisements</w:t>
      </w:r>
      <w:r w:rsidR="00450512">
        <w:t>,</w:t>
      </w:r>
      <w:r w:rsidR="00427CFC">
        <w:t>”</w:t>
      </w:r>
      <w:r w:rsidR="00450512">
        <w:t xml:space="preserve"> </w:t>
      </w:r>
      <w:r w:rsidR="00EA21F0">
        <w:t xml:space="preserve">and </w:t>
      </w:r>
      <w:r w:rsidR="00427CFC">
        <w:t>requir</w:t>
      </w:r>
      <w:r w:rsidR="0060637D">
        <w:t xml:space="preserve">es </w:t>
      </w:r>
      <w:r w:rsidR="00427CFC">
        <w:t xml:space="preserve">Comcast to make consumers “aware of any and all price reductions and rebates,” </w:t>
      </w:r>
      <w:r w:rsidR="005034E5">
        <w:t>would benefit</w:t>
      </w:r>
      <w:r w:rsidR="00EA21F0">
        <w:t xml:space="preserve"> </w:t>
      </w:r>
      <w:r w:rsidR="00F525F5">
        <w:t>both</w:t>
      </w:r>
      <w:r w:rsidR="0089571D">
        <w:t xml:space="preserve"> </w:t>
      </w:r>
      <w:r w:rsidR="003C092C">
        <w:t>existing</w:t>
      </w:r>
      <w:r w:rsidR="0089571D">
        <w:t xml:space="preserve"> Comcast subscribers</w:t>
      </w:r>
      <w:r w:rsidR="0060637D">
        <w:t xml:space="preserve"> and </w:t>
      </w:r>
      <w:r w:rsidR="0089571D">
        <w:t xml:space="preserve">any member of the public who considers </w:t>
      </w:r>
      <w:r w:rsidR="00CD02C1">
        <w:t>signing up with</w:t>
      </w:r>
      <w:r w:rsidR="00F525F5">
        <w:t xml:space="preserve"> Comcast</w:t>
      </w:r>
      <w:r w:rsidR="0089571D">
        <w:t xml:space="preserve"> (i.e., potential subscribers)</w:t>
      </w:r>
      <w:r w:rsidR="003F2A7B">
        <w:t xml:space="preserve">.  This benefit would come in the form of </w:t>
      </w:r>
      <w:r w:rsidR="00F525F5">
        <w:t>more</w:t>
      </w:r>
      <w:r w:rsidR="005034E5">
        <w:t xml:space="preserve"> </w:t>
      </w:r>
      <w:r w:rsidR="00EA21F0">
        <w:t>accurate and transparent pricing options</w:t>
      </w:r>
      <w:r w:rsidR="007C5096">
        <w:t>,</w:t>
      </w:r>
      <w:r w:rsidR="00EA21F0">
        <w:t xml:space="preserve"> not only for the </w:t>
      </w:r>
      <w:r w:rsidR="00EF3D8B">
        <w:t xml:space="preserve">one-year </w:t>
      </w:r>
      <w:r w:rsidR="00EA21F0">
        <w:t xml:space="preserve">promotional term, </w:t>
      </w:r>
      <w:r w:rsidR="000E1676">
        <w:t xml:space="preserve">but for </w:t>
      </w:r>
      <w:r w:rsidR="001A6816">
        <w:t>the</w:t>
      </w:r>
      <w:r w:rsidR="003F2A7B">
        <w:t xml:space="preserve"> duration of </w:t>
      </w:r>
      <w:r w:rsidR="00F525F5">
        <w:t xml:space="preserve">the </w:t>
      </w:r>
      <w:r w:rsidR="0002656B">
        <w:t xml:space="preserve">consumer’s </w:t>
      </w:r>
      <w:r w:rsidR="00F525F5">
        <w:t>subscription</w:t>
      </w:r>
      <w:r w:rsidR="000E1676">
        <w:t xml:space="preserve">.  </w:t>
      </w:r>
      <w:r w:rsidR="007D4142">
        <w:t>Such enhanced transparency</w:t>
      </w:r>
      <w:r w:rsidR="00EE628B">
        <w:t xml:space="preserve">, in turn, </w:t>
      </w:r>
      <w:r w:rsidR="00BA5FDD">
        <w:t xml:space="preserve">would </w:t>
      </w:r>
      <w:r w:rsidR="00EE628B">
        <w:t>e</w:t>
      </w:r>
      <w:r w:rsidR="00F525F5">
        <w:t>nable</w:t>
      </w:r>
      <w:r w:rsidR="001865EE">
        <w:t xml:space="preserve"> subscribers and potential subscribers</w:t>
      </w:r>
      <w:r w:rsidR="0002656B">
        <w:t xml:space="preserve"> alike</w:t>
      </w:r>
      <w:r w:rsidR="0060637D">
        <w:t xml:space="preserve"> </w:t>
      </w:r>
      <w:r w:rsidR="00EA21F0">
        <w:t>t</w:t>
      </w:r>
      <w:r w:rsidR="000E1676">
        <w:t>o</w:t>
      </w:r>
      <w:r w:rsidR="00EA21F0">
        <w:t xml:space="preserve"> </w:t>
      </w:r>
      <w:r w:rsidR="005034E5">
        <w:t>make</w:t>
      </w:r>
      <w:r w:rsidR="000E1676">
        <w:t xml:space="preserve"> informed</w:t>
      </w:r>
      <w:r w:rsidR="00EC0CA0">
        <w:t xml:space="preserve"> decisions</w:t>
      </w:r>
      <w:r w:rsidR="00FA35AF">
        <w:t xml:space="preserve"> from the outset</w:t>
      </w:r>
      <w:r w:rsidR="000E1676">
        <w:t xml:space="preserve"> </w:t>
      </w:r>
      <w:r w:rsidR="00F0005F">
        <w:t>about</w:t>
      </w:r>
      <w:r w:rsidR="000E1676">
        <w:t xml:space="preserve"> whether</w:t>
      </w:r>
      <w:r w:rsidR="00A055AF">
        <w:t xml:space="preserve"> </w:t>
      </w:r>
      <w:r w:rsidR="000E1676">
        <w:t>to subscribe to Comcast, for how long</w:t>
      </w:r>
      <w:r w:rsidR="007F4C7F">
        <w:t xml:space="preserve">, and to compare Comcast prices </w:t>
      </w:r>
      <w:r w:rsidR="00CD02C1">
        <w:t xml:space="preserve">against </w:t>
      </w:r>
      <w:r w:rsidR="007F4C7F">
        <w:t>those of its competitors</w:t>
      </w:r>
      <w:r w:rsidR="008341C5">
        <w:t xml:space="preserve">.  </w:t>
      </w:r>
    </w:p>
    <w:p w:rsidR="006C552E" w:rsidP="008F3B0D" w14:paraId="7672E1A7" w14:textId="3D299C32">
      <w:r>
        <w:tab/>
      </w:r>
      <w:r w:rsidR="0066785C">
        <w:t>The issu</w:t>
      </w:r>
      <w:r w:rsidR="00FB30F1">
        <w:t>e,</w:t>
      </w:r>
      <w:r w:rsidR="0066785C">
        <w:t xml:space="preserve"> then, </w:t>
      </w:r>
      <w:r w:rsidR="00C7029D">
        <w:t>is</w:t>
      </w:r>
      <w:r w:rsidR="0066785C">
        <w:t xml:space="preserve"> whether </w:t>
      </w:r>
      <w:r w:rsidR="00B93048">
        <w:t>an injunction</w:t>
      </w:r>
      <w:r w:rsidR="0066785C">
        <w:t xml:space="preserve"> that benefits</w:t>
      </w:r>
      <w:r w:rsidR="00A20ED9">
        <w:t xml:space="preserve"> both</w:t>
      </w:r>
      <w:r w:rsidR="002478F7">
        <w:t xml:space="preserve"> </w:t>
      </w:r>
      <w:r w:rsidR="006E3606">
        <w:t>existing</w:t>
      </w:r>
      <w:r w:rsidR="004A521A">
        <w:t xml:space="preserve"> and </w:t>
      </w:r>
      <w:r w:rsidR="00B56FB1">
        <w:t>potential</w:t>
      </w:r>
      <w:r w:rsidR="00B93048">
        <w:t xml:space="preserve"> </w:t>
      </w:r>
      <w:r w:rsidR="00F525F5">
        <w:t xml:space="preserve">Comcast </w:t>
      </w:r>
      <w:r w:rsidR="0066785C">
        <w:t>subscribers</w:t>
      </w:r>
      <w:r w:rsidR="00C7029D">
        <w:t xml:space="preserve"> </w:t>
      </w:r>
      <w:r w:rsidR="001B7750">
        <w:t xml:space="preserve">qualifies </w:t>
      </w:r>
      <w:r w:rsidR="00B93048">
        <w:t xml:space="preserve">as a </w:t>
      </w:r>
      <w:r w:rsidR="0066785C">
        <w:t>public</w:t>
      </w:r>
      <w:r w:rsidR="00B93048">
        <w:t xml:space="preserve"> injunction</w:t>
      </w:r>
      <w:r w:rsidR="00F525F5">
        <w:t xml:space="preserve"> under </w:t>
      </w:r>
      <w:r w:rsidRPr="008F3B0D" w:rsidR="00F525F5">
        <w:rPr>
          <w:i/>
          <w:iCs/>
        </w:rPr>
        <w:t>McGill</w:t>
      </w:r>
      <w:r w:rsidR="001B7750">
        <w:t>.</w:t>
      </w:r>
      <w:r w:rsidR="0066785C">
        <w:t xml:space="preserve"> </w:t>
      </w:r>
      <w:r w:rsidR="00C7029D">
        <w:t xml:space="preserve"> On this </w:t>
      </w:r>
      <w:r w:rsidR="001865EE">
        <w:t>question</w:t>
      </w:r>
      <w:r w:rsidR="00C7029D">
        <w:t xml:space="preserve">, Ramsey urges us to follow </w:t>
      </w:r>
      <w:r w:rsidRPr="008F3B0D" w:rsidR="00EB6C6B">
        <w:rPr>
          <w:i/>
          <w:iCs/>
        </w:rPr>
        <w:t>Mejia</w:t>
      </w:r>
      <w:r w:rsidR="00EB6C6B">
        <w:t xml:space="preserve"> and </w:t>
      </w:r>
      <w:r w:rsidRPr="008F3B0D" w:rsidR="00EB6C6B">
        <w:rPr>
          <w:i/>
          <w:iCs/>
        </w:rPr>
        <w:t>Maldonado</w:t>
      </w:r>
      <w:r w:rsidR="00C7029D">
        <w:t>.</w:t>
      </w:r>
      <w:r w:rsidR="00353A20">
        <w:t xml:space="preserve"> </w:t>
      </w:r>
      <w:r w:rsidR="00B93048">
        <w:t xml:space="preserve"> </w:t>
      </w:r>
      <w:r w:rsidR="00C7029D">
        <w:t xml:space="preserve">Comcast </w:t>
      </w:r>
      <w:r w:rsidR="00233E38">
        <w:t>argues that we should reject</w:t>
      </w:r>
      <w:r w:rsidR="00C7029D">
        <w:t xml:space="preserve"> </w:t>
      </w:r>
      <w:r w:rsidRPr="008F3B0D" w:rsidR="00C7029D">
        <w:rPr>
          <w:i/>
          <w:iCs/>
        </w:rPr>
        <w:t xml:space="preserve">Mejia </w:t>
      </w:r>
      <w:r w:rsidRPr="0060637D" w:rsidR="00C7029D">
        <w:t xml:space="preserve">and </w:t>
      </w:r>
      <w:r w:rsidRPr="008F3B0D" w:rsidR="00C7029D">
        <w:rPr>
          <w:i/>
          <w:iCs/>
        </w:rPr>
        <w:t>Maldonado</w:t>
      </w:r>
      <w:r w:rsidR="00C7029D">
        <w:t xml:space="preserve"> in favor of </w:t>
      </w:r>
      <w:r w:rsidRPr="008F3B0D" w:rsidR="00CC5840">
        <w:rPr>
          <w:i/>
          <w:iCs/>
        </w:rPr>
        <w:t>Hodges v. Comcast Cable Communications, LLC</w:t>
      </w:r>
      <w:r w:rsidR="00CC5840">
        <w:t xml:space="preserve"> (9th Cir. 2021) 21 F.4th 535 (</w:t>
      </w:r>
      <w:r w:rsidRPr="008F3B0D" w:rsidR="00CC5840">
        <w:rPr>
          <w:i/>
          <w:iCs/>
        </w:rPr>
        <w:t>Hodges</w:t>
      </w:r>
      <w:r w:rsidR="00CC5840">
        <w:t>)</w:t>
      </w:r>
      <w:r w:rsidR="00C7029D">
        <w:t>.</w:t>
      </w:r>
      <w:r w:rsidR="007B2D89">
        <w:t xml:space="preserve"> </w:t>
      </w:r>
      <w:r w:rsidR="00C7029D">
        <w:t xml:space="preserve"> </w:t>
      </w:r>
      <w:r w:rsidR="004E0001">
        <w:t>W</w:t>
      </w:r>
      <w:r w:rsidRPr="00A20ED9" w:rsidR="00A20ED9">
        <w:t>e conclude that</w:t>
      </w:r>
      <w:r w:rsidRPr="00A20ED9" w:rsidR="00233E38">
        <w:t xml:space="preserve"> </w:t>
      </w:r>
      <w:r w:rsidRPr="008F3B0D" w:rsidR="005E1491">
        <w:rPr>
          <w:i/>
          <w:iCs/>
        </w:rPr>
        <w:t xml:space="preserve">Mejia </w:t>
      </w:r>
      <w:r w:rsidRPr="00A20ED9" w:rsidR="005E1491">
        <w:t xml:space="preserve">and </w:t>
      </w:r>
      <w:r w:rsidRPr="008F3B0D" w:rsidR="005E1491">
        <w:rPr>
          <w:i/>
          <w:iCs/>
        </w:rPr>
        <w:t>Maldonado</w:t>
      </w:r>
      <w:r w:rsidRPr="00A20ED9" w:rsidR="005E1491">
        <w:t xml:space="preserve"> </w:t>
      </w:r>
      <w:r w:rsidRPr="00A20ED9" w:rsidR="00A20ED9">
        <w:t>are</w:t>
      </w:r>
      <w:r w:rsidRPr="00A20ED9" w:rsidR="00233E38">
        <w:t xml:space="preserve"> </w:t>
      </w:r>
      <w:r w:rsidR="004E0001">
        <w:t xml:space="preserve">both persuasive </w:t>
      </w:r>
      <w:r>
        <w:t>and</w:t>
      </w:r>
      <w:r w:rsidRPr="00A20ED9">
        <w:t xml:space="preserve"> consistent</w:t>
      </w:r>
      <w:r w:rsidRPr="00A20ED9" w:rsidR="0060637D">
        <w:t xml:space="preserve"> with the </w:t>
      </w:r>
      <w:r w:rsidR="00B55F83">
        <w:t>S</w:t>
      </w:r>
      <w:r w:rsidRPr="00A20ED9" w:rsidR="0060637D">
        <w:t xml:space="preserve">upreme </w:t>
      </w:r>
      <w:r w:rsidR="00B55F83">
        <w:t>C</w:t>
      </w:r>
      <w:r w:rsidRPr="00A20ED9" w:rsidR="0060637D">
        <w:t xml:space="preserve">ourt’s </w:t>
      </w:r>
      <w:r w:rsidRPr="00A20ED9" w:rsidR="004C75A5">
        <w:t>decision</w:t>
      </w:r>
      <w:r w:rsidRPr="00A20ED9" w:rsidR="0060637D">
        <w:t xml:space="preserve"> in </w:t>
      </w:r>
      <w:r w:rsidRPr="008F3B0D" w:rsidR="0060637D">
        <w:rPr>
          <w:i/>
          <w:iCs/>
        </w:rPr>
        <w:t>McGill</w:t>
      </w:r>
      <w:r w:rsidRPr="008F3B0D" w:rsidR="004E0001">
        <w:rPr>
          <w:i/>
          <w:iCs/>
        </w:rPr>
        <w:t xml:space="preserve">.  </w:t>
      </w:r>
      <w:r w:rsidR="004E0001">
        <w:t>We thus</w:t>
      </w:r>
      <w:r w:rsidRPr="00A20ED9" w:rsidR="00A20ED9">
        <w:t xml:space="preserve"> decline to follow </w:t>
      </w:r>
      <w:r w:rsidRPr="008F3B0D" w:rsidR="00A20ED9">
        <w:rPr>
          <w:i/>
          <w:iCs/>
        </w:rPr>
        <w:t>Hodges</w:t>
      </w:r>
      <w:r w:rsidRPr="00A20ED9" w:rsidR="00A20ED9">
        <w:t xml:space="preserve">. </w:t>
      </w:r>
    </w:p>
    <w:p w:rsidR="00E80AB6" w:rsidRPr="006C552E" w:rsidP="006C552E" w14:paraId="1D12160D" w14:textId="00CAEEE4">
      <w:pPr>
        <w:pStyle w:val="ListParagraph"/>
        <w:numPr>
          <w:ilvl w:val="0"/>
          <w:numId w:val="15"/>
        </w:numPr>
        <w:rPr>
          <w:i/>
          <w:iCs/>
        </w:rPr>
      </w:pPr>
      <w:r w:rsidRPr="006C552E">
        <w:rPr>
          <w:i/>
          <w:iCs/>
        </w:rPr>
        <w:t xml:space="preserve">Mejia and Maldonado </w:t>
      </w:r>
    </w:p>
    <w:p w:rsidR="00CC46D2" w:rsidP="00E80AB6" w14:paraId="7BED4E60" w14:textId="13859EF0">
      <w:r>
        <w:tab/>
      </w:r>
      <w:r w:rsidR="00757B5A">
        <w:t>Mejia</w:t>
      </w:r>
      <w:r w:rsidR="00885D62">
        <w:t xml:space="preserve"> bought a used motorcycle from Del Amo (a dealership) and financed the purchase using a credit card he obtained </w:t>
      </w:r>
      <w:r w:rsidR="00DA50B0">
        <w:t>through the dealership</w:t>
      </w:r>
      <w:r w:rsidR="00885D62">
        <w:t xml:space="preserve">.  </w:t>
      </w:r>
      <w:r w:rsidR="001A3523">
        <w:t>(</w:t>
      </w:r>
      <w:r w:rsidRPr="00E80AB6" w:rsidR="001A3523">
        <w:rPr>
          <w:i/>
          <w:iCs/>
        </w:rPr>
        <w:t>Mejia</w:t>
      </w:r>
      <w:r w:rsidR="001A3523">
        <w:t xml:space="preserve">, </w:t>
      </w:r>
      <w:r w:rsidRPr="00E80AB6" w:rsidR="001A3523">
        <w:rPr>
          <w:i/>
          <w:iCs/>
        </w:rPr>
        <w:t>supra</w:t>
      </w:r>
      <w:r w:rsidR="001A3523">
        <w:t xml:space="preserve">, 54 Cal.App.5th at p. 694.)  </w:t>
      </w:r>
      <w:r w:rsidR="00885D62">
        <w:t xml:space="preserve">He subsequently </w:t>
      </w:r>
      <w:r w:rsidR="00DA50B0">
        <w:t>filed a class action complaint</w:t>
      </w:r>
      <w:r w:rsidR="00885D62">
        <w:t xml:space="preserve">, alleging that Del Amo violated </w:t>
      </w:r>
      <w:r w:rsidR="00DA50B0">
        <w:t>the Rees-Levering Automobile Sales Finance Act</w:t>
      </w:r>
      <w:r w:rsidR="003B7BF2">
        <w:t xml:space="preserve">, the CLRA, and the UCL </w:t>
      </w:r>
      <w:r w:rsidR="00885D62">
        <w:t xml:space="preserve">by </w:t>
      </w:r>
      <w:r w:rsidR="00DA50B0">
        <w:t>“</w:t>
      </w:r>
      <w:r w:rsidR="00885D62">
        <w:t xml:space="preserve">failing to provide </w:t>
      </w:r>
      <w:r w:rsidR="00DA50B0">
        <w:t>its consumers</w:t>
      </w:r>
      <w:r w:rsidR="00885D62">
        <w:t xml:space="preserve"> with a </w:t>
      </w:r>
      <w:r w:rsidRPr="00C17D00" w:rsidR="00885D62">
        <w:rPr>
          <w:i/>
          <w:iCs/>
        </w:rPr>
        <w:t>single document</w:t>
      </w:r>
      <w:r w:rsidR="00885D62">
        <w:t xml:space="preserve"> setting forth all the financing terms for motor vehicle purchase</w:t>
      </w:r>
      <w:r w:rsidR="00DA50B0">
        <w:t>s</w:t>
      </w:r>
      <w:r w:rsidR="00885D62">
        <w:t xml:space="preserve"> made with a conditional sale </w:t>
      </w:r>
      <w:r w:rsidR="00C17D00">
        <w:t>contract</w:t>
      </w:r>
      <w:r w:rsidR="00885D62">
        <w:t>.</w:t>
      </w:r>
      <w:r w:rsidR="00DA50B0">
        <w:t>”  (</w:t>
      </w:r>
      <w:r w:rsidRPr="00E80AB6" w:rsidR="00DA50B0">
        <w:rPr>
          <w:i/>
          <w:iCs/>
        </w:rPr>
        <w:t>Id.</w:t>
      </w:r>
      <w:r w:rsidR="00DA50B0">
        <w:t xml:space="preserve"> at p. 695.)</w:t>
      </w:r>
      <w:r w:rsidR="00885D62">
        <w:t xml:space="preserve"> </w:t>
      </w:r>
      <w:r w:rsidR="003B7BF2">
        <w:t xml:space="preserve"> </w:t>
      </w:r>
      <w:r>
        <w:t xml:space="preserve">Among </w:t>
      </w:r>
      <w:r w:rsidR="00EF3D8B">
        <w:t>other relief</w:t>
      </w:r>
      <w:r w:rsidR="00DA50B0">
        <w:t>,</w:t>
      </w:r>
      <w:r>
        <w:t xml:space="preserve"> </w:t>
      </w:r>
      <w:r w:rsidR="00DA50B0">
        <w:t xml:space="preserve">the complaint </w:t>
      </w:r>
      <w:r w:rsidR="00885D62">
        <w:t xml:space="preserve">sought an injunction prohibiting Del Amo from selling motor vehicles </w:t>
      </w:r>
      <w:r w:rsidR="00DA50B0">
        <w:t>“</w:t>
      </w:r>
      <w:r w:rsidR="00885D62">
        <w:t xml:space="preserve">without first providing the consumer </w:t>
      </w:r>
      <w:r w:rsidR="00DA50B0">
        <w:t>with a single document containing all of the agreements of Del Amo and the consumer with respect to the total cost and the terms of payment</w:t>
      </w:r>
      <w:r w:rsidR="00885D62">
        <w:t xml:space="preserve">.” </w:t>
      </w:r>
      <w:r w:rsidR="0028681F">
        <w:t xml:space="preserve"> </w:t>
      </w:r>
      <w:r w:rsidR="00885D62">
        <w:t>(</w:t>
      </w:r>
      <w:r w:rsidRPr="00E80AB6" w:rsidR="001A3523">
        <w:rPr>
          <w:i/>
          <w:iCs/>
        </w:rPr>
        <w:t>Ibid</w:t>
      </w:r>
      <w:r w:rsidRPr="00E80AB6" w:rsidR="00885D62">
        <w:rPr>
          <w:i/>
          <w:iCs/>
        </w:rPr>
        <w:t>.</w:t>
      </w:r>
      <w:r w:rsidR="00885D62">
        <w:t xml:space="preserve">)  </w:t>
      </w:r>
      <w:r w:rsidR="00DA50B0">
        <w:t xml:space="preserve">Del Amo moved to compel arbitration </w:t>
      </w:r>
      <w:r w:rsidR="006503E4">
        <w:t>based on</w:t>
      </w:r>
      <w:r w:rsidR="00DA50B0">
        <w:t xml:space="preserve"> the parties’</w:t>
      </w:r>
      <w:r w:rsidR="009B1CAF">
        <w:t xml:space="preserve"> prior</w:t>
      </w:r>
      <w:r w:rsidR="00DA50B0">
        <w:t xml:space="preserve"> </w:t>
      </w:r>
      <w:r w:rsidR="005701A3">
        <w:t>agreement,</w:t>
      </w:r>
      <w:r w:rsidR="00DA50B0">
        <w:t xml:space="preserve"> but the trial court denied </w:t>
      </w:r>
      <w:r w:rsidR="00A6606F">
        <w:t>the</w:t>
      </w:r>
      <w:r w:rsidR="00DA50B0">
        <w:t xml:space="preserve"> petition</w:t>
      </w:r>
      <w:r w:rsidR="00A6606F">
        <w:t>, holding that the arbitration provision</w:t>
      </w:r>
      <w:r w:rsidR="00654E17">
        <w:t xml:space="preserve"> was</w:t>
      </w:r>
      <w:r w:rsidR="00A6606F">
        <w:t xml:space="preserve"> unenforceable </w:t>
      </w:r>
      <w:r w:rsidR="001A3523">
        <w:t xml:space="preserve">under </w:t>
      </w:r>
      <w:r w:rsidRPr="00E80AB6" w:rsidR="001A3523">
        <w:rPr>
          <w:i/>
          <w:iCs/>
        </w:rPr>
        <w:t>McGill</w:t>
      </w:r>
      <w:r w:rsidR="00BF7BE7">
        <w:t>.  (</w:t>
      </w:r>
      <w:r w:rsidRPr="00E80AB6" w:rsidR="00BF7BE7">
        <w:rPr>
          <w:i/>
          <w:iCs/>
        </w:rPr>
        <w:t>Id.</w:t>
      </w:r>
      <w:r w:rsidR="00BF7BE7">
        <w:t xml:space="preserve"> at p</w:t>
      </w:r>
      <w:r w:rsidR="001A3523">
        <w:t>p</w:t>
      </w:r>
      <w:r w:rsidR="00BF7BE7">
        <w:t xml:space="preserve">. </w:t>
      </w:r>
      <w:r w:rsidR="001A3523">
        <w:t>693, 696-697</w:t>
      </w:r>
      <w:r w:rsidRPr="001A3523" w:rsidR="00BF7BE7">
        <w:t>.)</w:t>
      </w:r>
    </w:p>
    <w:p w:rsidR="00FF26E4" w:rsidP="005345E9" w14:paraId="4D6FBF3D" w14:textId="5FA0A58F">
      <w:r>
        <w:tab/>
      </w:r>
      <w:r w:rsidR="00A6606F">
        <w:t>On appeal,</w:t>
      </w:r>
      <w:r>
        <w:t xml:space="preserve"> Del Amo </w:t>
      </w:r>
      <w:r w:rsidR="00E604C5">
        <w:t xml:space="preserve">disputed that </w:t>
      </w:r>
      <w:r w:rsidR="0015794E">
        <w:t>Mejia</w:t>
      </w:r>
      <w:r w:rsidR="00E604C5">
        <w:t xml:space="preserve"> </w:t>
      </w:r>
      <w:r w:rsidR="007337CE">
        <w:t>sought</w:t>
      </w:r>
      <w:r w:rsidR="00E604C5">
        <w:t xml:space="preserve"> public injunctive relief, </w:t>
      </w:r>
      <w:r w:rsidR="008552FC">
        <w:t>a</w:t>
      </w:r>
      <w:r w:rsidR="007337CE">
        <w:t>rguing</w:t>
      </w:r>
      <w:r w:rsidR="008552FC">
        <w:t xml:space="preserve"> that</w:t>
      </w:r>
      <w:r w:rsidR="00E604C5">
        <w:t xml:space="preserve"> </w:t>
      </w:r>
      <w:r w:rsidR="007337CE">
        <w:t>t</w:t>
      </w:r>
      <w:r w:rsidR="00E604C5">
        <w:t>he requested injunction</w:t>
      </w:r>
      <w:r>
        <w:t xml:space="preserve"> </w:t>
      </w:r>
      <w:r w:rsidR="007337CE">
        <w:t xml:space="preserve">was private because it </w:t>
      </w:r>
      <w:r>
        <w:t xml:space="preserve">would benefit </w:t>
      </w:r>
      <w:r w:rsidR="00A6606F">
        <w:t>“</w:t>
      </w:r>
      <w:r>
        <w:t>only a narrow group of Del Amo customers–the class of similarly situated individuals who</w:t>
      </w:r>
      <w:r w:rsidR="00A6606F">
        <w:t>,</w:t>
      </w:r>
      <w:r>
        <w:t xml:space="preserve"> like</w:t>
      </w:r>
      <w:r w:rsidR="0015794E">
        <w:t xml:space="preserve"> Mejia</w:t>
      </w:r>
      <w:r w:rsidR="00A6606F">
        <w:t xml:space="preserve">, </w:t>
      </w:r>
      <w:r>
        <w:t xml:space="preserve">would buy a motorcycle from Del Amo with a conditional sales contract.”  </w:t>
      </w:r>
      <w:r w:rsidR="00A6606F">
        <w:t>(</w:t>
      </w:r>
      <w:r w:rsidRPr="00FB37DE" w:rsidR="00FB37DE">
        <w:rPr>
          <w:i/>
          <w:iCs/>
        </w:rPr>
        <w:t>Mejia, supra</w:t>
      </w:r>
      <w:r w:rsidR="00FB37DE">
        <w:t>,</w:t>
      </w:r>
      <w:r w:rsidR="00A6606F">
        <w:t xml:space="preserve"> </w:t>
      </w:r>
      <w:r w:rsidR="006B1BDD">
        <w:t>54</w:t>
      </w:r>
      <w:r w:rsidR="00003F6E">
        <w:t> </w:t>
      </w:r>
      <w:r w:rsidR="006B1BDD">
        <w:t xml:space="preserve">Cal.App.5th </w:t>
      </w:r>
      <w:r w:rsidR="00A6606F">
        <w:t xml:space="preserve">at p. </w:t>
      </w:r>
      <w:r w:rsidR="0015794E">
        <w:t>702</w:t>
      </w:r>
      <w:r w:rsidR="00A6606F">
        <w:t xml:space="preserve">.)  </w:t>
      </w:r>
      <w:r>
        <w:t xml:space="preserve">The </w:t>
      </w:r>
      <w:r w:rsidR="006B1BDD">
        <w:t>c</w:t>
      </w:r>
      <w:r>
        <w:t xml:space="preserve">ourt rejected </w:t>
      </w:r>
      <w:r w:rsidR="00654E17">
        <w:t>this</w:t>
      </w:r>
      <w:r>
        <w:t xml:space="preserve"> argument</w:t>
      </w:r>
      <w:r w:rsidR="00A6606F">
        <w:t xml:space="preserve"> </w:t>
      </w:r>
      <w:r w:rsidR="00DA50B0">
        <w:t>as “mak</w:t>
      </w:r>
      <w:r w:rsidR="00A6606F">
        <w:t>[ing]</w:t>
      </w:r>
      <w:r w:rsidR="00DA50B0">
        <w:t xml:space="preserve"> little sense</w:t>
      </w:r>
      <w:r>
        <w:t>,</w:t>
      </w:r>
      <w:r w:rsidR="00DA50B0">
        <w:t>”</w:t>
      </w:r>
      <w:r>
        <w:t xml:space="preserve"> </w:t>
      </w:r>
      <w:r w:rsidR="004944D3">
        <w:t>reasoning</w:t>
      </w:r>
      <w:r>
        <w:t xml:space="preserve"> that </w:t>
      </w:r>
      <w:r w:rsidR="007337CE">
        <w:t>the</w:t>
      </w:r>
      <w:r>
        <w:t xml:space="preserve"> </w:t>
      </w:r>
      <w:r w:rsidR="000E2757">
        <w:t xml:space="preserve">requested injunction </w:t>
      </w:r>
      <w:r>
        <w:t xml:space="preserve">would force Del Amo to </w:t>
      </w:r>
      <w:r w:rsidR="000E2757">
        <w:t xml:space="preserve">stop </w:t>
      </w:r>
      <w:r>
        <w:t>selling moto</w:t>
      </w:r>
      <w:r w:rsidR="00BF7BE7">
        <w:t>rcycles</w:t>
      </w:r>
      <w:r>
        <w:t xml:space="preserve"> in California without first providing consumer</w:t>
      </w:r>
      <w:r w:rsidR="009E4505">
        <w:t>s</w:t>
      </w:r>
      <w:r>
        <w:t xml:space="preserve"> with </w:t>
      </w:r>
      <w:r w:rsidR="000E2757">
        <w:t>statutorily</w:t>
      </w:r>
      <w:r>
        <w:t xml:space="preserve"> mandated disclosure</w:t>
      </w:r>
      <w:r w:rsidR="000E2757">
        <w:t>s</w:t>
      </w:r>
      <w:r>
        <w:t xml:space="preserve"> in a single document</w:t>
      </w:r>
      <w:r w:rsidR="009E4505">
        <w:t xml:space="preserve">.  </w:t>
      </w:r>
      <w:r w:rsidR="00FB37DE">
        <w:t>(</w:t>
      </w:r>
      <w:r w:rsidRPr="00FB37DE" w:rsidR="00FB37DE">
        <w:rPr>
          <w:i/>
          <w:iCs/>
        </w:rPr>
        <w:t>Id.</w:t>
      </w:r>
      <w:r w:rsidR="00FB37DE">
        <w:t xml:space="preserve"> at p. 702.)  </w:t>
      </w:r>
      <w:r w:rsidR="009E4505">
        <w:t xml:space="preserve">This request is “plainly one for </w:t>
      </w:r>
      <w:r w:rsidR="00FB37DE">
        <w:t xml:space="preserve">a </w:t>
      </w:r>
      <w:r w:rsidR="009E4505">
        <w:t xml:space="preserve">public injunction given that [plaintiff] </w:t>
      </w:r>
      <w:r w:rsidR="00FB37DE">
        <w:t>‘</w:t>
      </w:r>
      <w:r w:rsidR="009E4505">
        <w:t xml:space="preserve">seeks to </w:t>
      </w:r>
      <w:r w:rsidR="000E2757">
        <w:t xml:space="preserve">enjoin future violations of California’s consumer protection statutes, </w:t>
      </w:r>
      <w:bookmarkStart w:id="3" w:name="_Hlk146027233"/>
      <w:r w:rsidR="000E2757">
        <w:t>relief</w:t>
      </w:r>
      <w:r w:rsidR="009E4505">
        <w:t xml:space="preserve"> oriented</w:t>
      </w:r>
      <w:r w:rsidR="000E2757">
        <w:t xml:space="preserve"> </w:t>
      </w:r>
      <w:r w:rsidR="009E4505">
        <w:t>to and for the benefit of the general public.</w:t>
      </w:r>
      <w:r w:rsidR="00FB37DE">
        <w:t>’</w:t>
      </w:r>
      <w:r w:rsidR="006B1BDD">
        <w:t xml:space="preserve">  (</w:t>
      </w:r>
      <w:r w:rsidRPr="003F0410" w:rsidR="006B1BDD">
        <w:rPr>
          <w:i/>
          <w:iCs/>
        </w:rPr>
        <w:t>Blair</w:t>
      </w:r>
      <w:r w:rsidR="006B1BDD">
        <w:rPr>
          <w:i/>
          <w:iCs/>
        </w:rPr>
        <w:t xml:space="preserve"> v. Rent-A-Center, Inc. </w:t>
      </w:r>
      <w:r w:rsidRPr="00083C40" w:rsidR="006B1BDD">
        <w:t>(9th Cir. 2019) 928 F.3d 819</w:t>
      </w:r>
      <w:r w:rsidRPr="006B1BDD" w:rsidR="006B1BDD">
        <w:t>,</w:t>
      </w:r>
      <w:r w:rsidR="00FB37DE">
        <w:t xml:space="preserve"> 831.</w:t>
      </w:r>
      <w:r w:rsidR="006B1BDD">
        <w:t>)</w:t>
      </w:r>
      <w:r w:rsidR="009E4505">
        <w:t>”</w:t>
      </w:r>
      <w:r w:rsidR="007337CE">
        <w:t xml:space="preserve">  (</w:t>
      </w:r>
      <w:r w:rsidRPr="00FB37DE" w:rsidR="007337CE">
        <w:rPr>
          <w:i/>
          <w:iCs/>
        </w:rPr>
        <w:t>Mejia, supra</w:t>
      </w:r>
      <w:r w:rsidR="007337CE">
        <w:t xml:space="preserve">, at p. </w:t>
      </w:r>
      <w:r w:rsidR="00FB37DE">
        <w:t>703</w:t>
      </w:r>
      <w:r w:rsidR="007337CE">
        <w:t>.)</w:t>
      </w:r>
      <w:r>
        <w:t xml:space="preserve">  </w:t>
      </w:r>
      <w:bookmarkEnd w:id="3"/>
      <w:r w:rsidR="000E2757">
        <w:t>In addition, the requested injunction</w:t>
      </w:r>
      <w:r w:rsidR="009E4505">
        <w:t xml:space="preserve"> </w:t>
      </w:r>
      <w:r w:rsidR="000E2757">
        <w:t xml:space="preserve">did not “limit itself to relief only for class members or some other small group of </w:t>
      </w:r>
      <w:r w:rsidR="009E4505">
        <w:t>individuals</w:t>
      </w:r>
      <w:r w:rsidR="000E2757">
        <w:t xml:space="preserve">; it </w:t>
      </w:r>
      <w:r w:rsidR="009E4505">
        <w:t>encompassed</w:t>
      </w:r>
      <w:r w:rsidR="000E2757">
        <w:t xml:space="preserve"> ‘consumers’ generally.” </w:t>
      </w:r>
      <w:r w:rsidR="0028681F">
        <w:t xml:space="preserve"> </w:t>
      </w:r>
      <w:r w:rsidR="007337CE">
        <w:t>(</w:t>
      </w:r>
      <w:r w:rsidRPr="00FB37DE" w:rsidR="007337CE">
        <w:rPr>
          <w:i/>
          <w:iCs/>
        </w:rPr>
        <w:t>I</w:t>
      </w:r>
      <w:r w:rsidRPr="00FB37DE" w:rsidR="00FB37DE">
        <w:rPr>
          <w:i/>
          <w:iCs/>
        </w:rPr>
        <w:t>bid</w:t>
      </w:r>
      <w:r w:rsidR="007337CE">
        <w:t xml:space="preserve">.)  </w:t>
      </w:r>
      <w:r w:rsidR="009E4505">
        <w:t xml:space="preserve">For these reasons, the </w:t>
      </w:r>
      <w:r w:rsidR="00FB37DE">
        <w:t>c</w:t>
      </w:r>
      <w:r w:rsidR="000E2757">
        <w:t xml:space="preserve">ourt </w:t>
      </w:r>
      <w:r w:rsidR="00FB37DE">
        <w:t xml:space="preserve">in </w:t>
      </w:r>
      <w:r w:rsidRPr="00FB37DE" w:rsidR="00FB37DE">
        <w:rPr>
          <w:i/>
          <w:iCs/>
        </w:rPr>
        <w:t>Mejia</w:t>
      </w:r>
      <w:r w:rsidR="00FB37DE">
        <w:t xml:space="preserve"> </w:t>
      </w:r>
      <w:r w:rsidR="000E2757">
        <w:t>concluded that the requested injunction</w:t>
      </w:r>
      <w:r w:rsidR="009E4505">
        <w:t xml:space="preserve"> </w:t>
      </w:r>
      <w:r w:rsidR="000E2757">
        <w:t xml:space="preserve">“fits the Supreme Court’s definition of ‘public injunctive </w:t>
      </w:r>
      <w:r w:rsidR="009E4505">
        <w:t>relief</w:t>
      </w:r>
      <w:r w:rsidR="00FB37DE">
        <w:t>’</w:t>
      </w:r>
      <w:r w:rsidR="000E2757">
        <w:t xml:space="preserve"> in </w:t>
      </w:r>
      <w:r w:rsidRPr="00FB37DE" w:rsidR="000E2757">
        <w:rPr>
          <w:i/>
          <w:iCs/>
        </w:rPr>
        <w:t>McGill</w:t>
      </w:r>
      <w:r w:rsidR="00FB37DE">
        <w:t>:  ‘</w:t>
      </w:r>
      <w:r w:rsidR="000E2757">
        <w:t xml:space="preserve">injunctive </w:t>
      </w:r>
      <w:r w:rsidR="009E4505">
        <w:t>relief</w:t>
      </w:r>
      <w:r w:rsidR="000E2757">
        <w:t xml:space="preserve"> that has the </w:t>
      </w:r>
      <w:r w:rsidR="009E4505">
        <w:t>primary</w:t>
      </w:r>
      <w:r w:rsidR="000E2757">
        <w:t xml:space="preserve"> purpose and effect of prohibiting unlawful acts that threaten future injury to the general </w:t>
      </w:r>
      <w:r w:rsidR="009E4505">
        <w:t>public</w:t>
      </w:r>
      <w:r w:rsidR="000E2757">
        <w:t>.</w:t>
      </w:r>
      <w:r w:rsidR="00FB37DE">
        <w:t>’</w:t>
      </w:r>
      <w:r w:rsidR="0028681F">
        <w:t xml:space="preserve"> </w:t>
      </w:r>
      <w:r w:rsidR="00FB37DE">
        <w:t xml:space="preserve"> (</w:t>
      </w:r>
      <w:r w:rsidRPr="00FB37DE" w:rsidR="00FB37DE">
        <w:rPr>
          <w:i/>
          <w:iCs/>
        </w:rPr>
        <w:t>McGill, supra</w:t>
      </w:r>
      <w:r w:rsidR="00FB37DE">
        <w:t>, 2 Cal.5th at p. 951.)</w:t>
      </w:r>
      <w:r w:rsidR="000E2757">
        <w:t>”  (</w:t>
      </w:r>
      <w:r w:rsidR="00FB37DE">
        <w:rPr>
          <w:i/>
          <w:iCs/>
        </w:rPr>
        <w:t>Mejia, supra</w:t>
      </w:r>
      <w:r w:rsidRPr="00631AB6" w:rsidR="00FB37DE">
        <w:t>,</w:t>
      </w:r>
      <w:r w:rsidR="00FB37DE">
        <w:rPr>
          <w:i/>
          <w:iCs/>
        </w:rPr>
        <w:t xml:space="preserve"> </w:t>
      </w:r>
      <w:r w:rsidRPr="00FB37DE" w:rsidR="00FB37DE">
        <w:t>at</w:t>
      </w:r>
      <w:r w:rsidR="000E2757">
        <w:t xml:space="preserve"> pp. 703-704.)  </w:t>
      </w:r>
    </w:p>
    <w:p w:rsidR="00C53BCC" w:rsidP="005345E9" w14:paraId="7EBE98FD" w14:textId="5C40ED04">
      <w:r>
        <w:tab/>
      </w:r>
      <w:r w:rsidR="009E4505">
        <w:t>Similarly, i</w:t>
      </w:r>
      <w:r w:rsidR="00500CF8">
        <w:t>n</w:t>
      </w:r>
      <w:r>
        <w:t xml:space="preserve"> </w:t>
      </w:r>
      <w:r w:rsidRPr="00AA5DEA" w:rsidR="00FF26E4">
        <w:rPr>
          <w:i/>
          <w:iCs/>
        </w:rPr>
        <w:t>Maldonado</w:t>
      </w:r>
      <w:r>
        <w:t xml:space="preserve">, </w:t>
      </w:r>
      <w:r w:rsidR="0013269B">
        <w:t>Fast Auto Loans (</w:t>
      </w:r>
      <w:r w:rsidR="00BF7BE7">
        <w:t>Lender</w:t>
      </w:r>
      <w:r w:rsidR="0013269B">
        <w:t>)</w:t>
      </w:r>
      <w:r>
        <w:t xml:space="preserve"> offered loans to California consumers in immediate need of cash who ha</w:t>
      </w:r>
      <w:r w:rsidR="00BA5FDD">
        <w:t>d</w:t>
      </w:r>
      <w:r>
        <w:t xml:space="preserve"> limited credit opportunities. </w:t>
      </w:r>
      <w:r w:rsidR="00E05532">
        <w:t xml:space="preserve"> (</w:t>
      </w:r>
      <w:r w:rsidRPr="006955F4" w:rsidR="00E05532">
        <w:rPr>
          <w:i/>
          <w:iCs/>
        </w:rPr>
        <w:t>Maldonado, supra</w:t>
      </w:r>
      <w:r w:rsidR="00E05532">
        <w:t>,</w:t>
      </w:r>
      <w:r w:rsidR="006955F4">
        <w:t xml:space="preserve"> 60 Cal.App.5th</w:t>
      </w:r>
      <w:r w:rsidR="00E05532">
        <w:t xml:space="preserve"> at p. 713.)</w:t>
      </w:r>
      <w:r>
        <w:t xml:space="preserve"> </w:t>
      </w:r>
      <w:r w:rsidR="0028681F">
        <w:t xml:space="preserve"> </w:t>
      </w:r>
      <w:r w:rsidR="0015794E">
        <w:t>The p</w:t>
      </w:r>
      <w:r>
        <w:t>laintiff</w:t>
      </w:r>
      <w:r w:rsidR="00E05532">
        <w:t xml:space="preserve">s brought a putative class action against Lender </w:t>
      </w:r>
      <w:r w:rsidR="00876082">
        <w:t>under</w:t>
      </w:r>
      <w:r w:rsidR="00E05532">
        <w:t xml:space="preserve"> the CLRA and UCL,</w:t>
      </w:r>
      <w:r>
        <w:t xml:space="preserve"> alleging that </w:t>
      </w:r>
      <w:r w:rsidR="00E05532">
        <w:t>Lender</w:t>
      </w:r>
      <w:r>
        <w:t xml:space="preserve"> charged “unconscionable interest rates” in </w:t>
      </w:r>
      <w:r w:rsidR="00E05532">
        <w:t>violation of state law</w:t>
      </w:r>
      <w:r>
        <w:t xml:space="preserve">.  </w:t>
      </w:r>
      <w:r w:rsidR="00E05532">
        <w:t>(</w:t>
      </w:r>
      <w:r w:rsidRPr="00800786" w:rsidR="00E05532">
        <w:rPr>
          <w:i/>
          <w:iCs/>
        </w:rPr>
        <w:t>Ibid.</w:t>
      </w:r>
      <w:r w:rsidR="00E05532">
        <w:t>)</w:t>
      </w:r>
      <w:r w:rsidR="00800786">
        <w:t xml:space="preserve"> </w:t>
      </w:r>
      <w:r w:rsidR="00876082">
        <w:t xml:space="preserve"> The complaint</w:t>
      </w:r>
      <w:r>
        <w:t xml:space="preserve"> </w:t>
      </w:r>
      <w:r w:rsidR="00E05532">
        <w:t xml:space="preserve">sought </w:t>
      </w:r>
      <w:r>
        <w:t xml:space="preserve">an injunction requiring </w:t>
      </w:r>
      <w:r w:rsidR="00E05532">
        <w:t>L</w:t>
      </w:r>
      <w:r>
        <w:t xml:space="preserve">ender to “cease charging </w:t>
      </w:r>
      <w:r w:rsidR="00E05532">
        <w:t xml:space="preserve">an </w:t>
      </w:r>
      <w:r>
        <w:t>unlawful interest rate on its loans exceeding $2500”</w:t>
      </w:r>
      <w:r w:rsidR="00E05532">
        <w:t xml:space="preserve"> and</w:t>
      </w:r>
      <w:r w:rsidR="00654E17">
        <w:t xml:space="preserve"> to</w:t>
      </w:r>
      <w:r w:rsidR="00E05532">
        <w:t xml:space="preserve"> “institute corrective advertising and provide written notice to the public of the unlawfully charged interest rate on prior loans.”</w:t>
      </w:r>
      <w:r>
        <w:t xml:space="preserve">  (</w:t>
      </w:r>
      <w:r w:rsidRPr="006955F4">
        <w:rPr>
          <w:i/>
          <w:iCs/>
        </w:rPr>
        <w:t>Id.</w:t>
      </w:r>
      <w:r>
        <w:t xml:space="preserve"> at p.</w:t>
      </w:r>
      <w:r w:rsidR="006955F4">
        <w:t xml:space="preserve"> 715.</w:t>
      </w:r>
      <w:r>
        <w:t xml:space="preserve">)  The trial court </w:t>
      </w:r>
      <w:r w:rsidR="00E05532">
        <w:t xml:space="preserve">denied Lender’s petition to compel arbitration based on </w:t>
      </w:r>
      <w:r w:rsidRPr="006955F4">
        <w:rPr>
          <w:i/>
          <w:iCs/>
        </w:rPr>
        <w:t>McGill.</w:t>
      </w:r>
      <w:r>
        <w:t xml:space="preserve">  </w:t>
      </w:r>
      <w:r w:rsidR="006955F4">
        <w:t>(</w:t>
      </w:r>
      <w:r w:rsidRPr="006955F4" w:rsidR="006955F4">
        <w:rPr>
          <w:i/>
          <w:iCs/>
        </w:rPr>
        <w:t>Id.</w:t>
      </w:r>
      <w:r w:rsidR="006955F4">
        <w:t xml:space="preserve"> at p. 716.)  </w:t>
      </w:r>
      <w:r>
        <w:t xml:space="preserve">On appeal, Lender argued that </w:t>
      </w:r>
      <w:r w:rsidRPr="006955F4">
        <w:rPr>
          <w:i/>
          <w:iCs/>
        </w:rPr>
        <w:t>McGill</w:t>
      </w:r>
      <w:r>
        <w:t xml:space="preserve"> did not apply because the relief sought </w:t>
      </w:r>
      <w:r w:rsidR="00EA73F6">
        <w:t>was</w:t>
      </w:r>
      <w:r>
        <w:t xml:space="preserve"> </w:t>
      </w:r>
      <w:r w:rsidR="00654E17">
        <w:t>private in that it</w:t>
      </w:r>
      <w:r w:rsidR="00EA73F6">
        <w:t xml:space="preserve"> would benefit only a</w:t>
      </w:r>
      <w:r>
        <w:t xml:space="preserve"> narrow group of “similarly situated individuals who would borrow money from Lender and agree to a similar arbitration provision.” </w:t>
      </w:r>
      <w:r w:rsidR="00E05532">
        <w:t xml:space="preserve"> </w:t>
      </w:r>
      <w:r>
        <w:t>(</w:t>
      </w:r>
      <w:r w:rsidRPr="006955F4">
        <w:rPr>
          <w:i/>
          <w:iCs/>
        </w:rPr>
        <w:t>Id.</w:t>
      </w:r>
      <w:r>
        <w:t xml:space="preserve"> at p.</w:t>
      </w:r>
      <w:r w:rsidR="006955F4">
        <w:t xml:space="preserve"> 720.</w:t>
      </w:r>
      <w:r>
        <w:t xml:space="preserve">)  </w:t>
      </w:r>
    </w:p>
    <w:p w:rsidR="004944D3" w:rsidP="005345E9" w14:paraId="65F88242" w14:textId="0F226C2F">
      <w:r>
        <w:tab/>
        <w:t xml:space="preserve">The </w:t>
      </w:r>
      <w:r w:rsidR="001552ED">
        <w:t>c</w:t>
      </w:r>
      <w:r w:rsidR="00CC46D2">
        <w:t>ourt</w:t>
      </w:r>
      <w:r w:rsidR="000513BD">
        <w:t xml:space="preserve"> </w:t>
      </w:r>
      <w:r w:rsidR="00CC46D2">
        <w:t>rejected</w:t>
      </w:r>
      <w:r w:rsidR="003E179B">
        <w:t xml:space="preserve"> </w:t>
      </w:r>
      <w:r w:rsidR="00BF7BE7">
        <w:t>this contention</w:t>
      </w:r>
      <w:r w:rsidR="00AD179C">
        <w:t xml:space="preserve">, concluding that </w:t>
      </w:r>
      <w:r w:rsidR="00CC5694">
        <w:t>the</w:t>
      </w:r>
      <w:r w:rsidR="00AD179C">
        <w:t xml:space="preserve"> complaint “does not limit the requested remedies for only some class members, but rather encompasses all consumers and members of the public.”  </w:t>
      </w:r>
      <w:r w:rsidR="00BB1597">
        <w:t>(</w:t>
      </w:r>
      <w:r w:rsidRPr="00BB1597" w:rsidR="00BB1597">
        <w:rPr>
          <w:i/>
          <w:iCs/>
        </w:rPr>
        <w:t>Maldonado, supra</w:t>
      </w:r>
      <w:r w:rsidR="00BB1597">
        <w:t xml:space="preserve">, </w:t>
      </w:r>
      <w:r w:rsidR="0028681F">
        <w:t xml:space="preserve">60 Cal.App.5th </w:t>
      </w:r>
      <w:r w:rsidR="00BB1597">
        <w:t xml:space="preserve">at p. 721.)  </w:t>
      </w:r>
      <w:r w:rsidR="00AD179C">
        <w:t>Moreover, “an injunction under the CLRA against Lender’s unlawful practices will not directly benefit [</w:t>
      </w:r>
      <w:r w:rsidR="0015794E">
        <w:t xml:space="preserve">the </w:t>
      </w:r>
      <w:r w:rsidR="00AD179C">
        <w:t xml:space="preserve">plaintiffs] because they have already been harmed and are aware of the misconduct.”  </w:t>
      </w:r>
      <w:r w:rsidR="00BB1597">
        <w:t>(</w:t>
      </w:r>
      <w:r w:rsidRPr="00BB1597" w:rsidR="00BB1597">
        <w:rPr>
          <w:i/>
          <w:iCs/>
        </w:rPr>
        <w:t>Ibid</w:t>
      </w:r>
      <w:r w:rsidR="00BB1597">
        <w:t xml:space="preserve">.)  </w:t>
      </w:r>
      <w:r w:rsidR="00AD179C">
        <w:t xml:space="preserve">The </w:t>
      </w:r>
      <w:r w:rsidR="00BB1597">
        <w:t>c</w:t>
      </w:r>
      <w:r w:rsidR="00AD179C">
        <w:t xml:space="preserve">ourt </w:t>
      </w:r>
      <w:r w:rsidR="00BF7BE7">
        <w:t>further</w:t>
      </w:r>
      <w:r w:rsidR="00AD179C">
        <w:t xml:space="preserve"> rejected Lender’s argument that </w:t>
      </w:r>
      <w:r w:rsidR="0015794E">
        <w:t>the</w:t>
      </w:r>
      <w:r w:rsidR="00AD179C">
        <w:t xml:space="preserve"> lawsuit challenged only the interest rates charged in the putative class members’ loans.</w:t>
      </w:r>
      <w:r w:rsidR="00BB1597">
        <w:t xml:space="preserve">  </w:t>
      </w:r>
      <w:r w:rsidR="00CC46D2">
        <w:t xml:space="preserve">“To accept this argument, we would have to ignore the complaint’s unequivocal request to enjoin </w:t>
      </w:r>
      <w:r>
        <w:t>L</w:t>
      </w:r>
      <w:r w:rsidR="00CC46D2">
        <w:t xml:space="preserve">ender from </w:t>
      </w:r>
      <w:r>
        <w:t>harming ot</w:t>
      </w:r>
      <w:r w:rsidR="00CC46D2">
        <w:t xml:space="preserve">her consumers </w:t>
      </w:r>
      <w:r w:rsidRPr="004944D3" w:rsidR="00CC46D2">
        <w:rPr>
          <w:i/>
          <w:iCs/>
        </w:rPr>
        <w:t>in fu</w:t>
      </w:r>
      <w:r w:rsidRPr="004944D3">
        <w:rPr>
          <w:i/>
          <w:iCs/>
        </w:rPr>
        <w:t>ture</w:t>
      </w:r>
      <w:r w:rsidRPr="004944D3" w:rsidR="00CC46D2">
        <w:rPr>
          <w:i/>
          <w:iCs/>
        </w:rPr>
        <w:t xml:space="preserve"> contracts </w:t>
      </w:r>
      <w:r w:rsidR="00CC46D2">
        <w:t>for outrageous interest rates</w:t>
      </w:r>
      <w:r w:rsidR="00BF7BE7">
        <w:t>.”</w:t>
      </w:r>
      <w:r w:rsidR="00BB1597">
        <w:t xml:space="preserve">  (</w:t>
      </w:r>
      <w:r w:rsidRPr="00BB1597" w:rsidR="00BB1597">
        <w:rPr>
          <w:i/>
          <w:iCs/>
        </w:rPr>
        <w:t>Ibid</w:t>
      </w:r>
      <w:r w:rsidR="00BB1597">
        <w:t>.)</w:t>
      </w:r>
      <w:r w:rsidR="00BF7BE7">
        <w:t xml:space="preserve">  Ultimately, the court agreed with </w:t>
      </w:r>
      <w:r w:rsidR="0015794E">
        <w:t xml:space="preserve">the </w:t>
      </w:r>
      <w:r w:rsidR="00BF7BE7">
        <w:t>plaintiffs that “</w:t>
      </w:r>
      <w:r w:rsidR="00AD179C">
        <w:t>although ‘not all members of the public will become customers of [Lender],’ this does not negate the fact that public injunctive relief will nevertheless offer benefits to the general publi</w:t>
      </w:r>
      <w:r w:rsidR="00BF7BE7">
        <w:t>c</w:t>
      </w:r>
      <w:r w:rsidR="00BB1597">
        <w:t xml:space="preserve"> . . . . </w:t>
      </w:r>
      <w:r w:rsidR="0028681F">
        <w:t xml:space="preserve"> </w:t>
      </w:r>
      <w:r w:rsidR="00BB1597">
        <w:t xml:space="preserve">The requested injunction cannot be deemed private simply because Lender could not possibly advertise to, or enter into agreements with, every person in California.”  </w:t>
      </w:r>
      <w:r>
        <w:t>(</w:t>
      </w:r>
      <w:r w:rsidRPr="00BB1597" w:rsidR="00BB1597">
        <w:rPr>
          <w:i/>
          <w:iCs/>
        </w:rPr>
        <w:t>Id.</w:t>
      </w:r>
      <w:r w:rsidR="00BB1597">
        <w:t xml:space="preserve"> at pp. 722-723.</w:t>
      </w:r>
      <w:r>
        <w:t xml:space="preserve">) </w:t>
      </w:r>
      <w:r w:rsidR="004B7131">
        <w:t xml:space="preserve"> “</w:t>
      </w:r>
      <w:r w:rsidRPr="004B7131" w:rsidR="004B7131">
        <w:t>Such a holding would allow Lender to continue violating the UCL and CLRA because consumers harmed by the unlawful practices would be unable to act as a private attorney general and seek redress on behalf of the public.</w:t>
      </w:r>
      <w:r w:rsidR="004B7131">
        <w:t>”</w:t>
      </w:r>
      <w:r w:rsidR="0028681F">
        <w:t xml:space="preserve"> </w:t>
      </w:r>
      <w:r w:rsidR="004B7131">
        <w:t xml:space="preserve"> (</w:t>
      </w:r>
      <w:r w:rsidRPr="004B7131" w:rsidR="004B7131">
        <w:rPr>
          <w:i/>
          <w:iCs/>
        </w:rPr>
        <w:t>Ibid</w:t>
      </w:r>
      <w:r w:rsidR="004B7131">
        <w:t>.)</w:t>
      </w:r>
    </w:p>
    <w:p w:rsidR="002E4853" w:rsidP="002E4853" w14:paraId="09643285" w14:textId="79194882">
      <w:r>
        <w:tab/>
        <w:t xml:space="preserve">As in </w:t>
      </w:r>
      <w:r w:rsidRPr="00AA5DEA">
        <w:rPr>
          <w:i/>
          <w:iCs/>
        </w:rPr>
        <w:t xml:space="preserve">Mejia </w:t>
      </w:r>
      <w:r w:rsidRPr="00AA5DEA">
        <w:t xml:space="preserve">and </w:t>
      </w:r>
      <w:r w:rsidRPr="00AA5DEA">
        <w:rPr>
          <w:i/>
          <w:iCs/>
        </w:rPr>
        <w:t>Maldonado</w:t>
      </w:r>
      <w:r>
        <w:t xml:space="preserve">, </w:t>
      </w:r>
      <w:r w:rsidR="00E80AB6">
        <w:t>the</w:t>
      </w:r>
      <w:r>
        <w:t xml:space="preserve"> requested injunction </w:t>
      </w:r>
      <w:r w:rsidR="00BA5FDD">
        <w:t>here</w:t>
      </w:r>
      <w:r>
        <w:t xml:space="preserve"> </w:t>
      </w:r>
      <w:bookmarkStart w:id="4" w:name="_Hlk147934566"/>
      <w:r>
        <w:t>“seeks to enjoin future violations of California’s consumer protection statutes.”</w:t>
      </w:r>
      <w:bookmarkEnd w:id="4"/>
      <w:r w:rsidR="0028681F">
        <w:t xml:space="preserve"> </w:t>
      </w:r>
      <w:r>
        <w:t xml:space="preserve"> (</w:t>
      </w:r>
      <w:r w:rsidRPr="00FB37DE">
        <w:rPr>
          <w:i/>
          <w:iCs/>
        </w:rPr>
        <w:t>Mejia, supra</w:t>
      </w:r>
      <w:r>
        <w:t xml:space="preserve">, </w:t>
      </w:r>
      <w:r w:rsidR="0028681F">
        <w:t xml:space="preserve">54 Cal.App.5th </w:t>
      </w:r>
      <w:r>
        <w:t>at p. 703.)  The complaint does not limit the requested remedies to Ramsey himself or those similarly situated, but “encompasses all consumers and members of the public.”</w:t>
      </w:r>
      <w:r w:rsidR="003D2CDB">
        <w:t xml:space="preserve"> </w:t>
      </w:r>
      <w:r>
        <w:t xml:space="preserve"> (</w:t>
      </w:r>
      <w:r w:rsidRPr="00AA5DEA">
        <w:rPr>
          <w:i/>
          <w:iCs/>
        </w:rPr>
        <w:t>Maldonado, supra</w:t>
      </w:r>
      <w:r>
        <w:t xml:space="preserve">, </w:t>
      </w:r>
      <w:r w:rsidR="0028681F">
        <w:t xml:space="preserve">60 Cal.App.5th </w:t>
      </w:r>
      <w:r>
        <w:t xml:space="preserve">at p. 721.)  For example, in connection with his CLRA claim, Ramsey seeks “public injunctive relief enjoining Defendants’ unfair or deceptive acts or practices . . . to prevent future injury to the general public.”  In connection with the two UCL claims, Ramsey seeks “a permanent injunction requiring Defendants to halt their practice of issuing secret discounts” and “related injunctive relief that . . . ensure consumers are aware of any and all price reductions and rebates.”  In the prayer for relief, Ramsey seeks to enjoin Comcast “from continuing their unlawful and unfair business practices.” </w:t>
      </w:r>
    </w:p>
    <w:p w:rsidR="002E4853" w:rsidP="005345E9" w14:paraId="3BBC80C4" w14:textId="3B874ED0">
      <w:r>
        <w:tab/>
      </w:r>
      <w:r w:rsidR="00AC0CBF">
        <w:t xml:space="preserve">The </w:t>
      </w:r>
      <w:r w:rsidR="0054585C">
        <w:t xml:space="preserve">injunctive relief </w:t>
      </w:r>
      <w:r>
        <w:t xml:space="preserve">Ramsey seeks </w:t>
      </w:r>
      <w:r w:rsidR="008D5104">
        <w:t xml:space="preserve">here </w:t>
      </w:r>
      <w:r w:rsidR="00946D09">
        <w:t>is</w:t>
      </w:r>
      <w:r>
        <w:t xml:space="preserve"> </w:t>
      </w:r>
      <w:r w:rsidR="008D5104">
        <w:t xml:space="preserve">forward-looking and </w:t>
      </w:r>
      <w:r>
        <w:t>“oriented to and for the benefit of the general public.”  (</w:t>
      </w:r>
      <w:r w:rsidRPr="00FB37DE">
        <w:rPr>
          <w:i/>
          <w:iCs/>
        </w:rPr>
        <w:t>Mejia, supra</w:t>
      </w:r>
      <w:r>
        <w:t xml:space="preserve">, </w:t>
      </w:r>
      <w:r w:rsidR="0028681F">
        <w:t xml:space="preserve">54 Cal.App.5th </w:t>
      </w:r>
      <w:r>
        <w:t xml:space="preserve">at p. 703.)  </w:t>
      </w:r>
      <w:r w:rsidR="008D5104">
        <w:t>The requested relief also</w:t>
      </w:r>
      <w:r>
        <w:t xml:space="preserve"> does not directly benefit Ramsey, as he has “already been harmed and [is] aware of the misconduct.”  (</w:t>
      </w:r>
      <w:r w:rsidRPr="00BB1597">
        <w:rPr>
          <w:i/>
          <w:iCs/>
        </w:rPr>
        <w:t>Maldonado, supra</w:t>
      </w:r>
      <w:r>
        <w:t xml:space="preserve">, </w:t>
      </w:r>
      <w:r w:rsidR="0028681F">
        <w:t xml:space="preserve">60 Cal.App.5th </w:t>
      </w:r>
      <w:r>
        <w:t xml:space="preserve">at p. 721.)  Ramsey and those similarly situated to </w:t>
      </w:r>
      <w:r w:rsidR="008D5104">
        <w:t>him</w:t>
      </w:r>
      <w:r>
        <w:t xml:space="preserve"> are already aware of Comcast’s practice of offering “new” promotional rates only to those who reach out to Comcast toward the end of their subscription cycle</w:t>
      </w:r>
      <w:r w:rsidR="008D5104">
        <w:t>, and</w:t>
      </w:r>
      <w:r>
        <w:t xml:space="preserve"> </w:t>
      </w:r>
      <w:r w:rsidR="008D5104">
        <w:t>t</w:t>
      </w:r>
      <w:r>
        <w:t xml:space="preserve">he relief </w:t>
      </w:r>
      <w:r w:rsidR="008D5104">
        <w:t>he</w:t>
      </w:r>
      <w:r>
        <w:t xml:space="preserve"> seeks–i.e., cessation of Comcast’s unfair or deceptive practices–will not compensate</w:t>
      </w:r>
      <w:r w:rsidR="008D5104">
        <w:t xml:space="preserve"> him</w:t>
      </w:r>
      <w:r>
        <w:t xml:space="preserve"> for the “ascertainable loss of money” he had previously incurred from “paying nonpromotional rates when he did not immediately contact [Comcast] to obtain new promotional pricing.” </w:t>
      </w:r>
      <w:r w:rsidR="00353A20">
        <w:t xml:space="preserve"> </w:t>
      </w:r>
      <w:r>
        <w:t>Rather, the requested injunction would primarily benefit existing</w:t>
      </w:r>
      <w:r w:rsidR="0076645A">
        <w:t xml:space="preserve"> </w:t>
      </w:r>
      <w:r w:rsidR="00E80AB6">
        <w:t xml:space="preserve">and potential Comcast subscribers </w:t>
      </w:r>
      <w:r>
        <w:t>by providing them with more truthful</w:t>
      </w:r>
      <w:r w:rsidR="00002C53">
        <w:t xml:space="preserve"> </w:t>
      </w:r>
      <w:r>
        <w:t xml:space="preserve">and </w:t>
      </w:r>
      <w:r w:rsidR="00C94ECF">
        <w:t>transparent</w:t>
      </w:r>
      <w:r w:rsidR="001865EE">
        <w:t xml:space="preserve"> </w:t>
      </w:r>
      <w:r>
        <w:t xml:space="preserve">pricing options. </w:t>
      </w:r>
      <w:r w:rsidR="00962AD9">
        <w:t xml:space="preserve"> </w:t>
      </w:r>
      <w:r>
        <w:t xml:space="preserve">To the extent Ramsey benefits </w:t>
      </w:r>
      <w:r w:rsidR="00002C53">
        <w:t>from</w:t>
      </w:r>
      <w:r>
        <w:t xml:space="preserve"> th</w:t>
      </w:r>
      <w:r w:rsidR="0076645A">
        <w:t>is</w:t>
      </w:r>
      <w:r>
        <w:t xml:space="preserve"> relief, it would be incidental</w:t>
      </w:r>
      <w:r w:rsidR="00C94ECF">
        <w:t>ly</w:t>
      </w:r>
      <w:r w:rsidR="00403718">
        <w:t>,</w:t>
      </w:r>
      <w:r>
        <w:t xml:space="preserve"> as a member of the public.  (See </w:t>
      </w:r>
      <w:r w:rsidRPr="00936F59">
        <w:rPr>
          <w:i/>
          <w:iCs/>
        </w:rPr>
        <w:t>McGill, supra</w:t>
      </w:r>
      <w:r>
        <w:t xml:space="preserve">, 2 Cal.5th at p. 955.) </w:t>
      </w:r>
    </w:p>
    <w:p w:rsidR="007B2D89" w:rsidRPr="00507AD0" w:rsidP="00507AD0" w14:paraId="587BBC12" w14:textId="13CCDECD">
      <w:pPr>
        <w:pStyle w:val="ListParagraph"/>
        <w:numPr>
          <w:ilvl w:val="0"/>
          <w:numId w:val="15"/>
        </w:numPr>
        <w:rPr>
          <w:i/>
          <w:iCs/>
        </w:rPr>
      </w:pPr>
      <w:r w:rsidRPr="00507AD0">
        <w:rPr>
          <w:i/>
          <w:iCs/>
        </w:rPr>
        <w:t>Hodges</w:t>
      </w:r>
    </w:p>
    <w:p w:rsidR="00B93048" w:rsidP="007B2D89" w14:paraId="4497ABD5" w14:textId="369CF096">
      <w:r>
        <w:tab/>
      </w:r>
      <w:r w:rsidR="00FB30F1">
        <w:t>T</w:t>
      </w:r>
      <w:r w:rsidR="00403718">
        <w:t xml:space="preserve">he </w:t>
      </w:r>
      <w:r w:rsidR="00892E42">
        <w:t>N</w:t>
      </w:r>
      <w:r w:rsidR="00403718">
        <w:t xml:space="preserve">inth </w:t>
      </w:r>
      <w:r w:rsidR="00892E42">
        <w:t>C</w:t>
      </w:r>
      <w:r w:rsidR="00403718">
        <w:t xml:space="preserve">ircuit’s decision in </w:t>
      </w:r>
      <w:r w:rsidRPr="00403718" w:rsidR="00E80AB6">
        <w:rPr>
          <w:i/>
          <w:iCs/>
        </w:rPr>
        <w:t>Hodges</w:t>
      </w:r>
      <w:r w:rsidR="00E80AB6">
        <w:t xml:space="preserve"> de</w:t>
      </w:r>
      <w:r w:rsidR="00077846">
        <w:t>viate</w:t>
      </w:r>
      <w:r w:rsidR="0072113B">
        <w:t>d</w:t>
      </w:r>
      <w:r w:rsidR="00E80AB6">
        <w:t xml:space="preserve"> sharply from </w:t>
      </w:r>
      <w:r w:rsidRPr="00403718">
        <w:rPr>
          <w:i/>
          <w:iCs/>
        </w:rPr>
        <w:t xml:space="preserve">Mejia </w:t>
      </w:r>
      <w:r w:rsidRPr="00403718">
        <w:t xml:space="preserve">and </w:t>
      </w:r>
      <w:r w:rsidRPr="00403718">
        <w:rPr>
          <w:i/>
          <w:iCs/>
        </w:rPr>
        <w:t>Maldonado</w:t>
      </w:r>
      <w:r w:rsidR="006722E2">
        <w:t xml:space="preserve">, </w:t>
      </w:r>
      <w:r w:rsidR="00EE628B">
        <w:t>holding</w:t>
      </w:r>
      <w:r w:rsidR="006722E2">
        <w:t xml:space="preserve"> that</w:t>
      </w:r>
      <w:r w:rsidR="00E80AB6">
        <w:t xml:space="preserve"> </w:t>
      </w:r>
      <w:r w:rsidR="007B2D89">
        <w:t xml:space="preserve">unless a plaintiff’s requested injunctive relief benefits the entire public “as a diffuse whole,” it </w:t>
      </w:r>
      <w:r w:rsidR="00CC0C95">
        <w:t xml:space="preserve">does not fall within </w:t>
      </w:r>
      <w:r w:rsidRPr="006722E2" w:rsidR="006722E2">
        <w:rPr>
          <w:i/>
          <w:iCs/>
        </w:rPr>
        <w:t>McGill’</w:t>
      </w:r>
      <w:r w:rsidR="006722E2">
        <w:t>s</w:t>
      </w:r>
      <w:r w:rsidR="00CC0C95">
        <w:t xml:space="preserve"> definition of </w:t>
      </w:r>
      <w:r w:rsidR="0066516F">
        <w:t>public injunctive relief</w:t>
      </w:r>
      <w:r w:rsidR="007B2D89">
        <w:t>.  (</w:t>
      </w:r>
      <w:r w:rsidR="00FB30F1">
        <w:t xml:space="preserve">See </w:t>
      </w:r>
      <w:r w:rsidRPr="006F764E" w:rsidR="007B2D89">
        <w:rPr>
          <w:i/>
          <w:iCs/>
        </w:rPr>
        <w:t>Hodges, supra</w:t>
      </w:r>
      <w:r w:rsidR="007B2D89">
        <w:t xml:space="preserve">, </w:t>
      </w:r>
      <w:r w:rsidR="001E66A8">
        <w:t xml:space="preserve">21 F.4th </w:t>
      </w:r>
      <w:r w:rsidR="007B2D89">
        <w:t xml:space="preserve">at p. 549.) </w:t>
      </w:r>
      <w:r w:rsidRPr="00FB30F1">
        <w:rPr>
          <w:i/>
          <w:iCs/>
        </w:rPr>
        <w:t xml:space="preserve"> Hodges </w:t>
      </w:r>
      <w:r>
        <w:t xml:space="preserve">also examined </w:t>
      </w:r>
      <w:r w:rsidR="00002C53">
        <w:t xml:space="preserve">the holdings of </w:t>
      </w:r>
      <w:r w:rsidRPr="00403718">
        <w:rPr>
          <w:i/>
          <w:iCs/>
        </w:rPr>
        <w:t xml:space="preserve">Mejia </w:t>
      </w:r>
      <w:r w:rsidRPr="00403718">
        <w:t xml:space="preserve">and </w:t>
      </w:r>
      <w:r w:rsidRPr="00403718">
        <w:rPr>
          <w:i/>
          <w:iCs/>
        </w:rPr>
        <w:t>Maldonado</w:t>
      </w:r>
      <w:r>
        <w:t xml:space="preserve"> and </w:t>
      </w:r>
      <w:r w:rsidR="00CC0C95">
        <w:t xml:space="preserve">concluded </w:t>
      </w:r>
      <w:r>
        <w:t xml:space="preserve">that </w:t>
      </w:r>
      <w:r w:rsidR="00EE628B">
        <w:t>they</w:t>
      </w:r>
      <w:r>
        <w:t xml:space="preserve"> </w:t>
      </w:r>
      <w:r w:rsidR="00403718">
        <w:t>represent</w:t>
      </w:r>
      <w:r>
        <w:t xml:space="preserve"> a </w:t>
      </w:r>
      <w:r w:rsidR="001E66A8">
        <w:t>“</w:t>
      </w:r>
      <w:r w:rsidRPr="001E66A8" w:rsidR="001E66A8">
        <w:t>patent misreading of California law</w:t>
      </w:r>
      <w:r>
        <w:t>.</w:t>
      </w:r>
      <w:r w:rsidR="001E66A8">
        <w:t>”</w:t>
      </w:r>
      <w:r>
        <w:t xml:space="preserve">  </w:t>
      </w:r>
      <w:r w:rsidRPr="001E66A8" w:rsidR="00403718">
        <w:t>(</w:t>
      </w:r>
      <w:r w:rsidRPr="001E66A8" w:rsidR="00403718">
        <w:rPr>
          <w:i/>
          <w:iCs/>
        </w:rPr>
        <w:t>Id.</w:t>
      </w:r>
      <w:r w:rsidRPr="001E66A8" w:rsidR="00403718">
        <w:t xml:space="preserve"> at p.</w:t>
      </w:r>
      <w:r w:rsidR="001E66A8">
        <w:t xml:space="preserve"> 544</w:t>
      </w:r>
      <w:r w:rsidRPr="001E66A8" w:rsidR="00403718">
        <w:t>.)</w:t>
      </w:r>
      <w:r w:rsidR="00403718">
        <w:t xml:space="preserve">  </w:t>
      </w:r>
      <w:r w:rsidR="0072113B">
        <w:t xml:space="preserve">Comcast urges that we follow </w:t>
      </w:r>
      <w:r w:rsidRPr="00552068" w:rsidR="0072113B">
        <w:rPr>
          <w:i/>
          <w:iCs/>
        </w:rPr>
        <w:t>Hodges</w:t>
      </w:r>
      <w:r w:rsidR="0072113B">
        <w:t>, but w</w:t>
      </w:r>
      <w:r>
        <w:t xml:space="preserve">e </w:t>
      </w:r>
      <w:r w:rsidR="0072113B">
        <w:t xml:space="preserve">respectfully </w:t>
      </w:r>
      <w:r>
        <w:t xml:space="preserve">disagree with </w:t>
      </w:r>
      <w:r w:rsidR="001E66A8">
        <w:t xml:space="preserve">both </w:t>
      </w:r>
      <w:r w:rsidR="0072113B">
        <w:t xml:space="preserve">its </w:t>
      </w:r>
      <w:r w:rsidR="00A2737D">
        <w:t>holding</w:t>
      </w:r>
      <w:r w:rsidR="0072113B">
        <w:t xml:space="preserve"> </w:t>
      </w:r>
      <w:r>
        <w:t xml:space="preserve">and </w:t>
      </w:r>
      <w:r w:rsidR="0072113B">
        <w:t>the Ninth Circuit’s</w:t>
      </w:r>
      <w:r w:rsidR="00A2737D">
        <w:t xml:space="preserve"> </w:t>
      </w:r>
      <w:r w:rsidR="00002C53">
        <w:t>characterization</w:t>
      </w:r>
      <w:r>
        <w:t xml:space="preserve"> of</w:t>
      </w:r>
      <w:r w:rsidR="00A2737D">
        <w:t xml:space="preserve"> </w:t>
      </w:r>
      <w:r w:rsidRPr="00403718" w:rsidR="00A2737D">
        <w:rPr>
          <w:i/>
          <w:iCs/>
        </w:rPr>
        <w:t xml:space="preserve">Mejia </w:t>
      </w:r>
      <w:r w:rsidRPr="00403718" w:rsidR="00A2737D">
        <w:t xml:space="preserve">and </w:t>
      </w:r>
      <w:r w:rsidRPr="00403718" w:rsidR="00A2737D">
        <w:rPr>
          <w:i/>
          <w:iCs/>
        </w:rPr>
        <w:t>Maldonado</w:t>
      </w:r>
      <w:r>
        <w:t xml:space="preserve">. </w:t>
      </w:r>
    </w:p>
    <w:p w:rsidR="007B2D89" w:rsidP="007B2D89" w14:paraId="7C6C8874" w14:textId="799CE75F">
      <w:r>
        <w:tab/>
      </w:r>
      <w:r w:rsidR="001B7750">
        <w:t xml:space="preserve">In </w:t>
      </w:r>
      <w:r w:rsidRPr="00403718">
        <w:rPr>
          <w:i/>
          <w:iCs/>
        </w:rPr>
        <w:t>Hodges</w:t>
      </w:r>
      <w:r>
        <w:t>, a former Comcast subscriber brought a putative class action lawsuit against Comcast, alleging that Comcast violated class members’ statutory privacy rights by collecting various personal data without first obtaining subscriber consent.</w:t>
      </w:r>
      <w:r w:rsidR="00962AD9">
        <w:t xml:space="preserve"> </w:t>
      </w:r>
      <w:r>
        <w:t xml:space="preserve"> (</w:t>
      </w:r>
      <w:r w:rsidRPr="00A262BE">
        <w:rPr>
          <w:i/>
          <w:iCs/>
        </w:rPr>
        <w:t>Hodges, supra</w:t>
      </w:r>
      <w:r>
        <w:t>, 21 F.4th at pp. 537-538.)  The complaint alleged various federal and state law</w:t>
      </w:r>
      <w:r w:rsidRPr="008E395F">
        <w:t xml:space="preserve"> </w:t>
      </w:r>
      <w:r>
        <w:t>violations, including a violation of the UCL.  (</w:t>
      </w:r>
      <w:r w:rsidRPr="00A262BE">
        <w:rPr>
          <w:i/>
          <w:iCs/>
        </w:rPr>
        <w:t>Id.</w:t>
      </w:r>
      <w:r>
        <w:t xml:space="preserve"> at p. 538.)  Among other things, the complaint sought “statewide public injunctive relief” to require Comcast to “clearly and conspicuously notify cable subscribers in writing, at the requisite times, of the period during which it maintains their [personally identifiable information (“PII”)], including video activity data and demographic data.”  (</w:t>
      </w:r>
      <w:r w:rsidRPr="00D95164">
        <w:rPr>
          <w:i/>
          <w:iCs/>
        </w:rPr>
        <w:t>Id</w:t>
      </w:r>
      <w:r>
        <w:t xml:space="preserve">. at pp. 538, 548-549.) </w:t>
      </w:r>
    </w:p>
    <w:p w:rsidR="00C87C8B" w:rsidP="00DD2E4C" w14:paraId="139D0FD4" w14:textId="74FF611A">
      <w:r>
        <w:tab/>
        <w:t>Comcast moved to compel arbitration under</w:t>
      </w:r>
      <w:r w:rsidR="0015794E">
        <w:t xml:space="preserve"> the</w:t>
      </w:r>
      <w:r>
        <w:t xml:space="preserve"> subscriber agreement.  (</w:t>
      </w:r>
      <w:r w:rsidRPr="00D95164">
        <w:rPr>
          <w:i/>
          <w:iCs/>
        </w:rPr>
        <w:t>Hodges, supra</w:t>
      </w:r>
      <w:r>
        <w:t xml:space="preserve">, </w:t>
      </w:r>
      <w:r w:rsidR="00962AD9">
        <w:t xml:space="preserve">21 F.4th </w:t>
      </w:r>
      <w:r>
        <w:t xml:space="preserve">at pp. 538-539.)  The district court denied the petition based on </w:t>
      </w:r>
      <w:r w:rsidRPr="00FA69D7">
        <w:rPr>
          <w:i/>
          <w:iCs/>
        </w:rPr>
        <w:t>McGill</w:t>
      </w:r>
      <w:r>
        <w:t xml:space="preserve"> and Comcast appealed.  The </w:t>
      </w:r>
      <w:r w:rsidR="00962AD9">
        <w:t>N</w:t>
      </w:r>
      <w:r>
        <w:t xml:space="preserve">inth </w:t>
      </w:r>
      <w:r w:rsidR="00962AD9">
        <w:t>C</w:t>
      </w:r>
      <w:r>
        <w:t xml:space="preserve">ircuit reversed, holding that </w:t>
      </w:r>
      <w:r w:rsidRPr="00D95164">
        <w:rPr>
          <w:i/>
          <w:iCs/>
        </w:rPr>
        <w:t>McGill</w:t>
      </w:r>
      <w:r>
        <w:t xml:space="preserve"> was not implicated because</w:t>
      </w:r>
      <w:r w:rsidR="0015794E">
        <w:t xml:space="preserve"> the</w:t>
      </w:r>
      <w:r>
        <w:t xml:space="preserve"> complaint did not seek public injunctive relief.  (</w:t>
      </w:r>
      <w:r w:rsidRPr="00D95164">
        <w:rPr>
          <w:i/>
          <w:iCs/>
        </w:rPr>
        <w:t>Id.</w:t>
      </w:r>
      <w:r>
        <w:t xml:space="preserve"> at p. 540.)  While recognizing that some of the relief sought was “forward-looking prohibitions against future violations of law,” the </w:t>
      </w:r>
      <w:r w:rsidRPr="00D95164">
        <w:rPr>
          <w:i/>
          <w:iCs/>
        </w:rPr>
        <w:t>Hodges</w:t>
      </w:r>
      <w:r>
        <w:t xml:space="preserve"> majority nevertheless </w:t>
      </w:r>
      <w:r w:rsidR="0072113B">
        <w:t xml:space="preserve">concluded </w:t>
      </w:r>
      <w:r>
        <w:t xml:space="preserve">that alone was “not enough to classify the remedy as public within the meaning of the </w:t>
      </w:r>
      <w:r w:rsidRPr="00D95164">
        <w:rPr>
          <w:i/>
          <w:iCs/>
        </w:rPr>
        <w:t>McGill</w:t>
      </w:r>
      <w:r>
        <w:t xml:space="preserve"> rule.”  (</w:t>
      </w:r>
      <w:r w:rsidRPr="00D95164">
        <w:rPr>
          <w:i/>
          <w:iCs/>
        </w:rPr>
        <w:t>Id.</w:t>
      </w:r>
      <w:r>
        <w:t xml:space="preserve"> at p. 549.)  Instead, to meet </w:t>
      </w:r>
      <w:r w:rsidRPr="00D95164">
        <w:rPr>
          <w:i/>
          <w:iCs/>
        </w:rPr>
        <w:t>McGill</w:t>
      </w:r>
      <w:r>
        <w:t xml:space="preserve">’s definition of public injunctive relief, the plaintiff must seek relief that “could be said to primarily benefit the general public </w:t>
      </w:r>
      <w:r w:rsidRPr="00D95164">
        <w:t>as a more diffuse whole</w:t>
      </w:r>
      <w:r>
        <w:t>.”</w:t>
      </w:r>
      <w:r w:rsidR="00962AD9">
        <w:t xml:space="preserve"> </w:t>
      </w:r>
      <w:r>
        <w:t xml:space="preserve"> (</w:t>
      </w:r>
      <w:r w:rsidRPr="00D95164">
        <w:rPr>
          <w:i/>
          <w:iCs/>
        </w:rPr>
        <w:t>Ibid.</w:t>
      </w:r>
      <w:r>
        <w:t xml:space="preserve">)  Under that definition, the plaintiff in </w:t>
      </w:r>
      <w:r w:rsidRPr="00D95164">
        <w:rPr>
          <w:i/>
          <w:iCs/>
        </w:rPr>
        <w:t>Hodges</w:t>
      </w:r>
      <w:r>
        <w:t xml:space="preserve"> was not seeking public injunctive relief because the requested relief would benefit only Comcast cable subscribers.</w:t>
      </w:r>
      <w:r w:rsidR="00EA0B5C">
        <w:t xml:space="preserve">  </w:t>
      </w:r>
      <w:r>
        <w:t>(</w:t>
      </w:r>
      <w:r w:rsidRPr="00D95164">
        <w:rPr>
          <w:i/>
          <w:iCs/>
        </w:rPr>
        <w:t>Ibid</w:t>
      </w:r>
      <w:r>
        <w:t xml:space="preserve">.)  The </w:t>
      </w:r>
      <w:r w:rsidRPr="00D95164">
        <w:rPr>
          <w:i/>
          <w:iCs/>
        </w:rPr>
        <w:t xml:space="preserve">Hodges </w:t>
      </w:r>
      <w:r>
        <w:t>majority</w:t>
      </w:r>
      <w:r w:rsidR="00D17C0D">
        <w:t xml:space="preserve"> further</w:t>
      </w:r>
      <w:r>
        <w:t xml:space="preserve"> posited that the plaintiff in </w:t>
      </w:r>
      <w:r w:rsidRPr="00D95164">
        <w:rPr>
          <w:i/>
          <w:iCs/>
        </w:rPr>
        <w:t>Mejia</w:t>
      </w:r>
      <w:r>
        <w:t xml:space="preserve"> </w:t>
      </w:r>
      <w:r w:rsidR="001865EE">
        <w:t>was not</w:t>
      </w:r>
      <w:r>
        <w:t xml:space="preserve"> seeking public injunctive relief because </w:t>
      </w:r>
      <w:r w:rsidR="002E4853">
        <w:t xml:space="preserve">the </w:t>
      </w:r>
      <w:r>
        <w:t>requested injunction</w:t>
      </w:r>
      <w:r w:rsidR="00D871BE">
        <w:t xml:space="preserve"> there</w:t>
      </w:r>
      <w:r>
        <w:t xml:space="preserve"> would only “benefit the class of persons who actually purchased motorcycles, and not the general public as a whole.”  (</w:t>
      </w:r>
      <w:r w:rsidRPr="00D95164">
        <w:rPr>
          <w:i/>
          <w:iCs/>
        </w:rPr>
        <w:t>Id.</w:t>
      </w:r>
      <w:r>
        <w:t xml:space="preserve"> at pp. 544-545.)  </w:t>
      </w:r>
      <w:r w:rsidRPr="00403718" w:rsidR="00403718">
        <w:rPr>
          <w:i/>
          <w:iCs/>
        </w:rPr>
        <w:t>Hodges</w:t>
      </w:r>
      <w:r w:rsidRPr="00403718" w:rsidR="0066516F">
        <w:rPr>
          <w:i/>
          <w:iCs/>
        </w:rPr>
        <w:t xml:space="preserve"> </w:t>
      </w:r>
      <w:r w:rsidR="0066516F">
        <w:t>also</w:t>
      </w:r>
      <w:r w:rsidR="00D17C0D">
        <w:t xml:space="preserve"> disagreed with </w:t>
      </w:r>
      <w:r w:rsidRPr="00D95164">
        <w:rPr>
          <w:i/>
          <w:iCs/>
        </w:rPr>
        <w:t>Maldonado</w:t>
      </w:r>
      <w:r w:rsidR="0066516F">
        <w:t>, noting that the plaintiff ther</w:t>
      </w:r>
      <w:r w:rsidR="00403718">
        <w:t xml:space="preserve">e </w:t>
      </w:r>
      <w:r w:rsidR="001865EE">
        <w:t>was not</w:t>
      </w:r>
      <w:r w:rsidR="0066516F">
        <w:t xml:space="preserve"> </w:t>
      </w:r>
      <w:r>
        <w:t>seeking public injunctive relief because his requested injunction would only</w:t>
      </w:r>
      <w:r w:rsidR="00D17C0D">
        <w:t xml:space="preserve"> </w:t>
      </w:r>
      <w:r w:rsidR="00FB30F1">
        <w:t>benefit</w:t>
      </w:r>
      <w:r>
        <w:t xml:space="preserve"> “those who actually sign lending agreements.”  (</w:t>
      </w:r>
      <w:r w:rsidRPr="00D95164">
        <w:rPr>
          <w:i/>
          <w:iCs/>
        </w:rPr>
        <w:t>Id.</w:t>
      </w:r>
      <w:r>
        <w:t xml:space="preserve"> at p. 545.)  </w:t>
      </w:r>
    </w:p>
    <w:p w:rsidR="00D17C0D" w:rsidRPr="00CC0C95" w:rsidP="00507AD0" w14:paraId="705AFA97" w14:textId="507430B4">
      <w:pPr>
        <w:pStyle w:val="ListParagraph"/>
        <w:numPr>
          <w:ilvl w:val="0"/>
          <w:numId w:val="15"/>
        </w:numPr>
        <w:rPr>
          <w:i/>
          <w:iCs/>
        </w:rPr>
      </w:pPr>
      <w:r w:rsidRPr="00CC0C95">
        <w:rPr>
          <w:i/>
          <w:iCs/>
        </w:rPr>
        <w:t xml:space="preserve">Mejia and Maldonado </w:t>
      </w:r>
      <w:r w:rsidR="00DD0DCA">
        <w:rPr>
          <w:i/>
          <w:iCs/>
        </w:rPr>
        <w:t>A</w:t>
      </w:r>
      <w:r w:rsidRPr="00CC0C95">
        <w:rPr>
          <w:i/>
          <w:iCs/>
        </w:rPr>
        <w:t xml:space="preserve">re More </w:t>
      </w:r>
      <w:r w:rsidR="006722E2">
        <w:rPr>
          <w:i/>
          <w:iCs/>
        </w:rPr>
        <w:t>Consistent with McGill</w:t>
      </w:r>
    </w:p>
    <w:p w:rsidR="00757652" w:rsidP="00757652" w14:paraId="317D391B" w14:textId="2E2294E9">
      <w:r>
        <w:tab/>
      </w:r>
      <w:r w:rsidR="00EA0B5C">
        <w:t>The d</w:t>
      </w:r>
      <w:r>
        <w:t xml:space="preserve">efinition of public injunctive relief </w:t>
      </w:r>
      <w:r w:rsidR="00EA0B5C">
        <w:t xml:space="preserve">the courts set forth in </w:t>
      </w:r>
      <w:r w:rsidRPr="00EA0B5C" w:rsidR="00EA0B5C">
        <w:rPr>
          <w:i/>
          <w:iCs/>
        </w:rPr>
        <w:t xml:space="preserve">Mejia </w:t>
      </w:r>
      <w:r w:rsidRPr="00EA0B5C" w:rsidR="00EA0B5C">
        <w:t xml:space="preserve">and </w:t>
      </w:r>
      <w:r w:rsidRPr="00EA0B5C" w:rsidR="00EA0B5C">
        <w:rPr>
          <w:i/>
          <w:iCs/>
        </w:rPr>
        <w:t>Maldonado</w:t>
      </w:r>
      <w:r w:rsidR="00EA0B5C">
        <w:t xml:space="preserve"> is </w:t>
      </w:r>
      <w:r w:rsidR="0072113B">
        <w:t>consistent</w:t>
      </w:r>
      <w:r>
        <w:t xml:space="preserve"> with </w:t>
      </w:r>
      <w:r w:rsidRPr="00403718">
        <w:rPr>
          <w:i/>
          <w:iCs/>
        </w:rPr>
        <w:t>McGill</w:t>
      </w:r>
      <w:r>
        <w:t xml:space="preserve">, </w:t>
      </w:r>
      <w:r w:rsidR="0072113B">
        <w:t xml:space="preserve">in </w:t>
      </w:r>
      <w:r>
        <w:t xml:space="preserve">which </w:t>
      </w:r>
      <w:r w:rsidR="0072113B">
        <w:t xml:space="preserve">our Supreme Court </w:t>
      </w:r>
      <w:r>
        <w:t xml:space="preserve">expressly recognized injunctions issued under the CLRA and UCL as injunctions </w:t>
      </w:r>
      <w:r w:rsidR="001E66A8">
        <w:t>that benefit the public.</w:t>
      </w:r>
      <w:r>
        <w:t xml:space="preserve"> </w:t>
      </w:r>
      <w:r w:rsidR="00073DCE">
        <w:t xml:space="preserve"> </w:t>
      </w:r>
      <w:r>
        <w:t>(</w:t>
      </w:r>
      <w:r w:rsidR="001E66A8">
        <w:t xml:space="preserve">See </w:t>
      </w:r>
      <w:r w:rsidRPr="001E66A8">
        <w:rPr>
          <w:i/>
          <w:iCs/>
        </w:rPr>
        <w:t>McGill, supra</w:t>
      </w:r>
      <w:r>
        <w:t>,</w:t>
      </w:r>
      <w:r w:rsidR="001E66A8">
        <w:t xml:space="preserve"> 2 Cal.5th</w:t>
      </w:r>
      <w:r>
        <w:t xml:space="preserve"> at p. </w:t>
      </w:r>
      <w:r w:rsidR="001E66A8">
        <w:t>955</w:t>
      </w:r>
      <w:r>
        <w:t xml:space="preserve">.)  Injunctive relief under the CLRA and UCL is precisely </w:t>
      </w:r>
      <w:r w:rsidR="001E66A8">
        <w:t>what</w:t>
      </w:r>
      <w:r>
        <w:t xml:space="preserve"> plaintiffs sought in </w:t>
      </w:r>
      <w:r w:rsidRPr="001E66A8">
        <w:rPr>
          <w:i/>
          <w:iCs/>
        </w:rPr>
        <w:t xml:space="preserve">Mejia </w:t>
      </w:r>
      <w:r w:rsidRPr="001E66A8">
        <w:t xml:space="preserve">and </w:t>
      </w:r>
      <w:r w:rsidRPr="001E66A8">
        <w:rPr>
          <w:i/>
          <w:iCs/>
        </w:rPr>
        <w:t>Maldonado</w:t>
      </w:r>
      <w:r>
        <w:t xml:space="preserve">, and </w:t>
      </w:r>
      <w:r w:rsidR="001E66A8">
        <w:t xml:space="preserve">what </w:t>
      </w:r>
      <w:r>
        <w:t>Ramsey seeks here.</w:t>
      </w:r>
      <w:r w:rsidR="00027EA2">
        <w:t xml:space="preserve">  </w:t>
      </w:r>
      <w:r w:rsidR="004E0001">
        <w:t xml:space="preserve">In our view, </w:t>
      </w:r>
      <w:r w:rsidRPr="001E66A8">
        <w:rPr>
          <w:i/>
          <w:iCs/>
        </w:rPr>
        <w:t xml:space="preserve">Mejia </w:t>
      </w:r>
      <w:r w:rsidRPr="001E66A8">
        <w:t>and</w:t>
      </w:r>
      <w:r w:rsidRPr="001E66A8">
        <w:rPr>
          <w:i/>
          <w:iCs/>
        </w:rPr>
        <w:t xml:space="preserve"> Maldonado</w:t>
      </w:r>
      <w:r w:rsidRPr="001E66A8">
        <w:t xml:space="preserve">’s </w:t>
      </w:r>
      <w:r>
        <w:t xml:space="preserve">definition of public injunctive relief </w:t>
      </w:r>
      <w:r w:rsidR="00EA0B5C">
        <w:t xml:space="preserve">also </w:t>
      </w:r>
      <w:r>
        <w:t xml:space="preserve">better </w:t>
      </w:r>
      <w:r w:rsidR="001E66A8">
        <w:t>reflects the</w:t>
      </w:r>
      <w:r>
        <w:t xml:space="preserve"> overarching purpose of the consumer protection statutes.  While the requested injunction i</w:t>
      </w:r>
      <w:r w:rsidR="001E66A8">
        <w:t>n those cases and here</w:t>
      </w:r>
      <w:r>
        <w:t xml:space="preserve"> may not benefit the entire public as a </w:t>
      </w:r>
      <w:r w:rsidR="00A672F4">
        <w:t>“</w:t>
      </w:r>
      <w:r>
        <w:t xml:space="preserve">diffuse whole,” we agree with the court in </w:t>
      </w:r>
      <w:r w:rsidRPr="00341939">
        <w:rPr>
          <w:i/>
          <w:iCs/>
        </w:rPr>
        <w:t>Maldonado</w:t>
      </w:r>
      <w:r>
        <w:t xml:space="preserve"> that “a requested injunction cannot be deemed private simply because [a business] could not possibly advertise to, or enter into agreements with, every person in California</w:t>
      </w:r>
      <w:r w:rsidR="00CA3357">
        <w:t xml:space="preserve"> . . . .</w:t>
      </w:r>
      <w:r w:rsidRPr="00CA3357" w:rsidR="00CA3357">
        <w:t xml:space="preserve"> </w:t>
      </w:r>
      <w:r w:rsidR="00073DCE">
        <w:t xml:space="preserve"> </w:t>
      </w:r>
      <w:r w:rsidRPr="00CA3357" w:rsidR="00CA3357">
        <w:t xml:space="preserve">Such a holding would allow </w:t>
      </w:r>
      <w:r w:rsidR="00CA3357">
        <w:t>[th</w:t>
      </w:r>
      <w:r w:rsidR="00154EE8">
        <w:t xml:space="preserve">at </w:t>
      </w:r>
      <w:r w:rsidR="00CA3357">
        <w:t>business]</w:t>
      </w:r>
      <w:r w:rsidRPr="00CA3357" w:rsidR="00CA3357">
        <w:t xml:space="preserve"> to continue violating the UCL and CLRA because consumers harmed by the unlawful practices would be unable to act as a private attorney general and seek redress on behalf of the public.</w:t>
      </w:r>
      <w:r w:rsidR="00CA3357">
        <w:t xml:space="preserve">”  </w:t>
      </w:r>
      <w:r>
        <w:t>(</w:t>
      </w:r>
      <w:r w:rsidRPr="006955F4" w:rsidR="001E66A8">
        <w:rPr>
          <w:i/>
          <w:iCs/>
        </w:rPr>
        <w:t>Maldonado, supra</w:t>
      </w:r>
      <w:r w:rsidR="001E66A8">
        <w:t>, 60 Cal.App.5th at p</w:t>
      </w:r>
      <w:r w:rsidR="003D2CDB">
        <w:t>p.</w:t>
      </w:r>
      <w:r w:rsidR="001E66A8">
        <w:t xml:space="preserve"> 722-723.)</w:t>
      </w:r>
      <w:r w:rsidR="00DC2CD9">
        <w:t xml:space="preserve">  </w:t>
      </w:r>
      <w:r w:rsidRPr="00341939">
        <w:rPr>
          <w:i/>
          <w:iCs/>
        </w:rPr>
        <w:t>McGill</w:t>
      </w:r>
      <w:r w:rsidR="00DC2CD9">
        <w:t xml:space="preserve"> </w:t>
      </w:r>
      <w:r w:rsidR="004E0001">
        <w:t>did not require that</w:t>
      </w:r>
      <w:r w:rsidR="00FC3BB9">
        <w:t xml:space="preserve"> </w:t>
      </w:r>
      <w:r>
        <w:t xml:space="preserve">public injunctive relief have such </w:t>
      </w:r>
      <w:r w:rsidR="004E0001">
        <w:t xml:space="preserve">a </w:t>
      </w:r>
      <w:r>
        <w:t xml:space="preserve">universal reach.  </w:t>
      </w:r>
    </w:p>
    <w:p w:rsidR="00F840F0" w:rsidP="00757652" w14:paraId="0B90B257" w14:textId="043D24AD">
      <w:r>
        <w:tab/>
        <w:t>Finally, we disagree</w:t>
      </w:r>
      <w:r w:rsidR="00EA0B5C">
        <w:t xml:space="preserve"> </w:t>
      </w:r>
      <w:r w:rsidR="00433952">
        <w:t xml:space="preserve">with the </w:t>
      </w:r>
      <w:r w:rsidR="0072113B">
        <w:t xml:space="preserve">majority in </w:t>
      </w:r>
      <w:r w:rsidRPr="00433952" w:rsidR="00433952">
        <w:rPr>
          <w:i/>
          <w:iCs/>
        </w:rPr>
        <w:t xml:space="preserve">Hodges </w:t>
      </w:r>
      <w:r>
        <w:t>that the</w:t>
      </w:r>
      <w:r w:rsidR="001E66A8">
        <w:t xml:space="preserve"> requested</w:t>
      </w:r>
      <w:r>
        <w:t xml:space="preserve"> injunctions in </w:t>
      </w:r>
      <w:r w:rsidRPr="001E66A8">
        <w:rPr>
          <w:i/>
          <w:iCs/>
        </w:rPr>
        <w:t xml:space="preserve">Mejia </w:t>
      </w:r>
      <w:r w:rsidRPr="001E66A8">
        <w:t>and</w:t>
      </w:r>
      <w:r w:rsidRPr="001E66A8">
        <w:rPr>
          <w:i/>
          <w:iCs/>
        </w:rPr>
        <w:t xml:space="preserve"> Maldonado </w:t>
      </w:r>
      <w:r>
        <w:t xml:space="preserve">stood to benefit only those who purchased motorcycles or </w:t>
      </w:r>
      <w:r w:rsidR="00FC3BB9">
        <w:t>signed lending agreements</w:t>
      </w:r>
      <w:r>
        <w:t>.</w:t>
      </w:r>
      <w:r w:rsidR="00083C40">
        <w:t xml:space="preserve">  </w:t>
      </w:r>
      <w:r>
        <w:t>(</w:t>
      </w:r>
      <w:r w:rsidR="00EA0B5C">
        <w:t xml:space="preserve">See </w:t>
      </w:r>
      <w:r w:rsidRPr="006F764E">
        <w:rPr>
          <w:i/>
          <w:iCs/>
        </w:rPr>
        <w:t>Hodges, supra</w:t>
      </w:r>
      <w:r>
        <w:t xml:space="preserve">, 21 F.4th at pp. 544-545.)  </w:t>
      </w:r>
      <w:r w:rsidR="0072113B">
        <w:t>We find compelling the reasoning of the dissent</w:t>
      </w:r>
      <w:r>
        <w:t xml:space="preserve">, </w:t>
      </w:r>
      <w:r w:rsidR="0072113B">
        <w:t xml:space="preserve">which </w:t>
      </w:r>
      <w:r w:rsidR="007702D7">
        <w:t xml:space="preserve">observed that </w:t>
      </w:r>
      <w:r>
        <w:t xml:space="preserve">an injunction requiring a dealership to provide consumers with statutorily mandated disclosures in a single document, though not benefiting every member of the public, would benefit “potential </w:t>
      </w:r>
      <w:r w:rsidRPr="00814D74">
        <w:rPr>
          <w:i/>
          <w:iCs/>
        </w:rPr>
        <w:t>and</w:t>
      </w:r>
      <w:r>
        <w:t xml:space="preserve"> actual purchasers of motorcycles . . . when they are considering whether to enter into a transaction.”  (</w:t>
      </w:r>
      <w:r w:rsidRPr="00814D74">
        <w:rPr>
          <w:i/>
          <w:iCs/>
        </w:rPr>
        <w:t>I</w:t>
      </w:r>
      <w:r>
        <w:rPr>
          <w:i/>
          <w:iCs/>
        </w:rPr>
        <w:t xml:space="preserve">d. </w:t>
      </w:r>
      <w:r w:rsidRPr="00F840F0">
        <w:t>at p</w:t>
      </w:r>
      <w:r>
        <w:t>p</w:t>
      </w:r>
      <w:r w:rsidRPr="00F840F0">
        <w:t>.</w:t>
      </w:r>
      <w:r>
        <w:t xml:space="preserve"> 551-552</w:t>
      </w:r>
      <w:r w:rsidRPr="00F840F0">
        <w:t>.)</w:t>
      </w:r>
      <w:r>
        <w:t xml:space="preserve">  </w:t>
      </w:r>
      <w:r w:rsidR="00083C40">
        <w:t>Similarly, a</w:t>
      </w:r>
      <w:r>
        <w:t xml:space="preserve">n injunction prohibiting a lender from charging “unconscionable interest rates” would benefit not only those who took out loans, but any member of the public </w:t>
      </w:r>
      <w:r w:rsidR="00887679">
        <w:t xml:space="preserve">with limited credit options </w:t>
      </w:r>
      <w:r>
        <w:t>who find themselves in need of cash.  (</w:t>
      </w:r>
      <w:r w:rsidRPr="00F840F0">
        <w:rPr>
          <w:i/>
          <w:iCs/>
        </w:rPr>
        <w:t>Ibid</w:t>
      </w:r>
      <w:r>
        <w:t xml:space="preserve">.)  </w:t>
      </w:r>
    </w:p>
    <w:p w:rsidR="004B309C" w:rsidP="00757652" w14:paraId="2240CD62" w14:textId="582E5EA1">
      <w:r>
        <w:tab/>
      </w:r>
      <w:r w:rsidR="002A6A2B">
        <w:t xml:space="preserve">The </w:t>
      </w:r>
      <w:r w:rsidR="00233E38">
        <w:t>injunctive</w:t>
      </w:r>
      <w:r w:rsidR="002A6A2B">
        <w:t xml:space="preserve"> relief </w:t>
      </w:r>
      <w:r w:rsidR="00002F0E">
        <w:t xml:space="preserve">Ramsey seeks in this case would require </w:t>
      </w:r>
      <w:r w:rsidR="00757652">
        <w:t xml:space="preserve">Comcast to cease </w:t>
      </w:r>
      <w:r w:rsidR="00AB4223">
        <w:t>its</w:t>
      </w:r>
      <w:r w:rsidR="00757652">
        <w:t xml:space="preserve"> “unfair or deceptive practices” and provide increased pricing transparency</w:t>
      </w:r>
      <w:r w:rsidR="00E072CC">
        <w:t>.  Such relief</w:t>
      </w:r>
      <w:r w:rsidR="00757652">
        <w:t xml:space="preserve"> would benefit not only those who subscribe to Comcast (such as Ramsey), but any member of the public considering such a subscription</w:t>
      </w:r>
      <w:r w:rsidR="008C267A">
        <w:t>, by</w:t>
      </w:r>
      <w:r w:rsidR="00757652">
        <w:t xml:space="preserve"> </w:t>
      </w:r>
      <w:r w:rsidR="000E4D40">
        <w:t>“</w:t>
      </w:r>
      <w:r w:rsidR="00757652">
        <w:t xml:space="preserve">preventing </w:t>
      </w:r>
      <w:r w:rsidR="00002F0E">
        <w:t>[Comcast]</w:t>
      </w:r>
      <w:r w:rsidR="00757652">
        <w:t xml:space="preserve"> from contracting or proposing to contract with any member of the public–not just current customers–on unfair terms.”  (</w:t>
      </w:r>
      <w:r w:rsidR="008C267A">
        <w:rPr>
          <w:i/>
          <w:iCs/>
        </w:rPr>
        <w:t xml:space="preserve">Hodges, </w:t>
      </w:r>
      <w:r w:rsidRPr="00AB4223" w:rsidR="008C267A">
        <w:rPr>
          <w:i/>
          <w:iCs/>
        </w:rPr>
        <w:t>supra</w:t>
      </w:r>
      <w:r w:rsidR="008C267A">
        <w:t>, 21 F.4th at</w:t>
      </w:r>
      <w:r w:rsidR="00757652">
        <w:t xml:space="preserve"> p. 551.)  This is the essence of what the consumer protection statutes are designed to do.  (</w:t>
      </w:r>
      <w:r w:rsidRPr="00EF13B5" w:rsidR="00757652">
        <w:rPr>
          <w:i/>
          <w:iCs/>
        </w:rPr>
        <w:t>McGill</w:t>
      </w:r>
      <w:r w:rsidRPr="00EF13B5" w:rsidR="00EF13B5">
        <w:rPr>
          <w:i/>
          <w:iCs/>
        </w:rPr>
        <w:t>, supra</w:t>
      </w:r>
      <w:r w:rsidRPr="00EF13B5" w:rsidR="00EF13B5">
        <w:t>, 2 Cal.5th at p.</w:t>
      </w:r>
      <w:r w:rsidR="00353A20">
        <w:t> </w:t>
      </w:r>
      <w:r w:rsidRPr="00EF13B5" w:rsidR="00EF13B5">
        <w:t>954</w:t>
      </w:r>
      <w:r w:rsidRPr="00EF13B5" w:rsidR="00757652">
        <w:t xml:space="preserve"> [purpose of CLRA is to “protect consumers against unfair and deceptive business practices,” and purpose of UCL is to </w:t>
      </w:r>
      <w:r w:rsidR="00EF13B5">
        <w:t>“</w:t>
      </w:r>
      <w:r w:rsidRPr="00EF13B5" w:rsidR="00757652">
        <w:t>prevent “</w:t>
      </w:r>
      <w:r w:rsidRPr="00EF13B5" w:rsidR="00EF13B5">
        <w:t>protect both consumers and competitors by promoting fair competition</w:t>
      </w:r>
      <w:r w:rsidR="00EF13B5">
        <w:t>”</w:t>
      </w:r>
      <w:r w:rsidRPr="00EF13B5" w:rsidR="00757652">
        <w:t>].)</w:t>
      </w:r>
      <w:r>
        <w:rPr>
          <w:rStyle w:val="FootnoteReference"/>
        </w:rPr>
        <w:footnoteReference w:id="4"/>
      </w:r>
      <w:r w:rsidR="00757652">
        <w:t xml:space="preserve">  </w:t>
      </w:r>
    </w:p>
    <w:p w:rsidR="00870C9C" w:rsidP="005345E9" w14:paraId="138766BC" w14:textId="014659C5">
      <w:r>
        <w:tab/>
      </w:r>
      <w:r w:rsidR="000C6C46">
        <w:t xml:space="preserve">Because the </w:t>
      </w:r>
      <w:r w:rsidR="00DC2CD9">
        <w:t xml:space="preserve">relief </w:t>
      </w:r>
      <w:r w:rsidR="000C6C46">
        <w:t xml:space="preserve">Ramsey requests </w:t>
      </w:r>
      <w:r w:rsidR="002A7FD2">
        <w:t xml:space="preserve">both </w:t>
      </w:r>
      <w:r w:rsidR="00027EA2">
        <w:t xml:space="preserve">“seeks to enjoin future violations of California’s consumer protection statutes,” and is “oriented to and for the benefit of the general public,” </w:t>
      </w:r>
      <w:r w:rsidR="00BF76A5">
        <w:t>it</w:t>
      </w:r>
      <w:r w:rsidR="00F840F0">
        <w:t xml:space="preserve"> falls</w:t>
      </w:r>
      <w:r w:rsidR="00CC0C95">
        <w:t xml:space="preserve"> within </w:t>
      </w:r>
      <w:r w:rsidRPr="00F840F0" w:rsidR="00CC0C95">
        <w:rPr>
          <w:i/>
          <w:iCs/>
        </w:rPr>
        <w:t>McGill</w:t>
      </w:r>
      <w:r w:rsidR="00CC0C95">
        <w:t xml:space="preserve">’s definition of </w:t>
      </w:r>
      <w:r w:rsidR="00F840F0">
        <w:t>public injunctive relief</w:t>
      </w:r>
      <w:r w:rsidR="00BF76A5">
        <w:t>.</w:t>
      </w:r>
      <w:r w:rsidR="00027EA2">
        <w:t xml:space="preserve">  (See </w:t>
      </w:r>
      <w:r w:rsidRPr="00E80AB6" w:rsidR="00027EA2">
        <w:rPr>
          <w:i/>
          <w:iCs/>
        </w:rPr>
        <w:t>Mejia</w:t>
      </w:r>
      <w:r w:rsidR="00027EA2">
        <w:t xml:space="preserve">, </w:t>
      </w:r>
      <w:r w:rsidRPr="00E80AB6" w:rsidR="00027EA2">
        <w:rPr>
          <w:i/>
          <w:iCs/>
        </w:rPr>
        <w:t>supra</w:t>
      </w:r>
      <w:r w:rsidR="00027EA2">
        <w:t xml:space="preserve">, 54 Cal.App.5th at p. 703.)  </w:t>
      </w:r>
    </w:p>
    <w:p w:rsidR="00E909FF" w:rsidRPr="00852C9C" w:rsidP="00852C9C" w14:paraId="7E80B473" w14:textId="7BEA8F08">
      <w:pPr>
        <w:pStyle w:val="ListParagraph"/>
        <w:numPr>
          <w:ilvl w:val="0"/>
          <w:numId w:val="6"/>
        </w:numPr>
        <w:rPr>
          <w:b/>
          <w:bCs/>
        </w:rPr>
      </w:pPr>
      <w:r w:rsidRPr="00121AEA">
        <w:rPr>
          <w:b/>
          <w:bCs/>
          <w:i/>
          <w:iCs/>
        </w:rPr>
        <w:t>The FAA Does Not Preempt</w:t>
      </w:r>
      <w:r w:rsidRPr="00852C9C">
        <w:rPr>
          <w:b/>
          <w:bCs/>
        </w:rPr>
        <w:t xml:space="preserve"> </w:t>
      </w:r>
      <w:r w:rsidRPr="00121AEA">
        <w:rPr>
          <w:b/>
          <w:bCs/>
        </w:rPr>
        <w:t>McGill</w:t>
      </w:r>
      <w:r w:rsidRPr="00852C9C">
        <w:rPr>
          <w:b/>
          <w:bCs/>
          <w:i/>
          <w:iCs/>
        </w:rPr>
        <w:t xml:space="preserve"> </w:t>
      </w:r>
    </w:p>
    <w:p w:rsidR="00C45AE6" w:rsidP="00C45AE6" w14:paraId="11096347" w14:textId="2E08CE09">
      <w:r>
        <w:tab/>
        <w:t xml:space="preserve">Lastly, Comcast argues that the FAA preempts </w:t>
      </w:r>
      <w:r w:rsidRPr="00CF3586">
        <w:rPr>
          <w:i/>
          <w:iCs/>
        </w:rPr>
        <w:t>McGill</w:t>
      </w:r>
      <w:r>
        <w:t>.</w:t>
      </w:r>
      <w:r w:rsidR="00353A20">
        <w:t xml:space="preserve"> </w:t>
      </w:r>
      <w:r>
        <w:t xml:space="preserve"> The </w:t>
      </w:r>
      <w:r w:rsidR="00073DCE">
        <w:t>S</w:t>
      </w:r>
      <w:r>
        <w:t xml:space="preserve">upreme </w:t>
      </w:r>
      <w:r w:rsidR="00073DCE">
        <w:t>C</w:t>
      </w:r>
      <w:r>
        <w:t xml:space="preserve">ourt held in </w:t>
      </w:r>
      <w:r w:rsidRPr="00DE5A57">
        <w:rPr>
          <w:i/>
          <w:iCs/>
        </w:rPr>
        <w:t xml:space="preserve">McGill </w:t>
      </w:r>
      <w:r>
        <w:t xml:space="preserve">itself that there </w:t>
      </w:r>
      <w:r w:rsidR="00655E21">
        <w:t>is no</w:t>
      </w:r>
      <w:r>
        <w:t xml:space="preserve"> preemption</w:t>
      </w:r>
      <w:r w:rsidR="00B16310">
        <w:t>.  (</w:t>
      </w:r>
      <w:r w:rsidRPr="00DE5A57" w:rsidR="00B16310">
        <w:rPr>
          <w:i/>
          <w:iCs/>
        </w:rPr>
        <w:t>McGill, supra</w:t>
      </w:r>
      <w:r w:rsidR="00B16310">
        <w:t xml:space="preserve">, </w:t>
      </w:r>
      <w:r w:rsidR="00DE5A57">
        <w:t>2 Cal.5th at p. 963</w:t>
      </w:r>
      <w:r w:rsidR="002432ED">
        <w:t xml:space="preserve">; </w:t>
      </w:r>
      <w:r w:rsidRPr="00DE5A57" w:rsidR="002432ED">
        <w:rPr>
          <w:i/>
          <w:iCs/>
        </w:rPr>
        <w:t>Maldonado, supra</w:t>
      </w:r>
      <w:r w:rsidR="002432ED">
        <w:t>,</w:t>
      </w:r>
      <w:r w:rsidR="00DE5A57">
        <w:t xml:space="preserve"> 60 Cal.App.5th</w:t>
      </w:r>
      <w:r w:rsidR="002432ED">
        <w:t xml:space="preserve"> at p.</w:t>
      </w:r>
      <w:r w:rsidR="00DE5A57">
        <w:t xml:space="preserve"> 724 [rejecting Lender’s argument that</w:t>
      </w:r>
      <w:r w:rsidR="00CF3586">
        <w:t xml:space="preserve"> the</w:t>
      </w:r>
      <w:r w:rsidR="00DE5A57">
        <w:t xml:space="preserve"> FAA preempts </w:t>
      </w:r>
      <w:r w:rsidRPr="00DE5A57" w:rsidR="00DE5A57">
        <w:rPr>
          <w:i/>
          <w:iCs/>
        </w:rPr>
        <w:t>McGill</w:t>
      </w:r>
      <w:r w:rsidR="00DE5A57">
        <w:t>]</w:t>
      </w:r>
      <w:r w:rsidR="002432ED">
        <w:t>.</w:t>
      </w:r>
      <w:r w:rsidR="00B16310">
        <w:t xml:space="preserve">)  </w:t>
      </w:r>
      <w:r w:rsidR="00D445D9">
        <w:t>As Comcast acknowledges, we</w:t>
      </w:r>
      <w:r>
        <w:t xml:space="preserve"> are bound to follow </w:t>
      </w:r>
      <w:r w:rsidR="007C0171">
        <w:t>Supreme Court</w:t>
      </w:r>
      <w:r>
        <w:t xml:space="preserve"> precedent.  (</w:t>
      </w:r>
      <w:r w:rsidRPr="002432ED">
        <w:rPr>
          <w:i/>
          <w:iCs/>
        </w:rPr>
        <w:t xml:space="preserve">Auto Equity Sales, Inc. v. </w:t>
      </w:r>
      <w:r w:rsidRPr="002432ED" w:rsidR="002432ED">
        <w:rPr>
          <w:i/>
          <w:iCs/>
        </w:rPr>
        <w:t>Superior</w:t>
      </w:r>
      <w:r w:rsidRPr="002432ED">
        <w:rPr>
          <w:i/>
          <w:iCs/>
        </w:rPr>
        <w:t xml:space="preserve"> Court</w:t>
      </w:r>
      <w:r>
        <w:t xml:space="preserve"> (1962) 57 Cal.2d 450, 455.)  </w:t>
      </w:r>
      <w:r w:rsidR="00B16310">
        <w:t>We do so here, concluding</w:t>
      </w:r>
      <w:r>
        <w:t xml:space="preserve"> that </w:t>
      </w:r>
      <w:r w:rsidR="00B16310">
        <w:t xml:space="preserve">the FAA does not preempt </w:t>
      </w:r>
      <w:r w:rsidRPr="00DE5A57" w:rsidR="00B16310">
        <w:rPr>
          <w:i/>
          <w:iCs/>
        </w:rPr>
        <w:t>McGill.</w:t>
      </w:r>
      <w:r w:rsidR="00B16310">
        <w:t xml:space="preserve"> </w:t>
      </w:r>
    </w:p>
    <w:p w:rsidR="00C45AE6" w:rsidRPr="004D7EE5" w:rsidP="004D7EE5" w14:paraId="164D4F18" w14:textId="406E1F08">
      <w:pPr>
        <w:pStyle w:val="ListParagraph"/>
        <w:numPr>
          <w:ilvl w:val="0"/>
          <w:numId w:val="1"/>
        </w:numPr>
        <w:jc w:val="center"/>
        <w:rPr>
          <w:b/>
          <w:smallCaps/>
        </w:rPr>
      </w:pPr>
      <w:r w:rsidRPr="004D7EE5">
        <w:rPr>
          <w:b/>
          <w:smallCaps/>
        </w:rPr>
        <w:t>Disposition</w:t>
      </w:r>
    </w:p>
    <w:p w:rsidR="00C45AE6" w:rsidP="00C45AE6" w14:paraId="5BA94148" w14:textId="02EE91A5">
      <w:r>
        <w:tab/>
        <w:t xml:space="preserve">The order denying </w:t>
      </w:r>
      <w:r w:rsidR="000C6C46">
        <w:t xml:space="preserve">the </w:t>
      </w:r>
      <w:r>
        <w:t xml:space="preserve">petition to compel arbitration is affirmed. </w:t>
      </w:r>
    </w:p>
    <w:p w:rsidR="00BF4C89" w:rsidP="00C45AE6" w14:paraId="36F4AECB" w14:textId="77777777">
      <w:pPr>
        <w:sectPr w:rsidSect="00631AB6">
          <w:footerReference w:type="default" r:id="rId6"/>
          <w:pgSz w:w="12240" w:h="15840"/>
          <w:pgMar w:top="1440" w:right="1440" w:bottom="1440" w:left="1440" w:header="720" w:footer="720" w:gutter="0"/>
          <w:cols w:space="720"/>
          <w:titlePg/>
          <w:docGrid w:linePitch="360"/>
        </w:sectPr>
      </w:pPr>
    </w:p>
    <w:p w:rsidR="00BF4C89" w:rsidRPr="00BF4C89" w:rsidP="00BF4C89" w14:paraId="0D8987F8" w14:textId="77777777">
      <w:pPr>
        <w:widowControl w:val="0"/>
        <w:tabs>
          <w:tab w:val="clear" w:pos="720"/>
        </w:tabs>
        <w:autoSpaceDE w:val="0"/>
        <w:autoSpaceDN w:val="0"/>
        <w:spacing w:line="240" w:lineRule="auto"/>
        <w:rPr>
          <w:rFonts w:eastAsia="Times New Roman"/>
          <w:sz w:val="20"/>
          <w:szCs w:val="26"/>
        </w:rPr>
      </w:pPr>
      <w:bookmarkStart w:id="6" w:name="_Hlk133314111"/>
    </w:p>
    <w:p w:rsidR="00BF4C89" w:rsidRPr="00BF4C89" w:rsidP="00BF4C89" w14:paraId="7031DC0E" w14:textId="77777777">
      <w:pPr>
        <w:widowControl w:val="0"/>
        <w:tabs>
          <w:tab w:val="clear" w:pos="720"/>
        </w:tabs>
        <w:autoSpaceDE w:val="0"/>
        <w:autoSpaceDN w:val="0"/>
        <w:spacing w:line="240" w:lineRule="auto"/>
        <w:rPr>
          <w:rFonts w:eastAsia="Times New Roman"/>
          <w:sz w:val="20"/>
          <w:szCs w:val="26"/>
        </w:rPr>
      </w:pPr>
      <w:bookmarkStart w:id="7" w:name="_Hlk146791549"/>
    </w:p>
    <w:p w:rsidR="00BF4C89" w:rsidRPr="00BF4C89" w:rsidP="00BF4C89" w14:paraId="43D3F04F" w14:textId="77777777">
      <w:pPr>
        <w:widowControl w:val="0"/>
        <w:tabs>
          <w:tab w:val="clear" w:pos="720"/>
        </w:tabs>
        <w:autoSpaceDE w:val="0"/>
        <w:autoSpaceDN w:val="0"/>
        <w:spacing w:line="240" w:lineRule="auto"/>
        <w:ind w:left="3600" w:firstLine="720"/>
        <w:rPr>
          <w:rFonts w:eastAsia="Times New Roman"/>
          <w:szCs w:val="26"/>
        </w:rPr>
      </w:pPr>
      <w:r w:rsidRPr="00BF4C89">
        <w:rPr>
          <w:rFonts w:eastAsia="Times New Roman"/>
          <w:szCs w:val="26"/>
        </w:rPr>
        <w:t>_______________________________</w:t>
      </w:r>
    </w:p>
    <w:p w:rsidR="00BF4C89" w:rsidRPr="00BF4C89" w:rsidP="00BF4C89" w14:paraId="34B6DDD8" w14:textId="77777777">
      <w:pPr>
        <w:widowControl w:val="0"/>
        <w:tabs>
          <w:tab w:val="clear" w:pos="720"/>
        </w:tabs>
        <w:autoSpaceDE w:val="0"/>
        <w:autoSpaceDN w:val="0"/>
        <w:spacing w:line="240" w:lineRule="auto"/>
        <w:rPr>
          <w:rFonts w:eastAsia="Times New Roman"/>
          <w:sz w:val="20"/>
          <w:szCs w:val="26"/>
        </w:rPr>
      </w:pPr>
      <w:r w:rsidRPr="00BF4C89">
        <w:rPr>
          <w:rFonts w:eastAsia="Times New Roman"/>
          <w:szCs w:val="26"/>
        </w:rPr>
        <w:t xml:space="preserve">   </w:t>
      </w:r>
      <w:r w:rsidRPr="00BF4C89">
        <w:rPr>
          <w:rFonts w:eastAsia="Times New Roman"/>
          <w:szCs w:val="26"/>
        </w:rPr>
        <w:tab/>
      </w:r>
      <w:r w:rsidRPr="00BF4C89">
        <w:rPr>
          <w:rFonts w:eastAsia="Times New Roman"/>
          <w:szCs w:val="26"/>
        </w:rPr>
        <w:tab/>
      </w:r>
      <w:r w:rsidRPr="00BF4C89">
        <w:rPr>
          <w:rFonts w:eastAsia="Times New Roman"/>
          <w:szCs w:val="26"/>
        </w:rPr>
        <w:tab/>
      </w:r>
      <w:r w:rsidRPr="00BF4C89">
        <w:rPr>
          <w:rFonts w:eastAsia="Times New Roman"/>
          <w:szCs w:val="26"/>
        </w:rPr>
        <w:tab/>
      </w:r>
      <w:r w:rsidRPr="00BF4C89">
        <w:rPr>
          <w:rFonts w:eastAsia="Times New Roman"/>
          <w:szCs w:val="26"/>
        </w:rPr>
        <w:tab/>
        <w:t xml:space="preserve"> </w:t>
      </w:r>
      <w:r w:rsidRPr="00BF4C89">
        <w:rPr>
          <w:rFonts w:eastAsia="Times New Roman"/>
          <w:szCs w:val="26"/>
        </w:rPr>
        <w:tab/>
        <w:t xml:space="preserve">   Greenwood, P. J.</w:t>
      </w:r>
    </w:p>
    <w:p w:rsidR="00BF4C89" w:rsidRPr="00BF4C89" w:rsidP="00BF4C89" w14:paraId="66696475"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743FD729"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502E26FF"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159ADC15"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70F9C421"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38E6102A"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6D06DD91" w14:textId="77777777">
      <w:pPr>
        <w:widowControl w:val="0"/>
        <w:tabs>
          <w:tab w:val="clear" w:pos="720"/>
        </w:tabs>
        <w:autoSpaceDE w:val="0"/>
        <w:autoSpaceDN w:val="0"/>
        <w:spacing w:before="2" w:line="240" w:lineRule="auto"/>
        <w:rPr>
          <w:rFonts w:eastAsia="Times New Roman"/>
          <w:sz w:val="16"/>
          <w:szCs w:val="26"/>
        </w:rPr>
      </w:pPr>
    </w:p>
    <w:p w:rsidR="00BF4C89" w:rsidRPr="00BF4C89" w:rsidP="00BF4C89" w14:paraId="3B6EFA5D" w14:textId="77777777">
      <w:pPr>
        <w:widowControl w:val="0"/>
        <w:tabs>
          <w:tab w:val="clear" w:pos="720"/>
        </w:tabs>
        <w:autoSpaceDE w:val="0"/>
        <w:autoSpaceDN w:val="0"/>
        <w:spacing w:before="89" w:line="240" w:lineRule="auto"/>
        <w:ind w:left="112"/>
        <w:rPr>
          <w:rFonts w:eastAsia="Times New Roman"/>
          <w:szCs w:val="26"/>
        </w:rPr>
      </w:pPr>
      <w:r w:rsidRPr="00BF4C89">
        <w:rPr>
          <w:rFonts w:eastAsia="Times New Roman"/>
          <w:szCs w:val="26"/>
        </w:rPr>
        <w:t>WE</w:t>
      </w:r>
      <w:r w:rsidRPr="00BF4C89">
        <w:rPr>
          <w:rFonts w:eastAsia="Times New Roman"/>
          <w:spacing w:val="-2"/>
          <w:szCs w:val="26"/>
        </w:rPr>
        <w:t xml:space="preserve"> CONCUR:</w:t>
      </w:r>
    </w:p>
    <w:p w:rsidR="00BF4C89" w:rsidRPr="00BF4C89" w:rsidP="00BF4C89" w14:paraId="2B8790D6"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0ACC2D6C"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55F74D3E"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0B5B2888"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432E9730"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6D6AE59A" w14:textId="77777777">
      <w:pPr>
        <w:widowControl w:val="0"/>
        <w:tabs>
          <w:tab w:val="clear" w:pos="720"/>
        </w:tabs>
        <w:autoSpaceDE w:val="0"/>
        <w:autoSpaceDN w:val="0"/>
        <w:spacing w:line="240" w:lineRule="auto"/>
        <w:rPr>
          <w:rFonts w:eastAsia="Times New Roman"/>
          <w:szCs w:val="26"/>
        </w:rPr>
      </w:pPr>
      <w:r w:rsidRPr="00BF4C89">
        <w:rPr>
          <w:rFonts w:eastAsia="Times New Roman"/>
          <w:szCs w:val="26"/>
        </w:rPr>
        <w:t>_______________________________</w:t>
      </w:r>
    </w:p>
    <w:p w:rsidR="00BF4C89" w:rsidRPr="00BF4C89" w:rsidP="00BF4C89" w14:paraId="38F724A1" w14:textId="77777777">
      <w:pPr>
        <w:widowControl w:val="0"/>
        <w:tabs>
          <w:tab w:val="clear" w:pos="720"/>
        </w:tabs>
        <w:autoSpaceDE w:val="0"/>
        <w:autoSpaceDN w:val="0"/>
        <w:spacing w:line="240" w:lineRule="auto"/>
        <w:rPr>
          <w:rFonts w:eastAsia="Times New Roman"/>
          <w:szCs w:val="26"/>
        </w:rPr>
      </w:pPr>
      <w:r w:rsidRPr="00BF4C89">
        <w:rPr>
          <w:rFonts w:eastAsia="Times New Roman"/>
          <w:szCs w:val="26"/>
        </w:rPr>
        <w:t xml:space="preserve">    Grover, J. </w:t>
      </w:r>
    </w:p>
    <w:p w:rsidR="00BF4C89" w:rsidRPr="00BF4C89" w:rsidP="00BF4C89" w14:paraId="7C450CAD"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00044109"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3E3FB73C"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2D653EC8"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20265906"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7A31F0E6"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68F3B0D2"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67D35F7F"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33038AF7"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29F6FAED" w14:textId="77777777">
      <w:pPr>
        <w:widowControl w:val="0"/>
        <w:tabs>
          <w:tab w:val="clear" w:pos="720"/>
        </w:tabs>
        <w:autoSpaceDE w:val="0"/>
        <w:autoSpaceDN w:val="0"/>
        <w:spacing w:line="240" w:lineRule="auto"/>
        <w:rPr>
          <w:rFonts w:eastAsia="Times New Roman"/>
          <w:sz w:val="20"/>
          <w:szCs w:val="26"/>
        </w:rPr>
      </w:pPr>
    </w:p>
    <w:p w:rsidR="00BF4C89" w:rsidRPr="00BF4C89" w:rsidP="00BF4C89" w14:paraId="03051DBC" w14:textId="77777777">
      <w:pPr>
        <w:widowControl w:val="0"/>
        <w:tabs>
          <w:tab w:val="clear" w:pos="720"/>
        </w:tabs>
        <w:autoSpaceDE w:val="0"/>
        <w:autoSpaceDN w:val="0"/>
        <w:spacing w:line="240" w:lineRule="auto"/>
        <w:rPr>
          <w:rFonts w:eastAsia="Times New Roman"/>
          <w:szCs w:val="26"/>
        </w:rPr>
      </w:pPr>
    </w:p>
    <w:p w:rsidR="00BF4C89" w:rsidRPr="00BF4C89" w:rsidP="00BF4C89" w14:paraId="76525B48" w14:textId="77777777">
      <w:pPr>
        <w:widowControl w:val="0"/>
        <w:tabs>
          <w:tab w:val="clear" w:pos="720"/>
        </w:tabs>
        <w:autoSpaceDE w:val="0"/>
        <w:autoSpaceDN w:val="0"/>
        <w:spacing w:line="240" w:lineRule="auto"/>
        <w:rPr>
          <w:rFonts w:eastAsia="Times New Roman"/>
          <w:szCs w:val="26"/>
        </w:rPr>
      </w:pPr>
    </w:p>
    <w:p w:rsidR="00BF4C89" w:rsidRPr="00BF4C89" w:rsidP="00BF4C89" w14:paraId="5084DCE2" w14:textId="77777777">
      <w:pPr>
        <w:widowControl w:val="0"/>
        <w:tabs>
          <w:tab w:val="clear" w:pos="720"/>
        </w:tabs>
        <w:autoSpaceDE w:val="0"/>
        <w:autoSpaceDN w:val="0"/>
        <w:spacing w:line="240" w:lineRule="auto"/>
        <w:rPr>
          <w:rFonts w:eastAsia="Times New Roman"/>
          <w:szCs w:val="26"/>
        </w:rPr>
      </w:pPr>
      <w:bookmarkStart w:id="8" w:name="_Hlk122463584"/>
      <w:r w:rsidRPr="00BF4C89">
        <w:rPr>
          <w:rFonts w:eastAsia="Times New Roman"/>
          <w:szCs w:val="26"/>
        </w:rPr>
        <w:t>_______________________________</w:t>
      </w:r>
    </w:p>
    <w:p w:rsidR="00BF4C89" w:rsidRPr="00BF4C89" w:rsidP="00BF4C89" w14:paraId="141AA119" w14:textId="77777777">
      <w:pPr>
        <w:widowControl w:val="0"/>
        <w:tabs>
          <w:tab w:val="clear" w:pos="720"/>
        </w:tabs>
        <w:autoSpaceDE w:val="0"/>
        <w:autoSpaceDN w:val="0"/>
        <w:spacing w:line="240" w:lineRule="auto"/>
        <w:rPr>
          <w:rFonts w:eastAsia="Times New Roman"/>
          <w:szCs w:val="26"/>
        </w:rPr>
      </w:pPr>
      <w:r w:rsidRPr="00BF4C89">
        <w:rPr>
          <w:rFonts w:eastAsia="Times New Roman"/>
          <w:szCs w:val="26"/>
        </w:rPr>
        <w:t xml:space="preserve">    Lie, J. </w:t>
      </w:r>
    </w:p>
    <w:bookmarkEnd w:id="8"/>
    <w:p w:rsidR="00BF4C89" w:rsidRPr="00BF4C89" w:rsidP="00BF4C89" w14:paraId="5CA2EB23" w14:textId="77777777">
      <w:pPr>
        <w:widowControl w:val="0"/>
        <w:tabs>
          <w:tab w:val="clear" w:pos="720"/>
        </w:tabs>
        <w:autoSpaceDE w:val="0"/>
        <w:autoSpaceDN w:val="0"/>
        <w:spacing w:line="240" w:lineRule="auto"/>
        <w:rPr>
          <w:rFonts w:eastAsia="Times New Roman"/>
          <w:szCs w:val="26"/>
        </w:rPr>
      </w:pPr>
    </w:p>
    <w:p w:rsidR="00BF4C89" w:rsidRPr="00BF4C89" w:rsidP="00BF4C89" w14:paraId="71237A40" w14:textId="77777777">
      <w:pPr>
        <w:widowControl w:val="0"/>
        <w:tabs>
          <w:tab w:val="clear" w:pos="720"/>
        </w:tabs>
        <w:autoSpaceDE w:val="0"/>
        <w:autoSpaceDN w:val="0"/>
        <w:spacing w:line="240" w:lineRule="auto"/>
        <w:rPr>
          <w:rFonts w:eastAsia="Times New Roman"/>
          <w:szCs w:val="26"/>
        </w:rPr>
      </w:pPr>
    </w:p>
    <w:p w:rsidR="00BF4C89" w:rsidRPr="00BF4C89" w:rsidP="00BF4C89" w14:paraId="7915CF99" w14:textId="77777777">
      <w:pPr>
        <w:widowControl w:val="0"/>
        <w:tabs>
          <w:tab w:val="clear" w:pos="720"/>
        </w:tabs>
        <w:autoSpaceDE w:val="0"/>
        <w:autoSpaceDN w:val="0"/>
        <w:spacing w:line="240" w:lineRule="auto"/>
        <w:rPr>
          <w:rFonts w:eastAsia="Times New Roman"/>
          <w:szCs w:val="26"/>
        </w:rPr>
      </w:pPr>
    </w:p>
    <w:p w:rsidR="00BF4C89" w:rsidRPr="00BF4C89" w:rsidP="00BF4C89" w14:paraId="54CA2594" w14:textId="77777777">
      <w:pPr>
        <w:widowControl w:val="0"/>
        <w:tabs>
          <w:tab w:val="clear" w:pos="720"/>
        </w:tabs>
        <w:autoSpaceDE w:val="0"/>
        <w:autoSpaceDN w:val="0"/>
        <w:spacing w:line="240" w:lineRule="auto"/>
        <w:rPr>
          <w:rFonts w:eastAsia="Times New Roman"/>
          <w:szCs w:val="26"/>
        </w:rPr>
      </w:pPr>
    </w:p>
    <w:p w:rsidR="00BF4C89" w:rsidRPr="00BF4C89" w:rsidP="00BF4C89" w14:paraId="6A10887D" w14:textId="77777777">
      <w:pPr>
        <w:widowControl w:val="0"/>
        <w:tabs>
          <w:tab w:val="clear" w:pos="720"/>
        </w:tabs>
        <w:autoSpaceDE w:val="0"/>
        <w:autoSpaceDN w:val="0"/>
        <w:spacing w:line="240" w:lineRule="auto"/>
        <w:rPr>
          <w:rFonts w:eastAsia="Times New Roman"/>
          <w:szCs w:val="26"/>
        </w:rPr>
      </w:pPr>
    </w:p>
    <w:p w:rsidR="00BF4C89" w:rsidRPr="00BF4C89" w:rsidP="00BF4C89" w14:paraId="17510891" w14:textId="77777777">
      <w:pPr>
        <w:widowControl w:val="0"/>
        <w:tabs>
          <w:tab w:val="clear" w:pos="720"/>
        </w:tabs>
        <w:autoSpaceDE w:val="0"/>
        <w:autoSpaceDN w:val="0"/>
        <w:spacing w:line="240" w:lineRule="auto"/>
        <w:rPr>
          <w:rFonts w:eastAsia="Times New Roman"/>
          <w:szCs w:val="26"/>
        </w:rPr>
      </w:pPr>
    </w:p>
    <w:p w:rsidR="00BF4C89" w:rsidRPr="00BF4C89" w:rsidP="00BF4C89" w14:paraId="1AC25E65" w14:textId="77777777">
      <w:pPr>
        <w:widowControl w:val="0"/>
        <w:tabs>
          <w:tab w:val="clear" w:pos="720"/>
        </w:tabs>
        <w:autoSpaceDE w:val="0"/>
        <w:autoSpaceDN w:val="0"/>
        <w:spacing w:line="240" w:lineRule="auto"/>
        <w:rPr>
          <w:rFonts w:eastAsia="Times New Roman"/>
          <w:szCs w:val="26"/>
        </w:rPr>
      </w:pPr>
    </w:p>
    <w:p w:rsidR="00BF4C89" w:rsidRPr="00BF4C89" w:rsidP="00BF4C89" w14:paraId="2DAC199E" w14:textId="77777777">
      <w:pPr>
        <w:widowControl w:val="0"/>
        <w:tabs>
          <w:tab w:val="clear" w:pos="720"/>
        </w:tabs>
        <w:autoSpaceDE w:val="0"/>
        <w:autoSpaceDN w:val="0"/>
        <w:spacing w:line="240" w:lineRule="auto"/>
        <w:rPr>
          <w:rFonts w:eastAsia="Times New Roman"/>
          <w:szCs w:val="26"/>
        </w:rPr>
      </w:pPr>
    </w:p>
    <w:p w:rsidR="00BF4C89" w:rsidRPr="00BF4C89" w:rsidP="00BF4C89" w14:paraId="3E5F7C78" w14:textId="77777777">
      <w:pPr>
        <w:widowControl w:val="0"/>
        <w:tabs>
          <w:tab w:val="clear" w:pos="720"/>
        </w:tabs>
        <w:autoSpaceDE w:val="0"/>
        <w:autoSpaceDN w:val="0"/>
        <w:spacing w:line="240" w:lineRule="auto"/>
        <w:rPr>
          <w:rFonts w:eastAsia="Times New Roman"/>
          <w:szCs w:val="26"/>
        </w:rPr>
      </w:pPr>
    </w:p>
    <w:bookmarkEnd w:id="6"/>
    <w:p w:rsidR="00BF4C89" w:rsidRPr="00BF4C89" w:rsidP="00BF4C89" w14:paraId="7036D8AA" w14:textId="77777777">
      <w:pPr>
        <w:widowControl w:val="0"/>
        <w:tabs>
          <w:tab w:val="clear" w:pos="720"/>
        </w:tabs>
        <w:autoSpaceDE w:val="0"/>
        <w:autoSpaceDN w:val="0"/>
        <w:spacing w:line="240" w:lineRule="auto"/>
        <w:rPr>
          <w:rFonts w:eastAsia="Times New Roman"/>
          <w:szCs w:val="26"/>
        </w:rPr>
      </w:pPr>
      <w:r w:rsidRPr="00BF4C89">
        <w:rPr>
          <w:rFonts w:eastAsia="Times New Roman"/>
          <w:szCs w:val="26"/>
        </w:rPr>
        <w:t>H049949</w:t>
      </w:r>
    </w:p>
    <w:bookmarkEnd w:id="7"/>
    <w:p w:rsidR="00BF4C89" w:rsidRPr="00BF4C89" w:rsidP="00BF4C89" w14:paraId="0322E022" w14:textId="77777777">
      <w:pPr>
        <w:widowControl w:val="0"/>
        <w:tabs>
          <w:tab w:val="clear" w:pos="720"/>
        </w:tabs>
        <w:autoSpaceDE w:val="0"/>
        <w:autoSpaceDN w:val="0"/>
        <w:spacing w:line="240" w:lineRule="auto"/>
        <w:rPr>
          <w:rFonts w:eastAsia="Times New Roman"/>
          <w:szCs w:val="26"/>
        </w:rPr>
      </w:pPr>
      <w:r w:rsidRPr="00BF4C89">
        <w:rPr>
          <w:rFonts w:eastAsia="Times New Roman"/>
          <w:szCs w:val="26"/>
        </w:rPr>
        <w:t>Ramsey v. Comcast Cable Communications, LLC</w:t>
      </w:r>
    </w:p>
    <w:p w:rsidR="009C3BAF" w:rsidP="00C45AE6" w14:paraId="68AC0672" w14:textId="77777777">
      <w:pPr>
        <w:sectPr w:rsidSect="00631AB6">
          <w:pgSz w:w="12240" w:h="15840"/>
          <w:pgMar w:top="1440" w:right="1440" w:bottom="1440" w:left="1440" w:header="720" w:footer="720" w:gutter="0"/>
          <w:cols w:space="720"/>
          <w:titlePg/>
          <w:docGrid w:linePitch="360"/>
        </w:sectPr>
      </w:pPr>
    </w:p>
    <w:p w:rsidR="009C3BAF" w:rsidRPr="009C3BAF" w:rsidP="009C3BAF" w14:paraId="3B49CD0D" w14:textId="77777777">
      <w:pPr>
        <w:tabs>
          <w:tab w:val="clear" w:pos="720"/>
        </w:tabs>
        <w:spacing w:line="240" w:lineRule="auto"/>
        <w:rPr>
          <w:rFonts w:eastAsia="Times New Roman"/>
          <w:sz w:val="20"/>
          <w:szCs w:val="20"/>
        </w:rPr>
      </w:pPr>
      <w:r w:rsidRPr="009C3BAF">
        <w:rPr>
          <w:rFonts w:eastAsia="Times New Roman"/>
          <w:sz w:val="20"/>
          <w:szCs w:val="20"/>
        </w:rPr>
        <w:t>Filed 1/29/24</w:t>
      </w:r>
    </w:p>
    <w:p w:rsidR="009C3BAF" w:rsidRPr="009C3BAF" w:rsidP="009C3BAF" w14:paraId="194C3C20" w14:textId="77777777">
      <w:pPr>
        <w:tabs>
          <w:tab w:val="clear" w:pos="720"/>
        </w:tabs>
        <w:spacing w:line="240" w:lineRule="auto"/>
        <w:jc w:val="center"/>
        <w:rPr>
          <w:rFonts w:eastAsia="Times New Roman"/>
          <w:szCs w:val="20"/>
        </w:rPr>
      </w:pPr>
    </w:p>
    <w:p w:rsidR="009C3BAF" w:rsidRPr="009C3BAF" w:rsidP="009C3BAF" w14:paraId="1CAB4748" w14:textId="77777777">
      <w:pPr>
        <w:tabs>
          <w:tab w:val="clear" w:pos="720"/>
        </w:tabs>
        <w:spacing w:line="240" w:lineRule="auto"/>
        <w:jc w:val="center"/>
        <w:rPr>
          <w:rFonts w:eastAsia="Times New Roman"/>
          <w:szCs w:val="20"/>
        </w:rPr>
      </w:pPr>
      <w:r w:rsidRPr="009C3BAF">
        <w:rPr>
          <w:rFonts w:eastAsia="Times New Roman"/>
          <w:szCs w:val="20"/>
        </w:rPr>
        <w:t>IN THE COURT OF APPEAL OF THE STATE OF CALIFORNIA</w:t>
      </w:r>
    </w:p>
    <w:p w:rsidR="009C3BAF" w:rsidRPr="009C3BAF" w:rsidP="009C3BAF" w14:paraId="71DA5CB6" w14:textId="77777777">
      <w:pPr>
        <w:tabs>
          <w:tab w:val="clear" w:pos="720"/>
        </w:tabs>
        <w:spacing w:line="240" w:lineRule="auto"/>
        <w:jc w:val="center"/>
        <w:rPr>
          <w:rFonts w:eastAsia="Times New Roman"/>
          <w:szCs w:val="20"/>
        </w:rPr>
      </w:pPr>
    </w:p>
    <w:p w:rsidR="009C3BAF" w:rsidRPr="009C3BAF" w:rsidP="009C3BAF" w14:paraId="61239DDD" w14:textId="77777777">
      <w:pPr>
        <w:tabs>
          <w:tab w:val="clear" w:pos="720"/>
        </w:tabs>
        <w:spacing w:line="240" w:lineRule="auto"/>
        <w:jc w:val="center"/>
        <w:rPr>
          <w:rFonts w:eastAsia="Times New Roman"/>
          <w:szCs w:val="20"/>
        </w:rPr>
      </w:pPr>
      <w:r w:rsidRPr="009C3BAF">
        <w:rPr>
          <w:rFonts w:eastAsia="Times New Roman"/>
          <w:szCs w:val="20"/>
        </w:rPr>
        <w:t>SIXTH APPELLATE DISTRICT</w:t>
      </w:r>
    </w:p>
    <w:p w:rsidR="009C3BAF" w:rsidRPr="009C3BAF" w:rsidP="009C3BAF" w14:paraId="2E6C08EB" w14:textId="77777777">
      <w:pPr>
        <w:tabs>
          <w:tab w:val="clear" w:pos="720"/>
        </w:tabs>
        <w:spacing w:line="240" w:lineRule="auto"/>
        <w:rPr>
          <w:rFonts w:eastAsia="Times New Roman"/>
          <w:szCs w:val="20"/>
        </w:rPr>
      </w:pPr>
    </w:p>
    <w:p w:rsidR="009C3BAF" w:rsidRPr="009C3BAF" w:rsidP="009C3BAF" w14:paraId="019EECDA" w14:textId="77777777">
      <w:pPr>
        <w:tabs>
          <w:tab w:val="clear" w:pos="720"/>
        </w:tabs>
        <w:spacing w:line="240" w:lineRule="auto"/>
        <w:rPr>
          <w:rFonts w:eastAsia="Times New Roman"/>
          <w:szCs w:val="20"/>
        </w:rPr>
      </w:pPr>
    </w:p>
    <w:tbl>
      <w:tblPr>
        <w:tblW w:w="0" w:type="auto"/>
        <w:tblLayout w:type="fixed"/>
        <w:tblLook w:val="04A0"/>
      </w:tblPr>
      <w:tblGrid>
        <w:gridCol w:w="4680"/>
        <w:gridCol w:w="4680"/>
      </w:tblGrid>
      <w:tr w14:paraId="2E07436A" w14:textId="77777777" w:rsidTr="00CB43AD">
        <w:tblPrEx>
          <w:tblW w:w="0" w:type="auto"/>
          <w:tblLayout w:type="fixed"/>
          <w:tblLook w:val="04A0"/>
        </w:tblPrEx>
        <w:tc>
          <w:tcPr>
            <w:tcW w:w="4680" w:type="dxa"/>
            <w:tcBorders>
              <w:top w:val="nil"/>
              <w:left w:val="nil"/>
              <w:bottom w:val="single" w:sz="4" w:space="0" w:color="auto"/>
              <w:right w:val="single" w:sz="4" w:space="0" w:color="auto"/>
            </w:tcBorders>
          </w:tcPr>
          <w:p w:rsidR="009C3BAF" w:rsidRPr="009C3BAF" w:rsidP="009C3BAF" w14:paraId="48F113A1" w14:textId="77777777">
            <w:pPr>
              <w:tabs>
                <w:tab w:val="clear" w:pos="720"/>
              </w:tabs>
              <w:spacing w:line="240" w:lineRule="auto"/>
              <w:rPr>
                <w:rFonts w:eastAsia="Times New Roman"/>
                <w:szCs w:val="20"/>
              </w:rPr>
            </w:pPr>
            <w:r w:rsidRPr="009C3BAF">
              <w:rPr>
                <w:rFonts w:eastAsia="Times New Roman"/>
                <w:szCs w:val="20"/>
              </w:rPr>
              <w:t>CHARLES RAMSEY,</w:t>
            </w:r>
          </w:p>
          <w:p w:rsidR="009C3BAF" w:rsidRPr="009C3BAF" w:rsidP="009C3BAF" w14:paraId="638AD650" w14:textId="77777777">
            <w:pPr>
              <w:tabs>
                <w:tab w:val="clear" w:pos="720"/>
              </w:tabs>
              <w:spacing w:line="240" w:lineRule="auto"/>
              <w:rPr>
                <w:rFonts w:eastAsia="Times New Roman"/>
                <w:szCs w:val="20"/>
              </w:rPr>
            </w:pPr>
          </w:p>
          <w:p w:rsidR="009C3BAF" w:rsidRPr="009C3BAF" w:rsidP="009C3BAF" w14:paraId="604CA3A9" w14:textId="77777777">
            <w:pPr>
              <w:tabs>
                <w:tab w:val="clear" w:pos="720"/>
              </w:tabs>
              <w:spacing w:line="240" w:lineRule="auto"/>
              <w:rPr>
                <w:rFonts w:eastAsia="Times New Roman"/>
                <w:szCs w:val="20"/>
              </w:rPr>
            </w:pPr>
            <w:r w:rsidRPr="009C3BAF">
              <w:rPr>
                <w:rFonts w:eastAsia="Times New Roman"/>
                <w:szCs w:val="20"/>
              </w:rPr>
              <w:t>Plaintiff and Respondent,</w:t>
            </w:r>
          </w:p>
          <w:p w:rsidR="009C3BAF" w:rsidRPr="009C3BAF" w:rsidP="009C3BAF" w14:paraId="772F7A1C" w14:textId="77777777">
            <w:pPr>
              <w:tabs>
                <w:tab w:val="clear" w:pos="720"/>
              </w:tabs>
              <w:spacing w:line="240" w:lineRule="auto"/>
              <w:rPr>
                <w:rFonts w:eastAsia="Times New Roman"/>
                <w:szCs w:val="20"/>
              </w:rPr>
            </w:pPr>
          </w:p>
          <w:p w:rsidR="009C3BAF" w:rsidRPr="009C3BAF" w:rsidP="009C3BAF" w14:paraId="736C7DB4" w14:textId="77777777">
            <w:pPr>
              <w:tabs>
                <w:tab w:val="clear" w:pos="720"/>
              </w:tabs>
              <w:spacing w:line="240" w:lineRule="auto"/>
              <w:rPr>
                <w:rFonts w:eastAsia="Times New Roman"/>
                <w:szCs w:val="20"/>
              </w:rPr>
            </w:pPr>
            <w:r w:rsidRPr="009C3BAF">
              <w:rPr>
                <w:rFonts w:eastAsia="Times New Roman"/>
                <w:szCs w:val="20"/>
              </w:rPr>
              <w:t>v.</w:t>
            </w:r>
          </w:p>
          <w:p w:rsidR="009C3BAF" w:rsidRPr="009C3BAF" w:rsidP="009C3BAF" w14:paraId="241F5435" w14:textId="77777777">
            <w:pPr>
              <w:tabs>
                <w:tab w:val="clear" w:pos="720"/>
              </w:tabs>
              <w:spacing w:line="240" w:lineRule="auto"/>
              <w:rPr>
                <w:rFonts w:eastAsia="Times New Roman"/>
                <w:szCs w:val="20"/>
              </w:rPr>
            </w:pPr>
          </w:p>
          <w:p w:rsidR="009C3BAF" w:rsidRPr="009C3BAF" w:rsidP="009C3BAF" w14:paraId="60EE4BCB" w14:textId="77777777">
            <w:pPr>
              <w:tabs>
                <w:tab w:val="clear" w:pos="720"/>
              </w:tabs>
              <w:spacing w:line="240" w:lineRule="auto"/>
              <w:rPr>
                <w:rFonts w:eastAsia="Times New Roman"/>
                <w:szCs w:val="20"/>
              </w:rPr>
            </w:pPr>
            <w:r w:rsidRPr="009C3BAF">
              <w:rPr>
                <w:rFonts w:eastAsia="Times New Roman"/>
                <w:szCs w:val="20"/>
              </w:rPr>
              <w:t>COMCAST CABLE COMMUNICATIONS, LLC,</w:t>
            </w:r>
          </w:p>
          <w:p w:rsidR="009C3BAF" w:rsidRPr="009C3BAF" w:rsidP="009C3BAF" w14:paraId="30DEA315" w14:textId="77777777">
            <w:pPr>
              <w:tabs>
                <w:tab w:val="clear" w:pos="720"/>
              </w:tabs>
              <w:spacing w:line="240" w:lineRule="auto"/>
              <w:rPr>
                <w:rFonts w:eastAsia="Times New Roman"/>
                <w:szCs w:val="20"/>
              </w:rPr>
            </w:pPr>
          </w:p>
          <w:p w:rsidR="009C3BAF" w:rsidRPr="009C3BAF" w:rsidP="009C3BAF" w14:paraId="68232B87" w14:textId="77777777">
            <w:pPr>
              <w:tabs>
                <w:tab w:val="clear" w:pos="720"/>
              </w:tabs>
              <w:spacing w:line="240" w:lineRule="auto"/>
              <w:rPr>
                <w:rFonts w:eastAsia="Times New Roman"/>
                <w:szCs w:val="20"/>
              </w:rPr>
            </w:pPr>
            <w:r w:rsidRPr="009C3BAF">
              <w:rPr>
                <w:rFonts w:eastAsia="Times New Roman"/>
                <w:szCs w:val="20"/>
              </w:rPr>
              <w:t>Defendant and Appellant.</w:t>
            </w:r>
          </w:p>
          <w:p w:rsidR="009C3BAF" w:rsidRPr="009C3BAF" w:rsidP="009C3BAF" w14:paraId="2849BE26" w14:textId="77777777">
            <w:pPr>
              <w:tabs>
                <w:tab w:val="clear" w:pos="720"/>
              </w:tabs>
              <w:spacing w:line="240" w:lineRule="auto"/>
              <w:rPr>
                <w:rFonts w:eastAsia="Times New Roman"/>
                <w:szCs w:val="20"/>
              </w:rPr>
            </w:pPr>
          </w:p>
        </w:tc>
        <w:tc>
          <w:tcPr>
            <w:tcW w:w="4680" w:type="dxa"/>
            <w:tcBorders>
              <w:top w:val="nil"/>
              <w:left w:val="single" w:sz="4" w:space="0" w:color="auto"/>
              <w:bottom w:val="nil"/>
              <w:right w:val="nil"/>
            </w:tcBorders>
          </w:tcPr>
          <w:p w:rsidR="009C3BAF" w:rsidRPr="009C3BAF" w:rsidP="009C3BAF" w14:paraId="3010850F" w14:textId="77777777">
            <w:pPr>
              <w:tabs>
                <w:tab w:val="clear" w:pos="720"/>
              </w:tabs>
              <w:spacing w:line="240" w:lineRule="auto"/>
              <w:rPr>
                <w:rFonts w:eastAsia="Times New Roman"/>
                <w:szCs w:val="20"/>
              </w:rPr>
            </w:pPr>
            <w:r w:rsidRPr="009C3BAF">
              <w:rPr>
                <w:rFonts w:eastAsia="Times New Roman"/>
                <w:szCs w:val="20"/>
              </w:rPr>
              <w:t xml:space="preserve">      H049949</w:t>
            </w:r>
          </w:p>
          <w:p w:rsidR="009C3BAF" w:rsidRPr="009C3BAF" w:rsidP="009C3BAF" w14:paraId="04CD4E58" w14:textId="77777777">
            <w:pPr>
              <w:tabs>
                <w:tab w:val="clear" w:pos="720"/>
              </w:tabs>
              <w:spacing w:line="240" w:lineRule="auto"/>
              <w:rPr>
                <w:rFonts w:eastAsia="Times New Roman"/>
                <w:szCs w:val="20"/>
              </w:rPr>
            </w:pPr>
            <w:r w:rsidRPr="009C3BAF">
              <w:rPr>
                <w:rFonts w:eastAsia="Times New Roman"/>
                <w:szCs w:val="20"/>
              </w:rPr>
              <w:t xml:space="preserve">     (Santa Clara County</w:t>
            </w:r>
          </w:p>
          <w:p w:rsidR="009C3BAF" w:rsidRPr="009C3BAF" w:rsidP="009C3BAF" w14:paraId="53433ACB" w14:textId="77777777">
            <w:pPr>
              <w:tabs>
                <w:tab w:val="clear" w:pos="720"/>
              </w:tabs>
              <w:spacing w:line="240" w:lineRule="auto"/>
              <w:rPr>
                <w:rFonts w:eastAsia="Times New Roman"/>
                <w:szCs w:val="20"/>
              </w:rPr>
            </w:pPr>
            <w:r w:rsidRPr="009C3BAF">
              <w:rPr>
                <w:rFonts w:eastAsia="Times New Roman"/>
                <w:szCs w:val="20"/>
              </w:rPr>
              <w:t xml:space="preserve">      Super. Ct. No. </w:t>
            </w:r>
            <w:r w:rsidRPr="009C3BAF">
              <w:rPr>
                <w:rFonts w:eastAsia="Times New Roman"/>
                <w:bCs/>
                <w:szCs w:val="20"/>
              </w:rPr>
              <w:t>21CV384867</w:t>
            </w:r>
            <w:r w:rsidRPr="009C3BAF">
              <w:rPr>
                <w:rFonts w:eastAsia="Times New Roman"/>
                <w:szCs w:val="20"/>
              </w:rPr>
              <w:t>)</w:t>
            </w:r>
          </w:p>
          <w:p w:rsidR="009C3BAF" w:rsidRPr="009C3BAF" w:rsidP="009C3BAF" w14:paraId="553359C2" w14:textId="77777777">
            <w:pPr>
              <w:tabs>
                <w:tab w:val="clear" w:pos="720"/>
              </w:tabs>
              <w:spacing w:line="240" w:lineRule="auto"/>
              <w:rPr>
                <w:rFonts w:eastAsia="Times New Roman"/>
                <w:szCs w:val="20"/>
              </w:rPr>
            </w:pPr>
          </w:p>
        </w:tc>
      </w:tr>
    </w:tbl>
    <w:p w:rsidR="009C3BAF" w:rsidRPr="009C3BAF" w:rsidP="009C3BAF" w14:paraId="67B20E79" w14:textId="77777777">
      <w:pPr>
        <w:tabs>
          <w:tab w:val="clear" w:pos="720"/>
        </w:tabs>
        <w:spacing w:line="240" w:lineRule="auto"/>
        <w:rPr>
          <w:rFonts w:eastAsia="Times New Roman"/>
          <w:bCs/>
          <w:szCs w:val="20"/>
        </w:rPr>
      </w:pPr>
    </w:p>
    <w:p w:rsidR="009C3BAF" w:rsidRPr="009C3BAF" w:rsidP="009C3BAF" w14:paraId="34E23769" w14:textId="77777777">
      <w:pPr>
        <w:tabs>
          <w:tab w:val="clear" w:pos="720"/>
        </w:tabs>
        <w:spacing w:line="240" w:lineRule="auto"/>
        <w:rPr>
          <w:rFonts w:eastAsia="Times New Roman"/>
          <w:bCs/>
          <w:szCs w:val="20"/>
        </w:rPr>
      </w:pPr>
      <w:bookmarkStart w:id="9" w:name="_Hlk132808321"/>
      <w:r w:rsidRPr="009C3BAF">
        <w:rPr>
          <w:rFonts w:eastAsia="Times New Roman"/>
          <w:bCs/>
          <w:szCs w:val="20"/>
        </w:rPr>
        <w:t>BY THE COURT:</w:t>
      </w:r>
    </w:p>
    <w:p w:rsidR="009C3BAF" w:rsidRPr="009C3BAF" w:rsidP="009C3BAF" w14:paraId="65748FDC" w14:textId="77777777">
      <w:pPr>
        <w:tabs>
          <w:tab w:val="clear" w:pos="720"/>
        </w:tabs>
        <w:spacing w:line="240" w:lineRule="auto"/>
        <w:rPr>
          <w:rFonts w:eastAsia="Times New Roman"/>
          <w:szCs w:val="20"/>
        </w:rPr>
      </w:pPr>
    </w:p>
    <w:p w:rsidR="009C3BAF" w:rsidRPr="009C3BAF" w:rsidP="009C3BAF" w14:paraId="43BFC729" w14:textId="77777777">
      <w:pPr>
        <w:tabs>
          <w:tab w:val="clear" w:pos="720"/>
        </w:tabs>
        <w:spacing w:line="240" w:lineRule="auto"/>
        <w:rPr>
          <w:rFonts w:eastAsia="Times New Roman"/>
          <w:szCs w:val="20"/>
        </w:rPr>
      </w:pPr>
      <w:r w:rsidRPr="009C3BAF">
        <w:rPr>
          <w:rFonts w:eastAsia="Times New Roman"/>
          <w:szCs w:val="20"/>
        </w:rPr>
        <w:tab/>
        <w:t>The written opinion, which was filed on December 29, 2023, has now been certified for publication pursuant to rule 8.1105(b) of the California Rules of Court, and it is therefore ordered that the opinion be published in the official reports.</w:t>
      </w:r>
    </w:p>
    <w:p w:rsidR="009C3BAF" w:rsidRPr="009C3BAF" w:rsidP="009C3BAF" w14:paraId="2F483A60" w14:textId="77777777">
      <w:pPr>
        <w:tabs>
          <w:tab w:val="clear" w:pos="720"/>
        </w:tabs>
        <w:spacing w:line="240" w:lineRule="auto"/>
        <w:rPr>
          <w:rFonts w:eastAsia="Times New Roman"/>
          <w:szCs w:val="20"/>
        </w:rPr>
      </w:pPr>
    </w:p>
    <w:p w:rsidR="009C3BAF" w:rsidRPr="009C3BAF" w:rsidP="009C3BAF" w14:paraId="00F43D7C" w14:textId="77777777">
      <w:pPr>
        <w:tabs>
          <w:tab w:val="clear" w:pos="720"/>
        </w:tabs>
        <w:spacing w:line="240" w:lineRule="auto"/>
        <w:rPr>
          <w:rFonts w:eastAsia="Times New Roman"/>
          <w:szCs w:val="20"/>
        </w:rPr>
      </w:pPr>
    </w:p>
    <w:p w:rsidR="009C3BAF" w:rsidRPr="009C3BAF" w:rsidP="009C3BAF" w14:paraId="34E771E6" w14:textId="77777777">
      <w:pPr>
        <w:tabs>
          <w:tab w:val="clear" w:pos="720"/>
        </w:tabs>
        <w:spacing w:line="240" w:lineRule="auto"/>
        <w:jc w:val="center"/>
        <w:rPr>
          <w:rFonts w:eastAsia="Times New Roman"/>
          <w:szCs w:val="20"/>
        </w:rPr>
      </w:pPr>
      <w:r w:rsidRPr="009C3BAF">
        <w:rPr>
          <w:rFonts w:eastAsia="Times New Roman"/>
          <w:szCs w:val="20"/>
        </w:rPr>
        <w:t>(Greenwood, P. J., Grover, J. and Lie, J. participated in this decision.)</w:t>
      </w:r>
    </w:p>
    <w:p w:rsidR="009C3BAF" w:rsidRPr="009C3BAF" w:rsidP="009C3BAF" w14:paraId="2E0952B5" w14:textId="77777777">
      <w:pPr>
        <w:tabs>
          <w:tab w:val="clear" w:pos="720"/>
        </w:tabs>
        <w:spacing w:line="240" w:lineRule="auto"/>
        <w:rPr>
          <w:rFonts w:eastAsia="Times New Roman"/>
          <w:szCs w:val="20"/>
        </w:rPr>
      </w:pPr>
    </w:p>
    <w:p w:rsidR="009C3BAF" w:rsidRPr="009C3BAF" w:rsidP="009C3BAF" w14:paraId="36B6BA0A" w14:textId="77777777">
      <w:pPr>
        <w:tabs>
          <w:tab w:val="clear" w:pos="720"/>
        </w:tabs>
        <w:spacing w:line="240" w:lineRule="auto"/>
        <w:rPr>
          <w:rFonts w:eastAsia="Times New Roman"/>
          <w:szCs w:val="20"/>
        </w:rPr>
      </w:pPr>
    </w:p>
    <w:p w:rsidR="009C3BAF" w:rsidRPr="009C3BAF" w:rsidP="009C3BAF" w14:paraId="1B0BF062" w14:textId="77777777">
      <w:pPr>
        <w:tabs>
          <w:tab w:val="clear" w:pos="720"/>
        </w:tabs>
        <w:spacing w:line="240" w:lineRule="auto"/>
        <w:rPr>
          <w:rFonts w:eastAsia="Times New Roman"/>
          <w:szCs w:val="20"/>
        </w:rPr>
      </w:pPr>
    </w:p>
    <w:p w:rsidR="009C3BAF" w:rsidRPr="009C3BAF" w:rsidP="009C3BAF" w14:paraId="34119A32" w14:textId="77777777">
      <w:pPr>
        <w:tabs>
          <w:tab w:val="clear" w:pos="720"/>
        </w:tabs>
        <w:spacing w:line="240" w:lineRule="auto"/>
        <w:rPr>
          <w:rFonts w:eastAsia="Times New Roman"/>
          <w:szCs w:val="20"/>
        </w:rPr>
      </w:pPr>
    </w:p>
    <w:p w:rsidR="009C3BAF" w:rsidRPr="009C3BAF" w:rsidP="009C3BAF" w14:paraId="22554BA7" w14:textId="77777777">
      <w:pPr>
        <w:tabs>
          <w:tab w:val="clear" w:pos="720"/>
        </w:tabs>
        <w:spacing w:line="240" w:lineRule="auto"/>
        <w:rPr>
          <w:rFonts w:eastAsia="Times New Roman"/>
          <w:szCs w:val="20"/>
        </w:rPr>
      </w:pPr>
    </w:p>
    <w:p w:rsidR="009C3BAF" w:rsidRPr="009C3BAF" w:rsidP="009C3BAF" w14:paraId="3D441731" w14:textId="77777777">
      <w:pPr>
        <w:tabs>
          <w:tab w:val="clear" w:pos="720"/>
        </w:tabs>
        <w:spacing w:line="240" w:lineRule="auto"/>
        <w:rPr>
          <w:rFonts w:eastAsia="Times New Roman"/>
          <w:szCs w:val="20"/>
        </w:rPr>
      </w:pPr>
    </w:p>
    <w:p w:rsidR="009C3BAF" w:rsidRPr="009C3BAF" w:rsidP="009C3BAF" w14:paraId="783A7E40" w14:textId="77777777">
      <w:pPr>
        <w:tabs>
          <w:tab w:val="clear" w:pos="720"/>
        </w:tabs>
        <w:spacing w:line="240" w:lineRule="auto"/>
        <w:rPr>
          <w:rFonts w:eastAsia="Times New Roman"/>
          <w:szCs w:val="20"/>
        </w:rPr>
      </w:pPr>
    </w:p>
    <w:p w:rsidR="009C3BAF" w:rsidRPr="009C3BAF" w:rsidP="009C3BAF" w14:paraId="770A5A14" w14:textId="77777777">
      <w:pPr>
        <w:tabs>
          <w:tab w:val="clear" w:pos="720"/>
        </w:tabs>
        <w:spacing w:line="240" w:lineRule="auto"/>
        <w:rPr>
          <w:rFonts w:eastAsia="Times New Roman"/>
          <w:szCs w:val="20"/>
        </w:rPr>
      </w:pPr>
    </w:p>
    <w:p w:rsidR="009C3BAF" w:rsidRPr="009C3BAF" w:rsidP="009C3BAF" w14:paraId="632EA2C8" w14:textId="77777777">
      <w:pPr>
        <w:tabs>
          <w:tab w:val="clear" w:pos="720"/>
        </w:tabs>
        <w:spacing w:line="240" w:lineRule="auto"/>
        <w:rPr>
          <w:rFonts w:eastAsia="Times New Roman"/>
          <w:szCs w:val="20"/>
        </w:rPr>
      </w:pPr>
    </w:p>
    <w:p w:rsidR="009C3BAF" w:rsidRPr="009C3BAF" w:rsidP="009C3BAF" w14:paraId="0F27B3B1" w14:textId="77777777">
      <w:pPr>
        <w:tabs>
          <w:tab w:val="clear" w:pos="720"/>
        </w:tabs>
        <w:spacing w:line="240" w:lineRule="auto"/>
        <w:rPr>
          <w:rFonts w:eastAsia="Times New Roman"/>
          <w:szCs w:val="20"/>
        </w:rPr>
      </w:pPr>
    </w:p>
    <w:p w:rsidR="009C3BAF" w:rsidRPr="009C3BAF" w:rsidP="009C3BAF" w14:paraId="01254966" w14:textId="77777777">
      <w:pPr>
        <w:tabs>
          <w:tab w:val="clear" w:pos="720"/>
        </w:tabs>
        <w:spacing w:line="240" w:lineRule="auto"/>
        <w:rPr>
          <w:rFonts w:eastAsia="Times New Roman"/>
          <w:szCs w:val="20"/>
        </w:rPr>
      </w:pPr>
    </w:p>
    <w:p w:rsidR="009C3BAF" w:rsidRPr="009C3BAF" w:rsidP="009C3BAF" w14:paraId="0E7D7518" w14:textId="77777777">
      <w:pPr>
        <w:tabs>
          <w:tab w:val="clear" w:pos="720"/>
        </w:tabs>
        <w:spacing w:line="240" w:lineRule="auto"/>
        <w:rPr>
          <w:rFonts w:eastAsia="Times New Roman"/>
          <w:szCs w:val="20"/>
        </w:rPr>
      </w:pPr>
    </w:p>
    <w:p w:rsidR="009C3BAF" w:rsidRPr="009C3BAF" w:rsidP="009C3BAF" w14:paraId="7E01E58B" w14:textId="77777777">
      <w:pPr>
        <w:tabs>
          <w:tab w:val="clear" w:pos="720"/>
        </w:tabs>
        <w:spacing w:line="240" w:lineRule="auto"/>
        <w:rPr>
          <w:rFonts w:eastAsia="Times New Roman"/>
          <w:szCs w:val="20"/>
        </w:rPr>
      </w:pPr>
      <w:r w:rsidRPr="009C3BAF">
        <w:rPr>
          <w:rFonts w:eastAsia="Times New Roman"/>
          <w:szCs w:val="20"/>
        </w:rPr>
        <w:t xml:space="preserve">Date:_________________________ </w:t>
      </w:r>
      <w:r w:rsidRPr="009C3BAF">
        <w:rPr>
          <w:rFonts w:eastAsia="Times New Roman"/>
          <w:szCs w:val="20"/>
        </w:rPr>
        <w:tab/>
        <w:t>_____________________________ P.J.</w:t>
      </w:r>
    </w:p>
    <w:p w:rsidR="009C3BAF" w:rsidRPr="009C3BAF" w:rsidP="009C3BAF" w14:paraId="29D00A4F" w14:textId="77777777">
      <w:pPr>
        <w:tabs>
          <w:tab w:val="clear" w:pos="720"/>
        </w:tabs>
        <w:spacing w:line="240" w:lineRule="auto"/>
        <w:rPr>
          <w:rFonts w:eastAsia="Times New Roman"/>
          <w:szCs w:val="20"/>
        </w:rPr>
      </w:pPr>
    </w:p>
    <w:bookmarkEnd w:id="9"/>
    <w:p w:rsidR="009C3BAF" w:rsidRPr="009C3BAF" w:rsidP="009C3BAF" w14:paraId="2D283DDC" w14:textId="77777777">
      <w:pPr>
        <w:tabs>
          <w:tab w:val="clear" w:pos="720"/>
        </w:tabs>
        <w:spacing w:line="240" w:lineRule="auto"/>
        <w:rPr>
          <w:rFonts w:eastAsia="Times New Roman"/>
          <w:szCs w:val="20"/>
        </w:rPr>
      </w:pPr>
    </w:p>
    <w:p w:rsidR="009C3BAF" w:rsidRPr="009C3BAF" w:rsidP="009C3BAF" w14:paraId="7BD9ED7F" w14:textId="77777777">
      <w:pPr>
        <w:tabs>
          <w:tab w:val="clear" w:pos="720"/>
        </w:tabs>
        <w:spacing w:line="240" w:lineRule="auto"/>
        <w:rPr>
          <w:rFonts w:eastAsia="Times New Roman"/>
          <w:szCs w:val="20"/>
        </w:rPr>
        <w:sectPr w:rsidSect="009C3BAF">
          <w:pgSz w:w="12240" w:h="15840"/>
          <w:pgMar w:top="1440" w:right="1800" w:bottom="1440" w:left="1800" w:header="720" w:footer="720" w:gutter="0"/>
          <w:cols w:space="720"/>
          <w:docGrid w:linePitch="360"/>
        </w:sectPr>
      </w:pPr>
    </w:p>
    <w:p w:rsidR="009C3BAF" w:rsidRPr="009C3BAF" w:rsidP="009C3BAF" w14:paraId="72791366" w14:textId="77777777">
      <w:pPr>
        <w:tabs>
          <w:tab w:val="clear" w:pos="720"/>
        </w:tabs>
        <w:spacing w:line="240" w:lineRule="auto"/>
        <w:rPr>
          <w:rFonts w:eastAsia="Times New Roman"/>
          <w:szCs w:val="20"/>
        </w:rPr>
      </w:pPr>
    </w:p>
    <w:tbl>
      <w:tblPr>
        <w:tblW w:w="9576" w:type="dxa"/>
        <w:tblLayout w:type="fixed"/>
        <w:tblLook w:val="0000"/>
      </w:tblPr>
      <w:tblGrid>
        <w:gridCol w:w="4788"/>
        <w:gridCol w:w="4788"/>
      </w:tblGrid>
      <w:tr w14:paraId="7BBE4185" w14:textId="77777777" w:rsidTr="00CB43AD">
        <w:tblPrEx>
          <w:tblW w:w="9576" w:type="dxa"/>
          <w:tblLayout w:type="fixed"/>
          <w:tblLook w:val="0000"/>
        </w:tblPrEx>
        <w:tc>
          <w:tcPr>
            <w:tcW w:w="4788" w:type="dxa"/>
          </w:tcPr>
          <w:p w:rsidR="009C3BAF" w:rsidRPr="009C3BAF" w:rsidP="009C3BAF" w14:paraId="29EA3069" w14:textId="77777777">
            <w:pPr>
              <w:tabs>
                <w:tab w:val="clear" w:pos="720"/>
              </w:tabs>
              <w:spacing w:line="240" w:lineRule="auto"/>
              <w:rPr>
                <w:rFonts w:eastAsia="Times New Roman"/>
                <w:szCs w:val="26"/>
              </w:rPr>
            </w:pPr>
            <w:bookmarkStart w:id="10" w:name="_Hlk152322491"/>
            <w:r w:rsidRPr="009C3BAF">
              <w:rPr>
                <w:rFonts w:eastAsia="Times New Roman"/>
                <w:szCs w:val="26"/>
              </w:rPr>
              <w:t>Trial Court:</w:t>
            </w:r>
          </w:p>
        </w:tc>
        <w:tc>
          <w:tcPr>
            <w:tcW w:w="4788" w:type="dxa"/>
          </w:tcPr>
          <w:p w:rsidR="009C3BAF" w:rsidRPr="009C3BAF" w:rsidP="009C3BAF" w14:paraId="184FE578" w14:textId="77777777">
            <w:pPr>
              <w:tabs>
                <w:tab w:val="clear" w:pos="720"/>
              </w:tabs>
              <w:spacing w:line="240" w:lineRule="auto"/>
              <w:rPr>
                <w:rFonts w:eastAsia="Times New Roman"/>
                <w:szCs w:val="26"/>
              </w:rPr>
            </w:pPr>
            <w:r w:rsidRPr="009C3BAF">
              <w:rPr>
                <w:rFonts w:eastAsia="Times New Roman"/>
                <w:szCs w:val="26"/>
              </w:rPr>
              <w:t>Santa Clara County Superior Court</w:t>
            </w:r>
          </w:p>
          <w:p w:rsidR="009C3BAF" w:rsidRPr="009C3BAF" w:rsidP="009C3BAF" w14:paraId="4C22DE59" w14:textId="77777777">
            <w:pPr>
              <w:tabs>
                <w:tab w:val="clear" w:pos="720"/>
              </w:tabs>
              <w:spacing w:line="240" w:lineRule="auto"/>
              <w:rPr>
                <w:rFonts w:eastAsia="Times New Roman"/>
                <w:szCs w:val="26"/>
              </w:rPr>
            </w:pPr>
            <w:r w:rsidRPr="009C3BAF">
              <w:rPr>
                <w:rFonts w:eastAsia="Times New Roman"/>
                <w:szCs w:val="26"/>
              </w:rPr>
              <w:t xml:space="preserve">Superior Court No.: 21CV384867 </w:t>
            </w:r>
          </w:p>
          <w:p w:rsidR="009C3BAF" w:rsidRPr="009C3BAF" w:rsidP="009C3BAF" w14:paraId="70B8C72F" w14:textId="77777777">
            <w:pPr>
              <w:tabs>
                <w:tab w:val="clear" w:pos="720"/>
              </w:tabs>
              <w:spacing w:line="240" w:lineRule="auto"/>
              <w:rPr>
                <w:rFonts w:eastAsia="Times New Roman"/>
                <w:szCs w:val="26"/>
              </w:rPr>
            </w:pPr>
          </w:p>
        </w:tc>
      </w:tr>
      <w:tr w14:paraId="191D5256" w14:textId="77777777" w:rsidTr="00CB43AD">
        <w:tblPrEx>
          <w:tblW w:w="9576" w:type="dxa"/>
          <w:tblLayout w:type="fixed"/>
          <w:tblLook w:val="0000"/>
        </w:tblPrEx>
        <w:trPr>
          <w:trHeight w:val="41"/>
        </w:trPr>
        <w:tc>
          <w:tcPr>
            <w:tcW w:w="4788" w:type="dxa"/>
          </w:tcPr>
          <w:p w:rsidR="009C3BAF" w:rsidRPr="009C3BAF" w:rsidP="009C3BAF" w14:paraId="4CE47770" w14:textId="77777777">
            <w:pPr>
              <w:tabs>
                <w:tab w:val="clear" w:pos="720"/>
              </w:tabs>
              <w:spacing w:line="240" w:lineRule="auto"/>
              <w:rPr>
                <w:rFonts w:eastAsia="Times New Roman"/>
                <w:szCs w:val="26"/>
              </w:rPr>
            </w:pPr>
            <w:r w:rsidRPr="009C3BAF">
              <w:rPr>
                <w:rFonts w:eastAsia="Times New Roman"/>
                <w:szCs w:val="26"/>
              </w:rPr>
              <w:t>Trial Judge:</w:t>
            </w:r>
          </w:p>
        </w:tc>
        <w:tc>
          <w:tcPr>
            <w:tcW w:w="4788" w:type="dxa"/>
          </w:tcPr>
          <w:p w:rsidR="009C3BAF" w:rsidRPr="009C3BAF" w:rsidP="009C3BAF" w14:paraId="73C6E1B8" w14:textId="77777777">
            <w:pPr>
              <w:tabs>
                <w:tab w:val="clear" w:pos="720"/>
              </w:tabs>
              <w:spacing w:line="240" w:lineRule="auto"/>
              <w:rPr>
                <w:rFonts w:eastAsia="Times New Roman"/>
                <w:szCs w:val="26"/>
              </w:rPr>
            </w:pPr>
            <w:r w:rsidRPr="009C3BAF">
              <w:rPr>
                <w:rFonts w:eastAsia="Times New Roman"/>
                <w:szCs w:val="26"/>
              </w:rPr>
              <w:t>The Honorable Patricia M. Lucas</w:t>
            </w:r>
          </w:p>
          <w:p w:rsidR="009C3BAF" w:rsidRPr="009C3BAF" w:rsidP="009C3BAF" w14:paraId="2FCE4E79" w14:textId="77777777">
            <w:pPr>
              <w:tabs>
                <w:tab w:val="clear" w:pos="720"/>
              </w:tabs>
              <w:spacing w:line="240" w:lineRule="auto"/>
              <w:rPr>
                <w:rFonts w:eastAsia="Times New Roman"/>
                <w:szCs w:val="26"/>
              </w:rPr>
            </w:pPr>
          </w:p>
          <w:p w:rsidR="009C3BAF" w:rsidRPr="009C3BAF" w:rsidP="009C3BAF" w14:paraId="18A550E6" w14:textId="77777777">
            <w:pPr>
              <w:tabs>
                <w:tab w:val="clear" w:pos="720"/>
              </w:tabs>
              <w:spacing w:line="240" w:lineRule="auto"/>
              <w:rPr>
                <w:rFonts w:eastAsia="Times New Roman"/>
                <w:szCs w:val="26"/>
              </w:rPr>
            </w:pPr>
          </w:p>
        </w:tc>
      </w:tr>
      <w:tr w14:paraId="3C32D820" w14:textId="77777777" w:rsidTr="00CB43AD">
        <w:tblPrEx>
          <w:tblW w:w="9576" w:type="dxa"/>
          <w:tblLayout w:type="fixed"/>
          <w:tblLook w:val="0000"/>
        </w:tblPrEx>
        <w:tc>
          <w:tcPr>
            <w:tcW w:w="4788" w:type="dxa"/>
          </w:tcPr>
          <w:p w:rsidR="009C3BAF" w:rsidRPr="009C3BAF" w:rsidP="009C3BAF" w14:paraId="14EC6B5C" w14:textId="77777777">
            <w:pPr>
              <w:tabs>
                <w:tab w:val="clear" w:pos="720"/>
              </w:tabs>
              <w:spacing w:line="240" w:lineRule="auto"/>
              <w:rPr>
                <w:rFonts w:eastAsia="Times New Roman"/>
                <w:szCs w:val="26"/>
              </w:rPr>
            </w:pPr>
            <w:r w:rsidRPr="009C3BAF">
              <w:rPr>
                <w:rFonts w:eastAsia="Times New Roman"/>
                <w:szCs w:val="26"/>
              </w:rPr>
              <w:t>Attorneys for Plaintiff and Respondent,</w:t>
            </w:r>
          </w:p>
          <w:p w:rsidR="009C3BAF" w:rsidRPr="009C3BAF" w:rsidP="009C3BAF" w14:paraId="4CDF7227" w14:textId="77777777">
            <w:pPr>
              <w:tabs>
                <w:tab w:val="clear" w:pos="720"/>
              </w:tabs>
              <w:spacing w:line="240" w:lineRule="auto"/>
              <w:rPr>
                <w:rFonts w:eastAsia="Times New Roman"/>
                <w:szCs w:val="26"/>
              </w:rPr>
            </w:pPr>
            <w:r w:rsidRPr="009C3BAF">
              <w:rPr>
                <w:rFonts w:eastAsia="Times New Roman"/>
                <w:szCs w:val="26"/>
              </w:rPr>
              <w:t>Charles Ramsey:</w:t>
            </w:r>
          </w:p>
          <w:p w:rsidR="009C3BAF" w:rsidRPr="009C3BAF" w:rsidP="009C3BAF" w14:paraId="332B11D1" w14:textId="77777777">
            <w:pPr>
              <w:tabs>
                <w:tab w:val="clear" w:pos="720"/>
              </w:tabs>
              <w:spacing w:line="240" w:lineRule="auto"/>
              <w:rPr>
                <w:rFonts w:eastAsia="Times New Roman"/>
                <w:szCs w:val="26"/>
              </w:rPr>
            </w:pPr>
          </w:p>
          <w:p w:rsidR="009C3BAF" w:rsidRPr="009C3BAF" w:rsidP="009C3BAF" w14:paraId="16575BFD" w14:textId="77777777">
            <w:pPr>
              <w:tabs>
                <w:tab w:val="clear" w:pos="720"/>
              </w:tabs>
              <w:spacing w:line="240" w:lineRule="auto"/>
              <w:rPr>
                <w:rFonts w:eastAsia="Times New Roman"/>
                <w:szCs w:val="26"/>
              </w:rPr>
            </w:pPr>
          </w:p>
          <w:p w:rsidR="009C3BAF" w:rsidRPr="009C3BAF" w:rsidP="009C3BAF" w14:paraId="3070C351" w14:textId="77777777">
            <w:pPr>
              <w:tabs>
                <w:tab w:val="clear" w:pos="720"/>
              </w:tabs>
              <w:spacing w:line="240" w:lineRule="auto"/>
              <w:rPr>
                <w:rFonts w:eastAsia="Times New Roman"/>
                <w:szCs w:val="26"/>
              </w:rPr>
            </w:pPr>
          </w:p>
          <w:p w:rsidR="009C3BAF" w:rsidRPr="009C3BAF" w:rsidP="009C3BAF" w14:paraId="7101BC0F" w14:textId="77777777">
            <w:pPr>
              <w:tabs>
                <w:tab w:val="clear" w:pos="720"/>
              </w:tabs>
              <w:spacing w:line="240" w:lineRule="auto"/>
              <w:rPr>
                <w:rFonts w:eastAsia="Times New Roman"/>
                <w:szCs w:val="26"/>
              </w:rPr>
            </w:pPr>
          </w:p>
          <w:p w:rsidR="009C3BAF" w:rsidRPr="009C3BAF" w:rsidP="009C3BAF" w14:paraId="6A989025" w14:textId="77777777">
            <w:pPr>
              <w:tabs>
                <w:tab w:val="clear" w:pos="720"/>
              </w:tabs>
              <w:spacing w:line="240" w:lineRule="auto"/>
              <w:rPr>
                <w:rFonts w:eastAsia="Times New Roman"/>
                <w:szCs w:val="26"/>
              </w:rPr>
            </w:pPr>
          </w:p>
        </w:tc>
        <w:tc>
          <w:tcPr>
            <w:tcW w:w="4788" w:type="dxa"/>
          </w:tcPr>
          <w:p w:rsidR="009C3BAF" w:rsidRPr="009C3BAF" w:rsidP="009C3BAF" w14:paraId="79DECFA7" w14:textId="77777777">
            <w:pPr>
              <w:tabs>
                <w:tab w:val="clear" w:pos="720"/>
              </w:tabs>
              <w:spacing w:line="240" w:lineRule="auto"/>
              <w:rPr>
                <w:rFonts w:eastAsia="Times New Roman"/>
                <w:szCs w:val="26"/>
              </w:rPr>
            </w:pPr>
          </w:p>
          <w:p w:rsidR="009C3BAF" w:rsidRPr="009C3BAF" w:rsidP="009C3BAF" w14:paraId="73D12F4D"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r w:rsidRPr="009C3BAF">
              <w:rPr>
                <w:rFonts w:eastAsia="Times New Roman"/>
                <w:szCs w:val="26"/>
              </w:rPr>
              <w:t xml:space="preserve">Daniel S. Jonathan </w:t>
            </w:r>
          </w:p>
          <w:p w:rsidR="009C3BAF" w:rsidRPr="009C3BAF" w:rsidP="009C3BAF" w14:paraId="3B10A412"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r w:rsidRPr="009C3BAF">
              <w:rPr>
                <w:rFonts w:eastAsia="Times New Roman"/>
                <w:szCs w:val="26"/>
              </w:rPr>
              <w:t xml:space="preserve">Freeman, Freeman &amp; Smiley   </w:t>
            </w:r>
          </w:p>
          <w:p w:rsidR="009C3BAF" w:rsidRPr="009C3BAF" w:rsidP="009C3BAF" w14:paraId="08730D33"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p>
          <w:p w:rsidR="009C3BAF" w:rsidRPr="009C3BAF" w:rsidP="009C3BAF" w14:paraId="40CE1C05"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r w:rsidRPr="009C3BAF">
              <w:rPr>
                <w:rFonts w:eastAsia="Times New Roman"/>
                <w:szCs w:val="26"/>
              </w:rPr>
              <w:t xml:space="preserve">Bevin Elaine Pike </w:t>
            </w:r>
          </w:p>
          <w:p w:rsidR="009C3BAF" w:rsidRPr="009C3BAF" w:rsidP="009C3BAF" w14:paraId="3E15B206"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r w:rsidRPr="009C3BAF">
              <w:rPr>
                <w:rFonts w:eastAsia="Times New Roman"/>
                <w:szCs w:val="26"/>
              </w:rPr>
              <w:t xml:space="preserve">Trisha Kathleen Monesi </w:t>
            </w:r>
          </w:p>
          <w:p w:rsidR="009C3BAF" w:rsidRPr="009C3BAF" w:rsidP="009C3BAF" w14:paraId="615B7196"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r w:rsidRPr="009C3BAF">
              <w:rPr>
                <w:rFonts w:eastAsia="Times New Roman"/>
                <w:szCs w:val="26"/>
              </w:rPr>
              <w:t>Ryan Hung-Hsi Wu</w:t>
            </w:r>
          </w:p>
          <w:p w:rsidR="009C3BAF" w:rsidRPr="009C3BAF" w:rsidP="009C3BAF" w14:paraId="0C21666E"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r w:rsidRPr="009C3BAF">
              <w:rPr>
                <w:rFonts w:eastAsia="Times New Roman"/>
                <w:szCs w:val="26"/>
              </w:rPr>
              <w:t xml:space="preserve">Liana Carol Carter </w:t>
            </w:r>
          </w:p>
          <w:p w:rsidR="009C3BAF" w:rsidRPr="009C3BAF" w:rsidP="009C3BAF" w14:paraId="786342C1" w14:textId="77777777">
            <w:pPr>
              <w:widowControl w:val="0"/>
              <w:tabs>
                <w:tab w:val="clear" w:pos="720"/>
                <w:tab w:val="left" w:pos="1440"/>
                <w:tab w:val="left" w:pos="2880"/>
                <w:tab w:val="left" w:pos="4320"/>
                <w:tab w:val="left" w:pos="5760"/>
                <w:tab w:val="left" w:pos="7200"/>
                <w:tab w:val="left" w:pos="8640"/>
              </w:tabs>
              <w:autoSpaceDE w:val="0"/>
              <w:autoSpaceDN w:val="0"/>
              <w:adjustRightInd w:val="0"/>
              <w:spacing w:line="240" w:lineRule="auto"/>
              <w:rPr>
                <w:rFonts w:eastAsia="Times New Roman"/>
                <w:szCs w:val="26"/>
              </w:rPr>
            </w:pPr>
            <w:r w:rsidRPr="009C3BAF">
              <w:rPr>
                <w:rFonts w:eastAsia="Times New Roman"/>
                <w:szCs w:val="26"/>
              </w:rPr>
              <w:t xml:space="preserve">Capstone Law APC   </w:t>
            </w:r>
          </w:p>
          <w:p w:rsidR="009C3BAF" w:rsidRPr="009C3BAF" w:rsidP="009C3BAF" w14:paraId="1304DA2E" w14:textId="77777777">
            <w:pPr>
              <w:tabs>
                <w:tab w:val="clear" w:pos="720"/>
              </w:tabs>
              <w:spacing w:line="240" w:lineRule="auto"/>
              <w:rPr>
                <w:rFonts w:eastAsia="Times New Roman"/>
                <w:szCs w:val="26"/>
              </w:rPr>
            </w:pPr>
          </w:p>
        </w:tc>
      </w:tr>
      <w:tr w14:paraId="3F9C64D2" w14:textId="77777777" w:rsidTr="00CB43AD">
        <w:tblPrEx>
          <w:tblW w:w="9576" w:type="dxa"/>
          <w:tblLayout w:type="fixed"/>
          <w:tblLook w:val="0000"/>
        </w:tblPrEx>
        <w:tc>
          <w:tcPr>
            <w:tcW w:w="4788" w:type="dxa"/>
          </w:tcPr>
          <w:p w:rsidR="009C3BAF" w:rsidRPr="009C3BAF" w:rsidP="009C3BAF" w14:paraId="059A0D0F" w14:textId="77777777">
            <w:pPr>
              <w:tabs>
                <w:tab w:val="clear" w:pos="720"/>
              </w:tabs>
              <w:spacing w:line="240" w:lineRule="auto"/>
              <w:rPr>
                <w:rFonts w:eastAsia="Times New Roman"/>
                <w:szCs w:val="26"/>
              </w:rPr>
            </w:pPr>
            <w:r w:rsidRPr="009C3BAF">
              <w:rPr>
                <w:rFonts w:eastAsia="Times New Roman"/>
                <w:szCs w:val="26"/>
              </w:rPr>
              <w:t>Attorneys for Defendant and Appellant,</w:t>
            </w:r>
          </w:p>
          <w:p w:rsidR="009C3BAF" w:rsidRPr="009C3BAF" w:rsidP="009C3BAF" w14:paraId="01F3AC3B" w14:textId="77777777">
            <w:pPr>
              <w:tabs>
                <w:tab w:val="clear" w:pos="720"/>
              </w:tabs>
              <w:spacing w:line="240" w:lineRule="auto"/>
              <w:rPr>
                <w:rFonts w:eastAsia="Times New Roman"/>
                <w:szCs w:val="26"/>
              </w:rPr>
            </w:pPr>
            <w:r w:rsidRPr="009C3BAF">
              <w:rPr>
                <w:rFonts w:eastAsia="Times New Roman"/>
                <w:szCs w:val="26"/>
              </w:rPr>
              <w:t>Comcast Cable Communications, LLC:</w:t>
            </w:r>
          </w:p>
        </w:tc>
        <w:tc>
          <w:tcPr>
            <w:tcW w:w="4788" w:type="dxa"/>
          </w:tcPr>
          <w:p w:rsidR="009C3BAF" w:rsidRPr="009C3BAF" w:rsidP="009C3BAF" w14:paraId="7C22F440" w14:textId="77777777">
            <w:pPr>
              <w:tabs>
                <w:tab w:val="clear" w:pos="720"/>
              </w:tabs>
              <w:spacing w:line="240" w:lineRule="auto"/>
              <w:rPr>
                <w:rFonts w:eastAsia="Times New Roman"/>
                <w:szCs w:val="26"/>
              </w:rPr>
            </w:pPr>
          </w:p>
          <w:p w:rsidR="009C3BAF" w:rsidRPr="009C3BAF" w:rsidP="009C3BAF" w14:paraId="64012A85" w14:textId="77777777">
            <w:pPr>
              <w:tabs>
                <w:tab w:val="clear" w:pos="720"/>
              </w:tabs>
              <w:spacing w:line="240" w:lineRule="auto"/>
              <w:rPr>
                <w:rFonts w:eastAsia="Times New Roman"/>
                <w:szCs w:val="26"/>
              </w:rPr>
            </w:pPr>
            <w:r w:rsidRPr="009C3BAF">
              <w:rPr>
                <w:rFonts w:eastAsia="Times New Roman"/>
                <w:szCs w:val="26"/>
              </w:rPr>
              <w:t xml:space="preserve">Aileen Marie McGrath </w:t>
            </w:r>
          </w:p>
          <w:p w:rsidR="009C3BAF" w:rsidRPr="009C3BAF" w:rsidP="009C3BAF" w14:paraId="1BC9170C" w14:textId="77777777">
            <w:pPr>
              <w:tabs>
                <w:tab w:val="clear" w:pos="720"/>
              </w:tabs>
              <w:spacing w:line="240" w:lineRule="auto"/>
              <w:rPr>
                <w:rFonts w:eastAsia="Times New Roman"/>
                <w:szCs w:val="26"/>
              </w:rPr>
            </w:pPr>
            <w:r w:rsidRPr="009C3BAF">
              <w:rPr>
                <w:rFonts w:eastAsia="Times New Roman"/>
                <w:szCs w:val="26"/>
              </w:rPr>
              <w:t>Michael Weisbuch</w:t>
            </w:r>
          </w:p>
          <w:p w:rsidR="009C3BAF" w:rsidRPr="009C3BAF" w:rsidP="009C3BAF" w14:paraId="0C85DBF6" w14:textId="77777777">
            <w:pPr>
              <w:tabs>
                <w:tab w:val="clear" w:pos="720"/>
              </w:tabs>
              <w:spacing w:line="240" w:lineRule="auto"/>
              <w:rPr>
                <w:rFonts w:eastAsia="Times New Roman"/>
                <w:szCs w:val="26"/>
              </w:rPr>
            </w:pPr>
            <w:r w:rsidRPr="009C3BAF">
              <w:rPr>
                <w:rFonts w:eastAsia="Times New Roman"/>
                <w:szCs w:val="26"/>
              </w:rPr>
              <w:t>Marshall Lee Baker</w:t>
            </w:r>
          </w:p>
          <w:p w:rsidR="009C3BAF" w:rsidRPr="009C3BAF" w:rsidP="009C3BAF" w14:paraId="0654337A" w14:textId="77777777">
            <w:pPr>
              <w:tabs>
                <w:tab w:val="clear" w:pos="720"/>
              </w:tabs>
              <w:spacing w:line="240" w:lineRule="auto"/>
              <w:rPr>
                <w:rFonts w:eastAsia="Times New Roman"/>
                <w:szCs w:val="26"/>
              </w:rPr>
            </w:pPr>
            <w:r w:rsidRPr="009C3BAF">
              <w:rPr>
                <w:rFonts w:eastAsia="Times New Roman"/>
                <w:szCs w:val="26"/>
              </w:rPr>
              <w:t>Akin Gump Strauss Hauer &amp; Feld LLP</w:t>
            </w:r>
          </w:p>
          <w:p w:rsidR="009C3BAF" w:rsidRPr="009C3BAF" w:rsidP="009C3BAF" w14:paraId="67479141" w14:textId="77777777">
            <w:pPr>
              <w:tabs>
                <w:tab w:val="clear" w:pos="720"/>
              </w:tabs>
              <w:spacing w:line="240" w:lineRule="auto"/>
              <w:rPr>
                <w:rFonts w:eastAsia="Times New Roman"/>
                <w:szCs w:val="26"/>
              </w:rPr>
            </w:pPr>
          </w:p>
        </w:tc>
      </w:tr>
      <w:tr w14:paraId="1618898A" w14:textId="77777777" w:rsidTr="00CB43AD">
        <w:tblPrEx>
          <w:tblW w:w="9576" w:type="dxa"/>
          <w:tblLayout w:type="fixed"/>
          <w:tblLook w:val="0000"/>
        </w:tblPrEx>
        <w:tc>
          <w:tcPr>
            <w:tcW w:w="4788" w:type="dxa"/>
          </w:tcPr>
          <w:p w:rsidR="009C3BAF" w:rsidRPr="009C3BAF" w:rsidP="009C3BAF" w14:paraId="6DD4AFF1" w14:textId="77777777">
            <w:pPr>
              <w:tabs>
                <w:tab w:val="clear" w:pos="720"/>
              </w:tabs>
              <w:spacing w:line="240" w:lineRule="auto"/>
              <w:rPr>
                <w:rFonts w:eastAsia="Times New Roman"/>
                <w:szCs w:val="26"/>
              </w:rPr>
            </w:pPr>
          </w:p>
        </w:tc>
        <w:tc>
          <w:tcPr>
            <w:tcW w:w="4788" w:type="dxa"/>
          </w:tcPr>
          <w:p w:rsidR="009C3BAF" w:rsidRPr="009C3BAF" w:rsidP="009C3BAF" w14:paraId="136EA0B9" w14:textId="77777777">
            <w:pPr>
              <w:tabs>
                <w:tab w:val="clear" w:pos="720"/>
              </w:tabs>
              <w:spacing w:line="240" w:lineRule="auto"/>
              <w:rPr>
                <w:rFonts w:eastAsia="Times New Roman"/>
                <w:szCs w:val="26"/>
              </w:rPr>
            </w:pPr>
          </w:p>
        </w:tc>
      </w:tr>
    </w:tbl>
    <w:p w:rsidR="009C3BAF" w:rsidRPr="009C3BAF" w:rsidP="009C3BAF" w14:paraId="46612CAD" w14:textId="77777777">
      <w:pPr>
        <w:tabs>
          <w:tab w:val="clear" w:pos="720"/>
        </w:tabs>
        <w:spacing w:line="240" w:lineRule="auto"/>
        <w:rPr>
          <w:rFonts w:eastAsia="Times New Roman"/>
          <w:szCs w:val="26"/>
        </w:rPr>
      </w:pPr>
    </w:p>
    <w:p w:rsidR="009C3BAF" w:rsidRPr="009C3BAF" w:rsidP="009C3BAF" w14:paraId="18FBD5DF" w14:textId="77777777">
      <w:pPr>
        <w:tabs>
          <w:tab w:val="clear" w:pos="720"/>
        </w:tabs>
        <w:spacing w:line="240" w:lineRule="auto"/>
        <w:rPr>
          <w:rFonts w:eastAsia="Times New Roman"/>
          <w:szCs w:val="26"/>
        </w:rPr>
      </w:pPr>
    </w:p>
    <w:p w:rsidR="009C3BAF" w:rsidRPr="009C3BAF" w:rsidP="009C3BAF" w14:paraId="10488A81" w14:textId="77777777">
      <w:pPr>
        <w:tabs>
          <w:tab w:val="clear" w:pos="720"/>
        </w:tabs>
        <w:spacing w:line="240" w:lineRule="auto"/>
        <w:rPr>
          <w:rFonts w:eastAsia="Times New Roman"/>
          <w:szCs w:val="26"/>
        </w:rPr>
      </w:pPr>
    </w:p>
    <w:p w:rsidR="009C3BAF" w:rsidRPr="009C3BAF" w:rsidP="009C3BAF" w14:paraId="49F63D12" w14:textId="77777777">
      <w:pPr>
        <w:tabs>
          <w:tab w:val="clear" w:pos="720"/>
        </w:tabs>
        <w:spacing w:line="240" w:lineRule="auto"/>
        <w:rPr>
          <w:rFonts w:eastAsia="Times New Roman"/>
          <w:bCs/>
          <w:i/>
          <w:iCs/>
          <w:szCs w:val="26"/>
        </w:rPr>
      </w:pPr>
    </w:p>
    <w:p w:rsidR="009C3BAF" w:rsidRPr="009C3BAF" w:rsidP="009C3BAF" w14:paraId="0691BCF3" w14:textId="77777777">
      <w:pPr>
        <w:tabs>
          <w:tab w:val="clear" w:pos="720"/>
        </w:tabs>
        <w:spacing w:line="240" w:lineRule="auto"/>
        <w:rPr>
          <w:rFonts w:eastAsia="Times New Roman"/>
          <w:bCs/>
          <w:i/>
          <w:iCs/>
          <w:szCs w:val="26"/>
        </w:rPr>
      </w:pPr>
    </w:p>
    <w:p w:rsidR="009C3BAF" w:rsidRPr="009C3BAF" w:rsidP="009C3BAF" w14:paraId="200A6EDA" w14:textId="77777777">
      <w:pPr>
        <w:tabs>
          <w:tab w:val="clear" w:pos="720"/>
        </w:tabs>
        <w:spacing w:line="240" w:lineRule="auto"/>
        <w:rPr>
          <w:rFonts w:eastAsia="Times New Roman"/>
          <w:bCs/>
          <w:i/>
          <w:iCs/>
          <w:szCs w:val="26"/>
        </w:rPr>
      </w:pPr>
    </w:p>
    <w:p w:rsidR="009C3BAF" w:rsidRPr="009C3BAF" w:rsidP="009C3BAF" w14:paraId="4B4B59FE" w14:textId="77777777">
      <w:pPr>
        <w:tabs>
          <w:tab w:val="clear" w:pos="720"/>
        </w:tabs>
        <w:spacing w:line="240" w:lineRule="auto"/>
        <w:rPr>
          <w:rFonts w:eastAsia="Times New Roman"/>
          <w:bCs/>
          <w:i/>
          <w:iCs/>
          <w:szCs w:val="26"/>
        </w:rPr>
      </w:pPr>
    </w:p>
    <w:p w:rsidR="009C3BAF" w:rsidRPr="009C3BAF" w:rsidP="009C3BAF" w14:paraId="24C832FA" w14:textId="77777777">
      <w:pPr>
        <w:tabs>
          <w:tab w:val="clear" w:pos="720"/>
        </w:tabs>
        <w:spacing w:line="240" w:lineRule="auto"/>
        <w:rPr>
          <w:rFonts w:eastAsia="Times New Roman"/>
          <w:bCs/>
          <w:i/>
          <w:iCs/>
          <w:szCs w:val="26"/>
        </w:rPr>
      </w:pPr>
    </w:p>
    <w:p w:rsidR="009C3BAF" w:rsidRPr="009C3BAF" w:rsidP="009C3BAF" w14:paraId="2F586229" w14:textId="77777777">
      <w:pPr>
        <w:tabs>
          <w:tab w:val="clear" w:pos="720"/>
        </w:tabs>
        <w:spacing w:line="240" w:lineRule="auto"/>
        <w:rPr>
          <w:rFonts w:eastAsia="Times New Roman"/>
          <w:bCs/>
          <w:i/>
          <w:iCs/>
          <w:szCs w:val="26"/>
        </w:rPr>
      </w:pPr>
    </w:p>
    <w:p w:rsidR="009C3BAF" w:rsidRPr="009C3BAF" w:rsidP="009C3BAF" w14:paraId="6CBA815B" w14:textId="77777777">
      <w:pPr>
        <w:tabs>
          <w:tab w:val="clear" w:pos="720"/>
        </w:tabs>
        <w:spacing w:line="240" w:lineRule="auto"/>
        <w:rPr>
          <w:rFonts w:eastAsia="Times New Roman"/>
          <w:bCs/>
          <w:i/>
          <w:iCs/>
          <w:szCs w:val="26"/>
        </w:rPr>
      </w:pPr>
    </w:p>
    <w:p w:rsidR="009C3BAF" w:rsidRPr="009C3BAF" w:rsidP="009C3BAF" w14:paraId="4A015E51" w14:textId="77777777">
      <w:pPr>
        <w:tabs>
          <w:tab w:val="clear" w:pos="720"/>
        </w:tabs>
        <w:spacing w:line="240" w:lineRule="auto"/>
        <w:rPr>
          <w:rFonts w:eastAsia="Times New Roman"/>
          <w:bCs/>
          <w:i/>
          <w:iCs/>
          <w:szCs w:val="26"/>
        </w:rPr>
      </w:pPr>
    </w:p>
    <w:bookmarkEnd w:id="10"/>
    <w:p w:rsidR="009C3BAF" w:rsidRPr="009C3BAF" w:rsidP="009C3BAF" w14:paraId="318C36BF" w14:textId="77777777">
      <w:pPr>
        <w:tabs>
          <w:tab w:val="clear" w:pos="720"/>
        </w:tabs>
        <w:spacing w:line="240" w:lineRule="auto"/>
        <w:rPr>
          <w:rFonts w:eastAsia="Times New Roman"/>
          <w:szCs w:val="20"/>
        </w:rPr>
      </w:pPr>
      <w:r w:rsidRPr="009C3BAF">
        <w:rPr>
          <w:rFonts w:eastAsia="Times New Roman"/>
          <w:szCs w:val="20"/>
        </w:rPr>
        <w:t>H049949</w:t>
      </w:r>
    </w:p>
    <w:p w:rsidR="009C3BAF" w:rsidRPr="009C3BAF" w:rsidP="009C3BAF" w14:paraId="6B1D17BF" w14:textId="77777777">
      <w:pPr>
        <w:tabs>
          <w:tab w:val="clear" w:pos="720"/>
        </w:tabs>
        <w:spacing w:line="240" w:lineRule="auto"/>
        <w:rPr>
          <w:rFonts w:eastAsia="Times New Roman"/>
          <w:szCs w:val="20"/>
        </w:rPr>
      </w:pPr>
      <w:r w:rsidRPr="009C3BAF">
        <w:rPr>
          <w:rFonts w:eastAsia="Times New Roman"/>
          <w:szCs w:val="20"/>
        </w:rPr>
        <w:t>Ramsey v. Comcast Cable Communications, LLC</w:t>
      </w:r>
    </w:p>
    <w:p w:rsidR="00890BE1" w:rsidRPr="00A25F42" w:rsidP="00C45AE6" w14:paraId="0D74384F" w14:textId="77777777"/>
    <w:sectPr w:rsidSect="009C3B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654041"/>
      <w:docPartObj>
        <w:docPartGallery w:val="Page Numbers (Bottom of Page)"/>
        <w:docPartUnique/>
      </w:docPartObj>
    </w:sdtPr>
    <w:sdtEndPr>
      <w:rPr>
        <w:noProof/>
      </w:rPr>
    </w:sdtEndPr>
    <w:sdtContent>
      <w:p w:rsidR="00612779" w:rsidP="00552068" w14:paraId="78FA1AFE" w14:textId="0C07C8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2779" w:rsidP="00612779" w14:paraId="0D897023" w14:textId="77777777">
      <w:pPr>
        <w:spacing w:line="240" w:lineRule="auto"/>
      </w:pPr>
      <w:r>
        <w:separator/>
      </w:r>
    </w:p>
  </w:footnote>
  <w:footnote w:type="continuationSeparator" w:id="1">
    <w:p w:rsidR="00612779" w:rsidP="00612779" w14:paraId="68862B46" w14:textId="77777777">
      <w:pPr>
        <w:spacing w:line="240" w:lineRule="auto"/>
      </w:pPr>
      <w:r>
        <w:continuationSeparator/>
      </w:r>
    </w:p>
  </w:footnote>
  <w:footnote w:id="2">
    <w:p w:rsidR="000F1B87" w14:paraId="620D5028" w14:textId="6E9A76D8">
      <w:pPr>
        <w:pStyle w:val="FootnoteText"/>
      </w:pPr>
      <w:r>
        <w:tab/>
      </w:r>
      <w:r>
        <w:rPr>
          <w:rStyle w:val="FootnoteReference"/>
        </w:rPr>
        <w:footnoteRef/>
      </w:r>
      <w:r>
        <w:t xml:space="preserve"> Our </w:t>
      </w:r>
      <w:r w:rsidR="00F26196">
        <w:t>statement of fact</w:t>
      </w:r>
      <w:r w:rsidR="00A5075F">
        <w:t>s</w:t>
      </w:r>
      <w:r>
        <w:t xml:space="preserve"> is based on the allegations </w:t>
      </w:r>
      <w:r w:rsidR="00433B25">
        <w:t>from</w:t>
      </w:r>
      <w:r>
        <w:t xml:space="preserve"> Ramsey’s </w:t>
      </w:r>
      <w:r w:rsidR="00C17D00">
        <w:t xml:space="preserve">underlying </w:t>
      </w:r>
      <w:r>
        <w:t>complaint</w:t>
      </w:r>
      <w:r w:rsidR="00056CDB">
        <w:t>.</w:t>
      </w:r>
      <w:r w:rsidR="009E45F4">
        <w:t xml:space="preserve"> </w:t>
      </w:r>
    </w:p>
  </w:footnote>
  <w:footnote w:id="3">
    <w:p w:rsidR="00873410" w14:paraId="3CB3FE0E" w14:textId="6FB435AA">
      <w:pPr>
        <w:pStyle w:val="FootnoteText"/>
      </w:pPr>
      <w:r>
        <w:tab/>
      </w:r>
      <w:r>
        <w:rPr>
          <w:rStyle w:val="FootnoteReference"/>
        </w:rPr>
        <w:footnoteRef/>
      </w:r>
      <w:r w:rsidR="003D2CDB">
        <w:t xml:space="preserve"> </w:t>
      </w:r>
      <w:r>
        <w:t xml:space="preserve">All statutory references are to the Business &amp; Professions Code, unless otherwise stated.  </w:t>
      </w:r>
    </w:p>
  </w:footnote>
  <w:footnote w:id="4">
    <w:p w:rsidR="00757652" w:rsidP="00757652" w14:paraId="6911BA82" w14:textId="113DC7FD">
      <w:pPr>
        <w:pStyle w:val="FootnoteText"/>
      </w:pPr>
      <w:r>
        <w:tab/>
      </w:r>
      <w:r>
        <w:rPr>
          <w:rStyle w:val="FootnoteReference"/>
        </w:rPr>
        <w:footnoteRef/>
      </w:r>
      <w:r>
        <w:t xml:space="preserve"> To the extent we look to federal authority to guide our analysis on the </w:t>
      </w:r>
      <w:r w:rsidR="00EE628B">
        <w:t>issue of</w:t>
      </w:r>
      <w:r>
        <w:t xml:space="preserve"> whether Ramsey’s requested injunctive relief is public or private, </w:t>
      </w:r>
      <w:bookmarkStart w:id="5" w:name="_Hlk147932253"/>
      <w:r w:rsidRPr="003F0410">
        <w:rPr>
          <w:i/>
          <w:iCs/>
        </w:rPr>
        <w:t>Blair</w:t>
      </w:r>
      <w:r w:rsidR="00083C40">
        <w:rPr>
          <w:i/>
          <w:iCs/>
        </w:rPr>
        <w:t xml:space="preserve"> v. Rent-A-Center, Inc. </w:t>
      </w:r>
      <w:r w:rsidRPr="00083C40" w:rsidR="00083C40">
        <w:t>(9th Cir. 2019) 928 F.3d 819</w:t>
      </w:r>
      <w:r w:rsidRPr="00631AB6" w:rsidR="00083C40">
        <w:t xml:space="preserve"> (</w:t>
      </w:r>
      <w:r w:rsidR="00083C40">
        <w:rPr>
          <w:i/>
          <w:iCs/>
        </w:rPr>
        <w:t>Blair</w:t>
      </w:r>
      <w:r w:rsidRPr="00552068" w:rsidR="00083C40">
        <w:t>)</w:t>
      </w:r>
      <w:r w:rsidRPr="00552068">
        <w:t xml:space="preserve"> </w:t>
      </w:r>
      <w:bookmarkEnd w:id="5"/>
      <w:r>
        <w:t xml:space="preserve">is more consistent with </w:t>
      </w:r>
      <w:r w:rsidRPr="004B7131">
        <w:rPr>
          <w:i/>
          <w:iCs/>
        </w:rPr>
        <w:t>McGill</w:t>
      </w:r>
      <w:r>
        <w:t xml:space="preserve">.  In </w:t>
      </w:r>
      <w:r w:rsidRPr="003F0410">
        <w:rPr>
          <w:i/>
          <w:iCs/>
        </w:rPr>
        <w:t>Blair</w:t>
      </w:r>
      <w:r>
        <w:t>, plaintiffs entered into “rent-to-own agreements” with Rent-A-Center, which operates stores that rent household items to consumers for set installment payments.  (</w:t>
      </w:r>
      <w:r w:rsidRPr="003F0410">
        <w:rPr>
          <w:i/>
          <w:iCs/>
        </w:rPr>
        <w:t>Blair, supra</w:t>
      </w:r>
      <w:r>
        <w:t xml:space="preserve">, 928 F.3d at p. 822.)  They subsequently brought a putative class action lawsuit against the company, alleging that it structured its rent-to-own pricing in violation of California law, including the </w:t>
      </w:r>
      <w:r w:rsidRPr="00E0605A">
        <w:t>Karnette Rental-Purchase Act,</w:t>
      </w:r>
      <w:r>
        <w:t xml:space="preserve"> the CLRA, and the UCL.</w:t>
      </w:r>
      <w:r w:rsidR="00073DCE">
        <w:t xml:space="preserve"> </w:t>
      </w:r>
      <w:r>
        <w:t xml:space="preserve"> (</w:t>
      </w:r>
      <w:r w:rsidRPr="003F0410">
        <w:rPr>
          <w:i/>
          <w:iCs/>
        </w:rPr>
        <w:t>Ibid</w:t>
      </w:r>
      <w:r>
        <w:t>.)  Among other forms of relief, plaintiffs’ complaint sought an injunction against the company to “enjoin future violations of these laws.”</w:t>
      </w:r>
      <w:r w:rsidR="00073DCE">
        <w:t xml:space="preserve"> </w:t>
      </w:r>
      <w:r>
        <w:t xml:space="preserve"> (</w:t>
      </w:r>
      <w:r>
        <w:rPr>
          <w:i/>
          <w:iCs/>
        </w:rPr>
        <w:t xml:space="preserve">Id. </w:t>
      </w:r>
      <w:r>
        <w:t xml:space="preserve">at p. 823.)  The </w:t>
      </w:r>
      <w:r w:rsidR="00073DCE">
        <w:t>N</w:t>
      </w:r>
      <w:r>
        <w:t xml:space="preserve">inth </w:t>
      </w:r>
      <w:r w:rsidR="00073DCE">
        <w:t>C</w:t>
      </w:r>
      <w:r>
        <w:t xml:space="preserve">ircuit held that plaintiffs’ requested relief constituted </w:t>
      </w:r>
      <w:r w:rsidRPr="00D45631">
        <w:t>public injunctive relief</w:t>
      </w:r>
      <w:r>
        <w:t xml:space="preserve"> under </w:t>
      </w:r>
      <w:r w:rsidRPr="003F0410">
        <w:rPr>
          <w:i/>
          <w:iCs/>
        </w:rPr>
        <w:t>McGill</w:t>
      </w:r>
      <w:r>
        <w:t xml:space="preserve">–even though the requested injunction would not benefit every member of the public, but only those who enter or contemplate entering into an agreement with Rent-a-Center.  (See </w:t>
      </w:r>
      <w:r w:rsidRPr="003F0410">
        <w:rPr>
          <w:i/>
          <w:iCs/>
        </w:rPr>
        <w:t>id.</w:t>
      </w:r>
      <w:r>
        <w:t xml:space="preserve"> at p.</w:t>
      </w:r>
      <w:r w:rsidR="00353A20">
        <w:t> </w:t>
      </w:r>
      <w:r>
        <w:t xml:space="preserve">831, fn. 3; see also </w:t>
      </w:r>
      <w:r w:rsidRPr="003F0410">
        <w:rPr>
          <w:i/>
          <w:iCs/>
        </w:rPr>
        <w:t>Hodges, supra</w:t>
      </w:r>
      <w:r>
        <w:t xml:space="preserve">, 21 F.4th at p. 550.)  Under </w:t>
      </w:r>
      <w:r w:rsidRPr="003F0410">
        <w:rPr>
          <w:i/>
          <w:iCs/>
        </w:rPr>
        <w:t>Blair</w:t>
      </w:r>
      <w:r>
        <w:t xml:space="preserve">, benefitting every member of the public as a “diffuse whole” was </w:t>
      </w:r>
      <w:r w:rsidR="000C6C46">
        <w:t xml:space="preserve">neither </w:t>
      </w:r>
      <w:r>
        <w:t>necessary nor required.  It was sufficient that plaintiffs sought “to enjoin future violations of California consumer protection statutes, relief oriented to and for the benefit of the general public.”  (</w:t>
      </w:r>
      <w:r w:rsidRPr="003F0410">
        <w:rPr>
          <w:i/>
          <w:iCs/>
        </w:rPr>
        <w:t>Blair, supra</w:t>
      </w:r>
      <w:r>
        <w:t>, at p. 831, fn.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1708FD"/>
    <w:multiLevelType w:val="hybridMultilevel"/>
    <w:tmpl w:val="1CDC7C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331BD5"/>
    <w:multiLevelType w:val="hybridMultilevel"/>
    <w:tmpl w:val="8F100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7E1D60"/>
    <w:multiLevelType w:val="hybridMultilevel"/>
    <w:tmpl w:val="9A4840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FB4B62"/>
    <w:multiLevelType w:val="hybridMultilevel"/>
    <w:tmpl w:val="E9EA70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F50812"/>
    <w:multiLevelType w:val="hybridMultilevel"/>
    <w:tmpl w:val="6D8C141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F343B5C"/>
    <w:multiLevelType w:val="hybridMultilevel"/>
    <w:tmpl w:val="A7D66908"/>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A51841"/>
    <w:multiLevelType w:val="hybridMultilevel"/>
    <w:tmpl w:val="5004FF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345B9E"/>
    <w:multiLevelType w:val="hybridMultilevel"/>
    <w:tmpl w:val="26A299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784648"/>
    <w:multiLevelType w:val="hybridMultilevel"/>
    <w:tmpl w:val="4BD47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DA42B6"/>
    <w:multiLevelType w:val="hybridMultilevel"/>
    <w:tmpl w:val="1C9272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7C10CD"/>
    <w:multiLevelType w:val="hybridMultilevel"/>
    <w:tmpl w:val="621654CC"/>
    <w:lvl w:ilvl="0">
      <w:start w:val="1"/>
      <w:numFmt w:val="lowerLetter"/>
      <w:lvlText w:val="(%1)"/>
      <w:lvlJc w:val="lef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DF42C4D"/>
    <w:multiLevelType w:val="hybridMultilevel"/>
    <w:tmpl w:val="52864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0641961"/>
    <w:multiLevelType w:val="hybridMultilevel"/>
    <w:tmpl w:val="E452D9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061A57"/>
    <w:multiLevelType w:val="hybridMultilevel"/>
    <w:tmpl w:val="F8C4363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93735B"/>
    <w:multiLevelType w:val="hybridMultilevel"/>
    <w:tmpl w:val="AD065846"/>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3"/>
  </w:num>
  <w:num w:numId="5">
    <w:abstractNumId w:val="7"/>
  </w:num>
  <w:num w:numId="6">
    <w:abstractNumId w:val="5"/>
  </w:num>
  <w:num w:numId="7">
    <w:abstractNumId w:val="11"/>
  </w:num>
  <w:num w:numId="8">
    <w:abstractNumId w:val="14"/>
  </w:num>
  <w:num w:numId="9">
    <w:abstractNumId w:val="8"/>
  </w:num>
  <w:num w:numId="10">
    <w:abstractNumId w:val="12"/>
  </w:num>
  <w:num w:numId="11">
    <w:abstractNumId w:val="0"/>
  </w:num>
  <w:num w:numId="12">
    <w:abstractNumId w:val="4"/>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42"/>
    <w:rsid w:val="00002C53"/>
    <w:rsid w:val="00002EB6"/>
    <w:rsid w:val="00002F0E"/>
    <w:rsid w:val="00003F6E"/>
    <w:rsid w:val="000048D4"/>
    <w:rsid w:val="00011452"/>
    <w:rsid w:val="000118DA"/>
    <w:rsid w:val="00021926"/>
    <w:rsid w:val="00021B56"/>
    <w:rsid w:val="00022032"/>
    <w:rsid w:val="0002656B"/>
    <w:rsid w:val="000273A1"/>
    <w:rsid w:val="00027EA2"/>
    <w:rsid w:val="00031909"/>
    <w:rsid w:val="00031A69"/>
    <w:rsid w:val="00031FD0"/>
    <w:rsid w:val="00033257"/>
    <w:rsid w:val="00040B16"/>
    <w:rsid w:val="00040E04"/>
    <w:rsid w:val="0004595E"/>
    <w:rsid w:val="0004652C"/>
    <w:rsid w:val="000513BD"/>
    <w:rsid w:val="0005642E"/>
    <w:rsid w:val="00056CDB"/>
    <w:rsid w:val="000576D1"/>
    <w:rsid w:val="00064C0A"/>
    <w:rsid w:val="00066A6F"/>
    <w:rsid w:val="00066D86"/>
    <w:rsid w:val="00067061"/>
    <w:rsid w:val="00071FF0"/>
    <w:rsid w:val="00073DCE"/>
    <w:rsid w:val="000750BF"/>
    <w:rsid w:val="00077846"/>
    <w:rsid w:val="0008324C"/>
    <w:rsid w:val="00083C40"/>
    <w:rsid w:val="00084DA4"/>
    <w:rsid w:val="000855DF"/>
    <w:rsid w:val="00092BD3"/>
    <w:rsid w:val="00097401"/>
    <w:rsid w:val="0009742F"/>
    <w:rsid w:val="000A0522"/>
    <w:rsid w:val="000A05E4"/>
    <w:rsid w:val="000A47FE"/>
    <w:rsid w:val="000A5464"/>
    <w:rsid w:val="000A5D95"/>
    <w:rsid w:val="000B3297"/>
    <w:rsid w:val="000B4981"/>
    <w:rsid w:val="000B5DBE"/>
    <w:rsid w:val="000C0EFF"/>
    <w:rsid w:val="000C3080"/>
    <w:rsid w:val="000C4EAF"/>
    <w:rsid w:val="000C6C46"/>
    <w:rsid w:val="000C7A7D"/>
    <w:rsid w:val="000D26C7"/>
    <w:rsid w:val="000D40C1"/>
    <w:rsid w:val="000D5845"/>
    <w:rsid w:val="000D64E8"/>
    <w:rsid w:val="000D7B61"/>
    <w:rsid w:val="000E1676"/>
    <w:rsid w:val="000E2757"/>
    <w:rsid w:val="000E4623"/>
    <w:rsid w:val="000E4D40"/>
    <w:rsid w:val="000E57F2"/>
    <w:rsid w:val="000F11FB"/>
    <w:rsid w:val="000F1B87"/>
    <w:rsid w:val="000F2FF7"/>
    <w:rsid w:val="000F6067"/>
    <w:rsid w:val="000F6F73"/>
    <w:rsid w:val="001001DC"/>
    <w:rsid w:val="001006F6"/>
    <w:rsid w:val="0010586A"/>
    <w:rsid w:val="00105AF3"/>
    <w:rsid w:val="00110906"/>
    <w:rsid w:val="0011102B"/>
    <w:rsid w:val="00111689"/>
    <w:rsid w:val="001117CB"/>
    <w:rsid w:val="00111CA4"/>
    <w:rsid w:val="00116DC3"/>
    <w:rsid w:val="00121AEA"/>
    <w:rsid w:val="00122DA2"/>
    <w:rsid w:val="00124776"/>
    <w:rsid w:val="00130EF2"/>
    <w:rsid w:val="0013269B"/>
    <w:rsid w:val="00146764"/>
    <w:rsid w:val="00146967"/>
    <w:rsid w:val="00150DEA"/>
    <w:rsid w:val="001511F8"/>
    <w:rsid w:val="001528B7"/>
    <w:rsid w:val="00152B66"/>
    <w:rsid w:val="00153DA4"/>
    <w:rsid w:val="00153F75"/>
    <w:rsid w:val="00154EE8"/>
    <w:rsid w:val="001552ED"/>
    <w:rsid w:val="0015794E"/>
    <w:rsid w:val="00160014"/>
    <w:rsid w:val="00160C83"/>
    <w:rsid w:val="00162D74"/>
    <w:rsid w:val="00163A01"/>
    <w:rsid w:val="00167CFC"/>
    <w:rsid w:val="0017694A"/>
    <w:rsid w:val="00183CC2"/>
    <w:rsid w:val="001865EE"/>
    <w:rsid w:val="00186A8A"/>
    <w:rsid w:val="00190132"/>
    <w:rsid w:val="00190EF5"/>
    <w:rsid w:val="0019213A"/>
    <w:rsid w:val="001945FA"/>
    <w:rsid w:val="00197E70"/>
    <w:rsid w:val="001A0478"/>
    <w:rsid w:val="001A2D77"/>
    <w:rsid w:val="001A2E8B"/>
    <w:rsid w:val="001A3523"/>
    <w:rsid w:val="001A4802"/>
    <w:rsid w:val="001A4941"/>
    <w:rsid w:val="001A6816"/>
    <w:rsid w:val="001B0A59"/>
    <w:rsid w:val="001B1393"/>
    <w:rsid w:val="001B1D82"/>
    <w:rsid w:val="001B3DA5"/>
    <w:rsid w:val="001B66F1"/>
    <w:rsid w:val="001B7750"/>
    <w:rsid w:val="001C162C"/>
    <w:rsid w:val="001C171B"/>
    <w:rsid w:val="001C2700"/>
    <w:rsid w:val="001C32CB"/>
    <w:rsid w:val="001C3B04"/>
    <w:rsid w:val="001C427E"/>
    <w:rsid w:val="001C5165"/>
    <w:rsid w:val="001D08DA"/>
    <w:rsid w:val="001D1F39"/>
    <w:rsid w:val="001D4FE4"/>
    <w:rsid w:val="001E08D5"/>
    <w:rsid w:val="001E0F58"/>
    <w:rsid w:val="001E23F9"/>
    <w:rsid w:val="001E429C"/>
    <w:rsid w:val="001E66A8"/>
    <w:rsid w:val="001F105B"/>
    <w:rsid w:val="001F1844"/>
    <w:rsid w:val="001F6325"/>
    <w:rsid w:val="00200715"/>
    <w:rsid w:val="00201786"/>
    <w:rsid w:val="00203695"/>
    <w:rsid w:val="00205830"/>
    <w:rsid w:val="00206A6A"/>
    <w:rsid w:val="00207DDF"/>
    <w:rsid w:val="00212BC2"/>
    <w:rsid w:val="00215E3E"/>
    <w:rsid w:val="002201CD"/>
    <w:rsid w:val="002221B3"/>
    <w:rsid w:val="0022413A"/>
    <w:rsid w:val="00231145"/>
    <w:rsid w:val="0023368A"/>
    <w:rsid w:val="00233E38"/>
    <w:rsid w:val="00235636"/>
    <w:rsid w:val="0024159C"/>
    <w:rsid w:val="002432ED"/>
    <w:rsid w:val="00243574"/>
    <w:rsid w:val="002441B7"/>
    <w:rsid w:val="00244358"/>
    <w:rsid w:val="00246364"/>
    <w:rsid w:val="002478F7"/>
    <w:rsid w:val="00253C54"/>
    <w:rsid w:val="00254795"/>
    <w:rsid w:val="00257093"/>
    <w:rsid w:val="00260007"/>
    <w:rsid w:val="002626C7"/>
    <w:rsid w:val="002654E2"/>
    <w:rsid w:val="002674A9"/>
    <w:rsid w:val="00270ADB"/>
    <w:rsid w:val="00271ECE"/>
    <w:rsid w:val="00276861"/>
    <w:rsid w:val="00276A4A"/>
    <w:rsid w:val="00280F40"/>
    <w:rsid w:val="002845F3"/>
    <w:rsid w:val="00284B75"/>
    <w:rsid w:val="00284FE3"/>
    <w:rsid w:val="0028681F"/>
    <w:rsid w:val="0028703B"/>
    <w:rsid w:val="0028734D"/>
    <w:rsid w:val="0029609C"/>
    <w:rsid w:val="00296620"/>
    <w:rsid w:val="002A0DBB"/>
    <w:rsid w:val="002A152B"/>
    <w:rsid w:val="002A5582"/>
    <w:rsid w:val="002A5879"/>
    <w:rsid w:val="002A6A2B"/>
    <w:rsid w:val="002A76D2"/>
    <w:rsid w:val="002A7FD2"/>
    <w:rsid w:val="002B0333"/>
    <w:rsid w:val="002B18A5"/>
    <w:rsid w:val="002B5D3D"/>
    <w:rsid w:val="002B7EB6"/>
    <w:rsid w:val="002D1B60"/>
    <w:rsid w:val="002D240B"/>
    <w:rsid w:val="002D4AF7"/>
    <w:rsid w:val="002D75B0"/>
    <w:rsid w:val="002E19E1"/>
    <w:rsid w:val="002E3A2B"/>
    <w:rsid w:val="002E4853"/>
    <w:rsid w:val="002E5A16"/>
    <w:rsid w:val="002E5DDE"/>
    <w:rsid w:val="002E63AF"/>
    <w:rsid w:val="002E72B4"/>
    <w:rsid w:val="002F0493"/>
    <w:rsid w:val="002F1662"/>
    <w:rsid w:val="002F29B9"/>
    <w:rsid w:val="002F7389"/>
    <w:rsid w:val="003003B7"/>
    <w:rsid w:val="00301623"/>
    <w:rsid w:val="00303FBC"/>
    <w:rsid w:val="00305DA6"/>
    <w:rsid w:val="00311DE8"/>
    <w:rsid w:val="00313033"/>
    <w:rsid w:val="00314ED4"/>
    <w:rsid w:val="00320F76"/>
    <w:rsid w:val="0032731E"/>
    <w:rsid w:val="003313C0"/>
    <w:rsid w:val="003363E9"/>
    <w:rsid w:val="00337412"/>
    <w:rsid w:val="00341939"/>
    <w:rsid w:val="00343FCF"/>
    <w:rsid w:val="00346F24"/>
    <w:rsid w:val="00347C04"/>
    <w:rsid w:val="003501B7"/>
    <w:rsid w:val="00350586"/>
    <w:rsid w:val="00350941"/>
    <w:rsid w:val="00351CE0"/>
    <w:rsid w:val="0035213C"/>
    <w:rsid w:val="00353738"/>
    <w:rsid w:val="00353A20"/>
    <w:rsid w:val="00354023"/>
    <w:rsid w:val="00354E60"/>
    <w:rsid w:val="003602A6"/>
    <w:rsid w:val="00361A70"/>
    <w:rsid w:val="00365529"/>
    <w:rsid w:val="00372587"/>
    <w:rsid w:val="00374662"/>
    <w:rsid w:val="00375E0D"/>
    <w:rsid w:val="003766ED"/>
    <w:rsid w:val="0038014F"/>
    <w:rsid w:val="003812AA"/>
    <w:rsid w:val="00385957"/>
    <w:rsid w:val="003927A2"/>
    <w:rsid w:val="00393BF8"/>
    <w:rsid w:val="00394D6A"/>
    <w:rsid w:val="003951DA"/>
    <w:rsid w:val="00395DD2"/>
    <w:rsid w:val="0039668D"/>
    <w:rsid w:val="00397241"/>
    <w:rsid w:val="003A4716"/>
    <w:rsid w:val="003A69BE"/>
    <w:rsid w:val="003A6B29"/>
    <w:rsid w:val="003B2BE2"/>
    <w:rsid w:val="003B380E"/>
    <w:rsid w:val="003B4C2C"/>
    <w:rsid w:val="003B7BF2"/>
    <w:rsid w:val="003C092C"/>
    <w:rsid w:val="003C3C43"/>
    <w:rsid w:val="003C520D"/>
    <w:rsid w:val="003C5624"/>
    <w:rsid w:val="003C711E"/>
    <w:rsid w:val="003D1B04"/>
    <w:rsid w:val="003D2CDB"/>
    <w:rsid w:val="003D38A6"/>
    <w:rsid w:val="003D4A46"/>
    <w:rsid w:val="003D4CB7"/>
    <w:rsid w:val="003D7391"/>
    <w:rsid w:val="003E179B"/>
    <w:rsid w:val="003E3327"/>
    <w:rsid w:val="003E3E2B"/>
    <w:rsid w:val="003E40BD"/>
    <w:rsid w:val="003E48D4"/>
    <w:rsid w:val="003E5475"/>
    <w:rsid w:val="003E64F9"/>
    <w:rsid w:val="003E72C5"/>
    <w:rsid w:val="003F0410"/>
    <w:rsid w:val="003F0A29"/>
    <w:rsid w:val="003F2A7B"/>
    <w:rsid w:val="003F768B"/>
    <w:rsid w:val="00400E7A"/>
    <w:rsid w:val="00401F38"/>
    <w:rsid w:val="00403718"/>
    <w:rsid w:val="0040611A"/>
    <w:rsid w:val="004121E3"/>
    <w:rsid w:val="004159D3"/>
    <w:rsid w:val="004203F7"/>
    <w:rsid w:val="00421D21"/>
    <w:rsid w:val="00422F12"/>
    <w:rsid w:val="0042326F"/>
    <w:rsid w:val="0042431A"/>
    <w:rsid w:val="00427CFC"/>
    <w:rsid w:val="0043010E"/>
    <w:rsid w:val="0043258E"/>
    <w:rsid w:val="004329B5"/>
    <w:rsid w:val="00433952"/>
    <w:rsid w:val="00433B25"/>
    <w:rsid w:val="00433BB5"/>
    <w:rsid w:val="0043472F"/>
    <w:rsid w:val="00434909"/>
    <w:rsid w:val="0043491D"/>
    <w:rsid w:val="00435FF5"/>
    <w:rsid w:val="00440D13"/>
    <w:rsid w:val="00444DBD"/>
    <w:rsid w:val="004450DF"/>
    <w:rsid w:val="00446049"/>
    <w:rsid w:val="00450512"/>
    <w:rsid w:val="00450F17"/>
    <w:rsid w:val="0045162C"/>
    <w:rsid w:val="004525E6"/>
    <w:rsid w:val="00454A98"/>
    <w:rsid w:val="004556BF"/>
    <w:rsid w:val="00456D30"/>
    <w:rsid w:val="00457107"/>
    <w:rsid w:val="00463BF0"/>
    <w:rsid w:val="004642C7"/>
    <w:rsid w:val="00464D0F"/>
    <w:rsid w:val="00466494"/>
    <w:rsid w:val="004712AE"/>
    <w:rsid w:val="0047226A"/>
    <w:rsid w:val="00474337"/>
    <w:rsid w:val="004767CD"/>
    <w:rsid w:val="0048142F"/>
    <w:rsid w:val="004826F8"/>
    <w:rsid w:val="004845E6"/>
    <w:rsid w:val="004858B6"/>
    <w:rsid w:val="0048620E"/>
    <w:rsid w:val="00486E5E"/>
    <w:rsid w:val="00487292"/>
    <w:rsid w:val="00487FB8"/>
    <w:rsid w:val="00492438"/>
    <w:rsid w:val="00492C9D"/>
    <w:rsid w:val="00493169"/>
    <w:rsid w:val="004936BA"/>
    <w:rsid w:val="00493C70"/>
    <w:rsid w:val="004944D3"/>
    <w:rsid w:val="00494C0B"/>
    <w:rsid w:val="00497BC7"/>
    <w:rsid w:val="004A12C8"/>
    <w:rsid w:val="004A463E"/>
    <w:rsid w:val="004A521A"/>
    <w:rsid w:val="004B1160"/>
    <w:rsid w:val="004B11D6"/>
    <w:rsid w:val="004B1329"/>
    <w:rsid w:val="004B1CD5"/>
    <w:rsid w:val="004B309C"/>
    <w:rsid w:val="004B5822"/>
    <w:rsid w:val="004B5881"/>
    <w:rsid w:val="004B7131"/>
    <w:rsid w:val="004C1A8C"/>
    <w:rsid w:val="004C2322"/>
    <w:rsid w:val="004C2541"/>
    <w:rsid w:val="004C6441"/>
    <w:rsid w:val="004C6BDD"/>
    <w:rsid w:val="004C75A5"/>
    <w:rsid w:val="004D3974"/>
    <w:rsid w:val="004D5468"/>
    <w:rsid w:val="004D56A9"/>
    <w:rsid w:val="004D6506"/>
    <w:rsid w:val="004D7EE5"/>
    <w:rsid w:val="004D7FC0"/>
    <w:rsid w:val="004E0001"/>
    <w:rsid w:val="004E0660"/>
    <w:rsid w:val="004E1B21"/>
    <w:rsid w:val="004E43A9"/>
    <w:rsid w:val="004E529A"/>
    <w:rsid w:val="004E7902"/>
    <w:rsid w:val="004F03ED"/>
    <w:rsid w:val="004F5E2C"/>
    <w:rsid w:val="00500CF8"/>
    <w:rsid w:val="00501630"/>
    <w:rsid w:val="00502DDB"/>
    <w:rsid w:val="005034E5"/>
    <w:rsid w:val="00503D00"/>
    <w:rsid w:val="00506E2D"/>
    <w:rsid w:val="00507AD0"/>
    <w:rsid w:val="00512F98"/>
    <w:rsid w:val="00514071"/>
    <w:rsid w:val="00523BA6"/>
    <w:rsid w:val="00524719"/>
    <w:rsid w:val="00524F15"/>
    <w:rsid w:val="00526E34"/>
    <w:rsid w:val="00527148"/>
    <w:rsid w:val="00527EBC"/>
    <w:rsid w:val="00530A20"/>
    <w:rsid w:val="00531470"/>
    <w:rsid w:val="00533E93"/>
    <w:rsid w:val="0053435C"/>
    <w:rsid w:val="005345E9"/>
    <w:rsid w:val="00540C5E"/>
    <w:rsid w:val="005442B2"/>
    <w:rsid w:val="0054585C"/>
    <w:rsid w:val="00547CAD"/>
    <w:rsid w:val="0055040C"/>
    <w:rsid w:val="00551B85"/>
    <w:rsid w:val="00552068"/>
    <w:rsid w:val="00552193"/>
    <w:rsid w:val="005552C8"/>
    <w:rsid w:val="005552EC"/>
    <w:rsid w:val="005579F2"/>
    <w:rsid w:val="00560E4D"/>
    <w:rsid w:val="005643FD"/>
    <w:rsid w:val="00565AD3"/>
    <w:rsid w:val="005701A3"/>
    <w:rsid w:val="00570B3A"/>
    <w:rsid w:val="0057170C"/>
    <w:rsid w:val="005753C0"/>
    <w:rsid w:val="005802B8"/>
    <w:rsid w:val="00580D8B"/>
    <w:rsid w:val="005827C4"/>
    <w:rsid w:val="0058538B"/>
    <w:rsid w:val="0058627D"/>
    <w:rsid w:val="00587EBD"/>
    <w:rsid w:val="005905A6"/>
    <w:rsid w:val="0059064E"/>
    <w:rsid w:val="00590CDD"/>
    <w:rsid w:val="00591387"/>
    <w:rsid w:val="0059301F"/>
    <w:rsid w:val="00595125"/>
    <w:rsid w:val="0059515A"/>
    <w:rsid w:val="005978E7"/>
    <w:rsid w:val="005979A9"/>
    <w:rsid w:val="00597E95"/>
    <w:rsid w:val="00597F99"/>
    <w:rsid w:val="005A2A12"/>
    <w:rsid w:val="005B16CE"/>
    <w:rsid w:val="005B172A"/>
    <w:rsid w:val="005B200A"/>
    <w:rsid w:val="005B40DE"/>
    <w:rsid w:val="005B4F35"/>
    <w:rsid w:val="005B7FAF"/>
    <w:rsid w:val="005C0642"/>
    <w:rsid w:val="005C3CDE"/>
    <w:rsid w:val="005C48C6"/>
    <w:rsid w:val="005C7100"/>
    <w:rsid w:val="005D00AF"/>
    <w:rsid w:val="005D2D51"/>
    <w:rsid w:val="005D3030"/>
    <w:rsid w:val="005D70F9"/>
    <w:rsid w:val="005D7E16"/>
    <w:rsid w:val="005E1491"/>
    <w:rsid w:val="005E221D"/>
    <w:rsid w:val="005E412C"/>
    <w:rsid w:val="005E5D7B"/>
    <w:rsid w:val="005F37D9"/>
    <w:rsid w:val="005F5AEE"/>
    <w:rsid w:val="005F7236"/>
    <w:rsid w:val="006009E6"/>
    <w:rsid w:val="006021A4"/>
    <w:rsid w:val="00603079"/>
    <w:rsid w:val="0060570B"/>
    <w:rsid w:val="0060637D"/>
    <w:rsid w:val="00607DC1"/>
    <w:rsid w:val="00612779"/>
    <w:rsid w:val="00613561"/>
    <w:rsid w:val="00613B65"/>
    <w:rsid w:val="00615CA1"/>
    <w:rsid w:val="00616B64"/>
    <w:rsid w:val="00616DDD"/>
    <w:rsid w:val="006215B1"/>
    <w:rsid w:val="006305A9"/>
    <w:rsid w:val="00630997"/>
    <w:rsid w:val="00631AB6"/>
    <w:rsid w:val="0063681F"/>
    <w:rsid w:val="00637114"/>
    <w:rsid w:val="006372CE"/>
    <w:rsid w:val="006372E3"/>
    <w:rsid w:val="00637FFC"/>
    <w:rsid w:val="006407ED"/>
    <w:rsid w:val="00642BD5"/>
    <w:rsid w:val="00646079"/>
    <w:rsid w:val="006503E4"/>
    <w:rsid w:val="006515B3"/>
    <w:rsid w:val="006516C0"/>
    <w:rsid w:val="0065222C"/>
    <w:rsid w:val="00652328"/>
    <w:rsid w:val="006548A4"/>
    <w:rsid w:val="006548B4"/>
    <w:rsid w:val="00654A7E"/>
    <w:rsid w:val="00654E17"/>
    <w:rsid w:val="00654E5B"/>
    <w:rsid w:val="00655405"/>
    <w:rsid w:val="00655E21"/>
    <w:rsid w:val="006605E6"/>
    <w:rsid w:val="00661303"/>
    <w:rsid w:val="00661E9F"/>
    <w:rsid w:val="00662A1A"/>
    <w:rsid w:val="00663362"/>
    <w:rsid w:val="0066516F"/>
    <w:rsid w:val="00666299"/>
    <w:rsid w:val="0066785C"/>
    <w:rsid w:val="0067089D"/>
    <w:rsid w:val="006722E2"/>
    <w:rsid w:val="00676669"/>
    <w:rsid w:val="00676E68"/>
    <w:rsid w:val="00680A6F"/>
    <w:rsid w:val="00681D0D"/>
    <w:rsid w:val="0068455D"/>
    <w:rsid w:val="0068494D"/>
    <w:rsid w:val="00686030"/>
    <w:rsid w:val="00686ADA"/>
    <w:rsid w:val="00691763"/>
    <w:rsid w:val="00692247"/>
    <w:rsid w:val="00692660"/>
    <w:rsid w:val="006955F4"/>
    <w:rsid w:val="006A0F13"/>
    <w:rsid w:val="006A1F83"/>
    <w:rsid w:val="006A23FC"/>
    <w:rsid w:val="006A3E05"/>
    <w:rsid w:val="006A4BD9"/>
    <w:rsid w:val="006A6E72"/>
    <w:rsid w:val="006B1BDD"/>
    <w:rsid w:val="006B3670"/>
    <w:rsid w:val="006B528B"/>
    <w:rsid w:val="006B5CFC"/>
    <w:rsid w:val="006B7FA6"/>
    <w:rsid w:val="006C186E"/>
    <w:rsid w:val="006C26E6"/>
    <w:rsid w:val="006C2CD7"/>
    <w:rsid w:val="006C552E"/>
    <w:rsid w:val="006D1B21"/>
    <w:rsid w:val="006D5602"/>
    <w:rsid w:val="006D60DD"/>
    <w:rsid w:val="006D6DBE"/>
    <w:rsid w:val="006E11B2"/>
    <w:rsid w:val="006E3606"/>
    <w:rsid w:val="006E483C"/>
    <w:rsid w:val="006E71DD"/>
    <w:rsid w:val="006E7C24"/>
    <w:rsid w:val="006F122C"/>
    <w:rsid w:val="006F4AA3"/>
    <w:rsid w:val="006F764E"/>
    <w:rsid w:val="0070080F"/>
    <w:rsid w:val="0070363C"/>
    <w:rsid w:val="00704284"/>
    <w:rsid w:val="00706B40"/>
    <w:rsid w:val="00707368"/>
    <w:rsid w:val="00713044"/>
    <w:rsid w:val="007178A5"/>
    <w:rsid w:val="0072113B"/>
    <w:rsid w:val="00727EC7"/>
    <w:rsid w:val="00730F0A"/>
    <w:rsid w:val="00731212"/>
    <w:rsid w:val="007337CE"/>
    <w:rsid w:val="00740FCC"/>
    <w:rsid w:val="00757652"/>
    <w:rsid w:val="00757A07"/>
    <w:rsid w:val="00757B5A"/>
    <w:rsid w:val="00760499"/>
    <w:rsid w:val="007613AC"/>
    <w:rsid w:val="00761E7E"/>
    <w:rsid w:val="00765E18"/>
    <w:rsid w:val="0076645A"/>
    <w:rsid w:val="00766997"/>
    <w:rsid w:val="007702D7"/>
    <w:rsid w:val="007738C5"/>
    <w:rsid w:val="00781ED4"/>
    <w:rsid w:val="00792D82"/>
    <w:rsid w:val="00797E09"/>
    <w:rsid w:val="007A0684"/>
    <w:rsid w:val="007A0F9B"/>
    <w:rsid w:val="007A6A89"/>
    <w:rsid w:val="007B00DB"/>
    <w:rsid w:val="007B0AE1"/>
    <w:rsid w:val="007B2D89"/>
    <w:rsid w:val="007B2E5E"/>
    <w:rsid w:val="007B41BB"/>
    <w:rsid w:val="007B52DB"/>
    <w:rsid w:val="007C0171"/>
    <w:rsid w:val="007C1D7F"/>
    <w:rsid w:val="007C374E"/>
    <w:rsid w:val="007C5096"/>
    <w:rsid w:val="007C7748"/>
    <w:rsid w:val="007D313E"/>
    <w:rsid w:val="007D348E"/>
    <w:rsid w:val="007D3BAF"/>
    <w:rsid w:val="007D4142"/>
    <w:rsid w:val="007D78A5"/>
    <w:rsid w:val="007E1C31"/>
    <w:rsid w:val="007E537A"/>
    <w:rsid w:val="007E7316"/>
    <w:rsid w:val="007E76EC"/>
    <w:rsid w:val="007F0F87"/>
    <w:rsid w:val="007F294C"/>
    <w:rsid w:val="007F4682"/>
    <w:rsid w:val="007F49DD"/>
    <w:rsid w:val="007F4C7F"/>
    <w:rsid w:val="007F4DE4"/>
    <w:rsid w:val="007F5A0D"/>
    <w:rsid w:val="007F694C"/>
    <w:rsid w:val="00800786"/>
    <w:rsid w:val="00802555"/>
    <w:rsid w:val="00802637"/>
    <w:rsid w:val="00804F62"/>
    <w:rsid w:val="0080606E"/>
    <w:rsid w:val="00807E9D"/>
    <w:rsid w:val="0081495C"/>
    <w:rsid w:val="00814D74"/>
    <w:rsid w:val="00816775"/>
    <w:rsid w:val="00821A1B"/>
    <w:rsid w:val="00822485"/>
    <w:rsid w:val="00831544"/>
    <w:rsid w:val="00831E5D"/>
    <w:rsid w:val="008341C5"/>
    <w:rsid w:val="00834471"/>
    <w:rsid w:val="00834E6A"/>
    <w:rsid w:val="008372B3"/>
    <w:rsid w:val="00837740"/>
    <w:rsid w:val="00837956"/>
    <w:rsid w:val="0084546F"/>
    <w:rsid w:val="00845D69"/>
    <w:rsid w:val="00847A1C"/>
    <w:rsid w:val="00852A9B"/>
    <w:rsid w:val="00852C9C"/>
    <w:rsid w:val="00852EF7"/>
    <w:rsid w:val="008552FC"/>
    <w:rsid w:val="0085632F"/>
    <w:rsid w:val="00863233"/>
    <w:rsid w:val="0086508E"/>
    <w:rsid w:val="008660A4"/>
    <w:rsid w:val="00867348"/>
    <w:rsid w:val="00870C9C"/>
    <w:rsid w:val="00871FC7"/>
    <w:rsid w:val="00872DF3"/>
    <w:rsid w:val="00873410"/>
    <w:rsid w:val="00873F6D"/>
    <w:rsid w:val="00874EA1"/>
    <w:rsid w:val="00876063"/>
    <w:rsid w:val="00876082"/>
    <w:rsid w:val="008774DE"/>
    <w:rsid w:val="00880EED"/>
    <w:rsid w:val="00881EC1"/>
    <w:rsid w:val="008830B1"/>
    <w:rsid w:val="008839C1"/>
    <w:rsid w:val="00883C51"/>
    <w:rsid w:val="0088402B"/>
    <w:rsid w:val="00885068"/>
    <w:rsid w:val="00885D62"/>
    <w:rsid w:val="00887679"/>
    <w:rsid w:val="00890BE1"/>
    <w:rsid w:val="00891114"/>
    <w:rsid w:val="00891E3F"/>
    <w:rsid w:val="00892E42"/>
    <w:rsid w:val="00894C48"/>
    <w:rsid w:val="00895608"/>
    <w:rsid w:val="0089571D"/>
    <w:rsid w:val="008A5C39"/>
    <w:rsid w:val="008A6F26"/>
    <w:rsid w:val="008B25B3"/>
    <w:rsid w:val="008B458B"/>
    <w:rsid w:val="008B683E"/>
    <w:rsid w:val="008C1D8A"/>
    <w:rsid w:val="008C1FF0"/>
    <w:rsid w:val="008C267A"/>
    <w:rsid w:val="008D5104"/>
    <w:rsid w:val="008D694A"/>
    <w:rsid w:val="008D6C87"/>
    <w:rsid w:val="008E3162"/>
    <w:rsid w:val="008E3426"/>
    <w:rsid w:val="008E395F"/>
    <w:rsid w:val="008E5EA5"/>
    <w:rsid w:val="008E7BC9"/>
    <w:rsid w:val="008F3A37"/>
    <w:rsid w:val="008F3B0D"/>
    <w:rsid w:val="008F512A"/>
    <w:rsid w:val="008F61E8"/>
    <w:rsid w:val="008F6E7A"/>
    <w:rsid w:val="00901628"/>
    <w:rsid w:val="00901A39"/>
    <w:rsid w:val="00902FC9"/>
    <w:rsid w:val="009030C2"/>
    <w:rsid w:val="00903C0C"/>
    <w:rsid w:val="009106E9"/>
    <w:rsid w:val="009143C1"/>
    <w:rsid w:val="00917122"/>
    <w:rsid w:val="00924C30"/>
    <w:rsid w:val="00925085"/>
    <w:rsid w:val="0092711F"/>
    <w:rsid w:val="00934120"/>
    <w:rsid w:val="00936F59"/>
    <w:rsid w:val="009371C3"/>
    <w:rsid w:val="00943280"/>
    <w:rsid w:val="00946715"/>
    <w:rsid w:val="00946D09"/>
    <w:rsid w:val="009543CD"/>
    <w:rsid w:val="00954827"/>
    <w:rsid w:val="00954C63"/>
    <w:rsid w:val="00957C5D"/>
    <w:rsid w:val="00962AB9"/>
    <w:rsid w:val="00962AD9"/>
    <w:rsid w:val="00964279"/>
    <w:rsid w:val="00964E98"/>
    <w:rsid w:val="00966B83"/>
    <w:rsid w:val="00971A2D"/>
    <w:rsid w:val="00971CAB"/>
    <w:rsid w:val="009725EC"/>
    <w:rsid w:val="00975C23"/>
    <w:rsid w:val="00976D67"/>
    <w:rsid w:val="009779AF"/>
    <w:rsid w:val="00981CE1"/>
    <w:rsid w:val="00983741"/>
    <w:rsid w:val="0098381E"/>
    <w:rsid w:val="0098644A"/>
    <w:rsid w:val="00987C6F"/>
    <w:rsid w:val="009918F6"/>
    <w:rsid w:val="00991DA9"/>
    <w:rsid w:val="009934D1"/>
    <w:rsid w:val="009940EA"/>
    <w:rsid w:val="0099665E"/>
    <w:rsid w:val="009976E3"/>
    <w:rsid w:val="009A6273"/>
    <w:rsid w:val="009B063B"/>
    <w:rsid w:val="009B1CAF"/>
    <w:rsid w:val="009B43B7"/>
    <w:rsid w:val="009B6B89"/>
    <w:rsid w:val="009B7A6D"/>
    <w:rsid w:val="009B7C2A"/>
    <w:rsid w:val="009C1BE3"/>
    <w:rsid w:val="009C3BAF"/>
    <w:rsid w:val="009C5733"/>
    <w:rsid w:val="009C6A37"/>
    <w:rsid w:val="009D19AE"/>
    <w:rsid w:val="009D2EA7"/>
    <w:rsid w:val="009D4A16"/>
    <w:rsid w:val="009D5941"/>
    <w:rsid w:val="009D6975"/>
    <w:rsid w:val="009E3339"/>
    <w:rsid w:val="009E4505"/>
    <w:rsid w:val="009E45F4"/>
    <w:rsid w:val="009E4639"/>
    <w:rsid w:val="009E699B"/>
    <w:rsid w:val="009E6E63"/>
    <w:rsid w:val="009F2354"/>
    <w:rsid w:val="009F56B4"/>
    <w:rsid w:val="009F62F4"/>
    <w:rsid w:val="00A01603"/>
    <w:rsid w:val="00A01DB5"/>
    <w:rsid w:val="00A03342"/>
    <w:rsid w:val="00A0348B"/>
    <w:rsid w:val="00A055AF"/>
    <w:rsid w:val="00A05F1A"/>
    <w:rsid w:val="00A05FA3"/>
    <w:rsid w:val="00A0722D"/>
    <w:rsid w:val="00A105AC"/>
    <w:rsid w:val="00A10FB0"/>
    <w:rsid w:val="00A1133C"/>
    <w:rsid w:val="00A11402"/>
    <w:rsid w:val="00A1538F"/>
    <w:rsid w:val="00A17A4F"/>
    <w:rsid w:val="00A20ED9"/>
    <w:rsid w:val="00A21B62"/>
    <w:rsid w:val="00A25F42"/>
    <w:rsid w:val="00A262BE"/>
    <w:rsid w:val="00A262C5"/>
    <w:rsid w:val="00A26721"/>
    <w:rsid w:val="00A2737D"/>
    <w:rsid w:val="00A30742"/>
    <w:rsid w:val="00A30E40"/>
    <w:rsid w:val="00A329BC"/>
    <w:rsid w:val="00A36B53"/>
    <w:rsid w:val="00A36FF9"/>
    <w:rsid w:val="00A4281D"/>
    <w:rsid w:val="00A5075F"/>
    <w:rsid w:val="00A513B0"/>
    <w:rsid w:val="00A52652"/>
    <w:rsid w:val="00A55DDC"/>
    <w:rsid w:val="00A577BE"/>
    <w:rsid w:val="00A60FA0"/>
    <w:rsid w:val="00A621EA"/>
    <w:rsid w:val="00A62804"/>
    <w:rsid w:val="00A629C7"/>
    <w:rsid w:val="00A656C1"/>
    <w:rsid w:val="00A65DAF"/>
    <w:rsid w:val="00A6606F"/>
    <w:rsid w:val="00A66EAA"/>
    <w:rsid w:val="00A672F4"/>
    <w:rsid w:val="00A6760E"/>
    <w:rsid w:val="00A7356F"/>
    <w:rsid w:val="00A75E6E"/>
    <w:rsid w:val="00A8034F"/>
    <w:rsid w:val="00A84B60"/>
    <w:rsid w:val="00A868DF"/>
    <w:rsid w:val="00A87104"/>
    <w:rsid w:val="00A93053"/>
    <w:rsid w:val="00A97121"/>
    <w:rsid w:val="00AA068A"/>
    <w:rsid w:val="00AA0FA6"/>
    <w:rsid w:val="00AA171D"/>
    <w:rsid w:val="00AA302C"/>
    <w:rsid w:val="00AA46FE"/>
    <w:rsid w:val="00AA5DEA"/>
    <w:rsid w:val="00AA66DD"/>
    <w:rsid w:val="00AA7EF9"/>
    <w:rsid w:val="00AA7F50"/>
    <w:rsid w:val="00AB1AFF"/>
    <w:rsid w:val="00AB3395"/>
    <w:rsid w:val="00AB3913"/>
    <w:rsid w:val="00AB4223"/>
    <w:rsid w:val="00AB4DC1"/>
    <w:rsid w:val="00AB61E8"/>
    <w:rsid w:val="00AB6977"/>
    <w:rsid w:val="00AC0CBF"/>
    <w:rsid w:val="00AC0E9D"/>
    <w:rsid w:val="00AC30D0"/>
    <w:rsid w:val="00AC31D9"/>
    <w:rsid w:val="00AC3236"/>
    <w:rsid w:val="00AC6DB3"/>
    <w:rsid w:val="00AD179C"/>
    <w:rsid w:val="00AD4965"/>
    <w:rsid w:val="00AE30D6"/>
    <w:rsid w:val="00AE351C"/>
    <w:rsid w:val="00AE3ED6"/>
    <w:rsid w:val="00AE4783"/>
    <w:rsid w:val="00AE7292"/>
    <w:rsid w:val="00AF098D"/>
    <w:rsid w:val="00AF2082"/>
    <w:rsid w:val="00AF5FBB"/>
    <w:rsid w:val="00AF6461"/>
    <w:rsid w:val="00AF66C9"/>
    <w:rsid w:val="00AF71F9"/>
    <w:rsid w:val="00B00879"/>
    <w:rsid w:val="00B009A6"/>
    <w:rsid w:val="00B00AF4"/>
    <w:rsid w:val="00B02BB7"/>
    <w:rsid w:val="00B0361D"/>
    <w:rsid w:val="00B07025"/>
    <w:rsid w:val="00B07095"/>
    <w:rsid w:val="00B07226"/>
    <w:rsid w:val="00B1058F"/>
    <w:rsid w:val="00B13838"/>
    <w:rsid w:val="00B159EE"/>
    <w:rsid w:val="00B16310"/>
    <w:rsid w:val="00B165F5"/>
    <w:rsid w:val="00B16BA0"/>
    <w:rsid w:val="00B172B2"/>
    <w:rsid w:val="00B20963"/>
    <w:rsid w:val="00B210AD"/>
    <w:rsid w:val="00B21ACB"/>
    <w:rsid w:val="00B25FBD"/>
    <w:rsid w:val="00B3224E"/>
    <w:rsid w:val="00B337D6"/>
    <w:rsid w:val="00B341AA"/>
    <w:rsid w:val="00B360A7"/>
    <w:rsid w:val="00B37D93"/>
    <w:rsid w:val="00B405EE"/>
    <w:rsid w:val="00B406FE"/>
    <w:rsid w:val="00B40957"/>
    <w:rsid w:val="00B4144C"/>
    <w:rsid w:val="00B4178D"/>
    <w:rsid w:val="00B422DD"/>
    <w:rsid w:val="00B4378F"/>
    <w:rsid w:val="00B43F95"/>
    <w:rsid w:val="00B455A8"/>
    <w:rsid w:val="00B4686B"/>
    <w:rsid w:val="00B50415"/>
    <w:rsid w:val="00B50916"/>
    <w:rsid w:val="00B53407"/>
    <w:rsid w:val="00B53DFA"/>
    <w:rsid w:val="00B55F83"/>
    <w:rsid w:val="00B56FB1"/>
    <w:rsid w:val="00B577F6"/>
    <w:rsid w:val="00B60E42"/>
    <w:rsid w:val="00B617B1"/>
    <w:rsid w:val="00B62277"/>
    <w:rsid w:val="00B640DB"/>
    <w:rsid w:val="00B65304"/>
    <w:rsid w:val="00B659FC"/>
    <w:rsid w:val="00B65E24"/>
    <w:rsid w:val="00B712CA"/>
    <w:rsid w:val="00B737D5"/>
    <w:rsid w:val="00B808B8"/>
    <w:rsid w:val="00B81039"/>
    <w:rsid w:val="00B81992"/>
    <w:rsid w:val="00B81E61"/>
    <w:rsid w:val="00B87400"/>
    <w:rsid w:val="00B90A47"/>
    <w:rsid w:val="00B93048"/>
    <w:rsid w:val="00B93717"/>
    <w:rsid w:val="00B96FF5"/>
    <w:rsid w:val="00BA4598"/>
    <w:rsid w:val="00BA5FDD"/>
    <w:rsid w:val="00BA6219"/>
    <w:rsid w:val="00BA735D"/>
    <w:rsid w:val="00BB0BA2"/>
    <w:rsid w:val="00BB10B9"/>
    <w:rsid w:val="00BB1597"/>
    <w:rsid w:val="00BB3D3B"/>
    <w:rsid w:val="00BB5B13"/>
    <w:rsid w:val="00BC0398"/>
    <w:rsid w:val="00BC0B2F"/>
    <w:rsid w:val="00BC23AC"/>
    <w:rsid w:val="00BC3D70"/>
    <w:rsid w:val="00BC48DD"/>
    <w:rsid w:val="00BC676B"/>
    <w:rsid w:val="00BD12C7"/>
    <w:rsid w:val="00BD7658"/>
    <w:rsid w:val="00BE20DD"/>
    <w:rsid w:val="00BE28F0"/>
    <w:rsid w:val="00BE2CCB"/>
    <w:rsid w:val="00BE3C3C"/>
    <w:rsid w:val="00BE3DE5"/>
    <w:rsid w:val="00BE5896"/>
    <w:rsid w:val="00BE6C51"/>
    <w:rsid w:val="00BE70C9"/>
    <w:rsid w:val="00BF022E"/>
    <w:rsid w:val="00BF23FB"/>
    <w:rsid w:val="00BF3925"/>
    <w:rsid w:val="00BF4C89"/>
    <w:rsid w:val="00BF4D49"/>
    <w:rsid w:val="00BF5DF5"/>
    <w:rsid w:val="00BF76A5"/>
    <w:rsid w:val="00BF7BE7"/>
    <w:rsid w:val="00C00EE9"/>
    <w:rsid w:val="00C04CB1"/>
    <w:rsid w:val="00C06976"/>
    <w:rsid w:val="00C11171"/>
    <w:rsid w:val="00C13422"/>
    <w:rsid w:val="00C138EB"/>
    <w:rsid w:val="00C17D00"/>
    <w:rsid w:val="00C21030"/>
    <w:rsid w:val="00C21097"/>
    <w:rsid w:val="00C2497A"/>
    <w:rsid w:val="00C24AF8"/>
    <w:rsid w:val="00C25934"/>
    <w:rsid w:val="00C25E2E"/>
    <w:rsid w:val="00C26154"/>
    <w:rsid w:val="00C335F4"/>
    <w:rsid w:val="00C350E4"/>
    <w:rsid w:val="00C41B94"/>
    <w:rsid w:val="00C43ADE"/>
    <w:rsid w:val="00C45771"/>
    <w:rsid w:val="00C45AE6"/>
    <w:rsid w:val="00C50292"/>
    <w:rsid w:val="00C523BD"/>
    <w:rsid w:val="00C523D0"/>
    <w:rsid w:val="00C53918"/>
    <w:rsid w:val="00C53BCC"/>
    <w:rsid w:val="00C56227"/>
    <w:rsid w:val="00C64849"/>
    <w:rsid w:val="00C6623F"/>
    <w:rsid w:val="00C66BDC"/>
    <w:rsid w:val="00C678F7"/>
    <w:rsid w:val="00C7029D"/>
    <w:rsid w:val="00C713F7"/>
    <w:rsid w:val="00C714BF"/>
    <w:rsid w:val="00C7494D"/>
    <w:rsid w:val="00C74F81"/>
    <w:rsid w:val="00C75362"/>
    <w:rsid w:val="00C767D1"/>
    <w:rsid w:val="00C770BA"/>
    <w:rsid w:val="00C77276"/>
    <w:rsid w:val="00C8253B"/>
    <w:rsid w:val="00C84D77"/>
    <w:rsid w:val="00C8573E"/>
    <w:rsid w:val="00C862EF"/>
    <w:rsid w:val="00C87C8B"/>
    <w:rsid w:val="00C91847"/>
    <w:rsid w:val="00C91920"/>
    <w:rsid w:val="00C94ECF"/>
    <w:rsid w:val="00CA2F61"/>
    <w:rsid w:val="00CA3357"/>
    <w:rsid w:val="00CA3583"/>
    <w:rsid w:val="00CA41A0"/>
    <w:rsid w:val="00CA4CA9"/>
    <w:rsid w:val="00CB3DF9"/>
    <w:rsid w:val="00CB486B"/>
    <w:rsid w:val="00CC0564"/>
    <w:rsid w:val="00CC0C95"/>
    <w:rsid w:val="00CC2925"/>
    <w:rsid w:val="00CC46D2"/>
    <w:rsid w:val="00CC4D4E"/>
    <w:rsid w:val="00CC5694"/>
    <w:rsid w:val="00CC5840"/>
    <w:rsid w:val="00CD02C1"/>
    <w:rsid w:val="00CD218F"/>
    <w:rsid w:val="00CD3E61"/>
    <w:rsid w:val="00CD4176"/>
    <w:rsid w:val="00CE1D44"/>
    <w:rsid w:val="00CE1F93"/>
    <w:rsid w:val="00CE2693"/>
    <w:rsid w:val="00CE5D81"/>
    <w:rsid w:val="00CF0F80"/>
    <w:rsid w:val="00CF1133"/>
    <w:rsid w:val="00CF3586"/>
    <w:rsid w:val="00CF5EBD"/>
    <w:rsid w:val="00D0165B"/>
    <w:rsid w:val="00D04375"/>
    <w:rsid w:val="00D065DA"/>
    <w:rsid w:val="00D0702E"/>
    <w:rsid w:val="00D1055C"/>
    <w:rsid w:val="00D12070"/>
    <w:rsid w:val="00D126D2"/>
    <w:rsid w:val="00D12D15"/>
    <w:rsid w:val="00D16280"/>
    <w:rsid w:val="00D17C0D"/>
    <w:rsid w:val="00D20F8F"/>
    <w:rsid w:val="00D25321"/>
    <w:rsid w:val="00D27D7F"/>
    <w:rsid w:val="00D31D30"/>
    <w:rsid w:val="00D323E0"/>
    <w:rsid w:val="00D361FD"/>
    <w:rsid w:val="00D377EF"/>
    <w:rsid w:val="00D41E73"/>
    <w:rsid w:val="00D43249"/>
    <w:rsid w:val="00D445D9"/>
    <w:rsid w:val="00D44CBA"/>
    <w:rsid w:val="00D45631"/>
    <w:rsid w:val="00D4656D"/>
    <w:rsid w:val="00D56234"/>
    <w:rsid w:val="00D56D9A"/>
    <w:rsid w:val="00D57D1E"/>
    <w:rsid w:val="00D61193"/>
    <w:rsid w:val="00D63075"/>
    <w:rsid w:val="00D63BCA"/>
    <w:rsid w:val="00D67B99"/>
    <w:rsid w:val="00D704F7"/>
    <w:rsid w:val="00D70A94"/>
    <w:rsid w:val="00D7111C"/>
    <w:rsid w:val="00D72767"/>
    <w:rsid w:val="00D759CF"/>
    <w:rsid w:val="00D85CB0"/>
    <w:rsid w:val="00D85EC4"/>
    <w:rsid w:val="00D871BE"/>
    <w:rsid w:val="00D8770C"/>
    <w:rsid w:val="00D92432"/>
    <w:rsid w:val="00D926E7"/>
    <w:rsid w:val="00D95164"/>
    <w:rsid w:val="00D97B8E"/>
    <w:rsid w:val="00DA1D6F"/>
    <w:rsid w:val="00DA2839"/>
    <w:rsid w:val="00DA3505"/>
    <w:rsid w:val="00DA44B1"/>
    <w:rsid w:val="00DA50B0"/>
    <w:rsid w:val="00DB78FB"/>
    <w:rsid w:val="00DC2CD9"/>
    <w:rsid w:val="00DC346F"/>
    <w:rsid w:val="00DC3FDF"/>
    <w:rsid w:val="00DC566F"/>
    <w:rsid w:val="00DC6535"/>
    <w:rsid w:val="00DC689F"/>
    <w:rsid w:val="00DD0DCA"/>
    <w:rsid w:val="00DD1F7A"/>
    <w:rsid w:val="00DD228B"/>
    <w:rsid w:val="00DD2E4C"/>
    <w:rsid w:val="00DD2F65"/>
    <w:rsid w:val="00DD4463"/>
    <w:rsid w:val="00DD537F"/>
    <w:rsid w:val="00DD7D58"/>
    <w:rsid w:val="00DE134E"/>
    <w:rsid w:val="00DE1802"/>
    <w:rsid w:val="00DE5A57"/>
    <w:rsid w:val="00DF4279"/>
    <w:rsid w:val="00DF4330"/>
    <w:rsid w:val="00DF472C"/>
    <w:rsid w:val="00DF4AAB"/>
    <w:rsid w:val="00DF5D6A"/>
    <w:rsid w:val="00E0047C"/>
    <w:rsid w:val="00E05532"/>
    <w:rsid w:val="00E0605A"/>
    <w:rsid w:val="00E072CC"/>
    <w:rsid w:val="00E10C09"/>
    <w:rsid w:val="00E132A4"/>
    <w:rsid w:val="00E15033"/>
    <w:rsid w:val="00E16BEA"/>
    <w:rsid w:val="00E238A4"/>
    <w:rsid w:val="00E24AC8"/>
    <w:rsid w:val="00E24BE6"/>
    <w:rsid w:val="00E26365"/>
    <w:rsid w:val="00E27AAC"/>
    <w:rsid w:val="00E30954"/>
    <w:rsid w:val="00E322B4"/>
    <w:rsid w:val="00E373A8"/>
    <w:rsid w:val="00E45B25"/>
    <w:rsid w:val="00E465FB"/>
    <w:rsid w:val="00E470F2"/>
    <w:rsid w:val="00E5035A"/>
    <w:rsid w:val="00E50646"/>
    <w:rsid w:val="00E52572"/>
    <w:rsid w:val="00E604C5"/>
    <w:rsid w:val="00E607C7"/>
    <w:rsid w:val="00E66EF2"/>
    <w:rsid w:val="00E671AA"/>
    <w:rsid w:val="00E675DD"/>
    <w:rsid w:val="00E71D1B"/>
    <w:rsid w:val="00E72DA7"/>
    <w:rsid w:val="00E80A95"/>
    <w:rsid w:val="00E80AB6"/>
    <w:rsid w:val="00E81CBA"/>
    <w:rsid w:val="00E82D29"/>
    <w:rsid w:val="00E860B3"/>
    <w:rsid w:val="00E866F1"/>
    <w:rsid w:val="00E86F3C"/>
    <w:rsid w:val="00E90850"/>
    <w:rsid w:val="00E909FF"/>
    <w:rsid w:val="00E9125E"/>
    <w:rsid w:val="00E9524A"/>
    <w:rsid w:val="00E95B43"/>
    <w:rsid w:val="00E96F7C"/>
    <w:rsid w:val="00E9705B"/>
    <w:rsid w:val="00EA0B5C"/>
    <w:rsid w:val="00EA21F0"/>
    <w:rsid w:val="00EA413B"/>
    <w:rsid w:val="00EA5875"/>
    <w:rsid w:val="00EA73F6"/>
    <w:rsid w:val="00EB3696"/>
    <w:rsid w:val="00EB6C6B"/>
    <w:rsid w:val="00EC0CA0"/>
    <w:rsid w:val="00EC38EB"/>
    <w:rsid w:val="00EC3F1F"/>
    <w:rsid w:val="00ED3925"/>
    <w:rsid w:val="00ED474C"/>
    <w:rsid w:val="00ED60C9"/>
    <w:rsid w:val="00ED6ABA"/>
    <w:rsid w:val="00EE4A71"/>
    <w:rsid w:val="00EE55C0"/>
    <w:rsid w:val="00EE628B"/>
    <w:rsid w:val="00EF0B8A"/>
    <w:rsid w:val="00EF13B5"/>
    <w:rsid w:val="00EF1648"/>
    <w:rsid w:val="00EF3158"/>
    <w:rsid w:val="00EF3D8B"/>
    <w:rsid w:val="00EF4450"/>
    <w:rsid w:val="00EF470C"/>
    <w:rsid w:val="00EF4F91"/>
    <w:rsid w:val="00EF64F7"/>
    <w:rsid w:val="00EF661A"/>
    <w:rsid w:val="00F0005F"/>
    <w:rsid w:val="00F057DE"/>
    <w:rsid w:val="00F06647"/>
    <w:rsid w:val="00F12AD6"/>
    <w:rsid w:val="00F15147"/>
    <w:rsid w:val="00F16013"/>
    <w:rsid w:val="00F171A8"/>
    <w:rsid w:val="00F172E7"/>
    <w:rsid w:val="00F173B1"/>
    <w:rsid w:val="00F21428"/>
    <w:rsid w:val="00F224F7"/>
    <w:rsid w:val="00F23A80"/>
    <w:rsid w:val="00F23B29"/>
    <w:rsid w:val="00F2461F"/>
    <w:rsid w:val="00F2616C"/>
    <w:rsid w:val="00F26196"/>
    <w:rsid w:val="00F27BAE"/>
    <w:rsid w:val="00F34A25"/>
    <w:rsid w:val="00F35E4D"/>
    <w:rsid w:val="00F42C62"/>
    <w:rsid w:val="00F438E5"/>
    <w:rsid w:val="00F525F5"/>
    <w:rsid w:val="00F530A4"/>
    <w:rsid w:val="00F562E0"/>
    <w:rsid w:val="00F5754E"/>
    <w:rsid w:val="00F62767"/>
    <w:rsid w:val="00F63F63"/>
    <w:rsid w:val="00F663F2"/>
    <w:rsid w:val="00F747BA"/>
    <w:rsid w:val="00F7615A"/>
    <w:rsid w:val="00F80DEF"/>
    <w:rsid w:val="00F827DD"/>
    <w:rsid w:val="00F840F0"/>
    <w:rsid w:val="00F84138"/>
    <w:rsid w:val="00F8413B"/>
    <w:rsid w:val="00F9000B"/>
    <w:rsid w:val="00F90A4D"/>
    <w:rsid w:val="00F9116A"/>
    <w:rsid w:val="00F94453"/>
    <w:rsid w:val="00F949B9"/>
    <w:rsid w:val="00F95972"/>
    <w:rsid w:val="00F978A7"/>
    <w:rsid w:val="00F97F76"/>
    <w:rsid w:val="00FA2DCF"/>
    <w:rsid w:val="00FA35AF"/>
    <w:rsid w:val="00FA412C"/>
    <w:rsid w:val="00FA4E2C"/>
    <w:rsid w:val="00FA69D7"/>
    <w:rsid w:val="00FB0D27"/>
    <w:rsid w:val="00FB30F1"/>
    <w:rsid w:val="00FB37DE"/>
    <w:rsid w:val="00FB46D9"/>
    <w:rsid w:val="00FB478F"/>
    <w:rsid w:val="00FB7729"/>
    <w:rsid w:val="00FC3BB9"/>
    <w:rsid w:val="00FC4629"/>
    <w:rsid w:val="00FD075A"/>
    <w:rsid w:val="00FD164B"/>
    <w:rsid w:val="00FD1F1D"/>
    <w:rsid w:val="00FE1037"/>
    <w:rsid w:val="00FE292D"/>
    <w:rsid w:val="00FE4310"/>
    <w:rsid w:val="00FF0AE7"/>
    <w:rsid w:val="00FF26E4"/>
    <w:rsid w:val="00FF2925"/>
    <w:rsid w:val="00FF555B"/>
    <w:rsid w:val="00FF56B0"/>
    <w:rsid w:val="00FF70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after="0" w:line="480" w:lineRule="atLeast"/>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5F42"/>
    <w:pPr>
      <w:spacing w:line="240" w:lineRule="auto"/>
    </w:pPr>
    <w:rPr>
      <w:szCs w:val="20"/>
    </w:rPr>
  </w:style>
  <w:style w:type="character" w:customStyle="1" w:styleId="FootnoteTextChar">
    <w:name w:val="Footnote Text Char"/>
    <w:basedOn w:val="DefaultParagraphFont"/>
    <w:link w:val="FootnoteText"/>
    <w:uiPriority w:val="99"/>
    <w:rsid w:val="00A25F42"/>
    <w:rPr>
      <w:rFonts w:ascii="Times New Roman" w:hAnsi="Times New Roman" w:cs="Times New Roman"/>
      <w:sz w:val="26"/>
      <w:szCs w:val="20"/>
    </w:rPr>
  </w:style>
  <w:style w:type="paragraph" w:styleId="ListParagraph">
    <w:name w:val="List Paragraph"/>
    <w:basedOn w:val="Normal"/>
    <w:uiPriority w:val="34"/>
    <w:qFormat/>
    <w:rsid w:val="00EA5875"/>
    <w:pPr>
      <w:ind w:left="720"/>
      <w:contextualSpacing/>
    </w:pPr>
  </w:style>
  <w:style w:type="paragraph" w:styleId="Header">
    <w:name w:val="header"/>
    <w:basedOn w:val="Normal"/>
    <w:link w:val="HeaderChar"/>
    <w:uiPriority w:val="99"/>
    <w:unhideWhenUsed/>
    <w:rsid w:val="00612779"/>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612779"/>
    <w:rPr>
      <w:rFonts w:ascii="Times New Roman" w:hAnsi="Times New Roman" w:cs="Times New Roman"/>
      <w:sz w:val="26"/>
    </w:rPr>
  </w:style>
  <w:style w:type="paragraph" w:styleId="Footer">
    <w:name w:val="footer"/>
    <w:basedOn w:val="Normal"/>
    <w:link w:val="FooterChar"/>
    <w:uiPriority w:val="99"/>
    <w:unhideWhenUsed/>
    <w:rsid w:val="00612779"/>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612779"/>
    <w:rPr>
      <w:rFonts w:ascii="Times New Roman" w:hAnsi="Times New Roman" w:cs="Times New Roman"/>
      <w:sz w:val="26"/>
    </w:rPr>
  </w:style>
  <w:style w:type="character" w:styleId="FootnoteReference">
    <w:name w:val="footnote reference"/>
    <w:basedOn w:val="DefaultParagraphFont"/>
    <w:uiPriority w:val="99"/>
    <w:semiHidden/>
    <w:unhideWhenUsed/>
    <w:rsid w:val="000C3080"/>
    <w:rPr>
      <w:vertAlign w:val="superscript"/>
    </w:rPr>
  </w:style>
  <w:style w:type="paragraph" w:styleId="Revision">
    <w:name w:val="Revision"/>
    <w:hidden/>
    <w:uiPriority w:val="99"/>
    <w:semiHidden/>
    <w:rsid w:val="00DD537F"/>
    <w:pPr>
      <w:spacing w:after="0" w:line="240" w:lineRule="auto"/>
    </w:pPr>
    <w:rPr>
      <w:rFonts w:ascii="Times New Roman" w:hAnsi="Times New Roman" w:cs="Times New Roman"/>
      <w:sz w:val="26"/>
    </w:rPr>
  </w:style>
  <w:style w:type="character" w:styleId="CommentReference">
    <w:name w:val="annotation reference"/>
    <w:basedOn w:val="DefaultParagraphFont"/>
    <w:uiPriority w:val="99"/>
    <w:semiHidden/>
    <w:unhideWhenUsed/>
    <w:rsid w:val="00DD537F"/>
    <w:rPr>
      <w:sz w:val="16"/>
      <w:szCs w:val="16"/>
    </w:rPr>
  </w:style>
  <w:style w:type="paragraph" w:styleId="CommentText">
    <w:name w:val="annotation text"/>
    <w:basedOn w:val="Normal"/>
    <w:link w:val="CommentTextChar"/>
    <w:uiPriority w:val="99"/>
    <w:unhideWhenUsed/>
    <w:rsid w:val="00DD537F"/>
    <w:pPr>
      <w:spacing w:line="240" w:lineRule="auto"/>
    </w:pPr>
    <w:rPr>
      <w:sz w:val="20"/>
      <w:szCs w:val="20"/>
    </w:rPr>
  </w:style>
  <w:style w:type="character" w:customStyle="1" w:styleId="CommentTextChar">
    <w:name w:val="Comment Text Char"/>
    <w:basedOn w:val="DefaultParagraphFont"/>
    <w:link w:val="CommentText"/>
    <w:uiPriority w:val="99"/>
    <w:rsid w:val="00DD537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37F"/>
    <w:rPr>
      <w:b/>
      <w:bCs/>
    </w:rPr>
  </w:style>
  <w:style w:type="character" w:customStyle="1" w:styleId="CommentSubjectChar">
    <w:name w:val="Comment Subject Char"/>
    <w:basedOn w:val="CommentTextChar"/>
    <w:link w:val="CommentSubject"/>
    <w:uiPriority w:val="99"/>
    <w:semiHidden/>
    <w:rsid w:val="00DD537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E069-E243-487D-90BA-1F303882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2024-01-29T23:31:47Z</dcterms:created>
  <dcterms:modified xsi:type="dcterms:W3CDTF">2024-01-29T23:31:47Z</dcterms:modified>
</cp:coreProperties>
</file>