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5C3D" w14:textId="45F38729" w:rsidR="00E87A49" w:rsidRPr="00122DB7" w:rsidRDefault="007D454C" w:rsidP="003406E7">
      <w:pPr>
        <w:spacing w:line="240" w:lineRule="auto"/>
        <w:rPr>
          <w:rFonts w:ascii="Century Schoolbook" w:hAnsi="Century Schoolbook"/>
          <w:sz w:val="22"/>
          <w:szCs w:val="22"/>
        </w:rPr>
      </w:pPr>
      <w:r>
        <w:rPr>
          <w:rFonts w:ascii="Century Schoolbook" w:hAnsi="Century Schoolbook"/>
          <w:sz w:val="22"/>
          <w:szCs w:val="22"/>
        </w:rPr>
        <w:t xml:space="preserve">Filed </w:t>
      </w:r>
      <w:proofErr w:type="gramStart"/>
      <w:r>
        <w:rPr>
          <w:rFonts w:ascii="Century Schoolbook" w:hAnsi="Century Schoolbook"/>
          <w:sz w:val="22"/>
          <w:szCs w:val="22"/>
        </w:rPr>
        <w:t>8/10/23</w:t>
      </w:r>
      <w:proofErr w:type="gramEnd"/>
    </w:p>
    <w:p w14:paraId="24959EF8" w14:textId="023F07FA" w:rsidR="003406E7" w:rsidRPr="004B0B9B" w:rsidRDefault="007B2788" w:rsidP="003406E7">
      <w:pPr>
        <w:spacing w:line="240" w:lineRule="auto"/>
        <w:jc w:val="center"/>
        <w:rPr>
          <w:rFonts w:ascii="Century Schoolbook" w:hAnsi="Century Schoolbook"/>
          <w:b/>
        </w:rPr>
      </w:pPr>
      <w:r>
        <w:rPr>
          <w:rFonts w:ascii="Century Schoolbook" w:hAnsi="Century Schoolbook"/>
          <w:b/>
        </w:rPr>
        <w:t>CERTIFIED FOR PUBLICATION</w:t>
      </w:r>
    </w:p>
    <w:p w14:paraId="0023D06C" w14:textId="4721B8F8" w:rsidR="003406E7" w:rsidRDefault="003406E7" w:rsidP="003406E7">
      <w:pPr>
        <w:spacing w:line="240" w:lineRule="auto"/>
        <w:rPr>
          <w:rFonts w:ascii="Century Schoolbook" w:hAnsi="Century Schoolbook"/>
        </w:rPr>
      </w:pPr>
    </w:p>
    <w:p w14:paraId="73C1CFF2" w14:textId="77777777" w:rsidR="007B2788" w:rsidRPr="004B0B9B" w:rsidRDefault="007B2788" w:rsidP="003406E7">
      <w:pPr>
        <w:spacing w:line="240" w:lineRule="auto"/>
        <w:rPr>
          <w:rFonts w:ascii="Century Schoolbook" w:hAnsi="Century Schoolbook"/>
        </w:rPr>
      </w:pPr>
    </w:p>
    <w:p w14:paraId="780F0240" w14:textId="1F22CD61" w:rsidR="003406E7" w:rsidRPr="004B0B9B" w:rsidRDefault="003406E7" w:rsidP="003406E7">
      <w:pPr>
        <w:spacing w:line="240" w:lineRule="auto"/>
        <w:jc w:val="center"/>
        <w:rPr>
          <w:rFonts w:ascii="Century Schoolbook" w:hAnsi="Century Schoolbook"/>
        </w:rPr>
      </w:pPr>
      <w:r w:rsidRPr="004B0B9B">
        <w:rPr>
          <w:rFonts w:ascii="Century Schoolbook" w:hAnsi="Century Schoolbook"/>
        </w:rPr>
        <w:t>IN THE COURT OF APPEAL OF THE STATE OF CALIFORNIA</w:t>
      </w:r>
    </w:p>
    <w:p w14:paraId="152DBA83" w14:textId="1658F6E1" w:rsidR="003406E7" w:rsidRPr="004B0B9B" w:rsidRDefault="003406E7" w:rsidP="003406E7">
      <w:pPr>
        <w:spacing w:line="240" w:lineRule="auto"/>
        <w:jc w:val="center"/>
        <w:rPr>
          <w:rFonts w:ascii="Century Schoolbook" w:hAnsi="Century Schoolbook"/>
        </w:rPr>
      </w:pPr>
    </w:p>
    <w:p w14:paraId="6E03CD8F" w14:textId="315821B8" w:rsidR="003406E7" w:rsidRPr="004B0B9B" w:rsidRDefault="003406E7" w:rsidP="003406E7">
      <w:pPr>
        <w:spacing w:line="240" w:lineRule="auto"/>
        <w:jc w:val="center"/>
        <w:rPr>
          <w:rFonts w:ascii="Century Schoolbook" w:hAnsi="Century Schoolbook"/>
        </w:rPr>
      </w:pPr>
      <w:r w:rsidRPr="004B0B9B">
        <w:rPr>
          <w:rFonts w:ascii="Century Schoolbook" w:hAnsi="Century Schoolbook"/>
        </w:rPr>
        <w:t>SIXTH APPELLATE DISTRICT</w:t>
      </w:r>
    </w:p>
    <w:p w14:paraId="1D124D70" w14:textId="62318100" w:rsidR="003406E7" w:rsidRPr="004B0B9B" w:rsidRDefault="003406E7" w:rsidP="003406E7">
      <w:pPr>
        <w:spacing w:line="240" w:lineRule="auto"/>
        <w:jc w:val="center"/>
        <w:rPr>
          <w:rFonts w:ascii="Century Schoolbook" w:hAnsi="Century Schoolbook"/>
        </w:rPr>
      </w:pPr>
    </w:p>
    <w:p w14:paraId="202EC980" w14:textId="3DF4E793" w:rsidR="003406E7" w:rsidRPr="004B0B9B" w:rsidRDefault="003406E7" w:rsidP="003406E7">
      <w:pPr>
        <w:spacing w:line="240" w:lineRule="auto"/>
        <w:jc w:val="center"/>
        <w:rPr>
          <w:rFonts w:ascii="Century Schoolbook" w:hAnsi="Century Schoolbook"/>
        </w:rPr>
      </w:pPr>
    </w:p>
    <w:tbl>
      <w:tblPr>
        <w:tblW w:w="0" w:type="auto"/>
        <w:tblLayout w:type="fixed"/>
        <w:tblLook w:val="0000" w:firstRow="0" w:lastRow="0" w:firstColumn="0" w:lastColumn="0" w:noHBand="0" w:noVBand="0"/>
      </w:tblPr>
      <w:tblGrid>
        <w:gridCol w:w="4680"/>
        <w:gridCol w:w="4680"/>
      </w:tblGrid>
      <w:tr w:rsidR="003406E7" w:rsidRPr="004B0B9B" w14:paraId="368371FD" w14:textId="77777777" w:rsidTr="004B0B9B">
        <w:tc>
          <w:tcPr>
            <w:tcW w:w="4680" w:type="dxa"/>
            <w:tcBorders>
              <w:right w:val="single" w:sz="4" w:space="0" w:color="auto"/>
            </w:tcBorders>
            <w:shd w:val="clear" w:color="auto" w:fill="auto"/>
          </w:tcPr>
          <w:p w14:paraId="3B712C46" w14:textId="4F468FFB" w:rsidR="000C6168" w:rsidRPr="004B0B9B" w:rsidRDefault="000D24A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Pr>
                <w:rFonts w:ascii="Century Schoolbook" w:hAnsi="Century Schoolbook"/>
                <w:szCs w:val="26"/>
              </w:rPr>
              <w:t>SANTA RITA UNION SCHOOL DISTRICT</w:t>
            </w:r>
            <w:r w:rsidR="005D5F49">
              <w:rPr>
                <w:rFonts w:ascii="Century Schoolbook" w:hAnsi="Century Schoolbook"/>
                <w:szCs w:val="26"/>
              </w:rPr>
              <w:t xml:space="preserve"> et al.</w:t>
            </w:r>
            <w:r w:rsidR="0025569A">
              <w:rPr>
                <w:rFonts w:ascii="Century Schoolbook" w:hAnsi="Century Schoolbook"/>
                <w:szCs w:val="26"/>
              </w:rPr>
              <w:t xml:space="preserve">, </w:t>
            </w:r>
          </w:p>
          <w:p w14:paraId="3C0150EA" w14:textId="77777777" w:rsidR="000C6168" w:rsidRPr="004B0B9B" w:rsidRDefault="000C616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7FBC554A" w14:textId="57EC1FBF" w:rsidR="000C6168" w:rsidRPr="004B0B9B" w:rsidRDefault="000C616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ab/>
              <w:t>Plaintiff</w:t>
            </w:r>
            <w:r w:rsidR="0025569A">
              <w:rPr>
                <w:rFonts w:ascii="Century Schoolbook" w:hAnsi="Century Schoolbook"/>
                <w:szCs w:val="26"/>
              </w:rPr>
              <w:t>s</w:t>
            </w:r>
            <w:r w:rsidRPr="004B0B9B">
              <w:rPr>
                <w:rFonts w:ascii="Century Schoolbook" w:hAnsi="Century Schoolbook"/>
                <w:szCs w:val="26"/>
              </w:rPr>
              <w:t xml:space="preserve"> and </w:t>
            </w:r>
            <w:r w:rsidR="000D24A8">
              <w:rPr>
                <w:rFonts w:ascii="Century Schoolbook" w:hAnsi="Century Schoolbook"/>
                <w:szCs w:val="26"/>
              </w:rPr>
              <w:t>Responde</w:t>
            </w:r>
            <w:r w:rsidRPr="004B0B9B">
              <w:rPr>
                <w:rFonts w:ascii="Century Schoolbook" w:hAnsi="Century Schoolbook"/>
                <w:szCs w:val="26"/>
              </w:rPr>
              <w:t>nt</w:t>
            </w:r>
            <w:r w:rsidR="0025569A">
              <w:rPr>
                <w:rFonts w:ascii="Century Schoolbook" w:hAnsi="Century Schoolbook"/>
                <w:szCs w:val="26"/>
              </w:rPr>
              <w:t>s</w:t>
            </w:r>
            <w:r w:rsidRPr="004B0B9B">
              <w:rPr>
                <w:rFonts w:ascii="Century Schoolbook" w:hAnsi="Century Schoolbook"/>
                <w:szCs w:val="26"/>
              </w:rPr>
              <w:t>,</w:t>
            </w:r>
          </w:p>
          <w:p w14:paraId="2031B2BE" w14:textId="77777777" w:rsidR="000C6168" w:rsidRPr="004B0B9B" w:rsidRDefault="000C616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7720EC3E" w14:textId="2DA2EB7B" w:rsidR="000C6168" w:rsidRPr="000D24A8" w:rsidRDefault="000C616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ab/>
            </w:r>
            <w:r w:rsidRPr="000D24A8">
              <w:rPr>
                <w:rFonts w:ascii="Century Schoolbook" w:hAnsi="Century Schoolbook"/>
                <w:szCs w:val="26"/>
              </w:rPr>
              <w:t>v.</w:t>
            </w:r>
          </w:p>
          <w:p w14:paraId="098F48C3" w14:textId="77777777" w:rsidR="000C6168" w:rsidRPr="000D24A8" w:rsidRDefault="000C616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45140A2C" w14:textId="4667AC8E" w:rsidR="000C6168" w:rsidRPr="0025569A" w:rsidRDefault="000D24A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Pr>
                <w:rFonts w:ascii="Century Schoolbook" w:hAnsi="Century Schoolbook"/>
                <w:szCs w:val="26"/>
              </w:rPr>
              <w:t>CITY OF SALINAS,</w:t>
            </w:r>
            <w:r w:rsidR="003471E2" w:rsidRPr="0025569A">
              <w:rPr>
                <w:rFonts w:ascii="Century Schoolbook" w:hAnsi="Century Schoolbook"/>
                <w:szCs w:val="26"/>
              </w:rPr>
              <w:t xml:space="preserve"> </w:t>
            </w:r>
          </w:p>
          <w:p w14:paraId="367E7C84" w14:textId="77777777" w:rsidR="000C6168" w:rsidRPr="0025569A" w:rsidRDefault="000C616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174F095B" w14:textId="12539AF5" w:rsidR="000D24A8" w:rsidRDefault="000C616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25569A">
              <w:rPr>
                <w:rFonts w:ascii="Century Schoolbook" w:hAnsi="Century Schoolbook"/>
                <w:szCs w:val="26"/>
              </w:rPr>
              <w:tab/>
            </w:r>
            <w:proofErr w:type="gramStart"/>
            <w:r w:rsidRPr="0025569A">
              <w:rPr>
                <w:rFonts w:ascii="Century Schoolbook" w:hAnsi="Century Schoolbook"/>
                <w:szCs w:val="26"/>
              </w:rPr>
              <w:t>Defendant</w:t>
            </w:r>
            <w:r w:rsidR="000D24A8">
              <w:rPr>
                <w:rFonts w:ascii="Century Schoolbook" w:hAnsi="Century Schoolbook"/>
                <w:szCs w:val="26"/>
              </w:rPr>
              <w:t>;</w:t>
            </w:r>
            <w:proofErr w:type="gramEnd"/>
            <w:r w:rsidR="000D24A8">
              <w:rPr>
                <w:rFonts w:ascii="Century Schoolbook" w:hAnsi="Century Schoolbook"/>
                <w:szCs w:val="26"/>
              </w:rPr>
              <w:t xml:space="preserve"> </w:t>
            </w:r>
          </w:p>
          <w:p w14:paraId="3BBEF635" w14:textId="77777777" w:rsidR="000D24A8" w:rsidRDefault="000D24A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2CD7195F" w14:textId="2C6C548A" w:rsidR="000C6168" w:rsidRPr="00C37D70" w:rsidRDefault="000D24A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C37D70">
              <w:rPr>
                <w:rFonts w:ascii="Century Schoolbook" w:hAnsi="Century Schoolbook"/>
                <w:szCs w:val="26"/>
              </w:rPr>
              <w:t>REXFORD TITLE, INC., et al.,</w:t>
            </w:r>
            <w:r w:rsidR="000C6168" w:rsidRPr="00C37D70">
              <w:rPr>
                <w:rFonts w:ascii="Century Schoolbook" w:hAnsi="Century Schoolbook"/>
                <w:szCs w:val="26"/>
              </w:rPr>
              <w:t xml:space="preserve"> </w:t>
            </w:r>
          </w:p>
          <w:p w14:paraId="3F7D11B3" w14:textId="1CE53F26" w:rsidR="003406E7" w:rsidRPr="00C37D70" w:rsidRDefault="003406E7" w:rsidP="003406E7">
            <w:pPr>
              <w:spacing w:line="240" w:lineRule="auto"/>
              <w:rPr>
                <w:rFonts w:ascii="Century Schoolbook" w:hAnsi="Century Schoolbook"/>
                <w:szCs w:val="26"/>
              </w:rPr>
            </w:pPr>
          </w:p>
        </w:tc>
        <w:tc>
          <w:tcPr>
            <w:tcW w:w="4680" w:type="dxa"/>
            <w:tcBorders>
              <w:left w:val="single" w:sz="4" w:space="0" w:color="auto"/>
            </w:tcBorders>
            <w:shd w:val="clear" w:color="auto" w:fill="auto"/>
          </w:tcPr>
          <w:p w14:paraId="6500BD29" w14:textId="4A32E2DA" w:rsidR="000C6168" w:rsidRPr="004B0B9B" w:rsidRDefault="003406E7" w:rsidP="000C6168">
            <w:pPr>
              <w:spacing w:line="240" w:lineRule="auto"/>
              <w:rPr>
                <w:rFonts w:ascii="Century Schoolbook" w:hAnsi="Century Schoolbook"/>
                <w:szCs w:val="26"/>
              </w:rPr>
            </w:pPr>
            <w:r w:rsidRPr="001B6464">
              <w:rPr>
                <w:rFonts w:ascii="Century Schoolbook" w:hAnsi="Century Schoolbook"/>
                <w:szCs w:val="26"/>
              </w:rPr>
              <w:t xml:space="preserve">      </w:t>
            </w:r>
            <w:r w:rsidR="000C6168" w:rsidRPr="004B0B9B">
              <w:rPr>
                <w:rFonts w:ascii="Century Schoolbook" w:hAnsi="Century Schoolbook"/>
                <w:szCs w:val="26"/>
              </w:rPr>
              <w:t>H0</w:t>
            </w:r>
            <w:r w:rsidR="000D24A8">
              <w:rPr>
                <w:rFonts w:ascii="Century Schoolbook" w:hAnsi="Century Schoolbook"/>
                <w:szCs w:val="26"/>
              </w:rPr>
              <w:t>49854</w:t>
            </w:r>
            <w:r w:rsidR="000C6168" w:rsidRPr="004B0B9B">
              <w:rPr>
                <w:rFonts w:ascii="Century Schoolbook" w:hAnsi="Century Schoolbook"/>
                <w:szCs w:val="26"/>
              </w:rPr>
              <w:t xml:space="preserve"> </w:t>
            </w:r>
          </w:p>
          <w:p w14:paraId="1FDEF11A" w14:textId="286F36EC" w:rsidR="005D34BD" w:rsidRDefault="000C6168" w:rsidP="000C6168">
            <w:pPr>
              <w:widowControl w:val="0"/>
              <w:tabs>
                <w:tab w:val="clear" w:pos="720"/>
                <w:tab w:val="left" w:pos="346"/>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ab/>
            </w:r>
            <w:r w:rsidR="004B0B9B">
              <w:rPr>
                <w:rFonts w:ascii="Century Schoolbook" w:hAnsi="Century Schoolbook"/>
                <w:szCs w:val="26"/>
              </w:rPr>
              <w:t xml:space="preserve"> </w:t>
            </w:r>
            <w:r w:rsidRPr="004B0B9B">
              <w:rPr>
                <w:rFonts w:ascii="Century Schoolbook" w:hAnsi="Century Schoolbook"/>
                <w:szCs w:val="26"/>
              </w:rPr>
              <w:t>(</w:t>
            </w:r>
            <w:r w:rsidR="000D24A8">
              <w:rPr>
                <w:rFonts w:ascii="Century Schoolbook" w:hAnsi="Century Schoolbook"/>
                <w:szCs w:val="26"/>
              </w:rPr>
              <w:t xml:space="preserve">Monterey </w:t>
            </w:r>
            <w:r w:rsidRPr="004B0B9B">
              <w:rPr>
                <w:rFonts w:ascii="Century Schoolbook" w:hAnsi="Century Schoolbook"/>
                <w:szCs w:val="26"/>
              </w:rPr>
              <w:t xml:space="preserve">County </w:t>
            </w:r>
          </w:p>
          <w:p w14:paraId="6865C34E" w14:textId="4B35208F" w:rsidR="000C6168" w:rsidRPr="004B0B9B" w:rsidRDefault="00924A9A" w:rsidP="000C6168">
            <w:pPr>
              <w:widowControl w:val="0"/>
              <w:tabs>
                <w:tab w:val="clear" w:pos="720"/>
                <w:tab w:val="left" w:pos="346"/>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Pr>
                <w:rFonts w:ascii="Century Schoolbook" w:hAnsi="Century Schoolbook"/>
                <w:szCs w:val="26"/>
              </w:rPr>
              <w:t xml:space="preserve">      </w:t>
            </w:r>
            <w:r w:rsidR="000C6168" w:rsidRPr="004B0B9B">
              <w:rPr>
                <w:rFonts w:ascii="Century Schoolbook" w:hAnsi="Century Schoolbook"/>
                <w:szCs w:val="26"/>
              </w:rPr>
              <w:t xml:space="preserve">Super. Ct. </w:t>
            </w:r>
            <w:r w:rsidR="000C6168" w:rsidRPr="001715A3">
              <w:rPr>
                <w:rFonts w:ascii="Century Schoolbook" w:hAnsi="Century Schoolbook"/>
                <w:szCs w:val="26"/>
              </w:rPr>
              <w:t>No.</w:t>
            </w:r>
            <w:r w:rsidR="000C6168" w:rsidRPr="004B0B9B">
              <w:rPr>
                <w:rFonts w:ascii="Century Schoolbook" w:hAnsi="Century Schoolbook"/>
                <w:szCs w:val="26"/>
              </w:rPr>
              <w:t xml:space="preserve"> </w:t>
            </w:r>
            <w:r w:rsidR="000D24A8">
              <w:rPr>
                <w:rFonts w:ascii="Century Schoolbook" w:hAnsi="Century Schoolbook"/>
                <w:szCs w:val="26"/>
              </w:rPr>
              <w:t>20CV000242</w:t>
            </w:r>
            <w:r w:rsidR="000C6168" w:rsidRPr="004B0B9B">
              <w:rPr>
                <w:rFonts w:ascii="Century Schoolbook" w:hAnsi="Century Schoolbook"/>
                <w:szCs w:val="26"/>
              </w:rPr>
              <w:t xml:space="preserve">) </w:t>
            </w:r>
          </w:p>
          <w:p w14:paraId="3C1CC377" w14:textId="62321F0E" w:rsidR="000C6168" w:rsidRPr="004B0B9B" w:rsidRDefault="000C6168" w:rsidP="003406E7">
            <w:pPr>
              <w:spacing w:line="240" w:lineRule="auto"/>
              <w:rPr>
                <w:rFonts w:ascii="Century Schoolbook" w:hAnsi="Century Schoolbook"/>
                <w:szCs w:val="26"/>
              </w:rPr>
            </w:pPr>
          </w:p>
        </w:tc>
      </w:tr>
      <w:tr w:rsidR="004B0B9B" w:rsidRPr="004B0B9B" w14:paraId="51B7C891" w14:textId="77777777" w:rsidTr="003406E7">
        <w:tc>
          <w:tcPr>
            <w:tcW w:w="4680" w:type="dxa"/>
            <w:tcBorders>
              <w:bottom w:val="single" w:sz="4" w:space="0" w:color="auto"/>
              <w:right w:val="single" w:sz="4" w:space="0" w:color="auto"/>
            </w:tcBorders>
            <w:shd w:val="clear" w:color="auto" w:fill="auto"/>
          </w:tcPr>
          <w:p w14:paraId="3CBCE2CA" w14:textId="77777777" w:rsidR="007B2788" w:rsidRDefault="000D24A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Pr>
                <w:rFonts w:ascii="Century Schoolbook" w:hAnsi="Century Schoolbook"/>
                <w:szCs w:val="26"/>
              </w:rPr>
              <w:t xml:space="preserve">           Real Parties in Interest and </w:t>
            </w:r>
          </w:p>
          <w:p w14:paraId="55653007" w14:textId="25F07302" w:rsidR="004B0B9B" w:rsidRDefault="007B278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Pr>
                <w:rFonts w:ascii="Century Schoolbook" w:hAnsi="Century Schoolbook"/>
                <w:szCs w:val="26"/>
              </w:rPr>
              <w:t xml:space="preserve">       </w:t>
            </w:r>
            <w:r w:rsidR="00CA230A">
              <w:rPr>
                <w:rFonts w:ascii="Century Schoolbook" w:hAnsi="Century Schoolbook"/>
                <w:szCs w:val="26"/>
              </w:rPr>
              <w:t xml:space="preserve">  </w:t>
            </w:r>
            <w:r>
              <w:rPr>
                <w:rFonts w:ascii="Century Schoolbook" w:hAnsi="Century Schoolbook"/>
                <w:szCs w:val="26"/>
              </w:rPr>
              <w:t xml:space="preserve">  </w:t>
            </w:r>
            <w:r w:rsidR="000D24A8">
              <w:rPr>
                <w:rFonts w:ascii="Century Schoolbook" w:hAnsi="Century Schoolbook"/>
                <w:szCs w:val="26"/>
              </w:rPr>
              <w:t>Appellants.</w:t>
            </w:r>
          </w:p>
          <w:p w14:paraId="6A91D041" w14:textId="5A93064A" w:rsidR="007B2788" w:rsidRPr="004B0B9B" w:rsidRDefault="007B2788"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tc>
        <w:tc>
          <w:tcPr>
            <w:tcW w:w="4680" w:type="dxa"/>
            <w:tcBorders>
              <w:left w:val="single" w:sz="4" w:space="0" w:color="auto"/>
            </w:tcBorders>
            <w:shd w:val="clear" w:color="auto" w:fill="auto"/>
          </w:tcPr>
          <w:p w14:paraId="76EF3456" w14:textId="77777777" w:rsidR="004B0B9B" w:rsidRPr="004B0B9B" w:rsidRDefault="004B0B9B" w:rsidP="000C6168">
            <w:pPr>
              <w:spacing w:line="240" w:lineRule="auto"/>
              <w:rPr>
                <w:rFonts w:ascii="Century Schoolbook" w:hAnsi="Century Schoolbook"/>
                <w:szCs w:val="26"/>
              </w:rPr>
            </w:pPr>
          </w:p>
        </w:tc>
      </w:tr>
    </w:tbl>
    <w:p w14:paraId="5FC33DD2" w14:textId="77777777" w:rsidR="00CA230A" w:rsidRDefault="00F7607B" w:rsidP="003406E7">
      <w:pPr>
        <w:rPr>
          <w:rFonts w:ascii="Century Schoolbook" w:hAnsi="Century Schoolbook"/>
        </w:rPr>
      </w:pPr>
      <w:r>
        <w:rPr>
          <w:rFonts w:ascii="Century Schoolbook" w:hAnsi="Century Schoolbook"/>
        </w:rPr>
        <w:tab/>
      </w:r>
    </w:p>
    <w:p w14:paraId="1E8848BC" w14:textId="3FDD761C" w:rsidR="001E6B01" w:rsidRDefault="00CA230A" w:rsidP="003406E7">
      <w:pPr>
        <w:rPr>
          <w:rFonts w:ascii="Century Schoolbook" w:hAnsi="Century Schoolbook"/>
        </w:rPr>
      </w:pPr>
      <w:r>
        <w:rPr>
          <w:rFonts w:ascii="Century Schoolbook" w:hAnsi="Century Schoolbook"/>
        </w:rPr>
        <w:tab/>
      </w:r>
      <w:r w:rsidR="009A46A1">
        <w:rPr>
          <w:rFonts w:ascii="Century Schoolbook" w:hAnsi="Century Schoolbook"/>
        </w:rPr>
        <w:t>This appeal arises under the California Environmental Quality Act (CEQA</w:t>
      </w:r>
      <w:r w:rsidR="00A72611">
        <w:rPr>
          <w:rFonts w:ascii="Century Schoolbook" w:hAnsi="Century Schoolbook"/>
        </w:rPr>
        <w:t>) (</w:t>
      </w:r>
      <w:r w:rsidR="009A46A1">
        <w:rPr>
          <w:rFonts w:ascii="Century Schoolbook" w:hAnsi="Century Schoolbook"/>
        </w:rPr>
        <w:t>Pub. Res</w:t>
      </w:r>
      <w:r w:rsidR="00233063">
        <w:rPr>
          <w:rFonts w:ascii="Century Schoolbook" w:hAnsi="Century Schoolbook"/>
        </w:rPr>
        <w:t>ources</w:t>
      </w:r>
      <w:r w:rsidR="009A46A1">
        <w:rPr>
          <w:rFonts w:ascii="Century Schoolbook" w:hAnsi="Century Schoolbook"/>
        </w:rPr>
        <w:t xml:space="preserve"> Code, § </w:t>
      </w:r>
      <w:r w:rsidR="004B7200">
        <w:rPr>
          <w:rFonts w:ascii="Century Schoolbook" w:hAnsi="Century Schoolbook"/>
        </w:rPr>
        <w:t>21000</w:t>
      </w:r>
      <w:r w:rsidR="009A46A1">
        <w:rPr>
          <w:rFonts w:ascii="Century Schoolbook" w:hAnsi="Century Schoolbook"/>
        </w:rPr>
        <w:t xml:space="preserve"> et seq.</w:t>
      </w:r>
      <w:r w:rsidR="00674A5D">
        <w:rPr>
          <w:rFonts w:ascii="Century Schoolbook" w:hAnsi="Century Schoolbook"/>
        </w:rPr>
        <w:t xml:space="preserve">; further unspecified statutory references are to this </w:t>
      </w:r>
      <w:r w:rsidR="00F82CD5">
        <w:rPr>
          <w:rFonts w:ascii="Century Schoolbook" w:hAnsi="Century Schoolbook"/>
        </w:rPr>
        <w:t>c</w:t>
      </w:r>
      <w:r w:rsidR="00674A5D">
        <w:rPr>
          <w:rFonts w:ascii="Century Schoolbook" w:hAnsi="Century Schoolbook"/>
        </w:rPr>
        <w:t>ode</w:t>
      </w:r>
      <w:r w:rsidR="009A46A1">
        <w:rPr>
          <w:rFonts w:ascii="Century Schoolbook" w:hAnsi="Century Schoolbook"/>
        </w:rPr>
        <w:t>)</w:t>
      </w:r>
      <w:r w:rsidR="00F82CD5">
        <w:rPr>
          <w:rFonts w:ascii="Century Schoolbook" w:hAnsi="Century Schoolbook"/>
        </w:rPr>
        <w:t xml:space="preserve"> and its implementing regulations (Cal. Code Regs., tit. 14, § 15000 et seq. (Guidelines))</w:t>
      </w:r>
      <w:r w:rsidR="0046120E">
        <w:rPr>
          <w:rFonts w:ascii="Century Schoolbook" w:hAnsi="Century Schoolbook"/>
        </w:rPr>
        <w:t xml:space="preserve">. </w:t>
      </w:r>
      <w:r w:rsidR="0032779A">
        <w:rPr>
          <w:rFonts w:ascii="Century Schoolbook" w:hAnsi="Century Schoolbook"/>
        </w:rPr>
        <w:t xml:space="preserve">At issue is </w:t>
      </w:r>
      <w:r w:rsidR="009A46A1">
        <w:rPr>
          <w:rFonts w:ascii="Century Schoolbook" w:hAnsi="Century Schoolbook"/>
        </w:rPr>
        <w:t xml:space="preserve">whether </w:t>
      </w:r>
      <w:r w:rsidR="00AD7BB3">
        <w:rPr>
          <w:rFonts w:ascii="Century Schoolbook" w:hAnsi="Century Schoolbook"/>
        </w:rPr>
        <w:t>the Final Environmental Impact Report (EIR) for the West Area Specific Plan (Specific Plan or Project)</w:t>
      </w:r>
      <w:r w:rsidR="009E1F29">
        <w:rPr>
          <w:rFonts w:ascii="Century Schoolbook" w:hAnsi="Century Schoolbook"/>
        </w:rPr>
        <w:t>,</w:t>
      </w:r>
      <w:r w:rsidR="00AD7BB3">
        <w:rPr>
          <w:rFonts w:ascii="Century Schoolbook" w:hAnsi="Century Schoolbook"/>
        </w:rPr>
        <w:t xml:space="preserve"> as certified by the City of Salinas as lead agency</w:t>
      </w:r>
      <w:r w:rsidR="009E1F29">
        <w:rPr>
          <w:rFonts w:ascii="Century Schoolbook" w:hAnsi="Century Schoolbook"/>
        </w:rPr>
        <w:t>,</w:t>
      </w:r>
      <w:r w:rsidR="00AD7BB3">
        <w:rPr>
          <w:rFonts w:ascii="Century Schoolbook" w:hAnsi="Century Schoolbook"/>
        </w:rPr>
        <w:t xml:space="preserve"> was inadequate</w:t>
      </w:r>
      <w:r w:rsidR="00041A14">
        <w:rPr>
          <w:rFonts w:ascii="Century Schoolbook" w:hAnsi="Century Schoolbook"/>
        </w:rPr>
        <w:t>.</w:t>
      </w:r>
      <w:r w:rsidR="00AD7BB3">
        <w:rPr>
          <w:rFonts w:ascii="Century Schoolbook" w:hAnsi="Century Schoolbook"/>
        </w:rPr>
        <w:t xml:space="preserve"> </w:t>
      </w:r>
      <w:r w:rsidR="00041A14">
        <w:rPr>
          <w:rFonts w:ascii="Century Schoolbook" w:hAnsi="Century Schoolbook"/>
        </w:rPr>
        <w:t>T</w:t>
      </w:r>
      <w:r w:rsidR="00DA4ACF">
        <w:rPr>
          <w:rFonts w:ascii="Century Schoolbook" w:hAnsi="Century Schoolbook"/>
        </w:rPr>
        <w:t xml:space="preserve">he </w:t>
      </w:r>
      <w:r w:rsidR="00041A14">
        <w:rPr>
          <w:rFonts w:ascii="Century Schoolbook" w:hAnsi="Century Schoolbook"/>
        </w:rPr>
        <w:t xml:space="preserve">Draft </w:t>
      </w:r>
      <w:r w:rsidR="00DA4ACF">
        <w:rPr>
          <w:rFonts w:ascii="Century Schoolbook" w:hAnsi="Century Schoolbook"/>
        </w:rPr>
        <w:t>EIR</w:t>
      </w:r>
      <w:r w:rsidR="00AD7BB3">
        <w:rPr>
          <w:rFonts w:ascii="Century Schoolbook" w:hAnsi="Century Schoolbook"/>
        </w:rPr>
        <w:t xml:space="preserve"> </w:t>
      </w:r>
      <w:r w:rsidR="00041A14">
        <w:rPr>
          <w:rFonts w:ascii="Century Schoolbook" w:hAnsi="Century Schoolbook"/>
        </w:rPr>
        <w:t>did not</w:t>
      </w:r>
      <w:r w:rsidR="00AD7BB3">
        <w:rPr>
          <w:rFonts w:ascii="Century Schoolbook" w:hAnsi="Century Schoolbook"/>
        </w:rPr>
        <w:t xml:space="preserve"> discuss </w:t>
      </w:r>
      <w:r w:rsidR="00041A14">
        <w:rPr>
          <w:rFonts w:ascii="Century Schoolbook" w:hAnsi="Century Schoolbook"/>
        </w:rPr>
        <w:t>or</w:t>
      </w:r>
      <w:r w:rsidR="00AD7BB3">
        <w:rPr>
          <w:rFonts w:ascii="Century Schoolbook" w:hAnsi="Century Schoolbook"/>
        </w:rPr>
        <w:t xml:space="preserve"> analy</w:t>
      </w:r>
      <w:r w:rsidR="00041A14">
        <w:rPr>
          <w:rFonts w:ascii="Century Schoolbook" w:hAnsi="Century Schoolbook"/>
        </w:rPr>
        <w:t>ze</w:t>
      </w:r>
      <w:r w:rsidR="00AD7BB3">
        <w:rPr>
          <w:rFonts w:ascii="Century Schoolbook" w:hAnsi="Century Schoolbook"/>
        </w:rPr>
        <w:t xml:space="preserve"> </w:t>
      </w:r>
      <w:r w:rsidR="00DA4ACF">
        <w:rPr>
          <w:rFonts w:ascii="Century Schoolbook" w:hAnsi="Century Schoolbook"/>
        </w:rPr>
        <w:t xml:space="preserve">any </w:t>
      </w:r>
      <w:r w:rsidR="00AD7BB3">
        <w:rPr>
          <w:rFonts w:ascii="Century Schoolbook" w:hAnsi="Century Schoolbook"/>
        </w:rPr>
        <w:t xml:space="preserve">potential off-site impacts </w:t>
      </w:r>
      <w:r w:rsidR="001B6464">
        <w:rPr>
          <w:rFonts w:ascii="Century Schoolbook" w:hAnsi="Century Schoolbook"/>
        </w:rPr>
        <w:t>flowing from</w:t>
      </w:r>
      <w:r w:rsidR="00DA4ACF">
        <w:rPr>
          <w:rFonts w:ascii="Century Schoolbook" w:hAnsi="Century Schoolbook"/>
        </w:rPr>
        <w:t xml:space="preserve"> </w:t>
      </w:r>
      <w:r w:rsidR="001B6464">
        <w:rPr>
          <w:rFonts w:ascii="Century Schoolbook" w:hAnsi="Century Schoolbook"/>
        </w:rPr>
        <w:t>an</w:t>
      </w:r>
      <w:r w:rsidR="00DA4ACF">
        <w:rPr>
          <w:rFonts w:ascii="Century Schoolbook" w:hAnsi="Century Schoolbook"/>
        </w:rPr>
        <w:t xml:space="preserve"> assumption that the construction of new schools </w:t>
      </w:r>
      <w:r w:rsidR="004279E5">
        <w:rPr>
          <w:rFonts w:ascii="Century Schoolbook" w:hAnsi="Century Schoolbook"/>
        </w:rPr>
        <w:t xml:space="preserve">as </w:t>
      </w:r>
      <w:r w:rsidR="00DA4ACF">
        <w:rPr>
          <w:rFonts w:ascii="Century Schoolbook" w:hAnsi="Century Schoolbook"/>
        </w:rPr>
        <w:t xml:space="preserve">contemplated by the Project would </w:t>
      </w:r>
      <w:r w:rsidR="00041A14">
        <w:rPr>
          <w:rFonts w:ascii="Century Schoolbook" w:hAnsi="Century Schoolbook"/>
        </w:rPr>
        <w:t>n</w:t>
      </w:r>
      <w:r w:rsidR="00DA4ACF">
        <w:rPr>
          <w:rFonts w:ascii="Century Schoolbook" w:hAnsi="Century Schoolbook"/>
        </w:rPr>
        <w:t>ever be built</w:t>
      </w:r>
      <w:r w:rsidR="00041A14">
        <w:rPr>
          <w:rFonts w:ascii="Century Schoolbook" w:hAnsi="Century Schoolbook"/>
        </w:rPr>
        <w:t>.</w:t>
      </w:r>
      <w:r w:rsidR="00DA4ACF">
        <w:rPr>
          <w:rFonts w:ascii="Century Schoolbook" w:hAnsi="Century Schoolbook"/>
        </w:rPr>
        <w:t xml:space="preserve"> </w:t>
      </w:r>
      <w:r w:rsidR="00041A14">
        <w:rPr>
          <w:rFonts w:ascii="Century Schoolbook" w:hAnsi="Century Schoolbook"/>
        </w:rPr>
        <w:t>T</w:t>
      </w:r>
      <w:r w:rsidR="00DA4ACF">
        <w:rPr>
          <w:rFonts w:ascii="Century Schoolbook" w:hAnsi="Century Schoolbook"/>
        </w:rPr>
        <w:t>he Santa Rita Uni</w:t>
      </w:r>
      <w:r w:rsidR="001B6464">
        <w:rPr>
          <w:rFonts w:ascii="Century Schoolbook" w:hAnsi="Century Schoolbook"/>
        </w:rPr>
        <w:t xml:space="preserve">on </w:t>
      </w:r>
      <w:r w:rsidR="00DA4ACF">
        <w:rPr>
          <w:rFonts w:ascii="Century Schoolbook" w:hAnsi="Century Schoolbook"/>
        </w:rPr>
        <w:t xml:space="preserve">School </w:t>
      </w:r>
      <w:r w:rsidR="00DA4ACF">
        <w:rPr>
          <w:rFonts w:ascii="Century Schoolbook" w:hAnsi="Century Schoolbook"/>
        </w:rPr>
        <w:lastRenderedPageBreak/>
        <w:t xml:space="preserve">District (SRUSD) and the Salinas Union High School District (SUHSD; collectively, the Districts) </w:t>
      </w:r>
      <w:r w:rsidR="00041A14">
        <w:rPr>
          <w:rFonts w:ascii="Century Schoolbook" w:hAnsi="Century Schoolbook"/>
        </w:rPr>
        <w:t xml:space="preserve">contended that they would </w:t>
      </w:r>
      <w:r w:rsidR="00DA4ACF">
        <w:rPr>
          <w:rFonts w:ascii="Century Schoolbook" w:hAnsi="Century Schoolbook"/>
        </w:rPr>
        <w:t>never receiv</w:t>
      </w:r>
      <w:r w:rsidR="00041A14">
        <w:rPr>
          <w:rFonts w:ascii="Century Schoolbook" w:hAnsi="Century Schoolbook"/>
        </w:rPr>
        <w:t>e</w:t>
      </w:r>
      <w:r w:rsidR="00DA4ACF">
        <w:rPr>
          <w:rFonts w:ascii="Century Schoolbook" w:hAnsi="Century Schoolbook"/>
        </w:rPr>
        <w:t xml:space="preserve"> sufficient funding for these new </w:t>
      </w:r>
      <w:proofErr w:type="gramStart"/>
      <w:r w:rsidR="00DA4ACF">
        <w:rPr>
          <w:rFonts w:ascii="Century Schoolbook" w:hAnsi="Century Schoolbook"/>
        </w:rPr>
        <w:t>facilities</w:t>
      </w:r>
      <w:r w:rsidR="004279E5">
        <w:rPr>
          <w:rFonts w:ascii="Century Schoolbook" w:hAnsi="Century Schoolbook"/>
        </w:rPr>
        <w:t>, and</w:t>
      </w:r>
      <w:proofErr w:type="gramEnd"/>
      <w:r w:rsidR="004279E5">
        <w:rPr>
          <w:rFonts w:ascii="Century Schoolbook" w:hAnsi="Century Schoolbook"/>
        </w:rPr>
        <w:t xml:space="preserve"> </w:t>
      </w:r>
      <w:r w:rsidR="00041A14">
        <w:rPr>
          <w:rFonts w:ascii="Century Schoolbook" w:hAnsi="Century Schoolbook"/>
        </w:rPr>
        <w:t xml:space="preserve">would </w:t>
      </w:r>
      <w:r w:rsidR="004279E5">
        <w:rPr>
          <w:rFonts w:ascii="Century Schoolbook" w:hAnsi="Century Schoolbook"/>
        </w:rPr>
        <w:t>therefore hav</w:t>
      </w:r>
      <w:r w:rsidR="00041A14">
        <w:rPr>
          <w:rFonts w:ascii="Century Schoolbook" w:hAnsi="Century Schoolbook"/>
        </w:rPr>
        <w:t>e</w:t>
      </w:r>
      <w:r w:rsidR="004279E5">
        <w:rPr>
          <w:rFonts w:ascii="Century Schoolbook" w:hAnsi="Century Schoolbook"/>
        </w:rPr>
        <w:t xml:space="preserve"> to instead accommodate new students from residential development resulting from the Specific Plan at existing school</w:t>
      </w:r>
      <w:r w:rsidR="00DC3FD8">
        <w:rPr>
          <w:rFonts w:ascii="Century Schoolbook" w:hAnsi="Century Schoolbook"/>
        </w:rPr>
        <w:t xml:space="preserve"> sites</w:t>
      </w:r>
      <w:r w:rsidR="00471E5E">
        <w:rPr>
          <w:rFonts w:ascii="Century Schoolbook" w:hAnsi="Century Schoolbook"/>
        </w:rPr>
        <w:t xml:space="preserve"> or by other means</w:t>
      </w:r>
      <w:r w:rsidR="00DA4ACF">
        <w:rPr>
          <w:rFonts w:ascii="Century Schoolbook" w:hAnsi="Century Schoolbook"/>
        </w:rPr>
        <w:t xml:space="preserve">. The Project identified locations for new schools and the EIR addressed </w:t>
      </w:r>
      <w:r w:rsidR="00DC3FD8">
        <w:rPr>
          <w:rFonts w:ascii="Century Schoolbook" w:hAnsi="Century Schoolbook"/>
        </w:rPr>
        <w:t xml:space="preserve">anticipated </w:t>
      </w:r>
      <w:r w:rsidR="00DA4ACF">
        <w:rPr>
          <w:rFonts w:ascii="Century Schoolbook" w:hAnsi="Century Schoolbook"/>
        </w:rPr>
        <w:t>off-site impacts of</w:t>
      </w:r>
      <w:r w:rsidR="004279E5">
        <w:rPr>
          <w:rFonts w:ascii="Century Schoolbook" w:hAnsi="Century Schoolbook"/>
        </w:rPr>
        <w:t xml:space="preserve"> development</w:t>
      </w:r>
      <w:r w:rsidR="00DA4ACF">
        <w:rPr>
          <w:rFonts w:ascii="Century Schoolbook" w:hAnsi="Century Schoolbook"/>
        </w:rPr>
        <w:t xml:space="preserve"> at those sites. The City also imposed developer impact fees </w:t>
      </w:r>
      <w:r w:rsidR="001E6B01">
        <w:rPr>
          <w:rFonts w:ascii="Century Schoolbook" w:hAnsi="Century Schoolbook"/>
        </w:rPr>
        <w:t xml:space="preserve">for the Project </w:t>
      </w:r>
      <w:r w:rsidR="00DA4ACF">
        <w:rPr>
          <w:rFonts w:ascii="Century Schoolbook" w:hAnsi="Century Schoolbook"/>
        </w:rPr>
        <w:t xml:space="preserve">as set by the Districts </w:t>
      </w:r>
      <w:r w:rsidR="006720BA">
        <w:rPr>
          <w:rFonts w:ascii="Century Schoolbook" w:hAnsi="Century Schoolbook"/>
        </w:rPr>
        <w:t xml:space="preserve">under Education Code section 17620 </w:t>
      </w:r>
      <w:r w:rsidR="004279E5">
        <w:rPr>
          <w:rFonts w:ascii="Century Schoolbook" w:hAnsi="Century Schoolbook"/>
        </w:rPr>
        <w:t xml:space="preserve">and capped </w:t>
      </w:r>
      <w:r w:rsidR="00DA4ACF">
        <w:rPr>
          <w:rFonts w:ascii="Century Schoolbook" w:hAnsi="Century Schoolbook"/>
        </w:rPr>
        <w:t xml:space="preserve">under </w:t>
      </w:r>
      <w:r w:rsidR="004279E5">
        <w:rPr>
          <w:rFonts w:ascii="Century Schoolbook" w:hAnsi="Century Schoolbook"/>
        </w:rPr>
        <w:t xml:space="preserve">Government Code </w:t>
      </w:r>
      <w:r w:rsidR="00A72611">
        <w:rPr>
          <w:rFonts w:ascii="Century Schoolbook" w:hAnsi="Century Schoolbook"/>
        </w:rPr>
        <w:t xml:space="preserve">sections </w:t>
      </w:r>
      <w:r w:rsidR="0058070B">
        <w:rPr>
          <w:rFonts w:ascii="Century Schoolbook" w:hAnsi="Century Schoolbook"/>
        </w:rPr>
        <w:t xml:space="preserve">65995 </w:t>
      </w:r>
      <w:r w:rsidR="0058070B" w:rsidRPr="000A5E02">
        <w:rPr>
          <w:rFonts w:ascii="Century Schoolbook" w:hAnsi="Century Schoolbook"/>
        </w:rPr>
        <w:t>and 65996</w:t>
      </w:r>
      <w:r w:rsidR="00DA4ACF">
        <w:rPr>
          <w:rFonts w:ascii="Century Schoolbook" w:hAnsi="Century Schoolbook"/>
        </w:rPr>
        <w:t>,</w:t>
      </w:r>
      <w:r w:rsidR="0058070B">
        <w:rPr>
          <w:rFonts w:ascii="Century Schoolbook" w:hAnsi="Century Schoolbook"/>
        </w:rPr>
        <w:t xml:space="preserve"> deemed full and complete mitigation under CEQA for adverse impacts of </w:t>
      </w:r>
      <w:r w:rsidR="001E6B01">
        <w:rPr>
          <w:rFonts w:ascii="Century Schoolbook" w:hAnsi="Century Schoolbook"/>
        </w:rPr>
        <w:t>a project</w:t>
      </w:r>
      <w:r w:rsidR="0058070B">
        <w:rPr>
          <w:rFonts w:ascii="Century Schoolbook" w:hAnsi="Century Schoolbook"/>
        </w:rPr>
        <w:t xml:space="preserve"> on local school facilities. </w:t>
      </w:r>
    </w:p>
    <w:p w14:paraId="60E74C5F" w14:textId="591B7E3D" w:rsidR="00A40F03" w:rsidRDefault="001E6B01" w:rsidP="003406E7">
      <w:pPr>
        <w:rPr>
          <w:rFonts w:ascii="Century Schoolbook" w:hAnsi="Century Schoolbook"/>
        </w:rPr>
      </w:pPr>
      <w:r>
        <w:rPr>
          <w:rFonts w:ascii="Century Schoolbook" w:hAnsi="Century Schoolbook"/>
        </w:rPr>
        <w:tab/>
      </w:r>
      <w:r w:rsidR="00041A14">
        <w:rPr>
          <w:rFonts w:ascii="Century Schoolbook" w:hAnsi="Century Schoolbook"/>
        </w:rPr>
        <w:t>L</w:t>
      </w:r>
      <w:r w:rsidR="00CA230A">
        <w:rPr>
          <w:rFonts w:ascii="Century Schoolbook" w:hAnsi="Century Schoolbook"/>
        </w:rPr>
        <w:t xml:space="preserve">eading up to the approval </w:t>
      </w:r>
      <w:r w:rsidR="001B6464">
        <w:rPr>
          <w:rFonts w:ascii="Century Schoolbook" w:hAnsi="Century Schoolbook"/>
        </w:rPr>
        <w:t xml:space="preserve">of the Specific Plan </w:t>
      </w:r>
      <w:r w:rsidR="00CA230A">
        <w:rPr>
          <w:rFonts w:ascii="Century Schoolbook" w:hAnsi="Century Schoolbook"/>
        </w:rPr>
        <w:t xml:space="preserve">by the City </w:t>
      </w:r>
      <w:r w:rsidR="00C9102D">
        <w:rPr>
          <w:rFonts w:ascii="Century Schoolbook" w:hAnsi="Century Schoolbook"/>
        </w:rPr>
        <w:t xml:space="preserve">and </w:t>
      </w:r>
      <w:r w:rsidR="007107DC">
        <w:rPr>
          <w:rFonts w:ascii="Century Schoolbook" w:hAnsi="Century Schoolbook"/>
        </w:rPr>
        <w:t xml:space="preserve">its </w:t>
      </w:r>
      <w:r w:rsidR="00C9102D">
        <w:rPr>
          <w:rFonts w:ascii="Century Schoolbook" w:hAnsi="Century Schoolbook"/>
        </w:rPr>
        <w:t xml:space="preserve">certification of the </w:t>
      </w:r>
      <w:r w:rsidR="006720BA">
        <w:rPr>
          <w:rFonts w:ascii="Century Schoolbook" w:hAnsi="Century Schoolbook"/>
        </w:rPr>
        <w:t>F</w:t>
      </w:r>
      <w:r w:rsidR="0032779A">
        <w:rPr>
          <w:rFonts w:ascii="Century Schoolbook" w:hAnsi="Century Schoolbook"/>
        </w:rPr>
        <w:t xml:space="preserve">inal </w:t>
      </w:r>
      <w:r w:rsidR="00C9102D">
        <w:rPr>
          <w:rFonts w:ascii="Century Schoolbook" w:hAnsi="Century Schoolbook"/>
        </w:rPr>
        <w:t>EIR</w:t>
      </w:r>
      <w:r>
        <w:rPr>
          <w:rFonts w:ascii="Century Schoolbook" w:hAnsi="Century Schoolbook"/>
        </w:rPr>
        <w:t xml:space="preserve">, the Districts objected to </w:t>
      </w:r>
      <w:r w:rsidR="00041A14">
        <w:rPr>
          <w:rFonts w:ascii="Century Schoolbook" w:hAnsi="Century Schoolbook"/>
        </w:rPr>
        <w:t>the EIR’s</w:t>
      </w:r>
      <w:r>
        <w:rPr>
          <w:rFonts w:ascii="Century Schoolbook" w:hAnsi="Century Schoolbook"/>
        </w:rPr>
        <w:t xml:space="preserve"> adequacy</w:t>
      </w:r>
      <w:r w:rsidR="00041A14">
        <w:rPr>
          <w:rFonts w:ascii="Century Schoolbook" w:hAnsi="Century Schoolbook"/>
        </w:rPr>
        <w:t>.</w:t>
      </w:r>
      <w:r>
        <w:rPr>
          <w:rFonts w:ascii="Century Schoolbook" w:hAnsi="Century Schoolbook"/>
        </w:rPr>
        <w:t xml:space="preserve"> </w:t>
      </w:r>
      <w:r w:rsidR="00266247">
        <w:rPr>
          <w:rFonts w:ascii="Century Schoolbook" w:hAnsi="Century Schoolbook"/>
        </w:rPr>
        <w:t xml:space="preserve">They </w:t>
      </w:r>
      <w:r>
        <w:rPr>
          <w:rFonts w:ascii="Century Schoolbook" w:hAnsi="Century Schoolbook"/>
        </w:rPr>
        <w:t>contend</w:t>
      </w:r>
      <w:r w:rsidR="00266247">
        <w:rPr>
          <w:rFonts w:ascii="Century Schoolbook" w:hAnsi="Century Schoolbook"/>
        </w:rPr>
        <w:t>ed</w:t>
      </w:r>
      <w:r>
        <w:rPr>
          <w:rFonts w:ascii="Century Schoolbook" w:hAnsi="Century Schoolbook"/>
        </w:rPr>
        <w:t xml:space="preserve"> that </w:t>
      </w:r>
      <w:r w:rsidR="009B0F11">
        <w:rPr>
          <w:rFonts w:ascii="Century Schoolbook" w:hAnsi="Century Schoolbook"/>
        </w:rPr>
        <w:t xml:space="preserve">because of </w:t>
      </w:r>
      <w:r w:rsidR="00084FF7">
        <w:rPr>
          <w:rFonts w:ascii="Century Schoolbook" w:hAnsi="Century Schoolbook"/>
        </w:rPr>
        <w:t xml:space="preserve">present </w:t>
      </w:r>
      <w:r w:rsidR="009B0F11">
        <w:rPr>
          <w:rFonts w:ascii="Century Schoolbook" w:hAnsi="Century Schoolbook"/>
        </w:rPr>
        <w:t>insufficient school-facilities funding sources</w:t>
      </w:r>
      <w:r w:rsidR="00266247">
        <w:rPr>
          <w:rFonts w:ascii="Century Schoolbook" w:hAnsi="Century Schoolbook"/>
        </w:rPr>
        <w:t>—</w:t>
      </w:r>
      <w:r w:rsidR="00084FF7">
        <w:rPr>
          <w:rFonts w:ascii="Century Schoolbook" w:hAnsi="Century Schoolbook"/>
        </w:rPr>
        <w:t>a s</w:t>
      </w:r>
      <w:r w:rsidR="00CE5182">
        <w:rPr>
          <w:rFonts w:ascii="Century Schoolbook" w:hAnsi="Century Schoolbook"/>
        </w:rPr>
        <w:t>cenario</w:t>
      </w:r>
      <w:r w:rsidR="00084FF7">
        <w:rPr>
          <w:rFonts w:ascii="Century Schoolbook" w:hAnsi="Century Schoolbook"/>
        </w:rPr>
        <w:t xml:space="preserve"> they assumed would persist over the 20-30 year expected build-out of the Specific Plan</w:t>
      </w:r>
      <w:r w:rsidR="00266247">
        <w:rPr>
          <w:rFonts w:ascii="Century Schoolbook" w:hAnsi="Century Schoolbook"/>
        </w:rPr>
        <w:t>—</w:t>
      </w:r>
      <w:r w:rsidR="007107DC">
        <w:rPr>
          <w:rFonts w:ascii="Century Schoolbook" w:hAnsi="Century Schoolbook"/>
        </w:rPr>
        <w:t xml:space="preserve">the new schools contemplated by the Project </w:t>
      </w:r>
      <w:r w:rsidR="009B0F11">
        <w:rPr>
          <w:rFonts w:ascii="Century Schoolbook" w:hAnsi="Century Schoolbook"/>
        </w:rPr>
        <w:t xml:space="preserve">to accommodate </w:t>
      </w:r>
      <w:r w:rsidR="0032779A">
        <w:rPr>
          <w:rFonts w:ascii="Century Schoolbook" w:hAnsi="Century Schoolbook"/>
        </w:rPr>
        <w:t>increased enrollment</w:t>
      </w:r>
      <w:r w:rsidR="009B0F11">
        <w:rPr>
          <w:rFonts w:ascii="Century Schoolbook" w:hAnsi="Century Schoolbook"/>
        </w:rPr>
        <w:t xml:space="preserve"> </w:t>
      </w:r>
      <w:r w:rsidR="007107DC">
        <w:rPr>
          <w:rFonts w:ascii="Century Schoolbook" w:hAnsi="Century Schoolbook"/>
        </w:rPr>
        <w:t xml:space="preserve">would </w:t>
      </w:r>
      <w:r w:rsidR="0083133B">
        <w:rPr>
          <w:rFonts w:ascii="Century Schoolbook" w:hAnsi="Century Schoolbook"/>
        </w:rPr>
        <w:t xml:space="preserve">likely </w:t>
      </w:r>
      <w:r w:rsidR="007107DC">
        <w:rPr>
          <w:rFonts w:ascii="Century Schoolbook" w:hAnsi="Century Schoolbook"/>
        </w:rPr>
        <w:t>never be built</w:t>
      </w:r>
      <w:r w:rsidR="00266247">
        <w:rPr>
          <w:rFonts w:ascii="Century Schoolbook" w:hAnsi="Century Schoolbook"/>
        </w:rPr>
        <w:t>,</w:t>
      </w:r>
      <w:r w:rsidR="007107DC">
        <w:rPr>
          <w:rFonts w:ascii="Century Schoolbook" w:hAnsi="Century Schoolbook"/>
        </w:rPr>
        <w:t xml:space="preserve"> </w:t>
      </w:r>
      <w:r w:rsidR="00266247">
        <w:rPr>
          <w:rFonts w:ascii="Century Schoolbook" w:hAnsi="Century Schoolbook"/>
        </w:rPr>
        <w:t>and</w:t>
      </w:r>
      <w:r w:rsidR="007107DC">
        <w:rPr>
          <w:rFonts w:ascii="Century Schoolbook" w:hAnsi="Century Schoolbook"/>
        </w:rPr>
        <w:t xml:space="preserve"> that discussion </w:t>
      </w:r>
      <w:r w:rsidR="00C80DFF">
        <w:rPr>
          <w:rFonts w:ascii="Century Schoolbook" w:hAnsi="Century Schoolbook"/>
        </w:rPr>
        <w:t xml:space="preserve">in the Final EIR </w:t>
      </w:r>
      <w:r w:rsidR="00CA230A">
        <w:rPr>
          <w:rFonts w:ascii="Century Schoolbook" w:hAnsi="Century Schoolbook"/>
        </w:rPr>
        <w:t>of</w:t>
      </w:r>
      <w:r w:rsidR="000736FD">
        <w:rPr>
          <w:rFonts w:ascii="Century Schoolbook" w:hAnsi="Century Schoolbook"/>
        </w:rPr>
        <w:t xml:space="preserve"> </w:t>
      </w:r>
      <w:r w:rsidR="002A5CA4">
        <w:rPr>
          <w:rFonts w:ascii="Century Schoolbook" w:hAnsi="Century Schoolbook"/>
        </w:rPr>
        <w:t>indirect</w:t>
      </w:r>
      <w:r w:rsidR="008F3093">
        <w:rPr>
          <w:rFonts w:ascii="Century Schoolbook" w:hAnsi="Century Schoolbook"/>
        </w:rPr>
        <w:t>,</w:t>
      </w:r>
      <w:r w:rsidR="00D23932">
        <w:rPr>
          <w:rFonts w:ascii="Century Schoolbook" w:hAnsi="Century Schoolbook"/>
        </w:rPr>
        <w:t xml:space="preserve"> off-site </w:t>
      </w:r>
      <w:r w:rsidR="002A5CA4">
        <w:rPr>
          <w:rFonts w:ascii="Century Schoolbook" w:hAnsi="Century Schoolbook"/>
        </w:rPr>
        <w:t>environmental impacts</w:t>
      </w:r>
      <w:r w:rsidR="00C9102D">
        <w:rPr>
          <w:rFonts w:ascii="Century Schoolbook" w:hAnsi="Century Schoolbook"/>
        </w:rPr>
        <w:t xml:space="preserve"> related to </w:t>
      </w:r>
      <w:r w:rsidR="00CE5182">
        <w:rPr>
          <w:rFonts w:ascii="Century Schoolbook" w:hAnsi="Century Schoolbook"/>
        </w:rPr>
        <w:t>the Distric</w:t>
      </w:r>
      <w:r w:rsidR="00CE5182" w:rsidRPr="000676CA">
        <w:rPr>
          <w:rFonts w:ascii="Century Schoolbook" w:hAnsi="Century Schoolbook"/>
        </w:rPr>
        <w:t>ts</w:t>
      </w:r>
      <w:r w:rsidR="00CE5182">
        <w:rPr>
          <w:rFonts w:ascii="Century Schoolbook" w:hAnsi="Century Schoolbook"/>
        </w:rPr>
        <w:t xml:space="preserve"> </w:t>
      </w:r>
      <w:r w:rsidR="00266247">
        <w:rPr>
          <w:rFonts w:ascii="Century Schoolbook" w:hAnsi="Century Schoolbook"/>
        </w:rPr>
        <w:t>alternatively</w:t>
      </w:r>
      <w:r w:rsidR="00C80DFF">
        <w:rPr>
          <w:rFonts w:ascii="Century Schoolbook" w:hAnsi="Century Schoolbook"/>
        </w:rPr>
        <w:t xml:space="preserve"> </w:t>
      </w:r>
      <w:r w:rsidR="007107DC">
        <w:rPr>
          <w:rFonts w:ascii="Century Schoolbook" w:hAnsi="Century Schoolbook"/>
        </w:rPr>
        <w:t>accommodat</w:t>
      </w:r>
      <w:r w:rsidR="00266247">
        <w:rPr>
          <w:rFonts w:ascii="Century Schoolbook" w:hAnsi="Century Schoolbook"/>
        </w:rPr>
        <w:t>ing</w:t>
      </w:r>
      <w:r w:rsidR="00C80DFF">
        <w:rPr>
          <w:rFonts w:ascii="Century Schoolbook" w:hAnsi="Century Schoolbook"/>
        </w:rPr>
        <w:t xml:space="preserve"> </w:t>
      </w:r>
      <w:r w:rsidR="007107DC">
        <w:rPr>
          <w:rFonts w:ascii="Century Schoolbook" w:hAnsi="Century Schoolbook"/>
        </w:rPr>
        <w:t xml:space="preserve">new students </w:t>
      </w:r>
      <w:r w:rsidR="007523D0">
        <w:rPr>
          <w:rFonts w:ascii="Century Schoolbook" w:hAnsi="Century Schoolbook"/>
        </w:rPr>
        <w:t>by other means</w:t>
      </w:r>
      <w:r w:rsidR="00266247">
        <w:rPr>
          <w:rFonts w:ascii="Century Schoolbook" w:hAnsi="Century Schoolbook"/>
        </w:rPr>
        <w:t xml:space="preserve"> </w:t>
      </w:r>
      <w:r w:rsidR="00CA230A">
        <w:rPr>
          <w:rFonts w:ascii="Century Schoolbook" w:hAnsi="Century Schoolbook"/>
        </w:rPr>
        <w:t xml:space="preserve">was required </w:t>
      </w:r>
      <w:r w:rsidR="007107DC">
        <w:rPr>
          <w:rFonts w:ascii="Century Schoolbook" w:hAnsi="Century Schoolbook"/>
        </w:rPr>
        <w:t>under CEQA</w:t>
      </w:r>
      <w:r w:rsidR="002A5CA4">
        <w:rPr>
          <w:rFonts w:ascii="Century Schoolbook" w:hAnsi="Century Schoolbook"/>
        </w:rPr>
        <w:t xml:space="preserve">. </w:t>
      </w:r>
    </w:p>
    <w:p w14:paraId="4140FFFC" w14:textId="4E166C8D" w:rsidR="00603CF2" w:rsidRDefault="007D769C" w:rsidP="003406E7">
      <w:pPr>
        <w:rPr>
          <w:rFonts w:ascii="Century Schoolbook" w:hAnsi="Century Schoolbook"/>
        </w:rPr>
      </w:pPr>
      <w:r>
        <w:rPr>
          <w:rFonts w:ascii="Century Schoolbook" w:hAnsi="Century Schoolbook"/>
        </w:rPr>
        <w:tab/>
      </w:r>
      <w:r w:rsidR="002A5CA4">
        <w:rPr>
          <w:rFonts w:ascii="Century Schoolbook" w:hAnsi="Century Schoolbook"/>
        </w:rPr>
        <w:t xml:space="preserve">The City </w:t>
      </w:r>
      <w:r w:rsidR="008B698A">
        <w:rPr>
          <w:rFonts w:ascii="Century Schoolbook" w:hAnsi="Century Schoolbook"/>
        </w:rPr>
        <w:t xml:space="preserve">responded </w:t>
      </w:r>
      <w:r w:rsidR="00147B9C">
        <w:rPr>
          <w:rFonts w:ascii="Century Schoolbook" w:hAnsi="Century Schoolbook"/>
        </w:rPr>
        <w:t xml:space="preserve">to the Districts’ concerns </w:t>
      </w:r>
      <w:r w:rsidR="00EC4F9F">
        <w:rPr>
          <w:rFonts w:ascii="Century Schoolbook" w:hAnsi="Century Schoolbook"/>
        </w:rPr>
        <w:t xml:space="preserve">by explaining </w:t>
      </w:r>
      <w:r w:rsidR="002A5CA4">
        <w:rPr>
          <w:rFonts w:ascii="Century Schoolbook" w:hAnsi="Century Schoolbook"/>
        </w:rPr>
        <w:t>that</w:t>
      </w:r>
      <w:r w:rsidR="00CA230A">
        <w:rPr>
          <w:rFonts w:ascii="Century Schoolbook" w:hAnsi="Century Schoolbook"/>
        </w:rPr>
        <w:t xml:space="preserve"> </w:t>
      </w:r>
      <w:r w:rsidR="008713A0">
        <w:rPr>
          <w:rFonts w:ascii="Century Schoolbook" w:hAnsi="Century Schoolbook"/>
        </w:rPr>
        <w:t xml:space="preserve">the purpose for its having identified sites for new schools within the Project </w:t>
      </w:r>
      <w:r w:rsidR="000676CA">
        <w:rPr>
          <w:rFonts w:ascii="Century Schoolbook" w:hAnsi="Century Schoolbook"/>
        </w:rPr>
        <w:t xml:space="preserve">site </w:t>
      </w:r>
      <w:r w:rsidR="008713A0">
        <w:rPr>
          <w:rFonts w:ascii="Century Schoolbook" w:hAnsi="Century Schoolbook"/>
        </w:rPr>
        <w:t xml:space="preserve">was to ensure there was adequate land set aside for the development of new schools, and that </w:t>
      </w:r>
      <w:r w:rsidR="008B698A">
        <w:rPr>
          <w:rFonts w:ascii="Century Schoolbook" w:hAnsi="Century Schoolbook"/>
        </w:rPr>
        <w:t>the EIR had sufficiently analyzed potentially significant and reasonably foreseeable impacts related to new-school construction, as contemplated by the Project</w:t>
      </w:r>
      <w:r w:rsidR="00266247">
        <w:rPr>
          <w:rFonts w:ascii="Century Schoolbook" w:hAnsi="Century Schoolbook"/>
        </w:rPr>
        <w:t>.</w:t>
      </w:r>
      <w:r w:rsidR="00B22C18">
        <w:rPr>
          <w:rFonts w:ascii="Century Schoolbook" w:hAnsi="Century Schoolbook"/>
        </w:rPr>
        <w:t xml:space="preserve"> </w:t>
      </w:r>
      <w:r w:rsidR="003F50DA">
        <w:rPr>
          <w:rFonts w:ascii="Century Schoolbook" w:hAnsi="Century Schoolbook"/>
        </w:rPr>
        <w:t xml:space="preserve">At bottom, the City </w:t>
      </w:r>
      <w:r w:rsidR="00266247">
        <w:rPr>
          <w:rFonts w:ascii="Century Schoolbook" w:hAnsi="Century Schoolbook"/>
        </w:rPr>
        <w:t>maintained</w:t>
      </w:r>
      <w:r w:rsidR="003F50DA">
        <w:rPr>
          <w:rFonts w:ascii="Century Schoolbook" w:hAnsi="Century Schoolbook"/>
        </w:rPr>
        <w:t xml:space="preserve"> that the information relayed by the Districts—all premised on the assumption that </w:t>
      </w:r>
      <w:r w:rsidR="003F50DA">
        <w:rPr>
          <w:rFonts w:ascii="Century Schoolbook" w:hAnsi="Century Schoolbook"/>
        </w:rPr>
        <w:lastRenderedPageBreak/>
        <w:t>sufficient funding to build new schools as contemplated by the Specific Plan would not become available over the next 20</w:t>
      </w:r>
      <w:r w:rsidR="00A72611">
        <w:rPr>
          <w:rFonts w:ascii="Century Schoolbook" w:hAnsi="Century Schoolbook"/>
        </w:rPr>
        <w:noBreakHyphen/>
      </w:r>
      <w:r w:rsidR="003F50DA">
        <w:rPr>
          <w:rFonts w:ascii="Century Schoolbook" w:hAnsi="Century Schoolbook"/>
        </w:rPr>
        <w:t xml:space="preserve">30 years—amounted to no more than speculation and uncertainty not requiring further environmental review or response. The City further posited that no meaningful review </w:t>
      </w:r>
      <w:r w:rsidR="00084FF7">
        <w:rPr>
          <w:rFonts w:ascii="Century Schoolbook" w:hAnsi="Century Schoolbook"/>
        </w:rPr>
        <w:t xml:space="preserve">or analysis </w:t>
      </w:r>
      <w:r w:rsidR="003F50DA">
        <w:rPr>
          <w:rFonts w:ascii="Century Schoolbook" w:hAnsi="Century Schoolbook"/>
        </w:rPr>
        <w:t>of suggested indirect and off-site impacts from the District</w:t>
      </w:r>
      <w:r w:rsidR="003F50DA" w:rsidRPr="002E5EDD">
        <w:rPr>
          <w:rFonts w:ascii="Century Schoolbook" w:hAnsi="Century Schoolbook"/>
        </w:rPr>
        <w:t>s</w:t>
      </w:r>
      <w:r w:rsidR="003F50DA">
        <w:rPr>
          <w:rFonts w:ascii="Century Schoolbook" w:hAnsi="Century Schoolbook"/>
        </w:rPr>
        <w:t xml:space="preserve"> alternatively accommodating new students at existing sites </w:t>
      </w:r>
      <w:r w:rsidR="00266247">
        <w:rPr>
          <w:rFonts w:ascii="Century Schoolbook" w:hAnsi="Century Schoolbook"/>
        </w:rPr>
        <w:t xml:space="preserve">or in other ways </w:t>
      </w:r>
      <w:r w:rsidR="003F50DA">
        <w:rPr>
          <w:rFonts w:ascii="Century Schoolbook" w:hAnsi="Century Schoolbook"/>
        </w:rPr>
        <w:t>could be conducted in any event based on the type of vague</w:t>
      </w:r>
      <w:r w:rsidR="00084FF7">
        <w:rPr>
          <w:rFonts w:ascii="Century Schoolbook" w:hAnsi="Century Schoolbook"/>
        </w:rPr>
        <w:t>, uncertain,</w:t>
      </w:r>
      <w:r w:rsidR="003F50DA">
        <w:rPr>
          <w:rFonts w:ascii="Century Schoolbook" w:hAnsi="Century Schoolbook"/>
        </w:rPr>
        <w:t xml:space="preserve"> and generalized information </w:t>
      </w:r>
      <w:r w:rsidR="00B77042">
        <w:rPr>
          <w:rFonts w:ascii="Century Schoolbook" w:hAnsi="Century Schoolbook"/>
        </w:rPr>
        <w:t xml:space="preserve">on alternatives </w:t>
      </w:r>
      <w:r w:rsidR="00266247">
        <w:rPr>
          <w:rFonts w:ascii="Century Schoolbook" w:hAnsi="Century Schoolbook"/>
        </w:rPr>
        <w:t xml:space="preserve">the Districts had </w:t>
      </w:r>
      <w:r w:rsidR="003F50DA">
        <w:rPr>
          <w:rFonts w:ascii="Century Schoolbook" w:hAnsi="Century Schoolbook"/>
        </w:rPr>
        <w:t>provided.</w:t>
      </w:r>
      <w:r w:rsidR="008B698A">
        <w:rPr>
          <w:rFonts w:ascii="Century Schoolbook" w:hAnsi="Century Schoolbook"/>
        </w:rPr>
        <w:t xml:space="preserve"> </w:t>
      </w:r>
      <w:r w:rsidR="003F50DA">
        <w:rPr>
          <w:rFonts w:ascii="Century Schoolbook" w:hAnsi="Century Schoolbook"/>
        </w:rPr>
        <w:t>T</w:t>
      </w:r>
      <w:r w:rsidR="008B698A">
        <w:rPr>
          <w:rFonts w:ascii="Century Schoolbook" w:hAnsi="Century Schoolbook"/>
        </w:rPr>
        <w:t xml:space="preserve">he City </w:t>
      </w:r>
      <w:r w:rsidR="003F50DA">
        <w:rPr>
          <w:rFonts w:ascii="Century Schoolbook" w:hAnsi="Century Schoolbook"/>
        </w:rPr>
        <w:t>also</w:t>
      </w:r>
      <w:r w:rsidR="00EC0FF0">
        <w:rPr>
          <w:rFonts w:ascii="Century Schoolbook" w:hAnsi="Century Schoolbook"/>
        </w:rPr>
        <w:t xml:space="preserve"> re</w:t>
      </w:r>
      <w:r w:rsidR="00147B9C">
        <w:rPr>
          <w:rFonts w:ascii="Century Schoolbook" w:hAnsi="Century Schoolbook"/>
        </w:rPr>
        <w:t>spond</w:t>
      </w:r>
      <w:r w:rsidR="008B698A">
        <w:rPr>
          <w:rFonts w:ascii="Century Schoolbook" w:hAnsi="Century Schoolbook"/>
        </w:rPr>
        <w:t>ed that</w:t>
      </w:r>
      <w:r w:rsidR="00266247">
        <w:rPr>
          <w:rFonts w:ascii="Century Schoolbook" w:hAnsi="Century Schoolbook"/>
        </w:rPr>
        <w:t xml:space="preserve">, for various specified </w:t>
      </w:r>
      <w:r w:rsidR="007523D0">
        <w:rPr>
          <w:rFonts w:ascii="Century Schoolbook" w:hAnsi="Century Schoolbook"/>
        </w:rPr>
        <w:t xml:space="preserve">other </w:t>
      </w:r>
      <w:r w:rsidR="00266247">
        <w:rPr>
          <w:rFonts w:ascii="Century Schoolbook" w:hAnsi="Century Schoolbook"/>
        </w:rPr>
        <w:t xml:space="preserve">reasons, CEQA did not require further review or analysis of potential impacts from the Districts’ </w:t>
      </w:r>
      <w:r w:rsidR="002529FE">
        <w:rPr>
          <w:rFonts w:ascii="Century Schoolbook" w:hAnsi="Century Schoolbook"/>
        </w:rPr>
        <w:t>suggested</w:t>
      </w:r>
      <w:r w:rsidR="00266247">
        <w:rPr>
          <w:rFonts w:ascii="Century Schoolbook" w:hAnsi="Century Schoolbook"/>
        </w:rPr>
        <w:t xml:space="preserve"> alternatives for accommodating increased enrollment. </w:t>
      </w:r>
    </w:p>
    <w:p w14:paraId="7CE12D50" w14:textId="67D71A40" w:rsidR="005A7C79" w:rsidRDefault="00EC0FF0" w:rsidP="005A7C79">
      <w:pPr>
        <w:rPr>
          <w:rFonts w:ascii="Century Schoolbook" w:hAnsi="Century Schoolbook"/>
        </w:rPr>
      </w:pPr>
      <w:r>
        <w:rPr>
          <w:rFonts w:ascii="Century Schoolbook" w:hAnsi="Century Schoolbook"/>
        </w:rPr>
        <w:tab/>
      </w:r>
      <w:r w:rsidR="00EF79A0">
        <w:rPr>
          <w:rFonts w:ascii="Century Schoolbook" w:hAnsi="Century Schoolbook"/>
        </w:rPr>
        <w:t>After the City approved the Project and certified the Final EIR, t</w:t>
      </w:r>
      <w:r w:rsidR="00B43F7B">
        <w:rPr>
          <w:rFonts w:ascii="Century Schoolbook" w:hAnsi="Century Schoolbook"/>
        </w:rPr>
        <w:t>he Districts</w:t>
      </w:r>
      <w:r w:rsidR="008E2877">
        <w:rPr>
          <w:rFonts w:ascii="Century Schoolbook" w:hAnsi="Century Schoolbook"/>
        </w:rPr>
        <w:t xml:space="preserve"> </w:t>
      </w:r>
      <w:r w:rsidR="00EF79A0">
        <w:rPr>
          <w:rFonts w:ascii="Century Schoolbook" w:hAnsi="Century Schoolbook"/>
        </w:rPr>
        <w:t>petitioned the trial court for relief in mandate</w:t>
      </w:r>
      <w:r w:rsidR="00755EEC">
        <w:rPr>
          <w:rFonts w:ascii="Century Schoolbook" w:hAnsi="Century Schoolbook"/>
        </w:rPr>
        <w:t>, raising the same c</w:t>
      </w:r>
      <w:r w:rsidR="00B22C18">
        <w:rPr>
          <w:rFonts w:ascii="Century Schoolbook" w:hAnsi="Century Schoolbook"/>
        </w:rPr>
        <w:t xml:space="preserve">hallenges to the adequacy of the Final EIR as were asserted in their prior </w:t>
      </w:r>
      <w:r w:rsidR="00084FF7">
        <w:rPr>
          <w:rFonts w:ascii="Century Schoolbook" w:hAnsi="Century Schoolbook"/>
        </w:rPr>
        <w:t xml:space="preserve">letters and </w:t>
      </w:r>
      <w:r w:rsidR="00B22C18">
        <w:rPr>
          <w:rFonts w:ascii="Century Schoolbook" w:hAnsi="Century Schoolbook"/>
        </w:rPr>
        <w:t>public comments</w:t>
      </w:r>
      <w:r w:rsidR="00EF79A0">
        <w:rPr>
          <w:rFonts w:ascii="Century Schoolbook" w:hAnsi="Century Schoolbook"/>
        </w:rPr>
        <w:t>. T</w:t>
      </w:r>
      <w:r w:rsidR="005A7C79">
        <w:rPr>
          <w:rFonts w:ascii="Century Schoolbook" w:hAnsi="Century Schoolbook"/>
        </w:rPr>
        <w:t>he trial court</w:t>
      </w:r>
      <w:r w:rsidR="002529FE">
        <w:rPr>
          <w:rFonts w:ascii="Century Schoolbook" w:hAnsi="Century Schoolbook"/>
        </w:rPr>
        <w:t>, applying independent review,</w:t>
      </w:r>
      <w:r w:rsidR="005A7C79">
        <w:rPr>
          <w:rFonts w:ascii="Century Schoolbook" w:hAnsi="Century Schoolbook"/>
        </w:rPr>
        <w:t xml:space="preserve"> determined that the Final EIR was insufficient because it “failed to include discussion of potential off-site environmental impacts resulting from the [Specific Plan] due to [the Districts’] presented concerns that [they] will lack funding to build the proposed new school sites identified.” The court further determined that the Final EIR “failed to adequately respond to comments made by [the Districts] with regard to potential off-site impacts.” Thus, the court </w:t>
      </w:r>
      <w:r w:rsidR="001B6464">
        <w:rPr>
          <w:rFonts w:ascii="Century Schoolbook" w:hAnsi="Century Schoolbook"/>
        </w:rPr>
        <w:t>determined</w:t>
      </w:r>
      <w:r w:rsidR="005A7C79">
        <w:rPr>
          <w:rFonts w:ascii="Century Schoolbook" w:hAnsi="Century Schoolbook"/>
        </w:rPr>
        <w:t xml:space="preserve">, the City had failed to proceed in the manner required by CEQA, and it granted narrow writ relief. The court did not set aside prior Project approvals, instead imposing severance </w:t>
      </w:r>
      <w:r w:rsidR="0083133B">
        <w:rPr>
          <w:rFonts w:ascii="Century Schoolbook" w:hAnsi="Century Schoolbook"/>
        </w:rPr>
        <w:t xml:space="preserve">under section </w:t>
      </w:r>
      <w:r w:rsidR="00755EEC">
        <w:rPr>
          <w:rFonts w:ascii="Century Schoolbook" w:hAnsi="Century Schoolbook"/>
        </w:rPr>
        <w:t>21168.9</w:t>
      </w:r>
      <w:r w:rsidR="0083133B">
        <w:rPr>
          <w:rFonts w:ascii="Century Schoolbook" w:hAnsi="Century Schoolbook"/>
        </w:rPr>
        <w:t xml:space="preserve"> </w:t>
      </w:r>
      <w:r w:rsidR="005A7C79">
        <w:rPr>
          <w:rFonts w:ascii="Century Schoolbook" w:hAnsi="Century Schoolbook"/>
        </w:rPr>
        <w:t xml:space="preserve">and requiring the City to “prepare additional discussion of potential off-site environmental impacts” and to “provide more detailed responses to [the Districts’] comments” </w:t>
      </w:r>
      <w:r w:rsidR="005A7C79">
        <w:rPr>
          <w:rFonts w:ascii="Century Schoolbook" w:hAnsi="Century Schoolbook"/>
        </w:rPr>
        <w:lastRenderedPageBreak/>
        <w:t xml:space="preserve">about the “potential off-site impacts” before granting any further development entitlements within the Specific Plan. </w:t>
      </w:r>
    </w:p>
    <w:p w14:paraId="0EB73B4C" w14:textId="1C032FE8" w:rsidR="005A7C79" w:rsidRDefault="005A7C79" w:rsidP="005A7C79">
      <w:pPr>
        <w:rPr>
          <w:rFonts w:ascii="Century Schoolbook" w:hAnsi="Century Schoolbook"/>
        </w:rPr>
      </w:pPr>
      <w:r>
        <w:rPr>
          <w:rFonts w:ascii="Century Schoolbook" w:hAnsi="Century Schoolbook"/>
        </w:rPr>
        <w:tab/>
        <w:t xml:space="preserve">The City chose to voluntarily comply with the trial court’s judgment and writ </w:t>
      </w:r>
      <w:proofErr w:type="gramStart"/>
      <w:r>
        <w:rPr>
          <w:rFonts w:ascii="Century Schoolbook" w:hAnsi="Century Schoolbook"/>
        </w:rPr>
        <w:t xml:space="preserve">in </w:t>
      </w:r>
      <w:r w:rsidR="002E5EDD">
        <w:rPr>
          <w:rFonts w:ascii="Century Schoolbook" w:hAnsi="Century Schoolbook"/>
        </w:rPr>
        <w:t xml:space="preserve">an </w:t>
      </w:r>
      <w:r>
        <w:rPr>
          <w:rFonts w:ascii="Century Schoolbook" w:hAnsi="Century Schoolbook"/>
        </w:rPr>
        <w:t>attempt to</w:t>
      </w:r>
      <w:proofErr w:type="gramEnd"/>
      <w:r>
        <w:rPr>
          <w:rFonts w:ascii="Century Schoolbook" w:hAnsi="Century Schoolbook"/>
        </w:rPr>
        <w:t xml:space="preserve"> cure the narrow defects in the Specific Plan EIR as identified by the trial court, and it did not appeal. But real parties in interest Rexford Title, Inc., et al.,</w:t>
      </w:r>
      <w:r>
        <w:rPr>
          <w:rStyle w:val="FootnoteReference"/>
          <w:rFonts w:ascii="Century Schoolbook" w:hAnsi="Century Schoolbook"/>
        </w:rPr>
        <w:footnoteReference w:id="1"/>
      </w:r>
      <w:r>
        <w:rPr>
          <w:rFonts w:ascii="Century Schoolbook" w:hAnsi="Century Schoolbook"/>
        </w:rPr>
        <w:t xml:space="preserve"> appealed from the judgment, defending the City’s actions as compliant with CEQA as against potential claims for attorney fees based on the Districts having prevailed in the trial court. </w:t>
      </w:r>
    </w:p>
    <w:p w14:paraId="12E37BC0" w14:textId="49E4EF3F" w:rsidR="00931DF3" w:rsidRPr="004B0B9B" w:rsidRDefault="005A7C79" w:rsidP="003406E7">
      <w:pPr>
        <w:rPr>
          <w:rFonts w:ascii="Century Schoolbook" w:hAnsi="Century Schoolbook"/>
        </w:rPr>
      </w:pPr>
      <w:r>
        <w:rPr>
          <w:rFonts w:ascii="Century Schoolbook" w:hAnsi="Century Schoolbook"/>
        </w:rPr>
        <w:tab/>
        <w:t>We conclude that the Final EIR for the Specific Plan complied with CEQA with respect to the Districts’ challenges</w:t>
      </w:r>
      <w:r w:rsidR="00617384">
        <w:rPr>
          <w:rFonts w:ascii="Century Schoolbook" w:hAnsi="Century Schoolbook"/>
        </w:rPr>
        <w:t xml:space="preserve">. </w:t>
      </w:r>
      <w:r w:rsidR="00B22C18">
        <w:rPr>
          <w:rFonts w:ascii="Century Schoolbook" w:hAnsi="Century Schoolbook"/>
        </w:rPr>
        <w:t xml:space="preserve">The EIR and its accompanying analysis of environmental impacts properly assumed that </w:t>
      </w:r>
      <w:r w:rsidR="00BD7E18">
        <w:rPr>
          <w:rFonts w:ascii="Century Schoolbook" w:hAnsi="Century Schoolbook"/>
        </w:rPr>
        <w:t xml:space="preserve">the contemplated </w:t>
      </w:r>
      <w:r w:rsidR="00B22C18">
        <w:rPr>
          <w:rFonts w:ascii="Century Schoolbook" w:hAnsi="Century Schoolbook"/>
        </w:rPr>
        <w:t>new schools would be built as part of the Specific Plan and Project</w:t>
      </w:r>
      <w:r w:rsidR="005154C6">
        <w:rPr>
          <w:rFonts w:ascii="Century Schoolbook" w:hAnsi="Century Schoolbook"/>
        </w:rPr>
        <w:t>. Further,</w:t>
      </w:r>
      <w:r w:rsidR="00B22C18">
        <w:rPr>
          <w:rFonts w:ascii="Century Schoolbook" w:hAnsi="Century Schoolbook"/>
        </w:rPr>
        <w:t xml:space="preserve"> the City </w:t>
      </w:r>
      <w:r w:rsidR="00BE1A57">
        <w:rPr>
          <w:rFonts w:ascii="Century Schoolbook" w:hAnsi="Century Schoolbook"/>
        </w:rPr>
        <w:t>imposed developer impact fees as full and complete mitigation for impacts of the Project on school facilities</w:t>
      </w:r>
      <w:r w:rsidR="002529FE">
        <w:rPr>
          <w:rFonts w:ascii="Century Schoolbook" w:hAnsi="Century Schoolbook"/>
        </w:rPr>
        <w:t>.</w:t>
      </w:r>
      <w:r w:rsidR="00BE1A57">
        <w:rPr>
          <w:rFonts w:ascii="Century Schoolbook" w:hAnsi="Century Schoolbook"/>
        </w:rPr>
        <w:t xml:space="preserve"> </w:t>
      </w:r>
      <w:r w:rsidR="002529FE">
        <w:rPr>
          <w:rFonts w:ascii="Century Schoolbook" w:hAnsi="Century Schoolbook"/>
        </w:rPr>
        <w:t>A</w:t>
      </w:r>
      <w:r w:rsidR="00BE1A57">
        <w:rPr>
          <w:rFonts w:ascii="Century Schoolbook" w:hAnsi="Century Schoolbook"/>
        </w:rPr>
        <w:t xml:space="preserve">nd </w:t>
      </w:r>
      <w:r w:rsidR="003C041C">
        <w:rPr>
          <w:rFonts w:ascii="Century Schoolbook" w:hAnsi="Century Schoolbook"/>
        </w:rPr>
        <w:t xml:space="preserve">it provided mitigation measures to the extent feasible for potentially significant off-site impacts related to the development of the new schools, recognizing that the Districts themselves would need to later address any project-specific impacts. The City </w:t>
      </w:r>
      <w:r w:rsidR="00B22C18">
        <w:rPr>
          <w:rFonts w:ascii="Century Schoolbook" w:hAnsi="Century Schoolbook"/>
        </w:rPr>
        <w:t xml:space="preserve">was not required to analyze </w:t>
      </w:r>
      <w:r w:rsidR="005154C6">
        <w:rPr>
          <w:rFonts w:ascii="Century Schoolbook" w:hAnsi="Century Schoolbook"/>
        </w:rPr>
        <w:t xml:space="preserve">any </w:t>
      </w:r>
      <w:r w:rsidR="00B22C18">
        <w:rPr>
          <w:rFonts w:ascii="Century Schoolbook" w:hAnsi="Century Schoolbook"/>
        </w:rPr>
        <w:t xml:space="preserve">potentially significant </w:t>
      </w:r>
      <w:r w:rsidR="005154C6">
        <w:rPr>
          <w:rFonts w:ascii="Century Schoolbook" w:hAnsi="Century Schoolbook"/>
        </w:rPr>
        <w:t xml:space="preserve">off-site </w:t>
      </w:r>
      <w:r w:rsidR="00B22C18">
        <w:rPr>
          <w:rFonts w:ascii="Century Schoolbook" w:hAnsi="Century Schoolbook"/>
        </w:rPr>
        <w:t xml:space="preserve">impacts of </w:t>
      </w:r>
      <w:r w:rsidR="00BD7E18">
        <w:rPr>
          <w:rFonts w:ascii="Century Schoolbook" w:hAnsi="Century Schoolbook"/>
        </w:rPr>
        <w:t>ill-defined</w:t>
      </w:r>
      <w:r w:rsidR="005154C6">
        <w:rPr>
          <w:rFonts w:ascii="Century Schoolbook" w:hAnsi="Century Schoolbook"/>
        </w:rPr>
        <w:t>, uncertain,</w:t>
      </w:r>
      <w:r w:rsidR="00084FF7">
        <w:rPr>
          <w:rFonts w:ascii="Century Schoolbook" w:hAnsi="Century Schoolbook"/>
        </w:rPr>
        <w:t xml:space="preserve"> generalized, </w:t>
      </w:r>
      <w:r w:rsidR="005154C6">
        <w:rPr>
          <w:rFonts w:ascii="Century Schoolbook" w:hAnsi="Century Schoolbook"/>
        </w:rPr>
        <w:t xml:space="preserve">and speculative </w:t>
      </w:r>
      <w:r w:rsidR="00B22C18">
        <w:rPr>
          <w:rFonts w:ascii="Century Schoolbook" w:hAnsi="Century Schoolbook"/>
        </w:rPr>
        <w:t xml:space="preserve">alternatives to </w:t>
      </w:r>
      <w:r w:rsidR="00147B9C">
        <w:rPr>
          <w:rFonts w:ascii="Century Schoolbook" w:hAnsi="Century Schoolbook"/>
        </w:rPr>
        <w:t>new</w:t>
      </w:r>
      <w:r w:rsidR="004B14D9">
        <w:rPr>
          <w:rFonts w:ascii="Century Schoolbook" w:hAnsi="Century Schoolbook"/>
        </w:rPr>
        <w:t>-</w:t>
      </w:r>
      <w:r w:rsidR="00E70D55">
        <w:rPr>
          <w:rFonts w:ascii="Century Schoolbook" w:hAnsi="Century Schoolbook"/>
        </w:rPr>
        <w:t>school</w:t>
      </w:r>
      <w:r w:rsidR="00FF0EF4">
        <w:rPr>
          <w:rFonts w:ascii="Century Schoolbook" w:hAnsi="Century Schoolbook"/>
        </w:rPr>
        <w:t xml:space="preserve"> </w:t>
      </w:r>
      <w:r w:rsidR="00B22C18">
        <w:rPr>
          <w:rFonts w:ascii="Century Schoolbook" w:hAnsi="Century Schoolbook"/>
        </w:rPr>
        <w:t>construction</w:t>
      </w:r>
      <w:r w:rsidR="004B14D9">
        <w:rPr>
          <w:rFonts w:ascii="Century Schoolbook" w:hAnsi="Century Schoolbook"/>
        </w:rPr>
        <w:t>, as</w:t>
      </w:r>
      <w:r w:rsidR="00B22C18">
        <w:rPr>
          <w:rFonts w:ascii="Century Schoolbook" w:hAnsi="Century Schoolbook"/>
        </w:rPr>
        <w:t xml:space="preserve"> </w:t>
      </w:r>
      <w:r w:rsidR="003C041C">
        <w:rPr>
          <w:rFonts w:ascii="Century Schoolbook" w:hAnsi="Century Schoolbook"/>
        </w:rPr>
        <w:t>offered by the Districts</w:t>
      </w:r>
      <w:r w:rsidR="004B14D9">
        <w:rPr>
          <w:rFonts w:ascii="Century Schoolbook" w:hAnsi="Century Schoolbook"/>
        </w:rPr>
        <w:t xml:space="preserve">. </w:t>
      </w:r>
      <w:r w:rsidR="003C041C">
        <w:rPr>
          <w:rFonts w:ascii="Century Schoolbook" w:hAnsi="Century Schoolbook"/>
        </w:rPr>
        <w:t xml:space="preserve"> </w:t>
      </w:r>
      <w:r w:rsidR="00F96225">
        <w:rPr>
          <w:rFonts w:ascii="Century Schoolbook" w:hAnsi="Century Schoolbook"/>
        </w:rPr>
        <w:lastRenderedPageBreak/>
        <w:t>T</w:t>
      </w:r>
      <w:r w:rsidR="004B14D9">
        <w:rPr>
          <w:rFonts w:ascii="Century Schoolbook" w:hAnsi="Century Schoolbook"/>
        </w:rPr>
        <w:t xml:space="preserve">hese </w:t>
      </w:r>
      <w:r w:rsidR="00604ADA">
        <w:rPr>
          <w:rFonts w:ascii="Century Schoolbook" w:hAnsi="Century Schoolbook"/>
        </w:rPr>
        <w:t xml:space="preserve">what-if </w:t>
      </w:r>
      <w:r w:rsidR="004B14D9">
        <w:rPr>
          <w:rFonts w:ascii="Century Schoolbook" w:hAnsi="Century Schoolbook"/>
        </w:rPr>
        <w:t xml:space="preserve">alternatives were </w:t>
      </w:r>
      <w:r w:rsidR="00F96225">
        <w:rPr>
          <w:rFonts w:ascii="Century Schoolbook" w:hAnsi="Century Schoolbook"/>
        </w:rPr>
        <w:t xml:space="preserve">all </w:t>
      </w:r>
      <w:r w:rsidR="00BD7E18">
        <w:rPr>
          <w:rFonts w:ascii="Century Schoolbook" w:hAnsi="Century Schoolbook"/>
        </w:rPr>
        <w:t>premi</w:t>
      </w:r>
      <w:r w:rsidR="00B22C18">
        <w:rPr>
          <w:rFonts w:ascii="Century Schoolbook" w:hAnsi="Century Schoolbook"/>
        </w:rPr>
        <w:t xml:space="preserve">sed on </w:t>
      </w:r>
      <w:r w:rsidR="00FF0EF4">
        <w:rPr>
          <w:rFonts w:ascii="Century Schoolbook" w:hAnsi="Century Schoolbook"/>
        </w:rPr>
        <w:t xml:space="preserve">the </w:t>
      </w:r>
      <w:r w:rsidR="00B77042">
        <w:rPr>
          <w:rFonts w:ascii="Century Schoolbook" w:hAnsi="Century Schoolbook"/>
        </w:rPr>
        <w:t xml:space="preserve">mere </w:t>
      </w:r>
      <w:r w:rsidR="00FF0EF4">
        <w:rPr>
          <w:rFonts w:ascii="Century Schoolbook" w:hAnsi="Century Schoolbook"/>
        </w:rPr>
        <w:t>assumption of</w:t>
      </w:r>
      <w:r w:rsidR="00B22C18">
        <w:rPr>
          <w:rFonts w:ascii="Century Schoolbook" w:hAnsi="Century Schoolbook"/>
        </w:rPr>
        <w:t xml:space="preserve"> insufficient</w:t>
      </w:r>
      <w:r w:rsidR="003C041C">
        <w:rPr>
          <w:rFonts w:ascii="Century Schoolbook" w:hAnsi="Century Schoolbook"/>
        </w:rPr>
        <w:t xml:space="preserve"> </w:t>
      </w:r>
      <w:r w:rsidR="00B22C18">
        <w:rPr>
          <w:rFonts w:ascii="Century Schoolbook" w:hAnsi="Century Schoolbook"/>
        </w:rPr>
        <w:t>funding</w:t>
      </w:r>
      <w:r w:rsidR="00FF0EF4">
        <w:rPr>
          <w:rFonts w:ascii="Century Schoolbook" w:hAnsi="Century Schoolbook"/>
        </w:rPr>
        <w:t xml:space="preserve"> over the next several decades</w:t>
      </w:r>
      <w:r w:rsidR="00B37C9C">
        <w:rPr>
          <w:rFonts w:ascii="Century Schoolbook" w:hAnsi="Century Schoolbook"/>
        </w:rPr>
        <w:t xml:space="preserve"> </w:t>
      </w:r>
      <w:r w:rsidR="00D826A8">
        <w:rPr>
          <w:rFonts w:ascii="Century Schoolbook" w:hAnsi="Century Schoolbook"/>
        </w:rPr>
        <w:t>that would preclude</w:t>
      </w:r>
      <w:r w:rsidR="00314A3C">
        <w:rPr>
          <w:rFonts w:ascii="Century Schoolbook" w:hAnsi="Century Schoolbook"/>
        </w:rPr>
        <w:t xml:space="preserve"> </w:t>
      </w:r>
      <w:r w:rsidR="00D2470A">
        <w:rPr>
          <w:rFonts w:ascii="Century Schoolbook" w:hAnsi="Century Schoolbook"/>
        </w:rPr>
        <w:t xml:space="preserve">the new schools contemplated by </w:t>
      </w:r>
      <w:r w:rsidR="002529FE">
        <w:rPr>
          <w:rFonts w:ascii="Century Schoolbook" w:hAnsi="Century Schoolbook"/>
        </w:rPr>
        <w:t xml:space="preserve">the Specific Plan </w:t>
      </w:r>
      <w:r w:rsidR="00D2470A">
        <w:rPr>
          <w:rFonts w:ascii="Century Schoolbook" w:hAnsi="Century Schoolbook"/>
        </w:rPr>
        <w:t xml:space="preserve">from </w:t>
      </w:r>
      <w:r w:rsidR="00084FF7">
        <w:rPr>
          <w:rFonts w:ascii="Century Schoolbook" w:hAnsi="Century Schoolbook"/>
        </w:rPr>
        <w:t xml:space="preserve">ever </w:t>
      </w:r>
      <w:r w:rsidR="00D2470A">
        <w:rPr>
          <w:rFonts w:ascii="Century Schoolbook" w:hAnsi="Century Schoolbook"/>
        </w:rPr>
        <w:t>being built</w:t>
      </w:r>
      <w:r w:rsidR="00BD7E18">
        <w:rPr>
          <w:rFonts w:ascii="Century Schoolbook" w:hAnsi="Century Schoolbook"/>
        </w:rPr>
        <w:t xml:space="preserve">. </w:t>
      </w:r>
      <w:r w:rsidR="00617384">
        <w:rPr>
          <w:rFonts w:ascii="Century Schoolbook" w:hAnsi="Century Schoolbook"/>
        </w:rPr>
        <w:t xml:space="preserve">The Districts’ </w:t>
      </w:r>
      <w:r w:rsidR="00BD7E18">
        <w:rPr>
          <w:rFonts w:ascii="Century Schoolbook" w:hAnsi="Century Schoolbook"/>
        </w:rPr>
        <w:t>expressed</w:t>
      </w:r>
      <w:r w:rsidR="00617384">
        <w:rPr>
          <w:rFonts w:ascii="Century Schoolbook" w:hAnsi="Century Schoolbook"/>
        </w:rPr>
        <w:t xml:space="preserve"> concerns about </w:t>
      </w:r>
      <w:r w:rsidR="00A40F03">
        <w:rPr>
          <w:rFonts w:ascii="Century Schoolbook" w:hAnsi="Century Schoolbook"/>
        </w:rPr>
        <w:t xml:space="preserve">a </w:t>
      </w:r>
      <w:r w:rsidR="002529FE">
        <w:rPr>
          <w:rFonts w:ascii="Century Schoolbook" w:hAnsi="Century Schoolbook"/>
        </w:rPr>
        <w:t>perennial</w:t>
      </w:r>
      <w:r w:rsidR="00A40F03">
        <w:rPr>
          <w:rFonts w:ascii="Century Schoolbook" w:hAnsi="Century Schoolbook"/>
        </w:rPr>
        <w:t xml:space="preserve"> </w:t>
      </w:r>
      <w:r w:rsidR="00617384">
        <w:rPr>
          <w:rFonts w:ascii="Century Schoolbook" w:hAnsi="Century Schoolbook"/>
        </w:rPr>
        <w:t xml:space="preserve">lack of sufficient school-facilities funding without </w:t>
      </w:r>
      <w:r w:rsidR="00755C0B">
        <w:rPr>
          <w:rFonts w:ascii="Century Schoolbook" w:hAnsi="Century Schoolbook"/>
        </w:rPr>
        <w:t xml:space="preserve">providing more detailed information or </w:t>
      </w:r>
      <w:r w:rsidR="00617384">
        <w:rPr>
          <w:rFonts w:ascii="Century Schoolbook" w:hAnsi="Century Schoolbook"/>
        </w:rPr>
        <w:t xml:space="preserve">identifying </w:t>
      </w:r>
      <w:r w:rsidR="00A40F03">
        <w:rPr>
          <w:rFonts w:ascii="Century Schoolbook" w:hAnsi="Century Schoolbook"/>
        </w:rPr>
        <w:t xml:space="preserve">a more specific </w:t>
      </w:r>
      <w:r w:rsidR="00FF0EF4">
        <w:rPr>
          <w:rFonts w:ascii="Century Schoolbook" w:hAnsi="Century Schoolbook"/>
        </w:rPr>
        <w:t xml:space="preserve">alternative </w:t>
      </w:r>
      <w:r w:rsidR="00A40F03">
        <w:rPr>
          <w:rFonts w:ascii="Century Schoolbook" w:hAnsi="Century Schoolbook"/>
        </w:rPr>
        <w:t>plan</w:t>
      </w:r>
      <w:r w:rsidR="00F96225">
        <w:rPr>
          <w:rFonts w:ascii="Century Schoolbook" w:hAnsi="Century Schoolbook"/>
        </w:rPr>
        <w:t xml:space="preserve"> to address this possibility</w:t>
      </w:r>
      <w:r w:rsidR="00FF23B3">
        <w:rPr>
          <w:rFonts w:ascii="Century Schoolbook" w:hAnsi="Century Schoolbook"/>
        </w:rPr>
        <w:t>—for which they</w:t>
      </w:r>
      <w:r w:rsidR="00FF0EF4">
        <w:rPr>
          <w:rFonts w:ascii="Century Schoolbook" w:hAnsi="Century Schoolbook"/>
        </w:rPr>
        <w:t>, and not the City,</w:t>
      </w:r>
      <w:r w:rsidR="00FF23B3">
        <w:rPr>
          <w:rFonts w:ascii="Century Schoolbook" w:hAnsi="Century Schoolbook"/>
        </w:rPr>
        <w:t xml:space="preserve"> would be responsible—</w:t>
      </w:r>
      <w:r w:rsidR="00617384">
        <w:rPr>
          <w:rFonts w:ascii="Century Schoolbook" w:hAnsi="Century Schoolbook"/>
        </w:rPr>
        <w:t xml:space="preserve">amounted to </w:t>
      </w:r>
      <w:r>
        <w:rPr>
          <w:rFonts w:ascii="Century Schoolbook" w:hAnsi="Century Schoolbook"/>
        </w:rPr>
        <w:t>no more than speculation and uncertainty</w:t>
      </w:r>
      <w:r w:rsidR="002529FE">
        <w:rPr>
          <w:rFonts w:ascii="Century Schoolbook" w:hAnsi="Century Schoolbook"/>
        </w:rPr>
        <w:t>.</w:t>
      </w:r>
      <w:r>
        <w:rPr>
          <w:rFonts w:ascii="Century Schoolbook" w:hAnsi="Century Schoolbook"/>
        </w:rPr>
        <w:t xml:space="preserve"> </w:t>
      </w:r>
      <w:r w:rsidR="002529FE">
        <w:rPr>
          <w:rFonts w:ascii="Century Schoolbook" w:hAnsi="Century Schoolbook"/>
        </w:rPr>
        <w:t>Therefore,</w:t>
      </w:r>
      <w:r>
        <w:rPr>
          <w:rFonts w:ascii="Century Schoolbook" w:hAnsi="Century Schoolbook"/>
        </w:rPr>
        <w:t xml:space="preserve"> no further </w:t>
      </w:r>
      <w:r w:rsidR="00D57538">
        <w:rPr>
          <w:rFonts w:ascii="Century Schoolbook" w:hAnsi="Century Schoolbook"/>
        </w:rPr>
        <w:t xml:space="preserve">environmental </w:t>
      </w:r>
      <w:r>
        <w:rPr>
          <w:rFonts w:ascii="Century Schoolbook" w:hAnsi="Century Schoolbook"/>
        </w:rPr>
        <w:t>review or response from the City</w:t>
      </w:r>
      <w:r w:rsidR="00332C34">
        <w:rPr>
          <w:rFonts w:ascii="Century Schoolbook" w:hAnsi="Century Schoolbook"/>
        </w:rPr>
        <w:t xml:space="preserve">, </w:t>
      </w:r>
      <w:r w:rsidR="00755C0B">
        <w:rPr>
          <w:rFonts w:ascii="Century Schoolbook" w:hAnsi="Century Schoolbook"/>
        </w:rPr>
        <w:t>beyond</w:t>
      </w:r>
      <w:r w:rsidR="00332C34">
        <w:rPr>
          <w:rFonts w:ascii="Century Schoolbook" w:hAnsi="Century Schoolbook"/>
        </w:rPr>
        <w:t xml:space="preserve"> </w:t>
      </w:r>
      <w:r w:rsidR="00755C0B">
        <w:rPr>
          <w:rFonts w:ascii="Century Schoolbook" w:hAnsi="Century Schoolbook"/>
        </w:rPr>
        <w:t xml:space="preserve">its existing responses to the Districts’ comments and </w:t>
      </w:r>
      <w:r w:rsidR="00332C34">
        <w:rPr>
          <w:rFonts w:ascii="Century Schoolbook" w:hAnsi="Century Schoolbook"/>
        </w:rPr>
        <w:t>this conclusion</w:t>
      </w:r>
      <w:r w:rsidR="00755C0B">
        <w:rPr>
          <w:rFonts w:ascii="Century Schoolbook" w:hAnsi="Century Schoolbook"/>
        </w:rPr>
        <w:t xml:space="preserve"> of speculation </w:t>
      </w:r>
      <w:r w:rsidR="00B77042">
        <w:rPr>
          <w:rFonts w:ascii="Century Schoolbook" w:hAnsi="Century Schoolbook"/>
        </w:rPr>
        <w:t xml:space="preserve">as </w:t>
      </w:r>
      <w:r w:rsidR="00C61EE4">
        <w:rPr>
          <w:rFonts w:ascii="Century Schoolbook" w:hAnsi="Century Schoolbook"/>
        </w:rPr>
        <w:t xml:space="preserve">provided </w:t>
      </w:r>
      <w:r w:rsidR="00332C34">
        <w:rPr>
          <w:rFonts w:ascii="Century Schoolbook" w:hAnsi="Century Schoolbook"/>
        </w:rPr>
        <w:t>under Guidelines section 15145</w:t>
      </w:r>
      <w:r w:rsidR="00CE5182">
        <w:rPr>
          <w:rFonts w:ascii="Century Schoolbook" w:hAnsi="Century Schoolbook"/>
        </w:rPr>
        <w:t>,</w:t>
      </w:r>
      <w:r>
        <w:rPr>
          <w:rFonts w:ascii="Century Schoolbook" w:hAnsi="Century Schoolbook"/>
        </w:rPr>
        <w:t xml:space="preserve"> was required</w:t>
      </w:r>
      <w:r w:rsidR="00A40F03">
        <w:rPr>
          <w:rFonts w:ascii="Century Schoolbook" w:hAnsi="Century Schoolbook"/>
        </w:rPr>
        <w:t xml:space="preserve"> in the Final EIR</w:t>
      </w:r>
      <w:r>
        <w:rPr>
          <w:rFonts w:ascii="Century Schoolbook" w:hAnsi="Century Schoolbook"/>
        </w:rPr>
        <w:t>. We accordingly reverse.</w:t>
      </w:r>
      <w:r w:rsidR="007C5101">
        <w:rPr>
          <w:rFonts w:ascii="Century Schoolbook" w:hAnsi="Century Schoolbook"/>
        </w:rPr>
        <w:t xml:space="preserve"> </w:t>
      </w:r>
      <w:r w:rsidR="009E67DE">
        <w:rPr>
          <w:rFonts w:ascii="Century Schoolbook" w:hAnsi="Century Schoolbook"/>
        </w:rPr>
        <w:t xml:space="preserve"> </w:t>
      </w:r>
      <w:r w:rsidR="00D74BB7">
        <w:rPr>
          <w:rFonts w:ascii="Century Schoolbook" w:hAnsi="Century Schoolbook"/>
        </w:rPr>
        <w:t xml:space="preserve"> </w:t>
      </w:r>
      <w:r w:rsidR="006D36E6">
        <w:rPr>
          <w:rFonts w:ascii="Century Schoolbook" w:hAnsi="Century Schoolbook"/>
        </w:rPr>
        <w:t xml:space="preserve">  </w:t>
      </w:r>
      <w:r w:rsidR="008F2319">
        <w:rPr>
          <w:rFonts w:ascii="Century Schoolbook" w:hAnsi="Century Schoolbook"/>
        </w:rPr>
        <w:t xml:space="preserve"> </w:t>
      </w:r>
      <w:r w:rsidR="007F5049">
        <w:rPr>
          <w:rFonts w:ascii="Century Schoolbook" w:hAnsi="Century Schoolbook"/>
        </w:rPr>
        <w:t xml:space="preserve"> </w:t>
      </w:r>
      <w:r w:rsidR="009D174A">
        <w:rPr>
          <w:rFonts w:ascii="Century Schoolbook" w:hAnsi="Century Schoolbook"/>
        </w:rPr>
        <w:t xml:space="preserve"> </w:t>
      </w:r>
      <w:r w:rsidR="00F35C79">
        <w:rPr>
          <w:rFonts w:ascii="Century Schoolbook" w:hAnsi="Century Schoolbook"/>
        </w:rPr>
        <w:t xml:space="preserve">  </w:t>
      </w:r>
      <w:r w:rsidR="00E4477D">
        <w:rPr>
          <w:rFonts w:ascii="Century Schoolbook" w:hAnsi="Century Schoolbook"/>
        </w:rPr>
        <w:t xml:space="preserve">    </w:t>
      </w:r>
      <w:r w:rsidR="007D7591">
        <w:rPr>
          <w:rFonts w:ascii="Century Schoolbook" w:hAnsi="Century Schoolbook"/>
        </w:rPr>
        <w:t xml:space="preserve">    </w:t>
      </w:r>
      <w:r w:rsidR="000715F9">
        <w:rPr>
          <w:rFonts w:ascii="Century Schoolbook" w:hAnsi="Century Schoolbook"/>
        </w:rPr>
        <w:t xml:space="preserve"> </w:t>
      </w:r>
      <w:r w:rsidR="007E0AB8">
        <w:rPr>
          <w:rFonts w:ascii="Century Schoolbook" w:hAnsi="Century Schoolbook"/>
        </w:rPr>
        <w:t xml:space="preserve"> </w:t>
      </w:r>
      <w:r w:rsidR="007434A2">
        <w:rPr>
          <w:rFonts w:ascii="Century Schoolbook" w:hAnsi="Century Schoolbook"/>
        </w:rPr>
        <w:t xml:space="preserve"> </w:t>
      </w:r>
      <w:r w:rsidR="00861824">
        <w:rPr>
          <w:rFonts w:ascii="Century Schoolbook" w:hAnsi="Century Schoolbook"/>
        </w:rPr>
        <w:t xml:space="preserve">   </w:t>
      </w:r>
      <w:r w:rsidR="003C4CF6">
        <w:rPr>
          <w:rFonts w:ascii="Century Schoolbook" w:hAnsi="Century Schoolbook"/>
        </w:rPr>
        <w:t xml:space="preserve">   </w:t>
      </w:r>
      <w:r w:rsidR="00BC6A0C">
        <w:rPr>
          <w:rFonts w:ascii="Century Schoolbook" w:hAnsi="Century Schoolbook"/>
        </w:rPr>
        <w:t xml:space="preserve">   </w:t>
      </w:r>
      <w:r w:rsidR="00D05012">
        <w:rPr>
          <w:rFonts w:ascii="Century Schoolbook" w:hAnsi="Century Schoolbook"/>
        </w:rPr>
        <w:t xml:space="preserve"> </w:t>
      </w:r>
      <w:r w:rsidR="009340A0">
        <w:rPr>
          <w:rFonts w:ascii="Century Schoolbook" w:hAnsi="Century Schoolbook"/>
        </w:rPr>
        <w:t xml:space="preserve">  </w:t>
      </w:r>
      <w:r w:rsidR="00F7607B">
        <w:rPr>
          <w:rFonts w:ascii="Century Schoolbook" w:hAnsi="Century Schoolbook"/>
        </w:rPr>
        <w:t xml:space="preserve">      </w:t>
      </w:r>
      <w:r w:rsidR="00E31D6D">
        <w:rPr>
          <w:rFonts w:ascii="Century Schoolbook" w:hAnsi="Century Schoolbook"/>
        </w:rPr>
        <w:t xml:space="preserve"> </w:t>
      </w:r>
      <w:r w:rsidR="00446290">
        <w:rPr>
          <w:rFonts w:ascii="Century Schoolbook" w:hAnsi="Century Schoolbook"/>
        </w:rPr>
        <w:t xml:space="preserve">   </w:t>
      </w:r>
      <w:r w:rsidR="00307A46">
        <w:rPr>
          <w:rFonts w:ascii="Century Schoolbook" w:hAnsi="Century Schoolbook"/>
        </w:rPr>
        <w:t xml:space="preserve">    </w:t>
      </w:r>
      <w:r w:rsidR="00931DF3">
        <w:rPr>
          <w:rFonts w:ascii="Century Schoolbook" w:hAnsi="Century Schoolbook"/>
        </w:rPr>
        <w:t xml:space="preserve">  </w:t>
      </w:r>
    </w:p>
    <w:p w14:paraId="4FA340C9" w14:textId="77777777" w:rsidR="00931DF3" w:rsidRDefault="00931DF3" w:rsidP="00931DF3">
      <w:pPr>
        <w:rPr>
          <w:rFonts w:ascii="Century Schoolbook" w:hAnsi="Century Schoolbook"/>
        </w:rPr>
      </w:pPr>
      <w:bookmarkStart w:id="1" w:name="_Hlk107389775"/>
      <w:r>
        <w:rPr>
          <w:rFonts w:ascii="Century Schoolbook" w:hAnsi="Century Schoolbook"/>
          <w:i/>
          <w:iCs/>
        </w:rPr>
        <w:tab/>
      </w:r>
      <w:r>
        <w:rPr>
          <w:rFonts w:ascii="Century Schoolbook" w:hAnsi="Century Schoolbook"/>
          <w:i/>
          <w:iCs/>
        </w:rPr>
        <w:tab/>
      </w:r>
      <w:r>
        <w:rPr>
          <w:rFonts w:ascii="Century Schoolbook" w:hAnsi="Century Schoolbook"/>
          <w:i/>
          <w:iCs/>
        </w:rPr>
        <w:tab/>
      </w:r>
      <w:r>
        <w:rPr>
          <w:rFonts w:ascii="Century Schoolbook" w:hAnsi="Century Schoolbook"/>
          <w:i/>
          <w:iCs/>
        </w:rPr>
        <w:tab/>
      </w:r>
      <w:r w:rsidRPr="00931DF3">
        <w:rPr>
          <w:rFonts w:ascii="Century Schoolbook" w:hAnsi="Century Schoolbook"/>
        </w:rPr>
        <w:t>STATEMENT OF THE CASE</w:t>
      </w:r>
      <w:bookmarkEnd w:id="1"/>
    </w:p>
    <w:p w14:paraId="58C548A2" w14:textId="119D528C" w:rsidR="00F7607B" w:rsidRPr="00433DDB" w:rsidRDefault="00941A2B" w:rsidP="0025569A">
      <w:pPr>
        <w:pStyle w:val="ListParagraph"/>
        <w:numPr>
          <w:ilvl w:val="0"/>
          <w:numId w:val="14"/>
        </w:numPr>
        <w:rPr>
          <w:rFonts w:ascii="Century Schoolbook" w:hAnsi="Century Schoolbook"/>
          <w:i/>
          <w:iCs/>
        </w:rPr>
      </w:pPr>
      <w:r>
        <w:rPr>
          <w:rFonts w:ascii="Century Schoolbook" w:hAnsi="Century Schoolbook"/>
          <w:i/>
          <w:iCs/>
        </w:rPr>
        <w:t xml:space="preserve">Relevant </w:t>
      </w:r>
      <w:r w:rsidR="00F7607B">
        <w:rPr>
          <w:rFonts w:ascii="Century Schoolbook" w:hAnsi="Century Schoolbook"/>
          <w:i/>
          <w:iCs/>
        </w:rPr>
        <w:t xml:space="preserve">Factual Background </w:t>
      </w:r>
    </w:p>
    <w:p w14:paraId="3E31797C" w14:textId="395F3487" w:rsidR="00A1401B" w:rsidRPr="00A1401B" w:rsidRDefault="00A1401B" w:rsidP="00A1401B">
      <w:pPr>
        <w:pStyle w:val="ListParagraph"/>
        <w:numPr>
          <w:ilvl w:val="0"/>
          <w:numId w:val="19"/>
        </w:numPr>
        <w:rPr>
          <w:rFonts w:ascii="Century Schoolbook" w:hAnsi="Century Schoolbook"/>
          <w:u w:val="single"/>
        </w:rPr>
      </w:pPr>
      <w:r w:rsidRPr="00A1401B">
        <w:rPr>
          <w:rFonts w:ascii="Century Schoolbook" w:hAnsi="Century Schoolbook"/>
          <w:u w:val="single"/>
        </w:rPr>
        <w:t>Project Overview</w:t>
      </w:r>
    </w:p>
    <w:p w14:paraId="7ACF052F" w14:textId="1D455152" w:rsidR="005A7C79" w:rsidRDefault="00A1401B" w:rsidP="005A7C79">
      <w:pPr>
        <w:rPr>
          <w:rFonts w:ascii="Century Schoolbook" w:hAnsi="Century Schoolbook"/>
        </w:rPr>
      </w:pPr>
      <w:r>
        <w:rPr>
          <w:rFonts w:ascii="Century Schoolbook" w:hAnsi="Century Schoolbook"/>
        </w:rPr>
        <w:tab/>
      </w:r>
      <w:r w:rsidR="005A7C79">
        <w:rPr>
          <w:rFonts w:ascii="Century Schoolbook" w:hAnsi="Century Schoolbook"/>
        </w:rPr>
        <w:t>The City approved the Specific Plan</w:t>
      </w:r>
      <w:r w:rsidR="007937A8">
        <w:rPr>
          <w:rFonts w:ascii="Century Schoolbook" w:hAnsi="Century Schoolbook"/>
        </w:rPr>
        <w:t>, some 20 years in the making,</w:t>
      </w:r>
      <w:r w:rsidR="005A7C79">
        <w:rPr>
          <w:rFonts w:ascii="Century Schoolbook" w:hAnsi="Century Schoolbook"/>
        </w:rPr>
        <w:t xml:space="preserve"> in December 2019. It </w:t>
      </w:r>
      <w:r w:rsidR="007937A8">
        <w:rPr>
          <w:rFonts w:ascii="Century Schoolbook" w:hAnsi="Century Schoolbook"/>
        </w:rPr>
        <w:t xml:space="preserve">is based on the </w:t>
      </w:r>
      <w:r w:rsidR="007B798A">
        <w:rPr>
          <w:rFonts w:ascii="Century Schoolbook" w:hAnsi="Century Schoolbook"/>
        </w:rPr>
        <w:t xml:space="preserve">City’s </w:t>
      </w:r>
      <w:r w:rsidR="007937A8">
        <w:rPr>
          <w:rFonts w:ascii="Century Schoolbook" w:hAnsi="Century Schoolbook"/>
        </w:rPr>
        <w:t xml:space="preserve">General Plan and </w:t>
      </w:r>
      <w:r w:rsidR="005A7C79">
        <w:rPr>
          <w:rFonts w:ascii="Century Schoolbook" w:hAnsi="Century Schoolbook"/>
        </w:rPr>
        <w:t>covers an approximate 797-acre site (</w:t>
      </w:r>
      <w:r w:rsidR="005A7C79" w:rsidRPr="00F96225">
        <w:rPr>
          <w:rFonts w:ascii="Century Schoolbook" w:hAnsi="Century Schoolbook"/>
        </w:rPr>
        <w:t>Site</w:t>
      </w:r>
      <w:r w:rsidR="005A7C79">
        <w:rPr>
          <w:rFonts w:ascii="Century Schoolbook" w:hAnsi="Century Schoolbook"/>
        </w:rPr>
        <w:t>), which consists of 13 parcels in the northern portion of the City. The Specific Plan was prepared to establish the overall land-use concept and development framework for the Site. Contemplated development within the Specific Plan included 4,340 new residential dwelling units affordable to people of various income levels, with up to 15,928 residents at full build-out—some 20-30 years away</w:t>
      </w:r>
      <w:r w:rsidR="007937A8">
        <w:rPr>
          <w:rFonts w:ascii="Century Schoolbook" w:hAnsi="Century Schoolbook"/>
        </w:rPr>
        <w:t>—helping to meet a state goal of resolving the current housing</w:t>
      </w:r>
      <w:r w:rsidR="007B798A">
        <w:rPr>
          <w:rFonts w:ascii="Century Schoolbook" w:hAnsi="Century Schoolbook"/>
        </w:rPr>
        <w:t>-</w:t>
      </w:r>
      <w:r w:rsidR="007937A8">
        <w:rPr>
          <w:rFonts w:ascii="Century Schoolbook" w:hAnsi="Century Schoolbook"/>
        </w:rPr>
        <w:t>supply and affordability crisis</w:t>
      </w:r>
      <w:r w:rsidR="005A7C79">
        <w:rPr>
          <w:rFonts w:ascii="Century Schoolbook" w:hAnsi="Century Schoolbook"/>
        </w:rPr>
        <w:t xml:space="preserve">. The provision of housing to accommodate Salinas’s </w:t>
      </w:r>
      <w:r w:rsidR="007B798A">
        <w:rPr>
          <w:rFonts w:ascii="Century Schoolbook" w:hAnsi="Century Schoolbook"/>
        </w:rPr>
        <w:t xml:space="preserve">local </w:t>
      </w:r>
      <w:r w:rsidR="005A7C79">
        <w:rPr>
          <w:rFonts w:ascii="Century Schoolbook" w:hAnsi="Century Schoolbook"/>
        </w:rPr>
        <w:t xml:space="preserve">critical need was </w:t>
      </w:r>
      <w:r w:rsidR="007937A8">
        <w:rPr>
          <w:rFonts w:ascii="Century Schoolbook" w:hAnsi="Century Schoolbook"/>
        </w:rPr>
        <w:t xml:space="preserve">likewise </w:t>
      </w:r>
      <w:r w:rsidR="005A7C79">
        <w:rPr>
          <w:rFonts w:ascii="Century Schoolbook" w:hAnsi="Century Schoolbook"/>
        </w:rPr>
        <w:t xml:space="preserve">one of the principal objectives of the Specific Plan. In addition to housing, the Specific Plan included development within the Site of mixed-commercial uses, </w:t>
      </w:r>
      <w:proofErr w:type="gramStart"/>
      <w:r w:rsidR="005A7C79">
        <w:rPr>
          <w:rFonts w:ascii="Century Schoolbook" w:hAnsi="Century Schoolbook"/>
        </w:rPr>
        <w:t>parks</w:t>
      </w:r>
      <w:proofErr w:type="gramEnd"/>
      <w:r w:rsidR="005A7C79">
        <w:rPr>
          <w:rFonts w:ascii="Century Schoolbook" w:hAnsi="Century Schoolbook"/>
        </w:rPr>
        <w:t xml:space="preserve"> and </w:t>
      </w:r>
      <w:r w:rsidR="005A7C79">
        <w:rPr>
          <w:rFonts w:ascii="Century Schoolbook" w:hAnsi="Century Schoolbook"/>
        </w:rPr>
        <w:lastRenderedPageBreak/>
        <w:t xml:space="preserve">open space, and—as relevant here—schools, to address projected increases in student population resulting from the new residential housing units. </w:t>
      </w:r>
    </w:p>
    <w:p w14:paraId="69C1F3AA" w14:textId="18F74524" w:rsidR="00DB7070" w:rsidRDefault="00DB7070" w:rsidP="005A7C79">
      <w:pPr>
        <w:rPr>
          <w:rFonts w:ascii="Century Schoolbook" w:hAnsi="Century Schoolbook"/>
        </w:rPr>
      </w:pPr>
      <w:r>
        <w:rPr>
          <w:rFonts w:ascii="Century Schoolbook" w:hAnsi="Century Schoolbook"/>
        </w:rPr>
        <w:tab/>
        <w:t xml:space="preserve">As noted in the Draft EIR, “the Specific Plan provides a very high level of design detail for certain components of the project. To the extent that sufficient detail is available in the Specific Plan, a full project-level analysis is provided in this EIR. Examples of a full project level analysis would include topics that are related to the physical acreage affected (i.e., the project footprint), as opposed to the number of units, land uses/zoning, or other design parameters. </w:t>
      </w:r>
      <w:r w:rsidR="00A72611">
        <w:rPr>
          <w:rFonts w:ascii="Century Schoolbook" w:hAnsi="Century Schoolbook"/>
        </w:rPr>
        <w:t>. . .</w:t>
      </w:r>
      <w:r>
        <w:rPr>
          <w:rFonts w:ascii="Century Schoolbook" w:hAnsi="Century Schoolbook"/>
        </w:rPr>
        <w:t xml:space="preserve"> Additionally, the Specific Plan includes a substantial level of detailed information that allows for a project-level analysis of topics such as </w:t>
      </w:r>
      <w:r w:rsidR="00F91EAD">
        <w:rPr>
          <w:rFonts w:ascii="Century Schoolbook" w:hAnsi="Century Schoolbook"/>
        </w:rPr>
        <w:t>A</w:t>
      </w:r>
      <w:r>
        <w:rPr>
          <w:rFonts w:ascii="Century Schoolbook" w:hAnsi="Century Schoolbook"/>
        </w:rPr>
        <w:t xml:space="preserve">ir </w:t>
      </w:r>
      <w:r w:rsidR="00F91EAD">
        <w:rPr>
          <w:rFonts w:ascii="Century Schoolbook" w:hAnsi="Century Schoolbook"/>
        </w:rPr>
        <w:t>Q</w:t>
      </w:r>
      <w:r>
        <w:rPr>
          <w:rFonts w:ascii="Century Schoolbook" w:hAnsi="Century Schoolbook"/>
        </w:rPr>
        <w:t>uality</w:t>
      </w:r>
      <w:r w:rsidR="00F91EAD">
        <w:rPr>
          <w:rFonts w:ascii="Century Schoolbook" w:hAnsi="Century Schoolbook"/>
        </w:rPr>
        <w:t xml:space="preserve">, Greenhouse Gases and Climate Change, Noise, Population and Housing, Transportation and Circulation, and Utilities. The analysis for these topics is driven by the number of units and square footage of development, which is detailed in the land use and design projections. In some cases, there may be specific commercial uses that have design details developed </w:t>
      </w:r>
      <w:proofErr w:type="gramStart"/>
      <w:r w:rsidR="00F91EAD">
        <w:rPr>
          <w:rFonts w:ascii="Century Schoolbook" w:hAnsi="Century Schoolbook"/>
        </w:rPr>
        <w:t>at a later date</w:t>
      </w:r>
      <w:proofErr w:type="gramEnd"/>
      <w:r w:rsidR="00F91EAD">
        <w:rPr>
          <w:rFonts w:ascii="Century Schoolbook" w:hAnsi="Century Schoolbook"/>
        </w:rPr>
        <w:t xml:space="preserve"> that cannot reasonably be analyzed at a project-level at this time. </w:t>
      </w:r>
      <w:r w:rsidR="00F91EAD" w:rsidRPr="001C1D32">
        <w:rPr>
          <w:rFonts w:ascii="Century Schoolbook" w:hAnsi="Century Schoolbook"/>
          <w:i/>
          <w:iCs/>
        </w:rPr>
        <w:t>Additionally, the design of school facilities and other public facilities are not known at this time, so they are not able to be analyzed at a project-level.</w:t>
      </w:r>
      <w:r w:rsidR="00F91EAD">
        <w:rPr>
          <w:rFonts w:ascii="Century Schoolbook" w:hAnsi="Century Schoolbook"/>
        </w:rPr>
        <w:t xml:space="preserve"> [¶] </w:t>
      </w:r>
      <w:r w:rsidR="00A72611">
        <w:rPr>
          <w:rFonts w:ascii="Century Schoolbook" w:hAnsi="Century Schoolbook"/>
        </w:rPr>
        <w:t>. . .</w:t>
      </w:r>
      <w:r w:rsidR="00F91EAD">
        <w:rPr>
          <w:rFonts w:ascii="Century Schoolbook" w:hAnsi="Century Schoolbook"/>
        </w:rPr>
        <w:t xml:space="preserve"> Subsequent individual development that requires further discretionary approvals will be examined </w:t>
      </w:r>
      <w:proofErr w:type="gramStart"/>
      <w:r w:rsidR="00F91EAD">
        <w:rPr>
          <w:rFonts w:ascii="Century Schoolbook" w:hAnsi="Century Schoolbook"/>
        </w:rPr>
        <w:t>in light of</w:t>
      </w:r>
      <w:proofErr w:type="gramEnd"/>
      <w:r w:rsidR="00F91EAD">
        <w:rPr>
          <w:rFonts w:ascii="Century Schoolbook" w:hAnsi="Century Schoolbook"/>
        </w:rPr>
        <w:t xml:space="preserve"> this EIR to determine whether additional environmental documentation must be prepared.” </w:t>
      </w:r>
      <w:r w:rsidR="001C1D32">
        <w:rPr>
          <w:rFonts w:ascii="Century Schoolbook" w:hAnsi="Century Schoolbook"/>
        </w:rPr>
        <w:t xml:space="preserve">(Italics added.) </w:t>
      </w:r>
    </w:p>
    <w:p w14:paraId="2375A31F" w14:textId="7C618764" w:rsidR="00A1401B" w:rsidRPr="00A1401B" w:rsidRDefault="001C1D32" w:rsidP="00A1401B">
      <w:pPr>
        <w:pStyle w:val="ListParagraph"/>
        <w:numPr>
          <w:ilvl w:val="0"/>
          <w:numId w:val="19"/>
        </w:numPr>
        <w:rPr>
          <w:rFonts w:ascii="Century Schoolbook" w:hAnsi="Century Schoolbook"/>
          <w:u w:val="single"/>
        </w:rPr>
      </w:pPr>
      <w:r>
        <w:rPr>
          <w:rFonts w:ascii="Century Schoolbook" w:hAnsi="Century Schoolbook"/>
          <w:u w:val="single"/>
        </w:rPr>
        <w:t xml:space="preserve">Schools </w:t>
      </w:r>
      <w:r w:rsidR="00FF0EF4">
        <w:rPr>
          <w:rFonts w:ascii="Century Schoolbook" w:hAnsi="Century Schoolbook"/>
          <w:u w:val="single"/>
        </w:rPr>
        <w:t>With</w:t>
      </w:r>
      <w:r>
        <w:rPr>
          <w:rFonts w:ascii="Century Schoolbook" w:hAnsi="Century Schoolbook"/>
          <w:u w:val="single"/>
        </w:rPr>
        <w:t xml:space="preserve">in the </w:t>
      </w:r>
      <w:r w:rsidR="00A1401B">
        <w:rPr>
          <w:rFonts w:ascii="Century Schoolbook" w:hAnsi="Century Schoolbook"/>
          <w:u w:val="single"/>
        </w:rPr>
        <w:t>Specific Plan</w:t>
      </w:r>
      <w:r w:rsidR="005A7C79" w:rsidRPr="00A1401B">
        <w:rPr>
          <w:rFonts w:ascii="Century Schoolbook" w:hAnsi="Century Schoolbook"/>
        </w:rPr>
        <w:tab/>
      </w:r>
    </w:p>
    <w:p w14:paraId="7306D083" w14:textId="353550B5" w:rsidR="005A7C79" w:rsidRDefault="00A1401B" w:rsidP="005A7C79">
      <w:pPr>
        <w:rPr>
          <w:rFonts w:ascii="Century Schoolbook" w:hAnsi="Century Schoolbook"/>
        </w:rPr>
      </w:pPr>
      <w:r>
        <w:rPr>
          <w:rFonts w:ascii="Century Schoolbook" w:hAnsi="Century Schoolbook"/>
        </w:rPr>
        <w:tab/>
      </w:r>
      <w:r w:rsidR="00C8056F">
        <w:rPr>
          <w:rFonts w:ascii="Century Schoolbook" w:hAnsi="Century Schoolbook"/>
        </w:rPr>
        <w:t>At the outset, t</w:t>
      </w:r>
      <w:r w:rsidR="005A7C79">
        <w:rPr>
          <w:rFonts w:ascii="Century Schoolbook" w:hAnsi="Century Schoolbook"/>
        </w:rPr>
        <w:t xml:space="preserve">he Specific Plan included three elementary schools, one already operational, and one middle school, all located within the SRUSD, along with one high school, already </w:t>
      </w:r>
      <w:r w:rsidR="00DB7070">
        <w:rPr>
          <w:rFonts w:ascii="Century Schoolbook" w:hAnsi="Century Schoolbook"/>
        </w:rPr>
        <w:t xml:space="preserve">planned and </w:t>
      </w:r>
      <w:r w:rsidR="005A7C79">
        <w:rPr>
          <w:rFonts w:ascii="Century Schoolbook" w:hAnsi="Century Schoolbook"/>
        </w:rPr>
        <w:t>under construction, within the SUHSD. The Specific Plan notes that the “[r]</w:t>
      </w:r>
      <w:proofErr w:type="spellStart"/>
      <w:r w:rsidR="005A7C79">
        <w:rPr>
          <w:rFonts w:ascii="Century Schoolbook" w:hAnsi="Century Schoolbook"/>
        </w:rPr>
        <w:t>esponsibility</w:t>
      </w:r>
      <w:proofErr w:type="spellEnd"/>
      <w:r w:rsidR="005A7C79">
        <w:rPr>
          <w:rFonts w:ascii="Century Schoolbook" w:hAnsi="Century Schoolbook"/>
        </w:rPr>
        <w:t xml:space="preserve"> for development of public schools lies with the [Districts]” and that school facilities within the </w:t>
      </w:r>
      <w:r w:rsidR="005A7C79">
        <w:rPr>
          <w:rFonts w:ascii="Century Schoolbook" w:hAnsi="Century Schoolbook"/>
        </w:rPr>
        <w:lastRenderedPageBreak/>
        <w:t xml:space="preserve">Specific Plan are to be built “based on the projections of the need” in a phased approach as “determine[d] and control[led]” by the Districts. </w:t>
      </w:r>
    </w:p>
    <w:p w14:paraId="18A582E4" w14:textId="22B064C9" w:rsidR="005A7C79" w:rsidRDefault="005A7C79" w:rsidP="005A7C79">
      <w:pPr>
        <w:rPr>
          <w:rFonts w:ascii="Century Schoolbook" w:hAnsi="Century Schoolbook"/>
        </w:rPr>
      </w:pPr>
      <w:r>
        <w:rPr>
          <w:rFonts w:ascii="Century Schoolbook" w:hAnsi="Century Schoolbook"/>
        </w:rPr>
        <w:tab/>
        <w:t xml:space="preserve">While observing that Government Code sections 65995 and 65996 provide that school-related impacts are fully mitigated under CEQA through payment of </w:t>
      </w:r>
      <w:r w:rsidR="007B798A">
        <w:rPr>
          <w:rFonts w:ascii="Century Schoolbook" w:hAnsi="Century Schoolbook"/>
        </w:rPr>
        <w:t>developer-</w:t>
      </w:r>
      <w:r>
        <w:rPr>
          <w:rFonts w:ascii="Century Schoolbook" w:hAnsi="Century Schoolbook"/>
        </w:rPr>
        <w:t xml:space="preserve">impact fees set by local school districts </w:t>
      </w:r>
      <w:r w:rsidR="00332C34">
        <w:rPr>
          <w:rFonts w:ascii="Century Schoolbook" w:hAnsi="Century Schoolbook"/>
        </w:rPr>
        <w:t>under Education Code section 17620</w:t>
      </w:r>
      <w:r>
        <w:rPr>
          <w:rFonts w:ascii="Century Schoolbook" w:hAnsi="Century Schoolbook"/>
        </w:rPr>
        <w:t xml:space="preserve">, the EIR also concluded that anticipated construction of new schools within the Site would contribute to significant and unavoidable environmental impacts related to air quality, biological resources, greenhouse gases, noise, and transportation and </w:t>
      </w:r>
      <w:r w:rsidRPr="007B798A">
        <w:rPr>
          <w:rFonts w:ascii="Century Schoolbook" w:hAnsi="Century Schoolbook"/>
        </w:rPr>
        <w:t>traffic</w:t>
      </w:r>
      <w:r>
        <w:rPr>
          <w:rFonts w:ascii="Century Schoolbook" w:hAnsi="Century Schoolbook"/>
        </w:rPr>
        <w:t xml:space="preserve"> circulation</w:t>
      </w:r>
      <w:r w:rsidR="00E55E0C">
        <w:rPr>
          <w:rFonts w:ascii="Century Schoolbook" w:hAnsi="Century Schoolbook"/>
        </w:rPr>
        <w:t>.</w:t>
      </w:r>
      <w:r>
        <w:rPr>
          <w:rFonts w:ascii="Century Schoolbook" w:hAnsi="Century Schoolbook"/>
        </w:rPr>
        <w:t xml:space="preserve"> </w:t>
      </w:r>
      <w:r w:rsidR="00E55E0C">
        <w:rPr>
          <w:rFonts w:ascii="Century Schoolbook" w:hAnsi="Century Schoolbook"/>
        </w:rPr>
        <w:t>The EIR</w:t>
      </w:r>
      <w:r>
        <w:rPr>
          <w:rFonts w:ascii="Century Schoolbook" w:hAnsi="Century Schoolbook"/>
        </w:rPr>
        <w:t xml:space="preserve"> provided certain mitigation measures for these </w:t>
      </w:r>
      <w:r w:rsidRPr="007B798A">
        <w:rPr>
          <w:rFonts w:ascii="Century Schoolbook" w:hAnsi="Century Schoolbook"/>
        </w:rPr>
        <w:t>impacts</w:t>
      </w:r>
      <w:r w:rsidR="00755C0B">
        <w:rPr>
          <w:rFonts w:ascii="Century Schoolbook" w:hAnsi="Century Schoolbook"/>
        </w:rPr>
        <w:t xml:space="preserve"> </w:t>
      </w:r>
      <w:r w:rsidR="008E4E93">
        <w:rPr>
          <w:rFonts w:ascii="Century Schoolbook" w:hAnsi="Century Schoolbook"/>
        </w:rPr>
        <w:t>based on the site footprints and using industry models</w:t>
      </w:r>
      <w:r>
        <w:rPr>
          <w:rFonts w:ascii="Century Schoolbook" w:hAnsi="Century Schoolbook"/>
        </w:rPr>
        <w:t xml:space="preserve">. </w:t>
      </w:r>
      <w:r w:rsidR="008E4E93">
        <w:rPr>
          <w:rFonts w:ascii="Century Schoolbook" w:hAnsi="Century Schoolbook"/>
        </w:rPr>
        <w:t>The EIR</w:t>
      </w:r>
      <w:r>
        <w:rPr>
          <w:rFonts w:ascii="Century Schoolbook" w:hAnsi="Century Schoolbook"/>
        </w:rPr>
        <w:t xml:space="preserve"> also noted, citing section 21151.8 and </w:t>
      </w:r>
      <w:r w:rsidRPr="00840E74">
        <w:rPr>
          <w:rFonts w:ascii="Century Schoolbook" w:hAnsi="Century Schoolbook"/>
        </w:rPr>
        <w:t>Guidelines</w:t>
      </w:r>
      <w:r>
        <w:rPr>
          <w:rFonts w:ascii="Century Schoolbook" w:hAnsi="Century Schoolbook"/>
        </w:rPr>
        <w:t xml:space="preserve"> section 15186, that future site-specific environmental review would be required for each new school </w:t>
      </w:r>
      <w:r w:rsidR="007B798A">
        <w:rPr>
          <w:rFonts w:ascii="Century Schoolbook" w:hAnsi="Century Schoolbook"/>
        </w:rPr>
        <w:t>from</w:t>
      </w:r>
      <w:r>
        <w:rPr>
          <w:rFonts w:ascii="Century Schoolbook" w:hAnsi="Century Schoolbook"/>
        </w:rPr>
        <w:t xml:space="preserve"> the responsible school district as lead agency before approval of </w:t>
      </w:r>
      <w:proofErr w:type="gramStart"/>
      <w:r>
        <w:rPr>
          <w:rFonts w:ascii="Century Schoolbook" w:hAnsi="Century Schoolbook"/>
        </w:rPr>
        <w:t>as</w:t>
      </w:r>
      <w:r w:rsidR="00F96225">
        <w:rPr>
          <w:rFonts w:ascii="Century Schoolbook" w:hAnsi="Century Schoolbook"/>
        </w:rPr>
        <w:t xml:space="preserve"> </w:t>
      </w:r>
      <w:r>
        <w:rPr>
          <w:rFonts w:ascii="Century Schoolbook" w:hAnsi="Century Schoolbook"/>
        </w:rPr>
        <w:t>yet</w:t>
      </w:r>
      <w:proofErr w:type="gramEnd"/>
      <w:r>
        <w:rPr>
          <w:rFonts w:ascii="Century Schoolbook" w:hAnsi="Century Schoolbook"/>
        </w:rPr>
        <w:t xml:space="preserve"> unknown design</w:t>
      </w:r>
      <w:r w:rsidR="00F96225">
        <w:rPr>
          <w:rFonts w:ascii="Century Schoolbook" w:hAnsi="Century Schoolbook"/>
        </w:rPr>
        <w:t>s</w:t>
      </w:r>
      <w:r>
        <w:rPr>
          <w:rFonts w:ascii="Century Schoolbook" w:hAnsi="Century Schoolbook"/>
        </w:rPr>
        <w:t xml:space="preserve"> for each facility</w:t>
      </w:r>
      <w:r w:rsidR="00E55E0C">
        <w:rPr>
          <w:rFonts w:ascii="Century Schoolbook" w:hAnsi="Century Schoolbook"/>
        </w:rPr>
        <w:t>.</w:t>
      </w:r>
      <w:r>
        <w:rPr>
          <w:rFonts w:ascii="Century Schoolbook" w:hAnsi="Century Schoolbook"/>
        </w:rPr>
        <w:t xml:space="preserve"> </w:t>
      </w:r>
      <w:r w:rsidR="00E55E0C">
        <w:rPr>
          <w:rFonts w:ascii="Century Schoolbook" w:hAnsi="Century Schoolbook"/>
        </w:rPr>
        <w:t>This</w:t>
      </w:r>
      <w:r>
        <w:rPr>
          <w:rFonts w:ascii="Century Schoolbook" w:hAnsi="Century Schoolbook"/>
        </w:rPr>
        <w:t xml:space="preserve"> review would consider any impacts or other circumstances not known when the City prepared the Specific Plan EIR, which it </w:t>
      </w:r>
      <w:r w:rsidR="008E4E93">
        <w:rPr>
          <w:rFonts w:ascii="Century Schoolbook" w:hAnsi="Century Schoolbook"/>
        </w:rPr>
        <w:t>view</w:t>
      </w:r>
      <w:r>
        <w:rPr>
          <w:rFonts w:ascii="Century Schoolbook" w:hAnsi="Century Schoolbook"/>
        </w:rPr>
        <w:t xml:space="preserve">ed </w:t>
      </w:r>
      <w:r w:rsidR="00C8056F">
        <w:rPr>
          <w:rFonts w:ascii="Century Schoolbook" w:hAnsi="Century Schoolbook"/>
        </w:rPr>
        <w:t xml:space="preserve">in </w:t>
      </w:r>
      <w:r w:rsidR="008E4E93">
        <w:rPr>
          <w:rFonts w:ascii="Century Schoolbook" w:hAnsi="Century Schoolbook"/>
        </w:rPr>
        <w:t>many</w:t>
      </w:r>
      <w:r w:rsidR="00C8056F">
        <w:rPr>
          <w:rFonts w:ascii="Century Schoolbook" w:hAnsi="Century Schoolbook"/>
        </w:rPr>
        <w:t xml:space="preserve"> respects </w:t>
      </w:r>
      <w:r w:rsidR="008E4E93">
        <w:rPr>
          <w:rFonts w:ascii="Century Schoolbook" w:hAnsi="Century Schoolbook"/>
        </w:rPr>
        <w:t xml:space="preserve">as </w:t>
      </w:r>
      <w:r>
        <w:rPr>
          <w:rFonts w:ascii="Century Schoolbook" w:hAnsi="Century Schoolbook"/>
        </w:rPr>
        <w:t>a program</w:t>
      </w:r>
      <w:r w:rsidR="00C8056F">
        <w:rPr>
          <w:rFonts w:ascii="Century Schoolbook" w:hAnsi="Century Schoolbook"/>
        </w:rPr>
        <w:t>-level</w:t>
      </w:r>
      <w:r>
        <w:rPr>
          <w:rFonts w:ascii="Century Schoolbook" w:hAnsi="Century Schoolbook"/>
        </w:rPr>
        <w:t xml:space="preserve"> EIR</w:t>
      </w:r>
      <w:r w:rsidR="001C1D32">
        <w:rPr>
          <w:rStyle w:val="FootnoteReference"/>
          <w:rFonts w:ascii="Century Schoolbook" w:hAnsi="Century Schoolbook"/>
        </w:rPr>
        <w:footnoteReference w:id="2"/>
      </w:r>
      <w:r>
        <w:rPr>
          <w:rFonts w:ascii="Century Schoolbook" w:hAnsi="Century Schoolbook"/>
        </w:rPr>
        <w:t xml:space="preserve"> from which later projects c</w:t>
      </w:r>
      <w:r w:rsidR="009166C4">
        <w:rPr>
          <w:rFonts w:ascii="Century Schoolbook" w:hAnsi="Century Schoolbook"/>
        </w:rPr>
        <w:t>ould</w:t>
      </w:r>
      <w:r>
        <w:rPr>
          <w:rFonts w:ascii="Century Schoolbook" w:hAnsi="Century Schoolbook"/>
        </w:rPr>
        <w:t xml:space="preserve"> </w:t>
      </w:r>
      <w:proofErr w:type="spellStart"/>
      <w:r>
        <w:rPr>
          <w:rFonts w:ascii="Century Schoolbook" w:hAnsi="Century Schoolbook"/>
        </w:rPr>
        <w:t>tier</w:t>
      </w:r>
      <w:proofErr w:type="spellEnd"/>
      <w:r>
        <w:rPr>
          <w:rFonts w:ascii="Century Schoolbook" w:hAnsi="Century Schoolbook"/>
        </w:rPr>
        <w:t xml:space="preserve"> off when seeking approvals, and </w:t>
      </w:r>
      <w:r>
        <w:rPr>
          <w:rFonts w:ascii="Century Schoolbook" w:hAnsi="Century Schoolbook"/>
        </w:rPr>
        <w:lastRenderedPageBreak/>
        <w:t xml:space="preserve">that each school, if constructed, would be subject to the relevant mitigation measures in the Final EIR. </w:t>
      </w:r>
    </w:p>
    <w:p w14:paraId="78E7E5D5" w14:textId="413DE135" w:rsidR="00A1401B" w:rsidRPr="00A1401B" w:rsidRDefault="00710CD6" w:rsidP="00A1401B">
      <w:pPr>
        <w:pStyle w:val="ListParagraph"/>
        <w:numPr>
          <w:ilvl w:val="0"/>
          <w:numId w:val="19"/>
        </w:numPr>
        <w:rPr>
          <w:rFonts w:ascii="Century Schoolbook" w:hAnsi="Century Schoolbook"/>
          <w:u w:val="single"/>
        </w:rPr>
      </w:pPr>
      <w:r>
        <w:rPr>
          <w:rFonts w:ascii="Century Schoolbook" w:hAnsi="Century Schoolbook"/>
          <w:u w:val="single"/>
        </w:rPr>
        <w:t xml:space="preserve">Specific Plan </w:t>
      </w:r>
      <w:r w:rsidR="00A1401B" w:rsidRPr="00A1401B">
        <w:rPr>
          <w:rFonts w:ascii="Century Schoolbook" w:hAnsi="Century Schoolbook"/>
          <w:u w:val="single"/>
        </w:rPr>
        <w:t xml:space="preserve">EIR Process and </w:t>
      </w:r>
      <w:r>
        <w:rPr>
          <w:rFonts w:ascii="Century Schoolbook" w:hAnsi="Century Schoolbook"/>
          <w:u w:val="single"/>
        </w:rPr>
        <w:t xml:space="preserve">the </w:t>
      </w:r>
      <w:r w:rsidR="00A1401B" w:rsidRPr="00A1401B">
        <w:rPr>
          <w:rFonts w:ascii="Century Schoolbook" w:hAnsi="Century Schoolbook"/>
          <w:u w:val="single"/>
        </w:rPr>
        <w:t xml:space="preserve">Districts’ </w:t>
      </w:r>
      <w:r w:rsidR="00A1401B">
        <w:rPr>
          <w:rFonts w:ascii="Century Schoolbook" w:hAnsi="Century Schoolbook"/>
          <w:u w:val="single"/>
        </w:rPr>
        <w:t xml:space="preserve">Public </w:t>
      </w:r>
      <w:r w:rsidR="00A1401B" w:rsidRPr="00A1401B">
        <w:rPr>
          <w:rFonts w:ascii="Century Schoolbook" w:hAnsi="Century Schoolbook"/>
          <w:u w:val="single"/>
        </w:rPr>
        <w:t>Comments</w:t>
      </w:r>
      <w:r w:rsidR="005A7C79" w:rsidRPr="00A1401B">
        <w:rPr>
          <w:rFonts w:ascii="Century Schoolbook" w:hAnsi="Century Schoolbook"/>
        </w:rPr>
        <w:tab/>
      </w:r>
      <w:r w:rsidR="000D6279" w:rsidRPr="00A1401B">
        <w:rPr>
          <w:rFonts w:ascii="Century Schoolbook" w:hAnsi="Century Schoolbook"/>
          <w:u w:val="single"/>
        </w:rPr>
        <w:t xml:space="preserve"> </w:t>
      </w:r>
    </w:p>
    <w:p w14:paraId="53B95165" w14:textId="51EE1F97" w:rsidR="00D14B98" w:rsidRDefault="00A1401B" w:rsidP="003E75F8">
      <w:pPr>
        <w:rPr>
          <w:rFonts w:ascii="Century Schoolbook" w:hAnsi="Century Schoolbook"/>
        </w:rPr>
      </w:pPr>
      <w:r>
        <w:rPr>
          <w:rFonts w:ascii="Century Schoolbook" w:hAnsi="Century Schoolbook"/>
        </w:rPr>
        <w:tab/>
      </w:r>
      <w:r w:rsidR="00CC4EBE">
        <w:rPr>
          <w:rFonts w:ascii="Century Schoolbook" w:hAnsi="Century Schoolbook"/>
        </w:rPr>
        <w:t xml:space="preserve">The CEQA Initial Study for the Specific Plan was circulated for public review and comment in October 2015. </w:t>
      </w:r>
      <w:r w:rsidR="00B85DF6">
        <w:rPr>
          <w:rFonts w:ascii="Century Schoolbook" w:hAnsi="Century Schoolbook"/>
        </w:rPr>
        <w:t xml:space="preserve">Of the </w:t>
      </w:r>
      <w:r w:rsidR="00D14B98">
        <w:rPr>
          <w:rFonts w:ascii="Century Schoolbook" w:hAnsi="Century Schoolbook"/>
        </w:rPr>
        <w:t xml:space="preserve">identified </w:t>
      </w:r>
      <w:r w:rsidR="00B85DF6">
        <w:rPr>
          <w:rFonts w:ascii="Century Schoolbook" w:hAnsi="Century Schoolbook"/>
        </w:rPr>
        <w:t xml:space="preserve">five schools </w:t>
      </w:r>
      <w:r w:rsidR="0005128C">
        <w:rPr>
          <w:rFonts w:ascii="Century Schoolbook" w:hAnsi="Century Schoolbook"/>
        </w:rPr>
        <w:t>within</w:t>
      </w:r>
      <w:r w:rsidR="00B85DF6">
        <w:rPr>
          <w:rFonts w:ascii="Century Schoolbook" w:hAnsi="Century Schoolbook"/>
        </w:rPr>
        <w:t xml:space="preserve"> the Site, by then one elementary school (McKinnon Elementary) was already operational and the high school (Rancho San Juan) had already been planned. The Initial Study noted </w:t>
      </w:r>
      <w:r w:rsidR="00D14B98">
        <w:rPr>
          <w:rFonts w:ascii="Century Schoolbook" w:hAnsi="Century Schoolbook"/>
        </w:rPr>
        <w:t xml:space="preserve">potentially significant impacts for schools, and </w:t>
      </w:r>
      <w:r w:rsidR="00F96225">
        <w:rPr>
          <w:rFonts w:ascii="Century Schoolbook" w:hAnsi="Century Schoolbook"/>
        </w:rPr>
        <w:t xml:space="preserve">it </w:t>
      </w:r>
      <w:r w:rsidR="00D14B98">
        <w:rPr>
          <w:rFonts w:ascii="Century Schoolbook" w:hAnsi="Century Schoolbook"/>
        </w:rPr>
        <w:t xml:space="preserve">represented that a “detailed analysis with adequate mitigation measures will be prepared in the EIR,” including the “examination of public facilities impact fees.” </w:t>
      </w:r>
    </w:p>
    <w:p w14:paraId="59C0C51D" w14:textId="43B2C39B" w:rsidR="00B60C61" w:rsidRDefault="00D14B98" w:rsidP="003E75F8">
      <w:pPr>
        <w:rPr>
          <w:rFonts w:ascii="Century Schoolbook" w:hAnsi="Century Schoolbook"/>
        </w:rPr>
      </w:pPr>
      <w:r>
        <w:rPr>
          <w:rFonts w:ascii="Century Schoolbook" w:hAnsi="Century Schoolbook"/>
        </w:rPr>
        <w:tab/>
        <w:t xml:space="preserve">In response to the Initial Study, SUHSD wrote a letter to the City in November 2015. The letter pointed out the lack of assurance that all students </w:t>
      </w:r>
      <w:r w:rsidR="00332C34">
        <w:rPr>
          <w:rFonts w:ascii="Century Schoolbook" w:hAnsi="Century Schoolbook"/>
        </w:rPr>
        <w:t xml:space="preserve">anticipated </w:t>
      </w:r>
      <w:r>
        <w:rPr>
          <w:rFonts w:ascii="Century Schoolbook" w:hAnsi="Century Schoolbook"/>
        </w:rPr>
        <w:t xml:space="preserve">within the Specific Plan </w:t>
      </w:r>
      <w:r w:rsidR="0005128C">
        <w:rPr>
          <w:rFonts w:ascii="Century Schoolbook" w:hAnsi="Century Schoolbook"/>
        </w:rPr>
        <w:t xml:space="preserve">area </w:t>
      </w:r>
      <w:r>
        <w:rPr>
          <w:rFonts w:ascii="Century Schoolbook" w:hAnsi="Century Schoolbook"/>
        </w:rPr>
        <w:t>could be served by the new high school, then p</w:t>
      </w:r>
      <w:r w:rsidR="009A3AA2">
        <w:rPr>
          <w:rFonts w:ascii="Century Schoolbook" w:hAnsi="Century Schoolbook"/>
        </w:rPr>
        <w:t>rojected</w:t>
      </w:r>
      <w:r>
        <w:rPr>
          <w:rFonts w:ascii="Century Schoolbook" w:hAnsi="Century Schoolbook"/>
        </w:rPr>
        <w:t xml:space="preserve"> to be open in the fall of 2018. </w:t>
      </w:r>
    </w:p>
    <w:p w14:paraId="2BF68825" w14:textId="50767AA1" w:rsidR="00CD0567" w:rsidRDefault="00B60C61" w:rsidP="003E75F8">
      <w:pPr>
        <w:rPr>
          <w:rFonts w:ascii="Century Schoolbook" w:hAnsi="Century Schoolbook"/>
        </w:rPr>
      </w:pPr>
      <w:r>
        <w:rPr>
          <w:rFonts w:ascii="Century Schoolbook" w:hAnsi="Century Schoolbook"/>
        </w:rPr>
        <w:tab/>
      </w:r>
      <w:r w:rsidR="00D14B98">
        <w:rPr>
          <w:rFonts w:ascii="Century Schoolbook" w:hAnsi="Century Schoolbook"/>
        </w:rPr>
        <w:t xml:space="preserve">In January 2016, </w:t>
      </w:r>
      <w:r w:rsidR="001F36D8">
        <w:rPr>
          <w:rFonts w:ascii="Century Schoolbook" w:hAnsi="Century Schoolbook"/>
        </w:rPr>
        <w:t xml:space="preserve">SRUSD </w:t>
      </w:r>
      <w:r w:rsidR="009166C4">
        <w:rPr>
          <w:rFonts w:ascii="Century Schoolbook" w:hAnsi="Century Schoolbook"/>
        </w:rPr>
        <w:t xml:space="preserve">likewise </w:t>
      </w:r>
      <w:r w:rsidR="001F36D8">
        <w:rPr>
          <w:rFonts w:ascii="Century Schoolbook" w:hAnsi="Century Schoolbook"/>
        </w:rPr>
        <w:t>sent a comment letter to the City. This letter pointed out that student generation from the Specific Plan would fill two elementary schools and one middle school, but that the responsibility for constructing the schools would be borne by SRUSD alone and that “development fees are generally insufficient to cover all the costs associated with the necessary infrastructure around schools and other impacts to schools caused by the development, let alone construction[,] of additional schools themselves.</w:t>
      </w:r>
      <w:r w:rsidR="00A72611">
        <w:rPr>
          <w:rFonts w:ascii="Century Schoolbook" w:hAnsi="Century Schoolbook"/>
        </w:rPr>
        <w:t>”</w:t>
      </w:r>
      <w:r w:rsidR="001F36D8">
        <w:rPr>
          <w:rFonts w:ascii="Century Schoolbook" w:hAnsi="Century Schoolbook"/>
        </w:rPr>
        <w:t xml:space="preserve"> The letter </w:t>
      </w:r>
      <w:r w:rsidR="00CD0567">
        <w:rPr>
          <w:rFonts w:ascii="Century Schoolbook" w:hAnsi="Century Schoolbook"/>
        </w:rPr>
        <w:t xml:space="preserve">added that SRUSD did not have room for growth at its existing schools. And it </w:t>
      </w:r>
      <w:r w:rsidR="001F36D8">
        <w:rPr>
          <w:rFonts w:ascii="Century Schoolbook" w:hAnsi="Century Schoolbook"/>
        </w:rPr>
        <w:t xml:space="preserve">emphasized that the payment of developer impact fees would not excuse the City from reviewing environmental impacts other than </w:t>
      </w:r>
      <w:r w:rsidR="001F36D8">
        <w:rPr>
          <w:rFonts w:ascii="Century Schoolbook" w:hAnsi="Century Schoolbook"/>
        </w:rPr>
        <w:lastRenderedPageBreak/>
        <w:t xml:space="preserve">direct impacts on school facilities, and because the Project alone would cause these </w:t>
      </w:r>
      <w:r w:rsidR="00A1401B">
        <w:rPr>
          <w:rFonts w:ascii="Century Schoolbook" w:hAnsi="Century Schoolbook"/>
        </w:rPr>
        <w:t xml:space="preserve">sorts of </w:t>
      </w:r>
      <w:r w:rsidR="001F36D8">
        <w:rPr>
          <w:rFonts w:ascii="Century Schoolbook" w:hAnsi="Century Schoolbook"/>
        </w:rPr>
        <w:t>impacts, the City could not properly defer</w:t>
      </w:r>
      <w:r w:rsidR="00CD0567">
        <w:rPr>
          <w:rFonts w:ascii="Century Schoolbook" w:hAnsi="Century Schoolbook"/>
        </w:rPr>
        <w:t xml:space="preserve"> environmental analysis until after Specific</w:t>
      </w:r>
      <w:r w:rsidR="001C1D32">
        <w:rPr>
          <w:rFonts w:ascii="Century Schoolbook" w:hAnsi="Century Schoolbook"/>
        </w:rPr>
        <w:t xml:space="preserve"> </w:t>
      </w:r>
      <w:r w:rsidR="00CD0567">
        <w:rPr>
          <w:rFonts w:ascii="Century Schoolbook" w:hAnsi="Century Schoolbook"/>
        </w:rPr>
        <w:t xml:space="preserve">Plan approval. </w:t>
      </w:r>
      <w:r w:rsidR="009A3AA2">
        <w:rPr>
          <w:rFonts w:ascii="Century Schoolbook" w:hAnsi="Century Schoolbook"/>
        </w:rPr>
        <w:t>T</w:t>
      </w:r>
      <w:r>
        <w:rPr>
          <w:rFonts w:ascii="Century Schoolbook" w:hAnsi="Century Schoolbook"/>
        </w:rPr>
        <w:t xml:space="preserve">he thrust of SRUSD’s letter was </w:t>
      </w:r>
      <w:r w:rsidR="001C1D32">
        <w:rPr>
          <w:rFonts w:ascii="Century Schoolbook" w:hAnsi="Century Schoolbook"/>
        </w:rPr>
        <w:t xml:space="preserve">focused not so much on environmental impacts but on </w:t>
      </w:r>
      <w:r w:rsidR="00A1401B">
        <w:rPr>
          <w:rFonts w:ascii="Century Schoolbook" w:hAnsi="Century Schoolbook"/>
        </w:rPr>
        <w:t xml:space="preserve">its </w:t>
      </w:r>
      <w:r>
        <w:rPr>
          <w:rFonts w:ascii="Century Schoolbook" w:hAnsi="Century Schoolbook"/>
        </w:rPr>
        <w:t>objection to the “lack of clear funding called for in the Specific Plan” and the need to “include additional mechanisms to ensure funding for construction of the three needed school facilities, necessary infrastructure around the schools, and other costs for school-related impacts caused by the project</w:t>
      </w:r>
      <w:r w:rsidR="00914EA6">
        <w:rPr>
          <w:rFonts w:ascii="Century Schoolbook" w:hAnsi="Century Schoolbook"/>
        </w:rPr>
        <w:t>.</w:t>
      </w:r>
      <w:r>
        <w:rPr>
          <w:rFonts w:ascii="Century Schoolbook" w:hAnsi="Century Schoolbook"/>
        </w:rPr>
        <w:t xml:space="preserve">” </w:t>
      </w:r>
    </w:p>
    <w:p w14:paraId="53F4A7F6" w14:textId="26375CFA" w:rsidR="00F74CFD" w:rsidRDefault="00CD0567" w:rsidP="003E75F8">
      <w:pPr>
        <w:rPr>
          <w:rFonts w:ascii="Century Schoolbook" w:hAnsi="Century Schoolbook"/>
        </w:rPr>
      </w:pPr>
      <w:r>
        <w:rPr>
          <w:rFonts w:ascii="Century Schoolbook" w:hAnsi="Century Schoolbook"/>
        </w:rPr>
        <w:tab/>
        <w:t xml:space="preserve">The City </w:t>
      </w:r>
      <w:r w:rsidR="00926EDB">
        <w:rPr>
          <w:rFonts w:ascii="Century Schoolbook" w:hAnsi="Century Schoolbook"/>
        </w:rPr>
        <w:t xml:space="preserve">circulated the Specific Plan Draft EIR for public comment from February 17, 2019, to April 15, 2019. </w:t>
      </w:r>
      <w:r w:rsidR="0005128C">
        <w:rPr>
          <w:rFonts w:ascii="Century Schoolbook" w:hAnsi="Century Schoolbook"/>
        </w:rPr>
        <w:t>The document</w:t>
      </w:r>
      <w:r w:rsidR="00926EDB">
        <w:rPr>
          <w:rFonts w:ascii="Century Schoolbook" w:hAnsi="Century Schoolbook"/>
        </w:rPr>
        <w:t xml:space="preserve"> </w:t>
      </w:r>
      <w:r w:rsidR="00914EA6">
        <w:rPr>
          <w:rFonts w:ascii="Century Schoolbook" w:hAnsi="Century Schoolbook"/>
        </w:rPr>
        <w:t xml:space="preserve">specifically </w:t>
      </w:r>
      <w:r w:rsidR="004523A3">
        <w:rPr>
          <w:rFonts w:ascii="Century Schoolbook" w:hAnsi="Century Schoolbook"/>
        </w:rPr>
        <w:t xml:space="preserve">addressed impacts related to the construction of new schools in Section 3.9 (Public Services). The Draft EIR noted that the Specific Plan was expected to generate between </w:t>
      </w:r>
      <w:r w:rsidR="0095252C">
        <w:rPr>
          <w:rFonts w:ascii="Century Schoolbook" w:hAnsi="Century Schoolbook"/>
        </w:rPr>
        <w:t xml:space="preserve">approximately </w:t>
      </w:r>
      <w:r w:rsidR="004523A3">
        <w:rPr>
          <w:rFonts w:ascii="Century Schoolbook" w:hAnsi="Century Schoolbook"/>
        </w:rPr>
        <w:t xml:space="preserve">1,927 and 2,354 additional students for the Districts, with a maximum of 1,623 for the SRUSD, and that the Districts’ existing schools were already at or near full capacity with shortages already </w:t>
      </w:r>
      <w:r w:rsidR="0005128C">
        <w:rPr>
          <w:rFonts w:ascii="Century Schoolbook" w:hAnsi="Century Schoolbook"/>
        </w:rPr>
        <w:t xml:space="preserve">being </w:t>
      </w:r>
      <w:r w:rsidR="004523A3">
        <w:rPr>
          <w:rFonts w:ascii="Century Schoolbook" w:hAnsi="Century Schoolbook"/>
        </w:rPr>
        <w:t>experienced at the elementary and middle school levels.</w:t>
      </w:r>
      <w:r w:rsidR="00332C34">
        <w:rPr>
          <w:rStyle w:val="FootnoteReference"/>
          <w:rFonts w:ascii="Century Schoolbook" w:hAnsi="Century Schoolbook"/>
        </w:rPr>
        <w:footnoteReference w:id="3"/>
      </w:r>
      <w:r w:rsidR="004523A3">
        <w:rPr>
          <w:rFonts w:ascii="Century Schoolbook" w:hAnsi="Century Schoolbook"/>
        </w:rPr>
        <w:t xml:space="preserve"> The new high school was expec</w:t>
      </w:r>
      <w:r w:rsidR="0005128C">
        <w:rPr>
          <w:rFonts w:ascii="Century Schoolbook" w:hAnsi="Century Schoolbook"/>
        </w:rPr>
        <w:t xml:space="preserve">ted to be </w:t>
      </w:r>
      <w:r w:rsidR="00CF6FC8">
        <w:rPr>
          <w:rFonts w:ascii="Century Schoolbook" w:hAnsi="Century Schoolbook"/>
        </w:rPr>
        <w:t>at</w:t>
      </w:r>
      <w:r w:rsidR="004523A3">
        <w:rPr>
          <w:rFonts w:ascii="Century Schoolbook" w:hAnsi="Century Schoolbook"/>
        </w:rPr>
        <w:t xml:space="preserve"> </w:t>
      </w:r>
      <w:r w:rsidR="0005128C">
        <w:rPr>
          <w:rFonts w:ascii="Century Schoolbook" w:hAnsi="Century Schoolbook"/>
        </w:rPr>
        <w:t xml:space="preserve">or </w:t>
      </w:r>
      <w:r w:rsidR="004523A3">
        <w:rPr>
          <w:rFonts w:ascii="Century Schoolbook" w:hAnsi="Century Schoolbook"/>
        </w:rPr>
        <w:t xml:space="preserve">near full capacity by the fall of 2019. </w:t>
      </w:r>
      <w:r w:rsidR="00CF6FC8">
        <w:rPr>
          <w:rFonts w:ascii="Century Schoolbook" w:hAnsi="Century Schoolbook"/>
        </w:rPr>
        <w:t xml:space="preserve">The Draft EIR observed that </w:t>
      </w:r>
      <w:r w:rsidR="005268B0">
        <w:rPr>
          <w:rFonts w:ascii="Century Schoolbook" w:hAnsi="Century Schoolbook"/>
        </w:rPr>
        <w:t xml:space="preserve">besides the one </w:t>
      </w:r>
      <w:r w:rsidR="00BF6531">
        <w:rPr>
          <w:rFonts w:ascii="Century Schoolbook" w:hAnsi="Century Schoolbook"/>
        </w:rPr>
        <w:t xml:space="preserve">new </w:t>
      </w:r>
      <w:r w:rsidR="005268B0">
        <w:rPr>
          <w:rFonts w:ascii="Century Schoolbook" w:hAnsi="Century Schoolbook"/>
        </w:rPr>
        <w:t xml:space="preserve">elementary school </w:t>
      </w:r>
      <w:r w:rsidR="00BF6531">
        <w:rPr>
          <w:rFonts w:ascii="Century Schoolbook" w:hAnsi="Century Schoolbook"/>
        </w:rPr>
        <w:t xml:space="preserve">that had already been constructed and the new high school </w:t>
      </w:r>
      <w:r w:rsidR="00F74CFD">
        <w:rPr>
          <w:rFonts w:ascii="Century Schoolbook" w:hAnsi="Century Schoolbook"/>
        </w:rPr>
        <w:t xml:space="preserve">then </w:t>
      </w:r>
      <w:r w:rsidR="00BF6531">
        <w:rPr>
          <w:rFonts w:ascii="Century Schoolbook" w:hAnsi="Century Schoolbook"/>
        </w:rPr>
        <w:t xml:space="preserve">under construction, </w:t>
      </w:r>
      <w:r w:rsidR="00CF6FC8">
        <w:rPr>
          <w:rFonts w:ascii="Century Schoolbook" w:hAnsi="Century Schoolbook"/>
        </w:rPr>
        <w:t xml:space="preserve">the Specific Plan “may result in the need for the </w:t>
      </w:r>
      <w:r w:rsidR="000A74A9">
        <w:rPr>
          <w:rFonts w:ascii="Century Schoolbook" w:hAnsi="Century Schoolbook"/>
        </w:rPr>
        <w:t xml:space="preserve">construction of </w:t>
      </w:r>
      <w:r w:rsidR="00BF6531">
        <w:rPr>
          <w:rFonts w:ascii="Century Schoolbook" w:hAnsi="Century Schoolbook"/>
        </w:rPr>
        <w:t xml:space="preserve">[three] </w:t>
      </w:r>
      <w:r w:rsidR="000A74A9">
        <w:rPr>
          <w:rFonts w:ascii="Century Schoolbook" w:hAnsi="Century Schoolbook"/>
        </w:rPr>
        <w:t>new schools, which has the potential to cause substantial adverse physical environmental impacts</w:t>
      </w:r>
      <w:r w:rsidR="00E42A0A">
        <w:rPr>
          <w:rFonts w:ascii="Century Schoolbook" w:hAnsi="Century Schoolbook"/>
        </w:rPr>
        <w:t>.</w:t>
      </w:r>
      <w:r w:rsidR="000A74A9">
        <w:rPr>
          <w:rFonts w:ascii="Century Schoolbook" w:hAnsi="Century Schoolbook"/>
        </w:rPr>
        <w:t xml:space="preserve">” </w:t>
      </w:r>
      <w:r w:rsidR="00F74CFD">
        <w:rPr>
          <w:rFonts w:ascii="Century Schoolbook" w:hAnsi="Century Schoolbook"/>
        </w:rPr>
        <w:t>And l</w:t>
      </w:r>
      <w:r w:rsidR="00BF6531">
        <w:rPr>
          <w:rFonts w:ascii="Century Schoolbook" w:hAnsi="Century Schoolbook"/>
        </w:rPr>
        <w:t xml:space="preserve">ocations for the new schools were identified. </w:t>
      </w:r>
    </w:p>
    <w:p w14:paraId="3635F247" w14:textId="2063DCFF" w:rsidR="004D0BAB" w:rsidRDefault="00F74CFD" w:rsidP="003E75F8">
      <w:pPr>
        <w:rPr>
          <w:rFonts w:ascii="Century Schoolbook" w:hAnsi="Century Schoolbook"/>
        </w:rPr>
      </w:pPr>
      <w:r>
        <w:rPr>
          <w:rFonts w:ascii="Century Schoolbook" w:hAnsi="Century Schoolbook"/>
        </w:rPr>
        <w:tab/>
      </w:r>
      <w:r w:rsidR="000A74A9">
        <w:rPr>
          <w:rFonts w:ascii="Century Schoolbook" w:hAnsi="Century Schoolbook"/>
        </w:rPr>
        <w:t xml:space="preserve">The </w:t>
      </w:r>
      <w:r w:rsidR="009A3AA2">
        <w:rPr>
          <w:rFonts w:ascii="Century Schoolbook" w:hAnsi="Century Schoolbook"/>
        </w:rPr>
        <w:t xml:space="preserve">general </w:t>
      </w:r>
      <w:r w:rsidR="00A1401B">
        <w:rPr>
          <w:rFonts w:ascii="Century Schoolbook" w:hAnsi="Century Schoolbook"/>
        </w:rPr>
        <w:t xml:space="preserve">topics of </w:t>
      </w:r>
      <w:r w:rsidR="00BF6531">
        <w:rPr>
          <w:rFonts w:ascii="Century Schoolbook" w:hAnsi="Century Schoolbook"/>
        </w:rPr>
        <w:t xml:space="preserve">environmental </w:t>
      </w:r>
      <w:r w:rsidR="000A74A9">
        <w:rPr>
          <w:rFonts w:ascii="Century Schoolbook" w:hAnsi="Century Schoolbook"/>
        </w:rPr>
        <w:t xml:space="preserve">impacts </w:t>
      </w:r>
      <w:r>
        <w:rPr>
          <w:rFonts w:ascii="Century Schoolbook" w:hAnsi="Century Schoolbook"/>
        </w:rPr>
        <w:t xml:space="preserve">addressed in the Draft EIR </w:t>
      </w:r>
      <w:r w:rsidR="000A74A9">
        <w:rPr>
          <w:rFonts w:ascii="Century Schoolbook" w:hAnsi="Century Schoolbook"/>
        </w:rPr>
        <w:t xml:space="preserve">related to air quality (Section 3.1), </w:t>
      </w:r>
      <w:r w:rsidR="00E42A0A">
        <w:rPr>
          <w:rFonts w:ascii="Century Schoolbook" w:hAnsi="Century Schoolbook"/>
        </w:rPr>
        <w:t xml:space="preserve">biological resources (Section 3.2), cultural </w:t>
      </w:r>
      <w:r w:rsidR="00E42A0A">
        <w:rPr>
          <w:rFonts w:ascii="Century Schoolbook" w:hAnsi="Century Schoolbook"/>
        </w:rPr>
        <w:lastRenderedPageBreak/>
        <w:t>resources (Section 3.3), greenhouse gas emissions and climate change (Section</w:t>
      </w:r>
      <w:r w:rsidR="00CB657F">
        <w:rPr>
          <w:rFonts w:ascii="Century Schoolbook" w:hAnsi="Century Schoolbook"/>
        </w:rPr>
        <w:t> </w:t>
      </w:r>
      <w:r w:rsidR="00E42A0A">
        <w:rPr>
          <w:rFonts w:ascii="Century Schoolbook" w:hAnsi="Century Schoolbook"/>
        </w:rPr>
        <w:t xml:space="preserve">3.4), hazards and hazardous materials (Section 3.5), hydrology and water quality (Section 3.6), noise (Section 3.7), population (Section 3.8), public services (Section 3.9), transportation (Section 3.10), and utilities (Section 3.11). </w:t>
      </w:r>
      <w:r w:rsidR="00AA4A80">
        <w:rPr>
          <w:rFonts w:ascii="Century Schoolbook" w:hAnsi="Century Schoolbook"/>
        </w:rPr>
        <w:t xml:space="preserve">The Draft EIR adopted mitigation measures for all these categories. </w:t>
      </w:r>
      <w:r w:rsidR="00580332">
        <w:rPr>
          <w:rFonts w:ascii="Century Schoolbook" w:hAnsi="Century Schoolbook"/>
        </w:rPr>
        <w:t>Along with addressing related impacts for new schools among these various categories of impacts, t</w:t>
      </w:r>
      <w:r w:rsidR="00AA4A80">
        <w:rPr>
          <w:rFonts w:ascii="Century Schoolbook" w:hAnsi="Century Schoolbook"/>
        </w:rPr>
        <w:t>he</w:t>
      </w:r>
      <w:r w:rsidR="00580332">
        <w:rPr>
          <w:rFonts w:ascii="Century Schoolbook" w:hAnsi="Century Schoolbook"/>
        </w:rPr>
        <w:t xml:space="preserve"> </w:t>
      </w:r>
      <w:r w:rsidR="009A3AA2">
        <w:rPr>
          <w:rFonts w:ascii="Century Schoolbook" w:hAnsi="Century Schoolbook"/>
        </w:rPr>
        <w:t xml:space="preserve">specific </w:t>
      </w:r>
      <w:r w:rsidR="00580332">
        <w:rPr>
          <w:rFonts w:ascii="Century Schoolbook" w:hAnsi="Century Schoolbook"/>
        </w:rPr>
        <w:t>mitigation measures</w:t>
      </w:r>
      <w:r w:rsidR="00AA4A80">
        <w:rPr>
          <w:rFonts w:ascii="Century Schoolbook" w:hAnsi="Century Schoolbook"/>
        </w:rPr>
        <w:t xml:space="preserve"> included </w:t>
      </w:r>
      <w:r>
        <w:rPr>
          <w:rFonts w:ascii="Century Schoolbook" w:hAnsi="Century Schoolbook"/>
        </w:rPr>
        <w:t xml:space="preserve">for public schools </w:t>
      </w:r>
      <w:r w:rsidR="00AA4A80">
        <w:rPr>
          <w:rFonts w:ascii="Century Schoolbook" w:hAnsi="Century Schoolbook"/>
        </w:rPr>
        <w:t>the implementation of a</w:t>
      </w:r>
      <w:r w:rsidR="00D806FB">
        <w:rPr>
          <w:rFonts w:ascii="Century Schoolbook" w:hAnsi="Century Schoolbook"/>
        </w:rPr>
        <w:t xml:space="preserve"> </w:t>
      </w:r>
      <w:r w:rsidR="004D0BAB">
        <w:rPr>
          <w:rFonts w:ascii="Century Schoolbook" w:hAnsi="Century Schoolbook"/>
        </w:rPr>
        <w:t>requir</w:t>
      </w:r>
      <w:r w:rsidR="00D806FB">
        <w:rPr>
          <w:rFonts w:ascii="Century Schoolbook" w:hAnsi="Century Schoolbook"/>
        </w:rPr>
        <w:t>ement for</w:t>
      </w:r>
      <w:r w:rsidR="004D0BAB">
        <w:rPr>
          <w:rFonts w:ascii="Century Schoolbook" w:hAnsi="Century Schoolbook"/>
        </w:rPr>
        <w:t xml:space="preserve"> payment of development impact fees by the applicant of a residential building permit before </w:t>
      </w:r>
      <w:r w:rsidR="0095252C">
        <w:rPr>
          <w:rFonts w:ascii="Century Schoolbook" w:hAnsi="Century Schoolbook"/>
        </w:rPr>
        <w:t xml:space="preserve">a permit could be issued. </w:t>
      </w:r>
      <w:r w:rsidR="004D0BAB">
        <w:rPr>
          <w:rFonts w:ascii="Century Schoolbook" w:hAnsi="Century Schoolbook"/>
        </w:rPr>
        <w:t xml:space="preserve"> </w:t>
      </w:r>
    </w:p>
    <w:p w14:paraId="24D872F0" w14:textId="753857CE" w:rsidR="004D0BAB" w:rsidRDefault="004D0BAB" w:rsidP="003E75F8">
      <w:pPr>
        <w:rPr>
          <w:rFonts w:ascii="Century Schoolbook" w:hAnsi="Century Schoolbook"/>
        </w:rPr>
      </w:pPr>
      <w:r>
        <w:rPr>
          <w:rFonts w:ascii="Century Schoolbook" w:hAnsi="Century Schoolbook"/>
        </w:rPr>
        <w:tab/>
      </w:r>
      <w:r w:rsidR="005A559A">
        <w:rPr>
          <w:rFonts w:ascii="Century Schoolbook" w:hAnsi="Century Schoolbook"/>
        </w:rPr>
        <w:t xml:space="preserve"> </w:t>
      </w:r>
      <w:r w:rsidR="00E42A0A">
        <w:rPr>
          <w:rFonts w:ascii="Century Schoolbook" w:hAnsi="Century Schoolbook"/>
        </w:rPr>
        <w:t xml:space="preserve">The </w:t>
      </w:r>
      <w:r w:rsidR="00E42A0A" w:rsidRPr="00B60C61">
        <w:rPr>
          <w:rFonts w:ascii="Century Schoolbook" w:hAnsi="Century Schoolbook"/>
        </w:rPr>
        <w:t>Draft EIR</w:t>
      </w:r>
      <w:r w:rsidR="00E42A0A">
        <w:rPr>
          <w:rFonts w:ascii="Century Schoolbook" w:hAnsi="Century Schoolbook"/>
        </w:rPr>
        <w:t xml:space="preserve"> </w:t>
      </w:r>
      <w:r>
        <w:rPr>
          <w:rFonts w:ascii="Century Schoolbook" w:hAnsi="Century Schoolbook"/>
        </w:rPr>
        <w:t>further</w:t>
      </w:r>
      <w:r w:rsidR="00E42A0A">
        <w:rPr>
          <w:rFonts w:ascii="Century Schoolbook" w:hAnsi="Century Schoolbook"/>
        </w:rPr>
        <w:t xml:space="preserve"> noted that </w:t>
      </w:r>
      <w:r>
        <w:rPr>
          <w:rFonts w:ascii="Century Schoolbook" w:hAnsi="Century Schoolbook"/>
        </w:rPr>
        <w:t xml:space="preserve">such </w:t>
      </w:r>
      <w:r w:rsidR="00E42A0A">
        <w:rPr>
          <w:rFonts w:ascii="Century Schoolbook" w:hAnsi="Century Schoolbook"/>
        </w:rPr>
        <w:t xml:space="preserve">developer </w:t>
      </w:r>
      <w:r w:rsidR="00D806FB">
        <w:rPr>
          <w:rFonts w:ascii="Century Schoolbook" w:hAnsi="Century Schoolbook"/>
        </w:rPr>
        <w:t xml:space="preserve">impact </w:t>
      </w:r>
      <w:r w:rsidR="00E42A0A">
        <w:rPr>
          <w:rFonts w:ascii="Century Schoolbook" w:hAnsi="Century Schoolbook"/>
        </w:rPr>
        <w:t>fees are considered as full and complete mitigation under CEQA for the construction of new schools</w:t>
      </w:r>
      <w:r w:rsidR="00FB5963">
        <w:rPr>
          <w:rFonts w:ascii="Century Schoolbook" w:hAnsi="Century Schoolbook"/>
        </w:rPr>
        <w:t>,</w:t>
      </w:r>
      <w:r w:rsidR="00E42A0A">
        <w:rPr>
          <w:rFonts w:ascii="Century Schoolbook" w:hAnsi="Century Schoolbook"/>
        </w:rPr>
        <w:t xml:space="preserve"> and that</w:t>
      </w:r>
      <w:r w:rsidR="00BF6531">
        <w:rPr>
          <w:rFonts w:ascii="Century Schoolbook" w:hAnsi="Century Schoolbook"/>
        </w:rPr>
        <w:t xml:space="preserve"> </w:t>
      </w:r>
      <w:r w:rsidR="005A559A">
        <w:rPr>
          <w:rFonts w:ascii="Century Schoolbook" w:hAnsi="Century Schoolbook"/>
        </w:rPr>
        <w:t>public schools within the Specific Plan “will be constructed based on projections of the need for these facilities” with the Districts determining “the appropriate phasing of [their] facilities” as driven by increased demand and enrollment. The Project was “designed such that each current institutional or individual owner may develop their property independent of development by other property owners</w:t>
      </w:r>
      <w:r w:rsidR="00FB5963">
        <w:rPr>
          <w:rFonts w:ascii="Century Schoolbook" w:hAnsi="Century Schoolbook"/>
        </w:rPr>
        <w:t>.</w:t>
      </w:r>
      <w:r w:rsidR="005A559A">
        <w:rPr>
          <w:rFonts w:ascii="Century Schoolbook" w:hAnsi="Century Schoolbook"/>
        </w:rPr>
        <w:t>”</w:t>
      </w:r>
      <w:r w:rsidR="00D806FB">
        <w:rPr>
          <w:rFonts w:ascii="Century Schoolbook" w:hAnsi="Century Schoolbook"/>
        </w:rPr>
        <w:t xml:space="preserve"> </w:t>
      </w:r>
      <w:r w:rsidR="005A559A">
        <w:rPr>
          <w:rFonts w:ascii="Century Schoolbook" w:hAnsi="Century Schoolbook"/>
        </w:rPr>
        <w:t xml:space="preserve">The Draft EIR further noted that future site-specific environmental review would be required for each new school by the responsible school district before approval of a design for a specific facility, and this review would consider environmental impacts not known </w:t>
      </w:r>
      <w:r w:rsidR="00AA4A80">
        <w:rPr>
          <w:rFonts w:ascii="Century Schoolbook" w:hAnsi="Century Schoolbook"/>
        </w:rPr>
        <w:t xml:space="preserve">when the Project EIR was prepared. And each future school, if constructed, would be subject to the relevant mitigation measures in the EIR. </w:t>
      </w:r>
    </w:p>
    <w:p w14:paraId="01980B50" w14:textId="7722C6DA" w:rsidR="000D7098" w:rsidRDefault="004D0BAB" w:rsidP="003E75F8">
      <w:pPr>
        <w:rPr>
          <w:rFonts w:ascii="Century Schoolbook" w:hAnsi="Century Schoolbook"/>
        </w:rPr>
      </w:pPr>
      <w:r>
        <w:rPr>
          <w:rFonts w:ascii="Century Schoolbook" w:hAnsi="Century Schoolbook"/>
        </w:rPr>
        <w:tab/>
        <w:t xml:space="preserve">The City received comment letters </w:t>
      </w:r>
      <w:r w:rsidR="00FB3EDE">
        <w:rPr>
          <w:rFonts w:ascii="Century Schoolbook" w:hAnsi="Century Schoolbook"/>
        </w:rPr>
        <w:t xml:space="preserve">from the Districts, as well as from </w:t>
      </w:r>
      <w:proofErr w:type="spellStart"/>
      <w:r w:rsidR="00FB3EDE">
        <w:rPr>
          <w:rFonts w:ascii="Century Schoolbook" w:hAnsi="Century Schoolbook"/>
        </w:rPr>
        <w:t>Alisal</w:t>
      </w:r>
      <w:proofErr w:type="spellEnd"/>
      <w:r w:rsidR="00FB3EDE">
        <w:rPr>
          <w:rFonts w:ascii="Century Schoolbook" w:hAnsi="Century Schoolbook"/>
        </w:rPr>
        <w:t xml:space="preserve"> Union School District, </w:t>
      </w:r>
      <w:r>
        <w:rPr>
          <w:rFonts w:ascii="Century Schoolbook" w:hAnsi="Century Schoolbook"/>
        </w:rPr>
        <w:t>during the comment period for the Draft EIR</w:t>
      </w:r>
      <w:r w:rsidR="00FB3EDE">
        <w:rPr>
          <w:rFonts w:ascii="Century Schoolbook" w:hAnsi="Century Schoolbook"/>
        </w:rPr>
        <w:t>. These letters</w:t>
      </w:r>
      <w:r w:rsidR="00E55E0C">
        <w:rPr>
          <w:rFonts w:ascii="Century Schoolbook" w:hAnsi="Century Schoolbook"/>
        </w:rPr>
        <w:t xml:space="preserve"> </w:t>
      </w:r>
      <w:r w:rsidR="009A3AA2">
        <w:rPr>
          <w:rFonts w:ascii="Century Schoolbook" w:hAnsi="Century Schoolbook"/>
        </w:rPr>
        <w:t xml:space="preserve">all </w:t>
      </w:r>
      <w:r w:rsidR="006B5784">
        <w:rPr>
          <w:rFonts w:ascii="Century Schoolbook" w:hAnsi="Century Schoolbook"/>
        </w:rPr>
        <w:t>raised the same concerns</w:t>
      </w:r>
      <w:r w:rsidR="00E55E0C">
        <w:rPr>
          <w:rFonts w:ascii="Century Schoolbook" w:hAnsi="Century Schoolbook"/>
        </w:rPr>
        <w:t xml:space="preserve">, </w:t>
      </w:r>
      <w:r w:rsidR="006B5784">
        <w:rPr>
          <w:rFonts w:ascii="Century Schoolbook" w:hAnsi="Century Schoolbook"/>
        </w:rPr>
        <w:t>some in verbatim language</w:t>
      </w:r>
      <w:r w:rsidR="00E55E0C">
        <w:rPr>
          <w:rFonts w:ascii="Century Schoolbook" w:hAnsi="Century Schoolbook"/>
        </w:rPr>
        <w:t xml:space="preserve">. They </w:t>
      </w:r>
      <w:r w:rsidR="00FB3EDE">
        <w:rPr>
          <w:rFonts w:ascii="Century Schoolbook" w:hAnsi="Century Schoolbook"/>
        </w:rPr>
        <w:t xml:space="preserve">asserted that </w:t>
      </w:r>
      <w:proofErr w:type="gramStart"/>
      <w:r w:rsidR="006B5784">
        <w:rPr>
          <w:rFonts w:ascii="Century Schoolbook" w:hAnsi="Century Schoolbook"/>
        </w:rPr>
        <w:t>as a result of</w:t>
      </w:r>
      <w:proofErr w:type="gramEnd"/>
      <w:r w:rsidR="006B5784">
        <w:rPr>
          <w:rFonts w:ascii="Century Schoolbook" w:hAnsi="Century Schoolbook"/>
        </w:rPr>
        <w:t xml:space="preserve"> “the realities of school facilities funding,” </w:t>
      </w:r>
      <w:r w:rsidR="00E70C30">
        <w:rPr>
          <w:rFonts w:ascii="Century Schoolbook" w:hAnsi="Century Schoolbook"/>
        </w:rPr>
        <w:t xml:space="preserve">sufficient </w:t>
      </w:r>
      <w:r w:rsidR="00FB3EDE">
        <w:rPr>
          <w:rFonts w:ascii="Century Schoolbook" w:hAnsi="Century Schoolbook"/>
        </w:rPr>
        <w:t xml:space="preserve">funding </w:t>
      </w:r>
      <w:r w:rsidR="00113A57">
        <w:rPr>
          <w:rFonts w:ascii="Century Schoolbook" w:hAnsi="Century Schoolbook"/>
        </w:rPr>
        <w:t>“</w:t>
      </w:r>
      <w:r w:rsidR="00E70C30">
        <w:rPr>
          <w:rFonts w:ascii="Century Schoolbook" w:hAnsi="Century Schoolbook"/>
        </w:rPr>
        <w:t>may not be available</w:t>
      </w:r>
      <w:r w:rsidR="00113A57">
        <w:rPr>
          <w:rFonts w:ascii="Century Schoolbook" w:hAnsi="Century Schoolbook"/>
        </w:rPr>
        <w:t xml:space="preserve">” </w:t>
      </w:r>
      <w:r w:rsidR="00E70C30">
        <w:rPr>
          <w:rFonts w:ascii="Century Schoolbook" w:hAnsi="Century Schoolbook"/>
        </w:rPr>
        <w:t>for the construction of new school sites</w:t>
      </w:r>
      <w:r w:rsidR="00580332">
        <w:rPr>
          <w:rFonts w:ascii="Century Schoolbook" w:hAnsi="Century Schoolbook"/>
        </w:rPr>
        <w:t>,</w:t>
      </w:r>
      <w:r w:rsidR="00E70C30">
        <w:rPr>
          <w:rFonts w:ascii="Century Schoolbook" w:hAnsi="Century Schoolbook"/>
        </w:rPr>
        <w:t xml:space="preserve"> yet the </w:t>
      </w:r>
      <w:r w:rsidR="00E70C30">
        <w:rPr>
          <w:rFonts w:ascii="Century Schoolbook" w:hAnsi="Century Schoolbook"/>
        </w:rPr>
        <w:lastRenderedPageBreak/>
        <w:t xml:space="preserve">Draft EIR </w:t>
      </w:r>
      <w:r w:rsidR="00113A57">
        <w:rPr>
          <w:rFonts w:ascii="Century Schoolbook" w:hAnsi="Century Schoolbook"/>
        </w:rPr>
        <w:t xml:space="preserve">did not consider this “possibility” </w:t>
      </w:r>
      <w:r w:rsidR="00461A07">
        <w:rPr>
          <w:rFonts w:ascii="Century Schoolbook" w:hAnsi="Century Schoolbook"/>
        </w:rPr>
        <w:t xml:space="preserve">and </w:t>
      </w:r>
      <w:r w:rsidR="00E70C30">
        <w:rPr>
          <w:rFonts w:ascii="Century Schoolbook" w:hAnsi="Century Schoolbook"/>
        </w:rPr>
        <w:t>contained no environmental evaluation of impacts related to the alternative of the Districts having to accommodate the new students at existing sites</w:t>
      </w:r>
      <w:r w:rsidR="00F21DFD">
        <w:rPr>
          <w:rFonts w:ascii="Century Schoolbook" w:hAnsi="Century Schoolbook"/>
        </w:rPr>
        <w:t xml:space="preserve"> or by other means</w:t>
      </w:r>
      <w:r w:rsidR="00E70C30">
        <w:rPr>
          <w:rFonts w:ascii="Century Schoolbook" w:hAnsi="Century Schoolbook"/>
        </w:rPr>
        <w:t xml:space="preserve">. </w:t>
      </w:r>
      <w:r w:rsidR="00555BF3">
        <w:rPr>
          <w:rFonts w:ascii="Century Schoolbook" w:hAnsi="Century Schoolbook"/>
        </w:rPr>
        <w:t>The alternatives identified</w:t>
      </w:r>
      <w:r w:rsidR="00F21DFD">
        <w:rPr>
          <w:rFonts w:ascii="Century Schoolbook" w:hAnsi="Century Schoolbook"/>
        </w:rPr>
        <w:t xml:space="preserve"> in the letters</w:t>
      </w:r>
      <w:r w:rsidR="00555BF3">
        <w:rPr>
          <w:rFonts w:ascii="Century Schoolbook" w:hAnsi="Century Schoolbook"/>
        </w:rPr>
        <w:t>, with no further specification, included “any or all of” the following: installing portable classrooms at existing sites, expansion of or new facilities at existing sites,</w:t>
      </w:r>
      <w:r w:rsidR="00D225BC">
        <w:rPr>
          <w:rFonts w:ascii="Century Schoolbook" w:hAnsi="Century Schoolbook"/>
        </w:rPr>
        <w:t xml:space="preserve"> </w:t>
      </w:r>
      <w:r w:rsidR="00555BF3">
        <w:rPr>
          <w:rFonts w:ascii="Century Schoolbook" w:hAnsi="Century Schoolbook"/>
        </w:rPr>
        <w:t>altering attendance boundaries</w:t>
      </w:r>
      <w:r w:rsidR="00D225BC">
        <w:rPr>
          <w:rFonts w:ascii="Century Schoolbook" w:hAnsi="Century Schoolbook"/>
        </w:rPr>
        <w:t xml:space="preserve">, bussing, and inter-district transfers. </w:t>
      </w:r>
      <w:r w:rsidR="009D4F96">
        <w:rPr>
          <w:rFonts w:ascii="Century Schoolbook" w:hAnsi="Century Schoolbook"/>
        </w:rPr>
        <w:t xml:space="preserve">The </w:t>
      </w:r>
      <w:r w:rsidR="00D225BC">
        <w:rPr>
          <w:rFonts w:ascii="Century Schoolbook" w:hAnsi="Century Schoolbook"/>
        </w:rPr>
        <w:t xml:space="preserve">indirect and off-site environmental </w:t>
      </w:r>
      <w:r w:rsidR="009D4F96">
        <w:rPr>
          <w:rFonts w:ascii="Century Schoolbook" w:hAnsi="Century Schoolbook"/>
        </w:rPr>
        <w:t xml:space="preserve">impacts </w:t>
      </w:r>
      <w:r w:rsidR="00D225BC">
        <w:rPr>
          <w:rFonts w:ascii="Century Schoolbook" w:hAnsi="Century Schoolbook"/>
        </w:rPr>
        <w:t xml:space="preserve">flowing from these alternatives to accommodate new students </w:t>
      </w:r>
      <w:r w:rsidR="009D4F96">
        <w:rPr>
          <w:rFonts w:ascii="Century Schoolbook" w:hAnsi="Century Schoolbook"/>
        </w:rPr>
        <w:t xml:space="preserve">were </w:t>
      </w:r>
      <w:r w:rsidR="00113A57">
        <w:rPr>
          <w:rFonts w:ascii="Century Schoolbook" w:hAnsi="Century Schoolbook"/>
        </w:rPr>
        <w:t xml:space="preserve">generally </w:t>
      </w:r>
      <w:r w:rsidR="009D4F96">
        <w:rPr>
          <w:rFonts w:ascii="Century Schoolbook" w:hAnsi="Century Schoolbook"/>
        </w:rPr>
        <w:t xml:space="preserve">identified </w:t>
      </w:r>
      <w:r w:rsidR="00113A57">
        <w:rPr>
          <w:rFonts w:ascii="Century Schoolbook" w:hAnsi="Century Schoolbook"/>
        </w:rPr>
        <w:t>by the Districts</w:t>
      </w:r>
      <w:r w:rsidR="004646B1">
        <w:rPr>
          <w:rFonts w:ascii="Century Schoolbook" w:hAnsi="Century Schoolbook"/>
        </w:rPr>
        <w:t>, in conclusory terms,</w:t>
      </w:r>
      <w:r w:rsidR="00113A57">
        <w:rPr>
          <w:rFonts w:ascii="Century Schoolbook" w:hAnsi="Century Schoolbook"/>
        </w:rPr>
        <w:t xml:space="preserve"> </w:t>
      </w:r>
      <w:r w:rsidR="009D4F96">
        <w:rPr>
          <w:rFonts w:ascii="Century Schoolbook" w:hAnsi="Century Schoolbook"/>
        </w:rPr>
        <w:t xml:space="preserve">as including </w:t>
      </w:r>
      <w:r w:rsidR="00113A57">
        <w:rPr>
          <w:rFonts w:ascii="Century Schoolbook" w:hAnsi="Century Schoolbook"/>
        </w:rPr>
        <w:t>“</w:t>
      </w:r>
      <w:r w:rsidR="009D4F96">
        <w:rPr>
          <w:rFonts w:ascii="Century Schoolbook" w:hAnsi="Century Schoolbook"/>
        </w:rPr>
        <w:t xml:space="preserve">increased traffic, </w:t>
      </w:r>
      <w:r w:rsidR="00113A57">
        <w:rPr>
          <w:rFonts w:ascii="Century Schoolbook" w:hAnsi="Century Schoolbook"/>
        </w:rPr>
        <w:t>air quality, noise, and other reasonably foreseeable impacts</w:t>
      </w:r>
      <w:r w:rsidR="00A1401B">
        <w:rPr>
          <w:rFonts w:ascii="Century Schoolbook" w:hAnsi="Century Schoolbook"/>
        </w:rPr>
        <w:t>.</w:t>
      </w:r>
      <w:r w:rsidR="00113A57">
        <w:rPr>
          <w:rFonts w:ascii="Century Schoolbook" w:hAnsi="Century Schoolbook"/>
        </w:rPr>
        <w:t xml:space="preserve">” </w:t>
      </w:r>
      <w:r w:rsidR="00461A07">
        <w:rPr>
          <w:rFonts w:ascii="Century Schoolbook" w:hAnsi="Century Schoolbook"/>
        </w:rPr>
        <w:t>The Districts both</w:t>
      </w:r>
      <w:r w:rsidR="00FB5963">
        <w:rPr>
          <w:rFonts w:ascii="Century Schoolbook" w:hAnsi="Century Schoolbook"/>
        </w:rPr>
        <w:t xml:space="preserve"> expressed that financing new schools with developer fees was “woefully optimistic</w:t>
      </w:r>
      <w:r w:rsidR="00D225BC">
        <w:rPr>
          <w:rFonts w:ascii="Century Schoolbook" w:hAnsi="Century Schoolbook"/>
        </w:rPr>
        <w:t>,</w:t>
      </w:r>
      <w:r w:rsidR="00FB5963">
        <w:rPr>
          <w:rFonts w:ascii="Century Schoolbook" w:hAnsi="Century Schoolbook"/>
        </w:rPr>
        <w:t xml:space="preserve">” because that </w:t>
      </w:r>
      <w:r w:rsidR="00D225BC">
        <w:rPr>
          <w:rFonts w:ascii="Century Schoolbook" w:hAnsi="Century Schoolbook"/>
        </w:rPr>
        <w:t xml:space="preserve">source of funds alone </w:t>
      </w:r>
      <w:r w:rsidR="00FB5963">
        <w:rPr>
          <w:rFonts w:ascii="Century Schoolbook" w:hAnsi="Century Schoolbook"/>
        </w:rPr>
        <w:t xml:space="preserve">would </w:t>
      </w:r>
      <w:r w:rsidR="00461A07">
        <w:rPr>
          <w:rFonts w:ascii="Century Schoolbook" w:hAnsi="Century Schoolbook"/>
        </w:rPr>
        <w:t xml:space="preserve">still </w:t>
      </w:r>
      <w:r w:rsidR="00FB5963">
        <w:rPr>
          <w:rFonts w:ascii="Century Schoolbook" w:hAnsi="Century Schoolbook"/>
        </w:rPr>
        <w:t xml:space="preserve">leave </w:t>
      </w:r>
      <w:r w:rsidR="00461A07">
        <w:rPr>
          <w:rFonts w:ascii="Century Schoolbook" w:hAnsi="Century Schoolbook"/>
        </w:rPr>
        <w:t xml:space="preserve">large </w:t>
      </w:r>
      <w:r w:rsidR="00FB5963">
        <w:rPr>
          <w:rFonts w:ascii="Century Schoolbook" w:hAnsi="Century Schoolbook"/>
        </w:rPr>
        <w:t>shortfall</w:t>
      </w:r>
      <w:r w:rsidR="00461A07">
        <w:rPr>
          <w:rFonts w:ascii="Century Schoolbook" w:hAnsi="Century Schoolbook"/>
        </w:rPr>
        <w:t xml:space="preserve">s, even if additional </w:t>
      </w:r>
      <w:r w:rsidR="00711C01">
        <w:rPr>
          <w:rFonts w:ascii="Century Schoolbook" w:hAnsi="Century Schoolbook"/>
        </w:rPr>
        <w:t xml:space="preserve">efforts </w:t>
      </w:r>
      <w:r w:rsidR="00F21DFD">
        <w:rPr>
          <w:rFonts w:ascii="Century Schoolbook" w:hAnsi="Century Schoolbook"/>
        </w:rPr>
        <w:t xml:space="preserve">by the Districts </w:t>
      </w:r>
      <w:r w:rsidR="00711C01">
        <w:rPr>
          <w:rFonts w:ascii="Century Schoolbook" w:hAnsi="Century Schoolbook"/>
        </w:rPr>
        <w:t xml:space="preserve">to obtain </w:t>
      </w:r>
      <w:r w:rsidR="00461A07">
        <w:rPr>
          <w:rFonts w:ascii="Century Schoolbook" w:hAnsi="Century Schoolbook"/>
        </w:rPr>
        <w:t>more</w:t>
      </w:r>
      <w:r w:rsidR="00711C01">
        <w:rPr>
          <w:rFonts w:ascii="Century Schoolbook" w:hAnsi="Century Schoolbook"/>
        </w:rPr>
        <w:t xml:space="preserve"> state</w:t>
      </w:r>
      <w:r w:rsidR="00C13C2F">
        <w:rPr>
          <w:rFonts w:ascii="Century Schoolbook" w:hAnsi="Century Schoolbook"/>
        </w:rPr>
        <w:t xml:space="preserve">-facilities </w:t>
      </w:r>
      <w:r w:rsidR="00D225BC">
        <w:rPr>
          <w:rFonts w:ascii="Century Schoolbook" w:hAnsi="Century Schoolbook"/>
        </w:rPr>
        <w:t xml:space="preserve">school </w:t>
      </w:r>
      <w:r w:rsidR="00711C01">
        <w:rPr>
          <w:rFonts w:ascii="Century Schoolbook" w:hAnsi="Century Schoolbook"/>
        </w:rPr>
        <w:t>funding</w:t>
      </w:r>
      <w:r w:rsidR="00C13C2F">
        <w:rPr>
          <w:rFonts w:ascii="Century Schoolbook" w:hAnsi="Century Schoolbook"/>
        </w:rPr>
        <w:t>—</w:t>
      </w:r>
      <w:r w:rsidR="00D225BC">
        <w:rPr>
          <w:rFonts w:ascii="Century Schoolbook" w:hAnsi="Century Schoolbook"/>
        </w:rPr>
        <w:t xml:space="preserve">an item </w:t>
      </w:r>
      <w:r w:rsidR="00C13C2F">
        <w:rPr>
          <w:rFonts w:ascii="Century Schoolbook" w:hAnsi="Century Schoolbook"/>
        </w:rPr>
        <w:t>in a “perpetual state of flux” and not certain to occur—</w:t>
      </w:r>
      <w:r w:rsidR="00711C01">
        <w:rPr>
          <w:rFonts w:ascii="Century Schoolbook" w:hAnsi="Century Schoolbook"/>
        </w:rPr>
        <w:t xml:space="preserve">were successful. </w:t>
      </w:r>
    </w:p>
    <w:p w14:paraId="4591A19A" w14:textId="02AFC4FE" w:rsidR="00BC14A1" w:rsidRDefault="000D7098" w:rsidP="003E75F8">
      <w:pPr>
        <w:rPr>
          <w:rFonts w:ascii="Century Schoolbook" w:hAnsi="Century Schoolbook"/>
        </w:rPr>
      </w:pPr>
      <w:r>
        <w:rPr>
          <w:rFonts w:ascii="Century Schoolbook" w:hAnsi="Century Schoolbook"/>
        </w:rPr>
        <w:tab/>
      </w:r>
      <w:r w:rsidR="00E70C30">
        <w:rPr>
          <w:rFonts w:ascii="Century Schoolbook" w:hAnsi="Century Schoolbook"/>
        </w:rPr>
        <w:t xml:space="preserve"> </w:t>
      </w:r>
      <w:r>
        <w:rPr>
          <w:rFonts w:ascii="Century Schoolbook" w:hAnsi="Century Schoolbook"/>
        </w:rPr>
        <w:t>The City addressed these comments and letters from the Districts</w:t>
      </w:r>
      <w:r w:rsidR="006054BE">
        <w:rPr>
          <w:rFonts w:ascii="Century Schoolbook" w:hAnsi="Century Schoolbook"/>
        </w:rPr>
        <w:t xml:space="preserve">, along with the one from </w:t>
      </w:r>
      <w:proofErr w:type="spellStart"/>
      <w:r w:rsidR="006054BE">
        <w:rPr>
          <w:rFonts w:ascii="Century Schoolbook" w:hAnsi="Century Schoolbook"/>
        </w:rPr>
        <w:t>Alisal</w:t>
      </w:r>
      <w:proofErr w:type="spellEnd"/>
      <w:r w:rsidR="006054BE">
        <w:rPr>
          <w:rFonts w:ascii="Century Schoolbook" w:hAnsi="Century Schoolbook"/>
        </w:rPr>
        <w:t xml:space="preserve"> Union School District,</w:t>
      </w:r>
      <w:r>
        <w:rPr>
          <w:rFonts w:ascii="Century Schoolbook" w:hAnsi="Century Schoolbook"/>
        </w:rPr>
        <w:t xml:space="preserve"> in the Final EIR. </w:t>
      </w:r>
      <w:r w:rsidR="006054BE">
        <w:rPr>
          <w:rFonts w:ascii="Century Schoolbook" w:hAnsi="Century Schoolbook"/>
        </w:rPr>
        <w:t xml:space="preserve">As the comments had all been similar, if not exact, the responses were likewise repetitive. </w:t>
      </w:r>
      <w:r w:rsidR="004C0991">
        <w:rPr>
          <w:rFonts w:ascii="Century Schoolbook" w:hAnsi="Century Schoolbook"/>
        </w:rPr>
        <w:t xml:space="preserve">The City </w:t>
      </w:r>
      <w:r w:rsidR="00C1461D">
        <w:rPr>
          <w:rFonts w:ascii="Century Schoolbook" w:hAnsi="Century Schoolbook"/>
        </w:rPr>
        <w:t>asserted</w:t>
      </w:r>
      <w:r w:rsidR="004C0991">
        <w:rPr>
          <w:rFonts w:ascii="Century Schoolbook" w:hAnsi="Century Schoolbook"/>
        </w:rPr>
        <w:t xml:space="preserve"> that </w:t>
      </w:r>
      <w:r w:rsidR="006054BE">
        <w:rPr>
          <w:rFonts w:ascii="Century Schoolbook" w:hAnsi="Century Schoolbook"/>
        </w:rPr>
        <w:t xml:space="preserve">for several reasons, </w:t>
      </w:r>
      <w:r w:rsidR="004C0991">
        <w:rPr>
          <w:rFonts w:ascii="Century Schoolbook" w:hAnsi="Century Schoolbook"/>
        </w:rPr>
        <w:t xml:space="preserve">inadequate funding to school districts for the construction of new schools was not </w:t>
      </w:r>
      <w:r w:rsidR="00C1461D">
        <w:rPr>
          <w:rFonts w:ascii="Century Schoolbook" w:hAnsi="Century Schoolbook"/>
        </w:rPr>
        <w:t xml:space="preserve">a matter </w:t>
      </w:r>
      <w:r w:rsidR="004C0991">
        <w:rPr>
          <w:rFonts w:ascii="Century Schoolbook" w:hAnsi="Century Schoolbook"/>
        </w:rPr>
        <w:t xml:space="preserve">required to be addressed </w:t>
      </w:r>
      <w:r w:rsidR="009A3AA2">
        <w:rPr>
          <w:rFonts w:ascii="Century Schoolbook" w:hAnsi="Century Schoolbook"/>
        </w:rPr>
        <w:t xml:space="preserve">in an EIR </w:t>
      </w:r>
      <w:r w:rsidR="004C0991">
        <w:rPr>
          <w:rFonts w:ascii="Century Schoolbook" w:hAnsi="Century Schoolbook"/>
        </w:rPr>
        <w:t xml:space="preserve">under CEQA, and that </w:t>
      </w:r>
      <w:r w:rsidR="00ED62A6">
        <w:rPr>
          <w:rFonts w:ascii="Century Schoolbook" w:hAnsi="Century Schoolbook"/>
        </w:rPr>
        <w:t xml:space="preserve">any need to expand existing facilities as a result of funding shortfalls for </w:t>
      </w:r>
      <w:r w:rsidR="009A3AA2">
        <w:rPr>
          <w:rFonts w:ascii="Century Schoolbook" w:hAnsi="Century Schoolbook"/>
        </w:rPr>
        <w:t xml:space="preserve">any </w:t>
      </w:r>
      <w:r w:rsidR="00ED62A6">
        <w:rPr>
          <w:rFonts w:ascii="Century Schoolbook" w:hAnsi="Century Schoolbook"/>
        </w:rPr>
        <w:t>new construction amounted to “economic or social effects” from a project that likewise did not require CEQA analysis.</w:t>
      </w:r>
      <w:r w:rsidR="005A559A">
        <w:rPr>
          <w:rFonts w:ascii="Century Schoolbook" w:hAnsi="Century Schoolbook"/>
        </w:rPr>
        <w:t xml:space="preserve"> </w:t>
      </w:r>
      <w:r w:rsidR="00ED62A6">
        <w:rPr>
          <w:rFonts w:ascii="Century Schoolbook" w:hAnsi="Century Schoolbook"/>
        </w:rPr>
        <w:t>The City further contended that it could do no more under the law to mitigate school impacts because developer fees</w:t>
      </w:r>
      <w:r w:rsidR="006054BE">
        <w:rPr>
          <w:rFonts w:ascii="Century Schoolbook" w:hAnsi="Century Schoolbook"/>
        </w:rPr>
        <w:t>, which are set not by the City but by the school districts,</w:t>
      </w:r>
      <w:r w:rsidR="00ED62A6">
        <w:rPr>
          <w:rFonts w:ascii="Century Schoolbook" w:hAnsi="Century Schoolbook"/>
        </w:rPr>
        <w:t xml:space="preserve"> “are deemed </w:t>
      </w:r>
      <w:r w:rsidR="00BC14A1">
        <w:rPr>
          <w:rFonts w:ascii="Century Schoolbook" w:hAnsi="Century Schoolbook"/>
        </w:rPr>
        <w:t xml:space="preserve">to be ‘full and complete school facilities mitigation’ for impacts caused by new development.” The City further observed </w:t>
      </w:r>
      <w:r w:rsidR="00BC14A1">
        <w:rPr>
          <w:rFonts w:ascii="Century Schoolbook" w:hAnsi="Century Schoolbook"/>
        </w:rPr>
        <w:lastRenderedPageBreak/>
        <w:t>that “[u]</w:t>
      </w:r>
      <w:proofErr w:type="spellStart"/>
      <w:r w:rsidR="00BC14A1">
        <w:rPr>
          <w:rFonts w:ascii="Century Schoolbook" w:hAnsi="Century Schoolbook"/>
        </w:rPr>
        <w:t>ltimately</w:t>
      </w:r>
      <w:proofErr w:type="spellEnd"/>
      <w:r w:rsidR="00BC14A1">
        <w:rPr>
          <w:rFonts w:ascii="Century Schoolbook" w:hAnsi="Century Schoolbook"/>
        </w:rPr>
        <w:t>, the Education Code tasks the [s]</w:t>
      </w:r>
      <w:proofErr w:type="spellStart"/>
      <w:r w:rsidR="00BC14A1">
        <w:rPr>
          <w:rFonts w:ascii="Century Schoolbook" w:hAnsi="Century Schoolbook"/>
        </w:rPr>
        <w:t>chool</w:t>
      </w:r>
      <w:proofErr w:type="spellEnd"/>
      <w:r w:rsidR="00BC14A1">
        <w:rPr>
          <w:rFonts w:ascii="Century Schoolbook" w:hAnsi="Century Schoolbook"/>
        </w:rPr>
        <w:t xml:space="preserve"> [d]</w:t>
      </w:r>
      <w:proofErr w:type="spellStart"/>
      <w:r w:rsidR="00BC14A1">
        <w:rPr>
          <w:rFonts w:ascii="Century Schoolbook" w:hAnsi="Century Schoolbook"/>
        </w:rPr>
        <w:t>istrict</w:t>
      </w:r>
      <w:proofErr w:type="spellEnd"/>
      <w:r w:rsidR="00BC14A1">
        <w:rPr>
          <w:rFonts w:ascii="Century Schoolbook" w:hAnsi="Century Schoolbook"/>
        </w:rPr>
        <w:t xml:space="preserve"> with the responsibility for design and construction of their own schools” and </w:t>
      </w:r>
      <w:r w:rsidR="009A3AA2">
        <w:rPr>
          <w:rFonts w:ascii="Century Schoolbook" w:hAnsi="Century Schoolbook"/>
        </w:rPr>
        <w:t xml:space="preserve">it </w:t>
      </w:r>
      <w:r w:rsidR="00BC14A1">
        <w:rPr>
          <w:rFonts w:ascii="Century Schoolbook" w:hAnsi="Century Schoolbook"/>
        </w:rPr>
        <w:t xml:space="preserve">pledged support to the Districts “with the provision of infrastructure and land to facilitate school facility development, as well as the collection of school impact fees to fund new school development.” </w:t>
      </w:r>
    </w:p>
    <w:p w14:paraId="4DC10827" w14:textId="2C24FE6B" w:rsidR="00166315" w:rsidRDefault="00BC14A1" w:rsidP="003E75F8">
      <w:pPr>
        <w:rPr>
          <w:rFonts w:ascii="Century Schoolbook" w:hAnsi="Century Schoolbook"/>
        </w:rPr>
      </w:pPr>
      <w:r>
        <w:rPr>
          <w:rFonts w:ascii="Century Schoolbook" w:hAnsi="Century Schoolbook"/>
        </w:rPr>
        <w:tab/>
        <w:t>The City ultimately rested</w:t>
      </w:r>
      <w:r w:rsidR="00DC7A79">
        <w:rPr>
          <w:rFonts w:ascii="Century Schoolbook" w:hAnsi="Century Schoolbook"/>
        </w:rPr>
        <w:t xml:space="preserve"> in the Final EIR on its inability to respond further to the Districts’ expressed concerns </w:t>
      </w:r>
      <w:r w:rsidR="009A3AA2">
        <w:rPr>
          <w:rFonts w:ascii="Century Schoolbook" w:hAnsi="Century Schoolbook"/>
        </w:rPr>
        <w:t xml:space="preserve">and </w:t>
      </w:r>
      <w:r w:rsidR="00471796">
        <w:rPr>
          <w:rFonts w:ascii="Century Schoolbook" w:hAnsi="Century Schoolbook"/>
        </w:rPr>
        <w:t>the</w:t>
      </w:r>
      <w:r w:rsidR="009A3AA2">
        <w:rPr>
          <w:rFonts w:ascii="Century Schoolbook" w:hAnsi="Century Schoolbook"/>
        </w:rPr>
        <w:t xml:space="preserve"> potential environmental impacts </w:t>
      </w:r>
      <w:r w:rsidR="00471796">
        <w:rPr>
          <w:rFonts w:ascii="Century Schoolbook" w:hAnsi="Century Schoolbook"/>
        </w:rPr>
        <w:t xml:space="preserve">they claimed to be </w:t>
      </w:r>
      <w:r w:rsidR="009A3AA2">
        <w:rPr>
          <w:rFonts w:ascii="Century Schoolbook" w:hAnsi="Century Schoolbook"/>
        </w:rPr>
        <w:t xml:space="preserve">related to their </w:t>
      </w:r>
      <w:r w:rsidR="00620DF7">
        <w:rPr>
          <w:rFonts w:ascii="Century Schoolbook" w:hAnsi="Century Schoolbook"/>
        </w:rPr>
        <w:t xml:space="preserve">identified </w:t>
      </w:r>
      <w:r w:rsidR="007F38C2">
        <w:rPr>
          <w:rFonts w:ascii="Century Schoolbook" w:hAnsi="Century Schoolbook"/>
        </w:rPr>
        <w:t>alternatives</w:t>
      </w:r>
      <w:r w:rsidR="009A3AA2">
        <w:rPr>
          <w:rFonts w:ascii="Century Schoolbook" w:hAnsi="Century Schoolbook"/>
        </w:rPr>
        <w:t xml:space="preserve"> </w:t>
      </w:r>
      <w:r w:rsidR="00471796">
        <w:rPr>
          <w:rFonts w:ascii="Century Schoolbook" w:hAnsi="Century Schoolbook"/>
        </w:rPr>
        <w:t>for</w:t>
      </w:r>
      <w:r w:rsidR="009A3AA2">
        <w:rPr>
          <w:rFonts w:ascii="Century Schoolbook" w:hAnsi="Century Schoolbook"/>
        </w:rPr>
        <w:t xml:space="preserve"> accommodat</w:t>
      </w:r>
      <w:r w:rsidR="00471796">
        <w:rPr>
          <w:rFonts w:ascii="Century Schoolbook" w:hAnsi="Century Schoolbook"/>
        </w:rPr>
        <w:t>ing</w:t>
      </w:r>
      <w:r w:rsidR="009A3AA2">
        <w:rPr>
          <w:rFonts w:ascii="Century Schoolbook" w:hAnsi="Century Schoolbook"/>
        </w:rPr>
        <w:t xml:space="preserve"> new students </w:t>
      </w:r>
      <w:r w:rsidR="00471796">
        <w:rPr>
          <w:rFonts w:ascii="Century Schoolbook" w:hAnsi="Century Schoolbook"/>
        </w:rPr>
        <w:t xml:space="preserve">at existing sites, </w:t>
      </w:r>
      <w:r w:rsidR="00DC7A79">
        <w:rPr>
          <w:rFonts w:ascii="Century Schoolbook" w:hAnsi="Century Schoolbook"/>
        </w:rPr>
        <w:t xml:space="preserve">because </w:t>
      </w:r>
      <w:r w:rsidR="00471796">
        <w:rPr>
          <w:rFonts w:ascii="Century Schoolbook" w:hAnsi="Century Schoolbook"/>
        </w:rPr>
        <w:t>the City viewed</w:t>
      </w:r>
      <w:r w:rsidR="00DC7A79">
        <w:rPr>
          <w:rFonts w:ascii="Century Schoolbook" w:hAnsi="Century Schoolbook"/>
        </w:rPr>
        <w:t xml:space="preserve"> </w:t>
      </w:r>
      <w:r w:rsidR="00471796">
        <w:rPr>
          <w:rFonts w:ascii="Century Schoolbook" w:hAnsi="Century Schoolbook"/>
        </w:rPr>
        <w:t>the information</w:t>
      </w:r>
      <w:r w:rsidR="00DC7A79">
        <w:rPr>
          <w:rFonts w:ascii="Century Schoolbook" w:hAnsi="Century Schoolbook"/>
        </w:rPr>
        <w:t xml:space="preserve"> </w:t>
      </w:r>
      <w:r w:rsidR="00620DF7">
        <w:rPr>
          <w:rFonts w:ascii="Century Schoolbook" w:hAnsi="Century Schoolbook"/>
        </w:rPr>
        <w:t xml:space="preserve">as </w:t>
      </w:r>
      <w:r w:rsidR="00DC7A79">
        <w:rPr>
          <w:rFonts w:ascii="Century Schoolbook" w:hAnsi="Century Schoolbook"/>
        </w:rPr>
        <w:t xml:space="preserve">too speculative, uncertain, and vague. </w:t>
      </w:r>
      <w:r w:rsidR="007F38C2">
        <w:rPr>
          <w:rFonts w:ascii="Century Schoolbook" w:hAnsi="Century Schoolbook"/>
        </w:rPr>
        <w:t xml:space="preserve">The City responded that </w:t>
      </w:r>
      <w:r w:rsidR="00DC7A79">
        <w:rPr>
          <w:rFonts w:ascii="Century Schoolbook" w:hAnsi="Century Schoolbook"/>
        </w:rPr>
        <w:t>“</w:t>
      </w:r>
      <w:r w:rsidR="007F38C2">
        <w:rPr>
          <w:rFonts w:ascii="Century Schoolbook" w:hAnsi="Century Schoolbook"/>
        </w:rPr>
        <w:t>[t]</w:t>
      </w:r>
      <w:r w:rsidR="00DC7A79">
        <w:rPr>
          <w:rFonts w:ascii="Century Schoolbook" w:hAnsi="Century Schoolbook"/>
        </w:rPr>
        <w:t xml:space="preserve">he potential </w:t>
      </w:r>
      <w:r w:rsidR="007F38C2">
        <w:rPr>
          <w:rFonts w:ascii="Century Schoolbook" w:hAnsi="Century Schoolbook"/>
        </w:rPr>
        <w:t xml:space="preserve">[alternative] </w:t>
      </w:r>
      <w:r w:rsidR="00DC7A79">
        <w:rPr>
          <w:rFonts w:ascii="Century Schoolbook" w:hAnsi="Century Schoolbook"/>
        </w:rPr>
        <w:t xml:space="preserve">scenarios </w:t>
      </w:r>
      <w:r w:rsidR="00A72611">
        <w:rPr>
          <w:rFonts w:ascii="Century Schoolbook" w:hAnsi="Century Schoolbook"/>
        </w:rPr>
        <w:t>. . .</w:t>
      </w:r>
      <w:r w:rsidR="007F38C2">
        <w:rPr>
          <w:rFonts w:ascii="Century Schoolbook" w:hAnsi="Century Schoolbook"/>
        </w:rPr>
        <w:t xml:space="preserve"> </w:t>
      </w:r>
      <w:r w:rsidR="00DC7A79">
        <w:rPr>
          <w:rFonts w:ascii="Century Schoolbook" w:hAnsi="Century Schoolbook"/>
        </w:rPr>
        <w:t xml:space="preserve">are too speculative to give rise to meaningful environmental assessment, particularly since, if they occur, they will occur over an extended </w:t>
      </w:r>
      <w:proofErr w:type="gramStart"/>
      <w:r w:rsidR="00DC7A79">
        <w:rPr>
          <w:rFonts w:ascii="Century Schoolbook" w:hAnsi="Century Schoolbook"/>
        </w:rPr>
        <w:t>period of time</w:t>
      </w:r>
      <w:proofErr w:type="gramEnd"/>
      <w:r w:rsidR="00DC7A79">
        <w:rPr>
          <w:rFonts w:ascii="Century Schoolbook" w:hAnsi="Century Schoolbook"/>
        </w:rPr>
        <w:t xml:space="preserve"> (perhaps 20 to 30 years), consistent with buildout of the Specific Plan area. Just as the number of students living in the Specific </w:t>
      </w:r>
      <w:r w:rsidR="00DC7A79" w:rsidRPr="007F38C2">
        <w:rPr>
          <w:rFonts w:ascii="Century Schoolbook" w:hAnsi="Century Schoolbook"/>
        </w:rPr>
        <w:t>Plan</w:t>
      </w:r>
      <w:r w:rsidR="00DC7A79">
        <w:rPr>
          <w:rFonts w:ascii="Century Schoolbook" w:hAnsi="Century Schoolbook"/>
        </w:rPr>
        <w:t xml:space="preserve"> Area will gradually ramp up over time, so too will the District </w:t>
      </w:r>
      <w:proofErr w:type="gramStart"/>
      <w:r w:rsidR="00DC7A79">
        <w:rPr>
          <w:rFonts w:ascii="Century Schoolbook" w:hAnsi="Century Schoolbook"/>
        </w:rPr>
        <w:t>have the ability to</w:t>
      </w:r>
      <w:proofErr w:type="gramEnd"/>
      <w:r w:rsidR="00DC7A79">
        <w:rPr>
          <w:rFonts w:ascii="Century Schoolbook" w:hAnsi="Century Schoolbook"/>
        </w:rPr>
        <w:t xml:space="preserve"> make decisions as to where such students will attend schools, if no on-site school facilities are yet in place. The specific decisions the District will have to make cannot be predicted with any level of certainty at present, and, in any event, are beyond the City’s control. In particular, the City has no way at present to predict boundary changes the District might impose in future years. Although such decisions could affect traffic and other environmental resources, any details of such impacts cannot be predicted at present. </w:t>
      </w:r>
      <w:r w:rsidR="00964B8F">
        <w:rPr>
          <w:rFonts w:ascii="Century Schoolbook" w:hAnsi="Century Schoolbook"/>
        </w:rPr>
        <w:t xml:space="preserve">The same is true of options such as student transfers, the construction of other </w:t>
      </w:r>
      <w:r w:rsidR="00A72611">
        <w:rPr>
          <w:rFonts w:ascii="Century Schoolbook" w:hAnsi="Century Schoolbook"/>
        </w:rPr>
        <w:t>. . .</w:t>
      </w:r>
      <w:r w:rsidR="00964B8F">
        <w:rPr>
          <w:rFonts w:ascii="Century Schoolbook" w:hAnsi="Century Schoolbook"/>
        </w:rPr>
        <w:t xml:space="preserve"> currently unplanned schools at other sites, or changes in patterns of school bussing. To the extent that the District contemplates the installation of additional portable </w:t>
      </w:r>
      <w:r w:rsidR="00166315">
        <w:rPr>
          <w:rFonts w:ascii="Century Schoolbook" w:hAnsi="Century Schoolbook"/>
        </w:rPr>
        <w:t xml:space="preserve">classrooms at existing school facilities, the City notes that CEQA provides a categorical exemption (Class 14) for </w:t>
      </w:r>
      <w:r w:rsidR="00BD1595">
        <w:rPr>
          <w:rFonts w:ascii="Century Schoolbook" w:hAnsi="Century Schoolbook"/>
        </w:rPr>
        <w:t>‘</w:t>
      </w:r>
      <w:r w:rsidR="00166315">
        <w:rPr>
          <w:rFonts w:ascii="Century Schoolbook" w:hAnsi="Century Schoolbook"/>
        </w:rPr>
        <w:t>minor additions</w:t>
      </w:r>
      <w:r w:rsidR="00BD1595">
        <w:rPr>
          <w:rFonts w:ascii="Century Schoolbook" w:hAnsi="Century Schoolbook"/>
        </w:rPr>
        <w:t>’</w:t>
      </w:r>
      <w:r w:rsidR="00166315">
        <w:rPr>
          <w:rFonts w:ascii="Century Schoolbook" w:hAnsi="Century Schoolbook"/>
        </w:rPr>
        <w:t xml:space="preserve"> to </w:t>
      </w:r>
      <w:r w:rsidR="00166315">
        <w:rPr>
          <w:rFonts w:ascii="Century Schoolbook" w:hAnsi="Century Schoolbook"/>
        </w:rPr>
        <w:lastRenderedPageBreak/>
        <w:t xml:space="preserve">existing schools within existing school grounds where the addition does not increase original student capacity by more than 25% or ten classrooms, whichever is less.” </w:t>
      </w:r>
    </w:p>
    <w:p w14:paraId="1F8A78D8" w14:textId="1C5E10E6" w:rsidR="00AC1F7C" w:rsidRPr="00AC1F7C" w:rsidRDefault="00AC1F7C" w:rsidP="00AC1F7C">
      <w:pPr>
        <w:pStyle w:val="ListParagraph"/>
        <w:numPr>
          <w:ilvl w:val="0"/>
          <w:numId w:val="19"/>
        </w:numPr>
        <w:rPr>
          <w:rFonts w:ascii="Century Schoolbook" w:hAnsi="Century Schoolbook"/>
          <w:u w:val="single"/>
        </w:rPr>
      </w:pPr>
      <w:r w:rsidRPr="00AC1F7C">
        <w:rPr>
          <w:rFonts w:ascii="Century Schoolbook" w:hAnsi="Century Schoolbook"/>
          <w:u w:val="single"/>
        </w:rPr>
        <w:t>The District’s Further Comments and Project Approval</w:t>
      </w:r>
    </w:p>
    <w:p w14:paraId="07D9E37D" w14:textId="774B9A15" w:rsidR="00B9487E" w:rsidRDefault="00166315" w:rsidP="003E75F8">
      <w:pPr>
        <w:rPr>
          <w:rFonts w:ascii="Century Schoolbook" w:hAnsi="Century Schoolbook"/>
        </w:rPr>
      </w:pPr>
      <w:r>
        <w:rPr>
          <w:rFonts w:ascii="Century Schoolbook" w:hAnsi="Century Schoolbook"/>
        </w:rPr>
        <w:tab/>
        <w:t xml:space="preserve">On December 4, 2019, the Project came before the </w:t>
      </w:r>
      <w:r w:rsidR="00BD1595">
        <w:rPr>
          <w:rFonts w:ascii="Century Schoolbook" w:hAnsi="Century Schoolbook"/>
        </w:rPr>
        <w:t xml:space="preserve">City’s </w:t>
      </w:r>
      <w:r>
        <w:rPr>
          <w:rFonts w:ascii="Century Schoolbook" w:hAnsi="Century Schoolbook"/>
        </w:rPr>
        <w:t xml:space="preserve">Planning Commission in a public hearing. The Project approvals </w:t>
      </w:r>
      <w:r w:rsidR="00EC12B9">
        <w:rPr>
          <w:rFonts w:ascii="Century Schoolbook" w:hAnsi="Century Schoolbook"/>
        </w:rPr>
        <w:t xml:space="preserve">under consideration </w:t>
      </w:r>
      <w:r w:rsidR="00B9487E">
        <w:rPr>
          <w:rFonts w:ascii="Century Schoolbook" w:hAnsi="Century Schoolbook"/>
        </w:rPr>
        <w:t xml:space="preserve">were the Specific Plan, the Final EIR, a rezoning ordinance, and a development agreement. </w:t>
      </w:r>
      <w:r w:rsidR="00620DF7">
        <w:rPr>
          <w:rFonts w:ascii="Century Schoolbook" w:hAnsi="Century Schoolbook"/>
        </w:rPr>
        <w:t>T</w:t>
      </w:r>
      <w:r w:rsidR="00B9487E">
        <w:rPr>
          <w:rFonts w:ascii="Century Schoolbook" w:hAnsi="Century Schoolbook"/>
        </w:rPr>
        <w:t xml:space="preserve">he Districts provided public comments at this hearing, emphasizing the </w:t>
      </w:r>
      <w:r w:rsidR="00AC1F7C">
        <w:rPr>
          <w:rFonts w:ascii="Century Schoolbook" w:hAnsi="Century Schoolbook"/>
        </w:rPr>
        <w:t xml:space="preserve">purely economic </w:t>
      </w:r>
      <w:r w:rsidR="00B9487E">
        <w:rPr>
          <w:rFonts w:ascii="Century Schoolbook" w:hAnsi="Century Schoolbook"/>
        </w:rPr>
        <w:t>point made in prior comment letters</w:t>
      </w:r>
      <w:r w:rsidR="00C21B4F">
        <w:rPr>
          <w:rFonts w:ascii="Century Schoolbook" w:hAnsi="Century Schoolbook"/>
        </w:rPr>
        <w:t xml:space="preserve"> that school-facilities funding for the new schools identified in the Specific Plan was likely to be insufficient</w:t>
      </w:r>
      <w:r w:rsidR="00BD1595">
        <w:rPr>
          <w:rFonts w:ascii="Century Schoolbook" w:hAnsi="Century Schoolbook"/>
        </w:rPr>
        <w:t xml:space="preserve"> based on present scenarios</w:t>
      </w:r>
      <w:r w:rsidR="00B9487E">
        <w:rPr>
          <w:rFonts w:ascii="Century Schoolbook" w:hAnsi="Century Schoolbook"/>
        </w:rPr>
        <w:t xml:space="preserve">. At the close of the hearing, the Planning Commission </w:t>
      </w:r>
      <w:r w:rsidR="00302A54">
        <w:rPr>
          <w:rFonts w:ascii="Century Schoolbook" w:hAnsi="Century Schoolbook"/>
        </w:rPr>
        <w:t xml:space="preserve">unanimously </w:t>
      </w:r>
      <w:r w:rsidR="00B9487E">
        <w:rPr>
          <w:rFonts w:ascii="Century Schoolbook" w:hAnsi="Century Schoolbook"/>
        </w:rPr>
        <w:t xml:space="preserve">recommended approval of the Project to the City Council, </w:t>
      </w:r>
      <w:r w:rsidR="003D1524">
        <w:rPr>
          <w:rFonts w:ascii="Century Schoolbook" w:hAnsi="Century Schoolbook"/>
        </w:rPr>
        <w:t>including certification of the Final EIR</w:t>
      </w:r>
      <w:r w:rsidR="003A5BB0">
        <w:rPr>
          <w:rFonts w:ascii="Century Schoolbook" w:hAnsi="Century Schoolbook"/>
        </w:rPr>
        <w:t xml:space="preserve"> and</w:t>
      </w:r>
      <w:r w:rsidR="003D1524">
        <w:rPr>
          <w:rFonts w:ascii="Century Schoolbook" w:hAnsi="Century Schoolbook"/>
        </w:rPr>
        <w:t xml:space="preserve"> adoption of CEQA findings and a statement of overriding considerations</w:t>
      </w:r>
      <w:r w:rsidR="003A5BB0">
        <w:rPr>
          <w:rFonts w:ascii="Century Schoolbook" w:hAnsi="Century Schoolbook"/>
        </w:rPr>
        <w:t>.</w:t>
      </w:r>
      <w:r w:rsidR="003D1524">
        <w:rPr>
          <w:rFonts w:ascii="Century Schoolbook" w:hAnsi="Century Schoolbook"/>
        </w:rPr>
        <w:t xml:space="preserve"> </w:t>
      </w:r>
      <w:r w:rsidR="00DC7A79">
        <w:rPr>
          <w:rFonts w:ascii="Century Schoolbook" w:hAnsi="Century Schoolbook"/>
        </w:rPr>
        <w:t xml:space="preserve"> </w:t>
      </w:r>
    </w:p>
    <w:p w14:paraId="56C7B866" w14:textId="311E45F1" w:rsidR="00162BD9" w:rsidRDefault="00B9487E" w:rsidP="003E75F8">
      <w:pPr>
        <w:rPr>
          <w:rFonts w:ascii="Century Schoolbook" w:hAnsi="Century Schoolbook"/>
        </w:rPr>
      </w:pPr>
      <w:r>
        <w:rPr>
          <w:rFonts w:ascii="Century Schoolbook" w:hAnsi="Century Schoolbook"/>
        </w:rPr>
        <w:tab/>
      </w:r>
      <w:r w:rsidR="00047E6F">
        <w:rPr>
          <w:rFonts w:ascii="Century Schoolbook" w:hAnsi="Century Schoolbook"/>
        </w:rPr>
        <w:t>On December 16, 2019, the Districts submitted another letter to the City</w:t>
      </w:r>
      <w:r w:rsidR="005A43BB">
        <w:rPr>
          <w:rFonts w:ascii="Century Schoolbook" w:hAnsi="Century Schoolbook"/>
        </w:rPr>
        <w:t xml:space="preserve">, this time urging that the Final EIR did not adequately address environmental impacts resulting from the “phasing” of the Project, in that </w:t>
      </w:r>
      <w:r w:rsidR="00162BD9">
        <w:rPr>
          <w:rFonts w:ascii="Century Schoolbook" w:hAnsi="Century Schoolbook"/>
        </w:rPr>
        <w:t>it</w:t>
      </w:r>
      <w:r w:rsidR="005A43BB">
        <w:rPr>
          <w:rFonts w:ascii="Century Schoolbook" w:hAnsi="Century Schoolbook"/>
        </w:rPr>
        <w:t xml:space="preserve"> did not include any </w:t>
      </w:r>
      <w:r w:rsidR="00906190">
        <w:rPr>
          <w:rFonts w:ascii="Century Schoolbook" w:hAnsi="Century Schoolbook"/>
        </w:rPr>
        <w:t xml:space="preserve">information about the sequencing or scheduling of development or impose any restrictions on its timing. The Districts emphasized that the Final EIR provided no basis to assume that development of the Site would occur gradually and incrementally over </w:t>
      </w:r>
      <w:r w:rsidR="00162BD9">
        <w:rPr>
          <w:rFonts w:ascii="Century Schoolbook" w:hAnsi="Century Schoolbook"/>
        </w:rPr>
        <w:t xml:space="preserve">the </w:t>
      </w:r>
      <w:r w:rsidR="00906190">
        <w:rPr>
          <w:rFonts w:ascii="Century Schoolbook" w:hAnsi="Century Schoolbook"/>
        </w:rPr>
        <w:t>time</w:t>
      </w:r>
      <w:r w:rsidR="00162BD9">
        <w:rPr>
          <w:rFonts w:ascii="Century Schoolbook" w:hAnsi="Century Schoolbook"/>
        </w:rPr>
        <w:t xml:space="preserve"> expected </w:t>
      </w:r>
      <w:r w:rsidR="00E75132">
        <w:rPr>
          <w:rFonts w:ascii="Century Schoolbook" w:hAnsi="Century Schoolbook"/>
        </w:rPr>
        <w:t xml:space="preserve">for </w:t>
      </w:r>
      <w:r w:rsidR="00162BD9">
        <w:rPr>
          <w:rFonts w:ascii="Century Schoolbook" w:hAnsi="Century Schoolbook"/>
        </w:rPr>
        <w:t>full build-out</w:t>
      </w:r>
      <w:r w:rsidR="00906190">
        <w:rPr>
          <w:rFonts w:ascii="Century Schoolbook" w:hAnsi="Century Schoolbook"/>
        </w:rPr>
        <w:t xml:space="preserve">, </w:t>
      </w:r>
      <w:r w:rsidR="00162BD9">
        <w:rPr>
          <w:rFonts w:ascii="Century Schoolbook" w:hAnsi="Century Schoolbook"/>
        </w:rPr>
        <w:t xml:space="preserve">and </w:t>
      </w:r>
      <w:r w:rsidR="00906190">
        <w:rPr>
          <w:rFonts w:ascii="Century Schoolbook" w:hAnsi="Century Schoolbook"/>
        </w:rPr>
        <w:t>the Final E</w:t>
      </w:r>
      <w:r w:rsidR="00162BD9">
        <w:rPr>
          <w:rFonts w:ascii="Century Schoolbook" w:hAnsi="Century Schoolbook"/>
        </w:rPr>
        <w:t xml:space="preserve">IR did not evaluate the possibility that a significant amount of development of the Specific Plan could occur simultaneously or all at once because of market conditions. </w:t>
      </w:r>
    </w:p>
    <w:p w14:paraId="26BA4F05" w14:textId="21006725" w:rsidR="0075540B" w:rsidRDefault="00162BD9" w:rsidP="003E75F8">
      <w:pPr>
        <w:rPr>
          <w:rFonts w:ascii="Century Schoolbook" w:hAnsi="Century Schoolbook"/>
        </w:rPr>
      </w:pPr>
      <w:r>
        <w:rPr>
          <w:rFonts w:ascii="Century Schoolbook" w:hAnsi="Century Schoolbook"/>
        </w:rPr>
        <w:tab/>
        <w:t xml:space="preserve">On December 17, 2019, </w:t>
      </w:r>
      <w:r w:rsidR="00690622">
        <w:rPr>
          <w:rFonts w:ascii="Century Schoolbook" w:hAnsi="Century Schoolbook"/>
        </w:rPr>
        <w:t>the Districts submitted a</w:t>
      </w:r>
      <w:r w:rsidR="003A5BB0">
        <w:rPr>
          <w:rFonts w:ascii="Century Schoolbook" w:hAnsi="Century Schoolbook"/>
        </w:rPr>
        <w:t xml:space="preserve"> </w:t>
      </w:r>
      <w:r w:rsidR="00FB44DC">
        <w:rPr>
          <w:rFonts w:ascii="Century Schoolbook" w:hAnsi="Century Schoolbook"/>
        </w:rPr>
        <w:t>final</w:t>
      </w:r>
      <w:r w:rsidR="00690622">
        <w:rPr>
          <w:rFonts w:ascii="Century Schoolbook" w:hAnsi="Century Schoolbook"/>
        </w:rPr>
        <w:t xml:space="preserve"> letter to the City</w:t>
      </w:r>
      <w:r w:rsidR="00E55E0C">
        <w:rPr>
          <w:rFonts w:ascii="Century Schoolbook" w:hAnsi="Century Schoolbook"/>
        </w:rPr>
        <w:t>.</w:t>
      </w:r>
      <w:r w:rsidR="00690622">
        <w:rPr>
          <w:rFonts w:ascii="Century Schoolbook" w:hAnsi="Century Schoolbook"/>
        </w:rPr>
        <w:t xml:space="preserve"> </w:t>
      </w:r>
      <w:r w:rsidR="00E55E0C">
        <w:rPr>
          <w:rFonts w:ascii="Century Schoolbook" w:hAnsi="Century Schoolbook"/>
        </w:rPr>
        <w:t>Th</w:t>
      </w:r>
      <w:r w:rsidR="00C469CF">
        <w:rPr>
          <w:rFonts w:ascii="Century Schoolbook" w:hAnsi="Century Schoolbook"/>
        </w:rPr>
        <w:t>is</w:t>
      </w:r>
      <w:r w:rsidR="00E55E0C">
        <w:rPr>
          <w:rFonts w:ascii="Century Schoolbook" w:hAnsi="Century Schoolbook"/>
        </w:rPr>
        <w:t xml:space="preserve"> letter</w:t>
      </w:r>
      <w:r w:rsidR="00690622">
        <w:rPr>
          <w:rFonts w:ascii="Century Schoolbook" w:hAnsi="Century Schoolbook"/>
        </w:rPr>
        <w:t xml:space="preserve"> further comment</w:t>
      </w:r>
      <w:r w:rsidR="00C469CF">
        <w:rPr>
          <w:rFonts w:ascii="Century Schoolbook" w:hAnsi="Century Schoolbook"/>
        </w:rPr>
        <w:t>ed</w:t>
      </w:r>
      <w:r w:rsidR="00690622">
        <w:rPr>
          <w:rFonts w:ascii="Century Schoolbook" w:hAnsi="Century Schoolbook"/>
        </w:rPr>
        <w:t xml:space="preserve"> about the asserted inadequacies of the Final EIR as it concerned </w:t>
      </w:r>
      <w:r w:rsidR="00FB44DC">
        <w:rPr>
          <w:rFonts w:ascii="Century Schoolbook" w:hAnsi="Century Schoolbook"/>
        </w:rPr>
        <w:t xml:space="preserve">new </w:t>
      </w:r>
      <w:r w:rsidR="00690622">
        <w:rPr>
          <w:rFonts w:ascii="Century Schoolbook" w:hAnsi="Century Schoolbook"/>
        </w:rPr>
        <w:t>school facilities</w:t>
      </w:r>
      <w:r w:rsidR="00243BA0">
        <w:rPr>
          <w:rFonts w:ascii="Century Schoolbook" w:hAnsi="Century Schoolbook"/>
        </w:rPr>
        <w:t xml:space="preserve"> and funding therefor</w:t>
      </w:r>
      <w:r w:rsidR="00690622">
        <w:rPr>
          <w:rFonts w:ascii="Century Schoolbook" w:hAnsi="Century Schoolbook"/>
        </w:rPr>
        <w:t xml:space="preserve">. Specifically, </w:t>
      </w:r>
      <w:r w:rsidR="00C469CF">
        <w:rPr>
          <w:rFonts w:ascii="Century Schoolbook" w:hAnsi="Century Schoolbook"/>
        </w:rPr>
        <w:t>it</w:t>
      </w:r>
      <w:r w:rsidR="00690622">
        <w:rPr>
          <w:rFonts w:ascii="Century Schoolbook" w:hAnsi="Century Schoolbook"/>
        </w:rPr>
        <w:t xml:space="preserve"> </w:t>
      </w:r>
      <w:r w:rsidR="00690622">
        <w:rPr>
          <w:rFonts w:ascii="Century Schoolbook" w:hAnsi="Century Schoolbook"/>
        </w:rPr>
        <w:lastRenderedPageBreak/>
        <w:t xml:space="preserve">described the “three-legged-stool” </w:t>
      </w:r>
      <w:r w:rsidR="00620DF7">
        <w:rPr>
          <w:rFonts w:ascii="Century Schoolbook" w:hAnsi="Century Schoolbook"/>
        </w:rPr>
        <w:t xml:space="preserve">(state-bond-fund grants, developer fees, and local funding) </w:t>
      </w:r>
      <w:r w:rsidR="00690622">
        <w:rPr>
          <w:rFonts w:ascii="Century Schoolbook" w:hAnsi="Century Schoolbook"/>
        </w:rPr>
        <w:t xml:space="preserve">for school funding </w:t>
      </w:r>
      <w:r w:rsidR="00965C5A">
        <w:rPr>
          <w:rFonts w:ascii="Century Schoolbook" w:hAnsi="Century Schoolbook"/>
        </w:rPr>
        <w:t xml:space="preserve">under the law </w:t>
      </w:r>
      <w:r w:rsidR="00620DF7">
        <w:rPr>
          <w:rFonts w:ascii="Century Schoolbook" w:hAnsi="Century Schoolbook"/>
        </w:rPr>
        <w:t>as adopted by the Legislature in 1998 in Senate Bill 50</w:t>
      </w:r>
      <w:r w:rsidR="009A7C26">
        <w:rPr>
          <w:rFonts w:ascii="Century Schoolbook" w:hAnsi="Century Schoolbook"/>
        </w:rPr>
        <w:t xml:space="preserve"> (Ed. Code, § 17070.10 et seq., Stats. 1998, </w:t>
      </w:r>
      <w:proofErr w:type="spellStart"/>
      <w:r w:rsidR="009A7C26">
        <w:rPr>
          <w:rFonts w:ascii="Century Schoolbook" w:hAnsi="Century Schoolbook"/>
        </w:rPr>
        <w:t>ch.</w:t>
      </w:r>
      <w:proofErr w:type="spellEnd"/>
      <w:r w:rsidR="009A7C26">
        <w:rPr>
          <w:rFonts w:ascii="Century Schoolbook" w:hAnsi="Century Schoolbook"/>
        </w:rPr>
        <w:t xml:space="preserve"> 407, § 4</w:t>
      </w:r>
      <w:r w:rsidR="00AC1F7C">
        <w:rPr>
          <w:rFonts w:ascii="Century Schoolbook" w:hAnsi="Century Schoolbook"/>
        </w:rPr>
        <w:t>, Leroy F. Greene School Facilities Act of 1998, (S</w:t>
      </w:r>
      <w:r w:rsidR="00233063">
        <w:rPr>
          <w:rFonts w:ascii="Century Schoolbook" w:hAnsi="Century Schoolbook"/>
        </w:rPr>
        <w:t xml:space="preserve">en. </w:t>
      </w:r>
      <w:r w:rsidR="00AC1F7C">
        <w:rPr>
          <w:rFonts w:ascii="Century Schoolbook" w:hAnsi="Century Schoolbook"/>
        </w:rPr>
        <w:t>B</w:t>
      </w:r>
      <w:r w:rsidR="00233063">
        <w:rPr>
          <w:rFonts w:ascii="Century Schoolbook" w:hAnsi="Century Schoolbook"/>
        </w:rPr>
        <w:t>ill</w:t>
      </w:r>
      <w:r w:rsidR="00AC1F7C">
        <w:rPr>
          <w:rFonts w:ascii="Century Schoolbook" w:hAnsi="Century Schoolbook"/>
        </w:rPr>
        <w:t xml:space="preserve"> 50)</w:t>
      </w:r>
      <w:r w:rsidR="009A7C26">
        <w:rPr>
          <w:rFonts w:ascii="Century Schoolbook" w:hAnsi="Century Schoolbook"/>
        </w:rPr>
        <w:t>)</w:t>
      </w:r>
      <w:r w:rsidR="00620DF7">
        <w:rPr>
          <w:rFonts w:ascii="Century Schoolbook" w:hAnsi="Century Schoolbook"/>
        </w:rPr>
        <w:t xml:space="preserve"> </w:t>
      </w:r>
      <w:r w:rsidR="0050532B">
        <w:rPr>
          <w:rFonts w:ascii="Century Schoolbook" w:hAnsi="Century Schoolbook"/>
        </w:rPr>
        <w:t xml:space="preserve">and contended that due to what they considered a high improbability </w:t>
      </w:r>
      <w:r w:rsidR="009A7C26">
        <w:rPr>
          <w:rFonts w:ascii="Century Schoolbook" w:hAnsi="Century Schoolbook"/>
        </w:rPr>
        <w:t xml:space="preserve">(or at least uncertainty) </w:t>
      </w:r>
      <w:r w:rsidR="0050532B">
        <w:rPr>
          <w:rFonts w:ascii="Century Schoolbook" w:hAnsi="Century Schoolbook"/>
        </w:rPr>
        <w:t xml:space="preserve">of </w:t>
      </w:r>
      <w:r w:rsidR="00243BA0">
        <w:rPr>
          <w:rFonts w:ascii="Century Schoolbook" w:hAnsi="Century Schoolbook"/>
        </w:rPr>
        <w:t xml:space="preserve">ever </w:t>
      </w:r>
      <w:r w:rsidR="0050532B">
        <w:rPr>
          <w:rFonts w:ascii="Century Schoolbook" w:hAnsi="Century Schoolbook"/>
        </w:rPr>
        <w:t>obtaining sufficient state and local funding</w:t>
      </w:r>
      <w:r w:rsidR="00AC1F7C">
        <w:rPr>
          <w:rFonts w:ascii="Century Schoolbook" w:hAnsi="Century Schoolbook"/>
        </w:rPr>
        <w:t xml:space="preserve"> for new school</w:t>
      </w:r>
      <w:r w:rsidR="00E75132">
        <w:rPr>
          <w:rFonts w:ascii="Century Schoolbook" w:hAnsi="Century Schoolbook"/>
        </w:rPr>
        <w:t>-</w:t>
      </w:r>
      <w:r w:rsidR="00AC1F7C">
        <w:rPr>
          <w:rFonts w:ascii="Century Schoolbook" w:hAnsi="Century Schoolbook"/>
        </w:rPr>
        <w:t>facilities development</w:t>
      </w:r>
      <w:r w:rsidR="0050532B">
        <w:rPr>
          <w:rFonts w:ascii="Century Schoolbook" w:hAnsi="Century Schoolbook"/>
        </w:rPr>
        <w:t xml:space="preserve">, </w:t>
      </w:r>
      <w:r w:rsidR="0075540B">
        <w:rPr>
          <w:rFonts w:ascii="Century Schoolbook" w:hAnsi="Century Schoolbook"/>
        </w:rPr>
        <w:t xml:space="preserve">SRUSD would likely not be able to construct the three new schools contemplated by the Specific Plan and assumed by the Final EIR, which would result in numerous </w:t>
      </w:r>
      <w:r w:rsidR="00FB44DC">
        <w:rPr>
          <w:rFonts w:ascii="Century Schoolbook" w:hAnsi="Century Schoolbook"/>
        </w:rPr>
        <w:t xml:space="preserve">indirect </w:t>
      </w:r>
      <w:r w:rsidR="0075540B">
        <w:rPr>
          <w:rFonts w:ascii="Century Schoolbook" w:hAnsi="Century Schoolbook"/>
        </w:rPr>
        <w:t xml:space="preserve">environmental impacts </w:t>
      </w:r>
      <w:r w:rsidR="009A7C26">
        <w:rPr>
          <w:rFonts w:ascii="Century Schoolbook" w:hAnsi="Century Schoolbook"/>
        </w:rPr>
        <w:t>“</w:t>
      </w:r>
      <w:r w:rsidR="0075540B">
        <w:rPr>
          <w:rFonts w:ascii="Century Schoolbook" w:hAnsi="Century Schoolbook"/>
        </w:rPr>
        <w:t>on</w:t>
      </w:r>
      <w:r w:rsidR="009A7C26">
        <w:rPr>
          <w:rFonts w:ascii="Century Schoolbook" w:hAnsi="Century Schoolbook"/>
        </w:rPr>
        <w:t>”</w:t>
      </w:r>
      <w:r w:rsidR="0075540B">
        <w:rPr>
          <w:rFonts w:ascii="Century Schoolbook" w:hAnsi="Century Schoolbook"/>
        </w:rPr>
        <w:t xml:space="preserve"> existing facilities.</w:t>
      </w:r>
      <w:r w:rsidR="009A7C26">
        <w:rPr>
          <w:rStyle w:val="FootnoteReference"/>
          <w:rFonts w:ascii="Century Schoolbook" w:hAnsi="Century Schoolbook"/>
        </w:rPr>
        <w:footnoteReference w:id="4"/>
      </w:r>
      <w:r w:rsidR="0075540B">
        <w:rPr>
          <w:rFonts w:ascii="Century Schoolbook" w:hAnsi="Century Schoolbook"/>
        </w:rPr>
        <w:t xml:space="preserve"> The letter also represented that SRUSD was not financially able to absorb the</w:t>
      </w:r>
      <w:r w:rsidR="00FB44DC">
        <w:rPr>
          <w:rFonts w:ascii="Century Schoolbook" w:hAnsi="Century Schoolbook"/>
        </w:rPr>
        <w:t>se</w:t>
      </w:r>
      <w:r w:rsidR="0075540B">
        <w:rPr>
          <w:rFonts w:ascii="Century Schoolbook" w:hAnsi="Century Schoolbook"/>
        </w:rPr>
        <w:t xml:space="preserve"> impacts </w:t>
      </w:r>
      <w:r w:rsidR="00AC1F7C">
        <w:rPr>
          <w:rFonts w:ascii="Century Schoolbook" w:hAnsi="Century Schoolbook"/>
        </w:rPr>
        <w:t xml:space="preserve">perceived </w:t>
      </w:r>
      <w:r w:rsidR="0075540B">
        <w:rPr>
          <w:rFonts w:ascii="Century Schoolbook" w:hAnsi="Century Schoolbook"/>
        </w:rPr>
        <w:t xml:space="preserve">to be caused by the Project and that the payment of </w:t>
      </w:r>
      <w:r w:rsidR="004F505A">
        <w:rPr>
          <w:rFonts w:ascii="Century Schoolbook" w:hAnsi="Century Schoolbook"/>
        </w:rPr>
        <w:t xml:space="preserve">maximized </w:t>
      </w:r>
      <w:r w:rsidR="0075540B">
        <w:rPr>
          <w:rFonts w:ascii="Century Schoolbook" w:hAnsi="Century Schoolbook"/>
        </w:rPr>
        <w:t>developer impact fees would be insufficient to offset the</w:t>
      </w:r>
      <w:r w:rsidR="00FB44DC">
        <w:rPr>
          <w:rFonts w:ascii="Century Schoolbook" w:hAnsi="Century Schoolbook"/>
        </w:rPr>
        <w:t>m</w:t>
      </w:r>
      <w:r w:rsidR="0075540B">
        <w:rPr>
          <w:rFonts w:ascii="Century Schoolbook" w:hAnsi="Century Schoolbook"/>
        </w:rPr>
        <w:t xml:space="preserve">. </w:t>
      </w:r>
      <w:r w:rsidR="00A80B18">
        <w:rPr>
          <w:rFonts w:ascii="Century Schoolbook" w:hAnsi="Century Schoolbook"/>
        </w:rPr>
        <w:t>The letter urged the City “not to certify the EIR until the Project proponents have proposed additional, adequate mitigation to offset the anticipated impacts of the Project,” none of which were specified</w:t>
      </w:r>
      <w:r w:rsidR="004B4F9A">
        <w:rPr>
          <w:rFonts w:ascii="Century Schoolbook" w:hAnsi="Century Schoolbook"/>
        </w:rPr>
        <w:t xml:space="preserve"> in the letter that</w:t>
      </w:r>
      <w:r w:rsidR="002D2F27">
        <w:rPr>
          <w:rFonts w:ascii="Century Schoolbook" w:hAnsi="Century Schoolbook"/>
        </w:rPr>
        <w:t>,</w:t>
      </w:r>
      <w:r w:rsidR="004B4F9A">
        <w:rPr>
          <w:rFonts w:ascii="Century Schoolbook" w:hAnsi="Century Schoolbook"/>
        </w:rPr>
        <w:t xml:space="preserve"> again, emphasized </w:t>
      </w:r>
      <w:r w:rsidR="00AC1F7C">
        <w:rPr>
          <w:rFonts w:ascii="Century Schoolbook" w:hAnsi="Century Schoolbook"/>
        </w:rPr>
        <w:t xml:space="preserve">the likelihood of </w:t>
      </w:r>
      <w:r w:rsidR="004B4F9A">
        <w:rPr>
          <w:rFonts w:ascii="Century Schoolbook" w:hAnsi="Century Schoolbook"/>
        </w:rPr>
        <w:t>a perpetual shortage of school-facilities funding</w:t>
      </w:r>
      <w:r w:rsidR="00A80B18">
        <w:rPr>
          <w:rFonts w:ascii="Century Schoolbook" w:hAnsi="Century Schoolbook"/>
        </w:rPr>
        <w:t>.</w:t>
      </w:r>
    </w:p>
    <w:p w14:paraId="14105139" w14:textId="550126D7" w:rsidR="00365B5C" w:rsidRDefault="0075540B" w:rsidP="003E75F8">
      <w:pPr>
        <w:rPr>
          <w:rFonts w:ascii="Century Schoolbook" w:hAnsi="Century Schoolbook"/>
        </w:rPr>
      </w:pPr>
      <w:r>
        <w:rPr>
          <w:rFonts w:ascii="Century Schoolbook" w:hAnsi="Century Schoolbook"/>
        </w:rPr>
        <w:tab/>
        <w:t xml:space="preserve">The City Council’s hearing for the Project’s approvals took place on December 17, 2019. SRUSD’s Board President spoke at the hearing and explained to the City Council that </w:t>
      </w:r>
      <w:r w:rsidR="00581D0F">
        <w:rPr>
          <w:rFonts w:ascii="Century Schoolbook" w:hAnsi="Century Schoolbook"/>
        </w:rPr>
        <w:t xml:space="preserve">developer impact fees imposed as part of the </w:t>
      </w:r>
      <w:r w:rsidR="00581D0F">
        <w:rPr>
          <w:rFonts w:ascii="Century Schoolbook" w:hAnsi="Century Schoolbook"/>
        </w:rPr>
        <w:lastRenderedPageBreak/>
        <w:t>Project would pay only a</w:t>
      </w:r>
      <w:r w:rsidR="00E75132">
        <w:rPr>
          <w:rFonts w:ascii="Century Schoolbook" w:hAnsi="Century Schoolbook"/>
        </w:rPr>
        <w:t>bout</w:t>
      </w:r>
      <w:r w:rsidR="00581D0F">
        <w:rPr>
          <w:rFonts w:ascii="Century Schoolbook" w:hAnsi="Century Schoolbook"/>
        </w:rPr>
        <w:t xml:space="preserve"> one-third of the costs for anticipated new schools,</w:t>
      </w:r>
      <w:r w:rsidR="00045F12">
        <w:rPr>
          <w:rFonts w:ascii="Century Schoolbook" w:hAnsi="Century Schoolbook"/>
        </w:rPr>
        <w:t xml:space="preserve"> </w:t>
      </w:r>
      <w:r w:rsidR="004F505A">
        <w:rPr>
          <w:rFonts w:ascii="Century Schoolbook" w:hAnsi="Century Schoolbook"/>
        </w:rPr>
        <w:t>so</w:t>
      </w:r>
      <w:r w:rsidR="00045F12">
        <w:rPr>
          <w:rFonts w:ascii="Century Schoolbook" w:hAnsi="Century Schoolbook"/>
        </w:rPr>
        <w:t xml:space="preserve"> the</w:t>
      </w:r>
      <w:r w:rsidR="00AC1F7C">
        <w:rPr>
          <w:rFonts w:ascii="Century Schoolbook" w:hAnsi="Century Schoolbook"/>
        </w:rPr>
        <w:t xml:space="preserve"> schools</w:t>
      </w:r>
      <w:r w:rsidR="00045F12">
        <w:rPr>
          <w:rFonts w:ascii="Century Schoolbook" w:hAnsi="Century Schoolbook"/>
        </w:rPr>
        <w:t xml:space="preserve"> would </w:t>
      </w:r>
      <w:r w:rsidR="00BD1595">
        <w:rPr>
          <w:rFonts w:ascii="Century Schoolbook" w:hAnsi="Century Schoolbook"/>
        </w:rPr>
        <w:t xml:space="preserve">thus </w:t>
      </w:r>
      <w:r w:rsidR="00045F12">
        <w:rPr>
          <w:rFonts w:ascii="Century Schoolbook" w:hAnsi="Century Schoolbook"/>
        </w:rPr>
        <w:t xml:space="preserve">not likely </w:t>
      </w:r>
      <w:r w:rsidR="00365B5C">
        <w:rPr>
          <w:rFonts w:ascii="Century Schoolbook" w:hAnsi="Century Schoolbook"/>
        </w:rPr>
        <w:t xml:space="preserve">ever </w:t>
      </w:r>
      <w:r w:rsidR="00045F12">
        <w:rPr>
          <w:rFonts w:ascii="Century Schoolbook" w:hAnsi="Century Schoolbook"/>
        </w:rPr>
        <w:t xml:space="preserve">be built. </w:t>
      </w:r>
    </w:p>
    <w:p w14:paraId="26639D06" w14:textId="343C92D9" w:rsidR="00E54124" w:rsidRDefault="00365B5C" w:rsidP="003471E2">
      <w:pPr>
        <w:rPr>
          <w:rFonts w:ascii="Century Schoolbook" w:hAnsi="Century Schoolbook"/>
        </w:rPr>
      </w:pPr>
      <w:r>
        <w:rPr>
          <w:rFonts w:ascii="Century Schoolbook" w:hAnsi="Century Schoolbook"/>
        </w:rPr>
        <w:tab/>
        <w:t xml:space="preserve">The City Council nonetheless </w:t>
      </w:r>
      <w:r w:rsidR="003A5BB0">
        <w:rPr>
          <w:rFonts w:ascii="Century Schoolbook" w:hAnsi="Century Schoolbook"/>
        </w:rPr>
        <w:t xml:space="preserve">unanimously </w:t>
      </w:r>
      <w:r>
        <w:rPr>
          <w:rFonts w:ascii="Century Schoolbook" w:hAnsi="Century Schoolbook"/>
        </w:rPr>
        <w:t>approved the Project in its entirety, including certification of the Final EIR</w:t>
      </w:r>
      <w:r w:rsidR="004B4F9A">
        <w:rPr>
          <w:rFonts w:ascii="Century Schoolbook" w:hAnsi="Century Schoolbook"/>
        </w:rPr>
        <w:t>, and adoption of CEQA findings and a Statement of Overriding Considerations for the Specific Plan</w:t>
      </w:r>
      <w:r>
        <w:rPr>
          <w:rFonts w:ascii="Century Schoolbook" w:hAnsi="Century Schoolbook"/>
        </w:rPr>
        <w:t xml:space="preserve">. </w:t>
      </w:r>
    </w:p>
    <w:p w14:paraId="4D087F98" w14:textId="17E879AD" w:rsidR="007F3231" w:rsidRPr="00E54124" w:rsidRDefault="00E54124" w:rsidP="00E54124">
      <w:pPr>
        <w:pStyle w:val="ListParagraph"/>
        <w:numPr>
          <w:ilvl w:val="0"/>
          <w:numId w:val="14"/>
        </w:numPr>
        <w:rPr>
          <w:rFonts w:ascii="Century Schoolbook" w:hAnsi="Century Schoolbook"/>
          <w:i/>
          <w:iCs/>
        </w:rPr>
      </w:pPr>
      <w:r>
        <w:rPr>
          <w:rFonts w:ascii="Century Schoolbook" w:hAnsi="Century Schoolbook"/>
        </w:rPr>
        <w:t xml:space="preserve"> </w:t>
      </w:r>
      <w:r w:rsidRPr="00E54124">
        <w:rPr>
          <w:rFonts w:ascii="Century Schoolbook" w:hAnsi="Century Schoolbook"/>
          <w:i/>
          <w:iCs/>
        </w:rPr>
        <w:t>Procedural Background</w:t>
      </w:r>
      <w:r w:rsidR="00FD5E27" w:rsidRPr="00E54124">
        <w:rPr>
          <w:rFonts w:ascii="Century Schoolbook" w:hAnsi="Century Schoolbook"/>
          <w:i/>
          <w:iCs/>
        </w:rPr>
        <w:t xml:space="preserve">  </w:t>
      </w:r>
      <w:r w:rsidR="007F7568" w:rsidRPr="00E54124">
        <w:rPr>
          <w:rFonts w:ascii="Century Schoolbook" w:hAnsi="Century Schoolbook"/>
          <w:i/>
          <w:iCs/>
        </w:rPr>
        <w:t xml:space="preserve">  </w:t>
      </w:r>
      <w:r w:rsidR="00DF687D" w:rsidRPr="00E54124">
        <w:rPr>
          <w:rFonts w:ascii="Century Schoolbook" w:hAnsi="Century Schoolbook"/>
          <w:i/>
          <w:iCs/>
        </w:rPr>
        <w:t xml:space="preserve"> </w:t>
      </w:r>
      <w:r w:rsidR="00036582" w:rsidRPr="00E54124">
        <w:rPr>
          <w:rFonts w:ascii="Century Schoolbook" w:hAnsi="Century Schoolbook"/>
          <w:i/>
          <w:iCs/>
        </w:rPr>
        <w:t xml:space="preserve"> </w:t>
      </w:r>
    </w:p>
    <w:p w14:paraId="525DF204" w14:textId="54802631" w:rsidR="0084080D" w:rsidRDefault="00E54124" w:rsidP="003E75F8">
      <w:pPr>
        <w:rPr>
          <w:rFonts w:ascii="Century Schoolbook" w:hAnsi="Century Schoolbook"/>
        </w:rPr>
      </w:pPr>
      <w:r>
        <w:rPr>
          <w:rFonts w:ascii="Century Schoolbook" w:hAnsi="Century Schoolbook"/>
        </w:rPr>
        <w:tab/>
      </w:r>
      <w:r w:rsidR="00941A2B">
        <w:rPr>
          <w:rFonts w:ascii="Century Schoolbook" w:hAnsi="Century Schoolbook"/>
        </w:rPr>
        <w:t xml:space="preserve">The Districts </w:t>
      </w:r>
      <w:r w:rsidR="003A5BB0">
        <w:rPr>
          <w:rFonts w:ascii="Century Schoolbook" w:hAnsi="Century Schoolbook"/>
        </w:rPr>
        <w:t xml:space="preserve">timely </w:t>
      </w:r>
      <w:r w:rsidR="00941A2B">
        <w:rPr>
          <w:rFonts w:ascii="Century Schoolbook" w:hAnsi="Century Schoolbook"/>
        </w:rPr>
        <w:t xml:space="preserve">filed their petition for writ of mandate. As relevant here, </w:t>
      </w:r>
      <w:r w:rsidR="00150273">
        <w:rPr>
          <w:rFonts w:ascii="Century Schoolbook" w:hAnsi="Century Schoolbook"/>
        </w:rPr>
        <w:t>the petition</w:t>
      </w:r>
      <w:r w:rsidR="00941A2B">
        <w:rPr>
          <w:rFonts w:ascii="Century Schoolbook" w:hAnsi="Century Schoolbook"/>
        </w:rPr>
        <w:t xml:space="preserve"> sought </w:t>
      </w:r>
      <w:r w:rsidR="00150273">
        <w:rPr>
          <w:rFonts w:ascii="Century Schoolbook" w:hAnsi="Century Schoolbook"/>
        </w:rPr>
        <w:t>in</w:t>
      </w:r>
      <w:r w:rsidR="00941A2B">
        <w:rPr>
          <w:rFonts w:ascii="Century Schoolbook" w:hAnsi="Century Schoolbook"/>
        </w:rPr>
        <w:t xml:space="preserve"> its first cause of action </w:t>
      </w:r>
      <w:r w:rsidR="00704134">
        <w:rPr>
          <w:rFonts w:ascii="Century Schoolbook" w:hAnsi="Century Schoolbook"/>
        </w:rPr>
        <w:t>for violation of CEQA</w:t>
      </w:r>
      <w:r w:rsidR="007630BB">
        <w:rPr>
          <w:rStyle w:val="FootnoteReference"/>
          <w:rFonts w:ascii="Century Schoolbook" w:hAnsi="Century Schoolbook"/>
        </w:rPr>
        <w:footnoteReference w:id="5"/>
      </w:r>
      <w:r w:rsidR="00704134">
        <w:rPr>
          <w:rFonts w:ascii="Century Schoolbook" w:hAnsi="Century Schoolbook"/>
        </w:rPr>
        <w:t xml:space="preserve"> </w:t>
      </w:r>
      <w:r w:rsidR="00941A2B">
        <w:rPr>
          <w:rFonts w:ascii="Century Schoolbook" w:hAnsi="Century Schoolbook"/>
        </w:rPr>
        <w:t>a peremptory writ of mandate setting aside the City’s certification of the Specific Plan Final EIR and related project approvals.</w:t>
      </w:r>
      <w:r w:rsidR="00F906EE">
        <w:rPr>
          <w:rStyle w:val="FootnoteReference"/>
          <w:rFonts w:ascii="Century Schoolbook" w:hAnsi="Century Schoolbook"/>
        </w:rPr>
        <w:footnoteReference w:id="6"/>
      </w:r>
      <w:r w:rsidR="00E67DC8">
        <w:rPr>
          <w:rFonts w:ascii="Century Schoolbook" w:hAnsi="Century Schoolbook"/>
        </w:rPr>
        <w:t xml:space="preserve"> The factual basis for the cause of action was the Final EIR’s </w:t>
      </w:r>
      <w:r w:rsidR="00F906EE">
        <w:rPr>
          <w:rFonts w:ascii="Century Schoolbook" w:hAnsi="Century Schoolbook"/>
        </w:rPr>
        <w:t xml:space="preserve">contemplated “construction of 4,340 new homes, which will generate approximately 2,000 new elementary and middle school students, as well as many high school students” and its </w:t>
      </w:r>
      <w:r w:rsidR="00E67DC8">
        <w:rPr>
          <w:rFonts w:ascii="Century Schoolbook" w:hAnsi="Century Schoolbook"/>
        </w:rPr>
        <w:t>“fail[</w:t>
      </w:r>
      <w:proofErr w:type="spellStart"/>
      <w:r w:rsidR="00E67DC8">
        <w:rPr>
          <w:rFonts w:ascii="Century Schoolbook" w:hAnsi="Century Schoolbook"/>
        </w:rPr>
        <w:t>ure</w:t>
      </w:r>
      <w:proofErr w:type="spellEnd"/>
      <w:r w:rsidR="00E67DC8">
        <w:rPr>
          <w:rFonts w:ascii="Century Schoolbook" w:hAnsi="Century Schoolbook"/>
        </w:rPr>
        <w:t>] to properly address the probability that funding will not be available to fund new school facilities</w:t>
      </w:r>
      <w:r w:rsidR="00F906EE">
        <w:rPr>
          <w:rFonts w:ascii="Century Schoolbook" w:hAnsi="Century Schoolbook"/>
        </w:rPr>
        <w:t xml:space="preserve">,” </w:t>
      </w:r>
      <w:r w:rsidR="009C3E6D">
        <w:rPr>
          <w:rFonts w:ascii="Century Schoolbook" w:hAnsi="Century Schoolbook"/>
        </w:rPr>
        <w:t>coupled with the</w:t>
      </w:r>
      <w:r w:rsidR="00F906EE">
        <w:rPr>
          <w:rFonts w:ascii="Century Schoolbook" w:hAnsi="Century Schoolbook"/>
        </w:rPr>
        <w:t xml:space="preserve"> “</w:t>
      </w:r>
      <w:proofErr w:type="spellStart"/>
      <w:r w:rsidR="00F906EE">
        <w:rPr>
          <w:rFonts w:ascii="Century Schoolbook" w:hAnsi="Century Schoolbook"/>
        </w:rPr>
        <w:t>probab</w:t>
      </w:r>
      <w:proofErr w:type="spellEnd"/>
      <w:r w:rsidR="009C3E6D">
        <w:rPr>
          <w:rFonts w:ascii="Century Schoolbook" w:hAnsi="Century Schoolbook"/>
        </w:rPr>
        <w:t>[</w:t>
      </w:r>
      <w:proofErr w:type="spellStart"/>
      <w:r w:rsidR="009C3E6D">
        <w:rPr>
          <w:rFonts w:ascii="Century Schoolbook" w:hAnsi="Century Schoolbook"/>
        </w:rPr>
        <w:t>ility</w:t>
      </w:r>
      <w:proofErr w:type="spellEnd"/>
      <w:r w:rsidR="009C3E6D">
        <w:rPr>
          <w:rFonts w:ascii="Century Schoolbook" w:hAnsi="Century Schoolbook"/>
        </w:rPr>
        <w:t>]</w:t>
      </w:r>
      <w:r w:rsidR="00F906EE">
        <w:rPr>
          <w:rFonts w:ascii="Century Schoolbook" w:hAnsi="Century Schoolbook"/>
        </w:rPr>
        <w:t xml:space="preserve"> that environmental impacts will result from construction activities at existing sites rather than the construction of new sites</w:t>
      </w:r>
      <w:r w:rsidR="00875929">
        <w:rPr>
          <w:rFonts w:ascii="Century Schoolbook" w:hAnsi="Century Schoolbook"/>
        </w:rPr>
        <w:t>.</w:t>
      </w:r>
      <w:r w:rsidR="00F906EE">
        <w:rPr>
          <w:rFonts w:ascii="Century Schoolbook" w:hAnsi="Century Schoolbook"/>
        </w:rPr>
        <w:t xml:space="preserve">” </w:t>
      </w:r>
      <w:r w:rsidR="00875929">
        <w:rPr>
          <w:rFonts w:ascii="Century Schoolbook" w:hAnsi="Century Schoolbook"/>
        </w:rPr>
        <w:t>T</w:t>
      </w:r>
      <w:r w:rsidR="00F906EE">
        <w:rPr>
          <w:rFonts w:ascii="Century Schoolbook" w:hAnsi="Century Schoolbook"/>
        </w:rPr>
        <w:t xml:space="preserve">hus, the Final EIR </w:t>
      </w:r>
      <w:r w:rsidR="009C3E6D">
        <w:rPr>
          <w:rFonts w:ascii="Century Schoolbook" w:hAnsi="Century Schoolbook"/>
        </w:rPr>
        <w:t>was alleged to be</w:t>
      </w:r>
      <w:r w:rsidR="00F906EE">
        <w:rPr>
          <w:rFonts w:ascii="Century Schoolbook" w:hAnsi="Century Schoolbook"/>
        </w:rPr>
        <w:t xml:space="preserve"> deficient in that it </w:t>
      </w:r>
      <w:r w:rsidR="00875929">
        <w:rPr>
          <w:rFonts w:ascii="Century Schoolbook" w:hAnsi="Century Schoolbook"/>
        </w:rPr>
        <w:t xml:space="preserve">made </w:t>
      </w:r>
      <w:r w:rsidR="00875929">
        <w:rPr>
          <w:rFonts w:ascii="Century Schoolbook" w:hAnsi="Century Schoolbook"/>
        </w:rPr>
        <w:lastRenderedPageBreak/>
        <w:t xml:space="preserve">“the unsupported assumption that all environmental impacts associated with schools will come from the construction of new schools on new sites” and </w:t>
      </w:r>
      <w:r w:rsidR="00F906EE">
        <w:rPr>
          <w:rFonts w:ascii="Century Schoolbook" w:hAnsi="Century Schoolbook"/>
        </w:rPr>
        <w:t xml:space="preserve">“did not evaluate what the Specific Plan’s impact on the environment will be when existing sites inevitably have to house the new students [as contemplated by the Project], including construction and traffic[-]related impacts.” </w:t>
      </w:r>
    </w:p>
    <w:p w14:paraId="5619978D" w14:textId="153A60CC" w:rsidR="0084080D" w:rsidRDefault="0084080D" w:rsidP="003E75F8">
      <w:pPr>
        <w:rPr>
          <w:rFonts w:ascii="Century Schoolbook" w:hAnsi="Century Schoolbook"/>
        </w:rPr>
      </w:pPr>
      <w:r>
        <w:rPr>
          <w:rFonts w:ascii="Century Schoolbook" w:hAnsi="Century Schoolbook"/>
        </w:rPr>
        <w:tab/>
      </w:r>
      <w:r w:rsidR="00875929">
        <w:rPr>
          <w:rFonts w:ascii="Century Schoolbook" w:hAnsi="Century Schoolbook"/>
        </w:rPr>
        <w:t xml:space="preserve">The cause of action further alleged that “there is nothing in the record demonstrating there will be enough </w:t>
      </w:r>
      <w:r w:rsidR="00AC77C2">
        <w:rPr>
          <w:rFonts w:ascii="Century Schoolbook" w:hAnsi="Century Schoolbook"/>
        </w:rPr>
        <w:t xml:space="preserve">funding from enough sources to construct new schools”; “developer fees most often do not cover impacts caused by [school] development”; </w:t>
      </w:r>
      <w:r w:rsidR="0058626E">
        <w:rPr>
          <w:rFonts w:ascii="Century Schoolbook" w:hAnsi="Century Schoolbook"/>
        </w:rPr>
        <w:t xml:space="preserve">“it is undisputed in the record that [the Districts] cannot meet the demands for new school construction caused by the anticipated influx of students” as a result of the Specific Plan; state funding, developer fees, and local bond funds, each for separate reasons, are likely to be insufficient for the Districts to build the new schools contemplated by the Specific Plan and the Final EIR fails to acknowledge the inadequacies of these funding sources; </w:t>
      </w:r>
      <w:r>
        <w:rPr>
          <w:rFonts w:ascii="Century Schoolbook" w:hAnsi="Century Schoolbook"/>
        </w:rPr>
        <w:t xml:space="preserve">and </w:t>
      </w:r>
      <w:r w:rsidR="0058626E">
        <w:rPr>
          <w:rFonts w:ascii="Century Schoolbook" w:hAnsi="Century Schoolbook"/>
        </w:rPr>
        <w:t>“there are foreseeable environmental impacts connected with adding or modifying school facilities at existing school sites” to alternatively accommodate the new students brought by development under the Specific Plan</w:t>
      </w:r>
      <w:r>
        <w:rPr>
          <w:rFonts w:ascii="Century Schoolbook" w:hAnsi="Century Schoolbook"/>
        </w:rPr>
        <w:t xml:space="preserve"> but the Final EIR “does not evaluate” them. </w:t>
      </w:r>
    </w:p>
    <w:p w14:paraId="20D51DD5" w14:textId="7D20A7AA" w:rsidR="000F7AD6" w:rsidRDefault="0084080D" w:rsidP="003E75F8">
      <w:pPr>
        <w:rPr>
          <w:rFonts w:ascii="Century Schoolbook" w:hAnsi="Century Schoolbook"/>
        </w:rPr>
      </w:pPr>
      <w:r>
        <w:rPr>
          <w:rFonts w:ascii="Century Schoolbook" w:hAnsi="Century Schoolbook"/>
        </w:rPr>
        <w:tab/>
        <w:t xml:space="preserve">The second component of the Districts’ alleged CEQA violations was </w:t>
      </w:r>
      <w:r w:rsidR="007A714F">
        <w:rPr>
          <w:rFonts w:ascii="Century Schoolbook" w:hAnsi="Century Schoolbook"/>
        </w:rPr>
        <w:t>the a</w:t>
      </w:r>
      <w:r w:rsidR="00A60882">
        <w:rPr>
          <w:rFonts w:ascii="Century Schoolbook" w:hAnsi="Century Schoolbook"/>
        </w:rPr>
        <w:t>ssertion</w:t>
      </w:r>
      <w:r w:rsidR="007A714F">
        <w:rPr>
          <w:rFonts w:ascii="Century Schoolbook" w:hAnsi="Century Schoolbook"/>
        </w:rPr>
        <w:t xml:space="preserve"> </w:t>
      </w:r>
      <w:r>
        <w:rPr>
          <w:rFonts w:ascii="Century Schoolbook" w:hAnsi="Century Schoolbook"/>
        </w:rPr>
        <w:t>that the City as lead agency did not comply with Guidelines section 15088, subdivision (c)</w:t>
      </w:r>
      <w:r w:rsidR="00A60882">
        <w:rPr>
          <w:rFonts w:ascii="Century Schoolbook" w:hAnsi="Century Schoolbook"/>
        </w:rPr>
        <w:t>,</w:t>
      </w:r>
      <w:r>
        <w:rPr>
          <w:rFonts w:ascii="Century Schoolbook" w:hAnsi="Century Schoolbook"/>
        </w:rPr>
        <w:t xml:space="preserve"> in that it “failed to provide adequate responses to [the Districts’] contentions” made before certification of the Final EIR about the “lack of adequate funding for new schools and unanalyzed environmental impacts on existing facilities.” Instead of providing </w:t>
      </w:r>
      <w:r w:rsidR="00704134">
        <w:rPr>
          <w:rFonts w:ascii="Century Schoolbook" w:hAnsi="Century Schoolbook"/>
        </w:rPr>
        <w:t xml:space="preserve">responsive </w:t>
      </w:r>
      <w:r>
        <w:rPr>
          <w:rFonts w:ascii="Century Schoolbook" w:hAnsi="Century Schoolbook"/>
        </w:rPr>
        <w:t xml:space="preserve">“good faith, reasoned analysis,” the City first </w:t>
      </w:r>
      <w:r w:rsidR="007A714F">
        <w:rPr>
          <w:rFonts w:ascii="Century Schoolbook" w:hAnsi="Century Schoolbook"/>
        </w:rPr>
        <w:t>respond</w:t>
      </w:r>
      <w:r>
        <w:rPr>
          <w:rFonts w:ascii="Century Schoolbook" w:hAnsi="Century Schoolbook"/>
        </w:rPr>
        <w:t>ed that Government Code section 65996, subdivision (a)</w:t>
      </w:r>
      <w:r w:rsidR="003D444C">
        <w:rPr>
          <w:rFonts w:ascii="Century Schoolbook" w:hAnsi="Century Schoolbook"/>
        </w:rPr>
        <w:t xml:space="preserve"> </w:t>
      </w:r>
      <w:r>
        <w:rPr>
          <w:rFonts w:ascii="Century Schoolbook" w:hAnsi="Century Schoolbook"/>
        </w:rPr>
        <w:t>“</w:t>
      </w:r>
      <w:r w:rsidR="003D444C">
        <w:rPr>
          <w:rFonts w:ascii="Century Schoolbook" w:hAnsi="Century Schoolbook"/>
        </w:rPr>
        <w:t xml:space="preserve"> ‘</w:t>
      </w:r>
      <w:r>
        <w:rPr>
          <w:rFonts w:ascii="Century Schoolbook" w:hAnsi="Century Schoolbook"/>
        </w:rPr>
        <w:t>obviated the need to analyze and mitigate</w:t>
      </w:r>
      <w:r w:rsidR="003D444C">
        <w:rPr>
          <w:rFonts w:ascii="Century Schoolbook" w:hAnsi="Century Schoolbook"/>
        </w:rPr>
        <w:t xml:space="preserve"> a development’s direct impacts on existing school facilities in an EIR because </w:t>
      </w:r>
      <w:r w:rsidR="000A5E02">
        <w:rPr>
          <w:rFonts w:ascii="Century Schoolbook" w:hAnsi="Century Schoolbook"/>
        </w:rPr>
        <w:lastRenderedPageBreak/>
        <w:t xml:space="preserve">[the] </w:t>
      </w:r>
      <w:r w:rsidR="00A60882">
        <w:rPr>
          <w:rFonts w:ascii="Century Schoolbook" w:hAnsi="Century Schoolbook"/>
        </w:rPr>
        <w:t>Education</w:t>
      </w:r>
      <w:r w:rsidR="003D444C">
        <w:rPr>
          <w:rFonts w:ascii="Century Schoolbook" w:hAnsi="Century Schoolbook"/>
        </w:rPr>
        <w:t xml:space="preserve"> Code sets forth </w:t>
      </w:r>
      <w:r w:rsidR="007A714F">
        <w:rPr>
          <w:rFonts w:ascii="Century Schoolbook" w:hAnsi="Century Schoolbook"/>
        </w:rPr>
        <w:t xml:space="preserve">the </w:t>
      </w:r>
      <w:r w:rsidR="003D444C">
        <w:rPr>
          <w:rFonts w:ascii="Century Schoolbook" w:hAnsi="Century Schoolbook"/>
        </w:rPr>
        <w:t>“exclusive methods” for consideration a</w:t>
      </w:r>
      <w:r w:rsidR="00704134">
        <w:rPr>
          <w:rFonts w:ascii="Century Schoolbook" w:hAnsi="Century Schoolbook"/>
        </w:rPr>
        <w:t>n</w:t>
      </w:r>
      <w:r w:rsidR="003D444C">
        <w:rPr>
          <w:rFonts w:ascii="Century Schoolbook" w:hAnsi="Century Schoolbook"/>
        </w:rPr>
        <w:t>d mitigation of such impacts’ ”</w:t>
      </w:r>
      <w:r w:rsidR="007A714F">
        <w:rPr>
          <w:rFonts w:ascii="Century Schoolbook" w:hAnsi="Century Schoolbook"/>
        </w:rPr>
        <w:t xml:space="preserve"> under CEQA.</w:t>
      </w:r>
      <w:r w:rsidR="003D444C">
        <w:rPr>
          <w:rFonts w:ascii="Century Schoolbook" w:hAnsi="Century Schoolbook"/>
        </w:rPr>
        <w:t xml:space="preserve"> Next, </w:t>
      </w:r>
      <w:r w:rsidR="00A60882">
        <w:rPr>
          <w:rFonts w:ascii="Century Schoolbook" w:hAnsi="Century Schoolbook"/>
        </w:rPr>
        <w:t xml:space="preserve">as alleged by the petition, </w:t>
      </w:r>
      <w:r w:rsidR="003D444C">
        <w:rPr>
          <w:rFonts w:ascii="Century Schoolbook" w:hAnsi="Century Schoolbook"/>
        </w:rPr>
        <w:t xml:space="preserve">the City contended that the “scenarios described by [the Districts] are somehow ‘too speculative to give rise to meaningful environmental assessment, particularly since, if they occur, they will occur over an extended </w:t>
      </w:r>
      <w:proofErr w:type="gramStart"/>
      <w:r w:rsidR="003D444C">
        <w:rPr>
          <w:rFonts w:ascii="Century Schoolbook" w:hAnsi="Century Schoolbook"/>
        </w:rPr>
        <w:t>period of time</w:t>
      </w:r>
      <w:proofErr w:type="gramEnd"/>
      <w:r w:rsidR="003D444C">
        <w:rPr>
          <w:rFonts w:ascii="Century Schoolbook" w:hAnsi="Century Schoolbook"/>
        </w:rPr>
        <w:t xml:space="preserve"> (perhaps 20</w:t>
      </w:r>
      <w:r w:rsidR="00CB657F">
        <w:rPr>
          <w:rFonts w:ascii="Century Schoolbook" w:hAnsi="Century Schoolbook"/>
        </w:rPr>
        <w:t> </w:t>
      </w:r>
      <w:r w:rsidR="003D444C">
        <w:rPr>
          <w:rFonts w:ascii="Century Schoolbook" w:hAnsi="Century Schoolbook"/>
        </w:rPr>
        <w:t xml:space="preserve">to 30 years), consistent with buildout of the Specific Plan Area.’ ” Both positions were alleged </w:t>
      </w:r>
      <w:r w:rsidR="007A714F">
        <w:rPr>
          <w:rFonts w:ascii="Century Schoolbook" w:hAnsi="Century Schoolbook"/>
        </w:rPr>
        <w:t xml:space="preserve">by the Districts </w:t>
      </w:r>
      <w:r w:rsidR="003D444C">
        <w:rPr>
          <w:rFonts w:ascii="Century Schoolbook" w:hAnsi="Century Schoolbook"/>
        </w:rPr>
        <w:t xml:space="preserve">to be </w:t>
      </w:r>
      <w:r w:rsidR="000F7AD6">
        <w:rPr>
          <w:rFonts w:ascii="Century Schoolbook" w:hAnsi="Century Schoolbook"/>
        </w:rPr>
        <w:t xml:space="preserve">an </w:t>
      </w:r>
      <w:r w:rsidR="003D444C">
        <w:rPr>
          <w:rFonts w:ascii="Century Schoolbook" w:hAnsi="Century Schoolbook"/>
        </w:rPr>
        <w:t xml:space="preserve">inadequate </w:t>
      </w:r>
      <w:r w:rsidR="000F7AD6">
        <w:rPr>
          <w:rFonts w:ascii="Century Schoolbook" w:hAnsi="Century Schoolbook"/>
        </w:rPr>
        <w:t xml:space="preserve">response </w:t>
      </w:r>
      <w:r w:rsidR="003D444C">
        <w:rPr>
          <w:rFonts w:ascii="Century Schoolbook" w:hAnsi="Century Schoolbook"/>
        </w:rPr>
        <w:t>under CEQA</w:t>
      </w:r>
      <w:r w:rsidR="00406166">
        <w:rPr>
          <w:rFonts w:ascii="Century Schoolbook" w:hAnsi="Century Schoolbook"/>
        </w:rPr>
        <w:t xml:space="preserve">, and the City provided “no justification for failing to analyze the more probable environmental impacts related to school facilities in the [Final EIR. The City] is not entitled to analyze a scenario that has little chance of occurring (construction of new schools), and then claim that even though there is a far more likely scenario, the impacts that would arise do not need to be analyzed at this time.” </w:t>
      </w:r>
    </w:p>
    <w:p w14:paraId="72C4DA6B" w14:textId="10781FEB" w:rsidR="00ED1B93" w:rsidRDefault="000F7AD6" w:rsidP="003E75F8">
      <w:pPr>
        <w:rPr>
          <w:rFonts w:ascii="Century Schoolbook" w:hAnsi="Century Schoolbook"/>
        </w:rPr>
      </w:pPr>
      <w:r>
        <w:rPr>
          <w:rFonts w:ascii="Century Schoolbook" w:hAnsi="Century Schoolbook"/>
        </w:rPr>
        <w:tab/>
        <w:t>The pleadings were joined in the trial court and the matter briefed for hearing</w:t>
      </w:r>
      <w:r w:rsidR="00CE35FC">
        <w:rPr>
          <w:rFonts w:ascii="Century Schoolbook" w:hAnsi="Century Schoolbook"/>
        </w:rPr>
        <w:t>, which occurred on April 19, 2021</w:t>
      </w:r>
      <w:r>
        <w:rPr>
          <w:rFonts w:ascii="Century Schoolbook" w:hAnsi="Century Schoolbook"/>
        </w:rPr>
        <w:t>.</w:t>
      </w:r>
      <w:r>
        <w:rPr>
          <w:rStyle w:val="FootnoteReference"/>
          <w:rFonts w:ascii="Century Schoolbook" w:hAnsi="Century Schoolbook"/>
        </w:rPr>
        <w:footnoteReference w:id="7"/>
      </w:r>
      <w:r w:rsidR="00CE35FC">
        <w:rPr>
          <w:rFonts w:ascii="Century Schoolbook" w:hAnsi="Century Schoolbook"/>
        </w:rPr>
        <w:t xml:space="preserve"> The Districts’ briefing with respect </w:t>
      </w:r>
      <w:r w:rsidR="00CE35FC">
        <w:rPr>
          <w:rFonts w:ascii="Century Schoolbook" w:hAnsi="Century Schoolbook"/>
        </w:rPr>
        <w:lastRenderedPageBreak/>
        <w:t xml:space="preserve">to the </w:t>
      </w:r>
      <w:r w:rsidR="007A714F">
        <w:rPr>
          <w:rFonts w:ascii="Century Schoolbook" w:hAnsi="Century Schoolbook"/>
        </w:rPr>
        <w:t xml:space="preserve">alleged </w:t>
      </w:r>
      <w:r w:rsidR="00CE35FC">
        <w:rPr>
          <w:rFonts w:ascii="Century Schoolbook" w:hAnsi="Century Schoolbook"/>
        </w:rPr>
        <w:t xml:space="preserve">CEQA violations </w:t>
      </w:r>
      <w:r w:rsidR="004546FF">
        <w:rPr>
          <w:rFonts w:ascii="Century Schoolbook" w:hAnsi="Century Schoolbook"/>
        </w:rPr>
        <w:t xml:space="preserve">likewise </w:t>
      </w:r>
      <w:r w:rsidR="00A9478D">
        <w:rPr>
          <w:rFonts w:ascii="Century Schoolbook" w:hAnsi="Century Schoolbook"/>
        </w:rPr>
        <w:t>argued</w:t>
      </w:r>
      <w:r w:rsidR="0032564C">
        <w:rPr>
          <w:rFonts w:ascii="Century Schoolbook" w:hAnsi="Century Schoolbook"/>
        </w:rPr>
        <w:t>, as they maintain on appeal,</w:t>
      </w:r>
      <w:r w:rsidR="00CE35FC">
        <w:rPr>
          <w:rFonts w:ascii="Century Schoolbook" w:hAnsi="Century Schoolbook"/>
        </w:rPr>
        <w:t xml:space="preserve"> that the </w:t>
      </w:r>
      <w:r w:rsidR="00794014">
        <w:rPr>
          <w:rFonts w:ascii="Century Schoolbook" w:hAnsi="Century Schoolbook"/>
        </w:rPr>
        <w:t xml:space="preserve">Draft and </w:t>
      </w:r>
      <w:r w:rsidR="00CE35FC">
        <w:rPr>
          <w:rFonts w:ascii="Century Schoolbook" w:hAnsi="Century Schoolbook"/>
        </w:rPr>
        <w:t>Final EIR</w:t>
      </w:r>
      <w:r w:rsidR="00794014">
        <w:rPr>
          <w:rFonts w:ascii="Century Schoolbook" w:hAnsi="Century Schoolbook"/>
        </w:rPr>
        <w:t>s</w:t>
      </w:r>
      <w:r w:rsidR="00CE35FC">
        <w:rPr>
          <w:rFonts w:ascii="Century Schoolbook" w:hAnsi="Century Schoolbook"/>
        </w:rPr>
        <w:t xml:space="preserve"> </w:t>
      </w:r>
      <w:r w:rsidR="00794014">
        <w:rPr>
          <w:rFonts w:ascii="Century Schoolbook" w:hAnsi="Century Schoolbook"/>
        </w:rPr>
        <w:t xml:space="preserve">evaluated </w:t>
      </w:r>
      <w:r w:rsidR="00CE35FC">
        <w:rPr>
          <w:rFonts w:ascii="Century Schoolbook" w:hAnsi="Century Schoolbook"/>
        </w:rPr>
        <w:t>environmental impacts related to schools</w:t>
      </w:r>
      <w:r w:rsidR="00794014">
        <w:rPr>
          <w:rFonts w:ascii="Century Schoolbook" w:hAnsi="Century Schoolbook"/>
        </w:rPr>
        <w:t xml:space="preserve"> only on the erroneous assumption that new schools would be constructed and </w:t>
      </w:r>
      <w:r w:rsidR="00A34C51">
        <w:rPr>
          <w:rFonts w:ascii="Century Schoolbook" w:hAnsi="Century Schoolbook"/>
        </w:rPr>
        <w:t xml:space="preserve">failed to “adequately inform the public that due to the high probability of a lack of sufficient funding to build new schools, there will be significant environmental impacts, including impacts related to traffic, utilities, and public services, due to the inevitable need to modify the Districts’ [existing] facilities to accommodate the influx of new students.” The Districts’ briefing further emphasized that </w:t>
      </w:r>
      <w:r w:rsidR="0032564C">
        <w:rPr>
          <w:rFonts w:ascii="Century Schoolbook" w:hAnsi="Century Schoolbook"/>
        </w:rPr>
        <w:t xml:space="preserve">in responding to comments on the Draft EIR, </w:t>
      </w:r>
      <w:r w:rsidR="00A34C51">
        <w:rPr>
          <w:rFonts w:ascii="Century Schoolbook" w:hAnsi="Century Schoolbook"/>
        </w:rPr>
        <w:t xml:space="preserve">the City had </w:t>
      </w:r>
      <w:r w:rsidR="004546FF">
        <w:rPr>
          <w:rFonts w:ascii="Century Schoolbook" w:hAnsi="Century Schoolbook"/>
        </w:rPr>
        <w:t xml:space="preserve">failed to </w:t>
      </w:r>
      <w:r w:rsidR="00A34C51">
        <w:rPr>
          <w:rFonts w:ascii="Century Schoolbook" w:hAnsi="Century Schoolbook"/>
        </w:rPr>
        <w:t>provide</w:t>
      </w:r>
      <w:r w:rsidR="00A9478D">
        <w:rPr>
          <w:rFonts w:ascii="Century Schoolbook" w:hAnsi="Century Schoolbook"/>
        </w:rPr>
        <w:t xml:space="preserve"> </w:t>
      </w:r>
      <w:r w:rsidR="00794014">
        <w:rPr>
          <w:rFonts w:ascii="Century Schoolbook" w:hAnsi="Century Schoolbook"/>
        </w:rPr>
        <w:t xml:space="preserve">a justification for not analyzing significant environmental impacts </w:t>
      </w:r>
      <w:r w:rsidR="0032564C">
        <w:rPr>
          <w:rFonts w:ascii="Century Schoolbook" w:hAnsi="Century Schoolbook"/>
        </w:rPr>
        <w:t xml:space="preserve">relating to existing school facilities or a good faith, reasoned analysis for not doing so. </w:t>
      </w:r>
    </w:p>
    <w:p w14:paraId="6B453679" w14:textId="6B6D3B42" w:rsidR="0032564C" w:rsidRDefault="00ED1B93" w:rsidP="003E75F8">
      <w:pPr>
        <w:rPr>
          <w:rFonts w:ascii="Century Schoolbook" w:hAnsi="Century Schoolbook"/>
        </w:rPr>
      </w:pPr>
      <w:r>
        <w:rPr>
          <w:rFonts w:ascii="Century Schoolbook" w:hAnsi="Century Schoolbook"/>
        </w:rPr>
        <w:tab/>
      </w:r>
      <w:r w:rsidR="0032564C">
        <w:rPr>
          <w:rFonts w:ascii="Century Schoolbook" w:hAnsi="Century Schoolbook"/>
        </w:rPr>
        <w:t>In pressing their arguments, the Districts urged that their claims were predominantly those of “ ‘improper procedure’ ” under CEQA by the City having omitted essential information from the EIR</w:t>
      </w:r>
      <w:r>
        <w:rPr>
          <w:rFonts w:ascii="Century Schoolbook" w:hAnsi="Century Schoolbook"/>
        </w:rPr>
        <w:t xml:space="preserve"> or having failed to address a necessary issue, warranting de novo </w:t>
      </w:r>
      <w:r w:rsidR="0025419E">
        <w:rPr>
          <w:rFonts w:ascii="Century Schoolbook" w:hAnsi="Century Schoolbook"/>
        </w:rPr>
        <w:t xml:space="preserve">judicial </w:t>
      </w:r>
      <w:r>
        <w:rPr>
          <w:rFonts w:ascii="Century Schoolbook" w:hAnsi="Century Schoolbook"/>
        </w:rPr>
        <w:t xml:space="preserve">review under </w:t>
      </w:r>
      <w:r w:rsidRPr="00ED1B93">
        <w:rPr>
          <w:rFonts w:ascii="Century Schoolbook" w:hAnsi="Century Schoolbook"/>
          <w:i/>
          <w:iCs/>
        </w:rPr>
        <w:t>Banning Ranch Conservancy v. City of Newport Beach</w:t>
      </w:r>
      <w:r>
        <w:rPr>
          <w:rFonts w:ascii="Century Schoolbook" w:hAnsi="Century Schoolbook"/>
        </w:rPr>
        <w:t xml:space="preserve"> (2017) 2 Cal.5th 918, 935 (</w:t>
      </w:r>
      <w:r w:rsidRPr="00ED1B93">
        <w:rPr>
          <w:rFonts w:ascii="Century Schoolbook" w:hAnsi="Century Schoolbook"/>
          <w:i/>
          <w:iCs/>
        </w:rPr>
        <w:t>Banning Ranch</w:t>
      </w:r>
      <w:r>
        <w:rPr>
          <w:rFonts w:ascii="Century Schoolbook" w:hAnsi="Century Schoolbook"/>
        </w:rPr>
        <w:t xml:space="preserve">) and </w:t>
      </w:r>
      <w:r w:rsidRPr="00ED1B93">
        <w:rPr>
          <w:rFonts w:ascii="Century Schoolbook" w:hAnsi="Century Schoolbook"/>
          <w:i/>
          <w:iCs/>
        </w:rPr>
        <w:t>Vineyard Area Citizens for responsible Growth v. City of Rancho Cordova</w:t>
      </w:r>
      <w:r>
        <w:rPr>
          <w:rFonts w:ascii="Century Schoolbook" w:hAnsi="Century Schoolbook"/>
        </w:rPr>
        <w:t xml:space="preserve"> (2007) 40 Cal.4th 412, 435 (</w:t>
      </w:r>
      <w:r w:rsidRPr="00CE5020">
        <w:rPr>
          <w:rFonts w:ascii="Century Schoolbook" w:hAnsi="Century Schoolbook"/>
          <w:i/>
          <w:iCs/>
        </w:rPr>
        <w:t>Vineyard</w:t>
      </w:r>
      <w:r>
        <w:rPr>
          <w:rFonts w:ascii="Century Schoolbook" w:hAnsi="Century Schoolbook"/>
        </w:rPr>
        <w:t>).</w:t>
      </w:r>
      <w:r w:rsidR="0032564C">
        <w:rPr>
          <w:rFonts w:ascii="Century Schoolbook" w:hAnsi="Century Schoolbook"/>
        </w:rPr>
        <w:t xml:space="preserve"> </w:t>
      </w:r>
    </w:p>
    <w:p w14:paraId="453FD4C4" w14:textId="4D00E982" w:rsidR="00974032" w:rsidRDefault="0032564C" w:rsidP="003E75F8">
      <w:pPr>
        <w:rPr>
          <w:rFonts w:ascii="Century Schoolbook" w:hAnsi="Century Schoolbook"/>
        </w:rPr>
      </w:pPr>
      <w:r>
        <w:rPr>
          <w:rFonts w:ascii="Century Schoolbook" w:hAnsi="Century Schoolbook"/>
        </w:rPr>
        <w:tab/>
      </w:r>
      <w:r w:rsidR="00ED1B93">
        <w:rPr>
          <w:rFonts w:ascii="Century Schoolbook" w:hAnsi="Century Schoolbook"/>
        </w:rPr>
        <w:t>For their part, t</w:t>
      </w:r>
      <w:r>
        <w:rPr>
          <w:rFonts w:ascii="Century Schoolbook" w:hAnsi="Century Schoolbook"/>
        </w:rPr>
        <w:t>he real parties’ briefing below</w:t>
      </w:r>
      <w:r w:rsidR="009E7F65">
        <w:rPr>
          <w:rFonts w:ascii="Century Schoolbook" w:hAnsi="Century Schoolbook"/>
        </w:rPr>
        <w:t>, filed jointly with the City,</w:t>
      </w:r>
      <w:r w:rsidR="00ED1B93">
        <w:rPr>
          <w:rFonts w:ascii="Century Schoolbook" w:hAnsi="Century Schoolbook"/>
        </w:rPr>
        <w:t xml:space="preserve"> framed the </w:t>
      </w:r>
      <w:r w:rsidR="00982A83">
        <w:rPr>
          <w:rFonts w:ascii="Century Schoolbook" w:hAnsi="Century Schoolbook"/>
        </w:rPr>
        <w:t>CEQA</w:t>
      </w:r>
      <w:r w:rsidR="00ED1B93">
        <w:rPr>
          <w:rFonts w:ascii="Century Schoolbook" w:hAnsi="Century Schoolbook"/>
        </w:rPr>
        <w:t xml:space="preserve"> issues before the court </w:t>
      </w:r>
      <w:r w:rsidR="00982A83">
        <w:rPr>
          <w:rFonts w:ascii="Century Schoolbook" w:hAnsi="Century Schoolbook"/>
        </w:rPr>
        <w:t xml:space="preserve">as factual </w:t>
      </w:r>
      <w:r w:rsidR="006058EE">
        <w:rPr>
          <w:rFonts w:ascii="Century Schoolbook" w:hAnsi="Century Schoolbook"/>
        </w:rPr>
        <w:t xml:space="preserve">conclusions </w:t>
      </w:r>
      <w:r w:rsidR="00974032">
        <w:rPr>
          <w:rFonts w:ascii="Century Schoolbook" w:hAnsi="Century Schoolbook"/>
        </w:rPr>
        <w:t xml:space="preserve">and quasi-legislative </w:t>
      </w:r>
      <w:r w:rsidR="006058EE">
        <w:rPr>
          <w:rFonts w:ascii="Century Schoolbook" w:hAnsi="Century Schoolbook"/>
        </w:rPr>
        <w:t>decision</w:t>
      </w:r>
      <w:r w:rsidR="00982A83">
        <w:rPr>
          <w:rFonts w:ascii="Century Schoolbook" w:hAnsi="Century Schoolbook"/>
        </w:rPr>
        <w:t xml:space="preserve">s by the City as lead agency subject to deferential substantial evidence review </w:t>
      </w:r>
      <w:r w:rsidR="009E7F65">
        <w:rPr>
          <w:rFonts w:ascii="Century Schoolbook" w:hAnsi="Century Schoolbook"/>
        </w:rPr>
        <w:t>specific to</w:t>
      </w:r>
      <w:r w:rsidR="00982A83">
        <w:rPr>
          <w:rFonts w:ascii="Century Schoolbook" w:hAnsi="Century Schoolbook"/>
        </w:rPr>
        <w:t xml:space="preserve"> CEQA (§ 21080, subd. (d); Guidelines, § 15384)</w:t>
      </w:r>
      <w:r w:rsidR="009E7F65">
        <w:rPr>
          <w:rFonts w:ascii="Century Schoolbook" w:hAnsi="Century Schoolbook"/>
        </w:rPr>
        <w:t>,</w:t>
      </w:r>
      <w:r w:rsidR="00982A83">
        <w:rPr>
          <w:rFonts w:ascii="Century Schoolbook" w:hAnsi="Century Schoolbook"/>
        </w:rPr>
        <w:t xml:space="preserve"> </w:t>
      </w:r>
      <w:r w:rsidR="009E7F65">
        <w:rPr>
          <w:rFonts w:ascii="Century Schoolbook" w:hAnsi="Century Schoolbook"/>
        </w:rPr>
        <w:t xml:space="preserve">and </w:t>
      </w:r>
      <w:r w:rsidR="00982A83">
        <w:rPr>
          <w:rFonts w:ascii="Century Schoolbook" w:hAnsi="Century Schoolbook"/>
        </w:rPr>
        <w:t xml:space="preserve">as distinct from administrative mandamus review </w:t>
      </w:r>
      <w:r w:rsidR="009E7F65">
        <w:rPr>
          <w:rFonts w:ascii="Century Schoolbook" w:hAnsi="Century Schoolbook"/>
        </w:rPr>
        <w:t>of a</w:t>
      </w:r>
      <w:r w:rsidR="006058EE">
        <w:rPr>
          <w:rFonts w:ascii="Century Schoolbook" w:hAnsi="Century Schoolbook"/>
        </w:rPr>
        <w:t xml:space="preserve"> quasi-</w:t>
      </w:r>
      <w:r w:rsidR="009E7F65">
        <w:rPr>
          <w:rFonts w:ascii="Century Schoolbook" w:hAnsi="Century Schoolbook"/>
        </w:rPr>
        <w:t xml:space="preserve">adjudicative decision </w:t>
      </w:r>
      <w:r w:rsidR="00982A83">
        <w:rPr>
          <w:rFonts w:ascii="Century Schoolbook" w:hAnsi="Century Schoolbook"/>
        </w:rPr>
        <w:t>under Code of Civil Procedure section 1094.5.</w:t>
      </w:r>
      <w:r w:rsidR="00ED1B93">
        <w:rPr>
          <w:rFonts w:ascii="Century Schoolbook" w:hAnsi="Century Schoolbook"/>
        </w:rPr>
        <w:t xml:space="preserve"> </w:t>
      </w:r>
      <w:r w:rsidR="009E7F65">
        <w:rPr>
          <w:rFonts w:ascii="Century Schoolbook" w:hAnsi="Century Schoolbook"/>
        </w:rPr>
        <w:t>The issue as so framed w</w:t>
      </w:r>
      <w:r w:rsidR="00644FFB">
        <w:rPr>
          <w:rFonts w:ascii="Century Schoolbook" w:hAnsi="Century Schoolbook"/>
        </w:rPr>
        <w:t>as</w:t>
      </w:r>
      <w:r w:rsidR="009E7F65">
        <w:rPr>
          <w:rFonts w:ascii="Century Schoolbook" w:hAnsi="Century Schoolbook"/>
        </w:rPr>
        <w:t xml:space="preserve"> </w:t>
      </w:r>
      <w:r w:rsidR="00644FFB">
        <w:rPr>
          <w:rFonts w:ascii="Century Schoolbook" w:hAnsi="Century Schoolbook"/>
        </w:rPr>
        <w:t xml:space="preserve">argued to be </w:t>
      </w:r>
      <w:r w:rsidR="009E7F65">
        <w:rPr>
          <w:rFonts w:ascii="Century Schoolbook" w:hAnsi="Century Schoolbook"/>
        </w:rPr>
        <w:t xml:space="preserve">whether the EIR’s discussion of the </w:t>
      </w:r>
      <w:r w:rsidR="00912C51">
        <w:rPr>
          <w:rFonts w:ascii="Century Schoolbook" w:hAnsi="Century Schoolbook"/>
        </w:rPr>
        <w:t xml:space="preserve">potentially significant school impacts was adequate, generally a mixed question of law and fact, but </w:t>
      </w:r>
      <w:r w:rsidR="00912C51">
        <w:rPr>
          <w:rFonts w:ascii="Century Schoolbook" w:hAnsi="Century Schoolbook"/>
        </w:rPr>
        <w:lastRenderedPageBreak/>
        <w:t>here urged to be predominating with factual questions, such as which methodologies the City chose to employ for analyzing school-related environmental impacts</w:t>
      </w:r>
      <w:r w:rsidR="00644FFB">
        <w:rPr>
          <w:rFonts w:ascii="Century Schoolbook" w:hAnsi="Century Schoolbook"/>
        </w:rPr>
        <w:t>.</w:t>
      </w:r>
      <w:r w:rsidR="00912C51">
        <w:rPr>
          <w:rFonts w:ascii="Century Schoolbook" w:hAnsi="Century Schoolbook"/>
        </w:rPr>
        <w:t xml:space="preserve"> </w:t>
      </w:r>
      <w:r w:rsidR="00644FFB">
        <w:rPr>
          <w:rFonts w:ascii="Century Schoolbook" w:hAnsi="Century Schoolbook"/>
        </w:rPr>
        <w:t xml:space="preserve">(See, e.g., </w:t>
      </w:r>
      <w:r w:rsidR="00644FFB" w:rsidRPr="00644FFB">
        <w:rPr>
          <w:rFonts w:ascii="Century Schoolbook" w:hAnsi="Century Schoolbook"/>
          <w:i/>
          <w:iCs/>
        </w:rPr>
        <w:t>South of Market Community Action Network v. City and County of San Francisco</w:t>
      </w:r>
      <w:r w:rsidR="00644FFB">
        <w:rPr>
          <w:rFonts w:ascii="Century Schoolbook" w:hAnsi="Century Schoolbook"/>
        </w:rPr>
        <w:t xml:space="preserve"> (2019) 33 Cal.App.5th 321, 331, citing </w:t>
      </w:r>
      <w:r w:rsidR="00644FFB" w:rsidRPr="00644FFB">
        <w:rPr>
          <w:rFonts w:ascii="Century Schoolbook" w:hAnsi="Century Schoolbook"/>
          <w:i/>
          <w:iCs/>
        </w:rPr>
        <w:t>Sierra Club v. County of Fresno</w:t>
      </w:r>
      <w:r w:rsidR="00644FFB">
        <w:rPr>
          <w:rFonts w:ascii="Century Schoolbook" w:hAnsi="Century Schoolbook"/>
        </w:rPr>
        <w:t xml:space="preserve"> (2018) 6 Cal.5th 502, 516 (</w:t>
      </w:r>
      <w:r w:rsidR="00644FFB" w:rsidRPr="00CE5020">
        <w:rPr>
          <w:rFonts w:ascii="Century Schoolbook" w:hAnsi="Century Schoolbook"/>
          <w:i/>
          <w:iCs/>
        </w:rPr>
        <w:t>Sierra</w:t>
      </w:r>
      <w:r w:rsidR="00644FFB" w:rsidRPr="00644FFB">
        <w:rPr>
          <w:rFonts w:ascii="Century Schoolbook" w:hAnsi="Century Schoolbook"/>
          <w:i/>
          <w:iCs/>
        </w:rPr>
        <w:t xml:space="preserve"> Club</w:t>
      </w:r>
      <w:r w:rsidR="00644FFB">
        <w:rPr>
          <w:rFonts w:ascii="Century Schoolbook" w:hAnsi="Century Schoolbook"/>
        </w:rPr>
        <w:t xml:space="preserve">).) </w:t>
      </w:r>
    </w:p>
    <w:p w14:paraId="7FAD9211" w14:textId="5BA148C7" w:rsidR="00625D18" w:rsidRDefault="00974032" w:rsidP="003E75F8">
      <w:pPr>
        <w:rPr>
          <w:rFonts w:ascii="Century Schoolbook" w:hAnsi="Century Schoolbook"/>
        </w:rPr>
      </w:pPr>
      <w:r>
        <w:rPr>
          <w:rFonts w:ascii="Century Schoolbook" w:hAnsi="Century Schoolbook"/>
        </w:rPr>
        <w:tab/>
        <w:t>At core, r</w:t>
      </w:r>
      <w:r w:rsidR="00644FFB">
        <w:rPr>
          <w:rFonts w:ascii="Century Schoolbook" w:hAnsi="Century Schoolbook"/>
        </w:rPr>
        <w:t>eal parties</w:t>
      </w:r>
      <w:r>
        <w:rPr>
          <w:rFonts w:ascii="Century Schoolbook" w:hAnsi="Century Schoolbook"/>
        </w:rPr>
        <w:t xml:space="preserve">’ arguments were, and remain, premised on the characterization of the Districts’ assertions about </w:t>
      </w:r>
      <w:r w:rsidR="004546FF">
        <w:rPr>
          <w:rFonts w:ascii="Century Schoolbook" w:hAnsi="Century Schoolbook"/>
        </w:rPr>
        <w:t xml:space="preserve">future </w:t>
      </w:r>
      <w:r>
        <w:rPr>
          <w:rFonts w:ascii="Century Schoolbook" w:hAnsi="Century Schoolbook"/>
        </w:rPr>
        <w:t xml:space="preserve">insufficient funding for new-school construction </w:t>
      </w:r>
      <w:r w:rsidR="006058EE">
        <w:rPr>
          <w:rFonts w:ascii="Century Schoolbook" w:hAnsi="Century Schoolbook"/>
        </w:rPr>
        <w:t>as contemplated by the Specific Plan</w:t>
      </w:r>
      <w:r w:rsidR="0025419E">
        <w:rPr>
          <w:rFonts w:ascii="Century Schoolbook" w:hAnsi="Century Schoolbook"/>
        </w:rPr>
        <w:t>,</w:t>
      </w:r>
      <w:r w:rsidR="006058EE">
        <w:rPr>
          <w:rFonts w:ascii="Century Schoolbook" w:hAnsi="Century Schoolbook"/>
        </w:rPr>
        <w:t xml:space="preserve"> and related off-site impacts </w:t>
      </w:r>
      <w:r w:rsidR="000536B8">
        <w:rPr>
          <w:rFonts w:ascii="Century Schoolbook" w:hAnsi="Century Schoolbook"/>
        </w:rPr>
        <w:t xml:space="preserve">because of </w:t>
      </w:r>
      <w:r w:rsidR="007A714F">
        <w:rPr>
          <w:rFonts w:ascii="Century Schoolbook" w:hAnsi="Century Schoolbook"/>
        </w:rPr>
        <w:t xml:space="preserve">asserted </w:t>
      </w:r>
      <w:r w:rsidR="000536B8">
        <w:rPr>
          <w:rFonts w:ascii="Century Schoolbook" w:hAnsi="Century Schoolbook"/>
        </w:rPr>
        <w:t>necessary</w:t>
      </w:r>
      <w:r w:rsidR="006058EE">
        <w:rPr>
          <w:rFonts w:ascii="Century Schoolbook" w:hAnsi="Century Schoolbook"/>
        </w:rPr>
        <w:t xml:space="preserve"> alternative accommodations at existing facilities </w:t>
      </w:r>
      <w:r>
        <w:rPr>
          <w:rFonts w:ascii="Century Schoolbook" w:hAnsi="Century Schoolbook"/>
        </w:rPr>
        <w:t>over a 20-30-year span</w:t>
      </w:r>
      <w:r w:rsidR="0025419E">
        <w:rPr>
          <w:rFonts w:ascii="Century Schoolbook" w:hAnsi="Century Schoolbook"/>
        </w:rPr>
        <w:t>,</w:t>
      </w:r>
      <w:r>
        <w:rPr>
          <w:rFonts w:ascii="Century Schoolbook" w:hAnsi="Century Schoolbook"/>
        </w:rPr>
        <w:t xml:space="preserve"> as purely speculative</w:t>
      </w:r>
      <w:r w:rsidR="00D81188">
        <w:rPr>
          <w:rFonts w:ascii="Century Schoolbook" w:hAnsi="Century Schoolbook"/>
        </w:rPr>
        <w:t xml:space="preserve"> and </w:t>
      </w:r>
      <w:r w:rsidR="0025419E">
        <w:rPr>
          <w:rFonts w:ascii="Century Schoolbook" w:hAnsi="Century Schoolbook"/>
        </w:rPr>
        <w:t xml:space="preserve">uncertain and </w:t>
      </w:r>
      <w:r w:rsidR="00D81188">
        <w:rPr>
          <w:rFonts w:ascii="Century Schoolbook" w:hAnsi="Century Schoolbook"/>
        </w:rPr>
        <w:t>not reasonably foreseeable</w:t>
      </w:r>
      <w:r w:rsidR="007A714F">
        <w:rPr>
          <w:rFonts w:ascii="Century Schoolbook" w:hAnsi="Century Schoolbook"/>
        </w:rPr>
        <w:t xml:space="preserve"> under CEQA</w:t>
      </w:r>
      <w:r w:rsidR="006058EE">
        <w:rPr>
          <w:rFonts w:ascii="Century Schoolbook" w:hAnsi="Century Schoolbook"/>
        </w:rPr>
        <w:t xml:space="preserve">. </w:t>
      </w:r>
      <w:r w:rsidR="00561BA2">
        <w:rPr>
          <w:rFonts w:ascii="Century Schoolbook" w:hAnsi="Century Schoolbook"/>
        </w:rPr>
        <w:t>According to real parties, such speculation and uncertainty did not give rise to a legal duty</w:t>
      </w:r>
      <w:r w:rsidR="006058EE">
        <w:rPr>
          <w:rFonts w:ascii="Century Schoolbook" w:hAnsi="Century Schoolbook"/>
        </w:rPr>
        <w:t xml:space="preserve"> for the City to either evaluate these vague and generalized impacts or to provide further response to such comments. </w:t>
      </w:r>
      <w:r w:rsidR="002749E3">
        <w:rPr>
          <w:rFonts w:ascii="Century Schoolbook" w:hAnsi="Century Schoolbook"/>
        </w:rPr>
        <w:t xml:space="preserve">(See </w:t>
      </w:r>
      <w:r w:rsidR="00D81188">
        <w:rPr>
          <w:rFonts w:ascii="Century Schoolbook" w:hAnsi="Century Schoolbook"/>
        </w:rPr>
        <w:t xml:space="preserve">e.g., </w:t>
      </w:r>
      <w:r w:rsidR="002749E3">
        <w:rPr>
          <w:rFonts w:ascii="Century Schoolbook" w:hAnsi="Century Schoolbook"/>
        </w:rPr>
        <w:t>Guidelines, § 15145</w:t>
      </w:r>
      <w:r w:rsidR="00D81188">
        <w:rPr>
          <w:rFonts w:ascii="Century Schoolbook" w:hAnsi="Century Schoolbook"/>
        </w:rPr>
        <w:t xml:space="preserve">.) </w:t>
      </w:r>
      <w:r w:rsidR="007A714F">
        <w:rPr>
          <w:rFonts w:ascii="Century Schoolbook" w:hAnsi="Century Schoolbook"/>
        </w:rPr>
        <w:t>Real parties</w:t>
      </w:r>
      <w:r w:rsidR="006C4E8E">
        <w:rPr>
          <w:rFonts w:ascii="Century Schoolbook" w:hAnsi="Century Schoolbook"/>
        </w:rPr>
        <w:t xml:space="preserve"> </w:t>
      </w:r>
      <w:r w:rsidR="00D81188">
        <w:rPr>
          <w:rFonts w:ascii="Century Schoolbook" w:hAnsi="Century Schoolbook"/>
        </w:rPr>
        <w:t xml:space="preserve">further </w:t>
      </w:r>
      <w:r w:rsidR="006C4E8E">
        <w:rPr>
          <w:rFonts w:ascii="Century Schoolbook" w:hAnsi="Century Schoolbook"/>
        </w:rPr>
        <w:t>contended that the Final EIR, a program-level document</w:t>
      </w:r>
      <w:r w:rsidR="00D81188">
        <w:rPr>
          <w:rFonts w:ascii="Century Schoolbook" w:hAnsi="Century Schoolbook"/>
        </w:rPr>
        <w:t xml:space="preserve"> </w:t>
      </w:r>
      <w:r w:rsidR="00BC4CE4">
        <w:rPr>
          <w:rFonts w:ascii="Century Schoolbook" w:hAnsi="Century Schoolbook"/>
        </w:rPr>
        <w:t xml:space="preserve">in certain aspects </w:t>
      </w:r>
      <w:r w:rsidR="00D81188">
        <w:rPr>
          <w:rFonts w:ascii="Century Schoolbook" w:hAnsi="Century Schoolbook"/>
        </w:rPr>
        <w:t>(see Guidelines, § 15168)</w:t>
      </w:r>
      <w:r w:rsidR="006C4E8E">
        <w:rPr>
          <w:rFonts w:ascii="Century Schoolbook" w:hAnsi="Century Schoolbook"/>
        </w:rPr>
        <w:t>, was adequate under CEQA</w:t>
      </w:r>
      <w:r w:rsidR="009D7422">
        <w:rPr>
          <w:rFonts w:ascii="Century Schoolbook" w:hAnsi="Century Schoolbook"/>
        </w:rPr>
        <w:t xml:space="preserve">, and for </w:t>
      </w:r>
      <w:r w:rsidR="0064656E">
        <w:rPr>
          <w:rFonts w:ascii="Century Schoolbook" w:hAnsi="Century Schoolbook"/>
        </w:rPr>
        <w:t xml:space="preserve">several </w:t>
      </w:r>
      <w:r w:rsidR="009D7422">
        <w:rPr>
          <w:rFonts w:ascii="Century Schoolbook" w:hAnsi="Century Schoolbook"/>
        </w:rPr>
        <w:t xml:space="preserve">reasons, the City was not required to provide analysis </w:t>
      </w:r>
      <w:r w:rsidR="00E051E8">
        <w:rPr>
          <w:rFonts w:ascii="Century Schoolbook" w:hAnsi="Century Schoolbook"/>
        </w:rPr>
        <w:t xml:space="preserve">on </w:t>
      </w:r>
      <w:r w:rsidR="0025419E">
        <w:rPr>
          <w:rFonts w:ascii="Century Schoolbook" w:hAnsi="Century Schoolbook"/>
        </w:rPr>
        <w:t xml:space="preserve">uncertain and only generalized </w:t>
      </w:r>
      <w:r w:rsidR="00E051E8">
        <w:rPr>
          <w:rFonts w:ascii="Century Schoolbook" w:hAnsi="Century Schoolbook"/>
        </w:rPr>
        <w:t xml:space="preserve">alternatives </w:t>
      </w:r>
      <w:r w:rsidR="009D7422">
        <w:rPr>
          <w:rFonts w:ascii="Century Schoolbook" w:hAnsi="Century Schoolbook"/>
        </w:rPr>
        <w:t>based on speculati</w:t>
      </w:r>
      <w:r w:rsidR="00E051E8">
        <w:rPr>
          <w:rFonts w:ascii="Century Schoolbook" w:hAnsi="Century Schoolbook"/>
        </w:rPr>
        <w:t xml:space="preserve">on </w:t>
      </w:r>
      <w:r w:rsidR="0025419E">
        <w:rPr>
          <w:rFonts w:ascii="Century Schoolbook" w:hAnsi="Century Schoolbook"/>
        </w:rPr>
        <w:t>about</w:t>
      </w:r>
      <w:r w:rsidR="009D7422">
        <w:rPr>
          <w:rFonts w:ascii="Century Schoolbook" w:hAnsi="Century Schoolbook"/>
        </w:rPr>
        <w:t xml:space="preserve"> insufficient funding for new school construction well into the future. These reasons included that </w:t>
      </w:r>
      <w:r w:rsidR="009E5B22">
        <w:rPr>
          <w:rFonts w:ascii="Century Schoolbook" w:hAnsi="Century Schoolbook"/>
        </w:rPr>
        <w:t>analysis of and mitigation for impacts to schools is limited by CEQA and other law</w:t>
      </w:r>
      <w:r w:rsidR="006F0177">
        <w:rPr>
          <w:rFonts w:ascii="Century Schoolbook" w:hAnsi="Century Schoolbook"/>
        </w:rPr>
        <w:t xml:space="preserve"> (see Gov. Code, § 65996, subd. (a) [exclusive methods of considering and mitigating impacts on school facilities resulting from planning or development project]; Ed. Code, § 17620 [development of school impact fees by district levy])</w:t>
      </w:r>
      <w:r w:rsidR="00D81188">
        <w:rPr>
          <w:rFonts w:ascii="Century Schoolbook" w:hAnsi="Century Schoolbook"/>
        </w:rPr>
        <w:t>.</w:t>
      </w:r>
      <w:r w:rsidR="0064656E">
        <w:rPr>
          <w:rFonts w:ascii="Century Schoolbook" w:hAnsi="Century Schoolbook"/>
        </w:rPr>
        <w:t xml:space="preserve"> </w:t>
      </w:r>
      <w:r w:rsidR="00625D18">
        <w:rPr>
          <w:rFonts w:ascii="Century Schoolbook" w:hAnsi="Century Schoolbook"/>
        </w:rPr>
        <w:t xml:space="preserve">And because the Districts </w:t>
      </w:r>
      <w:r w:rsidR="006117E9">
        <w:rPr>
          <w:rFonts w:ascii="Century Schoolbook" w:hAnsi="Century Schoolbook"/>
        </w:rPr>
        <w:t xml:space="preserve">had </w:t>
      </w:r>
      <w:r w:rsidR="00625D18">
        <w:rPr>
          <w:rFonts w:ascii="Century Schoolbook" w:hAnsi="Century Schoolbook"/>
        </w:rPr>
        <w:t>provided no specificity or plans as to wh</w:t>
      </w:r>
      <w:r w:rsidR="0025419E">
        <w:rPr>
          <w:rFonts w:ascii="Century Schoolbook" w:hAnsi="Century Schoolbook"/>
        </w:rPr>
        <w:t>ich</w:t>
      </w:r>
      <w:r w:rsidR="00625D18">
        <w:rPr>
          <w:rFonts w:ascii="Century Schoolbook" w:hAnsi="Century Schoolbook"/>
        </w:rPr>
        <w:t xml:space="preserve"> alternative accommodations </w:t>
      </w:r>
      <w:r w:rsidR="0025419E">
        <w:rPr>
          <w:rFonts w:ascii="Century Schoolbook" w:hAnsi="Century Schoolbook"/>
        </w:rPr>
        <w:t>as to which</w:t>
      </w:r>
      <w:r w:rsidR="00625D18">
        <w:rPr>
          <w:rFonts w:ascii="Century Schoolbook" w:hAnsi="Century Schoolbook"/>
        </w:rPr>
        <w:t xml:space="preserve"> existing school sites </w:t>
      </w:r>
      <w:r w:rsidR="0025419E">
        <w:rPr>
          <w:rFonts w:ascii="Century Schoolbook" w:hAnsi="Century Schoolbook"/>
        </w:rPr>
        <w:t>might</w:t>
      </w:r>
      <w:r w:rsidR="00625D18">
        <w:rPr>
          <w:rFonts w:ascii="Century Schoolbook" w:hAnsi="Century Schoolbook"/>
        </w:rPr>
        <w:t xml:space="preserve"> be made, and any such plans were </w:t>
      </w:r>
      <w:r w:rsidR="007A714F">
        <w:rPr>
          <w:rFonts w:ascii="Century Schoolbook" w:hAnsi="Century Schoolbook"/>
        </w:rPr>
        <w:t xml:space="preserve">solely </w:t>
      </w:r>
      <w:r w:rsidR="00625D18">
        <w:rPr>
          <w:rFonts w:ascii="Century Schoolbook" w:hAnsi="Century Schoolbook"/>
        </w:rPr>
        <w:t xml:space="preserve">within the Districts’ control, generalized environmental review by the City of those impacts based on the vague information </w:t>
      </w:r>
      <w:r w:rsidR="00962AF6">
        <w:rPr>
          <w:rFonts w:ascii="Century Schoolbook" w:hAnsi="Century Schoolbook"/>
        </w:rPr>
        <w:t xml:space="preserve">the </w:t>
      </w:r>
      <w:r w:rsidR="00962AF6">
        <w:rPr>
          <w:rFonts w:ascii="Century Schoolbook" w:hAnsi="Century Schoolbook"/>
        </w:rPr>
        <w:lastRenderedPageBreak/>
        <w:t xml:space="preserve">Districts </w:t>
      </w:r>
      <w:r w:rsidR="0025419E">
        <w:rPr>
          <w:rFonts w:ascii="Century Schoolbook" w:hAnsi="Century Schoolbook"/>
        </w:rPr>
        <w:t xml:space="preserve">had </w:t>
      </w:r>
      <w:r w:rsidR="00625D18">
        <w:rPr>
          <w:rFonts w:ascii="Century Schoolbook" w:hAnsi="Century Schoolbook"/>
        </w:rPr>
        <w:t xml:space="preserve">provided would not be meaningful. </w:t>
      </w:r>
      <w:r w:rsidR="00E051E8">
        <w:rPr>
          <w:rFonts w:ascii="Century Schoolbook" w:hAnsi="Century Schoolbook"/>
        </w:rPr>
        <w:t xml:space="preserve">Further, the identified alternatives to construction of new schools within the Specific Plan would either independently require later </w:t>
      </w:r>
      <w:r w:rsidR="00BC4CE4">
        <w:rPr>
          <w:rFonts w:ascii="Century Schoolbook" w:hAnsi="Century Schoolbook"/>
        </w:rPr>
        <w:t xml:space="preserve">site-specific </w:t>
      </w:r>
      <w:r w:rsidR="00E051E8">
        <w:rPr>
          <w:rFonts w:ascii="Century Schoolbook" w:hAnsi="Century Schoolbook"/>
        </w:rPr>
        <w:t xml:space="preserve">CEQA review by the Districts or would be exempt. </w:t>
      </w:r>
      <w:r w:rsidR="00625D18">
        <w:rPr>
          <w:rFonts w:ascii="Century Schoolbook" w:hAnsi="Century Schoolbook"/>
        </w:rPr>
        <w:t xml:space="preserve"> </w:t>
      </w:r>
    </w:p>
    <w:p w14:paraId="2116B9FC" w14:textId="370B0289" w:rsidR="00072F9B" w:rsidRDefault="00625D18" w:rsidP="003E75F8">
      <w:pPr>
        <w:rPr>
          <w:rFonts w:ascii="Century Schoolbook" w:hAnsi="Century Schoolbook"/>
        </w:rPr>
      </w:pPr>
      <w:r>
        <w:rPr>
          <w:rFonts w:ascii="Century Schoolbook" w:hAnsi="Century Schoolbook"/>
        </w:rPr>
        <w:tab/>
      </w:r>
      <w:r w:rsidR="0064656E">
        <w:rPr>
          <w:rFonts w:ascii="Century Schoolbook" w:hAnsi="Century Schoolbook"/>
        </w:rPr>
        <w:t xml:space="preserve">As to the charge that the City had not in the Final EIR adequately responded to the Districts’ comments, real parties contended the City’s responses were sufficient in that </w:t>
      </w:r>
      <w:r w:rsidR="006117E9">
        <w:rPr>
          <w:rFonts w:ascii="Century Schoolbook" w:hAnsi="Century Schoolbook"/>
        </w:rPr>
        <w:t>a lead agency may conclude that information about potential environmental impacts is speculative, in which case the agency must so conclude and then terminate discussion of those impacts. (Guidelines, §</w:t>
      </w:r>
      <w:r w:rsidR="00A72611">
        <w:rPr>
          <w:rFonts w:ascii="Century Schoolbook" w:hAnsi="Century Schoolbook"/>
        </w:rPr>
        <w:t> </w:t>
      </w:r>
      <w:r w:rsidR="006117E9">
        <w:rPr>
          <w:rFonts w:ascii="Century Schoolbook" w:hAnsi="Century Schoolbook"/>
        </w:rPr>
        <w:t xml:space="preserve">15145.) Further, the City observed that </w:t>
      </w:r>
      <w:r w:rsidR="0064656E">
        <w:rPr>
          <w:rFonts w:ascii="Century Schoolbook" w:hAnsi="Century Schoolbook"/>
        </w:rPr>
        <w:t xml:space="preserve">the level of detail required </w:t>
      </w:r>
      <w:r w:rsidR="00962AF6">
        <w:rPr>
          <w:rFonts w:ascii="Century Schoolbook" w:hAnsi="Century Schoolbook"/>
        </w:rPr>
        <w:t xml:space="preserve">in a response </w:t>
      </w:r>
      <w:r w:rsidR="0064656E">
        <w:rPr>
          <w:rFonts w:ascii="Century Schoolbook" w:hAnsi="Century Schoolbook"/>
        </w:rPr>
        <w:t>may correspond to the level of detail in the comment (see Guidelines, §</w:t>
      </w:r>
      <w:r w:rsidR="006D0115">
        <w:rPr>
          <w:rFonts w:ascii="Century Schoolbook" w:hAnsi="Century Schoolbook"/>
        </w:rPr>
        <w:t> </w:t>
      </w:r>
      <w:r w:rsidR="0064656E">
        <w:rPr>
          <w:rFonts w:ascii="Century Schoolbook" w:hAnsi="Century Schoolbook"/>
        </w:rPr>
        <w:t xml:space="preserve">15088, subd. (c)) and that the dispute about the City’s level of response to comments rested </w:t>
      </w:r>
      <w:r w:rsidR="006117E9">
        <w:rPr>
          <w:rFonts w:ascii="Century Schoolbook" w:hAnsi="Century Schoolbook"/>
        </w:rPr>
        <w:t xml:space="preserve">not on its avoidance of a response but </w:t>
      </w:r>
      <w:r w:rsidR="0064656E">
        <w:rPr>
          <w:rFonts w:ascii="Century Schoolbook" w:hAnsi="Century Schoolbook"/>
        </w:rPr>
        <w:t xml:space="preserve">on </w:t>
      </w:r>
      <w:r w:rsidR="00072F9B">
        <w:rPr>
          <w:rFonts w:ascii="Century Schoolbook" w:hAnsi="Century Schoolbook"/>
        </w:rPr>
        <w:t>a legal disagreement about whether the City was required to conduct a</w:t>
      </w:r>
      <w:r w:rsidR="00962AF6">
        <w:rPr>
          <w:rFonts w:ascii="Century Schoolbook" w:hAnsi="Century Schoolbook"/>
        </w:rPr>
        <w:t xml:space="preserve">n </w:t>
      </w:r>
      <w:r w:rsidR="00072F9B">
        <w:rPr>
          <w:rFonts w:ascii="Century Schoolbook" w:hAnsi="Century Schoolbook"/>
        </w:rPr>
        <w:t>analysis</w:t>
      </w:r>
      <w:r w:rsidR="00962AF6">
        <w:rPr>
          <w:rFonts w:ascii="Century Schoolbook" w:hAnsi="Century Schoolbook"/>
        </w:rPr>
        <w:t xml:space="preserve"> based on speculation and uncertainty that would not lead to meaningful </w:t>
      </w:r>
      <w:r w:rsidR="004F505A">
        <w:rPr>
          <w:rFonts w:ascii="Century Schoolbook" w:hAnsi="Century Schoolbook"/>
        </w:rPr>
        <w:t xml:space="preserve">analysis or </w:t>
      </w:r>
      <w:r w:rsidR="00962AF6">
        <w:rPr>
          <w:rFonts w:ascii="Century Schoolbook" w:hAnsi="Century Schoolbook"/>
        </w:rPr>
        <w:t>information</w:t>
      </w:r>
      <w:r w:rsidR="00072F9B">
        <w:rPr>
          <w:rFonts w:ascii="Century Schoolbook" w:hAnsi="Century Schoolbook"/>
        </w:rPr>
        <w:t xml:space="preserve">. </w:t>
      </w:r>
    </w:p>
    <w:p w14:paraId="3E3B5195" w14:textId="291AB432" w:rsidR="007B1B9D" w:rsidRDefault="00072F9B" w:rsidP="003E75F8">
      <w:pPr>
        <w:rPr>
          <w:rFonts w:ascii="Century Schoolbook" w:hAnsi="Century Schoolbook"/>
        </w:rPr>
      </w:pPr>
      <w:r>
        <w:rPr>
          <w:rFonts w:ascii="Century Schoolbook" w:hAnsi="Century Schoolbook"/>
        </w:rPr>
        <w:tab/>
        <w:t>The trial court held the merits hearing on April 19, 2021.</w:t>
      </w:r>
      <w:r w:rsidR="006E4E9D">
        <w:rPr>
          <w:rStyle w:val="FootnoteReference"/>
          <w:rFonts w:ascii="Century Schoolbook" w:hAnsi="Century Schoolbook"/>
        </w:rPr>
        <w:footnoteReference w:id="8"/>
      </w:r>
      <w:r>
        <w:rPr>
          <w:rFonts w:ascii="Century Schoolbook" w:hAnsi="Century Schoolbook"/>
        </w:rPr>
        <w:t xml:space="preserve"> </w:t>
      </w:r>
      <w:r w:rsidR="006E4E9D">
        <w:rPr>
          <w:rFonts w:ascii="Century Schoolbook" w:hAnsi="Century Schoolbook"/>
        </w:rPr>
        <w:t xml:space="preserve">On the Districts’ CEQA claim, the court </w:t>
      </w:r>
      <w:r w:rsidR="008A5C5C">
        <w:rPr>
          <w:rFonts w:ascii="Century Schoolbook" w:hAnsi="Century Schoolbook"/>
        </w:rPr>
        <w:t xml:space="preserve">at the outset </w:t>
      </w:r>
      <w:r w:rsidR="006E4E9D">
        <w:rPr>
          <w:rFonts w:ascii="Century Schoolbook" w:hAnsi="Century Schoolbook"/>
        </w:rPr>
        <w:t>characterized the issue as “whether the [EIR] omits material necessary to [reasonable] decision[-]making and informed public participation as required by CEQA.” The court further queried whether “[n]</w:t>
      </w:r>
      <w:proofErr w:type="spellStart"/>
      <w:r w:rsidR="006E4E9D">
        <w:rPr>
          <w:rFonts w:ascii="Century Schoolbook" w:hAnsi="Century Schoolbook"/>
        </w:rPr>
        <w:t>otwithstanding</w:t>
      </w:r>
      <w:proofErr w:type="spellEnd"/>
      <w:r w:rsidR="006E4E9D">
        <w:rPr>
          <w:rFonts w:ascii="Century Schoolbook" w:hAnsi="Century Schoolbook"/>
        </w:rPr>
        <w:t xml:space="preserve"> the lack of precision or specificity around the specific school[-]expansion scenario such as portables or reorganization of boundary lines or bus[s]</w:t>
      </w:r>
      <w:proofErr w:type="spellStart"/>
      <w:r w:rsidR="006E4E9D">
        <w:rPr>
          <w:rFonts w:ascii="Century Schoolbook" w:hAnsi="Century Schoolbook"/>
        </w:rPr>
        <w:t>ing</w:t>
      </w:r>
      <w:proofErr w:type="spellEnd"/>
      <w:r w:rsidR="006E4E9D">
        <w:rPr>
          <w:rFonts w:ascii="Century Schoolbook" w:hAnsi="Century Schoolbook"/>
        </w:rPr>
        <w:t xml:space="preserve">, </w:t>
      </w:r>
      <w:r w:rsidR="00A72611">
        <w:rPr>
          <w:rFonts w:ascii="Century Schoolbook" w:hAnsi="Century Schoolbook"/>
        </w:rPr>
        <w:t>. . .</w:t>
      </w:r>
      <w:r w:rsidR="00E82E10">
        <w:rPr>
          <w:rFonts w:ascii="Century Schoolbook" w:hAnsi="Century Schoolbook"/>
        </w:rPr>
        <w:t xml:space="preserve"> </w:t>
      </w:r>
      <w:r w:rsidR="006E4E9D">
        <w:rPr>
          <w:rFonts w:ascii="Century Schoolbook" w:hAnsi="Century Schoolbook"/>
        </w:rPr>
        <w:t xml:space="preserve">was the City nonetheless required to discuss at </w:t>
      </w:r>
      <w:r w:rsidR="006E4E9D">
        <w:rPr>
          <w:rFonts w:ascii="Century Schoolbook" w:hAnsi="Century Schoolbook"/>
        </w:rPr>
        <w:lastRenderedPageBreak/>
        <w:t xml:space="preserve">least in general terms the potential environmental impacts of a scenario in which existing school facilities </w:t>
      </w:r>
      <w:r w:rsidR="008A5C5C">
        <w:rPr>
          <w:rFonts w:ascii="Century Schoolbook" w:hAnsi="Century Schoolbook"/>
        </w:rPr>
        <w:t>would have to accommodate new students due to the lack of funding or any other foreseeable problems to construct[</w:t>
      </w:r>
      <w:proofErr w:type="spellStart"/>
      <w:r w:rsidR="008A5C5C">
        <w:rPr>
          <w:rFonts w:ascii="Century Schoolbook" w:hAnsi="Century Schoolbook"/>
        </w:rPr>
        <w:t>ing</w:t>
      </w:r>
      <w:proofErr w:type="spellEnd"/>
      <w:r w:rsidR="008A5C5C">
        <w:rPr>
          <w:rFonts w:ascii="Century Schoolbook" w:hAnsi="Century Schoolbook"/>
        </w:rPr>
        <w:t>]</w:t>
      </w:r>
      <w:r w:rsidR="00E82E10">
        <w:rPr>
          <w:rFonts w:ascii="Century Schoolbook" w:hAnsi="Century Schoolbook"/>
        </w:rPr>
        <w:t>”</w:t>
      </w:r>
      <w:r w:rsidR="008A5C5C">
        <w:rPr>
          <w:rFonts w:ascii="Century Schoolbook" w:hAnsi="Century Schoolbook"/>
        </w:rPr>
        <w:t xml:space="preserve"> new school</w:t>
      </w:r>
      <w:r w:rsidR="00E82E10">
        <w:rPr>
          <w:rFonts w:ascii="Century Schoolbook" w:hAnsi="Century Schoolbook"/>
        </w:rPr>
        <w:t>s</w:t>
      </w:r>
      <w:r w:rsidR="008A5C5C">
        <w:rPr>
          <w:rFonts w:ascii="Century Schoolbook" w:hAnsi="Century Schoolbook"/>
        </w:rPr>
        <w:t xml:space="preserve">. And “does the record sufficiently explain why the City chose to analyze the impacts of constructing new schools and not the impacts of existing facilities absorbing new students when it </w:t>
      </w:r>
      <w:proofErr w:type="gramStart"/>
      <w:r w:rsidR="008A5C5C">
        <w:rPr>
          <w:rFonts w:ascii="Century Schoolbook" w:hAnsi="Century Schoolbook"/>
        </w:rPr>
        <w:t>seem</w:t>
      </w:r>
      <w:proofErr w:type="gramEnd"/>
      <w:r w:rsidR="008A5C5C">
        <w:rPr>
          <w:rFonts w:ascii="Century Schoolbook" w:hAnsi="Century Schoolbook"/>
        </w:rPr>
        <w:t xml:space="preserve">[s] there is arguably evidence in the record to suggest that the latter was possible and more likely than the former?”  </w:t>
      </w:r>
    </w:p>
    <w:p w14:paraId="3A84B0F0" w14:textId="007FB75D" w:rsidR="008A5C5C" w:rsidRDefault="007B1B9D" w:rsidP="003E75F8">
      <w:pPr>
        <w:rPr>
          <w:rFonts w:ascii="Century Schoolbook" w:hAnsi="Century Schoolbook"/>
        </w:rPr>
      </w:pPr>
      <w:r>
        <w:rPr>
          <w:rFonts w:ascii="Century Schoolbook" w:hAnsi="Century Schoolbook"/>
        </w:rPr>
        <w:tab/>
      </w:r>
      <w:r w:rsidR="00150273">
        <w:rPr>
          <w:rFonts w:ascii="Century Schoolbook" w:hAnsi="Century Schoolbook"/>
        </w:rPr>
        <w:t>As to the applicable standard of judicial review, t</w:t>
      </w:r>
      <w:r w:rsidR="008A5C5C">
        <w:rPr>
          <w:rFonts w:ascii="Century Schoolbook" w:hAnsi="Century Schoolbook"/>
        </w:rPr>
        <w:t xml:space="preserve">he court questioned </w:t>
      </w:r>
      <w:r w:rsidR="00150273">
        <w:rPr>
          <w:rFonts w:ascii="Century Schoolbook" w:hAnsi="Century Schoolbook"/>
        </w:rPr>
        <w:t>the existence of any relevant factual determinations by the City</w:t>
      </w:r>
      <w:r w:rsidR="00570A99">
        <w:rPr>
          <w:rFonts w:ascii="Century Schoolbook" w:hAnsi="Century Schoolbook"/>
        </w:rPr>
        <w:t xml:space="preserve"> that might lead to </w:t>
      </w:r>
      <w:r w:rsidR="003702AD">
        <w:rPr>
          <w:rFonts w:ascii="Century Schoolbook" w:hAnsi="Century Schoolbook"/>
        </w:rPr>
        <w:t xml:space="preserve">deferential </w:t>
      </w:r>
      <w:r w:rsidR="00570A99">
        <w:rPr>
          <w:rFonts w:ascii="Century Schoolbook" w:hAnsi="Century Schoolbook"/>
        </w:rPr>
        <w:t>review for substantial evidence</w:t>
      </w:r>
      <w:r w:rsidR="00D35B0F">
        <w:rPr>
          <w:rFonts w:ascii="Century Schoolbook" w:hAnsi="Century Schoolbook"/>
        </w:rPr>
        <w:t xml:space="preserve">. </w:t>
      </w:r>
      <w:r w:rsidR="003702AD">
        <w:rPr>
          <w:rFonts w:ascii="Century Schoolbook" w:hAnsi="Century Schoolbook"/>
        </w:rPr>
        <w:t>T</w:t>
      </w:r>
      <w:r w:rsidR="00D35B0F">
        <w:rPr>
          <w:rFonts w:ascii="Century Schoolbook" w:hAnsi="Century Schoolbook"/>
        </w:rPr>
        <w:t>he court asked</w:t>
      </w:r>
      <w:r w:rsidR="008A5C5C">
        <w:rPr>
          <w:rFonts w:ascii="Century Schoolbook" w:hAnsi="Century Schoolbook"/>
        </w:rPr>
        <w:t xml:space="preserve"> whether the “City </w:t>
      </w:r>
      <w:r w:rsidR="00E82E10">
        <w:rPr>
          <w:rFonts w:ascii="Century Schoolbook" w:hAnsi="Century Schoolbook"/>
        </w:rPr>
        <w:t xml:space="preserve">[had] </w:t>
      </w:r>
      <w:r w:rsidR="008A5C5C">
        <w:rPr>
          <w:rFonts w:ascii="Century Schoolbook" w:hAnsi="Century Schoolbook"/>
        </w:rPr>
        <w:t xml:space="preserve">made a factual determination, </w:t>
      </w:r>
      <w:r w:rsidR="003702AD">
        <w:rPr>
          <w:rFonts w:ascii="Century Schoolbook" w:hAnsi="Century Schoolbook"/>
        </w:rPr>
        <w:t xml:space="preserve">such as an agency’s decision to use a particular methodology,” </w:t>
      </w:r>
      <w:r w:rsidR="008A5C5C">
        <w:rPr>
          <w:rFonts w:ascii="Century Schoolbook" w:hAnsi="Century Schoolbook"/>
        </w:rPr>
        <w:t>in omitting discussion of the Districts’ alternative scenario</w:t>
      </w:r>
      <w:r w:rsidR="006117E9">
        <w:rPr>
          <w:rFonts w:ascii="Century Schoolbook" w:hAnsi="Century Schoolbook"/>
        </w:rPr>
        <w:t>s</w:t>
      </w:r>
      <w:r w:rsidR="008A5C5C">
        <w:rPr>
          <w:rFonts w:ascii="Century Schoolbook" w:hAnsi="Century Schoolbook"/>
        </w:rPr>
        <w:t xml:space="preserve"> as opposed to constructing the new school facilities as contemplated by the Specific Plan. </w:t>
      </w:r>
    </w:p>
    <w:p w14:paraId="7339745F" w14:textId="6DE6CBB9" w:rsidR="00D05268" w:rsidRDefault="00E051E8" w:rsidP="003E75F8">
      <w:pPr>
        <w:rPr>
          <w:rFonts w:ascii="Century Schoolbook" w:hAnsi="Century Schoolbook"/>
        </w:rPr>
      </w:pPr>
      <w:r>
        <w:rPr>
          <w:rFonts w:ascii="Century Schoolbook" w:hAnsi="Century Schoolbook"/>
        </w:rPr>
        <w:tab/>
        <w:t>In the end</w:t>
      </w:r>
      <w:r w:rsidR="00265528">
        <w:rPr>
          <w:rFonts w:ascii="Century Schoolbook" w:hAnsi="Century Schoolbook"/>
        </w:rPr>
        <w:t>, the trial court concluded from the administrative record that “it was reasonably foreseeable that existing school facilities would need to be expanded or adjusted in some way to accommodate the influx of new students from the” Specific Plan and that the EIR failed to fulfill its informational “purpose because it did not disclose all potential school-related environmental impacts that could result</w:t>
      </w:r>
      <w:r w:rsidR="00962AF6">
        <w:rPr>
          <w:rFonts w:ascii="Century Schoolbook" w:hAnsi="Century Schoolbook"/>
        </w:rPr>
        <w:t>.</w:t>
      </w:r>
      <w:r w:rsidR="00265528">
        <w:rPr>
          <w:rFonts w:ascii="Century Schoolbook" w:hAnsi="Century Schoolbook"/>
        </w:rPr>
        <w:t>” This was because the Final EIR “only addressed impacts from the construction of new schools and failed to include potential impacts arising from the expansion of existing school facilities, and those impacts are external to the facility, not on the facility</w:t>
      </w:r>
      <w:r w:rsidR="00D05268">
        <w:rPr>
          <w:rFonts w:ascii="Century Schoolbook" w:hAnsi="Century Schoolbook"/>
        </w:rPr>
        <w:t>.</w:t>
      </w:r>
      <w:r w:rsidR="00265528">
        <w:rPr>
          <w:rFonts w:ascii="Century Schoolbook" w:hAnsi="Century Schoolbook"/>
        </w:rPr>
        <w:t xml:space="preserve">” </w:t>
      </w:r>
      <w:r w:rsidR="00D05268">
        <w:rPr>
          <w:rFonts w:ascii="Century Schoolbook" w:hAnsi="Century Schoolbook"/>
        </w:rPr>
        <w:t xml:space="preserve">The court also concluded that the EIR </w:t>
      </w:r>
      <w:r w:rsidR="00265528">
        <w:rPr>
          <w:rFonts w:ascii="Century Schoolbook" w:hAnsi="Century Schoolbook"/>
        </w:rPr>
        <w:t xml:space="preserve">“failed to adequately respond to </w:t>
      </w:r>
      <w:r w:rsidR="00F82D43">
        <w:rPr>
          <w:rFonts w:ascii="Century Schoolbook" w:hAnsi="Century Schoolbook"/>
        </w:rPr>
        <w:t>[</w:t>
      </w:r>
      <w:r w:rsidR="00D05268">
        <w:rPr>
          <w:rFonts w:ascii="Century Schoolbook" w:hAnsi="Century Schoolbook"/>
        </w:rPr>
        <w:t>the Districts’</w:t>
      </w:r>
      <w:r w:rsidR="00F82D43">
        <w:rPr>
          <w:rFonts w:ascii="Century Schoolbook" w:hAnsi="Century Schoolbook"/>
        </w:rPr>
        <w:t>]</w:t>
      </w:r>
      <w:r w:rsidR="00D05268">
        <w:rPr>
          <w:rFonts w:ascii="Century Schoolbook" w:hAnsi="Century Schoolbook"/>
        </w:rPr>
        <w:t xml:space="preserve"> </w:t>
      </w:r>
      <w:r w:rsidR="00265528">
        <w:rPr>
          <w:rFonts w:ascii="Century Schoolbook" w:hAnsi="Century Schoolbook"/>
        </w:rPr>
        <w:t>comments.</w:t>
      </w:r>
      <w:r w:rsidR="00F82D43">
        <w:rPr>
          <w:rFonts w:ascii="Century Schoolbook" w:hAnsi="Century Schoolbook"/>
        </w:rPr>
        <w:t>”</w:t>
      </w:r>
      <w:r w:rsidR="00265528">
        <w:rPr>
          <w:rFonts w:ascii="Century Schoolbook" w:hAnsi="Century Schoolbook"/>
        </w:rPr>
        <w:t xml:space="preserve"> </w:t>
      </w:r>
    </w:p>
    <w:p w14:paraId="35C817B7" w14:textId="4A3180BD" w:rsidR="003D7847" w:rsidRDefault="00D05268" w:rsidP="003E75F8">
      <w:pPr>
        <w:rPr>
          <w:rFonts w:ascii="Century Schoolbook" w:hAnsi="Century Schoolbook"/>
        </w:rPr>
      </w:pPr>
      <w:r>
        <w:rPr>
          <w:rFonts w:ascii="Century Schoolbook" w:hAnsi="Century Schoolbook"/>
        </w:rPr>
        <w:tab/>
      </w:r>
      <w:r w:rsidR="00265528">
        <w:rPr>
          <w:rFonts w:ascii="Century Schoolbook" w:hAnsi="Century Schoolbook"/>
        </w:rPr>
        <w:t xml:space="preserve">The </w:t>
      </w:r>
      <w:r w:rsidR="008B4E16">
        <w:rPr>
          <w:rFonts w:ascii="Century Schoolbook" w:hAnsi="Century Schoolbook"/>
        </w:rPr>
        <w:t>court was careful to delineate the indirect, off-site impacts that, in its view, required further environmental review and comment</w:t>
      </w:r>
      <w:r w:rsidR="0089083E">
        <w:rPr>
          <w:rFonts w:ascii="Century Schoolbook" w:hAnsi="Century Schoolbook"/>
        </w:rPr>
        <w:t xml:space="preserve">, </w:t>
      </w:r>
      <w:r w:rsidR="008B4E16">
        <w:rPr>
          <w:rFonts w:ascii="Century Schoolbook" w:hAnsi="Century Schoolbook"/>
        </w:rPr>
        <w:t xml:space="preserve">recognizing the distinction drawn by </w:t>
      </w:r>
      <w:proofErr w:type="spellStart"/>
      <w:r w:rsidRPr="000A57C8">
        <w:rPr>
          <w:rFonts w:ascii="Century Schoolbook" w:hAnsi="Century Schoolbook"/>
          <w:i/>
          <w:iCs/>
        </w:rPr>
        <w:t>Chawanakee</w:t>
      </w:r>
      <w:proofErr w:type="spellEnd"/>
      <w:r w:rsidRPr="000A57C8">
        <w:rPr>
          <w:rFonts w:ascii="Century Schoolbook" w:hAnsi="Century Schoolbook"/>
          <w:i/>
          <w:iCs/>
        </w:rPr>
        <w:t xml:space="preserve"> Unified School District v. County of Madera</w:t>
      </w:r>
      <w:r>
        <w:rPr>
          <w:rFonts w:ascii="Century Schoolbook" w:hAnsi="Century Schoolbook"/>
        </w:rPr>
        <w:t xml:space="preserve"> </w:t>
      </w:r>
      <w:r>
        <w:rPr>
          <w:rFonts w:ascii="Century Schoolbook" w:hAnsi="Century Schoolbook"/>
        </w:rPr>
        <w:lastRenderedPageBreak/>
        <w:t xml:space="preserve">(2011) 196 Cal.App.4th 1016, </w:t>
      </w:r>
      <w:r w:rsidR="00D8076A">
        <w:rPr>
          <w:rFonts w:ascii="Century Schoolbook" w:hAnsi="Century Schoolbook"/>
        </w:rPr>
        <w:t>1026</w:t>
      </w:r>
      <w:r w:rsidR="00CC318F">
        <w:rPr>
          <w:rFonts w:ascii="Century Schoolbook" w:hAnsi="Century Schoolbook"/>
        </w:rPr>
        <w:t>–1028</w:t>
      </w:r>
      <w:r w:rsidR="008B4E16">
        <w:rPr>
          <w:rFonts w:ascii="Century Schoolbook" w:hAnsi="Century Schoolbook"/>
        </w:rPr>
        <w:t xml:space="preserve"> </w:t>
      </w:r>
      <w:r w:rsidR="000A57C8">
        <w:rPr>
          <w:rFonts w:ascii="Century Schoolbook" w:hAnsi="Century Schoolbook"/>
        </w:rPr>
        <w:t>(</w:t>
      </w:r>
      <w:proofErr w:type="spellStart"/>
      <w:r w:rsidR="000A57C8" w:rsidRPr="000A57C8">
        <w:rPr>
          <w:rFonts w:ascii="Century Schoolbook" w:hAnsi="Century Schoolbook"/>
          <w:i/>
          <w:iCs/>
        </w:rPr>
        <w:t>Chawanakee</w:t>
      </w:r>
      <w:proofErr w:type="spellEnd"/>
      <w:r w:rsidR="000A57C8">
        <w:rPr>
          <w:rFonts w:ascii="Century Schoolbook" w:hAnsi="Century Schoolbook"/>
        </w:rPr>
        <w:t xml:space="preserve">) </w:t>
      </w:r>
      <w:r w:rsidR="008B4E16">
        <w:rPr>
          <w:rFonts w:ascii="Century Schoolbook" w:hAnsi="Century Schoolbook"/>
        </w:rPr>
        <w:t xml:space="preserve">between </w:t>
      </w:r>
      <w:r w:rsidR="0067318E">
        <w:rPr>
          <w:rFonts w:ascii="Century Schoolbook" w:hAnsi="Century Schoolbook"/>
        </w:rPr>
        <w:t xml:space="preserve">indirect </w:t>
      </w:r>
      <w:r w:rsidR="008B4E16">
        <w:rPr>
          <w:rFonts w:ascii="Century Schoolbook" w:hAnsi="Century Schoolbook"/>
        </w:rPr>
        <w:t xml:space="preserve">impacts </w:t>
      </w:r>
      <w:r w:rsidR="0067318E">
        <w:rPr>
          <w:rFonts w:ascii="Century Schoolbook" w:hAnsi="Century Schoolbook"/>
        </w:rPr>
        <w:t xml:space="preserve">more broadly </w:t>
      </w:r>
      <w:r w:rsidR="008B4E16" w:rsidRPr="008B4E16">
        <w:rPr>
          <w:rFonts w:ascii="Century Schoolbook" w:hAnsi="Century Schoolbook"/>
          <w:i/>
          <w:iCs/>
        </w:rPr>
        <w:t>related to</w:t>
      </w:r>
      <w:r w:rsidR="008B4E16">
        <w:rPr>
          <w:rFonts w:ascii="Century Schoolbook" w:hAnsi="Century Schoolbook"/>
        </w:rPr>
        <w:t xml:space="preserve"> modification of existing </w:t>
      </w:r>
      <w:r w:rsidR="0067318E">
        <w:rPr>
          <w:rFonts w:ascii="Century Schoolbook" w:hAnsi="Century Schoolbook"/>
        </w:rPr>
        <w:t xml:space="preserve">school </w:t>
      </w:r>
      <w:r w:rsidR="008B4E16">
        <w:rPr>
          <w:rFonts w:ascii="Century Schoolbook" w:hAnsi="Century Schoolbook"/>
        </w:rPr>
        <w:t>facilities and</w:t>
      </w:r>
      <w:r w:rsidR="0067318E">
        <w:rPr>
          <w:rFonts w:ascii="Century Schoolbook" w:hAnsi="Century Schoolbook"/>
        </w:rPr>
        <w:t xml:space="preserve"> </w:t>
      </w:r>
      <w:r w:rsidR="008B4E16">
        <w:rPr>
          <w:rFonts w:ascii="Century Schoolbook" w:hAnsi="Century Schoolbook"/>
        </w:rPr>
        <w:t xml:space="preserve">impacts </w:t>
      </w:r>
      <w:r w:rsidR="008B4E16" w:rsidRPr="008B4E16">
        <w:rPr>
          <w:rFonts w:ascii="Century Schoolbook" w:hAnsi="Century Schoolbook"/>
          <w:i/>
          <w:iCs/>
        </w:rPr>
        <w:t>on</w:t>
      </w:r>
      <w:r w:rsidR="008B4E16">
        <w:rPr>
          <w:rFonts w:ascii="Century Schoolbook" w:hAnsi="Century Schoolbook"/>
        </w:rPr>
        <w:t xml:space="preserve"> those facilities</w:t>
      </w:r>
      <w:r w:rsidR="000A57C8">
        <w:rPr>
          <w:rFonts w:ascii="Century Schoolbook" w:hAnsi="Century Schoolbook"/>
        </w:rPr>
        <w:t xml:space="preserve">, with only the latter considered fully mitigated under </w:t>
      </w:r>
      <w:r w:rsidR="00BC4CE4">
        <w:rPr>
          <w:rFonts w:ascii="Century Schoolbook" w:hAnsi="Century Schoolbook"/>
        </w:rPr>
        <w:t>Government Code section</w:t>
      </w:r>
      <w:r w:rsidR="00D8076A">
        <w:rPr>
          <w:rFonts w:ascii="Century Schoolbook" w:hAnsi="Century Schoolbook"/>
        </w:rPr>
        <w:t>s</w:t>
      </w:r>
      <w:r w:rsidR="00BC4CE4">
        <w:rPr>
          <w:rFonts w:ascii="Century Schoolbook" w:hAnsi="Century Schoolbook"/>
        </w:rPr>
        <w:t xml:space="preserve"> </w:t>
      </w:r>
      <w:r w:rsidR="00D8076A">
        <w:rPr>
          <w:rFonts w:ascii="Century Schoolbook" w:hAnsi="Century Schoolbook"/>
        </w:rPr>
        <w:t>65995 and 65996</w:t>
      </w:r>
      <w:r w:rsidR="008B4E16">
        <w:rPr>
          <w:rFonts w:ascii="Century Schoolbook" w:hAnsi="Century Schoolbook"/>
        </w:rPr>
        <w:t xml:space="preserve">. The </w:t>
      </w:r>
      <w:r w:rsidR="00265528">
        <w:rPr>
          <w:rFonts w:ascii="Century Schoolbook" w:hAnsi="Century Schoolbook"/>
        </w:rPr>
        <w:t xml:space="preserve">court indicated it would grant the writ as to the CEQA cause of action because the City </w:t>
      </w:r>
      <w:r w:rsidR="000A57C8">
        <w:rPr>
          <w:rFonts w:ascii="Century Schoolbook" w:hAnsi="Century Schoolbook"/>
        </w:rPr>
        <w:t xml:space="preserve">had </w:t>
      </w:r>
      <w:r w:rsidR="00265528">
        <w:rPr>
          <w:rFonts w:ascii="Century Schoolbook" w:hAnsi="Century Schoolbook"/>
        </w:rPr>
        <w:t xml:space="preserve">failed to proceed in the manner required by </w:t>
      </w:r>
      <w:proofErr w:type="gramStart"/>
      <w:r w:rsidR="00265528">
        <w:rPr>
          <w:rFonts w:ascii="Century Schoolbook" w:hAnsi="Century Schoolbook"/>
        </w:rPr>
        <w:t>law</w:t>
      </w:r>
      <w:r w:rsidR="000A57C8">
        <w:rPr>
          <w:rFonts w:ascii="Century Schoolbook" w:hAnsi="Century Schoolbook"/>
        </w:rPr>
        <w:t>,</w:t>
      </w:r>
      <w:r w:rsidR="004C16DB">
        <w:rPr>
          <w:rFonts w:ascii="Century Schoolbook" w:hAnsi="Century Schoolbook"/>
        </w:rPr>
        <w:t xml:space="preserve"> and</w:t>
      </w:r>
      <w:proofErr w:type="gramEnd"/>
      <w:r w:rsidR="004C16DB">
        <w:rPr>
          <w:rFonts w:ascii="Century Schoolbook" w:hAnsi="Century Schoolbook"/>
        </w:rPr>
        <w:t xml:space="preserve"> </w:t>
      </w:r>
      <w:r w:rsidR="000A57C8">
        <w:rPr>
          <w:rFonts w:ascii="Century Schoolbook" w:hAnsi="Century Schoolbook"/>
        </w:rPr>
        <w:t xml:space="preserve">would </w:t>
      </w:r>
      <w:r w:rsidR="004C16DB">
        <w:rPr>
          <w:rFonts w:ascii="Century Schoolbook" w:hAnsi="Century Schoolbook"/>
        </w:rPr>
        <w:t xml:space="preserve">order that “no further entitlements be granted until the City complies with the </w:t>
      </w:r>
      <w:r w:rsidR="00962AF6">
        <w:rPr>
          <w:rFonts w:ascii="Century Schoolbook" w:hAnsi="Century Schoolbook"/>
        </w:rPr>
        <w:t>w</w:t>
      </w:r>
      <w:r w:rsidR="004C16DB">
        <w:rPr>
          <w:rFonts w:ascii="Century Schoolbook" w:hAnsi="Century Schoolbook"/>
        </w:rPr>
        <w:t xml:space="preserve">rit of </w:t>
      </w:r>
      <w:r w:rsidR="00962AF6">
        <w:rPr>
          <w:rFonts w:ascii="Century Schoolbook" w:hAnsi="Century Schoolbook"/>
        </w:rPr>
        <w:t>m</w:t>
      </w:r>
      <w:r w:rsidR="004C16DB">
        <w:rPr>
          <w:rFonts w:ascii="Century Schoolbook" w:hAnsi="Century Schoolbook"/>
        </w:rPr>
        <w:t>andate</w:t>
      </w:r>
      <w:r w:rsidR="00265528">
        <w:rPr>
          <w:rFonts w:ascii="Century Schoolbook" w:hAnsi="Century Schoolbook"/>
        </w:rPr>
        <w:t>.</w:t>
      </w:r>
      <w:r w:rsidR="004C16DB">
        <w:rPr>
          <w:rFonts w:ascii="Century Schoolbook" w:hAnsi="Century Schoolbook"/>
        </w:rPr>
        <w:t>”</w:t>
      </w:r>
      <w:r w:rsidR="00265528">
        <w:rPr>
          <w:rFonts w:ascii="Century Schoolbook" w:hAnsi="Century Schoolbook"/>
        </w:rPr>
        <w:t xml:space="preserve"> </w:t>
      </w:r>
      <w:r w:rsidR="00962AF6">
        <w:rPr>
          <w:rFonts w:ascii="Century Schoolbook" w:hAnsi="Century Schoolbook"/>
        </w:rPr>
        <w:t xml:space="preserve">(Capitalization omitted.) </w:t>
      </w:r>
      <w:r w:rsidR="00265528">
        <w:rPr>
          <w:rFonts w:ascii="Century Schoolbook" w:hAnsi="Century Schoolbook"/>
        </w:rPr>
        <w:t>The court directed the Districts’ counsel to prepare a</w:t>
      </w:r>
      <w:r w:rsidR="00962AF6">
        <w:rPr>
          <w:rFonts w:ascii="Century Schoolbook" w:hAnsi="Century Schoolbook"/>
        </w:rPr>
        <w:t xml:space="preserve"> proposed</w:t>
      </w:r>
      <w:r w:rsidR="00265528">
        <w:rPr>
          <w:rFonts w:ascii="Century Schoolbook" w:hAnsi="Century Schoolbook"/>
        </w:rPr>
        <w:t xml:space="preserve"> order after hearing</w:t>
      </w:r>
      <w:r w:rsidR="003D7847">
        <w:rPr>
          <w:rFonts w:ascii="Century Schoolbook" w:hAnsi="Century Schoolbook"/>
        </w:rPr>
        <w:t>.</w:t>
      </w:r>
      <w:r w:rsidR="002A4B39">
        <w:rPr>
          <w:rFonts w:ascii="Century Schoolbook" w:hAnsi="Century Schoolbook"/>
        </w:rPr>
        <w:t xml:space="preserve"> </w:t>
      </w:r>
    </w:p>
    <w:p w14:paraId="668B2C7D" w14:textId="4E873A9E" w:rsidR="0039661E" w:rsidRDefault="003D7847" w:rsidP="003E75F8">
      <w:pPr>
        <w:rPr>
          <w:rFonts w:ascii="Century Schoolbook" w:hAnsi="Century Schoolbook"/>
        </w:rPr>
      </w:pPr>
      <w:r>
        <w:rPr>
          <w:rFonts w:ascii="Century Schoolbook" w:hAnsi="Century Schoolbook"/>
        </w:rPr>
        <w:tab/>
        <w:t xml:space="preserve">On June 23, 2021, the court entered its written order ruling on the </w:t>
      </w:r>
      <w:r w:rsidR="00962AF6">
        <w:rPr>
          <w:rFonts w:ascii="Century Schoolbook" w:hAnsi="Century Schoolbook"/>
        </w:rPr>
        <w:t xml:space="preserve">merits of the </w:t>
      </w:r>
      <w:r>
        <w:rPr>
          <w:rFonts w:ascii="Century Schoolbook" w:hAnsi="Century Schoolbook"/>
        </w:rPr>
        <w:t xml:space="preserve">various causes of action alleged in the Districts’ petition, including the third and fourth as to which the court had previously granted judgment on the pleadings against the Districts. The order granted the petition on the </w:t>
      </w:r>
      <w:r w:rsidR="00962AF6">
        <w:rPr>
          <w:rFonts w:ascii="Century Schoolbook" w:hAnsi="Century Schoolbook"/>
        </w:rPr>
        <w:t>CEQA</w:t>
      </w:r>
      <w:r>
        <w:rPr>
          <w:rFonts w:ascii="Century Schoolbook" w:hAnsi="Century Schoolbook"/>
        </w:rPr>
        <w:t xml:space="preserve"> cause of action, </w:t>
      </w:r>
      <w:r w:rsidR="002A4B39">
        <w:rPr>
          <w:rFonts w:ascii="Century Schoolbook" w:hAnsi="Century Schoolbook"/>
        </w:rPr>
        <w:t xml:space="preserve">concluding that the Final EIR “was insufficient because [it] failed to include discussion of potential off-site environmental impacts resulting from the [Specific Plan] due to [the Districts’] presented concerns that [they] will lack sufficient funding to build the proposed new school sites identified within the [Specific Plan]. The [Final EIR] also failed to adequately respond to comments made by [the Districts] </w:t>
      </w:r>
      <w:proofErr w:type="gramStart"/>
      <w:r w:rsidR="002A4B39">
        <w:rPr>
          <w:rFonts w:ascii="Century Schoolbook" w:hAnsi="Century Schoolbook"/>
        </w:rPr>
        <w:t>with regard to</w:t>
      </w:r>
      <w:proofErr w:type="gramEnd"/>
      <w:r w:rsidR="002A4B39">
        <w:rPr>
          <w:rFonts w:ascii="Century Schoolbook" w:hAnsi="Century Schoolbook"/>
        </w:rPr>
        <w:t xml:space="preserve"> potential off-site impacts. As such, [the City] failed to proceed in accordance with the law under CEQA.” The order also </w:t>
      </w:r>
      <w:r w:rsidR="006E5B9A">
        <w:rPr>
          <w:rFonts w:ascii="Century Schoolbook" w:hAnsi="Century Schoolbook"/>
        </w:rPr>
        <w:t xml:space="preserve">generally </w:t>
      </w:r>
      <w:r w:rsidR="002A4B39">
        <w:rPr>
          <w:rFonts w:ascii="Century Schoolbook" w:hAnsi="Century Schoolbook"/>
        </w:rPr>
        <w:t xml:space="preserve">granted </w:t>
      </w:r>
      <w:r>
        <w:rPr>
          <w:rFonts w:ascii="Century Schoolbook" w:hAnsi="Century Schoolbook"/>
        </w:rPr>
        <w:t>related</w:t>
      </w:r>
      <w:r w:rsidR="002A4B39">
        <w:rPr>
          <w:rFonts w:ascii="Century Schoolbook" w:hAnsi="Century Schoolbook"/>
        </w:rPr>
        <w:t xml:space="preserve"> </w:t>
      </w:r>
      <w:r>
        <w:rPr>
          <w:rFonts w:ascii="Century Schoolbook" w:hAnsi="Century Schoolbook"/>
        </w:rPr>
        <w:t>injunctive relief as pleaded by the fifth cause of action</w:t>
      </w:r>
      <w:r w:rsidR="004C16DB">
        <w:rPr>
          <w:rFonts w:ascii="Century Schoolbook" w:hAnsi="Century Schoolbook"/>
        </w:rPr>
        <w:t xml:space="preserve">, “enjoining [the City] from approving any further development entitlements within the [Specific Plan] until such time that [the City] complies with the </w:t>
      </w:r>
      <w:r w:rsidR="00962AF6">
        <w:rPr>
          <w:rFonts w:ascii="Century Schoolbook" w:hAnsi="Century Schoolbook"/>
        </w:rPr>
        <w:t>p</w:t>
      </w:r>
      <w:r w:rsidR="004C16DB">
        <w:rPr>
          <w:rFonts w:ascii="Century Schoolbook" w:hAnsi="Century Schoolbook"/>
        </w:rPr>
        <w:t xml:space="preserve">eremptory </w:t>
      </w:r>
      <w:r w:rsidR="00962AF6">
        <w:rPr>
          <w:rFonts w:ascii="Century Schoolbook" w:hAnsi="Century Schoolbook"/>
        </w:rPr>
        <w:t>w</w:t>
      </w:r>
      <w:r w:rsidR="004C16DB">
        <w:rPr>
          <w:rFonts w:ascii="Century Schoolbook" w:hAnsi="Century Schoolbook"/>
        </w:rPr>
        <w:t xml:space="preserve">rit of </w:t>
      </w:r>
      <w:r w:rsidR="00962AF6">
        <w:rPr>
          <w:rFonts w:ascii="Century Schoolbook" w:hAnsi="Century Schoolbook"/>
        </w:rPr>
        <w:t>m</w:t>
      </w:r>
      <w:r w:rsidR="004C16DB">
        <w:rPr>
          <w:rFonts w:ascii="Century Schoolbook" w:hAnsi="Century Schoolbook"/>
        </w:rPr>
        <w:t xml:space="preserve">andate to be issued by the Court” </w:t>
      </w:r>
      <w:r w:rsidR="00962AF6">
        <w:rPr>
          <w:rFonts w:ascii="Century Schoolbook" w:hAnsi="Century Schoolbook"/>
        </w:rPr>
        <w:t xml:space="preserve">(capitalization omitted) </w:t>
      </w:r>
      <w:r w:rsidR="004C16DB">
        <w:rPr>
          <w:rFonts w:ascii="Century Schoolbook" w:hAnsi="Century Schoolbook"/>
        </w:rPr>
        <w:t xml:space="preserve">in relation to the CEQA cause of action. The order </w:t>
      </w:r>
      <w:r w:rsidR="002A4B39">
        <w:rPr>
          <w:rFonts w:ascii="Century Schoolbook" w:hAnsi="Century Schoolbook"/>
        </w:rPr>
        <w:t>denied relief on the second cause of action</w:t>
      </w:r>
      <w:r w:rsidR="004C16DB">
        <w:rPr>
          <w:rFonts w:ascii="Century Schoolbook" w:hAnsi="Century Schoolbook"/>
        </w:rPr>
        <w:t xml:space="preserve"> and finally </w:t>
      </w:r>
      <w:r w:rsidR="002A4B39">
        <w:rPr>
          <w:rFonts w:ascii="Century Schoolbook" w:hAnsi="Century Schoolbook"/>
        </w:rPr>
        <w:t xml:space="preserve">directed the Districts’ counsel to prepare a </w:t>
      </w:r>
      <w:r w:rsidR="002A4B39">
        <w:rPr>
          <w:rFonts w:ascii="Century Schoolbook" w:hAnsi="Century Schoolbook"/>
        </w:rPr>
        <w:lastRenderedPageBreak/>
        <w:t xml:space="preserve">proposed judgment </w:t>
      </w:r>
      <w:r w:rsidR="0039661E">
        <w:rPr>
          <w:rFonts w:ascii="Century Schoolbook" w:hAnsi="Century Schoolbook"/>
        </w:rPr>
        <w:t xml:space="preserve">and peremptory writ of mandate “for the court’s consideration.” </w:t>
      </w:r>
    </w:p>
    <w:p w14:paraId="6BA92FB7" w14:textId="2B052CA4" w:rsidR="00984D42" w:rsidRDefault="0039661E" w:rsidP="003E75F8">
      <w:pPr>
        <w:rPr>
          <w:rFonts w:ascii="Century Schoolbook" w:hAnsi="Century Schoolbook"/>
        </w:rPr>
      </w:pPr>
      <w:r>
        <w:rPr>
          <w:rFonts w:ascii="Century Schoolbook" w:hAnsi="Century Schoolbook"/>
        </w:rPr>
        <w:tab/>
        <w:t xml:space="preserve">Two months later, on August 24, 2021, the trial court entered a stipulated order “regarding stay of entry of judgment </w:t>
      </w:r>
      <w:r w:rsidR="006C0EDA">
        <w:rPr>
          <w:rFonts w:ascii="Century Schoolbook" w:hAnsi="Century Schoolbook"/>
        </w:rPr>
        <w:t>. . .</w:t>
      </w:r>
      <w:r>
        <w:rPr>
          <w:rFonts w:ascii="Century Schoolbook" w:hAnsi="Century Schoolbook"/>
        </w:rPr>
        <w:t xml:space="preserve"> to allow [the] parties time to discuss settlement.” (Capitalization omitted.) </w:t>
      </w:r>
      <w:r w:rsidR="006E5B9A">
        <w:rPr>
          <w:rFonts w:ascii="Century Schoolbook" w:hAnsi="Century Schoolbook"/>
        </w:rPr>
        <w:t xml:space="preserve">The order referenced the </w:t>
      </w:r>
      <w:r w:rsidR="00962AF6">
        <w:rPr>
          <w:rFonts w:ascii="Century Schoolbook" w:hAnsi="Century Schoolbook"/>
        </w:rPr>
        <w:t>deadline</w:t>
      </w:r>
      <w:r w:rsidR="006E5B9A">
        <w:rPr>
          <w:rFonts w:ascii="Century Schoolbook" w:hAnsi="Century Schoolbook"/>
        </w:rPr>
        <w:t xml:space="preserve"> for appeal</w:t>
      </w:r>
      <w:r w:rsidR="00F82D43">
        <w:rPr>
          <w:rFonts w:ascii="Century Schoolbook" w:hAnsi="Century Schoolbook"/>
        </w:rPr>
        <w:t xml:space="preserve"> from the prior merits </w:t>
      </w:r>
      <w:proofErr w:type="gramStart"/>
      <w:r w:rsidR="00F82D43">
        <w:rPr>
          <w:rFonts w:ascii="Century Schoolbook" w:hAnsi="Century Schoolbook"/>
        </w:rPr>
        <w:t>order</w:t>
      </w:r>
      <w:r w:rsidR="006E5B9A">
        <w:rPr>
          <w:rFonts w:ascii="Century Schoolbook" w:hAnsi="Century Schoolbook"/>
        </w:rPr>
        <w:t xml:space="preserve">, </w:t>
      </w:r>
      <w:r w:rsidR="00962AF6">
        <w:rPr>
          <w:rFonts w:ascii="Century Schoolbook" w:hAnsi="Century Schoolbook"/>
        </w:rPr>
        <w:t>and</w:t>
      </w:r>
      <w:proofErr w:type="gramEnd"/>
      <w:r w:rsidR="00962AF6">
        <w:rPr>
          <w:rFonts w:ascii="Century Schoolbook" w:hAnsi="Century Schoolbook"/>
        </w:rPr>
        <w:t xml:space="preserve"> </w:t>
      </w:r>
      <w:r w:rsidR="006E5B9A">
        <w:rPr>
          <w:rFonts w:ascii="Century Schoolbook" w:hAnsi="Century Schoolbook"/>
        </w:rPr>
        <w:t>assum</w:t>
      </w:r>
      <w:r w:rsidR="00962AF6">
        <w:rPr>
          <w:rFonts w:ascii="Century Schoolbook" w:hAnsi="Century Schoolbook"/>
        </w:rPr>
        <w:t>ed that</w:t>
      </w:r>
      <w:r w:rsidR="006E5B9A">
        <w:rPr>
          <w:rFonts w:ascii="Century Schoolbook" w:hAnsi="Century Schoolbook"/>
        </w:rPr>
        <w:t xml:space="preserve"> any appeal here would be from a later judgment and not the merits </w:t>
      </w:r>
      <w:r w:rsidR="00984D42">
        <w:rPr>
          <w:rFonts w:ascii="Century Schoolbook" w:hAnsi="Century Schoolbook"/>
        </w:rPr>
        <w:t>ruling</w:t>
      </w:r>
      <w:r w:rsidR="006E5B9A">
        <w:rPr>
          <w:rFonts w:ascii="Century Schoolbook" w:hAnsi="Century Schoolbook"/>
        </w:rPr>
        <w:t xml:space="preserve"> entered on June 23, 2021.</w:t>
      </w:r>
      <w:r>
        <w:rPr>
          <w:rFonts w:ascii="Century Schoolbook" w:hAnsi="Century Schoolbook"/>
        </w:rPr>
        <w:t xml:space="preserve"> </w:t>
      </w:r>
      <w:r w:rsidR="00984D42">
        <w:rPr>
          <w:rFonts w:ascii="Century Schoolbook" w:hAnsi="Century Schoolbook"/>
        </w:rPr>
        <w:t xml:space="preserve">The stipulated stay order expressly contemplated the court’s later entry of judgment and issuance of a peremptory writ of mandate incorporating the prior merits rulings should the parties be unable to reach a settlement for a different disposition. </w:t>
      </w:r>
    </w:p>
    <w:p w14:paraId="46E69125" w14:textId="39E6AC44" w:rsidR="00A74B84" w:rsidRDefault="00984D42" w:rsidP="003E75F8">
      <w:pPr>
        <w:rPr>
          <w:rFonts w:ascii="Century Schoolbook" w:hAnsi="Century Schoolbook"/>
        </w:rPr>
      </w:pPr>
      <w:r>
        <w:rPr>
          <w:rFonts w:ascii="Century Schoolbook" w:hAnsi="Century Schoolbook"/>
        </w:rPr>
        <w:tab/>
        <w:t>After the expiration of the stipulated stay of entry of judgment, on December 27, 2021, the court noticed a hearing re “[c]</w:t>
      </w:r>
      <w:proofErr w:type="spellStart"/>
      <w:r>
        <w:rPr>
          <w:rFonts w:ascii="Century Schoolbook" w:hAnsi="Century Schoolbook"/>
        </w:rPr>
        <w:t>larification</w:t>
      </w:r>
      <w:proofErr w:type="spellEnd"/>
      <w:r>
        <w:rPr>
          <w:rFonts w:ascii="Century Schoolbook" w:hAnsi="Century Schoolbook"/>
        </w:rPr>
        <w:t xml:space="preserve"> of judgment and orders” to occur the next day. (Capitalization omitted.) During the hearing, </w:t>
      </w:r>
      <w:r w:rsidR="000C4D74">
        <w:rPr>
          <w:rFonts w:ascii="Century Schoolbook" w:hAnsi="Century Schoolbook"/>
        </w:rPr>
        <w:t xml:space="preserve">the court acknowledged having received a proposed judgment and other </w:t>
      </w:r>
      <w:r w:rsidR="00BC4CE4">
        <w:rPr>
          <w:rFonts w:ascii="Century Schoolbook" w:hAnsi="Century Schoolbook"/>
        </w:rPr>
        <w:t xml:space="preserve">related </w:t>
      </w:r>
      <w:r w:rsidR="000C4D74">
        <w:rPr>
          <w:rFonts w:ascii="Century Schoolbook" w:hAnsi="Century Schoolbook"/>
        </w:rPr>
        <w:t>submissions</w:t>
      </w:r>
      <w:r w:rsidR="00F82D43">
        <w:rPr>
          <w:rFonts w:ascii="Century Schoolbook" w:hAnsi="Century Schoolbook"/>
        </w:rPr>
        <w:t xml:space="preserve"> from the parties</w:t>
      </w:r>
      <w:r w:rsidR="000C4D74">
        <w:rPr>
          <w:rFonts w:ascii="Century Schoolbook" w:hAnsi="Century Schoolbook"/>
        </w:rPr>
        <w:t>. The clarification the court provided, seemingly prompted by a dispute among the parties</w:t>
      </w:r>
      <w:r w:rsidR="00265A16">
        <w:rPr>
          <w:rFonts w:ascii="Century Schoolbook" w:hAnsi="Century Schoolbook"/>
        </w:rPr>
        <w:t xml:space="preserve">, </w:t>
      </w:r>
      <w:r w:rsidR="000C4D74">
        <w:rPr>
          <w:rFonts w:ascii="Century Schoolbook" w:hAnsi="Century Schoolbook"/>
        </w:rPr>
        <w:t xml:space="preserve">was the narrow scope of the injunctive relief to be ordered—no further </w:t>
      </w:r>
      <w:r w:rsidR="00265A16">
        <w:rPr>
          <w:rFonts w:ascii="Century Schoolbook" w:hAnsi="Century Schoolbook"/>
        </w:rPr>
        <w:t xml:space="preserve">Specific Plan </w:t>
      </w:r>
      <w:r w:rsidR="000C4D74">
        <w:rPr>
          <w:rFonts w:ascii="Century Schoolbook" w:hAnsi="Century Schoolbook"/>
        </w:rPr>
        <w:t xml:space="preserve">approvals or entitlements to be granted until the City complies with the court’s directive to provide a generalized discussion and </w:t>
      </w:r>
      <w:r w:rsidR="00E56C74">
        <w:rPr>
          <w:rFonts w:ascii="Century Schoolbook" w:hAnsi="Century Schoolbook"/>
        </w:rPr>
        <w:t xml:space="preserve">further </w:t>
      </w:r>
      <w:r w:rsidR="000C4D74">
        <w:rPr>
          <w:rFonts w:ascii="Century Schoolbook" w:hAnsi="Century Schoolbook"/>
        </w:rPr>
        <w:t xml:space="preserve">responses to comments in the Final EIR about the alternative off-site impacts of the Districts’ accommodation of new students in existing facilities as opposed to the construction of new schools. The court made explicit that it was not directing the set-aside </w:t>
      </w:r>
      <w:r w:rsidR="00E02943">
        <w:rPr>
          <w:rFonts w:ascii="Century Schoolbook" w:hAnsi="Century Schoolbook"/>
        </w:rPr>
        <w:t xml:space="preserve">or vacation </w:t>
      </w:r>
      <w:r w:rsidR="000C4D74">
        <w:rPr>
          <w:rFonts w:ascii="Century Schoolbook" w:hAnsi="Century Schoolbook"/>
        </w:rPr>
        <w:t xml:space="preserve">of </w:t>
      </w:r>
      <w:r w:rsidR="00E02943">
        <w:rPr>
          <w:rFonts w:ascii="Century Schoolbook" w:hAnsi="Century Schoolbook"/>
        </w:rPr>
        <w:t xml:space="preserve">prior </w:t>
      </w:r>
      <w:r w:rsidR="000C4D74">
        <w:rPr>
          <w:rFonts w:ascii="Century Schoolbook" w:hAnsi="Century Schoolbook"/>
        </w:rPr>
        <w:t>Project approvals.</w:t>
      </w:r>
      <w:r w:rsidR="00E02943">
        <w:rPr>
          <w:rFonts w:ascii="Century Schoolbook" w:hAnsi="Century Schoolbook"/>
        </w:rPr>
        <w:t xml:space="preserve"> Because of this narrow focus, the court directed modifications to the Districts’ proposed judgment and writ of mandate, including specific language under section 21168.9 for severance of portions of a project</w:t>
      </w:r>
      <w:r w:rsidR="000C15C0">
        <w:rPr>
          <w:rFonts w:ascii="Century Schoolbook" w:hAnsi="Century Schoolbook"/>
        </w:rPr>
        <w:t xml:space="preserve"> and the court’s retention of jurisdiction</w:t>
      </w:r>
      <w:r w:rsidR="00E02943">
        <w:rPr>
          <w:rFonts w:ascii="Century Schoolbook" w:hAnsi="Century Schoolbook"/>
        </w:rPr>
        <w:t xml:space="preserve">, as jointly proposed by the City </w:t>
      </w:r>
      <w:r w:rsidR="00E02943">
        <w:rPr>
          <w:rFonts w:ascii="Century Schoolbook" w:hAnsi="Century Schoolbook"/>
        </w:rPr>
        <w:lastRenderedPageBreak/>
        <w:t>and real parties.</w:t>
      </w:r>
      <w:r w:rsidR="000C4D74">
        <w:rPr>
          <w:rFonts w:ascii="Century Schoolbook" w:hAnsi="Century Schoolbook"/>
        </w:rPr>
        <w:t xml:space="preserve"> </w:t>
      </w:r>
      <w:r w:rsidR="000C15C0">
        <w:rPr>
          <w:rFonts w:ascii="Century Schoolbook" w:hAnsi="Century Schoolbook"/>
        </w:rPr>
        <w:t xml:space="preserve">The judgment entered three weeks later on January 18, 2022, reflected those remedial and severance provisions under section 21168.9 and clarified that the court was not </w:t>
      </w:r>
      <w:r w:rsidR="00A74B84">
        <w:rPr>
          <w:rFonts w:ascii="Century Schoolbook" w:hAnsi="Century Schoolbook"/>
        </w:rPr>
        <w:t xml:space="preserve">suspending or setting aside prior Project approvals but rather employing severance and enjoining the City’s approvals of any further development entitlements within the Specific Plan until such time that the City complied with the court’s “limited relief” in the judgment and writ. The separate peremptory writ of mandate likewise reflected this narrow relief. </w:t>
      </w:r>
    </w:p>
    <w:p w14:paraId="4194D94C" w14:textId="46A94987" w:rsidR="007F3231" w:rsidRPr="00707276" w:rsidRDefault="00A74B84" w:rsidP="003471E2">
      <w:pPr>
        <w:rPr>
          <w:rFonts w:ascii="Century Schoolbook" w:hAnsi="Century Schoolbook"/>
        </w:rPr>
      </w:pPr>
      <w:r>
        <w:rPr>
          <w:rFonts w:ascii="Century Schoolbook" w:hAnsi="Century Schoolbook"/>
        </w:rPr>
        <w:tab/>
        <w:t>Notice of entry of judgment was served the next day, on January 19, 2022</w:t>
      </w:r>
      <w:r w:rsidR="00E56C74">
        <w:rPr>
          <w:rFonts w:ascii="Century Schoolbook" w:hAnsi="Century Schoolbook"/>
        </w:rPr>
        <w:t>.</w:t>
      </w:r>
      <w:r>
        <w:rPr>
          <w:rFonts w:ascii="Century Schoolbook" w:hAnsi="Century Schoolbook"/>
        </w:rPr>
        <w:t xml:space="preserve"> </w:t>
      </w:r>
      <w:r w:rsidR="00E56C74">
        <w:rPr>
          <w:rFonts w:ascii="Century Schoolbook" w:hAnsi="Century Schoolbook"/>
        </w:rPr>
        <w:t>T</w:t>
      </w:r>
      <w:r>
        <w:rPr>
          <w:rFonts w:ascii="Century Schoolbook" w:hAnsi="Century Schoolbook"/>
        </w:rPr>
        <w:t>he real parties filed their notice of appeal from the judgment on February</w:t>
      </w:r>
      <w:r w:rsidR="006C0EDA">
        <w:rPr>
          <w:rFonts w:ascii="Century Schoolbook" w:hAnsi="Century Schoolbook"/>
        </w:rPr>
        <w:t> </w:t>
      </w:r>
      <w:r>
        <w:rPr>
          <w:rFonts w:ascii="Century Schoolbook" w:hAnsi="Century Schoolbook"/>
        </w:rPr>
        <w:t xml:space="preserve">8, 2022. </w:t>
      </w:r>
    </w:p>
    <w:p w14:paraId="5FCAFE76" w14:textId="2D27AA3A" w:rsidR="00931DF3" w:rsidRPr="006A4A94" w:rsidRDefault="00D37992" w:rsidP="006A4A94">
      <w:pPr>
        <w:pStyle w:val="ListParagraph"/>
        <w:ind w:left="1440"/>
        <w:rPr>
          <w:rFonts w:ascii="Century Schoolbook" w:hAnsi="Century Schoolbook"/>
        </w:rPr>
      </w:pPr>
      <w:r>
        <w:rPr>
          <w:rFonts w:ascii="Century Schoolbook" w:hAnsi="Century Schoolbook"/>
          <w:i/>
          <w:iCs/>
        </w:rPr>
        <w:tab/>
      </w:r>
      <w:r>
        <w:rPr>
          <w:rFonts w:ascii="Century Schoolbook" w:hAnsi="Century Schoolbook"/>
          <w:i/>
          <w:iCs/>
        </w:rPr>
        <w:tab/>
      </w:r>
      <w:r>
        <w:rPr>
          <w:rFonts w:ascii="Century Schoolbook" w:hAnsi="Century Schoolbook"/>
          <w:i/>
          <w:iCs/>
        </w:rPr>
        <w:tab/>
      </w:r>
      <w:r w:rsidR="00931DF3" w:rsidRPr="00931DF3">
        <w:rPr>
          <w:rFonts w:ascii="Century Schoolbook" w:hAnsi="Century Schoolbook"/>
        </w:rPr>
        <w:t>DISCUSSION</w:t>
      </w:r>
    </w:p>
    <w:p w14:paraId="0C5181B3" w14:textId="5D3C6B50" w:rsidR="000D3B0F" w:rsidRDefault="000D3B0F" w:rsidP="00931DF3">
      <w:pPr>
        <w:pStyle w:val="ListParagraph"/>
        <w:numPr>
          <w:ilvl w:val="0"/>
          <w:numId w:val="13"/>
        </w:numPr>
        <w:rPr>
          <w:rFonts w:ascii="Century Schoolbook" w:hAnsi="Century Schoolbook"/>
          <w:i/>
          <w:iCs/>
        </w:rPr>
      </w:pPr>
      <w:r>
        <w:rPr>
          <w:rFonts w:ascii="Century Schoolbook" w:hAnsi="Century Schoolbook"/>
          <w:i/>
          <w:iCs/>
        </w:rPr>
        <w:t>Appealability</w:t>
      </w:r>
    </w:p>
    <w:p w14:paraId="2BB70D57" w14:textId="42B91AD0" w:rsidR="00E83280" w:rsidRDefault="000D3B0F" w:rsidP="000D3B0F">
      <w:pPr>
        <w:rPr>
          <w:rFonts w:ascii="Century Schoolbook" w:hAnsi="Century Schoolbook"/>
        </w:rPr>
      </w:pPr>
      <w:r>
        <w:tab/>
      </w:r>
      <w:r w:rsidRPr="000D3B0F">
        <w:rPr>
          <w:rFonts w:ascii="Century Schoolbook" w:hAnsi="Century Schoolbook"/>
        </w:rPr>
        <w:t xml:space="preserve">As addressed by real parties in their opening brief, the City as lead agency </w:t>
      </w:r>
      <w:r w:rsidR="00CD32B1">
        <w:rPr>
          <w:rFonts w:ascii="Century Schoolbook" w:hAnsi="Century Schoolbook"/>
        </w:rPr>
        <w:t xml:space="preserve">and respondent in the writ action </w:t>
      </w:r>
      <w:r w:rsidR="000D6F0B">
        <w:rPr>
          <w:rFonts w:ascii="Century Schoolbook" w:hAnsi="Century Schoolbook"/>
        </w:rPr>
        <w:t xml:space="preserve">below </w:t>
      </w:r>
      <w:r w:rsidR="003844D6">
        <w:rPr>
          <w:rFonts w:ascii="Century Schoolbook" w:hAnsi="Century Schoolbook"/>
        </w:rPr>
        <w:t xml:space="preserve">did not appeal from the judgment and </w:t>
      </w:r>
      <w:r>
        <w:rPr>
          <w:rFonts w:ascii="Century Schoolbook" w:hAnsi="Century Schoolbook"/>
        </w:rPr>
        <w:t>has chosen to voluntarily comply with the trial court’s judgment and writ</w:t>
      </w:r>
      <w:r w:rsidR="00CD32B1">
        <w:rPr>
          <w:rFonts w:ascii="Century Schoolbook" w:hAnsi="Century Schoolbook"/>
        </w:rPr>
        <w:t xml:space="preserve">, </w:t>
      </w:r>
      <w:r w:rsidR="00735514">
        <w:rPr>
          <w:rFonts w:ascii="Century Schoolbook" w:hAnsi="Century Schoolbook"/>
        </w:rPr>
        <w:t>effectively</w:t>
      </w:r>
      <w:r w:rsidR="00CD32B1">
        <w:rPr>
          <w:rFonts w:ascii="Century Schoolbook" w:hAnsi="Century Schoolbook"/>
        </w:rPr>
        <w:t xml:space="preserve"> waiving the right to appeal. (</w:t>
      </w:r>
      <w:r w:rsidR="00806C48" w:rsidRPr="00CD32B1">
        <w:rPr>
          <w:rFonts w:ascii="Century Schoolbook" w:hAnsi="Century Schoolbook"/>
          <w:i/>
          <w:iCs/>
        </w:rPr>
        <w:t xml:space="preserve">Save Our Residential Environment v. City of West Hollywood </w:t>
      </w:r>
      <w:r w:rsidR="00806C48">
        <w:rPr>
          <w:rFonts w:ascii="Century Schoolbook" w:hAnsi="Century Schoolbook"/>
        </w:rPr>
        <w:t>(1992) 9 Cal.App.4th 1745, 1750–1751 (</w:t>
      </w:r>
      <w:bookmarkStart w:id="2" w:name="_Hlk142401955"/>
      <w:r w:rsidR="00806C48" w:rsidRPr="004340C3">
        <w:rPr>
          <w:rFonts w:ascii="Century Schoolbook" w:hAnsi="Century Schoolbook"/>
          <w:i/>
          <w:iCs/>
        </w:rPr>
        <w:t>S</w:t>
      </w:r>
      <w:r w:rsidR="006D0115">
        <w:rPr>
          <w:rFonts w:ascii="Century Schoolbook" w:hAnsi="Century Schoolbook"/>
          <w:i/>
          <w:iCs/>
        </w:rPr>
        <w:t xml:space="preserve">ave Our </w:t>
      </w:r>
      <w:r w:rsidR="00806C48" w:rsidRPr="004340C3">
        <w:rPr>
          <w:rFonts w:ascii="Century Schoolbook" w:hAnsi="Century Schoolbook"/>
          <w:i/>
          <w:iCs/>
        </w:rPr>
        <w:t>R</w:t>
      </w:r>
      <w:r w:rsidR="006D0115">
        <w:rPr>
          <w:rFonts w:ascii="Century Schoolbook" w:hAnsi="Century Schoolbook"/>
          <w:i/>
          <w:iCs/>
        </w:rPr>
        <w:t>esidential</w:t>
      </w:r>
      <w:bookmarkEnd w:id="2"/>
      <w:r w:rsidR="00806C48">
        <w:rPr>
          <w:rFonts w:ascii="Century Schoolbook" w:hAnsi="Century Schoolbook"/>
        </w:rPr>
        <w:t xml:space="preserve">), citing </w:t>
      </w:r>
      <w:r w:rsidR="00CD32B1" w:rsidRPr="00CD32B1">
        <w:rPr>
          <w:rFonts w:ascii="Century Schoolbook" w:hAnsi="Century Schoolbook"/>
          <w:i/>
          <w:iCs/>
        </w:rPr>
        <w:t>Bruce v. Gregory</w:t>
      </w:r>
      <w:r w:rsidR="00CD32B1">
        <w:rPr>
          <w:rFonts w:ascii="Century Schoolbook" w:hAnsi="Century Schoolbook"/>
        </w:rPr>
        <w:t xml:space="preserve"> (1967) 65 Cal.2d 666, 671.) </w:t>
      </w:r>
      <w:r w:rsidR="000A7C39">
        <w:rPr>
          <w:rFonts w:ascii="Century Schoolbook" w:hAnsi="Century Schoolbook"/>
        </w:rPr>
        <w:t>V</w:t>
      </w:r>
      <w:r w:rsidR="00CD32B1">
        <w:rPr>
          <w:rFonts w:ascii="Century Schoolbook" w:hAnsi="Century Schoolbook"/>
        </w:rPr>
        <w:t xml:space="preserve">oluntary compliance with a writ of mandate </w:t>
      </w:r>
      <w:r w:rsidR="003844D6">
        <w:rPr>
          <w:rFonts w:ascii="Century Schoolbook" w:hAnsi="Century Schoolbook"/>
        </w:rPr>
        <w:t xml:space="preserve">by the City would likely </w:t>
      </w:r>
      <w:r w:rsidR="00CD32B1">
        <w:rPr>
          <w:rFonts w:ascii="Century Schoolbook" w:hAnsi="Century Schoolbook"/>
        </w:rPr>
        <w:t xml:space="preserve">moot </w:t>
      </w:r>
      <w:r w:rsidR="003844D6">
        <w:rPr>
          <w:rFonts w:ascii="Century Schoolbook" w:hAnsi="Century Schoolbook"/>
        </w:rPr>
        <w:t>its</w:t>
      </w:r>
      <w:r w:rsidR="00CD32B1">
        <w:rPr>
          <w:rFonts w:ascii="Century Schoolbook" w:hAnsi="Century Schoolbook"/>
        </w:rPr>
        <w:t xml:space="preserve"> </w:t>
      </w:r>
      <w:r w:rsidR="000A7C39">
        <w:rPr>
          <w:rFonts w:ascii="Century Schoolbook" w:hAnsi="Century Schoolbook"/>
        </w:rPr>
        <w:t xml:space="preserve">right to </w:t>
      </w:r>
      <w:r w:rsidR="00CD32B1">
        <w:rPr>
          <w:rFonts w:ascii="Century Schoolbook" w:hAnsi="Century Schoolbook"/>
        </w:rPr>
        <w:t>appeal</w:t>
      </w:r>
      <w:r w:rsidR="000A7C39">
        <w:rPr>
          <w:rFonts w:ascii="Century Schoolbook" w:hAnsi="Century Schoolbook"/>
        </w:rPr>
        <w:t xml:space="preserve"> in any event</w:t>
      </w:r>
      <w:r w:rsidR="00CD32B1">
        <w:rPr>
          <w:rFonts w:ascii="Century Schoolbook" w:hAnsi="Century Schoolbook"/>
        </w:rPr>
        <w:t xml:space="preserve">. </w:t>
      </w:r>
      <w:r w:rsidR="00806C48">
        <w:rPr>
          <w:rFonts w:ascii="Century Schoolbook" w:hAnsi="Century Schoolbook"/>
        </w:rPr>
        <w:t>(</w:t>
      </w:r>
      <w:r w:rsidR="006D0115" w:rsidRPr="006D0115">
        <w:rPr>
          <w:rFonts w:ascii="Century Schoolbook" w:hAnsi="Century Schoolbook"/>
          <w:i/>
          <w:iCs/>
        </w:rPr>
        <w:t>Save Our Residential</w:t>
      </w:r>
      <w:r w:rsidR="00806C48">
        <w:rPr>
          <w:rFonts w:ascii="Century Schoolbook" w:hAnsi="Century Schoolbook"/>
        </w:rPr>
        <w:t xml:space="preserve">, at pp. 1750–1751.) </w:t>
      </w:r>
      <w:r w:rsidR="00CD32B1">
        <w:rPr>
          <w:rFonts w:ascii="Century Schoolbook" w:hAnsi="Century Schoolbook"/>
        </w:rPr>
        <w:t xml:space="preserve">But </w:t>
      </w:r>
      <w:r w:rsidR="006D5A65">
        <w:rPr>
          <w:rFonts w:ascii="Century Schoolbook" w:hAnsi="Century Schoolbook"/>
        </w:rPr>
        <w:t xml:space="preserve">such compliance </w:t>
      </w:r>
      <w:r w:rsidR="00CD32B1">
        <w:rPr>
          <w:rFonts w:ascii="Century Schoolbook" w:hAnsi="Century Schoolbook"/>
        </w:rPr>
        <w:t xml:space="preserve">by the </w:t>
      </w:r>
      <w:r w:rsidR="00735514">
        <w:rPr>
          <w:rFonts w:ascii="Century Schoolbook" w:hAnsi="Century Schoolbook"/>
        </w:rPr>
        <w:t xml:space="preserve">City as lead </w:t>
      </w:r>
      <w:r w:rsidR="00CD32B1">
        <w:rPr>
          <w:rFonts w:ascii="Century Schoolbook" w:hAnsi="Century Schoolbook"/>
        </w:rPr>
        <w:t xml:space="preserve">agency </w:t>
      </w:r>
      <w:r w:rsidR="006D5A65">
        <w:rPr>
          <w:rFonts w:ascii="Century Schoolbook" w:hAnsi="Century Schoolbook"/>
        </w:rPr>
        <w:t xml:space="preserve">does not eliminate or waive </w:t>
      </w:r>
      <w:r w:rsidR="00E83280">
        <w:rPr>
          <w:rFonts w:ascii="Century Schoolbook" w:hAnsi="Century Schoolbook"/>
        </w:rPr>
        <w:t>a</w:t>
      </w:r>
      <w:r w:rsidR="006D5A65">
        <w:rPr>
          <w:rFonts w:ascii="Century Schoolbook" w:hAnsi="Century Schoolbook"/>
        </w:rPr>
        <w:t xml:space="preserve"> real part</w:t>
      </w:r>
      <w:r w:rsidR="00E83280">
        <w:rPr>
          <w:rFonts w:ascii="Century Schoolbook" w:hAnsi="Century Schoolbook"/>
        </w:rPr>
        <w:t>y in interest’s</w:t>
      </w:r>
      <w:r w:rsidR="006D5A65">
        <w:rPr>
          <w:rFonts w:ascii="Century Schoolbook" w:hAnsi="Century Schoolbook"/>
        </w:rPr>
        <w:t xml:space="preserve"> independent right to appeal, where </w:t>
      </w:r>
      <w:r w:rsidR="00CD32B1">
        <w:rPr>
          <w:rFonts w:ascii="Century Schoolbook" w:hAnsi="Century Schoolbook"/>
        </w:rPr>
        <w:t>th</w:t>
      </w:r>
      <w:r w:rsidR="003844D6">
        <w:rPr>
          <w:rFonts w:ascii="Century Schoolbook" w:hAnsi="Century Schoolbook"/>
        </w:rPr>
        <w:t>at</w:t>
      </w:r>
      <w:r w:rsidR="00E83280">
        <w:rPr>
          <w:rFonts w:ascii="Century Schoolbook" w:hAnsi="Century Schoolbook"/>
        </w:rPr>
        <w:t xml:space="preserve"> party</w:t>
      </w:r>
      <w:r w:rsidR="006D5A65">
        <w:rPr>
          <w:rFonts w:ascii="Century Schoolbook" w:hAnsi="Century Schoolbook"/>
        </w:rPr>
        <w:t xml:space="preserve"> </w:t>
      </w:r>
      <w:r w:rsidR="00E83280">
        <w:rPr>
          <w:rFonts w:ascii="Century Schoolbook" w:hAnsi="Century Schoolbook"/>
        </w:rPr>
        <w:t>is</w:t>
      </w:r>
      <w:r w:rsidR="006D5A65">
        <w:rPr>
          <w:rFonts w:ascii="Century Schoolbook" w:hAnsi="Century Schoolbook"/>
        </w:rPr>
        <w:t xml:space="preserve"> exposed to an award of attorney fees</w:t>
      </w:r>
      <w:r w:rsidR="00CD32B1">
        <w:rPr>
          <w:rFonts w:ascii="Century Schoolbook" w:hAnsi="Century Schoolbook"/>
        </w:rPr>
        <w:t xml:space="preserve"> as a result of the trial court’s action,</w:t>
      </w:r>
      <w:r w:rsidR="006D5A65">
        <w:rPr>
          <w:rFonts w:ascii="Century Schoolbook" w:hAnsi="Century Schoolbook"/>
        </w:rPr>
        <w:t xml:space="preserve"> as </w:t>
      </w:r>
      <w:r w:rsidR="00E83280">
        <w:rPr>
          <w:rFonts w:ascii="Century Schoolbook" w:hAnsi="Century Schoolbook"/>
        </w:rPr>
        <w:t>real parties</w:t>
      </w:r>
      <w:r w:rsidR="006D5A65">
        <w:rPr>
          <w:rFonts w:ascii="Century Schoolbook" w:hAnsi="Century Schoolbook"/>
        </w:rPr>
        <w:t xml:space="preserve"> represent they are here.</w:t>
      </w:r>
      <w:r w:rsidR="000D6F0B">
        <w:rPr>
          <w:rStyle w:val="FootnoteReference"/>
          <w:rFonts w:ascii="Century Schoolbook" w:hAnsi="Century Schoolbook"/>
        </w:rPr>
        <w:footnoteReference w:id="9"/>
      </w:r>
      <w:r w:rsidR="006D5A65">
        <w:rPr>
          <w:rFonts w:ascii="Century Schoolbook" w:hAnsi="Century Schoolbook"/>
        </w:rPr>
        <w:t xml:space="preserve"> (</w:t>
      </w:r>
      <w:r w:rsidR="00806C48" w:rsidRPr="00806C48">
        <w:rPr>
          <w:rFonts w:ascii="Century Schoolbook" w:hAnsi="Century Schoolbook"/>
          <w:i/>
          <w:iCs/>
        </w:rPr>
        <w:t>Ibid.</w:t>
      </w:r>
      <w:r w:rsidR="00CD32B1">
        <w:rPr>
          <w:rFonts w:ascii="Century Schoolbook" w:hAnsi="Century Schoolbook"/>
        </w:rPr>
        <w:t xml:space="preserve"> [agency may voluntarily comply with trial court writ while real party in interest defends on appeal agency action giving rise to </w:t>
      </w:r>
      <w:r w:rsidR="00CD32B1">
        <w:rPr>
          <w:rFonts w:ascii="Century Schoolbook" w:hAnsi="Century Schoolbook"/>
        </w:rPr>
        <w:lastRenderedPageBreak/>
        <w:t>the writ]</w:t>
      </w:r>
      <w:r w:rsidR="000D6F0B">
        <w:rPr>
          <w:rFonts w:ascii="Century Schoolbook" w:hAnsi="Century Schoolbook"/>
        </w:rPr>
        <w:t xml:space="preserve">; </w:t>
      </w:r>
      <w:r w:rsidR="000D6F0B" w:rsidRPr="000D6F0B">
        <w:rPr>
          <w:rFonts w:ascii="Century Schoolbook" w:hAnsi="Century Schoolbook"/>
          <w:i/>
          <w:iCs/>
        </w:rPr>
        <w:t>Protect Niles v. City of Fremont</w:t>
      </w:r>
      <w:r w:rsidR="000D6F0B">
        <w:rPr>
          <w:rFonts w:ascii="Century Schoolbook" w:hAnsi="Century Schoolbook"/>
        </w:rPr>
        <w:t xml:space="preserve"> (2018) 25 Cal.App.5th 1129, 1140 </w:t>
      </w:r>
      <w:r w:rsidR="004340C3">
        <w:rPr>
          <w:rFonts w:ascii="Century Schoolbook" w:hAnsi="Century Schoolbook"/>
        </w:rPr>
        <w:t>(</w:t>
      </w:r>
      <w:r w:rsidR="004340C3" w:rsidRPr="004340C3">
        <w:rPr>
          <w:rFonts w:ascii="Century Schoolbook" w:hAnsi="Century Schoolbook"/>
          <w:i/>
          <w:iCs/>
        </w:rPr>
        <w:t>Niles</w:t>
      </w:r>
      <w:r w:rsidR="004340C3">
        <w:rPr>
          <w:rFonts w:ascii="Century Schoolbook" w:hAnsi="Century Schoolbook"/>
        </w:rPr>
        <w:t xml:space="preserve">) </w:t>
      </w:r>
      <w:r w:rsidR="000D6F0B">
        <w:rPr>
          <w:rFonts w:ascii="Century Schoolbook" w:hAnsi="Century Schoolbook"/>
        </w:rPr>
        <w:t>[</w:t>
      </w:r>
      <w:r w:rsidR="00806C48">
        <w:rPr>
          <w:rFonts w:ascii="Century Schoolbook" w:hAnsi="Century Schoolbook"/>
        </w:rPr>
        <w:t>appeal by real party in interest not moot when lead agency’s prior approval of project would be restored if real party’s appeal is successful</w:t>
      </w:r>
      <w:r w:rsidR="000D6F0B">
        <w:rPr>
          <w:rFonts w:ascii="Century Schoolbook" w:hAnsi="Century Schoolbook"/>
        </w:rPr>
        <w:t xml:space="preserve">].) </w:t>
      </w:r>
      <w:r w:rsidR="00D3528B">
        <w:rPr>
          <w:rFonts w:ascii="Century Schoolbook" w:hAnsi="Century Schoolbook"/>
        </w:rPr>
        <w:t xml:space="preserve">The City here has recognized that if real parties prevail on appeal, then the City’s December 2019 certification of the EIR will stand, even though the City is preparing a supplemental EIR in the meantime in compliance with the trial court’s judgment and writ. </w:t>
      </w:r>
      <w:r w:rsidR="000D6F0B">
        <w:rPr>
          <w:rFonts w:ascii="Century Schoolbook" w:hAnsi="Century Schoolbook"/>
        </w:rPr>
        <w:t xml:space="preserve">The appeal is </w:t>
      </w:r>
      <w:r w:rsidR="00A66DD1">
        <w:rPr>
          <w:rFonts w:ascii="Century Schoolbook" w:hAnsi="Century Schoolbook"/>
        </w:rPr>
        <w:t xml:space="preserve">therefore </w:t>
      </w:r>
      <w:r w:rsidR="000D6F0B">
        <w:rPr>
          <w:rFonts w:ascii="Century Schoolbook" w:hAnsi="Century Schoolbook"/>
        </w:rPr>
        <w:t xml:space="preserve">not moot notwithstanding agency compliance with the writ because </w:t>
      </w:r>
      <w:r w:rsidR="00806C48">
        <w:rPr>
          <w:rFonts w:ascii="Century Schoolbook" w:hAnsi="Century Schoolbook"/>
        </w:rPr>
        <w:t xml:space="preserve">its prior </w:t>
      </w:r>
      <w:r w:rsidR="004908EF">
        <w:rPr>
          <w:rFonts w:ascii="Century Schoolbook" w:hAnsi="Century Schoolbook"/>
        </w:rPr>
        <w:t>2019 certification of the Final EIR</w:t>
      </w:r>
      <w:r w:rsidR="00806C48">
        <w:rPr>
          <w:rFonts w:ascii="Century Schoolbook" w:hAnsi="Century Schoolbook"/>
        </w:rPr>
        <w:t xml:space="preserve"> may be restored should the real part</w:t>
      </w:r>
      <w:r w:rsidR="00D3528B">
        <w:rPr>
          <w:rFonts w:ascii="Century Schoolbook" w:hAnsi="Century Schoolbook"/>
        </w:rPr>
        <w:t>ies</w:t>
      </w:r>
      <w:r w:rsidR="00806C48">
        <w:rPr>
          <w:rFonts w:ascii="Century Schoolbook" w:hAnsi="Century Schoolbook"/>
        </w:rPr>
        <w:t xml:space="preserve"> prevail on appeal and </w:t>
      </w:r>
      <w:r w:rsidR="000D6F0B">
        <w:rPr>
          <w:rFonts w:ascii="Century Schoolbook" w:hAnsi="Century Schoolbook"/>
        </w:rPr>
        <w:t>an award of fees depends on the propriety of the trial court’s</w:t>
      </w:r>
      <w:r w:rsidR="00806C48">
        <w:rPr>
          <w:rFonts w:ascii="Century Schoolbook" w:hAnsi="Century Schoolbook"/>
        </w:rPr>
        <w:t xml:space="preserve"> </w:t>
      </w:r>
      <w:r w:rsidR="00A66DD1">
        <w:rPr>
          <w:rFonts w:ascii="Century Schoolbook" w:hAnsi="Century Schoolbook"/>
        </w:rPr>
        <w:t>determination</w:t>
      </w:r>
      <w:r w:rsidR="000D6F0B">
        <w:rPr>
          <w:rFonts w:ascii="Century Schoolbook" w:hAnsi="Century Schoolbook"/>
        </w:rPr>
        <w:t>. (</w:t>
      </w:r>
      <w:r w:rsidR="006D0115" w:rsidRPr="006D0115">
        <w:rPr>
          <w:rFonts w:ascii="Century Schoolbook" w:hAnsi="Century Schoolbook"/>
          <w:i/>
          <w:iCs/>
        </w:rPr>
        <w:t>Save Our Residential</w:t>
      </w:r>
      <w:r w:rsidR="004340C3">
        <w:rPr>
          <w:rFonts w:ascii="Century Schoolbook" w:hAnsi="Century Schoolbook"/>
        </w:rPr>
        <w:t xml:space="preserve">, at pp. 1750–1751; </w:t>
      </w:r>
      <w:r w:rsidR="004340C3" w:rsidRPr="004340C3">
        <w:rPr>
          <w:rFonts w:ascii="Century Schoolbook" w:hAnsi="Century Schoolbook"/>
          <w:i/>
          <w:iCs/>
        </w:rPr>
        <w:t>Niles</w:t>
      </w:r>
      <w:r w:rsidR="004340C3">
        <w:rPr>
          <w:rFonts w:ascii="Century Schoolbook" w:hAnsi="Century Schoolbook"/>
        </w:rPr>
        <w:t xml:space="preserve">, at p. 1140.) </w:t>
      </w:r>
    </w:p>
    <w:p w14:paraId="5A028A16" w14:textId="7FF6E640" w:rsidR="00E83280" w:rsidRDefault="00E83280" w:rsidP="000D3B0F">
      <w:pPr>
        <w:rPr>
          <w:rFonts w:ascii="Century Schoolbook" w:hAnsi="Century Schoolbook"/>
        </w:rPr>
      </w:pPr>
      <w:r>
        <w:rPr>
          <w:rFonts w:ascii="Century Schoolbook" w:hAnsi="Century Schoolbook"/>
        </w:rPr>
        <w:tab/>
        <w:t xml:space="preserve">Accordingly, real parties’ appeal from the judgment here is ripe </w:t>
      </w:r>
      <w:r w:rsidR="00A66DD1">
        <w:rPr>
          <w:rFonts w:ascii="Century Schoolbook" w:hAnsi="Century Schoolbook"/>
        </w:rPr>
        <w:t>for review</w:t>
      </w:r>
      <w:r w:rsidR="00F82D43">
        <w:rPr>
          <w:rFonts w:ascii="Century Schoolbook" w:hAnsi="Century Schoolbook"/>
        </w:rPr>
        <w:t xml:space="preserve"> and not moot</w:t>
      </w:r>
      <w:r w:rsidR="00A66DD1">
        <w:rPr>
          <w:rFonts w:ascii="Century Schoolbook" w:hAnsi="Century Schoolbook"/>
        </w:rPr>
        <w:t xml:space="preserve"> </w:t>
      </w:r>
      <w:r>
        <w:rPr>
          <w:rFonts w:ascii="Century Schoolbook" w:hAnsi="Century Schoolbook"/>
        </w:rPr>
        <w:t xml:space="preserve">even though the City did not </w:t>
      </w:r>
      <w:r w:rsidR="00B40A23">
        <w:rPr>
          <w:rFonts w:ascii="Century Schoolbook" w:hAnsi="Century Schoolbook"/>
        </w:rPr>
        <w:t xml:space="preserve">also </w:t>
      </w:r>
      <w:r>
        <w:rPr>
          <w:rFonts w:ascii="Century Schoolbook" w:hAnsi="Century Schoolbook"/>
        </w:rPr>
        <w:t>appeal and has chosen to voluntarily comply with the trial court’s judgment and writ</w:t>
      </w:r>
      <w:r w:rsidR="00A66DD1">
        <w:rPr>
          <w:rFonts w:ascii="Century Schoolbook" w:hAnsi="Century Schoolbook"/>
        </w:rPr>
        <w:t>,</w:t>
      </w:r>
      <w:r w:rsidR="00B40A23">
        <w:rPr>
          <w:rFonts w:ascii="Century Schoolbook" w:hAnsi="Century Schoolbook"/>
        </w:rPr>
        <w:t xml:space="preserve"> pending resolution of the appeal</w:t>
      </w:r>
      <w:r>
        <w:rPr>
          <w:rFonts w:ascii="Century Schoolbook" w:hAnsi="Century Schoolbook"/>
        </w:rPr>
        <w:t>.</w:t>
      </w:r>
    </w:p>
    <w:p w14:paraId="68BD5D40" w14:textId="1522F3D7" w:rsidR="00586F8B" w:rsidRDefault="00E83280" w:rsidP="000D3B0F">
      <w:pPr>
        <w:rPr>
          <w:rFonts w:ascii="Century Schoolbook" w:hAnsi="Century Schoolbook"/>
        </w:rPr>
      </w:pPr>
      <w:r>
        <w:rPr>
          <w:rFonts w:ascii="Century Schoolbook" w:hAnsi="Century Schoolbook"/>
        </w:rPr>
        <w:tab/>
        <w:t>A separate issue relating to</w:t>
      </w:r>
      <w:r w:rsidR="004908EF">
        <w:rPr>
          <w:rFonts w:ascii="Century Schoolbook" w:hAnsi="Century Schoolbook"/>
        </w:rPr>
        <w:t xml:space="preserve"> </w:t>
      </w:r>
      <w:r w:rsidR="0035301B">
        <w:rPr>
          <w:rFonts w:ascii="Century Schoolbook" w:hAnsi="Century Schoolbook"/>
        </w:rPr>
        <w:t xml:space="preserve">the timeliness of the notice of appeal </w:t>
      </w:r>
      <w:r>
        <w:rPr>
          <w:rFonts w:ascii="Century Schoolbook" w:hAnsi="Century Schoolbook"/>
        </w:rPr>
        <w:t xml:space="preserve">is </w:t>
      </w:r>
      <w:r w:rsidR="00B40A23">
        <w:rPr>
          <w:rFonts w:ascii="Century Schoolbook" w:hAnsi="Century Schoolbook"/>
        </w:rPr>
        <w:t xml:space="preserve">also </w:t>
      </w:r>
      <w:r>
        <w:rPr>
          <w:rFonts w:ascii="Century Schoolbook" w:hAnsi="Century Schoolbook"/>
        </w:rPr>
        <w:t>present here.</w:t>
      </w:r>
      <w:r w:rsidR="0035301B">
        <w:rPr>
          <w:rStyle w:val="FootnoteReference"/>
          <w:rFonts w:ascii="Century Schoolbook" w:hAnsi="Century Schoolbook"/>
        </w:rPr>
        <w:footnoteReference w:id="10"/>
      </w:r>
      <w:r>
        <w:rPr>
          <w:rFonts w:ascii="Century Schoolbook" w:hAnsi="Century Schoolbook"/>
        </w:rPr>
        <w:t xml:space="preserve"> As noted, the trial court issued its order </w:t>
      </w:r>
      <w:r w:rsidR="000E578F">
        <w:rPr>
          <w:rFonts w:ascii="Century Schoolbook" w:hAnsi="Century Schoolbook"/>
        </w:rPr>
        <w:t>ruling on</w:t>
      </w:r>
      <w:r>
        <w:rPr>
          <w:rFonts w:ascii="Century Schoolbook" w:hAnsi="Century Schoolbook"/>
        </w:rPr>
        <w:t xml:space="preserve"> the </w:t>
      </w:r>
      <w:r w:rsidR="00630533">
        <w:rPr>
          <w:rFonts w:ascii="Century Schoolbook" w:hAnsi="Century Schoolbook"/>
        </w:rPr>
        <w:t xml:space="preserve">merits of the </w:t>
      </w:r>
      <w:r>
        <w:rPr>
          <w:rFonts w:ascii="Century Schoolbook" w:hAnsi="Century Schoolbook"/>
        </w:rPr>
        <w:t>Districts’ mandate petition</w:t>
      </w:r>
      <w:r w:rsidR="00B40A23">
        <w:rPr>
          <w:rFonts w:ascii="Century Schoolbook" w:hAnsi="Century Schoolbook"/>
        </w:rPr>
        <w:t xml:space="preserve"> on June 23, 2021, </w:t>
      </w:r>
      <w:r w:rsidR="00D6159F">
        <w:rPr>
          <w:rFonts w:ascii="Century Schoolbook" w:hAnsi="Century Schoolbook"/>
        </w:rPr>
        <w:t xml:space="preserve">with notice of </w:t>
      </w:r>
      <w:r w:rsidR="0035301B">
        <w:rPr>
          <w:rFonts w:ascii="Century Schoolbook" w:hAnsi="Century Schoolbook"/>
        </w:rPr>
        <w:t xml:space="preserve">its </w:t>
      </w:r>
      <w:r w:rsidR="00D6159F">
        <w:rPr>
          <w:rFonts w:ascii="Century Schoolbook" w:hAnsi="Century Schoolbook"/>
        </w:rPr>
        <w:t xml:space="preserve">entry served that day. </w:t>
      </w:r>
      <w:r w:rsidR="00586F8B">
        <w:rPr>
          <w:rFonts w:ascii="Century Schoolbook" w:hAnsi="Century Schoolbook"/>
        </w:rPr>
        <w:t>B</w:t>
      </w:r>
      <w:r w:rsidR="00B40A23">
        <w:rPr>
          <w:rFonts w:ascii="Century Schoolbook" w:hAnsi="Century Schoolbook"/>
        </w:rPr>
        <w:t xml:space="preserve">ut </w:t>
      </w:r>
      <w:r w:rsidR="00586F8B">
        <w:rPr>
          <w:rFonts w:ascii="Century Schoolbook" w:hAnsi="Century Schoolbook"/>
        </w:rPr>
        <w:t xml:space="preserve">the court </w:t>
      </w:r>
      <w:r w:rsidR="00B40A23">
        <w:rPr>
          <w:rFonts w:ascii="Century Schoolbook" w:hAnsi="Century Schoolbook"/>
        </w:rPr>
        <w:t>did not enter judgment</w:t>
      </w:r>
      <w:r w:rsidR="000E578F">
        <w:rPr>
          <w:rFonts w:ascii="Century Schoolbook" w:hAnsi="Century Schoolbook"/>
        </w:rPr>
        <w:t xml:space="preserve">—granting relief in mandate on </w:t>
      </w:r>
      <w:r w:rsidR="000A7C39">
        <w:rPr>
          <w:rFonts w:ascii="Century Schoolbook" w:hAnsi="Century Schoolbook"/>
        </w:rPr>
        <w:t xml:space="preserve">the Districts’ CEQA </w:t>
      </w:r>
      <w:r w:rsidR="000E578F">
        <w:rPr>
          <w:rFonts w:ascii="Century Schoolbook" w:hAnsi="Century Schoolbook"/>
        </w:rPr>
        <w:t xml:space="preserve">cause of action </w:t>
      </w:r>
      <w:r w:rsidR="00A66DD1">
        <w:rPr>
          <w:rFonts w:ascii="Century Schoolbook" w:hAnsi="Century Schoolbook"/>
        </w:rPr>
        <w:t xml:space="preserve">with related remedies </w:t>
      </w:r>
      <w:r w:rsidR="000E578F">
        <w:rPr>
          <w:rFonts w:ascii="Century Schoolbook" w:hAnsi="Century Schoolbook"/>
        </w:rPr>
        <w:t>and denying relief on three</w:t>
      </w:r>
      <w:r w:rsidR="004908EF">
        <w:rPr>
          <w:rFonts w:ascii="Century Schoolbook" w:hAnsi="Century Schoolbook"/>
        </w:rPr>
        <w:t xml:space="preserve"> other causes of action</w:t>
      </w:r>
      <w:r w:rsidR="000E578F">
        <w:rPr>
          <w:rFonts w:ascii="Century Schoolbook" w:hAnsi="Century Schoolbook"/>
        </w:rPr>
        <w:t>—</w:t>
      </w:r>
      <w:r w:rsidR="00B40A23">
        <w:rPr>
          <w:rFonts w:ascii="Century Schoolbook" w:hAnsi="Century Schoolbook"/>
        </w:rPr>
        <w:t>until seven months later, on January 18, 2022</w:t>
      </w:r>
      <w:r w:rsidR="00EE7D56">
        <w:rPr>
          <w:rFonts w:ascii="Century Schoolbook" w:hAnsi="Century Schoolbook"/>
        </w:rPr>
        <w:t xml:space="preserve">, after </w:t>
      </w:r>
      <w:r w:rsidR="00735514">
        <w:rPr>
          <w:rFonts w:ascii="Century Schoolbook" w:hAnsi="Century Schoolbook"/>
        </w:rPr>
        <w:t xml:space="preserve">noticing and </w:t>
      </w:r>
      <w:r w:rsidR="00A66DD1">
        <w:rPr>
          <w:rFonts w:ascii="Century Schoolbook" w:hAnsi="Century Schoolbook"/>
        </w:rPr>
        <w:t>conducting</w:t>
      </w:r>
      <w:r w:rsidR="00AB6345">
        <w:rPr>
          <w:rFonts w:ascii="Century Schoolbook" w:hAnsi="Century Schoolbook"/>
        </w:rPr>
        <w:t xml:space="preserve"> </w:t>
      </w:r>
      <w:r w:rsidR="00EE7D56">
        <w:rPr>
          <w:rFonts w:ascii="Century Schoolbook" w:hAnsi="Century Schoolbook"/>
        </w:rPr>
        <w:t xml:space="preserve">a hearing to clarify the </w:t>
      </w:r>
      <w:r w:rsidR="00AB6345">
        <w:rPr>
          <w:rFonts w:ascii="Century Schoolbook" w:hAnsi="Century Schoolbook"/>
        </w:rPr>
        <w:t xml:space="preserve">scope and </w:t>
      </w:r>
      <w:r w:rsidR="00EE7D56">
        <w:rPr>
          <w:rFonts w:ascii="Century Schoolbook" w:hAnsi="Century Schoolbook"/>
        </w:rPr>
        <w:t xml:space="preserve">contents of the judgment, including the statutory CEQA remedies </w:t>
      </w:r>
      <w:r w:rsidR="000A7C39">
        <w:rPr>
          <w:rFonts w:ascii="Century Schoolbook" w:hAnsi="Century Schoolbook"/>
        </w:rPr>
        <w:t xml:space="preserve">under section 21168.9 </w:t>
      </w:r>
      <w:r w:rsidR="00EE7D56">
        <w:rPr>
          <w:rFonts w:ascii="Century Schoolbook" w:hAnsi="Century Schoolbook"/>
        </w:rPr>
        <w:t>the court had in mind</w:t>
      </w:r>
      <w:r w:rsidR="0035301B">
        <w:rPr>
          <w:rFonts w:ascii="Century Schoolbook" w:hAnsi="Century Schoolbook"/>
        </w:rPr>
        <w:t>, given its prior ruling</w:t>
      </w:r>
      <w:r w:rsidR="00AB6345">
        <w:rPr>
          <w:rFonts w:ascii="Century Schoolbook" w:hAnsi="Century Schoolbook"/>
        </w:rPr>
        <w:t>s</w:t>
      </w:r>
      <w:r w:rsidR="00B40A23">
        <w:rPr>
          <w:rFonts w:ascii="Century Schoolbook" w:hAnsi="Century Schoolbook"/>
        </w:rPr>
        <w:t xml:space="preserve">. </w:t>
      </w:r>
      <w:r w:rsidR="00EE7D56">
        <w:rPr>
          <w:rFonts w:ascii="Century Schoolbook" w:hAnsi="Century Schoolbook"/>
        </w:rPr>
        <w:t>Although t</w:t>
      </w:r>
      <w:r w:rsidR="00630533">
        <w:rPr>
          <w:rFonts w:ascii="Century Schoolbook" w:hAnsi="Century Schoolbook"/>
        </w:rPr>
        <w:t xml:space="preserve">he </w:t>
      </w:r>
      <w:r w:rsidR="00EE7D56">
        <w:rPr>
          <w:rFonts w:ascii="Century Schoolbook" w:hAnsi="Century Schoolbook"/>
        </w:rPr>
        <w:t xml:space="preserve">June 2021 </w:t>
      </w:r>
      <w:r w:rsidR="00630533">
        <w:rPr>
          <w:rFonts w:ascii="Century Schoolbook" w:hAnsi="Century Schoolbook"/>
        </w:rPr>
        <w:t xml:space="preserve">merits order </w:t>
      </w:r>
      <w:r w:rsidR="00630533">
        <w:rPr>
          <w:rFonts w:ascii="Century Schoolbook" w:hAnsi="Century Schoolbook"/>
        </w:rPr>
        <w:lastRenderedPageBreak/>
        <w:t>directed the Districts to submit a proposed judgment and peremptory writ of mandate</w:t>
      </w:r>
      <w:r w:rsidR="00EE7D56">
        <w:rPr>
          <w:rFonts w:ascii="Century Schoolbook" w:hAnsi="Century Schoolbook"/>
        </w:rPr>
        <w:t>, the</w:t>
      </w:r>
      <w:r w:rsidR="00F2439C">
        <w:rPr>
          <w:rFonts w:ascii="Century Schoolbook" w:hAnsi="Century Schoolbook"/>
        </w:rPr>
        <w:t xml:space="preserve"> </w:t>
      </w:r>
      <w:r w:rsidR="00586F8B">
        <w:rPr>
          <w:rFonts w:ascii="Century Schoolbook" w:hAnsi="Century Schoolbook"/>
        </w:rPr>
        <w:t xml:space="preserve">certain </w:t>
      </w:r>
      <w:r w:rsidR="00C105A7">
        <w:rPr>
          <w:rFonts w:ascii="Century Schoolbook" w:hAnsi="Century Schoolbook"/>
        </w:rPr>
        <w:t>s</w:t>
      </w:r>
      <w:r w:rsidR="00630533">
        <w:rPr>
          <w:rFonts w:ascii="Century Schoolbook" w:hAnsi="Century Schoolbook"/>
        </w:rPr>
        <w:t>tatutory</w:t>
      </w:r>
      <w:r w:rsidR="00C105A7">
        <w:rPr>
          <w:rFonts w:ascii="Century Schoolbook" w:hAnsi="Century Schoolbook"/>
        </w:rPr>
        <w:t xml:space="preserve"> </w:t>
      </w:r>
      <w:r w:rsidR="00F2439C">
        <w:rPr>
          <w:rFonts w:ascii="Century Schoolbook" w:hAnsi="Century Schoolbook"/>
        </w:rPr>
        <w:t>CEQA remedies</w:t>
      </w:r>
      <w:r w:rsidR="00C105A7">
        <w:rPr>
          <w:rFonts w:ascii="Century Schoolbook" w:hAnsi="Century Schoolbook"/>
        </w:rPr>
        <w:t xml:space="preserve"> </w:t>
      </w:r>
      <w:r w:rsidR="00EE7D56">
        <w:rPr>
          <w:rFonts w:ascii="Century Schoolbook" w:hAnsi="Century Schoolbook"/>
        </w:rPr>
        <w:t xml:space="preserve">contained in the later judgment </w:t>
      </w:r>
      <w:r w:rsidR="00AB6345">
        <w:rPr>
          <w:rFonts w:ascii="Century Schoolbook" w:hAnsi="Century Schoolbook"/>
        </w:rPr>
        <w:t xml:space="preserve">as clarified by the court </w:t>
      </w:r>
      <w:r w:rsidR="004908EF">
        <w:rPr>
          <w:rFonts w:ascii="Century Schoolbook" w:hAnsi="Century Schoolbook"/>
        </w:rPr>
        <w:t xml:space="preserve">at the hearing </w:t>
      </w:r>
      <w:r w:rsidR="00A66DD1">
        <w:rPr>
          <w:rFonts w:ascii="Century Schoolbook" w:hAnsi="Century Schoolbook"/>
        </w:rPr>
        <w:t xml:space="preserve">in the interim </w:t>
      </w:r>
      <w:r w:rsidR="00586F8B">
        <w:rPr>
          <w:rFonts w:ascii="Century Schoolbook" w:hAnsi="Century Schoolbook"/>
        </w:rPr>
        <w:t xml:space="preserve">were omitted </w:t>
      </w:r>
      <w:r w:rsidR="00C105A7">
        <w:rPr>
          <w:rFonts w:ascii="Century Schoolbook" w:hAnsi="Century Schoolbook"/>
        </w:rPr>
        <w:t xml:space="preserve">from </w:t>
      </w:r>
      <w:r w:rsidR="00AB6345">
        <w:rPr>
          <w:rFonts w:ascii="Century Schoolbook" w:hAnsi="Century Schoolbook"/>
        </w:rPr>
        <w:t>it</w:t>
      </w:r>
      <w:r w:rsidR="00C105A7">
        <w:rPr>
          <w:rFonts w:ascii="Century Schoolbook" w:hAnsi="Century Schoolbook"/>
        </w:rPr>
        <w:t xml:space="preserve">s prior </w:t>
      </w:r>
      <w:r w:rsidR="00630533">
        <w:rPr>
          <w:rFonts w:ascii="Century Schoolbook" w:hAnsi="Century Schoolbook"/>
        </w:rPr>
        <w:t xml:space="preserve">merits </w:t>
      </w:r>
      <w:r w:rsidR="00C105A7">
        <w:rPr>
          <w:rFonts w:ascii="Century Schoolbook" w:hAnsi="Century Schoolbook"/>
        </w:rPr>
        <w:t xml:space="preserve">order. A </w:t>
      </w:r>
      <w:r w:rsidR="00B40A23">
        <w:rPr>
          <w:rFonts w:ascii="Century Schoolbook" w:hAnsi="Century Schoolbook"/>
        </w:rPr>
        <w:t>separate writ document was issued by the court clerk th</w:t>
      </w:r>
      <w:r w:rsidR="00C105A7">
        <w:rPr>
          <w:rFonts w:ascii="Century Schoolbook" w:hAnsi="Century Schoolbook"/>
        </w:rPr>
        <w:t>e</w:t>
      </w:r>
      <w:r w:rsidR="00B40A23">
        <w:rPr>
          <w:rFonts w:ascii="Century Schoolbook" w:hAnsi="Century Schoolbook"/>
        </w:rPr>
        <w:t xml:space="preserve"> same day</w:t>
      </w:r>
      <w:r w:rsidR="00C105A7">
        <w:rPr>
          <w:rFonts w:ascii="Century Schoolbook" w:hAnsi="Century Schoolbook"/>
        </w:rPr>
        <w:t xml:space="preserve"> judgment was entered</w:t>
      </w:r>
      <w:r w:rsidR="00B40A23">
        <w:rPr>
          <w:rFonts w:ascii="Century Schoolbook" w:hAnsi="Century Schoolbook"/>
        </w:rPr>
        <w:t xml:space="preserve">. </w:t>
      </w:r>
    </w:p>
    <w:p w14:paraId="0FB49991" w14:textId="35741CDD" w:rsidR="008B06EE" w:rsidRDefault="00586F8B" w:rsidP="000D3B0F">
      <w:pPr>
        <w:rPr>
          <w:rFonts w:ascii="Century Schoolbook" w:hAnsi="Century Schoolbook"/>
        </w:rPr>
      </w:pPr>
      <w:r>
        <w:rPr>
          <w:rFonts w:ascii="Century Schoolbook" w:hAnsi="Century Schoolbook"/>
        </w:rPr>
        <w:tab/>
      </w:r>
      <w:r w:rsidR="004358DE">
        <w:rPr>
          <w:rFonts w:ascii="Century Schoolbook" w:hAnsi="Century Schoolbook"/>
        </w:rPr>
        <w:t>A</w:t>
      </w:r>
      <w:r w:rsidR="00EE7D56">
        <w:rPr>
          <w:rFonts w:ascii="Century Schoolbook" w:hAnsi="Century Schoolbook"/>
        </w:rPr>
        <w:t>nd a</w:t>
      </w:r>
      <w:r w:rsidR="004358DE">
        <w:rPr>
          <w:rFonts w:ascii="Century Schoolbook" w:hAnsi="Century Schoolbook"/>
        </w:rPr>
        <w:t xml:space="preserve">s noted in the judgment, </w:t>
      </w:r>
      <w:r w:rsidR="000A7C39">
        <w:rPr>
          <w:rFonts w:ascii="Century Schoolbook" w:hAnsi="Century Schoolbook"/>
        </w:rPr>
        <w:t>some three</w:t>
      </w:r>
      <w:r w:rsidR="000E578F">
        <w:rPr>
          <w:rFonts w:ascii="Century Schoolbook" w:hAnsi="Century Schoolbook"/>
        </w:rPr>
        <w:t xml:space="preserve"> months after the trial court </w:t>
      </w:r>
      <w:r w:rsidR="00AB2302">
        <w:rPr>
          <w:rFonts w:ascii="Century Schoolbook" w:hAnsi="Century Schoolbook"/>
        </w:rPr>
        <w:t>entered</w:t>
      </w:r>
      <w:r w:rsidR="000E578F">
        <w:rPr>
          <w:rFonts w:ascii="Century Schoolbook" w:hAnsi="Century Schoolbook"/>
        </w:rPr>
        <w:t xml:space="preserve"> its order ruling on the merits, the court signed a stipulated order </w:t>
      </w:r>
      <w:r w:rsidR="00630533">
        <w:rPr>
          <w:rFonts w:ascii="Century Schoolbook" w:hAnsi="Century Schoolbook"/>
        </w:rPr>
        <w:t xml:space="preserve">“regarding </w:t>
      </w:r>
      <w:r w:rsidR="000E578F">
        <w:rPr>
          <w:rFonts w:ascii="Century Schoolbook" w:hAnsi="Century Schoolbook"/>
        </w:rPr>
        <w:t>stay</w:t>
      </w:r>
      <w:r w:rsidR="00630533">
        <w:rPr>
          <w:rFonts w:ascii="Century Schoolbook" w:hAnsi="Century Schoolbook"/>
        </w:rPr>
        <w:t xml:space="preserve"> of </w:t>
      </w:r>
      <w:r w:rsidR="000E578F">
        <w:rPr>
          <w:rFonts w:ascii="Century Schoolbook" w:hAnsi="Century Schoolbook"/>
        </w:rPr>
        <w:t>entry of judgment</w:t>
      </w:r>
      <w:r w:rsidR="00630533">
        <w:rPr>
          <w:rFonts w:ascii="Century Schoolbook" w:hAnsi="Century Schoolbook"/>
        </w:rPr>
        <w:t>” (capitalization omitted) to</w:t>
      </w:r>
      <w:r w:rsidR="000E578F">
        <w:rPr>
          <w:rFonts w:ascii="Century Schoolbook" w:hAnsi="Century Schoolbook"/>
        </w:rPr>
        <w:t xml:space="preserve"> allow the parties time to discuss </w:t>
      </w:r>
      <w:r w:rsidR="00F2439C">
        <w:rPr>
          <w:rFonts w:ascii="Century Schoolbook" w:hAnsi="Century Schoolbook"/>
        </w:rPr>
        <w:t>settlement</w:t>
      </w:r>
      <w:r w:rsidR="003844D6">
        <w:rPr>
          <w:rFonts w:ascii="Century Schoolbook" w:hAnsi="Century Schoolbook"/>
        </w:rPr>
        <w:t xml:space="preserve"> and the possibility of an agreeable stipulated judgment</w:t>
      </w:r>
      <w:r w:rsidR="008B06EE">
        <w:rPr>
          <w:rFonts w:ascii="Century Schoolbook" w:hAnsi="Century Schoolbook"/>
        </w:rPr>
        <w:t xml:space="preserve"> given the court’s merits ruling</w:t>
      </w:r>
      <w:r w:rsidR="00C105A7">
        <w:rPr>
          <w:rFonts w:ascii="Century Schoolbook" w:hAnsi="Century Schoolbook"/>
        </w:rPr>
        <w:t xml:space="preserve">. This </w:t>
      </w:r>
      <w:r w:rsidR="00630533">
        <w:rPr>
          <w:rFonts w:ascii="Century Schoolbook" w:hAnsi="Century Schoolbook"/>
        </w:rPr>
        <w:t xml:space="preserve">pre-judgment </w:t>
      </w:r>
      <w:r w:rsidR="008B06EE">
        <w:rPr>
          <w:rFonts w:ascii="Century Schoolbook" w:hAnsi="Century Schoolbook"/>
        </w:rPr>
        <w:t xml:space="preserve">stipulated </w:t>
      </w:r>
      <w:r w:rsidR="00C105A7">
        <w:rPr>
          <w:rFonts w:ascii="Century Schoolbook" w:hAnsi="Century Schoolbook"/>
        </w:rPr>
        <w:t xml:space="preserve">order provided that “ ‘[t]he </w:t>
      </w:r>
      <w:proofErr w:type="gramStart"/>
      <w:r w:rsidR="00C105A7">
        <w:rPr>
          <w:rFonts w:ascii="Century Schoolbook" w:hAnsi="Century Schoolbook"/>
        </w:rPr>
        <w:t>time period</w:t>
      </w:r>
      <w:proofErr w:type="gramEnd"/>
      <w:r w:rsidR="00C105A7">
        <w:rPr>
          <w:rFonts w:ascii="Century Schoolbook" w:hAnsi="Century Schoolbook"/>
        </w:rPr>
        <w:t xml:space="preserve"> for the parties to submit either a </w:t>
      </w:r>
      <w:r w:rsidR="00630533">
        <w:rPr>
          <w:rFonts w:ascii="Century Schoolbook" w:hAnsi="Century Schoolbook"/>
        </w:rPr>
        <w:t>p</w:t>
      </w:r>
      <w:r w:rsidR="00C105A7">
        <w:rPr>
          <w:rFonts w:ascii="Century Schoolbook" w:hAnsi="Century Schoolbook"/>
        </w:rPr>
        <w:t xml:space="preserve">roposed </w:t>
      </w:r>
      <w:r w:rsidR="00630533">
        <w:rPr>
          <w:rFonts w:ascii="Century Schoolbook" w:hAnsi="Century Schoolbook"/>
        </w:rPr>
        <w:t>p</w:t>
      </w:r>
      <w:r w:rsidR="00C105A7">
        <w:rPr>
          <w:rFonts w:ascii="Century Schoolbook" w:hAnsi="Century Schoolbook"/>
        </w:rPr>
        <w:t xml:space="preserve">eremptory </w:t>
      </w:r>
      <w:r w:rsidR="00630533">
        <w:rPr>
          <w:rFonts w:ascii="Century Schoolbook" w:hAnsi="Century Schoolbook"/>
        </w:rPr>
        <w:t>w</w:t>
      </w:r>
      <w:r w:rsidR="00C105A7">
        <w:rPr>
          <w:rFonts w:ascii="Century Schoolbook" w:hAnsi="Century Schoolbook"/>
        </w:rPr>
        <w:t xml:space="preserve">rit of </w:t>
      </w:r>
      <w:r w:rsidR="00630533">
        <w:rPr>
          <w:rFonts w:ascii="Century Schoolbook" w:hAnsi="Century Schoolbook"/>
        </w:rPr>
        <w:t>m</w:t>
      </w:r>
      <w:r w:rsidR="00C105A7">
        <w:rPr>
          <w:rFonts w:ascii="Century Schoolbook" w:hAnsi="Century Schoolbook"/>
        </w:rPr>
        <w:t xml:space="preserve">andate or a </w:t>
      </w:r>
      <w:r w:rsidR="00630533">
        <w:rPr>
          <w:rFonts w:ascii="Century Schoolbook" w:hAnsi="Century Schoolbook"/>
        </w:rPr>
        <w:t>p</w:t>
      </w:r>
      <w:r w:rsidR="00C105A7">
        <w:rPr>
          <w:rFonts w:ascii="Century Schoolbook" w:hAnsi="Century Schoolbook"/>
        </w:rPr>
        <w:t xml:space="preserve">roposed </w:t>
      </w:r>
      <w:r w:rsidR="00630533">
        <w:rPr>
          <w:rFonts w:ascii="Century Schoolbook" w:hAnsi="Century Schoolbook"/>
        </w:rPr>
        <w:t>j</w:t>
      </w:r>
      <w:r w:rsidR="00C105A7">
        <w:rPr>
          <w:rFonts w:ascii="Century Schoolbook" w:hAnsi="Century Schoolbook"/>
        </w:rPr>
        <w:t xml:space="preserve">udgment for the court’s consideration, as contemplated by the </w:t>
      </w:r>
      <w:r w:rsidR="00630533">
        <w:rPr>
          <w:rFonts w:ascii="Century Schoolbook" w:hAnsi="Century Schoolbook"/>
        </w:rPr>
        <w:t>[prior</w:t>
      </w:r>
      <w:r w:rsidR="00C105A7">
        <w:rPr>
          <w:rFonts w:ascii="Century Schoolbook" w:hAnsi="Century Schoolbook"/>
        </w:rPr>
        <w:t xml:space="preserve"> </w:t>
      </w:r>
      <w:r w:rsidR="00630533">
        <w:rPr>
          <w:rFonts w:ascii="Century Schoolbook" w:hAnsi="Century Schoolbook"/>
        </w:rPr>
        <w:t xml:space="preserve">merits] </w:t>
      </w:r>
      <w:r w:rsidR="00C105A7">
        <w:rPr>
          <w:rFonts w:ascii="Century Schoolbook" w:hAnsi="Century Schoolbook"/>
        </w:rPr>
        <w:t xml:space="preserve">order, is extended for a period of 75 days.’ ” </w:t>
      </w:r>
      <w:r w:rsidR="00630533">
        <w:rPr>
          <w:rFonts w:ascii="Century Schoolbook" w:hAnsi="Century Schoolbook"/>
        </w:rPr>
        <w:t xml:space="preserve">(Capitalization omitted.) </w:t>
      </w:r>
      <w:r w:rsidR="00C105A7">
        <w:rPr>
          <w:rFonts w:ascii="Century Schoolbook" w:hAnsi="Century Schoolbook"/>
        </w:rPr>
        <w:t xml:space="preserve">The 75-day period passed, but judgment was not entered </w:t>
      </w:r>
      <w:r w:rsidR="00D6159F">
        <w:rPr>
          <w:rFonts w:ascii="Century Schoolbook" w:hAnsi="Century Schoolbook"/>
        </w:rPr>
        <w:t>until January 18, 2022,</w:t>
      </w:r>
      <w:r w:rsidR="00C105A7">
        <w:rPr>
          <w:rFonts w:ascii="Century Schoolbook" w:hAnsi="Century Schoolbook"/>
        </w:rPr>
        <w:t xml:space="preserve"> </w:t>
      </w:r>
      <w:r>
        <w:rPr>
          <w:rFonts w:ascii="Century Schoolbook" w:hAnsi="Century Schoolbook"/>
        </w:rPr>
        <w:t xml:space="preserve">some </w:t>
      </w:r>
      <w:r w:rsidR="00C105A7">
        <w:rPr>
          <w:rFonts w:ascii="Century Schoolbook" w:hAnsi="Century Schoolbook"/>
        </w:rPr>
        <w:t>two and a half months</w:t>
      </w:r>
      <w:r w:rsidR="00D6159F">
        <w:rPr>
          <w:rFonts w:ascii="Century Schoolbook" w:hAnsi="Century Schoolbook"/>
        </w:rPr>
        <w:t xml:space="preserve"> later</w:t>
      </w:r>
      <w:r w:rsidR="00440B85">
        <w:rPr>
          <w:rFonts w:ascii="Century Schoolbook" w:hAnsi="Century Schoolbook"/>
        </w:rPr>
        <w:t xml:space="preserve"> and after </w:t>
      </w:r>
      <w:r w:rsidR="004908EF">
        <w:rPr>
          <w:rFonts w:ascii="Century Schoolbook" w:hAnsi="Century Schoolbook"/>
        </w:rPr>
        <w:t>the</w:t>
      </w:r>
      <w:r w:rsidR="00440B85">
        <w:rPr>
          <w:rFonts w:ascii="Century Schoolbook" w:hAnsi="Century Schoolbook"/>
        </w:rPr>
        <w:t xml:space="preserve"> hearing </w:t>
      </w:r>
      <w:r w:rsidR="004908EF">
        <w:rPr>
          <w:rFonts w:ascii="Century Schoolbook" w:hAnsi="Century Schoolbook"/>
        </w:rPr>
        <w:t xml:space="preserve">at which the court </w:t>
      </w:r>
      <w:r w:rsidR="00440B85">
        <w:rPr>
          <w:rFonts w:ascii="Century Schoolbook" w:hAnsi="Century Schoolbook"/>
        </w:rPr>
        <w:t>clarif</w:t>
      </w:r>
      <w:r w:rsidR="004908EF">
        <w:rPr>
          <w:rFonts w:ascii="Century Schoolbook" w:hAnsi="Century Schoolbook"/>
        </w:rPr>
        <w:t>ied</w:t>
      </w:r>
      <w:r w:rsidR="00440B85">
        <w:rPr>
          <w:rFonts w:ascii="Century Schoolbook" w:hAnsi="Century Schoolbook"/>
        </w:rPr>
        <w:t xml:space="preserve"> </w:t>
      </w:r>
      <w:r w:rsidR="009D65D3">
        <w:rPr>
          <w:rFonts w:ascii="Century Schoolbook" w:hAnsi="Century Schoolbook"/>
        </w:rPr>
        <w:t xml:space="preserve">the </w:t>
      </w:r>
      <w:r w:rsidR="00440B85">
        <w:rPr>
          <w:rFonts w:ascii="Century Schoolbook" w:hAnsi="Century Schoolbook"/>
        </w:rPr>
        <w:t>scope and content</w:t>
      </w:r>
      <w:r w:rsidR="009D65D3">
        <w:rPr>
          <w:rFonts w:ascii="Century Schoolbook" w:hAnsi="Century Schoolbook"/>
        </w:rPr>
        <w:t xml:space="preserve"> of the narrow remedies to be ordered</w:t>
      </w:r>
      <w:r w:rsidR="00C105A7">
        <w:rPr>
          <w:rFonts w:ascii="Century Schoolbook" w:hAnsi="Century Schoolbook"/>
        </w:rPr>
        <w:t>.</w:t>
      </w:r>
      <w:r w:rsidR="00D6159F">
        <w:rPr>
          <w:rFonts w:ascii="Century Schoolbook" w:hAnsi="Century Schoolbook"/>
        </w:rPr>
        <w:t xml:space="preserve"> </w:t>
      </w:r>
      <w:r w:rsidR="00630533">
        <w:rPr>
          <w:rFonts w:ascii="Century Schoolbook" w:hAnsi="Century Schoolbook"/>
        </w:rPr>
        <w:t xml:space="preserve">Real parties filed their notice of appeal from the judgment </w:t>
      </w:r>
      <w:r w:rsidR="003844D6">
        <w:rPr>
          <w:rFonts w:ascii="Century Schoolbook" w:hAnsi="Century Schoolbook"/>
        </w:rPr>
        <w:t xml:space="preserve">on </w:t>
      </w:r>
      <w:r w:rsidR="001500CB">
        <w:rPr>
          <w:rFonts w:ascii="Century Schoolbook" w:hAnsi="Century Schoolbook"/>
        </w:rPr>
        <w:t xml:space="preserve">February 8, 2022, which </w:t>
      </w:r>
      <w:r w:rsidR="008B06EE">
        <w:rPr>
          <w:rFonts w:ascii="Century Schoolbook" w:hAnsi="Century Schoolbook"/>
        </w:rPr>
        <w:t xml:space="preserve">is </w:t>
      </w:r>
      <w:r w:rsidR="001500CB">
        <w:rPr>
          <w:rFonts w:ascii="Century Schoolbook" w:hAnsi="Century Schoolbook"/>
        </w:rPr>
        <w:t>timely from the judgment but not from the court’s prior order ruling on the merits</w:t>
      </w:r>
      <w:r w:rsidR="008B06EE">
        <w:rPr>
          <w:rFonts w:ascii="Century Schoolbook" w:hAnsi="Century Schoolbook"/>
        </w:rPr>
        <w:t xml:space="preserve"> if that is the trial court’s appealable determination</w:t>
      </w:r>
      <w:r w:rsidR="0035301B">
        <w:rPr>
          <w:rFonts w:ascii="Century Schoolbook" w:hAnsi="Century Schoolbook"/>
        </w:rPr>
        <w:t xml:space="preserve"> in this case</w:t>
      </w:r>
      <w:r w:rsidR="001500CB">
        <w:rPr>
          <w:rFonts w:ascii="Century Schoolbook" w:hAnsi="Century Schoolbook"/>
        </w:rPr>
        <w:t xml:space="preserve">. </w:t>
      </w:r>
    </w:p>
    <w:p w14:paraId="562356C3" w14:textId="1FAEB846" w:rsidR="00B646AE" w:rsidRDefault="008B06EE" w:rsidP="000D3B0F">
      <w:pPr>
        <w:rPr>
          <w:rFonts w:ascii="Century Schoolbook" w:hAnsi="Century Schoolbook"/>
        </w:rPr>
      </w:pPr>
      <w:r>
        <w:rPr>
          <w:rFonts w:ascii="Century Schoolbook" w:hAnsi="Century Schoolbook"/>
        </w:rPr>
        <w:tab/>
        <w:t xml:space="preserve">In </w:t>
      </w:r>
      <w:r w:rsidRPr="00482B33">
        <w:rPr>
          <w:rFonts w:ascii="Century Schoolbook" w:hAnsi="Century Schoolbook"/>
          <w:i/>
          <w:iCs/>
        </w:rPr>
        <w:t>Meinhardt</w:t>
      </w:r>
      <w:r w:rsidR="00482B33" w:rsidRPr="00482B33">
        <w:rPr>
          <w:rFonts w:ascii="Century Schoolbook" w:hAnsi="Century Schoolbook"/>
          <w:i/>
          <w:iCs/>
        </w:rPr>
        <w:t xml:space="preserve"> v. City of Sunnyvale</w:t>
      </w:r>
      <w:r w:rsidR="00482B33">
        <w:rPr>
          <w:rFonts w:ascii="Century Schoolbook" w:hAnsi="Century Schoolbook"/>
        </w:rPr>
        <w:t xml:space="preserve"> (2022) 76 Cal.App.5th 43, review granted June 15, 2022, S274147 (</w:t>
      </w:r>
      <w:r w:rsidR="00482B33" w:rsidRPr="00482B33">
        <w:rPr>
          <w:rFonts w:ascii="Century Schoolbook" w:hAnsi="Century Schoolbook"/>
          <w:i/>
          <w:iCs/>
        </w:rPr>
        <w:t>Meinhardt</w:t>
      </w:r>
      <w:r w:rsidR="00482B33">
        <w:rPr>
          <w:rFonts w:ascii="Century Schoolbook" w:hAnsi="Century Schoolbook"/>
        </w:rPr>
        <w:t>), our colleagues in Division One of the Fourth Appellate District held that a ruling denominated an “</w:t>
      </w:r>
      <w:r w:rsidR="006D0115">
        <w:rPr>
          <w:rFonts w:ascii="Century Schoolbook" w:hAnsi="Century Schoolbook"/>
        </w:rPr>
        <w:t xml:space="preserve"> ‘</w:t>
      </w:r>
      <w:r w:rsidR="00482B33">
        <w:rPr>
          <w:rFonts w:ascii="Century Schoolbook" w:hAnsi="Century Schoolbook"/>
        </w:rPr>
        <w:t>order</w:t>
      </w:r>
      <w:r w:rsidR="006D0115">
        <w:rPr>
          <w:rFonts w:ascii="Century Schoolbook" w:hAnsi="Century Schoolbook"/>
        </w:rPr>
        <w:t xml:space="preserve">’ </w:t>
      </w:r>
      <w:r w:rsidR="00482B33">
        <w:rPr>
          <w:rFonts w:ascii="Century Schoolbook" w:hAnsi="Century Schoolbook"/>
        </w:rPr>
        <w:t>” in a mandate case was an appealable final judgment even though a separate document styled a “</w:t>
      </w:r>
      <w:r w:rsidR="006D0115">
        <w:rPr>
          <w:rFonts w:ascii="Century Schoolbook" w:hAnsi="Century Schoolbook"/>
        </w:rPr>
        <w:t xml:space="preserve"> ‘</w:t>
      </w:r>
      <w:r w:rsidR="00482B33">
        <w:rPr>
          <w:rFonts w:ascii="Century Schoolbook" w:hAnsi="Century Schoolbook"/>
        </w:rPr>
        <w:t>judgment</w:t>
      </w:r>
      <w:r w:rsidR="00A475A1">
        <w:rPr>
          <w:rFonts w:ascii="Century Schoolbook" w:hAnsi="Century Schoolbook"/>
        </w:rPr>
        <w:t>,</w:t>
      </w:r>
      <w:r w:rsidR="006D0115">
        <w:rPr>
          <w:rFonts w:ascii="Century Schoolbook" w:hAnsi="Century Schoolbook"/>
        </w:rPr>
        <w:t xml:space="preserve">’ </w:t>
      </w:r>
      <w:r w:rsidR="00482B33">
        <w:rPr>
          <w:rFonts w:ascii="Century Schoolbook" w:hAnsi="Century Schoolbook"/>
        </w:rPr>
        <w:t xml:space="preserve">” </w:t>
      </w:r>
      <w:r w:rsidR="00A475A1">
        <w:rPr>
          <w:rFonts w:ascii="Century Schoolbook" w:hAnsi="Century Schoolbook"/>
        </w:rPr>
        <w:t xml:space="preserve">which “merely restated the prior” order, </w:t>
      </w:r>
      <w:r w:rsidR="00482B33">
        <w:rPr>
          <w:rFonts w:ascii="Century Schoolbook" w:hAnsi="Century Schoolbook"/>
        </w:rPr>
        <w:t xml:space="preserve">followed. </w:t>
      </w:r>
      <w:r w:rsidR="00A475A1">
        <w:rPr>
          <w:rFonts w:ascii="Century Schoolbook" w:hAnsi="Century Schoolbook"/>
        </w:rPr>
        <w:t>(</w:t>
      </w:r>
      <w:r w:rsidR="00A475A1" w:rsidRPr="00A475A1">
        <w:rPr>
          <w:rFonts w:ascii="Century Schoolbook" w:hAnsi="Century Schoolbook"/>
          <w:i/>
          <w:iCs/>
        </w:rPr>
        <w:t>Id.</w:t>
      </w:r>
      <w:r w:rsidR="00A475A1">
        <w:rPr>
          <w:rFonts w:ascii="Century Schoolbook" w:hAnsi="Century Schoolbook"/>
        </w:rPr>
        <w:t xml:space="preserve"> at p. 51.) </w:t>
      </w:r>
      <w:r w:rsidR="00482B33">
        <w:rPr>
          <w:rFonts w:ascii="Century Schoolbook" w:hAnsi="Century Schoolbook"/>
        </w:rPr>
        <w:t xml:space="preserve">The </w:t>
      </w:r>
      <w:r w:rsidR="00482B33" w:rsidRPr="00482B33">
        <w:rPr>
          <w:rFonts w:ascii="Century Schoolbook" w:hAnsi="Century Schoolbook"/>
          <w:i/>
          <w:iCs/>
        </w:rPr>
        <w:t>Meinhardt</w:t>
      </w:r>
      <w:r w:rsidR="00482B33">
        <w:rPr>
          <w:rFonts w:ascii="Century Schoolbook" w:hAnsi="Century Schoolbook"/>
        </w:rPr>
        <w:t xml:space="preserve"> court dismissed the appeal as the notice </w:t>
      </w:r>
      <w:r w:rsidR="00482B33">
        <w:rPr>
          <w:rFonts w:ascii="Century Schoolbook" w:hAnsi="Century Schoolbook"/>
        </w:rPr>
        <w:lastRenderedPageBreak/>
        <w:t xml:space="preserve">of appeal, while timely </w:t>
      </w:r>
      <w:r w:rsidR="0088498D">
        <w:rPr>
          <w:rFonts w:ascii="Century Schoolbook" w:hAnsi="Century Schoolbook"/>
        </w:rPr>
        <w:t>filed from</w:t>
      </w:r>
      <w:r w:rsidR="00482B33">
        <w:rPr>
          <w:rFonts w:ascii="Century Schoolbook" w:hAnsi="Century Schoolbook"/>
        </w:rPr>
        <w:t xml:space="preserve"> the later </w:t>
      </w:r>
      <w:r w:rsidR="008E7AE0">
        <w:rPr>
          <w:rFonts w:ascii="Century Schoolbook" w:hAnsi="Century Schoolbook"/>
        </w:rPr>
        <w:t>“</w:t>
      </w:r>
      <w:r w:rsidR="00482B33">
        <w:rPr>
          <w:rFonts w:ascii="Century Schoolbook" w:hAnsi="Century Schoolbook"/>
        </w:rPr>
        <w:t>judgment</w:t>
      </w:r>
      <w:r w:rsidR="009970C6">
        <w:rPr>
          <w:rFonts w:ascii="Century Schoolbook" w:hAnsi="Century Schoolbook"/>
        </w:rPr>
        <w:t>,</w:t>
      </w:r>
      <w:r w:rsidR="008E7AE0">
        <w:rPr>
          <w:rFonts w:ascii="Century Schoolbook" w:hAnsi="Century Schoolbook"/>
        </w:rPr>
        <w:t>”</w:t>
      </w:r>
      <w:r w:rsidR="00482B33">
        <w:rPr>
          <w:rFonts w:ascii="Century Schoolbook" w:hAnsi="Century Schoolbook"/>
        </w:rPr>
        <w:t xml:space="preserve"> was not timely filed from the </w:t>
      </w:r>
      <w:r w:rsidR="008E7AE0">
        <w:rPr>
          <w:rFonts w:ascii="Century Schoolbook" w:hAnsi="Century Schoolbook"/>
        </w:rPr>
        <w:t xml:space="preserve">prior </w:t>
      </w:r>
      <w:r w:rsidR="00482B33">
        <w:rPr>
          <w:rFonts w:ascii="Century Schoolbook" w:hAnsi="Century Schoolbook"/>
        </w:rPr>
        <w:t>order denying the petition. (</w:t>
      </w:r>
      <w:r w:rsidR="00482B33" w:rsidRPr="008E7AE0">
        <w:rPr>
          <w:rFonts w:ascii="Century Schoolbook" w:hAnsi="Century Schoolbook"/>
          <w:i/>
          <w:iCs/>
        </w:rPr>
        <w:t>Id</w:t>
      </w:r>
      <w:r w:rsidR="00482B33">
        <w:rPr>
          <w:rFonts w:ascii="Century Schoolbook" w:hAnsi="Century Schoolbook"/>
        </w:rPr>
        <w:t>. at pp</w:t>
      </w:r>
      <w:r w:rsidR="008E7AE0">
        <w:rPr>
          <w:rFonts w:ascii="Century Schoolbook" w:hAnsi="Century Schoolbook"/>
        </w:rPr>
        <w:t>. 50–51.)</w:t>
      </w:r>
      <w:r w:rsidR="00482B33">
        <w:rPr>
          <w:rFonts w:ascii="Century Schoolbook" w:hAnsi="Century Schoolbook"/>
        </w:rPr>
        <w:t xml:space="preserve"> </w:t>
      </w:r>
    </w:p>
    <w:p w14:paraId="3F2E99DD" w14:textId="62005615" w:rsidR="0006454F" w:rsidRDefault="00B646AE" w:rsidP="000D3B0F">
      <w:pPr>
        <w:rPr>
          <w:rFonts w:ascii="Century Schoolbook" w:hAnsi="Century Schoolbook"/>
        </w:rPr>
      </w:pPr>
      <w:r>
        <w:rPr>
          <w:rFonts w:ascii="Century Schoolbook" w:hAnsi="Century Schoolbook"/>
        </w:rPr>
        <w:tab/>
      </w:r>
      <w:r w:rsidR="00A475A1">
        <w:rPr>
          <w:rFonts w:ascii="Century Schoolbook" w:hAnsi="Century Schoolbook"/>
        </w:rPr>
        <w:t xml:space="preserve">Relying on </w:t>
      </w:r>
      <w:r w:rsidR="00A475A1" w:rsidRPr="00A475A1">
        <w:rPr>
          <w:rFonts w:ascii="Century Schoolbook" w:hAnsi="Century Schoolbook"/>
          <w:i/>
          <w:iCs/>
        </w:rPr>
        <w:t>Dhillon v. John Muir Health</w:t>
      </w:r>
      <w:r w:rsidR="00A475A1">
        <w:rPr>
          <w:rFonts w:ascii="Century Schoolbook" w:hAnsi="Century Schoolbook"/>
        </w:rPr>
        <w:t xml:space="preserve"> (2017) 2 Cal.5th 1109, 1113 (</w:t>
      </w:r>
      <w:r w:rsidR="00A475A1" w:rsidRPr="00A475A1">
        <w:rPr>
          <w:rFonts w:ascii="Century Schoolbook" w:hAnsi="Century Schoolbook"/>
          <w:i/>
          <w:iCs/>
        </w:rPr>
        <w:t>Dhillon</w:t>
      </w:r>
      <w:r w:rsidR="00A475A1">
        <w:rPr>
          <w:rFonts w:ascii="Century Schoolbook" w:hAnsi="Century Schoolbook"/>
        </w:rPr>
        <w:t xml:space="preserve">), the court in </w:t>
      </w:r>
      <w:r w:rsidR="00A475A1" w:rsidRPr="00A40586">
        <w:rPr>
          <w:rFonts w:ascii="Century Schoolbook" w:hAnsi="Century Schoolbook"/>
          <w:i/>
          <w:iCs/>
        </w:rPr>
        <w:t>Meinhardt</w:t>
      </w:r>
      <w:r w:rsidR="00A475A1">
        <w:rPr>
          <w:rFonts w:ascii="Century Schoolbook" w:hAnsi="Century Schoolbook"/>
        </w:rPr>
        <w:t xml:space="preserve"> </w:t>
      </w:r>
      <w:r w:rsidR="00A40586">
        <w:rPr>
          <w:rFonts w:ascii="Century Schoolbook" w:hAnsi="Century Schoolbook"/>
        </w:rPr>
        <w:t xml:space="preserve">reiterated that “ ‘ “ ‘[a]s a general test, which must be adapted to the particular circumstances of the individual case, </w:t>
      </w:r>
      <w:r w:rsidR="006D0115">
        <w:rPr>
          <w:rFonts w:ascii="Century Schoolbook" w:hAnsi="Century Schoolbook"/>
        </w:rPr>
        <w:t xml:space="preserve">. . . </w:t>
      </w:r>
      <w:r w:rsidR="00A40586">
        <w:rPr>
          <w:rFonts w:ascii="Century Schoolbook" w:hAnsi="Century Schoolbook"/>
        </w:rPr>
        <w:t>where no issue is left for future consideration except the fact of compliance or noncompliance with the terms of the first decree, that decree is final</w:t>
      </w:r>
      <w:r w:rsidR="003F2407">
        <w:rPr>
          <w:rFonts w:ascii="Century Schoolbook" w:hAnsi="Century Schoolbook"/>
        </w:rPr>
        <w:t xml:space="preserve">, but where anything further in the nature of judicial action </w:t>
      </w:r>
      <w:r w:rsidR="006D0115">
        <w:rPr>
          <w:rFonts w:ascii="Century Schoolbook" w:hAnsi="Century Schoolbook"/>
        </w:rPr>
        <w:t>. . .</w:t>
      </w:r>
      <w:r w:rsidR="003F2407">
        <w:rPr>
          <w:rFonts w:ascii="Century Schoolbook" w:hAnsi="Century Schoolbook"/>
        </w:rPr>
        <w:t xml:space="preserve"> is essential to a final determination of the rights of the parties, the decree is interlocutory.</w:t>
      </w:r>
      <w:r w:rsidR="0088498D">
        <w:rPr>
          <w:rFonts w:ascii="Century Schoolbook" w:hAnsi="Century Schoolbook"/>
        </w:rPr>
        <w:t>’ ” ’ ” (</w:t>
      </w:r>
      <w:r w:rsidR="0088498D" w:rsidRPr="00116EB6">
        <w:rPr>
          <w:rFonts w:ascii="Century Schoolbook" w:hAnsi="Century Schoolbook"/>
          <w:i/>
          <w:iCs/>
        </w:rPr>
        <w:t>Meinhardt</w:t>
      </w:r>
      <w:r w:rsidR="0088498D">
        <w:rPr>
          <w:rFonts w:ascii="Century Schoolbook" w:hAnsi="Century Schoolbook"/>
        </w:rPr>
        <w:t xml:space="preserve">, </w:t>
      </w:r>
      <w:r>
        <w:rPr>
          <w:rFonts w:ascii="Century Schoolbook" w:hAnsi="Century Schoolbook"/>
        </w:rPr>
        <w:t xml:space="preserve">76 Cal.App.5th </w:t>
      </w:r>
      <w:r w:rsidR="00116EB6">
        <w:rPr>
          <w:rFonts w:ascii="Century Schoolbook" w:hAnsi="Century Schoolbook"/>
        </w:rPr>
        <w:t>at p. 49</w:t>
      </w:r>
      <w:r w:rsidR="006D0115">
        <w:rPr>
          <w:rFonts w:ascii="Century Schoolbook" w:hAnsi="Century Schoolbook"/>
        </w:rPr>
        <w:t>, review granted</w:t>
      </w:r>
      <w:r w:rsidR="00116EB6">
        <w:rPr>
          <w:rFonts w:ascii="Century Schoolbook" w:hAnsi="Century Schoolbook"/>
        </w:rPr>
        <w:t xml:space="preserve">, quoting </w:t>
      </w:r>
      <w:r w:rsidR="00116EB6" w:rsidRPr="00116EB6">
        <w:rPr>
          <w:rFonts w:ascii="Century Schoolbook" w:hAnsi="Century Schoolbook"/>
          <w:i/>
          <w:iCs/>
        </w:rPr>
        <w:t>Dhillon</w:t>
      </w:r>
      <w:r w:rsidR="00116EB6">
        <w:rPr>
          <w:rFonts w:ascii="Century Schoolbook" w:hAnsi="Century Schoolbook"/>
        </w:rPr>
        <w:t>, at p.</w:t>
      </w:r>
      <w:r w:rsidR="00EB2ABB">
        <w:rPr>
          <w:rFonts w:ascii="Century Schoolbook" w:hAnsi="Century Schoolbook"/>
        </w:rPr>
        <w:t> </w:t>
      </w:r>
      <w:r w:rsidR="00116EB6">
        <w:rPr>
          <w:rFonts w:ascii="Century Schoolbook" w:hAnsi="Century Schoolbook"/>
        </w:rPr>
        <w:t>1115.)</w:t>
      </w:r>
      <w:r w:rsidR="00E21B1D">
        <w:rPr>
          <w:rFonts w:ascii="Century Schoolbook" w:hAnsi="Century Schoolbook"/>
        </w:rPr>
        <w:t xml:space="preserve"> </w:t>
      </w:r>
      <w:r w:rsidR="00116EB6">
        <w:rPr>
          <w:rFonts w:ascii="Century Schoolbook" w:hAnsi="Century Schoolbook"/>
        </w:rPr>
        <w:t xml:space="preserve">Applying this test, </w:t>
      </w:r>
      <w:r w:rsidR="00E21B1D">
        <w:rPr>
          <w:rFonts w:ascii="Century Schoolbook" w:hAnsi="Century Schoolbook"/>
        </w:rPr>
        <w:t xml:space="preserve">as stated, </w:t>
      </w:r>
      <w:r w:rsidR="00116EB6">
        <w:rPr>
          <w:rFonts w:ascii="Century Schoolbook" w:hAnsi="Century Schoolbook"/>
        </w:rPr>
        <w:t xml:space="preserve">the court in </w:t>
      </w:r>
      <w:r w:rsidR="00116EB6" w:rsidRPr="00382318">
        <w:rPr>
          <w:rFonts w:ascii="Century Schoolbook" w:hAnsi="Century Schoolbook"/>
          <w:i/>
          <w:iCs/>
        </w:rPr>
        <w:t>Meinh</w:t>
      </w:r>
      <w:r w:rsidR="0035301B">
        <w:rPr>
          <w:rFonts w:ascii="Century Schoolbook" w:hAnsi="Century Schoolbook"/>
          <w:i/>
          <w:iCs/>
        </w:rPr>
        <w:t>a</w:t>
      </w:r>
      <w:r w:rsidR="00116EB6" w:rsidRPr="00382318">
        <w:rPr>
          <w:rFonts w:ascii="Century Schoolbook" w:hAnsi="Century Schoolbook"/>
          <w:i/>
          <w:iCs/>
        </w:rPr>
        <w:t>rdt</w:t>
      </w:r>
      <w:r w:rsidR="00116EB6">
        <w:rPr>
          <w:rFonts w:ascii="Century Schoolbook" w:hAnsi="Century Schoolbook"/>
        </w:rPr>
        <w:t xml:space="preserve"> concluded that the initial order </w:t>
      </w:r>
      <w:r w:rsidR="009D65D3">
        <w:rPr>
          <w:rFonts w:ascii="Century Schoolbook" w:hAnsi="Century Schoolbook"/>
        </w:rPr>
        <w:t>there</w:t>
      </w:r>
      <w:r w:rsidR="0035765C">
        <w:rPr>
          <w:rFonts w:ascii="Century Schoolbook" w:hAnsi="Century Schoolbook"/>
        </w:rPr>
        <w:t xml:space="preserve"> </w:t>
      </w:r>
      <w:r w:rsidR="00116EB6">
        <w:rPr>
          <w:rFonts w:ascii="Century Schoolbook" w:hAnsi="Century Schoolbook"/>
        </w:rPr>
        <w:t xml:space="preserve">was a final judgment </w:t>
      </w:r>
      <w:r w:rsidR="0035765C">
        <w:rPr>
          <w:rFonts w:ascii="Century Schoolbook" w:hAnsi="Century Schoolbook"/>
        </w:rPr>
        <w:t>subject to appeal regardless of its title or form and notwithstanding entry of a later “judgment,” because the order effectively denied the mandate petition in its entirety and did not contemplate any further action in the case. (</w:t>
      </w:r>
      <w:r w:rsidR="0035765C" w:rsidRPr="00382318">
        <w:rPr>
          <w:rFonts w:ascii="Century Schoolbook" w:hAnsi="Century Schoolbook"/>
          <w:i/>
          <w:iCs/>
        </w:rPr>
        <w:t>Meinhardt</w:t>
      </w:r>
      <w:r w:rsidR="0035765C">
        <w:rPr>
          <w:rFonts w:ascii="Century Schoolbook" w:hAnsi="Century Schoolbook"/>
        </w:rPr>
        <w:t xml:space="preserve">, </w:t>
      </w:r>
      <w:r w:rsidR="009F5793">
        <w:rPr>
          <w:rFonts w:ascii="Century Schoolbook" w:hAnsi="Century Schoolbook"/>
        </w:rPr>
        <w:t xml:space="preserve">76 Cal.App.5th </w:t>
      </w:r>
      <w:r w:rsidR="0035765C">
        <w:rPr>
          <w:rFonts w:ascii="Century Schoolbook" w:hAnsi="Century Schoolbook"/>
        </w:rPr>
        <w:t>at p. 63</w:t>
      </w:r>
      <w:r w:rsidR="0035301B">
        <w:rPr>
          <w:rFonts w:ascii="Century Schoolbook" w:hAnsi="Century Schoolbook"/>
        </w:rPr>
        <w:t xml:space="preserve">; see also </w:t>
      </w:r>
      <w:r w:rsidR="00E21B1D" w:rsidRPr="00E21B1D">
        <w:rPr>
          <w:rFonts w:ascii="Century Schoolbook" w:hAnsi="Century Schoolbook"/>
          <w:i/>
          <w:iCs/>
        </w:rPr>
        <w:t>Public Defenders’ Organization v. County of Riverside</w:t>
      </w:r>
      <w:r w:rsidR="00E21B1D">
        <w:rPr>
          <w:rFonts w:ascii="Century Schoolbook" w:hAnsi="Century Schoolbook"/>
        </w:rPr>
        <w:t xml:space="preserve"> (2003) 106 Cal.App.4th 1403, 1409; </w:t>
      </w:r>
      <w:r w:rsidRPr="00B646AE">
        <w:rPr>
          <w:rFonts w:ascii="Century Schoolbook" w:hAnsi="Century Schoolbook"/>
          <w:i/>
          <w:iCs/>
        </w:rPr>
        <w:t>City of Calexico v. Bergeson</w:t>
      </w:r>
      <w:r>
        <w:rPr>
          <w:rFonts w:ascii="Century Schoolbook" w:hAnsi="Century Schoolbook"/>
        </w:rPr>
        <w:t xml:space="preserve"> (2021) 64 Cal.App.5th 180, 190 [order denying mandate petition dispos</w:t>
      </w:r>
      <w:r w:rsidR="0006454F">
        <w:rPr>
          <w:rFonts w:ascii="Century Schoolbook" w:hAnsi="Century Schoolbook"/>
        </w:rPr>
        <w:t>ing</w:t>
      </w:r>
      <w:r>
        <w:rPr>
          <w:rFonts w:ascii="Century Schoolbook" w:hAnsi="Century Schoolbook"/>
        </w:rPr>
        <w:t xml:space="preserve"> of all claims between the parties is an immediately appealable final judgment]; </w:t>
      </w:r>
      <w:proofErr w:type="spellStart"/>
      <w:r w:rsidRPr="00B646AE">
        <w:rPr>
          <w:rFonts w:ascii="Century Schoolbook" w:hAnsi="Century Schoolbook"/>
          <w:i/>
          <w:iCs/>
        </w:rPr>
        <w:t>Laraway</w:t>
      </w:r>
      <w:proofErr w:type="spellEnd"/>
      <w:r w:rsidRPr="00B646AE">
        <w:rPr>
          <w:rFonts w:ascii="Century Schoolbook" w:hAnsi="Century Schoolbook"/>
          <w:i/>
          <w:iCs/>
        </w:rPr>
        <w:t xml:space="preserve"> v. Pasadena Unified School Dist.</w:t>
      </w:r>
      <w:r>
        <w:rPr>
          <w:rFonts w:ascii="Century Schoolbook" w:hAnsi="Century Schoolbook"/>
        </w:rPr>
        <w:t xml:space="preserve"> (2002) 98 Cal.App.4th 579, 583 [same]; </w:t>
      </w:r>
      <w:r w:rsidRPr="00B646AE">
        <w:rPr>
          <w:rFonts w:ascii="Century Schoolbook" w:hAnsi="Century Schoolbook"/>
          <w:i/>
          <w:iCs/>
        </w:rPr>
        <w:t>Valero Refining Co.-California v. California Bay Area Quality Management Dist. Hearing Bd.</w:t>
      </w:r>
      <w:r>
        <w:rPr>
          <w:rFonts w:ascii="Century Schoolbook" w:hAnsi="Century Schoolbook"/>
        </w:rPr>
        <w:t xml:space="preserve"> (2020) 49 Cal.App.5th 618, 633, fn. 10 [“the appealable judgment was the court’s order granting writ of mandate, not a ‘judgment’ it subsequently entered”]</w:t>
      </w:r>
      <w:r w:rsidR="0035765C">
        <w:rPr>
          <w:rFonts w:ascii="Century Schoolbook" w:hAnsi="Century Schoolbook"/>
        </w:rPr>
        <w:t xml:space="preserve">.) </w:t>
      </w:r>
    </w:p>
    <w:p w14:paraId="3C60EAC2" w14:textId="432AEF54" w:rsidR="00382318" w:rsidRDefault="0006454F" w:rsidP="000D3B0F">
      <w:pPr>
        <w:rPr>
          <w:rFonts w:ascii="Century Schoolbook" w:hAnsi="Century Schoolbook"/>
        </w:rPr>
      </w:pPr>
      <w:r>
        <w:rPr>
          <w:rFonts w:ascii="Century Schoolbook" w:hAnsi="Century Schoolbook"/>
        </w:rPr>
        <w:tab/>
      </w:r>
      <w:r w:rsidR="00B646AE">
        <w:rPr>
          <w:rFonts w:ascii="Century Schoolbook" w:hAnsi="Century Schoolbook"/>
        </w:rPr>
        <w:t xml:space="preserve">The </w:t>
      </w:r>
      <w:r w:rsidR="00E21B1D">
        <w:rPr>
          <w:rFonts w:ascii="Century Schoolbook" w:hAnsi="Century Schoolbook"/>
        </w:rPr>
        <w:t xml:space="preserve">denial </w:t>
      </w:r>
      <w:r w:rsidR="00B646AE">
        <w:rPr>
          <w:rFonts w:ascii="Century Schoolbook" w:hAnsi="Century Schoolbook"/>
        </w:rPr>
        <w:t xml:space="preserve">order in </w:t>
      </w:r>
      <w:r w:rsidR="00B646AE" w:rsidRPr="00B646AE">
        <w:rPr>
          <w:rFonts w:ascii="Century Schoolbook" w:hAnsi="Century Schoolbook"/>
          <w:i/>
          <w:iCs/>
        </w:rPr>
        <w:t>Meinhardt</w:t>
      </w:r>
      <w:r w:rsidR="0035765C">
        <w:rPr>
          <w:rFonts w:ascii="Century Schoolbook" w:hAnsi="Century Schoolbook"/>
        </w:rPr>
        <w:t xml:space="preserve"> disposed of all issues between the parties and did not </w:t>
      </w:r>
      <w:r w:rsidR="00382318">
        <w:rPr>
          <w:rFonts w:ascii="Century Schoolbook" w:hAnsi="Century Schoolbook"/>
        </w:rPr>
        <w:t>address</w:t>
      </w:r>
      <w:r w:rsidR="0035765C">
        <w:rPr>
          <w:rFonts w:ascii="Century Schoolbook" w:hAnsi="Century Schoolbook"/>
        </w:rPr>
        <w:t xml:space="preserve"> further action, including the preparation of another order or judgment; it was therefore treated as a final and appealable judgment and the period to appeal was not restarted by the later entry of a document styled a </w:t>
      </w:r>
      <w:r w:rsidR="0035765C">
        <w:rPr>
          <w:rFonts w:ascii="Century Schoolbook" w:hAnsi="Century Schoolbook"/>
        </w:rPr>
        <w:lastRenderedPageBreak/>
        <w:t>“judgment”</w:t>
      </w:r>
      <w:r w:rsidR="00382318">
        <w:rPr>
          <w:rFonts w:ascii="Century Schoolbook" w:hAnsi="Century Schoolbook"/>
        </w:rPr>
        <w:t xml:space="preserve"> that simply re</w:t>
      </w:r>
      <w:r w:rsidR="009F5793">
        <w:rPr>
          <w:rFonts w:ascii="Century Schoolbook" w:hAnsi="Century Schoolbook"/>
        </w:rPr>
        <w:t>iterated the rulings in</w:t>
      </w:r>
      <w:r w:rsidR="00382318">
        <w:rPr>
          <w:rFonts w:ascii="Century Schoolbook" w:hAnsi="Century Schoolbook"/>
        </w:rPr>
        <w:t xml:space="preserve"> the prior order.</w:t>
      </w:r>
      <w:r w:rsidR="0035765C">
        <w:rPr>
          <w:rFonts w:ascii="Century Schoolbook" w:hAnsi="Century Schoolbook"/>
        </w:rPr>
        <w:t xml:space="preserve"> (</w:t>
      </w:r>
      <w:r w:rsidR="009F5793">
        <w:rPr>
          <w:rFonts w:ascii="Century Schoolbook" w:hAnsi="Century Schoolbook"/>
          <w:i/>
          <w:iCs/>
        </w:rPr>
        <w:t xml:space="preserve">Meinhardt, supra, </w:t>
      </w:r>
      <w:r w:rsidR="009F5793" w:rsidRPr="009F5793">
        <w:rPr>
          <w:rFonts w:ascii="Century Schoolbook" w:hAnsi="Century Schoolbook"/>
        </w:rPr>
        <w:t>76 Cal.App.</w:t>
      </w:r>
      <w:r w:rsidR="009F5793">
        <w:rPr>
          <w:rFonts w:ascii="Century Schoolbook" w:hAnsi="Century Schoolbook"/>
        </w:rPr>
        <w:t>5</w:t>
      </w:r>
      <w:r w:rsidR="009F5793" w:rsidRPr="009F5793">
        <w:rPr>
          <w:rFonts w:ascii="Century Schoolbook" w:hAnsi="Century Schoolbook"/>
        </w:rPr>
        <w:t>th at p. 63</w:t>
      </w:r>
      <w:r w:rsidR="006D0115">
        <w:rPr>
          <w:rFonts w:ascii="Century Schoolbook" w:hAnsi="Century Schoolbook"/>
        </w:rPr>
        <w:t>, review granted</w:t>
      </w:r>
      <w:r w:rsidR="00382318">
        <w:rPr>
          <w:rFonts w:ascii="Century Schoolbook" w:hAnsi="Century Schoolbook"/>
        </w:rPr>
        <w:t xml:space="preserve">; </w:t>
      </w:r>
      <w:r w:rsidR="00382318" w:rsidRPr="00382318">
        <w:rPr>
          <w:rFonts w:ascii="Century Schoolbook" w:hAnsi="Century Schoolbook"/>
          <w:i/>
          <w:iCs/>
        </w:rPr>
        <w:t>Dhillon, supra</w:t>
      </w:r>
      <w:r w:rsidR="00382318">
        <w:rPr>
          <w:rFonts w:ascii="Century Schoolbook" w:hAnsi="Century Schoolbook"/>
        </w:rPr>
        <w:t>, 2 Cal.5th at p.</w:t>
      </w:r>
      <w:r w:rsidR="00FF5538">
        <w:rPr>
          <w:rFonts w:ascii="Century Schoolbook" w:hAnsi="Century Schoolbook"/>
        </w:rPr>
        <w:t> </w:t>
      </w:r>
      <w:r w:rsidR="00382318">
        <w:rPr>
          <w:rFonts w:ascii="Century Schoolbook" w:hAnsi="Century Schoolbook"/>
        </w:rPr>
        <w:t>1115 [order granting or denying petition for writ of mandate in its entirety, when such order contemplates no further action in the case, concludes the special proceeding of a civil nature].</w:t>
      </w:r>
      <w:r w:rsidR="0035765C">
        <w:rPr>
          <w:rFonts w:ascii="Century Schoolbook" w:hAnsi="Century Schoolbook"/>
        </w:rPr>
        <w:t>)</w:t>
      </w:r>
      <w:r w:rsidR="001471DD">
        <w:rPr>
          <w:rFonts w:ascii="Century Schoolbook" w:hAnsi="Century Schoolbook"/>
        </w:rPr>
        <w:t xml:space="preserve"> As stated in </w:t>
      </w:r>
      <w:r w:rsidR="001471DD" w:rsidRPr="000945D7">
        <w:rPr>
          <w:rFonts w:ascii="Century Schoolbook" w:hAnsi="Century Schoolbook"/>
          <w:i/>
          <w:iCs/>
        </w:rPr>
        <w:t xml:space="preserve">Natomas Unified School District </w:t>
      </w:r>
      <w:r w:rsidR="001471DD">
        <w:rPr>
          <w:rFonts w:ascii="Century Schoolbook" w:hAnsi="Century Schoolbook"/>
        </w:rPr>
        <w:t>(2022) 86 Cal.App.5th 1013, 1027 (</w:t>
      </w:r>
      <w:r w:rsidR="001471DD" w:rsidRPr="00605EA2">
        <w:rPr>
          <w:rFonts w:ascii="Century Schoolbook" w:hAnsi="Century Schoolbook"/>
          <w:i/>
          <w:iCs/>
        </w:rPr>
        <w:t>Natomas</w:t>
      </w:r>
      <w:r w:rsidR="001471DD">
        <w:rPr>
          <w:rFonts w:ascii="Century Schoolbook" w:hAnsi="Century Schoolbook"/>
        </w:rPr>
        <w:t xml:space="preserve">), what the Supreme Court precisely said in </w:t>
      </w:r>
      <w:r w:rsidR="001471DD" w:rsidRPr="001471DD">
        <w:rPr>
          <w:rFonts w:ascii="Century Schoolbook" w:hAnsi="Century Schoolbook"/>
          <w:i/>
          <w:iCs/>
        </w:rPr>
        <w:t>Dhillon</w:t>
      </w:r>
      <w:r w:rsidR="001471DD">
        <w:rPr>
          <w:rFonts w:ascii="Century Schoolbook" w:hAnsi="Century Schoolbook"/>
          <w:i/>
          <w:iCs/>
        </w:rPr>
        <w:t xml:space="preserve"> </w:t>
      </w:r>
      <w:r w:rsidR="001471DD" w:rsidRPr="001471DD">
        <w:rPr>
          <w:rFonts w:ascii="Century Schoolbook" w:hAnsi="Century Schoolbook"/>
        </w:rPr>
        <w:t>(2 Cal.5th at pp. 1113</w:t>
      </w:r>
      <w:r w:rsidR="00CB0663">
        <w:rPr>
          <w:rFonts w:ascii="Century Schoolbook" w:hAnsi="Century Schoolbook"/>
        </w:rPr>
        <w:t>–</w:t>
      </w:r>
      <w:r w:rsidR="001471DD" w:rsidRPr="001471DD">
        <w:rPr>
          <w:rFonts w:ascii="Century Schoolbook" w:hAnsi="Century Schoolbook"/>
        </w:rPr>
        <w:t>1114,</w:t>
      </w:r>
      <w:r w:rsidR="001471DD">
        <w:rPr>
          <w:rFonts w:ascii="Century Schoolbook" w:hAnsi="Century Schoolbook"/>
          <w:i/>
          <w:iCs/>
        </w:rPr>
        <w:t xml:space="preserve"> </w:t>
      </w:r>
      <w:r w:rsidR="001471DD" w:rsidRPr="001471DD">
        <w:rPr>
          <w:rFonts w:ascii="Century Schoolbook" w:hAnsi="Century Schoolbook"/>
        </w:rPr>
        <w:t>with italics added)</w:t>
      </w:r>
      <w:r w:rsidR="001471DD">
        <w:rPr>
          <w:rFonts w:ascii="Century Schoolbook" w:hAnsi="Century Schoolbook"/>
        </w:rPr>
        <w:t xml:space="preserve"> was that a “ ‘trial court’s judgment granting administrative mandamus, </w:t>
      </w:r>
      <w:r w:rsidR="001471DD" w:rsidRPr="001471DD">
        <w:rPr>
          <w:rFonts w:ascii="Century Schoolbook" w:hAnsi="Century Schoolbook"/>
          <w:i/>
          <w:iCs/>
        </w:rPr>
        <w:t>and ordering the substantive relief sought by the petitioner</w:t>
      </w:r>
      <w:r w:rsidR="001471DD">
        <w:rPr>
          <w:rFonts w:ascii="Century Schoolbook" w:hAnsi="Century Schoolbook"/>
        </w:rPr>
        <w:t xml:space="preserve">, is a final judgment.’ ” </w:t>
      </w:r>
    </w:p>
    <w:p w14:paraId="652E05EB" w14:textId="23014C65" w:rsidR="000736FD" w:rsidRDefault="00382318" w:rsidP="000D3B0F">
      <w:pPr>
        <w:rPr>
          <w:rFonts w:ascii="Century Schoolbook" w:hAnsi="Century Schoolbook"/>
        </w:rPr>
      </w:pPr>
      <w:r>
        <w:rPr>
          <w:rFonts w:ascii="Century Schoolbook" w:hAnsi="Century Schoolbook"/>
        </w:rPr>
        <w:tab/>
        <w:t>Applying the</w:t>
      </w:r>
      <w:r w:rsidR="001471DD">
        <w:rPr>
          <w:rFonts w:ascii="Century Schoolbook" w:hAnsi="Century Schoolbook"/>
        </w:rPr>
        <w:t>se</w:t>
      </w:r>
      <w:r w:rsidR="0035301B">
        <w:rPr>
          <w:rFonts w:ascii="Century Schoolbook" w:hAnsi="Century Schoolbook"/>
        </w:rPr>
        <w:t xml:space="preserve"> </w:t>
      </w:r>
      <w:r w:rsidR="009F5793">
        <w:rPr>
          <w:rFonts w:ascii="Century Schoolbook" w:hAnsi="Century Schoolbook"/>
        </w:rPr>
        <w:t>principles</w:t>
      </w:r>
      <w:r w:rsidR="0035301B">
        <w:rPr>
          <w:rFonts w:ascii="Century Schoolbook" w:hAnsi="Century Schoolbook"/>
        </w:rPr>
        <w:t xml:space="preserve"> here</w:t>
      </w:r>
      <w:r w:rsidR="00887672">
        <w:rPr>
          <w:rFonts w:ascii="Century Schoolbook" w:hAnsi="Century Schoolbook"/>
        </w:rPr>
        <w:t xml:space="preserve"> to confirm our appellate jurisdiction</w:t>
      </w:r>
      <w:r w:rsidR="0035301B">
        <w:rPr>
          <w:rFonts w:ascii="Century Schoolbook" w:hAnsi="Century Schoolbook"/>
        </w:rPr>
        <w:t>,</w:t>
      </w:r>
      <w:r w:rsidR="009F5793">
        <w:rPr>
          <w:rFonts w:ascii="Century Schoolbook" w:hAnsi="Century Schoolbook"/>
        </w:rPr>
        <w:t xml:space="preserve"> we conclude that </w:t>
      </w:r>
      <w:r w:rsidR="00C35286">
        <w:rPr>
          <w:rFonts w:ascii="Century Schoolbook" w:hAnsi="Century Schoolbook"/>
        </w:rPr>
        <w:t>the trial court’s order ruling on the merits of the petition in June</w:t>
      </w:r>
      <w:r w:rsidR="00FF5538">
        <w:rPr>
          <w:rFonts w:ascii="Century Schoolbook" w:hAnsi="Century Schoolbook"/>
        </w:rPr>
        <w:t> </w:t>
      </w:r>
      <w:r w:rsidR="00C35286">
        <w:rPr>
          <w:rFonts w:ascii="Century Schoolbook" w:hAnsi="Century Schoolbook"/>
        </w:rPr>
        <w:t xml:space="preserve">2021 was not the appealable </w:t>
      </w:r>
      <w:r w:rsidR="00440B85">
        <w:rPr>
          <w:rFonts w:ascii="Century Schoolbook" w:hAnsi="Century Schoolbook"/>
        </w:rPr>
        <w:t>determination</w:t>
      </w:r>
      <w:r w:rsidR="00C35286">
        <w:rPr>
          <w:rFonts w:ascii="Century Schoolbook" w:hAnsi="Century Schoolbook"/>
        </w:rPr>
        <w:t xml:space="preserve">, and that the </w:t>
      </w:r>
      <w:r w:rsidR="00897D67">
        <w:rPr>
          <w:rFonts w:ascii="Century Schoolbook" w:hAnsi="Century Schoolbook"/>
        </w:rPr>
        <w:t xml:space="preserve">real parties’ </w:t>
      </w:r>
      <w:r w:rsidR="00C35286">
        <w:rPr>
          <w:rFonts w:ascii="Century Schoolbook" w:hAnsi="Century Schoolbook"/>
        </w:rPr>
        <w:t xml:space="preserve">notice of appeal from the later judgment was timely filed. First, the </w:t>
      </w:r>
      <w:r w:rsidR="000D6D0C">
        <w:rPr>
          <w:rFonts w:ascii="Century Schoolbook" w:hAnsi="Century Schoolbook"/>
        </w:rPr>
        <w:t xml:space="preserve">earlier merits </w:t>
      </w:r>
      <w:r w:rsidR="00C35286">
        <w:rPr>
          <w:rFonts w:ascii="Century Schoolbook" w:hAnsi="Century Schoolbook"/>
        </w:rPr>
        <w:t>order itself contemplates</w:t>
      </w:r>
      <w:r w:rsidR="00897D67">
        <w:rPr>
          <w:rFonts w:ascii="Century Schoolbook" w:hAnsi="Century Schoolbook"/>
        </w:rPr>
        <w:t xml:space="preserve"> and directs</w:t>
      </w:r>
      <w:r w:rsidR="00C35286">
        <w:rPr>
          <w:rFonts w:ascii="Century Schoolbook" w:hAnsi="Century Schoolbook"/>
        </w:rPr>
        <w:t xml:space="preserve"> the later preparation of a judgment</w:t>
      </w:r>
      <w:r w:rsidR="00897D67">
        <w:rPr>
          <w:rFonts w:ascii="Century Schoolbook" w:hAnsi="Century Schoolbook"/>
        </w:rPr>
        <w:t xml:space="preserve"> and a separate writ document</w:t>
      </w:r>
      <w:r w:rsidR="00C35286">
        <w:rPr>
          <w:rFonts w:ascii="Century Schoolbook" w:hAnsi="Century Schoolbook"/>
        </w:rPr>
        <w:t xml:space="preserve">. But more than that, and as real parties point out, in the merits order, the trial court did not articulate </w:t>
      </w:r>
      <w:r w:rsidR="0006454F">
        <w:rPr>
          <w:rFonts w:ascii="Century Schoolbook" w:hAnsi="Century Schoolbook"/>
        </w:rPr>
        <w:t>the</w:t>
      </w:r>
      <w:r w:rsidR="00C35286">
        <w:rPr>
          <w:rFonts w:ascii="Century Schoolbook" w:hAnsi="Century Schoolbook"/>
        </w:rPr>
        <w:t xml:space="preserve"> </w:t>
      </w:r>
      <w:r w:rsidR="0006454F">
        <w:rPr>
          <w:rFonts w:ascii="Century Schoolbook" w:hAnsi="Century Schoolbook"/>
        </w:rPr>
        <w:t xml:space="preserve">specific and narrow </w:t>
      </w:r>
      <w:r w:rsidR="00C35286">
        <w:rPr>
          <w:rFonts w:ascii="Century Schoolbook" w:hAnsi="Century Schoolbook"/>
        </w:rPr>
        <w:t xml:space="preserve">statutory CEQA remedies it would direct </w:t>
      </w:r>
      <w:r w:rsidR="00CB0663">
        <w:rPr>
          <w:rFonts w:ascii="Century Schoolbook" w:hAnsi="Century Schoolbook"/>
        </w:rPr>
        <w:t>as a consequence of</w:t>
      </w:r>
      <w:r w:rsidR="00C35286">
        <w:rPr>
          <w:rFonts w:ascii="Century Schoolbook" w:hAnsi="Century Schoolbook"/>
        </w:rPr>
        <w:t xml:space="preserve"> its rulings granting the mandate petition</w:t>
      </w:r>
      <w:r w:rsidR="00897D67">
        <w:rPr>
          <w:rFonts w:ascii="Century Schoolbook" w:hAnsi="Century Schoolbook"/>
        </w:rPr>
        <w:t xml:space="preserve">, and the court </w:t>
      </w:r>
      <w:r w:rsidR="0006454F">
        <w:rPr>
          <w:rFonts w:ascii="Century Schoolbook" w:hAnsi="Century Schoolbook"/>
        </w:rPr>
        <w:t xml:space="preserve">noticed and </w:t>
      </w:r>
      <w:r w:rsidR="00897D67">
        <w:rPr>
          <w:rFonts w:ascii="Century Schoolbook" w:hAnsi="Century Schoolbook"/>
        </w:rPr>
        <w:t xml:space="preserve">held a hearing </w:t>
      </w:r>
      <w:r w:rsidR="00434069">
        <w:rPr>
          <w:rFonts w:ascii="Century Schoolbook" w:hAnsi="Century Schoolbook"/>
        </w:rPr>
        <w:t xml:space="preserve">before judgment was entered to </w:t>
      </w:r>
      <w:r w:rsidR="000D6D0C">
        <w:rPr>
          <w:rFonts w:ascii="Century Schoolbook" w:hAnsi="Century Schoolbook"/>
        </w:rPr>
        <w:t xml:space="preserve">clarify and </w:t>
      </w:r>
      <w:r w:rsidR="00434069">
        <w:rPr>
          <w:rFonts w:ascii="Century Schoolbook" w:hAnsi="Century Schoolbook"/>
        </w:rPr>
        <w:t xml:space="preserve">address </w:t>
      </w:r>
      <w:r w:rsidR="00440B85">
        <w:rPr>
          <w:rFonts w:ascii="Century Schoolbook" w:hAnsi="Century Schoolbook"/>
        </w:rPr>
        <w:t xml:space="preserve">the </w:t>
      </w:r>
      <w:r w:rsidR="0006454F">
        <w:rPr>
          <w:rFonts w:ascii="Century Schoolbook" w:hAnsi="Century Schoolbook"/>
        </w:rPr>
        <w:t xml:space="preserve">specific </w:t>
      </w:r>
      <w:r w:rsidR="00434069">
        <w:rPr>
          <w:rFonts w:ascii="Century Schoolbook" w:hAnsi="Century Schoolbook"/>
        </w:rPr>
        <w:t>remedies</w:t>
      </w:r>
      <w:r w:rsidR="00440B85">
        <w:rPr>
          <w:rFonts w:ascii="Century Schoolbook" w:hAnsi="Century Schoolbook"/>
        </w:rPr>
        <w:t xml:space="preserve"> to be included in the judgment</w:t>
      </w:r>
      <w:r w:rsidR="00897D67">
        <w:rPr>
          <w:rFonts w:ascii="Century Schoolbook" w:hAnsi="Century Schoolbook"/>
        </w:rPr>
        <w:t xml:space="preserve">. </w:t>
      </w:r>
      <w:r w:rsidR="00221A61">
        <w:rPr>
          <w:rFonts w:ascii="Century Schoolbook" w:hAnsi="Century Schoolbook"/>
        </w:rPr>
        <w:t xml:space="preserve">Thus, the prior order did not finally determine the rights of the parties by specifying the </w:t>
      </w:r>
      <w:r w:rsidR="0006454F">
        <w:rPr>
          <w:rFonts w:ascii="Century Schoolbook" w:hAnsi="Century Schoolbook"/>
        </w:rPr>
        <w:t>statutory</w:t>
      </w:r>
      <w:r w:rsidR="00221A61">
        <w:rPr>
          <w:rFonts w:ascii="Century Schoolbook" w:hAnsi="Century Schoolbook"/>
        </w:rPr>
        <w:t xml:space="preserve"> relief the Districts would receive, </w:t>
      </w:r>
      <w:r w:rsidR="000945D7">
        <w:rPr>
          <w:rFonts w:ascii="Century Schoolbook" w:hAnsi="Century Schoolbook"/>
        </w:rPr>
        <w:t xml:space="preserve">which led to disputes over the appropriate terms of the judgment and writ that were resolved by </w:t>
      </w:r>
      <w:r w:rsidR="0006454F">
        <w:rPr>
          <w:rFonts w:ascii="Century Schoolbook" w:hAnsi="Century Schoolbook"/>
        </w:rPr>
        <w:t>the court at</w:t>
      </w:r>
      <w:r w:rsidR="000945D7">
        <w:rPr>
          <w:rFonts w:ascii="Century Schoolbook" w:hAnsi="Century Schoolbook"/>
        </w:rPr>
        <w:t xml:space="preserve"> later hearing.</w:t>
      </w:r>
      <w:r w:rsidR="00221A61">
        <w:rPr>
          <w:rFonts w:ascii="Century Schoolbook" w:hAnsi="Century Schoolbook"/>
        </w:rPr>
        <w:t xml:space="preserve"> </w:t>
      </w:r>
      <w:r w:rsidR="000945D7">
        <w:rPr>
          <w:rFonts w:ascii="Century Schoolbook" w:hAnsi="Century Schoolbook"/>
        </w:rPr>
        <w:t xml:space="preserve">(See </w:t>
      </w:r>
      <w:r w:rsidR="000945D7" w:rsidRPr="000945D7">
        <w:rPr>
          <w:rFonts w:ascii="Century Schoolbook" w:hAnsi="Century Schoolbook"/>
          <w:i/>
          <w:iCs/>
        </w:rPr>
        <w:t>Natomas</w:t>
      </w:r>
      <w:r w:rsidR="001471DD">
        <w:rPr>
          <w:rFonts w:ascii="Century Schoolbook" w:hAnsi="Century Schoolbook"/>
          <w:i/>
          <w:iCs/>
        </w:rPr>
        <w:t>, supra,</w:t>
      </w:r>
      <w:r w:rsidR="000945D7" w:rsidRPr="000945D7">
        <w:rPr>
          <w:rFonts w:ascii="Century Schoolbook" w:hAnsi="Century Schoolbook"/>
          <w:i/>
          <w:iCs/>
        </w:rPr>
        <w:t xml:space="preserve"> </w:t>
      </w:r>
      <w:r w:rsidR="000945D7">
        <w:rPr>
          <w:rFonts w:ascii="Century Schoolbook" w:hAnsi="Century Schoolbook"/>
        </w:rPr>
        <w:t xml:space="preserve">86 Cal.App.5th </w:t>
      </w:r>
      <w:r w:rsidR="001471DD">
        <w:rPr>
          <w:rFonts w:ascii="Century Schoolbook" w:hAnsi="Century Schoolbook"/>
        </w:rPr>
        <w:t xml:space="preserve">at pp. </w:t>
      </w:r>
      <w:r w:rsidR="000945D7">
        <w:rPr>
          <w:rFonts w:ascii="Century Schoolbook" w:hAnsi="Century Schoolbook"/>
        </w:rPr>
        <w:t>1026–1027</w:t>
      </w:r>
      <w:r w:rsidR="00605EA2">
        <w:rPr>
          <w:rFonts w:ascii="Century Schoolbook" w:hAnsi="Century Schoolbook"/>
        </w:rPr>
        <w:t xml:space="preserve"> </w:t>
      </w:r>
      <w:r w:rsidR="00E21B1D">
        <w:rPr>
          <w:rFonts w:ascii="Century Schoolbook" w:hAnsi="Century Schoolbook"/>
        </w:rPr>
        <w:t>[post-order disputes about terms of judgment that required a hearing on scope and terms of relief to be granted support appealability of later judgment]</w:t>
      </w:r>
      <w:r w:rsidR="000945D7">
        <w:rPr>
          <w:rFonts w:ascii="Century Schoolbook" w:hAnsi="Century Schoolbook"/>
        </w:rPr>
        <w:t>.) And w</w:t>
      </w:r>
      <w:r w:rsidR="00434069">
        <w:rPr>
          <w:rFonts w:ascii="Century Schoolbook" w:hAnsi="Century Schoolbook"/>
        </w:rPr>
        <w:t xml:space="preserve">hile the judgment </w:t>
      </w:r>
      <w:r w:rsidR="0006454F">
        <w:rPr>
          <w:rFonts w:ascii="Century Schoolbook" w:hAnsi="Century Schoolbook"/>
        </w:rPr>
        <w:t xml:space="preserve">here </w:t>
      </w:r>
      <w:r w:rsidR="000945D7">
        <w:rPr>
          <w:rFonts w:ascii="Century Schoolbook" w:hAnsi="Century Schoolbook"/>
        </w:rPr>
        <w:t xml:space="preserve">simply </w:t>
      </w:r>
      <w:r w:rsidR="00434069">
        <w:rPr>
          <w:rFonts w:ascii="Century Schoolbook" w:hAnsi="Century Schoolbook"/>
        </w:rPr>
        <w:t xml:space="preserve">restates the prior order’s </w:t>
      </w:r>
      <w:r w:rsidR="00887672">
        <w:rPr>
          <w:rFonts w:ascii="Century Schoolbook" w:hAnsi="Century Schoolbook"/>
        </w:rPr>
        <w:t>merits</w:t>
      </w:r>
      <w:r w:rsidR="00434069">
        <w:rPr>
          <w:rFonts w:ascii="Century Schoolbook" w:hAnsi="Century Schoolbook"/>
        </w:rPr>
        <w:t xml:space="preserve"> rulings on the various causes of action, it substantively </w:t>
      </w:r>
      <w:r w:rsidR="00434069">
        <w:rPr>
          <w:rFonts w:ascii="Century Schoolbook" w:hAnsi="Century Schoolbook"/>
        </w:rPr>
        <w:lastRenderedPageBreak/>
        <w:t>does more</w:t>
      </w:r>
      <w:r w:rsidR="0006454F">
        <w:rPr>
          <w:rFonts w:ascii="Century Schoolbook" w:hAnsi="Century Schoolbook"/>
        </w:rPr>
        <w:t xml:space="preserve"> in its specification of </w:t>
      </w:r>
      <w:r w:rsidR="00CB0663">
        <w:rPr>
          <w:rFonts w:ascii="Century Schoolbook" w:hAnsi="Century Schoolbook"/>
        </w:rPr>
        <w:t xml:space="preserve">specific </w:t>
      </w:r>
      <w:r w:rsidR="0006454F">
        <w:rPr>
          <w:rFonts w:ascii="Century Schoolbook" w:hAnsi="Century Schoolbook"/>
        </w:rPr>
        <w:t>statutory CEQA remedies</w:t>
      </w:r>
      <w:r w:rsidR="00434069">
        <w:rPr>
          <w:rFonts w:ascii="Century Schoolbook" w:hAnsi="Century Schoolbook"/>
        </w:rPr>
        <w:t xml:space="preserve">. </w:t>
      </w:r>
      <w:r w:rsidR="000945D7">
        <w:rPr>
          <w:rFonts w:ascii="Century Schoolbook" w:hAnsi="Century Schoolbook"/>
        </w:rPr>
        <w:t>Further,</w:t>
      </w:r>
      <w:r w:rsidR="00434069">
        <w:rPr>
          <w:rFonts w:ascii="Century Schoolbook" w:hAnsi="Century Schoolbook"/>
        </w:rPr>
        <w:t xml:space="preserve"> </w:t>
      </w:r>
      <w:r w:rsidR="000D6D0C">
        <w:rPr>
          <w:rFonts w:ascii="Century Schoolbook" w:hAnsi="Century Schoolbook"/>
        </w:rPr>
        <w:t>although</w:t>
      </w:r>
      <w:r w:rsidR="00434069">
        <w:rPr>
          <w:rFonts w:ascii="Century Schoolbook" w:hAnsi="Century Schoolbook"/>
        </w:rPr>
        <w:t xml:space="preserve"> the separate order entered between the merits order and the judgment “stay</w:t>
      </w:r>
      <w:r w:rsidR="000945D7">
        <w:rPr>
          <w:rFonts w:ascii="Century Schoolbook" w:hAnsi="Century Schoolbook"/>
        </w:rPr>
        <w:t>ing</w:t>
      </w:r>
      <w:r w:rsidR="00434069">
        <w:rPr>
          <w:rFonts w:ascii="Century Schoolbook" w:hAnsi="Century Schoolbook"/>
        </w:rPr>
        <w:t xml:space="preserve">” the entry of judgment could not have affected the appealability of the merits order had that order effectively been the final judgment, and </w:t>
      </w:r>
      <w:r w:rsidR="00005E9C">
        <w:rPr>
          <w:rFonts w:ascii="Century Schoolbook" w:hAnsi="Century Schoolbook"/>
        </w:rPr>
        <w:t xml:space="preserve">further </w:t>
      </w:r>
      <w:r w:rsidR="00434069">
        <w:rPr>
          <w:rFonts w:ascii="Century Schoolbook" w:hAnsi="Century Schoolbook"/>
        </w:rPr>
        <w:t>could not have extended the time for appeal, because</w:t>
      </w:r>
      <w:r w:rsidR="00005E9C">
        <w:rPr>
          <w:rFonts w:ascii="Century Schoolbook" w:hAnsi="Century Schoolbook"/>
        </w:rPr>
        <w:t xml:space="preserve"> the judgment entered in January 2022 is the court’s final and appealable determination, the terms of the </w:t>
      </w:r>
      <w:r w:rsidR="000736FD">
        <w:rPr>
          <w:rFonts w:ascii="Century Schoolbook" w:hAnsi="Century Schoolbook"/>
        </w:rPr>
        <w:t xml:space="preserve">interim </w:t>
      </w:r>
      <w:r w:rsidR="00005E9C">
        <w:rPr>
          <w:rFonts w:ascii="Century Schoolbook" w:hAnsi="Century Schoolbook"/>
        </w:rPr>
        <w:t xml:space="preserve">stay order are irrelevant to the </w:t>
      </w:r>
      <w:r w:rsidR="0006454F">
        <w:rPr>
          <w:rFonts w:ascii="Century Schoolbook" w:hAnsi="Century Schoolbook"/>
        </w:rPr>
        <w:t xml:space="preserve">timeliness of the </w:t>
      </w:r>
      <w:r w:rsidR="00005E9C">
        <w:rPr>
          <w:rFonts w:ascii="Century Schoolbook" w:hAnsi="Century Schoolbook"/>
        </w:rPr>
        <w:t xml:space="preserve">appeal. </w:t>
      </w:r>
    </w:p>
    <w:p w14:paraId="6FAC05BD" w14:textId="2CEDF783" w:rsidR="000D3B0F" w:rsidRPr="000D3B0F" w:rsidRDefault="000D6D0C" w:rsidP="000D3B0F">
      <w:pPr>
        <w:rPr>
          <w:rFonts w:ascii="Century Schoolbook" w:hAnsi="Century Schoolbook"/>
        </w:rPr>
      </w:pPr>
      <w:r>
        <w:rPr>
          <w:rFonts w:ascii="Century Schoolbook" w:hAnsi="Century Schoolbook"/>
        </w:rPr>
        <w:tab/>
        <w:t xml:space="preserve">We thus conclude that </w:t>
      </w:r>
      <w:r w:rsidR="00605EA2">
        <w:rPr>
          <w:rFonts w:ascii="Century Schoolbook" w:hAnsi="Century Schoolbook"/>
        </w:rPr>
        <w:t xml:space="preserve">here, unlike in </w:t>
      </w:r>
      <w:r w:rsidR="00605EA2" w:rsidRPr="00605EA2">
        <w:rPr>
          <w:rFonts w:ascii="Century Schoolbook" w:hAnsi="Century Schoolbook"/>
          <w:i/>
          <w:iCs/>
        </w:rPr>
        <w:t>Meinhardt</w:t>
      </w:r>
      <w:r w:rsidR="00605EA2">
        <w:rPr>
          <w:rFonts w:ascii="Century Schoolbook" w:hAnsi="Century Schoolbook"/>
        </w:rPr>
        <w:t xml:space="preserve">, it is </w:t>
      </w:r>
      <w:r>
        <w:rPr>
          <w:rFonts w:ascii="Century Schoolbook" w:hAnsi="Century Schoolbook"/>
        </w:rPr>
        <w:t xml:space="preserve">the </w:t>
      </w:r>
      <w:r w:rsidR="00605EA2">
        <w:rPr>
          <w:rFonts w:ascii="Century Schoolbook" w:hAnsi="Century Schoolbook"/>
        </w:rPr>
        <w:t xml:space="preserve">later </w:t>
      </w:r>
      <w:r>
        <w:rPr>
          <w:rFonts w:ascii="Century Schoolbook" w:hAnsi="Century Schoolbook"/>
        </w:rPr>
        <w:t xml:space="preserve">judgment </w:t>
      </w:r>
      <w:r w:rsidR="00605EA2">
        <w:rPr>
          <w:rFonts w:ascii="Century Schoolbook" w:hAnsi="Century Schoolbook"/>
        </w:rPr>
        <w:t>(</w:t>
      </w:r>
      <w:r>
        <w:rPr>
          <w:rFonts w:ascii="Century Schoolbook" w:hAnsi="Century Schoolbook"/>
        </w:rPr>
        <w:t>entered in January 2022</w:t>
      </w:r>
      <w:r w:rsidR="00605EA2">
        <w:rPr>
          <w:rFonts w:ascii="Century Schoolbook" w:hAnsi="Century Schoolbook"/>
        </w:rPr>
        <w:t>) and not the prior merits order</w:t>
      </w:r>
      <w:r w:rsidR="0006454F">
        <w:rPr>
          <w:rFonts w:ascii="Century Schoolbook" w:hAnsi="Century Schoolbook"/>
        </w:rPr>
        <w:t xml:space="preserve"> </w:t>
      </w:r>
      <w:r w:rsidR="00605EA2">
        <w:rPr>
          <w:rFonts w:ascii="Century Schoolbook" w:hAnsi="Century Schoolbook"/>
        </w:rPr>
        <w:t>that</w:t>
      </w:r>
      <w:r>
        <w:rPr>
          <w:rFonts w:ascii="Century Schoolbook" w:hAnsi="Century Schoolbook"/>
        </w:rPr>
        <w:t xml:space="preserve"> is the “final determination of the rights of the parties” (Code Civ. Proc., §</w:t>
      </w:r>
      <w:r w:rsidR="00FF5538">
        <w:rPr>
          <w:rFonts w:ascii="Century Schoolbook" w:hAnsi="Century Schoolbook"/>
        </w:rPr>
        <w:t> </w:t>
      </w:r>
      <w:r>
        <w:rPr>
          <w:rFonts w:ascii="Century Schoolbook" w:hAnsi="Century Schoolbook"/>
        </w:rPr>
        <w:t>1064)</w:t>
      </w:r>
      <w:r w:rsidR="00605EA2">
        <w:rPr>
          <w:rFonts w:ascii="Century Schoolbook" w:hAnsi="Century Schoolbook"/>
        </w:rPr>
        <w:t xml:space="preserve"> and which finally terminated the litigation between them on the merits of the case. (</w:t>
      </w:r>
      <w:r w:rsidR="00605EA2" w:rsidRPr="00605EA2">
        <w:rPr>
          <w:rFonts w:ascii="Century Schoolbook" w:hAnsi="Century Schoolbook"/>
          <w:i/>
          <w:iCs/>
        </w:rPr>
        <w:t>Dhillon, supra</w:t>
      </w:r>
      <w:r w:rsidR="00605EA2">
        <w:rPr>
          <w:rFonts w:ascii="Century Schoolbook" w:hAnsi="Century Schoolbook"/>
        </w:rPr>
        <w:t>, 2 Cal.5th at p. 1115 [“a judgment is final, and therefore appealable, ‘ “ ‘</w:t>
      </w:r>
      <w:r w:rsidR="00EB2ABB">
        <w:rPr>
          <w:rFonts w:ascii="Century Schoolbook" w:hAnsi="Century Schoolbook"/>
        </w:rPr>
        <w:t xml:space="preserve"> “</w:t>
      </w:r>
      <w:r w:rsidR="00605EA2">
        <w:rPr>
          <w:rFonts w:ascii="Century Schoolbook" w:hAnsi="Century Schoolbook"/>
        </w:rPr>
        <w:t>when it terminates the litigation between the parties on the merits of the case and leaves nothing to be done but to enforce by execution what has been determined</w:t>
      </w:r>
      <w:r w:rsidR="00FF5538">
        <w:rPr>
          <w:rFonts w:ascii="Century Schoolbook" w:hAnsi="Century Schoolbook"/>
        </w:rPr>
        <w:t xml:space="preserve">” </w:t>
      </w:r>
      <w:r w:rsidR="00605EA2">
        <w:rPr>
          <w:rFonts w:ascii="Century Schoolbook" w:hAnsi="Century Schoolbook"/>
        </w:rPr>
        <w:t xml:space="preserve">’ ” ’ ”]; see also </w:t>
      </w:r>
      <w:r w:rsidR="00605EA2" w:rsidRPr="00605EA2">
        <w:rPr>
          <w:rFonts w:ascii="Century Schoolbook" w:hAnsi="Century Schoolbook"/>
          <w:i/>
          <w:iCs/>
        </w:rPr>
        <w:t>Natomas, supra</w:t>
      </w:r>
      <w:r w:rsidR="00605EA2">
        <w:rPr>
          <w:rFonts w:ascii="Century Schoolbook" w:hAnsi="Century Schoolbook"/>
        </w:rPr>
        <w:t xml:space="preserve">, 86 Cal.App.5th at pp. 1026–1027.) As the real parties timely appealed from the later </w:t>
      </w:r>
      <w:r w:rsidR="0006454F">
        <w:rPr>
          <w:rFonts w:ascii="Century Schoolbook" w:hAnsi="Century Schoolbook"/>
        </w:rPr>
        <w:t xml:space="preserve">final </w:t>
      </w:r>
      <w:r w:rsidR="00605EA2">
        <w:rPr>
          <w:rFonts w:ascii="Century Schoolbook" w:hAnsi="Century Schoolbook"/>
        </w:rPr>
        <w:t xml:space="preserve">judgment, we </w:t>
      </w:r>
      <w:r w:rsidR="00E21B1D">
        <w:rPr>
          <w:rFonts w:ascii="Century Schoolbook" w:hAnsi="Century Schoolbook"/>
        </w:rPr>
        <w:t xml:space="preserve">have jurisdiction to review the appeal. </w:t>
      </w:r>
      <w:r w:rsidR="00605EA2">
        <w:rPr>
          <w:rFonts w:ascii="Century Schoolbook" w:hAnsi="Century Schoolbook"/>
        </w:rPr>
        <w:t xml:space="preserve"> </w:t>
      </w:r>
      <w:r>
        <w:rPr>
          <w:rFonts w:ascii="Century Schoolbook" w:hAnsi="Century Schoolbook"/>
        </w:rPr>
        <w:t xml:space="preserve"> </w:t>
      </w:r>
      <w:r w:rsidR="008B06EE">
        <w:rPr>
          <w:rFonts w:ascii="Century Schoolbook" w:hAnsi="Century Schoolbook"/>
        </w:rPr>
        <w:tab/>
      </w:r>
      <w:r w:rsidR="00E83280">
        <w:rPr>
          <w:rFonts w:ascii="Century Schoolbook" w:hAnsi="Century Schoolbook"/>
        </w:rPr>
        <w:t xml:space="preserve"> </w:t>
      </w:r>
      <w:r w:rsidR="00CD32B1">
        <w:rPr>
          <w:rFonts w:ascii="Century Schoolbook" w:hAnsi="Century Schoolbook"/>
        </w:rPr>
        <w:t xml:space="preserve"> </w:t>
      </w:r>
      <w:r w:rsidR="000D3B0F">
        <w:rPr>
          <w:rFonts w:ascii="Century Schoolbook" w:hAnsi="Century Schoolbook"/>
        </w:rPr>
        <w:t xml:space="preserve"> </w:t>
      </w:r>
    </w:p>
    <w:p w14:paraId="10D70D95" w14:textId="1BFF4FA9" w:rsidR="00931DF3" w:rsidRDefault="00C62AFA" w:rsidP="00931DF3">
      <w:pPr>
        <w:pStyle w:val="ListParagraph"/>
        <w:numPr>
          <w:ilvl w:val="0"/>
          <w:numId w:val="13"/>
        </w:numPr>
        <w:rPr>
          <w:rFonts w:ascii="Century Schoolbook" w:hAnsi="Century Schoolbook"/>
          <w:i/>
          <w:iCs/>
        </w:rPr>
      </w:pPr>
      <w:r>
        <w:rPr>
          <w:rFonts w:ascii="Century Schoolbook" w:hAnsi="Century Schoolbook"/>
          <w:i/>
          <w:iCs/>
        </w:rPr>
        <w:t xml:space="preserve">The EIR in </w:t>
      </w:r>
      <w:r w:rsidR="00495ABD">
        <w:rPr>
          <w:rFonts w:ascii="Century Schoolbook" w:hAnsi="Century Schoolbook"/>
          <w:i/>
          <w:iCs/>
        </w:rPr>
        <w:t xml:space="preserve">CEQA </w:t>
      </w:r>
      <w:r w:rsidR="003856EC">
        <w:rPr>
          <w:rFonts w:ascii="Century Schoolbook" w:hAnsi="Century Schoolbook"/>
          <w:i/>
          <w:iCs/>
        </w:rPr>
        <w:t>Overview</w:t>
      </w:r>
      <w:r w:rsidR="00B816AB">
        <w:rPr>
          <w:rFonts w:ascii="Century Schoolbook" w:hAnsi="Century Schoolbook"/>
          <w:i/>
          <w:iCs/>
        </w:rPr>
        <w:t xml:space="preserve"> </w:t>
      </w:r>
    </w:p>
    <w:p w14:paraId="224F05E6" w14:textId="5A78EC14" w:rsidR="00CB32D7" w:rsidRDefault="00C13D08" w:rsidP="00892D41">
      <w:pPr>
        <w:rPr>
          <w:rFonts w:ascii="Century Schoolbook" w:hAnsi="Century Schoolbook"/>
        </w:rPr>
      </w:pPr>
      <w:r>
        <w:tab/>
      </w:r>
      <w:r w:rsidR="00F82CD5" w:rsidRPr="00F82CD5">
        <w:rPr>
          <w:rFonts w:ascii="Century Schoolbook" w:hAnsi="Century Schoolbook"/>
        </w:rPr>
        <w:t>We begin</w:t>
      </w:r>
      <w:r w:rsidR="00D603F4" w:rsidRPr="00F82CD5">
        <w:rPr>
          <w:rFonts w:ascii="Century Schoolbook" w:hAnsi="Century Schoolbook"/>
        </w:rPr>
        <w:t xml:space="preserve"> </w:t>
      </w:r>
      <w:r w:rsidR="00F82CD5">
        <w:rPr>
          <w:rFonts w:ascii="Century Schoolbook" w:hAnsi="Century Schoolbook"/>
        </w:rPr>
        <w:t>with a</w:t>
      </w:r>
      <w:r w:rsidR="00887672">
        <w:rPr>
          <w:rFonts w:ascii="Century Schoolbook" w:hAnsi="Century Schoolbook"/>
        </w:rPr>
        <w:t xml:space="preserve"> general</w:t>
      </w:r>
      <w:r w:rsidR="00F82CD5">
        <w:rPr>
          <w:rFonts w:ascii="Century Schoolbook" w:hAnsi="Century Schoolbook"/>
        </w:rPr>
        <w:t xml:space="preserve"> overview of the CEQA statutory scheme</w:t>
      </w:r>
      <w:r w:rsidR="009258CE">
        <w:rPr>
          <w:rFonts w:ascii="Century Schoolbook" w:hAnsi="Century Schoolbook"/>
        </w:rPr>
        <w:t>, at the heart of which is the EIR</w:t>
      </w:r>
      <w:r w:rsidR="00F82CD5">
        <w:rPr>
          <w:rFonts w:ascii="Century Schoolbook" w:hAnsi="Century Schoolbook"/>
        </w:rPr>
        <w:t xml:space="preserve">. </w:t>
      </w:r>
    </w:p>
    <w:p w14:paraId="6ECBD5E7" w14:textId="283DC2F3" w:rsidR="00CB32D7" w:rsidRDefault="00CB32D7" w:rsidP="00892D41">
      <w:pPr>
        <w:rPr>
          <w:rFonts w:ascii="Century Schoolbook" w:hAnsi="Century Schoolbook"/>
        </w:rPr>
      </w:pPr>
      <w:r>
        <w:rPr>
          <w:rFonts w:ascii="Century Schoolbook" w:hAnsi="Century Schoolbook"/>
        </w:rPr>
        <w:tab/>
        <w:t xml:space="preserve">CEQA “and the regulations implementing it ([Guidelines]) embody California’s strong public policy of protecting the environment. ‘The basic purposes of CEQA are to: [¶] (1) Inform governmental decision makers and the public about the potential, significant environmental effects of proposed activities. [¶] (2) Identify ways that environmental damage can be avoided or significantly reduced. [¶] (3) Prevent significant, avoidable damage to the environment by requiring changes in projects </w:t>
      </w:r>
      <w:proofErr w:type="gramStart"/>
      <w:r>
        <w:rPr>
          <w:rFonts w:ascii="Century Schoolbook" w:hAnsi="Century Schoolbook"/>
        </w:rPr>
        <w:t>through the use of</w:t>
      </w:r>
      <w:proofErr w:type="gramEnd"/>
      <w:r>
        <w:rPr>
          <w:rFonts w:ascii="Century Schoolbook" w:hAnsi="Century Schoolbook"/>
        </w:rPr>
        <w:t xml:space="preserve"> alternatives </w:t>
      </w:r>
      <w:r w:rsidR="004974E8">
        <w:rPr>
          <w:rFonts w:ascii="Century Schoolbook" w:hAnsi="Century Schoolbook"/>
        </w:rPr>
        <w:t xml:space="preserve">or </w:t>
      </w:r>
      <w:r w:rsidR="004974E8">
        <w:rPr>
          <w:rFonts w:ascii="Century Schoolbook" w:hAnsi="Century Schoolbook"/>
        </w:rPr>
        <w:lastRenderedPageBreak/>
        <w:t>mitigation measures when the governmental agency finds the changes to be feasible. [¶] (4) Disclose to the public the reasons why a governmental agency approved the project in the manner the agency chose if significant environmental effects are involved.’ ” (</w:t>
      </w:r>
      <w:r w:rsidR="004974E8" w:rsidRPr="004974E8">
        <w:rPr>
          <w:rFonts w:ascii="Century Schoolbook" w:hAnsi="Century Schoolbook"/>
          <w:i/>
          <w:iCs/>
        </w:rPr>
        <w:t>Tomlinson v. County of Alameda</w:t>
      </w:r>
      <w:r w:rsidR="004974E8">
        <w:rPr>
          <w:rFonts w:ascii="Century Schoolbook" w:hAnsi="Century Schoolbook"/>
        </w:rPr>
        <w:t xml:space="preserve"> (2012) 54 Cal.4th 281, 285–286 (</w:t>
      </w:r>
      <w:r w:rsidR="004974E8" w:rsidRPr="004974E8">
        <w:rPr>
          <w:rFonts w:ascii="Century Schoolbook" w:hAnsi="Century Schoolbook"/>
          <w:i/>
          <w:iCs/>
        </w:rPr>
        <w:t>Tomlinson</w:t>
      </w:r>
      <w:r w:rsidR="004974E8">
        <w:rPr>
          <w:rFonts w:ascii="Century Schoolbook" w:hAnsi="Century Schoolbook"/>
        </w:rPr>
        <w:t xml:space="preserve">), quoting Guidelines, § 15002.) </w:t>
      </w:r>
    </w:p>
    <w:p w14:paraId="38061642" w14:textId="1A9092E6" w:rsidR="004974E8" w:rsidRDefault="004974E8" w:rsidP="00892D41">
      <w:pPr>
        <w:rPr>
          <w:rFonts w:ascii="Century Schoolbook" w:hAnsi="Century Schoolbook"/>
        </w:rPr>
      </w:pPr>
      <w:r>
        <w:rPr>
          <w:rFonts w:ascii="Century Schoolbook" w:hAnsi="Century Schoolbook"/>
        </w:rPr>
        <w:tab/>
        <w:t>“To achieve these goals, CEQA and the implementing regulations provide for a three-step process. In the first step, the public agency must determine whether the proposed development is a ‘project,’ that is, ‘an activity which may cause either a direct physical change in the environment’ undertaken, supported, or approved by a public agency. (§ 21065.)” (</w:t>
      </w:r>
      <w:r w:rsidRPr="004974E8">
        <w:rPr>
          <w:rFonts w:ascii="Century Schoolbook" w:hAnsi="Century Schoolbook"/>
          <w:i/>
          <w:iCs/>
        </w:rPr>
        <w:t>Tomlinson, supra</w:t>
      </w:r>
      <w:r>
        <w:rPr>
          <w:rFonts w:ascii="Century Schoolbook" w:hAnsi="Century Schoolbook"/>
        </w:rPr>
        <w:t>, 54 Cal.4th at p. 286.) If the proposed activity is a “</w:t>
      </w:r>
      <w:r w:rsidR="00FF5538">
        <w:rPr>
          <w:rFonts w:ascii="Century Schoolbook" w:hAnsi="Century Schoolbook"/>
        </w:rPr>
        <w:t xml:space="preserve"> ‘</w:t>
      </w:r>
      <w:r>
        <w:rPr>
          <w:rFonts w:ascii="Century Schoolbook" w:hAnsi="Century Schoolbook"/>
        </w:rPr>
        <w:t>project,</w:t>
      </w:r>
      <w:r w:rsidR="00FF5538">
        <w:rPr>
          <w:rFonts w:ascii="Century Schoolbook" w:hAnsi="Century Schoolbook"/>
        </w:rPr>
        <w:t xml:space="preserve">’ </w:t>
      </w:r>
      <w:r>
        <w:rPr>
          <w:rFonts w:ascii="Century Schoolbook" w:hAnsi="Century Schoolbook"/>
        </w:rPr>
        <w:t>” the second step requires the public agency to decide whether it is</w:t>
      </w:r>
      <w:r w:rsidR="004F24C1">
        <w:rPr>
          <w:rFonts w:ascii="Century Schoolbook" w:hAnsi="Century Schoolbook"/>
        </w:rPr>
        <w:t xml:space="preserve"> exempt from compliance with CEQA under narrow circumstances. (</w:t>
      </w:r>
      <w:r w:rsidR="004F24C1" w:rsidRPr="004F24C1">
        <w:rPr>
          <w:rFonts w:ascii="Century Schoolbook" w:hAnsi="Century Schoolbook"/>
          <w:i/>
          <w:iCs/>
        </w:rPr>
        <w:t>Ibid</w:t>
      </w:r>
      <w:r w:rsidR="004F24C1">
        <w:rPr>
          <w:rFonts w:ascii="Century Schoolbook" w:hAnsi="Century Schoolbook"/>
        </w:rPr>
        <w:t>., citing §§ 21080, 21084, subd. (a); Guidelines, § 15300.)</w:t>
      </w:r>
      <w:r>
        <w:rPr>
          <w:rFonts w:ascii="Century Schoolbook" w:hAnsi="Century Schoolbook"/>
        </w:rPr>
        <w:t xml:space="preserve"> </w:t>
      </w:r>
      <w:r w:rsidR="004F24C1">
        <w:rPr>
          <w:rFonts w:ascii="Century Schoolbook" w:hAnsi="Century Schoolbook"/>
        </w:rPr>
        <w:t>“If a project does not fall within a CEQA exemption, the lead agency conducts an initial study to determine whether the project may have a significant impact on the environment. (</w:t>
      </w:r>
      <w:r w:rsidR="004F24C1" w:rsidRPr="00301DCC">
        <w:rPr>
          <w:rFonts w:ascii="Century Schoolbook" w:hAnsi="Century Schoolbook"/>
          <w:i/>
          <w:iCs/>
        </w:rPr>
        <w:t>Muzzy Ranch Co. v. Solano County Airport Land Use Com.</w:t>
      </w:r>
      <w:r w:rsidR="004F24C1">
        <w:rPr>
          <w:rFonts w:ascii="Century Schoolbook" w:hAnsi="Century Schoolbook"/>
        </w:rPr>
        <w:t xml:space="preserve"> (2007) 41 Cal.4th 372, 380</w:t>
      </w:r>
      <w:r w:rsidR="003E78F1">
        <w:rPr>
          <w:rFonts w:ascii="Century Schoolbook" w:hAnsi="Century Schoolbook"/>
        </w:rPr>
        <w:t xml:space="preserve"> [(</w:t>
      </w:r>
      <w:r w:rsidR="003E78F1" w:rsidRPr="003E78F1">
        <w:rPr>
          <w:rFonts w:ascii="Century Schoolbook" w:hAnsi="Century Schoolbook"/>
          <w:i/>
          <w:iCs/>
        </w:rPr>
        <w:t>Muzzy Ranch</w:t>
      </w:r>
      <w:r w:rsidR="003E78F1">
        <w:rPr>
          <w:rFonts w:ascii="Century Schoolbook" w:hAnsi="Century Schoolbook"/>
        </w:rPr>
        <w:t>)]</w:t>
      </w:r>
      <w:r w:rsidR="004F24C1">
        <w:rPr>
          <w:rFonts w:ascii="Century Schoolbook" w:hAnsi="Century Schoolbook"/>
        </w:rPr>
        <w:t>; [Guidelines, §§ 15063, subd. (a), 15002, subd. (k)(2).]” (</w:t>
      </w:r>
      <w:r w:rsidR="004F24C1" w:rsidRPr="004F24C1">
        <w:rPr>
          <w:rFonts w:ascii="Century Schoolbook" w:hAnsi="Century Schoolbook"/>
          <w:i/>
          <w:iCs/>
        </w:rPr>
        <w:t xml:space="preserve">Ocean Street Extension Neighborhood Assn. v. City of Santa Cruz </w:t>
      </w:r>
      <w:r w:rsidR="004F24C1">
        <w:rPr>
          <w:rFonts w:ascii="Century Schoolbook" w:hAnsi="Century Schoolbook"/>
        </w:rPr>
        <w:t xml:space="preserve">(2021) 73 Cal.App.5th 985, 1002.)  </w:t>
      </w:r>
      <w:r w:rsidR="00301DCC">
        <w:rPr>
          <w:rFonts w:ascii="Century Schoolbook" w:hAnsi="Century Schoolbook"/>
        </w:rPr>
        <w:t>“If the administrative record before the agency contains substantial evidence that the project may have a significant effect on the environment … it must go to the third stage of the CEQA process: preparation and certification of an EIR. (§§</w:t>
      </w:r>
      <w:r w:rsidR="00EB2ABB">
        <w:rPr>
          <w:rFonts w:ascii="Century Schoolbook" w:hAnsi="Century Schoolbook"/>
        </w:rPr>
        <w:t> </w:t>
      </w:r>
      <w:r w:rsidR="00301DCC">
        <w:rPr>
          <w:rFonts w:ascii="Century Schoolbook" w:hAnsi="Century Schoolbook"/>
        </w:rPr>
        <w:t>21100, 21151; Guidelines, §§ 15002, subd. (k)(3), 15063, subd. (b)(1), 15064, subds. (a)(1), (g)(1), 15362.)” (</w:t>
      </w:r>
      <w:r w:rsidR="00301DCC" w:rsidRPr="00301DCC">
        <w:rPr>
          <w:rFonts w:ascii="Century Schoolbook" w:hAnsi="Century Schoolbook"/>
          <w:i/>
          <w:iCs/>
        </w:rPr>
        <w:t>Gentry v. City of Murrieta</w:t>
      </w:r>
      <w:r w:rsidR="00301DCC">
        <w:rPr>
          <w:rFonts w:ascii="Century Schoolbook" w:hAnsi="Century Schoolbook"/>
        </w:rPr>
        <w:t xml:space="preserve"> (1995) 36 Cal.App.4th 1359, 1372.)  </w:t>
      </w:r>
    </w:p>
    <w:p w14:paraId="647DAF90" w14:textId="0074EA5E" w:rsidR="00566592" w:rsidRDefault="00CB32D7" w:rsidP="00892D41">
      <w:pPr>
        <w:rPr>
          <w:rFonts w:ascii="Century Schoolbook" w:hAnsi="Century Schoolbook"/>
        </w:rPr>
      </w:pPr>
      <w:r>
        <w:rPr>
          <w:rFonts w:ascii="Century Schoolbook" w:hAnsi="Century Schoolbook"/>
        </w:rPr>
        <w:tab/>
      </w:r>
      <w:r w:rsidR="00225770">
        <w:rPr>
          <w:rFonts w:ascii="Century Schoolbook" w:hAnsi="Century Schoolbook"/>
        </w:rPr>
        <w:t xml:space="preserve">“As a general proposition, CEQA depends on the EIR. </w:t>
      </w:r>
      <w:r w:rsidR="00E00243">
        <w:rPr>
          <w:rFonts w:ascii="Century Schoolbook" w:hAnsi="Century Schoolbook"/>
        </w:rPr>
        <w:t>‘</w:t>
      </w:r>
      <w:r w:rsidR="00225770">
        <w:rPr>
          <w:rFonts w:ascii="Century Schoolbook" w:hAnsi="Century Schoolbook"/>
        </w:rPr>
        <w:t>An environmental impact report is an informational document,</w:t>
      </w:r>
      <w:r w:rsidR="00E00243">
        <w:rPr>
          <w:rFonts w:ascii="Century Schoolbook" w:hAnsi="Century Schoolbook"/>
        </w:rPr>
        <w:t>’</w:t>
      </w:r>
      <w:r w:rsidR="00225770">
        <w:rPr>
          <w:rFonts w:ascii="Century Schoolbook" w:hAnsi="Century Schoolbook"/>
        </w:rPr>
        <w:t xml:space="preserve"> the purpose of which </w:t>
      </w:r>
      <w:r w:rsidR="00FF5538">
        <w:rPr>
          <w:rFonts w:ascii="Century Schoolbook" w:hAnsi="Century Schoolbook"/>
        </w:rPr>
        <w:t>‘</w:t>
      </w:r>
      <w:r w:rsidR="00225770">
        <w:rPr>
          <w:rFonts w:ascii="Century Schoolbook" w:hAnsi="Century Schoolbook"/>
        </w:rPr>
        <w:t xml:space="preserve">is to provide </w:t>
      </w:r>
      <w:r w:rsidR="00225770">
        <w:rPr>
          <w:rFonts w:ascii="Century Schoolbook" w:hAnsi="Century Schoolbook"/>
        </w:rPr>
        <w:lastRenderedPageBreak/>
        <w:t>public agencies and the public in general with detailed information about the effect which a proposed project is likely to have on the environment; to list the ways in which the significant effects of such a project might be minimized; and to indicate alternatives to such a project.</w:t>
      </w:r>
      <w:r w:rsidR="00846D54">
        <w:rPr>
          <w:rFonts w:ascii="Century Schoolbook" w:hAnsi="Century Schoolbook"/>
        </w:rPr>
        <w:t>’</w:t>
      </w:r>
      <w:r w:rsidR="00225770">
        <w:rPr>
          <w:rFonts w:ascii="Century Schoolbook" w:hAnsi="Century Schoolbook"/>
        </w:rPr>
        <w:t xml:space="preserve"> </w:t>
      </w:r>
      <w:r w:rsidR="00E00243">
        <w:rPr>
          <w:rFonts w:ascii="Century Schoolbook" w:hAnsi="Century Schoolbook"/>
        </w:rPr>
        <w:t>(</w:t>
      </w:r>
      <w:r w:rsidR="00FF5538">
        <w:rPr>
          <w:rFonts w:ascii="Century Schoolbook" w:hAnsi="Century Schoolbook"/>
        </w:rPr>
        <w:t>. . .</w:t>
      </w:r>
      <w:r w:rsidR="00225770">
        <w:rPr>
          <w:rFonts w:ascii="Century Schoolbook" w:hAnsi="Century Schoolbook"/>
        </w:rPr>
        <w:t xml:space="preserve"> </w:t>
      </w:r>
      <w:r w:rsidR="00E00243">
        <w:rPr>
          <w:rFonts w:ascii="Century Schoolbook" w:hAnsi="Century Schoolbook"/>
        </w:rPr>
        <w:t>§ 21061.)</w:t>
      </w:r>
      <w:r w:rsidR="00225770">
        <w:rPr>
          <w:rFonts w:ascii="Century Schoolbook" w:hAnsi="Century Schoolbook"/>
        </w:rPr>
        <w:t xml:space="preserve"> </w:t>
      </w:r>
      <w:r w:rsidR="00E00243">
        <w:rPr>
          <w:rFonts w:ascii="Century Schoolbook" w:hAnsi="Century Schoolbook"/>
        </w:rPr>
        <w:t>According to our Supreme Court: ‘</w:t>
      </w:r>
      <w:r w:rsidR="00225770">
        <w:rPr>
          <w:rFonts w:ascii="Century Schoolbook" w:hAnsi="Century Schoolbook"/>
        </w:rPr>
        <w:t xml:space="preserve">The purpose of an EIR is to give the public and government agencies the information needed </w:t>
      </w:r>
      <w:r w:rsidR="00054769">
        <w:rPr>
          <w:rFonts w:ascii="Century Schoolbook" w:hAnsi="Century Schoolbook"/>
        </w:rPr>
        <w:t xml:space="preserve">to make informed decisions, thus protecting </w:t>
      </w:r>
      <w:r w:rsidR="00846D54">
        <w:rPr>
          <w:rFonts w:ascii="Century Schoolbook" w:hAnsi="Century Schoolbook"/>
        </w:rPr>
        <w:t>“</w:t>
      </w:r>
      <w:r w:rsidR="00EB2ABB">
        <w:rPr>
          <w:rFonts w:ascii="Century Schoolbook" w:hAnsi="Century Schoolbook"/>
        </w:rPr>
        <w:t> </w:t>
      </w:r>
      <w:r w:rsidR="00846D54">
        <w:rPr>
          <w:rFonts w:ascii="Century Schoolbook" w:hAnsi="Century Schoolbook"/>
        </w:rPr>
        <w:t>‘</w:t>
      </w:r>
      <w:r w:rsidR="00054769">
        <w:rPr>
          <w:rFonts w:ascii="Century Schoolbook" w:hAnsi="Century Schoolbook"/>
        </w:rPr>
        <w:t>not only the environment but also informed self-government.</w:t>
      </w:r>
      <w:r w:rsidR="00E00243">
        <w:rPr>
          <w:rFonts w:ascii="Century Schoolbook" w:hAnsi="Century Schoolbook"/>
        </w:rPr>
        <w:t xml:space="preserve">’ </w:t>
      </w:r>
      <w:r w:rsidR="00054769">
        <w:rPr>
          <w:rFonts w:ascii="Century Schoolbook" w:hAnsi="Century Schoolbook"/>
        </w:rPr>
        <w:t xml:space="preserve">” </w:t>
      </w:r>
      <w:r w:rsidR="00E00243">
        <w:rPr>
          <w:rFonts w:ascii="Century Schoolbook" w:hAnsi="Century Schoolbook"/>
        </w:rPr>
        <w:t xml:space="preserve">[Citation.] The EIR is the heart of CEQA, </w:t>
      </w:r>
      <w:r w:rsidR="00FF5538">
        <w:rPr>
          <w:rFonts w:ascii="Century Schoolbook" w:hAnsi="Century Schoolbook"/>
        </w:rPr>
        <w:t>. .</w:t>
      </w:r>
      <w:r w:rsidR="00E00243">
        <w:rPr>
          <w:rFonts w:ascii="Century Schoolbook" w:hAnsi="Century Schoolbook"/>
        </w:rPr>
        <w:t xml:space="preserve"> .</w:t>
      </w:r>
      <w:r w:rsidR="00566592">
        <w:rPr>
          <w:rFonts w:ascii="Century Schoolbook" w:hAnsi="Century Schoolbook"/>
        </w:rPr>
        <w:t xml:space="preserve">’ [Citation.]” </w:t>
      </w:r>
      <w:r w:rsidR="00054769">
        <w:rPr>
          <w:rFonts w:ascii="Century Schoolbook" w:hAnsi="Century Schoolbook"/>
        </w:rPr>
        <w:t>(</w:t>
      </w:r>
      <w:r w:rsidR="00054769" w:rsidRPr="00054769">
        <w:rPr>
          <w:rFonts w:ascii="Century Schoolbook" w:hAnsi="Century Schoolbook"/>
          <w:i/>
          <w:iCs/>
        </w:rPr>
        <w:t>Tiburon Open Space Committee v. County of Marin</w:t>
      </w:r>
      <w:r w:rsidR="00054769">
        <w:rPr>
          <w:rFonts w:ascii="Century Schoolbook" w:hAnsi="Century Schoolbook"/>
        </w:rPr>
        <w:t xml:space="preserve"> (2022) 78 Cal.App.5th 700, 724–725</w:t>
      </w:r>
      <w:r w:rsidR="00566592">
        <w:rPr>
          <w:rFonts w:ascii="Century Schoolbook" w:hAnsi="Century Schoolbook"/>
        </w:rPr>
        <w:t>, fn. omitted</w:t>
      </w:r>
      <w:r w:rsidR="00054769">
        <w:rPr>
          <w:rFonts w:ascii="Century Schoolbook" w:hAnsi="Century Schoolbook"/>
        </w:rPr>
        <w:t xml:space="preserve"> (</w:t>
      </w:r>
      <w:r w:rsidR="00054769" w:rsidRPr="00566592">
        <w:rPr>
          <w:rFonts w:ascii="Century Schoolbook" w:hAnsi="Century Schoolbook"/>
          <w:i/>
          <w:iCs/>
        </w:rPr>
        <w:t>Tiburon</w:t>
      </w:r>
      <w:r w:rsidR="00054769">
        <w:rPr>
          <w:rFonts w:ascii="Century Schoolbook" w:hAnsi="Century Schoolbook"/>
        </w:rPr>
        <w:t>)</w:t>
      </w:r>
      <w:r w:rsidR="00566592">
        <w:rPr>
          <w:rFonts w:ascii="Century Schoolbook" w:hAnsi="Century Schoolbook"/>
        </w:rPr>
        <w:t>.</w:t>
      </w:r>
      <w:r w:rsidR="00054769">
        <w:rPr>
          <w:rFonts w:ascii="Century Schoolbook" w:hAnsi="Century Schoolbook"/>
        </w:rPr>
        <w:t xml:space="preserve">) </w:t>
      </w:r>
    </w:p>
    <w:p w14:paraId="187572EA" w14:textId="7AF6BD13" w:rsidR="00054769" w:rsidRDefault="00566592" w:rsidP="00892D41">
      <w:pPr>
        <w:rPr>
          <w:rFonts w:ascii="Century Schoolbook" w:hAnsi="Century Schoolbook"/>
        </w:rPr>
      </w:pPr>
      <w:r>
        <w:rPr>
          <w:rFonts w:ascii="Century Schoolbook" w:hAnsi="Century Schoolbook"/>
        </w:rPr>
        <w:tab/>
      </w:r>
      <w:r w:rsidR="00054769">
        <w:rPr>
          <w:rFonts w:ascii="Century Schoolbook" w:hAnsi="Century Schoolbook"/>
        </w:rPr>
        <w:t>“</w:t>
      </w:r>
      <w:r w:rsidR="00846D54">
        <w:rPr>
          <w:rFonts w:ascii="Century Schoolbook" w:hAnsi="Century Schoolbook"/>
        </w:rPr>
        <w:t xml:space="preserve"> ‘</w:t>
      </w:r>
      <w:r w:rsidR="00054769">
        <w:rPr>
          <w:rFonts w:ascii="Century Schoolbook" w:hAnsi="Century Schoolbook"/>
        </w:rPr>
        <w:t xml:space="preserve">A public agency must prepare an EIR or cause an EIR to be prepared for any project that it proposes to carry </w:t>
      </w:r>
      <w:r w:rsidR="00DE7B40">
        <w:rPr>
          <w:rFonts w:ascii="Century Schoolbook" w:hAnsi="Century Schoolbook"/>
        </w:rPr>
        <w:t xml:space="preserve">out or approve that may have a significant effect on the environment. </w:t>
      </w:r>
      <w:r w:rsidR="009B4BB2">
        <w:rPr>
          <w:rFonts w:ascii="Century Schoolbook" w:hAnsi="Century Schoolbook"/>
        </w:rPr>
        <w:t>(</w:t>
      </w:r>
      <w:r w:rsidR="00FF5538">
        <w:rPr>
          <w:rFonts w:ascii="Century Schoolbook" w:hAnsi="Century Schoolbook"/>
        </w:rPr>
        <w:t>. . .</w:t>
      </w:r>
      <w:r w:rsidR="009B4BB2">
        <w:rPr>
          <w:rFonts w:ascii="Century Schoolbook" w:hAnsi="Century Schoolbook"/>
        </w:rPr>
        <w:t xml:space="preserve"> §§ 21100, subd. (a), 21151, subd. (a); Guidelines, § 15064, subd. (a)(1)</w:t>
      </w:r>
      <w:r w:rsidR="00DE7B40">
        <w:rPr>
          <w:rFonts w:ascii="Century Schoolbook" w:hAnsi="Century Schoolbook"/>
        </w:rPr>
        <w:t>.</w:t>
      </w:r>
      <w:r w:rsidR="009B4BB2">
        <w:rPr>
          <w:rFonts w:ascii="Century Schoolbook" w:hAnsi="Century Schoolbook"/>
        </w:rPr>
        <w:t>)</w:t>
      </w:r>
      <w:r w:rsidR="00DE7B40">
        <w:rPr>
          <w:rFonts w:ascii="Century Schoolbook" w:hAnsi="Century Schoolbook"/>
        </w:rPr>
        <w:t xml:space="preserve"> The EIR must describe the proposed project and i</w:t>
      </w:r>
      <w:r w:rsidR="009258CE">
        <w:rPr>
          <w:rFonts w:ascii="Century Schoolbook" w:hAnsi="Century Schoolbook"/>
        </w:rPr>
        <w:t>t</w:t>
      </w:r>
      <w:r w:rsidR="00DE7B40">
        <w:rPr>
          <w:rFonts w:ascii="Century Schoolbook" w:hAnsi="Century Schoolbook"/>
        </w:rPr>
        <w:t xml:space="preserve">s environmental setting, state the objectives sought to be achieved, </w:t>
      </w:r>
      <w:proofErr w:type="gramStart"/>
      <w:r w:rsidR="00DE7B40">
        <w:rPr>
          <w:rFonts w:ascii="Century Schoolbook" w:hAnsi="Century Schoolbook"/>
        </w:rPr>
        <w:t>identify</w:t>
      </w:r>
      <w:proofErr w:type="gramEnd"/>
      <w:r w:rsidR="00DE7B40">
        <w:rPr>
          <w:rFonts w:ascii="Century Schoolbook" w:hAnsi="Century Schoolbook"/>
        </w:rPr>
        <w:t xml:space="preserve"> and analyze the significant effects on the environment, state how those impacts can be mitigated or avoided, and identify alternatives to the project, among other requirements.</w:t>
      </w:r>
      <w:r w:rsidR="00846D54">
        <w:rPr>
          <w:rFonts w:ascii="Century Schoolbook" w:hAnsi="Century Schoolbook"/>
        </w:rPr>
        <w:t xml:space="preserve"> (</w:t>
      </w:r>
      <w:r w:rsidR="00FF5538">
        <w:rPr>
          <w:rFonts w:ascii="Century Schoolbook" w:hAnsi="Century Schoolbook"/>
        </w:rPr>
        <w:t>. . .</w:t>
      </w:r>
      <w:r w:rsidR="00846D54">
        <w:rPr>
          <w:rFonts w:ascii="Century Schoolbook" w:hAnsi="Century Schoolbook"/>
        </w:rPr>
        <w:t xml:space="preserve"> §§ 21100, subd. (b), 21151; Guidelines, §§</w:t>
      </w:r>
      <w:r w:rsidR="00FF5538">
        <w:rPr>
          <w:rFonts w:ascii="Century Schoolbook" w:hAnsi="Century Schoolbook"/>
        </w:rPr>
        <w:t> </w:t>
      </w:r>
      <w:r w:rsidR="00846D54">
        <w:rPr>
          <w:rFonts w:ascii="Century Schoolbook" w:hAnsi="Century Schoolbook"/>
        </w:rPr>
        <w:t>15124, 15125.)</w:t>
      </w:r>
      <w:r w:rsidR="00DE7B40">
        <w:rPr>
          <w:rFonts w:ascii="Century Schoolbook" w:hAnsi="Century Schoolbook"/>
        </w:rPr>
        <w:t>’ ” (</w:t>
      </w:r>
      <w:r w:rsidR="00DE7B40" w:rsidRPr="00DE7B40">
        <w:rPr>
          <w:rFonts w:ascii="Century Schoolbook" w:hAnsi="Century Schoolbook"/>
          <w:i/>
          <w:iCs/>
        </w:rPr>
        <w:t>Tiburon, supra</w:t>
      </w:r>
      <w:r w:rsidR="00DE7B40">
        <w:rPr>
          <w:rFonts w:ascii="Century Schoolbook" w:hAnsi="Century Schoolbook"/>
        </w:rPr>
        <w:t xml:space="preserve">, 78 Cal.App.5th at p. 725.) </w:t>
      </w:r>
      <w:r w:rsidR="00EC75B4">
        <w:rPr>
          <w:rFonts w:ascii="Century Schoolbook" w:hAnsi="Century Schoolbook"/>
        </w:rPr>
        <w:t>The relevant geographic area for CEQA evaluation of a project’s environmental impacts is not limited to the project boundaries and is “ ‘the area which will be affected by a proposed project.’ ” (</w:t>
      </w:r>
      <w:r w:rsidR="00EC75B4" w:rsidRPr="00EC75B4">
        <w:rPr>
          <w:rFonts w:ascii="Century Schoolbook" w:hAnsi="Century Schoolbook"/>
          <w:i/>
          <w:iCs/>
        </w:rPr>
        <w:t>Muzzy Ranch, supra</w:t>
      </w:r>
      <w:r w:rsidR="00EC75B4">
        <w:rPr>
          <w:rFonts w:ascii="Century Schoolbook" w:hAnsi="Century Schoolbook"/>
        </w:rPr>
        <w:t>, 41 Cal.4th at p. 387, citing §</w:t>
      </w:r>
      <w:r w:rsidR="00FF5538">
        <w:rPr>
          <w:rFonts w:ascii="Century Schoolbook" w:hAnsi="Century Schoolbook"/>
        </w:rPr>
        <w:t> </w:t>
      </w:r>
      <w:r w:rsidR="00EC75B4">
        <w:rPr>
          <w:rFonts w:ascii="Century Schoolbook" w:hAnsi="Century Schoolbook"/>
        </w:rPr>
        <w:t>21060.5.)</w:t>
      </w:r>
    </w:p>
    <w:p w14:paraId="179734CD" w14:textId="01AF6EA5" w:rsidR="00FC44E6" w:rsidRDefault="00846D54" w:rsidP="00892D41">
      <w:pPr>
        <w:rPr>
          <w:rFonts w:ascii="Century Schoolbook" w:hAnsi="Century Schoolbook"/>
        </w:rPr>
      </w:pPr>
      <w:r>
        <w:rPr>
          <w:rFonts w:ascii="Century Schoolbook" w:hAnsi="Century Schoolbook"/>
        </w:rPr>
        <w:tab/>
        <w:t xml:space="preserve">“ ‘The agency must notify the public of the draft EIR, make the draft EIR and all documents referenced in it available for public review, and respond to comments </w:t>
      </w:r>
      <w:r w:rsidR="00827851">
        <w:rPr>
          <w:rFonts w:ascii="Century Schoolbook" w:hAnsi="Century Schoolbook"/>
        </w:rPr>
        <w:t>that raise significant environmental issues. (</w:t>
      </w:r>
      <w:r w:rsidR="00FF5538">
        <w:rPr>
          <w:rFonts w:ascii="Century Schoolbook" w:hAnsi="Century Schoolbook"/>
        </w:rPr>
        <w:t>. . .</w:t>
      </w:r>
      <w:r w:rsidR="00827851">
        <w:rPr>
          <w:rFonts w:ascii="Century Schoolbook" w:hAnsi="Century Schoolbook"/>
        </w:rPr>
        <w:t xml:space="preserve"> §§ 21091, subds. (a), (d), 21092; Guidelines, §§ 15087, 15088.) The agency must also consult with and obtain comments from other agencies affected by the project and respond to </w:t>
      </w:r>
      <w:r w:rsidR="00827851">
        <w:rPr>
          <w:rFonts w:ascii="Century Schoolbook" w:hAnsi="Century Schoolbook"/>
        </w:rPr>
        <w:lastRenderedPageBreak/>
        <w:t>their comments. (</w:t>
      </w:r>
      <w:r w:rsidR="00FF5538">
        <w:rPr>
          <w:rFonts w:ascii="Century Schoolbook" w:hAnsi="Century Schoolbook"/>
        </w:rPr>
        <w:t>. . .</w:t>
      </w:r>
      <w:r w:rsidR="00827851">
        <w:rPr>
          <w:rFonts w:ascii="Century Schoolbook" w:hAnsi="Century Schoolbook"/>
        </w:rPr>
        <w:t xml:space="preserve"> §§ 21092.5, 21104, 21153; Guidelines, § 15086.) It must prepare a final EIR including any revisions to the draft EIR, the comments received from the public and other agencies, and responses to comments. (Guidelines, §§ 15089, subd. (a), 15132.)</w:t>
      </w:r>
      <w:r w:rsidR="00FC44E6" w:rsidRPr="00142CD9">
        <w:rPr>
          <w:rFonts w:ascii="Century Schoolbook" w:hAnsi="Century Schoolbook"/>
        </w:rPr>
        <w:t xml:space="preserve">’ </w:t>
      </w:r>
      <w:r w:rsidR="00827851" w:rsidRPr="00142CD9">
        <w:rPr>
          <w:rFonts w:ascii="Century Schoolbook" w:hAnsi="Century Schoolbook"/>
        </w:rPr>
        <w:t>”</w:t>
      </w:r>
      <w:r w:rsidR="00FC44E6">
        <w:rPr>
          <w:rFonts w:ascii="Century Schoolbook" w:hAnsi="Century Schoolbook"/>
        </w:rPr>
        <w:t xml:space="preserve"> (</w:t>
      </w:r>
      <w:r w:rsidR="00FC44E6" w:rsidRPr="00FC44E6">
        <w:rPr>
          <w:rFonts w:ascii="Century Schoolbook" w:hAnsi="Century Schoolbook"/>
          <w:i/>
          <w:iCs/>
        </w:rPr>
        <w:t>Tiburon, supra</w:t>
      </w:r>
      <w:r w:rsidR="00FC44E6">
        <w:rPr>
          <w:rFonts w:ascii="Century Schoolbook" w:hAnsi="Century Schoolbook"/>
        </w:rPr>
        <w:t>, 78 Cal.App.5th at p.</w:t>
      </w:r>
      <w:r w:rsidR="00EB2ABB">
        <w:rPr>
          <w:rFonts w:ascii="Century Schoolbook" w:hAnsi="Century Schoolbook"/>
        </w:rPr>
        <w:t> </w:t>
      </w:r>
      <w:r w:rsidR="00FC44E6">
        <w:rPr>
          <w:rFonts w:ascii="Century Schoolbook" w:hAnsi="Century Schoolbook"/>
        </w:rPr>
        <w:t>725.)</w:t>
      </w:r>
    </w:p>
    <w:p w14:paraId="33B2DE04" w14:textId="131A23B6" w:rsidR="008B74BA" w:rsidRDefault="00AE336D" w:rsidP="00892D41">
      <w:pPr>
        <w:rPr>
          <w:rFonts w:ascii="Century Schoolbook" w:hAnsi="Century Schoolbook"/>
        </w:rPr>
      </w:pPr>
      <w:r>
        <w:rPr>
          <w:rFonts w:ascii="Century Schoolbook" w:hAnsi="Century Schoolbook"/>
        </w:rPr>
        <w:tab/>
        <w:t>“ ‘An agency may not approve a project that will have significant environmental effects if there are feasible alternatives or feasible mitigation measures that would substantially lessen those effects. (</w:t>
      </w:r>
      <w:r w:rsidR="00FF5538">
        <w:rPr>
          <w:rFonts w:ascii="Century Schoolbook" w:hAnsi="Century Schoolbook"/>
        </w:rPr>
        <w:t xml:space="preserve">. . . </w:t>
      </w:r>
      <w:r>
        <w:rPr>
          <w:rFonts w:ascii="Century Schoolbook" w:hAnsi="Century Schoolbook"/>
        </w:rPr>
        <w:t xml:space="preserve">§§ 21002, 21002.1, subd. (b); Guidelines, § 15021, subd. (a)(2); [Citation].) An agency may find, however, that </w:t>
      </w:r>
      <w:proofErr w:type="gramStart"/>
      <w:r>
        <w:rPr>
          <w:rFonts w:ascii="Century Schoolbook" w:hAnsi="Century Schoolbook"/>
        </w:rPr>
        <w:t>particular economic</w:t>
      </w:r>
      <w:proofErr w:type="gramEnd"/>
      <w:r>
        <w:rPr>
          <w:rFonts w:ascii="Century Schoolbook" w:hAnsi="Century Schoolbook"/>
        </w:rPr>
        <w:t>, social, or other considerations make the alternatives and mitigation measures infeasible and that particular project benefits outweigh the adverse environmental effects. (</w:t>
      </w:r>
      <w:r w:rsidR="00FF5538">
        <w:rPr>
          <w:rFonts w:ascii="Century Schoolbook" w:hAnsi="Century Schoolbook"/>
        </w:rPr>
        <w:t>. . .</w:t>
      </w:r>
      <w:r w:rsidR="00142CD9">
        <w:rPr>
          <w:rFonts w:ascii="Century Schoolbook" w:hAnsi="Century Schoolbook"/>
        </w:rPr>
        <w:t xml:space="preserve"> § 21081, subds. (a)(3), (b); Guidelines, § 15091, subd. (a)(3).) Specifically, an agency cannot approve </w:t>
      </w:r>
      <w:r w:rsidR="008B74BA">
        <w:rPr>
          <w:rFonts w:ascii="Century Schoolbook" w:hAnsi="Century Schoolbook"/>
        </w:rPr>
        <w:t>a project that will have significant environmental effects unless it finds as to each significant effect, based on substantial evidence in the administrative record, that (1) mitigation measures required in or incorporated into the project will avoid or substantially lessen the significant effect; (2) those measures are within the jurisdiction of another agency and have been adopted, or can and should be adopted, by that agency; or (3) specific economic, legal, social, technological, or other benefits outweigh the significant environmental effects. (</w:t>
      </w:r>
      <w:r w:rsidR="00FF5538">
        <w:rPr>
          <w:rFonts w:ascii="Century Schoolbook" w:hAnsi="Century Schoolbook"/>
        </w:rPr>
        <w:t>. . .</w:t>
      </w:r>
      <w:r w:rsidR="008B74BA">
        <w:rPr>
          <w:rFonts w:ascii="Century Schoolbook" w:hAnsi="Century Schoolbook"/>
        </w:rPr>
        <w:t xml:space="preserve"> §§ 21081, 21081.5; Guidelines, § 15091, subds. (a), (b).) A finding that specific overriding project benefits outweigh the significant environmental effects (</w:t>
      </w:r>
      <w:r w:rsidR="00FF5538">
        <w:rPr>
          <w:rFonts w:ascii="Century Schoolbook" w:hAnsi="Century Schoolbook"/>
        </w:rPr>
        <w:t xml:space="preserve">. . . </w:t>
      </w:r>
      <w:r w:rsidR="008B74BA">
        <w:rPr>
          <w:rFonts w:ascii="Century Schoolbook" w:hAnsi="Century Schoolbook"/>
        </w:rPr>
        <w:t>§ 21091, subd. (b)) is known as a statement of overriding considerations. (Guidelines, § 15093.)” (</w:t>
      </w:r>
      <w:r w:rsidR="008B74BA" w:rsidRPr="008B74BA">
        <w:rPr>
          <w:rFonts w:ascii="Century Schoolbook" w:hAnsi="Century Schoolbook"/>
          <w:i/>
          <w:iCs/>
        </w:rPr>
        <w:t>Tiburon, supra</w:t>
      </w:r>
      <w:r w:rsidR="008B74BA">
        <w:rPr>
          <w:rFonts w:ascii="Century Schoolbook" w:hAnsi="Century Schoolbook"/>
        </w:rPr>
        <w:t>, 78 Cal.App.5th at pp.725–726.)</w:t>
      </w:r>
    </w:p>
    <w:p w14:paraId="1CA3303F" w14:textId="77777777" w:rsidR="003C0F3B" w:rsidRDefault="008B74BA" w:rsidP="00892D41">
      <w:pPr>
        <w:rPr>
          <w:rFonts w:ascii="Century Schoolbook" w:hAnsi="Century Schoolbook"/>
        </w:rPr>
      </w:pPr>
      <w:r>
        <w:rPr>
          <w:rFonts w:ascii="Century Schoolbook" w:hAnsi="Century Schoolbook"/>
        </w:rPr>
        <w:tab/>
        <w:t>“</w:t>
      </w:r>
      <w:r w:rsidR="003C0F3B">
        <w:rPr>
          <w:rFonts w:ascii="Century Schoolbook" w:hAnsi="Century Schoolbook"/>
        </w:rPr>
        <w:t xml:space="preserve"> ‘</w:t>
      </w:r>
      <w:r>
        <w:rPr>
          <w:rFonts w:ascii="Century Schoolbook" w:hAnsi="Century Schoolbook"/>
        </w:rPr>
        <w:t xml:space="preserve">Thus, a public agency is not required to favor environmental protection over other considerations, but it must disclose and carefully consider the </w:t>
      </w:r>
      <w:r>
        <w:rPr>
          <w:rFonts w:ascii="Century Schoolbook" w:hAnsi="Century Schoolbook"/>
        </w:rPr>
        <w:lastRenderedPageBreak/>
        <w:t>environmental consequences of its actions</w:t>
      </w:r>
      <w:r w:rsidR="003C0F3B">
        <w:rPr>
          <w:rFonts w:ascii="Century Schoolbook" w:hAnsi="Century Schoolbook"/>
        </w:rPr>
        <w:t>, mitigate adverse environmental effects if feasible, explain the reasons for its actions, and afford the public and other affected agencies an opportunity to participate meaningfully in the environmental review process. The purpose of these requirements is to ensure that public officials and the public are aware of the environmental consequences of decisions before they are made.’ [Citation.]” (</w:t>
      </w:r>
      <w:r w:rsidR="003C0F3B" w:rsidRPr="008B74BA">
        <w:rPr>
          <w:rFonts w:ascii="Century Schoolbook" w:hAnsi="Century Schoolbook"/>
          <w:i/>
          <w:iCs/>
        </w:rPr>
        <w:t>Tiburon, supra</w:t>
      </w:r>
      <w:r w:rsidR="003C0F3B">
        <w:rPr>
          <w:rFonts w:ascii="Century Schoolbook" w:hAnsi="Century Schoolbook"/>
        </w:rPr>
        <w:t>, 78 Cal.App.5th at p. 726.)</w:t>
      </w:r>
    </w:p>
    <w:p w14:paraId="11CA0CFB" w14:textId="557FBF5B" w:rsidR="002E4C10" w:rsidRDefault="003C0F3B" w:rsidP="00892D41">
      <w:pPr>
        <w:rPr>
          <w:rFonts w:ascii="Century Schoolbook" w:hAnsi="Century Schoolbook"/>
        </w:rPr>
      </w:pPr>
      <w:r>
        <w:rPr>
          <w:rFonts w:ascii="Century Schoolbook" w:hAnsi="Century Schoolbook"/>
        </w:rPr>
        <w:tab/>
      </w:r>
      <w:r w:rsidR="009258CE">
        <w:rPr>
          <w:rFonts w:ascii="Century Schoolbook" w:hAnsi="Century Schoolbook"/>
        </w:rPr>
        <w:t xml:space="preserve">At the same time, </w:t>
      </w:r>
      <w:r>
        <w:rPr>
          <w:rFonts w:ascii="Century Schoolbook" w:hAnsi="Century Schoolbook"/>
        </w:rPr>
        <w:t>“</w:t>
      </w:r>
      <w:r w:rsidR="009258CE">
        <w:rPr>
          <w:rFonts w:ascii="Century Schoolbook" w:hAnsi="Century Schoolbook"/>
        </w:rPr>
        <w:t>[t]</w:t>
      </w:r>
      <w:proofErr w:type="spellStart"/>
      <w:r>
        <w:rPr>
          <w:rFonts w:ascii="Century Schoolbook" w:hAnsi="Century Schoolbook"/>
        </w:rPr>
        <w:t>oo</w:t>
      </w:r>
      <w:proofErr w:type="spellEnd"/>
      <w:r>
        <w:rPr>
          <w:rFonts w:ascii="Century Schoolbook" w:hAnsi="Century Schoolbook"/>
        </w:rPr>
        <w:t xml:space="preserve"> much should not be expected of an EIR. It is not to have </w:t>
      </w:r>
      <w:r w:rsidR="001C3A7E">
        <w:rPr>
          <w:rFonts w:ascii="Century Schoolbook" w:hAnsi="Century Schoolbook"/>
        </w:rPr>
        <w:t xml:space="preserve">the exhaustive scope of scientific textbook. ‘An EIR should be prepared with a sufficient degree of analysis to provide decisionmakers with information which enables them to </w:t>
      </w:r>
      <w:proofErr w:type="gramStart"/>
      <w:r w:rsidR="001C3A7E">
        <w:rPr>
          <w:rFonts w:ascii="Century Schoolbook" w:hAnsi="Century Schoolbook"/>
        </w:rPr>
        <w:t>make a decision</w:t>
      </w:r>
      <w:proofErr w:type="gramEnd"/>
      <w:r w:rsidR="001C3A7E">
        <w:rPr>
          <w:rFonts w:ascii="Century Schoolbook" w:hAnsi="Century Schoolbook"/>
        </w:rPr>
        <w:t xml:space="preserve"> which intelligently takes account of environmental consequences. An evaluation of the environmental effects of a proposed project need not be exhaustive, but the sufficiency of an EIR is to be reviewed in the light of what is reasonably feasible. Disagreement among experts does not make an EIR inadequate</w:t>
      </w:r>
      <w:r w:rsidR="002E4C10">
        <w:rPr>
          <w:rFonts w:ascii="Century Schoolbook" w:hAnsi="Century Schoolbook"/>
        </w:rPr>
        <w:t>, but the EIR should summarize the main points of disagreement among the experts. The courts have looked not for perfection but for adequacy, completeness, and a good faith effort at full disclosure.’ (Guidelines, § 15151.)” (</w:t>
      </w:r>
      <w:r w:rsidR="002E4C10" w:rsidRPr="008B74BA">
        <w:rPr>
          <w:rFonts w:ascii="Century Schoolbook" w:hAnsi="Century Schoolbook"/>
          <w:i/>
          <w:iCs/>
        </w:rPr>
        <w:t>Tiburon, supra</w:t>
      </w:r>
      <w:r w:rsidR="002E4C10">
        <w:rPr>
          <w:rFonts w:ascii="Century Schoolbook" w:hAnsi="Century Schoolbook"/>
        </w:rPr>
        <w:t>, 78 Cal.App.5th at p. 726.)</w:t>
      </w:r>
    </w:p>
    <w:p w14:paraId="63A7FA6C" w14:textId="0CD3D464" w:rsidR="008B4E16" w:rsidRDefault="002E4C10" w:rsidP="00892D41">
      <w:pPr>
        <w:rPr>
          <w:rFonts w:ascii="Century Schoolbook" w:hAnsi="Century Schoolbook"/>
        </w:rPr>
      </w:pPr>
      <w:r>
        <w:rPr>
          <w:rFonts w:ascii="Century Schoolbook" w:hAnsi="Century Schoolbook"/>
        </w:rPr>
        <w:tab/>
        <w:t xml:space="preserve">“Much of what goes into an EIR is left to the discretion of the agency preparing it. The leading treatise summarizes: ‘The lead agency has discretion to design the EIR and need not conduct every recommended test or perform all required research. [Citations.] An EIR is not required to address </w:t>
      </w:r>
      <w:proofErr w:type="gramStart"/>
      <w:r>
        <w:rPr>
          <w:rFonts w:ascii="Century Schoolbook" w:hAnsi="Century Schoolbook"/>
        </w:rPr>
        <w:t>all of</w:t>
      </w:r>
      <w:proofErr w:type="gramEnd"/>
      <w:r>
        <w:rPr>
          <w:rFonts w:ascii="Century Schoolbook" w:hAnsi="Century Schoolbook"/>
        </w:rPr>
        <w:t xml:space="preserve"> the variations of the issues presented. [Citations.] An analysis of every permutation of the data is not required.’ (1 </w:t>
      </w:r>
      <w:proofErr w:type="spellStart"/>
      <w:r>
        <w:rPr>
          <w:rFonts w:ascii="Century Schoolbook" w:hAnsi="Century Schoolbook"/>
        </w:rPr>
        <w:t>Kostka</w:t>
      </w:r>
      <w:proofErr w:type="spellEnd"/>
      <w:r>
        <w:rPr>
          <w:rFonts w:ascii="Century Schoolbook" w:hAnsi="Century Schoolbook"/>
        </w:rPr>
        <w:t xml:space="preserve"> &amp; </w:t>
      </w:r>
      <w:proofErr w:type="spellStart"/>
      <w:r>
        <w:rPr>
          <w:rFonts w:ascii="Century Schoolbook" w:hAnsi="Century Schoolbook"/>
        </w:rPr>
        <w:t>Zischke</w:t>
      </w:r>
      <w:proofErr w:type="spellEnd"/>
      <w:r>
        <w:rPr>
          <w:rFonts w:ascii="Century Schoolbook" w:hAnsi="Century Schoolbook"/>
        </w:rPr>
        <w:t>, Practice Under the California Environmental Quality Act (</w:t>
      </w:r>
      <w:proofErr w:type="spellStart"/>
      <w:r>
        <w:rPr>
          <w:rFonts w:ascii="Century Schoolbook" w:hAnsi="Century Schoolbook"/>
        </w:rPr>
        <w:t>Cont.Ed.Bar</w:t>
      </w:r>
      <w:proofErr w:type="spellEnd"/>
      <w:r>
        <w:rPr>
          <w:rFonts w:ascii="Century Schoolbook" w:hAnsi="Century Schoolbook"/>
        </w:rPr>
        <w:t xml:space="preserve"> 2d ed. 2022) § 11.28, pp. 11-19–11-20 [(</w:t>
      </w:r>
      <w:proofErr w:type="spellStart"/>
      <w:r>
        <w:rPr>
          <w:rFonts w:ascii="Century Schoolbook" w:hAnsi="Century Schoolbook"/>
        </w:rPr>
        <w:t>Kostka</w:t>
      </w:r>
      <w:proofErr w:type="spellEnd"/>
      <w:r>
        <w:rPr>
          <w:rFonts w:ascii="Century Schoolbook" w:hAnsi="Century Schoolbook"/>
        </w:rPr>
        <w:t xml:space="preserve"> &amp; </w:t>
      </w:r>
      <w:proofErr w:type="spellStart"/>
      <w:r>
        <w:rPr>
          <w:rFonts w:ascii="Century Schoolbook" w:hAnsi="Century Schoolbook"/>
        </w:rPr>
        <w:t>Zischke</w:t>
      </w:r>
      <w:proofErr w:type="spellEnd"/>
      <w:r>
        <w:rPr>
          <w:rFonts w:ascii="Century Schoolbook" w:hAnsi="Century Schoolbook"/>
        </w:rPr>
        <w:t xml:space="preserve">)]; see </w:t>
      </w:r>
      <w:r w:rsidRPr="0094722C">
        <w:rPr>
          <w:rFonts w:ascii="Century Schoolbook" w:hAnsi="Century Schoolbook"/>
          <w:i/>
          <w:iCs/>
        </w:rPr>
        <w:t>Laurel Heights Improvement Assn. v. Regents of University of California</w:t>
      </w:r>
      <w:r>
        <w:rPr>
          <w:rFonts w:ascii="Century Schoolbook" w:hAnsi="Century Schoolbook"/>
        </w:rPr>
        <w:t xml:space="preserve"> (1988) 47 Cal.3d 376, 415 (</w:t>
      </w:r>
      <w:r w:rsidRPr="0094722C">
        <w:rPr>
          <w:rFonts w:ascii="Century Schoolbook" w:hAnsi="Century Schoolbook"/>
          <w:i/>
          <w:iCs/>
        </w:rPr>
        <w:t>Laurel Heights</w:t>
      </w:r>
      <w:r>
        <w:rPr>
          <w:rFonts w:ascii="Century Schoolbook" w:hAnsi="Century Schoolbook"/>
        </w:rPr>
        <w:t xml:space="preserve">) [‘A project </w:t>
      </w:r>
      <w:r>
        <w:rPr>
          <w:rFonts w:ascii="Century Schoolbook" w:hAnsi="Century Schoolbook"/>
        </w:rPr>
        <w:lastRenderedPageBreak/>
        <w:t xml:space="preserve">opponent </w:t>
      </w:r>
      <w:r w:rsidR="00FF5538">
        <w:rPr>
          <w:rFonts w:ascii="Century Schoolbook" w:hAnsi="Century Schoolbook"/>
        </w:rPr>
        <w:t>. . .</w:t>
      </w:r>
      <w:r>
        <w:rPr>
          <w:rFonts w:ascii="Century Schoolbook" w:hAnsi="Century Schoolbook"/>
        </w:rPr>
        <w:t xml:space="preserve"> can always imagine some additional study or analysis that might provide helpful information. It is not for them to design the EIR. That further study </w:t>
      </w:r>
      <w:r w:rsidR="00FF5538">
        <w:rPr>
          <w:rFonts w:ascii="Century Schoolbook" w:hAnsi="Century Schoolbook"/>
        </w:rPr>
        <w:t>. . .</w:t>
      </w:r>
      <w:r>
        <w:rPr>
          <w:rFonts w:ascii="Century Schoolbook" w:hAnsi="Century Schoolbook"/>
        </w:rPr>
        <w:t xml:space="preserve"> might be helpful does not make it necessary</w:t>
      </w:r>
      <w:r w:rsidR="002052DE">
        <w:rPr>
          <w:rFonts w:ascii="Century Schoolbook" w:hAnsi="Century Schoolbook"/>
        </w:rPr>
        <w:t xml:space="preserve">’].) [¶] </w:t>
      </w:r>
      <w:r w:rsidR="00FF5538">
        <w:rPr>
          <w:rFonts w:ascii="Century Schoolbook" w:hAnsi="Century Schoolbook"/>
        </w:rPr>
        <w:t>. . .</w:t>
      </w:r>
      <w:r w:rsidR="002052DE">
        <w:rPr>
          <w:rFonts w:ascii="Century Schoolbook" w:hAnsi="Century Schoolbook"/>
        </w:rPr>
        <w:t xml:space="preserve"> ‘Drafting an EIR or preparing a negative declaration necessarily involves some degree of forecasting. While foreseeing the unforeseeable is not possible, an agency must use its best efforts to find out and disclose all that it reasonably can.’ (Guidelines, § 15144.)”</w:t>
      </w:r>
      <w:r>
        <w:rPr>
          <w:rFonts w:ascii="Century Schoolbook" w:hAnsi="Century Schoolbook"/>
        </w:rPr>
        <w:t xml:space="preserve"> </w:t>
      </w:r>
      <w:r w:rsidR="002052DE">
        <w:rPr>
          <w:rFonts w:ascii="Century Schoolbook" w:hAnsi="Century Schoolbook"/>
        </w:rPr>
        <w:t>(</w:t>
      </w:r>
      <w:r w:rsidR="002052DE" w:rsidRPr="008B74BA">
        <w:rPr>
          <w:rFonts w:ascii="Century Schoolbook" w:hAnsi="Century Schoolbook"/>
          <w:i/>
          <w:iCs/>
        </w:rPr>
        <w:t>Tiburon, supra</w:t>
      </w:r>
      <w:r w:rsidR="002052DE">
        <w:rPr>
          <w:rFonts w:ascii="Century Schoolbook" w:hAnsi="Century Schoolbook"/>
        </w:rPr>
        <w:t>, 78 Cal.App.5th at pp. 726–727</w:t>
      </w:r>
      <w:r w:rsidR="009258CE">
        <w:rPr>
          <w:rFonts w:ascii="Century Schoolbook" w:hAnsi="Century Schoolbook"/>
        </w:rPr>
        <w:t>.)</w:t>
      </w:r>
      <w:r w:rsidR="00FC44E6">
        <w:rPr>
          <w:rFonts w:ascii="Century Schoolbook" w:hAnsi="Century Schoolbook"/>
        </w:rPr>
        <w:tab/>
      </w:r>
      <w:r w:rsidR="00827851">
        <w:rPr>
          <w:rFonts w:ascii="Century Schoolbook" w:hAnsi="Century Schoolbook"/>
        </w:rPr>
        <w:t xml:space="preserve"> </w:t>
      </w:r>
    </w:p>
    <w:p w14:paraId="35873DAA" w14:textId="347D8354" w:rsidR="003702AD" w:rsidRDefault="00B674E9" w:rsidP="00892D41">
      <w:pPr>
        <w:rPr>
          <w:rFonts w:ascii="Century Schoolbook" w:hAnsi="Century Schoolbook"/>
        </w:rPr>
      </w:pPr>
      <w:r>
        <w:rPr>
          <w:rFonts w:ascii="Century Schoolbook" w:hAnsi="Century Schoolbook"/>
        </w:rPr>
        <w:tab/>
      </w:r>
      <w:r w:rsidR="0031799D">
        <w:rPr>
          <w:rFonts w:ascii="Century Schoolbook" w:hAnsi="Century Schoolbook"/>
        </w:rPr>
        <w:t xml:space="preserve">Thus, </w:t>
      </w:r>
      <w:r w:rsidR="00BC2939">
        <w:rPr>
          <w:rFonts w:ascii="Century Schoolbook" w:hAnsi="Century Schoolbook"/>
        </w:rPr>
        <w:t>“ ‘</w:t>
      </w:r>
      <w:r w:rsidR="0031799D">
        <w:rPr>
          <w:rFonts w:ascii="Century Schoolbook" w:hAnsi="Century Schoolbook"/>
        </w:rPr>
        <w:t>[t]</w:t>
      </w:r>
      <w:r w:rsidR="00BC2939">
        <w:rPr>
          <w:rFonts w:ascii="Century Schoolbook" w:hAnsi="Century Schoolbook"/>
        </w:rPr>
        <w:t xml:space="preserve">he fact that precision may not be possible … does not </w:t>
      </w:r>
      <w:r w:rsidR="0031799D">
        <w:rPr>
          <w:rFonts w:ascii="Century Schoolbook" w:hAnsi="Century Schoolbook"/>
        </w:rPr>
        <w:t>mean that no analysis is required.’ ” (</w:t>
      </w:r>
      <w:r w:rsidR="0031799D" w:rsidRPr="0031799D">
        <w:rPr>
          <w:rFonts w:ascii="Century Schoolbook" w:hAnsi="Century Schoolbook"/>
          <w:i/>
          <w:iCs/>
        </w:rPr>
        <w:t>Banning</w:t>
      </w:r>
      <w:r w:rsidR="00A60882">
        <w:rPr>
          <w:rFonts w:ascii="Century Schoolbook" w:hAnsi="Century Schoolbook"/>
          <w:i/>
          <w:iCs/>
        </w:rPr>
        <w:t xml:space="preserve"> Ranch, supra,</w:t>
      </w:r>
      <w:r w:rsidR="0031799D" w:rsidRPr="0031799D">
        <w:rPr>
          <w:rFonts w:ascii="Century Schoolbook" w:hAnsi="Century Schoolbook"/>
          <w:i/>
          <w:iCs/>
        </w:rPr>
        <w:t xml:space="preserve"> </w:t>
      </w:r>
      <w:r w:rsidR="0031799D">
        <w:rPr>
          <w:rFonts w:ascii="Century Schoolbook" w:hAnsi="Century Schoolbook"/>
        </w:rPr>
        <w:t xml:space="preserve">2 Cal.5th </w:t>
      </w:r>
      <w:r w:rsidR="00A60882">
        <w:rPr>
          <w:rFonts w:ascii="Century Schoolbook" w:hAnsi="Century Schoolbook"/>
        </w:rPr>
        <w:t xml:space="preserve">at p. </w:t>
      </w:r>
      <w:r w:rsidR="0031799D">
        <w:rPr>
          <w:rFonts w:ascii="Century Schoolbook" w:hAnsi="Century Schoolbook"/>
        </w:rPr>
        <w:t xml:space="preserve">938, citing </w:t>
      </w:r>
      <w:r w:rsidR="0031799D" w:rsidRPr="0031799D">
        <w:rPr>
          <w:rFonts w:ascii="Century Schoolbook" w:hAnsi="Century Schoolbook"/>
          <w:i/>
          <w:iCs/>
        </w:rPr>
        <w:t>Laurel Heights, supra</w:t>
      </w:r>
      <w:r w:rsidR="0031799D">
        <w:rPr>
          <w:rFonts w:ascii="Century Schoolbook" w:hAnsi="Century Schoolbook"/>
        </w:rPr>
        <w:t xml:space="preserve">, 47 Cal.3d at p. 399.) </w:t>
      </w:r>
      <w:r>
        <w:rPr>
          <w:rFonts w:ascii="Century Schoolbook" w:hAnsi="Century Schoolbook"/>
        </w:rPr>
        <w:t xml:space="preserve">Still, an “EIR is not required to engage in speculative analysis. (Guidelines, § 15145.) Indeed, this core </w:t>
      </w:r>
      <w:proofErr w:type="gramStart"/>
      <w:r>
        <w:rPr>
          <w:rFonts w:ascii="Century Schoolbook" w:hAnsi="Century Schoolbook"/>
        </w:rPr>
        <w:t>principal</w:t>
      </w:r>
      <w:proofErr w:type="gramEnd"/>
      <w:r>
        <w:rPr>
          <w:rFonts w:ascii="Century Schoolbook" w:hAnsi="Century Schoolbook"/>
        </w:rPr>
        <w:t xml:space="preserve"> is well[-]established in the Guidelines and case law. While a lead agency must use </w:t>
      </w:r>
      <w:r w:rsidR="00B33067">
        <w:rPr>
          <w:rFonts w:ascii="Century Schoolbook" w:hAnsi="Century Schoolbook"/>
        </w:rPr>
        <w:t>its ‘best efforts’ to evaluate environmental effects, including the use of reasonable forecasting, ‘foreseeing the unforeseeable’ is not required, nor is predicting the unpredictable or quantifying the unquantifiable. (Guidelines, § 15964, subd. (d)(3) [</w:t>
      </w:r>
      <w:r w:rsidR="00FF5538">
        <w:rPr>
          <w:rFonts w:ascii="Century Schoolbook" w:hAnsi="Century Schoolbook"/>
        </w:rPr>
        <w:t>‘</w:t>
      </w:r>
      <w:r w:rsidR="00B33067">
        <w:rPr>
          <w:rFonts w:ascii="Century Schoolbook" w:hAnsi="Century Schoolbook"/>
        </w:rPr>
        <w:t xml:space="preserve">A change </w:t>
      </w:r>
      <w:r w:rsidR="0090004C">
        <w:rPr>
          <w:rFonts w:ascii="Century Schoolbook" w:hAnsi="Century Schoolbook"/>
        </w:rPr>
        <w:t>which is speculative or unlikely to occur is not reasonably foreseeable</w:t>
      </w:r>
      <w:r w:rsidR="00FF5538">
        <w:rPr>
          <w:rFonts w:ascii="Century Schoolbook" w:hAnsi="Century Schoolbook"/>
        </w:rPr>
        <w:t>’</w:t>
      </w:r>
      <w:r w:rsidR="0090004C">
        <w:rPr>
          <w:rFonts w:ascii="Century Schoolbook" w:hAnsi="Century Schoolbook"/>
        </w:rPr>
        <w:t xml:space="preserve">]; </w:t>
      </w:r>
      <w:r w:rsidR="0090004C" w:rsidRPr="0090004C">
        <w:rPr>
          <w:rFonts w:ascii="Century Schoolbook" w:hAnsi="Century Schoolbook"/>
          <w:i/>
          <w:iCs/>
        </w:rPr>
        <w:t>Cadiz Land Co. v. Rail Cycle</w:t>
      </w:r>
      <w:r w:rsidR="0090004C">
        <w:rPr>
          <w:rFonts w:ascii="Century Schoolbook" w:hAnsi="Century Schoolbook"/>
        </w:rPr>
        <w:t xml:space="preserve"> (2000) 83 Cal.App.4th 74, 108 [‘ “agency is required to forecast only to the extent that an activity could be reasonably expected under the circumstances” ’]</w:t>
      </w:r>
      <w:r w:rsidR="00B33067">
        <w:rPr>
          <w:rFonts w:ascii="Century Schoolbook" w:hAnsi="Century Schoolbook"/>
        </w:rPr>
        <w:t>.)</w:t>
      </w:r>
      <w:r w:rsidR="0090004C">
        <w:rPr>
          <w:rFonts w:ascii="Century Schoolbook" w:hAnsi="Century Schoolbook"/>
        </w:rPr>
        <w:t xml:space="preserve"> [¶] This rule rests on both economic and practical considerations. It has long been recognized that premature attempts to evaluate effects that are uncertain to occur or whose severity cannot reliably be measured is ‘a needlessly wasteful drain of the public </w:t>
      </w:r>
      <w:proofErr w:type="spellStart"/>
      <w:r w:rsidR="0090004C">
        <w:rPr>
          <w:rFonts w:ascii="Century Schoolbook" w:hAnsi="Century Schoolbook"/>
        </w:rPr>
        <w:t>fisc</w:t>
      </w:r>
      <w:proofErr w:type="spellEnd"/>
      <w:r w:rsidR="0090004C">
        <w:rPr>
          <w:rFonts w:ascii="Century Schoolbook" w:hAnsi="Century Schoolbook"/>
        </w:rPr>
        <w:t>. [Citation.]</w:t>
      </w:r>
      <w:r w:rsidR="005C22B6">
        <w:rPr>
          <w:rFonts w:ascii="Century Schoolbook" w:hAnsi="Century Schoolbook"/>
        </w:rPr>
        <w:t xml:space="preserve">’ ([Citation]; see, e.g., </w:t>
      </w:r>
      <w:r w:rsidR="005C22B6" w:rsidRPr="008246F3">
        <w:rPr>
          <w:rFonts w:ascii="Century Schoolbook" w:hAnsi="Century Schoolbook"/>
          <w:i/>
          <w:iCs/>
        </w:rPr>
        <w:t>Save Round Valley Alliance v. County of Inyo</w:t>
      </w:r>
      <w:r w:rsidR="005C22B6">
        <w:rPr>
          <w:rFonts w:ascii="Century Schoolbook" w:hAnsi="Century Schoolbook"/>
        </w:rPr>
        <w:t xml:space="preserve"> (2007) 157 Cal.App.4th 1437, 1450–1451 [an EIR for</w:t>
      </w:r>
      <w:r w:rsidR="008246F3">
        <w:rPr>
          <w:rFonts w:ascii="Century Schoolbook" w:hAnsi="Century Schoolbook"/>
        </w:rPr>
        <w:t xml:space="preserve"> a</w:t>
      </w:r>
      <w:r w:rsidR="005C22B6">
        <w:rPr>
          <w:rFonts w:ascii="Century Schoolbook" w:hAnsi="Century Schoolbook"/>
        </w:rPr>
        <w:t xml:space="preserve"> subdivision of single-family residences was not deficient in failing to consider the possibility that the future lot owners might build a second dwelling on their lot pursuant to a local ordinance allowing such dwellings, because possibility </w:t>
      </w:r>
      <w:r w:rsidR="005C22B6">
        <w:rPr>
          <w:rFonts w:ascii="Century Schoolbook" w:hAnsi="Century Schoolbook"/>
        </w:rPr>
        <w:lastRenderedPageBreak/>
        <w:t>was remote and speculative].)” (</w:t>
      </w:r>
      <w:r w:rsidR="00737A77" w:rsidRPr="008246F3">
        <w:rPr>
          <w:rFonts w:ascii="Century Schoolbook" w:hAnsi="Century Schoolbook"/>
          <w:i/>
          <w:iCs/>
        </w:rPr>
        <w:t>Treasure Island</w:t>
      </w:r>
      <w:r w:rsidR="00252E45">
        <w:rPr>
          <w:rFonts w:ascii="Century Schoolbook" w:hAnsi="Century Schoolbook"/>
          <w:i/>
          <w:iCs/>
        </w:rPr>
        <w:t>, supra,</w:t>
      </w:r>
      <w:r w:rsidR="00737A77" w:rsidRPr="008246F3">
        <w:rPr>
          <w:rFonts w:ascii="Century Schoolbook" w:hAnsi="Century Schoolbook"/>
          <w:i/>
          <w:iCs/>
        </w:rPr>
        <w:t xml:space="preserve"> </w:t>
      </w:r>
      <w:r w:rsidR="00737A77">
        <w:rPr>
          <w:rFonts w:ascii="Century Schoolbook" w:hAnsi="Century Schoolbook"/>
        </w:rPr>
        <w:t xml:space="preserve">227 Cal.App.4th </w:t>
      </w:r>
      <w:r w:rsidR="00252E45">
        <w:rPr>
          <w:rFonts w:ascii="Century Schoolbook" w:hAnsi="Century Schoolbook"/>
        </w:rPr>
        <w:t>at pp.</w:t>
      </w:r>
      <w:r w:rsidR="00FF5538">
        <w:rPr>
          <w:rFonts w:ascii="Century Schoolbook" w:hAnsi="Century Schoolbook"/>
        </w:rPr>
        <w:t> </w:t>
      </w:r>
      <w:r w:rsidR="00737A77">
        <w:rPr>
          <w:rFonts w:ascii="Century Schoolbook" w:hAnsi="Century Schoolbook"/>
        </w:rPr>
        <w:t>1060–1061.)</w:t>
      </w:r>
      <w:r w:rsidR="005C22B6">
        <w:rPr>
          <w:rFonts w:ascii="Century Schoolbook" w:hAnsi="Century Schoolbook"/>
        </w:rPr>
        <w:t xml:space="preserve"> </w:t>
      </w:r>
    </w:p>
    <w:p w14:paraId="5D09F46D" w14:textId="6546E7E9" w:rsidR="00B674E9" w:rsidRDefault="003702AD" w:rsidP="00892D41">
      <w:pPr>
        <w:rPr>
          <w:rFonts w:ascii="Century Schoolbook" w:hAnsi="Century Schoolbook"/>
        </w:rPr>
      </w:pPr>
      <w:r>
        <w:rPr>
          <w:rFonts w:ascii="Century Schoolbook" w:hAnsi="Century Schoolbook"/>
        </w:rPr>
        <w:tab/>
      </w:r>
      <w:r w:rsidR="00EC3DBF">
        <w:rPr>
          <w:rFonts w:ascii="Century Schoolbook" w:hAnsi="Century Schoolbook"/>
        </w:rPr>
        <w:t xml:space="preserve">CEQA review is </w:t>
      </w:r>
      <w:r w:rsidR="009B6D02">
        <w:rPr>
          <w:rFonts w:ascii="Century Schoolbook" w:hAnsi="Century Schoolbook"/>
        </w:rPr>
        <w:t xml:space="preserve">thus </w:t>
      </w:r>
      <w:r w:rsidR="009A0289">
        <w:rPr>
          <w:rFonts w:ascii="Century Schoolbook" w:hAnsi="Century Schoolbook"/>
        </w:rPr>
        <w:t xml:space="preserve">not </w:t>
      </w:r>
      <w:r w:rsidR="00EC3DBF">
        <w:rPr>
          <w:rFonts w:ascii="Century Schoolbook" w:hAnsi="Century Schoolbook"/>
        </w:rPr>
        <w:t xml:space="preserve">triggered </w:t>
      </w:r>
      <w:r w:rsidR="009A0289">
        <w:rPr>
          <w:rFonts w:ascii="Century Schoolbook" w:hAnsi="Century Schoolbook"/>
        </w:rPr>
        <w:t xml:space="preserve">where there is not </w:t>
      </w:r>
      <w:r w:rsidR="00DB0648">
        <w:rPr>
          <w:rFonts w:ascii="Century Schoolbook" w:hAnsi="Century Schoolbook"/>
        </w:rPr>
        <w:t xml:space="preserve">yet </w:t>
      </w:r>
      <w:r w:rsidR="009A0289">
        <w:rPr>
          <w:rFonts w:ascii="Century Schoolbook" w:hAnsi="Century Schoolbook"/>
        </w:rPr>
        <w:t xml:space="preserve">an identifiable impact as until that point, the review process could not be meaningful in the sense that it allows consideration of alternatives that could mitigate the impact. </w:t>
      </w:r>
      <w:r w:rsidR="00DB0648">
        <w:rPr>
          <w:rFonts w:ascii="Century Schoolbook" w:hAnsi="Century Schoolbook"/>
        </w:rPr>
        <w:t>(</w:t>
      </w:r>
      <w:r w:rsidR="00DB0648" w:rsidRPr="00DB0648">
        <w:rPr>
          <w:rFonts w:ascii="Century Schoolbook" w:hAnsi="Century Schoolbook"/>
          <w:i/>
          <w:iCs/>
        </w:rPr>
        <w:t xml:space="preserve">Friends of the Sierra Railroad v. </w:t>
      </w:r>
      <w:proofErr w:type="spellStart"/>
      <w:r w:rsidR="00DB0648" w:rsidRPr="00DB0648">
        <w:rPr>
          <w:rFonts w:ascii="Century Schoolbook" w:hAnsi="Century Schoolbook"/>
          <w:i/>
          <w:iCs/>
        </w:rPr>
        <w:t>Tuolomne</w:t>
      </w:r>
      <w:proofErr w:type="spellEnd"/>
      <w:r w:rsidR="00DB0648" w:rsidRPr="00DB0648">
        <w:rPr>
          <w:rFonts w:ascii="Century Schoolbook" w:hAnsi="Century Schoolbook"/>
          <w:i/>
          <w:iCs/>
        </w:rPr>
        <w:t xml:space="preserve"> Park &amp; Recreation District</w:t>
      </w:r>
      <w:r w:rsidR="00DB0648">
        <w:rPr>
          <w:rFonts w:ascii="Century Schoolbook" w:hAnsi="Century Schoolbook"/>
        </w:rPr>
        <w:t xml:space="preserve"> (2007) 147 Cal.App.4th 643, 657–659 [reasonably foreseeable likelihood of some development plus possibility that the development could impact historical resource did not require EIR that could only speculate on future environmental consequences]</w:t>
      </w:r>
      <w:r w:rsidR="001336C7">
        <w:rPr>
          <w:rFonts w:ascii="Century Schoolbook" w:hAnsi="Century Schoolbook"/>
        </w:rPr>
        <w:t xml:space="preserve">; see also </w:t>
      </w:r>
      <w:r w:rsidR="001336C7" w:rsidRPr="00895CD7">
        <w:rPr>
          <w:rFonts w:ascii="Century Schoolbook" w:hAnsi="Century Schoolbook"/>
          <w:i/>
          <w:iCs/>
        </w:rPr>
        <w:t>Laurel Heights, supra</w:t>
      </w:r>
      <w:r w:rsidR="001336C7">
        <w:rPr>
          <w:rFonts w:ascii="Century Schoolbook" w:hAnsi="Century Schoolbook"/>
        </w:rPr>
        <w:t>, 47 Cal.3d at p. 396 [premature environmental analysis before a particular use or proposal is reasonably foreseeable may be deferred as it may be meaningless and financially wasteful]</w:t>
      </w:r>
      <w:r w:rsidR="00DB0648">
        <w:rPr>
          <w:rFonts w:ascii="Century Schoolbook" w:hAnsi="Century Schoolbook"/>
        </w:rPr>
        <w:t xml:space="preserve">.)  </w:t>
      </w:r>
      <w:r w:rsidR="009A0289">
        <w:rPr>
          <w:rFonts w:ascii="Century Schoolbook" w:hAnsi="Century Schoolbook"/>
        </w:rPr>
        <w:t xml:space="preserve"> </w:t>
      </w:r>
      <w:r w:rsidR="00EC3DBF">
        <w:rPr>
          <w:rFonts w:ascii="Century Schoolbook" w:hAnsi="Century Schoolbook"/>
        </w:rPr>
        <w:t xml:space="preserve"> </w:t>
      </w:r>
      <w:r w:rsidR="00B33067">
        <w:rPr>
          <w:rFonts w:ascii="Century Schoolbook" w:hAnsi="Century Schoolbook"/>
        </w:rPr>
        <w:t xml:space="preserve">  </w:t>
      </w:r>
      <w:r w:rsidR="00B674E9">
        <w:rPr>
          <w:rFonts w:ascii="Century Schoolbook" w:hAnsi="Century Schoolbook"/>
        </w:rPr>
        <w:t xml:space="preserve"> </w:t>
      </w:r>
    </w:p>
    <w:p w14:paraId="4E75F918" w14:textId="5689A9F4" w:rsidR="00C62AFA" w:rsidRPr="00C62AFA" w:rsidRDefault="00C62AFA" w:rsidP="00892D41">
      <w:pPr>
        <w:rPr>
          <w:rFonts w:ascii="Century Schoolbook" w:hAnsi="Century Schoolbook"/>
          <w:highlight w:val="yellow"/>
        </w:rPr>
      </w:pPr>
      <w:r>
        <w:rPr>
          <w:rFonts w:ascii="Century Schoolbook" w:hAnsi="Century Schoolbook"/>
        </w:rPr>
        <w:tab/>
      </w:r>
      <w:r w:rsidRPr="00617E77">
        <w:rPr>
          <w:rFonts w:ascii="Century Schoolbook" w:hAnsi="Century Schoolbook"/>
        </w:rPr>
        <w:t xml:space="preserve">“The judicial attitude to EIRs is deferential. </w:t>
      </w:r>
      <w:r w:rsidR="00FF5538">
        <w:rPr>
          <w:rFonts w:ascii="Century Schoolbook" w:hAnsi="Century Schoolbook"/>
        </w:rPr>
        <w:t>. . .</w:t>
      </w:r>
      <w:r w:rsidR="007328F9">
        <w:rPr>
          <w:rFonts w:ascii="Century Schoolbook" w:hAnsi="Century Schoolbook"/>
        </w:rPr>
        <w:t xml:space="preserve"> </w:t>
      </w:r>
      <w:r w:rsidRPr="00617E77">
        <w:rPr>
          <w:rFonts w:ascii="Century Schoolbook" w:hAnsi="Century Schoolbook"/>
        </w:rPr>
        <w:t>It follows that courts ‘do not require technical perfection or scientific certainty.’ (</w:t>
      </w:r>
      <w:r w:rsidRPr="00617E77">
        <w:rPr>
          <w:rFonts w:ascii="Century Schoolbook" w:hAnsi="Century Schoolbook"/>
          <w:i/>
          <w:iCs/>
        </w:rPr>
        <w:t>Sierra Club</w:t>
      </w:r>
      <w:r w:rsidR="00CE5020">
        <w:rPr>
          <w:rFonts w:ascii="Century Schoolbook" w:hAnsi="Century Schoolbook"/>
          <w:i/>
          <w:iCs/>
        </w:rPr>
        <w:t>[, supra,</w:t>
      </w:r>
      <w:r w:rsidRPr="00617E77">
        <w:rPr>
          <w:rFonts w:ascii="Century Schoolbook" w:hAnsi="Century Schoolbook"/>
          <w:i/>
          <w:iCs/>
        </w:rPr>
        <w:t xml:space="preserve"> </w:t>
      </w:r>
      <w:r w:rsidRPr="00617E77">
        <w:rPr>
          <w:rFonts w:ascii="Century Schoolbook" w:hAnsi="Century Schoolbook"/>
        </w:rPr>
        <w:t xml:space="preserve">6 Cal.5th </w:t>
      </w:r>
      <w:r w:rsidR="00CE5020">
        <w:rPr>
          <w:rFonts w:ascii="Century Schoolbook" w:hAnsi="Century Schoolbook"/>
        </w:rPr>
        <w:t xml:space="preserve">at p. </w:t>
      </w:r>
      <w:r w:rsidRPr="00617E77">
        <w:rPr>
          <w:rFonts w:ascii="Century Schoolbook" w:hAnsi="Century Schoolbook"/>
        </w:rPr>
        <w:t>515].)” (</w:t>
      </w:r>
      <w:r w:rsidRPr="00617E77">
        <w:rPr>
          <w:rFonts w:ascii="Century Schoolbook" w:hAnsi="Century Schoolbook"/>
          <w:i/>
          <w:iCs/>
        </w:rPr>
        <w:t>Tiburon, supra</w:t>
      </w:r>
      <w:r w:rsidRPr="00617E77">
        <w:rPr>
          <w:rFonts w:ascii="Century Schoolbook" w:hAnsi="Century Schoolbook"/>
        </w:rPr>
        <w:t>, 78 Cal.App.5th at p. 727.)</w:t>
      </w:r>
      <w:r w:rsidR="007328F9">
        <w:rPr>
          <w:rFonts w:ascii="Century Schoolbook" w:hAnsi="Century Schoolbook"/>
        </w:rPr>
        <w:t xml:space="preserve"> </w:t>
      </w:r>
      <w:r w:rsidR="00895CD7">
        <w:rPr>
          <w:rFonts w:ascii="Century Schoolbook" w:hAnsi="Century Schoolbook"/>
        </w:rPr>
        <w:t>As noted, reviewing c</w:t>
      </w:r>
      <w:r w:rsidR="007328F9">
        <w:rPr>
          <w:rFonts w:ascii="Century Schoolbook" w:hAnsi="Century Schoolbook"/>
        </w:rPr>
        <w:t>ourts</w:t>
      </w:r>
      <w:r w:rsidR="00895CD7">
        <w:rPr>
          <w:rFonts w:ascii="Century Schoolbook" w:hAnsi="Century Schoolbook"/>
        </w:rPr>
        <w:t xml:space="preserve"> </w:t>
      </w:r>
      <w:r w:rsidR="007328F9">
        <w:rPr>
          <w:rFonts w:ascii="Century Schoolbook" w:hAnsi="Century Schoolbook"/>
        </w:rPr>
        <w:t xml:space="preserve"> “ ‘ “ ‘have looked not for an exhaustive analysis but for adequacy, </w:t>
      </w:r>
      <w:proofErr w:type="gramStart"/>
      <w:r w:rsidR="007328F9">
        <w:rPr>
          <w:rFonts w:ascii="Century Schoolbook" w:hAnsi="Century Schoolbook"/>
        </w:rPr>
        <w:t>completeness</w:t>
      </w:r>
      <w:proofErr w:type="gramEnd"/>
      <w:r w:rsidR="007328F9">
        <w:rPr>
          <w:rFonts w:ascii="Century Schoolbook" w:hAnsi="Century Schoolbook"/>
        </w:rPr>
        <w:t xml:space="preserve"> and a good-faith effort at full disclosure.’ ” ’ </w:t>
      </w:r>
      <w:r w:rsidR="005F2C83">
        <w:rPr>
          <w:rFonts w:ascii="Century Schoolbook" w:hAnsi="Century Schoolbook"/>
        </w:rPr>
        <w:t>[Citations.]” (</w:t>
      </w:r>
      <w:r w:rsidR="005F2C83" w:rsidRPr="0090004C">
        <w:rPr>
          <w:rFonts w:ascii="Century Schoolbook" w:hAnsi="Century Schoolbook"/>
          <w:i/>
          <w:iCs/>
        </w:rPr>
        <w:t>Sierra Club</w:t>
      </w:r>
      <w:r w:rsidR="005F2C83">
        <w:rPr>
          <w:rFonts w:ascii="Century Schoolbook" w:hAnsi="Century Schoolbook"/>
        </w:rPr>
        <w:t xml:space="preserve">, at p. 515; see Guidelines, § </w:t>
      </w:r>
      <w:r w:rsidR="003929CA">
        <w:rPr>
          <w:rFonts w:ascii="Century Schoolbook" w:hAnsi="Century Schoolbook"/>
        </w:rPr>
        <w:t xml:space="preserve">15151 [sufficiency of EIR viewed </w:t>
      </w:r>
      <w:proofErr w:type="gramStart"/>
      <w:r w:rsidR="003929CA">
        <w:rPr>
          <w:rFonts w:ascii="Century Schoolbook" w:hAnsi="Century Schoolbook"/>
        </w:rPr>
        <w:t>in light of</w:t>
      </w:r>
      <w:proofErr w:type="gramEnd"/>
      <w:r w:rsidR="003929CA">
        <w:rPr>
          <w:rFonts w:ascii="Century Schoolbook" w:hAnsi="Century Schoolbook"/>
        </w:rPr>
        <w:t xml:space="preserve"> what is reasonably feasible].)</w:t>
      </w:r>
    </w:p>
    <w:p w14:paraId="41542B17" w14:textId="08FAA446" w:rsidR="0025569A" w:rsidRDefault="00D43311" w:rsidP="00672C1A">
      <w:pPr>
        <w:pStyle w:val="ListParagraph"/>
        <w:numPr>
          <w:ilvl w:val="0"/>
          <w:numId w:val="13"/>
        </w:numPr>
        <w:rPr>
          <w:rFonts w:ascii="Century Schoolbook" w:hAnsi="Century Schoolbook"/>
          <w:i/>
          <w:iCs/>
        </w:rPr>
      </w:pPr>
      <w:r w:rsidRPr="00D43311">
        <w:rPr>
          <w:rFonts w:ascii="Century Schoolbook" w:hAnsi="Century Schoolbook"/>
          <w:i/>
          <w:iCs/>
        </w:rPr>
        <w:t xml:space="preserve">The </w:t>
      </w:r>
      <w:r w:rsidR="00F82CD5">
        <w:rPr>
          <w:rFonts w:ascii="Century Schoolbook" w:hAnsi="Century Schoolbook"/>
          <w:i/>
          <w:iCs/>
        </w:rPr>
        <w:t xml:space="preserve">Standard of </w:t>
      </w:r>
      <w:r w:rsidR="00846D54">
        <w:rPr>
          <w:rFonts w:ascii="Century Schoolbook" w:hAnsi="Century Schoolbook"/>
          <w:i/>
          <w:iCs/>
        </w:rPr>
        <w:t>R</w:t>
      </w:r>
      <w:r w:rsidR="00F82CD5">
        <w:rPr>
          <w:rFonts w:ascii="Century Schoolbook" w:hAnsi="Century Schoolbook"/>
          <w:i/>
          <w:iCs/>
        </w:rPr>
        <w:t>eview</w:t>
      </w:r>
      <w:r w:rsidR="009B0F36">
        <w:rPr>
          <w:rFonts w:ascii="Century Schoolbook" w:hAnsi="Century Schoolbook"/>
          <w:i/>
          <w:iCs/>
        </w:rPr>
        <w:t xml:space="preserve"> </w:t>
      </w:r>
    </w:p>
    <w:p w14:paraId="6454C54C" w14:textId="44CA4B97" w:rsidR="0043334E" w:rsidRPr="0043334E" w:rsidRDefault="0043334E" w:rsidP="0043334E">
      <w:pPr>
        <w:rPr>
          <w:rFonts w:ascii="Century Schoolbook" w:hAnsi="Century Schoolbook"/>
        </w:rPr>
      </w:pPr>
      <w:r>
        <w:tab/>
      </w:r>
      <w:r w:rsidRPr="0043334E">
        <w:rPr>
          <w:rFonts w:ascii="Century Schoolbook" w:hAnsi="Century Schoolbook"/>
        </w:rPr>
        <w:t xml:space="preserve">On appeal, the parties reprise their </w:t>
      </w:r>
      <w:r>
        <w:rPr>
          <w:rFonts w:ascii="Century Schoolbook" w:hAnsi="Century Schoolbook"/>
        </w:rPr>
        <w:t xml:space="preserve">respective </w:t>
      </w:r>
      <w:r w:rsidRPr="0043334E">
        <w:rPr>
          <w:rFonts w:ascii="Century Schoolbook" w:hAnsi="Century Schoolbook"/>
        </w:rPr>
        <w:t>positions taken in the trial court</w:t>
      </w:r>
      <w:r w:rsidR="00033326">
        <w:rPr>
          <w:rFonts w:ascii="Century Schoolbook" w:hAnsi="Century Schoolbook"/>
        </w:rPr>
        <w:t>, as outlined above,</w:t>
      </w:r>
      <w:r w:rsidRPr="0043334E">
        <w:rPr>
          <w:rFonts w:ascii="Century Schoolbook" w:hAnsi="Century Schoolbook"/>
        </w:rPr>
        <w:t xml:space="preserve"> </w:t>
      </w:r>
      <w:r>
        <w:rPr>
          <w:rFonts w:ascii="Century Schoolbook" w:hAnsi="Century Schoolbook"/>
        </w:rPr>
        <w:t>on the adequacy of the Final EIR</w:t>
      </w:r>
      <w:r w:rsidRPr="0043334E">
        <w:rPr>
          <w:rFonts w:ascii="Century Schoolbook" w:hAnsi="Century Schoolbook"/>
        </w:rPr>
        <w:t xml:space="preserve">.  </w:t>
      </w:r>
    </w:p>
    <w:p w14:paraId="78D6AEAF" w14:textId="27CF286A" w:rsidR="003E75F8" w:rsidRDefault="0036786C" w:rsidP="003E75F8">
      <w:pPr>
        <w:rPr>
          <w:rFonts w:ascii="Century Schoolbook" w:hAnsi="Century Schoolbook"/>
        </w:rPr>
      </w:pPr>
      <w:r>
        <w:rPr>
          <w:rFonts w:ascii="Century Schoolbook" w:hAnsi="Century Schoolbook"/>
        </w:rPr>
        <w:tab/>
      </w:r>
      <w:r w:rsidR="00617E77">
        <w:rPr>
          <w:rFonts w:ascii="Century Schoolbook" w:hAnsi="Century Schoolbook"/>
        </w:rPr>
        <w:t>“ ‘ “ ‘ “An EIR is presumed adequate,” ’ ” ’ ” and the party challenging its adequacy “ ‘ “ ‘ “has the burden of proving otherwise” ’ ” ’ ” by establishing a “</w:t>
      </w:r>
      <w:r w:rsidR="00294442">
        <w:rPr>
          <w:rFonts w:ascii="Century Schoolbook" w:hAnsi="Century Schoolbook"/>
        </w:rPr>
        <w:t> </w:t>
      </w:r>
      <w:r w:rsidR="00617E77">
        <w:rPr>
          <w:rFonts w:ascii="Century Schoolbook" w:hAnsi="Century Schoolbook"/>
        </w:rPr>
        <w:t>‘</w:t>
      </w:r>
      <w:r w:rsidR="00294442">
        <w:rPr>
          <w:rFonts w:ascii="Century Schoolbook" w:hAnsi="Century Schoolbook"/>
        </w:rPr>
        <w:t> </w:t>
      </w:r>
      <w:r w:rsidR="00617E77">
        <w:rPr>
          <w:rFonts w:ascii="Century Schoolbook" w:hAnsi="Century Schoolbook"/>
        </w:rPr>
        <w:t>“prejudicial abuse of discretion.” ’ ” (</w:t>
      </w:r>
      <w:r w:rsidR="00617E77" w:rsidRPr="00617E77">
        <w:rPr>
          <w:rFonts w:ascii="Century Schoolbook" w:hAnsi="Century Schoolbook"/>
          <w:i/>
          <w:iCs/>
        </w:rPr>
        <w:t>South of Market Community Action Network v. City and County of San Francisco</w:t>
      </w:r>
      <w:r w:rsidR="00617E77">
        <w:rPr>
          <w:rFonts w:ascii="Century Schoolbook" w:hAnsi="Century Schoolbook"/>
        </w:rPr>
        <w:t xml:space="preserve"> (2019) 33 Cal.App.5th 321, 329 </w:t>
      </w:r>
      <w:r w:rsidR="00617E77">
        <w:rPr>
          <w:rFonts w:ascii="Century Schoolbook" w:hAnsi="Century Schoolbook"/>
        </w:rPr>
        <w:lastRenderedPageBreak/>
        <w:t>(</w:t>
      </w:r>
      <w:r w:rsidR="00617E77" w:rsidRPr="00617E77">
        <w:rPr>
          <w:rFonts w:ascii="Century Schoolbook" w:hAnsi="Century Schoolbook"/>
          <w:i/>
          <w:iCs/>
        </w:rPr>
        <w:t>South of Market</w:t>
      </w:r>
      <w:r w:rsidR="00617E77">
        <w:rPr>
          <w:rFonts w:ascii="Century Schoolbook" w:hAnsi="Century Schoolbook"/>
        </w:rPr>
        <w:t xml:space="preserve">); see </w:t>
      </w:r>
      <w:r w:rsidR="00617E77" w:rsidRPr="00617E77">
        <w:rPr>
          <w:rFonts w:ascii="Century Schoolbook" w:hAnsi="Century Schoolbook"/>
          <w:i/>
          <w:iCs/>
        </w:rPr>
        <w:t>Neighbors for Smart Rail v. Exposition Metro Line Construction Authority</w:t>
      </w:r>
      <w:r w:rsidR="00617E77">
        <w:rPr>
          <w:rFonts w:ascii="Century Schoolbook" w:hAnsi="Century Schoolbook"/>
        </w:rPr>
        <w:t xml:space="preserve"> (2013) 57 Cal.4th 439, 463.) </w:t>
      </w:r>
    </w:p>
    <w:p w14:paraId="0A2D0C6E" w14:textId="49219C63" w:rsidR="00033326" w:rsidRDefault="007B1391" w:rsidP="003E75F8">
      <w:pPr>
        <w:rPr>
          <w:rFonts w:ascii="Century Schoolbook" w:hAnsi="Century Schoolbook"/>
        </w:rPr>
      </w:pPr>
      <w:r>
        <w:rPr>
          <w:rFonts w:ascii="Century Schoolbook" w:hAnsi="Century Schoolbook"/>
        </w:rPr>
        <w:tab/>
        <w:t>“In evaluating the adequacy of an EIR, the appellate court reviews the agency’s actions, not the trial court’s decision. [Citations.] ‘The standard of review in a CEQA case, as provided in sections 21168.5 and 21005, is abuse of discretion.’ (</w:t>
      </w:r>
      <w:r w:rsidRPr="001A4EDD">
        <w:rPr>
          <w:rFonts w:ascii="Century Schoolbook" w:hAnsi="Century Schoolbook"/>
          <w:i/>
          <w:iCs/>
        </w:rPr>
        <w:t>Sierra Club, supra</w:t>
      </w:r>
      <w:r>
        <w:rPr>
          <w:rFonts w:ascii="Century Schoolbook" w:hAnsi="Century Schoolbook"/>
        </w:rPr>
        <w:t xml:space="preserve">, 6 Cal.5th at p. 512.) ‘Abuse of discretion is established </w:t>
      </w:r>
      <w:r w:rsidR="001A4EDD">
        <w:rPr>
          <w:rFonts w:ascii="Century Schoolbook" w:hAnsi="Century Schoolbook"/>
        </w:rPr>
        <w:t>if the agency has not proceeded in a manner required by law or if the determination or decision is not supported by substantial evidence.’ (§ 21168.5.)” (</w:t>
      </w:r>
      <w:r w:rsidR="001A4EDD" w:rsidRPr="001A4EDD">
        <w:rPr>
          <w:rFonts w:ascii="Century Schoolbook" w:hAnsi="Century Schoolbook"/>
          <w:i/>
          <w:iCs/>
        </w:rPr>
        <w:t>Preservation Action Council v. City of San Jose</w:t>
      </w:r>
      <w:r w:rsidR="001A4EDD">
        <w:rPr>
          <w:rFonts w:ascii="Century Schoolbook" w:hAnsi="Century Schoolbook"/>
        </w:rPr>
        <w:t xml:space="preserve"> (2023) 91 Cal.App.5th 517, 532 (</w:t>
      </w:r>
      <w:r w:rsidR="001A4EDD" w:rsidRPr="001A4EDD">
        <w:rPr>
          <w:rFonts w:ascii="Century Schoolbook" w:hAnsi="Century Schoolbook"/>
          <w:i/>
          <w:iCs/>
        </w:rPr>
        <w:t>Preservation</w:t>
      </w:r>
      <w:r w:rsidR="001A4EDD">
        <w:rPr>
          <w:rFonts w:ascii="Century Schoolbook" w:hAnsi="Century Schoolbook"/>
        </w:rPr>
        <w:t>).)</w:t>
      </w:r>
      <w:r>
        <w:rPr>
          <w:rFonts w:ascii="Century Schoolbook" w:hAnsi="Century Schoolbook"/>
        </w:rPr>
        <w:t xml:space="preserve"> </w:t>
      </w:r>
    </w:p>
    <w:p w14:paraId="6A8D570D" w14:textId="14B29B1B" w:rsidR="007B1391" w:rsidRDefault="00033326" w:rsidP="003E75F8">
      <w:pPr>
        <w:rPr>
          <w:rFonts w:ascii="Century Schoolbook" w:hAnsi="Century Schoolbook"/>
        </w:rPr>
      </w:pPr>
      <w:r>
        <w:rPr>
          <w:rFonts w:ascii="Century Schoolbook" w:hAnsi="Century Schoolbook"/>
        </w:rPr>
        <w:tab/>
      </w:r>
      <w:r w:rsidR="001A4EDD">
        <w:rPr>
          <w:rFonts w:ascii="Century Schoolbook" w:hAnsi="Century Schoolbook"/>
        </w:rPr>
        <w:t xml:space="preserve">“ ‘ “A prejudicial abuse of discretion occurs if the failure to include relevant information precludes informed </w:t>
      </w:r>
      <w:proofErr w:type="spellStart"/>
      <w:r w:rsidR="001A4EDD">
        <w:rPr>
          <w:rFonts w:ascii="Century Schoolbook" w:hAnsi="Century Schoolbook"/>
        </w:rPr>
        <w:t>decisionmaking</w:t>
      </w:r>
      <w:proofErr w:type="spellEnd"/>
      <w:r w:rsidR="001A4EDD">
        <w:rPr>
          <w:rFonts w:ascii="Century Schoolbook" w:hAnsi="Century Schoolbook"/>
        </w:rPr>
        <w:t xml:space="preserve"> and informed public participation, thereby thwarting the statutory goals of the EIR process.” ’ ” (</w:t>
      </w:r>
      <w:r w:rsidR="001A4EDD" w:rsidRPr="00617E77">
        <w:rPr>
          <w:rFonts w:ascii="Century Schoolbook" w:hAnsi="Century Schoolbook"/>
          <w:i/>
          <w:iCs/>
        </w:rPr>
        <w:t>South of Market</w:t>
      </w:r>
      <w:r w:rsidR="001A4EDD">
        <w:rPr>
          <w:rFonts w:ascii="Century Schoolbook" w:hAnsi="Century Schoolbook"/>
        </w:rPr>
        <w:t xml:space="preserve">, </w:t>
      </w:r>
      <w:r w:rsidR="001A4EDD" w:rsidRPr="001A4EDD">
        <w:rPr>
          <w:rFonts w:ascii="Century Schoolbook" w:hAnsi="Century Schoolbook"/>
          <w:i/>
          <w:iCs/>
        </w:rPr>
        <w:t>supra</w:t>
      </w:r>
      <w:r w:rsidR="001A4EDD">
        <w:rPr>
          <w:rFonts w:ascii="Century Schoolbook" w:hAnsi="Century Schoolbook"/>
        </w:rPr>
        <w:t>, 33 Cal.App.5th at p. 331</w:t>
      </w:r>
      <w:r w:rsidR="00B56411">
        <w:rPr>
          <w:rFonts w:ascii="Century Schoolbook" w:hAnsi="Century Schoolbook"/>
        </w:rPr>
        <w:t xml:space="preserve">; </w:t>
      </w:r>
      <w:r w:rsidR="00B56411" w:rsidRPr="00B56411">
        <w:rPr>
          <w:rFonts w:ascii="Century Schoolbook" w:hAnsi="Century Schoolbook"/>
          <w:bCs/>
        </w:rPr>
        <w:t xml:space="preserve">see also </w:t>
      </w:r>
      <w:r w:rsidR="00B56411" w:rsidRPr="00101241">
        <w:rPr>
          <w:rFonts w:ascii="Century Schoolbook" w:hAnsi="Century Schoolbook"/>
          <w:i/>
          <w:iCs/>
        </w:rPr>
        <w:t>Vineyard</w:t>
      </w:r>
      <w:r w:rsidR="00CE5020">
        <w:rPr>
          <w:rFonts w:ascii="Century Schoolbook" w:hAnsi="Century Schoolbook"/>
          <w:i/>
          <w:iCs/>
        </w:rPr>
        <w:t>, supra,</w:t>
      </w:r>
      <w:r w:rsidR="00B56411">
        <w:rPr>
          <w:rFonts w:ascii="Century Schoolbook" w:hAnsi="Century Schoolbook"/>
        </w:rPr>
        <w:t xml:space="preserve"> 40 Cal.4th </w:t>
      </w:r>
      <w:r w:rsidR="00CE5020">
        <w:rPr>
          <w:rFonts w:ascii="Century Schoolbook" w:hAnsi="Century Schoolbook"/>
        </w:rPr>
        <w:t xml:space="preserve">at p. </w:t>
      </w:r>
      <w:r w:rsidR="00B56411">
        <w:rPr>
          <w:rFonts w:ascii="Century Schoolbook" w:hAnsi="Century Schoolbook"/>
        </w:rPr>
        <w:t>428</w:t>
      </w:r>
      <w:r w:rsidR="00B56411" w:rsidRPr="00B56411">
        <w:rPr>
          <w:rFonts w:ascii="Century Schoolbook" w:hAnsi="Century Schoolbook"/>
          <w:bCs/>
          <w:i/>
          <w:iCs/>
        </w:rPr>
        <w:t xml:space="preserve"> </w:t>
      </w:r>
      <w:r w:rsidR="00B56411" w:rsidRPr="00B56411">
        <w:rPr>
          <w:rFonts w:ascii="Century Schoolbook" w:hAnsi="Century Schoolbook"/>
          <w:bCs/>
        </w:rPr>
        <w:t>[absence of information in an EIR may be a failure to proceed in a manner required by law</w:t>
      </w:r>
      <w:r w:rsidR="001F0A10">
        <w:rPr>
          <w:rFonts w:ascii="Century Schoolbook" w:hAnsi="Century Schoolbook"/>
          <w:bCs/>
        </w:rPr>
        <w:t xml:space="preserve"> under </w:t>
      </w:r>
      <w:r w:rsidR="00B56411" w:rsidRPr="00B56411">
        <w:rPr>
          <w:rFonts w:ascii="Century Schoolbook" w:hAnsi="Century Schoolbook"/>
          <w:bCs/>
        </w:rPr>
        <w:t>§ 21061]</w:t>
      </w:r>
      <w:r w:rsidR="001A4EDD">
        <w:rPr>
          <w:rFonts w:ascii="Century Schoolbook" w:hAnsi="Century Schoolbook"/>
        </w:rPr>
        <w:t>.)</w:t>
      </w:r>
      <w:r w:rsidR="008246F3">
        <w:rPr>
          <w:rFonts w:ascii="Century Schoolbook" w:hAnsi="Century Schoolbook"/>
        </w:rPr>
        <w:t xml:space="preserve"> “But, failing to include information ‘normally will rise to the level of a failure to proceed in the manner required by law only if the analysis in the EIR is clearly inadequate or unsupported. [Citation.]’ [Citation.]” (</w:t>
      </w:r>
      <w:r w:rsidR="008246F3" w:rsidRPr="008246F3">
        <w:rPr>
          <w:rFonts w:ascii="Century Schoolbook" w:hAnsi="Century Schoolbook"/>
          <w:i/>
          <w:iCs/>
        </w:rPr>
        <w:t>Treasure Island, supra</w:t>
      </w:r>
      <w:r w:rsidR="008246F3">
        <w:rPr>
          <w:rFonts w:ascii="Century Schoolbook" w:hAnsi="Century Schoolbook"/>
        </w:rPr>
        <w:t xml:space="preserve">, 227 Cal.App.4th at p. 1046.) </w:t>
      </w:r>
      <w:r w:rsidR="00527893">
        <w:rPr>
          <w:rFonts w:ascii="Century Schoolbook" w:hAnsi="Century Schoolbook"/>
        </w:rPr>
        <w:t xml:space="preserve">“A challenger </w:t>
      </w:r>
      <w:r w:rsidR="00294442">
        <w:rPr>
          <w:rFonts w:ascii="Century Schoolbook" w:hAnsi="Century Schoolbook"/>
        </w:rPr>
        <w:t>. . .</w:t>
      </w:r>
      <w:r w:rsidR="00527893">
        <w:rPr>
          <w:rFonts w:ascii="Century Schoolbook" w:hAnsi="Century Schoolbook"/>
        </w:rPr>
        <w:t xml:space="preserve"> asserting inadequacies in an EIR must show the omitted information ‘is both required by CEQA and necessary to informed discussion. [Citations.]’ [Citation.]” (</w:t>
      </w:r>
      <w:r w:rsidR="00527893" w:rsidRPr="00527893">
        <w:rPr>
          <w:rFonts w:ascii="Century Schoolbook" w:hAnsi="Century Schoolbook"/>
          <w:i/>
          <w:iCs/>
        </w:rPr>
        <w:t>Id.</w:t>
      </w:r>
      <w:r w:rsidR="00527893">
        <w:rPr>
          <w:rFonts w:ascii="Century Schoolbook" w:hAnsi="Century Schoolbook"/>
        </w:rPr>
        <w:t xml:space="preserve"> at pp. 1046–1047.)</w:t>
      </w:r>
      <w:r w:rsidR="004B341E">
        <w:rPr>
          <w:rFonts w:ascii="Century Schoolbook" w:hAnsi="Century Schoolbook"/>
        </w:rPr>
        <w:t xml:space="preserve"> “ ‘Only if the </w:t>
      </w:r>
      <w:proofErr w:type="gramStart"/>
      <w:r w:rsidR="004B341E">
        <w:rPr>
          <w:rFonts w:ascii="Century Schoolbook" w:hAnsi="Century Schoolbook"/>
        </w:rPr>
        <w:t>manner in which</w:t>
      </w:r>
      <w:proofErr w:type="gramEnd"/>
      <w:r w:rsidR="004B341E">
        <w:rPr>
          <w:rFonts w:ascii="Century Schoolbook" w:hAnsi="Century Schoolbook"/>
        </w:rPr>
        <w:t xml:space="preserve"> an agency failed to follow the law </w:t>
      </w:r>
      <w:r w:rsidR="00DF3BA8">
        <w:rPr>
          <w:rFonts w:ascii="Century Schoolbook" w:hAnsi="Century Schoolbook"/>
        </w:rPr>
        <w:t xml:space="preserve">is shown to be prejudicial, or is presumptively prejudicial, as when the [lead agency] fails to comply with mandatory procedures, must the decision be set aside </w:t>
      </w:r>
      <w:r w:rsidR="00294442">
        <w:rPr>
          <w:rFonts w:ascii="Century Schoolbook" w:hAnsi="Century Schoolbook"/>
        </w:rPr>
        <w:t>. . .</w:t>
      </w:r>
      <w:r w:rsidR="00DF3BA8">
        <w:rPr>
          <w:rFonts w:ascii="Century Schoolbook" w:hAnsi="Century Schoolbook"/>
        </w:rPr>
        <w:t xml:space="preserve"> .’ [Citation.]” (</w:t>
      </w:r>
      <w:r w:rsidR="00DF3BA8" w:rsidRPr="00DF3BA8">
        <w:rPr>
          <w:rFonts w:ascii="Century Schoolbook" w:hAnsi="Century Schoolbook"/>
          <w:i/>
          <w:iCs/>
        </w:rPr>
        <w:t>Environmental Protection Information Center v. California Department of Forestry &amp; Fire Protection</w:t>
      </w:r>
      <w:r w:rsidR="00DF3BA8">
        <w:rPr>
          <w:rFonts w:ascii="Century Schoolbook" w:hAnsi="Century Schoolbook"/>
        </w:rPr>
        <w:t xml:space="preserve"> (2008) 44 Cal.4th 459, 485</w:t>
      </w:r>
      <w:r w:rsidR="006802B8">
        <w:rPr>
          <w:rFonts w:ascii="Century Schoolbook" w:hAnsi="Century Schoolbook"/>
        </w:rPr>
        <w:t xml:space="preserve"> (</w:t>
      </w:r>
      <w:r w:rsidR="006802B8" w:rsidRPr="00EF13DB">
        <w:rPr>
          <w:rFonts w:ascii="Century Schoolbook" w:hAnsi="Century Schoolbook"/>
          <w:i/>
          <w:iCs/>
        </w:rPr>
        <w:t xml:space="preserve">Environmental </w:t>
      </w:r>
      <w:r w:rsidR="006802B8" w:rsidRPr="00EF13DB">
        <w:rPr>
          <w:rFonts w:ascii="Century Schoolbook" w:hAnsi="Century Schoolbook"/>
          <w:i/>
          <w:iCs/>
        </w:rPr>
        <w:lastRenderedPageBreak/>
        <w:t>Protection</w:t>
      </w:r>
      <w:r w:rsidR="006802B8" w:rsidRPr="00EF13DB">
        <w:rPr>
          <w:rFonts w:ascii="Century Schoolbook" w:hAnsi="Century Schoolbook"/>
        </w:rPr>
        <w:t>)</w:t>
      </w:r>
      <w:r w:rsidR="00DF3BA8">
        <w:rPr>
          <w:rFonts w:ascii="Century Schoolbook" w:hAnsi="Century Schoolbook"/>
        </w:rPr>
        <w:t>.) The failure to comply with mandatory procedures gives rise to presumptive prejudice when</w:t>
      </w:r>
      <w:r w:rsidR="00B35374">
        <w:rPr>
          <w:rFonts w:ascii="Century Schoolbook" w:hAnsi="Century Schoolbook"/>
        </w:rPr>
        <w:t xml:space="preserve"> the result is a subversion of CEQA’s purposes; </w:t>
      </w:r>
      <w:r w:rsidR="00DF3BA8">
        <w:rPr>
          <w:rFonts w:ascii="Century Schoolbook" w:hAnsi="Century Schoolbook"/>
        </w:rPr>
        <w:t xml:space="preserve">for example, </w:t>
      </w:r>
      <w:r w:rsidR="00B35374">
        <w:rPr>
          <w:rFonts w:ascii="Century Schoolbook" w:hAnsi="Century Schoolbook"/>
        </w:rPr>
        <w:t xml:space="preserve">if </w:t>
      </w:r>
      <w:r w:rsidR="00DF3BA8">
        <w:rPr>
          <w:rFonts w:ascii="Century Schoolbook" w:hAnsi="Century Schoolbook"/>
        </w:rPr>
        <w:t xml:space="preserve">the absence of information frustrated public comment or made meaningful assessment of potentially significant environmental impacts </w:t>
      </w:r>
      <w:r w:rsidR="00B35374">
        <w:rPr>
          <w:rFonts w:ascii="Century Schoolbook" w:hAnsi="Century Schoolbook"/>
        </w:rPr>
        <w:t>impossible. (</w:t>
      </w:r>
      <w:r w:rsidR="00B35374" w:rsidRPr="00B35374">
        <w:rPr>
          <w:rFonts w:ascii="Century Schoolbook" w:hAnsi="Century Schoolbook"/>
          <w:i/>
          <w:iCs/>
        </w:rPr>
        <w:t>I</w:t>
      </w:r>
      <w:r w:rsidR="00B35374">
        <w:rPr>
          <w:rFonts w:ascii="Century Schoolbook" w:hAnsi="Century Schoolbook"/>
          <w:i/>
          <w:iCs/>
        </w:rPr>
        <w:t>d</w:t>
      </w:r>
      <w:r w:rsidR="00B35374">
        <w:rPr>
          <w:rFonts w:ascii="Century Schoolbook" w:hAnsi="Century Schoolbook"/>
        </w:rPr>
        <w:t>. at pp. 485–486.)</w:t>
      </w:r>
      <w:r w:rsidR="00DF3BA8">
        <w:rPr>
          <w:rFonts w:ascii="Century Schoolbook" w:hAnsi="Century Schoolbook"/>
        </w:rPr>
        <w:t xml:space="preserve"> </w:t>
      </w:r>
      <w:r w:rsidR="004B341E">
        <w:rPr>
          <w:rFonts w:ascii="Century Schoolbook" w:hAnsi="Century Schoolbook"/>
        </w:rPr>
        <w:t xml:space="preserve"> </w:t>
      </w:r>
    </w:p>
    <w:p w14:paraId="16FE8A1A" w14:textId="31A85D2E" w:rsidR="00227DC1" w:rsidRDefault="001A4EDD" w:rsidP="003E75F8">
      <w:pPr>
        <w:rPr>
          <w:rFonts w:ascii="Century Schoolbook" w:hAnsi="Century Schoolbook"/>
        </w:rPr>
      </w:pPr>
      <w:r>
        <w:rPr>
          <w:rFonts w:ascii="Century Schoolbook" w:hAnsi="Century Schoolbook"/>
        </w:rPr>
        <w:tab/>
      </w:r>
      <w:r w:rsidR="005E5E65">
        <w:rPr>
          <w:rFonts w:ascii="Century Schoolbook" w:hAnsi="Century Schoolbook"/>
        </w:rPr>
        <w:t>Judicial review for</w:t>
      </w:r>
      <w:r w:rsidR="00895CD7">
        <w:rPr>
          <w:rFonts w:ascii="Century Schoolbook" w:hAnsi="Century Schoolbook"/>
        </w:rPr>
        <w:t xml:space="preserve"> </w:t>
      </w:r>
      <w:r w:rsidR="008246F3">
        <w:rPr>
          <w:rFonts w:ascii="Century Schoolbook" w:hAnsi="Century Schoolbook"/>
        </w:rPr>
        <w:t xml:space="preserve">a </w:t>
      </w:r>
      <w:r w:rsidR="00895CD7">
        <w:rPr>
          <w:rFonts w:ascii="Century Schoolbook" w:hAnsi="Century Schoolbook"/>
        </w:rPr>
        <w:t xml:space="preserve">claimed failure </w:t>
      </w:r>
      <w:r w:rsidR="005E5E65">
        <w:rPr>
          <w:rFonts w:ascii="Century Schoolbook" w:hAnsi="Century Schoolbook"/>
        </w:rPr>
        <w:t xml:space="preserve">to proceed in the manner </w:t>
      </w:r>
      <w:r w:rsidR="009B6D02">
        <w:rPr>
          <w:rFonts w:ascii="Century Schoolbook" w:hAnsi="Century Schoolbook"/>
        </w:rPr>
        <w:t xml:space="preserve">required by </w:t>
      </w:r>
      <w:r w:rsidR="005E5E65">
        <w:rPr>
          <w:rFonts w:ascii="Century Schoolbook" w:hAnsi="Century Schoolbook"/>
        </w:rPr>
        <w:t>CEQA</w:t>
      </w:r>
      <w:r w:rsidR="00895CD7">
        <w:rPr>
          <w:rFonts w:ascii="Century Schoolbook" w:hAnsi="Century Schoolbook"/>
        </w:rPr>
        <w:t>,</w:t>
      </w:r>
      <w:r w:rsidR="004C766D">
        <w:rPr>
          <w:rFonts w:ascii="Century Schoolbook" w:hAnsi="Century Schoolbook"/>
        </w:rPr>
        <w:t xml:space="preserve"> </w:t>
      </w:r>
      <w:r w:rsidR="00895CD7">
        <w:rPr>
          <w:rFonts w:ascii="Century Schoolbook" w:hAnsi="Century Schoolbook"/>
        </w:rPr>
        <w:t xml:space="preserve">on the one hand, </w:t>
      </w:r>
      <w:r w:rsidR="005E5E65">
        <w:rPr>
          <w:rFonts w:ascii="Century Schoolbook" w:hAnsi="Century Schoolbook"/>
        </w:rPr>
        <w:t xml:space="preserve">or for reaching factual conclusions </w:t>
      </w:r>
      <w:r w:rsidR="00101241">
        <w:rPr>
          <w:rFonts w:ascii="Century Schoolbook" w:hAnsi="Century Schoolbook"/>
        </w:rPr>
        <w:t>unsupported by substantial evidence</w:t>
      </w:r>
      <w:r w:rsidR="00895CD7">
        <w:rPr>
          <w:rFonts w:ascii="Century Schoolbook" w:hAnsi="Century Schoolbook"/>
        </w:rPr>
        <w:t>, on the other hand,</w:t>
      </w:r>
      <w:r w:rsidR="005E5E65">
        <w:rPr>
          <w:rFonts w:ascii="Century Schoolbook" w:hAnsi="Century Schoolbook"/>
        </w:rPr>
        <w:t xml:space="preserve"> “differs significantly: [w]</w:t>
      </w:r>
      <w:proofErr w:type="spellStart"/>
      <w:r w:rsidR="005E5E65">
        <w:rPr>
          <w:rFonts w:ascii="Century Schoolbook" w:hAnsi="Century Schoolbook"/>
        </w:rPr>
        <w:t>hile</w:t>
      </w:r>
      <w:proofErr w:type="spellEnd"/>
      <w:r w:rsidR="005E5E65">
        <w:rPr>
          <w:rFonts w:ascii="Century Schoolbook" w:hAnsi="Century Schoolbook"/>
        </w:rPr>
        <w:t xml:space="preserve"> we determine de novo whether the agency has employed the correct procedures, ‘scrupulously </w:t>
      </w:r>
      <w:proofErr w:type="spellStart"/>
      <w:r w:rsidR="005E5E65">
        <w:rPr>
          <w:rFonts w:ascii="Century Schoolbook" w:hAnsi="Century Schoolbook"/>
        </w:rPr>
        <w:t>enforc</w:t>
      </w:r>
      <w:proofErr w:type="spellEnd"/>
      <w:r w:rsidR="005E5E65">
        <w:rPr>
          <w:rFonts w:ascii="Century Schoolbook" w:hAnsi="Century Schoolbook"/>
        </w:rPr>
        <w:t>[</w:t>
      </w:r>
      <w:proofErr w:type="spellStart"/>
      <w:r w:rsidR="005E5E65">
        <w:rPr>
          <w:rFonts w:ascii="Century Schoolbook" w:hAnsi="Century Schoolbook"/>
        </w:rPr>
        <w:t>ing</w:t>
      </w:r>
      <w:proofErr w:type="spellEnd"/>
      <w:r w:rsidR="005E5E65">
        <w:rPr>
          <w:rFonts w:ascii="Century Schoolbook" w:hAnsi="Century Schoolbook"/>
        </w:rPr>
        <w:t>] all legislatively mandated CEQA requirements’ [citation], we accord greater deference to the agency’s substantive factual conclusions.” (</w:t>
      </w:r>
      <w:r w:rsidR="005E5E65" w:rsidRPr="00101241">
        <w:rPr>
          <w:rFonts w:ascii="Century Schoolbook" w:hAnsi="Century Schoolbook"/>
          <w:i/>
          <w:iCs/>
        </w:rPr>
        <w:t>Vineyard</w:t>
      </w:r>
      <w:r w:rsidR="00B56411">
        <w:rPr>
          <w:rFonts w:ascii="Century Schoolbook" w:hAnsi="Century Schoolbook"/>
          <w:i/>
          <w:iCs/>
        </w:rPr>
        <w:t>, supra,</w:t>
      </w:r>
      <w:r w:rsidR="005E5E65" w:rsidRPr="00101241">
        <w:rPr>
          <w:rFonts w:ascii="Century Schoolbook" w:hAnsi="Century Schoolbook"/>
          <w:i/>
          <w:iCs/>
        </w:rPr>
        <w:t xml:space="preserve"> </w:t>
      </w:r>
      <w:r w:rsidR="005E5E65">
        <w:rPr>
          <w:rFonts w:ascii="Century Schoolbook" w:hAnsi="Century Schoolbook"/>
        </w:rPr>
        <w:t xml:space="preserve">40 Cal.4th </w:t>
      </w:r>
      <w:r w:rsidR="00B56411">
        <w:rPr>
          <w:rFonts w:ascii="Century Schoolbook" w:hAnsi="Century Schoolbook"/>
        </w:rPr>
        <w:t xml:space="preserve">at p. </w:t>
      </w:r>
      <w:r w:rsidR="00101241">
        <w:rPr>
          <w:rFonts w:ascii="Century Schoolbook" w:hAnsi="Century Schoolbook"/>
        </w:rPr>
        <w:t>435.)</w:t>
      </w:r>
      <w:r w:rsidR="005E5E65">
        <w:rPr>
          <w:rFonts w:ascii="Century Schoolbook" w:hAnsi="Century Schoolbook"/>
        </w:rPr>
        <w:t xml:space="preserve"> </w:t>
      </w:r>
      <w:r w:rsidR="00101241">
        <w:rPr>
          <w:rFonts w:ascii="Century Schoolbook" w:hAnsi="Century Schoolbook"/>
        </w:rPr>
        <w:t>“These differences require the ‘reviewing court [to] adjust its scrutiny to the nature of the alleged defect, depending on whether the claim is predominantly one of improper procedure or a dispute over the facts</w:t>
      </w:r>
      <w:r w:rsidR="00227DC1">
        <w:rPr>
          <w:rFonts w:ascii="Century Schoolbook" w:hAnsi="Century Schoolbook"/>
        </w:rPr>
        <w:t>.’ (</w:t>
      </w:r>
      <w:r w:rsidR="00227DC1" w:rsidRPr="00227DC1">
        <w:rPr>
          <w:rFonts w:ascii="Century Schoolbook" w:hAnsi="Century Schoolbook"/>
          <w:i/>
          <w:iCs/>
        </w:rPr>
        <w:t>Ibid</w:t>
      </w:r>
      <w:r w:rsidR="00227DC1">
        <w:rPr>
          <w:rFonts w:ascii="Century Schoolbook" w:hAnsi="Century Schoolbook"/>
        </w:rPr>
        <w:t xml:space="preserve">.; accord, </w:t>
      </w:r>
      <w:r w:rsidR="00227DC1" w:rsidRPr="00227DC1">
        <w:rPr>
          <w:rFonts w:ascii="Century Schoolbook" w:hAnsi="Century Schoolbook"/>
          <w:i/>
          <w:iCs/>
        </w:rPr>
        <w:t>Sierra Club, supra</w:t>
      </w:r>
      <w:r w:rsidR="00227DC1">
        <w:rPr>
          <w:rFonts w:ascii="Century Schoolbook" w:hAnsi="Century Schoolbook"/>
        </w:rPr>
        <w:t>, 6 Cal.5th at p. 512 [recognizing ‘a procedural issues/factual issues dichotomy’ with respect to the CEQA standard of review].) Consistent[</w:t>
      </w:r>
      <w:proofErr w:type="spellStart"/>
      <w:r w:rsidR="00227DC1">
        <w:rPr>
          <w:rFonts w:ascii="Century Schoolbook" w:hAnsi="Century Schoolbook"/>
        </w:rPr>
        <w:t>ly</w:t>
      </w:r>
      <w:proofErr w:type="spellEnd"/>
      <w:r w:rsidR="00227DC1">
        <w:rPr>
          <w:rFonts w:ascii="Century Schoolbook" w:hAnsi="Century Schoolbook"/>
        </w:rPr>
        <w:t>] with the differentiated standards stated above, we independently review the administrative record for ‘ “any legal error” by the agency and deferentially consider[] whether the record “contains substantial evidence to support [the agency’s] factual determinations.” ’ (</w:t>
      </w:r>
      <w:r w:rsidR="00227DC1" w:rsidRPr="00227DC1">
        <w:rPr>
          <w:rFonts w:ascii="Century Schoolbook" w:hAnsi="Century Schoolbook"/>
          <w:i/>
          <w:iCs/>
        </w:rPr>
        <w:t>Protecting Our Water</w:t>
      </w:r>
      <w:r w:rsidR="00227DC1">
        <w:rPr>
          <w:rFonts w:ascii="Century Schoolbook" w:hAnsi="Century Schoolbook"/>
        </w:rPr>
        <w:t xml:space="preserve"> [</w:t>
      </w:r>
      <w:r w:rsidR="00227DC1" w:rsidRPr="00227DC1">
        <w:rPr>
          <w:rFonts w:ascii="Century Schoolbook" w:hAnsi="Century Schoolbook"/>
          <w:i/>
          <w:iCs/>
        </w:rPr>
        <w:t>&amp; Environmental Resources v. County of Stanislaus</w:t>
      </w:r>
      <w:r w:rsidR="00227DC1">
        <w:rPr>
          <w:rFonts w:ascii="Century Schoolbook" w:hAnsi="Century Schoolbook"/>
        </w:rPr>
        <w:t xml:space="preserve"> (2020) 10 Cal.5th 479,] 495; see </w:t>
      </w:r>
      <w:r w:rsidR="00227DC1" w:rsidRPr="00227DC1">
        <w:rPr>
          <w:rFonts w:ascii="Century Schoolbook" w:hAnsi="Century Schoolbook"/>
          <w:i/>
          <w:iCs/>
        </w:rPr>
        <w:t>Sierra Club</w:t>
      </w:r>
      <w:r w:rsidR="00227DC1">
        <w:rPr>
          <w:rFonts w:ascii="Century Schoolbook" w:hAnsi="Century Schoolbook"/>
        </w:rPr>
        <w:t>, [</w:t>
      </w:r>
      <w:r w:rsidR="00227DC1" w:rsidRPr="00227DC1">
        <w:rPr>
          <w:rFonts w:ascii="Century Schoolbook" w:hAnsi="Century Schoolbook"/>
          <w:i/>
          <w:iCs/>
        </w:rPr>
        <w:t>supra</w:t>
      </w:r>
      <w:r w:rsidR="00227DC1">
        <w:rPr>
          <w:rFonts w:ascii="Century Schoolbook" w:hAnsi="Century Schoolbook"/>
        </w:rPr>
        <w:t>, 6 Cal.5th] at p. 512.)” (</w:t>
      </w:r>
      <w:r w:rsidR="00227DC1" w:rsidRPr="00D2400E">
        <w:rPr>
          <w:rFonts w:ascii="Century Schoolbook" w:hAnsi="Century Schoolbook"/>
          <w:i/>
          <w:iCs/>
        </w:rPr>
        <w:t>Preservation, supra</w:t>
      </w:r>
      <w:r w:rsidR="00227DC1">
        <w:rPr>
          <w:rFonts w:ascii="Century Schoolbook" w:hAnsi="Century Schoolbook"/>
        </w:rPr>
        <w:t xml:space="preserve">, </w:t>
      </w:r>
      <w:r w:rsidR="00D2400E">
        <w:rPr>
          <w:rFonts w:ascii="Century Schoolbook" w:hAnsi="Century Schoolbook"/>
        </w:rPr>
        <w:t>91 Cal.App.5th at p. 532.)</w:t>
      </w:r>
      <w:r w:rsidR="00FB120D">
        <w:rPr>
          <w:rFonts w:ascii="Century Schoolbook" w:hAnsi="Century Schoolbook"/>
        </w:rPr>
        <w:t xml:space="preserve"> Under CEQA, “[s]substantial evidence shall include facts, reasonable assumptions predicated on facts, and expert opinion supported by facts.” (§ 21082.2, subd. (c); </w:t>
      </w:r>
      <w:r w:rsidR="00141256">
        <w:rPr>
          <w:rFonts w:ascii="Century Schoolbook" w:hAnsi="Century Schoolbook"/>
        </w:rPr>
        <w:t xml:space="preserve">see also </w:t>
      </w:r>
      <w:r w:rsidR="00FB120D">
        <w:rPr>
          <w:rFonts w:ascii="Century Schoolbook" w:hAnsi="Century Schoolbook"/>
        </w:rPr>
        <w:t xml:space="preserve">Guidelines, § 15064, subd. </w:t>
      </w:r>
      <w:r w:rsidR="00141256">
        <w:rPr>
          <w:rFonts w:ascii="Century Schoolbook" w:hAnsi="Century Schoolbook"/>
        </w:rPr>
        <w:t>(f)(5)</w:t>
      </w:r>
      <w:r w:rsidR="00FB120D">
        <w:rPr>
          <w:rFonts w:ascii="Century Schoolbook" w:hAnsi="Century Schoolbook"/>
        </w:rPr>
        <w:t xml:space="preserve">.) It does not include “argument, speculation, unsubstantiated opinion or narrative, evidence which is clearly inaccurate or erroneous, or </w:t>
      </w:r>
      <w:r w:rsidR="00FB120D">
        <w:rPr>
          <w:rFonts w:ascii="Century Schoolbook" w:hAnsi="Century Schoolbook"/>
        </w:rPr>
        <w:lastRenderedPageBreak/>
        <w:t>evidence of social or economic impacts which do not contribute to, or are not caused by, physical impacts on the environment.” (</w:t>
      </w:r>
      <w:r w:rsidR="00FB120D" w:rsidRPr="00FB120D">
        <w:rPr>
          <w:rFonts w:ascii="Century Schoolbook" w:hAnsi="Century Schoolbook"/>
          <w:i/>
          <w:iCs/>
        </w:rPr>
        <w:t>Ibid</w:t>
      </w:r>
      <w:r w:rsidR="00FB120D">
        <w:rPr>
          <w:rFonts w:ascii="Century Schoolbook" w:hAnsi="Century Schoolbook"/>
        </w:rPr>
        <w:t xml:space="preserve">.)  </w:t>
      </w:r>
    </w:p>
    <w:p w14:paraId="59312291" w14:textId="7DC8BC96" w:rsidR="00A85CAC" w:rsidRDefault="00D2400E" w:rsidP="003E75F8">
      <w:pPr>
        <w:rPr>
          <w:rFonts w:ascii="Century Schoolbook" w:hAnsi="Century Schoolbook"/>
          <w:bCs/>
        </w:rPr>
      </w:pPr>
      <w:r>
        <w:rPr>
          <w:rFonts w:ascii="Century Schoolbook" w:hAnsi="Century Schoolbook"/>
        </w:rPr>
        <w:tab/>
      </w:r>
      <w:r>
        <w:rPr>
          <w:rFonts w:ascii="Century Schoolbook" w:hAnsi="Century Schoolbook"/>
          <w:bCs/>
        </w:rPr>
        <w:t>But “the distinction between de novo and substantial evidence review ‘is not</w:t>
      </w:r>
      <w:r w:rsidR="00F76EC0">
        <w:rPr>
          <w:rFonts w:ascii="Century Schoolbook" w:hAnsi="Century Schoolbook"/>
          <w:bCs/>
        </w:rPr>
        <w:t xml:space="preserve"> always</w:t>
      </w:r>
      <w:r>
        <w:rPr>
          <w:rFonts w:ascii="Century Schoolbook" w:hAnsi="Century Schoolbook"/>
          <w:bCs/>
        </w:rPr>
        <w:t xml:space="preserve"> so clear.’ </w:t>
      </w:r>
      <w:r w:rsidR="00390B71">
        <w:rPr>
          <w:rFonts w:ascii="Century Schoolbook" w:hAnsi="Century Schoolbook"/>
          <w:bCs/>
        </w:rPr>
        <w:t>[Citation.]</w:t>
      </w:r>
      <w:r w:rsidR="008C0026">
        <w:rPr>
          <w:rFonts w:ascii="Century Schoolbook" w:hAnsi="Century Schoolbook"/>
          <w:bCs/>
        </w:rPr>
        <w:t xml:space="preserve"> The Supreme Court acknowledged this difficulty in </w:t>
      </w:r>
      <w:r w:rsidR="008C0026" w:rsidRPr="00F76EC0">
        <w:rPr>
          <w:rFonts w:ascii="Century Schoolbook" w:hAnsi="Century Schoolbook"/>
          <w:bCs/>
          <w:i/>
          <w:iCs/>
        </w:rPr>
        <w:t>Sierra Club</w:t>
      </w:r>
      <w:r w:rsidR="008C0026">
        <w:rPr>
          <w:rFonts w:ascii="Century Schoolbook" w:hAnsi="Century Schoolbook"/>
          <w:bCs/>
        </w:rPr>
        <w:t xml:space="preserve">. It explained that while ‘there are instances </w:t>
      </w:r>
      <w:r w:rsidR="00F76EC0">
        <w:rPr>
          <w:rFonts w:ascii="Century Schoolbook" w:hAnsi="Century Schoolbook"/>
          <w:bCs/>
        </w:rPr>
        <w:t>where the agency’s discussion of significant project impacts may implicate a factual question that makes substantial evidence review appropriate’ (</w:t>
      </w:r>
      <w:r w:rsidR="00527893">
        <w:rPr>
          <w:rFonts w:ascii="Century Schoolbook" w:hAnsi="Century Schoolbook"/>
          <w:bCs/>
        </w:rPr>
        <w:t>[</w:t>
      </w:r>
      <w:r w:rsidR="00527893" w:rsidRPr="00527893">
        <w:rPr>
          <w:rFonts w:ascii="Century Schoolbook" w:hAnsi="Century Schoolbook"/>
          <w:bCs/>
          <w:i/>
          <w:iCs/>
        </w:rPr>
        <w:t>Sierra Club, supra</w:t>
      </w:r>
      <w:r w:rsidR="00527893">
        <w:rPr>
          <w:rFonts w:ascii="Century Schoolbook" w:hAnsi="Century Schoolbook"/>
          <w:bCs/>
        </w:rPr>
        <w:t xml:space="preserve">, 6 Cal.5th] </w:t>
      </w:r>
      <w:r w:rsidR="00F76EC0">
        <w:rPr>
          <w:rFonts w:ascii="Century Schoolbook" w:hAnsi="Century Schoolbook"/>
          <w:bCs/>
        </w:rPr>
        <w:t>at p. 514), courts ‘have consistently recognized that adequacy of discussion claims are not typically amenable to substantial evidence review.’ (</w:t>
      </w:r>
      <w:r w:rsidR="00F76EC0" w:rsidRPr="00780936">
        <w:rPr>
          <w:rFonts w:ascii="Century Schoolbook" w:hAnsi="Century Schoolbook"/>
          <w:bCs/>
          <w:i/>
          <w:iCs/>
        </w:rPr>
        <w:t>Id.</w:t>
      </w:r>
      <w:r w:rsidR="00F76EC0">
        <w:rPr>
          <w:rFonts w:ascii="Century Schoolbook" w:hAnsi="Century Schoolbook"/>
          <w:bCs/>
        </w:rPr>
        <w:t xml:space="preserve"> at p. </w:t>
      </w:r>
      <w:r w:rsidR="00294442">
        <w:rPr>
          <w:rFonts w:ascii="Century Schoolbook" w:hAnsi="Century Schoolbook"/>
          <w:bCs/>
        </w:rPr>
        <w:t> </w:t>
      </w:r>
      <w:r w:rsidR="00F76EC0">
        <w:rPr>
          <w:rFonts w:ascii="Century Schoolbook" w:hAnsi="Century Schoolbook"/>
          <w:bCs/>
        </w:rPr>
        <w:t>15.) That is, ‘[t]he determination whether a discussion is sufficient is not solely a matter of discerning whether there is substantial evidence to support the agency’s factual conclusions.’ (</w:t>
      </w:r>
      <w:r w:rsidR="00F76EC0" w:rsidRPr="00780936">
        <w:rPr>
          <w:rFonts w:ascii="Century Schoolbook" w:hAnsi="Century Schoolbook"/>
          <w:bCs/>
          <w:i/>
          <w:iCs/>
        </w:rPr>
        <w:t>Id</w:t>
      </w:r>
      <w:r w:rsidR="00F76EC0">
        <w:rPr>
          <w:rFonts w:ascii="Century Schoolbook" w:hAnsi="Century Schoolbook"/>
          <w:bCs/>
        </w:rPr>
        <w:t xml:space="preserve">. at p. 516.) Rather, ‘[t]he ultimate inquiry </w:t>
      </w:r>
      <w:r w:rsidR="00294442">
        <w:rPr>
          <w:rFonts w:ascii="Century Schoolbook" w:hAnsi="Century Schoolbook"/>
          <w:bCs/>
        </w:rPr>
        <w:t>. . .</w:t>
      </w:r>
      <w:r w:rsidR="00F76EC0">
        <w:rPr>
          <w:rFonts w:ascii="Century Schoolbook" w:hAnsi="Century Schoolbook"/>
          <w:bCs/>
        </w:rPr>
        <w:t>is whether the EIR includes enough detail “to enable those who did not participate in its preparation to understand and to consider meaningfully the issues raised by the proposed project.” ’ (</w:t>
      </w:r>
      <w:r w:rsidR="00F76EC0" w:rsidRPr="00780936">
        <w:rPr>
          <w:rFonts w:ascii="Century Schoolbook" w:hAnsi="Century Schoolbook"/>
          <w:bCs/>
          <w:i/>
          <w:iCs/>
        </w:rPr>
        <w:t>Ibid</w:t>
      </w:r>
      <w:r w:rsidR="00F76EC0">
        <w:rPr>
          <w:rFonts w:ascii="Century Schoolbook" w:hAnsi="Century Schoolbook"/>
          <w:bCs/>
        </w:rPr>
        <w:t>.) That inquiry, which presents a mixed question of law and fact, ‘is generally subject to independent review.’ (</w:t>
      </w:r>
      <w:r w:rsidR="00F76EC0" w:rsidRPr="00780936">
        <w:rPr>
          <w:rFonts w:ascii="Century Schoolbook" w:hAnsi="Century Schoolbook"/>
          <w:bCs/>
          <w:i/>
          <w:iCs/>
        </w:rPr>
        <w:t>Ibid</w:t>
      </w:r>
      <w:r w:rsidR="00F76EC0">
        <w:rPr>
          <w:rFonts w:ascii="Century Schoolbook" w:hAnsi="Century Schoolbook"/>
          <w:bCs/>
        </w:rPr>
        <w:t>.)” (</w:t>
      </w:r>
      <w:r w:rsidR="00780936" w:rsidRPr="00780936">
        <w:rPr>
          <w:rFonts w:ascii="Century Schoolbook" w:hAnsi="Century Schoolbook"/>
          <w:bCs/>
          <w:i/>
          <w:iCs/>
        </w:rPr>
        <w:t>P</w:t>
      </w:r>
      <w:r w:rsidR="00F76EC0" w:rsidRPr="00780936">
        <w:rPr>
          <w:rFonts w:ascii="Century Schoolbook" w:hAnsi="Century Schoolbook"/>
          <w:bCs/>
          <w:i/>
          <w:iCs/>
        </w:rPr>
        <w:t>reservation, supra</w:t>
      </w:r>
      <w:r w:rsidR="00F76EC0">
        <w:rPr>
          <w:rFonts w:ascii="Century Schoolbook" w:hAnsi="Century Schoolbook"/>
          <w:bCs/>
        </w:rPr>
        <w:t>, 91 Cal.App.5th at p</w:t>
      </w:r>
      <w:r w:rsidR="00780936">
        <w:rPr>
          <w:rFonts w:ascii="Century Schoolbook" w:hAnsi="Century Schoolbook"/>
          <w:bCs/>
        </w:rPr>
        <w:t>p</w:t>
      </w:r>
      <w:r w:rsidR="00F76EC0">
        <w:rPr>
          <w:rFonts w:ascii="Century Schoolbook" w:hAnsi="Century Schoolbook"/>
          <w:bCs/>
        </w:rPr>
        <w:t>.</w:t>
      </w:r>
      <w:r w:rsidR="00780936">
        <w:rPr>
          <w:rFonts w:ascii="Century Schoolbook" w:hAnsi="Century Schoolbook"/>
          <w:bCs/>
        </w:rPr>
        <w:t xml:space="preserve"> 532–533</w:t>
      </w:r>
      <w:r w:rsidR="00143764">
        <w:rPr>
          <w:rFonts w:ascii="Century Schoolbook" w:hAnsi="Century Schoolbook"/>
          <w:bCs/>
        </w:rPr>
        <w:t xml:space="preserve">, citing </w:t>
      </w:r>
      <w:r w:rsidR="00143764" w:rsidRPr="00143764">
        <w:rPr>
          <w:rFonts w:ascii="Century Schoolbook" w:hAnsi="Century Schoolbook"/>
          <w:bCs/>
          <w:i/>
          <w:iCs/>
        </w:rPr>
        <w:t>Sierra Club</w:t>
      </w:r>
      <w:r w:rsidR="00143764">
        <w:rPr>
          <w:rFonts w:ascii="Century Schoolbook" w:hAnsi="Century Schoolbook"/>
          <w:bCs/>
        </w:rPr>
        <w:t>, at p.</w:t>
      </w:r>
      <w:r w:rsidR="00294442">
        <w:rPr>
          <w:rFonts w:ascii="Century Schoolbook" w:hAnsi="Century Schoolbook"/>
          <w:bCs/>
        </w:rPr>
        <w:t> </w:t>
      </w:r>
      <w:r w:rsidR="00143764">
        <w:rPr>
          <w:rFonts w:ascii="Century Schoolbook" w:hAnsi="Century Schoolbook"/>
          <w:bCs/>
        </w:rPr>
        <w:t>516</w:t>
      </w:r>
      <w:r w:rsidR="00780936">
        <w:rPr>
          <w:rFonts w:ascii="Century Schoolbook" w:hAnsi="Century Schoolbook"/>
          <w:bCs/>
        </w:rPr>
        <w:t>.)</w:t>
      </w:r>
      <w:r w:rsidR="00FC5371">
        <w:rPr>
          <w:rFonts w:ascii="Century Schoolbook" w:hAnsi="Century Schoolbook"/>
          <w:bCs/>
        </w:rPr>
        <w:t xml:space="preserve"> </w:t>
      </w:r>
      <w:r w:rsidR="00D87351">
        <w:rPr>
          <w:rFonts w:ascii="Century Schoolbook" w:hAnsi="Century Schoolbook"/>
          <w:bCs/>
        </w:rPr>
        <w:t>Still,</w:t>
      </w:r>
      <w:r w:rsidR="00FC5371">
        <w:rPr>
          <w:rFonts w:ascii="Century Schoolbook" w:hAnsi="Century Schoolbook"/>
          <w:bCs/>
        </w:rPr>
        <w:t xml:space="preserve"> “underlying factual determinations—including, for example, an agency’s decision as to which methodologies to employ for analyzing an environmental effect—may warrant deference. </w:t>
      </w:r>
      <w:r w:rsidR="00143764">
        <w:rPr>
          <w:rFonts w:ascii="Century Schoolbook" w:hAnsi="Century Schoolbook"/>
          <w:bCs/>
        </w:rPr>
        <w:t xml:space="preserve">[Citations.] </w:t>
      </w:r>
      <w:r w:rsidR="00FC5371">
        <w:rPr>
          <w:rFonts w:ascii="Century Schoolbook" w:hAnsi="Century Schoolbook"/>
          <w:bCs/>
        </w:rPr>
        <w:t>Thus, to the extent a mixed question requires a determination whether statutory criteria were satisfied, de novo review is appropriate; but to the extent factual questions predominate, a more deferential standard is warranted</w:t>
      </w:r>
      <w:r w:rsidR="008718A3">
        <w:rPr>
          <w:rFonts w:ascii="Century Schoolbook" w:hAnsi="Century Schoolbook"/>
          <w:bCs/>
        </w:rPr>
        <w:t>.</w:t>
      </w:r>
      <w:r w:rsidR="00A51867">
        <w:rPr>
          <w:rFonts w:ascii="Century Schoolbook" w:hAnsi="Century Schoolbook"/>
          <w:bCs/>
        </w:rPr>
        <w:t xml:space="preserve"> [Citation.]</w:t>
      </w:r>
      <w:r w:rsidR="008718A3">
        <w:rPr>
          <w:rFonts w:ascii="Century Schoolbook" w:hAnsi="Century Schoolbook"/>
          <w:bCs/>
        </w:rPr>
        <w:t>” (</w:t>
      </w:r>
      <w:r w:rsidR="008718A3" w:rsidRPr="008718A3">
        <w:rPr>
          <w:rFonts w:ascii="Century Schoolbook" w:hAnsi="Century Schoolbook"/>
          <w:bCs/>
          <w:i/>
          <w:iCs/>
        </w:rPr>
        <w:t>Sierra Club, supra</w:t>
      </w:r>
      <w:r w:rsidR="008718A3">
        <w:rPr>
          <w:rFonts w:ascii="Century Schoolbook" w:hAnsi="Century Schoolbook"/>
          <w:bCs/>
        </w:rPr>
        <w:t>, 6 Cal.5th at p. 516.)</w:t>
      </w:r>
      <w:r w:rsidR="00FC5371">
        <w:rPr>
          <w:rFonts w:ascii="Century Schoolbook" w:hAnsi="Century Schoolbook"/>
          <w:bCs/>
        </w:rPr>
        <w:t xml:space="preserve"> </w:t>
      </w:r>
      <w:r w:rsidR="00F76EC0">
        <w:rPr>
          <w:rFonts w:ascii="Century Schoolbook" w:hAnsi="Century Schoolbook"/>
          <w:bCs/>
        </w:rPr>
        <w:t xml:space="preserve"> </w:t>
      </w:r>
    </w:p>
    <w:p w14:paraId="6018F882" w14:textId="5F2ED119" w:rsidR="00B56411" w:rsidRDefault="00A85CAC" w:rsidP="003E75F8">
      <w:pPr>
        <w:rPr>
          <w:rFonts w:ascii="Century Schoolbook" w:hAnsi="Century Schoolbook"/>
          <w:bCs/>
        </w:rPr>
      </w:pPr>
      <w:r>
        <w:rPr>
          <w:rFonts w:ascii="Century Schoolbook" w:hAnsi="Century Schoolbook"/>
          <w:bCs/>
        </w:rPr>
        <w:tab/>
        <w:t xml:space="preserve">Here, the central issue is whether the Final EIR </w:t>
      </w:r>
      <w:r w:rsidR="008246F3">
        <w:rPr>
          <w:rFonts w:ascii="Century Schoolbook" w:hAnsi="Century Schoolbook"/>
          <w:bCs/>
        </w:rPr>
        <w:t xml:space="preserve">for the Specific Plan </w:t>
      </w:r>
      <w:r>
        <w:rPr>
          <w:rFonts w:ascii="Century Schoolbook" w:hAnsi="Century Schoolbook"/>
          <w:bCs/>
        </w:rPr>
        <w:t xml:space="preserve">was adequate under CEQA </w:t>
      </w:r>
      <w:r w:rsidR="00EC061B">
        <w:rPr>
          <w:rFonts w:ascii="Century Schoolbook" w:hAnsi="Century Schoolbook"/>
          <w:bCs/>
        </w:rPr>
        <w:t>notwithstanding</w:t>
      </w:r>
      <w:r>
        <w:rPr>
          <w:rFonts w:ascii="Century Schoolbook" w:hAnsi="Century Schoolbook"/>
          <w:bCs/>
        </w:rPr>
        <w:t xml:space="preserve"> </w:t>
      </w:r>
      <w:r w:rsidR="009B6D02">
        <w:rPr>
          <w:rFonts w:ascii="Century Schoolbook" w:hAnsi="Century Schoolbook"/>
          <w:bCs/>
        </w:rPr>
        <w:t>that it did not</w:t>
      </w:r>
      <w:r w:rsidR="00EC061B">
        <w:rPr>
          <w:rFonts w:ascii="Century Schoolbook" w:hAnsi="Century Schoolbook"/>
          <w:bCs/>
        </w:rPr>
        <w:t xml:space="preserve"> </w:t>
      </w:r>
      <w:r>
        <w:rPr>
          <w:rFonts w:ascii="Century Schoolbook" w:hAnsi="Century Schoolbook"/>
          <w:bCs/>
        </w:rPr>
        <w:t>discuss the possibility that sufficient funding</w:t>
      </w:r>
      <w:r w:rsidR="00D83771">
        <w:rPr>
          <w:rFonts w:ascii="Century Schoolbook" w:hAnsi="Century Schoolbook"/>
          <w:bCs/>
        </w:rPr>
        <w:t xml:space="preserve"> </w:t>
      </w:r>
      <w:r>
        <w:rPr>
          <w:rFonts w:ascii="Century Schoolbook" w:hAnsi="Century Schoolbook"/>
          <w:bCs/>
        </w:rPr>
        <w:t>would n</w:t>
      </w:r>
      <w:r w:rsidR="00895CD7">
        <w:rPr>
          <w:rFonts w:ascii="Century Schoolbook" w:hAnsi="Century Schoolbook"/>
          <w:bCs/>
        </w:rPr>
        <w:t xml:space="preserve">ever </w:t>
      </w:r>
      <w:r>
        <w:rPr>
          <w:rFonts w:ascii="Century Schoolbook" w:hAnsi="Century Schoolbook"/>
          <w:bCs/>
        </w:rPr>
        <w:t xml:space="preserve">become available </w:t>
      </w:r>
      <w:r w:rsidR="00D83771">
        <w:rPr>
          <w:rFonts w:ascii="Century Schoolbook" w:hAnsi="Century Schoolbook"/>
          <w:bCs/>
        </w:rPr>
        <w:t xml:space="preserve">to build </w:t>
      </w:r>
      <w:r>
        <w:rPr>
          <w:rFonts w:ascii="Century Schoolbook" w:hAnsi="Century Schoolbook"/>
          <w:bCs/>
        </w:rPr>
        <w:t xml:space="preserve">the contemplated </w:t>
      </w:r>
      <w:r>
        <w:rPr>
          <w:rFonts w:ascii="Century Schoolbook" w:hAnsi="Century Schoolbook"/>
          <w:bCs/>
        </w:rPr>
        <w:lastRenderedPageBreak/>
        <w:t>new schools</w:t>
      </w:r>
      <w:r w:rsidR="008246F3">
        <w:rPr>
          <w:rFonts w:ascii="Century Schoolbook" w:hAnsi="Century Schoolbook"/>
          <w:bCs/>
        </w:rPr>
        <w:t xml:space="preserve"> within the Site</w:t>
      </w:r>
      <w:r w:rsidR="00EC061B">
        <w:rPr>
          <w:rFonts w:ascii="Century Schoolbook" w:hAnsi="Century Schoolbook"/>
          <w:bCs/>
        </w:rPr>
        <w:t xml:space="preserve"> </w:t>
      </w:r>
      <w:r w:rsidR="00D83771">
        <w:rPr>
          <w:rFonts w:ascii="Century Schoolbook" w:hAnsi="Century Schoolbook"/>
          <w:bCs/>
        </w:rPr>
        <w:t>and</w:t>
      </w:r>
      <w:r w:rsidR="001F0A10">
        <w:rPr>
          <w:rFonts w:ascii="Century Schoolbook" w:hAnsi="Century Schoolbook"/>
          <w:bCs/>
        </w:rPr>
        <w:t>, in that event,</w:t>
      </w:r>
      <w:r w:rsidR="00D83771">
        <w:rPr>
          <w:rFonts w:ascii="Century Schoolbook" w:hAnsi="Century Schoolbook"/>
          <w:bCs/>
        </w:rPr>
        <w:t xml:space="preserve"> </w:t>
      </w:r>
      <w:r w:rsidR="00D87351">
        <w:rPr>
          <w:rFonts w:ascii="Century Schoolbook" w:hAnsi="Century Schoolbook"/>
          <w:bCs/>
        </w:rPr>
        <w:t xml:space="preserve">the </w:t>
      </w:r>
      <w:r w:rsidR="008246F3">
        <w:rPr>
          <w:rFonts w:ascii="Century Schoolbook" w:hAnsi="Century Schoolbook"/>
          <w:bCs/>
        </w:rPr>
        <w:t xml:space="preserve">Districts </w:t>
      </w:r>
      <w:r w:rsidR="00841D39">
        <w:rPr>
          <w:rFonts w:ascii="Century Schoolbook" w:hAnsi="Century Schoolbook"/>
          <w:bCs/>
        </w:rPr>
        <w:t>m</w:t>
      </w:r>
      <w:r w:rsidR="001F0A10">
        <w:rPr>
          <w:rFonts w:ascii="Century Schoolbook" w:hAnsi="Century Schoolbook"/>
          <w:bCs/>
        </w:rPr>
        <w:t>ight</w:t>
      </w:r>
      <w:r w:rsidR="00841D39">
        <w:rPr>
          <w:rFonts w:ascii="Century Schoolbook" w:hAnsi="Century Schoolbook"/>
          <w:bCs/>
        </w:rPr>
        <w:t xml:space="preserve"> be required </w:t>
      </w:r>
      <w:r w:rsidR="00EC061B">
        <w:rPr>
          <w:rFonts w:ascii="Century Schoolbook" w:hAnsi="Century Schoolbook"/>
          <w:bCs/>
        </w:rPr>
        <w:t>to absorb increased student enrollment</w:t>
      </w:r>
      <w:r w:rsidR="00841D39">
        <w:rPr>
          <w:rFonts w:ascii="Century Schoolbook" w:hAnsi="Century Schoolbook"/>
          <w:bCs/>
        </w:rPr>
        <w:t xml:space="preserve"> </w:t>
      </w:r>
      <w:r w:rsidR="00FB0A84">
        <w:rPr>
          <w:rFonts w:ascii="Century Schoolbook" w:hAnsi="Century Schoolbook"/>
          <w:bCs/>
        </w:rPr>
        <w:t xml:space="preserve">through </w:t>
      </w:r>
      <w:r w:rsidR="00841D39">
        <w:rPr>
          <w:rFonts w:ascii="Century Schoolbook" w:hAnsi="Century Schoolbook"/>
          <w:bCs/>
        </w:rPr>
        <w:t>alternatives</w:t>
      </w:r>
      <w:r w:rsidR="009B6D02">
        <w:rPr>
          <w:rFonts w:ascii="Century Schoolbook" w:hAnsi="Century Schoolbook"/>
          <w:bCs/>
        </w:rPr>
        <w:t xml:space="preserve">. These included </w:t>
      </w:r>
      <w:r w:rsidR="008718A3">
        <w:rPr>
          <w:rFonts w:ascii="Century Schoolbook" w:hAnsi="Century Schoolbook"/>
          <w:bCs/>
        </w:rPr>
        <w:t xml:space="preserve">modifications to existing </w:t>
      </w:r>
      <w:r w:rsidR="00B56411">
        <w:rPr>
          <w:rFonts w:ascii="Century Schoolbook" w:hAnsi="Century Schoolbook"/>
          <w:bCs/>
        </w:rPr>
        <w:t>school facilities</w:t>
      </w:r>
      <w:r w:rsidR="008718A3">
        <w:rPr>
          <w:rFonts w:ascii="Century Schoolbook" w:hAnsi="Century Schoolbook"/>
          <w:bCs/>
        </w:rPr>
        <w:t xml:space="preserve">, </w:t>
      </w:r>
      <w:r w:rsidR="00033326">
        <w:rPr>
          <w:rFonts w:ascii="Century Schoolbook" w:hAnsi="Century Schoolbook"/>
          <w:bCs/>
        </w:rPr>
        <w:t>some located outside the Project Site</w:t>
      </w:r>
      <w:r w:rsidR="00FB0A84">
        <w:rPr>
          <w:rFonts w:ascii="Century Schoolbook" w:hAnsi="Century Schoolbook"/>
          <w:bCs/>
        </w:rPr>
        <w:t>. And</w:t>
      </w:r>
      <w:r w:rsidR="00B301DF">
        <w:rPr>
          <w:rFonts w:ascii="Century Schoolbook" w:hAnsi="Century Schoolbook"/>
          <w:bCs/>
        </w:rPr>
        <w:t xml:space="preserve"> </w:t>
      </w:r>
      <w:r w:rsidR="00D83771">
        <w:rPr>
          <w:rFonts w:ascii="Century Schoolbook" w:hAnsi="Century Schoolbook"/>
          <w:bCs/>
        </w:rPr>
        <w:t xml:space="preserve">some </w:t>
      </w:r>
      <w:r w:rsidR="005C4B27">
        <w:rPr>
          <w:rFonts w:ascii="Century Schoolbook" w:hAnsi="Century Schoolbook"/>
          <w:bCs/>
        </w:rPr>
        <w:t xml:space="preserve">of the possible alternatives </w:t>
      </w:r>
      <w:r w:rsidR="00B301DF">
        <w:rPr>
          <w:rFonts w:ascii="Century Schoolbook" w:hAnsi="Century Schoolbook"/>
          <w:bCs/>
        </w:rPr>
        <w:t xml:space="preserve">potentially </w:t>
      </w:r>
      <w:r w:rsidR="00FB0A84">
        <w:rPr>
          <w:rFonts w:ascii="Century Schoolbook" w:hAnsi="Century Schoolbook"/>
          <w:bCs/>
        </w:rPr>
        <w:t xml:space="preserve">would </w:t>
      </w:r>
      <w:r w:rsidR="005C4B27">
        <w:rPr>
          <w:rFonts w:ascii="Century Schoolbook" w:hAnsi="Century Schoolbook"/>
          <w:bCs/>
        </w:rPr>
        <w:t>present</w:t>
      </w:r>
      <w:r w:rsidR="00D83771">
        <w:rPr>
          <w:rFonts w:ascii="Century Schoolbook" w:hAnsi="Century Schoolbook"/>
          <w:bCs/>
        </w:rPr>
        <w:t xml:space="preserve"> off-site </w:t>
      </w:r>
      <w:r w:rsidR="00033326">
        <w:rPr>
          <w:rFonts w:ascii="Century Schoolbook" w:hAnsi="Century Schoolbook"/>
          <w:bCs/>
        </w:rPr>
        <w:t xml:space="preserve">and indirect </w:t>
      </w:r>
      <w:r w:rsidR="00D83771">
        <w:rPr>
          <w:rFonts w:ascii="Century Schoolbook" w:hAnsi="Century Schoolbook"/>
          <w:bCs/>
        </w:rPr>
        <w:t>environmental impacts.</w:t>
      </w:r>
      <w:r w:rsidR="00EC061B">
        <w:rPr>
          <w:rFonts w:ascii="Century Schoolbook" w:hAnsi="Century Schoolbook"/>
          <w:bCs/>
        </w:rPr>
        <w:t xml:space="preserve"> </w:t>
      </w:r>
      <w:r w:rsidR="008718A3">
        <w:rPr>
          <w:rFonts w:ascii="Century Schoolbook" w:hAnsi="Century Schoolbook"/>
          <w:bCs/>
        </w:rPr>
        <w:t xml:space="preserve">The parties dispute the standard of review to be applied, the Districts urging independent review and the </w:t>
      </w:r>
      <w:r w:rsidR="00171B7E">
        <w:rPr>
          <w:rFonts w:ascii="Century Schoolbook" w:hAnsi="Century Schoolbook"/>
          <w:bCs/>
        </w:rPr>
        <w:t>r</w:t>
      </w:r>
      <w:r w:rsidR="008718A3">
        <w:rPr>
          <w:rFonts w:ascii="Century Schoolbook" w:hAnsi="Century Schoolbook"/>
          <w:bCs/>
        </w:rPr>
        <w:t xml:space="preserve">eal </w:t>
      </w:r>
      <w:r w:rsidR="00171B7E">
        <w:rPr>
          <w:rFonts w:ascii="Century Schoolbook" w:hAnsi="Century Schoolbook"/>
          <w:bCs/>
        </w:rPr>
        <w:t>p</w:t>
      </w:r>
      <w:r w:rsidR="008718A3">
        <w:rPr>
          <w:rFonts w:ascii="Century Schoolbook" w:hAnsi="Century Schoolbook"/>
          <w:bCs/>
        </w:rPr>
        <w:t xml:space="preserve">arties </w:t>
      </w:r>
      <w:r w:rsidR="00FB0A84">
        <w:rPr>
          <w:rFonts w:ascii="Century Schoolbook" w:hAnsi="Century Schoolbook"/>
          <w:bCs/>
        </w:rPr>
        <w:t xml:space="preserve">emphasizing the factual nature of the City’s determination of the Districts’ information as speculative. </w:t>
      </w:r>
      <w:r w:rsidR="00A51867">
        <w:rPr>
          <w:rFonts w:ascii="Century Schoolbook" w:hAnsi="Century Schoolbook"/>
          <w:bCs/>
        </w:rPr>
        <w:t xml:space="preserve"> </w:t>
      </w:r>
    </w:p>
    <w:p w14:paraId="73AB5FC3" w14:textId="7374B915" w:rsidR="00B35374" w:rsidRDefault="00B56411" w:rsidP="003E75F8">
      <w:pPr>
        <w:rPr>
          <w:rFonts w:ascii="Century Schoolbook" w:hAnsi="Century Schoolbook"/>
          <w:bCs/>
        </w:rPr>
      </w:pPr>
      <w:r>
        <w:rPr>
          <w:rFonts w:ascii="Century Schoolbook" w:hAnsi="Century Schoolbook"/>
          <w:bCs/>
        </w:rPr>
        <w:tab/>
      </w:r>
      <w:r w:rsidR="00A51867">
        <w:rPr>
          <w:rFonts w:ascii="Century Schoolbook" w:hAnsi="Century Schoolbook"/>
          <w:bCs/>
        </w:rPr>
        <w:t xml:space="preserve">We view the question presented </w:t>
      </w:r>
      <w:r w:rsidR="005C4B27">
        <w:rPr>
          <w:rFonts w:ascii="Century Schoolbook" w:hAnsi="Century Schoolbook"/>
          <w:bCs/>
        </w:rPr>
        <w:t xml:space="preserve">ultimately </w:t>
      </w:r>
      <w:r w:rsidR="00A51867">
        <w:rPr>
          <w:rFonts w:ascii="Century Schoolbook" w:hAnsi="Century Schoolbook"/>
          <w:bCs/>
        </w:rPr>
        <w:t xml:space="preserve">as whether the Final EIR complied with CEQA, that is </w:t>
      </w:r>
      <w:r w:rsidR="005C4B27">
        <w:rPr>
          <w:rFonts w:ascii="Century Schoolbook" w:hAnsi="Century Schoolbook"/>
          <w:bCs/>
        </w:rPr>
        <w:t xml:space="preserve">whether </w:t>
      </w:r>
      <w:r w:rsidR="00863B19">
        <w:rPr>
          <w:rFonts w:ascii="Century Schoolbook" w:hAnsi="Century Schoolbook"/>
          <w:bCs/>
        </w:rPr>
        <w:t xml:space="preserve">it fulfilled statutory and regulatory mandates and whether </w:t>
      </w:r>
      <w:r w:rsidR="005C4B27">
        <w:rPr>
          <w:rFonts w:ascii="Century Schoolbook" w:hAnsi="Century Schoolbook"/>
          <w:bCs/>
        </w:rPr>
        <w:t xml:space="preserve">the identified omission </w:t>
      </w:r>
      <w:r w:rsidR="008E0A6A">
        <w:rPr>
          <w:rFonts w:ascii="Century Schoolbook" w:hAnsi="Century Schoolbook"/>
          <w:bCs/>
        </w:rPr>
        <w:t>impaired</w:t>
      </w:r>
      <w:r w:rsidR="005C4B27">
        <w:rPr>
          <w:rFonts w:ascii="Century Schoolbook" w:hAnsi="Century Schoolbook"/>
          <w:bCs/>
        </w:rPr>
        <w:t xml:space="preserve"> </w:t>
      </w:r>
      <w:r w:rsidR="006F5A5F">
        <w:rPr>
          <w:rFonts w:ascii="Century Schoolbook" w:hAnsi="Century Schoolbook"/>
          <w:bCs/>
        </w:rPr>
        <w:t>the EIR</w:t>
      </w:r>
      <w:r w:rsidR="008E0A6A">
        <w:rPr>
          <w:rFonts w:ascii="Century Schoolbook" w:hAnsi="Century Schoolbook"/>
          <w:bCs/>
        </w:rPr>
        <w:t>’s</w:t>
      </w:r>
      <w:r w:rsidR="005C4B27">
        <w:rPr>
          <w:rFonts w:ascii="Century Schoolbook" w:hAnsi="Century Schoolbook"/>
          <w:bCs/>
        </w:rPr>
        <w:t xml:space="preserve"> “purpose as an informational document” (</w:t>
      </w:r>
      <w:r w:rsidR="005C4B27" w:rsidRPr="005C4B27">
        <w:rPr>
          <w:rFonts w:ascii="Century Schoolbook" w:hAnsi="Century Schoolbook"/>
          <w:bCs/>
          <w:i/>
          <w:iCs/>
        </w:rPr>
        <w:t>Sierra Club, supra</w:t>
      </w:r>
      <w:r w:rsidR="005C4B27">
        <w:rPr>
          <w:rFonts w:ascii="Century Schoolbook" w:hAnsi="Century Schoolbook"/>
          <w:bCs/>
        </w:rPr>
        <w:t>, 6 Cal.5th at p. 516</w:t>
      </w:r>
      <w:r w:rsidR="006F5A5F">
        <w:rPr>
          <w:rFonts w:ascii="Century Schoolbook" w:hAnsi="Century Schoolbook"/>
          <w:bCs/>
        </w:rPr>
        <w:t>)</w:t>
      </w:r>
      <w:r w:rsidR="00B301DF">
        <w:rPr>
          <w:rFonts w:ascii="Century Schoolbook" w:hAnsi="Century Schoolbook"/>
          <w:bCs/>
        </w:rPr>
        <w:t xml:space="preserve">, which </w:t>
      </w:r>
      <w:r>
        <w:rPr>
          <w:rFonts w:ascii="Century Schoolbook" w:hAnsi="Century Schoolbook"/>
          <w:bCs/>
        </w:rPr>
        <w:t>purpose</w:t>
      </w:r>
      <w:r w:rsidR="0086625D">
        <w:rPr>
          <w:rFonts w:ascii="Century Schoolbook" w:hAnsi="Century Schoolbook"/>
          <w:bCs/>
        </w:rPr>
        <w:t>, as noted,</w:t>
      </w:r>
      <w:r>
        <w:rPr>
          <w:rFonts w:ascii="Century Schoolbook" w:hAnsi="Century Schoolbook"/>
          <w:bCs/>
        </w:rPr>
        <w:t xml:space="preserve"> </w:t>
      </w:r>
      <w:r w:rsidR="00B301DF">
        <w:rPr>
          <w:rFonts w:ascii="Century Schoolbook" w:hAnsi="Century Schoolbook"/>
          <w:bCs/>
        </w:rPr>
        <w:t>is</w:t>
      </w:r>
      <w:r w:rsidR="006F5A5F">
        <w:rPr>
          <w:rFonts w:ascii="Century Schoolbook" w:hAnsi="Century Schoolbook"/>
          <w:bCs/>
        </w:rPr>
        <w:t xml:space="preserve"> “ ‘to enable those who did not participate in its preparation to understand and to consider meaningfully the issues raised by the proposed project.’ ”</w:t>
      </w:r>
      <w:r w:rsidR="00863B19">
        <w:rPr>
          <w:rFonts w:ascii="Century Schoolbook" w:hAnsi="Century Schoolbook"/>
          <w:bCs/>
        </w:rPr>
        <w:t xml:space="preserve"> </w:t>
      </w:r>
      <w:r w:rsidR="006F5A5F">
        <w:rPr>
          <w:rFonts w:ascii="Century Schoolbook" w:hAnsi="Century Schoolbook"/>
          <w:bCs/>
        </w:rPr>
        <w:t>(</w:t>
      </w:r>
      <w:r w:rsidR="006F5A5F" w:rsidRPr="006F5A5F">
        <w:rPr>
          <w:rFonts w:ascii="Century Schoolbook" w:hAnsi="Century Schoolbook"/>
          <w:bCs/>
          <w:i/>
          <w:iCs/>
        </w:rPr>
        <w:t>Id</w:t>
      </w:r>
      <w:r w:rsidR="006F5A5F">
        <w:rPr>
          <w:rFonts w:ascii="Century Schoolbook" w:hAnsi="Century Schoolbook"/>
          <w:bCs/>
        </w:rPr>
        <w:t xml:space="preserve">. at p. 516; </w:t>
      </w:r>
      <w:r w:rsidR="00863B19">
        <w:rPr>
          <w:rFonts w:ascii="Century Schoolbook" w:hAnsi="Century Schoolbook"/>
          <w:bCs/>
        </w:rPr>
        <w:t xml:space="preserve">see Guidelines, § 15151 [EIR should be prepared with a sufficient degree of analysis to provide decisionmakers with information </w:t>
      </w:r>
      <w:r w:rsidR="00B301DF">
        <w:rPr>
          <w:rFonts w:ascii="Century Schoolbook" w:hAnsi="Century Schoolbook"/>
          <w:bCs/>
        </w:rPr>
        <w:t xml:space="preserve">that </w:t>
      </w:r>
      <w:r w:rsidR="00863B19">
        <w:rPr>
          <w:rFonts w:ascii="Century Schoolbook" w:hAnsi="Century Schoolbook"/>
          <w:bCs/>
        </w:rPr>
        <w:t xml:space="preserve">enables them to </w:t>
      </w:r>
      <w:proofErr w:type="gramStart"/>
      <w:r w:rsidR="00863B19">
        <w:rPr>
          <w:rFonts w:ascii="Century Schoolbook" w:hAnsi="Century Schoolbook"/>
          <w:bCs/>
        </w:rPr>
        <w:t>make a decision</w:t>
      </w:r>
      <w:proofErr w:type="gramEnd"/>
      <w:r w:rsidR="00863B19">
        <w:rPr>
          <w:rFonts w:ascii="Century Schoolbook" w:hAnsi="Century Schoolbook"/>
          <w:bCs/>
        </w:rPr>
        <w:t xml:space="preserve"> which intelligently takes account of environmental consequences].</w:t>
      </w:r>
      <w:r w:rsidR="005C4B27">
        <w:rPr>
          <w:rFonts w:ascii="Century Schoolbook" w:hAnsi="Century Schoolbook"/>
          <w:bCs/>
        </w:rPr>
        <w:t>)</w:t>
      </w:r>
      <w:r w:rsidR="00863B19">
        <w:rPr>
          <w:rFonts w:ascii="Century Schoolbook" w:hAnsi="Century Schoolbook"/>
          <w:bCs/>
        </w:rPr>
        <w:t xml:space="preserve"> </w:t>
      </w:r>
      <w:r w:rsidR="008E0A6A">
        <w:rPr>
          <w:rFonts w:ascii="Century Schoolbook" w:hAnsi="Century Schoolbook"/>
          <w:bCs/>
        </w:rPr>
        <w:t xml:space="preserve">The question of the EIR’s sufficiency here does not </w:t>
      </w:r>
      <w:r>
        <w:rPr>
          <w:rFonts w:ascii="Century Schoolbook" w:hAnsi="Century Schoolbook"/>
          <w:bCs/>
        </w:rPr>
        <w:t xml:space="preserve">necessarily </w:t>
      </w:r>
      <w:r w:rsidR="008E0A6A">
        <w:rPr>
          <w:rFonts w:ascii="Century Schoolbook" w:hAnsi="Century Schoolbook"/>
          <w:bCs/>
        </w:rPr>
        <w:t>turn on underlying factual determinations</w:t>
      </w:r>
      <w:r>
        <w:rPr>
          <w:rFonts w:ascii="Century Schoolbook" w:hAnsi="Century Schoolbook"/>
          <w:bCs/>
        </w:rPr>
        <w:t xml:space="preserve">, although </w:t>
      </w:r>
      <w:r w:rsidR="001F0A10">
        <w:rPr>
          <w:rFonts w:ascii="Century Schoolbook" w:hAnsi="Century Schoolbook"/>
          <w:bCs/>
        </w:rPr>
        <w:t>the City’s</w:t>
      </w:r>
      <w:r>
        <w:rPr>
          <w:rFonts w:ascii="Century Schoolbook" w:hAnsi="Century Schoolbook"/>
          <w:bCs/>
        </w:rPr>
        <w:t xml:space="preserve"> assessment of the information provided by the Districts as uncertain and speculative </w:t>
      </w:r>
      <w:r w:rsidR="00493B49">
        <w:rPr>
          <w:rFonts w:ascii="Century Schoolbook" w:hAnsi="Century Schoolbook"/>
          <w:bCs/>
        </w:rPr>
        <w:t>i</w:t>
      </w:r>
      <w:r w:rsidR="00EF13DB">
        <w:rPr>
          <w:rFonts w:ascii="Century Schoolbook" w:hAnsi="Century Schoolbook"/>
          <w:bCs/>
        </w:rPr>
        <w:t>s</w:t>
      </w:r>
      <w:r w:rsidR="00DC3FD8">
        <w:rPr>
          <w:rFonts w:ascii="Century Schoolbook" w:hAnsi="Century Schoolbook"/>
          <w:bCs/>
        </w:rPr>
        <w:t xml:space="preserve"> </w:t>
      </w:r>
      <w:r>
        <w:rPr>
          <w:rFonts w:ascii="Century Schoolbook" w:hAnsi="Century Schoolbook"/>
          <w:bCs/>
        </w:rPr>
        <w:t xml:space="preserve">a factual </w:t>
      </w:r>
      <w:r w:rsidR="009F0093">
        <w:rPr>
          <w:rFonts w:ascii="Century Schoolbook" w:hAnsi="Century Schoolbook"/>
          <w:bCs/>
        </w:rPr>
        <w:t>question</w:t>
      </w:r>
      <w:r w:rsidR="00BD7B9E">
        <w:rPr>
          <w:rFonts w:ascii="Century Schoolbook" w:hAnsi="Century Schoolbook"/>
          <w:bCs/>
        </w:rPr>
        <w:t>.</w:t>
      </w:r>
      <w:r w:rsidR="009F0093">
        <w:rPr>
          <w:rFonts w:ascii="Century Schoolbook" w:hAnsi="Century Schoolbook"/>
          <w:bCs/>
        </w:rPr>
        <w:t xml:space="preserve"> (</w:t>
      </w:r>
      <w:r w:rsidR="009F0093" w:rsidRPr="0037792B">
        <w:rPr>
          <w:rFonts w:ascii="Century Schoolbook" w:hAnsi="Century Schoolbook"/>
          <w:bCs/>
          <w:i/>
          <w:iCs/>
        </w:rPr>
        <w:t>Anderson First Coalition v. City of Anderson</w:t>
      </w:r>
      <w:r w:rsidR="009F0093">
        <w:rPr>
          <w:rFonts w:ascii="Century Schoolbook" w:hAnsi="Century Schoolbook"/>
          <w:bCs/>
        </w:rPr>
        <w:t xml:space="preserve"> (2005) 130 Cal.App.4th 1173, 1186 </w:t>
      </w:r>
      <w:r w:rsidR="0037792B">
        <w:rPr>
          <w:rFonts w:ascii="Century Schoolbook" w:hAnsi="Century Schoolbook"/>
          <w:bCs/>
        </w:rPr>
        <w:t>(</w:t>
      </w:r>
      <w:r w:rsidR="0037792B" w:rsidRPr="0037792B">
        <w:rPr>
          <w:rFonts w:ascii="Century Schoolbook" w:hAnsi="Century Schoolbook"/>
          <w:bCs/>
          <w:i/>
          <w:iCs/>
        </w:rPr>
        <w:t>Anderson</w:t>
      </w:r>
      <w:r w:rsidR="0037792B">
        <w:rPr>
          <w:rFonts w:ascii="Century Schoolbook" w:hAnsi="Century Schoolbook"/>
          <w:bCs/>
        </w:rPr>
        <w:t xml:space="preserve">) </w:t>
      </w:r>
      <w:r w:rsidR="009F0093">
        <w:rPr>
          <w:rFonts w:ascii="Century Schoolbook" w:hAnsi="Century Schoolbook"/>
          <w:bCs/>
        </w:rPr>
        <w:t>[substantial evidence supported agency</w:t>
      </w:r>
      <w:r w:rsidR="0037792B">
        <w:rPr>
          <w:rFonts w:ascii="Century Schoolbook" w:hAnsi="Century Schoolbook"/>
          <w:bCs/>
        </w:rPr>
        <w:t xml:space="preserve">’s factual </w:t>
      </w:r>
      <w:r w:rsidR="009F0093">
        <w:rPr>
          <w:rFonts w:ascii="Century Schoolbook" w:hAnsi="Century Schoolbook"/>
          <w:bCs/>
        </w:rPr>
        <w:t xml:space="preserve">conclusion that asserted </w:t>
      </w:r>
      <w:r w:rsidR="0037792B">
        <w:rPr>
          <w:rFonts w:ascii="Century Schoolbook" w:hAnsi="Century Schoolbook"/>
          <w:bCs/>
        </w:rPr>
        <w:t xml:space="preserve">environmental impact of </w:t>
      </w:r>
      <w:r w:rsidR="009F0093">
        <w:rPr>
          <w:rFonts w:ascii="Century Schoolbook" w:hAnsi="Century Schoolbook"/>
          <w:bCs/>
        </w:rPr>
        <w:t xml:space="preserve">urban decay </w:t>
      </w:r>
      <w:r w:rsidR="0037792B">
        <w:rPr>
          <w:rFonts w:ascii="Century Schoolbook" w:hAnsi="Century Schoolbook"/>
          <w:bCs/>
        </w:rPr>
        <w:t>was speculative and not reasonably foreseeable]</w:t>
      </w:r>
      <w:r w:rsidR="00BD7B9E">
        <w:rPr>
          <w:rFonts w:ascii="Century Schoolbook" w:hAnsi="Century Schoolbook"/>
          <w:bCs/>
        </w:rPr>
        <w:t>.</w:t>
      </w:r>
      <w:r w:rsidR="0037792B">
        <w:rPr>
          <w:rFonts w:ascii="Century Schoolbook" w:hAnsi="Century Schoolbook"/>
          <w:bCs/>
        </w:rPr>
        <w:t>)</w:t>
      </w:r>
      <w:r w:rsidR="00BD7B9E">
        <w:rPr>
          <w:rFonts w:ascii="Century Schoolbook" w:hAnsi="Century Schoolbook"/>
          <w:bCs/>
        </w:rPr>
        <w:t xml:space="preserve"> R</w:t>
      </w:r>
      <w:r w:rsidR="00EF13DB">
        <w:rPr>
          <w:rFonts w:ascii="Century Schoolbook" w:hAnsi="Century Schoolbook"/>
          <w:bCs/>
        </w:rPr>
        <w:t>eview here</w:t>
      </w:r>
      <w:r w:rsidR="008E0A6A">
        <w:rPr>
          <w:rFonts w:ascii="Century Schoolbook" w:hAnsi="Century Schoolbook"/>
          <w:bCs/>
        </w:rPr>
        <w:t xml:space="preserve"> is </w:t>
      </w:r>
      <w:r>
        <w:rPr>
          <w:rFonts w:ascii="Century Schoolbook" w:hAnsi="Century Schoolbook"/>
          <w:bCs/>
        </w:rPr>
        <w:t xml:space="preserve">thus </w:t>
      </w:r>
      <w:r w:rsidR="008E0A6A">
        <w:rPr>
          <w:rFonts w:ascii="Century Schoolbook" w:hAnsi="Century Schoolbook"/>
          <w:bCs/>
        </w:rPr>
        <w:t xml:space="preserve">not solely a matter of discerning whether there is substantial evidence in the record to support </w:t>
      </w:r>
      <w:r w:rsidR="00EF13DB">
        <w:rPr>
          <w:rFonts w:ascii="Century Schoolbook" w:hAnsi="Century Schoolbook"/>
          <w:bCs/>
        </w:rPr>
        <w:t>such</w:t>
      </w:r>
      <w:r w:rsidR="008E0A6A">
        <w:rPr>
          <w:rFonts w:ascii="Century Schoolbook" w:hAnsi="Century Schoolbook"/>
          <w:bCs/>
        </w:rPr>
        <w:t xml:space="preserve"> factual conclusions. (</w:t>
      </w:r>
      <w:r w:rsidR="00DC3FD8">
        <w:rPr>
          <w:rFonts w:ascii="Century Schoolbook" w:hAnsi="Century Schoolbook"/>
          <w:bCs/>
        </w:rPr>
        <w:t xml:space="preserve">See </w:t>
      </w:r>
      <w:r w:rsidR="008E0A6A" w:rsidRPr="008E0A6A">
        <w:rPr>
          <w:rFonts w:ascii="Century Schoolbook" w:hAnsi="Century Schoolbook"/>
          <w:bCs/>
          <w:i/>
          <w:iCs/>
        </w:rPr>
        <w:t>Sierra Club</w:t>
      </w:r>
      <w:r w:rsidR="008E0A6A">
        <w:rPr>
          <w:rFonts w:ascii="Century Schoolbook" w:hAnsi="Century Schoolbook"/>
          <w:bCs/>
        </w:rPr>
        <w:t xml:space="preserve">, </w:t>
      </w:r>
      <w:r w:rsidR="00BD7B9E">
        <w:rPr>
          <w:rFonts w:ascii="Century Schoolbook" w:hAnsi="Century Schoolbook"/>
          <w:bCs/>
        </w:rPr>
        <w:t xml:space="preserve">6 Cal.5th </w:t>
      </w:r>
      <w:r w:rsidR="008E0A6A">
        <w:rPr>
          <w:rFonts w:ascii="Century Schoolbook" w:hAnsi="Century Schoolbook"/>
          <w:bCs/>
        </w:rPr>
        <w:t xml:space="preserve">at p. 516.) It is rather a </w:t>
      </w:r>
      <w:r w:rsidR="007328F9">
        <w:rPr>
          <w:rFonts w:ascii="Century Schoolbook" w:hAnsi="Century Schoolbook"/>
          <w:bCs/>
        </w:rPr>
        <w:t>“</w:t>
      </w:r>
      <w:r w:rsidR="008E0A6A">
        <w:rPr>
          <w:rFonts w:ascii="Century Schoolbook" w:hAnsi="Century Schoolbook"/>
          <w:bCs/>
        </w:rPr>
        <w:t xml:space="preserve">mixed question </w:t>
      </w:r>
      <w:r w:rsidR="00294442">
        <w:rPr>
          <w:rFonts w:ascii="Century Schoolbook" w:hAnsi="Century Schoolbook"/>
          <w:bCs/>
        </w:rPr>
        <w:t>[</w:t>
      </w:r>
      <w:r w:rsidR="008E0A6A">
        <w:rPr>
          <w:rFonts w:ascii="Century Schoolbook" w:hAnsi="Century Schoolbook"/>
          <w:bCs/>
        </w:rPr>
        <w:t>of law and fact</w:t>
      </w:r>
      <w:r w:rsidR="00294442">
        <w:rPr>
          <w:rFonts w:ascii="Century Schoolbook" w:hAnsi="Century Schoolbook"/>
          <w:bCs/>
        </w:rPr>
        <w:t>]</w:t>
      </w:r>
      <w:r w:rsidR="008E0A6A">
        <w:rPr>
          <w:rFonts w:ascii="Century Schoolbook" w:hAnsi="Century Schoolbook"/>
          <w:bCs/>
        </w:rPr>
        <w:t xml:space="preserve"> </w:t>
      </w:r>
      <w:proofErr w:type="spellStart"/>
      <w:r w:rsidR="007328F9">
        <w:rPr>
          <w:rFonts w:ascii="Century Schoolbook" w:hAnsi="Century Schoolbook"/>
          <w:bCs/>
        </w:rPr>
        <w:t>requir</w:t>
      </w:r>
      <w:proofErr w:type="spellEnd"/>
      <w:r w:rsidR="007328F9">
        <w:rPr>
          <w:rFonts w:ascii="Century Schoolbook" w:hAnsi="Century Schoolbook"/>
          <w:bCs/>
        </w:rPr>
        <w:t>[</w:t>
      </w:r>
      <w:proofErr w:type="spellStart"/>
      <w:r w:rsidR="007328F9">
        <w:rPr>
          <w:rFonts w:ascii="Century Schoolbook" w:hAnsi="Century Schoolbook"/>
          <w:bCs/>
        </w:rPr>
        <w:t>ing</w:t>
      </w:r>
      <w:proofErr w:type="spellEnd"/>
      <w:r w:rsidR="007328F9">
        <w:rPr>
          <w:rFonts w:ascii="Century Schoolbook" w:hAnsi="Century Schoolbook"/>
          <w:bCs/>
        </w:rPr>
        <w:t xml:space="preserve">] a determination whether </w:t>
      </w:r>
      <w:r w:rsidR="007328F9">
        <w:rPr>
          <w:rFonts w:ascii="Century Schoolbook" w:hAnsi="Century Schoolbook"/>
          <w:bCs/>
        </w:rPr>
        <w:lastRenderedPageBreak/>
        <w:t xml:space="preserve">statutory criteria were satisfied” </w:t>
      </w:r>
      <w:r w:rsidR="008E0A6A">
        <w:rPr>
          <w:rFonts w:ascii="Century Schoolbook" w:hAnsi="Century Schoolbook"/>
          <w:bCs/>
        </w:rPr>
        <w:t xml:space="preserve">to which we will apply independent review while affording deference to any </w:t>
      </w:r>
      <w:r w:rsidR="001F0A10">
        <w:rPr>
          <w:rFonts w:ascii="Century Schoolbook" w:hAnsi="Century Schoolbook"/>
          <w:bCs/>
        </w:rPr>
        <w:t xml:space="preserve">relevant </w:t>
      </w:r>
      <w:r w:rsidR="008E0A6A">
        <w:rPr>
          <w:rFonts w:ascii="Century Schoolbook" w:hAnsi="Century Schoolbook"/>
          <w:bCs/>
        </w:rPr>
        <w:t>underlying factual determinations</w:t>
      </w:r>
      <w:r w:rsidR="00CD54BA">
        <w:rPr>
          <w:rFonts w:ascii="Century Schoolbook" w:hAnsi="Century Schoolbook"/>
          <w:bCs/>
        </w:rPr>
        <w:t xml:space="preserve"> by the City</w:t>
      </w:r>
      <w:r w:rsidR="008E0A6A">
        <w:rPr>
          <w:rFonts w:ascii="Century Schoolbook" w:hAnsi="Century Schoolbook"/>
          <w:bCs/>
        </w:rPr>
        <w:t>. (</w:t>
      </w:r>
      <w:r w:rsidR="008E0A6A" w:rsidRPr="008E0A6A">
        <w:rPr>
          <w:rFonts w:ascii="Century Schoolbook" w:hAnsi="Century Schoolbook"/>
          <w:bCs/>
          <w:i/>
          <w:iCs/>
        </w:rPr>
        <w:t>Ibid</w:t>
      </w:r>
      <w:r w:rsidR="008E0A6A">
        <w:rPr>
          <w:rFonts w:ascii="Century Schoolbook" w:hAnsi="Century Schoolbook"/>
          <w:bCs/>
        </w:rPr>
        <w:t>.</w:t>
      </w:r>
      <w:r w:rsidR="00B301DF">
        <w:rPr>
          <w:rFonts w:ascii="Century Schoolbook" w:hAnsi="Century Schoolbook"/>
          <w:bCs/>
        </w:rPr>
        <w:t xml:space="preserve">; </w:t>
      </w:r>
      <w:r w:rsidR="00B301DF" w:rsidRPr="00B301DF">
        <w:rPr>
          <w:rFonts w:ascii="Century Schoolbook" w:hAnsi="Century Schoolbook"/>
          <w:bCs/>
          <w:i/>
          <w:iCs/>
        </w:rPr>
        <w:t>Bakersfield Citizens for Local Control v. City of Bakersfield</w:t>
      </w:r>
      <w:r w:rsidR="00B301DF">
        <w:rPr>
          <w:rFonts w:ascii="Century Schoolbook" w:hAnsi="Century Schoolbook"/>
          <w:bCs/>
        </w:rPr>
        <w:t xml:space="preserve"> (2004) 124 Cal.App.4th 1184, 1198 [substantial evidence standard applies to the reliability or accuracy of the data upon which </w:t>
      </w:r>
      <w:r w:rsidR="00B674E9">
        <w:rPr>
          <w:rFonts w:ascii="Century Schoolbook" w:hAnsi="Century Schoolbook"/>
          <w:bCs/>
        </w:rPr>
        <w:t>EIR relied].</w:t>
      </w:r>
      <w:r w:rsidR="008E0A6A">
        <w:rPr>
          <w:rFonts w:ascii="Century Schoolbook" w:hAnsi="Century Schoolbook"/>
          <w:bCs/>
        </w:rPr>
        <w:t>)</w:t>
      </w:r>
      <w:r w:rsidR="00D83771">
        <w:rPr>
          <w:rFonts w:ascii="Century Schoolbook" w:hAnsi="Century Schoolbook"/>
          <w:bCs/>
        </w:rPr>
        <w:t xml:space="preserve"> </w:t>
      </w:r>
    </w:p>
    <w:p w14:paraId="76D95D4F" w14:textId="29B9F52A" w:rsidR="00AC5EDD" w:rsidRPr="00202145" w:rsidRDefault="00B35374" w:rsidP="0036786C">
      <w:pPr>
        <w:rPr>
          <w:rFonts w:ascii="Century Schoolbook" w:hAnsi="Century Schoolbook"/>
          <w:bCs/>
        </w:rPr>
      </w:pPr>
      <w:r>
        <w:rPr>
          <w:rFonts w:ascii="Century Schoolbook" w:hAnsi="Century Schoolbook"/>
          <w:bCs/>
        </w:rPr>
        <w:tab/>
        <w:t xml:space="preserve">As to the Districts’ claim that the City failed to respond or did not adequately respond to their public comments, </w:t>
      </w:r>
      <w:r w:rsidR="006802B8">
        <w:rPr>
          <w:rFonts w:ascii="Century Schoolbook" w:hAnsi="Century Schoolbook"/>
          <w:bCs/>
        </w:rPr>
        <w:t xml:space="preserve">such a claim is likewise one for the failure to proceed in a manner required by CEQA </w:t>
      </w:r>
      <w:r w:rsidR="008156F0">
        <w:rPr>
          <w:rFonts w:ascii="Century Schoolbook" w:hAnsi="Century Schoolbook"/>
          <w:bCs/>
        </w:rPr>
        <w:t xml:space="preserve">and is </w:t>
      </w:r>
      <w:r w:rsidR="006802B8">
        <w:rPr>
          <w:rFonts w:ascii="Century Schoolbook" w:hAnsi="Century Schoolbook"/>
          <w:bCs/>
        </w:rPr>
        <w:t>reviewed for prejudicial abuse of discretion.</w:t>
      </w:r>
      <w:r w:rsidR="008156F0">
        <w:rPr>
          <w:rStyle w:val="FootnoteReference"/>
          <w:rFonts w:ascii="Century Schoolbook" w:hAnsi="Century Schoolbook"/>
          <w:bCs/>
        </w:rPr>
        <w:footnoteReference w:id="11"/>
      </w:r>
      <w:r w:rsidR="006802B8">
        <w:rPr>
          <w:rFonts w:ascii="Century Schoolbook" w:hAnsi="Century Schoolbook"/>
          <w:bCs/>
        </w:rPr>
        <w:t xml:space="preserve"> (</w:t>
      </w:r>
      <w:r w:rsidR="006802B8" w:rsidRPr="008156F0">
        <w:rPr>
          <w:rFonts w:ascii="Century Schoolbook" w:hAnsi="Century Schoolbook"/>
          <w:bCs/>
          <w:i/>
          <w:iCs/>
        </w:rPr>
        <w:t>Environmental Protection, supra</w:t>
      </w:r>
      <w:r w:rsidR="006802B8">
        <w:rPr>
          <w:rFonts w:ascii="Century Schoolbook" w:hAnsi="Century Schoolbook"/>
          <w:bCs/>
        </w:rPr>
        <w:t xml:space="preserve">, </w:t>
      </w:r>
      <w:r w:rsidR="008156F0">
        <w:rPr>
          <w:rFonts w:ascii="Century Schoolbook" w:hAnsi="Century Schoolbook"/>
          <w:bCs/>
        </w:rPr>
        <w:t>44 Cal.4th at p. 487.)</w:t>
      </w:r>
      <w:r w:rsidR="006802B8">
        <w:rPr>
          <w:rFonts w:ascii="Century Schoolbook" w:hAnsi="Century Schoolbook"/>
          <w:bCs/>
        </w:rPr>
        <w:t xml:space="preserve">  </w:t>
      </w:r>
      <w:r>
        <w:rPr>
          <w:rFonts w:ascii="Century Schoolbook" w:hAnsi="Century Schoolbook"/>
          <w:bCs/>
        </w:rPr>
        <w:t xml:space="preserve"> </w:t>
      </w:r>
      <w:r w:rsidR="00EC061B">
        <w:rPr>
          <w:rFonts w:ascii="Century Schoolbook" w:hAnsi="Century Schoolbook"/>
          <w:bCs/>
        </w:rPr>
        <w:t xml:space="preserve">   </w:t>
      </w:r>
      <w:r w:rsidR="00A85CAC">
        <w:rPr>
          <w:rFonts w:ascii="Century Schoolbook" w:hAnsi="Century Schoolbook"/>
          <w:bCs/>
        </w:rPr>
        <w:t xml:space="preserve"> </w:t>
      </w:r>
      <w:r w:rsidR="00F76EC0">
        <w:rPr>
          <w:rFonts w:ascii="Century Schoolbook" w:hAnsi="Century Schoolbook"/>
          <w:bCs/>
        </w:rPr>
        <w:t xml:space="preserve">  </w:t>
      </w:r>
      <w:r w:rsidR="00D2400E">
        <w:rPr>
          <w:rFonts w:ascii="Century Schoolbook" w:hAnsi="Century Schoolbook"/>
          <w:bCs/>
        </w:rPr>
        <w:t xml:space="preserve"> </w:t>
      </w:r>
      <w:r w:rsidR="009D466B">
        <w:rPr>
          <w:rFonts w:ascii="Century Schoolbook" w:hAnsi="Century Schoolbook"/>
        </w:rPr>
        <w:tab/>
      </w:r>
      <w:r w:rsidR="00BF5468">
        <w:rPr>
          <w:rFonts w:ascii="Century Schoolbook" w:hAnsi="Century Schoolbook"/>
        </w:rPr>
        <w:t xml:space="preserve"> </w:t>
      </w:r>
      <w:r w:rsidR="00F77C3A">
        <w:rPr>
          <w:rFonts w:ascii="Century Schoolbook" w:hAnsi="Century Schoolbook"/>
        </w:rPr>
        <w:t xml:space="preserve">   </w:t>
      </w:r>
      <w:r w:rsidR="00FB2FD4">
        <w:rPr>
          <w:rFonts w:ascii="Century Schoolbook" w:hAnsi="Century Schoolbook"/>
        </w:rPr>
        <w:t xml:space="preserve"> </w:t>
      </w:r>
    </w:p>
    <w:p w14:paraId="657BA940" w14:textId="1CC794C1" w:rsidR="0025569A" w:rsidRPr="00D43311" w:rsidRDefault="00202145" w:rsidP="00D43311">
      <w:pPr>
        <w:pStyle w:val="ListParagraph"/>
        <w:numPr>
          <w:ilvl w:val="0"/>
          <w:numId w:val="13"/>
        </w:numPr>
        <w:rPr>
          <w:rFonts w:ascii="Century Schoolbook" w:hAnsi="Century Schoolbook"/>
          <w:i/>
          <w:iCs/>
        </w:rPr>
      </w:pPr>
      <w:r>
        <w:rPr>
          <w:rFonts w:ascii="Century Schoolbook" w:hAnsi="Century Schoolbook"/>
          <w:i/>
          <w:iCs/>
        </w:rPr>
        <w:t xml:space="preserve">School Facilities and Funding </w:t>
      </w:r>
      <w:r w:rsidR="00D46B7A">
        <w:rPr>
          <w:rFonts w:ascii="Century Schoolbook" w:hAnsi="Century Schoolbook"/>
          <w:i/>
          <w:iCs/>
        </w:rPr>
        <w:t xml:space="preserve">as Treated </w:t>
      </w:r>
      <w:r>
        <w:rPr>
          <w:rFonts w:ascii="Century Schoolbook" w:hAnsi="Century Schoolbook"/>
          <w:i/>
          <w:iCs/>
        </w:rPr>
        <w:t xml:space="preserve">Under CEQA </w:t>
      </w:r>
    </w:p>
    <w:p w14:paraId="486ADD4C" w14:textId="0A861C00" w:rsidR="00D46B7A" w:rsidRDefault="002E103A" w:rsidP="003E75F8">
      <w:pPr>
        <w:rPr>
          <w:rFonts w:ascii="Century Schoolbook" w:hAnsi="Century Schoolbook"/>
        </w:rPr>
      </w:pPr>
      <w:r>
        <w:rPr>
          <w:rFonts w:ascii="Century Schoolbook" w:hAnsi="Century Schoolbook"/>
        </w:rPr>
        <w:t xml:space="preserve">   </w:t>
      </w:r>
      <w:r w:rsidR="0043334E">
        <w:rPr>
          <w:rFonts w:ascii="Century Schoolbook" w:hAnsi="Century Schoolbook"/>
        </w:rPr>
        <w:tab/>
      </w:r>
      <w:r w:rsidR="00D46B7A">
        <w:rPr>
          <w:rFonts w:ascii="Century Schoolbook" w:hAnsi="Century Schoolbook"/>
        </w:rPr>
        <w:t xml:space="preserve">Both sides to this appeal </w:t>
      </w:r>
      <w:r w:rsidR="008C3433">
        <w:rPr>
          <w:rFonts w:ascii="Century Schoolbook" w:hAnsi="Century Schoolbook"/>
        </w:rPr>
        <w:t xml:space="preserve">appear to </w:t>
      </w:r>
      <w:r w:rsidR="00D46B7A">
        <w:rPr>
          <w:rFonts w:ascii="Century Schoolbook" w:hAnsi="Century Schoolbook"/>
        </w:rPr>
        <w:t xml:space="preserve">contend that </w:t>
      </w:r>
      <w:proofErr w:type="spellStart"/>
      <w:r w:rsidR="00D46B7A" w:rsidRPr="00D46B7A">
        <w:rPr>
          <w:rFonts w:ascii="Century Schoolbook" w:hAnsi="Century Schoolbook"/>
          <w:i/>
          <w:iCs/>
        </w:rPr>
        <w:t>Chawanakee</w:t>
      </w:r>
      <w:proofErr w:type="spellEnd"/>
      <w:r w:rsidR="00D46B7A">
        <w:rPr>
          <w:rFonts w:ascii="Century Schoolbook" w:hAnsi="Century Schoolbook"/>
        </w:rPr>
        <w:t xml:space="preserve"> and its construction of Government Code section 65996 support their respective positions. While we view the case as relevant to the issues here, it is not dispositive, given the narrow way in which the trial court</w:t>
      </w:r>
      <w:r w:rsidR="00E90ED7">
        <w:rPr>
          <w:rFonts w:ascii="Century Schoolbook" w:hAnsi="Century Schoolbook"/>
        </w:rPr>
        <w:t xml:space="preserve"> </w:t>
      </w:r>
      <w:r w:rsidR="00D46B7A">
        <w:rPr>
          <w:rFonts w:ascii="Century Schoolbook" w:hAnsi="Century Schoolbook"/>
        </w:rPr>
        <w:t>found the Final EIR and the City’s responses to the Districts’ public comments to be inadequate</w:t>
      </w:r>
      <w:r w:rsidR="00E90ED7">
        <w:rPr>
          <w:rFonts w:ascii="Century Schoolbook" w:hAnsi="Century Schoolbook"/>
        </w:rPr>
        <w:t>—</w:t>
      </w:r>
      <w:r w:rsidR="00CB214F">
        <w:rPr>
          <w:rFonts w:ascii="Century Schoolbook" w:hAnsi="Century Schoolbook"/>
        </w:rPr>
        <w:t xml:space="preserve">by </w:t>
      </w:r>
      <w:r w:rsidR="00E90ED7">
        <w:rPr>
          <w:rFonts w:ascii="Century Schoolbook" w:hAnsi="Century Schoolbook"/>
        </w:rPr>
        <w:t>failing to generally discuss and respond to comments about off-site</w:t>
      </w:r>
      <w:r w:rsidR="00D46B7A">
        <w:rPr>
          <w:rFonts w:ascii="Century Schoolbook" w:hAnsi="Century Schoolbook"/>
        </w:rPr>
        <w:t>,</w:t>
      </w:r>
      <w:r w:rsidR="00E90ED7">
        <w:rPr>
          <w:rFonts w:ascii="Century Schoolbook" w:hAnsi="Century Schoolbook"/>
        </w:rPr>
        <w:t xml:space="preserve"> indirect impacts of </w:t>
      </w:r>
      <w:r w:rsidR="00C863FF">
        <w:rPr>
          <w:rFonts w:ascii="Century Schoolbook" w:hAnsi="Century Schoolbook"/>
        </w:rPr>
        <w:t xml:space="preserve">the Districts’ </w:t>
      </w:r>
      <w:r w:rsidR="00E90ED7">
        <w:rPr>
          <w:rFonts w:ascii="Century Schoolbook" w:hAnsi="Century Schoolbook"/>
        </w:rPr>
        <w:t>accommodating additional students at existing school sites</w:t>
      </w:r>
      <w:r w:rsidR="00EF13DB">
        <w:rPr>
          <w:rFonts w:ascii="Century Schoolbook" w:hAnsi="Century Schoolbook"/>
        </w:rPr>
        <w:t xml:space="preserve"> or by other means</w:t>
      </w:r>
      <w:r w:rsidR="00E90ED7">
        <w:rPr>
          <w:rFonts w:ascii="Century Schoolbook" w:hAnsi="Century Schoolbook"/>
        </w:rPr>
        <w:t>—</w:t>
      </w:r>
      <w:r w:rsidR="00D46B7A">
        <w:rPr>
          <w:rFonts w:ascii="Century Schoolbook" w:hAnsi="Century Schoolbook"/>
        </w:rPr>
        <w:t xml:space="preserve">and the </w:t>
      </w:r>
      <w:r w:rsidR="00E90ED7">
        <w:rPr>
          <w:rFonts w:ascii="Century Schoolbook" w:hAnsi="Century Schoolbook"/>
        </w:rPr>
        <w:t xml:space="preserve">equally </w:t>
      </w:r>
      <w:r w:rsidR="00D46B7A">
        <w:rPr>
          <w:rFonts w:ascii="Century Schoolbook" w:hAnsi="Century Schoolbook"/>
        </w:rPr>
        <w:t xml:space="preserve">narrow writ relief the trial court ordered. We therefore provide some discussion of </w:t>
      </w:r>
      <w:r w:rsidR="00E90ED7">
        <w:rPr>
          <w:rFonts w:ascii="Century Schoolbook" w:hAnsi="Century Schoolbook"/>
        </w:rPr>
        <w:t>this case</w:t>
      </w:r>
      <w:r w:rsidR="00D46B7A">
        <w:rPr>
          <w:rFonts w:ascii="Century Schoolbook" w:hAnsi="Century Schoolbook"/>
        </w:rPr>
        <w:t xml:space="preserve"> and the law </w:t>
      </w:r>
      <w:r w:rsidR="00881EBB">
        <w:rPr>
          <w:rFonts w:ascii="Century Schoolbook" w:hAnsi="Century Schoolbook"/>
        </w:rPr>
        <w:t>on school facilities and funding as treated under CEQA</w:t>
      </w:r>
      <w:r w:rsidR="00D46B7A">
        <w:rPr>
          <w:rFonts w:ascii="Century Schoolbook" w:hAnsi="Century Schoolbook"/>
        </w:rPr>
        <w:t>.</w:t>
      </w:r>
    </w:p>
    <w:p w14:paraId="052149FE" w14:textId="558562A5" w:rsidR="00BE721B" w:rsidRDefault="00881EBB" w:rsidP="003E75F8">
      <w:pPr>
        <w:rPr>
          <w:rFonts w:ascii="Century Schoolbook" w:hAnsi="Century Schoolbook"/>
        </w:rPr>
      </w:pPr>
      <w:r>
        <w:rPr>
          <w:rFonts w:ascii="Century Schoolbook" w:hAnsi="Century Schoolbook"/>
        </w:rPr>
        <w:lastRenderedPageBreak/>
        <w:tab/>
      </w:r>
      <w:r w:rsidR="00C863FF">
        <w:rPr>
          <w:rFonts w:ascii="Century Schoolbook" w:hAnsi="Century Schoolbook"/>
        </w:rPr>
        <w:t>W</w:t>
      </w:r>
      <w:r w:rsidR="001D4F0F">
        <w:rPr>
          <w:rFonts w:ascii="Century Schoolbook" w:hAnsi="Century Schoolbook"/>
        </w:rPr>
        <w:t xml:space="preserve">e first observe that </w:t>
      </w:r>
      <w:r w:rsidR="002645AD">
        <w:rPr>
          <w:rFonts w:ascii="Century Schoolbook" w:hAnsi="Century Schoolbook"/>
        </w:rPr>
        <w:t xml:space="preserve">before the legislative changes on school-facilities funding addressed in </w:t>
      </w:r>
      <w:proofErr w:type="spellStart"/>
      <w:r w:rsidR="002645AD" w:rsidRPr="002645AD">
        <w:rPr>
          <w:rFonts w:ascii="Century Schoolbook" w:hAnsi="Century Schoolbook"/>
          <w:i/>
          <w:iCs/>
        </w:rPr>
        <w:t>Chawanakee</w:t>
      </w:r>
      <w:proofErr w:type="spellEnd"/>
      <w:r w:rsidR="002645AD">
        <w:rPr>
          <w:rFonts w:ascii="Century Schoolbook" w:hAnsi="Century Schoolbook"/>
        </w:rPr>
        <w:t xml:space="preserve">, </w:t>
      </w:r>
      <w:r w:rsidR="001D4F0F">
        <w:rPr>
          <w:rFonts w:ascii="Century Schoolbook" w:hAnsi="Century Schoolbook"/>
        </w:rPr>
        <w:t xml:space="preserve">the court of appeal in </w:t>
      </w:r>
      <w:r w:rsidR="001D4F0F" w:rsidRPr="00E92CAB">
        <w:rPr>
          <w:rFonts w:ascii="Century Schoolbook" w:hAnsi="Century Schoolbook"/>
          <w:i/>
          <w:iCs/>
        </w:rPr>
        <w:t xml:space="preserve">Goleta Union School District v. Regents of </w:t>
      </w:r>
      <w:r w:rsidR="002D24D2">
        <w:rPr>
          <w:rFonts w:ascii="Century Schoolbook" w:hAnsi="Century Schoolbook"/>
          <w:i/>
          <w:iCs/>
        </w:rPr>
        <w:t>U</w:t>
      </w:r>
      <w:r w:rsidR="001D4F0F" w:rsidRPr="00E92CAB">
        <w:rPr>
          <w:rFonts w:ascii="Century Schoolbook" w:hAnsi="Century Schoolbook"/>
          <w:i/>
          <w:iCs/>
        </w:rPr>
        <w:t>niversity of California</w:t>
      </w:r>
      <w:r w:rsidR="001D4F0F">
        <w:rPr>
          <w:rFonts w:ascii="Century Schoolbook" w:hAnsi="Century Schoolbook"/>
        </w:rPr>
        <w:t xml:space="preserve"> (1995) 37 Cal.App.4th 1025 (</w:t>
      </w:r>
      <w:r w:rsidR="001D4F0F" w:rsidRPr="00E92CAB">
        <w:rPr>
          <w:rFonts w:ascii="Century Schoolbook" w:hAnsi="Century Schoolbook"/>
          <w:i/>
          <w:iCs/>
        </w:rPr>
        <w:t>Goleta</w:t>
      </w:r>
      <w:r w:rsidR="001D4F0F">
        <w:rPr>
          <w:rFonts w:ascii="Century Schoolbook" w:hAnsi="Century Schoolbook"/>
        </w:rPr>
        <w:t>) held that</w:t>
      </w:r>
      <w:r w:rsidR="00E92CAB">
        <w:rPr>
          <w:rFonts w:ascii="Century Schoolbook" w:hAnsi="Century Schoolbook"/>
        </w:rPr>
        <w:t xml:space="preserve"> </w:t>
      </w:r>
      <w:r w:rsidR="003B1307">
        <w:rPr>
          <w:rFonts w:ascii="Century Schoolbook" w:hAnsi="Century Schoolbook"/>
        </w:rPr>
        <w:t xml:space="preserve">the </w:t>
      </w:r>
      <w:r w:rsidR="00CB214F">
        <w:rPr>
          <w:rFonts w:ascii="Century Schoolbook" w:hAnsi="Century Schoolbook"/>
        </w:rPr>
        <w:t xml:space="preserve">UC </w:t>
      </w:r>
      <w:r w:rsidR="002D24D2">
        <w:rPr>
          <w:rFonts w:ascii="Century Schoolbook" w:hAnsi="Century Schoolbook"/>
        </w:rPr>
        <w:t>Regents</w:t>
      </w:r>
      <w:r w:rsidR="002645AD">
        <w:rPr>
          <w:rFonts w:ascii="Century Schoolbook" w:hAnsi="Century Schoolbook"/>
        </w:rPr>
        <w:t>,</w:t>
      </w:r>
      <w:r w:rsidR="002D24D2">
        <w:rPr>
          <w:rFonts w:ascii="Century Schoolbook" w:hAnsi="Century Schoolbook"/>
        </w:rPr>
        <w:t xml:space="preserve"> as lead agency for a long-range development plan for university projects that would increase enrollment in a local elementary school district</w:t>
      </w:r>
      <w:r w:rsidR="002645AD">
        <w:rPr>
          <w:rFonts w:ascii="Century Schoolbook" w:hAnsi="Century Schoolbook"/>
        </w:rPr>
        <w:t>,</w:t>
      </w:r>
      <w:r w:rsidR="002D24D2">
        <w:rPr>
          <w:rFonts w:ascii="Century Schoolbook" w:hAnsi="Century Schoolbook"/>
        </w:rPr>
        <w:t xml:space="preserve"> had no obligation to propose or </w:t>
      </w:r>
      <w:r w:rsidR="00A13DF5">
        <w:rPr>
          <w:rFonts w:ascii="Century Schoolbook" w:hAnsi="Century Schoolbook"/>
        </w:rPr>
        <w:t>commit funds</w:t>
      </w:r>
      <w:r w:rsidR="002D24D2">
        <w:rPr>
          <w:rFonts w:ascii="Century Schoolbook" w:hAnsi="Century Schoolbook"/>
        </w:rPr>
        <w:t xml:space="preserve"> for methods </w:t>
      </w:r>
      <w:r w:rsidR="0010240A">
        <w:rPr>
          <w:rFonts w:ascii="Century Schoolbook" w:hAnsi="Century Schoolbook"/>
        </w:rPr>
        <w:t>to</w:t>
      </w:r>
      <w:r w:rsidR="002D24D2">
        <w:rPr>
          <w:rFonts w:ascii="Century Schoolbook" w:hAnsi="Century Schoolbook"/>
        </w:rPr>
        <w:t xml:space="preserve"> alleviat</w:t>
      </w:r>
      <w:r w:rsidR="0010240A">
        <w:rPr>
          <w:rFonts w:ascii="Century Schoolbook" w:hAnsi="Century Schoolbook"/>
        </w:rPr>
        <w:t>e</w:t>
      </w:r>
      <w:r w:rsidR="002D24D2">
        <w:rPr>
          <w:rFonts w:ascii="Century Schoolbook" w:hAnsi="Century Schoolbook"/>
        </w:rPr>
        <w:t xml:space="preserve"> overcrowding in local public schools expected to result from the project.</w:t>
      </w:r>
      <w:r w:rsidR="00A13DF5">
        <w:rPr>
          <w:rFonts w:ascii="Century Schoolbook" w:hAnsi="Century Schoolbook"/>
        </w:rPr>
        <w:t xml:space="preserve"> (</w:t>
      </w:r>
      <w:r w:rsidR="00A13DF5" w:rsidRPr="0010240A">
        <w:rPr>
          <w:rFonts w:ascii="Century Schoolbook" w:hAnsi="Century Schoolbook"/>
          <w:i/>
          <w:iCs/>
        </w:rPr>
        <w:t>Id.</w:t>
      </w:r>
      <w:r w:rsidR="00A13DF5">
        <w:rPr>
          <w:rFonts w:ascii="Century Schoolbook" w:hAnsi="Century Schoolbook"/>
        </w:rPr>
        <w:t xml:space="preserve"> at pp. </w:t>
      </w:r>
      <w:r w:rsidR="0010240A">
        <w:rPr>
          <w:rFonts w:ascii="Century Schoolbook" w:hAnsi="Century Schoolbook"/>
        </w:rPr>
        <w:t xml:space="preserve">1028, </w:t>
      </w:r>
      <w:r w:rsidR="00A13DF5">
        <w:rPr>
          <w:rFonts w:ascii="Century Schoolbook" w:hAnsi="Century Schoolbook"/>
        </w:rPr>
        <w:t xml:space="preserve">1033–1034.) The basis for the court’s holding was that CEQA requires </w:t>
      </w:r>
      <w:r w:rsidR="0095613E">
        <w:rPr>
          <w:rFonts w:ascii="Century Schoolbook" w:hAnsi="Century Schoolbook"/>
        </w:rPr>
        <w:t>consideration only of “physical change[s]” in the environment (§ 21065; cf. § 21060.5), and that the “[e]</w:t>
      </w:r>
      <w:proofErr w:type="spellStart"/>
      <w:r w:rsidR="0095613E">
        <w:rPr>
          <w:rFonts w:ascii="Century Schoolbook" w:hAnsi="Century Schoolbook"/>
        </w:rPr>
        <w:t>conomic</w:t>
      </w:r>
      <w:proofErr w:type="spellEnd"/>
      <w:r w:rsidR="0095613E">
        <w:rPr>
          <w:rFonts w:ascii="Century Schoolbook" w:hAnsi="Century Schoolbook"/>
        </w:rPr>
        <w:t xml:space="preserve"> or social effects of a project shall not be treated as significant effects on the environment</w:t>
      </w:r>
      <w:r w:rsidR="00A45DE7">
        <w:rPr>
          <w:rFonts w:ascii="Century Schoolbook" w:hAnsi="Century Schoolbook"/>
        </w:rPr>
        <w:t>”</w:t>
      </w:r>
      <w:r w:rsidR="0095613E">
        <w:rPr>
          <w:rFonts w:ascii="Century Schoolbook" w:hAnsi="Century Schoolbook"/>
        </w:rPr>
        <w:t xml:space="preserve"> (Guidelines, § 15131, subd. (a)).</w:t>
      </w:r>
      <w:r w:rsidR="0010240A">
        <w:rPr>
          <w:rFonts w:ascii="Century Schoolbook" w:hAnsi="Century Schoolbook"/>
        </w:rPr>
        <w:t xml:space="preserve"> (</w:t>
      </w:r>
      <w:r w:rsidR="0010240A" w:rsidRPr="0010240A">
        <w:rPr>
          <w:rFonts w:ascii="Century Schoolbook" w:hAnsi="Century Schoolbook"/>
          <w:i/>
          <w:iCs/>
        </w:rPr>
        <w:t>Goleta</w:t>
      </w:r>
      <w:r w:rsidR="0010240A">
        <w:rPr>
          <w:rFonts w:ascii="Century Schoolbook" w:hAnsi="Century Schoolbook"/>
        </w:rPr>
        <w:t xml:space="preserve">, at pp. 1030–1033.) </w:t>
      </w:r>
    </w:p>
    <w:p w14:paraId="7304A4ED" w14:textId="5AE4AB22" w:rsidR="00EF13DB" w:rsidRDefault="00BE721B" w:rsidP="003E75F8">
      <w:pPr>
        <w:rPr>
          <w:rFonts w:ascii="Century Schoolbook" w:hAnsi="Century Schoolbook"/>
        </w:rPr>
      </w:pPr>
      <w:r>
        <w:rPr>
          <w:rFonts w:ascii="Century Schoolbook" w:hAnsi="Century Schoolbook"/>
        </w:rPr>
        <w:tab/>
      </w:r>
      <w:r w:rsidR="0010240A">
        <w:rPr>
          <w:rFonts w:ascii="Century Schoolbook" w:hAnsi="Century Schoolbook"/>
        </w:rPr>
        <w:t xml:space="preserve">The supplemental EIR in </w:t>
      </w:r>
      <w:r w:rsidR="0010240A" w:rsidRPr="00A45DE7">
        <w:rPr>
          <w:rFonts w:ascii="Century Schoolbook" w:hAnsi="Century Schoolbook"/>
          <w:i/>
          <w:iCs/>
        </w:rPr>
        <w:t>Goleta</w:t>
      </w:r>
      <w:r w:rsidR="00A45DE7">
        <w:rPr>
          <w:rFonts w:ascii="Century Schoolbook" w:hAnsi="Century Schoolbook"/>
          <w:i/>
          <w:iCs/>
        </w:rPr>
        <w:t xml:space="preserve">, </w:t>
      </w:r>
      <w:r w:rsidR="00A45DE7" w:rsidRPr="00A45DE7">
        <w:rPr>
          <w:rFonts w:ascii="Century Schoolbook" w:hAnsi="Century Schoolbook"/>
        </w:rPr>
        <w:t xml:space="preserve">ordered after the trial court had </w:t>
      </w:r>
      <w:r w:rsidR="00A45DE7">
        <w:rPr>
          <w:rFonts w:ascii="Century Schoolbook" w:hAnsi="Century Schoolbook"/>
        </w:rPr>
        <w:t xml:space="preserve">found a CEQA violation and </w:t>
      </w:r>
      <w:r w:rsidR="00A45DE7" w:rsidRPr="00A45DE7">
        <w:rPr>
          <w:rFonts w:ascii="Century Schoolbook" w:hAnsi="Century Schoolbook"/>
        </w:rPr>
        <w:t>granted a writ of mandate</w:t>
      </w:r>
      <w:r w:rsidR="00A45DE7">
        <w:rPr>
          <w:rFonts w:ascii="Century Schoolbook" w:hAnsi="Century Schoolbook"/>
          <w:i/>
          <w:iCs/>
        </w:rPr>
        <w:t>,</w:t>
      </w:r>
      <w:r w:rsidR="0010240A">
        <w:rPr>
          <w:rFonts w:ascii="Century Schoolbook" w:hAnsi="Century Schoolbook"/>
        </w:rPr>
        <w:t xml:space="preserve"> described impacts of the </w:t>
      </w:r>
      <w:r w:rsidR="00E90ED7">
        <w:rPr>
          <w:rFonts w:ascii="Century Schoolbook" w:hAnsi="Century Schoolbook"/>
        </w:rPr>
        <w:t xml:space="preserve">proposed </w:t>
      </w:r>
      <w:r w:rsidR="0010240A">
        <w:rPr>
          <w:rFonts w:ascii="Century Schoolbook" w:hAnsi="Century Schoolbook"/>
        </w:rPr>
        <w:t xml:space="preserve">development plan, and proposed </w:t>
      </w:r>
      <w:r w:rsidR="00196AE0">
        <w:rPr>
          <w:rFonts w:ascii="Century Schoolbook" w:hAnsi="Century Schoolbook"/>
        </w:rPr>
        <w:t xml:space="preserve">various </w:t>
      </w:r>
      <w:r w:rsidR="0010240A">
        <w:rPr>
          <w:rFonts w:ascii="Century Schoolbook" w:hAnsi="Century Schoolbook"/>
        </w:rPr>
        <w:t>options for schools that included building classrooms to accommodate additional students</w:t>
      </w:r>
      <w:r w:rsidR="00A45DE7">
        <w:rPr>
          <w:rFonts w:ascii="Century Schoolbook" w:hAnsi="Century Schoolbook"/>
        </w:rPr>
        <w:t>, redistributing student</w:t>
      </w:r>
      <w:r w:rsidR="00C05D2F">
        <w:rPr>
          <w:rFonts w:ascii="Century Schoolbook" w:hAnsi="Century Schoolbook"/>
        </w:rPr>
        <w:t>s</w:t>
      </w:r>
      <w:r w:rsidR="00A45DE7">
        <w:rPr>
          <w:rFonts w:ascii="Century Schoolbook" w:hAnsi="Century Schoolbook"/>
        </w:rPr>
        <w:t xml:space="preserve"> to other facilities, starting year-round schools, adding portable classrooms, and building new classrooms</w:t>
      </w:r>
      <w:r w:rsidR="0010240A">
        <w:rPr>
          <w:rFonts w:ascii="Century Schoolbook" w:hAnsi="Century Schoolbook"/>
        </w:rPr>
        <w:t>. (</w:t>
      </w:r>
      <w:r w:rsidRPr="00BE721B">
        <w:rPr>
          <w:rFonts w:ascii="Century Schoolbook" w:hAnsi="Century Schoolbook"/>
          <w:i/>
          <w:iCs/>
        </w:rPr>
        <w:t>Goleta</w:t>
      </w:r>
      <w:r>
        <w:rPr>
          <w:rFonts w:ascii="Century Schoolbook" w:hAnsi="Century Schoolbook"/>
        </w:rPr>
        <w:t xml:space="preserve">, </w:t>
      </w:r>
      <w:r w:rsidRPr="00BE721B">
        <w:rPr>
          <w:rFonts w:ascii="Century Schoolbook" w:hAnsi="Century Schoolbook"/>
          <w:i/>
          <w:iCs/>
        </w:rPr>
        <w:t>supra</w:t>
      </w:r>
      <w:r>
        <w:rPr>
          <w:rFonts w:ascii="Century Schoolbook" w:hAnsi="Century Schoolbook"/>
        </w:rPr>
        <w:t>, 37 Cal.App.4th</w:t>
      </w:r>
      <w:r w:rsidR="0010240A">
        <w:rPr>
          <w:rFonts w:ascii="Century Schoolbook" w:hAnsi="Century Schoolbook"/>
        </w:rPr>
        <w:t xml:space="preserve"> at p.</w:t>
      </w:r>
      <w:r w:rsidR="00A45DE7">
        <w:rPr>
          <w:rFonts w:ascii="Century Schoolbook" w:hAnsi="Century Schoolbook"/>
        </w:rPr>
        <w:t xml:space="preserve"> 1029.)</w:t>
      </w:r>
      <w:r w:rsidR="0010240A">
        <w:rPr>
          <w:rFonts w:ascii="Century Schoolbook" w:hAnsi="Century Schoolbook"/>
        </w:rPr>
        <w:t xml:space="preserve"> </w:t>
      </w:r>
      <w:r w:rsidR="00A45DE7">
        <w:rPr>
          <w:rFonts w:ascii="Century Schoolbook" w:hAnsi="Century Schoolbook"/>
        </w:rPr>
        <w:t>The supplemental EIR noted that mitigation of the physical environmental impacts associated with these options was the responsibility of the school district, but the Regents offered to contribute “a fair share.” (</w:t>
      </w:r>
      <w:r w:rsidR="00A45DE7" w:rsidRPr="00A45DE7">
        <w:rPr>
          <w:rFonts w:ascii="Century Schoolbook" w:hAnsi="Century Schoolbook"/>
          <w:i/>
          <w:iCs/>
        </w:rPr>
        <w:t>Ibid</w:t>
      </w:r>
      <w:r w:rsidR="00A45DE7">
        <w:rPr>
          <w:rFonts w:ascii="Century Schoolbook" w:hAnsi="Century Schoolbook"/>
        </w:rPr>
        <w:t>.)</w:t>
      </w:r>
      <w:r w:rsidR="0010240A">
        <w:rPr>
          <w:rFonts w:ascii="Century Schoolbook" w:hAnsi="Century Schoolbook"/>
        </w:rPr>
        <w:t xml:space="preserve"> </w:t>
      </w:r>
      <w:r>
        <w:rPr>
          <w:rFonts w:ascii="Century Schoolbook" w:hAnsi="Century Schoolbook"/>
        </w:rPr>
        <w:t>The court recognized that in some cases, “socio-economic effects may cause physical changes that significantly affect the environment under</w:t>
      </w:r>
      <w:r w:rsidR="00294442">
        <w:rPr>
          <w:rFonts w:ascii="Century Schoolbook" w:hAnsi="Century Schoolbook"/>
        </w:rPr>
        <w:t xml:space="preserve"> . . . </w:t>
      </w:r>
      <w:r>
        <w:rPr>
          <w:rFonts w:ascii="Century Schoolbook" w:hAnsi="Century Schoolbook"/>
        </w:rPr>
        <w:t>CEQA” (</w:t>
      </w:r>
      <w:r w:rsidRPr="00716A0D">
        <w:rPr>
          <w:rFonts w:ascii="Century Schoolbook" w:hAnsi="Century Schoolbook"/>
          <w:i/>
          <w:iCs/>
        </w:rPr>
        <w:t>id</w:t>
      </w:r>
      <w:r>
        <w:rPr>
          <w:rFonts w:ascii="Century Schoolbook" w:hAnsi="Century Schoolbook"/>
        </w:rPr>
        <w:t>. at p. 1032) but that “classroom overcrowding, per se, does not constitute a significant effect on the environment.” (</w:t>
      </w:r>
      <w:r w:rsidRPr="00716A0D">
        <w:rPr>
          <w:rFonts w:ascii="Century Schoolbook" w:hAnsi="Century Schoolbook"/>
          <w:i/>
          <w:iCs/>
        </w:rPr>
        <w:t>I</w:t>
      </w:r>
      <w:r w:rsidR="00716A0D" w:rsidRPr="00716A0D">
        <w:rPr>
          <w:rFonts w:ascii="Century Schoolbook" w:hAnsi="Century Schoolbook"/>
          <w:i/>
          <w:iCs/>
        </w:rPr>
        <w:t>bid</w:t>
      </w:r>
      <w:r w:rsidR="00716A0D">
        <w:rPr>
          <w:rFonts w:ascii="Century Schoolbook" w:hAnsi="Century Schoolbook"/>
        </w:rPr>
        <w:t xml:space="preserve">.) </w:t>
      </w:r>
      <w:r w:rsidR="00491A57">
        <w:rPr>
          <w:rFonts w:ascii="Century Schoolbook" w:hAnsi="Century Schoolbook"/>
        </w:rPr>
        <w:t xml:space="preserve">Still, a project ultimately requiring physical changes in the environment “such as construction of new school facilities, new bus schedules and changed traffic patterns” would </w:t>
      </w:r>
      <w:r w:rsidR="00491A57">
        <w:rPr>
          <w:rFonts w:ascii="Century Schoolbook" w:hAnsi="Century Schoolbook"/>
        </w:rPr>
        <w:lastRenderedPageBreak/>
        <w:t>require an EIR to address these impacts. (</w:t>
      </w:r>
      <w:r w:rsidR="00491A57" w:rsidRPr="00C05D2F">
        <w:rPr>
          <w:rFonts w:ascii="Century Schoolbook" w:hAnsi="Century Schoolbook"/>
          <w:i/>
          <w:iCs/>
        </w:rPr>
        <w:t>Ibid</w:t>
      </w:r>
      <w:r w:rsidR="00491A57">
        <w:rPr>
          <w:rFonts w:ascii="Century Schoolbook" w:hAnsi="Century Schoolbook"/>
        </w:rPr>
        <w:t xml:space="preserve">.; see also </w:t>
      </w:r>
      <w:r w:rsidR="00491A57" w:rsidRPr="00C05D2F">
        <w:rPr>
          <w:rFonts w:ascii="Century Schoolbook" w:hAnsi="Century Schoolbook"/>
          <w:i/>
          <w:iCs/>
        </w:rPr>
        <w:t>Fullerton Joint High School District v. State Board of Education</w:t>
      </w:r>
      <w:r w:rsidR="00491A57">
        <w:rPr>
          <w:rFonts w:ascii="Century Schoolbook" w:hAnsi="Century Schoolbook"/>
        </w:rPr>
        <w:t xml:space="preserve"> (1982) 32 Cal.3d 779, 794, criticized on other grounds </w:t>
      </w:r>
      <w:r w:rsidR="00C05D2F">
        <w:rPr>
          <w:rFonts w:ascii="Century Schoolbook" w:hAnsi="Century Schoolbook"/>
        </w:rPr>
        <w:t xml:space="preserve">in </w:t>
      </w:r>
      <w:r w:rsidR="00C05D2F" w:rsidRPr="00C05D2F">
        <w:rPr>
          <w:rFonts w:ascii="Century Schoolbook" w:hAnsi="Century Schoolbook"/>
          <w:i/>
          <w:iCs/>
        </w:rPr>
        <w:t>Board of Supervisors v. Local Agency Formation Com.</w:t>
      </w:r>
      <w:r w:rsidR="00C05D2F">
        <w:rPr>
          <w:rFonts w:ascii="Century Schoolbook" w:hAnsi="Century Schoolbook"/>
        </w:rPr>
        <w:t xml:space="preserve"> (1992) 3 Cal.4th 903, 917–919; </w:t>
      </w:r>
      <w:r w:rsidR="00C05D2F" w:rsidRPr="00C05D2F">
        <w:rPr>
          <w:rFonts w:ascii="Century Schoolbook" w:hAnsi="Century Schoolbook"/>
          <w:i/>
          <w:iCs/>
        </w:rPr>
        <w:t>El Dorado Union High School District v. City of Placerville</w:t>
      </w:r>
      <w:r w:rsidR="00C05D2F">
        <w:rPr>
          <w:rFonts w:ascii="Century Schoolbook" w:hAnsi="Century Schoolbook"/>
        </w:rPr>
        <w:t xml:space="preserve"> (1983) 144 Cal.App.3d 123, 131 </w:t>
      </w:r>
      <w:r w:rsidR="00433902">
        <w:rPr>
          <w:rFonts w:ascii="Century Schoolbook" w:hAnsi="Century Schoolbook"/>
        </w:rPr>
        <w:t>(</w:t>
      </w:r>
      <w:r w:rsidR="00433902" w:rsidRPr="00433902">
        <w:rPr>
          <w:rFonts w:ascii="Century Schoolbook" w:hAnsi="Century Schoolbook"/>
          <w:i/>
          <w:iCs/>
        </w:rPr>
        <w:t>El Dorado</w:t>
      </w:r>
      <w:r w:rsidR="00433902">
        <w:rPr>
          <w:rFonts w:ascii="Century Schoolbook" w:hAnsi="Century Schoolbook"/>
        </w:rPr>
        <w:t xml:space="preserve">) </w:t>
      </w:r>
      <w:r w:rsidR="00C05D2F">
        <w:rPr>
          <w:rFonts w:ascii="Century Schoolbook" w:hAnsi="Century Schoolbook"/>
        </w:rPr>
        <w:t>[although increased student enrollment and potential for overcrowding might not implicate CEQA per se, evidence of present overcrowding and projections of increasing enrollment that would likely necessitate constructing a new school, changing bus routes, and altering traffic patterns is sufficient to require an EIR].)</w:t>
      </w:r>
      <w:r w:rsidR="00491A57">
        <w:rPr>
          <w:rFonts w:ascii="Century Schoolbook" w:hAnsi="Century Schoolbook"/>
        </w:rPr>
        <w:t xml:space="preserve"> </w:t>
      </w:r>
    </w:p>
    <w:p w14:paraId="37521F90" w14:textId="74FB124B" w:rsidR="00E90ED7" w:rsidRDefault="00EF13DB" w:rsidP="003E75F8">
      <w:pPr>
        <w:rPr>
          <w:rFonts w:ascii="Century Schoolbook" w:hAnsi="Century Schoolbook"/>
        </w:rPr>
      </w:pPr>
      <w:r>
        <w:rPr>
          <w:rFonts w:ascii="Century Schoolbook" w:hAnsi="Century Schoolbook"/>
        </w:rPr>
        <w:tab/>
      </w:r>
      <w:r w:rsidR="00C05D2F">
        <w:rPr>
          <w:rFonts w:ascii="Century Schoolbook" w:hAnsi="Century Schoolbook"/>
        </w:rPr>
        <w:t xml:space="preserve">The </w:t>
      </w:r>
      <w:r w:rsidR="00C05D2F" w:rsidRPr="00C05D2F">
        <w:rPr>
          <w:rFonts w:ascii="Century Schoolbook" w:hAnsi="Century Schoolbook"/>
          <w:i/>
          <w:iCs/>
        </w:rPr>
        <w:t>Goleta</w:t>
      </w:r>
      <w:r w:rsidR="00C05D2F">
        <w:rPr>
          <w:rFonts w:ascii="Century Schoolbook" w:hAnsi="Century Schoolbook"/>
        </w:rPr>
        <w:t xml:space="preserve"> court found that the</w:t>
      </w:r>
      <w:r w:rsidR="00564527">
        <w:rPr>
          <w:rFonts w:ascii="Century Schoolbook" w:hAnsi="Century Schoolbook"/>
        </w:rPr>
        <w:t xml:space="preserve"> projected increases in school enrollment there</w:t>
      </w:r>
      <w:r>
        <w:rPr>
          <w:rFonts w:ascii="Century Schoolbook" w:hAnsi="Century Schoolbook"/>
        </w:rPr>
        <w:t>, which were not considered to be sizable,</w:t>
      </w:r>
      <w:r w:rsidR="00564527">
        <w:rPr>
          <w:rFonts w:ascii="Century Schoolbook" w:hAnsi="Century Schoolbook"/>
        </w:rPr>
        <w:t xml:space="preserve"> did not themselves constitute a significant effect on the environment, so the </w:t>
      </w:r>
      <w:r w:rsidR="00C05D2F">
        <w:rPr>
          <w:rFonts w:ascii="Century Schoolbook" w:hAnsi="Century Schoolbook"/>
        </w:rPr>
        <w:t>supplemental EIR</w:t>
      </w:r>
      <w:r w:rsidR="00564527">
        <w:rPr>
          <w:rFonts w:ascii="Century Schoolbook" w:hAnsi="Century Schoolbook"/>
        </w:rPr>
        <w:t xml:space="preserve"> was not required to show that the development plan alleviated </w:t>
      </w:r>
      <w:r>
        <w:rPr>
          <w:rFonts w:ascii="Century Schoolbook" w:hAnsi="Century Schoolbook"/>
        </w:rPr>
        <w:t xml:space="preserve">the </w:t>
      </w:r>
      <w:r w:rsidR="00564527">
        <w:rPr>
          <w:rFonts w:ascii="Century Schoolbook" w:hAnsi="Century Schoolbook"/>
        </w:rPr>
        <w:t>increased enrollment</w:t>
      </w:r>
      <w:r w:rsidR="00E90ED7">
        <w:rPr>
          <w:rFonts w:ascii="Century Schoolbook" w:hAnsi="Century Schoolbook"/>
        </w:rPr>
        <w:t>. Further,</w:t>
      </w:r>
      <w:r w:rsidR="00AA7899">
        <w:rPr>
          <w:rFonts w:ascii="Century Schoolbook" w:hAnsi="Century Schoolbook"/>
        </w:rPr>
        <w:t xml:space="preserve"> the Regents had no responsibility to “tell the </w:t>
      </w:r>
      <w:r w:rsidR="00294442">
        <w:rPr>
          <w:rFonts w:ascii="Century Schoolbook" w:hAnsi="Century Schoolbook"/>
        </w:rPr>
        <w:t>[</w:t>
      </w:r>
      <w:r w:rsidR="00AA7899">
        <w:rPr>
          <w:rFonts w:ascii="Century Schoolbook" w:hAnsi="Century Schoolbook"/>
        </w:rPr>
        <w:t>d</w:t>
      </w:r>
      <w:r w:rsidR="00294442">
        <w:rPr>
          <w:rFonts w:ascii="Century Schoolbook" w:hAnsi="Century Schoolbook"/>
        </w:rPr>
        <w:t>]</w:t>
      </w:r>
      <w:proofErr w:type="spellStart"/>
      <w:r w:rsidR="00AA7899">
        <w:rPr>
          <w:rFonts w:ascii="Century Schoolbook" w:hAnsi="Century Schoolbook"/>
        </w:rPr>
        <w:t>istrict</w:t>
      </w:r>
      <w:proofErr w:type="spellEnd"/>
      <w:r w:rsidR="00AA7899">
        <w:rPr>
          <w:rFonts w:ascii="Century Schoolbook" w:hAnsi="Century Schoolbook"/>
        </w:rPr>
        <w:t xml:space="preserve"> what it should do to increase capacity</w:t>
      </w:r>
      <w:r w:rsidR="002645AD">
        <w:rPr>
          <w:rFonts w:ascii="Century Schoolbook" w:hAnsi="Century Schoolbook"/>
        </w:rPr>
        <w:t>.</w:t>
      </w:r>
      <w:r w:rsidR="00AA7899">
        <w:rPr>
          <w:rFonts w:ascii="Century Schoolbook" w:hAnsi="Century Schoolbook"/>
        </w:rPr>
        <w:t>” (</w:t>
      </w:r>
      <w:r>
        <w:rPr>
          <w:rFonts w:ascii="Century Schoolbook" w:hAnsi="Century Schoolbook"/>
          <w:i/>
          <w:iCs/>
        </w:rPr>
        <w:t xml:space="preserve">Goleta, supra, </w:t>
      </w:r>
      <w:r w:rsidRPr="00EF13DB">
        <w:rPr>
          <w:rFonts w:ascii="Century Schoolbook" w:hAnsi="Century Schoolbook"/>
        </w:rPr>
        <w:t>37 Cal.App.4th</w:t>
      </w:r>
      <w:r w:rsidR="00AA7899">
        <w:rPr>
          <w:rFonts w:ascii="Century Schoolbook" w:hAnsi="Century Schoolbook"/>
        </w:rPr>
        <w:t xml:space="preserve"> at p. 1033, citing §</w:t>
      </w:r>
      <w:r w:rsidR="00294442">
        <w:rPr>
          <w:rFonts w:ascii="Century Schoolbook" w:hAnsi="Century Schoolbook"/>
        </w:rPr>
        <w:t> </w:t>
      </w:r>
      <w:r w:rsidR="00AA7899">
        <w:rPr>
          <w:rFonts w:ascii="Century Schoolbook" w:hAnsi="Century Schoolbook"/>
        </w:rPr>
        <w:t xml:space="preserve">21080, subd. (b).) The supplemental EIR sufficiently provided information about potential physical impacts that may result from implementing the development plan and it discussed a </w:t>
      </w:r>
      <w:r w:rsidR="00196AE0">
        <w:rPr>
          <w:rFonts w:ascii="Century Schoolbook" w:hAnsi="Century Schoolbook"/>
        </w:rPr>
        <w:t xml:space="preserve">wide </w:t>
      </w:r>
      <w:r w:rsidR="00AA7899">
        <w:rPr>
          <w:rFonts w:ascii="Century Schoolbook" w:hAnsi="Century Schoolbook"/>
        </w:rPr>
        <w:t>variety of mitigation measures for these possible impacts. (</w:t>
      </w:r>
      <w:r w:rsidR="00AA7899" w:rsidRPr="00AA7899">
        <w:rPr>
          <w:rFonts w:ascii="Century Schoolbook" w:hAnsi="Century Schoolbook"/>
          <w:i/>
          <w:iCs/>
        </w:rPr>
        <w:t>Ibid</w:t>
      </w:r>
      <w:r w:rsidR="00AA7899">
        <w:rPr>
          <w:rFonts w:ascii="Century Schoolbook" w:hAnsi="Century Schoolbook"/>
        </w:rPr>
        <w:t>.) It was not required to</w:t>
      </w:r>
      <w:r w:rsidR="00196AE0">
        <w:rPr>
          <w:rFonts w:ascii="Century Schoolbook" w:hAnsi="Century Schoolbook"/>
        </w:rPr>
        <w:t xml:space="preserve"> do more, including </w:t>
      </w:r>
      <w:r w:rsidR="00E90ED7">
        <w:rPr>
          <w:rFonts w:ascii="Century Schoolbook" w:hAnsi="Century Schoolbook"/>
        </w:rPr>
        <w:t xml:space="preserve">committing the Regents to </w:t>
      </w:r>
      <w:r w:rsidR="00196AE0">
        <w:rPr>
          <w:rFonts w:ascii="Century Schoolbook" w:hAnsi="Century Schoolbook"/>
        </w:rPr>
        <w:t>provid</w:t>
      </w:r>
      <w:r w:rsidR="00E90ED7">
        <w:rPr>
          <w:rFonts w:ascii="Century Schoolbook" w:hAnsi="Century Schoolbook"/>
        </w:rPr>
        <w:t>e</w:t>
      </w:r>
      <w:r w:rsidR="00196AE0">
        <w:rPr>
          <w:rFonts w:ascii="Century Schoolbook" w:hAnsi="Century Schoolbook"/>
        </w:rPr>
        <w:t xml:space="preserve"> funding to build classrooms. (</w:t>
      </w:r>
      <w:r w:rsidR="00196AE0" w:rsidRPr="00196AE0">
        <w:rPr>
          <w:rFonts w:ascii="Century Schoolbook" w:hAnsi="Century Schoolbook"/>
          <w:i/>
          <w:iCs/>
        </w:rPr>
        <w:t>Id.</w:t>
      </w:r>
      <w:r w:rsidR="00196AE0">
        <w:rPr>
          <w:rFonts w:ascii="Century Schoolbook" w:hAnsi="Century Schoolbook"/>
        </w:rPr>
        <w:t xml:space="preserve"> at pp. 1028, 1034.)</w:t>
      </w:r>
      <w:r w:rsidR="00AA7899">
        <w:rPr>
          <w:rFonts w:ascii="Century Schoolbook" w:hAnsi="Century Schoolbook"/>
        </w:rPr>
        <w:t xml:space="preserve"> </w:t>
      </w:r>
    </w:p>
    <w:p w14:paraId="70DBC3DC" w14:textId="0B4873E7" w:rsidR="00240C37" w:rsidRDefault="00E90ED7" w:rsidP="003E75F8">
      <w:pPr>
        <w:rPr>
          <w:rFonts w:ascii="Century Schoolbook" w:hAnsi="Century Schoolbook"/>
        </w:rPr>
      </w:pPr>
      <w:r>
        <w:rPr>
          <w:rFonts w:ascii="Century Schoolbook" w:hAnsi="Century Schoolbook"/>
        </w:rPr>
        <w:tab/>
        <w:t xml:space="preserve">As discussed in </w:t>
      </w:r>
      <w:proofErr w:type="spellStart"/>
      <w:r w:rsidRPr="00ED75C6">
        <w:rPr>
          <w:rFonts w:ascii="Century Schoolbook" w:hAnsi="Century Schoolbook"/>
          <w:i/>
          <w:iCs/>
        </w:rPr>
        <w:t>Chawanakee</w:t>
      </w:r>
      <w:proofErr w:type="spellEnd"/>
      <w:r>
        <w:rPr>
          <w:rFonts w:ascii="Century Schoolbook" w:hAnsi="Century Schoolbook"/>
        </w:rPr>
        <w:t xml:space="preserve">, </w:t>
      </w:r>
      <w:bookmarkStart w:id="3" w:name="_Hlk142465246"/>
      <w:r w:rsidR="00ED75C6">
        <w:rPr>
          <w:rFonts w:ascii="Century Schoolbook" w:hAnsi="Century Schoolbook"/>
        </w:rPr>
        <w:t>S</w:t>
      </w:r>
      <w:r w:rsidR="00233063">
        <w:rPr>
          <w:rFonts w:ascii="Century Schoolbook" w:hAnsi="Century Schoolbook"/>
        </w:rPr>
        <w:t xml:space="preserve">en. </w:t>
      </w:r>
      <w:r w:rsidR="00ED75C6">
        <w:rPr>
          <w:rFonts w:ascii="Century Schoolbook" w:hAnsi="Century Schoolbook"/>
        </w:rPr>
        <w:t>B</w:t>
      </w:r>
      <w:r w:rsidR="00233063">
        <w:rPr>
          <w:rFonts w:ascii="Century Schoolbook" w:hAnsi="Century Schoolbook"/>
        </w:rPr>
        <w:t>ill</w:t>
      </w:r>
      <w:r w:rsidR="00ED75C6">
        <w:rPr>
          <w:rFonts w:ascii="Century Schoolbook" w:hAnsi="Century Schoolbook"/>
        </w:rPr>
        <w:t xml:space="preserve"> </w:t>
      </w:r>
      <w:bookmarkEnd w:id="3"/>
      <w:r w:rsidR="00ED75C6">
        <w:rPr>
          <w:rFonts w:ascii="Century Schoolbook" w:hAnsi="Century Schoolbook"/>
        </w:rPr>
        <w:t xml:space="preserve">50 concerning school-facilities funding, was enacted in 1998. Among its </w:t>
      </w:r>
      <w:r w:rsidR="002645AD">
        <w:rPr>
          <w:rFonts w:ascii="Century Schoolbook" w:hAnsi="Century Schoolbook"/>
        </w:rPr>
        <w:t>provisions</w:t>
      </w:r>
      <w:r w:rsidR="00ED75C6">
        <w:rPr>
          <w:rFonts w:ascii="Century Schoolbook" w:hAnsi="Century Schoolbook"/>
        </w:rPr>
        <w:t xml:space="preserve"> </w:t>
      </w:r>
      <w:r w:rsidR="002645AD">
        <w:rPr>
          <w:rFonts w:ascii="Century Schoolbook" w:hAnsi="Century Schoolbook"/>
        </w:rPr>
        <w:t>were changes to</w:t>
      </w:r>
      <w:r w:rsidR="00ED75C6">
        <w:rPr>
          <w:rFonts w:ascii="Century Schoolbook" w:hAnsi="Century Schoolbook"/>
        </w:rPr>
        <w:t xml:space="preserve"> </w:t>
      </w:r>
      <w:r w:rsidR="007045F2">
        <w:rPr>
          <w:rFonts w:ascii="Century Schoolbook" w:hAnsi="Century Schoolbook"/>
        </w:rPr>
        <w:t xml:space="preserve">Government Code section 65996, subdivision (a), which is a </w:t>
      </w:r>
      <w:r w:rsidR="00665AE1">
        <w:rPr>
          <w:rFonts w:ascii="Century Schoolbook" w:hAnsi="Century Schoolbook"/>
        </w:rPr>
        <w:t>“</w:t>
      </w:r>
      <w:r w:rsidR="007045F2">
        <w:rPr>
          <w:rFonts w:ascii="Century Schoolbook" w:hAnsi="Century Schoolbook"/>
        </w:rPr>
        <w:t>restriction</w:t>
      </w:r>
      <w:r w:rsidR="00665AE1">
        <w:rPr>
          <w:rFonts w:ascii="Century Schoolbook" w:hAnsi="Century Schoolbook"/>
        </w:rPr>
        <w:t xml:space="preserve"> on the ‘methods of considering and mitigating impacts on school facilities’ caused by a </w:t>
      </w:r>
      <w:r w:rsidR="00665AE1">
        <w:rPr>
          <w:rFonts w:ascii="Century Schoolbook" w:hAnsi="Century Schoolbook"/>
        </w:rPr>
        <w:lastRenderedPageBreak/>
        <w:t>development project.”</w:t>
      </w:r>
      <w:r w:rsidR="008C3433">
        <w:rPr>
          <w:rStyle w:val="FootnoteReference"/>
          <w:rFonts w:ascii="Century Schoolbook" w:hAnsi="Century Schoolbook"/>
        </w:rPr>
        <w:footnoteReference w:id="12"/>
      </w:r>
      <w:r w:rsidR="00665AE1">
        <w:rPr>
          <w:rFonts w:ascii="Century Schoolbook" w:hAnsi="Century Schoolbook"/>
        </w:rPr>
        <w:t xml:space="preserve"> (</w:t>
      </w:r>
      <w:proofErr w:type="spellStart"/>
      <w:r w:rsidR="00665AE1" w:rsidRPr="00665AE1">
        <w:rPr>
          <w:rFonts w:ascii="Century Schoolbook" w:hAnsi="Century Schoolbook"/>
          <w:i/>
          <w:iCs/>
        </w:rPr>
        <w:t>Chawanakee</w:t>
      </w:r>
      <w:proofErr w:type="spellEnd"/>
      <w:r w:rsidR="00665AE1" w:rsidRPr="00665AE1">
        <w:rPr>
          <w:rFonts w:ascii="Century Schoolbook" w:hAnsi="Century Schoolbook"/>
          <w:i/>
          <w:iCs/>
        </w:rPr>
        <w:t>, supra</w:t>
      </w:r>
      <w:r w:rsidR="00665AE1">
        <w:rPr>
          <w:rFonts w:ascii="Century Schoolbook" w:hAnsi="Century Schoolbook"/>
        </w:rPr>
        <w:t>, 196 Cal.App.4th at p. 1021.) Th</w:t>
      </w:r>
      <w:r w:rsidR="002645AD">
        <w:rPr>
          <w:rFonts w:ascii="Century Schoolbook" w:hAnsi="Century Schoolbook"/>
        </w:rPr>
        <w:t>e initial enactment of this</w:t>
      </w:r>
      <w:r w:rsidR="00665AE1">
        <w:rPr>
          <w:rFonts w:ascii="Century Schoolbook" w:hAnsi="Century Schoolbook"/>
        </w:rPr>
        <w:t xml:space="preserve"> </w:t>
      </w:r>
      <w:r w:rsidR="00387811">
        <w:rPr>
          <w:rFonts w:ascii="Century Schoolbook" w:hAnsi="Century Schoolbook"/>
        </w:rPr>
        <w:t>statute</w:t>
      </w:r>
      <w:r w:rsidR="00665AE1">
        <w:rPr>
          <w:rFonts w:ascii="Century Schoolbook" w:hAnsi="Century Schoolbook"/>
        </w:rPr>
        <w:t xml:space="preserve"> </w:t>
      </w:r>
      <w:r w:rsidR="002645AD">
        <w:rPr>
          <w:rFonts w:ascii="Century Schoolbook" w:hAnsi="Century Schoolbook"/>
        </w:rPr>
        <w:t>in 1986 (</w:t>
      </w:r>
      <w:r w:rsidR="00A50CAA">
        <w:rPr>
          <w:rFonts w:ascii="Century Schoolbook" w:hAnsi="Century Schoolbook"/>
        </w:rPr>
        <w:t>s</w:t>
      </w:r>
      <w:r w:rsidR="002645AD">
        <w:rPr>
          <w:rFonts w:ascii="Century Schoolbook" w:hAnsi="Century Schoolbook"/>
        </w:rPr>
        <w:t xml:space="preserve">tats. 1986, </w:t>
      </w:r>
      <w:proofErr w:type="spellStart"/>
      <w:r w:rsidR="002645AD">
        <w:rPr>
          <w:rFonts w:ascii="Century Schoolbook" w:hAnsi="Century Schoolbook"/>
        </w:rPr>
        <w:t>ch.</w:t>
      </w:r>
      <w:proofErr w:type="spellEnd"/>
      <w:r w:rsidR="002645AD">
        <w:rPr>
          <w:rFonts w:ascii="Century Schoolbook" w:hAnsi="Century Schoolbook"/>
        </w:rPr>
        <w:t xml:space="preserve"> 887</w:t>
      </w:r>
      <w:r w:rsidR="00DF79EF">
        <w:rPr>
          <w:rFonts w:ascii="Century Schoolbook" w:hAnsi="Century Schoolbook"/>
        </w:rPr>
        <w:t xml:space="preserve">, § 11) </w:t>
      </w:r>
      <w:r w:rsidR="00665AE1">
        <w:rPr>
          <w:rFonts w:ascii="Century Schoolbook" w:hAnsi="Century Schoolbook"/>
        </w:rPr>
        <w:t xml:space="preserve">followed questions in the years after CEQA’s </w:t>
      </w:r>
      <w:r w:rsidR="00240C37">
        <w:rPr>
          <w:rFonts w:ascii="Century Schoolbook" w:hAnsi="Century Schoolbook"/>
        </w:rPr>
        <w:t xml:space="preserve">initial </w:t>
      </w:r>
      <w:r w:rsidR="00665AE1">
        <w:rPr>
          <w:rFonts w:ascii="Century Schoolbook" w:hAnsi="Century Schoolbook"/>
        </w:rPr>
        <w:t>enactment about its “application to development projects that caused an increase in student enrollment and overcrowding in schools” (</w:t>
      </w:r>
      <w:proofErr w:type="spellStart"/>
      <w:r w:rsidR="00DF79EF">
        <w:rPr>
          <w:rFonts w:ascii="Century Schoolbook" w:hAnsi="Century Schoolbook"/>
          <w:i/>
          <w:iCs/>
        </w:rPr>
        <w:t>Chawanakee</w:t>
      </w:r>
      <w:proofErr w:type="spellEnd"/>
      <w:r w:rsidR="00DF79EF">
        <w:rPr>
          <w:rFonts w:ascii="Century Schoolbook" w:hAnsi="Century Schoolbook"/>
          <w:i/>
          <w:iCs/>
        </w:rPr>
        <w:t xml:space="preserve">, </w:t>
      </w:r>
      <w:r w:rsidR="00DF79EF" w:rsidRPr="00DF79EF">
        <w:rPr>
          <w:rFonts w:ascii="Century Schoolbook" w:hAnsi="Century Schoolbook"/>
        </w:rPr>
        <w:t>at p. 1021</w:t>
      </w:r>
      <w:r w:rsidR="00DF79EF">
        <w:rPr>
          <w:rFonts w:ascii="Century Schoolbook" w:hAnsi="Century Schoolbook"/>
          <w:i/>
          <w:iCs/>
        </w:rPr>
        <w:t xml:space="preserve">) </w:t>
      </w:r>
      <w:r w:rsidR="00433902">
        <w:rPr>
          <w:rFonts w:ascii="Century Schoolbook" w:hAnsi="Century Schoolbook"/>
        </w:rPr>
        <w:t xml:space="preserve">and case law to the effect that </w:t>
      </w:r>
      <w:r w:rsidR="00490661">
        <w:rPr>
          <w:rFonts w:ascii="Century Schoolbook" w:hAnsi="Century Schoolbook"/>
        </w:rPr>
        <w:t xml:space="preserve">the impact of increased school enrollment was cognizable under CEQA. </w:t>
      </w:r>
      <w:r w:rsidR="00490661" w:rsidRPr="00625CD0">
        <w:rPr>
          <w:rFonts w:ascii="Century Schoolbook" w:hAnsi="Century Schoolbook"/>
          <w:lang w:val="es-US"/>
        </w:rPr>
        <w:t>(</w:t>
      </w:r>
      <w:r w:rsidR="00625CD0" w:rsidRPr="00625CD0">
        <w:rPr>
          <w:rFonts w:ascii="Century Schoolbook" w:hAnsi="Century Schoolbook"/>
          <w:i/>
          <w:iCs/>
          <w:lang w:val="es-US"/>
        </w:rPr>
        <w:t>Ibid</w:t>
      </w:r>
      <w:r w:rsidR="00625CD0" w:rsidRPr="00625CD0">
        <w:rPr>
          <w:rFonts w:ascii="Century Schoolbook" w:hAnsi="Century Schoolbook"/>
          <w:lang w:val="es-US"/>
        </w:rPr>
        <w:t xml:space="preserve">.; </w:t>
      </w:r>
      <w:proofErr w:type="spellStart"/>
      <w:r w:rsidR="00625CD0" w:rsidRPr="00625CD0">
        <w:rPr>
          <w:rFonts w:ascii="Century Schoolbook" w:hAnsi="Century Schoolbook"/>
          <w:lang w:val="es-US"/>
        </w:rPr>
        <w:t>see</w:t>
      </w:r>
      <w:proofErr w:type="spellEnd"/>
      <w:r w:rsidR="00625CD0" w:rsidRPr="00625CD0">
        <w:rPr>
          <w:rFonts w:ascii="Century Schoolbook" w:hAnsi="Century Schoolbook"/>
          <w:lang w:val="es-US"/>
        </w:rPr>
        <w:t xml:space="preserve"> </w:t>
      </w:r>
      <w:r w:rsidR="00625CD0" w:rsidRPr="00625CD0">
        <w:rPr>
          <w:rFonts w:ascii="Century Schoolbook" w:hAnsi="Century Schoolbook"/>
          <w:i/>
          <w:iCs/>
          <w:lang w:val="es-US"/>
        </w:rPr>
        <w:t>El Dorado</w:t>
      </w:r>
      <w:r w:rsidR="00625CD0" w:rsidRPr="00625CD0">
        <w:rPr>
          <w:rFonts w:ascii="Century Schoolbook" w:hAnsi="Century Schoolbook"/>
          <w:lang w:val="es-US"/>
        </w:rPr>
        <w:t xml:space="preserve">, </w:t>
      </w:r>
      <w:r w:rsidR="00625CD0" w:rsidRPr="00625CD0">
        <w:rPr>
          <w:rFonts w:ascii="Century Schoolbook" w:hAnsi="Century Schoolbook"/>
          <w:i/>
          <w:iCs/>
          <w:lang w:val="es-US"/>
        </w:rPr>
        <w:t>supra</w:t>
      </w:r>
      <w:r w:rsidR="00625CD0" w:rsidRPr="00625CD0">
        <w:rPr>
          <w:rFonts w:ascii="Century Schoolbook" w:hAnsi="Century Schoolbook"/>
          <w:lang w:val="es-US"/>
        </w:rPr>
        <w:t xml:space="preserve">, 144 Cal.App.3d at pp. </w:t>
      </w:r>
      <w:r w:rsidR="00625CD0">
        <w:rPr>
          <w:rFonts w:ascii="Century Schoolbook" w:hAnsi="Century Schoolbook"/>
          <w:lang w:val="es-US"/>
        </w:rPr>
        <w:t>126, 131–132.)</w:t>
      </w:r>
      <w:r w:rsidR="00490661" w:rsidRPr="00625CD0">
        <w:rPr>
          <w:rFonts w:ascii="Century Schoolbook" w:hAnsi="Century Schoolbook"/>
          <w:lang w:val="es-US"/>
        </w:rPr>
        <w:t xml:space="preserve"> </w:t>
      </w:r>
      <w:r w:rsidR="00625CD0" w:rsidRPr="003E0F63">
        <w:rPr>
          <w:rFonts w:ascii="Century Schoolbook" w:hAnsi="Century Schoolbook"/>
        </w:rPr>
        <w:t xml:space="preserve">In 1986, the Legislature enacted </w:t>
      </w:r>
      <w:r w:rsidR="003E0F63" w:rsidRPr="003E0F63">
        <w:rPr>
          <w:rFonts w:ascii="Century Schoolbook" w:hAnsi="Century Schoolbook"/>
        </w:rPr>
        <w:t xml:space="preserve">“a complex statutory scheme to govern the imposition of school facilities fees </w:t>
      </w:r>
      <w:r w:rsidR="003E0F63">
        <w:rPr>
          <w:rFonts w:ascii="Century Schoolbook" w:hAnsi="Century Schoolbook"/>
        </w:rPr>
        <w:t>on those seeking the government approvals needed to develop real estate. [Citation.] The school facilities legislation (1) allowed school districts to levy a charge against new developments to fund construction of school facilities but capped the amount that cou</w:t>
      </w:r>
      <w:r w:rsidR="002B5E43">
        <w:rPr>
          <w:rFonts w:ascii="Century Schoolbook" w:hAnsi="Century Schoolbook"/>
        </w:rPr>
        <w:t>l</w:t>
      </w:r>
      <w:r w:rsidR="003E0F63">
        <w:rPr>
          <w:rFonts w:ascii="Century Schoolbook" w:hAnsi="Century Schoolbook"/>
        </w:rPr>
        <w:t>d be charged and (2) limited the types of mitigation requirements local government could impose against a development project to alleviate the project’s impacts on school facilities. [Citation.] Stated generally, the capped school facilities fees became the sole measure for mitigating the impacts of increased enrollment</w:t>
      </w:r>
      <w:r w:rsidR="002B5E43">
        <w:rPr>
          <w:rFonts w:ascii="Century Schoolbook" w:hAnsi="Century Schoolbook"/>
        </w:rPr>
        <w:t>.” (</w:t>
      </w:r>
      <w:proofErr w:type="spellStart"/>
      <w:r w:rsidR="002B5E43" w:rsidRPr="002B5E43">
        <w:rPr>
          <w:rFonts w:ascii="Century Schoolbook" w:hAnsi="Century Schoolbook"/>
          <w:i/>
          <w:iCs/>
        </w:rPr>
        <w:t>Chawanakee</w:t>
      </w:r>
      <w:proofErr w:type="spellEnd"/>
      <w:r w:rsidR="002B5E43" w:rsidRPr="002B5E43">
        <w:rPr>
          <w:rFonts w:ascii="Century Schoolbook" w:hAnsi="Century Schoolbook"/>
          <w:i/>
          <w:iCs/>
        </w:rPr>
        <w:t>, supra</w:t>
      </w:r>
      <w:r w:rsidR="002B5E43">
        <w:rPr>
          <w:rFonts w:ascii="Century Schoolbook" w:hAnsi="Century Schoolbook"/>
        </w:rPr>
        <w:t xml:space="preserve">, 196 Cal.App.4th at p. 1021; see also </w:t>
      </w:r>
      <w:r w:rsidR="002B5E43" w:rsidRPr="002B5E43">
        <w:rPr>
          <w:rFonts w:ascii="Century Schoolbook" w:hAnsi="Century Schoolbook"/>
          <w:i/>
          <w:iCs/>
        </w:rPr>
        <w:t>Corona-Norco Unified School District v. City of Corona</w:t>
      </w:r>
      <w:r w:rsidR="002B5E43">
        <w:rPr>
          <w:rFonts w:ascii="Century Schoolbook" w:hAnsi="Century Schoolbook"/>
        </w:rPr>
        <w:t xml:space="preserve"> (1993) 13 Cal.App.4th 1577, 158</w:t>
      </w:r>
      <w:r w:rsidR="00240C37">
        <w:rPr>
          <w:rFonts w:ascii="Century Schoolbook" w:hAnsi="Century Schoolbook"/>
        </w:rPr>
        <w:t>1</w:t>
      </w:r>
      <w:r w:rsidR="002B5E43">
        <w:rPr>
          <w:rFonts w:ascii="Century Schoolbook" w:hAnsi="Century Schoolbook"/>
        </w:rPr>
        <w:t>–1583 (</w:t>
      </w:r>
      <w:r w:rsidR="002B5E43" w:rsidRPr="002B5E43">
        <w:rPr>
          <w:rFonts w:ascii="Century Schoolbook" w:hAnsi="Century Schoolbook"/>
          <w:i/>
          <w:iCs/>
        </w:rPr>
        <w:t>Corona</w:t>
      </w:r>
      <w:r w:rsidR="002B5E43">
        <w:rPr>
          <w:rFonts w:ascii="Century Schoolbook" w:hAnsi="Century Schoolbook"/>
        </w:rPr>
        <w:t xml:space="preserve">) [affirmed sustaining of demurrer against allegations of CEQA violations </w:t>
      </w:r>
      <w:r w:rsidR="00240C37">
        <w:rPr>
          <w:rFonts w:ascii="Century Schoolbook" w:hAnsi="Century Schoolbook"/>
        </w:rPr>
        <w:t xml:space="preserve">and inadequacy of EIR </w:t>
      </w:r>
      <w:r w:rsidR="002B5E43">
        <w:rPr>
          <w:rFonts w:ascii="Century Schoolbook" w:hAnsi="Century Schoolbook"/>
        </w:rPr>
        <w:t>based on entitlement approvals where schools were overcrowded, proposed developments would exacerbate overcrowding, and statutorily authorized fee was insufficient to fund construction of new facilities to alleviate overcrowding].)</w:t>
      </w:r>
      <w:r w:rsidR="003E0F63">
        <w:rPr>
          <w:rFonts w:ascii="Century Schoolbook" w:hAnsi="Century Schoolbook"/>
        </w:rPr>
        <w:t xml:space="preserve"> </w:t>
      </w:r>
    </w:p>
    <w:p w14:paraId="31C1441A" w14:textId="5853EF66" w:rsidR="007374AF" w:rsidRDefault="00240C37" w:rsidP="003E75F8">
      <w:pPr>
        <w:rPr>
          <w:rFonts w:ascii="Century Schoolbook" w:hAnsi="Century Schoolbook"/>
        </w:rPr>
      </w:pPr>
      <w:r>
        <w:rPr>
          <w:rFonts w:ascii="Century Schoolbook" w:hAnsi="Century Schoolbook"/>
        </w:rPr>
        <w:lastRenderedPageBreak/>
        <w:tab/>
      </w:r>
      <w:r w:rsidR="00233063" w:rsidRPr="00233063">
        <w:rPr>
          <w:rFonts w:ascii="Century Schoolbook" w:hAnsi="Century Schoolbook"/>
        </w:rPr>
        <w:t>Sen. Bill</w:t>
      </w:r>
      <w:r w:rsidR="00391190">
        <w:rPr>
          <w:rFonts w:ascii="Century Schoolbook" w:hAnsi="Century Schoolbook"/>
        </w:rPr>
        <w:t xml:space="preserve"> </w:t>
      </w:r>
      <w:r>
        <w:rPr>
          <w:rFonts w:ascii="Century Schoolbook" w:hAnsi="Century Schoolbook"/>
        </w:rPr>
        <w:t xml:space="preserve">50 </w:t>
      </w:r>
      <w:r w:rsidR="00387811">
        <w:rPr>
          <w:rFonts w:ascii="Century Schoolbook" w:hAnsi="Century Schoolbook"/>
        </w:rPr>
        <w:t xml:space="preserve">then </w:t>
      </w:r>
      <w:r>
        <w:rPr>
          <w:rFonts w:ascii="Century Schoolbook" w:hAnsi="Century Schoolbook"/>
        </w:rPr>
        <w:t xml:space="preserve">came </w:t>
      </w:r>
      <w:r w:rsidR="00DF79EF">
        <w:rPr>
          <w:rFonts w:ascii="Century Schoolbook" w:hAnsi="Century Schoolbook"/>
        </w:rPr>
        <w:t xml:space="preserve">in 1998 </w:t>
      </w:r>
      <w:r>
        <w:rPr>
          <w:rFonts w:ascii="Century Schoolbook" w:hAnsi="Century Schoolbook"/>
        </w:rPr>
        <w:t xml:space="preserve">after court decisions </w:t>
      </w:r>
      <w:r w:rsidR="00387811">
        <w:rPr>
          <w:rFonts w:ascii="Century Schoolbook" w:hAnsi="Century Schoolbook"/>
        </w:rPr>
        <w:t xml:space="preserve">had </w:t>
      </w:r>
      <w:r>
        <w:rPr>
          <w:rFonts w:ascii="Century Schoolbook" w:hAnsi="Century Schoolbook"/>
        </w:rPr>
        <w:t xml:space="preserve">“narrowed the application of the limits on mitigation contained in the </w:t>
      </w:r>
      <w:r w:rsidR="00387811">
        <w:rPr>
          <w:rFonts w:ascii="Century Schoolbook" w:hAnsi="Century Schoolbook"/>
        </w:rPr>
        <w:t>[earlier</w:t>
      </w:r>
      <w:r w:rsidR="00A50CAA">
        <w:rPr>
          <w:rFonts w:ascii="Century Schoolbook" w:hAnsi="Century Schoolbook"/>
        </w:rPr>
        <w:t xml:space="preserve"> 1986</w:t>
      </w:r>
      <w:r w:rsidR="00387811">
        <w:rPr>
          <w:rFonts w:ascii="Century Schoolbook" w:hAnsi="Century Schoolbook"/>
        </w:rPr>
        <w:t xml:space="preserve">] </w:t>
      </w:r>
      <w:r>
        <w:rPr>
          <w:rFonts w:ascii="Century Schoolbook" w:hAnsi="Century Schoolbook"/>
        </w:rPr>
        <w:t>school facilities legislation and thereby expanded the reach of CEQA.” (</w:t>
      </w:r>
      <w:proofErr w:type="spellStart"/>
      <w:r w:rsidRPr="00240C37">
        <w:rPr>
          <w:rFonts w:ascii="Century Schoolbook" w:hAnsi="Century Schoolbook"/>
          <w:i/>
          <w:iCs/>
        </w:rPr>
        <w:t>Chawanakee</w:t>
      </w:r>
      <w:proofErr w:type="spellEnd"/>
      <w:r w:rsidRPr="00240C37">
        <w:rPr>
          <w:rFonts w:ascii="Century Schoolbook" w:hAnsi="Century Schoolbook"/>
          <w:i/>
          <w:iCs/>
        </w:rPr>
        <w:t>, supra</w:t>
      </w:r>
      <w:r>
        <w:rPr>
          <w:rFonts w:ascii="Century Schoolbook" w:hAnsi="Century Schoolbook"/>
        </w:rPr>
        <w:t xml:space="preserve">, 196 Cal.App.4th at p. 1022; see, e.g., </w:t>
      </w:r>
      <w:r w:rsidRPr="00240C37">
        <w:rPr>
          <w:rFonts w:ascii="Century Schoolbook" w:hAnsi="Century Schoolbook"/>
          <w:i/>
          <w:iCs/>
        </w:rPr>
        <w:t>Mira Development Corp v. City of San Diego</w:t>
      </w:r>
      <w:r>
        <w:rPr>
          <w:rFonts w:ascii="Century Schoolbook" w:hAnsi="Century Schoolbook"/>
        </w:rPr>
        <w:t xml:space="preserve"> (1988) 205 Cal.App.3d 1201, 1218 [restrictions in Gov. Code, § 65996 not applicable to legislative actions such as rezoning]; </w:t>
      </w:r>
      <w:r w:rsidR="001F1CE9" w:rsidRPr="00687072">
        <w:rPr>
          <w:rFonts w:ascii="Century Schoolbook" w:hAnsi="Century Schoolbook"/>
          <w:i/>
          <w:iCs/>
        </w:rPr>
        <w:t>Murrieta Valley Unified School District v. County of Riverside</w:t>
      </w:r>
      <w:r w:rsidR="001F1CE9">
        <w:rPr>
          <w:rFonts w:ascii="Century Schoolbook" w:hAnsi="Century Schoolbook"/>
        </w:rPr>
        <w:t xml:space="preserve"> (1991) 228 Cal.App.3d 1212, 1234 [county could impose nonfee mitigation measures to ameliorate adverse effects</w:t>
      </w:r>
      <w:r w:rsidR="00687072">
        <w:rPr>
          <w:rFonts w:ascii="Century Schoolbook" w:hAnsi="Century Schoolbook"/>
        </w:rPr>
        <w:t xml:space="preserve"> of development on school facilities by reducing density of residential development and imposing controlled phasing in areas of project with inadequate school facilities].)</w:t>
      </w:r>
      <w:r w:rsidR="001F1CE9">
        <w:rPr>
          <w:rFonts w:ascii="Century Schoolbook" w:hAnsi="Century Schoolbook"/>
        </w:rPr>
        <w:t xml:space="preserve"> </w:t>
      </w:r>
      <w:r w:rsidR="00391190" w:rsidRPr="00391190">
        <w:rPr>
          <w:rFonts w:ascii="Century Schoolbook" w:hAnsi="Century Schoolbook"/>
        </w:rPr>
        <w:t>Sen. Bill</w:t>
      </w:r>
      <w:r w:rsidR="00A50CAA">
        <w:rPr>
          <w:rFonts w:ascii="Century Schoolbook" w:hAnsi="Century Schoolbook"/>
        </w:rPr>
        <w:t xml:space="preserve"> 50 was t</w:t>
      </w:r>
      <w:r w:rsidR="00687072">
        <w:rPr>
          <w:rFonts w:ascii="Century Schoolbook" w:hAnsi="Century Schoolbook"/>
        </w:rPr>
        <w:t xml:space="preserve">he legislative response to these </w:t>
      </w:r>
      <w:r w:rsidR="007374AF">
        <w:rPr>
          <w:rFonts w:ascii="Century Schoolbook" w:hAnsi="Century Schoolbook"/>
        </w:rPr>
        <w:t xml:space="preserve">CEQA-expanding </w:t>
      </w:r>
      <w:r w:rsidR="00DF79EF">
        <w:rPr>
          <w:rFonts w:ascii="Century Schoolbook" w:hAnsi="Century Schoolbook"/>
        </w:rPr>
        <w:t xml:space="preserve">judicial </w:t>
      </w:r>
      <w:r w:rsidR="00687072">
        <w:rPr>
          <w:rFonts w:ascii="Century Schoolbook" w:hAnsi="Century Schoolbook"/>
        </w:rPr>
        <w:t>decisions</w:t>
      </w:r>
      <w:r w:rsidR="00A50CAA">
        <w:rPr>
          <w:rFonts w:ascii="Century Schoolbook" w:hAnsi="Century Schoolbook"/>
        </w:rPr>
        <w:t>. It</w:t>
      </w:r>
      <w:r w:rsidR="00687072">
        <w:rPr>
          <w:rFonts w:ascii="Century Schoolbook" w:hAnsi="Century Schoolbook"/>
        </w:rPr>
        <w:t xml:space="preserve"> used “</w:t>
      </w:r>
      <w:r w:rsidR="009B7DA4">
        <w:rPr>
          <w:rFonts w:ascii="Century Schoolbook" w:hAnsi="Century Schoolbook"/>
        </w:rPr>
        <w:t xml:space="preserve"> ‘</w:t>
      </w:r>
      <w:r w:rsidR="00687072">
        <w:rPr>
          <w:rFonts w:ascii="Century Schoolbook" w:hAnsi="Century Schoolbook"/>
        </w:rPr>
        <w:t>three primary means to preempt the field of development fees and mitigation measures related to school facilities and to overturn [th</w:t>
      </w:r>
      <w:r w:rsidR="007374AF">
        <w:rPr>
          <w:rFonts w:ascii="Century Schoolbook" w:hAnsi="Century Schoolbook"/>
        </w:rPr>
        <w:t>is case law</w:t>
      </w:r>
      <w:r w:rsidR="00687072">
        <w:rPr>
          <w:rFonts w:ascii="Century Schoolbook" w:hAnsi="Century Schoolbook"/>
        </w:rPr>
        <w:t xml:space="preserve">]. First, </w:t>
      </w:r>
      <w:r w:rsidR="007374AF">
        <w:rPr>
          <w:rFonts w:ascii="Century Schoolbook" w:hAnsi="Century Schoolbook"/>
        </w:rPr>
        <w:t>[</w:t>
      </w:r>
      <w:r w:rsidR="00391190" w:rsidRPr="00391190">
        <w:rPr>
          <w:rFonts w:ascii="Century Schoolbook" w:hAnsi="Century Schoolbook"/>
        </w:rPr>
        <w:t>Sen. Bill</w:t>
      </w:r>
      <w:r w:rsidR="007374AF">
        <w:rPr>
          <w:rFonts w:ascii="Century Schoolbook" w:hAnsi="Century Schoolbook"/>
        </w:rPr>
        <w:t xml:space="preserve"> 50]</w:t>
      </w:r>
      <w:r w:rsidR="00687072">
        <w:rPr>
          <w:rFonts w:ascii="Century Schoolbook" w:hAnsi="Century Schoolbook"/>
        </w:rPr>
        <w:t xml:space="preserve"> </w:t>
      </w:r>
      <w:r w:rsidR="009B7DA4">
        <w:rPr>
          <w:rFonts w:ascii="Century Schoolbook" w:hAnsi="Century Schoolbook"/>
        </w:rPr>
        <w:t xml:space="preserve">provides for a </w:t>
      </w:r>
      <w:r w:rsidR="009B7DA4" w:rsidRPr="009B7DA4">
        <w:rPr>
          <w:rFonts w:ascii="Century Schoolbook" w:hAnsi="Century Schoolbook"/>
          <w:i/>
          <w:iCs/>
        </w:rPr>
        <w:t xml:space="preserve">cap on the amount of fees, charges, </w:t>
      </w:r>
      <w:proofErr w:type="gramStart"/>
      <w:r w:rsidR="009B7DA4" w:rsidRPr="009B7DA4">
        <w:rPr>
          <w:rFonts w:ascii="Century Schoolbook" w:hAnsi="Century Schoolbook"/>
          <w:i/>
          <w:iCs/>
        </w:rPr>
        <w:t>dedications</w:t>
      </w:r>
      <w:proofErr w:type="gramEnd"/>
      <w:r w:rsidR="009B7DA4" w:rsidRPr="009B7DA4">
        <w:rPr>
          <w:rFonts w:ascii="Century Schoolbook" w:hAnsi="Century Schoolbook"/>
          <w:i/>
          <w:iCs/>
        </w:rPr>
        <w:t xml:space="preserve"> or other requirements</w:t>
      </w:r>
      <w:r w:rsidR="009B7DA4">
        <w:rPr>
          <w:rFonts w:ascii="Century Schoolbook" w:hAnsi="Century Schoolbook"/>
        </w:rPr>
        <w:t xml:space="preserve"> which can be levied against new construction to fund construction or reconstruction of school facilities. Second, </w:t>
      </w:r>
      <w:r w:rsidR="00391190">
        <w:rPr>
          <w:rFonts w:ascii="Century Schoolbook" w:hAnsi="Century Schoolbook"/>
        </w:rPr>
        <w:t>[</w:t>
      </w:r>
      <w:r w:rsidR="00391190" w:rsidRPr="00391190">
        <w:rPr>
          <w:rFonts w:ascii="Century Schoolbook" w:hAnsi="Century Schoolbook"/>
        </w:rPr>
        <w:t>Sen. Bill</w:t>
      </w:r>
      <w:r w:rsidR="009B7DA4">
        <w:rPr>
          <w:rFonts w:ascii="Century Schoolbook" w:hAnsi="Century Schoolbook"/>
        </w:rPr>
        <w:t xml:space="preserve"> 50</w:t>
      </w:r>
      <w:r w:rsidR="00391190">
        <w:rPr>
          <w:rFonts w:ascii="Century Schoolbook" w:hAnsi="Century Schoolbook"/>
        </w:rPr>
        <w:t>]</w:t>
      </w:r>
      <w:r w:rsidR="009B7DA4">
        <w:rPr>
          <w:rFonts w:ascii="Century Schoolbook" w:hAnsi="Century Schoolbook"/>
        </w:rPr>
        <w:t xml:space="preserve"> </w:t>
      </w:r>
      <w:r w:rsidR="009B7DA4" w:rsidRPr="009B7DA4">
        <w:rPr>
          <w:rFonts w:ascii="Century Schoolbook" w:hAnsi="Century Schoolbook"/>
          <w:i/>
          <w:iCs/>
        </w:rPr>
        <w:t>removes denial authority</w:t>
      </w:r>
      <w:r w:rsidR="009B7DA4">
        <w:rPr>
          <w:rFonts w:ascii="Century Schoolbook" w:hAnsi="Century Schoolbook"/>
        </w:rPr>
        <w:t xml:space="preserve"> from local agencies by prohibiting refusals to approve legislative or adjudicative acts based on a developer’s refusal to provide school facilities mitigation exceeding the capped </w:t>
      </w:r>
      <w:proofErr w:type="gramStart"/>
      <w:r w:rsidR="009B7DA4">
        <w:rPr>
          <w:rFonts w:ascii="Century Schoolbook" w:hAnsi="Century Schoolbook"/>
        </w:rPr>
        <w:t>amounts, or</w:t>
      </w:r>
      <w:proofErr w:type="gramEnd"/>
      <w:r w:rsidR="009B7DA4">
        <w:rPr>
          <w:rFonts w:ascii="Century Schoolbook" w:hAnsi="Century Schoolbook"/>
        </w:rPr>
        <w:t xml:space="preserve"> based on the inadequacy of school facilities. Third, it limits mitigation measures which can be required, under [CEQA] or otherwise, to payment of the statutorily capped </w:t>
      </w:r>
      <w:r w:rsidR="00CB214F">
        <w:rPr>
          <w:rFonts w:ascii="Century Schoolbook" w:hAnsi="Century Schoolbook"/>
        </w:rPr>
        <w:t>fee amounts and deems payment of these amounts to provide full and complete school facilities mitigation[.]’ [Citation.]” (</w:t>
      </w:r>
      <w:proofErr w:type="spellStart"/>
      <w:r w:rsidR="00CB214F" w:rsidRPr="00CB214F">
        <w:rPr>
          <w:rFonts w:ascii="Century Schoolbook" w:hAnsi="Century Schoolbook"/>
          <w:i/>
          <w:iCs/>
        </w:rPr>
        <w:t>Chawanakee</w:t>
      </w:r>
      <w:proofErr w:type="spellEnd"/>
      <w:r w:rsidR="00CB214F" w:rsidRPr="00CB214F">
        <w:rPr>
          <w:rFonts w:ascii="Century Schoolbook" w:hAnsi="Century Schoolbook"/>
          <w:i/>
          <w:iCs/>
        </w:rPr>
        <w:t>, supra</w:t>
      </w:r>
      <w:r w:rsidR="00CB214F">
        <w:rPr>
          <w:rFonts w:ascii="Century Schoolbook" w:hAnsi="Century Schoolbook"/>
        </w:rPr>
        <w:t>, 196 Cal.App.4th at pp.</w:t>
      </w:r>
      <w:r w:rsidR="00294442">
        <w:rPr>
          <w:rFonts w:ascii="Century Schoolbook" w:hAnsi="Century Schoolbook"/>
        </w:rPr>
        <w:t> </w:t>
      </w:r>
      <w:r w:rsidR="00CB214F">
        <w:rPr>
          <w:rFonts w:ascii="Century Schoolbook" w:hAnsi="Century Schoolbook"/>
        </w:rPr>
        <w:t xml:space="preserve">1023–1024.) </w:t>
      </w:r>
      <w:r w:rsidR="00391190" w:rsidRPr="00391190">
        <w:rPr>
          <w:rFonts w:ascii="Century Schoolbook" w:hAnsi="Century Schoolbook"/>
        </w:rPr>
        <w:t>Sen. Bill</w:t>
      </w:r>
      <w:r w:rsidR="00CB214F">
        <w:rPr>
          <w:rFonts w:ascii="Century Schoolbook" w:hAnsi="Century Schoolbook"/>
        </w:rPr>
        <w:t xml:space="preserve"> 50 amended Government Code section 65996, among other provisions, to effect these changes. (</w:t>
      </w:r>
      <w:proofErr w:type="spellStart"/>
      <w:r w:rsidR="00294442" w:rsidRPr="00294442">
        <w:rPr>
          <w:rFonts w:ascii="Century Schoolbook" w:hAnsi="Century Schoolbook"/>
          <w:i/>
          <w:iCs/>
        </w:rPr>
        <w:t>Chawanakee</w:t>
      </w:r>
      <w:proofErr w:type="spellEnd"/>
      <w:r w:rsidR="00294442" w:rsidRPr="00294442">
        <w:rPr>
          <w:rFonts w:ascii="Century Schoolbook" w:hAnsi="Century Schoolbook"/>
          <w:i/>
          <w:iCs/>
        </w:rPr>
        <w:t xml:space="preserve">, supra, </w:t>
      </w:r>
      <w:r w:rsidR="00CB214F">
        <w:rPr>
          <w:rFonts w:ascii="Century Schoolbook" w:hAnsi="Century Schoolbook"/>
        </w:rPr>
        <w:t>at p.</w:t>
      </w:r>
      <w:r w:rsidR="00391190">
        <w:rPr>
          <w:rFonts w:ascii="Century Schoolbook" w:hAnsi="Century Schoolbook"/>
        </w:rPr>
        <w:t> </w:t>
      </w:r>
      <w:r w:rsidR="00CB214F">
        <w:rPr>
          <w:rFonts w:ascii="Century Schoolbook" w:hAnsi="Century Schoolbook"/>
        </w:rPr>
        <w:t xml:space="preserve">1024.) </w:t>
      </w:r>
    </w:p>
    <w:p w14:paraId="7FA2F5E6" w14:textId="1BF60C85" w:rsidR="00A50CAA" w:rsidRDefault="007374AF" w:rsidP="003E75F8">
      <w:pPr>
        <w:rPr>
          <w:rFonts w:ascii="Century Schoolbook" w:hAnsi="Century Schoolbook"/>
        </w:rPr>
      </w:pPr>
      <w:r>
        <w:rPr>
          <w:rFonts w:ascii="Century Schoolbook" w:hAnsi="Century Schoolbook"/>
        </w:rPr>
        <w:lastRenderedPageBreak/>
        <w:tab/>
      </w:r>
      <w:r w:rsidR="0047619E">
        <w:rPr>
          <w:rFonts w:ascii="Century Schoolbook" w:hAnsi="Century Schoolbook"/>
        </w:rPr>
        <w:t xml:space="preserve">In </w:t>
      </w:r>
      <w:proofErr w:type="spellStart"/>
      <w:r w:rsidR="0047619E" w:rsidRPr="0047619E">
        <w:rPr>
          <w:rFonts w:ascii="Century Schoolbook" w:hAnsi="Century Schoolbook"/>
          <w:i/>
          <w:iCs/>
        </w:rPr>
        <w:t>Chawanakee</w:t>
      </w:r>
      <w:proofErr w:type="spellEnd"/>
      <w:r w:rsidR="0047619E">
        <w:rPr>
          <w:rFonts w:ascii="Century Schoolbook" w:hAnsi="Century Schoolbook"/>
        </w:rPr>
        <w:t>,</w:t>
      </w:r>
      <w:r w:rsidR="005D0BC1">
        <w:rPr>
          <w:rFonts w:ascii="Century Schoolbook" w:hAnsi="Century Schoolbook"/>
        </w:rPr>
        <w:t xml:space="preserve"> as relevant here, </w:t>
      </w:r>
      <w:r w:rsidR="0047619E">
        <w:rPr>
          <w:rFonts w:ascii="Century Schoolbook" w:hAnsi="Century Schoolbook"/>
        </w:rPr>
        <w:t xml:space="preserve">the court specifically considered some of the changes in language to Government Code section 65996, subdivision (a) brought by </w:t>
      </w:r>
      <w:r w:rsidR="00391190" w:rsidRPr="00391190">
        <w:rPr>
          <w:rFonts w:ascii="Century Schoolbook" w:hAnsi="Century Schoolbook"/>
        </w:rPr>
        <w:t>Sen. Bill</w:t>
      </w:r>
      <w:r w:rsidR="0047619E">
        <w:rPr>
          <w:rFonts w:ascii="Century Schoolbook" w:hAnsi="Century Schoolbook"/>
        </w:rPr>
        <w:t xml:space="preserve"> 50. </w:t>
      </w:r>
      <w:r w:rsidR="005D0BC1">
        <w:rPr>
          <w:rFonts w:ascii="Century Schoolbook" w:hAnsi="Century Schoolbook"/>
        </w:rPr>
        <w:t>First, t</w:t>
      </w:r>
      <w:r w:rsidR="00DE2BF3">
        <w:rPr>
          <w:rFonts w:ascii="Century Schoolbook" w:hAnsi="Century Schoolbook"/>
        </w:rPr>
        <w:t>he court concluded that the provision’s change in phrase from “</w:t>
      </w:r>
      <w:r w:rsidR="00391190">
        <w:rPr>
          <w:rFonts w:ascii="Century Schoolbook" w:hAnsi="Century Schoolbook"/>
        </w:rPr>
        <w:t xml:space="preserve"> ‘</w:t>
      </w:r>
      <w:r w:rsidR="00DE2BF3">
        <w:rPr>
          <w:rFonts w:ascii="Century Schoolbook" w:hAnsi="Century Schoolbook"/>
        </w:rPr>
        <w:t>exclusive methods of mitigating</w:t>
      </w:r>
      <w:r w:rsidR="00391190">
        <w:rPr>
          <w:rFonts w:ascii="Century Schoolbook" w:hAnsi="Century Schoolbook"/>
        </w:rPr>
        <w:t xml:space="preserve">’ </w:t>
      </w:r>
      <w:r w:rsidR="00DE2BF3">
        <w:rPr>
          <w:rFonts w:ascii="Century Schoolbook" w:hAnsi="Century Schoolbook"/>
        </w:rPr>
        <w:t>” to “</w:t>
      </w:r>
      <w:r w:rsidR="00391190">
        <w:rPr>
          <w:rFonts w:ascii="Century Schoolbook" w:hAnsi="Century Schoolbook"/>
        </w:rPr>
        <w:t xml:space="preserve"> ‘</w:t>
      </w:r>
      <w:r w:rsidR="00DE2BF3">
        <w:rPr>
          <w:rFonts w:ascii="Century Schoolbook" w:hAnsi="Century Schoolbook"/>
        </w:rPr>
        <w:t>exclusive methods of considering and mitigating</w:t>
      </w:r>
      <w:r w:rsidR="00391190">
        <w:rPr>
          <w:rFonts w:ascii="Century Schoolbook" w:hAnsi="Century Schoolbook"/>
        </w:rPr>
        <w:t xml:space="preserve">’ </w:t>
      </w:r>
      <w:r w:rsidR="00DE2BF3">
        <w:rPr>
          <w:rFonts w:ascii="Century Schoolbook" w:hAnsi="Century Schoolbook"/>
        </w:rPr>
        <w:t xml:space="preserve">” limits not only the mitigation that may be required </w:t>
      </w:r>
      <w:r w:rsidR="005D0BC1">
        <w:rPr>
          <w:rFonts w:ascii="Century Schoolbook" w:hAnsi="Century Schoolbook"/>
        </w:rPr>
        <w:t xml:space="preserve">for school impacts </w:t>
      </w:r>
      <w:r w:rsidR="00DE2BF3">
        <w:rPr>
          <w:rFonts w:ascii="Century Schoolbook" w:hAnsi="Century Schoolbook"/>
        </w:rPr>
        <w:t xml:space="preserve">but also the scope of impact review and the findings for </w:t>
      </w:r>
      <w:r w:rsidR="005D0BC1">
        <w:rPr>
          <w:rFonts w:ascii="Century Schoolbook" w:hAnsi="Century Schoolbook"/>
        </w:rPr>
        <w:t>those</w:t>
      </w:r>
      <w:r w:rsidR="00DE2BF3">
        <w:rPr>
          <w:rFonts w:ascii="Century Schoolbook" w:hAnsi="Century Schoolbook"/>
        </w:rPr>
        <w:t xml:space="preserve"> impacts. (</w:t>
      </w:r>
      <w:proofErr w:type="spellStart"/>
      <w:r w:rsidR="00DE2BF3" w:rsidRPr="00DE2BF3">
        <w:rPr>
          <w:rFonts w:ascii="Century Schoolbook" w:hAnsi="Century Schoolbook"/>
          <w:i/>
          <w:iCs/>
        </w:rPr>
        <w:t>Chawanakee</w:t>
      </w:r>
      <w:proofErr w:type="spellEnd"/>
      <w:r w:rsidR="00DE2BF3" w:rsidRPr="00DE2BF3">
        <w:rPr>
          <w:rFonts w:ascii="Century Schoolbook" w:hAnsi="Century Schoolbook"/>
          <w:i/>
          <w:iCs/>
        </w:rPr>
        <w:t>, supra</w:t>
      </w:r>
      <w:r w:rsidR="00DE2BF3">
        <w:rPr>
          <w:rFonts w:ascii="Century Schoolbook" w:hAnsi="Century Schoolbook"/>
        </w:rPr>
        <w:t>, 196 Cal.App.4th at p</w:t>
      </w:r>
      <w:r w:rsidR="00391190">
        <w:rPr>
          <w:rFonts w:ascii="Century Schoolbook" w:hAnsi="Century Schoolbook"/>
        </w:rPr>
        <w:t>p</w:t>
      </w:r>
      <w:r w:rsidR="00DE2BF3">
        <w:rPr>
          <w:rFonts w:ascii="Century Schoolbook" w:hAnsi="Century Schoolbook"/>
        </w:rPr>
        <w:t xml:space="preserve">. </w:t>
      </w:r>
      <w:r w:rsidR="00391190">
        <w:rPr>
          <w:rFonts w:ascii="Century Schoolbook" w:hAnsi="Century Schoolbook"/>
        </w:rPr>
        <w:t>1026</w:t>
      </w:r>
      <w:r w:rsidR="00603BB4">
        <w:rPr>
          <w:rFonts w:ascii="Century Schoolbook" w:hAnsi="Century Schoolbook"/>
        </w:rPr>
        <w:t>–</w:t>
      </w:r>
      <w:r w:rsidR="00DE2BF3">
        <w:rPr>
          <w:rFonts w:ascii="Century Schoolbook" w:hAnsi="Century Schoolbook"/>
        </w:rPr>
        <w:t xml:space="preserve">1027.) </w:t>
      </w:r>
      <w:r w:rsidR="005D0BC1">
        <w:rPr>
          <w:rFonts w:ascii="Century Schoolbook" w:hAnsi="Century Schoolbook"/>
        </w:rPr>
        <w:t xml:space="preserve">Because of </w:t>
      </w:r>
      <w:r w:rsidR="00391190" w:rsidRPr="00391190">
        <w:rPr>
          <w:rFonts w:ascii="Century Schoolbook" w:hAnsi="Century Schoolbook"/>
        </w:rPr>
        <w:t>Sen. Bill</w:t>
      </w:r>
      <w:r w:rsidR="00391190">
        <w:rPr>
          <w:rFonts w:ascii="Century Schoolbook" w:hAnsi="Century Schoolbook"/>
        </w:rPr>
        <w:t> </w:t>
      </w:r>
      <w:r w:rsidR="005D0BC1">
        <w:rPr>
          <w:rFonts w:ascii="Century Schoolbook" w:hAnsi="Century Schoolbook"/>
        </w:rPr>
        <w:t>50, t</w:t>
      </w:r>
      <w:r w:rsidR="00DE2BF3">
        <w:rPr>
          <w:rFonts w:ascii="Century Schoolbook" w:hAnsi="Century Schoolbook"/>
        </w:rPr>
        <w:t xml:space="preserve">he provision now “obviates the need for an EIR to contain a description and analysis </w:t>
      </w:r>
      <w:r w:rsidR="005D0BC1">
        <w:rPr>
          <w:rFonts w:ascii="Century Schoolbook" w:hAnsi="Century Schoolbook"/>
        </w:rPr>
        <w:t xml:space="preserve">of a development’s impacts </w:t>
      </w:r>
      <w:r w:rsidR="005D0BC1" w:rsidRPr="00A50CAA">
        <w:rPr>
          <w:rFonts w:ascii="Century Schoolbook" w:hAnsi="Century Schoolbook"/>
        </w:rPr>
        <w:t>on</w:t>
      </w:r>
      <w:r w:rsidR="005D0BC1">
        <w:rPr>
          <w:rFonts w:ascii="Century Schoolbook" w:hAnsi="Century Schoolbook"/>
        </w:rPr>
        <w:t xml:space="preserve"> school facilities</w:t>
      </w:r>
      <w:r w:rsidR="00A50CAA">
        <w:rPr>
          <w:rFonts w:ascii="Century Schoolbook" w:hAnsi="Century Schoolbook"/>
        </w:rPr>
        <w:t>,</w:t>
      </w:r>
      <w:r w:rsidR="005D0BC1">
        <w:rPr>
          <w:rFonts w:ascii="Century Schoolbook" w:hAnsi="Century Schoolbook"/>
        </w:rPr>
        <w:t>” including “any analysis of the environmental consequences for the existing school facilities that will be forced to accommodate” increased student enrollment resulting from a project. (</w:t>
      </w:r>
      <w:r w:rsidR="005D0BC1" w:rsidRPr="005D0BC1">
        <w:rPr>
          <w:rFonts w:ascii="Century Schoolbook" w:hAnsi="Century Schoolbook"/>
          <w:i/>
          <w:iCs/>
        </w:rPr>
        <w:t>Id</w:t>
      </w:r>
      <w:r w:rsidR="005D0BC1">
        <w:rPr>
          <w:rFonts w:ascii="Century Schoolbook" w:hAnsi="Century Schoolbook"/>
        </w:rPr>
        <w:t xml:space="preserve">. at pp. 1027–1028.) </w:t>
      </w:r>
    </w:p>
    <w:p w14:paraId="2DE265BF" w14:textId="2C377321" w:rsidR="00DF79EF" w:rsidRDefault="00A50CAA" w:rsidP="003E75F8">
      <w:pPr>
        <w:rPr>
          <w:rFonts w:ascii="Century Schoolbook" w:hAnsi="Century Schoolbook"/>
        </w:rPr>
      </w:pPr>
      <w:r>
        <w:rPr>
          <w:rFonts w:ascii="Century Schoolbook" w:hAnsi="Century Schoolbook"/>
        </w:rPr>
        <w:tab/>
      </w:r>
      <w:r w:rsidR="00AB2DED">
        <w:rPr>
          <w:rFonts w:ascii="Century Schoolbook" w:hAnsi="Century Schoolbook"/>
        </w:rPr>
        <w:t xml:space="preserve">As for </w:t>
      </w:r>
      <w:r w:rsidR="00391190" w:rsidRPr="00391190">
        <w:rPr>
          <w:rFonts w:ascii="Century Schoolbook" w:hAnsi="Century Schoolbook"/>
        </w:rPr>
        <w:t>Sen. Bill</w:t>
      </w:r>
      <w:r w:rsidR="00AB2DED">
        <w:rPr>
          <w:rFonts w:ascii="Century Schoolbook" w:hAnsi="Century Schoolbook"/>
        </w:rPr>
        <w:t xml:space="preserve"> 50’s change from “related to school facilities” to “on school facilities” in Government Code section 65996, subdivision (a) when describing the impacts that might occur </w:t>
      </w:r>
      <w:proofErr w:type="gramStart"/>
      <w:r w:rsidR="00AB2DED">
        <w:rPr>
          <w:rFonts w:ascii="Century Schoolbook" w:hAnsi="Century Schoolbook"/>
        </w:rPr>
        <w:t>as a result of</w:t>
      </w:r>
      <w:proofErr w:type="gramEnd"/>
      <w:r w:rsidR="00AB2DED">
        <w:rPr>
          <w:rFonts w:ascii="Century Schoolbook" w:hAnsi="Century Schoolbook"/>
        </w:rPr>
        <w:t xml:space="preserve"> project approval, the court viewed this amendment as a “narrowing of the statute” in its </w:t>
      </w:r>
      <w:r w:rsidR="00BF1222">
        <w:rPr>
          <w:rFonts w:ascii="Century Schoolbook" w:hAnsi="Century Schoolbook"/>
        </w:rPr>
        <w:t xml:space="preserve">protective effect. The “phrase ‘impacts on school facilities’ </w:t>
      </w:r>
      <w:r w:rsidR="00294442">
        <w:rPr>
          <w:rFonts w:ascii="Century Schoolbook" w:hAnsi="Century Schoolbook"/>
        </w:rPr>
        <w:t>. . .</w:t>
      </w:r>
      <w:r w:rsidR="00BF1222">
        <w:rPr>
          <w:rFonts w:ascii="Century Schoolbook" w:hAnsi="Century Schoolbook"/>
        </w:rPr>
        <w:t xml:space="preserve"> does not cover all possible environmental impacts that have any type of connection or relationship to schools. </w:t>
      </w:r>
      <w:r w:rsidR="00294442">
        <w:rPr>
          <w:rFonts w:ascii="Century Schoolbook" w:hAnsi="Century Schoolbook"/>
        </w:rPr>
        <w:t>. . .</w:t>
      </w:r>
      <w:r w:rsidR="00BF1222">
        <w:rPr>
          <w:rFonts w:ascii="Century Schoolbook" w:hAnsi="Century Schoolbook"/>
        </w:rPr>
        <w:t xml:space="preserve"> [T]he prepositional phrase ‘on school facilities’ limits the type of impacts that are excused from discussion or mitigation </w:t>
      </w:r>
      <w:r w:rsidR="00A42402">
        <w:rPr>
          <w:rFonts w:ascii="Century Schoolbook" w:hAnsi="Century Schoolbook"/>
        </w:rPr>
        <w:t xml:space="preserve">to the adverse physical changes to the school grounds and school buildings, and ‘any school-related consideration relating to a school district’s ability to accommodate enrollment.’ (Govt. Code, § 65996, subd. (c).) Therefore, </w:t>
      </w:r>
      <w:r w:rsidR="00A42402" w:rsidRPr="00DF79EF">
        <w:rPr>
          <w:rFonts w:ascii="Century Schoolbook" w:hAnsi="Century Schoolbook"/>
          <w:i/>
          <w:iCs/>
        </w:rPr>
        <w:t xml:space="preserve">the project’s indirect impacts </w:t>
      </w:r>
      <w:r w:rsidR="00904979" w:rsidRPr="00DF79EF">
        <w:rPr>
          <w:rFonts w:ascii="Century Schoolbook" w:hAnsi="Century Schoolbook"/>
          <w:i/>
          <w:iCs/>
        </w:rPr>
        <w:t>on parts of the physical environment that are not school facilities are not excused from being considered and mitigated</w:t>
      </w:r>
      <w:r w:rsidR="00904979">
        <w:rPr>
          <w:rFonts w:ascii="Century Schoolbook" w:hAnsi="Century Schoolbook"/>
        </w:rPr>
        <w:t>.” (</w:t>
      </w:r>
      <w:proofErr w:type="spellStart"/>
      <w:r w:rsidR="00904979" w:rsidRPr="00904979">
        <w:rPr>
          <w:rFonts w:ascii="Century Schoolbook" w:hAnsi="Century Schoolbook"/>
          <w:i/>
          <w:iCs/>
        </w:rPr>
        <w:t>Chawanakee</w:t>
      </w:r>
      <w:proofErr w:type="spellEnd"/>
      <w:r w:rsidR="00904979" w:rsidRPr="00904979">
        <w:rPr>
          <w:rFonts w:ascii="Century Schoolbook" w:hAnsi="Century Schoolbook"/>
          <w:i/>
          <w:iCs/>
        </w:rPr>
        <w:t>, supra</w:t>
      </w:r>
      <w:r w:rsidR="00904979">
        <w:rPr>
          <w:rFonts w:ascii="Century Schoolbook" w:hAnsi="Century Schoolbook"/>
        </w:rPr>
        <w:t>, 196 Cal.App.4th at p. 1028</w:t>
      </w:r>
      <w:r w:rsidR="00DF79EF">
        <w:rPr>
          <w:rFonts w:ascii="Century Schoolbook" w:hAnsi="Century Schoolbook"/>
        </w:rPr>
        <w:t>, italics added</w:t>
      </w:r>
      <w:r w:rsidR="00904979">
        <w:rPr>
          <w:rFonts w:ascii="Century Schoolbook" w:hAnsi="Century Schoolbook"/>
        </w:rPr>
        <w:t>.)</w:t>
      </w:r>
      <w:r w:rsidR="00BF1222">
        <w:rPr>
          <w:rFonts w:ascii="Century Schoolbook" w:hAnsi="Century Schoolbook"/>
        </w:rPr>
        <w:t xml:space="preserve"> </w:t>
      </w:r>
    </w:p>
    <w:p w14:paraId="5135B526" w14:textId="2D0484EA" w:rsidR="00036749" w:rsidRDefault="00DF79EF" w:rsidP="003E75F8">
      <w:pPr>
        <w:rPr>
          <w:rFonts w:ascii="Century Schoolbook" w:hAnsi="Century Schoolbook"/>
        </w:rPr>
      </w:pPr>
      <w:r>
        <w:rPr>
          <w:rFonts w:ascii="Century Schoolbook" w:hAnsi="Century Schoolbook"/>
        </w:rPr>
        <w:lastRenderedPageBreak/>
        <w:tab/>
      </w:r>
      <w:r w:rsidR="00BD7B9E">
        <w:rPr>
          <w:rFonts w:ascii="Century Schoolbook" w:hAnsi="Century Schoolbook"/>
        </w:rPr>
        <w:t xml:space="preserve">The </w:t>
      </w:r>
      <w:proofErr w:type="spellStart"/>
      <w:r w:rsidR="00BD7B9E" w:rsidRPr="006D2368">
        <w:rPr>
          <w:rFonts w:ascii="Century Schoolbook" w:hAnsi="Century Schoolbook"/>
          <w:i/>
          <w:iCs/>
        </w:rPr>
        <w:t>Chawanakee</w:t>
      </w:r>
      <w:proofErr w:type="spellEnd"/>
      <w:r w:rsidR="00BD7B9E">
        <w:rPr>
          <w:rFonts w:ascii="Century Schoolbook" w:hAnsi="Century Schoolbook"/>
        </w:rPr>
        <w:t xml:space="preserve"> court </w:t>
      </w:r>
      <w:r w:rsidR="00904979">
        <w:rPr>
          <w:rFonts w:ascii="Century Schoolbook" w:hAnsi="Century Schoolbook"/>
        </w:rPr>
        <w:t>conclud</w:t>
      </w:r>
      <w:r w:rsidR="00BD7B9E">
        <w:rPr>
          <w:rFonts w:ascii="Century Schoolbook" w:hAnsi="Century Schoolbook"/>
        </w:rPr>
        <w:t>ed</w:t>
      </w:r>
      <w:r w:rsidR="00904979">
        <w:rPr>
          <w:rFonts w:ascii="Century Schoolbook" w:hAnsi="Century Schoolbook"/>
        </w:rPr>
        <w:t xml:space="preserve"> that traffic impacts in that case near and related to getting students to and from a school facility is not an impact “</w:t>
      </w:r>
      <w:r w:rsidR="00C7442A">
        <w:rPr>
          <w:rFonts w:ascii="Century Schoolbook" w:hAnsi="Century Schoolbook"/>
        </w:rPr>
        <w:t> </w:t>
      </w:r>
      <w:r w:rsidR="00AA3513">
        <w:rPr>
          <w:rFonts w:ascii="Century Schoolbook" w:hAnsi="Century Schoolbook"/>
        </w:rPr>
        <w:t>‘</w:t>
      </w:r>
      <w:r w:rsidR="00904979" w:rsidRPr="00DF79EF">
        <w:rPr>
          <w:rFonts w:ascii="Century Schoolbook" w:hAnsi="Century Schoolbook"/>
          <w:i/>
          <w:iCs/>
        </w:rPr>
        <w:t>on</w:t>
      </w:r>
      <w:r w:rsidR="00904979">
        <w:rPr>
          <w:rFonts w:ascii="Century Schoolbook" w:hAnsi="Century Schoolbook"/>
        </w:rPr>
        <w:t xml:space="preserve"> school facilities</w:t>
      </w:r>
      <w:r w:rsidR="00AA3513">
        <w:rPr>
          <w:rFonts w:ascii="Century Schoolbook" w:hAnsi="Century Schoolbook"/>
        </w:rPr>
        <w:t xml:space="preserve">’ </w:t>
      </w:r>
      <w:r w:rsidR="00904979">
        <w:rPr>
          <w:rFonts w:ascii="Century Schoolbook" w:hAnsi="Century Schoolbook"/>
        </w:rPr>
        <w:t>” exempt from consideration and mitigation under CEQA for purposes of Government Code section 65996, subdivision (a)</w:t>
      </w:r>
      <w:r w:rsidR="00BD7B9E">
        <w:rPr>
          <w:rFonts w:ascii="Century Schoolbook" w:hAnsi="Century Schoolbook"/>
        </w:rPr>
        <w:t>. (</w:t>
      </w:r>
      <w:proofErr w:type="spellStart"/>
      <w:r w:rsidR="00BD7B9E" w:rsidRPr="00AA3513">
        <w:rPr>
          <w:rFonts w:ascii="Century Schoolbook" w:hAnsi="Century Schoolbook"/>
          <w:i/>
          <w:iCs/>
        </w:rPr>
        <w:t>Chawanakee</w:t>
      </w:r>
      <w:proofErr w:type="spellEnd"/>
      <w:r w:rsidR="00BD7B9E" w:rsidRPr="00AA3513">
        <w:rPr>
          <w:rFonts w:ascii="Century Schoolbook" w:hAnsi="Century Schoolbook"/>
          <w:i/>
          <w:iCs/>
        </w:rPr>
        <w:t>, supra</w:t>
      </w:r>
      <w:r w:rsidR="00BD7B9E">
        <w:rPr>
          <w:rFonts w:ascii="Century Schoolbook" w:hAnsi="Century Schoolbook"/>
        </w:rPr>
        <w:t>, 196 Cal.App.4th at p. 1029, italics added.)</w:t>
      </w:r>
      <w:r w:rsidR="00904979">
        <w:rPr>
          <w:rFonts w:ascii="Century Schoolbook" w:hAnsi="Century Schoolbook"/>
        </w:rPr>
        <w:t xml:space="preserve"> </w:t>
      </w:r>
      <w:r w:rsidR="00BD7B9E">
        <w:rPr>
          <w:rFonts w:ascii="Century Schoolbook" w:hAnsi="Century Schoolbook"/>
        </w:rPr>
        <w:t>T</w:t>
      </w:r>
      <w:r w:rsidR="00904979">
        <w:rPr>
          <w:rFonts w:ascii="Century Schoolbook" w:hAnsi="Century Schoolbook"/>
        </w:rPr>
        <w:t xml:space="preserve">he court </w:t>
      </w:r>
      <w:r w:rsidR="00BD7B9E">
        <w:rPr>
          <w:rFonts w:ascii="Century Schoolbook" w:hAnsi="Century Schoolbook"/>
        </w:rPr>
        <w:t>then</w:t>
      </w:r>
      <w:r w:rsidR="00904979">
        <w:rPr>
          <w:rFonts w:ascii="Century Schoolbook" w:hAnsi="Century Schoolbook"/>
        </w:rPr>
        <w:t xml:space="preserve"> </w:t>
      </w:r>
      <w:r w:rsidR="00603BB4">
        <w:rPr>
          <w:rFonts w:ascii="Century Schoolbook" w:hAnsi="Century Schoolbook"/>
        </w:rPr>
        <w:t>held</w:t>
      </w:r>
      <w:r w:rsidR="00904979">
        <w:rPr>
          <w:rFonts w:ascii="Century Schoolbook" w:hAnsi="Century Schoolbook"/>
        </w:rPr>
        <w:t xml:space="preserve"> that</w:t>
      </w:r>
      <w:r w:rsidR="00905C12">
        <w:rPr>
          <w:rFonts w:ascii="Century Schoolbook" w:hAnsi="Century Schoolbook"/>
        </w:rPr>
        <w:t xml:space="preserve">, notwithstanding </w:t>
      </w:r>
      <w:r w:rsidR="00A50CAA">
        <w:rPr>
          <w:rFonts w:ascii="Century Schoolbook" w:hAnsi="Century Schoolbook"/>
        </w:rPr>
        <w:t xml:space="preserve">a </w:t>
      </w:r>
      <w:r w:rsidR="00041E2F">
        <w:rPr>
          <w:rFonts w:ascii="Century Schoolbook" w:hAnsi="Century Schoolbook"/>
        </w:rPr>
        <w:t>“causal connection between the overcrowding created by the project’s students,” which itself need not be considered or mitigated, “and the construction to alleviate the overcrowding,”</w:t>
      </w:r>
      <w:r w:rsidR="00904979">
        <w:rPr>
          <w:rFonts w:ascii="Century Schoolbook" w:hAnsi="Century Schoolbook"/>
        </w:rPr>
        <w:t xml:space="preserve"> the </w:t>
      </w:r>
      <w:r w:rsidR="00BD7B9E">
        <w:rPr>
          <w:rFonts w:ascii="Century Schoolbook" w:hAnsi="Century Schoolbook"/>
        </w:rPr>
        <w:t>development</w:t>
      </w:r>
      <w:r w:rsidR="00904979">
        <w:rPr>
          <w:rFonts w:ascii="Century Schoolbook" w:hAnsi="Century Schoolbook"/>
        </w:rPr>
        <w:t xml:space="preserve"> of additional school facilities at an existing site </w:t>
      </w:r>
      <w:r w:rsidR="00AA3513">
        <w:rPr>
          <w:rFonts w:ascii="Century Schoolbook" w:hAnsi="Century Schoolbook"/>
        </w:rPr>
        <w:t>to accommodate increased enrollment might</w:t>
      </w:r>
      <w:r w:rsidR="00904979">
        <w:rPr>
          <w:rFonts w:ascii="Century Schoolbook" w:hAnsi="Century Schoolbook"/>
        </w:rPr>
        <w:t xml:space="preserve"> have “reasonably foreseeable” impact</w:t>
      </w:r>
      <w:r w:rsidR="00AA3513">
        <w:rPr>
          <w:rFonts w:ascii="Century Schoolbook" w:hAnsi="Century Schoolbook"/>
        </w:rPr>
        <w:t>s, such as “dust that degrades air quality and noise caused by the construction activity</w:t>
      </w:r>
      <w:r w:rsidR="00D04A4C">
        <w:rPr>
          <w:rFonts w:ascii="Century Schoolbook" w:hAnsi="Century Schoolbook"/>
        </w:rPr>
        <w:t>,</w:t>
      </w:r>
      <w:r w:rsidR="00AA3513">
        <w:rPr>
          <w:rFonts w:ascii="Century Schoolbook" w:hAnsi="Century Schoolbook"/>
        </w:rPr>
        <w:t>”</w:t>
      </w:r>
      <w:r w:rsidR="00904979">
        <w:rPr>
          <w:rFonts w:ascii="Century Schoolbook" w:hAnsi="Century Schoolbook"/>
        </w:rPr>
        <w:t xml:space="preserve"> on the “non-school physical environment</w:t>
      </w:r>
      <w:r w:rsidR="00D04A4C">
        <w:rPr>
          <w:rFonts w:ascii="Century Schoolbook" w:hAnsi="Century Schoolbook"/>
        </w:rPr>
        <w:t>.</w:t>
      </w:r>
      <w:r w:rsidR="00904979">
        <w:rPr>
          <w:rFonts w:ascii="Century Schoolbook" w:hAnsi="Century Schoolbook"/>
        </w:rPr>
        <w:t>”</w:t>
      </w:r>
      <w:r w:rsidR="00D04A4C">
        <w:rPr>
          <w:rFonts w:ascii="Century Schoolbook" w:hAnsi="Century Schoolbook"/>
        </w:rPr>
        <w:t xml:space="preserve"> (</w:t>
      </w:r>
      <w:r w:rsidR="00D04A4C" w:rsidRPr="00D04A4C">
        <w:rPr>
          <w:rFonts w:ascii="Century Schoolbook" w:hAnsi="Century Schoolbook"/>
          <w:i/>
          <w:iCs/>
        </w:rPr>
        <w:t>Ibid</w:t>
      </w:r>
      <w:r w:rsidR="00D04A4C">
        <w:rPr>
          <w:rFonts w:ascii="Century Schoolbook" w:hAnsi="Century Schoolbook"/>
        </w:rPr>
        <w:t>.)</w:t>
      </w:r>
      <w:r w:rsidR="00AA3513">
        <w:rPr>
          <w:rFonts w:ascii="Century Schoolbook" w:hAnsi="Century Schoolbook"/>
        </w:rPr>
        <w:t xml:space="preserve"> </w:t>
      </w:r>
      <w:r w:rsidR="00D04A4C">
        <w:rPr>
          <w:rFonts w:ascii="Century Schoolbook" w:hAnsi="Century Schoolbook"/>
        </w:rPr>
        <w:t xml:space="preserve">“These types of impacts to the </w:t>
      </w:r>
      <w:proofErr w:type="spellStart"/>
      <w:r w:rsidR="00D04A4C">
        <w:rPr>
          <w:rFonts w:ascii="Century Schoolbook" w:hAnsi="Century Schoolbook"/>
        </w:rPr>
        <w:t>nonschool</w:t>
      </w:r>
      <w:proofErr w:type="spellEnd"/>
      <w:r w:rsidR="00D04A4C">
        <w:rPr>
          <w:rFonts w:ascii="Century Schoolbook" w:hAnsi="Century Schoolbook"/>
        </w:rPr>
        <w:t xml:space="preserve"> physical environment are caused </w:t>
      </w:r>
      <w:r w:rsidR="00D04A4C" w:rsidRPr="00D04A4C">
        <w:rPr>
          <w:rFonts w:ascii="Century Schoolbook" w:hAnsi="Century Schoolbook"/>
          <w:i/>
          <w:iCs/>
        </w:rPr>
        <w:t>indirectly</w:t>
      </w:r>
      <w:r w:rsidR="00D04A4C">
        <w:rPr>
          <w:rFonts w:ascii="Century Schoolbook" w:hAnsi="Century Schoolbook"/>
        </w:rPr>
        <w:t xml:space="preserve"> by the project and should be considered in the EIR.” (</w:t>
      </w:r>
      <w:r w:rsidR="00D04A4C" w:rsidRPr="00D04A4C">
        <w:rPr>
          <w:rFonts w:ascii="Century Schoolbook" w:hAnsi="Century Schoolbook"/>
          <w:i/>
          <w:iCs/>
        </w:rPr>
        <w:t>Ibid.</w:t>
      </w:r>
      <w:r w:rsidR="00D04A4C">
        <w:rPr>
          <w:rFonts w:ascii="Century Schoolbook" w:hAnsi="Century Schoolbook"/>
        </w:rPr>
        <w:t xml:space="preserve">, citing Guidelines, § 15358, subd. (a)(2) [indirect effects caused by the project].) </w:t>
      </w:r>
    </w:p>
    <w:p w14:paraId="2B93DDA6" w14:textId="09975C4B" w:rsidR="007B1B9D" w:rsidRDefault="00036749" w:rsidP="003E75F8">
      <w:pPr>
        <w:rPr>
          <w:rFonts w:ascii="Century Schoolbook" w:hAnsi="Century Schoolbook"/>
        </w:rPr>
      </w:pPr>
      <w:r>
        <w:rPr>
          <w:rFonts w:ascii="Century Schoolbook" w:hAnsi="Century Schoolbook"/>
        </w:rPr>
        <w:tab/>
      </w:r>
      <w:r w:rsidR="00D04A4C">
        <w:rPr>
          <w:rFonts w:ascii="Century Schoolbook" w:hAnsi="Century Schoolbook"/>
        </w:rPr>
        <w:t xml:space="preserve">Thus, </w:t>
      </w:r>
      <w:proofErr w:type="spellStart"/>
      <w:r w:rsidR="00D04A4C" w:rsidRPr="00D04A4C">
        <w:rPr>
          <w:rFonts w:ascii="Century Schoolbook" w:hAnsi="Century Schoolbook"/>
          <w:i/>
          <w:iCs/>
        </w:rPr>
        <w:t>Chawanakee</w:t>
      </w:r>
      <w:proofErr w:type="spellEnd"/>
      <w:r w:rsidR="00D04A4C">
        <w:rPr>
          <w:rFonts w:ascii="Century Schoolbook" w:hAnsi="Century Schoolbook"/>
        </w:rPr>
        <w:t xml:space="preserve"> </w:t>
      </w:r>
      <w:r w:rsidR="00AF7C4D">
        <w:rPr>
          <w:rFonts w:ascii="Century Schoolbook" w:hAnsi="Century Schoolbook"/>
        </w:rPr>
        <w:t xml:space="preserve">held that a project’s indirect impacts on parts of the physical environment that are not school facilities are not excused under Government Code section 65996 from being considered and mitigated </w:t>
      </w:r>
      <w:r w:rsidR="007B1B9D">
        <w:rPr>
          <w:rFonts w:ascii="Century Schoolbook" w:hAnsi="Century Schoolbook"/>
        </w:rPr>
        <w:t>in an EIR</w:t>
      </w:r>
      <w:r w:rsidR="00AF7C4D">
        <w:rPr>
          <w:rFonts w:ascii="Century Schoolbook" w:hAnsi="Century Schoolbook"/>
        </w:rPr>
        <w:t>. (</w:t>
      </w:r>
      <w:proofErr w:type="spellStart"/>
      <w:r w:rsidR="00AF7C4D" w:rsidRPr="00036749">
        <w:rPr>
          <w:rFonts w:ascii="Century Schoolbook" w:hAnsi="Century Schoolbook"/>
          <w:i/>
          <w:iCs/>
        </w:rPr>
        <w:t>Chawanakee</w:t>
      </w:r>
      <w:proofErr w:type="spellEnd"/>
      <w:r w:rsidR="00AF7C4D" w:rsidRPr="00036749">
        <w:rPr>
          <w:rFonts w:ascii="Century Schoolbook" w:hAnsi="Century Schoolbook"/>
          <w:i/>
          <w:iCs/>
        </w:rPr>
        <w:t>, supra</w:t>
      </w:r>
      <w:r w:rsidR="00AF7C4D">
        <w:rPr>
          <w:rFonts w:ascii="Century Schoolbook" w:hAnsi="Century Schoolbook"/>
        </w:rPr>
        <w:t xml:space="preserve">, 196 Cal.Appl.4th at p. 1028.) </w:t>
      </w:r>
      <w:r w:rsidR="007B1B9D">
        <w:rPr>
          <w:rFonts w:ascii="Century Schoolbook" w:hAnsi="Century Schoolbook"/>
        </w:rPr>
        <w:t>It identified</w:t>
      </w:r>
      <w:r w:rsidR="00D04A4C">
        <w:rPr>
          <w:rFonts w:ascii="Century Schoolbook" w:hAnsi="Century Schoolbook"/>
        </w:rPr>
        <w:t xml:space="preserve"> </w:t>
      </w:r>
      <w:r w:rsidR="00AF7C4D">
        <w:rPr>
          <w:rFonts w:ascii="Century Schoolbook" w:hAnsi="Century Schoolbook"/>
        </w:rPr>
        <w:t xml:space="preserve">impacts </w:t>
      </w:r>
      <w:r w:rsidR="007770FF">
        <w:rPr>
          <w:rFonts w:ascii="Century Schoolbook" w:hAnsi="Century Schoolbook"/>
        </w:rPr>
        <w:t>in that case</w:t>
      </w:r>
      <w:r w:rsidR="00580C9F">
        <w:rPr>
          <w:rFonts w:ascii="Century Schoolbook" w:hAnsi="Century Schoolbook"/>
        </w:rPr>
        <w:t>—</w:t>
      </w:r>
      <w:r w:rsidR="00AF7C4D">
        <w:rPr>
          <w:rFonts w:ascii="Century Schoolbook" w:hAnsi="Century Schoolbook"/>
        </w:rPr>
        <w:t>traffic beyond school grounds</w:t>
      </w:r>
      <w:r w:rsidR="007B1B9D">
        <w:rPr>
          <w:rFonts w:ascii="Century Schoolbook" w:hAnsi="Century Schoolbook"/>
        </w:rPr>
        <w:t xml:space="preserve"> </w:t>
      </w:r>
      <w:r w:rsidR="00AF7C4D">
        <w:rPr>
          <w:rFonts w:ascii="Century Schoolbook" w:hAnsi="Century Schoolbook"/>
        </w:rPr>
        <w:t>related to getting students to and from a school facility</w:t>
      </w:r>
      <w:r w:rsidR="007B1B9D">
        <w:rPr>
          <w:rFonts w:ascii="Century Schoolbook" w:hAnsi="Century Schoolbook"/>
        </w:rPr>
        <w:t>,</w:t>
      </w:r>
      <w:r w:rsidR="00AF7C4D">
        <w:rPr>
          <w:rFonts w:ascii="Century Schoolbook" w:hAnsi="Century Schoolbook"/>
        </w:rPr>
        <w:t xml:space="preserve"> and </w:t>
      </w:r>
      <w:r w:rsidR="00D04A4C">
        <w:rPr>
          <w:rFonts w:ascii="Century Schoolbook" w:hAnsi="Century Schoolbook"/>
        </w:rPr>
        <w:t xml:space="preserve">the </w:t>
      </w:r>
      <w:r w:rsidR="00D04A4C" w:rsidRPr="00036749">
        <w:rPr>
          <w:rFonts w:ascii="Century Schoolbook" w:hAnsi="Century Schoolbook"/>
          <w:i/>
          <w:iCs/>
        </w:rPr>
        <w:t>reasonably foreseeable</w:t>
      </w:r>
      <w:r w:rsidR="00D04A4C">
        <w:rPr>
          <w:rFonts w:ascii="Century Schoolbook" w:hAnsi="Century Schoolbook"/>
        </w:rPr>
        <w:t xml:space="preserve"> impacts </w:t>
      </w:r>
      <w:r>
        <w:rPr>
          <w:rFonts w:ascii="Century Schoolbook" w:hAnsi="Century Schoolbook"/>
        </w:rPr>
        <w:t xml:space="preserve">on the </w:t>
      </w:r>
      <w:proofErr w:type="spellStart"/>
      <w:r>
        <w:rPr>
          <w:rFonts w:ascii="Century Schoolbook" w:hAnsi="Century Schoolbook"/>
        </w:rPr>
        <w:t>non</w:t>
      </w:r>
      <w:proofErr w:type="spellEnd"/>
      <w:r w:rsidR="00391190">
        <w:rPr>
          <w:rFonts w:ascii="Century Schoolbook" w:hAnsi="Century Schoolbook"/>
        </w:rPr>
        <w:t>[</w:t>
      </w:r>
      <w:r>
        <w:rPr>
          <w:rFonts w:ascii="Century Schoolbook" w:hAnsi="Century Schoolbook"/>
        </w:rPr>
        <w:t>-</w:t>
      </w:r>
      <w:r w:rsidR="00391190">
        <w:rPr>
          <w:rFonts w:ascii="Century Schoolbook" w:hAnsi="Century Schoolbook"/>
        </w:rPr>
        <w:t>]</w:t>
      </w:r>
      <w:r>
        <w:rPr>
          <w:rFonts w:ascii="Century Schoolbook" w:hAnsi="Century Schoolbook"/>
        </w:rPr>
        <w:t xml:space="preserve">school physical environment </w:t>
      </w:r>
      <w:r w:rsidR="00D04A4C">
        <w:rPr>
          <w:rFonts w:ascii="Century Schoolbook" w:hAnsi="Century Schoolbook"/>
        </w:rPr>
        <w:t xml:space="preserve">of construction at </w:t>
      </w:r>
      <w:r w:rsidR="007B1B9D">
        <w:rPr>
          <w:rFonts w:ascii="Century Schoolbook" w:hAnsi="Century Schoolbook"/>
        </w:rPr>
        <w:t xml:space="preserve">an </w:t>
      </w:r>
      <w:r w:rsidR="00D04A4C">
        <w:rPr>
          <w:rFonts w:ascii="Century Schoolbook" w:hAnsi="Century Schoolbook"/>
        </w:rPr>
        <w:t>existing school site to accommodate increased enrollment resulting from a project</w:t>
      </w:r>
      <w:r w:rsidR="00580C9F">
        <w:rPr>
          <w:rFonts w:ascii="Century Schoolbook" w:hAnsi="Century Schoolbook"/>
        </w:rPr>
        <w:t>—</w:t>
      </w:r>
      <w:r>
        <w:rPr>
          <w:rFonts w:ascii="Century Schoolbook" w:hAnsi="Century Schoolbook"/>
        </w:rPr>
        <w:t>as impacts indirectly caused by the project that are not subject to the limitations of Government Code section 65996, subdivision (a)</w:t>
      </w:r>
      <w:r w:rsidR="007B1B9D">
        <w:rPr>
          <w:rFonts w:ascii="Century Schoolbook" w:hAnsi="Century Schoolbook"/>
        </w:rPr>
        <w:t xml:space="preserve">. Such impacts </w:t>
      </w:r>
      <w:r>
        <w:rPr>
          <w:rFonts w:ascii="Century Schoolbook" w:hAnsi="Century Schoolbook"/>
        </w:rPr>
        <w:t>therefore must be considered in an EIR. (</w:t>
      </w:r>
      <w:r w:rsidR="007B1B9D">
        <w:rPr>
          <w:rFonts w:ascii="Century Schoolbook" w:hAnsi="Century Schoolbook"/>
          <w:i/>
          <w:iCs/>
        </w:rPr>
        <w:t xml:space="preserve">Id. </w:t>
      </w:r>
      <w:r>
        <w:rPr>
          <w:rFonts w:ascii="Century Schoolbook" w:hAnsi="Century Schoolbook"/>
        </w:rPr>
        <w:t>at p. 1029.)</w:t>
      </w:r>
      <w:r w:rsidR="00D04A4C">
        <w:rPr>
          <w:rFonts w:ascii="Century Schoolbook" w:hAnsi="Century Schoolbook"/>
        </w:rPr>
        <w:t xml:space="preserve"> </w:t>
      </w:r>
    </w:p>
    <w:p w14:paraId="5D90EA48" w14:textId="77777777" w:rsidR="005C0541" w:rsidRDefault="007B1B9D" w:rsidP="002E103A">
      <w:pPr>
        <w:rPr>
          <w:rFonts w:ascii="Century Schoolbook" w:hAnsi="Century Schoolbook"/>
        </w:rPr>
      </w:pPr>
      <w:r>
        <w:rPr>
          <w:rFonts w:ascii="Century Schoolbook" w:hAnsi="Century Schoolbook"/>
        </w:rPr>
        <w:lastRenderedPageBreak/>
        <w:tab/>
        <w:t xml:space="preserve">As noted, the trial court here was careful </w:t>
      </w:r>
      <w:r w:rsidR="00CD074D">
        <w:rPr>
          <w:rFonts w:ascii="Century Schoolbook" w:hAnsi="Century Schoolbook"/>
        </w:rPr>
        <w:t xml:space="preserve">in its order and judgment </w:t>
      </w:r>
      <w:r>
        <w:rPr>
          <w:rFonts w:ascii="Century Schoolbook" w:hAnsi="Century Schoolbook"/>
        </w:rPr>
        <w:t xml:space="preserve">to </w:t>
      </w:r>
      <w:r w:rsidR="00CD074D">
        <w:rPr>
          <w:rFonts w:ascii="Century Schoolbook" w:hAnsi="Century Schoolbook"/>
        </w:rPr>
        <w:t xml:space="preserve">delineate and provide </w:t>
      </w:r>
      <w:r w:rsidR="00A50CAA">
        <w:rPr>
          <w:rFonts w:ascii="Century Schoolbook" w:hAnsi="Century Schoolbook"/>
        </w:rPr>
        <w:t xml:space="preserve">narrow </w:t>
      </w:r>
      <w:r w:rsidR="00CD074D">
        <w:rPr>
          <w:rFonts w:ascii="Century Schoolbook" w:hAnsi="Century Schoolbook"/>
        </w:rPr>
        <w:t>writ</w:t>
      </w:r>
      <w:r w:rsidR="00A50CAA">
        <w:rPr>
          <w:rFonts w:ascii="Century Schoolbook" w:hAnsi="Century Schoolbook"/>
        </w:rPr>
        <w:t xml:space="preserve"> </w:t>
      </w:r>
      <w:r w:rsidR="00CD074D">
        <w:rPr>
          <w:rFonts w:ascii="Century Schoolbook" w:hAnsi="Century Schoolbook"/>
        </w:rPr>
        <w:t xml:space="preserve">relief only as to “potential off-site environmental impacts resulting from the [Specific Plan] due to [the Districts’] presented concerns that [they] will lack sufficient funding to build the proposed new school sites identified within the [Specific Plan]. The [Final EIR] also failed to adequately respond to comments made by [the Districts] </w:t>
      </w:r>
      <w:proofErr w:type="gramStart"/>
      <w:r w:rsidR="00CD074D">
        <w:rPr>
          <w:rFonts w:ascii="Century Schoolbook" w:hAnsi="Century Schoolbook"/>
        </w:rPr>
        <w:t>with regard to</w:t>
      </w:r>
      <w:proofErr w:type="gramEnd"/>
      <w:r w:rsidR="00CD074D">
        <w:rPr>
          <w:rFonts w:ascii="Century Schoolbook" w:hAnsi="Century Schoolbook"/>
        </w:rPr>
        <w:t xml:space="preserve"> potential off-site impacts.” This followed from the court’s comments at the </w:t>
      </w:r>
      <w:r w:rsidR="00204ACA">
        <w:rPr>
          <w:rFonts w:ascii="Century Schoolbook" w:hAnsi="Century Schoolbook"/>
        </w:rPr>
        <w:t xml:space="preserve">merits hearing that the relief it was granting, under the holding of </w:t>
      </w:r>
      <w:proofErr w:type="spellStart"/>
      <w:r w:rsidR="00204ACA" w:rsidRPr="00204ACA">
        <w:rPr>
          <w:rFonts w:ascii="Century Schoolbook" w:hAnsi="Century Schoolbook"/>
          <w:i/>
          <w:iCs/>
        </w:rPr>
        <w:t>Chawanakee</w:t>
      </w:r>
      <w:proofErr w:type="spellEnd"/>
      <w:r w:rsidR="00204ACA">
        <w:rPr>
          <w:rFonts w:ascii="Century Schoolbook" w:hAnsi="Century Schoolbook"/>
        </w:rPr>
        <w:t>, was “focused on those impacts that are external to school facilities” “when existing facilities may be changed or augmented</w:t>
      </w:r>
      <w:r w:rsidR="00ED3F7A">
        <w:rPr>
          <w:rFonts w:ascii="Century Schoolbook" w:hAnsi="Century Schoolbook"/>
        </w:rPr>
        <w:t xml:space="preserve">” </w:t>
      </w:r>
      <w:r w:rsidR="00A50CAA">
        <w:rPr>
          <w:rFonts w:ascii="Century Schoolbook" w:hAnsi="Century Schoolbook"/>
        </w:rPr>
        <w:t>as alternative to</w:t>
      </w:r>
      <w:r w:rsidR="00ED3F7A">
        <w:rPr>
          <w:rFonts w:ascii="Century Schoolbook" w:hAnsi="Century Schoolbook"/>
        </w:rPr>
        <w:t xml:space="preserve"> the construction of new schools as contemplated by the Project to accommodate increased student enrollment. </w:t>
      </w:r>
      <w:r w:rsidR="007770FF">
        <w:rPr>
          <w:rFonts w:ascii="Century Schoolbook" w:hAnsi="Century Schoolbook"/>
        </w:rPr>
        <w:t xml:space="preserve">The court’s decision thus </w:t>
      </w:r>
      <w:r w:rsidR="00711EA5">
        <w:rPr>
          <w:rFonts w:ascii="Century Schoolbook" w:hAnsi="Century Schoolbook"/>
        </w:rPr>
        <w:t xml:space="preserve">complied </w:t>
      </w:r>
      <w:r w:rsidR="007770FF">
        <w:rPr>
          <w:rFonts w:ascii="Century Schoolbook" w:hAnsi="Century Schoolbook"/>
        </w:rPr>
        <w:t xml:space="preserve">with </w:t>
      </w:r>
      <w:proofErr w:type="spellStart"/>
      <w:r w:rsidR="007770FF" w:rsidRPr="007770FF">
        <w:rPr>
          <w:rFonts w:ascii="Century Schoolbook" w:hAnsi="Century Schoolbook"/>
          <w:i/>
          <w:iCs/>
        </w:rPr>
        <w:t>Chawanakee</w:t>
      </w:r>
      <w:proofErr w:type="spellEnd"/>
      <w:r w:rsidR="007770FF">
        <w:rPr>
          <w:rFonts w:ascii="Century Schoolbook" w:hAnsi="Century Schoolbook"/>
        </w:rPr>
        <w:t xml:space="preserve"> in its distinct treatment </w:t>
      </w:r>
      <w:r w:rsidR="00033406">
        <w:rPr>
          <w:rFonts w:ascii="Century Schoolbook" w:hAnsi="Century Schoolbook"/>
        </w:rPr>
        <w:t xml:space="preserve">under Government Code section 65996 </w:t>
      </w:r>
      <w:r w:rsidR="007770FF">
        <w:rPr>
          <w:rFonts w:ascii="Century Schoolbook" w:hAnsi="Century Schoolbook"/>
        </w:rPr>
        <w:t xml:space="preserve">of </w:t>
      </w:r>
      <w:r w:rsidR="005A67D2">
        <w:rPr>
          <w:rFonts w:ascii="Century Schoolbook" w:hAnsi="Century Schoolbook"/>
        </w:rPr>
        <w:t xml:space="preserve">only indirect </w:t>
      </w:r>
      <w:r w:rsidR="007770FF">
        <w:rPr>
          <w:rFonts w:ascii="Century Schoolbook" w:hAnsi="Century Schoolbook"/>
        </w:rPr>
        <w:t xml:space="preserve">environmental impacts </w:t>
      </w:r>
      <w:r w:rsidR="00905C12">
        <w:rPr>
          <w:rFonts w:ascii="Century Schoolbook" w:hAnsi="Century Schoolbook"/>
        </w:rPr>
        <w:t xml:space="preserve">on </w:t>
      </w:r>
      <w:r w:rsidR="005A67D2">
        <w:rPr>
          <w:rFonts w:ascii="Century Schoolbook" w:hAnsi="Century Schoolbook"/>
        </w:rPr>
        <w:t xml:space="preserve">parts of the physical environment that are not </w:t>
      </w:r>
      <w:r w:rsidR="007770FF">
        <w:rPr>
          <w:rFonts w:ascii="Century Schoolbook" w:hAnsi="Century Schoolbook"/>
        </w:rPr>
        <w:t>school</w:t>
      </w:r>
      <w:r w:rsidR="005A67D2">
        <w:rPr>
          <w:rFonts w:ascii="Century Schoolbook" w:hAnsi="Century Schoolbook"/>
        </w:rPr>
        <w:t xml:space="preserve"> facilities and providing writ relief to only this extent</w:t>
      </w:r>
      <w:r w:rsidR="00033406">
        <w:rPr>
          <w:rFonts w:ascii="Century Schoolbook" w:hAnsi="Century Schoolbook"/>
        </w:rPr>
        <w:t xml:space="preserve">. </w:t>
      </w:r>
      <w:proofErr w:type="spellStart"/>
      <w:r w:rsidR="00033406" w:rsidRPr="00033406">
        <w:rPr>
          <w:rFonts w:ascii="Century Schoolbook" w:hAnsi="Century Schoolbook"/>
          <w:i/>
          <w:iCs/>
        </w:rPr>
        <w:t>Chawanakee</w:t>
      </w:r>
      <w:proofErr w:type="spellEnd"/>
      <w:r w:rsidR="00033406">
        <w:rPr>
          <w:rFonts w:ascii="Century Schoolbook" w:hAnsi="Century Schoolbook"/>
        </w:rPr>
        <w:t xml:space="preserve"> is therefore not </w:t>
      </w:r>
      <w:r w:rsidR="000B139D">
        <w:rPr>
          <w:rFonts w:ascii="Century Schoolbook" w:hAnsi="Century Schoolbook"/>
        </w:rPr>
        <w:t xml:space="preserve">dispositive </w:t>
      </w:r>
      <w:r w:rsidR="00033406">
        <w:rPr>
          <w:rFonts w:ascii="Century Schoolbook" w:hAnsi="Century Schoolbook"/>
        </w:rPr>
        <w:t>authority for the finding</w:t>
      </w:r>
      <w:r w:rsidR="000B139D">
        <w:rPr>
          <w:rFonts w:ascii="Century Schoolbook" w:hAnsi="Century Schoolbook"/>
        </w:rPr>
        <w:t xml:space="preserve"> </w:t>
      </w:r>
      <w:r w:rsidR="00033406">
        <w:rPr>
          <w:rFonts w:ascii="Century Schoolbook" w:hAnsi="Century Schoolbook"/>
        </w:rPr>
        <w:t>of any error here</w:t>
      </w:r>
      <w:r w:rsidR="000B139D">
        <w:rPr>
          <w:rFonts w:ascii="Century Schoolbook" w:hAnsi="Century Schoolbook"/>
        </w:rPr>
        <w:t xml:space="preserve">, because the court’s ruling was in line with </w:t>
      </w:r>
      <w:r w:rsidR="00833CDB">
        <w:rPr>
          <w:rFonts w:ascii="Century Schoolbook" w:hAnsi="Century Schoolbook"/>
        </w:rPr>
        <w:t>the</w:t>
      </w:r>
      <w:r w:rsidR="000B139D">
        <w:rPr>
          <w:rFonts w:ascii="Century Schoolbook" w:hAnsi="Century Schoolbook"/>
        </w:rPr>
        <w:t xml:space="preserve"> distinction </w:t>
      </w:r>
      <w:r w:rsidR="00833CDB">
        <w:rPr>
          <w:rFonts w:ascii="Century Schoolbook" w:hAnsi="Century Schoolbook"/>
        </w:rPr>
        <w:t xml:space="preserve">in its holding </w:t>
      </w:r>
      <w:r w:rsidR="000B139D">
        <w:rPr>
          <w:rFonts w:ascii="Century Schoolbook" w:hAnsi="Century Schoolbook"/>
        </w:rPr>
        <w:t>between impacts “on” school facilities and those more broadly “related to” school facilities in the application of Government Code section 65996</w:t>
      </w:r>
      <w:r w:rsidR="005A67D2">
        <w:rPr>
          <w:rFonts w:ascii="Century Schoolbook" w:hAnsi="Century Schoolbook"/>
        </w:rPr>
        <w:t xml:space="preserve">. But as recognized in </w:t>
      </w:r>
      <w:proofErr w:type="spellStart"/>
      <w:r w:rsidR="005A67D2" w:rsidRPr="00033406">
        <w:rPr>
          <w:rFonts w:ascii="Century Schoolbook" w:hAnsi="Century Schoolbook"/>
          <w:i/>
          <w:iCs/>
        </w:rPr>
        <w:t>Chawanakee</w:t>
      </w:r>
      <w:proofErr w:type="spellEnd"/>
      <w:r w:rsidR="005A67D2">
        <w:rPr>
          <w:rFonts w:ascii="Century Schoolbook" w:hAnsi="Century Schoolbook"/>
        </w:rPr>
        <w:t xml:space="preserve">, </w:t>
      </w:r>
      <w:r w:rsidR="00033406">
        <w:rPr>
          <w:rFonts w:ascii="Century Schoolbook" w:hAnsi="Century Schoolbook"/>
        </w:rPr>
        <w:t xml:space="preserve">and as the trial court here observed, the impacts at issue </w:t>
      </w:r>
      <w:r w:rsidR="000B139D">
        <w:rPr>
          <w:rFonts w:ascii="Century Schoolbook" w:hAnsi="Century Schoolbook"/>
        </w:rPr>
        <w:t xml:space="preserve">still </w:t>
      </w:r>
      <w:r w:rsidR="00033406">
        <w:rPr>
          <w:rFonts w:ascii="Century Schoolbook" w:hAnsi="Century Schoolbook"/>
        </w:rPr>
        <w:t>must be “reasonably foreseeable” under CEQA to be the basis of a CEQA violation and to</w:t>
      </w:r>
      <w:r w:rsidR="00DB7795">
        <w:rPr>
          <w:rFonts w:ascii="Century Schoolbook" w:hAnsi="Century Schoolbook"/>
        </w:rPr>
        <w:t xml:space="preserve"> </w:t>
      </w:r>
      <w:r w:rsidR="00033406">
        <w:rPr>
          <w:rFonts w:ascii="Century Schoolbook" w:hAnsi="Century Schoolbook"/>
        </w:rPr>
        <w:t xml:space="preserve">be subject to judicially mandated </w:t>
      </w:r>
      <w:r w:rsidR="00833CDB">
        <w:rPr>
          <w:rFonts w:ascii="Century Schoolbook" w:hAnsi="Century Schoolbook"/>
        </w:rPr>
        <w:t xml:space="preserve">additional </w:t>
      </w:r>
      <w:r w:rsidR="00033406">
        <w:rPr>
          <w:rFonts w:ascii="Century Schoolbook" w:hAnsi="Century Schoolbook"/>
        </w:rPr>
        <w:t>consideration</w:t>
      </w:r>
      <w:r w:rsidR="00833CDB">
        <w:rPr>
          <w:rFonts w:ascii="Century Schoolbook" w:hAnsi="Century Schoolbook"/>
        </w:rPr>
        <w:t>,</w:t>
      </w:r>
      <w:r w:rsidR="00033406">
        <w:rPr>
          <w:rFonts w:ascii="Century Schoolbook" w:hAnsi="Century Schoolbook"/>
        </w:rPr>
        <w:t xml:space="preserve"> mitigation</w:t>
      </w:r>
      <w:r w:rsidR="00833CDB">
        <w:rPr>
          <w:rFonts w:ascii="Century Schoolbook" w:hAnsi="Century Schoolbook"/>
        </w:rPr>
        <w:t>, and response</w:t>
      </w:r>
      <w:r w:rsidR="00033406">
        <w:rPr>
          <w:rFonts w:ascii="Century Schoolbook" w:hAnsi="Century Schoolbook"/>
        </w:rPr>
        <w:t xml:space="preserve"> in the </w:t>
      </w:r>
      <w:r w:rsidR="00DB7795">
        <w:rPr>
          <w:rFonts w:ascii="Century Schoolbook" w:hAnsi="Century Schoolbook"/>
        </w:rPr>
        <w:t xml:space="preserve">Specific Plan EIR. </w:t>
      </w:r>
      <w:r w:rsidR="00033406">
        <w:rPr>
          <w:rFonts w:ascii="Century Schoolbook" w:hAnsi="Century Schoolbook"/>
        </w:rPr>
        <w:t xml:space="preserve">   </w:t>
      </w:r>
    </w:p>
    <w:p w14:paraId="7E3D1C8A" w14:textId="77777777" w:rsidR="005C0541" w:rsidRDefault="005C0541" w:rsidP="002E103A">
      <w:pPr>
        <w:rPr>
          <w:rFonts w:ascii="Century Schoolbook" w:hAnsi="Century Schoolbook"/>
        </w:rPr>
      </w:pPr>
    </w:p>
    <w:p w14:paraId="13F0DC84" w14:textId="77777777" w:rsidR="005C0541" w:rsidRDefault="005C0541" w:rsidP="002E103A">
      <w:pPr>
        <w:rPr>
          <w:rFonts w:ascii="Century Schoolbook" w:hAnsi="Century Schoolbook"/>
        </w:rPr>
      </w:pPr>
    </w:p>
    <w:p w14:paraId="664A5D6A" w14:textId="77777777" w:rsidR="005C0541" w:rsidRDefault="005C0541" w:rsidP="002E103A">
      <w:pPr>
        <w:rPr>
          <w:rFonts w:ascii="Century Schoolbook" w:hAnsi="Century Schoolbook"/>
        </w:rPr>
      </w:pPr>
    </w:p>
    <w:p w14:paraId="05EA39B5" w14:textId="1A4864A9" w:rsidR="00231CDE" w:rsidRPr="003E0F63" w:rsidRDefault="00033406" w:rsidP="002E103A">
      <w:pPr>
        <w:rPr>
          <w:rFonts w:ascii="Century Schoolbook" w:hAnsi="Century Schoolbook"/>
        </w:rPr>
      </w:pPr>
      <w:r>
        <w:rPr>
          <w:rFonts w:ascii="Century Schoolbook" w:hAnsi="Century Schoolbook"/>
        </w:rPr>
        <w:t xml:space="preserve">  </w:t>
      </w:r>
      <w:r w:rsidR="007770FF">
        <w:rPr>
          <w:rFonts w:ascii="Century Schoolbook" w:hAnsi="Century Schoolbook"/>
        </w:rPr>
        <w:t xml:space="preserve"> </w:t>
      </w:r>
      <w:r w:rsidR="00CD074D">
        <w:rPr>
          <w:rFonts w:ascii="Century Schoolbook" w:hAnsi="Century Schoolbook"/>
        </w:rPr>
        <w:t xml:space="preserve">  </w:t>
      </w:r>
      <w:r w:rsidR="00D04A4C">
        <w:rPr>
          <w:rFonts w:ascii="Century Schoolbook" w:hAnsi="Century Schoolbook"/>
        </w:rPr>
        <w:t xml:space="preserve">   </w:t>
      </w:r>
      <w:r w:rsidR="00904979">
        <w:rPr>
          <w:rFonts w:ascii="Century Schoolbook" w:hAnsi="Century Schoolbook"/>
        </w:rPr>
        <w:t xml:space="preserve">    </w:t>
      </w:r>
      <w:r w:rsidR="00BF1222">
        <w:rPr>
          <w:rFonts w:ascii="Century Schoolbook" w:hAnsi="Century Schoolbook"/>
        </w:rPr>
        <w:t xml:space="preserve"> </w:t>
      </w:r>
      <w:r w:rsidR="00AB2DED">
        <w:rPr>
          <w:rFonts w:ascii="Century Schoolbook" w:hAnsi="Century Schoolbook"/>
        </w:rPr>
        <w:t xml:space="preserve">  </w:t>
      </w:r>
      <w:r w:rsidR="005D0BC1">
        <w:rPr>
          <w:rFonts w:ascii="Century Schoolbook" w:hAnsi="Century Schoolbook"/>
        </w:rPr>
        <w:t xml:space="preserve"> </w:t>
      </w:r>
      <w:r w:rsidR="0047619E">
        <w:rPr>
          <w:rFonts w:ascii="Century Schoolbook" w:hAnsi="Century Schoolbook"/>
        </w:rPr>
        <w:t xml:space="preserve">  </w:t>
      </w:r>
      <w:r w:rsidR="009B7DA4">
        <w:rPr>
          <w:rFonts w:ascii="Century Schoolbook" w:hAnsi="Century Schoolbook"/>
        </w:rPr>
        <w:t xml:space="preserve">  </w:t>
      </w:r>
      <w:r w:rsidR="002E103A" w:rsidRPr="003E0F63">
        <w:rPr>
          <w:rFonts w:ascii="Century Schoolbook" w:hAnsi="Century Schoolbook"/>
        </w:rPr>
        <w:t xml:space="preserve">      </w:t>
      </w:r>
      <w:r w:rsidR="00E11FE2" w:rsidRPr="003E0F63">
        <w:rPr>
          <w:rFonts w:ascii="Century Schoolbook" w:hAnsi="Century Schoolbook"/>
        </w:rPr>
        <w:t xml:space="preserve"> </w:t>
      </w:r>
    </w:p>
    <w:p w14:paraId="5D3AEAF2" w14:textId="01A96682" w:rsidR="00AC4D51" w:rsidRDefault="00AC4D51" w:rsidP="00231CDE">
      <w:pPr>
        <w:pStyle w:val="ListParagraph"/>
        <w:numPr>
          <w:ilvl w:val="0"/>
          <w:numId w:val="13"/>
        </w:numPr>
        <w:rPr>
          <w:rFonts w:ascii="Century Schoolbook" w:hAnsi="Century Schoolbook"/>
          <w:i/>
          <w:iCs/>
        </w:rPr>
      </w:pPr>
      <w:r>
        <w:rPr>
          <w:rFonts w:ascii="Century Schoolbook" w:hAnsi="Century Schoolbook"/>
          <w:i/>
          <w:iCs/>
        </w:rPr>
        <w:lastRenderedPageBreak/>
        <w:t xml:space="preserve">The City’s </w:t>
      </w:r>
      <w:r w:rsidR="00833CDB">
        <w:rPr>
          <w:rFonts w:ascii="Century Schoolbook" w:hAnsi="Century Schoolbook"/>
          <w:i/>
          <w:iCs/>
        </w:rPr>
        <w:t xml:space="preserve">Final </w:t>
      </w:r>
      <w:r>
        <w:rPr>
          <w:rFonts w:ascii="Century Schoolbook" w:hAnsi="Century Schoolbook"/>
          <w:i/>
          <w:iCs/>
        </w:rPr>
        <w:t>EIR Complied With CEQA</w:t>
      </w:r>
    </w:p>
    <w:p w14:paraId="5C61DC33" w14:textId="4DEEAA49" w:rsidR="00AC4D51" w:rsidRPr="00AC4D51" w:rsidRDefault="00AC4D51" w:rsidP="00AC4D51">
      <w:pPr>
        <w:pStyle w:val="ListParagraph"/>
        <w:numPr>
          <w:ilvl w:val="0"/>
          <w:numId w:val="20"/>
        </w:numPr>
        <w:rPr>
          <w:rFonts w:ascii="Century Schoolbook" w:hAnsi="Century Schoolbook"/>
          <w:u w:val="single"/>
        </w:rPr>
      </w:pPr>
      <w:r w:rsidRPr="00AC4D51">
        <w:rPr>
          <w:rFonts w:ascii="Century Schoolbook" w:hAnsi="Century Schoolbook"/>
          <w:u w:val="single"/>
        </w:rPr>
        <w:t xml:space="preserve">The EIR Properly Assumed </w:t>
      </w:r>
      <w:r w:rsidR="00227D47">
        <w:rPr>
          <w:rFonts w:ascii="Century Schoolbook" w:hAnsi="Century Schoolbook"/>
          <w:u w:val="single"/>
        </w:rPr>
        <w:t xml:space="preserve">Schools Within </w:t>
      </w:r>
      <w:r w:rsidRPr="00AC4D51">
        <w:rPr>
          <w:rFonts w:ascii="Century Schoolbook" w:hAnsi="Century Schoolbook"/>
          <w:u w:val="single"/>
        </w:rPr>
        <w:t>the</w:t>
      </w:r>
      <w:r>
        <w:rPr>
          <w:rFonts w:ascii="Century Schoolbook" w:hAnsi="Century Schoolbook"/>
          <w:u w:val="single"/>
        </w:rPr>
        <w:t xml:space="preserve"> </w:t>
      </w:r>
      <w:r w:rsidRPr="00AC4D51">
        <w:rPr>
          <w:rFonts w:ascii="Century Schoolbook" w:hAnsi="Century Schoolbook"/>
          <w:u w:val="single"/>
        </w:rPr>
        <w:t>Project Would be Built</w:t>
      </w:r>
      <w:r w:rsidR="005C0541">
        <w:rPr>
          <w:rFonts w:ascii="Century Schoolbook" w:hAnsi="Century Schoolbook"/>
          <w:u w:val="single"/>
        </w:rPr>
        <w:t>,</w:t>
      </w:r>
      <w:r>
        <w:rPr>
          <w:rFonts w:ascii="Century Schoolbook" w:hAnsi="Century Schoolbook"/>
          <w:u w:val="single"/>
        </w:rPr>
        <w:t xml:space="preserve"> and Considered and Analyzed </w:t>
      </w:r>
      <w:r w:rsidR="000354C1">
        <w:rPr>
          <w:rFonts w:ascii="Century Schoolbook" w:hAnsi="Century Schoolbook"/>
          <w:u w:val="single"/>
        </w:rPr>
        <w:t>Reasonably Fores</w:t>
      </w:r>
      <w:r w:rsidR="000A5E02">
        <w:rPr>
          <w:rFonts w:ascii="Century Schoolbook" w:hAnsi="Century Schoolbook"/>
          <w:u w:val="single"/>
        </w:rPr>
        <w:t>e</w:t>
      </w:r>
      <w:r w:rsidR="000354C1">
        <w:rPr>
          <w:rFonts w:ascii="Century Schoolbook" w:hAnsi="Century Schoolbook"/>
          <w:u w:val="single"/>
        </w:rPr>
        <w:t xml:space="preserve">eable </w:t>
      </w:r>
      <w:r>
        <w:rPr>
          <w:rFonts w:ascii="Century Schoolbook" w:hAnsi="Century Schoolbook"/>
          <w:u w:val="single"/>
        </w:rPr>
        <w:t xml:space="preserve">Impacts </w:t>
      </w:r>
      <w:r w:rsidR="008F0DD1">
        <w:rPr>
          <w:rFonts w:ascii="Century Schoolbook" w:hAnsi="Century Schoolbook"/>
          <w:u w:val="single"/>
        </w:rPr>
        <w:t xml:space="preserve">on the Physical Environment </w:t>
      </w:r>
      <w:r>
        <w:rPr>
          <w:rFonts w:ascii="Century Schoolbook" w:hAnsi="Century Schoolbook"/>
          <w:u w:val="single"/>
        </w:rPr>
        <w:t>From That Assumption</w:t>
      </w:r>
    </w:p>
    <w:p w14:paraId="13C4E5BF" w14:textId="6172E5A8" w:rsidR="003E78F1" w:rsidRDefault="00AC4D51" w:rsidP="00AC4D51">
      <w:pPr>
        <w:rPr>
          <w:rFonts w:ascii="Century Schoolbook" w:hAnsi="Century Schoolbook"/>
        </w:rPr>
      </w:pPr>
      <w:r>
        <w:rPr>
          <w:rFonts w:ascii="Century Schoolbook" w:hAnsi="Century Schoolbook"/>
          <w:i/>
          <w:iCs/>
        </w:rPr>
        <w:tab/>
      </w:r>
      <w:r w:rsidR="00833CDB">
        <w:rPr>
          <w:rFonts w:ascii="Century Schoolbook" w:hAnsi="Century Schoolbook"/>
        </w:rPr>
        <w:t>I</w:t>
      </w:r>
      <w:r w:rsidR="008948C6">
        <w:rPr>
          <w:rFonts w:ascii="Century Schoolbook" w:hAnsi="Century Schoolbook"/>
        </w:rPr>
        <w:t xml:space="preserve">n drafting an EIR, a lead agency is required to assume that all phases of a project will </w:t>
      </w:r>
      <w:r w:rsidR="00227D47">
        <w:rPr>
          <w:rFonts w:ascii="Century Schoolbook" w:hAnsi="Century Schoolbook"/>
        </w:rPr>
        <w:t xml:space="preserve">eventually </w:t>
      </w:r>
      <w:r w:rsidR="008948C6">
        <w:rPr>
          <w:rFonts w:ascii="Century Schoolbook" w:hAnsi="Century Schoolbook"/>
        </w:rPr>
        <w:t>be built. (</w:t>
      </w:r>
      <w:r w:rsidR="008948C6" w:rsidRPr="008948C6">
        <w:rPr>
          <w:rFonts w:ascii="Century Schoolbook" w:hAnsi="Century Schoolbook"/>
          <w:i/>
          <w:iCs/>
        </w:rPr>
        <w:t>Environmental Council of Sacramento v. County of Sacramento</w:t>
      </w:r>
      <w:r w:rsidR="008948C6">
        <w:rPr>
          <w:rFonts w:ascii="Century Schoolbook" w:hAnsi="Century Schoolbook"/>
        </w:rPr>
        <w:t xml:space="preserve"> (2020) 45 Cal.App.5th 1020, 1030</w:t>
      </w:r>
      <w:r w:rsidR="00621FA3">
        <w:rPr>
          <w:rFonts w:ascii="Century Schoolbook" w:hAnsi="Century Schoolbook"/>
        </w:rPr>
        <w:t>, 1032</w:t>
      </w:r>
      <w:r w:rsidR="008948C6">
        <w:rPr>
          <w:rFonts w:ascii="Century Schoolbook" w:hAnsi="Century Schoolbook"/>
        </w:rPr>
        <w:t xml:space="preserve"> [project description </w:t>
      </w:r>
      <w:r w:rsidR="00621FA3">
        <w:rPr>
          <w:rFonts w:ascii="Century Schoolbook" w:hAnsi="Century Schoolbook"/>
        </w:rPr>
        <w:t xml:space="preserve">and analysis of impacts </w:t>
      </w:r>
      <w:r w:rsidR="008948C6">
        <w:rPr>
          <w:rFonts w:ascii="Century Schoolbook" w:hAnsi="Century Schoolbook"/>
        </w:rPr>
        <w:t>for a planned community with a university was sufficient because EIR not required to address speculation that the university might not be built</w:t>
      </w:r>
      <w:r w:rsidR="00621FA3">
        <w:rPr>
          <w:rFonts w:ascii="Century Schoolbook" w:hAnsi="Century Schoolbook"/>
        </w:rPr>
        <w:t xml:space="preserve"> or analyze impacts on that assumption</w:t>
      </w:r>
      <w:r w:rsidR="008948C6">
        <w:rPr>
          <w:rFonts w:ascii="Century Schoolbook" w:hAnsi="Century Schoolbook"/>
        </w:rPr>
        <w:t>]</w:t>
      </w:r>
      <w:r w:rsidR="00227D47">
        <w:rPr>
          <w:rFonts w:ascii="Century Schoolbook" w:hAnsi="Century Schoolbook"/>
        </w:rPr>
        <w:t xml:space="preserve">, citing </w:t>
      </w:r>
      <w:r w:rsidR="00227D47" w:rsidRPr="00227D47">
        <w:rPr>
          <w:rFonts w:ascii="Century Schoolbook" w:hAnsi="Century Schoolbook"/>
          <w:i/>
          <w:iCs/>
        </w:rPr>
        <w:t>Vineyard, supra</w:t>
      </w:r>
      <w:r w:rsidR="00227D47">
        <w:rPr>
          <w:rFonts w:ascii="Century Schoolbook" w:hAnsi="Century Schoolbook"/>
        </w:rPr>
        <w:t xml:space="preserve">, 40 Cal.4th at p. 431 [but reference </w:t>
      </w:r>
      <w:r w:rsidR="00BD75B6">
        <w:rPr>
          <w:rFonts w:ascii="Century Schoolbook" w:hAnsi="Century Schoolbook"/>
        </w:rPr>
        <w:t xml:space="preserve">to the </w:t>
      </w:r>
      <w:r w:rsidR="00D63D58">
        <w:rPr>
          <w:rFonts w:ascii="Century Schoolbook" w:hAnsi="Century Schoolbook"/>
        </w:rPr>
        <w:t xml:space="preserve">entire project </w:t>
      </w:r>
      <w:r w:rsidR="00BD75B6">
        <w:rPr>
          <w:rFonts w:ascii="Century Schoolbook" w:hAnsi="Century Schoolbook"/>
        </w:rPr>
        <w:t xml:space="preserve">being </w:t>
      </w:r>
      <w:r w:rsidR="00D63D58">
        <w:rPr>
          <w:rFonts w:ascii="Century Schoolbook" w:hAnsi="Century Schoolbook"/>
        </w:rPr>
        <w:t xml:space="preserve">built </w:t>
      </w:r>
      <w:r w:rsidR="00227D47">
        <w:rPr>
          <w:rFonts w:ascii="Century Schoolbook" w:hAnsi="Century Schoolbook"/>
        </w:rPr>
        <w:t>specific to water supply].)</w:t>
      </w:r>
      <w:r w:rsidR="000354C1">
        <w:rPr>
          <w:rFonts w:ascii="Century Schoolbook" w:hAnsi="Century Schoolbook"/>
        </w:rPr>
        <w:t xml:space="preserve"> </w:t>
      </w:r>
      <w:r w:rsidR="00227D47">
        <w:rPr>
          <w:rFonts w:ascii="Century Schoolbook" w:hAnsi="Century Schoolbook"/>
        </w:rPr>
        <w:t xml:space="preserve">The City here </w:t>
      </w:r>
      <w:r w:rsidR="007B000F">
        <w:rPr>
          <w:rFonts w:ascii="Century Schoolbook" w:hAnsi="Century Schoolbook"/>
        </w:rPr>
        <w:t xml:space="preserve">made that </w:t>
      </w:r>
      <w:proofErr w:type="gramStart"/>
      <w:r w:rsidR="007B000F">
        <w:rPr>
          <w:rFonts w:ascii="Century Schoolbook" w:hAnsi="Century Schoolbook"/>
        </w:rPr>
        <w:t>assumption, and</w:t>
      </w:r>
      <w:proofErr w:type="gramEnd"/>
      <w:r w:rsidR="007B000F">
        <w:rPr>
          <w:rFonts w:ascii="Century Schoolbook" w:hAnsi="Century Schoolbook"/>
        </w:rPr>
        <w:t xml:space="preserve"> </w:t>
      </w:r>
      <w:r w:rsidR="00227D47">
        <w:rPr>
          <w:rFonts w:ascii="Century Schoolbook" w:hAnsi="Century Schoolbook"/>
        </w:rPr>
        <w:t xml:space="preserve">identified </w:t>
      </w:r>
      <w:r w:rsidR="000040D0">
        <w:rPr>
          <w:rFonts w:ascii="Century Schoolbook" w:hAnsi="Century Schoolbook"/>
        </w:rPr>
        <w:t xml:space="preserve">and set aside </w:t>
      </w:r>
      <w:r w:rsidR="00227D47">
        <w:rPr>
          <w:rFonts w:ascii="Century Schoolbook" w:hAnsi="Century Schoolbook"/>
        </w:rPr>
        <w:t xml:space="preserve">new school sites within the Specific Plan to accommodate increased enrollment </w:t>
      </w:r>
      <w:r w:rsidR="00C761C4">
        <w:rPr>
          <w:rFonts w:ascii="Century Schoolbook" w:hAnsi="Century Schoolbook"/>
        </w:rPr>
        <w:t>caused by the Project</w:t>
      </w:r>
      <w:r w:rsidR="007B000F">
        <w:rPr>
          <w:rFonts w:ascii="Century Schoolbook" w:hAnsi="Century Schoolbook"/>
        </w:rPr>
        <w:t>. It also</w:t>
      </w:r>
      <w:r w:rsidR="00C761C4">
        <w:rPr>
          <w:rFonts w:ascii="Century Schoolbook" w:hAnsi="Century Schoolbook"/>
        </w:rPr>
        <w:t xml:space="preserve"> provided project-level mitigation measures </w:t>
      </w:r>
      <w:r w:rsidR="00306205">
        <w:rPr>
          <w:rFonts w:ascii="Century Schoolbook" w:hAnsi="Century Schoolbook"/>
        </w:rPr>
        <w:t xml:space="preserve">for non-school physical impacts </w:t>
      </w:r>
      <w:r w:rsidR="00C761C4">
        <w:rPr>
          <w:rFonts w:ascii="Century Schoolbook" w:hAnsi="Century Schoolbook"/>
        </w:rPr>
        <w:t xml:space="preserve">from construction of these facilities where possible, </w:t>
      </w:r>
      <w:r w:rsidR="00B71654">
        <w:rPr>
          <w:rFonts w:ascii="Century Schoolbook" w:hAnsi="Century Schoolbook"/>
        </w:rPr>
        <w:t xml:space="preserve">including to address air quality, traffic, noise, and other such issues, </w:t>
      </w:r>
      <w:r w:rsidR="00C761C4">
        <w:rPr>
          <w:rFonts w:ascii="Century Schoolbook" w:hAnsi="Century Schoolbook"/>
        </w:rPr>
        <w:t xml:space="preserve">observing that site-specific environmental review and mitigation by the Districts as lead agencies </w:t>
      </w:r>
      <w:r w:rsidR="000040D0">
        <w:rPr>
          <w:rFonts w:ascii="Century Schoolbook" w:hAnsi="Century Schoolbook"/>
        </w:rPr>
        <w:t xml:space="preserve">for each respective </w:t>
      </w:r>
      <w:r w:rsidR="00D63D58">
        <w:rPr>
          <w:rFonts w:ascii="Century Schoolbook" w:hAnsi="Century Schoolbook"/>
        </w:rPr>
        <w:t xml:space="preserve">school </w:t>
      </w:r>
      <w:r w:rsidR="000040D0">
        <w:rPr>
          <w:rFonts w:ascii="Century Schoolbook" w:hAnsi="Century Schoolbook"/>
        </w:rPr>
        <w:t xml:space="preserve">site </w:t>
      </w:r>
      <w:r w:rsidR="00C761C4">
        <w:rPr>
          <w:rFonts w:ascii="Century Schoolbook" w:hAnsi="Century Schoolbook"/>
        </w:rPr>
        <w:t xml:space="preserve">would come later as plans for these new schools developed. </w:t>
      </w:r>
      <w:r w:rsidR="000040D0">
        <w:rPr>
          <w:rFonts w:ascii="Century Schoolbook" w:hAnsi="Century Schoolbook"/>
        </w:rPr>
        <w:t>(See also § 21151.8 &amp; Guidelines, §</w:t>
      </w:r>
      <w:r w:rsidR="00C761C4">
        <w:rPr>
          <w:rFonts w:ascii="Century Schoolbook" w:hAnsi="Century Schoolbook"/>
        </w:rPr>
        <w:t xml:space="preserve"> </w:t>
      </w:r>
      <w:r w:rsidR="000040D0">
        <w:rPr>
          <w:rFonts w:ascii="Century Schoolbook" w:hAnsi="Century Schoolbook"/>
        </w:rPr>
        <w:t xml:space="preserve">15186 [special requirements for </w:t>
      </w:r>
      <w:r w:rsidR="00D63D58">
        <w:rPr>
          <w:rFonts w:ascii="Century Schoolbook" w:hAnsi="Century Schoolbook"/>
        </w:rPr>
        <w:t xml:space="preserve">districts to </w:t>
      </w:r>
      <w:r w:rsidR="000040D0">
        <w:rPr>
          <w:rFonts w:ascii="Century Schoolbook" w:hAnsi="Century Schoolbook"/>
        </w:rPr>
        <w:t xml:space="preserve">address health impacts in EIR for school facilities].) </w:t>
      </w:r>
      <w:r w:rsidR="007B000F">
        <w:rPr>
          <w:rFonts w:ascii="Century Schoolbook" w:hAnsi="Century Schoolbook"/>
        </w:rPr>
        <w:t>And the City imposed developer impact fees under Government Code section 65996 in full and complete mitigation for school impacts.</w:t>
      </w:r>
      <w:r w:rsidR="003E78F1">
        <w:rPr>
          <w:rFonts w:ascii="Century Schoolbook" w:hAnsi="Century Schoolbook"/>
        </w:rPr>
        <w:t xml:space="preserve"> </w:t>
      </w:r>
      <w:r w:rsidR="00D63D58">
        <w:rPr>
          <w:rFonts w:ascii="Century Schoolbook" w:hAnsi="Century Schoolbook"/>
        </w:rPr>
        <w:t>In these ways, t</w:t>
      </w:r>
      <w:r w:rsidR="003E78F1">
        <w:rPr>
          <w:rFonts w:ascii="Century Schoolbook" w:hAnsi="Century Schoolbook"/>
        </w:rPr>
        <w:t>he City complied with CEQA, and the Districts do not argue otherwise.</w:t>
      </w:r>
    </w:p>
    <w:p w14:paraId="23E1701C" w14:textId="2B14BC46" w:rsidR="00252EB1" w:rsidRDefault="00252EB1" w:rsidP="00AC4D51">
      <w:pPr>
        <w:rPr>
          <w:rFonts w:ascii="Century Schoolbook" w:hAnsi="Century Schoolbook"/>
        </w:rPr>
      </w:pPr>
      <w:r>
        <w:rPr>
          <w:rFonts w:ascii="Century Schoolbook" w:hAnsi="Century Schoolbook"/>
        </w:rPr>
        <w:tab/>
        <w:t>The Districts do complain that the Specific Plan and EIR do</w:t>
      </w:r>
      <w:r w:rsidR="00F51FFE">
        <w:rPr>
          <w:rFonts w:ascii="Century Schoolbook" w:hAnsi="Century Schoolbook"/>
        </w:rPr>
        <w:t>n’t</w:t>
      </w:r>
      <w:r>
        <w:rPr>
          <w:rFonts w:ascii="Century Schoolbook" w:hAnsi="Century Schoolbook"/>
        </w:rPr>
        <w:t xml:space="preserve"> require, provide for, or address phasing of the project build-out over time, instead leaving the pace of proposed development to individual landowners and market </w:t>
      </w:r>
      <w:r>
        <w:rPr>
          <w:rFonts w:ascii="Century Schoolbook" w:hAnsi="Century Schoolbook"/>
        </w:rPr>
        <w:lastRenderedPageBreak/>
        <w:t xml:space="preserve">conditions. But there is no authority requiring an EIR to phase a </w:t>
      </w:r>
      <w:r w:rsidR="008A4A39">
        <w:rPr>
          <w:rFonts w:ascii="Century Schoolbook" w:hAnsi="Century Schoolbook"/>
        </w:rPr>
        <w:t xml:space="preserve">decades-long </w:t>
      </w:r>
      <w:r>
        <w:rPr>
          <w:rFonts w:ascii="Century Schoolbook" w:hAnsi="Century Schoolbook"/>
        </w:rPr>
        <w:t xml:space="preserve">project </w:t>
      </w:r>
      <w:r w:rsidR="008A4A39">
        <w:rPr>
          <w:rFonts w:ascii="Century Schoolbook" w:hAnsi="Century Schoolbook"/>
        </w:rPr>
        <w:t>such as a land</w:t>
      </w:r>
      <w:r w:rsidR="00BD75B6">
        <w:rPr>
          <w:rFonts w:ascii="Century Schoolbook" w:hAnsi="Century Schoolbook"/>
        </w:rPr>
        <w:t>-</w:t>
      </w:r>
      <w:r w:rsidR="008A4A39">
        <w:rPr>
          <w:rFonts w:ascii="Century Schoolbook" w:hAnsi="Century Schoolbook"/>
        </w:rPr>
        <w:t xml:space="preserve">use plan </w:t>
      </w:r>
      <w:r>
        <w:rPr>
          <w:rFonts w:ascii="Century Schoolbook" w:hAnsi="Century Schoolbook"/>
        </w:rPr>
        <w:t>and CEQA does not require analysis of individual phases of projects</w:t>
      </w:r>
      <w:r w:rsidR="008A4A39">
        <w:rPr>
          <w:rFonts w:ascii="Century Schoolbook" w:hAnsi="Century Schoolbook"/>
        </w:rPr>
        <w:t>, instead requiring analysis of the whole, including with less detail when the sequence and pace of construction are largely unknown at the time the EIR is prepared</w:t>
      </w:r>
      <w:r>
        <w:rPr>
          <w:rFonts w:ascii="Century Schoolbook" w:hAnsi="Century Schoolbook"/>
        </w:rPr>
        <w:t>.</w:t>
      </w:r>
      <w:r w:rsidR="008A4A39">
        <w:rPr>
          <w:rFonts w:ascii="Century Schoolbook" w:hAnsi="Century Schoolbook"/>
        </w:rPr>
        <w:t xml:space="preserve"> (</w:t>
      </w:r>
      <w:r w:rsidR="008A4A39" w:rsidRPr="008A4A39">
        <w:rPr>
          <w:rFonts w:ascii="Century Schoolbook" w:hAnsi="Century Schoolbook"/>
          <w:i/>
          <w:iCs/>
        </w:rPr>
        <w:t>Sierra Watch v. County of Placer</w:t>
      </w:r>
      <w:r w:rsidR="008A4A39">
        <w:rPr>
          <w:rFonts w:ascii="Century Schoolbook" w:hAnsi="Century Schoolbook"/>
        </w:rPr>
        <w:t xml:space="preserve"> (2021) 69 Cal.App.5th 86, 105 </w:t>
      </w:r>
      <w:r w:rsidR="00294442">
        <w:rPr>
          <w:rFonts w:ascii="Century Schoolbook" w:hAnsi="Century Schoolbook"/>
        </w:rPr>
        <w:t>(</w:t>
      </w:r>
      <w:r w:rsidR="00294442" w:rsidRPr="00294442">
        <w:rPr>
          <w:rFonts w:ascii="Century Schoolbook" w:hAnsi="Century Schoolbook"/>
          <w:i/>
          <w:iCs/>
        </w:rPr>
        <w:t>Sierra Watch</w:t>
      </w:r>
      <w:r w:rsidR="00294442">
        <w:rPr>
          <w:rFonts w:ascii="Century Schoolbook" w:hAnsi="Century Schoolbook"/>
        </w:rPr>
        <w:t>)</w:t>
      </w:r>
      <w:r w:rsidR="00294442" w:rsidRPr="00294442">
        <w:rPr>
          <w:rFonts w:ascii="Century Schoolbook" w:hAnsi="Century Schoolbook"/>
        </w:rPr>
        <w:t xml:space="preserve"> </w:t>
      </w:r>
      <w:r w:rsidR="005C0541">
        <w:rPr>
          <w:rFonts w:ascii="Century Schoolbook" w:hAnsi="Century Schoolbook"/>
        </w:rPr>
        <w:t>[</w:t>
      </w:r>
      <w:r w:rsidR="008A4A39">
        <w:rPr>
          <w:rFonts w:ascii="Century Schoolbook" w:hAnsi="Century Schoolbook"/>
        </w:rPr>
        <w:t>lead agency need not speculate about as</w:t>
      </w:r>
      <w:r w:rsidR="005C0541">
        <w:rPr>
          <w:rFonts w:ascii="Century Schoolbook" w:hAnsi="Century Schoolbook"/>
        </w:rPr>
        <w:t xml:space="preserve"> </w:t>
      </w:r>
      <w:r w:rsidR="008A4A39">
        <w:rPr>
          <w:rFonts w:ascii="Century Schoolbook" w:hAnsi="Century Schoolbook"/>
        </w:rPr>
        <w:t xml:space="preserve">yet unknown details of project impacts and may discuss potential impacts at a level of specificity determined by the nature of the project and the rule of reason]; see Guidelines, § 15146 [degree of specificity required in EIR].) </w:t>
      </w:r>
      <w:r w:rsidR="00493B49">
        <w:rPr>
          <w:rFonts w:ascii="Century Schoolbook" w:hAnsi="Century Schoolbook"/>
        </w:rPr>
        <w:t xml:space="preserve">Further, the Districts </w:t>
      </w:r>
      <w:r w:rsidR="00580C9F">
        <w:rPr>
          <w:rFonts w:ascii="Century Schoolbook" w:hAnsi="Century Schoolbook"/>
        </w:rPr>
        <w:t xml:space="preserve">did not </w:t>
      </w:r>
      <w:r w:rsidR="00493B49">
        <w:rPr>
          <w:rFonts w:ascii="Century Schoolbook" w:hAnsi="Century Schoolbook"/>
        </w:rPr>
        <w:t>offer</w:t>
      </w:r>
      <w:r w:rsidR="00580C9F">
        <w:rPr>
          <w:rFonts w:ascii="Century Schoolbook" w:hAnsi="Century Schoolbook"/>
        </w:rPr>
        <w:t xml:space="preserve"> or</w:t>
      </w:r>
      <w:r w:rsidR="00493B49">
        <w:rPr>
          <w:rFonts w:ascii="Century Schoolbook" w:hAnsi="Century Schoolbook"/>
        </w:rPr>
        <w:t xml:space="preserve"> cite to substantial evidence </w:t>
      </w:r>
      <w:r w:rsidR="00C768EC">
        <w:rPr>
          <w:rFonts w:ascii="Century Schoolbook" w:hAnsi="Century Schoolbook"/>
        </w:rPr>
        <w:t xml:space="preserve">in the record </w:t>
      </w:r>
      <w:r w:rsidR="00493B49">
        <w:rPr>
          <w:rFonts w:ascii="Century Schoolbook" w:hAnsi="Century Schoolbook"/>
        </w:rPr>
        <w:t xml:space="preserve">that build-out of the entire Project over the estimated 20 to 30 years would not occur gradually or would not </w:t>
      </w:r>
      <w:r w:rsidR="00C768EC">
        <w:rPr>
          <w:rFonts w:ascii="Century Schoolbook" w:hAnsi="Century Schoolbook"/>
        </w:rPr>
        <w:t>naturally ramp up over time based on market or other conditions affecting development prospects.</w:t>
      </w:r>
      <w:r w:rsidR="00493B49">
        <w:rPr>
          <w:rFonts w:ascii="Century Schoolbook" w:hAnsi="Century Schoolbook"/>
        </w:rPr>
        <w:t xml:space="preserve">   </w:t>
      </w:r>
      <w:r>
        <w:rPr>
          <w:rFonts w:ascii="Century Schoolbook" w:hAnsi="Century Schoolbook"/>
        </w:rPr>
        <w:t xml:space="preserve"> </w:t>
      </w:r>
    </w:p>
    <w:p w14:paraId="0882B654" w14:textId="5F5ADF5F" w:rsidR="00B71654" w:rsidRDefault="003E78F1" w:rsidP="00AC4D51">
      <w:pPr>
        <w:rPr>
          <w:rFonts w:ascii="Century Schoolbook" w:hAnsi="Century Schoolbook"/>
        </w:rPr>
      </w:pPr>
      <w:r>
        <w:rPr>
          <w:rFonts w:ascii="Century Schoolbook" w:hAnsi="Century Schoolbook"/>
        </w:rPr>
        <w:tab/>
        <w:t xml:space="preserve">Further, </w:t>
      </w:r>
      <w:r w:rsidR="00A3588F">
        <w:rPr>
          <w:rFonts w:ascii="Century Schoolbook" w:hAnsi="Century Schoolbook"/>
        </w:rPr>
        <w:t xml:space="preserve">as argued by real parties, </w:t>
      </w:r>
      <w:r w:rsidR="008F0DD1">
        <w:rPr>
          <w:rFonts w:ascii="Century Schoolbook" w:hAnsi="Century Schoolbook"/>
        </w:rPr>
        <w:t xml:space="preserve">the required analysis of a proposed development’s impacts on increased demand for public services such as schools is limited. If a proposed development would create an increased demand for public services, </w:t>
      </w:r>
      <w:r w:rsidR="00EA0BE1">
        <w:rPr>
          <w:rFonts w:ascii="Century Schoolbook" w:hAnsi="Century Schoolbook"/>
        </w:rPr>
        <w:t xml:space="preserve">as </w:t>
      </w:r>
      <w:r w:rsidR="00B71654">
        <w:rPr>
          <w:rFonts w:ascii="Century Schoolbook" w:hAnsi="Century Schoolbook"/>
        </w:rPr>
        <w:t>the City acknowledged may happen here</w:t>
      </w:r>
      <w:r w:rsidR="00BD75B6">
        <w:rPr>
          <w:rFonts w:ascii="Century Schoolbook" w:hAnsi="Century Schoolbook"/>
        </w:rPr>
        <w:t xml:space="preserve"> with respect to schools</w:t>
      </w:r>
      <w:r w:rsidR="00EA0BE1">
        <w:rPr>
          <w:rFonts w:ascii="Century Schoolbook" w:hAnsi="Century Schoolbook"/>
        </w:rPr>
        <w:t xml:space="preserve">, </w:t>
      </w:r>
      <w:r w:rsidR="008F0DD1">
        <w:rPr>
          <w:rFonts w:ascii="Century Schoolbook" w:hAnsi="Century Schoolbook"/>
        </w:rPr>
        <w:t>then an EIR must inquire as to whether new or expanded physical facilities may be required to provide such service</w:t>
      </w:r>
      <w:r w:rsidR="00EA0BE1">
        <w:rPr>
          <w:rFonts w:ascii="Century Schoolbook" w:hAnsi="Century Schoolbook"/>
        </w:rPr>
        <w:t xml:space="preserve"> and address them if so</w:t>
      </w:r>
      <w:r w:rsidR="008F0DD1">
        <w:rPr>
          <w:rFonts w:ascii="Century Schoolbook" w:hAnsi="Century Schoolbook"/>
        </w:rPr>
        <w:t xml:space="preserve">. The impacts that must be addressed under CEQA are the physical effects of providing </w:t>
      </w:r>
      <w:r w:rsidR="00D63D58">
        <w:rPr>
          <w:rFonts w:ascii="Century Schoolbook" w:hAnsi="Century Schoolbook"/>
        </w:rPr>
        <w:t xml:space="preserve">the </w:t>
      </w:r>
      <w:r w:rsidR="008F0DD1">
        <w:rPr>
          <w:rFonts w:ascii="Century Schoolbook" w:hAnsi="Century Schoolbook"/>
        </w:rPr>
        <w:t>increased service, not any possible failure</w:t>
      </w:r>
      <w:r w:rsidR="00306205">
        <w:rPr>
          <w:rFonts w:ascii="Century Schoolbook" w:hAnsi="Century Schoolbook"/>
        </w:rPr>
        <w:t xml:space="preserve"> </w:t>
      </w:r>
      <w:r w:rsidR="008F0DD1">
        <w:rPr>
          <w:rFonts w:ascii="Century Schoolbook" w:hAnsi="Century Schoolbook"/>
        </w:rPr>
        <w:t>to provide adequate service under applicable standards</w:t>
      </w:r>
      <w:r w:rsidR="00306205">
        <w:rPr>
          <w:rFonts w:ascii="Century Schoolbook" w:hAnsi="Century Schoolbook"/>
        </w:rPr>
        <w:t xml:space="preserve"> </w:t>
      </w:r>
      <w:r w:rsidR="001F2C7B">
        <w:rPr>
          <w:rFonts w:ascii="Century Schoolbook" w:hAnsi="Century Schoolbook"/>
        </w:rPr>
        <w:t>because of</w:t>
      </w:r>
      <w:r w:rsidR="00306205">
        <w:rPr>
          <w:rFonts w:ascii="Century Schoolbook" w:hAnsi="Century Schoolbook"/>
        </w:rPr>
        <w:t xml:space="preserve"> insufficient public funding</w:t>
      </w:r>
      <w:r w:rsidR="001F2C7B">
        <w:rPr>
          <w:rFonts w:ascii="Century Schoolbook" w:hAnsi="Century Schoolbook"/>
        </w:rPr>
        <w:t xml:space="preserve"> for which the lead agency is not even responsible</w:t>
      </w:r>
      <w:r w:rsidR="008F0DD1">
        <w:rPr>
          <w:rFonts w:ascii="Century Schoolbook" w:hAnsi="Century Schoolbook"/>
        </w:rPr>
        <w:t xml:space="preserve">. (See </w:t>
      </w:r>
      <w:r w:rsidR="008F0DD1" w:rsidRPr="00EA0BE1">
        <w:rPr>
          <w:rFonts w:ascii="Century Schoolbook" w:hAnsi="Century Schoolbook"/>
          <w:i/>
          <w:iCs/>
        </w:rPr>
        <w:t>City of Hayward v. Board of Trustees of the California State University</w:t>
      </w:r>
      <w:r w:rsidR="008F0DD1">
        <w:rPr>
          <w:rFonts w:ascii="Century Schoolbook" w:hAnsi="Century Schoolbook"/>
        </w:rPr>
        <w:t xml:space="preserve"> (2015) 242 Cal.App.4th 833, 843 [lead agency not required to address need for additional fire-protection services, which itself is not an environmental impact that CEQA requires a project proponent </w:t>
      </w:r>
      <w:r w:rsidR="00EA0BE1">
        <w:rPr>
          <w:rFonts w:ascii="Century Schoolbook" w:hAnsi="Century Schoolbook"/>
        </w:rPr>
        <w:t xml:space="preserve">to mitigate]; Guidelines, § 15382 [an economic or social change by </w:t>
      </w:r>
      <w:r w:rsidR="00EA0BE1">
        <w:rPr>
          <w:rFonts w:ascii="Century Schoolbook" w:hAnsi="Century Schoolbook"/>
        </w:rPr>
        <w:lastRenderedPageBreak/>
        <w:t xml:space="preserve">itself is not considered a significant effect on the environment but a social or economic change related to a physical change may be considered in determining whether the physical change is significant]; see also </w:t>
      </w:r>
      <w:r w:rsidR="00EA0BE1" w:rsidRPr="00EA0BE1">
        <w:rPr>
          <w:rFonts w:ascii="Century Schoolbook" w:hAnsi="Century Schoolbook"/>
          <w:i/>
          <w:iCs/>
        </w:rPr>
        <w:t>Goleta, supra</w:t>
      </w:r>
      <w:r w:rsidR="00EA0BE1">
        <w:rPr>
          <w:rFonts w:ascii="Century Schoolbook" w:hAnsi="Century Schoolbook"/>
        </w:rPr>
        <w:t xml:space="preserve">, 37 Cal.App.4th at pp. 1031–1034; </w:t>
      </w:r>
      <w:proofErr w:type="spellStart"/>
      <w:r w:rsidR="00EA0BE1" w:rsidRPr="00EA0BE1">
        <w:rPr>
          <w:rFonts w:ascii="Century Schoolbook" w:hAnsi="Century Schoolbook"/>
          <w:i/>
          <w:iCs/>
        </w:rPr>
        <w:t>Chawanakee</w:t>
      </w:r>
      <w:proofErr w:type="spellEnd"/>
      <w:r w:rsidR="00EA0BE1" w:rsidRPr="00EA0BE1">
        <w:rPr>
          <w:rFonts w:ascii="Century Schoolbook" w:hAnsi="Century Schoolbook"/>
          <w:i/>
          <w:iCs/>
        </w:rPr>
        <w:t>, supra</w:t>
      </w:r>
      <w:r w:rsidR="00EA0BE1">
        <w:rPr>
          <w:rFonts w:ascii="Century Schoolbook" w:hAnsi="Century Schoolbook"/>
        </w:rPr>
        <w:t>, 196 Cal.App.4th at pp.</w:t>
      </w:r>
      <w:r w:rsidR="00EB2ABB">
        <w:rPr>
          <w:rFonts w:ascii="Century Schoolbook" w:hAnsi="Century Schoolbook"/>
        </w:rPr>
        <w:t> </w:t>
      </w:r>
      <w:r w:rsidR="00EA0BE1">
        <w:rPr>
          <w:rFonts w:ascii="Century Schoolbook" w:hAnsi="Century Schoolbook"/>
        </w:rPr>
        <w:t xml:space="preserve">1027–1028.) </w:t>
      </w:r>
    </w:p>
    <w:p w14:paraId="31031943" w14:textId="6FE26E5D" w:rsidR="00252EB1" w:rsidRDefault="00B71654" w:rsidP="00AC4D51">
      <w:pPr>
        <w:rPr>
          <w:rFonts w:ascii="Century Schoolbook" w:hAnsi="Century Schoolbook"/>
        </w:rPr>
      </w:pPr>
      <w:r>
        <w:rPr>
          <w:rFonts w:ascii="Century Schoolbook" w:hAnsi="Century Schoolbook"/>
        </w:rPr>
        <w:tab/>
      </w:r>
      <w:r w:rsidR="00306205">
        <w:rPr>
          <w:rFonts w:ascii="Century Schoolbook" w:hAnsi="Century Schoolbook"/>
        </w:rPr>
        <w:t>The City was thus not required under CEQA to provide</w:t>
      </w:r>
      <w:r w:rsidR="00F51FFE">
        <w:rPr>
          <w:rFonts w:ascii="Century Schoolbook" w:hAnsi="Century Schoolbook"/>
        </w:rPr>
        <w:t xml:space="preserve"> for</w:t>
      </w:r>
      <w:r>
        <w:rPr>
          <w:rFonts w:ascii="Century Schoolbook" w:hAnsi="Century Schoolbook"/>
        </w:rPr>
        <w:t xml:space="preserve">, </w:t>
      </w:r>
      <w:r w:rsidR="00306205">
        <w:rPr>
          <w:rFonts w:ascii="Century Schoolbook" w:hAnsi="Century Schoolbook"/>
        </w:rPr>
        <w:t>ensure</w:t>
      </w:r>
      <w:r>
        <w:rPr>
          <w:rFonts w:ascii="Century Schoolbook" w:hAnsi="Century Schoolbook"/>
        </w:rPr>
        <w:t>, or guarantee</w:t>
      </w:r>
      <w:r w:rsidR="00306205">
        <w:rPr>
          <w:rFonts w:ascii="Century Schoolbook" w:hAnsi="Century Schoolbook"/>
        </w:rPr>
        <w:t xml:space="preserve"> </w:t>
      </w:r>
      <w:r w:rsidR="00F51FFE">
        <w:rPr>
          <w:rFonts w:ascii="Century Schoolbook" w:hAnsi="Century Schoolbook"/>
        </w:rPr>
        <w:t xml:space="preserve">additional </w:t>
      </w:r>
      <w:r w:rsidR="00306205">
        <w:rPr>
          <w:rFonts w:ascii="Century Schoolbook" w:hAnsi="Century Schoolbook"/>
        </w:rPr>
        <w:t xml:space="preserve">school-funding mechanisms to build the </w:t>
      </w:r>
      <w:r w:rsidR="000879CB">
        <w:rPr>
          <w:rFonts w:ascii="Century Schoolbook" w:hAnsi="Century Schoolbook"/>
        </w:rPr>
        <w:t xml:space="preserve">contemplated </w:t>
      </w:r>
      <w:r w:rsidR="00306205">
        <w:rPr>
          <w:rFonts w:ascii="Century Schoolbook" w:hAnsi="Century Schoolbook"/>
        </w:rPr>
        <w:t>new schools beyond what the Specific Plan already pro</w:t>
      </w:r>
      <w:r>
        <w:rPr>
          <w:rFonts w:ascii="Century Schoolbook" w:hAnsi="Century Schoolbook"/>
        </w:rPr>
        <w:t>vided</w:t>
      </w:r>
      <w:r w:rsidR="00306205">
        <w:rPr>
          <w:rFonts w:ascii="Century Schoolbook" w:hAnsi="Century Schoolbook"/>
        </w:rPr>
        <w:t xml:space="preserve">, as the Districts’ early comment letters appear to </w:t>
      </w:r>
      <w:r w:rsidR="00F51FFE">
        <w:rPr>
          <w:rFonts w:ascii="Century Schoolbook" w:hAnsi="Century Schoolbook"/>
        </w:rPr>
        <w:t xml:space="preserve">have </w:t>
      </w:r>
      <w:r w:rsidR="00306205">
        <w:rPr>
          <w:rFonts w:ascii="Century Schoolbook" w:hAnsi="Century Schoolbook"/>
        </w:rPr>
        <w:t>suggest</w:t>
      </w:r>
      <w:r w:rsidR="00F51FFE">
        <w:rPr>
          <w:rFonts w:ascii="Century Schoolbook" w:hAnsi="Century Schoolbook"/>
        </w:rPr>
        <w:t>ed</w:t>
      </w:r>
      <w:r w:rsidR="00306205">
        <w:rPr>
          <w:rFonts w:ascii="Century Schoolbook" w:hAnsi="Century Schoolbook"/>
        </w:rPr>
        <w:t xml:space="preserve">. Nor was </w:t>
      </w:r>
      <w:r w:rsidR="00F51FFE">
        <w:rPr>
          <w:rFonts w:ascii="Century Schoolbook" w:hAnsi="Century Schoolbook"/>
        </w:rPr>
        <w:t>the City</w:t>
      </w:r>
      <w:r w:rsidR="00306205">
        <w:rPr>
          <w:rFonts w:ascii="Century Schoolbook" w:hAnsi="Century Schoolbook"/>
        </w:rPr>
        <w:t xml:space="preserve"> required to assume </w:t>
      </w:r>
      <w:r w:rsidR="0090275F">
        <w:rPr>
          <w:rFonts w:ascii="Century Schoolbook" w:hAnsi="Century Schoolbook"/>
        </w:rPr>
        <w:t xml:space="preserve">or resolve </w:t>
      </w:r>
      <w:r w:rsidR="00306205">
        <w:rPr>
          <w:rFonts w:ascii="Century Schoolbook" w:hAnsi="Century Schoolbook"/>
        </w:rPr>
        <w:t xml:space="preserve">a failure in </w:t>
      </w:r>
      <w:r w:rsidR="00ED6112">
        <w:rPr>
          <w:rFonts w:ascii="Century Schoolbook" w:hAnsi="Century Schoolbook"/>
        </w:rPr>
        <w:t>the provision of schools as a public service</w:t>
      </w:r>
      <w:r w:rsidR="001F2C7B">
        <w:rPr>
          <w:rFonts w:ascii="Century Schoolbook" w:hAnsi="Century Schoolbook"/>
        </w:rPr>
        <w:t xml:space="preserve"> by insufficient funding or otherwise</w:t>
      </w:r>
      <w:r w:rsidR="00ED6112">
        <w:rPr>
          <w:rFonts w:ascii="Century Schoolbook" w:hAnsi="Century Schoolbook"/>
        </w:rPr>
        <w:t>.</w:t>
      </w:r>
      <w:r w:rsidR="00306205">
        <w:rPr>
          <w:rFonts w:ascii="Century Schoolbook" w:hAnsi="Century Schoolbook"/>
        </w:rPr>
        <w:t xml:space="preserve"> </w:t>
      </w:r>
      <w:r w:rsidR="0078781F">
        <w:rPr>
          <w:rFonts w:ascii="Century Schoolbook" w:hAnsi="Century Schoolbook"/>
        </w:rPr>
        <w:t xml:space="preserve">Nor was it required to view or analyze the Districts’ suggested possible scenarios at existing school sites resulting from </w:t>
      </w:r>
      <w:r w:rsidR="001F2C7B">
        <w:rPr>
          <w:rFonts w:ascii="Century Schoolbook" w:hAnsi="Century Schoolbook"/>
        </w:rPr>
        <w:t xml:space="preserve">the assumption of </w:t>
      </w:r>
      <w:r w:rsidR="0078781F">
        <w:rPr>
          <w:rFonts w:ascii="Century Schoolbook" w:hAnsi="Century Schoolbook"/>
        </w:rPr>
        <w:t>perpetual insufficiencies in school</w:t>
      </w:r>
      <w:r w:rsidR="00BD75B6">
        <w:rPr>
          <w:rFonts w:ascii="Century Schoolbook" w:hAnsi="Century Schoolbook"/>
        </w:rPr>
        <w:t>-</w:t>
      </w:r>
      <w:r w:rsidR="0078781F">
        <w:rPr>
          <w:rFonts w:ascii="Century Schoolbook" w:hAnsi="Century Schoolbook"/>
        </w:rPr>
        <w:t>facilities funding as alternatives to the proposed Project as a whole. Under CEQA, a lead agency must describe a reasonable range of alternatives to the project or the location of a project, and this includes a “no project” alternative and those having the potential to feasibly achieve the project objectives</w:t>
      </w:r>
      <w:r w:rsidR="00832C3E">
        <w:rPr>
          <w:rFonts w:ascii="Century Schoolbook" w:hAnsi="Century Schoolbook"/>
        </w:rPr>
        <w:t xml:space="preserve"> while avoiding or substantially lessening project impacts. (Guidelines, § 15126.6.) </w:t>
      </w:r>
      <w:r w:rsidR="001F2C7B">
        <w:rPr>
          <w:rFonts w:ascii="Century Schoolbook" w:hAnsi="Century Schoolbook"/>
        </w:rPr>
        <w:t xml:space="preserve">The EIR here included discussion of such alternatives. </w:t>
      </w:r>
      <w:r w:rsidR="00832C3E">
        <w:rPr>
          <w:rFonts w:ascii="Century Schoolbook" w:hAnsi="Century Schoolbook"/>
        </w:rPr>
        <w:t xml:space="preserve">But while alternatives to the </w:t>
      </w:r>
      <w:r w:rsidR="00C5058E">
        <w:rPr>
          <w:rFonts w:ascii="Century Schoolbook" w:hAnsi="Century Schoolbook"/>
        </w:rPr>
        <w:t xml:space="preserve">proposed </w:t>
      </w:r>
      <w:r w:rsidR="00C5058E" w:rsidRPr="00C5058E">
        <w:rPr>
          <w:rFonts w:ascii="Century Schoolbook" w:hAnsi="Century Schoolbook"/>
          <w:i/>
          <w:iCs/>
        </w:rPr>
        <w:t>project</w:t>
      </w:r>
      <w:r w:rsidR="00C5058E">
        <w:rPr>
          <w:rFonts w:ascii="Century Schoolbook" w:hAnsi="Century Schoolbook"/>
        </w:rPr>
        <w:t xml:space="preserve"> must be discussed in an EIR, “that requirement is ‘applicable only to the </w:t>
      </w:r>
      <w:proofErr w:type="gramStart"/>
      <w:r w:rsidR="00C5058E">
        <w:rPr>
          <w:rFonts w:ascii="Century Schoolbook" w:hAnsi="Century Schoolbook"/>
        </w:rPr>
        <w:t>project as a whole, not</w:t>
      </w:r>
      <w:proofErr w:type="gramEnd"/>
      <w:r w:rsidR="00C5058E">
        <w:rPr>
          <w:rFonts w:ascii="Century Schoolbook" w:hAnsi="Century Schoolbook"/>
        </w:rPr>
        <w:t xml:space="preserve"> to the various facets thereof</w:t>
      </w:r>
      <w:r w:rsidR="001F2C7B">
        <w:rPr>
          <w:rFonts w:ascii="Century Schoolbook" w:hAnsi="Century Schoolbook"/>
        </w:rPr>
        <w:t>,</w:t>
      </w:r>
      <w:r w:rsidR="00C5058E">
        <w:rPr>
          <w:rFonts w:ascii="Century Schoolbook" w:hAnsi="Century Schoolbook"/>
        </w:rPr>
        <w:t xml:space="preserve">’ ” </w:t>
      </w:r>
      <w:r w:rsidR="001F2C7B">
        <w:rPr>
          <w:rFonts w:ascii="Century Schoolbook" w:hAnsi="Century Schoolbook"/>
        </w:rPr>
        <w:t xml:space="preserve">such as new schools within the context of the entire Specific Plan. </w:t>
      </w:r>
      <w:r w:rsidR="00C5058E">
        <w:rPr>
          <w:rFonts w:ascii="Century Schoolbook" w:hAnsi="Century Schoolbook"/>
        </w:rPr>
        <w:t>(</w:t>
      </w:r>
      <w:r w:rsidR="001F2C7B" w:rsidRPr="001F2C7B">
        <w:rPr>
          <w:rFonts w:ascii="Century Schoolbook" w:hAnsi="Century Schoolbook"/>
          <w:i/>
          <w:iCs/>
        </w:rPr>
        <w:t>California Native Plant Society v. City of Santa Cruz</w:t>
      </w:r>
      <w:r w:rsidR="001F2C7B">
        <w:rPr>
          <w:rFonts w:ascii="Century Schoolbook" w:hAnsi="Century Schoolbook"/>
        </w:rPr>
        <w:t xml:space="preserve"> (2009) 177 Cal.App.4th 957, 993.)</w:t>
      </w:r>
      <w:r w:rsidR="00832C3E">
        <w:rPr>
          <w:rFonts w:ascii="Century Schoolbook" w:hAnsi="Century Schoolbook"/>
        </w:rPr>
        <w:t xml:space="preserve"> </w:t>
      </w:r>
      <w:r w:rsidR="0078781F">
        <w:rPr>
          <w:rFonts w:ascii="Century Schoolbook" w:hAnsi="Century Schoolbook"/>
        </w:rPr>
        <w:t xml:space="preserve"> </w:t>
      </w:r>
    </w:p>
    <w:p w14:paraId="1C870384" w14:textId="3905BFA5" w:rsidR="00AC4D51" w:rsidRPr="000354C1" w:rsidRDefault="00252EB1" w:rsidP="00AC4D51">
      <w:pPr>
        <w:rPr>
          <w:rFonts w:ascii="Century Schoolbook" w:hAnsi="Century Schoolbook"/>
        </w:rPr>
      </w:pPr>
      <w:r>
        <w:rPr>
          <w:rFonts w:ascii="Century Schoolbook" w:hAnsi="Century Schoolbook"/>
        </w:rPr>
        <w:tab/>
      </w:r>
      <w:r w:rsidR="0078781F">
        <w:rPr>
          <w:rFonts w:ascii="Century Schoolbook" w:hAnsi="Century Schoolbook"/>
        </w:rPr>
        <w:t xml:space="preserve">  </w:t>
      </w:r>
      <w:r w:rsidR="00B776E7">
        <w:rPr>
          <w:rFonts w:ascii="Century Schoolbook" w:hAnsi="Century Schoolbook"/>
        </w:rPr>
        <w:t xml:space="preserve">These principles set </w:t>
      </w:r>
      <w:r w:rsidR="00580C9F">
        <w:rPr>
          <w:rFonts w:ascii="Century Schoolbook" w:hAnsi="Century Schoolbook"/>
        </w:rPr>
        <w:t xml:space="preserve">some </w:t>
      </w:r>
      <w:r w:rsidR="00B776E7">
        <w:rPr>
          <w:rFonts w:ascii="Century Schoolbook" w:hAnsi="Century Schoolbook"/>
        </w:rPr>
        <w:t xml:space="preserve">contours for assessing whether the Final EIR </w:t>
      </w:r>
      <w:r w:rsidR="000879CB">
        <w:rPr>
          <w:rFonts w:ascii="Century Schoolbook" w:hAnsi="Century Schoolbook"/>
        </w:rPr>
        <w:t xml:space="preserve">here </w:t>
      </w:r>
      <w:r w:rsidR="00B776E7">
        <w:rPr>
          <w:rFonts w:ascii="Century Schoolbook" w:hAnsi="Century Schoolbook"/>
        </w:rPr>
        <w:t xml:space="preserve">complied with CEQA with respect to the </w:t>
      </w:r>
      <w:r w:rsidR="008B54B0">
        <w:rPr>
          <w:rFonts w:ascii="Century Schoolbook" w:hAnsi="Century Schoolbook"/>
        </w:rPr>
        <w:t xml:space="preserve">Districts’ claimed omissions and inadequacies in the EIR as an informational document. </w:t>
      </w:r>
      <w:r w:rsidR="00B776E7">
        <w:rPr>
          <w:rFonts w:ascii="Century Schoolbook" w:hAnsi="Century Schoolbook"/>
        </w:rPr>
        <w:t xml:space="preserve"> </w:t>
      </w:r>
      <w:r w:rsidR="008F0DD1">
        <w:rPr>
          <w:rFonts w:ascii="Century Schoolbook" w:hAnsi="Century Schoolbook"/>
        </w:rPr>
        <w:t xml:space="preserve">   </w:t>
      </w:r>
      <w:r w:rsidR="007B000F">
        <w:rPr>
          <w:rFonts w:ascii="Century Schoolbook" w:hAnsi="Century Schoolbook"/>
        </w:rPr>
        <w:t xml:space="preserve"> </w:t>
      </w:r>
      <w:r w:rsidR="000040D0">
        <w:rPr>
          <w:rFonts w:ascii="Century Schoolbook" w:hAnsi="Century Schoolbook"/>
        </w:rPr>
        <w:t xml:space="preserve"> </w:t>
      </w:r>
    </w:p>
    <w:p w14:paraId="743A5215" w14:textId="7375501E" w:rsidR="00174964" w:rsidRPr="00AC4D51" w:rsidRDefault="00202145" w:rsidP="00AC4D51">
      <w:pPr>
        <w:pStyle w:val="ListParagraph"/>
        <w:numPr>
          <w:ilvl w:val="0"/>
          <w:numId w:val="20"/>
        </w:numPr>
        <w:rPr>
          <w:rFonts w:ascii="Century Schoolbook" w:hAnsi="Century Schoolbook"/>
          <w:u w:val="single"/>
        </w:rPr>
      </w:pPr>
      <w:r w:rsidRPr="00AC4D51">
        <w:rPr>
          <w:rFonts w:ascii="Century Schoolbook" w:hAnsi="Century Schoolbook"/>
          <w:u w:val="single"/>
        </w:rPr>
        <w:lastRenderedPageBreak/>
        <w:t>T</w:t>
      </w:r>
      <w:r w:rsidR="00AC6D71" w:rsidRPr="00AC4D51">
        <w:rPr>
          <w:rFonts w:ascii="Century Schoolbook" w:hAnsi="Century Schoolbook"/>
          <w:u w:val="single"/>
        </w:rPr>
        <w:t xml:space="preserve">he </w:t>
      </w:r>
      <w:r w:rsidRPr="00AC4D51">
        <w:rPr>
          <w:rFonts w:ascii="Century Schoolbook" w:hAnsi="Century Schoolbook"/>
          <w:u w:val="single"/>
        </w:rPr>
        <w:t>Information Provided by the Districts</w:t>
      </w:r>
      <w:r w:rsidR="00AC6D71" w:rsidRPr="00AC4D51">
        <w:rPr>
          <w:rFonts w:ascii="Century Schoolbook" w:hAnsi="Century Schoolbook"/>
          <w:u w:val="single"/>
        </w:rPr>
        <w:t xml:space="preserve"> </w:t>
      </w:r>
      <w:r w:rsidR="0012511A">
        <w:rPr>
          <w:rFonts w:ascii="Century Schoolbook" w:hAnsi="Century Schoolbook"/>
          <w:u w:val="single"/>
        </w:rPr>
        <w:t xml:space="preserve">Did Not Identify Reasonably Foreseeable Impacts and </w:t>
      </w:r>
      <w:r w:rsidR="00AC6D71" w:rsidRPr="00AC4D51">
        <w:rPr>
          <w:rFonts w:ascii="Century Schoolbook" w:hAnsi="Century Schoolbook"/>
          <w:u w:val="single"/>
        </w:rPr>
        <w:t xml:space="preserve">Was </w:t>
      </w:r>
      <w:r w:rsidR="00A01A0F" w:rsidRPr="00AC4D51">
        <w:rPr>
          <w:rFonts w:ascii="Century Schoolbook" w:hAnsi="Century Schoolbook"/>
          <w:u w:val="single"/>
        </w:rPr>
        <w:t xml:space="preserve">Too </w:t>
      </w:r>
      <w:r w:rsidR="00AC6D71" w:rsidRPr="00AC4D51">
        <w:rPr>
          <w:rFonts w:ascii="Century Schoolbook" w:hAnsi="Century Schoolbook"/>
          <w:u w:val="single"/>
        </w:rPr>
        <w:t>General, Uncertain, and Speculative</w:t>
      </w:r>
      <w:r w:rsidR="00A01A0F" w:rsidRPr="00AC4D51">
        <w:rPr>
          <w:rFonts w:ascii="Century Schoolbook" w:hAnsi="Century Schoolbook"/>
          <w:u w:val="single"/>
        </w:rPr>
        <w:t xml:space="preserve"> to Require Further Analysis or Response Under CEQA </w:t>
      </w:r>
      <w:r w:rsidR="00AC6D71" w:rsidRPr="00AC4D51">
        <w:rPr>
          <w:rFonts w:ascii="Century Schoolbook" w:hAnsi="Century Schoolbook"/>
          <w:u w:val="single"/>
        </w:rPr>
        <w:t xml:space="preserve"> </w:t>
      </w:r>
      <w:r w:rsidRPr="00AC4D51">
        <w:rPr>
          <w:rFonts w:ascii="Century Schoolbook" w:hAnsi="Century Schoolbook"/>
          <w:u w:val="single"/>
        </w:rPr>
        <w:t xml:space="preserve"> </w:t>
      </w:r>
      <w:r w:rsidR="002D6E3A" w:rsidRPr="00AC4D51">
        <w:rPr>
          <w:rFonts w:ascii="Century Schoolbook" w:hAnsi="Century Schoolbook"/>
          <w:u w:val="single"/>
        </w:rPr>
        <w:t xml:space="preserve">    </w:t>
      </w:r>
      <w:r w:rsidR="00BF04DE" w:rsidRPr="00AC4D51">
        <w:rPr>
          <w:rFonts w:ascii="Century Schoolbook" w:hAnsi="Century Schoolbook"/>
          <w:u w:val="single"/>
        </w:rPr>
        <w:t xml:space="preserve"> </w:t>
      </w:r>
    </w:p>
    <w:p w14:paraId="7571ABF8" w14:textId="4469D747" w:rsidR="009C461C" w:rsidRDefault="00632F81" w:rsidP="003E75F8">
      <w:pPr>
        <w:rPr>
          <w:rFonts w:ascii="Century Schoolbook" w:hAnsi="Century Schoolbook"/>
        </w:rPr>
      </w:pPr>
      <w:r>
        <w:rPr>
          <w:rFonts w:ascii="Century Schoolbook" w:hAnsi="Century Schoolbook"/>
        </w:rPr>
        <w:tab/>
      </w:r>
      <w:r w:rsidR="007E1B51">
        <w:rPr>
          <w:rFonts w:ascii="Century Schoolbook" w:hAnsi="Century Schoolbook"/>
        </w:rPr>
        <w:t xml:space="preserve">The extent of the information conveyed </w:t>
      </w:r>
      <w:r w:rsidR="00094595">
        <w:rPr>
          <w:rFonts w:ascii="Century Schoolbook" w:hAnsi="Century Schoolbook"/>
        </w:rPr>
        <w:t xml:space="preserve">and reiterated </w:t>
      </w:r>
      <w:r w:rsidR="007E1B51">
        <w:rPr>
          <w:rFonts w:ascii="Century Schoolbook" w:hAnsi="Century Schoolbook"/>
        </w:rPr>
        <w:t xml:space="preserve">by </w:t>
      </w:r>
      <w:r w:rsidR="00690C8B">
        <w:rPr>
          <w:rFonts w:ascii="Century Schoolbook" w:hAnsi="Century Schoolbook"/>
        </w:rPr>
        <w:t>totality</w:t>
      </w:r>
      <w:r w:rsidR="009C461C">
        <w:rPr>
          <w:rFonts w:ascii="Century Schoolbook" w:hAnsi="Century Schoolbook"/>
        </w:rPr>
        <w:t xml:space="preserve"> of </w:t>
      </w:r>
      <w:r w:rsidR="007E1B51">
        <w:rPr>
          <w:rFonts w:ascii="Century Schoolbook" w:hAnsi="Century Schoolbook"/>
        </w:rPr>
        <w:t xml:space="preserve">the Districts’ letters and comments about the inadequacy of the Specific Plan EIR </w:t>
      </w:r>
      <w:r w:rsidR="009C461C">
        <w:rPr>
          <w:rFonts w:ascii="Century Schoolbook" w:hAnsi="Century Schoolbook"/>
        </w:rPr>
        <w:t>can be summarized as</w:t>
      </w:r>
      <w:r w:rsidR="007E1B51">
        <w:rPr>
          <w:rFonts w:ascii="Century Schoolbook" w:hAnsi="Century Schoolbook"/>
        </w:rPr>
        <w:t xml:space="preserve">: 1) based on current funding scenarios, sufficient funding over the next two to three decades for construction of the new schools contemplated by the Project was uncertain or unlikely; 2) </w:t>
      </w:r>
      <w:r w:rsidR="0021482D">
        <w:rPr>
          <w:rFonts w:ascii="Century Schoolbook" w:hAnsi="Century Schoolbook"/>
        </w:rPr>
        <w:t xml:space="preserve">if </w:t>
      </w:r>
      <w:r w:rsidR="007E1B51">
        <w:rPr>
          <w:rFonts w:ascii="Century Schoolbook" w:hAnsi="Century Schoolbook"/>
        </w:rPr>
        <w:t xml:space="preserve">this </w:t>
      </w:r>
      <w:r w:rsidR="0021482D">
        <w:rPr>
          <w:rFonts w:ascii="Century Schoolbook" w:hAnsi="Century Schoolbook"/>
        </w:rPr>
        <w:t xml:space="preserve">assumption </w:t>
      </w:r>
      <w:r w:rsidR="0012511A">
        <w:rPr>
          <w:rFonts w:ascii="Century Schoolbook" w:hAnsi="Century Schoolbook"/>
        </w:rPr>
        <w:t>h</w:t>
      </w:r>
      <w:r w:rsidR="000879CB">
        <w:rPr>
          <w:rFonts w:ascii="Century Schoolbook" w:hAnsi="Century Schoolbook"/>
        </w:rPr>
        <w:t>olds</w:t>
      </w:r>
      <w:r w:rsidR="0012511A">
        <w:rPr>
          <w:rFonts w:ascii="Century Schoolbook" w:hAnsi="Century Schoolbook"/>
        </w:rPr>
        <w:t xml:space="preserve"> true</w:t>
      </w:r>
      <w:r w:rsidR="0021482D">
        <w:rPr>
          <w:rFonts w:ascii="Century Schoolbook" w:hAnsi="Century Schoolbook"/>
        </w:rPr>
        <w:t xml:space="preserve">, </w:t>
      </w:r>
      <w:r w:rsidR="007E1B51">
        <w:rPr>
          <w:rFonts w:ascii="Century Schoolbook" w:hAnsi="Century Schoolbook"/>
        </w:rPr>
        <w:t xml:space="preserve">the Districts may </w:t>
      </w:r>
      <w:r w:rsidR="0012511A">
        <w:rPr>
          <w:rFonts w:ascii="Century Schoolbook" w:hAnsi="Century Schoolbook"/>
        </w:rPr>
        <w:t xml:space="preserve">ultimately </w:t>
      </w:r>
      <w:r w:rsidR="007E1B51">
        <w:rPr>
          <w:rFonts w:ascii="Century Schoolbook" w:hAnsi="Century Schoolbook"/>
        </w:rPr>
        <w:t xml:space="preserve">need to instead accommodate the additional students </w:t>
      </w:r>
      <w:r w:rsidR="00F60A8C">
        <w:rPr>
          <w:rFonts w:ascii="Century Schoolbook" w:hAnsi="Century Schoolbook"/>
        </w:rPr>
        <w:t xml:space="preserve">resulting from the Project </w:t>
      </w:r>
      <w:r w:rsidR="007E1B51">
        <w:rPr>
          <w:rFonts w:ascii="Century Schoolbook" w:hAnsi="Century Schoolbook"/>
        </w:rPr>
        <w:t>through</w:t>
      </w:r>
      <w:r w:rsidR="00F60A8C">
        <w:rPr>
          <w:rFonts w:ascii="Century Schoolbook" w:hAnsi="Century Schoolbook"/>
        </w:rPr>
        <w:t xml:space="preserve"> one or more </w:t>
      </w:r>
      <w:r w:rsidR="009C461C">
        <w:rPr>
          <w:rFonts w:ascii="Century Schoolbook" w:hAnsi="Century Schoolbook"/>
        </w:rPr>
        <w:t>alternative</w:t>
      </w:r>
      <w:r w:rsidR="00F60A8C">
        <w:rPr>
          <w:rFonts w:ascii="Century Schoolbook" w:hAnsi="Century Schoolbook"/>
        </w:rPr>
        <w:t xml:space="preserve"> means</w:t>
      </w:r>
      <w:r w:rsidR="00D63D58">
        <w:rPr>
          <w:rFonts w:ascii="Century Schoolbook" w:hAnsi="Century Schoolbook"/>
        </w:rPr>
        <w:t xml:space="preserve"> </w:t>
      </w:r>
      <w:r w:rsidR="00F60A8C">
        <w:rPr>
          <w:rFonts w:ascii="Century Schoolbook" w:hAnsi="Century Schoolbook"/>
        </w:rPr>
        <w:t xml:space="preserve">such as installing portable classrooms at </w:t>
      </w:r>
      <w:r w:rsidR="00D63D58">
        <w:rPr>
          <w:rFonts w:ascii="Century Schoolbook" w:hAnsi="Century Schoolbook"/>
        </w:rPr>
        <w:t xml:space="preserve">unspecified </w:t>
      </w:r>
      <w:r w:rsidR="00F60A8C">
        <w:rPr>
          <w:rFonts w:ascii="Century Schoolbook" w:hAnsi="Century Schoolbook"/>
        </w:rPr>
        <w:t xml:space="preserve">existing sites, expanding </w:t>
      </w:r>
      <w:r w:rsidR="00D63D58">
        <w:rPr>
          <w:rFonts w:ascii="Century Schoolbook" w:hAnsi="Century Schoolbook"/>
        </w:rPr>
        <w:t xml:space="preserve">unspecified </w:t>
      </w:r>
      <w:r w:rsidR="00F60A8C">
        <w:rPr>
          <w:rFonts w:ascii="Century Schoolbook" w:hAnsi="Century Schoolbook"/>
        </w:rPr>
        <w:t>existing faci</w:t>
      </w:r>
      <w:r w:rsidR="00D63D58">
        <w:rPr>
          <w:rFonts w:ascii="Century Schoolbook" w:hAnsi="Century Schoolbook"/>
        </w:rPr>
        <w:t>li</w:t>
      </w:r>
      <w:r w:rsidR="00F60A8C">
        <w:rPr>
          <w:rFonts w:ascii="Century Schoolbook" w:hAnsi="Century Schoolbook"/>
        </w:rPr>
        <w:t xml:space="preserve">ties or constructing new facilities at those sites, providing for </w:t>
      </w:r>
      <w:r w:rsidR="0021482D">
        <w:rPr>
          <w:rFonts w:ascii="Century Schoolbook" w:hAnsi="Century Schoolbook"/>
        </w:rPr>
        <w:t xml:space="preserve">an undetermined number of </w:t>
      </w:r>
      <w:r w:rsidR="00F60A8C">
        <w:rPr>
          <w:rFonts w:ascii="Century Schoolbook" w:hAnsi="Century Schoolbook"/>
        </w:rPr>
        <w:t>inter</w:t>
      </w:r>
      <w:r w:rsidR="00094595">
        <w:rPr>
          <w:rFonts w:ascii="Century Schoolbook" w:hAnsi="Century Schoolbook"/>
        </w:rPr>
        <w:t>-</w:t>
      </w:r>
      <w:r w:rsidR="00F60A8C">
        <w:rPr>
          <w:rFonts w:ascii="Century Schoolbook" w:hAnsi="Century Schoolbook"/>
        </w:rPr>
        <w:t xml:space="preserve">district transfers, changing </w:t>
      </w:r>
      <w:r w:rsidR="00D63D58">
        <w:rPr>
          <w:rFonts w:ascii="Century Schoolbook" w:hAnsi="Century Schoolbook"/>
        </w:rPr>
        <w:t xml:space="preserve">unspecified </w:t>
      </w:r>
      <w:r w:rsidR="00F60A8C">
        <w:rPr>
          <w:rFonts w:ascii="Century Schoolbook" w:hAnsi="Century Schoolbook"/>
        </w:rPr>
        <w:t xml:space="preserve">attendance boundaries, bussing </w:t>
      </w:r>
      <w:r w:rsidR="0021482D">
        <w:rPr>
          <w:rFonts w:ascii="Century Schoolbook" w:hAnsi="Century Schoolbook"/>
        </w:rPr>
        <w:t xml:space="preserve">unidentified numbers of </w:t>
      </w:r>
      <w:r w:rsidR="00F60A8C">
        <w:rPr>
          <w:rFonts w:ascii="Century Schoolbook" w:hAnsi="Century Schoolbook"/>
        </w:rPr>
        <w:t xml:space="preserve">students to other districts, and allowing </w:t>
      </w:r>
      <w:r w:rsidR="008B54B0">
        <w:rPr>
          <w:rFonts w:ascii="Century Schoolbook" w:hAnsi="Century Schoolbook"/>
        </w:rPr>
        <w:t xml:space="preserve">an unidentified number of </w:t>
      </w:r>
      <w:r w:rsidR="00F60A8C">
        <w:rPr>
          <w:rFonts w:ascii="Century Schoolbook" w:hAnsi="Century Schoolbook"/>
        </w:rPr>
        <w:t>students to transfer to other districts;</w:t>
      </w:r>
      <w:r w:rsidR="002F4F6C">
        <w:rPr>
          <w:rStyle w:val="FootnoteReference"/>
          <w:rFonts w:ascii="Century Schoolbook" w:hAnsi="Century Schoolbook"/>
        </w:rPr>
        <w:footnoteReference w:id="13"/>
      </w:r>
      <w:r w:rsidR="00F60A8C">
        <w:rPr>
          <w:rFonts w:ascii="Century Schoolbook" w:hAnsi="Century Schoolbook"/>
        </w:rPr>
        <w:t xml:space="preserve"> and 3) these possible </w:t>
      </w:r>
      <w:r w:rsidR="00690C8B">
        <w:rPr>
          <w:rFonts w:ascii="Century Schoolbook" w:hAnsi="Century Schoolbook"/>
        </w:rPr>
        <w:t xml:space="preserve">alternative </w:t>
      </w:r>
      <w:r w:rsidR="0012511A">
        <w:rPr>
          <w:rFonts w:ascii="Century Schoolbook" w:hAnsi="Century Schoolbook"/>
        </w:rPr>
        <w:t xml:space="preserve">and varied </w:t>
      </w:r>
      <w:r w:rsidR="00F60A8C">
        <w:rPr>
          <w:rFonts w:ascii="Century Schoolbook" w:hAnsi="Century Schoolbook"/>
        </w:rPr>
        <w:t>means of accommodating additional students</w:t>
      </w:r>
      <w:r w:rsidR="008B54B0">
        <w:rPr>
          <w:rFonts w:ascii="Century Schoolbook" w:hAnsi="Century Schoolbook"/>
        </w:rPr>
        <w:t>, a responsibility of the Districts,</w:t>
      </w:r>
      <w:r w:rsidR="00F60A8C">
        <w:rPr>
          <w:rFonts w:ascii="Century Schoolbook" w:hAnsi="Century Schoolbook"/>
        </w:rPr>
        <w:t xml:space="preserve"> will </w:t>
      </w:r>
      <w:r w:rsidR="0012511A">
        <w:rPr>
          <w:rFonts w:ascii="Century Schoolbook" w:hAnsi="Century Schoolbook"/>
        </w:rPr>
        <w:t xml:space="preserve">cause </w:t>
      </w:r>
      <w:r w:rsidR="00621FA3">
        <w:rPr>
          <w:rFonts w:ascii="Century Schoolbook" w:hAnsi="Century Schoolbook"/>
        </w:rPr>
        <w:t xml:space="preserve">impacts affecting </w:t>
      </w:r>
      <w:r w:rsidR="00094595">
        <w:rPr>
          <w:rFonts w:ascii="Century Schoolbook" w:hAnsi="Century Schoolbook"/>
        </w:rPr>
        <w:t>traffic and</w:t>
      </w:r>
      <w:r w:rsidR="00F60A8C">
        <w:rPr>
          <w:rFonts w:ascii="Century Schoolbook" w:hAnsi="Century Schoolbook"/>
        </w:rPr>
        <w:t xml:space="preserve"> noise levels, air quality, loss of greenspace or play areas, and other </w:t>
      </w:r>
      <w:r w:rsidR="008B54B0">
        <w:rPr>
          <w:rFonts w:ascii="Century Schoolbook" w:hAnsi="Century Schoolbook"/>
        </w:rPr>
        <w:t xml:space="preserve">unspecified </w:t>
      </w:r>
      <w:r w:rsidR="00F60A8C">
        <w:rPr>
          <w:rFonts w:ascii="Century Schoolbook" w:hAnsi="Century Schoolbook"/>
        </w:rPr>
        <w:t xml:space="preserve">impacts at </w:t>
      </w:r>
      <w:r w:rsidR="00D63D58">
        <w:rPr>
          <w:rFonts w:ascii="Century Schoolbook" w:hAnsi="Century Schoolbook"/>
        </w:rPr>
        <w:t xml:space="preserve">unspecified </w:t>
      </w:r>
      <w:r w:rsidR="00F60A8C">
        <w:rPr>
          <w:rFonts w:ascii="Century Schoolbook" w:hAnsi="Century Schoolbook"/>
        </w:rPr>
        <w:t xml:space="preserve">existing school </w:t>
      </w:r>
      <w:r w:rsidR="008B54B0">
        <w:rPr>
          <w:rFonts w:ascii="Century Schoolbook" w:hAnsi="Century Schoolbook"/>
        </w:rPr>
        <w:t xml:space="preserve">or other district </w:t>
      </w:r>
      <w:r w:rsidR="00F60A8C">
        <w:rPr>
          <w:rFonts w:ascii="Century Schoolbook" w:hAnsi="Century Schoolbook"/>
        </w:rPr>
        <w:t>sites</w:t>
      </w:r>
      <w:r w:rsidR="008B54B0">
        <w:rPr>
          <w:rFonts w:ascii="Century Schoolbook" w:hAnsi="Century Schoolbook"/>
        </w:rPr>
        <w:t xml:space="preserve">, </w:t>
      </w:r>
      <w:r w:rsidR="0012511A">
        <w:rPr>
          <w:rFonts w:ascii="Century Schoolbook" w:hAnsi="Century Schoolbook"/>
        </w:rPr>
        <w:t xml:space="preserve">for an undetermined duration of time, </w:t>
      </w:r>
      <w:r w:rsidR="008B54B0">
        <w:rPr>
          <w:rFonts w:ascii="Century Schoolbook" w:hAnsi="Century Schoolbook"/>
        </w:rPr>
        <w:t xml:space="preserve">whether within or without </w:t>
      </w:r>
      <w:r w:rsidR="008B54B0">
        <w:rPr>
          <w:rFonts w:ascii="Century Schoolbook" w:hAnsi="Century Schoolbook"/>
        </w:rPr>
        <w:lastRenderedPageBreak/>
        <w:t>the boundaries of the Specific Plan but unspecified as to which</w:t>
      </w:r>
      <w:r w:rsidR="00F60A8C">
        <w:rPr>
          <w:rFonts w:ascii="Century Schoolbook" w:hAnsi="Century Schoolbook"/>
        </w:rPr>
        <w:t xml:space="preserve">. </w:t>
      </w:r>
      <w:r w:rsidR="000060B3">
        <w:rPr>
          <w:rFonts w:ascii="Century Schoolbook" w:hAnsi="Century Schoolbook"/>
        </w:rPr>
        <w:t>In assessing this information, w</w:t>
      </w:r>
      <w:r w:rsidR="006B627F">
        <w:rPr>
          <w:rFonts w:ascii="Century Schoolbook" w:hAnsi="Century Schoolbook"/>
        </w:rPr>
        <w:t>e note that with “respect to the production of evidence, a party</w:t>
      </w:r>
      <w:r w:rsidR="0012511A">
        <w:rPr>
          <w:rFonts w:ascii="Century Schoolbook" w:hAnsi="Century Schoolbook"/>
        </w:rPr>
        <w:t>, here the Districts,</w:t>
      </w:r>
      <w:r w:rsidR="006B627F">
        <w:rPr>
          <w:rFonts w:ascii="Century Schoolbook" w:hAnsi="Century Schoolbook"/>
        </w:rPr>
        <w:t xml:space="preserve"> that makes assertions based on actions it claims </w:t>
      </w:r>
      <w:r w:rsidR="000060B3">
        <w:rPr>
          <w:rFonts w:ascii="Century Schoolbook" w:hAnsi="Century Schoolbook"/>
        </w:rPr>
        <w:t>it will take in the future”—such as various alternative</w:t>
      </w:r>
      <w:r w:rsidR="0012511A">
        <w:rPr>
          <w:rFonts w:ascii="Century Schoolbook" w:hAnsi="Century Schoolbook"/>
        </w:rPr>
        <w:t xml:space="preserve"> measures</w:t>
      </w:r>
      <w:r w:rsidR="000060B3">
        <w:rPr>
          <w:rFonts w:ascii="Century Schoolbook" w:hAnsi="Century Schoolbook"/>
        </w:rPr>
        <w:t xml:space="preserve"> to building new schools to accommodate increased enrollment—“is in the best position to present evidence that shows its plans for that future action. [Citation.]” (</w:t>
      </w:r>
      <w:r w:rsidR="000060B3" w:rsidRPr="000060B3">
        <w:rPr>
          <w:rFonts w:ascii="Century Schoolbook" w:hAnsi="Century Schoolbook"/>
          <w:i/>
          <w:iCs/>
        </w:rPr>
        <w:t>Wal-Mart Stores, Inc. v. City of Turlock</w:t>
      </w:r>
      <w:r w:rsidR="000060B3">
        <w:rPr>
          <w:rFonts w:ascii="Century Schoolbook" w:hAnsi="Century Schoolbook"/>
        </w:rPr>
        <w:t xml:space="preserve"> (2006) 138 Cal.App.4th 273, 288 (</w:t>
      </w:r>
      <w:r w:rsidR="000060B3" w:rsidRPr="000060B3">
        <w:rPr>
          <w:rFonts w:ascii="Century Schoolbook" w:hAnsi="Century Schoolbook"/>
          <w:i/>
          <w:iCs/>
        </w:rPr>
        <w:t>Wal-Mart</w:t>
      </w:r>
      <w:r w:rsidR="000060B3">
        <w:rPr>
          <w:rFonts w:ascii="Century Schoolbook" w:hAnsi="Century Schoolbook"/>
        </w:rPr>
        <w:t>).)</w:t>
      </w:r>
      <w:r w:rsidR="006B627F">
        <w:rPr>
          <w:rFonts w:ascii="Century Schoolbook" w:hAnsi="Century Schoolbook"/>
        </w:rPr>
        <w:t xml:space="preserve"> </w:t>
      </w:r>
    </w:p>
    <w:p w14:paraId="5B0DB7FF" w14:textId="1F374FDE" w:rsidR="008D6ED0" w:rsidRDefault="009C461C" w:rsidP="003E75F8">
      <w:pPr>
        <w:rPr>
          <w:rFonts w:ascii="Century Schoolbook" w:hAnsi="Century Schoolbook"/>
        </w:rPr>
      </w:pPr>
      <w:r>
        <w:rPr>
          <w:rFonts w:ascii="Century Schoolbook" w:hAnsi="Century Schoolbook"/>
        </w:rPr>
        <w:tab/>
        <w:t xml:space="preserve">The most specific of the information provided </w:t>
      </w:r>
      <w:r w:rsidR="005349C6">
        <w:rPr>
          <w:rFonts w:ascii="Century Schoolbook" w:hAnsi="Century Schoolbook"/>
        </w:rPr>
        <w:t xml:space="preserve">by the Districts </w:t>
      </w:r>
      <w:r>
        <w:rPr>
          <w:rFonts w:ascii="Century Schoolbook" w:hAnsi="Century Schoolbook"/>
        </w:rPr>
        <w:t xml:space="preserve">concerned the </w:t>
      </w:r>
      <w:proofErr w:type="gramStart"/>
      <w:r>
        <w:rPr>
          <w:rFonts w:ascii="Century Schoolbook" w:hAnsi="Century Schoolbook"/>
        </w:rPr>
        <w:t>manner in which</w:t>
      </w:r>
      <w:proofErr w:type="gramEnd"/>
      <w:r>
        <w:rPr>
          <w:rFonts w:ascii="Century Schoolbook" w:hAnsi="Century Schoolbook"/>
        </w:rPr>
        <w:t xml:space="preserve"> school-facilities funding is </w:t>
      </w:r>
      <w:r w:rsidRPr="00690C8B">
        <w:rPr>
          <w:rFonts w:ascii="Century Schoolbook" w:hAnsi="Century Schoolbook"/>
          <w:i/>
          <w:iCs/>
        </w:rPr>
        <w:t>currently</w:t>
      </w:r>
      <w:r>
        <w:rPr>
          <w:rFonts w:ascii="Century Schoolbook" w:hAnsi="Century Schoolbook"/>
        </w:rPr>
        <w:t xml:space="preserve"> generated</w:t>
      </w:r>
      <w:r w:rsidR="00B776E7">
        <w:rPr>
          <w:rFonts w:ascii="Century Schoolbook" w:hAnsi="Century Schoolbook"/>
        </w:rPr>
        <w:t xml:space="preserve"> or sourced</w:t>
      </w:r>
      <w:r>
        <w:rPr>
          <w:rFonts w:ascii="Century Schoolbook" w:hAnsi="Century Schoolbook"/>
        </w:rPr>
        <w:t xml:space="preserve"> and </w:t>
      </w:r>
      <w:r w:rsidR="0021482D">
        <w:rPr>
          <w:rFonts w:ascii="Century Schoolbook" w:hAnsi="Century Schoolbook"/>
        </w:rPr>
        <w:t xml:space="preserve">the fact </w:t>
      </w:r>
      <w:r>
        <w:rPr>
          <w:rFonts w:ascii="Century Schoolbook" w:hAnsi="Century Schoolbook"/>
        </w:rPr>
        <w:t xml:space="preserve">that </w:t>
      </w:r>
      <w:r w:rsidR="0021482D">
        <w:rPr>
          <w:rFonts w:ascii="Century Schoolbook" w:hAnsi="Century Schoolbook"/>
        </w:rPr>
        <w:t xml:space="preserve">funding is </w:t>
      </w:r>
      <w:r w:rsidR="00690C8B">
        <w:rPr>
          <w:rFonts w:ascii="Century Schoolbook" w:hAnsi="Century Schoolbook"/>
        </w:rPr>
        <w:t>now</w:t>
      </w:r>
      <w:r>
        <w:rPr>
          <w:rFonts w:ascii="Century Schoolbook" w:hAnsi="Century Schoolbook"/>
        </w:rPr>
        <w:t xml:space="preserve"> in</w:t>
      </w:r>
      <w:r w:rsidR="00496591">
        <w:rPr>
          <w:rFonts w:ascii="Century Schoolbook" w:hAnsi="Century Schoolbook"/>
        </w:rPr>
        <w:t>sufficient</w:t>
      </w:r>
      <w:r>
        <w:rPr>
          <w:rFonts w:ascii="Century Schoolbook" w:hAnsi="Century Schoolbook"/>
        </w:rPr>
        <w:t xml:space="preserve"> </w:t>
      </w:r>
      <w:r w:rsidR="005349C6">
        <w:rPr>
          <w:rFonts w:ascii="Century Schoolbook" w:hAnsi="Century Schoolbook"/>
        </w:rPr>
        <w:t xml:space="preserve">for them </w:t>
      </w:r>
      <w:r>
        <w:rPr>
          <w:rFonts w:ascii="Century Schoolbook" w:hAnsi="Century Schoolbook"/>
        </w:rPr>
        <w:t xml:space="preserve">to build new schools. </w:t>
      </w:r>
      <w:r w:rsidR="00D63D58">
        <w:rPr>
          <w:rFonts w:ascii="Century Schoolbook" w:hAnsi="Century Schoolbook"/>
        </w:rPr>
        <w:t>The</w:t>
      </w:r>
      <w:r>
        <w:rPr>
          <w:rFonts w:ascii="Century Schoolbook" w:hAnsi="Century Schoolbook"/>
        </w:rPr>
        <w:t xml:space="preserve"> range of one or more possible alternative means </w:t>
      </w:r>
      <w:r w:rsidR="00471392">
        <w:rPr>
          <w:rFonts w:ascii="Century Schoolbook" w:hAnsi="Century Schoolbook"/>
        </w:rPr>
        <w:t>by which</w:t>
      </w:r>
      <w:r w:rsidR="005349C6">
        <w:rPr>
          <w:rFonts w:ascii="Century Schoolbook" w:hAnsi="Century Schoolbook"/>
        </w:rPr>
        <w:t xml:space="preserve"> the Districts </w:t>
      </w:r>
      <w:r w:rsidR="00471392">
        <w:rPr>
          <w:rFonts w:ascii="Century Schoolbook" w:hAnsi="Century Schoolbook"/>
        </w:rPr>
        <w:t>might</w:t>
      </w:r>
      <w:r>
        <w:rPr>
          <w:rFonts w:ascii="Century Schoolbook" w:hAnsi="Century Schoolbook"/>
        </w:rPr>
        <w:t xml:space="preserve"> accommodat</w:t>
      </w:r>
      <w:r w:rsidR="00471392">
        <w:rPr>
          <w:rFonts w:ascii="Century Schoolbook" w:hAnsi="Century Schoolbook"/>
        </w:rPr>
        <w:t>e</w:t>
      </w:r>
      <w:r>
        <w:rPr>
          <w:rFonts w:ascii="Century Schoolbook" w:hAnsi="Century Schoolbook"/>
        </w:rPr>
        <w:t xml:space="preserve"> students at </w:t>
      </w:r>
      <w:r w:rsidR="00D63D58">
        <w:rPr>
          <w:rFonts w:ascii="Century Schoolbook" w:hAnsi="Century Schoolbook"/>
        </w:rPr>
        <w:t xml:space="preserve">unspecified </w:t>
      </w:r>
      <w:r>
        <w:rPr>
          <w:rFonts w:ascii="Century Schoolbook" w:hAnsi="Century Schoolbook"/>
        </w:rPr>
        <w:t>existing sites or in other districts was given</w:t>
      </w:r>
      <w:r w:rsidR="00690C8B">
        <w:rPr>
          <w:rFonts w:ascii="Century Schoolbook" w:hAnsi="Century Schoolbook"/>
        </w:rPr>
        <w:t xml:space="preserve"> based on the assumption of a perpetual state of insufficient facilities funding</w:t>
      </w:r>
      <w:r w:rsidR="00D63D58">
        <w:rPr>
          <w:rFonts w:ascii="Century Schoolbook" w:hAnsi="Century Schoolbook"/>
        </w:rPr>
        <w:t xml:space="preserve"> </w:t>
      </w:r>
      <w:r w:rsidR="008B54B0">
        <w:rPr>
          <w:rFonts w:ascii="Century Schoolbook" w:hAnsi="Century Schoolbook"/>
        </w:rPr>
        <w:t xml:space="preserve">for </w:t>
      </w:r>
      <w:r w:rsidR="00D63D58">
        <w:rPr>
          <w:rFonts w:ascii="Century Schoolbook" w:hAnsi="Century Schoolbook"/>
        </w:rPr>
        <w:t>decades into the future</w:t>
      </w:r>
      <w:r w:rsidR="008B54B0">
        <w:rPr>
          <w:rFonts w:ascii="Century Schoolbook" w:hAnsi="Century Schoolbook"/>
        </w:rPr>
        <w:t>. B</w:t>
      </w:r>
      <w:r>
        <w:rPr>
          <w:rFonts w:ascii="Century Schoolbook" w:hAnsi="Century Schoolbook"/>
        </w:rPr>
        <w:t xml:space="preserve">ut </w:t>
      </w:r>
      <w:r w:rsidR="005F58C3">
        <w:rPr>
          <w:rFonts w:ascii="Century Schoolbook" w:hAnsi="Century Schoolbook"/>
        </w:rPr>
        <w:t>the information</w:t>
      </w:r>
      <w:r w:rsidR="008B54B0">
        <w:rPr>
          <w:rFonts w:ascii="Century Schoolbook" w:hAnsi="Century Schoolbook"/>
        </w:rPr>
        <w:t xml:space="preserve"> was </w:t>
      </w:r>
      <w:r>
        <w:rPr>
          <w:rFonts w:ascii="Century Schoolbook" w:hAnsi="Century Schoolbook"/>
        </w:rPr>
        <w:t xml:space="preserve">not </w:t>
      </w:r>
      <w:r w:rsidR="0012511A">
        <w:rPr>
          <w:rFonts w:ascii="Century Schoolbook" w:hAnsi="Century Schoolbook"/>
        </w:rPr>
        <w:t xml:space="preserve">provided </w:t>
      </w:r>
      <w:r>
        <w:rPr>
          <w:rFonts w:ascii="Century Schoolbook" w:hAnsi="Century Schoolbook"/>
        </w:rPr>
        <w:t xml:space="preserve">with any site specificity, preferences or priorities among the alternatives given, </w:t>
      </w:r>
      <w:r w:rsidR="005349C6">
        <w:rPr>
          <w:rFonts w:ascii="Century Schoolbook" w:hAnsi="Century Schoolbook"/>
        </w:rPr>
        <w:t xml:space="preserve">the </w:t>
      </w:r>
      <w:r w:rsidR="00D63D58">
        <w:rPr>
          <w:rFonts w:ascii="Century Schoolbook" w:hAnsi="Century Schoolbook"/>
        </w:rPr>
        <w:t xml:space="preserve">expected </w:t>
      </w:r>
      <w:r w:rsidR="005349C6">
        <w:rPr>
          <w:rFonts w:ascii="Century Schoolbook" w:hAnsi="Century Schoolbook"/>
        </w:rPr>
        <w:t xml:space="preserve">tolerances of each option, </w:t>
      </w:r>
      <w:r w:rsidR="00496591">
        <w:rPr>
          <w:rFonts w:ascii="Century Schoolbook" w:hAnsi="Century Schoolbook"/>
        </w:rPr>
        <w:t xml:space="preserve">their timing, </w:t>
      </w:r>
      <w:r>
        <w:rPr>
          <w:rFonts w:ascii="Century Schoolbook" w:hAnsi="Century Schoolbook"/>
        </w:rPr>
        <w:t xml:space="preserve">or any other details. </w:t>
      </w:r>
      <w:r w:rsidR="005349C6">
        <w:rPr>
          <w:rFonts w:ascii="Century Schoolbook" w:hAnsi="Century Schoolbook"/>
        </w:rPr>
        <w:t xml:space="preserve">These options that the Districts might take </w:t>
      </w:r>
      <w:r w:rsidR="00471392">
        <w:rPr>
          <w:rFonts w:ascii="Century Schoolbook" w:hAnsi="Century Schoolbook"/>
        </w:rPr>
        <w:t xml:space="preserve">at some future </w:t>
      </w:r>
      <w:r w:rsidR="008B54B0">
        <w:rPr>
          <w:rFonts w:ascii="Century Schoolbook" w:hAnsi="Century Schoolbook"/>
        </w:rPr>
        <w:t xml:space="preserve">unidentified </w:t>
      </w:r>
      <w:r w:rsidR="00471392">
        <w:rPr>
          <w:rFonts w:ascii="Century Schoolbook" w:hAnsi="Century Schoolbook"/>
        </w:rPr>
        <w:t xml:space="preserve">point </w:t>
      </w:r>
      <w:r w:rsidR="00496591">
        <w:rPr>
          <w:rFonts w:ascii="Century Schoolbook" w:hAnsi="Century Schoolbook"/>
        </w:rPr>
        <w:t xml:space="preserve">or points </w:t>
      </w:r>
      <w:r w:rsidR="005349C6">
        <w:rPr>
          <w:rFonts w:ascii="Century Schoolbook" w:hAnsi="Century Schoolbook"/>
        </w:rPr>
        <w:t xml:space="preserve">were predicted to generally result in several indirect impacts </w:t>
      </w:r>
      <w:r w:rsidR="00471392">
        <w:rPr>
          <w:rFonts w:ascii="Century Schoolbook" w:hAnsi="Century Schoolbook"/>
        </w:rPr>
        <w:t xml:space="preserve">to the </w:t>
      </w:r>
      <w:r w:rsidR="00496591">
        <w:rPr>
          <w:rFonts w:ascii="Century Schoolbook" w:hAnsi="Century Schoolbook"/>
        </w:rPr>
        <w:t xml:space="preserve">physical </w:t>
      </w:r>
      <w:r w:rsidR="00471392">
        <w:rPr>
          <w:rFonts w:ascii="Century Schoolbook" w:hAnsi="Century Schoolbook"/>
        </w:rPr>
        <w:t xml:space="preserve">environment </w:t>
      </w:r>
      <w:r w:rsidR="005349C6">
        <w:rPr>
          <w:rFonts w:ascii="Century Schoolbook" w:hAnsi="Century Schoolbook"/>
        </w:rPr>
        <w:t xml:space="preserve">outside </w:t>
      </w:r>
      <w:r w:rsidR="00690C8B">
        <w:rPr>
          <w:rFonts w:ascii="Century Schoolbook" w:hAnsi="Century Schoolbook"/>
        </w:rPr>
        <w:t xml:space="preserve">existing </w:t>
      </w:r>
      <w:r w:rsidR="005349C6">
        <w:rPr>
          <w:rFonts w:ascii="Century Schoolbook" w:hAnsi="Century Schoolbook"/>
        </w:rPr>
        <w:t>facilities</w:t>
      </w:r>
      <w:r w:rsidR="008B54B0">
        <w:rPr>
          <w:rFonts w:ascii="Century Schoolbook" w:hAnsi="Century Schoolbook"/>
        </w:rPr>
        <w:t>, whether within or without the Specific Plan boundaries</w:t>
      </w:r>
      <w:r w:rsidR="005349C6">
        <w:rPr>
          <w:rFonts w:ascii="Century Schoolbook" w:hAnsi="Century Schoolbook"/>
        </w:rPr>
        <w:t xml:space="preserve">. </w:t>
      </w:r>
    </w:p>
    <w:p w14:paraId="0068ABFA" w14:textId="1849AB50" w:rsidR="00CF14B9" w:rsidRDefault="008D6ED0" w:rsidP="003E75F8">
      <w:pPr>
        <w:rPr>
          <w:rFonts w:ascii="Century Schoolbook" w:hAnsi="Century Schoolbook"/>
        </w:rPr>
      </w:pPr>
      <w:r>
        <w:rPr>
          <w:rFonts w:ascii="Century Schoolbook" w:hAnsi="Century Schoolbook"/>
        </w:rPr>
        <w:tab/>
      </w:r>
      <w:r w:rsidR="00B46F38">
        <w:rPr>
          <w:rFonts w:ascii="Century Schoolbook" w:hAnsi="Century Schoolbook"/>
        </w:rPr>
        <w:t>R</w:t>
      </w:r>
      <w:r>
        <w:rPr>
          <w:rFonts w:ascii="Century Schoolbook" w:hAnsi="Century Schoolbook"/>
        </w:rPr>
        <w:t xml:space="preserve">eal parties characterize </w:t>
      </w:r>
      <w:r w:rsidR="0021482D">
        <w:rPr>
          <w:rFonts w:ascii="Century Schoolbook" w:hAnsi="Century Schoolbook"/>
        </w:rPr>
        <w:t xml:space="preserve">the information provided by the Districts </w:t>
      </w:r>
      <w:r>
        <w:rPr>
          <w:rFonts w:ascii="Century Schoolbook" w:hAnsi="Century Schoolbook"/>
        </w:rPr>
        <w:t xml:space="preserve">as pure speculation </w:t>
      </w:r>
      <w:r w:rsidR="002568E7">
        <w:rPr>
          <w:rFonts w:ascii="Century Schoolbook" w:hAnsi="Century Schoolbook"/>
        </w:rPr>
        <w:t xml:space="preserve">based on uncertainty and vague generalities </w:t>
      </w:r>
      <w:r>
        <w:rPr>
          <w:rFonts w:ascii="Century Schoolbook" w:hAnsi="Century Schoolbook"/>
        </w:rPr>
        <w:t>not requiring further consideration or response by the City under CEQA</w:t>
      </w:r>
      <w:r w:rsidR="0012511A">
        <w:rPr>
          <w:rFonts w:ascii="Century Schoolbook" w:hAnsi="Century Schoolbook"/>
        </w:rPr>
        <w:t xml:space="preserve">, other than the conclusion of speculation with an explanation as to why, as the City </w:t>
      </w:r>
      <w:r w:rsidR="005F58C3">
        <w:rPr>
          <w:rFonts w:ascii="Century Schoolbook" w:hAnsi="Century Schoolbook"/>
        </w:rPr>
        <w:t xml:space="preserve">did </w:t>
      </w:r>
      <w:r w:rsidR="0012511A">
        <w:rPr>
          <w:rFonts w:ascii="Century Schoolbook" w:hAnsi="Century Schoolbook"/>
        </w:rPr>
        <w:t xml:space="preserve">provide in </w:t>
      </w:r>
      <w:r w:rsidR="00C768EC">
        <w:rPr>
          <w:rFonts w:ascii="Century Schoolbook" w:hAnsi="Century Schoolbook"/>
        </w:rPr>
        <w:t>t</w:t>
      </w:r>
      <w:r w:rsidR="0012511A">
        <w:rPr>
          <w:rFonts w:ascii="Century Schoolbook" w:hAnsi="Century Schoolbook"/>
        </w:rPr>
        <w:t>he Final EIR in its response to the Districts’ public comments</w:t>
      </w:r>
      <w:r w:rsidR="00A23312">
        <w:rPr>
          <w:rFonts w:ascii="Century Schoolbook" w:hAnsi="Century Schoolbook"/>
        </w:rPr>
        <w:t xml:space="preserve">. </w:t>
      </w:r>
      <w:r w:rsidR="00C768EC">
        <w:rPr>
          <w:rFonts w:ascii="Century Schoolbook" w:hAnsi="Century Schoolbook"/>
        </w:rPr>
        <w:t>Real parties</w:t>
      </w:r>
      <w:r w:rsidR="00A23312">
        <w:rPr>
          <w:rFonts w:ascii="Century Schoolbook" w:hAnsi="Century Schoolbook"/>
        </w:rPr>
        <w:t xml:space="preserve"> urge</w:t>
      </w:r>
      <w:r w:rsidR="002568E7">
        <w:rPr>
          <w:rFonts w:ascii="Century Schoolbook" w:hAnsi="Century Schoolbook"/>
        </w:rPr>
        <w:t xml:space="preserve"> that the trial court erred in concluding otherwise and ordering further </w:t>
      </w:r>
      <w:r w:rsidR="00A23312">
        <w:rPr>
          <w:rFonts w:ascii="Century Schoolbook" w:hAnsi="Century Schoolbook"/>
        </w:rPr>
        <w:lastRenderedPageBreak/>
        <w:t xml:space="preserve">generalized </w:t>
      </w:r>
      <w:r w:rsidR="002568E7">
        <w:rPr>
          <w:rFonts w:ascii="Century Schoolbook" w:hAnsi="Century Schoolbook"/>
        </w:rPr>
        <w:t xml:space="preserve">discussion and response </w:t>
      </w:r>
      <w:r w:rsidR="00F34172">
        <w:rPr>
          <w:rFonts w:ascii="Century Schoolbook" w:hAnsi="Century Schoolbook"/>
        </w:rPr>
        <w:t xml:space="preserve">by the City </w:t>
      </w:r>
      <w:r w:rsidR="002568E7">
        <w:rPr>
          <w:rFonts w:ascii="Century Schoolbook" w:hAnsi="Century Schoolbook"/>
        </w:rPr>
        <w:t xml:space="preserve">based on the </w:t>
      </w:r>
      <w:r w:rsidR="00F34172">
        <w:rPr>
          <w:rFonts w:ascii="Century Schoolbook" w:hAnsi="Century Schoolbook"/>
        </w:rPr>
        <w:t>Districts’ expressed concerns</w:t>
      </w:r>
      <w:r w:rsidR="00A23312">
        <w:rPr>
          <w:rFonts w:ascii="Century Schoolbook" w:hAnsi="Century Schoolbook"/>
        </w:rPr>
        <w:t>, which discussion could only be less than meaningful, given the type and quality of the information the Districts provided</w:t>
      </w:r>
      <w:r w:rsidR="00F34172">
        <w:rPr>
          <w:rFonts w:ascii="Century Schoolbook" w:hAnsi="Century Schoolbook"/>
        </w:rPr>
        <w:t>.</w:t>
      </w:r>
      <w:r w:rsidR="0021482D">
        <w:rPr>
          <w:rFonts w:ascii="Century Schoolbook" w:hAnsi="Century Schoolbook"/>
        </w:rPr>
        <w:t xml:space="preserve"> </w:t>
      </w:r>
      <w:r w:rsidR="002568E7">
        <w:rPr>
          <w:rFonts w:ascii="Century Schoolbook" w:hAnsi="Century Schoolbook"/>
        </w:rPr>
        <w:t>We conclude that this position has merit.</w:t>
      </w:r>
      <w:r w:rsidR="007E1B51">
        <w:rPr>
          <w:rFonts w:ascii="Century Schoolbook" w:hAnsi="Century Schoolbook"/>
        </w:rPr>
        <w:t xml:space="preserve"> </w:t>
      </w:r>
    </w:p>
    <w:p w14:paraId="520280FA" w14:textId="473E966F" w:rsidR="00A01A0F" w:rsidRDefault="00A01A0F" w:rsidP="00A01A0F">
      <w:pPr>
        <w:rPr>
          <w:rFonts w:ascii="Century Schoolbook" w:hAnsi="Century Schoolbook"/>
          <w:highlight w:val="yellow"/>
        </w:rPr>
      </w:pPr>
      <w:r>
        <w:rPr>
          <w:rFonts w:ascii="Century Schoolbook" w:hAnsi="Century Schoolbook"/>
        </w:rPr>
        <w:tab/>
      </w:r>
      <w:r w:rsidR="00F34172">
        <w:rPr>
          <w:rFonts w:ascii="Century Schoolbook" w:hAnsi="Century Schoolbook"/>
        </w:rPr>
        <w:t>We have already noted that under CEQA, evidence of environmental impacts must be founded on facts, reasonable assumptions based on facts, and expert opinion supported by facts; it cannot be based on speculation</w:t>
      </w:r>
      <w:r w:rsidR="004A7753">
        <w:rPr>
          <w:rFonts w:ascii="Century Schoolbook" w:hAnsi="Century Schoolbook"/>
        </w:rPr>
        <w:t>, argument, or unsubstantiated opinion or narrative</w:t>
      </w:r>
      <w:r w:rsidR="00F34172">
        <w:rPr>
          <w:rFonts w:ascii="Century Schoolbook" w:hAnsi="Century Schoolbook"/>
        </w:rPr>
        <w:t xml:space="preserve">. (Guidelines, § </w:t>
      </w:r>
      <w:r w:rsidR="004A7753">
        <w:rPr>
          <w:rFonts w:ascii="Century Schoolbook" w:hAnsi="Century Schoolbook"/>
        </w:rPr>
        <w:t xml:space="preserve">15384.) </w:t>
      </w:r>
      <w:r w:rsidR="00CE58C1">
        <w:rPr>
          <w:rFonts w:ascii="Century Schoolbook" w:hAnsi="Century Schoolbook"/>
        </w:rPr>
        <w:t xml:space="preserve">“If, after thorough investigation, a lead agency finds that a particular impact is too speculative for evaluation, the agency should note its conclusion and terminate discussion of the impact.” (Guidelines, § 15145.) </w:t>
      </w:r>
      <w:r w:rsidRPr="00CE58C1">
        <w:rPr>
          <w:rFonts w:ascii="Century Schoolbook" w:hAnsi="Century Schoolbook"/>
        </w:rPr>
        <w:t>Subdivision (d) of Guidelines section 15064 provides that “[</w:t>
      </w:r>
      <w:proofErr w:type="spellStart"/>
      <w:r w:rsidRPr="00CE58C1">
        <w:rPr>
          <w:rFonts w:ascii="Century Schoolbook" w:hAnsi="Century Schoolbook"/>
        </w:rPr>
        <w:t>i</w:t>
      </w:r>
      <w:proofErr w:type="spellEnd"/>
      <w:r w:rsidRPr="00CE58C1">
        <w:rPr>
          <w:rFonts w:ascii="Century Schoolbook" w:hAnsi="Century Schoolbook"/>
        </w:rPr>
        <w:t>]n evaluating the significance of an environmental effect of a project, the lead agency shall consider” both “direct physical changes” and “</w:t>
      </w:r>
      <w:r w:rsidRPr="00CE58C1">
        <w:rPr>
          <w:rFonts w:ascii="Century Schoolbook" w:hAnsi="Century Schoolbook"/>
          <w:i/>
          <w:iCs/>
        </w:rPr>
        <w:t>reasonably foreseeable</w:t>
      </w:r>
      <w:r w:rsidRPr="00CE58C1">
        <w:rPr>
          <w:rFonts w:ascii="Century Schoolbook" w:hAnsi="Century Schoolbook"/>
        </w:rPr>
        <w:t xml:space="preserve"> indirect physical changes” in “the environment that may be caused by the project.” (Italics added.) Subdivision (d)(3) </w:t>
      </w:r>
      <w:r w:rsidR="00CE58C1" w:rsidRPr="00CE58C1">
        <w:rPr>
          <w:rFonts w:ascii="Century Schoolbook" w:hAnsi="Century Schoolbook"/>
        </w:rPr>
        <w:t xml:space="preserve">of Guidelines section 15064 </w:t>
      </w:r>
      <w:r w:rsidRPr="00CE58C1">
        <w:rPr>
          <w:rFonts w:ascii="Century Schoolbook" w:hAnsi="Century Schoolbook"/>
        </w:rPr>
        <w:t xml:space="preserve">adds that an “indirect physical change is to be considered only if that change is a </w:t>
      </w:r>
      <w:r w:rsidRPr="00CE58C1">
        <w:rPr>
          <w:rFonts w:ascii="Century Schoolbook" w:hAnsi="Century Schoolbook"/>
          <w:i/>
          <w:iCs/>
        </w:rPr>
        <w:t>reasonably foreseeable</w:t>
      </w:r>
      <w:r w:rsidRPr="00CE58C1">
        <w:rPr>
          <w:rFonts w:ascii="Century Schoolbook" w:hAnsi="Century Schoolbook"/>
        </w:rPr>
        <w:t xml:space="preserve"> impact which may be caused by the project. A change which is speculative or unlikely to occur is not reasonably foreseeable.” (Italics added.)</w:t>
      </w:r>
      <w:r w:rsidRPr="00C62AFA">
        <w:rPr>
          <w:rFonts w:ascii="Century Schoolbook" w:hAnsi="Century Schoolbook"/>
          <w:highlight w:val="yellow"/>
        </w:rPr>
        <w:t xml:space="preserve"> </w:t>
      </w:r>
    </w:p>
    <w:p w14:paraId="1F1A96A6" w14:textId="3C645154" w:rsidR="00CD0839" w:rsidRDefault="00CE58C1" w:rsidP="00A01A0F">
      <w:pPr>
        <w:rPr>
          <w:rFonts w:ascii="Century Schoolbook" w:hAnsi="Century Schoolbook"/>
        </w:rPr>
      </w:pPr>
      <w:r w:rsidRPr="00CE58C1">
        <w:rPr>
          <w:rFonts w:ascii="Century Schoolbook" w:hAnsi="Century Schoolbook"/>
        </w:rPr>
        <w:tab/>
        <w:t>There are many</w:t>
      </w:r>
      <w:r>
        <w:rPr>
          <w:rFonts w:ascii="Century Schoolbook" w:hAnsi="Century Schoolbook"/>
        </w:rPr>
        <w:t xml:space="preserve"> examples in case law of courts finding adequacy of an EIR when information </w:t>
      </w:r>
      <w:r w:rsidR="00782C18">
        <w:rPr>
          <w:rFonts w:ascii="Century Schoolbook" w:hAnsi="Century Schoolbook"/>
        </w:rPr>
        <w:t xml:space="preserve">conveyed </w:t>
      </w:r>
      <w:r w:rsidR="009F6134">
        <w:rPr>
          <w:rFonts w:ascii="Century Schoolbook" w:hAnsi="Century Schoolbook"/>
        </w:rPr>
        <w:t xml:space="preserve">about </w:t>
      </w:r>
      <w:r w:rsidR="00782C18">
        <w:rPr>
          <w:rFonts w:ascii="Century Schoolbook" w:hAnsi="Century Schoolbook"/>
        </w:rPr>
        <w:t xml:space="preserve">omitted </w:t>
      </w:r>
      <w:r w:rsidR="009F6134">
        <w:rPr>
          <w:rFonts w:ascii="Century Schoolbook" w:hAnsi="Century Schoolbook"/>
        </w:rPr>
        <w:t xml:space="preserve">impacts </w:t>
      </w:r>
      <w:r w:rsidR="00A23312">
        <w:rPr>
          <w:rFonts w:ascii="Century Schoolbook" w:hAnsi="Century Schoolbook"/>
        </w:rPr>
        <w:t xml:space="preserve">or complained inadequate treatment of impacts </w:t>
      </w:r>
      <w:r w:rsidR="00AE646A">
        <w:rPr>
          <w:rFonts w:ascii="Century Schoolbook" w:hAnsi="Century Schoolbook"/>
        </w:rPr>
        <w:t>is of the type and quality that the Districts offered here</w:t>
      </w:r>
      <w:r w:rsidR="00580C9F">
        <w:rPr>
          <w:rFonts w:ascii="Century Schoolbook" w:hAnsi="Century Schoolbook"/>
        </w:rPr>
        <w:t xml:space="preserve">. The Districts provided </w:t>
      </w:r>
      <w:r w:rsidR="00AE646A">
        <w:rPr>
          <w:rFonts w:ascii="Century Schoolbook" w:hAnsi="Century Schoolbook"/>
        </w:rPr>
        <w:t>long-term projections about insufficient funding premised only on current scenarios, which is not itself an environmental impact</w:t>
      </w:r>
      <w:r w:rsidR="00580C9F">
        <w:rPr>
          <w:rFonts w:ascii="Century Schoolbook" w:hAnsi="Century Schoolbook"/>
        </w:rPr>
        <w:t>.</w:t>
      </w:r>
      <w:r w:rsidR="00AE646A">
        <w:rPr>
          <w:rFonts w:ascii="Century Schoolbook" w:hAnsi="Century Schoolbook"/>
        </w:rPr>
        <w:t xml:space="preserve"> </w:t>
      </w:r>
      <w:r w:rsidR="00580C9F">
        <w:rPr>
          <w:rFonts w:ascii="Century Schoolbook" w:hAnsi="Century Schoolbook"/>
        </w:rPr>
        <w:t xml:space="preserve">These projections </w:t>
      </w:r>
      <w:r w:rsidR="00AE646A">
        <w:rPr>
          <w:rFonts w:ascii="Century Schoolbook" w:hAnsi="Century Schoolbook"/>
        </w:rPr>
        <w:t>le</w:t>
      </w:r>
      <w:r w:rsidR="00580C9F">
        <w:rPr>
          <w:rFonts w:ascii="Century Schoolbook" w:hAnsi="Century Schoolbook"/>
        </w:rPr>
        <w:t>d</w:t>
      </w:r>
      <w:r w:rsidR="00AE646A">
        <w:rPr>
          <w:rFonts w:ascii="Century Schoolbook" w:hAnsi="Century Schoolbook"/>
        </w:rPr>
        <w:t xml:space="preserve"> to a general range of one or more options that might be taken </w:t>
      </w:r>
      <w:r w:rsidR="00152BB1">
        <w:rPr>
          <w:rFonts w:ascii="Century Schoolbook" w:hAnsi="Century Schoolbook"/>
        </w:rPr>
        <w:t xml:space="preserve">by the Districts </w:t>
      </w:r>
      <w:r w:rsidR="00AE646A">
        <w:rPr>
          <w:rFonts w:ascii="Century Schoolbook" w:hAnsi="Century Schoolbook"/>
        </w:rPr>
        <w:t xml:space="preserve">sometime in the future </w:t>
      </w:r>
      <w:r w:rsidR="009F6134">
        <w:rPr>
          <w:rFonts w:ascii="Century Schoolbook" w:hAnsi="Century Schoolbook"/>
        </w:rPr>
        <w:t xml:space="preserve">to accommodate increased enrollment (also </w:t>
      </w:r>
      <w:r w:rsidR="005F58C3">
        <w:rPr>
          <w:rFonts w:ascii="Century Schoolbook" w:hAnsi="Century Schoolbook"/>
        </w:rPr>
        <w:t xml:space="preserve">itself </w:t>
      </w:r>
      <w:r w:rsidR="009F6134">
        <w:rPr>
          <w:rFonts w:ascii="Century Schoolbook" w:hAnsi="Century Schoolbook"/>
        </w:rPr>
        <w:t xml:space="preserve">not an environmental impact) at </w:t>
      </w:r>
      <w:r w:rsidR="009F6134">
        <w:rPr>
          <w:rFonts w:ascii="Century Schoolbook" w:hAnsi="Century Schoolbook"/>
        </w:rPr>
        <w:lastRenderedPageBreak/>
        <w:t xml:space="preserve">one or more existing school sites, either within or beyond the Project area, leading to </w:t>
      </w:r>
      <w:r w:rsidR="00055500">
        <w:rPr>
          <w:rFonts w:ascii="Century Schoolbook" w:hAnsi="Century Schoolbook"/>
        </w:rPr>
        <w:t xml:space="preserve">vaguely described </w:t>
      </w:r>
      <w:r w:rsidR="00A23312">
        <w:rPr>
          <w:rFonts w:ascii="Century Schoolbook" w:hAnsi="Century Schoolbook"/>
        </w:rPr>
        <w:t xml:space="preserve">environmental </w:t>
      </w:r>
      <w:r w:rsidR="00055500">
        <w:rPr>
          <w:rFonts w:ascii="Century Schoolbook" w:hAnsi="Century Schoolbook"/>
        </w:rPr>
        <w:t>impacts on the non-school environment</w:t>
      </w:r>
      <w:r w:rsidR="00A23312">
        <w:rPr>
          <w:rFonts w:ascii="Century Schoolbook" w:hAnsi="Century Schoolbook"/>
        </w:rPr>
        <w:t xml:space="preserve">, whether </w:t>
      </w:r>
      <w:r w:rsidR="00152BB1">
        <w:rPr>
          <w:rFonts w:ascii="Century Schoolbook" w:hAnsi="Century Schoolbook"/>
        </w:rPr>
        <w:t xml:space="preserve">somewhere </w:t>
      </w:r>
      <w:r w:rsidR="00A23312">
        <w:rPr>
          <w:rFonts w:ascii="Century Schoolbook" w:hAnsi="Century Schoolbook"/>
        </w:rPr>
        <w:t>inside or outside the Project Site</w:t>
      </w:r>
      <w:r w:rsidR="009F6134">
        <w:rPr>
          <w:rFonts w:ascii="Century Schoolbook" w:hAnsi="Century Schoolbook"/>
        </w:rPr>
        <w:t>.</w:t>
      </w:r>
      <w:r w:rsidR="00055500">
        <w:rPr>
          <w:rFonts w:ascii="Century Schoolbook" w:hAnsi="Century Schoolbook"/>
        </w:rPr>
        <w:t xml:space="preserve"> </w:t>
      </w:r>
      <w:r w:rsidR="00880A06">
        <w:rPr>
          <w:rFonts w:ascii="Century Schoolbook" w:hAnsi="Century Schoolbook"/>
        </w:rPr>
        <w:t>“When the environmental impact from a particular project feature cannot be reliably ascertained and estimated, it is properly characterized as speculative.” (</w:t>
      </w:r>
      <w:r w:rsidR="00880A06" w:rsidRPr="00880A06">
        <w:rPr>
          <w:rFonts w:ascii="Century Schoolbook" w:hAnsi="Century Schoolbook"/>
          <w:i/>
          <w:iCs/>
        </w:rPr>
        <w:t>East Oakland Stadium Alliance v. City of Oakland</w:t>
      </w:r>
      <w:r w:rsidR="00880A06">
        <w:rPr>
          <w:rFonts w:ascii="Century Schoolbook" w:hAnsi="Century Schoolbook"/>
        </w:rPr>
        <w:t xml:space="preserve"> (2023) 89 Cal.App.5th 1226, 125</w:t>
      </w:r>
      <w:r w:rsidR="00294442">
        <w:rPr>
          <w:rFonts w:ascii="Century Schoolbook" w:hAnsi="Century Schoolbook"/>
        </w:rPr>
        <w:t>0</w:t>
      </w:r>
      <w:r w:rsidR="00923BBC">
        <w:rPr>
          <w:rFonts w:ascii="Century Schoolbook" w:hAnsi="Century Schoolbook"/>
        </w:rPr>
        <w:t xml:space="preserve"> (</w:t>
      </w:r>
      <w:r w:rsidR="00923BBC" w:rsidRPr="00923BBC">
        <w:rPr>
          <w:rFonts w:ascii="Century Schoolbook" w:hAnsi="Century Schoolbook"/>
          <w:i/>
          <w:iCs/>
        </w:rPr>
        <w:t>East Oakland</w:t>
      </w:r>
      <w:r w:rsidR="00923BBC">
        <w:rPr>
          <w:rFonts w:ascii="Century Schoolbook" w:hAnsi="Century Schoolbook"/>
        </w:rPr>
        <w:t>)</w:t>
      </w:r>
      <w:r w:rsidR="00EE6406">
        <w:rPr>
          <w:rFonts w:ascii="Century Schoolbook" w:hAnsi="Century Schoolbook"/>
        </w:rPr>
        <w:t>.)</w:t>
      </w:r>
      <w:r w:rsidR="003C68D4">
        <w:rPr>
          <w:rFonts w:ascii="Century Schoolbook" w:hAnsi="Century Schoolbook"/>
        </w:rPr>
        <w:t xml:space="preserve"> </w:t>
      </w:r>
    </w:p>
    <w:p w14:paraId="44026051" w14:textId="61B46A37" w:rsidR="00CA01FE" w:rsidRDefault="00CD0839" w:rsidP="00A01A0F">
      <w:pPr>
        <w:rPr>
          <w:rFonts w:ascii="Century Schoolbook" w:hAnsi="Century Schoolbook"/>
        </w:rPr>
      </w:pPr>
      <w:r>
        <w:rPr>
          <w:rFonts w:ascii="Century Schoolbook" w:hAnsi="Century Schoolbook"/>
        </w:rPr>
        <w:tab/>
      </w:r>
      <w:r w:rsidR="00F12CD1">
        <w:rPr>
          <w:rFonts w:ascii="Century Schoolbook" w:hAnsi="Century Schoolbook"/>
        </w:rPr>
        <w:t>For example, t</w:t>
      </w:r>
      <w:r w:rsidR="00923BBC">
        <w:rPr>
          <w:rFonts w:ascii="Century Schoolbook" w:hAnsi="Century Schoolbook"/>
        </w:rPr>
        <w:t>he</w:t>
      </w:r>
      <w:r>
        <w:rPr>
          <w:rFonts w:ascii="Century Schoolbook" w:hAnsi="Century Schoolbook"/>
        </w:rPr>
        <w:t xml:space="preserve"> court in </w:t>
      </w:r>
      <w:r w:rsidRPr="00CD0839">
        <w:rPr>
          <w:rFonts w:ascii="Century Schoolbook" w:hAnsi="Century Schoolbook"/>
          <w:i/>
          <w:iCs/>
        </w:rPr>
        <w:t>East Oakland</w:t>
      </w:r>
      <w:r>
        <w:rPr>
          <w:rFonts w:ascii="Century Schoolbook" w:hAnsi="Century Schoolbook"/>
        </w:rPr>
        <w:t xml:space="preserve"> rejected a challenge to an EIR to the extent it had found the </w:t>
      </w:r>
      <w:r w:rsidR="00923BBC">
        <w:rPr>
          <w:rFonts w:ascii="Century Schoolbook" w:hAnsi="Century Schoolbook"/>
        </w:rPr>
        <w:t xml:space="preserve">impacts of truck-parking relocation </w:t>
      </w:r>
      <w:r w:rsidR="00152BB1">
        <w:rPr>
          <w:rFonts w:ascii="Century Schoolbook" w:hAnsi="Century Schoolbook"/>
        </w:rPr>
        <w:t>from a</w:t>
      </w:r>
      <w:r w:rsidR="00923BBC">
        <w:rPr>
          <w:rFonts w:ascii="Century Schoolbook" w:hAnsi="Century Schoolbook"/>
        </w:rPr>
        <w:t xml:space="preserve"> project </w:t>
      </w:r>
      <w:r w:rsidR="00152BB1">
        <w:rPr>
          <w:rFonts w:ascii="Century Schoolbook" w:hAnsi="Century Schoolbook"/>
        </w:rPr>
        <w:t>(</w:t>
      </w:r>
      <w:r>
        <w:rPr>
          <w:rFonts w:ascii="Century Schoolbook" w:hAnsi="Century Schoolbook"/>
        </w:rPr>
        <w:t xml:space="preserve">but outside </w:t>
      </w:r>
      <w:r w:rsidR="00A65D77">
        <w:rPr>
          <w:rFonts w:ascii="Century Schoolbook" w:hAnsi="Century Schoolbook"/>
        </w:rPr>
        <w:t xml:space="preserve">of </w:t>
      </w:r>
      <w:r>
        <w:rPr>
          <w:rFonts w:ascii="Century Schoolbook" w:hAnsi="Century Schoolbook"/>
        </w:rPr>
        <w:t>it</w:t>
      </w:r>
      <w:r w:rsidR="00152BB1">
        <w:rPr>
          <w:rFonts w:ascii="Century Schoolbook" w:hAnsi="Century Schoolbook"/>
        </w:rPr>
        <w:t>)</w:t>
      </w:r>
      <w:r>
        <w:rPr>
          <w:rFonts w:ascii="Century Schoolbook" w:hAnsi="Century Schoolbook"/>
        </w:rPr>
        <w:t xml:space="preserve"> </w:t>
      </w:r>
      <w:r w:rsidR="00923BBC">
        <w:rPr>
          <w:rFonts w:ascii="Century Schoolbook" w:hAnsi="Century Schoolbook"/>
        </w:rPr>
        <w:t>were speculative</w:t>
      </w:r>
      <w:r>
        <w:rPr>
          <w:rFonts w:ascii="Century Schoolbook" w:hAnsi="Century Schoolbook"/>
        </w:rPr>
        <w:t>,</w:t>
      </w:r>
      <w:r w:rsidR="00923BBC">
        <w:rPr>
          <w:rFonts w:ascii="Century Schoolbook" w:hAnsi="Century Schoolbook"/>
        </w:rPr>
        <w:t xml:space="preserve"> given the difficulty of predicting how current users of a terminal </w:t>
      </w:r>
      <w:r>
        <w:rPr>
          <w:rFonts w:ascii="Century Schoolbook" w:hAnsi="Century Schoolbook"/>
        </w:rPr>
        <w:t xml:space="preserve">that would be eliminated </w:t>
      </w:r>
      <w:r w:rsidR="00923BBC">
        <w:rPr>
          <w:rFonts w:ascii="Century Schoolbook" w:hAnsi="Century Schoolbook"/>
        </w:rPr>
        <w:t>would respond to their displacement</w:t>
      </w:r>
      <w:r>
        <w:rPr>
          <w:rFonts w:ascii="Century Schoolbook" w:hAnsi="Century Schoolbook"/>
        </w:rPr>
        <w:t xml:space="preserve">. </w:t>
      </w:r>
      <w:r w:rsidR="00D35B0B">
        <w:rPr>
          <w:rFonts w:ascii="Century Schoolbook" w:hAnsi="Century Schoolbook"/>
        </w:rPr>
        <w:t xml:space="preserve">The EIR found that the lack of specific and reliable information as to where relocation would occur necessarily made any assumptions </w:t>
      </w:r>
      <w:r w:rsidR="00152BB1">
        <w:rPr>
          <w:rFonts w:ascii="Century Schoolbook" w:hAnsi="Century Schoolbook"/>
        </w:rPr>
        <w:t>about</w:t>
      </w:r>
      <w:r w:rsidR="00D35B0B">
        <w:rPr>
          <w:rFonts w:ascii="Century Schoolbook" w:hAnsi="Century Schoolbook"/>
        </w:rPr>
        <w:t xml:space="preserve"> relocation speculative. </w:t>
      </w:r>
      <w:r w:rsidR="00A65D77">
        <w:rPr>
          <w:rFonts w:ascii="Century Schoolbook" w:hAnsi="Century Schoolbook"/>
        </w:rPr>
        <w:t>T</w:t>
      </w:r>
      <w:r>
        <w:rPr>
          <w:rFonts w:ascii="Century Schoolbook" w:hAnsi="Century Schoolbook"/>
        </w:rPr>
        <w:t xml:space="preserve">he EIR </w:t>
      </w:r>
      <w:r w:rsidR="00D35B0B">
        <w:rPr>
          <w:rFonts w:ascii="Century Schoolbook" w:hAnsi="Century Schoolbook"/>
        </w:rPr>
        <w:t xml:space="preserve">thus </w:t>
      </w:r>
      <w:r>
        <w:rPr>
          <w:rFonts w:ascii="Century Schoolbook" w:hAnsi="Century Schoolbook"/>
        </w:rPr>
        <w:t xml:space="preserve">disregarded </w:t>
      </w:r>
      <w:r w:rsidR="00A65D77">
        <w:rPr>
          <w:rFonts w:ascii="Century Schoolbook" w:hAnsi="Century Schoolbook"/>
        </w:rPr>
        <w:t xml:space="preserve">air quality or emissions </w:t>
      </w:r>
      <w:r>
        <w:rPr>
          <w:rFonts w:ascii="Century Schoolbook" w:hAnsi="Century Schoolbook"/>
        </w:rPr>
        <w:t>impacts</w:t>
      </w:r>
      <w:r w:rsidR="00A65D77">
        <w:rPr>
          <w:rFonts w:ascii="Century Schoolbook" w:hAnsi="Century Schoolbook"/>
        </w:rPr>
        <w:t xml:space="preserve"> beyond the project site, finding that </w:t>
      </w:r>
      <w:r w:rsidR="00D35B0B">
        <w:rPr>
          <w:rFonts w:ascii="Century Schoolbook" w:hAnsi="Century Schoolbook"/>
        </w:rPr>
        <w:t xml:space="preserve">without specific and reliable information on relocation, </w:t>
      </w:r>
      <w:r w:rsidR="00A65D77">
        <w:rPr>
          <w:rFonts w:ascii="Century Schoolbook" w:hAnsi="Century Schoolbook"/>
        </w:rPr>
        <w:t xml:space="preserve">such analysis would </w:t>
      </w:r>
      <w:r w:rsidR="00D35B0B">
        <w:rPr>
          <w:rFonts w:ascii="Century Schoolbook" w:hAnsi="Century Schoolbook"/>
        </w:rPr>
        <w:t xml:space="preserve">likewise </w:t>
      </w:r>
      <w:r w:rsidR="00A65D77">
        <w:rPr>
          <w:rFonts w:ascii="Century Schoolbook" w:hAnsi="Century Schoolbook"/>
        </w:rPr>
        <w:t>be speculative.</w:t>
      </w:r>
      <w:r>
        <w:rPr>
          <w:rFonts w:ascii="Century Schoolbook" w:hAnsi="Century Schoolbook"/>
        </w:rPr>
        <w:t xml:space="preserve"> </w:t>
      </w:r>
      <w:r w:rsidR="00A65D77">
        <w:rPr>
          <w:rFonts w:ascii="Century Schoolbook" w:hAnsi="Century Schoolbook"/>
        </w:rPr>
        <w:t>(</w:t>
      </w:r>
      <w:r w:rsidR="00A65D77" w:rsidRPr="00A65D77">
        <w:rPr>
          <w:rFonts w:ascii="Century Schoolbook" w:hAnsi="Century Schoolbook"/>
          <w:i/>
          <w:iCs/>
        </w:rPr>
        <w:t>East Oakland, supra</w:t>
      </w:r>
      <w:r w:rsidR="00A65D77">
        <w:rPr>
          <w:rFonts w:ascii="Century Schoolbook" w:hAnsi="Century Schoolbook"/>
        </w:rPr>
        <w:t xml:space="preserve">, 89 Cal.App.5th at pp. 1249–1250.) </w:t>
      </w:r>
      <w:r>
        <w:rPr>
          <w:rFonts w:ascii="Century Schoolbook" w:hAnsi="Century Schoolbook"/>
        </w:rPr>
        <w:t xml:space="preserve">The project challengers </w:t>
      </w:r>
      <w:r w:rsidR="00A65D77">
        <w:rPr>
          <w:rFonts w:ascii="Century Schoolbook" w:hAnsi="Century Schoolbook"/>
        </w:rPr>
        <w:t xml:space="preserve">disputed the agency finding of speculation and </w:t>
      </w:r>
      <w:r>
        <w:rPr>
          <w:rFonts w:ascii="Century Schoolbook" w:hAnsi="Century Schoolbook"/>
        </w:rPr>
        <w:t>contended that the</w:t>
      </w:r>
      <w:r w:rsidR="00A65D77">
        <w:rPr>
          <w:rFonts w:ascii="Century Schoolbook" w:hAnsi="Century Schoolbook"/>
        </w:rPr>
        <w:t xml:space="preserve"> EIR should have addressed emissions impacts of parking relocation because “longer distances trav</w:t>
      </w:r>
      <w:r w:rsidR="00D35B0B">
        <w:rPr>
          <w:rFonts w:ascii="Century Schoolbook" w:hAnsi="Century Schoolbook"/>
        </w:rPr>
        <w:t>e</w:t>
      </w:r>
      <w:r w:rsidR="00A65D77">
        <w:rPr>
          <w:rFonts w:ascii="Century Schoolbook" w:hAnsi="Century Schoolbook"/>
        </w:rPr>
        <w:t xml:space="preserve">led by relocated truckers might </w:t>
      </w:r>
      <w:r w:rsidR="00D35B0B">
        <w:rPr>
          <w:rFonts w:ascii="Century Schoolbook" w:hAnsi="Century Schoolbook"/>
        </w:rPr>
        <w:t>generate greater emissions.” (</w:t>
      </w:r>
      <w:r w:rsidR="00D35B0B" w:rsidRPr="00D35B0B">
        <w:rPr>
          <w:rFonts w:ascii="Century Schoolbook" w:hAnsi="Century Schoolbook"/>
          <w:i/>
          <w:iCs/>
        </w:rPr>
        <w:t>Id</w:t>
      </w:r>
      <w:r w:rsidR="00D35B0B">
        <w:rPr>
          <w:rFonts w:ascii="Century Schoolbook" w:hAnsi="Century Schoolbook"/>
        </w:rPr>
        <w:t>. at p. 1250.)</w:t>
      </w:r>
      <w:r w:rsidR="00A65D77">
        <w:rPr>
          <w:rFonts w:ascii="Century Schoolbook" w:hAnsi="Century Schoolbook"/>
        </w:rPr>
        <w:t xml:space="preserve"> </w:t>
      </w:r>
      <w:r w:rsidR="00D35B0B">
        <w:rPr>
          <w:rFonts w:ascii="Century Schoolbook" w:hAnsi="Century Schoolbook"/>
        </w:rPr>
        <w:t>The trial and appellate courts both rejected the challenge, concluding that the EIR’s finding of speculation</w:t>
      </w:r>
      <w:r w:rsidR="00CA01FE">
        <w:rPr>
          <w:rFonts w:ascii="Century Schoolbook" w:hAnsi="Century Schoolbook"/>
        </w:rPr>
        <w:t xml:space="preserve">—because “the extent and character of relocation could not be reliably determined at this time and any attempt to estimate the extent of relocation </w:t>
      </w:r>
      <w:r w:rsidR="00D35B0B">
        <w:rPr>
          <w:rFonts w:ascii="Century Schoolbook" w:hAnsi="Century Schoolbook"/>
        </w:rPr>
        <w:t>was</w:t>
      </w:r>
      <w:r w:rsidR="00CA01FE">
        <w:rPr>
          <w:rFonts w:ascii="Century Schoolbook" w:hAnsi="Century Schoolbook"/>
        </w:rPr>
        <w:t>, therefore, speculative”—</w:t>
      </w:r>
      <w:r w:rsidR="00D35B0B">
        <w:rPr>
          <w:rFonts w:ascii="Century Schoolbook" w:hAnsi="Century Schoolbook"/>
        </w:rPr>
        <w:t>supported by substantial evidence in the administrative record</w:t>
      </w:r>
      <w:r w:rsidR="00CA01FE">
        <w:rPr>
          <w:rFonts w:ascii="Century Schoolbook" w:hAnsi="Century Schoolbook"/>
        </w:rPr>
        <w:t>.</w:t>
      </w:r>
      <w:r w:rsidR="00D35B0B">
        <w:rPr>
          <w:rFonts w:ascii="Century Schoolbook" w:hAnsi="Century Schoolbook"/>
        </w:rPr>
        <w:t xml:space="preserve"> </w:t>
      </w:r>
      <w:r w:rsidR="00152BB1">
        <w:rPr>
          <w:rFonts w:ascii="Century Schoolbook" w:hAnsi="Century Schoolbook"/>
        </w:rPr>
        <w:t>(</w:t>
      </w:r>
      <w:r w:rsidR="00152BB1" w:rsidRPr="00152BB1">
        <w:rPr>
          <w:rFonts w:ascii="Century Schoolbook" w:hAnsi="Century Schoolbook"/>
          <w:i/>
          <w:iCs/>
        </w:rPr>
        <w:t>Id.</w:t>
      </w:r>
      <w:r w:rsidR="00152BB1">
        <w:rPr>
          <w:rFonts w:ascii="Century Schoolbook" w:hAnsi="Century Schoolbook"/>
        </w:rPr>
        <w:t xml:space="preserve"> at p. 1251.)</w:t>
      </w:r>
    </w:p>
    <w:p w14:paraId="715F73F2" w14:textId="60AD2213" w:rsidR="00152BB1" w:rsidRDefault="00152BB1" w:rsidP="00A01A0F">
      <w:pPr>
        <w:rPr>
          <w:rFonts w:ascii="Century Schoolbook" w:hAnsi="Century Schoolbook"/>
        </w:rPr>
      </w:pPr>
      <w:r>
        <w:rPr>
          <w:rFonts w:ascii="Century Schoolbook" w:hAnsi="Century Schoolbook"/>
        </w:rPr>
        <w:tab/>
        <w:t xml:space="preserve">The </w:t>
      </w:r>
      <w:r w:rsidRPr="00E671BD">
        <w:rPr>
          <w:rFonts w:ascii="Century Schoolbook" w:hAnsi="Century Schoolbook"/>
          <w:i/>
          <w:iCs/>
        </w:rPr>
        <w:t>East Oakland</w:t>
      </w:r>
      <w:r>
        <w:rPr>
          <w:rFonts w:ascii="Century Schoolbook" w:hAnsi="Century Schoolbook"/>
        </w:rPr>
        <w:t xml:space="preserve"> court cited </w:t>
      </w:r>
      <w:r w:rsidRPr="00E671BD">
        <w:rPr>
          <w:rFonts w:ascii="Century Schoolbook" w:hAnsi="Century Schoolbook"/>
          <w:i/>
          <w:iCs/>
        </w:rPr>
        <w:t>Rodeo Citizens Assn. v. County of Contra Costa</w:t>
      </w:r>
      <w:r w:rsidR="00E671BD">
        <w:rPr>
          <w:rFonts w:ascii="Century Schoolbook" w:hAnsi="Century Schoolbook"/>
        </w:rPr>
        <w:t xml:space="preserve"> (2018) 22 Cal.App.5th 214 (</w:t>
      </w:r>
      <w:r w:rsidR="00E671BD" w:rsidRPr="00E671BD">
        <w:rPr>
          <w:rFonts w:ascii="Century Schoolbook" w:hAnsi="Century Schoolbook"/>
          <w:i/>
          <w:iCs/>
        </w:rPr>
        <w:t>Rodeo Citizens</w:t>
      </w:r>
      <w:r w:rsidR="00E671BD">
        <w:rPr>
          <w:rFonts w:ascii="Century Schoolbook" w:hAnsi="Century Schoolbook"/>
        </w:rPr>
        <w:t xml:space="preserve">) in support of its conclusion </w:t>
      </w:r>
      <w:r w:rsidR="00E671BD">
        <w:rPr>
          <w:rFonts w:ascii="Century Schoolbook" w:hAnsi="Century Schoolbook"/>
        </w:rPr>
        <w:lastRenderedPageBreak/>
        <w:t xml:space="preserve">about the EIR’s finding of speculation and </w:t>
      </w:r>
      <w:r w:rsidR="009E22A0">
        <w:rPr>
          <w:rFonts w:ascii="Century Schoolbook" w:hAnsi="Century Schoolbook"/>
        </w:rPr>
        <w:t xml:space="preserve">consequent </w:t>
      </w:r>
      <w:r w:rsidR="00E671BD">
        <w:rPr>
          <w:rFonts w:ascii="Century Schoolbook" w:hAnsi="Century Schoolbook"/>
        </w:rPr>
        <w:t xml:space="preserve">lack of need for further analysis of </w:t>
      </w:r>
      <w:r w:rsidR="009E22A0">
        <w:rPr>
          <w:rFonts w:ascii="Century Schoolbook" w:hAnsi="Century Schoolbook"/>
        </w:rPr>
        <w:t>the</w:t>
      </w:r>
      <w:r w:rsidR="00E671BD">
        <w:rPr>
          <w:rFonts w:ascii="Century Schoolbook" w:hAnsi="Century Schoolbook"/>
        </w:rPr>
        <w:t xml:space="preserve"> </w:t>
      </w:r>
      <w:r w:rsidR="009E22A0">
        <w:rPr>
          <w:rFonts w:ascii="Century Schoolbook" w:hAnsi="Century Schoolbook"/>
        </w:rPr>
        <w:t xml:space="preserve">air quality or emissions </w:t>
      </w:r>
      <w:r w:rsidR="00E671BD">
        <w:rPr>
          <w:rFonts w:ascii="Century Schoolbook" w:hAnsi="Century Schoolbook"/>
        </w:rPr>
        <w:t>impact</w:t>
      </w:r>
      <w:r w:rsidR="009E22A0">
        <w:rPr>
          <w:rFonts w:ascii="Century Schoolbook" w:hAnsi="Century Schoolbook"/>
        </w:rPr>
        <w:t>s</w:t>
      </w:r>
      <w:r w:rsidR="00E671BD">
        <w:rPr>
          <w:rFonts w:ascii="Century Schoolbook" w:hAnsi="Century Schoolbook"/>
        </w:rPr>
        <w:t>. (</w:t>
      </w:r>
      <w:r w:rsidR="00E671BD" w:rsidRPr="00E671BD">
        <w:rPr>
          <w:rFonts w:ascii="Century Schoolbook" w:hAnsi="Century Schoolbook"/>
          <w:i/>
          <w:iCs/>
        </w:rPr>
        <w:t>East Oakland, supra</w:t>
      </w:r>
      <w:r w:rsidR="00E671BD">
        <w:rPr>
          <w:rFonts w:ascii="Century Schoolbook" w:hAnsi="Century Schoolbook"/>
        </w:rPr>
        <w:t xml:space="preserve">, 89 Cal.App.5th at pp. 1250–1251.) In </w:t>
      </w:r>
      <w:r w:rsidR="00E671BD" w:rsidRPr="009E22A0">
        <w:rPr>
          <w:rFonts w:ascii="Century Schoolbook" w:hAnsi="Century Schoolbook"/>
          <w:i/>
          <w:iCs/>
        </w:rPr>
        <w:t>Rodeo Citizens</w:t>
      </w:r>
      <w:r w:rsidR="00E671BD">
        <w:rPr>
          <w:rFonts w:ascii="Century Schoolbook" w:hAnsi="Century Schoolbook"/>
        </w:rPr>
        <w:t xml:space="preserve">, </w:t>
      </w:r>
      <w:r w:rsidR="009E22A0">
        <w:rPr>
          <w:rFonts w:ascii="Century Schoolbook" w:hAnsi="Century Schoolbook"/>
        </w:rPr>
        <w:t xml:space="preserve">as explained by the </w:t>
      </w:r>
      <w:r w:rsidR="009E22A0" w:rsidRPr="009E22A0">
        <w:rPr>
          <w:rFonts w:ascii="Century Schoolbook" w:hAnsi="Century Schoolbook"/>
          <w:i/>
          <w:iCs/>
        </w:rPr>
        <w:t>East Oakland</w:t>
      </w:r>
      <w:r w:rsidR="009E22A0">
        <w:rPr>
          <w:rFonts w:ascii="Century Schoolbook" w:hAnsi="Century Schoolbook"/>
        </w:rPr>
        <w:t xml:space="preserve"> court, </w:t>
      </w:r>
      <w:r w:rsidR="00E671BD">
        <w:rPr>
          <w:rFonts w:ascii="Century Schoolbook" w:hAnsi="Century Schoolbook"/>
        </w:rPr>
        <w:t>“a refinery sought approval to install equipment that would permit the refinery to capture and sell butane and propane as a byproduct of its operations. ([</w:t>
      </w:r>
      <w:r w:rsidR="00E671BD" w:rsidRPr="009E22A0">
        <w:rPr>
          <w:rFonts w:ascii="Century Schoolbook" w:hAnsi="Century Schoolbook"/>
          <w:i/>
          <w:iCs/>
        </w:rPr>
        <w:t>Rodeo Citizens</w:t>
      </w:r>
      <w:r w:rsidR="00E671BD">
        <w:rPr>
          <w:rFonts w:ascii="Century Schoolbook" w:hAnsi="Century Schoolbook"/>
        </w:rPr>
        <w:t>]</w:t>
      </w:r>
      <w:r w:rsidR="009E22A0">
        <w:rPr>
          <w:rFonts w:ascii="Century Schoolbook" w:hAnsi="Century Schoolbook"/>
        </w:rPr>
        <w:t xml:space="preserve"> at pp. 217–218.) The petitioner contended that the EIR prepared in connection with the permit approval was inadequate because it failed ‘to quantify the greenhouse gas emissions from the downstream uses of the recovered propane and butane.’ (</w:t>
      </w:r>
      <w:r w:rsidR="009E22A0" w:rsidRPr="009E22A0">
        <w:rPr>
          <w:rFonts w:ascii="Century Schoolbook" w:hAnsi="Century Schoolbook"/>
          <w:i/>
          <w:iCs/>
        </w:rPr>
        <w:t>Id.</w:t>
      </w:r>
      <w:r w:rsidR="009E22A0">
        <w:rPr>
          <w:rFonts w:ascii="Century Schoolbook" w:hAnsi="Century Schoolbook"/>
        </w:rPr>
        <w:t xml:space="preserve"> at p. 226.) The court held that the agency properly declined to analyze these emissions as speculative. (</w:t>
      </w:r>
      <w:r w:rsidR="009E22A0" w:rsidRPr="009E22A0">
        <w:rPr>
          <w:rFonts w:ascii="Century Schoolbook" w:hAnsi="Century Schoolbook"/>
          <w:i/>
          <w:iCs/>
        </w:rPr>
        <w:t>Id.</w:t>
      </w:r>
      <w:r w:rsidR="009E22A0">
        <w:rPr>
          <w:rFonts w:ascii="Century Schoolbook" w:hAnsi="Century Schoolbook"/>
        </w:rPr>
        <w:t xml:space="preserve"> at pp.</w:t>
      </w:r>
      <w:r w:rsidR="00294442">
        <w:rPr>
          <w:rFonts w:ascii="Century Schoolbook" w:hAnsi="Century Schoolbook"/>
        </w:rPr>
        <w:t> </w:t>
      </w:r>
      <w:r w:rsidR="009E22A0">
        <w:rPr>
          <w:rFonts w:ascii="Century Schoolbook" w:hAnsi="Century Schoolbook"/>
        </w:rPr>
        <w:t>226–227.) As the [</w:t>
      </w:r>
      <w:r w:rsidR="009E22A0" w:rsidRPr="009E22A0">
        <w:rPr>
          <w:rFonts w:ascii="Century Schoolbook" w:hAnsi="Century Schoolbook"/>
          <w:i/>
          <w:iCs/>
        </w:rPr>
        <w:t>Rodeo</w:t>
      </w:r>
      <w:r w:rsidR="009E22A0">
        <w:rPr>
          <w:rFonts w:ascii="Century Schoolbook" w:hAnsi="Century Schoolbook"/>
          <w:i/>
          <w:iCs/>
        </w:rPr>
        <w:t xml:space="preserve"> Citizens</w:t>
      </w:r>
      <w:r w:rsidR="009E22A0">
        <w:rPr>
          <w:rFonts w:ascii="Century Schoolbook" w:hAnsi="Century Schoolbook"/>
        </w:rPr>
        <w:t>] court explained, it could not be assumed that the propane and butane would be burned because these chemicals have significant nonfuel uses. (</w:t>
      </w:r>
      <w:r w:rsidR="009E22A0" w:rsidRPr="009E22A0">
        <w:rPr>
          <w:rFonts w:ascii="Century Schoolbook" w:hAnsi="Century Schoolbook"/>
          <w:i/>
          <w:iCs/>
        </w:rPr>
        <w:t>Id.</w:t>
      </w:r>
      <w:r w:rsidR="009E22A0">
        <w:rPr>
          <w:rFonts w:ascii="Century Schoolbook" w:hAnsi="Century Schoolbook"/>
        </w:rPr>
        <w:t xml:space="preserve"> at p. 227.) Further, because of changing market conditions, ‘ “historical market data would be an unreliable predictor of the future” ’ regarding the </w:t>
      </w:r>
      <w:proofErr w:type="gramStart"/>
      <w:r w:rsidR="009E22A0">
        <w:rPr>
          <w:rFonts w:ascii="Century Schoolbook" w:hAnsi="Century Schoolbook"/>
        </w:rPr>
        <w:t>manner in which</w:t>
      </w:r>
      <w:proofErr w:type="gramEnd"/>
      <w:r w:rsidR="009E22A0">
        <w:rPr>
          <w:rFonts w:ascii="Century Schoolbook" w:hAnsi="Century Schoolbook"/>
        </w:rPr>
        <w:t xml:space="preserve"> the butane and propane would be used. (</w:t>
      </w:r>
      <w:r w:rsidR="009E22A0" w:rsidRPr="009E22A0">
        <w:rPr>
          <w:rFonts w:ascii="Century Schoolbook" w:hAnsi="Century Schoolbook"/>
          <w:i/>
          <w:iCs/>
        </w:rPr>
        <w:t>Ibid</w:t>
      </w:r>
      <w:r w:rsidR="009E22A0">
        <w:rPr>
          <w:rFonts w:ascii="Century Schoolbook" w:hAnsi="Century Schoolbook"/>
        </w:rPr>
        <w:t>.) As a result, the court held, ‘the lead agency responsibly determined that further analysis of the potential impacts was impractical and not required.’ (</w:t>
      </w:r>
      <w:r w:rsidR="009E22A0" w:rsidRPr="009E22A0">
        <w:rPr>
          <w:rFonts w:ascii="Century Schoolbook" w:hAnsi="Century Schoolbook"/>
          <w:i/>
          <w:iCs/>
        </w:rPr>
        <w:t>Id.</w:t>
      </w:r>
      <w:r w:rsidR="009E22A0">
        <w:rPr>
          <w:rFonts w:ascii="Century Schoolbook" w:hAnsi="Century Schoolbook"/>
        </w:rPr>
        <w:t xml:space="preserve"> at p. 228.)” (</w:t>
      </w:r>
      <w:r w:rsidR="009E22A0" w:rsidRPr="006D1A21">
        <w:rPr>
          <w:rFonts w:ascii="Century Schoolbook" w:hAnsi="Century Schoolbook"/>
          <w:i/>
          <w:iCs/>
        </w:rPr>
        <w:t>East Oakland, supra</w:t>
      </w:r>
      <w:r w:rsidR="009E22A0">
        <w:rPr>
          <w:rFonts w:ascii="Century Schoolbook" w:hAnsi="Century Schoolbook"/>
        </w:rPr>
        <w:t xml:space="preserve">, </w:t>
      </w:r>
      <w:r w:rsidR="006D1A21">
        <w:rPr>
          <w:rFonts w:ascii="Century Schoolbook" w:hAnsi="Century Schoolbook"/>
        </w:rPr>
        <w:t>89 Cal.App.5th at pp. 1250–1251.)</w:t>
      </w:r>
      <w:r w:rsidR="009E22A0">
        <w:rPr>
          <w:rFonts w:ascii="Century Schoolbook" w:hAnsi="Century Schoolbook"/>
        </w:rPr>
        <w:t xml:space="preserve"> </w:t>
      </w:r>
    </w:p>
    <w:p w14:paraId="51480D92" w14:textId="409195F7" w:rsidR="00C768EC" w:rsidRDefault="00B0063B" w:rsidP="00A01A0F">
      <w:pPr>
        <w:rPr>
          <w:rFonts w:ascii="Century Schoolbook" w:hAnsi="Century Schoolbook"/>
        </w:rPr>
      </w:pPr>
      <w:r>
        <w:rPr>
          <w:rFonts w:ascii="Century Schoolbook" w:hAnsi="Century Schoolbook"/>
        </w:rPr>
        <w:tab/>
        <w:t xml:space="preserve">In </w:t>
      </w:r>
      <w:r w:rsidRPr="00B0063B">
        <w:rPr>
          <w:rFonts w:ascii="Century Schoolbook" w:hAnsi="Century Schoolbook"/>
          <w:i/>
          <w:iCs/>
        </w:rPr>
        <w:t>Sierra Watch, supra</w:t>
      </w:r>
      <w:r>
        <w:rPr>
          <w:rFonts w:ascii="Century Schoolbook" w:hAnsi="Century Schoolbook"/>
        </w:rPr>
        <w:t xml:space="preserve">, 69 Cal.App.5th 86, </w:t>
      </w:r>
      <w:r w:rsidR="00EE5EAE">
        <w:rPr>
          <w:rFonts w:ascii="Century Schoolbook" w:hAnsi="Century Schoolbook"/>
        </w:rPr>
        <w:t xml:space="preserve">105–106, </w:t>
      </w:r>
      <w:r>
        <w:rPr>
          <w:rFonts w:ascii="Century Schoolbook" w:hAnsi="Century Schoolbook"/>
        </w:rPr>
        <w:t xml:space="preserve">the court of appeal declined to find </w:t>
      </w:r>
      <w:r w:rsidR="00EE5EAE">
        <w:rPr>
          <w:rFonts w:ascii="Century Schoolbook" w:hAnsi="Century Schoolbook"/>
        </w:rPr>
        <w:t xml:space="preserve">the EIR inadequate for its failure to estimate the duration of construction noise at a location involving </w:t>
      </w:r>
      <w:r w:rsidR="00F12CD1">
        <w:rPr>
          <w:rFonts w:ascii="Century Schoolbook" w:hAnsi="Century Schoolbook"/>
        </w:rPr>
        <w:t>most</w:t>
      </w:r>
      <w:r w:rsidR="00EE5EAE">
        <w:rPr>
          <w:rFonts w:ascii="Century Schoolbook" w:hAnsi="Century Schoolbook"/>
        </w:rPr>
        <w:t xml:space="preserve"> of the project. “The EIR sufficiently demonstrated why specific detail about the duration of construction noise at each specific location </w:t>
      </w:r>
      <w:r w:rsidR="00294442">
        <w:rPr>
          <w:rFonts w:ascii="Century Schoolbook" w:hAnsi="Century Schoolbook"/>
        </w:rPr>
        <w:t>. . .</w:t>
      </w:r>
      <w:r w:rsidR="00EE5EAE">
        <w:rPr>
          <w:rFonts w:ascii="Century Schoolbook" w:hAnsi="Century Schoolbook"/>
        </w:rPr>
        <w:t xml:space="preserve"> was not possible. The project would be constructed over 25 years. It included no specific plan on where buildings would be located </w:t>
      </w:r>
      <w:r w:rsidR="00294442">
        <w:rPr>
          <w:rFonts w:ascii="Century Schoolbook" w:hAnsi="Century Schoolbook"/>
        </w:rPr>
        <w:t xml:space="preserve">. . . </w:t>
      </w:r>
      <w:r w:rsidR="00EE5EAE">
        <w:rPr>
          <w:rFonts w:ascii="Century Schoolbook" w:hAnsi="Century Schoolbook"/>
        </w:rPr>
        <w:t xml:space="preserve">. It included no ‘specific construction schedule’ because the ‘sequence and pace for constructing various land uses and facilities would be market driven.’ And it emphasized the potentially sporadic pace of </w:t>
      </w:r>
      <w:r w:rsidR="00EE5EAE">
        <w:rPr>
          <w:rFonts w:ascii="Century Schoolbook" w:hAnsi="Century Schoolbook"/>
        </w:rPr>
        <w:lastRenderedPageBreak/>
        <w:t xml:space="preserve">development, noting that some years may have no construction and other years, in contrast, may involve simultaneous construction of several ‘elements’ of the project. For these types of reasons, </w:t>
      </w:r>
      <w:r w:rsidR="00E03DD0">
        <w:rPr>
          <w:rFonts w:ascii="Century Schoolbook" w:hAnsi="Century Schoolbook"/>
        </w:rPr>
        <w:t>the EIR explained, ‘it would not be practical, and would require a great deal of speculation, to identify specific noise levels for every single receptor.” (</w:t>
      </w:r>
      <w:r w:rsidR="00E03DD0" w:rsidRPr="00E03DD0">
        <w:rPr>
          <w:rFonts w:ascii="Century Schoolbook" w:hAnsi="Century Schoolbook"/>
          <w:i/>
          <w:iCs/>
        </w:rPr>
        <w:t>Id.</w:t>
      </w:r>
      <w:r w:rsidR="00E03DD0">
        <w:rPr>
          <w:rFonts w:ascii="Century Schoolbook" w:hAnsi="Century Schoolbook"/>
        </w:rPr>
        <w:t xml:space="preserve"> at p. 105.) </w:t>
      </w:r>
    </w:p>
    <w:p w14:paraId="76A2DAE2" w14:textId="151AA365" w:rsidR="00B0063B" w:rsidRDefault="00C768EC" w:rsidP="00A01A0F">
      <w:pPr>
        <w:rPr>
          <w:rFonts w:ascii="Century Schoolbook" w:hAnsi="Century Schoolbook"/>
        </w:rPr>
      </w:pPr>
      <w:r>
        <w:rPr>
          <w:rFonts w:ascii="Century Schoolbook" w:hAnsi="Century Schoolbook"/>
        </w:rPr>
        <w:tab/>
      </w:r>
      <w:r w:rsidR="00E03DD0">
        <w:rPr>
          <w:rFonts w:ascii="Century Schoolbook" w:hAnsi="Century Schoolbook"/>
        </w:rPr>
        <w:t xml:space="preserve">The </w:t>
      </w:r>
      <w:r w:rsidRPr="00C768EC">
        <w:rPr>
          <w:rFonts w:ascii="Century Schoolbook" w:hAnsi="Century Schoolbook"/>
          <w:i/>
          <w:iCs/>
        </w:rPr>
        <w:t>Sierra Watch</w:t>
      </w:r>
      <w:r>
        <w:rPr>
          <w:rFonts w:ascii="Century Schoolbook" w:hAnsi="Century Schoolbook"/>
        </w:rPr>
        <w:t xml:space="preserve"> </w:t>
      </w:r>
      <w:r w:rsidR="00E03DD0">
        <w:rPr>
          <w:rFonts w:ascii="Century Schoolbook" w:hAnsi="Century Schoolbook"/>
        </w:rPr>
        <w:t>court noted that the lead agency there “could have speculated how long construction noise would occur over the next 25 years at each specific location” and “could have presumed where buildings would ultimately be located” and then “assumed that all buildings in any [</w:t>
      </w:r>
      <w:proofErr w:type="gramStart"/>
      <w:r w:rsidR="00E03DD0">
        <w:rPr>
          <w:rFonts w:ascii="Century Schoolbook" w:hAnsi="Century Schoolbook"/>
        </w:rPr>
        <w:t>particular location</w:t>
      </w:r>
      <w:proofErr w:type="gramEnd"/>
      <w:r w:rsidR="00E03DD0">
        <w:rPr>
          <w:rFonts w:ascii="Century Schoolbook" w:hAnsi="Century Schoolbook"/>
        </w:rPr>
        <w:t xml:space="preserve">] would be constructed at the same time—resulting in a shorter period of construction noise. Or perhaps it could have assumed something else altogether. But any estimate </w:t>
      </w:r>
      <w:r w:rsidR="00E90B10">
        <w:rPr>
          <w:rFonts w:ascii="Century Schoolbook" w:hAnsi="Century Schoolbook"/>
        </w:rPr>
        <w:t>. . .</w:t>
      </w:r>
      <w:r w:rsidR="00E03DD0">
        <w:rPr>
          <w:rFonts w:ascii="Century Schoolbook" w:hAnsi="Century Schoolbook"/>
        </w:rPr>
        <w:t xml:space="preserve"> would entail a fair bit of speculation. </w:t>
      </w:r>
      <w:r w:rsidR="00EB2ABB">
        <w:rPr>
          <w:rFonts w:ascii="Century Schoolbook" w:hAnsi="Century Schoolbook"/>
        </w:rPr>
        <w:t>. . .</w:t>
      </w:r>
      <w:r w:rsidR="00E03DD0">
        <w:rPr>
          <w:rFonts w:ascii="Century Schoolbook" w:hAnsi="Century Schoolbook"/>
        </w:rPr>
        <w:t xml:space="preserve"> </w:t>
      </w:r>
      <w:proofErr w:type="gramStart"/>
      <w:r w:rsidR="00E03DD0">
        <w:rPr>
          <w:rFonts w:ascii="Century Schoolbook" w:hAnsi="Century Schoolbook"/>
        </w:rPr>
        <w:t>So</w:t>
      </w:r>
      <w:proofErr w:type="gramEnd"/>
      <w:r w:rsidR="00E03DD0">
        <w:rPr>
          <w:rFonts w:ascii="Century Schoolbook" w:hAnsi="Century Schoolbook"/>
        </w:rPr>
        <w:t xml:space="preserve"> while [the petitioner] may have preferred detailed estimates about construction duration in each specific location </w:t>
      </w:r>
      <w:r w:rsidR="00E90B10">
        <w:rPr>
          <w:rFonts w:ascii="Century Schoolbook" w:hAnsi="Century Schoolbook"/>
        </w:rPr>
        <w:t xml:space="preserve">. . . </w:t>
      </w:r>
      <w:r w:rsidR="00E03DD0">
        <w:rPr>
          <w:rFonts w:ascii="Century Schoolbook" w:hAnsi="Century Schoolbook"/>
        </w:rPr>
        <w:t xml:space="preserve">, the EIR was not required to supply speculative estimates. </w:t>
      </w:r>
      <w:r w:rsidR="00A128C0">
        <w:rPr>
          <w:rFonts w:ascii="Century Schoolbook" w:hAnsi="Century Schoolbook"/>
        </w:rPr>
        <w:t>A lead agency, after all, need not speculate about project impacts (see CEQA Guidelines, § 15145) and inst</w:t>
      </w:r>
      <w:r w:rsidR="00D56CE9">
        <w:rPr>
          <w:rFonts w:ascii="Century Schoolbook" w:hAnsi="Century Schoolbook"/>
        </w:rPr>
        <w:t>e</w:t>
      </w:r>
      <w:r w:rsidR="00A128C0">
        <w:rPr>
          <w:rFonts w:ascii="Century Schoolbook" w:hAnsi="Century Schoolbook"/>
        </w:rPr>
        <w:t>ad may</w:t>
      </w:r>
      <w:r w:rsidR="00D56CE9">
        <w:rPr>
          <w:rFonts w:ascii="Century Schoolbook" w:hAnsi="Century Schoolbook"/>
        </w:rPr>
        <w:t xml:space="preserve"> discuss potential project impacts at a ‘level of specificity </w:t>
      </w:r>
      <w:r w:rsidR="00E90B10">
        <w:rPr>
          <w:rFonts w:ascii="Century Schoolbook" w:hAnsi="Century Schoolbook"/>
        </w:rPr>
        <w:t>. . .</w:t>
      </w:r>
      <w:r w:rsidR="00D56CE9">
        <w:rPr>
          <w:rFonts w:ascii="Century Schoolbook" w:hAnsi="Century Schoolbook"/>
        </w:rPr>
        <w:t xml:space="preserve"> determined by the nature of the project and the rule of reason [citations].” (</w:t>
      </w:r>
      <w:r w:rsidR="00D56CE9" w:rsidRPr="00D56CE9">
        <w:rPr>
          <w:rFonts w:ascii="Century Schoolbook" w:hAnsi="Century Schoolbook"/>
          <w:i/>
          <w:iCs/>
        </w:rPr>
        <w:t>Sierra Watch, supra</w:t>
      </w:r>
      <w:r w:rsidR="00D56CE9">
        <w:rPr>
          <w:rFonts w:ascii="Century Schoolbook" w:hAnsi="Century Schoolbook"/>
        </w:rPr>
        <w:t xml:space="preserve">, 69 Cal.App.5th at p. 105; </w:t>
      </w:r>
      <w:r w:rsidR="00D56CE9" w:rsidRPr="006B5343">
        <w:rPr>
          <w:rFonts w:ascii="Century Schoolbook" w:hAnsi="Century Schoolbook"/>
        </w:rPr>
        <w:t xml:space="preserve">see also </w:t>
      </w:r>
      <w:r w:rsidR="00D56CE9" w:rsidRPr="006B5343">
        <w:rPr>
          <w:rFonts w:ascii="Century Schoolbook" w:hAnsi="Century Schoolbook"/>
          <w:i/>
          <w:iCs/>
        </w:rPr>
        <w:t>Muzzy Ranch, supra</w:t>
      </w:r>
      <w:r w:rsidR="00D56CE9" w:rsidRPr="006B5343">
        <w:rPr>
          <w:rFonts w:ascii="Century Schoolbook" w:hAnsi="Century Schoolbook"/>
        </w:rPr>
        <w:t>, 41 Cal.4th at p. 388 [</w:t>
      </w:r>
      <w:r w:rsidR="00F12CD1" w:rsidRPr="006B5343">
        <w:rPr>
          <w:rFonts w:ascii="Century Schoolbook" w:hAnsi="Century Schoolbook"/>
        </w:rPr>
        <w:t xml:space="preserve">level of </w:t>
      </w:r>
      <w:r w:rsidR="00D56CE9" w:rsidRPr="006B5343">
        <w:rPr>
          <w:rFonts w:ascii="Century Schoolbook" w:hAnsi="Century Schoolbook"/>
        </w:rPr>
        <w:t>detail required in EIR in any particular case necessarily depends on multitude of factors, including the nature of the project, the directness or indirectness of the contemplated impact, the ability to forecast the actual effects the project will have on the physical environment, whether future effects will themselves require CEQA analysis, and that the effects will be felt outside the project area</w:t>
      </w:r>
      <w:r w:rsidR="006B627F" w:rsidRPr="006B5343">
        <w:rPr>
          <w:rFonts w:ascii="Century Schoolbook" w:hAnsi="Century Schoolbook"/>
        </w:rPr>
        <w:t>; less detail is required where effects are more indirect than effects felt within project area or where it would be difficult to predict them with any accuracy]</w:t>
      </w:r>
      <w:r w:rsidR="00D955B7">
        <w:rPr>
          <w:rFonts w:ascii="Century Schoolbook" w:hAnsi="Century Schoolbook"/>
        </w:rPr>
        <w:t xml:space="preserve">; </w:t>
      </w:r>
      <w:r w:rsidR="00D955B7" w:rsidRPr="005A0695">
        <w:rPr>
          <w:rFonts w:ascii="Century Schoolbook" w:hAnsi="Century Schoolbook"/>
          <w:bCs/>
          <w:i/>
          <w:iCs/>
        </w:rPr>
        <w:t>Wal-Mart, supra</w:t>
      </w:r>
      <w:r w:rsidR="00D955B7">
        <w:rPr>
          <w:rFonts w:ascii="Century Schoolbook" w:hAnsi="Century Schoolbook"/>
          <w:bCs/>
        </w:rPr>
        <w:t xml:space="preserve">, 138 Cal.App.4th at pp. 291–294 [petitioner’s assertions about </w:t>
      </w:r>
      <w:r w:rsidR="00D955B7">
        <w:rPr>
          <w:rFonts w:ascii="Century Schoolbook" w:hAnsi="Century Schoolbook"/>
          <w:bCs/>
        </w:rPr>
        <w:lastRenderedPageBreak/>
        <w:t xml:space="preserve">the inevitability of development of a multitenant shopping center at particular location as a result of project approval were vague, uncertain, and contingent and thus </w:t>
      </w:r>
      <w:r w:rsidR="00F12CD1">
        <w:rPr>
          <w:rFonts w:ascii="Century Schoolbook" w:hAnsi="Century Schoolbook"/>
          <w:bCs/>
        </w:rPr>
        <w:t xml:space="preserve">amounted to </w:t>
      </w:r>
      <w:r w:rsidR="009234F0">
        <w:rPr>
          <w:rFonts w:ascii="Century Schoolbook" w:hAnsi="Century Schoolbook"/>
          <w:bCs/>
        </w:rPr>
        <w:t>speculation]</w:t>
      </w:r>
      <w:r w:rsidR="00F12CD1">
        <w:rPr>
          <w:rFonts w:ascii="Century Schoolbook" w:hAnsi="Century Schoolbook"/>
          <w:bCs/>
        </w:rPr>
        <w:t xml:space="preserve">; </w:t>
      </w:r>
      <w:r w:rsidR="00F12CD1" w:rsidRPr="00A5550D">
        <w:rPr>
          <w:rFonts w:ascii="Century Schoolbook" w:hAnsi="Century Schoolbook"/>
          <w:bCs/>
          <w:i/>
          <w:iCs/>
        </w:rPr>
        <w:t>Marin Municipal</w:t>
      </w:r>
      <w:r w:rsidR="00F12CD1">
        <w:rPr>
          <w:rFonts w:ascii="Century Schoolbook" w:hAnsi="Century Schoolbook"/>
          <w:bCs/>
        </w:rPr>
        <w:t xml:space="preserve"> </w:t>
      </w:r>
      <w:r w:rsidR="00F12CD1" w:rsidRPr="00A5550D">
        <w:rPr>
          <w:rFonts w:ascii="Century Schoolbook" w:hAnsi="Century Schoolbook"/>
          <w:bCs/>
          <w:i/>
          <w:iCs/>
        </w:rPr>
        <w:t>Water Dist. v. Kg Land Cal. Corp</w:t>
      </w:r>
      <w:r w:rsidR="00F12CD1">
        <w:rPr>
          <w:rFonts w:ascii="Century Schoolbook" w:hAnsi="Century Schoolbook"/>
          <w:bCs/>
        </w:rPr>
        <w:t xml:space="preserve"> (1991) 235 Cal.App.3d 1652, 1662</w:t>
      </w:r>
      <w:r w:rsidR="00A5550D">
        <w:rPr>
          <w:rFonts w:ascii="Century Schoolbook" w:hAnsi="Century Schoolbook"/>
          <w:bCs/>
        </w:rPr>
        <w:t>–1663</w:t>
      </w:r>
      <w:r w:rsidR="00F12CD1">
        <w:rPr>
          <w:rFonts w:ascii="Century Schoolbook" w:hAnsi="Century Schoolbook"/>
          <w:bCs/>
        </w:rPr>
        <w:t xml:space="preserve"> </w:t>
      </w:r>
      <w:r w:rsidR="00030533">
        <w:rPr>
          <w:rFonts w:ascii="Century Schoolbook" w:hAnsi="Century Schoolbook"/>
          <w:bCs/>
        </w:rPr>
        <w:t>(</w:t>
      </w:r>
      <w:r w:rsidR="00030533" w:rsidRPr="00030533">
        <w:rPr>
          <w:rFonts w:ascii="Century Schoolbook" w:hAnsi="Century Schoolbook"/>
          <w:bCs/>
          <w:i/>
          <w:iCs/>
        </w:rPr>
        <w:t>Marin</w:t>
      </w:r>
      <w:r w:rsidR="00030533">
        <w:rPr>
          <w:rFonts w:ascii="Century Schoolbook" w:hAnsi="Century Schoolbook"/>
          <w:bCs/>
        </w:rPr>
        <w:t xml:space="preserve">) </w:t>
      </w:r>
      <w:r w:rsidR="00F12CD1">
        <w:rPr>
          <w:rFonts w:ascii="Century Schoolbook" w:hAnsi="Century Schoolbook"/>
          <w:bCs/>
        </w:rPr>
        <w:t>[</w:t>
      </w:r>
      <w:r w:rsidR="00A5550D">
        <w:rPr>
          <w:rFonts w:ascii="Century Schoolbook" w:hAnsi="Century Schoolbook"/>
          <w:bCs/>
        </w:rPr>
        <w:t xml:space="preserve">when nature of future development is nonspecific and uncertain, EIR need not engage in “sheer speculation” as to future environmental consequences]; </w:t>
      </w:r>
      <w:r w:rsidR="00A5550D" w:rsidRPr="006B5343">
        <w:rPr>
          <w:rFonts w:ascii="Century Schoolbook" w:hAnsi="Century Schoolbook"/>
          <w:bCs/>
          <w:i/>
          <w:iCs/>
        </w:rPr>
        <w:t>Save the</w:t>
      </w:r>
      <w:r w:rsidR="00A5550D">
        <w:rPr>
          <w:rFonts w:ascii="Century Schoolbook" w:hAnsi="Century Schoolbook"/>
          <w:bCs/>
        </w:rPr>
        <w:t xml:space="preserve"> </w:t>
      </w:r>
      <w:r w:rsidR="00A5550D" w:rsidRPr="00FC34E8">
        <w:rPr>
          <w:rFonts w:ascii="Century Schoolbook" w:hAnsi="Century Schoolbook"/>
          <w:bCs/>
          <w:i/>
          <w:iCs/>
        </w:rPr>
        <w:t>El Dorado Canal v. El Dorado Irrigation District</w:t>
      </w:r>
      <w:r w:rsidR="00A5550D">
        <w:rPr>
          <w:rFonts w:ascii="Century Schoolbook" w:hAnsi="Century Schoolbook"/>
          <w:bCs/>
        </w:rPr>
        <w:t xml:space="preserve"> (2022) 75 Cal.App.5th 239, 263 [possibility that a property owner might deliberately fill a ditch at some point in future </w:t>
      </w:r>
      <w:r w:rsidR="00FC34E8">
        <w:rPr>
          <w:rFonts w:ascii="Century Schoolbook" w:hAnsi="Century Schoolbook"/>
          <w:bCs/>
        </w:rPr>
        <w:t xml:space="preserve">rather than maintain their property to minimize flood risk </w:t>
      </w:r>
      <w:r w:rsidR="00A5550D">
        <w:rPr>
          <w:rFonts w:ascii="Century Schoolbook" w:hAnsi="Century Schoolbook"/>
          <w:bCs/>
        </w:rPr>
        <w:t>is not a reasonably foreseeable indirect impact of project</w:t>
      </w:r>
      <w:r w:rsidR="00FC34E8">
        <w:rPr>
          <w:rFonts w:ascii="Century Schoolbook" w:hAnsi="Century Schoolbook"/>
          <w:bCs/>
        </w:rPr>
        <w:t>, which included abandonment of the ditch</w:t>
      </w:r>
      <w:r w:rsidR="00A5550D">
        <w:rPr>
          <w:rFonts w:ascii="Century Schoolbook" w:hAnsi="Century Schoolbook"/>
          <w:bCs/>
        </w:rPr>
        <w:t>]</w:t>
      </w:r>
      <w:r w:rsidR="00ED4B81">
        <w:rPr>
          <w:rFonts w:ascii="Century Schoolbook" w:hAnsi="Century Schoolbook"/>
          <w:bCs/>
        </w:rPr>
        <w:t xml:space="preserve">; </w:t>
      </w:r>
      <w:r w:rsidR="00ED4B81" w:rsidRPr="00ED4B81">
        <w:rPr>
          <w:rFonts w:ascii="Century Schoolbook" w:hAnsi="Century Schoolbook"/>
          <w:bCs/>
          <w:i/>
          <w:iCs/>
        </w:rPr>
        <w:t>Citizens’ Committee to Complete the Refuge v. City of Newark</w:t>
      </w:r>
      <w:r w:rsidR="00ED4B81">
        <w:rPr>
          <w:rFonts w:ascii="Century Schoolbook" w:hAnsi="Century Schoolbook"/>
          <w:bCs/>
        </w:rPr>
        <w:t xml:space="preserve"> (2021) 74 Cal.App.5th 460, 479 </w:t>
      </w:r>
      <w:r w:rsidR="00F50837">
        <w:rPr>
          <w:rFonts w:ascii="Century Schoolbook" w:hAnsi="Century Schoolbook"/>
          <w:bCs/>
        </w:rPr>
        <w:t>(</w:t>
      </w:r>
      <w:r w:rsidR="00F50837" w:rsidRPr="00F50837">
        <w:rPr>
          <w:rFonts w:ascii="Century Schoolbook" w:hAnsi="Century Schoolbook"/>
          <w:bCs/>
          <w:i/>
          <w:iCs/>
        </w:rPr>
        <w:t>Newark</w:t>
      </w:r>
      <w:r w:rsidR="00F50837">
        <w:rPr>
          <w:rFonts w:ascii="Century Schoolbook" w:hAnsi="Century Schoolbook"/>
          <w:bCs/>
        </w:rPr>
        <w:t xml:space="preserve">) </w:t>
      </w:r>
      <w:r w:rsidR="00ED4B81">
        <w:rPr>
          <w:rFonts w:ascii="Century Schoolbook" w:hAnsi="Century Schoolbook"/>
          <w:bCs/>
        </w:rPr>
        <w:t xml:space="preserve">[city did not need to evaluate its potential responses to rising sea levels 50 to 80 years into the future, in part because “the range of projections for sea levels by that time are wide and sea levels at different ends of those projections could warrant significantly different responses”]; </w:t>
      </w:r>
      <w:r w:rsidR="00ED4B81" w:rsidRPr="006B5343">
        <w:rPr>
          <w:rFonts w:ascii="Century Schoolbook" w:hAnsi="Century Schoolbook"/>
          <w:bCs/>
          <w:i/>
          <w:iCs/>
        </w:rPr>
        <w:t>No Oil, Inc. v. City of Los Angeles</w:t>
      </w:r>
      <w:r w:rsidR="00ED4B81">
        <w:rPr>
          <w:rFonts w:ascii="Century Schoolbook" w:hAnsi="Century Schoolbook"/>
          <w:bCs/>
        </w:rPr>
        <w:t xml:space="preserve"> (1974) 13 Cal.3d 68, 77</w:t>
      </w:r>
      <w:r w:rsidR="00E90B10">
        <w:rPr>
          <w:rFonts w:ascii="Century Schoolbook" w:hAnsi="Century Schoolbook"/>
          <w:bCs/>
        </w:rPr>
        <w:t>,</w:t>
      </w:r>
      <w:r w:rsidR="00ED4B81">
        <w:rPr>
          <w:rFonts w:ascii="Century Schoolbook" w:hAnsi="Century Schoolbook"/>
          <w:bCs/>
        </w:rPr>
        <w:t xml:space="preserve"> fn. 5 [“an impact statement prepared before reliable information is available would ‘tend toward uninformative generalities’ ”]</w:t>
      </w:r>
      <w:r w:rsidR="00D56CE9">
        <w:rPr>
          <w:rFonts w:ascii="Century Schoolbook" w:hAnsi="Century Schoolbook"/>
        </w:rPr>
        <w:t xml:space="preserve">.)  </w:t>
      </w:r>
      <w:r w:rsidR="00A128C0">
        <w:rPr>
          <w:rFonts w:ascii="Century Schoolbook" w:hAnsi="Century Schoolbook"/>
        </w:rPr>
        <w:t xml:space="preserve"> </w:t>
      </w:r>
      <w:r w:rsidR="00E03DD0">
        <w:rPr>
          <w:rFonts w:ascii="Century Schoolbook" w:hAnsi="Century Schoolbook"/>
        </w:rPr>
        <w:t xml:space="preserve"> </w:t>
      </w:r>
      <w:r w:rsidR="00EE5EAE">
        <w:rPr>
          <w:rFonts w:ascii="Century Schoolbook" w:hAnsi="Century Schoolbook"/>
        </w:rPr>
        <w:t xml:space="preserve">    </w:t>
      </w:r>
    </w:p>
    <w:p w14:paraId="09048158" w14:textId="2AD5AA4A" w:rsidR="00C768EC" w:rsidRDefault="006B5343" w:rsidP="00A01A0F">
      <w:pPr>
        <w:rPr>
          <w:rFonts w:ascii="Century Schoolbook" w:hAnsi="Century Schoolbook"/>
        </w:rPr>
      </w:pPr>
      <w:r>
        <w:rPr>
          <w:rFonts w:ascii="Century Schoolbook" w:hAnsi="Century Schoolbook"/>
        </w:rPr>
        <w:tab/>
        <w:t xml:space="preserve">In the City’s responses to the Districts’ comments contained in the Final EIR, the City included the comment letters and responded to each. The City noted that impacts associated with schools were analyzed </w:t>
      </w:r>
      <w:r w:rsidR="000B09CB">
        <w:rPr>
          <w:rFonts w:ascii="Century Schoolbook" w:hAnsi="Century Schoolbook"/>
        </w:rPr>
        <w:t xml:space="preserve">in the EIR </w:t>
      </w:r>
      <w:r>
        <w:rPr>
          <w:rFonts w:ascii="Century Schoolbook" w:hAnsi="Century Schoolbook"/>
        </w:rPr>
        <w:t xml:space="preserve">with Public Services, among other general topics of impacts, and that the City’s policies were to work with local districts to identify and set aside new school sites </w:t>
      </w:r>
      <w:r w:rsidR="005D74F0">
        <w:rPr>
          <w:rFonts w:ascii="Century Schoolbook" w:hAnsi="Century Schoolbook"/>
        </w:rPr>
        <w:t xml:space="preserve">and consider impacts to ensure public services and maintain public-facilities standards. The City identified the five new school sites within the </w:t>
      </w:r>
      <w:proofErr w:type="gramStart"/>
      <w:r w:rsidR="005D74F0">
        <w:rPr>
          <w:rFonts w:ascii="Century Schoolbook" w:hAnsi="Century Schoolbook"/>
        </w:rPr>
        <w:t>Project, and</w:t>
      </w:r>
      <w:proofErr w:type="gramEnd"/>
      <w:r w:rsidR="005D74F0">
        <w:rPr>
          <w:rFonts w:ascii="Century Schoolbook" w:hAnsi="Century Schoolbook"/>
        </w:rPr>
        <w:t xml:space="preserve"> noted that the Education Code tasks the Districts with the responsibility for constructing their own schools. The City also noted that the </w:t>
      </w:r>
      <w:r w:rsidR="005D74F0">
        <w:rPr>
          <w:rFonts w:ascii="Century Schoolbook" w:hAnsi="Century Schoolbook"/>
        </w:rPr>
        <w:lastRenderedPageBreak/>
        <w:t>Specific Plan imposed developer impact fees to fund new school development</w:t>
      </w:r>
      <w:r w:rsidR="000B09CB">
        <w:rPr>
          <w:rFonts w:ascii="Century Schoolbook" w:hAnsi="Century Schoolbook"/>
        </w:rPr>
        <w:t xml:space="preserve"> in full mitigation under Government Code section 65996</w:t>
      </w:r>
      <w:r w:rsidR="005D74F0">
        <w:rPr>
          <w:rFonts w:ascii="Century Schoolbook" w:hAnsi="Century Schoolbook"/>
        </w:rPr>
        <w:t>, set according to law by the Districts, and that the City would aid in collecting those fees. The City expressed its belief that it had sufficiently addressed, “at least in general terms,” the physical impacts of constructing new schools within the Specific Plan area, and that the “footprint-related impacts of the schools are subsumed within the analysis of the footprint of the entire Specific Plan</w:t>
      </w:r>
      <w:r w:rsidR="000B09CB">
        <w:rPr>
          <w:rFonts w:ascii="Century Schoolbook" w:hAnsi="Century Schoolbook"/>
        </w:rPr>
        <w:t>,</w:t>
      </w:r>
      <w:r w:rsidR="005D74F0">
        <w:rPr>
          <w:rFonts w:ascii="Century Schoolbook" w:hAnsi="Century Schoolbook"/>
        </w:rPr>
        <w:t>”</w:t>
      </w:r>
      <w:r w:rsidR="000B09CB">
        <w:rPr>
          <w:rFonts w:ascii="Century Schoolbook" w:hAnsi="Century Schoolbook"/>
        </w:rPr>
        <w:t xml:space="preserve"> including mitigation.</w:t>
      </w:r>
      <w:r w:rsidR="005D74F0">
        <w:rPr>
          <w:rFonts w:ascii="Century Schoolbook" w:hAnsi="Century Schoolbook"/>
        </w:rPr>
        <w:t xml:space="preserve"> </w:t>
      </w:r>
    </w:p>
    <w:p w14:paraId="3F84227C" w14:textId="03DA26E0" w:rsidR="000B09CB" w:rsidRDefault="00C768EC" w:rsidP="00A01A0F">
      <w:pPr>
        <w:rPr>
          <w:rFonts w:ascii="Century Schoolbook" w:hAnsi="Century Schoolbook"/>
        </w:rPr>
      </w:pPr>
      <w:r>
        <w:rPr>
          <w:rFonts w:ascii="Century Schoolbook" w:hAnsi="Century Schoolbook"/>
        </w:rPr>
        <w:tab/>
      </w:r>
      <w:r w:rsidR="005D74F0">
        <w:rPr>
          <w:rFonts w:ascii="Century Schoolbook" w:hAnsi="Century Schoolbook"/>
        </w:rPr>
        <w:t xml:space="preserve">The City </w:t>
      </w:r>
      <w:r>
        <w:rPr>
          <w:rFonts w:ascii="Century Schoolbook" w:hAnsi="Century Schoolbook"/>
        </w:rPr>
        <w:t xml:space="preserve">also </w:t>
      </w:r>
      <w:r w:rsidR="005D74F0">
        <w:rPr>
          <w:rFonts w:ascii="Century Schoolbook" w:hAnsi="Century Schoolbook"/>
        </w:rPr>
        <w:t xml:space="preserve">noted its perception of legal limitations on analyzing impacts from new or expanded facilities involving the provision of public services and that </w:t>
      </w:r>
      <w:r w:rsidR="000B09CB">
        <w:rPr>
          <w:rFonts w:ascii="Century Schoolbook" w:hAnsi="Century Schoolbook"/>
        </w:rPr>
        <w:t xml:space="preserve">the </w:t>
      </w:r>
      <w:r w:rsidR="005D74F0">
        <w:rPr>
          <w:rFonts w:ascii="Century Schoolbook" w:hAnsi="Century Schoolbook"/>
        </w:rPr>
        <w:t xml:space="preserve">social </w:t>
      </w:r>
      <w:r w:rsidR="000B09CB">
        <w:rPr>
          <w:rFonts w:ascii="Century Schoolbook" w:hAnsi="Century Schoolbook"/>
        </w:rPr>
        <w:t>and economic effects of a project</w:t>
      </w:r>
      <w:r w:rsidR="00511981">
        <w:rPr>
          <w:rFonts w:ascii="Century Schoolbook" w:hAnsi="Century Schoolbook"/>
        </w:rPr>
        <w:t>—like increased enrollment—</w:t>
      </w:r>
      <w:r w:rsidR="000B09CB">
        <w:rPr>
          <w:rFonts w:ascii="Century Schoolbook" w:hAnsi="Century Schoolbook"/>
        </w:rPr>
        <w:t xml:space="preserve">are not themselves treated as significant effects on the environment. The City further noted that with the construction of new schools, there would be site-specific environmental review conducted by the responsible school district for impacts not yet known, as the City did </w:t>
      </w:r>
      <w:r w:rsidR="00511981">
        <w:rPr>
          <w:rFonts w:ascii="Century Schoolbook" w:hAnsi="Century Schoolbook"/>
        </w:rPr>
        <w:t xml:space="preserve">not </w:t>
      </w:r>
      <w:r w:rsidR="000B09CB">
        <w:rPr>
          <w:rFonts w:ascii="Century Schoolbook" w:hAnsi="Century Schoolbook"/>
        </w:rPr>
        <w:t xml:space="preserve">have specific designs from the Districts for the three </w:t>
      </w:r>
      <w:proofErr w:type="gramStart"/>
      <w:r w:rsidR="000B09CB">
        <w:rPr>
          <w:rFonts w:ascii="Century Schoolbook" w:hAnsi="Century Schoolbook"/>
        </w:rPr>
        <w:t>as</w:t>
      </w:r>
      <w:r w:rsidR="000976D3">
        <w:rPr>
          <w:rFonts w:ascii="Century Schoolbook" w:hAnsi="Century Schoolbook"/>
        </w:rPr>
        <w:t xml:space="preserve"> </w:t>
      </w:r>
      <w:r w:rsidR="000B09CB">
        <w:rPr>
          <w:rFonts w:ascii="Century Schoolbook" w:hAnsi="Century Schoolbook"/>
        </w:rPr>
        <w:t>yet</w:t>
      </w:r>
      <w:proofErr w:type="gramEnd"/>
      <w:r w:rsidR="000B09CB">
        <w:rPr>
          <w:rFonts w:ascii="Century Schoolbook" w:hAnsi="Century Schoolbook"/>
        </w:rPr>
        <w:t xml:space="preserve"> undesigned new schools. Thus, the EIR “does not speculate beyond the material facts that are available for each site” </w:t>
      </w:r>
      <w:r w:rsidR="000976D3">
        <w:rPr>
          <w:rFonts w:ascii="Century Schoolbook" w:hAnsi="Century Schoolbook"/>
        </w:rPr>
        <w:t>at the time</w:t>
      </w:r>
      <w:r w:rsidR="000B09CB">
        <w:rPr>
          <w:rFonts w:ascii="Century Schoolbook" w:hAnsi="Century Schoolbook"/>
        </w:rPr>
        <w:t xml:space="preserve"> the Specific Plan was being considered. </w:t>
      </w:r>
    </w:p>
    <w:p w14:paraId="3659858F" w14:textId="45A9FA1E" w:rsidR="00AC67B3" w:rsidRDefault="000B09CB" w:rsidP="00A01A0F">
      <w:pPr>
        <w:rPr>
          <w:rFonts w:ascii="Century Schoolbook" w:hAnsi="Century Schoolbook"/>
        </w:rPr>
      </w:pPr>
      <w:r>
        <w:rPr>
          <w:rFonts w:ascii="Century Schoolbook" w:hAnsi="Century Schoolbook"/>
        </w:rPr>
        <w:tab/>
        <w:t xml:space="preserve">The City also noted the holding of </w:t>
      </w:r>
      <w:proofErr w:type="spellStart"/>
      <w:r w:rsidRPr="00DC7CF1">
        <w:rPr>
          <w:rFonts w:ascii="Century Schoolbook" w:hAnsi="Century Schoolbook"/>
          <w:i/>
          <w:iCs/>
        </w:rPr>
        <w:t>Chawanakee</w:t>
      </w:r>
      <w:proofErr w:type="spellEnd"/>
      <w:r w:rsidR="00DC7CF1">
        <w:rPr>
          <w:rFonts w:ascii="Century Schoolbook" w:hAnsi="Century Schoolbook"/>
        </w:rPr>
        <w:t xml:space="preserve">, and that it “obviated the need to analyze and mitigate a development’s direct impacts </w:t>
      </w:r>
      <w:r w:rsidR="00DC7CF1" w:rsidRPr="00DC7CF1">
        <w:rPr>
          <w:rFonts w:ascii="Century Schoolbook" w:hAnsi="Century Schoolbook"/>
          <w:i/>
          <w:iCs/>
        </w:rPr>
        <w:t>on</w:t>
      </w:r>
      <w:r w:rsidR="00DC7CF1">
        <w:rPr>
          <w:rFonts w:ascii="Century Schoolbook" w:hAnsi="Century Schoolbook"/>
        </w:rPr>
        <w:t xml:space="preserve"> existing school facilities.” (Italics added.) The City acknowledged the Districts’ concerns about accommodating increased student enrollment and </w:t>
      </w:r>
      <w:r w:rsidR="000976D3">
        <w:rPr>
          <w:rFonts w:ascii="Century Schoolbook" w:hAnsi="Century Schoolbook"/>
        </w:rPr>
        <w:t>rai</w:t>
      </w:r>
      <w:r w:rsidR="00DC7CF1">
        <w:rPr>
          <w:rFonts w:ascii="Century Schoolbook" w:hAnsi="Century Schoolbook"/>
        </w:rPr>
        <w:t xml:space="preserve">sed the estimate of new students from the Specific Plan based on information on </w:t>
      </w:r>
      <w:r w:rsidR="00511981">
        <w:rPr>
          <w:rFonts w:ascii="Century Schoolbook" w:hAnsi="Century Schoolbook"/>
        </w:rPr>
        <w:t xml:space="preserve">current </w:t>
      </w:r>
      <w:r w:rsidR="00DC7CF1">
        <w:rPr>
          <w:rFonts w:ascii="Century Schoolbook" w:hAnsi="Century Schoolbook"/>
        </w:rPr>
        <w:t>enrollment provided by the Districts. The City further observed that the Specific Plan and EIR maximized the developer fees that could be collected for schools and that the City could not legally impose greater fees for new</w:t>
      </w:r>
      <w:r w:rsidR="00E07E94">
        <w:rPr>
          <w:rFonts w:ascii="Century Schoolbook" w:hAnsi="Century Schoolbook"/>
        </w:rPr>
        <w:t>-</w:t>
      </w:r>
      <w:r w:rsidR="00DC7CF1">
        <w:rPr>
          <w:rFonts w:ascii="Century Schoolbook" w:hAnsi="Century Schoolbook"/>
        </w:rPr>
        <w:t xml:space="preserve">school facilities, with the Districts as lead agencies responsible for construction of their own new schools. </w:t>
      </w:r>
    </w:p>
    <w:p w14:paraId="6EFD90CE" w14:textId="131135CD" w:rsidR="00CA01FE" w:rsidRDefault="00AC67B3" w:rsidP="00A01A0F">
      <w:pPr>
        <w:rPr>
          <w:rFonts w:ascii="Century Schoolbook" w:hAnsi="Century Schoolbook"/>
        </w:rPr>
      </w:pPr>
      <w:r>
        <w:rPr>
          <w:rFonts w:ascii="Century Schoolbook" w:hAnsi="Century Schoolbook"/>
        </w:rPr>
        <w:lastRenderedPageBreak/>
        <w:tab/>
      </w:r>
      <w:r w:rsidR="00DC7CF1">
        <w:rPr>
          <w:rFonts w:ascii="Century Schoolbook" w:hAnsi="Century Schoolbook"/>
        </w:rPr>
        <w:t xml:space="preserve">As to the District’s proffered range of alternative options for accommodating new students at existing sites—by </w:t>
      </w:r>
      <w:r w:rsidR="000976D3">
        <w:rPr>
          <w:rFonts w:ascii="Century Schoolbook" w:hAnsi="Century Schoolbook"/>
        </w:rPr>
        <w:t xml:space="preserve">using </w:t>
      </w:r>
      <w:r w:rsidR="00DC7CF1">
        <w:rPr>
          <w:rFonts w:ascii="Century Schoolbook" w:hAnsi="Century Schoolbook"/>
        </w:rPr>
        <w:t>portables, expan</w:t>
      </w:r>
      <w:r w:rsidR="000976D3">
        <w:rPr>
          <w:rFonts w:ascii="Century Schoolbook" w:hAnsi="Century Schoolbook"/>
        </w:rPr>
        <w:t>ding</w:t>
      </w:r>
      <w:r w:rsidR="00DC7CF1">
        <w:rPr>
          <w:rFonts w:ascii="Century Schoolbook" w:hAnsi="Century Schoolbook"/>
        </w:rPr>
        <w:t xml:space="preserve"> or modifying existing sites, adjusting attendance boundaries, and </w:t>
      </w:r>
      <w:r w:rsidR="00E30203">
        <w:rPr>
          <w:rFonts w:ascii="Century Schoolbook" w:hAnsi="Century Schoolbook"/>
        </w:rPr>
        <w:t xml:space="preserve">allowing inter-district transfers—with the </w:t>
      </w:r>
      <w:r w:rsidR="00511981">
        <w:rPr>
          <w:rFonts w:ascii="Century Schoolbook" w:hAnsi="Century Schoolbook"/>
        </w:rPr>
        <w:t>vaguely</w:t>
      </w:r>
      <w:r w:rsidR="00E30203">
        <w:rPr>
          <w:rFonts w:ascii="Century Schoolbook" w:hAnsi="Century Schoolbook"/>
        </w:rPr>
        <w:t xml:space="preserve"> identified and non-site-specific impacts </w:t>
      </w:r>
      <w:r w:rsidR="000976D3">
        <w:rPr>
          <w:rFonts w:ascii="Century Schoolbook" w:hAnsi="Century Schoolbook"/>
        </w:rPr>
        <w:t>on</w:t>
      </w:r>
      <w:r w:rsidR="00E30203">
        <w:rPr>
          <w:rFonts w:ascii="Century Schoolbook" w:hAnsi="Century Schoolbook"/>
        </w:rPr>
        <w:t xml:space="preserve"> “noise-levels, air quality, loss of greenspace or other play areas” </w:t>
      </w:r>
      <w:r w:rsidR="00E90B10">
        <w:rPr>
          <w:rFonts w:ascii="Century Schoolbook" w:hAnsi="Century Schoolbook"/>
        </w:rPr>
        <w:t>(italics omitted)</w:t>
      </w:r>
      <w:r w:rsidR="000976D3">
        <w:rPr>
          <w:rFonts w:ascii="Century Schoolbook" w:hAnsi="Century Schoolbook"/>
        </w:rPr>
        <w:t>,</w:t>
      </w:r>
      <w:r w:rsidR="00E90B10">
        <w:rPr>
          <w:rFonts w:ascii="Century Schoolbook" w:hAnsi="Century Schoolbook"/>
        </w:rPr>
        <w:t xml:space="preserve"> </w:t>
      </w:r>
      <w:r w:rsidR="00E30203">
        <w:rPr>
          <w:rFonts w:ascii="Century Schoolbook" w:hAnsi="Century Schoolbook"/>
        </w:rPr>
        <w:t xml:space="preserve">the City specifically responded that the “potential scenarios” </w:t>
      </w:r>
      <w:r w:rsidR="00511981">
        <w:rPr>
          <w:rFonts w:ascii="Century Schoolbook" w:hAnsi="Century Schoolbook"/>
        </w:rPr>
        <w:t xml:space="preserve">offered by the Districts </w:t>
      </w:r>
      <w:r w:rsidR="00E30203">
        <w:rPr>
          <w:rFonts w:ascii="Century Schoolbook" w:hAnsi="Century Schoolbook"/>
        </w:rPr>
        <w:t xml:space="preserve">“are too speculative to give rise to meaningful environmental assessment.” In support of this conclusion, the City </w:t>
      </w:r>
      <w:r w:rsidR="000976D3">
        <w:rPr>
          <w:rFonts w:ascii="Century Schoolbook" w:hAnsi="Century Schoolbook"/>
        </w:rPr>
        <w:t>not</w:t>
      </w:r>
      <w:r w:rsidR="00E30203">
        <w:rPr>
          <w:rFonts w:ascii="Century Schoolbook" w:hAnsi="Century Schoolbook"/>
        </w:rPr>
        <w:t xml:space="preserve">ed that if the </w:t>
      </w:r>
      <w:r>
        <w:rPr>
          <w:rFonts w:ascii="Century Schoolbook" w:hAnsi="Century Schoolbook"/>
        </w:rPr>
        <w:t xml:space="preserve">cited </w:t>
      </w:r>
      <w:r w:rsidR="00E30203">
        <w:rPr>
          <w:rFonts w:ascii="Century Schoolbook" w:hAnsi="Century Schoolbook"/>
        </w:rPr>
        <w:t xml:space="preserve">scenarios </w:t>
      </w:r>
      <w:r w:rsidR="000976D3">
        <w:rPr>
          <w:rFonts w:ascii="Century Schoolbook" w:hAnsi="Century Schoolbook"/>
        </w:rPr>
        <w:t xml:space="preserve">were to </w:t>
      </w:r>
      <w:r w:rsidR="00E30203">
        <w:rPr>
          <w:rFonts w:ascii="Century Schoolbook" w:hAnsi="Century Schoolbook"/>
        </w:rPr>
        <w:t xml:space="preserve">occur, that would </w:t>
      </w:r>
      <w:r w:rsidR="000976D3">
        <w:rPr>
          <w:rFonts w:ascii="Century Schoolbook" w:hAnsi="Century Schoolbook"/>
        </w:rPr>
        <w:t xml:space="preserve">only </w:t>
      </w:r>
      <w:r w:rsidR="00E30203">
        <w:rPr>
          <w:rFonts w:ascii="Century Schoolbook" w:hAnsi="Century Schoolbook"/>
        </w:rPr>
        <w:t>happen over 20 to 30 years</w:t>
      </w:r>
      <w:r>
        <w:rPr>
          <w:rFonts w:ascii="Century Schoolbook" w:hAnsi="Century Schoolbook"/>
        </w:rPr>
        <w:t xml:space="preserve"> as number of students living in the site gradually increased. The Districts would have the ability over that time “to make decisions as to where such students should attend </w:t>
      </w:r>
      <w:proofErr w:type="gramStart"/>
      <w:r>
        <w:rPr>
          <w:rFonts w:ascii="Century Schoolbook" w:hAnsi="Century Schoolbook"/>
        </w:rPr>
        <w:t>schools, if</w:t>
      </w:r>
      <w:proofErr w:type="gramEnd"/>
      <w:r>
        <w:rPr>
          <w:rFonts w:ascii="Century Schoolbook" w:hAnsi="Century Schoolbook"/>
        </w:rPr>
        <w:t xml:space="preserve"> no on-site facilities are yet in place. The specific decisions the District will have to make cannot be predicted with any level of certainty at present, and, in any event, are beyond the City’s control. In particular, the City has no way at present to try to predict boundary changes the District might impose in future years. Although such decisions could affect traffic and other environmental resources, any details of such impacts cannot be predicted at present. The same is true of options such as student transfers, the construction of other</w:t>
      </w:r>
      <w:r w:rsidR="003B4434">
        <w:rPr>
          <w:rFonts w:ascii="Century Schoolbook" w:hAnsi="Century Schoolbook"/>
        </w:rPr>
        <w:t>,</w:t>
      </w:r>
      <w:r>
        <w:rPr>
          <w:rFonts w:ascii="Century Schoolbook" w:hAnsi="Century Schoolbook"/>
        </w:rPr>
        <w:t xml:space="preserve"> currently unplanned schools at other sites, or changes in current patterns of school bussing. To the extent that the District contemplates the installation of portable classrooms at existing school facilities, the City notes that CEQA provides a categorical exemption (Class 14) for ‘minor additions to existing schools within existing school grounds where the addition does not increase original student capacity by more than 25% or ten classrooms, whichever is less.’ ” </w:t>
      </w:r>
    </w:p>
    <w:p w14:paraId="52AAFE69" w14:textId="1788C1FC" w:rsidR="00511981" w:rsidRDefault="00511981" w:rsidP="00A01A0F">
      <w:pPr>
        <w:rPr>
          <w:rFonts w:ascii="Century Schoolbook" w:hAnsi="Century Schoolbook"/>
        </w:rPr>
      </w:pPr>
      <w:r>
        <w:rPr>
          <w:rFonts w:ascii="Century Schoolbook" w:hAnsi="Century Schoolbook"/>
        </w:rPr>
        <w:tab/>
      </w:r>
      <w:r w:rsidR="000060B3">
        <w:rPr>
          <w:rFonts w:ascii="Century Schoolbook" w:hAnsi="Century Schoolbook"/>
        </w:rPr>
        <w:t>T</w:t>
      </w:r>
      <w:r w:rsidR="00055500">
        <w:rPr>
          <w:rFonts w:ascii="Century Schoolbook" w:hAnsi="Century Schoolbook"/>
        </w:rPr>
        <w:t xml:space="preserve">he City’s determination of the </w:t>
      </w:r>
      <w:r w:rsidR="000060B3">
        <w:rPr>
          <w:rFonts w:ascii="Century Schoolbook" w:hAnsi="Century Schoolbook"/>
        </w:rPr>
        <w:t xml:space="preserve">Districts’ </w:t>
      </w:r>
      <w:r w:rsidR="000976D3">
        <w:rPr>
          <w:rFonts w:ascii="Century Schoolbook" w:hAnsi="Century Schoolbook"/>
        </w:rPr>
        <w:t xml:space="preserve">proffered </w:t>
      </w:r>
      <w:r w:rsidR="00055500">
        <w:rPr>
          <w:rFonts w:ascii="Century Schoolbook" w:hAnsi="Century Schoolbook"/>
        </w:rPr>
        <w:t xml:space="preserve">information as speculation not </w:t>
      </w:r>
      <w:r w:rsidR="000F2DBC">
        <w:rPr>
          <w:rFonts w:ascii="Century Schoolbook" w:hAnsi="Century Schoolbook"/>
        </w:rPr>
        <w:t xml:space="preserve">capable of leading to meaningful analysis or </w:t>
      </w:r>
      <w:r w:rsidR="00055500">
        <w:rPr>
          <w:rFonts w:ascii="Century Schoolbook" w:hAnsi="Century Schoolbook"/>
        </w:rPr>
        <w:t xml:space="preserve">requiring further </w:t>
      </w:r>
      <w:r w:rsidR="00055500">
        <w:rPr>
          <w:rFonts w:ascii="Century Schoolbook" w:hAnsi="Century Schoolbook"/>
        </w:rPr>
        <w:lastRenderedPageBreak/>
        <w:t xml:space="preserve">response </w:t>
      </w:r>
      <w:r w:rsidR="000F2DBC">
        <w:rPr>
          <w:rFonts w:ascii="Century Schoolbook" w:hAnsi="Century Schoolbook"/>
        </w:rPr>
        <w:t xml:space="preserve">in the EIR </w:t>
      </w:r>
      <w:r w:rsidR="00055500">
        <w:rPr>
          <w:rFonts w:ascii="Century Schoolbook" w:hAnsi="Century Schoolbook"/>
        </w:rPr>
        <w:t xml:space="preserve">is a factual conclusion entitled to deference. </w:t>
      </w:r>
      <w:r w:rsidR="00782C18">
        <w:rPr>
          <w:rFonts w:ascii="Century Schoolbook" w:hAnsi="Century Schoolbook"/>
          <w:bCs/>
        </w:rPr>
        <w:t>(</w:t>
      </w:r>
      <w:r w:rsidR="00782C18" w:rsidRPr="0037792B">
        <w:rPr>
          <w:rFonts w:ascii="Century Schoolbook" w:hAnsi="Century Schoolbook"/>
          <w:bCs/>
          <w:i/>
          <w:iCs/>
        </w:rPr>
        <w:t>Anderson</w:t>
      </w:r>
      <w:r w:rsidR="00782C18">
        <w:rPr>
          <w:rFonts w:ascii="Century Schoolbook" w:hAnsi="Century Schoolbook"/>
          <w:bCs/>
          <w:i/>
          <w:iCs/>
        </w:rPr>
        <w:t>, supra,</w:t>
      </w:r>
      <w:r w:rsidR="00782C18" w:rsidRPr="0037792B">
        <w:rPr>
          <w:rFonts w:ascii="Century Schoolbook" w:hAnsi="Century Schoolbook"/>
          <w:bCs/>
          <w:i/>
          <w:iCs/>
        </w:rPr>
        <w:t xml:space="preserve"> </w:t>
      </w:r>
      <w:r w:rsidR="00782C18">
        <w:rPr>
          <w:rFonts w:ascii="Century Schoolbook" w:hAnsi="Century Schoolbook"/>
          <w:bCs/>
        </w:rPr>
        <w:t xml:space="preserve">130 Cal.App.4th </w:t>
      </w:r>
      <w:r w:rsidR="00621FA3">
        <w:rPr>
          <w:rFonts w:ascii="Century Schoolbook" w:hAnsi="Century Schoolbook"/>
          <w:bCs/>
        </w:rPr>
        <w:t xml:space="preserve">at p. </w:t>
      </w:r>
      <w:r w:rsidR="00782C18">
        <w:rPr>
          <w:rFonts w:ascii="Century Schoolbook" w:hAnsi="Century Schoolbook"/>
          <w:bCs/>
        </w:rPr>
        <w:t>1186</w:t>
      </w:r>
      <w:r w:rsidR="00621FA3">
        <w:rPr>
          <w:rFonts w:ascii="Century Schoolbook" w:hAnsi="Century Schoolbook"/>
          <w:bCs/>
        </w:rPr>
        <w:t xml:space="preserve"> </w:t>
      </w:r>
      <w:r w:rsidR="00782C18">
        <w:rPr>
          <w:rFonts w:ascii="Century Schoolbook" w:hAnsi="Century Schoolbook"/>
          <w:bCs/>
        </w:rPr>
        <w:t>[substantial evidence supported agency’s factual conclusion that asserted environmental impact of urban decay was speculative and not reasonably foreseeable]</w:t>
      </w:r>
      <w:r w:rsidR="00F13C08">
        <w:rPr>
          <w:rFonts w:ascii="Century Schoolbook" w:hAnsi="Century Schoolbook"/>
          <w:bCs/>
        </w:rPr>
        <w:t xml:space="preserve">; </w:t>
      </w:r>
      <w:r w:rsidR="00F13C08" w:rsidRPr="00F13C08">
        <w:rPr>
          <w:rFonts w:ascii="Century Schoolbook" w:hAnsi="Century Schoolbook"/>
          <w:bCs/>
          <w:i/>
          <w:iCs/>
        </w:rPr>
        <w:t>County of Butte v. Department of Water Resources</w:t>
      </w:r>
      <w:r w:rsidR="00F13C08">
        <w:rPr>
          <w:rFonts w:ascii="Century Schoolbook" w:hAnsi="Century Schoolbook"/>
          <w:bCs/>
        </w:rPr>
        <w:t xml:space="preserve"> (2023) 90 Cal.App.5th 147, 164 (</w:t>
      </w:r>
      <w:r w:rsidR="00F13C08" w:rsidRPr="00F13C08">
        <w:rPr>
          <w:rFonts w:ascii="Century Schoolbook" w:hAnsi="Century Schoolbook"/>
          <w:bCs/>
          <w:i/>
          <w:iCs/>
        </w:rPr>
        <w:t>Butte</w:t>
      </w:r>
      <w:r w:rsidR="00F13C08">
        <w:rPr>
          <w:rFonts w:ascii="Century Schoolbook" w:hAnsi="Century Schoolbook"/>
          <w:bCs/>
        </w:rPr>
        <w:t>)</w:t>
      </w:r>
      <w:r w:rsidR="00E90B10">
        <w:rPr>
          <w:rFonts w:ascii="Century Schoolbook" w:hAnsi="Century Schoolbook"/>
          <w:bCs/>
        </w:rPr>
        <w:t xml:space="preserve">; see </w:t>
      </w:r>
      <w:r w:rsidR="00E90B10" w:rsidRPr="00E90B10">
        <w:rPr>
          <w:rFonts w:ascii="Century Schoolbook" w:hAnsi="Century Schoolbook"/>
          <w:bCs/>
          <w:i/>
          <w:iCs/>
        </w:rPr>
        <w:t>id</w:t>
      </w:r>
      <w:r w:rsidR="00E90B10">
        <w:rPr>
          <w:rFonts w:ascii="Century Schoolbook" w:hAnsi="Century Schoolbook"/>
          <w:bCs/>
        </w:rPr>
        <w:t>. at p.</w:t>
      </w:r>
      <w:r w:rsidR="00F13C08">
        <w:rPr>
          <w:rFonts w:ascii="Century Schoolbook" w:hAnsi="Century Schoolbook"/>
          <w:bCs/>
        </w:rPr>
        <w:t xml:space="preserve"> </w:t>
      </w:r>
      <w:r w:rsidR="00E90B10">
        <w:rPr>
          <w:rFonts w:ascii="Century Schoolbook" w:hAnsi="Century Schoolbook"/>
          <w:bCs/>
        </w:rPr>
        <w:t xml:space="preserve">161, </w:t>
      </w:r>
      <w:r w:rsidR="00F13C08">
        <w:rPr>
          <w:rFonts w:ascii="Century Schoolbook" w:hAnsi="Century Schoolbook"/>
          <w:bCs/>
        </w:rPr>
        <w:t xml:space="preserve">[treating lead agency’s “finding of uncertainty” about impacts of climate change </w:t>
      </w:r>
      <w:r w:rsidR="000976D3">
        <w:rPr>
          <w:rFonts w:ascii="Century Schoolbook" w:hAnsi="Century Schoolbook"/>
          <w:bCs/>
        </w:rPr>
        <w:t xml:space="preserve">as </w:t>
      </w:r>
      <w:r w:rsidR="00F13C08">
        <w:rPr>
          <w:rFonts w:ascii="Century Schoolbook" w:hAnsi="Century Schoolbook"/>
          <w:bCs/>
        </w:rPr>
        <w:t>factually supported in the record]</w:t>
      </w:r>
      <w:r w:rsidR="000060B3">
        <w:rPr>
          <w:rFonts w:ascii="Century Schoolbook" w:hAnsi="Century Schoolbook"/>
          <w:bCs/>
        </w:rPr>
        <w:t>;</w:t>
      </w:r>
      <w:r w:rsidR="005A0695">
        <w:rPr>
          <w:rFonts w:ascii="Century Schoolbook" w:hAnsi="Century Schoolbook"/>
          <w:bCs/>
        </w:rPr>
        <w:t xml:space="preserve"> </w:t>
      </w:r>
      <w:r w:rsidR="00E25AED" w:rsidRPr="00E25AED">
        <w:rPr>
          <w:rFonts w:ascii="Century Schoolbook" w:hAnsi="Century Schoolbook"/>
          <w:bCs/>
          <w:i/>
          <w:iCs/>
        </w:rPr>
        <w:t>Tiburon, supra</w:t>
      </w:r>
      <w:r w:rsidR="00E25AED">
        <w:rPr>
          <w:rFonts w:ascii="Century Schoolbook" w:hAnsi="Century Schoolbook"/>
          <w:bCs/>
        </w:rPr>
        <w:t>, 78 Cal.App.5th at p. 728 [legal error in failing to comply with CEQA is reviewed independently but all factual determinations are reviewed for substantial evidence, including the methodology used for studying an impact, the scope of an EIR’s analysis of a topic, and the reliability or accuracy of the data upon which EIR relied]</w:t>
      </w:r>
      <w:r w:rsidR="003C68D4">
        <w:rPr>
          <w:rFonts w:ascii="Century Schoolbook" w:hAnsi="Century Schoolbook"/>
          <w:bCs/>
        </w:rPr>
        <w:t xml:space="preserve">; </w:t>
      </w:r>
      <w:proofErr w:type="spellStart"/>
      <w:r w:rsidR="003C68D4" w:rsidRPr="00854A78">
        <w:rPr>
          <w:rFonts w:ascii="Century Schoolbook" w:hAnsi="Century Schoolbook"/>
          <w:i/>
          <w:iCs/>
        </w:rPr>
        <w:t>Ebbetts</w:t>
      </w:r>
      <w:proofErr w:type="spellEnd"/>
      <w:r w:rsidR="003C68D4" w:rsidRPr="00854A78">
        <w:rPr>
          <w:rFonts w:ascii="Century Schoolbook" w:hAnsi="Century Schoolbook"/>
          <w:i/>
          <w:iCs/>
        </w:rPr>
        <w:t xml:space="preserve"> Pass Forest Watch v. California Department of Forestry &amp; Fire Protection</w:t>
      </w:r>
      <w:r w:rsidR="003C68D4">
        <w:rPr>
          <w:rFonts w:ascii="Century Schoolbook" w:hAnsi="Century Schoolbook"/>
        </w:rPr>
        <w:t xml:space="preserve"> (2008) 43 Cal.4th 936, 955 [determination </w:t>
      </w:r>
      <w:r w:rsidR="009D2F7F">
        <w:rPr>
          <w:rFonts w:ascii="Century Schoolbook" w:hAnsi="Century Schoolbook"/>
        </w:rPr>
        <w:t>of</w:t>
      </w:r>
      <w:r w:rsidR="003C68D4">
        <w:rPr>
          <w:rFonts w:ascii="Century Schoolbook" w:hAnsi="Century Schoolbook"/>
        </w:rPr>
        <w:t xml:space="preserve"> future uncertainties and unpredictability </w:t>
      </w:r>
      <w:r w:rsidR="009D2F7F">
        <w:rPr>
          <w:rFonts w:ascii="Century Schoolbook" w:hAnsi="Century Schoolbook"/>
        </w:rPr>
        <w:t xml:space="preserve">as </w:t>
      </w:r>
      <w:r w:rsidR="003C68D4">
        <w:rPr>
          <w:rFonts w:ascii="Century Schoolbook" w:hAnsi="Century Schoolbook"/>
        </w:rPr>
        <w:t>le</w:t>
      </w:r>
      <w:r w:rsidR="009D2F7F">
        <w:rPr>
          <w:rFonts w:ascii="Century Schoolbook" w:hAnsi="Century Schoolbook"/>
        </w:rPr>
        <w:t>a</w:t>
      </w:r>
      <w:r w:rsidR="003C68D4">
        <w:rPr>
          <w:rFonts w:ascii="Century Schoolbook" w:hAnsi="Century Schoolbook"/>
        </w:rPr>
        <w:t>d</w:t>
      </w:r>
      <w:r w:rsidR="009D2F7F">
        <w:rPr>
          <w:rFonts w:ascii="Century Schoolbook" w:hAnsi="Century Schoolbook"/>
        </w:rPr>
        <w:t>ing</w:t>
      </w:r>
      <w:r w:rsidR="003C68D4">
        <w:rPr>
          <w:rFonts w:ascii="Century Schoolbook" w:hAnsi="Century Schoolbook"/>
        </w:rPr>
        <w:t xml:space="preserve"> to less detailed </w:t>
      </w:r>
      <w:r w:rsidR="009D2F7F">
        <w:rPr>
          <w:rFonts w:ascii="Century Schoolbook" w:hAnsi="Century Schoolbook"/>
        </w:rPr>
        <w:t xml:space="preserve">and specific </w:t>
      </w:r>
      <w:r w:rsidR="003C68D4">
        <w:rPr>
          <w:rFonts w:ascii="Century Schoolbook" w:hAnsi="Century Schoolbook"/>
        </w:rPr>
        <w:t xml:space="preserve">analysis </w:t>
      </w:r>
      <w:r w:rsidR="009D2F7F">
        <w:rPr>
          <w:rFonts w:ascii="Century Schoolbook" w:hAnsi="Century Schoolbook"/>
        </w:rPr>
        <w:t>was predominantly factual question]</w:t>
      </w:r>
      <w:r w:rsidR="00621FA3">
        <w:rPr>
          <w:rFonts w:ascii="Century Schoolbook" w:hAnsi="Century Schoolbook"/>
          <w:bCs/>
        </w:rPr>
        <w:t>.</w:t>
      </w:r>
      <w:r w:rsidR="00782C18">
        <w:rPr>
          <w:rFonts w:ascii="Century Schoolbook" w:hAnsi="Century Schoolbook"/>
          <w:bCs/>
        </w:rPr>
        <w:t>)</w:t>
      </w:r>
      <w:r w:rsidR="00055500">
        <w:rPr>
          <w:rFonts w:ascii="Century Schoolbook" w:hAnsi="Century Schoolbook"/>
        </w:rPr>
        <w:t xml:space="preserve"> </w:t>
      </w:r>
    </w:p>
    <w:p w14:paraId="7AA9B1E5" w14:textId="4212DEFB" w:rsidR="004A0AF1" w:rsidRDefault="00511981" w:rsidP="00A01A0F">
      <w:pPr>
        <w:rPr>
          <w:rFonts w:ascii="Century Schoolbook" w:hAnsi="Century Schoolbook"/>
        </w:rPr>
      </w:pPr>
      <w:r>
        <w:rPr>
          <w:rFonts w:ascii="Century Schoolbook" w:hAnsi="Century Schoolbook"/>
        </w:rPr>
        <w:tab/>
      </w:r>
      <w:r w:rsidR="009563FE">
        <w:rPr>
          <w:rFonts w:ascii="Century Schoolbook" w:hAnsi="Century Schoolbook"/>
        </w:rPr>
        <w:t>Beyond that, w</w:t>
      </w:r>
      <w:r>
        <w:rPr>
          <w:rFonts w:ascii="Century Schoolbook" w:hAnsi="Century Schoolbook"/>
        </w:rPr>
        <w:t xml:space="preserve">e conclude that based on the non-specific, uncertain, and vague nature and quality of the </w:t>
      </w:r>
      <w:r w:rsidR="00961176">
        <w:rPr>
          <w:rFonts w:ascii="Century Schoolbook" w:hAnsi="Century Schoolbook"/>
        </w:rPr>
        <w:t xml:space="preserve">information provided by the </w:t>
      </w:r>
      <w:r>
        <w:rPr>
          <w:rFonts w:ascii="Century Schoolbook" w:hAnsi="Century Schoolbook"/>
        </w:rPr>
        <w:t>Districts</w:t>
      </w:r>
      <w:r w:rsidR="00961176">
        <w:rPr>
          <w:rFonts w:ascii="Century Schoolbook" w:hAnsi="Century Schoolbook"/>
        </w:rPr>
        <w:t xml:space="preserve">, in the context of a land-use and long-range planning document like the Specific Plan, </w:t>
      </w:r>
      <w:r w:rsidR="000F28B2">
        <w:rPr>
          <w:rFonts w:ascii="Century Schoolbook" w:hAnsi="Century Schoolbook"/>
        </w:rPr>
        <w:t xml:space="preserve">the Final EIR for the Specific Plan and the City’s responses to the Districts’ comments were adequate under CEQA. This is </w:t>
      </w:r>
      <w:r w:rsidR="00961176">
        <w:rPr>
          <w:rFonts w:ascii="Century Schoolbook" w:hAnsi="Century Schoolbook"/>
        </w:rPr>
        <w:t xml:space="preserve">especially </w:t>
      </w:r>
      <w:r w:rsidR="000F28B2">
        <w:rPr>
          <w:rFonts w:ascii="Century Schoolbook" w:hAnsi="Century Schoolbook"/>
        </w:rPr>
        <w:t xml:space="preserve">true </w:t>
      </w:r>
      <w:r w:rsidR="00961176">
        <w:rPr>
          <w:rFonts w:ascii="Century Schoolbook" w:hAnsi="Century Schoolbook"/>
        </w:rPr>
        <w:t xml:space="preserve">when the generally identified potential indirect and off-site impacts related to existing school facilities were impacts that might flow and could be identified only from later decisions by the Districts themselves, </w:t>
      </w:r>
      <w:r w:rsidR="004A0AF1">
        <w:rPr>
          <w:rFonts w:ascii="Century Schoolbook" w:hAnsi="Century Schoolbook"/>
        </w:rPr>
        <w:t xml:space="preserve">which </w:t>
      </w:r>
      <w:r w:rsidR="005E5859">
        <w:rPr>
          <w:rFonts w:ascii="Century Schoolbook" w:hAnsi="Century Schoolbook"/>
        </w:rPr>
        <w:t xml:space="preserve">impacts </w:t>
      </w:r>
      <w:r w:rsidR="004A0AF1">
        <w:rPr>
          <w:rFonts w:ascii="Century Schoolbook" w:hAnsi="Century Schoolbook"/>
        </w:rPr>
        <w:t xml:space="preserve">may call for later </w:t>
      </w:r>
      <w:r w:rsidR="00570D73">
        <w:rPr>
          <w:rFonts w:ascii="Century Schoolbook" w:hAnsi="Century Schoolbook"/>
        </w:rPr>
        <w:t xml:space="preserve">project-level </w:t>
      </w:r>
      <w:r w:rsidR="004A0AF1">
        <w:rPr>
          <w:rFonts w:ascii="Century Schoolbook" w:hAnsi="Century Schoolbook"/>
        </w:rPr>
        <w:t>environmental review</w:t>
      </w:r>
      <w:r w:rsidR="005E4668">
        <w:rPr>
          <w:rFonts w:ascii="Century Schoolbook" w:hAnsi="Century Schoolbook"/>
        </w:rPr>
        <w:t xml:space="preserve"> by the Districts</w:t>
      </w:r>
      <w:r w:rsidR="000F28B2">
        <w:rPr>
          <w:rFonts w:ascii="Century Schoolbook" w:hAnsi="Century Schoolbook"/>
        </w:rPr>
        <w:t>, not the City.</w:t>
      </w:r>
      <w:r w:rsidR="004A0AF1">
        <w:rPr>
          <w:rFonts w:ascii="Century Schoolbook" w:hAnsi="Century Schoolbook"/>
        </w:rPr>
        <w:t xml:space="preserve"> </w:t>
      </w:r>
      <w:r w:rsidR="00F50837">
        <w:rPr>
          <w:rFonts w:ascii="Century Schoolbook" w:hAnsi="Century Schoolbook"/>
        </w:rPr>
        <w:t>The City was not required to “dimly guess” about potential impacts based on uncertain and non-specific information and many unknowns. (</w:t>
      </w:r>
      <w:r w:rsidR="00F50837" w:rsidRPr="00F50837">
        <w:rPr>
          <w:rFonts w:ascii="Century Schoolbook" w:hAnsi="Century Schoolbook"/>
          <w:i/>
          <w:iCs/>
        </w:rPr>
        <w:t>Newark, supra</w:t>
      </w:r>
      <w:r w:rsidR="00F50837">
        <w:rPr>
          <w:rFonts w:ascii="Century Schoolbook" w:hAnsi="Century Schoolbook"/>
        </w:rPr>
        <w:t xml:space="preserve">, 74 Cal.App.5th at p. 479.) </w:t>
      </w:r>
      <w:r w:rsidR="005E5859">
        <w:rPr>
          <w:rFonts w:ascii="Century Schoolbook" w:hAnsi="Century Schoolbook"/>
        </w:rPr>
        <w:t xml:space="preserve">To the extent the City </w:t>
      </w:r>
      <w:r w:rsidR="000976D3">
        <w:rPr>
          <w:rFonts w:ascii="Century Schoolbook" w:hAnsi="Century Schoolbook"/>
        </w:rPr>
        <w:t>reached</w:t>
      </w:r>
      <w:r w:rsidR="005E5859">
        <w:rPr>
          <w:rFonts w:ascii="Century Schoolbook" w:hAnsi="Century Schoolbook"/>
        </w:rPr>
        <w:t xml:space="preserve"> the conclusion that the </w:t>
      </w:r>
      <w:r w:rsidR="000F28B2">
        <w:rPr>
          <w:rFonts w:ascii="Century Schoolbook" w:hAnsi="Century Schoolbook"/>
        </w:rPr>
        <w:t xml:space="preserve">Districts’ </w:t>
      </w:r>
      <w:r w:rsidR="005E5859">
        <w:rPr>
          <w:rFonts w:ascii="Century Schoolbook" w:hAnsi="Century Schoolbook"/>
        </w:rPr>
        <w:lastRenderedPageBreak/>
        <w:t>comments were speculative, noted the conclusion, and terminated the discussion, the City complied with Guidelines section 15145 concerning speculation</w:t>
      </w:r>
      <w:r w:rsidR="005E4668">
        <w:rPr>
          <w:rFonts w:ascii="Century Schoolbook" w:hAnsi="Century Schoolbook"/>
        </w:rPr>
        <w:t xml:space="preserve"> and </w:t>
      </w:r>
      <w:r w:rsidR="000976D3">
        <w:rPr>
          <w:rFonts w:ascii="Century Schoolbook" w:hAnsi="Century Schoolbook"/>
        </w:rPr>
        <w:t xml:space="preserve">section </w:t>
      </w:r>
      <w:r w:rsidR="005E4668">
        <w:rPr>
          <w:rFonts w:ascii="Century Schoolbook" w:hAnsi="Century Schoolbook"/>
        </w:rPr>
        <w:t>15088 on responses to comments</w:t>
      </w:r>
      <w:r w:rsidR="005E5859">
        <w:rPr>
          <w:rFonts w:ascii="Century Schoolbook" w:hAnsi="Century Schoolbook"/>
        </w:rPr>
        <w:t xml:space="preserve">. </w:t>
      </w:r>
      <w:r w:rsidR="00570D73">
        <w:rPr>
          <w:rFonts w:ascii="Century Schoolbook" w:hAnsi="Century Schoolbook"/>
        </w:rPr>
        <w:t>(See, Guidelines, § 15088, subd</w:t>
      </w:r>
      <w:r w:rsidR="005E4668">
        <w:rPr>
          <w:rFonts w:ascii="Century Schoolbook" w:hAnsi="Century Schoolbook"/>
        </w:rPr>
        <w:t>s</w:t>
      </w:r>
      <w:r w:rsidR="00570D73">
        <w:rPr>
          <w:rFonts w:ascii="Century Schoolbook" w:hAnsi="Century Schoolbook"/>
        </w:rPr>
        <w:t xml:space="preserve">. </w:t>
      </w:r>
      <w:r w:rsidR="005E4668">
        <w:rPr>
          <w:rFonts w:ascii="Century Schoolbook" w:hAnsi="Century Schoolbook"/>
        </w:rPr>
        <w:t xml:space="preserve">(a) &amp; </w:t>
      </w:r>
      <w:r w:rsidR="00570D73">
        <w:rPr>
          <w:rFonts w:ascii="Century Schoolbook" w:hAnsi="Century Schoolbook"/>
        </w:rPr>
        <w:t>(c) [lead agency must respond to comments on “significant environmental issues” in good faith</w:t>
      </w:r>
      <w:r w:rsidR="00C2778E">
        <w:rPr>
          <w:rFonts w:ascii="Century Schoolbook" w:hAnsi="Century Schoolbook"/>
        </w:rPr>
        <w:t xml:space="preserve">, giving detailed reasons why specific comments and suggestions were not accepted but level of detail may correspond with level of detail provided in comment; responses to general comments may be general].) </w:t>
      </w:r>
      <w:r w:rsidR="001E6FF4">
        <w:rPr>
          <w:rFonts w:ascii="Century Schoolbook" w:hAnsi="Century Schoolbook"/>
        </w:rPr>
        <w:t>Given the non-specificity of the comments and the extent to which information about decisions the Districts might make in the future to accommodate additional students if new schools were not built</w:t>
      </w:r>
      <w:r w:rsidR="004A0AF1">
        <w:rPr>
          <w:rFonts w:ascii="Century Schoolbook" w:hAnsi="Century Schoolbook"/>
        </w:rPr>
        <w:t>,</w:t>
      </w:r>
      <w:r w:rsidR="001E6FF4">
        <w:rPr>
          <w:rFonts w:ascii="Century Schoolbook" w:hAnsi="Century Schoolbook"/>
        </w:rPr>
        <w:t xml:space="preserve"> and any related environmental impacts resulting from those future decisions, was not </w:t>
      </w:r>
      <w:r w:rsidR="00F50837">
        <w:rPr>
          <w:rFonts w:ascii="Century Schoolbook" w:hAnsi="Century Schoolbook"/>
        </w:rPr>
        <w:t xml:space="preserve">yet </w:t>
      </w:r>
      <w:r w:rsidR="001E6FF4">
        <w:rPr>
          <w:rFonts w:ascii="Century Schoolbook" w:hAnsi="Century Schoolbook"/>
        </w:rPr>
        <w:t>known, additional discussion</w:t>
      </w:r>
      <w:r w:rsidR="00F50837">
        <w:rPr>
          <w:rFonts w:ascii="Century Schoolbook" w:hAnsi="Century Schoolbook"/>
        </w:rPr>
        <w:t>,</w:t>
      </w:r>
      <w:r w:rsidR="001E6FF4">
        <w:rPr>
          <w:rFonts w:ascii="Century Schoolbook" w:hAnsi="Century Schoolbook"/>
        </w:rPr>
        <w:t xml:space="preserve"> analysis</w:t>
      </w:r>
      <w:r w:rsidR="00F50837">
        <w:rPr>
          <w:rFonts w:ascii="Century Schoolbook" w:hAnsi="Century Schoolbook"/>
        </w:rPr>
        <w:t>,</w:t>
      </w:r>
      <w:r w:rsidR="001E6FF4">
        <w:rPr>
          <w:rFonts w:ascii="Century Schoolbook" w:hAnsi="Century Schoolbook"/>
        </w:rPr>
        <w:t xml:space="preserve"> or response by the City could not possibly be meaningful in the sense CEQA intends and requires</w:t>
      </w:r>
      <w:r w:rsidR="004A0AF1">
        <w:rPr>
          <w:rFonts w:ascii="Century Schoolbook" w:hAnsi="Century Schoolbook"/>
        </w:rPr>
        <w:t xml:space="preserve"> to serve its informational and decision-making purposes</w:t>
      </w:r>
      <w:r w:rsidR="001E6FF4">
        <w:rPr>
          <w:rFonts w:ascii="Century Schoolbook" w:hAnsi="Century Schoolbook"/>
        </w:rPr>
        <w:t>.</w:t>
      </w:r>
      <w:r w:rsidR="004A0AF1">
        <w:rPr>
          <w:rFonts w:ascii="Century Schoolbook" w:hAnsi="Century Schoolbook"/>
        </w:rPr>
        <w:t xml:space="preserve"> </w:t>
      </w:r>
    </w:p>
    <w:p w14:paraId="4575BAA1" w14:textId="753B1E84" w:rsidR="00AF6DF5" w:rsidRDefault="004A0AF1" w:rsidP="00A01A0F">
      <w:pPr>
        <w:rPr>
          <w:rFonts w:ascii="Century Schoolbook" w:hAnsi="Century Schoolbook"/>
          <w:lang w:val="es-US"/>
        </w:rPr>
      </w:pPr>
      <w:r>
        <w:rPr>
          <w:rFonts w:ascii="Century Schoolbook" w:hAnsi="Century Schoolbook"/>
        </w:rPr>
        <w:tab/>
        <w:t xml:space="preserve">On this record, </w:t>
      </w:r>
      <w:r w:rsidR="005E5859">
        <w:rPr>
          <w:rFonts w:ascii="Century Schoolbook" w:hAnsi="Century Schoolbook"/>
        </w:rPr>
        <w:t xml:space="preserve">and based on our independent review while deferring to the City’s factual </w:t>
      </w:r>
      <w:r w:rsidR="000976D3">
        <w:rPr>
          <w:rFonts w:ascii="Century Schoolbook" w:hAnsi="Century Schoolbook"/>
        </w:rPr>
        <w:t>determination</w:t>
      </w:r>
      <w:r w:rsidR="005E5859">
        <w:rPr>
          <w:rFonts w:ascii="Century Schoolbook" w:hAnsi="Century Schoolbook"/>
        </w:rPr>
        <w:t xml:space="preserve"> of speculation </w:t>
      </w:r>
      <w:r w:rsidR="00F50837">
        <w:rPr>
          <w:rFonts w:ascii="Century Schoolbook" w:hAnsi="Century Schoolbook"/>
        </w:rPr>
        <w:t>in</w:t>
      </w:r>
      <w:r w:rsidR="005E5859">
        <w:rPr>
          <w:rFonts w:ascii="Century Schoolbook" w:hAnsi="Century Schoolbook"/>
        </w:rPr>
        <w:t xml:space="preserve"> the Districts’ comments, </w:t>
      </w:r>
      <w:r>
        <w:rPr>
          <w:rFonts w:ascii="Century Schoolbook" w:hAnsi="Century Schoolbook"/>
        </w:rPr>
        <w:t xml:space="preserve">“we are satisfied that the EIR ‘ “include[d] detail sufficient to enable those who did not participate in its preparation to understand and to consider meaningfully the issues raised by the </w:t>
      </w:r>
      <w:r w:rsidR="005E5859">
        <w:rPr>
          <w:rFonts w:ascii="Century Schoolbook" w:hAnsi="Century Schoolbook"/>
        </w:rPr>
        <w:t>[</w:t>
      </w:r>
      <w:r>
        <w:rPr>
          <w:rFonts w:ascii="Century Schoolbook" w:hAnsi="Century Schoolbook"/>
        </w:rPr>
        <w:t>Specific</w:t>
      </w:r>
      <w:r w:rsidR="005E5859">
        <w:rPr>
          <w:rFonts w:ascii="Century Schoolbook" w:hAnsi="Century Schoolbook"/>
        </w:rPr>
        <w:t xml:space="preserve"> Plan]” ’ [Citation.] That was enough.” (</w:t>
      </w:r>
      <w:r w:rsidR="005E5859" w:rsidRPr="005E5859">
        <w:rPr>
          <w:rFonts w:ascii="Century Schoolbook" w:hAnsi="Century Schoolbook"/>
          <w:i/>
          <w:iCs/>
        </w:rPr>
        <w:t>Butte, supra</w:t>
      </w:r>
      <w:r w:rsidR="005E5859">
        <w:rPr>
          <w:rFonts w:ascii="Century Schoolbook" w:hAnsi="Century Schoolbook"/>
        </w:rPr>
        <w:t>, 90 Cal.App.5th at p. 164</w:t>
      </w:r>
      <w:r w:rsidR="00030533">
        <w:rPr>
          <w:rFonts w:ascii="Century Schoolbook" w:hAnsi="Century Schoolbook"/>
        </w:rPr>
        <w:t xml:space="preserve">; </w:t>
      </w:r>
      <w:r w:rsidR="00030533" w:rsidRPr="00030533">
        <w:rPr>
          <w:rFonts w:ascii="Century Schoolbook" w:hAnsi="Century Schoolbook"/>
          <w:i/>
          <w:iCs/>
        </w:rPr>
        <w:t>Sierra Club, supra</w:t>
      </w:r>
      <w:r w:rsidR="00030533">
        <w:rPr>
          <w:rFonts w:ascii="Century Schoolbook" w:hAnsi="Century Schoolbook"/>
        </w:rPr>
        <w:t xml:space="preserve">, 6 Cal.5th at pp. 520–521; </w:t>
      </w:r>
      <w:r w:rsidR="00030533" w:rsidRPr="00030533">
        <w:rPr>
          <w:rFonts w:ascii="Century Schoolbook" w:hAnsi="Century Schoolbook"/>
          <w:i/>
          <w:iCs/>
        </w:rPr>
        <w:t>Laurel Heights, supra</w:t>
      </w:r>
      <w:r w:rsidR="00030533">
        <w:rPr>
          <w:rFonts w:ascii="Century Schoolbook" w:hAnsi="Century Schoolbook"/>
        </w:rPr>
        <w:t>, 47 Cal.3d at p. 405</w:t>
      </w:r>
      <w:r w:rsidR="005E5859">
        <w:rPr>
          <w:rFonts w:ascii="Century Schoolbook" w:hAnsi="Century Schoolbook"/>
        </w:rPr>
        <w:t xml:space="preserve">.) </w:t>
      </w:r>
      <w:r w:rsidR="00896C71">
        <w:rPr>
          <w:rFonts w:ascii="Century Schoolbook" w:hAnsi="Century Schoolbook"/>
        </w:rPr>
        <w:t xml:space="preserve">As an informational document, the Final EIR was required to study and analyze only the reasonably foreseeable consequences of the Specific Plan. (See </w:t>
      </w:r>
      <w:r w:rsidR="00896C71" w:rsidRPr="00896C71">
        <w:rPr>
          <w:rFonts w:ascii="Century Schoolbook" w:hAnsi="Century Schoolbook"/>
          <w:i/>
          <w:iCs/>
        </w:rPr>
        <w:t>High Sierra Rural Alliance v. County of Plumas</w:t>
      </w:r>
      <w:r w:rsidR="00896C71">
        <w:rPr>
          <w:rFonts w:ascii="Century Schoolbook" w:hAnsi="Century Schoolbook"/>
        </w:rPr>
        <w:t xml:space="preserve"> (2018) 29 Cal.App.5th 102, 125–126.) </w:t>
      </w:r>
      <w:r w:rsidR="00030533">
        <w:rPr>
          <w:rFonts w:ascii="Century Schoolbook" w:hAnsi="Century Schoolbook"/>
        </w:rPr>
        <w:t>It was not required to engage in “</w:t>
      </w:r>
      <w:r w:rsidR="00E90B10">
        <w:rPr>
          <w:rFonts w:ascii="Century Schoolbook" w:hAnsi="Century Schoolbook"/>
        </w:rPr>
        <w:t> </w:t>
      </w:r>
      <w:r w:rsidR="00030533">
        <w:rPr>
          <w:rFonts w:ascii="Century Schoolbook" w:hAnsi="Century Schoolbook"/>
        </w:rPr>
        <w:t>‘sheer speculation’ ” based on non-specific and uncertain information about events or development that might occur in the future. (</w:t>
      </w:r>
      <w:r w:rsidR="00030533" w:rsidRPr="00030533">
        <w:rPr>
          <w:rFonts w:ascii="Century Schoolbook" w:hAnsi="Century Schoolbook"/>
          <w:i/>
          <w:iCs/>
        </w:rPr>
        <w:t>Marin, supra</w:t>
      </w:r>
      <w:r w:rsidR="00030533">
        <w:rPr>
          <w:rFonts w:ascii="Century Schoolbook" w:hAnsi="Century Schoolbook"/>
        </w:rPr>
        <w:t xml:space="preserve">, 235 Cal.App.3d at p. 1662.) </w:t>
      </w:r>
      <w:r w:rsidR="00FC2F12">
        <w:rPr>
          <w:rFonts w:ascii="Century Schoolbook" w:hAnsi="Century Schoolbook"/>
        </w:rPr>
        <w:t xml:space="preserve">Further, the Districts’ comments and the City’s </w:t>
      </w:r>
      <w:r w:rsidR="00FC2F12">
        <w:rPr>
          <w:rFonts w:ascii="Century Schoolbook" w:hAnsi="Century Schoolbook"/>
        </w:rPr>
        <w:lastRenderedPageBreak/>
        <w:t xml:space="preserve">responses reflect the Districts’ </w:t>
      </w:r>
      <w:r w:rsidR="00AF6DF5">
        <w:rPr>
          <w:rFonts w:ascii="Century Schoolbook" w:hAnsi="Century Schoolbook"/>
        </w:rPr>
        <w:t xml:space="preserve">concerns and </w:t>
      </w:r>
      <w:r w:rsidR="00FC2F12">
        <w:rPr>
          <w:rFonts w:ascii="Century Schoolbook" w:hAnsi="Century Schoolbook"/>
        </w:rPr>
        <w:t>disagreement with the adequacy of the EIR as it concerns school funding and facilities</w:t>
      </w:r>
      <w:r w:rsidR="00AF6DF5">
        <w:rPr>
          <w:rFonts w:ascii="Century Schoolbook" w:hAnsi="Century Schoolbook"/>
        </w:rPr>
        <w:t>. T</w:t>
      </w:r>
      <w:r w:rsidR="00FC2F12">
        <w:rPr>
          <w:rFonts w:ascii="Century Schoolbook" w:hAnsi="Century Schoolbook"/>
        </w:rPr>
        <w:t xml:space="preserve">his content serves CEQA’s informational function to apprise the public </w:t>
      </w:r>
      <w:r w:rsidR="00AF6DF5">
        <w:rPr>
          <w:rFonts w:ascii="Century Schoolbook" w:hAnsi="Century Schoolbook"/>
        </w:rPr>
        <w:t xml:space="preserve">of these issues </w:t>
      </w:r>
      <w:r w:rsidR="00FC2F12">
        <w:rPr>
          <w:rFonts w:ascii="Century Schoolbook" w:hAnsi="Century Schoolbook"/>
        </w:rPr>
        <w:t>and to enable those who did not participate in the EIR’s preparation to consider the issue</w:t>
      </w:r>
      <w:r w:rsidR="00AF6DF5">
        <w:rPr>
          <w:rFonts w:ascii="Century Schoolbook" w:hAnsi="Century Schoolbook"/>
        </w:rPr>
        <w:t>s</w:t>
      </w:r>
      <w:r w:rsidR="00FC2F12">
        <w:rPr>
          <w:rFonts w:ascii="Century Schoolbook" w:hAnsi="Century Schoolbook"/>
        </w:rPr>
        <w:t xml:space="preserve"> to the extent currently possible, given the </w:t>
      </w:r>
      <w:r w:rsidR="009563FE">
        <w:rPr>
          <w:rFonts w:ascii="Century Schoolbook" w:hAnsi="Century Schoolbook"/>
        </w:rPr>
        <w:t xml:space="preserve">present </w:t>
      </w:r>
      <w:r w:rsidR="00FC2F12">
        <w:rPr>
          <w:rFonts w:ascii="Century Schoolbook" w:hAnsi="Century Schoolbook"/>
        </w:rPr>
        <w:t xml:space="preserve">unknowns. </w:t>
      </w:r>
      <w:r w:rsidR="00AF6DF5">
        <w:rPr>
          <w:rFonts w:ascii="Century Schoolbook" w:hAnsi="Century Schoolbook"/>
        </w:rPr>
        <w:t xml:space="preserve">(See e.g. </w:t>
      </w:r>
      <w:r w:rsidR="00AF6DF5" w:rsidRPr="00AF6DF5">
        <w:rPr>
          <w:rFonts w:ascii="Century Schoolbook" w:hAnsi="Century Schoolbook"/>
          <w:i/>
          <w:iCs/>
        </w:rPr>
        <w:t>Bann</w:t>
      </w:r>
      <w:r w:rsidR="00DB1098">
        <w:rPr>
          <w:rFonts w:ascii="Century Schoolbook" w:hAnsi="Century Schoolbook"/>
          <w:i/>
          <w:iCs/>
        </w:rPr>
        <w:t>ing</w:t>
      </w:r>
      <w:r w:rsidR="00AF6DF5" w:rsidRPr="00AF6DF5">
        <w:rPr>
          <w:rFonts w:ascii="Century Schoolbook" w:hAnsi="Century Schoolbook"/>
          <w:i/>
          <w:iCs/>
        </w:rPr>
        <w:t xml:space="preserve"> Ranch</w:t>
      </w:r>
      <w:r w:rsidR="00DB1098">
        <w:rPr>
          <w:rFonts w:ascii="Century Schoolbook" w:hAnsi="Century Schoolbook"/>
          <w:i/>
          <w:iCs/>
        </w:rPr>
        <w:t>, supra,</w:t>
      </w:r>
      <w:r w:rsidR="00E90B10">
        <w:rPr>
          <w:rFonts w:ascii="Century Schoolbook" w:hAnsi="Century Schoolbook"/>
          <w:i/>
          <w:iCs/>
        </w:rPr>
        <w:t xml:space="preserve"> </w:t>
      </w:r>
      <w:r w:rsidR="00AF6DF5">
        <w:rPr>
          <w:rFonts w:ascii="Century Schoolbook" w:hAnsi="Century Schoolbook"/>
        </w:rPr>
        <w:t xml:space="preserve">2 Cal.5th </w:t>
      </w:r>
      <w:r w:rsidR="00DB1098">
        <w:rPr>
          <w:rFonts w:ascii="Century Schoolbook" w:hAnsi="Century Schoolbook"/>
        </w:rPr>
        <w:t xml:space="preserve">at p. </w:t>
      </w:r>
      <w:r w:rsidR="00AF6DF5">
        <w:rPr>
          <w:rFonts w:ascii="Century Schoolbook" w:hAnsi="Century Schoolbook"/>
        </w:rPr>
        <w:t>940</w:t>
      </w:r>
      <w:r w:rsidR="001046D3">
        <w:rPr>
          <w:rFonts w:ascii="Century Schoolbook" w:hAnsi="Century Schoolbook"/>
        </w:rPr>
        <w:t xml:space="preserve">; </w:t>
      </w:r>
      <w:r w:rsidR="001046D3" w:rsidRPr="006D2368">
        <w:rPr>
          <w:rFonts w:ascii="Century Schoolbook" w:hAnsi="Century Schoolbook"/>
          <w:i/>
          <w:iCs/>
        </w:rPr>
        <w:t>Cleveland National Forest Foundation v. San Diego Assn. of Governments</w:t>
      </w:r>
      <w:r w:rsidR="001046D3">
        <w:rPr>
          <w:rFonts w:ascii="Century Schoolbook" w:hAnsi="Century Schoolbook"/>
        </w:rPr>
        <w:t xml:space="preserve"> (2017) 3 Cal.5th 497, 516–517 [</w:t>
      </w:r>
      <w:r w:rsidR="00284CE6">
        <w:rPr>
          <w:rFonts w:ascii="Century Schoolbook" w:hAnsi="Century Schoolbook"/>
        </w:rPr>
        <w:t xml:space="preserve">discussion in section for </w:t>
      </w:r>
      <w:r w:rsidR="001046D3">
        <w:rPr>
          <w:rFonts w:ascii="Century Schoolbook" w:hAnsi="Century Schoolbook"/>
        </w:rPr>
        <w:t>response</w:t>
      </w:r>
      <w:r w:rsidR="00284CE6">
        <w:rPr>
          <w:rFonts w:ascii="Century Schoolbook" w:hAnsi="Century Schoolbook"/>
        </w:rPr>
        <w:t>s</w:t>
      </w:r>
      <w:r w:rsidR="001046D3">
        <w:rPr>
          <w:rFonts w:ascii="Century Schoolbook" w:hAnsi="Century Schoolbook"/>
        </w:rPr>
        <w:t xml:space="preserve"> to comments </w:t>
      </w:r>
      <w:r w:rsidR="00284CE6">
        <w:rPr>
          <w:rFonts w:ascii="Century Schoolbook" w:hAnsi="Century Schoolbook"/>
        </w:rPr>
        <w:t xml:space="preserve">in EIR </w:t>
      </w:r>
      <w:r w:rsidR="001046D3">
        <w:rPr>
          <w:rFonts w:ascii="Century Schoolbook" w:hAnsi="Century Schoolbook"/>
        </w:rPr>
        <w:t>may satisfy informational purposes of the document under CEQA]</w:t>
      </w:r>
      <w:r w:rsidR="00C2778E">
        <w:rPr>
          <w:rFonts w:ascii="Century Schoolbook" w:hAnsi="Century Schoolbook"/>
        </w:rPr>
        <w:t xml:space="preserve">; </w:t>
      </w:r>
      <w:r w:rsidR="00C2778E" w:rsidRPr="006D2368">
        <w:rPr>
          <w:rFonts w:ascii="Century Schoolbook" w:hAnsi="Century Schoolbook"/>
          <w:i/>
          <w:iCs/>
        </w:rPr>
        <w:t>City of Irvine v. County of Orange</w:t>
      </w:r>
      <w:r w:rsidR="00C2778E">
        <w:rPr>
          <w:rFonts w:ascii="Century Schoolbook" w:hAnsi="Century Schoolbook"/>
        </w:rPr>
        <w:t xml:space="preserve"> </w:t>
      </w:r>
      <w:r w:rsidR="00284CE6">
        <w:rPr>
          <w:rFonts w:ascii="Century Schoolbook" w:hAnsi="Century Schoolbook"/>
        </w:rPr>
        <w:t>(</w:t>
      </w:r>
      <w:r w:rsidR="00C2778E">
        <w:rPr>
          <w:rFonts w:ascii="Century Schoolbook" w:hAnsi="Century Schoolbook"/>
        </w:rPr>
        <w:t>2015) 238 Cal.App.4th 526, 550</w:t>
      </w:r>
      <w:r w:rsidR="00284CE6">
        <w:rPr>
          <w:rFonts w:ascii="Century Schoolbook" w:hAnsi="Century Schoolbook"/>
        </w:rPr>
        <w:t>, 553</w:t>
      </w:r>
      <w:r w:rsidR="00C2778E">
        <w:rPr>
          <w:rFonts w:ascii="Century Schoolbook" w:hAnsi="Century Schoolbook"/>
        </w:rPr>
        <w:t xml:space="preserve"> [responses to comments are part of EIR itself and their sufficiency must be viewed in light of </w:t>
      </w:r>
      <w:r w:rsidR="00284CE6">
        <w:rPr>
          <w:rFonts w:ascii="Century Schoolbook" w:hAnsi="Century Schoolbook"/>
        </w:rPr>
        <w:t>reasonable feasibility]</w:t>
      </w:r>
      <w:r w:rsidR="00AF6DF5">
        <w:rPr>
          <w:rFonts w:ascii="Century Schoolbook" w:hAnsi="Century Schoolbook"/>
        </w:rPr>
        <w:t xml:space="preserve">.) </w:t>
      </w:r>
      <w:r w:rsidR="005E5859">
        <w:rPr>
          <w:rFonts w:ascii="Century Schoolbook" w:hAnsi="Century Schoolbook"/>
        </w:rPr>
        <w:t xml:space="preserve">The record reflects that the City used its best efforts to </w:t>
      </w:r>
      <w:r w:rsidR="00DB1098">
        <w:rPr>
          <w:rFonts w:ascii="Century Schoolbook" w:hAnsi="Century Schoolbook"/>
        </w:rPr>
        <w:t>ascertain</w:t>
      </w:r>
      <w:r w:rsidR="005E5859">
        <w:rPr>
          <w:rFonts w:ascii="Century Schoolbook" w:hAnsi="Century Schoolbook"/>
        </w:rPr>
        <w:t xml:space="preserve"> and disclose all that it reasonably</w:t>
      </w:r>
      <w:r w:rsidR="005C0775">
        <w:rPr>
          <w:rFonts w:ascii="Century Schoolbook" w:hAnsi="Century Schoolbook"/>
        </w:rPr>
        <w:t>, feasibly,</w:t>
      </w:r>
      <w:r w:rsidR="005E5859">
        <w:rPr>
          <w:rFonts w:ascii="Century Schoolbook" w:hAnsi="Century Schoolbook"/>
        </w:rPr>
        <w:t xml:space="preserve"> </w:t>
      </w:r>
      <w:r w:rsidR="009563FE">
        <w:rPr>
          <w:rFonts w:ascii="Century Schoolbook" w:hAnsi="Century Schoolbook"/>
        </w:rPr>
        <w:t xml:space="preserve">and currently </w:t>
      </w:r>
      <w:r w:rsidR="005E5859">
        <w:rPr>
          <w:rFonts w:ascii="Century Schoolbook" w:hAnsi="Century Schoolbook"/>
        </w:rPr>
        <w:t>c</w:t>
      </w:r>
      <w:r w:rsidR="005C0775">
        <w:rPr>
          <w:rFonts w:ascii="Century Schoolbook" w:hAnsi="Century Schoolbook"/>
        </w:rPr>
        <w:t>ould</w:t>
      </w:r>
      <w:r w:rsidR="00896C71">
        <w:rPr>
          <w:rFonts w:ascii="Century Schoolbook" w:hAnsi="Century Schoolbook"/>
        </w:rPr>
        <w:t xml:space="preserve"> under the circumstances, addressing identified reasonably foreseeable impacts as required and avoiding what could only be speculative analysis </w:t>
      </w:r>
      <w:r w:rsidR="00284CE6">
        <w:rPr>
          <w:rFonts w:ascii="Century Schoolbook" w:hAnsi="Century Schoolbook"/>
        </w:rPr>
        <w:t xml:space="preserve">or uninformed generalities </w:t>
      </w:r>
      <w:r w:rsidR="00896C71">
        <w:rPr>
          <w:rFonts w:ascii="Century Schoolbook" w:hAnsi="Century Schoolbook"/>
        </w:rPr>
        <w:t xml:space="preserve">based on the type and quality of the information the Districts provided. </w:t>
      </w:r>
      <w:r w:rsidR="00F50837">
        <w:rPr>
          <w:rFonts w:ascii="Century Schoolbook" w:hAnsi="Century Schoolbook"/>
        </w:rPr>
        <w:t>Finally,</w:t>
      </w:r>
      <w:r w:rsidR="00DB7325">
        <w:rPr>
          <w:rFonts w:ascii="Century Schoolbook" w:hAnsi="Century Schoolbook"/>
        </w:rPr>
        <w:t xml:space="preserve"> the Districts’ “general comments </w:t>
      </w:r>
      <w:r w:rsidR="009563FE">
        <w:rPr>
          <w:rFonts w:ascii="Century Schoolbook" w:hAnsi="Century Schoolbook"/>
        </w:rPr>
        <w:t>[could]</w:t>
      </w:r>
      <w:r w:rsidR="00DB7325">
        <w:rPr>
          <w:rFonts w:ascii="Century Schoolbook" w:hAnsi="Century Schoolbook"/>
        </w:rPr>
        <w:t xml:space="preserve"> be met with general responses,” which here are adequate. </w:t>
      </w:r>
      <w:r w:rsidR="00DB7325" w:rsidRPr="00DB7325">
        <w:rPr>
          <w:rFonts w:ascii="Century Schoolbook" w:hAnsi="Century Schoolbook"/>
          <w:lang w:val="es-US"/>
        </w:rPr>
        <w:t>(</w:t>
      </w:r>
      <w:proofErr w:type="spellStart"/>
      <w:r w:rsidR="00DB7325" w:rsidRPr="00DB7325">
        <w:rPr>
          <w:rFonts w:ascii="Century Schoolbook" w:hAnsi="Century Schoolbook"/>
          <w:i/>
          <w:iCs/>
          <w:lang w:val="es-US"/>
        </w:rPr>
        <w:t>Save</w:t>
      </w:r>
      <w:proofErr w:type="spellEnd"/>
      <w:r w:rsidR="00DB7325" w:rsidRPr="00DB7325">
        <w:rPr>
          <w:rFonts w:ascii="Century Schoolbook" w:hAnsi="Century Schoolbook"/>
          <w:i/>
          <w:iCs/>
          <w:lang w:val="es-US"/>
        </w:rPr>
        <w:t xml:space="preserve"> </w:t>
      </w:r>
      <w:proofErr w:type="spellStart"/>
      <w:r w:rsidR="00DB7325" w:rsidRPr="00DB7325">
        <w:rPr>
          <w:rFonts w:ascii="Century Schoolbook" w:hAnsi="Century Schoolbook"/>
          <w:i/>
          <w:iCs/>
          <w:lang w:val="es-US"/>
        </w:rPr>
        <w:t>the</w:t>
      </w:r>
      <w:proofErr w:type="spellEnd"/>
      <w:r w:rsidR="00DB7325" w:rsidRPr="00DB7325">
        <w:rPr>
          <w:rFonts w:ascii="Century Schoolbook" w:hAnsi="Century Schoolbook"/>
          <w:i/>
          <w:iCs/>
          <w:lang w:val="es-US"/>
        </w:rPr>
        <w:t xml:space="preserve"> El Dorado Canal v. El Dorado </w:t>
      </w:r>
      <w:proofErr w:type="spellStart"/>
      <w:r w:rsidR="00DB7325" w:rsidRPr="00DB7325">
        <w:rPr>
          <w:rFonts w:ascii="Century Schoolbook" w:hAnsi="Century Schoolbook"/>
          <w:i/>
          <w:iCs/>
          <w:lang w:val="es-US"/>
        </w:rPr>
        <w:t>Irrigation</w:t>
      </w:r>
      <w:proofErr w:type="spellEnd"/>
      <w:r w:rsidR="00DB7325" w:rsidRPr="00DB7325">
        <w:rPr>
          <w:rFonts w:ascii="Century Schoolbook" w:hAnsi="Century Schoolbook"/>
          <w:i/>
          <w:iCs/>
          <w:lang w:val="es-US"/>
        </w:rPr>
        <w:t xml:space="preserve"> </w:t>
      </w:r>
      <w:proofErr w:type="spellStart"/>
      <w:r w:rsidR="00DB7325" w:rsidRPr="00DB7325">
        <w:rPr>
          <w:rFonts w:ascii="Century Schoolbook" w:hAnsi="Century Schoolbook"/>
          <w:i/>
          <w:iCs/>
          <w:lang w:val="es-US"/>
        </w:rPr>
        <w:t>Dist</w:t>
      </w:r>
      <w:proofErr w:type="spellEnd"/>
      <w:r w:rsidR="00DB7325" w:rsidRPr="00DB7325">
        <w:rPr>
          <w:rFonts w:ascii="Century Schoolbook" w:hAnsi="Century Schoolbook"/>
          <w:i/>
          <w:iCs/>
          <w:lang w:val="es-US"/>
        </w:rPr>
        <w:t>., supra</w:t>
      </w:r>
      <w:r w:rsidR="00DB7325" w:rsidRPr="00DB7325">
        <w:rPr>
          <w:rFonts w:ascii="Century Schoolbook" w:hAnsi="Century Schoolbook"/>
          <w:lang w:val="es-US"/>
        </w:rPr>
        <w:t>, 75 Cal.App.5th at p. 268.)</w:t>
      </w:r>
      <w:r w:rsidR="00DB7325" w:rsidRPr="00F50837">
        <w:rPr>
          <w:rFonts w:ascii="Century Schoolbook" w:hAnsi="Century Schoolbook"/>
          <w:lang w:val="es-US"/>
        </w:rPr>
        <w:t xml:space="preserve"> </w:t>
      </w:r>
    </w:p>
    <w:p w14:paraId="5FC77842" w14:textId="7D665E65" w:rsidR="00A01A0F" w:rsidRPr="00AF6DF5" w:rsidRDefault="00AF6DF5" w:rsidP="003E75F8">
      <w:pPr>
        <w:rPr>
          <w:rFonts w:ascii="Century Schoolbook" w:hAnsi="Century Schoolbook"/>
        </w:rPr>
      </w:pPr>
      <w:r>
        <w:rPr>
          <w:rFonts w:ascii="Century Schoolbook" w:hAnsi="Century Schoolbook"/>
          <w:lang w:val="es-US"/>
        </w:rPr>
        <w:tab/>
      </w:r>
      <w:r w:rsidRPr="00AF6DF5">
        <w:rPr>
          <w:rFonts w:ascii="Century Schoolbook" w:hAnsi="Century Schoolbook"/>
        </w:rPr>
        <w:t>Having concluded that the City’s Final EIR complied with C</w:t>
      </w:r>
      <w:r>
        <w:rPr>
          <w:rFonts w:ascii="Century Schoolbook" w:hAnsi="Century Schoolbook"/>
        </w:rPr>
        <w:t xml:space="preserve">EQA, we reverse </w:t>
      </w:r>
      <w:r w:rsidR="00030533">
        <w:rPr>
          <w:rFonts w:ascii="Century Schoolbook" w:hAnsi="Century Schoolbook"/>
        </w:rPr>
        <w:t xml:space="preserve">the </w:t>
      </w:r>
      <w:r>
        <w:rPr>
          <w:rFonts w:ascii="Century Schoolbook" w:hAnsi="Century Schoolbook"/>
        </w:rPr>
        <w:t>judgment</w:t>
      </w:r>
      <w:r w:rsidR="00DB1098">
        <w:rPr>
          <w:rFonts w:ascii="Century Schoolbook" w:hAnsi="Century Schoolbook"/>
        </w:rPr>
        <w:t xml:space="preserve"> determining otherwise</w:t>
      </w:r>
      <w:r w:rsidR="00030533">
        <w:rPr>
          <w:rFonts w:ascii="Century Schoolbook" w:hAnsi="Century Schoolbook"/>
        </w:rPr>
        <w:t>.</w:t>
      </w:r>
      <w:r w:rsidR="00DB7325" w:rsidRPr="00AF6DF5">
        <w:rPr>
          <w:rFonts w:ascii="Century Schoolbook" w:hAnsi="Century Schoolbook"/>
        </w:rPr>
        <w:t xml:space="preserve"> </w:t>
      </w:r>
      <w:r w:rsidR="00896C71" w:rsidRPr="00AF6DF5">
        <w:rPr>
          <w:rFonts w:ascii="Century Schoolbook" w:hAnsi="Century Schoolbook"/>
        </w:rPr>
        <w:t xml:space="preserve">  </w:t>
      </w:r>
      <w:r w:rsidR="005E5859" w:rsidRPr="00AF6DF5">
        <w:rPr>
          <w:rFonts w:ascii="Century Schoolbook" w:hAnsi="Century Schoolbook"/>
        </w:rPr>
        <w:t xml:space="preserve"> </w:t>
      </w:r>
      <w:r w:rsidR="004A0AF1" w:rsidRPr="00AF6DF5">
        <w:rPr>
          <w:rFonts w:ascii="Century Schoolbook" w:hAnsi="Century Schoolbook"/>
        </w:rPr>
        <w:t xml:space="preserve">  </w:t>
      </w:r>
      <w:r w:rsidR="001E6FF4" w:rsidRPr="00AF6DF5">
        <w:rPr>
          <w:rFonts w:ascii="Century Schoolbook" w:hAnsi="Century Schoolbook"/>
        </w:rPr>
        <w:t xml:space="preserve">  </w:t>
      </w:r>
      <w:r w:rsidR="00961176" w:rsidRPr="00AF6DF5">
        <w:rPr>
          <w:rFonts w:ascii="Century Schoolbook" w:hAnsi="Century Schoolbook"/>
        </w:rPr>
        <w:t xml:space="preserve">  </w:t>
      </w:r>
      <w:r w:rsidR="00511981" w:rsidRPr="00AF6DF5">
        <w:rPr>
          <w:rFonts w:ascii="Century Schoolbook" w:hAnsi="Century Schoolbook"/>
        </w:rPr>
        <w:t xml:space="preserve">  </w:t>
      </w:r>
      <w:r w:rsidR="009F6134" w:rsidRPr="00AF6DF5">
        <w:rPr>
          <w:rFonts w:ascii="Century Schoolbook" w:hAnsi="Century Schoolbook"/>
        </w:rPr>
        <w:t xml:space="preserve">  </w:t>
      </w:r>
      <w:r w:rsidR="00AE646A" w:rsidRPr="00AF6DF5">
        <w:rPr>
          <w:rFonts w:ascii="Century Schoolbook" w:hAnsi="Century Schoolbook"/>
        </w:rPr>
        <w:t xml:space="preserve">   </w:t>
      </w:r>
    </w:p>
    <w:p w14:paraId="61641857" w14:textId="5D0AD5D9" w:rsidR="00F94B4C" w:rsidRPr="004D0F0E" w:rsidRDefault="00CF14B9" w:rsidP="004D0F0E">
      <w:pPr>
        <w:rPr>
          <w:rFonts w:ascii="Century Schoolbook" w:hAnsi="Century Schoolbook"/>
        </w:rPr>
      </w:pPr>
      <w:r w:rsidRPr="00AF6DF5">
        <w:rPr>
          <w:rFonts w:ascii="Century Schoolbook" w:hAnsi="Century Schoolbook"/>
        </w:rPr>
        <w:tab/>
      </w:r>
      <w:r w:rsidR="004D0F0E" w:rsidRPr="00AF6DF5">
        <w:rPr>
          <w:rFonts w:ascii="Century Schoolbook" w:hAnsi="Century Schoolbook"/>
        </w:rPr>
        <w:t xml:space="preserve"> </w:t>
      </w:r>
      <w:r w:rsidR="00B95000" w:rsidRPr="00AF6DF5">
        <w:rPr>
          <w:rFonts w:ascii="Century Schoolbook" w:hAnsi="Century Schoolbook"/>
        </w:rPr>
        <w:t xml:space="preserve"> </w:t>
      </w:r>
      <w:r w:rsidR="003B188E" w:rsidRPr="00AF6DF5">
        <w:rPr>
          <w:rFonts w:ascii="Century Schoolbook" w:hAnsi="Century Schoolbook"/>
        </w:rPr>
        <w:t xml:space="preserve"> </w:t>
      </w:r>
      <w:r w:rsidR="00FE490A" w:rsidRPr="00AF6DF5">
        <w:rPr>
          <w:rFonts w:ascii="Century Schoolbook" w:hAnsi="Century Schoolbook"/>
        </w:rPr>
        <w:t xml:space="preserve"> </w:t>
      </w:r>
      <w:r w:rsidR="008D0994" w:rsidRPr="00AF6DF5">
        <w:rPr>
          <w:rFonts w:ascii="Century Schoolbook" w:hAnsi="Century Schoolbook"/>
        </w:rPr>
        <w:t xml:space="preserve"> </w:t>
      </w:r>
      <w:r w:rsidR="00C35906" w:rsidRPr="00AF6DF5">
        <w:rPr>
          <w:rFonts w:ascii="Century Schoolbook" w:hAnsi="Century Schoolbook"/>
        </w:rPr>
        <w:t xml:space="preserve"> </w:t>
      </w:r>
      <w:r w:rsidR="00E97331" w:rsidRPr="00AF6DF5">
        <w:rPr>
          <w:rFonts w:ascii="Century Schoolbook" w:hAnsi="Century Schoolbook"/>
        </w:rPr>
        <w:t xml:space="preserve"> </w:t>
      </w:r>
      <w:r w:rsidR="009B66AF" w:rsidRPr="00AF6DF5">
        <w:rPr>
          <w:rFonts w:ascii="Century Schoolbook" w:hAnsi="Century Schoolbook"/>
        </w:rPr>
        <w:tab/>
      </w:r>
      <w:r w:rsidR="009B66AF" w:rsidRPr="00AF6DF5">
        <w:rPr>
          <w:rFonts w:ascii="Century Schoolbook" w:hAnsi="Century Schoolbook"/>
        </w:rPr>
        <w:tab/>
      </w:r>
      <w:r w:rsidR="009B66AF" w:rsidRPr="00AF6DF5">
        <w:rPr>
          <w:rFonts w:ascii="Century Schoolbook" w:hAnsi="Century Schoolbook"/>
        </w:rPr>
        <w:tab/>
      </w:r>
      <w:r w:rsidR="009B66AF" w:rsidRPr="00AF6DF5">
        <w:rPr>
          <w:rFonts w:ascii="Century Schoolbook" w:hAnsi="Century Schoolbook"/>
        </w:rPr>
        <w:tab/>
      </w:r>
      <w:r w:rsidR="009B66AF">
        <w:rPr>
          <w:rFonts w:ascii="Century Schoolbook" w:hAnsi="Century Schoolbook"/>
        </w:rPr>
        <w:t>DISPOSITION</w:t>
      </w:r>
    </w:p>
    <w:p w14:paraId="76AD6073" w14:textId="2E02C23E" w:rsidR="00CD061D" w:rsidRDefault="009B66AF" w:rsidP="00142B0E">
      <w:pPr>
        <w:rPr>
          <w:rFonts w:ascii="Century Schoolbook" w:hAnsi="Century Schoolbook"/>
        </w:rPr>
        <w:sectPr w:rsidR="00CD061D" w:rsidSect="00533B38">
          <w:footerReference w:type="default" r:id="rId8"/>
          <w:pgSz w:w="12240" w:h="15840" w:code="1"/>
          <w:pgMar w:top="1440" w:right="1152" w:bottom="1440" w:left="1440" w:header="720" w:footer="720" w:gutter="0"/>
          <w:cols w:space="720"/>
          <w:titlePg/>
          <w:docGrid w:linePitch="354"/>
        </w:sectPr>
      </w:pPr>
      <w:r>
        <w:rPr>
          <w:rFonts w:ascii="Century Schoolbook" w:hAnsi="Century Schoolbook"/>
        </w:rPr>
        <w:tab/>
        <w:t xml:space="preserve">The </w:t>
      </w:r>
      <w:r w:rsidR="000D24A8">
        <w:rPr>
          <w:rFonts w:ascii="Century Schoolbook" w:hAnsi="Century Schoolbook"/>
        </w:rPr>
        <w:t>judgment</w:t>
      </w:r>
      <w:r w:rsidR="0025569A">
        <w:rPr>
          <w:rFonts w:ascii="Century Schoolbook" w:hAnsi="Century Schoolbook"/>
        </w:rPr>
        <w:t xml:space="preserve"> </w:t>
      </w:r>
      <w:r>
        <w:rPr>
          <w:rFonts w:ascii="Century Schoolbook" w:hAnsi="Century Schoolbook"/>
        </w:rPr>
        <w:t xml:space="preserve">is </w:t>
      </w:r>
      <w:r w:rsidR="00F12CD1">
        <w:rPr>
          <w:rFonts w:ascii="Century Schoolbook" w:hAnsi="Century Schoolbook"/>
        </w:rPr>
        <w:t>reversed</w:t>
      </w:r>
      <w:r>
        <w:rPr>
          <w:rFonts w:ascii="Century Schoolbook" w:hAnsi="Century Schoolbook"/>
        </w:rPr>
        <w:t>.</w:t>
      </w:r>
      <w:r w:rsidR="0081275B">
        <w:rPr>
          <w:rFonts w:ascii="Century Schoolbook" w:hAnsi="Century Schoolbook"/>
        </w:rPr>
        <w:t xml:space="preserve"> </w:t>
      </w:r>
      <w:r w:rsidR="00E74B36">
        <w:rPr>
          <w:rFonts w:ascii="Century Schoolbook" w:hAnsi="Century Schoolbook"/>
        </w:rPr>
        <w:t>On remand, the trial court is directed to (1)</w:t>
      </w:r>
      <w:r w:rsidR="00EB2ABB">
        <w:rPr>
          <w:rFonts w:ascii="Century Schoolbook" w:hAnsi="Century Schoolbook"/>
        </w:rPr>
        <w:t> </w:t>
      </w:r>
      <w:r w:rsidR="00E74B36">
        <w:rPr>
          <w:rFonts w:ascii="Century Schoolbook" w:hAnsi="Century Schoolbook"/>
        </w:rPr>
        <w:t xml:space="preserve">vacate its order granting the Districts’ mandate petition as to the first and fifth causes of action; (2) enter a new order and judgment denying the petition in full; and (3) recall the writ of mandate. </w:t>
      </w:r>
      <w:r w:rsidR="00F12CD1">
        <w:rPr>
          <w:rFonts w:ascii="Century Schoolbook" w:hAnsi="Century Schoolbook"/>
        </w:rPr>
        <w:t>Appellants are</w:t>
      </w:r>
      <w:r w:rsidR="0081275B">
        <w:rPr>
          <w:rFonts w:ascii="Century Schoolbook" w:hAnsi="Century Schoolbook"/>
        </w:rPr>
        <w:t xml:space="preserve"> entitled to </w:t>
      </w:r>
      <w:r w:rsidR="00F12CD1">
        <w:rPr>
          <w:rFonts w:ascii="Century Schoolbook" w:hAnsi="Century Schoolbook"/>
        </w:rPr>
        <w:t>their</w:t>
      </w:r>
      <w:r w:rsidR="0081275B">
        <w:rPr>
          <w:rFonts w:ascii="Century Schoolbook" w:hAnsi="Century Schoolbook"/>
        </w:rPr>
        <w:t xml:space="preserve"> costs on appeal</w:t>
      </w:r>
      <w:r w:rsidR="00B478F7">
        <w:rPr>
          <w:rFonts w:ascii="Century Schoolbook" w:hAnsi="Century Schoolbook"/>
        </w:rPr>
        <w:t xml:space="preserve"> by operation of California Rules of Court, rule 8.278</w:t>
      </w:r>
      <w:r w:rsidR="00B478F7" w:rsidRPr="00F63086">
        <w:rPr>
          <w:rFonts w:ascii="Century Schoolbook" w:hAnsi="Century Schoolbook"/>
        </w:rPr>
        <w:t>(a)(1)</w:t>
      </w:r>
      <w:r w:rsidR="00B478F7">
        <w:rPr>
          <w:rFonts w:ascii="Century Schoolbook" w:hAnsi="Century Schoolbook"/>
        </w:rPr>
        <w:t xml:space="preserve"> and (2).  </w:t>
      </w:r>
    </w:p>
    <w:p w14:paraId="5C0C0383" w14:textId="77777777" w:rsidR="00B51EBD" w:rsidRPr="00B51EBD" w:rsidRDefault="00B51EBD" w:rsidP="00B51EBD">
      <w:pPr>
        <w:spacing w:line="240" w:lineRule="auto"/>
        <w:rPr>
          <w:rFonts w:ascii="Century Schoolbook" w:hAnsi="Century Schoolbook"/>
        </w:rPr>
      </w:pPr>
      <w:bookmarkStart w:id="4" w:name="_Hlk524435911"/>
    </w:p>
    <w:p w14:paraId="53EFA636" w14:textId="77777777" w:rsidR="00B51EBD" w:rsidRPr="00B51EBD" w:rsidRDefault="00B51EBD" w:rsidP="00B51EBD">
      <w:pPr>
        <w:spacing w:line="240" w:lineRule="auto"/>
        <w:rPr>
          <w:rFonts w:ascii="Century Schoolbook" w:hAnsi="Century Schoolbook"/>
        </w:rPr>
      </w:pPr>
    </w:p>
    <w:p w14:paraId="2BC8357E" w14:textId="77777777" w:rsidR="00B51EBD" w:rsidRPr="00B51EBD" w:rsidRDefault="00B51EBD" w:rsidP="00B51EBD">
      <w:pPr>
        <w:spacing w:line="240" w:lineRule="auto"/>
        <w:rPr>
          <w:rFonts w:ascii="Century Schoolbook" w:hAnsi="Century Schoolbook"/>
        </w:rPr>
      </w:pPr>
    </w:p>
    <w:p w14:paraId="3AB8EE60" w14:textId="77777777" w:rsidR="00B51EBD" w:rsidRPr="00B51EBD" w:rsidRDefault="00B51EBD" w:rsidP="00B51EBD">
      <w:pPr>
        <w:spacing w:line="240" w:lineRule="auto"/>
        <w:rPr>
          <w:rFonts w:ascii="Century Schoolbook" w:hAnsi="Century Schoolbook"/>
        </w:rPr>
      </w:pPr>
    </w:p>
    <w:p w14:paraId="639DBD47" w14:textId="77777777" w:rsidR="00B51EBD" w:rsidRPr="00B51EBD" w:rsidRDefault="00B51EBD" w:rsidP="00B51EBD">
      <w:pPr>
        <w:spacing w:line="240" w:lineRule="auto"/>
        <w:rPr>
          <w:rFonts w:ascii="Century Schoolbook" w:hAnsi="Century Schoolbook"/>
        </w:rPr>
      </w:pP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t>____________________________</w:t>
      </w:r>
    </w:p>
    <w:p w14:paraId="357335EB" w14:textId="7EA76C4E" w:rsidR="00B51EBD" w:rsidRPr="00B51EBD" w:rsidRDefault="00B51EBD" w:rsidP="00B51EBD">
      <w:pPr>
        <w:spacing w:line="240" w:lineRule="auto"/>
        <w:rPr>
          <w:rFonts w:ascii="Century Schoolbook" w:hAnsi="Century Schoolbook"/>
        </w:rPr>
      </w:pP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t>WILLIAMS, J.</w:t>
      </w:r>
      <w:r w:rsidR="00CB74C3" w:rsidRPr="00CB74C3">
        <w:rPr>
          <w:rStyle w:val="FootnoteReference"/>
          <w:rFonts w:ascii="Century Schoolbook" w:hAnsi="Century Schoolbook"/>
        </w:rPr>
        <w:footnoteReference w:customMarkFollows="1" w:id="14"/>
        <w:sym w:font="Symbol" w:char="F02A"/>
      </w:r>
    </w:p>
    <w:p w14:paraId="1FE84C25" w14:textId="77777777" w:rsidR="00B51EBD" w:rsidRPr="00B51EBD" w:rsidRDefault="00B51EBD" w:rsidP="00B51EBD">
      <w:pPr>
        <w:spacing w:line="240" w:lineRule="auto"/>
        <w:rPr>
          <w:rFonts w:ascii="Century Schoolbook" w:hAnsi="Century Schoolbook"/>
        </w:rPr>
      </w:pPr>
    </w:p>
    <w:p w14:paraId="2DBDDDC4" w14:textId="77777777" w:rsidR="00B51EBD" w:rsidRPr="00B51EBD" w:rsidRDefault="00B51EBD" w:rsidP="00B51EBD">
      <w:pPr>
        <w:spacing w:line="240" w:lineRule="auto"/>
        <w:rPr>
          <w:rFonts w:ascii="Century Schoolbook" w:hAnsi="Century Schoolbook"/>
        </w:rPr>
      </w:pPr>
    </w:p>
    <w:p w14:paraId="67F17620" w14:textId="77777777" w:rsidR="00B51EBD" w:rsidRPr="00B51EBD" w:rsidRDefault="00B51EBD" w:rsidP="00B51EBD">
      <w:pPr>
        <w:spacing w:line="240" w:lineRule="auto"/>
        <w:rPr>
          <w:rFonts w:ascii="Century Schoolbook" w:hAnsi="Century Schoolbook"/>
        </w:rPr>
      </w:pPr>
    </w:p>
    <w:p w14:paraId="354DA63B" w14:textId="77777777" w:rsidR="00B51EBD" w:rsidRPr="00B51EBD" w:rsidRDefault="00B51EBD" w:rsidP="00B51EBD">
      <w:pPr>
        <w:spacing w:line="240" w:lineRule="auto"/>
        <w:rPr>
          <w:rFonts w:ascii="Century Schoolbook" w:hAnsi="Century Schoolbook"/>
        </w:rPr>
      </w:pPr>
    </w:p>
    <w:p w14:paraId="7EEF01E4" w14:textId="77777777" w:rsidR="00B51EBD" w:rsidRPr="00B51EBD" w:rsidRDefault="00B51EBD" w:rsidP="00B51EBD">
      <w:pPr>
        <w:spacing w:line="240" w:lineRule="auto"/>
        <w:rPr>
          <w:rFonts w:ascii="Century Schoolbook" w:hAnsi="Century Schoolbook"/>
        </w:rPr>
      </w:pPr>
    </w:p>
    <w:p w14:paraId="32288D94" w14:textId="77777777" w:rsidR="00B51EBD" w:rsidRPr="00B51EBD" w:rsidRDefault="00B51EBD" w:rsidP="00B51EBD">
      <w:pPr>
        <w:spacing w:line="240" w:lineRule="auto"/>
        <w:rPr>
          <w:rFonts w:ascii="Century Schoolbook" w:hAnsi="Century Schoolbook"/>
        </w:rPr>
      </w:pPr>
    </w:p>
    <w:p w14:paraId="58CC2315" w14:textId="77777777" w:rsidR="00B51EBD" w:rsidRPr="00B51EBD" w:rsidRDefault="00B51EBD" w:rsidP="00B51EBD">
      <w:pPr>
        <w:spacing w:line="240" w:lineRule="auto"/>
        <w:rPr>
          <w:rFonts w:ascii="Century Schoolbook" w:hAnsi="Century Schoolbook"/>
        </w:rPr>
      </w:pPr>
      <w:r w:rsidRPr="00B51EBD">
        <w:rPr>
          <w:rFonts w:ascii="Century Schoolbook" w:hAnsi="Century Schoolbook"/>
        </w:rPr>
        <w:t>WE CONCUR:</w:t>
      </w:r>
    </w:p>
    <w:p w14:paraId="2A6ABEF0" w14:textId="77777777" w:rsidR="00B51EBD" w:rsidRPr="00B51EBD" w:rsidRDefault="00B51EBD" w:rsidP="00B51EBD">
      <w:pPr>
        <w:spacing w:line="240" w:lineRule="auto"/>
        <w:rPr>
          <w:rFonts w:ascii="Century Schoolbook" w:hAnsi="Century Schoolbook"/>
        </w:rPr>
      </w:pPr>
    </w:p>
    <w:p w14:paraId="5C2BBCA6" w14:textId="77777777" w:rsidR="00B51EBD" w:rsidRPr="00B51EBD" w:rsidRDefault="00B51EBD" w:rsidP="00B51EBD">
      <w:pPr>
        <w:spacing w:line="240" w:lineRule="auto"/>
        <w:rPr>
          <w:rFonts w:ascii="Century Schoolbook" w:hAnsi="Century Schoolbook"/>
        </w:rPr>
      </w:pPr>
    </w:p>
    <w:p w14:paraId="14F126BE" w14:textId="77777777" w:rsidR="00B51EBD" w:rsidRPr="00B51EBD" w:rsidRDefault="00B51EBD" w:rsidP="00B51EBD">
      <w:pPr>
        <w:spacing w:line="240" w:lineRule="auto"/>
        <w:rPr>
          <w:rFonts w:ascii="Century Schoolbook" w:hAnsi="Century Schoolbook"/>
        </w:rPr>
      </w:pPr>
    </w:p>
    <w:p w14:paraId="0267F2DC" w14:textId="77777777" w:rsidR="00B51EBD" w:rsidRPr="00B51EBD" w:rsidRDefault="00B51EBD" w:rsidP="00B51EBD">
      <w:pPr>
        <w:spacing w:line="240" w:lineRule="auto"/>
        <w:rPr>
          <w:rFonts w:ascii="Century Schoolbook" w:hAnsi="Century Schoolbook"/>
        </w:rPr>
      </w:pPr>
    </w:p>
    <w:p w14:paraId="68DC9F5C" w14:textId="77777777" w:rsidR="00B51EBD" w:rsidRPr="00B51EBD" w:rsidRDefault="00B51EBD" w:rsidP="00B51EBD">
      <w:pPr>
        <w:spacing w:line="240" w:lineRule="auto"/>
        <w:rPr>
          <w:rFonts w:ascii="Century Schoolbook" w:hAnsi="Century Schoolbook"/>
        </w:rPr>
      </w:pPr>
    </w:p>
    <w:p w14:paraId="72DA8A87" w14:textId="77777777" w:rsidR="00B51EBD" w:rsidRPr="00B51EBD" w:rsidRDefault="00B51EBD" w:rsidP="00B51EBD">
      <w:pPr>
        <w:spacing w:line="240" w:lineRule="auto"/>
        <w:rPr>
          <w:rFonts w:ascii="Century Schoolbook" w:hAnsi="Century Schoolbook"/>
        </w:rPr>
      </w:pPr>
    </w:p>
    <w:p w14:paraId="4501426C" w14:textId="77777777" w:rsidR="00B51EBD" w:rsidRPr="00B51EBD" w:rsidRDefault="00B51EBD" w:rsidP="00B51EBD">
      <w:pPr>
        <w:spacing w:line="240" w:lineRule="auto"/>
        <w:rPr>
          <w:rFonts w:ascii="Century Schoolbook" w:hAnsi="Century Schoolbook"/>
        </w:rPr>
      </w:pPr>
      <w:r w:rsidRPr="00B51EBD">
        <w:rPr>
          <w:rFonts w:ascii="Century Schoolbook" w:hAnsi="Century Schoolbook"/>
        </w:rPr>
        <w:t>____________________________</w:t>
      </w:r>
    </w:p>
    <w:p w14:paraId="5C5DF9EE" w14:textId="320B45D2" w:rsidR="00B51EBD" w:rsidRPr="003E75F8" w:rsidRDefault="000D24A8" w:rsidP="00B51EBD">
      <w:pPr>
        <w:spacing w:line="240" w:lineRule="auto"/>
        <w:rPr>
          <w:rFonts w:ascii="Century Schoolbook" w:hAnsi="Century Schoolbook"/>
        </w:rPr>
      </w:pPr>
      <w:r w:rsidRPr="003E75F8">
        <w:rPr>
          <w:rFonts w:ascii="Century Schoolbook" w:hAnsi="Century Schoolbook"/>
        </w:rPr>
        <w:t>DANNER</w:t>
      </w:r>
      <w:r w:rsidR="00B51EBD" w:rsidRPr="003E75F8">
        <w:rPr>
          <w:rFonts w:ascii="Century Schoolbook" w:hAnsi="Century Schoolbook"/>
        </w:rPr>
        <w:t xml:space="preserve">, </w:t>
      </w:r>
      <w:r w:rsidR="003471E2" w:rsidRPr="003E75F8">
        <w:rPr>
          <w:rFonts w:ascii="Century Schoolbook" w:hAnsi="Century Schoolbook"/>
        </w:rPr>
        <w:t xml:space="preserve">ACTING </w:t>
      </w:r>
      <w:r w:rsidR="00B51EBD" w:rsidRPr="003E75F8">
        <w:rPr>
          <w:rFonts w:ascii="Century Schoolbook" w:hAnsi="Century Schoolbook"/>
        </w:rPr>
        <w:t>P.J.</w:t>
      </w:r>
    </w:p>
    <w:p w14:paraId="1C4A115B" w14:textId="77777777" w:rsidR="00B51EBD" w:rsidRPr="003E75F8" w:rsidRDefault="00B51EBD" w:rsidP="00B51EBD">
      <w:pPr>
        <w:spacing w:line="240" w:lineRule="auto"/>
        <w:rPr>
          <w:rFonts w:ascii="Century Schoolbook" w:hAnsi="Century Schoolbook"/>
        </w:rPr>
      </w:pPr>
    </w:p>
    <w:p w14:paraId="60888721" w14:textId="77777777" w:rsidR="00B51EBD" w:rsidRPr="003E75F8" w:rsidRDefault="00B51EBD" w:rsidP="00B51EBD">
      <w:pPr>
        <w:spacing w:line="240" w:lineRule="auto"/>
        <w:rPr>
          <w:rFonts w:ascii="Century Schoolbook" w:hAnsi="Century Schoolbook"/>
        </w:rPr>
      </w:pPr>
    </w:p>
    <w:p w14:paraId="70B4EA3B" w14:textId="77777777" w:rsidR="00B51EBD" w:rsidRPr="003E75F8" w:rsidRDefault="00B51EBD" w:rsidP="00B51EBD">
      <w:pPr>
        <w:spacing w:line="240" w:lineRule="auto"/>
        <w:rPr>
          <w:rFonts w:ascii="Century Schoolbook" w:hAnsi="Century Schoolbook"/>
        </w:rPr>
      </w:pPr>
    </w:p>
    <w:p w14:paraId="678AD331" w14:textId="77777777" w:rsidR="00B51EBD" w:rsidRPr="003E75F8" w:rsidRDefault="00B51EBD" w:rsidP="00B51EBD">
      <w:pPr>
        <w:spacing w:line="240" w:lineRule="auto"/>
        <w:rPr>
          <w:rFonts w:ascii="Century Schoolbook" w:hAnsi="Century Schoolbook"/>
        </w:rPr>
      </w:pPr>
    </w:p>
    <w:p w14:paraId="53D4DF15" w14:textId="77777777" w:rsidR="00B51EBD" w:rsidRPr="003E75F8" w:rsidRDefault="00B51EBD" w:rsidP="00B51EBD">
      <w:pPr>
        <w:spacing w:line="240" w:lineRule="auto"/>
        <w:rPr>
          <w:rFonts w:ascii="Century Schoolbook" w:hAnsi="Century Schoolbook"/>
        </w:rPr>
      </w:pPr>
    </w:p>
    <w:p w14:paraId="287F1221" w14:textId="77777777" w:rsidR="00B51EBD" w:rsidRPr="003E75F8" w:rsidRDefault="00B51EBD" w:rsidP="00B51EBD">
      <w:pPr>
        <w:spacing w:line="240" w:lineRule="auto"/>
        <w:rPr>
          <w:rFonts w:ascii="Century Schoolbook" w:hAnsi="Century Schoolbook"/>
        </w:rPr>
      </w:pPr>
    </w:p>
    <w:p w14:paraId="2DE74C3D" w14:textId="77777777" w:rsidR="00B51EBD" w:rsidRPr="003E75F8" w:rsidRDefault="00B51EBD" w:rsidP="00B51EBD">
      <w:pPr>
        <w:spacing w:line="240" w:lineRule="auto"/>
        <w:rPr>
          <w:rFonts w:ascii="Century Schoolbook" w:hAnsi="Century Schoolbook"/>
        </w:rPr>
      </w:pPr>
      <w:r w:rsidRPr="003E75F8">
        <w:rPr>
          <w:rFonts w:ascii="Century Schoolbook" w:hAnsi="Century Schoolbook"/>
        </w:rPr>
        <w:t>_____________________________</w:t>
      </w:r>
    </w:p>
    <w:p w14:paraId="1D64883E" w14:textId="311B53FF" w:rsidR="00B51EBD" w:rsidRPr="003E75F8" w:rsidRDefault="000D24A8" w:rsidP="00B51EBD">
      <w:pPr>
        <w:spacing w:line="240" w:lineRule="auto"/>
        <w:rPr>
          <w:rFonts w:ascii="Century Schoolbook" w:hAnsi="Century Schoolbook"/>
        </w:rPr>
      </w:pPr>
      <w:r w:rsidRPr="003E75F8">
        <w:rPr>
          <w:rFonts w:ascii="Century Schoolbook" w:hAnsi="Century Schoolbook"/>
        </w:rPr>
        <w:t>WILSON</w:t>
      </w:r>
      <w:r w:rsidR="00B51EBD" w:rsidRPr="003E75F8">
        <w:rPr>
          <w:rFonts w:ascii="Century Schoolbook" w:hAnsi="Century Schoolbook"/>
        </w:rPr>
        <w:t>, J.</w:t>
      </w:r>
    </w:p>
    <w:p w14:paraId="34CB8253" w14:textId="77777777" w:rsidR="00B51EBD" w:rsidRPr="003E75F8" w:rsidRDefault="00B51EBD" w:rsidP="00B51EBD">
      <w:pPr>
        <w:spacing w:line="240" w:lineRule="auto"/>
        <w:rPr>
          <w:rFonts w:ascii="Century Schoolbook" w:hAnsi="Century Schoolbook"/>
        </w:rPr>
      </w:pPr>
    </w:p>
    <w:p w14:paraId="7E536EC8" w14:textId="77777777" w:rsidR="00B51EBD" w:rsidRPr="003E75F8" w:rsidRDefault="00B51EBD" w:rsidP="00B51EBD">
      <w:pPr>
        <w:spacing w:line="240" w:lineRule="auto"/>
        <w:rPr>
          <w:rFonts w:ascii="Century Schoolbook" w:hAnsi="Century Schoolbook"/>
        </w:rPr>
      </w:pPr>
    </w:p>
    <w:p w14:paraId="61CDFD8B" w14:textId="77777777" w:rsidR="00B51EBD" w:rsidRPr="003E75F8" w:rsidRDefault="00B51EBD" w:rsidP="00B51EBD">
      <w:pPr>
        <w:spacing w:line="240" w:lineRule="auto"/>
        <w:rPr>
          <w:rFonts w:ascii="Century Schoolbook" w:hAnsi="Century Schoolbook"/>
        </w:rPr>
      </w:pPr>
    </w:p>
    <w:p w14:paraId="3684A652" w14:textId="77777777" w:rsidR="00B51EBD" w:rsidRPr="003E75F8" w:rsidRDefault="00B51EBD" w:rsidP="00B51EBD">
      <w:pPr>
        <w:spacing w:line="240" w:lineRule="auto"/>
        <w:rPr>
          <w:rFonts w:ascii="Century Schoolbook" w:hAnsi="Century Schoolbook"/>
        </w:rPr>
      </w:pPr>
    </w:p>
    <w:p w14:paraId="19ED760D" w14:textId="77777777" w:rsidR="00B51EBD" w:rsidRPr="003E75F8" w:rsidRDefault="00B51EBD" w:rsidP="00B51EBD">
      <w:pPr>
        <w:spacing w:line="240" w:lineRule="auto"/>
        <w:rPr>
          <w:rFonts w:ascii="Century Schoolbook" w:hAnsi="Century Schoolbook"/>
        </w:rPr>
      </w:pPr>
    </w:p>
    <w:p w14:paraId="548008D5" w14:textId="77777777" w:rsidR="00B51EBD" w:rsidRPr="003E75F8" w:rsidRDefault="00B51EBD" w:rsidP="00B51EBD">
      <w:pPr>
        <w:spacing w:line="240" w:lineRule="auto"/>
        <w:rPr>
          <w:rFonts w:ascii="Century Schoolbook" w:hAnsi="Century Schoolbook"/>
        </w:rPr>
      </w:pPr>
    </w:p>
    <w:p w14:paraId="4EDFB7B5" w14:textId="77777777" w:rsidR="00B51EBD" w:rsidRPr="003E75F8" w:rsidRDefault="00B51EBD" w:rsidP="00B51EBD">
      <w:pPr>
        <w:spacing w:line="240" w:lineRule="auto"/>
        <w:rPr>
          <w:rFonts w:ascii="Century Schoolbook" w:hAnsi="Century Schoolbook"/>
        </w:rPr>
      </w:pPr>
    </w:p>
    <w:p w14:paraId="77977CE8" w14:textId="77777777" w:rsidR="00B51EBD" w:rsidRPr="003E75F8" w:rsidRDefault="00B51EBD" w:rsidP="00B51EBD">
      <w:pPr>
        <w:spacing w:line="240" w:lineRule="auto"/>
        <w:rPr>
          <w:rFonts w:ascii="Century Schoolbook" w:hAnsi="Century Schoolbook"/>
        </w:rPr>
      </w:pPr>
    </w:p>
    <w:p w14:paraId="099FCE8A" w14:textId="570E0063" w:rsidR="00B51EBD" w:rsidRPr="000D24A8" w:rsidRDefault="000D24A8" w:rsidP="00B51EBD">
      <w:pPr>
        <w:spacing w:line="240" w:lineRule="auto"/>
        <w:rPr>
          <w:rFonts w:ascii="Century Schoolbook" w:hAnsi="Century Schoolbook"/>
          <w:bCs/>
          <w:i/>
          <w:iCs/>
        </w:rPr>
      </w:pPr>
      <w:bookmarkStart w:id="5" w:name="_Hlk142554371"/>
      <w:bookmarkStart w:id="6" w:name="_Hlk142477334"/>
      <w:r w:rsidRPr="000D24A8">
        <w:rPr>
          <w:rFonts w:ascii="Century Schoolbook" w:hAnsi="Century Schoolbook"/>
          <w:i/>
          <w:iCs/>
        </w:rPr>
        <w:t xml:space="preserve">Santa Rita Union </w:t>
      </w:r>
      <w:r>
        <w:rPr>
          <w:rFonts w:ascii="Century Schoolbook" w:hAnsi="Century Schoolbook"/>
          <w:i/>
          <w:iCs/>
        </w:rPr>
        <w:t>School District, et al., v. City of Salinas</w:t>
      </w:r>
      <w:bookmarkEnd w:id="5"/>
      <w:r w:rsidR="00DA4204">
        <w:rPr>
          <w:rFonts w:ascii="Century Schoolbook" w:hAnsi="Century Schoolbook"/>
          <w:i/>
          <w:iCs/>
        </w:rPr>
        <w:t>, et al.</w:t>
      </w:r>
    </w:p>
    <w:p w14:paraId="125C8013" w14:textId="77777777" w:rsidR="00CB74C3" w:rsidRDefault="00B51EBD" w:rsidP="00B51EBD">
      <w:pPr>
        <w:spacing w:line="240" w:lineRule="auto"/>
        <w:rPr>
          <w:rFonts w:ascii="Century Schoolbook" w:hAnsi="Century Schoolbook"/>
          <w:bCs/>
        </w:rPr>
        <w:sectPr w:rsidR="00CB74C3" w:rsidSect="00581ACE">
          <w:footerReference w:type="default" r:id="rId9"/>
          <w:pgSz w:w="12240" w:h="15840"/>
          <w:pgMar w:top="720" w:right="720" w:bottom="720" w:left="720" w:header="720" w:footer="720" w:gutter="0"/>
          <w:paperSrc w:first="261" w:other="261"/>
          <w:cols w:space="720"/>
          <w:docGrid w:linePitch="360"/>
        </w:sectPr>
      </w:pPr>
      <w:r w:rsidRPr="000D24A8">
        <w:rPr>
          <w:rFonts w:ascii="Century Schoolbook" w:hAnsi="Century Schoolbook"/>
          <w:bCs/>
        </w:rPr>
        <w:t>H0</w:t>
      </w:r>
      <w:bookmarkEnd w:id="4"/>
      <w:r w:rsidR="000D24A8" w:rsidRPr="000D24A8">
        <w:rPr>
          <w:rFonts w:ascii="Century Schoolbook" w:hAnsi="Century Schoolbook"/>
          <w:bCs/>
        </w:rPr>
        <w:t>49854</w:t>
      </w:r>
      <w:bookmarkEnd w:id="6"/>
    </w:p>
    <w:p w14:paraId="50AFD09B"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lastRenderedPageBreak/>
        <w:t>Trial Court:</w:t>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t>Monterey County Superior Court</w:t>
      </w:r>
    </w:p>
    <w:p w14:paraId="03E2A32D" w14:textId="2A0FF93B" w:rsidR="00CB74C3" w:rsidRPr="00CB74C3" w:rsidRDefault="00122DB7" w:rsidP="00CB74C3">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CB74C3" w:rsidRPr="00CB74C3">
        <w:rPr>
          <w:rFonts w:ascii="Century Schoolbook" w:hAnsi="Century Schoolbook"/>
        </w:rPr>
        <w:t>Superior Court No.:  20CV000242</w:t>
      </w:r>
    </w:p>
    <w:p w14:paraId="289AB929" w14:textId="77777777" w:rsidR="00CB74C3" w:rsidRPr="00CB74C3" w:rsidRDefault="00CB74C3" w:rsidP="00CB74C3">
      <w:pPr>
        <w:spacing w:line="240" w:lineRule="auto"/>
        <w:rPr>
          <w:rFonts w:ascii="Century Schoolbook" w:hAnsi="Century Schoolbook"/>
        </w:rPr>
      </w:pPr>
    </w:p>
    <w:p w14:paraId="52BE1C21" w14:textId="77777777" w:rsidR="00CB74C3" w:rsidRPr="00CB74C3" w:rsidRDefault="00CB74C3" w:rsidP="00CB74C3">
      <w:pPr>
        <w:spacing w:line="240" w:lineRule="auto"/>
        <w:rPr>
          <w:rFonts w:ascii="Century Schoolbook" w:hAnsi="Century Schoolbook"/>
        </w:rPr>
      </w:pPr>
    </w:p>
    <w:p w14:paraId="624A0DB4"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Trial Judge:</w:t>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t>The Honorable Marla O. Anderson</w:t>
      </w:r>
    </w:p>
    <w:p w14:paraId="4DFCABEC" w14:textId="77777777" w:rsidR="00CB74C3" w:rsidRPr="00CB74C3" w:rsidRDefault="00CB74C3" w:rsidP="00CB74C3">
      <w:pPr>
        <w:spacing w:line="240" w:lineRule="auto"/>
        <w:rPr>
          <w:rFonts w:ascii="Century Schoolbook" w:hAnsi="Century Schoolbook"/>
        </w:rPr>
      </w:pPr>
    </w:p>
    <w:p w14:paraId="715C6E66"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02042DF4" w14:textId="77777777" w:rsidR="00CB74C3" w:rsidRPr="00CB74C3" w:rsidRDefault="00CB74C3" w:rsidP="00CB74C3">
      <w:pPr>
        <w:spacing w:line="240" w:lineRule="auto"/>
        <w:rPr>
          <w:rFonts w:ascii="Century Schoolbook" w:hAnsi="Century Schoolbook"/>
        </w:rPr>
      </w:pPr>
    </w:p>
    <w:p w14:paraId="75639685" w14:textId="77777777" w:rsidR="00CB74C3" w:rsidRPr="00CB74C3" w:rsidRDefault="00CB74C3" w:rsidP="00CB74C3">
      <w:pPr>
        <w:spacing w:line="240" w:lineRule="auto"/>
        <w:rPr>
          <w:rFonts w:ascii="Century Schoolbook" w:hAnsi="Century Schoolbook"/>
        </w:rPr>
      </w:pPr>
    </w:p>
    <w:p w14:paraId="089264F5" w14:textId="1066C3D2" w:rsidR="00CB74C3" w:rsidRPr="00CB74C3" w:rsidRDefault="00CB74C3" w:rsidP="00CB74C3">
      <w:pPr>
        <w:spacing w:line="240" w:lineRule="auto"/>
        <w:rPr>
          <w:rFonts w:ascii="Century Schoolbook" w:hAnsi="Century Schoolbook"/>
        </w:rPr>
      </w:pPr>
      <w:r w:rsidRPr="00CB74C3">
        <w:rPr>
          <w:rFonts w:ascii="Century Schoolbook" w:hAnsi="Century Schoolbook"/>
        </w:rPr>
        <w:t>Attorneys for Plaintiffs and</w:t>
      </w:r>
      <w:r w:rsidRPr="00CB74C3">
        <w:rPr>
          <w:rFonts w:ascii="Century Schoolbook" w:hAnsi="Century Schoolbook"/>
        </w:rPr>
        <w:tab/>
      </w:r>
      <w:r w:rsidR="00122DB7">
        <w:rPr>
          <w:rFonts w:ascii="Century Schoolbook" w:hAnsi="Century Schoolbook"/>
        </w:rPr>
        <w:tab/>
      </w:r>
      <w:r w:rsidR="00122DB7">
        <w:rPr>
          <w:rFonts w:ascii="Century Schoolbook" w:hAnsi="Century Schoolbook"/>
        </w:rPr>
        <w:tab/>
      </w:r>
      <w:r w:rsidRPr="00CB74C3">
        <w:rPr>
          <w:rFonts w:ascii="Century Schoolbook" w:hAnsi="Century Schoolbook"/>
        </w:rPr>
        <w:t>Lozano Smith</w:t>
      </w:r>
    </w:p>
    <w:p w14:paraId="7337C020" w14:textId="0768F3A8" w:rsidR="00CB74C3" w:rsidRPr="00CB74C3" w:rsidRDefault="00122DB7" w:rsidP="00CB74C3">
      <w:pPr>
        <w:spacing w:line="240" w:lineRule="auto"/>
        <w:rPr>
          <w:rFonts w:ascii="Century Schoolbook" w:hAnsi="Century Schoolbook"/>
        </w:rPr>
      </w:pPr>
      <w:r w:rsidRPr="00CB74C3">
        <w:rPr>
          <w:rFonts w:ascii="Century Schoolbook" w:hAnsi="Century Schoolbook"/>
        </w:rPr>
        <w:t xml:space="preserve">Respondents </w:t>
      </w:r>
      <w:r w:rsidR="00CB74C3" w:rsidRPr="00CB74C3">
        <w:rPr>
          <w:rFonts w:ascii="Century Schoolbook" w:hAnsi="Century Schoolbook"/>
        </w:rPr>
        <w:t>Santa Rita Union</w:t>
      </w:r>
      <w:r w:rsidR="00CB74C3" w:rsidRPr="00CB74C3">
        <w:rPr>
          <w:rFonts w:ascii="Century Schoolbook" w:hAnsi="Century Schoolbook"/>
        </w:rPr>
        <w:tab/>
      </w:r>
    </w:p>
    <w:p w14:paraId="3CD28383" w14:textId="4B952F18" w:rsidR="00CB74C3" w:rsidRPr="00CB74C3" w:rsidRDefault="00122DB7" w:rsidP="00CB74C3">
      <w:pPr>
        <w:spacing w:line="240" w:lineRule="auto"/>
        <w:rPr>
          <w:rFonts w:ascii="Century Schoolbook" w:hAnsi="Century Schoolbook"/>
        </w:rPr>
      </w:pPr>
      <w:r w:rsidRPr="00CB74C3">
        <w:rPr>
          <w:rFonts w:ascii="Century Schoolbook" w:hAnsi="Century Schoolbook"/>
        </w:rPr>
        <w:t>School District et al.</w:t>
      </w:r>
      <w:r w:rsidR="00CB74C3" w:rsidRPr="00CB74C3">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CB74C3" w:rsidRPr="00CB74C3">
        <w:rPr>
          <w:rFonts w:ascii="Century Schoolbook" w:hAnsi="Century Schoolbook"/>
        </w:rPr>
        <w:t>Sloan R. Simmons</w:t>
      </w:r>
    </w:p>
    <w:p w14:paraId="730C040A"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t>Michael R. Linden</w:t>
      </w:r>
    </w:p>
    <w:p w14:paraId="2F03F077"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t xml:space="preserve">Junaid </w:t>
      </w:r>
      <w:proofErr w:type="spellStart"/>
      <w:r w:rsidRPr="00CB74C3">
        <w:rPr>
          <w:rFonts w:ascii="Century Schoolbook" w:hAnsi="Century Schoolbook"/>
        </w:rPr>
        <w:t>Halani</w:t>
      </w:r>
      <w:proofErr w:type="spellEnd"/>
    </w:p>
    <w:p w14:paraId="452CD062"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6343208F"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2144E970"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6BBC3F35"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2FD1C612"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p>
    <w:p w14:paraId="1DA87715" w14:textId="77777777" w:rsidR="00CB74C3" w:rsidRPr="00CB74C3" w:rsidRDefault="00CB74C3" w:rsidP="00CB74C3">
      <w:pPr>
        <w:spacing w:line="240" w:lineRule="auto"/>
        <w:rPr>
          <w:rFonts w:ascii="Century Schoolbook" w:hAnsi="Century Schoolbook"/>
        </w:rPr>
      </w:pPr>
    </w:p>
    <w:p w14:paraId="62ED3299"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40BB0CD8" w14:textId="13E915E4" w:rsidR="00CB74C3" w:rsidRPr="00CB74C3" w:rsidRDefault="00CB74C3" w:rsidP="00CB74C3">
      <w:pPr>
        <w:spacing w:line="240" w:lineRule="auto"/>
        <w:rPr>
          <w:rFonts w:ascii="Century Schoolbook" w:hAnsi="Century Schoolbook"/>
        </w:rPr>
      </w:pPr>
      <w:r w:rsidRPr="00CB74C3">
        <w:rPr>
          <w:rFonts w:ascii="Century Schoolbook" w:hAnsi="Century Schoolbook"/>
        </w:rPr>
        <w:t>Attorneys for</w:t>
      </w:r>
      <w:r w:rsidR="004C6176" w:rsidRPr="004C6176">
        <w:rPr>
          <w:rFonts w:ascii="Century Schoolbook" w:hAnsi="Century Schoolbook"/>
        </w:rPr>
        <w:t xml:space="preserve"> </w:t>
      </w:r>
      <w:r w:rsidR="004C6176" w:rsidRPr="00CB74C3">
        <w:rPr>
          <w:rFonts w:ascii="Century Schoolbook" w:hAnsi="Century Schoolbook"/>
        </w:rPr>
        <w:t>Real Parties in</w:t>
      </w:r>
      <w:r w:rsidRPr="00CB74C3">
        <w:rPr>
          <w:rFonts w:ascii="Century Schoolbook" w:hAnsi="Century Schoolbook"/>
        </w:rPr>
        <w:tab/>
      </w:r>
      <w:r w:rsidR="00122DB7">
        <w:rPr>
          <w:rFonts w:ascii="Century Schoolbook" w:hAnsi="Century Schoolbook"/>
        </w:rPr>
        <w:tab/>
      </w:r>
      <w:r w:rsidR="004C6176">
        <w:rPr>
          <w:rFonts w:ascii="Century Schoolbook" w:hAnsi="Century Schoolbook"/>
        </w:rPr>
        <w:tab/>
      </w:r>
      <w:r w:rsidRPr="00CB74C3">
        <w:rPr>
          <w:rFonts w:ascii="Century Schoolbook" w:hAnsi="Century Schoolbook"/>
        </w:rPr>
        <w:t>Pioneer Law G</w:t>
      </w:r>
      <w:r w:rsidR="00B77042">
        <w:rPr>
          <w:rFonts w:ascii="Century Schoolbook" w:hAnsi="Century Schoolbook"/>
        </w:rPr>
        <w:t>r</w:t>
      </w:r>
      <w:r w:rsidRPr="00CB74C3">
        <w:rPr>
          <w:rFonts w:ascii="Century Schoolbook" w:hAnsi="Century Schoolbook"/>
        </w:rPr>
        <w:t>oup, LLP</w:t>
      </w:r>
      <w:r w:rsidRPr="00CB74C3">
        <w:rPr>
          <w:rFonts w:ascii="Century Schoolbook" w:hAnsi="Century Schoolbook"/>
        </w:rPr>
        <w:tab/>
      </w:r>
    </w:p>
    <w:p w14:paraId="62E89E92" w14:textId="6CC91CC5" w:rsidR="00CB74C3" w:rsidRPr="00CB74C3" w:rsidRDefault="004C6176" w:rsidP="00CB74C3">
      <w:pPr>
        <w:spacing w:line="240" w:lineRule="auto"/>
        <w:rPr>
          <w:rFonts w:ascii="Century Schoolbook" w:hAnsi="Century Schoolbook"/>
        </w:rPr>
      </w:pPr>
      <w:r w:rsidRPr="00CB74C3">
        <w:rPr>
          <w:rFonts w:ascii="Century Schoolbook" w:hAnsi="Century Schoolbook"/>
        </w:rPr>
        <w:t>Interest and Appellants Rexford</w:t>
      </w:r>
    </w:p>
    <w:p w14:paraId="11183AA8" w14:textId="2FE8E013" w:rsidR="00CB74C3" w:rsidRPr="00CB74C3" w:rsidRDefault="004C6176" w:rsidP="00CB74C3">
      <w:pPr>
        <w:spacing w:line="240" w:lineRule="auto"/>
        <w:rPr>
          <w:rFonts w:ascii="Century Schoolbook" w:hAnsi="Century Schoolbook"/>
        </w:rPr>
      </w:pPr>
      <w:r w:rsidRPr="00CB74C3">
        <w:rPr>
          <w:rFonts w:ascii="Century Schoolbook" w:hAnsi="Century Schoolbook"/>
        </w:rPr>
        <w:t>Title, Inc., et al.</w:t>
      </w:r>
      <w:r w:rsidR="00CB74C3" w:rsidRPr="00CB74C3">
        <w:rPr>
          <w:rFonts w:ascii="Century Schoolbook" w:hAnsi="Century Schoolbook"/>
        </w:rPr>
        <w:tab/>
      </w:r>
      <w:r w:rsidR="00CB74C3" w:rsidRPr="00CB74C3">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CB74C3" w:rsidRPr="00CB74C3">
        <w:rPr>
          <w:rFonts w:ascii="Century Schoolbook" w:hAnsi="Century Schoolbook"/>
        </w:rPr>
        <w:t>Andrea A. Matarazzo</w:t>
      </w:r>
      <w:r w:rsidR="00CB74C3" w:rsidRPr="00CB74C3">
        <w:rPr>
          <w:rFonts w:ascii="Century Schoolbook" w:hAnsi="Century Schoolbook"/>
        </w:rPr>
        <w:tab/>
      </w:r>
    </w:p>
    <w:p w14:paraId="698EFCEB" w14:textId="7142EF72"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004C6176">
        <w:rPr>
          <w:rFonts w:ascii="Century Schoolbook" w:hAnsi="Century Schoolbook"/>
        </w:rPr>
        <w:tab/>
      </w:r>
      <w:r w:rsidR="004C6176">
        <w:rPr>
          <w:rFonts w:ascii="Century Schoolbook" w:hAnsi="Century Schoolbook"/>
        </w:rPr>
        <w:tab/>
      </w:r>
      <w:r w:rsidRPr="00CB74C3">
        <w:rPr>
          <w:rFonts w:ascii="Century Schoolbook" w:hAnsi="Century Schoolbook"/>
        </w:rPr>
        <w:t>Kathryn L. Patterson</w:t>
      </w:r>
    </w:p>
    <w:p w14:paraId="2D89C4EC" w14:textId="38545AEB" w:rsidR="00CB74C3" w:rsidRPr="00CB74C3" w:rsidRDefault="00122DB7" w:rsidP="00CB74C3">
      <w:pPr>
        <w:spacing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CB74C3" w:rsidRPr="00CB74C3">
        <w:rPr>
          <w:rFonts w:ascii="Century Schoolbook" w:hAnsi="Century Schoolbook"/>
        </w:rPr>
        <w:t>Teresa L. Zuber</w:t>
      </w:r>
    </w:p>
    <w:p w14:paraId="19546DC0"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57031453" w14:textId="77777777" w:rsidR="00CB74C3" w:rsidRPr="00CB74C3" w:rsidRDefault="00CB74C3" w:rsidP="00CB74C3">
      <w:pPr>
        <w:spacing w:line="240" w:lineRule="auto"/>
        <w:rPr>
          <w:rFonts w:ascii="Century Schoolbook" w:hAnsi="Century Schoolbook"/>
        </w:rPr>
      </w:pPr>
    </w:p>
    <w:p w14:paraId="2C2F891F" w14:textId="77777777" w:rsidR="00CB74C3" w:rsidRPr="00CB74C3" w:rsidRDefault="00CB74C3" w:rsidP="00CB74C3">
      <w:pPr>
        <w:spacing w:line="240" w:lineRule="auto"/>
        <w:rPr>
          <w:rFonts w:ascii="Century Schoolbook" w:hAnsi="Century Schoolbook"/>
        </w:rPr>
      </w:pPr>
    </w:p>
    <w:p w14:paraId="36AC435A" w14:textId="77777777" w:rsidR="00CB74C3" w:rsidRPr="00CB74C3" w:rsidRDefault="00CB74C3" w:rsidP="00CB74C3">
      <w:pPr>
        <w:spacing w:line="240" w:lineRule="auto"/>
        <w:rPr>
          <w:rFonts w:ascii="Century Schoolbook" w:hAnsi="Century Schoolbook"/>
        </w:rPr>
      </w:pPr>
    </w:p>
    <w:p w14:paraId="09A0AC6A"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74031461"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3531BE15"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5055F462"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0C8D3BC1"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r w:rsidRPr="00CB74C3">
        <w:rPr>
          <w:rFonts w:ascii="Century Schoolbook" w:hAnsi="Century Schoolbook"/>
        </w:rPr>
        <w:tab/>
      </w:r>
    </w:p>
    <w:p w14:paraId="213A2106" w14:textId="77777777" w:rsidR="00CB74C3" w:rsidRPr="00CB74C3" w:rsidRDefault="00CB74C3" w:rsidP="00CB74C3">
      <w:pPr>
        <w:spacing w:line="240" w:lineRule="auto"/>
        <w:rPr>
          <w:rFonts w:ascii="Century Schoolbook" w:hAnsi="Century Schoolbook"/>
        </w:rPr>
      </w:pPr>
    </w:p>
    <w:p w14:paraId="4E11A8B6" w14:textId="77777777" w:rsidR="00CB74C3" w:rsidRPr="00CB74C3" w:rsidRDefault="00CB74C3" w:rsidP="00CB74C3">
      <w:pPr>
        <w:spacing w:line="240" w:lineRule="auto"/>
        <w:rPr>
          <w:rFonts w:ascii="Century Schoolbook" w:hAnsi="Century Schoolbook"/>
        </w:rPr>
      </w:pPr>
    </w:p>
    <w:p w14:paraId="16823D8A" w14:textId="77777777" w:rsidR="00CB74C3" w:rsidRPr="00CB74C3" w:rsidRDefault="00CB74C3" w:rsidP="00CB74C3">
      <w:pPr>
        <w:spacing w:line="240" w:lineRule="auto"/>
        <w:rPr>
          <w:rFonts w:ascii="Century Schoolbook" w:hAnsi="Century Schoolbook"/>
        </w:rPr>
      </w:pPr>
    </w:p>
    <w:p w14:paraId="1D7F8E6F" w14:textId="45B79528" w:rsidR="00CB74C3" w:rsidRPr="00122DB7" w:rsidRDefault="00CB74C3" w:rsidP="00CB74C3">
      <w:pPr>
        <w:spacing w:line="240" w:lineRule="auto"/>
        <w:rPr>
          <w:rFonts w:ascii="Century Schoolbook" w:hAnsi="Century Schoolbook"/>
          <w:i/>
          <w:iCs/>
        </w:rPr>
      </w:pPr>
      <w:r w:rsidRPr="00122DB7">
        <w:rPr>
          <w:rFonts w:ascii="Century Schoolbook" w:hAnsi="Century Schoolbook"/>
          <w:i/>
          <w:iCs/>
        </w:rPr>
        <w:t>Santa Rita Union School District, et al., v. City of Salinas</w:t>
      </w:r>
      <w:r w:rsidR="00DA4204">
        <w:rPr>
          <w:rFonts w:ascii="Century Schoolbook" w:hAnsi="Century Schoolbook"/>
          <w:i/>
          <w:iCs/>
        </w:rPr>
        <w:t>, et al.</w:t>
      </w:r>
    </w:p>
    <w:p w14:paraId="4187EDC0" w14:textId="77777777" w:rsidR="00CB74C3" w:rsidRPr="00CB74C3" w:rsidRDefault="00CB74C3" w:rsidP="00CB74C3">
      <w:pPr>
        <w:spacing w:line="240" w:lineRule="auto"/>
        <w:rPr>
          <w:rFonts w:ascii="Century Schoolbook" w:hAnsi="Century Schoolbook"/>
        </w:rPr>
      </w:pPr>
      <w:r w:rsidRPr="00CB74C3">
        <w:rPr>
          <w:rFonts w:ascii="Century Schoolbook" w:hAnsi="Century Schoolbook"/>
        </w:rPr>
        <w:t>H049854</w:t>
      </w:r>
    </w:p>
    <w:p w14:paraId="1FE772A5" w14:textId="78C235ED" w:rsidR="00B51EBD" w:rsidRPr="000D24A8" w:rsidRDefault="00B51EBD" w:rsidP="00B51EBD">
      <w:pPr>
        <w:spacing w:line="240" w:lineRule="auto"/>
        <w:rPr>
          <w:rFonts w:ascii="Century Schoolbook" w:hAnsi="Century Schoolbook"/>
        </w:rPr>
      </w:pPr>
    </w:p>
    <w:p w14:paraId="71D9A810" w14:textId="6DE74301" w:rsidR="00931DF3" w:rsidRPr="000D24A8" w:rsidRDefault="00931DF3" w:rsidP="00142B0E">
      <w:pPr>
        <w:rPr>
          <w:rFonts w:ascii="Century Schoolbook" w:hAnsi="Century Schoolbook"/>
        </w:rPr>
      </w:pPr>
    </w:p>
    <w:sectPr w:rsidR="00931DF3" w:rsidRPr="000D24A8" w:rsidSect="00581ACE">
      <w:pgSz w:w="12240" w:h="15840"/>
      <w:pgMar w:top="720" w:right="720" w:bottom="720" w:left="72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1641" w14:textId="77777777" w:rsidR="003D1695" w:rsidRDefault="003D1695" w:rsidP="003406E7">
      <w:pPr>
        <w:spacing w:line="240" w:lineRule="auto"/>
      </w:pPr>
      <w:r>
        <w:separator/>
      </w:r>
    </w:p>
  </w:endnote>
  <w:endnote w:type="continuationSeparator" w:id="0">
    <w:p w14:paraId="7627CB0A" w14:textId="77777777" w:rsidR="003D1695" w:rsidRDefault="003D1695" w:rsidP="00340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263279"/>
      <w:docPartObj>
        <w:docPartGallery w:val="Page Numbers (Bottom of Page)"/>
        <w:docPartUnique/>
      </w:docPartObj>
    </w:sdtPr>
    <w:sdtEndPr>
      <w:rPr>
        <w:rFonts w:ascii="Century Schoolbook" w:hAnsi="Century Schoolbook"/>
        <w:noProof/>
      </w:rPr>
    </w:sdtEndPr>
    <w:sdtContent>
      <w:p w14:paraId="0EE1D154" w14:textId="0A7378B5" w:rsidR="003406E7" w:rsidRDefault="003406E7">
        <w:pPr>
          <w:pStyle w:val="Footer"/>
          <w:jc w:val="center"/>
        </w:pPr>
        <w:r w:rsidRPr="001769EE">
          <w:rPr>
            <w:rFonts w:ascii="Century Schoolbook" w:hAnsi="Century Schoolbook"/>
          </w:rPr>
          <w:fldChar w:fldCharType="begin"/>
        </w:r>
        <w:r w:rsidRPr="001769EE">
          <w:rPr>
            <w:rFonts w:ascii="Century Schoolbook" w:hAnsi="Century Schoolbook"/>
          </w:rPr>
          <w:instrText xml:space="preserve"> PAGE   \* MERGEFORMAT </w:instrText>
        </w:r>
        <w:r w:rsidRPr="001769EE">
          <w:rPr>
            <w:rFonts w:ascii="Century Schoolbook" w:hAnsi="Century Schoolbook"/>
          </w:rPr>
          <w:fldChar w:fldCharType="separate"/>
        </w:r>
        <w:r w:rsidRPr="001769EE">
          <w:rPr>
            <w:rFonts w:ascii="Century Schoolbook" w:hAnsi="Century Schoolbook"/>
            <w:noProof/>
          </w:rPr>
          <w:t>2</w:t>
        </w:r>
        <w:r w:rsidRPr="001769EE">
          <w:rPr>
            <w:rFonts w:ascii="Century Schoolbook" w:hAnsi="Century Schoolbook"/>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A25E" w14:textId="7DC17C8C" w:rsidR="002E79D6" w:rsidRDefault="002E79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79CD" w14:textId="77777777" w:rsidR="003D1695" w:rsidRDefault="003D1695" w:rsidP="003406E7">
      <w:pPr>
        <w:spacing w:line="240" w:lineRule="auto"/>
      </w:pPr>
      <w:r>
        <w:separator/>
      </w:r>
    </w:p>
  </w:footnote>
  <w:footnote w:type="continuationSeparator" w:id="0">
    <w:p w14:paraId="33807D9E" w14:textId="77777777" w:rsidR="003D1695" w:rsidRDefault="003D1695" w:rsidP="003406E7">
      <w:pPr>
        <w:spacing w:line="240" w:lineRule="auto"/>
      </w:pPr>
      <w:r>
        <w:continuationSeparator/>
      </w:r>
    </w:p>
  </w:footnote>
  <w:footnote w:id="1">
    <w:p w14:paraId="07C0F4D0" w14:textId="0E19221C" w:rsidR="005A7C79" w:rsidRPr="00CA67A2" w:rsidRDefault="005A7C79" w:rsidP="005A7C79">
      <w:pPr>
        <w:pStyle w:val="FootnoteText"/>
        <w:spacing w:line="240" w:lineRule="auto"/>
        <w:rPr>
          <w:rFonts w:ascii="Century Schoolbook" w:hAnsi="Century Schoolbook"/>
        </w:rPr>
      </w:pPr>
      <w:r>
        <w:tab/>
      </w:r>
      <w:bookmarkStart w:id="0" w:name="_Hlk142555019"/>
      <w:r w:rsidRPr="00CA67A2">
        <w:rPr>
          <w:rStyle w:val="FootnoteReference"/>
          <w:rFonts w:ascii="Century Schoolbook" w:hAnsi="Century Schoolbook"/>
        </w:rPr>
        <w:footnoteRef/>
      </w:r>
      <w:r w:rsidRPr="00CA67A2">
        <w:rPr>
          <w:rFonts w:ascii="Century Schoolbook" w:hAnsi="Century Schoolbook"/>
        </w:rPr>
        <w:t xml:space="preserve"> Real parties in interest are apparently landowner applicants for the Specific Plan approvals. They are</w:t>
      </w:r>
      <w:r w:rsidR="00CE5182">
        <w:rPr>
          <w:rFonts w:ascii="Century Schoolbook" w:hAnsi="Century Schoolbook"/>
        </w:rPr>
        <w:t xml:space="preserve"> not identified in briefing but they are</w:t>
      </w:r>
      <w:r w:rsidRPr="00CA67A2">
        <w:rPr>
          <w:rFonts w:ascii="Century Schoolbook" w:hAnsi="Century Schoolbook"/>
        </w:rPr>
        <w:t xml:space="preserve">, as far as we can tell, Rexford Title, Inc.; Patricia Jane </w:t>
      </w:r>
      <w:proofErr w:type="spellStart"/>
      <w:r w:rsidRPr="00CA67A2">
        <w:rPr>
          <w:rFonts w:ascii="Century Schoolbook" w:hAnsi="Century Schoolbook"/>
        </w:rPr>
        <w:t>Bondesen</w:t>
      </w:r>
      <w:proofErr w:type="spellEnd"/>
      <w:r w:rsidRPr="00CA67A2">
        <w:rPr>
          <w:rFonts w:ascii="Century Schoolbook" w:hAnsi="Century Schoolbook"/>
        </w:rPr>
        <w:t xml:space="preserve">; Diane M. </w:t>
      </w:r>
      <w:proofErr w:type="spellStart"/>
      <w:r w:rsidRPr="00CA67A2">
        <w:rPr>
          <w:rFonts w:ascii="Century Schoolbook" w:hAnsi="Century Schoolbook"/>
        </w:rPr>
        <w:t>Vorwerck</w:t>
      </w:r>
      <w:proofErr w:type="spellEnd"/>
      <w:r w:rsidRPr="00CA67A2">
        <w:rPr>
          <w:rFonts w:ascii="Century Schoolbook" w:hAnsi="Century Schoolbook"/>
        </w:rPr>
        <w:t xml:space="preserve">, as Trustee of The Diane M. </w:t>
      </w:r>
      <w:proofErr w:type="spellStart"/>
      <w:r w:rsidRPr="00CA67A2">
        <w:rPr>
          <w:rFonts w:ascii="Century Schoolbook" w:hAnsi="Century Schoolbook"/>
        </w:rPr>
        <w:t>Vorwerck</w:t>
      </w:r>
      <w:proofErr w:type="spellEnd"/>
      <w:r w:rsidRPr="00CA67A2">
        <w:rPr>
          <w:rFonts w:ascii="Century Schoolbook" w:hAnsi="Century Schoolbook"/>
        </w:rPr>
        <w:t xml:space="preserve"> Irrevocable Trust; Nancy Lyn Kelley, as Trustee of the Nancy Lyn Kelley Irrevocable Trust; Kaylene M. Mortensen, as Trustee of The G &amp; K Mortensen Revocable Trust; Krista L. </w:t>
      </w:r>
      <w:proofErr w:type="spellStart"/>
      <w:r w:rsidRPr="00CA67A2">
        <w:rPr>
          <w:rFonts w:ascii="Century Schoolbook" w:hAnsi="Century Schoolbook"/>
        </w:rPr>
        <w:t>Vannest</w:t>
      </w:r>
      <w:proofErr w:type="spellEnd"/>
      <w:r w:rsidRPr="00CA67A2">
        <w:rPr>
          <w:rFonts w:ascii="Century Schoolbook" w:hAnsi="Century Schoolbook"/>
        </w:rPr>
        <w:t xml:space="preserve">; Brian S. Mortensen; Marc D. Mortensen; Alvin C. Mortensen and Karen Rae Mortensen, as Trustees of the Mortensen Family Trust; Ray M. Harrod, Jr., dba Harrod Construction Company; RCS—Salinas Investment I, LLC; and Ann </w:t>
      </w:r>
      <w:proofErr w:type="spellStart"/>
      <w:r w:rsidRPr="00CA67A2">
        <w:rPr>
          <w:rFonts w:ascii="Century Schoolbook" w:hAnsi="Century Schoolbook"/>
        </w:rPr>
        <w:t>Aaroe</w:t>
      </w:r>
      <w:proofErr w:type="spellEnd"/>
      <w:r w:rsidRPr="00CA67A2">
        <w:rPr>
          <w:rFonts w:ascii="Century Schoolbook" w:hAnsi="Century Schoolbook"/>
        </w:rPr>
        <w:t xml:space="preserve">, Individually and as Successor Trustee. We refer to these parties collectively as real parties.      </w:t>
      </w:r>
    </w:p>
    <w:bookmarkEnd w:id="0"/>
  </w:footnote>
  <w:footnote w:id="2">
    <w:p w14:paraId="2B128F76" w14:textId="3446C1C6" w:rsidR="001C1D32" w:rsidRPr="00252E45" w:rsidRDefault="001C1D32" w:rsidP="00252E45">
      <w:pPr>
        <w:pStyle w:val="FootnoteText"/>
        <w:spacing w:line="240" w:lineRule="auto"/>
        <w:rPr>
          <w:rFonts w:ascii="Century Schoolbook" w:hAnsi="Century Schoolbook"/>
        </w:rPr>
      </w:pPr>
      <w:r>
        <w:tab/>
      </w:r>
      <w:r w:rsidRPr="00252E45">
        <w:rPr>
          <w:rStyle w:val="FootnoteReference"/>
          <w:rFonts w:ascii="Century Schoolbook" w:hAnsi="Century Schoolbook"/>
        </w:rPr>
        <w:footnoteRef/>
      </w:r>
      <w:r w:rsidR="00252E45">
        <w:rPr>
          <w:rFonts w:ascii="Century Schoolbook" w:hAnsi="Century Schoolbook"/>
        </w:rPr>
        <w:t xml:space="preserve"> </w:t>
      </w:r>
      <w:r w:rsidRPr="00252E45">
        <w:rPr>
          <w:rFonts w:ascii="Century Schoolbook" w:hAnsi="Century Schoolbook"/>
        </w:rPr>
        <w:t xml:space="preserve">A </w:t>
      </w:r>
      <w:r w:rsidR="00252E45" w:rsidRPr="00252E45">
        <w:rPr>
          <w:rFonts w:ascii="Century Schoolbook" w:hAnsi="Century Schoolbook"/>
        </w:rPr>
        <w:t>“ ‘</w:t>
      </w:r>
      <w:r w:rsidRPr="00252E45">
        <w:rPr>
          <w:rFonts w:ascii="Century Schoolbook" w:hAnsi="Century Schoolbook"/>
        </w:rPr>
        <w:t>program EIR</w:t>
      </w:r>
      <w:r w:rsidR="00252E45" w:rsidRPr="00252E45">
        <w:rPr>
          <w:rFonts w:ascii="Century Schoolbook" w:hAnsi="Century Schoolbook"/>
        </w:rPr>
        <w:t xml:space="preserve">’ evaluates the broad policy direction of a planning document, such as a general plan, but does not examine the potential site-specific impacts of the many individual projects that may be proposed in the future consistent with the plan. (§§ 21068.5, 21093; Guidelines, §§ 15168, 15385.)” </w:t>
      </w:r>
      <w:r w:rsidR="00252E45">
        <w:rPr>
          <w:rFonts w:ascii="Century Schoolbook" w:hAnsi="Century Schoolbook"/>
        </w:rPr>
        <w:t>(</w:t>
      </w:r>
      <w:r w:rsidR="00252E45" w:rsidRPr="008246F3">
        <w:rPr>
          <w:rFonts w:ascii="Century Schoolbook" w:hAnsi="Century Schoolbook"/>
          <w:i/>
          <w:iCs/>
        </w:rPr>
        <w:t>Citizens for a Sustainable Treasure Island v. City and County of San Francisco</w:t>
      </w:r>
      <w:r w:rsidR="00252E45">
        <w:rPr>
          <w:rFonts w:ascii="Century Schoolbook" w:hAnsi="Century Schoolbook"/>
        </w:rPr>
        <w:t xml:space="preserve"> (2014) 227 Cal.App.4th 1036, 1047 (</w:t>
      </w:r>
      <w:r w:rsidR="00252E45" w:rsidRPr="008246F3">
        <w:rPr>
          <w:rFonts w:ascii="Century Schoolbook" w:hAnsi="Century Schoolbook"/>
          <w:i/>
          <w:iCs/>
        </w:rPr>
        <w:t>Treasure Island</w:t>
      </w:r>
      <w:r w:rsidR="00252E45">
        <w:rPr>
          <w:rFonts w:ascii="Century Schoolbook" w:hAnsi="Century Schoolbook"/>
        </w:rPr>
        <w:t>).)</w:t>
      </w:r>
      <w:r w:rsidR="009045D0">
        <w:rPr>
          <w:rFonts w:ascii="Century Schoolbook" w:hAnsi="Century Schoolbook"/>
        </w:rPr>
        <w:t xml:space="preserve"> But the same legal standards apply to all EIR</w:t>
      </w:r>
      <w:r w:rsidR="00A72611">
        <w:rPr>
          <w:rFonts w:ascii="Century Schoolbook" w:hAnsi="Century Schoolbook"/>
        </w:rPr>
        <w:t>’</w:t>
      </w:r>
      <w:r w:rsidR="009045D0">
        <w:rPr>
          <w:rFonts w:ascii="Century Schoolbook" w:hAnsi="Century Schoolbook"/>
        </w:rPr>
        <w:t>s, and the question is not whether a particular project calls for a program or a project EIR. It is instead “whether the EIR addressed the environmental impacts of this [p]</w:t>
      </w:r>
      <w:proofErr w:type="spellStart"/>
      <w:r w:rsidR="009045D0">
        <w:rPr>
          <w:rFonts w:ascii="Century Schoolbook" w:hAnsi="Century Schoolbook"/>
        </w:rPr>
        <w:t>roject</w:t>
      </w:r>
      <w:proofErr w:type="spellEnd"/>
      <w:r w:rsidR="009045D0">
        <w:rPr>
          <w:rFonts w:ascii="Century Schoolbook" w:hAnsi="Century Schoolbook"/>
        </w:rPr>
        <w:t xml:space="preserve"> to a ‘degree of specificity’ consistent with the underlying activity being approved through the EIR. (Guidelines, § 15146; see § 15168, subd. (c)(5).)” (</w:t>
      </w:r>
      <w:r w:rsidR="009045D0" w:rsidRPr="009045D0">
        <w:rPr>
          <w:rFonts w:ascii="Century Schoolbook" w:hAnsi="Century Schoolbook"/>
          <w:i/>
          <w:iCs/>
        </w:rPr>
        <w:t>Id.</w:t>
      </w:r>
      <w:r w:rsidR="009045D0">
        <w:rPr>
          <w:rFonts w:ascii="Century Schoolbook" w:hAnsi="Century Schoolbook"/>
        </w:rPr>
        <w:t xml:space="preserve"> at p. 1052.) In reviewing a challenge to an EIR, “it is unconstructive to ask whether the EIR provided ‘project-level’ as opposed to ‘program-level’ detail and analysis. Instead, we focus on whether the EIR provided ‘decision makers with sufficient analysis to intelligently consider the environmental consequences of [the] project.’ [Citation.]”</w:t>
      </w:r>
      <w:r w:rsidR="0012511A">
        <w:rPr>
          <w:rFonts w:ascii="Century Schoolbook" w:hAnsi="Century Schoolbook"/>
        </w:rPr>
        <w:t xml:space="preserve"> (</w:t>
      </w:r>
      <w:r w:rsidR="0012511A" w:rsidRPr="0012511A">
        <w:rPr>
          <w:rFonts w:ascii="Century Schoolbook" w:hAnsi="Century Schoolbook"/>
          <w:i/>
          <w:iCs/>
        </w:rPr>
        <w:t>Ibid</w:t>
      </w:r>
      <w:r w:rsidR="0012511A">
        <w:rPr>
          <w:rFonts w:ascii="Century Schoolbook" w:hAnsi="Century Schoolbook"/>
        </w:rPr>
        <w:t>.)</w:t>
      </w:r>
    </w:p>
  </w:footnote>
  <w:footnote w:id="3">
    <w:p w14:paraId="54182628" w14:textId="4D990DB9" w:rsidR="00332C34" w:rsidRPr="00F21DFD" w:rsidRDefault="00332C34" w:rsidP="00F21DFD">
      <w:pPr>
        <w:pStyle w:val="FootnoteText"/>
        <w:spacing w:line="240" w:lineRule="auto"/>
        <w:rPr>
          <w:rFonts w:ascii="Century Schoolbook" w:hAnsi="Century Schoolbook"/>
        </w:rPr>
      </w:pPr>
      <w:r>
        <w:tab/>
      </w:r>
      <w:r w:rsidRPr="00F21DFD">
        <w:rPr>
          <w:rStyle w:val="FootnoteReference"/>
          <w:rFonts w:ascii="Century Schoolbook" w:hAnsi="Century Schoolbook"/>
        </w:rPr>
        <w:footnoteRef/>
      </w:r>
      <w:r w:rsidRPr="00F21DFD">
        <w:rPr>
          <w:rFonts w:ascii="Century Schoolbook" w:hAnsi="Century Schoolbook"/>
        </w:rPr>
        <w:t xml:space="preserve"> Based on </w:t>
      </w:r>
      <w:r w:rsidR="00F21DFD" w:rsidRPr="00F21DFD">
        <w:rPr>
          <w:rFonts w:ascii="Century Schoolbook" w:hAnsi="Century Schoolbook"/>
        </w:rPr>
        <w:t>information</w:t>
      </w:r>
      <w:r w:rsidRPr="00F21DFD">
        <w:rPr>
          <w:rFonts w:ascii="Century Schoolbook" w:hAnsi="Century Schoolbook"/>
        </w:rPr>
        <w:t xml:space="preserve"> received </w:t>
      </w:r>
      <w:r w:rsidR="00F21DFD" w:rsidRPr="00F21DFD">
        <w:rPr>
          <w:rFonts w:ascii="Century Schoolbook" w:hAnsi="Century Schoolbook"/>
        </w:rPr>
        <w:t xml:space="preserve">from SRUSD </w:t>
      </w:r>
      <w:r w:rsidRPr="00F21DFD">
        <w:rPr>
          <w:rFonts w:ascii="Century Schoolbook" w:hAnsi="Century Schoolbook"/>
        </w:rPr>
        <w:t xml:space="preserve">on these projected </w:t>
      </w:r>
      <w:r w:rsidR="0095252C">
        <w:rPr>
          <w:rFonts w:ascii="Century Schoolbook" w:hAnsi="Century Schoolbook"/>
        </w:rPr>
        <w:t xml:space="preserve">enrollment </w:t>
      </w:r>
      <w:r w:rsidRPr="00F21DFD">
        <w:rPr>
          <w:rFonts w:ascii="Century Schoolbook" w:hAnsi="Century Schoolbook"/>
        </w:rPr>
        <w:t>numbers as being too low, the City</w:t>
      </w:r>
      <w:r w:rsidR="00F21DFD" w:rsidRPr="00F21DFD">
        <w:rPr>
          <w:rFonts w:ascii="Century Schoolbook" w:hAnsi="Century Schoolbook"/>
        </w:rPr>
        <w:t xml:space="preserve"> adjusted its analysis in an Errata to incorporate the higher figures provided. </w:t>
      </w:r>
      <w:r w:rsidRPr="00F21DFD">
        <w:rPr>
          <w:rFonts w:ascii="Century Schoolbook" w:hAnsi="Century Schoolbook"/>
        </w:rPr>
        <w:t xml:space="preserve"> </w:t>
      </w:r>
    </w:p>
  </w:footnote>
  <w:footnote w:id="4">
    <w:p w14:paraId="7916BD10" w14:textId="2E52A97B" w:rsidR="009A7C26" w:rsidRPr="00A80B18" w:rsidRDefault="009A7C26" w:rsidP="00A80B18">
      <w:pPr>
        <w:pStyle w:val="FootnoteText"/>
        <w:spacing w:line="240" w:lineRule="auto"/>
        <w:rPr>
          <w:rFonts w:ascii="Century Schoolbook" w:hAnsi="Century Schoolbook"/>
        </w:rPr>
      </w:pPr>
      <w:r>
        <w:tab/>
      </w:r>
      <w:r w:rsidRPr="00A80B18">
        <w:rPr>
          <w:rStyle w:val="FootnoteReference"/>
          <w:rFonts w:ascii="Century Schoolbook" w:hAnsi="Century Schoolbook"/>
        </w:rPr>
        <w:footnoteRef/>
      </w:r>
      <w:r w:rsidRPr="00A80B18">
        <w:rPr>
          <w:rFonts w:ascii="Century Schoolbook" w:hAnsi="Century Schoolbook"/>
        </w:rPr>
        <w:t xml:space="preserve"> The letter also pointed out that all three sources of funds of the “three-legged stool” would be altered</w:t>
      </w:r>
      <w:r w:rsidR="007F1EB9">
        <w:rPr>
          <w:rFonts w:ascii="Century Schoolbook" w:hAnsi="Century Schoolbook"/>
        </w:rPr>
        <w:t>, negatively so from the Districts’ perspective,</w:t>
      </w:r>
      <w:r w:rsidRPr="00A80B18">
        <w:rPr>
          <w:rFonts w:ascii="Century Schoolbook" w:hAnsi="Century Schoolbook"/>
        </w:rPr>
        <w:t xml:space="preserve"> </w:t>
      </w:r>
      <w:r w:rsidR="00A80B18" w:rsidRPr="00A80B18">
        <w:rPr>
          <w:rFonts w:ascii="Century Schoolbook" w:hAnsi="Century Schoolbook"/>
        </w:rPr>
        <w:t>if Proposition 13 on the March 2020 ballot, a state bond measure</w:t>
      </w:r>
      <w:r w:rsidR="007F1EB9">
        <w:rPr>
          <w:rFonts w:ascii="Century Schoolbook" w:hAnsi="Century Schoolbook"/>
        </w:rPr>
        <w:t xml:space="preserve"> (Voter Information Guide</w:t>
      </w:r>
      <w:r w:rsidR="00A80B18" w:rsidRPr="00A80B18">
        <w:rPr>
          <w:rFonts w:ascii="Century Schoolbook" w:hAnsi="Century Schoolbook"/>
        </w:rPr>
        <w:t>,</w:t>
      </w:r>
      <w:r w:rsidR="007F1EB9">
        <w:rPr>
          <w:rFonts w:ascii="Century Schoolbook" w:hAnsi="Century Schoolbook"/>
        </w:rPr>
        <w:t xml:space="preserve"> Ballot </w:t>
      </w:r>
      <w:proofErr w:type="spellStart"/>
      <w:r w:rsidR="007F1EB9">
        <w:rPr>
          <w:rFonts w:ascii="Century Schoolbook" w:hAnsi="Century Schoolbook"/>
        </w:rPr>
        <w:t>Pamp</w:t>
      </w:r>
      <w:proofErr w:type="spellEnd"/>
      <w:r w:rsidR="007F1EB9">
        <w:rPr>
          <w:rFonts w:ascii="Century Schoolbook" w:hAnsi="Century Schoolbook"/>
        </w:rPr>
        <w:t>., Primary Elec. (Mar</w:t>
      </w:r>
      <w:r w:rsidR="00A72611">
        <w:rPr>
          <w:rFonts w:ascii="Century Schoolbook" w:hAnsi="Century Schoolbook"/>
        </w:rPr>
        <w:t>.</w:t>
      </w:r>
      <w:r w:rsidR="007F1EB9">
        <w:rPr>
          <w:rFonts w:ascii="Century Schoolbook" w:hAnsi="Century Schoolbook"/>
        </w:rPr>
        <w:t xml:space="preserve"> 3, 2020) text of Prop. 13, pp. 26–46) </w:t>
      </w:r>
      <w:r w:rsidR="00A80B18" w:rsidRPr="00A80B18">
        <w:rPr>
          <w:rFonts w:ascii="Century Schoolbook" w:hAnsi="Century Schoolbook"/>
        </w:rPr>
        <w:t xml:space="preserve">were to pass—yet another uncertainty </w:t>
      </w:r>
      <w:r w:rsidR="00BD1595">
        <w:rPr>
          <w:rFonts w:ascii="Century Schoolbook" w:hAnsi="Century Schoolbook"/>
        </w:rPr>
        <w:t>affecting</w:t>
      </w:r>
      <w:r w:rsidR="00A80B18" w:rsidRPr="00A80B18">
        <w:rPr>
          <w:rFonts w:ascii="Century Schoolbook" w:hAnsi="Century Schoolbook"/>
        </w:rPr>
        <w:t xml:space="preserve"> school</w:t>
      </w:r>
      <w:r w:rsidR="00BD1595">
        <w:rPr>
          <w:rFonts w:ascii="Century Schoolbook" w:hAnsi="Century Schoolbook"/>
        </w:rPr>
        <w:t xml:space="preserve">-facilities </w:t>
      </w:r>
      <w:r w:rsidR="00A80B18" w:rsidRPr="00A80B18">
        <w:rPr>
          <w:rFonts w:ascii="Century Schoolbook" w:hAnsi="Century Schoolbook"/>
        </w:rPr>
        <w:t xml:space="preserve"> funding at the time the Final EIR was certified. </w:t>
      </w:r>
      <w:r w:rsidR="00A80B18" w:rsidRPr="007F1EB9">
        <w:rPr>
          <w:rFonts w:ascii="Century Schoolbook" w:hAnsi="Century Schoolbook"/>
        </w:rPr>
        <w:t xml:space="preserve">Proposition 13 </w:t>
      </w:r>
      <w:r w:rsidR="00BD1595">
        <w:rPr>
          <w:rFonts w:ascii="Century Schoolbook" w:hAnsi="Century Schoolbook"/>
        </w:rPr>
        <w:t>was ultimately rejected by the voters</w:t>
      </w:r>
      <w:r w:rsidR="00A80B18" w:rsidRPr="00A80B18">
        <w:rPr>
          <w:rFonts w:ascii="Century Schoolbook" w:hAnsi="Century Schoolbook"/>
        </w:rPr>
        <w:t>.</w:t>
      </w:r>
      <w:r w:rsidRPr="00A80B18">
        <w:rPr>
          <w:rFonts w:ascii="Century Schoolbook" w:hAnsi="Century Schoolbook"/>
        </w:rPr>
        <w:t xml:space="preserve"> </w:t>
      </w:r>
    </w:p>
  </w:footnote>
  <w:footnote w:id="5">
    <w:p w14:paraId="7C2C9AF1" w14:textId="77777777" w:rsidR="007630BB" w:rsidRPr="00E67DC8" w:rsidRDefault="007630BB" w:rsidP="007630BB">
      <w:pPr>
        <w:pStyle w:val="FootnoteText"/>
        <w:spacing w:line="240" w:lineRule="auto"/>
        <w:rPr>
          <w:rFonts w:ascii="Century Schoolbook" w:hAnsi="Century Schoolbook"/>
        </w:rPr>
      </w:pPr>
      <w:r>
        <w:tab/>
      </w:r>
      <w:r w:rsidRPr="00E67DC8">
        <w:rPr>
          <w:rStyle w:val="FootnoteReference"/>
          <w:rFonts w:ascii="Century Schoolbook" w:hAnsi="Century Schoolbook"/>
        </w:rPr>
        <w:footnoteRef/>
      </w:r>
      <w:r w:rsidRPr="00E67DC8">
        <w:rPr>
          <w:rFonts w:ascii="Century Schoolbook" w:hAnsi="Century Schoolbook"/>
        </w:rPr>
        <w:t xml:space="preserve"> The Districts labeled the cause of action as </w:t>
      </w:r>
      <w:r>
        <w:rPr>
          <w:rFonts w:ascii="Century Schoolbook" w:hAnsi="Century Schoolbook"/>
        </w:rPr>
        <w:t xml:space="preserve">having been </w:t>
      </w:r>
      <w:r w:rsidRPr="00E67DC8">
        <w:rPr>
          <w:rFonts w:ascii="Century Schoolbook" w:hAnsi="Century Schoolbook"/>
        </w:rPr>
        <w:t>brought under both traditional and administrative mandate under Code of Civil Procedure sections 1085 and 1094.5, respectively</w:t>
      </w:r>
      <w:r>
        <w:rPr>
          <w:rFonts w:ascii="Century Schoolbook" w:hAnsi="Century Schoolbook"/>
        </w:rPr>
        <w:t>, and</w:t>
      </w:r>
      <w:r w:rsidRPr="00E67DC8">
        <w:rPr>
          <w:rFonts w:ascii="Century Schoolbook" w:hAnsi="Century Schoolbook"/>
        </w:rPr>
        <w:t xml:space="preserve"> CEQA, </w:t>
      </w:r>
      <w:r>
        <w:rPr>
          <w:rFonts w:ascii="Century Schoolbook" w:hAnsi="Century Schoolbook"/>
        </w:rPr>
        <w:t>specifical</w:t>
      </w:r>
      <w:r w:rsidRPr="00E67DC8">
        <w:rPr>
          <w:rFonts w:ascii="Century Schoolbook" w:hAnsi="Century Schoolbook"/>
        </w:rPr>
        <w:t xml:space="preserve">ly sections 21167, 21168, and 21168.5.    </w:t>
      </w:r>
    </w:p>
  </w:footnote>
  <w:footnote w:id="6">
    <w:p w14:paraId="74C8B48C" w14:textId="7F15D04E" w:rsidR="00F906EE" w:rsidRPr="009C3E6D" w:rsidRDefault="006B6812" w:rsidP="009C3E6D">
      <w:pPr>
        <w:pStyle w:val="FootnoteText"/>
        <w:spacing w:line="240" w:lineRule="auto"/>
        <w:rPr>
          <w:rFonts w:ascii="Century Schoolbook" w:hAnsi="Century Schoolbook"/>
        </w:rPr>
      </w:pPr>
      <w:r>
        <w:tab/>
      </w:r>
      <w:r w:rsidR="00F906EE" w:rsidRPr="009C3E6D">
        <w:rPr>
          <w:rStyle w:val="FootnoteReference"/>
          <w:rFonts w:ascii="Century Schoolbook" w:hAnsi="Century Schoolbook"/>
        </w:rPr>
        <w:footnoteRef/>
      </w:r>
      <w:r w:rsidRPr="009C3E6D">
        <w:rPr>
          <w:rFonts w:ascii="Century Schoolbook" w:hAnsi="Century Schoolbook"/>
        </w:rPr>
        <w:t xml:space="preserve"> The first cause of action under CEQA was related to what was labeled </w:t>
      </w:r>
      <w:r w:rsidR="009C3E6D" w:rsidRPr="009C3E6D">
        <w:rPr>
          <w:rFonts w:ascii="Century Schoolbook" w:hAnsi="Century Schoolbook"/>
        </w:rPr>
        <w:t xml:space="preserve">in the Districts’ </w:t>
      </w:r>
      <w:r w:rsidRPr="009C3E6D">
        <w:rPr>
          <w:rFonts w:ascii="Century Schoolbook" w:hAnsi="Century Schoolbook"/>
        </w:rPr>
        <w:t xml:space="preserve">fifth cause of action for </w:t>
      </w:r>
      <w:r w:rsidR="00925452" w:rsidRPr="009C3E6D">
        <w:rPr>
          <w:rFonts w:ascii="Century Schoolbook" w:hAnsi="Century Schoolbook"/>
        </w:rPr>
        <w:t>injunctive relief, which is not a cause of action but a remedy. (</w:t>
      </w:r>
      <w:proofErr w:type="spellStart"/>
      <w:r w:rsidR="00925452" w:rsidRPr="009C3E6D">
        <w:rPr>
          <w:rFonts w:ascii="Century Schoolbook" w:hAnsi="Century Schoolbook"/>
          <w:i/>
          <w:iCs/>
        </w:rPr>
        <w:t>Ivanoff</w:t>
      </w:r>
      <w:proofErr w:type="spellEnd"/>
      <w:r w:rsidR="00925452" w:rsidRPr="009C3E6D">
        <w:rPr>
          <w:rFonts w:ascii="Century Schoolbook" w:hAnsi="Century Schoolbook"/>
          <w:i/>
          <w:iCs/>
        </w:rPr>
        <w:t xml:space="preserve"> v. Bank of America, N.A.</w:t>
      </w:r>
      <w:r w:rsidR="00925452" w:rsidRPr="009C3E6D">
        <w:rPr>
          <w:rFonts w:ascii="Century Schoolbook" w:hAnsi="Century Schoolbook"/>
        </w:rPr>
        <w:t xml:space="preserve"> (2017) 9 Cal.App.5th 719, 734 [permanent injunction is a remedy, not a cause of action, and it may not be issued if the underlying cause of action is not established].)</w:t>
      </w:r>
      <w:r w:rsidRPr="009C3E6D">
        <w:rPr>
          <w:rFonts w:ascii="Century Schoolbook" w:hAnsi="Century Schoolbook"/>
        </w:rPr>
        <w:t xml:space="preserve"> </w:t>
      </w:r>
      <w:r w:rsidR="00925452" w:rsidRPr="009C3E6D">
        <w:rPr>
          <w:rFonts w:ascii="Century Schoolbook" w:hAnsi="Century Schoolbook"/>
        </w:rPr>
        <w:t>The trial court here ruled and entered judgment in the District</w:t>
      </w:r>
      <w:r w:rsidR="009C3E6D" w:rsidRPr="009C3E6D">
        <w:rPr>
          <w:rFonts w:ascii="Century Schoolbook" w:hAnsi="Century Schoolbook"/>
        </w:rPr>
        <w:t>s</w:t>
      </w:r>
      <w:r w:rsidR="00925452" w:rsidRPr="009C3E6D">
        <w:rPr>
          <w:rFonts w:ascii="Century Schoolbook" w:hAnsi="Century Schoolbook"/>
        </w:rPr>
        <w:t>’ favor on the fifth cause of action</w:t>
      </w:r>
      <w:r w:rsidR="009C3E6D">
        <w:rPr>
          <w:rFonts w:ascii="Century Schoolbook" w:hAnsi="Century Schoolbook"/>
        </w:rPr>
        <w:t xml:space="preserve"> as though it were a separate cause of action</w:t>
      </w:r>
      <w:r w:rsidR="009C3E6D" w:rsidRPr="009C3E6D">
        <w:rPr>
          <w:rFonts w:ascii="Century Schoolbook" w:hAnsi="Century Schoolbook"/>
        </w:rPr>
        <w:t xml:space="preserve">. We will treat that </w:t>
      </w:r>
      <w:r w:rsidR="009C3E6D">
        <w:rPr>
          <w:rFonts w:ascii="Century Schoolbook" w:hAnsi="Century Schoolbook"/>
        </w:rPr>
        <w:t xml:space="preserve">ruling </w:t>
      </w:r>
      <w:r w:rsidR="009C3E6D" w:rsidRPr="009C3E6D">
        <w:rPr>
          <w:rFonts w:ascii="Century Schoolbook" w:hAnsi="Century Schoolbook"/>
        </w:rPr>
        <w:t xml:space="preserve">not as </w:t>
      </w:r>
      <w:r w:rsidR="004B4F9A">
        <w:rPr>
          <w:rFonts w:ascii="Century Schoolbook" w:hAnsi="Century Schoolbook"/>
        </w:rPr>
        <w:t xml:space="preserve">one </w:t>
      </w:r>
      <w:r w:rsidR="009C3E6D" w:rsidRPr="009C3E6D">
        <w:rPr>
          <w:rFonts w:ascii="Century Schoolbook" w:hAnsi="Century Schoolbook"/>
        </w:rPr>
        <w:t>on an independent cause of action but</w:t>
      </w:r>
      <w:r w:rsidR="00C667D0">
        <w:rPr>
          <w:rFonts w:ascii="Century Schoolbook" w:hAnsi="Century Schoolbook"/>
        </w:rPr>
        <w:t>, rather,</w:t>
      </w:r>
      <w:r w:rsidR="009C3E6D" w:rsidRPr="009C3E6D">
        <w:rPr>
          <w:rFonts w:ascii="Century Schoolbook" w:hAnsi="Century Schoolbook"/>
        </w:rPr>
        <w:t xml:space="preserve"> as </w:t>
      </w:r>
      <w:r w:rsidR="004B4F9A">
        <w:rPr>
          <w:rFonts w:ascii="Century Schoolbook" w:hAnsi="Century Schoolbook"/>
        </w:rPr>
        <w:t xml:space="preserve">the trial court having </w:t>
      </w:r>
      <w:r w:rsidR="009C3E6D" w:rsidRPr="009C3E6D">
        <w:rPr>
          <w:rFonts w:ascii="Century Schoolbook" w:hAnsi="Century Schoolbook"/>
        </w:rPr>
        <w:t xml:space="preserve">issued injunctive relief in the judgment as a remedy </w:t>
      </w:r>
      <w:r w:rsidR="00C667D0">
        <w:rPr>
          <w:rFonts w:ascii="Century Schoolbook" w:hAnsi="Century Schoolbook"/>
        </w:rPr>
        <w:t>tethered to</w:t>
      </w:r>
      <w:r w:rsidR="004B4F9A">
        <w:rPr>
          <w:rFonts w:ascii="Century Schoolbook" w:hAnsi="Century Schoolbook"/>
        </w:rPr>
        <w:t xml:space="preserve"> </w:t>
      </w:r>
      <w:r w:rsidR="009C3E6D" w:rsidRPr="009C3E6D">
        <w:rPr>
          <w:rFonts w:ascii="Century Schoolbook" w:hAnsi="Century Schoolbook"/>
        </w:rPr>
        <w:t xml:space="preserve">the CEQA violations </w:t>
      </w:r>
      <w:r w:rsidR="004B4F9A">
        <w:rPr>
          <w:rFonts w:ascii="Century Schoolbook" w:hAnsi="Century Schoolbook"/>
        </w:rPr>
        <w:t xml:space="preserve">it found </w:t>
      </w:r>
      <w:r w:rsidR="009C3E6D" w:rsidRPr="009C3E6D">
        <w:rPr>
          <w:rFonts w:ascii="Century Schoolbook" w:hAnsi="Century Schoolbook"/>
        </w:rPr>
        <w:t xml:space="preserve">in the first cause of action.   </w:t>
      </w:r>
      <w:r w:rsidRPr="009C3E6D">
        <w:rPr>
          <w:rFonts w:ascii="Century Schoolbook" w:hAnsi="Century Schoolbook"/>
        </w:rPr>
        <w:t xml:space="preserve"> </w:t>
      </w:r>
      <w:r w:rsidR="00F906EE" w:rsidRPr="009C3E6D">
        <w:rPr>
          <w:rFonts w:ascii="Century Schoolbook" w:hAnsi="Century Schoolbook"/>
        </w:rPr>
        <w:t xml:space="preserve"> </w:t>
      </w:r>
    </w:p>
  </w:footnote>
  <w:footnote w:id="7">
    <w:p w14:paraId="62F0A754" w14:textId="51ED9F91" w:rsidR="000F7AD6" w:rsidRPr="00977BC4" w:rsidRDefault="000F7AD6" w:rsidP="00977BC4">
      <w:pPr>
        <w:pStyle w:val="FootnoteText"/>
        <w:spacing w:line="240" w:lineRule="auto"/>
        <w:rPr>
          <w:rFonts w:ascii="Century Schoolbook" w:hAnsi="Century Schoolbook"/>
        </w:rPr>
      </w:pPr>
      <w:r>
        <w:tab/>
      </w:r>
      <w:r w:rsidRPr="00977BC4">
        <w:rPr>
          <w:rStyle w:val="FootnoteReference"/>
          <w:rFonts w:ascii="Century Schoolbook" w:hAnsi="Century Schoolbook"/>
        </w:rPr>
        <w:footnoteRef/>
      </w:r>
      <w:r w:rsidRPr="00977BC4">
        <w:rPr>
          <w:rFonts w:ascii="Century Schoolbook" w:hAnsi="Century Schoolbook"/>
        </w:rPr>
        <w:t xml:space="preserve"> The second cause of action was also in mandate, challenging the Project for violations of the </w:t>
      </w:r>
      <w:r w:rsidR="008822ED" w:rsidRPr="00977BC4">
        <w:rPr>
          <w:rFonts w:ascii="Century Schoolbook" w:hAnsi="Century Schoolbook"/>
        </w:rPr>
        <w:t>p</w:t>
      </w:r>
      <w:r w:rsidRPr="00977BC4">
        <w:rPr>
          <w:rFonts w:ascii="Century Schoolbook" w:hAnsi="Century Schoolbook"/>
        </w:rPr>
        <w:t xml:space="preserve">lanning and </w:t>
      </w:r>
      <w:r w:rsidR="008822ED" w:rsidRPr="00977BC4">
        <w:rPr>
          <w:rFonts w:ascii="Century Schoolbook" w:hAnsi="Century Schoolbook"/>
        </w:rPr>
        <w:t>z</w:t>
      </w:r>
      <w:r w:rsidRPr="00977BC4">
        <w:rPr>
          <w:rFonts w:ascii="Century Schoolbook" w:hAnsi="Century Schoolbook"/>
        </w:rPr>
        <w:t xml:space="preserve">oning </w:t>
      </w:r>
      <w:r w:rsidR="008822ED" w:rsidRPr="00977BC4">
        <w:rPr>
          <w:rFonts w:ascii="Century Schoolbook" w:hAnsi="Century Schoolbook"/>
        </w:rPr>
        <w:t>l</w:t>
      </w:r>
      <w:r w:rsidRPr="00977BC4">
        <w:rPr>
          <w:rFonts w:ascii="Century Schoolbook" w:hAnsi="Century Schoolbook"/>
        </w:rPr>
        <w:t xml:space="preserve">aw </w:t>
      </w:r>
      <w:r w:rsidR="008822ED" w:rsidRPr="00977BC4">
        <w:rPr>
          <w:rFonts w:ascii="Century Schoolbook" w:hAnsi="Century Schoolbook"/>
        </w:rPr>
        <w:t xml:space="preserve">concerning </w:t>
      </w:r>
      <w:r w:rsidR="00C5619B" w:rsidRPr="00977BC4">
        <w:rPr>
          <w:rFonts w:ascii="Century Schoolbook" w:hAnsi="Century Schoolbook"/>
        </w:rPr>
        <w:t xml:space="preserve">consistency </w:t>
      </w:r>
      <w:r w:rsidR="00977BC4">
        <w:rPr>
          <w:rFonts w:ascii="Century Schoolbook" w:hAnsi="Century Schoolbook"/>
        </w:rPr>
        <w:t xml:space="preserve">with </w:t>
      </w:r>
      <w:r w:rsidR="008822ED" w:rsidRPr="00977BC4">
        <w:rPr>
          <w:rFonts w:ascii="Century Schoolbook" w:hAnsi="Century Schoolbook"/>
        </w:rPr>
        <w:t xml:space="preserve">the City’s General Plan </w:t>
      </w:r>
      <w:r w:rsidRPr="00977BC4">
        <w:rPr>
          <w:rFonts w:ascii="Century Schoolbook" w:hAnsi="Century Schoolbook"/>
        </w:rPr>
        <w:t>(Gov. Code, § 65000 et seq.), and the third alleged violations of the Brown Act (Gov. Code</w:t>
      </w:r>
      <w:r w:rsidR="001B6D99">
        <w:rPr>
          <w:rFonts w:ascii="Century Schoolbook" w:hAnsi="Century Schoolbook"/>
        </w:rPr>
        <w:t>,</w:t>
      </w:r>
      <w:r w:rsidRPr="00977BC4">
        <w:rPr>
          <w:rFonts w:ascii="Century Schoolbook" w:hAnsi="Century Schoolbook"/>
        </w:rPr>
        <w:t xml:space="preserve"> </w:t>
      </w:r>
      <w:r w:rsidR="008822ED" w:rsidRPr="00977BC4">
        <w:rPr>
          <w:rFonts w:ascii="Century Schoolbook" w:hAnsi="Century Schoolbook"/>
        </w:rPr>
        <w:t xml:space="preserve">§ 54950, et seq.) </w:t>
      </w:r>
      <w:r w:rsidRPr="00977BC4">
        <w:rPr>
          <w:rFonts w:ascii="Century Schoolbook" w:hAnsi="Century Schoolbook"/>
        </w:rPr>
        <w:t>in connection with the Specific Plan’s approvals by the City’s Planning Commission.</w:t>
      </w:r>
      <w:r w:rsidR="008822ED" w:rsidRPr="00977BC4">
        <w:rPr>
          <w:rFonts w:ascii="Century Schoolbook" w:hAnsi="Century Schoolbook"/>
        </w:rPr>
        <w:t xml:space="preserve"> The fourth cause of action merely restated the first three </w:t>
      </w:r>
      <w:r w:rsidR="00C5619B" w:rsidRPr="00977BC4">
        <w:rPr>
          <w:rFonts w:ascii="Century Schoolbook" w:hAnsi="Century Schoolbook"/>
        </w:rPr>
        <w:t xml:space="preserve">but sought declaratory relief, and the fifth, as noted, sought injunctive relief resting on the previously alleged law violations. The trial court granted judgment on the pleadings against the Districts on the third and fourth causes of action before </w:t>
      </w:r>
      <w:r w:rsidR="00977BC4" w:rsidRPr="00977BC4">
        <w:rPr>
          <w:rFonts w:ascii="Century Schoolbook" w:hAnsi="Century Schoolbook"/>
        </w:rPr>
        <w:t>reaching</w:t>
      </w:r>
      <w:r w:rsidR="00C5619B" w:rsidRPr="00977BC4">
        <w:rPr>
          <w:rFonts w:ascii="Century Schoolbook" w:hAnsi="Century Schoolbook"/>
        </w:rPr>
        <w:t xml:space="preserve"> the merits of the rest. In </w:t>
      </w:r>
      <w:r w:rsidR="00977BC4">
        <w:rPr>
          <w:rFonts w:ascii="Century Schoolbook" w:hAnsi="Century Schoolbook"/>
        </w:rPr>
        <w:t xml:space="preserve">later </w:t>
      </w:r>
      <w:r w:rsidR="00C5619B" w:rsidRPr="00977BC4">
        <w:rPr>
          <w:rFonts w:ascii="Century Schoolbook" w:hAnsi="Century Schoolbook"/>
        </w:rPr>
        <w:t xml:space="preserve">addressing the merits, the court ruled against the Districts on the second cause of action for </w:t>
      </w:r>
      <w:r w:rsidR="00977BC4">
        <w:rPr>
          <w:rFonts w:ascii="Century Schoolbook" w:hAnsi="Century Schoolbook"/>
        </w:rPr>
        <w:t xml:space="preserve">their </w:t>
      </w:r>
      <w:r w:rsidR="00C5619B" w:rsidRPr="00977BC4">
        <w:rPr>
          <w:rFonts w:ascii="Century Schoolbook" w:hAnsi="Century Schoolbook"/>
        </w:rPr>
        <w:t xml:space="preserve">failure to exhaust administrative remedies. </w:t>
      </w:r>
      <w:r w:rsidR="00977BC4" w:rsidRPr="00977BC4">
        <w:rPr>
          <w:rFonts w:ascii="Century Schoolbook" w:hAnsi="Century Schoolbook"/>
        </w:rPr>
        <w:t>The scope of th</w:t>
      </w:r>
      <w:r w:rsidR="00977BC4">
        <w:rPr>
          <w:rFonts w:ascii="Century Schoolbook" w:hAnsi="Century Schoolbook"/>
        </w:rPr>
        <w:t>e real parties’</w:t>
      </w:r>
      <w:r w:rsidR="00977BC4" w:rsidRPr="00977BC4">
        <w:rPr>
          <w:rFonts w:ascii="Century Schoolbook" w:hAnsi="Century Schoolbook"/>
        </w:rPr>
        <w:t xml:space="preserve"> appeal is limited to the</w:t>
      </w:r>
      <w:r w:rsidR="00977BC4">
        <w:rPr>
          <w:rFonts w:ascii="Century Schoolbook" w:hAnsi="Century Schoolbook"/>
        </w:rPr>
        <w:t>ir</w:t>
      </w:r>
      <w:r w:rsidR="00977BC4" w:rsidRPr="00977BC4">
        <w:rPr>
          <w:rFonts w:ascii="Century Schoolbook" w:hAnsi="Century Schoolbook"/>
        </w:rPr>
        <w:t xml:space="preserve"> challenges to the trial court’s ruling in favor of the Districts on the first cause of action for CEQA violations and the injunctive relief provided for those violations to the extent captured in what is labeled the fifth cause of action. We therefore do not address the trial court’s rulings beyond these. </w:t>
      </w:r>
      <w:r w:rsidR="00C5619B" w:rsidRPr="00977BC4">
        <w:rPr>
          <w:rFonts w:ascii="Century Schoolbook" w:hAnsi="Century Schoolbook"/>
        </w:rPr>
        <w:t xml:space="preserve"> </w:t>
      </w:r>
      <w:r w:rsidRPr="00977BC4">
        <w:rPr>
          <w:rFonts w:ascii="Century Schoolbook" w:hAnsi="Century Schoolbook"/>
        </w:rPr>
        <w:t xml:space="preserve">  </w:t>
      </w:r>
    </w:p>
  </w:footnote>
  <w:footnote w:id="8">
    <w:p w14:paraId="354C8B00" w14:textId="3A289235" w:rsidR="006E4E9D" w:rsidRPr="006E4E9D" w:rsidRDefault="006E4E9D" w:rsidP="006E4E9D">
      <w:pPr>
        <w:pStyle w:val="FootnoteText"/>
        <w:spacing w:line="240" w:lineRule="auto"/>
        <w:rPr>
          <w:rFonts w:ascii="Century Schoolbook" w:hAnsi="Century Schoolbook"/>
        </w:rPr>
      </w:pPr>
      <w:r>
        <w:tab/>
      </w:r>
      <w:r w:rsidRPr="006E4E9D">
        <w:rPr>
          <w:rStyle w:val="FootnoteReference"/>
          <w:rFonts w:ascii="Century Schoolbook" w:hAnsi="Century Schoolbook"/>
        </w:rPr>
        <w:footnoteRef/>
      </w:r>
      <w:r w:rsidRPr="006E4E9D">
        <w:rPr>
          <w:rFonts w:ascii="Century Schoolbook" w:hAnsi="Century Schoolbook"/>
        </w:rPr>
        <w:t xml:space="preserve"> The court’s written ruling after the hearing did not </w:t>
      </w:r>
      <w:r w:rsidR="00962AF6">
        <w:rPr>
          <w:rFonts w:ascii="Century Schoolbook" w:hAnsi="Century Schoolbook"/>
        </w:rPr>
        <w:t xml:space="preserve">itself </w:t>
      </w:r>
      <w:r w:rsidRPr="006E4E9D">
        <w:rPr>
          <w:rFonts w:ascii="Century Schoolbook" w:hAnsi="Century Schoolbook"/>
        </w:rPr>
        <w:t xml:space="preserve">contain lengthy discussion or analysis, but it incorporated </w:t>
      </w:r>
      <w:r w:rsidR="00962AF6">
        <w:rPr>
          <w:rFonts w:ascii="Century Schoolbook" w:hAnsi="Century Schoolbook"/>
        </w:rPr>
        <w:t xml:space="preserve">by reference and attached </w:t>
      </w:r>
      <w:r w:rsidRPr="006E4E9D">
        <w:rPr>
          <w:rFonts w:ascii="Century Schoolbook" w:hAnsi="Century Schoolbook"/>
        </w:rPr>
        <w:t xml:space="preserve">the full hearing transcript </w:t>
      </w:r>
      <w:r w:rsidR="00962AF6">
        <w:rPr>
          <w:rFonts w:ascii="Century Schoolbook" w:hAnsi="Century Schoolbook"/>
        </w:rPr>
        <w:t xml:space="preserve">containing the </w:t>
      </w:r>
      <w:r w:rsidR="006117E9">
        <w:rPr>
          <w:rFonts w:ascii="Century Schoolbook" w:hAnsi="Century Schoolbook"/>
        </w:rPr>
        <w:t xml:space="preserve">parties’ arguments and the </w:t>
      </w:r>
      <w:r w:rsidR="00962AF6">
        <w:rPr>
          <w:rFonts w:ascii="Century Schoolbook" w:hAnsi="Century Schoolbook"/>
        </w:rPr>
        <w:t>court’s expressed reasoning</w:t>
      </w:r>
      <w:r w:rsidRPr="006E4E9D">
        <w:rPr>
          <w:rFonts w:ascii="Century Schoolbook" w:hAnsi="Century Schoolbook"/>
        </w:rPr>
        <w:t xml:space="preserve">. </w:t>
      </w:r>
    </w:p>
  </w:footnote>
  <w:footnote w:id="9">
    <w:p w14:paraId="7F852B36" w14:textId="24F75E5D" w:rsidR="000D6F0B" w:rsidRPr="000D6F0B" w:rsidRDefault="000D6F0B" w:rsidP="000D6F0B">
      <w:pPr>
        <w:pStyle w:val="FootnoteText"/>
        <w:spacing w:line="240" w:lineRule="auto"/>
        <w:rPr>
          <w:rFonts w:ascii="Century Schoolbook" w:hAnsi="Century Schoolbook"/>
        </w:rPr>
      </w:pPr>
      <w:r>
        <w:tab/>
      </w:r>
      <w:r w:rsidRPr="000D6F0B">
        <w:rPr>
          <w:rStyle w:val="FootnoteReference"/>
          <w:rFonts w:ascii="Century Schoolbook" w:hAnsi="Century Schoolbook"/>
        </w:rPr>
        <w:footnoteRef/>
      </w:r>
      <w:r w:rsidRPr="000D6F0B">
        <w:rPr>
          <w:rFonts w:ascii="Century Schoolbook" w:hAnsi="Century Schoolbook"/>
        </w:rPr>
        <w:t xml:space="preserve"> The parties </w:t>
      </w:r>
      <w:r>
        <w:rPr>
          <w:rFonts w:ascii="Century Schoolbook" w:hAnsi="Century Schoolbook"/>
        </w:rPr>
        <w:t xml:space="preserve">here </w:t>
      </w:r>
      <w:r w:rsidRPr="000D6F0B">
        <w:rPr>
          <w:rFonts w:ascii="Century Schoolbook" w:hAnsi="Century Schoolbook"/>
        </w:rPr>
        <w:t xml:space="preserve">have stipulated to defer the issue of attorney fees until after this appeal is resolved. </w:t>
      </w:r>
    </w:p>
  </w:footnote>
  <w:footnote w:id="10">
    <w:p w14:paraId="6736D32F" w14:textId="1805BE3F" w:rsidR="0035301B" w:rsidRPr="0035301B" w:rsidRDefault="0035301B" w:rsidP="0035301B">
      <w:pPr>
        <w:pStyle w:val="FootnoteText"/>
        <w:spacing w:line="240" w:lineRule="auto"/>
        <w:rPr>
          <w:rFonts w:ascii="Century Schoolbook" w:hAnsi="Century Schoolbook"/>
        </w:rPr>
      </w:pPr>
      <w:r>
        <w:tab/>
      </w:r>
      <w:r w:rsidRPr="0035301B">
        <w:rPr>
          <w:rStyle w:val="FootnoteReference"/>
          <w:rFonts w:ascii="Century Schoolbook" w:hAnsi="Century Schoolbook"/>
        </w:rPr>
        <w:footnoteRef/>
      </w:r>
      <w:r w:rsidRPr="0035301B">
        <w:rPr>
          <w:rFonts w:ascii="Century Schoolbook" w:hAnsi="Century Schoolbook"/>
        </w:rPr>
        <w:t xml:space="preserve"> We previously issued an order to show cause to appellants on this </w:t>
      </w:r>
      <w:r>
        <w:rPr>
          <w:rFonts w:ascii="Century Schoolbook" w:hAnsi="Century Schoolbook"/>
        </w:rPr>
        <w:t xml:space="preserve">appealability </w:t>
      </w:r>
      <w:r w:rsidRPr="0035301B">
        <w:rPr>
          <w:rFonts w:ascii="Century Schoolbook" w:hAnsi="Century Schoolbook"/>
        </w:rPr>
        <w:t xml:space="preserve">issue and have reviewed their response. </w:t>
      </w:r>
      <w:r w:rsidR="00E56C74">
        <w:rPr>
          <w:rFonts w:ascii="Century Schoolbook" w:hAnsi="Century Schoolbook"/>
        </w:rPr>
        <w:t xml:space="preserve">The order to show cause </w:t>
      </w:r>
      <w:r w:rsidR="00C37D70">
        <w:rPr>
          <w:rFonts w:ascii="Century Schoolbook" w:hAnsi="Century Schoolbook"/>
        </w:rPr>
        <w:t>was previously</w:t>
      </w:r>
      <w:r w:rsidR="00E56C74">
        <w:rPr>
          <w:rFonts w:ascii="Century Schoolbook" w:hAnsi="Century Schoolbook"/>
        </w:rPr>
        <w:t xml:space="preserve"> discharged</w:t>
      </w:r>
      <w:r w:rsidR="00C37D70">
        <w:rPr>
          <w:rFonts w:ascii="Century Schoolbook" w:hAnsi="Century Schoolbook"/>
        </w:rPr>
        <w:t xml:space="preserve"> by separate order</w:t>
      </w:r>
      <w:r w:rsidR="00E56C74">
        <w:rPr>
          <w:rFonts w:ascii="Century Schoolbook" w:hAnsi="Century Schoolbook"/>
        </w:rPr>
        <w:t>.</w:t>
      </w:r>
      <w:r w:rsidRPr="0035301B">
        <w:rPr>
          <w:rFonts w:ascii="Century Schoolbook" w:hAnsi="Century Schoolbook"/>
        </w:rPr>
        <w:t xml:space="preserve"> </w:t>
      </w:r>
    </w:p>
  </w:footnote>
  <w:footnote w:id="11">
    <w:p w14:paraId="4B996A3C" w14:textId="64E352C8" w:rsidR="008156F0" w:rsidRDefault="008156F0" w:rsidP="008156F0">
      <w:pPr>
        <w:pStyle w:val="FootnoteText"/>
        <w:spacing w:line="240" w:lineRule="auto"/>
      </w:pPr>
      <w:r>
        <w:tab/>
      </w:r>
      <w:r w:rsidRPr="008156F0">
        <w:rPr>
          <w:rStyle w:val="FootnoteReference"/>
          <w:rFonts w:ascii="Century Schoolbook" w:hAnsi="Century Schoolbook"/>
        </w:rPr>
        <w:footnoteRef/>
      </w:r>
      <w:r w:rsidRPr="008156F0">
        <w:rPr>
          <w:rFonts w:ascii="Century Schoolbook" w:hAnsi="Century Schoolbook"/>
        </w:rPr>
        <w:t xml:space="preserve"> On this record in which the City </w:t>
      </w:r>
      <w:r w:rsidRPr="008156F0">
        <w:rPr>
          <w:rFonts w:ascii="Century Schoolbook" w:hAnsi="Century Schoolbook"/>
          <w:i/>
          <w:iCs/>
        </w:rPr>
        <w:t>did</w:t>
      </w:r>
      <w:r w:rsidRPr="008156F0">
        <w:rPr>
          <w:rFonts w:ascii="Century Schoolbook" w:hAnsi="Century Schoolbook"/>
        </w:rPr>
        <w:t xml:space="preserve"> respond to the Districts’ comments</w:t>
      </w:r>
      <w:r>
        <w:rPr>
          <w:rFonts w:ascii="Century Schoolbook" w:hAnsi="Century Schoolbook"/>
        </w:rPr>
        <w:t xml:space="preserve"> in the Final EIR</w:t>
      </w:r>
      <w:r w:rsidRPr="008156F0">
        <w:rPr>
          <w:rFonts w:ascii="Century Schoolbook" w:hAnsi="Century Schoolbook"/>
        </w:rPr>
        <w:t>, albeit not in a manner or to the degree that the Districts contend was required, we do not view the claim as one for the failure by the City to have considered comments altogether. (</w:t>
      </w:r>
      <w:r w:rsidRPr="008156F0">
        <w:rPr>
          <w:rFonts w:ascii="Century Schoolbook" w:hAnsi="Century Schoolbook"/>
          <w:i/>
          <w:iCs/>
        </w:rPr>
        <w:t>Environmental Protection, supra</w:t>
      </w:r>
      <w:r w:rsidRPr="008156F0">
        <w:rPr>
          <w:rFonts w:ascii="Century Schoolbook" w:hAnsi="Century Schoolbook"/>
        </w:rPr>
        <w:t>, 44 Cal.4th at p. 487, fn. 9 [drawing distinction between a claim of failure to consider public comments versus a failure to adequately respond</w:t>
      </w:r>
      <w:r>
        <w:t xml:space="preserve">].) </w:t>
      </w:r>
    </w:p>
  </w:footnote>
  <w:footnote w:id="12">
    <w:p w14:paraId="23FDE75D" w14:textId="5EF9B1B8" w:rsidR="008C3433" w:rsidRPr="008C3433" w:rsidRDefault="008C3433" w:rsidP="008C3433">
      <w:pPr>
        <w:pStyle w:val="FootnoteText"/>
        <w:spacing w:line="240" w:lineRule="auto"/>
        <w:rPr>
          <w:rFonts w:ascii="Century Schoolbook" w:hAnsi="Century Schoolbook"/>
        </w:rPr>
      </w:pPr>
      <w:r>
        <w:tab/>
      </w:r>
      <w:r w:rsidRPr="008C3433">
        <w:rPr>
          <w:rStyle w:val="FootnoteReference"/>
          <w:rFonts w:ascii="Century Schoolbook" w:hAnsi="Century Schoolbook"/>
        </w:rPr>
        <w:footnoteRef/>
      </w:r>
      <w:r w:rsidRPr="008C3433">
        <w:rPr>
          <w:rFonts w:ascii="Century Schoolbook" w:hAnsi="Century Schoolbook"/>
        </w:rPr>
        <w:t xml:space="preserve"> The two methods are the generation of developer impact fees under Education Code section 17620 and the interim school-facilities provisions in Government Code section 65970 et seq. </w:t>
      </w:r>
      <w:r>
        <w:rPr>
          <w:rFonts w:ascii="Century Schoolbook" w:hAnsi="Century Schoolbook"/>
        </w:rPr>
        <w:t>(Gov. Code, § 65996, subd. (a).)</w:t>
      </w:r>
      <w:r w:rsidRPr="008C3433">
        <w:rPr>
          <w:rFonts w:ascii="Century Schoolbook" w:hAnsi="Century Schoolbook"/>
        </w:rPr>
        <w:t xml:space="preserve"> </w:t>
      </w:r>
    </w:p>
  </w:footnote>
  <w:footnote w:id="13">
    <w:p w14:paraId="3AB1B7BE" w14:textId="4FB78F77" w:rsidR="002F4F6C" w:rsidRPr="002F4F6C" w:rsidRDefault="002F4F6C" w:rsidP="002F4F6C">
      <w:pPr>
        <w:pStyle w:val="FootnoteText"/>
        <w:spacing w:line="240" w:lineRule="auto"/>
        <w:rPr>
          <w:rFonts w:ascii="Century Schoolbook" w:hAnsi="Century Schoolbook"/>
        </w:rPr>
      </w:pPr>
      <w:r>
        <w:tab/>
      </w:r>
      <w:r w:rsidRPr="002F4F6C">
        <w:rPr>
          <w:rStyle w:val="FootnoteReference"/>
          <w:rFonts w:ascii="Century Schoolbook" w:hAnsi="Century Schoolbook"/>
        </w:rPr>
        <w:footnoteRef/>
      </w:r>
      <w:r w:rsidRPr="002F4F6C">
        <w:rPr>
          <w:rFonts w:ascii="Century Schoolbook" w:hAnsi="Century Schoolbook"/>
        </w:rPr>
        <w:t xml:space="preserve"> The Districts contend in their respondents’ brief that existing school sites “are well established, as are the areas around them.” But this does not elucidate or clarify which of the existing sites would be used or modified in which way to alternatively accommodate increased enrollment for purposes of assessing potential environmental impacts. </w:t>
      </w:r>
      <w:r w:rsidR="005C0541">
        <w:rPr>
          <w:rFonts w:ascii="Century Schoolbook" w:hAnsi="Century Schoolbook"/>
        </w:rPr>
        <w:t xml:space="preserve">Nor does this </w:t>
      </w:r>
      <w:r w:rsidRPr="002F4F6C">
        <w:rPr>
          <w:rFonts w:ascii="Century Schoolbook" w:hAnsi="Century Schoolbook"/>
        </w:rPr>
        <w:t xml:space="preserve">even suggest which existing sites might be used first or </w:t>
      </w:r>
      <w:r w:rsidR="00C768EC">
        <w:rPr>
          <w:rFonts w:ascii="Century Schoolbook" w:hAnsi="Century Schoolbook"/>
        </w:rPr>
        <w:t xml:space="preserve">might </w:t>
      </w:r>
      <w:r w:rsidRPr="002F4F6C">
        <w:rPr>
          <w:rFonts w:ascii="Century Schoolbook" w:hAnsi="Century Schoolbook"/>
        </w:rPr>
        <w:t xml:space="preserve">best lend themselves to any of the identified alternatives.   </w:t>
      </w:r>
    </w:p>
  </w:footnote>
  <w:footnote w:id="14">
    <w:p w14:paraId="77F2E8CA" w14:textId="308C80E9" w:rsidR="00CB74C3" w:rsidRDefault="00CB74C3" w:rsidP="00CB74C3">
      <w:pPr>
        <w:pStyle w:val="FootnoteText"/>
        <w:spacing w:line="240" w:lineRule="auto"/>
      </w:pPr>
      <w:r>
        <w:tab/>
      </w:r>
      <w:r w:rsidRPr="00CB74C3">
        <w:rPr>
          <w:rStyle w:val="FootnoteReference"/>
        </w:rPr>
        <w:sym w:font="Symbol" w:char="F02A"/>
      </w:r>
      <w:r>
        <w:t xml:space="preserve"> </w:t>
      </w:r>
      <w:r w:rsidRPr="00CB74C3">
        <w:rPr>
          <w:rFonts w:ascii="Century Schoolbook" w:hAnsi="Century Schoolbook"/>
        </w:rPr>
        <w:t>Judge of the Santa Clara County Superior Court, assigned by the Chief Justice pursuant to article VI, section 6 of the California Constitution</w:t>
      </w:r>
      <w:r w:rsidRPr="00CB74C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2AF"/>
    <w:multiLevelType w:val="hybridMultilevel"/>
    <w:tmpl w:val="BA6C4AEC"/>
    <w:lvl w:ilvl="0" w:tplc="66041A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A6BFA"/>
    <w:multiLevelType w:val="hybridMultilevel"/>
    <w:tmpl w:val="2B7ECD86"/>
    <w:lvl w:ilvl="0" w:tplc="7332D9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111503"/>
    <w:multiLevelType w:val="hybridMultilevel"/>
    <w:tmpl w:val="C73CDD10"/>
    <w:lvl w:ilvl="0" w:tplc="709A5DB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72336"/>
    <w:multiLevelType w:val="hybridMultilevel"/>
    <w:tmpl w:val="423414A4"/>
    <w:lvl w:ilvl="0" w:tplc="6E843D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D36F8C"/>
    <w:multiLevelType w:val="hybridMultilevel"/>
    <w:tmpl w:val="F40E6172"/>
    <w:lvl w:ilvl="0" w:tplc="41F019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FD5352"/>
    <w:multiLevelType w:val="hybridMultilevel"/>
    <w:tmpl w:val="2138C51E"/>
    <w:lvl w:ilvl="0" w:tplc="1EF4E9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170E3B"/>
    <w:multiLevelType w:val="hybridMultilevel"/>
    <w:tmpl w:val="AA889E46"/>
    <w:lvl w:ilvl="0" w:tplc="47A4F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E71344"/>
    <w:multiLevelType w:val="hybridMultilevel"/>
    <w:tmpl w:val="A1DAA784"/>
    <w:lvl w:ilvl="0" w:tplc="39002A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636106"/>
    <w:multiLevelType w:val="hybridMultilevel"/>
    <w:tmpl w:val="235E5682"/>
    <w:lvl w:ilvl="0" w:tplc="6242D28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6105D1"/>
    <w:multiLevelType w:val="hybridMultilevel"/>
    <w:tmpl w:val="8E12D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E9094A"/>
    <w:multiLevelType w:val="hybridMultilevel"/>
    <w:tmpl w:val="AC3E6C92"/>
    <w:lvl w:ilvl="0" w:tplc="0F66FC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CE0746"/>
    <w:multiLevelType w:val="hybridMultilevel"/>
    <w:tmpl w:val="B05C2B9A"/>
    <w:lvl w:ilvl="0" w:tplc="3A9ABA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025443"/>
    <w:multiLevelType w:val="hybridMultilevel"/>
    <w:tmpl w:val="28C4694C"/>
    <w:lvl w:ilvl="0" w:tplc="AF9227D2">
      <w:start w:val="108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42F27"/>
    <w:multiLevelType w:val="hybridMultilevel"/>
    <w:tmpl w:val="77B86D06"/>
    <w:lvl w:ilvl="0" w:tplc="5CDE03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6F7683"/>
    <w:multiLevelType w:val="hybridMultilevel"/>
    <w:tmpl w:val="794A7AF2"/>
    <w:lvl w:ilvl="0" w:tplc="CE401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1E39D4"/>
    <w:multiLevelType w:val="hybridMultilevel"/>
    <w:tmpl w:val="CC9AAF4C"/>
    <w:lvl w:ilvl="0" w:tplc="76505FCC">
      <w:start w:val="1"/>
      <w:numFmt w:val="upperRoman"/>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DC3237"/>
    <w:multiLevelType w:val="hybridMultilevel"/>
    <w:tmpl w:val="7BEA1CCE"/>
    <w:lvl w:ilvl="0" w:tplc="C66464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DA350D"/>
    <w:multiLevelType w:val="hybridMultilevel"/>
    <w:tmpl w:val="E21CDF96"/>
    <w:lvl w:ilvl="0" w:tplc="37A4DFE0">
      <w:start w:val="1"/>
      <w:numFmt w:val="upperRoman"/>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ED1CAC"/>
    <w:multiLevelType w:val="hybridMultilevel"/>
    <w:tmpl w:val="AE86E850"/>
    <w:lvl w:ilvl="0" w:tplc="7B306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A96B10"/>
    <w:multiLevelType w:val="hybridMultilevel"/>
    <w:tmpl w:val="9F168C0A"/>
    <w:lvl w:ilvl="0" w:tplc="F9B642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2779383">
    <w:abstractNumId w:val="8"/>
  </w:num>
  <w:num w:numId="2" w16cid:durableId="300572490">
    <w:abstractNumId w:val="2"/>
  </w:num>
  <w:num w:numId="3" w16cid:durableId="1413044531">
    <w:abstractNumId w:val="1"/>
  </w:num>
  <w:num w:numId="4" w16cid:durableId="56561152">
    <w:abstractNumId w:val="6"/>
  </w:num>
  <w:num w:numId="5" w16cid:durableId="446706195">
    <w:abstractNumId w:val="12"/>
  </w:num>
  <w:num w:numId="6" w16cid:durableId="1053195982">
    <w:abstractNumId w:val="18"/>
  </w:num>
  <w:num w:numId="7" w16cid:durableId="526869923">
    <w:abstractNumId w:val="7"/>
  </w:num>
  <w:num w:numId="8" w16cid:durableId="993147111">
    <w:abstractNumId w:val="19"/>
  </w:num>
  <w:num w:numId="9" w16cid:durableId="442069385">
    <w:abstractNumId w:val="3"/>
  </w:num>
  <w:num w:numId="10" w16cid:durableId="988628192">
    <w:abstractNumId w:val="10"/>
  </w:num>
  <w:num w:numId="11" w16cid:durableId="896358628">
    <w:abstractNumId w:val="14"/>
  </w:num>
  <w:num w:numId="12" w16cid:durableId="1637107464">
    <w:abstractNumId w:val="16"/>
  </w:num>
  <w:num w:numId="13" w16cid:durableId="1461456164">
    <w:abstractNumId w:val="17"/>
  </w:num>
  <w:num w:numId="14" w16cid:durableId="258873238">
    <w:abstractNumId w:val="15"/>
  </w:num>
  <w:num w:numId="15" w16cid:durableId="763571257">
    <w:abstractNumId w:val="9"/>
  </w:num>
  <w:num w:numId="16" w16cid:durableId="1673754252">
    <w:abstractNumId w:val="13"/>
  </w:num>
  <w:num w:numId="17" w16cid:durableId="612787547">
    <w:abstractNumId w:val="5"/>
  </w:num>
  <w:num w:numId="18" w16cid:durableId="2049446249">
    <w:abstractNumId w:val="4"/>
  </w:num>
  <w:num w:numId="19" w16cid:durableId="992834575">
    <w:abstractNumId w:val="0"/>
  </w:num>
  <w:num w:numId="20" w16cid:durableId="1403605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E7"/>
    <w:rsid w:val="0000074E"/>
    <w:rsid w:val="000009F3"/>
    <w:rsid w:val="00001B1D"/>
    <w:rsid w:val="00002231"/>
    <w:rsid w:val="00002591"/>
    <w:rsid w:val="0000268C"/>
    <w:rsid w:val="00002744"/>
    <w:rsid w:val="00003908"/>
    <w:rsid w:val="00003CA3"/>
    <w:rsid w:val="000040D0"/>
    <w:rsid w:val="00004181"/>
    <w:rsid w:val="00005E9C"/>
    <w:rsid w:val="000060B3"/>
    <w:rsid w:val="000066D8"/>
    <w:rsid w:val="00006891"/>
    <w:rsid w:val="0000708A"/>
    <w:rsid w:val="000104CE"/>
    <w:rsid w:val="00010B84"/>
    <w:rsid w:val="00010DA2"/>
    <w:rsid w:val="00011FA8"/>
    <w:rsid w:val="0001200C"/>
    <w:rsid w:val="000123BB"/>
    <w:rsid w:val="00012BCD"/>
    <w:rsid w:val="0001390F"/>
    <w:rsid w:val="00013CED"/>
    <w:rsid w:val="000140E5"/>
    <w:rsid w:val="000179FD"/>
    <w:rsid w:val="00020BD6"/>
    <w:rsid w:val="00020C9B"/>
    <w:rsid w:val="00020D5C"/>
    <w:rsid w:val="000210B7"/>
    <w:rsid w:val="00022DA0"/>
    <w:rsid w:val="000232D3"/>
    <w:rsid w:val="00023959"/>
    <w:rsid w:val="00024DCE"/>
    <w:rsid w:val="000253DE"/>
    <w:rsid w:val="00026A6F"/>
    <w:rsid w:val="00026DD5"/>
    <w:rsid w:val="00030533"/>
    <w:rsid w:val="00030676"/>
    <w:rsid w:val="00030C69"/>
    <w:rsid w:val="00031CDD"/>
    <w:rsid w:val="00031D3A"/>
    <w:rsid w:val="0003236A"/>
    <w:rsid w:val="00033326"/>
    <w:rsid w:val="00033406"/>
    <w:rsid w:val="00034056"/>
    <w:rsid w:val="000354C1"/>
    <w:rsid w:val="00036582"/>
    <w:rsid w:val="00036749"/>
    <w:rsid w:val="000401BA"/>
    <w:rsid w:val="00040433"/>
    <w:rsid w:val="00040AAB"/>
    <w:rsid w:val="00040CE4"/>
    <w:rsid w:val="000415D8"/>
    <w:rsid w:val="00041A14"/>
    <w:rsid w:val="00041E2F"/>
    <w:rsid w:val="0004208A"/>
    <w:rsid w:val="0004473E"/>
    <w:rsid w:val="00045F12"/>
    <w:rsid w:val="00045FE5"/>
    <w:rsid w:val="00047E6F"/>
    <w:rsid w:val="00050AA6"/>
    <w:rsid w:val="000511F2"/>
    <w:rsid w:val="0005128C"/>
    <w:rsid w:val="00051943"/>
    <w:rsid w:val="00052AC5"/>
    <w:rsid w:val="000536B8"/>
    <w:rsid w:val="00053E24"/>
    <w:rsid w:val="00054769"/>
    <w:rsid w:val="00055500"/>
    <w:rsid w:val="00055BEB"/>
    <w:rsid w:val="000564D0"/>
    <w:rsid w:val="00057AA6"/>
    <w:rsid w:val="00060226"/>
    <w:rsid w:val="0006454F"/>
    <w:rsid w:val="00065618"/>
    <w:rsid w:val="000661A0"/>
    <w:rsid w:val="00066711"/>
    <w:rsid w:val="00066D8E"/>
    <w:rsid w:val="000676CA"/>
    <w:rsid w:val="000707A9"/>
    <w:rsid w:val="000715F9"/>
    <w:rsid w:val="00072CBA"/>
    <w:rsid w:val="00072F9B"/>
    <w:rsid w:val="000736FD"/>
    <w:rsid w:val="00075D4E"/>
    <w:rsid w:val="000770C4"/>
    <w:rsid w:val="0008186D"/>
    <w:rsid w:val="000825E5"/>
    <w:rsid w:val="00083EB3"/>
    <w:rsid w:val="00084D19"/>
    <w:rsid w:val="00084FF7"/>
    <w:rsid w:val="000879CB"/>
    <w:rsid w:val="00087E03"/>
    <w:rsid w:val="0009090B"/>
    <w:rsid w:val="00090F54"/>
    <w:rsid w:val="00091775"/>
    <w:rsid w:val="00091F0D"/>
    <w:rsid w:val="0009207F"/>
    <w:rsid w:val="00093F26"/>
    <w:rsid w:val="00094595"/>
    <w:rsid w:val="000945D7"/>
    <w:rsid w:val="00096492"/>
    <w:rsid w:val="00096542"/>
    <w:rsid w:val="0009697D"/>
    <w:rsid w:val="000976BC"/>
    <w:rsid w:val="000976D3"/>
    <w:rsid w:val="000A50ED"/>
    <w:rsid w:val="000A5325"/>
    <w:rsid w:val="000A57C8"/>
    <w:rsid w:val="000A5E02"/>
    <w:rsid w:val="000A5FD2"/>
    <w:rsid w:val="000A60FB"/>
    <w:rsid w:val="000A660A"/>
    <w:rsid w:val="000A74A9"/>
    <w:rsid w:val="000A781F"/>
    <w:rsid w:val="000A7C39"/>
    <w:rsid w:val="000B09CB"/>
    <w:rsid w:val="000B139D"/>
    <w:rsid w:val="000B28CF"/>
    <w:rsid w:val="000B4B2E"/>
    <w:rsid w:val="000B4EBF"/>
    <w:rsid w:val="000B506D"/>
    <w:rsid w:val="000B7B8D"/>
    <w:rsid w:val="000C15C0"/>
    <w:rsid w:val="000C4961"/>
    <w:rsid w:val="000C4D74"/>
    <w:rsid w:val="000C57C0"/>
    <w:rsid w:val="000C6139"/>
    <w:rsid w:val="000C6168"/>
    <w:rsid w:val="000C64F6"/>
    <w:rsid w:val="000C70E8"/>
    <w:rsid w:val="000C7118"/>
    <w:rsid w:val="000D03B6"/>
    <w:rsid w:val="000D1AEE"/>
    <w:rsid w:val="000D24A8"/>
    <w:rsid w:val="000D3B0F"/>
    <w:rsid w:val="000D4B40"/>
    <w:rsid w:val="000D6279"/>
    <w:rsid w:val="000D6D0C"/>
    <w:rsid w:val="000D6F0B"/>
    <w:rsid w:val="000D7098"/>
    <w:rsid w:val="000D7903"/>
    <w:rsid w:val="000E1FFD"/>
    <w:rsid w:val="000E21E5"/>
    <w:rsid w:val="000E33B2"/>
    <w:rsid w:val="000E3A6C"/>
    <w:rsid w:val="000E578F"/>
    <w:rsid w:val="000E6394"/>
    <w:rsid w:val="000E695D"/>
    <w:rsid w:val="000E69D3"/>
    <w:rsid w:val="000F04E9"/>
    <w:rsid w:val="000F28B2"/>
    <w:rsid w:val="000F2DBC"/>
    <w:rsid w:val="000F39A4"/>
    <w:rsid w:val="000F7099"/>
    <w:rsid w:val="000F7AD6"/>
    <w:rsid w:val="00101241"/>
    <w:rsid w:val="0010240A"/>
    <w:rsid w:val="00103E90"/>
    <w:rsid w:val="00103ED9"/>
    <w:rsid w:val="001046D3"/>
    <w:rsid w:val="001059A7"/>
    <w:rsid w:val="00105FCA"/>
    <w:rsid w:val="0011051A"/>
    <w:rsid w:val="00111FC6"/>
    <w:rsid w:val="001120B1"/>
    <w:rsid w:val="001137A6"/>
    <w:rsid w:val="00113A57"/>
    <w:rsid w:val="00113C7F"/>
    <w:rsid w:val="0011561B"/>
    <w:rsid w:val="001163CB"/>
    <w:rsid w:val="00116EB6"/>
    <w:rsid w:val="0012025F"/>
    <w:rsid w:val="00120872"/>
    <w:rsid w:val="00120B6D"/>
    <w:rsid w:val="00120F06"/>
    <w:rsid w:val="00120FF5"/>
    <w:rsid w:val="001214D4"/>
    <w:rsid w:val="00121A71"/>
    <w:rsid w:val="00122DB7"/>
    <w:rsid w:val="0012511A"/>
    <w:rsid w:val="001266CC"/>
    <w:rsid w:val="00126AB4"/>
    <w:rsid w:val="00126EE7"/>
    <w:rsid w:val="00127C92"/>
    <w:rsid w:val="001336C7"/>
    <w:rsid w:val="00135CEB"/>
    <w:rsid w:val="00136C69"/>
    <w:rsid w:val="00137311"/>
    <w:rsid w:val="00140773"/>
    <w:rsid w:val="00141256"/>
    <w:rsid w:val="00142B0E"/>
    <w:rsid w:val="00142CD9"/>
    <w:rsid w:val="00142E22"/>
    <w:rsid w:val="00142EE6"/>
    <w:rsid w:val="00143764"/>
    <w:rsid w:val="00144D4E"/>
    <w:rsid w:val="00145A62"/>
    <w:rsid w:val="001471DD"/>
    <w:rsid w:val="00147215"/>
    <w:rsid w:val="00147B9C"/>
    <w:rsid w:val="00147BCD"/>
    <w:rsid w:val="001500CB"/>
    <w:rsid w:val="00150273"/>
    <w:rsid w:val="0015280F"/>
    <w:rsid w:val="00152BB1"/>
    <w:rsid w:val="00153227"/>
    <w:rsid w:val="001533E7"/>
    <w:rsid w:val="001540DC"/>
    <w:rsid w:val="00155EFA"/>
    <w:rsid w:val="00157034"/>
    <w:rsid w:val="00157942"/>
    <w:rsid w:val="00157D6C"/>
    <w:rsid w:val="00157F14"/>
    <w:rsid w:val="001601B1"/>
    <w:rsid w:val="00161146"/>
    <w:rsid w:val="00161B85"/>
    <w:rsid w:val="00162BD9"/>
    <w:rsid w:val="001644BF"/>
    <w:rsid w:val="001644D5"/>
    <w:rsid w:val="0016481F"/>
    <w:rsid w:val="00164958"/>
    <w:rsid w:val="00166315"/>
    <w:rsid w:val="001700F4"/>
    <w:rsid w:val="001715A3"/>
    <w:rsid w:val="00171988"/>
    <w:rsid w:val="00171B7E"/>
    <w:rsid w:val="00172AC6"/>
    <w:rsid w:val="00174964"/>
    <w:rsid w:val="001769EE"/>
    <w:rsid w:val="00176F64"/>
    <w:rsid w:val="00177BA3"/>
    <w:rsid w:val="001814CD"/>
    <w:rsid w:val="00182C4F"/>
    <w:rsid w:val="001831CA"/>
    <w:rsid w:val="0018473F"/>
    <w:rsid w:val="00184D0C"/>
    <w:rsid w:val="001854D4"/>
    <w:rsid w:val="001867F9"/>
    <w:rsid w:val="00186920"/>
    <w:rsid w:val="00187BF5"/>
    <w:rsid w:val="001940BA"/>
    <w:rsid w:val="001946BC"/>
    <w:rsid w:val="00196AE0"/>
    <w:rsid w:val="00197C56"/>
    <w:rsid w:val="00197EFE"/>
    <w:rsid w:val="001A0083"/>
    <w:rsid w:val="001A3CA1"/>
    <w:rsid w:val="001A4EDD"/>
    <w:rsid w:val="001A57FB"/>
    <w:rsid w:val="001A5B6B"/>
    <w:rsid w:val="001A66BC"/>
    <w:rsid w:val="001B037A"/>
    <w:rsid w:val="001B1833"/>
    <w:rsid w:val="001B2350"/>
    <w:rsid w:val="001B2505"/>
    <w:rsid w:val="001B31D0"/>
    <w:rsid w:val="001B6464"/>
    <w:rsid w:val="001B6D99"/>
    <w:rsid w:val="001B7AE3"/>
    <w:rsid w:val="001B7B8F"/>
    <w:rsid w:val="001B7F4C"/>
    <w:rsid w:val="001C02F7"/>
    <w:rsid w:val="001C1D32"/>
    <w:rsid w:val="001C3A7E"/>
    <w:rsid w:val="001C3C5F"/>
    <w:rsid w:val="001C5517"/>
    <w:rsid w:val="001C61D0"/>
    <w:rsid w:val="001C73F3"/>
    <w:rsid w:val="001D004F"/>
    <w:rsid w:val="001D05D4"/>
    <w:rsid w:val="001D15EF"/>
    <w:rsid w:val="001D1DBD"/>
    <w:rsid w:val="001D1E1D"/>
    <w:rsid w:val="001D3556"/>
    <w:rsid w:val="001D35CD"/>
    <w:rsid w:val="001D37AE"/>
    <w:rsid w:val="001D47CC"/>
    <w:rsid w:val="001D4F0F"/>
    <w:rsid w:val="001D683B"/>
    <w:rsid w:val="001D6BE5"/>
    <w:rsid w:val="001D7C69"/>
    <w:rsid w:val="001D7F28"/>
    <w:rsid w:val="001E0015"/>
    <w:rsid w:val="001E1525"/>
    <w:rsid w:val="001E2213"/>
    <w:rsid w:val="001E6B01"/>
    <w:rsid w:val="001E6FF4"/>
    <w:rsid w:val="001E7BB4"/>
    <w:rsid w:val="001F0A10"/>
    <w:rsid w:val="001F0DE6"/>
    <w:rsid w:val="001F0F1F"/>
    <w:rsid w:val="001F1CE9"/>
    <w:rsid w:val="001F2752"/>
    <w:rsid w:val="001F2C7B"/>
    <w:rsid w:val="001F3467"/>
    <w:rsid w:val="001F36D8"/>
    <w:rsid w:val="001F48F2"/>
    <w:rsid w:val="001F54DE"/>
    <w:rsid w:val="001F581B"/>
    <w:rsid w:val="00202145"/>
    <w:rsid w:val="0020234E"/>
    <w:rsid w:val="00202D72"/>
    <w:rsid w:val="00204ACA"/>
    <w:rsid w:val="002052DE"/>
    <w:rsid w:val="002054DF"/>
    <w:rsid w:val="00207A0C"/>
    <w:rsid w:val="00210382"/>
    <w:rsid w:val="00210CBE"/>
    <w:rsid w:val="002119AF"/>
    <w:rsid w:val="00212535"/>
    <w:rsid w:val="0021289F"/>
    <w:rsid w:val="0021482D"/>
    <w:rsid w:val="0022070D"/>
    <w:rsid w:val="002218F8"/>
    <w:rsid w:val="00221A61"/>
    <w:rsid w:val="0022208B"/>
    <w:rsid w:val="00222114"/>
    <w:rsid w:val="0022378D"/>
    <w:rsid w:val="00224281"/>
    <w:rsid w:val="00225770"/>
    <w:rsid w:val="00225EA0"/>
    <w:rsid w:val="00227D1D"/>
    <w:rsid w:val="00227D47"/>
    <w:rsid w:val="00227DC1"/>
    <w:rsid w:val="00230441"/>
    <w:rsid w:val="00231CDE"/>
    <w:rsid w:val="00233063"/>
    <w:rsid w:val="002345A9"/>
    <w:rsid w:val="002345AA"/>
    <w:rsid w:val="00235E5C"/>
    <w:rsid w:val="0024099D"/>
    <w:rsid w:val="00240C12"/>
    <w:rsid w:val="00240C37"/>
    <w:rsid w:val="00241307"/>
    <w:rsid w:val="00241498"/>
    <w:rsid w:val="002428AD"/>
    <w:rsid w:val="00243BA0"/>
    <w:rsid w:val="00243F39"/>
    <w:rsid w:val="002452F4"/>
    <w:rsid w:val="002462B8"/>
    <w:rsid w:val="00246AEA"/>
    <w:rsid w:val="002472F3"/>
    <w:rsid w:val="002477D3"/>
    <w:rsid w:val="00247FAD"/>
    <w:rsid w:val="002529FE"/>
    <w:rsid w:val="00252E45"/>
    <w:rsid w:val="00252EB1"/>
    <w:rsid w:val="0025419E"/>
    <w:rsid w:val="0025569A"/>
    <w:rsid w:val="00255883"/>
    <w:rsid w:val="0025622D"/>
    <w:rsid w:val="002568E7"/>
    <w:rsid w:val="0025707C"/>
    <w:rsid w:val="0026255A"/>
    <w:rsid w:val="002628DA"/>
    <w:rsid w:val="002634FF"/>
    <w:rsid w:val="00263D53"/>
    <w:rsid w:val="002645AD"/>
    <w:rsid w:val="002645F6"/>
    <w:rsid w:val="00265528"/>
    <w:rsid w:val="00265A16"/>
    <w:rsid w:val="00266247"/>
    <w:rsid w:val="00266C45"/>
    <w:rsid w:val="002672BF"/>
    <w:rsid w:val="00267895"/>
    <w:rsid w:val="002712C3"/>
    <w:rsid w:val="0027253B"/>
    <w:rsid w:val="002747D7"/>
    <w:rsid w:val="002749E3"/>
    <w:rsid w:val="0028067B"/>
    <w:rsid w:val="002813E0"/>
    <w:rsid w:val="00283327"/>
    <w:rsid w:val="00284389"/>
    <w:rsid w:val="00284CE6"/>
    <w:rsid w:val="00284E82"/>
    <w:rsid w:val="00285122"/>
    <w:rsid w:val="00285DC4"/>
    <w:rsid w:val="00286762"/>
    <w:rsid w:val="00287434"/>
    <w:rsid w:val="002902FD"/>
    <w:rsid w:val="00291E42"/>
    <w:rsid w:val="00292871"/>
    <w:rsid w:val="00292FE5"/>
    <w:rsid w:val="0029383B"/>
    <w:rsid w:val="002938AC"/>
    <w:rsid w:val="00294442"/>
    <w:rsid w:val="00294DA0"/>
    <w:rsid w:val="00295088"/>
    <w:rsid w:val="002957D4"/>
    <w:rsid w:val="002A4143"/>
    <w:rsid w:val="002A4B39"/>
    <w:rsid w:val="002A5CA4"/>
    <w:rsid w:val="002A6681"/>
    <w:rsid w:val="002A686F"/>
    <w:rsid w:val="002A7D0D"/>
    <w:rsid w:val="002B0EFF"/>
    <w:rsid w:val="002B2580"/>
    <w:rsid w:val="002B26A9"/>
    <w:rsid w:val="002B3875"/>
    <w:rsid w:val="002B4D2E"/>
    <w:rsid w:val="002B5B22"/>
    <w:rsid w:val="002B5E43"/>
    <w:rsid w:val="002B6F8A"/>
    <w:rsid w:val="002C0528"/>
    <w:rsid w:val="002C07D8"/>
    <w:rsid w:val="002C195E"/>
    <w:rsid w:val="002C2E61"/>
    <w:rsid w:val="002C362B"/>
    <w:rsid w:val="002C5A47"/>
    <w:rsid w:val="002C6845"/>
    <w:rsid w:val="002C7F69"/>
    <w:rsid w:val="002D24D2"/>
    <w:rsid w:val="002D2F27"/>
    <w:rsid w:val="002D2FC8"/>
    <w:rsid w:val="002D3983"/>
    <w:rsid w:val="002D53E8"/>
    <w:rsid w:val="002D5B26"/>
    <w:rsid w:val="002D6493"/>
    <w:rsid w:val="002D68C2"/>
    <w:rsid w:val="002D6E3A"/>
    <w:rsid w:val="002D7836"/>
    <w:rsid w:val="002D7EF7"/>
    <w:rsid w:val="002E103A"/>
    <w:rsid w:val="002E12D0"/>
    <w:rsid w:val="002E243B"/>
    <w:rsid w:val="002E2564"/>
    <w:rsid w:val="002E4A4B"/>
    <w:rsid w:val="002E4C10"/>
    <w:rsid w:val="002E4E01"/>
    <w:rsid w:val="002E5425"/>
    <w:rsid w:val="002E5EDD"/>
    <w:rsid w:val="002E6DC9"/>
    <w:rsid w:val="002E729A"/>
    <w:rsid w:val="002E79D6"/>
    <w:rsid w:val="002F0836"/>
    <w:rsid w:val="002F2E48"/>
    <w:rsid w:val="002F32BA"/>
    <w:rsid w:val="002F3364"/>
    <w:rsid w:val="002F36BF"/>
    <w:rsid w:val="002F3BD1"/>
    <w:rsid w:val="002F3DD3"/>
    <w:rsid w:val="002F4522"/>
    <w:rsid w:val="002F46C8"/>
    <w:rsid w:val="002F4F6C"/>
    <w:rsid w:val="002F57B1"/>
    <w:rsid w:val="002F5BB7"/>
    <w:rsid w:val="002F65E6"/>
    <w:rsid w:val="002F78B9"/>
    <w:rsid w:val="003001F5"/>
    <w:rsid w:val="003011C6"/>
    <w:rsid w:val="003018CC"/>
    <w:rsid w:val="00301DCC"/>
    <w:rsid w:val="00302A54"/>
    <w:rsid w:val="00304AAF"/>
    <w:rsid w:val="0030533A"/>
    <w:rsid w:val="00306205"/>
    <w:rsid w:val="00307A46"/>
    <w:rsid w:val="00310A09"/>
    <w:rsid w:val="00310A0F"/>
    <w:rsid w:val="00310FB5"/>
    <w:rsid w:val="00311061"/>
    <w:rsid w:val="00311374"/>
    <w:rsid w:val="00313CC0"/>
    <w:rsid w:val="00314A3C"/>
    <w:rsid w:val="0031513B"/>
    <w:rsid w:val="0031799D"/>
    <w:rsid w:val="00320628"/>
    <w:rsid w:val="00320B00"/>
    <w:rsid w:val="00323A4F"/>
    <w:rsid w:val="00324C7B"/>
    <w:rsid w:val="0032564C"/>
    <w:rsid w:val="00326736"/>
    <w:rsid w:val="0032779A"/>
    <w:rsid w:val="00327F9C"/>
    <w:rsid w:val="00330359"/>
    <w:rsid w:val="0033165A"/>
    <w:rsid w:val="00331CE4"/>
    <w:rsid w:val="00332127"/>
    <w:rsid w:val="00332784"/>
    <w:rsid w:val="00332C34"/>
    <w:rsid w:val="003331BE"/>
    <w:rsid w:val="003338C8"/>
    <w:rsid w:val="00335000"/>
    <w:rsid w:val="00335097"/>
    <w:rsid w:val="00340695"/>
    <w:rsid w:val="003406E7"/>
    <w:rsid w:val="00341C30"/>
    <w:rsid w:val="003424C7"/>
    <w:rsid w:val="00345094"/>
    <w:rsid w:val="00345401"/>
    <w:rsid w:val="00345592"/>
    <w:rsid w:val="00346A2A"/>
    <w:rsid w:val="003471E2"/>
    <w:rsid w:val="0034788A"/>
    <w:rsid w:val="00347B40"/>
    <w:rsid w:val="003501A7"/>
    <w:rsid w:val="0035301B"/>
    <w:rsid w:val="00353EF6"/>
    <w:rsid w:val="003551A9"/>
    <w:rsid w:val="00356D5F"/>
    <w:rsid w:val="0035765C"/>
    <w:rsid w:val="00357864"/>
    <w:rsid w:val="0036007D"/>
    <w:rsid w:val="00362684"/>
    <w:rsid w:val="003643B8"/>
    <w:rsid w:val="00365B5C"/>
    <w:rsid w:val="0036651E"/>
    <w:rsid w:val="00366570"/>
    <w:rsid w:val="0036786C"/>
    <w:rsid w:val="00367E48"/>
    <w:rsid w:val="003702AD"/>
    <w:rsid w:val="00370376"/>
    <w:rsid w:val="0037203D"/>
    <w:rsid w:val="0037489C"/>
    <w:rsid w:val="00374BF6"/>
    <w:rsid w:val="003753CF"/>
    <w:rsid w:val="00375F28"/>
    <w:rsid w:val="00377280"/>
    <w:rsid w:val="0037792B"/>
    <w:rsid w:val="00380228"/>
    <w:rsid w:val="00380AA3"/>
    <w:rsid w:val="00381FFC"/>
    <w:rsid w:val="00382318"/>
    <w:rsid w:val="00382964"/>
    <w:rsid w:val="0038354C"/>
    <w:rsid w:val="003844D6"/>
    <w:rsid w:val="003856EC"/>
    <w:rsid w:val="00385970"/>
    <w:rsid w:val="003863A9"/>
    <w:rsid w:val="00387811"/>
    <w:rsid w:val="00387845"/>
    <w:rsid w:val="00390935"/>
    <w:rsid w:val="00390A0A"/>
    <w:rsid w:val="00390B71"/>
    <w:rsid w:val="00391190"/>
    <w:rsid w:val="00391F45"/>
    <w:rsid w:val="003922C6"/>
    <w:rsid w:val="003929CA"/>
    <w:rsid w:val="00393299"/>
    <w:rsid w:val="00393EE7"/>
    <w:rsid w:val="003947F6"/>
    <w:rsid w:val="00394A97"/>
    <w:rsid w:val="0039661E"/>
    <w:rsid w:val="00397F6C"/>
    <w:rsid w:val="003A027D"/>
    <w:rsid w:val="003A0732"/>
    <w:rsid w:val="003A154C"/>
    <w:rsid w:val="003A36B7"/>
    <w:rsid w:val="003A3F14"/>
    <w:rsid w:val="003A53DE"/>
    <w:rsid w:val="003A5954"/>
    <w:rsid w:val="003A5BB0"/>
    <w:rsid w:val="003A7D5F"/>
    <w:rsid w:val="003B0D21"/>
    <w:rsid w:val="003B1307"/>
    <w:rsid w:val="003B188E"/>
    <w:rsid w:val="003B4434"/>
    <w:rsid w:val="003B4C8E"/>
    <w:rsid w:val="003B5639"/>
    <w:rsid w:val="003B6A80"/>
    <w:rsid w:val="003B6D10"/>
    <w:rsid w:val="003B7649"/>
    <w:rsid w:val="003B7C00"/>
    <w:rsid w:val="003C041C"/>
    <w:rsid w:val="003C0CEC"/>
    <w:rsid w:val="003C0F3B"/>
    <w:rsid w:val="003C2384"/>
    <w:rsid w:val="003C359C"/>
    <w:rsid w:val="003C4CF6"/>
    <w:rsid w:val="003C5168"/>
    <w:rsid w:val="003C5E5D"/>
    <w:rsid w:val="003C68D4"/>
    <w:rsid w:val="003C79E7"/>
    <w:rsid w:val="003C7C6B"/>
    <w:rsid w:val="003D0512"/>
    <w:rsid w:val="003D0746"/>
    <w:rsid w:val="003D140E"/>
    <w:rsid w:val="003D1524"/>
    <w:rsid w:val="003D1695"/>
    <w:rsid w:val="003D1D63"/>
    <w:rsid w:val="003D27AE"/>
    <w:rsid w:val="003D3D22"/>
    <w:rsid w:val="003D444C"/>
    <w:rsid w:val="003D44C1"/>
    <w:rsid w:val="003D7847"/>
    <w:rsid w:val="003E0F63"/>
    <w:rsid w:val="003E1630"/>
    <w:rsid w:val="003E206B"/>
    <w:rsid w:val="003E2102"/>
    <w:rsid w:val="003E2440"/>
    <w:rsid w:val="003E32E7"/>
    <w:rsid w:val="003E6394"/>
    <w:rsid w:val="003E75F8"/>
    <w:rsid w:val="003E78F1"/>
    <w:rsid w:val="003E7E38"/>
    <w:rsid w:val="003F175D"/>
    <w:rsid w:val="003F2407"/>
    <w:rsid w:val="003F2BB5"/>
    <w:rsid w:val="003F37C8"/>
    <w:rsid w:val="003F3E4D"/>
    <w:rsid w:val="003F492A"/>
    <w:rsid w:val="003F50DA"/>
    <w:rsid w:val="003F72C5"/>
    <w:rsid w:val="00400591"/>
    <w:rsid w:val="00400CA4"/>
    <w:rsid w:val="00402526"/>
    <w:rsid w:val="0040255B"/>
    <w:rsid w:val="00406166"/>
    <w:rsid w:val="00406246"/>
    <w:rsid w:val="004066A2"/>
    <w:rsid w:val="004067D1"/>
    <w:rsid w:val="00406F55"/>
    <w:rsid w:val="00410A6A"/>
    <w:rsid w:val="004139D8"/>
    <w:rsid w:val="00414267"/>
    <w:rsid w:val="0041538A"/>
    <w:rsid w:val="00415953"/>
    <w:rsid w:val="00416B1B"/>
    <w:rsid w:val="0042051B"/>
    <w:rsid w:val="00421764"/>
    <w:rsid w:val="00421CDB"/>
    <w:rsid w:val="0042561B"/>
    <w:rsid w:val="0042589E"/>
    <w:rsid w:val="00425DCD"/>
    <w:rsid w:val="004279E5"/>
    <w:rsid w:val="004318CD"/>
    <w:rsid w:val="00433284"/>
    <w:rsid w:val="0043334E"/>
    <w:rsid w:val="00433902"/>
    <w:rsid w:val="00433DDB"/>
    <w:rsid w:val="00433FDC"/>
    <w:rsid w:val="00434069"/>
    <w:rsid w:val="004340C3"/>
    <w:rsid w:val="00435117"/>
    <w:rsid w:val="004355B5"/>
    <w:rsid w:val="004358DE"/>
    <w:rsid w:val="00440B85"/>
    <w:rsid w:val="0044271B"/>
    <w:rsid w:val="00442E4D"/>
    <w:rsid w:val="00443FDB"/>
    <w:rsid w:val="00444E01"/>
    <w:rsid w:val="004452ED"/>
    <w:rsid w:val="0044547B"/>
    <w:rsid w:val="00446290"/>
    <w:rsid w:val="00451BBE"/>
    <w:rsid w:val="00451DC4"/>
    <w:rsid w:val="004523A3"/>
    <w:rsid w:val="00453180"/>
    <w:rsid w:val="004546FF"/>
    <w:rsid w:val="004554DA"/>
    <w:rsid w:val="0045616A"/>
    <w:rsid w:val="00456F07"/>
    <w:rsid w:val="0046103E"/>
    <w:rsid w:val="0046120E"/>
    <w:rsid w:val="00461A07"/>
    <w:rsid w:val="00461A61"/>
    <w:rsid w:val="004646B1"/>
    <w:rsid w:val="00465B7F"/>
    <w:rsid w:val="00470130"/>
    <w:rsid w:val="00471392"/>
    <w:rsid w:val="00471764"/>
    <w:rsid w:val="00471796"/>
    <w:rsid w:val="00471E5E"/>
    <w:rsid w:val="0047289D"/>
    <w:rsid w:val="00474EE7"/>
    <w:rsid w:val="00475559"/>
    <w:rsid w:val="0047619E"/>
    <w:rsid w:val="0048083A"/>
    <w:rsid w:val="00482B33"/>
    <w:rsid w:val="004839CC"/>
    <w:rsid w:val="004840CC"/>
    <w:rsid w:val="004845DC"/>
    <w:rsid w:val="00485006"/>
    <w:rsid w:val="00490661"/>
    <w:rsid w:val="004908EF"/>
    <w:rsid w:val="00490C14"/>
    <w:rsid w:val="00490EBF"/>
    <w:rsid w:val="00491037"/>
    <w:rsid w:val="00491375"/>
    <w:rsid w:val="00491A57"/>
    <w:rsid w:val="00492908"/>
    <w:rsid w:val="00493B49"/>
    <w:rsid w:val="00495ABD"/>
    <w:rsid w:val="00496591"/>
    <w:rsid w:val="00496713"/>
    <w:rsid w:val="004974E8"/>
    <w:rsid w:val="004A0019"/>
    <w:rsid w:val="004A06CF"/>
    <w:rsid w:val="004A0AF1"/>
    <w:rsid w:val="004A4E47"/>
    <w:rsid w:val="004A5588"/>
    <w:rsid w:val="004A7753"/>
    <w:rsid w:val="004A7A88"/>
    <w:rsid w:val="004B0711"/>
    <w:rsid w:val="004B0B9B"/>
    <w:rsid w:val="004B14D9"/>
    <w:rsid w:val="004B22EA"/>
    <w:rsid w:val="004B341E"/>
    <w:rsid w:val="004B4F9A"/>
    <w:rsid w:val="004B5204"/>
    <w:rsid w:val="004B5AE2"/>
    <w:rsid w:val="004B5D29"/>
    <w:rsid w:val="004B6A05"/>
    <w:rsid w:val="004B7200"/>
    <w:rsid w:val="004C0991"/>
    <w:rsid w:val="004C0B45"/>
    <w:rsid w:val="004C16DB"/>
    <w:rsid w:val="004C18C2"/>
    <w:rsid w:val="004C1B15"/>
    <w:rsid w:val="004C4587"/>
    <w:rsid w:val="004C4CC0"/>
    <w:rsid w:val="004C58CC"/>
    <w:rsid w:val="004C6176"/>
    <w:rsid w:val="004C766D"/>
    <w:rsid w:val="004C76E1"/>
    <w:rsid w:val="004D0BAB"/>
    <w:rsid w:val="004D0F0E"/>
    <w:rsid w:val="004D0FFD"/>
    <w:rsid w:val="004D34A8"/>
    <w:rsid w:val="004D3C74"/>
    <w:rsid w:val="004D5457"/>
    <w:rsid w:val="004D564A"/>
    <w:rsid w:val="004D5872"/>
    <w:rsid w:val="004E20FE"/>
    <w:rsid w:val="004E24C4"/>
    <w:rsid w:val="004E2802"/>
    <w:rsid w:val="004E5CED"/>
    <w:rsid w:val="004E5CEE"/>
    <w:rsid w:val="004E5D52"/>
    <w:rsid w:val="004E73C6"/>
    <w:rsid w:val="004E7C8B"/>
    <w:rsid w:val="004F0EAA"/>
    <w:rsid w:val="004F1130"/>
    <w:rsid w:val="004F2324"/>
    <w:rsid w:val="004F24C1"/>
    <w:rsid w:val="004F505A"/>
    <w:rsid w:val="004F50DD"/>
    <w:rsid w:val="004F57D0"/>
    <w:rsid w:val="004F75C8"/>
    <w:rsid w:val="004F786D"/>
    <w:rsid w:val="004F7930"/>
    <w:rsid w:val="00500046"/>
    <w:rsid w:val="005019EE"/>
    <w:rsid w:val="0050466D"/>
    <w:rsid w:val="0050532B"/>
    <w:rsid w:val="00505739"/>
    <w:rsid w:val="00506020"/>
    <w:rsid w:val="00510DC9"/>
    <w:rsid w:val="00511981"/>
    <w:rsid w:val="00511D03"/>
    <w:rsid w:val="00512988"/>
    <w:rsid w:val="00513DFF"/>
    <w:rsid w:val="0051411A"/>
    <w:rsid w:val="005147E6"/>
    <w:rsid w:val="00514D2A"/>
    <w:rsid w:val="005154C6"/>
    <w:rsid w:val="005155D5"/>
    <w:rsid w:val="00515842"/>
    <w:rsid w:val="00515D25"/>
    <w:rsid w:val="0051764A"/>
    <w:rsid w:val="00517CB2"/>
    <w:rsid w:val="00517EFD"/>
    <w:rsid w:val="005204B2"/>
    <w:rsid w:val="00520DB2"/>
    <w:rsid w:val="00521666"/>
    <w:rsid w:val="0052190D"/>
    <w:rsid w:val="00524163"/>
    <w:rsid w:val="005251BE"/>
    <w:rsid w:val="0052554A"/>
    <w:rsid w:val="005268B0"/>
    <w:rsid w:val="00527769"/>
    <w:rsid w:val="00527893"/>
    <w:rsid w:val="0053002D"/>
    <w:rsid w:val="00530414"/>
    <w:rsid w:val="0053237A"/>
    <w:rsid w:val="005349C6"/>
    <w:rsid w:val="00537366"/>
    <w:rsid w:val="00537B25"/>
    <w:rsid w:val="0054270E"/>
    <w:rsid w:val="00542D96"/>
    <w:rsid w:val="005433B9"/>
    <w:rsid w:val="00544BB2"/>
    <w:rsid w:val="00550C61"/>
    <w:rsid w:val="00551DCB"/>
    <w:rsid w:val="00552CEB"/>
    <w:rsid w:val="005536E9"/>
    <w:rsid w:val="00554C78"/>
    <w:rsid w:val="00555BF3"/>
    <w:rsid w:val="0055719A"/>
    <w:rsid w:val="00561BA2"/>
    <w:rsid w:val="00561C83"/>
    <w:rsid w:val="0056220F"/>
    <w:rsid w:val="005632E9"/>
    <w:rsid w:val="00564527"/>
    <w:rsid w:val="00566592"/>
    <w:rsid w:val="005666D0"/>
    <w:rsid w:val="005672EE"/>
    <w:rsid w:val="005705AF"/>
    <w:rsid w:val="00570A99"/>
    <w:rsid w:val="00570D73"/>
    <w:rsid w:val="00570EAF"/>
    <w:rsid w:val="00573570"/>
    <w:rsid w:val="00574E86"/>
    <w:rsid w:val="00576BCD"/>
    <w:rsid w:val="0057793C"/>
    <w:rsid w:val="00580332"/>
    <w:rsid w:val="00580464"/>
    <w:rsid w:val="0058070B"/>
    <w:rsid w:val="00580C9F"/>
    <w:rsid w:val="00580EC0"/>
    <w:rsid w:val="005812C1"/>
    <w:rsid w:val="0058179B"/>
    <w:rsid w:val="00581D0F"/>
    <w:rsid w:val="00582F53"/>
    <w:rsid w:val="00583776"/>
    <w:rsid w:val="00584544"/>
    <w:rsid w:val="005861C0"/>
    <w:rsid w:val="0058626E"/>
    <w:rsid w:val="00586F8B"/>
    <w:rsid w:val="00590A8E"/>
    <w:rsid w:val="0059214F"/>
    <w:rsid w:val="00592B37"/>
    <w:rsid w:val="0059386D"/>
    <w:rsid w:val="00594B9C"/>
    <w:rsid w:val="0059579C"/>
    <w:rsid w:val="00597FF4"/>
    <w:rsid w:val="005A0695"/>
    <w:rsid w:val="005A11DB"/>
    <w:rsid w:val="005A14A2"/>
    <w:rsid w:val="005A35F3"/>
    <w:rsid w:val="005A43BB"/>
    <w:rsid w:val="005A559A"/>
    <w:rsid w:val="005A56B6"/>
    <w:rsid w:val="005A5DFB"/>
    <w:rsid w:val="005A66B3"/>
    <w:rsid w:val="005A67D2"/>
    <w:rsid w:val="005A6A1F"/>
    <w:rsid w:val="005A70FA"/>
    <w:rsid w:val="005A7C79"/>
    <w:rsid w:val="005B2A3B"/>
    <w:rsid w:val="005B47CE"/>
    <w:rsid w:val="005B4BF3"/>
    <w:rsid w:val="005B5655"/>
    <w:rsid w:val="005B6ECC"/>
    <w:rsid w:val="005C0541"/>
    <w:rsid w:val="005C0775"/>
    <w:rsid w:val="005C22B6"/>
    <w:rsid w:val="005C2B96"/>
    <w:rsid w:val="005C3EB6"/>
    <w:rsid w:val="005C4B27"/>
    <w:rsid w:val="005C4D09"/>
    <w:rsid w:val="005C7DF1"/>
    <w:rsid w:val="005D0BC1"/>
    <w:rsid w:val="005D2951"/>
    <w:rsid w:val="005D2C9C"/>
    <w:rsid w:val="005D2CE0"/>
    <w:rsid w:val="005D34BD"/>
    <w:rsid w:val="005D5A12"/>
    <w:rsid w:val="005D5F49"/>
    <w:rsid w:val="005D615C"/>
    <w:rsid w:val="005D62C2"/>
    <w:rsid w:val="005D6627"/>
    <w:rsid w:val="005D74F0"/>
    <w:rsid w:val="005E2586"/>
    <w:rsid w:val="005E2E2B"/>
    <w:rsid w:val="005E36DA"/>
    <w:rsid w:val="005E4668"/>
    <w:rsid w:val="005E5842"/>
    <w:rsid w:val="005E5859"/>
    <w:rsid w:val="005E5E65"/>
    <w:rsid w:val="005E6892"/>
    <w:rsid w:val="005E6B6B"/>
    <w:rsid w:val="005E7B03"/>
    <w:rsid w:val="005F2462"/>
    <w:rsid w:val="005F2B89"/>
    <w:rsid w:val="005F2C83"/>
    <w:rsid w:val="005F2E06"/>
    <w:rsid w:val="005F3025"/>
    <w:rsid w:val="005F58C3"/>
    <w:rsid w:val="005F6860"/>
    <w:rsid w:val="005F77C7"/>
    <w:rsid w:val="00601040"/>
    <w:rsid w:val="00601588"/>
    <w:rsid w:val="00601723"/>
    <w:rsid w:val="00601B7D"/>
    <w:rsid w:val="00603116"/>
    <w:rsid w:val="006031EB"/>
    <w:rsid w:val="00603759"/>
    <w:rsid w:val="006038B9"/>
    <w:rsid w:val="006039BF"/>
    <w:rsid w:val="00603BB4"/>
    <w:rsid w:val="00603CF2"/>
    <w:rsid w:val="00604ADA"/>
    <w:rsid w:val="006054BE"/>
    <w:rsid w:val="006058EE"/>
    <w:rsid w:val="00605DFC"/>
    <w:rsid w:val="00605EA2"/>
    <w:rsid w:val="00606702"/>
    <w:rsid w:val="00606B3B"/>
    <w:rsid w:val="006117E9"/>
    <w:rsid w:val="006119C4"/>
    <w:rsid w:val="00611F89"/>
    <w:rsid w:val="006126C0"/>
    <w:rsid w:val="006132BB"/>
    <w:rsid w:val="00617384"/>
    <w:rsid w:val="00617E77"/>
    <w:rsid w:val="00620DF7"/>
    <w:rsid w:val="00621FA3"/>
    <w:rsid w:val="00624218"/>
    <w:rsid w:val="006256D8"/>
    <w:rsid w:val="00625CD0"/>
    <w:rsid w:val="00625D18"/>
    <w:rsid w:val="006265C2"/>
    <w:rsid w:val="00626A2A"/>
    <w:rsid w:val="00630533"/>
    <w:rsid w:val="00632F81"/>
    <w:rsid w:val="006370B9"/>
    <w:rsid w:val="00637266"/>
    <w:rsid w:val="00642601"/>
    <w:rsid w:val="00644A14"/>
    <w:rsid w:val="00644FFB"/>
    <w:rsid w:val="0064656E"/>
    <w:rsid w:val="00647E77"/>
    <w:rsid w:val="00650BEF"/>
    <w:rsid w:val="00650D0E"/>
    <w:rsid w:val="006516A7"/>
    <w:rsid w:val="0065195C"/>
    <w:rsid w:val="006526D1"/>
    <w:rsid w:val="00656F4E"/>
    <w:rsid w:val="00657EE0"/>
    <w:rsid w:val="00660A37"/>
    <w:rsid w:val="00660BE9"/>
    <w:rsid w:val="00661E1B"/>
    <w:rsid w:val="00662308"/>
    <w:rsid w:val="006625ED"/>
    <w:rsid w:val="00665AE1"/>
    <w:rsid w:val="00666CAC"/>
    <w:rsid w:val="006670C1"/>
    <w:rsid w:val="006675F0"/>
    <w:rsid w:val="00667BC6"/>
    <w:rsid w:val="006712DC"/>
    <w:rsid w:val="006720BA"/>
    <w:rsid w:val="00672C1A"/>
    <w:rsid w:val="0067318E"/>
    <w:rsid w:val="00673DA9"/>
    <w:rsid w:val="006743C1"/>
    <w:rsid w:val="00674A5D"/>
    <w:rsid w:val="00674EFD"/>
    <w:rsid w:val="0067566B"/>
    <w:rsid w:val="00677041"/>
    <w:rsid w:val="0068013A"/>
    <w:rsid w:val="006802B8"/>
    <w:rsid w:val="00682D49"/>
    <w:rsid w:val="00684CEA"/>
    <w:rsid w:val="0068564D"/>
    <w:rsid w:val="006869D1"/>
    <w:rsid w:val="00687072"/>
    <w:rsid w:val="00687731"/>
    <w:rsid w:val="00690622"/>
    <w:rsid w:val="00690C8B"/>
    <w:rsid w:val="00691A26"/>
    <w:rsid w:val="00691F85"/>
    <w:rsid w:val="0069398A"/>
    <w:rsid w:val="006953D5"/>
    <w:rsid w:val="00695899"/>
    <w:rsid w:val="00695BDA"/>
    <w:rsid w:val="006A1C10"/>
    <w:rsid w:val="006A345B"/>
    <w:rsid w:val="006A46E4"/>
    <w:rsid w:val="006A4A94"/>
    <w:rsid w:val="006A6960"/>
    <w:rsid w:val="006A702A"/>
    <w:rsid w:val="006B0609"/>
    <w:rsid w:val="006B1697"/>
    <w:rsid w:val="006B1F15"/>
    <w:rsid w:val="006B419A"/>
    <w:rsid w:val="006B5343"/>
    <w:rsid w:val="006B5784"/>
    <w:rsid w:val="006B5A4C"/>
    <w:rsid w:val="006B627F"/>
    <w:rsid w:val="006B6812"/>
    <w:rsid w:val="006B6D57"/>
    <w:rsid w:val="006B783E"/>
    <w:rsid w:val="006C0EDA"/>
    <w:rsid w:val="006C29FD"/>
    <w:rsid w:val="006C38C0"/>
    <w:rsid w:val="006C4E8E"/>
    <w:rsid w:val="006C55BC"/>
    <w:rsid w:val="006C56EC"/>
    <w:rsid w:val="006C7FB8"/>
    <w:rsid w:val="006D0115"/>
    <w:rsid w:val="006D1A21"/>
    <w:rsid w:val="006D2368"/>
    <w:rsid w:val="006D24B9"/>
    <w:rsid w:val="006D284A"/>
    <w:rsid w:val="006D36E6"/>
    <w:rsid w:val="006D4B3A"/>
    <w:rsid w:val="006D5A65"/>
    <w:rsid w:val="006E0B6C"/>
    <w:rsid w:val="006E1DF8"/>
    <w:rsid w:val="006E2EA5"/>
    <w:rsid w:val="006E3013"/>
    <w:rsid w:val="006E4E9D"/>
    <w:rsid w:val="006E5B9A"/>
    <w:rsid w:val="006E628C"/>
    <w:rsid w:val="006E6D86"/>
    <w:rsid w:val="006E795B"/>
    <w:rsid w:val="006F0177"/>
    <w:rsid w:val="006F07C1"/>
    <w:rsid w:val="006F0E31"/>
    <w:rsid w:val="006F2C11"/>
    <w:rsid w:val="006F5A5F"/>
    <w:rsid w:val="006F5EF7"/>
    <w:rsid w:val="006F6963"/>
    <w:rsid w:val="00702070"/>
    <w:rsid w:val="0070219A"/>
    <w:rsid w:val="00702C6B"/>
    <w:rsid w:val="007033C5"/>
    <w:rsid w:val="00704134"/>
    <w:rsid w:val="007045F2"/>
    <w:rsid w:val="00704ADD"/>
    <w:rsid w:val="0070537E"/>
    <w:rsid w:val="00706721"/>
    <w:rsid w:val="00707276"/>
    <w:rsid w:val="007107DC"/>
    <w:rsid w:val="00710CD6"/>
    <w:rsid w:val="007116E9"/>
    <w:rsid w:val="00711A58"/>
    <w:rsid w:val="00711C01"/>
    <w:rsid w:val="00711EA5"/>
    <w:rsid w:val="00716A0D"/>
    <w:rsid w:val="00716A64"/>
    <w:rsid w:val="007217C5"/>
    <w:rsid w:val="0072299B"/>
    <w:rsid w:val="00723F37"/>
    <w:rsid w:val="0072494A"/>
    <w:rsid w:val="00725477"/>
    <w:rsid w:val="0072596B"/>
    <w:rsid w:val="0072762F"/>
    <w:rsid w:val="007306B3"/>
    <w:rsid w:val="00730DC1"/>
    <w:rsid w:val="00731039"/>
    <w:rsid w:val="00732532"/>
    <w:rsid w:val="00732719"/>
    <w:rsid w:val="007328F9"/>
    <w:rsid w:val="00733A38"/>
    <w:rsid w:val="00734308"/>
    <w:rsid w:val="00735514"/>
    <w:rsid w:val="007374AF"/>
    <w:rsid w:val="00737A77"/>
    <w:rsid w:val="00740D30"/>
    <w:rsid w:val="00741AE4"/>
    <w:rsid w:val="007433CB"/>
    <w:rsid w:val="007434A2"/>
    <w:rsid w:val="00744115"/>
    <w:rsid w:val="007506EF"/>
    <w:rsid w:val="007523D0"/>
    <w:rsid w:val="0075429C"/>
    <w:rsid w:val="00754CA6"/>
    <w:rsid w:val="0075540B"/>
    <w:rsid w:val="0075543B"/>
    <w:rsid w:val="00755C0B"/>
    <w:rsid w:val="00755EEC"/>
    <w:rsid w:val="00756F56"/>
    <w:rsid w:val="00757EF4"/>
    <w:rsid w:val="00761785"/>
    <w:rsid w:val="007630BB"/>
    <w:rsid w:val="00767078"/>
    <w:rsid w:val="00767F48"/>
    <w:rsid w:val="007703E0"/>
    <w:rsid w:val="00770B8A"/>
    <w:rsid w:val="00771C40"/>
    <w:rsid w:val="00771FFF"/>
    <w:rsid w:val="007737C0"/>
    <w:rsid w:val="007759C6"/>
    <w:rsid w:val="007770FF"/>
    <w:rsid w:val="00780471"/>
    <w:rsid w:val="00780936"/>
    <w:rsid w:val="00780C78"/>
    <w:rsid w:val="0078127E"/>
    <w:rsid w:val="00781856"/>
    <w:rsid w:val="00782C18"/>
    <w:rsid w:val="00782D83"/>
    <w:rsid w:val="00782EB9"/>
    <w:rsid w:val="00786463"/>
    <w:rsid w:val="0078781F"/>
    <w:rsid w:val="00790EA8"/>
    <w:rsid w:val="00791155"/>
    <w:rsid w:val="00791EB4"/>
    <w:rsid w:val="007937A8"/>
    <w:rsid w:val="00794014"/>
    <w:rsid w:val="00795123"/>
    <w:rsid w:val="00795CD6"/>
    <w:rsid w:val="00797EFD"/>
    <w:rsid w:val="007A04F5"/>
    <w:rsid w:val="007A0980"/>
    <w:rsid w:val="007A2531"/>
    <w:rsid w:val="007A3435"/>
    <w:rsid w:val="007A3555"/>
    <w:rsid w:val="007A4800"/>
    <w:rsid w:val="007A5908"/>
    <w:rsid w:val="007A714F"/>
    <w:rsid w:val="007B000F"/>
    <w:rsid w:val="007B1391"/>
    <w:rsid w:val="007B16E5"/>
    <w:rsid w:val="007B1B9D"/>
    <w:rsid w:val="007B202A"/>
    <w:rsid w:val="007B2788"/>
    <w:rsid w:val="007B3085"/>
    <w:rsid w:val="007B45A9"/>
    <w:rsid w:val="007B4744"/>
    <w:rsid w:val="007B6CB9"/>
    <w:rsid w:val="007B7565"/>
    <w:rsid w:val="007B798A"/>
    <w:rsid w:val="007B7B33"/>
    <w:rsid w:val="007C03B5"/>
    <w:rsid w:val="007C099B"/>
    <w:rsid w:val="007C1C45"/>
    <w:rsid w:val="007C28CC"/>
    <w:rsid w:val="007C2976"/>
    <w:rsid w:val="007C3A0F"/>
    <w:rsid w:val="007C5013"/>
    <w:rsid w:val="007C5101"/>
    <w:rsid w:val="007C5EB7"/>
    <w:rsid w:val="007C67F3"/>
    <w:rsid w:val="007D0136"/>
    <w:rsid w:val="007D11C0"/>
    <w:rsid w:val="007D1B08"/>
    <w:rsid w:val="007D2811"/>
    <w:rsid w:val="007D3225"/>
    <w:rsid w:val="007D33A8"/>
    <w:rsid w:val="007D3EF9"/>
    <w:rsid w:val="007D3FA6"/>
    <w:rsid w:val="007D40A9"/>
    <w:rsid w:val="007D454C"/>
    <w:rsid w:val="007D5675"/>
    <w:rsid w:val="007D60B9"/>
    <w:rsid w:val="007D68A5"/>
    <w:rsid w:val="007D74E2"/>
    <w:rsid w:val="007D7591"/>
    <w:rsid w:val="007D769C"/>
    <w:rsid w:val="007D79AB"/>
    <w:rsid w:val="007E039B"/>
    <w:rsid w:val="007E0AB8"/>
    <w:rsid w:val="007E1B51"/>
    <w:rsid w:val="007E3B7C"/>
    <w:rsid w:val="007E431A"/>
    <w:rsid w:val="007E552A"/>
    <w:rsid w:val="007E62F1"/>
    <w:rsid w:val="007E6822"/>
    <w:rsid w:val="007F11D7"/>
    <w:rsid w:val="007F12BD"/>
    <w:rsid w:val="007F13A0"/>
    <w:rsid w:val="007F1D58"/>
    <w:rsid w:val="007F1EB9"/>
    <w:rsid w:val="007F3231"/>
    <w:rsid w:val="007F38C2"/>
    <w:rsid w:val="007F3AF7"/>
    <w:rsid w:val="007F5049"/>
    <w:rsid w:val="007F50D1"/>
    <w:rsid w:val="007F660F"/>
    <w:rsid w:val="007F7568"/>
    <w:rsid w:val="008000FE"/>
    <w:rsid w:val="00800AA4"/>
    <w:rsid w:val="00800D76"/>
    <w:rsid w:val="0080162C"/>
    <w:rsid w:val="0080285B"/>
    <w:rsid w:val="00803325"/>
    <w:rsid w:val="008044BC"/>
    <w:rsid w:val="00804EDC"/>
    <w:rsid w:val="0080652A"/>
    <w:rsid w:val="00806C48"/>
    <w:rsid w:val="008074F8"/>
    <w:rsid w:val="00807B1B"/>
    <w:rsid w:val="00810381"/>
    <w:rsid w:val="0081275B"/>
    <w:rsid w:val="0081479F"/>
    <w:rsid w:val="008156F0"/>
    <w:rsid w:val="0081617F"/>
    <w:rsid w:val="0081786D"/>
    <w:rsid w:val="0082027B"/>
    <w:rsid w:val="0082042D"/>
    <w:rsid w:val="008214D7"/>
    <w:rsid w:val="00821856"/>
    <w:rsid w:val="0082192C"/>
    <w:rsid w:val="008246F3"/>
    <w:rsid w:val="0082554A"/>
    <w:rsid w:val="00827851"/>
    <w:rsid w:val="008304ED"/>
    <w:rsid w:val="008311DC"/>
    <w:rsid w:val="0083133B"/>
    <w:rsid w:val="00832C3E"/>
    <w:rsid w:val="00833538"/>
    <w:rsid w:val="00833CDB"/>
    <w:rsid w:val="00833ECD"/>
    <w:rsid w:val="008347D1"/>
    <w:rsid w:val="0083560D"/>
    <w:rsid w:val="0083626D"/>
    <w:rsid w:val="0084080D"/>
    <w:rsid w:val="00840DF3"/>
    <w:rsid w:val="00840E74"/>
    <w:rsid w:val="00841AFF"/>
    <w:rsid w:val="00841D39"/>
    <w:rsid w:val="008441A8"/>
    <w:rsid w:val="0084672B"/>
    <w:rsid w:val="008469F1"/>
    <w:rsid w:val="00846C2A"/>
    <w:rsid w:val="00846D54"/>
    <w:rsid w:val="00847168"/>
    <w:rsid w:val="0085088F"/>
    <w:rsid w:val="00850DEF"/>
    <w:rsid w:val="008526A1"/>
    <w:rsid w:val="00853A48"/>
    <w:rsid w:val="00853C73"/>
    <w:rsid w:val="0085454C"/>
    <w:rsid w:val="00854D21"/>
    <w:rsid w:val="00855B31"/>
    <w:rsid w:val="00856BD4"/>
    <w:rsid w:val="008579A7"/>
    <w:rsid w:val="00860303"/>
    <w:rsid w:val="00861824"/>
    <w:rsid w:val="008618E7"/>
    <w:rsid w:val="00863B19"/>
    <w:rsid w:val="0086625D"/>
    <w:rsid w:val="008675BA"/>
    <w:rsid w:val="008713A0"/>
    <w:rsid w:val="008718A3"/>
    <w:rsid w:val="008724B0"/>
    <w:rsid w:val="00872DE2"/>
    <w:rsid w:val="008739C3"/>
    <w:rsid w:val="00874303"/>
    <w:rsid w:val="00875929"/>
    <w:rsid w:val="00877951"/>
    <w:rsid w:val="00880A06"/>
    <w:rsid w:val="008812EF"/>
    <w:rsid w:val="00881EBB"/>
    <w:rsid w:val="008822ED"/>
    <w:rsid w:val="00882A31"/>
    <w:rsid w:val="00883288"/>
    <w:rsid w:val="008844DA"/>
    <w:rsid w:val="0088498D"/>
    <w:rsid w:val="00885D4B"/>
    <w:rsid w:val="008874BE"/>
    <w:rsid w:val="00887672"/>
    <w:rsid w:val="00887BB6"/>
    <w:rsid w:val="008907CA"/>
    <w:rsid w:val="0089083E"/>
    <w:rsid w:val="00892D41"/>
    <w:rsid w:val="008948C6"/>
    <w:rsid w:val="00894E53"/>
    <w:rsid w:val="008956DC"/>
    <w:rsid w:val="0089592C"/>
    <w:rsid w:val="00895CD7"/>
    <w:rsid w:val="00896C71"/>
    <w:rsid w:val="008972A1"/>
    <w:rsid w:val="008977CF"/>
    <w:rsid w:val="00897822"/>
    <w:rsid w:val="00897D67"/>
    <w:rsid w:val="008A0B3E"/>
    <w:rsid w:val="008A1FE9"/>
    <w:rsid w:val="008A216E"/>
    <w:rsid w:val="008A2233"/>
    <w:rsid w:val="008A4A39"/>
    <w:rsid w:val="008A4C16"/>
    <w:rsid w:val="008A52C1"/>
    <w:rsid w:val="008A5C5C"/>
    <w:rsid w:val="008A6160"/>
    <w:rsid w:val="008A625C"/>
    <w:rsid w:val="008A718B"/>
    <w:rsid w:val="008B06EE"/>
    <w:rsid w:val="008B0885"/>
    <w:rsid w:val="008B0B75"/>
    <w:rsid w:val="008B0DDF"/>
    <w:rsid w:val="008B3A07"/>
    <w:rsid w:val="008B4E16"/>
    <w:rsid w:val="008B54B0"/>
    <w:rsid w:val="008B5BFC"/>
    <w:rsid w:val="008B62C4"/>
    <w:rsid w:val="008B698A"/>
    <w:rsid w:val="008B6A61"/>
    <w:rsid w:val="008B6A7E"/>
    <w:rsid w:val="008B74BA"/>
    <w:rsid w:val="008C0026"/>
    <w:rsid w:val="008C3106"/>
    <w:rsid w:val="008C3433"/>
    <w:rsid w:val="008C3D69"/>
    <w:rsid w:val="008D00D8"/>
    <w:rsid w:val="008D03EF"/>
    <w:rsid w:val="008D0994"/>
    <w:rsid w:val="008D2009"/>
    <w:rsid w:val="008D3D0C"/>
    <w:rsid w:val="008D4CAF"/>
    <w:rsid w:val="008D58ED"/>
    <w:rsid w:val="008D6B95"/>
    <w:rsid w:val="008D6ED0"/>
    <w:rsid w:val="008D7269"/>
    <w:rsid w:val="008D7A0F"/>
    <w:rsid w:val="008E01CF"/>
    <w:rsid w:val="008E0A6A"/>
    <w:rsid w:val="008E11A3"/>
    <w:rsid w:val="008E14C7"/>
    <w:rsid w:val="008E16EC"/>
    <w:rsid w:val="008E2107"/>
    <w:rsid w:val="008E2877"/>
    <w:rsid w:val="008E2BA3"/>
    <w:rsid w:val="008E3F81"/>
    <w:rsid w:val="008E4E93"/>
    <w:rsid w:val="008E6443"/>
    <w:rsid w:val="008E6EB8"/>
    <w:rsid w:val="008E6FC9"/>
    <w:rsid w:val="008E728C"/>
    <w:rsid w:val="008E7AE0"/>
    <w:rsid w:val="008F0317"/>
    <w:rsid w:val="008F0DD1"/>
    <w:rsid w:val="008F2319"/>
    <w:rsid w:val="008F2C98"/>
    <w:rsid w:val="008F3093"/>
    <w:rsid w:val="008F5B1A"/>
    <w:rsid w:val="0090004C"/>
    <w:rsid w:val="00900F21"/>
    <w:rsid w:val="00901ECA"/>
    <w:rsid w:val="0090275F"/>
    <w:rsid w:val="00903285"/>
    <w:rsid w:val="009035ED"/>
    <w:rsid w:val="009045D0"/>
    <w:rsid w:val="00904979"/>
    <w:rsid w:val="00905C12"/>
    <w:rsid w:val="00906190"/>
    <w:rsid w:val="009076BB"/>
    <w:rsid w:val="009079A0"/>
    <w:rsid w:val="00907CDD"/>
    <w:rsid w:val="009108AD"/>
    <w:rsid w:val="009115D9"/>
    <w:rsid w:val="00912C11"/>
    <w:rsid w:val="00912C51"/>
    <w:rsid w:val="00914373"/>
    <w:rsid w:val="00914EA6"/>
    <w:rsid w:val="009156C5"/>
    <w:rsid w:val="009166C4"/>
    <w:rsid w:val="00920349"/>
    <w:rsid w:val="00920AC2"/>
    <w:rsid w:val="00921651"/>
    <w:rsid w:val="0092305B"/>
    <w:rsid w:val="009234F0"/>
    <w:rsid w:val="00923BBC"/>
    <w:rsid w:val="00924A9A"/>
    <w:rsid w:val="00925452"/>
    <w:rsid w:val="009258CE"/>
    <w:rsid w:val="00926EDB"/>
    <w:rsid w:val="0093006D"/>
    <w:rsid w:val="00931DF3"/>
    <w:rsid w:val="00933420"/>
    <w:rsid w:val="00933E28"/>
    <w:rsid w:val="009340A0"/>
    <w:rsid w:val="0093452D"/>
    <w:rsid w:val="00935A1A"/>
    <w:rsid w:val="00935C59"/>
    <w:rsid w:val="00937D55"/>
    <w:rsid w:val="00941A2B"/>
    <w:rsid w:val="0094398C"/>
    <w:rsid w:val="0094598C"/>
    <w:rsid w:val="00947182"/>
    <w:rsid w:val="0094722C"/>
    <w:rsid w:val="0095127E"/>
    <w:rsid w:val="0095252C"/>
    <w:rsid w:val="00953AA7"/>
    <w:rsid w:val="00955AC4"/>
    <w:rsid w:val="0095613E"/>
    <w:rsid w:val="009563FE"/>
    <w:rsid w:val="00960A1A"/>
    <w:rsid w:val="00961176"/>
    <w:rsid w:val="009612DF"/>
    <w:rsid w:val="0096194A"/>
    <w:rsid w:val="00962AF6"/>
    <w:rsid w:val="00963449"/>
    <w:rsid w:val="009639A9"/>
    <w:rsid w:val="00964B8F"/>
    <w:rsid w:val="00964BF7"/>
    <w:rsid w:val="00965894"/>
    <w:rsid w:val="00965C5A"/>
    <w:rsid w:val="0097209B"/>
    <w:rsid w:val="009725D8"/>
    <w:rsid w:val="00974032"/>
    <w:rsid w:val="00974F6D"/>
    <w:rsid w:val="0097650A"/>
    <w:rsid w:val="00977BC4"/>
    <w:rsid w:val="009801D2"/>
    <w:rsid w:val="00982402"/>
    <w:rsid w:val="00982A83"/>
    <w:rsid w:val="00983A61"/>
    <w:rsid w:val="0098404F"/>
    <w:rsid w:val="00984D42"/>
    <w:rsid w:val="00985DD3"/>
    <w:rsid w:val="009865E9"/>
    <w:rsid w:val="00987B30"/>
    <w:rsid w:val="00990C7C"/>
    <w:rsid w:val="0099203C"/>
    <w:rsid w:val="0099365A"/>
    <w:rsid w:val="00993CEC"/>
    <w:rsid w:val="0099413A"/>
    <w:rsid w:val="00994552"/>
    <w:rsid w:val="0099494C"/>
    <w:rsid w:val="00995D0D"/>
    <w:rsid w:val="009970C6"/>
    <w:rsid w:val="00997E0D"/>
    <w:rsid w:val="009A0289"/>
    <w:rsid w:val="009A08C5"/>
    <w:rsid w:val="009A2D45"/>
    <w:rsid w:val="009A387C"/>
    <w:rsid w:val="009A3AA2"/>
    <w:rsid w:val="009A46A1"/>
    <w:rsid w:val="009A6694"/>
    <w:rsid w:val="009A7C26"/>
    <w:rsid w:val="009B0F11"/>
    <w:rsid w:val="009B0F36"/>
    <w:rsid w:val="009B11E2"/>
    <w:rsid w:val="009B1C78"/>
    <w:rsid w:val="009B2B40"/>
    <w:rsid w:val="009B3390"/>
    <w:rsid w:val="009B3C0F"/>
    <w:rsid w:val="009B49D0"/>
    <w:rsid w:val="009B4BB2"/>
    <w:rsid w:val="009B5135"/>
    <w:rsid w:val="009B5F87"/>
    <w:rsid w:val="009B66AF"/>
    <w:rsid w:val="009B6D02"/>
    <w:rsid w:val="009B74D0"/>
    <w:rsid w:val="009B7DA4"/>
    <w:rsid w:val="009C02D2"/>
    <w:rsid w:val="009C0DAD"/>
    <w:rsid w:val="009C10E1"/>
    <w:rsid w:val="009C326F"/>
    <w:rsid w:val="009C3946"/>
    <w:rsid w:val="009C3A5A"/>
    <w:rsid w:val="009C3E6D"/>
    <w:rsid w:val="009C461C"/>
    <w:rsid w:val="009C4953"/>
    <w:rsid w:val="009C543E"/>
    <w:rsid w:val="009D04A5"/>
    <w:rsid w:val="009D174A"/>
    <w:rsid w:val="009D17FA"/>
    <w:rsid w:val="009D2F7F"/>
    <w:rsid w:val="009D333E"/>
    <w:rsid w:val="009D466B"/>
    <w:rsid w:val="009D4F96"/>
    <w:rsid w:val="009D65D3"/>
    <w:rsid w:val="009D7422"/>
    <w:rsid w:val="009E1845"/>
    <w:rsid w:val="009E1BAB"/>
    <w:rsid w:val="009E1F29"/>
    <w:rsid w:val="009E22A0"/>
    <w:rsid w:val="009E554A"/>
    <w:rsid w:val="009E5B22"/>
    <w:rsid w:val="009E6609"/>
    <w:rsid w:val="009E676A"/>
    <w:rsid w:val="009E67DE"/>
    <w:rsid w:val="009E7EFE"/>
    <w:rsid w:val="009E7F65"/>
    <w:rsid w:val="009F0093"/>
    <w:rsid w:val="009F1F48"/>
    <w:rsid w:val="009F2F8C"/>
    <w:rsid w:val="009F3A39"/>
    <w:rsid w:val="009F41FB"/>
    <w:rsid w:val="009F5793"/>
    <w:rsid w:val="009F592B"/>
    <w:rsid w:val="009F5A3D"/>
    <w:rsid w:val="009F6134"/>
    <w:rsid w:val="009F66B9"/>
    <w:rsid w:val="009F6EE4"/>
    <w:rsid w:val="009F76F3"/>
    <w:rsid w:val="009F7B9A"/>
    <w:rsid w:val="00A00502"/>
    <w:rsid w:val="00A00CD4"/>
    <w:rsid w:val="00A012BF"/>
    <w:rsid w:val="00A01A0F"/>
    <w:rsid w:val="00A02B5B"/>
    <w:rsid w:val="00A03D8A"/>
    <w:rsid w:val="00A055E8"/>
    <w:rsid w:val="00A06BDF"/>
    <w:rsid w:val="00A06F4F"/>
    <w:rsid w:val="00A11084"/>
    <w:rsid w:val="00A115EB"/>
    <w:rsid w:val="00A11A90"/>
    <w:rsid w:val="00A128C0"/>
    <w:rsid w:val="00A13DF5"/>
    <w:rsid w:val="00A1401B"/>
    <w:rsid w:val="00A1449E"/>
    <w:rsid w:val="00A1559F"/>
    <w:rsid w:val="00A207C6"/>
    <w:rsid w:val="00A20A5D"/>
    <w:rsid w:val="00A21C77"/>
    <w:rsid w:val="00A221DF"/>
    <w:rsid w:val="00A23312"/>
    <w:rsid w:val="00A2333F"/>
    <w:rsid w:val="00A23AC3"/>
    <w:rsid w:val="00A2409A"/>
    <w:rsid w:val="00A26CF3"/>
    <w:rsid w:val="00A271A8"/>
    <w:rsid w:val="00A31964"/>
    <w:rsid w:val="00A323AC"/>
    <w:rsid w:val="00A34C51"/>
    <w:rsid w:val="00A3588F"/>
    <w:rsid w:val="00A3700D"/>
    <w:rsid w:val="00A40586"/>
    <w:rsid w:val="00A40F03"/>
    <w:rsid w:val="00A42402"/>
    <w:rsid w:val="00A4266C"/>
    <w:rsid w:val="00A436D3"/>
    <w:rsid w:val="00A438D9"/>
    <w:rsid w:val="00A43910"/>
    <w:rsid w:val="00A43EA5"/>
    <w:rsid w:val="00A45DE7"/>
    <w:rsid w:val="00A46FDA"/>
    <w:rsid w:val="00A475A1"/>
    <w:rsid w:val="00A475C9"/>
    <w:rsid w:val="00A50005"/>
    <w:rsid w:val="00A50B52"/>
    <w:rsid w:val="00A50CAA"/>
    <w:rsid w:val="00A50E34"/>
    <w:rsid w:val="00A51867"/>
    <w:rsid w:val="00A52E89"/>
    <w:rsid w:val="00A53C33"/>
    <w:rsid w:val="00A5550D"/>
    <w:rsid w:val="00A579DB"/>
    <w:rsid w:val="00A60882"/>
    <w:rsid w:val="00A61A8F"/>
    <w:rsid w:val="00A61B6B"/>
    <w:rsid w:val="00A6219A"/>
    <w:rsid w:val="00A64E2A"/>
    <w:rsid w:val="00A65D77"/>
    <w:rsid w:val="00A65E54"/>
    <w:rsid w:val="00A66491"/>
    <w:rsid w:val="00A66DD1"/>
    <w:rsid w:val="00A673C0"/>
    <w:rsid w:val="00A674F4"/>
    <w:rsid w:val="00A6754A"/>
    <w:rsid w:val="00A707AF"/>
    <w:rsid w:val="00A70D86"/>
    <w:rsid w:val="00A72611"/>
    <w:rsid w:val="00A747D5"/>
    <w:rsid w:val="00A74B84"/>
    <w:rsid w:val="00A770EA"/>
    <w:rsid w:val="00A80B18"/>
    <w:rsid w:val="00A823BF"/>
    <w:rsid w:val="00A82456"/>
    <w:rsid w:val="00A8260E"/>
    <w:rsid w:val="00A83356"/>
    <w:rsid w:val="00A836EF"/>
    <w:rsid w:val="00A83A76"/>
    <w:rsid w:val="00A83FD6"/>
    <w:rsid w:val="00A8448D"/>
    <w:rsid w:val="00A84AD0"/>
    <w:rsid w:val="00A85CAC"/>
    <w:rsid w:val="00A86BB2"/>
    <w:rsid w:val="00A901E5"/>
    <w:rsid w:val="00A90780"/>
    <w:rsid w:val="00A9123B"/>
    <w:rsid w:val="00A9478D"/>
    <w:rsid w:val="00A94E06"/>
    <w:rsid w:val="00A9524D"/>
    <w:rsid w:val="00A96B60"/>
    <w:rsid w:val="00A96F95"/>
    <w:rsid w:val="00A97F1D"/>
    <w:rsid w:val="00AA0AE6"/>
    <w:rsid w:val="00AA12DB"/>
    <w:rsid w:val="00AA3513"/>
    <w:rsid w:val="00AA41A9"/>
    <w:rsid w:val="00AA41E2"/>
    <w:rsid w:val="00AA4A80"/>
    <w:rsid w:val="00AA4B81"/>
    <w:rsid w:val="00AA518A"/>
    <w:rsid w:val="00AA68A5"/>
    <w:rsid w:val="00AA6998"/>
    <w:rsid w:val="00AA6D55"/>
    <w:rsid w:val="00AA7899"/>
    <w:rsid w:val="00AB03D0"/>
    <w:rsid w:val="00AB2302"/>
    <w:rsid w:val="00AB28E1"/>
    <w:rsid w:val="00AB2DED"/>
    <w:rsid w:val="00AB3D68"/>
    <w:rsid w:val="00AB4379"/>
    <w:rsid w:val="00AB5133"/>
    <w:rsid w:val="00AB60E5"/>
    <w:rsid w:val="00AB6345"/>
    <w:rsid w:val="00AB6BB2"/>
    <w:rsid w:val="00AC1679"/>
    <w:rsid w:val="00AC1F7C"/>
    <w:rsid w:val="00AC34CE"/>
    <w:rsid w:val="00AC4AFE"/>
    <w:rsid w:val="00AC4B0E"/>
    <w:rsid w:val="00AC4D51"/>
    <w:rsid w:val="00AC5C27"/>
    <w:rsid w:val="00AC5EDD"/>
    <w:rsid w:val="00AC67B3"/>
    <w:rsid w:val="00AC6918"/>
    <w:rsid w:val="00AC6ADC"/>
    <w:rsid w:val="00AC6D71"/>
    <w:rsid w:val="00AC77C2"/>
    <w:rsid w:val="00AD0BBD"/>
    <w:rsid w:val="00AD0CD1"/>
    <w:rsid w:val="00AD1E95"/>
    <w:rsid w:val="00AD1EDD"/>
    <w:rsid w:val="00AD3066"/>
    <w:rsid w:val="00AD37E2"/>
    <w:rsid w:val="00AD488A"/>
    <w:rsid w:val="00AD7BB3"/>
    <w:rsid w:val="00AD7DF6"/>
    <w:rsid w:val="00AE10C7"/>
    <w:rsid w:val="00AE1324"/>
    <w:rsid w:val="00AE14D5"/>
    <w:rsid w:val="00AE336D"/>
    <w:rsid w:val="00AE3E14"/>
    <w:rsid w:val="00AE5219"/>
    <w:rsid w:val="00AE5B61"/>
    <w:rsid w:val="00AE646A"/>
    <w:rsid w:val="00AE750D"/>
    <w:rsid w:val="00AE7E02"/>
    <w:rsid w:val="00AF0CD4"/>
    <w:rsid w:val="00AF18FB"/>
    <w:rsid w:val="00AF1C99"/>
    <w:rsid w:val="00AF2486"/>
    <w:rsid w:val="00AF3A52"/>
    <w:rsid w:val="00AF63CA"/>
    <w:rsid w:val="00AF6482"/>
    <w:rsid w:val="00AF6DF5"/>
    <w:rsid w:val="00AF70BC"/>
    <w:rsid w:val="00AF7C4D"/>
    <w:rsid w:val="00B0063B"/>
    <w:rsid w:val="00B0149F"/>
    <w:rsid w:val="00B01553"/>
    <w:rsid w:val="00B02108"/>
    <w:rsid w:val="00B0376B"/>
    <w:rsid w:val="00B05BEA"/>
    <w:rsid w:val="00B05C80"/>
    <w:rsid w:val="00B1026B"/>
    <w:rsid w:val="00B107E6"/>
    <w:rsid w:val="00B10C24"/>
    <w:rsid w:val="00B11E0D"/>
    <w:rsid w:val="00B138EA"/>
    <w:rsid w:val="00B14467"/>
    <w:rsid w:val="00B148C8"/>
    <w:rsid w:val="00B15960"/>
    <w:rsid w:val="00B1638C"/>
    <w:rsid w:val="00B17443"/>
    <w:rsid w:val="00B206D6"/>
    <w:rsid w:val="00B220D1"/>
    <w:rsid w:val="00B22C18"/>
    <w:rsid w:val="00B22E94"/>
    <w:rsid w:val="00B234C9"/>
    <w:rsid w:val="00B23507"/>
    <w:rsid w:val="00B244F2"/>
    <w:rsid w:val="00B24D10"/>
    <w:rsid w:val="00B27811"/>
    <w:rsid w:val="00B301DF"/>
    <w:rsid w:val="00B328C2"/>
    <w:rsid w:val="00B32DC4"/>
    <w:rsid w:val="00B33067"/>
    <w:rsid w:val="00B3402E"/>
    <w:rsid w:val="00B352A9"/>
    <w:rsid w:val="00B352EE"/>
    <w:rsid w:val="00B35374"/>
    <w:rsid w:val="00B36AF0"/>
    <w:rsid w:val="00B36B1C"/>
    <w:rsid w:val="00B36C56"/>
    <w:rsid w:val="00B36CB2"/>
    <w:rsid w:val="00B37C9C"/>
    <w:rsid w:val="00B40A23"/>
    <w:rsid w:val="00B42536"/>
    <w:rsid w:val="00B42C46"/>
    <w:rsid w:val="00B42FCB"/>
    <w:rsid w:val="00B43739"/>
    <w:rsid w:val="00B43F7B"/>
    <w:rsid w:val="00B44020"/>
    <w:rsid w:val="00B44941"/>
    <w:rsid w:val="00B450D4"/>
    <w:rsid w:val="00B4521C"/>
    <w:rsid w:val="00B46F38"/>
    <w:rsid w:val="00B478F7"/>
    <w:rsid w:val="00B507DD"/>
    <w:rsid w:val="00B51EBD"/>
    <w:rsid w:val="00B52B24"/>
    <w:rsid w:val="00B5389B"/>
    <w:rsid w:val="00B56040"/>
    <w:rsid w:val="00B56411"/>
    <w:rsid w:val="00B56E7A"/>
    <w:rsid w:val="00B60C61"/>
    <w:rsid w:val="00B62926"/>
    <w:rsid w:val="00B646AE"/>
    <w:rsid w:val="00B64B0A"/>
    <w:rsid w:val="00B658B0"/>
    <w:rsid w:val="00B674E9"/>
    <w:rsid w:val="00B705CC"/>
    <w:rsid w:val="00B70C8E"/>
    <w:rsid w:val="00B7138A"/>
    <w:rsid w:val="00B71654"/>
    <w:rsid w:val="00B71E3C"/>
    <w:rsid w:val="00B736D6"/>
    <w:rsid w:val="00B75F86"/>
    <w:rsid w:val="00B76314"/>
    <w:rsid w:val="00B76F74"/>
    <w:rsid w:val="00B77042"/>
    <w:rsid w:val="00B77301"/>
    <w:rsid w:val="00B776E7"/>
    <w:rsid w:val="00B77DB7"/>
    <w:rsid w:val="00B802BB"/>
    <w:rsid w:val="00B80909"/>
    <w:rsid w:val="00B816AB"/>
    <w:rsid w:val="00B82C74"/>
    <w:rsid w:val="00B82C8B"/>
    <w:rsid w:val="00B838AA"/>
    <w:rsid w:val="00B84440"/>
    <w:rsid w:val="00B85DF6"/>
    <w:rsid w:val="00B86527"/>
    <w:rsid w:val="00B87483"/>
    <w:rsid w:val="00B878C8"/>
    <w:rsid w:val="00B87BF9"/>
    <w:rsid w:val="00B87C07"/>
    <w:rsid w:val="00B87C8C"/>
    <w:rsid w:val="00B90A66"/>
    <w:rsid w:val="00B9286A"/>
    <w:rsid w:val="00B92A8C"/>
    <w:rsid w:val="00B93CF7"/>
    <w:rsid w:val="00B9487E"/>
    <w:rsid w:val="00B95000"/>
    <w:rsid w:val="00B951D3"/>
    <w:rsid w:val="00B95907"/>
    <w:rsid w:val="00B95B7A"/>
    <w:rsid w:val="00B97594"/>
    <w:rsid w:val="00B97C65"/>
    <w:rsid w:val="00BA4C9A"/>
    <w:rsid w:val="00BA603F"/>
    <w:rsid w:val="00BB1B87"/>
    <w:rsid w:val="00BB2920"/>
    <w:rsid w:val="00BB450E"/>
    <w:rsid w:val="00BB4D13"/>
    <w:rsid w:val="00BB5A68"/>
    <w:rsid w:val="00BB5C61"/>
    <w:rsid w:val="00BC0AAD"/>
    <w:rsid w:val="00BC14A1"/>
    <w:rsid w:val="00BC1A9C"/>
    <w:rsid w:val="00BC1BE8"/>
    <w:rsid w:val="00BC20E4"/>
    <w:rsid w:val="00BC2939"/>
    <w:rsid w:val="00BC4451"/>
    <w:rsid w:val="00BC4CE4"/>
    <w:rsid w:val="00BC6A0C"/>
    <w:rsid w:val="00BD0CF1"/>
    <w:rsid w:val="00BD0E26"/>
    <w:rsid w:val="00BD1595"/>
    <w:rsid w:val="00BD1970"/>
    <w:rsid w:val="00BD202E"/>
    <w:rsid w:val="00BD2062"/>
    <w:rsid w:val="00BD218D"/>
    <w:rsid w:val="00BD3B0F"/>
    <w:rsid w:val="00BD6CEF"/>
    <w:rsid w:val="00BD75B6"/>
    <w:rsid w:val="00BD7B9E"/>
    <w:rsid w:val="00BD7E18"/>
    <w:rsid w:val="00BE1A57"/>
    <w:rsid w:val="00BE4D42"/>
    <w:rsid w:val="00BE4D9B"/>
    <w:rsid w:val="00BE4DF4"/>
    <w:rsid w:val="00BE6098"/>
    <w:rsid w:val="00BE7142"/>
    <w:rsid w:val="00BE721B"/>
    <w:rsid w:val="00BF044E"/>
    <w:rsid w:val="00BF04DE"/>
    <w:rsid w:val="00BF1062"/>
    <w:rsid w:val="00BF1222"/>
    <w:rsid w:val="00BF1462"/>
    <w:rsid w:val="00BF2E2D"/>
    <w:rsid w:val="00BF44A8"/>
    <w:rsid w:val="00BF5468"/>
    <w:rsid w:val="00BF6531"/>
    <w:rsid w:val="00BF7514"/>
    <w:rsid w:val="00C0061C"/>
    <w:rsid w:val="00C00EC8"/>
    <w:rsid w:val="00C031A5"/>
    <w:rsid w:val="00C04894"/>
    <w:rsid w:val="00C052B4"/>
    <w:rsid w:val="00C05D2F"/>
    <w:rsid w:val="00C05D6B"/>
    <w:rsid w:val="00C105A7"/>
    <w:rsid w:val="00C118C3"/>
    <w:rsid w:val="00C11C8A"/>
    <w:rsid w:val="00C13C2F"/>
    <w:rsid w:val="00C13D08"/>
    <w:rsid w:val="00C1461D"/>
    <w:rsid w:val="00C1496A"/>
    <w:rsid w:val="00C157CA"/>
    <w:rsid w:val="00C1601B"/>
    <w:rsid w:val="00C16E2C"/>
    <w:rsid w:val="00C20C45"/>
    <w:rsid w:val="00C215D2"/>
    <w:rsid w:val="00C21B4F"/>
    <w:rsid w:val="00C21F99"/>
    <w:rsid w:val="00C23A7F"/>
    <w:rsid w:val="00C24247"/>
    <w:rsid w:val="00C24C58"/>
    <w:rsid w:val="00C26AE5"/>
    <w:rsid w:val="00C26D39"/>
    <w:rsid w:val="00C2778E"/>
    <w:rsid w:val="00C278E7"/>
    <w:rsid w:val="00C3058E"/>
    <w:rsid w:val="00C3061A"/>
    <w:rsid w:val="00C316AD"/>
    <w:rsid w:val="00C320AA"/>
    <w:rsid w:val="00C332EF"/>
    <w:rsid w:val="00C35286"/>
    <w:rsid w:val="00C35906"/>
    <w:rsid w:val="00C37D70"/>
    <w:rsid w:val="00C40B13"/>
    <w:rsid w:val="00C4252F"/>
    <w:rsid w:val="00C43665"/>
    <w:rsid w:val="00C44F1A"/>
    <w:rsid w:val="00C45028"/>
    <w:rsid w:val="00C45CB1"/>
    <w:rsid w:val="00C46485"/>
    <w:rsid w:val="00C469CF"/>
    <w:rsid w:val="00C479EC"/>
    <w:rsid w:val="00C47C78"/>
    <w:rsid w:val="00C47DFD"/>
    <w:rsid w:val="00C5058E"/>
    <w:rsid w:val="00C505EC"/>
    <w:rsid w:val="00C513B7"/>
    <w:rsid w:val="00C5216B"/>
    <w:rsid w:val="00C52D55"/>
    <w:rsid w:val="00C52EBF"/>
    <w:rsid w:val="00C53D1E"/>
    <w:rsid w:val="00C54C80"/>
    <w:rsid w:val="00C5619B"/>
    <w:rsid w:val="00C563EA"/>
    <w:rsid w:val="00C5674D"/>
    <w:rsid w:val="00C56A22"/>
    <w:rsid w:val="00C574A6"/>
    <w:rsid w:val="00C60B31"/>
    <w:rsid w:val="00C61EE4"/>
    <w:rsid w:val="00C62AFA"/>
    <w:rsid w:val="00C646FA"/>
    <w:rsid w:val="00C651FB"/>
    <w:rsid w:val="00C667D0"/>
    <w:rsid w:val="00C66BBF"/>
    <w:rsid w:val="00C67149"/>
    <w:rsid w:val="00C673D7"/>
    <w:rsid w:val="00C717A5"/>
    <w:rsid w:val="00C71C83"/>
    <w:rsid w:val="00C7391F"/>
    <w:rsid w:val="00C7442A"/>
    <w:rsid w:val="00C74CA3"/>
    <w:rsid w:val="00C75CC3"/>
    <w:rsid w:val="00C761C4"/>
    <w:rsid w:val="00C768EC"/>
    <w:rsid w:val="00C80375"/>
    <w:rsid w:val="00C8056F"/>
    <w:rsid w:val="00C80DFF"/>
    <w:rsid w:val="00C80FB0"/>
    <w:rsid w:val="00C81494"/>
    <w:rsid w:val="00C8186E"/>
    <w:rsid w:val="00C823A7"/>
    <w:rsid w:val="00C82AA8"/>
    <w:rsid w:val="00C82E51"/>
    <w:rsid w:val="00C846B9"/>
    <w:rsid w:val="00C855F4"/>
    <w:rsid w:val="00C863FF"/>
    <w:rsid w:val="00C9102D"/>
    <w:rsid w:val="00C91D51"/>
    <w:rsid w:val="00C9251B"/>
    <w:rsid w:val="00C93044"/>
    <w:rsid w:val="00C93D3E"/>
    <w:rsid w:val="00C93E22"/>
    <w:rsid w:val="00C94C18"/>
    <w:rsid w:val="00C950BB"/>
    <w:rsid w:val="00C951FA"/>
    <w:rsid w:val="00C95EA4"/>
    <w:rsid w:val="00C96090"/>
    <w:rsid w:val="00C976AF"/>
    <w:rsid w:val="00CA01FE"/>
    <w:rsid w:val="00CA02B1"/>
    <w:rsid w:val="00CA1565"/>
    <w:rsid w:val="00CA1C23"/>
    <w:rsid w:val="00CA230A"/>
    <w:rsid w:val="00CA3195"/>
    <w:rsid w:val="00CA3B1B"/>
    <w:rsid w:val="00CA5B10"/>
    <w:rsid w:val="00CA67A2"/>
    <w:rsid w:val="00CB0663"/>
    <w:rsid w:val="00CB1919"/>
    <w:rsid w:val="00CB214F"/>
    <w:rsid w:val="00CB2BA9"/>
    <w:rsid w:val="00CB2C17"/>
    <w:rsid w:val="00CB32D7"/>
    <w:rsid w:val="00CB3438"/>
    <w:rsid w:val="00CB44B5"/>
    <w:rsid w:val="00CB4D44"/>
    <w:rsid w:val="00CB55B9"/>
    <w:rsid w:val="00CB657F"/>
    <w:rsid w:val="00CB74C3"/>
    <w:rsid w:val="00CC0F65"/>
    <w:rsid w:val="00CC1396"/>
    <w:rsid w:val="00CC2252"/>
    <w:rsid w:val="00CC318F"/>
    <w:rsid w:val="00CC381E"/>
    <w:rsid w:val="00CC4EBE"/>
    <w:rsid w:val="00CC5F45"/>
    <w:rsid w:val="00CC7BB8"/>
    <w:rsid w:val="00CD0567"/>
    <w:rsid w:val="00CD061D"/>
    <w:rsid w:val="00CD074D"/>
    <w:rsid w:val="00CD0839"/>
    <w:rsid w:val="00CD27D9"/>
    <w:rsid w:val="00CD32B1"/>
    <w:rsid w:val="00CD362D"/>
    <w:rsid w:val="00CD4A73"/>
    <w:rsid w:val="00CD54BA"/>
    <w:rsid w:val="00CD6EF2"/>
    <w:rsid w:val="00CD72AB"/>
    <w:rsid w:val="00CD73C2"/>
    <w:rsid w:val="00CD74D9"/>
    <w:rsid w:val="00CD7BD9"/>
    <w:rsid w:val="00CD7E41"/>
    <w:rsid w:val="00CE1E8F"/>
    <w:rsid w:val="00CE2F61"/>
    <w:rsid w:val="00CE35FC"/>
    <w:rsid w:val="00CE5020"/>
    <w:rsid w:val="00CE5182"/>
    <w:rsid w:val="00CE53DA"/>
    <w:rsid w:val="00CE58C1"/>
    <w:rsid w:val="00CE6692"/>
    <w:rsid w:val="00CE7154"/>
    <w:rsid w:val="00CE7F61"/>
    <w:rsid w:val="00CF0431"/>
    <w:rsid w:val="00CF14B9"/>
    <w:rsid w:val="00CF31FF"/>
    <w:rsid w:val="00CF376B"/>
    <w:rsid w:val="00CF52E4"/>
    <w:rsid w:val="00CF5B35"/>
    <w:rsid w:val="00CF6857"/>
    <w:rsid w:val="00CF6FC8"/>
    <w:rsid w:val="00D01B0C"/>
    <w:rsid w:val="00D02AED"/>
    <w:rsid w:val="00D03CF0"/>
    <w:rsid w:val="00D04777"/>
    <w:rsid w:val="00D04A4C"/>
    <w:rsid w:val="00D05012"/>
    <w:rsid w:val="00D05268"/>
    <w:rsid w:val="00D064F4"/>
    <w:rsid w:val="00D10038"/>
    <w:rsid w:val="00D13388"/>
    <w:rsid w:val="00D13979"/>
    <w:rsid w:val="00D14370"/>
    <w:rsid w:val="00D144AA"/>
    <w:rsid w:val="00D14B98"/>
    <w:rsid w:val="00D157F0"/>
    <w:rsid w:val="00D17B3C"/>
    <w:rsid w:val="00D20D85"/>
    <w:rsid w:val="00D214AF"/>
    <w:rsid w:val="00D21AB2"/>
    <w:rsid w:val="00D225BC"/>
    <w:rsid w:val="00D23932"/>
    <w:rsid w:val="00D23DBE"/>
    <w:rsid w:val="00D2400E"/>
    <w:rsid w:val="00D24228"/>
    <w:rsid w:val="00D2470A"/>
    <w:rsid w:val="00D2575E"/>
    <w:rsid w:val="00D32020"/>
    <w:rsid w:val="00D33173"/>
    <w:rsid w:val="00D3324B"/>
    <w:rsid w:val="00D33E1A"/>
    <w:rsid w:val="00D3528B"/>
    <w:rsid w:val="00D35B0B"/>
    <w:rsid w:val="00D35B0F"/>
    <w:rsid w:val="00D37992"/>
    <w:rsid w:val="00D406DE"/>
    <w:rsid w:val="00D4099B"/>
    <w:rsid w:val="00D42C1B"/>
    <w:rsid w:val="00D43311"/>
    <w:rsid w:val="00D4475A"/>
    <w:rsid w:val="00D46725"/>
    <w:rsid w:val="00D46B7A"/>
    <w:rsid w:val="00D5128A"/>
    <w:rsid w:val="00D51D4E"/>
    <w:rsid w:val="00D55F13"/>
    <w:rsid w:val="00D56706"/>
    <w:rsid w:val="00D56CE9"/>
    <w:rsid w:val="00D57538"/>
    <w:rsid w:val="00D603F4"/>
    <w:rsid w:val="00D6159F"/>
    <w:rsid w:val="00D63D58"/>
    <w:rsid w:val="00D63E85"/>
    <w:rsid w:val="00D644F7"/>
    <w:rsid w:val="00D6592C"/>
    <w:rsid w:val="00D65ABD"/>
    <w:rsid w:val="00D665E2"/>
    <w:rsid w:val="00D71222"/>
    <w:rsid w:val="00D7213C"/>
    <w:rsid w:val="00D730E9"/>
    <w:rsid w:val="00D7384A"/>
    <w:rsid w:val="00D73A2C"/>
    <w:rsid w:val="00D73EFC"/>
    <w:rsid w:val="00D7435E"/>
    <w:rsid w:val="00D74BB7"/>
    <w:rsid w:val="00D74BFD"/>
    <w:rsid w:val="00D75742"/>
    <w:rsid w:val="00D80145"/>
    <w:rsid w:val="00D806FB"/>
    <w:rsid w:val="00D8076A"/>
    <w:rsid w:val="00D80FE5"/>
    <w:rsid w:val="00D81172"/>
    <w:rsid w:val="00D81188"/>
    <w:rsid w:val="00D826A8"/>
    <w:rsid w:val="00D82CBE"/>
    <w:rsid w:val="00D83139"/>
    <w:rsid w:val="00D83771"/>
    <w:rsid w:val="00D83C2F"/>
    <w:rsid w:val="00D83E7D"/>
    <w:rsid w:val="00D84E44"/>
    <w:rsid w:val="00D85A3E"/>
    <w:rsid w:val="00D87351"/>
    <w:rsid w:val="00D904B9"/>
    <w:rsid w:val="00D924E4"/>
    <w:rsid w:val="00D934BE"/>
    <w:rsid w:val="00D93EF7"/>
    <w:rsid w:val="00D955B7"/>
    <w:rsid w:val="00D95638"/>
    <w:rsid w:val="00D95B00"/>
    <w:rsid w:val="00D96E9B"/>
    <w:rsid w:val="00D97460"/>
    <w:rsid w:val="00D97561"/>
    <w:rsid w:val="00D97D9E"/>
    <w:rsid w:val="00DA09B9"/>
    <w:rsid w:val="00DA4204"/>
    <w:rsid w:val="00DA430E"/>
    <w:rsid w:val="00DA4ACF"/>
    <w:rsid w:val="00DA75A1"/>
    <w:rsid w:val="00DB0648"/>
    <w:rsid w:val="00DB08B5"/>
    <w:rsid w:val="00DB1098"/>
    <w:rsid w:val="00DB25F8"/>
    <w:rsid w:val="00DB3517"/>
    <w:rsid w:val="00DB4210"/>
    <w:rsid w:val="00DB569F"/>
    <w:rsid w:val="00DB6F84"/>
    <w:rsid w:val="00DB7070"/>
    <w:rsid w:val="00DB7325"/>
    <w:rsid w:val="00DB73B1"/>
    <w:rsid w:val="00DB7795"/>
    <w:rsid w:val="00DC0168"/>
    <w:rsid w:val="00DC06AE"/>
    <w:rsid w:val="00DC130F"/>
    <w:rsid w:val="00DC3066"/>
    <w:rsid w:val="00DC3FD8"/>
    <w:rsid w:val="00DC4835"/>
    <w:rsid w:val="00DC69FA"/>
    <w:rsid w:val="00DC7A79"/>
    <w:rsid w:val="00DC7CF1"/>
    <w:rsid w:val="00DD0B18"/>
    <w:rsid w:val="00DD0D04"/>
    <w:rsid w:val="00DD1A00"/>
    <w:rsid w:val="00DD250C"/>
    <w:rsid w:val="00DD2C21"/>
    <w:rsid w:val="00DD2EAA"/>
    <w:rsid w:val="00DD47F7"/>
    <w:rsid w:val="00DD4EE1"/>
    <w:rsid w:val="00DD6B0C"/>
    <w:rsid w:val="00DD7D8B"/>
    <w:rsid w:val="00DE0EEA"/>
    <w:rsid w:val="00DE184B"/>
    <w:rsid w:val="00DE2202"/>
    <w:rsid w:val="00DE28CB"/>
    <w:rsid w:val="00DE2BF3"/>
    <w:rsid w:val="00DE3B19"/>
    <w:rsid w:val="00DE6A86"/>
    <w:rsid w:val="00DE6C75"/>
    <w:rsid w:val="00DE7528"/>
    <w:rsid w:val="00DE7B40"/>
    <w:rsid w:val="00DF014E"/>
    <w:rsid w:val="00DF019D"/>
    <w:rsid w:val="00DF3680"/>
    <w:rsid w:val="00DF38AD"/>
    <w:rsid w:val="00DF3BA8"/>
    <w:rsid w:val="00DF485E"/>
    <w:rsid w:val="00DF4F95"/>
    <w:rsid w:val="00DF55A4"/>
    <w:rsid w:val="00DF5990"/>
    <w:rsid w:val="00DF5ED6"/>
    <w:rsid w:val="00DF687D"/>
    <w:rsid w:val="00DF79EF"/>
    <w:rsid w:val="00DF7B52"/>
    <w:rsid w:val="00E00243"/>
    <w:rsid w:val="00E026B3"/>
    <w:rsid w:val="00E02943"/>
    <w:rsid w:val="00E03D9D"/>
    <w:rsid w:val="00E03DD0"/>
    <w:rsid w:val="00E04EEC"/>
    <w:rsid w:val="00E051E8"/>
    <w:rsid w:val="00E05FE8"/>
    <w:rsid w:val="00E063B4"/>
    <w:rsid w:val="00E07391"/>
    <w:rsid w:val="00E07961"/>
    <w:rsid w:val="00E07E94"/>
    <w:rsid w:val="00E10762"/>
    <w:rsid w:val="00E11FE2"/>
    <w:rsid w:val="00E149FA"/>
    <w:rsid w:val="00E14F49"/>
    <w:rsid w:val="00E1678D"/>
    <w:rsid w:val="00E16B1F"/>
    <w:rsid w:val="00E17B94"/>
    <w:rsid w:val="00E20CDC"/>
    <w:rsid w:val="00E20D59"/>
    <w:rsid w:val="00E21B1D"/>
    <w:rsid w:val="00E2293C"/>
    <w:rsid w:val="00E25AED"/>
    <w:rsid w:val="00E30203"/>
    <w:rsid w:val="00E31D6D"/>
    <w:rsid w:val="00E32670"/>
    <w:rsid w:val="00E32998"/>
    <w:rsid w:val="00E33390"/>
    <w:rsid w:val="00E355A2"/>
    <w:rsid w:val="00E35BC8"/>
    <w:rsid w:val="00E3681C"/>
    <w:rsid w:val="00E36B37"/>
    <w:rsid w:val="00E3785E"/>
    <w:rsid w:val="00E4245D"/>
    <w:rsid w:val="00E42A0A"/>
    <w:rsid w:val="00E439C1"/>
    <w:rsid w:val="00E44549"/>
    <w:rsid w:val="00E4477D"/>
    <w:rsid w:val="00E467E3"/>
    <w:rsid w:val="00E5068C"/>
    <w:rsid w:val="00E508F6"/>
    <w:rsid w:val="00E516FE"/>
    <w:rsid w:val="00E521C6"/>
    <w:rsid w:val="00E52B5C"/>
    <w:rsid w:val="00E54124"/>
    <w:rsid w:val="00E54DC7"/>
    <w:rsid w:val="00E552CF"/>
    <w:rsid w:val="00E55E0C"/>
    <w:rsid w:val="00E56C74"/>
    <w:rsid w:val="00E579DE"/>
    <w:rsid w:val="00E604A9"/>
    <w:rsid w:val="00E6261D"/>
    <w:rsid w:val="00E626C3"/>
    <w:rsid w:val="00E6396D"/>
    <w:rsid w:val="00E640EB"/>
    <w:rsid w:val="00E65A52"/>
    <w:rsid w:val="00E65AAE"/>
    <w:rsid w:val="00E66E55"/>
    <w:rsid w:val="00E671BD"/>
    <w:rsid w:val="00E673A2"/>
    <w:rsid w:val="00E67DC8"/>
    <w:rsid w:val="00E67F76"/>
    <w:rsid w:val="00E700F4"/>
    <w:rsid w:val="00E70C30"/>
    <w:rsid w:val="00E70D55"/>
    <w:rsid w:val="00E71517"/>
    <w:rsid w:val="00E71A1E"/>
    <w:rsid w:val="00E74B36"/>
    <w:rsid w:val="00E75132"/>
    <w:rsid w:val="00E76D81"/>
    <w:rsid w:val="00E76F14"/>
    <w:rsid w:val="00E80665"/>
    <w:rsid w:val="00E8067D"/>
    <w:rsid w:val="00E819B2"/>
    <w:rsid w:val="00E81EDF"/>
    <w:rsid w:val="00E824C6"/>
    <w:rsid w:val="00E82BE4"/>
    <w:rsid w:val="00E82E10"/>
    <w:rsid w:val="00E83280"/>
    <w:rsid w:val="00E839B0"/>
    <w:rsid w:val="00E83EE3"/>
    <w:rsid w:val="00E84551"/>
    <w:rsid w:val="00E86456"/>
    <w:rsid w:val="00E870D9"/>
    <w:rsid w:val="00E87A49"/>
    <w:rsid w:val="00E90324"/>
    <w:rsid w:val="00E9052A"/>
    <w:rsid w:val="00E90B10"/>
    <w:rsid w:val="00E90ED7"/>
    <w:rsid w:val="00E9222C"/>
    <w:rsid w:val="00E92CAB"/>
    <w:rsid w:val="00E93C0A"/>
    <w:rsid w:val="00E95617"/>
    <w:rsid w:val="00E95898"/>
    <w:rsid w:val="00E96275"/>
    <w:rsid w:val="00E964B1"/>
    <w:rsid w:val="00E97331"/>
    <w:rsid w:val="00E974A3"/>
    <w:rsid w:val="00EA0BE1"/>
    <w:rsid w:val="00EA2A42"/>
    <w:rsid w:val="00EA3217"/>
    <w:rsid w:val="00EA351E"/>
    <w:rsid w:val="00EA473E"/>
    <w:rsid w:val="00EA4ABF"/>
    <w:rsid w:val="00EA5C5F"/>
    <w:rsid w:val="00EA7481"/>
    <w:rsid w:val="00EA772D"/>
    <w:rsid w:val="00EA7AF4"/>
    <w:rsid w:val="00EB269B"/>
    <w:rsid w:val="00EB2ABB"/>
    <w:rsid w:val="00EB309F"/>
    <w:rsid w:val="00EB4463"/>
    <w:rsid w:val="00EB46D0"/>
    <w:rsid w:val="00EB4BE4"/>
    <w:rsid w:val="00EB53D7"/>
    <w:rsid w:val="00EB675A"/>
    <w:rsid w:val="00EC0249"/>
    <w:rsid w:val="00EC061B"/>
    <w:rsid w:val="00EC0D56"/>
    <w:rsid w:val="00EC0FF0"/>
    <w:rsid w:val="00EC12B9"/>
    <w:rsid w:val="00EC211E"/>
    <w:rsid w:val="00EC3DBF"/>
    <w:rsid w:val="00EC4F9F"/>
    <w:rsid w:val="00EC4FDC"/>
    <w:rsid w:val="00EC58FB"/>
    <w:rsid w:val="00EC619C"/>
    <w:rsid w:val="00EC67C9"/>
    <w:rsid w:val="00EC6EB2"/>
    <w:rsid w:val="00EC741A"/>
    <w:rsid w:val="00EC75B4"/>
    <w:rsid w:val="00ED0070"/>
    <w:rsid w:val="00ED1B93"/>
    <w:rsid w:val="00ED3F7A"/>
    <w:rsid w:val="00ED4B81"/>
    <w:rsid w:val="00ED4F3F"/>
    <w:rsid w:val="00ED4FF0"/>
    <w:rsid w:val="00ED6112"/>
    <w:rsid w:val="00ED62A6"/>
    <w:rsid w:val="00ED725A"/>
    <w:rsid w:val="00ED75C6"/>
    <w:rsid w:val="00ED7EA3"/>
    <w:rsid w:val="00EE0D87"/>
    <w:rsid w:val="00EE1465"/>
    <w:rsid w:val="00EE1B96"/>
    <w:rsid w:val="00EE24CE"/>
    <w:rsid w:val="00EE3028"/>
    <w:rsid w:val="00EE3080"/>
    <w:rsid w:val="00EE3404"/>
    <w:rsid w:val="00EE3F3F"/>
    <w:rsid w:val="00EE5D90"/>
    <w:rsid w:val="00EE5EAE"/>
    <w:rsid w:val="00EE6406"/>
    <w:rsid w:val="00EE7D56"/>
    <w:rsid w:val="00EF10A0"/>
    <w:rsid w:val="00EF13DB"/>
    <w:rsid w:val="00EF185E"/>
    <w:rsid w:val="00EF21C4"/>
    <w:rsid w:val="00EF2C0F"/>
    <w:rsid w:val="00EF2CC5"/>
    <w:rsid w:val="00EF34D8"/>
    <w:rsid w:val="00EF3CC8"/>
    <w:rsid w:val="00EF483D"/>
    <w:rsid w:val="00EF73AB"/>
    <w:rsid w:val="00EF7707"/>
    <w:rsid w:val="00EF79A0"/>
    <w:rsid w:val="00F00E54"/>
    <w:rsid w:val="00F01701"/>
    <w:rsid w:val="00F0256F"/>
    <w:rsid w:val="00F05855"/>
    <w:rsid w:val="00F06E32"/>
    <w:rsid w:val="00F077AD"/>
    <w:rsid w:val="00F1022B"/>
    <w:rsid w:val="00F12CD1"/>
    <w:rsid w:val="00F12F24"/>
    <w:rsid w:val="00F13A40"/>
    <w:rsid w:val="00F13C08"/>
    <w:rsid w:val="00F150D3"/>
    <w:rsid w:val="00F17585"/>
    <w:rsid w:val="00F176CA"/>
    <w:rsid w:val="00F21DFD"/>
    <w:rsid w:val="00F229A9"/>
    <w:rsid w:val="00F22AFD"/>
    <w:rsid w:val="00F2378B"/>
    <w:rsid w:val="00F2400E"/>
    <w:rsid w:val="00F242A8"/>
    <w:rsid w:val="00F2439C"/>
    <w:rsid w:val="00F27510"/>
    <w:rsid w:val="00F30D2B"/>
    <w:rsid w:val="00F3233D"/>
    <w:rsid w:val="00F337ED"/>
    <w:rsid w:val="00F3402D"/>
    <w:rsid w:val="00F34172"/>
    <w:rsid w:val="00F3422D"/>
    <w:rsid w:val="00F344E7"/>
    <w:rsid w:val="00F34EB4"/>
    <w:rsid w:val="00F35C79"/>
    <w:rsid w:val="00F37B31"/>
    <w:rsid w:val="00F40AEC"/>
    <w:rsid w:val="00F4108D"/>
    <w:rsid w:val="00F41D84"/>
    <w:rsid w:val="00F43074"/>
    <w:rsid w:val="00F4407F"/>
    <w:rsid w:val="00F446C0"/>
    <w:rsid w:val="00F47F4D"/>
    <w:rsid w:val="00F50837"/>
    <w:rsid w:val="00F517FC"/>
    <w:rsid w:val="00F51C69"/>
    <w:rsid w:val="00F51E0E"/>
    <w:rsid w:val="00F51FFD"/>
    <w:rsid w:val="00F51FFE"/>
    <w:rsid w:val="00F53FAC"/>
    <w:rsid w:val="00F5518A"/>
    <w:rsid w:val="00F55309"/>
    <w:rsid w:val="00F55D6C"/>
    <w:rsid w:val="00F57134"/>
    <w:rsid w:val="00F57498"/>
    <w:rsid w:val="00F57E48"/>
    <w:rsid w:val="00F601A2"/>
    <w:rsid w:val="00F60725"/>
    <w:rsid w:val="00F60A8C"/>
    <w:rsid w:val="00F63B52"/>
    <w:rsid w:val="00F63F63"/>
    <w:rsid w:val="00F64728"/>
    <w:rsid w:val="00F65E78"/>
    <w:rsid w:val="00F67EDF"/>
    <w:rsid w:val="00F67F4D"/>
    <w:rsid w:val="00F706A7"/>
    <w:rsid w:val="00F71C5F"/>
    <w:rsid w:val="00F729FA"/>
    <w:rsid w:val="00F7346D"/>
    <w:rsid w:val="00F74CFD"/>
    <w:rsid w:val="00F7607B"/>
    <w:rsid w:val="00F76EC0"/>
    <w:rsid w:val="00F77C3A"/>
    <w:rsid w:val="00F81228"/>
    <w:rsid w:val="00F82357"/>
    <w:rsid w:val="00F82CD5"/>
    <w:rsid w:val="00F82D43"/>
    <w:rsid w:val="00F842E6"/>
    <w:rsid w:val="00F850B1"/>
    <w:rsid w:val="00F853B0"/>
    <w:rsid w:val="00F858ED"/>
    <w:rsid w:val="00F85FC2"/>
    <w:rsid w:val="00F90182"/>
    <w:rsid w:val="00F906EE"/>
    <w:rsid w:val="00F91EAD"/>
    <w:rsid w:val="00F93F0F"/>
    <w:rsid w:val="00F94611"/>
    <w:rsid w:val="00F94B4C"/>
    <w:rsid w:val="00F960EE"/>
    <w:rsid w:val="00F96225"/>
    <w:rsid w:val="00F975F0"/>
    <w:rsid w:val="00FA1F7C"/>
    <w:rsid w:val="00FA32EC"/>
    <w:rsid w:val="00FA3334"/>
    <w:rsid w:val="00FA3AAF"/>
    <w:rsid w:val="00FA50E6"/>
    <w:rsid w:val="00FA5823"/>
    <w:rsid w:val="00FA6CE4"/>
    <w:rsid w:val="00FA6EAF"/>
    <w:rsid w:val="00FA7E9F"/>
    <w:rsid w:val="00FB0A84"/>
    <w:rsid w:val="00FB120D"/>
    <w:rsid w:val="00FB12B6"/>
    <w:rsid w:val="00FB18AB"/>
    <w:rsid w:val="00FB2BFE"/>
    <w:rsid w:val="00FB2FD4"/>
    <w:rsid w:val="00FB31D5"/>
    <w:rsid w:val="00FB3EDE"/>
    <w:rsid w:val="00FB409C"/>
    <w:rsid w:val="00FB44DC"/>
    <w:rsid w:val="00FB4973"/>
    <w:rsid w:val="00FB5963"/>
    <w:rsid w:val="00FB6BC0"/>
    <w:rsid w:val="00FB7308"/>
    <w:rsid w:val="00FB7A9D"/>
    <w:rsid w:val="00FC08B8"/>
    <w:rsid w:val="00FC107F"/>
    <w:rsid w:val="00FC108F"/>
    <w:rsid w:val="00FC2216"/>
    <w:rsid w:val="00FC2F12"/>
    <w:rsid w:val="00FC34E8"/>
    <w:rsid w:val="00FC44E6"/>
    <w:rsid w:val="00FC4D7B"/>
    <w:rsid w:val="00FC5371"/>
    <w:rsid w:val="00FC752F"/>
    <w:rsid w:val="00FC7AEF"/>
    <w:rsid w:val="00FD07D5"/>
    <w:rsid w:val="00FD29B1"/>
    <w:rsid w:val="00FD30A8"/>
    <w:rsid w:val="00FD3EE4"/>
    <w:rsid w:val="00FD4954"/>
    <w:rsid w:val="00FD5E27"/>
    <w:rsid w:val="00FD6157"/>
    <w:rsid w:val="00FD6257"/>
    <w:rsid w:val="00FE1B75"/>
    <w:rsid w:val="00FE252B"/>
    <w:rsid w:val="00FE3068"/>
    <w:rsid w:val="00FE3288"/>
    <w:rsid w:val="00FE3BBB"/>
    <w:rsid w:val="00FE3E2E"/>
    <w:rsid w:val="00FE490A"/>
    <w:rsid w:val="00FE5216"/>
    <w:rsid w:val="00FE6028"/>
    <w:rsid w:val="00FE6610"/>
    <w:rsid w:val="00FE759A"/>
    <w:rsid w:val="00FE78A2"/>
    <w:rsid w:val="00FF08A9"/>
    <w:rsid w:val="00FF0EF4"/>
    <w:rsid w:val="00FF23B3"/>
    <w:rsid w:val="00FF3B02"/>
    <w:rsid w:val="00FF436A"/>
    <w:rsid w:val="00FF4673"/>
    <w:rsid w:val="00FF5538"/>
    <w:rsid w:val="00FF6353"/>
    <w:rsid w:val="00FF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0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40"/>
    <w:pPr>
      <w:tabs>
        <w:tab w:val="left" w:pos="720"/>
      </w:tabs>
      <w:spacing w:line="480" w:lineRule="atLeast"/>
    </w:pPr>
    <w:rPr>
      <w:rFonts w:ascii="Times New Roman" w:hAnsi="Times New Roman"/>
      <w:szCs w:val="24"/>
    </w:rPr>
  </w:style>
  <w:style w:type="paragraph" w:styleId="Heading1">
    <w:name w:val="heading 1"/>
    <w:basedOn w:val="Normal"/>
    <w:next w:val="Normal"/>
    <w:link w:val="Heading1Char"/>
    <w:uiPriority w:val="9"/>
    <w:qFormat/>
    <w:rsid w:val="000D4B4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D4B4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D4B40"/>
    <w:pPr>
      <w:keepNext/>
      <w:spacing w:before="240" w:after="60"/>
      <w:outlineLvl w:val="2"/>
    </w:pPr>
    <w:rPr>
      <w:rFonts w:asciiTheme="majorHAnsi" w:eastAsiaTheme="majorEastAsia" w:hAnsiTheme="majorHAnsi"/>
      <w:b/>
      <w:bCs/>
      <w:szCs w:val="26"/>
    </w:rPr>
  </w:style>
  <w:style w:type="paragraph" w:styleId="Heading6">
    <w:name w:val="heading 6"/>
    <w:basedOn w:val="Normal"/>
    <w:next w:val="Normal"/>
    <w:link w:val="Heading6Char"/>
    <w:uiPriority w:val="9"/>
    <w:semiHidden/>
    <w:unhideWhenUsed/>
    <w:qFormat/>
    <w:rsid w:val="000D4B40"/>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0D4B40"/>
    <w:pPr>
      <w:spacing w:before="240" w:after="60"/>
      <w:outlineLvl w:val="6"/>
    </w:pPr>
    <w:rPr>
      <w:sz w:val="24"/>
    </w:rPr>
  </w:style>
  <w:style w:type="paragraph" w:styleId="Heading8">
    <w:name w:val="heading 8"/>
    <w:basedOn w:val="Normal"/>
    <w:next w:val="Normal"/>
    <w:link w:val="Heading8Char"/>
    <w:uiPriority w:val="9"/>
    <w:semiHidden/>
    <w:unhideWhenUsed/>
    <w:qFormat/>
    <w:rsid w:val="000D4B40"/>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0D4B40"/>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B4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D4B4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D4B40"/>
    <w:rPr>
      <w:rFonts w:asciiTheme="majorHAnsi" w:eastAsiaTheme="majorEastAsia" w:hAnsiTheme="majorHAnsi"/>
      <w:b/>
      <w:bCs/>
    </w:rPr>
  </w:style>
  <w:style w:type="character" w:customStyle="1" w:styleId="Heading6Char">
    <w:name w:val="Heading 6 Char"/>
    <w:basedOn w:val="DefaultParagraphFont"/>
    <w:link w:val="Heading6"/>
    <w:uiPriority w:val="9"/>
    <w:semiHidden/>
    <w:rsid w:val="000D4B40"/>
    <w:rPr>
      <w:b/>
      <w:bCs/>
    </w:rPr>
  </w:style>
  <w:style w:type="character" w:customStyle="1" w:styleId="Heading7Char">
    <w:name w:val="Heading 7 Char"/>
    <w:basedOn w:val="DefaultParagraphFont"/>
    <w:link w:val="Heading7"/>
    <w:uiPriority w:val="9"/>
    <w:semiHidden/>
    <w:rsid w:val="000D4B40"/>
    <w:rPr>
      <w:sz w:val="24"/>
      <w:szCs w:val="24"/>
    </w:rPr>
  </w:style>
  <w:style w:type="character" w:customStyle="1" w:styleId="Heading8Char">
    <w:name w:val="Heading 8 Char"/>
    <w:basedOn w:val="DefaultParagraphFont"/>
    <w:link w:val="Heading8"/>
    <w:uiPriority w:val="9"/>
    <w:semiHidden/>
    <w:rsid w:val="000D4B40"/>
    <w:rPr>
      <w:i/>
      <w:iCs/>
      <w:sz w:val="24"/>
      <w:szCs w:val="24"/>
    </w:rPr>
  </w:style>
  <w:style w:type="character" w:customStyle="1" w:styleId="Heading9Char">
    <w:name w:val="Heading 9 Char"/>
    <w:basedOn w:val="DefaultParagraphFont"/>
    <w:link w:val="Heading9"/>
    <w:uiPriority w:val="9"/>
    <w:semiHidden/>
    <w:rsid w:val="000D4B40"/>
    <w:rPr>
      <w:rFonts w:asciiTheme="majorHAnsi" w:eastAsiaTheme="majorEastAsia" w:hAnsiTheme="majorHAnsi"/>
    </w:rPr>
  </w:style>
  <w:style w:type="paragraph" w:styleId="Title">
    <w:name w:val="Title"/>
    <w:basedOn w:val="Normal"/>
    <w:next w:val="Normal"/>
    <w:link w:val="TitleChar"/>
    <w:uiPriority w:val="10"/>
    <w:qFormat/>
    <w:rsid w:val="000D4B4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4B4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D4B40"/>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4B4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D4B40"/>
    <w:pPr>
      <w:outlineLvl w:val="9"/>
    </w:pPr>
  </w:style>
  <w:style w:type="paragraph" w:styleId="FootnoteText">
    <w:name w:val="footnote text"/>
    <w:basedOn w:val="Normal"/>
    <w:link w:val="FootnoteTextChar"/>
    <w:unhideWhenUsed/>
    <w:rsid w:val="003406E7"/>
    <w:rPr>
      <w:szCs w:val="20"/>
    </w:rPr>
  </w:style>
  <w:style w:type="character" w:customStyle="1" w:styleId="FootnoteTextChar">
    <w:name w:val="Footnote Text Char"/>
    <w:basedOn w:val="DefaultParagraphFont"/>
    <w:link w:val="FootnoteText"/>
    <w:rsid w:val="003406E7"/>
    <w:rPr>
      <w:rFonts w:ascii="Times New Roman" w:hAnsi="Times New Roman"/>
      <w:szCs w:val="20"/>
    </w:rPr>
  </w:style>
  <w:style w:type="character" w:styleId="FootnoteReference">
    <w:name w:val="footnote reference"/>
    <w:basedOn w:val="DefaultParagraphFont"/>
    <w:unhideWhenUsed/>
    <w:qFormat/>
    <w:rsid w:val="003406E7"/>
    <w:rPr>
      <w:vertAlign w:val="superscript"/>
    </w:rPr>
  </w:style>
  <w:style w:type="paragraph" w:styleId="ListParagraph">
    <w:name w:val="List Paragraph"/>
    <w:basedOn w:val="Normal"/>
    <w:uiPriority w:val="34"/>
    <w:qFormat/>
    <w:rsid w:val="003406E7"/>
    <w:pPr>
      <w:ind w:left="720"/>
      <w:contextualSpacing/>
    </w:pPr>
    <w:rPr>
      <w:rFonts w:eastAsia="Times New Roman"/>
    </w:rPr>
  </w:style>
  <w:style w:type="paragraph" w:styleId="Footer">
    <w:name w:val="footer"/>
    <w:basedOn w:val="Normal"/>
    <w:link w:val="FooterChar"/>
    <w:uiPriority w:val="99"/>
    <w:rsid w:val="003406E7"/>
    <w:pPr>
      <w:tabs>
        <w:tab w:val="clear" w:pos="720"/>
        <w:tab w:val="center" w:pos="4320"/>
        <w:tab w:val="right" w:pos="8640"/>
      </w:tabs>
      <w:overflowPunct w:val="0"/>
      <w:autoSpaceDE w:val="0"/>
      <w:autoSpaceDN w:val="0"/>
      <w:adjustRightInd w:val="0"/>
      <w:spacing w:line="240" w:lineRule="auto"/>
      <w:textAlignment w:val="baseline"/>
    </w:pPr>
    <w:rPr>
      <w:rFonts w:eastAsia="Times New Roman"/>
      <w:szCs w:val="20"/>
    </w:rPr>
  </w:style>
  <w:style w:type="character" w:customStyle="1" w:styleId="FooterChar">
    <w:name w:val="Footer Char"/>
    <w:basedOn w:val="DefaultParagraphFont"/>
    <w:link w:val="Footer"/>
    <w:uiPriority w:val="99"/>
    <w:rsid w:val="003406E7"/>
    <w:rPr>
      <w:rFonts w:ascii="Times New Roman" w:eastAsia="Times New Roman" w:hAnsi="Times New Roman"/>
      <w:szCs w:val="20"/>
    </w:rPr>
  </w:style>
  <w:style w:type="character" w:styleId="PageNumber">
    <w:name w:val="page number"/>
    <w:basedOn w:val="DefaultParagraphFont"/>
    <w:rsid w:val="003406E7"/>
  </w:style>
  <w:style w:type="paragraph" w:styleId="Header">
    <w:name w:val="header"/>
    <w:basedOn w:val="Normal"/>
    <w:link w:val="HeaderChar"/>
    <w:uiPriority w:val="99"/>
    <w:unhideWhenUsed/>
    <w:rsid w:val="003406E7"/>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3406E7"/>
    <w:rPr>
      <w:rFonts w:ascii="Times New Roman" w:hAnsi="Times New Roman"/>
      <w:szCs w:val="24"/>
    </w:rPr>
  </w:style>
  <w:style w:type="paragraph" w:styleId="EndnoteText">
    <w:name w:val="endnote text"/>
    <w:basedOn w:val="Normal"/>
    <w:link w:val="EndnoteTextChar"/>
    <w:semiHidden/>
    <w:unhideWhenUsed/>
    <w:rsid w:val="00B51EBD"/>
    <w:pPr>
      <w:tabs>
        <w:tab w:val="clear" w:pos="720"/>
      </w:tabs>
      <w:spacing w:line="240" w:lineRule="auto"/>
    </w:pPr>
    <w:rPr>
      <w:rFonts w:eastAsia="Times New Roman"/>
      <w:sz w:val="20"/>
      <w:szCs w:val="20"/>
    </w:rPr>
  </w:style>
  <w:style w:type="character" w:customStyle="1" w:styleId="EndnoteTextChar">
    <w:name w:val="Endnote Text Char"/>
    <w:basedOn w:val="DefaultParagraphFont"/>
    <w:link w:val="EndnoteText"/>
    <w:semiHidden/>
    <w:rsid w:val="00B51EBD"/>
    <w:rPr>
      <w:rFonts w:ascii="Times New Roman" w:eastAsia="Times New Roman" w:hAnsi="Times New Roman"/>
      <w:sz w:val="20"/>
      <w:szCs w:val="20"/>
    </w:rPr>
  </w:style>
  <w:style w:type="character" w:styleId="EndnoteReference">
    <w:name w:val="endnote reference"/>
    <w:basedOn w:val="DefaultParagraphFont"/>
    <w:semiHidden/>
    <w:unhideWhenUsed/>
    <w:rsid w:val="00B51EBD"/>
    <w:rPr>
      <w:vertAlign w:val="superscript"/>
    </w:rPr>
  </w:style>
  <w:style w:type="paragraph" w:styleId="Revision">
    <w:name w:val="Revision"/>
    <w:hidden/>
    <w:uiPriority w:val="99"/>
    <w:semiHidden/>
    <w:rsid w:val="0081275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159184">
      <w:bodyDiv w:val="1"/>
      <w:marLeft w:val="0"/>
      <w:marRight w:val="0"/>
      <w:marTop w:val="0"/>
      <w:marBottom w:val="0"/>
      <w:divBdr>
        <w:top w:val="none" w:sz="0" w:space="0" w:color="auto"/>
        <w:left w:val="none" w:sz="0" w:space="0" w:color="auto"/>
        <w:bottom w:val="none" w:sz="0" w:space="0" w:color="auto"/>
        <w:right w:val="none" w:sz="0" w:space="0" w:color="auto"/>
      </w:divBdr>
    </w:div>
    <w:div w:id="2043358926">
      <w:bodyDiv w:val="1"/>
      <w:marLeft w:val="0"/>
      <w:marRight w:val="0"/>
      <w:marTop w:val="0"/>
      <w:marBottom w:val="0"/>
      <w:divBdr>
        <w:top w:val="none" w:sz="0" w:space="0" w:color="auto"/>
        <w:left w:val="none" w:sz="0" w:space="0" w:color="auto"/>
        <w:bottom w:val="none" w:sz="0" w:space="0" w:color="auto"/>
        <w:right w:val="none" w:sz="0" w:space="0" w:color="auto"/>
      </w:divBdr>
    </w:div>
    <w:div w:id="2096630950">
      <w:bodyDiv w:val="1"/>
      <w:marLeft w:val="0"/>
      <w:marRight w:val="0"/>
      <w:marTop w:val="0"/>
      <w:marBottom w:val="0"/>
      <w:divBdr>
        <w:top w:val="none" w:sz="0" w:space="0" w:color="auto"/>
        <w:left w:val="none" w:sz="0" w:space="0" w:color="auto"/>
        <w:bottom w:val="none" w:sz="0" w:space="0" w:color="auto"/>
        <w:right w:val="none" w:sz="0" w:space="0" w:color="auto"/>
      </w:divBdr>
      <w:divsChild>
        <w:div w:id="2000159771">
          <w:marLeft w:val="0"/>
          <w:marRight w:val="0"/>
          <w:marTop w:val="0"/>
          <w:marBottom w:val="0"/>
          <w:divBdr>
            <w:top w:val="none" w:sz="0" w:space="0" w:color="auto"/>
            <w:left w:val="none" w:sz="0" w:space="0" w:color="auto"/>
            <w:bottom w:val="none" w:sz="0" w:space="0" w:color="auto"/>
            <w:right w:val="none" w:sz="0" w:space="0" w:color="auto"/>
          </w:divBdr>
          <w:divsChild>
            <w:div w:id="1342004647">
              <w:marLeft w:val="0"/>
              <w:marRight w:val="0"/>
              <w:marTop w:val="0"/>
              <w:marBottom w:val="0"/>
              <w:divBdr>
                <w:top w:val="none" w:sz="0" w:space="0" w:color="auto"/>
                <w:left w:val="none" w:sz="0" w:space="0" w:color="auto"/>
                <w:bottom w:val="none" w:sz="0" w:space="0" w:color="auto"/>
                <w:right w:val="none" w:sz="0" w:space="0" w:color="auto"/>
              </w:divBdr>
            </w:div>
          </w:divsChild>
        </w:div>
        <w:div w:id="1291321591">
          <w:marLeft w:val="0"/>
          <w:marRight w:val="0"/>
          <w:marTop w:val="0"/>
          <w:marBottom w:val="0"/>
          <w:divBdr>
            <w:top w:val="none" w:sz="0" w:space="0" w:color="auto"/>
            <w:left w:val="none" w:sz="0" w:space="0" w:color="auto"/>
            <w:bottom w:val="none" w:sz="0" w:space="0" w:color="auto"/>
            <w:right w:val="none" w:sz="0" w:space="0" w:color="auto"/>
          </w:divBdr>
          <w:divsChild>
            <w:div w:id="772282595">
              <w:marLeft w:val="0"/>
              <w:marRight w:val="0"/>
              <w:marTop w:val="0"/>
              <w:marBottom w:val="0"/>
              <w:divBdr>
                <w:top w:val="none" w:sz="0" w:space="0" w:color="auto"/>
                <w:left w:val="none" w:sz="0" w:space="0" w:color="auto"/>
                <w:bottom w:val="none" w:sz="0" w:space="0" w:color="auto"/>
                <w:right w:val="none" w:sz="0" w:space="0" w:color="auto"/>
              </w:divBdr>
              <w:divsChild>
                <w:div w:id="2811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9959-BF1C-4FDC-9EDE-86CD60AB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17550</Words>
  <Characters>100036</Characters>
  <Application>Microsoft Office Word</Application>
  <DocSecurity>0</DocSecurity>
  <Lines>833</Lines>
  <Paragraphs>234</Paragraphs>
  <ScaleCrop>false</ScaleCrop>
  <Company/>
  <LinksUpToDate>false</LinksUpToDate>
  <CharactersWithSpaces>117352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2023-08-10T22:09:00Z</dcterms:created>
  <dcterms:modified xsi:type="dcterms:W3CDTF">2023-08-10T22:09:00Z</dcterms:modified>
</cp:coreProperties>
</file>