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5BAF" w14:textId="55407A58" w:rsidR="00E87A49" w:rsidRPr="004B0B9B" w:rsidRDefault="00F5385E" w:rsidP="003406E7">
      <w:pPr>
        <w:spacing w:line="240" w:lineRule="auto"/>
        <w:rPr>
          <w:rFonts w:ascii="Century Schoolbook" w:hAnsi="Century Schoolbook"/>
          <w:sz w:val="20"/>
          <w:szCs w:val="20"/>
        </w:rPr>
      </w:pPr>
      <w:r>
        <w:rPr>
          <w:rFonts w:ascii="Century Schoolbook" w:hAnsi="Century Schoolbook"/>
          <w:sz w:val="20"/>
          <w:szCs w:val="20"/>
        </w:rPr>
        <w:t>Filed 1/11/23</w:t>
      </w:r>
      <w:r>
        <w:rPr>
          <w:rFonts w:ascii="Century Schoolbook" w:hAnsi="Century Schoolbook"/>
          <w:sz w:val="20"/>
          <w:szCs w:val="20"/>
        </w:rPr>
        <w:t xml:space="preserve">  </w:t>
      </w:r>
      <w:r w:rsidR="007E4C2A">
        <w:rPr>
          <w:rFonts w:ascii="Century Schoolbook" w:hAnsi="Century Schoolbook"/>
          <w:sz w:val="20"/>
          <w:szCs w:val="20"/>
        </w:rPr>
        <w:t>Modified and Certified for Pub. 2/9/23 (order attached)</w:t>
      </w:r>
    </w:p>
    <w:p w14:paraId="0A6A1C2A" w14:textId="25A26CAB" w:rsidR="003406E7" w:rsidRDefault="00F5385E" w:rsidP="003406E7">
      <w:pPr>
        <w:spacing w:line="240" w:lineRule="auto"/>
        <w:rPr>
          <w:rFonts w:ascii="Century Schoolbook" w:hAnsi="Century Schoolbook"/>
          <w:b/>
        </w:rPr>
      </w:pPr>
    </w:p>
    <w:p w14:paraId="632FA8C5" w14:textId="366A86CD" w:rsidR="007E4C2A" w:rsidRDefault="007E4C2A" w:rsidP="003406E7">
      <w:pPr>
        <w:spacing w:line="240" w:lineRule="auto"/>
        <w:rPr>
          <w:rFonts w:ascii="Century Schoolbook" w:hAnsi="Century Schoolbook"/>
          <w:b/>
        </w:rPr>
      </w:pPr>
    </w:p>
    <w:p w14:paraId="2FC23C44" w14:textId="498ED5B8" w:rsidR="007E4C2A" w:rsidRDefault="007E4C2A" w:rsidP="003406E7">
      <w:pPr>
        <w:spacing w:line="240" w:lineRule="auto"/>
        <w:rPr>
          <w:rFonts w:ascii="Century Schoolbook" w:hAnsi="Century Schoolbook"/>
          <w:b/>
        </w:rPr>
      </w:pPr>
    </w:p>
    <w:p w14:paraId="07A9C598" w14:textId="170E1237" w:rsidR="007E4C2A" w:rsidRDefault="007E4C2A" w:rsidP="003406E7">
      <w:pPr>
        <w:spacing w:line="240" w:lineRule="auto"/>
        <w:rPr>
          <w:rFonts w:ascii="Century Schoolbook" w:hAnsi="Century Schoolbook"/>
          <w:b/>
        </w:rPr>
      </w:pPr>
    </w:p>
    <w:p w14:paraId="11DD9216" w14:textId="77777777" w:rsidR="007E4C2A" w:rsidRPr="004B0B9B" w:rsidRDefault="007E4C2A" w:rsidP="003406E7">
      <w:pPr>
        <w:spacing w:line="240" w:lineRule="auto"/>
        <w:rPr>
          <w:rFonts w:ascii="Century Schoolbook" w:hAnsi="Century Schoolbook"/>
        </w:rPr>
      </w:pPr>
    </w:p>
    <w:p w14:paraId="23C734ED" w14:textId="77777777" w:rsidR="003406E7" w:rsidRPr="004B0B9B" w:rsidRDefault="00F5385E" w:rsidP="003406E7">
      <w:pPr>
        <w:spacing w:line="240" w:lineRule="auto"/>
        <w:jc w:val="center"/>
        <w:rPr>
          <w:rFonts w:ascii="Century Schoolbook" w:hAnsi="Century Schoolbook"/>
        </w:rPr>
      </w:pPr>
      <w:r w:rsidRPr="004B0B9B">
        <w:rPr>
          <w:rFonts w:ascii="Century Schoolbook" w:hAnsi="Century Schoolbook"/>
        </w:rPr>
        <w:t>IN THE COURT OF APPEAL OF THE STATE OF CALIFORNIA</w:t>
      </w:r>
    </w:p>
    <w:p w14:paraId="2C462E62" w14:textId="77777777" w:rsidR="003406E7" w:rsidRPr="004B0B9B" w:rsidRDefault="00F5385E" w:rsidP="003406E7">
      <w:pPr>
        <w:spacing w:line="240" w:lineRule="auto"/>
        <w:jc w:val="center"/>
        <w:rPr>
          <w:rFonts w:ascii="Century Schoolbook" w:hAnsi="Century Schoolbook"/>
        </w:rPr>
      </w:pPr>
    </w:p>
    <w:p w14:paraId="1B6E279E" w14:textId="77777777" w:rsidR="003406E7" w:rsidRPr="004B0B9B" w:rsidRDefault="00F5385E" w:rsidP="003406E7">
      <w:pPr>
        <w:spacing w:line="240" w:lineRule="auto"/>
        <w:jc w:val="center"/>
        <w:rPr>
          <w:rFonts w:ascii="Century Schoolbook" w:hAnsi="Century Schoolbook"/>
        </w:rPr>
      </w:pPr>
      <w:r w:rsidRPr="004B0B9B">
        <w:rPr>
          <w:rFonts w:ascii="Century Schoolbook" w:hAnsi="Century Schoolbook"/>
        </w:rPr>
        <w:t>SIXTH APPELLATE DISTRICT</w:t>
      </w:r>
    </w:p>
    <w:p w14:paraId="6BF28CD9" w14:textId="77777777" w:rsidR="003406E7" w:rsidRPr="004B0B9B" w:rsidRDefault="00F5385E" w:rsidP="003406E7">
      <w:pPr>
        <w:spacing w:line="240" w:lineRule="auto"/>
        <w:jc w:val="center"/>
        <w:rPr>
          <w:rFonts w:ascii="Century Schoolbook" w:hAnsi="Century Schoolbook"/>
        </w:rPr>
      </w:pPr>
    </w:p>
    <w:p w14:paraId="5312405D" w14:textId="77777777" w:rsidR="003406E7" w:rsidRPr="004B0B9B" w:rsidRDefault="00F5385E" w:rsidP="003406E7">
      <w:pPr>
        <w:spacing w:line="240" w:lineRule="auto"/>
        <w:jc w:val="center"/>
        <w:rPr>
          <w:rFonts w:ascii="Century Schoolbook" w:hAnsi="Century Schoolbook"/>
        </w:rPr>
      </w:pPr>
    </w:p>
    <w:tbl>
      <w:tblPr>
        <w:tblW w:w="0" w:type="auto"/>
        <w:tblLayout w:type="fixed"/>
        <w:tblLook w:val="0000" w:firstRow="0" w:lastRow="0" w:firstColumn="0" w:lastColumn="0" w:noHBand="0" w:noVBand="0"/>
      </w:tblPr>
      <w:tblGrid>
        <w:gridCol w:w="4680"/>
        <w:gridCol w:w="4680"/>
      </w:tblGrid>
      <w:tr w:rsidR="005962FA" w14:paraId="2A6B9F7B" w14:textId="77777777" w:rsidTr="004B0B9B">
        <w:tc>
          <w:tcPr>
            <w:tcW w:w="4680" w:type="dxa"/>
            <w:tcBorders>
              <w:right w:val="single" w:sz="4" w:space="0" w:color="auto"/>
            </w:tcBorders>
            <w:shd w:val="clear" w:color="auto" w:fill="auto"/>
          </w:tcPr>
          <w:p w14:paraId="7E3C2066" w14:textId="77777777" w:rsidR="000C6168"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4B0B9B">
              <w:rPr>
                <w:rFonts w:ascii="Century Schoolbook" w:hAnsi="Century Schoolbook"/>
                <w:szCs w:val="26"/>
              </w:rPr>
              <w:t>LYNDA VALERO,</w:t>
            </w:r>
          </w:p>
          <w:p w14:paraId="63B3E97B" w14:textId="77777777" w:rsidR="000C6168"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p w14:paraId="0810FA6A" w14:textId="77777777" w:rsidR="000C6168"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4B0B9B">
              <w:rPr>
                <w:rFonts w:ascii="Century Schoolbook" w:hAnsi="Century Schoolbook"/>
                <w:szCs w:val="26"/>
              </w:rPr>
              <w:tab/>
              <w:t>Plaintiff and Appellant,</w:t>
            </w:r>
          </w:p>
          <w:p w14:paraId="0E63691C" w14:textId="77777777" w:rsidR="000C6168"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p w14:paraId="16C41E48" w14:textId="77777777" w:rsidR="000C6168"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4B0B9B">
              <w:rPr>
                <w:rFonts w:ascii="Century Schoolbook" w:hAnsi="Century Schoolbook"/>
                <w:szCs w:val="26"/>
              </w:rPr>
              <w:tab/>
              <w:t>v.</w:t>
            </w:r>
          </w:p>
          <w:p w14:paraId="7CCA7217" w14:textId="77777777" w:rsidR="000C6168"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p w14:paraId="7D87D68F" w14:textId="77777777" w:rsidR="000C6168"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4B0B9B">
              <w:rPr>
                <w:rFonts w:ascii="Century Schoolbook" w:hAnsi="Century Schoolbook"/>
                <w:szCs w:val="26"/>
              </w:rPr>
              <w:t>SPREAD YOUR WINGS, LLC et al.,</w:t>
            </w:r>
          </w:p>
          <w:p w14:paraId="5F3F360A" w14:textId="77777777" w:rsidR="000C6168"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p w14:paraId="170914D9" w14:textId="77777777" w:rsidR="000C6168"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4B0B9B">
              <w:rPr>
                <w:rFonts w:ascii="Century Schoolbook" w:hAnsi="Century Schoolbook"/>
                <w:szCs w:val="26"/>
              </w:rPr>
              <w:tab/>
            </w:r>
            <w:r w:rsidRPr="004B0B9B">
              <w:rPr>
                <w:rFonts w:ascii="Century Schoolbook" w:hAnsi="Century Schoolbook"/>
                <w:szCs w:val="26"/>
              </w:rPr>
              <w:t xml:space="preserve">Defendants and Respondents. </w:t>
            </w:r>
          </w:p>
          <w:p w14:paraId="52717BEF" w14:textId="77777777" w:rsidR="003406E7" w:rsidRPr="004B0B9B" w:rsidRDefault="00F5385E" w:rsidP="003406E7">
            <w:pPr>
              <w:spacing w:line="240" w:lineRule="auto"/>
              <w:rPr>
                <w:rFonts w:ascii="Century Schoolbook" w:hAnsi="Century Schoolbook"/>
                <w:szCs w:val="26"/>
              </w:rPr>
            </w:pPr>
          </w:p>
        </w:tc>
        <w:tc>
          <w:tcPr>
            <w:tcW w:w="4680" w:type="dxa"/>
            <w:tcBorders>
              <w:left w:val="single" w:sz="4" w:space="0" w:color="auto"/>
            </w:tcBorders>
            <w:shd w:val="clear" w:color="auto" w:fill="auto"/>
          </w:tcPr>
          <w:p w14:paraId="66AC5504" w14:textId="77777777" w:rsidR="000C6168" w:rsidRPr="004B0B9B" w:rsidRDefault="00F5385E" w:rsidP="000C6168">
            <w:pPr>
              <w:spacing w:line="240" w:lineRule="auto"/>
              <w:rPr>
                <w:rFonts w:ascii="Century Schoolbook" w:hAnsi="Century Schoolbook"/>
                <w:szCs w:val="26"/>
              </w:rPr>
            </w:pPr>
            <w:r w:rsidRPr="004B0B9B">
              <w:rPr>
                <w:rFonts w:ascii="Century Schoolbook" w:hAnsi="Century Schoolbook"/>
                <w:szCs w:val="26"/>
              </w:rPr>
              <w:t xml:space="preserve">      H049119 </w:t>
            </w:r>
          </w:p>
          <w:p w14:paraId="7C466872" w14:textId="77777777" w:rsidR="001715A3" w:rsidRDefault="00F5385E" w:rsidP="000C6168">
            <w:pPr>
              <w:widowControl w:val="0"/>
              <w:tabs>
                <w:tab w:val="clear" w:pos="720"/>
                <w:tab w:val="left" w:pos="346"/>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sidRPr="004B0B9B">
              <w:rPr>
                <w:rFonts w:ascii="Century Schoolbook" w:hAnsi="Century Schoolbook"/>
                <w:szCs w:val="26"/>
              </w:rPr>
              <w:tab/>
            </w:r>
            <w:r>
              <w:rPr>
                <w:rFonts w:ascii="Century Schoolbook" w:hAnsi="Century Schoolbook"/>
                <w:szCs w:val="26"/>
              </w:rPr>
              <w:t xml:space="preserve"> </w:t>
            </w:r>
            <w:r w:rsidRPr="004B0B9B">
              <w:rPr>
                <w:rFonts w:ascii="Century Schoolbook" w:hAnsi="Century Schoolbook"/>
                <w:szCs w:val="26"/>
              </w:rPr>
              <w:t xml:space="preserve">(Santa Clara County Super. Ct. </w:t>
            </w:r>
          </w:p>
          <w:p w14:paraId="3421D021" w14:textId="77777777" w:rsidR="000C6168" w:rsidRPr="004B0B9B" w:rsidRDefault="00F5385E" w:rsidP="000C6168">
            <w:pPr>
              <w:widowControl w:val="0"/>
              <w:tabs>
                <w:tab w:val="clear" w:pos="720"/>
                <w:tab w:val="left" w:pos="346"/>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r>
              <w:rPr>
                <w:rFonts w:ascii="Century Schoolbook" w:hAnsi="Century Schoolbook"/>
                <w:szCs w:val="26"/>
              </w:rPr>
              <w:t xml:space="preserve"> </w:t>
            </w:r>
            <w:r>
              <w:rPr>
                <w:rFonts w:ascii="Century Schoolbook" w:hAnsi="Century Schoolbook"/>
                <w:szCs w:val="26"/>
              </w:rPr>
              <w:t xml:space="preserve">  </w:t>
            </w:r>
            <w:r>
              <w:rPr>
                <w:rFonts w:ascii="Century Schoolbook" w:hAnsi="Century Schoolbook"/>
                <w:szCs w:val="26"/>
              </w:rPr>
              <w:t xml:space="preserve">   </w:t>
            </w:r>
            <w:r w:rsidRPr="001715A3">
              <w:rPr>
                <w:rFonts w:ascii="Century Schoolbook" w:hAnsi="Century Schoolbook"/>
                <w:szCs w:val="26"/>
              </w:rPr>
              <w:t>No.</w:t>
            </w:r>
            <w:r w:rsidRPr="004B0B9B">
              <w:rPr>
                <w:rFonts w:ascii="Century Schoolbook" w:hAnsi="Century Schoolbook"/>
                <w:szCs w:val="26"/>
              </w:rPr>
              <w:t xml:space="preserve"> </w:t>
            </w:r>
            <w:r>
              <w:rPr>
                <w:rFonts w:ascii="Century Schoolbook" w:hAnsi="Century Schoolbook"/>
                <w:szCs w:val="26"/>
              </w:rPr>
              <w:t>1</w:t>
            </w:r>
            <w:r w:rsidRPr="004B0B9B">
              <w:rPr>
                <w:rFonts w:ascii="Century Schoolbook" w:hAnsi="Century Schoolbook"/>
                <w:szCs w:val="26"/>
              </w:rPr>
              <w:t xml:space="preserve">8CV338394) </w:t>
            </w:r>
          </w:p>
          <w:p w14:paraId="103A5F6D" w14:textId="77777777" w:rsidR="000C6168" w:rsidRPr="004B0B9B" w:rsidRDefault="00F5385E" w:rsidP="003406E7">
            <w:pPr>
              <w:spacing w:line="240" w:lineRule="auto"/>
              <w:rPr>
                <w:rFonts w:ascii="Century Schoolbook" w:hAnsi="Century Schoolbook"/>
                <w:szCs w:val="26"/>
              </w:rPr>
            </w:pPr>
          </w:p>
        </w:tc>
      </w:tr>
      <w:tr w:rsidR="005962FA" w14:paraId="5D93F47C" w14:textId="77777777" w:rsidTr="003406E7">
        <w:tc>
          <w:tcPr>
            <w:tcW w:w="4680" w:type="dxa"/>
            <w:tcBorders>
              <w:bottom w:val="single" w:sz="4" w:space="0" w:color="auto"/>
              <w:right w:val="single" w:sz="4" w:space="0" w:color="auto"/>
            </w:tcBorders>
            <w:shd w:val="clear" w:color="auto" w:fill="auto"/>
          </w:tcPr>
          <w:p w14:paraId="7DD20513" w14:textId="77777777" w:rsidR="004B0B9B" w:rsidRPr="004B0B9B" w:rsidRDefault="00F5385E" w:rsidP="000C6168">
            <w:pPr>
              <w:widowControl w:val="0"/>
              <w:tabs>
                <w:tab w:val="left" w:pos="1440"/>
                <w:tab w:val="left" w:pos="2880"/>
                <w:tab w:val="left" w:pos="4320"/>
                <w:tab w:val="left" w:pos="5760"/>
                <w:tab w:val="left" w:pos="7200"/>
                <w:tab w:val="left" w:pos="8640"/>
              </w:tabs>
              <w:autoSpaceDE w:val="0"/>
              <w:autoSpaceDN w:val="0"/>
              <w:adjustRightInd w:val="0"/>
              <w:spacing w:line="240" w:lineRule="auto"/>
              <w:rPr>
                <w:rFonts w:ascii="Century Schoolbook" w:hAnsi="Century Schoolbook"/>
                <w:szCs w:val="26"/>
              </w:rPr>
            </w:pPr>
          </w:p>
        </w:tc>
        <w:tc>
          <w:tcPr>
            <w:tcW w:w="4680" w:type="dxa"/>
            <w:tcBorders>
              <w:left w:val="single" w:sz="4" w:space="0" w:color="auto"/>
            </w:tcBorders>
            <w:shd w:val="clear" w:color="auto" w:fill="auto"/>
          </w:tcPr>
          <w:p w14:paraId="7D19B078" w14:textId="77777777" w:rsidR="004B0B9B" w:rsidRPr="004B0B9B" w:rsidRDefault="00F5385E" w:rsidP="000C6168">
            <w:pPr>
              <w:spacing w:line="240" w:lineRule="auto"/>
              <w:rPr>
                <w:rFonts w:ascii="Century Schoolbook" w:hAnsi="Century Schoolbook"/>
                <w:szCs w:val="26"/>
              </w:rPr>
            </w:pPr>
          </w:p>
        </w:tc>
      </w:tr>
    </w:tbl>
    <w:p w14:paraId="101733DC" w14:textId="77777777" w:rsidR="00963449" w:rsidRDefault="00F5385E" w:rsidP="003406E7">
      <w:pPr>
        <w:rPr>
          <w:rFonts w:ascii="Century Schoolbook" w:hAnsi="Century Schoolbook"/>
        </w:rPr>
      </w:pPr>
    </w:p>
    <w:p w14:paraId="652D273B" w14:textId="77777777" w:rsidR="002472F3" w:rsidRDefault="00F5385E" w:rsidP="003406E7">
      <w:pPr>
        <w:rPr>
          <w:rFonts w:ascii="Century Schoolbook" w:hAnsi="Century Schoolbook"/>
        </w:rPr>
      </w:pPr>
      <w:r>
        <w:rPr>
          <w:rFonts w:ascii="Century Schoolbook" w:hAnsi="Century Schoolbook"/>
        </w:rPr>
        <w:tab/>
      </w:r>
      <w:r>
        <w:rPr>
          <w:rFonts w:ascii="Century Schoolbook" w:hAnsi="Century Schoolbook"/>
        </w:rPr>
        <w:t xml:space="preserve">Plaintiff and appellant Lynda Valero appeals from a judgment of dismissal after the trial court sustained a demurrer to her first amended </w:t>
      </w:r>
      <w:r>
        <w:rPr>
          <w:rFonts w:ascii="Century Schoolbook" w:hAnsi="Century Schoolbook"/>
        </w:rPr>
        <w:t>complaint</w:t>
      </w:r>
      <w:r>
        <w:rPr>
          <w:rFonts w:ascii="Century Schoolbook" w:hAnsi="Century Schoolbook"/>
        </w:rPr>
        <w:t xml:space="preserve"> in favor of </w:t>
      </w:r>
      <w:r>
        <w:rPr>
          <w:rFonts w:ascii="Century Schoolbook" w:hAnsi="Century Schoolbook"/>
        </w:rPr>
        <w:t xml:space="preserve">defendants and </w:t>
      </w:r>
      <w:r>
        <w:rPr>
          <w:rFonts w:ascii="Century Schoolbook" w:hAnsi="Century Schoolbook"/>
        </w:rPr>
        <w:t>respondents Sabrina Dellard, Spread Your Wings, LLC, and Spread Your Wings, Inc.</w:t>
      </w:r>
      <w:r>
        <w:rPr>
          <w:rStyle w:val="FootnoteReference"/>
          <w:rFonts w:ascii="Century Schoolbook" w:hAnsi="Century Schoolbook"/>
        </w:rPr>
        <w:footnoteReference w:id="1"/>
      </w:r>
      <w:r>
        <w:rPr>
          <w:rFonts w:ascii="Century Schoolbook" w:hAnsi="Century Schoolbook"/>
        </w:rPr>
        <w:t xml:space="preserve"> The pleading</w:t>
      </w:r>
      <w:r>
        <w:rPr>
          <w:rFonts w:ascii="Century Schoolbook" w:hAnsi="Century Schoolbook"/>
        </w:rPr>
        <w:t>, in a single cause of action for malicious prosecution,</w:t>
      </w:r>
      <w:r>
        <w:rPr>
          <w:rFonts w:ascii="Century Schoolbook" w:hAnsi="Century Schoolbook"/>
        </w:rPr>
        <w:t xml:space="preserve"> alleged that Dellard was </w:t>
      </w:r>
      <w:r>
        <w:rPr>
          <w:rFonts w:ascii="Century Schoolbook" w:hAnsi="Century Schoolbook"/>
        </w:rPr>
        <w:t xml:space="preserve">a care custodian, employed by </w:t>
      </w:r>
      <w:r>
        <w:rPr>
          <w:rFonts w:ascii="Century Schoolbook" w:hAnsi="Century Schoolbook"/>
        </w:rPr>
        <w:t xml:space="preserve">Spread Your </w:t>
      </w:r>
      <w:r>
        <w:rPr>
          <w:rFonts w:ascii="Century Schoolbook" w:hAnsi="Century Schoolbook"/>
        </w:rPr>
        <w:t>Wings</w:t>
      </w:r>
      <w:r>
        <w:rPr>
          <w:rFonts w:ascii="Century Schoolbook" w:hAnsi="Century Schoolbook"/>
        </w:rPr>
        <w:t xml:space="preserve">, and </w:t>
      </w:r>
      <w:r>
        <w:rPr>
          <w:rFonts w:ascii="Century Schoolbook" w:hAnsi="Century Schoolbook"/>
        </w:rPr>
        <w:t xml:space="preserve">that </w:t>
      </w:r>
      <w:r>
        <w:rPr>
          <w:rFonts w:ascii="Century Schoolbook" w:hAnsi="Century Schoolbook"/>
        </w:rPr>
        <w:t>she provided in-home services to a dependent adult, Michael Barton. Valero also provided such services to Barton, and the two caregivers worked different shifts</w:t>
      </w:r>
      <w:r>
        <w:rPr>
          <w:rFonts w:ascii="Century Schoolbook" w:hAnsi="Century Schoolbook"/>
        </w:rPr>
        <w:t xml:space="preserve"> in his home</w:t>
      </w:r>
      <w:r>
        <w:rPr>
          <w:rFonts w:ascii="Century Schoolbook" w:hAnsi="Century Schoolbook"/>
        </w:rPr>
        <w:t>. Valero alleged that Dellard</w:t>
      </w:r>
      <w:r>
        <w:rPr>
          <w:rFonts w:ascii="Century Schoolbook" w:hAnsi="Century Schoolbook"/>
        </w:rPr>
        <w:t xml:space="preserve">, a mandatory reporter under the </w:t>
      </w:r>
      <w:r>
        <w:rPr>
          <w:rFonts w:ascii="Century Schoolbook" w:hAnsi="Century Schoolbook"/>
        </w:rPr>
        <w:t>elder</w:t>
      </w:r>
      <w:r>
        <w:rPr>
          <w:rFonts w:ascii="Century Schoolbook" w:hAnsi="Century Schoolbook"/>
        </w:rPr>
        <w:t>-</w:t>
      </w:r>
      <w:r>
        <w:rPr>
          <w:rFonts w:ascii="Century Schoolbook" w:hAnsi="Century Schoolbook"/>
        </w:rPr>
        <w:t>abuse laws,</w:t>
      </w:r>
      <w:r>
        <w:rPr>
          <w:rFonts w:ascii="Century Schoolbook" w:hAnsi="Century Schoolbook"/>
        </w:rPr>
        <w:t xml:space="preserve"> made a knowingly </w:t>
      </w:r>
      <w:r>
        <w:rPr>
          <w:rFonts w:ascii="Century Schoolbook" w:hAnsi="Century Schoolbook"/>
        </w:rPr>
        <w:lastRenderedPageBreak/>
        <w:t xml:space="preserve">false report to law enforcement that she </w:t>
      </w:r>
      <w:r>
        <w:rPr>
          <w:rFonts w:ascii="Century Schoolbook" w:hAnsi="Century Schoolbook"/>
        </w:rPr>
        <w:t>had seen</w:t>
      </w:r>
      <w:r>
        <w:rPr>
          <w:rFonts w:ascii="Century Schoolbook" w:hAnsi="Century Schoolbook"/>
        </w:rPr>
        <w:t xml:space="preserve"> Valero try to kill Barton by smothering him with a pillow. </w:t>
      </w:r>
      <w:r>
        <w:rPr>
          <w:rFonts w:ascii="Century Schoolbook" w:hAnsi="Century Schoolbook"/>
        </w:rPr>
        <w:t xml:space="preserve">Dellard is further alleged to have </w:t>
      </w:r>
      <w:r>
        <w:rPr>
          <w:rFonts w:ascii="Century Schoolbook" w:hAnsi="Century Schoolbook"/>
        </w:rPr>
        <w:t xml:space="preserve">later </w:t>
      </w:r>
      <w:r>
        <w:rPr>
          <w:rFonts w:ascii="Century Schoolbook" w:hAnsi="Century Schoolbook"/>
        </w:rPr>
        <w:t xml:space="preserve">coerced Barton to </w:t>
      </w:r>
      <w:r>
        <w:rPr>
          <w:rFonts w:ascii="Century Schoolbook" w:hAnsi="Century Schoolbook"/>
        </w:rPr>
        <w:t>confirm the</w:t>
      </w:r>
      <w:r>
        <w:rPr>
          <w:rFonts w:ascii="Century Schoolbook" w:hAnsi="Century Schoolbook"/>
        </w:rPr>
        <w:t xml:space="preserve"> false report about Valero having </w:t>
      </w:r>
      <w:r>
        <w:rPr>
          <w:rFonts w:ascii="Century Schoolbook" w:hAnsi="Century Schoolbook"/>
        </w:rPr>
        <w:t>tried to</w:t>
      </w:r>
      <w:r>
        <w:rPr>
          <w:rFonts w:ascii="Century Schoolbook" w:hAnsi="Century Schoolbook"/>
        </w:rPr>
        <w:t xml:space="preserve"> smother him</w:t>
      </w:r>
      <w:r>
        <w:rPr>
          <w:rFonts w:ascii="Century Schoolbook" w:hAnsi="Century Schoolbook"/>
        </w:rPr>
        <w:t xml:space="preserve">. </w:t>
      </w:r>
      <w:r>
        <w:rPr>
          <w:rFonts w:ascii="Century Schoolbook" w:hAnsi="Century Schoolbook"/>
        </w:rPr>
        <w:t>Valero was arrested and charged with attempted murder, and spent some 28</w:t>
      </w:r>
      <w:r>
        <w:rPr>
          <w:rFonts w:ascii="Century Schoolbook" w:hAnsi="Century Schoolbook"/>
        </w:rPr>
        <w:t> </w:t>
      </w:r>
      <w:r>
        <w:rPr>
          <w:rFonts w:ascii="Century Schoolbook" w:hAnsi="Century Schoolbook"/>
        </w:rPr>
        <w:t xml:space="preserve">days in custody, unable to </w:t>
      </w:r>
      <w:r>
        <w:rPr>
          <w:rFonts w:ascii="Century Schoolbook" w:hAnsi="Century Schoolbook"/>
        </w:rPr>
        <w:t>post</w:t>
      </w:r>
      <w:r>
        <w:rPr>
          <w:rFonts w:ascii="Century Schoolbook" w:hAnsi="Century Schoolbook"/>
        </w:rPr>
        <w:t xml:space="preserve"> bail. Ultimately, as alleged, </w:t>
      </w:r>
      <w:r>
        <w:rPr>
          <w:rFonts w:ascii="Century Schoolbook" w:hAnsi="Century Schoolbook"/>
        </w:rPr>
        <w:t xml:space="preserve">evidence surfaced that revealed </w:t>
      </w:r>
      <w:r>
        <w:rPr>
          <w:rFonts w:ascii="Century Schoolbook" w:hAnsi="Century Schoolbook"/>
        </w:rPr>
        <w:t xml:space="preserve">the </w:t>
      </w:r>
      <w:r>
        <w:rPr>
          <w:rFonts w:ascii="Century Schoolbook" w:hAnsi="Century Schoolbook"/>
        </w:rPr>
        <w:t>report</w:t>
      </w:r>
      <w:r>
        <w:rPr>
          <w:rFonts w:ascii="Century Schoolbook" w:hAnsi="Century Schoolbook"/>
        </w:rPr>
        <w:t>s</w:t>
      </w:r>
      <w:r>
        <w:rPr>
          <w:rFonts w:ascii="Century Schoolbook" w:hAnsi="Century Schoolbook"/>
        </w:rPr>
        <w:t xml:space="preserve"> about Valero </w:t>
      </w:r>
      <w:r>
        <w:rPr>
          <w:rFonts w:ascii="Century Schoolbook" w:hAnsi="Century Schoolbook"/>
        </w:rPr>
        <w:t xml:space="preserve">having </w:t>
      </w:r>
      <w:r>
        <w:rPr>
          <w:rFonts w:ascii="Century Schoolbook" w:hAnsi="Century Schoolbook"/>
        </w:rPr>
        <w:t>tr</w:t>
      </w:r>
      <w:r>
        <w:rPr>
          <w:rFonts w:ascii="Century Schoolbook" w:hAnsi="Century Schoolbook"/>
        </w:rPr>
        <w:t>ied</w:t>
      </w:r>
      <w:r>
        <w:rPr>
          <w:rFonts w:ascii="Century Schoolbook" w:hAnsi="Century Schoolbook"/>
        </w:rPr>
        <w:t xml:space="preserve"> to kill Barton </w:t>
      </w:r>
      <w:r>
        <w:rPr>
          <w:rFonts w:ascii="Century Schoolbook" w:hAnsi="Century Schoolbook"/>
        </w:rPr>
        <w:t>to be untrue</w:t>
      </w:r>
      <w:r>
        <w:rPr>
          <w:rFonts w:ascii="Century Schoolbook" w:hAnsi="Century Schoolbook"/>
        </w:rPr>
        <w:t xml:space="preserve">, and the </w:t>
      </w:r>
      <w:r>
        <w:rPr>
          <w:rFonts w:ascii="Century Schoolbook" w:hAnsi="Century Schoolbook"/>
        </w:rPr>
        <w:t xml:space="preserve">criminal charges against </w:t>
      </w:r>
      <w:r>
        <w:rPr>
          <w:rFonts w:ascii="Century Schoolbook" w:hAnsi="Century Schoolbook"/>
        </w:rPr>
        <w:t>her</w:t>
      </w:r>
      <w:r>
        <w:rPr>
          <w:rFonts w:ascii="Century Schoolbook" w:hAnsi="Century Schoolbook"/>
        </w:rPr>
        <w:t xml:space="preserve"> were dismissed. </w:t>
      </w:r>
    </w:p>
    <w:p w14:paraId="1046F800" w14:textId="77777777" w:rsidR="00E552CF" w:rsidRDefault="00F5385E" w:rsidP="003406E7">
      <w:pPr>
        <w:rPr>
          <w:rFonts w:ascii="Century Schoolbook" w:hAnsi="Century Schoolbook"/>
        </w:rPr>
      </w:pPr>
      <w:r>
        <w:rPr>
          <w:rFonts w:ascii="Century Schoolbook" w:hAnsi="Century Schoolbook"/>
        </w:rPr>
        <w:tab/>
        <w:t>Valero sued Dellard and</w:t>
      </w:r>
      <w:r>
        <w:rPr>
          <w:rFonts w:ascii="Century Schoolbook" w:hAnsi="Century Schoolbook"/>
        </w:rPr>
        <w:t xml:space="preserve"> </w:t>
      </w:r>
      <w:r>
        <w:rPr>
          <w:rFonts w:ascii="Century Schoolbook" w:hAnsi="Century Schoolbook"/>
        </w:rPr>
        <w:t>Spread Your Wings</w:t>
      </w:r>
      <w:r>
        <w:rPr>
          <w:rFonts w:ascii="Century Schoolbook" w:hAnsi="Century Schoolbook"/>
        </w:rPr>
        <w:t>,</w:t>
      </w:r>
      <w:r>
        <w:rPr>
          <w:rFonts w:ascii="Century Schoolbook" w:hAnsi="Century Schoolbook"/>
        </w:rPr>
        <w:t xml:space="preserve"> </w:t>
      </w:r>
      <w:r>
        <w:rPr>
          <w:rFonts w:ascii="Century Schoolbook" w:hAnsi="Century Schoolbook"/>
        </w:rPr>
        <w:t xml:space="preserve">as </w:t>
      </w:r>
      <w:r>
        <w:rPr>
          <w:rFonts w:ascii="Century Schoolbook" w:hAnsi="Century Schoolbook"/>
        </w:rPr>
        <w:t>Dellard’s</w:t>
      </w:r>
      <w:r>
        <w:rPr>
          <w:rFonts w:ascii="Century Schoolbook" w:hAnsi="Century Schoolbook"/>
        </w:rPr>
        <w:t xml:space="preserve"> alleged employer, </w:t>
      </w:r>
      <w:r>
        <w:rPr>
          <w:rFonts w:ascii="Century Schoolbook" w:hAnsi="Century Schoolbook"/>
        </w:rPr>
        <w:t>for malicious prosecution</w:t>
      </w:r>
      <w:r>
        <w:rPr>
          <w:rFonts w:ascii="Century Schoolbook" w:hAnsi="Century Schoolbook"/>
        </w:rPr>
        <w:t xml:space="preserve">. The cause of action was </w:t>
      </w:r>
      <w:r>
        <w:rPr>
          <w:rFonts w:ascii="Century Schoolbook" w:hAnsi="Century Schoolbook"/>
        </w:rPr>
        <w:t xml:space="preserve">factually </w:t>
      </w:r>
      <w:r>
        <w:rPr>
          <w:rFonts w:ascii="Century Schoolbook" w:hAnsi="Century Schoolbook"/>
        </w:rPr>
        <w:t xml:space="preserve">based on </w:t>
      </w:r>
      <w:r>
        <w:rPr>
          <w:rFonts w:ascii="Century Schoolbook" w:hAnsi="Century Schoolbook"/>
        </w:rPr>
        <w:t xml:space="preserve">both </w:t>
      </w:r>
      <w:r>
        <w:rPr>
          <w:rFonts w:ascii="Century Schoolbook" w:hAnsi="Century Schoolbook"/>
        </w:rPr>
        <w:t xml:space="preserve">Dellard’s allegedly false report of </w:t>
      </w:r>
      <w:r>
        <w:rPr>
          <w:rFonts w:ascii="Century Schoolbook" w:hAnsi="Century Schoolbook"/>
        </w:rPr>
        <w:t xml:space="preserve">Valero’s </w:t>
      </w:r>
      <w:r>
        <w:rPr>
          <w:rFonts w:ascii="Century Schoolbook" w:hAnsi="Century Schoolbook"/>
        </w:rPr>
        <w:t>abuse of Barton</w:t>
      </w:r>
      <w:r>
        <w:rPr>
          <w:rFonts w:ascii="Century Schoolbook" w:hAnsi="Century Schoolbook"/>
        </w:rPr>
        <w:t xml:space="preserve"> as a dependent adult, and </w:t>
      </w:r>
      <w:r>
        <w:rPr>
          <w:rFonts w:ascii="Century Schoolbook" w:hAnsi="Century Schoolbook"/>
        </w:rPr>
        <w:t>Dellard’s</w:t>
      </w:r>
      <w:r>
        <w:rPr>
          <w:rFonts w:ascii="Century Schoolbook" w:hAnsi="Century Schoolbook"/>
        </w:rPr>
        <w:t xml:space="preserve"> later alleged coercion of Barton to corroborate the false report</w:t>
      </w:r>
      <w:r>
        <w:rPr>
          <w:rFonts w:ascii="Century Schoolbook" w:hAnsi="Century Schoolbook"/>
        </w:rPr>
        <w:t xml:space="preserve">. These defendants </w:t>
      </w:r>
      <w:r>
        <w:rPr>
          <w:rFonts w:ascii="Century Schoolbook" w:hAnsi="Century Schoolbook"/>
        </w:rPr>
        <w:t>ultimately demurred to the first amended complaint,</w:t>
      </w:r>
      <w:r>
        <w:rPr>
          <w:rFonts w:ascii="Century Schoolbook" w:hAnsi="Century Schoolbook"/>
        </w:rPr>
        <w:t xml:space="preserve"> asserting statutory immunity under Welfare and Institutions Code section</w:t>
      </w:r>
      <w:r>
        <w:rPr>
          <w:rFonts w:ascii="Century Schoolbook" w:hAnsi="Century Schoolbook"/>
        </w:rPr>
        <w:t> </w:t>
      </w:r>
      <w:r>
        <w:rPr>
          <w:rFonts w:ascii="Century Schoolbook" w:hAnsi="Century Schoolbook"/>
        </w:rPr>
        <w:t>15634, subdivision (a) (section 15634(a))</w:t>
      </w:r>
      <w:r>
        <w:rPr>
          <w:rFonts w:ascii="Century Schoolbook" w:hAnsi="Century Schoolbook"/>
        </w:rPr>
        <w:t xml:space="preserve">, which </w:t>
      </w:r>
      <w:r>
        <w:rPr>
          <w:rFonts w:ascii="Century Schoolbook" w:hAnsi="Century Schoolbook"/>
        </w:rPr>
        <w:t xml:space="preserve">provides absolute immunity from civil </w:t>
      </w:r>
      <w:r>
        <w:rPr>
          <w:rFonts w:ascii="Century Schoolbook" w:hAnsi="Century Schoolbook"/>
        </w:rPr>
        <w:t xml:space="preserve">and criminal </w:t>
      </w:r>
      <w:r>
        <w:rPr>
          <w:rFonts w:ascii="Century Schoolbook" w:hAnsi="Century Schoolbook"/>
        </w:rPr>
        <w:t>liability to mandatory reporters under the Elder Abuse and Dependent Adult Civil P</w:t>
      </w:r>
      <w:r>
        <w:rPr>
          <w:rFonts w:ascii="Century Schoolbook" w:hAnsi="Century Schoolbook"/>
        </w:rPr>
        <w:t>rotection Act (</w:t>
      </w:r>
      <w:r>
        <w:rPr>
          <w:rFonts w:ascii="Century Schoolbook" w:hAnsi="Century Schoolbook"/>
        </w:rPr>
        <w:t>the Act</w:t>
      </w:r>
      <w:r>
        <w:rPr>
          <w:rFonts w:ascii="Century Schoolbook" w:hAnsi="Century Schoolbook"/>
        </w:rPr>
        <w:t>;</w:t>
      </w:r>
      <w:r>
        <w:rPr>
          <w:rFonts w:ascii="Century Schoolbook" w:hAnsi="Century Schoolbook"/>
        </w:rPr>
        <w:t xml:space="preserve"> </w:t>
      </w:r>
      <w:r>
        <w:rPr>
          <w:rFonts w:ascii="Century Schoolbook" w:hAnsi="Century Schoolbook"/>
        </w:rPr>
        <w:t>Welf. &amp; Inst. Code</w:t>
      </w:r>
      <w:r>
        <w:rPr>
          <w:rFonts w:ascii="Century Schoolbook" w:hAnsi="Century Schoolbook"/>
        </w:rPr>
        <w:t>,</w:t>
      </w:r>
      <w:r>
        <w:rPr>
          <w:rFonts w:ascii="Century Schoolbook" w:hAnsi="Century Schoolbook"/>
        </w:rPr>
        <w:t xml:space="preserve"> § </w:t>
      </w:r>
      <w:r>
        <w:rPr>
          <w:rFonts w:ascii="Century Schoolbook" w:hAnsi="Century Schoolbook"/>
        </w:rPr>
        <w:t>15600</w:t>
      </w:r>
      <w:r>
        <w:rPr>
          <w:rFonts w:ascii="Century Schoolbook" w:hAnsi="Century Schoolbook"/>
        </w:rPr>
        <w:t xml:space="preserve"> et seq.).</w:t>
      </w:r>
      <w:r>
        <w:rPr>
          <w:rStyle w:val="FootnoteReference"/>
          <w:rFonts w:ascii="Century Schoolbook" w:hAnsi="Century Schoolbook"/>
        </w:rPr>
        <w:footnoteReference w:id="2"/>
      </w:r>
      <w:r>
        <w:rPr>
          <w:rFonts w:ascii="Century Schoolbook" w:hAnsi="Century Schoolbook"/>
        </w:rPr>
        <w:t xml:space="preserve"> </w:t>
      </w:r>
    </w:p>
    <w:p w14:paraId="0DA4CB41" w14:textId="77777777" w:rsidR="00120B6D" w:rsidRDefault="00F5385E" w:rsidP="003406E7">
      <w:pPr>
        <w:rPr>
          <w:rFonts w:ascii="Century Schoolbook" w:hAnsi="Century Schoolbook"/>
        </w:rPr>
      </w:pPr>
      <w:r>
        <w:rPr>
          <w:rFonts w:ascii="Century Schoolbook" w:hAnsi="Century Schoolbook"/>
        </w:rPr>
        <w:tab/>
      </w:r>
      <w:r>
        <w:rPr>
          <w:rFonts w:ascii="Century Schoolbook" w:hAnsi="Century Schoolbook"/>
        </w:rPr>
        <w:t xml:space="preserve">Rejecting Valero’s attempts to </w:t>
      </w:r>
      <w:r>
        <w:rPr>
          <w:rFonts w:ascii="Century Schoolbook" w:hAnsi="Century Schoolbook"/>
        </w:rPr>
        <w:t>exclude intentionally false reports from the absolute immunity afforded to mandatory reporters under section 15643(a), the trial court sustained respondents’ d</w:t>
      </w:r>
      <w:r>
        <w:rPr>
          <w:rFonts w:ascii="Century Schoolbook" w:hAnsi="Century Schoolbook"/>
        </w:rPr>
        <w:t>emurrer</w:t>
      </w:r>
      <w:r>
        <w:rPr>
          <w:rFonts w:ascii="Century Schoolbook" w:hAnsi="Century Schoolbook"/>
        </w:rPr>
        <w:t xml:space="preserve"> </w:t>
      </w:r>
      <w:r>
        <w:rPr>
          <w:rFonts w:ascii="Century Schoolbook" w:hAnsi="Century Schoolbook"/>
        </w:rPr>
        <w:t>without leave to amend. Judgment of dismissal for respondents followed.</w:t>
      </w:r>
    </w:p>
    <w:p w14:paraId="06163962" w14:textId="77777777" w:rsidR="00E6261D" w:rsidRDefault="00F5385E" w:rsidP="003406E7">
      <w:pPr>
        <w:rPr>
          <w:rFonts w:ascii="Century Schoolbook" w:hAnsi="Century Schoolbook"/>
        </w:rPr>
      </w:pPr>
      <w:r>
        <w:rPr>
          <w:rFonts w:ascii="Century Schoolbook" w:hAnsi="Century Schoolbook"/>
        </w:rPr>
        <w:tab/>
        <w:t>On appeal, Valero reprises her claim</w:t>
      </w:r>
      <w:r>
        <w:rPr>
          <w:rFonts w:ascii="Century Schoolbook" w:hAnsi="Century Schoolbook"/>
        </w:rPr>
        <w:t xml:space="preserve"> that a </w:t>
      </w:r>
      <w:r>
        <w:rPr>
          <w:rFonts w:ascii="Century Schoolbook" w:hAnsi="Century Schoolbook"/>
        </w:rPr>
        <w:t>mandatory reporter of elder or dependent-adult abuse does not enjoy</w:t>
      </w:r>
      <w:r>
        <w:rPr>
          <w:rFonts w:ascii="Century Schoolbook" w:hAnsi="Century Schoolbook"/>
        </w:rPr>
        <w:t xml:space="preserve"> immunity from civil liability for a fabricated </w:t>
      </w:r>
      <w:r>
        <w:rPr>
          <w:rFonts w:ascii="Century Schoolbook" w:hAnsi="Century Schoolbook"/>
        </w:rPr>
        <w:t>and knowingly fa</w:t>
      </w:r>
      <w:r>
        <w:rPr>
          <w:rFonts w:ascii="Century Schoolbook" w:hAnsi="Century Schoolbook"/>
        </w:rPr>
        <w:t xml:space="preserve">lse </w:t>
      </w:r>
      <w:r>
        <w:rPr>
          <w:rFonts w:ascii="Century Schoolbook" w:hAnsi="Century Schoolbook"/>
        </w:rPr>
        <w:t xml:space="preserve">report of abuse. She contends that absolute immunity under section 15634(a) protects only reports </w:t>
      </w:r>
      <w:r>
        <w:rPr>
          <w:rFonts w:ascii="Century Schoolbook" w:hAnsi="Century Schoolbook"/>
        </w:rPr>
        <w:t xml:space="preserve">by mandatory reporters </w:t>
      </w:r>
      <w:r>
        <w:rPr>
          <w:rFonts w:ascii="Century Schoolbook" w:hAnsi="Century Schoolbook"/>
        </w:rPr>
        <w:lastRenderedPageBreak/>
        <w:t>that the reporter has observed</w:t>
      </w:r>
      <w:r>
        <w:rPr>
          <w:rFonts w:ascii="Century Schoolbook" w:hAnsi="Century Schoolbook"/>
        </w:rPr>
        <w:t>,</w:t>
      </w:r>
      <w:r>
        <w:rPr>
          <w:rFonts w:ascii="Century Schoolbook" w:hAnsi="Century Schoolbook"/>
        </w:rPr>
        <w:t xml:space="preserve"> or</w:t>
      </w:r>
      <w:r>
        <w:rPr>
          <w:rFonts w:ascii="Century Schoolbook" w:hAnsi="Century Schoolbook"/>
        </w:rPr>
        <w:t xml:space="preserve"> </w:t>
      </w:r>
      <w:r>
        <w:rPr>
          <w:rFonts w:ascii="Century Schoolbook" w:hAnsi="Century Schoolbook"/>
        </w:rPr>
        <w:t>of which the reporter has knowledge, or which have been communicated to the reporter by the elde</w:t>
      </w:r>
      <w:r>
        <w:rPr>
          <w:rFonts w:ascii="Century Schoolbook" w:hAnsi="Century Schoolbook"/>
        </w:rPr>
        <w:t>r or dependent adult</w:t>
      </w:r>
      <w:r>
        <w:rPr>
          <w:rFonts w:ascii="Century Schoolbook" w:hAnsi="Century Schoolbook"/>
        </w:rPr>
        <w:t xml:space="preserve"> (§ 15630, subd. (b)(1) [duties of mandatory reporters]), and that these descriptors limit </w:t>
      </w:r>
      <w:r>
        <w:rPr>
          <w:rFonts w:ascii="Century Schoolbook" w:hAnsi="Century Schoolbook"/>
        </w:rPr>
        <w:t xml:space="preserve">the </w:t>
      </w:r>
      <w:r>
        <w:rPr>
          <w:rFonts w:ascii="Century Schoolbook" w:hAnsi="Century Schoolbook"/>
        </w:rPr>
        <w:t>absolute immunity</w:t>
      </w:r>
      <w:r>
        <w:rPr>
          <w:rFonts w:ascii="Century Schoolbook" w:hAnsi="Century Schoolbook"/>
        </w:rPr>
        <w:t xml:space="preserve"> of mandated reporters</w:t>
      </w:r>
      <w:r>
        <w:rPr>
          <w:rFonts w:ascii="Century Schoolbook" w:hAnsi="Century Schoolbook"/>
        </w:rPr>
        <w:t xml:space="preserve"> to “known or suspected” incidents of abuse (§ 15634(a)) and exclude knowingly false reports</w:t>
      </w:r>
      <w:r>
        <w:rPr>
          <w:rFonts w:ascii="Century Schoolbook" w:hAnsi="Century Schoolbook"/>
        </w:rPr>
        <w:t xml:space="preserve"> from protection</w:t>
      </w:r>
      <w:r>
        <w:rPr>
          <w:rFonts w:ascii="Century Schoolbook" w:hAnsi="Century Schoolbook"/>
        </w:rPr>
        <w:t xml:space="preserve">. </w:t>
      </w:r>
    </w:p>
    <w:p w14:paraId="1DA423FE" w14:textId="77777777" w:rsidR="00931DF3" w:rsidRPr="004B0B9B" w:rsidRDefault="00F5385E" w:rsidP="003406E7">
      <w:pPr>
        <w:rPr>
          <w:rFonts w:ascii="Century Schoolbook" w:hAnsi="Century Schoolbook"/>
        </w:rPr>
      </w:pPr>
      <w:r>
        <w:rPr>
          <w:rFonts w:ascii="Century Schoolbook" w:hAnsi="Century Schoolbook"/>
        </w:rPr>
        <w:tab/>
      </w:r>
      <w:r>
        <w:rPr>
          <w:rFonts w:ascii="Century Schoolbook" w:hAnsi="Century Schoolbook"/>
        </w:rPr>
        <w:t>We c</w:t>
      </w:r>
      <w:r>
        <w:rPr>
          <w:rFonts w:ascii="Century Schoolbook" w:hAnsi="Century Schoolbook"/>
        </w:rPr>
        <w:t>onclud</w:t>
      </w:r>
      <w:r>
        <w:rPr>
          <w:rFonts w:ascii="Century Schoolbook" w:hAnsi="Century Schoolbook"/>
        </w:rPr>
        <w:t>e</w:t>
      </w:r>
      <w:r>
        <w:rPr>
          <w:rFonts w:ascii="Century Schoolbook" w:hAnsi="Century Schoolbook"/>
        </w:rPr>
        <w:t xml:space="preserve"> that the clear </w:t>
      </w:r>
      <w:r>
        <w:rPr>
          <w:rFonts w:ascii="Century Schoolbook" w:hAnsi="Century Schoolbook"/>
        </w:rPr>
        <w:t xml:space="preserve">legislative </w:t>
      </w:r>
      <w:r>
        <w:rPr>
          <w:rFonts w:ascii="Century Schoolbook" w:hAnsi="Century Schoolbook"/>
        </w:rPr>
        <w:t>aim</w:t>
      </w:r>
      <w:r>
        <w:rPr>
          <w:rFonts w:ascii="Century Schoolbook" w:hAnsi="Century Schoolbook"/>
        </w:rPr>
        <w:t xml:space="preserve"> </w:t>
      </w:r>
      <w:r>
        <w:rPr>
          <w:rFonts w:ascii="Century Schoolbook" w:hAnsi="Century Schoolbook"/>
        </w:rPr>
        <w:t>of absolute immunity in section</w:t>
      </w:r>
      <w:r>
        <w:rPr>
          <w:rFonts w:ascii="Century Schoolbook" w:hAnsi="Century Schoolbook"/>
        </w:rPr>
        <w:t> </w:t>
      </w:r>
      <w:r>
        <w:rPr>
          <w:rFonts w:ascii="Century Schoolbook" w:hAnsi="Century Schoolbook"/>
        </w:rPr>
        <w:t>15634(a) for mandated reporters was to serve and facilitate the policy goals of the Act—by increasing the reporting of elder abuse and minimizing</w:t>
      </w:r>
      <w:r>
        <w:rPr>
          <w:rFonts w:ascii="Century Schoolbook" w:hAnsi="Century Schoolbook"/>
        </w:rPr>
        <w:t xml:space="preserve"> the chilling </w:t>
      </w:r>
      <w:r>
        <w:rPr>
          <w:rFonts w:ascii="Century Schoolbook" w:hAnsi="Century Schoolbook"/>
        </w:rPr>
        <w:t>di</w:t>
      </w:r>
      <w:r>
        <w:rPr>
          <w:rFonts w:ascii="Century Schoolbook" w:hAnsi="Century Schoolbook"/>
        </w:rPr>
        <w:t>sincentives to that reporting</w:t>
      </w:r>
      <w:r>
        <w:rPr>
          <w:rFonts w:ascii="Century Schoolbook" w:hAnsi="Century Schoolbook"/>
        </w:rPr>
        <w:t>, including the fear of getting sued</w:t>
      </w:r>
      <w:r>
        <w:rPr>
          <w:rFonts w:ascii="Century Schoolbook" w:hAnsi="Century Schoolbook"/>
        </w:rPr>
        <w:t>. We further conclude that the carve</w:t>
      </w:r>
      <w:r>
        <w:rPr>
          <w:rFonts w:ascii="Century Schoolbook" w:hAnsi="Century Schoolbook"/>
        </w:rPr>
        <w:t>-</w:t>
      </w:r>
      <w:r>
        <w:rPr>
          <w:rFonts w:ascii="Century Schoolbook" w:hAnsi="Century Schoolbook"/>
        </w:rPr>
        <w:t xml:space="preserve">out to immunity for </w:t>
      </w:r>
      <w:r>
        <w:rPr>
          <w:rFonts w:ascii="Century Schoolbook" w:hAnsi="Century Schoolbook"/>
        </w:rPr>
        <w:t xml:space="preserve">a </w:t>
      </w:r>
      <w:r>
        <w:rPr>
          <w:rFonts w:ascii="Century Schoolbook" w:hAnsi="Century Schoolbook"/>
        </w:rPr>
        <w:t xml:space="preserve">knowingly false report by a mandated reporter </w:t>
      </w:r>
      <w:r>
        <w:rPr>
          <w:rFonts w:ascii="Century Schoolbook" w:hAnsi="Century Schoolbook"/>
        </w:rPr>
        <w:t xml:space="preserve">as </w:t>
      </w:r>
      <w:r>
        <w:rPr>
          <w:rFonts w:ascii="Century Schoolbook" w:hAnsi="Century Schoolbook"/>
        </w:rPr>
        <w:t xml:space="preserve">urged by Valero </w:t>
      </w:r>
      <w:r>
        <w:rPr>
          <w:rFonts w:ascii="Century Schoolbook" w:hAnsi="Century Schoolbook"/>
        </w:rPr>
        <w:t xml:space="preserve">is not dictated by </w:t>
      </w:r>
      <w:r>
        <w:rPr>
          <w:rFonts w:ascii="Century Schoolbook" w:hAnsi="Century Schoolbook"/>
        </w:rPr>
        <w:t>the statutory language</w:t>
      </w:r>
      <w:r>
        <w:rPr>
          <w:rFonts w:ascii="Century Schoolbook" w:hAnsi="Century Schoolbook"/>
        </w:rPr>
        <w:t xml:space="preserve"> of the Act as a whole</w:t>
      </w:r>
      <w:r>
        <w:rPr>
          <w:rFonts w:ascii="Century Schoolbook" w:hAnsi="Century Schoolbook"/>
        </w:rPr>
        <w:t xml:space="preserve"> and</w:t>
      </w:r>
      <w:r>
        <w:rPr>
          <w:rFonts w:ascii="Century Schoolbook" w:hAnsi="Century Schoolbook"/>
        </w:rPr>
        <w:t xml:space="preserve"> is </w:t>
      </w:r>
      <w:r>
        <w:rPr>
          <w:rFonts w:ascii="Century Schoolbook" w:hAnsi="Century Schoolbook"/>
        </w:rPr>
        <w:t>counter to these legislative policy goals</w:t>
      </w:r>
      <w:r>
        <w:rPr>
          <w:rFonts w:ascii="Century Schoolbook" w:hAnsi="Century Schoolbook"/>
        </w:rPr>
        <w:t>, which are not ours to undo or undermine</w:t>
      </w:r>
      <w:r>
        <w:rPr>
          <w:rFonts w:ascii="Century Schoolbook" w:hAnsi="Century Schoolbook"/>
        </w:rPr>
        <w:t xml:space="preserve">. </w:t>
      </w:r>
      <w:r>
        <w:rPr>
          <w:rFonts w:ascii="Century Schoolbook" w:hAnsi="Century Schoolbook"/>
        </w:rPr>
        <w:t xml:space="preserve">Finally, we reject Valero’s effort to couch Dellard’s alleged post-reporting coercion of Barton </w:t>
      </w:r>
      <w:r>
        <w:rPr>
          <w:rFonts w:ascii="Century Schoolbook" w:hAnsi="Century Schoolbook"/>
        </w:rPr>
        <w:t xml:space="preserve">as later </w:t>
      </w:r>
      <w:r>
        <w:rPr>
          <w:rFonts w:ascii="Century Schoolbook" w:hAnsi="Century Schoolbook"/>
        </w:rPr>
        <w:t xml:space="preserve">conduct </w:t>
      </w:r>
      <w:r>
        <w:rPr>
          <w:rFonts w:ascii="Century Schoolbook" w:hAnsi="Century Schoolbook"/>
        </w:rPr>
        <w:t xml:space="preserve">outside </w:t>
      </w:r>
      <w:r>
        <w:rPr>
          <w:rFonts w:ascii="Century Schoolbook" w:hAnsi="Century Schoolbook"/>
        </w:rPr>
        <w:t>the broad contours of immunity</w:t>
      </w:r>
      <w:r>
        <w:rPr>
          <w:rFonts w:ascii="Century Schoolbook" w:hAnsi="Century Schoolbook"/>
        </w:rPr>
        <w:t xml:space="preserve"> for act</w:t>
      </w:r>
      <w:r>
        <w:rPr>
          <w:rFonts w:ascii="Century Schoolbook" w:hAnsi="Century Schoolbook"/>
        </w:rPr>
        <w:t>s</w:t>
      </w:r>
      <w:r>
        <w:rPr>
          <w:rFonts w:ascii="Century Schoolbook" w:hAnsi="Century Schoolbook"/>
        </w:rPr>
        <w:t xml:space="preserve"> of repo</w:t>
      </w:r>
      <w:r>
        <w:rPr>
          <w:rFonts w:ascii="Century Schoolbook" w:hAnsi="Century Schoolbook"/>
        </w:rPr>
        <w:t>rting</w:t>
      </w:r>
      <w:r>
        <w:rPr>
          <w:rFonts w:ascii="Century Schoolbook" w:hAnsi="Century Schoolbook"/>
        </w:rPr>
        <w:t xml:space="preserve">. </w:t>
      </w:r>
      <w:r>
        <w:rPr>
          <w:rFonts w:ascii="Century Schoolbook" w:hAnsi="Century Schoolbook"/>
        </w:rPr>
        <w:t xml:space="preserve">We </w:t>
      </w:r>
      <w:r>
        <w:rPr>
          <w:rFonts w:ascii="Century Schoolbook" w:hAnsi="Century Schoolbook"/>
        </w:rPr>
        <w:t>accordingly</w:t>
      </w:r>
      <w:r>
        <w:rPr>
          <w:rFonts w:ascii="Century Schoolbook" w:hAnsi="Century Schoolbook"/>
        </w:rPr>
        <w:t xml:space="preserve"> affirm the judgment of dismissal.</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p>
    <w:p w14:paraId="3D059460" w14:textId="77777777" w:rsidR="00931DF3" w:rsidRDefault="00F5385E" w:rsidP="00931DF3">
      <w:pPr>
        <w:rPr>
          <w:rFonts w:ascii="Century Schoolbook" w:hAnsi="Century Schoolbook"/>
        </w:rPr>
      </w:pPr>
      <w:bookmarkStart w:id="0" w:name="_Hlk107389775"/>
      <w:r>
        <w:rPr>
          <w:rFonts w:ascii="Century Schoolbook" w:hAnsi="Century Schoolbook"/>
          <w:i/>
          <w:iCs/>
        </w:rPr>
        <w:tab/>
      </w:r>
      <w:r>
        <w:rPr>
          <w:rFonts w:ascii="Century Schoolbook" w:hAnsi="Century Schoolbook"/>
          <w:i/>
          <w:iCs/>
        </w:rPr>
        <w:tab/>
      </w:r>
      <w:r>
        <w:rPr>
          <w:rFonts w:ascii="Century Schoolbook" w:hAnsi="Century Schoolbook"/>
          <w:i/>
          <w:iCs/>
        </w:rPr>
        <w:tab/>
      </w:r>
      <w:r>
        <w:rPr>
          <w:rFonts w:ascii="Century Schoolbook" w:hAnsi="Century Schoolbook"/>
          <w:i/>
          <w:iCs/>
        </w:rPr>
        <w:tab/>
      </w:r>
      <w:r w:rsidRPr="00931DF3">
        <w:rPr>
          <w:rFonts w:ascii="Century Schoolbook" w:hAnsi="Century Schoolbook"/>
        </w:rPr>
        <w:t>STATEMENT OF THE CASE</w:t>
      </w:r>
      <w:bookmarkEnd w:id="0"/>
    </w:p>
    <w:p w14:paraId="1A19FD32" w14:textId="77777777" w:rsidR="00D37992" w:rsidRPr="00D37992" w:rsidRDefault="00F5385E" w:rsidP="00D37992">
      <w:pPr>
        <w:pStyle w:val="ListParagraph"/>
        <w:numPr>
          <w:ilvl w:val="0"/>
          <w:numId w:val="14"/>
        </w:numPr>
        <w:rPr>
          <w:rFonts w:ascii="Century Schoolbook" w:hAnsi="Century Schoolbook"/>
          <w:i/>
          <w:iCs/>
        </w:rPr>
      </w:pPr>
      <w:r>
        <w:rPr>
          <w:rFonts w:ascii="Century Schoolbook" w:hAnsi="Century Schoolbook"/>
          <w:i/>
          <w:iCs/>
        </w:rPr>
        <w:t xml:space="preserve">Valero’s </w:t>
      </w:r>
      <w:r w:rsidRPr="00D37992">
        <w:rPr>
          <w:rFonts w:ascii="Century Schoolbook" w:hAnsi="Century Schoolbook"/>
          <w:i/>
          <w:iCs/>
        </w:rPr>
        <w:t>First Amended Complaint</w:t>
      </w:r>
      <w:r>
        <w:rPr>
          <w:rStyle w:val="FootnoteReference"/>
          <w:rFonts w:ascii="Century Schoolbook" w:hAnsi="Century Schoolbook"/>
          <w:i/>
          <w:iCs/>
        </w:rPr>
        <w:footnoteReference w:id="3"/>
      </w:r>
    </w:p>
    <w:p w14:paraId="7213243A" w14:textId="77777777" w:rsidR="00BC20E4" w:rsidRDefault="00F5385E" w:rsidP="00931DF3">
      <w:pPr>
        <w:rPr>
          <w:rFonts w:ascii="Century Schoolbook" w:hAnsi="Century Schoolbook"/>
        </w:rPr>
      </w:pPr>
      <w:r>
        <w:rPr>
          <w:rFonts w:ascii="Century Schoolbook" w:hAnsi="Century Schoolbook"/>
        </w:rPr>
        <w:tab/>
      </w:r>
      <w:r>
        <w:rPr>
          <w:rFonts w:ascii="Century Schoolbook" w:hAnsi="Century Schoolbook"/>
        </w:rPr>
        <w:t>The first amended complaint allege</w:t>
      </w:r>
      <w:r>
        <w:rPr>
          <w:rFonts w:ascii="Century Schoolbook" w:hAnsi="Century Schoolbook"/>
        </w:rPr>
        <w:t>d</w:t>
      </w:r>
      <w:r>
        <w:rPr>
          <w:rFonts w:ascii="Century Schoolbook" w:hAnsi="Century Schoolbook"/>
        </w:rPr>
        <w:t xml:space="preserve"> a single cause of action for malicious prosecution. </w:t>
      </w:r>
      <w:r>
        <w:rPr>
          <w:rFonts w:ascii="Century Schoolbook" w:hAnsi="Century Schoolbook"/>
        </w:rPr>
        <w:t xml:space="preserve">As relevant to our inquiry, </w:t>
      </w:r>
      <w:r>
        <w:rPr>
          <w:rFonts w:ascii="Century Schoolbook" w:hAnsi="Century Schoolbook"/>
        </w:rPr>
        <w:t>it</w:t>
      </w:r>
      <w:r>
        <w:rPr>
          <w:rFonts w:ascii="Century Schoolbook" w:hAnsi="Century Schoolbook"/>
        </w:rPr>
        <w:t xml:space="preserve"> alleges that </w:t>
      </w:r>
      <w:r>
        <w:rPr>
          <w:rFonts w:ascii="Century Schoolbook" w:hAnsi="Century Schoolbook"/>
        </w:rPr>
        <w:t>Valero</w:t>
      </w:r>
      <w:r>
        <w:rPr>
          <w:rFonts w:ascii="Century Schoolbook" w:hAnsi="Century Schoolbook"/>
        </w:rPr>
        <w:t xml:space="preserve"> </w:t>
      </w:r>
      <w:r>
        <w:rPr>
          <w:rFonts w:ascii="Century Schoolbook" w:hAnsi="Century Schoolbook"/>
        </w:rPr>
        <w:t>“</w:t>
      </w:r>
      <w:r>
        <w:rPr>
          <w:rFonts w:ascii="Century Schoolbook" w:hAnsi="Century Schoolbook"/>
        </w:rPr>
        <w:t>w</w:t>
      </w:r>
      <w:r>
        <w:rPr>
          <w:rFonts w:ascii="Century Schoolbook" w:hAnsi="Century Schoolbook"/>
        </w:rPr>
        <w:t xml:space="preserve">orked for the Stanislaus County Department of In-Home Supportive Services </w:t>
      </w:r>
      <w:r>
        <w:rPr>
          <w:rFonts w:ascii="Century Schoolbook" w:hAnsi="Century Schoolbook"/>
        </w:rPr>
        <w:t xml:space="preserve">. . . </w:t>
      </w:r>
      <w:r>
        <w:rPr>
          <w:rFonts w:ascii="Century Schoolbook" w:hAnsi="Century Schoolbook"/>
        </w:rPr>
        <w:t>and was selected by Defendant Michael Barton to provide in-home care f</w:t>
      </w:r>
      <w:r>
        <w:rPr>
          <w:rFonts w:ascii="Century Schoolbook" w:hAnsi="Century Schoolbook"/>
        </w:rPr>
        <w:t xml:space="preserve">or him. </w:t>
      </w:r>
      <w:r>
        <w:rPr>
          <w:rFonts w:ascii="Century Schoolbook" w:hAnsi="Century Schoolbook"/>
        </w:rPr>
        <w:lastRenderedPageBreak/>
        <w:t>Mr.</w:t>
      </w:r>
      <w:r>
        <w:rPr>
          <w:rFonts w:ascii="Century Schoolbook" w:hAnsi="Century Schoolbook"/>
        </w:rPr>
        <w:t> </w:t>
      </w:r>
      <w:r>
        <w:rPr>
          <w:rFonts w:ascii="Century Schoolbook" w:hAnsi="Century Schoolbook"/>
        </w:rPr>
        <w:t xml:space="preserve">Barton needed care due to physical disabilities and limited mental capacity.” </w:t>
      </w:r>
      <w:r>
        <w:rPr>
          <w:rFonts w:ascii="Century Schoolbook" w:hAnsi="Century Schoolbook"/>
        </w:rPr>
        <w:t xml:space="preserve">Defendants </w:t>
      </w:r>
      <w:r>
        <w:rPr>
          <w:rFonts w:ascii="Century Schoolbook" w:hAnsi="Century Schoolbook"/>
        </w:rPr>
        <w:t xml:space="preserve">Spread Your Wings, LLC and Spread Your Wings, Inc. are alleged to be California entities owned </w:t>
      </w:r>
      <w:r>
        <w:rPr>
          <w:rFonts w:ascii="Century Schoolbook" w:hAnsi="Century Schoolbook"/>
        </w:rPr>
        <w:t xml:space="preserve">and operated </w:t>
      </w:r>
      <w:r>
        <w:rPr>
          <w:rFonts w:ascii="Century Schoolbook" w:hAnsi="Century Schoolbook"/>
        </w:rPr>
        <w:t xml:space="preserve">by defendant Andrew Serry Dumbuya, and </w:t>
      </w:r>
      <w:r>
        <w:rPr>
          <w:rFonts w:ascii="Century Schoolbook" w:hAnsi="Century Schoolbook"/>
        </w:rPr>
        <w:t>there is alleged a unity of interest between him and these companies for purposes of alter ego liability.</w:t>
      </w:r>
      <w:r>
        <w:rPr>
          <w:rStyle w:val="FootnoteReference"/>
          <w:rFonts w:ascii="Century Schoolbook" w:hAnsi="Century Schoolbook"/>
        </w:rPr>
        <w:footnoteReference w:id="4"/>
      </w:r>
      <w:r>
        <w:rPr>
          <w:rFonts w:ascii="Century Schoolbook" w:hAnsi="Century Schoolbook"/>
        </w:rPr>
        <w:t xml:space="preserve"> </w:t>
      </w:r>
      <w:r>
        <w:rPr>
          <w:rFonts w:ascii="Century Schoolbook" w:hAnsi="Century Schoolbook"/>
        </w:rPr>
        <w:t xml:space="preserve">In October 2017,  </w:t>
      </w:r>
      <w:r>
        <w:rPr>
          <w:rFonts w:ascii="Century Schoolbook" w:hAnsi="Century Schoolbook"/>
        </w:rPr>
        <w:t xml:space="preserve">Spread Your Wings </w:t>
      </w:r>
      <w:r>
        <w:rPr>
          <w:rFonts w:ascii="Century Schoolbook" w:hAnsi="Century Schoolbook"/>
        </w:rPr>
        <w:t xml:space="preserve">was </w:t>
      </w:r>
      <w:r>
        <w:rPr>
          <w:rFonts w:ascii="Century Schoolbook" w:hAnsi="Century Schoolbook"/>
        </w:rPr>
        <w:t xml:space="preserve">“hired to provide additional in-home care for </w:t>
      </w:r>
      <w:r>
        <w:rPr>
          <w:rFonts w:ascii="Century Schoolbook" w:hAnsi="Century Schoolbook"/>
        </w:rPr>
        <w:t xml:space="preserve">. . . </w:t>
      </w:r>
      <w:r>
        <w:rPr>
          <w:rFonts w:ascii="Century Schoolbook" w:hAnsi="Century Schoolbook"/>
        </w:rPr>
        <w:t xml:space="preserve">Barton. </w:t>
      </w:r>
      <w:r>
        <w:rPr>
          <w:rFonts w:ascii="Century Schoolbook" w:hAnsi="Century Schoolbook"/>
        </w:rPr>
        <w:t>Spread Your Wings’ employee, Defendant Sabrina D</w:t>
      </w:r>
      <w:r>
        <w:rPr>
          <w:rFonts w:ascii="Century Schoolbook" w:hAnsi="Century Schoolbook"/>
        </w:rPr>
        <w:t xml:space="preserve">ellard, provided this care, staying with Mr. Barton in his home overnight, while [Valero] would provide care for Mr. Barton </w:t>
      </w:r>
      <w:r>
        <w:rPr>
          <w:rFonts w:ascii="Century Schoolbook" w:hAnsi="Century Schoolbook"/>
        </w:rPr>
        <w:t>mornings, afternoons</w:t>
      </w:r>
      <w:r>
        <w:rPr>
          <w:rFonts w:ascii="Century Schoolbook" w:hAnsi="Century Schoolbook"/>
        </w:rPr>
        <w:t>[,]</w:t>
      </w:r>
      <w:r>
        <w:rPr>
          <w:rFonts w:ascii="Century Schoolbook" w:hAnsi="Century Schoolbook"/>
        </w:rPr>
        <w:t xml:space="preserve"> and evenings, except for Thursdays, when [Valero] would finish her shift at 2:00 p.m.” </w:t>
      </w:r>
      <w:r>
        <w:rPr>
          <w:rFonts w:ascii="Century Schoolbook" w:hAnsi="Century Schoolbook"/>
        </w:rPr>
        <w:tab/>
      </w:r>
    </w:p>
    <w:p w14:paraId="6361C6B2" w14:textId="77777777" w:rsidR="007B3085" w:rsidRDefault="00F5385E" w:rsidP="00931DF3">
      <w:pPr>
        <w:rPr>
          <w:rFonts w:ascii="Century Schoolbook" w:hAnsi="Century Schoolbook"/>
        </w:rPr>
      </w:pPr>
      <w:r>
        <w:rPr>
          <w:rFonts w:ascii="Century Schoolbook" w:hAnsi="Century Schoolbook"/>
        </w:rPr>
        <w:tab/>
      </w:r>
      <w:r>
        <w:rPr>
          <w:rFonts w:ascii="Century Schoolbook" w:hAnsi="Century Schoolbook"/>
        </w:rPr>
        <w:t xml:space="preserve">According to the </w:t>
      </w:r>
      <w:r>
        <w:rPr>
          <w:rFonts w:ascii="Century Schoolbook" w:hAnsi="Century Schoolbook"/>
        </w:rPr>
        <w:t>p</w:t>
      </w:r>
      <w:r>
        <w:rPr>
          <w:rFonts w:ascii="Century Schoolbook" w:hAnsi="Century Schoolbook"/>
        </w:rPr>
        <w:t>leading</w:t>
      </w:r>
      <w:r>
        <w:rPr>
          <w:rFonts w:ascii="Century Schoolbook" w:hAnsi="Century Schoolbook"/>
        </w:rPr>
        <w:t xml:space="preserve">, </w:t>
      </w:r>
      <w:r>
        <w:rPr>
          <w:rFonts w:ascii="Century Schoolbook" w:hAnsi="Century Schoolbook"/>
        </w:rPr>
        <w:t>“During the time period [</w:t>
      </w:r>
      <w:r>
        <w:rPr>
          <w:rFonts w:ascii="Century Schoolbook" w:hAnsi="Century Schoolbook"/>
        </w:rPr>
        <w:t xml:space="preserve">in which </w:t>
      </w:r>
      <w:r>
        <w:rPr>
          <w:rFonts w:ascii="Century Schoolbook" w:hAnsi="Century Schoolbook"/>
        </w:rPr>
        <w:t xml:space="preserve">Valero] and Dellard both provided care for Mr. Barton, their personal and professional relationship deteriorated and became contentious. [Valero] is informed and believes … that Dellard developed a strong dislike </w:t>
      </w:r>
      <w:r>
        <w:rPr>
          <w:rFonts w:ascii="Century Schoolbook" w:hAnsi="Century Schoolbook"/>
        </w:rPr>
        <w:t>for [Valero].</w:t>
      </w:r>
      <w:r>
        <w:rPr>
          <w:rFonts w:ascii="Century Schoolbook" w:hAnsi="Century Schoolbook"/>
        </w:rPr>
        <w:t>”</w:t>
      </w:r>
      <w:r>
        <w:rPr>
          <w:rFonts w:ascii="Century Schoolbook" w:hAnsi="Century Schoolbook"/>
        </w:rPr>
        <w:t xml:space="preserve"> </w:t>
      </w:r>
    </w:p>
    <w:p w14:paraId="39107DCC" w14:textId="77777777" w:rsidR="00554C78" w:rsidRDefault="00F5385E" w:rsidP="00931DF3">
      <w:pPr>
        <w:rPr>
          <w:rFonts w:ascii="Century Schoolbook" w:hAnsi="Century Schoolbook"/>
        </w:rPr>
      </w:pPr>
      <w:r>
        <w:rPr>
          <w:rFonts w:ascii="Century Schoolbook" w:hAnsi="Century Schoolbook"/>
        </w:rPr>
        <w:tab/>
        <w:t>On “January 11, 2018, shortly after 2:00 p.m., [Valero] finished her shift at Mr. Barton’s residence. After [Valero] had left the premises,</w:t>
      </w:r>
      <w:r>
        <w:rPr>
          <w:rFonts w:ascii="Century Schoolbook" w:hAnsi="Century Schoolbook"/>
        </w:rPr>
        <w:t xml:space="preserve"> </w:t>
      </w:r>
      <w:r>
        <w:rPr>
          <w:rFonts w:ascii="Century Schoolbook" w:hAnsi="Century Schoolbook"/>
        </w:rPr>
        <w:t>. . .</w:t>
      </w:r>
      <w:r>
        <w:rPr>
          <w:rFonts w:ascii="Century Schoolbook" w:hAnsi="Century Schoolbook"/>
        </w:rPr>
        <w:t xml:space="preserve"> Dellard arrived late for her shift, which was supposed to start at 2:00 p.m. Ms. Dellard, </w:t>
      </w:r>
      <w:r>
        <w:rPr>
          <w:rFonts w:ascii="Century Schoolbook" w:hAnsi="Century Schoolbook"/>
        </w:rPr>
        <w:lastRenderedPageBreak/>
        <w:t>wit</w:t>
      </w:r>
      <w:r>
        <w:rPr>
          <w:rFonts w:ascii="Century Schoolbook" w:hAnsi="Century Schoolbook"/>
        </w:rPr>
        <w:t xml:space="preserve">hout any information, evidence or suspicion that Mr. Barton had been the victim of abuse, called law enforcement and falsely reported that she [had] witnessed </w:t>
      </w:r>
      <w:r>
        <w:rPr>
          <w:rFonts w:ascii="Century Schoolbook" w:hAnsi="Century Schoolbook"/>
        </w:rPr>
        <w:t>[Valero] attempting to smother Mr. Barton to death with a pillow when she arrived at Mr. Barton’s</w:t>
      </w:r>
      <w:r>
        <w:rPr>
          <w:rFonts w:ascii="Century Schoolbook" w:hAnsi="Century Schoolbook"/>
        </w:rPr>
        <w:t xml:space="preserve"> residence to start her shift. Ms. Dellard’s statements to the police were untrue. Indeed, Ms. Dellard </w:t>
      </w:r>
      <w:r>
        <w:rPr>
          <w:rFonts w:ascii="Century Schoolbook" w:hAnsi="Century Schoolbook"/>
        </w:rPr>
        <w:t xml:space="preserve">never observed any interaction between [Valero] and Barton that day because when she arrived at Barton’s residence, [Valero] was no longer there. </w:t>
      </w:r>
      <w:r w:rsidRPr="008E728C">
        <w:rPr>
          <w:rFonts w:ascii="Century Schoolbook" w:hAnsi="Century Schoolbook"/>
          <w:i/>
          <w:iCs/>
        </w:rPr>
        <w:t>Ms. Del</w:t>
      </w:r>
      <w:r w:rsidRPr="008E728C">
        <w:rPr>
          <w:rFonts w:ascii="Century Schoolbook" w:hAnsi="Century Schoolbook"/>
          <w:i/>
          <w:iCs/>
        </w:rPr>
        <w:t xml:space="preserve">lard’s report to law enforcement was not a report of any instance of actual, known, communicated, or suspected abuse, but a fabrication from whole cloth of a scenario created in </w:t>
      </w:r>
      <w:r w:rsidRPr="008E728C">
        <w:rPr>
          <w:rFonts w:ascii="Century Schoolbook" w:hAnsi="Century Schoolbook"/>
          <w:i/>
          <w:iCs/>
        </w:rPr>
        <w:t>Ms.</w:t>
      </w:r>
      <w:r>
        <w:rPr>
          <w:rFonts w:ascii="Century Schoolbook" w:hAnsi="Century Schoolbook"/>
          <w:i/>
          <w:iCs/>
        </w:rPr>
        <w:t> </w:t>
      </w:r>
      <w:r w:rsidRPr="008E728C">
        <w:rPr>
          <w:rFonts w:ascii="Century Schoolbook" w:hAnsi="Century Schoolbook"/>
          <w:i/>
          <w:iCs/>
        </w:rPr>
        <w:t>Dellard’s imagination, maliciously, and with the sole purpose of having [V</w:t>
      </w:r>
      <w:r w:rsidRPr="008E728C">
        <w:rPr>
          <w:rFonts w:ascii="Century Schoolbook" w:hAnsi="Century Schoolbook"/>
          <w:i/>
          <w:iCs/>
        </w:rPr>
        <w:t>alero] arrested and prosecuted for a serious felony</w:t>
      </w:r>
      <w:r>
        <w:rPr>
          <w:rFonts w:ascii="Century Schoolbook" w:hAnsi="Century Schoolbook"/>
        </w:rPr>
        <w:t>. Therefore, Ms. Dellard’s report is not subject to any immunity conferred on mandated reporters. (</w:t>
      </w:r>
      <w:r>
        <w:rPr>
          <w:rFonts w:ascii="Century Schoolbook" w:hAnsi="Century Schoolbook"/>
        </w:rPr>
        <w:t xml:space="preserve">. . . </w:t>
      </w:r>
      <w:r>
        <w:rPr>
          <w:rFonts w:ascii="Century Schoolbook" w:hAnsi="Century Schoolbook"/>
        </w:rPr>
        <w:t>§</w:t>
      </w:r>
      <w:r>
        <w:rPr>
          <w:rFonts w:ascii="Century Schoolbook" w:hAnsi="Century Schoolbook"/>
        </w:rPr>
        <w:t> </w:t>
      </w:r>
      <w:r w:rsidRPr="00A6754A">
        <w:rPr>
          <w:rFonts w:ascii="Century Schoolbook" w:hAnsi="Century Schoolbook"/>
        </w:rPr>
        <w:t>15630</w:t>
      </w:r>
      <w:r>
        <w:rPr>
          <w:rFonts w:ascii="Century Schoolbook" w:hAnsi="Century Schoolbook"/>
        </w:rPr>
        <w:t>, subd. (b).</w:t>
      </w:r>
      <w:r>
        <w:rPr>
          <w:rFonts w:ascii="Century Schoolbook" w:hAnsi="Century Schoolbook"/>
        </w:rPr>
        <w:t>)</w:t>
      </w:r>
      <w:r>
        <w:rPr>
          <w:rFonts w:ascii="Century Schoolbook" w:hAnsi="Century Schoolbook"/>
        </w:rPr>
        <w:t xml:space="preserve">” </w:t>
      </w:r>
      <w:r>
        <w:rPr>
          <w:rFonts w:ascii="Century Schoolbook" w:hAnsi="Century Schoolbook"/>
        </w:rPr>
        <w:t xml:space="preserve">(Italics added.) </w:t>
      </w:r>
    </w:p>
    <w:p w14:paraId="48B6BA80" w14:textId="77777777" w:rsidR="00877951" w:rsidRDefault="00F5385E" w:rsidP="00931DF3">
      <w:pPr>
        <w:rPr>
          <w:rFonts w:ascii="Century Schoolbook" w:hAnsi="Century Schoolbook"/>
        </w:rPr>
      </w:pPr>
      <w:r>
        <w:rPr>
          <w:rFonts w:ascii="Century Schoolbook" w:hAnsi="Century Schoolbook"/>
        </w:rPr>
        <w:tab/>
      </w:r>
      <w:r>
        <w:rPr>
          <w:rFonts w:ascii="Century Schoolbook" w:hAnsi="Century Schoolbook"/>
        </w:rPr>
        <w:t xml:space="preserve">“After making the fabricated report to law enforcement, Ms. Dellard </w:t>
      </w:r>
      <w:r>
        <w:rPr>
          <w:rFonts w:ascii="Century Schoolbook" w:hAnsi="Century Schoolbook"/>
        </w:rPr>
        <w:t xml:space="preserve">took advantage of Barton’s limited mental capacity and physical disabilities by influencing, intimidating, and coercing him into falsely </w:t>
      </w:r>
      <w:r>
        <w:rPr>
          <w:rFonts w:ascii="Century Schoolbook" w:hAnsi="Century Schoolbook"/>
        </w:rPr>
        <w:t>confirming to law enforcement the fabricated report</w:t>
      </w:r>
      <w:r>
        <w:rPr>
          <w:rFonts w:ascii="Century Schoolbook" w:hAnsi="Century Schoolbook"/>
        </w:rPr>
        <w:t xml:space="preserve"> that Dellard had made, namely that [Valero] [had] attempted to smother Mr. Barton with a pillow. Mr. Barton would not have made this false report in the absence of the coercion and influence of Ms.</w:t>
      </w:r>
      <w:r>
        <w:rPr>
          <w:rFonts w:ascii="Century Schoolbook" w:hAnsi="Century Schoolbook"/>
        </w:rPr>
        <w:t> </w:t>
      </w:r>
      <w:r>
        <w:rPr>
          <w:rFonts w:ascii="Century Schoolbook" w:hAnsi="Century Schoolbook"/>
        </w:rPr>
        <w:t xml:space="preserve">Dellard. </w:t>
      </w:r>
      <w:r w:rsidRPr="00AC4B0E">
        <w:rPr>
          <w:rFonts w:ascii="Century Schoolbook" w:hAnsi="Century Schoolbook"/>
          <w:i/>
          <w:iCs/>
        </w:rPr>
        <w:t>Ms. Dellard’s actions in influencing and coercin</w:t>
      </w:r>
      <w:r w:rsidRPr="00AC4B0E">
        <w:rPr>
          <w:rFonts w:ascii="Century Schoolbook" w:hAnsi="Century Schoolbook"/>
          <w:i/>
          <w:iCs/>
        </w:rPr>
        <w:t xml:space="preserve">g Mr. Barton to falsely </w:t>
      </w:r>
      <w:r w:rsidRPr="00AC4B0E">
        <w:rPr>
          <w:rFonts w:ascii="Century Schoolbook" w:hAnsi="Century Schoolbook"/>
          <w:i/>
          <w:iCs/>
        </w:rPr>
        <w:t>identify</w:t>
      </w:r>
      <w:r w:rsidRPr="00AC4B0E">
        <w:rPr>
          <w:rFonts w:ascii="Century Schoolbook" w:hAnsi="Century Schoolbook"/>
          <w:i/>
          <w:iCs/>
        </w:rPr>
        <w:t xml:space="preserve"> </w:t>
      </w:r>
      <w:r w:rsidRPr="001715A3">
        <w:rPr>
          <w:rFonts w:ascii="Century Schoolbook" w:hAnsi="Century Schoolbook"/>
        </w:rPr>
        <w:t>[</w:t>
      </w:r>
      <w:r w:rsidRPr="00AC4B0E">
        <w:rPr>
          <w:rFonts w:ascii="Century Schoolbook" w:hAnsi="Century Schoolbook"/>
          <w:i/>
          <w:iCs/>
        </w:rPr>
        <w:t>Valero</w:t>
      </w:r>
      <w:r w:rsidRPr="001715A3">
        <w:rPr>
          <w:rFonts w:ascii="Century Schoolbook" w:hAnsi="Century Schoolbook"/>
        </w:rPr>
        <w:t>]</w:t>
      </w:r>
      <w:r w:rsidRPr="00AC4B0E">
        <w:rPr>
          <w:rFonts w:ascii="Century Schoolbook" w:hAnsi="Century Schoolbook"/>
          <w:i/>
          <w:iCs/>
        </w:rPr>
        <w:t xml:space="preserve"> as the perpetrator of an attempted murder were not done as part of any reporting obligations, but instead as a ‘private citizen</w:t>
      </w:r>
      <w:r w:rsidRPr="001715A3">
        <w:rPr>
          <w:rFonts w:ascii="Century Schoolbook" w:hAnsi="Century Schoolbook"/>
        </w:rPr>
        <w:t>[] [</w:t>
      </w:r>
      <w:r w:rsidRPr="00AC4B0E">
        <w:rPr>
          <w:rFonts w:ascii="Century Schoolbook" w:hAnsi="Century Schoolbook"/>
          <w:i/>
          <w:iCs/>
        </w:rPr>
        <w:t>who became</w:t>
      </w:r>
      <w:r w:rsidRPr="001715A3">
        <w:rPr>
          <w:rFonts w:ascii="Century Schoolbook" w:hAnsi="Century Schoolbook"/>
        </w:rPr>
        <w:t>]</w:t>
      </w:r>
      <w:r w:rsidRPr="00AC4B0E">
        <w:rPr>
          <w:rFonts w:ascii="Century Schoolbook" w:hAnsi="Century Schoolbook"/>
          <w:i/>
          <w:iCs/>
        </w:rPr>
        <w:t xml:space="preserve"> deeply enmeshed in investigatory or prosecutorial activities and </w:t>
      </w:r>
      <w:r w:rsidRPr="001715A3">
        <w:rPr>
          <w:rFonts w:ascii="Century Schoolbook" w:hAnsi="Century Schoolbook"/>
        </w:rPr>
        <w:t>[</w:t>
      </w:r>
      <w:r w:rsidRPr="00AC4B0E">
        <w:rPr>
          <w:rFonts w:ascii="Century Schoolbook" w:hAnsi="Century Schoolbook"/>
          <w:i/>
          <w:iCs/>
        </w:rPr>
        <w:t>took</w:t>
      </w:r>
      <w:r w:rsidRPr="001715A3">
        <w:rPr>
          <w:rFonts w:ascii="Century Schoolbook" w:hAnsi="Century Schoolbook"/>
        </w:rPr>
        <w:t>]</w:t>
      </w:r>
      <w:r w:rsidRPr="00AC4B0E">
        <w:rPr>
          <w:rFonts w:ascii="Century Schoolbook" w:hAnsi="Century Schoolbook"/>
          <w:i/>
          <w:iCs/>
        </w:rPr>
        <w:t xml:space="preserve"> on functions of the police.’ </w:t>
      </w:r>
      <w:r>
        <w:rPr>
          <w:rFonts w:ascii="Century Schoolbook" w:hAnsi="Century Schoolbook"/>
        </w:rPr>
        <w:t>(</w:t>
      </w:r>
      <w:r w:rsidRPr="00877951">
        <w:rPr>
          <w:rFonts w:ascii="Century Schoolbook" w:hAnsi="Century Schoolbook"/>
          <w:i/>
          <w:iCs/>
        </w:rPr>
        <w:t>James W. v. Superior Court</w:t>
      </w:r>
      <w:r>
        <w:rPr>
          <w:rFonts w:ascii="Century Schoolbook" w:hAnsi="Century Schoolbook"/>
        </w:rPr>
        <w:t xml:space="preserve"> (1993) 17 Cal.App.4th 246, 257 [(</w:t>
      </w:r>
      <w:r w:rsidRPr="00877951">
        <w:rPr>
          <w:rFonts w:ascii="Century Schoolbook" w:hAnsi="Century Schoolbook"/>
          <w:i/>
          <w:iCs/>
        </w:rPr>
        <w:t>James W.</w:t>
      </w:r>
      <w:r>
        <w:rPr>
          <w:rFonts w:ascii="Century Schoolbook" w:hAnsi="Century Schoolbook"/>
        </w:rPr>
        <w:t xml:space="preserve">)].) As such, Ms. Dellard’s coercion of Mr. Barton following Dellard’s report to law enforcement </w:t>
      </w:r>
      <w:r>
        <w:rPr>
          <w:rFonts w:ascii="Century Schoolbook" w:hAnsi="Century Schoolbook"/>
        </w:rPr>
        <w:t>[is]</w:t>
      </w:r>
      <w:r>
        <w:rPr>
          <w:rFonts w:ascii="Century Schoolbook" w:hAnsi="Century Schoolbook"/>
        </w:rPr>
        <w:t xml:space="preserve"> not subject to any immunities conferred on mandated reporters.” </w:t>
      </w:r>
      <w:r>
        <w:rPr>
          <w:rFonts w:ascii="Century Schoolbook" w:hAnsi="Century Schoolbook"/>
        </w:rPr>
        <w:t xml:space="preserve">(Italics added.) </w:t>
      </w:r>
    </w:p>
    <w:p w14:paraId="251D8D9A" w14:textId="77777777" w:rsidR="00091775" w:rsidRDefault="00F5385E" w:rsidP="00931DF3">
      <w:pPr>
        <w:rPr>
          <w:rFonts w:ascii="Century Schoolbook" w:hAnsi="Century Schoolbook"/>
        </w:rPr>
      </w:pPr>
      <w:r>
        <w:rPr>
          <w:rFonts w:ascii="Century Schoolbook" w:hAnsi="Century Schoolbook"/>
        </w:rPr>
        <w:lastRenderedPageBreak/>
        <w:tab/>
        <w:t>“Based on the false report by Dellard and the coerced false report of Barton, the police arrested [Valero], and the Stanislaus County District Attorney’s Office charged and</w:t>
      </w:r>
      <w:r>
        <w:rPr>
          <w:rFonts w:ascii="Century Schoolbook" w:hAnsi="Century Schoolbook"/>
        </w:rPr>
        <w:t xml:space="preserve"> prosecuted [</w:t>
      </w:r>
      <w:r>
        <w:rPr>
          <w:rFonts w:ascii="Century Schoolbook" w:hAnsi="Century Schoolbook"/>
        </w:rPr>
        <w:t>her for]</w:t>
      </w:r>
      <w:r>
        <w:rPr>
          <w:rFonts w:ascii="Century Schoolbook" w:hAnsi="Century Schoolbook"/>
        </w:rPr>
        <w:t xml:space="preserve"> attempted murder. The report of either Dellard or Barton, standing alone, would have been sufficient to move the authorities to arrest and prosecute [Valero]. [Valero] was incarcerated for approximately 28 days, during which tim</w:t>
      </w:r>
      <w:r>
        <w:rPr>
          <w:rFonts w:ascii="Century Schoolbook" w:hAnsi="Century Schoolbook"/>
        </w:rPr>
        <w:t>e</w:t>
      </w:r>
      <w:r>
        <w:rPr>
          <w:rFonts w:ascii="Century Schoolbook" w:hAnsi="Century Schoolbook"/>
        </w:rPr>
        <w:t xml:space="preserve"> [she</w:t>
      </w:r>
      <w:r>
        <w:rPr>
          <w:rFonts w:ascii="Century Schoolbook" w:hAnsi="Century Schoolbook"/>
        </w:rPr>
        <w:t>] did not have the means to post bail. Evidence proving [Valero]’s innocence came to light, resulting in her release from jail and the dismissal of all charges against her. This evidence also conclusively establishes that the statements made by Dellard and</w:t>
      </w:r>
      <w:r>
        <w:rPr>
          <w:rFonts w:ascii="Century Schoolbook" w:hAnsi="Century Schoolbook"/>
        </w:rPr>
        <w:t xml:space="preserve"> Barton in order to have [Valero] arrested and criminally charged were unequivocally false.” </w:t>
      </w:r>
    </w:p>
    <w:p w14:paraId="79CE2342" w14:textId="77777777" w:rsidR="003B7649" w:rsidRDefault="00F5385E" w:rsidP="00931DF3">
      <w:pPr>
        <w:rPr>
          <w:rFonts w:ascii="Century Schoolbook" w:hAnsi="Century Schoolbook"/>
        </w:rPr>
      </w:pPr>
      <w:r>
        <w:rPr>
          <w:rFonts w:ascii="Century Schoolbook" w:hAnsi="Century Schoolbook"/>
        </w:rPr>
        <w:tab/>
        <w:t>“[Valero] suffered, and will likely continue to suffer for the rest of her life, tremendous physical, mental, emotional, and economic injuries and damages due to</w:t>
      </w:r>
      <w:r>
        <w:rPr>
          <w:rFonts w:ascii="Century Schoolbook" w:hAnsi="Century Schoolbook"/>
        </w:rPr>
        <w:t xml:space="preserve"> the prolonged </w:t>
      </w:r>
      <w:r>
        <w:rPr>
          <w:rFonts w:ascii="Century Schoolbook" w:hAnsi="Century Schoolbook"/>
        </w:rPr>
        <w:t>incarceration for a very serious crime that Dellard and Barton falsely accused her of committing. [¶</w:t>
      </w:r>
      <w:r>
        <w:rPr>
          <w:rFonts w:ascii="Century Schoolbook" w:hAnsi="Century Schoolbook"/>
        </w:rPr>
        <w:t>] . . . [</w:t>
      </w:r>
      <w:r>
        <w:rPr>
          <w:rFonts w:ascii="Century Schoolbook" w:hAnsi="Century Schoolbook"/>
        </w:rPr>
        <w:t>¶] In doing the things here alleged, Dellard and Barton were actively involved in causing [Valero] to be arrested, charged, and pros</w:t>
      </w:r>
      <w:r>
        <w:rPr>
          <w:rFonts w:ascii="Century Schoolbook" w:hAnsi="Century Schoolbook"/>
        </w:rPr>
        <w:t>ecuted with the crime of attempted murder. [¶] The charges were all dropped as soon as evidence surfaced showing that [Valero] was innocent of all charges and that Dellard and Barton [had] made deliberately false allegations to the police and/or prosecutin</w:t>
      </w:r>
      <w:r>
        <w:rPr>
          <w:rFonts w:ascii="Century Schoolbook" w:hAnsi="Century Schoolbook"/>
        </w:rPr>
        <w:t>g authorities. [¶]</w:t>
      </w:r>
      <w:r>
        <w:rPr>
          <w:rFonts w:ascii="Century Schoolbook" w:hAnsi="Century Schoolbook"/>
        </w:rPr>
        <w:t> </w:t>
      </w:r>
      <w:r>
        <w:rPr>
          <w:rFonts w:ascii="Century Schoolbook" w:hAnsi="Century Schoolbook"/>
        </w:rPr>
        <w:t xml:space="preserve">Dellard and Barton made the false report with malice and for the sole purpose of having [Valero] arrested and prosecuted for a crime she did not commit. [¶] The actions of Dellard </w:t>
      </w:r>
      <w:r>
        <w:rPr>
          <w:rFonts w:ascii="Century Schoolbook" w:hAnsi="Century Schoolbook"/>
        </w:rPr>
        <w:t xml:space="preserve">and Barton were malicious in that they intended to cause </w:t>
      </w:r>
      <w:r>
        <w:rPr>
          <w:rFonts w:ascii="Century Schoolbook" w:hAnsi="Century Schoolbook"/>
        </w:rPr>
        <w:t xml:space="preserve">harm to [Valero], or were done in a despicable manner and with willful and reckless disregard for [Valero]’s rights and safety. [Valero] is </w:t>
      </w:r>
      <w:r>
        <w:rPr>
          <w:rFonts w:ascii="Century Schoolbook" w:hAnsi="Century Schoolbook"/>
        </w:rPr>
        <w:lastRenderedPageBreak/>
        <w:t>therefore entitled to an award of exemplary damages against Dellard and Barton, in an amount to punish and deter thi</w:t>
      </w:r>
      <w:r>
        <w:rPr>
          <w:rFonts w:ascii="Century Schoolbook" w:hAnsi="Century Schoolbook"/>
        </w:rPr>
        <w:t>s behavior.</w:t>
      </w:r>
      <w:r>
        <w:rPr>
          <w:rFonts w:ascii="Century Schoolbook" w:hAnsi="Century Schoolbook"/>
        </w:rPr>
        <w:t>”</w:t>
      </w:r>
      <w:r>
        <w:rPr>
          <w:rStyle w:val="FootnoteReference"/>
          <w:rFonts w:ascii="Century Schoolbook" w:hAnsi="Century Schoolbook"/>
        </w:rPr>
        <w:footnoteReference w:id="5"/>
      </w:r>
      <w:r>
        <w:rPr>
          <w:rFonts w:ascii="Century Schoolbook" w:hAnsi="Century Schoolbook"/>
        </w:rPr>
        <w:t xml:space="preserve"> </w:t>
      </w:r>
    </w:p>
    <w:p w14:paraId="742BA4C4" w14:textId="77777777" w:rsidR="003406E7" w:rsidRDefault="00F5385E" w:rsidP="00931DF3">
      <w:pPr>
        <w:rPr>
          <w:rFonts w:ascii="Century Schoolbook" w:hAnsi="Century Schoolbook"/>
        </w:rPr>
      </w:pPr>
      <w:r>
        <w:rPr>
          <w:rFonts w:ascii="Century Schoolbook" w:hAnsi="Century Schoolbook"/>
        </w:rPr>
        <w:tab/>
      </w:r>
      <w:r>
        <w:rPr>
          <w:rFonts w:ascii="Century Schoolbook" w:hAnsi="Century Schoolbook"/>
        </w:rPr>
        <w:t xml:space="preserve">The pleading goes on to allege that </w:t>
      </w:r>
      <w:r>
        <w:rPr>
          <w:rFonts w:ascii="Century Schoolbook" w:hAnsi="Century Schoolbook"/>
        </w:rPr>
        <w:t xml:space="preserve">Spread Your Wings “and/or Dumbuya knew of the unfitness of </w:t>
      </w:r>
      <w:r>
        <w:rPr>
          <w:rFonts w:ascii="Century Schoolbook" w:hAnsi="Century Schoolbook"/>
        </w:rPr>
        <w:t xml:space="preserve">. . . </w:t>
      </w:r>
      <w:r>
        <w:rPr>
          <w:rFonts w:ascii="Century Schoolbook" w:hAnsi="Century Schoolbook"/>
        </w:rPr>
        <w:t xml:space="preserve">Dellard and the risk she posed to [Valero] prior to Ms. Dellard’s false allegations against [Valero]. Nonetheless, despite knowledge of the potential harm Dellard posed to [Valero], these defendants failed to take any action to avoid harm to [Valero], by, </w:t>
      </w:r>
      <w:r>
        <w:rPr>
          <w:rFonts w:ascii="Century Schoolbook" w:hAnsi="Century Schoolbook"/>
        </w:rPr>
        <w:t xml:space="preserve">among other things, </w:t>
      </w:r>
      <w:r>
        <w:rPr>
          <w:rFonts w:ascii="Century Schoolbook" w:hAnsi="Century Schoolbook"/>
        </w:rPr>
        <w:t>training, supervising, reprimanding, and/or terminating Dellard. As such, these defendants are liable for compensatory damages, as well as exemplary damages pursuant to Civil Code section 3294, subdivision (b), in an amount sufficient t</w:t>
      </w:r>
      <w:r>
        <w:rPr>
          <w:rFonts w:ascii="Century Schoolbook" w:hAnsi="Century Schoolbook"/>
        </w:rPr>
        <w:t>o punish and deter these defendants.</w:t>
      </w:r>
      <w:r>
        <w:rPr>
          <w:rFonts w:ascii="Century Schoolbook" w:hAnsi="Century Schoolbook"/>
        </w:rPr>
        <w:t>”</w:t>
      </w:r>
      <w:r>
        <w:rPr>
          <w:rFonts w:ascii="Century Schoolbook" w:hAnsi="Century Schoolbook"/>
        </w:rPr>
        <w:t xml:space="preserve"> </w:t>
      </w:r>
      <w:r>
        <w:rPr>
          <w:rFonts w:ascii="Century Schoolbook" w:hAnsi="Century Schoolbook"/>
        </w:rPr>
        <w:t xml:space="preserve">It further alleged that </w:t>
      </w:r>
      <w:r>
        <w:rPr>
          <w:rFonts w:ascii="Century Schoolbook" w:hAnsi="Century Schoolbook"/>
        </w:rPr>
        <w:t xml:space="preserve">Dellard was </w:t>
      </w:r>
      <w:r>
        <w:rPr>
          <w:rFonts w:ascii="Century Schoolbook" w:hAnsi="Century Schoolbook"/>
        </w:rPr>
        <w:t xml:space="preserve">an employee of Spread Your Wings and was </w:t>
      </w:r>
      <w:r>
        <w:rPr>
          <w:rFonts w:ascii="Century Schoolbook" w:hAnsi="Century Schoolbook"/>
        </w:rPr>
        <w:t>acting in the course and scope of her employment</w:t>
      </w:r>
      <w:r>
        <w:rPr>
          <w:rFonts w:ascii="Century Schoolbook" w:hAnsi="Century Schoolbook"/>
        </w:rPr>
        <w:t xml:space="preserve">, and that </w:t>
      </w:r>
      <w:r>
        <w:rPr>
          <w:rFonts w:ascii="Century Schoolbook" w:hAnsi="Century Schoolbook"/>
        </w:rPr>
        <w:t xml:space="preserve">Spread Your Wings ratified her </w:t>
      </w:r>
      <w:r>
        <w:rPr>
          <w:rFonts w:ascii="Century Schoolbook" w:hAnsi="Century Schoolbook"/>
        </w:rPr>
        <w:t>acts</w:t>
      </w:r>
      <w:r>
        <w:rPr>
          <w:rFonts w:ascii="Century Schoolbook" w:hAnsi="Century Schoolbook"/>
        </w:rPr>
        <w:t xml:space="preserve"> by failing to “reprimand, demote, or terminate</w:t>
      </w:r>
      <w:r>
        <w:rPr>
          <w:rFonts w:ascii="Century Schoolbook" w:hAnsi="Century Schoolbook"/>
        </w:rPr>
        <w:t xml:space="preserve"> her, nor did they do anything else to evidence disapproval of Dellard’s conduct.” </w:t>
      </w:r>
      <w:r>
        <w:rPr>
          <w:rFonts w:ascii="Century Schoolbook" w:hAnsi="Century Schoolbook"/>
        </w:rPr>
        <w:t xml:space="preserve"> </w:t>
      </w:r>
    </w:p>
    <w:p w14:paraId="495CF4E7" w14:textId="77777777" w:rsidR="00931DF3" w:rsidRPr="00D37992" w:rsidRDefault="00F5385E" w:rsidP="00D37992">
      <w:pPr>
        <w:pStyle w:val="ListParagraph"/>
        <w:numPr>
          <w:ilvl w:val="0"/>
          <w:numId w:val="14"/>
        </w:numPr>
        <w:rPr>
          <w:rFonts w:ascii="Century Schoolbook" w:hAnsi="Century Schoolbook"/>
          <w:i/>
          <w:iCs/>
        </w:rPr>
      </w:pPr>
      <w:r w:rsidRPr="00D37992">
        <w:rPr>
          <w:rFonts w:ascii="Century Schoolbook" w:hAnsi="Century Schoolbook"/>
          <w:i/>
          <w:iCs/>
        </w:rPr>
        <w:t>Respondents’ Demurrer</w:t>
      </w:r>
    </w:p>
    <w:p w14:paraId="0E2C2BF2" w14:textId="77777777" w:rsidR="00051943" w:rsidRDefault="00F5385E" w:rsidP="00707276">
      <w:pPr>
        <w:rPr>
          <w:rFonts w:ascii="Century Schoolbook" w:hAnsi="Century Schoolbook"/>
        </w:rPr>
      </w:pPr>
      <w:r>
        <w:tab/>
      </w:r>
      <w:r w:rsidRPr="00707276">
        <w:rPr>
          <w:rFonts w:ascii="Century Schoolbook" w:hAnsi="Century Schoolbook"/>
        </w:rPr>
        <w:t xml:space="preserve">Dellard and Spread Your Wings </w:t>
      </w:r>
      <w:r>
        <w:rPr>
          <w:rFonts w:ascii="Century Schoolbook" w:hAnsi="Century Schoolbook"/>
        </w:rPr>
        <w:t xml:space="preserve">generally </w:t>
      </w:r>
      <w:r>
        <w:rPr>
          <w:rFonts w:ascii="Century Schoolbook" w:hAnsi="Century Schoolbook"/>
        </w:rPr>
        <w:t xml:space="preserve">demurred to Valero’s first amended complaint </w:t>
      </w:r>
      <w:r>
        <w:rPr>
          <w:rFonts w:ascii="Century Schoolbook" w:hAnsi="Century Schoolbook"/>
        </w:rPr>
        <w:t xml:space="preserve">on the ground that it failed to state facts </w:t>
      </w:r>
      <w:r>
        <w:rPr>
          <w:rFonts w:ascii="Century Schoolbook" w:hAnsi="Century Schoolbook"/>
        </w:rPr>
        <w:t>sufficient to constitute a cause of action</w:t>
      </w:r>
      <w:r>
        <w:rPr>
          <w:rFonts w:ascii="Century Schoolbook" w:hAnsi="Century Schoolbook"/>
        </w:rPr>
        <w:t xml:space="preserve"> against them</w:t>
      </w:r>
      <w:r>
        <w:rPr>
          <w:rFonts w:ascii="Century Schoolbook" w:hAnsi="Century Schoolbook"/>
        </w:rPr>
        <w:t xml:space="preserve">. (Code Civ. Proc., § 430.10, subd. </w:t>
      </w:r>
      <w:r w:rsidRPr="00E14F49">
        <w:rPr>
          <w:rFonts w:ascii="Century Schoolbook" w:hAnsi="Century Schoolbook"/>
        </w:rPr>
        <w:t>(e)</w:t>
      </w:r>
      <w:r>
        <w:rPr>
          <w:rFonts w:ascii="Century Schoolbook" w:hAnsi="Century Schoolbook"/>
        </w:rPr>
        <w:t xml:space="preserve">.)  In support of this ground, they argued that they enjoyed </w:t>
      </w:r>
      <w:r>
        <w:rPr>
          <w:rFonts w:ascii="Century Schoolbook" w:hAnsi="Century Schoolbook"/>
        </w:rPr>
        <w:t xml:space="preserve">absolute </w:t>
      </w:r>
      <w:r>
        <w:rPr>
          <w:rFonts w:ascii="Century Schoolbook" w:hAnsi="Century Schoolbook"/>
        </w:rPr>
        <w:t>immunity to civil liability</w:t>
      </w:r>
      <w:r>
        <w:rPr>
          <w:rFonts w:ascii="Century Schoolbook" w:hAnsi="Century Schoolbook"/>
        </w:rPr>
        <w:t xml:space="preserve"> under section 15634</w:t>
      </w:r>
      <w:r>
        <w:rPr>
          <w:rFonts w:ascii="Century Schoolbook" w:hAnsi="Century Schoolbook"/>
        </w:rPr>
        <w:t xml:space="preserve">(a) </w:t>
      </w:r>
      <w:r>
        <w:rPr>
          <w:rFonts w:ascii="Century Schoolbook" w:hAnsi="Century Schoolbook"/>
        </w:rPr>
        <w:t>as Dellard was a “care custodian” providi</w:t>
      </w:r>
      <w:r>
        <w:rPr>
          <w:rFonts w:ascii="Century Schoolbook" w:hAnsi="Century Schoolbook"/>
        </w:rPr>
        <w:t>ng services to a “</w:t>
      </w:r>
      <w:r>
        <w:rPr>
          <w:rFonts w:ascii="Century Schoolbook" w:hAnsi="Century Schoolbook"/>
        </w:rPr>
        <w:t xml:space="preserve"> ‘[</w:t>
      </w:r>
      <w:r>
        <w:rPr>
          <w:rFonts w:ascii="Century Schoolbook" w:hAnsi="Century Schoolbook"/>
        </w:rPr>
        <w:t>d</w:t>
      </w:r>
      <w:r>
        <w:rPr>
          <w:rFonts w:ascii="Century Schoolbook" w:hAnsi="Century Schoolbook"/>
        </w:rPr>
        <w:t>]</w:t>
      </w:r>
      <w:r>
        <w:rPr>
          <w:rFonts w:ascii="Century Schoolbook" w:hAnsi="Century Schoolbook"/>
        </w:rPr>
        <w:t>ependent adult</w:t>
      </w:r>
      <w:r>
        <w:rPr>
          <w:rFonts w:ascii="Century Schoolbook" w:hAnsi="Century Schoolbook"/>
        </w:rPr>
        <w:t xml:space="preserve">’ </w:t>
      </w:r>
      <w:r>
        <w:rPr>
          <w:rFonts w:ascii="Century Schoolbook" w:hAnsi="Century Schoolbook"/>
        </w:rPr>
        <w:t>” under section</w:t>
      </w:r>
      <w:r>
        <w:rPr>
          <w:rFonts w:ascii="Century Schoolbook" w:hAnsi="Century Schoolbook"/>
        </w:rPr>
        <w:t>s</w:t>
      </w:r>
      <w:r>
        <w:rPr>
          <w:rFonts w:ascii="Century Schoolbook" w:hAnsi="Century Schoolbook"/>
        </w:rPr>
        <w:t xml:space="preserve"> </w:t>
      </w:r>
      <w:r w:rsidRPr="0069398A">
        <w:rPr>
          <w:rFonts w:ascii="Century Schoolbook" w:hAnsi="Century Schoolbook"/>
        </w:rPr>
        <w:t>15610.</w:t>
      </w:r>
      <w:r w:rsidRPr="0069398A">
        <w:rPr>
          <w:rFonts w:ascii="Century Schoolbook" w:hAnsi="Century Schoolbook"/>
        </w:rPr>
        <w:t>1</w:t>
      </w:r>
      <w:r w:rsidRPr="0069398A">
        <w:rPr>
          <w:rFonts w:ascii="Century Schoolbook" w:hAnsi="Century Schoolbook"/>
        </w:rPr>
        <w:t>7</w:t>
      </w:r>
      <w:r>
        <w:rPr>
          <w:rFonts w:ascii="Century Schoolbook" w:hAnsi="Century Schoolbook"/>
        </w:rPr>
        <w:t xml:space="preserve"> and 15610.23, respectively</w:t>
      </w:r>
      <w:r>
        <w:rPr>
          <w:rFonts w:ascii="Century Schoolbook" w:hAnsi="Century Schoolbook"/>
        </w:rPr>
        <w:t xml:space="preserve">, </w:t>
      </w:r>
      <w:r>
        <w:rPr>
          <w:rFonts w:ascii="Century Schoolbook" w:hAnsi="Century Schoolbook"/>
        </w:rPr>
        <w:t xml:space="preserve">and she was therefore a “mandated reporter” under section </w:t>
      </w:r>
      <w:r w:rsidRPr="00E95898">
        <w:rPr>
          <w:rFonts w:ascii="Century Schoolbook" w:hAnsi="Century Schoolbook"/>
        </w:rPr>
        <w:t>156</w:t>
      </w:r>
      <w:r>
        <w:rPr>
          <w:rFonts w:ascii="Century Schoolbook" w:hAnsi="Century Schoolbook"/>
        </w:rPr>
        <w:t>30</w:t>
      </w:r>
      <w:r>
        <w:rPr>
          <w:rFonts w:ascii="Century Schoolbook" w:hAnsi="Century Schoolbook"/>
        </w:rPr>
        <w:t xml:space="preserve">. </w:t>
      </w:r>
      <w:r>
        <w:rPr>
          <w:rFonts w:ascii="Century Schoolbook" w:hAnsi="Century Schoolbook"/>
        </w:rPr>
        <w:lastRenderedPageBreak/>
        <w:t xml:space="preserve">As Dellard enjoyed this </w:t>
      </w:r>
      <w:r>
        <w:rPr>
          <w:rFonts w:ascii="Century Schoolbook" w:hAnsi="Century Schoolbook"/>
        </w:rPr>
        <w:t xml:space="preserve">absolute </w:t>
      </w:r>
      <w:r>
        <w:rPr>
          <w:rFonts w:ascii="Century Schoolbook" w:hAnsi="Century Schoolbook"/>
        </w:rPr>
        <w:t xml:space="preserve">immunity, even if her report about Valero had been </w:t>
      </w:r>
      <w:r>
        <w:rPr>
          <w:rFonts w:ascii="Century Schoolbook" w:hAnsi="Century Schoolbook"/>
        </w:rPr>
        <w:t xml:space="preserve">knowingly </w:t>
      </w:r>
      <w:r>
        <w:rPr>
          <w:rFonts w:ascii="Century Schoolbook" w:hAnsi="Century Schoolbook"/>
        </w:rPr>
        <w:t>fals</w:t>
      </w:r>
      <w:r>
        <w:rPr>
          <w:rFonts w:ascii="Century Schoolbook" w:hAnsi="Century Schoolbook"/>
        </w:rPr>
        <w:t xml:space="preserve">e, so did her </w:t>
      </w:r>
      <w:r>
        <w:rPr>
          <w:rFonts w:ascii="Century Schoolbook" w:hAnsi="Century Schoolbook"/>
        </w:rPr>
        <w:t xml:space="preserve">alleged </w:t>
      </w:r>
      <w:r>
        <w:rPr>
          <w:rFonts w:ascii="Century Schoolbook" w:hAnsi="Century Schoolbook"/>
        </w:rPr>
        <w:t xml:space="preserve">employer, Spread Your Wings. </w:t>
      </w:r>
    </w:p>
    <w:p w14:paraId="4F9E9737" w14:textId="77777777" w:rsidR="00840DF3" w:rsidRDefault="00F5385E" w:rsidP="00707276">
      <w:pPr>
        <w:rPr>
          <w:rFonts w:ascii="Century Schoolbook" w:hAnsi="Century Schoolbook"/>
        </w:rPr>
      </w:pPr>
      <w:r>
        <w:rPr>
          <w:rFonts w:ascii="Century Schoolbook" w:hAnsi="Century Schoolbook"/>
        </w:rPr>
        <w:tab/>
        <w:t>Valero</w:t>
      </w:r>
      <w:r>
        <w:rPr>
          <w:rFonts w:ascii="Century Schoolbook" w:hAnsi="Century Schoolbook"/>
        </w:rPr>
        <w:t>’s opposition to the demurrer</w:t>
      </w:r>
      <w:r>
        <w:rPr>
          <w:rFonts w:ascii="Century Schoolbook" w:hAnsi="Century Schoolbook"/>
        </w:rPr>
        <w:t xml:space="preserve"> attempted to avoid </w:t>
      </w:r>
      <w:r>
        <w:rPr>
          <w:rFonts w:ascii="Century Schoolbook" w:hAnsi="Century Schoolbook"/>
        </w:rPr>
        <w:t xml:space="preserve">respondents’ </w:t>
      </w:r>
      <w:r>
        <w:rPr>
          <w:rFonts w:ascii="Century Schoolbook" w:hAnsi="Century Schoolbook"/>
        </w:rPr>
        <w:t xml:space="preserve">claim to </w:t>
      </w:r>
      <w:r>
        <w:rPr>
          <w:rFonts w:ascii="Century Schoolbook" w:hAnsi="Century Schoolbook"/>
        </w:rPr>
        <w:t xml:space="preserve">statutory immunity by contending that because Dellard’s reporting of </w:t>
      </w:r>
      <w:r>
        <w:rPr>
          <w:rFonts w:ascii="Century Schoolbook" w:hAnsi="Century Schoolbook"/>
        </w:rPr>
        <w:t>dependent-adult</w:t>
      </w:r>
      <w:r>
        <w:rPr>
          <w:rFonts w:ascii="Century Schoolbook" w:hAnsi="Century Schoolbook"/>
        </w:rPr>
        <w:t xml:space="preserve"> abuse by Valero had been knowingly false, </w:t>
      </w:r>
      <w:r>
        <w:rPr>
          <w:rFonts w:ascii="Century Schoolbook" w:hAnsi="Century Schoolbook"/>
        </w:rPr>
        <w:t xml:space="preserve">it was not </w:t>
      </w:r>
      <w:r>
        <w:rPr>
          <w:rFonts w:ascii="Century Schoolbook" w:hAnsi="Century Schoolbook"/>
        </w:rPr>
        <w:t xml:space="preserve">based on </w:t>
      </w:r>
      <w:r>
        <w:rPr>
          <w:rFonts w:ascii="Century Schoolbook" w:hAnsi="Century Schoolbook"/>
        </w:rPr>
        <w:t>“</w:t>
      </w:r>
      <w:r>
        <w:rPr>
          <w:rFonts w:ascii="Century Schoolbook" w:hAnsi="Century Schoolbook"/>
        </w:rPr>
        <w:t xml:space="preserve"> ‘</w:t>
      </w:r>
      <w:r>
        <w:rPr>
          <w:rFonts w:ascii="Century Schoolbook" w:hAnsi="Century Schoolbook"/>
        </w:rPr>
        <w:t>an incident that reasonably appears to be physical abuse</w:t>
      </w:r>
      <w:r>
        <w:rPr>
          <w:rFonts w:ascii="Century Schoolbook" w:hAnsi="Century Schoolbook"/>
        </w:rPr>
        <w:t xml:space="preserve">’ </w:t>
      </w:r>
      <w:r>
        <w:rPr>
          <w:rFonts w:ascii="Century Schoolbook" w:hAnsi="Century Schoolbook"/>
        </w:rPr>
        <w:t xml:space="preserve">” or one that could give rise to Dellard having </w:t>
      </w:r>
      <w:r>
        <w:rPr>
          <w:rFonts w:ascii="Century Schoolbook" w:hAnsi="Century Schoolbook"/>
        </w:rPr>
        <w:t>“</w:t>
      </w:r>
      <w:r>
        <w:rPr>
          <w:rFonts w:ascii="Century Schoolbook" w:hAnsi="Century Schoolbook"/>
        </w:rPr>
        <w:t xml:space="preserve"> ‘</w:t>
      </w:r>
      <w:r>
        <w:rPr>
          <w:rFonts w:ascii="Century Schoolbook" w:hAnsi="Century Schoolbook"/>
        </w:rPr>
        <w:t>reasonably suspect[ed] that abuse</w:t>
      </w:r>
      <w:r>
        <w:rPr>
          <w:rFonts w:ascii="Century Schoolbook" w:hAnsi="Century Schoolbook"/>
        </w:rPr>
        <w:t>’ ”</w:t>
      </w:r>
      <w:r>
        <w:rPr>
          <w:rFonts w:ascii="Century Schoolbook" w:hAnsi="Century Schoolbook"/>
        </w:rPr>
        <w:t xml:space="preserve"> </w:t>
      </w:r>
      <w:r>
        <w:rPr>
          <w:rFonts w:ascii="Century Schoolbook" w:hAnsi="Century Schoolbook"/>
        </w:rPr>
        <w:t>(citing §</w:t>
      </w:r>
      <w:r>
        <w:rPr>
          <w:rFonts w:ascii="Century Schoolbook" w:hAnsi="Century Schoolbook"/>
        </w:rPr>
        <w:t> </w:t>
      </w:r>
      <w:r>
        <w:rPr>
          <w:rFonts w:ascii="Century Schoolbook" w:hAnsi="Century Schoolbook"/>
        </w:rPr>
        <w:t>15630, subd. (b))</w:t>
      </w:r>
      <w:r>
        <w:rPr>
          <w:rFonts w:ascii="Century Schoolbook" w:hAnsi="Century Schoolbook"/>
        </w:rPr>
        <w:t>, thus</w:t>
      </w:r>
      <w:r>
        <w:rPr>
          <w:rFonts w:ascii="Century Schoolbook" w:hAnsi="Century Schoolbook"/>
        </w:rPr>
        <w:t xml:space="preserve"> </w:t>
      </w:r>
      <w:r>
        <w:rPr>
          <w:rFonts w:ascii="Century Schoolbook" w:hAnsi="Century Schoolbook"/>
        </w:rPr>
        <w:t xml:space="preserve">triggering the mandatory reporting obligation. </w:t>
      </w:r>
      <w:r>
        <w:rPr>
          <w:rFonts w:ascii="Century Schoolbook" w:hAnsi="Century Schoolbook"/>
        </w:rPr>
        <w:t xml:space="preserve">As the subject of Dellard’s reporting was not </w:t>
      </w:r>
      <w:r>
        <w:rPr>
          <w:rFonts w:ascii="Century Schoolbook" w:hAnsi="Century Schoolbook"/>
        </w:rPr>
        <w:t>“a known or suspected instance of abuse”</w:t>
      </w:r>
      <w:r>
        <w:rPr>
          <w:rFonts w:ascii="Century Schoolbook" w:hAnsi="Century Schoolbook"/>
        </w:rPr>
        <w:t xml:space="preserve"> </w:t>
      </w:r>
      <w:r>
        <w:rPr>
          <w:rFonts w:ascii="Century Schoolbook" w:hAnsi="Century Schoolbook"/>
        </w:rPr>
        <w:t>that compelled mandatory reporting</w:t>
      </w:r>
      <w:r>
        <w:rPr>
          <w:rFonts w:ascii="Century Schoolbook" w:hAnsi="Century Schoolbook"/>
        </w:rPr>
        <w:t xml:space="preserve"> within </w:t>
      </w:r>
      <w:r>
        <w:rPr>
          <w:rFonts w:ascii="Century Schoolbook" w:hAnsi="Century Schoolbook"/>
        </w:rPr>
        <w:t>the me</w:t>
      </w:r>
      <w:r>
        <w:rPr>
          <w:rFonts w:ascii="Century Schoolbook" w:hAnsi="Century Schoolbook"/>
        </w:rPr>
        <w:t>aning of section 15634(a)</w:t>
      </w:r>
      <w:r>
        <w:rPr>
          <w:rFonts w:ascii="Century Schoolbook" w:hAnsi="Century Schoolbook"/>
        </w:rPr>
        <w:t xml:space="preserve">, </w:t>
      </w:r>
      <w:r>
        <w:rPr>
          <w:rFonts w:ascii="Century Schoolbook" w:hAnsi="Century Schoolbook"/>
        </w:rPr>
        <w:t xml:space="preserve">according to Valero, </w:t>
      </w:r>
      <w:r>
        <w:rPr>
          <w:rFonts w:ascii="Century Schoolbook" w:hAnsi="Century Schoolbook"/>
        </w:rPr>
        <w:t xml:space="preserve">the absolute immunity afforded </w:t>
      </w:r>
      <w:r>
        <w:rPr>
          <w:rFonts w:ascii="Century Schoolbook" w:hAnsi="Century Schoolbook"/>
        </w:rPr>
        <w:t>by this subdivision</w:t>
      </w:r>
      <w:r>
        <w:rPr>
          <w:rFonts w:ascii="Century Schoolbook" w:hAnsi="Century Schoolbook"/>
        </w:rPr>
        <w:t xml:space="preserve"> to mandatory reporters did not extend to Dellard</w:t>
      </w:r>
      <w:r>
        <w:rPr>
          <w:rFonts w:ascii="Century Schoolbook" w:hAnsi="Century Schoolbook"/>
        </w:rPr>
        <w:t xml:space="preserve"> or Spread Your Wings</w:t>
      </w:r>
      <w:r>
        <w:rPr>
          <w:rFonts w:ascii="Century Schoolbook" w:hAnsi="Century Schoolbook"/>
        </w:rPr>
        <w:t>,</w:t>
      </w:r>
      <w:r>
        <w:rPr>
          <w:rFonts w:ascii="Century Schoolbook" w:hAnsi="Century Schoolbook"/>
        </w:rPr>
        <w:t xml:space="preserve"> </w:t>
      </w:r>
      <w:r>
        <w:rPr>
          <w:rFonts w:ascii="Century Schoolbook" w:hAnsi="Century Schoolbook"/>
        </w:rPr>
        <w:t xml:space="preserve">notwithstanding their status as mandatory reporters. </w:t>
      </w:r>
    </w:p>
    <w:p w14:paraId="121BEA95" w14:textId="77777777" w:rsidR="002B5B22" w:rsidRDefault="00F5385E" w:rsidP="00707276">
      <w:pPr>
        <w:rPr>
          <w:rFonts w:ascii="Century Schoolbook" w:hAnsi="Century Schoolbook"/>
        </w:rPr>
      </w:pPr>
      <w:r>
        <w:rPr>
          <w:rFonts w:ascii="Century Schoolbook" w:hAnsi="Century Schoolbook"/>
        </w:rPr>
        <w:tab/>
      </w:r>
      <w:r>
        <w:rPr>
          <w:rFonts w:ascii="Century Schoolbook" w:hAnsi="Century Schoolbook"/>
        </w:rPr>
        <w:t xml:space="preserve">In other words, </w:t>
      </w:r>
      <w:r>
        <w:rPr>
          <w:rFonts w:ascii="Century Schoolbook" w:hAnsi="Century Schoolbook"/>
        </w:rPr>
        <w:t>a</w:t>
      </w:r>
      <w:r>
        <w:rPr>
          <w:rFonts w:ascii="Century Schoolbook" w:hAnsi="Century Schoolbook"/>
        </w:rPr>
        <w:t>ccording to</w:t>
      </w:r>
      <w:r>
        <w:rPr>
          <w:rFonts w:ascii="Century Schoolbook" w:hAnsi="Century Schoolbook"/>
        </w:rPr>
        <w:t xml:space="preserve"> </w:t>
      </w:r>
      <w:r>
        <w:rPr>
          <w:rFonts w:ascii="Century Schoolbook" w:hAnsi="Century Schoolbook"/>
        </w:rPr>
        <w:t>Va</w:t>
      </w:r>
      <w:r>
        <w:rPr>
          <w:rFonts w:ascii="Century Schoolbook" w:hAnsi="Century Schoolbook"/>
        </w:rPr>
        <w:t>lero</w:t>
      </w:r>
      <w:r>
        <w:rPr>
          <w:rFonts w:ascii="Century Schoolbook" w:hAnsi="Century Schoolbook"/>
        </w:rPr>
        <w:t xml:space="preserve">, </w:t>
      </w:r>
      <w:r>
        <w:rPr>
          <w:rFonts w:ascii="Century Schoolbook" w:hAnsi="Century Schoolbook"/>
        </w:rPr>
        <w:t>there is no immunity extended to a mandatory reporter who “fabricates an instance of abuse”</w:t>
      </w:r>
      <w:r>
        <w:rPr>
          <w:rFonts w:ascii="Century Schoolbook" w:hAnsi="Century Schoolbook"/>
        </w:rPr>
        <w:t xml:space="preserve"> because </w:t>
      </w:r>
      <w:r>
        <w:rPr>
          <w:rFonts w:ascii="Century Schoolbook" w:hAnsi="Century Schoolbook"/>
        </w:rPr>
        <w:t xml:space="preserve">the protection of </w:t>
      </w:r>
      <w:r>
        <w:rPr>
          <w:rFonts w:ascii="Century Schoolbook" w:hAnsi="Century Schoolbook"/>
        </w:rPr>
        <w:t xml:space="preserve">section 15634(a) </w:t>
      </w:r>
      <w:r>
        <w:rPr>
          <w:rFonts w:ascii="Century Schoolbook" w:hAnsi="Century Schoolbook"/>
        </w:rPr>
        <w:t xml:space="preserve">afforded to mandatory reporters </w:t>
      </w:r>
      <w:r>
        <w:rPr>
          <w:rFonts w:ascii="Century Schoolbook" w:hAnsi="Century Schoolbook"/>
        </w:rPr>
        <w:t xml:space="preserve">reaches </w:t>
      </w:r>
      <w:r>
        <w:rPr>
          <w:rFonts w:ascii="Century Schoolbook" w:hAnsi="Century Schoolbook"/>
        </w:rPr>
        <w:t>only reports of “known or suspected” instances of abuse and a complete fabr</w:t>
      </w:r>
      <w:r>
        <w:rPr>
          <w:rFonts w:ascii="Century Schoolbook" w:hAnsi="Century Schoolbook"/>
        </w:rPr>
        <w:t xml:space="preserve">ication is not such an incident. Valero further sought to separate Dellard’s </w:t>
      </w:r>
      <w:r>
        <w:rPr>
          <w:rFonts w:ascii="Century Schoolbook" w:hAnsi="Century Schoolbook"/>
        </w:rPr>
        <w:t xml:space="preserve">act of </w:t>
      </w:r>
      <w:r>
        <w:rPr>
          <w:rFonts w:ascii="Century Schoolbook" w:hAnsi="Century Schoolbook"/>
        </w:rPr>
        <w:t xml:space="preserve">reporting </w:t>
      </w:r>
      <w:r>
        <w:rPr>
          <w:rFonts w:ascii="Century Schoolbook" w:hAnsi="Century Schoolbook"/>
        </w:rPr>
        <w:t xml:space="preserve">Valero’s </w:t>
      </w:r>
      <w:r>
        <w:rPr>
          <w:rFonts w:ascii="Century Schoolbook" w:hAnsi="Century Schoolbook"/>
        </w:rPr>
        <w:t xml:space="preserve">alleged </w:t>
      </w:r>
      <w:r>
        <w:rPr>
          <w:rFonts w:ascii="Century Schoolbook" w:hAnsi="Century Schoolbook"/>
        </w:rPr>
        <w:t xml:space="preserve">abuse of Barton </w:t>
      </w:r>
      <w:r>
        <w:rPr>
          <w:rFonts w:ascii="Century Schoolbook" w:hAnsi="Century Schoolbook"/>
        </w:rPr>
        <w:t xml:space="preserve">from her post-reporting coercion of Barton </w:t>
      </w:r>
      <w:r>
        <w:rPr>
          <w:rFonts w:ascii="Century Schoolbook" w:hAnsi="Century Schoolbook"/>
        </w:rPr>
        <w:t xml:space="preserve">to </w:t>
      </w:r>
      <w:r>
        <w:rPr>
          <w:rFonts w:ascii="Century Schoolbook" w:hAnsi="Century Schoolbook"/>
        </w:rPr>
        <w:t>false</w:t>
      </w:r>
      <w:r>
        <w:rPr>
          <w:rFonts w:ascii="Century Schoolbook" w:hAnsi="Century Schoolbook"/>
        </w:rPr>
        <w:t>ly</w:t>
      </w:r>
      <w:r>
        <w:rPr>
          <w:rFonts w:ascii="Century Schoolbook" w:hAnsi="Century Schoolbook"/>
        </w:rPr>
        <w:t xml:space="preserve"> </w:t>
      </w:r>
      <w:r>
        <w:rPr>
          <w:rFonts w:ascii="Century Schoolbook" w:hAnsi="Century Schoolbook"/>
        </w:rPr>
        <w:t>corroborate Dellard’s accusation</w:t>
      </w:r>
      <w:r>
        <w:rPr>
          <w:rFonts w:ascii="Century Schoolbook" w:hAnsi="Century Schoolbook"/>
        </w:rPr>
        <w:t xml:space="preserve">. </w:t>
      </w:r>
      <w:r>
        <w:rPr>
          <w:rFonts w:ascii="Century Schoolbook" w:hAnsi="Century Schoolbook"/>
        </w:rPr>
        <w:t>Valero</w:t>
      </w:r>
      <w:r>
        <w:rPr>
          <w:rFonts w:ascii="Century Schoolbook" w:hAnsi="Century Schoolbook"/>
        </w:rPr>
        <w:t xml:space="preserve"> contend</w:t>
      </w:r>
      <w:r>
        <w:rPr>
          <w:rFonts w:ascii="Century Schoolbook" w:hAnsi="Century Schoolbook"/>
        </w:rPr>
        <w:t>ed</w:t>
      </w:r>
      <w:r>
        <w:rPr>
          <w:rFonts w:ascii="Century Schoolbook" w:hAnsi="Century Schoolbook"/>
        </w:rPr>
        <w:t xml:space="preserve"> that this </w:t>
      </w:r>
      <w:r>
        <w:rPr>
          <w:rFonts w:ascii="Century Schoolbook" w:hAnsi="Century Schoolbook"/>
        </w:rPr>
        <w:t>later</w:t>
      </w:r>
      <w:r>
        <w:rPr>
          <w:rFonts w:ascii="Century Schoolbook" w:hAnsi="Century Schoolbook"/>
        </w:rPr>
        <w:t xml:space="preserve"> </w:t>
      </w:r>
      <w:r>
        <w:rPr>
          <w:rFonts w:ascii="Century Schoolbook" w:hAnsi="Century Schoolbook"/>
        </w:rPr>
        <w:t>conduct</w:t>
      </w:r>
      <w:r>
        <w:rPr>
          <w:rFonts w:ascii="Century Schoolbook" w:hAnsi="Century Schoolbook"/>
        </w:rPr>
        <w:t xml:space="preserve"> by </w:t>
      </w:r>
      <w:r>
        <w:rPr>
          <w:rFonts w:ascii="Century Schoolbook" w:hAnsi="Century Schoolbook"/>
        </w:rPr>
        <w:t>Dellard</w:t>
      </w:r>
      <w:r>
        <w:rPr>
          <w:rFonts w:ascii="Century Schoolbook" w:hAnsi="Century Schoolbook"/>
        </w:rPr>
        <w:t xml:space="preserve"> exceeded any statutory immunity </w:t>
      </w:r>
      <w:r>
        <w:rPr>
          <w:rFonts w:ascii="Century Schoolbook" w:hAnsi="Century Schoolbook"/>
        </w:rPr>
        <w:t>Dellard</w:t>
      </w:r>
      <w:r>
        <w:rPr>
          <w:rFonts w:ascii="Century Schoolbook" w:hAnsi="Century Schoolbook"/>
        </w:rPr>
        <w:t xml:space="preserve"> enjoyed as a mandated reporter </w:t>
      </w:r>
      <w:r>
        <w:rPr>
          <w:rFonts w:ascii="Century Schoolbook" w:hAnsi="Century Schoolbook"/>
        </w:rPr>
        <w:t xml:space="preserve">for reports of abuse </w:t>
      </w:r>
      <w:r>
        <w:rPr>
          <w:rFonts w:ascii="Century Schoolbook" w:hAnsi="Century Schoolbook"/>
        </w:rPr>
        <w:t xml:space="preserve">in any event. </w:t>
      </w:r>
    </w:p>
    <w:p w14:paraId="54030230" w14:textId="77777777" w:rsidR="003C7C6B" w:rsidRPr="008E6443" w:rsidRDefault="00F5385E" w:rsidP="00707276">
      <w:pPr>
        <w:rPr>
          <w:rFonts w:ascii="Century Schoolbook" w:hAnsi="Century Schoolbook"/>
        </w:rPr>
      </w:pPr>
      <w:r>
        <w:rPr>
          <w:rFonts w:ascii="Century Schoolbook" w:hAnsi="Century Schoolbook"/>
        </w:rPr>
        <w:tab/>
        <w:t xml:space="preserve">Relying principally on </w:t>
      </w:r>
      <w:r w:rsidRPr="00DE0EEA">
        <w:rPr>
          <w:rFonts w:ascii="Century Schoolbook" w:hAnsi="Century Schoolbook"/>
          <w:i/>
          <w:iCs/>
        </w:rPr>
        <w:t>Easton v. Sutter Coast Hospital</w:t>
      </w:r>
      <w:r>
        <w:rPr>
          <w:rFonts w:ascii="Century Schoolbook" w:hAnsi="Century Schoolbook"/>
        </w:rPr>
        <w:t xml:space="preserve"> (2000) 80 Cal.App.4th 485 (</w:t>
      </w:r>
      <w:r w:rsidRPr="00DE0EEA">
        <w:rPr>
          <w:rFonts w:ascii="Century Schoolbook" w:hAnsi="Century Schoolbook"/>
          <w:i/>
          <w:iCs/>
        </w:rPr>
        <w:t>Easton</w:t>
      </w:r>
      <w:r>
        <w:rPr>
          <w:rFonts w:ascii="Century Schoolbook" w:hAnsi="Century Schoolbook"/>
        </w:rPr>
        <w:t xml:space="preserve">) and </w:t>
      </w:r>
      <w:r w:rsidRPr="00DE0EEA">
        <w:rPr>
          <w:rFonts w:ascii="Century Schoolbook" w:hAnsi="Century Schoolbook"/>
          <w:i/>
          <w:iCs/>
        </w:rPr>
        <w:t>Santos v. Kisco Senior Living, LLC</w:t>
      </w:r>
      <w:r>
        <w:rPr>
          <w:rFonts w:ascii="Century Schoolbook" w:hAnsi="Century Schoolbook"/>
        </w:rPr>
        <w:t xml:space="preserve"> </w:t>
      </w:r>
      <w:r>
        <w:rPr>
          <w:rFonts w:ascii="Century Schoolbook" w:hAnsi="Century Schoolbook"/>
        </w:rPr>
        <w:t>(2016) 1 Cal.App.5th 862 (</w:t>
      </w:r>
      <w:r w:rsidRPr="00DE0EEA">
        <w:rPr>
          <w:rFonts w:ascii="Century Schoolbook" w:hAnsi="Century Schoolbook"/>
          <w:i/>
          <w:iCs/>
        </w:rPr>
        <w:t>Santos</w:t>
      </w:r>
      <w:r>
        <w:rPr>
          <w:rFonts w:ascii="Century Schoolbook" w:hAnsi="Century Schoolbook"/>
        </w:rPr>
        <w:t xml:space="preserve">), the trial court </w:t>
      </w:r>
      <w:r>
        <w:rPr>
          <w:rFonts w:ascii="Century Schoolbook" w:hAnsi="Century Schoolbook"/>
        </w:rPr>
        <w:t xml:space="preserve">in a written order </w:t>
      </w:r>
      <w:r>
        <w:rPr>
          <w:rFonts w:ascii="Century Schoolbook" w:hAnsi="Century Schoolbook"/>
        </w:rPr>
        <w:t xml:space="preserve">sustained </w:t>
      </w:r>
      <w:r>
        <w:rPr>
          <w:rFonts w:ascii="Century Schoolbook" w:hAnsi="Century Schoolbook"/>
        </w:rPr>
        <w:t>respondents’</w:t>
      </w:r>
      <w:r>
        <w:rPr>
          <w:rFonts w:ascii="Century Schoolbook" w:hAnsi="Century Schoolbook"/>
        </w:rPr>
        <w:t xml:space="preserve"> demurrer </w:t>
      </w:r>
      <w:r>
        <w:rPr>
          <w:rFonts w:ascii="Century Schoolbook" w:hAnsi="Century Schoolbook"/>
        </w:rPr>
        <w:t xml:space="preserve">to the first amended complaint </w:t>
      </w:r>
      <w:r>
        <w:rPr>
          <w:rFonts w:ascii="Century Schoolbook" w:hAnsi="Century Schoolbook"/>
        </w:rPr>
        <w:t xml:space="preserve">without leave to amend, </w:t>
      </w:r>
      <w:r>
        <w:rPr>
          <w:rFonts w:ascii="Century Schoolbook" w:hAnsi="Century Schoolbook"/>
        </w:rPr>
        <w:t>conclud</w:t>
      </w:r>
      <w:r>
        <w:rPr>
          <w:rFonts w:ascii="Century Schoolbook" w:hAnsi="Century Schoolbook"/>
        </w:rPr>
        <w:t xml:space="preserve">ing that Dellard and Spread Your Wings </w:t>
      </w:r>
      <w:r>
        <w:rPr>
          <w:rFonts w:ascii="Century Schoolbook" w:hAnsi="Century Schoolbook"/>
        </w:rPr>
        <w:t xml:space="preserve">as mandated reporters </w:t>
      </w:r>
      <w:r>
        <w:rPr>
          <w:rFonts w:ascii="Century Schoolbook" w:hAnsi="Century Schoolbook"/>
        </w:rPr>
        <w:t xml:space="preserve">enjoyed </w:t>
      </w:r>
      <w:r>
        <w:rPr>
          <w:rFonts w:ascii="Century Schoolbook" w:hAnsi="Century Schoolbook"/>
        </w:rPr>
        <w:lastRenderedPageBreak/>
        <w:t>absolute and broad immu</w:t>
      </w:r>
      <w:r>
        <w:rPr>
          <w:rFonts w:ascii="Century Schoolbook" w:hAnsi="Century Schoolbook"/>
        </w:rPr>
        <w:t>nity under section 15634(a), even if Dellard’s reporting about Valero had been knowingly false</w:t>
      </w:r>
      <w:r>
        <w:rPr>
          <w:rFonts w:ascii="Century Schoolbook" w:hAnsi="Century Schoolbook"/>
        </w:rPr>
        <w:t xml:space="preserve">; that Dellard’s alleged later conduct of coercing Barton to corroborate her false report was readily distinguishable from the facts of </w:t>
      </w:r>
      <w:r w:rsidRPr="00DD4EE1">
        <w:rPr>
          <w:rFonts w:ascii="Century Schoolbook" w:hAnsi="Century Schoolbook"/>
          <w:i/>
          <w:iCs/>
        </w:rPr>
        <w:t>James W.</w:t>
      </w:r>
      <w:r>
        <w:rPr>
          <w:rFonts w:ascii="Century Schoolbook" w:hAnsi="Century Schoolbook"/>
          <w:i/>
          <w:iCs/>
        </w:rPr>
        <w:t xml:space="preserve"> </w:t>
      </w:r>
      <w:r w:rsidRPr="008E6443">
        <w:rPr>
          <w:rFonts w:ascii="Century Schoolbook" w:hAnsi="Century Schoolbook"/>
        </w:rPr>
        <w:t xml:space="preserve">and was </w:t>
      </w:r>
      <w:r>
        <w:rPr>
          <w:rFonts w:ascii="Century Schoolbook" w:hAnsi="Century Schoolbook"/>
        </w:rPr>
        <w:t xml:space="preserve">thus </w:t>
      </w:r>
      <w:r w:rsidRPr="008E6443">
        <w:rPr>
          <w:rFonts w:ascii="Century Schoolbook" w:hAnsi="Century Schoolbook"/>
        </w:rPr>
        <w:t>also</w:t>
      </w:r>
      <w:r>
        <w:rPr>
          <w:rFonts w:ascii="Century Schoolbook" w:hAnsi="Century Schoolbook"/>
        </w:rPr>
        <w:t xml:space="preserve"> immune from suit;</w:t>
      </w:r>
      <w:r>
        <w:rPr>
          <w:rFonts w:ascii="Century Schoolbook" w:hAnsi="Century Schoolbook"/>
          <w:i/>
          <w:iCs/>
        </w:rPr>
        <w:t xml:space="preserve"> </w:t>
      </w:r>
      <w:r>
        <w:rPr>
          <w:rFonts w:ascii="Century Schoolbook" w:hAnsi="Century Schoolbook"/>
        </w:rPr>
        <w:t>and that the deficiencies in the first amended complaint could not be cured by further amendment</w:t>
      </w:r>
      <w:r>
        <w:rPr>
          <w:rFonts w:ascii="Century Schoolbook" w:hAnsi="Century Schoolbook"/>
        </w:rPr>
        <w:t>.</w:t>
      </w:r>
      <w:r>
        <w:rPr>
          <w:rStyle w:val="FootnoteReference"/>
          <w:rFonts w:ascii="Century Schoolbook" w:hAnsi="Century Schoolbook"/>
        </w:rPr>
        <w:footnoteReference w:id="6"/>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sidRPr="008E6443">
        <w:rPr>
          <w:rFonts w:ascii="Century Schoolbook" w:hAnsi="Century Schoolbook"/>
        </w:rPr>
        <w:t xml:space="preserve">  </w:t>
      </w:r>
    </w:p>
    <w:p w14:paraId="1277BDC9" w14:textId="77777777" w:rsidR="00D37992" w:rsidRPr="00707276" w:rsidRDefault="00F5385E" w:rsidP="00707276">
      <w:pPr>
        <w:rPr>
          <w:rFonts w:ascii="Century Schoolbook" w:hAnsi="Century Schoolbook"/>
        </w:rPr>
      </w:pPr>
      <w:r>
        <w:rPr>
          <w:rFonts w:ascii="Century Schoolbook" w:hAnsi="Century Schoolbook"/>
        </w:rPr>
        <w:tab/>
        <w:t>Entry of judgment of dismissal as to Spread Your Wings, Dellard, and defendant Andrew Serry Dumbuya followed, from which Valero tim</w:t>
      </w:r>
      <w:r>
        <w:rPr>
          <w:rFonts w:ascii="Century Schoolbook" w:hAnsi="Century Schoolbook"/>
        </w:rPr>
        <w:t>ely appealed.</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sidRPr="00707276">
        <w:rPr>
          <w:rFonts w:ascii="Century Schoolbook" w:hAnsi="Century Schoolbook"/>
        </w:rPr>
        <w:tab/>
      </w:r>
      <w:r w:rsidRPr="00707276">
        <w:rPr>
          <w:rFonts w:ascii="Century Schoolbook" w:hAnsi="Century Schoolbook"/>
        </w:rPr>
        <w:tab/>
      </w:r>
      <w:r w:rsidRPr="00707276">
        <w:rPr>
          <w:rFonts w:ascii="Century Schoolbook" w:hAnsi="Century Schoolbook"/>
        </w:rPr>
        <w:tab/>
      </w:r>
    </w:p>
    <w:p w14:paraId="16B89366" w14:textId="77777777" w:rsidR="00931DF3" w:rsidRPr="006A4A94" w:rsidRDefault="00F5385E" w:rsidP="006A4A94">
      <w:pPr>
        <w:pStyle w:val="ListParagraph"/>
        <w:ind w:left="1440"/>
        <w:rPr>
          <w:rFonts w:ascii="Century Schoolbook" w:hAnsi="Century Schoolbook"/>
        </w:rPr>
      </w:pPr>
      <w:r>
        <w:rPr>
          <w:rFonts w:ascii="Century Schoolbook" w:hAnsi="Century Schoolbook"/>
          <w:i/>
          <w:iCs/>
        </w:rPr>
        <w:tab/>
      </w:r>
      <w:r>
        <w:rPr>
          <w:rFonts w:ascii="Century Schoolbook" w:hAnsi="Century Schoolbook"/>
          <w:i/>
          <w:iCs/>
        </w:rPr>
        <w:tab/>
      </w:r>
      <w:r>
        <w:rPr>
          <w:rFonts w:ascii="Century Schoolbook" w:hAnsi="Century Schoolbook"/>
          <w:i/>
          <w:iCs/>
        </w:rPr>
        <w:tab/>
      </w:r>
      <w:r w:rsidRPr="00931DF3">
        <w:rPr>
          <w:rFonts w:ascii="Century Schoolbook" w:hAnsi="Century Schoolbook"/>
        </w:rPr>
        <w:t>DISCUSSION</w:t>
      </w:r>
    </w:p>
    <w:p w14:paraId="41FB7F8E" w14:textId="77777777" w:rsidR="00931DF3" w:rsidRDefault="00F5385E" w:rsidP="00931DF3">
      <w:pPr>
        <w:pStyle w:val="ListParagraph"/>
        <w:numPr>
          <w:ilvl w:val="0"/>
          <w:numId w:val="13"/>
        </w:numPr>
        <w:rPr>
          <w:rFonts w:ascii="Century Schoolbook" w:hAnsi="Century Schoolbook"/>
          <w:i/>
          <w:iCs/>
        </w:rPr>
      </w:pPr>
      <w:r>
        <w:rPr>
          <w:rFonts w:ascii="Century Schoolbook" w:hAnsi="Century Schoolbook"/>
          <w:i/>
          <w:iCs/>
        </w:rPr>
        <w:t>Standard of Review</w:t>
      </w:r>
    </w:p>
    <w:p w14:paraId="685939B5" w14:textId="77777777" w:rsidR="00EC4FDC" w:rsidRDefault="00F5385E" w:rsidP="00931DF3">
      <w:pPr>
        <w:rPr>
          <w:rFonts w:ascii="Century Schoolbook" w:eastAsia="Times New Roman" w:hAnsi="Century Schoolbook"/>
        </w:rPr>
      </w:pPr>
      <w:r>
        <w:rPr>
          <w:rFonts w:ascii="Century Schoolbook" w:eastAsia="Times New Roman" w:hAnsi="Century Schoolbook"/>
        </w:rPr>
        <w:tab/>
      </w:r>
      <w:r>
        <w:rPr>
          <w:rFonts w:ascii="Century Schoolbook" w:eastAsia="Times New Roman" w:hAnsi="Century Schoolbook"/>
        </w:rPr>
        <w:t>We begin with the standard o</w:t>
      </w:r>
      <w:r>
        <w:rPr>
          <w:rFonts w:ascii="Century Schoolbook" w:eastAsia="Times New Roman" w:hAnsi="Century Schoolbook"/>
        </w:rPr>
        <w:t>f</w:t>
      </w:r>
      <w:r>
        <w:rPr>
          <w:rFonts w:ascii="Century Schoolbook" w:eastAsia="Times New Roman" w:hAnsi="Century Schoolbook"/>
        </w:rPr>
        <w:t xml:space="preserve"> </w:t>
      </w:r>
      <w:r>
        <w:rPr>
          <w:rFonts w:ascii="Century Schoolbook" w:eastAsia="Times New Roman" w:hAnsi="Century Schoolbook"/>
        </w:rPr>
        <w:t>review</w:t>
      </w:r>
      <w:r>
        <w:rPr>
          <w:rFonts w:ascii="Century Schoolbook" w:eastAsia="Times New Roman" w:hAnsi="Century Schoolbook"/>
        </w:rPr>
        <w:t xml:space="preserve"> </w:t>
      </w:r>
      <w:r>
        <w:rPr>
          <w:rFonts w:ascii="Century Schoolbook" w:eastAsia="Times New Roman" w:hAnsi="Century Schoolbook"/>
        </w:rPr>
        <w:t xml:space="preserve">on appeal </w:t>
      </w:r>
      <w:r>
        <w:rPr>
          <w:rFonts w:ascii="Century Schoolbook" w:eastAsia="Times New Roman" w:hAnsi="Century Schoolbook"/>
        </w:rPr>
        <w:t xml:space="preserve">from an order sustaining a demurrer, </w:t>
      </w:r>
      <w:r>
        <w:rPr>
          <w:rFonts w:ascii="Century Schoolbook" w:eastAsia="Times New Roman" w:hAnsi="Century Schoolbook"/>
        </w:rPr>
        <w:t>appealable</w:t>
      </w:r>
      <w:r>
        <w:rPr>
          <w:rFonts w:ascii="Century Schoolbook" w:eastAsia="Times New Roman" w:hAnsi="Century Schoolbook"/>
        </w:rPr>
        <w:t xml:space="preserve"> </w:t>
      </w:r>
      <w:r>
        <w:rPr>
          <w:rFonts w:ascii="Century Schoolbook" w:eastAsia="Times New Roman" w:hAnsi="Century Schoolbook"/>
        </w:rPr>
        <w:t xml:space="preserve">here </w:t>
      </w:r>
      <w:r>
        <w:rPr>
          <w:rFonts w:ascii="Century Schoolbook" w:eastAsia="Times New Roman" w:hAnsi="Century Schoolbook"/>
        </w:rPr>
        <w:t>from the ensuing judgment of dismissal.</w:t>
      </w:r>
      <w:r>
        <w:rPr>
          <w:rFonts w:ascii="Century Schoolbook" w:eastAsia="Times New Roman" w:hAnsi="Century Schoolbook"/>
        </w:rPr>
        <w:t xml:space="preserve"> </w:t>
      </w:r>
      <w:r>
        <w:rPr>
          <w:rFonts w:ascii="Century Schoolbook" w:eastAsia="Times New Roman" w:hAnsi="Century Schoolbook"/>
        </w:rPr>
        <w:t xml:space="preserve">“On appeal from a judgment dismissing an action after </w:t>
      </w:r>
      <w:r>
        <w:rPr>
          <w:rFonts w:ascii="Century Schoolbook" w:eastAsia="Times New Roman" w:hAnsi="Century Schoolbook"/>
        </w:rPr>
        <w:t>sustaining a demurrer without leave to amend, the standard of review is well</w:t>
      </w:r>
      <w:r>
        <w:rPr>
          <w:rFonts w:ascii="Century Schoolbook" w:eastAsia="Times New Roman" w:hAnsi="Century Schoolbook"/>
        </w:rPr>
        <w:t>[-]</w:t>
      </w:r>
      <w:r>
        <w:rPr>
          <w:rFonts w:ascii="Century Schoolbook" w:eastAsia="Times New Roman" w:hAnsi="Century Schoolbook"/>
        </w:rPr>
        <w:t>settled. We give the complaint a reasonable interpretation, reading it as a whole and its parts in their context. [Citation.] Further, we treat the demurrer as admitting all mat</w:t>
      </w:r>
      <w:r>
        <w:rPr>
          <w:rFonts w:ascii="Century Schoolbook" w:eastAsia="Times New Roman" w:hAnsi="Century Schoolbook"/>
        </w:rPr>
        <w:t>erial facts properly pleaded, but do not assume the truth of contentions, deductions or conclusions of law. [Citations.] When a demurrer is sustained, we determine whether the complaint states facts sufficient to constitute a cause of action. [Citation.]</w:t>
      </w:r>
      <w:r>
        <w:rPr>
          <w:rFonts w:ascii="Century Schoolbook" w:eastAsia="Times New Roman" w:hAnsi="Century Schoolbook"/>
        </w:rPr>
        <w:t xml:space="preserve">” </w:t>
      </w:r>
      <w:r>
        <w:rPr>
          <w:rFonts w:ascii="Century Schoolbook" w:eastAsia="Times New Roman" w:hAnsi="Century Schoolbook"/>
        </w:rPr>
        <w:t>(</w:t>
      </w:r>
      <w:r w:rsidRPr="00EC4FDC">
        <w:rPr>
          <w:rFonts w:ascii="Century Schoolbook" w:eastAsia="Times New Roman" w:hAnsi="Century Schoolbook"/>
          <w:i/>
          <w:iCs/>
        </w:rPr>
        <w:t>City of Dinuba v. County of Tulare</w:t>
      </w:r>
      <w:r>
        <w:rPr>
          <w:rFonts w:ascii="Century Schoolbook" w:eastAsia="Times New Roman" w:hAnsi="Century Schoolbook"/>
        </w:rPr>
        <w:t xml:space="preserve"> (2007) 41 Cal.4th 859, 865</w:t>
      </w:r>
      <w:r>
        <w:rPr>
          <w:rFonts w:ascii="Century Schoolbook" w:eastAsia="Times New Roman" w:hAnsi="Century Schoolbook"/>
        </w:rPr>
        <w:t xml:space="preserve">; see also </w:t>
      </w:r>
      <w:r w:rsidRPr="00EC4FDC">
        <w:rPr>
          <w:rFonts w:ascii="Century Schoolbook" w:eastAsia="Times New Roman" w:hAnsi="Century Schoolbook"/>
          <w:i/>
          <w:iCs/>
        </w:rPr>
        <w:t>Blank v. Kirwan</w:t>
      </w:r>
      <w:r>
        <w:rPr>
          <w:rFonts w:ascii="Century Schoolbook" w:eastAsia="Times New Roman" w:hAnsi="Century Schoolbook"/>
        </w:rPr>
        <w:t xml:space="preserve"> (1985) 39 Cal.3d 311, 318</w:t>
      </w:r>
      <w:r>
        <w:rPr>
          <w:rFonts w:ascii="Century Schoolbook" w:eastAsia="Times New Roman" w:hAnsi="Century Schoolbook"/>
        </w:rPr>
        <w:t xml:space="preserve">.) In reviewing the sustaining of a demurrer, we address whether the results, and not the trial </w:t>
      </w:r>
      <w:r>
        <w:rPr>
          <w:rFonts w:ascii="Century Schoolbook" w:eastAsia="Times New Roman" w:hAnsi="Century Schoolbook"/>
        </w:rPr>
        <w:lastRenderedPageBreak/>
        <w:t>court’s reasons, are correct. (</w:t>
      </w:r>
      <w:r w:rsidRPr="00EC4FDC">
        <w:rPr>
          <w:rFonts w:ascii="Century Schoolbook" w:eastAsia="Times New Roman" w:hAnsi="Century Schoolbook"/>
          <w:i/>
          <w:iCs/>
        </w:rPr>
        <w:t xml:space="preserve">Perkin </w:t>
      </w:r>
      <w:r w:rsidRPr="00EC4FDC">
        <w:rPr>
          <w:rFonts w:ascii="Century Schoolbook" w:eastAsia="Times New Roman" w:hAnsi="Century Schoolbook"/>
          <w:i/>
          <w:iCs/>
        </w:rPr>
        <w:t>v. San D</w:t>
      </w:r>
      <w:r w:rsidRPr="00EC4FDC">
        <w:rPr>
          <w:rFonts w:ascii="Century Schoolbook" w:eastAsia="Times New Roman" w:hAnsi="Century Schoolbook"/>
          <w:i/>
          <w:iCs/>
        </w:rPr>
        <w:t>iego Gas &amp; Electric Co.</w:t>
      </w:r>
      <w:r>
        <w:rPr>
          <w:rFonts w:ascii="Century Schoolbook" w:eastAsia="Times New Roman" w:hAnsi="Century Schoolbook"/>
        </w:rPr>
        <w:t xml:space="preserve"> (2014) 225 Cal.App.4th 492, 501.)</w:t>
      </w:r>
      <w:r>
        <w:rPr>
          <w:rFonts w:ascii="Century Schoolbook" w:eastAsia="Times New Roman" w:hAnsi="Century Schoolbook"/>
        </w:rPr>
        <w:t xml:space="preserve"> </w:t>
      </w:r>
      <w:r>
        <w:rPr>
          <w:rFonts w:ascii="Century Schoolbook" w:eastAsia="Times New Roman" w:hAnsi="Century Schoolbook"/>
        </w:rPr>
        <w:t xml:space="preserve"> </w:t>
      </w:r>
    </w:p>
    <w:p w14:paraId="4207CDC3" w14:textId="77777777" w:rsidR="00DE6C75" w:rsidRPr="0009207F" w:rsidRDefault="00F5385E" w:rsidP="00142B0E">
      <w:pPr>
        <w:pStyle w:val="ListParagraph"/>
        <w:numPr>
          <w:ilvl w:val="0"/>
          <w:numId w:val="13"/>
        </w:numPr>
        <w:rPr>
          <w:rFonts w:ascii="Century Schoolbook" w:hAnsi="Century Schoolbook"/>
          <w:i/>
          <w:iCs/>
        </w:rPr>
      </w:pPr>
      <w:r>
        <w:rPr>
          <w:rFonts w:ascii="Century Schoolbook" w:hAnsi="Century Schoolbook"/>
          <w:i/>
          <w:iCs/>
        </w:rPr>
        <w:t xml:space="preserve">The Act and </w:t>
      </w:r>
      <w:r w:rsidRPr="00D83139">
        <w:rPr>
          <w:rFonts w:ascii="Century Schoolbook" w:hAnsi="Century Schoolbook"/>
          <w:i/>
          <w:iCs/>
        </w:rPr>
        <w:t>Relevant Law</w:t>
      </w:r>
      <w:r>
        <w:rPr>
          <w:rFonts w:ascii="Century Schoolbook" w:hAnsi="Century Schoolbook"/>
          <w:i/>
          <w:iCs/>
        </w:rPr>
        <w:t xml:space="preserve"> </w:t>
      </w:r>
      <w:r>
        <w:rPr>
          <w:rFonts w:ascii="Century Schoolbook" w:hAnsi="Century Schoolbook"/>
          <w:i/>
          <w:iCs/>
        </w:rPr>
        <w:t>Constru</w:t>
      </w:r>
      <w:r>
        <w:rPr>
          <w:rFonts w:ascii="Century Schoolbook" w:hAnsi="Century Schoolbook"/>
          <w:i/>
          <w:iCs/>
        </w:rPr>
        <w:t>ing and Applying It</w:t>
      </w:r>
      <w:r w:rsidRPr="00D83139">
        <w:rPr>
          <w:rFonts w:ascii="Century Schoolbook" w:hAnsi="Century Schoolbook"/>
          <w:i/>
          <w:iCs/>
        </w:rPr>
        <w:t xml:space="preserve"> </w:t>
      </w:r>
      <w:r w:rsidRPr="0009207F">
        <w:rPr>
          <w:rFonts w:ascii="Century Schoolbook" w:hAnsi="Century Schoolbook"/>
        </w:rPr>
        <w:t xml:space="preserve"> </w:t>
      </w:r>
    </w:p>
    <w:p w14:paraId="406D9917" w14:textId="77777777" w:rsidR="00CC381E"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As noted, the trial court here relied on </w:t>
      </w:r>
      <w:r w:rsidRPr="0009207F">
        <w:rPr>
          <w:rFonts w:ascii="Century Schoolbook" w:hAnsi="Century Schoolbook"/>
          <w:i/>
          <w:iCs/>
        </w:rPr>
        <w:t>Easton</w:t>
      </w:r>
      <w:r>
        <w:rPr>
          <w:rFonts w:ascii="Century Schoolbook" w:hAnsi="Century Schoolbook"/>
        </w:rPr>
        <w:t xml:space="preserve"> and </w:t>
      </w:r>
      <w:r w:rsidRPr="0009207F">
        <w:rPr>
          <w:rFonts w:ascii="Century Schoolbook" w:hAnsi="Century Schoolbook"/>
          <w:i/>
          <w:iCs/>
        </w:rPr>
        <w:t>Santos</w:t>
      </w:r>
      <w:r>
        <w:rPr>
          <w:rFonts w:ascii="Century Schoolbook" w:hAnsi="Century Schoolbook"/>
        </w:rPr>
        <w:t xml:space="preserve"> as dictating its result. </w:t>
      </w:r>
      <w:r w:rsidRPr="00142B0E">
        <w:rPr>
          <w:rFonts w:ascii="Century Schoolbook" w:hAnsi="Century Schoolbook"/>
        </w:rPr>
        <w:t xml:space="preserve">The </w:t>
      </w:r>
      <w:r w:rsidRPr="00142B0E">
        <w:rPr>
          <w:rFonts w:ascii="Century Schoolbook" w:hAnsi="Century Schoolbook"/>
          <w:i/>
          <w:iCs/>
        </w:rPr>
        <w:t>Santos</w:t>
      </w:r>
      <w:r w:rsidRPr="00142B0E">
        <w:rPr>
          <w:rFonts w:ascii="Century Schoolbook" w:hAnsi="Century Schoolbook"/>
        </w:rPr>
        <w:t xml:space="preserve"> court</w:t>
      </w:r>
      <w:r>
        <w:rPr>
          <w:rFonts w:ascii="Century Schoolbook" w:hAnsi="Century Schoolbook"/>
        </w:rPr>
        <w:t xml:space="preserve">, quoting liberally from </w:t>
      </w:r>
      <w:r w:rsidRPr="00CC381E">
        <w:rPr>
          <w:rFonts w:ascii="Century Schoolbook" w:hAnsi="Century Schoolbook"/>
          <w:i/>
          <w:iCs/>
        </w:rPr>
        <w:t>Easton</w:t>
      </w:r>
      <w:r>
        <w:rPr>
          <w:rFonts w:ascii="Century Schoolbook" w:hAnsi="Century Schoolbook"/>
        </w:rPr>
        <w:t>,</w:t>
      </w:r>
      <w:r w:rsidRPr="00142B0E">
        <w:rPr>
          <w:rFonts w:ascii="Century Schoolbook" w:hAnsi="Century Schoolbook"/>
        </w:rPr>
        <w:t xml:space="preserve"> discuss</w:t>
      </w:r>
      <w:r>
        <w:rPr>
          <w:rFonts w:ascii="Century Schoolbook" w:hAnsi="Century Schoolbook"/>
        </w:rPr>
        <w:t>ed</w:t>
      </w:r>
      <w:r w:rsidRPr="00142B0E">
        <w:rPr>
          <w:rFonts w:ascii="Century Schoolbook" w:hAnsi="Century Schoolbook"/>
        </w:rPr>
        <w:t xml:space="preserve"> the Act</w:t>
      </w:r>
      <w:r>
        <w:rPr>
          <w:rFonts w:ascii="Century Schoolbook" w:hAnsi="Century Schoolbook"/>
        </w:rPr>
        <w:t xml:space="preserve">, highlighting its emphasis on the reporting of abuse </w:t>
      </w:r>
      <w:r>
        <w:rPr>
          <w:rFonts w:ascii="Century Schoolbook" w:hAnsi="Century Schoolbook"/>
        </w:rPr>
        <w:t xml:space="preserve">of elders and dependent adults </w:t>
      </w:r>
      <w:r>
        <w:rPr>
          <w:rFonts w:ascii="Century Schoolbook" w:hAnsi="Century Schoolbook"/>
        </w:rPr>
        <w:t xml:space="preserve">and overcoming </w:t>
      </w:r>
      <w:r>
        <w:rPr>
          <w:rFonts w:ascii="Century Schoolbook" w:hAnsi="Century Schoolbook"/>
        </w:rPr>
        <w:t xml:space="preserve">perceived </w:t>
      </w:r>
      <w:r>
        <w:rPr>
          <w:rFonts w:ascii="Century Schoolbook" w:hAnsi="Century Schoolbook"/>
        </w:rPr>
        <w:t>obstacles to this reporting as underlying</w:t>
      </w:r>
      <w:r>
        <w:rPr>
          <w:rFonts w:ascii="Century Schoolbook" w:hAnsi="Century Schoolbook"/>
        </w:rPr>
        <w:t xml:space="preserve"> legislative</w:t>
      </w:r>
      <w:r>
        <w:rPr>
          <w:rFonts w:ascii="Century Schoolbook" w:hAnsi="Century Schoolbook"/>
        </w:rPr>
        <w:t xml:space="preserve"> purpose</w:t>
      </w:r>
      <w:r>
        <w:rPr>
          <w:rFonts w:ascii="Century Schoolbook" w:hAnsi="Century Schoolbook"/>
        </w:rPr>
        <w:t>s</w:t>
      </w:r>
      <w:r>
        <w:rPr>
          <w:rFonts w:ascii="Century Schoolbook" w:hAnsi="Century Schoolbook"/>
        </w:rPr>
        <w:t xml:space="preserve">. </w:t>
      </w:r>
      <w:r>
        <w:rPr>
          <w:rFonts w:ascii="Century Schoolbook" w:hAnsi="Century Schoolbook"/>
        </w:rPr>
        <w:t xml:space="preserve">(See, e.g., §§ 15600, subd. (i) </w:t>
      </w:r>
      <w:r>
        <w:rPr>
          <w:rFonts w:ascii="Century Schoolbook" w:hAnsi="Century Schoolbook"/>
        </w:rPr>
        <w:t>[express intent to establish framework for reporting and investigation of elder and dependent</w:t>
      </w:r>
      <w:r>
        <w:rPr>
          <w:rFonts w:ascii="Century Schoolbook" w:hAnsi="Century Schoolbook"/>
        </w:rPr>
        <w:t>-</w:t>
      </w:r>
      <w:r>
        <w:rPr>
          <w:rFonts w:ascii="Century Schoolbook" w:hAnsi="Century Schoolbook"/>
        </w:rPr>
        <w:t xml:space="preserve">care abuse]; 15601 [express purposes of the Act include reporting of abuse and providing protection for reporters]; </w:t>
      </w:r>
      <w:r>
        <w:rPr>
          <w:rFonts w:ascii="Century Schoolbook" w:hAnsi="Century Schoolbook"/>
        </w:rPr>
        <w:t>15630 [duties of mandated reporters and crimin</w:t>
      </w:r>
      <w:r>
        <w:rPr>
          <w:rFonts w:ascii="Century Schoolbook" w:hAnsi="Century Schoolbook"/>
        </w:rPr>
        <w:t xml:space="preserve">al consequences for the failure to report]; 15630.1 [civil penalties for failure to report financial abuse]; 15634 [immunity from liability of persons authorized to report and availability of claims procedure for attorney fees incurred in defense of </w:t>
      </w:r>
      <w:r>
        <w:rPr>
          <w:rFonts w:ascii="Century Schoolbook" w:hAnsi="Century Schoolbook"/>
        </w:rPr>
        <w:t>dismis</w:t>
      </w:r>
      <w:r>
        <w:rPr>
          <w:rFonts w:ascii="Century Schoolbook" w:hAnsi="Century Schoolbook"/>
        </w:rPr>
        <w:t>sed actions</w:t>
      </w:r>
      <w:r>
        <w:rPr>
          <w:rFonts w:ascii="Century Schoolbook" w:hAnsi="Century Schoolbook"/>
        </w:rPr>
        <w:t xml:space="preserve"> </w:t>
      </w:r>
      <w:r>
        <w:rPr>
          <w:rFonts w:ascii="Century Schoolbook" w:hAnsi="Century Schoolbook"/>
        </w:rPr>
        <w:t>or to a mandatory reporter as prevailing party].)</w:t>
      </w:r>
      <w:r>
        <w:rPr>
          <w:rFonts w:ascii="Century Schoolbook" w:hAnsi="Century Schoolbook"/>
        </w:rPr>
        <w:t xml:space="preserve"> </w:t>
      </w:r>
      <w:r w:rsidRPr="001A3CA1">
        <w:rPr>
          <w:rFonts w:ascii="Century Schoolbook" w:hAnsi="Century Schoolbook"/>
          <w:i/>
          <w:iCs/>
        </w:rPr>
        <w:t>Santos</w:t>
      </w:r>
      <w:r>
        <w:rPr>
          <w:rFonts w:ascii="Century Schoolbook" w:hAnsi="Century Schoolbook"/>
        </w:rPr>
        <w:t xml:space="preserve"> further </w:t>
      </w:r>
      <w:r>
        <w:rPr>
          <w:rFonts w:ascii="Century Schoolbook" w:hAnsi="Century Schoolbook"/>
        </w:rPr>
        <w:t>addre</w:t>
      </w:r>
      <w:r>
        <w:rPr>
          <w:rFonts w:ascii="Century Schoolbook" w:hAnsi="Century Schoolbook"/>
        </w:rPr>
        <w:t>ssed how the Act’s provisions affecting reporting have been construed and applied</w:t>
      </w:r>
      <w:r>
        <w:rPr>
          <w:rFonts w:ascii="Century Schoolbook" w:hAnsi="Century Schoolbook"/>
        </w:rPr>
        <w:t xml:space="preserve">, including </w:t>
      </w:r>
      <w:r>
        <w:rPr>
          <w:rFonts w:ascii="Century Schoolbook" w:hAnsi="Century Schoolbook"/>
        </w:rPr>
        <w:t>by</w:t>
      </w:r>
      <w:r>
        <w:rPr>
          <w:rFonts w:ascii="Century Schoolbook" w:hAnsi="Century Schoolbook"/>
        </w:rPr>
        <w:t xml:space="preserve"> cases analogizing to parallel provisions in the </w:t>
      </w:r>
      <w:r>
        <w:rPr>
          <w:rFonts w:ascii="Century Schoolbook" w:hAnsi="Century Schoolbook"/>
        </w:rPr>
        <w:t xml:space="preserve">Child Abuse </w:t>
      </w:r>
      <w:r>
        <w:rPr>
          <w:rFonts w:ascii="Century Schoolbook" w:hAnsi="Century Schoolbook"/>
        </w:rPr>
        <w:t xml:space="preserve">and Neglect </w:t>
      </w:r>
      <w:r>
        <w:rPr>
          <w:rFonts w:ascii="Century Schoolbook" w:hAnsi="Century Schoolbook"/>
        </w:rPr>
        <w:t xml:space="preserve">Reporting </w:t>
      </w:r>
      <w:r w:rsidRPr="008000FE">
        <w:rPr>
          <w:rFonts w:ascii="Century Schoolbook" w:hAnsi="Century Schoolbook"/>
        </w:rPr>
        <w:t>Act</w:t>
      </w:r>
      <w:r>
        <w:rPr>
          <w:rFonts w:ascii="Century Schoolbook" w:hAnsi="Century Schoolbook"/>
        </w:rPr>
        <w:t>, at Penal Code section 111</w:t>
      </w:r>
      <w:r>
        <w:rPr>
          <w:rFonts w:ascii="Century Schoolbook" w:hAnsi="Century Schoolbook"/>
        </w:rPr>
        <w:t>64</w:t>
      </w:r>
      <w:r>
        <w:rPr>
          <w:rFonts w:ascii="Century Schoolbook" w:hAnsi="Century Schoolbook"/>
        </w:rPr>
        <w:t>, et seq</w:t>
      </w:r>
      <w:r>
        <w:rPr>
          <w:rFonts w:ascii="Century Schoolbook" w:hAnsi="Century Schoolbook"/>
        </w:rPr>
        <w:t xml:space="preserve">. </w:t>
      </w:r>
      <w:r>
        <w:rPr>
          <w:rFonts w:ascii="Century Schoolbook" w:hAnsi="Century Schoolbook"/>
        </w:rPr>
        <w:t xml:space="preserve">Finding </w:t>
      </w:r>
      <w:r w:rsidRPr="006E3013">
        <w:rPr>
          <w:rFonts w:ascii="Century Schoolbook" w:hAnsi="Century Schoolbook"/>
          <w:i/>
          <w:iCs/>
        </w:rPr>
        <w:t>Santos</w:t>
      </w:r>
      <w:r>
        <w:rPr>
          <w:rFonts w:ascii="Century Schoolbook" w:hAnsi="Century Schoolbook"/>
        </w:rPr>
        <w:t>’s</w:t>
      </w:r>
      <w:r>
        <w:rPr>
          <w:rFonts w:ascii="Century Schoolbook" w:hAnsi="Century Schoolbook"/>
        </w:rPr>
        <w:t xml:space="preserve"> discussion</w:t>
      </w:r>
      <w:r>
        <w:rPr>
          <w:rFonts w:ascii="Century Schoolbook" w:hAnsi="Century Schoolbook"/>
        </w:rPr>
        <w:t xml:space="preserve"> apt for </w:t>
      </w:r>
      <w:r>
        <w:rPr>
          <w:rFonts w:ascii="Century Schoolbook" w:hAnsi="Century Schoolbook"/>
        </w:rPr>
        <w:t>present</w:t>
      </w:r>
      <w:r>
        <w:rPr>
          <w:rFonts w:ascii="Century Schoolbook" w:hAnsi="Century Schoolbook"/>
        </w:rPr>
        <w:t xml:space="preserve"> purposes, we quote liberally from </w:t>
      </w:r>
      <w:r w:rsidRPr="006E3013">
        <w:rPr>
          <w:rFonts w:ascii="Century Schoolbook" w:hAnsi="Century Schoolbook"/>
        </w:rPr>
        <w:t>it</w:t>
      </w:r>
      <w:r w:rsidRPr="006E3013">
        <w:rPr>
          <w:rFonts w:ascii="Century Schoolbook" w:hAnsi="Century Schoolbook"/>
        </w:rPr>
        <w:t>.</w:t>
      </w:r>
    </w:p>
    <w:p w14:paraId="4796ECBC" w14:textId="77777777" w:rsidR="00CC381E" w:rsidRDefault="00F5385E" w:rsidP="00142B0E">
      <w:pPr>
        <w:rPr>
          <w:rFonts w:ascii="Century Schoolbook" w:hAnsi="Century Schoolbook"/>
        </w:rPr>
      </w:pPr>
      <w:r>
        <w:rPr>
          <w:rFonts w:ascii="Century Schoolbook" w:hAnsi="Century Schoolbook"/>
        </w:rPr>
        <w:tab/>
        <w:t>“The Act ‘represents the Legislature’s response to the problem of unreported elder abuse which came to its attention in t</w:t>
      </w:r>
      <w:r>
        <w:rPr>
          <w:rFonts w:ascii="Century Schoolbook" w:hAnsi="Century Schoolbook"/>
        </w:rPr>
        <w:t>he early 1980’s.’ (</w:t>
      </w:r>
      <w:r w:rsidRPr="00732532">
        <w:rPr>
          <w:rFonts w:ascii="Century Schoolbook" w:hAnsi="Century Schoolbook"/>
          <w:i/>
          <w:iCs/>
        </w:rPr>
        <w:t>Easton, supra</w:t>
      </w:r>
      <w:r>
        <w:rPr>
          <w:rFonts w:ascii="Century Schoolbook" w:hAnsi="Century Schoolbook"/>
        </w:rPr>
        <w:t>, 80 Cal.App.4th at p. 490.) ‘The focus of the Act has always been to encourage the reporting of abuse or neglect.’</w:t>
      </w:r>
      <w:r>
        <w:rPr>
          <w:rFonts w:ascii="Century Schoolbook" w:hAnsi="Century Schoolbook"/>
        </w:rPr>
        <w:t xml:space="preserve"> (</w:t>
      </w:r>
      <w:r w:rsidRPr="008E6EB8">
        <w:rPr>
          <w:rFonts w:ascii="Century Schoolbook" w:hAnsi="Century Schoolbook"/>
          <w:i/>
          <w:iCs/>
        </w:rPr>
        <w:t>Id.</w:t>
      </w:r>
      <w:r>
        <w:rPr>
          <w:rFonts w:ascii="Century Schoolbook" w:hAnsi="Century Schoolbook"/>
        </w:rPr>
        <w:t xml:space="preserve"> at p. 491.)” (</w:t>
      </w:r>
      <w:r w:rsidRPr="008E6EB8">
        <w:rPr>
          <w:rFonts w:ascii="Century Schoolbook" w:hAnsi="Century Schoolbook"/>
          <w:i/>
          <w:iCs/>
        </w:rPr>
        <w:t>Santos, supra</w:t>
      </w:r>
      <w:r>
        <w:rPr>
          <w:rFonts w:ascii="Century Schoolbook" w:hAnsi="Century Schoolbook"/>
        </w:rPr>
        <w:t>, 1 Cal.App.5th at p. 870.)</w:t>
      </w:r>
    </w:p>
    <w:p w14:paraId="0404B8EC" w14:textId="77777777" w:rsidR="008E6EB8" w:rsidRDefault="00F5385E" w:rsidP="00142B0E">
      <w:pPr>
        <w:rPr>
          <w:rFonts w:ascii="Century Schoolbook" w:hAnsi="Century Schoolbook"/>
        </w:rPr>
      </w:pPr>
      <w:r>
        <w:rPr>
          <w:rFonts w:ascii="Century Schoolbook" w:hAnsi="Century Schoolbook"/>
        </w:rPr>
        <w:tab/>
        <w:t xml:space="preserve">Under the Act, </w:t>
      </w:r>
      <w:r>
        <w:rPr>
          <w:rFonts w:ascii="Century Schoolbook" w:hAnsi="Century Schoolbook"/>
        </w:rPr>
        <w:t>“</w:t>
      </w:r>
      <w:r>
        <w:rPr>
          <w:rFonts w:ascii="Century Schoolbook" w:hAnsi="Century Schoolbook"/>
        </w:rPr>
        <w:t>[a] person who has assumed full</w:t>
      </w:r>
      <w:r>
        <w:rPr>
          <w:rFonts w:ascii="Century Schoolbook" w:hAnsi="Century Schoolbook"/>
        </w:rPr>
        <w:t xml:space="preserve"> or intermittent responsibility for the care or custody of an elder or dependent adult</w:t>
      </w:r>
      <w:r>
        <w:rPr>
          <w:rFonts w:ascii="Century Schoolbook" w:hAnsi="Century Schoolbook"/>
        </w:rPr>
        <w:t xml:space="preserve"> </w:t>
      </w:r>
      <w:r>
        <w:rPr>
          <w:rFonts w:ascii="Century Schoolbook" w:hAnsi="Century Schoolbook"/>
        </w:rPr>
        <w:t>. . .</w:t>
      </w:r>
      <w:r>
        <w:rPr>
          <w:rFonts w:ascii="Century Schoolbook" w:hAnsi="Century Schoolbook"/>
        </w:rPr>
        <w:t xml:space="preserve"> is a </w:t>
      </w:r>
      <w:r>
        <w:rPr>
          <w:rFonts w:ascii="Century Schoolbook" w:hAnsi="Century Schoolbook"/>
        </w:rPr>
        <w:lastRenderedPageBreak/>
        <w:t>mandated reporter.</w:t>
      </w:r>
      <w:r>
        <w:rPr>
          <w:rFonts w:ascii="Century Schoolbook" w:hAnsi="Century Schoolbook"/>
        </w:rPr>
        <w:t>”</w:t>
      </w:r>
      <w:r>
        <w:rPr>
          <w:rStyle w:val="FootnoteReference"/>
          <w:rFonts w:ascii="Century Schoolbook" w:hAnsi="Century Schoolbook"/>
        </w:rPr>
        <w:footnoteReference w:id="7"/>
      </w:r>
      <w:r>
        <w:rPr>
          <w:rFonts w:ascii="Century Schoolbook" w:hAnsi="Century Schoolbook"/>
        </w:rPr>
        <w:t xml:space="preserve"> (§ 15630, subd. (a).) Mandated reporters are statutorily required to report suspected instances of abuse</w:t>
      </w:r>
      <w:r>
        <w:rPr>
          <w:rFonts w:ascii="Century Schoolbook" w:hAnsi="Century Schoolbook"/>
        </w:rPr>
        <w:t xml:space="preserve"> of an elder or dependent adult</w:t>
      </w:r>
      <w:r>
        <w:rPr>
          <w:rFonts w:ascii="Century Schoolbook" w:hAnsi="Century Schoolbook"/>
        </w:rPr>
        <w:t xml:space="preserve">: </w:t>
      </w:r>
      <w:r>
        <w:rPr>
          <w:rFonts w:ascii="Century Schoolbook" w:hAnsi="Century Schoolbook"/>
        </w:rPr>
        <w:t>“</w:t>
      </w:r>
      <w:r>
        <w:rPr>
          <w:rFonts w:ascii="Century Schoolbook" w:hAnsi="Century Schoolbook"/>
        </w:rPr>
        <w:t xml:space="preserve">A mandated reporter who, in his or her professional capacity, or within the scope of his or her employment, has observed or has knowledge of an incident that reasonably appears to be </w:t>
      </w:r>
      <w:r>
        <w:rPr>
          <w:rFonts w:ascii="Century Schoolbook" w:hAnsi="Century Schoolbook"/>
        </w:rPr>
        <w:t xml:space="preserve">physical </w:t>
      </w:r>
      <w:r>
        <w:rPr>
          <w:rFonts w:ascii="Century Schoolbook" w:hAnsi="Century Schoolbook"/>
        </w:rPr>
        <w:t>abuse</w:t>
      </w:r>
      <w:r>
        <w:rPr>
          <w:rFonts w:ascii="Century Schoolbook" w:hAnsi="Century Schoolbook"/>
        </w:rPr>
        <w:t>, as defined in Section 15610.63,</w:t>
      </w:r>
      <w:r>
        <w:rPr>
          <w:rFonts w:ascii="Century Schoolbook" w:hAnsi="Century Schoolbook"/>
        </w:rPr>
        <w:t> . . .</w:t>
      </w:r>
      <w:r>
        <w:rPr>
          <w:rFonts w:ascii="Century Schoolbook" w:hAnsi="Century Schoolbook"/>
        </w:rPr>
        <w:t xml:space="preserve"> </w:t>
      </w:r>
      <w:r>
        <w:rPr>
          <w:rFonts w:ascii="Century Schoolbook" w:hAnsi="Century Schoolbook"/>
        </w:rPr>
        <w:t>is told by an el</w:t>
      </w:r>
      <w:r>
        <w:rPr>
          <w:rFonts w:ascii="Century Schoolbook" w:hAnsi="Century Schoolbook"/>
        </w:rPr>
        <w:t xml:space="preserve">der or dependent adult that they have experienced behavior </w:t>
      </w:r>
      <w:r>
        <w:rPr>
          <w:rFonts w:ascii="Century Schoolbook" w:hAnsi="Century Schoolbook"/>
        </w:rPr>
        <w:t>. . .</w:t>
      </w:r>
      <w:r>
        <w:rPr>
          <w:rFonts w:ascii="Century Schoolbook" w:hAnsi="Century Schoolbook"/>
        </w:rPr>
        <w:t xml:space="preserve"> constituting physical abuse, as defined in Section 15610.63, </w:t>
      </w:r>
      <w:r>
        <w:rPr>
          <w:rFonts w:ascii="Century Schoolbook" w:hAnsi="Century Schoolbook"/>
        </w:rPr>
        <w:t>. . .</w:t>
      </w:r>
      <w:r>
        <w:rPr>
          <w:rFonts w:ascii="Century Schoolbook" w:hAnsi="Century Schoolbook"/>
        </w:rPr>
        <w:t xml:space="preserve"> or </w:t>
      </w:r>
      <w:r>
        <w:rPr>
          <w:rFonts w:ascii="Century Schoolbook" w:hAnsi="Century Schoolbook"/>
        </w:rPr>
        <w:t xml:space="preserve">reasonably suspects that abuse, shall report the known or suspected instance of abuse </w:t>
      </w:r>
      <w:r>
        <w:rPr>
          <w:rFonts w:ascii="Century Schoolbook" w:hAnsi="Century Schoolbook"/>
        </w:rPr>
        <w:t>. . .</w:t>
      </w:r>
      <w:r>
        <w:rPr>
          <w:rFonts w:ascii="Century Schoolbook" w:hAnsi="Century Schoolbook"/>
        </w:rPr>
        <w:t xml:space="preserve"> </w:t>
      </w:r>
      <w:r>
        <w:rPr>
          <w:rFonts w:ascii="Century Schoolbook" w:hAnsi="Century Schoolbook"/>
        </w:rPr>
        <w:t xml:space="preserve">immediately or </w:t>
      </w:r>
      <w:r>
        <w:rPr>
          <w:rFonts w:ascii="Century Schoolbook" w:hAnsi="Century Schoolbook"/>
        </w:rPr>
        <w:t>as soon as pra</w:t>
      </w:r>
      <w:r>
        <w:rPr>
          <w:rFonts w:ascii="Century Schoolbook" w:hAnsi="Century Schoolbook"/>
        </w:rPr>
        <w:t>ctically possible.</w:t>
      </w:r>
      <w:r>
        <w:rPr>
          <w:rFonts w:ascii="Century Schoolbook" w:hAnsi="Century Schoolbook"/>
        </w:rPr>
        <w:t>” (</w:t>
      </w:r>
      <w:r w:rsidRPr="00C54C80">
        <w:rPr>
          <w:rFonts w:ascii="Century Schoolbook" w:hAnsi="Century Schoolbook"/>
          <w:i/>
          <w:iCs/>
        </w:rPr>
        <w:t>Id</w:t>
      </w:r>
      <w:r>
        <w:rPr>
          <w:rFonts w:ascii="Century Schoolbook" w:hAnsi="Century Schoolbook"/>
        </w:rPr>
        <w:t>.</w:t>
      </w:r>
      <w:r>
        <w:rPr>
          <w:rFonts w:ascii="Century Schoolbook" w:hAnsi="Century Schoolbook"/>
        </w:rPr>
        <w:t>, subd. (</w:t>
      </w:r>
      <w:r>
        <w:rPr>
          <w:rFonts w:ascii="Century Schoolbook" w:hAnsi="Century Schoolbook"/>
        </w:rPr>
        <w:t>b</w:t>
      </w:r>
      <w:r>
        <w:rPr>
          <w:rFonts w:ascii="Century Schoolbook" w:hAnsi="Century Schoolbook"/>
        </w:rPr>
        <w:t>)</w:t>
      </w:r>
      <w:r>
        <w:rPr>
          <w:rFonts w:ascii="Century Schoolbook" w:hAnsi="Century Schoolbook"/>
        </w:rPr>
        <w:t>(1)</w:t>
      </w:r>
      <w:r>
        <w:rPr>
          <w:rFonts w:ascii="Century Schoolbook" w:hAnsi="Century Schoolbook"/>
        </w:rPr>
        <w:t>.)</w:t>
      </w:r>
      <w:r>
        <w:rPr>
          <w:rFonts w:ascii="Century Schoolbook" w:hAnsi="Century Schoolbook"/>
        </w:rPr>
        <w:t xml:space="preserve"> The failure by a mandated reporter to report abuse of an elder or dependent adult, or who impedes or inhibits a report of such abuse by another, in violation of section 15630 is a misdemeanor, </w:t>
      </w:r>
      <w:r>
        <w:rPr>
          <w:rFonts w:ascii="Century Schoolbook" w:hAnsi="Century Schoolbook"/>
        </w:rPr>
        <w:t>with heightened punish</w:t>
      </w:r>
      <w:r>
        <w:rPr>
          <w:rFonts w:ascii="Century Schoolbook" w:hAnsi="Century Schoolbook"/>
        </w:rPr>
        <w:t>ment if the abuse results in death or bodily injury. (</w:t>
      </w:r>
      <w:r w:rsidRPr="00C54C80">
        <w:rPr>
          <w:rFonts w:ascii="Century Schoolbook" w:hAnsi="Century Schoolbook"/>
          <w:i/>
          <w:iCs/>
        </w:rPr>
        <w:t>Id</w:t>
      </w:r>
      <w:r>
        <w:rPr>
          <w:rFonts w:ascii="Century Schoolbook" w:hAnsi="Century Schoolbook"/>
        </w:rPr>
        <w:t>.</w:t>
      </w:r>
      <w:r>
        <w:rPr>
          <w:rFonts w:ascii="Century Schoolbook" w:hAnsi="Century Schoolbook"/>
        </w:rPr>
        <w:t xml:space="preserve">, subd. (h).) </w:t>
      </w:r>
      <w:r>
        <w:rPr>
          <w:rFonts w:ascii="Century Schoolbook" w:hAnsi="Century Schoolbook"/>
        </w:rPr>
        <w:t>And t</w:t>
      </w:r>
      <w:r>
        <w:rPr>
          <w:rFonts w:ascii="Century Schoolbook" w:hAnsi="Century Schoolbook"/>
        </w:rPr>
        <w:t xml:space="preserve">he intentional concealment by a mandated reporter of their failure to report an incident known by the reporter to be abuse or severe neglect of an elder or dependent adult </w:t>
      </w:r>
      <w:r>
        <w:rPr>
          <w:rFonts w:ascii="Century Schoolbook" w:hAnsi="Century Schoolbook"/>
        </w:rPr>
        <w:t>is a con</w:t>
      </w:r>
      <w:r>
        <w:rPr>
          <w:rFonts w:ascii="Century Schoolbook" w:hAnsi="Century Schoolbook"/>
        </w:rPr>
        <w:t>tinuing criminal offense. (</w:t>
      </w:r>
      <w:r w:rsidRPr="00B82C74">
        <w:rPr>
          <w:rFonts w:ascii="Century Schoolbook" w:hAnsi="Century Schoolbook"/>
          <w:i/>
          <w:iCs/>
        </w:rPr>
        <w:t>Ibid</w:t>
      </w:r>
      <w:r>
        <w:rPr>
          <w:rFonts w:ascii="Century Schoolbook" w:hAnsi="Century Schoolbook"/>
        </w:rPr>
        <w:t>.)</w:t>
      </w:r>
      <w:r>
        <w:rPr>
          <w:rFonts w:ascii="Century Schoolbook" w:hAnsi="Century Schoolbook"/>
        </w:rPr>
        <w:t xml:space="preserve"> </w:t>
      </w:r>
      <w:r>
        <w:rPr>
          <w:rFonts w:ascii="Century Schoolbook" w:hAnsi="Century Schoolbook"/>
        </w:rPr>
        <w:t xml:space="preserve"> </w:t>
      </w:r>
    </w:p>
    <w:p w14:paraId="4436FA4B" w14:textId="77777777" w:rsidR="00695BDA"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“The Act contemplates </w:t>
      </w:r>
      <w:r>
        <w:rPr>
          <w:rFonts w:ascii="Century Schoolbook" w:hAnsi="Century Schoolbook"/>
        </w:rPr>
        <w:t>that the appropriate authorities will undertake an investigation into such reports in order to protect the elderly person</w:t>
      </w:r>
      <w:r>
        <w:rPr>
          <w:rFonts w:ascii="Century Schoolbook" w:hAnsi="Century Schoolbook"/>
        </w:rPr>
        <w:t xml:space="preserve"> [or dependent adult]</w:t>
      </w:r>
      <w:r>
        <w:rPr>
          <w:rFonts w:ascii="Century Schoolbook" w:hAnsi="Century Schoolbook"/>
        </w:rPr>
        <w:t>. For example, the Act provides that, ‘it is the intent</w:t>
      </w:r>
      <w:r>
        <w:rPr>
          <w:rFonts w:ascii="Century Schoolbook" w:hAnsi="Century Schoolbook"/>
        </w:rPr>
        <w:t xml:space="preserve"> of the Legislature in enacting this chapter to provide that </w:t>
      </w:r>
      <w:r>
        <w:rPr>
          <w:rFonts w:ascii="Century Schoolbook" w:hAnsi="Century Schoolbook"/>
        </w:rPr>
        <w:t>. . .</w:t>
      </w:r>
      <w:r>
        <w:rPr>
          <w:rFonts w:ascii="Century Schoolbook" w:hAnsi="Century Schoolbook"/>
        </w:rPr>
        <w:t xml:space="preserve"> local law enforcement agencies shall receive referrals </w:t>
      </w:r>
      <w:r>
        <w:rPr>
          <w:rFonts w:ascii="Century Schoolbook" w:hAnsi="Century Schoolbook"/>
        </w:rPr>
        <w:t>. . .</w:t>
      </w:r>
      <w:r>
        <w:rPr>
          <w:rFonts w:ascii="Century Schoolbook" w:hAnsi="Century Schoolbook"/>
        </w:rPr>
        <w:t xml:space="preserve"> from any mandated reporter submitting reports </w:t>
      </w:r>
      <w:r>
        <w:rPr>
          <w:rFonts w:ascii="Century Schoolbook" w:hAnsi="Century Schoolbook"/>
        </w:rPr>
        <w:t xml:space="preserve">. . . </w:t>
      </w:r>
      <w:r>
        <w:rPr>
          <w:rFonts w:ascii="Century Schoolbook" w:hAnsi="Century Schoolbook"/>
        </w:rPr>
        <w:t xml:space="preserve">and </w:t>
      </w:r>
      <w:r w:rsidRPr="005E6892">
        <w:rPr>
          <w:rFonts w:ascii="Century Schoolbook" w:hAnsi="Century Schoolbook"/>
          <w:i/>
          <w:iCs/>
        </w:rPr>
        <w:t xml:space="preserve">shall </w:t>
      </w:r>
      <w:r w:rsidRPr="005E6892">
        <w:rPr>
          <w:rFonts w:ascii="Century Schoolbook" w:hAnsi="Century Schoolbook"/>
          <w:i/>
          <w:iCs/>
        </w:rPr>
        <w:t xml:space="preserve">take any actions considered necessary to protect the elder or </w:t>
      </w:r>
      <w:r w:rsidRPr="005E6892">
        <w:rPr>
          <w:rFonts w:ascii="Century Schoolbook" w:hAnsi="Century Schoolbook"/>
          <w:i/>
          <w:iCs/>
        </w:rPr>
        <w:t>dependent adult and correct the situation and ensure the individual’s safety</w:t>
      </w:r>
      <w:r>
        <w:rPr>
          <w:rFonts w:ascii="Century Schoolbook" w:hAnsi="Century Schoolbook"/>
        </w:rPr>
        <w:t>. (§</w:t>
      </w:r>
      <w:r>
        <w:rPr>
          <w:rFonts w:ascii="Century Schoolbook" w:hAnsi="Century Schoolbook"/>
        </w:rPr>
        <w:t> </w:t>
      </w:r>
      <w:r>
        <w:rPr>
          <w:rFonts w:ascii="Century Schoolbook" w:hAnsi="Century Schoolbook"/>
        </w:rPr>
        <w:t xml:space="preserve">15600, subd. (i), italics added; see </w:t>
      </w:r>
      <w:r w:rsidRPr="00CF0431">
        <w:rPr>
          <w:rFonts w:ascii="Century Schoolbook" w:hAnsi="Century Schoolbook"/>
          <w:i/>
          <w:iCs/>
        </w:rPr>
        <w:t>People v. Davis</w:t>
      </w:r>
      <w:r>
        <w:rPr>
          <w:rFonts w:ascii="Century Schoolbook" w:hAnsi="Century Schoolbook"/>
        </w:rPr>
        <w:t xml:space="preserve"> (2005) 126 Cal.App.4th </w:t>
      </w:r>
      <w:r>
        <w:rPr>
          <w:rFonts w:ascii="Century Schoolbook" w:hAnsi="Century Schoolbook"/>
        </w:rPr>
        <w:lastRenderedPageBreak/>
        <w:t>1416, 1435 (</w:t>
      </w:r>
      <w:r w:rsidRPr="00CF0431">
        <w:rPr>
          <w:rFonts w:ascii="Century Schoolbook" w:hAnsi="Century Schoolbook"/>
          <w:i/>
          <w:iCs/>
        </w:rPr>
        <w:t>Davis</w:t>
      </w:r>
      <w:r>
        <w:rPr>
          <w:rFonts w:ascii="Century Schoolbook" w:hAnsi="Century Schoolbook"/>
        </w:rPr>
        <w:t>) [</w:t>
      </w:r>
      <w:r>
        <w:rPr>
          <w:rFonts w:ascii="Century Schoolbook" w:hAnsi="Century Schoolbook"/>
        </w:rPr>
        <w:t>‘</w:t>
      </w:r>
      <w:r>
        <w:rPr>
          <w:rFonts w:ascii="Century Schoolbook" w:hAnsi="Century Schoolbook"/>
        </w:rPr>
        <w:t xml:space="preserve">The enactment </w:t>
      </w:r>
      <w:r>
        <w:rPr>
          <w:rFonts w:ascii="Century Schoolbook" w:hAnsi="Century Schoolbook"/>
        </w:rPr>
        <w:t>of such a comprehensive statutory scheme, which not only require</w:t>
      </w:r>
      <w:r>
        <w:rPr>
          <w:rFonts w:ascii="Century Schoolbook" w:hAnsi="Century Schoolbook"/>
        </w:rPr>
        <w:t>s designated professionals to report known or suspected abuse but also sets up a system of outside agencies mandated to investigate reports of such abuse, amply demonstrates the scope and severity of the problem of elder and dependent adult abuse as percei</w:t>
      </w:r>
      <w:r>
        <w:rPr>
          <w:rFonts w:ascii="Century Schoolbook" w:hAnsi="Century Schoolbook"/>
        </w:rPr>
        <w:t>ved by the Legislature</w:t>
      </w:r>
      <w:r>
        <w:rPr>
          <w:rFonts w:ascii="Century Schoolbook" w:hAnsi="Century Schoolbook"/>
        </w:rPr>
        <w:t>’</w:t>
      </w:r>
      <w:r>
        <w:rPr>
          <w:rFonts w:ascii="Century Schoolbook" w:hAnsi="Century Schoolbook"/>
        </w:rPr>
        <w:t xml:space="preserve">]; </w:t>
      </w:r>
      <w:r w:rsidRPr="005E6892">
        <w:rPr>
          <w:rFonts w:ascii="Century Schoolbook" w:hAnsi="Century Schoolbook"/>
          <w:i/>
          <w:iCs/>
        </w:rPr>
        <w:t>Easton, supra</w:t>
      </w:r>
      <w:r>
        <w:rPr>
          <w:rFonts w:ascii="Century Schoolbook" w:hAnsi="Century Schoolbook"/>
        </w:rPr>
        <w:t xml:space="preserve">, 80 Cal.App.4th at p. 493 [‘The focus of the statutory scheme is to encourage prompt reports </w:t>
      </w:r>
      <w:r w:rsidRPr="006A1C10">
        <w:rPr>
          <w:rFonts w:ascii="Century Schoolbook" w:hAnsi="Century Schoolbook"/>
          <w:i/>
          <w:iCs/>
        </w:rPr>
        <w:t>so as to protect the victim of the suspected abuse</w:t>
      </w:r>
      <w:r>
        <w:rPr>
          <w:rFonts w:ascii="Century Schoolbook" w:hAnsi="Century Schoolbook"/>
        </w:rPr>
        <w:t>’ (</w:t>
      </w:r>
      <w:r w:rsidRPr="006A1C10">
        <w:rPr>
          <w:rFonts w:ascii="Century Schoolbook" w:hAnsi="Century Schoolbook"/>
        </w:rPr>
        <w:t>italics added</w:t>
      </w:r>
      <w:r>
        <w:rPr>
          <w:rFonts w:ascii="Century Schoolbook" w:hAnsi="Century Schoolbook"/>
        </w:rPr>
        <w:t>)].)” (</w:t>
      </w:r>
      <w:r w:rsidRPr="005E6892">
        <w:rPr>
          <w:rFonts w:ascii="Century Schoolbook" w:hAnsi="Century Schoolbook"/>
          <w:i/>
          <w:iCs/>
        </w:rPr>
        <w:t>Santos, supra</w:t>
      </w:r>
      <w:r>
        <w:rPr>
          <w:rFonts w:ascii="Century Schoolbook" w:hAnsi="Century Schoolbook"/>
        </w:rPr>
        <w:t xml:space="preserve">, 1 Cal.App.5th at p. 871.) </w:t>
      </w:r>
      <w:r>
        <w:rPr>
          <w:rFonts w:ascii="Century Schoolbook" w:hAnsi="Century Schoolbook"/>
        </w:rPr>
        <w:t>T</w:t>
      </w:r>
      <w:r>
        <w:rPr>
          <w:rFonts w:ascii="Century Schoolbook" w:hAnsi="Century Schoolbook"/>
        </w:rPr>
        <w:t>he crimi</w:t>
      </w:r>
      <w:r>
        <w:rPr>
          <w:rFonts w:ascii="Century Schoolbook" w:hAnsi="Century Schoolbook"/>
        </w:rPr>
        <w:t xml:space="preserve">nal provisions </w:t>
      </w:r>
      <w:r>
        <w:rPr>
          <w:rFonts w:ascii="Century Schoolbook" w:hAnsi="Century Schoolbook"/>
        </w:rPr>
        <w:t xml:space="preserve">of section 15630 </w:t>
      </w:r>
      <w:r>
        <w:rPr>
          <w:rFonts w:ascii="Century Schoolbook" w:hAnsi="Century Schoolbook"/>
        </w:rPr>
        <w:t xml:space="preserve">for </w:t>
      </w:r>
      <w:r>
        <w:rPr>
          <w:rFonts w:ascii="Century Schoolbook" w:hAnsi="Century Schoolbook"/>
        </w:rPr>
        <w:t xml:space="preserve">the </w:t>
      </w:r>
      <w:r>
        <w:rPr>
          <w:rFonts w:ascii="Century Schoolbook" w:hAnsi="Century Schoolbook"/>
        </w:rPr>
        <w:t xml:space="preserve">failure to report </w:t>
      </w:r>
      <w:r>
        <w:rPr>
          <w:rFonts w:ascii="Century Schoolbook" w:hAnsi="Century Schoolbook"/>
        </w:rPr>
        <w:t xml:space="preserve">“further the statute’s purpose of fostering </w:t>
      </w:r>
      <w:r>
        <w:rPr>
          <w:rFonts w:ascii="Century Schoolbook" w:hAnsi="Century Schoolbook"/>
        </w:rPr>
        <w:t>‘</w:t>
      </w:r>
      <w:r>
        <w:rPr>
          <w:rFonts w:ascii="Century Schoolbook" w:hAnsi="Century Schoolbook"/>
        </w:rPr>
        <w:t>the broadest possible reporting of incidents of known and suspected abuse of elder and dependent adults’ and have been construed to impose ‘criminal liab</w:t>
      </w:r>
      <w:r>
        <w:rPr>
          <w:rFonts w:ascii="Century Schoolbook" w:hAnsi="Century Schoolbook"/>
        </w:rPr>
        <w:t>ility for failure to report, without regard to intent or negligence.</w:t>
      </w:r>
      <w:r>
        <w:rPr>
          <w:rFonts w:ascii="Century Schoolbook" w:hAnsi="Century Schoolbook"/>
        </w:rPr>
        <w:t>’ (</w:t>
      </w:r>
      <w:r w:rsidRPr="00695BDA">
        <w:rPr>
          <w:rFonts w:ascii="Century Schoolbook" w:hAnsi="Century Schoolbook"/>
          <w:i/>
          <w:iCs/>
        </w:rPr>
        <w:t>Davis, supra</w:t>
      </w:r>
      <w:r>
        <w:rPr>
          <w:rFonts w:ascii="Century Schoolbook" w:hAnsi="Century Schoolbook"/>
        </w:rPr>
        <w:t>, 126 Cal.App.4th at p. 1437.)” (</w:t>
      </w:r>
      <w:r w:rsidRPr="00695BDA">
        <w:rPr>
          <w:rFonts w:ascii="Century Schoolbook" w:hAnsi="Century Schoolbook"/>
          <w:i/>
          <w:iCs/>
        </w:rPr>
        <w:t>Santos</w:t>
      </w:r>
      <w:r>
        <w:rPr>
          <w:rFonts w:ascii="Century Schoolbook" w:hAnsi="Century Schoolbook"/>
        </w:rPr>
        <w:t xml:space="preserve">, </w:t>
      </w:r>
      <w:r w:rsidRPr="00695BDA">
        <w:rPr>
          <w:rFonts w:ascii="Century Schoolbook" w:hAnsi="Century Schoolbook"/>
          <w:i/>
          <w:iCs/>
        </w:rPr>
        <w:t>supra</w:t>
      </w:r>
      <w:r>
        <w:rPr>
          <w:rFonts w:ascii="Century Schoolbook" w:hAnsi="Century Schoolbook"/>
        </w:rPr>
        <w:t>, 1 Cal.App.5th at p. 871.)</w:t>
      </w:r>
      <w:r>
        <w:rPr>
          <w:rFonts w:ascii="Century Schoolbook" w:hAnsi="Century Schoolbook"/>
        </w:rPr>
        <w:t xml:space="preserve"> </w:t>
      </w:r>
    </w:p>
    <w:p w14:paraId="0C2CF0CE" w14:textId="77777777" w:rsidR="00C81494"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“In order to further ensure that mandated reporters comply with their reporting obligations, </w:t>
      </w:r>
      <w:r>
        <w:rPr>
          <w:rFonts w:ascii="Century Schoolbook" w:hAnsi="Century Schoolbook"/>
        </w:rPr>
        <w:t>section 15634[(a)] ‘create[s] an absolute privilege in those individuals required to make such reports.’ (</w:t>
      </w:r>
      <w:r w:rsidRPr="00C93D3E">
        <w:rPr>
          <w:rFonts w:ascii="Century Schoolbook" w:hAnsi="Century Schoolbook"/>
          <w:i/>
          <w:iCs/>
        </w:rPr>
        <w:t>Easton, supra</w:t>
      </w:r>
      <w:r>
        <w:rPr>
          <w:rFonts w:ascii="Century Schoolbook" w:hAnsi="Century Schoolbook"/>
        </w:rPr>
        <w:t xml:space="preserve">, 80 Cal.App.4th at pp. 489, 494 [‘Immunity </w:t>
      </w:r>
      <w:r>
        <w:rPr>
          <w:rFonts w:ascii="Century Schoolbook" w:hAnsi="Century Schoolbook"/>
        </w:rPr>
        <w:t xml:space="preserve">from reporting suspected abuse is crucial to ensure compliance with the reporting obligation’].) Section 15634’s immunity provision provides in relevant part: ‘No care custodian </w:t>
      </w:r>
      <w:r>
        <w:rPr>
          <w:rFonts w:ascii="Century Schoolbook" w:hAnsi="Century Schoolbook"/>
        </w:rPr>
        <w:t>. . .</w:t>
      </w:r>
      <w:r>
        <w:rPr>
          <w:rFonts w:ascii="Century Schoolbook" w:hAnsi="Century Schoolbook"/>
        </w:rPr>
        <w:t xml:space="preserve"> who reports a known or suspected instance of abuse of an elder or depend</w:t>
      </w:r>
      <w:r>
        <w:rPr>
          <w:rFonts w:ascii="Century Schoolbook" w:hAnsi="Century Schoolbook"/>
        </w:rPr>
        <w:t>ent adult shall be civilly or criminally liable for any report required or authorized by this article.</w:t>
      </w:r>
      <w:r>
        <w:rPr>
          <w:rFonts w:ascii="Century Schoolbook" w:hAnsi="Century Schoolbook"/>
        </w:rPr>
        <w:t>’</w:t>
      </w:r>
      <w:r>
        <w:rPr>
          <w:rFonts w:ascii="Century Schoolbook" w:hAnsi="Century Schoolbook"/>
        </w:rPr>
        <w:t xml:space="preserve"> (</w:t>
      </w:r>
      <w:r w:rsidRPr="00C717A5">
        <w:rPr>
          <w:rFonts w:ascii="Century Schoolbook" w:hAnsi="Century Schoolbook"/>
          <w:i/>
          <w:iCs/>
        </w:rPr>
        <w:t>Id.</w:t>
      </w:r>
      <w:r>
        <w:rPr>
          <w:rFonts w:ascii="Century Schoolbook" w:hAnsi="Century Schoolbook"/>
        </w:rPr>
        <w:t>, subd.</w:t>
      </w:r>
      <w:r>
        <w:rPr>
          <w:rFonts w:ascii="Century Schoolbook" w:hAnsi="Century Schoolbook"/>
        </w:rPr>
        <w:t> </w:t>
      </w:r>
      <w:r>
        <w:rPr>
          <w:rFonts w:ascii="Century Schoolbook" w:hAnsi="Century Schoolbook"/>
        </w:rPr>
        <w:t>(a).</w:t>
      </w:r>
      <w:r>
        <w:rPr>
          <w:rFonts w:ascii="Century Schoolbook" w:hAnsi="Century Schoolbook"/>
        </w:rPr>
        <w:t>)</w:t>
      </w:r>
      <w:r>
        <w:rPr>
          <w:rFonts w:ascii="Century Schoolbook" w:hAnsi="Century Schoolbook"/>
        </w:rPr>
        <w:t>” (</w:t>
      </w:r>
      <w:r w:rsidRPr="00C81494">
        <w:rPr>
          <w:rFonts w:ascii="Century Schoolbook" w:hAnsi="Century Schoolbook"/>
          <w:i/>
          <w:iCs/>
        </w:rPr>
        <w:t>Santos, supra</w:t>
      </w:r>
      <w:r>
        <w:rPr>
          <w:rFonts w:ascii="Century Schoolbook" w:hAnsi="Century Schoolbook"/>
        </w:rPr>
        <w:t>, 1 Cal.App.5th at pp. 871</w:t>
      </w:r>
      <w:r>
        <w:rPr>
          <w:rFonts w:ascii="Century Schoolbook" w:hAnsi="Century Schoolbook"/>
        </w:rPr>
        <w:t>–</w:t>
      </w:r>
      <w:r>
        <w:rPr>
          <w:rFonts w:ascii="Century Schoolbook" w:hAnsi="Century Schoolbook"/>
        </w:rPr>
        <w:t xml:space="preserve">872.) </w:t>
      </w:r>
    </w:p>
    <w:p w14:paraId="331ED558" w14:textId="77777777" w:rsidR="002A4143"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“In </w:t>
      </w:r>
      <w:r w:rsidRPr="001A3CA1">
        <w:rPr>
          <w:rFonts w:ascii="Century Schoolbook" w:hAnsi="Century Schoolbook"/>
          <w:i/>
          <w:iCs/>
        </w:rPr>
        <w:t>Easton</w:t>
      </w:r>
      <w:r>
        <w:rPr>
          <w:rFonts w:ascii="Century Schoolbook" w:hAnsi="Century Schoolbook"/>
        </w:rPr>
        <w:t>, the court was ‘called upon to construe the breadth of immunity from civi</w:t>
      </w:r>
      <w:r>
        <w:rPr>
          <w:rFonts w:ascii="Century Schoolbook" w:hAnsi="Century Schoolbook"/>
        </w:rPr>
        <w:t xml:space="preserve">l liability conferred by </w:t>
      </w:r>
      <w:r>
        <w:rPr>
          <w:rFonts w:ascii="Century Schoolbook" w:hAnsi="Century Schoolbook"/>
        </w:rPr>
        <w:t xml:space="preserve">. . . </w:t>
      </w:r>
      <w:r>
        <w:rPr>
          <w:rFonts w:ascii="Century Schoolbook" w:hAnsi="Century Schoolbook"/>
        </w:rPr>
        <w:t>section 15634.’ (</w:t>
      </w:r>
      <w:r w:rsidRPr="00520DB2">
        <w:rPr>
          <w:rFonts w:ascii="Century Schoolbook" w:hAnsi="Century Schoolbook"/>
          <w:i/>
          <w:iCs/>
        </w:rPr>
        <w:t>Easton, supra</w:t>
      </w:r>
      <w:r>
        <w:rPr>
          <w:rFonts w:ascii="Century Schoolbook" w:hAnsi="Century Schoolbook"/>
        </w:rPr>
        <w:t xml:space="preserve">, 80 Cal.App.4th at p. 488.) In that case, a physician made a report to sheriff’s deputies based on information that the physician had received from a nurse </w:t>
      </w:r>
      <w:r>
        <w:rPr>
          <w:rFonts w:ascii="Century Schoolbook" w:hAnsi="Century Schoolbook"/>
        </w:rPr>
        <w:lastRenderedPageBreak/>
        <w:t>who had unsuccessfully attempted to pe</w:t>
      </w:r>
      <w:r>
        <w:rPr>
          <w:rFonts w:ascii="Century Schoolbook" w:hAnsi="Century Schoolbook"/>
        </w:rPr>
        <w:t>rsuade the plaintiff to take his mother to the hospital. (</w:t>
      </w:r>
      <w:r w:rsidRPr="00987B30">
        <w:rPr>
          <w:rFonts w:ascii="Century Schoolbook" w:hAnsi="Century Schoolbook"/>
          <w:i/>
          <w:iCs/>
        </w:rPr>
        <w:t>Id.</w:t>
      </w:r>
      <w:r>
        <w:rPr>
          <w:rFonts w:ascii="Century Schoolbook" w:hAnsi="Century Schoolbook"/>
        </w:rPr>
        <w:t xml:space="preserve"> at p. 489.) Authorities acted on the report by removing the plaintiff’s mother from his home and taking her </w:t>
      </w:r>
      <w:r>
        <w:rPr>
          <w:rFonts w:ascii="Century Schoolbook" w:hAnsi="Century Schoolbook"/>
        </w:rPr>
        <w:t>to the hospital. (</w:t>
      </w:r>
      <w:r w:rsidRPr="00987B30">
        <w:rPr>
          <w:rFonts w:ascii="Century Schoolbook" w:hAnsi="Century Schoolbook"/>
          <w:i/>
          <w:iCs/>
        </w:rPr>
        <w:t>Ibid</w:t>
      </w:r>
      <w:r>
        <w:rPr>
          <w:rFonts w:ascii="Century Schoolbook" w:hAnsi="Century Schoolbook"/>
        </w:rPr>
        <w:t xml:space="preserve">.) The </w:t>
      </w:r>
      <w:r w:rsidRPr="001A3CA1">
        <w:rPr>
          <w:rFonts w:ascii="Century Schoolbook" w:hAnsi="Century Schoolbook"/>
          <w:i/>
          <w:iCs/>
        </w:rPr>
        <w:t>Easton</w:t>
      </w:r>
      <w:r>
        <w:rPr>
          <w:rFonts w:ascii="Century Schoolbook" w:hAnsi="Century Schoolbook"/>
        </w:rPr>
        <w:t xml:space="preserve"> court considered whether the physician and the nurse were immune from liability for [various torts] premised upon the report and the seizure of the elderly woman. (</w:t>
      </w:r>
      <w:r w:rsidRPr="00987B30">
        <w:rPr>
          <w:rFonts w:ascii="Century Schoolbook" w:hAnsi="Century Schoolbook"/>
          <w:i/>
          <w:iCs/>
        </w:rPr>
        <w:t>Id.</w:t>
      </w:r>
      <w:r>
        <w:rPr>
          <w:rFonts w:ascii="Century Schoolbook" w:hAnsi="Century Schoolbook"/>
        </w:rPr>
        <w:t xml:space="preserve"> at pp. 489</w:t>
      </w:r>
      <w:r>
        <w:rPr>
          <w:rFonts w:ascii="Century Schoolbook" w:hAnsi="Century Schoolbook"/>
        </w:rPr>
        <w:t>–</w:t>
      </w:r>
      <w:r>
        <w:rPr>
          <w:rFonts w:ascii="Century Schoolbook" w:hAnsi="Century Schoolbook"/>
        </w:rPr>
        <w:t>490.) At the time of the incident, former section</w:t>
      </w:r>
      <w:r>
        <w:rPr>
          <w:rFonts w:ascii="Century Schoolbook" w:hAnsi="Century Schoolbook"/>
        </w:rPr>
        <w:t> </w:t>
      </w:r>
      <w:r>
        <w:rPr>
          <w:rFonts w:ascii="Century Schoolbook" w:hAnsi="Century Schoolbook"/>
        </w:rPr>
        <w:t>15630, subdivision (b) pro</w:t>
      </w:r>
      <w:r>
        <w:rPr>
          <w:rFonts w:ascii="Century Schoolbook" w:hAnsi="Century Schoolbook"/>
        </w:rPr>
        <w:t xml:space="preserve">vided that a mandated reporter who ‘ “has </w:t>
      </w:r>
      <w:r w:rsidRPr="006A1C10">
        <w:rPr>
          <w:rFonts w:ascii="Century Schoolbook" w:hAnsi="Century Schoolbook"/>
          <w:i/>
          <w:iCs/>
        </w:rPr>
        <w:t>observed</w:t>
      </w:r>
      <w:r>
        <w:rPr>
          <w:rFonts w:ascii="Century Schoolbook" w:hAnsi="Century Schoolbook"/>
        </w:rPr>
        <w:t xml:space="preserve"> an incident that reasonably appears to be physical abuse” ’ was required to report such abuse. (</w:t>
      </w:r>
      <w:r w:rsidRPr="00987B30">
        <w:rPr>
          <w:rFonts w:ascii="Century Schoolbook" w:hAnsi="Century Schoolbook"/>
          <w:i/>
          <w:iCs/>
        </w:rPr>
        <w:t>Easton, supra</w:t>
      </w:r>
      <w:r>
        <w:rPr>
          <w:rFonts w:ascii="Century Schoolbook" w:hAnsi="Century Schoolbook"/>
        </w:rPr>
        <w:t xml:space="preserve">, at p. 491, </w:t>
      </w:r>
      <w:r w:rsidRPr="00935A1A">
        <w:rPr>
          <w:rFonts w:ascii="Century Schoolbook" w:hAnsi="Century Schoolbook"/>
        </w:rPr>
        <w:t>italics added</w:t>
      </w:r>
      <w:r>
        <w:rPr>
          <w:rFonts w:ascii="Century Schoolbook" w:hAnsi="Century Schoolbook"/>
        </w:rPr>
        <w:t>, quoting former § 15630, subd. (b).)” (</w:t>
      </w:r>
      <w:r w:rsidRPr="002A4143">
        <w:rPr>
          <w:rFonts w:ascii="Century Schoolbook" w:hAnsi="Century Schoolbook"/>
          <w:i/>
          <w:iCs/>
        </w:rPr>
        <w:t>Santos, supra</w:t>
      </w:r>
      <w:r>
        <w:rPr>
          <w:rFonts w:ascii="Century Schoolbook" w:hAnsi="Century Schoolbook"/>
        </w:rPr>
        <w:t>, 1 Cal.App.5th a</w:t>
      </w:r>
      <w:r>
        <w:rPr>
          <w:rFonts w:ascii="Century Schoolbook" w:hAnsi="Century Schoolbook"/>
        </w:rPr>
        <w:t xml:space="preserve">t p. </w:t>
      </w:r>
      <w:r>
        <w:rPr>
          <w:rFonts w:ascii="Century Schoolbook" w:hAnsi="Century Schoolbook"/>
        </w:rPr>
        <w:t>872.)</w:t>
      </w:r>
      <w:r>
        <w:rPr>
          <w:rFonts w:ascii="Century Schoolbook" w:hAnsi="Century Schoolbook"/>
        </w:rPr>
        <w:t xml:space="preserve"> </w:t>
      </w:r>
    </w:p>
    <w:p w14:paraId="40EB67E3" w14:textId="77777777" w:rsidR="000825E5" w:rsidRDefault="00F5385E" w:rsidP="00142B0E">
      <w:pPr>
        <w:rPr>
          <w:rFonts w:ascii="Century Schoolbook" w:hAnsi="Century Schoolbook"/>
        </w:rPr>
      </w:pPr>
      <w:r>
        <w:rPr>
          <w:rFonts w:ascii="Century Schoolbook" w:hAnsi="Century Schoolbook"/>
        </w:rPr>
        <w:tab/>
      </w:r>
      <w:r>
        <w:rPr>
          <w:rFonts w:ascii="Century Schoolbook" w:hAnsi="Century Schoolbook"/>
        </w:rPr>
        <w:t>“</w:t>
      </w:r>
      <w:r>
        <w:rPr>
          <w:rFonts w:ascii="Century Schoolbook" w:hAnsi="Century Schoolbook"/>
        </w:rPr>
        <w:t xml:space="preserve">The </w:t>
      </w:r>
      <w:r w:rsidRPr="002A4143">
        <w:rPr>
          <w:rFonts w:ascii="Century Schoolbook" w:hAnsi="Century Schoolbook"/>
          <w:i/>
          <w:iCs/>
        </w:rPr>
        <w:t>Easton</w:t>
      </w:r>
      <w:r>
        <w:rPr>
          <w:rFonts w:ascii="Century Schoolbook" w:hAnsi="Century Schoolbook"/>
        </w:rPr>
        <w:t xml:space="preserve"> court first concluded </w:t>
      </w:r>
      <w:r>
        <w:rPr>
          <w:rFonts w:ascii="Century Schoolbook" w:hAnsi="Century Schoolbook"/>
        </w:rPr>
        <w:t>that the immunity provided in section</w:t>
      </w:r>
      <w:r>
        <w:rPr>
          <w:rFonts w:ascii="Century Schoolbook" w:hAnsi="Century Schoolbook"/>
        </w:rPr>
        <w:t> </w:t>
      </w:r>
      <w:r>
        <w:rPr>
          <w:rFonts w:ascii="Century Schoolbook" w:hAnsi="Century Schoolbook"/>
        </w:rPr>
        <w:t xml:space="preserve">15634 to mandated reporters was absolute, rather than qualified. The </w:t>
      </w:r>
      <w:r w:rsidRPr="001A3CA1">
        <w:rPr>
          <w:rFonts w:ascii="Century Schoolbook" w:hAnsi="Century Schoolbook"/>
          <w:i/>
          <w:iCs/>
        </w:rPr>
        <w:t>Easton</w:t>
      </w:r>
      <w:r>
        <w:rPr>
          <w:rFonts w:ascii="Century Schoolbook" w:hAnsi="Century Schoolbook"/>
        </w:rPr>
        <w:t xml:space="preserve"> court reasoned: ‘Based on the purpose of the immunity provision and upon the Legislature’s draf</w:t>
      </w:r>
      <w:r>
        <w:rPr>
          <w:rFonts w:ascii="Century Schoolbook" w:hAnsi="Century Schoolbook"/>
        </w:rPr>
        <w:t>ting of section 15634, we conclude that the privilege created by the section is absolute rather than qualified. The language of section 15634 distinguishes between mandated reporters of abuse who make required or authorized reports and nonmandated reporter</w:t>
      </w:r>
      <w:r>
        <w:rPr>
          <w:rFonts w:ascii="Century Schoolbook" w:hAnsi="Century Schoolbook"/>
        </w:rPr>
        <w:t>s. As to those who must report, the rule is sweeping in its breadth—no health practitioner who reports shall be civilly liable for any report. However, the section goes on to create only a qualified privilege for “[a]ny other person reporting.” Such nonman</w:t>
      </w:r>
      <w:r>
        <w:rPr>
          <w:rFonts w:ascii="Century Schoolbook" w:hAnsi="Century Schoolbook"/>
        </w:rPr>
        <w:t xml:space="preserve">dated </w:t>
      </w:r>
      <w:r>
        <w:rPr>
          <w:rFonts w:ascii="Century Schoolbook" w:hAnsi="Century Schoolbook"/>
        </w:rPr>
        <w:t xml:space="preserve">reporters “shall not incur civil or criminal liability as a result of any report authorized by this article, unless it can be proven that a false report was made and the person knew that the report was false.” (§ 15634[(a)].) </w:t>
      </w:r>
      <w:r w:rsidRPr="003B6D10">
        <w:rPr>
          <w:rFonts w:ascii="Century Schoolbook" w:hAnsi="Century Schoolbook"/>
        </w:rPr>
        <w:t>The plain meaning of the</w:t>
      </w:r>
      <w:r w:rsidRPr="003B6D10">
        <w:rPr>
          <w:rFonts w:ascii="Century Schoolbook" w:hAnsi="Century Schoolbook"/>
        </w:rPr>
        <w:t xml:space="preserve"> statutory language is that for mandated reporters the truth or falsity of the report is of no moment—the privilege is absolute.’ (</w:t>
      </w:r>
      <w:r w:rsidRPr="003B6D10">
        <w:rPr>
          <w:rFonts w:ascii="Century Schoolbook" w:hAnsi="Century Schoolbook"/>
          <w:i/>
          <w:iCs/>
        </w:rPr>
        <w:t>Easton, supra</w:t>
      </w:r>
      <w:r w:rsidRPr="003B6D10">
        <w:rPr>
          <w:rFonts w:ascii="Century Schoolbook" w:hAnsi="Century Schoolbook"/>
        </w:rPr>
        <w:t>, 80 Cal.App.4th at pp. 491</w:t>
      </w:r>
      <w:r w:rsidRPr="003B6D10">
        <w:rPr>
          <w:rFonts w:ascii="Century Schoolbook" w:hAnsi="Century Schoolbook"/>
        </w:rPr>
        <w:t>–</w:t>
      </w:r>
      <w:r w:rsidRPr="003B6D10">
        <w:rPr>
          <w:rFonts w:ascii="Century Schoolbook" w:hAnsi="Century Schoolbook"/>
        </w:rPr>
        <w:t>492.)” (</w:t>
      </w:r>
      <w:r w:rsidRPr="003B6D10">
        <w:rPr>
          <w:rFonts w:ascii="Century Schoolbook" w:hAnsi="Century Schoolbook"/>
          <w:i/>
          <w:iCs/>
        </w:rPr>
        <w:t>Santos, supra</w:t>
      </w:r>
      <w:r w:rsidRPr="003B6D10">
        <w:rPr>
          <w:rFonts w:ascii="Century Schoolbook" w:hAnsi="Century Schoolbook"/>
        </w:rPr>
        <w:t>, 1 Cal.App.5th at p. 872.)</w:t>
      </w:r>
      <w:r>
        <w:rPr>
          <w:rFonts w:ascii="Century Schoolbook" w:hAnsi="Century Schoolbook"/>
        </w:rPr>
        <w:t xml:space="preserve"> </w:t>
      </w:r>
    </w:p>
    <w:p w14:paraId="21FD3DEB" w14:textId="77777777" w:rsidR="007D60B9" w:rsidRDefault="00F5385E" w:rsidP="00142B0E">
      <w:pPr>
        <w:rPr>
          <w:rFonts w:ascii="Century Schoolbook" w:hAnsi="Century Schoolbook"/>
        </w:rPr>
      </w:pPr>
      <w:r>
        <w:rPr>
          <w:rFonts w:ascii="Century Schoolbook" w:hAnsi="Century Schoolbook"/>
        </w:rPr>
        <w:lastRenderedPageBreak/>
        <w:tab/>
        <w:t xml:space="preserve">“The </w:t>
      </w:r>
      <w:r w:rsidRPr="00513DFF">
        <w:rPr>
          <w:rFonts w:ascii="Century Schoolbook" w:hAnsi="Century Schoolbook"/>
          <w:i/>
          <w:iCs/>
        </w:rPr>
        <w:t>Easton</w:t>
      </w:r>
      <w:r>
        <w:rPr>
          <w:rFonts w:ascii="Century Schoolbook" w:hAnsi="Century Schoolbook"/>
        </w:rPr>
        <w:t xml:space="preserve"> court then considered</w:t>
      </w:r>
      <w:r>
        <w:rPr>
          <w:rFonts w:ascii="Century Schoolbook" w:hAnsi="Century Schoolbook"/>
        </w:rPr>
        <w:t xml:space="preserve"> whether the physician and the nurse were entitled to immunity, notwithstanding that they had failed to ‘comply with the reporting method in [former] section 15630’ (</w:t>
      </w:r>
      <w:r w:rsidRPr="00513DFF">
        <w:rPr>
          <w:rFonts w:ascii="Century Schoolbook" w:hAnsi="Century Schoolbook"/>
          <w:i/>
          <w:iCs/>
        </w:rPr>
        <w:t>Easton, supra</w:t>
      </w:r>
      <w:r>
        <w:rPr>
          <w:rFonts w:ascii="Century Schoolbook" w:hAnsi="Century Schoolbook"/>
        </w:rPr>
        <w:t xml:space="preserve">, 80 Cal.App.4th at p. 492), in that the nurse had not </w:t>
      </w:r>
      <w:r w:rsidRPr="00513DFF">
        <w:rPr>
          <w:rFonts w:ascii="Century Schoolbook" w:hAnsi="Century Schoolbook"/>
          <w:i/>
          <w:iCs/>
        </w:rPr>
        <w:t>personally</w:t>
      </w:r>
      <w:r>
        <w:rPr>
          <w:rFonts w:ascii="Century Schoolbook" w:hAnsi="Century Schoolbook"/>
        </w:rPr>
        <w:t xml:space="preserve"> called law enforcement, but instead had relayed information concerning the abuse to the physician, who called law enforcement. </w:t>
      </w:r>
      <w:r w:rsidRPr="003B6D10">
        <w:rPr>
          <w:rFonts w:ascii="Century Schoolbook" w:hAnsi="Century Schoolbook"/>
        </w:rPr>
        <w:t xml:space="preserve">The </w:t>
      </w:r>
      <w:r w:rsidRPr="003B6D10">
        <w:rPr>
          <w:rFonts w:ascii="Century Schoolbook" w:hAnsi="Century Schoolbook"/>
          <w:i/>
          <w:iCs/>
        </w:rPr>
        <w:t>Easton</w:t>
      </w:r>
      <w:r w:rsidRPr="003B6D10">
        <w:rPr>
          <w:rFonts w:ascii="Century Schoolbook" w:hAnsi="Century Schoolbook"/>
        </w:rPr>
        <w:t xml:space="preserve"> court ‘reject[ed] a strict reading of the reporting condition—</w:t>
      </w:r>
      <w:r>
        <w:rPr>
          <w:rFonts w:ascii="Century Schoolbook" w:hAnsi="Century Schoolbook"/>
        </w:rPr>
        <w:t xml:space="preserve">namely </w:t>
      </w:r>
      <w:r>
        <w:rPr>
          <w:rFonts w:ascii="Century Schoolbook" w:hAnsi="Century Schoolbook"/>
        </w:rPr>
        <w:t>that reports be made by one who “has o</w:t>
      </w:r>
      <w:r>
        <w:rPr>
          <w:rFonts w:ascii="Century Schoolbook" w:hAnsi="Century Schoolbook"/>
        </w:rPr>
        <w:t>bserved” a reportable incident—as inconsistent with either the letter or spirit of the statutory scheme.’ (</w:t>
      </w:r>
      <w:r w:rsidRPr="008214D7">
        <w:rPr>
          <w:rFonts w:ascii="Century Schoolbook" w:hAnsi="Century Schoolbook"/>
          <w:i/>
          <w:iCs/>
        </w:rPr>
        <w:t>Id.</w:t>
      </w:r>
      <w:r>
        <w:rPr>
          <w:rFonts w:ascii="Century Schoolbook" w:hAnsi="Century Schoolbook"/>
        </w:rPr>
        <w:t xml:space="preserve"> at p. 493.) The </w:t>
      </w:r>
      <w:r w:rsidRPr="008214D7">
        <w:rPr>
          <w:rFonts w:ascii="Century Schoolbook" w:hAnsi="Century Schoolbook"/>
          <w:i/>
          <w:iCs/>
        </w:rPr>
        <w:t>Easton</w:t>
      </w:r>
      <w:r>
        <w:rPr>
          <w:rFonts w:ascii="Century Schoolbook" w:hAnsi="Century Schoolbook"/>
        </w:rPr>
        <w:t xml:space="preserve"> court reasoned that while a </w:t>
      </w:r>
      <w:r w:rsidRPr="003B6D10">
        <w:rPr>
          <w:rFonts w:ascii="Century Schoolbook" w:hAnsi="Century Schoolbook"/>
        </w:rPr>
        <w:t>physician’s reliance on</w:t>
      </w:r>
      <w:r w:rsidRPr="003B6D10">
        <w:rPr>
          <w:rFonts w:ascii="Century Schoolbook" w:hAnsi="Century Schoolbook"/>
        </w:rPr>
        <w:t xml:space="preserve"> </w:t>
      </w:r>
      <w:r w:rsidRPr="003B6D10">
        <w:rPr>
          <w:rFonts w:ascii="Century Schoolbook" w:hAnsi="Century Schoolbook"/>
        </w:rPr>
        <w:t>a nurse’s report of suspected abuse ‘was not expressly envisioned by t</w:t>
      </w:r>
      <w:r w:rsidRPr="003B6D10">
        <w:rPr>
          <w:rFonts w:ascii="Century Schoolbook" w:hAnsi="Century Schoolbook"/>
        </w:rPr>
        <w:t>he statutory scheme</w:t>
      </w:r>
      <w:r>
        <w:rPr>
          <w:rFonts w:ascii="Century Schoolbook" w:hAnsi="Century Schoolbook"/>
        </w:rPr>
        <w:t xml:space="preserve"> in effect as of [the time of the incident] the Legislature had in fact already taken action to amend the statute so that such reliance would be expressly permitted.’ (</w:t>
      </w:r>
      <w:r w:rsidRPr="001A3CA1">
        <w:rPr>
          <w:rFonts w:ascii="Century Schoolbook" w:hAnsi="Century Schoolbook"/>
          <w:i/>
          <w:iCs/>
        </w:rPr>
        <w:t>Id.</w:t>
      </w:r>
      <w:r>
        <w:rPr>
          <w:rFonts w:ascii="Century Schoolbook" w:hAnsi="Century Schoolbook"/>
        </w:rPr>
        <w:t xml:space="preserve"> at p. 494 [referring to an amendment to the statute requiring a m</w:t>
      </w:r>
      <w:r>
        <w:rPr>
          <w:rFonts w:ascii="Century Schoolbook" w:hAnsi="Century Schoolbook"/>
        </w:rPr>
        <w:t xml:space="preserve">andated reporter who ‘ “has observed or who </w:t>
      </w:r>
      <w:r w:rsidRPr="007D1B08">
        <w:rPr>
          <w:rFonts w:ascii="Century Schoolbook" w:hAnsi="Century Schoolbook"/>
          <w:i/>
          <w:iCs/>
        </w:rPr>
        <w:t>has knowledge</w:t>
      </w:r>
      <w:r>
        <w:rPr>
          <w:rFonts w:ascii="Century Schoolbook" w:hAnsi="Century Schoolbook"/>
        </w:rPr>
        <w:t xml:space="preserve"> </w:t>
      </w:r>
      <w:r>
        <w:rPr>
          <w:rFonts w:ascii="Century Schoolbook" w:hAnsi="Century Schoolbook"/>
        </w:rPr>
        <w:t xml:space="preserve">of an incident,” ’ quoting § 15639, subd. (b)(1), as amended by Stats. 1998, ch. 980, § 1, p. 7525].) The </w:t>
      </w:r>
      <w:r w:rsidRPr="001A3CA1">
        <w:rPr>
          <w:rFonts w:ascii="Century Schoolbook" w:hAnsi="Century Schoolbook"/>
          <w:i/>
          <w:iCs/>
        </w:rPr>
        <w:t>Easton</w:t>
      </w:r>
      <w:r>
        <w:rPr>
          <w:rFonts w:ascii="Century Schoolbook" w:hAnsi="Century Schoolbook"/>
        </w:rPr>
        <w:t xml:space="preserve"> court continued, ‘Clearly, the </w:t>
      </w:r>
      <w:r w:rsidRPr="003B6D10">
        <w:rPr>
          <w:rFonts w:ascii="Century Schoolbook" w:hAnsi="Century Schoolbook"/>
        </w:rPr>
        <w:t xml:space="preserve">purpose of the statutory scheme of which </w:t>
      </w:r>
      <w:r w:rsidRPr="003B6D10">
        <w:rPr>
          <w:rFonts w:ascii="Century Schoolbook" w:hAnsi="Century Schoolbook"/>
        </w:rPr>
        <w:t>section 15630 is a part and the precise language of the 1998</w:t>
      </w:r>
      <w:r>
        <w:rPr>
          <w:rFonts w:ascii="Century Schoolbook" w:hAnsi="Century Schoolbook"/>
        </w:rPr>
        <w:t xml:space="preserve"> version </w:t>
      </w:r>
      <w:r>
        <w:rPr>
          <w:rFonts w:ascii="Century Schoolbook" w:hAnsi="Century Schoolbook"/>
        </w:rPr>
        <w:t>of the section, would not be advanced by denying immunity to either [the nurse] or [the physician].’ (</w:t>
      </w:r>
      <w:r w:rsidRPr="007D60B9">
        <w:rPr>
          <w:rFonts w:ascii="Century Schoolbook" w:hAnsi="Century Schoolbook"/>
          <w:i/>
          <w:iCs/>
        </w:rPr>
        <w:t>Easton, supra</w:t>
      </w:r>
      <w:r>
        <w:rPr>
          <w:rFonts w:ascii="Century Schoolbook" w:hAnsi="Century Schoolbook"/>
        </w:rPr>
        <w:t>, at p. 494.)” (</w:t>
      </w:r>
      <w:r w:rsidRPr="007D60B9">
        <w:rPr>
          <w:rFonts w:ascii="Century Schoolbook" w:hAnsi="Century Schoolbook"/>
          <w:i/>
          <w:iCs/>
        </w:rPr>
        <w:t>Santos, supra</w:t>
      </w:r>
      <w:r>
        <w:rPr>
          <w:rFonts w:ascii="Century Schoolbook" w:hAnsi="Century Schoolbook"/>
        </w:rPr>
        <w:t>, 1 Cal.5th at pp. 872</w:t>
      </w:r>
      <w:r>
        <w:rPr>
          <w:rFonts w:ascii="Century Schoolbook" w:hAnsi="Century Schoolbook"/>
        </w:rPr>
        <w:t>–</w:t>
      </w:r>
      <w:r>
        <w:rPr>
          <w:rFonts w:ascii="Century Schoolbook" w:hAnsi="Century Schoolbook"/>
        </w:rPr>
        <w:t xml:space="preserve">873.) </w:t>
      </w:r>
    </w:p>
    <w:p w14:paraId="0B3D1AAB" w14:textId="77777777" w:rsidR="00BE4D42" w:rsidRDefault="00F5385E" w:rsidP="00142B0E">
      <w:pPr>
        <w:rPr>
          <w:rFonts w:ascii="Century Schoolbook" w:hAnsi="Century Schoolbook"/>
        </w:rPr>
      </w:pPr>
      <w:r>
        <w:rPr>
          <w:rFonts w:ascii="Century Schoolbook" w:hAnsi="Century Schoolbook"/>
        </w:rPr>
        <w:tab/>
        <w:t xml:space="preserve">Thus, </w:t>
      </w:r>
      <w:r>
        <w:rPr>
          <w:rFonts w:ascii="Century Schoolbook" w:hAnsi="Century Schoolbook"/>
        </w:rPr>
        <w:t>as chr</w:t>
      </w:r>
      <w:r>
        <w:rPr>
          <w:rFonts w:ascii="Century Schoolbook" w:hAnsi="Century Schoolbook"/>
        </w:rPr>
        <w:t xml:space="preserve">onicled in </w:t>
      </w:r>
      <w:r w:rsidRPr="00370376">
        <w:rPr>
          <w:rFonts w:ascii="Century Schoolbook" w:hAnsi="Century Schoolbook"/>
          <w:i/>
          <w:iCs/>
        </w:rPr>
        <w:t>Santos</w:t>
      </w:r>
      <w:r>
        <w:rPr>
          <w:rFonts w:ascii="Century Schoolbook" w:hAnsi="Century Schoolbook"/>
        </w:rPr>
        <w:t xml:space="preserve">, </w:t>
      </w:r>
      <w:r>
        <w:rPr>
          <w:rFonts w:ascii="Century Schoolbook" w:hAnsi="Century Schoolbook"/>
        </w:rPr>
        <w:t xml:space="preserve">one feature of </w:t>
      </w:r>
      <w:r w:rsidRPr="007D60B9">
        <w:rPr>
          <w:rFonts w:ascii="Century Schoolbook" w:hAnsi="Century Schoolbook"/>
          <w:i/>
          <w:iCs/>
        </w:rPr>
        <w:t>Easton</w:t>
      </w:r>
      <w:r>
        <w:rPr>
          <w:rFonts w:ascii="Century Schoolbook" w:hAnsi="Century Schoolbook"/>
        </w:rPr>
        <w:t xml:space="preserve"> is its </w:t>
      </w:r>
      <w:r>
        <w:rPr>
          <w:rFonts w:ascii="Century Schoolbook" w:hAnsi="Century Schoolbook"/>
        </w:rPr>
        <w:t xml:space="preserve">construction and </w:t>
      </w:r>
      <w:r>
        <w:rPr>
          <w:rFonts w:ascii="Century Schoolbook" w:hAnsi="Century Schoolbook"/>
        </w:rPr>
        <w:t>application of the Act’s broad and absolute immunity to mandated reporters to recognize and implement the clear and primary legislative purpose of removing obstacles that hinder reporting, ev</w:t>
      </w:r>
      <w:r>
        <w:rPr>
          <w:rFonts w:ascii="Century Schoolbook" w:hAnsi="Century Schoolbook"/>
        </w:rPr>
        <w:t xml:space="preserve">en when </w:t>
      </w:r>
      <w:r>
        <w:rPr>
          <w:rFonts w:ascii="Century Schoolbook" w:hAnsi="Century Schoolbook"/>
        </w:rPr>
        <w:t>considering</w:t>
      </w:r>
      <w:r>
        <w:rPr>
          <w:rFonts w:ascii="Century Schoolbook" w:hAnsi="Century Schoolbook"/>
        </w:rPr>
        <w:t xml:space="preserve"> the Act’s statutory text against plain-meaning arguments </w:t>
      </w:r>
      <w:r>
        <w:rPr>
          <w:rFonts w:ascii="Century Schoolbook" w:hAnsi="Century Schoolbook"/>
        </w:rPr>
        <w:t xml:space="preserve">that would undermine and thwart this </w:t>
      </w:r>
      <w:r>
        <w:rPr>
          <w:rFonts w:ascii="Century Schoolbook" w:hAnsi="Century Schoolbook"/>
        </w:rPr>
        <w:t xml:space="preserve">overarching </w:t>
      </w:r>
      <w:r>
        <w:rPr>
          <w:rFonts w:ascii="Century Schoolbook" w:hAnsi="Century Schoolbook"/>
        </w:rPr>
        <w:t>purpose</w:t>
      </w:r>
      <w:r>
        <w:rPr>
          <w:rFonts w:ascii="Century Schoolbook" w:hAnsi="Century Schoolbook"/>
        </w:rPr>
        <w:t xml:space="preserve">. </w:t>
      </w:r>
      <w:r w:rsidRPr="00BE4D42">
        <w:rPr>
          <w:rFonts w:ascii="Century Schoolbook" w:hAnsi="Century Schoolbook"/>
          <w:i/>
          <w:iCs/>
        </w:rPr>
        <w:t>Easton</w:t>
      </w:r>
      <w:r>
        <w:rPr>
          <w:rFonts w:ascii="Century Schoolbook" w:hAnsi="Century Schoolbook"/>
        </w:rPr>
        <w:t xml:space="preserve"> is not alone in this</w:t>
      </w:r>
      <w:r>
        <w:rPr>
          <w:rFonts w:ascii="Century Schoolbook" w:hAnsi="Century Schoolbook"/>
        </w:rPr>
        <w:t xml:space="preserve">; </w:t>
      </w:r>
      <w:r w:rsidRPr="008A4C16">
        <w:rPr>
          <w:rFonts w:ascii="Century Schoolbook" w:hAnsi="Century Schoolbook"/>
          <w:i/>
          <w:iCs/>
        </w:rPr>
        <w:t>Santos</w:t>
      </w:r>
      <w:r>
        <w:rPr>
          <w:rFonts w:ascii="Century Schoolbook" w:hAnsi="Century Schoolbook"/>
        </w:rPr>
        <w:t xml:space="preserve"> followed suit</w:t>
      </w:r>
      <w:r>
        <w:rPr>
          <w:rFonts w:ascii="Century Schoolbook" w:hAnsi="Century Schoolbook"/>
        </w:rPr>
        <w:t xml:space="preserve">, </w:t>
      </w:r>
      <w:r>
        <w:rPr>
          <w:rFonts w:ascii="Century Schoolbook" w:hAnsi="Century Schoolbook"/>
        </w:rPr>
        <w:t xml:space="preserve">and </w:t>
      </w:r>
      <w:r>
        <w:rPr>
          <w:rFonts w:ascii="Century Schoolbook" w:hAnsi="Century Schoolbook"/>
        </w:rPr>
        <w:t>also rel</w:t>
      </w:r>
      <w:r>
        <w:rPr>
          <w:rFonts w:ascii="Century Schoolbook" w:hAnsi="Century Schoolbook"/>
        </w:rPr>
        <w:t>ied</w:t>
      </w:r>
      <w:r>
        <w:rPr>
          <w:rFonts w:ascii="Century Schoolbook" w:hAnsi="Century Schoolbook"/>
        </w:rPr>
        <w:t xml:space="preserve"> on cases in the </w:t>
      </w:r>
      <w:r>
        <w:rPr>
          <w:rFonts w:ascii="Century Schoolbook" w:hAnsi="Century Schoolbook"/>
        </w:rPr>
        <w:t xml:space="preserve">parallel </w:t>
      </w:r>
      <w:r>
        <w:rPr>
          <w:rFonts w:ascii="Century Schoolbook" w:hAnsi="Century Schoolbook"/>
        </w:rPr>
        <w:t>child-abuse-reporting context</w:t>
      </w:r>
      <w:r>
        <w:rPr>
          <w:rFonts w:ascii="Century Schoolbook" w:hAnsi="Century Schoolbook"/>
        </w:rPr>
        <w:t xml:space="preserve"> that </w:t>
      </w:r>
      <w:r>
        <w:rPr>
          <w:rFonts w:ascii="Century Schoolbook" w:hAnsi="Century Schoolbook"/>
        </w:rPr>
        <w:lastRenderedPageBreak/>
        <w:t xml:space="preserve">took the same approach to attempts by plaintiffs </w:t>
      </w:r>
      <w:r>
        <w:rPr>
          <w:rFonts w:ascii="Century Schoolbook" w:hAnsi="Century Schoolbook"/>
        </w:rPr>
        <w:t xml:space="preserve">in that context </w:t>
      </w:r>
      <w:r>
        <w:rPr>
          <w:rFonts w:ascii="Century Schoolbook" w:hAnsi="Century Schoolbook"/>
        </w:rPr>
        <w:t xml:space="preserve">to </w:t>
      </w:r>
      <w:r>
        <w:rPr>
          <w:rFonts w:ascii="Century Schoolbook" w:hAnsi="Century Schoolbook"/>
        </w:rPr>
        <w:t>narrow the absolute immunity afforded to mandated reporters</w:t>
      </w:r>
      <w:r>
        <w:rPr>
          <w:rFonts w:ascii="Century Schoolbook" w:hAnsi="Century Schoolbook"/>
        </w:rPr>
        <w:t>.</w:t>
      </w:r>
    </w:p>
    <w:p w14:paraId="4234D1BC" w14:textId="77777777" w:rsidR="009C02D2" w:rsidRDefault="00F5385E" w:rsidP="00142B0E">
      <w:pPr>
        <w:rPr>
          <w:rFonts w:ascii="Century Schoolbook" w:hAnsi="Century Schoolbook"/>
        </w:rPr>
      </w:pPr>
      <w:r>
        <w:rPr>
          <w:rFonts w:ascii="Century Schoolbook" w:hAnsi="Century Schoolbook"/>
        </w:rPr>
        <w:tab/>
        <w:t xml:space="preserve">As further discussed in </w:t>
      </w:r>
      <w:r w:rsidRPr="00BE4D42">
        <w:rPr>
          <w:rFonts w:ascii="Century Schoolbook" w:hAnsi="Century Schoolbook"/>
          <w:i/>
          <w:iCs/>
        </w:rPr>
        <w:t>Santos</w:t>
      </w:r>
      <w:r>
        <w:rPr>
          <w:rFonts w:ascii="Century Schoolbook" w:hAnsi="Century Schoolbook"/>
        </w:rPr>
        <w:t xml:space="preserve">, </w:t>
      </w:r>
      <w:r>
        <w:rPr>
          <w:rFonts w:ascii="Century Schoolbook" w:hAnsi="Century Schoolbook"/>
        </w:rPr>
        <w:t xml:space="preserve">and as recognized by the parties in this case, </w:t>
      </w:r>
      <w:r>
        <w:rPr>
          <w:rFonts w:ascii="Century Schoolbook" w:hAnsi="Century Schoolbook"/>
        </w:rPr>
        <w:t>the mandated</w:t>
      </w:r>
      <w:r>
        <w:rPr>
          <w:rFonts w:ascii="Century Schoolbook" w:hAnsi="Century Schoolbook"/>
        </w:rPr>
        <w:t>-</w:t>
      </w:r>
      <w:r>
        <w:rPr>
          <w:rFonts w:ascii="Century Schoolbook" w:hAnsi="Century Schoolbook"/>
        </w:rPr>
        <w:t>reporter immunity provided in the</w:t>
      </w:r>
      <w:r>
        <w:rPr>
          <w:rFonts w:ascii="Century Schoolbook" w:hAnsi="Century Schoolbook"/>
        </w:rPr>
        <w:t xml:space="preserve"> </w:t>
      </w:r>
      <w:r>
        <w:rPr>
          <w:rFonts w:ascii="Century Schoolbook" w:hAnsi="Century Schoolbook"/>
        </w:rPr>
        <w:t xml:space="preserve">predecessor </w:t>
      </w:r>
      <w:r>
        <w:rPr>
          <w:rFonts w:ascii="Century Schoolbook" w:hAnsi="Century Schoolbook"/>
        </w:rPr>
        <w:t>child-abuse context is relevant</w:t>
      </w:r>
      <w:r>
        <w:rPr>
          <w:rFonts w:ascii="Century Schoolbook" w:hAnsi="Century Schoolbook"/>
        </w:rPr>
        <w:t xml:space="preserve"> here. “In interpreting and applying section 15634, we may consider its ‘predecessor statutes, which created reporting </w:t>
      </w:r>
      <w:r>
        <w:rPr>
          <w:rFonts w:ascii="Century Schoolbook" w:hAnsi="Century Schoolbook"/>
        </w:rPr>
        <w:t>requirements and immunity for mandated reporters of child abuse.’ (</w:t>
      </w:r>
      <w:r w:rsidRPr="008A4C16">
        <w:rPr>
          <w:rFonts w:ascii="Century Schoolbook" w:hAnsi="Century Schoolbook"/>
          <w:i/>
          <w:iCs/>
        </w:rPr>
        <w:t>Easton, supra</w:t>
      </w:r>
      <w:r>
        <w:rPr>
          <w:rFonts w:ascii="Century Schoolbook" w:hAnsi="Century Schoolbook"/>
        </w:rPr>
        <w:t xml:space="preserve">, 80 Cal.App.4th at p. 492.) Such case law is </w:t>
      </w:r>
      <w:r>
        <w:rPr>
          <w:rFonts w:ascii="Century Schoolbook" w:hAnsi="Century Schoolbook"/>
        </w:rPr>
        <w:t xml:space="preserve">highly relevant in light of the similarity of the two immunity provisions. (Compare </w:t>
      </w:r>
      <w:r>
        <w:rPr>
          <w:rFonts w:ascii="Century Schoolbook" w:hAnsi="Century Schoolbook"/>
        </w:rPr>
        <w:t>. . .</w:t>
      </w:r>
      <w:r>
        <w:rPr>
          <w:rFonts w:ascii="Century Schoolbook" w:hAnsi="Century Schoolbook"/>
        </w:rPr>
        <w:t xml:space="preserve"> § </w:t>
      </w:r>
      <w:r>
        <w:rPr>
          <w:rFonts w:ascii="Century Schoolbook" w:hAnsi="Century Schoolbook"/>
        </w:rPr>
        <w:t>15634 [</w:t>
      </w:r>
      <w:r>
        <w:rPr>
          <w:rFonts w:ascii="Century Schoolbook" w:hAnsi="Century Schoolbook"/>
        </w:rPr>
        <w:t>‘</w:t>
      </w:r>
      <w:r>
        <w:rPr>
          <w:rFonts w:ascii="Century Schoolbook" w:hAnsi="Century Schoolbook"/>
        </w:rPr>
        <w:t xml:space="preserve">No care custodian </w:t>
      </w:r>
      <w:r>
        <w:rPr>
          <w:rFonts w:ascii="Century Schoolbook" w:hAnsi="Century Schoolbook"/>
        </w:rPr>
        <w:t>. . .</w:t>
      </w:r>
      <w:r>
        <w:rPr>
          <w:rFonts w:ascii="Century Schoolbook" w:hAnsi="Century Schoolbook"/>
        </w:rPr>
        <w:t xml:space="preserve"> who re</w:t>
      </w:r>
      <w:r>
        <w:rPr>
          <w:rFonts w:ascii="Century Schoolbook" w:hAnsi="Century Schoolbook"/>
        </w:rPr>
        <w:t>ports a known or suspected instance of abuse of an elder or dependent adult shall be civilly or criminally liable for any report required by this article</w:t>
      </w:r>
      <w:r>
        <w:rPr>
          <w:rFonts w:ascii="Century Schoolbook" w:hAnsi="Century Schoolbook"/>
        </w:rPr>
        <w:t>’</w:t>
      </w:r>
      <w:r>
        <w:rPr>
          <w:rFonts w:ascii="Century Schoolbook" w:hAnsi="Century Schoolbook"/>
        </w:rPr>
        <w:t>] with Pen. Code, § 11172 [</w:t>
      </w:r>
      <w:r>
        <w:rPr>
          <w:rFonts w:ascii="Century Schoolbook" w:hAnsi="Century Schoolbook"/>
        </w:rPr>
        <w:t>‘</w:t>
      </w:r>
      <w:r>
        <w:rPr>
          <w:rFonts w:ascii="Century Schoolbook" w:hAnsi="Century Schoolbook"/>
        </w:rPr>
        <w:t xml:space="preserve">No mandated reporter shall be civilly or criminally liable for any report </w:t>
      </w:r>
      <w:r>
        <w:rPr>
          <w:rFonts w:ascii="Century Schoolbook" w:hAnsi="Century Schoolbook"/>
        </w:rPr>
        <w:t>required or authorized by this article</w:t>
      </w:r>
      <w:r>
        <w:rPr>
          <w:rFonts w:ascii="Century Schoolbook" w:hAnsi="Century Schoolbook"/>
        </w:rPr>
        <w:t>’</w:t>
      </w:r>
      <w:r>
        <w:rPr>
          <w:rFonts w:ascii="Century Schoolbook" w:hAnsi="Century Schoolbook"/>
        </w:rPr>
        <w:t>].)” (</w:t>
      </w:r>
      <w:r w:rsidRPr="008A4C16">
        <w:rPr>
          <w:rFonts w:ascii="Century Schoolbook" w:hAnsi="Century Schoolbook"/>
          <w:i/>
          <w:iCs/>
        </w:rPr>
        <w:t>Santos, supra</w:t>
      </w:r>
      <w:r>
        <w:rPr>
          <w:rFonts w:ascii="Century Schoolbook" w:hAnsi="Century Schoolbook"/>
        </w:rPr>
        <w:t>, 1 Cal.App.5th at p. 873.)</w:t>
      </w:r>
    </w:p>
    <w:p w14:paraId="7F5EFB4D" w14:textId="77777777" w:rsidR="00551DCB" w:rsidRDefault="00F5385E" w:rsidP="00142B0E">
      <w:pPr>
        <w:rPr>
          <w:rFonts w:ascii="Century Schoolbook" w:hAnsi="Century Schoolbook"/>
        </w:rPr>
      </w:pPr>
      <w:r>
        <w:rPr>
          <w:rFonts w:ascii="Century Schoolbook" w:hAnsi="Century Schoolbook"/>
        </w:rPr>
        <w:tab/>
        <w:t xml:space="preserve">“Courts have repeatedly recognized the breadth of the immunity provision contained in Penal Code section 11172. (See, e.g. </w:t>
      </w:r>
      <w:r w:rsidRPr="00551DCB">
        <w:rPr>
          <w:rFonts w:ascii="Century Schoolbook" w:hAnsi="Century Schoolbook"/>
          <w:i/>
          <w:iCs/>
        </w:rPr>
        <w:t>B.H. v. County of San Bernardino</w:t>
      </w:r>
      <w:r>
        <w:rPr>
          <w:rFonts w:ascii="Century Schoolbook" w:hAnsi="Century Schoolbook"/>
        </w:rPr>
        <w:t xml:space="preserve"> (2015) 62 Cal</w:t>
      </w:r>
      <w:r>
        <w:rPr>
          <w:rFonts w:ascii="Century Schoolbook" w:hAnsi="Century Schoolbook"/>
        </w:rPr>
        <w:t xml:space="preserve">.4th 168, 193 [‘The Legislature </w:t>
      </w:r>
      <w:r>
        <w:rPr>
          <w:rFonts w:ascii="Century Schoolbook" w:hAnsi="Century Schoolbook"/>
        </w:rPr>
        <w:t>. . .</w:t>
      </w:r>
      <w:r>
        <w:rPr>
          <w:rFonts w:ascii="Century Schoolbook" w:hAnsi="Century Schoolbook"/>
        </w:rPr>
        <w:t xml:space="preserve"> grant[ed] </w:t>
      </w:r>
      <w:r>
        <w:rPr>
          <w:rFonts w:ascii="Century Schoolbook" w:hAnsi="Century Schoolbook"/>
        </w:rPr>
        <w:t>. . .</w:t>
      </w:r>
      <w:r>
        <w:rPr>
          <w:rFonts w:ascii="Century Schoolbook" w:hAnsi="Century Schoolbook"/>
        </w:rPr>
        <w:t xml:space="preserve"> broad immunities for those mandated reporters who report suspected instances of child abuse’]; </w:t>
      </w:r>
      <w:r w:rsidRPr="006265C2">
        <w:rPr>
          <w:rFonts w:ascii="Century Schoolbook" w:hAnsi="Century Schoolbook"/>
          <w:i/>
          <w:iCs/>
        </w:rPr>
        <w:t>Thomas v. Chadwick</w:t>
      </w:r>
      <w:r>
        <w:rPr>
          <w:rFonts w:ascii="Century Schoolbook" w:hAnsi="Century Schoolbook"/>
        </w:rPr>
        <w:t xml:space="preserve"> (1990) 224 Cal.App.3d 813, 821 (</w:t>
      </w:r>
      <w:r w:rsidRPr="006265C2">
        <w:rPr>
          <w:rFonts w:ascii="Century Schoolbook" w:hAnsi="Century Schoolbook"/>
          <w:i/>
          <w:iCs/>
        </w:rPr>
        <w:t>Thomas</w:t>
      </w:r>
      <w:r>
        <w:rPr>
          <w:rFonts w:ascii="Century Schoolbook" w:hAnsi="Century Schoolbook"/>
        </w:rPr>
        <w:t xml:space="preserve">) </w:t>
      </w:r>
      <w:r>
        <w:rPr>
          <w:rFonts w:ascii="Century Schoolbook" w:hAnsi="Century Schoolbook"/>
        </w:rPr>
        <w:t>[</w:t>
      </w:r>
      <w:r>
        <w:rPr>
          <w:rFonts w:ascii="Century Schoolbook" w:hAnsi="Century Schoolbook"/>
        </w:rPr>
        <w:t>‘To</w:t>
      </w:r>
      <w:r>
        <w:rPr>
          <w:rFonts w:ascii="Century Schoolbook" w:hAnsi="Century Schoolbook"/>
        </w:rPr>
        <w:t xml:space="preserve"> encourage reporting, the Legislature granted reporters broad immunities to obviate the </w:t>
      </w:r>
      <w:r w:rsidRPr="003B6D10">
        <w:rPr>
          <w:rFonts w:ascii="Century Schoolbook" w:hAnsi="Century Schoolbook"/>
        </w:rPr>
        <w:t>chilling effect the spectre of civil lawsuits would have upon a reporter’s willingness to become involved</w:t>
      </w:r>
      <w:r w:rsidRPr="003B6D10">
        <w:rPr>
          <w:rFonts w:ascii="Century Schoolbook" w:hAnsi="Century Schoolbook"/>
        </w:rPr>
        <w:t>’</w:t>
      </w:r>
      <w:r>
        <w:rPr>
          <w:rFonts w:ascii="Century Schoolbook" w:hAnsi="Century Schoolbook"/>
        </w:rPr>
        <w:t>].) ‘In order to promote the purpose of the act to protect abu</w:t>
      </w:r>
      <w:r>
        <w:rPr>
          <w:rFonts w:ascii="Century Schoolbook" w:hAnsi="Century Schoolbook"/>
        </w:rPr>
        <w:t xml:space="preserve">sed children, [Penal Code] section 11172 provides that mandated reporters of child abuse </w:t>
      </w:r>
      <w:r>
        <w:rPr>
          <w:rFonts w:ascii="Century Schoolbook" w:hAnsi="Century Schoolbook"/>
        </w:rPr>
        <w:t>are absolutely immune from liability.</w:t>
      </w:r>
      <w:r>
        <w:rPr>
          <w:rFonts w:ascii="Century Schoolbook" w:hAnsi="Century Schoolbook"/>
        </w:rPr>
        <w:t>’</w:t>
      </w:r>
      <w:r>
        <w:rPr>
          <w:rFonts w:ascii="Century Schoolbook" w:hAnsi="Century Schoolbook"/>
        </w:rPr>
        <w:t xml:space="preserve"> (</w:t>
      </w:r>
      <w:r w:rsidRPr="00AD1E95">
        <w:rPr>
          <w:rFonts w:ascii="Century Schoolbook" w:hAnsi="Century Schoolbook"/>
          <w:i/>
          <w:iCs/>
        </w:rPr>
        <w:t>Robbins</w:t>
      </w:r>
      <w:r>
        <w:rPr>
          <w:rFonts w:ascii="Century Schoolbook" w:hAnsi="Century Schoolbook"/>
        </w:rPr>
        <w:t xml:space="preserve"> [</w:t>
      </w:r>
      <w:r w:rsidRPr="00AD1E95">
        <w:rPr>
          <w:rFonts w:ascii="Century Schoolbook" w:hAnsi="Century Schoolbook"/>
          <w:i/>
          <w:iCs/>
        </w:rPr>
        <w:t>v. Hamburger Home for Girls</w:t>
      </w:r>
      <w:r>
        <w:rPr>
          <w:rFonts w:ascii="Century Schoolbook" w:hAnsi="Century Schoolbook"/>
        </w:rPr>
        <w:t xml:space="preserve"> (1995)] 32 Cal.App.4th [671,] 679; see also </w:t>
      </w:r>
      <w:r w:rsidRPr="007E039B">
        <w:rPr>
          <w:rFonts w:ascii="Century Schoolbook" w:hAnsi="Century Schoolbook"/>
          <w:i/>
          <w:iCs/>
        </w:rPr>
        <w:t>Arce</w:t>
      </w:r>
      <w:r>
        <w:rPr>
          <w:rFonts w:ascii="Century Schoolbook" w:hAnsi="Century Schoolbook"/>
        </w:rPr>
        <w:t xml:space="preserve"> [</w:t>
      </w:r>
      <w:r w:rsidRPr="007E039B">
        <w:rPr>
          <w:rFonts w:ascii="Century Schoolbook" w:hAnsi="Century Schoolbook"/>
          <w:i/>
          <w:iCs/>
        </w:rPr>
        <w:t>v. Children</w:t>
      </w:r>
      <w:r w:rsidRPr="00935A1A">
        <w:rPr>
          <w:rFonts w:ascii="Century Schoolbook" w:hAnsi="Century Schoolbook"/>
          <w:i/>
          <w:iCs/>
        </w:rPr>
        <w:t>s</w:t>
      </w:r>
      <w:r w:rsidRPr="007E039B">
        <w:rPr>
          <w:rFonts w:ascii="Century Schoolbook" w:hAnsi="Century Schoolbook"/>
          <w:i/>
          <w:iCs/>
        </w:rPr>
        <w:t xml:space="preserve"> Hospital Los Angeles</w:t>
      </w:r>
      <w:r>
        <w:rPr>
          <w:rFonts w:ascii="Century Schoolbook" w:hAnsi="Century Schoolbook"/>
        </w:rPr>
        <w:t xml:space="preserve"> (2012)</w:t>
      </w:r>
      <w:r>
        <w:rPr>
          <w:rFonts w:ascii="Century Schoolbook" w:hAnsi="Century Schoolbook"/>
        </w:rPr>
        <w:t xml:space="preserve"> 211 Cal.App.4th [1455,] </w:t>
      </w:r>
      <w:r>
        <w:rPr>
          <w:rFonts w:ascii="Century Schoolbook" w:hAnsi="Century Schoolbook"/>
        </w:rPr>
        <w:lastRenderedPageBreak/>
        <w:t>1485 [(</w:t>
      </w:r>
      <w:r w:rsidRPr="007E039B">
        <w:rPr>
          <w:rFonts w:ascii="Century Schoolbook" w:hAnsi="Century Schoolbook"/>
          <w:i/>
          <w:iCs/>
        </w:rPr>
        <w:t>Arce</w:t>
      </w:r>
      <w:r>
        <w:rPr>
          <w:rFonts w:ascii="Century Schoolbook" w:hAnsi="Century Schoolbook"/>
        </w:rPr>
        <w:t xml:space="preserve">)] </w:t>
      </w:r>
      <w:r>
        <w:rPr>
          <w:rFonts w:ascii="Century Schoolbook" w:hAnsi="Century Schoolbook"/>
        </w:rPr>
        <w:t>[‘</w:t>
      </w:r>
      <w:r w:rsidRPr="003B6D10">
        <w:rPr>
          <w:rFonts w:ascii="Century Schoolbook" w:hAnsi="Century Schoolbook"/>
        </w:rPr>
        <w:t>The immunity extends even to negligent, knowingly false, or malicious reports of abuse’</w:t>
      </w:r>
      <w:r>
        <w:rPr>
          <w:rFonts w:ascii="Century Schoolbook" w:hAnsi="Century Schoolbook"/>
        </w:rPr>
        <w:t>].]” (</w:t>
      </w:r>
      <w:r w:rsidRPr="00551DCB">
        <w:rPr>
          <w:rFonts w:ascii="Century Schoolbook" w:hAnsi="Century Schoolbook"/>
          <w:i/>
          <w:iCs/>
        </w:rPr>
        <w:t>Santos, supra</w:t>
      </w:r>
      <w:r>
        <w:rPr>
          <w:rFonts w:ascii="Century Schoolbook" w:hAnsi="Century Schoolbook"/>
        </w:rPr>
        <w:t>, 1 Cal.App.5th at p. 873.)</w:t>
      </w:r>
      <w:r>
        <w:rPr>
          <w:rFonts w:ascii="Century Schoolbook" w:hAnsi="Century Schoolbook"/>
        </w:rPr>
        <w:t xml:space="preserve"> </w:t>
      </w:r>
    </w:p>
    <w:p w14:paraId="79DBA949" w14:textId="77777777" w:rsidR="008A216E" w:rsidRDefault="00F5385E" w:rsidP="00142B0E">
      <w:pPr>
        <w:rPr>
          <w:rFonts w:ascii="Century Schoolbook" w:hAnsi="Century Schoolbook"/>
        </w:rPr>
      </w:pPr>
      <w:r>
        <w:rPr>
          <w:rFonts w:ascii="Century Schoolbook" w:hAnsi="Century Schoolbook"/>
        </w:rPr>
        <w:tab/>
        <w:t xml:space="preserve">“Further, courts have broadly </w:t>
      </w:r>
      <w:r w:rsidRPr="00551DCB">
        <w:rPr>
          <w:rFonts w:ascii="Century Schoolbook" w:hAnsi="Century Schoolbook"/>
          <w:i/>
          <w:iCs/>
        </w:rPr>
        <w:t>interpreted</w:t>
      </w:r>
      <w:r>
        <w:rPr>
          <w:rFonts w:ascii="Century Schoolbook" w:hAnsi="Century Schoolbook"/>
        </w:rPr>
        <w:t xml:space="preserve"> the immunity provided at Penal Code section 11172 beyond its literal text in order to effectuate this purpose. For example, in </w:t>
      </w:r>
      <w:r w:rsidRPr="00551DCB">
        <w:rPr>
          <w:rFonts w:ascii="Century Schoolbook" w:hAnsi="Century Schoolbook"/>
          <w:i/>
          <w:iCs/>
        </w:rPr>
        <w:t>Storch v. Silverman</w:t>
      </w:r>
      <w:r>
        <w:rPr>
          <w:rFonts w:ascii="Century Schoolbook" w:hAnsi="Century Schoolbook"/>
        </w:rPr>
        <w:t xml:space="preserve"> (1986) 186 Cal.App.3d 671, 677 (</w:t>
      </w:r>
      <w:r w:rsidRPr="00551DCB">
        <w:rPr>
          <w:rFonts w:ascii="Century Schoolbook" w:hAnsi="Century Schoolbook"/>
          <w:i/>
          <w:iCs/>
        </w:rPr>
        <w:t>Storch</w:t>
      </w:r>
      <w:r>
        <w:rPr>
          <w:rFonts w:ascii="Century Schoolbook" w:hAnsi="Century Schoolbook"/>
        </w:rPr>
        <w:t xml:space="preserve">), despite the fact that the version of the statute </w:t>
      </w:r>
      <w:r>
        <w:rPr>
          <w:rFonts w:ascii="Century Schoolbook" w:hAnsi="Century Schoolbook"/>
        </w:rPr>
        <w:t xml:space="preserve">applicable in the </w:t>
      </w:r>
      <w:r>
        <w:rPr>
          <w:rFonts w:ascii="Century Schoolbook" w:hAnsi="Century Schoolbook"/>
        </w:rPr>
        <w:t>case was limited to persons ‘ “</w:t>
      </w:r>
      <w:r w:rsidRPr="00E839B0">
        <w:rPr>
          <w:rFonts w:ascii="Century Schoolbook" w:hAnsi="Century Schoolbook"/>
          <w:i/>
          <w:iCs/>
        </w:rPr>
        <w:t>who report</w:t>
      </w:r>
      <w:r>
        <w:rPr>
          <w:rFonts w:ascii="Century Schoolbook" w:hAnsi="Century Schoolbook"/>
        </w:rPr>
        <w:t>[] a known or suspected instance of child abuse” ’ (</w:t>
      </w:r>
      <w:r w:rsidRPr="00E839B0">
        <w:rPr>
          <w:rFonts w:ascii="Century Schoolbook" w:hAnsi="Century Schoolbook"/>
          <w:i/>
          <w:iCs/>
        </w:rPr>
        <w:t>id</w:t>
      </w:r>
      <w:r>
        <w:rPr>
          <w:rFonts w:ascii="Century Schoolbook" w:hAnsi="Century Schoolbook"/>
        </w:rPr>
        <w:t xml:space="preserve">. at p. 675, fn. 3, italics added, quoting former Pen. Code, § 11172, subd. (a)), the court concluded that the statute </w:t>
      </w:r>
      <w:r>
        <w:rPr>
          <w:rFonts w:ascii="Century Schoolbook" w:hAnsi="Century Schoolbook"/>
        </w:rPr>
        <w:t xml:space="preserve">covered ‘those mandated reporters </w:t>
      </w:r>
      <w:r w:rsidRPr="006132BB">
        <w:rPr>
          <w:rFonts w:ascii="Century Schoolbook" w:hAnsi="Century Schoolbook"/>
          <w:i/>
          <w:iCs/>
        </w:rPr>
        <w:t>who are</w:t>
      </w:r>
      <w:r>
        <w:rPr>
          <w:rFonts w:ascii="Century Schoolbook" w:hAnsi="Century Schoolbook"/>
        </w:rPr>
        <w:t xml:space="preserve"> </w:t>
      </w:r>
      <w:r w:rsidRPr="00E839B0">
        <w:rPr>
          <w:rFonts w:ascii="Century Schoolbook" w:hAnsi="Century Schoolbook"/>
          <w:i/>
          <w:iCs/>
        </w:rPr>
        <w:t>involved in the identification</w:t>
      </w:r>
      <w:r>
        <w:rPr>
          <w:rFonts w:ascii="Century Schoolbook" w:hAnsi="Century Schoolbook"/>
        </w:rPr>
        <w:t xml:space="preserve"> of an instance of child abuse but do not personally report it to the authorities.’ (</w:t>
      </w:r>
      <w:r w:rsidRPr="00E839B0">
        <w:rPr>
          <w:rFonts w:ascii="Century Schoolbook" w:hAnsi="Century Schoolbook"/>
          <w:i/>
          <w:iCs/>
        </w:rPr>
        <w:t>Storch, supra</w:t>
      </w:r>
      <w:r>
        <w:rPr>
          <w:rFonts w:ascii="Century Schoolbook" w:hAnsi="Century Schoolbook"/>
        </w:rPr>
        <w:t>, at p. 681, italics added.) In reaching this conclusion, the court reasoned: ‘</w:t>
      </w:r>
      <w:r w:rsidRPr="003B6D10">
        <w:rPr>
          <w:rFonts w:ascii="Century Schoolbook" w:hAnsi="Century Schoolbook"/>
        </w:rPr>
        <w:t xml:space="preserve">Team immunity is consistent with the purpose and intent of the Legislature in promoting </w:t>
      </w:r>
      <w:r w:rsidRPr="003B6D10">
        <w:rPr>
          <w:rFonts w:ascii="Century Schoolbook" w:hAnsi="Century Schoolbook"/>
        </w:rPr>
        <w:t>the reporting</w:t>
      </w:r>
      <w:r>
        <w:rPr>
          <w:rFonts w:ascii="Century Schoolbook" w:hAnsi="Century Schoolbook"/>
        </w:rPr>
        <w:t xml:space="preserve"> of child abuse. Limitation of immunity to the person making the telephone call to the agency or signing the report would defeat that purpose.’ (</w:t>
      </w:r>
      <w:r w:rsidRPr="008A216E">
        <w:rPr>
          <w:rFonts w:ascii="Century Schoolbook" w:hAnsi="Century Schoolbook"/>
          <w:i/>
          <w:iCs/>
        </w:rPr>
        <w:t>Ibid</w:t>
      </w:r>
      <w:r>
        <w:rPr>
          <w:rFonts w:ascii="Century Schoolbook" w:hAnsi="Century Schoolbook"/>
        </w:rPr>
        <w:t>.)” (</w:t>
      </w:r>
      <w:r w:rsidRPr="008A216E">
        <w:rPr>
          <w:rFonts w:ascii="Century Schoolbook" w:hAnsi="Century Schoolbook"/>
          <w:i/>
          <w:iCs/>
        </w:rPr>
        <w:t>S</w:t>
      </w:r>
      <w:r w:rsidRPr="008A216E">
        <w:rPr>
          <w:rFonts w:ascii="Century Schoolbook" w:hAnsi="Century Schoolbook"/>
          <w:i/>
          <w:iCs/>
        </w:rPr>
        <w:t>antos, supra</w:t>
      </w:r>
      <w:r>
        <w:rPr>
          <w:rFonts w:ascii="Century Schoolbook" w:hAnsi="Century Schoolbook"/>
        </w:rPr>
        <w:t>, 1 Cal.App.5th at pp. 873</w:t>
      </w:r>
      <w:r>
        <w:rPr>
          <w:rFonts w:ascii="Century Schoolbook" w:hAnsi="Century Schoolbook"/>
        </w:rPr>
        <w:t>–</w:t>
      </w:r>
      <w:r>
        <w:rPr>
          <w:rFonts w:ascii="Century Schoolbook" w:hAnsi="Century Schoolbook"/>
        </w:rPr>
        <w:t>874.)</w:t>
      </w:r>
      <w:r>
        <w:rPr>
          <w:rFonts w:ascii="Century Schoolbook" w:hAnsi="Century Schoolbook"/>
        </w:rPr>
        <w:t xml:space="preserve"> </w:t>
      </w:r>
    </w:p>
    <w:p w14:paraId="7AFA6082" w14:textId="77777777" w:rsidR="009F66B9" w:rsidRDefault="00F5385E" w:rsidP="00142B0E">
      <w:pPr>
        <w:rPr>
          <w:rFonts w:ascii="Century Schoolbook" w:hAnsi="Century Schoolbook"/>
        </w:rPr>
      </w:pPr>
      <w:r>
        <w:rPr>
          <w:rFonts w:ascii="Century Schoolbook" w:hAnsi="Century Schoolbook"/>
        </w:rPr>
        <w:tab/>
        <w:t xml:space="preserve">“In addition, </w:t>
      </w:r>
      <w:r>
        <w:rPr>
          <w:rFonts w:ascii="Century Schoolbook" w:hAnsi="Century Schoolbook"/>
        </w:rPr>
        <w:t>. . .</w:t>
      </w:r>
      <w:r>
        <w:rPr>
          <w:rFonts w:ascii="Century Schoolbook" w:hAnsi="Century Schoolbook"/>
        </w:rPr>
        <w:t xml:space="preserve"> courts have broadly interpreted </w:t>
      </w:r>
      <w:r>
        <w:rPr>
          <w:rFonts w:ascii="Century Schoolbook" w:hAnsi="Century Schoolbook"/>
        </w:rPr>
        <w:t>the child</w:t>
      </w:r>
      <w:r>
        <w:rPr>
          <w:rFonts w:ascii="Century Schoolbook" w:hAnsi="Century Schoolbook"/>
        </w:rPr>
        <w:t xml:space="preserve"> </w:t>
      </w:r>
      <w:r>
        <w:rPr>
          <w:rFonts w:ascii="Century Schoolbook" w:hAnsi="Century Schoolbook"/>
        </w:rPr>
        <w:t>abuse mandated</w:t>
      </w:r>
      <w:r>
        <w:rPr>
          <w:rFonts w:ascii="Century Schoolbook" w:hAnsi="Century Schoolbook"/>
        </w:rPr>
        <w:t>[-]</w:t>
      </w:r>
      <w:r>
        <w:rPr>
          <w:rFonts w:ascii="Century Schoolbook" w:hAnsi="Century Schoolbook"/>
        </w:rPr>
        <w:t>reporter</w:t>
      </w:r>
      <w:r>
        <w:rPr>
          <w:rFonts w:ascii="Century Schoolbook" w:hAnsi="Century Schoolbook"/>
        </w:rPr>
        <w:t>[-]</w:t>
      </w:r>
      <w:r>
        <w:rPr>
          <w:rFonts w:ascii="Century Schoolbook" w:hAnsi="Century Schoolbook"/>
        </w:rPr>
        <w:t xml:space="preserve">immunity provision to apply to certain </w:t>
      </w:r>
      <w:r w:rsidRPr="00F3233D">
        <w:rPr>
          <w:rFonts w:ascii="Century Schoolbook" w:hAnsi="Century Schoolbook"/>
          <w:i/>
          <w:iCs/>
        </w:rPr>
        <w:t>conduct</w:t>
      </w:r>
      <w:r>
        <w:rPr>
          <w:rFonts w:ascii="Century Schoolbook" w:hAnsi="Century Schoolbook"/>
        </w:rPr>
        <w:t xml:space="preserve"> related to a reporting event.</w:t>
      </w:r>
      <w:r>
        <w:rPr>
          <w:rFonts w:ascii="Century Schoolbook" w:hAnsi="Century Schoolbook"/>
        </w:rPr>
        <w:t xml:space="preserve"> </w:t>
      </w:r>
      <w:r>
        <w:rPr>
          <w:rFonts w:ascii="Century Schoolbook" w:hAnsi="Century Schoolbook"/>
        </w:rPr>
        <w:t xml:space="preserve">For example, in </w:t>
      </w:r>
      <w:r w:rsidRPr="009F66B9">
        <w:rPr>
          <w:rFonts w:ascii="Century Schoolbook" w:hAnsi="Century Schoolbook"/>
          <w:i/>
          <w:iCs/>
        </w:rPr>
        <w:t>Krikorian v. Barry</w:t>
      </w:r>
      <w:r>
        <w:rPr>
          <w:rFonts w:ascii="Century Schoolbook" w:hAnsi="Century Schoolbook"/>
        </w:rPr>
        <w:t xml:space="preserve"> (1987) </w:t>
      </w:r>
      <w:r>
        <w:rPr>
          <w:rFonts w:ascii="Century Schoolbook" w:hAnsi="Century Schoolbook"/>
        </w:rPr>
        <w:t>196 Cal.App.3d 1211 (</w:t>
      </w:r>
      <w:r w:rsidRPr="009F66B9">
        <w:rPr>
          <w:rFonts w:ascii="Century Schoolbook" w:hAnsi="Century Schoolbook"/>
          <w:i/>
          <w:iCs/>
        </w:rPr>
        <w:t>Krikorian</w:t>
      </w:r>
      <w:r>
        <w:rPr>
          <w:rFonts w:ascii="Century Schoolbook" w:hAnsi="Century Schoolbook"/>
        </w:rPr>
        <w:t xml:space="preserve">), the court considered whether ‘mandatory reporters [are] completely immune from liability </w:t>
      </w:r>
      <w:r>
        <w:rPr>
          <w:rFonts w:ascii="Century Schoolbook" w:hAnsi="Century Schoolbook"/>
        </w:rPr>
        <w:t>for professional services rendered in connection with the identification or diagnosis of suspected cases of child abuse, or just for t</w:t>
      </w:r>
      <w:r>
        <w:rPr>
          <w:rFonts w:ascii="Century Schoolbook" w:hAnsi="Century Schoolbook"/>
        </w:rPr>
        <w:t>he act of reporting.’ (</w:t>
      </w:r>
      <w:r w:rsidRPr="009F66B9">
        <w:rPr>
          <w:rFonts w:ascii="Century Schoolbook" w:hAnsi="Century Schoolbook"/>
          <w:i/>
          <w:iCs/>
        </w:rPr>
        <w:t>Id</w:t>
      </w:r>
      <w:r>
        <w:rPr>
          <w:rFonts w:ascii="Century Schoolbook" w:hAnsi="Century Schoolbook"/>
        </w:rPr>
        <w:t xml:space="preserve">. at p. 1222.) The </w:t>
      </w:r>
      <w:r w:rsidRPr="009F66B9">
        <w:rPr>
          <w:rFonts w:ascii="Century Schoolbook" w:hAnsi="Century Schoolbook"/>
          <w:i/>
          <w:iCs/>
        </w:rPr>
        <w:t>Krikorian</w:t>
      </w:r>
      <w:r>
        <w:rPr>
          <w:rFonts w:ascii="Century Schoolbook" w:hAnsi="Century Schoolbook"/>
        </w:rPr>
        <w:t xml:space="preserve"> court rejected the argument that mandated reporter immunity extended only to the ‘act of reporting’ (</w:t>
      </w:r>
      <w:r w:rsidRPr="008A4C16">
        <w:rPr>
          <w:rFonts w:ascii="Century Schoolbook" w:hAnsi="Century Schoolbook"/>
          <w:i/>
          <w:iCs/>
        </w:rPr>
        <w:t>ibid</w:t>
      </w:r>
      <w:r>
        <w:rPr>
          <w:rFonts w:ascii="Century Schoolbook" w:hAnsi="Century Schoolbook"/>
        </w:rPr>
        <w:t xml:space="preserve">.), reasoning in part: ‘[L]imiting immunity to the protection of professionals against lawsuits resulting from the </w:t>
      </w:r>
      <w:r w:rsidRPr="004B5204">
        <w:rPr>
          <w:rFonts w:ascii="Century Schoolbook" w:hAnsi="Century Schoolbook"/>
          <w:i/>
          <w:iCs/>
        </w:rPr>
        <w:t>act of reporting</w:t>
      </w:r>
      <w:r>
        <w:rPr>
          <w:rFonts w:ascii="Century Schoolbook" w:hAnsi="Century Schoolbook"/>
        </w:rPr>
        <w:t xml:space="preserve"> </w:t>
      </w:r>
      <w:r>
        <w:rPr>
          <w:rFonts w:ascii="Century Schoolbook" w:hAnsi="Century Schoolbook"/>
        </w:rPr>
        <w:t>would defeat</w:t>
      </w:r>
      <w:r>
        <w:rPr>
          <w:rFonts w:ascii="Century Schoolbook" w:hAnsi="Century Schoolbook"/>
        </w:rPr>
        <w:t xml:space="preserve"> </w:t>
      </w:r>
      <w:r>
        <w:rPr>
          <w:rFonts w:ascii="Century Schoolbook" w:hAnsi="Century Schoolbook"/>
        </w:rPr>
        <w:t xml:space="preserve">the </w:t>
      </w:r>
      <w:r w:rsidRPr="003B6D10">
        <w:rPr>
          <w:rFonts w:ascii="Century Schoolbook" w:hAnsi="Century Schoolbook"/>
        </w:rPr>
        <w:t>L</w:t>
      </w:r>
      <w:r w:rsidRPr="003B6D10">
        <w:rPr>
          <w:rFonts w:ascii="Century Schoolbook" w:hAnsi="Century Schoolbook"/>
        </w:rPr>
        <w:t>egislature’s goal of promoting increased reporting of child abuse</w:t>
      </w:r>
      <w:r>
        <w:rPr>
          <w:rFonts w:ascii="Century Schoolbook" w:hAnsi="Century Schoolbook"/>
        </w:rPr>
        <w:t xml:space="preserve">. The </w:t>
      </w:r>
      <w:r>
        <w:rPr>
          <w:rFonts w:ascii="Century Schoolbook" w:hAnsi="Century Schoolbook"/>
        </w:rPr>
        <w:lastRenderedPageBreak/>
        <w:t>Legislature has identified the fear of civil liability for allegedly false reports as a major deterrent to the reporting of suspected cases of child abuse by professionals. Recent revis</w:t>
      </w:r>
      <w:r>
        <w:rPr>
          <w:rFonts w:ascii="Century Schoolbook" w:hAnsi="Century Schoolbook"/>
        </w:rPr>
        <w:t xml:space="preserve">ions </w:t>
      </w:r>
      <w:r>
        <w:rPr>
          <w:rFonts w:ascii="Century Schoolbook" w:hAnsi="Century Schoolbook"/>
        </w:rPr>
        <w:t xml:space="preserve">to the Child Abuse </w:t>
      </w:r>
      <w:r>
        <w:rPr>
          <w:rFonts w:ascii="Century Schoolbook" w:hAnsi="Century Schoolbook"/>
        </w:rPr>
        <w:t xml:space="preserve">[and Neglect] </w:t>
      </w:r>
      <w:r>
        <w:rPr>
          <w:rFonts w:ascii="Century Schoolbook" w:hAnsi="Century Schoolbook"/>
        </w:rPr>
        <w:t>Reporting Act have been largely directed at reducing or eliminating, to the extent possible, professional[s’] fear of litigation resulting from required reports. A law conferring “absolute” immunity for the act of repo</w:t>
      </w:r>
      <w:r>
        <w:rPr>
          <w:rFonts w:ascii="Century Schoolbook" w:hAnsi="Century Schoolbook"/>
        </w:rPr>
        <w:t xml:space="preserve">rting suspected child abuse, but </w:t>
      </w:r>
      <w:r w:rsidRPr="002F3364">
        <w:rPr>
          <w:rFonts w:ascii="Century Schoolbook" w:hAnsi="Century Schoolbook"/>
          <w:i/>
          <w:iCs/>
        </w:rPr>
        <w:t>not</w:t>
      </w:r>
      <w:r>
        <w:rPr>
          <w:rFonts w:ascii="Century Schoolbook" w:hAnsi="Century Schoolbook"/>
        </w:rPr>
        <w:t xml:space="preserve"> for professional activities contributing to its identification, would not likely allay the fear of a prospective reporter that an angry parent might initiate litigation for damages, following a report which is subsequen</w:t>
      </w:r>
      <w:r>
        <w:rPr>
          <w:rFonts w:ascii="Century Schoolbook" w:hAnsi="Century Schoolbook"/>
        </w:rPr>
        <w:t>tly proven to be mistaken’ (</w:t>
      </w:r>
      <w:r w:rsidRPr="009F66B9">
        <w:rPr>
          <w:rFonts w:ascii="Century Schoolbook" w:hAnsi="Century Schoolbook"/>
          <w:i/>
          <w:iCs/>
        </w:rPr>
        <w:t>id</w:t>
      </w:r>
      <w:r>
        <w:rPr>
          <w:rFonts w:ascii="Century Schoolbook" w:hAnsi="Century Schoolbook"/>
        </w:rPr>
        <w:t>. at pp. 1222</w:t>
      </w:r>
      <w:r>
        <w:rPr>
          <w:rFonts w:ascii="Century Schoolbook" w:hAnsi="Century Schoolbook"/>
        </w:rPr>
        <w:t>–</w:t>
      </w:r>
      <w:r>
        <w:rPr>
          <w:rFonts w:ascii="Century Schoolbook" w:hAnsi="Century Schoolbook"/>
        </w:rPr>
        <w:t xml:space="preserve">1223). Ultimately, the </w:t>
      </w:r>
      <w:r w:rsidRPr="009F66B9">
        <w:rPr>
          <w:rFonts w:ascii="Century Schoolbook" w:hAnsi="Century Schoolbook"/>
          <w:i/>
          <w:iCs/>
        </w:rPr>
        <w:t>Krikorian</w:t>
      </w:r>
      <w:r>
        <w:rPr>
          <w:rFonts w:ascii="Century Schoolbook" w:hAnsi="Century Schoolbook"/>
        </w:rPr>
        <w:t xml:space="preserve"> court held, ‘Insofar as liability for damages to a person falsely accused of child abuse is concerned, we conclude that absolute immunity to professionals for conduct giving rise </w:t>
      </w:r>
      <w:r>
        <w:rPr>
          <w:rFonts w:ascii="Century Schoolbook" w:hAnsi="Century Schoolbook"/>
        </w:rPr>
        <w:t>to the obligation to report</w:t>
      </w:r>
      <w:r>
        <w:rPr>
          <w:rFonts w:ascii="Century Schoolbook" w:hAnsi="Century Schoolbook"/>
        </w:rPr>
        <w:t>, such as the collection of data, or the observation, examination, or treatment of the suspected victim or perpetrator of child abuse, performed in a professional capacity or within the scope of employment, as well as for the act</w:t>
      </w:r>
      <w:r>
        <w:rPr>
          <w:rFonts w:ascii="Century Schoolbook" w:hAnsi="Century Schoolbook"/>
        </w:rPr>
        <w:t xml:space="preserve"> of reporting.’ (</w:t>
      </w:r>
      <w:r w:rsidRPr="009F66B9">
        <w:rPr>
          <w:rFonts w:ascii="Century Schoolbook" w:hAnsi="Century Schoolbook"/>
          <w:i/>
          <w:iCs/>
        </w:rPr>
        <w:t>Id.</w:t>
      </w:r>
      <w:r>
        <w:rPr>
          <w:rFonts w:ascii="Century Schoolbook" w:hAnsi="Century Schoolbook"/>
        </w:rPr>
        <w:t xml:space="preserve"> at p. 1223.)” (</w:t>
      </w:r>
      <w:r w:rsidRPr="009F66B9">
        <w:rPr>
          <w:rFonts w:ascii="Century Schoolbook" w:hAnsi="Century Schoolbook"/>
          <w:i/>
          <w:iCs/>
        </w:rPr>
        <w:t>Santos, supra</w:t>
      </w:r>
      <w:r>
        <w:rPr>
          <w:rFonts w:ascii="Century Schoolbook" w:hAnsi="Century Schoolbook"/>
        </w:rPr>
        <w:t xml:space="preserve">, 1 Cal.App.5th at p. 874.) </w:t>
      </w:r>
    </w:p>
    <w:p w14:paraId="72555954" w14:textId="77777777" w:rsidR="00561C83" w:rsidRDefault="00F5385E" w:rsidP="00142B0E">
      <w:pPr>
        <w:rPr>
          <w:rFonts w:ascii="Century Schoolbook" w:hAnsi="Century Schoolbook"/>
        </w:rPr>
      </w:pPr>
      <w:r>
        <w:rPr>
          <w:rFonts w:ascii="Century Schoolbook" w:hAnsi="Century Schoolbook"/>
        </w:rPr>
        <w:tab/>
      </w:r>
      <w:r w:rsidRPr="009F66B9">
        <w:rPr>
          <w:rFonts w:ascii="Century Schoolbook" w:hAnsi="Century Schoolbook"/>
        </w:rPr>
        <w:t xml:space="preserve">“In </w:t>
      </w:r>
      <w:r w:rsidRPr="00FE252B">
        <w:rPr>
          <w:rFonts w:ascii="Century Schoolbook" w:hAnsi="Century Schoolbook"/>
          <w:i/>
          <w:iCs/>
        </w:rPr>
        <w:t>Arce, supra</w:t>
      </w:r>
      <w:r w:rsidRPr="009F66B9">
        <w:rPr>
          <w:rFonts w:ascii="Century Schoolbook" w:hAnsi="Century Schoolbook"/>
        </w:rPr>
        <w:t>, 211 Cal.App.4th 1455, the Court of Appeal a</w:t>
      </w:r>
      <w:r>
        <w:rPr>
          <w:rFonts w:ascii="Century Schoolbook" w:hAnsi="Century Schoolbook"/>
        </w:rPr>
        <w:t xml:space="preserve">pplied </w:t>
      </w:r>
      <w:r w:rsidRPr="00FE252B">
        <w:rPr>
          <w:rFonts w:ascii="Century Schoolbook" w:hAnsi="Century Schoolbook"/>
          <w:i/>
          <w:iCs/>
        </w:rPr>
        <w:t>Krikorian</w:t>
      </w:r>
      <w:r>
        <w:rPr>
          <w:rFonts w:ascii="Century Schoolbook" w:hAnsi="Century Schoolbook"/>
        </w:rPr>
        <w:t xml:space="preserve">, among other cases, in concluding that a hospital social worker </w:t>
      </w:r>
      <w:r>
        <w:rPr>
          <w:rFonts w:ascii="Century Schoolbook" w:hAnsi="Century Schoolbook"/>
        </w:rPr>
        <w:t>. . .</w:t>
      </w:r>
      <w:r>
        <w:rPr>
          <w:rFonts w:ascii="Century Schoolbook" w:hAnsi="Century Schoolbook"/>
        </w:rPr>
        <w:t xml:space="preserve"> and the hospital for which she worked were immune from [</w:t>
      </w:r>
      <w:r>
        <w:rPr>
          <w:rFonts w:ascii="Century Schoolbook" w:hAnsi="Century Schoolbook"/>
        </w:rPr>
        <w:t xml:space="preserve">tort </w:t>
      </w:r>
      <w:r>
        <w:rPr>
          <w:rFonts w:ascii="Century Schoolbook" w:hAnsi="Century Schoolbook"/>
        </w:rPr>
        <w:t>liability</w:t>
      </w:r>
      <w:r>
        <w:rPr>
          <w:rFonts w:ascii="Century Schoolbook" w:hAnsi="Century Schoolbook"/>
        </w:rPr>
        <w:t xml:space="preserve"> for acts of the social worker beyond the mere reporting</w:t>
      </w:r>
      <w:r>
        <w:rPr>
          <w:rFonts w:ascii="Century Schoolbook" w:hAnsi="Century Schoolbook"/>
        </w:rPr>
        <w:t>]</w:t>
      </w:r>
      <w:r>
        <w:rPr>
          <w:rFonts w:ascii="Century Schoolbook" w:hAnsi="Century Schoolbook"/>
        </w:rPr>
        <w:t>. (</w:t>
      </w:r>
      <w:r w:rsidRPr="00FE252B">
        <w:rPr>
          <w:rFonts w:ascii="Century Schoolbook" w:hAnsi="Century Schoolbook"/>
          <w:i/>
          <w:iCs/>
        </w:rPr>
        <w:t>Id.</w:t>
      </w:r>
      <w:r>
        <w:rPr>
          <w:rFonts w:ascii="Century Schoolbook" w:hAnsi="Century Schoolbook"/>
        </w:rPr>
        <w:t xml:space="preserve"> at pp. 1491</w:t>
      </w:r>
      <w:r>
        <w:rPr>
          <w:rFonts w:ascii="Century Schoolbook" w:hAnsi="Century Schoolbook"/>
        </w:rPr>
        <w:t>–</w:t>
      </w:r>
      <w:r>
        <w:rPr>
          <w:rFonts w:ascii="Century Schoolbook" w:hAnsi="Century Schoolbook"/>
        </w:rPr>
        <w:t>1492.)</w:t>
      </w:r>
      <w:r>
        <w:rPr>
          <w:rFonts w:ascii="Century Schoolbook" w:hAnsi="Century Schoolbook"/>
        </w:rPr>
        <w:t xml:space="preserve"> </w:t>
      </w:r>
      <w:r>
        <w:rPr>
          <w:rFonts w:ascii="Century Schoolbook" w:hAnsi="Century Schoolbook"/>
        </w:rPr>
        <w:t xml:space="preserve">. . . </w:t>
      </w:r>
      <w:r>
        <w:rPr>
          <w:rFonts w:ascii="Century Schoolbook" w:hAnsi="Century Schoolbook"/>
        </w:rPr>
        <w:t>The plaintiffs claimed tha</w:t>
      </w:r>
      <w:r>
        <w:rPr>
          <w:rFonts w:ascii="Century Schoolbook" w:hAnsi="Century Schoolbook"/>
        </w:rPr>
        <w:t>t the trial court had erred in concluding that the defendants were immune from claims premised on such conduct, arguing, ‘[the nurse’s] conduct did not involve the act of reporting child abuse within the meaning of Penal Code section 11172 and therefore wa</w:t>
      </w:r>
      <w:r>
        <w:rPr>
          <w:rFonts w:ascii="Century Schoolbook" w:hAnsi="Century Schoolbook"/>
        </w:rPr>
        <w:t>s not protected under the statute.’ (</w:t>
      </w:r>
      <w:r w:rsidRPr="00B10C24">
        <w:rPr>
          <w:rFonts w:ascii="Century Schoolbook" w:hAnsi="Century Schoolbook"/>
          <w:i/>
          <w:iCs/>
        </w:rPr>
        <w:t>Ibid</w:t>
      </w:r>
      <w:r>
        <w:rPr>
          <w:rFonts w:ascii="Century Schoolbook" w:hAnsi="Century Schoolbook"/>
        </w:rPr>
        <w:t xml:space="preserve">.) The </w:t>
      </w:r>
      <w:r w:rsidRPr="00561C83">
        <w:rPr>
          <w:rFonts w:ascii="Century Schoolbook" w:hAnsi="Century Schoolbook"/>
          <w:i/>
          <w:iCs/>
        </w:rPr>
        <w:t xml:space="preserve">Arce </w:t>
      </w:r>
      <w:r>
        <w:rPr>
          <w:rFonts w:ascii="Century Schoolbook" w:hAnsi="Century Schoolbook"/>
        </w:rPr>
        <w:t xml:space="preserve">court rejected this argument noting, ‘Cases analyzing Penal Code section 11172 have concluded that the statute provides immunity to </w:t>
      </w:r>
      <w:r w:rsidRPr="003B6D10">
        <w:rPr>
          <w:rFonts w:ascii="Century Schoolbook" w:hAnsi="Century Schoolbook"/>
        </w:rPr>
        <w:lastRenderedPageBreak/>
        <w:t>claims predicated on false and malicious reports of abuse as well as co</w:t>
      </w:r>
      <w:r w:rsidRPr="003B6D10">
        <w:rPr>
          <w:rFonts w:ascii="Century Schoolbook" w:hAnsi="Century Schoolbook"/>
        </w:rPr>
        <w:t>nduct</w:t>
      </w:r>
      <w:r>
        <w:rPr>
          <w:rFonts w:ascii="Century Schoolbook" w:hAnsi="Century Schoolbook"/>
        </w:rPr>
        <w:t xml:space="preserve"> committed in furtherance of diagnosing whether abuse occurred.’ (</w:t>
      </w:r>
      <w:r w:rsidRPr="00561C83">
        <w:rPr>
          <w:rFonts w:ascii="Century Schoolbook" w:hAnsi="Century Schoolbook"/>
          <w:i/>
          <w:iCs/>
        </w:rPr>
        <w:t>Ibid</w:t>
      </w:r>
      <w:r>
        <w:rPr>
          <w:rFonts w:ascii="Century Schoolbook" w:hAnsi="Century Schoolbook"/>
        </w:rPr>
        <w:t>.) Thus, even though the plaintiffs argued that [the nurse]’s conduct was ‘ “harassing, antagonizing, and threatening” ’ (</w:t>
      </w:r>
      <w:r w:rsidRPr="00B10C24">
        <w:rPr>
          <w:rFonts w:ascii="Century Schoolbook" w:hAnsi="Century Schoolbook"/>
          <w:i/>
          <w:iCs/>
        </w:rPr>
        <w:t>id.</w:t>
      </w:r>
      <w:r>
        <w:rPr>
          <w:rFonts w:ascii="Century Schoolbook" w:hAnsi="Century Schoolbook"/>
        </w:rPr>
        <w:t xml:space="preserve"> at p. 1496), the </w:t>
      </w:r>
      <w:r w:rsidRPr="00B10C24">
        <w:rPr>
          <w:rFonts w:ascii="Century Schoolbook" w:hAnsi="Century Schoolbook"/>
          <w:i/>
          <w:iCs/>
        </w:rPr>
        <w:t>Arce</w:t>
      </w:r>
      <w:r>
        <w:rPr>
          <w:rFonts w:ascii="Century Schoolbook" w:hAnsi="Century Schoolbook"/>
        </w:rPr>
        <w:t xml:space="preserve"> court concluded that the trial co</w:t>
      </w:r>
      <w:r>
        <w:rPr>
          <w:rFonts w:ascii="Century Schoolbook" w:hAnsi="Century Schoolbook"/>
        </w:rPr>
        <w:t>urt had properly determined that ‘[t]he conduct alleged against [the nurse] falls within [Penal Code] section 11172’ (</w:t>
      </w:r>
      <w:r w:rsidRPr="00B10C24">
        <w:rPr>
          <w:rFonts w:ascii="Century Schoolbook" w:hAnsi="Century Schoolbook"/>
          <w:i/>
          <w:iCs/>
        </w:rPr>
        <w:t>ibid</w:t>
      </w:r>
      <w:r>
        <w:rPr>
          <w:rFonts w:ascii="Century Schoolbook" w:hAnsi="Century Schoolbook"/>
        </w:rPr>
        <w:t>., italics omitted).” (</w:t>
      </w:r>
      <w:r w:rsidRPr="00B10C24">
        <w:rPr>
          <w:rFonts w:ascii="Century Schoolbook" w:hAnsi="Century Schoolbook"/>
          <w:i/>
          <w:iCs/>
        </w:rPr>
        <w:t>Santos, supra</w:t>
      </w:r>
      <w:r>
        <w:rPr>
          <w:rFonts w:ascii="Century Schoolbook" w:hAnsi="Century Schoolbook"/>
        </w:rPr>
        <w:t>, 1 Cal.App.5th at pp. 874</w:t>
      </w:r>
      <w:r>
        <w:rPr>
          <w:rFonts w:ascii="Century Schoolbook" w:hAnsi="Century Schoolbook"/>
        </w:rPr>
        <w:t>–</w:t>
      </w:r>
      <w:r>
        <w:rPr>
          <w:rFonts w:ascii="Century Schoolbook" w:hAnsi="Century Schoolbook"/>
        </w:rPr>
        <w:t xml:space="preserve">875.) </w:t>
      </w:r>
    </w:p>
    <w:p w14:paraId="4F50E054" w14:textId="77777777" w:rsidR="001940BA" w:rsidRDefault="00F5385E" w:rsidP="00142B0E">
      <w:pPr>
        <w:rPr>
          <w:rFonts w:ascii="Century Schoolbook" w:hAnsi="Century Schoolbook"/>
        </w:rPr>
      </w:pPr>
      <w:r>
        <w:rPr>
          <w:rFonts w:ascii="Century Schoolbook" w:hAnsi="Century Schoolbook"/>
        </w:rPr>
        <w:tab/>
        <w:t>“Courts have also concluded that immunity under Penal Code sect</w:t>
      </w:r>
      <w:r>
        <w:rPr>
          <w:rFonts w:ascii="Century Schoolbook" w:hAnsi="Century Schoolbook"/>
        </w:rPr>
        <w:t>ion</w:t>
      </w:r>
      <w:r>
        <w:rPr>
          <w:rFonts w:ascii="Century Schoolbook" w:hAnsi="Century Schoolbook"/>
        </w:rPr>
        <w:t> </w:t>
      </w:r>
      <w:r>
        <w:rPr>
          <w:rFonts w:ascii="Century Schoolbook" w:hAnsi="Century Schoolbook"/>
        </w:rPr>
        <w:t xml:space="preserve">11172 may ‘cloak[] the mandated reporter with immunity for activity [occurring] after the report of suspected child abuse </w:t>
      </w:r>
      <w:r>
        <w:rPr>
          <w:rFonts w:ascii="Century Schoolbook" w:hAnsi="Century Schoolbook"/>
        </w:rPr>
        <w:t xml:space="preserve">. . . </w:t>
      </w:r>
      <w:r>
        <w:rPr>
          <w:rFonts w:ascii="Century Schoolbook" w:hAnsi="Century Schoolbook"/>
        </w:rPr>
        <w:t>is made.’ (</w:t>
      </w:r>
      <w:r w:rsidRPr="00561C83">
        <w:rPr>
          <w:rFonts w:ascii="Century Schoolbook" w:hAnsi="Century Schoolbook"/>
          <w:i/>
          <w:iCs/>
        </w:rPr>
        <w:t>Ferraro v. Chadwick</w:t>
      </w:r>
      <w:r>
        <w:rPr>
          <w:rFonts w:ascii="Century Schoolbook" w:hAnsi="Century Schoolbook"/>
        </w:rPr>
        <w:t xml:space="preserve"> (1990) 221 Cal.App.3d 86, 92 (</w:t>
      </w:r>
      <w:r w:rsidRPr="00561C83">
        <w:rPr>
          <w:rFonts w:ascii="Century Schoolbook" w:hAnsi="Century Schoolbook"/>
          <w:i/>
          <w:iCs/>
        </w:rPr>
        <w:t>Ferraro</w:t>
      </w:r>
      <w:r>
        <w:rPr>
          <w:rFonts w:ascii="Century Schoolbook" w:hAnsi="Century Schoolbook"/>
        </w:rPr>
        <w:t xml:space="preserve">).) In </w:t>
      </w:r>
      <w:r w:rsidRPr="00561C83">
        <w:rPr>
          <w:rFonts w:ascii="Century Schoolbook" w:hAnsi="Century Schoolbook"/>
          <w:i/>
          <w:iCs/>
        </w:rPr>
        <w:t>Ferraro</w:t>
      </w:r>
      <w:r>
        <w:rPr>
          <w:rFonts w:ascii="Century Schoolbook" w:hAnsi="Century Schoolbook"/>
        </w:rPr>
        <w:t xml:space="preserve">, the court noted that </w:t>
      </w:r>
      <w:r>
        <w:rPr>
          <w:rFonts w:ascii="Century Schoolbook" w:hAnsi="Century Schoolbook"/>
        </w:rPr>
        <w:t>P</w:t>
      </w:r>
      <w:r>
        <w:rPr>
          <w:rFonts w:ascii="Century Schoolbook" w:hAnsi="Century Schoolbook"/>
        </w:rPr>
        <w:t xml:space="preserve">enal Code section 11172 extends immunity ‘not only to “required” or mandated reporting but to another distinct category of reporting[,] that which is “authorized” by the </w:t>
      </w:r>
      <w:r>
        <w:rPr>
          <w:rFonts w:ascii="Century Schoolbook" w:hAnsi="Century Schoolbook"/>
        </w:rPr>
        <w:t xml:space="preserve">[Child Abuse and Neglect Reporting] </w:t>
      </w:r>
      <w:r w:rsidRPr="008044BC">
        <w:rPr>
          <w:rFonts w:ascii="Century Schoolbook" w:hAnsi="Century Schoolbook"/>
        </w:rPr>
        <w:t>Act</w:t>
      </w:r>
      <w:r>
        <w:rPr>
          <w:rFonts w:ascii="Century Schoolbook" w:hAnsi="Century Schoolbook"/>
        </w:rPr>
        <w:t>.’</w:t>
      </w:r>
      <w:r>
        <w:rPr>
          <w:rFonts w:ascii="Century Schoolbook" w:hAnsi="Century Schoolbook"/>
        </w:rPr>
        <w:t xml:space="preserve"> </w:t>
      </w:r>
      <w:r>
        <w:rPr>
          <w:rFonts w:ascii="Century Schoolbook" w:hAnsi="Century Schoolbook"/>
        </w:rPr>
        <w:t>(</w:t>
      </w:r>
      <w:r w:rsidRPr="001940BA">
        <w:rPr>
          <w:rFonts w:ascii="Century Schoolbook" w:hAnsi="Century Schoolbook"/>
          <w:i/>
          <w:iCs/>
        </w:rPr>
        <w:t>Ferraro, supra</w:t>
      </w:r>
      <w:r>
        <w:rPr>
          <w:rFonts w:ascii="Century Schoolbook" w:hAnsi="Century Schoolbook"/>
        </w:rPr>
        <w:t xml:space="preserve">, at </w:t>
      </w:r>
      <w:r>
        <w:rPr>
          <w:rFonts w:ascii="Century Schoolbook" w:hAnsi="Century Schoolbook"/>
        </w:rPr>
        <w:t>p. 93, quoting Pen. Code, § 11172, subd. (a)</w:t>
      </w:r>
      <w:r>
        <w:rPr>
          <w:rFonts w:ascii="Century Schoolbook" w:hAnsi="Century Schoolbook"/>
        </w:rPr>
        <w:t xml:space="preserve">; see also § 15634 providing immunity ‘for any report required or </w:t>
      </w:r>
      <w:r w:rsidRPr="00474EE7">
        <w:rPr>
          <w:rFonts w:ascii="Century Schoolbook" w:hAnsi="Century Schoolbook"/>
          <w:i/>
          <w:iCs/>
        </w:rPr>
        <w:t>authorized</w:t>
      </w:r>
      <w:r>
        <w:rPr>
          <w:rFonts w:ascii="Century Schoolbook" w:hAnsi="Century Schoolbook"/>
        </w:rPr>
        <w:t xml:space="preserve"> by this article’ (italics added).) The </w:t>
      </w:r>
      <w:r w:rsidRPr="001940BA">
        <w:rPr>
          <w:rFonts w:ascii="Century Schoolbook" w:hAnsi="Century Schoolbook"/>
          <w:i/>
          <w:iCs/>
        </w:rPr>
        <w:t>Ferraro</w:t>
      </w:r>
      <w:r>
        <w:rPr>
          <w:rFonts w:ascii="Century Schoolbook" w:hAnsi="Century Schoolbook"/>
        </w:rPr>
        <w:t xml:space="preserve"> court concluded that ‘communications by a mandated reporter to</w:t>
      </w:r>
      <w:r>
        <w:rPr>
          <w:rFonts w:ascii="Century Schoolbook" w:hAnsi="Century Schoolbook"/>
        </w:rPr>
        <w:t> . . . </w:t>
      </w:r>
      <w:r>
        <w:rPr>
          <w:rFonts w:ascii="Century Schoolbook" w:hAnsi="Century Schoolbook"/>
        </w:rPr>
        <w:t>law enforcement age</w:t>
      </w:r>
      <w:r>
        <w:rPr>
          <w:rFonts w:ascii="Century Schoolbook" w:hAnsi="Century Schoolbook"/>
        </w:rPr>
        <w:t>ncies that are statutorily entitled to receive and investigate reports of child abuse are “</w:t>
      </w:r>
      <w:r w:rsidRPr="006132BB">
        <w:rPr>
          <w:rFonts w:ascii="Century Schoolbook" w:hAnsi="Century Schoolbook"/>
          <w:i/>
          <w:iCs/>
        </w:rPr>
        <w:t>authorized</w:t>
      </w:r>
      <w:r>
        <w:rPr>
          <w:rFonts w:ascii="Century Schoolbook" w:hAnsi="Century Schoolbook"/>
        </w:rPr>
        <w:t>” communications or reports under the [Child Abuse and Neglect Reporting Act], and, therefore, [a]re protected by the immunity of [Penal Code] section 1117</w:t>
      </w:r>
      <w:r>
        <w:rPr>
          <w:rFonts w:ascii="Century Schoolbook" w:hAnsi="Century Schoolbook"/>
        </w:rPr>
        <w:t>2, subdivision (a).’ (</w:t>
      </w:r>
      <w:r w:rsidRPr="001940BA">
        <w:rPr>
          <w:rFonts w:ascii="Century Schoolbook" w:hAnsi="Century Schoolbook"/>
          <w:i/>
          <w:iCs/>
        </w:rPr>
        <w:t>Ferraro</w:t>
      </w:r>
      <w:r>
        <w:rPr>
          <w:rFonts w:ascii="Century Schoolbook" w:hAnsi="Century Schoolbook"/>
        </w:rPr>
        <w:t xml:space="preserve">, at p. 95, italics added; see </w:t>
      </w:r>
      <w:r w:rsidRPr="001940BA">
        <w:rPr>
          <w:rFonts w:ascii="Century Schoolbook" w:hAnsi="Century Schoolbook"/>
          <w:i/>
          <w:iCs/>
        </w:rPr>
        <w:t>Thomas, supra</w:t>
      </w:r>
      <w:r>
        <w:rPr>
          <w:rFonts w:ascii="Century Schoolbook" w:hAnsi="Century Schoolbook"/>
        </w:rPr>
        <w:t xml:space="preserve">, 224 Cal.App.3d at p. 822 [‘It would be anomalous </w:t>
      </w:r>
      <w:r>
        <w:rPr>
          <w:rFonts w:ascii="Century Schoolbook" w:hAnsi="Century Schoolbook"/>
        </w:rPr>
        <w:t>to conclude that the reporter’s “required” report of suspected child abuse is privileged, but that the legislatively contemplated su</w:t>
      </w:r>
      <w:r>
        <w:rPr>
          <w:rFonts w:ascii="Century Schoolbook" w:hAnsi="Century Schoolbook"/>
        </w:rPr>
        <w:t xml:space="preserve">bsequent communications concerning the incident would expose the reporter to potential civil liability’].) The </w:t>
      </w:r>
      <w:r w:rsidRPr="001940BA">
        <w:rPr>
          <w:rFonts w:ascii="Century Schoolbook" w:hAnsi="Century Schoolbook"/>
          <w:i/>
          <w:iCs/>
        </w:rPr>
        <w:t>Ferraro</w:t>
      </w:r>
      <w:r>
        <w:rPr>
          <w:rFonts w:ascii="Century Schoolbook" w:hAnsi="Century Schoolbook"/>
        </w:rPr>
        <w:t xml:space="preserve"> court reasoned in part</w:t>
      </w:r>
      <w:r>
        <w:rPr>
          <w:rFonts w:ascii="Century Schoolbook" w:hAnsi="Century Schoolbook"/>
        </w:rPr>
        <w:t xml:space="preserve">: ‘Certainly, it is reasonable to infer the Legislature (1) anticipated that in the course of an </w:t>
      </w:r>
      <w:r>
        <w:rPr>
          <w:rFonts w:ascii="Century Schoolbook" w:hAnsi="Century Schoolbook"/>
        </w:rPr>
        <w:lastRenderedPageBreak/>
        <w:t>investigation into</w:t>
      </w:r>
      <w:r>
        <w:rPr>
          <w:rFonts w:ascii="Century Schoolbook" w:hAnsi="Century Schoolbook"/>
        </w:rPr>
        <w:t xml:space="preserve"> suspected child abuse, the reporter </w:t>
      </w:r>
      <w:r>
        <w:rPr>
          <w:rFonts w:ascii="Century Schoolbook" w:hAnsi="Century Schoolbook"/>
        </w:rPr>
        <w:t>. . .</w:t>
      </w:r>
      <w:r>
        <w:rPr>
          <w:rFonts w:ascii="Century Schoolbook" w:hAnsi="Century Schoolbook"/>
        </w:rPr>
        <w:t xml:space="preserve"> is going to be contacted and interviewed by the agency conducting the investigation and (2)</w:t>
      </w:r>
      <w:r>
        <w:rPr>
          <w:rFonts w:ascii="Century Schoolbook" w:hAnsi="Century Schoolbook"/>
        </w:rPr>
        <w:t> </w:t>
      </w:r>
      <w:r>
        <w:rPr>
          <w:rFonts w:ascii="Century Schoolbook" w:hAnsi="Century Schoolbook"/>
        </w:rPr>
        <w:t>sanctioned such communication between the reporter and the investigating agency. It is also reasonable to infer the Legis</w:t>
      </w:r>
      <w:r>
        <w:rPr>
          <w:rFonts w:ascii="Century Schoolbook" w:hAnsi="Century Schoolbook"/>
        </w:rPr>
        <w:t>lature foresaw the possibility of the reporter being contacted by the district attorney with respect to criminal investigations.’ (</w:t>
      </w:r>
      <w:r w:rsidRPr="001940BA">
        <w:rPr>
          <w:rFonts w:ascii="Century Schoolbook" w:hAnsi="Century Schoolbook"/>
          <w:i/>
          <w:iCs/>
        </w:rPr>
        <w:t>Ferraro</w:t>
      </w:r>
      <w:r>
        <w:rPr>
          <w:rFonts w:ascii="Century Schoolbook" w:hAnsi="Century Schoolbook"/>
        </w:rPr>
        <w:t>, at pp. 94</w:t>
      </w:r>
      <w:r>
        <w:rPr>
          <w:rFonts w:ascii="Century Schoolbook" w:hAnsi="Century Schoolbook"/>
        </w:rPr>
        <w:t>–</w:t>
      </w:r>
      <w:r>
        <w:rPr>
          <w:rFonts w:ascii="Century Schoolbook" w:hAnsi="Century Schoolbook"/>
        </w:rPr>
        <w:t>95.)” (</w:t>
      </w:r>
      <w:r w:rsidRPr="001940BA">
        <w:rPr>
          <w:rFonts w:ascii="Century Schoolbook" w:hAnsi="Century Schoolbook"/>
          <w:i/>
          <w:iCs/>
        </w:rPr>
        <w:t>Santos, supra</w:t>
      </w:r>
      <w:r>
        <w:rPr>
          <w:rFonts w:ascii="Century Schoolbook" w:hAnsi="Century Schoolbook"/>
        </w:rPr>
        <w:t>, 1 Cal.App.5th at pp. 875</w:t>
      </w:r>
      <w:r>
        <w:rPr>
          <w:rFonts w:ascii="Century Schoolbook" w:hAnsi="Century Schoolbook"/>
        </w:rPr>
        <w:t>–</w:t>
      </w:r>
      <w:r>
        <w:rPr>
          <w:rFonts w:ascii="Century Schoolbook" w:hAnsi="Century Schoolbook"/>
        </w:rPr>
        <w:t xml:space="preserve">876.) </w:t>
      </w:r>
      <w:r>
        <w:rPr>
          <w:rFonts w:ascii="Century Schoolbook" w:hAnsi="Century Schoolbook"/>
        </w:rPr>
        <w:t xml:space="preserve"> </w:t>
      </w:r>
    </w:p>
    <w:p w14:paraId="6CBAD73F" w14:textId="77777777" w:rsidR="008B0DDF" w:rsidRDefault="00F5385E" w:rsidP="00142B0E">
      <w:pPr>
        <w:rPr>
          <w:rFonts w:ascii="Century Schoolbook" w:hAnsi="Century Schoolbook"/>
        </w:rPr>
      </w:pPr>
      <w:r>
        <w:rPr>
          <w:rFonts w:ascii="Century Schoolbook" w:hAnsi="Century Schoolbook"/>
        </w:rPr>
        <w:tab/>
        <w:t xml:space="preserve">The </w:t>
      </w:r>
      <w:r w:rsidRPr="007506EF">
        <w:rPr>
          <w:rFonts w:ascii="Century Schoolbook" w:hAnsi="Century Schoolbook"/>
          <w:i/>
          <w:iCs/>
        </w:rPr>
        <w:t>Santos</w:t>
      </w:r>
      <w:r>
        <w:rPr>
          <w:rFonts w:ascii="Century Schoolbook" w:hAnsi="Century Schoolbook"/>
        </w:rPr>
        <w:t xml:space="preserve"> court itself went on to apply </w:t>
      </w:r>
      <w:r>
        <w:rPr>
          <w:rFonts w:ascii="Century Schoolbook" w:hAnsi="Century Schoolbook"/>
        </w:rPr>
        <w:t xml:space="preserve">the broad and absolute immunity afforded to mandated reporters by section 15634(a) by determining that the mandated reporters there were </w:t>
      </w:r>
      <w:r>
        <w:rPr>
          <w:rFonts w:ascii="Century Schoolbook" w:hAnsi="Century Schoolbook"/>
        </w:rPr>
        <w:t xml:space="preserve">not only </w:t>
      </w:r>
      <w:r>
        <w:rPr>
          <w:rFonts w:ascii="Century Schoolbook" w:hAnsi="Century Schoolbook"/>
        </w:rPr>
        <w:t xml:space="preserve">immune from </w:t>
      </w:r>
      <w:r>
        <w:rPr>
          <w:rFonts w:ascii="Century Schoolbook" w:hAnsi="Century Schoolbook"/>
        </w:rPr>
        <w:t xml:space="preserve">civil liability for </w:t>
      </w:r>
      <w:r>
        <w:rPr>
          <w:rFonts w:ascii="Century Schoolbook" w:hAnsi="Century Schoolbook"/>
        </w:rPr>
        <w:t xml:space="preserve">an actual report but also </w:t>
      </w:r>
      <w:r>
        <w:rPr>
          <w:rFonts w:ascii="Century Schoolbook" w:hAnsi="Century Schoolbook"/>
        </w:rPr>
        <w:t>immune from the plain</w:t>
      </w:r>
      <w:r>
        <w:rPr>
          <w:rFonts w:ascii="Century Schoolbook" w:hAnsi="Century Schoolbook"/>
        </w:rPr>
        <w:t>tiff’s false</w:t>
      </w:r>
      <w:r>
        <w:rPr>
          <w:rFonts w:ascii="Century Schoolbook" w:hAnsi="Century Schoolbook"/>
        </w:rPr>
        <w:t>-</w:t>
      </w:r>
      <w:r>
        <w:rPr>
          <w:rFonts w:ascii="Century Schoolbook" w:hAnsi="Century Schoolbook"/>
        </w:rPr>
        <w:t>arrest claim that was premised on conduct</w:t>
      </w:r>
      <w:r>
        <w:rPr>
          <w:rFonts w:ascii="Century Schoolbook" w:hAnsi="Century Schoolbook"/>
        </w:rPr>
        <w:t xml:space="preserve"> </w:t>
      </w:r>
      <w:r>
        <w:rPr>
          <w:rFonts w:ascii="Century Schoolbook" w:hAnsi="Century Schoolbook"/>
        </w:rPr>
        <w:t>“integrally related to a report of suspected elder abuse</w:t>
      </w:r>
      <w:r>
        <w:rPr>
          <w:rFonts w:ascii="Century Schoolbook" w:hAnsi="Century Schoolbook"/>
        </w:rPr>
        <w:t xml:space="preserve"> and thus constituted ‘authorized’ activity within the meaning of section 15634[(a)]</w:t>
      </w:r>
      <w:r>
        <w:rPr>
          <w:rFonts w:ascii="Century Schoolbook" w:hAnsi="Century Schoolbook"/>
        </w:rPr>
        <w:t>.” (</w:t>
      </w:r>
      <w:r w:rsidRPr="00E3681C">
        <w:rPr>
          <w:rFonts w:ascii="Century Schoolbook" w:hAnsi="Century Schoolbook"/>
          <w:i/>
          <w:iCs/>
        </w:rPr>
        <w:t>Santos, supra</w:t>
      </w:r>
      <w:r>
        <w:rPr>
          <w:rFonts w:ascii="Century Schoolbook" w:hAnsi="Century Schoolbook"/>
        </w:rPr>
        <w:t>, 1 Cal.App.5th at p. 876.)</w:t>
      </w:r>
      <w:r>
        <w:rPr>
          <w:rFonts w:ascii="Century Schoolbook" w:hAnsi="Century Schoolbook"/>
        </w:rPr>
        <w:t xml:space="preserve"> </w:t>
      </w:r>
    </w:p>
    <w:p w14:paraId="56E078D5" w14:textId="77777777" w:rsidR="00224281"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This </w:t>
      </w:r>
      <w:r>
        <w:rPr>
          <w:rFonts w:ascii="Century Schoolbook" w:hAnsi="Century Schoolbook"/>
        </w:rPr>
        <w:t xml:space="preserve">targeted </w:t>
      </w:r>
      <w:r>
        <w:rPr>
          <w:rFonts w:ascii="Century Schoolbook" w:hAnsi="Century Schoolbook"/>
        </w:rPr>
        <w:t xml:space="preserve">conduct </w:t>
      </w:r>
      <w:r>
        <w:rPr>
          <w:rFonts w:ascii="Century Schoolbook" w:hAnsi="Century Schoolbook"/>
        </w:rPr>
        <w:t xml:space="preserve">in </w:t>
      </w:r>
      <w:r w:rsidRPr="00AA4B81">
        <w:rPr>
          <w:rFonts w:ascii="Century Schoolbook" w:hAnsi="Century Schoolbook"/>
          <w:i/>
          <w:iCs/>
        </w:rPr>
        <w:t>Santos</w:t>
      </w:r>
      <w:r>
        <w:rPr>
          <w:rFonts w:ascii="Century Schoolbook" w:hAnsi="Century Schoolbook"/>
        </w:rPr>
        <w:t xml:space="preserve"> </w:t>
      </w:r>
      <w:r>
        <w:rPr>
          <w:rFonts w:ascii="Century Schoolbook" w:hAnsi="Century Schoolbook"/>
        </w:rPr>
        <w:t xml:space="preserve">was by a mandated reporter in connection with police investigation in response to the </w:t>
      </w:r>
      <w:r>
        <w:rPr>
          <w:rFonts w:ascii="Century Schoolbook" w:hAnsi="Century Schoolbook"/>
        </w:rPr>
        <w:t xml:space="preserve">actual </w:t>
      </w:r>
      <w:r>
        <w:rPr>
          <w:rFonts w:ascii="Century Schoolbook" w:hAnsi="Century Schoolbook"/>
        </w:rPr>
        <w:t>report</w:t>
      </w:r>
      <w:r>
        <w:rPr>
          <w:rFonts w:ascii="Century Schoolbook" w:hAnsi="Century Schoolbook"/>
        </w:rPr>
        <w:t xml:space="preserve"> of suspected </w:t>
      </w:r>
      <w:r>
        <w:rPr>
          <w:rFonts w:ascii="Century Schoolbook" w:hAnsi="Century Schoolbook"/>
        </w:rPr>
        <w:t xml:space="preserve">elder </w:t>
      </w:r>
      <w:r>
        <w:rPr>
          <w:rFonts w:ascii="Century Schoolbook" w:hAnsi="Century Schoolbook"/>
        </w:rPr>
        <w:t xml:space="preserve">abuse. The </w:t>
      </w:r>
      <w:r>
        <w:rPr>
          <w:rFonts w:ascii="Century Schoolbook" w:hAnsi="Century Schoolbook"/>
        </w:rPr>
        <w:t xml:space="preserve">mandated </w:t>
      </w:r>
      <w:r>
        <w:rPr>
          <w:rFonts w:ascii="Century Schoolbook" w:hAnsi="Century Schoolbook"/>
        </w:rPr>
        <w:t xml:space="preserve">reporter had </w:t>
      </w:r>
      <w:r>
        <w:rPr>
          <w:rFonts w:ascii="Century Schoolbook" w:hAnsi="Century Schoolbook"/>
        </w:rPr>
        <w:t xml:space="preserve">signed a form to effectuate </w:t>
      </w:r>
      <w:r>
        <w:rPr>
          <w:rFonts w:ascii="Century Schoolbook" w:hAnsi="Century Schoolbook"/>
        </w:rPr>
        <w:t xml:space="preserve">a citizen’s arrest </w:t>
      </w:r>
      <w:r>
        <w:rPr>
          <w:rFonts w:ascii="Century Schoolbook" w:hAnsi="Century Schoolbook"/>
        </w:rPr>
        <w:t xml:space="preserve">but </w:t>
      </w:r>
      <w:r>
        <w:rPr>
          <w:rFonts w:ascii="Century Schoolbook" w:hAnsi="Century Schoolbook"/>
        </w:rPr>
        <w:t xml:space="preserve">the court concluded </w:t>
      </w:r>
      <w:r>
        <w:rPr>
          <w:rFonts w:ascii="Century Schoolbook" w:hAnsi="Century Schoolbook"/>
        </w:rPr>
        <w:t xml:space="preserve">there was no evidence that the reporter had interrogated or prosecuted the plaintiff, as </w:t>
      </w:r>
      <w:r>
        <w:rPr>
          <w:rFonts w:ascii="Century Schoolbook" w:hAnsi="Century Schoolbook"/>
        </w:rPr>
        <w:t xml:space="preserve">had been </w:t>
      </w:r>
      <w:r>
        <w:rPr>
          <w:rFonts w:ascii="Century Schoolbook" w:hAnsi="Century Schoolbook"/>
        </w:rPr>
        <w:t>alleged.</w:t>
      </w:r>
      <w:r>
        <w:rPr>
          <w:rStyle w:val="FootnoteReference"/>
          <w:rFonts w:ascii="Century Schoolbook" w:hAnsi="Century Schoolbook"/>
        </w:rPr>
        <w:footnoteReference w:id="8"/>
      </w:r>
      <w:r>
        <w:rPr>
          <w:rFonts w:ascii="Century Schoolbook" w:hAnsi="Century Schoolbook"/>
        </w:rPr>
        <w:t xml:space="preserve"> </w:t>
      </w:r>
      <w:r>
        <w:rPr>
          <w:rFonts w:ascii="Century Schoolbook" w:hAnsi="Century Schoolbook"/>
        </w:rPr>
        <w:t>(</w:t>
      </w:r>
      <w:r>
        <w:rPr>
          <w:rFonts w:ascii="Century Schoolbook" w:hAnsi="Century Schoolbook"/>
          <w:i/>
          <w:iCs/>
        </w:rPr>
        <w:t>Santos, supra,</w:t>
      </w:r>
      <w:r>
        <w:rPr>
          <w:rFonts w:ascii="Century Schoolbook" w:hAnsi="Century Schoolbook"/>
        </w:rPr>
        <w:t xml:space="preserve"> </w:t>
      </w:r>
      <w:r>
        <w:rPr>
          <w:rFonts w:ascii="Century Schoolbook" w:hAnsi="Century Schoolbook"/>
        </w:rPr>
        <w:t xml:space="preserve">1 Cal.App.5th </w:t>
      </w:r>
      <w:r>
        <w:rPr>
          <w:rFonts w:ascii="Century Schoolbook" w:hAnsi="Century Schoolbook"/>
        </w:rPr>
        <w:t>at pp. 876</w:t>
      </w:r>
      <w:r>
        <w:rPr>
          <w:rFonts w:ascii="Century Schoolbook" w:hAnsi="Century Schoolbook"/>
        </w:rPr>
        <w:t>–</w:t>
      </w:r>
      <w:r>
        <w:rPr>
          <w:rFonts w:ascii="Century Schoolbook" w:hAnsi="Century Schoolbook"/>
        </w:rPr>
        <w:t>877.</w:t>
      </w:r>
      <w:r>
        <w:rPr>
          <w:rFonts w:ascii="Century Schoolbook" w:hAnsi="Century Schoolbook"/>
        </w:rPr>
        <w:t xml:space="preserve">) </w:t>
      </w:r>
      <w:r>
        <w:rPr>
          <w:rFonts w:ascii="Century Schoolbook" w:hAnsi="Century Schoolbook"/>
        </w:rPr>
        <w:t>The court</w:t>
      </w:r>
      <w:r>
        <w:rPr>
          <w:rFonts w:ascii="Century Schoolbook" w:hAnsi="Century Schoolbook"/>
        </w:rPr>
        <w:t xml:space="preserve">, analogizing to the </w:t>
      </w:r>
      <w:r>
        <w:rPr>
          <w:rFonts w:ascii="Century Schoolbook" w:hAnsi="Century Schoolbook"/>
        </w:rPr>
        <w:t xml:space="preserve">parallel </w:t>
      </w:r>
      <w:r>
        <w:rPr>
          <w:rFonts w:ascii="Century Schoolbook" w:hAnsi="Century Schoolbook"/>
        </w:rPr>
        <w:t>child-abuse context, rejected the claim t</w:t>
      </w:r>
      <w:r>
        <w:rPr>
          <w:rFonts w:ascii="Century Schoolbook" w:hAnsi="Century Schoolbook"/>
        </w:rPr>
        <w:t>hat the immunity afforded to mandated reporters in the elder-abuse context under section 15634(a) did not extend to conduct</w:t>
      </w:r>
      <w:r>
        <w:rPr>
          <w:rFonts w:ascii="Century Schoolbook" w:hAnsi="Century Schoolbook"/>
        </w:rPr>
        <w:t xml:space="preserve"> in addition to the act of reporting</w:t>
      </w:r>
      <w:r>
        <w:rPr>
          <w:rFonts w:ascii="Century Schoolbook" w:hAnsi="Century Schoolbook"/>
        </w:rPr>
        <w:t>. “[C]ourts have concluded that mandated reporters in the child abuse context may not be held lia</w:t>
      </w:r>
      <w:r>
        <w:rPr>
          <w:rFonts w:ascii="Century Schoolbook" w:hAnsi="Century Schoolbook"/>
        </w:rPr>
        <w:t>ble for ‘</w:t>
      </w:r>
      <w:r w:rsidRPr="002218F8">
        <w:rPr>
          <w:rFonts w:ascii="Century Schoolbook" w:hAnsi="Century Schoolbook"/>
          <w:i/>
          <w:iCs/>
        </w:rPr>
        <w:t>conduct</w:t>
      </w:r>
      <w:r>
        <w:rPr>
          <w:rFonts w:ascii="Century Schoolbook" w:hAnsi="Century Schoolbook"/>
        </w:rPr>
        <w:t xml:space="preserve"> committed in furtherance of diagnosing whether abuse occurred.’ (</w:t>
      </w:r>
      <w:r w:rsidRPr="00BD1970">
        <w:rPr>
          <w:rFonts w:ascii="Century Schoolbook" w:hAnsi="Century Schoolbook"/>
          <w:i/>
          <w:iCs/>
        </w:rPr>
        <w:t xml:space="preserve">Arce, </w:t>
      </w:r>
      <w:r w:rsidRPr="00BD1970">
        <w:rPr>
          <w:rFonts w:ascii="Century Schoolbook" w:hAnsi="Century Schoolbook"/>
          <w:i/>
          <w:iCs/>
        </w:rPr>
        <w:lastRenderedPageBreak/>
        <w:t>supra</w:t>
      </w:r>
      <w:r>
        <w:rPr>
          <w:rFonts w:ascii="Century Schoolbook" w:hAnsi="Century Schoolbook"/>
        </w:rPr>
        <w:t xml:space="preserve">, 211 Cal.App.4th at p. 1492, italics added.) We see no reason why this same principle should not apply when interpreting </w:t>
      </w:r>
      <w:r>
        <w:rPr>
          <w:rFonts w:ascii="Century Schoolbook" w:hAnsi="Century Schoolbook"/>
        </w:rPr>
        <w:t>the nearly identical immunity provision i</w:t>
      </w:r>
      <w:r>
        <w:rPr>
          <w:rFonts w:ascii="Century Schoolbook" w:hAnsi="Century Schoolbook"/>
        </w:rPr>
        <w:t xml:space="preserve">n the Act. For the same reason, we conclude that case law in the child abuse context providing that mandated reporters are immune for communications with law enforcement that occur </w:t>
      </w:r>
      <w:r w:rsidRPr="006132BB">
        <w:rPr>
          <w:rFonts w:ascii="Century Schoolbook" w:hAnsi="Century Schoolbook"/>
          <w:i/>
          <w:iCs/>
        </w:rPr>
        <w:t>after</w:t>
      </w:r>
      <w:r>
        <w:rPr>
          <w:rFonts w:ascii="Century Schoolbook" w:hAnsi="Century Schoolbook"/>
        </w:rPr>
        <w:t xml:space="preserve"> an initial report of abuse </w:t>
      </w:r>
      <w:r>
        <w:rPr>
          <w:rFonts w:ascii="Century Schoolbook" w:hAnsi="Century Schoolbook"/>
        </w:rPr>
        <w:t xml:space="preserve">[but] </w:t>
      </w:r>
      <w:r>
        <w:rPr>
          <w:rFonts w:ascii="Century Schoolbook" w:hAnsi="Century Schoolbook"/>
        </w:rPr>
        <w:t xml:space="preserve">that are related to abuse (see </w:t>
      </w:r>
      <w:r w:rsidRPr="00BD1970">
        <w:rPr>
          <w:rFonts w:ascii="Century Schoolbook" w:hAnsi="Century Schoolbook"/>
          <w:i/>
          <w:iCs/>
        </w:rPr>
        <w:t>Ferra</w:t>
      </w:r>
      <w:r w:rsidRPr="00BD1970">
        <w:rPr>
          <w:rFonts w:ascii="Century Schoolbook" w:hAnsi="Century Schoolbook"/>
          <w:i/>
          <w:iCs/>
        </w:rPr>
        <w:t>ro, supra</w:t>
      </w:r>
      <w:r>
        <w:rPr>
          <w:rFonts w:ascii="Century Schoolbook" w:hAnsi="Century Schoolbook"/>
        </w:rPr>
        <w:t>, 221 Cal.App.3d at pp. 92, 95), should apply with equal force in interpreting section 15634.” (</w:t>
      </w:r>
      <w:r w:rsidRPr="00BD1970">
        <w:rPr>
          <w:rFonts w:ascii="Century Schoolbook" w:hAnsi="Century Schoolbook"/>
          <w:i/>
          <w:iCs/>
        </w:rPr>
        <w:t>Santos, supra</w:t>
      </w:r>
      <w:r>
        <w:rPr>
          <w:rFonts w:ascii="Century Schoolbook" w:hAnsi="Century Schoolbook"/>
        </w:rPr>
        <w:t>, 1 Cal.App.5th at p. 877</w:t>
      </w:r>
      <w:r>
        <w:rPr>
          <w:rFonts w:ascii="Century Schoolbook" w:hAnsi="Century Schoolbook"/>
        </w:rPr>
        <w:t>, fn. omitted</w:t>
      </w:r>
      <w:r>
        <w:rPr>
          <w:rFonts w:ascii="Century Schoolbook" w:hAnsi="Century Schoolbook"/>
        </w:rPr>
        <w:t xml:space="preserve">.) The mandated reporter’s “act in signing a citizen’s arrest form constituted activity that was so </w:t>
      </w:r>
      <w:r>
        <w:rPr>
          <w:rFonts w:ascii="Century Schoolbook" w:hAnsi="Century Schoolbook"/>
        </w:rPr>
        <w:t xml:space="preserve">integrally related </w:t>
      </w:r>
      <w:r>
        <w:rPr>
          <w:rFonts w:ascii="Century Schoolbook" w:hAnsi="Century Schoolbook"/>
        </w:rPr>
        <w:t xml:space="preserve">to a report of elder abuse that it constituted conduct that falls within the ‘sweeping </w:t>
      </w:r>
      <w:r>
        <w:rPr>
          <w:rFonts w:ascii="Century Schoolbook" w:hAnsi="Century Schoolbook"/>
        </w:rPr>
        <w:t>. . .</w:t>
      </w:r>
      <w:r>
        <w:rPr>
          <w:rFonts w:ascii="Century Schoolbook" w:hAnsi="Century Schoolbook"/>
        </w:rPr>
        <w:t xml:space="preserve"> breadth’ of the immunity afforded in section 15634. (</w:t>
      </w:r>
      <w:r w:rsidRPr="002119AF">
        <w:rPr>
          <w:rFonts w:ascii="Century Schoolbook" w:hAnsi="Century Schoolbook"/>
          <w:i/>
          <w:iCs/>
        </w:rPr>
        <w:t>Easton, supra</w:t>
      </w:r>
      <w:r>
        <w:rPr>
          <w:rFonts w:ascii="Century Schoolbook" w:hAnsi="Century Schoolbook"/>
        </w:rPr>
        <w:t>, 80 Cal.App.4th at p. 491.)” (</w:t>
      </w:r>
      <w:r w:rsidRPr="00393EE7">
        <w:rPr>
          <w:rFonts w:ascii="Century Schoolbook" w:hAnsi="Century Schoolbook"/>
          <w:i/>
          <w:iCs/>
        </w:rPr>
        <w:t>Id.</w:t>
      </w:r>
      <w:r>
        <w:rPr>
          <w:rFonts w:ascii="Century Schoolbook" w:hAnsi="Century Schoolbook"/>
        </w:rPr>
        <w:t xml:space="preserve"> at pp. 877</w:t>
      </w:r>
      <w:r>
        <w:rPr>
          <w:rFonts w:ascii="Century Schoolbook" w:hAnsi="Century Schoolbook"/>
        </w:rPr>
        <w:t>–</w:t>
      </w:r>
      <w:r>
        <w:rPr>
          <w:rFonts w:ascii="Century Schoolbook" w:hAnsi="Century Schoolbook"/>
        </w:rPr>
        <w:t>878.)</w:t>
      </w:r>
      <w:r>
        <w:rPr>
          <w:rFonts w:ascii="Century Schoolbook" w:hAnsi="Century Schoolbook"/>
        </w:rPr>
        <w:t xml:space="preserve"> </w:t>
      </w:r>
    </w:p>
    <w:p w14:paraId="7C886169" w14:textId="77777777" w:rsidR="00BD1970"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After all, according to the </w:t>
      </w:r>
      <w:r w:rsidRPr="00224281">
        <w:rPr>
          <w:rFonts w:ascii="Century Schoolbook" w:hAnsi="Century Schoolbook"/>
          <w:i/>
          <w:iCs/>
        </w:rPr>
        <w:t>Santos</w:t>
      </w:r>
      <w:r>
        <w:rPr>
          <w:rFonts w:ascii="Century Schoolbook" w:hAnsi="Century Schoolbook"/>
        </w:rPr>
        <w:t xml:space="preserve"> court, the </w:t>
      </w:r>
      <w:r>
        <w:rPr>
          <w:rFonts w:ascii="Century Schoolbook" w:hAnsi="Century Schoolbook"/>
        </w:rPr>
        <w:t>act</w:t>
      </w:r>
      <w:r>
        <w:rPr>
          <w:rFonts w:ascii="Century Schoolbook" w:hAnsi="Century Schoolbook"/>
        </w:rPr>
        <w:t xml:space="preserve"> of signing a form to effectuate a citizen’s arrest “was far more similar to an act of ‘reporting’ than other conduct to which courts have determined immunity extends. (See </w:t>
      </w:r>
      <w:r w:rsidRPr="00393EE7">
        <w:rPr>
          <w:rFonts w:ascii="Century Schoolbook" w:hAnsi="Century Schoolbook"/>
          <w:i/>
          <w:iCs/>
        </w:rPr>
        <w:t>Arce, supra</w:t>
      </w:r>
      <w:r>
        <w:rPr>
          <w:rFonts w:ascii="Century Schoolbook" w:hAnsi="Century Schoolbook"/>
        </w:rPr>
        <w:t>, 211 Cal.App.4th at pp</w:t>
      </w:r>
      <w:r>
        <w:rPr>
          <w:rFonts w:ascii="Century Schoolbook" w:hAnsi="Century Schoolbook"/>
        </w:rPr>
        <w:t>. 1491</w:t>
      </w:r>
      <w:r>
        <w:rPr>
          <w:rFonts w:ascii="Century Schoolbook" w:hAnsi="Century Schoolbook"/>
        </w:rPr>
        <w:t>–</w:t>
      </w:r>
      <w:r>
        <w:rPr>
          <w:rFonts w:ascii="Century Schoolbook" w:hAnsi="Century Schoolbook"/>
        </w:rPr>
        <w:t xml:space="preserve">1492 [making harassing phone calls]; </w:t>
      </w:r>
      <w:r w:rsidRPr="00393EE7">
        <w:rPr>
          <w:rFonts w:ascii="Century Schoolbook" w:hAnsi="Century Schoolbook"/>
          <w:i/>
          <w:iCs/>
        </w:rPr>
        <w:t>McMartin v. Children’s Institute International</w:t>
      </w:r>
      <w:r>
        <w:rPr>
          <w:rFonts w:ascii="Century Schoolbook" w:hAnsi="Century Schoolbook"/>
        </w:rPr>
        <w:t xml:space="preserve"> </w:t>
      </w:r>
      <w:r>
        <w:rPr>
          <w:rFonts w:ascii="Century Schoolbook" w:hAnsi="Century Schoolbook"/>
        </w:rPr>
        <w:t xml:space="preserve">(1989) 212 Cal.App.3d 1393, 1401 </w:t>
      </w:r>
      <w:r>
        <w:rPr>
          <w:rFonts w:ascii="Century Schoolbook" w:hAnsi="Century Schoolbook"/>
        </w:rPr>
        <w:t>(</w:t>
      </w:r>
      <w:r w:rsidRPr="00DF485E">
        <w:rPr>
          <w:rFonts w:ascii="Century Schoolbook" w:hAnsi="Century Schoolbook"/>
          <w:i/>
          <w:iCs/>
        </w:rPr>
        <w:t>McMartin</w:t>
      </w:r>
      <w:r>
        <w:rPr>
          <w:rFonts w:ascii="Century Schoolbook" w:hAnsi="Century Schoolbook"/>
        </w:rPr>
        <w:t xml:space="preserve">) </w:t>
      </w:r>
      <w:r>
        <w:rPr>
          <w:rFonts w:ascii="Century Schoolbook" w:hAnsi="Century Schoolbook"/>
        </w:rPr>
        <w:t xml:space="preserve">[interviewing children]; </w:t>
      </w:r>
      <w:r w:rsidRPr="00393EE7">
        <w:rPr>
          <w:rFonts w:ascii="Century Schoolbook" w:hAnsi="Century Schoolbook"/>
          <w:i/>
          <w:iCs/>
        </w:rPr>
        <w:t>Krikorian, supra</w:t>
      </w:r>
      <w:r>
        <w:rPr>
          <w:rFonts w:ascii="Century Schoolbook" w:hAnsi="Century Schoolbook"/>
        </w:rPr>
        <w:t>, 196 Cal.App.3d at pp. 1213, 1222</w:t>
      </w:r>
      <w:r>
        <w:rPr>
          <w:rFonts w:ascii="Century Schoolbook" w:hAnsi="Century Schoolbook"/>
        </w:rPr>
        <w:t>–</w:t>
      </w:r>
      <w:r>
        <w:rPr>
          <w:rFonts w:ascii="Century Schoolbook" w:hAnsi="Century Schoolbook"/>
        </w:rPr>
        <w:t xml:space="preserve">1223 [providing psychotherapeutic services]; </w:t>
      </w:r>
      <w:r w:rsidRPr="00393EE7">
        <w:rPr>
          <w:rFonts w:ascii="Century Schoolbook" w:hAnsi="Century Schoolbook"/>
          <w:i/>
          <w:iCs/>
        </w:rPr>
        <w:t>Storch, supra</w:t>
      </w:r>
      <w:r>
        <w:rPr>
          <w:rFonts w:ascii="Century Schoolbook" w:hAnsi="Century Schoolbook"/>
        </w:rPr>
        <w:t>, 186 Cal.App.3d at p. 674 &amp; fn. 2 [conducting medical examinations and a pathology analysis].)” (</w:t>
      </w:r>
      <w:r w:rsidRPr="00393EE7">
        <w:rPr>
          <w:rFonts w:ascii="Century Schoolbook" w:hAnsi="Century Schoolbook"/>
          <w:i/>
          <w:iCs/>
        </w:rPr>
        <w:t>Santos, supra</w:t>
      </w:r>
      <w:r>
        <w:rPr>
          <w:rFonts w:ascii="Century Schoolbook" w:hAnsi="Century Schoolbook"/>
        </w:rPr>
        <w:t xml:space="preserve">, 1 Cal.App.5th at p. 878.)  </w:t>
      </w:r>
      <w:r>
        <w:rPr>
          <w:rFonts w:ascii="Century Schoolbook" w:hAnsi="Century Schoolbook"/>
        </w:rPr>
        <w:t xml:space="preserve">   </w:t>
      </w:r>
    </w:p>
    <w:p w14:paraId="170DF7C7" w14:textId="77777777" w:rsidR="00C74CA3"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Finally, the </w:t>
      </w:r>
      <w:r w:rsidRPr="00E8067D">
        <w:rPr>
          <w:rFonts w:ascii="Century Schoolbook" w:hAnsi="Century Schoolbook"/>
          <w:i/>
          <w:iCs/>
        </w:rPr>
        <w:t>Santos</w:t>
      </w:r>
      <w:r>
        <w:rPr>
          <w:rFonts w:ascii="Century Schoolbook" w:hAnsi="Century Schoolbook"/>
        </w:rPr>
        <w:t xml:space="preserve"> court distinguished the facts there from those in </w:t>
      </w:r>
      <w:r w:rsidRPr="00E8067D">
        <w:rPr>
          <w:rFonts w:ascii="Century Schoolbook" w:hAnsi="Century Schoolbook"/>
          <w:i/>
          <w:iCs/>
        </w:rPr>
        <w:t>James W</w:t>
      </w:r>
      <w:r>
        <w:rPr>
          <w:rFonts w:ascii="Century Schoolbook" w:hAnsi="Century Schoolbook"/>
        </w:rPr>
        <w:t xml:space="preserve">., </w:t>
      </w:r>
      <w:r w:rsidRPr="00E8067D">
        <w:rPr>
          <w:rFonts w:ascii="Century Schoolbook" w:hAnsi="Century Schoolbook"/>
          <w:i/>
          <w:iCs/>
        </w:rPr>
        <w:t>supra</w:t>
      </w:r>
      <w:r>
        <w:rPr>
          <w:rFonts w:ascii="Century Schoolbook" w:hAnsi="Century Schoolbook"/>
        </w:rPr>
        <w:t xml:space="preserve">, 17 Cal.App.4th 246, relied on by Valero here. In </w:t>
      </w:r>
      <w:r w:rsidRPr="00E8067D">
        <w:rPr>
          <w:rFonts w:ascii="Century Schoolbook" w:hAnsi="Century Schoolbook"/>
          <w:i/>
          <w:iCs/>
        </w:rPr>
        <w:t>James W</w:t>
      </w:r>
      <w:r>
        <w:rPr>
          <w:rFonts w:ascii="Century Schoolbook" w:hAnsi="Century Schoolbook"/>
        </w:rPr>
        <w:t xml:space="preserve">., </w:t>
      </w:r>
      <w:r>
        <w:rPr>
          <w:rFonts w:ascii="Century Schoolbook" w:hAnsi="Century Schoolbook"/>
        </w:rPr>
        <w:t xml:space="preserve">which emanated </w:t>
      </w:r>
      <w:r>
        <w:rPr>
          <w:rFonts w:ascii="Century Schoolbook" w:hAnsi="Century Schoolbook"/>
        </w:rPr>
        <w:t xml:space="preserve">from the same court as </w:t>
      </w:r>
      <w:r w:rsidRPr="00E8067D">
        <w:rPr>
          <w:rFonts w:ascii="Century Schoolbook" w:hAnsi="Century Schoolbook"/>
          <w:i/>
          <w:iCs/>
        </w:rPr>
        <w:t>Santos</w:t>
      </w:r>
      <w:r>
        <w:rPr>
          <w:rFonts w:ascii="Century Schoolbook" w:hAnsi="Century Schoolbook"/>
        </w:rPr>
        <w:t>, the court “concluded that mandated</w:t>
      </w:r>
      <w:r>
        <w:rPr>
          <w:rFonts w:ascii="Century Schoolbook" w:hAnsi="Century Schoolbook"/>
        </w:rPr>
        <w:t>[-]</w:t>
      </w:r>
      <w:r>
        <w:rPr>
          <w:rFonts w:ascii="Century Schoolbook" w:hAnsi="Century Schoolbook"/>
        </w:rPr>
        <w:t>reporter immunity did not apply to the conduct of a family counselor and foster parent who, for two and one-half</w:t>
      </w:r>
      <w:r>
        <w:rPr>
          <w:rFonts w:ascii="Century Schoolbook" w:hAnsi="Century Schoolbook"/>
        </w:rPr>
        <w:t xml:space="preserve"> years after a report of sexual abuse, allegedly coerced a child into falsely naming her father as the </w:t>
      </w:r>
      <w:r>
        <w:rPr>
          <w:rFonts w:ascii="Century Schoolbook" w:hAnsi="Century Schoolbook"/>
        </w:rPr>
        <w:lastRenderedPageBreak/>
        <w:t>perpetrator of the abuse. (</w:t>
      </w:r>
      <w:r w:rsidRPr="003A154C">
        <w:rPr>
          <w:rFonts w:ascii="Century Schoolbook" w:hAnsi="Century Schoolbook"/>
          <w:i/>
          <w:iCs/>
        </w:rPr>
        <w:t>Id.</w:t>
      </w:r>
      <w:r>
        <w:rPr>
          <w:rFonts w:ascii="Century Schoolbook" w:hAnsi="Century Schoolbook"/>
        </w:rPr>
        <w:t xml:space="preserve"> at pp. 258</w:t>
      </w:r>
      <w:r>
        <w:rPr>
          <w:rFonts w:ascii="Century Schoolbook" w:hAnsi="Century Schoolbook"/>
        </w:rPr>
        <w:t>–</w:t>
      </w:r>
      <w:r>
        <w:rPr>
          <w:rFonts w:ascii="Century Schoolbook" w:hAnsi="Century Schoolbook"/>
        </w:rPr>
        <w:t xml:space="preserve">259.) The </w:t>
      </w:r>
      <w:r w:rsidRPr="00F517FC">
        <w:rPr>
          <w:rFonts w:ascii="Century Schoolbook" w:hAnsi="Century Schoolbook"/>
          <w:i/>
          <w:iCs/>
        </w:rPr>
        <w:t>James W.</w:t>
      </w:r>
      <w:r>
        <w:rPr>
          <w:rFonts w:ascii="Century Schoolbook" w:hAnsi="Century Schoolbook"/>
        </w:rPr>
        <w:t xml:space="preserve"> court concluded that the defendants, who had ‘[not] identified or reported child abuse,’ wer</w:t>
      </w:r>
      <w:r>
        <w:rPr>
          <w:rFonts w:ascii="Century Schoolbook" w:hAnsi="Century Schoolbook"/>
        </w:rPr>
        <w:t>e not entitled to immunity because they ‘voluntarily assumed roles of those who, having received the report and determined the identity of the perpetrator, search[ed] for corroboration and/or attempt[ed] to pressure a witness to get a conviction.’ (</w:t>
      </w:r>
      <w:r w:rsidRPr="003A154C">
        <w:rPr>
          <w:rFonts w:ascii="Century Schoolbook" w:hAnsi="Century Schoolbook"/>
          <w:i/>
          <w:iCs/>
        </w:rPr>
        <w:t>James W</w:t>
      </w:r>
      <w:r>
        <w:rPr>
          <w:rFonts w:ascii="Century Schoolbook" w:hAnsi="Century Schoolbook"/>
        </w:rPr>
        <w:t xml:space="preserve">., at p. 256.)” </w:t>
      </w:r>
      <w:r>
        <w:rPr>
          <w:rFonts w:ascii="Century Schoolbook" w:hAnsi="Century Schoolbook"/>
        </w:rPr>
        <w:t>(</w:t>
      </w:r>
      <w:r w:rsidRPr="003A154C">
        <w:rPr>
          <w:rFonts w:ascii="Century Schoolbook" w:hAnsi="Century Schoolbook"/>
          <w:i/>
          <w:iCs/>
        </w:rPr>
        <w:t>Santos, supra</w:t>
      </w:r>
      <w:r>
        <w:rPr>
          <w:rFonts w:ascii="Century Schoolbook" w:hAnsi="Century Schoolbook"/>
        </w:rPr>
        <w:t>, 1 Cal.App.5th at p. 879, fns. omitted.)</w:t>
      </w:r>
      <w:r>
        <w:rPr>
          <w:rFonts w:ascii="Century Schoolbook" w:hAnsi="Century Schoolbook"/>
        </w:rPr>
        <w:t xml:space="preserve"> </w:t>
      </w:r>
      <w:r>
        <w:rPr>
          <w:rFonts w:ascii="Century Schoolbook" w:hAnsi="Century Schoolbook"/>
        </w:rPr>
        <w:t xml:space="preserve">Distinct from this, the </w:t>
      </w:r>
      <w:r w:rsidRPr="00EC0249">
        <w:rPr>
          <w:rFonts w:ascii="Century Schoolbook" w:hAnsi="Century Schoolbook"/>
          <w:i/>
          <w:iCs/>
        </w:rPr>
        <w:t>Santos</w:t>
      </w:r>
      <w:r>
        <w:rPr>
          <w:rFonts w:ascii="Century Schoolbook" w:hAnsi="Century Schoolbook"/>
        </w:rPr>
        <w:t xml:space="preserve"> defendant, who had effectuated a citizen’s arrest in </w:t>
      </w:r>
      <w:r>
        <w:rPr>
          <w:rFonts w:ascii="Century Schoolbook" w:hAnsi="Century Schoolbook"/>
        </w:rPr>
        <w:t xml:space="preserve">close </w:t>
      </w:r>
      <w:r>
        <w:rPr>
          <w:rFonts w:ascii="Century Schoolbook" w:hAnsi="Century Schoolbook"/>
        </w:rPr>
        <w:t xml:space="preserve">connection and time </w:t>
      </w:r>
      <w:r>
        <w:rPr>
          <w:rFonts w:ascii="Century Schoolbook" w:hAnsi="Century Schoolbook"/>
        </w:rPr>
        <w:t>proximity to</w:t>
      </w:r>
      <w:r>
        <w:rPr>
          <w:rFonts w:ascii="Century Schoolbook" w:hAnsi="Century Schoolbook"/>
        </w:rPr>
        <w:t xml:space="preserve"> a mandated report, unlike the defendants in </w:t>
      </w:r>
      <w:r w:rsidRPr="00EC0249">
        <w:rPr>
          <w:rFonts w:ascii="Century Schoolbook" w:hAnsi="Century Schoolbook"/>
          <w:i/>
          <w:iCs/>
        </w:rPr>
        <w:t>James W</w:t>
      </w:r>
      <w:r>
        <w:rPr>
          <w:rFonts w:ascii="Century Schoolbook" w:hAnsi="Century Schoolbook"/>
        </w:rPr>
        <w:t>., had not</w:t>
      </w:r>
      <w:r>
        <w:rPr>
          <w:rFonts w:ascii="Century Schoolbook" w:hAnsi="Century Schoolbook"/>
        </w:rPr>
        <w:t xml:space="preserve"> “ ‘usurped the function of the authorities (</w:t>
      </w:r>
      <w:r w:rsidRPr="00594B9C">
        <w:rPr>
          <w:rFonts w:ascii="Century Schoolbook" w:hAnsi="Century Schoolbook"/>
          <w:i/>
          <w:iCs/>
        </w:rPr>
        <w:t>Robbins, supra</w:t>
      </w:r>
      <w:r>
        <w:rPr>
          <w:rFonts w:ascii="Century Schoolbook" w:hAnsi="Century Schoolbook"/>
        </w:rPr>
        <w:t xml:space="preserve">, </w:t>
      </w:r>
      <w:r>
        <w:rPr>
          <w:rFonts w:ascii="Century Schoolbook" w:hAnsi="Century Schoolbook"/>
        </w:rPr>
        <w:t xml:space="preserve">32 Cal.App.4th at p. 680, discussing </w:t>
      </w:r>
      <w:r w:rsidRPr="00594B9C">
        <w:rPr>
          <w:rFonts w:ascii="Century Schoolbook" w:hAnsi="Century Schoolbook"/>
          <w:i/>
          <w:iCs/>
        </w:rPr>
        <w:t>James W.</w:t>
      </w:r>
      <w:r>
        <w:rPr>
          <w:rFonts w:ascii="Century Schoolbook" w:hAnsi="Century Schoolbook"/>
        </w:rPr>
        <w:t xml:space="preserve">) such that he would not be entitled to mandated reporter immunity under </w:t>
      </w:r>
      <w:r w:rsidRPr="00594B9C">
        <w:rPr>
          <w:rFonts w:ascii="Century Schoolbook" w:hAnsi="Century Schoolbook"/>
          <w:i/>
          <w:iCs/>
        </w:rPr>
        <w:t>James W.</w:t>
      </w:r>
      <w:r>
        <w:rPr>
          <w:rFonts w:ascii="Century Schoolbook" w:hAnsi="Century Schoolbook"/>
        </w:rPr>
        <w:t xml:space="preserve"> [Citation]</w:t>
      </w:r>
      <w:r>
        <w:rPr>
          <w:rFonts w:ascii="Century Schoolbook" w:hAnsi="Century Schoolbook"/>
        </w:rPr>
        <w:t>.)” (</w:t>
      </w:r>
      <w:r w:rsidRPr="00594B9C">
        <w:rPr>
          <w:rFonts w:ascii="Century Schoolbook" w:hAnsi="Century Schoolbook"/>
          <w:i/>
          <w:iCs/>
        </w:rPr>
        <w:t>Santos, supra</w:t>
      </w:r>
      <w:r>
        <w:rPr>
          <w:rFonts w:ascii="Century Schoolbook" w:hAnsi="Century Schoolbook"/>
        </w:rPr>
        <w:t>, 1 Cal.App.5th at p.</w:t>
      </w:r>
      <w:r>
        <w:rPr>
          <w:rFonts w:ascii="Century Schoolbook" w:hAnsi="Century Schoolbook"/>
        </w:rPr>
        <w:t> </w:t>
      </w:r>
      <w:r>
        <w:rPr>
          <w:rFonts w:ascii="Century Schoolbook" w:hAnsi="Century Schoolbook"/>
        </w:rPr>
        <w:t xml:space="preserve">879.) </w:t>
      </w:r>
    </w:p>
    <w:p w14:paraId="0DE73FDF" w14:textId="77777777" w:rsidR="008000FE" w:rsidRDefault="00F5385E" w:rsidP="00142B0E">
      <w:pPr>
        <w:rPr>
          <w:rFonts w:ascii="Century Schoolbook" w:hAnsi="Century Schoolbook"/>
        </w:rPr>
      </w:pPr>
      <w:r>
        <w:rPr>
          <w:rFonts w:ascii="Century Schoolbook" w:hAnsi="Century Schoolbook"/>
        </w:rPr>
        <w:tab/>
      </w:r>
      <w:r>
        <w:rPr>
          <w:rFonts w:ascii="Century Schoolbook" w:hAnsi="Century Schoolbook"/>
        </w:rPr>
        <w:t>Having provided this legal framework</w:t>
      </w:r>
      <w:r>
        <w:rPr>
          <w:rFonts w:ascii="Century Schoolbook" w:hAnsi="Century Schoolbook"/>
        </w:rPr>
        <w:t xml:space="preserve"> and background</w:t>
      </w:r>
      <w:r>
        <w:rPr>
          <w:rFonts w:ascii="Century Schoolbook" w:hAnsi="Century Schoolbook"/>
        </w:rPr>
        <w:t xml:space="preserve">, we now </w:t>
      </w:r>
      <w:r>
        <w:rPr>
          <w:rFonts w:ascii="Century Schoolbook" w:hAnsi="Century Schoolbook"/>
        </w:rPr>
        <w:t>address</w:t>
      </w:r>
      <w:r>
        <w:rPr>
          <w:rFonts w:ascii="Century Schoolbook" w:hAnsi="Century Schoolbook"/>
        </w:rPr>
        <w:t xml:space="preserve"> Valero’s specific claims.</w:t>
      </w:r>
      <w:r>
        <w:rPr>
          <w:rFonts w:ascii="Century Schoolbook" w:hAnsi="Century Schoolbook"/>
        </w:rPr>
        <w:t xml:space="preserve"> </w:t>
      </w:r>
      <w:r>
        <w:rPr>
          <w:rFonts w:ascii="Century Schoolbook" w:hAnsi="Century Schoolbook"/>
        </w:rPr>
        <w:t xml:space="preserve"> </w:t>
      </w:r>
    </w:p>
    <w:p w14:paraId="7B8A18C9" w14:textId="77777777" w:rsidR="008E6EB8" w:rsidRPr="004F2324" w:rsidRDefault="00F5385E" w:rsidP="008000FE">
      <w:pPr>
        <w:pStyle w:val="ListParagraph"/>
        <w:numPr>
          <w:ilvl w:val="0"/>
          <w:numId w:val="13"/>
        </w:numPr>
        <w:rPr>
          <w:rFonts w:ascii="Century Schoolbook" w:hAnsi="Century Schoolbook"/>
          <w:i/>
          <w:iCs/>
        </w:rPr>
      </w:pPr>
      <w:r w:rsidRPr="004F2324">
        <w:rPr>
          <w:rFonts w:ascii="Century Schoolbook" w:hAnsi="Century Schoolbook"/>
          <w:i/>
          <w:iCs/>
        </w:rPr>
        <w:t xml:space="preserve">Absolute Immunity </w:t>
      </w:r>
      <w:r>
        <w:rPr>
          <w:rFonts w:ascii="Century Schoolbook" w:hAnsi="Century Schoolbook"/>
          <w:i/>
          <w:iCs/>
        </w:rPr>
        <w:t>f</w:t>
      </w:r>
      <w:r w:rsidRPr="004F2324">
        <w:rPr>
          <w:rFonts w:ascii="Century Schoolbook" w:hAnsi="Century Schoolbook"/>
          <w:i/>
          <w:iCs/>
        </w:rPr>
        <w:t>or Mandated Reporters Under Section 15634(a) Extends to Knowingly False Reports</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r w:rsidRPr="004F2324">
        <w:rPr>
          <w:rFonts w:ascii="Century Schoolbook" w:hAnsi="Century Schoolbook"/>
          <w:i/>
          <w:iCs/>
        </w:rPr>
        <w:t xml:space="preserve"> </w:t>
      </w:r>
    </w:p>
    <w:p w14:paraId="7BE5E1DC" w14:textId="77777777" w:rsidR="0033165A" w:rsidRDefault="00F5385E" w:rsidP="00142B0E">
      <w:pPr>
        <w:rPr>
          <w:rFonts w:ascii="Century Schoolbook" w:hAnsi="Century Schoolbook"/>
        </w:rPr>
      </w:pPr>
      <w:r w:rsidRPr="009F66B9">
        <w:rPr>
          <w:rFonts w:ascii="Century Schoolbook" w:hAnsi="Century Schoolbook"/>
        </w:rPr>
        <w:t xml:space="preserve"> </w:t>
      </w:r>
      <w:r>
        <w:rPr>
          <w:rFonts w:ascii="Century Schoolbook" w:hAnsi="Century Schoolbook"/>
        </w:rPr>
        <w:tab/>
      </w:r>
      <w:r>
        <w:rPr>
          <w:rFonts w:ascii="Century Schoolbook" w:hAnsi="Century Schoolbook"/>
        </w:rPr>
        <w:t xml:space="preserve">Valero contends that despite the established law we have discussed above, the </w:t>
      </w:r>
      <w:r>
        <w:rPr>
          <w:rFonts w:ascii="Century Schoolbook" w:hAnsi="Century Schoolbook"/>
        </w:rPr>
        <w:t xml:space="preserve">plain meaning of the </w:t>
      </w:r>
      <w:r>
        <w:rPr>
          <w:rFonts w:ascii="Century Schoolbook" w:hAnsi="Century Schoolbook"/>
        </w:rPr>
        <w:t xml:space="preserve">precise statutory language affording absolute and broad immunity to mandated reporters </w:t>
      </w:r>
      <w:r>
        <w:rPr>
          <w:rFonts w:ascii="Century Schoolbook" w:hAnsi="Century Schoolbook"/>
        </w:rPr>
        <w:t xml:space="preserve">under section 15634(a) </w:t>
      </w:r>
      <w:r>
        <w:rPr>
          <w:rFonts w:ascii="Century Schoolbook" w:hAnsi="Century Schoolbook"/>
        </w:rPr>
        <w:t>does not extend to knowingly false reports.</w:t>
      </w:r>
      <w:r>
        <w:rPr>
          <w:rStyle w:val="FootnoteReference"/>
          <w:rFonts w:ascii="Century Schoolbook" w:hAnsi="Century Schoolbook"/>
        </w:rPr>
        <w:footnoteReference w:id="9"/>
      </w:r>
      <w:r>
        <w:rPr>
          <w:rFonts w:ascii="Century Schoolbook" w:hAnsi="Century Schoolbook"/>
        </w:rPr>
        <w:t xml:space="preserve"> </w:t>
      </w:r>
      <w:r>
        <w:rPr>
          <w:rFonts w:ascii="Century Schoolbook" w:hAnsi="Century Schoolbook"/>
        </w:rPr>
        <w:t>T</w:t>
      </w:r>
      <w:r>
        <w:rPr>
          <w:rFonts w:ascii="Century Schoolbook" w:hAnsi="Century Schoolbook"/>
        </w:rPr>
        <w:t xml:space="preserve">his argument is premised </w:t>
      </w:r>
      <w:r>
        <w:rPr>
          <w:rFonts w:ascii="Century Schoolbook" w:hAnsi="Century Schoolbook"/>
        </w:rPr>
        <w:t xml:space="preserve">on </w:t>
      </w:r>
      <w:r>
        <w:rPr>
          <w:rFonts w:ascii="Century Schoolbook" w:hAnsi="Century Schoolbook"/>
        </w:rPr>
        <w:t xml:space="preserve">several </w:t>
      </w:r>
      <w:r>
        <w:rPr>
          <w:rFonts w:ascii="Century Schoolbook" w:hAnsi="Century Schoolbook"/>
        </w:rPr>
        <w:t xml:space="preserve">isolated </w:t>
      </w:r>
      <w:r>
        <w:rPr>
          <w:rFonts w:ascii="Century Schoolbook" w:hAnsi="Century Schoolbook"/>
        </w:rPr>
        <w:t xml:space="preserve">bits of statutory text from the Act that, according to Valero, </w:t>
      </w:r>
      <w:r>
        <w:rPr>
          <w:rFonts w:ascii="Century Schoolbook" w:hAnsi="Century Schoolbook"/>
        </w:rPr>
        <w:t>qualify</w:t>
      </w:r>
      <w:r>
        <w:rPr>
          <w:rFonts w:ascii="Century Schoolbook" w:hAnsi="Century Schoolbook"/>
        </w:rPr>
        <w:t xml:space="preserve"> the requirement </w:t>
      </w:r>
      <w:r>
        <w:rPr>
          <w:rFonts w:ascii="Century Schoolbook" w:hAnsi="Century Schoolbook"/>
        </w:rPr>
        <w:t>of</w:t>
      </w:r>
      <w:r>
        <w:rPr>
          <w:rFonts w:ascii="Century Schoolbook" w:hAnsi="Century Schoolbook"/>
        </w:rPr>
        <w:t xml:space="preserve"> a mandatory reporter </w:t>
      </w:r>
      <w:r>
        <w:rPr>
          <w:rFonts w:ascii="Century Schoolbook" w:hAnsi="Century Schoolbook"/>
        </w:rPr>
        <w:t>to report</w:t>
      </w:r>
      <w:r>
        <w:rPr>
          <w:rFonts w:ascii="Century Schoolbook" w:hAnsi="Century Schoolbook"/>
        </w:rPr>
        <w:t xml:space="preserve"> </w:t>
      </w:r>
      <w:r>
        <w:rPr>
          <w:rFonts w:ascii="Century Schoolbook" w:hAnsi="Century Schoolbook"/>
        </w:rPr>
        <w:t xml:space="preserve">an incident of abuse </w:t>
      </w:r>
      <w:r>
        <w:rPr>
          <w:rFonts w:ascii="Century Schoolbook" w:hAnsi="Century Schoolbook"/>
        </w:rPr>
        <w:t>(apart from having been told by the victim that they have experienced</w:t>
      </w:r>
      <w:r>
        <w:rPr>
          <w:rFonts w:ascii="Century Schoolbook" w:hAnsi="Century Schoolbook"/>
        </w:rPr>
        <w:t xml:space="preserve"> physical abuse)</w:t>
      </w:r>
      <w:r>
        <w:rPr>
          <w:rFonts w:ascii="Century Schoolbook" w:hAnsi="Century Schoolbook"/>
        </w:rPr>
        <w:t xml:space="preserve"> </w:t>
      </w:r>
      <w:r>
        <w:rPr>
          <w:rFonts w:ascii="Century Schoolbook" w:hAnsi="Century Schoolbook"/>
        </w:rPr>
        <w:t xml:space="preserve">and </w:t>
      </w:r>
      <w:r>
        <w:rPr>
          <w:rFonts w:ascii="Century Schoolbook" w:hAnsi="Century Schoolbook"/>
        </w:rPr>
        <w:lastRenderedPageBreak/>
        <w:t xml:space="preserve">limit it to </w:t>
      </w:r>
      <w:r>
        <w:rPr>
          <w:rFonts w:ascii="Century Schoolbook" w:hAnsi="Century Schoolbook"/>
        </w:rPr>
        <w:t xml:space="preserve">only </w:t>
      </w:r>
      <w:r>
        <w:rPr>
          <w:rFonts w:ascii="Century Schoolbook" w:hAnsi="Century Schoolbook"/>
        </w:rPr>
        <w:t>those instances whe</w:t>
      </w:r>
      <w:r>
        <w:rPr>
          <w:rFonts w:ascii="Century Schoolbook" w:hAnsi="Century Schoolbook"/>
        </w:rPr>
        <w:t>re</w:t>
      </w:r>
      <w:r>
        <w:rPr>
          <w:rFonts w:ascii="Century Schoolbook" w:hAnsi="Century Schoolbook"/>
        </w:rPr>
        <w:t xml:space="preserve"> </w:t>
      </w:r>
      <w:r>
        <w:rPr>
          <w:rFonts w:ascii="Century Schoolbook" w:hAnsi="Century Schoolbook"/>
        </w:rPr>
        <w:t xml:space="preserve">the reporter has </w:t>
      </w:r>
      <w:r>
        <w:rPr>
          <w:rFonts w:ascii="Century Schoolbook" w:hAnsi="Century Schoolbook"/>
        </w:rPr>
        <w:t>a</w:t>
      </w:r>
      <w:r>
        <w:rPr>
          <w:rFonts w:ascii="Century Schoolbook" w:hAnsi="Century Schoolbook"/>
        </w:rPr>
        <w:t>n</w:t>
      </w:r>
      <w:r>
        <w:rPr>
          <w:rFonts w:ascii="Century Schoolbook" w:hAnsi="Century Schoolbook"/>
        </w:rPr>
        <w:t xml:space="preserve"> </w:t>
      </w:r>
      <w:r>
        <w:rPr>
          <w:rFonts w:ascii="Century Schoolbook" w:hAnsi="Century Schoolbook"/>
        </w:rPr>
        <w:t xml:space="preserve">objective </w:t>
      </w:r>
      <w:r>
        <w:rPr>
          <w:rFonts w:ascii="Century Schoolbook" w:hAnsi="Century Schoolbook"/>
        </w:rPr>
        <w:t xml:space="preserve">and reasonable </w:t>
      </w:r>
      <w:r>
        <w:rPr>
          <w:rFonts w:ascii="Century Schoolbook" w:hAnsi="Century Schoolbook"/>
        </w:rPr>
        <w:t xml:space="preserve">basis for </w:t>
      </w:r>
      <w:r>
        <w:rPr>
          <w:rFonts w:ascii="Century Schoolbook" w:hAnsi="Century Schoolbook"/>
        </w:rPr>
        <w:t xml:space="preserve">suspecting </w:t>
      </w:r>
      <w:r>
        <w:rPr>
          <w:rFonts w:ascii="Century Schoolbook" w:hAnsi="Century Schoolbook"/>
        </w:rPr>
        <w:t xml:space="preserve">the </w:t>
      </w:r>
      <w:r>
        <w:rPr>
          <w:rFonts w:ascii="Century Schoolbook" w:hAnsi="Century Schoolbook"/>
        </w:rPr>
        <w:t>abuse</w:t>
      </w:r>
      <w:r>
        <w:rPr>
          <w:rFonts w:ascii="Century Schoolbook" w:hAnsi="Century Schoolbook"/>
        </w:rPr>
        <w:t xml:space="preserve">. Valero urges that this qualification </w:t>
      </w:r>
      <w:r>
        <w:rPr>
          <w:rFonts w:ascii="Century Schoolbook" w:hAnsi="Century Schoolbook"/>
        </w:rPr>
        <w:t>coextensively cabin</w:t>
      </w:r>
      <w:r>
        <w:rPr>
          <w:rFonts w:ascii="Century Schoolbook" w:hAnsi="Century Schoolbook"/>
        </w:rPr>
        <w:t xml:space="preserve">s </w:t>
      </w:r>
      <w:r>
        <w:rPr>
          <w:rFonts w:ascii="Century Schoolbook" w:hAnsi="Century Schoolbook"/>
        </w:rPr>
        <w:t xml:space="preserve">the </w:t>
      </w:r>
      <w:r>
        <w:rPr>
          <w:rFonts w:ascii="Century Schoolbook" w:hAnsi="Century Schoolbook"/>
        </w:rPr>
        <w:t>absolute</w:t>
      </w:r>
      <w:r>
        <w:rPr>
          <w:rFonts w:ascii="Century Schoolbook" w:hAnsi="Century Schoolbook"/>
        </w:rPr>
        <w:t xml:space="preserve"> immunity </w:t>
      </w:r>
      <w:r>
        <w:rPr>
          <w:rFonts w:ascii="Century Schoolbook" w:hAnsi="Century Schoolbook"/>
        </w:rPr>
        <w:t xml:space="preserve">afforded to mandatory reporters under section 15634(a) </w:t>
      </w:r>
      <w:r>
        <w:rPr>
          <w:rFonts w:ascii="Century Schoolbook" w:hAnsi="Century Schoolbook"/>
        </w:rPr>
        <w:t xml:space="preserve">to </w:t>
      </w:r>
      <w:r>
        <w:rPr>
          <w:rFonts w:ascii="Century Schoolbook" w:hAnsi="Century Schoolbook"/>
        </w:rPr>
        <w:t xml:space="preserve">reports </w:t>
      </w:r>
      <w:r>
        <w:rPr>
          <w:rFonts w:ascii="Century Schoolbook" w:hAnsi="Century Schoolbook"/>
        </w:rPr>
        <w:t xml:space="preserve">factually </w:t>
      </w:r>
      <w:r>
        <w:rPr>
          <w:rFonts w:ascii="Century Schoolbook" w:hAnsi="Century Schoolbook"/>
        </w:rPr>
        <w:t xml:space="preserve">rooted in </w:t>
      </w:r>
      <w:r>
        <w:rPr>
          <w:rFonts w:ascii="Century Schoolbook" w:hAnsi="Century Schoolbook"/>
        </w:rPr>
        <w:t xml:space="preserve">that objective </w:t>
      </w:r>
      <w:r>
        <w:rPr>
          <w:rFonts w:ascii="Century Schoolbook" w:hAnsi="Century Schoolbook"/>
        </w:rPr>
        <w:t xml:space="preserve">and reasonable </w:t>
      </w:r>
      <w:r>
        <w:rPr>
          <w:rFonts w:ascii="Century Schoolbook" w:hAnsi="Century Schoolbook"/>
        </w:rPr>
        <w:t>basis</w:t>
      </w:r>
      <w:r>
        <w:rPr>
          <w:rFonts w:ascii="Century Schoolbook" w:hAnsi="Century Schoolbook"/>
        </w:rPr>
        <w:t xml:space="preserve">. </w:t>
      </w:r>
    </w:p>
    <w:p w14:paraId="3D16A517" w14:textId="77777777" w:rsidR="00BB2920"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First, </w:t>
      </w:r>
      <w:r>
        <w:rPr>
          <w:rFonts w:ascii="Century Schoolbook" w:hAnsi="Century Schoolbook"/>
        </w:rPr>
        <w:t xml:space="preserve">Valero points out that </w:t>
      </w:r>
      <w:r>
        <w:rPr>
          <w:rFonts w:ascii="Century Schoolbook" w:hAnsi="Century Schoolbook"/>
        </w:rPr>
        <w:t>section 15630, subdivision (b)</w:t>
      </w:r>
      <w:r>
        <w:rPr>
          <w:rFonts w:ascii="Century Schoolbook" w:hAnsi="Century Schoolbook"/>
        </w:rPr>
        <w:t>(1)</w:t>
      </w:r>
      <w:r>
        <w:rPr>
          <w:rFonts w:ascii="Century Schoolbook" w:hAnsi="Century Schoolbook"/>
        </w:rPr>
        <w:t xml:space="preserve"> requires </w:t>
      </w:r>
      <w:r>
        <w:rPr>
          <w:rFonts w:ascii="Century Schoolbook" w:hAnsi="Century Schoolbook"/>
        </w:rPr>
        <w:t xml:space="preserve">that </w:t>
      </w:r>
      <w:r>
        <w:rPr>
          <w:rFonts w:ascii="Century Schoolbook" w:hAnsi="Century Schoolbook"/>
        </w:rPr>
        <w:t xml:space="preserve">a </w:t>
      </w:r>
      <w:r>
        <w:rPr>
          <w:rFonts w:ascii="Century Schoolbook" w:hAnsi="Century Schoolbook"/>
        </w:rPr>
        <w:t>“</w:t>
      </w:r>
      <w:r>
        <w:rPr>
          <w:rFonts w:ascii="Century Schoolbook" w:hAnsi="Century Schoolbook"/>
        </w:rPr>
        <w:t>mandated reporter</w:t>
      </w:r>
      <w:r>
        <w:rPr>
          <w:rFonts w:ascii="Century Schoolbook" w:hAnsi="Century Schoolbook"/>
        </w:rPr>
        <w:t xml:space="preserve"> who </w:t>
      </w:r>
      <w:r>
        <w:rPr>
          <w:rFonts w:ascii="Century Schoolbook" w:hAnsi="Century Schoolbook"/>
        </w:rPr>
        <w:t>. . .</w:t>
      </w:r>
      <w:r>
        <w:rPr>
          <w:rFonts w:ascii="Century Schoolbook" w:hAnsi="Century Schoolbook"/>
        </w:rPr>
        <w:t xml:space="preserve"> has </w:t>
      </w:r>
      <w:r w:rsidRPr="005861C0">
        <w:rPr>
          <w:rFonts w:ascii="Century Schoolbook" w:hAnsi="Century Schoolbook"/>
          <w:i/>
          <w:iCs/>
        </w:rPr>
        <w:t>observed or has kn</w:t>
      </w:r>
      <w:r w:rsidRPr="005861C0">
        <w:rPr>
          <w:rFonts w:ascii="Century Schoolbook" w:hAnsi="Century Schoolbook"/>
          <w:i/>
          <w:iCs/>
        </w:rPr>
        <w:t>owledge</w:t>
      </w:r>
      <w:r>
        <w:rPr>
          <w:rFonts w:ascii="Century Schoolbook" w:hAnsi="Century Schoolbook"/>
        </w:rPr>
        <w:t xml:space="preserve"> of an incident that </w:t>
      </w:r>
      <w:r w:rsidRPr="0033165A">
        <w:rPr>
          <w:rFonts w:ascii="Century Schoolbook" w:hAnsi="Century Schoolbook"/>
          <w:i/>
          <w:iCs/>
        </w:rPr>
        <w:t>reasonably appears</w:t>
      </w:r>
      <w:r>
        <w:rPr>
          <w:rFonts w:ascii="Century Schoolbook" w:hAnsi="Century Schoolbook"/>
        </w:rPr>
        <w:t xml:space="preserve"> to be physical abuse</w:t>
      </w:r>
      <w:r>
        <w:rPr>
          <w:rFonts w:ascii="Century Schoolbook" w:hAnsi="Century Schoolbook"/>
        </w:rPr>
        <w:t xml:space="preserve"> </w:t>
      </w:r>
      <w:r>
        <w:rPr>
          <w:rFonts w:ascii="Century Schoolbook" w:hAnsi="Century Schoolbook"/>
        </w:rPr>
        <w:t>. . .</w:t>
      </w:r>
      <w:r>
        <w:rPr>
          <w:rFonts w:ascii="Century Schoolbook" w:hAnsi="Century Schoolbook"/>
        </w:rPr>
        <w:t xml:space="preserve"> or is told by an elder or dependent adult that they have experienced behavior </w:t>
      </w:r>
      <w:r>
        <w:rPr>
          <w:rFonts w:ascii="Century Schoolbook" w:hAnsi="Century Schoolbook"/>
        </w:rPr>
        <w:t>. . .</w:t>
      </w:r>
      <w:r>
        <w:rPr>
          <w:rFonts w:ascii="Century Schoolbook" w:hAnsi="Century Schoolbook"/>
        </w:rPr>
        <w:t xml:space="preserve"> constituting physical abuse,</w:t>
      </w:r>
      <w:r>
        <w:rPr>
          <w:rFonts w:ascii="Century Schoolbook" w:hAnsi="Century Schoolbook"/>
        </w:rPr>
        <w:t xml:space="preserve"> </w:t>
      </w:r>
      <w:r>
        <w:rPr>
          <w:rFonts w:ascii="Century Schoolbook" w:hAnsi="Century Schoolbook"/>
        </w:rPr>
        <w:t>. . .</w:t>
      </w:r>
      <w:r>
        <w:rPr>
          <w:rFonts w:ascii="Century Schoolbook" w:hAnsi="Century Schoolbook"/>
        </w:rPr>
        <w:t xml:space="preserve"> </w:t>
      </w:r>
      <w:r>
        <w:rPr>
          <w:rFonts w:ascii="Century Schoolbook" w:hAnsi="Century Schoolbook"/>
        </w:rPr>
        <w:t xml:space="preserve">or </w:t>
      </w:r>
      <w:r w:rsidRPr="0033165A">
        <w:rPr>
          <w:rFonts w:ascii="Century Schoolbook" w:hAnsi="Century Schoolbook"/>
          <w:i/>
          <w:iCs/>
        </w:rPr>
        <w:t>reasonably suspects</w:t>
      </w:r>
      <w:r>
        <w:rPr>
          <w:rFonts w:ascii="Century Schoolbook" w:hAnsi="Century Schoolbook"/>
        </w:rPr>
        <w:t xml:space="preserve"> that abuse</w:t>
      </w:r>
      <w:r>
        <w:rPr>
          <w:rFonts w:ascii="Century Schoolbook" w:hAnsi="Century Schoolbook"/>
        </w:rPr>
        <w:t>”</w:t>
      </w:r>
      <w:r>
        <w:rPr>
          <w:rFonts w:ascii="Century Schoolbook" w:hAnsi="Century Schoolbook"/>
        </w:rPr>
        <w:t xml:space="preserve"> </w:t>
      </w:r>
      <w:r>
        <w:rPr>
          <w:rFonts w:ascii="Century Schoolbook" w:hAnsi="Century Schoolbook"/>
        </w:rPr>
        <w:t xml:space="preserve">must </w:t>
      </w:r>
      <w:r>
        <w:rPr>
          <w:rFonts w:ascii="Century Schoolbook" w:hAnsi="Century Schoolbook"/>
        </w:rPr>
        <w:t xml:space="preserve">report “the </w:t>
      </w:r>
      <w:r w:rsidRPr="005861C0">
        <w:rPr>
          <w:rFonts w:ascii="Century Schoolbook" w:hAnsi="Century Schoolbook"/>
          <w:i/>
          <w:iCs/>
        </w:rPr>
        <w:t>known or su</w:t>
      </w:r>
      <w:r w:rsidRPr="005861C0">
        <w:rPr>
          <w:rFonts w:ascii="Century Schoolbook" w:hAnsi="Century Schoolbook"/>
          <w:i/>
          <w:iCs/>
        </w:rPr>
        <w:t>spected</w:t>
      </w:r>
      <w:r>
        <w:rPr>
          <w:rFonts w:ascii="Century Schoolbook" w:hAnsi="Century Schoolbook"/>
        </w:rPr>
        <w:t xml:space="preserve"> instance of abuse.”</w:t>
      </w:r>
      <w:r>
        <w:rPr>
          <w:rFonts w:ascii="Century Schoolbook" w:hAnsi="Century Schoolbook"/>
        </w:rPr>
        <w:t xml:space="preserve"> (Italics added</w:t>
      </w:r>
      <w:r>
        <w:rPr>
          <w:rFonts w:ascii="Century Schoolbook" w:hAnsi="Century Schoolbook"/>
        </w:rPr>
        <w:t>.)</w:t>
      </w:r>
      <w:r>
        <w:rPr>
          <w:rFonts w:ascii="Century Schoolbook" w:hAnsi="Century Schoolbook"/>
        </w:rPr>
        <w:t xml:space="preserve"> Thus, </w:t>
      </w:r>
      <w:r>
        <w:rPr>
          <w:rFonts w:ascii="Century Schoolbook" w:hAnsi="Century Schoolbook"/>
        </w:rPr>
        <w:t xml:space="preserve">she argues, </w:t>
      </w:r>
      <w:r>
        <w:rPr>
          <w:rFonts w:ascii="Century Schoolbook" w:hAnsi="Century Schoolbook"/>
        </w:rPr>
        <w:t xml:space="preserve">apart from being told by an elder or dependent adult that they have experienced abuse, a mandated reporter is bound </w:t>
      </w:r>
      <w:r>
        <w:rPr>
          <w:rFonts w:ascii="Century Schoolbook" w:hAnsi="Century Schoolbook"/>
        </w:rPr>
        <w:t xml:space="preserve">only </w:t>
      </w:r>
      <w:r>
        <w:rPr>
          <w:rFonts w:ascii="Century Schoolbook" w:hAnsi="Century Schoolbook"/>
        </w:rPr>
        <w:t xml:space="preserve">to report abuse </w:t>
      </w:r>
      <w:r>
        <w:rPr>
          <w:rFonts w:ascii="Century Schoolbook" w:hAnsi="Century Schoolbook"/>
        </w:rPr>
        <w:t>that</w:t>
      </w:r>
      <w:r>
        <w:rPr>
          <w:rFonts w:ascii="Century Schoolbook" w:hAnsi="Century Schoolbook"/>
        </w:rPr>
        <w:t xml:space="preserve"> they have observed or know about, or reasonably suspect. </w:t>
      </w:r>
    </w:p>
    <w:p w14:paraId="28C83A0D" w14:textId="77777777" w:rsidR="00BB2920"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Second, </w:t>
      </w:r>
      <w:r>
        <w:rPr>
          <w:rFonts w:ascii="Century Schoolbook" w:hAnsi="Century Schoolbook"/>
        </w:rPr>
        <w:t xml:space="preserve">Valero observes that </w:t>
      </w:r>
      <w:r>
        <w:rPr>
          <w:rFonts w:ascii="Century Schoolbook" w:hAnsi="Century Schoolbook"/>
        </w:rPr>
        <w:t xml:space="preserve">the </w:t>
      </w:r>
      <w:r>
        <w:rPr>
          <w:rFonts w:ascii="Century Schoolbook" w:hAnsi="Century Schoolbook"/>
        </w:rPr>
        <w:t xml:space="preserve">provision for </w:t>
      </w:r>
      <w:r>
        <w:rPr>
          <w:rFonts w:ascii="Century Schoolbook" w:hAnsi="Century Schoolbook"/>
        </w:rPr>
        <w:t>immunity</w:t>
      </w:r>
      <w:r>
        <w:rPr>
          <w:rFonts w:ascii="Century Schoolbook" w:hAnsi="Century Schoolbook"/>
        </w:rPr>
        <w:t xml:space="preserve"> from liability for mandated reporters </w:t>
      </w:r>
      <w:r>
        <w:rPr>
          <w:rFonts w:ascii="Century Schoolbook" w:hAnsi="Century Schoolbook"/>
        </w:rPr>
        <w:t>in</w:t>
      </w:r>
      <w:r>
        <w:rPr>
          <w:rFonts w:ascii="Century Schoolbook" w:hAnsi="Century Schoolbook"/>
        </w:rPr>
        <w:t xml:space="preserve"> section 15634(a) says in relevant part: “No </w:t>
      </w:r>
      <w:r>
        <w:rPr>
          <w:rFonts w:ascii="Century Schoolbook" w:hAnsi="Century Schoolbook"/>
        </w:rPr>
        <w:t>. . .</w:t>
      </w:r>
      <w:r>
        <w:rPr>
          <w:rFonts w:ascii="Century Schoolbook" w:hAnsi="Century Schoolbook"/>
        </w:rPr>
        <w:t xml:space="preserve"> mandated reporter </w:t>
      </w:r>
      <w:r>
        <w:rPr>
          <w:rFonts w:ascii="Century Schoolbook" w:hAnsi="Century Schoolbook"/>
        </w:rPr>
        <w:t>. . .</w:t>
      </w:r>
      <w:r>
        <w:rPr>
          <w:rFonts w:ascii="Century Schoolbook" w:hAnsi="Century Schoolbook"/>
        </w:rPr>
        <w:t xml:space="preserve"> who reports a </w:t>
      </w:r>
      <w:r w:rsidRPr="00004181">
        <w:rPr>
          <w:rFonts w:ascii="Century Schoolbook" w:hAnsi="Century Schoolbook"/>
          <w:i/>
          <w:iCs/>
        </w:rPr>
        <w:t>known or suspected</w:t>
      </w:r>
      <w:r>
        <w:rPr>
          <w:rFonts w:ascii="Century Schoolbook" w:hAnsi="Century Schoolbook"/>
        </w:rPr>
        <w:t xml:space="preserve"> instance of abuse of an elder or dependent adult shall be civilly or criminally liable </w:t>
      </w:r>
      <w:r w:rsidRPr="00004181">
        <w:rPr>
          <w:rFonts w:ascii="Century Schoolbook" w:hAnsi="Century Schoolbook"/>
          <w:i/>
          <w:iCs/>
        </w:rPr>
        <w:t>for any report requi</w:t>
      </w:r>
      <w:r w:rsidRPr="00004181">
        <w:rPr>
          <w:rFonts w:ascii="Century Schoolbook" w:hAnsi="Century Schoolbook"/>
          <w:i/>
          <w:iCs/>
        </w:rPr>
        <w:t>red or authorized by this article</w:t>
      </w:r>
      <w:r>
        <w:rPr>
          <w:rFonts w:ascii="Century Schoolbook" w:hAnsi="Century Schoolbook"/>
        </w:rPr>
        <w:t xml:space="preserve">.” </w:t>
      </w:r>
      <w:r>
        <w:rPr>
          <w:rFonts w:ascii="Century Schoolbook" w:hAnsi="Century Schoolbook"/>
        </w:rPr>
        <w:t xml:space="preserve">(Italics added.) </w:t>
      </w:r>
      <w:r>
        <w:rPr>
          <w:rFonts w:ascii="Century Schoolbook" w:hAnsi="Century Schoolbook"/>
        </w:rPr>
        <w:t>This immunity</w:t>
      </w:r>
      <w:r>
        <w:rPr>
          <w:rFonts w:ascii="Century Schoolbook" w:hAnsi="Century Schoolbook"/>
        </w:rPr>
        <w:t>, she contends,</w:t>
      </w:r>
      <w:r>
        <w:rPr>
          <w:rFonts w:ascii="Century Schoolbook" w:hAnsi="Century Schoolbook"/>
        </w:rPr>
        <w:t xml:space="preserve"> is coextensive with the requirement to report, which</w:t>
      </w:r>
      <w:r>
        <w:rPr>
          <w:rFonts w:ascii="Century Schoolbook" w:hAnsi="Century Schoolbook"/>
        </w:rPr>
        <w:t xml:space="preserve">, </w:t>
      </w:r>
      <w:r>
        <w:rPr>
          <w:rFonts w:ascii="Century Schoolbook" w:hAnsi="Century Schoolbook"/>
        </w:rPr>
        <w:t>per her argument</w:t>
      </w:r>
      <w:r>
        <w:rPr>
          <w:rFonts w:ascii="Century Schoolbook" w:hAnsi="Century Schoolbook"/>
        </w:rPr>
        <w:t xml:space="preserve">, </w:t>
      </w:r>
      <w:r>
        <w:rPr>
          <w:rFonts w:ascii="Century Schoolbook" w:hAnsi="Century Schoolbook"/>
        </w:rPr>
        <w:t xml:space="preserve">is limited to </w:t>
      </w:r>
      <w:r>
        <w:rPr>
          <w:rFonts w:ascii="Century Schoolbook" w:hAnsi="Century Schoolbook"/>
        </w:rPr>
        <w:t xml:space="preserve">instances of </w:t>
      </w:r>
      <w:r w:rsidRPr="007D79AB">
        <w:rPr>
          <w:rFonts w:ascii="Century Schoolbook" w:hAnsi="Century Schoolbook"/>
          <w:i/>
          <w:iCs/>
        </w:rPr>
        <w:t>known or suspected</w:t>
      </w:r>
      <w:r>
        <w:rPr>
          <w:rFonts w:ascii="Century Schoolbook" w:hAnsi="Century Schoolbook"/>
        </w:rPr>
        <w:t xml:space="preserve"> abuse</w:t>
      </w:r>
      <w:r>
        <w:rPr>
          <w:rFonts w:ascii="Century Schoolbook" w:hAnsi="Century Schoolbook"/>
        </w:rPr>
        <w:t>,</w:t>
      </w:r>
      <w:r>
        <w:rPr>
          <w:rFonts w:ascii="Century Schoolbook" w:hAnsi="Century Schoolbook"/>
        </w:rPr>
        <w:t xml:space="preserve"> or abuse told to the mandatory reporter by the el</w:t>
      </w:r>
      <w:r>
        <w:rPr>
          <w:rFonts w:ascii="Century Schoolbook" w:hAnsi="Century Schoolbook"/>
        </w:rPr>
        <w:t>der or dependent adult. This</w:t>
      </w:r>
      <w:r>
        <w:rPr>
          <w:rFonts w:ascii="Century Schoolbook" w:hAnsi="Century Schoolbook"/>
        </w:rPr>
        <w:t xml:space="preserve"> conclusion</w:t>
      </w:r>
      <w:r>
        <w:rPr>
          <w:rFonts w:ascii="Century Schoolbook" w:hAnsi="Century Schoolbook"/>
        </w:rPr>
        <w:t xml:space="preserve">, according to Valero, </w:t>
      </w:r>
      <w:r>
        <w:rPr>
          <w:rFonts w:ascii="Century Schoolbook" w:hAnsi="Century Schoolbook"/>
        </w:rPr>
        <w:t xml:space="preserve">is </w:t>
      </w:r>
      <w:r>
        <w:rPr>
          <w:rFonts w:ascii="Century Schoolbook" w:hAnsi="Century Schoolbook"/>
        </w:rPr>
        <w:t xml:space="preserve">mandated by </w:t>
      </w:r>
      <w:r>
        <w:rPr>
          <w:rFonts w:ascii="Century Schoolbook" w:hAnsi="Century Schoolbook"/>
        </w:rPr>
        <w:t>the pure statutory text</w:t>
      </w:r>
      <w:r>
        <w:rPr>
          <w:rFonts w:ascii="Century Schoolbook" w:hAnsi="Century Schoolbook"/>
        </w:rPr>
        <w:t xml:space="preserve"> </w:t>
      </w:r>
      <w:r>
        <w:rPr>
          <w:rFonts w:ascii="Century Schoolbook" w:hAnsi="Century Schoolbook"/>
        </w:rPr>
        <w:t xml:space="preserve">quoted above </w:t>
      </w:r>
      <w:r>
        <w:rPr>
          <w:rFonts w:ascii="Century Schoolbook" w:hAnsi="Century Schoolbook"/>
        </w:rPr>
        <w:t>and</w:t>
      </w:r>
      <w:r>
        <w:rPr>
          <w:rFonts w:ascii="Century Schoolbook" w:hAnsi="Century Schoolbook"/>
        </w:rPr>
        <w:t xml:space="preserve"> exclude</w:t>
      </w:r>
      <w:r>
        <w:rPr>
          <w:rFonts w:ascii="Century Schoolbook" w:hAnsi="Century Schoolbook"/>
        </w:rPr>
        <w:t>s</w:t>
      </w:r>
      <w:r>
        <w:rPr>
          <w:rFonts w:ascii="Century Schoolbook" w:hAnsi="Century Schoolbook"/>
        </w:rPr>
        <w:t xml:space="preserve"> from immunity any reports of abuse that are fabricated and knowingly false, as such reports cannot be grounded in actual observation, knowledge, or reasonable suspicion and are therefore not required </w:t>
      </w:r>
      <w:r>
        <w:rPr>
          <w:rFonts w:ascii="Century Schoolbook" w:hAnsi="Century Schoolbook"/>
        </w:rPr>
        <w:t xml:space="preserve">to be made </w:t>
      </w:r>
      <w:r>
        <w:rPr>
          <w:rFonts w:ascii="Century Schoolbook" w:hAnsi="Century Schoolbook"/>
        </w:rPr>
        <w:t xml:space="preserve">under the Act. </w:t>
      </w:r>
    </w:p>
    <w:p w14:paraId="2467BE45" w14:textId="77777777" w:rsidR="00A53C33" w:rsidRDefault="00F5385E" w:rsidP="00142B0E">
      <w:pPr>
        <w:rPr>
          <w:rFonts w:ascii="Century Schoolbook" w:hAnsi="Century Schoolbook"/>
        </w:rPr>
      </w:pPr>
      <w:r>
        <w:rPr>
          <w:rFonts w:ascii="Century Schoolbook" w:hAnsi="Century Schoolbook"/>
        </w:rPr>
        <w:lastRenderedPageBreak/>
        <w:tab/>
      </w:r>
      <w:r>
        <w:rPr>
          <w:rFonts w:ascii="Century Schoolbook" w:hAnsi="Century Schoolbook"/>
        </w:rPr>
        <w:t>Valero further cites the Ac</w:t>
      </w:r>
      <w:r>
        <w:rPr>
          <w:rFonts w:ascii="Century Schoolbook" w:hAnsi="Century Schoolbook"/>
        </w:rPr>
        <w:t xml:space="preserve">t’s </w:t>
      </w:r>
      <w:r>
        <w:rPr>
          <w:rFonts w:ascii="Century Schoolbook" w:hAnsi="Century Schoolbook"/>
        </w:rPr>
        <w:t xml:space="preserve">express </w:t>
      </w:r>
      <w:r>
        <w:rPr>
          <w:rFonts w:ascii="Century Schoolbook" w:hAnsi="Century Schoolbook"/>
        </w:rPr>
        <w:t xml:space="preserve">purposes listed at section 15601, which include the provision of “protection under the law for all those persons who report suspected cases of abuse, </w:t>
      </w:r>
      <w:r w:rsidRPr="00142EE6">
        <w:rPr>
          <w:rFonts w:ascii="Century Schoolbook" w:hAnsi="Century Schoolbook"/>
          <w:i/>
          <w:iCs/>
        </w:rPr>
        <w:t>provided that the report is not made with malicious intent</w:t>
      </w:r>
      <w:r>
        <w:rPr>
          <w:rFonts w:ascii="Century Schoolbook" w:hAnsi="Century Schoolbook"/>
        </w:rPr>
        <w:t>.” (§ 15601, subd. (c), italics adde</w:t>
      </w:r>
      <w:r>
        <w:rPr>
          <w:rFonts w:ascii="Century Schoolbook" w:hAnsi="Century Schoolbook"/>
        </w:rPr>
        <w:t xml:space="preserve">d.) As Valero has alleged Dellard’s intent in making a </w:t>
      </w:r>
      <w:r>
        <w:rPr>
          <w:rFonts w:ascii="Century Schoolbook" w:hAnsi="Century Schoolbook"/>
        </w:rPr>
        <w:t xml:space="preserve">knowingly </w:t>
      </w:r>
      <w:r>
        <w:rPr>
          <w:rFonts w:ascii="Century Schoolbook" w:hAnsi="Century Schoolbook"/>
        </w:rPr>
        <w:t>fals</w:t>
      </w:r>
      <w:r>
        <w:rPr>
          <w:rFonts w:ascii="Century Schoolbook" w:hAnsi="Century Schoolbook"/>
        </w:rPr>
        <w:t>ified</w:t>
      </w:r>
      <w:r>
        <w:rPr>
          <w:rFonts w:ascii="Century Schoolbook" w:hAnsi="Century Schoolbook"/>
        </w:rPr>
        <w:t xml:space="preserve"> report of abuse to be malicious, </w:t>
      </w:r>
      <w:r>
        <w:rPr>
          <w:rFonts w:ascii="Century Schoolbook" w:hAnsi="Century Schoolbook"/>
        </w:rPr>
        <w:t xml:space="preserve">she argues that </w:t>
      </w:r>
      <w:r>
        <w:rPr>
          <w:rFonts w:ascii="Century Schoolbook" w:hAnsi="Century Schoolbook"/>
        </w:rPr>
        <w:t>th</w:t>
      </w:r>
      <w:r>
        <w:rPr>
          <w:rFonts w:ascii="Century Schoolbook" w:hAnsi="Century Schoolbook"/>
        </w:rPr>
        <w:t>ese</w:t>
      </w:r>
      <w:r>
        <w:rPr>
          <w:rFonts w:ascii="Century Schoolbook" w:hAnsi="Century Schoolbook"/>
        </w:rPr>
        <w:t xml:space="preserve"> </w:t>
      </w:r>
      <w:r>
        <w:rPr>
          <w:rFonts w:ascii="Century Schoolbook" w:hAnsi="Century Schoolbook"/>
        </w:rPr>
        <w:t xml:space="preserve">allegations </w:t>
      </w:r>
      <w:r>
        <w:rPr>
          <w:rFonts w:ascii="Century Schoolbook" w:hAnsi="Century Schoolbook"/>
        </w:rPr>
        <w:t>and the plain meaning of section</w:t>
      </w:r>
      <w:r>
        <w:rPr>
          <w:rFonts w:ascii="Century Schoolbook" w:hAnsi="Century Schoolbook"/>
        </w:rPr>
        <w:t>s</w:t>
      </w:r>
      <w:r>
        <w:rPr>
          <w:rFonts w:ascii="Century Schoolbook" w:hAnsi="Century Schoolbook"/>
        </w:rPr>
        <w:t xml:space="preserve"> </w:t>
      </w:r>
      <w:r>
        <w:rPr>
          <w:rFonts w:ascii="Century Schoolbook" w:hAnsi="Century Schoolbook"/>
        </w:rPr>
        <w:t xml:space="preserve">15630, subdivision </w:t>
      </w:r>
      <w:r w:rsidRPr="008044BC">
        <w:rPr>
          <w:rFonts w:ascii="Century Schoolbook" w:hAnsi="Century Schoolbook"/>
        </w:rPr>
        <w:t>(b)(1)</w:t>
      </w:r>
      <w:r>
        <w:rPr>
          <w:rFonts w:ascii="Century Schoolbook" w:hAnsi="Century Schoolbook"/>
        </w:rPr>
        <w:t xml:space="preserve"> and </w:t>
      </w:r>
      <w:r>
        <w:rPr>
          <w:rFonts w:ascii="Century Schoolbook" w:hAnsi="Century Schoolbook"/>
        </w:rPr>
        <w:t xml:space="preserve">15634(a) </w:t>
      </w:r>
      <w:r>
        <w:rPr>
          <w:rFonts w:ascii="Century Schoolbook" w:hAnsi="Century Schoolbook"/>
        </w:rPr>
        <w:t>quoted above</w:t>
      </w:r>
      <w:r>
        <w:rPr>
          <w:rFonts w:ascii="Century Schoolbook" w:hAnsi="Century Schoolbook"/>
        </w:rPr>
        <w:t>, taken together,</w:t>
      </w:r>
      <w:r>
        <w:rPr>
          <w:rFonts w:ascii="Century Schoolbook" w:hAnsi="Century Schoolbook"/>
        </w:rPr>
        <w:t xml:space="preserve"> </w:t>
      </w:r>
      <w:r>
        <w:rPr>
          <w:rFonts w:ascii="Century Schoolbook" w:hAnsi="Century Schoolbook"/>
        </w:rPr>
        <w:t>remove</w:t>
      </w:r>
      <w:r>
        <w:rPr>
          <w:rFonts w:ascii="Century Schoolbook" w:hAnsi="Century Schoolbook"/>
        </w:rPr>
        <w:t xml:space="preserve"> </w:t>
      </w:r>
      <w:r>
        <w:rPr>
          <w:rFonts w:ascii="Century Schoolbook" w:hAnsi="Century Schoolbook"/>
        </w:rPr>
        <w:t>Dell</w:t>
      </w:r>
      <w:r>
        <w:rPr>
          <w:rFonts w:ascii="Century Schoolbook" w:hAnsi="Century Schoolbook"/>
        </w:rPr>
        <w:t>ard’s</w:t>
      </w:r>
      <w:r>
        <w:rPr>
          <w:rFonts w:ascii="Century Schoolbook" w:hAnsi="Century Schoolbook"/>
        </w:rPr>
        <w:t xml:space="preserve"> report </w:t>
      </w:r>
      <w:r>
        <w:rPr>
          <w:rFonts w:ascii="Century Schoolbook" w:hAnsi="Century Schoolbook"/>
        </w:rPr>
        <w:t xml:space="preserve">(and later conduct) </w:t>
      </w:r>
      <w:r>
        <w:rPr>
          <w:rFonts w:ascii="Century Schoolbook" w:hAnsi="Century Schoolbook"/>
        </w:rPr>
        <w:t>from</w:t>
      </w:r>
      <w:r>
        <w:rPr>
          <w:rFonts w:ascii="Century Schoolbook" w:hAnsi="Century Schoolbook"/>
        </w:rPr>
        <w:t xml:space="preserve"> the Act’s immunity protection.</w:t>
      </w:r>
      <w:r>
        <w:rPr>
          <w:rFonts w:ascii="Century Schoolbook" w:hAnsi="Century Schoolbook"/>
        </w:rPr>
        <w:t xml:space="preserve"> </w:t>
      </w:r>
    </w:p>
    <w:p w14:paraId="3AFB23B9" w14:textId="77777777" w:rsidR="00031D3A" w:rsidRDefault="00F5385E" w:rsidP="00142B0E">
      <w:pPr>
        <w:rPr>
          <w:rFonts w:ascii="Century Schoolbook" w:hAnsi="Century Schoolbook"/>
        </w:rPr>
      </w:pPr>
      <w:r>
        <w:rPr>
          <w:rFonts w:ascii="Century Schoolbook" w:hAnsi="Century Schoolbook"/>
        </w:rPr>
        <w:tab/>
        <w:t xml:space="preserve">In essence, </w:t>
      </w:r>
      <w:r>
        <w:rPr>
          <w:rFonts w:ascii="Century Schoolbook" w:hAnsi="Century Schoolbook"/>
        </w:rPr>
        <w:t xml:space="preserve">based </w:t>
      </w:r>
      <w:r>
        <w:rPr>
          <w:rFonts w:ascii="Century Schoolbook" w:hAnsi="Century Schoolbook"/>
        </w:rPr>
        <w:t>on</w:t>
      </w:r>
      <w:r>
        <w:rPr>
          <w:rFonts w:ascii="Century Schoolbook" w:hAnsi="Century Schoolbook"/>
        </w:rPr>
        <w:t xml:space="preserve"> these </w:t>
      </w:r>
      <w:r>
        <w:rPr>
          <w:rFonts w:ascii="Century Schoolbook" w:hAnsi="Century Schoolbook"/>
        </w:rPr>
        <w:t>pieces</w:t>
      </w:r>
      <w:r>
        <w:rPr>
          <w:rFonts w:ascii="Century Schoolbook" w:hAnsi="Century Schoolbook"/>
        </w:rPr>
        <w:t xml:space="preserve"> of text</w:t>
      </w:r>
      <w:r>
        <w:rPr>
          <w:rFonts w:ascii="Century Schoolbook" w:hAnsi="Century Schoolbook"/>
        </w:rPr>
        <w:t xml:space="preserve"> from the Act</w:t>
      </w:r>
      <w:r>
        <w:rPr>
          <w:rFonts w:ascii="Century Schoolbook" w:hAnsi="Century Schoolbook"/>
        </w:rPr>
        <w:t xml:space="preserve">, Valero urges us to read the </w:t>
      </w:r>
      <w:r w:rsidRPr="000A781F">
        <w:rPr>
          <w:rFonts w:ascii="Century Schoolbook" w:hAnsi="Century Schoolbook"/>
          <w:i/>
          <w:iCs/>
        </w:rPr>
        <w:t>qualified</w:t>
      </w:r>
      <w:r>
        <w:rPr>
          <w:rFonts w:ascii="Century Schoolbook" w:hAnsi="Century Schoolbook"/>
        </w:rPr>
        <w:t xml:space="preserve"> immunity in section 15634</w:t>
      </w:r>
      <w:r>
        <w:rPr>
          <w:rFonts w:ascii="Century Schoolbook" w:hAnsi="Century Schoolbook"/>
        </w:rPr>
        <w:t>(a)</w:t>
      </w:r>
      <w:r>
        <w:rPr>
          <w:rFonts w:ascii="Century Schoolbook" w:hAnsi="Century Schoolbook"/>
        </w:rPr>
        <w:t xml:space="preserve"> </w:t>
      </w:r>
      <w:r>
        <w:rPr>
          <w:rFonts w:ascii="Century Schoolbook" w:hAnsi="Century Schoolbook"/>
        </w:rPr>
        <w:t xml:space="preserve">that is </w:t>
      </w:r>
      <w:r>
        <w:rPr>
          <w:rFonts w:ascii="Century Schoolbook" w:hAnsi="Century Schoolbook"/>
        </w:rPr>
        <w:t xml:space="preserve">extended to </w:t>
      </w:r>
      <w:r w:rsidRPr="000A781F">
        <w:rPr>
          <w:rFonts w:ascii="Century Schoolbook" w:hAnsi="Century Schoolbook"/>
          <w:i/>
          <w:iCs/>
        </w:rPr>
        <w:t>nonmandated</w:t>
      </w:r>
      <w:r>
        <w:rPr>
          <w:rFonts w:ascii="Century Schoolbook" w:hAnsi="Century Schoolbook"/>
        </w:rPr>
        <w:t xml:space="preserve"> reporters, which </w:t>
      </w:r>
      <w:r>
        <w:rPr>
          <w:rFonts w:ascii="Century Schoolbook" w:hAnsi="Century Schoolbook"/>
        </w:rPr>
        <w:t xml:space="preserve">is expressly </w:t>
      </w:r>
      <w:r>
        <w:rPr>
          <w:rFonts w:ascii="Century Schoolbook" w:hAnsi="Century Schoolbook"/>
        </w:rPr>
        <w:t xml:space="preserve">and distinctly </w:t>
      </w:r>
      <w:r>
        <w:rPr>
          <w:rFonts w:ascii="Century Schoolbook" w:hAnsi="Century Schoolbook"/>
        </w:rPr>
        <w:t xml:space="preserve">limited to “any report authorized by this article, </w:t>
      </w:r>
      <w:r w:rsidRPr="000A781F">
        <w:rPr>
          <w:rFonts w:ascii="Century Schoolbook" w:hAnsi="Century Schoolbook"/>
          <w:i/>
          <w:iCs/>
        </w:rPr>
        <w:t>unless it can be proven that a false report was made and the person knew that the report was false</w:t>
      </w:r>
      <w:r>
        <w:rPr>
          <w:rFonts w:ascii="Century Schoolbook" w:hAnsi="Century Schoolbook"/>
        </w:rPr>
        <w:t xml:space="preserve">” </w:t>
      </w:r>
      <w:r>
        <w:rPr>
          <w:rFonts w:ascii="Century Schoolbook" w:hAnsi="Century Schoolbook"/>
        </w:rPr>
        <w:t xml:space="preserve">(italics added), </w:t>
      </w:r>
      <w:r>
        <w:rPr>
          <w:rFonts w:ascii="Century Schoolbook" w:hAnsi="Century Schoolbook"/>
        </w:rPr>
        <w:t xml:space="preserve">to </w:t>
      </w:r>
      <w:r>
        <w:rPr>
          <w:rFonts w:ascii="Century Schoolbook" w:hAnsi="Century Schoolbook"/>
        </w:rPr>
        <w:t xml:space="preserve">be </w:t>
      </w:r>
      <w:r>
        <w:rPr>
          <w:rFonts w:ascii="Century Schoolbook" w:hAnsi="Century Schoolbook"/>
        </w:rPr>
        <w:t xml:space="preserve">indistinguishable from </w:t>
      </w:r>
      <w:r>
        <w:rPr>
          <w:rFonts w:ascii="Century Schoolbook" w:hAnsi="Century Schoolbook"/>
        </w:rPr>
        <w:t xml:space="preserve">the absolute </w:t>
      </w:r>
      <w:r>
        <w:rPr>
          <w:rFonts w:ascii="Century Schoolbook" w:hAnsi="Century Schoolbook"/>
        </w:rPr>
        <w:t xml:space="preserve">immunity there afforded to mandated reporters, </w:t>
      </w:r>
      <w:r>
        <w:rPr>
          <w:rFonts w:ascii="Century Schoolbook" w:hAnsi="Century Schoolbook"/>
        </w:rPr>
        <w:t xml:space="preserve">with </w:t>
      </w:r>
      <w:r>
        <w:rPr>
          <w:rFonts w:ascii="Century Schoolbook" w:hAnsi="Century Schoolbook"/>
        </w:rPr>
        <w:t>the protection</w:t>
      </w:r>
      <w:r>
        <w:rPr>
          <w:rFonts w:ascii="Century Schoolbook" w:hAnsi="Century Schoolbook"/>
        </w:rPr>
        <w:t xml:space="preserve"> </w:t>
      </w:r>
      <w:r>
        <w:rPr>
          <w:rFonts w:ascii="Century Schoolbook" w:hAnsi="Century Schoolbook"/>
        </w:rPr>
        <w:t>extend</w:t>
      </w:r>
      <w:r>
        <w:rPr>
          <w:rFonts w:ascii="Century Schoolbook" w:hAnsi="Century Schoolbook"/>
        </w:rPr>
        <w:t xml:space="preserve">ed to them </w:t>
      </w:r>
      <w:r>
        <w:rPr>
          <w:rFonts w:ascii="Century Schoolbook" w:hAnsi="Century Schoolbook"/>
        </w:rPr>
        <w:t>likewise</w:t>
      </w:r>
      <w:r>
        <w:rPr>
          <w:rFonts w:ascii="Century Schoolbook" w:hAnsi="Century Schoolbook"/>
        </w:rPr>
        <w:t xml:space="preserve"> </w:t>
      </w:r>
      <w:r>
        <w:rPr>
          <w:rFonts w:ascii="Century Schoolbook" w:hAnsi="Century Schoolbook"/>
        </w:rPr>
        <w:t>containing</w:t>
      </w:r>
      <w:r>
        <w:rPr>
          <w:rFonts w:ascii="Century Schoolbook" w:hAnsi="Century Schoolbook"/>
        </w:rPr>
        <w:t xml:space="preserve"> th</w:t>
      </w:r>
      <w:r>
        <w:rPr>
          <w:rFonts w:ascii="Century Schoolbook" w:hAnsi="Century Schoolbook"/>
        </w:rPr>
        <w:t>is</w:t>
      </w:r>
      <w:r>
        <w:rPr>
          <w:rFonts w:ascii="Century Schoolbook" w:hAnsi="Century Schoolbook"/>
        </w:rPr>
        <w:t xml:space="preserve"> same limitation</w:t>
      </w:r>
      <w:r>
        <w:rPr>
          <w:rFonts w:ascii="Century Schoolbook" w:hAnsi="Century Schoolbook"/>
        </w:rPr>
        <w:t xml:space="preserve"> excluding knowingly false reports</w:t>
      </w:r>
      <w:r>
        <w:rPr>
          <w:rFonts w:ascii="Century Schoolbook" w:hAnsi="Century Schoolbook"/>
        </w:rPr>
        <w:t>.</w:t>
      </w:r>
      <w:r>
        <w:rPr>
          <w:rFonts w:ascii="Century Schoolbook" w:hAnsi="Century Schoolbook"/>
        </w:rPr>
        <w:t xml:space="preserve"> </w:t>
      </w:r>
      <w:r>
        <w:rPr>
          <w:rFonts w:ascii="Century Schoolbook" w:hAnsi="Century Schoolbook"/>
        </w:rPr>
        <w:t>While we understand the argument,</w:t>
      </w:r>
      <w:r>
        <w:rPr>
          <w:rFonts w:ascii="Century Schoolbook" w:hAnsi="Century Schoolbook"/>
        </w:rPr>
        <w:t xml:space="preserve"> this reading </w:t>
      </w:r>
      <w:r>
        <w:rPr>
          <w:rFonts w:ascii="Century Schoolbook" w:hAnsi="Century Schoolbook"/>
        </w:rPr>
        <w:t xml:space="preserve">ignores the </w:t>
      </w:r>
      <w:r>
        <w:rPr>
          <w:rFonts w:ascii="Century Schoolbook" w:hAnsi="Century Schoolbook"/>
        </w:rPr>
        <w:t xml:space="preserve">marked </w:t>
      </w:r>
      <w:r>
        <w:rPr>
          <w:rFonts w:ascii="Century Schoolbook" w:hAnsi="Century Schoolbook"/>
        </w:rPr>
        <w:t xml:space="preserve">difference </w:t>
      </w:r>
      <w:r>
        <w:rPr>
          <w:rFonts w:ascii="Century Schoolbook" w:hAnsi="Century Schoolbook"/>
        </w:rPr>
        <w:t xml:space="preserve">in text </w:t>
      </w:r>
      <w:r>
        <w:rPr>
          <w:rFonts w:ascii="Century Schoolbook" w:hAnsi="Century Schoolbook"/>
        </w:rPr>
        <w:t>between the</w:t>
      </w:r>
      <w:r>
        <w:rPr>
          <w:rFonts w:ascii="Century Schoolbook" w:hAnsi="Century Schoolbook"/>
        </w:rPr>
        <w:t xml:space="preserve"> two</w:t>
      </w:r>
      <w:r>
        <w:rPr>
          <w:rFonts w:ascii="Century Schoolbook" w:hAnsi="Century Schoolbook"/>
        </w:rPr>
        <w:t xml:space="preserve"> types of immunity</w:t>
      </w:r>
      <w:r>
        <w:rPr>
          <w:rFonts w:ascii="Century Schoolbook" w:hAnsi="Century Schoolbook"/>
        </w:rPr>
        <w:t>. It also ignores</w:t>
      </w:r>
      <w:r>
        <w:rPr>
          <w:rFonts w:ascii="Century Schoolbook" w:hAnsi="Century Schoolbook"/>
        </w:rPr>
        <w:t xml:space="preserve"> the primary legislative purposes of the Act as a whole to increase the reporting of </w:t>
      </w:r>
      <w:r>
        <w:rPr>
          <w:rFonts w:ascii="Century Schoolbook" w:hAnsi="Century Schoolbook"/>
        </w:rPr>
        <w:t xml:space="preserve">elder and dependent adult </w:t>
      </w:r>
      <w:r>
        <w:rPr>
          <w:rFonts w:ascii="Century Schoolbook" w:hAnsi="Century Schoolbook"/>
        </w:rPr>
        <w:t>abuse and to remove the chilling disincentives</w:t>
      </w:r>
      <w:r>
        <w:rPr>
          <w:rFonts w:ascii="Century Schoolbook" w:hAnsi="Century Schoolbook"/>
        </w:rPr>
        <w:t>, such as fear of suit,</w:t>
      </w:r>
      <w:r>
        <w:rPr>
          <w:rFonts w:ascii="Century Schoolbook" w:hAnsi="Century Schoolbook"/>
        </w:rPr>
        <w:t xml:space="preserve"> to </w:t>
      </w:r>
      <w:r>
        <w:rPr>
          <w:rFonts w:ascii="Century Schoolbook" w:hAnsi="Century Schoolbook"/>
        </w:rPr>
        <w:t xml:space="preserve">that </w:t>
      </w:r>
      <w:r>
        <w:rPr>
          <w:rFonts w:ascii="Century Schoolbook" w:hAnsi="Century Schoolbook"/>
        </w:rPr>
        <w:t>reporting</w:t>
      </w:r>
      <w:r>
        <w:rPr>
          <w:rFonts w:ascii="Century Schoolbook" w:hAnsi="Century Schoolbook"/>
        </w:rPr>
        <w:t xml:space="preserve">, </w:t>
      </w:r>
      <w:r>
        <w:rPr>
          <w:rFonts w:ascii="Century Schoolbook" w:hAnsi="Century Schoolbook"/>
        </w:rPr>
        <w:t>especially for mandated reporters who are uniquely in positions in the course of their work or employment to become privy to instances of abuse.</w:t>
      </w:r>
      <w:r>
        <w:rPr>
          <w:rFonts w:ascii="Century Schoolbook" w:hAnsi="Century Schoolbook"/>
        </w:rPr>
        <w:t xml:space="preserve"> And i</w:t>
      </w:r>
      <w:r>
        <w:rPr>
          <w:rFonts w:ascii="Century Schoolbook" w:hAnsi="Century Schoolbook"/>
        </w:rPr>
        <w:t>t ignores that as a practical matter, true immunity from suit would be utterly illusory if all a plaintiff</w:t>
      </w:r>
      <w:r>
        <w:rPr>
          <w:rFonts w:ascii="Century Schoolbook" w:hAnsi="Century Schoolbook"/>
        </w:rPr>
        <w:t xml:space="preserve"> had to allege in any case against a mandated reporter is that the report of abuse was not just false</w:t>
      </w:r>
      <w:r>
        <w:rPr>
          <w:rFonts w:ascii="Century Schoolbook" w:hAnsi="Century Schoolbook"/>
        </w:rPr>
        <w:t>,</w:t>
      </w:r>
      <w:r>
        <w:rPr>
          <w:rFonts w:ascii="Century Schoolbook" w:hAnsi="Century Schoolbook"/>
        </w:rPr>
        <w:t xml:space="preserve"> but knowingly false. This would </w:t>
      </w:r>
      <w:r>
        <w:rPr>
          <w:rFonts w:ascii="Century Schoolbook" w:hAnsi="Century Schoolbook"/>
        </w:rPr>
        <w:t xml:space="preserve">thwart the clear twin legislative goals of the Act to increase the reporting of incidents of </w:t>
      </w:r>
      <w:r>
        <w:rPr>
          <w:rFonts w:ascii="Century Schoolbook" w:hAnsi="Century Schoolbook"/>
        </w:rPr>
        <w:lastRenderedPageBreak/>
        <w:t>elder and dependent-care abu</w:t>
      </w:r>
      <w:r>
        <w:rPr>
          <w:rFonts w:ascii="Century Schoolbook" w:hAnsi="Century Schoolbook"/>
        </w:rPr>
        <w:t xml:space="preserve">se and to reduce the forces that chill such reporting, such as the fear of suit, meritorious or not.  </w:t>
      </w:r>
      <w:r>
        <w:rPr>
          <w:rFonts w:ascii="Century Schoolbook" w:hAnsi="Century Schoolbook"/>
        </w:rPr>
        <w:t xml:space="preserve">   </w:t>
      </w:r>
      <w:r>
        <w:rPr>
          <w:rFonts w:ascii="Century Schoolbook" w:hAnsi="Century Schoolbook"/>
        </w:rPr>
        <w:t xml:space="preserve">                   </w:t>
      </w:r>
    </w:p>
    <w:p w14:paraId="4F96550F" w14:textId="77777777" w:rsidR="00A901E5" w:rsidRDefault="00F5385E" w:rsidP="00142B0E">
      <w:pPr>
        <w:rPr>
          <w:rFonts w:ascii="Century Schoolbook" w:hAnsi="Century Schoolbook"/>
        </w:rPr>
      </w:pPr>
      <w:r>
        <w:rPr>
          <w:rFonts w:ascii="Century Schoolbook" w:hAnsi="Century Schoolbook"/>
        </w:rPr>
        <w:tab/>
        <w:t xml:space="preserve">“When interpreting a statute, ‘our core task </w:t>
      </w:r>
      <w:r>
        <w:rPr>
          <w:rFonts w:ascii="Century Schoolbook" w:hAnsi="Century Schoolbook"/>
        </w:rPr>
        <w:t>. . .</w:t>
      </w:r>
      <w:r>
        <w:rPr>
          <w:rFonts w:ascii="Century Schoolbook" w:hAnsi="Century Schoolbook"/>
        </w:rPr>
        <w:t xml:space="preserve"> is to determine and give effect to the Legislature’s underlying purpose in enac</w:t>
      </w:r>
      <w:r>
        <w:rPr>
          <w:rFonts w:ascii="Century Schoolbook" w:hAnsi="Century Schoolbook"/>
        </w:rPr>
        <w:t>ting the statutes at issue.</w:t>
      </w:r>
      <w:r>
        <w:rPr>
          <w:rFonts w:ascii="Century Schoolbook" w:hAnsi="Century Schoolbook"/>
        </w:rPr>
        <w:t>’ (</w:t>
      </w:r>
      <w:r w:rsidRPr="000B7B8D">
        <w:rPr>
          <w:rFonts w:ascii="Century Schoolbook" w:hAnsi="Century Schoolbook"/>
          <w:i/>
          <w:iCs/>
        </w:rPr>
        <w:t>McHugh v. Protective Life Ins. Co.</w:t>
      </w:r>
      <w:r>
        <w:rPr>
          <w:rFonts w:ascii="Century Schoolbook" w:hAnsi="Century Schoolbook"/>
        </w:rPr>
        <w:t xml:space="preserve"> (2021) 12 Cal.5th 213, 227 (</w:t>
      </w:r>
      <w:r w:rsidRPr="000B7B8D">
        <w:rPr>
          <w:rFonts w:ascii="Century Schoolbook" w:hAnsi="Century Schoolbook"/>
          <w:i/>
          <w:iCs/>
        </w:rPr>
        <w:t>McHugh</w:t>
      </w:r>
      <w:r>
        <w:rPr>
          <w:rFonts w:ascii="Century Schoolbook" w:hAnsi="Century Schoolbook"/>
        </w:rPr>
        <w:t xml:space="preserve">); accord, </w:t>
      </w:r>
      <w:r w:rsidRPr="000B7B8D">
        <w:rPr>
          <w:rFonts w:ascii="Century Schoolbook" w:hAnsi="Century Schoolbook"/>
          <w:i/>
          <w:iCs/>
        </w:rPr>
        <w:t>Jarman v. HCR ManorCare, Inc.</w:t>
      </w:r>
      <w:r>
        <w:rPr>
          <w:rFonts w:ascii="Century Schoolbook" w:hAnsi="Century Schoolbook"/>
        </w:rPr>
        <w:t xml:space="preserve"> (2020) 10 Cal.5th 375, 81 (</w:t>
      </w:r>
      <w:r w:rsidRPr="000B7B8D">
        <w:rPr>
          <w:rFonts w:ascii="Century Schoolbook" w:hAnsi="Century Schoolbook"/>
          <w:i/>
          <w:iCs/>
        </w:rPr>
        <w:t>Jarman</w:t>
      </w:r>
      <w:r>
        <w:rPr>
          <w:rFonts w:ascii="Century Schoolbook" w:hAnsi="Century Schoolbook"/>
        </w:rPr>
        <w:t>).) ‘We first consider the words of the statutes, as statutory language is generall</w:t>
      </w:r>
      <w:r>
        <w:rPr>
          <w:rFonts w:ascii="Century Schoolbook" w:hAnsi="Century Schoolbook"/>
        </w:rPr>
        <w:t>y the most reliable indicator of legislation’s intended purpose. [Citation.] We consider the ordinary meaning of the relevant terms, related provisions, terms used in other parts of the statute, and the structure of the statutory scheme.’ (</w:t>
      </w:r>
      <w:r w:rsidRPr="000B7B8D">
        <w:rPr>
          <w:rFonts w:ascii="Century Schoolbook" w:hAnsi="Century Schoolbook"/>
          <w:i/>
          <w:iCs/>
        </w:rPr>
        <w:t>McHugh</w:t>
      </w:r>
      <w:r>
        <w:rPr>
          <w:rFonts w:ascii="Century Schoolbook" w:hAnsi="Century Schoolbook"/>
        </w:rPr>
        <w:t>, at p. 22</w:t>
      </w:r>
      <w:r>
        <w:rPr>
          <w:rFonts w:ascii="Century Schoolbook" w:hAnsi="Century Schoolbook"/>
        </w:rPr>
        <w:t xml:space="preserve">7; accord, </w:t>
      </w:r>
      <w:r w:rsidRPr="000B7B8D">
        <w:rPr>
          <w:rFonts w:ascii="Century Schoolbook" w:hAnsi="Century Schoolbook"/>
          <w:i/>
          <w:iCs/>
        </w:rPr>
        <w:t>Jarman</w:t>
      </w:r>
      <w:r>
        <w:rPr>
          <w:rFonts w:ascii="Century Schoolbook" w:hAnsi="Century Schoolbook"/>
        </w:rPr>
        <w:t>, at p. 381 [‘ “We do not examine that language in isolation</w:t>
      </w:r>
      <w:r>
        <w:rPr>
          <w:rFonts w:ascii="Century Schoolbook" w:hAnsi="Century Schoolbook"/>
        </w:rPr>
        <w:t>, but in the context of the statutory framework as a whole in order to determine its scope and purpose and to harmonize the various parts of the enactment.” ’].) ‘It is a basic ca</w:t>
      </w:r>
      <w:r>
        <w:rPr>
          <w:rFonts w:ascii="Century Schoolbook" w:hAnsi="Century Schoolbook"/>
        </w:rPr>
        <w:t>non of statutory construction that statutes in pari materia should be construed together so that all parts of the statutory scheme are given effect.’ (</w:t>
      </w:r>
      <w:r w:rsidRPr="000B7B8D">
        <w:rPr>
          <w:rFonts w:ascii="Century Schoolbook" w:hAnsi="Century Schoolbook"/>
          <w:i/>
          <w:iCs/>
        </w:rPr>
        <w:t>Lexin v. Superior Court</w:t>
      </w:r>
      <w:r>
        <w:rPr>
          <w:rFonts w:ascii="Century Schoolbook" w:hAnsi="Century Schoolbook"/>
        </w:rPr>
        <w:t xml:space="preserve"> (2010) 47 Cal.4th 1050, 1090</w:t>
      </w:r>
      <w:r>
        <w:rPr>
          <w:rFonts w:ascii="Century Schoolbook" w:hAnsi="Century Schoolbook"/>
        </w:rPr>
        <w:t>–</w:t>
      </w:r>
      <w:r>
        <w:rPr>
          <w:rFonts w:ascii="Century Schoolbook" w:hAnsi="Century Schoolbook"/>
        </w:rPr>
        <w:t xml:space="preserve">1091; accord, </w:t>
      </w:r>
      <w:r w:rsidRPr="000B7B8D">
        <w:rPr>
          <w:rFonts w:ascii="Century Schoolbook" w:hAnsi="Century Schoolbook"/>
          <w:i/>
          <w:iCs/>
        </w:rPr>
        <w:t>Law Finance Group, LLC v. Key</w:t>
      </w:r>
      <w:r>
        <w:rPr>
          <w:rFonts w:ascii="Century Schoolbook" w:hAnsi="Century Schoolbook"/>
        </w:rPr>
        <w:t xml:space="preserve"> (2021) 6</w:t>
      </w:r>
      <w:r>
        <w:rPr>
          <w:rFonts w:ascii="Century Schoolbook" w:hAnsi="Century Schoolbook"/>
        </w:rPr>
        <w:t>7 Cal.App.5th 307, 317, review granted Nov. 10, 2021 (S270798).)” (</w:t>
      </w:r>
      <w:r w:rsidRPr="000B7B8D">
        <w:rPr>
          <w:rFonts w:ascii="Century Schoolbook" w:hAnsi="Century Schoolbook"/>
          <w:i/>
          <w:iCs/>
        </w:rPr>
        <w:t>Hirschfield v. Cohen</w:t>
      </w:r>
      <w:r>
        <w:rPr>
          <w:rFonts w:ascii="Century Schoolbook" w:hAnsi="Century Schoolbook"/>
        </w:rPr>
        <w:t xml:space="preserve"> (2022) </w:t>
      </w:r>
      <w:r>
        <w:rPr>
          <w:rFonts w:ascii="Century Schoolbook" w:hAnsi="Century Schoolbook"/>
        </w:rPr>
        <w:t>82 Cal.App.5th 648, 660 (</w:t>
      </w:r>
      <w:r w:rsidRPr="000B7B8D">
        <w:rPr>
          <w:rFonts w:ascii="Century Schoolbook" w:hAnsi="Century Schoolbook"/>
          <w:i/>
          <w:iCs/>
        </w:rPr>
        <w:t>Hirschfield</w:t>
      </w:r>
      <w:r>
        <w:rPr>
          <w:rFonts w:ascii="Century Schoolbook" w:hAnsi="Century Schoolbook"/>
        </w:rPr>
        <w:t>).)</w:t>
      </w:r>
      <w:r>
        <w:rPr>
          <w:rFonts w:ascii="Century Schoolbook" w:hAnsi="Century Schoolbook"/>
        </w:rPr>
        <w:t xml:space="preserve"> </w:t>
      </w:r>
    </w:p>
    <w:p w14:paraId="554A0D05" w14:textId="77777777" w:rsidR="009612DF" w:rsidRDefault="00F5385E" w:rsidP="00142B0E">
      <w:pPr>
        <w:rPr>
          <w:rFonts w:ascii="Century Schoolbook" w:hAnsi="Century Schoolbook"/>
        </w:rPr>
      </w:pPr>
      <w:r>
        <w:rPr>
          <w:rFonts w:ascii="Century Schoolbook" w:hAnsi="Century Schoolbook"/>
        </w:rPr>
        <w:tab/>
        <w:t xml:space="preserve">“ ‘We </w:t>
      </w:r>
      <w:r>
        <w:rPr>
          <w:rFonts w:ascii="Century Schoolbook" w:hAnsi="Century Schoolbook"/>
        </w:rPr>
        <w:t>have long recognized the principle that even though a statute may appear to be unambiguous on its face, when it i</w:t>
      </w:r>
      <w:r>
        <w:rPr>
          <w:rFonts w:ascii="Century Schoolbook" w:hAnsi="Century Schoolbook"/>
        </w:rPr>
        <w:t>s considered in light of closely related statutes[,] a legislative purpose may emerge that is inconsistent with, and controlling over, the language read without reference to the entire scheme of the law.’ (</w:t>
      </w:r>
      <w:r w:rsidRPr="000B7B8D">
        <w:rPr>
          <w:rFonts w:ascii="Century Schoolbook" w:hAnsi="Century Schoolbook"/>
          <w:i/>
          <w:iCs/>
        </w:rPr>
        <w:t>Droeger v. Friedman, Sloan &amp; Ross</w:t>
      </w:r>
      <w:r>
        <w:rPr>
          <w:rFonts w:ascii="Century Schoolbook" w:hAnsi="Century Schoolbook"/>
        </w:rPr>
        <w:t xml:space="preserve"> (1991) 54 Cal.3d 26, 50.) ‘ </w:t>
      </w:r>
      <w:r w:rsidRPr="008044BC">
        <w:rPr>
          <w:rFonts w:ascii="Century Schoolbook" w:hAnsi="Century Schoolbook"/>
        </w:rPr>
        <w:t>“</w:t>
      </w:r>
      <w:r w:rsidRPr="008044BC">
        <w:rPr>
          <w:rFonts w:ascii="Century Schoolbook" w:hAnsi="Century Schoolbook"/>
        </w:rPr>
        <w:t>I</w:t>
      </w:r>
      <w:r w:rsidRPr="008044BC">
        <w:rPr>
          <w:rFonts w:ascii="Century Schoolbook" w:hAnsi="Century Schoolbook"/>
        </w:rPr>
        <w:t>f</w:t>
      </w:r>
      <w:r>
        <w:rPr>
          <w:rFonts w:ascii="Century Schoolbook" w:hAnsi="Century Schoolbook"/>
        </w:rPr>
        <w:t xml:space="preserve"> two seemingly inconsistent statutes conflict, the court’s role is to harmonize the law. [Citations.] We presume that the Legislature</w:t>
      </w:r>
      <w:r>
        <w:rPr>
          <w:rFonts w:ascii="Century Schoolbook" w:hAnsi="Century Schoolbook"/>
        </w:rPr>
        <w:t xml:space="preserve">, when enacting a statute, was </w:t>
      </w:r>
      <w:r>
        <w:rPr>
          <w:rFonts w:ascii="Century Schoolbook" w:hAnsi="Century Schoolbook"/>
        </w:rPr>
        <w:lastRenderedPageBreak/>
        <w:t>aware of existing related laws and intended to maintain a co</w:t>
      </w:r>
      <w:r>
        <w:rPr>
          <w:rFonts w:ascii="Century Schoolbook" w:hAnsi="Century Schoolbook"/>
        </w:rPr>
        <w:t>nsistent body of rules.” ’ [Citations.]” (</w:t>
      </w:r>
      <w:r w:rsidRPr="000B7B8D">
        <w:rPr>
          <w:rFonts w:ascii="Century Schoolbook" w:hAnsi="Century Schoolbook"/>
          <w:i/>
          <w:iCs/>
        </w:rPr>
        <w:t>Hirschfield, supra</w:t>
      </w:r>
      <w:r>
        <w:rPr>
          <w:rFonts w:ascii="Century Schoolbook" w:hAnsi="Century Schoolbook"/>
        </w:rPr>
        <w:t>, 82 Cal.App.5th at p</w:t>
      </w:r>
      <w:r>
        <w:rPr>
          <w:rFonts w:ascii="Century Schoolbook" w:hAnsi="Century Schoolbook"/>
        </w:rPr>
        <w:t>p</w:t>
      </w:r>
      <w:r>
        <w:rPr>
          <w:rFonts w:ascii="Century Schoolbook" w:hAnsi="Century Schoolbook"/>
        </w:rPr>
        <w:t>.</w:t>
      </w:r>
      <w:r>
        <w:rPr>
          <w:rFonts w:ascii="Century Schoolbook" w:hAnsi="Century Schoolbook"/>
        </w:rPr>
        <w:t xml:space="preserve"> 660</w:t>
      </w:r>
      <w:r>
        <w:rPr>
          <w:rFonts w:ascii="Century Schoolbook" w:hAnsi="Century Schoolbook"/>
        </w:rPr>
        <w:t>–</w:t>
      </w:r>
      <w:r>
        <w:rPr>
          <w:rFonts w:ascii="Century Schoolbook" w:hAnsi="Century Schoolbook"/>
        </w:rPr>
        <w:t>66</w:t>
      </w:r>
      <w:r>
        <w:rPr>
          <w:rFonts w:ascii="Century Schoolbook" w:hAnsi="Century Schoolbook"/>
        </w:rPr>
        <w:t>1</w:t>
      </w:r>
      <w:r>
        <w:rPr>
          <w:rFonts w:ascii="Century Schoolbook" w:hAnsi="Century Schoolbook"/>
        </w:rPr>
        <w:t>.)</w:t>
      </w:r>
    </w:p>
    <w:p w14:paraId="14E25A3A" w14:textId="77777777" w:rsidR="005E2586" w:rsidRDefault="00F5385E" w:rsidP="00142B0E">
      <w:pPr>
        <w:rPr>
          <w:rFonts w:ascii="Century Schoolbook" w:hAnsi="Century Schoolbook"/>
        </w:rPr>
      </w:pPr>
      <w:r>
        <w:rPr>
          <w:rFonts w:ascii="Century Schoolbook" w:hAnsi="Century Schoolbook"/>
        </w:rPr>
        <w:tab/>
        <w:t>“ ‘ “If the language is clear, courts must generally follow its plain meaning unless a literal interpretation would result in absurd consequences the Legislature</w:t>
      </w:r>
      <w:r>
        <w:rPr>
          <w:rFonts w:ascii="Century Schoolbook" w:hAnsi="Century Schoolbook"/>
        </w:rPr>
        <w:t xml:space="preserve"> did not intend.” ’ (</w:t>
      </w:r>
      <w:r w:rsidRPr="000B7B8D">
        <w:rPr>
          <w:rFonts w:ascii="Century Schoolbook" w:hAnsi="Century Schoolbook"/>
          <w:i/>
          <w:iCs/>
        </w:rPr>
        <w:t>Jarman, supra</w:t>
      </w:r>
      <w:r>
        <w:rPr>
          <w:rFonts w:ascii="Century Schoolbook" w:hAnsi="Century Schoolbook"/>
        </w:rPr>
        <w:t>, 10 Cal.5th at p. 381.) However, ‘[i]f the relevant statutory language is ambiguous, we look to appropriate extrinsic sources, including the legislative history, for further insights.’ (</w:t>
      </w:r>
      <w:r w:rsidRPr="000B7B8D">
        <w:rPr>
          <w:rFonts w:ascii="Century Schoolbook" w:hAnsi="Century Schoolbook"/>
          <w:i/>
          <w:iCs/>
        </w:rPr>
        <w:t>McHugh, supra</w:t>
      </w:r>
      <w:r>
        <w:rPr>
          <w:rFonts w:ascii="Century Schoolbook" w:hAnsi="Century Schoolbook"/>
        </w:rPr>
        <w:t xml:space="preserve">, </w:t>
      </w:r>
      <w:r>
        <w:rPr>
          <w:rFonts w:ascii="Century Schoolbook" w:hAnsi="Century Schoolbook"/>
        </w:rPr>
        <w:t>12 Cal.5th at p. 227</w:t>
      </w:r>
      <w:r>
        <w:rPr>
          <w:rFonts w:ascii="Century Schoolbook" w:hAnsi="Century Schoolbook"/>
        </w:rPr>
        <w:t xml:space="preserve">; accord, </w:t>
      </w:r>
      <w:r w:rsidRPr="000B7B8D">
        <w:rPr>
          <w:rFonts w:ascii="Century Schoolbook" w:hAnsi="Century Schoolbook"/>
          <w:i/>
          <w:iCs/>
        </w:rPr>
        <w:t>Mendoza v. Fonseca McElroy Grinding Co., Inc.</w:t>
      </w:r>
      <w:r>
        <w:rPr>
          <w:rFonts w:ascii="Century Schoolbook" w:hAnsi="Century Schoolbook"/>
        </w:rPr>
        <w:t xml:space="preserve"> (2021) 11 Cal.5th 1118, 1125 [‘ “If the statutory language permits more than one reasonable interpretation, courts may consider other aids, such as the statute’s purpose, legislative history, and publ</w:t>
      </w:r>
      <w:r>
        <w:rPr>
          <w:rFonts w:ascii="Century Schoolbook" w:hAnsi="Century Schoolbook"/>
        </w:rPr>
        <w:t>ic policy.” ’].)” (</w:t>
      </w:r>
      <w:r w:rsidRPr="000B7B8D">
        <w:rPr>
          <w:rFonts w:ascii="Century Schoolbook" w:hAnsi="Century Schoolbook"/>
          <w:i/>
          <w:iCs/>
        </w:rPr>
        <w:t>Hirschfield, supra</w:t>
      </w:r>
      <w:r>
        <w:rPr>
          <w:rFonts w:ascii="Century Schoolbook" w:hAnsi="Century Schoolbook"/>
        </w:rPr>
        <w:t>, 82 Cal.App.5th at p. 661.)</w:t>
      </w:r>
      <w:r>
        <w:rPr>
          <w:rFonts w:ascii="Century Schoolbook" w:hAnsi="Century Schoolbook"/>
        </w:rPr>
        <w:t xml:space="preserve"> </w:t>
      </w:r>
    </w:p>
    <w:p w14:paraId="4AAC1BA4" w14:textId="77777777" w:rsidR="00995D0D" w:rsidRDefault="00F5385E" w:rsidP="00142B0E">
      <w:pPr>
        <w:rPr>
          <w:rFonts w:ascii="Century Schoolbook" w:hAnsi="Century Schoolbook"/>
        </w:rPr>
      </w:pPr>
      <w:r>
        <w:rPr>
          <w:rFonts w:ascii="Century Schoolbook" w:hAnsi="Century Schoolbook"/>
        </w:rPr>
        <w:tab/>
        <w:t xml:space="preserve">Applying these rules of </w:t>
      </w:r>
      <w:r>
        <w:rPr>
          <w:rFonts w:ascii="Century Schoolbook" w:hAnsi="Century Schoolbook"/>
        </w:rPr>
        <w:t xml:space="preserve">statutory </w:t>
      </w:r>
      <w:r>
        <w:rPr>
          <w:rFonts w:ascii="Century Schoolbook" w:hAnsi="Century Schoolbook"/>
        </w:rPr>
        <w:t xml:space="preserve">construction, we reject Valero’s argument that the plain meaning of sections 15630, subdivision </w:t>
      </w:r>
      <w:r w:rsidRPr="008044BC">
        <w:rPr>
          <w:rFonts w:ascii="Century Schoolbook" w:hAnsi="Century Schoolbook"/>
        </w:rPr>
        <w:t>(b)(1</w:t>
      </w:r>
      <w:r>
        <w:rPr>
          <w:rFonts w:ascii="Century Schoolbook" w:hAnsi="Century Schoolbook"/>
        </w:rPr>
        <w:t xml:space="preserve">) and 15634(a) </w:t>
      </w:r>
      <w:r>
        <w:rPr>
          <w:rFonts w:ascii="Century Schoolbook" w:hAnsi="Century Schoolbook"/>
        </w:rPr>
        <w:t xml:space="preserve">together </w:t>
      </w:r>
      <w:r>
        <w:rPr>
          <w:rFonts w:ascii="Century Schoolbook" w:hAnsi="Century Schoolbook"/>
        </w:rPr>
        <w:t xml:space="preserve">compel the conclusion that </w:t>
      </w:r>
      <w:r>
        <w:rPr>
          <w:rFonts w:ascii="Century Schoolbook" w:hAnsi="Century Schoolbook"/>
        </w:rPr>
        <w:t>th</w:t>
      </w:r>
      <w:r>
        <w:rPr>
          <w:rFonts w:ascii="Century Schoolbook" w:hAnsi="Century Schoolbook"/>
        </w:rPr>
        <w:t xml:space="preserve">e </w:t>
      </w:r>
      <w:r>
        <w:rPr>
          <w:rFonts w:ascii="Century Schoolbook" w:hAnsi="Century Schoolbook"/>
        </w:rPr>
        <w:t xml:space="preserve">immunity extended to mandated reporters under the Act does not extend to knowingly false reports. </w:t>
      </w:r>
      <w:r>
        <w:rPr>
          <w:rFonts w:ascii="Century Schoolbook" w:hAnsi="Century Schoolbook"/>
        </w:rPr>
        <w:t>T</w:t>
      </w:r>
      <w:r>
        <w:rPr>
          <w:rFonts w:ascii="Century Schoolbook" w:hAnsi="Century Schoolbook"/>
        </w:rPr>
        <w:t xml:space="preserve">he text of section 15634(a) on its face cannot be read </w:t>
      </w:r>
      <w:r>
        <w:rPr>
          <w:rFonts w:ascii="Century Schoolbook" w:hAnsi="Century Schoolbook"/>
        </w:rPr>
        <w:t xml:space="preserve">to apply or extend the express limitation for knowingly false reports on immunity for </w:t>
      </w:r>
      <w:r>
        <w:rPr>
          <w:rFonts w:ascii="Century Schoolbook" w:hAnsi="Century Schoolbook"/>
        </w:rPr>
        <w:t>nonmandated reporters to mandated reporters</w:t>
      </w:r>
      <w:r>
        <w:rPr>
          <w:rFonts w:ascii="Century Schoolbook" w:hAnsi="Century Schoolbook"/>
        </w:rPr>
        <w:t xml:space="preserve">, </w:t>
      </w:r>
      <w:r>
        <w:rPr>
          <w:rFonts w:ascii="Century Schoolbook" w:hAnsi="Century Schoolbook"/>
        </w:rPr>
        <w:t>for</w:t>
      </w:r>
      <w:r>
        <w:rPr>
          <w:rFonts w:ascii="Century Schoolbook" w:hAnsi="Century Schoolbook"/>
        </w:rPr>
        <w:t xml:space="preserve"> whom this express qualification on immunity </w:t>
      </w:r>
      <w:r>
        <w:rPr>
          <w:rFonts w:ascii="Century Schoolbook" w:hAnsi="Century Schoolbook"/>
        </w:rPr>
        <w:t>is absent</w:t>
      </w:r>
      <w:r>
        <w:rPr>
          <w:rFonts w:ascii="Century Schoolbook" w:hAnsi="Century Schoolbook"/>
        </w:rPr>
        <w:t>. This textual distinction alone defeats Valero’s plain-meaning argument that we should treat the protections afforded to mandated and nonmandated reporte</w:t>
      </w:r>
      <w:r>
        <w:rPr>
          <w:rFonts w:ascii="Century Schoolbook" w:hAnsi="Century Schoolbook"/>
        </w:rPr>
        <w:t>rs alike. (</w:t>
      </w:r>
      <w:r w:rsidRPr="00D934BE">
        <w:rPr>
          <w:rFonts w:ascii="Century Schoolbook" w:hAnsi="Century Schoolbook"/>
          <w:i/>
          <w:iCs/>
        </w:rPr>
        <w:t>People v. Hillhouse</w:t>
      </w:r>
      <w:r>
        <w:rPr>
          <w:rFonts w:ascii="Century Schoolbook" w:hAnsi="Century Schoolbook"/>
        </w:rPr>
        <w:t xml:space="preserve"> (2003) 109 Cal.App.4th 1612, 1618 [court must presume that the Legislature’s failure to restrict the definition of a term in certain statutory provisions when it did so in other provisions of the same statutes was intentional</w:t>
      </w:r>
      <w:r>
        <w:rPr>
          <w:rFonts w:ascii="Century Schoolbook" w:hAnsi="Century Schoolbook"/>
        </w:rPr>
        <w:t>]</w:t>
      </w:r>
      <w:r>
        <w:rPr>
          <w:rFonts w:ascii="Century Schoolbook" w:hAnsi="Century Schoolbook"/>
        </w:rPr>
        <w:t>.)</w:t>
      </w:r>
      <w:r>
        <w:rPr>
          <w:rFonts w:ascii="Century Schoolbook" w:hAnsi="Century Schoolbook"/>
        </w:rPr>
        <w:t xml:space="preserve"> Had the Legislature intended to similarly limit the immunity afforded to mandated reporters under the Act to exclude knowingly false reports, as it did with nonmandated reporters, it knew </w:t>
      </w:r>
      <w:r>
        <w:rPr>
          <w:rFonts w:ascii="Century Schoolbook" w:hAnsi="Century Schoolbook"/>
        </w:rPr>
        <w:lastRenderedPageBreak/>
        <w:t>how to do so. (</w:t>
      </w:r>
      <w:r w:rsidRPr="00C855F4">
        <w:rPr>
          <w:rFonts w:ascii="Century Schoolbook" w:hAnsi="Century Schoolbook"/>
          <w:i/>
          <w:iCs/>
        </w:rPr>
        <w:t>Ibid</w:t>
      </w:r>
      <w:r>
        <w:rPr>
          <w:rFonts w:ascii="Century Schoolbook" w:hAnsi="Century Schoolbook"/>
        </w:rPr>
        <w:t>.</w:t>
      </w:r>
      <w:r>
        <w:rPr>
          <w:rFonts w:ascii="Century Schoolbook" w:hAnsi="Century Schoolbook"/>
        </w:rPr>
        <w:t xml:space="preserve">; see also </w:t>
      </w:r>
      <w:r w:rsidRPr="00C673D7">
        <w:rPr>
          <w:rFonts w:ascii="Century Schoolbook" w:hAnsi="Century Schoolbook"/>
          <w:i/>
          <w:iCs/>
        </w:rPr>
        <w:t xml:space="preserve">Ajaxo, Inc. v. E*Trade Financial </w:t>
      </w:r>
      <w:r w:rsidRPr="00C673D7">
        <w:rPr>
          <w:rFonts w:ascii="Century Schoolbook" w:hAnsi="Century Schoolbook"/>
          <w:i/>
          <w:iCs/>
        </w:rPr>
        <w:t>Corp</w:t>
      </w:r>
      <w:r>
        <w:rPr>
          <w:rFonts w:ascii="Century Schoolbook" w:hAnsi="Century Schoolbook"/>
        </w:rPr>
        <w:t>. (2020) 48 Cal.App.5th 129, 198 [</w:t>
      </w:r>
      <w:r>
        <w:rPr>
          <w:rFonts w:ascii="Century Schoolbook" w:hAnsi="Century Schoolbook"/>
        </w:rPr>
        <w:t>when construing the words of a statute, primary goal is to determine and give effect to the underlying purpose of the law</w:t>
      </w:r>
      <w:r>
        <w:rPr>
          <w:rFonts w:ascii="Century Schoolbook" w:hAnsi="Century Schoolbook"/>
        </w:rPr>
        <w:t>; i</w:t>
      </w:r>
      <w:r>
        <w:rPr>
          <w:rFonts w:ascii="Century Schoolbook" w:hAnsi="Century Schoolbook"/>
        </w:rPr>
        <w:t xml:space="preserve">n doing so, </w:t>
      </w:r>
      <w:r>
        <w:rPr>
          <w:rFonts w:ascii="Century Schoolbook" w:hAnsi="Century Schoolbook"/>
        </w:rPr>
        <w:t>a court</w:t>
      </w:r>
      <w:r>
        <w:rPr>
          <w:rFonts w:ascii="Century Schoolbook" w:hAnsi="Century Schoolbook"/>
        </w:rPr>
        <w:t xml:space="preserve"> look</w:t>
      </w:r>
      <w:r>
        <w:rPr>
          <w:rFonts w:ascii="Century Schoolbook" w:hAnsi="Century Schoolbook"/>
        </w:rPr>
        <w:t>s</w:t>
      </w:r>
      <w:r>
        <w:rPr>
          <w:rFonts w:ascii="Century Schoolbook" w:hAnsi="Century Schoolbook"/>
        </w:rPr>
        <w:t xml:space="preserve"> to the words of the statute, giving them a plain and commonsense mea</w:t>
      </w:r>
      <w:r>
        <w:rPr>
          <w:rFonts w:ascii="Century Schoolbook" w:hAnsi="Century Schoolbook"/>
        </w:rPr>
        <w:t>ning, and according significance, if possible, to every word, phrase and sentence in pursuance of the legislative purpose</w:t>
      </w:r>
      <w:r>
        <w:rPr>
          <w:rFonts w:ascii="Century Schoolbook" w:hAnsi="Century Schoolbook"/>
        </w:rPr>
        <w:t xml:space="preserve">].) </w:t>
      </w:r>
      <w:r>
        <w:rPr>
          <w:rFonts w:ascii="Century Schoolbook" w:hAnsi="Century Schoolbook"/>
        </w:rPr>
        <w:t>We thus cannot</w:t>
      </w:r>
      <w:r>
        <w:rPr>
          <w:rFonts w:ascii="Century Schoolbook" w:hAnsi="Century Schoolbook"/>
        </w:rPr>
        <w:t xml:space="preserve"> treat the </w:t>
      </w:r>
      <w:r>
        <w:rPr>
          <w:rFonts w:ascii="Century Schoolbook" w:hAnsi="Century Schoolbook"/>
        </w:rPr>
        <w:t xml:space="preserve">express limitation on immunity for false reports </w:t>
      </w:r>
      <w:r>
        <w:rPr>
          <w:rFonts w:ascii="Century Schoolbook" w:hAnsi="Century Schoolbook"/>
        </w:rPr>
        <w:t xml:space="preserve">applicable to nonmandated reporters </w:t>
      </w:r>
      <w:r>
        <w:rPr>
          <w:rFonts w:ascii="Century Schoolbook" w:hAnsi="Century Schoolbook"/>
        </w:rPr>
        <w:t xml:space="preserve">that is omitted </w:t>
      </w:r>
      <w:r>
        <w:rPr>
          <w:rFonts w:ascii="Century Schoolbook" w:hAnsi="Century Schoolbook"/>
        </w:rPr>
        <w:t xml:space="preserve">with </w:t>
      </w:r>
      <w:r>
        <w:rPr>
          <w:rFonts w:ascii="Century Schoolbook" w:hAnsi="Century Schoolbook"/>
        </w:rPr>
        <w:t xml:space="preserve">respect to </w:t>
      </w:r>
      <w:r>
        <w:rPr>
          <w:rFonts w:ascii="Century Schoolbook" w:hAnsi="Century Schoolbook"/>
        </w:rPr>
        <w:t xml:space="preserve">mandated reporters as if </w:t>
      </w:r>
      <w:r>
        <w:rPr>
          <w:rFonts w:ascii="Century Schoolbook" w:hAnsi="Century Schoolbook"/>
        </w:rPr>
        <w:t xml:space="preserve">the omission did not exist.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p>
    <w:p w14:paraId="47AD41BD" w14:textId="77777777" w:rsidR="00FA1F7C" w:rsidRDefault="00F5385E" w:rsidP="00142B0E">
      <w:pPr>
        <w:rPr>
          <w:rFonts w:ascii="Century Schoolbook" w:hAnsi="Century Schoolbook"/>
        </w:rPr>
      </w:pPr>
      <w:r>
        <w:rPr>
          <w:rFonts w:ascii="Century Schoolbook" w:hAnsi="Century Schoolbook"/>
        </w:rPr>
        <w:tab/>
      </w:r>
      <w:r>
        <w:rPr>
          <w:rFonts w:ascii="Century Schoolbook" w:hAnsi="Century Schoolbook"/>
        </w:rPr>
        <w:t>Even crediting</w:t>
      </w:r>
      <w:r>
        <w:rPr>
          <w:rFonts w:ascii="Century Schoolbook" w:hAnsi="Century Schoolbook"/>
        </w:rPr>
        <w:t xml:space="preserve"> </w:t>
      </w:r>
      <w:r>
        <w:rPr>
          <w:rFonts w:ascii="Century Schoolbook" w:hAnsi="Century Schoolbook"/>
        </w:rPr>
        <w:t xml:space="preserve">for the sake of argument </w:t>
      </w:r>
      <w:r>
        <w:rPr>
          <w:rFonts w:ascii="Century Schoolbook" w:hAnsi="Century Schoolbook"/>
        </w:rPr>
        <w:t xml:space="preserve">that </w:t>
      </w:r>
      <w:r>
        <w:rPr>
          <w:rFonts w:ascii="Century Schoolbook" w:hAnsi="Century Schoolbook"/>
        </w:rPr>
        <w:t xml:space="preserve">the </w:t>
      </w:r>
      <w:r>
        <w:rPr>
          <w:rFonts w:ascii="Century Schoolbook" w:hAnsi="Century Schoolbook"/>
        </w:rPr>
        <w:t xml:space="preserve">language Valero </w:t>
      </w:r>
      <w:r>
        <w:rPr>
          <w:rFonts w:ascii="Century Schoolbook" w:hAnsi="Century Schoolbook"/>
        </w:rPr>
        <w:t>cites</w:t>
      </w:r>
      <w:r>
        <w:rPr>
          <w:rFonts w:ascii="Century Schoolbook" w:hAnsi="Century Schoolbook"/>
        </w:rPr>
        <w:t xml:space="preserve"> </w:t>
      </w:r>
      <w:r>
        <w:rPr>
          <w:rFonts w:ascii="Century Schoolbook" w:hAnsi="Century Schoolbook"/>
        </w:rPr>
        <w:t xml:space="preserve">from </w:t>
      </w:r>
      <w:r>
        <w:rPr>
          <w:rFonts w:ascii="Century Schoolbook" w:hAnsi="Century Schoolbook"/>
        </w:rPr>
        <w:t>sections 15630, subdivision (b)</w:t>
      </w:r>
      <w:r>
        <w:rPr>
          <w:rFonts w:ascii="Century Schoolbook" w:hAnsi="Century Schoolbook"/>
        </w:rPr>
        <w:t>(1)</w:t>
      </w:r>
      <w:r>
        <w:rPr>
          <w:rFonts w:ascii="Century Schoolbook" w:hAnsi="Century Schoolbook"/>
        </w:rPr>
        <w:t xml:space="preserve"> and 15634(a) suggest</w:t>
      </w:r>
      <w:r>
        <w:rPr>
          <w:rFonts w:ascii="Century Schoolbook" w:hAnsi="Century Schoolbook"/>
        </w:rPr>
        <w:t>s</w:t>
      </w:r>
      <w:r>
        <w:rPr>
          <w:rFonts w:ascii="Century Schoolbook" w:hAnsi="Century Schoolbook"/>
        </w:rPr>
        <w:t xml:space="preserve"> a requirement of knowledge of abuse</w:t>
      </w:r>
      <w:r>
        <w:rPr>
          <w:rFonts w:ascii="Century Schoolbook" w:hAnsi="Century Schoolbook"/>
        </w:rPr>
        <w:t>—</w:t>
      </w:r>
      <w:r>
        <w:rPr>
          <w:rFonts w:ascii="Century Schoolbook" w:hAnsi="Century Schoolbook"/>
        </w:rPr>
        <w:t>or at least an objective and reasonable basis for suspicion</w:t>
      </w:r>
      <w:r>
        <w:rPr>
          <w:rFonts w:ascii="Century Schoolbook" w:hAnsi="Century Schoolbook"/>
        </w:rPr>
        <w:t>—</w:t>
      </w:r>
      <w:r>
        <w:rPr>
          <w:rFonts w:ascii="Century Schoolbook" w:hAnsi="Century Schoolbook"/>
        </w:rPr>
        <w:t xml:space="preserve">as a basis for a mandated report and </w:t>
      </w:r>
      <w:r>
        <w:rPr>
          <w:rFonts w:ascii="Century Schoolbook" w:hAnsi="Century Schoolbook"/>
        </w:rPr>
        <w:t xml:space="preserve">therefore </w:t>
      </w:r>
      <w:r>
        <w:rPr>
          <w:rFonts w:ascii="Century Schoolbook" w:hAnsi="Century Schoolbook"/>
        </w:rPr>
        <w:t xml:space="preserve">as a threshold for </w:t>
      </w:r>
      <w:r>
        <w:rPr>
          <w:rFonts w:ascii="Century Schoolbook" w:hAnsi="Century Schoolbook"/>
        </w:rPr>
        <w:t xml:space="preserve">absolute </w:t>
      </w:r>
      <w:r>
        <w:rPr>
          <w:rFonts w:ascii="Century Schoolbook" w:hAnsi="Century Schoolbook"/>
        </w:rPr>
        <w:t>immunity</w:t>
      </w:r>
      <w:r>
        <w:rPr>
          <w:rFonts w:ascii="Century Schoolbook" w:hAnsi="Century Schoolbook"/>
        </w:rPr>
        <w:t xml:space="preserve">, </w:t>
      </w:r>
      <w:r>
        <w:rPr>
          <w:rFonts w:ascii="Century Schoolbook" w:hAnsi="Century Schoolbook"/>
        </w:rPr>
        <w:t>we would</w:t>
      </w:r>
      <w:r>
        <w:rPr>
          <w:rFonts w:ascii="Century Schoolbook" w:hAnsi="Century Schoolbook"/>
        </w:rPr>
        <w:t xml:space="preserve"> </w:t>
      </w:r>
      <w:r>
        <w:rPr>
          <w:rFonts w:ascii="Century Schoolbook" w:hAnsi="Century Schoolbook"/>
        </w:rPr>
        <w:t>land on</w:t>
      </w:r>
      <w:r>
        <w:rPr>
          <w:rFonts w:ascii="Century Schoolbook" w:hAnsi="Century Schoolbook"/>
        </w:rPr>
        <w:t xml:space="preserve"> </w:t>
      </w:r>
      <w:r>
        <w:rPr>
          <w:rFonts w:ascii="Century Schoolbook" w:hAnsi="Century Schoolbook"/>
        </w:rPr>
        <w:t>the existence of a</w:t>
      </w:r>
      <w:r>
        <w:rPr>
          <w:rFonts w:ascii="Century Schoolbook" w:hAnsi="Century Schoolbook"/>
        </w:rPr>
        <w:t xml:space="preserve"> statutory</w:t>
      </w:r>
      <w:r>
        <w:rPr>
          <w:rFonts w:ascii="Century Schoolbook" w:hAnsi="Century Schoolbook"/>
        </w:rPr>
        <w:t xml:space="preserve"> </w:t>
      </w:r>
      <w:r>
        <w:rPr>
          <w:rFonts w:ascii="Century Schoolbook" w:hAnsi="Century Schoolbook"/>
        </w:rPr>
        <w:t>ambiguity</w:t>
      </w:r>
      <w:r>
        <w:rPr>
          <w:rFonts w:ascii="Century Schoolbook" w:hAnsi="Century Schoolbook"/>
        </w:rPr>
        <w:t>. This ambiguity li</w:t>
      </w:r>
      <w:r>
        <w:rPr>
          <w:rFonts w:ascii="Century Schoolbook" w:hAnsi="Century Schoolbook"/>
        </w:rPr>
        <w:t>es</w:t>
      </w:r>
      <w:r>
        <w:rPr>
          <w:rFonts w:ascii="Century Schoolbook" w:hAnsi="Century Schoolbook"/>
        </w:rPr>
        <w:t xml:space="preserve"> </w:t>
      </w:r>
      <w:r>
        <w:rPr>
          <w:rFonts w:ascii="Century Schoolbook" w:hAnsi="Century Schoolbook"/>
        </w:rPr>
        <w:t xml:space="preserve">again </w:t>
      </w:r>
      <w:r>
        <w:rPr>
          <w:rFonts w:ascii="Century Schoolbook" w:hAnsi="Century Schoolbook"/>
        </w:rPr>
        <w:t xml:space="preserve">in </w:t>
      </w:r>
      <w:r>
        <w:rPr>
          <w:rFonts w:ascii="Century Schoolbook" w:hAnsi="Century Schoolbook"/>
        </w:rPr>
        <w:t>the obvious distinction in the Legislature’s treatment of immunity for mandated versus nonmandated reporters</w:t>
      </w:r>
      <w:r>
        <w:rPr>
          <w:rFonts w:ascii="Century Schoolbook" w:hAnsi="Century Schoolbook"/>
        </w:rPr>
        <w:t xml:space="preserve"> in section</w:t>
      </w:r>
      <w:r>
        <w:rPr>
          <w:rFonts w:ascii="Century Schoolbook" w:hAnsi="Century Schoolbook"/>
        </w:rPr>
        <w:t> </w:t>
      </w:r>
      <w:r>
        <w:rPr>
          <w:rFonts w:ascii="Century Schoolbook" w:hAnsi="Century Schoolbook"/>
        </w:rPr>
        <w:t>15634(a)</w:t>
      </w:r>
      <w:r>
        <w:rPr>
          <w:rFonts w:ascii="Century Schoolbook" w:hAnsi="Century Schoolbook"/>
        </w:rPr>
        <w:t xml:space="preserve">, with knowingly false reports carved out </w:t>
      </w:r>
      <w:r>
        <w:rPr>
          <w:rFonts w:ascii="Century Schoolbook" w:hAnsi="Century Schoolbook"/>
        </w:rPr>
        <w:t xml:space="preserve">only </w:t>
      </w:r>
      <w:r>
        <w:rPr>
          <w:rFonts w:ascii="Century Schoolbook" w:hAnsi="Century Schoolbook"/>
        </w:rPr>
        <w:t>for the latter</w:t>
      </w:r>
      <w:r>
        <w:rPr>
          <w:rFonts w:ascii="Century Schoolbook" w:hAnsi="Century Schoolbook"/>
        </w:rPr>
        <w:t xml:space="preserve">. </w:t>
      </w:r>
      <w:r>
        <w:rPr>
          <w:rFonts w:ascii="Century Schoolbook" w:hAnsi="Century Schoolbook"/>
        </w:rPr>
        <w:t xml:space="preserve">Valero’s argumentative focus is to </w:t>
      </w:r>
      <w:r>
        <w:rPr>
          <w:rFonts w:ascii="Century Schoolbook" w:hAnsi="Century Schoolbook"/>
        </w:rPr>
        <w:t xml:space="preserve">qualify </w:t>
      </w:r>
      <w:r>
        <w:rPr>
          <w:rFonts w:ascii="Century Schoolbook" w:hAnsi="Century Schoolbook"/>
        </w:rPr>
        <w:t>the immuni</w:t>
      </w:r>
      <w:r>
        <w:rPr>
          <w:rFonts w:ascii="Century Schoolbook" w:hAnsi="Century Schoolbook"/>
        </w:rPr>
        <w:t xml:space="preserve">ty </w:t>
      </w:r>
      <w:r>
        <w:rPr>
          <w:rFonts w:ascii="Century Schoolbook" w:hAnsi="Century Schoolbook"/>
        </w:rPr>
        <w:t xml:space="preserve">for mandated reporters </w:t>
      </w:r>
      <w:r>
        <w:rPr>
          <w:rFonts w:ascii="Century Schoolbook" w:hAnsi="Century Schoolbook"/>
        </w:rPr>
        <w:t xml:space="preserve">to </w:t>
      </w:r>
      <w:r>
        <w:rPr>
          <w:rFonts w:ascii="Century Schoolbook" w:hAnsi="Century Schoolbook"/>
        </w:rPr>
        <w:t>instances of abuse that are either known or reasonably suspected, but the effect of her argument</w:t>
      </w:r>
      <w:r>
        <w:rPr>
          <w:rFonts w:ascii="Century Schoolbook" w:hAnsi="Century Schoolbook"/>
        </w:rPr>
        <w:t xml:space="preserve"> is to obliterate the </w:t>
      </w:r>
      <w:r>
        <w:rPr>
          <w:rFonts w:ascii="Century Schoolbook" w:hAnsi="Century Schoolbook"/>
        </w:rPr>
        <w:t xml:space="preserve">express </w:t>
      </w:r>
      <w:r>
        <w:rPr>
          <w:rFonts w:ascii="Century Schoolbook" w:hAnsi="Century Schoolbook"/>
        </w:rPr>
        <w:t>distinction between the two types of immunity</w:t>
      </w:r>
      <w:r>
        <w:rPr>
          <w:rFonts w:ascii="Century Schoolbook" w:hAnsi="Century Schoolbook"/>
        </w:rPr>
        <w:t xml:space="preserve"> for the different types of reporters</w:t>
      </w:r>
      <w:r>
        <w:rPr>
          <w:rFonts w:ascii="Century Schoolbook" w:hAnsi="Century Schoolbook"/>
        </w:rPr>
        <w:t xml:space="preserve">, the </w:t>
      </w:r>
      <w:r>
        <w:rPr>
          <w:rFonts w:ascii="Century Schoolbook" w:hAnsi="Century Schoolbook"/>
        </w:rPr>
        <w:t>dividing line</w:t>
      </w:r>
      <w:r>
        <w:rPr>
          <w:rFonts w:ascii="Century Schoolbook" w:hAnsi="Century Schoolbook"/>
        </w:rPr>
        <w:t xml:space="preserve"> </w:t>
      </w:r>
      <w:r>
        <w:rPr>
          <w:rFonts w:ascii="Century Schoolbook" w:hAnsi="Century Schoolbook"/>
        </w:rPr>
        <w:t>for</w:t>
      </w:r>
      <w:r>
        <w:rPr>
          <w:rFonts w:ascii="Century Schoolbook" w:hAnsi="Century Schoolbook"/>
        </w:rPr>
        <w:t xml:space="preserve"> which is reports that are knowingly false.</w:t>
      </w:r>
      <w:r>
        <w:rPr>
          <w:rFonts w:ascii="Century Schoolbook" w:hAnsi="Century Schoolbook"/>
        </w:rPr>
        <w:t xml:space="preserve"> </w:t>
      </w:r>
      <w:r>
        <w:rPr>
          <w:rFonts w:ascii="Century Schoolbook" w:hAnsi="Century Schoolbook"/>
        </w:rPr>
        <w:t xml:space="preserve">Applying the traditional rules of statutory construction as outlined above would get us to consideration of legislative </w:t>
      </w:r>
      <w:r>
        <w:rPr>
          <w:rFonts w:ascii="Century Schoolbook" w:hAnsi="Century Schoolbook"/>
        </w:rPr>
        <w:t xml:space="preserve">intent and </w:t>
      </w:r>
      <w:r>
        <w:rPr>
          <w:rFonts w:ascii="Century Schoolbook" w:hAnsi="Century Schoolbook"/>
        </w:rPr>
        <w:t>purpose</w:t>
      </w:r>
      <w:r>
        <w:rPr>
          <w:rFonts w:ascii="Century Schoolbook" w:hAnsi="Century Schoolbook"/>
        </w:rPr>
        <w:t>s</w:t>
      </w:r>
      <w:r>
        <w:rPr>
          <w:rFonts w:ascii="Century Schoolbook" w:hAnsi="Century Schoolbook"/>
        </w:rPr>
        <w:t xml:space="preserve"> in resolving that ambiguity. </w:t>
      </w:r>
      <w:r>
        <w:rPr>
          <w:rFonts w:ascii="Century Schoolbook" w:hAnsi="Century Schoolbook"/>
        </w:rPr>
        <w:t xml:space="preserve">Those purposes here require no </w:t>
      </w:r>
      <w:r>
        <w:rPr>
          <w:rFonts w:ascii="Century Schoolbook" w:hAnsi="Century Schoolbook"/>
        </w:rPr>
        <w:t>speculation</w:t>
      </w:r>
      <w:r>
        <w:rPr>
          <w:rFonts w:ascii="Century Schoolbook" w:hAnsi="Century Schoolbook"/>
        </w:rPr>
        <w:t xml:space="preserve">. They are </w:t>
      </w:r>
      <w:r>
        <w:rPr>
          <w:rFonts w:ascii="Century Schoolbook" w:hAnsi="Century Schoolbook"/>
        </w:rPr>
        <w:t>to increase the reporting of elder and dependent-adult abuse and remove disincentives to that reporting. F</w:t>
      </w:r>
      <w:r>
        <w:rPr>
          <w:rFonts w:ascii="Century Schoolbook" w:hAnsi="Century Schoolbook"/>
        </w:rPr>
        <w:t xml:space="preserve">or all the reasons </w:t>
      </w:r>
      <w:r>
        <w:rPr>
          <w:rFonts w:ascii="Century Schoolbook" w:hAnsi="Century Schoolbook"/>
        </w:rPr>
        <w:t xml:space="preserve">extensively discussed </w:t>
      </w:r>
      <w:r>
        <w:rPr>
          <w:rFonts w:ascii="Century Schoolbook" w:hAnsi="Century Schoolbook"/>
        </w:rPr>
        <w:t xml:space="preserve">in </w:t>
      </w:r>
      <w:r w:rsidRPr="00511D03">
        <w:rPr>
          <w:rFonts w:ascii="Century Schoolbook" w:hAnsi="Century Schoolbook"/>
          <w:i/>
          <w:iCs/>
        </w:rPr>
        <w:t>Easton</w:t>
      </w:r>
      <w:r>
        <w:rPr>
          <w:rFonts w:ascii="Century Schoolbook" w:hAnsi="Century Schoolbook"/>
        </w:rPr>
        <w:t xml:space="preserve"> and </w:t>
      </w:r>
      <w:r w:rsidRPr="00511D03">
        <w:rPr>
          <w:rFonts w:ascii="Century Schoolbook" w:hAnsi="Century Schoolbook"/>
          <w:i/>
          <w:iCs/>
        </w:rPr>
        <w:t>Santos</w:t>
      </w:r>
      <w:r>
        <w:rPr>
          <w:rFonts w:ascii="Century Schoolbook" w:hAnsi="Century Schoolbook"/>
        </w:rPr>
        <w:t xml:space="preserve">, as well as </w:t>
      </w:r>
      <w:r>
        <w:rPr>
          <w:rFonts w:ascii="Century Schoolbook" w:hAnsi="Century Schoolbook"/>
        </w:rPr>
        <w:t xml:space="preserve">in </w:t>
      </w:r>
      <w:r w:rsidRPr="00511D03">
        <w:rPr>
          <w:rFonts w:ascii="Century Schoolbook" w:hAnsi="Century Schoolbook"/>
          <w:i/>
          <w:iCs/>
        </w:rPr>
        <w:t>Arce</w:t>
      </w:r>
      <w:r>
        <w:rPr>
          <w:rFonts w:ascii="Century Schoolbook" w:hAnsi="Century Schoolbook"/>
        </w:rPr>
        <w:t xml:space="preserve"> </w:t>
      </w:r>
      <w:r>
        <w:rPr>
          <w:rFonts w:ascii="Century Schoolbook" w:hAnsi="Century Schoolbook"/>
        </w:rPr>
        <w:t xml:space="preserve">and </w:t>
      </w:r>
      <w:r w:rsidRPr="007D3EF9">
        <w:rPr>
          <w:rFonts w:ascii="Century Schoolbook" w:hAnsi="Century Schoolbook"/>
          <w:i/>
          <w:iCs/>
        </w:rPr>
        <w:lastRenderedPageBreak/>
        <w:t>Storch</w:t>
      </w:r>
      <w:r>
        <w:rPr>
          <w:rFonts w:ascii="Century Schoolbook" w:hAnsi="Century Schoolbook"/>
        </w:rPr>
        <w:t xml:space="preserve"> </w:t>
      </w:r>
      <w:r>
        <w:rPr>
          <w:rFonts w:ascii="Century Schoolbook" w:hAnsi="Century Schoolbook"/>
        </w:rPr>
        <w:t>in applying the parallel provisions</w:t>
      </w:r>
      <w:r>
        <w:rPr>
          <w:rFonts w:ascii="Century Schoolbook" w:hAnsi="Century Schoolbook"/>
        </w:rPr>
        <w:t xml:space="preserve"> of Penal Code section </w:t>
      </w:r>
      <w:r>
        <w:rPr>
          <w:rFonts w:ascii="Century Schoolbook" w:hAnsi="Century Schoolbook"/>
        </w:rPr>
        <w:t xml:space="preserve">11172, these purposes readily </w:t>
      </w:r>
      <w:r>
        <w:rPr>
          <w:rFonts w:ascii="Century Schoolbook" w:hAnsi="Century Schoolbook"/>
        </w:rPr>
        <w:t xml:space="preserve">compel the conclusion that the absolute immunity afforded to mandated reporters </w:t>
      </w:r>
      <w:r>
        <w:rPr>
          <w:rFonts w:ascii="Century Schoolbook" w:hAnsi="Century Schoolbook"/>
        </w:rPr>
        <w:t xml:space="preserve">by the Legislature </w:t>
      </w:r>
      <w:r>
        <w:rPr>
          <w:rFonts w:ascii="Century Schoolbook" w:hAnsi="Century Schoolbook"/>
        </w:rPr>
        <w:t>in section 15634(a)</w:t>
      </w:r>
      <w:r>
        <w:rPr>
          <w:rFonts w:ascii="Century Schoolbook" w:hAnsi="Century Schoolbook"/>
        </w:rPr>
        <w:t>—“sweeping in its breadth” (</w:t>
      </w:r>
      <w:r w:rsidRPr="00F57498">
        <w:rPr>
          <w:rFonts w:ascii="Century Schoolbook" w:hAnsi="Century Schoolbook"/>
          <w:i/>
          <w:iCs/>
        </w:rPr>
        <w:t>Easton, supra</w:t>
      </w:r>
      <w:r>
        <w:rPr>
          <w:rFonts w:ascii="Century Schoolbook" w:hAnsi="Century Schoolbook"/>
        </w:rPr>
        <w:t>, 80 Cal.App.4th at p. 491)—</w:t>
      </w:r>
      <w:r>
        <w:rPr>
          <w:rFonts w:ascii="Century Schoolbook" w:hAnsi="Century Schoolbook"/>
        </w:rPr>
        <w:t>extends to knowi</w:t>
      </w:r>
      <w:r>
        <w:rPr>
          <w:rFonts w:ascii="Century Schoolbook" w:hAnsi="Century Schoolbook"/>
        </w:rPr>
        <w:t>ngly false or fabricated reports.</w:t>
      </w:r>
      <w:r>
        <w:rPr>
          <w:rFonts w:ascii="Century Schoolbook" w:hAnsi="Century Schoolbook"/>
        </w:rPr>
        <w:t xml:space="preserve"> </w:t>
      </w:r>
    </w:p>
    <w:p w14:paraId="5CBFBD5C" w14:textId="77777777" w:rsidR="00F94B4C"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Among these reasons are that the Legislature enacted section 15634(a) </w:t>
      </w:r>
      <w:r>
        <w:rPr>
          <w:rFonts w:ascii="Century Schoolbook" w:hAnsi="Century Schoolbook"/>
        </w:rPr>
        <w:t xml:space="preserve">in 1985 some five years </w:t>
      </w:r>
      <w:r w:rsidRPr="00FC752F">
        <w:rPr>
          <w:rFonts w:ascii="Century Schoolbook" w:hAnsi="Century Schoolbook"/>
          <w:i/>
          <w:iCs/>
        </w:rPr>
        <w:t>after</w:t>
      </w:r>
      <w:r>
        <w:rPr>
          <w:rFonts w:ascii="Century Schoolbook" w:hAnsi="Century Schoolbook"/>
        </w:rPr>
        <w:t xml:space="preserve"> the parallel Penal Code section 11172 had been so interpreted by courts</w:t>
      </w:r>
      <w:r>
        <w:rPr>
          <w:rFonts w:ascii="Century Schoolbook" w:hAnsi="Century Schoolbook"/>
        </w:rPr>
        <w:t xml:space="preserve"> and amended to delete the requirement that a man</w:t>
      </w:r>
      <w:r>
        <w:rPr>
          <w:rFonts w:ascii="Century Schoolbook" w:hAnsi="Century Schoolbook"/>
        </w:rPr>
        <w:t>dated reporter’s immunity for a false report turned on knowledge of the falsity</w:t>
      </w:r>
      <w:r>
        <w:rPr>
          <w:rFonts w:ascii="Century Schoolbook" w:hAnsi="Century Schoolbook"/>
        </w:rPr>
        <w:t xml:space="preserve">. </w:t>
      </w:r>
      <w:r>
        <w:rPr>
          <w:rFonts w:ascii="Century Schoolbook" w:hAnsi="Century Schoolbook"/>
        </w:rPr>
        <w:t>(</w:t>
      </w:r>
      <w:r w:rsidRPr="007D3EF9">
        <w:rPr>
          <w:rFonts w:ascii="Century Schoolbook" w:hAnsi="Century Schoolbook"/>
          <w:i/>
          <w:iCs/>
        </w:rPr>
        <w:t>Easton, supra</w:t>
      </w:r>
      <w:r>
        <w:rPr>
          <w:rFonts w:ascii="Century Schoolbook" w:hAnsi="Century Schoolbook"/>
        </w:rPr>
        <w:t xml:space="preserve">, 80 Cal.App.4th at p. </w:t>
      </w:r>
      <w:r w:rsidRPr="00FC752F">
        <w:rPr>
          <w:rFonts w:ascii="Century Schoolbook" w:hAnsi="Century Schoolbook"/>
        </w:rPr>
        <w:t>492</w:t>
      </w:r>
      <w:r>
        <w:rPr>
          <w:rFonts w:ascii="Century Schoolbook" w:hAnsi="Century Schoolbook"/>
        </w:rPr>
        <w:t xml:space="preserve"> [Legislature’s 1980 deletion of </w:t>
      </w:r>
      <w:r>
        <w:rPr>
          <w:rFonts w:ascii="Century Schoolbook" w:hAnsi="Century Schoolbook"/>
        </w:rPr>
        <w:t xml:space="preserve">requirement in Pen. Code, § 11172 that a mandated reporter’s immunity from liability for a false report of child abuse turn on </w:t>
      </w:r>
      <w:r>
        <w:rPr>
          <w:rFonts w:ascii="Century Schoolbook" w:hAnsi="Century Schoolbook"/>
        </w:rPr>
        <w:t>knowledge of falsity</w:t>
      </w:r>
      <w:r>
        <w:rPr>
          <w:rFonts w:ascii="Century Schoolbook" w:hAnsi="Century Schoolbook"/>
        </w:rPr>
        <w:t xml:space="preserve"> changed such immunity from qualified to absolute]</w:t>
      </w:r>
      <w:r>
        <w:rPr>
          <w:rFonts w:ascii="Century Schoolbook" w:hAnsi="Century Schoolbook"/>
        </w:rPr>
        <w:t xml:space="preserve">; </w:t>
      </w:r>
      <w:r w:rsidRPr="006670C1">
        <w:rPr>
          <w:rFonts w:ascii="Century Schoolbook" w:hAnsi="Century Schoolbook"/>
          <w:i/>
          <w:iCs/>
        </w:rPr>
        <w:t xml:space="preserve">Storch, </w:t>
      </w:r>
      <w:r w:rsidRPr="006670C1">
        <w:rPr>
          <w:rFonts w:ascii="Century Schoolbook" w:hAnsi="Century Schoolbook"/>
          <w:i/>
          <w:iCs/>
        </w:rPr>
        <w:t>supra</w:t>
      </w:r>
      <w:r w:rsidRPr="006670C1">
        <w:rPr>
          <w:rFonts w:ascii="Century Schoolbook" w:hAnsi="Century Schoolbook"/>
        </w:rPr>
        <w:t>, 186 Cal.App.3d at pp.</w:t>
      </w:r>
      <w:r>
        <w:rPr>
          <w:rFonts w:ascii="Century Schoolbook" w:hAnsi="Century Schoolbook"/>
        </w:rPr>
        <w:t> </w:t>
      </w:r>
      <w:r w:rsidRPr="006670C1">
        <w:rPr>
          <w:rFonts w:ascii="Century Schoolbook" w:hAnsi="Century Schoolbook"/>
        </w:rPr>
        <w:t>671, 679</w:t>
      </w:r>
      <w:r>
        <w:rPr>
          <w:rFonts w:ascii="Century Schoolbook" w:hAnsi="Century Schoolbook"/>
        </w:rPr>
        <w:t>–</w:t>
      </w:r>
      <w:r w:rsidRPr="006670C1">
        <w:rPr>
          <w:rFonts w:ascii="Century Schoolbook" w:hAnsi="Century Schoolbook"/>
        </w:rPr>
        <w:t>681</w:t>
      </w:r>
      <w:r w:rsidRPr="006670C1">
        <w:rPr>
          <w:rFonts w:ascii="Century Schoolbook" w:hAnsi="Century Schoolbook"/>
        </w:rPr>
        <w:t xml:space="preserve"> [same]</w:t>
      </w:r>
      <w:r w:rsidRPr="006670C1">
        <w:rPr>
          <w:rFonts w:ascii="Century Schoolbook" w:hAnsi="Century Schoolbook"/>
        </w:rPr>
        <w:t>;</w:t>
      </w:r>
      <w:r w:rsidRPr="006670C1">
        <w:rPr>
          <w:rFonts w:ascii="Century Schoolbook" w:hAnsi="Century Schoolbook"/>
        </w:rPr>
        <w:t xml:space="preserve"> </w:t>
      </w:r>
      <w:r w:rsidRPr="006670C1">
        <w:rPr>
          <w:rFonts w:ascii="Century Schoolbook" w:hAnsi="Century Schoolbook"/>
          <w:i/>
          <w:iCs/>
        </w:rPr>
        <w:t>Arce</w:t>
      </w:r>
      <w:r w:rsidRPr="006670C1">
        <w:rPr>
          <w:rFonts w:ascii="Century Schoolbook" w:hAnsi="Century Schoolbook"/>
          <w:i/>
          <w:iCs/>
        </w:rPr>
        <w:t>, supra</w:t>
      </w:r>
      <w:r w:rsidRPr="006670C1">
        <w:rPr>
          <w:rFonts w:ascii="Century Schoolbook" w:hAnsi="Century Schoolbook"/>
        </w:rPr>
        <w:t xml:space="preserve">, 211 Cal.App.4th at </w:t>
      </w:r>
      <w:r w:rsidRPr="006670C1">
        <w:rPr>
          <w:rFonts w:ascii="Century Schoolbook" w:hAnsi="Century Schoolbook"/>
        </w:rPr>
        <w:t>p. 1492</w:t>
      </w:r>
      <w:r>
        <w:rPr>
          <w:rFonts w:ascii="Century Schoolbook" w:hAnsi="Century Schoolbook"/>
        </w:rPr>
        <w:t xml:space="preserve">; see p. </w:t>
      </w:r>
      <w:r w:rsidRPr="006670C1">
        <w:rPr>
          <w:rFonts w:ascii="Century Schoolbook" w:hAnsi="Century Schoolbook"/>
        </w:rPr>
        <w:t>1493 [absolute immunity afforded to mandated reporters of child abuse extends to “</w:t>
      </w:r>
      <w:r>
        <w:rPr>
          <w:rFonts w:ascii="Century Schoolbook" w:hAnsi="Century Schoolbook"/>
        </w:rPr>
        <w:t> </w:t>
      </w:r>
      <w:r>
        <w:rPr>
          <w:rFonts w:ascii="Century Schoolbook" w:hAnsi="Century Schoolbook"/>
        </w:rPr>
        <w:t>‘</w:t>
      </w:r>
      <w:r w:rsidRPr="006670C1">
        <w:rPr>
          <w:rFonts w:ascii="Century Schoolbook" w:hAnsi="Century Schoolbook"/>
        </w:rPr>
        <w:t>false and malicious</w:t>
      </w:r>
      <w:r>
        <w:rPr>
          <w:rFonts w:ascii="Century Schoolbook" w:hAnsi="Century Schoolbook"/>
        </w:rPr>
        <w:t xml:space="preserve">’ </w:t>
      </w:r>
      <w:r w:rsidRPr="006670C1">
        <w:rPr>
          <w:rFonts w:ascii="Century Schoolbook" w:hAnsi="Century Schoolbook"/>
        </w:rPr>
        <w:t>” reports]</w:t>
      </w:r>
      <w:r>
        <w:rPr>
          <w:rFonts w:ascii="Century Schoolbook" w:hAnsi="Century Schoolbook"/>
        </w:rPr>
        <w:t xml:space="preserve">.) </w:t>
      </w:r>
      <w:r>
        <w:rPr>
          <w:rFonts w:ascii="Century Schoolbook" w:hAnsi="Century Schoolbook"/>
        </w:rPr>
        <w:t xml:space="preserve">The Legislature is presumed to </w:t>
      </w:r>
      <w:r>
        <w:rPr>
          <w:rFonts w:ascii="Century Schoolbook" w:hAnsi="Century Schoolbook"/>
        </w:rPr>
        <w:t xml:space="preserve">have been aware of this interpretation and amendment </w:t>
      </w:r>
      <w:r>
        <w:rPr>
          <w:rFonts w:ascii="Century Schoolbook" w:hAnsi="Century Schoolbook"/>
        </w:rPr>
        <w:t>in th</w:t>
      </w:r>
      <w:r>
        <w:rPr>
          <w:rFonts w:ascii="Century Schoolbook" w:hAnsi="Century Schoolbook"/>
        </w:rPr>
        <w:t xml:space="preserve">e parallel statutory scheme </w:t>
      </w:r>
      <w:r>
        <w:rPr>
          <w:rFonts w:ascii="Century Schoolbook" w:hAnsi="Century Schoolbook"/>
        </w:rPr>
        <w:t xml:space="preserve">and </w:t>
      </w:r>
      <w:r>
        <w:rPr>
          <w:rFonts w:ascii="Century Schoolbook" w:hAnsi="Century Schoolbook"/>
        </w:rPr>
        <w:t xml:space="preserve">to have </w:t>
      </w:r>
      <w:r>
        <w:rPr>
          <w:rFonts w:ascii="Century Schoolbook" w:hAnsi="Century Schoolbook"/>
        </w:rPr>
        <w:t xml:space="preserve">intended the same result </w:t>
      </w:r>
      <w:r>
        <w:rPr>
          <w:rFonts w:ascii="Century Schoolbook" w:hAnsi="Century Schoolbook"/>
        </w:rPr>
        <w:t xml:space="preserve">when it </w:t>
      </w:r>
      <w:r>
        <w:rPr>
          <w:rFonts w:ascii="Century Schoolbook" w:hAnsi="Century Schoolbook"/>
        </w:rPr>
        <w:t>enacted section 15634(a), mirroring the same language.</w:t>
      </w:r>
      <w:r>
        <w:rPr>
          <w:rFonts w:ascii="Century Schoolbook" w:hAnsi="Century Schoolbook"/>
        </w:rPr>
        <w:t xml:space="preserve"> </w:t>
      </w:r>
      <w:r>
        <w:rPr>
          <w:rFonts w:ascii="Century Schoolbook" w:hAnsi="Century Schoolbook"/>
        </w:rPr>
        <w:t>(</w:t>
      </w:r>
      <w:r w:rsidRPr="001D004F">
        <w:rPr>
          <w:rFonts w:ascii="Century Schoolbook" w:hAnsi="Century Schoolbook"/>
          <w:i/>
          <w:iCs/>
        </w:rPr>
        <w:t>People v. May</w:t>
      </w:r>
      <w:r>
        <w:rPr>
          <w:rFonts w:ascii="Century Schoolbook" w:hAnsi="Century Schoolbook"/>
        </w:rPr>
        <w:t xml:space="preserve"> (2020) 47 Cal.App.5th 1001, </w:t>
      </w:r>
      <w:r>
        <w:rPr>
          <w:rFonts w:ascii="Century Schoolbook" w:hAnsi="Century Schoolbook"/>
        </w:rPr>
        <w:t>1008</w:t>
      </w:r>
      <w:r>
        <w:rPr>
          <w:rFonts w:ascii="Century Schoolbook" w:hAnsi="Century Schoolbook"/>
        </w:rPr>
        <w:t>–</w:t>
      </w:r>
      <w:r>
        <w:rPr>
          <w:rFonts w:ascii="Century Schoolbook" w:hAnsi="Century Schoolbook"/>
        </w:rPr>
        <w:t xml:space="preserve">1009 [Legislature presumed to know the law </w:t>
      </w:r>
      <w:r>
        <w:rPr>
          <w:rFonts w:ascii="Century Schoolbook" w:hAnsi="Century Schoolbook"/>
        </w:rPr>
        <w:t>when enacting new legislation or not acting in the face of judicial construction of statutes, and its intentions may be inferred from this action or inaction].)</w:t>
      </w:r>
    </w:p>
    <w:p w14:paraId="42D05A1F" w14:textId="77777777" w:rsidR="00323A4F" w:rsidRDefault="00F5385E" w:rsidP="00142B0E">
      <w:pPr>
        <w:rPr>
          <w:rFonts w:ascii="Century Schoolbook" w:hAnsi="Century Schoolbook"/>
        </w:rPr>
      </w:pPr>
      <w:r>
        <w:rPr>
          <w:rFonts w:ascii="Century Schoolbook" w:hAnsi="Century Schoolbook"/>
        </w:rPr>
        <w:tab/>
      </w:r>
      <w:r>
        <w:rPr>
          <w:rFonts w:ascii="Century Schoolbook" w:hAnsi="Century Schoolbook"/>
        </w:rPr>
        <w:t xml:space="preserve">Consideration of </w:t>
      </w:r>
      <w:r>
        <w:rPr>
          <w:rFonts w:ascii="Century Schoolbook" w:hAnsi="Century Schoolbook"/>
        </w:rPr>
        <w:t>the Act’s preamble</w:t>
      </w:r>
      <w:r>
        <w:rPr>
          <w:rFonts w:ascii="Century Schoolbook" w:hAnsi="Century Schoolbook"/>
        </w:rPr>
        <w:t>, which includes</w:t>
      </w:r>
      <w:r>
        <w:rPr>
          <w:rFonts w:ascii="Century Schoolbook" w:hAnsi="Century Schoolbook"/>
        </w:rPr>
        <w:t xml:space="preserve"> among</w:t>
      </w:r>
      <w:r>
        <w:rPr>
          <w:rFonts w:ascii="Century Schoolbook" w:hAnsi="Century Schoolbook"/>
        </w:rPr>
        <w:t xml:space="preserve"> </w:t>
      </w:r>
      <w:r>
        <w:rPr>
          <w:rFonts w:ascii="Century Schoolbook" w:hAnsi="Century Schoolbook"/>
        </w:rPr>
        <w:t xml:space="preserve">its </w:t>
      </w:r>
      <w:r>
        <w:rPr>
          <w:rFonts w:ascii="Century Schoolbook" w:hAnsi="Century Schoolbook"/>
        </w:rPr>
        <w:t xml:space="preserve">express purposes at section 15601, subdivision (c) </w:t>
      </w:r>
      <w:r>
        <w:rPr>
          <w:rFonts w:ascii="Century Schoolbook" w:hAnsi="Century Schoolbook"/>
        </w:rPr>
        <w:t xml:space="preserve">the </w:t>
      </w:r>
      <w:r>
        <w:rPr>
          <w:rFonts w:ascii="Century Schoolbook" w:hAnsi="Century Schoolbook"/>
        </w:rPr>
        <w:t xml:space="preserve">“protection under the law for all those persons who report suspected cases of abuse, </w:t>
      </w:r>
      <w:r w:rsidRPr="00B02108">
        <w:rPr>
          <w:rFonts w:ascii="Century Schoolbook" w:hAnsi="Century Schoolbook"/>
          <w:i/>
          <w:iCs/>
        </w:rPr>
        <w:t>provided that the report is not made with malicious intent</w:t>
      </w:r>
      <w:r>
        <w:rPr>
          <w:rFonts w:ascii="Century Schoolbook" w:hAnsi="Century Schoolbook"/>
        </w:rPr>
        <w:t xml:space="preserve">” </w:t>
      </w:r>
      <w:r>
        <w:rPr>
          <w:rFonts w:ascii="Century Schoolbook" w:hAnsi="Century Schoolbook"/>
        </w:rPr>
        <w:t xml:space="preserve">(italics added) </w:t>
      </w:r>
      <w:r>
        <w:rPr>
          <w:rFonts w:ascii="Century Schoolbook" w:hAnsi="Century Schoolbook"/>
        </w:rPr>
        <w:t>does not alter our conclusion</w:t>
      </w:r>
      <w:r>
        <w:rPr>
          <w:rFonts w:ascii="Century Schoolbook" w:hAnsi="Century Schoolbook"/>
        </w:rPr>
        <w:t>.</w:t>
      </w:r>
      <w:r>
        <w:rPr>
          <w:rFonts w:ascii="Century Schoolbook" w:hAnsi="Century Schoolbook"/>
        </w:rPr>
        <w:t xml:space="preserve"> While “statements of </w:t>
      </w:r>
      <w:r>
        <w:rPr>
          <w:rFonts w:ascii="Century Schoolbook" w:hAnsi="Century Schoolbook"/>
        </w:rPr>
        <w:t>[</w:t>
      </w:r>
      <w:r>
        <w:rPr>
          <w:rFonts w:ascii="Century Schoolbook" w:hAnsi="Century Schoolbook"/>
        </w:rPr>
        <w:t>express</w:t>
      </w:r>
      <w:r>
        <w:rPr>
          <w:rFonts w:ascii="Century Schoolbook" w:hAnsi="Century Schoolbook"/>
        </w:rPr>
        <w:t>]</w:t>
      </w:r>
      <w:r>
        <w:rPr>
          <w:rFonts w:ascii="Century Schoolbook" w:hAnsi="Century Schoolbook"/>
        </w:rPr>
        <w:t xml:space="preserve"> purpose or intent of legislation in a preamble” </w:t>
      </w:r>
      <w:r>
        <w:rPr>
          <w:rFonts w:ascii="Century Schoolbook" w:hAnsi="Century Schoolbook"/>
        </w:rPr>
        <w:lastRenderedPageBreak/>
        <w:t xml:space="preserve">may </w:t>
      </w:r>
      <w:r>
        <w:rPr>
          <w:rFonts w:ascii="Century Schoolbook" w:hAnsi="Century Schoolbook"/>
        </w:rPr>
        <w:t>“ ‘</w:t>
      </w:r>
      <w:r>
        <w:rPr>
          <w:rFonts w:ascii="Century Schoolbook" w:hAnsi="Century Schoolbook"/>
        </w:rPr>
        <w:t>properly be utilized as an aid in construing a statute,</w:t>
      </w:r>
      <w:r>
        <w:rPr>
          <w:rFonts w:ascii="Century Schoolbook" w:hAnsi="Century Schoolbook"/>
        </w:rPr>
        <w:t xml:space="preserve">’ </w:t>
      </w:r>
      <w:r>
        <w:rPr>
          <w:rFonts w:ascii="Century Schoolbook" w:hAnsi="Century Schoolbook"/>
        </w:rPr>
        <w:t xml:space="preserve">” they </w:t>
      </w:r>
      <w:r>
        <w:rPr>
          <w:rFonts w:ascii="Century Schoolbook" w:hAnsi="Century Schoolbook"/>
        </w:rPr>
        <w:t xml:space="preserve">are “not conclusive” or controlling and “ </w:t>
      </w:r>
      <w:r>
        <w:rPr>
          <w:rFonts w:ascii="Century Schoolbook" w:hAnsi="Century Schoolbook"/>
        </w:rPr>
        <w:t xml:space="preserve">‘do not confer power, determine rights, </w:t>
      </w:r>
      <w:r>
        <w:rPr>
          <w:rFonts w:ascii="Century Schoolbook" w:hAnsi="Century Schoolbook"/>
        </w:rPr>
        <w:t>or enlarge the scope o</w:t>
      </w:r>
      <w:r>
        <w:rPr>
          <w:rFonts w:ascii="Century Schoolbook" w:hAnsi="Century Schoolbook"/>
        </w:rPr>
        <w:t>f a measure.’ ” (</w:t>
      </w:r>
      <w:r w:rsidRPr="00DE28CB">
        <w:rPr>
          <w:rFonts w:ascii="Century Schoolbook" w:hAnsi="Century Schoolbook"/>
          <w:i/>
          <w:iCs/>
        </w:rPr>
        <w:t xml:space="preserve">Jackpot Harvesting Co., Inc. v. Superior Court </w:t>
      </w:r>
      <w:r>
        <w:rPr>
          <w:rFonts w:ascii="Century Schoolbook" w:hAnsi="Century Schoolbook"/>
        </w:rPr>
        <w:t>(2018) 26 Cal.App.5th 125, 153</w:t>
      </w:r>
      <w:r>
        <w:rPr>
          <w:rFonts w:ascii="Century Schoolbook" w:hAnsi="Century Schoolbook"/>
        </w:rPr>
        <w:t xml:space="preserve"> (</w:t>
      </w:r>
      <w:r w:rsidRPr="0048083A">
        <w:rPr>
          <w:rFonts w:ascii="Century Schoolbook" w:hAnsi="Century Schoolbook"/>
          <w:i/>
          <w:iCs/>
        </w:rPr>
        <w:t>Jackpot</w:t>
      </w:r>
      <w:r>
        <w:rPr>
          <w:rFonts w:ascii="Century Schoolbook" w:hAnsi="Century Schoolbook"/>
        </w:rPr>
        <w:t xml:space="preserve">); see also </w:t>
      </w:r>
      <w:r w:rsidRPr="0048083A">
        <w:rPr>
          <w:rFonts w:ascii="Century Schoolbook" w:hAnsi="Century Schoolbook"/>
          <w:i/>
          <w:iCs/>
        </w:rPr>
        <w:t>Carter v. Dept. of Veteran’s Affairs</w:t>
      </w:r>
      <w:r>
        <w:rPr>
          <w:rFonts w:ascii="Century Schoolbook" w:hAnsi="Century Schoolbook"/>
        </w:rPr>
        <w:t xml:space="preserve"> (2006) 38 Cal.4th 914, 925 [same]</w:t>
      </w:r>
      <w:r>
        <w:rPr>
          <w:rFonts w:ascii="Century Schoolbook" w:hAnsi="Century Schoolbook"/>
        </w:rPr>
        <w:t>.) Such statements can be “</w:t>
      </w:r>
      <w:r>
        <w:rPr>
          <w:rFonts w:ascii="Century Schoolbook" w:hAnsi="Century Schoolbook"/>
        </w:rPr>
        <w:t> </w:t>
      </w:r>
      <w:r>
        <w:rPr>
          <w:rFonts w:ascii="Century Schoolbook" w:hAnsi="Century Schoolbook"/>
        </w:rPr>
        <w:t xml:space="preserve">‘illuminating if a statute is ambiguous’ ” </w:t>
      </w:r>
      <w:r>
        <w:rPr>
          <w:rFonts w:ascii="Century Schoolbook" w:hAnsi="Century Schoolbook"/>
        </w:rPr>
        <w:t>and “ ‘may aid in the construction of doubtful clauses,’ ” but they “ ‘may not overturn a statute’s language’ ” or “</w:t>
      </w:r>
      <w:r>
        <w:rPr>
          <w:rFonts w:ascii="Symbol" w:hAnsi="Symbol"/>
        </w:rPr>
        <w:sym w:font="Symbol" w:char="F020"/>
      </w:r>
      <w:r>
        <w:rPr>
          <w:rFonts w:ascii="Century Schoolbook" w:hAnsi="Century Schoolbook"/>
        </w:rPr>
        <w:t xml:space="preserve">‘control </w:t>
      </w:r>
      <w:r>
        <w:rPr>
          <w:rFonts w:ascii="Century Schoolbook" w:hAnsi="Century Schoolbook"/>
        </w:rPr>
        <w:t>[its]</w:t>
      </w:r>
      <w:r>
        <w:rPr>
          <w:rFonts w:ascii="Century Schoolbook" w:hAnsi="Century Schoolbook"/>
        </w:rPr>
        <w:t xml:space="preserve"> substantive provisions</w:t>
      </w:r>
      <w:r>
        <w:rPr>
          <w:rFonts w:ascii="Century Schoolbook" w:hAnsi="Century Schoolbook"/>
        </w:rPr>
        <w:t xml:space="preserve">.’ ” </w:t>
      </w:r>
      <w:r>
        <w:rPr>
          <w:rFonts w:ascii="Century Schoolbook" w:hAnsi="Century Schoolbook"/>
        </w:rPr>
        <w:t>(</w:t>
      </w:r>
      <w:r w:rsidRPr="008D0994">
        <w:rPr>
          <w:rFonts w:ascii="Century Schoolbook" w:hAnsi="Century Schoolbook"/>
          <w:i/>
          <w:iCs/>
        </w:rPr>
        <w:t>Jackpot</w:t>
      </w:r>
      <w:r>
        <w:rPr>
          <w:rFonts w:ascii="Century Schoolbook" w:hAnsi="Century Schoolbook"/>
        </w:rPr>
        <w:t>, at p. 153.</w:t>
      </w:r>
      <w:r>
        <w:rPr>
          <w:rFonts w:ascii="Century Schoolbook" w:hAnsi="Century Schoolbook"/>
        </w:rPr>
        <w:t>)</w:t>
      </w:r>
      <w:r>
        <w:rPr>
          <w:rFonts w:ascii="Century Schoolbook" w:hAnsi="Century Schoolbook"/>
        </w:rPr>
        <w:t xml:space="preserve"> </w:t>
      </w:r>
    </w:p>
    <w:p w14:paraId="4E1E4016" w14:textId="77777777" w:rsidR="006670C1" w:rsidRDefault="00F5385E" w:rsidP="00142B0E">
      <w:pPr>
        <w:rPr>
          <w:rFonts w:ascii="Century Schoolbook" w:hAnsi="Century Schoolbook"/>
        </w:rPr>
      </w:pPr>
      <w:r>
        <w:rPr>
          <w:rFonts w:ascii="Century Schoolbook" w:hAnsi="Century Schoolbook"/>
        </w:rPr>
        <w:tab/>
      </w:r>
      <w:r>
        <w:rPr>
          <w:rFonts w:ascii="Century Schoolbook" w:hAnsi="Century Schoolbook"/>
        </w:rPr>
        <w:t>Further</w:t>
      </w:r>
      <w:r>
        <w:rPr>
          <w:rFonts w:ascii="Century Schoolbook" w:hAnsi="Century Schoolbook"/>
        </w:rPr>
        <w:t>,</w:t>
      </w:r>
      <w:r>
        <w:rPr>
          <w:rFonts w:ascii="Century Schoolbook" w:hAnsi="Century Schoolbook"/>
        </w:rPr>
        <w:t xml:space="preserve"> the Act’s </w:t>
      </w:r>
      <w:r>
        <w:rPr>
          <w:rFonts w:ascii="Century Schoolbook" w:hAnsi="Century Schoolbook"/>
        </w:rPr>
        <w:t xml:space="preserve">general </w:t>
      </w:r>
      <w:r>
        <w:rPr>
          <w:rFonts w:ascii="Century Schoolbook" w:hAnsi="Century Schoolbook"/>
        </w:rPr>
        <w:t>pre</w:t>
      </w:r>
      <w:r>
        <w:rPr>
          <w:rFonts w:ascii="Century Schoolbook" w:hAnsi="Century Schoolbook"/>
        </w:rPr>
        <w:t xml:space="preserve">amble at section 15601 with </w:t>
      </w:r>
      <w:r>
        <w:rPr>
          <w:rFonts w:ascii="Century Schoolbook" w:hAnsi="Century Schoolbook"/>
        </w:rPr>
        <w:t>the</w:t>
      </w:r>
      <w:r>
        <w:rPr>
          <w:rFonts w:ascii="Century Schoolbook" w:hAnsi="Century Schoolbook"/>
        </w:rPr>
        <w:t xml:space="preserve"> </w:t>
      </w:r>
      <w:r>
        <w:rPr>
          <w:rFonts w:ascii="Century Schoolbook" w:hAnsi="Century Schoolbook"/>
        </w:rPr>
        <w:t xml:space="preserve">clause </w:t>
      </w:r>
      <w:r>
        <w:rPr>
          <w:rFonts w:ascii="Century Schoolbook" w:hAnsi="Century Schoolbook"/>
        </w:rPr>
        <w:t xml:space="preserve">limiting </w:t>
      </w:r>
      <w:r>
        <w:rPr>
          <w:rFonts w:ascii="Century Schoolbook" w:hAnsi="Century Schoolbook"/>
        </w:rPr>
        <w:t>its purpose of protection for reporters of abuse</w:t>
      </w:r>
      <w:r>
        <w:rPr>
          <w:rFonts w:ascii="Century Schoolbook" w:hAnsi="Century Schoolbook"/>
        </w:rPr>
        <w:t xml:space="preserve"> </w:t>
      </w:r>
      <w:r>
        <w:rPr>
          <w:rFonts w:ascii="Century Schoolbook" w:hAnsi="Century Schoolbook"/>
        </w:rPr>
        <w:t xml:space="preserve">to those not acting maliciously </w:t>
      </w:r>
      <w:r>
        <w:rPr>
          <w:rFonts w:ascii="Century Schoolbook" w:hAnsi="Century Schoolbook"/>
        </w:rPr>
        <w:t>was enacted in 1982 (Stats. 1982, ch. 1184, § 3)</w:t>
      </w:r>
      <w:r>
        <w:rPr>
          <w:rFonts w:ascii="Century Schoolbook" w:hAnsi="Century Schoolbook"/>
        </w:rPr>
        <w:t>.</w:t>
      </w:r>
      <w:r>
        <w:rPr>
          <w:rFonts w:ascii="Century Schoolbook" w:hAnsi="Century Schoolbook"/>
        </w:rPr>
        <w:t xml:space="preserve"> </w:t>
      </w:r>
      <w:r>
        <w:rPr>
          <w:rFonts w:ascii="Century Schoolbook" w:hAnsi="Century Schoolbook"/>
        </w:rPr>
        <w:t>S</w:t>
      </w:r>
      <w:r>
        <w:rPr>
          <w:rFonts w:ascii="Century Schoolbook" w:hAnsi="Century Schoolbook"/>
        </w:rPr>
        <w:t>ection 15634(a)</w:t>
      </w:r>
      <w:r>
        <w:rPr>
          <w:rFonts w:ascii="Century Schoolbook" w:hAnsi="Century Schoolbook"/>
        </w:rPr>
        <w:t xml:space="preserve"> was </w:t>
      </w:r>
      <w:r>
        <w:rPr>
          <w:rFonts w:ascii="Century Schoolbook" w:hAnsi="Century Schoolbook"/>
        </w:rPr>
        <w:t xml:space="preserve">enacted </w:t>
      </w:r>
      <w:r>
        <w:rPr>
          <w:rFonts w:ascii="Century Schoolbook" w:hAnsi="Century Schoolbook"/>
        </w:rPr>
        <w:t xml:space="preserve">later, </w:t>
      </w:r>
      <w:r>
        <w:rPr>
          <w:rFonts w:ascii="Century Schoolbook" w:hAnsi="Century Schoolbook"/>
        </w:rPr>
        <w:t>in 1985 (Stats. 1985, ch. 1164, § 11)</w:t>
      </w:r>
      <w:r>
        <w:rPr>
          <w:rFonts w:ascii="Century Schoolbook" w:hAnsi="Century Schoolbook"/>
        </w:rPr>
        <w:t>,</w:t>
      </w:r>
      <w:r>
        <w:rPr>
          <w:rFonts w:ascii="Century Schoolbook" w:hAnsi="Century Schoolbook"/>
        </w:rPr>
        <w:t xml:space="preserve"> an</w:t>
      </w:r>
      <w:r>
        <w:rPr>
          <w:rFonts w:ascii="Century Schoolbook" w:hAnsi="Century Schoolbook"/>
        </w:rPr>
        <w:t>d</w:t>
      </w:r>
      <w:r>
        <w:rPr>
          <w:rFonts w:ascii="Century Schoolbook" w:hAnsi="Century Schoolbook"/>
        </w:rPr>
        <w:t xml:space="preserve"> is specific to immunity from liability</w:t>
      </w:r>
      <w:r>
        <w:rPr>
          <w:rFonts w:ascii="Century Schoolbook" w:hAnsi="Century Schoolbook"/>
        </w:rPr>
        <w:t xml:space="preserve"> under the Act</w:t>
      </w:r>
      <w:r>
        <w:rPr>
          <w:rFonts w:ascii="Century Schoolbook" w:hAnsi="Century Schoolbook"/>
        </w:rPr>
        <w:t xml:space="preserve">. </w:t>
      </w:r>
      <w:r>
        <w:rPr>
          <w:rFonts w:ascii="Century Schoolbook" w:hAnsi="Century Schoolbook"/>
        </w:rPr>
        <w:t xml:space="preserve">As </w:t>
      </w:r>
      <w:r>
        <w:rPr>
          <w:rFonts w:ascii="Century Schoolbook" w:hAnsi="Century Schoolbook"/>
        </w:rPr>
        <w:t>discussed</w:t>
      </w:r>
      <w:r>
        <w:rPr>
          <w:rFonts w:ascii="Century Schoolbook" w:hAnsi="Century Schoolbook"/>
        </w:rPr>
        <w:t>, i</w:t>
      </w:r>
      <w:r>
        <w:rPr>
          <w:rFonts w:ascii="Century Schoolbook" w:hAnsi="Century Schoolbook"/>
        </w:rPr>
        <w:t>t</w:t>
      </w:r>
      <w:r>
        <w:rPr>
          <w:rFonts w:ascii="Century Schoolbook" w:hAnsi="Century Schoolbook"/>
        </w:rPr>
        <w:t xml:space="preserve"> provides </w:t>
      </w:r>
      <w:r>
        <w:rPr>
          <w:rFonts w:ascii="Century Schoolbook" w:hAnsi="Century Schoolbook"/>
        </w:rPr>
        <w:t>absolute immunity for mandated reporters as distinct from</w:t>
      </w:r>
      <w:r>
        <w:rPr>
          <w:rFonts w:ascii="Century Schoolbook" w:hAnsi="Century Schoolbook"/>
        </w:rPr>
        <w:t xml:space="preserve"> </w:t>
      </w:r>
      <w:r>
        <w:rPr>
          <w:rFonts w:ascii="Century Schoolbook" w:hAnsi="Century Schoolbook"/>
        </w:rPr>
        <w:t>qualified immunity for nonmandated reporters</w:t>
      </w:r>
      <w:r>
        <w:rPr>
          <w:rFonts w:ascii="Century Schoolbook" w:hAnsi="Century Schoolbook"/>
        </w:rPr>
        <w:t>.</w:t>
      </w:r>
      <w:r>
        <w:rPr>
          <w:rFonts w:ascii="Century Schoolbook" w:hAnsi="Century Schoolbook"/>
        </w:rPr>
        <w:t xml:space="preserve"> “</w:t>
      </w:r>
      <w:r>
        <w:rPr>
          <w:rFonts w:ascii="Century Schoolbook" w:hAnsi="Century Schoolbook"/>
        </w:rPr>
        <w:t xml:space="preserve"> ‘ “</w:t>
      </w:r>
      <w:r>
        <w:rPr>
          <w:rFonts w:ascii="Century Schoolbook" w:hAnsi="Century Schoolbook"/>
        </w:rPr>
        <w:t xml:space="preserve">If conflicting </w:t>
      </w:r>
      <w:r>
        <w:rPr>
          <w:rFonts w:ascii="Century Schoolbook" w:hAnsi="Century Schoolbook"/>
        </w:rPr>
        <w:t xml:space="preserve">sections </w:t>
      </w:r>
      <w:r>
        <w:rPr>
          <w:rFonts w:ascii="Century Schoolbook" w:hAnsi="Century Schoolbook"/>
        </w:rPr>
        <w:t xml:space="preserve">cannot be reconciled, later </w:t>
      </w:r>
      <w:r>
        <w:rPr>
          <w:rFonts w:ascii="Century Schoolbook" w:hAnsi="Century Schoolbook"/>
        </w:rPr>
        <w:t>enactments supersede earlier ones [citation], and more specific provisions take precedence over more general ones.</w:t>
      </w:r>
      <w:r>
        <w:rPr>
          <w:rFonts w:ascii="Century Schoolbook" w:hAnsi="Century Schoolbook"/>
        </w:rPr>
        <w:t>” [Citation.]’ [Citations.]” (</w:t>
      </w:r>
      <w:r w:rsidRPr="00DE6A86">
        <w:rPr>
          <w:rFonts w:ascii="Century Schoolbook" w:hAnsi="Century Schoolbook"/>
          <w:i/>
          <w:iCs/>
        </w:rPr>
        <w:t>People v. Superior Court (Ortiz)</w:t>
      </w:r>
      <w:r>
        <w:rPr>
          <w:rFonts w:ascii="Century Schoolbook" w:hAnsi="Century Schoolbook"/>
        </w:rPr>
        <w:t xml:space="preserve"> (2022) 81 Cal.App.5th 851, 854.)</w:t>
      </w:r>
      <w:r>
        <w:rPr>
          <w:rFonts w:ascii="Century Schoolbook" w:hAnsi="Century Schoolbook"/>
        </w:rPr>
        <w:t xml:space="preserve"> </w:t>
      </w:r>
      <w:r>
        <w:rPr>
          <w:rFonts w:ascii="Century Schoolbook" w:hAnsi="Century Schoolbook"/>
        </w:rPr>
        <w:t xml:space="preserve">As section 15634(a) was later enacted and </w:t>
      </w:r>
      <w:r>
        <w:rPr>
          <w:rFonts w:ascii="Century Schoolbook" w:hAnsi="Century Schoolbook"/>
        </w:rPr>
        <w:t xml:space="preserve">is </w:t>
      </w:r>
      <w:r>
        <w:rPr>
          <w:rFonts w:ascii="Century Schoolbook" w:hAnsi="Century Schoolbook"/>
        </w:rPr>
        <w:t>m</w:t>
      </w:r>
      <w:r>
        <w:rPr>
          <w:rFonts w:ascii="Century Schoolbook" w:hAnsi="Century Schoolbook"/>
        </w:rPr>
        <w:t>ore specific to the topic of immunity</w:t>
      </w:r>
      <w:r>
        <w:rPr>
          <w:rFonts w:ascii="Century Schoolbook" w:hAnsi="Century Schoolbook"/>
        </w:rPr>
        <w:t xml:space="preserve">, to the extent the Act’s </w:t>
      </w:r>
      <w:r>
        <w:rPr>
          <w:rFonts w:ascii="Century Schoolbook" w:hAnsi="Century Schoolbook"/>
        </w:rPr>
        <w:t xml:space="preserve">earlier and more general </w:t>
      </w:r>
      <w:r>
        <w:rPr>
          <w:rFonts w:ascii="Century Schoolbook" w:hAnsi="Century Schoolbook"/>
        </w:rPr>
        <w:t>preamble exclude</w:t>
      </w:r>
      <w:r>
        <w:rPr>
          <w:rFonts w:ascii="Century Schoolbook" w:hAnsi="Century Schoolbook"/>
        </w:rPr>
        <w:t>s</w:t>
      </w:r>
      <w:r>
        <w:rPr>
          <w:rFonts w:ascii="Century Schoolbook" w:hAnsi="Century Schoolbook"/>
        </w:rPr>
        <w:t xml:space="preserve"> protection </w:t>
      </w:r>
      <w:r>
        <w:rPr>
          <w:rFonts w:ascii="Century Schoolbook" w:hAnsi="Century Schoolbook"/>
        </w:rPr>
        <w:t xml:space="preserve">for reporters of abuse who act “with malicious intent” (§ 15601, subd. (c)), this </w:t>
      </w:r>
      <w:r>
        <w:rPr>
          <w:rFonts w:ascii="Century Schoolbook" w:hAnsi="Century Schoolbook"/>
        </w:rPr>
        <w:t xml:space="preserve">preamble </w:t>
      </w:r>
      <w:r>
        <w:rPr>
          <w:rFonts w:ascii="Century Schoolbook" w:hAnsi="Century Schoolbook"/>
        </w:rPr>
        <w:t xml:space="preserve">cannot override or negate the </w:t>
      </w:r>
      <w:r>
        <w:rPr>
          <w:rFonts w:ascii="Century Schoolbook" w:hAnsi="Century Schoolbook"/>
        </w:rPr>
        <w:t>more generous immu</w:t>
      </w:r>
      <w:r>
        <w:rPr>
          <w:rFonts w:ascii="Century Schoolbook" w:hAnsi="Century Schoolbook"/>
        </w:rPr>
        <w:t xml:space="preserve">nity </w:t>
      </w:r>
      <w:r>
        <w:rPr>
          <w:rFonts w:ascii="Century Schoolbook" w:hAnsi="Century Schoolbook"/>
        </w:rPr>
        <w:t xml:space="preserve">afforded </w:t>
      </w:r>
      <w:r>
        <w:rPr>
          <w:rFonts w:ascii="Century Schoolbook" w:hAnsi="Century Schoolbook"/>
        </w:rPr>
        <w:t>to mandated reporters</w:t>
      </w:r>
      <w:r>
        <w:rPr>
          <w:rFonts w:ascii="Century Schoolbook" w:hAnsi="Century Schoolbook"/>
        </w:rPr>
        <w:t xml:space="preserve"> </w:t>
      </w:r>
      <w:r>
        <w:rPr>
          <w:rFonts w:ascii="Century Schoolbook" w:hAnsi="Century Schoolbook"/>
        </w:rPr>
        <w:t>at</w:t>
      </w:r>
      <w:r>
        <w:rPr>
          <w:rFonts w:ascii="Century Schoolbook" w:hAnsi="Century Schoolbook"/>
        </w:rPr>
        <w:t xml:space="preserve"> </w:t>
      </w:r>
      <w:r>
        <w:rPr>
          <w:rFonts w:ascii="Century Schoolbook" w:hAnsi="Century Schoolbook"/>
        </w:rPr>
        <w:t>section 15634(a).</w:t>
      </w:r>
    </w:p>
    <w:p w14:paraId="798D6A40" w14:textId="77777777" w:rsidR="002902FD" w:rsidRDefault="00F5385E" w:rsidP="00142B0E">
      <w:pPr>
        <w:rPr>
          <w:rFonts w:ascii="Century Schoolbook" w:hAnsi="Century Schoolbook"/>
        </w:rPr>
      </w:pPr>
      <w:r>
        <w:rPr>
          <w:rFonts w:ascii="Century Schoolbook" w:hAnsi="Century Schoolbook"/>
        </w:rPr>
        <w:tab/>
        <w:t xml:space="preserve">In sum, we see no reason to part with </w:t>
      </w:r>
      <w:r w:rsidRPr="00603116">
        <w:rPr>
          <w:rFonts w:ascii="Century Schoolbook" w:hAnsi="Century Schoolbook"/>
          <w:i/>
          <w:iCs/>
        </w:rPr>
        <w:t>Easton</w:t>
      </w:r>
      <w:r>
        <w:rPr>
          <w:rFonts w:ascii="Century Schoolbook" w:hAnsi="Century Schoolbook"/>
        </w:rPr>
        <w:t xml:space="preserve"> and </w:t>
      </w:r>
      <w:r w:rsidRPr="00603116">
        <w:rPr>
          <w:rFonts w:ascii="Century Schoolbook" w:hAnsi="Century Schoolbook"/>
          <w:i/>
          <w:iCs/>
        </w:rPr>
        <w:t>Santos</w:t>
      </w:r>
      <w:r>
        <w:rPr>
          <w:rFonts w:ascii="Century Schoolbook" w:hAnsi="Century Schoolbook"/>
        </w:rPr>
        <w:t xml:space="preserve">, </w:t>
      </w:r>
      <w:r>
        <w:rPr>
          <w:rFonts w:ascii="Century Schoolbook" w:hAnsi="Century Schoolbook"/>
        </w:rPr>
        <w:t xml:space="preserve">including their reliance on </w:t>
      </w:r>
      <w:r w:rsidRPr="00603116">
        <w:rPr>
          <w:rFonts w:ascii="Century Schoolbook" w:hAnsi="Century Schoolbook"/>
          <w:i/>
          <w:iCs/>
        </w:rPr>
        <w:t>Storch</w:t>
      </w:r>
      <w:r>
        <w:rPr>
          <w:rFonts w:ascii="Century Schoolbook" w:hAnsi="Century Schoolbook"/>
        </w:rPr>
        <w:t xml:space="preserve"> and </w:t>
      </w:r>
      <w:r w:rsidRPr="00603116">
        <w:rPr>
          <w:rFonts w:ascii="Century Schoolbook" w:hAnsi="Century Schoolbook"/>
          <w:i/>
          <w:iCs/>
        </w:rPr>
        <w:t>Arce</w:t>
      </w:r>
      <w:r>
        <w:rPr>
          <w:rFonts w:ascii="Century Schoolbook" w:hAnsi="Century Schoolbook"/>
        </w:rPr>
        <w:t xml:space="preserve">’s construction of Penal Code section 11172’s parallel immunity provisions for mandated reporters </w:t>
      </w:r>
      <w:r>
        <w:rPr>
          <w:rFonts w:ascii="Century Schoolbook" w:hAnsi="Century Schoolbook"/>
        </w:rPr>
        <w:t xml:space="preserve">of child abuse, in applying the absolute </w:t>
      </w:r>
      <w:r>
        <w:rPr>
          <w:rFonts w:ascii="Century Schoolbook" w:hAnsi="Century Schoolbook"/>
        </w:rPr>
        <w:t xml:space="preserve">the </w:t>
      </w:r>
      <w:r>
        <w:rPr>
          <w:rFonts w:ascii="Century Schoolbook" w:hAnsi="Century Schoolbook"/>
        </w:rPr>
        <w:t xml:space="preserve">immunity provision of section 15634(a) to mandated reporters of </w:t>
      </w:r>
      <w:r>
        <w:rPr>
          <w:rFonts w:ascii="Century Schoolbook" w:hAnsi="Century Schoolbook"/>
        </w:rPr>
        <w:lastRenderedPageBreak/>
        <w:t>elder and dependent</w:t>
      </w:r>
      <w:r>
        <w:rPr>
          <w:rFonts w:ascii="Century Schoolbook" w:hAnsi="Century Schoolbook"/>
        </w:rPr>
        <w:t>-</w:t>
      </w:r>
      <w:r>
        <w:rPr>
          <w:rFonts w:ascii="Century Schoolbook" w:hAnsi="Century Schoolbook"/>
        </w:rPr>
        <w:t xml:space="preserve">adult abuse. We accordingly reject Valero’s arguments urging that we apply the Act so as to </w:t>
      </w:r>
      <w:r>
        <w:rPr>
          <w:rFonts w:ascii="Century Schoolbook" w:hAnsi="Century Schoolbook"/>
        </w:rPr>
        <w:t xml:space="preserve">exclude from the absolute immunity </w:t>
      </w:r>
      <w:r>
        <w:rPr>
          <w:rFonts w:ascii="Century Schoolbook" w:hAnsi="Century Schoolbook"/>
        </w:rPr>
        <w:t xml:space="preserve">afforded to mandated reporters those reports that are </w:t>
      </w:r>
      <w:r>
        <w:rPr>
          <w:rFonts w:ascii="Century Schoolbook" w:hAnsi="Century Schoolbook"/>
        </w:rPr>
        <w:t xml:space="preserve">fabricated or </w:t>
      </w:r>
      <w:r>
        <w:rPr>
          <w:rFonts w:ascii="Century Schoolbook" w:hAnsi="Century Schoolbook"/>
        </w:rPr>
        <w:t xml:space="preserve">knowingly false.  </w:t>
      </w:r>
      <w:r>
        <w:rPr>
          <w:rFonts w:ascii="Century Schoolbook" w:hAnsi="Century Schoolbook"/>
        </w:rPr>
        <w:t xml:space="preserve">  </w:t>
      </w:r>
    </w:p>
    <w:p w14:paraId="4132066C" w14:textId="77777777" w:rsidR="00F706A7" w:rsidRPr="004D0F0E" w:rsidRDefault="00F5385E" w:rsidP="002902FD">
      <w:pPr>
        <w:pStyle w:val="ListParagraph"/>
        <w:numPr>
          <w:ilvl w:val="0"/>
          <w:numId w:val="13"/>
        </w:numPr>
        <w:rPr>
          <w:rFonts w:ascii="Century Schoolbook" w:hAnsi="Century Schoolbook"/>
          <w:i/>
          <w:iCs/>
        </w:rPr>
      </w:pPr>
      <w:r w:rsidRPr="004D0F0E">
        <w:rPr>
          <w:rFonts w:ascii="Century Schoolbook" w:hAnsi="Century Schoolbook"/>
          <w:i/>
          <w:iCs/>
        </w:rPr>
        <w:t>Dellard</w:t>
      </w:r>
      <w:r w:rsidRPr="004D0F0E">
        <w:rPr>
          <w:rFonts w:ascii="Century Schoolbook" w:hAnsi="Century Schoolbook"/>
          <w:i/>
          <w:iCs/>
        </w:rPr>
        <w:t xml:space="preserve"> is Also Immune From Suit F</w:t>
      </w:r>
      <w:r>
        <w:rPr>
          <w:rFonts w:ascii="Century Schoolbook" w:hAnsi="Century Schoolbook"/>
          <w:i/>
          <w:iCs/>
        </w:rPr>
        <w:t>or</w:t>
      </w:r>
      <w:r w:rsidRPr="004D0F0E">
        <w:rPr>
          <w:rFonts w:ascii="Century Schoolbook" w:hAnsi="Century Schoolbook"/>
          <w:i/>
          <w:iCs/>
        </w:rPr>
        <w:t xml:space="preserve"> Allegations of Her</w:t>
      </w:r>
      <w:r w:rsidRPr="004D0F0E">
        <w:rPr>
          <w:rFonts w:ascii="Century Schoolbook" w:hAnsi="Century Schoolbook"/>
          <w:i/>
          <w:iCs/>
        </w:rPr>
        <w:t xml:space="preserve"> Post-Report</w:t>
      </w:r>
      <w:r w:rsidRPr="004D0F0E">
        <w:rPr>
          <w:rFonts w:ascii="Century Schoolbook" w:hAnsi="Century Schoolbook"/>
          <w:i/>
          <w:iCs/>
        </w:rPr>
        <w:t>ing</w:t>
      </w:r>
      <w:r w:rsidRPr="004D0F0E">
        <w:rPr>
          <w:rFonts w:ascii="Century Schoolbook" w:hAnsi="Century Schoolbook"/>
          <w:i/>
          <w:iCs/>
        </w:rPr>
        <w:t xml:space="preserve"> </w:t>
      </w:r>
      <w:r w:rsidRPr="004D0F0E">
        <w:rPr>
          <w:rFonts w:ascii="Century Schoolbook" w:hAnsi="Century Schoolbook"/>
          <w:i/>
          <w:iCs/>
        </w:rPr>
        <w:t>Coerc</w:t>
      </w:r>
      <w:r>
        <w:rPr>
          <w:rFonts w:ascii="Century Schoolbook" w:hAnsi="Century Schoolbook"/>
          <w:i/>
          <w:iCs/>
        </w:rPr>
        <w:t>ion of</w:t>
      </w:r>
      <w:r w:rsidRPr="004D0F0E">
        <w:rPr>
          <w:rFonts w:ascii="Century Schoolbook" w:hAnsi="Century Schoolbook"/>
          <w:i/>
          <w:iCs/>
        </w:rPr>
        <w:t xml:space="preserve"> Barton</w:t>
      </w:r>
      <w:r>
        <w:rPr>
          <w:rFonts w:ascii="Century Schoolbook" w:hAnsi="Century Schoolbook"/>
          <w:i/>
          <w:iCs/>
        </w:rPr>
        <w:t xml:space="preserve"> to Corroborate the Report</w:t>
      </w:r>
      <w:r w:rsidRPr="004D0F0E">
        <w:rPr>
          <w:rFonts w:ascii="Century Schoolbook" w:hAnsi="Century Schoolbook"/>
          <w:i/>
          <w:iCs/>
        </w:rPr>
        <w:t xml:space="preserve"> </w:t>
      </w:r>
      <w:r w:rsidRPr="004D0F0E">
        <w:rPr>
          <w:rFonts w:ascii="Century Schoolbook" w:hAnsi="Century Schoolbook"/>
          <w:i/>
          <w:iCs/>
        </w:rPr>
        <w:t xml:space="preserve"> </w:t>
      </w:r>
      <w:r w:rsidRPr="004D0F0E">
        <w:rPr>
          <w:rFonts w:ascii="Century Schoolbook" w:hAnsi="Century Schoolbook"/>
          <w:i/>
          <w:iCs/>
        </w:rPr>
        <w:t xml:space="preserve"> </w:t>
      </w:r>
      <w:r w:rsidRPr="004D0F0E">
        <w:rPr>
          <w:rFonts w:ascii="Century Schoolbook" w:hAnsi="Century Schoolbook"/>
          <w:i/>
          <w:iCs/>
        </w:rPr>
        <w:t xml:space="preserve"> </w:t>
      </w:r>
    </w:p>
    <w:p w14:paraId="372D29BD" w14:textId="77777777" w:rsidR="00CF14B9" w:rsidRDefault="00F5385E" w:rsidP="004D0F0E">
      <w:pPr>
        <w:rPr>
          <w:rFonts w:ascii="Century Schoolbook" w:hAnsi="Century Schoolbook"/>
        </w:rPr>
      </w:pPr>
      <w:r>
        <w:tab/>
      </w:r>
      <w:r w:rsidRPr="004D0F0E">
        <w:rPr>
          <w:rFonts w:ascii="Century Schoolbook" w:hAnsi="Century Schoolbook"/>
        </w:rPr>
        <w:t xml:space="preserve">Valero contends that even if we conclude </w:t>
      </w:r>
      <w:r>
        <w:rPr>
          <w:rFonts w:ascii="Century Schoolbook" w:hAnsi="Century Schoolbook"/>
        </w:rPr>
        <w:t>Dellard is immune from liability for her</w:t>
      </w:r>
      <w:r w:rsidRPr="004D0F0E">
        <w:rPr>
          <w:rFonts w:ascii="Century Schoolbook" w:hAnsi="Century Schoolbook"/>
        </w:rPr>
        <w:t xml:space="preserve"> </w:t>
      </w:r>
      <w:r>
        <w:rPr>
          <w:rFonts w:ascii="Century Schoolbook" w:hAnsi="Century Schoolbook"/>
        </w:rPr>
        <w:t xml:space="preserve">alleged </w:t>
      </w:r>
      <w:r w:rsidRPr="004D0F0E">
        <w:rPr>
          <w:rFonts w:ascii="Century Schoolbook" w:hAnsi="Century Schoolbook"/>
        </w:rPr>
        <w:t xml:space="preserve">knowingly false report to law enforcement </w:t>
      </w:r>
      <w:r>
        <w:rPr>
          <w:rFonts w:ascii="Century Schoolbook" w:hAnsi="Century Schoolbook"/>
        </w:rPr>
        <w:t xml:space="preserve">about Valero’s abuse of Barton, Dellard’s later conduct of </w:t>
      </w:r>
      <w:r>
        <w:rPr>
          <w:rFonts w:ascii="Century Schoolbook" w:hAnsi="Century Schoolbook"/>
        </w:rPr>
        <w:t xml:space="preserve">“influencing, intimidating, and </w:t>
      </w:r>
      <w:r>
        <w:rPr>
          <w:rFonts w:ascii="Century Schoolbook" w:hAnsi="Century Schoolbook"/>
        </w:rPr>
        <w:t>coercing</w:t>
      </w:r>
      <w:r>
        <w:rPr>
          <w:rFonts w:ascii="Century Schoolbook" w:hAnsi="Century Schoolbook"/>
        </w:rPr>
        <w:t xml:space="preserve">” </w:t>
      </w:r>
      <w:r>
        <w:rPr>
          <w:rFonts w:ascii="Century Schoolbook" w:hAnsi="Century Schoolbook"/>
        </w:rPr>
        <w:t xml:space="preserve">Barton to corroborate </w:t>
      </w:r>
      <w:r>
        <w:rPr>
          <w:rFonts w:ascii="Century Schoolbook" w:hAnsi="Century Schoolbook"/>
        </w:rPr>
        <w:t>h</w:t>
      </w:r>
      <w:r>
        <w:rPr>
          <w:rFonts w:ascii="Century Schoolbook" w:hAnsi="Century Schoolbook"/>
        </w:rPr>
        <w:t>er</w:t>
      </w:r>
      <w:r>
        <w:rPr>
          <w:rFonts w:ascii="Century Schoolbook" w:hAnsi="Century Schoolbook"/>
        </w:rPr>
        <w:t xml:space="preserve"> false report is still actionable. </w:t>
      </w:r>
      <w:r>
        <w:rPr>
          <w:rFonts w:ascii="Century Schoolbook" w:hAnsi="Century Schoolbook"/>
        </w:rPr>
        <w:t xml:space="preserve">While acknowledging factual differences, </w:t>
      </w:r>
      <w:r>
        <w:rPr>
          <w:rFonts w:ascii="Century Schoolbook" w:hAnsi="Century Schoolbook"/>
        </w:rPr>
        <w:t xml:space="preserve">Valero relies on </w:t>
      </w:r>
      <w:r w:rsidRPr="00CF14B9">
        <w:rPr>
          <w:rFonts w:ascii="Century Schoolbook" w:hAnsi="Century Schoolbook"/>
          <w:i/>
          <w:iCs/>
        </w:rPr>
        <w:t>James W.</w:t>
      </w:r>
      <w:r>
        <w:rPr>
          <w:rFonts w:ascii="Century Schoolbook" w:hAnsi="Century Schoolbook"/>
          <w:i/>
          <w:iCs/>
        </w:rPr>
        <w:t xml:space="preserve">, </w:t>
      </w:r>
      <w:r>
        <w:rPr>
          <w:rFonts w:ascii="Century Schoolbook" w:hAnsi="Century Schoolbook"/>
          <w:i/>
          <w:iCs/>
        </w:rPr>
        <w:t xml:space="preserve">supra, </w:t>
      </w:r>
      <w:r w:rsidRPr="00C950BB">
        <w:rPr>
          <w:rFonts w:ascii="Century Schoolbook" w:hAnsi="Century Schoolbook"/>
        </w:rPr>
        <w:t>17 Cal.App.4th 246</w:t>
      </w:r>
      <w:r>
        <w:rPr>
          <w:rFonts w:ascii="Century Schoolbook" w:hAnsi="Century Schoolbook"/>
          <w:i/>
          <w:iCs/>
        </w:rPr>
        <w:t xml:space="preserve">, </w:t>
      </w:r>
      <w:r w:rsidRPr="000B506D">
        <w:rPr>
          <w:rFonts w:ascii="Century Schoolbook" w:hAnsi="Century Schoolbook"/>
        </w:rPr>
        <w:t>which</w:t>
      </w:r>
      <w:r>
        <w:rPr>
          <w:rFonts w:ascii="Century Schoolbook" w:hAnsi="Century Schoolbook"/>
          <w:i/>
          <w:iCs/>
        </w:rPr>
        <w:t xml:space="preserve"> </w:t>
      </w:r>
      <w:r w:rsidRPr="00CF14B9">
        <w:rPr>
          <w:rFonts w:ascii="Century Schoolbook" w:hAnsi="Century Schoolbook"/>
        </w:rPr>
        <w:t>appli</w:t>
      </w:r>
      <w:r>
        <w:rPr>
          <w:rFonts w:ascii="Century Schoolbook" w:hAnsi="Century Schoolbook"/>
        </w:rPr>
        <w:t>ed</w:t>
      </w:r>
      <w:r w:rsidRPr="00CF14B9">
        <w:rPr>
          <w:rFonts w:ascii="Century Schoolbook" w:hAnsi="Century Schoolbook"/>
        </w:rPr>
        <w:t xml:space="preserve"> Penal Code section 11172</w:t>
      </w:r>
      <w:r>
        <w:rPr>
          <w:rFonts w:ascii="Century Schoolbook" w:hAnsi="Century Schoolbook"/>
          <w:i/>
          <w:iCs/>
        </w:rPr>
        <w:t>,</w:t>
      </w:r>
      <w:r>
        <w:rPr>
          <w:rFonts w:ascii="Century Schoolbook" w:hAnsi="Century Schoolbook"/>
        </w:rPr>
        <w:t xml:space="preserve"> for support</w:t>
      </w:r>
      <w:r>
        <w:rPr>
          <w:rFonts w:ascii="Century Schoolbook" w:hAnsi="Century Schoolbook"/>
        </w:rPr>
        <w:t>. She</w:t>
      </w:r>
      <w:r>
        <w:rPr>
          <w:rFonts w:ascii="Century Schoolbook" w:hAnsi="Century Schoolbook"/>
        </w:rPr>
        <w:t xml:space="preserve"> </w:t>
      </w:r>
      <w:r>
        <w:rPr>
          <w:rFonts w:ascii="Century Schoolbook" w:hAnsi="Century Schoolbook"/>
        </w:rPr>
        <w:t>argu</w:t>
      </w:r>
      <w:r>
        <w:rPr>
          <w:rFonts w:ascii="Century Schoolbook" w:hAnsi="Century Schoolbook"/>
        </w:rPr>
        <w:t>es</w:t>
      </w:r>
      <w:r>
        <w:rPr>
          <w:rFonts w:ascii="Century Schoolbook" w:hAnsi="Century Schoolbook"/>
        </w:rPr>
        <w:t xml:space="preserve"> that </w:t>
      </w:r>
      <w:r>
        <w:rPr>
          <w:rFonts w:ascii="Century Schoolbook" w:hAnsi="Century Schoolbook"/>
        </w:rPr>
        <w:t xml:space="preserve">like in </w:t>
      </w:r>
      <w:r w:rsidRPr="0042589E">
        <w:rPr>
          <w:rFonts w:ascii="Century Schoolbook" w:hAnsi="Century Schoolbook"/>
          <w:i/>
          <w:iCs/>
        </w:rPr>
        <w:t>James W</w:t>
      </w:r>
      <w:r>
        <w:rPr>
          <w:rFonts w:ascii="Century Schoolbook" w:hAnsi="Century Schoolbook"/>
        </w:rPr>
        <w:t xml:space="preserve">., </w:t>
      </w:r>
      <w:r>
        <w:rPr>
          <w:rFonts w:ascii="Century Schoolbook" w:hAnsi="Century Schoolbook"/>
        </w:rPr>
        <w:t xml:space="preserve">Dellard’s later </w:t>
      </w:r>
      <w:r>
        <w:rPr>
          <w:rFonts w:ascii="Century Schoolbook" w:hAnsi="Century Schoolbook"/>
        </w:rPr>
        <w:t>coercion of</w:t>
      </w:r>
      <w:r>
        <w:rPr>
          <w:rFonts w:ascii="Century Schoolbook" w:hAnsi="Century Schoolbook"/>
        </w:rPr>
        <w:t xml:space="preserve"> Barton was </w:t>
      </w:r>
      <w:r>
        <w:rPr>
          <w:rFonts w:ascii="Century Schoolbook" w:hAnsi="Century Schoolbook"/>
        </w:rPr>
        <w:t xml:space="preserve">conduct </w:t>
      </w:r>
      <w:r>
        <w:rPr>
          <w:rFonts w:ascii="Century Schoolbook" w:hAnsi="Century Schoolbook"/>
        </w:rPr>
        <w:t>apart from any of her duties as a mandated reporter</w:t>
      </w:r>
      <w:r>
        <w:rPr>
          <w:rFonts w:ascii="Century Schoolbook" w:hAnsi="Century Schoolbook"/>
        </w:rPr>
        <w:t xml:space="preserve"> and </w:t>
      </w:r>
      <w:r>
        <w:rPr>
          <w:rFonts w:ascii="Century Schoolbook" w:hAnsi="Century Schoolbook"/>
        </w:rPr>
        <w:t xml:space="preserve">was </w:t>
      </w:r>
      <w:r>
        <w:rPr>
          <w:rFonts w:ascii="Century Schoolbook" w:hAnsi="Century Schoolbook"/>
        </w:rPr>
        <w:t>instead as a “</w:t>
      </w:r>
      <w:r>
        <w:rPr>
          <w:rFonts w:ascii="Century Schoolbook" w:hAnsi="Century Schoolbook"/>
        </w:rPr>
        <w:t>—</w:t>
      </w:r>
      <w:r>
        <w:rPr>
          <w:rFonts w:ascii="Century Schoolbook" w:hAnsi="Century Schoolbook"/>
        </w:rPr>
        <w:t>‘private citizen[] [who became] deeply enmeshed in investigatory or prosecutorial activities and [took] on functions of the police</w:t>
      </w:r>
      <w:r>
        <w:rPr>
          <w:rFonts w:ascii="Century Schoolbook" w:hAnsi="Century Schoolbook"/>
        </w:rPr>
        <w:t>.</w:t>
      </w:r>
      <w:r>
        <w:rPr>
          <w:rFonts w:ascii="Century Schoolbook" w:hAnsi="Century Schoolbook"/>
        </w:rPr>
        <w:t xml:space="preserve">’ ” </w:t>
      </w:r>
      <w:r>
        <w:rPr>
          <w:rFonts w:ascii="Century Schoolbook" w:hAnsi="Century Schoolbook"/>
        </w:rPr>
        <w:t xml:space="preserve">Her </w:t>
      </w:r>
      <w:r>
        <w:rPr>
          <w:rFonts w:ascii="Century Schoolbook" w:hAnsi="Century Schoolbook"/>
        </w:rPr>
        <w:t>conduct</w:t>
      </w:r>
      <w:r>
        <w:rPr>
          <w:rFonts w:ascii="Century Schoolbook" w:hAnsi="Century Schoolbook"/>
        </w:rPr>
        <w:t>, Valero argues</w:t>
      </w:r>
      <w:r>
        <w:rPr>
          <w:rFonts w:ascii="Century Schoolbook" w:hAnsi="Century Schoolbook"/>
        </w:rPr>
        <w:t>,</w:t>
      </w:r>
      <w:r>
        <w:rPr>
          <w:rFonts w:ascii="Century Schoolbook" w:hAnsi="Century Schoolbook"/>
        </w:rPr>
        <w:t xml:space="preserve"> </w:t>
      </w:r>
      <w:r>
        <w:rPr>
          <w:rFonts w:ascii="Century Schoolbook" w:hAnsi="Century Schoolbook"/>
        </w:rPr>
        <w:t xml:space="preserve">therefore exceeds the scope of </w:t>
      </w:r>
      <w:r>
        <w:rPr>
          <w:rFonts w:ascii="Century Schoolbook" w:hAnsi="Century Schoolbook"/>
        </w:rPr>
        <w:t xml:space="preserve">reporting </w:t>
      </w:r>
      <w:r>
        <w:rPr>
          <w:rFonts w:ascii="Century Schoolbook" w:hAnsi="Century Schoolbook"/>
        </w:rPr>
        <w:t>immunity under section 15634(a)</w:t>
      </w:r>
      <w:r>
        <w:rPr>
          <w:rFonts w:ascii="Century Schoolbook" w:hAnsi="Century Schoolbook"/>
        </w:rPr>
        <w:t>. We reject this contention.</w:t>
      </w:r>
    </w:p>
    <w:p w14:paraId="5AA6FC98" w14:textId="77777777" w:rsidR="00B17443" w:rsidRDefault="00F5385E" w:rsidP="004D0F0E">
      <w:pPr>
        <w:rPr>
          <w:rFonts w:ascii="Century Schoolbook" w:hAnsi="Century Schoolbook"/>
        </w:rPr>
      </w:pPr>
      <w:r>
        <w:rPr>
          <w:rFonts w:ascii="Century Schoolbook" w:hAnsi="Century Schoolbook"/>
        </w:rPr>
        <w:tab/>
        <w:t xml:space="preserve">As noted above, the </w:t>
      </w:r>
      <w:r w:rsidRPr="00EA3217">
        <w:rPr>
          <w:rFonts w:ascii="Century Schoolbook" w:hAnsi="Century Schoolbook"/>
          <w:i/>
          <w:iCs/>
        </w:rPr>
        <w:t>Santos</w:t>
      </w:r>
      <w:r>
        <w:rPr>
          <w:rFonts w:ascii="Century Schoolbook" w:hAnsi="Century Schoolbook"/>
        </w:rPr>
        <w:t xml:space="preserve"> court re</w:t>
      </w:r>
      <w:r>
        <w:rPr>
          <w:rFonts w:ascii="Century Schoolbook" w:hAnsi="Century Schoolbook"/>
        </w:rPr>
        <w:t>buffed</w:t>
      </w:r>
      <w:r>
        <w:rPr>
          <w:rFonts w:ascii="Century Schoolbook" w:hAnsi="Century Schoolbook"/>
        </w:rPr>
        <w:t xml:space="preserve"> </w:t>
      </w:r>
      <w:r>
        <w:rPr>
          <w:rFonts w:ascii="Century Schoolbook" w:hAnsi="Century Schoolbook"/>
        </w:rPr>
        <w:t xml:space="preserve">efforts </w:t>
      </w:r>
      <w:r>
        <w:rPr>
          <w:rFonts w:ascii="Century Schoolbook" w:hAnsi="Century Schoolbook"/>
        </w:rPr>
        <w:t xml:space="preserve">by the plaintiff </w:t>
      </w:r>
      <w:r>
        <w:rPr>
          <w:rFonts w:ascii="Century Schoolbook" w:hAnsi="Century Schoolbook"/>
        </w:rPr>
        <w:t xml:space="preserve">in that case to bring the facts within the holding of </w:t>
      </w:r>
      <w:r w:rsidRPr="00EA3217">
        <w:rPr>
          <w:rFonts w:ascii="Century Schoolbook" w:hAnsi="Century Schoolbook"/>
          <w:i/>
          <w:iCs/>
        </w:rPr>
        <w:t>James W</w:t>
      </w:r>
      <w:r>
        <w:rPr>
          <w:rFonts w:ascii="Century Schoolbook" w:hAnsi="Century Schoolbook"/>
        </w:rPr>
        <w:t>.</w:t>
      </w:r>
      <w:r>
        <w:rPr>
          <w:rFonts w:ascii="Century Schoolbook" w:hAnsi="Century Schoolbook"/>
        </w:rPr>
        <w:t>, finding the case before it “in sharp contrast.” (</w:t>
      </w:r>
      <w:r w:rsidRPr="00EA3217">
        <w:rPr>
          <w:rFonts w:ascii="Century Schoolbook" w:hAnsi="Century Schoolbook"/>
          <w:i/>
          <w:iCs/>
        </w:rPr>
        <w:t>Santos, supra</w:t>
      </w:r>
      <w:r>
        <w:rPr>
          <w:rFonts w:ascii="Century Schoolbook" w:hAnsi="Century Schoolbook"/>
        </w:rPr>
        <w:t xml:space="preserve">, 1 Cal.App.5th at p. 878.) In </w:t>
      </w:r>
      <w:r w:rsidRPr="00FA6EAF">
        <w:rPr>
          <w:rFonts w:ascii="Century Schoolbook" w:hAnsi="Century Schoolbook"/>
          <w:i/>
          <w:iCs/>
        </w:rPr>
        <w:t>James W</w:t>
      </w:r>
      <w:r>
        <w:rPr>
          <w:rFonts w:ascii="Century Schoolbook" w:hAnsi="Century Schoolbook"/>
        </w:rPr>
        <w:t xml:space="preserve">., </w:t>
      </w:r>
      <w:r>
        <w:rPr>
          <w:rFonts w:ascii="Century Schoolbook" w:hAnsi="Century Schoolbook"/>
        </w:rPr>
        <w:t>the court concluded that the immunity afforded under Penal Code section 11172 did not ext</w:t>
      </w:r>
      <w:r>
        <w:rPr>
          <w:rFonts w:ascii="Century Schoolbook" w:hAnsi="Century Schoolbook"/>
        </w:rPr>
        <w:t xml:space="preserve">end to conduct by foster parents and a family counselor, who, </w:t>
      </w:r>
      <w:r>
        <w:rPr>
          <w:rFonts w:ascii="Century Schoolbook" w:hAnsi="Century Schoolbook"/>
        </w:rPr>
        <w:t xml:space="preserve">for </w:t>
      </w:r>
      <w:r>
        <w:rPr>
          <w:rFonts w:ascii="Century Schoolbook" w:hAnsi="Century Schoolbook"/>
        </w:rPr>
        <w:t xml:space="preserve">over two and one-half years after the child victim had </w:t>
      </w:r>
      <w:r>
        <w:rPr>
          <w:rFonts w:ascii="Century Schoolbook" w:hAnsi="Century Schoolbook"/>
        </w:rPr>
        <w:t xml:space="preserve">initially </w:t>
      </w:r>
      <w:r>
        <w:rPr>
          <w:rFonts w:ascii="Century Schoolbook" w:hAnsi="Century Schoolbook"/>
        </w:rPr>
        <w:t xml:space="preserve">reported </w:t>
      </w:r>
      <w:r>
        <w:rPr>
          <w:rFonts w:ascii="Century Schoolbook" w:hAnsi="Century Schoolbook"/>
        </w:rPr>
        <w:t xml:space="preserve">to hospital staff </w:t>
      </w:r>
      <w:r>
        <w:rPr>
          <w:rFonts w:ascii="Century Schoolbook" w:hAnsi="Century Schoolbook"/>
        </w:rPr>
        <w:t>that a man had come through her bedroom window and hurt her, engaged in a “campaign to convict the</w:t>
      </w:r>
      <w:r>
        <w:rPr>
          <w:rFonts w:ascii="Century Schoolbook" w:hAnsi="Century Schoolbook"/>
        </w:rPr>
        <w:t xml:space="preserve"> father and have [the child] adopted</w:t>
      </w:r>
      <w:r>
        <w:rPr>
          <w:rFonts w:ascii="Century Schoolbook" w:hAnsi="Century Schoolbook"/>
        </w:rPr>
        <w:t>.</w:t>
      </w:r>
      <w:r>
        <w:rPr>
          <w:rFonts w:ascii="Century Schoolbook" w:hAnsi="Century Schoolbook"/>
        </w:rPr>
        <w:t>” (</w:t>
      </w:r>
      <w:r w:rsidRPr="005D2951">
        <w:rPr>
          <w:rFonts w:ascii="Century Schoolbook" w:hAnsi="Century Schoolbook"/>
          <w:i/>
          <w:iCs/>
        </w:rPr>
        <w:t>James, W., supra</w:t>
      </w:r>
      <w:r>
        <w:rPr>
          <w:rFonts w:ascii="Century Schoolbook" w:hAnsi="Century Schoolbook"/>
        </w:rPr>
        <w:t>, 17 Cal.App.4th at p. 249.) The defendants were alleged to have</w:t>
      </w:r>
      <w:r>
        <w:rPr>
          <w:rFonts w:ascii="Century Schoolbook" w:hAnsi="Century Schoolbook"/>
        </w:rPr>
        <w:t>,</w:t>
      </w:r>
      <w:r>
        <w:rPr>
          <w:rFonts w:ascii="Century Schoolbook" w:hAnsi="Century Schoolbook"/>
        </w:rPr>
        <w:t xml:space="preserve"> </w:t>
      </w:r>
      <w:r>
        <w:rPr>
          <w:rFonts w:ascii="Century Schoolbook" w:hAnsi="Century Schoolbook"/>
        </w:rPr>
        <w:t xml:space="preserve">“after </w:t>
      </w:r>
      <w:r>
        <w:rPr>
          <w:rFonts w:ascii="Century Schoolbook" w:hAnsi="Century Schoolbook"/>
        </w:rPr>
        <w:t>[</w:t>
      </w:r>
      <w:r>
        <w:rPr>
          <w:rFonts w:ascii="Century Schoolbook" w:hAnsi="Century Schoolbook"/>
        </w:rPr>
        <w:t>the</w:t>
      </w:r>
      <w:r>
        <w:rPr>
          <w:rFonts w:ascii="Century Schoolbook" w:hAnsi="Century Schoolbook"/>
        </w:rPr>
        <w:t>]</w:t>
      </w:r>
      <w:r>
        <w:rPr>
          <w:rFonts w:ascii="Century Schoolbook" w:hAnsi="Century Schoolbook"/>
        </w:rPr>
        <w:t xml:space="preserve"> child abuse had been positively identified and reported” (</w:t>
      </w:r>
      <w:r w:rsidRPr="005D2951">
        <w:rPr>
          <w:rFonts w:ascii="Century Schoolbook" w:hAnsi="Century Schoolbook"/>
          <w:i/>
          <w:iCs/>
        </w:rPr>
        <w:t>id.</w:t>
      </w:r>
      <w:r>
        <w:rPr>
          <w:rFonts w:ascii="Century Schoolbook" w:hAnsi="Century Schoolbook"/>
        </w:rPr>
        <w:t xml:space="preserve"> at p. 256), </w:t>
      </w:r>
      <w:r>
        <w:rPr>
          <w:rFonts w:ascii="Century Schoolbook" w:hAnsi="Century Schoolbook"/>
        </w:rPr>
        <w:t xml:space="preserve">and </w:t>
      </w:r>
      <w:r>
        <w:rPr>
          <w:rFonts w:ascii="Century Schoolbook" w:hAnsi="Century Schoolbook"/>
        </w:rPr>
        <w:lastRenderedPageBreak/>
        <w:t xml:space="preserve">for years, </w:t>
      </w:r>
      <w:r>
        <w:rPr>
          <w:rFonts w:ascii="Century Schoolbook" w:hAnsi="Century Schoolbook"/>
        </w:rPr>
        <w:t xml:space="preserve">pressured the child and </w:t>
      </w:r>
      <w:r>
        <w:rPr>
          <w:rFonts w:ascii="Century Schoolbook" w:hAnsi="Century Schoolbook"/>
        </w:rPr>
        <w:t>other family members to falsely accuse the father while simultaneously concealing evidence suggesting that a third party had committed the abuse</w:t>
      </w:r>
      <w:r>
        <w:rPr>
          <w:rFonts w:ascii="Century Schoolbook" w:hAnsi="Century Schoolbook"/>
        </w:rPr>
        <w:t xml:space="preserve"> and “inducing confessions and accusations by fraud, coercion, and perjury” (</w:t>
      </w:r>
      <w:r w:rsidRPr="00F34EB4">
        <w:rPr>
          <w:rFonts w:ascii="Century Schoolbook" w:hAnsi="Century Schoolbook"/>
          <w:i/>
          <w:iCs/>
        </w:rPr>
        <w:t>id</w:t>
      </w:r>
      <w:r>
        <w:rPr>
          <w:rFonts w:ascii="Century Schoolbook" w:hAnsi="Century Schoolbook"/>
        </w:rPr>
        <w:t>.</w:t>
      </w:r>
      <w:r>
        <w:rPr>
          <w:rFonts w:ascii="Century Schoolbook" w:hAnsi="Century Schoolbook"/>
        </w:rPr>
        <w:t xml:space="preserve"> at p. 249</w:t>
      </w:r>
      <w:r>
        <w:rPr>
          <w:rFonts w:ascii="Century Schoolbook" w:hAnsi="Century Schoolbook"/>
        </w:rPr>
        <w:t xml:space="preserve">). </w:t>
      </w:r>
    </w:p>
    <w:p w14:paraId="53353141" w14:textId="77777777" w:rsidR="00F5518A" w:rsidRDefault="00F5385E" w:rsidP="004D0F0E">
      <w:pPr>
        <w:rPr>
          <w:rFonts w:ascii="Century Schoolbook" w:hAnsi="Century Schoolbook"/>
        </w:rPr>
      </w:pPr>
      <w:r>
        <w:rPr>
          <w:rFonts w:ascii="Century Schoolbook" w:hAnsi="Century Schoolbook"/>
        </w:rPr>
        <w:tab/>
        <w:t xml:space="preserve">The </w:t>
      </w:r>
      <w:r w:rsidRPr="00887BB6">
        <w:rPr>
          <w:rFonts w:ascii="Century Schoolbook" w:hAnsi="Century Schoolbook"/>
          <w:i/>
          <w:iCs/>
        </w:rPr>
        <w:t>James W.</w:t>
      </w:r>
      <w:r>
        <w:rPr>
          <w:rFonts w:ascii="Century Schoolbook" w:hAnsi="Century Schoolbook"/>
        </w:rPr>
        <w:t xml:space="preserve"> cour</w:t>
      </w:r>
      <w:r>
        <w:rPr>
          <w:rFonts w:ascii="Century Schoolbook" w:hAnsi="Century Schoolbook"/>
        </w:rPr>
        <w:t xml:space="preserve">t held that Penal Code section 11172 did not apply </w:t>
      </w:r>
      <w:r>
        <w:rPr>
          <w:rFonts w:ascii="Century Schoolbook" w:hAnsi="Century Schoolbook"/>
        </w:rPr>
        <w:t xml:space="preserve">to provide immunity </w:t>
      </w:r>
      <w:r>
        <w:rPr>
          <w:rFonts w:ascii="Century Schoolbook" w:hAnsi="Century Schoolbook"/>
        </w:rPr>
        <w:t xml:space="preserve">under these facts </w:t>
      </w:r>
      <w:r>
        <w:rPr>
          <w:rFonts w:ascii="Century Schoolbook" w:hAnsi="Century Schoolbook"/>
        </w:rPr>
        <w:t>because the conduct at issue was not done to identify whether child abuse had occurred, but rather to identify the perpetrator of the abuse</w:t>
      </w:r>
      <w:r>
        <w:rPr>
          <w:rFonts w:ascii="Century Schoolbook" w:hAnsi="Century Schoolbook"/>
        </w:rPr>
        <w:t>—an investigatory function</w:t>
      </w:r>
      <w:r>
        <w:rPr>
          <w:rFonts w:ascii="Century Schoolbook" w:hAnsi="Century Schoolbook"/>
        </w:rPr>
        <w:t xml:space="preserve">. </w:t>
      </w:r>
      <w:r>
        <w:rPr>
          <w:rFonts w:ascii="Century Schoolbook" w:hAnsi="Century Schoolbook"/>
        </w:rPr>
        <w:t xml:space="preserve">The court </w:t>
      </w:r>
      <w:r>
        <w:rPr>
          <w:rFonts w:ascii="Century Schoolbook" w:hAnsi="Century Schoolbook"/>
        </w:rPr>
        <w:t>not</w:t>
      </w:r>
      <w:r>
        <w:rPr>
          <w:rFonts w:ascii="Century Schoolbook" w:hAnsi="Century Schoolbook"/>
        </w:rPr>
        <w:t>ed a “dichotomy” under the law between persons required to report instances of child abuse and officials who are responsible for investigating and prosecuting allegations of abuse. (</w:t>
      </w:r>
      <w:r w:rsidRPr="00887BB6">
        <w:rPr>
          <w:rFonts w:ascii="Century Schoolbook" w:hAnsi="Century Schoolbook"/>
          <w:i/>
          <w:iCs/>
        </w:rPr>
        <w:t>James, W., supra</w:t>
      </w:r>
      <w:r>
        <w:rPr>
          <w:rFonts w:ascii="Century Schoolbook" w:hAnsi="Century Schoolbook"/>
        </w:rPr>
        <w:t xml:space="preserve">, 17 Cal.App.4th at p. 257.) </w:t>
      </w:r>
      <w:r>
        <w:rPr>
          <w:rFonts w:ascii="Century Schoolbook" w:hAnsi="Century Schoolbook"/>
        </w:rPr>
        <w:t>Under this frame</w:t>
      </w:r>
      <w:r>
        <w:rPr>
          <w:rFonts w:ascii="Century Schoolbook" w:hAnsi="Century Schoolbook"/>
        </w:rPr>
        <w:t xml:space="preserve">work, Penal Code section 11172 was intended to protect individuals required to report child abuse while other statutes exist to protect government officials, </w:t>
      </w:r>
      <w:r>
        <w:rPr>
          <w:rFonts w:ascii="Century Schoolbook" w:hAnsi="Century Schoolbook"/>
        </w:rPr>
        <w:t xml:space="preserve">who, </w:t>
      </w:r>
      <w:r>
        <w:rPr>
          <w:rFonts w:ascii="Century Schoolbook" w:hAnsi="Century Schoolbook"/>
        </w:rPr>
        <w:t>having received a report of abuse, are responsible for investigating and prosecuting the perp</w:t>
      </w:r>
      <w:r>
        <w:rPr>
          <w:rFonts w:ascii="Century Schoolbook" w:hAnsi="Century Schoolbook"/>
        </w:rPr>
        <w:t xml:space="preserve">etrator. </w:t>
      </w:r>
      <w:r>
        <w:rPr>
          <w:rFonts w:ascii="Century Schoolbook" w:hAnsi="Century Schoolbook"/>
        </w:rPr>
        <w:t xml:space="preserve">The </w:t>
      </w:r>
      <w:r w:rsidRPr="00706721">
        <w:rPr>
          <w:rFonts w:ascii="Century Schoolbook" w:hAnsi="Century Schoolbook"/>
          <w:i/>
          <w:iCs/>
        </w:rPr>
        <w:t>James W</w:t>
      </w:r>
      <w:r>
        <w:rPr>
          <w:rFonts w:ascii="Century Schoolbook" w:hAnsi="Century Schoolbook"/>
        </w:rPr>
        <w:t xml:space="preserve">. defendants were outside the protections of Penal Code section 11172 because they had “[come] onto the scene after the </w:t>
      </w:r>
      <w:r>
        <w:rPr>
          <w:rFonts w:ascii="Century Schoolbook" w:hAnsi="Century Schoolbook"/>
        </w:rPr>
        <w:t>. . .</w:t>
      </w:r>
      <w:r>
        <w:rPr>
          <w:rFonts w:ascii="Century Schoolbook" w:hAnsi="Century Schoolbook"/>
        </w:rPr>
        <w:t xml:space="preserve"> child abuse had been positively identified and reported [and then] voluntarily assumed roles of those who, hav</w:t>
      </w:r>
      <w:r>
        <w:rPr>
          <w:rFonts w:ascii="Century Schoolbook" w:hAnsi="Century Schoolbook"/>
        </w:rPr>
        <w:t xml:space="preserve">ing the report and determined the identity of the perpetrator, search for corroboration and/or </w:t>
      </w:r>
      <w:r>
        <w:rPr>
          <w:rFonts w:ascii="Century Schoolbook" w:hAnsi="Century Schoolbook"/>
        </w:rPr>
        <w:t>attempt to pressure a witness to get a conviction.” (</w:t>
      </w:r>
      <w:r>
        <w:rPr>
          <w:rFonts w:ascii="Century Schoolbook" w:hAnsi="Century Schoolbook"/>
          <w:i/>
          <w:iCs/>
        </w:rPr>
        <w:t>James W.</w:t>
      </w:r>
      <w:r w:rsidRPr="006132BB">
        <w:rPr>
          <w:rFonts w:ascii="Century Schoolbook" w:hAnsi="Century Schoolbook"/>
        </w:rPr>
        <w:t>,</w:t>
      </w:r>
      <w:r>
        <w:rPr>
          <w:rFonts w:ascii="Century Schoolbook" w:hAnsi="Century Schoolbook"/>
          <w:i/>
          <w:iCs/>
        </w:rPr>
        <w:t xml:space="preserve"> supra</w:t>
      </w:r>
      <w:r w:rsidRPr="006132BB">
        <w:rPr>
          <w:rFonts w:ascii="Century Schoolbook" w:hAnsi="Century Schoolbook"/>
        </w:rPr>
        <w:t>,</w:t>
      </w:r>
      <w:r>
        <w:rPr>
          <w:rFonts w:ascii="Century Schoolbook" w:hAnsi="Century Schoolbook"/>
          <w:i/>
          <w:iCs/>
        </w:rPr>
        <w:t xml:space="preserve"> </w:t>
      </w:r>
      <w:r>
        <w:rPr>
          <w:rFonts w:ascii="Century Schoolbook" w:hAnsi="Century Schoolbook"/>
        </w:rPr>
        <w:t>at p. 256.)</w:t>
      </w:r>
      <w:r>
        <w:rPr>
          <w:rFonts w:ascii="Century Schoolbook" w:hAnsi="Century Schoolbook"/>
        </w:rPr>
        <w:t xml:space="preserve"> </w:t>
      </w:r>
      <w:r>
        <w:rPr>
          <w:rFonts w:ascii="Century Schoolbook" w:hAnsi="Century Schoolbook"/>
        </w:rPr>
        <w:t xml:space="preserve">The </w:t>
      </w:r>
      <w:r w:rsidRPr="00C9251B">
        <w:rPr>
          <w:rFonts w:ascii="Century Schoolbook" w:hAnsi="Century Schoolbook"/>
          <w:i/>
          <w:iCs/>
        </w:rPr>
        <w:t>James W</w:t>
      </w:r>
      <w:r>
        <w:rPr>
          <w:rFonts w:ascii="Century Schoolbook" w:hAnsi="Century Schoolbook"/>
        </w:rPr>
        <w:t xml:space="preserve">. </w:t>
      </w:r>
      <w:r>
        <w:rPr>
          <w:rFonts w:ascii="Century Schoolbook" w:hAnsi="Century Schoolbook"/>
        </w:rPr>
        <w:t xml:space="preserve">court further distinguished </w:t>
      </w:r>
      <w:r w:rsidRPr="0001390F">
        <w:rPr>
          <w:rFonts w:ascii="Century Schoolbook" w:hAnsi="Century Schoolbook"/>
          <w:i/>
          <w:iCs/>
        </w:rPr>
        <w:t>Krikorian</w:t>
      </w:r>
      <w:r>
        <w:rPr>
          <w:rFonts w:ascii="Century Schoolbook" w:hAnsi="Century Schoolbook"/>
        </w:rPr>
        <w:t xml:space="preserve"> and </w:t>
      </w:r>
      <w:r w:rsidRPr="0001390F">
        <w:rPr>
          <w:rFonts w:ascii="Century Schoolbook" w:hAnsi="Century Schoolbook"/>
          <w:i/>
          <w:iCs/>
        </w:rPr>
        <w:t>McMartin</w:t>
      </w:r>
      <w:r>
        <w:rPr>
          <w:rFonts w:ascii="Century Schoolbook" w:hAnsi="Century Schoolbook"/>
        </w:rPr>
        <w:t xml:space="preserve">, where </w:t>
      </w:r>
      <w:r>
        <w:rPr>
          <w:rFonts w:ascii="Century Schoolbook" w:hAnsi="Century Schoolbook"/>
        </w:rPr>
        <w:t>expert witnesses against whom claims were made had been retained to evaluate whether any child abuse had occurred</w:t>
      </w:r>
      <w:r>
        <w:rPr>
          <w:rFonts w:ascii="Century Schoolbook" w:hAnsi="Century Schoolbook"/>
        </w:rPr>
        <w:t xml:space="preserve"> and were granted immunity</w:t>
      </w:r>
      <w:r>
        <w:rPr>
          <w:rFonts w:ascii="Century Schoolbook" w:hAnsi="Century Schoolbook"/>
        </w:rPr>
        <w:t xml:space="preserve">, as opposed to </w:t>
      </w:r>
      <w:r>
        <w:rPr>
          <w:rFonts w:ascii="Century Schoolbook" w:hAnsi="Century Schoolbook"/>
        </w:rPr>
        <w:t xml:space="preserve">the defendants </w:t>
      </w:r>
      <w:r>
        <w:rPr>
          <w:rFonts w:ascii="Century Schoolbook" w:hAnsi="Century Schoolbook"/>
        </w:rPr>
        <w:t xml:space="preserve">in </w:t>
      </w:r>
      <w:r w:rsidRPr="0001390F">
        <w:rPr>
          <w:rFonts w:ascii="Century Schoolbook" w:hAnsi="Century Schoolbook"/>
          <w:i/>
          <w:iCs/>
        </w:rPr>
        <w:t>James W</w:t>
      </w:r>
      <w:r>
        <w:rPr>
          <w:rFonts w:ascii="Century Schoolbook" w:hAnsi="Century Schoolbook"/>
        </w:rPr>
        <w:t>., wh</w:t>
      </w:r>
      <w:r>
        <w:rPr>
          <w:rFonts w:ascii="Century Schoolbook" w:hAnsi="Century Schoolbook"/>
        </w:rPr>
        <w:t xml:space="preserve">o </w:t>
      </w:r>
      <w:r>
        <w:rPr>
          <w:rFonts w:ascii="Century Schoolbook" w:hAnsi="Century Schoolbook"/>
        </w:rPr>
        <w:t>were not dealing with “a suspected victim preliminary to a determinat</w:t>
      </w:r>
      <w:r>
        <w:rPr>
          <w:rFonts w:ascii="Century Schoolbook" w:hAnsi="Century Schoolbook"/>
        </w:rPr>
        <w:t xml:space="preserve">ion of child abuse.” </w:t>
      </w:r>
      <w:r>
        <w:rPr>
          <w:rFonts w:ascii="Century Schoolbook" w:hAnsi="Century Schoolbook"/>
        </w:rPr>
        <w:t>(</w:t>
      </w:r>
      <w:r w:rsidRPr="004B5D29">
        <w:rPr>
          <w:rFonts w:ascii="Century Schoolbook" w:hAnsi="Century Schoolbook"/>
          <w:i/>
          <w:iCs/>
        </w:rPr>
        <w:t>Id.</w:t>
      </w:r>
      <w:r>
        <w:rPr>
          <w:rFonts w:ascii="Century Schoolbook" w:hAnsi="Century Schoolbook"/>
        </w:rPr>
        <w:t xml:space="preserve"> at p. 257.) “Whatever justifications exist for extending the immunity of the reporting act to forensic </w:t>
      </w:r>
      <w:r>
        <w:rPr>
          <w:rFonts w:ascii="Century Schoolbook" w:hAnsi="Century Schoolbook"/>
        </w:rPr>
        <w:lastRenderedPageBreak/>
        <w:t xml:space="preserve">teams investigating whether a child has actually been abused, they </w:t>
      </w:r>
      <w:r>
        <w:rPr>
          <w:rFonts w:ascii="Century Schoolbook" w:hAnsi="Century Schoolbook"/>
        </w:rPr>
        <w:t>[were]</w:t>
      </w:r>
      <w:r>
        <w:rPr>
          <w:rFonts w:ascii="Century Schoolbook" w:hAnsi="Century Schoolbook"/>
        </w:rPr>
        <w:t xml:space="preserve"> clearly not present” </w:t>
      </w:r>
      <w:r>
        <w:rPr>
          <w:rFonts w:ascii="Century Schoolbook" w:hAnsi="Century Schoolbook"/>
        </w:rPr>
        <w:t xml:space="preserve">in </w:t>
      </w:r>
      <w:r w:rsidRPr="00CA3B1B">
        <w:rPr>
          <w:rFonts w:ascii="Century Schoolbook" w:hAnsi="Century Schoolbook"/>
          <w:i/>
          <w:iCs/>
        </w:rPr>
        <w:t>James W</w:t>
      </w:r>
      <w:r>
        <w:rPr>
          <w:rFonts w:ascii="Century Schoolbook" w:hAnsi="Century Schoolbook"/>
        </w:rPr>
        <w:t xml:space="preserve">. </w:t>
      </w:r>
      <w:r>
        <w:rPr>
          <w:rFonts w:ascii="Century Schoolbook" w:hAnsi="Century Schoolbook"/>
        </w:rPr>
        <w:t>(</w:t>
      </w:r>
      <w:r w:rsidRPr="004B5D29">
        <w:rPr>
          <w:rFonts w:ascii="Century Schoolbook" w:hAnsi="Century Schoolbook"/>
          <w:i/>
          <w:iCs/>
        </w:rPr>
        <w:t>Id</w:t>
      </w:r>
      <w:r>
        <w:rPr>
          <w:rFonts w:ascii="Century Schoolbook" w:hAnsi="Century Schoolbook"/>
        </w:rPr>
        <w:t>.</w:t>
      </w:r>
      <w:r>
        <w:rPr>
          <w:rFonts w:ascii="Century Schoolbook" w:hAnsi="Century Schoolbook"/>
        </w:rPr>
        <w:t xml:space="preserve"> at p. 258.</w:t>
      </w:r>
      <w:r>
        <w:rPr>
          <w:rFonts w:ascii="Century Schoolbook" w:hAnsi="Century Schoolbook"/>
        </w:rPr>
        <w:t>)</w:t>
      </w:r>
      <w:r>
        <w:rPr>
          <w:rFonts w:ascii="Century Schoolbook" w:hAnsi="Century Schoolbook"/>
        </w:rPr>
        <w:t xml:space="preserve">  </w:t>
      </w:r>
    </w:p>
    <w:p w14:paraId="3AAF62E1" w14:textId="77777777" w:rsidR="008074F8" w:rsidRDefault="00F5385E" w:rsidP="004D0F0E">
      <w:pPr>
        <w:rPr>
          <w:rFonts w:ascii="Century Schoolbook" w:hAnsi="Century Schoolbook"/>
        </w:rPr>
      </w:pPr>
      <w:r>
        <w:rPr>
          <w:rFonts w:ascii="Century Schoolbook" w:hAnsi="Century Schoolbook"/>
        </w:rPr>
        <w:tab/>
      </w:r>
      <w:r>
        <w:rPr>
          <w:rFonts w:ascii="Century Schoolbook" w:hAnsi="Century Schoolbook"/>
        </w:rPr>
        <w:t xml:space="preserve">In </w:t>
      </w:r>
      <w:r w:rsidRPr="00471764">
        <w:rPr>
          <w:rFonts w:ascii="Century Schoolbook" w:hAnsi="Century Schoolbook"/>
          <w:i/>
          <w:iCs/>
        </w:rPr>
        <w:t>Santos</w:t>
      </w:r>
      <w:r>
        <w:rPr>
          <w:rFonts w:ascii="Century Schoolbook" w:hAnsi="Century Schoolbook"/>
        </w:rPr>
        <w:t xml:space="preserve">, </w:t>
      </w:r>
      <w:r>
        <w:rPr>
          <w:rFonts w:ascii="Century Schoolbook" w:hAnsi="Century Schoolbook"/>
        </w:rPr>
        <w:t xml:space="preserve">the court </w:t>
      </w:r>
      <w:r>
        <w:rPr>
          <w:rFonts w:ascii="Century Schoolbook" w:hAnsi="Century Schoolbook"/>
        </w:rPr>
        <w:t xml:space="preserve">likewise </w:t>
      </w:r>
      <w:r>
        <w:rPr>
          <w:rFonts w:ascii="Century Schoolbook" w:hAnsi="Century Schoolbook"/>
        </w:rPr>
        <w:t>distinguished the defendant’s conduct</w:t>
      </w:r>
      <w:r>
        <w:rPr>
          <w:rFonts w:ascii="Century Schoolbook" w:hAnsi="Century Schoolbook"/>
        </w:rPr>
        <w:t>—signing a form to effectuate a citizen’s arrest—</w:t>
      </w:r>
      <w:r>
        <w:rPr>
          <w:rFonts w:ascii="Century Schoolbook" w:hAnsi="Century Schoolbook"/>
        </w:rPr>
        <w:t xml:space="preserve">from that in </w:t>
      </w:r>
      <w:r w:rsidRPr="004B5D29">
        <w:rPr>
          <w:rFonts w:ascii="Century Schoolbook" w:hAnsi="Century Schoolbook"/>
          <w:i/>
          <w:iCs/>
        </w:rPr>
        <w:t>James W</w:t>
      </w:r>
      <w:r>
        <w:rPr>
          <w:rFonts w:ascii="Century Schoolbook" w:hAnsi="Century Schoolbook"/>
          <w:i/>
          <w:iCs/>
        </w:rPr>
        <w:t xml:space="preserve">., </w:t>
      </w:r>
      <w:r>
        <w:rPr>
          <w:rFonts w:ascii="Century Schoolbook" w:hAnsi="Century Schoolbook"/>
        </w:rPr>
        <w:t xml:space="preserve">as </w:t>
      </w:r>
      <w:r>
        <w:rPr>
          <w:rFonts w:ascii="Century Schoolbook" w:hAnsi="Century Schoolbook"/>
        </w:rPr>
        <w:t xml:space="preserve">action </w:t>
      </w:r>
      <w:r>
        <w:rPr>
          <w:rFonts w:ascii="Century Schoolbook" w:hAnsi="Century Schoolbook"/>
        </w:rPr>
        <w:t xml:space="preserve">undertaken by a mandated reporter in </w:t>
      </w:r>
      <w:r>
        <w:rPr>
          <w:rFonts w:ascii="Century Schoolbook" w:hAnsi="Century Schoolbook"/>
        </w:rPr>
        <w:t xml:space="preserve">close </w:t>
      </w:r>
      <w:r>
        <w:rPr>
          <w:rFonts w:ascii="Century Schoolbook" w:hAnsi="Century Schoolbook"/>
        </w:rPr>
        <w:t>connection with an official investigation of elder abuse. (</w:t>
      </w:r>
      <w:r w:rsidRPr="004B5D29">
        <w:rPr>
          <w:rFonts w:ascii="Century Schoolbook" w:hAnsi="Century Schoolbook"/>
          <w:i/>
          <w:iCs/>
        </w:rPr>
        <w:t>Santos</w:t>
      </w:r>
      <w:r>
        <w:rPr>
          <w:rFonts w:ascii="Century Schoolbook" w:hAnsi="Century Schoolbook"/>
        </w:rPr>
        <w:t xml:space="preserve">, </w:t>
      </w:r>
      <w:r w:rsidRPr="004B5D29">
        <w:rPr>
          <w:rFonts w:ascii="Century Schoolbook" w:hAnsi="Century Schoolbook"/>
          <w:i/>
          <w:iCs/>
        </w:rPr>
        <w:t>supra</w:t>
      </w:r>
      <w:r>
        <w:rPr>
          <w:rFonts w:ascii="Century Schoolbook" w:hAnsi="Century Schoolbook"/>
        </w:rPr>
        <w:t xml:space="preserve">, </w:t>
      </w:r>
      <w:r>
        <w:rPr>
          <w:rFonts w:ascii="Century Schoolbook" w:hAnsi="Century Schoolbook"/>
        </w:rPr>
        <w:t xml:space="preserve">1 Cal.App.5th at p. 878.) The conduct occurred </w:t>
      </w:r>
      <w:r>
        <w:rPr>
          <w:rFonts w:ascii="Century Schoolbook" w:hAnsi="Century Schoolbook"/>
        </w:rPr>
        <w:t>“</w:t>
      </w:r>
      <w:r>
        <w:rPr>
          <w:rFonts w:ascii="Century Schoolbook" w:hAnsi="Century Schoolbook"/>
        </w:rPr>
        <w:t xml:space="preserve">while law enforcement </w:t>
      </w:r>
      <w:r>
        <w:rPr>
          <w:rFonts w:ascii="Century Schoolbook" w:hAnsi="Century Schoolbook"/>
        </w:rPr>
        <w:t xml:space="preserve">officers </w:t>
      </w:r>
      <w:r>
        <w:rPr>
          <w:rFonts w:ascii="Century Schoolbook" w:hAnsi="Century Schoolbook"/>
        </w:rPr>
        <w:t>w</w:t>
      </w:r>
      <w:r>
        <w:rPr>
          <w:rFonts w:ascii="Century Schoolbook" w:hAnsi="Century Schoolbook"/>
        </w:rPr>
        <w:t>ere</w:t>
      </w:r>
      <w:r>
        <w:rPr>
          <w:rFonts w:ascii="Century Schoolbook" w:hAnsi="Century Schoolbook"/>
        </w:rPr>
        <w:t xml:space="preserve"> </w:t>
      </w:r>
      <w:r>
        <w:rPr>
          <w:rFonts w:ascii="Century Schoolbook" w:hAnsi="Century Schoolbook"/>
        </w:rPr>
        <w:t xml:space="preserve">physically </w:t>
      </w:r>
      <w:r>
        <w:rPr>
          <w:rFonts w:ascii="Century Schoolbook" w:hAnsi="Century Schoolbook"/>
        </w:rPr>
        <w:t>at the scene conducting an investigation</w:t>
      </w:r>
      <w:r>
        <w:rPr>
          <w:rFonts w:ascii="Century Schoolbook" w:hAnsi="Century Schoolbook"/>
        </w:rPr>
        <w:t>, and</w:t>
      </w:r>
      <w:r>
        <w:rPr>
          <w:rFonts w:ascii="Century Schoolbook" w:hAnsi="Century Schoolbook"/>
        </w:rPr>
        <w:t xml:space="preserve"> in </w:t>
      </w:r>
      <w:r>
        <w:rPr>
          <w:rFonts w:ascii="Century Schoolbook" w:hAnsi="Century Schoolbook"/>
        </w:rPr>
        <w:t xml:space="preserve">close </w:t>
      </w:r>
      <w:r>
        <w:rPr>
          <w:rFonts w:ascii="Century Schoolbook" w:hAnsi="Century Schoolbook"/>
        </w:rPr>
        <w:t>temporal proximity to the initial report of abuse.</w:t>
      </w:r>
      <w:r>
        <w:rPr>
          <w:rFonts w:ascii="Century Schoolbook" w:hAnsi="Century Schoolbook"/>
        </w:rPr>
        <w:t>” (</w:t>
      </w:r>
      <w:r w:rsidRPr="00EB4463">
        <w:rPr>
          <w:rFonts w:ascii="Century Schoolbook" w:hAnsi="Century Schoolbook"/>
          <w:i/>
          <w:iCs/>
        </w:rPr>
        <w:t>Id.</w:t>
      </w:r>
      <w:r>
        <w:rPr>
          <w:rFonts w:ascii="Century Schoolbook" w:hAnsi="Century Schoolbook"/>
        </w:rPr>
        <w:t xml:space="preserve"> at p. 879</w:t>
      </w:r>
      <w:r>
        <w:rPr>
          <w:rFonts w:ascii="Century Schoolbook" w:hAnsi="Century Schoolbook"/>
        </w:rPr>
        <w:t>, fn. omitted</w:t>
      </w:r>
      <w:r>
        <w:rPr>
          <w:rFonts w:ascii="Century Schoolbook" w:hAnsi="Century Schoolbook"/>
        </w:rPr>
        <w:t xml:space="preserve">.) The </w:t>
      </w:r>
      <w:r w:rsidRPr="00CA3B1B">
        <w:rPr>
          <w:rFonts w:ascii="Century Schoolbook" w:hAnsi="Century Schoolbook"/>
          <w:i/>
          <w:iCs/>
        </w:rPr>
        <w:t>Santo</w:t>
      </w:r>
      <w:r w:rsidRPr="00CA3B1B">
        <w:rPr>
          <w:rFonts w:ascii="Century Schoolbook" w:hAnsi="Century Schoolbook"/>
          <w:i/>
          <w:iCs/>
        </w:rPr>
        <w:t>s</w:t>
      </w:r>
      <w:r>
        <w:rPr>
          <w:rFonts w:ascii="Century Schoolbook" w:hAnsi="Century Schoolbook"/>
        </w:rPr>
        <w:t xml:space="preserve"> </w:t>
      </w:r>
      <w:r>
        <w:rPr>
          <w:rFonts w:ascii="Century Schoolbook" w:hAnsi="Century Schoolbook"/>
        </w:rPr>
        <w:t xml:space="preserve">court </w:t>
      </w:r>
      <w:r>
        <w:rPr>
          <w:rFonts w:ascii="Century Schoolbook" w:hAnsi="Century Schoolbook"/>
        </w:rPr>
        <w:t xml:space="preserve">also </w:t>
      </w:r>
      <w:r>
        <w:rPr>
          <w:rFonts w:ascii="Century Schoolbook" w:hAnsi="Century Schoolbook"/>
        </w:rPr>
        <w:t xml:space="preserve">pointed to </w:t>
      </w:r>
      <w:r w:rsidRPr="0046103E">
        <w:rPr>
          <w:rFonts w:ascii="Century Schoolbook" w:hAnsi="Century Schoolbook"/>
          <w:i/>
          <w:iCs/>
        </w:rPr>
        <w:t>Ferraro, supra</w:t>
      </w:r>
      <w:r>
        <w:rPr>
          <w:rFonts w:ascii="Century Schoolbook" w:hAnsi="Century Schoolbook"/>
        </w:rPr>
        <w:t>, 221 Cal.App.3d at p</w:t>
      </w:r>
      <w:r>
        <w:rPr>
          <w:rFonts w:ascii="Century Schoolbook" w:hAnsi="Century Schoolbook"/>
        </w:rPr>
        <w:t>age</w:t>
      </w:r>
      <w:r>
        <w:rPr>
          <w:rFonts w:ascii="Century Schoolbook" w:hAnsi="Century Schoolbook"/>
        </w:rPr>
        <w:t xml:space="preserve"> 92, and </w:t>
      </w:r>
      <w:r w:rsidRPr="0046103E">
        <w:rPr>
          <w:rFonts w:ascii="Century Schoolbook" w:hAnsi="Century Schoolbook"/>
          <w:i/>
          <w:iCs/>
        </w:rPr>
        <w:t>Thomas, supra</w:t>
      </w:r>
      <w:r>
        <w:rPr>
          <w:rFonts w:ascii="Century Schoolbook" w:hAnsi="Century Schoolbook"/>
        </w:rPr>
        <w:t xml:space="preserve">, </w:t>
      </w:r>
      <w:r>
        <w:rPr>
          <w:rFonts w:ascii="Century Schoolbook" w:hAnsi="Century Schoolbook"/>
        </w:rPr>
        <w:t>224 Cal.App.3d at p</w:t>
      </w:r>
      <w:r>
        <w:rPr>
          <w:rFonts w:ascii="Century Schoolbook" w:hAnsi="Century Schoolbook"/>
        </w:rPr>
        <w:t>ages</w:t>
      </w:r>
      <w:r>
        <w:rPr>
          <w:rFonts w:ascii="Century Schoolbook" w:hAnsi="Century Schoolbook"/>
        </w:rPr>
        <w:t xml:space="preserve"> 816</w:t>
      </w:r>
      <w:r>
        <w:rPr>
          <w:rFonts w:ascii="Century Schoolbook" w:hAnsi="Century Schoolbook"/>
        </w:rPr>
        <w:t>–</w:t>
      </w:r>
      <w:r>
        <w:rPr>
          <w:rFonts w:ascii="Century Schoolbook" w:hAnsi="Century Schoolbook"/>
        </w:rPr>
        <w:t>817, as instances in which post-reporting conduct that was held immune was much more distant in time from the actual reporting</w:t>
      </w:r>
      <w:r>
        <w:rPr>
          <w:rFonts w:ascii="Century Schoolbook" w:hAnsi="Century Schoolbook"/>
        </w:rPr>
        <w:t xml:space="preserve"> as existed in </w:t>
      </w:r>
      <w:r w:rsidRPr="00CA3B1B">
        <w:rPr>
          <w:rFonts w:ascii="Century Schoolbook" w:hAnsi="Century Schoolbook"/>
          <w:i/>
          <w:iCs/>
        </w:rPr>
        <w:t>Santos</w:t>
      </w:r>
      <w:r>
        <w:rPr>
          <w:rFonts w:ascii="Century Schoolbook" w:hAnsi="Century Schoolbook"/>
        </w:rPr>
        <w:t>. (</w:t>
      </w:r>
      <w:r w:rsidRPr="0046103E">
        <w:rPr>
          <w:rFonts w:ascii="Century Schoolbook" w:hAnsi="Century Schoolbook"/>
          <w:i/>
          <w:iCs/>
        </w:rPr>
        <w:t>Santos, supra</w:t>
      </w:r>
      <w:r>
        <w:rPr>
          <w:rFonts w:ascii="Century Schoolbook" w:hAnsi="Century Schoolbook"/>
        </w:rPr>
        <w:t xml:space="preserve">, 1 Cal.App.5th at p. 879, fn. 19 [more than two years and more than one month, respectively].) </w:t>
      </w:r>
      <w:r>
        <w:rPr>
          <w:rFonts w:ascii="Century Schoolbook" w:hAnsi="Century Schoolbook"/>
        </w:rPr>
        <w:t xml:space="preserve">Further, there was no evidence the defendant in </w:t>
      </w:r>
      <w:r w:rsidRPr="00EB4463">
        <w:rPr>
          <w:rFonts w:ascii="Century Schoolbook" w:hAnsi="Century Schoolbook"/>
          <w:i/>
          <w:iCs/>
        </w:rPr>
        <w:t>Santos</w:t>
      </w:r>
      <w:r>
        <w:rPr>
          <w:rFonts w:ascii="Century Schoolbook" w:hAnsi="Century Schoolbook"/>
        </w:rPr>
        <w:t xml:space="preserve"> had “ ‘usurped the function’ of the authorities [citation] such that</w:t>
      </w:r>
      <w:r>
        <w:rPr>
          <w:rFonts w:ascii="Century Schoolbook" w:hAnsi="Century Schoolbook"/>
        </w:rPr>
        <w:t xml:space="preserve"> he would not be entitled to mandated</w:t>
      </w:r>
      <w:r>
        <w:rPr>
          <w:rFonts w:ascii="Century Schoolbook" w:hAnsi="Century Schoolbook"/>
        </w:rPr>
        <w:t>[-]</w:t>
      </w:r>
      <w:r>
        <w:rPr>
          <w:rFonts w:ascii="Century Schoolbook" w:hAnsi="Century Schoolbook"/>
        </w:rPr>
        <w:t xml:space="preserve">reporter immunity under </w:t>
      </w:r>
      <w:r w:rsidRPr="00EB4463">
        <w:rPr>
          <w:rFonts w:ascii="Century Schoolbook" w:hAnsi="Century Schoolbook"/>
          <w:i/>
          <w:iCs/>
        </w:rPr>
        <w:t>James W</w:t>
      </w:r>
      <w:r>
        <w:rPr>
          <w:rFonts w:ascii="Century Schoolbook" w:hAnsi="Century Schoolbook"/>
        </w:rPr>
        <w:t>. [Citation.]” (</w:t>
      </w:r>
      <w:r w:rsidRPr="00EB4463">
        <w:rPr>
          <w:rFonts w:ascii="Century Schoolbook" w:hAnsi="Century Schoolbook"/>
          <w:i/>
          <w:iCs/>
        </w:rPr>
        <w:t>Id</w:t>
      </w:r>
      <w:r>
        <w:rPr>
          <w:rFonts w:ascii="Century Schoolbook" w:hAnsi="Century Schoolbook"/>
        </w:rPr>
        <w:t>.</w:t>
      </w:r>
      <w:r>
        <w:rPr>
          <w:rFonts w:ascii="Century Schoolbook" w:hAnsi="Century Schoolbook"/>
        </w:rPr>
        <w:t xml:space="preserve"> at p. 879.</w:t>
      </w:r>
      <w:r>
        <w:rPr>
          <w:rFonts w:ascii="Century Schoolbook" w:hAnsi="Century Schoolbook"/>
        </w:rPr>
        <w:t>)</w:t>
      </w:r>
      <w:r>
        <w:rPr>
          <w:rFonts w:ascii="Century Schoolbook" w:hAnsi="Century Schoolbook"/>
        </w:rPr>
        <w:t xml:space="preserve"> </w:t>
      </w:r>
      <w:r w:rsidRPr="001A0083">
        <w:rPr>
          <w:rFonts w:ascii="Century Schoolbook" w:hAnsi="Century Schoolbook"/>
          <w:i/>
          <w:iCs/>
        </w:rPr>
        <w:t>Santos</w:t>
      </w:r>
      <w:r>
        <w:rPr>
          <w:rFonts w:ascii="Century Schoolbook" w:hAnsi="Century Schoolbook"/>
        </w:rPr>
        <w:t xml:space="preserve"> also looked to </w:t>
      </w:r>
      <w:r w:rsidRPr="001A0083">
        <w:rPr>
          <w:rFonts w:ascii="Century Schoolbook" w:hAnsi="Century Schoolbook"/>
          <w:i/>
          <w:iCs/>
        </w:rPr>
        <w:t>Krikorian, supra</w:t>
      </w:r>
      <w:r>
        <w:rPr>
          <w:rFonts w:ascii="Century Schoolbook" w:hAnsi="Century Schoolbook"/>
        </w:rPr>
        <w:t>, 196 Cal.App.3d at</w:t>
      </w:r>
      <w:r>
        <w:rPr>
          <w:rFonts w:ascii="Century Schoolbook" w:hAnsi="Century Schoolbook"/>
        </w:rPr>
        <w:t xml:space="preserve"> pages</w:t>
      </w:r>
      <w:r>
        <w:rPr>
          <w:rFonts w:ascii="Century Schoolbook" w:hAnsi="Century Schoolbook"/>
        </w:rPr>
        <w:t xml:space="preserve"> 1222–1223, </w:t>
      </w:r>
      <w:r>
        <w:rPr>
          <w:rFonts w:ascii="Century Schoolbook" w:hAnsi="Century Schoolbook"/>
        </w:rPr>
        <w:t xml:space="preserve">as authority </w:t>
      </w:r>
      <w:r>
        <w:rPr>
          <w:rFonts w:ascii="Century Schoolbook" w:hAnsi="Century Schoolbook"/>
        </w:rPr>
        <w:t xml:space="preserve">for the notion </w:t>
      </w:r>
      <w:r>
        <w:rPr>
          <w:rFonts w:ascii="Century Schoolbook" w:hAnsi="Century Schoolbook"/>
        </w:rPr>
        <w:t xml:space="preserve">that the Legislature’s goal of promoting </w:t>
      </w:r>
      <w:r>
        <w:rPr>
          <w:rFonts w:ascii="Century Schoolbook" w:hAnsi="Century Schoolbook"/>
        </w:rPr>
        <w:t xml:space="preserve">the </w:t>
      </w:r>
      <w:r>
        <w:rPr>
          <w:rFonts w:ascii="Century Schoolbook" w:hAnsi="Century Schoolbook"/>
        </w:rPr>
        <w:t>incre</w:t>
      </w:r>
      <w:r>
        <w:rPr>
          <w:rFonts w:ascii="Century Schoolbook" w:hAnsi="Century Schoolbook"/>
        </w:rPr>
        <w:t>ased reporting of abuse precluded limit</w:t>
      </w:r>
      <w:r>
        <w:rPr>
          <w:rFonts w:ascii="Century Schoolbook" w:hAnsi="Century Schoolbook"/>
        </w:rPr>
        <w:t>ing</w:t>
      </w:r>
      <w:r>
        <w:rPr>
          <w:rFonts w:ascii="Century Schoolbook" w:hAnsi="Century Schoolbook"/>
        </w:rPr>
        <w:t xml:space="preserve"> immunity to acts of reporting </w:t>
      </w:r>
      <w:r>
        <w:rPr>
          <w:rFonts w:ascii="Century Schoolbook" w:hAnsi="Century Schoolbook"/>
        </w:rPr>
        <w:t xml:space="preserve">only, </w:t>
      </w:r>
      <w:r>
        <w:rPr>
          <w:rFonts w:ascii="Century Schoolbook" w:hAnsi="Century Schoolbook"/>
        </w:rPr>
        <w:t xml:space="preserve">and </w:t>
      </w:r>
      <w:r>
        <w:rPr>
          <w:rFonts w:ascii="Century Schoolbook" w:hAnsi="Century Schoolbook"/>
        </w:rPr>
        <w:t xml:space="preserve">that the legislative goal </w:t>
      </w:r>
      <w:r>
        <w:rPr>
          <w:rFonts w:ascii="Century Schoolbook" w:hAnsi="Century Schoolbook"/>
        </w:rPr>
        <w:t xml:space="preserve">required extending that protection also to </w:t>
      </w:r>
      <w:r>
        <w:rPr>
          <w:rFonts w:ascii="Century Schoolbook" w:hAnsi="Century Schoolbook"/>
        </w:rPr>
        <w:t xml:space="preserve">other </w:t>
      </w:r>
      <w:r>
        <w:rPr>
          <w:rFonts w:ascii="Century Schoolbook" w:hAnsi="Century Schoolbook"/>
        </w:rPr>
        <w:t xml:space="preserve">conduct related to reporting.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p>
    <w:p w14:paraId="75712A86" w14:textId="77777777" w:rsidR="00B9286A" w:rsidRDefault="00F5385E" w:rsidP="004D0F0E">
      <w:pPr>
        <w:rPr>
          <w:rFonts w:ascii="Century Schoolbook" w:hAnsi="Century Schoolbook"/>
        </w:rPr>
      </w:pPr>
      <w:r>
        <w:rPr>
          <w:rFonts w:ascii="Century Schoolbook" w:hAnsi="Century Schoolbook"/>
        </w:rPr>
        <w:tab/>
      </w:r>
      <w:r w:rsidRPr="0046103E">
        <w:rPr>
          <w:rFonts w:ascii="Century Schoolbook" w:hAnsi="Century Schoolbook"/>
          <w:i/>
          <w:iCs/>
        </w:rPr>
        <w:t>Arce</w:t>
      </w:r>
      <w:r>
        <w:rPr>
          <w:rFonts w:ascii="Century Schoolbook" w:hAnsi="Century Schoolbook"/>
        </w:rPr>
        <w:t xml:space="preserve">, too, </w:t>
      </w:r>
      <w:r>
        <w:rPr>
          <w:rFonts w:ascii="Century Schoolbook" w:hAnsi="Century Schoolbook"/>
        </w:rPr>
        <w:t xml:space="preserve">distinguished </w:t>
      </w:r>
      <w:r w:rsidRPr="001D1DBD">
        <w:rPr>
          <w:rFonts w:ascii="Century Schoolbook" w:hAnsi="Century Schoolbook"/>
          <w:i/>
          <w:iCs/>
        </w:rPr>
        <w:t>James W</w:t>
      </w:r>
      <w:r>
        <w:rPr>
          <w:rFonts w:ascii="Century Schoolbook" w:hAnsi="Century Schoolbook"/>
        </w:rPr>
        <w:t xml:space="preserve">., rejecting the </w:t>
      </w:r>
      <w:r>
        <w:rPr>
          <w:rFonts w:ascii="Century Schoolbook" w:hAnsi="Century Schoolbook"/>
        </w:rPr>
        <w:t>plaintiff’s argument there that the defendant had effectively engaged in investigative rather than reporting activities</w:t>
      </w:r>
      <w:r>
        <w:rPr>
          <w:rFonts w:ascii="Century Schoolbook" w:hAnsi="Century Schoolbook"/>
        </w:rPr>
        <w:t>, precluding immunity</w:t>
      </w:r>
      <w:r>
        <w:rPr>
          <w:rFonts w:ascii="Century Schoolbook" w:hAnsi="Century Schoolbook"/>
        </w:rPr>
        <w:t>. (</w:t>
      </w:r>
      <w:r w:rsidRPr="00D84E44">
        <w:rPr>
          <w:rFonts w:ascii="Century Schoolbook" w:hAnsi="Century Schoolbook"/>
          <w:i/>
          <w:iCs/>
        </w:rPr>
        <w:t>Arce, supra</w:t>
      </w:r>
      <w:r>
        <w:rPr>
          <w:rFonts w:ascii="Century Schoolbook" w:hAnsi="Century Schoolbook"/>
        </w:rPr>
        <w:t>, 211 Cal.App.4th at p.</w:t>
      </w:r>
      <w:r>
        <w:rPr>
          <w:rFonts w:ascii="Century Schoolbook" w:hAnsi="Century Schoolbook"/>
        </w:rPr>
        <w:t> </w:t>
      </w:r>
      <w:r>
        <w:rPr>
          <w:rFonts w:ascii="Century Schoolbook" w:hAnsi="Century Schoolbook"/>
        </w:rPr>
        <w:t xml:space="preserve">1497.) The </w:t>
      </w:r>
      <w:r w:rsidRPr="00D84E44">
        <w:rPr>
          <w:rFonts w:ascii="Century Schoolbook" w:hAnsi="Century Schoolbook"/>
          <w:i/>
          <w:iCs/>
        </w:rPr>
        <w:t>Arce</w:t>
      </w:r>
      <w:r>
        <w:rPr>
          <w:rFonts w:ascii="Century Schoolbook" w:hAnsi="Century Schoolbook"/>
        </w:rPr>
        <w:t xml:space="preserve"> court found </w:t>
      </w:r>
      <w:r>
        <w:rPr>
          <w:rFonts w:ascii="Century Schoolbook" w:hAnsi="Century Schoolbook"/>
        </w:rPr>
        <w:t>the timing of the pre-reporting conduct</w:t>
      </w:r>
      <w:r>
        <w:rPr>
          <w:rFonts w:ascii="Century Schoolbook" w:hAnsi="Century Schoolbook"/>
        </w:rPr>
        <w:t xml:space="preserve"> </w:t>
      </w:r>
      <w:r>
        <w:rPr>
          <w:rFonts w:ascii="Century Schoolbook" w:hAnsi="Century Schoolbook"/>
        </w:rPr>
        <w:t>there</w:t>
      </w:r>
      <w:r>
        <w:rPr>
          <w:rFonts w:ascii="Century Schoolbook" w:hAnsi="Century Schoolbook"/>
        </w:rPr>
        <w:t>, the</w:t>
      </w:r>
      <w:r>
        <w:rPr>
          <w:rFonts w:ascii="Century Schoolbook" w:hAnsi="Century Schoolbook"/>
        </w:rPr>
        <w:t xml:space="preserve"> lack of usurpation </w:t>
      </w:r>
      <w:r>
        <w:rPr>
          <w:rFonts w:ascii="Century Schoolbook" w:hAnsi="Century Schoolbook"/>
        </w:rPr>
        <w:t>by the defendant</w:t>
      </w:r>
      <w:r>
        <w:rPr>
          <w:rFonts w:ascii="Century Schoolbook" w:hAnsi="Century Schoolbook"/>
        </w:rPr>
        <w:t>s</w:t>
      </w:r>
      <w:r>
        <w:rPr>
          <w:rFonts w:ascii="Century Schoolbook" w:hAnsi="Century Schoolbook"/>
        </w:rPr>
        <w:t xml:space="preserve"> </w:t>
      </w:r>
      <w:r>
        <w:rPr>
          <w:rFonts w:ascii="Century Schoolbook" w:hAnsi="Century Schoolbook"/>
        </w:rPr>
        <w:t xml:space="preserve">of </w:t>
      </w:r>
      <w:r>
        <w:rPr>
          <w:rFonts w:ascii="Century Schoolbook" w:hAnsi="Century Schoolbook"/>
        </w:rPr>
        <w:t xml:space="preserve">official </w:t>
      </w:r>
      <w:r>
        <w:rPr>
          <w:rFonts w:ascii="Century Schoolbook" w:hAnsi="Century Schoolbook"/>
        </w:rPr>
        <w:t xml:space="preserve">investigatory functions, and </w:t>
      </w:r>
      <w:r>
        <w:rPr>
          <w:rFonts w:ascii="Century Schoolbook" w:hAnsi="Century Schoolbook"/>
        </w:rPr>
        <w:t xml:space="preserve">the </w:t>
      </w:r>
      <w:r>
        <w:rPr>
          <w:rFonts w:ascii="Century Schoolbook" w:hAnsi="Century Schoolbook"/>
        </w:rPr>
        <w:t xml:space="preserve">short duration of the </w:t>
      </w:r>
      <w:r>
        <w:rPr>
          <w:rFonts w:ascii="Century Schoolbook" w:hAnsi="Century Schoolbook"/>
        </w:rPr>
        <w:t>defendant</w:t>
      </w:r>
      <w:r>
        <w:rPr>
          <w:rFonts w:ascii="Century Schoolbook" w:hAnsi="Century Schoolbook"/>
        </w:rPr>
        <w:t>s</w:t>
      </w:r>
      <w:r>
        <w:rPr>
          <w:rFonts w:ascii="Century Schoolbook" w:hAnsi="Century Schoolbook"/>
        </w:rPr>
        <w:t xml:space="preserve">’ </w:t>
      </w:r>
      <w:r>
        <w:rPr>
          <w:rFonts w:ascii="Century Schoolbook" w:hAnsi="Century Schoolbook"/>
        </w:rPr>
        <w:t xml:space="preserve">conduct all </w:t>
      </w:r>
      <w:r>
        <w:rPr>
          <w:rFonts w:ascii="Century Schoolbook" w:hAnsi="Century Schoolbook"/>
        </w:rPr>
        <w:t xml:space="preserve">in contrast to </w:t>
      </w:r>
      <w:r>
        <w:rPr>
          <w:rFonts w:ascii="Century Schoolbook" w:hAnsi="Century Schoolbook"/>
        </w:rPr>
        <w:t xml:space="preserve">the facts of </w:t>
      </w:r>
      <w:r w:rsidRPr="00AD37E2">
        <w:rPr>
          <w:rFonts w:ascii="Century Schoolbook" w:hAnsi="Century Schoolbook"/>
          <w:i/>
          <w:iCs/>
        </w:rPr>
        <w:t xml:space="preserve">James </w:t>
      </w:r>
      <w:r w:rsidRPr="00AD37E2">
        <w:rPr>
          <w:rFonts w:ascii="Century Schoolbook" w:hAnsi="Century Schoolbook"/>
          <w:i/>
          <w:iCs/>
        </w:rPr>
        <w:lastRenderedPageBreak/>
        <w:t>W</w:t>
      </w:r>
      <w:r>
        <w:rPr>
          <w:rFonts w:ascii="Century Schoolbook" w:hAnsi="Century Schoolbook"/>
        </w:rPr>
        <w:t>., which had</w:t>
      </w:r>
      <w:r>
        <w:rPr>
          <w:rFonts w:ascii="Century Schoolbook" w:hAnsi="Century Schoolbook"/>
        </w:rPr>
        <w:t xml:space="preserve"> </w:t>
      </w:r>
      <w:r>
        <w:rPr>
          <w:rFonts w:ascii="Century Schoolbook" w:hAnsi="Century Schoolbook"/>
        </w:rPr>
        <w:t xml:space="preserve">merely </w:t>
      </w:r>
      <w:r>
        <w:rPr>
          <w:rFonts w:ascii="Century Schoolbook" w:hAnsi="Century Schoolbook"/>
        </w:rPr>
        <w:t xml:space="preserve">held that Penal Code section 11172 “does not apply to </w:t>
      </w:r>
      <w:r>
        <w:rPr>
          <w:rFonts w:ascii="Century Schoolbook" w:hAnsi="Century Schoolbook"/>
        </w:rPr>
        <w:t>activities that continue more than two years after the initial report of abuse by parties who are not acting as reporters.” (</w:t>
      </w:r>
      <w:r w:rsidRPr="00AD37E2">
        <w:rPr>
          <w:rFonts w:ascii="Century Schoolbook" w:hAnsi="Century Schoolbook"/>
          <w:i/>
          <w:iCs/>
        </w:rPr>
        <w:t>James W., supra</w:t>
      </w:r>
      <w:r>
        <w:rPr>
          <w:rFonts w:ascii="Century Schoolbook" w:hAnsi="Century Schoolbook"/>
        </w:rPr>
        <w:t>, 17 Cal.App.4th at p.</w:t>
      </w:r>
      <w:r>
        <w:rPr>
          <w:rFonts w:ascii="Century Schoolbook" w:hAnsi="Century Schoolbook"/>
        </w:rPr>
        <w:t> </w:t>
      </w:r>
      <w:r>
        <w:rPr>
          <w:rFonts w:ascii="Century Schoolbook" w:hAnsi="Century Schoolbook"/>
        </w:rPr>
        <w:t xml:space="preserve">253.) </w:t>
      </w:r>
      <w:r w:rsidRPr="006F2C11">
        <w:rPr>
          <w:rFonts w:ascii="Century Schoolbook" w:hAnsi="Century Schoolbook"/>
          <w:i/>
          <w:iCs/>
        </w:rPr>
        <w:t>Arce</w:t>
      </w:r>
      <w:r>
        <w:rPr>
          <w:rFonts w:ascii="Century Schoolbook" w:hAnsi="Century Schoolbook"/>
        </w:rPr>
        <w:t xml:space="preserve"> </w:t>
      </w:r>
      <w:r>
        <w:rPr>
          <w:rFonts w:ascii="Century Schoolbook" w:hAnsi="Century Schoolbook"/>
        </w:rPr>
        <w:t xml:space="preserve">therefore </w:t>
      </w:r>
      <w:r>
        <w:rPr>
          <w:rFonts w:ascii="Century Schoolbook" w:hAnsi="Century Schoolbook"/>
        </w:rPr>
        <w:t>extended statutory immunity beyond actual reports of child abuse to even</w:t>
      </w:r>
      <w:r>
        <w:rPr>
          <w:rFonts w:ascii="Century Schoolbook" w:hAnsi="Century Schoolbook"/>
        </w:rPr>
        <w:t xml:space="preserve"> </w:t>
      </w:r>
      <w:r>
        <w:rPr>
          <w:rFonts w:ascii="Century Schoolbook" w:hAnsi="Century Schoolbook"/>
        </w:rPr>
        <w:t xml:space="preserve">allegedly </w:t>
      </w:r>
      <w:r>
        <w:rPr>
          <w:rFonts w:ascii="Century Schoolbook" w:hAnsi="Century Schoolbook"/>
        </w:rPr>
        <w:t xml:space="preserve">tortious conduct </w:t>
      </w:r>
      <w:r>
        <w:rPr>
          <w:rFonts w:ascii="Century Schoolbook" w:hAnsi="Century Schoolbook"/>
        </w:rPr>
        <w:t>committed in furtherance of diagnosing whether the abuse had occurred. (</w:t>
      </w:r>
      <w:r w:rsidRPr="006F2C11">
        <w:rPr>
          <w:rFonts w:ascii="Century Schoolbook" w:hAnsi="Century Schoolbook"/>
          <w:i/>
          <w:iCs/>
        </w:rPr>
        <w:t>Arce, supra</w:t>
      </w:r>
      <w:r>
        <w:rPr>
          <w:rFonts w:ascii="Century Schoolbook" w:hAnsi="Century Schoolbook"/>
        </w:rPr>
        <w:t>, 211 Cal.App.4th at pp. 1491–1492, 1496.)</w:t>
      </w:r>
      <w:r>
        <w:rPr>
          <w:rFonts w:ascii="Century Schoolbook" w:hAnsi="Century Schoolbook"/>
        </w:rPr>
        <w:t xml:space="preserve"> </w:t>
      </w:r>
    </w:p>
    <w:p w14:paraId="11796040" w14:textId="77777777" w:rsidR="006F2C11" w:rsidRDefault="00F5385E" w:rsidP="004D0F0E">
      <w:pPr>
        <w:rPr>
          <w:rFonts w:ascii="Century Schoolbook" w:hAnsi="Century Schoolbook"/>
        </w:rPr>
      </w:pPr>
      <w:r>
        <w:rPr>
          <w:rFonts w:ascii="Century Schoolbook" w:hAnsi="Century Schoolbook"/>
        </w:rPr>
        <w:tab/>
        <w:t xml:space="preserve">We conclude that Dellard’s alleged </w:t>
      </w:r>
      <w:r>
        <w:rPr>
          <w:rFonts w:ascii="Century Schoolbook" w:hAnsi="Century Schoolbook"/>
        </w:rPr>
        <w:t xml:space="preserve">post-reporting </w:t>
      </w:r>
      <w:r>
        <w:rPr>
          <w:rFonts w:ascii="Century Schoolbook" w:hAnsi="Century Schoolbook"/>
        </w:rPr>
        <w:t>conduct in coercing Barton to corroborate her fals</w:t>
      </w:r>
      <w:r>
        <w:rPr>
          <w:rFonts w:ascii="Century Schoolbook" w:hAnsi="Century Schoolbook"/>
        </w:rPr>
        <w:t>e report of abuse is</w:t>
      </w:r>
      <w:r>
        <w:rPr>
          <w:rFonts w:ascii="Century Schoolbook" w:hAnsi="Century Schoolbook"/>
        </w:rPr>
        <w:t xml:space="preserve">, like in </w:t>
      </w:r>
      <w:r w:rsidRPr="00D80145">
        <w:rPr>
          <w:rFonts w:ascii="Century Schoolbook" w:hAnsi="Century Schoolbook"/>
          <w:i/>
          <w:iCs/>
        </w:rPr>
        <w:t>Santos</w:t>
      </w:r>
      <w:r>
        <w:rPr>
          <w:rFonts w:ascii="Century Schoolbook" w:hAnsi="Century Schoolbook"/>
        </w:rPr>
        <w:t xml:space="preserve"> and </w:t>
      </w:r>
      <w:r w:rsidRPr="00D80145">
        <w:rPr>
          <w:rFonts w:ascii="Century Schoolbook" w:hAnsi="Century Schoolbook"/>
          <w:i/>
          <w:iCs/>
        </w:rPr>
        <w:t>Arce</w:t>
      </w:r>
      <w:r>
        <w:rPr>
          <w:rFonts w:ascii="Century Schoolbook" w:hAnsi="Century Schoolbook"/>
        </w:rPr>
        <w:t xml:space="preserve">, distinct from the circumstances of </w:t>
      </w:r>
      <w:r w:rsidRPr="00D80145">
        <w:rPr>
          <w:rFonts w:ascii="Century Schoolbook" w:hAnsi="Century Schoolbook"/>
          <w:i/>
          <w:iCs/>
        </w:rPr>
        <w:t>James W</w:t>
      </w:r>
      <w:r>
        <w:rPr>
          <w:rFonts w:ascii="Century Schoolbook" w:hAnsi="Century Schoolbook"/>
        </w:rPr>
        <w:t xml:space="preserve">. For one thing, as respondents point out, Dellard was herself a </w:t>
      </w:r>
      <w:r>
        <w:rPr>
          <w:rFonts w:ascii="Century Schoolbook" w:hAnsi="Century Schoolbook"/>
        </w:rPr>
        <w:t xml:space="preserve">mandated </w:t>
      </w:r>
      <w:r>
        <w:rPr>
          <w:rFonts w:ascii="Century Schoolbook" w:hAnsi="Century Schoolbook"/>
        </w:rPr>
        <w:t>reporter</w:t>
      </w:r>
      <w:r>
        <w:rPr>
          <w:rFonts w:ascii="Century Schoolbook" w:hAnsi="Century Schoolbook"/>
        </w:rPr>
        <w:t xml:space="preserve"> of abuse</w:t>
      </w:r>
      <w:r>
        <w:rPr>
          <w:rFonts w:ascii="Century Schoolbook" w:hAnsi="Century Schoolbook"/>
        </w:rPr>
        <w:t>, not a receiver of a report who, after the fact</w:t>
      </w:r>
      <w:r>
        <w:rPr>
          <w:rFonts w:ascii="Century Schoolbook" w:hAnsi="Century Schoolbook"/>
        </w:rPr>
        <w:t xml:space="preserve"> and upon </w:t>
      </w:r>
      <w:r>
        <w:rPr>
          <w:rFonts w:ascii="Century Schoolbook" w:hAnsi="Century Schoolbook"/>
        </w:rPr>
        <w:t xml:space="preserve">the report’s </w:t>
      </w:r>
      <w:r>
        <w:rPr>
          <w:rFonts w:ascii="Century Schoolbook" w:hAnsi="Century Schoolbook"/>
        </w:rPr>
        <w:t>receipt</w:t>
      </w:r>
      <w:r>
        <w:rPr>
          <w:rFonts w:ascii="Century Schoolbook" w:hAnsi="Century Schoolbook"/>
        </w:rPr>
        <w:t>, attempt</w:t>
      </w:r>
      <w:r>
        <w:rPr>
          <w:rFonts w:ascii="Century Schoolbook" w:hAnsi="Century Schoolbook"/>
        </w:rPr>
        <w:t>ed</w:t>
      </w:r>
      <w:r>
        <w:rPr>
          <w:rFonts w:ascii="Century Schoolbook" w:hAnsi="Century Schoolbook"/>
        </w:rPr>
        <w:t xml:space="preserve"> to investigate, prosecute, or respond to </w:t>
      </w:r>
      <w:r>
        <w:rPr>
          <w:rFonts w:ascii="Century Schoolbook" w:hAnsi="Century Schoolbook"/>
        </w:rPr>
        <w:t>it</w:t>
      </w:r>
      <w:r>
        <w:rPr>
          <w:rFonts w:ascii="Century Schoolbook" w:hAnsi="Century Schoolbook"/>
        </w:rPr>
        <w:t xml:space="preserve"> </w:t>
      </w:r>
      <w:r>
        <w:rPr>
          <w:rFonts w:ascii="Century Schoolbook" w:hAnsi="Century Schoolbook"/>
        </w:rPr>
        <w:t xml:space="preserve">in an unauthorized manner, </w:t>
      </w:r>
      <w:r>
        <w:rPr>
          <w:rFonts w:ascii="Century Schoolbook" w:hAnsi="Century Schoolbook"/>
        </w:rPr>
        <w:t>and in doing so</w:t>
      </w:r>
      <w:r>
        <w:rPr>
          <w:rFonts w:ascii="Century Schoolbook" w:hAnsi="Century Schoolbook"/>
        </w:rPr>
        <w:t>,</w:t>
      </w:r>
      <w:r>
        <w:rPr>
          <w:rFonts w:ascii="Century Schoolbook" w:hAnsi="Century Schoolbook"/>
        </w:rPr>
        <w:t xml:space="preserve"> usurp</w:t>
      </w:r>
      <w:r>
        <w:rPr>
          <w:rFonts w:ascii="Century Schoolbook" w:hAnsi="Century Schoolbook"/>
        </w:rPr>
        <w:t>ed</w:t>
      </w:r>
      <w:r>
        <w:rPr>
          <w:rFonts w:ascii="Century Schoolbook" w:hAnsi="Century Schoolbook"/>
        </w:rPr>
        <w:t xml:space="preserve"> or attempt</w:t>
      </w:r>
      <w:r>
        <w:rPr>
          <w:rFonts w:ascii="Century Schoolbook" w:hAnsi="Century Schoolbook"/>
        </w:rPr>
        <w:t>ed</w:t>
      </w:r>
      <w:r>
        <w:rPr>
          <w:rFonts w:ascii="Century Schoolbook" w:hAnsi="Century Schoolbook"/>
        </w:rPr>
        <w:t xml:space="preserve"> to usurp these official functions</w:t>
      </w:r>
      <w:r>
        <w:rPr>
          <w:rFonts w:ascii="Century Schoolbook" w:hAnsi="Century Schoolbook"/>
        </w:rPr>
        <w:t xml:space="preserve">. </w:t>
      </w:r>
      <w:r>
        <w:rPr>
          <w:rFonts w:ascii="Century Schoolbook" w:hAnsi="Century Schoolbook"/>
        </w:rPr>
        <w:t>And u</w:t>
      </w:r>
      <w:r>
        <w:rPr>
          <w:rFonts w:ascii="Century Schoolbook" w:hAnsi="Century Schoolbook"/>
        </w:rPr>
        <w:t xml:space="preserve">nlike in </w:t>
      </w:r>
      <w:r w:rsidRPr="004D5457">
        <w:rPr>
          <w:rFonts w:ascii="Century Schoolbook" w:hAnsi="Century Schoolbook"/>
          <w:i/>
          <w:iCs/>
        </w:rPr>
        <w:t>James W</w:t>
      </w:r>
      <w:r>
        <w:rPr>
          <w:rFonts w:ascii="Century Schoolbook" w:hAnsi="Century Schoolbook"/>
        </w:rPr>
        <w:t>., Dellard</w:t>
      </w:r>
      <w:r>
        <w:rPr>
          <w:rFonts w:ascii="Century Schoolbook" w:hAnsi="Century Schoolbook"/>
        </w:rPr>
        <w:t>, a mandated reporter,</w:t>
      </w:r>
      <w:r>
        <w:rPr>
          <w:rFonts w:ascii="Century Schoolbook" w:hAnsi="Century Schoolbook"/>
        </w:rPr>
        <w:t xml:space="preserve"> is not alleged to have done anything by</w:t>
      </w:r>
      <w:r>
        <w:rPr>
          <w:rFonts w:ascii="Century Schoolbook" w:hAnsi="Century Schoolbook"/>
        </w:rPr>
        <w:t xml:space="preserve"> which she could be said to have become</w:t>
      </w:r>
      <w:r>
        <w:rPr>
          <w:rFonts w:ascii="Century Schoolbook" w:hAnsi="Century Schoolbook"/>
        </w:rPr>
        <w:t xml:space="preserve"> </w:t>
      </w:r>
      <w:r>
        <w:rPr>
          <w:rFonts w:ascii="Century Schoolbook" w:hAnsi="Century Schoolbook"/>
        </w:rPr>
        <w:t xml:space="preserve">so </w:t>
      </w:r>
      <w:r>
        <w:rPr>
          <w:rFonts w:ascii="Century Schoolbook" w:hAnsi="Century Schoolbook"/>
        </w:rPr>
        <w:t>“deeply enmeshed in investigatory or prosecutorial activities</w:t>
      </w:r>
      <w:r>
        <w:rPr>
          <w:rFonts w:ascii="Century Schoolbook" w:hAnsi="Century Schoolbook"/>
        </w:rPr>
        <w:t>.</w:t>
      </w:r>
      <w:r>
        <w:rPr>
          <w:rFonts w:ascii="Century Schoolbook" w:hAnsi="Century Schoolbook"/>
        </w:rPr>
        <w:t>”</w:t>
      </w:r>
      <w:r>
        <w:rPr>
          <w:rFonts w:ascii="Century Schoolbook" w:hAnsi="Century Schoolbook"/>
        </w:rPr>
        <w:t xml:space="preserve"> </w:t>
      </w:r>
      <w:r>
        <w:rPr>
          <w:rFonts w:ascii="Century Schoolbook" w:hAnsi="Century Schoolbook"/>
        </w:rPr>
        <w:t>(</w:t>
      </w:r>
      <w:r w:rsidRPr="00DC0168">
        <w:rPr>
          <w:rFonts w:ascii="Century Schoolbook" w:hAnsi="Century Schoolbook"/>
          <w:i/>
          <w:iCs/>
        </w:rPr>
        <w:t>James W., supra</w:t>
      </w:r>
      <w:r>
        <w:rPr>
          <w:rFonts w:ascii="Century Schoolbook" w:hAnsi="Century Schoolbook"/>
        </w:rPr>
        <w:t xml:space="preserve">, 17 Cal.App.4th at p. 257.) </w:t>
      </w:r>
    </w:p>
    <w:p w14:paraId="786E3D9B" w14:textId="77777777" w:rsidR="00CF14B9" w:rsidRDefault="00F5385E" w:rsidP="004D0F0E">
      <w:pPr>
        <w:rPr>
          <w:rFonts w:ascii="Century Schoolbook" w:hAnsi="Century Schoolbook"/>
        </w:rPr>
      </w:pPr>
      <w:r>
        <w:rPr>
          <w:rFonts w:ascii="Century Schoolbook" w:hAnsi="Century Schoolbook"/>
        </w:rPr>
        <w:tab/>
      </w:r>
      <w:r>
        <w:rPr>
          <w:rFonts w:ascii="Century Schoolbook" w:hAnsi="Century Schoolbook"/>
        </w:rPr>
        <w:t xml:space="preserve">Second, like in </w:t>
      </w:r>
      <w:r w:rsidRPr="00DC0168">
        <w:rPr>
          <w:rFonts w:ascii="Century Schoolbook" w:hAnsi="Century Schoolbook"/>
          <w:i/>
          <w:iCs/>
        </w:rPr>
        <w:t>Santos</w:t>
      </w:r>
      <w:r>
        <w:rPr>
          <w:rFonts w:ascii="Century Schoolbook" w:hAnsi="Century Schoolbook"/>
        </w:rPr>
        <w:t>,</w:t>
      </w:r>
      <w:r>
        <w:rPr>
          <w:rFonts w:ascii="Century Schoolbook" w:hAnsi="Century Schoolbook"/>
        </w:rPr>
        <w:t xml:space="preserve"> Dellard’s alleged coercion of Barton occurred close in time</w:t>
      </w:r>
      <w:r>
        <w:rPr>
          <w:rFonts w:ascii="Century Schoolbook" w:hAnsi="Century Schoolbook"/>
        </w:rPr>
        <w:t xml:space="preserve">, </w:t>
      </w:r>
      <w:r>
        <w:rPr>
          <w:rFonts w:ascii="Century Schoolbook" w:hAnsi="Century Schoolbook"/>
        </w:rPr>
        <w:t>was a follow</w:t>
      </w:r>
      <w:r>
        <w:rPr>
          <w:rFonts w:ascii="Century Schoolbook" w:hAnsi="Century Schoolbook"/>
        </w:rPr>
        <w:t>-</w:t>
      </w:r>
      <w:r>
        <w:rPr>
          <w:rFonts w:ascii="Century Schoolbook" w:hAnsi="Century Schoolbook"/>
        </w:rPr>
        <w:t xml:space="preserve">up </w:t>
      </w:r>
      <w:r>
        <w:rPr>
          <w:rFonts w:ascii="Century Schoolbook" w:hAnsi="Century Schoolbook"/>
        </w:rPr>
        <w:t>t</w:t>
      </w:r>
      <w:r>
        <w:rPr>
          <w:rFonts w:ascii="Century Schoolbook" w:hAnsi="Century Schoolbook"/>
        </w:rPr>
        <w:t xml:space="preserve">o her own report of Valero’s abuse, and concerned the same alleged incident of Valero having tried to smother Barton. </w:t>
      </w:r>
      <w:r>
        <w:rPr>
          <w:rFonts w:ascii="Century Schoolbook" w:hAnsi="Century Schoolbook"/>
        </w:rPr>
        <w:t xml:space="preserve">(See also </w:t>
      </w:r>
      <w:r w:rsidRPr="00767078">
        <w:rPr>
          <w:rFonts w:ascii="Century Schoolbook" w:hAnsi="Century Schoolbook"/>
          <w:i/>
          <w:iCs/>
        </w:rPr>
        <w:t>Arce, supra</w:t>
      </w:r>
      <w:r>
        <w:rPr>
          <w:rFonts w:ascii="Century Schoolbook" w:hAnsi="Century Schoolbook"/>
        </w:rPr>
        <w:t xml:space="preserve">, 211 Cal.App.4th at pp. 1491–1492; </w:t>
      </w:r>
      <w:r w:rsidRPr="00767078">
        <w:rPr>
          <w:rFonts w:ascii="Century Schoolbook" w:hAnsi="Century Schoolbook"/>
          <w:i/>
          <w:iCs/>
        </w:rPr>
        <w:t>Krikorian, supra</w:t>
      </w:r>
      <w:r>
        <w:rPr>
          <w:rFonts w:ascii="Century Schoolbook" w:hAnsi="Century Schoolbook"/>
        </w:rPr>
        <w:t xml:space="preserve">, 196 Cal.App.3d at pp. 1213, 1222–1223.) </w:t>
      </w:r>
      <w:r>
        <w:rPr>
          <w:rFonts w:ascii="Century Schoolbook" w:hAnsi="Century Schoolbook"/>
        </w:rPr>
        <w:t>In other words, Dellard</w:t>
      </w:r>
      <w:r>
        <w:rPr>
          <w:rFonts w:ascii="Century Schoolbook" w:hAnsi="Century Schoolbook"/>
        </w:rPr>
        <w:t xml:space="preserve">’s alleged post-reporting conduct involved </w:t>
      </w:r>
      <w:r>
        <w:rPr>
          <w:rFonts w:ascii="Century Schoolbook" w:hAnsi="Century Schoolbook"/>
        </w:rPr>
        <w:t xml:space="preserve">getting </w:t>
      </w:r>
      <w:r>
        <w:rPr>
          <w:rFonts w:ascii="Century Schoolbook" w:hAnsi="Century Schoolbook"/>
        </w:rPr>
        <w:t>Barton’</w:t>
      </w:r>
      <w:r>
        <w:rPr>
          <w:rFonts w:ascii="Century Schoolbook" w:hAnsi="Century Schoolbook"/>
        </w:rPr>
        <w:t>s—the victim’s—</w:t>
      </w:r>
      <w:r>
        <w:rPr>
          <w:rFonts w:ascii="Century Schoolbook" w:hAnsi="Century Schoolbook"/>
        </w:rPr>
        <w:t xml:space="preserve">confirmation of the same report. This conduct, by a mandated reporter, is closely connected both in time and </w:t>
      </w:r>
      <w:r>
        <w:rPr>
          <w:rFonts w:ascii="Century Schoolbook" w:hAnsi="Century Schoolbook"/>
        </w:rPr>
        <w:t xml:space="preserve">in </w:t>
      </w:r>
      <w:r>
        <w:rPr>
          <w:rFonts w:ascii="Century Schoolbook" w:hAnsi="Century Schoolbook"/>
        </w:rPr>
        <w:t xml:space="preserve">content to Dellard’s own report, </w:t>
      </w:r>
      <w:r>
        <w:rPr>
          <w:rFonts w:ascii="Century Schoolbook" w:hAnsi="Century Schoolbook"/>
        </w:rPr>
        <w:t xml:space="preserve">for which we have </w:t>
      </w:r>
      <w:r>
        <w:rPr>
          <w:rFonts w:ascii="Century Schoolbook" w:hAnsi="Century Schoolbook"/>
        </w:rPr>
        <w:t xml:space="preserve">already </w:t>
      </w:r>
      <w:r>
        <w:rPr>
          <w:rFonts w:ascii="Century Schoolbook" w:hAnsi="Century Schoolbook"/>
        </w:rPr>
        <w:t xml:space="preserve">concluded she has </w:t>
      </w:r>
      <w:r>
        <w:rPr>
          <w:rFonts w:ascii="Century Schoolbook" w:hAnsi="Century Schoolbook"/>
        </w:rPr>
        <w:t xml:space="preserve">absolute </w:t>
      </w:r>
      <w:r>
        <w:rPr>
          <w:rFonts w:ascii="Century Schoolbook" w:hAnsi="Century Schoolbook"/>
        </w:rPr>
        <w:t xml:space="preserve">immunity, </w:t>
      </w:r>
      <w:r>
        <w:rPr>
          <w:rFonts w:ascii="Century Schoolbook" w:hAnsi="Century Schoolbook"/>
        </w:rPr>
        <w:t xml:space="preserve">and it therefore falls within the same immunity </w:t>
      </w:r>
      <w:r>
        <w:rPr>
          <w:rFonts w:ascii="Century Schoolbook" w:hAnsi="Century Schoolbook"/>
        </w:rPr>
        <w:t>protection of section 15634(a).</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r>
        <w:rPr>
          <w:rFonts w:ascii="Century Schoolbook" w:hAnsi="Century Schoolbook"/>
        </w:rPr>
        <w:t xml:space="preserve"> </w:t>
      </w:r>
    </w:p>
    <w:p w14:paraId="383E52A7" w14:textId="77777777" w:rsidR="00F94B4C" w:rsidRPr="004D0F0E" w:rsidRDefault="00F5385E" w:rsidP="004D0F0E">
      <w:pPr>
        <w:rPr>
          <w:rFonts w:ascii="Century Schoolbook" w:hAnsi="Century Schoolbook"/>
        </w:rPr>
      </w:pPr>
      <w:r>
        <w:rPr>
          <w:rFonts w:ascii="Century Schoolbook" w:hAnsi="Century Schoolbook"/>
        </w:rPr>
        <w:lastRenderedPageBreak/>
        <w:tab/>
      </w:r>
      <w:r>
        <w:rPr>
          <w:rFonts w:ascii="Century Schoolbook" w:hAnsi="Century Schoolbook"/>
        </w:rPr>
        <w:t xml:space="preserve"> </w:t>
      </w:r>
      <w:r w:rsidRPr="004D0F0E">
        <w:rPr>
          <w:rFonts w:ascii="Century Schoolbook" w:hAnsi="Century Schoolbook"/>
        </w:rPr>
        <w:t xml:space="preserve"> </w:t>
      </w:r>
      <w:r w:rsidRPr="004D0F0E">
        <w:rPr>
          <w:rFonts w:ascii="Century Schoolbook" w:hAnsi="Century Schoolbook"/>
        </w:rPr>
        <w:t xml:space="preserve"> </w:t>
      </w:r>
      <w:r w:rsidRPr="004D0F0E">
        <w:rPr>
          <w:rFonts w:ascii="Century Schoolbook" w:hAnsi="Century Schoolbook"/>
        </w:rPr>
        <w:t xml:space="preserve"> </w:t>
      </w:r>
      <w:r w:rsidRPr="004D0F0E">
        <w:rPr>
          <w:rFonts w:ascii="Century Schoolbook" w:hAnsi="Century Schoolbook"/>
        </w:rPr>
        <w:t xml:space="preserve"> </w:t>
      </w:r>
      <w:r w:rsidRPr="004D0F0E">
        <w:rPr>
          <w:rFonts w:ascii="Century Schoolbook" w:hAnsi="Century Schoolbook"/>
        </w:rPr>
        <w:t xml:space="preserve"> </w:t>
      </w:r>
      <w:r w:rsidRPr="004D0F0E">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DISPOSITION</w:t>
      </w:r>
    </w:p>
    <w:p w14:paraId="49F5A782" w14:textId="77777777" w:rsidR="00CD061D" w:rsidRDefault="00F5385E" w:rsidP="00142B0E">
      <w:pPr>
        <w:rPr>
          <w:rFonts w:ascii="Century Schoolbook" w:hAnsi="Century Schoolbook"/>
        </w:rPr>
        <w:sectPr w:rsidR="00CD061D" w:rsidSect="00533B38">
          <w:headerReference w:type="even" r:id="rId8"/>
          <w:headerReference w:type="default" r:id="rId9"/>
          <w:footerReference w:type="even" r:id="rId10"/>
          <w:footerReference w:type="default" r:id="rId11"/>
          <w:headerReference w:type="first" r:id="rId12"/>
          <w:footerReference w:type="first" r:id="rId13"/>
          <w:pgSz w:w="12240" w:h="15840" w:code="1"/>
          <w:pgMar w:top="1440" w:right="1152" w:bottom="1440" w:left="1440" w:header="720" w:footer="720" w:gutter="0"/>
          <w:cols w:space="720"/>
          <w:titlePg/>
          <w:docGrid w:linePitch="354"/>
        </w:sectPr>
      </w:pPr>
      <w:r>
        <w:rPr>
          <w:rFonts w:ascii="Century Schoolbook" w:hAnsi="Century Schoolbook"/>
        </w:rPr>
        <w:tab/>
        <w:t>The judgment of dismissal is affirmed.</w:t>
      </w:r>
      <w:r>
        <w:rPr>
          <w:rFonts w:ascii="Century Schoolbook" w:hAnsi="Century Schoolbook"/>
        </w:rPr>
        <w:t xml:space="preserve"> Respondents are entitled to their costs on appeal.</w:t>
      </w:r>
    </w:p>
    <w:p w14:paraId="70281412" w14:textId="77777777" w:rsidR="00B51EBD" w:rsidRPr="00B51EBD" w:rsidRDefault="00F5385E" w:rsidP="00B51EBD">
      <w:pPr>
        <w:spacing w:line="240" w:lineRule="auto"/>
        <w:rPr>
          <w:rFonts w:ascii="Century Schoolbook" w:hAnsi="Century Schoolbook"/>
        </w:rPr>
      </w:pPr>
      <w:bookmarkStart w:id="1" w:name="_Hlk524435911"/>
    </w:p>
    <w:p w14:paraId="4C96DB51" w14:textId="77777777" w:rsidR="00B51EBD" w:rsidRPr="00B51EBD" w:rsidRDefault="00F5385E" w:rsidP="00B51EBD">
      <w:pPr>
        <w:spacing w:line="240" w:lineRule="auto"/>
        <w:rPr>
          <w:rFonts w:ascii="Century Schoolbook" w:hAnsi="Century Schoolbook"/>
        </w:rPr>
      </w:pPr>
    </w:p>
    <w:p w14:paraId="5268981A" w14:textId="77777777" w:rsidR="00B51EBD" w:rsidRPr="00B51EBD" w:rsidRDefault="00F5385E" w:rsidP="00B51EBD">
      <w:pPr>
        <w:spacing w:line="240" w:lineRule="auto"/>
        <w:rPr>
          <w:rFonts w:ascii="Century Schoolbook" w:hAnsi="Century Schoolbook"/>
        </w:rPr>
      </w:pPr>
    </w:p>
    <w:p w14:paraId="11A009F2" w14:textId="77777777" w:rsidR="00B51EBD" w:rsidRPr="00B51EBD" w:rsidRDefault="00F5385E" w:rsidP="00B51EBD">
      <w:pPr>
        <w:spacing w:line="240" w:lineRule="auto"/>
        <w:rPr>
          <w:rFonts w:ascii="Century Schoolbook" w:hAnsi="Century Schoolbook"/>
        </w:rPr>
      </w:pPr>
    </w:p>
    <w:p w14:paraId="43AA3CFD" w14:textId="77777777" w:rsidR="00B51EBD" w:rsidRPr="00B51EBD" w:rsidRDefault="00F5385E" w:rsidP="00B51EBD">
      <w:pPr>
        <w:spacing w:line="240" w:lineRule="auto"/>
        <w:rPr>
          <w:rFonts w:ascii="Century Schoolbook" w:hAnsi="Century Schoolbook"/>
        </w:rPr>
      </w:pP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t>____________________________</w:t>
      </w:r>
    </w:p>
    <w:p w14:paraId="74F298F6" w14:textId="77777777" w:rsidR="00B51EBD" w:rsidRPr="00B51EBD" w:rsidRDefault="00F5385E" w:rsidP="00B51EBD">
      <w:pPr>
        <w:spacing w:line="240" w:lineRule="auto"/>
        <w:rPr>
          <w:rFonts w:ascii="Century Schoolbook" w:hAnsi="Century Schoolbook"/>
        </w:rPr>
      </w:pP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r>
      <w:r w:rsidRPr="00B51EBD">
        <w:rPr>
          <w:rFonts w:ascii="Century Schoolbook" w:hAnsi="Century Schoolbook"/>
        </w:rPr>
        <w:tab/>
        <w:t>WILLIAMS, J.</w:t>
      </w:r>
      <w:r>
        <w:rPr>
          <w:rFonts w:ascii="Symbol" w:hAnsi="Symbol"/>
          <w:vertAlign w:val="superscript"/>
        </w:rPr>
        <w:endnoteReference w:customMarkFollows="1" w:id="1"/>
        <w:sym w:font="Symbol" w:char="F02A"/>
      </w:r>
    </w:p>
    <w:p w14:paraId="19E31A84" w14:textId="77777777" w:rsidR="00B51EBD" w:rsidRPr="00B51EBD" w:rsidRDefault="00F5385E" w:rsidP="00B51EBD">
      <w:pPr>
        <w:spacing w:line="240" w:lineRule="auto"/>
        <w:rPr>
          <w:rFonts w:ascii="Century Schoolbook" w:hAnsi="Century Schoolbook"/>
        </w:rPr>
      </w:pPr>
    </w:p>
    <w:p w14:paraId="387D0B40" w14:textId="77777777" w:rsidR="00B51EBD" w:rsidRPr="00B51EBD" w:rsidRDefault="00F5385E" w:rsidP="00B51EBD">
      <w:pPr>
        <w:spacing w:line="240" w:lineRule="auto"/>
        <w:rPr>
          <w:rFonts w:ascii="Century Schoolbook" w:hAnsi="Century Schoolbook"/>
        </w:rPr>
      </w:pPr>
    </w:p>
    <w:p w14:paraId="3025732A" w14:textId="77777777" w:rsidR="00B51EBD" w:rsidRPr="00B51EBD" w:rsidRDefault="00F5385E" w:rsidP="00B51EBD">
      <w:pPr>
        <w:spacing w:line="240" w:lineRule="auto"/>
        <w:rPr>
          <w:rFonts w:ascii="Century Schoolbook" w:hAnsi="Century Schoolbook"/>
        </w:rPr>
      </w:pPr>
    </w:p>
    <w:p w14:paraId="27BFCEBA" w14:textId="77777777" w:rsidR="00B51EBD" w:rsidRPr="00B51EBD" w:rsidRDefault="00F5385E" w:rsidP="00B51EBD">
      <w:pPr>
        <w:spacing w:line="240" w:lineRule="auto"/>
        <w:rPr>
          <w:rFonts w:ascii="Century Schoolbook" w:hAnsi="Century Schoolbook"/>
        </w:rPr>
      </w:pPr>
    </w:p>
    <w:p w14:paraId="046A7F74" w14:textId="77777777" w:rsidR="00B51EBD" w:rsidRPr="00B51EBD" w:rsidRDefault="00F5385E" w:rsidP="00B51EBD">
      <w:pPr>
        <w:spacing w:line="240" w:lineRule="auto"/>
        <w:rPr>
          <w:rFonts w:ascii="Century Schoolbook" w:hAnsi="Century Schoolbook"/>
        </w:rPr>
      </w:pPr>
    </w:p>
    <w:p w14:paraId="04A83C5E" w14:textId="77777777" w:rsidR="00B51EBD" w:rsidRPr="00B51EBD" w:rsidRDefault="00F5385E" w:rsidP="00B51EBD">
      <w:pPr>
        <w:spacing w:line="240" w:lineRule="auto"/>
        <w:rPr>
          <w:rFonts w:ascii="Century Schoolbook" w:hAnsi="Century Schoolbook"/>
        </w:rPr>
      </w:pPr>
    </w:p>
    <w:p w14:paraId="4520909B" w14:textId="77777777" w:rsidR="00B51EBD" w:rsidRPr="00B51EBD" w:rsidRDefault="00F5385E" w:rsidP="00B51EBD">
      <w:pPr>
        <w:spacing w:line="240" w:lineRule="auto"/>
        <w:rPr>
          <w:rFonts w:ascii="Century Schoolbook" w:hAnsi="Century Schoolbook"/>
        </w:rPr>
      </w:pPr>
      <w:r w:rsidRPr="00B51EBD">
        <w:rPr>
          <w:rFonts w:ascii="Century Schoolbook" w:hAnsi="Century Schoolbook"/>
        </w:rPr>
        <w:t>WE CONCUR:</w:t>
      </w:r>
    </w:p>
    <w:p w14:paraId="0D585577" w14:textId="77777777" w:rsidR="00B51EBD" w:rsidRPr="00B51EBD" w:rsidRDefault="00F5385E" w:rsidP="00B51EBD">
      <w:pPr>
        <w:spacing w:line="240" w:lineRule="auto"/>
        <w:rPr>
          <w:rFonts w:ascii="Century Schoolbook" w:hAnsi="Century Schoolbook"/>
        </w:rPr>
      </w:pPr>
    </w:p>
    <w:p w14:paraId="10D370D4" w14:textId="77777777" w:rsidR="00B51EBD" w:rsidRPr="00B51EBD" w:rsidRDefault="00F5385E" w:rsidP="00B51EBD">
      <w:pPr>
        <w:spacing w:line="240" w:lineRule="auto"/>
        <w:rPr>
          <w:rFonts w:ascii="Century Schoolbook" w:hAnsi="Century Schoolbook"/>
        </w:rPr>
      </w:pPr>
    </w:p>
    <w:p w14:paraId="1A9C2A24" w14:textId="77777777" w:rsidR="00B51EBD" w:rsidRPr="00B51EBD" w:rsidRDefault="00F5385E" w:rsidP="00B51EBD">
      <w:pPr>
        <w:spacing w:line="240" w:lineRule="auto"/>
        <w:rPr>
          <w:rFonts w:ascii="Century Schoolbook" w:hAnsi="Century Schoolbook"/>
        </w:rPr>
      </w:pPr>
    </w:p>
    <w:p w14:paraId="74097899" w14:textId="77777777" w:rsidR="00B51EBD" w:rsidRPr="00B51EBD" w:rsidRDefault="00F5385E" w:rsidP="00B51EBD">
      <w:pPr>
        <w:spacing w:line="240" w:lineRule="auto"/>
        <w:rPr>
          <w:rFonts w:ascii="Century Schoolbook" w:hAnsi="Century Schoolbook"/>
        </w:rPr>
      </w:pPr>
    </w:p>
    <w:p w14:paraId="2A647766" w14:textId="77777777" w:rsidR="00B51EBD" w:rsidRPr="00B51EBD" w:rsidRDefault="00F5385E" w:rsidP="00B51EBD">
      <w:pPr>
        <w:spacing w:line="240" w:lineRule="auto"/>
        <w:rPr>
          <w:rFonts w:ascii="Century Schoolbook" w:hAnsi="Century Schoolbook"/>
        </w:rPr>
      </w:pPr>
    </w:p>
    <w:p w14:paraId="6B455A98" w14:textId="77777777" w:rsidR="00B51EBD" w:rsidRPr="00B51EBD" w:rsidRDefault="00F5385E" w:rsidP="00B51EBD">
      <w:pPr>
        <w:spacing w:line="240" w:lineRule="auto"/>
        <w:rPr>
          <w:rFonts w:ascii="Century Schoolbook" w:hAnsi="Century Schoolbook"/>
        </w:rPr>
      </w:pPr>
    </w:p>
    <w:p w14:paraId="5EB1718D" w14:textId="77777777" w:rsidR="00B51EBD" w:rsidRPr="00B51EBD" w:rsidRDefault="00F5385E" w:rsidP="00B51EBD">
      <w:pPr>
        <w:spacing w:line="240" w:lineRule="auto"/>
        <w:rPr>
          <w:rFonts w:ascii="Century Schoolbook" w:hAnsi="Century Schoolbook"/>
        </w:rPr>
      </w:pPr>
      <w:r w:rsidRPr="00B51EBD">
        <w:rPr>
          <w:rFonts w:ascii="Century Schoolbook" w:hAnsi="Century Schoolbook"/>
        </w:rPr>
        <w:t>____________________________</w:t>
      </w:r>
    </w:p>
    <w:p w14:paraId="585E23A2" w14:textId="77777777" w:rsidR="00B51EBD" w:rsidRPr="00B51EBD" w:rsidRDefault="00F5385E" w:rsidP="00B51EBD">
      <w:pPr>
        <w:spacing w:line="240" w:lineRule="auto"/>
        <w:rPr>
          <w:rFonts w:ascii="Century Schoolbook" w:hAnsi="Century Schoolbook"/>
        </w:rPr>
      </w:pPr>
      <w:r w:rsidRPr="00B51EBD">
        <w:rPr>
          <w:rFonts w:ascii="Century Schoolbook" w:hAnsi="Century Schoolbook"/>
        </w:rPr>
        <w:t>GREENWOOD, P.J.</w:t>
      </w:r>
    </w:p>
    <w:p w14:paraId="2E89EFE5" w14:textId="77777777" w:rsidR="00B51EBD" w:rsidRPr="00B51EBD" w:rsidRDefault="00F5385E" w:rsidP="00B51EBD">
      <w:pPr>
        <w:spacing w:line="240" w:lineRule="auto"/>
        <w:rPr>
          <w:rFonts w:ascii="Century Schoolbook" w:hAnsi="Century Schoolbook"/>
        </w:rPr>
      </w:pPr>
    </w:p>
    <w:p w14:paraId="7CC4E932" w14:textId="77777777" w:rsidR="00B51EBD" w:rsidRPr="00B51EBD" w:rsidRDefault="00F5385E" w:rsidP="00B51EBD">
      <w:pPr>
        <w:spacing w:line="240" w:lineRule="auto"/>
        <w:rPr>
          <w:rFonts w:ascii="Century Schoolbook" w:hAnsi="Century Schoolbook"/>
        </w:rPr>
      </w:pPr>
    </w:p>
    <w:p w14:paraId="29332E88" w14:textId="77777777" w:rsidR="00B51EBD" w:rsidRPr="00B51EBD" w:rsidRDefault="00F5385E" w:rsidP="00B51EBD">
      <w:pPr>
        <w:spacing w:line="240" w:lineRule="auto"/>
        <w:rPr>
          <w:rFonts w:ascii="Century Schoolbook" w:hAnsi="Century Schoolbook"/>
        </w:rPr>
      </w:pPr>
    </w:p>
    <w:p w14:paraId="2B8CEB8D" w14:textId="77777777" w:rsidR="00B51EBD" w:rsidRPr="00B51EBD" w:rsidRDefault="00F5385E" w:rsidP="00B51EBD">
      <w:pPr>
        <w:spacing w:line="240" w:lineRule="auto"/>
        <w:rPr>
          <w:rFonts w:ascii="Century Schoolbook" w:hAnsi="Century Schoolbook"/>
        </w:rPr>
      </w:pPr>
    </w:p>
    <w:p w14:paraId="58355963" w14:textId="77777777" w:rsidR="00B51EBD" w:rsidRPr="00B51EBD" w:rsidRDefault="00F5385E" w:rsidP="00B51EBD">
      <w:pPr>
        <w:spacing w:line="240" w:lineRule="auto"/>
        <w:rPr>
          <w:rFonts w:ascii="Century Schoolbook" w:hAnsi="Century Schoolbook"/>
        </w:rPr>
      </w:pPr>
    </w:p>
    <w:p w14:paraId="11B30AA7" w14:textId="77777777" w:rsidR="00B51EBD" w:rsidRPr="00B51EBD" w:rsidRDefault="00F5385E" w:rsidP="00B51EBD">
      <w:pPr>
        <w:spacing w:line="240" w:lineRule="auto"/>
        <w:rPr>
          <w:rFonts w:ascii="Century Schoolbook" w:hAnsi="Century Schoolbook"/>
        </w:rPr>
      </w:pPr>
    </w:p>
    <w:p w14:paraId="1CAC5A6C" w14:textId="77777777" w:rsidR="00B51EBD" w:rsidRPr="00B51EBD" w:rsidRDefault="00F5385E" w:rsidP="00B51EBD">
      <w:pPr>
        <w:spacing w:line="240" w:lineRule="auto"/>
        <w:rPr>
          <w:rFonts w:ascii="Century Schoolbook" w:hAnsi="Century Schoolbook"/>
        </w:rPr>
      </w:pPr>
      <w:r w:rsidRPr="00B51EBD">
        <w:rPr>
          <w:rFonts w:ascii="Century Schoolbook" w:hAnsi="Century Schoolbook"/>
        </w:rPr>
        <w:t>_____________________________</w:t>
      </w:r>
    </w:p>
    <w:p w14:paraId="1B15AC17" w14:textId="77777777" w:rsidR="00B51EBD" w:rsidRPr="00B51EBD" w:rsidRDefault="00F5385E" w:rsidP="00B51EBD">
      <w:pPr>
        <w:spacing w:line="240" w:lineRule="auto"/>
        <w:rPr>
          <w:rFonts w:ascii="Century Schoolbook" w:hAnsi="Century Schoolbook"/>
        </w:rPr>
      </w:pPr>
      <w:r w:rsidRPr="00B51EBD">
        <w:rPr>
          <w:rFonts w:ascii="Century Schoolbook" w:hAnsi="Century Schoolbook"/>
        </w:rPr>
        <w:t>LIE, J.</w:t>
      </w:r>
    </w:p>
    <w:p w14:paraId="2977B371" w14:textId="77777777" w:rsidR="00B51EBD" w:rsidRPr="00B51EBD" w:rsidRDefault="00F5385E" w:rsidP="00B51EBD">
      <w:pPr>
        <w:spacing w:line="240" w:lineRule="auto"/>
        <w:rPr>
          <w:rFonts w:ascii="Century Schoolbook" w:hAnsi="Century Schoolbook"/>
        </w:rPr>
      </w:pPr>
    </w:p>
    <w:p w14:paraId="702BBBA8" w14:textId="77777777" w:rsidR="00B51EBD" w:rsidRPr="00B51EBD" w:rsidRDefault="00F5385E" w:rsidP="00B51EBD">
      <w:pPr>
        <w:spacing w:line="240" w:lineRule="auto"/>
        <w:rPr>
          <w:rFonts w:ascii="Century Schoolbook" w:hAnsi="Century Schoolbook"/>
        </w:rPr>
      </w:pPr>
    </w:p>
    <w:p w14:paraId="58CB126B" w14:textId="77777777" w:rsidR="00B51EBD" w:rsidRPr="00B51EBD" w:rsidRDefault="00F5385E" w:rsidP="00B51EBD">
      <w:pPr>
        <w:spacing w:line="240" w:lineRule="auto"/>
        <w:rPr>
          <w:rFonts w:ascii="Century Schoolbook" w:hAnsi="Century Schoolbook"/>
        </w:rPr>
      </w:pPr>
    </w:p>
    <w:p w14:paraId="018E6C6A" w14:textId="77777777" w:rsidR="00B51EBD" w:rsidRPr="00B51EBD" w:rsidRDefault="00F5385E" w:rsidP="00B51EBD">
      <w:pPr>
        <w:spacing w:line="240" w:lineRule="auto"/>
        <w:rPr>
          <w:rFonts w:ascii="Century Schoolbook" w:hAnsi="Century Schoolbook"/>
        </w:rPr>
      </w:pPr>
    </w:p>
    <w:p w14:paraId="4FE1D44E" w14:textId="77777777" w:rsidR="00B51EBD" w:rsidRPr="00B51EBD" w:rsidRDefault="00F5385E" w:rsidP="00B51EBD">
      <w:pPr>
        <w:spacing w:line="240" w:lineRule="auto"/>
        <w:rPr>
          <w:rFonts w:ascii="Century Schoolbook" w:hAnsi="Century Schoolbook"/>
        </w:rPr>
      </w:pPr>
    </w:p>
    <w:p w14:paraId="259A9E36" w14:textId="77777777" w:rsidR="00B51EBD" w:rsidRPr="00B51EBD" w:rsidRDefault="00F5385E" w:rsidP="00B51EBD">
      <w:pPr>
        <w:spacing w:line="240" w:lineRule="auto"/>
        <w:rPr>
          <w:rFonts w:ascii="Century Schoolbook" w:hAnsi="Century Schoolbook"/>
        </w:rPr>
      </w:pPr>
    </w:p>
    <w:p w14:paraId="37B455CF" w14:textId="77777777" w:rsidR="00B51EBD" w:rsidRPr="00B51EBD" w:rsidRDefault="00F5385E" w:rsidP="00B51EBD">
      <w:pPr>
        <w:spacing w:line="240" w:lineRule="auto"/>
        <w:rPr>
          <w:rFonts w:ascii="Century Schoolbook" w:hAnsi="Century Schoolbook"/>
        </w:rPr>
      </w:pPr>
    </w:p>
    <w:p w14:paraId="1C4CB806" w14:textId="77777777" w:rsidR="00B51EBD" w:rsidRPr="00B51EBD" w:rsidRDefault="00F5385E" w:rsidP="00B51EBD">
      <w:pPr>
        <w:spacing w:line="240" w:lineRule="auto"/>
        <w:rPr>
          <w:rFonts w:ascii="Century Schoolbook" w:hAnsi="Century Schoolbook"/>
        </w:rPr>
      </w:pPr>
    </w:p>
    <w:p w14:paraId="463C7F24" w14:textId="77777777" w:rsidR="00B51EBD" w:rsidRPr="00B51EBD" w:rsidRDefault="00F5385E" w:rsidP="00B51EBD">
      <w:pPr>
        <w:spacing w:line="240" w:lineRule="auto"/>
        <w:rPr>
          <w:rFonts w:ascii="Century Schoolbook" w:hAnsi="Century Schoolbook"/>
          <w:bCs/>
          <w:i/>
          <w:iCs/>
        </w:rPr>
      </w:pPr>
      <w:r w:rsidRPr="00B51EBD">
        <w:rPr>
          <w:rFonts w:ascii="Century Schoolbook" w:hAnsi="Century Schoolbook"/>
          <w:i/>
          <w:iCs/>
        </w:rPr>
        <w:t xml:space="preserve">Valero v. Spread </w:t>
      </w:r>
      <w:r w:rsidRPr="00B51EBD">
        <w:rPr>
          <w:rFonts w:ascii="Century Schoolbook" w:hAnsi="Century Schoolbook"/>
          <w:i/>
          <w:iCs/>
        </w:rPr>
        <w:t>Your Wings, LLC et al.</w:t>
      </w:r>
    </w:p>
    <w:p w14:paraId="19E6746D" w14:textId="77777777" w:rsidR="00B51EBD" w:rsidRPr="00B51EBD" w:rsidRDefault="00F5385E" w:rsidP="00B51EBD">
      <w:pPr>
        <w:spacing w:line="240" w:lineRule="auto"/>
        <w:rPr>
          <w:rFonts w:ascii="Century Schoolbook" w:hAnsi="Century Schoolbook"/>
        </w:rPr>
      </w:pPr>
      <w:r w:rsidRPr="00B51EBD">
        <w:rPr>
          <w:rFonts w:ascii="Century Schoolbook" w:hAnsi="Century Schoolbook"/>
          <w:bCs/>
        </w:rPr>
        <w:t>H049119</w:t>
      </w:r>
      <w:bookmarkEnd w:id="1"/>
    </w:p>
    <w:p w14:paraId="1660B39D" w14:textId="77777777" w:rsidR="00580041" w:rsidRDefault="00580041" w:rsidP="00142B0E">
      <w:pPr>
        <w:rPr>
          <w:rFonts w:ascii="Century Schoolbook" w:hAnsi="Century Schoolbook"/>
        </w:rPr>
        <w:sectPr w:rsidR="00580041" w:rsidSect="00581ACE">
          <w:footerReference w:type="default" r:id="rId14"/>
          <w:pgSz w:w="12240" w:h="15840"/>
          <w:pgMar w:top="720" w:right="720" w:bottom="720" w:left="720" w:header="720" w:footer="720" w:gutter="0"/>
          <w:paperSrc w:first="261" w:other="261"/>
          <w:cols w:space="720"/>
          <w:docGrid w:linePitch="360"/>
        </w:sectPr>
      </w:pPr>
    </w:p>
    <w:p w14:paraId="16D756CB" w14:textId="77777777" w:rsidR="00580041" w:rsidRPr="00975F2F" w:rsidRDefault="00580041" w:rsidP="00580041">
      <w:pPr>
        <w:spacing w:line="240" w:lineRule="auto"/>
        <w:rPr>
          <w:rFonts w:ascii="Century Schoolbook" w:hAnsi="Century Schoolbook"/>
          <w:sz w:val="22"/>
          <w:szCs w:val="22"/>
        </w:rPr>
      </w:pPr>
      <w:r>
        <w:rPr>
          <w:rFonts w:ascii="Century Schoolbook" w:hAnsi="Century Schoolbook"/>
          <w:sz w:val="22"/>
          <w:szCs w:val="22"/>
        </w:rPr>
        <w:lastRenderedPageBreak/>
        <w:t>Filed 2/9/23</w:t>
      </w:r>
    </w:p>
    <w:p w14:paraId="5E296B88" w14:textId="77777777" w:rsidR="00580041" w:rsidRPr="00975F2F" w:rsidRDefault="00580041" w:rsidP="00580041">
      <w:pPr>
        <w:spacing w:line="240" w:lineRule="auto"/>
        <w:jc w:val="center"/>
        <w:rPr>
          <w:rFonts w:ascii="Century Schoolbook" w:hAnsi="Century Schoolbook"/>
          <w:b/>
          <w:bCs/>
        </w:rPr>
      </w:pPr>
      <w:r w:rsidRPr="00975F2F">
        <w:rPr>
          <w:rFonts w:ascii="Century Schoolbook" w:hAnsi="Century Schoolbook"/>
          <w:b/>
          <w:bCs/>
        </w:rPr>
        <w:t>CERTIFIED FOR PUBLICATION</w:t>
      </w:r>
    </w:p>
    <w:p w14:paraId="760F2CAD" w14:textId="77777777" w:rsidR="00580041" w:rsidRDefault="00580041" w:rsidP="00580041">
      <w:pPr>
        <w:spacing w:line="240" w:lineRule="auto"/>
        <w:rPr>
          <w:rFonts w:ascii="Century Schoolbook" w:hAnsi="Century Schoolbook"/>
        </w:rPr>
      </w:pPr>
    </w:p>
    <w:p w14:paraId="3F31D4BF" w14:textId="77777777" w:rsidR="00580041" w:rsidRPr="00975F2F" w:rsidRDefault="00580041" w:rsidP="00580041">
      <w:pPr>
        <w:spacing w:line="240" w:lineRule="auto"/>
        <w:rPr>
          <w:rFonts w:ascii="Century Schoolbook" w:hAnsi="Century Schoolbook"/>
        </w:rPr>
      </w:pPr>
    </w:p>
    <w:p w14:paraId="75BB6C70" w14:textId="77777777" w:rsidR="00580041" w:rsidRPr="00975F2F" w:rsidRDefault="00580041" w:rsidP="00580041">
      <w:pPr>
        <w:spacing w:line="240" w:lineRule="auto"/>
        <w:jc w:val="center"/>
        <w:rPr>
          <w:rFonts w:ascii="Century Schoolbook" w:hAnsi="Century Schoolbook"/>
        </w:rPr>
      </w:pPr>
      <w:r w:rsidRPr="00975F2F">
        <w:rPr>
          <w:rFonts w:ascii="Century Schoolbook" w:hAnsi="Century Schoolbook"/>
        </w:rPr>
        <w:t>IN THE COURT OF APPEAL OF THE STATE OF CALIFORNIA</w:t>
      </w:r>
    </w:p>
    <w:p w14:paraId="323C08B6" w14:textId="77777777" w:rsidR="00580041" w:rsidRPr="00975F2F" w:rsidRDefault="00580041" w:rsidP="00580041">
      <w:pPr>
        <w:spacing w:line="240" w:lineRule="auto"/>
        <w:jc w:val="center"/>
        <w:rPr>
          <w:rFonts w:ascii="Century Schoolbook" w:hAnsi="Century Schoolbook"/>
        </w:rPr>
      </w:pPr>
    </w:p>
    <w:p w14:paraId="44270A0E" w14:textId="77777777" w:rsidR="00580041" w:rsidRPr="00975F2F" w:rsidRDefault="00580041" w:rsidP="00580041">
      <w:pPr>
        <w:spacing w:line="240" w:lineRule="auto"/>
        <w:jc w:val="center"/>
        <w:rPr>
          <w:rFonts w:ascii="Century Schoolbook" w:hAnsi="Century Schoolbook"/>
        </w:rPr>
      </w:pPr>
      <w:r w:rsidRPr="00975F2F">
        <w:rPr>
          <w:rFonts w:ascii="Century Schoolbook" w:hAnsi="Century Schoolbook"/>
        </w:rPr>
        <w:t>SIXTH APPELLATE DISTRICT</w:t>
      </w:r>
    </w:p>
    <w:p w14:paraId="28B9900E" w14:textId="77777777" w:rsidR="00580041" w:rsidRPr="00975F2F" w:rsidRDefault="00580041" w:rsidP="00580041">
      <w:pPr>
        <w:spacing w:line="240" w:lineRule="auto"/>
        <w:rPr>
          <w:rFonts w:ascii="Century Schoolbook" w:hAnsi="Century Schoolbook"/>
        </w:rPr>
      </w:pPr>
    </w:p>
    <w:p w14:paraId="71D8422C" w14:textId="77777777" w:rsidR="00580041" w:rsidRPr="00975F2F" w:rsidRDefault="00580041" w:rsidP="00580041">
      <w:pPr>
        <w:spacing w:line="240" w:lineRule="auto"/>
        <w:rPr>
          <w:rFonts w:ascii="Century Schoolbook" w:hAnsi="Century Schoolbook"/>
        </w:rPr>
      </w:pPr>
    </w:p>
    <w:tbl>
      <w:tblPr>
        <w:tblW w:w="0" w:type="auto"/>
        <w:tblLayout w:type="fixed"/>
        <w:tblLook w:val="0000" w:firstRow="0" w:lastRow="0" w:firstColumn="0" w:lastColumn="0" w:noHBand="0" w:noVBand="0"/>
      </w:tblPr>
      <w:tblGrid>
        <w:gridCol w:w="4680"/>
        <w:gridCol w:w="4680"/>
      </w:tblGrid>
      <w:tr w:rsidR="00580041" w14:paraId="22CA2872" w14:textId="77777777" w:rsidTr="00F643CB">
        <w:tc>
          <w:tcPr>
            <w:tcW w:w="4680" w:type="dxa"/>
            <w:tcBorders>
              <w:right w:val="single" w:sz="4" w:space="0" w:color="auto"/>
            </w:tcBorders>
            <w:shd w:val="clear" w:color="auto" w:fill="auto"/>
          </w:tcPr>
          <w:p w14:paraId="106F9111" w14:textId="77777777" w:rsidR="00580041" w:rsidRPr="00975F2F" w:rsidRDefault="00580041" w:rsidP="00580041">
            <w:pPr>
              <w:spacing w:line="240" w:lineRule="auto"/>
              <w:rPr>
                <w:rFonts w:ascii="Century Schoolbook" w:hAnsi="Century Schoolbook"/>
              </w:rPr>
            </w:pPr>
            <w:r w:rsidRPr="00975F2F">
              <w:rPr>
                <w:rFonts w:ascii="Century Schoolbook" w:hAnsi="Century Schoolbook"/>
              </w:rPr>
              <w:t>LYNDA VALERO,</w:t>
            </w:r>
          </w:p>
          <w:p w14:paraId="231CEF0D" w14:textId="77777777" w:rsidR="00580041" w:rsidRPr="00975F2F" w:rsidRDefault="00580041" w:rsidP="00580041">
            <w:pPr>
              <w:spacing w:line="240" w:lineRule="auto"/>
              <w:rPr>
                <w:rFonts w:ascii="Century Schoolbook" w:hAnsi="Century Schoolbook"/>
              </w:rPr>
            </w:pPr>
          </w:p>
          <w:p w14:paraId="280B9034" w14:textId="77777777" w:rsidR="00580041" w:rsidRPr="00975F2F" w:rsidRDefault="00580041" w:rsidP="00580041">
            <w:pPr>
              <w:spacing w:line="240" w:lineRule="auto"/>
              <w:rPr>
                <w:rFonts w:ascii="Century Schoolbook" w:hAnsi="Century Schoolbook"/>
              </w:rPr>
            </w:pPr>
            <w:r w:rsidRPr="00975F2F">
              <w:rPr>
                <w:rFonts w:ascii="Century Schoolbook" w:hAnsi="Century Schoolbook"/>
              </w:rPr>
              <w:tab/>
              <w:t>Plaintiff and Appellant,</w:t>
            </w:r>
          </w:p>
          <w:p w14:paraId="5EA7E37F" w14:textId="77777777" w:rsidR="00580041" w:rsidRPr="00975F2F" w:rsidRDefault="00580041" w:rsidP="00580041">
            <w:pPr>
              <w:spacing w:line="240" w:lineRule="auto"/>
              <w:rPr>
                <w:rFonts w:ascii="Century Schoolbook" w:hAnsi="Century Schoolbook"/>
              </w:rPr>
            </w:pPr>
          </w:p>
          <w:p w14:paraId="69CF5959" w14:textId="77777777" w:rsidR="00580041" w:rsidRPr="00975F2F" w:rsidRDefault="00580041" w:rsidP="00580041">
            <w:pPr>
              <w:spacing w:line="240" w:lineRule="auto"/>
              <w:rPr>
                <w:rFonts w:ascii="Century Schoolbook" w:hAnsi="Century Schoolbook"/>
              </w:rPr>
            </w:pPr>
            <w:r w:rsidRPr="00975F2F">
              <w:rPr>
                <w:rFonts w:ascii="Century Schoolbook" w:hAnsi="Century Schoolbook"/>
              </w:rPr>
              <w:tab/>
              <w:t>v.</w:t>
            </w:r>
          </w:p>
          <w:p w14:paraId="52A39FD8" w14:textId="77777777" w:rsidR="00580041" w:rsidRPr="00975F2F" w:rsidRDefault="00580041" w:rsidP="00580041">
            <w:pPr>
              <w:spacing w:line="240" w:lineRule="auto"/>
              <w:rPr>
                <w:rFonts w:ascii="Century Schoolbook" w:hAnsi="Century Schoolbook"/>
              </w:rPr>
            </w:pPr>
          </w:p>
          <w:p w14:paraId="6A380C9D" w14:textId="77777777" w:rsidR="00580041" w:rsidRPr="00975F2F" w:rsidRDefault="00580041" w:rsidP="00580041">
            <w:pPr>
              <w:spacing w:line="240" w:lineRule="auto"/>
              <w:rPr>
                <w:rFonts w:ascii="Century Schoolbook" w:hAnsi="Century Schoolbook"/>
              </w:rPr>
            </w:pPr>
            <w:r w:rsidRPr="00975F2F">
              <w:rPr>
                <w:rFonts w:ascii="Century Schoolbook" w:hAnsi="Century Schoolbook"/>
              </w:rPr>
              <w:t>SPREAD YOUR WINGS, LLC et al.,</w:t>
            </w:r>
          </w:p>
          <w:p w14:paraId="0348D980" w14:textId="77777777" w:rsidR="00580041" w:rsidRPr="00975F2F" w:rsidRDefault="00580041" w:rsidP="00580041">
            <w:pPr>
              <w:spacing w:line="240" w:lineRule="auto"/>
              <w:rPr>
                <w:rFonts w:ascii="Century Schoolbook" w:hAnsi="Century Schoolbook"/>
              </w:rPr>
            </w:pPr>
          </w:p>
          <w:p w14:paraId="1CCCBDA6" w14:textId="77777777" w:rsidR="00580041" w:rsidRPr="00975F2F" w:rsidRDefault="00580041" w:rsidP="00580041">
            <w:pPr>
              <w:spacing w:line="240" w:lineRule="auto"/>
              <w:rPr>
                <w:rFonts w:ascii="Century Schoolbook" w:hAnsi="Century Schoolbook"/>
              </w:rPr>
            </w:pPr>
            <w:r w:rsidRPr="00975F2F">
              <w:rPr>
                <w:rFonts w:ascii="Century Schoolbook" w:hAnsi="Century Schoolbook"/>
              </w:rPr>
              <w:tab/>
              <w:t xml:space="preserve">Defendants and Respondents. </w:t>
            </w:r>
          </w:p>
          <w:p w14:paraId="75943AFB" w14:textId="77777777" w:rsidR="00580041" w:rsidRPr="00975F2F" w:rsidRDefault="00580041" w:rsidP="00580041">
            <w:pPr>
              <w:spacing w:line="240" w:lineRule="auto"/>
              <w:rPr>
                <w:rFonts w:ascii="Century Schoolbook" w:hAnsi="Century Schoolbook"/>
              </w:rPr>
            </w:pPr>
          </w:p>
        </w:tc>
        <w:tc>
          <w:tcPr>
            <w:tcW w:w="4680" w:type="dxa"/>
            <w:tcBorders>
              <w:left w:val="single" w:sz="4" w:space="0" w:color="auto"/>
            </w:tcBorders>
            <w:shd w:val="clear" w:color="auto" w:fill="auto"/>
          </w:tcPr>
          <w:p w14:paraId="52A7B06F" w14:textId="77777777" w:rsidR="00580041" w:rsidRDefault="00580041" w:rsidP="00580041">
            <w:pPr>
              <w:spacing w:line="240" w:lineRule="auto"/>
              <w:rPr>
                <w:rFonts w:ascii="Century Schoolbook" w:hAnsi="Century Schoolbook"/>
              </w:rPr>
            </w:pPr>
            <w:r w:rsidRPr="00975F2F">
              <w:rPr>
                <w:rFonts w:ascii="Century Schoolbook" w:hAnsi="Century Schoolbook"/>
              </w:rPr>
              <w:t xml:space="preserve">      H049119</w:t>
            </w:r>
          </w:p>
          <w:p w14:paraId="062878E8" w14:textId="77777777" w:rsidR="00580041" w:rsidRDefault="00580041" w:rsidP="00580041">
            <w:pPr>
              <w:spacing w:line="240" w:lineRule="auto"/>
              <w:rPr>
                <w:rFonts w:ascii="Century Schoolbook" w:hAnsi="Century Schoolbook"/>
              </w:rPr>
            </w:pPr>
            <w:r>
              <w:rPr>
                <w:rFonts w:ascii="Century Schoolbook" w:hAnsi="Century Schoolbook"/>
              </w:rPr>
              <w:t xml:space="preserve">     </w:t>
            </w:r>
            <w:r w:rsidRPr="00975F2F">
              <w:rPr>
                <w:rFonts w:ascii="Century Schoolbook" w:hAnsi="Century Schoolbook"/>
              </w:rPr>
              <w:t xml:space="preserve"> (Santa Clara County Super.</w:t>
            </w:r>
          </w:p>
          <w:p w14:paraId="59B302F1" w14:textId="77777777" w:rsidR="00580041" w:rsidRDefault="00580041" w:rsidP="00580041">
            <w:pPr>
              <w:spacing w:line="240" w:lineRule="auto"/>
              <w:rPr>
                <w:rFonts w:ascii="Century Schoolbook" w:hAnsi="Century Schoolbook"/>
              </w:rPr>
            </w:pPr>
            <w:r>
              <w:rPr>
                <w:rFonts w:ascii="Century Schoolbook" w:hAnsi="Century Schoolbook"/>
              </w:rPr>
              <w:t xml:space="preserve">     </w:t>
            </w:r>
            <w:r w:rsidRPr="00975F2F">
              <w:rPr>
                <w:rFonts w:ascii="Century Schoolbook" w:hAnsi="Century Schoolbook"/>
              </w:rPr>
              <w:t xml:space="preserve"> </w:t>
            </w:r>
            <w:r>
              <w:rPr>
                <w:rFonts w:ascii="Century Schoolbook" w:hAnsi="Century Schoolbook"/>
              </w:rPr>
              <w:t>C</w:t>
            </w:r>
            <w:r w:rsidRPr="00975F2F">
              <w:rPr>
                <w:rFonts w:ascii="Century Schoolbook" w:hAnsi="Century Schoolbook"/>
              </w:rPr>
              <w:t xml:space="preserve">t. No. 18CV338394) </w:t>
            </w:r>
          </w:p>
          <w:p w14:paraId="4384CD43" w14:textId="77777777" w:rsidR="00580041" w:rsidRDefault="00580041" w:rsidP="00580041">
            <w:pPr>
              <w:spacing w:line="240" w:lineRule="auto"/>
              <w:rPr>
                <w:rFonts w:ascii="Century Schoolbook" w:hAnsi="Century Schoolbook"/>
              </w:rPr>
            </w:pPr>
          </w:p>
          <w:p w14:paraId="58C36AE4" w14:textId="77777777" w:rsidR="00580041" w:rsidRDefault="00580041" w:rsidP="00580041">
            <w:pPr>
              <w:spacing w:line="240" w:lineRule="auto"/>
              <w:rPr>
                <w:rFonts w:ascii="Century Schoolbook" w:hAnsi="Century Schoolbook"/>
              </w:rPr>
            </w:pPr>
            <w:r>
              <w:rPr>
                <w:rFonts w:ascii="Century Schoolbook" w:hAnsi="Century Schoolbook"/>
              </w:rPr>
              <w:t xml:space="preserve">      ORDER MODIFYING OPINION</w:t>
            </w:r>
          </w:p>
          <w:p w14:paraId="5BE887B7" w14:textId="77777777" w:rsidR="00580041" w:rsidRDefault="00580041" w:rsidP="00580041">
            <w:pPr>
              <w:spacing w:line="240" w:lineRule="auto"/>
              <w:rPr>
                <w:rFonts w:ascii="Century Schoolbook" w:hAnsi="Century Schoolbook"/>
              </w:rPr>
            </w:pPr>
            <w:r>
              <w:rPr>
                <w:rFonts w:ascii="Century Schoolbook" w:hAnsi="Century Schoolbook"/>
              </w:rPr>
              <w:t xml:space="preserve">      AND CERTIFYING OPINION</w:t>
            </w:r>
          </w:p>
          <w:p w14:paraId="02AB5DFD" w14:textId="77777777" w:rsidR="00580041" w:rsidRDefault="00580041" w:rsidP="00580041">
            <w:pPr>
              <w:spacing w:line="240" w:lineRule="auto"/>
              <w:rPr>
                <w:rFonts w:ascii="Century Schoolbook" w:hAnsi="Century Schoolbook"/>
              </w:rPr>
            </w:pPr>
            <w:r>
              <w:rPr>
                <w:rFonts w:ascii="Century Schoolbook" w:hAnsi="Century Schoolbook"/>
              </w:rPr>
              <w:t xml:space="preserve">      FOR PUBLICATION </w:t>
            </w:r>
          </w:p>
          <w:p w14:paraId="0341529C" w14:textId="77777777" w:rsidR="00580041" w:rsidRDefault="00580041" w:rsidP="00580041">
            <w:pPr>
              <w:spacing w:line="240" w:lineRule="auto"/>
              <w:rPr>
                <w:rFonts w:ascii="Century Schoolbook" w:hAnsi="Century Schoolbook"/>
              </w:rPr>
            </w:pPr>
          </w:p>
          <w:p w14:paraId="7C0AD7C7" w14:textId="77777777" w:rsidR="00580041" w:rsidRPr="00975F2F" w:rsidRDefault="00580041" w:rsidP="00580041">
            <w:pPr>
              <w:spacing w:line="240" w:lineRule="auto"/>
              <w:rPr>
                <w:rFonts w:ascii="Century Schoolbook" w:hAnsi="Century Schoolbook"/>
              </w:rPr>
            </w:pPr>
            <w:r>
              <w:rPr>
                <w:rFonts w:ascii="Century Schoolbook" w:hAnsi="Century Schoolbook"/>
              </w:rPr>
              <w:t xml:space="preserve">      NO CHANGE IN JUDGMENT</w:t>
            </w:r>
          </w:p>
          <w:p w14:paraId="4704EB78" w14:textId="77777777" w:rsidR="00580041" w:rsidRPr="00975F2F" w:rsidRDefault="00580041" w:rsidP="00580041">
            <w:pPr>
              <w:spacing w:line="240" w:lineRule="auto"/>
              <w:rPr>
                <w:rFonts w:ascii="Century Schoolbook" w:hAnsi="Century Schoolbook"/>
              </w:rPr>
            </w:pPr>
          </w:p>
        </w:tc>
      </w:tr>
      <w:tr w:rsidR="00580041" w14:paraId="58E1D953" w14:textId="77777777" w:rsidTr="00F643CB">
        <w:tc>
          <w:tcPr>
            <w:tcW w:w="4680" w:type="dxa"/>
            <w:tcBorders>
              <w:bottom w:val="single" w:sz="4" w:space="0" w:color="auto"/>
              <w:right w:val="single" w:sz="4" w:space="0" w:color="auto"/>
            </w:tcBorders>
            <w:shd w:val="clear" w:color="auto" w:fill="auto"/>
          </w:tcPr>
          <w:p w14:paraId="407E6CB0" w14:textId="77777777" w:rsidR="00580041" w:rsidRPr="00975F2F" w:rsidRDefault="00580041" w:rsidP="00580041">
            <w:pPr>
              <w:spacing w:line="240" w:lineRule="auto"/>
              <w:rPr>
                <w:rFonts w:ascii="Century Schoolbook" w:hAnsi="Century Schoolbook"/>
              </w:rPr>
            </w:pPr>
          </w:p>
        </w:tc>
        <w:tc>
          <w:tcPr>
            <w:tcW w:w="4680" w:type="dxa"/>
            <w:tcBorders>
              <w:left w:val="single" w:sz="4" w:space="0" w:color="auto"/>
            </w:tcBorders>
            <w:shd w:val="clear" w:color="auto" w:fill="auto"/>
          </w:tcPr>
          <w:p w14:paraId="4D1C7C85" w14:textId="77777777" w:rsidR="00580041" w:rsidRPr="00975F2F" w:rsidRDefault="00580041" w:rsidP="00580041">
            <w:pPr>
              <w:spacing w:line="240" w:lineRule="auto"/>
              <w:rPr>
                <w:rFonts w:ascii="Century Schoolbook" w:hAnsi="Century Schoolbook"/>
              </w:rPr>
            </w:pPr>
          </w:p>
        </w:tc>
      </w:tr>
    </w:tbl>
    <w:p w14:paraId="6B5B2B47" w14:textId="51237AD6" w:rsidR="00580041" w:rsidRDefault="00580041" w:rsidP="00580041">
      <w:pPr>
        <w:spacing w:line="240" w:lineRule="auto"/>
        <w:rPr>
          <w:rFonts w:ascii="Century Schoolbook" w:hAnsi="Century Schoolbook"/>
        </w:rPr>
      </w:pPr>
    </w:p>
    <w:p w14:paraId="592C339D" w14:textId="77777777" w:rsidR="00580041" w:rsidRPr="00975F2F" w:rsidRDefault="00580041" w:rsidP="00580041">
      <w:pPr>
        <w:spacing w:line="240" w:lineRule="auto"/>
        <w:rPr>
          <w:rFonts w:ascii="Century Schoolbook" w:hAnsi="Century Schoolbook"/>
        </w:rPr>
      </w:pPr>
    </w:p>
    <w:p w14:paraId="239832BD" w14:textId="77777777" w:rsidR="00580041" w:rsidRDefault="00580041" w:rsidP="00580041">
      <w:pPr>
        <w:spacing w:line="240" w:lineRule="auto"/>
        <w:rPr>
          <w:rFonts w:ascii="Century Schoolbook" w:hAnsi="Century Schoolbook"/>
        </w:rPr>
      </w:pPr>
      <w:r>
        <w:rPr>
          <w:rFonts w:ascii="Century Schoolbook" w:hAnsi="Century Schoolbook"/>
        </w:rPr>
        <w:t>BY THE COURT:</w:t>
      </w:r>
    </w:p>
    <w:p w14:paraId="20DF3E86" w14:textId="0FC50001" w:rsidR="00580041" w:rsidRDefault="00580041" w:rsidP="00580041">
      <w:pPr>
        <w:spacing w:line="240" w:lineRule="auto"/>
        <w:rPr>
          <w:rFonts w:ascii="Century Schoolbook" w:hAnsi="Century Schoolbook"/>
        </w:rPr>
      </w:pPr>
    </w:p>
    <w:p w14:paraId="139DE468" w14:textId="77777777" w:rsidR="00580041" w:rsidRDefault="00580041" w:rsidP="00580041">
      <w:pPr>
        <w:spacing w:line="240" w:lineRule="auto"/>
        <w:rPr>
          <w:rFonts w:ascii="Century Schoolbook" w:hAnsi="Century Schoolbook"/>
        </w:rPr>
      </w:pPr>
    </w:p>
    <w:p w14:paraId="2F6E678F" w14:textId="77777777" w:rsidR="00580041" w:rsidRDefault="00580041" w:rsidP="00580041">
      <w:pPr>
        <w:spacing w:line="240" w:lineRule="auto"/>
        <w:rPr>
          <w:rFonts w:ascii="Century Schoolbook" w:hAnsi="Century Schoolbook"/>
        </w:rPr>
      </w:pPr>
      <w:r>
        <w:rPr>
          <w:rFonts w:ascii="Century Schoolbook" w:hAnsi="Century Schoolbook"/>
        </w:rPr>
        <w:tab/>
        <w:t>It is ordered that the opinion filed on January 11, 2023, be modified as follows:</w:t>
      </w:r>
    </w:p>
    <w:p w14:paraId="39879A5D" w14:textId="2B502C8B" w:rsidR="00580041" w:rsidRDefault="00580041" w:rsidP="00580041">
      <w:pPr>
        <w:spacing w:line="240" w:lineRule="auto"/>
        <w:rPr>
          <w:rFonts w:ascii="Century Schoolbook" w:hAnsi="Century Schoolbook"/>
        </w:rPr>
      </w:pPr>
    </w:p>
    <w:p w14:paraId="3DC9A444" w14:textId="77777777" w:rsidR="00580041" w:rsidRDefault="00580041" w:rsidP="00580041">
      <w:pPr>
        <w:spacing w:line="240" w:lineRule="auto"/>
        <w:rPr>
          <w:rFonts w:ascii="Century Schoolbook" w:hAnsi="Century Schoolbook"/>
        </w:rPr>
      </w:pPr>
    </w:p>
    <w:p w14:paraId="2239AB38" w14:textId="77777777" w:rsidR="00580041" w:rsidRDefault="00580041" w:rsidP="00580041">
      <w:pPr>
        <w:pStyle w:val="ListParagraph"/>
        <w:numPr>
          <w:ilvl w:val="0"/>
          <w:numId w:val="15"/>
        </w:numPr>
        <w:tabs>
          <w:tab w:val="clear" w:pos="720"/>
        </w:tabs>
        <w:spacing w:line="240" w:lineRule="auto"/>
        <w:rPr>
          <w:rFonts w:ascii="Century Schoolbook" w:hAnsi="Century Schoolbook"/>
        </w:rPr>
      </w:pPr>
      <w:r>
        <w:rPr>
          <w:rFonts w:ascii="Century Schoolbook" w:hAnsi="Century Schoolbook"/>
        </w:rPr>
        <w:t>At the end of the first full paragraph on page 12, after the sentence ending “</w:t>
      </w:r>
      <w:r w:rsidRPr="001B5BA9">
        <w:rPr>
          <w:rFonts w:ascii="Century Schoolbook" w:hAnsi="Century Schoolbook"/>
        </w:rPr>
        <w:t>(</w:t>
      </w:r>
      <w:r w:rsidRPr="001B5BA9">
        <w:rPr>
          <w:rFonts w:ascii="Century Schoolbook" w:hAnsi="Century Schoolbook"/>
          <w:i/>
          <w:iCs/>
        </w:rPr>
        <w:t>Santos, supra</w:t>
      </w:r>
      <w:r w:rsidRPr="001B5BA9">
        <w:rPr>
          <w:rFonts w:ascii="Century Schoolbook" w:hAnsi="Century Schoolbook"/>
        </w:rPr>
        <w:t>, 1 Cal.App.5th at pp. 871–872.)</w:t>
      </w:r>
      <w:r>
        <w:rPr>
          <w:rFonts w:ascii="Century Schoolbook" w:hAnsi="Century Schoolbook"/>
        </w:rPr>
        <w:t>,” add as footnote 8 the following footnote, which will require renumbering of all subsequent footnotes:</w:t>
      </w:r>
    </w:p>
    <w:p w14:paraId="196A371F" w14:textId="77777777" w:rsidR="00580041" w:rsidRDefault="00580041" w:rsidP="00580041">
      <w:pPr>
        <w:pStyle w:val="ListParagraph"/>
        <w:spacing w:line="240" w:lineRule="auto"/>
        <w:ind w:left="1080"/>
        <w:rPr>
          <w:rFonts w:ascii="Century Schoolbook" w:hAnsi="Century Schoolbook"/>
        </w:rPr>
      </w:pPr>
    </w:p>
    <w:p w14:paraId="1AD16772" w14:textId="77777777" w:rsidR="00580041" w:rsidRDefault="00580041" w:rsidP="00580041">
      <w:pPr>
        <w:spacing w:line="240" w:lineRule="auto"/>
        <w:ind w:left="720" w:firstLine="360"/>
        <w:rPr>
          <w:rFonts w:ascii="Century Schoolbook" w:hAnsi="Century Schoolbook"/>
        </w:rPr>
      </w:pPr>
      <w:r w:rsidRPr="00A84BA9">
        <w:rPr>
          <w:rFonts w:ascii="Century Schoolbook" w:hAnsi="Century Schoolbook"/>
          <w:vertAlign w:val="superscript"/>
        </w:rPr>
        <w:t>8</w:t>
      </w:r>
      <w:r>
        <w:rPr>
          <w:rFonts w:ascii="Century Schoolbook" w:hAnsi="Century Schoolbook"/>
        </w:rPr>
        <w:t xml:space="preserve"> Section 15634(a) provides: “</w:t>
      </w:r>
      <w:r w:rsidRPr="00A84BA9">
        <w:rPr>
          <w:rFonts w:ascii="Century Schoolbook" w:hAnsi="Century Schoolbook"/>
        </w:rPr>
        <w:t xml:space="preserve">No care custodian, clergy member, health practitioner, mandated reporter of suspected financial abuse of an elder or dependent adult, or employee of an adult protective services agency or a local law enforcement agency who reports a known or suspected instance of abuse of an elder or dependent adult shall be civilly or criminally liable for any report required or authorized by this article. Any other person reporting a known or suspected instance of </w:t>
      </w:r>
      <w:r w:rsidRPr="00A84BA9">
        <w:rPr>
          <w:rFonts w:ascii="Century Schoolbook" w:hAnsi="Century Schoolbook"/>
        </w:rPr>
        <w:lastRenderedPageBreak/>
        <w:t>abuse of an elder or dependent adult shall not incur civil or criminal liability as a result of any report authorized by this article, unless it can be proven that a false report was made and the person knew that the report was false. No person required to make a report pursuant to this article, or any person taking photographs at his or her discretion, shall incur any civil or criminal liability for taking photographs of a suspected victim of abuse of an elder or dependent adult or causing photographs to be taken of such a suspected victim or for disseminating the photographs with the reports required by this article. However, this section shall not be construed to grant immunity from this liability with respect to any other use of the photographs.</w:t>
      </w:r>
    </w:p>
    <w:p w14:paraId="6E7A4951" w14:textId="77777777" w:rsidR="00580041" w:rsidRDefault="00580041" w:rsidP="00580041">
      <w:pPr>
        <w:spacing w:line="240" w:lineRule="auto"/>
        <w:rPr>
          <w:rFonts w:ascii="Century Schoolbook" w:hAnsi="Century Schoolbook"/>
        </w:rPr>
      </w:pPr>
    </w:p>
    <w:p w14:paraId="645B9E83" w14:textId="77777777" w:rsidR="00580041" w:rsidRDefault="00580041" w:rsidP="00580041">
      <w:pPr>
        <w:spacing w:line="240" w:lineRule="auto"/>
        <w:rPr>
          <w:rFonts w:ascii="Century Schoolbook" w:hAnsi="Century Schoolbook"/>
        </w:rPr>
      </w:pPr>
      <w:r>
        <w:rPr>
          <w:rFonts w:ascii="Century Schoolbook" w:hAnsi="Century Schoolbook"/>
        </w:rPr>
        <w:tab/>
        <w:t>There is no change in judgment.</w:t>
      </w:r>
    </w:p>
    <w:p w14:paraId="29DCEB9F" w14:textId="77777777" w:rsidR="00580041" w:rsidRDefault="00580041" w:rsidP="00580041">
      <w:pPr>
        <w:spacing w:line="240" w:lineRule="auto"/>
        <w:rPr>
          <w:rFonts w:ascii="Century Schoolbook" w:hAnsi="Century Schoolbook"/>
        </w:rPr>
      </w:pPr>
    </w:p>
    <w:p w14:paraId="1B47F90C" w14:textId="77777777" w:rsidR="00580041" w:rsidRDefault="00580041" w:rsidP="00580041">
      <w:pPr>
        <w:spacing w:line="240" w:lineRule="auto"/>
        <w:rPr>
          <w:rFonts w:ascii="Century Schoolbook" w:hAnsi="Century Schoolbook"/>
        </w:rPr>
        <w:sectPr w:rsidR="0058004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r>
        <w:rPr>
          <w:rFonts w:ascii="Century Schoolbook" w:hAnsi="Century Schoolbook"/>
        </w:rPr>
        <w:tab/>
        <w:t>The opinion in the above-entitled matter filed on January 11, 2023, was not certified for publication in the Official Reports. For good cause it now appears that the opinion should be published in the Official Reports and it is so ordered.</w:t>
      </w:r>
    </w:p>
    <w:p w14:paraId="332A035F" w14:textId="77777777" w:rsidR="00580041" w:rsidRPr="006A774F" w:rsidRDefault="00580041" w:rsidP="00580041">
      <w:pPr>
        <w:spacing w:line="240" w:lineRule="auto"/>
        <w:rPr>
          <w:rFonts w:ascii="Century Schoolbook" w:hAnsi="Century Schoolbook"/>
        </w:rPr>
      </w:pPr>
    </w:p>
    <w:p w14:paraId="6DD02E53" w14:textId="77777777" w:rsidR="00580041" w:rsidRPr="006A774F" w:rsidRDefault="00580041" w:rsidP="00580041">
      <w:pPr>
        <w:spacing w:line="240" w:lineRule="auto"/>
        <w:rPr>
          <w:rFonts w:ascii="Century Schoolbook" w:hAnsi="Century Schoolbook"/>
        </w:rPr>
      </w:pPr>
    </w:p>
    <w:p w14:paraId="668E05AF" w14:textId="77777777" w:rsidR="00580041" w:rsidRPr="006A774F" w:rsidRDefault="00580041" w:rsidP="00580041">
      <w:pPr>
        <w:spacing w:line="240" w:lineRule="auto"/>
        <w:rPr>
          <w:rFonts w:ascii="Century Schoolbook" w:hAnsi="Century Schoolbook"/>
        </w:rPr>
      </w:pPr>
    </w:p>
    <w:p w14:paraId="717CFB30" w14:textId="77777777" w:rsidR="00580041" w:rsidRPr="006A774F" w:rsidRDefault="00580041" w:rsidP="00580041">
      <w:pPr>
        <w:spacing w:line="240" w:lineRule="auto"/>
        <w:rPr>
          <w:rFonts w:ascii="Century Schoolbook" w:hAnsi="Century Schoolbook"/>
        </w:rPr>
      </w:pP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t>_____________________________________</w:t>
      </w:r>
    </w:p>
    <w:p w14:paraId="62BD60DD" w14:textId="77777777" w:rsidR="00580041" w:rsidRPr="006A774F" w:rsidRDefault="00580041" w:rsidP="00580041">
      <w:pPr>
        <w:spacing w:line="240" w:lineRule="auto"/>
        <w:rPr>
          <w:rFonts w:ascii="Century Schoolbook" w:hAnsi="Century Schoolbook"/>
        </w:rPr>
      </w:pP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t>WILLIAMS, J.</w:t>
      </w:r>
      <w:r>
        <w:rPr>
          <w:rStyle w:val="FootnoteReference"/>
          <w:rFonts w:ascii="Symbol" w:hAnsi="Symbol"/>
        </w:rPr>
        <w:footnoteReference w:customMarkFollows="1" w:id="10"/>
        <w:sym w:font="Symbol" w:char="F02A"/>
      </w:r>
    </w:p>
    <w:p w14:paraId="1639E504" w14:textId="77777777" w:rsidR="00580041" w:rsidRPr="006A774F" w:rsidRDefault="00580041" w:rsidP="00580041">
      <w:pPr>
        <w:spacing w:line="240" w:lineRule="auto"/>
        <w:rPr>
          <w:rFonts w:ascii="Century Schoolbook" w:hAnsi="Century Schoolbook"/>
        </w:rPr>
      </w:pPr>
    </w:p>
    <w:p w14:paraId="46137F0E" w14:textId="77777777" w:rsidR="00580041" w:rsidRPr="006A774F" w:rsidRDefault="00580041" w:rsidP="00580041">
      <w:pPr>
        <w:spacing w:line="240" w:lineRule="auto"/>
        <w:rPr>
          <w:rFonts w:ascii="Century Schoolbook" w:hAnsi="Century Schoolbook"/>
        </w:rPr>
      </w:pPr>
    </w:p>
    <w:p w14:paraId="74FE0331" w14:textId="77777777" w:rsidR="00580041" w:rsidRPr="006A774F" w:rsidRDefault="00580041" w:rsidP="00580041">
      <w:pPr>
        <w:spacing w:line="240" w:lineRule="auto"/>
        <w:rPr>
          <w:rFonts w:ascii="Century Schoolbook" w:hAnsi="Century Schoolbook"/>
        </w:rPr>
      </w:pPr>
    </w:p>
    <w:p w14:paraId="4FCD571A" w14:textId="77777777" w:rsidR="00580041" w:rsidRPr="006A774F" w:rsidRDefault="00580041" w:rsidP="00580041">
      <w:pPr>
        <w:spacing w:line="240" w:lineRule="auto"/>
        <w:rPr>
          <w:rFonts w:ascii="Century Schoolbook" w:hAnsi="Century Schoolbook"/>
        </w:rPr>
      </w:pP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t>_____________________________________</w:t>
      </w:r>
    </w:p>
    <w:p w14:paraId="1393544B" w14:textId="77777777" w:rsidR="00580041" w:rsidRPr="006A774F" w:rsidRDefault="00580041" w:rsidP="00580041">
      <w:pPr>
        <w:spacing w:line="240" w:lineRule="auto"/>
        <w:rPr>
          <w:rFonts w:ascii="Century Schoolbook" w:hAnsi="Century Schoolbook"/>
        </w:rPr>
      </w:pP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t>GREENWOOD, P.J.</w:t>
      </w:r>
    </w:p>
    <w:p w14:paraId="16157E8A" w14:textId="77777777" w:rsidR="00580041" w:rsidRPr="006A774F" w:rsidRDefault="00580041" w:rsidP="00580041">
      <w:pPr>
        <w:spacing w:line="240" w:lineRule="auto"/>
        <w:rPr>
          <w:rFonts w:ascii="Century Schoolbook" w:hAnsi="Century Schoolbook"/>
        </w:rPr>
      </w:pPr>
    </w:p>
    <w:p w14:paraId="51A43DF0" w14:textId="77777777" w:rsidR="00580041" w:rsidRPr="006A774F" w:rsidRDefault="00580041" w:rsidP="00580041">
      <w:pPr>
        <w:spacing w:line="240" w:lineRule="auto"/>
        <w:rPr>
          <w:rFonts w:ascii="Century Schoolbook" w:hAnsi="Century Schoolbook"/>
        </w:rPr>
      </w:pPr>
    </w:p>
    <w:p w14:paraId="24E8F6CE" w14:textId="77777777" w:rsidR="00580041" w:rsidRPr="006A774F" w:rsidRDefault="00580041" w:rsidP="00580041">
      <w:pPr>
        <w:spacing w:line="240" w:lineRule="auto"/>
        <w:rPr>
          <w:rFonts w:ascii="Century Schoolbook" w:hAnsi="Century Schoolbook"/>
        </w:rPr>
      </w:pPr>
    </w:p>
    <w:p w14:paraId="185115C7" w14:textId="77777777" w:rsidR="00580041" w:rsidRPr="006A774F" w:rsidRDefault="00580041" w:rsidP="00580041">
      <w:pPr>
        <w:spacing w:line="240" w:lineRule="auto"/>
        <w:rPr>
          <w:rFonts w:ascii="Century Schoolbook" w:hAnsi="Century Schoolbook"/>
        </w:rPr>
      </w:pP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t>_____________________________________</w:t>
      </w:r>
    </w:p>
    <w:p w14:paraId="79BD3E11" w14:textId="77777777" w:rsidR="00580041" w:rsidRPr="006A774F" w:rsidRDefault="00580041" w:rsidP="00580041">
      <w:pPr>
        <w:spacing w:line="240" w:lineRule="auto"/>
        <w:rPr>
          <w:rFonts w:ascii="Century Schoolbook" w:hAnsi="Century Schoolbook"/>
        </w:rPr>
      </w:pP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r>
      <w:r w:rsidRPr="006A774F">
        <w:rPr>
          <w:rFonts w:ascii="Century Schoolbook" w:hAnsi="Century Schoolbook"/>
        </w:rPr>
        <w:tab/>
        <w:t>LIE, J.</w:t>
      </w:r>
    </w:p>
    <w:p w14:paraId="6C031D04" w14:textId="77777777" w:rsidR="00580041" w:rsidRPr="006A774F" w:rsidRDefault="00580041" w:rsidP="00580041">
      <w:pPr>
        <w:spacing w:line="240" w:lineRule="auto"/>
        <w:rPr>
          <w:rFonts w:ascii="Century Schoolbook" w:hAnsi="Century Schoolbook"/>
        </w:rPr>
      </w:pPr>
    </w:p>
    <w:p w14:paraId="4E7D129F" w14:textId="77777777" w:rsidR="00580041" w:rsidRPr="006A774F" w:rsidRDefault="00580041" w:rsidP="00580041">
      <w:pPr>
        <w:spacing w:line="240" w:lineRule="auto"/>
        <w:rPr>
          <w:rFonts w:ascii="Century Schoolbook" w:hAnsi="Century Schoolbook"/>
        </w:rPr>
      </w:pPr>
    </w:p>
    <w:p w14:paraId="2F403475" w14:textId="77777777" w:rsidR="00580041" w:rsidRPr="006A774F" w:rsidRDefault="00580041" w:rsidP="00580041">
      <w:pPr>
        <w:spacing w:line="240" w:lineRule="auto"/>
        <w:rPr>
          <w:rFonts w:ascii="Century Schoolbook" w:hAnsi="Century Schoolbook"/>
        </w:rPr>
      </w:pPr>
    </w:p>
    <w:p w14:paraId="4D29260C" w14:textId="77777777" w:rsidR="00580041" w:rsidRPr="006A774F" w:rsidRDefault="00580041" w:rsidP="00580041">
      <w:pPr>
        <w:spacing w:line="240" w:lineRule="auto"/>
        <w:rPr>
          <w:rFonts w:ascii="Century Schoolbook" w:hAnsi="Century Schoolbook"/>
        </w:rPr>
      </w:pPr>
    </w:p>
    <w:p w14:paraId="3EA58761" w14:textId="77777777" w:rsidR="00580041" w:rsidRPr="006A774F" w:rsidRDefault="00580041" w:rsidP="00580041">
      <w:pPr>
        <w:spacing w:line="240" w:lineRule="auto"/>
        <w:rPr>
          <w:rFonts w:ascii="Century Schoolbook" w:hAnsi="Century Schoolbook"/>
        </w:rPr>
      </w:pPr>
    </w:p>
    <w:p w14:paraId="6F477917" w14:textId="77777777" w:rsidR="00580041" w:rsidRPr="006A774F" w:rsidRDefault="00580041" w:rsidP="00580041">
      <w:pPr>
        <w:spacing w:line="240" w:lineRule="auto"/>
        <w:rPr>
          <w:rFonts w:ascii="Century Schoolbook" w:hAnsi="Century Schoolbook"/>
        </w:rPr>
      </w:pPr>
    </w:p>
    <w:p w14:paraId="23FD53EE" w14:textId="77777777" w:rsidR="00580041" w:rsidRPr="006A774F" w:rsidRDefault="00580041" w:rsidP="00580041">
      <w:pPr>
        <w:spacing w:line="240" w:lineRule="auto"/>
        <w:rPr>
          <w:rFonts w:ascii="Century Schoolbook" w:hAnsi="Century Schoolbook"/>
        </w:rPr>
      </w:pPr>
    </w:p>
    <w:p w14:paraId="48898C94" w14:textId="77777777" w:rsidR="00580041" w:rsidRPr="006A774F" w:rsidRDefault="00580041" w:rsidP="00580041">
      <w:pPr>
        <w:spacing w:line="240" w:lineRule="auto"/>
        <w:rPr>
          <w:rFonts w:ascii="Century Schoolbook" w:hAnsi="Century Schoolbook"/>
        </w:rPr>
      </w:pPr>
    </w:p>
    <w:p w14:paraId="5FE2EFAB" w14:textId="77777777" w:rsidR="00580041" w:rsidRPr="006A774F" w:rsidRDefault="00580041" w:rsidP="00580041">
      <w:pPr>
        <w:spacing w:line="240" w:lineRule="auto"/>
        <w:rPr>
          <w:rFonts w:ascii="Century Schoolbook" w:hAnsi="Century Schoolbook"/>
        </w:rPr>
      </w:pPr>
    </w:p>
    <w:p w14:paraId="20114E29" w14:textId="77777777" w:rsidR="00580041" w:rsidRPr="006A774F" w:rsidRDefault="00580041" w:rsidP="00580041">
      <w:pPr>
        <w:spacing w:line="240" w:lineRule="auto"/>
        <w:rPr>
          <w:rFonts w:ascii="Century Schoolbook" w:hAnsi="Century Schoolbook"/>
        </w:rPr>
      </w:pPr>
    </w:p>
    <w:p w14:paraId="52F048F8" w14:textId="77777777" w:rsidR="00580041" w:rsidRPr="006A774F" w:rsidRDefault="00580041" w:rsidP="00580041">
      <w:pPr>
        <w:spacing w:line="240" w:lineRule="auto"/>
        <w:rPr>
          <w:rFonts w:ascii="Century Schoolbook" w:hAnsi="Century Schoolbook"/>
        </w:rPr>
      </w:pPr>
    </w:p>
    <w:p w14:paraId="672C3645" w14:textId="77777777" w:rsidR="00580041" w:rsidRPr="006A774F" w:rsidRDefault="00580041" w:rsidP="00580041">
      <w:pPr>
        <w:spacing w:line="240" w:lineRule="auto"/>
        <w:rPr>
          <w:rFonts w:ascii="Century Schoolbook" w:hAnsi="Century Schoolbook"/>
        </w:rPr>
      </w:pPr>
    </w:p>
    <w:p w14:paraId="262AEFA7" w14:textId="77777777" w:rsidR="00580041" w:rsidRPr="006A774F" w:rsidRDefault="00580041" w:rsidP="00580041">
      <w:pPr>
        <w:spacing w:line="240" w:lineRule="auto"/>
        <w:rPr>
          <w:rFonts w:ascii="Century Schoolbook" w:hAnsi="Century Schoolbook"/>
        </w:rPr>
      </w:pPr>
    </w:p>
    <w:p w14:paraId="58389370" w14:textId="77777777" w:rsidR="00580041" w:rsidRPr="006A774F" w:rsidRDefault="00580041" w:rsidP="00580041">
      <w:pPr>
        <w:spacing w:line="240" w:lineRule="auto"/>
        <w:rPr>
          <w:rFonts w:ascii="Century Schoolbook" w:hAnsi="Century Schoolbook"/>
        </w:rPr>
      </w:pPr>
    </w:p>
    <w:p w14:paraId="0D7D0B41" w14:textId="77777777" w:rsidR="00580041" w:rsidRPr="006A774F" w:rsidRDefault="00580041" w:rsidP="00580041">
      <w:pPr>
        <w:spacing w:line="240" w:lineRule="auto"/>
        <w:rPr>
          <w:rFonts w:ascii="Century Schoolbook" w:hAnsi="Century Schoolbook"/>
        </w:rPr>
      </w:pPr>
    </w:p>
    <w:p w14:paraId="11256EBE" w14:textId="77777777" w:rsidR="00580041" w:rsidRPr="006A774F" w:rsidRDefault="00580041" w:rsidP="00580041">
      <w:pPr>
        <w:spacing w:line="240" w:lineRule="auto"/>
        <w:rPr>
          <w:rFonts w:ascii="Century Schoolbook" w:hAnsi="Century Schoolbook"/>
        </w:rPr>
      </w:pPr>
    </w:p>
    <w:p w14:paraId="6416365A" w14:textId="77777777" w:rsidR="00580041" w:rsidRPr="006A774F" w:rsidRDefault="00580041" w:rsidP="00580041">
      <w:pPr>
        <w:spacing w:line="240" w:lineRule="auto"/>
        <w:rPr>
          <w:rFonts w:ascii="Century Schoolbook" w:hAnsi="Century Schoolbook"/>
        </w:rPr>
      </w:pPr>
    </w:p>
    <w:p w14:paraId="433017E7" w14:textId="77777777" w:rsidR="00580041" w:rsidRPr="006A774F" w:rsidRDefault="00580041" w:rsidP="00580041">
      <w:pPr>
        <w:spacing w:line="240" w:lineRule="auto"/>
        <w:rPr>
          <w:rFonts w:ascii="Century Schoolbook" w:hAnsi="Century Schoolbook"/>
        </w:rPr>
      </w:pPr>
    </w:p>
    <w:p w14:paraId="2711C067" w14:textId="77777777" w:rsidR="00580041" w:rsidRPr="006A774F" w:rsidRDefault="00580041" w:rsidP="00580041">
      <w:pPr>
        <w:spacing w:line="240" w:lineRule="auto"/>
        <w:rPr>
          <w:rFonts w:ascii="Century Schoolbook" w:hAnsi="Century Schoolbook"/>
          <w:bCs/>
          <w:i/>
          <w:iCs/>
        </w:rPr>
      </w:pPr>
      <w:r w:rsidRPr="006A774F">
        <w:rPr>
          <w:rFonts w:ascii="Century Schoolbook" w:hAnsi="Century Schoolbook"/>
          <w:i/>
          <w:iCs/>
        </w:rPr>
        <w:t>Valero v. Spread Your Wings, LLC et al.</w:t>
      </w:r>
    </w:p>
    <w:p w14:paraId="6F0EEDD5" w14:textId="77777777" w:rsidR="00580041" w:rsidRDefault="00580041" w:rsidP="00580041">
      <w:pPr>
        <w:spacing w:line="240" w:lineRule="auto"/>
        <w:rPr>
          <w:rFonts w:ascii="Century Schoolbook" w:hAnsi="Century Schoolbook"/>
          <w:bCs/>
        </w:rPr>
      </w:pPr>
      <w:r w:rsidRPr="00392AA5">
        <w:rPr>
          <w:rFonts w:ascii="Century Schoolbook" w:hAnsi="Century Schoolbook"/>
          <w:bCs/>
        </w:rPr>
        <w:t>H049119</w:t>
      </w:r>
    </w:p>
    <w:p w14:paraId="2AC6E9FC" w14:textId="77777777" w:rsidR="00580041" w:rsidRDefault="00580041" w:rsidP="00580041">
      <w:pPr>
        <w:spacing w:line="240" w:lineRule="auto"/>
        <w:rPr>
          <w:rFonts w:ascii="Century Schoolbook" w:hAnsi="Century Schoolbook"/>
          <w:bCs/>
        </w:rPr>
      </w:pPr>
    </w:p>
    <w:p w14:paraId="2C0B27B7" w14:textId="77777777" w:rsidR="00580041" w:rsidRDefault="00580041" w:rsidP="00580041">
      <w:pPr>
        <w:spacing w:line="240" w:lineRule="auto"/>
        <w:rPr>
          <w:rFonts w:ascii="Century Schoolbook" w:hAnsi="Century Schoolbook"/>
          <w:bCs/>
        </w:rPr>
        <w:sectPr w:rsidR="00580041">
          <w:pgSz w:w="12240" w:h="15840"/>
          <w:pgMar w:top="1440" w:right="1440" w:bottom="1440" w:left="1440" w:header="720" w:footer="720" w:gutter="0"/>
          <w:cols w:space="720"/>
          <w:docGrid w:linePitch="360"/>
        </w:sectPr>
      </w:pPr>
    </w:p>
    <w:p w14:paraId="42FF4FAD"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lastRenderedPageBreak/>
        <w:t>Trial Court:</w:t>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Santa Clara County Superior Court</w:t>
      </w:r>
    </w:p>
    <w:p w14:paraId="57A08287" w14:textId="77777777" w:rsidR="00580041" w:rsidRPr="00392AA5" w:rsidRDefault="00580041" w:rsidP="00580041">
      <w:pPr>
        <w:spacing w:line="240" w:lineRule="auto"/>
        <w:ind w:left="4320" w:firstLine="720"/>
        <w:rPr>
          <w:rFonts w:ascii="Century Schoolbook" w:hAnsi="Century Schoolbook"/>
          <w:bCs/>
        </w:rPr>
      </w:pPr>
      <w:r w:rsidRPr="00392AA5">
        <w:rPr>
          <w:rFonts w:ascii="Century Schoolbook" w:hAnsi="Century Schoolbook"/>
          <w:bCs/>
        </w:rPr>
        <w:t>Superior Court No.:  18CV338394</w:t>
      </w:r>
    </w:p>
    <w:p w14:paraId="43BC5759" w14:textId="77777777" w:rsidR="00580041" w:rsidRPr="00392AA5" w:rsidRDefault="00580041" w:rsidP="00580041">
      <w:pPr>
        <w:spacing w:line="240" w:lineRule="auto"/>
        <w:rPr>
          <w:rFonts w:ascii="Century Schoolbook" w:hAnsi="Century Schoolbook"/>
          <w:bCs/>
        </w:rPr>
      </w:pPr>
    </w:p>
    <w:p w14:paraId="2B6FD729" w14:textId="77777777" w:rsidR="00580041" w:rsidRPr="00392AA5" w:rsidRDefault="00580041" w:rsidP="00580041">
      <w:pPr>
        <w:spacing w:line="240" w:lineRule="auto"/>
        <w:rPr>
          <w:rFonts w:ascii="Century Schoolbook" w:hAnsi="Century Schoolbook"/>
          <w:bCs/>
        </w:rPr>
      </w:pPr>
    </w:p>
    <w:p w14:paraId="7C9E13F6"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Trial Judge:</w:t>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 xml:space="preserve">The Honorable </w:t>
      </w:r>
    </w:p>
    <w:p w14:paraId="5770BCED" w14:textId="77777777" w:rsidR="00580041" w:rsidRPr="00392AA5" w:rsidRDefault="00580041" w:rsidP="00580041">
      <w:pPr>
        <w:spacing w:line="240" w:lineRule="auto"/>
        <w:ind w:left="4320" w:firstLine="720"/>
        <w:rPr>
          <w:rFonts w:ascii="Century Schoolbook" w:hAnsi="Century Schoolbook"/>
          <w:bCs/>
        </w:rPr>
      </w:pPr>
      <w:r w:rsidRPr="00392AA5">
        <w:rPr>
          <w:rFonts w:ascii="Century Schoolbook" w:hAnsi="Century Schoolbook"/>
          <w:bCs/>
        </w:rPr>
        <w:t>Thang Nguyen Barrett</w:t>
      </w:r>
    </w:p>
    <w:p w14:paraId="1B0CB3FB"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51615C87" w14:textId="77777777" w:rsidR="00580041" w:rsidRPr="00392AA5" w:rsidRDefault="00580041" w:rsidP="00580041">
      <w:pPr>
        <w:spacing w:line="240" w:lineRule="auto"/>
        <w:rPr>
          <w:rFonts w:ascii="Century Schoolbook" w:hAnsi="Century Schoolbook"/>
          <w:bCs/>
        </w:rPr>
      </w:pPr>
    </w:p>
    <w:p w14:paraId="1F2797AA" w14:textId="77777777" w:rsidR="00580041" w:rsidRPr="00392AA5" w:rsidRDefault="00580041" w:rsidP="00580041">
      <w:pPr>
        <w:spacing w:line="240" w:lineRule="auto"/>
        <w:rPr>
          <w:rFonts w:ascii="Century Schoolbook" w:hAnsi="Century Schoolbook"/>
          <w:bCs/>
        </w:rPr>
      </w:pPr>
    </w:p>
    <w:p w14:paraId="4CF20875" w14:textId="77777777" w:rsidR="00580041" w:rsidRPr="00392AA5" w:rsidRDefault="00580041" w:rsidP="00580041">
      <w:pPr>
        <w:spacing w:line="240" w:lineRule="auto"/>
        <w:rPr>
          <w:rFonts w:ascii="Century Schoolbook" w:hAnsi="Century Schoolbook"/>
          <w:bCs/>
        </w:rPr>
      </w:pPr>
    </w:p>
    <w:p w14:paraId="7C3B5714"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Attorneys for Plaintiff and Appellant</w:t>
      </w:r>
      <w:r w:rsidRPr="00392AA5">
        <w:rPr>
          <w:rFonts w:ascii="Century Schoolbook" w:hAnsi="Century Schoolbook"/>
          <w:bCs/>
        </w:rPr>
        <w:tab/>
        <w:t>Law Offices of Joseph S. May</w:t>
      </w:r>
    </w:p>
    <w:p w14:paraId="0B888DA9"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Lynda Valero:</w:t>
      </w:r>
      <w:r w:rsidRPr="00392AA5">
        <w:rPr>
          <w:rFonts w:ascii="Century Schoolbook" w:hAnsi="Century Schoolbook"/>
          <w:bCs/>
        </w:rPr>
        <w:tab/>
      </w:r>
      <w:r>
        <w:rPr>
          <w:rFonts w:ascii="Century Schoolbook" w:hAnsi="Century Schoolbook"/>
          <w:bCs/>
        </w:rPr>
        <w:tab/>
      </w:r>
      <w:r>
        <w:rPr>
          <w:rFonts w:ascii="Century Schoolbook" w:hAnsi="Century Schoolbook"/>
          <w:bCs/>
        </w:rPr>
        <w:tab/>
      </w:r>
      <w:r>
        <w:rPr>
          <w:rFonts w:ascii="Century Schoolbook" w:hAnsi="Century Schoolbook"/>
          <w:bCs/>
        </w:rPr>
        <w:tab/>
      </w:r>
      <w:r>
        <w:rPr>
          <w:rFonts w:ascii="Century Schoolbook" w:hAnsi="Century Schoolbook"/>
          <w:bCs/>
        </w:rPr>
        <w:tab/>
      </w:r>
      <w:r w:rsidRPr="00392AA5">
        <w:rPr>
          <w:rFonts w:ascii="Century Schoolbook" w:hAnsi="Century Schoolbook"/>
          <w:bCs/>
        </w:rPr>
        <w:t>Joseph S. May</w:t>
      </w:r>
    </w:p>
    <w:p w14:paraId="10AF3562"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2C9FB1CA"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Law Offices of Sanjay S. Schmidt</w:t>
      </w:r>
    </w:p>
    <w:p w14:paraId="05746D46"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Sanjay S. Schmidt</w:t>
      </w:r>
    </w:p>
    <w:p w14:paraId="5E90D691"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75846518"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7327438D"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44575F8D"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66F96A47" w14:textId="77777777" w:rsidR="00580041" w:rsidRPr="00392AA5" w:rsidRDefault="00580041" w:rsidP="00580041">
      <w:pPr>
        <w:spacing w:line="240" w:lineRule="auto"/>
        <w:rPr>
          <w:rFonts w:ascii="Century Schoolbook" w:hAnsi="Century Schoolbook"/>
          <w:bCs/>
        </w:rPr>
      </w:pPr>
    </w:p>
    <w:p w14:paraId="096F1FA1"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071D244E"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Attorneys for Defendants and</w:t>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Lewis Brisbois Bisgaard &amp; Respondents Spread Your</w:t>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 xml:space="preserve"> Smith LLP</w:t>
      </w:r>
    </w:p>
    <w:p w14:paraId="04067C63"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Wings LLC et al.:</w:t>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07DE9059"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Jeffry A. Miller</w:t>
      </w:r>
    </w:p>
    <w:p w14:paraId="00546A85"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Tracy D.Forbath</w:t>
      </w:r>
    </w:p>
    <w:p w14:paraId="41872F08"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Reuben B. Jacobson</w:t>
      </w:r>
    </w:p>
    <w:p w14:paraId="7A242104"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t>Ciara M. Dineen</w:t>
      </w:r>
    </w:p>
    <w:p w14:paraId="5713A03F"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26F76C3A"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7CFFB0A7" w14:textId="77777777" w:rsidR="00580041" w:rsidRPr="00392AA5" w:rsidRDefault="00580041" w:rsidP="00580041">
      <w:pPr>
        <w:spacing w:line="240" w:lineRule="auto"/>
        <w:rPr>
          <w:rFonts w:ascii="Century Schoolbook" w:hAnsi="Century Schoolbook"/>
          <w:bCs/>
        </w:rPr>
      </w:pPr>
    </w:p>
    <w:p w14:paraId="7828F0B9" w14:textId="77777777" w:rsidR="00580041" w:rsidRPr="00392AA5" w:rsidRDefault="00580041" w:rsidP="00580041">
      <w:pPr>
        <w:spacing w:line="240" w:lineRule="auto"/>
        <w:rPr>
          <w:rFonts w:ascii="Century Schoolbook" w:hAnsi="Century Schoolbook"/>
          <w:bCs/>
        </w:rPr>
      </w:pPr>
    </w:p>
    <w:p w14:paraId="55A7E55D" w14:textId="77777777" w:rsidR="00580041" w:rsidRPr="00392AA5" w:rsidRDefault="00580041" w:rsidP="00580041">
      <w:pPr>
        <w:spacing w:line="240" w:lineRule="auto"/>
        <w:rPr>
          <w:rFonts w:ascii="Century Schoolbook" w:hAnsi="Century Schoolbook"/>
          <w:bCs/>
        </w:rPr>
      </w:pPr>
    </w:p>
    <w:p w14:paraId="2516F9E0" w14:textId="77777777" w:rsidR="00580041" w:rsidRPr="00392AA5" w:rsidRDefault="00580041" w:rsidP="00580041">
      <w:pPr>
        <w:spacing w:line="240" w:lineRule="auto"/>
        <w:rPr>
          <w:rFonts w:ascii="Century Schoolbook" w:hAnsi="Century Schoolbook"/>
          <w:bCs/>
        </w:rPr>
      </w:pPr>
    </w:p>
    <w:p w14:paraId="7D7CDF16" w14:textId="77777777" w:rsidR="00580041" w:rsidRPr="00392AA5" w:rsidRDefault="00580041" w:rsidP="00580041">
      <w:pPr>
        <w:spacing w:line="240" w:lineRule="auto"/>
        <w:rPr>
          <w:rFonts w:ascii="Century Schoolbook" w:hAnsi="Century Schoolbook"/>
          <w:bCs/>
        </w:rPr>
      </w:pPr>
    </w:p>
    <w:p w14:paraId="3A875198"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7451FEC5"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08A7C182"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r w:rsidRPr="00392AA5">
        <w:rPr>
          <w:rFonts w:ascii="Century Schoolbook" w:hAnsi="Century Schoolbook"/>
          <w:bCs/>
        </w:rPr>
        <w:tab/>
      </w:r>
    </w:p>
    <w:p w14:paraId="26B7481C" w14:textId="77777777" w:rsidR="00580041" w:rsidRPr="00392AA5" w:rsidRDefault="00580041" w:rsidP="00580041">
      <w:pPr>
        <w:spacing w:line="240" w:lineRule="auto"/>
        <w:rPr>
          <w:rFonts w:ascii="Century Schoolbook" w:hAnsi="Century Schoolbook"/>
          <w:bCs/>
        </w:rPr>
      </w:pPr>
      <w:r w:rsidRPr="00392AA5">
        <w:rPr>
          <w:rFonts w:ascii="Century Schoolbook" w:hAnsi="Century Schoolbook"/>
          <w:bCs/>
        </w:rPr>
        <w:t>Valero v. Spread Your Wings, LLC et al.</w:t>
      </w:r>
    </w:p>
    <w:p w14:paraId="390D461A" w14:textId="7BAFA163" w:rsidR="00931DF3" w:rsidRPr="00580041" w:rsidRDefault="00580041" w:rsidP="00580041">
      <w:pPr>
        <w:spacing w:line="240" w:lineRule="auto"/>
        <w:rPr>
          <w:rFonts w:ascii="Century Schoolbook" w:hAnsi="Century Schoolbook"/>
          <w:bCs/>
        </w:rPr>
      </w:pPr>
      <w:r w:rsidRPr="00392AA5">
        <w:rPr>
          <w:rFonts w:ascii="Century Schoolbook" w:hAnsi="Century Schoolbook"/>
          <w:bCs/>
        </w:rPr>
        <w:t>H049119</w:t>
      </w:r>
    </w:p>
    <w:sectPr w:rsidR="00931DF3" w:rsidRPr="005800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EE58" w14:textId="77777777" w:rsidR="005C3EB6" w:rsidRDefault="00F5385E" w:rsidP="003406E7">
      <w:pPr>
        <w:spacing w:line="240" w:lineRule="auto"/>
      </w:pPr>
      <w:r>
        <w:separator/>
      </w:r>
    </w:p>
  </w:endnote>
  <w:endnote w:type="continuationSeparator" w:id="0">
    <w:p w14:paraId="1BE15949" w14:textId="77777777" w:rsidR="005C3EB6" w:rsidRDefault="00F5385E" w:rsidP="003406E7">
      <w:pPr>
        <w:spacing w:line="240" w:lineRule="auto"/>
      </w:pPr>
      <w:r>
        <w:continuationSeparator/>
      </w:r>
    </w:p>
  </w:endnote>
  <w:endnote w:id="1">
    <w:p w14:paraId="377EECF5" w14:textId="77777777" w:rsidR="00B51EBD" w:rsidRPr="00836F01" w:rsidRDefault="00F5385E" w:rsidP="00B51EBD">
      <w:pPr>
        <w:pStyle w:val="EndnoteText"/>
        <w:ind w:firstLine="720"/>
        <w:rPr>
          <w:rFonts w:ascii="Century Schoolbook" w:hAnsi="Century Schoolbook"/>
          <w:sz w:val="26"/>
          <w:szCs w:val="26"/>
        </w:rPr>
      </w:pPr>
      <w:r w:rsidRPr="00836F01">
        <w:rPr>
          <w:rStyle w:val="EndnoteReference"/>
          <w:rFonts w:ascii="Symbol" w:hAnsi="Symbol"/>
          <w:sz w:val="26"/>
          <w:szCs w:val="26"/>
        </w:rPr>
        <w:sym w:font="Symbol" w:char="F02A"/>
      </w:r>
      <w:r w:rsidRPr="00836F01">
        <w:rPr>
          <w:rFonts w:ascii="Century Schoolbook" w:hAnsi="Century Schoolbook"/>
          <w:sz w:val="26"/>
          <w:szCs w:val="26"/>
        </w:rPr>
        <w:t xml:space="preserve"> Judge of the </w:t>
      </w:r>
      <w:r>
        <w:rPr>
          <w:rFonts w:ascii="Century Schoolbook" w:hAnsi="Century Schoolbook"/>
          <w:sz w:val="26"/>
          <w:szCs w:val="26"/>
        </w:rPr>
        <w:t>Santa Clara</w:t>
      </w:r>
      <w:r w:rsidRPr="00836F01">
        <w:rPr>
          <w:rFonts w:ascii="Century Schoolbook" w:hAnsi="Century Schoolbook"/>
          <w:sz w:val="26"/>
          <w:szCs w:val="26"/>
        </w:rPr>
        <w:t xml:space="preserve"> County Superior Court, assigned by the Chief Justice pursuant to article VI, section 6 of the California Constitution.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C316" w14:textId="77777777" w:rsidR="00911CAE" w:rsidRDefault="00F53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263279"/>
      <w:docPartObj>
        <w:docPartGallery w:val="Page Numbers (Bottom of Page)"/>
        <w:docPartUnique/>
      </w:docPartObj>
    </w:sdtPr>
    <w:sdtEndPr>
      <w:rPr>
        <w:rFonts w:ascii="Century Schoolbook" w:hAnsi="Century Schoolbook"/>
        <w:noProof/>
      </w:rPr>
    </w:sdtEndPr>
    <w:sdtContent>
      <w:p w14:paraId="6F815671" w14:textId="77777777" w:rsidR="003406E7" w:rsidRDefault="00F5385E">
        <w:pPr>
          <w:pStyle w:val="Footer"/>
          <w:jc w:val="center"/>
        </w:pPr>
        <w:r w:rsidRPr="001769EE">
          <w:rPr>
            <w:rFonts w:ascii="Century Schoolbook" w:hAnsi="Century Schoolbook"/>
          </w:rPr>
          <w:fldChar w:fldCharType="begin"/>
        </w:r>
        <w:r w:rsidRPr="001769EE">
          <w:rPr>
            <w:rFonts w:ascii="Century Schoolbook" w:hAnsi="Century Schoolbook"/>
          </w:rPr>
          <w:instrText xml:space="preserve"> PAGE   \* MERGEFORMAT </w:instrText>
        </w:r>
        <w:r w:rsidRPr="001769EE">
          <w:rPr>
            <w:rFonts w:ascii="Century Schoolbook" w:hAnsi="Century Schoolbook"/>
          </w:rPr>
          <w:fldChar w:fldCharType="separate"/>
        </w:r>
        <w:r w:rsidRPr="001769EE">
          <w:rPr>
            <w:rFonts w:ascii="Century Schoolbook" w:hAnsi="Century Schoolbook"/>
            <w:noProof/>
          </w:rPr>
          <w:t>2</w:t>
        </w:r>
        <w:r w:rsidRPr="001769EE">
          <w:rPr>
            <w:rFonts w:ascii="Century Schoolbook" w:hAnsi="Century Schoolbook"/>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189D2" w14:textId="77777777" w:rsidR="00911CAE" w:rsidRDefault="00F538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1C7A" w14:textId="77777777" w:rsidR="002E79D6" w:rsidRDefault="00F5385E">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90A8" w14:textId="77777777" w:rsidR="00580041" w:rsidRDefault="0058004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FA104" w14:textId="77777777" w:rsidR="00580041" w:rsidRDefault="0058004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5709" w14:textId="77777777" w:rsidR="00580041" w:rsidRDefault="00580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71861" w14:textId="77777777" w:rsidR="005C3EB6" w:rsidRDefault="00F5385E" w:rsidP="003406E7">
      <w:pPr>
        <w:spacing w:line="240" w:lineRule="auto"/>
      </w:pPr>
      <w:r>
        <w:separator/>
      </w:r>
    </w:p>
  </w:footnote>
  <w:footnote w:type="continuationSeparator" w:id="0">
    <w:p w14:paraId="16DF98B3" w14:textId="77777777" w:rsidR="005C3EB6" w:rsidRDefault="00F5385E" w:rsidP="003406E7">
      <w:pPr>
        <w:spacing w:line="240" w:lineRule="auto"/>
      </w:pPr>
      <w:r>
        <w:continuationSeparator/>
      </w:r>
    </w:p>
  </w:footnote>
  <w:footnote w:id="1">
    <w:p w14:paraId="65545542" w14:textId="77777777" w:rsidR="00963449" w:rsidRPr="00963449" w:rsidRDefault="00F5385E" w:rsidP="00963449">
      <w:pPr>
        <w:pStyle w:val="FootnoteText"/>
        <w:spacing w:line="240" w:lineRule="auto"/>
        <w:rPr>
          <w:rFonts w:ascii="Century Schoolbook" w:hAnsi="Century Schoolbook"/>
        </w:rPr>
      </w:pPr>
      <w:r>
        <w:tab/>
      </w:r>
      <w:r w:rsidRPr="00963449">
        <w:rPr>
          <w:rStyle w:val="FootnoteReference"/>
          <w:rFonts w:ascii="Century Schoolbook" w:hAnsi="Century Schoolbook"/>
        </w:rPr>
        <w:footnoteRef/>
      </w:r>
      <w:r w:rsidRPr="00963449">
        <w:rPr>
          <w:rFonts w:ascii="Century Schoolbook" w:hAnsi="Century Schoolbook"/>
        </w:rPr>
        <w:t xml:space="preserve"> For ease, </w:t>
      </w:r>
      <w:r>
        <w:rPr>
          <w:rFonts w:ascii="Century Schoolbook" w:hAnsi="Century Schoolbook"/>
        </w:rPr>
        <w:t xml:space="preserve">and except where </w:t>
      </w:r>
      <w:r w:rsidRPr="008E728C">
        <w:rPr>
          <w:rFonts w:ascii="Century Schoolbook" w:hAnsi="Century Schoolbook"/>
        </w:rPr>
        <w:t>context dictates</w:t>
      </w:r>
      <w:r>
        <w:rPr>
          <w:rFonts w:ascii="Century Schoolbook" w:hAnsi="Century Schoolbook"/>
        </w:rPr>
        <w:t xml:space="preserve"> otherwise, </w:t>
      </w:r>
      <w:r>
        <w:rPr>
          <w:rFonts w:ascii="Century Schoolbook" w:hAnsi="Century Schoolbook"/>
        </w:rPr>
        <w:t xml:space="preserve">we </w:t>
      </w:r>
      <w:r w:rsidRPr="00963449">
        <w:rPr>
          <w:rFonts w:ascii="Century Schoolbook" w:hAnsi="Century Schoolbook"/>
        </w:rPr>
        <w:t>refer to the</w:t>
      </w:r>
      <w:r>
        <w:rPr>
          <w:rFonts w:ascii="Century Schoolbook" w:hAnsi="Century Schoolbook"/>
        </w:rPr>
        <w:t>se</w:t>
      </w:r>
      <w:r w:rsidRPr="00963449">
        <w:rPr>
          <w:rFonts w:ascii="Century Schoolbook" w:hAnsi="Century Schoolbook"/>
        </w:rPr>
        <w:t xml:space="preserve"> two entit</w:t>
      </w:r>
      <w:r>
        <w:rPr>
          <w:rFonts w:ascii="Century Schoolbook" w:hAnsi="Century Schoolbook"/>
        </w:rPr>
        <w:t>ies</w:t>
      </w:r>
      <w:r w:rsidRPr="00963449">
        <w:rPr>
          <w:rFonts w:ascii="Century Schoolbook" w:hAnsi="Century Schoolbook"/>
        </w:rPr>
        <w:t xml:space="preserve"> collectively as Spread Your Wings. </w:t>
      </w:r>
    </w:p>
  </w:footnote>
  <w:footnote w:id="2">
    <w:p w14:paraId="6F57AD59" w14:textId="77777777" w:rsidR="00B43739" w:rsidRPr="00B43739" w:rsidRDefault="00F5385E" w:rsidP="00B43739">
      <w:pPr>
        <w:pStyle w:val="FootnoteText"/>
        <w:spacing w:line="240" w:lineRule="auto"/>
        <w:rPr>
          <w:rFonts w:ascii="Century Schoolbook" w:hAnsi="Century Schoolbook"/>
        </w:rPr>
      </w:pPr>
      <w:r>
        <w:tab/>
      </w:r>
      <w:r w:rsidRPr="00B43739">
        <w:rPr>
          <w:rStyle w:val="FootnoteReference"/>
          <w:rFonts w:ascii="Century Schoolbook" w:hAnsi="Century Schoolbook"/>
        </w:rPr>
        <w:footnoteRef/>
      </w:r>
      <w:r w:rsidRPr="00B43739">
        <w:rPr>
          <w:rFonts w:ascii="Century Schoolbook" w:hAnsi="Century Schoolbook"/>
        </w:rPr>
        <w:t xml:space="preserve"> Further unspecified statutory references are to the Welfare and Institutions Code. </w:t>
      </w:r>
    </w:p>
  </w:footnote>
  <w:footnote w:id="3">
    <w:p w14:paraId="11A23083" w14:textId="77777777" w:rsidR="008E728C" w:rsidRPr="008E728C" w:rsidRDefault="00F5385E" w:rsidP="008E728C">
      <w:pPr>
        <w:pStyle w:val="FootnoteText"/>
        <w:spacing w:line="240" w:lineRule="auto"/>
        <w:rPr>
          <w:rFonts w:ascii="Century Schoolbook" w:hAnsi="Century Schoolbook"/>
        </w:rPr>
      </w:pPr>
      <w:r>
        <w:tab/>
      </w:r>
      <w:r w:rsidRPr="008E728C">
        <w:rPr>
          <w:rStyle w:val="FootnoteReference"/>
          <w:rFonts w:ascii="Century Schoolbook" w:hAnsi="Century Schoolbook"/>
        </w:rPr>
        <w:footnoteRef/>
      </w:r>
      <w:r w:rsidRPr="008E728C">
        <w:rPr>
          <w:rFonts w:ascii="Century Schoolbook" w:hAnsi="Century Schoolbook"/>
        </w:rPr>
        <w:t xml:space="preserve"> Dellard and Spread Your Wings moved for judgment on the pleadings with respect to the original complaint on the same basis of statutory immunity. Their motion was grant</w:t>
      </w:r>
      <w:r w:rsidRPr="008E728C">
        <w:rPr>
          <w:rFonts w:ascii="Century Schoolbook" w:hAnsi="Century Schoolbook"/>
        </w:rPr>
        <w:t>ed with leave to amend, resulting in the first amended complaint</w:t>
      </w:r>
      <w:r>
        <w:rPr>
          <w:rFonts w:ascii="Century Schoolbook" w:hAnsi="Century Schoolbook"/>
        </w:rPr>
        <w:t xml:space="preserve">, which added more factual detail </w:t>
      </w:r>
      <w:r>
        <w:rPr>
          <w:rFonts w:ascii="Century Schoolbook" w:hAnsi="Century Schoolbook"/>
        </w:rPr>
        <w:t xml:space="preserve">and legal conclusions </w:t>
      </w:r>
      <w:r>
        <w:rPr>
          <w:rFonts w:ascii="Century Schoolbook" w:hAnsi="Century Schoolbook"/>
        </w:rPr>
        <w:t>but consisted of the same essential cause of action</w:t>
      </w:r>
      <w:r w:rsidRPr="008E728C">
        <w:rPr>
          <w:rFonts w:ascii="Century Schoolbook" w:hAnsi="Century Schoolbook"/>
        </w:rPr>
        <w:t xml:space="preserve">.  </w:t>
      </w:r>
    </w:p>
  </w:footnote>
  <w:footnote w:id="4">
    <w:p w14:paraId="162BCAC3" w14:textId="77777777" w:rsidR="009A6694" w:rsidRDefault="00F5385E" w:rsidP="009A6694">
      <w:pPr>
        <w:pStyle w:val="FootnoteText"/>
        <w:spacing w:line="240" w:lineRule="auto"/>
      </w:pPr>
      <w:r>
        <w:tab/>
      </w:r>
      <w:r>
        <w:rPr>
          <w:rStyle w:val="FootnoteReference"/>
        </w:rPr>
        <w:footnoteRef/>
      </w:r>
      <w:r>
        <w:t xml:space="preserve"> </w:t>
      </w:r>
      <w:r>
        <w:rPr>
          <w:rFonts w:ascii="Century Schoolbook" w:hAnsi="Century Schoolbook"/>
        </w:rPr>
        <w:t>D</w:t>
      </w:r>
      <w:r w:rsidRPr="006A4A94">
        <w:rPr>
          <w:rFonts w:ascii="Century Schoolbook" w:hAnsi="Century Schoolbook"/>
        </w:rPr>
        <w:t xml:space="preserve">efendant Andrew Serry Dumbuya did not join the demurrer to the first amended complaint filed by Spread Your Wings and Dellard. And the trial court’s order sustaining the demurrer did not </w:t>
      </w:r>
      <w:r>
        <w:rPr>
          <w:rFonts w:ascii="Century Schoolbook" w:hAnsi="Century Schoolbook"/>
        </w:rPr>
        <w:t xml:space="preserve">make a </w:t>
      </w:r>
      <w:r w:rsidRPr="006A4A94">
        <w:rPr>
          <w:rFonts w:ascii="Century Schoolbook" w:hAnsi="Century Schoolbook"/>
        </w:rPr>
        <w:t>rul</w:t>
      </w:r>
      <w:r>
        <w:rPr>
          <w:rFonts w:ascii="Century Schoolbook" w:hAnsi="Century Schoolbook"/>
        </w:rPr>
        <w:t>ing</w:t>
      </w:r>
      <w:r w:rsidRPr="006A4A94">
        <w:rPr>
          <w:rFonts w:ascii="Century Schoolbook" w:hAnsi="Century Schoolbook"/>
        </w:rPr>
        <w:t xml:space="preserve"> in his favor. Yet, the judgment of dismissal (signed by</w:t>
      </w:r>
      <w:r w:rsidRPr="006A4A94">
        <w:rPr>
          <w:rFonts w:ascii="Century Schoolbook" w:hAnsi="Century Schoolbook"/>
        </w:rPr>
        <w:t xml:space="preserve"> a different judicial officer than the order sustaining the demurrer of Spread Your Wings and Dellard) refers to him as having successfully demurred and therefore being entitled, like Spread Your Wings and Dellard, to a judgment of dismissal. The judgment </w:t>
      </w:r>
      <w:r w:rsidRPr="006A4A94">
        <w:rPr>
          <w:rFonts w:ascii="Century Schoolbook" w:hAnsi="Century Schoolbook"/>
        </w:rPr>
        <w:t xml:space="preserve">was approved as to form by Valero’s counsel. No party addresses this issue in their appellate briefing. Thus, as it stands, judgment appears to have been entered in favor of defendant Dumbuya based on a successful demurrer that he never filed. </w:t>
      </w:r>
      <w:r>
        <w:rPr>
          <w:rFonts w:ascii="Century Schoolbook" w:hAnsi="Century Schoolbook"/>
        </w:rPr>
        <w:t>Of course, b</w:t>
      </w:r>
      <w:r>
        <w:rPr>
          <w:rFonts w:ascii="Century Schoolbook" w:hAnsi="Century Schoolbook"/>
        </w:rPr>
        <w:t xml:space="preserve">ecause Dumbuya’s liability is derived </w:t>
      </w:r>
      <w:r>
        <w:rPr>
          <w:rFonts w:ascii="Century Schoolbook" w:hAnsi="Century Schoolbook"/>
        </w:rPr>
        <w:t>only</w:t>
      </w:r>
      <w:r>
        <w:rPr>
          <w:rFonts w:ascii="Century Schoolbook" w:hAnsi="Century Schoolbook"/>
        </w:rPr>
        <w:t xml:space="preserve"> from </w:t>
      </w:r>
      <w:r>
        <w:rPr>
          <w:rFonts w:ascii="Century Schoolbook" w:hAnsi="Century Schoolbook"/>
        </w:rPr>
        <w:t xml:space="preserve">agency or </w:t>
      </w:r>
      <w:r>
        <w:rPr>
          <w:rFonts w:ascii="Century Schoolbook" w:hAnsi="Century Schoolbook"/>
        </w:rPr>
        <w:t xml:space="preserve">alter ego allegations as </w:t>
      </w:r>
      <w:r>
        <w:rPr>
          <w:rFonts w:ascii="Century Schoolbook" w:hAnsi="Century Schoolbook"/>
        </w:rPr>
        <w:t xml:space="preserve">against </w:t>
      </w:r>
      <w:r>
        <w:rPr>
          <w:rFonts w:ascii="Century Schoolbook" w:hAnsi="Century Schoolbook"/>
        </w:rPr>
        <w:t xml:space="preserve">Spread Your Wings, his entitlement to a judgment </w:t>
      </w:r>
      <w:r>
        <w:rPr>
          <w:rFonts w:ascii="Century Schoolbook" w:hAnsi="Century Schoolbook"/>
        </w:rPr>
        <w:t>is</w:t>
      </w:r>
      <w:r>
        <w:rPr>
          <w:rFonts w:ascii="Century Schoolbook" w:hAnsi="Century Schoolbook"/>
        </w:rPr>
        <w:t xml:space="preserve"> necessarily established by </w:t>
      </w:r>
      <w:r>
        <w:rPr>
          <w:rFonts w:ascii="Century Schoolbook" w:hAnsi="Century Schoolbook"/>
        </w:rPr>
        <w:t xml:space="preserve">our affirmance of the </w:t>
      </w:r>
      <w:r>
        <w:rPr>
          <w:rFonts w:ascii="Century Schoolbook" w:hAnsi="Century Schoolbook"/>
        </w:rPr>
        <w:t>judgment in favor of Spread Your Wings.</w:t>
      </w:r>
      <w:r>
        <w:t xml:space="preserve"> </w:t>
      </w:r>
    </w:p>
  </w:footnote>
  <w:footnote w:id="5">
    <w:p w14:paraId="290E6505" w14:textId="77777777" w:rsidR="00BE6098" w:rsidRPr="00BE6098" w:rsidRDefault="00F5385E" w:rsidP="00BE6098">
      <w:pPr>
        <w:pStyle w:val="FootnoteText"/>
        <w:spacing w:line="240" w:lineRule="auto"/>
        <w:rPr>
          <w:rFonts w:ascii="Century Schoolbook" w:hAnsi="Century Schoolbook"/>
        </w:rPr>
      </w:pPr>
      <w:r>
        <w:tab/>
      </w:r>
      <w:r w:rsidRPr="00BE6098">
        <w:rPr>
          <w:rStyle w:val="FootnoteReference"/>
          <w:rFonts w:ascii="Century Schoolbook" w:hAnsi="Century Schoolbook"/>
        </w:rPr>
        <w:footnoteRef/>
      </w:r>
      <w:r w:rsidRPr="00BE6098">
        <w:rPr>
          <w:rFonts w:ascii="Century Schoolbook" w:hAnsi="Century Schoolbook"/>
        </w:rPr>
        <w:t xml:space="preserve"> Barton did not</w:t>
      </w:r>
      <w:r>
        <w:rPr>
          <w:rFonts w:ascii="Century Schoolbook" w:hAnsi="Century Schoolbook"/>
        </w:rPr>
        <w:t xml:space="preserve"> demur</w:t>
      </w:r>
      <w:r w:rsidRPr="00BE6098">
        <w:rPr>
          <w:rFonts w:ascii="Century Schoolbook" w:hAnsi="Century Schoolbook"/>
        </w:rPr>
        <w:t xml:space="preserve"> with respondents to the first amended complaint and Valero’s claim against him was not disposed of by the judgment on appeal. Barton is therefore not a party to th</w:t>
      </w:r>
      <w:r>
        <w:rPr>
          <w:rFonts w:ascii="Century Schoolbook" w:hAnsi="Century Schoolbook"/>
        </w:rPr>
        <w:t>is</w:t>
      </w:r>
      <w:r w:rsidRPr="00BE6098">
        <w:rPr>
          <w:rFonts w:ascii="Century Schoolbook" w:hAnsi="Century Schoolbook"/>
        </w:rPr>
        <w:t xml:space="preserve"> appeal</w:t>
      </w:r>
      <w:r>
        <w:rPr>
          <w:rFonts w:ascii="Century Schoolbook" w:hAnsi="Century Schoolbook"/>
        </w:rPr>
        <w:t>,</w:t>
      </w:r>
      <w:r w:rsidRPr="00BE6098">
        <w:rPr>
          <w:rFonts w:ascii="Century Schoolbook" w:hAnsi="Century Schoolbook"/>
        </w:rPr>
        <w:t xml:space="preserve"> and we do not here address Valero’s claim against him. </w:t>
      </w:r>
    </w:p>
  </w:footnote>
  <w:footnote w:id="6">
    <w:p w14:paraId="284643EA" w14:textId="77777777" w:rsidR="00E819B2" w:rsidRPr="00210CBE" w:rsidRDefault="00F5385E" w:rsidP="00E819B2">
      <w:pPr>
        <w:pStyle w:val="FootnoteText"/>
        <w:spacing w:line="240" w:lineRule="auto"/>
        <w:rPr>
          <w:rFonts w:ascii="Century Schoolbook" w:hAnsi="Century Schoolbook"/>
        </w:rPr>
      </w:pPr>
      <w:r>
        <w:tab/>
      </w:r>
      <w:r w:rsidRPr="00210CBE">
        <w:rPr>
          <w:rStyle w:val="FootnoteReference"/>
          <w:rFonts w:ascii="Century Schoolbook" w:hAnsi="Century Schoolbook"/>
        </w:rPr>
        <w:footnoteRef/>
      </w:r>
      <w:r w:rsidRPr="00210CBE">
        <w:rPr>
          <w:rFonts w:ascii="Century Schoolbook" w:hAnsi="Century Schoolbook"/>
        </w:rPr>
        <w:t xml:space="preserve"> Valero does not claim </w:t>
      </w:r>
      <w:r w:rsidRPr="00210CBE">
        <w:rPr>
          <w:rFonts w:ascii="Century Schoolbook" w:hAnsi="Century Schoolbook"/>
        </w:rPr>
        <w:t xml:space="preserve">on appeal that the trial court abused its discretion by not allowing her leave to amend. And she offers no ways in which the pleading could be further amended to </w:t>
      </w:r>
      <w:r>
        <w:rPr>
          <w:rFonts w:ascii="Century Schoolbook" w:hAnsi="Century Schoolbook"/>
        </w:rPr>
        <w:t>become</w:t>
      </w:r>
      <w:r w:rsidRPr="00210CBE">
        <w:rPr>
          <w:rFonts w:ascii="Century Schoolbook" w:hAnsi="Century Schoolbook"/>
        </w:rPr>
        <w:t xml:space="preserve"> viab</w:t>
      </w:r>
      <w:r>
        <w:rPr>
          <w:rFonts w:ascii="Century Schoolbook" w:hAnsi="Century Schoolbook"/>
        </w:rPr>
        <w:t>le</w:t>
      </w:r>
      <w:r w:rsidRPr="00210CBE">
        <w:rPr>
          <w:rFonts w:ascii="Century Schoolbook" w:hAnsi="Century Schoolbook"/>
        </w:rPr>
        <w:t xml:space="preserve">. We therefore do not address the trial court’s having sustained respondents’ demurrer without, as opposed to with, leave to amend. </w:t>
      </w:r>
    </w:p>
  </w:footnote>
  <w:footnote w:id="7">
    <w:p w14:paraId="2AA82C58" w14:textId="77777777" w:rsidR="00B82C74" w:rsidRPr="00B82C74" w:rsidRDefault="00F5385E" w:rsidP="00B82C74">
      <w:pPr>
        <w:pStyle w:val="FootnoteText"/>
        <w:spacing w:line="240" w:lineRule="auto"/>
        <w:rPr>
          <w:rFonts w:ascii="Century Schoolbook" w:hAnsi="Century Schoolbook"/>
        </w:rPr>
      </w:pPr>
      <w:r>
        <w:tab/>
      </w:r>
      <w:r w:rsidRPr="00B82C74">
        <w:rPr>
          <w:rStyle w:val="FootnoteReference"/>
          <w:rFonts w:ascii="Century Schoolbook" w:hAnsi="Century Schoolbook"/>
        </w:rPr>
        <w:footnoteRef/>
      </w:r>
      <w:r w:rsidRPr="00B82C74">
        <w:rPr>
          <w:rFonts w:ascii="Century Schoolbook" w:hAnsi="Century Schoolbook"/>
        </w:rPr>
        <w:t xml:space="preserve"> There is no dispute in this case that Dellard and Spread Your Wings qualify as mandated reporters</w:t>
      </w:r>
      <w:r>
        <w:rPr>
          <w:rFonts w:ascii="Century Schoolbook" w:hAnsi="Century Schoolbook"/>
        </w:rPr>
        <w:t xml:space="preserve"> under section 156</w:t>
      </w:r>
      <w:r>
        <w:rPr>
          <w:rFonts w:ascii="Century Schoolbook" w:hAnsi="Century Schoolbook"/>
        </w:rPr>
        <w:t>30</w:t>
      </w:r>
      <w:r>
        <w:rPr>
          <w:rFonts w:ascii="Century Schoolbook" w:hAnsi="Century Schoolbook"/>
        </w:rPr>
        <w:t>, s</w:t>
      </w:r>
      <w:r>
        <w:rPr>
          <w:rFonts w:ascii="Century Schoolbook" w:hAnsi="Century Schoolbook"/>
        </w:rPr>
        <w:t>ubdivision (</w:t>
      </w:r>
      <w:r w:rsidRPr="006A1C10">
        <w:rPr>
          <w:rFonts w:ascii="Century Schoolbook" w:hAnsi="Century Schoolbook"/>
        </w:rPr>
        <w:t>a)</w:t>
      </w:r>
      <w:r>
        <w:rPr>
          <w:rFonts w:ascii="Century Schoolbook" w:hAnsi="Century Schoolbook"/>
        </w:rPr>
        <w:t xml:space="preserve"> as they </w:t>
      </w:r>
      <w:r>
        <w:rPr>
          <w:rFonts w:ascii="Century Schoolbook" w:hAnsi="Century Schoolbook"/>
        </w:rPr>
        <w:t xml:space="preserve">each </w:t>
      </w:r>
      <w:r>
        <w:rPr>
          <w:rFonts w:ascii="Century Schoolbook" w:hAnsi="Century Schoolbook"/>
        </w:rPr>
        <w:t xml:space="preserve">meet the </w:t>
      </w:r>
      <w:r>
        <w:rPr>
          <w:rFonts w:ascii="Century Schoolbook" w:hAnsi="Century Schoolbook"/>
        </w:rPr>
        <w:t xml:space="preserve">broad </w:t>
      </w:r>
      <w:r>
        <w:rPr>
          <w:rFonts w:ascii="Century Schoolbook" w:hAnsi="Century Schoolbook"/>
        </w:rPr>
        <w:t>definition of a “care cus</w:t>
      </w:r>
      <w:r>
        <w:rPr>
          <w:rFonts w:ascii="Century Schoolbook" w:hAnsi="Century Schoolbook"/>
        </w:rPr>
        <w:t>todian” under section 15610.</w:t>
      </w:r>
      <w:r w:rsidRPr="006A1C10">
        <w:rPr>
          <w:rFonts w:ascii="Century Schoolbook" w:hAnsi="Century Schoolbook"/>
        </w:rPr>
        <w:t>17</w:t>
      </w:r>
      <w:r w:rsidRPr="006A1C10">
        <w:rPr>
          <w:rFonts w:ascii="Century Schoolbook" w:hAnsi="Century Schoolbook"/>
        </w:rPr>
        <w:t>.</w:t>
      </w:r>
      <w:r w:rsidRPr="00B82C74">
        <w:rPr>
          <w:rFonts w:ascii="Century Schoolbook" w:hAnsi="Century Schoolbook"/>
        </w:rPr>
        <w:t xml:space="preserve"> </w:t>
      </w:r>
    </w:p>
  </w:footnote>
  <w:footnote w:id="8">
    <w:p w14:paraId="10B9F8A0" w14:textId="77777777" w:rsidR="00660BE9" w:rsidRPr="00660BE9" w:rsidRDefault="00F5385E" w:rsidP="00C316AD">
      <w:pPr>
        <w:pStyle w:val="FootnoteText"/>
        <w:spacing w:line="240" w:lineRule="auto"/>
        <w:rPr>
          <w:rFonts w:ascii="Century Schoolbook" w:hAnsi="Century Schoolbook"/>
        </w:rPr>
      </w:pPr>
      <w:r>
        <w:tab/>
      </w:r>
      <w:r w:rsidRPr="00660BE9">
        <w:rPr>
          <w:rStyle w:val="FootnoteReference"/>
          <w:rFonts w:ascii="Century Schoolbook" w:hAnsi="Century Schoolbook"/>
        </w:rPr>
        <w:footnoteRef/>
      </w:r>
      <w:r w:rsidRPr="00660BE9">
        <w:rPr>
          <w:rFonts w:ascii="Century Schoolbook" w:hAnsi="Century Schoolbook"/>
        </w:rPr>
        <w:t xml:space="preserve"> The </w:t>
      </w:r>
      <w:r w:rsidRPr="00366570">
        <w:rPr>
          <w:rFonts w:ascii="Century Schoolbook" w:hAnsi="Century Schoolbook"/>
          <w:i/>
          <w:iCs/>
        </w:rPr>
        <w:t>Santos</w:t>
      </w:r>
      <w:r w:rsidRPr="00660BE9">
        <w:rPr>
          <w:rFonts w:ascii="Century Schoolbook" w:hAnsi="Century Schoolbook"/>
        </w:rPr>
        <w:t xml:space="preserve"> case was on appeal after a jury trial</w:t>
      </w:r>
      <w:r>
        <w:rPr>
          <w:rFonts w:ascii="Century Schoolbook" w:hAnsi="Century Schoolbook"/>
        </w:rPr>
        <w:t>, not, as here, after a facial attack on the pleadings</w:t>
      </w:r>
      <w:r w:rsidRPr="00660BE9">
        <w:rPr>
          <w:rFonts w:ascii="Century Schoolbook" w:hAnsi="Century Schoolbook"/>
        </w:rPr>
        <w:t xml:space="preserve">.   </w:t>
      </w:r>
    </w:p>
  </w:footnote>
  <w:footnote w:id="9">
    <w:p w14:paraId="4983BEA2" w14:textId="77777777" w:rsidR="005147E6" w:rsidRPr="007D3225" w:rsidRDefault="00F5385E" w:rsidP="007D3225">
      <w:pPr>
        <w:pStyle w:val="FootnoteText"/>
        <w:spacing w:line="240" w:lineRule="auto"/>
        <w:rPr>
          <w:rFonts w:ascii="Century Schoolbook" w:hAnsi="Century Schoolbook"/>
        </w:rPr>
      </w:pPr>
      <w:r>
        <w:tab/>
      </w:r>
      <w:r w:rsidRPr="007D3225">
        <w:rPr>
          <w:rStyle w:val="FootnoteReference"/>
          <w:rFonts w:ascii="Century Schoolbook" w:hAnsi="Century Schoolbook"/>
        </w:rPr>
        <w:footnoteRef/>
      </w:r>
      <w:r w:rsidRPr="007D3225">
        <w:rPr>
          <w:rFonts w:ascii="Century Schoolbook" w:hAnsi="Century Schoolbook"/>
        </w:rPr>
        <w:t xml:space="preserve"> Valero concedes that section 15634(a) prov</w:t>
      </w:r>
      <w:r w:rsidRPr="007D3225">
        <w:rPr>
          <w:rFonts w:ascii="Century Schoolbook" w:hAnsi="Century Schoolbook"/>
        </w:rPr>
        <w:t xml:space="preserve">ides absolute and broad immunity to mandated reporters, including for reports that </w:t>
      </w:r>
      <w:r>
        <w:rPr>
          <w:rFonts w:ascii="Century Schoolbook" w:hAnsi="Century Schoolbook"/>
        </w:rPr>
        <w:t>turn out</w:t>
      </w:r>
      <w:r w:rsidRPr="007D3225">
        <w:rPr>
          <w:rFonts w:ascii="Century Schoolbook" w:hAnsi="Century Schoolbook"/>
        </w:rPr>
        <w:t xml:space="preserve"> to be </w:t>
      </w:r>
      <w:r w:rsidRPr="007D3225">
        <w:rPr>
          <w:rFonts w:ascii="Century Schoolbook" w:hAnsi="Century Schoolbook"/>
        </w:rPr>
        <w:t>untrue</w:t>
      </w:r>
      <w:r w:rsidRPr="007D3225">
        <w:rPr>
          <w:rFonts w:ascii="Century Schoolbook" w:hAnsi="Century Schoolbook"/>
        </w:rPr>
        <w:t xml:space="preserve">. But she separates such reports from those that are </w:t>
      </w:r>
      <w:r>
        <w:rPr>
          <w:rFonts w:ascii="Century Schoolbook" w:hAnsi="Century Schoolbook"/>
        </w:rPr>
        <w:t xml:space="preserve">knowingly </w:t>
      </w:r>
      <w:r w:rsidRPr="007D3225">
        <w:rPr>
          <w:rFonts w:ascii="Century Schoolbook" w:hAnsi="Century Schoolbook"/>
        </w:rPr>
        <w:t xml:space="preserve">fabricated </w:t>
      </w:r>
      <w:r>
        <w:rPr>
          <w:rFonts w:ascii="Century Schoolbook" w:hAnsi="Century Schoolbook"/>
        </w:rPr>
        <w:t xml:space="preserve">or “concocted” </w:t>
      </w:r>
      <w:r w:rsidRPr="007D3225">
        <w:rPr>
          <w:rFonts w:ascii="Century Schoolbook" w:hAnsi="Century Schoolbook"/>
        </w:rPr>
        <w:t xml:space="preserve">at the outset </w:t>
      </w:r>
      <w:r w:rsidRPr="007D3225">
        <w:rPr>
          <w:rFonts w:ascii="Century Schoolbook" w:hAnsi="Century Schoolbook"/>
        </w:rPr>
        <w:t>by the reporter</w:t>
      </w:r>
      <w:r>
        <w:rPr>
          <w:rFonts w:ascii="Century Schoolbook" w:hAnsi="Century Schoolbook"/>
        </w:rPr>
        <w:t xml:space="preserve">, attempting to avoid </w:t>
      </w:r>
      <w:r>
        <w:rPr>
          <w:rFonts w:ascii="Century Schoolbook" w:hAnsi="Century Schoolbook"/>
        </w:rPr>
        <w:t>immunity only for the latter</w:t>
      </w:r>
      <w:r w:rsidRPr="007D3225">
        <w:rPr>
          <w:rFonts w:ascii="Century Schoolbook" w:hAnsi="Century Schoolbook"/>
        </w:rPr>
        <w:t>.</w:t>
      </w:r>
      <w:r w:rsidRPr="007D3225">
        <w:rPr>
          <w:rFonts w:ascii="Century Schoolbook" w:hAnsi="Century Schoolbook"/>
        </w:rPr>
        <w:t xml:space="preserve">  </w:t>
      </w:r>
    </w:p>
  </w:footnote>
  <w:footnote w:id="10">
    <w:p w14:paraId="01F34C63" w14:textId="77777777" w:rsidR="00580041" w:rsidRPr="00392AA5" w:rsidRDefault="00580041" w:rsidP="00580041">
      <w:pPr>
        <w:pStyle w:val="FootnoteText"/>
        <w:spacing w:line="240" w:lineRule="auto"/>
        <w:rPr>
          <w:szCs w:val="26"/>
        </w:rPr>
      </w:pPr>
      <w:r w:rsidRPr="00392AA5">
        <w:rPr>
          <w:rStyle w:val="FootnoteReference"/>
          <w:rFonts w:ascii="Symbol" w:hAnsi="Symbol"/>
          <w:szCs w:val="26"/>
        </w:rPr>
        <w:sym w:font="Symbol" w:char="F02A"/>
      </w:r>
      <w:r w:rsidRPr="00392AA5">
        <w:rPr>
          <w:szCs w:val="26"/>
        </w:rPr>
        <w:t xml:space="preserve"> </w:t>
      </w:r>
      <w:r w:rsidRPr="00FA49C6">
        <w:rPr>
          <w:rFonts w:ascii="Century Schoolbook" w:hAnsi="Century Schoolbook"/>
          <w:szCs w:val="26"/>
        </w:rPr>
        <w:t>Judge of the Santa Clara County Superior Court, assigned by the Chief Justice pursuant to article VI, section 6 of the California Constitution</w:t>
      </w:r>
      <w:r w:rsidRPr="00392AA5">
        <w:rPr>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65BE" w14:textId="77777777" w:rsidR="00911CAE" w:rsidRDefault="00F53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2810" w14:textId="77777777" w:rsidR="00911CAE" w:rsidRDefault="00F538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9CBE" w14:textId="77777777" w:rsidR="00911CAE" w:rsidRDefault="00F538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626F0" w14:textId="77777777" w:rsidR="00580041" w:rsidRDefault="005800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BC7E" w14:textId="77777777" w:rsidR="00580041" w:rsidRDefault="0058004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CC05" w14:textId="77777777" w:rsidR="00580041" w:rsidRDefault="00580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BFA"/>
    <w:multiLevelType w:val="hybridMultilevel"/>
    <w:tmpl w:val="2B7ECD86"/>
    <w:lvl w:ilvl="0" w:tplc="E8B4C296">
      <w:start w:val="1"/>
      <w:numFmt w:val="decimal"/>
      <w:lvlText w:val="%1."/>
      <w:lvlJc w:val="left"/>
      <w:pPr>
        <w:ind w:left="1800" w:hanging="360"/>
      </w:pPr>
      <w:rPr>
        <w:rFonts w:hint="default"/>
      </w:rPr>
    </w:lvl>
    <w:lvl w:ilvl="1" w:tplc="96CA2C4A" w:tentative="1">
      <w:start w:val="1"/>
      <w:numFmt w:val="lowerLetter"/>
      <w:lvlText w:val="%2."/>
      <w:lvlJc w:val="left"/>
      <w:pPr>
        <w:ind w:left="2520" w:hanging="360"/>
      </w:pPr>
    </w:lvl>
    <w:lvl w:ilvl="2" w:tplc="68805D08" w:tentative="1">
      <w:start w:val="1"/>
      <w:numFmt w:val="lowerRoman"/>
      <w:lvlText w:val="%3."/>
      <w:lvlJc w:val="right"/>
      <w:pPr>
        <w:ind w:left="3240" w:hanging="180"/>
      </w:pPr>
    </w:lvl>
    <w:lvl w:ilvl="3" w:tplc="73D8C034" w:tentative="1">
      <w:start w:val="1"/>
      <w:numFmt w:val="decimal"/>
      <w:lvlText w:val="%4."/>
      <w:lvlJc w:val="left"/>
      <w:pPr>
        <w:ind w:left="3960" w:hanging="360"/>
      </w:pPr>
    </w:lvl>
    <w:lvl w:ilvl="4" w:tplc="182EF7B2" w:tentative="1">
      <w:start w:val="1"/>
      <w:numFmt w:val="lowerLetter"/>
      <w:lvlText w:val="%5."/>
      <w:lvlJc w:val="left"/>
      <w:pPr>
        <w:ind w:left="4680" w:hanging="360"/>
      </w:pPr>
    </w:lvl>
    <w:lvl w:ilvl="5" w:tplc="F7EEFE2E" w:tentative="1">
      <w:start w:val="1"/>
      <w:numFmt w:val="lowerRoman"/>
      <w:lvlText w:val="%6."/>
      <w:lvlJc w:val="right"/>
      <w:pPr>
        <w:ind w:left="5400" w:hanging="180"/>
      </w:pPr>
    </w:lvl>
    <w:lvl w:ilvl="6" w:tplc="F51272E4" w:tentative="1">
      <w:start w:val="1"/>
      <w:numFmt w:val="decimal"/>
      <w:lvlText w:val="%7."/>
      <w:lvlJc w:val="left"/>
      <w:pPr>
        <w:ind w:left="6120" w:hanging="360"/>
      </w:pPr>
    </w:lvl>
    <w:lvl w:ilvl="7" w:tplc="F614E844" w:tentative="1">
      <w:start w:val="1"/>
      <w:numFmt w:val="lowerLetter"/>
      <w:lvlText w:val="%8."/>
      <w:lvlJc w:val="left"/>
      <w:pPr>
        <w:ind w:left="6840" w:hanging="360"/>
      </w:pPr>
    </w:lvl>
    <w:lvl w:ilvl="8" w:tplc="11100CEA" w:tentative="1">
      <w:start w:val="1"/>
      <w:numFmt w:val="lowerRoman"/>
      <w:lvlText w:val="%9."/>
      <w:lvlJc w:val="right"/>
      <w:pPr>
        <w:ind w:left="7560" w:hanging="180"/>
      </w:pPr>
    </w:lvl>
  </w:abstractNum>
  <w:abstractNum w:abstractNumId="1" w15:restartNumberingAfterBreak="0">
    <w:nsid w:val="09111503"/>
    <w:multiLevelType w:val="hybridMultilevel"/>
    <w:tmpl w:val="C73CDD10"/>
    <w:lvl w:ilvl="0" w:tplc="44387CD2">
      <w:start w:val="1"/>
      <w:numFmt w:val="upperLetter"/>
      <w:lvlText w:val="%1."/>
      <w:lvlJc w:val="left"/>
      <w:pPr>
        <w:ind w:left="1080" w:hanging="360"/>
      </w:pPr>
      <w:rPr>
        <w:rFonts w:hint="default"/>
        <w:b/>
        <w:bCs/>
      </w:rPr>
    </w:lvl>
    <w:lvl w:ilvl="1" w:tplc="1778C70E" w:tentative="1">
      <w:start w:val="1"/>
      <w:numFmt w:val="lowerLetter"/>
      <w:lvlText w:val="%2."/>
      <w:lvlJc w:val="left"/>
      <w:pPr>
        <w:ind w:left="1800" w:hanging="360"/>
      </w:pPr>
    </w:lvl>
    <w:lvl w:ilvl="2" w:tplc="F3B06FE6" w:tentative="1">
      <w:start w:val="1"/>
      <w:numFmt w:val="lowerRoman"/>
      <w:lvlText w:val="%3."/>
      <w:lvlJc w:val="right"/>
      <w:pPr>
        <w:ind w:left="2520" w:hanging="180"/>
      </w:pPr>
    </w:lvl>
    <w:lvl w:ilvl="3" w:tplc="6E7E64BE" w:tentative="1">
      <w:start w:val="1"/>
      <w:numFmt w:val="decimal"/>
      <w:lvlText w:val="%4."/>
      <w:lvlJc w:val="left"/>
      <w:pPr>
        <w:ind w:left="3240" w:hanging="360"/>
      </w:pPr>
    </w:lvl>
    <w:lvl w:ilvl="4" w:tplc="34447444" w:tentative="1">
      <w:start w:val="1"/>
      <w:numFmt w:val="lowerLetter"/>
      <w:lvlText w:val="%5."/>
      <w:lvlJc w:val="left"/>
      <w:pPr>
        <w:ind w:left="3960" w:hanging="360"/>
      </w:pPr>
    </w:lvl>
    <w:lvl w:ilvl="5" w:tplc="BE2A0BB8" w:tentative="1">
      <w:start w:val="1"/>
      <w:numFmt w:val="lowerRoman"/>
      <w:lvlText w:val="%6."/>
      <w:lvlJc w:val="right"/>
      <w:pPr>
        <w:ind w:left="4680" w:hanging="180"/>
      </w:pPr>
    </w:lvl>
    <w:lvl w:ilvl="6" w:tplc="D6AE6E64" w:tentative="1">
      <w:start w:val="1"/>
      <w:numFmt w:val="decimal"/>
      <w:lvlText w:val="%7."/>
      <w:lvlJc w:val="left"/>
      <w:pPr>
        <w:ind w:left="5400" w:hanging="360"/>
      </w:pPr>
    </w:lvl>
    <w:lvl w:ilvl="7" w:tplc="7A4634B8" w:tentative="1">
      <w:start w:val="1"/>
      <w:numFmt w:val="lowerLetter"/>
      <w:lvlText w:val="%8."/>
      <w:lvlJc w:val="left"/>
      <w:pPr>
        <w:ind w:left="6120" w:hanging="360"/>
      </w:pPr>
    </w:lvl>
    <w:lvl w:ilvl="8" w:tplc="D52A6E14" w:tentative="1">
      <w:start w:val="1"/>
      <w:numFmt w:val="lowerRoman"/>
      <w:lvlText w:val="%9."/>
      <w:lvlJc w:val="right"/>
      <w:pPr>
        <w:ind w:left="6840" w:hanging="180"/>
      </w:pPr>
    </w:lvl>
  </w:abstractNum>
  <w:abstractNum w:abstractNumId="2" w15:restartNumberingAfterBreak="0">
    <w:nsid w:val="11872336"/>
    <w:multiLevelType w:val="hybridMultilevel"/>
    <w:tmpl w:val="423414A4"/>
    <w:lvl w:ilvl="0" w:tplc="1F461DC6">
      <w:start w:val="1"/>
      <w:numFmt w:val="decimal"/>
      <w:lvlText w:val="%1."/>
      <w:lvlJc w:val="left"/>
      <w:pPr>
        <w:ind w:left="1800" w:hanging="360"/>
      </w:pPr>
      <w:rPr>
        <w:rFonts w:hint="default"/>
      </w:rPr>
    </w:lvl>
    <w:lvl w:ilvl="1" w:tplc="BD201B3C" w:tentative="1">
      <w:start w:val="1"/>
      <w:numFmt w:val="lowerLetter"/>
      <w:lvlText w:val="%2."/>
      <w:lvlJc w:val="left"/>
      <w:pPr>
        <w:ind w:left="2520" w:hanging="360"/>
      </w:pPr>
    </w:lvl>
    <w:lvl w:ilvl="2" w:tplc="420C1050" w:tentative="1">
      <w:start w:val="1"/>
      <w:numFmt w:val="lowerRoman"/>
      <w:lvlText w:val="%3."/>
      <w:lvlJc w:val="right"/>
      <w:pPr>
        <w:ind w:left="3240" w:hanging="180"/>
      </w:pPr>
    </w:lvl>
    <w:lvl w:ilvl="3" w:tplc="1236F608" w:tentative="1">
      <w:start w:val="1"/>
      <w:numFmt w:val="decimal"/>
      <w:lvlText w:val="%4."/>
      <w:lvlJc w:val="left"/>
      <w:pPr>
        <w:ind w:left="3960" w:hanging="360"/>
      </w:pPr>
    </w:lvl>
    <w:lvl w:ilvl="4" w:tplc="46A8F7D4" w:tentative="1">
      <w:start w:val="1"/>
      <w:numFmt w:val="lowerLetter"/>
      <w:lvlText w:val="%5."/>
      <w:lvlJc w:val="left"/>
      <w:pPr>
        <w:ind w:left="4680" w:hanging="360"/>
      </w:pPr>
    </w:lvl>
    <w:lvl w:ilvl="5" w:tplc="25C092F6" w:tentative="1">
      <w:start w:val="1"/>
      <w:numFmt w:val="lowerRoman"/>
      <w:lvlText w:val="%6."/>
      <w:lvlJc w:val="right"/>
      <w:pPr>
        <w:ind w:left="5400" w:hanging="180"/>
      </w:pPr>
    </w:lvl>
    <w:lvl w:ilvl="6" w:tplc="613EF206" w:tentative="1">
      <w:start w:val="1"/>
      <w:numFmt w:val="decimal"/>
      <w:lvlText w:val="%7."/>
      <w:lvlJc w:val="left"/>
      <w:pPr>
        <w:ind w:left="6120" w:hanging="360"/>
      </w:pPr>
    </w:lvl>
    <w:lvl w:ilvl="7" w:tplc="56CEB6BA" w:tentative="1">
      <w:start w:val="1"/>
      <w:numFmt w:val="lowerLetter"/>
      <w:lvlText w:val="%8."/>
      <w:lvlJc w:val="left"/>
      <w:pPr>
        <w:ind w:left="6840" w:hanging="360"/>
      </w:pPr>
    </w:lvl>
    <w:lvl w:ilvl="8" w:tplc="796CC628" w:tentative="1">
      <w:start w:val="1"/>
      <w:numFmt w:val="lowerRoman"/>
      <w:lvlText w:val="%9."/>
      <w:lvlJc w:val="right"/>
      <w:pPr>
        <w:ind w:left="7560" w:hanging="180"/>
      </w:pPr>
    </w:lvl>
  </w:abstractNum>
  <w:abstractNum w:abstractNumId="3" w15:restartNumberingAfterBreak="0">
    <w:nsid w:val="1A170E3B"/>
    <w:multiLevelType w:val="hybridMultilevel"/>
    <w:tmpl w:val="AA889E46"/>
    <w:lvl w:ilvl="0" w:tplc="F6049678">
      <w:start w:val="1"/>
      <w:numFmt w:val="decimal"/>
      <w:lvlText w:val="%1."/>
      <w:lvlJc w:val="left"/>
      <w:pPr>
        <w:ind w:left="1800" w:hanging="360"/>
      </w:pPr>
      <w:rPr>
        <w:rFonts w:hint="default"/>
      </w:rPr>
    </w:lvl>
    <w:lvl w:ilvl="1" w:tplc="0D76D694" w:tentative="1">
      <w:start w:val="1"/>
      <w:numFmt w:val="lowerLetter"/>
      <w:lvlText w:val="%2."/>
      <w:lvlJc w:val="left"/>
      <w:pPr>
        <w:ind w:left="2520" w:hanging="360"/>
      </w:pPr>
    </w:lvl>
    <w:lvl w:ilvl="2" w:tplc="909C1B4A" w:tentative="1">
      <w:start w:val="1"/>
      <w:numFmt w:val="lowerRoman"/>
      <w:lvlText w:val="%3."/>
      <w:lvlJc w:val="right"/>
      <w:pPr>
        <w:ind w:left="3240" w:hanging="180"/>
      </w:pPr>
    </w:lvl>
    <w:lvl w:ilvl="3" w:tplc="518A9F4A" w:tentative="1">
      <w:start w:val="1"/>
      <w:numFmt w:val="decimal"/>
      <w:lvlText w:val="%4."/>
      <w:lvlJc w:val="left"/>
      <w:pPr>
        <w:ind w:left="3960" w:hanging="360"/>
      </w:pPr>
    </w:lvl>
    <w:lvl w:ilvl="4" w:tplc="85AA5120" w:tentative="1">
      <w:start w:val="1"/>
      <w:numFmt w:val="lowerLetter"/>
      <w:lvlText w:val="%5."/>
      <w:lvlJc w:val="left"/>
      <w:pPr>
        <w:ind w:left="4680" w:hanging="360"/>
      </w:pPr>
    </w:lvl>
    <w:lvl w:ilvl="5" w:tplc="CFBE6C8E" w:tentative="1">
      <w:start w:val="1"/>
      <w:numFmt w:val="lowerRoman"/>
      <w:lvlText w:val="%6."/>
      <w:lvlJc w:val="right"/>
      <w:pPr>
        <w:ind w:left="5400" w:hanging="180"/>
      </w:pPr>
    </w:lvl>
    <w:lvl w:ilvl="6" w:tplc="03A4E39C" w:tentative="1">
      <w:start w:val="1"/>
      <w:numFmt w:val="decimal"/>
      <w:lvlText w:val="%7."/>
      <w:lvlJc w:val="left"/>
      <w:pPr>
        <w:ind w:left="6120" w:hanging="360"/>
      </w:pPr>
    </w:lvl>
    <w:lvl w:ilvl="7" w:tplc="52D63CE2" w:tentative="1">
      <w:start w:val="1"/>
      <w:numFmt w:val="lowerLetter"/>
      <w:lvlText w:val="%8."/>
      <w:lvlJc w:val="left"/>
      <w:pPr>
        <w:ind w:left="6840" w:hanging="360"/>
      </w:pPr>
    </w:lvl>
    <w:lvl w:ilvl="8" w:tplc="F81278E8" w:tentative="1">
      <w:start w:val="1"/>
      <w:numFmt w:val="lowerRoman"/>
      <w:lvlText w:val="%9."/>
      <w:lvlJc w:val="right"/>
      <w:pPr>
        <w:ind w:left="7560" w:hanging="180"/>
      </w:pPr>
    </w:lvl>
  </w:abstractNum>
  <w:abstractNum w:abstractNumId="4" w15:restartNumberingAfterBreak="0">
    <w:nsid w:val="27E71344"/>
    <w:multiLevelType w:val="hybridMultilevel"/>
    <w:tmpl w:val="A1DAA784"/>
    <w:lvl w:ilvl="0" w:tplc="7AA0DE10">
      <w:start w:val="1"/>
      <w:numFmt w:val="lowerLetter"/>
      <w:lvlText w:val="%1."/>
      <w:lvlJc w:val="left"/>
      <w:pPr>
        <w:ind w:left="2520" w:hanging="360"/>
      </w:pPr>
      <w:rPr>
        <w:rFonts w:hint="default"/>
      </w:rPr>
    </w:lvl>
    <w:lvl w:ilvl="1" w:tplc="B5C02120" w:tentative="1">
      <w:start w:val="1"/>
      <w:numFmt w:val="lowerLetter"/>
      <w:lvlText w:val="%2."/>
      <w:lvlJc w:val="left"/>
      <w:pPr>
        <w:ind w:left="3240" w:hanging="360"/>
      </w:pPr>
    </w:lvl>
    <w:lvl w:ilvl="2" w:tplc="26FE3F1E" w:tentative="1">
      <w:start w:val="1"/>
      <w:numFmt w:val="lowerRoman"/>
      <w:lvlText w:val="%3."/>
      <w:lvlJc w:val="right"/>
      <w:pPr>
        <w:ind w:left="3960" w:hanging="180"/>
      </w:pPr>
    </w:lvl>
    <w:lvl w:ilvl="3" w:tplc="BE14B506" w:tentative="1">
      <w:start w:val="1"/>
      <w:numFmt w:val="decimal"/>
      <w:lvlText w:val="%4."/>
      <w:lvlJc w:val="left"/>
      <w:pPr>
        <w:ind w:left="4680" w:hanging="360"/>
      </w:pPr>
    </w:lvl>
    <w:lvl w:ilvl="4" w:tplc="16D08F30" w:tentative="1">
      <w:start w:val="1"/>
      <w:numFmt w:val="lowerLetter"/>
      <w:lvlText w:val="%5."/>
      <w:lvlJc w:val="left"/>
      <w:pPr>
        <w:ind w:left="5400" w:hanging="360"/>
      </w:pPr>
    </w:lvl>
    <w:lvl w:ilvl="5" w:tplc="C8F27A36" w:tentative="1">
      <w:start w:val="1"/>
      <w:numFmt w:val="lowerRoman"/>
      <w:lvlText w:val="%6."/>
      <w:lvlJc w:val="right"/>
      <w:pPr>
        <w:ind w:left="6120" w:hanging="180"/>
      </w:pPr>
    </w:lvl>
    <w:lvl w:ilvl="6" w:tplc="D854BDB0" w:tentative="1">
      <w:start w:val="1"/>
      <w:numFmt w:val="decimal"/>
      <w:lvlText w:val="%7."/>
      <w:lvlJc w:val="left"/>
      <w:pPr>
        <w:ind w:left="6840" w:hanging="360"/>
      </w:pPr>
    </w:lvl>
    <w:lvl w:ilvl="7" w:tplc="8816348A" w:tentative="1">
      <w:start w:val="1"/>
      <w:numFmt w:val="lowerLetter"/>
      <w:lvlText w:val="%8."/>
      <w:lvlJc w:val="left"/>
      <w:pPr>
        <w:ind w:left="7560" w:hanging="360"/>
      </w:pPr>
    </w:lvl>
    <w:lvl w:ilvl="8" w:tplc="1F1253EA" w:tentative="1">
      <w:start w:val="1"/>
      <w:numFmt w:val="lowerRoman"/>
      <w:lvlText w:val="%9."/>
      <w:lvlJc w:val="right"/>
      <w:pPr>
        <w:ind w:left="8280" w:hanging="180"/>
      </w:pPr>
    </w:lvl>
  </w:abstractNum>
  <w:abstractNum w:abstractNumId="5" w15:restartNumberingAfterBreak="0">
    <w:nsid w:val="35636106"/>
    <w:multiLevelType w:val="hybridMultilevel"/>
    <w:tmpl w:val="235E5682"/>
    <w:lvl w:ilvl="0" w:tplc="BBE86C64">
      <w:start w:val="1"/>
      <w:numFmt w:val="upperLetter"/>
      <w:lvlText w:val="%1."/>
      <w:lvlJc w:val="left"/>
      <w:pPr>
        <w:ind w:left="1080" w:hanging="360"/>
      </w:pPr>
      <w:rPr>
        <w:rFonts w:hint="default"/>
        <w:b/>
      </w:rPr>
    </w:lvl>
    <w:lvl w:ilvl="1" w:tplc="C22CA904" w:tentative="1">
      <w:start w:val="1"/>
      <w:numFmt w:val="lowerLetter"/>
      <w:lvlText w:val="%2."/>
      <w:lvlJc w:val="left"/>
      <w:pPr>
        <w:ind w:left="1800" w:hanging="360"/>
      </w:pPr>
    </w:lvl>
    <w:lvl w:ilvl="2" w:tplc="76CC022C" w:tentative="1">
      <w:start w:val="1"/>
      <w:numFmt w:val="lowerRoman"/>
      <w:lvlText w:val="%3."/>
      <w:lvlJc w:val="right"/>
      <w:pPr>
        <w:ind w:left="2520" w:hanging="180"/>
      </w:pPr>
    </w:lvl>
    <w:lvl w:ilvl="3" w:tplc="D1542E8E" w:tentative="1">
      <w:start w:val="1"/>
      <w:numFmt w:val="decimal"/>
      <w:lvlText w:val="%4."/>
      <w:lvlJc w:val="left"/>
      <w:pPr>
        <w:ind w:left="3240" w:hanging="360"/>
      </w:pPr>
    </w:lvl>
    <w:lvl w:ilvl="4" w:tplc="65A4BACE" w:tentative="1">
      <w:start w:val="1"/>
      <w:numFmt w:val="lowerLetter"/>
      <w:lvlText w:val="%5."/>
      <w:lvlJc w:val="left"/>
      <w:pPr>
        <w:ind w:left="3960" w:hanging="360"/>
      </w:pPr>
    </w:lvl>
    <w:lvl w:ilvl="5" w:tplc="25FEFD30" w:tentative="1">
      <w:start w:val="1"/>
      <w:numFmt w:val="lowerRoman"/>
      <w:lvlText w:val="%6."/>
      <w:lvlJc w:val="right"/>
      <w:pPr>
        <w:ind w:left="4680" w:hanging="180"/>
      </w:pPr>
    </w:lvl>
    <w:lvl w:ilvl="6" w:tplc="BE462E88" w:tentative="1">
      <w:start w:val="1"/>
      <w:numFmt w:val="decimal"/>
      <w:lvlText w:val="%7."/>
      <w:lvlJc w:val="left"/>
      <w:pPr>
        <w:ind w:left="5400" w:hanging="360"/>
      </w:pPr>
    </w:lvl>
    <w:lvl w:ilvl="7" w:tplc="7F70939C" w:tentative="1">
      <w:start w:val="1"/>
      <w:numFmt w:val="lowerLetter"/>
      <w:lvlText w:val="%8."/>
      <w:lvlJc w:val="left"/>
      <w:pPr>
        <w:ind w:left="6120" w:hanging="360"/>
      </w:pPr>
    </w:lvl>
    <w:lvl w:ilvl="8" w:tplc="64AC78A8" w:tentative="1">
      <w:start w:val="1"/>
      <w:numFmt w:val="lowerRoman"/>
      <w:lvlText w:val="%9."/>
      <w:lvlJc w:val="right"/>
      <w:pPr>
        <w:ind w:left="6840" w:hanging="180"/>
      </w:pPr>
    </w:lvl>
  </w:abstractNum>
  <w:abstractNum w:abstractNumId="6" w15:restartNumberingAfterBreak="0">
    <w:nsid w:val="3CE9094A"/>
    <w:multiLevelType w:val="hybridMultilevel"/>
    <w:tmpl w:val="AC3E6C92"/>
    <w:lvl w:ilvl="0" w:tplc="12302FFC">
      <w:start w:val="1"/>
      <w:numFmt w:val="decimal"/>
      <w:lvlText w:val="%1."/>
      <w:lvlJc w:val="left"/>
      <w:pPr>
        <w:ind w:left="1800" w:hanging="360"/>
      </w:pPr>
      <w:rPr>
        <w:rFonts w:hint="default"/>
      </w:rPr>
    </w:lvl>
    <w:lvl w:ilvl="1" w:tplc="1FEAB436" w:tentative="1">
      <w:start w:val="1"/>
      <w:numFmt w:val="lowerLetter"/>
      <w:lvlText w:val="%2."/>
      <w:lvlJc w:val="left"/>
      <w:pPr>
        <w:ind w:left="2520" w:hanging="360"/>
      </w:pPr>
    </w:lvl>
    <w:lvl w:ilvl="2" w:tplc="1090A15A" w:tentative="1">
      <w:start w:val="1"/>
      <w:numFmt w:val="lowerRoman"/>
      <w:lvlText w:val="%3."/>
      <w:lvlJc w:val="right"/>
      <w:pPr>
        <w:ind w:left="3240" w:hanging="180"/>
      </w:pPr>
    </w:lvl>
    <w:lvl w:ilvl="3" w:tplc="A2C2766A" w:tentative="1">
      <w:start w:val="1"/>
      <w:numFmt w:val="decimal"/>
      <w:lvlText w:val="%4."/>
      <w:lvlJc w:val="left"/>
      <w:pPr>
        <w:ind w:left="3960" w:hanging="360"/>
      </w:pPr>
    </w:lvl>
    <w:lvl w:ilvl="4" w:tplc="4986FD2E" w:tentative="1">
      <w:start w:val="1"/>
      <w:numFmt w:val="lowerLetter"/>
      <w:lvlText w:val="%5."/>
      <w:lvlJc w:val="left"/>
      <w:pPr>
        <w:ind w:left="4680" w:hanging="360"/>
      </w:pPr>
    </w:lvl>
    <w:lvl w:ilvl="5" w:tplc="8864F078" w:tentative="1">
      <w:start w:val="1"/>
      <w:numFmt w:val="lowerRoman"/>
      <w:lvlText w:val="%6."/>
      <w:lvlJc w:val="right"/>
      <w:pPr>
        <w:ind w:left="5400" w:hanging="180"/>
      </w:pPr>
    </w:lvl>
    <w:lvl w:ilvl="6" w:tplc="CDFE48B6" w:tentative="1">
      <w:start w:val="1"/>
      <w:numFmt w:val="decimal"/>
      <w:lvlText w:val="%7."/>
      <w:lvlJc w:val="left"/>
      <w:pPr>
        <w:ind w:left="6120" w:hanging="360"/>
      </w:pPr>
    </w:lvl>
    <w:lvl w:ilvl="7" w:tplc="C30C3180" w:tentative="1">
      <w:start w:val="1"/>
      <w:numFmt w:val="lowerLetter"/>
      <w:lvlText w:val="%8."/>
      <w:lvlJc w:val="left"/>
      <w:pPr>
        <w:ind w:left="6840" w:hanging="360"/>
      </w:pPr>
    </w:lvl>
    <w:lvl w:ilvl="8" w:tplc="7CC4E8B4" w:tentative="1">
      <w:start w:val="1"/>
      <w:numFmt w:val="lowerRoman"/>
      <w:lvlText w:val="%9."/>
      <w:lvlJc w:val="right"/>
      <w:pPr>
        <w:ind w:left="7560" w:hanging="180"/>
      </w:pPr>
    </w:lvl>
  </w:abstractNum>
  <w:abstractNum w:abstractNumId="7" w15:restartNumberingAfterBreak="0">
    <w:nsid w:val="4D5D3A1E"/>
    <w:multiLevelType w:val="hybridMultilevel"/>
    <w:tmpl w:val="67905D36"/>
    <w:lvl w:ilvl="0" w:tplc="B9E8858A">
      <w:start w:val="1"/>
      <w:numFmt w:val="decimal"/>
      <w:lvlText w:val="%1."/>
      <w:lvlJc w:val="left"/>
      <w:pPr>
        <w:ind w:left="1080" w:hanging="360"/>
      </w:pPr>
      <w:rPr>
        <w:rFonts w:hint="default"/>
      </w:rPr>
    </w:lvl>
    <w:lvl w:ilvl="1" w:tplc="635A0D74" w:tentative="1">
      <w:start w:val="1"/>
      <w:numFmt w:val="lowerLetter"/>
      <w:lvlText w:val="%2."/>
      <w:lvlJc w:val="left"/>
      <w:pPr>
        <w:ind w:left="1800" w:hanging="360"/>
      </w:pPr>
    </w:lvl>
    <w:lvl w:ilvl="2" w:tplc="736EB63C" w:tentative="1">
      <w:start w:val="1"/>
      <w:numFmt w:val="lowerRoman"/>
      <w:lvlText w:val="%3."/>
      <w:lvlJc w:val="right"/>
      <w:pPr>
        <w:ind w:left="2520" w:hanging="180"/>
      </w:pPr>
    </w:lvl>
    <w:lvl w:ilvl="3" w:tplc="D0F28D50" w:tentative="1">
      <w:start w:val="1"/>
      <w:numFmt w:val="decimal"/>
      <w:lvlText w:val="%4."/>
      <w:lvlJc w:val="left"/>
      <w:pPr>
        <w:ind w:left="3240" w:hanging="360"/>
      </w:pPr>
    </w:lvl>
    <w:lvl w:ilvl="4" w:tplc="9DE83684" w:tentative="1">
      <w:start w:val="1"/>
      <w:numFmt w:val="lowerLetter"/>
      <w:lvlText w:val="%5."/>
      <w:lvlJc w:val="left"/>
      <w:pPr>
        <w:ind w:left="3960" w:hanging="360"/>
      </w:pPr>
    </w:lvl>
    <w:lvl w:ilvl="5" w:tplc="E30A9656" w:tentative="1">
      <w:start w:val="1"/>
      <w:numFmt w:val="lowerRoman"/>
      <w:lvlText w:val="%6."/>
      <w:lvlJc w:val="right"/>
      <w:pPr>
        <w:ind w:left="4680" w:hanging="180"/>
      </w:pPr>
    </w:lvl>
    <w:lvl w:ilvl="6" w:tplc="08062E72" w:tentative="1">
      <w:start w:val="1"/>
      <w:numFmt w:val="decimal"/>
      <w:lvlText w:val="%7."/>
      <w:lvlJc w:val="left"/>
      <w:pPr>
        <w:ind w:left="5400" w:hanging="360"/>
      </w:pPr>
    </w:lvl>
    <w:lvl w:ilvl="7" w:tplc="4552CBA2" w:tentative="1">
      <w:start w:val="1"/>
      <w:numFmt w:val="lowerLetter"/>
      <w:lvlText w:val="%8."/>
      <w:lvlJc w:val="left"/>
      <w:pPr>
        <w:ind w:left="6120" w:hanging="360"/>
      </w:pPr>
    </w:lvl>
    <w:lvl w:ilvl="8" w:tplc="A5AAF552" w:tentative="1">
      <w:start w:val="1"/>
      <w:numFmt w:val="lowerRoman"/>
      <w:lvlText w:val="%9."/>
      <w:lvlJc w:val="right"/>
      <w:pPr>
        <w:ind w:left="6840" w:hanging="180"/>
      </w:pPr>
    </w:lvl>
  </w:abstractNum>
  <w:abstractNum w:abstractNumId="8" w15:restartNumberingAfterBreak="0">
    <w:nsid w:val="52025443"/>
    <w:multiLevelType w:val="hybridMultilevel"/>
    <w:tmpl w:val="28C4694C"/>
    <w:lvl w:ilvl="0" w:tplc="72A24BE6">
      <w:start w:val="1089"/>
      <w:numFmt w:val="bullet"/>
      <w:lvlText w:val=""/>
      <w:lvlJc w:val="left"/>
      <w:pPr>
        <w:ind w:left="720" w:hanging="360"/>
      </w:pPr>
      <w:rPr>
        <w:rFonts w:ascii="Symbol" w:eastAsiaTheme="minorHAnsi" w:hAnsi="Symbol" w:cs="Times New Roman" w:hint="default"/>
      </w:rPr>
    </w:lvl>
    <w:lvl w:ilvl="1" w:tplc="0D5CFED6" w:tentative="1">
      <w:start w:val="1"/>
      <w:numFmt w:val="bullet"/>
      <w:lvlText w:val="o"/>
      <w:lvlJc w:val="left"/>
      <w:pPr>
        <w:ind w:left="1440" w:hanging="360"/>
      </w:pPr>
      <w:rPr>
        <w:rFonts w:ascii="Courier New" w:hAnsi="Courier New" w:cs="Courier New" w:hint="default"/>
      </w:rPr>
    </w:lvl>
    <w:lvl w:ilvl="2" w:tplc="153886FA" w:tentative="1">
      <w:start w:val="1"/>
      <w:numFmt w:val="bullet"/>
      <w:lvlText w:val=""/>
      <w:lvlJc w:val="left"/>
      <w:pPr>
        <w:ind w:left="2160" w:hanging="360"/>
      </w:pPr>
      <w:rPr>
        <w:rFonts w:ascii="Wingdings" w:hAnsi="Wingdings" w:hint="default"/>
      </w:rPr>
    </w:lvl>
    <w:lvl w:ilvl="3" w:tplc="C3CC0550" w:tentative="1">
      <w:start w:val="1"/>
      <w:numFmt w:val="bullet"/>
      <w:lvlText w:val=""/>
      <w:lvlJc w:val="left"/>
      <w:pPr>
        <w:ind w:left="2880" w:hanging="360"/>
      </w:pPr>
      <w:rPr>
        <w:rFonts w:ascii="Symbol" w:hAnsi="Symbol" w:hint="default"/>
      </w:rPr>
    </w:lvl>
    <w:lvl w:ilvl="4" w:tplc="11F68EB0" w:tentative="1">
      <w:start w:val="1"/>
      <w:numFmt w:val="bullet"/>
      <w:lvlText w:val="o"/>
      <w:lvlJc w:val="left"/>
      <w:pPr>
        <w:ind w:left="3600" w:hanging="360"/>
      </w:pPr>
      <w:rPr>
        <w:rFonts w:ascii="Courier New" w:hAnsi="Courier New" w:cs="Courier New" w:hint="default"/>
      </w:rPr>
    </w:lvl>
    <w:lvl w:ilvl="5" w:tplc="82009E6C" w:tentative="1">
      <w:start w:val="1"/>
      <w:numFmt w:val="bullet"/>
      <w:lvlText w:val=""/>
      <w:lvlJc w:val="left"/>
      <w:pPr>
        <w:ind w:left="4320" w:hanging="360"/>
      </w:pPr>
      <w:rPr>
        <w:rFonts w:ascii="Wingdings" w:hAnsi="Wingdings" w:hint="default"/>
      </w:rPr>
    </w:lvl>
    <w:lvl w:ilvl="6" w:tplc="0B621454" w:tentative="1">
      <w:start w:val="1"/>
      <w:numFmt w:val="bullet"/>
      <w:lvlText w:val=""/>
      <w:lvlJc w:val="left"/>
      <w:pPr>
        <w:ind w:left="5040" w:hanging="360"/>
      </w:pPr>
      <w:rPr>
        <w:rFonts w:ascii="Symbol" w:hAnsi="Symbol" w:hint="default"/>
      </w:rPr>
    </w:lvl>
    <w:lvl w:ilvl="7" w:tplc="506E1920" w:tentative="1">
      <w:start w:val="1"/>
      <w:numFmt w:val="bullet"/>
      <w:lvlText w:val="o"/>
      <w:lvlJc w:val="left"/>
      <w:pPr>
        <w:ind w:left="5760" w:hanging="360"/>
      </w:pPr>
      <w:rPr>
        <w:rFonts w:ascii="Courier New" w:hAnsi="Courier New" w:cs="Courier New" w:hint="default"/>
      </w:rPr>
    </w:lvl>
    <w:lvl w:ilvl="8" w:tplc="3B22F162" w:tentative="1">
      <w:start w:val="1"/>
      <w:numFmt w:val="bullet"/>
      <w:lvlText w:val=""/>
      <w:lvlJc w:val="left"/>
      <w:pPr>
        <w:ind w:left="6480" w:hanging="360"/>
      </w:pPr>
      <w:rPr>
        <w:rFonts w:ascii="Wingdings" w:hAnsi="Wingdings" w:hint="default"/>
      </w:rPr>
    </w:lvl>
  </w:abstractNum>
  <w:abstractNum w:abstractNumId="9" w15:restartNumberingAfterBreak="0">
    <w:nsid w:val="576F7683"/>
    <w:multiLevelType w:val="hybridMultilevel"/>
    <w:tmpl w:val="794A7AF2"/>
    <w:lvl w:ilvl="0" w:tplc="2C3EA63C">
      <w:start w:val="1"/>
      <w:numFmt w:val="decimal"/>
      <w:lvlText w:val="%1."/>
      <w:lvlJc w:val="left"/>
      <w:pPr>
        <w:ind w:left="1800" w:hanging="360"/>
      </w:pPr>
      <w:rPr>
        <w:rFonts w:hint="default"/>
      </w:rPr>
    </w:lvl>
    <w:lvl w:ilvl="1" w:tplc="F8A474A2" w:tentative="1">
      <w:start w:val="1"/>
      <w:numFmt w:val="lowerLetter"/>
      <w:lvlText w:val="%2."/>
      <w:lvlJc w:val="left"/>
      <w:pPr>
        <w:ind w:left="2520" w:hanging="360"/>
      </w:pPr>
    </w:lvl>
    <w:lvl w:ilvl="2" w:tplc="D3248638" w:tentative="1">
      <w:start w:val="1"/>
      <w:numFmt w:val="lowerRoman"/>
      <w:lvlText w:val="%3."/>
      <w:lvlJc w:val="right"/>
      <w:pPr>
        <w:ind w:left="3240" w:hanging="180"/>
      </w:pPr>
    </w:lvl>
    <w:lvl w:ilvl="3" w:tplc="84ECBC52" w:tentative="1">
      <w:start w:val="1"/>
      <w:numFmt w:val="decimal"/>
      <w:lvlText w:val="%4."/>
      <w:lvlJc w:val="left"/>
      <w:pPr>
        <w:ind w:left="3960" w:hanging="360"/>
      </w:pPr>
    </w:lvl>
    <w:lvl w:ilvl="4" w:tplc="059CB0DE" w:tentative="1">
      <w:start w:val="1"/>
      <w:numFmt w:val="lowerLetter"/>
      <w:lvlText w:val="%5."/>
      <w:lvlJc w:val="left"/>
      <w:pPr>
        <w:ind w:left="4680" w:hanging="360"/>
      </w:pPr>
    </w:lvl>
    <w:lvl w:ilvl="5" w:tplc="CFA22756" w:tentative="1">
      <w:start w:val="1"/>
      <w:numFmt w:val="lowerRoman"/>
      <w:lvlText w:val="%6."/>
      <w:lvlJc w:val="right"/>
      <w:pPr>
        <w:ind w:left="5400" w:hanging="180"/>
      </w:pPr>
    </w:lvl>
    <w:lvl w:ilvl="6" w:tplc="9042B48A" w:tentative="1">
      <w:start w:val="1"/>
      <w:numFmt w:val="decimal"/>
      <w:lvlText w:val="%7."/>
      <w:lvlJc w:val="left"/>
      <w:pPr>
        <w:ind w:left="6120" w:hanging="360"/>
      </w:pPr>
    </w:lvl>
    <w:lvl w:ilvl="7" w:tplc="9A08AC6E" w:tentative="1">
      <w:start w:val="1"/>
      <w:numFmt w:val="lowerLetter"/>
      <w:lvlText w:val="%8."/>
      <w:lvlJc w:val="left"/>
      <w:pPr>
        <w:ind w:left="6840" w:hanging="360"/>
      </w:pPr>
    </w:lvl>
    <w:lvl w:ilvl="8" w:tplc="79A41242" w:tentative="1">
      <w:start w:val="1"/>
      <w:numFmt w:val="lowerRoman"/>
      <w:lvlText w:val="%9."/>
      <w:lvlJc w:val="right"/>
      <w:pPr>
        <w:ind w:left="7560" w:hanging="180"/>
      </w:pPr>
    </w:lvl>
  </w:abstractNum>
  <w:abstractNum w:abstractNumId="10" w15:restartNumberingAfterBreak="0">
    <w:nsid w:val="5C1E39D4"/>
    <w:multiLevelType w:val="hybridMultilevel"/>
    <w:tmpl w:val="CC9AAF4C"/>
    <w:lvl w:ilvl="0" w:tplc="54745AC8">
      <w:start w:val="1"/>
      <w:numFmt w:val="upperRoman"/>
      <w:lvlText w:val="%1."/>
      <w:lvlJc w:val="left"/>
      <w:pPr>
        <w:ind w:left="1440" w:hanging="720"/>
      </w:pPr>
      <w:rPr>
        <w:rFonts w:hint="default"/>
        <w:i w:val="0"/>
        <w:iCs w:val="0"/>
      </w:rPr>
    </w:lvl>
    <w:lvl w:ilvl="1" w:tplc="11C065B4" w:tentative="1">
      <w:start w:val="1"/>
      <w:numFmt w:val="lowerLetter"/>
      <w:lvlText w:val="%2."/>
      <w:lvlJc w:val="left"/>
      <w:pPr>
        <w:ind w:left="1800" w:hanging="360"/>
      </w:pPr>
    </w:lvl>
    <w:lvl w:ilvl="2" w:tplc="08F28C3A" w:tentative="1">
      <w:start w:val="1"/>
      <w:numFmt w:val="lowerRoman"/>
      <w:lvlText w:val="%3."/>
      <w:lvlJc w:val="right"/>
      <w:pPr>
        <w:ind w:left="2520" w:hanging="180"/>
      </w:pPr>
    </w:lvl>
    <w:lvl w:ilvl="3" w:tplc="1FF67126" w:tentative="1">
      <w:start w:val="1"/>
      <w:numFmt w:val="decimal"/>
      <w:lvlText w:val="%4."/>
      <w:lvlJc w:val="left"/>
      <w:pPr>
        <w:ind w:left="3240" w:hanging="360"/>
      </w:pPr>
    </w:lvl>
    <w:lvl w:ilvl="4" w:tplc="375C44DA" w:tentative="1">
      <w:start w:val="1"/>
      <w:numFmt w:val="lowerLetter"/>
      <w:lvlText w:val="%5."/>
      <w:lvlJc w:val="left"/>
      <w:pPr>
        <w:ind w:left="3960" w:hanging="360"/>
      </w:pPr>
    </w:lvl>
    <w:lvl w:ilvl="5" w:tplc="D864EC54" w:tentative="1">
      <w:start w:val="1"/>
      <w:numFmt w:val="lowerRoman"/>
      <w:lvlText w:val="%6."/>
      <w:lvlJc w:val="right"/>
      <w:pPr>
        <w:ind w:left="4680" w:hanging="180"/>
      </w:pPr>
    </w:lvl>
    <w:lvl w:ilvl="6" w:tplc="EB024212" w:tentative="1">
      <w:start w:val="1"/>
      <w:numFmt w:val="decimal"/>
      <w:lvlText w:val="%7."/>
      <w:lvlJc w:val="left"/>
      <w:pPr>
        <w:ind w:left="5400" w:hanging="360"/>
      </w:pPr>
    </w:lvl>
    <w:lvl w:ilvl="7" w:tplc="1D2EDE1C" w:tentative="1">
      <w:start w:val="1"/>
      <w:numFmt w:val="lowerLetter"/>
      <w:lvlText w:val="%8."/>
      <w:lvlJc w:val="left"/>
      <w:pPr>
        <w:ind w:left="6120" w:hanging="360"/>
      </w:pPr>
    </w:lvl>
    <w:lvl w:ilvl="8" w:tplc="54BC21E8" w:tentative="1">
      <w:start w:val="1"/>
      <w:numFmt w:val="lowerRoman"/>
      <w:lvlText w:val="%9."/>
      <w:lvlJc w:val="right"/>
      <w:pPr>
        <w:ind w:left="6840" w:hanging="180"/>
      </w:pPr>
    </w:lvl>
  </w:abstractNum>
  <w:abstractNum w:abstractNumId="11" w15:restartNumberingAfterBreak="0">
    <w:nsid w:val="60DC3237"/>
    <w:multiLevelType w:val="hybridMultilevel"/>
    <w:tmpl w:val="7BEA1CCE"/>
    <w:lvl w:ilvl="0" w:tplc="A00A2F52">
      <w:start w:val="1"/>
      <w:numFmt w:val="decimal"/>
      <w:lvlText w:val="%1."/>
      <w:lvlJc w:val="left"/>
      <w:pPr>
        <w:ind w:left="1800" w:hanging="360"/>
      </w:pPr>
      <w:rPr>
        <w:rFonts w:hint="default"/>
      </w:rPr>
    </w:lvl>
    <w:lvl w:ilvl="1" w:tplc="D7B289E6" w:tentative="1">
      <w:start w:val="1"/>
      <w:numFmt w:val="lowerLetter"/>
      <w:lvlText w:val="%2."/>
      <w:lvlJc w:val="left"/>
      <w:pPr>
        <w:ind w:left="2520" w:hanging="360"/>
      </w:pPr>
    </w:lvl>
    <w:lvl w:ilvl="2" w:tplc="BEF676F4" w:tentative="1">
      <w:start w:val="1"/>
      <w:numFmt w:val="lowerRoman"/>
      <w:lvlText w:val="%3."/>
      <w:lvlJc w:val="right"/>
      <w:pPr>
        <w:ind w:left="3240" w:hanging="180"/>
      </w:pPr>
    </w:lvl>
    <w:lvl w:ilvl="3" w:tplc="DB7A9368" w:tentative="1">
      <w:start w:val="1"/>
      <w:numFmt w:val="decimal"/>
      <w:lvlText w:val="%4."/>
      <w:lvlJc w:val="left"/>
      <w:pPr>
        <w:ind w:left="3960" w:hanging="360"/>
      </w:pPr>
    </w:lvl>
    <w:lvl w:ilvl="4" w:tplc="818EC5F6" w:tentative="1">
      <w:start w:val="1"/>
      <w:numFmt w:val="lowerLetter"/>
      <w:lvlText w:val="%5."/>
      <w:lvlJc w:val="left"/>
      <w:pPr>
        <w:ind w:left="4680" w:hanging="360"/>
      </w:pPr>
    </w:lvl>
    <w:lvl w:ilvl="5" w:tplc="EB909C3E" w:tentative="1">
      <w:start w:val="1"/>
      <w:numFmt w:val="lowerRoman"/>
      <w:lvlText w:val="%6."/>
      <w:lvlJc w:val="right"/>
      <w:pPr>
        <w:ind w:left="5400" w:hanging="180"/>
      </w:pPr>
    </w:lvl>
    <w:lvl w:ilvl="6" w:tplc="640A34DA" w:tentative="1">
      <w:start w:val="1"/>
      <w:numFmt w:val="decimal"/>
      <w:lvlText w:val="%7."/>
      <w:lvlJc w:val="left"/>
      <w:pPr>
        <w:ind w:left="6120" w:hanging="360"/>
      </w:pPr>
    </w:lvl>
    <w:lvl w:ilvl="7" w:tplc="1E24A550" w:tentative="1">
      <w:start w:val="1"/>
      <w:numFmt w:val="lowerLetter"/>
      <w:lvlText w:val="%8."/>
      <w:lvlJc w:val="left"/>
      <w:pPr>
        <w:ind w:left="6840" w:hanging="360"/>
      </w:pPr>
    </w:lvl>
    <w:lvl w:ilvl="8" w:tplc="99A24148" w:tentative="1">
      <w:start w:val="1"/>
      <w:numFmt w:val="lowerRoman"/>
      <w:lvlText w:val="%9."/>
      <w:lvlJc w:val="right"/>
      <w:pPr>
        <w:ind w:left="7560" w:hanging="180"/>
      </w:pPr>
    </w:lvl>
  </w:abstractNum>
  <w:abstractNum w:abstractNumId="12" w15:restartNumberingAfterBreak="0">
    <w:nsid w:val="61DA350D"/>
    <w:multiLevelType w:val="hybridMultilevel"/>
    <w:tmpl w:val="E21CDF96"/>
    <w:lvl w:ilvl="0" w:tplc="10CE1FE0">
      <w:start w:val="1"/>
      <w:numFmt w:val="upperRoman"/>
      <w:lvlText w:val="%1."/>
      <w:lvlJc w:val="left"/>
      <w:pPr>
        <w:ind w:left="1440" w:hanging="720"/>
      </w:pPr>
      <w:rPr>
        <w:rFonts w:hint="default"/>
        <w:i w:val="0"/>
        <w:iCs w:val="0"/>
      </w:rPr>
    </w:lvl>
    <w:lvl w:ilvl="1" w:tplc="33387AA2" w:tentative="1">
      <w:start w:val="1"/>
      <w:numFmt w:val="lowerLetter"/>
      <w:lvlText w:val="%2."/>
      <w:lvlJc w:val="left"/>
      <w:pPr>
        <w:ind w:left="1800" w:hanging="360"/>
      </w:pPr>
    </w:lvl>
    <w:lvl w:ilvl="2" w:tplc="1ECE460A" w:tentative="1">
      <w:start w:val="1"/>
      <w:numFmt w:val="lowerRoman"/>
      <w:lvlText w:val="%3."/>
      <w:lvlJc w:val="right"/>
      <w:pPr>
        <w:ind w:left="2520" w:hanging="180"/>
      </w:pPr>
    </w:lvl>
    <w:lvl w:ilvl="3" w:tplc="5F34DCC0" w:tentative="1">
      <w:start w:val="1"/>
      <w:numFmt w:val="decimal"/>
      <w:lvlText w:val="%4."/>
      <w:lvlJc w:val="left"/>
      <w:pPr>
        <w:ind w:left="3240" w:hanging="360"/>
      </w:pPr>
    </w:lvl>
    <w:lvl w:ilvl="4" w:tplc="4EA21774" w:tentative="1">
      <w:start w:val="1"/>
      <w:numFmt w:val="lowerLetter"/>
      <w:lvlText w:val="%5."/>
      <w:lvlJc w:val="left"/>
      <w:pPr>
        <w:ind w:left="3960" w:hanging="360"/>
      </w:pPr>
    </w:lvl>
    <w:lvl w:ilvl="5" w:tplc="2368963E" w:tentative="1">
      <w:start w:val="1"/>
      <w:numFmt w:val="lowerRoman"/>
      <w:lvlText w:val="%6."/>
      <w:lvlJc w:val="right"/>
      <w:pPr>
        <w:ind w:left="4680" w:hanging="180"/>
      </w:pPr>
    </w:lvl>
    <w:lvl w:ilvl="6" w:tplc="61ACA28E" w:tentative="1">
      <w:start w:val="1"/>
      <w:numFmt w:val="decimal"/>
      <w:lvlText w:val="%7."/>
      <w:lvlJc w:val="left"/>
      <w:pPr>
        <w:ind w:left="5400" w:hanging="360"/>
      </w:pPr>
    </w:lvl>
    <w:lvl w:ilvl="7" w:tplc="8DFEB2A0" w:tentative="1">
      <w:start w:val="1"/>
      <w:numFmt w:val="lowerLetter"/>
      <w:lvlText w:val="%8."/>
      <w:lvlJc w:val="left"/>
      <w:pPr>
        <w:ind w:left="6120" w:hanging="360"/>
      </w:pPr>
    </w:lvl>
    <w:lvl w:ilvl="8" w:tplc="48CE9104" w:tentative="1">
      <w:start w:val="1"/>
      <w:numFmt w:val="lowerRoman"/>
      <w:lvlText w:val="%9."/>
      <w:lvlJc w:val="right"/>
      <w:pPr>
        <w:ind w:left="6840" w:hanging="180"/>
      </w:pPr>
    </w:lvl>
  </w:abstractNum>
  <w:abstractNum w:abstractNumId="13" w15:restartNumberingAfterBreak="0">
    <w:nsid w:val="68ED1CAC"/>
    <w:multiLevelType w:val="hybridMultilevel"/>
    <w:tmpl w:val="AE86E850"/>
    <w:lvl w:ilvl="0" w:tplc="3A58B968">
      <w:start w:val="1"/>
      <w:numFmt w:val="decimal"/>
      <w:lvlText w:val="%1."/>
      <w:lvlJc w:val="left"/>
      <w:pPr>
        <w:ind w:left="1800" w:hanging="360"/>
      </w:pPr>
      <w:rPr>
        <w:rFonts w:hint="default"/>
      </w:rPr>
    </w:lvl>
    <w:lvl w:ilvl="1" w:tplc="43081662" w:tentative="1">
      <w:start w:val="1"/>
      <w:numFmt w:val="lowerLetter"/>
      <w:lvlText w:val="%2."/>
      <w:lvlJc w:val="left"/>
      <w:pPr>
        <w:ind w:left="2520" w:hanging="360"/>
      </w:pPr>
    </w:lvl>
    <w:lvl w:ilvl="2" w:tplc="207EFC3A" w:tentative="1">
      <w:start w:val="1"/>
      <w:numFmt w:val="lowerRoman"/>
      <w:lvlText w:val="%3."/>
      <w:lvlJc w:val="right"/>
      <w:pPr>
        <w:ind w:left="3240" w:hanging="180"/>
      </w:pPr>
    </w:lvl>
    <w:lvl w:ilvl="3" w:tplc="0B1ED76A" w:tentative="1">
      <w:start w:val="1"/>
      <w:numFmt w:val="decimal"/>
      <w:lvlText w:val="%4."/>
      <w:lvlJc w:val="left"/>
      <w:pPr>
        <w:ind w:left="3960" w:hanging="360"/>
      </w:pPr>
    </w:lvl>
    <w:lvl w:ilvl="4" w:tplc="AB30F88A" w:tentative="1">
      <w:start w:val="1"/>
      <w:numFmt w:val="lowerLetter"/>
      <w:lvlText w:val="%5."/>
      <w:lvlJc w:val="left"/>
      <w:pPr>
        <w:ind w:left="4680" w:hanging="360"/>
      </w:pPr>
    </w:lvl>
    <w:lvl w:ilvl="5" w:tplc="4FD2AEC8" w:tentative="1">
      <w:start w:val="1"/>
      <w:numFmt w:val="lowerRoman"/>
      <w:lvlText w:val="%6."/>
      <w:lvlJc w:val="right"/>
      <w:pPr>
        <w:ind w:left="5400" w:hanging="180"/>
      </w:pPr>
    </w:lvl>
    <w:lvl w:ilvl="6" w:tplc="B71C5A3A" w:tentative="1">
      <w:start w:val="1"/>
      <w:numFmt w:val="decimal"/>
      <w:lvlText w:val="%7."/>
      <w:lvlJc w:val="left"/>
      <w:pPr>
        <w:ind w:left="6120" w:hanging="360"/>
      </w:pPr>
    </w:lvl>
    <w:lvl w:ilvl="7" w:tplc="0060C222" w:tentative="1">
      <w:start w:val="1"/>
      <w:numFmt w:val="lowerLetter"/>
      <w:lvlText w:val="%8."/>
      <w:lvlJc w:val="left"/>
      <w:pPr>
        <w:ind w:left="6840" w:hanging="360"/>
      </w:pPr>
    </w:lvl>
    <w:lvl w:ilvl="8" w:tplc="21BCB0CC" w:tentative="1">
      <w:start w:val="1"/>
      <w:numFmt w:val="lowerRoman"/>
      <w:lvlText w:val="%9."/>
      <w:lvlJc w:val="right"/>
      <w:pPr>
        <w:ind w:left="7560" w:hanging="180"/>
      </w:pPr>
    </w:lvl>
  </w:abstractNum>
  <w:abstractNum w:abstractNumId="14" w15:restartNumberingAfterBreak="0">
    <w:nsid w:val="77A96B10"/>
    <w:multiLevelType w:val="hybridMultilevel"/>
    <w:tmpl w:val="9F168C0A"/>
    <w:lvl w:ilvl="0" w:tplc="464A07A6">
      <w:start w:val="1"/>
      <w:numFmt w:val="decimal"/>
      <w:lvlText w:val="%1."/>
      <w:lvlJc w:val="left"/>
      <w:pPr>
        <w:ind w:left="1800" w:hanging="360"/>
      </w:pPr>
      <w:rPr>
        <w:rFonts w:hint="default"/>
      </w:rPr>
    </w:lvl>
    <w:lvl w:ilvl="1" w:tplc="C45A3440" w:tentative="1">
      <w:start w:val="1"/>
      <w:numFmt w:val="lowerLetter"/>
      <w:lvlText w:val="%2."/>
      <w:lvlJc w:val="left"/>
      <w:pPr>
        <w:ind w:left="2520" w:hanging="360"/>
      </w:pPr>
    </w:lvl>
    <w:lvl w:ilvl="2" w:tplc="FD8EDA38" w:tentative="1">
      <w:start w:val="1"/>
      <w:numFmt w:val="lowerRoman"/>
      <w:lvlText w:val="%3."/>
      <w:lvlJc w:val="right"/>
      <w:pPr>
        <w:ind w:left="3240" w:hanging="180"/>
      </w:pPr>
    </w:lvl>
    <w:lvl w:ilvl="3" w:tplc="11EAB9A2" w:tentative="1">
      <w:start w:val="1"/>
      <w:numFmt w:val="decimal"/>
      <w:lvlText w:val="%4."/>
      <w:lvlJc w:val="left"/>
      <w:pPr>
        <w:ind w:left="3960" w:hanging="360"/>
      </w:pPr>
    </w:lvl>
    <w:lvl w:ilvl="4" w:tplc="24EE3926" w:tentative="1">
      <w:start w:val="1"/>
      <w:numFmt w:val="lowerLetter"/>
      <w:lvlText w:val="%5."/>
      <w:lvlJc w:val="left"/>
      <w:pPr>
        <w:ind w:left="4680" w:hanging="360"/>
      </w:pPr>
    </w:lvl>
    <w:lvl w:ilvl="5" w:tplc="D44858F8" w:tentative="1">
      <w:start w:val="1"/>
      <w:numFmt w:val="lowerRoman"/>
      <w:lvlText w:val="%6."/>
      <w:lvlJc w:val="right"/>
      <w:pPr>
        <w:ind w:left="5400" w:hanging="180"/>
      </w:pPr>
    </w:lvl>
    <w:lvl w:ilvl="6" w:tplc="8FFEA40A" w:tentative="1">
      <w:start w:val="1"/>
      <w:numFmt w:val="decimal"/>
      <w:lvlText w:val="%7."/>
      <w:lvlJc w:val="left"/>
      <w:pPr>
        <w:ind w:left="6120" w:hanging="360"/>
      </w:pPr>
    </w:lvl>
    <w:lvl w:ilvl="7" w:tplc="858E1BA4" w:tentative="1">
      <w:start w:val="1"/>
      <w:numFmt w:val="lowerLetter"/>
      <w:lvlText w:val="%8."/>
      <w:lvlJc w:val="left"/>
      <w:pPr>
        <w:ind w:left="6840" w:hanging="360"/>
      </w:pPr>
    </w:lvl>
    <w:lvl w:ilvl="8" w:tplc="B080C970" w:tentative="1">
      <w:start w:val="1"/>
      <w:numFmt w:val="lowerRoman"/>
      <w:lvlText w:val="%9."/>
      <w:lvlJc w:val="right"/>
      <w:pPr>
        <w:ind w:left="7560" w:hanging="180"/>
      </w:pPr>
    </w:lvl>
  </w:abstractNum>
  <w:num w:numId="1" w16cid:durableId="1932424890">
    <w:abstractNumId w:val="5"/>
  </w:num>
  <w:num w:numId="2" w16cid:durableId="1758477962">
    <w:abstractNumId w:val="1"/>
  </w:num>
  <w:num w:numId="3" w16cid:durableId="1621451025">
    <w:abstractNumId w:val="0"/>
  </w:num>
  <w:num w:numId="4" w16cid:durableId="1894384784">
    <w:abstractNumId w:val="3"/>
  </w:num>
  <w:num w:numId="5" w16cid:durableId="1539588267">
    <w:abstractNumId w:val="8"/>
  </w:num>
  <w:num w:numId="6" w16cid:durableId="1965651540">
    <w:abstractNumId w:val="13"/>
  </w:num>
  <w:num w:numId="7" w16cid:durableId="569121581">
    <w:abstractNumId w:val="4"/>
  </w:num>
  <w:num w:numId="8" w16cid:durableId="1511987401">
    <w:abstractNumId w:val="14"/>
  </w:num>
  <w:num w:numId="9" w16cid:durableId="905526979">
    <w:abstractNumId w:val="2"/>
  </w:num>
  <w:num w:numId="10" w16cid:durableId="1325819123">
    <w:abstractNumId w:val="6"/>
  </w:num>
  <w:num w:numId="11" w16cid:durableId="1630815563">
    <w:abstractNumId w:val="9"/>
  </w:num>
  <w:num w:numId="12" w16cid:durableId="150411389">
    <w:abstractNumId w:val="11"/>
  </w:num>
  <w:num w:numId="13" w16cid:durableId="95559966">
    <w:abstractNumId w:val="12"/>
  </w:num>
  <w:num w:numId="14" w16cid:durableId="1478299130">
    <w:abstractNumId w:val="10"/>
  </w:num>
  <w:num w:numId="15" w16cid:durableId="1762409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FA"/>
    <w:rsid w:val="00580041"/>
    <w:rsid w:val="005962FA"/>
    <w:rsid w:val="007E4C2A"/>
    <w:rsid w:val="00F5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D4B40"/>
    <w:pPr>
      <w:tabs>
        <w:tab w:val="left" w:pos="720"/>
      </w:tabs>
      <w:spacing w:line="480" w:lineRule="atLeast"/>
    </w:pPr>
    <w:rPr>
      <w:rFonts w:ascii="Times New Roman" w:hAnsi="Times New Roman"/>
      <w:szCs w:val="24"/>
    </w:rPr>
  </w:style>
  <w:style w:type="paragraph" w:styleId="Heading1">
    <w:name w:val="heading 1"/>
    <w:basedOn w:val="Normal"/>
    <w:next w:val="Normal"/>
    <w:link w:val="Heading1Char"/>
    <w:uiPriority w:val="9"/>
    <w:qFormat/>
    <w:rsid w:val="000D4B4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D4B4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D4B40"/>
    <w:pPr>
      <w:keepNext/>
      <w:spacing w:before="240" w:after="60"/>
      <w:outlineLvl w:val="2"/>
    </w:pPr>
    <w:rPr>
      <w:rFonts w:asciiTheme="majorHAnsi" w:eastAsiaTheme="majorEastAsia" w:hAnsiTheme="majorHAnsi"/>
      <w:b/>
      <w:bCs/>
      <w:szCs w:val="26"/>
    </w:rPr>
  </w:style>
  <w:style w:type="paragraph" w:styleId="Heading6">
    <w:name w:val="heading 6"/>
    <w:basedOn w:val="Normal"/>
    <w:next w:val="Normal"/>
    <w:link w:val="Heading6Char"/>
    <w:uiPriority w:val="9"/>
    <w:semiHidden/>
    <w:unhideWhenUsed/>
    <w:qFormat/>
    <w:rsid w:val="000D4B40"/>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0D4B40"/>
    <w:pPr>
      <w:spacing w:before="240" w:after="60"/>
      <w:outlineLvl w:val="6"/>
    </w:pPr>
    <w:rPr>
      <w:sz w:val="24"/>
    </w:rPr>
  </w:style>
  <w:style w:type="paragraph" w:styleId="Heading8">
    <w:name w:val="heading 8"/>
    <w:basedOn w:val="Normal"/>
    <w:next w:val="Normal"/>
    <w:link w:val="Heading8Char"/>
    <w:uiPriority w:val="9"/>
    <w:semiHidden/>
    <w:unhideWhenUsed/>
    <w:qFormat/>
    <w:rsid w:val="000D4B40"/>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0D4B40"/>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B4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D4B4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D4B40"/>
    <w:rPr>
      <w:rFonts w:asciiTheme="majorHAnsi" w:eastAsiaTheme="majorEastAsia" w:hAnsiTheme="majorHAnsi"/>
      <w:b/>
      <w:bCs/>
    </w:rPr>
  </w:style>
  <w:style w:type="character" w:customStyle="1" w:styleId="Heading6Char">
    <w:name w:val="Heading 6 Char"/>
    <w:basedOn w:val="DefaultParagraphFont"/>
    <w:link w:val="Heading6"/>
    <w:uiPriority w:val="9"/>
    <w:semiHidden/>
    <w:rsid w:val="000D4B40"/>
    <w:rPr>
      <w:b/>
      <w:bCs/>
    </w:rPr>
  </w:style>
  <w:style w:type="character" w:customStyle="1" w:styleId="Heading7Char">
    <w:name w:val="Heading 7 Char"/>
    <w:basedOn w:val="DefaultParagraphFont"/>
    <w:link w:val="Heading7"/>
    <w:uiPriority w:val="9"/>
    <w:semiHidden/>
    <w:rsid w:val="000D4B40"/>
    <w:rPr>
      <w:sz w:val="24"/>
      <w:szCs w:val="24"/>
    </w:rPr>
  </w:style>
  <w:style w:type="character" w:customStyle="1" w:styleId="Heading8Char">
    <w:name w:val="Heading 8 Char"/>
    <w:basedOn w:val="DefaultParagraphFont"/>
    <w:link w:val="Heading8"/>
    <w:uiPriority w:val="9"/>
    <w:semiHidden/>
    <w:rsid w:val="000D4B40"/>
    <w:rPr>
      <w:i/>
      <w:iCs/>
      <w:sz w:val="24"/>
      <w:szCs w:val="24"/>
    </w:rPr>
  </w:style>
  <w:style w:type="character" w:customStyle="1" w:styleId="Heading9Char">
    <w:name w:val="Heading 9 Char"/>
    <w:basedOn w:val="DefaultParagraphFont"/>
    <w:link w:val="Heading9"/>
    <w:uiPriority w:val="9"/>
    <w:semiHidden/>
    <w:rsid w:val="000D4B40"/>
    <w:rPr>
      <w:rFonts w:asciiTheme="majorHAnsi" w:eastAsiaTheme="majorEastAsia" w:hAnsiTheme="majorHAnsi"/>
    </w:rPr>
  </w:style>
  <w:style w:type="paragraph" w:styleId="Title">
    <w:name w:val="Title"/>
    <w:basedOn w:val="Normal"/>
    <w:next w:val="Normal"/>
    <w:link w:val="TitleChar"/>
    <w:uiPriority w:val="10"/>
    <w:qFormat/>
    <w:rsid w:val="000D4B4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D4B4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D4B40"/>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0D4B40"/>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D4B40"/>
    <w:pPr>
      <w:outlineLvl w:val="9"/>
    </w:pPr>
  </w:style>
  <w:style w:type="paragraph" w:styleId="FootnoteText">
    <w:name w:val="footnote text"/>
    <w:basedOn w:val="Normal"/>
    <w:link w:val="FootnoteTextChar"/>
    <w:uiPriority w:val="99"/>
    <w:unhideWhenUsed/>
    <w:rsid w:val="003406E7"/>
    <w:rPr>
      <w:szCs w:val="20"/>
    </w:rPr>
  </w:style>
  <w:style w:type="character" w:customStyle="1" w:styleId="FootnoteTextChar">
    <w:name w:val="Footnote Text Char"/>
    <w:basedOn w:val="DefaultParagraphFont"/>
    <w:link w:val="FootnoteText"/>
    <w:uiPriority w:val="99"/>
    <w:rsid w:val="003406E7"/>
    <w:rPr>
      <w:rFonts w:ascii="Times New Roman" w:hAnsi="Times New Roman"/>
      <w:szCs w:val="20"/>
    </w:rPr>
  </w:style>
  <w:style w:type="character" w:styleId="FootnoteReference">
    <w:name w:val="footnote reference"/>
    <w:basedOn w:val="DefaultParagraphFont"/>
    <w:uiPriority w:val="99"/>
    <w:unhideWhenUsed/>
    <w:qFormat/>
    <w:rsid w:val="003406E7"/>
    <w:rPr>
      <w:vertAlign w:val="superscript"/>
    </w:rPr>
  </w:style>
  <w:style w:type="paragraph" w:styleId="ListParagraph">
    <w:name w:val="List Paragraph"/>
    <w:basedOn w:val="Normal"/>
    <w:uiPriority w:val="34"/>
    <w:qFormat/>
    <w:rsid w:val="003406E7"/>
    <w:pPr>
      <w:ind w:left="720"/>
      <w:contextualSpacing/>
    </w:pPr>
    <w:rPr>
      <w:rFonts w:eastAsia="Times New Roman"/>
    </w:rPr>
  </w:style>
  <w:style w:type="paragraph" w:styleId="Footer">
    <w:name w:val="footer"/>
    <w:basedOn w:val="Normal"/>
    <w:link w:val="FooterChar"/>
    <w:uiPriority w:val="99"/>
    <w:rsid w:val="003406E7"/>
    <w:pPr>
      <w:tabs>
        <w:tab w:val="clear" w:pos="720"/>
        <w:tab w:val="center" w:pos="4320"/>
        <w:tab w:val="right" w:pos="8640"/>
      </w:tabs>
      <w:overflowPunct w:val="0"/>
      <w:autoSpaceDE w:val="0"/>
      <w:autoSpaceDN w:val="0"/>
      <w:adjustRightInd w:val="0"/>
      <w:spacing w:line="240" w:lineRule="auto"/>
      <w:textAlignment w:val="baseline"/>
    </w:pPr>
    <w:rPr>
      <w:rFonts w:eastAsia="Times New Roman"/>
      <w:szCs w:val="20"/>
    </w:rPr>
  </w:style>
  <w:style w:type="character" w:customStyle="1" w:styleId="FooterChar">
    <w:name w:val="Footer Char"/>
    <w:basedOn w:val="DefaultParagraphFont"/>
    <w:link w:val="Footer"/>
    <w:uiPriority w:val="99"/>
    <w:rsid w:val="003406E7"/>
    <w:rPr>
      <w:rFonts w:ascii="Times New Roman" w:eastAsia="Times New Roman" w:hAnsi="Times New Roman"/>
      <w:szCs w:val="20"/>
    </w:rPr>
  </w:style>
  <w:style w:type="character" w:styleId="PageNumber">
    <w:name w:val="page number"/>
    <w:basedOn w:val="DefaultParagraphFont"/>
    <w:rsid w:val="003406E7"/>
  </w:style>
  <w:style w:type="paragraph" w:styleId="Header">
    <w:name w:val="header"/>
    <w:basedOn w:val="Normal"/>
    <w:link w:val="HeaderChar"/>
    <w:uiPriority w:val="99"/>
    <w:unhideWhenUsed/>
    <w:rsid w:val="003406E7"/>
    <w:pPr>
      <w:tabs>
        <w:tab w:val="clear" w:pos="720"/>
        <w:tab w:val="center" w:pos="4680"/>
        <w:tab w:val="right" w:pos="9360"/>
      </w:tabs>
      <w:spacing w:line="240" w:lineRule="auto"/>
    </w:pPr>
  </w:style>
  <w:style w:type="character" w:customStyle="1" w:styleId="HeaderChar">
    <w:name w:val="Header Char"/>
    <w:basedOn w:val="DefaultParagraphFont"/>
    <w:link w:val="Header"/>
    <w:uiPriority w:val="99"/>
    <w:rsid w:val="003406E7"/>
    <w:rPr>
      <w:rFonts w:ascii="Times New Roman" w:hAnsi="Times New Roman"/>
      <w:szCs w:val="24"/>
    </w:rPr>
  </w:style>
  <w:style w:type="paragraph" w:styleId="EndnoteText">
    <w:name w:val="endnote text"/>
    <w:basedOn w:val="Normal"/>
    <w:link w:val="EndnoteTextChar"/>
    <w:semiHidden/>
    <w:unhideWhenUsed/>
    <w:rsid w:val="00B51EBD"/>
    <w:pPr>
      <w:tabs>
        <w:tab w:val="clear" w:pos="720"/>
      </w:tabs>
      <w:spacing w:line="240" w:lineRule="auto"/>
    </w:pPr>
    <w:rPr>
      <w:rFonts w:eastAsia="Times New Roman"/>
      <w:sz w:val="20"/>
      <w:szCs w:val="20"/>
    </w:rPr>
  </w:style>
  <w:style w:type="character" w:customStyle="1" w:styleId="EndnoteTextChar">
    <w:name w:val="Endnote Text Char"/>
    <w:basedOn w:val="DefaultParagraphFont"/>
    <w:link w:val="EndnoteText"/>
    <w:semiHidden/>
    <w:rsid w:val="00B51EBD"/>
    <w:rPr>
      <w:rFonts w:ascii="Times New Roman" w:eastAsia="Times New Roman" w:hAnsi="Times New Roman"/>
      <w:sz w:val="20"/>
      <w:szCs w:val="20"/>
    </w:rPr>
  </w:style>
  <w:style w:type="character" w:styleId="EndnoteReference">
    <w:name w:val="endnote reference"/>
    <w:basedOn w:val="DefaultParagraphFont"/>
    <w:semiHidden/>
    <w:unhideWhenUsed/>
    <w:rsid w:val="00B51EBD"/>
    <w:rPr>
      <w:vertAlign w:val="superscript"/>
    </w:rPr>
  </w:style>
  <w:style w:type="paragraph" w:styleId="Revision">
    <w:name w:val="Revision"/>
    <w:hidden/>
    <w:uiPriority w:val="99"/>
    <w:semiHidden/>
    <w:rsid w:val="0081275B"/>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B19B-464B-4546-B414-F5871663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9960</Words>
  <Characters>53033</Characters>
  <Application>Microsoft Office Word</Application>
  <DocSecurity>0</DocSecurity>
  <Lines>1024</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2023-02-09T20:41:00Z</dcterms:created>
  <dcterms:modified xsi:type="dcterms:W3CDTF">2023-02-09T20:41:00Z</dcterms:modified>
  <cp:category/>
</cp:coreProperties>
</file>