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6F15" w14:textId="5FF2AF6E" w:rsidR="004F3B1C" w:rsidRPr="000E1983" w:rsidRDefault="004F3B1C" w:rsidP="00015A49">
      <w:pPr>
        <w:spacing w:line="240" w:lineRule="auto"/>
        <w:rPr>
          <w:sz w:val="20"/>
          <w:szCs w:val="20"/>
        </w:rPr>
      </w:pPr>
      <w:bookmarkStart w:id="0" w:name="_GoBack"/>
      <w:bookmarkEnd w:id="0"/>
      <w:r>
        <w:rPr>
          <w:sz w:val="20"/>
          <w:szCs w:val="20"/>
        </w:rPr>
        <w:t>Filed 1/24/20</w:t>
      </w:r>
    </w:p>
    <w:p w14:paraId="0E4AE8F1" w14:textId="77777777" w:rsidR="00015A49" w:rsidRDefault="008E64E7" w:rsidP="00015A49">
      <w:pPr>
        <w:spacing w:line="240" w:lineRule="auto"/>
        <w:jc w:val="center"/>
        <w:rPr>
          <w:b/>
        </w:rPr>
      </w:pPr>
      <w:r>
        <w:rPr>
          <w:b/>
        </w:rPr>
        <w:t xml:space="preserve">CERTIFIED FOR </w:t>
      </w:r>
      <w:r w:rsidR="00015A49">
        <w:rPr>
          <w:b/>
        </w:rPr>
        <w:t>PUBLI</w:t>
      </w:r>
      <w:r>
        <w:rPr>
          <w:b/>
        </w:rPr>
        <w:t>CATION</w:t>
      </w:r>
    </w:p>
    <w:p w14:paraId="6AD71AE6" w14:textId="77777777" w:rsidR="00015A49" w:rsidRDefault="00015A49" w:rsidP="00015A49">
      <w:pPr>
        <w:spacing w:line="240" w:lineRule="auto"/>
      </w:pPr>
    </w:p>
    <w:p w14:paraId="592FCFFB" w14:textId="77777777" w:rsidR="00015A49" w:rsidRDefault="00015A49" w:rsidP="00015A49">
      <w:pPr>
        <w:spacing w:line="240" w:lineRule="auto"/>
        <w:jc w:val="center"/>
      </w:pPr>
      <w:r>
        <w:t>IN THE COURT OF APPEAL OF THE STATE OF CALIFORNIA</w:t>
      </w:r>
    </w:p>
    <w:p w14:paraId="1A4AB5B7" w14:textId="77777777" w:rsidR="00015A49" w:rsidRDefault="00015A49" w:rsidP="00015A49">
      <w:pPr>
        <w:spacing w:line="240" w:lineRule="auto"/>
        <w:jc w:val="center"/>
      </w:pPr>
    </w:p>
    <w:p w14:paraId="3F29E5AD" w14:textId="77777777" w:rsidR="00015A49" w:rsidRDefault="00015A49" w:rsidP="00015A49">
      <w:pPr>
        <w:spacing w:line="240" w:lineRule="auto"/>
        <w:jc w:val="center"/>
      </w:pPr>
      <w:r>
        <w:t>SIXTH APPELLATE DISTRICT</w:t>
      </w:r>
    </w:p>
    <w:p w14:paraId="455D0087" w14:textId="77777777" w:rsidR="00015A49" w:rsidRDefault="00015A49" w:rsidP="00015A49">
      <w:pPr>
        <w:spacing w:line="240" w:lineRule="auto"/>
        <w:jc w:val="center"/>
      </w:pPr>
    </w:p>
    <w:tbl>
      <w:tblPr>
        <w:tblW w:w="0" w:type="auto"/>
        <w:tblLayout w:type="fixed"/>
        <w:tblLook w:val="0000" w:firstRow="0" w:lastRow="0" w:firstColumn="0" w:lastColumn="0" w:noHBand="0" w:noVBand="0"/>
      </w:tblPr>
      <w:tblGrid>
        <w:gridCol w:w="4788"/>
        <w:gridCol w:w="4788"/>
      </w:tblGrid>
      <w:tr w:rsidR="00015A49" w14:paraId="01B39E72" w14:textId="77777777" w:rsidTr="00015A49">
        <w:tc>
          <w:tcPr>
            <w:tcW w:w="4788" w:type="dxa"/>
            <w:tcBorders>
              <w:bottom w:val="single" w:sz="4" w:space="0" w:color="auto"/>
              <w:right w:val="single" w:sz="4" w:space="0" w:color="auto"/>
            </w:tcBorders>
            <w:shd w:val="clear" w:color="auto" w:fill="auto"/>
          </w:tcPr>
          <w:p w14:paraId="1BEA1D5A" w14:textId="77777777" w:rsidR="00015A49" w:rsidRDefault="00015A49" w:rsidP="00015A49">
            <w:pPr>
              <w:spacing w:line="240" w:lineRule="auto"/>
            </w:pPr>
            <w:r>
              <w:t>In re J.M., a Person Coming Under the Juvenile Court Law.</w:t>
            </w:r>
          </w:p>
        </w:tc>
        <w:tc>
          <w:tcPr>
            <w:tcW w:w="4788" w:type="dxa"/>
            <w:tcBorders>
              <w:left w:val="single" w:sz="4" w:space="0" w:color="auto"/>
            </w:tcBorders>
            <w:shd w:val="clear" w:color="auto" w:fill="auto"/>
          </w:tcPr>
          <w:p w14:paraId="7F74C528" w14:textId="77777777" w:rsidR="00015A49" w:rsidRDefault="00015A49" w:rsidP="00015A49">
            <w:pPr>
              <w:spacing w:line="240" w:lineRule="auto"/>
            </w:pPr>
            <w:r>
              <w:t xml:space="preserve">      H046917</w:t>
            </w:r>
          </w:p>
          <w:p w14:paraId="3DBC89F7" w14:textId="77777777" w:rsidR="00015A49" w:rsidRDefault="00015A49" w:rsidP="00015A49">
            <w:pPr>
              <w:spacing w:line="240" w:lineRule="auto"/>
            </w:pPr>
            <w:r>
              <w:t xml:space="preserve">     (Santa Clara County</w:t>
            </w:r>
          </w:p>
          <w:p w14:paraId="05059B15" w14:textId="77777777" w:rsidR="00015A49" w:rsidRDefault="00015A49" w:rsidP="00015A49">
            <w:pPr>
              <w:spacing w:line="240" w:lineRule="auto"/>
            </w:pPr>
            <w:r>
              <w:t xml:space="preserve">      Super. Ct. No. JD024706)</w:t>
            </w:r>
          </w:p>
          <w:p w14:paraId="431B19A5" w14:textId="77777777" w:rsidR="00015A49" w:rsidRDefault="00015A49" w:rsidP="00015A49">
            <w:pPr>
              <w:spacing w:line="240" w:lineRule="auto"/>
            </w:pPr>
          </w:p>
        </w:tc>
      </w:tr>
      <w:tr w:rsidR="00015A49" w14:paraId="5A18BEC7" w14:textId="77777777" w:rsidTr="00015A49">
        <w:tc>
          <w:tcPr>
            <w:tcW w:w="4788" w:type="dxa"/>
            <w:tcBorders>
              <w:top w:val="single" w:sz="4" w:space="0" w:color="auto"/>
              <w:bottom w:val="single" w:sz="4" w:space="0" w:color="auto"/>
              <w:right w:val="single" w:sz="4" w:space="0" w:color="auto"/>
            </w:tcBorders>
            <w:shd w:val="clear" w:color="auto" w:fill="auto"/>
          </w:tcPr>
          <w:p w14:paraId="62D2242C" w14:textId="77777777" w:rsidR="00015A49" w:rsidRDefault="00015A49" w:rsidP="00015A49">
            <w:pPr>
              <w:spacing w:line="240" w:lineRule="auto"/>
            </w:pPr>
            <w:r>
              <w:t xml:space="preserve">SANTA </w:t>
            </w:r>
            <w:r w:rsidR="00C91687">
              <w:t xml:space="preserve">CLARA </w:t>
            </w:r>
            <w:r>
              <w:t xml:space="preserve">COUNTY </w:t>
            </w:r>
            <w:r w:rsidR="00C91687">
              <w:t>D</w:t>
            </w:r>
            <w:r w:rsidR="002A3AD5">
              <w:t xml:space="preserve">EPARTMENT OF FAMILY &amp; CHILDREN’S </w:t>
            </w:r>
            <w:r>
              <w:t>SERVICES,</w:t>
            </w:r>
          </w:p>
          <w:p w14:paraId="32C2A4FF" w14:textId="77777777" w:rsidR="00015A49" w:rsidRDefault="00015A49" w:rsidP="00015A49">
            <w:pPr>
              <w:spacing w:line="240" w:lineRule="auto"/>
            </w:pPr>
          </w:p>
          <w:p w14:paraId="7040A286" w14:textId="77777777" w:rsidR="00015A49" w:rsidRDefault="00015A49" w:rsidP="00015A49">
            <w:pPr>
              <w:spacing w:line="240" w:lineRule="auto"/>
              <w:ind w:left="720"/>
            </w:pPr>
            <w:r>
              <w:t>Plaintiff and Respondent,</w:t>
            </w:r>
          </w:p>
          <w:p w14:paraId="7AA7F15A" w14:textId="77777777" w:rsidR="00015A49" w:rsidRDefault="00015A49" w:rsidP="00015A49">
            <w:pPr>
              <w:spacing w:line="240" w:lineRule="auto"/>
              <w:ind w:left="720"/>
            </w:pPr>
          </w:p>
          <w:p w14:paraId="17E30182" w14:textId="77777777" w:rsidR="00015A49" w:rsidRDefault="00015A49" w:rsidP="00015A49">
            <w:pPr>
              <w:spacing w:line="240" w:lineRule="auto"/>
              <w:ind w:left="720"/>
            </w:pPr>
            <w:r>
              <w:t>v.</w:t>
            </w:r>
          </w:p>
          <w:p w14:paraId="7ABD9CC8" w14:textId="77777777" w:rsidR="00015A49" w:rsidRDefault="00015A49" w:rsidP="00015A49">
            <w:pPr>
              <w:spacing w:line="240" w:lineRule="auto"/>
            </w:pPr>
          </w:p>
          <w:p w14:paraId="5734AC93" w14:textId="77777777" w:rsidR="00015A49" w:rsidRDefault="00015A49" w:rsidP="00015A49">
            <w:pPr>
              <w:spacing w:line="240" w:lineRule="auto"/>
            </w:pPr>
            <w:r>
              <w:t>J.M.,</w:t>
            </w:r>
          </w:p>
          <w:p w14:paraId="1ACD706D" w14:textId="77777777" w:rsidR="00015A49" w:rsidRDefault="00015A49" w:rsidP="00015A49">
            <w:pPr>
              <w:spacing w:line="240" w:lineRule="auto"/>
            </w:pPr>
          </w:p>
          <w:p w14:paraId="565EC416" w14:textId="77777777" w:rsidR="00015A49" w:rsidRDefault="00015A49" w:rsidP="00015A49">
            <w:pPr>
              <w:spacing w:line="240" w:lineRule="auto"/>
              <w:ind w:left="720"/>
            </w:pPr>
            <w:r>
              <w:t>Defendant and Appellant.</w:t>
            </w:r>
          </w:p>
          <w:p w14:paraId="0C956C91" w14:textId="77777777" w:rsidR="00015A49" w:rsidRDefault="00015A49" w:rsidP="00015A49">
            <w:pPr>
              <w:spacing w:line="240" w:lineRule="auto"/>
            </w:pPr>
          </w:p>
        </w:tc>
        <w:tc>
          <w:tcPr>
            <w:tcW w:w="4788" w:type="dxa"/>
            <w:tcBorders>
              <w:left w:val="single" w:sz="4" w:space="0" w:color="auto"/>
            </w:tcBorders>
            <w:shd w:val="clear" w:color="auto" w:fill="auto"/>
          </w:tcPr>
          <w:p w14:paraId="5B72B1B8" w14:textId="77777777" w:rsidR="00015A49" w:rsidRDefault="00015A49" w:rsidP="00015A49">
            <w:pPr>
              <w:spacing w:line="240" w:lineRule="auto"/>
            </w:pPr>
          </w:p>
        </w:tc>
      </w:tr>
    </w:tbl>
    <w:p w14:paraId="025BB775" w14:textId="77777777" w:rsidR="00015A49" w:rsidRDefault="00015A49" w:rsidP="008E64E7">
      <w:pPr>
        <w:spacing w:before="120"/>
      </w:pPr>
      <w:r>
        <w:tab/>
      </w:r>
      <w:r w:rsidR="00B5688A">
        <w:t xml:space="preserve">Due to a brain injury suffered as an infant, nine-year-old J.M. has extraordinary physical needs.  </w:t>
      </w:r>
      <w:r w:rsidR="003E7334">
        <w:t xml:space="preserve">In this dependency action, J.M. challenges the </w:t>
      </w:r>
      <w:r w:rsidR="00F944A8">
        <w:t xml:space="preserve">juvenile court’s permanent plan </w:t>
      </w:r>
      <w:r w:rsidR="003C30D2">
        <w:t xml:space="preserve">of </w:t>
      </w:r>
      <w:r w:rsidR="003E7334">
        <w:t>legal guardian</w:t>
      </w:r>
      <w:r w:rsidR="003C30D2">
        <w:t>ship</w:t>
      </w:r>
      <w:r w:rsidR="00926DFF">
        <w:t xml:space="preserve"> with continued dependency</w:t>
      </w:r>
      <w:r w:rsidR="00642CF1">
        <w:t xml:space="preserve"> jurisdiction</w:t>
      </w:r>
      <w:r w:rsidR="003E7334">
        <w:t xml:space="preserve">.  </w:t>
      </w:r>
      <w:r w:rsidR="00F91250">
        <w:t xml:space="preserve">He argues the </w:t>
      </w:r>
      <w:r w:rsidR="003C30D2">
        <w:t xml:space="preserve">appointment of his grandmother as legal guardian </w:t>
      </w:r>
      <w:r w:rsidR="002B1233">
        <w:t xml:space="preserve">is </w:t>
      </w:r>
      <w:r w:rsidR="00F91250">
        <w:t>not authorized by the governing statute</w:t>
      </w:r>
      <w:r w:rsidR="003E62A8">
        <w:t xml:space="preserve">, his grandmother </w:t>
      </w:r>
      <w:r w:rsidR="002B1233">
        <w:t xml:space="preserve">is </w:t>
      </w:r>
      <w:r w:rsidR="003E62A8">
        <w:t xml:space="preserve">not a suitable guardian, and the guardianship </w:t>
      </w:r>
      <w:r w:rsidR="002B1233">
        <w:t xml:space="preserve">is </w:t>
      </w:r>
      <w:r w:rsidR="00F91250">
        <w:t xml:space="preserve">not in his best interest.  Finding </w:t>
      </w:r>
      <w:r w:rsidR="00B16005">
        <w:t xml:space="preserve">no </w:t>
      </w:r>
      <w:r w:rsidR="00896A11">
        <w:t>error in the guardianship appointment</w:t>
      </w:r>
      <w:r w:rsidR="00F91250">
        <w:t>, we will affirm the placement order.</w:t>
      </w:r>
    </w:p>
    <w:p w14:paraId="1399AAD8" w14:textId="77777777" w:rsidR="00F91250" w:rsidRDefault="00F91250" w:rsidP="00F91250">
      <w:pPr>
        <w:pStyle w:val="Heading1"/>
      </w:pPr>
      <w:r>
        <w:t xml:space="preserve">  background</w:t>
      </w:r>
    </w:p>
    <w:p w14:paraId="093BE1D0" w14:textId="4F62625C" w:rsidR="00F91250" w:rsidRDefault="00F91250" w:rsidP="00963007">
      <w:r>
        <w:tab/>
        <w:t xml:space="preserve">J.M. was born in 2010.  </w:t>
      </w:r>
      <w:r w:rsidR="006440BA">
        <w:t>H</w:t>
      </w:r>
      <w:r w:rsidR="00B91588">
        <w:t xml:space="preserve">e suffered an accident </w:t>
      </w:r>
      <w:r w:rsidR="002B1233">
        <w:t xml:space="preserve">at home </w:t>
      </w:r>
      <w:r w:rsidR="006440BA">
        <w:t>when he was 10</w:t>
      </w:r>
      <w:r w:rsidR="00C73077">
        <w:t> </w:t>
      </w:r>
      <w:r w:rsidR="006440BA">
        <w:t>months old</w:t>
      </w:r>
      <w:r w:rsidR="00896A11">
        <w:t>,</w:t>
      </w:r>
      <w:r w:rsidR="006440BA">
        <w:t xml:space="preserve"> </w:t>
      </w:r>
      <w:r w:rsidR="002B1233">
        <w:t xml:space="preserve">which </w:t>
      </w:r>
      <w:r w:rsidR="00B91588">
        <w:t>render</w:t>
      </w:r>
      <w:r w:rsidR="002B1233">
        <w:t xml:space="preserve">ed </w:t>
      </w:r>
      <w:r w:rsidR="00B91588">
        <w:t xml:space="preserve">him permanently disabled.  </w:t>
      </w:r>
      <w:r w:rsidR="00012DA0">
        <w:t xml:space="preserve">Since the accident </w:t>
      </w:r>
      <w:r w:rsidR="00D1655D">
        <w:t xml:space="preserve">J.M. </w:t>
      </w:r>
      <w:r w:rsidR="00963007">
        <w:t xml:space="preserve">has </w:t>
      </w:r>
      <w:r w:rsidR="005E541A">
        <w:t xml:space="preserve">resided at </w:t>
      </w:r>
      <w:r w:rsidR="00281CC0">
        <w:t>the Children</w:t>
      </w:r>
      <w:r w:rsidR="002B1233">
        <w:t>’s</w:t>
      </w:r>
      <w:r w:rsidR="005E541A">
        <w:t xml:space="preserve"> Hospital of Northern California</w:t>
      </w:r>
      <w:r w:rsidR="00896A11">
        <w:t xml:space="preserve">, a rehabilitation facility </w:t>
      </w:r>
      <w:r w:rsidR="005E541A">
        <w:t xml:space="preserve">formerly </w:t>
      </w:r>
      <w:r w:rsidR="006440BA">
        <w:t>operated as T</w:t>
      </w:r>
      <w:r w:rsidR="005E541A">
        <w:t>he Children’</w:t>
      </w:r>
      <w:r w:rsidR="00281CC0">
        <w:t>s Recovery Center</w:t>
      </w:r>
      <w:r w:rsidR="00FA4C5D">
        <w:t xml:space="preserve"> of Northern California</w:t>
      </w:r>
      <w:r w:rsidR="00281CC0">
        <w:t xml:space="preserve">.  </w:t>
      </w:r>
      <w:r w:rsidR="00907C4D">
        <w:t xml:space="preserve">He </w:t>
      </w:r>
      <w:r w:rsidR="00281CC0">
        <w:t xml:space="preserve">suffers from anoxic brain </w:t>
      </w:r>
      <w:r w:rsidR="00281CC0">
        <w:lastRenderedPageBreak/>
        <w:t>injury, epilepsy, development</w:t>
      </w:r>
      <w:r w:rsidR="00012DA0">
        <w:t>al</w:t>
      </w:r>
      <w:r w:rsidR="00281CC0">
        <w:t xml:space="preserve"> delays, </w:t>
      </w:r>
      <w:r w:rsidR="00281CC0" w:rsidRPr="006329A3">
        <w:t xml:space="preserve">and </w:t>
      </w:r>
      <w:r w:rsidR="00907C4D" w:rsidRPr="006329A3">
        <w:t xml:space="preserve">bone </w:t>
      </w:r>
      <w:r w:rsidR="00281CC0" w:rsidRPr="006329A3">
        <w:t>disorder</w:t>
      </w:r>
      <w:r w:rsidR="008B0AED" w:rsidRPr="006329A3">
        <w:t>s</w:t>
      </w:r>
      <w:r w:rsidR="00281CC0">
        <w:t xml:space="preserve">.  He has gastrostomy </w:t>
      </w:r>
      <w:r w:rsidR="006440BA">
        <w:t xml:space="preserve">and tracheal </w:t>
      </w:r>
      <w:r w:rsidR="00281CC0">
        <w:t xml:space="preserve">tubes to help him </w:t>
      </w:r>
      <w:r w:rsidR="006440BA">
        <w:t xml:space="preserve">eat and </w:t>
      </w:r>
      <w:r w:rsidR="00281CC0">
        <w:t>breathe, and he will need them indefinitely.  He is immobile</w:t>
      </w:r>
      <w:r w:rsidR="00963007">
        <w:t xml:space="preserve">, </w:t>
      </w:r>
      <w:r w:rsidR="00281CC0">
        <w:t>will never walk</w:t>
      </w:r>
      <w:r w:rsidR="00963007">
        <w:t>,</w:t>
      </w:r>
      <w:r w:rsidR="00281CC0">
        <w:t xml:space="preserve"> </w:t>
      </w:r>
      <w:r w:rsidR="00963007">
        <w:t xml:space="preserve">and </w:t>
      </w:r>
      <w:r w:rsidR="00907C4D">
        <w:t xml:space="preserve">is </w:t>
      </w:r>
      <w:r w:rsidR="00281CC0">
        <w:t>fully depe</w:t>
      </w:r>
      <w:r w:rsidR="00E44267">
        <w:t xml:space="preserve">ndent on others for care.  </w:t>
      </w:r>
      <w:r w:rsidR="006440BA">
        <w:t>He is nonverbal, but oriented to those with whom he interacts, communicating through eye gazes and facial expressions.</w:t>
      </w:r>
      <w:r w:rsidR="0088399F">
        <w:t xml:space="preserve">  J.M. has an individualized education plan, and he attends elementary school in a tilt-in-space </w:t>
      </w:r>
      <w:proofErr w:type="gramStart"/>
      <w:r w:rsidR="0088399F">
        <w:t>wheel chair</w:t>
      </w:r>
      <w:proofErr w:type="gramEnd"/>
      <w:r w:rsidR="0088399F">
        <w:t xml:space="preserve"> </w:t>
      </w:r>
      <w:r w:rsidR="00907C4D">
        <w:t>accompanied by a medical aide</w:t>
      </w:r>
      <w:r w:rsidR="0088399F">
        <w:t xml:space="preserve">.  </w:t>
      </w:r>
      <w:r w:rsidR="00E44267">
        <w:t xml:space="preserve">He </w:t>
      </w:r>
      <w:r w:rsidR="00907C4D">
        <w:t xml:space="preserve">is a client of the </w:t>
      </w:r>
      <w:r w:rsidR="00E44267">
        <w:t xml:space="preserve">San Andreas Regional Center, a facility designated to “assist persons with developmental disabilities and their families </w:t>
      </w:r>
      <w:r w:rsidR="00963007">
        <w:t>i</w:t>
      </w:r>
      <w:r w:rsidR="00963007" w:rsidRPr="00963007">
        <w:t>n securing those services and supports which maximize opportunities and choices for living, working, learning, and recreating in the community</w:t>
      </w:r>
      <w:r w:rsidR="00963007">
        <w:t>” (Welf. &amp; Inst. Code, §</w:t>
      </w:r>
      <w:r w:rsidR="008E64E7">
        <w:t> </w:t>
      </w:r>
      <w:r w:rsidR="00963007">
        <w:t xml:space="preserve">4640.7, subd. (a)), and he </w:t>
      </w:r>
      <w:r w:rsidR="0088399F">
        <w:t xml:space="preserve">is </w:t>
      </w:r>
      <w:r w:rsidR="00963007">
        <w:t>eligible for the center’s services for life.</w:t>
      </w:r>
    </w:p>
    <w:p w14:paraId="59529BAA" w14:textId="3B725D21" w:rsidR="007F0DE9" w:rsidRDefault="005E541A" w:rsidP="00963007">
      <w:r>
        <w:tab/>
        <w:t xml:space="preserve">J.M. came to the attention of the Santa Clara County Department of Family and Children’s Services (the Department) </w:t>
      </w:r>
      <w:r w:rsidR="00D1655D">
        <w:t xml:space="preserve">in 2017 when </w:t>
      </w:r>
      <w:r>
        <w:t xml:space="preserve">the </w:t>
      </w:r>
      <w:r w:rsidR="00907C4D">
        <w:t xml:space="preserve">children’s </w:t>
      </w:r>
      <w:r>
        <w:t>hospital declared him medically cleared for discharge</w:t>
      </w:r>
      <w:r w:rsidR="002B1233">
        <w:t>,</w:t>
      </w:r>
      <w:r w:rsidR="0088399F">
        <w:t xml:space="preserve"> </w:t>
      </w:r>
      <w:r w:rsidR="002B1233">
        <w:t xml:space="preserve">provided </w:t>
      </w:r>
      <w:r w:rsidR="00964F3B">
        <w:t xml:space="preserve">that </w:t>
      </w:r>
      <w:r w:rsidR="0088399F" w:rsidRPr="00D86430">
        <w:t xml:space="preserve">two adults </w:t>
      </w:r>
      <w:r w:rsidR="00964F3B" w:rsidRPr="00D86430">
        <w:t xml:space="preserve">be </w:t>
      </w:r>
      <w:r w:rsidR="0088399F" w:rsidRPr="00D86430">
        <w:t xml:space="preserve">trained </w:t>
      </w:r>
      <w:r w:rsidR="00964F3B" w:rsidRPr="00D86430">
        <w:t>as caregivers</w:t>
      </w:r>
      <w:r w:rsidR="002B1233">
        <w:t>.</w:t>
      </w:r>
      <w:r w:rsidR="0088399F" w:rsidRPr="00D86430">
        <w:t xml:space="preserve"> </w:t>
      </w:r>
      <w:r w:rsidR="002B1233">
        <w:t xml:space="preserve"> N</w:t>
      </w:r>
      <w:r w:rsidR="0088399F" w:rsidRPr="00D86430">
        <w:t xml:space="preserve">either </w:t>
      </w:r>
      <w:r w:rsidRPr="00D86430">
        <w:t>parent had completed the necessary training.</w:t>
      </w:r>
      <w:r>
        <w:t xml:space="preserve">  </w:t>
      </w:r>
      <w:r w:rsidR="002B1233">
        <w:t xml:space="preserve">J.M.’s </w:t>
      </w:r>
      <w:r w:rsidR="006440BA">
        <w:t xml:space="preserve">father </w:t>
      </w:r>
      <w:r w:rsidR="00D77610">
        <w:t xml:space="preserve">had never visited </w:t>
      </w:r>
      <w:r w:rsidR="006440BA">
        <w:t>him</w:t>
      </w:r>
      <w:r w:rsidR="00D77610">
        <w:t>, and his mother</w:t>
      </w:r>
      <w:r w:rsidR="006440BA">
        <w:t>’s visits were infrequent</w:t>
      </w:r>
      <w:r w:rsidR="00D77610">
        <w:t xml:space="preserve">.  </w:t>
      </w:r>
      <w:r w:rsidR="00907C4D">
        <w:t xml:space="preserve">J.M. </w:t>
      </w:r>
      <w:r w:rsidR="00D77610">
        <w:t>was taken into protect</w:t>
      </w:r>
      <w:r w:rsidR="006440BA">
        <w:t>ive</w:t>
      </w:r>
      <w:r w:rsidR="00D77610">
        <w:t xml:space="preserve"> custody while continuing to reside at the hospital, and the Department filed a petition alleging that he was subject to the juvenile court’s jurisdiction because his parents were unwilling and/or unable to care for him upon discharge, and that both parents had a history of substance abuse.  (Welf. &amp; Inst. Code, § 300, subds</w:t>
      </w:r>
      <w:r w:rsidR="00C922AB">
        <w:t>.</w:t>
      </w:r>
      <w:r w:rsidR="00D77610">
        <w:t xml:space="preserve"> (b)(1), (g).)  The petition was sustained</w:t>
      </w:r>
      <w:r w:rsidR="00D1655D">
        <w:t xml:space="preserve"> and</w:t>
      </w:r>
      <w:r w:rsidR="00D77610">
        <w:t xml:space="preserve"> J.M. was declared a dependent of the court</w:t>
      </w:r>
      <w:r w:rsidR="006440BA">
        <w:t>.</w:t>
      </w:r>
      <w:r w:rsidR="00D1655D">
        <w:t xml:space="preserve">  F</w:t>
      </w:r>
      <w:r w:rsidR="007F0DE9">
        <w:t>amily reunification services were ordered for both parents</w:t>
      </w:r>
      <w:r w:rsidR="00D1655D">
        <w:t>,</w:t>
      </w:r>
      <w:r w:rsidR="000E1983">
        <w:t xml:space="preserve"> </w:t>
      </w:r>
      <w:r w:rsidR="00D1655D">
        <w:t>but n</w:t>
      </w:r>
      <w:r w:rsidR="007F0DE9">
        <w:t>either embraced reunification</w:t>
      </w:r>
      <w:r w:rsidR="00907C4D">
        <w:t>,</w:t>
      </w:r>
      <w:r w:rsidR="007F0DE9">
        <w:t xml:space="preserve"> services were terminated</w:t>
      </w:r>
      <w:r w:rsidR="00907C4D">
        <w:t>,</w:t>
      </w:r>
      <w:r w:rsidR="007F0DE9">
        <w:t xml:space="preserve"> </w:t>
      </w:r>
      <w:r w:rsidR="00907C4D">
        <w:t>and the matter was set for a hearing under Welfare and Institutions Code section 366.26</w:t>
      </w:r>
      <w:r w:rsidR="002B1233">
        <w:t xml:space="preserve"> to select a permanent plan for J.M</w:t>
      </w:r>
      <w:r w:rsidR="00907C4D">
        <w:t>.</w:t>
      </w:r>
    </w:p>
    <w:p w14:paraId="512A9DF3" w14:textId="1CD9E6FE" w:rsidR="008A660F" w:rsidRDefault="007F0DE9" w:rsidP="00963007">
      <w:r>
        <w:tab/>
        <w:t>The Department assessed</w:t>
      </w:r>
      <w:r w:rsidR="009B4D4E">
        <w:t xml:space="preserve"> J.M. as “not adoptable” due to his </w:t>
      </w:r>
      <w:r w:rsidR="00980742">
        <w:t xml:space="preserve">complex </w:t>
      </w:r>
      <w:r w:rsidR="009B4D4E">
        <w:t xml:space="preserve">specialized </w:t>
      </w:r>
      <w:r w:rsidR="006440BA">
        <w:t>needs</w:t>
      </w:r>
      <w:r w:rsidR="009B4D4E">
        <w:t xml:space="preserve">.  The Department recommended a permanent plan of legal guardianship with J.M.’s maternal grandmother, who visited J.M. regularly and with whom J.M. had </w:t>
      </w:r>
      <w:r w:rsidR="00B1303D">
        <w:t xml:space="preserve">formed </w:t>
      </w:r>
      <w:r w:rsidR="00B1303D">
        <w:lastRenderedPageBreak/>
        <w:t xml:space="preserve">a positive emotional </w:t>
      </w:r>
      <w:r w:rsidR="009B4D4E">
        <w:t xml:space="preserve">bond.  </w:t>
      </w:r>
      <w:r w:rsidR="00390284">
        <w:t xml:space="preserve">J.M.’s two siblings, close to him in age, were also in </w:t>
      </w:r>
      <w:r w:rsidR="002B1233">
        <w:t xml:space="preserve">the </w:t>
      </w:r>
      <w:r w:rsidR="00390284">
        <w:t xml:space="preserve">grandmother’s care, and she was committed to maintaining </w:t>
      </w:r>
      <w:r w:rsidR="00012DA0">
        <w:t xml:space="preserve">the </w:t>
      </w:r>
      <w:r w:rsidR="00390284">
        <w:t xml:space="preserve">sibling relationships.  </w:t>
      </w:r>
      <w:r w:rsidR="009B4D4E">
        <w:t>The social worker</w:t>
      </w:r>
      <w:r w:rsidR="002D26AF">
        <w:t xml:space="preserve">’s report </w:t>
      </w:r>
      <w:r w:rsidR="00B1303D">
        <w:t xml:space="preserve">stated </w:t>
      </w:r>
      <w:r w:rsidR="009B4D4E">
        <w:t xml:space="preserve">that </w:t>
      </w:r>
      <w:r w:rsidR="002D26AF">
        <w:t xml:space="preserve">J.M.’s </w:t>
      </w:r>
      <w:r w:rsidR="009B4D4E">
        <w:t xml:space="preserve">grandmother </w:t>
      </w:r>
      <w:r w:rsidR="00B1303D">
        <w:t xml:space="preserve">sought </w:t>
      </w:r>
      <w:r w:rsidR="009B4D4E">
        <w:t>legal guardian</w:t>
      </w:r>
      <w:r w:rsidR="00B1303D">
        <w:t>ship</w:t>
      </w:r>
      <w:r w:rsidR="009B4D4E">
        <w:t xml:space="preserve"> because she understood </w:t>
      </w:r>
      <w:r w:rsidR="00B1303D">
        <w:t xml:space="preserve">her grandson’s specialized </w:t>
      </w:r>
      <w:r w:rsidR="002B1233">
        <w:t xml:space="preserve">care requirements and </w:t>
      </w:r>
      <w:r w:rsidR="00B1303D">
        <w:t>his emotional need for a familial connection</w:t>
      </w:r>
      <w:r w:rsidR="00390284">
        <w:t>—a need</w:t>
      </w:r>
      <w:r w:rsidR="00B1303D">
        <w:t xml:space="preserve"> </w:t>
      </w:r>
      <w:r w:rsidR="009B4D4E">
        <w:t xml:space="preserve">that </w:t>
      </w:r>
      <w:r w:rsidR="002B1233">
        <w:t>her daughter (J</w:t>
      </w:r>
      <w:r w:rsidR="002D26AF">
        <w:t>.M.’s mother</w:t>
      </w:r>
      <w:r w:rsidR="002B1233">
        <w:t>)</w:t>
      </w:r>
      <w:r w:rsidR="00B40B43">
        <w:t>,</w:t>
      </w:r>
      <w:r w:rsidR="009B6234">
        <w:t xml:space="preserve"> </w:t>
      </w:r>
      <w:r w:rsidR="006D7593">
        <w:t xml:space="preserve">who </w:t>
      </w:r>
      <w:r w:rsidR="009B6234">
        <w:t>struggl</w:t>
      </w:r>
      <w:r w:rsidR="006D7593">
        <w:t>ed</w:t>
      </w:r>
      <w:r w:rsidR="009B6234">
        <w:t xml:space="preserve"> with sobriety</w:t>
      </w:r>
      <w:r w:rsidR="00B40B43">
        <w:t>,</w:t>
      </w:r>
      <w:r w:rsidR="002D26AF">
        <w:t xml:space="preserve"> was unable to </w:t>
      </w:r>
      <w:r w:rsidR="00390284">
        <w:t>meet</w:t>
      </w:r>
      <w:r w:rsidR="002D26AF">
        <w:t>.</w:t>
      </w:r>
      <w:r w:rsidR="000E1983">
        <w:t xml:space="preserve"> </w:t>
      </w:r>
      <w:r w:rsidR="002D26AF">
        <w:t xml:space="preserve"> </w:t>
      </w:r>
      <w:r w:rsidR="009B6234">
        <w:t>The grandmother understood the responsibilities of a legal guardianship</w:t>
      </w:r>
      <w:r w:rsidR="00B1303D">
        <w:t xml:space="preserve">; </w:t>
      </w:r>
      <w:r w:rsidR="009B6234">
        <w:t xml:space="preserve">she was committed to overseeing J.M.’s care and providing the </w:t>
      </w:r>
      <w:r w:rsidR="00FA4C5D">
        <w:t>“</w:t>
      </w:r>
      <w:r w:rsidR="009B6234">
        <w:t>continuous emotional support and the family connection that the department and/or any other institution are not able to afford him</w:t>
      </w:r>
      <w:r w:rsidR="00B1303D">
        <w:t>.</w:t>
      </w:r>
      <w:r w:rsidR="006D7593">
        <w:t>”</w:t>
      </w:r>
      <w:r w:rsidR="00B1303D">
        <w:t xml:space="preserve">  </w:t>
      </w:r>
      <w:r w:rsidR="006D7593">
        <w:t>An addendum report explained that the Department ha</w:t>
      </w:r>
      <w:r w:rsidR="002B1233">
        <w:t>d</w:t>
      </w:r>
      <w:r w:rsidR="006D7593">
        <w:t xml:space="preserve"> been unable to find</w:t>
      </w:r>
      <w:r w:rsidR="00F068B8">
        <w:t xml:space="preserve"> a qualified placement for J.M. because of his need for subacute care, and </w:t>
      </w:r>
      <w:r w:rsidR="002B1233">
        <w:t xml:space="preserve">the regional center </w:t>
      </w:r>
      <w:r w:rsidR="00F068B8">
        <w:t xml:space="preserve">had </w:t>
      </w:r>
      <w:r w:rsidR="008A660F">
        <w:t xml:space="preserve">reached out </w:t>
      </w:r>
      <w:r w:rsidR="00F068B8">
        <w:t xml:space="preserve">to care facilities in </w:t>
      </w:r>
      <w:r w:rsidR="006077F6">
        <w:t xml:space="preserve">Stanislaus </w:t>
      </w:r>
      <w:r w:rsidR="00F068B8">
        <w:t xml:space="preserve">County </w:t>
      </w:r>
      <w:r w:rsidR="008A660F">
        <w:t>(</w:t>
      </w:r>
      <w:r w:rsidR="002978F7">
        <w:t xml:space="preserve">mother and </w:t>
      </w:r>
      <w:r w:rsidR="00F068B8">
        <w:t xml:space="preserve">grandmother </w:t>
      </w:r>
      <w:r w:rsidR="00012DA0">
        <w:t xml:space="preserve">moved to </w:t>
      </w:r>
      <w:r w:rsidR="006077F6">
        <w:t>Modesto</w:t>
      </w:r>
      <w:r w:rsidR="00012DA0">
        <w:t xml:space="preserve"> in 2017</w:t>
      </w:r>
      <w:r w:rsidR="008A660F">
        <w:t xml:space="preserve">) which were </w:t>
      </w:r>
      <w:r w:rsidR="006077F6">
        <w:t xml:space="preserve">either </w:t>
      </w:r>
      <w:r w:rsidR="008A660F">
        <w:t>full or accept</w:t>
      </w:r>
      <w:r w:rsidR="00076829">
        <w:t>ing</w:t>
      </w:r>
      <w:r w:rsidR="008A660F">
        <w:t xml:space="preserve"> only adult referrals</w:t>
      </w:r>
      <w:r w:rsidR="00F068B8">
        <w:t>.</w:t>
      </w:r>
    </w:p>
    <w:p w14:paraId="6AFA6145" w14:textId="538A9AA7" w:rsidR="00C80EBC" w:rsidRDefault="008A660F" w:rsidP="00963007">
      <w:r>
        <w:tab/>
      </w:r>
      <w:r w:rsidR="00076829">
        <w:t xml:space="preserve">At </w:t>
      </w:r>
      <w:r w:rsidR="009C4FAC">
        <w:t>a contested hearing to determine J.M</w:t>
      </w:r>
      <w:r w:rsidR="00FA4C5D">
        <w:t>.</w:t>
      </w:r>
      <w:r w:rsidR="009C4FAC">
        <w:t>’s permanent plan</w:t>
      </w:r>
      <w:r w:rsidR="00076829">
        <w:t>,</w:t>
      </w:r>
      <w:r w:rsidR="00C80EBC">
        <w:t xml:space="preserve"> </w:t>
      </w:r>
      <w:r w:rsidR="00076829">
        <w:t xml:space="preserve">the </w:t>
      </w:r>
      <w:r w:rsidR="00B40B43">
        <w:t xml:space="preserve">juvenile </w:t>
      </w:r>
      <w:r w:rsidR="009C4FAC">
        <w:t xml:space="preserve">court admitted </w:t>
      </w:r>
      <w:r w:rsidR="008B0AED" w:rsidRPr="006329A3">
        <w:t xml:space="preserve">in evidence </w:t>
      </w:r>
      <w:r w:rsidR="009C4FAC">
        <w:t xml:space="preserve">the social worker’s reports and the following stipulations:  J.M. had resided at the </w:t>
      </w:r>
      <w:r w:rsidR="00390284">
        <w:t xml:space="preserve">children’s </w:t>
      </w:r>
      <w:r w:rsidR="009C4FAC">
        <w:t xml:space="preserve">hospital since December 1, 2010; J.M. was cleared for discharge from the hospital; grandmother completed some but not all of the training to care for J.M.; grandmother did not reside in accessible housing and had no plans to obtain accessible housing; and grandmother was not seeking placement of J.M. in her home.  </w:t>
      </w:r>
      <w:r w:rsidR="00980742">
        <w:t xml:space="preserve">J.M. opposed the </w:t>
      </w:r>
      <w:r w:rsidR="00076829">
        <w:t xml:space="preserve">Department’s proposed </w:t>
      </w:r>
      <w:r w:rsidR="00980742">
        <w:t xml:space="preserve">permanency plan, arguing that the juvenile court lacked statutory authority to appoint grandmother as legal guardian without him </w:t>
      </w:r>
      <w:r w:rsidR="00CD5523">
        <w:t xml:space="preserve">being </w:t>
      </w:r>
      <w:r w:rsidR="00980742">
        <w:t xml:space="preserve">in her </w:t>
      </w:r>
      <w:r w:rsidR="00CD5523">
        <w:t xml:space="preserve">physical </w:t>
      </w:r>
      <w:r w:rsidR="00980742">
        <w:t xml:space="preserve">custody, and that the plan was not in his best interest because it would relieve the Department of any obligation to find a less restrictive placement, </w:t>
      </w:r>
      <w:r>
        <w:t>thus “</w:t>
      </w:r>
      <w:r w:rsidR="00980742">
        <w:t>functionally committing [</w:t>
      </w:r>
      <w:r w:rsidR="00CD5523">
        <w:t>J.M.</w:t>
      </w:r>
      <w:r w:rsidR="00980742">
        <w:t xml:space="preserve">] to indefinite institutional care.”  </w:t>
      </w:r>
    </w:p>
    <w:p w14:paraId="227286C9" w14:textId="6EB7B948" w:rsidR="009D6B7D" w:rsidRDefault="009D6B7D" w:rsidP="00963007">
      <w:r>
        <w:tab/>
        <w:t xml:space="preserve">The juvenile court adopted the Department’s recommendation.  It found that the permanent plan of legal guardianship was </w:t>
      </w:r>
      <w:r w:rsidR="00980742">
        <w:t xml:space="preserve">statutorily authorized and in </w:t>
      </w:r>
      <w:r>
        <w:t xml:space="preserve">J.M.’s best interest due to his </w:t>
      </w:r>
      <w:r w:rsidR="00076829">
        <w:t xml:space="preserve">unusual </w:t>
      </w:r>
      <w:r>
        <w:t>needs.  It appointed grandmother as legal guardian</w:t>
      </w:r>
      <w:r w:rsidR="00CD5523">
        <w:t>,</w:t>
      </w:r>
      <w:r>
        <w:t xml:space="preserve"> </w:t>
      </w:r>
      <w:r w:rsidR="00CD5523">
        <w:t xml:space="preserve">continued </w:t>
      </w:r>
      <w:r w:rsidR="00CD5523">
        <w:lastRenderedPageBreak/>
        <w:t>dependency jurisdiction</w:t>
      </w:r>
      <w:r w:rsidR="00C179DA">
        <w:t xml:space="preserve"> with </w:t>
      </w:r>
      <w:r w:rsidR="00CC1BBE">
        <w:t xml:space="preserve">2028 as the </w:t>
      </w:r>
      <w:r w:rsidR="00C179DA">
        <w:t xml:space="preserve">anticipated termination </w:t>
      </w:r>
      <w:r w:rsidR="00CC1BBE">
        <w:t>date</w:t>
      </w:r>
      <w:r w:rsidR="00CD5523">
        <w:t xml:space="preserve">, and </w:t>
      </w:r>
      <w:r>
        <w:t>plac</w:t>
      </w:r>
      <w:r w:rsidR="00CD5523">
        <w:t xml:space="preserve">ed </w:t>
      </w:r>
      <w:r>
        <w:t>J.M. in the care, custody, and control of grandmother under the supervision of the Department</w:t>
      </w:r>
      <w:r w:rsidR="00CD5523">
        <w:t>.</w:t>
      </w:r>
      <w:r>
        <w:t xml:space="preserve">  </w:t>
      </w:r>
      <w:r w:rsidR="00EA27BC">
        <w:t xml:space="preserve">The court </w:t>
      </w:r>
      <w:r>
        <w:t>asked the Department to continue to look for a more permanent placement for J.M.</w:t>
      </w:r>
      <w:r w:rsidR="00EA27BC">
        <w:t>,</w:t>
      </w:r>
      <w:r>
        <w:t xml:space="preserve"> </w:t>
      </w:r>
      <w:r w:rsidR="00EA27BC">
        <w:t xml:space="preserve">and it set a </w:t>
      </w:r>
      <w:r w:rsidR="00390284">
        <w:t>six</w:t>
      </w:r>
      <w:r w:rsidR="00EA27BC">
        <w:t>-month post permanency review hearing.</w:t>
      </w:r>
      <w:r w:rsidR="00D06818">
        <w:t xml:space="preserve">  </w:t>
      </w:r>
    </w:p>
    <w:p w14:paraId="1EA98418" w14:textId="77777777" w:rsidR="00D06818" w:rsidRDefault="00D06818" w:rsidP="00D06818">
      <w:pPr>
        <w:pStyle w:val="Heading1"/>
      </w:pPr>
      <w:r>
        <w:t xml:space="preserve">  discussion</w:t>
      </w:r>
    </w:p>
    <w:p w14:paraId="683D5399" w14:textId="0B24F760" w:rsidR="00EB6737" w:rsidRDefault="008A4F74" w:rsidP="00963007">
      <w:r>
        <w:tab/>
      </w:r>
      <w:r w:rsidR="008A660F">
        <w:t>Welfare and Institutions Code s</w:t>
      </w:r>
      <w:r>
        <w:t xml:space="preserve">ection 366.26 governs a juvenile court’s </w:t>
      </w:r>
      <w:r w:rsidR="00353FCC">
        <w:t>selection of a permanen</w:t>
      </w:r>
      <w:r w:rsidR="007856CC">
        <w:t>t</w:t>
      </w:r>
      <w:r w:rsidR="00353FCC">
        <w:t xml:space="preserve"> plan for </w:t>
      </w:r>
      <w:r w:rsidR="00AF120F">
        <w:t xml:space="preserve">a </w:t>
      </w:r>
      <w:r w:rsidR="00353FCC">
        <w:t xml:space="preserve">dependent </w:t>
      </w:r>
      <w:r w:rsidR="00AF120F">
        <w:t xml:space="preserve">child </w:t>
      </w:r>
      <w:r w:rsidR="006F2A5D">
        <w:t>when the child cannot be reunited with his or her parents</w:t>
      </w:r>
      <w:r w:rsidR="00353FCC">
        <w:t xml:space="preserve">.  </w:t>
      </w:r>
      <w:r w:rsidR="008A660F">
        <w:t>(</w:t>
      </w:r>
      <w:r w:rsidR="008E4A9F">
        <w:t>U</w:t>
      </w:r>
      <w:r w:rsidR="008A660F">
        <w:t>ndesignated subdivision</w:t>
      </w:r>
      <w:r w:rsidR="00076829">
        <w:t xml:space="preserve"> and paragraph references </w:t>
      </w:r>
      <w:r w:rsidR="008A660F">
        <w:t xml:space="preserve">are to this code section.)  </w:t>
      </w:r>
      <w:r w:rsidR="00353FCC">
        <w:t xml:space="preserve">Subdivision (b) requires </w:t>
      </w:r>
      <w:r w:rsidR="00390284">
        <w:t xml:space="preserve">that </w:t>
      </w:r>
      <w:r w:rsidR="00076829">
        <w:t xml:space="preserve">the </w:t>
      </w:r>
      <w:r w:rsidR="00390284">
        <w:t xml:space="preserve">placement </w:t>
      </w:r>
      <w:r w:rsidR="0053621B">
        <w:t xml:space="preserve">decision </w:t>
      </w:r>
      <w:r w:rsidR="00353FCC">
        <w:t xml:space="preserve">be made </w:t>
      </w:r>
      <w:r w:rsidR="00076829">
        <w:t xml:space="preserve">according to </w:t>
      </w:r>
      <w:r w:rsidR="00353FCC">
        <w:t xml:space="preserve">the following </w:t>
      </w:r>
      <w:r w:rsidR="004B3912">
        <w:t>order of preference</w:t>
      </w:r>
      <w:r w:rsidR="00353FCC">
        <w:t>:  adoption; legal guardianship to a relative with whom the dependent child is living; legal guardianship to</w:t>
      </w:r>
      <w:r w:rsidR="004B3912">
        <w:t xml:space="preserve"> a non-relative; permanent placement with a fit and willing relative; and foster care</w:t>
      </w:r>
      <w:r w:rsidR="00C4291F">
        <w:t xml:space="preserve">. </w:t>
      </w:r>
      <w:r w:rsidR="004B3912">
        <w:t xml:space="preserve"> (</w:t>
      </w:r>
      <w:r w:rsidR="00BB37ED">
        <w:t>S</w:t>
      </w:r>
      <w:r w:rsidR="004B3912">
        <w:t>ubd. (b)(1)–(7)</w:t>
      </w:r>
      <w:r w:rsidR="00C4291F">
        <w:t>.</w:t>
      </w:r>
      <w:r w:rsidR="004B3912">
        <w:t>)</w:t>
      </w:r>
      <w:r w:rsidR="00C4291F">
        <w:t xml:space="preserve">  In choosing among the </w:t>
      </w:r>
      <w:r w:rsidR="002978F7">
        <w:t>options</w:t>
      </w:r>
      <w:r w:rsidR="00C4291F">
        <w:t xml:space="preserve">, the juvenile </w:t>
      </w:r>
      <w:r w:rsidR="008A660F">
        <w:t xml:space="preserve">court is directed to </w:t>
      </w:r>
      <w:r w:rsidR="00EB6737">
        <w:t>“</w:t>
      </w:r>
      <w:r w:rsidR="00C4291F">
        <w:t xml:space="preserve">proceed </w:t>
      </w:r>
      <w:r w:rsidR="00EB6737">
        <w:t>pursuant to subdivision (c).</w:t>
      </w:r>
      <w:r w:rsidR="00C4291F">
        <w:t>”</w:t>
      </w:r>
      <w:r w:rsidR="00EB6737">
        <w:t xml:space="preserve">  (</w:t>
      </w:r>
      <w:r w:rsidR="00BB37ED">
        <w:t>S</w:t>
      </w:r>
      <w:r w:rsidR="00EB6737">
        <w:t>ubd.</w:t>
      </w:r>
      <w:r w:rsidR="000E1983">
        <w:t> </w:t>
      </w:r>
      <w:r w:rsidR="00EB6737">
        <w:t>(b).)</w:t>
      </w:r>
      <w:r w:rsidR="00076829">
        <w:t xml:space="preserve">  </w:t>
      </w:r>
      <w:r w:rsidR="004B3912">
        <w:t xml:space="preserve">Under </w:t>
      </w:r>
      <w:r w:rsidR="00466F6B">
        <w:t xml:space="preserve">paragraph (1) of </w:t>
      </w:r>
      <w:r w:rsidR="004B3912">
        <w:t xml:space="preserve">subdivision (c), the juvenile court </w:t>
      </w:r>
      <w:r w:rsidR="0021755B">
        <w:t xml:space="preserve">first </w:t>
      </w:r>
      <w:r w:rsidR="004B3912">
        <w:t>determine</w:t>
      </w:r>
      <w:r w:rsidR="00076829">
        <w:t>s</w:t>
      </w:r>
      <w:r w:rsidR="004B3912">
        <w:t xml:space="preserve"> whether </w:t>
      </w:r>
      <w:r w:rsidR="00B77465">
        <w:t xml:space="preserve">the child </w:t>
      </w:r>
      <w:r w:rsidR="007856CC">
        <w:t xml:space="preserve">is likely to be </w:t>
      </w:r>
      <w:r w:rsidR="00B77465">
        <w:t>adopted</w:t>
      </w:r>
      <w:r w:rsidR="00EB6737">
        <w:t>.</w:t>
      </w:r>
      <w:r w:rsidR="004B3912">
        <w:t xml:space="preserve"> </w:t>
      </w:r>
      <w:r w:rsidR="00EB6737">
        <w:t xml:space="preserve"> If </w:t>
      </w:r>
      <w:r w:rsidR="004B3912">
        <w:t xml:space="preserve">so, </w:t>
      </w:r>
      <w:r w:rsidR="00695427">
        <w:t xml:space="preserve">paragraph (c)(1) </w:t>
      </w:r>
      <w:r w:rsidR="001C683C">
        <w:t xml:space="preserve">directs </w:t>
      </w:r>
      <w:r w:rsidR="00695427">
        <w:t xml:space="preserve">the court </w:t>
      </w:r>
      <w:r w:rsidR="00B77465">
        <w:t>to terminate parental rights and order the child placed for adoption.  (</w:t>
      </w:r>
      <w:r w:rsidR="00BB37ED">
        <w:t>S</w:t>
      </w:r>
      <w:r w:rsidR="00B77465">
        <w:t xml:space="preserve">ubd. (c)(1).)  </w:t>
      </w:r>
      <w:r w:rsidR="00076829">
        <w:t xml:space="preserve">Subdivision (c) also provides exceptions to terminating parental rights.  </w:t>
      </w:r>
      <w:r w:rsidR="009D04EB" w:rsidRPr="007856CC">
        <w:t xml:space="preserve">One of those exceptions </w:t>
      </w:r>
      <w:r w:rsidR="007856CC" w:rsidRPr="007856CC">
        <w:t xml:space="preserve">applies </w:t>
      </w:r>
      <w:r w:rsidR="00695427" w:rsidRPr="007856CC">
        <w:t>when</w:t>
      </w:r>
      <w:r w:rsidR="00695427">
        <w:t xml:space="preserve"> the court </w:t>
      </w:r>
      <w:r w:rsidR="00B77465">
        <w:t>finds</w:t>
      </w:r>
      <w:r w:rsidR="00AF120F">
        <w:t xml:space="preserve"> that terminating parental rights would be detrimental to the child in circumstances including when “[t]</w:t>
      </w:r>
      <w:r w:rsidR="00AF120F" w:rsidRPr="00AF120F">
        <w:t>he child is placed in a residential treatment facility, adoption is unlikely or undesirable, and continuation of parental rights will not prevent finding the child a permanent family placement if the parents cannot resume custody when residential care is no longer needed.</w:t>
      </w:r>
      <w:r w:rsidR="00AF120F">
        <w:t>”  (</w:t>
      </w:r>
      <w:r w:rsidR="00BB37ED">
        <w:t>S</w:t>
      </w:r>
      <w:r w:rsidR="00AF120F">
        <w:t>ubd.</w:t>
      </w:r>
      <w:r w:rsidR="00493685">
        <w:t> </w:t>
      </w:r>
      <w:r w:rsidR="00AF120F">
        <w:t xml:space="preserve">(c)(1)(B)(iii).)  </w:t>
      </w:r>
      <w:r w:rsidR="00F450D2">
        <w:t>P</w:t>
      </w:r>
      <w:r w:rsidR="00EB6737">
        <w:t xml:space="preserve">aragraph </w:t>
      </w:r>
      <w:r w:rsidR="00F450D2">
        <w:t>(</w:t>
      </w:r>
      <w:r w:rsidR="00EB6737">
        <w:t>2</w:t>
      </w:r>
      <w:r w:rsidR="00F450D2">
        <w:t>)</w:t>
      </w:r>
      <w:r w:rsidR="00EB6737">
        <w:t xml:space="preserve"> of subdivision (c)</w:t>
      </w:r>
      <w:r w:rsidR="001C5EE9">
        <w:t xml:space="preserve"> provide</w:t>
      </w:r>
      <w:r w:rsidR="0093175A">
        <w:t>s</w:t>
      </w:r>
      <w:r w:rsidR="001C5EE9">
        <w:t xml:space="preserve"> </w:t>
      </w:r>
      <w:r w:rsidR="00F450D2">
        <w:t xml:space="preserve">an </w:t>
      </w:r>
      <w:r w:rsidR="001C5EE9">
        <w:t>exception</w:t>
      </w:r>
      <w:r w:rsidR="00F450D2">
        <w:t xml:space="preserve"> </w:t>
      </w:r>
      <w:r w:rsidR="001C5EE9">
        <w:t>to terminatin</w:t>
      </w:r>
      <w:r w:rsidR="00F450D2">
        <w:t>g parental rights</w:t>
      </w:r>
      <w:r w:rsidR="001C5EE9">
        <w:t xml:space="preserve"> when the </w:t>
      </w:r>
      <w:r w:rsidR="000C0B49">
        <w:t xml:space="preserve">child welfare agency </w:t>
      </w:r>
      <w:r w:rsidR="00695427">
        <w:t xml:space="preserve">has </w:t>
      </w:r>
      <w:r w:rsidR="000C0B49">
        <w:t>failed in its statutory duties to</w:t>
      </w:r>
      <w:r w:rsidR="001C5EE9">
        <w:t xml:space="preserve"> facilitate reunification</w:t>
      </w:r>
      <w:r w:rsidR="00F450D2">
        <w:t xml:space="preserve">.  </w:t>
      </w:r>
      <w:r w:rsidR="0093175A">
        <w:t>(</w:t>
      </w:r>
      <w:r w:rsidR="00BB37ED">
        <w:t>S</w:t>
      </w:r>
      <w:r w:rsidR="0093175A">
        <w:t>ubd.</w:t>
      </w:r>
      <w:r w:rsidR="000E1983">
        <w:t> </w:t>
      </w:r>
      <w:r w:rsidR="0093175A">
        <w:t xml:space="preserve">(c)(2)(A).)  </w:t>
      </w:r>
      <w:r w:rsidR="00F450D2">
        <w:t xml:space="preserve">Under paragraph (3) of subdivision (c), a permanent placement goal of adoption is ordered without terminating parental rights </w:t>
      </w:r>
      <w:r w:rsidR="00FB504D">
        <w:lastRenderedPageBreak/>
        <w:t xml:space="preserve">when placement for adoption is deemed difficult for </w:t>
      </w:r>
      <w:r w:rsidR="0093175A">
        <w:t xml:space="preserve">specified </w:t>
      </w:r>
      <w:r w:rsidR="00FB504D">
        <w:t xml:space="preserve">reasons and </w:t>
      </w:r>
      <w:r w:rsidR="007856CC">
        <w:t xml:space="preserve">not </w:t>
      </w:r>
      <w:r w:rsidR="00FB504D">
        <w:t xml:space="preserve">terminating </w:t>
      </w:r>
      <w:r w:rsidR="001C5EE9">
        <w:t xml:space="preserve">parental rights </w:t>
      </w:r>
      <w:r w:rsidR="007856CC">
        <w:t xml:space="preserve">creates no </w:t>
      </w:r>
      <w:r w:rsidR="001C5EE9">
        <w:t>detriment</w:t>
      </w:r>
      <w:r w:rsidR="007856CC">
        <w:t xml:space="preserve"> </w:t>
      </w:r>
      <w:r w:rsidR="001C5EE9">
        <w:t>to the child</w:t>
      </w:r>
      <w:r w:rsidR="00F450D2">
        <w:t xml:space="preserve">.  </w:t>
      </w:r>
      <w:r w:rsidR="0093175A">
        <w:t>(</w:t>
      </w:r>
      <w:r w:rsidR="00BB37ED">
        <w:t>S</w:t>
      </w:r>
      <w:r w:rsidR="0093175A">
        <w:t>ubd. (c)(3).)</w:t>
      </w:r>
    </w:p>
    <w:p w14:paraId="13BD0E58" w14:textId="77777777" w:rsidR="00CF152D" w:rsidRDefault="00466F6B" w:rsidP="00963007">
      <w:r>
        <w:tab/>
      </w:r>
      <w:r w:rsidR="0093175A">
        <w:t>Subp</w:t>
      </w:r>
      <w:r>
        <w:t xml:space="preserve">aragraph </w:t>
      </w:r>
      <w:r w:rsidR="007856CC">
        <w:t>(c)</w:t>
      </w:r>
      <w:r>
        <w:t>(4)(A)</w:t>
      </w:r>
      <w:r w:rsidR="00695427">
        <w:t>, invoked by the juvenile court here,</w:t>
      </w:r>
      <w:r w:rsidR="00A85EC8">
        <w:t xml:space="preserve"> </w:t>
      </w:r>
      <w:r>
        <w:t xml:space="preserve">applies </w:t>
      </w:r>
      <w:r w:rsidR="004A771B">
        <w:t xml:space="preserve">“[i]f the court finds that adoption of the child or termination of parental rights is not in the best interest of the child, because one of the conditions in </w:t>
      </w:r>
      <w:r w:rsidR="004A771B" w:rsidRPr="004A771B">
        <w:t>clause (i), (ii), (iii), (iv), (v), or (vi) of subparagraph (B) of paragraph (1) or in paragraph (2) applies</w:t>
      </w:r>
      <w:r w:rsidR="004A771B">
        <w:t>.”  (</w:t>
      </w:r>
      <w:r w:rsidR="003E6680">
        <w:t>S</w:t>
      </w:r>
      <w:r w:rsidR="004A771B">
        <w:t xml:space="preserve">ubd. (c)(4)(A).)  </w:t>
      </w:r>
      <w:r w:rsidR="007856CC" w:rsidRPr="007856CC">
        <w:t>The triggering clause here is subparagraph (c)(1)(B)(iii), which requires that the child be residing in a treatment facility</w:t>
      </w:r>
      <w:r w:rsidR="007856CC">
        <w:t xml:space="preserve">.  </w:t>
      </w:r>
      <w:r w:rsidR="00F450D2">
        <w:t xml:space="preserve">Under </w:t>
      </w:r>
      <w:r w:rsidR="009E5C78">
        <w:t xml:space="preserve">any of </w:t>
      </w:r>
      <w:r w:rsidR="00F450D2">
        <w:t>those circumstances, the court is directed to order</w:t>
      </w:r>
      <w:r w:rsidR="006A65BD">
        <w:t xml:space="preserve"> that “the present caretaker or other appropriate person” become the child’s legal guardian.</w:t>
      </w:r>
      <w:r w:rsidR="00A85EC8">
        <w:t xml:space="preserve">  (</w:t>
      </w:r>
      <w:r w:rsidR="00A85EC8" w:rsidRPr="00A85EC8">
        <w:rPr>
          <w:i/>
        </w:rPr>
        <w:t>Ibid</w:t>
      </w:r>
      <w:r w:rsidR="00A85EC8">
        <w:t>.)</w:t>
      </w:r>
      <w:r w:rsidR="001C683C">
        <w:t xml:space="preserve">  </w:t>
      </w:r>
      <w:r w:rsidR="0093175A">
        <w:t xml:space="preserve">The provision further instructs </w:t>
      </w:r>
      <w:r w:rsidR="001C683C">
        <w:t>the juvenile court to consider legal guardianship “before continuing the child in foster care under any other permanent plan if it is in the best interest of the child and if a suitable guardian can be found.”  (</w:t>
      </w:r>
      <w:r w:rsidR="001C683C" w:rsidRPr="001C683C">
        <w:rPr>
          <w:i/>
        </w:rPr>
        <w:t>Ibid</w:t>
      </w:r>
      <w:r w:rsidR="001C683C">
        <w:t>.)</w:t>
      </w:r>
      <w:r w:rsidR="006B13E5">
        <w:rPr>
          <w:rStyle w:val="FootnoteReference"/>
        </w:rPr>
        <w:footnoteReference w:id="1"/>
      </w:r>
    </w:p>
    <w:p w14:paraId="56DBFFD0" w14:textId="77777777" w:rsidR="00C4291F" w:rsidRPr="00C4291F" w:rsidRDefault="00D04674" w:rsidP="003F7C00">
      <w:pPr>
        <w:pStyle w:val="Heading2"/>
      </w:pPr>
      <w:r>
        <w:t>Subp</w:t>
      </w:r>
      <w:r w:rsidR="006D1036">
        <w:t xml:space="preserve">aragraph (c)(4)(A) Applies </w:t>
      </w:r>
      <w:r w:rsidR="00CA736E">
        <w:t xml:space="preserve">Even When </w:t>
      </w:r>
      <w:r w:rsidR="00FA2827">
        <w:t>Adoption is Unlikely</w:t>
      </w:r>
    </w:p>
    <w:p w14:paraId="50F1B118" w14:textId="4DD54D03" w:rsidR="00C4291F" w:rsidRDefault="00C4291F" w:rsidP="00C4291F">
      <w:r>
        <w:tab/>
        <w:t xml:space="preserve">J.M. argues that the juvenile court lacked authority to select a permanent plan of legal guardianship under </w:t>
      </w:r>
      <w:r w:rsidR="00D04674">
        <w:t>sub</w:t>
      </w:r>
      <w:r w:rsidR="00814186">
        <w:t xml:space="preserve">paragraph </w:t>
      </w:r>
      <w:r>
        <w:t xml:space="preserve">(c)(4)(A) because that </w:t>
      </w:r>
      <w:r w:rsidR="00D04674">
        <w:t xml:space="preserve">provision </w:t>
      </w:r>
      <w:r w:rsidR="00CA736E">
        <w:t xml:space="preserve">does not apply </w:t>
      </w:r>
      <w:r w:rsidR="00AC57BC" w:rsidRPr="00FA2827">
        <w:t>unless the court ha</w:t>
      </w:r>
      <w:r w:rsidR="00FA2827" w:rsidRPr="00FA2827">
        <w:t>s</w:t>
      </w:r>
      <w:r w:rsidR="00AC57BC" w:rsidRPr="00FA2827">
        <w:t xml:space="preserve"> made a finding that there is a likelihood of adoption</w:t>
      </w:r>
      <w:r>
        <w:t xml:space="preserve">.  </w:t>
      </w:r>
      <w:r w:rsidR="00FB504D">
        <w:t xml:space="preserve">The argument poses </w:t>
      </w:r>
      <w:r w:rsidR="00CC45AA">
        <w:t xml:space="preserve">a </w:t>
      </w:r>
      <w:r>
        <w:t>question of statutory interpretation subject to our independent review.  (</w:t>
      </w:r>
      <w:r w:rsidRPr="00D06818">
        <w:rPr>
          <w:i/>
        </w:rPr>
        <w:t>In re M.C</w:t>
      </w:r>
      <w:r>
        <w:t xml:space="preserve">. (2011) 199 Cal.App.4th 784, 804.)  </w:t>
      </w:r>
      <w:r w:rsidR="00D04674">
        <w:t xml:space="preserve">Our focus when </w:t>
      </w:r>
      <w:r>
        <w:rPr>
          <w:lang w:bidi="en-US"/>
        </w:rPr>
        <w:t>construing a statute</w:t>
      </w:r>
      <w:r w:rsidR="00D04674">
        <w:rPr>
          <w:lang w:bidi="en-US"/>
        </w:rPr>
        <w:t xml:space="preserve"> is </w:t>
      </w:r>
      <w:r>
        <w:rPr>
          <w:lang w:bidi="en-US"/>
        </w:rPr>
        <w:t xml:space="preserve">to determine and give effect to the intent of the </w:t>
      </w:r>
      <w:r w:rsidR="00D04674">
        <w:rPr>
          <w:lang w:bidi="en-US"/>
        </w:rPr>
        <w:t>Legislature</w:t>
      </w:r>
      <w:r>
        <w:rPr>
          <w:lang w:bidi="en-US"/>
        </w:rPr>
        <w:t>.</w:t>
      </w:r>
      <w:r w:rsidR="00D04674">
        <w:rPr>
          <w:lang w:bidi="en-US"/>
        </w:rPr>
        <w:t xml:space="preserve">  </w:t>
      </w:r>
      <w:r>
        <w:rPr>
          <w:lang w:bidi="en-US"/>
        </w:rPr>
        <w:t xml:space="preserve">“We first examine the words themselves because the statutory language is generally the most reliable indicator of legislative intent.”  </w:t>
      </w:r>
      <w:r w:rsidR="00CC45AA">
        <w:rPr>
          <w:lang w:bidi="en-US"/>
        </w:rPr>
        <w:t>(</w:t>
      </w:r>
      <w:r w:rsidR="00CC45AA" w:rsidRPr="00CC45AA">
        <w:rPr>
          <w:i/>
          <w:lang w:bidi="en-US"/>
        </w:rPr>
        <w:t>People v. King</w:t>
      </w:r>
      <w:r w:rsidR="00CC45AA">
        <w:rPr>
          <w:lang w:bidi="en-US"/>
        </w:rPr>
        <w:t xml:space="preserve"> (2006) 38 Cal.4th 617, 622.)  </w:t>
      </w:r>
      <w:r>
        <w:rPr>
          <w:lang w:bidi="en-US"/>
        </w:rPr>
        <w:t xml:space="preserve">“ ‘If the words </w:t>
      </w:r>
      <w:r>
        <w:rPr>
          <w:lang w:bidi="en-US"/>
        </w:rPr>
        <w:lastRenderedPageBreak/>
        <w:t xml:space="preserve">themselves are not ambiguous, we presume the Legislature meant what it said, and the statute’s plain meaning governs.’ ”  </w:t>
      </w:r>
      <w:r w:rsidR="00CC45AA">
        <w:rPr>
          <w:lang w:bidi="en-US"/>
        </w:rPr>
        <w:t>(</w:t>
      </w:r>
      <w:r w:rsidR="00CC45AA" w:rsidRPr="00BB61C1">
        <w:rPr>
          <w:i/>
          <w:lang w:bidi="en-US"/>
        </w:rPr>
        <w:t>Schatz v. Allen Ma</w:t>
      </w:r>
      <w:r w:rsidR="004F6D1A" w:rsidRPr="00BB61C1">
        <w:rPr>
          <w:i/>
          <w:lang w:bidi="en-US"/>
        </w:rPr>
        <w:t>tkin</w:t>
      </w:r>
      <w:r w:rsidR="004F6D1A" w:rsidRPr="00BB61C1">
        <w:rPr>
          <w:lang w:bidi="en-US"/>
        </w:rPr>
        <w:t xml:space="preserve"> (2009) 45 Cal.4th 55</w:t>
      </w:r>
      <w:r w:rsidR="00AB636A" w:rsidRPr="00BB61C1">
        <w:rPr>
          <w:lang w:bidi="en-US"/>
        </w:rPr>
        <w:t>7</w:t>
      </w:r>
      <w:r w:rsidR="004F6D1A" w:rsidRPr="00BB61C1">
        <w:rPr>
          <w:lang w:bidi="en-US"/>
        </w:rPr>
        <w:t>, 571</w:t>
      </w:r>
      <w:r w:rsidR="00BB61C1">
        <w:rPr>
          <w:lang w:bidi="en-US"/>
        </w:rPr>
        <w:t>.</w:t>
      </w:r>
      <w:r w:rsidR="004F6D1A" w:rsidRPr="00BB61C1">
        <w:rPr>
          <w:lang w:bidi="en-US"/>
        </w:rPr>
        <w:t>)</w:t>
      </w:r>
      <w:r w:rsidR="004F6D1A">
        <w:rPr>
          <w:lang w:bidi="en-US"/>
        </w:rPr>
        <w:t xml:space="preserve">  </w:t>
      </w:r>
      <w:r w:rsidR="00FB504D">
        <w:rPr>
          <w:lang w:bidi="en-US"/>
        </w:rPr>
        <w:t>But a</w:t>
      </w:r>
      <w:r w:rsidR="00FB504D" w:rsidRPr="00750B24">
        <w:t xml:space="preserve"> statute “ ‘should not be given a literal meaning if to do so would create unintended, absurd consequences. </w:t>
      </w:r>
      <w:r w:rsidR="00FB504D">
        <w:t xml:space="preserve"> </w:t>
      </w:r>
      <w:r w:rsidR="00FB504D" w:rsidRPr="00750B24">
        <w:t xml:space="preserve">Instead, “intent prevails over the letter of the law and the letter will be read in accordance with the spirit of the enactment.” ’ ” </w:t>
      </w:r>
      <w:r w:rsidR="00FB504D">
        <w:t xml:space="preserve"> (</w:t>
      </w:r>
      <w:r w:rsidR="00FB504D" w:rsidRPr="00750B24">
        <w:rPr>
          <w:i/>
        </w:rPr>
        <w:t>In re Lana S</w:t>
      </w:r>
      <w:r w:rsidR="00FB504D" w:rsidRPr="00750B24">
        <w:t>.</w:t>
      </w:r>
      <w:r w:rsidR="00FB504D">
        <w:t xml:space="preserve"> (2012) 207</w:t>
      </w:r>
      <w:r w:rsidR="00493685">
        <w:t> </w:t>
      </w:r>
      <w:r w:rsidR="00FB504D">
        <w:t xml:space="preserve">Cal.App.4th 94, 108.)  </w:t>
      </w:r>
      <w:r w:rsidR="007121AF">
        <w:t xml:space="preserve">Ultimately, the court </w:t>
      </w:r>
      <w:r w:rsidR="00C849DE">
        <w:t>“</w:t>
      </w:r>
      <w:r w:rsidR="007121AF">
        <w:t xml:space="preserve">must select the construction that comports most closely with the apparent intent of the Legislature, with a view to promoting rather than defeating the general purpose of the statute, and it must avoid an interpretation </w:t>
      </w:r>
      <w:r w:rsidR="00A126BE">
        <w:t>[</w:t>
      </w:r>
      <w:r w:rsidR="007121AF">
        <w:t>leading</w:t>
      </w:r>
      <w:r w:rsidR="00A126BE">
        <w:t>]</w:t>
      </w:r>
      <w:r w:rsidR="007121AF">
        <w:t xml:space="preserve"> to absurd consequences.”  (</w:t>
      </w:r>
      <w:r w:rsidR="007121AF" w:rsidRPr="00CF3AC1">
        <w:rPr>
          <w:i/>
        </w:rPr>
        <w:t>People v. Jenkins</w:t>
      </w:r>
      <w:r w:rsidR="007121AF">
        <w:t xml:space="preserve"> (1995) 10</w:t>
      </w:r>
      <w:r w:rsidR="00BC32B6">
        <w:t> </w:t>
      </w:r>
      <w:r w:rsidR="007121AF">
        <w:t>Cal.4th</w:t>
      </w:r>
      <w:r w:rsidR="00BC32B6">
        <w:t> </w:t>
      </w:r>
      <w:r w:rsidR="007121AF">
        <w:t xml:space="preserve">234, 246.)  </w:t>
      </w:r>
    </w:p>
    <w:p w14:paraId="6323BA16" w14:textId="175E5B34" w:rsidR="00466F6B" w:rsidRDefault="006A65BD" w:rsidP="00963007">
      <w:r>
        <w:tab/>
      </w:r>
      <w:r w:rsidR="00C55ECB">
        <w:t xml:space="preserve">J.M. contends </w:t>
      </w:r>
      <w:r w:rsidR="00D04674">
        <w:t>sub</w:t>
      </w:r>
      <w:r w:rsidR="00C55ECB">
        <w:t xml:space="preserve">paragraph (c)(4)(A)’s </w:t>
      </w:r>
      <w:r w:rsidR="004F6D1A">
        <w:t xml:space="preserve">conditional </w:t>
      </w:r>
      <w:r w:rsidR="00C55ECB">
        <w:t xml:space="preserve">clause—“If the court finds that </w:t>
      </w:r>
      <w:r w:rsidR="00C55ECB" w:rsidRPr="00DE7184">
        <w:t>adoption of the child</w:t>
      </w:r>
      <w:r w:rsidR="00C55ECB">
        <w:t xml:space="preserve"> or </w:t>
      </w:r>
      <w:r w:rsidR="00C55ECB" w:rsidRPr="00DE7184">
        <w:t>termination of parental rights</w:t>
      </w:r>
      <w:r w:rsidR="00C55ECB">
        <w:t xml:space="preserve"> is not in the best interest of the child, because one of the conditions in </w:t>
      </w:r>
      <w:r w:rsidR="00C55ECB" w:rsidRPr="004A771B">
        <w:t>clause (i), (ii), (iii), (iv), (v), or (vi)</w:t>
      </w:r>
      <w:r w:rsidR="00FA2827">
        <w:t xml:space="preserve"> … applies</w:t>
      </w:r>
      <w:r w:rsidR="00C55ECB">
        <w:t>”—</w:t>
      </w:r>
      <w:r w:rsidR="00312A11">
        <w:t>c</w:t>
      </w:r>
      <w:r w:rsidR="00C55ECB">
        <w:t>learly and unambiguously invok</w:t>
      </w:r>
      <w:r w:rsidR="004F6D1A">
        <w:t>es</w:t>
      </w:r>
      <w:r w:rsidR="00C55ECB">
        <w:t xml:space="preserve"> the </w:t>
      </w:r>
      <w:r w:rsidR="00C55ECB" w:rsidRPr="00DE7184">
        <w:t>statutory exceptions to adoption</w:t>
      </w:r>
      <w:r w:rsidR="00C55ECB">
        <w:t xml:space="preserve">, which </w:t>
      </w:r>
      <w:r w:rsidR="00312A11">
        <w:t xml:space="preserve">are </w:t>
      </w:r>
      <w:r w:rsidR="00C55ECB">
        <w:t xml:space="preserve">only </w:t>
      </w:r>
      <w:r w:rsidR="00312A11">
        <w:t xml:space="preserve">triggered </w:t>
      </w:r>
      <w:r w:rsidR="00C55ECB">
        <w:t xml:space="preserve">if the child is </w:t>
      </w:r>
      <w:r w:rsidR="00312A11">
        <w:t xml:space="preserve">first </w:t>
      </w:r>
      <w:r w:rsidR="00C55ECB">
        <w:t xml:space="preserve">found </w:t>
      </w:r>
      <w:r w:rsidR="004117BD" w:rsidRPr="00FA2827">
        <w:t>likely to be ado</w:t>
      </w:r>
      <w:r w:rsidR="00372CC9" w:rsidRPr="00FA2827">
        <w:t>p</w:t>
      </w:r>
      <w:r w:rsidR="004117BD" w:rsidRPr="00FA2827">
        <w:t>ted</w:t>
      </w:r>
      <w:r w:rsidR="00C55ECB">
        <w:t xml:space="preserve">.  </w:t>
      </w:r>
      <w:r w:rsidR="00CD0E84">
        <w:t xml:space="preserve">He argues that the phrase “not in the best interest of the child” in </w:t>
      </w:r>
      <w:r w:rsidR="00312A11">
        <w:t>sub</w:t>
      </w:r>
      <w:r w:rsidR="00CD0E84">
        <w:t xml:space="preserve">paragraph (c)(4)(A) </w:t>
      </w:r>
      <w:r w:rsidR="00636CD0">
        <w:t xml:space="preserve">is synonymous with the phrase “detrimental to the child” in </w:t>
      </w:r>
      <w:r w:rsidR="00312A11">
        <w:t>sub</w:t>
      </w:r>
      <w:r w:rsidR="00636CD0">
        <w:t>paragraph (c)(1)(B)</w:t>
      </w:r>
      <w:r w:rsidR="00440FCD">
        <w:t xml:space="preserve">.  </w:t>
      </w:r>
      <w:r w:rsidR="007121AF">
        <w:t>According to J.M.</w:t>
      </w:r>
      <w:r w:rsidR="00440FCD">
        <w:t xml:space="preserve">, </w:t>
      </w:r>
      <w:r w:rsidR="00312A11">
        <w:t>sub</w:t>
      </w:r>
      <w:r w:rsidR="004F6D1A">
        <w:t xml:space="preserve">paragraph </w:t>
      </w:r>
      <w:r>
        <w:t>(c)(4)</w:t>
      </w:r>
      <w:r w:rsidR="00636CD0">
        <w:t>(</w:t>
      </w:r>
      <w:r w:rsidR="00DE17E0">
        <w:t>A</w:t>
      </w:r>
      <w:r w:rsidR="00636CD0">
        <w:t xml:space="preserve">) </w:t>
      </w:r>
      <w:r w:rsidR="00312A11">
        <w:t xml:space="preserve">would </w:t>
      </w:r>
      <w:r w:rsidR="00636CD0">
        <w:t>appl</w:t>
      </w:r>
      <w:r w:rsidR="00312A11">
        <w:t>y</w:t>
      </w:r>
      <w:r w:rsidR="00636CD0">
        <w:t xml:space="preserve"> </w:t>
      </w:r>
      <w:r w:rsidR="0070027A">
        <w:t xml:space="preserve">only </w:t>
      </w:r>
      <w:r w:rsidR="004F6D1A">
        <w:t xml:space="preserve">if the court makes the threshold finding under paragraph (c)(1) </w:t>
      </w:r>
      <w:r w:rsidR="00D97B68">
        <w:t>“</w:t>
      </w:r>
      <w:r w:rsidR="004F6D1A">
        <w:t xml:space="preserve">that </w:t>
      </w:r>
      <w:r w:rsidR="00D97B68">
        <w:t xml:space="preserve">it </w:t>
      </w:r>
      <w:r w:rsidR="004F6D1A">
        <w:t xml:space="preserve">is likely </w:t>
      </w:r>
      <w:r w:rsidR="00D97B68">
        <w:t xml:space="preserve">the child will </w:t>
      </w:r>
      <w:r w:rsidR="004F6D1A">
        <w:t>be adopted,”</w:t>
      </w:r>
      <w:r w:rsidR="00DE7184">
        <w:t xml:space="preserve"> followed by </w:t>
      </w:r>
      <w:r w:rsidR="007A4E93">
        <w:t xml:space="preserve">a detriment finding under </w:t>
      </w:r>
      <w:r w:rsidR="00312A11">
        <w:t>sub</w:t>
      </w:r>
      <w:r w:rsidR="00DE7184">
        <w:t xml:space="preserve">paragraph </w:t>
      </w:r>
      <w:r w:rsidR="007A4E93">
        <w:t>(c)(1)</w:t>
      </w:r>
      <w:r w:rsidR="00D839A7">
        <w:t>(B)</w:t>
      </w:r>
      <w:r w:rsidR="00D97B68">
        <w:t xml:space="preserve"> exempting the child from adoption</w:t>
      </w:r>
      <w:r w:rsidR="00B56C17">
        <w:t>,</w:t>
      </w:r>
      <w:r w:rsidR="00D839A7">
        <w:t xml:space="preserve"> </w:t>
      </w:r>
      <w:r w:rsidR="00636CD0">
        <w:t xml:space="preserve">which did not occur </w:t>
      </w:r>
      <w:r w:rsidR="0070027A">
        <w:t>here.</w:t>
      </w:r>
      <w:r w:rsidR="004117BD">
        <w:t xml:space="preserve">  </w:t>
      </w:r>
      <w:r w:rsidR="004117BD" w:rsidRPr="00FA2827">
        <w:t>The language and structure of paragraph (c) do not support J.M.’s narrow reading of the statute for several reasons</w:t>
      </w:r>
      <w:r w:rsidR="004117BD">
        <w:t>.</w:t>
      </w:r>
    </w:p>
    <w:p w14:paraId="6CA6CC0F" w14:textId="77777777" w:rsidR="00440FCD" w:rsidRDefault="002516AB" w:rsidP="00963007">
      <w:r>
        <w:tab/>
      </w:r>
      <w:r w:rsidR="007121AF">
        <w:t>Application of s</w:t>
      </w:r>
      <w:r w:rsidR="008E40F8">
        <w:t>ubp</w:t>
      </w:r>
      <w:r>
        <w:t xml:space="preserve">aragraph </w:t>
      </w:r>
      <w:r w:rsidR="007C6E2D">
        <w:t>(c)(4)</w:t>
      </w:r>
      <w:r>
        <w:t>(A)</w:t>
      </w:r>
      <w:r w:rsidR="007C6E2D">
        <w:t xml:space="preserve"> does not plainly and unambiguously hinge on a finding </w:t>
      </w:r>
      <w:r w:rsidR="00DE7184">
        <w:t xml:space="preserve">under paragraph (c)(1) </w:t>
      </w:r>
      <w:r w:rsidR="007C6E2D">
        <w:t xml:space="preserve">that a child is </w:t>
      </w:r>
      <w:r w:rsidR="00D97B68">
        <w:t>adoptable</w:t>
      </w:r>
      <w:r w:rsidR="007C6E2D">
        <w:t xml:space="preserve">.  </w:t>
      </w:r>
      <w:r w:rsidR="006D3FAC" w:rsidRPr="006D3FAC">
        <w:t xml:space="preserve">The plain language of </w:t>
      </w:r>
      <w:r w:rsidR="008E40F8">
        <w:t>sub</w:t>
      </w:r>
      <w:r w:rsidR="006D3FAC">
        <w:t xml:space="preserve">paragraph </w:t>
      </w:r>
      <w:r w:rsidR="006D3FAC" w:rsidRPr="006D3FAC">
        <w:t xml:space="preserve">(c)(4)(A) makes no mention of whether a child is likely to be adopted.  </w:t>
      </w:r>
      <w:r w:rsidR="008E40F8">
        <w:t>Subp</w:t>
      </w:r>
      <w:r w:rsidR="00DE7184">
        <w:t xml:space="preserve">aragraph (c)(4)(A) </w:t>
      </w:r>
      <w:r w:rsidR="00EC567F">
        <w:t xml:space="preserve">instructs the juvenile court to order a present caretaker or other appropriate person to be the child’s legal guardian if </w:t>
      </w:r>
      <w:r w:rsidR="00122EA6">
        <w:t xml:space="preserve">the court </w:t>
      </w:r>
      <w:r w:rsidR="00EC567F">
        <w:t xml:space="preserve">finds that </w:t>
      </w:r>
      <w:r>
        <w:t xml:space="preserve">adoption or </w:t>
      </w:r>
      <w:r>
        <w:lastRenderedPageBreak/>
        <w:t>termination of parental rights is not in the best interest of the child “because of”</w:t>
      </w:r>
      <w:r w:rsidR="00EC567F">
        <w:t xml:space="preserve"> certain </w:t>
      </w:r>
      <w:r w:rsidR="007121AF">
        <w:t xml:space="preserve">qualifying </w:t>
      </w:r>
      <w:r w:rsidR="00EC567F">
        <w:t xml:space="preserve">conditions.  </w:t>
      </w:r>
      <w:r w:rsidR="00122EA6">
        <w:t>(</w:t>
      </w:r>
      <w:r w:rsidR="00B94A1F">
        <w:t>Subd</w:t>
      </w:r>
      <w:r w:rsidR="00122EA6">
        <w:t xml:space="preserve">. (c)(4)(A).)  </w:t>
      </w:r>
    </w:p>
    <w:p w14:paraId="55EF5522" w14:textId="77777777" w:rsidR="003E1984" w:rsidRDefault="00440FCD" w:rsidP="00963007">
      <w:r>
        <w:tab/>
      </w:r>
      <w:r w:rsidR="00B36325">
        <w:t>Had t</w:t>
      </w:r>
      <w:r w:rsidR="007C6E2D">
        <w:t xml:space="preserve">he Legislature </w:t>
      </w:r>
      <w:r w:rsidR="00B36325">
        <w:t>intended</w:t>
      </w:r>
      <w:r w:rsidR="007B5149">
        <w:t xml:space="preserve"> to exclude from </w:t>
      </w:r>
      <w:r w:rsidR="008E40F8">
        <w:t>sub</w:t>
      </w:r>
      <w:r w:rsidR="007B5149">
        <w:t xml:space="preserve">paragraph (c)(4)(A) children who </w:t>
      </w:r>
      <w:r w:rsidR="00E242E6">
        <w:t>are not likely to be adopted</w:t>
      </w:r>
      <w:r w:rsidR="00B36325">
        <w:t xml:space="preserve">, it </w:t>
      </w:r>
      <w:r w:rsidR="007C6E2D">
        <w:t xml:space="preserve">could have </w:t>
      </w:r>
      <w:r w:rsidR="00760491">
        <w:t xml:space="preserve">limited </w:t>
      </w:r>
      <w:r w:rsidR="00B36325">
        <w:t>th</w:t>
      </w:r>
      <w:r w:rsidR="005B36B1">
        <w:t>at</w:t>
      </w:r>
      <w:r w:rsidR="00B36325">
        <w:t xml:space="preserve"> </w:t>
      </w:r>
      <w:r w:rsidR="009B287A">
        <w:t xml:space="preserve">guardianship </w:t>
      </w:r>
      <w:r>
        <w:t xml:space="preserve">alternative </w:t>
      </w:r>
      <w:r w:rsidR="00B36325">
        <w:t xml:space="preserve">to </w:t>
      </w:r>
      <w:r w:rsidR="00760491">
        <w:t xml:space="preserve">circumstances where </w:t>
      </w:r>
      <w:r w:rsidR="00B36325">
        <w:t>“</w:t>
      </w:r>
      <w:r w:rsidR="007C6E2D">
        <w:t xml:space="preserve">the court finds that termination of parental rights </w:t>
      </w:r>
      <w:r w:rsidR="006C4EED">
        <w:t xml:space="preserve">would be detrimental to the child pursuant to paragraph (1).”  Indeed, the Legislature used such language in paragraph (c)(3), </w:t>
      </w:r>
      <w:r w:rsidR="005B36B1">
        <w:t xml:space="preserve">where </w:t>
      </w:r>
      <w:r w:rsidR="006C4EED">
        <w:t xml:space="preserve">the </w:t>
      </w:r>
      <w:r w:rsidR="00760491">
        <w:t>juvenile</w:t>
      </w:r>
      <w:r w:rsidR="006C4EED">
        <w:t xml:space="preserve"> court</w:t>
      </w:r>
      <w:r w:rsidR="00B36325">
        <w:t xml:space="preserve"> </w:t>
      </w:r>
      <w:r w:rsidR="008E40F8">
        <w:t xml:space="preserve">is </w:t>
      </w:r>
      <w:r w:rsidR="00B36325">
        <w:t>to identify adoption as the permanent placement goal without terminating parental right</w:t>
      </w:r>
      <w:r w:rsidR="005B36B1">
        <w:t>s</w:t>
      </w:r>
      <w:r w:rsidR="006C4EED">
        <w:t xml:space="preserve"> </w:t>
      </w:r>
      <w:r w:rsidR="008E480C" w:rsidRPr="006329A3">
        <w:t>(as opposed to a perman</w:t>
      </w:r>
      <w:r w:rsidR="00B614EB" w:rsidRPr="006329A3">
        <w:t xml:space="preserve">ent adoption plan </w:t>
      </w:r>
      <w:r w:rsidR="008B0AED" w:rsidRPr="006329A3">
        <w:t xml:space="preserve">in </w:t>
      </w:r>
      <w:r w:rsidR="00B614EB" w:rsidRPr="006329A3">
        <w:t>which parental rights</w:t>
      </w:r>
      <w:r w:rsidR="008B0AED" w:rsidRPr="006329A3">
        <w:t xml:space="preserve"> are terminated</w:t>
      </w:r>
      <w:r w:rsidR="00B614EB" w:rsidRPr="006329A3">
        <w:t xml:space="preserve">) </w:t>
      </w:r>
      <w:r w:rsidR="005D75BC">
        <w:t xml:space="preserve">if </w:t>
      </w:r>
      <w:r w:rsidR="00BC3CC5">
        <w:t>“</w:t>
      </w:r>
      <w:r w:rsidR="00B36325">
        <w:t xml:space="preserve">the court finds </w:t>
      </w:r>
      <w:r w:rsidR="006C4EED">
        <w:t>that termination of parental rights would not be detrimental to the child pursuant to paragraph (1)</w:t>
      </w:r>
      <w:r w:rsidR="00BC3CC5">
        <w:t>.</w:t>
      </w:r>
      <w:r w:rsidR="006C4EED">
        <w:t>”</w:t>
      </w:r>
      <w:r w:rsidR="00BC3CC5">
        <w:t xml:space="preserve"> </w:t>
      </w:r>
      <w:r w:rsidR="00911D8F">
        <w:t xml:space="preserve"> (</w:t>
      </w:r>
      <w:r w:rsidR="00DB1707">
        <w:t>S</w:t>
      </w:r>
      <w:r w:rsidR="008E40F8">
        <w:t>ub</w:t>
      </w:r>
      <w:r w:rsidR="00FB46BF">
        <w:t xml:space="preserve">d. </w:t>
      </w:r>
      <w:r w:rsidR="00911D8F">
        <w:t>(c)(3).)</w:t>
      </w:r>
      <w:r w:rsidR="00BC3CC5">
        <w:t xml:space="preserve">  </w:t>
      </w:r>
      <w:r w:rsidR="00967E3D">
        <w:t xml:space="preserve">A </w:t>
      </w:r>
      <w:r w:rsidR="00D810CA" w:rsidRPr="00FA2827">
        <w:t>detriment</w:t>
      </w:r>
      <w:r w:rsidR="00D810CA">
        <w:t xml:space="preserve"> </w:t>
      </w:r>
      <w:r w:rsidR="00E242E6">
        <w:t xml:space="preserve">inquiry </w:t>
      </w:r>
      <w:r w:rsidR="008A015F">
        <w:t xml:space="preserve">is </w:t>
      </w:r>
      <w:r w:rsidR="00BC3CC5" w:rsidRPr="00345FB2">
        <w:t xml:space="preserve">necessary to the permanent placement </w:t>
      </w:r>
      <w:r w:rsidR="00B14EBB" w:rsidRPr="00345FB2">
        <w:t>goal</w:t>
      </w:r>
      <w:r w:rsidR="00B14EBB">
        <w:t xml:space="preserve"> </w:t>
      </w:r>
      <w:r w:rsidR="00980D4F">
        <w:t xml:space="preserve">described </w:t>
      </w:r>
      <w:r w:rsidR="00BC3CC5">
        <w:t>in paragraph (c)(3)</w:t>
      </w:r>
      <w:r w:rsidR="00B14EBB">
        <w:t xml:space="preserve">, and the </w:t>
      </w:r>
      <w:r w:rsidR="002534C7">
        <w:t>L</w:t>
      </w:r>
      <w:r w:rsidR="00B14EBB">
        <w:t>egislature’s choice of words</w:t>
      </w:r>
      <w:r w:rsidR="00F87557">
        <w:t xml:space="preserve"> and </w:t>
      </w:r>
      <w:r w:rsidR="00F87557" w:rsidRPr="00FA2827">
        <w:t>specific reference to paragraph (c)(1)</w:t>
      </w:r>
      <w:r w:rsidR="00F87557">
        <w:t xml:space="preserve"> </w:t>
      </w:r>
      <w:r w:rsidR="00B14EBB">
        <w:t>ma</w:t>
      </w:r>
      <w:r w:rsidR="00980D4F">
        <w:t>k</w:t>
      </w:r>
      <w:r w:rsidR="00B14EBB">
        <w:t xml:space="preserve">e that clear.  </w:t>
      </w:r>
      <w:r w:rsidR="002534C7" w:rsidRPr="00967E3D">
        <w:t xml:space="preserve">In contrast, </w:t>
      </w:r>
      <w:r w:rsidR="0040301E" w:rsidRPr="00967E3D">
        <w:t xml:space="preserve">the </w:t>
      </w:r>
      <w:r w:rsidR="00980D4F" w:rsidRPr="00967E3D">
        <w:t xml:space="preserve">Legislature chose different </w:t>
      </w:r>
      <w:r w:rsidR="0040301E" w:rsidRPr="00967E3D">
        <w:t>words</w:t>
      </w:r>
      <w:r w:rsidR="00570E5D" w:rsidRPr="00967E3D">
        <w:t xml:space="preserve"> directed</w:t>
      </w:r>
      <w:r w:rsidR="00AF268A" w:rsidRPr="00967E3D">
        <w:t xml:space="preserve"> not </w:t>
      </w:r>
      <w:r w:rsidR="00967E3D">
        <w:t xml:space="preserve">to </w:t>
      </w:r>
      <w:r w:rsidR="00AF268A" w:rsidRPr="00967E3D">
        <w:t xml:space="preserve">the detriment inquiry required by paragraph (c)(1) but </w:t>
      </w:r>
      <w:r w:rsidR="00967E3D">
        <w:t xml:space="preserve">rather to </w:t>
      </w:r>
      <w:r w:rsidR="00570E5D" w:rsidRPr="00967E3D">
        <w:t xml:space="preserve">the </w:t>
      </w:r>
      <w:r w:rsidR="00570E5D" w:rsidRPr="00EF5D78">
        <w:rPr>
          <w:i/>
        </w:rPr>
        <w:t>conditions</w:t>
      </w:r>
      <w:r w:rsidR="00570E5D" w:rsidRPr="00967E3D">
        <w:t xml:space="preserve"> </w:t>
      </w:r>
      <w:r w:rsidR="00DB1707" w:rsidRPr="00967E3D">
        <w:t xml:space="preserve">described in each </w:t>
      </w:r>
      <w:r w:rsidR="00570E5D" w:rsidRPr="00967E3D">
        <w:t>clause</w:t>
      </w:r>
      <w:r w:rsidR="00570E5D">
        <w:t xml:space="preserve"> under subparagraph </w:t>
      </w:r>
      <w:r w:rsidR="00026B4F">
        <w:t>(c)(1)</w:t>
      </w:r>
      <w:r w:rsidR="00570E5D">
        <w:t>(</w:t>
      </w:r>
      <w:r w:rsidR="00026B4F">
        <w:t>B</w:t>
      </w:r>
      <w:r w:rsidR="00570E5D">
        <w:t>)</w:t>
      </w:r>
      <w:r w:rsidR="0040301E">
        <w:t xml:space="preserve"> </w:t>
      </w:r>
      <w:r w:rsidR="006A678F">
        <w:t xml:space="preserve">(“because one of the conditions in </w:t>
      </w:r>
      <w:r w:rsidR="00570E5D">
        <w:t xml:space="preserve">clause (i), (ii), (iii), (iv), (v), or (vi) … applies”) </w:t>
      </w:r>
      <w:r w:rsidR="001053E5">
        <w:t xml:space="preserve">to trigger </w:t>
      </w:r>
      <w:r w:rsidR="00B14EBB">
        <w:t xml:space="preserve">the </w:t>
      </w:r>
      <w:r w:rsidR="005B36B1">
        <w:t>alternative</w:t>
      </w:r>
      <w:r w:rsidR="001053E5">
        <w:t xml:space="preserve"> of appointing </w:t>
      </w:r>
      <w:r w:rsidR="00BC3CC5">
        <w:t xml:space="preserve">a </w:t>
      </w:r>
      <w:r w:rsidR="00B14EBB">
        <w:t>“caretaker</w:t>
      </w:r>
      <w:r w:rsidR="001A6ACB">
        <w:t>[]</w:t>
      </w:r>
      <w:r w:rsidR="00B14EBB">
        <w:t xml:space="preserve">” or </w:t>
      </w:r>
      <w:r w:rsidR="00A6245C">
        <w:t xml:space="preserve">an </w:t>
      </w:r>
      <w:r w:rsidR="00B14EBB">
        <w:t>“appropriate person</w:t>
      </w:r>
      <w:r w:rsidR="001A6ACB">
        <w:t>[]</w:t>
      </w:r>
      <w:r w:rsidR="00B14EBB">
        <w:t xml:space="preserve">” </w:t>
      </w:r>
      <w:r w:rsidR="00A6245C">
        <w:t xml:space="preserve">as a </w:t>
      </w:r>
      <w:r w:rsidR="002534C7">
        <w:t xml:space="preserve">legal </w:t>
      </w:r>
      <w:r w:rsidR="00B14EBB">
        <w:t xml:space="preserve">guardian under </w:t>
      </w:r>
      <w:r w:rsidR="00980D4F">
        <w:t>sub</w:t>
      </w:r>
      <w:r w:rsidR="00B14EBB">
        <w:t>paragraph (c)(4)(A)</w:t>
      </w:r>
      <w:r w:rsidR="00980D4F">
        <w:t xml:space="preserve">.  </w:t>
      </w:r>
      <w:r w:rsidR="006A678F">
        <w:t xml:space="preserve">That word choice </w:t>
      </w:r>
      <w:r w:rsidR="0040301E">
        <w:t xml:space="preserve">signals to us that </w:t>
      </w:r>
      <w:r w:rsidR="001053E5">
        <w:t xml:space="preserve">the Legislature </w:t>
      </w:r>
      <w:r w:rsidR="00980D4F">
        <w:t xml:space="preserve">did not intend to limit </w:t>
      </w:r>
      <w:r w:rsidR="005B36B1">
        <w:t xml:space="preserve">the alternative </w:t>
      </w:r>
      <w:r w:rsidR="001053E5">
        <w:t xml:space="preserve">placement to children who </w:t>
      </w:r>
      <w:r w:rsidR="004117BD">
        <w:t xml:space="preserve">were deemed likely to be adopted </w:t>
      </w:r>
      <w:r w:rsidR="00181F0C">
        <w:t xml:space="preserve">but were </w:t>
      </w:r>
      <w:r w:rsidR="001053E5">
        <w:t>excepted from adoption</w:t>
      </w:r>
      <w:r w:rsidR="00181F0C">
        <w:t>.</w:t>
      </w:r>
    </w:p>
    <w:p w14:paraId="59A1D297" w14:textId="77777777" w:rsidR="00372CC9" w:rsidRDefault="00372CC9" w:rsidP="00372CC9">
      <w:r>
        <w:tab/>
        <w:t xml:space="preserve">One of the criteria included in subparagraph (c)(1)(B)(iii) is that “adoption is unlikely or undesirable.”  That inquiry </w:t>
      </w:r>
      <w:r w:rsidR="0003487A">
        <w:t xml:space="preserve">separates </w:t>
      </w:r>
      <w:r>
        <w:t xml:space="preserve">the condition </w:t>
      </w:r>
      <w:r w:rsidR="0003487A">
        <w:t xml:space="preserve">from </w:t>
      </w:r>
      <w:r>
        <w:t xml:space="preserve">the detriment inquiry under paragraph (c)(1).  Indeed, if </w:t>
      </w:r>
      <w:r w:rsidR="0003487A">
        <w:t xml:space="preserve">a </w:t>
      </w:r>
      <w:r>
        <w:t xml:space="preserve">child is likely to be adopted under paragraph (c)(1), it would be nonsensical to then inquire whether adoption is unlikely.  Our interpretation </w:t>
      </w:r>
      <w:r w:rsidR="0003487A">
        <w:t xml:space="preserve">that </w:t>
      </w:r>
      <w:r>
        <w:t xml:space="preserve">subparagraph (c)(4)(A)’s invocation of subparagraph (c)(1)(B)’s clauses </w:t>
      </w:r>
      <w:r w:rsidR="0003487A">
        <w:t xml:space="preserve">is </w:t>
      </w:r>
      <w:r>
        <w:t xml:space="preserve">independent from a detriment inquiry under paragraph (c)(1) </w:t>
      </w:r>
      <w:r w:rsidR="0003487A">
        <w:t xml:space="preserve">gives </w:t>
      </w:r>
      <w:r>
        <w:t xml:space="preserve">meaning to subparagraph (c)(1)(B)(iii) and avoids rendering the phrase “adoption is unlikely or </w:t>
      </w:r>
      <w:r>
        <w:lastRenderedPageBreak/>
        <w:t xml:space="preserve">undesirable” a nullity.  </w:t>
      </w:r>
      <w:r w:rsidRPr="00334786">
        <w:t>(</w:t>
      </w:r>
      <w:r w:rsidRPr="006F1E38">
        <w:rPr>
          <w:i/>
        </w:rPr>
        <w:t>Williams v. Superior Court</w:t>
      </w:r>
      <w:r w:rsidRPr="00334786">
        <w:t xml:space="preserve"> (1993) 5 Cal.4th 337, 357</w:t>
      </w:r>
      <w:r>
        <w:t xml:space="preserve"> [</w:t>
      </w:r>
      <w:r w:rsidRPr="00334786">
        <w:t>“An interpretation that renders statutory language a nullity is obviously to be avoided”</w:t>
      </w:r>
      <w:r>
        <w:t>].)</w:t>
      </w:r>
    </w:p>
    <w:p w14:paraId="3018D182" w14:textId="036EFF7C" w:rsidR="00C80EBC" w:rsidRDefault="003E1984" w:rsidP="00963007">
      <w:r>
        <w:tab/>
      </w:r>
      <w:r w:rsidR="00967E3D">
        <w:t xml:space="preserve">The Legislature’s inclusion of </w:t>
      </w:r>
      <w:r w:rsidR="004B3F21" w:rsidRPr="00744E4F">
        <w:t xml:space="preserve">guardianship </w:t>
      </w:r>
      <w:r w:rsidR="00440FCD" w:rsidRPr="00744E4F">
        <w:t xml:space="preserve">among </w:t>
      </w:r>
      <w:r w:rsidR="000606A2">
        <w:t xml:space="preserve">other </w:t>
      </w:r>
      <w:r w:rsidR="00440FCD" w:rsidRPr="00744E4F">
        <w:t xml:space="preserve">alternatives to the preferences set forth in subdivision (b) </w:t>
      </w:r>
      <w:r w:rsidR="005B36B1" w:rsidRPr="00744E4F">
        <w:t xml:space="preserve">that </w:t>
      </w:r>
      <w:r w:rsidR="008A5812">
        <w:t xml:space="preserve">are </w:t>
      </w:r>
      <w:r w:rsidR="008A5812" w:rsidRPr="0003487A">
        <w:rPr>
          <w:i/>
        </w:rPr>
        <w:t>not</w:t>
      </w:r>
      <w:r w:rsidR="008A5812">
        <w:t xml:space="preserve"> contingent </w:t>
      </w:r>
      <w:r w:rsidR="005B36B1" w:rsidRPr="00744E4F">
        <w:t xml:space="preserve">on </w:t>
      </w:r>
      <w:r w:rsidR="00967E3D" w:rsidRPr="00C922AB">
        <w:t xml:space="preserve">the likelihood </w:t>
      </w:r>
      <w:r w:rsidR="0003487A" w:rsidRPr="00C922AB">
        <w:t xml:space="preserve">of adoption referenced </w:t>
      </w:r>
      <w:r w:rsidR="00967E3D" w:rsidRPr="00C922AB">
        <w:t>in paragraph (c)(1)</w:t>
      </w:r>
      <w:r w:rsidR="0003487A" w:rsidRPr="00C922AB">
        <w:t xml:space="preserve"> </w:t>
      </w:r>
      <w:r w:rsidR="00440FCD" w:rsidRPr="00744E4F">
        <w:t xml:space="preserve">also supports our </w:t>
      </w:r>
      <w:r w:rsidR="005B36B1" w:rsidRPr="00744E4F">
        <w:t xml:space="preserve">conclusion </w:t>
      </w:r>
      <w:r w:rsidR="00440FCD" w:rsidRPr="00744E4F">
        <w:t xml:space="preserve">that </w:t>
      </w:r>
      <w:r w:rsidR="00154DDF" w:rsidRPr="00744E4F">
        <w:t xml:space="preserve">the guardianship </w:t>
      </w:r>
      <w:r w:rsidR="00440FCD" w:rsidRPr="00744E4F">
        <w:t>alternative</w:t>
      </w:r>
      <w:r w:rsidR="00154DDF" w:rsidRPr="00744E4F">
        <w:t xml:space="preserve"> </w:t>
      </w:r>
      <w:r w:rsidR="00C922AB">
        <w:t xml:space="preserve">may be selected without determining that a </w:t>
      </w:r>
      <w:r w:rsidR="00154DDF" w:rsidRPr="00744E4F">
        <w:t xml:space="preserve">child is </w:t>
      </w:r>
      <w:r w:rsidR="00EF5D78">
        <w:t xml:space="preserve">likely to be </w:t>
      </w:r>
      <w:r w:rsidR="00154DDF" w:rsidRPr="00744E4F">
        <w:t>adopte</w:t>
      </w:r>
      <w:r w:rsidR="00EF5D78">
        <w:t>d</w:t>
      </w:r>
      <w:r w:rsidR="00154DDF" w:rsidRPr="00744E4F">
        <w:t xml:space="preserve">.  </w:t>
      </w:r>
      <w:r w:rsidR="00FB46BF">
        <w:t>Subp</w:t>
      </w:r>
      <w:r w:rsidR="00181F0C">
        <w:t xml:space="preserve">aragraph (c)(4)(A) instructs the juvenile court to consider a legal guardianship before a permanent plan involving continued foster case, and that inquiry </w:t>
      </w:r>
      <w:r w:rsidR="00EF5D78">
        <w:t xml:space="preserve">also </w:t>
      </w:r>
      <w:r w:rsidR="00345FB2">
        <w:t xml:space="preserve">does not </w:t>
      </w:r>
      <w:r w:rsidR="00650578">
        <w:t>differentiat</w:t>
      </w:r>
      <w:r w:rsidR="00345FB2">
        <w:t>e</w:t>
      </w:r>
      <w:r w:rsidR="00650578">
        <w:t xml:space="preserve"> between children who </w:t>
      </w:r>
      <w:r w:rsidR="005601EE">
        <w:t xml:space="preserve">are not likely to be adopted </w:t>
      </w:r>
      <w:r w:rsidR="000606A2">
        <w:t>versus</w:t>
      </w:r>
      <w:r w:rsidR="005601EE">
        <w:t xml:space="preserve"> those </w:t>
      </w:r>
      <w:r w:rsidR="00650578">
        <w:t xml:space="preserve">who are exempt from adoption.  </w:t>
      </w:r>
      <w:r w:rsidR="005B36B1" w:rsidRPr="00744E4F">
        <w:t xml:space="preserve">And </w:t>
      </w:r>
      <w:r w:rsidR="000606A2">
        <w:t>sub</w:t>
      </w:r>
      <w:r w:rsidR="005B36B1" w:rsidRPr="00744E4F">
        <w:t xml:space="preserve">paragraph (c)(4)(B) addresses </w:t>
      </w:r>
      <w:r w:rsidR="00AF268A" w:rsidRPr="00EF5D78">
        <w:t>placement</w:t>
      </w:r>
      <w:r w:rsidR="00AF268A">
        <w:t xml:space="preserve"> </w:t>
      </w:r>
      <w:r w:rsidR="005B36B1" w:rsidRPr="00744E4F">
        <w:t>alternative</w:t>
      </w:r>
      <w:r w:rsidR="000606A2">
        <w:t>s</w:t>
      </w:r>
      <w:r w:rsidR="005B36B1" w:rsidRPr="00744E4F">
        <w:t xml:space="preserve"> without distinguishing the reason</w:t>
      </w:r>
      <w:r w:rsidR="00EF5D78">
        <w:t>s</w:t>
      </w:r>
      <w:r w:rsidR="005B36B1" w:rsidRPr="00744E4F">
        <w:t xml:space="preserve"> adoption</w:t>
      </w:r>
      <w:r w:rsidR="00EF5D78">
        <w:t xml:space="preserve"> is not selected</w:t>
      </w:r>
      <w:r w:rsidR="005B36B1" w:rsidRPr="00744E4F">
        <w:t>.</w:t>
      </w:r>
      <w:r w:rsidR="009363E5">
        <w:rPr>
          <w:rStyle w:val="FootnoteReference"/>
        </w:rPr>
        <w:footnoteReference w:id="2"/>
      </w:r>
      <w:r w:rsidR="009363E5">
        <w:t xml:space="preserve">  </w:t>
      </w:r>
      <w:r w:rsidR="00224020" w:rsidRPr="00224020">
        <w:t xml:space="preserve">Nor does paragraph (c)(3) contemplate a likelihood finding.  The relevant inquiry </w:t>
      </w:r>
      <w:r w:rsidR="00224020">
        <w:t xml:space="preserve">in that paragraph </w:t>
      </w:r>
      <w:r w:rsidR="00224020" w:rsidRPr="00224020">
        <w:t>is whether the child has a probability for adoption</w:t>
      </w:r>
    </w:p>
    <w:p w14:paraId="432A3C39" w14:textId="46F9180C" w:rsidR="006A4A5B" w:rsidRDefault="000D0682" w:rsidP="006A4A5B">
      <w:r>
        <w:tab/>
      </w:r>
      <w:r w:rsidR="00CF3AC1">
        <w:t xml:space="preserve">Even if the statute were </w:t>
      </w:r>
      <w:r w:rsidR="00227DBE">
        <w:t>ambiguous</w:t>
      </w:r>
      <w:r w:rsidR="00CF3AC1">
        <w:t xml:space="preserve">, </w:t>
      </w:r>
      <w:r w:rsidR="00D22682">
        <w:t xml:space="preserve">our </w:t>
      </w:r>
      <w:r w:rsidR="00CF3AC1">
        <w:t>interpretation is consistent with legislative intent</w:t>
      </w:r>
      <w:r w:rsidR="004A1EC3">
        <w:t xml:space="preserve">.  </w:t>
      </w:r>
      <w:r w:rsidR="0062718E">
        <w:t>“The dependency scheme is informed by a policy that respects the child’s interest in belonging to a family unit and protects his or her right to ‘a placement that is stable, permanent, and that allows the caretaker to make a full emotional commitment to the child.’ ”  (</w:t>
      </w:r>
      <w:r w:rsidR="0062718E" w:rsidRPr="0062718E">
        <w:rPr>
          <w:i/>
        </w:rPr>
        <w:t>In re John F</w:t>
      </w:r>
      <w:r w:rsidR="0062718E">
        <w:t xml:space="preserve">. (1994) 27 Cal.App.4th 1365, 1376.)  </w:t>
      </w:r>
      <w:r w:rsidR="00EE52C6">
        <w:t xml:space="preserve">The Legislature </w:t>
      </w:r>
      <w:r w:rsidR="006A4A5B">
        <w:t xml:space="preserve">finds adoption and guardianship more suitable </w:t>
      </w:r>
      <w:r w:rsidR="00D22682">
        <w:t xml:space="preserve">for </w:t>
      </w:r>
      <w:r w:rsidR="006A4A5B">
        <w:t>a child’s well</w:t>
      </w:r>
      <w:r w:rsidR="00541005">
        <w:t>-</w:t>
      </w:r>
      <w:r w:rsidR="006A4A5B">
        <w:t>being than foster ca</w:t>
      </w:r>
      <w:r w:rsidR="00D22682">
        <w:t>r</w:t>
      </w:r>
      <w:r w:rsidR="006A4A5B">
        <w:t xml:space="preserve">e, which it considers to be a temporary method of caring for children.  (Welf. &amp; Inst. Code, § 396; </w:t>
      </w:r>
      <w:r w:rsidR="006A4A5B" w:rsidRPr="006A4A5B">
        <w:rPr>
          <w:i/>
        </w:rPr>
        <w:t>In re Cristella C</w:t>
      </w:r>
      <w:r w:rsidR="006A4A5B">
        <w:t>. (1992) 6 Cal.App.4th 1363, 1370 [recognizing legislative preference to avoid “the blea</w:t>
      </w:r>
      <w:r w:rsidR="00223568">
        <w:t>k</w:t>
      </w:r>
      <w:r w:rsidR="006A4A5B">
        <w:t xml:space="preserve"> future </w:t>
      </w:r>
      <w:r w:rsidR="00A126BE">
        <w:t xml:space="preserve">in </w:t>
      </w:r>
      <w:r w:rsidR="006A4A5B">
        <w:t xml:space="preserve">foster care limbo”].)  </w:t>
      </w:r>
    </w:p>
    <w:p w14:paraId="465521EF" w14:textId="77777777" w:rsidR="00750B24" w:rsidRDefault="00750B24" w:rsidP="006A4A5B">
      <w:r>
        <w:tab/>
      </w:r>
      <w:r w:rsidR="009047A4">
        <w:t xml:space="preserve">Under </w:t>
      </w:r>
      <w:r>
        <w:t xml:space="preserve">J.M.’s </w:t>
      </w:r>
      <w:r w:rsidR="00225BFC">
        <w:t xml:space="preserve">reading of </w:t>
      </w:r>
      <w:r w:rsidR="00D22682">
        <w:t>sub</w:t>
      </w:r>
      <w:r w:rsidR="00225BFC">
        <w:t>paragraph (c)(4)</w:t>
      </w:r>
      <w:r w:rsidR="00204043">
        <w:t>(A)</w:t>
      </w:r>
      <w:r w:rsidR="00225BFC">
        <w:t xml:space="preserve">, </w:t>
      </w:r>
      <w:r w:rsidR="00671944">
        <w:t xml:space="preserve">a dependent child’s </w:t>
      </w:r>
      <w:r w:rsidR="003D453B">
        <w:t xml:space="preserve">unique status as a </w:t>
      </w:r>
      <w:r w:rsidR="00225BFC">
        <w:t xml:space="preserve">seriously disabled </w:t>
      </w:r>
      <w:r w:rsidR="00701EF8">
        <w:t>resident of a subacute care facility</w:t>
      </w:r>
      <w:r w:rsidR="00671944">
        <w:t xml:space="preserve"> </w:t>
      </w:r>
      <w:r w:rsidR="00D22682">
        <w:t xml:space="preserve">could </w:t>
      </w:r>
      <w:r w:rsidR="00204043">
        <w:t xml:space="preserve">render </w:t>
      </w:r>
      <w:r w:rsidR="005601EE">
        <w:t xml:space="preserve">the child </w:t>
      </w:r>
      <w:r w:rsidR="00204043">
        <w:t>ineligible for guardianship</w:t>
      </w:r>
      <w:r w:rsidR="00D22682">
        <w:t xml:space="preserve"> with a relative</w:t>
      </w:r>
      <w:r w:rsidR="00204043">
        <w:t xml:space="preserve">.  </w:t>
      </w:r>
      <w:r w:rsidR="00D22682">
        <w:t xml:space="preserve">If subparagraph (c)(4)(A) </w:t>
      </w:r>
      <w:r w:rsidR="00643677">
        <w:t xml:space="preserve">were not available, </w:t>
      </w:r>
      <w:r w:rsidR="00204043">
        <w:t xml:space="preserve">the </w:t>
      </w:r>
      <w:r w:rsidR="00701EF8">
        <w:lastRenderedPageBreak/>
        <w:t xml:space="preserve">juvenile </w:t>
      </w:r>
      <w:r w:rsidR="00204043">
        <w:t>court</w:t>
      </w:r>
      <w:r w:rsidR="009047A4">
        <w:t xml:space="preserve">’s options </w:t>
      </w:r>
      <w:r w:rsidR="00204043">
        <w:t xml:space="preserve">would be limited to </w:t>
      </w:r>
      <w:r w:rsidR="009047A4">
        <w:t xml:space="preserve">those stated in </w:t>
      </w:r>
      <w:r w:rsidR="00204043">
        <w:t xml:space="preserve">subdivision (b).  The preferred permanent plan </w:t>
      </w:r>
      <w:r w:rsidR="00B90D32">
        <w:t xml:space="preserve">under that subdivision is </w:t>
      </w:r>
      <w:r w:rsidR="00204043">
        <w:t xml:space="preserve">adoption, </w:t>
      </w:r>
      <w:r w:rsidR="00643677">
        <w:t xml:space="preserve">but that may not be available due to </w:t>
      </w:r>
      <w:r w:rsidR="00F24034">
        <w:t>the child’s disability</w:t>
      </w:r>
      <w:r w:rsidR="00B90D32">
        <w:t xml:space="preserve">.  </w:t>
      </w:r>
      <w:r w:rsidR="00643677">
        <w:t>T</w:t>
      </w:r>
      <w:r w:rsidR="00B90D32">
        <w:t xml:space="preserve">he next preferred </w:t>
      </w:r>
      <w:r w:rsidR="00643677">
        <w:t>alternative</w:t>
      </w:r>
      <w:r w:rsidR="00B90D32">
        <w:t>—a relative guardianship—</w:t>
      </w:r>
      <w:r w:rsidR="00643677">
        <w:t xml:space="preserve">would </w:t>
      </w:r>
      <w:r w:rsidR="00B90D32">
        <w:t xml:space="preserve">also </w:t>
      </w:r>
      <w:r w:rsidR="00643677">
        <w:t xml:space="preserve">be </w:t>
      </w:r>
      <w:r w:rsidR="00B90D32">
        <w:t xml:space="preserve">unavailable because the statute requires the child to be living with the relative in order </w:t>
      </w:r>
      <w:r w:rsidR="00643677">
        <w:t xml:space="preserve">for that person to be </w:t>
      </w:r>
      <w:r w:rsidR="00B90D32">
        <w:t xml:space="preserve">appointed legal guardian.  </w:t>
      </w:r>
      <w:r w:rsidR="00671944">
        <w:t>(</w:t>
      </w:r>
      <w:r w:rsidR="00F813FE">
        <w:t>S</w:t>
      </w:r>
      <w:r w:rsidR="00671944">
        <w:t xml:space="preserve">ubd. (b)(3).)  </w:t>
      </w:r>
      <w:r w:rsidR="00187DC8">
        <w:t>But the child would be eligible for a nonrelative legal guardianship.  (</w:t>
      </w:r>
      <w:r w:rsidR="00F813FE">
        <w:t>S</w:t>
      </w:r>
      <w:r w:rsidR="00187DC8">
        <w:t xml:space="preserve">ubd. (b)(5).)  </w:t>
      </w:r>
      <w:r w:rsidR="00643677">
        <w:t xml:space="preserve">Reading </w:t>
      </w:r>
      <w:r w:rsidR="00187DC8">
        <w:t xml:space="preserve">a limitation into </w:t>
      </w:r>
      <w:r w:rsidR="00F36589">
        <w:t xml:space="preserve">paragraph (c)(4)(A) that would </w:t>
      </w:r>
      <w:r w:rsidR="00643677">
        <w:t xml:space="preserve">render </w:t>
      </w:r>
      <w:r w:rsidR="006077F6">
        <w:t xml:space="preserve">a </w:t>
      </w:r>
      <w:r w:rsidR="00F36589">
        <w:t>seriously disabled dependent child</w:t>
      </w:r>
      <w:r w:rsidR="00D47017">
        <w:t xml:space="preserve"> in</w:t>
      </w:r>
      <w:r w:rsidR="00784F20">
        <w:t xml:space="preserve">eligible for a </w:t>
      </w:r>
      <w:r w:rsidR="00784F20" w:rsidRPr="00643677">
        <w:rPr>
          <w:i/>
        </w:rPr>
        <w:t>relative</w:t>
      </w:r>
      <w:r w:rsidR="00784F20">
        <w:t xml:space="preserve"> guardianship</w:t>
      </w:r>
      <w:r w:rsidR="00643677">
        <w:t xml:space="preserve"> is at odds with the importance the Legislature has placed on stable permanent family relationships and the preference for guardianship over foster care</w:t>
      </w:r>
      <w:r w:rsidR="00784F20">
        <w:t>.</w:t>
      </w:r>
    </w:p>
    <w:p w14:paraId="4B03B5C0" w14:textId="77777777" w:rsidR="00D91F2A" w:rsidRDefault="00BD0C07" w:rsidP="00963007">
      <w:r>
        <w:tab/>
      </w:r>
      <w:r w:rsidR="00F15637">
        <w:t xml:space="preserve">We therefore interpret </w:t>
      </w:r>
      <w:r w:rsidR="001C3CD3">
        <w:t>p</w:t>
      </w:r>
      <w:r w:rsidR="00D91F2A">
        <w:t xml:space="preserve">aragraph (c)(4) </w:t>
      </w:r>
      <w:r w:rsidR="00F15637">
        <w:t xml:space="preserve">as allowing </w:t>
      </w:r>
      <w:r w:rsidR="00CE09B4">
        <w:t>the juvenile court</w:t>
      </w:r>
      <w:r w:rsidR="00F15637">
        <w:t xml:space="preserve"> to select </w:t>
      </w:r>
      <w:r w:rsidR="00CE09B4">
        <w:t xml:space="preserve">a permanent plan under specified conditions </w:t>
      </w:r>
      <w:r w:rsidR="00F15637">
        <w:t xml:space="preserve">without </w:t>
      </w:r>
      <w:r w:rsidR="009047A4">
        <w:t>finding a child likely to be adopted</w:t>
      </w:r>
      <w:r w:rsidR="00CE09B4">
        <w:t xml:space="preserve">.  </w:t>
      </w:r>
      <w:r w:rsidR="009047A4">
        <w:t xml:space="preserve">In circumstances such as those presented here, </w:t>
      </w:r>
      <w:r w:rsidR="00CE09B4">
        <w:t xml:space="preserve">the </w:t>
      </w:r>
      <w:r w:rsidR="00F36589">
        <w:t xml:space="preserve">juvenile </w:t>
      </w:r>
      <w:r w:rsidR="00CE09B4">
        <w:t xml:space="preserve">court may </w:t>
      </w:r>
      <w:r w:rsidR="00F15637">
        <w:t xml:space="preserve">consider </w:t>
      </w:r>
      <w:r w:rsidR="001C3CD3">
        <w:t xml:space="preserve">under </w:t>
      </w:r>
      <w:r w:rsidR="00F15637">
        <w:t>sub</w:t>
      </w:r>
      <w:r w:rsidR="001C3CD3">
        <w:t xml:space="preserve">paragraph (c)(4)(A) </w:t>
      </w:r>
      <w:r w:rsidR="00CE09B4">
        <w:t xml:space="preserve">whether </w:t>
      </w:r>
      <w:r w:rsidR="001C3CD3">
        <w:t xml:space="preserve">adoption </w:t>
      </w:r>
      <w:r w:rsidR="001C3CD3" w:rsidRPr="00F15637">
        <w:rPr>
          <w:i/>
        </w:rPr>
        <w:t>or</w:t>
      </w:r>
      <w:r w:rsidR="001C3CD3">
        <w:t xml:space="preserve"> termination of parental rights is not in </w:t>
      </w:r>
      <w:r w:rsidR="009047A4">
        <w:t xml:space="preserve">a </w:t>
      </w:r>
      <w:r w:rsidR="00F36589">
        <w:t xml:space="preserve">child’s </w:t>
      </w:r>
      <w:r w:rsidR="001C3CD3">
        <w:t>best interest because of an enumerated condition</w:t>
      </w:r>
      <w:r w:rsidR="00F36589">
        <w:t xml:space="preserve"> which would </w:t>
      </w:r>
      <w:r w:rsidR="000B3111">
        <w:t xml:space="preserve">also support a finding under </w:t>
      </w:r>
      <w:r w:rsidR="00F15637">
        <w:t>sub</w:t>
      </w:r>
      <w:r w:rsidR="00F36589">
        <w:t>paragraph (c)(1)</w:t>
      </w:r>
      <w:r w:rsidR="000B3111">
        <w:t>(B)</w:t>
      </w:r>
      <w:r w:rsidR="001C3CD3">
        <w:t xml:space="preserve">.  </w:t>
      </w:r>
      <w:r w:rsidR="00F15637">
        <w:t xml:space="preserve">J.M. </w:t>
      </w:r>
      <w:r w:rsidR="004429A2">
        <w:t xml:space="preserve">meets the condition </w:t>
      </w:r>
      <w:r w:rsidR="00F15637">
        <w:t xml:space="preserve">described </w:t>
      </w:r>
      <w:r w:rsidR="004429A2">
        <w:t xml:space="preserve">in </w:t>
      </w:r>
      <w:r w:rsidR="00F813FE">
        <w:t>sub</w:t>
      </w:r>
      <w:r w:rsidR="004429A2">
        <w:t>paragraph (c)(1)(B)(iii)</w:t>
      </w:r>
      <w:r w:rsidR="009047A4">
        <w:t>:  He is placed in a residential treatment facility, adoption is unlikely</w:t>
      </w:r>
      <w:r w:rsidR="00BE2115">
        <w:t xml:space="preserve"> because of a severe disability requiring </w:t>
      </w:r>
      <w:r w:rsidR="00AF7D76">
        <w:t xml:space="preserve">specialized </w:t>
      </w:r>
      <w:proofErr w:type="gramStart"/>
      <w:r w:rsidR="00BE2115">
        <w:t xml:space="preserve">care, </w:t>
      </w:r>
      <w:r w:rsidR="00CC7C66">
        <w:t>and</w:t>
      </w:r>
      <w:proofErr w:type="gramEnd"/>
      <w:r w:rsidR="00CC7C66">
        <w:t xml:space="preserve"> continuing parental rights will not </w:t>
      </w:r>
      <w:r w:rsidR="0093186D">
        <w:t xml:space="preserve">affect his </w:t>
      </w:r>
      <w:r w:rsidR="00CC7C66">
        <w:t>ultimate placement.</w:t>
      </w:r>
    </w:p>
    <w:p w14:paraId="68605E1D" w14:textId="77777777" w:rsidR="00F57974" w:rsidRDefault="00CC1BBE" w:rsidP="003F7C00">
      <w:pPr>
        <w:pStyle w:val="Heading2"/>
      </w:pPr>
      <w:r>
        <w:t>The Pl</w:t>
      </w:r>
      <w:r w:rsidR="00F15637">
        <w:t xml:space="preserve">an Selected For J.M. </w:t>
      </w:r>
      <w:r>
        <w:t>Was Not an Abuse of Discretion</w:t>
      </w:r>
    </w:p>
    <w:p w14:paraId="540776CB" w14:textId="17D3E6FD" w:rsidR="000B1F83" w:rsidRDefault="000B1F83" w:rsidP="00963007">
      <w:r>
        <w:tab/>
      </w:r>
      <w:r w:rsidR="00884453">
        <w:t xml:space="preserve">J.M. argues that the juvenile court erred by ordering J.M.’s grandmother to become his legal guardian under </w:t>
      </w:r>
      <w:r w:rsidR="00F15637">
        <w:t>sub</w:t>
      </w:r>
      <w:r w:rsidR="00884453">
        <w:t>paragraph (c)(4)</w:t>
      </w:r>
      <w:r w:rsidR="009A131A">
        <w:t>(A)</w:t>
      </w:r>
      <w:r w:rsidR="00884453">
        <w:t xml:space="preserve">, which requires </w:t>
      </w:r>
      <w:r w:rsidR="009A131A">
        <w:t xml:space="preserve">the court to consider legal guardianship before continuing a child in foster care, provided such </w:t>
      </w:r>
      <w:r w:rsidR="00884453">
        <w:t xml:space="preserve">placement </w:t>
      </w:r>
      <w:r w:rsidR="009A131A">
        <w:t xml:space="preserve">is </w:t>
      </w:r>
      <w:r w:rsidR="00884453">
        <w:t>with “a suitable guardian” and “in the best interest</w:t>
      </w:r>
      <w:r w:rsidR="00C849DE">
        <w:t>s</w:t>
      </w:r>
      <w:r w:rsidR="00884453">
        <w:t xml:space="preserve"> of the child.”  (</w:t>
      </w:r>
      <w:r w:rsidR="00F813FE">
        <w:t>S</w:t>
      </w:r>
      <w:r w:rsidR="00884453">
        <w:t>ubd</w:t>
      </w:r>
      <w:r w:rsidR="00C849DE">
        <w:t>. </w:t>
      </w:r>
      <w:r w:rsidR="00884453">
        <w:t xml:space="preserve">(c)(4)(A).)  </w:t>
      </w:r>
      <w:r w:rsidR="003C48C2">
        <w:t xml:space="preserve">In J.M.’s view, </w:t>
      </w:r>
      <w:r w:rsidR="00F21642">
        <w:t xml:space="preserve">grandmother </w:t>
      </w:r>
      <w:r w:rsidR="000D4B03">
        <w:t xml:space="preserve">is not </w:t>
      </w:r>
      <w:r w:rsidR="00F21642">
        <w:t>a suitable guardian</w:t>
      </w:r>
      <w:r w:rsidR="003C48C2">
        <w:t xml:space="preserve"> because </w:t>
      </w:r>
      <w:r w:rsidR="000D4B03">
        <w:t>she lacks the ability to care for him in her home</w:t>
      </w:r>
      <w:r w:rsidR="00F722D4">
        <w:t>.</w:t>
      </w:r>
      <w:r w:rsidR="003C48C2">
        <w:t xml:space="preserve"> </w:t>
      </w:r>
      <w:r w:rsidR="00F21642">
        <w:t xml:space="preserve"> Nor </w:t>
      </w:r>
      <w:r w:rsidR="00F15637">
        <w:t xml:space="preserve">does J.M. believe </w:t>
      </w:r>
      <w:r w:rsidR="00F21642">
        <w:t xml:space="preserve">the guardianship </w:t>
      </w:r>
      <w:r w:rsidR="00F15637">
        <w:t xml:space="preserve">is in his </w:t>
      </w:r>
      <w:r w:rsidR="00F21642">
        <w:t xml:space="preserve">best interest because it </w:t>
      </w:r>
      <w:r w:rsidR="00F722D4">
        <w:t>contemplate</w:t>
      </w:r>
      <w:r w:rsidR="00F15637">
        <w:t>s</w:t>
      </w:r>
      <w:r w:rsidR="00F722D4">
        <w:t xml:space="preserve"> grandmother overseeing his care in a residential facility</w:t>
      </w:r>
      <w:r w:rsidR="00CC1BBE">
        <w:t>,</w:t>
      </w:r>
      <w:r w:rsidR="00F722D4">
        <w:t xml:space="preserve"> and </w:t>
      </w:r>
      <w:r w:rsidR="00CC1BBE">
        <w:t xml:space="preserve">it </w:t>
      </w:r>
      <w:r w:rsidR="0007386D">
        <w:t>release</w:t>
      </w:r>
      <w:r w:rsidR="00F15637">
        <w:t>s</w:t>
      </w:r>
      <w:r w:rsidR="0007386D">
        <w:t xml:space="preserve"> the Department from any obligation “to continue searching for an </w:t>
      </w:r>
      <w:r w:rsidR="0007386D">
        <w:lastRenderedPageBreak/>
        <w:t xml:space="preserve">appropriate placement” in a “true home.”  </w:t>
      </w:r>
      <w:r w:rsidR="00F21642">
        <w:t xml:space="preserve">He asks us to reverse the </w:t>
      </w:r>
      <w:r w:rsidR="000D4B03">
        <w:t xml:space="preserve">juvenile court’s </w:t>
      </w:r>
      <w:r w:rsidR="00F15637">
        <w:t xml:space="preserve">selection of </w:t>
      </w:r>
      <w:r w:rsidR="000D4B03">
        <w:t xml:space="preserve">guardianship and direct that a new permanent plan of long-term foster care be selected and implemented.  </w:t>
      </w:r>
    </w:p>
    <w:p w14:paraId="3D65380B" w14:textId="602F03D4" w:rsidR="00F722D4" w:rsidRDefault="00F722D4" w:rsidP="00963007">
      <w:r>
        <w:tab/>
      </w:r>
      <w:r w:rsidR="00A2350D">
        <w:t>“</w:t>
      </w:r>
      <w:r w:rsidR="00CC1BBE">
        <w:t>The best interest of the child is the fundamental goal of the juvenile dependency system, underlying … child safety, family preservation, and timely permanency and stability.”  (</w:t>
      </w:r>
      <w:r w:rsidR="00CC1BBE" w:rsidRPr="00CC6A78">
        <w:rPr>
          <w:i/>
        </w:rPr>
        <w:t>In re William B</w:t>
      </w:r>
      <w:r w:rsidR="00CC1BBE">
        <w:t>. (2008) 163 Cal.App.4th 1220, 1227.)  “</w:t>
      </w:r>
      <w:r w:rsidR="00784F20">
        <w:t xml:space="preserve"> ‘ “</w:t>
      </w:r>
      <w:r w:rsidR="00CC1BBE">
        <w:t>Its purpose is to maximize a child’s opportunity to develop into a stable, well-adjusted adult.” ’ ”  (</w:t>
      </w:r>
      <w:r w:rsidR="00CC1BBE" w:rsidRPr="00F05D18">
        <w:rPr>
          <w:i/>
        </w:rPr>
        <w:t>Ibid</w:t>
      </w:r>
      <w:r w:rsidR="00CC1BBE">
        <w:t xml:space="preserve">.)  </w:t>
      </w:r>
      <w:r w:rsidR="003E1984">
        <w:t>S</w:t>
      </w:r>
      <w:r w:rsidR="00784F20">
        <w:t xml:space="preserve">tability and continuity of care are </w:t>
      </w:r>
      <w:r w:rsidR="00CC1BBE">
        <w:t>primary consideration</w:t>
      </w:r>
      <w:r w:rsidR="00F775A7">
        <w:t>s</w:t>
      </w:r>
      <w:r w:rsidR="00CC1BBE">
        <w:t xml:space="preserve"> in determining the child’s best interes</w:t>
      </w:r>
      <w:r w:rsidR="00784F20">
        <w:t>t.</w:t>
      </w:r>
      <w:r w:rsidR="00CC1BBE">
        <w:t xml:space="preserve">  (</w:t>
      </w:r>
      <w:r w:rsidR="00CC1BBE" w:rsidRPr="00F05D18">
        <w:rPr>
          <w:i/>
        </w:rPr>
        <w:t>State Dept</w:t>
      </w:r>
      <w:r w:rsidR="005D6B25">
        <w:rPr>
          <w:i/>
        </w:rPr>
        <w:t>.</w:t>
      </w:r>
      <w:r w:rsidR="00CC1BBE" w:rsidRPr="00F05D18">
        <w:rPr>
          <w:i/>
        </w:rPr>
        <w:t xml:space="preserve"> of Social Services v. Superior Court</w:t>
      </w:r>
      <w:r w:rsidR="00CC1BBE">
        <w:t xml:space="preserve"> (2008) 162 Cal.App.4th 273, 287.)  </w:t>
      </w:r>
      <w:r w:rsidR="00CE404A">
        <w:t>Custody determinations in dependency proceedings are “</w:t>
      </w:r>
      <w:r w:rsidR="00CE404A" w:rsidRPr="00CE404A">
        <w:t>committed to the sound discretion of the juvenile court,</w:t>
      </w:r>
      <w:r w:rsidR="00CE404A">
        <w:t>”</w:t>
      </w:r>
      <w:r w:rsidR="00CE404A" w:rsidRPr="00CE404A">
        <w:t xml:space="preserve"> and </w:t>
      </w:r>
      <w:r w:rsidR="00C90A22">
        <w:t>such rulings “</w:t>
      </w:r>
      <w:r w:rsidR="00CE404A" w:rsidRPr="00CE404A">
        <w:t>should not be disturbed on appeal unless an abuse of discretion is clearly established.</w:t>
      </w:r>
      <w:r w:rsidR="00CE404A">
        <w:t xml:space="preserve">”  </w:t>
      </w:r>
      <w:r w:rsidR="001E34AA">
        <w:t>(</w:t>
      </w:r>
      <w:r w:rsidR="001E34AA" w:rsidRPr="001E34AA">
        <w:rPr>
          <w:i/>
        </w:rPr>
        <w:t>In re Stephanie M</w:t>
      </w:r>
      <w:r w:rsidR="001E34AA">
        <w:t xml:space="preserve">. (1994) </w:t>
      </w:r>
      <w:r w:rsidR="00903E6C">
        <w:t>7 </w:t>
      </w:r>
      <w:r w:rsidR="001E34AA">
        <w:t>Cal.</w:t>
      </w:r>
      <w:r w:rsidR="00903E6C">
        <w:t>4th </w:t>
      </w:r>
      <w:r w:rsidR="001E34AA">
        <w:t xml:space="preserve">295, 318.)  </w:t>
      </w:r>
      <w:r w:rsidR="00784F20">
        <w:t xml:space="preserve">We </w:t>
      </w:r>
      <w:r w:rsidR="001E34AA">
        <w:t>will not disturb a custody determination “ ‘ “unless the trial court has exceeded the limits of legal discretion by making an arbitrary, capricious, or patently absurd determination</w:t>
      </w:r>
      <w:r w:rsidR="00211979">
        <w:t>.</w:t>
      </w:r>
      <w:r w:rsidR="001E34AA">
        <w:t>” ’ ”</w:t>
      </w:r>
      <w:r w:rsidR="00CE404A">
        <w:t xml:space="preserve">  (</w:t>
      </w:r>
      <w:r w:rsidR="00CE404A" w:rsidRPr="00CE404A">
        <w:rPr>
          <w:i/>
        </w:rPr>
        <w:t>Ibid</w:t>
      </w:r>
      <w:r w:rsidR="00CE404A">
        <w:t xml:space="preserve">.)  </w:t>
      </w:r>
    </w:p>
    <w:p w14:paraId="6F23BFDB" w14:textId="1976F534" w:rsidR="0064358F" w:rsidRDefault="008F191C" w:rsidP="00963007">
      <w:r>
        <w:tab/>
        <w:t xml:space="preserve">Here, </w:t>
      </w:r>
      <w:r w:rsidR="00107DA4">
        <w:t xml:space="preserve">the juvenile court’s </w:t>
      </w:r>
      <w:r w:rsidR="00784F20">
        <w:t xml:space="preserve">determination </w:t>
      </w:r>
      <w:r w:rsidR="00C179DA">
        <w:t xml:space="preserve">that </w:t>
      </w:r>
      <w:r w:rsidR="00F775A7">
        <w:t xml:space="preserve">J.M.’s interests would be best served through </w:t>
      </w:r>
      <w:r w:rsidR="00C179DA">
        <w:t xml:space="preserve">legal guardianship </w:t>
      </w:r>
      <w:r w:rsidR="000651BA">
        <w:t xml:space="preserve">with his maternal grandmother </w:t>
      </w:r>
      <w:r w:rsidR="00C179DA">
        <w:t>was not an abuse of discretion</w:t>
      </w:r>
      <w:r>
        <w:t xml:space="preserve">.  </w:t>
      </w:r>
      <w:r w:rsidR="00784F20">
        <w:t xml:space="preserve">Grandmother </w:t>
      </w:r>
      <w:r w:rsidR="00084132">
        <w:t>can</w:t>
      </w:r>
      <w:r w:rsidR="00784F20">
        <w:t xml:space="preserve">not </w:t>
      </w:r>
      <w:r w:rsidR="00084132">
        <w:t xml:space="preserve">be characterized </w:t>
      </w:r>
      <w:r w:rsidR="00784F20">
        <w:t xml:space="preserve">a mere “friendly visitor,” as J.M. argues.  </w:t>
      </w:r>
      <w:r w:rsidR="00C179DA">
        <w:t xml:space="preserve">The record shows </w:t>
      </w:r>
      <w:r w:rsidR="007773C7">
        <w:t xml:space="preserve">that </w:t>
      </w:r>
      <w:r w:rsidR="00C179DA">
        <w:t>grand</w:t>
      </w:r>
      <w:r w:rsidR="00BC6223">
        <w:t xml:space="preserve">mother has </w:t>
      </w:r>
      <w:r w:rsidR="00F775A7">
        <w:t xml:space="preserve">long </w:t>
      </w:r>
      <w:r w:rsidR="00BC6223">
        <w:t xml:space="preserve">been </w:t>
      </w:r>
      <w:r w:rsidR="001344DF">
        <w:t xml:space="preserve">a </w:t>
      </w:r>
      <w:r w:rsidR="007773C7">
        <w:t>positive</w:t>
      </w:r>
      <w:r w:rsidR="00F775A7">
        <w:t xml:space="preserve"> </w:t>
      </w:r>
      <w:r w:rsidR="001344DF">
        <w:t xml:space="preserve">presence in </w:t>
      </w:r>
      <w:r w:rsidR="00887976">
        <w:t>J.M.’s life</w:t>
      </w:r>
      <w:r w:rsidR="00C259AE">
        <w:t xml:space="preserve">, and that </w:t>
      </w:r>
      <w:r w:rsidR="007773C7">
        <w:t xml:space="preserve">the two </w:t>
      </w:r>
      <w:r w:rsidR="00C259AE">
        <w:t xml:space="preserve">share an emotional bond.  Grandmother </w:t>
      </w:r>
      <w:r w:rsidR="00754F1B">
        <w:t xml:space="preserve">has </w:t>
      </w:r>
      <w:r w:rsidR="00C259AE">
        <w:t xml:space="preserve">regularly visited J.M. since his accident, </w:t>
      </w:r>
      <w:r w:rsidR="00754F1B">
        <w:t>tak</w:t>
      </w:r>
      <w:r w:rsidR="007773C7">
        <w:t>ing</w:t>
      </w:r>
      <w:r w:rsidR="00754F1B">
        <w:t xml:space="preserve"> it upon herself to ensure that J.M. feels a sense of family and belonging</w:t>
      </w:r>
      <w:r w:rsidR="007931FA">
        <w:t>.</w:t>
      </w:r>
      <w:r w:rsidR="009C1957">
        <w:t xml:space="preserve"> </w:t>
      </w:r>
      <w:r w:rsidR="007931FA">
        <w:t xml:space="preserve"> </w:t>
      </w:r>
      <w:r w:rsidR="009C1957">
        <w:t xml:space="preserve">She has been his educational rights holder, has advocated on his behalf with the hospital and </w:t>
      </w:r>
      <w:r w:rsidR="00F775A7">
        <w:t>the regional center</w:t>
      </w:r>
      <w:r w:rsidR="00DC0D71">
        <w:t>,</w:t>
      </w:r>
      <w:r w:rsidR="00D65C83">
        <w:t xml:space="preserve"> </w:t>
      </w:r>
      <w:r w:rsidR="00DC0D71">
        <w:t xml:space="preserve">and understands her guardianship responsibilities.  </w:t>
      </w:r>
      <w:r w:rsidR="00625D9D">
        <w:t>T</w:t>
      </w:r>
      <w:r>
        <w:t xml:space="preserve">he </w:t>
      </w:r>
      <w:r w:rsidR="00F775A7">
        <w:t xml:space="preserve">juvenile </w:t>
      </w:r>
      <w:r>
        <w:t xml:space="preserve">court </w:t>
      </w:r>
      <w:r w:rsidR="00625D9D">
        <w:t xml:space="preserve">recognized this </w:t>
      </w:r>
      <w:r w:rsidR="00F775A7">
        <w:t xml:space="preserve">is </w:t>
      </w:r>
      <w:r w:rsidR="00625D9D">
        <w:t xml:space="preserve">“the rare case” where the child </w:t>
      </w:r>
      <w:r w:rsidR="00F775A7">
        <w:t xml:space="preserve">will </w:t>
      </w:r>
      <w:r w:rsidR="00625D9D">
        <w:t>not reside in the legal guardian’s home</w:t>
      </w:r>
      <w:r w:rsidR="00D65C83">
        <w:t>,</w:t>
      </w:r>
      <w:r w:rsidR="00625D9D">
        <w:t xml:space="preserve"> </w:t>
      </w:r>
      <w:r w:rsidR="00D65C83">
        <w:t xml:space="preserve">but </w:t>
      </w:r>
      <w:r w:rsidR="00344E0F">
        <w:t>that is not because grandmother is not a suitable guardian.  J.M. has special</w:t>
      </w:r>
      <w:r w:rsidR="002142E5">
        <w:t>ized</w:t>
      </w:r>
      <w:r w:rsidR="00344E0F">
        <w:t xml:space="preserve"> needs which not all loving parents or guardians </w:t>
      </w:r>
      <w:r w:rsidR="006F4C15">
        <w:t xml:space="preserve">would be </w:t>
      </w:r>
      <w:r w:rsidR="00344E0F">
        <w:t xml:space="preserve">able to meet in a </w:t>
      </w:r>
      <w:r w:rsidR="007773C7">
        <w:t>“</w:t>
      </w:r>
      <w:r w:rsidR="00344E0F">
        <w:t>true home</w:t>
      </w:r>
      <w:r w:rsidR="007773C7">
        <w:t>”</w:t>
      </w:r>
      <w:r w:rsidR="00344E0F">
        <w:t xml:space="preserve"> setting</w:t>
      </w:r>
      <w:r w:rsidR="002142E5">
        <w:t xml:space="preserve">.  </w:t>
      </w:r>
      <w:r w:rsidR="006F4C15">
        <w:t>C</w:t>
      </w:r>
      <w:r w:rsidR="002142E5">
        <w:t xml:space="preserve">ontinued residence at the </w:t>
      </w:r>
      <w:r w:rsidR="000651BA">
        <w:t xml:space="preserve">children’s </w:t>
      </w:r>
      <w:r w:rsidR="002142E5">
        <w:t xml:space="preserve">hospital may not be optimal, </w:t>
      </w:r>
      <w:r w:rsidR="006F4C15">
        <w:lastRenderedPageBreak/>
        <w:t xml:space="preserve">but </w:t>
      </w:r>
      <w:r w:rsidR="002142E5">
        <w:t xml:space="preserve">the record shows that </w:t>
      </w:r>
      <w:r w:rsidR="007773C7">
        <w:t>grandmother</w:t>
      </w:r>
      <w:r w:rsidR="006F4C15">
        <w:t xml:space="preserve"> is </w:t>
      </w:r>
      <w:r w:rsidR="007773C7">
        <w:t>committed to J.M’s best interest</w:t>
      </w:r>
      <w:r w:rsidR="006F4C15">
        <w:t xml:space="preserve"> and </w:t>
      </w:r>
      <w:r w:rsidR="007773C7">
        <w:t>support</w:t>
      </w:r>
      <w:r w:rsidR="000651BA">
        <w:t>s</w:t>
      </w:r>
      <w:r w:rsidR="007773C7">
        <w:t xml:space="preserve"> </w:t>
      </w:r>
      <w:r w:rsidR="00BA7476">
        <w:t xml:space="preserve">moving </w:t>
      </w:r>
      <w:r w:rsidR="006F4C15">
        <w:t xml:space="preserve">him </w:t>
      </w:r>
      <w:r w:rsidR="00BA7476">
        <w:t xml:space="preserve">to </w:t>
      </w:r>
      <w:r w:rsidR="007773C7">
        <w:t xml:space="preserve">a suitable permanent </w:t>
      </w:r>
      <w:r w:rsidR="00BA7476">
        <w:t>care facility</w:t>
      </w:r>
      <w:r w:rsidR="00AF7D76">
        <w:t xml:space="preserve"> should </w:t>
      </w:r>
      <w:r w:rsidR="006F4C15">
        <w:t xml:space="preserve">that </w:t>
      </w:r>
      <w:r w:rsidR="00AF7D76">
        <w:t>become available</w:t>
      </w:r>
      <w:r w:rsidR="00BA7476">
        <w:t xml:space="preserve">. </w:t>
      </w:r>
      <w:r w:rsidR="007773C7">
        <w:t xml:space="preserve"> </w:t>
      </w:r>
      <w:r w:rsidR="006F4C15">
        <w:t xml:space="preserve">Continuing </w:t>
      </w:r>
      <w:r w:rsidR="0064358F">
        <w:t>dependency jurisdiction</w:t>
      </w:r>
      <w:r w:rsidR="006F4C15">
        <w:t xml:space="preserve"> will allow </w:t>
      </w:r>
      <w:r w:rsidR="0064358F">
        <w:t xml:space="preserve">the juvenile court </w:t>
      </w:r>
      <w:r w:rsidR="006F4C15">
        <w:t xml:space="preserve">to encourage and </w:t>
      </w:r>
      <w:r w:rsidR="000359A0">
        <w:t xml:space="preserve">monitor </w:t>
      </w:r>
      <w:r w:rsidR="006F4C15">
        <w:t xml:space="preserve">those </w:t>
      </w:r>
      <w:r w:rsidR="000359A0">
        <w:t>efforts.</w:t>
      </w:r>
    </w:p>
    <w:p w14:paraId="498427CC" w14:textId="77777777" w:rsidR="00BC3DF2" w:rsidRDefault="00BC3DF2" w:rsidP="00BC3DF2">
      <w:pPr>
        <w:pStyle w:val="Heading1"/>
      </w:pPr>
      <w:r>
        <w:t xml:space="preserve">  disposition</w:t>
      </w:r>
    </w:p>
    <w:p w14:paraId="6DF7A508" w14:textId="77777777" w:rsidR="007E6447" w:rsidRDefault="00BC3DF2" w:rsidP="00BC3DF2">
      <w:pPr>
        <w:sectPr w:rsidR="007E6447" w:rsidSect="00C80EBC">
          <w:footerReference w:type="default" r:id="rId7"/>
          <w:headerReference w:type="first" r:id="rId8"/>
          <w:pgSz w:w="12240" w:h="15840" w:code="1"/>
          <w:pgMar w:top="1440" w:right="1440" w:bottom="1440" w:left="1440" w:header="720" w:footer="720" w:gutter="0"/>
          <w:cols w:space="720"/>
          <w:titlePg/>
          <w:docGrid w:linePitch="360"/>
        </w:sectPr>
      </w:pPr>
      <w:r>
        <w:tab/>
        <w:t xml:space="preserve">The selection and implementation order is affirmed.  </w:t>
      </w:r>
    </w:p>
    <w:p w14:paraId="508321A3" w14:textId="77777777" w:rsidR="007E6447" w:rsidRPr="007E6447" w:rsidRDefault="007E6447" w:rsidP="007E6447">
      <w:pPr>
        <w:spacing w:line="360" w:lineRule="auto"/>
      </w:pPr>
    </w:p>
    <w:p w14:paraId="51AE3C43" w14:textId="77777777" w:rsidR="007E6447" w:rsidRPr="007E6447" w:rsidRDefault="007E6447" w:rsidP="007E6447">
      <w:pPr>
        <w:spacing w:line="360" w:lineRule="auto"/>
      </w:pPr>
      <w:r w:rsidRPr="007E6447">
        <w:tab/>
      </w:r>
      <w:r w:rsidRPr="007E6447">
        <w:tab/>
      </w:r>
      <w:r w:rsidRPr="007E6447">
        <w:tab/>
      </w:r>
      <w:r w:rsidRPr="007E6447">
        <w:tab/>
      </w:r>
      <w:r w:rsidRPr="007E6447">
        <w:tab/>
      </w:r>
      <w:r w:rsidRPr="007E6447">
        <w:tab/>
        <w:t>____________________________________</w:t>
      </w:r>
    </w:p>
    <w:p w14:paraId="244AAC36" w14:textId="77777777" w:rsidR="007E6447" w:rsidRPr="007E6447" w:rsidRDefault="007E6447" w:rsidP="007E6447">
      <w:pPr>
        <w:spacing w:line="360" w:lineRule="auto"/>
      </w:pPr>
      <w:r w:rsidRPr="007E6447">
        <w:tab/>
      </w:r>
      <w:r w:rsidRPr="007E6447">
        <w:tab/>
      </w:r>
      <w:r w:rsidRPr="007E6447">
        <w:tab/>
      </w:r>
      <w:r w:rsidRPr="007E6447">
        <w:tab/>
      </w:r>
      <w:r w:rsidRPr="007E6447">
        <w:tab/>
      </w:r>
      <w:r w:rsidRPr="007E6447">
        <w:tab/>
        <w:t>Grover, J.</w:t>
      </w:r>
    </w:p>
    <w:p w14:paraId="5FBD4D3C" w14:textId="77777777" w:rsidR="007E6447" w:rsidRPr="007E6447" w:rsidRDefault="007E6447" w:rsidP="007E6447">
      <w:pPr>
        <w:spacing w:line="360" w:lineRule="auto"/>
      </w:pPr>
    </w:p>
    <w:p w14:paraId="7C48EAC8" w14:textId="77777777" w:rsidR="007E6447" w:rsidRPr="007E6447" w:rsidRDefault="007E6447" w:rsidP="007E6447">
      <w:pPr>
        <w:spacing w:line="360" w:lineRule="auto"/>
      </w:pPr>
    </w:p>
    <w:p w14:paraId="146401C1" w14:textId="77777777" w:rsidR="007E6447" w:rsidRPr="007E6447" w:rsidRDefault="007E6447" w:rsidP="007E6447">
      <w:pPr>
        <w:spacing w:line="360" w:lineRule="auto"/>
      </w:pPr>
    </w:p>
    <w:p w14:paraId="5BA40FC5" w14:textId="77777777" w:rsidR="007E6447" w:rsidRPr="007E6447" w:rsidRDefault="007E6447" w:rsidP="007E6447">
      <w:pPr>
        <w:spacing w:line="360" w:lineRule="auto"/>
      </w:pPr>
    </w:p>
    <w:p w14:paraId="3FFDDD6C" w14:textId="77777777" w:rsidR="007E6447" w:rsidRPr="007E6447" w:rsidRDefault="007E6447" w:rsidP="007E6447">
      <w:pPr>
        <w:spacing w:line="360" w:lineRule="auto"/>
        <w:rPr>
          <w:b/>
        </w:rPr>
      </w:pPr>
      <w:r w:rsidRPr="007E6447">
        <w:rPr>
          <w:b/>
        </w:rPr>
        <w:t>WE CONCUR:</w:t>
      </w:r>
    </w:p>
    <w:p w14:paraId="09243E72" w14:textId="77777777" w:rsidR="007E6447" w:rsidRPr="007E6447" w:rsidRDefault="007E6447" w:rsidP="007E6447">
      <w:pPr>
        <w:spacing w:line="360" w:lineRule="auto"/>
      </w:pPr>
    </w:p>
    <w:p w14:paraId="4E7C5675" w14:textId="77777777" w:rsidR="007E6447" w:rsidRPr="007E6447" w:rsidRDefault="007E6447" w:rsidP="007E6447">
      <w:pPr>
        <w:spacing w:line="360" w:lineRule="auto"/>
      </w:pPr>
    </w:p>
    <w:p w14:paraId="130DA571" w14:textId="77777777" w:rsidR="007E6447" w:rsidRPr="007E6447" w:rsidRDefault="007E6447" w:rsidP="007E6447">
      <w:pPr>
        <w:spacing w:line="360" w:lineRule="auto"/>
      </w:pPr>
    </w:p>
    <w:p w14:paraId="0D9098DA" w14:textId="77777777" w:rsidR="007E6447" w:rsidRPr="007E6447" w:rsidRDefault="007E6447" w:rsidP="007E6447">
      <w:pPr>
        <w:spacing w:line="360" w:lineRule="auto"/>
      </w:pPr>
    </w:p>
    <w:p w14:paraId="7F448A87" w14:textId="77777777" w:rsidR="007E6447" w:rsidRPr="007E6447" w:rsidRDefault="007E6447" w:rsidP="007E6447">
      <w:pPr>
        <w:spacing w:line="360" w:lineRule="auto"/>
      </w:pPr>
      <w:r w:rsidRPr="007E6447">
        <w:t>____________________________</w:t>
      </w:r>
    </w:p>
    <w:p w14:paraId="03836B1C" w14:textId="77777777" w:rsidR="007E6447" w:rsidRPr="007E6447" w:rsidRDefault="007E6447" w:rsidP="007E6447">
      <w:pPr>
        <w:spacing w:line="360" w:lineRule="auto"/>
      </w:pPr>
      <w:r w:rsidRPr="007E6447">
        <w:t xml:space="preserve">Elia, Acting P. J. </w:t>
      </w:r>
    </w:p>
    <w:p w14:paraId="63B0D3A2" w14:textId="77777777" w:rsidR="007E6447" w:rsidRPr="007E6447" w:rsidRDefault="007E6447" w:rsidP="007E6447">
      <w:pPr>
        <w:spacing w:line="360" w:lineRule="auto"/>
      </w:pPr>
    </w:p>
    <w:p w14:paraId="11B3CC1D" w14:textId="77777777" w:rsidR="007E6447" w:rsidRPr="007E6447" w:rsidRDefault="007E6447" w:rsidP="007E6447">
      <w:pPr>
        <w:spacing w:line="360" w:lineRule="auto"/>
      </w:pPr>
    </w:p>
    <w:p w14:paraId="39AA3B58" w14:textId="77777777" w:rsidR="007E6447" w:rsidRPr="007E6447" w:rsidRDefault="007E6447" w:rsidP="007E6447">
      <w:pPr>
        <w:spacing w:line="360" w:lineRule="auto"/>
      </w:pPr>
    </w:p>
    <w:p w14:paraId="52B36B65" w14:textId="77777777" w:rsidR="007E6447" w:rsidRPr="007E6447" w:rsidRDefault="007E6447" w:rsidP="007E6447">
      <w:pPr>
        <w:spacing w:line="360" w:lineRule="auto"/>
      </w:pPr>
    </w:p>
    <w:p w14:paraId="482BE605" w14:textId="77777777" w:rsidR="007E6447" w:rsidRPr="007E6447" w:rsidRDefault="007E6447" w:rsidP="007E6447">
      <w:pPr>
        <w:spacing w:line="360" w:lineRule="auto"/>
      </w:pPr>
      <w:r w:rsidRPr="007E6447">
        <w:t>____________________________</w:t>
      </w:r>
    </w:p>
    <w:p w14:paraId="57242FF9" w14:textId="77777777" w:rsidR="007E6447" w:rsidRPr="007E6447" w:rsidRDefault="007E6447" w:rsidP="007E6447">
      <w:pPr>
        <w:spacing w:line="360" w:lineRule="auto"/>
      </w:pPr>
      <w:r w:rsidRPr="007E6447">
        <w:t xml:space="preserve">Danner, J.  </w:t>
      </w:r>
    </w:p>
    <w:p w14:paraId="22513B5A" w14:textId="77777777" w:rsidR="007E6447" w:rsidRPr="007E6447" w:rsidRDefault="007E6447" w:rsidP="007E6447">
      <w:pPr>
        <w:spacing w:line="360" w:lineRule="auto"/>
      </w:pPr>
    </w:p>
    <w:p w14:paraId="215EA1A5" w14:textId="77777777" w:rsidR="007E6447" w:rsidRPr="007E6447" w:rsidRDefault="007E6447" w:rsidP="007E6447">
      <w:pPr>
        <w:spacing w:line="360" w:lineRule="auto"/>
      </w:pPr>
    </w:p>
    <w:p w14:paraId="466C0863" w14:textId="77777777" w:rsidR="007E6447" w:rsidRPr="007E6447" w:rsidRDefault="007E6447" w:rsidP="007E6447">
      <w:pPr>
        <w:spacing w:line="360" w:lineRule="auto"/>
      </w:pPr>
    </w:p>
    <w:p w14:paraId="398AA8D0" w14:textId="77777777" w:rsidR="007E6447" w:rsidRPr="007E6447" w:rsidRDefault="007E6447" w:rsidP="007E6447">
      <w:pPr>
        <w:spacing w:line="360" w:lineRule="auto"/>
      </w:pPr>
    </w:p>
    <w:p w14:paraId="177B0E27" w14:textId="77777777" w:rsidR="007E6447" w:rsidRPr="007E6447" w:rsidRDefault="007E6447" w:rsidP="007E6447">
      <w:pPr>
        <w:spacing w:line="360" w:lineRule="auto"/>
      </w:pPr>
    </w:p>
    <w:p w14:paraId="66DAB8CB" w14:textId="77777777" w:rsidR="007E6447" w:rsidRDefault="007E6447" w:rsidP="007E6447">
      <w:pPr>
        <w:spacing w:line="360" w:lineRule="auto"/>
      </w:pPr>
    </w:p>
    <w:p w14:paraId="6FF040A6" w14:textId="77777777" w:rsidR="007E6447" w:rsidRPr="007E6447" w:rsidRDefault="007E6447" w:rsidP="007E6447">
      <w:pPr>
        <w:spacing w:line="360" w:lineRule="auto"/>
      </w:pPr>
    </w:p>
    <w:p w14:paraId="6EED18A3" w14:textId="77777777" w:rsidR="007E6447" w:rsidRPr="007E6447" w:rsidRDefault="007E6447" w:rsidP="007E6447">
      <w:pPr>
        <w:spacing w:line="360" w:lineRule="auto"/>
      </w:pPr>
    </w:p>
    <w:p w14:paraId="77593723" w14:textId="77777777" w:rsidR="00747879" w:rsidRDefault="007E6447" w:rsidP="007E6447">
      <w:pPr>
        <w:spacing w:line="360" w:lineRule="auto"/>
        <w:rPr>
          <w:b/>
          <w:i/>
        </w:rPr>
        <w:sectPr w:rsidR="00747879" w:rsidSect="00C80EBC">
          <w:headerReference w:type="first" r:id="rId9"/>
          <w:pgSz w:w="12240" w:h="15840" w:code="1"/>
          <w:pgMar w:top="1440" w:right="1440" w:bottom="1440" w:left="1440" w:header="720" w:footer="720" w:gutter="0"/>
          <w:cols w:space="720"/>
          <w:titlePg/>
          <w:docGrid w:linePitch="360"/>
        </w:sectPr>
      </w:pPr>
      <w:bookmarkStart w:id="1" w:name="_Hlk30153004"/>
      <w:r w:rsidRPr="007E6447">
        <w:rPr>
          <w:b/>
        </w:rPr>
        <w:t>H046917 - </w:t>
      </w:r>
      <w:r w:rsidRPr="007E6447">
        <w:rPr>
          <w:b/>
          <w:i/>
        </w:rPr>
        <w:t>In re J.M., D.F.C.S. v. J.M</w:t>
      </w:r>
      <w:bookmarkEnd w:id="1"/>
      <w:r w:rsidRPr="007E6447">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5001"/>
      </w:tblGrid>
      <w:tr w:rsidR="00C54841" w14:paraId="6E055BAF" w14:textId="77777777" w:rsidTr="008D1582">
        <w:trPr>
          <w:trHeight w:val="800"/>
        </w:trPr>
        <w:tc>
          <w:tcPr>
            <w:tcW w:w="4349" w:type="dxa"/>
          </w:tcPr>
          <w:p w14:paraId="7AB2DF8E" w14:textId="77777777" w:rsidR="00C54841" w:rsidRDefault="00C54841" w:rsidP="00C54841">
            <w:pPr>
              <w:spacing w:line="240" w:lineRule="auto"/>
            </w:pPr>
            <w:r>
              <w:lastRenderedPageBreak/>
              <w:t>Trial Court:</w:t>
            </w:r>
          </w:p>
          <w:p w14:paraId="3B374758" w14:textId="77777777" w:rsidR="00C54841" w:rsidRDefault="00C54841" w:rsidP="00C54841">
            <w:pPr>
              <w:spacing w:line="240" w:lineRule="auto"/>
            </w:pPr>
          </w:p>
          <w:p w14:paraId="14874061" w14:textId="77777777" w:rsidR="00C54841" w:rsidRDefault="00C54841" w:rsidP="00C54841">
            <w:pPr>
              <w:spacing w:line="240" w:lineRule="auto"/>
            </w:pPr>
          </w:p>
        </w:tc>
        <w:tc>
          <w:tcPr>
            <w:tcW w:w="5001" w:type="dxa"/>
          </w:tcPr>
          <w:p w14:paraId="23BD821C" w14:textId="77777777" w:rsidR="00C54841" w:rsidRDefault="00C54841" w:rsidP="00C54841">
            <w:pPr>
              <w:pStyle w:val="Footer"/>
            </w:pPr>
            <w:r>
              <w:t>Santa Clara County Superior Court</w:t>
            </w:r>
          </w:p>
          <w:p w14:paraId="383540D7" w14:textId="77777777" w:rsidR="00C54841" w:rsidRDefault="00C54841" w:rsidP="00C54841">
            <w:pPr>
              <w:spacing w:line="240" w:lineRule="auto"/>
            </w:pPr>
            <w:r>
              <w:t>Superior Court No. JD20212</w:t>
            </w:r>
          </w:p>
        </w:tc>
      </w:tr>
      <w:tr w:rsidR="00C54841" w14:paraId="5B91F13D" w14:textId="77777777" w:rsidTr="008D1582">
        <w:tc>
          <w:tcPr>
            <w:tcW w:w="4349" w:type="dxa"/>
          </w:tcPr>
          <w:p w14:paraId="5E9B31C6" w14:textId="77777777" w:rsidR="00C54841" w:rsidRDefault="00C54841" w:rsidP="00C54841">
            <w:pPr>
              <w:spacing w:line="240" w:lineRule="auto"/>
            </w:pPr>
            <w:r>
              <w:t>Trial Judge:</w:t>
            </w:r>
          </w:p>
        </w:tc>
        <w:tc>
          <w:tcPr>
            <w:tcW w:w="5001" w:type="dxa"/>
          </w:tcPr>
          <w:p w14:paraId="02D153AC" w14:textId="7B3D1796" w:rsidR="00C54841" w:rsidRDefault="00C54841" w:rsidP="00C54841">
            <w:pPr>
              <w:spacing w:line="240" w:lineRule="auto"/>
            </w:pPr>
            <w:r>
              <w:t>Hon. Amber S. Rosen</w:t>
            </w:r>
          </w:p>
          <w:p w14:paraId="33839FB0" w14:textId="77777777" w:rsidR="00C54841" w:rsidRDefault="00C54841" w:rsidP="00C54841">
            <w:pPr>
              <w:spacing w:line="240" w:lineRule="auto"/>
            </w:pPr>
          </w:p>
        </w:tc>
      </w:tr>
      <w:tr w:rsidR="00C54841" w14:paraId="2333034A" w14:textId="77777777" w:rsidTr="008D1582">
        <w:tc>
          <w:tcPr>
            <w:tcW w:w="4349" w:type="dxa"/>
          </w:tcPr>
          <w:p w14:paraId="08E09AE3" w14:textId="77777777" w:rsidR="00C54841" w:rsidRDefault="00C54841" w:rsidP="00C54841">
            <w:pPr>
              <w:spacing w:line="240" w:lineRule="auto"/>
            </w:pPr>
            <w:r>
              <w:t>Counsel for Plaintiff/Respondent:</w:t>
            </w:r>
          </w:p>
          <w:p w14:paraId="2BA2B542" w14:textId="77777777" w:rsidR="00C54841" w:rsidRDefault="00C54841" w:rsidP="00C54841">
            <w:pPr>
              <w:spacing w:line="240" w:lineRule="auto"/>
            </w:pPr>
            <w:r>
              <w:t>Santa Clara County Department of Family and Children’s Services</w:t>
            </w:r>
          </w:p>
          <w:p w14:paraId="1C1060B2" w14:textId="77777777" w:rsidR="00C54841" w:rsidRDefault="00C54841" w:rsidP="00C54841">
            <w:pPr>
              <w:spacing w:line="240" w:lineRule="auto"/>
            </w:pPr>
          </w:p>
          <w:p w14:paraId="1EDFBBFE" w14:textId="74C651A9" w:rsidR="008D1582" w:rsidRDefault="008D1582" w:rsidP="00C54841">
            <w:pPr>
              <w:spacing w:line="240" w:lineRule="auto"/>
            </w:pPr>
          </w:p>
        </w:tc>
        <w:tc>
          <w:tcPr>
            <w:tcW w:w="5001" w:type="dxa"/>
          </w:tcPr>
          <w:p w14:paraId="083BC81C" w14:textId="77777777" w:rsidR="00C54841" w:rsidRDefault="00C54841" w:rsidP="00C54841">
            <w:pPr>
              <w:spacing w:line="240" w:lineRule="auto"/>
            </w:pPr>
            <w:r>
              <w:t xml:space="preserve">James R. Williams, County Counsel </w:t>
            </w:r>
          </w:p>
          <w:p w14:paraId="78787C90" w14:textId="6914B2C1" w:rsidR="00C54841" w:rsidRDefault="00C54841" w:rsidP="00C54841">
            <w:pPr>
              <w:spacing w:line="240" w:lineRule="auto"/>
            </w:pPr>
            <w:r>
              <w:t xml:space="preserve">Grace H. Kouba, Deputy County Counsel </w:t>
            </w:r>
          </w:p>
          <w:p w14:paraId="5A1A805C" w14:textId="61F7EA12" w:rsidR="00E45605" w:rsidRDefault="00E45605" w:rsidP="00C54841">
            <w:pPr>
              <w:spacing w:line="240" w:lineRule="auto"/>
            </w:pPr>
            <w:r>
              <w:t>Kristen Baker, Deputy County Counsel</w:t>
            </w:r>
          </w:p>
          <w:p w14:paraId="414F8877" w14:textId="77777777" w:rsidR="00C54841" w:rsidRDefault="00C54841" w:rsidP="00C54841">
            <w:pPr>
              <w:spacing w:line="240" w:lineRule="auto"/>
            </w:pPr>
            <w:r>
              <w:t xml:space="preserve">Office of the County Counsel </w:t>
            </w:r>
          </w:p>
        </w:tc>
      </w:tr>
      <w:tr w:rsidR="00C54841" w14:paraId="08CF106F" w14:textId="77777777" w:rsidTr="008D1582">
        <w:tc>
          <w:tcPr>
            <w:tcW w:w="4349" w:type="dxa"/>
          </w:tcPr>
          <w:p w14:paraId="0098C422" w14:textId="77777777" w:rsidR="004523B6" w:rsidRDefault="004523B6" w:rsidP="004523B6">
            <w:pPr>
              <w:spacing w:line="240" w:lineRule="auto"/>
            </w:pPr>
            <w:r>
              <w:t>Counsel for Defendant/Appellant:</w:t>
            </w:r>
          </w:p>
          <w:p w14:paraId="6556097F" w14:textId="04FD0DBD" w:rsidR="00C54841" w:rsidRDefault="004523B6" w:rsidP="004523B6">
            <w:pPr>
              <w:spacing w:line="240" w:lineRule="auto"/>
            </w:pPr>
            <w:r>
              <w:t xml:space="preserve">J.M. </w:t>
            </w:r>
          </w:p>
        </w:tc>
        <w:tc>
          <w:tcPr>
            <w:tcW w:w="5001" w:type="dxa"/>
          </w:tcPr>
          <w:p w14:paraId="30B728DA" w14:textId="77777777" w:rsidR="00C54841" w:rsidRPr="00FA1A53" w:rsidRDefault="00C54841" w:rsidP="00C54841">
            <w:pPr>
              <w:autoSpaceDE w:val="0"/>
              <w:autoSpaceDN w:val="0"/>
              <w:adjustRightInd w:val="0"/>
              <w:spacing w:line="240" w:lineRule="auto"/>
              <w:rPr>
                <w:rFonts w:ascii="TimesNewRomanPSMT" w:eastAsiaTheme="minorEastAsia" w:hAnsi="TimesNewRomanPSMT" w:cs="TimesNewRomanPSMT"/>
              </w:rPr>
            </w:pPr>
            <w:r w:rsidRPr="00FA1A53">
              <w:rPr>
                <w:rFonts w:ascii="TimesNewRomanPSMT" w:eastAsiaTheme="minorEastAsia" w:hAnsi="TimesNewRomanPSMT" w:cs="TimesNewRomanPSMT"/>
              </w:rPr>
              <w:t>L</w:t>
            </w:r>
            <w:r>
              <w:rPr>
                <w:rFonts w:ascii="TimesNewRomanPSMT" w:eastAsiaTheme="minorEastAsia" w:hAnsi="TimesNewRomanPSMT" w:cs="TimesNewRomanPSMT"/>
              </w:rPr>
              <w:t>eslie A. Barry</w:t>
            </w:r>
          </w:p>
          <w:p w14:paraId="370EE37F" w14:textId="77777777" w:rsidR="0034789A" w:rsidRDefault="0034789A" w:rsidP="0034789A">
            <w:pPr>
              <w:spacing w:line="240" w:lineRule="auto"/>
            </w:pPr>
            <w:r>
              <w:t>Under appointment by the Court of Appeal</w:t>
            </w:r>
          </w:p>
          <w:p w14:paraId="5191C0E7" w14:textId="77777777" w:rsidR="008D1582" w:rsidRDefault="008D1582" w:rsidP="008D1582">
            <w:pPr>
              <w:autoSpaceDE w:val="0"/>
              <w:autoSpaceDN w:val="0"/>
              <w:adjustRightInd w:val="0"/>
              <w:spacing w:line="240" w:lineRule="auto"/>
              <w:rPr>
                <w:rFonts w:ascii="TimesNewRomanPSMT" w:eastAsiaTheme="minorEastAsia" w:hAnsi="TimesNewRomanPSMT" w:cs="TimesNewRomanPSMT"/>
              </w:rPr>
            </w:pPr>
          </w:p>
          <w:p w14:paraId="74BB4CBF" w14:textId="48070D30" w:rsidR="008D1582" w:rsidRDefault="008D1582" w:rsidP="008D1582">
            <w:pPr>
              <w:autoSpaceDE w:val="0"/>
              <w:autoSpaceDN w:val="0"/>
              <w:adjustRightInd w:val="0"/>
              <w:spacing w:line="240" w:lineRule="auto"/>
              <w:rPr>
                <w:rFonts w:ascii="TimesNewRomanPSMT" w:eastAsiaTheme="minorEastAsia" w:hAnsi="TimesNewRomanPSMT" w:cs="TimesNewRomanPSMT"/>
              </w:rPr>
            </w:pPr>
            <w:r>
              <w:rPr>
                <w:rFonts w:ascii="TimesNewRomanPSMT" w:eastAsiaTheme="minorEastAsia" w:hAnsi="TimesNewRomanPSMT" w:cs="TimesNewRomanPSMT"/>
              </w:rPr>
              <w:t>Marissa Lopez-Scott</w:t>
            </w:r>
          </w:p>
          <w:p w14:paraId="7DA6F341" w14:textId="507C34EB" w:rsidR="00C54841" w:rsidRDefault="008D1582" w:rsidP="008D1582">
            <w:pPr>
              <w:spacing w:line="240" w:lineRule="auto"/>
            </w:pPr>
            <w:r>
              <w:rPr>
                <w:rFonts w:ascii="TimesNewRomanPSMT" w:eastAsiaTheme="minorEastAsia" w:hAnsi="TimesNewRomanPSMT" w:cs="TimesNewRomanPSMT"/>
              </w:rPr>
              <w:t>Legal Advocates for Children and Youth</w:t>
            </w:r>
          </w:p>
        </w:tc>
      </w:tr>
    </w:tbl>
    <w:p w14:paraId="194E4CC0" w14:textId="77777777" w:rsidR="00C54841" w:rsidRDefault="00C54841" w:rsidP="00C54841">
      <w:pPr>
        <w:pStyle w:val="BodyText"/>
        <w:spacing w:after="0" w:line="240" w:lineRule="auto"/>
        <w:rPr>
          <w:u w:val="single"/>
        </w:rPr>
      </w:pPr>
    </w:p>
    <w:p w14:paraId="6BE31FA3" w14:textId="77777777" w:rsidR="00C54841" w:rsidRDefault="00C54841" w:rsidP="00C54841">
      <w:pPr>
        <w:pStyle w:val="BodyText"/>
        <w:spacing w:after="0" w:line="240" w:lineRule="auto"/>
        <w:rPr>
          <w:u w:val="single"/>
        </w:rPr>
      </w:pPr>
    </w:p>
    <w:p w14:paraId="498F1EEF" w14:textId="12A29BFB" w:rsidR="008D1582" w:rsidRDefault="008D1582" w:rsidP="00C54841">
      <w:pPr>
        <w:pStyle w:val="BodyText"/>
        <w:spacing w:after="0" w:line="240" w:lineRule="auto"/>
        <w:rPr>
          <w:u w:val="single"/>
        </w:rPr>
      </w:pPr>
    </w:p>
    <w:p w14:paraId="0346A7E8" w14:textId="48A419D7" w:rsidR="008D1582" w:rsidRDefault="008D1582" w:rsidP="00C54841">
      <w:pPr>
        <w:pStyle w:val="BodyText"/>
        <w:spacing w:after="0" w:line="240" w:lineRule="auto"/>
        <w:rPr>
          <w:u w:val="single"/>
        </w:rPr>
      </w:pPr>
    </w:p>
    <w:p w14:paraId="3568A98F" w14:textId="77777777" w:rsidR="008D1582" w:rsidRDefault="008D1582" w:rsidP="00C54841">
      <w:pPr>
        <w:pStyle w:val="BodyText"/>
        <w:spacing w:after="0" w:line="240" w:lineRule="auto"/>
        <w:rPr>
          <w:u w:val="single"/>
        </w:rPr>
      </w:pPr>
    </w:p>
    <w:p w14:paraId="68E55240" w14:textId="40914F78" w:rsidR="00C54841" w:rsidRDefault="00C54841" w:rsidP="00C54841">
      <w:pPr>
        <w:pStyle w:val="BodyText"/>
        <w:spacing w:after="0" w:line="240" w:lineRule="auto"/>
        <w:rPr>
          <w:u w:val="single"/>
        </w:rPr>
      </w:pPr>
    </w:p>
    <w:p w14:paraId="21A28FDA" w14:textId="74756F31" w:rsidR="00C54841" w:rsidRDefault="00C54841" w:rsidP="00C54841">
      <w:pPr>
        <w:pStyle w:val="BodyText"/>
        <w:spacing w:after="0" w:line="240" w:lineRule="auto"/>
        <w:rPr>
          <w:u w:val="single"/>
        </w:rPr>
      </w:pPr>
    </w:p>
    <w:p w14:paraId="58379233" w14:textId="66F0A1D7" w:rsidR="00C54841" w:rsidRDefault="00C54841" w:rsidP="00C54841">
      <w:pPr>
        <w:pStyle w:val="BodyText"/>
        <w:spacing w:after="0" w:line="240" w:lineRule="auto"/>
        <w:rPr>
          <w:u w:val="single"/>
        </w:rPr>
      </w:pPr>
    </w:p>
    <w:p w14:paraId="387DA3DA" w14:textId="4703A781" w:rsidR="00C54841" w:rsidRDefault="00C54841" w:rsidP="00C54841">
      <w:pPr>
        <w:pStyle w:val="BodyText"/>
        <w:spacing w:after="0" w:line="240" w:lineRule="auto"/>
        <w:rPr>
          <w:u w:val="single"/>
        </w:rPr>
      </w:pPr>
    </w:p>
    <w:p w14:paraId="723DDA60" w14:textId="49EF7EE6" w:rsidR="00C54841" w:rsidRDefault="00C54841" w:rsidP="00C54841">
      <w:pPr>
        <w:pStyle w:val="BodyText"/>
        <w:spacing w:after="0" w:line="240" w:lineRule="auto"/>
        <w:rPr>
          <w:u w:val="single"/>
        </w:rPr>
      </w:pPr>
    </w:p>
    <w:p w14:paraId="03E4184C" w14:textId="6084CDCF" w:rsidR="00C54841" w:rsidRDefault="00C54841" w:rsidP="00C54841">
      <w:pPr>
        <w:pStyle w:val="BodyText"/>
        <w:spacing w:after="0" w:line="240" w:lineRule="auto"/>
        <w:rPr>
          <w:u w:val="single"/>
        </w:rPr>
      </w:pPr>
    </w:p>
    <w:p w14:paraId="61D872DC" w14:textId="47BB5B01" w:rsidR="00C54841" w:rsidRDefault="00C54841" w:rsidP="00C54841">
      <w:pPr>
        <w:pStyle w:val="BodyText"/>
        <w:spacing w:after="0" w:line="240" w:lineRule="auto"/>
        <w:rPr>
          <w:u w:val="single"/>
        </w:rPr>
      </w:pPr>
    </w:p>
    <w:p w14:paraId="799F2394" w14:textId="6924EC62" w:rsidR="00C54841" w:rsidRDefault="00C54841" w:rsidP="00C54841">
      <w:pPr>
        <w:pStyle w:val="BodyText"/>
        <w:spacing w:after="0" w:line="240" w:lineRule="auto"/>
        <w:rPr>
          <w:u w:val="single"/>
        </w:rPr>
      </w:pPr>
    </w:p>
    <w:p w14:paraId="488D631D" w14:textId="73201E82" w:rsidR="00C54841" w:rsidRDefault="00C54841" w:rsidP="00C54841">
      <w:pPr>
        <w:pStyle w:val="BodyText"/>
        <w:spacing w:after="0" w:line="240" w:lineRule="auto"/>
        <w:rPr>
          <w:u w:val="single"/>
        </w:rPr>
      </w:pPr>
    </w:p>
    <w:p w14:paraId="323F4C4D" w14:textId="415EEF2E" w:rsidR="00C54841" w:rsidRDefault="00C54841" w:rsidP="00C54841">
      <w:pPr>
        <w:pStyle w:val="BodyText"/>
        <w:spacing w:after="0" w:line="240" w:lineRule="auto"/>
        <w:rPr>
          <w:u w:val="single"/>
        </w:rPr>
      </w:pPr>
    </w:p>
    <w:p w14:paraId="720A7CF1" w14:textId="17682376" w:rsidR="00C54841" w:rsidRDefault="00C54841" w:rsidP="00C54841">
      <w:pPr>
        <w:pStyle w:val="BodyText"/>
        <w:spacing w:after="0" w:line="240" w:lineRule="auto"/>
        <w:rPr>
          <w:u w:val="single"/>
        </w:rPr>
      </w:pPr>
    </w:p>
    <w:p w14:paraId="7B23ED3A" w14:textId="31DE9427" w:rsidR="00C54841" w:rsidRDefault="00C54841" w:rsidP="00C54841">
      <w:pPr>
        <w:pStyle w:val="BodyText"/>
        <w:spacing w:after="0" w:line="240" w:lineRule="auto"/>
        <w:rPr>
          <w:u w:val="single"/>
        </w:rPr>
      </w:pPr>
    </w:p>
    <w:p w14:paraId="42E6764F" w14:textId="1E557BE2" w:rsidR="008D1582" w:rsidRDefault="008D1582" w:rsidP="00C54841">
      <w:pPr>
        <w:pStyle w:val="BodyText"/>
        <w:spacing w:after="0" w:line="240" w:lineRule="auto"/>
        <w:rPr>
          <w:u w:val="single"/>
        </w:rPr>
      </w:pPr>
    </w:p>
    <w:p w14:paraId="507E5602" w14:textId="77777777" w:rsidR="008D1582" w:rsidRDefault="008D1582" w:rsidP="00C54841">
      <w:pPr>
        <w:pStyle w:val="BodyText"/>
        <w:spacing w:after="0" w:line="240" w:lineRule="auto"/>
        <w:rPr>
          <w:u w:val="single"/>
        </w:rPr>
      </w:pPr>
    </w:p>
    <w:p w14:paraId="0A4D884B" w14:textId="77777777" w:rsidR="00C54841" w:rsidRDefault="00C54841" w:rsidP="00C54841">
      <w:pPr>
        <w:pStyle w:val="BodyText"/>
        <w:spacing w:after="0" w:line="240" w:lineRule="auto"/>
        <w:rPr>
          <w:u w:val="single"/>
        </w:rPr>
      </w:pPr>
    </w:p>
    <w:p w14:paraId="5B7261CA" w14:textId="77777777" w:rsidR="00C54841" w:rsidRDefault="00C54841" w:rsidP="00C54841">
      <w:pPr>
        <w:pStyle w:val="BodyText"/>
        <w:spacing w:after="0" w:line="240" w:lineRule="auto"/>
        <w:rPr>
          <w:u w:val="single"/>
        </w:rPr>
      </w:pPr>
    </w:p>
    <w:p w14:paraId="4E1E6A39" w14:textId="77777777" w:rsidR="00C54841" w:rsidRDefault="00C54841" w:rsidP="00C54841">
      <w:pPr>
        <w:pStyle w:val="BodyText"/>
        <w:spacing w:after="0" w:line="240" w:lineRule="auto"/>
        <w:rPr>
          <w:u w:val="single"/>
        </w:rPr>
      </w:pPr>
    </w:p>
    <w:p w14:paraId="7FDDF42E" w14:textId="77777777" w:rsidR="00C54841" w:rsidRDefault="00C54841" w:rsidP="00C54841">
      <w:pPr>
        <w:pStyle w:val="BodyText"/>
        <w:spacing w:after="0" w:line="240" w:lineRule="auto"/>
        <w:rPr>
          <w:u w:val="single"/>
        </w:rPr>
      </w:pPr>
    </w:p>
    <w:p w14:paraId="00ED8300" w14:textId="77777777" w:rsidR="00C54841" w:rsidRDefault="00C54841" w:rsidP="00C54841">
      <w:pPr>
        <w:pStyle w:val="BodyText"/>
        <w:spacing w:after="0" w:line="240" w:lineRule="auto"/>
        <w:rPr>
          <w:u w:val="single"/>
        </w:rPr>
      </w:pPr>
    </w:p>
    <w:p w14:paraId="32C734E6" w14:textId="77777777" w:rsidR="00C54841" w:rsidRDefault="00C54841" w:rsidP="00C54841">
      <w:pPr>
        <w:pStyle w:val="BodyText"/>
        <w:spacing w:after="0" w:line="240" w:lineRule="auto"/>
        <w:rPr>
          <w:u w:val="single"/>
        </w:rPr>
      </w:pPr>
    </w:p>
    <w:p w14:paraId="1F45213E" w14:textId="77777777" w:rsidR="00C54841" w:rsidRDefault="00C54841" w:rsidP="00C54841">
      <w:pPr>
        <w:pStyle w:val="BodyText"/>
        <w:spacing w:after="0" w:line="240" w:lineRule="auto"/>
        <w:rPr>
          <w:u w:val="single"/>
        </w:rPr>
      </w:pPr>
    </w:p>
    <w:p w14:paraId="3A1903A7" w14:textId="77777777" w:rsidR="00C54841" w:rsidRDefault="00C54841" w:rsidP="00C54841">
      <w:pPr>
        <w:pStyle w:val="BodyText"/>
        <w:spacing w:after="0" w:line="240" w:lineRule="auto"/>
        <w:rPr>
          <w:u w:val="single"/>
        </w:rPr>
      </w:pPr>
    </w:p>
    <w:p w14:paraId="18D71AA1" w14:textId="31D6816E" w:rsidR="00BC3DF2" w:rsidRPr="00BC3DF2" w:rsidRDefault="00C54841" w:rsidP="00C54841">
      <w:pPr>
        <w:pStyle w:val="BodyText"/>
        <w:spacing w:after="0" w:line="240" w:lineRule="auto"/>
      </w:pPr>
      <w:r w:rsidRPr="00396059">
        <w:rPr>
          <w:b/>
          <w:u w:val="single"/>
        </w:rPr>
        <w:t>H046917 - </w:t>
      </w:r>
      <w:r w:rsidRPr="00396059">
        <w:rPr>
          <w:b/>
          <w:i/>
          <w:u w:val="single"/>
        </w:rPr>
        <w:t>In re J.M., D.F.C.S. v. J.M</w:t>
      </w:r>
    </w:p>
    <w:sectPr w:rsidR="00BC3DF2" w:rsidRPr="00BC3DF2" w:rsidSect="00D10334">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A996" w14:textId="77777777" w:rsidR="00E25B9B" w:rsidRDefault="00E25B9B" w:rsidP="00C80EBC">
      <w:pPr>
        <w:spacing w:line="240" w:lineRule="auto"/>
      </w:pPr>
      <w:r>
        <w:separator/>
      </w:r>
    </w:p>
  </w:endnote>
  <w:endnote w:type="continuationSeparator" w:id="0">
    <w:p w14:paraId="1F0BF986" w14:textId="77777777" w:rsidR="00E25B9B" w:rsidRDefault="00E25B9B" w:rsidP="00C8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374151"/>
      <w:docPartObj>
        <w:docPartGallery w:val="Page Numbers (Bottom of Page)"/>
        <w:docPartUnique/>
      </w:docPartObj>
    </w:sdtPr>
    <w:sdtEndPr>
      <w:rPr>
        <w:noProof/>
      </w:rPr>
    </w:sdtEndPr>
    <w:sdtContent>
      <w:p w14:paraId="26FEAE50" w14:textId="77777777" w:rsidR="00C80EBC" w:rsidRDefault="00C80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20543" w14:textId="77777777" w:rsidR="00C80EBC" w:rsidRDefault="00C80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6635" w14:textId="77777777" w:rsidR="00D10334" w:rsidRDefault="00E25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EE216" w14:textId="77777777" w:rsidR="00D10334" w:rsidRDefault="00FF0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5B9A" w14:textId="74350A3B" w:rsidR="00D10334" w:rsidRDefault="00E25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841">
      <w:rPr>
        <w:rStyle w:val="PageNumber"/>
        <w:noProof/>
      </w:rPr>
      <w:t>14</w:t>
    </w:r>
    <w:r>
      <w:rPr>
        <w:rStyle w:val="PageNumber"/>
      </w:rPr>
      <w:fldChar w:fldCharType="end"/>
    </w:r>
  </w:p>
  <w:p w14:paraId="0FBFD167" w14:textId="77777777" w:rsidR="00D10334" w:rsidRDefault="00FF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8654" w14:textId="77777777" w:rsidR="00E25B9B" w:rsidRDefault="00E25B9B" w:rsidP="00C80EBC">
      <w:pPr>
        <w:spacing w:line="240" w:lineRule="auto"/>
      </w:pPr>
      <w:r>
        <w:separator/>
      </w:r>
    </w:p>
  </w:footnote>
  <w:footnote w:type="continuationSeparator" w:id="0">
    <w:p w14:paraId="211B97B8" w14:textId="77777777" w:rsidR="00E25B9B" w:rsidRDefault="00E25B9B" w:rsidP="00C80EBC">
      <w:pPr>
        <w:spacing w:line="240" w:lineRule="auto"/>
      </w:pPr>
      <w:r>
        <w:continuationSeparator/>
      </w:r>
    </w:p>
  </w:footnote>
  <w:footnote w:id="1">
    <w:p w14:paraId="7778FF6D" w14:textId="77777777" w:rsidR="006B13E5" w:rsidRDefault="006B13E5">
      <w:pPr>
        <w:pStyle w:val="FootnoteText"/>
      </w:pPr>
      <w:r>
        <w:tab/>
      </w:r>
      <w:r w:rsidRPr="009E5C78">
        <w:rPr>
          <w:rStyle w:val="FootnoteReference"/>
        </w:rPr>
        <w:footnoteRef/>
      </w:r>
      <w:r>
        <w:t xml:space="preserve"> </w:t>
      </w:r>
      <w:r w:rsidR="007856CC" w:rsidRPr="009E5C78">
        <w:t xml:space="preserve">Subparagraph </w:t>
      </w:r>
      <w:r w:rsidR="009E5C78" w:rsidRPr="009E5C78">
        <w:t>(c)</w:t>
      </w:r>
      <w:r w:rsidR="007856CC" w:rsidRPr="009E5C78">
        <w:t>(4)(B) provides alternative permanent placements in other unusual circumstances</w:t>
      </w:r>
      <w:r w:rsidR="007856CC">
        <w:t xml:space="preserve">.  </w:t>
      </w:r>
      <w:r>
        <w:t xml:space="preserve">Subparagraph (c)(4)(B)(i) provides a placement plan </w:t>
      </w:r>
      <w:r w:rsidR="0093487D">
        <w:t xml:space="preserve">where </w:t>
      </w:r>
      <w:r w:rsidRPr="002D352B">
        <w:t xml:space="preserve">a child is bonded and living with a relative who is willing to provide a permanent home but not willing to become a legal guardian; </w:t>
      </w:r>
      <w:r>
        <w:t xml:space="preserve">subparagraph (4)(B)(ii) provides a placement plan where </w:t>
      </w:r>
      <w:r w:rsidRPr="002D352B">
        <w:t>a child is living with a nonrelative caregiver who is willing to provide a permanent home but not willing to become a legal guardian</w:t>
      </w:r>
      <w:r w:rsidR="00FA2827">
        <w:t>;</w:t>
      </w:r>
      <w:r>
        <w:t xml:space="preserve"> and subparagraph (4)(B)(iii) </w:t>
      </w:r>
      <w:r w:rsidR="0093487D">
        <w:t xml:space="preserve">provides a placement plan where </w:t>
      </w:r>
      <w:r>
        <w:t>a child is living in a group home or short-term residential treatment.</w:t>
      </w:r>
    </w:p>
  </w:footnote>
  <w:footnote w:id="2">
    <w:p w14:paraId="7255511E" w14:textId="60334713" w:rsidR="009363E5" w:rsidRDefault="009363E5">
      <w:pPr>
        <w:pStyle w:val="FootnoteText"/>
      </w:pPr>
      <w:r>
        <w:tab/>
      </w:r>
      <w:r>
        <w:rPr>
          <w:rStyle w:val="FootnoteReference"/>
        </w:rPr>
        <w:footnoteRef/>
      </w:r>
      <w:r>
        <w:t xml:space="preserve"> </w:t>
      </w:r>
      <w:r w:rsidRPr="00EF5D78">
        <w:t xml:space="preserve">See footnote 1, </w:t>
      </w:r>
      <w:r w:rsidRPr="009363E5">
        <w:rPr>
          <w:i/>
        </w:rPr>
        <w:t>ante</w:t>
      </w:r>
      <w:r>
        <w:t>, page 5</w:t>
      </w:r>
      <w:r w:rsidRPr="00EF5D7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915D" w14:textId="0ECA2F10" w:rsidR="00747879" w:rsidRPr="00747879" w:rsidRDefault="00747879" w:rsidP="00747879">
    <w:pPr>
      <w:pStyle w:val="Header"/>
      <w:jc w:val="right"/>
      <w:rPr>
        <w:b/>
        <w:sz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3B59" w14:textId="170AAB3D" w:rsidR="00747879" w:rsidRPr="00747879" w:rsidRDefault="00747879" w:rsidP="00747879">
    <w:pPr>
      <w:pStyle w:val="Header"/>
      <w:jc w:val="right"/>
      <w:rPr>
        <w:b/>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482"/>
    <w:multiLevelType w:val="hybridMultilevel"/>
    <w:tmpl w:val="A43406FA"/>
    <w:lvl w:ilvl="0" w:tplc="A346356A">
      <w:start w:val="1"/>
      <w:numFmt w:val="lowerLetter"/>
      <w:pStyle w:val="Heading4"/>
      <w:lvlText w:val="%1."/>
      <w:lvlJc w:val="left"/>
      <w:pPr>
        <w:ind w:left="171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99D6CC0"/>
    <w:multiLevelType w:val="hybridMultilevel"/>
    <w:tmpl w:val="CCC8CC02"/>
    <w:lvl w:ilvl="0" w:tplc="E888595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7668"/>
    <w:multiLevelType w:val="multilevel"/>
    <w:tmpl w:val="ABE28E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C9501C"/>
    <w:multiLevelType w:val="hybridMultilevel"/>
    <w:tmpl w:val="24CCEAC0"/>
    <w:lvl w:ilvl="0" w:tplc="76647376">
      <w:start w:val="1"/>
      <w:numFmt w:val="lowerRoman"/>
      <w:pStyle w:val="Heading5"/>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34441"/>
    <w:multiLevelType w:val="hybridMultilevel"/>
    <w:tmpl w:val="F3940264"/>
    <w:lvl w:ilvl="0" w:tplc="07FA7E56">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36872084"/>
    <w:multiLevelType w:val="hybridMultilevel"/>
    <w:tmpl w:val="99D63484"/>
    <w:lvl w:ilvl="0" w:tplc="1AAECC28">
      <w:start w:val="1"/>
      <w:numFmt w:val="upperRoman"/>
      <w:pStyle w:val="Heading1"/>
      <w:lvlText w:val="%1."/>
      <w:lvlJc w:val="right"/>
      <w:pPr>
        <w:ind w:left="108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3A0346"/>
    <w:multiLevelType w:val="hybridMultilevel"/>
    <w:tmpl w:val="4BE620B6"/>
    <w:lvl w:ilvl="0" w:tplc="5D701B52">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9BA5865"/>
    <w:multiLevelType w:val="hybridMultilevel"/>
    <w:tmpl w:val="7B586018"/>
    <w:lvl w:ilvl="0" w:tplc="E70E994A">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72DC2ABE"/>
    <w:multiLevelType w:val="hybridMultilevel"/>
    <w:tmpl w:val="498E38D8"/>
    <w:lvl w:ilvl="0" w:tplc="13388C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A311D"/>
    <w:multiLevelType w:val="hybridMultilevel"/>
    <w:tmpl w:val="D9F8B2B4"/>
    <w:lvl w:ilvl="0" w:tplc="3A52E3FC">
      <w:start w:val="1"/>
      <w:numFmt w:val="upperLetter"/>
      <w:pStyle w:val="Heading2"/>
      <w:lvlText w:val="%1."/>
      <w:lvlJc w:val="left"/>
      <w:pPr>
        <w:ind w:left="2736"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 w15:restartNumberingAfterBreak="0">
    <w:nsid w:val="76E45FCA"/>
    <w:multiLevelType w:val="hybridMultilevel"/>
    <w:tmpl w:val="90AEC78C"/>
    <w:lvl w:ilvl="0" w:tplc="DC8809F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0"/>
  </w:num>
  <w:num w:numId="5">
    <w:abstractNumId w:val="4"/>
  </w:num>
  <w:num w:numId="6">
    <w:abstractNumId w:val="2"/>
  </w:num>
  <w:num w:numId="7">
    <w:abstractNumId w:val="5"/>
  </w:num>
  <w:num w:numId="8">
    <w:abstractNumId w:val="5"/>
  </w:num>
  <w:num w:numId="9">
    <w:abstractNumId w:val="9"/>
  </w:num>
  <w:num w:numId="10">
    <w:abstractNumId w:val="2"/>
  </w:num>
  <w:num w:numId="11">
    <w:abstractNumId w:val="8"/>
  </w:num>
  <w:num w:numId="12">
    <w:abstractNumId w:val="1"/>
  </w:num>
  <w:num w:numId="13">
    <w:abstractNumId w:val="0"/>
  </w:num>
  <w:num w:numId="14">
    <w:abstractNumId w:val="3"/>
  </w:num>
  <w:num w:numId="15">
    <w:abstractNumId w:val="5"/>
  </w:num>
  <w:num w:numId="16">
    <w:abstractNumId w:val="9"/>
  </w:num>
  <w:num w:numId="17">
    <w:abstractNumId w:val="2"/>
  </w:num>
  <w:num w:numId="18">
    <w:abstractNumId w:val="6"/>
  </w:num>
  <w:num w:numId="19">
    <w:abstractNumId w:val="7"/>
  </w:num>
  <w:num w:numId="20">
    <w:abstractNumId w:val="5"/>
  </w:num>
  <w:num w:numId="21">
    <w:abstractNumId w:val="9"/>
  </w:num>
  <w:num w:numId="22">
    <w:abstractNumId w:val="9"/>
  </w:num>
  <w:num w:numId="23">
    <w:abstractNumId w:val="5"/>
  </w:num>
  <w:num w:numId="24">
    <w:abstractNumId w:val="2"/>
  </w:num>
  <w:num w:numId="25">
    <w:abstractNumId w:val="2"/>
  </w:num>
  <w:num w:numId="26">
    <w:abstractNumId w:val="9"/>
  </w:num>
  <w:num w:numId="27">
    <w:abstractNumId w:val="10"/>
  </w:num>
  <w:num w:numId="28">
    <w:abstractNumId w:val="5"/>
  </w:num>
  <w:num w:numId="29">
    <w:abstractNumId w:val="9"/>
  </w:num>
  <w:num w:numId="30">
    <w:abstractNumId w:val="9"/>
  </w:num>
  <w:num w:numId="31">
    <w:abstractNumId w:val="5"/>
  </w:num>
  <w:num w:numId="32">
    <w:abstractNumId w:val="0"/>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4"/>
  <w:removePersonalInformation/>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49"/>
    <w:rsid w:val="000001D9"/>
    <w:rsid w:val="00012DA0"/>
    <w:rsid w:val="00015A49"/>
    <w:rsid w:val="00026B4F"/>
    <w:rsid w:val="0003487A"/>
    <w:rsid w:val="000359A0"/>
    <w:rsid w:val="00050C0B"/>
    <w:rsid w:val="000606A2"/>
    <w:rsid w:val="000646E4"/>
    <w:rsid w:val="000651BA"/>
    <w:rsid w:val="00072D7D"/>
    <w:rsid w:val="0007308B"/>
    <w:rsid w:val="0007386D"/>
    <w:rsid w:val="00076829"/>
    <w:rsid w:val="00077A13"/>
    <w:rsid w:val="00084132"/>
    <w:rsid w:val="000B1F83"/>
    <w:rsid w:val="000B2A94"/>
    <w:rsid w:val="000B3111"/>
    <w:rsid w:val="000C0B49"/>
    <w:rsid w:val="000D0682"/>
    <w:rsid w:val="000D4B03"/>
    <w:rsid w:val="000E1427"/>
    <w:rsid w:val="000E1983"/>
    <w:rsid w:val="001053E5"/>
    <w:rsid w:val="00107DA4"/>
    <w:rsid w:val="001102C6"/>
    <w:rsid w:val="00113801"/>
    <w:rsid w:val="001222CC"/>
    <w:rsid w:val="00122EA6"/>
    <w:rsid w:val="001344DF"/>
    <w:rsid w:val="00141558"/>
    <w:rsid w:val="0015013F"/>
    <w:rsid w:val="00154DDF"/>
    <w:rsid w:val="00163EA7"/>
    <w:rsid w:val="00181875"/>
    <w:rsid w:val="00181F0C"/>
    <w:rsid w:val="00182161"/>
    <w:rsid w:val="00187DC8"/>
    <w:rsid w:val="001A6ACB"/>
    <w:rsid w:val="001B578C"/>
    <w:rsid w:val="001C3CD3"/>
    <w:rsid w:val="001C5EE9"/>
    <w:rsid w:val="001C683C"/>
    <w:rsid w:val="001C6D95"/>
    <w:rsid w:val="001D46CC"/>
    <w:rsid w:val="001E31DE"/>
    <w:rsid w:val="001E34AA"/>
    <w:rsid w:val="001E7119"/>
    <w:rsid w:val="00200359"/>
    <w:rsid w:val="00204043"/>
    <w:rsid w:val="00211979"/>
    <w:rsid w:val="002142E5"/>
    <w:rsid w:val="00215BAA"/>
    <w:rsid w:val="0021755B"/>
    <w:rsid w:val="00223568"/>
    <w:rsid w:val="00224020"/>
    <w:rsid w:val="00225BFC"/>
    <w:rsid w:val="00227DBE"/>
    <w:rsid w:val="00233D38"/>
    <w:rsid w:val="0024426A"/>
    <w:rsid w:val="002516AB"/>
    <w:rsid w:val="002534C7"/>
    <w:rsid w:val="00273F89"/>
    <w:rsid w:val="00281CC0"/>
    <w:rsid w:val="0029096C"/>
    <w:rsid w:val="00292413"/>
    <w:rsid w:val="002978F7"/>
    <w:rsid w:val="002A3AD5"/>
    <w:rsid w:val="002B1233"/>
    <w:rsid w:val="002B240A"/>
    <w:rsid w:val="002C6E8A"/>
    <w:rsid w:val="002D0180"/>
    <w:rsid w:val="002D0F5A"/>
    <w:rsid w:val="002D26AF"/>
    <w:rsid w:val="002D352B"/>
    <w:rsid w:val="002E6FE5"/>
    <w:rsid w:val="003047CD"/>
    <w:rsid w:val="00306FCE"/>
    <w:rsid w:val="00312A11"/>
    <w:rsid w:val="00334786"/>
    <w:rsid w:val="00343B3F"/>
    <w:rsid w:val="00344E0F"/>
    <w:rsid w:val="00345C92"/>
    <w:rsid w:val="00345FB2"/>
    <w:rsid w:val="0034789A"/>
    <w:rsid w:val="00353FCC"/>
    <w:rsid w:val="003709B7"/>
    <w:rsid w:val="0037236C"/>
    <w:rsid w:val="00372CC9"/>
    <w:rsid w:val="003873FC"/>
    <w:rsid w:val="00390284"/>
    <w:rsid w:val="00391FB0"/>
    <w:rsid w:val="0039637B"/>
    <w:rsid w:val="003A2392"/>
    <w:rsid w:val="003A2A95"/>
    <w:rsid w:val="003B7F5F"/>
    <w:rsid w:val="003C30D2"/>
    <w:rsid w:val="003C48C2"/>
    <w:rsid w:val="003D453B"/>
    <w:rsid w:val="003E1984"/>
    <w:rsid w:val="003E62A8"/>
    <w:rsid w:val="003E6680"/>
    <w:rsid w:val="003E7334"/>
    <w:rsid w:val="003F1F57"/>
    <w:rsid w:val="003F6D0F"/>
    <w:rsid w:val="003F7C00"/>
    <w:rsid w:val="0040301E"/>
    <w:rsid w:val="004117BD"/>
    <w:rsid w:val="004128A4"/>
    <w:rsid w:val="00415FF4"/>
    <w:rsid w:val="00417A1D"/>
    <w:rsid w:val="004233E0"/>
    <w:rsid w:val="00424EE5"/>
    <w:rsid w:val="00432B51"/>
    <w:rsid w:val="004332F5"/>
    <w:rsid w:val="00440FCD"/>
    <w:rsid w:val="004429A2"/>
    <w:rsid w:val="004520CE"/>
    <w:rsid w:val="004523B6"/>
    <w:rsid w:val="004527E5"/>
    <w:rsid w:val="00455119"/>
    <w:rsid w:val="004628F7"/>
    <w:rsid w:val="00466F6B"/>
    <w:rsid w:val="00492E47"/>
    <w:rsid w:val="00493685"/>
    <w:rsid w:val="00495E9D"/>
    <w:rsid w:val="004A1EC3"/>
    <w:rsid w:val="004A1FC8"/>
    <w:rsid w:val="004A771B"/>
    <w:rsid w:val="004B1570"/>
    <w:rsid w:val="004B3912"/>
    <w:rsid w:val="004B3F21"/>
    <w:rsid w:val="004C2B3F"/>
    <w:rsid w:val="004F3B1C"/>
    <w:rsid w:val="004F6D1A"/>
    <w:rsid w:val="0050006A"/>
    <w:rsid w:val="00501226"/>
    <w:rsid w:val="00517244"/>
    <w:rsid w:val="0053621B"/>
    <w:rsid w:val="00541005"/>
    <w:rsid w:val="005601EE"/>
    <w:rsid w:val="00570E5D"/>
    <w:rsid w:val="00572E29"/>
    <w:rsid w:val="00587E6F"/>
    <w:rsid w:val="005972B7"/>
    <w:rsid w:val="005A19EA"/>
    <w:rsid w:val="005A200E"/>
    <w:rsid w:val="005B36B1"/>
    <w:rsid w:val="005B5973"/>
    <w:rsid w:val="005C7365"/>
    <w:rsid w:val="005D39B3"/>
    <w:rsid w:val="005D6B25"/>
    <w:rsid w:val="005D75BC"/>
    <w:rsid w:val="005E4B9A"/>
    <w:rsid w:val="005E541A"/>
    <w:rsid w:val="00603F4E"/>
    <w:rsid w:val="00605FD6"/>
    <w:rsid w:val="006077F6"/>
    <w:rsid w:val="0061253D"/>
    <w:rsid w:val="00625D9D"/>
    <w:rsid w:val="0062718E"/>
    <w:rsid w:val="00627E96"/>
    <w:rsid w:val="006329A3"/>
    <w:rsid w:val="00634A6D"/>
    <w:rsid w:val="00636CD0"/>
    <w:rsid w:val="00636F8E"/>
    <w:rsid w:val="00642CF1"/>
    <w:rsid w:val="0064358F"/>
    <w:rsid w:val="00643677"/>
    <w:rsid w:val="006440BA"/>
    <w:rsid w:val="0064519E"/>
    <w:rsid w:val="00645D52"/>
    <w:rsid w:val="00650578"/>
    <w:rsid w:val="00652C47"/>
    <w:rsid w:val="006564AB"/>
    <w:rsid w:val="00663632"/>
    <w:rsid w:val="0067051F"/>
    <w:rsid w:val="00671944"/>
    <w:rsid w:val="00673749"/>
    <w:rsid w:val="00682F86"/>
    <w:rsid w:val="00695427"/>
    <w:rsid w:val="006A4438"/>
    <w:rsid w:val="006A4A5B"/>
    <w:rsid w:val="006A65BD"/>
    <w:rsid w:val="006A678F"/>
    <w:rsid w:val="006B13E5"/>
    <w:rsid w:val="006C4EED"/>
    <w:rsid w:val="006D1036"/>
    <w:rsid w:val="006D3FAC"/>
    <w:rsid w:val="006D5293"/>
    <w:rsid w:val="006D7593"/>
    <w:rsid w:val="006E610C"/>
    <w:rsid w:val="006F1E38"/>
    <w:rsid w:val="006F2A5D"/>
    <w:rsid w:val="006F4C15"/>
    <w:rsid w:val="0070027A"/>
    <w:rsid w:val="00701EF8"/>
    <w:rsid w:val="007119A6"/>
    <w:rsid w:val="007121AF"/>
    <w:rsid w:val="00744E4F"/>
    <w:rsid w:val="00745FCC"/>
    <w:rsid w:val="00747879"/>
    <w:rsid w:val="00750B24"/>
    <w:rsid w:val="00754648"/>
    <w:rsid w:val="00754F1B"/>
    <w:rsid w:val="00760491"/>
    <w:rsid w:val="007773C7"/>
    <w:rsid w:val="00784F20"/>
    <w:rsid w:val="007856CC"/>
    <w:rsid w:val="007931FA"/>
    <w:rsid w:val="007A4E93"/>
    <w:rsid w:val="007A571D"/>
    <w:rsid w:val="007B1612"/>
    <w:rsid w:val="007B5052"/>
    <w:rsid w:val="007B5149"/>
    <w:rsid w:val="007C6E2D"/>
    <w:rsid w:val="007D7459"/>
    <w:rsid w:val="007E0E84"/>
    <w:rsid w:val="007E6447"/>
    <w:rsid w:val="007E7AA5"/>
    <w:rsid w:val="007F0DE9"/>
    <w:rsid w:val="00814186"/>
    <w:rsid w:val="00822A9C"/>
    <w:rsid w:val="008307C3"/>
    <w:rsid w:val="00850CC3"/>
    <w:rsid w:val="0085404D"/>
    <w:rsid w:val="00854832"/>
    <w:rsid w:val="008628BE"/>
    <w:rsid w:val="00873F0A"/>
    <w:rsid w:val="0088399F"/>
    <w:rsid w:val="00884453"/>
    <w:rsid w:val="00887976"/>
    <w:rsid w:val="00887E48"/>
    <w:rsid w:val="00896A11"/>
    <w:rsid w:val="008A015F"/>
    <w:rsid w:val="008A4F74"/>
    <w:rsid w:val="008A5812"/>
    <w:rsid w:val="008A601C"/>
    <w:rsid w:val="008A660F"/>
    <w:rsid w:val="008B0AED"/>
    <w:rsid w:val="008B5C16"/>
    <w:rsid w:val="008C2A40"/>
    <w:rsid w:val="008D0690"/>
    <w:rsid w:val="008D1582"/>
    <w:rsid w:val="008D5C1F"/>
    <w:rsid w:val="008E40F8"/>
    <w:rsid w:val="008E480C"/>
    <w:rsid w:val="008E4A9F"/>
    <w:rsid w:val="008E64E7"/>
    <w:rsid w:val="008E6787"/>
    <w:rsid w:val="008E771E"/>
    <w:rsid w:val="008F0D70"/>
    <w:rsid w:val="008F191C"/>
    <w:rsid w:val="008F2BCA"/>
    <w:rsid w:val="008F327B"/>
    <w:rsid w:val="00903E6C"/>
    <w:rsid w:val="009047A4"/>
    <w:rsid w:val="00907C4D"/>
    <w:rsid w:val="00911D8F"/>
    <w:rsid w:val="0091668C"/>
    <w:rsid w:val="00924F7B"/>
    <w:rsid w:val="0092685C"/>
    <w:rsid w:val="00926DFF"/>
    <w:rsid w:val="00927A96"/>
    <w:rsid w:val="0093175A"/>
    <w:rsid w:val="0093186D"/>
    <w:rsid w:val="0093487D"/>
    <w:rsid w:val="009363E5"/>
    <w:rsid w:val="00944277"/>
    <w:rsid w:val="009455AC"/>
    <w:rsid w:val="00963007"/>
    <w:rsid w:val="00964F3B"/>
    <w:rsid w:val="00967E3D"/>
    <w:rsid w:val="00980742"/>
    <w:rsid w:val="00980D4F"/>
    <w:rsid w:val="00982536"/>
    <w:rsid w:val="00983B62"/>
    <w:rsid w:val="00984836"/>
    <w:rsid w:val="00986558"/>
    <w:rsid w:val="009959BC"/>
    <w:rsid w:val="009A131A"/>
    <w:rsid w:val="009B287A"/>
    <w:rsid w:val="009B4D4E"/>
    <w:rsid w:val="009B5590"/>
    <w:rsid w:val="009B6234"/>
    <w:rsid w:val="009C157C"/>
    <w:rsid w:val="009C1957"/>
    <w:rsid w:val="009C3308"/>
    <w:rsid w:val="009C4FAC"/>
    <w:rsid w:val="009D04EB"/>
    <w:rsid w:val="009D4CDD"/>
    <w:rsid w:val="009D6B7D"/>
    <w:rsid w:val="009E5C78"/>
    <w:rsid w:val="009E6FCB"/>
    <w:rsid w:val="00A01F26"/>
    <w:rsid w:val="00A123D2"/>
    <w:rsid w:val="00A126BE"/>
    <w:rsid w:val="00A2350D"/>
    <w:rsid w:val="00A23BD2"/>
    <w:rsid w:val="00A328DA"/>
    <w:rsid w:val="00A346EA"/>
    <w:rsid w:val="00A4627B"/>
    <w:rsid w:val="00A46A9B"/>
    <w:rsid w:val="00A556A2"/>
    <w:rsid w:val="00A6245C"/>
    <w:rsid w:val="00A723B9"/>
    <w:rsid w:val="00A761B0"/>
    <w:rsid w:val="00A81F00"/>
    <w:rsid w:val="00A84345"/>
    <w:rsid w:val="00A84B07"/>
    <w:rsid w:val="00A85EC8"/>
    <w:rsid w:val="00AA7BB6"/>
    <w:rsid w:val="00AB636A"/>
    <w:rsid w:val="00AC1990"/>
    <w:rsid w:val="00AC57BC"/>
    <w:rsid w:val="00AF120F"/>
    <w:rsid w:val="00AF268A"/>
    <w:rsid w:val="00AF7D76"/>
    <w:rsid w:val="00B01871"/>
    <w:rsid w:val="00B1303D"/>
    <w:rsid w:val="00B14EBB"/>
    <w:rsid w:val="00B16005"/>
    <w:rsid w:val="00B36325"/>
    <w:rsid w:val="00B37CD5"/>
    <w:rsid w:val="00B40B43"/>
    <w:rsid w:val="00B42AB7"/>
    <w:rsid w:val="00B4721D"/>
    <w:rsid w:val="00B54EAF"/>
    <w:rsid w:val="00B556ED"/>
    <w:rsid w:val="00B5688A"/>
    <w:rsid w:val="00B56C17"/>
    <w:rsid w:val="00B575A8"/>
    <w:rsid w:val="00B57671"/>
    <w:rsid w:val="00B614EB"/>
    <w:rsid w:val="00B633E6"/>
    <w:rsid w:val="00B7248E"/>
    <w:rsid w:val="00B73A59"/>
    <w:rsid w:val="00B73CAD"/>
    <w:rsid w:val="00B77465"/>
    <w:rsid w:val="00B90D32"/>
    <w:rsid w:val="00B91588"/>
    <w:rsid w:val="00B94A1F"/>
    <w:rsid w:val="00BA7476"/>
    <w:rsid w:val="00BB37ED"/>
    <w:rsid w:val="00BB61C1"/>
    <w:rsid w:val="00BC32B6"/>
    <w:rsid w:val="00BC3CC5"/>
    <w:rsid w:val="00BC3DF2"/>
    <w:rsid w:val="00BC6223"/>
    <w:rsid w:val="00BD0C07"/>
    <w:rsid w:val="00BE14DC"/>
    <w:rsid w:val="00BE2115"/>
    <w:rsid w:val="00BF0823"/>
    <w:rsid w:val="00C03651"/>
    <w:rsid w:val="00C15029"/>
    <w:rsid w:val="00C179DA"/>
    <w:rsid w:val="00C22931"/>
    <w:rsid w:val="00C259AE"/>
    <w:rsid w:val="00C30183"/>
    <w:rsid w:val="00C33450"/>
    <w:rsid w:val="00C37156"/>
    <w:rsid w:val="00C406AA"/>
    <w:rsid w:val="00C4291F"/>
    <w:rsid w:val="00C54841"/>
    <w:rsid w:val="00C55ECB"/>
    <w:rsid w:val="00C66C54"/>
    <w:rsid w:val="00C73077"/>
    <w:rsid w:val="00C80EBC"/>
    <w:rsid w:val="00C849DE"/>
    <w:rsid w:val="00C90A22"/>
    <w:rsid w:val="00C91687"/>
    <w:rsid w:val="00C922AB"/>
    <w:rsid w:val="00CA736E"/>
    <w:rsid w:val="00CC1BBE"/>
    <w:rsid w:val="00CC2B98"/>
    <w:rsid w:val="00CC45AA"/>
    <w:rsid w:val="00CC6A78"/>
    <w:rsid w:val="00CC7C66"/>
    <w:rsid w:val="00CD0E84"/>
    <w:rsid w:val="00CD5523"/>
    <w:rsid w:val="00CE09B4"/>
    <w:rsid w:val="00CE404A"/>
    <w:rsid w:val="00CF152D"/>
    <w:rsid w:val="00CF3AC1"/>
    <w:rsid w:val="00CF77A9"/>
    <w:rsid w:val="00D04674"/>
    <w:rsid w:val="00D06818"/>
    <w:rsid w:val="00D06AB1"/>
    <w:rsid w:val="00D10911"/>
    <w:rsid w:val="00D1655D"/>
    <w:rsid w:val="00D22682"/>
    <w:rsid w:val="00D4161B"/>
    <w:rsid w:val="00D47017"/>
    <w:rsid w:val="00D52852"/>
    <w:rsid w:val="00D549CB"/>
    <w:rsid w:val="00D64240"/>
    <w:rsid w:val="00D64DC1"/>
    <w:rsid w:val="00D65C83"/>
    <w:rsid w:val="00D77610"/>
    <w:rsid w:val="00D810CA"/>
    <w:rsid w:val="00D8393E"/>
    <w:rsid w:val="00D839A7"/>
    <w:rsid w:val="00D86430"/>
    <w:rsid w:val="00D87209"/>
    <w:rsid w:val="00D91F2A"/>
    <w:rsid w:val="00D97B68"/>
    <w:rsid w:val="00DA3D6C"/>
    <w:rsid w:val="00DB1707"/>
    <w:rsid w:val="00DB3614"/>
    <w:rsid w:val="00DB45B6"/>
    <w:rsid w:val="00DC0D71"/>
    <w:rsid w:val="00DD53B0"/>
    <w:rsid w:val="00DD5868"/>
    <w:rsid w:val="00DD6343"/>
    <w:rsid w:val="00DE17E0"/>
    <w:rsid w:val="00DE21F8"/>
    <w:rsid w:val="00DE4298"/>
    <w:rsid w:val="00DE7184"/>
    <w:rsid w:val="00E242E6"/>
    <w:rsid w:val="00E25B9B"/>
    <w:rsid w:val="00E44267"/>
    <w:rsid w:val="00E45605"/>
    <w:rsid w:val="00E470AA"/>
    <w:rsid w:val="00E9612D"/>
    <w:rsid w:val="00EA27BC"/>
    <w:rsid w:val="00EA3C7A"/>
    <w:rsid w:val="00EB250E"/>
    <w:rsid w:val="00EB6737"/>
    <w:rsid w:val="00EC22F1"/>
    <w:rsid w:val="00EC523A"/>
    <w:rsid w:val="00EC567F"/>
    <w:rsid w:val="00ED5B28"/>
    <w:rsid w:val="00EE52C6"/>
    <w:rsid w:val="00EF5D78"/>
    <w:rsid w:val="00F05D18"/>
    <w:rsid w:val="00F068B8"/>
    <w:rsid w:val="00F06C9B"/>
    <w:rsid w:val="00F129D7"/>
    <w:rsid w:val="00F15637"/>
    <w:rsid w:val="00F201FB"/>
    <w:rsid w:val="00F21642"/>
    <w:rsid w:val="00F24034"/>
    <w:rsid w:val="00F36589"/>
    <w:rsid w:val="00F450D2"/>
    <w:rsid w:val="00F5471E"/>
    <w:rsid w:val="00F57974"/>
    <w:rsid w:val="00F722D4"/>
    <w:rsid w:val="00F775A7"/>
    <w:rsid w:val="00F813FE"/>
    <w:rsid w:val="00F87557"/>
    <w:rsid w:val="00F87C6A"/>
    <w:rsid w:val="00F91250"/>
    <w:rsid w:val="00F944A8"/>
    <w:rsid w:val="00FA2827"/>
    <w:rsid w:val="00FA4C5D"/>
    <w:rsid w:val="00FB46BF"/>
    <w:rsid w:val="00FB504D"/>
    <w:rsid w:val="00FC24C8"/>
    <w:rsid w:val="00FC5ACA"/>
    <w:rsid w:val="00FD03F8"/>
    <w:rsid w:val="00FD51C0"/>
    <w:rsid w:val="00FD6136"/>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3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6"/>
        <w:lang w:val="en-US" w:eastAsia="en-US" w:bidi="ar-SA"/>
      </w:rPr>
    </w:rPrDefault>
    <w:pPrDefault>
      <w:pPr>
        <w:spacing w:before="24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D7"/>
    <w:pPr>
      <w:tabs>
        <w:tab w:val="left" w:pos="720"/>
      </w:tabs>
      <w:spacing w:before="0" w:line="480" w:lineRule="atLeast"/>
      <w:ind w:left="0" w:firstLine="0"/>
    </w:pPr>
    <w:rPr>
      <w:rFonts w:cs="Times New Roman"/>
    </w:rPr>
  </w:style>
  <w:style w:type="paragraph" w:styleId="Heading1">
    <w:name w:val="heading 1"/>
    <w:basedOn w:val="Normal"/>
    <w:next w:val="Normal"/>
    <w:link w:val="Heading1Char"/>
    <w:autoRedefine/>
    <w:uiPriority w:val="9"/>
    <w:qFormat/>
    <w:rsid w:val="004128A4"/>
    <w:pPr>
      <w:keepNext/>
      <w:numPr>
        <w:numId w:val="2"/>
      </w:numPr>
      <w:tabs>
        <w:tab w:val="left" w:pos="1080"/>
      </w:tabs>
      <w:ind w:left="0" w:firstLine="0"/>
      <w:jc w:val="center"/>
      <w:outlineLvl w:val="0"/>
    </w:pPr>
    <w:rPr>
      <w:rFonts w:eastAsiaTheme="majorEastAsia"/>
      <w:b/>
      <w:bCs/>
      <w:caps/>
      <w:color w:val="000000" w:themeColor="text1"/>
      <w:kern w:val="32"/>
      <w:szCs w:val="32"/>
    </w:rPr>
  </w:style>
  <w:style w:type="paragraph" w:styleId="Heading2">
    <w:name w:val="heading 2"/>
    <w:basedOn w:val="Normal"/>
    <w:next w:val="Normal"/>
    <w:link w:val="Heading2Char"/>
    <w:autoRedefine/>
    <w:uiPriority w:val="9"/>
    <w:qFormat/>
    <w:rsid w:val="003F7C00"/>
    <w:pPr>
      <w:keepNext/>
      <w:numPr>
        <w:numId w:val="3"/>
      </w:numPr>
      <w:tabs>
        <w:tab w:val="left" w:pos="216"/>
        <w:tab w:val="left" w:pos="432"/>
        <w:tab w:val="left" w:pos="810"/>
      </w:tabs>
      <w:spacing w:before="120" w:line="240" w:lineRule="auto"/>
      <w:ind w:left="0" w:firstLine="0"/>
      <w:outlineLvl w:val="1"/>
    </w:pPr>
    <w:rPr>
      <w:rFonts w:eastAsiaTheme="majorEastAsia"/>
      <w:b/>
      <w:smallCaps/>
      <w:color w:val="000000"/>
      <w:szCs w:val="28"/>
    </w:rPr>
  </w:style>
  <w:style w:type="paragraph" w:styleId="Heading3">
    <w:name w:val="heading 3"/>
    <w:basedOn w:val="Normal"/>
    <w:next w:val="Normal"/>
    <w:link w:val="Heading3Char"/>
    <w:autoRedefine/>
    <w:uiPriority w:val="9"/>
    <w:qFormat/>
    <w:rsid w:val="00113801"/>
    <w:pPr>
      <w:keepNext/>
      <w:ind w:left="720"/>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887E48"/>
    <w:pPr>
      <w:keepNext/>
      <w:numPr>
        <w:numId w:val="13"/>
      </w:numPr>
      <w:spacing w:line="480" w:lineRule="exact"/>
      <w:ind w:left="1800"/>
      <w:outlineLvl w:val="3"/>
    </w:pPr>
    <w:rPr>
      <w:b/>
      <w:color w:val="000000" w:themeColor="text1"/>
    </w:rPr>
  </w:style>
  <w:style w:type="paragraph" w:styleId="Heading5">
    <w:name w:val="heading 5"/>
    <w:basedOn w:val="Normal"/>
    <w:next w:val="Normal"/>
    <w:link w:val="Heading5Char"/>
    <w:uiPriority w:val="9"/>
    <w:unhideWhenUsed/>
    <w:qFormat/>
    <w:rsid w:val="00C03651"/>
    <w:pPr>
      <w:keepNext/>
      <w:keepLines/>
      <w:numPr>
        <w:numId w:val="14"/>
      </w:numPr>
      <w:spacing w:before="40" w:line="480" w:lineRule="exact"/>
      <w:ind w:left="3067"/>
      <w:outlineLvl w:val="4"/>
    </w:pPr>
    <w:rPr>
      <w:rFonts w:asciiTheme="majorHAnsi" w:eastAsiaTheme="majorEastAsia" w:hAnsiTheme="majorHAnsi" w:cstheme="majorBidi"/>
      <w:b/>
      <w:i/>
      <w:color w:val="000000" w:themeColor="text1"/>
    </w:rPr>
  </w:style>
  <w:style w:type="paragraph" w:styleId="Heading6">
    <w:name w:val="heading 6"/>
    <w:aliases w:val="Single Space"/>
    <w:basedOn w:val="NoSpacing"/>
    <w:next w:val="Normal"/>
    <w:link w:val="Heading6Char"/>
    <w:uiPriority w:val="9"/>
    <w:semiHidden/>
    <w:unhideWhenUsed/>
    <w:qFormat/>
    <w:rsid w:val="00A556A2"/>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C00"/>
    <w:rPr>
      <w:rFonts w:eastAsiaTheme="majorEastAsia" w:cs="Times New Roman"/>
      <w:b/>
      <w:smallCaps/>
      <w:color w:val="000000"/>
      <w:szCs w:val="28"/>
    </w:rPr>
  </w:style>
  <w:style w:type="character" w:customStyle="1" w:styleId="Heading1Char">
    <w:name w:val="Heading 1 Char"/>
    <w:basedOn w:val="DefaultParagraphFont"/>
    <w:link w:val="Heading1"/>
    <w:uiPriority w:val="9"/>
    <w:rsid w:val="004128A4"/>
    <w:rPr>
      <w:rFonts w:eastAsiaTheme="majorEastAsia" w:cs="Times New Roman"/>
      <w:b/>
      <w:bCs/>
      <w:caps/>
      <w:color w:val="000000" w:themeColor="text1"/>
      <w:kern w:val="32"/>
      <w:szCs w:val="32"/>
    </w:rPr>
  </w:style>
  <w:style w:type="character" w:customStyle="1" w:styleId="Heading3Char">
    <w:name w:val="Heading 3 Char"/>
    <w:basedOn w:val="DefaultParagraphFont"/>
    <w:link w:val="Heading3"/>
    <w:uiPriority w:val="9"/>
    <w:rsid w:val="00113801"/>
    <w:rPr>
      <w:rFonts w:eastAsiaTheme="majorEastAsia" w:cs="Times New Roman"/>
      <w:b/>
      <w:bCs/>
      <w:color w:val="000000" w:themeColor="text1"/>
    </w:rPr>
  </w:style>
  <w:style w:type="character" w:customStyle="1" w:styleId="Heading4Char">
    <w:name w:val="Heading 4 Char"/>
    <w:basedOn w:val="DefaultParagraphFont"/>
    <w:link w:val="Heading4"/>
    <w:uiPriority w:val="9"/>
    <w:rsid w:val="00887E48"/>
    <w:rPr>
      <w:rFonts w:cs="Times New Roman"/>
      <w:b/>
      <w:color w:val="000000" w:themeColor="text1"/>
    </w:rPr>
  </w:style>
  <w:style w:type="paragraph" w:styleId="Title">
    <w:name w:val="Title"/>
    <w:aliases w:val="heading 4"/>
    <w:basedOn w:val="Normal"/>
    <w:next w:val="Normal"/>
    <w:link w:val="TitleChar"/>
    <w:uiPriority w:val="10"/>
    <w:rsid w:val="00C03651"/>
    <w:pPr>
      <w:spacing w:line="480" w:lineRule="exact"/>
      <w:ind w:left="-720"/>
      <w:outlineLvl w:val="4"/>
    </w:pPr>
    <w:rPr>
      <w:rFonts w:eastAsiaTheme="majorEastAsia"/>
      <w:b/>
      <w:bCs/>
      <w:kern w:val="28"/>
      <w:szCs w:val="32"/>
    </w:rPr>
  </w:style>
  <w:style w:type="character" w:customStyle="1" w:styleId="TitleChar">
    <w:name w:val="Title Char"/>
    <w:aliases w:val="heading 4 Char"/>
    <w:basedOn w:val="DefaultParagraphFont"/>
    <w:link w:val="Title"/>
    <w:uiPriority w:val="10"/>
    <w:rsid w:val="00C03651"/>
    <w:rPr>
      <w:rFonts w:eastAsiaTheme="majorEastAsia"/>
      <w:b/>
      <w:bCs/>
      <w:kern w:val="28"/>
      <w:szCs w:val="32"/>
    </w:rPr>
  </w:style>
  <w:style w:type="paragraph" w:styleId="Subtitle">
    <w:name w:val="Subtitle"/>
    <w:aliases w:val="heading 5"/>
    <w:basedOn w:val="Normal"/>
    <w:next w:val="Normal"/>
    <w:link w:val="SubtitleChar"/>
    <w:uiPriority w:val="11"/>
    <w:rsid w:val="00C03651"/>
    <w:pPr>
      <w:spacing w:after="120"/>
      <w:ind w:left="720"/>
      <w:outlineLvl w:val="4"/>
    </w:pPr>
    <w:rPr>
      <w:rFonts w:eastAsiaTheme="majorEastAsia"/>
      <w:b/>
      <w:i/>
    </w:rPr>
  </w:style>
  <w:style w:type="character" w:customStyle="1" w:styleId="SubtitleChar">
    <w:name w:val="Subtitle Char"/>
    <w:aliases w:val="heading 5 Char"/>
    <w:basedOn w:val="DefaultParagraphFont"/>
    <w:link w:val="Subtitle"/>
    <w:uiPriority w:val="11"/>
    <w:rsid w:val="00C03651"/>
    <w:rPr>
      <w:rFonts w:eastAsiaTheme="majorEastAsia"/>
      <w:b/>
      <w:i/>
    </w:rPr>
  </w:style>
  <w:style w:type="character" w:customStyle="1" w:styleId="Heading5Char">
    <w:name w:val="Heading 5 Char"/>
    <w:basedOn w:val="DefaultParagraphFont"/>
    <w:link w:val="Heading5"/>
    <w:uiPriority w:val="9"/>
    <w:rsid w:val="00C03651"/>
    <w:rPr>
      <w:rFonts w:asciiTheme="majorHAnsi" w:eastAsiaTheme="majorEastAsia" w:hAnsiTheme="majorHAnsi" w:cstheme="majorBidi"/>
      <w:b/>
      <w:i/>
      <w:color w:val="000000" w:themeColor="text1"/>
    </w:rPr>
  </w:style>
  <w:style w:type="paragraph" w:styleId="NoSpacing">
    <w:name w:val="No Spacing"/>
    <w:uiPriority w:val="1"/>
    <w:rsid w:val="00C15029"/>
    <w:pPr>
      <w:spacing w:before="0"/>
    </w:pPr>
  </w:style>
  <w:style w:type="character" w:customStyle="1" w:styleId="Heading6Char">
    <w:name w:val="Heading 6 Char"/>
    <w:aliases w:val="Single Space Char"/>
    <w:basedOn w:val="DefaultParagraphFont"/>
    <w:link w:val="Heading6"/>
    <w:uiPriority w:val="9"/>
    <w:semiHidden/>
    <w:rsid w:val="00A556A2"/>
    <w:rPr>
      <w:rFonts w:eastAsiaTheme="majorEastAsia" w:cstheme="majorBidi"/>
      <w:color w:val="243F60" w:themeColor="accent1" w:themeShade="7F"/>
    </w:rPr>
  </w:style>
  <w:style w:type="paragraph" w:styleId="FootnoteText">
    <w:name w:val="footnote text"/>
    <w:basedOn w:val="Normal"/>
    <w:link w:val="FootnoteTextChar"/>
    <w:uiPriority w:val="99"/>
    <w:unhideWhenUsed/>
    <w:rsid w:val="00015A49"/>
    <w:pPr>
      <w:spacing w:line="240" w:lineRule="auto"/>
    </w:pPr>
    <w:rPr>
      <w:szCs w:val="20"/>
    </w:rPr>
  </w:style>
  <w:style w:type="character" w:customStyle="1" w:styleId="FootnoteTextChar">
    <w:name w:val="Footnote Text Char"/>
    <w:basedOn w:val="DefaultParagraphFont"/>
    <w:link w:val="FootnoteText"/>
    <w:uiPriority w:val="99"/>
    <w:rsid w:val="00015A49"/>
    <w:rPr>
      <w:rFonts w:cs="Times New Roman"/>
      <w:szCs w:val="20"/>
    </w:rPr>
  </w:style>
  <w:style w:type="paragraph" w:styleId="Header">
    <w:name w:val="header"/>
    <w:basedOn w:val="Normal"/>
    <w:link w:val="HeaderChar"/>
    <w:uiPriority w:val="99"/>
    <w:unhideWhenUsed/>
    <w:rsid w:val="00C80EBC"/>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C80EBC"/>
    <w:rPr>
      <w:rFonts w:cs="Times New Roman"/>
    </w:rPr>
  </w:style>
  <w:style w:type="paragraph" w:styleId="Footer">
    <w:name w:val="footer"/>
    <w:basedOn w:val="Normal"/>
    <w:link w:val="FooterChar"/>
    <w:unhideWhenUsed/>
    <w:rsid w:val="00C80EBC"/>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C80EBC"/>
    <w:rPr>
      <w:rFonts w:cs="Times New Roman"/>
    </w:rPr>
  </w:style>
  <w:style w:type="character" w:styleId="FootnoteReference">
    <w:name w:val="footnote reference"/>
    <w:basedOn w:val="DefaultParagraphFont"/>
    <w:uiPriority w:val="99"/>
    <w:semiHidden/>
    <w:unhideWhenUsed/>
    <w:rsid w:val="002D352B"/>
    <w:rPr>
      <w:vertAlign w:val="superscript"/>
    </w:rPr>
  </w:style>
  <w:style w:type="character" w:styleId="CommentReference">
    <w:name w:val="annotation reference"/>
    <w:basedOn w:val="DefaultParagraphFont"/>
    <w:uiPriority w:val="99"/>
    <w:semiHidden/>
    <w:unhideWhenUsed/>
    <w:rsid w:val="00B37CD5"/>
    <w:rPr>
      <w:sz w:val="16"/>
      <w:szCs w:val="16"/>
    </w:rPr>
  </w:style>
  <w:style w:type="paragraph" w:styleId="CommentText">
    <w:name w:val="annotation text"/>
    <w:basedOn w:val="Normal"/>
    <w:link w:val="CommentTextChar"/>
    <w:uiPriority w:val="99"/>
    <w:semiHidden/>
    <w:unhideWhenUsed/>
    <w:rsid w:val="00B37CD5"/>
    <w:pPr>
      <w:spacing w:line="240" w:lineRule="auto"/>
    </w:pPr>
    <w:rPr>
      <w:sz w:val="20"/>
      <w:szCs w:val="20"/>
    </w:rPr>
  </w:style>
  <w:style w:type="character" w:customStyle="1" w:styleId="CommentTextChar">
    <w:name w:val="Comment Text Char"/>
    <w:basedOn w:val="DefaultParagraphFont"/>
    <w:link w:val="CommentText"/>
    <w:uiPriority w:val="99"/>
    <w:semiHidden/>
    <w:rsid w:val="00B37CD5"/>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7CD5"/>
    <w:rPr>
      <w:b/>
      <w:bCs/>
    </w:rPr>
  </w:style>
  <w:style w:type="character" w:customStyle="1" w:styleId="CommentSubjectChar">
    <w:name w:val="Comment Subject Char"/>
    <w:basedOn w:val="CommentTextChar"/>
    <w:link w:val="CommentSubject"/>
    <w:uiPriority w:val="99"/>
    <w:semiHidden/>
    <w:rsid w:val="00B37CD5"/>
    <w:rPr>
      <w:rFonts w:cs="Times New Roman"/>
      <w:b/>
      <w:bCs/>
      <w:sz w:val="20"/>
      <w:szCs w:val="20"/>
    </w:rPr>
  </w:style>
  <w:style w:type="paragraph" w:styleId="Revision">
    <w:name w:val="Revision"/>
    <w:hidden/>
    <w:uiPriority w:val="99"/>
    <w:semiHidden/>
    <w:rsid w:val="00B37CD5"/>
    <w:pPr>
      <w:spacing w:before="0"/>
      <w:ind w:left="0" w:firstLine="0"/>
    </w:pPr>
    <w:rPr>
      <w:rFonts w:cs="Times New Roman"/>
    </w:rPr>
  </w:style>
  <w:style w:type="paragraph" w:styleId="BalloonText">
    <w:name w:val="Balloon Text"/>
    <w:basedOn w:val="Normal"/>
    <w:link w:val="BalloonTextChar"/>
    <w:uiPriority w:val="99"/>
    <w:semiHidden/>
    <w:unhideWhenUsed/>
    <w:rsid w:val="00B37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D5"/>
    <w:rPr>
      <w:rFonts w:ascii="Segoe UI" w:hAnsi="Segoe UI" w:cs="Segoe UI"/>
      <w:sz w:val="18"/>
      <w:szCs w:val="18"/>
    </w:rPr>
  </w:style>
  <w:style w:type="character" w:styleId="PageNumber">
    <w:name w:val="page number"/>
    <w:basedOn w:val="DefaultParagraphFont"/>
    <w:semiHidden/>
    <w:rsid w:val="00C54841"/>
  </w:style>
  <w:style w:type="paragraph" w:styleId="BodyText">
    <w:name w:val="Body Text"/>
    <w:basedOn w:val="Normal"/>
    <w:link w:val="BodyTextChar"/>
    <w:semiHidden/>
    <w:rsid w:val="00C54841"/>
    <w:pPr>
      <w:spacing w:after="120"/>
    </w:pPr>
    <w:rPr>
      <w:rFonts w:eastAsia="Times New Roman"/>
      <w:szCs w:val="24"/>
    </w:rPr>
  </w:style>
  <w:style w:type="character" w:customStyle="1" w:styleId="BodyTextChar">
    <w:name w:val="Body Text Char"/>
    <w:basedOn w:val="DefaultParagraphFont"/>
    <w:link w:val="BodyText"/>
    <w:semiHidden/>
    <w:rsid w:val="00C54841"/>
    <w:rPr>
      <w:rFonts w:eastAsia="Times New Roman" w:cs="Times New Roman"/>
      <w:szCs w:val="24"/>
    </w:rPr>
  </w:style>
  <w:style w:type="paragraph" w:customStyle="1" w:styleId="EnvelopeReturn1">
    <w:name w:val="Envelope Return1"/>
    <w:basedOn w:val="Normal"/>
    <w:rsid w:val="00C54841"/>
    <w:pPr>
      <w:tabs>
        <w:tab w:val="clear" w:pos="720"/>
      </w:tabs>
      <w:spacing w:line="240" w:lineRule="auto"/>
    </w:pPr>
    <w:rPr>
      <w:rFonts w:ascii="CG Times (WN)" w:eastAsia="Times New Roman" w:hAnsi="CG Times (W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2020-01-24T23:12:00Z</dcterms:created>
  <dcterms:modified xsi:type="dcterms:W3CDTF">2020-01-24T23:12:00Z</dcterms:modified>
</cp:coreProperties>
</file>