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C8571E" w:rsidRPr="009C367A" w:rsidP="00A04F9F" w14:paraId="71EFEA3E" w14:textId="44F4FB22">
      <w:pPr>
        <w:rPr>
          <w:sz w:val="20"/>
        </w:rPr>
      </w:pPr>
      <w:r w:rsidRPr="009C367A">
        <w:rPr>
          <w:sz w:val="20"/>
        </w:rPr>
        <w:t>Filed 2</w:t>
      </w:r>
      <w:r w:rsidR="009C367A">
        <w:rPr>
          <w:sz w:val="20"/>
        </w:rPr>
        <w:t>/</w:t>
      </w:r>
      <w:r w:rsidRPr="009C367A">
        <w:rPr>
          <w:sz w:val="20"/>
        </w:rPr>
        <w:t>8</w:t>
      </w:r>
      <w:r w:rsidR="009C367A">
        <w:rPr>
          <w:sz w:val="20"/>
        </w:rPr>
        <w:t>/</w:t>
      </w:r>
      <w:r w:rsidRPr="009C367A">
        <w:rPr>
          <w:sz w:val="20"/>
        </w:rPr>
        <w:t>24</w:t>
      </w:r>
    </w:p>
    <w:p w:rsidR="005E3BA8" w:rsidP="00A04F9F" w14:paraId="2E00F2D1" w14:textId="77777777"/>
    <w:p w:rsidR="005E3BA8" w:rsidP="00A04F9F" w14:paraId="688CAB89" w14:textId="77777777"/>
    <w:p w:rsidR="005E3BA8" w:rsidP="00A04F9F" w14:paraId="7489023B" w14:textId="77777777"/>
    <w:p w:rsidR="005E3BA8" w:rsidP="00A04F9F" w14:paraId="5438E9E4" w14:textId="77777777"/>
    <w:p w:rsidR="00C8571E" w:rsidP="00A04F9F" w14:paraId="1BFA3756" w14:textId="77777777"/>
    <w:p w:rsidR="00A04F9F" w:rsidP="00A04F9F" w14:paraId="6E11C0E0" w14:textId="77777777"/>
    <w:p w:rsidR="00E03C31" w:rsidP="00A04F9F" w14:paraId="3A2142F8" w14:textId="77777777"/>
    <w:p w:rsidR="00A04F9F" w:rsidP="00A04F9F" w14:paraId="2912E5A8" w14:textId="3ECAAC91">
      <w:pPr>
        <w:jc w:val="center"/>
        <w:rPr>
          <w:b/>
        </w:rPr>
      </w:pPr>
      <w:r>
        <w:rPr>
          <w:b/>
        </w:rPr>
        <w:t>CERTIFIED FOR PUBLICATION</w:t>
      </w:r>
    </w:p>
    <w:p w:rsidR="0027600E" w:rsidP="00A04F9F" w14:paraId="004B196F" w14:textId="77777777">
      <w:pPr>
        <w:jc w:val="center"/>
      </w:pPr>
    </w:p>
    <w:p w:rsidR="00A04F9F" w:rsidP="00A04F9F" w14:paraId="06D03445" w14:textId="6B138F35">
      <w:pPr>
        <w:jc w:val="center"/>
      </w:pPr>
      <w:r>
        <w:t>IN THE COURT OF APPEAL OF THE STATE OF CALIFORNIA</w:t>
      </w:r>
    </w:p>
    <w:p w:rsidR="00A04F9F" w:rsidP="00A04F9F" w14:paraId="7C71E194" w14:textId="77777777">
      <w:pPr>
        <w:jc w:val="center"/>
      </w:pPr>
    </w:p>
    <w:p w:rsidR="00A04F9F" w:rsidP="00A04F9F" w14:paraId="37E7D28B" w14:textId="77777777">
      <w:pPr>
        <w:jc w:val="center"/>
      </w:pPr>
      <w:r>
        <w:t>FOURTH APPELLATE DISTRICT</w:t>
      </w:r>
    </w:p>
    <w:p w:rsidR="00A04F9F" w:rsidP="00A04F9F" w14:paraId="5384E800" w14:textId="77777777">
      <w:pPr>
        <w:jc w:val="center"/>
      </w:pPr>
    </w:p>
    <w:p w:rsidR="00A04F9F" w:rsidP="00A04F9F" w14:paraId="2CC5291C" w14:textId="77777777">
      <w:pPr>
        <w:jc w:val="center"/>
      </w:pPr>
      <w:r>
        <w:t>DIVISION THREE</w:t>
      </w:r>
    </w:p>
    <w:p w:rsidR="00133B44" w:rsidP="00A04F9F" w14:paraId="6FAE9B99" w14:textId="77777777">
      <w:pPr>
        <w:jc w:val="center"/>
      </w:pPr>
    </w:p>
    <w:p w:rsidR="00133B44" w:rsidP="00133B44" w14:paraId="6849AED9" w14:textId="77777777">
      <w:pPr>
        <w:jc w:val="center"/>
      </w:pPr>
    </w:p>
    <w:tbl>
      <w:tblPr>
        <w:tblW w:w="0" w:type="auto"/>
        <w:tblLayout w:type="fixed"/>
        <w:tblLook w:val="0000"/>
      </w:tblPr>
      <w:tblGrid>
        <w:gridCol w:w="4680"/>
        <w:gridCol w:w="4680"/>
      </w:tblGrid>
      <w:tr w14:paraId="48D0723D" w14:textId="77777777" w:rsidTr="00E75A73">
        <w:tblPrEx>
          <w:tblW w:w="0" w:type="auto"/>
          <w:tblLayout w:type="fixed"/>
          <w:tblLook w:val="0000"/>
        </w:tblPrEx>
        <w:tc>
          <w:tcPr>
            <w:tcW w:w="4680" w:type="dxa"/>
            <w:tcBorders>
              <w:bottom w:val="single" w:sz="4" w:space="0" w:color="auto"/>
              <w:right w:val="single" w:sz="4" w:space="0" w:color="auto"/>
            </w:tcBorders>
            <w:shd w:val="clear" w:color="auto" w:fill="auto"/>
          </w:tcPr>
          <w:p w:rsidR="00133B44" w:rsidP="00E75A73" w14:paraId="6DC59A4A" w14:textId="7942FC22">
            <w:r>
              <w:t>MOJAVE PISTACHIOS, LLC et al.,</w:t>
            </w:r>
          </w:p>
          <w:p w:rsidR="00133B44" w:rsidP="00E75A73" w14:paraId="50BCF275" w14:textId="77777777"/>
          <w:p w:rsidR="00133B44" w:rsidP="00E75A73" w14:paraId="7BAE49CB" w14:textId="50FBECE9">
            <w:r>
              <w:t xml:space="preserve">      Petitioner</w:t>
            </w:r>
            <w:r w:rsidR="0027600E">
              <w:t>s</w:t>
            </w:r>
            <w:r>
              <w:t>,</w:t>
            </w:r>
          </w:p>
          <w:p w:rsidR="00133B44" w:rsidP="00E75A73" w14:paraId="6851E209" w14:textId="77777777"/>
          <w:p w:rsidR="00133B44" w:rsidP="00E75A73" w14:paraId="285965B0" w14:textId="77777777">
            <w:r>
              <w:tab/>
              <w:t>v.</w:t>
            </w:r>
          </w:p>
          <w:p w:rsidR="00133B44" w:rsidP="00E75A73" w14:paraId="089ED26E" w14:textId="77777777"/>
          <w:p w:rsidR="00133B44" w:rsidP="00E75A73" w14:paraId="4FFB6FFF" w14:textId="30F46A03">
            <w:r>
              <w:t>THE SUPERIOR COURT OF ORANGE COUNTY,</w:t>
            </w:r>
          </w:p>
          <w:p w:rsidR="00133B44" w:rsidP="00E75A73" w14:paraId="7C045FA7" w14:textId="77777777"/>
          <w:p w:rsidR="00133B44" w:rsidP="00E75A73" w14:paraId="4ED67796" w14:textId="6188FE4B">
            <w:r>
              <w:t xml:space="preserve">      Respondent;</w:t>
            </w:r>
          </w:p>
          <w:p w:rsidR="00133B44" w:rsidP="00E75A73" w14:paraId="14B6A151" w14:textId="77777777"/>
          <w:p w:rsidR="00133B44" w:rsidRPr="00A425F2" w:rsidP="00E75A73" w14:paraId="3D576283" w14:textId="19CF9413">
            <w:r>
              <w:t>INDIAN WELLS VALLEY GROUNDWATER AUTHORITY et al.</w:t>
            </w:r>
            <w:r w:rsidRPr="00A425F2">
              <w:t>,</w:t>
            </w:r>
          </w:p>
          <w:p w:rsidR="00133B44" w:rsidRPr="00A425F2" w:rsidP="00E75A73" w14:paraId="5C6B1D5F" w14:textId="77777777"/>
          <w:p w:rsidR="00133B44" w:rsidRPr="00A425F2" w:rsidP="00E75A73" w14:paraId="1452A0ED" w14:textId="4D4C8FFD">
            <w:r w:rsidRPr="00A425F2">
              <w:t xml:space="preserve">      </w:t>
            </w:r>
            <w:r>
              <w:t>Real Parties in Interest</w:t>
            </w:r>
            <w:r w:rsidRPr="00A425F2">
              <w:t>.</w:t>
            </w:r>
          </w:p>
          <w:p w:rsidR="00133B44" w:rsidP="00E75A73" w14:paraId="7C45CC3D" w14:textId="58DB2199"/>
        </w:tc>
        <w:tc>
          <w:tcPr>
            <w:tcW w:w="4680" w:type="dxa"/>
            <w:tcBorders>
              <w:left w:val="single" w:sz="4" w:space="0" w:color="auto"/>
            </w:tcBorders>
            <w:shd w:val="clear" w:color="auto" w:fill="auto"/>
          </w:tcPr>
          <w:p w:rsidR="00133B44" w:rsidP="00E75A73" w14:paraId="1CB93C9E" w14:textId="77777777"/>
          <w:p w:rsidR="00133B44" w:rsidP="00E75A73" w14:paraId="09574800" w14:textId="77777777"/>
          <w:p w:rsidR="00133B44" w:rsidP="00E75A73" w14:paraId="7471F03A" w14:textId="33C273C6">
            <w:r>
              <w:t xml:space="preserve">         </w:t>
            </w:r>
            <w:bookmarkStart w:id="0" w:name="_Hlk158294142"/>
            <w:r>
              <w:t>G062327</w:t>
            </w:r>
            <w:bookmarkEnd w:id="0"/>
          </w:p>
          <w:p w:rsidR="00133B44" w:rsidP="00E75A73" w14:paraId="5219E52B" w14:textId="77777777"/>
          <w:p w:rsidR="00133B44" w:rsidP="00E75A73" w14:paraId="46798574" w14:textId="559AEEFB">
            <w:r>
              <w:t xml:space="preserve">         (Super. Ct. No. 30-2021-011</w:t>
            </w:r>
            <w:r w:rsidR="00323CDB">
              <w:t>8</w:t>
            </w:r>
            <w:r>
              <w:t>75</w:t>
            </w:r>
            <w:r w:rsidR="00323CDB">
              <w:t>89</w:t>
            </w:r>
            <w:r>
              <w:t>)</w:t>
            </w:r>
          </w:p>
          <w:p w:rsidR="00133B44" w:rsidP="00E75A73" w14:paraId="3F017D05" w14:textId="77777777"/>
          <w:p w:rsidR="00133B44" w:rsidP="00E75A73" w14:paraId="37260667" w14:textId="33F87059">
            <w:r>
              <w:t xml:space="preserve">         </w:t>
            </w:r>
            <w:r w:rsidR="0027600E">
              <w:t>O P I N I O N</w:t>
            </w:r>
            <w:r>
              <w:t xml:space="preserve"> </w:t>
            </w:r>
          </w:p>
        </w:tc>
      </w:tr>
    </w:tbl>
    <w:p w:rsidR="0027600E" w:rsidP="0027600E" w14:paraId="252D3182" w14:textId="77777777">
      <w:pPr>
        <w:spacing w:line="480" w:lineRule="atLeast"/>
        <w:jc w:val="both"/>
        <w:rPr>
          <w:szCs w:val="26"/>
        </w:rPr>
      </w:pPr>
    </w:p>
    <w:p w:rsidR="00A04F9F" w:rsidRPr="004B5E7E" w:rsidP="00102980" w14:paraId="00EE15BE" w14:textId="4B7049C9">
      <w:pPr>
        <w:spacing w:line="480" w:lineRule="atLeast"/>
        <w:ind w:firstLine="1440"/>
        <w:rPr>
          <w:szCs w:val="26"/>
        </w:rPr>
      </w:pPr>
      <w:r w:rsidRPr="00306A22">
        <w:rPr>
          <w:szCs w:val="26"/>
        </w:rPr>
        <w:t>Original proceeding</w:t>
      </w:r>
      <w:r w:rsidR="00F0258B">
        <w:rPr>
          <w:szCs w:val="26"/>
        </w:rPr>
        <w:t>s</w:t>
      </w:r>
      <w:r w:rsidRPr="00306A22">
        <w:rPr>
          <w:szCs w:val="26"/>
        </w:rPr>
        <w:t xml:space="preserve">; petition for writ of mandate after the superior court sustained real party in interest’s demurrer to petitioners’ third amended petition and complaint.  William </w:t>
      </w:r>
      <w:r w:rsidR="00893CE1">
        <w:rPr>
          <w:szCs w:val="26"/>
        </w:rPr>
        <w:t xml:space="preserve">D. </w:t>
      </w:r>
      <w:r w:rsidRPr="00306A22">
        <w:rPr>
          <w:szCs w:val="26"/>
        </w:rPr>
        <w:t xml:space="preserve">Claster, Judge.  </w:t>
      </w:r>
      <w:r w:rsidR="00893CE1">
        <w:rPr>
          <w:szCs w:val="26"/>
        </w:rPr>
        <w:t xml:space="preserve">Requests for judicial notice granted.  </w:t>
      </w:r>
      <w:r w:rsidRPr="00306A22">
        <w:rPr>
          <w:szCs w:val="26"/>
        </w:rPr>
        <w:t>Petition denied</w:t>
      </w:r>
      <w:r w:rsidR="00CF10E7">
        <w:t>.</w:t>
      </w:r>
    </w:p>
    <w:p w:rsidR="00A04F9F" w:rsidP="00A04F9F" w14:paraId="48C4CB1A" w14:textId="111948F3">
      <w:pPr>
        <w:tabs>
          <w:tab w:val="left" w:pos="1440"/>
          <w:tab w:val="left" w:pos="2880"/>
          <w:tab w:val="left" w:pos="4320"/>
          <w:tab w:val="left" w:pos="5760"/>
          <w:tab w:val="left" w:pos="7200"/>
          <w:tab w:val="left" w:pos="8640"/>
        </w:tabs>
        <w:spacing w:line="480" w:lineRule="atLeast"/>
      </w:pPr>
      <w:r>
        <w:tab/>
      </w:r>
      <w:r w:rsidR="000B585B">
        <w:t>Brownstein Hyatt Farber Schreck, Scott S. Slater, Amy M. Steinfeld, and Elisabeth L. Esposito</w:t>
      </w:r>
      <w:r w:rsidR="00092036">
        <w:t xml:space="preserve"> for </w:t>
      </w:r>
      <w:r w:rsidR="00D37387">
        <w:t>Petitioner</w:t>
      </w:r>
      <w:r w:rsidR="00223166">
        <w:t>s</w:t>
      </w:r>
      <w:r>
        <w:t>.</w:t>
      </w:r>
    </w:p>
    <w:p w:rsidR="00CC2864" w:rsidP="00A04F9F" w14:paraId="340DA458" w14:textId="5533FEB6">
      <w:pPr>
        <w:tabs>
          <w:tab w:val="left" w:pos="1440"/>
          <w:tab w:val="left" w:pos="2880"/>
          <w:tab w:val="left" w:pos="4320"/>
          <w:tab w:val="left" w:pos="5760"/>
          <w:tab w:val="left" w:pos="7200"/>
          <w:tab w:val="left" w:pos="8640"/>
        </w:tabs>
        <w:spacing w:line="480" w:lineRule="atLeast"/>
      </w:pPr>
      <w:r>
        <w:tab/>
        <w:t xml:space="preserve">Best Best &amp; Krieger, Jeffrey V. Dunn, Eric L. Garner, Wendy Y. Wang, and Sarah Christopher Foley for Searles Valley Minerals, Inc. </w:t>
      </w:r>
      <w:r w:rsidR="00F0258B">
        <w:t xml:space="preserve">and California Building Industry Association </w:t>
      </w:r>
      <w:r>
        <w:t>as Amic</w:t>
      </w:r>
      <w:r w:rsidR="00F0258B">
        <w:t>i</w:t>
      </w:r>
      <w:r>
        <w:t xml:space="preserve"> Curiae on behalf of Petitioners.</w:t>
      </w:r>
    </w:p>
    <w:p w:rsidR="00D37387" w:rsidP="00A04F9F" w14:paraId="2FDC157B" w14:textId="0A66957F">
      <w:pPr>
        <w:tabs>
          <w:tab w:val="left" w:pos="1440"/>
          <w:tab w:val="left" w:pos="2880"/>
          <w:tab w:val="left" w:pos="4320"/>
          <w:tab w:val="left" w:pos="5760"/>
          <w:tab w:val="left" w:pos="7200"/>
          <w:tab w:val="left" w:pos="8640"/>
        </w:tabs>
        <w:spacing w:line="480" w:lineRule="atLeast"/>
      </w:pPr>
      <w:r>
        <w:tab/>
        <w:t xml:space="preserve">Jason Resnick for Western Growers Association as Amicus Curiae on </w:t>
      </w:r>
      <w:r w:rsidR="00223166">
        <w:t>behalf of Petitioners.</w:t>
      </w:r>
    </w:p>
    <w:p w:rsidR="003278CF" w:rsidP="00A04F9F" w14:paraId="1FBF5BCA" w14:textId="741915A6">
      <w:pPr>
        <w:tabs>
          <w:tab w:val="left" w:pos="1440"/>
          <w:tab w:val="left" w:pos="2880"/>
          <w:tab w:val="left" w:pos="4320"/>
          <w:tab w:val="left" w:pos="5760"/>
          <w:tab w:val="left" w:pos="7200"/>
          <w:tab w:val="left" w:pos="8640"/>
        </w:tabs>
        <w:spacing w:line="480" w:lineRule="atLeast"/>
      </w:pPr>
      <w:r>
        <w:tab/>
        <w:t xml:space="preserve">Christian C. Scheuring </w:t>
      </w:r>
      <w:r w:rsidR="00F0258B">
        <w:t>for</w:t>
      </w:r>
      <w:r>
        <w:t xml:space="preserve"> California Farm Bureau Federation as Amicus Curiae on behalf of Petitioners.</w:t>
      </w:r>
    </w:p>
    <w:p w:rsidR="009F0C1F" w:rsidP="00A04F9F" w14:paraId="069F74E2" w14:textId="77777777">
      <w:pPr>
        <w:tabs>
          <w:tab w:val="left" w:pos="1440"/>
          <w:tab w:val="left" w:pos="2880"/>
          <w:tab w:val="left" w:pos="4320"/>
          <w:tab w:val="left" w:pos="5760"/>
          <w:tab w:val="left" w:pos="7200"/>
          <w:tab w:val="left" w:pos="8640"/>
        </w:tabs>
        <w:spacing w:line="480" w:lineRule="atLeast"/>
      </w:pPr>
      <w:r>
        <w:tab/>
        <w:t>Egoscue Law Group, Tracy J. Egoscue and Tarren A. Torres for Western Growers Association, California Farm Bureau Federation, Dairy Cares, and American Pistachio Growers as Amici Curiae on behalf of Petitioners.</w:t>
      </w:r>
    </w:p>
    <w:p w:rsidR="00940724" w:rsidP="00B87A60" w14:paraId="64D2D5CE" w14:textId="0C0540D1">
      <w:pPr>
        <w:tabs>
          <w:tab w:val="left" w:pos="1440"/>
          <w:tab w:val="left" w:pos="2880"/>
          <w:tab w:val="left" w:pos="4320"/>
          <w:tab w:val="left" w:pos="5760"/>
          <w:tab w:val="left" w:pos="7200"/>
          <w:tab w:val="left" w:pos="8640"/>
        </w:tabs>
        <w:spacing w:line="480" w:lineRule="atLeast"/>
      </w:pPr>
      <w:r>
        <w:tab/>
        <w:t>Allen Matkins and David L. Osias</w:t>
      </w:r>
      <w:r w:rsidR="00C3106F">
        <w:t xml:space="preserve"> for </w:t>
      </w:r>
      <w:r w:rsidRPr="00F0258B" w:rsidR="00F0258B">
        <w:rPr>
          <w:rFonts w:asciiTheme="minorHAnsi" w:hAnsiTheme="minorHAnsi" w:cstheme="minorHAnsi"/>
          <w:color w:val="000000"/>
          <w:szCs w:val="26"/>
        </w:rPr>
        <w:t>Elizabeth Cardoza, Clay Daulton, David Gill, Landon Gill, Michele Lasgoity, Monica Lasgoity, Rosemary Lasgoity, Jeff Lefors, Mark Peters, Sally Roberts, Candace Khanna, Rakesh Khanna, Taisto Smith, SWD Investments, Inc.</w:t>
      </w:r>
      <w:r w:rsidR="00F0258B">
        <w:rPr>
          <w:rFonts w:asciiTheme="minorHAnsi" w:hAnsiTheme="minorHAnsi" w:cstheme="minorHAnsi"/>
          <w:color w:val="000000"/>
          <w:szCs w:val="26"/>
        </w:rPr>
        <w:t>,</w:t>
      </w:r>
      <w:r w:rsidRPr="00F0258B" w:rsidR="00F0258B">
        <w:rPr>
          <w:rFonts w:asciiTheme="minorHAnsi" w:hAnsiTheme="minorHAnsi" w:cstheme="minorHAnsi"/>
          <w:color w:val="000000"/>
          <w:szCs w:val="26"/>
        </w:rPr>
        <w:t xml:space="preserve"> and SWD Investments-Fulton Ranch, Inc. (Madera Landowners) as Amici Curiae on behalf of Petitioners.</w:t>
      </w:r>
    </w:p>
    <w:p w:rsidR="00A04F9F" w:rsidP="0027600E" w14:paraId="40B07D50" w14:textId="08DEC7ED">
      <w:pPr>
        <w:tabs>
          <w:tab w:val="left" w:pos="1440"/>
          <w:tab w:val="left" w:pos="2880"/>
          <w:tab w:val="left" w:pos="4320"/>
          <w:tab w:val="left" w:pos="5760"/>
          <w:tab w:val="left" w:pos="7200"/>
          <w:tab w:val="left" w:pos="8640"/>
        </w:tabs>
        <w:spacing w:line="480" w:lineRule="atLeast"/>
      </w:pPr>
      <w:r>
        <w:tab/>
      </w:r>
      <w:r w:rsidR="00B77DE4">
        <w:t>No appearance for Respondent.</w:t>
      </w:r>
    </w:p>
    <w:p w:rsidR="00B2084E" w:rsidP="0027600E" w14:paraId="3F513622" w14:textId="5AEE2E92">
      <w:pPr>
        <w:keepNext/>
        <w:tabs>
          <w:tab w:val="left" w:pos="1440"/>
          <w:tab w:val="left" w:pos="2880"/>
          <w:tab w:val="left" w:pos="4320"/>
          <w:tab w:val="left" w:pos="5760"/>
          <w:tab w:val="left" w:pos="7200"/>
          <w:tab w:val="left" w:pos="8640"/>
        </w:tabs>
        <w:spacing w:line="480" w:lineRule="atLeast"/>
      </w:pPr>
      <w:r>
        <w:tab/>
      </w:r>
      <w:r w:rsidR="00B77DE4">
        <w:t>Richards, Watson &amp; Gershon, James L. Markman, Kyle H. Brochard, and Jacob C. Metz for Real Parties in Interest.</w:t>
      </w:r>
    </w:p>
    <w:p w:rsidR="00A04F9F" w:rsidP="00A04F9F" w14:paraId="4DC43556" w14:textId="77777777">
      <w:pPr>
        <w:tabs>
          <w:tab w:val="left" w:pos="1440"/>
          <w:tab w:val="left" w:pos="2880"/>
          <w:tab w:val="left" w:pos="4320"/>
          <w:tab w:val="left" w:pos="5760"/>
          <w:tab w:val="left" w:pos="7200"/>
          <w:tab w:val="left" w:pos="8640"/>
        </w:tabs>
        <w:spacing w:line="480" w:lineRule="atLeast"/>
        <w:jc w:val="center"/>
      </w:pPr>
      <w:r>
        <w:t>*               *               *</w:t>
      </w:r>
    </w:p>
    <w:p w:rsidR="00805CE7" w:rsidRPr="00306A22" w:rsidP="00805CE7" w14:paraId="3DBBBE0D" w14:textId="3D19AC9E">
      <w:pPr>
        <w:spacing w:line="480" w:lineRule="atLeast"/>
        <w:ind w:firstLine="1440"/>
        <w:rPr>
          <w:szCs w:val="26"/>
        </w:rPr>
      </w:pPr>
      <w:r w:rsidRPr="00306A22">
        <w:rPr>
          <w:szCs w:val="26"/>
        </w:rPr>
        <w:t>Mojave Pistachios, LLC</w:t>
      </w:r>
      <w:r>
        <w:rPr>
          <w:rStyle w:val="FootnoteReference"/>
          <w:szCs w:val="26"/>
        </w:rPr>
        <w:footnoteReference w:id="2"/>
      </w:r>
      <w:r w:rsidRPr="00306A22">
        <w:rPr>
          <w:szCs w:val="26"/>
        </w:rPr>
        <w:t xml:space="preserve"> owns about 1,600 acres of </w:t>
      </w:r>
      <w:r w:rsidR="0027600E">
        <w:rPr>
          <w:szCs w:val="26"/>
        </w:rPr>
        <w:t>land</w:t>
      </w:r>
      <w:r w:rsidRPr="00306A22" w:rsidR="0027600E">
        <w:rPr>
          <w:szCs w:val="26"/>
        </w:rPr>
        <w:t xml:space="preserve"> </w:t>
      </w:r>
      <w:r w:rsidRPr="00306A22">
        <w:rPr>
          <w:szCs w:val="26"/>
        </w:rPr>
        <w:t xml:space="preserve">in the Mojave Desert.  </w:t>
      </w:r>
      <w:r w:rsidR="0027600E">
        <w:rPr>
          <w:szCs w:val="26"/>
        </w:rPr>
        <w:t xml:space="preserve">On that acreage, it has planted a pistachio orchard </w:t>
      </w:r>
      <w:r w:rsidR="005678BF">
        <w:rPr>
          <w:szCs w:val="26"/>
        </w:rPr>
        <w:t>that</w:t>
      </w:r>
      <w:r w:rsidR="0027600E">
        <w:rPr>
          <w:szCs w:val="26"/>
        </w:rPr>
        <w:t xml:space="preserve"> it</w:t>
      </w:r>
      <w:r w:rsidRPr="00306A22">
        <w:rPr>
          <w:szCs w:val="26"/>
        </w:rPr>
        <w:t xml:space="preserve"> irrigates exclusively </w:t>
      </w:r>
      <w:r w:rsidRPr="00306A22">
        <w:rPr>
          <w:szCs w:val="26"/>
        </w:rPr>
        <w:t>with groundwater pu</w:t>
      </w:r>
      <w:r w:rsidR="001643FA">
        <w:rPr>
          <w:szCs w:val="26"/>
        </w:rPr>
        <w:t>mped</w:t>
      </w:r>
      <w:r w:rsidRPr="00306A22">
        <w:rPr>
          <w:szCs w:val="26"/>
        </w:rPr>
        <w:t xml:space="preserve"> from the underlying water basin</w:t>
      </w:r>
      <w:r w:rsidR="0027600E">
        <w:rPr>
          <w:szCs w:val="26"/>
        </w:rPr>
        <w:t>.</w:t>
      </w:r>
      <w:r w:rsidRPr="00306A22">
        <w:rPr>
          <w:szCs w:val="26"/>
        </w:rPr>
        <w:t xml:space="preserve"> </w:t>
      </w:r>
      <w:r w:rsidR="0027600E">
        <w:rPr>
          <w:szCs w:val="26"/>
        </w:rPr>
        <w:t xml:space="preserve"> T</w:t>
      </w:r>
      <w:r w:rsidRPr="00306A22">
        <w:rPr>
          <w:szCs w:val="26"/>
        </w:rPr>
        <w:t xml:space="preserve">he Department of Water Resources has determined </w:t>
      </w:r>
      <w:r w:rsidR="0027600E">
        <w:rPr>
          <w:szCs w:val="26"/>
        </w:rPr>
        <w:t xml:space="preserve">that basin </w:t>
      </w:r>
      <w:r w:rsidRPr="00306A22">
        <w:rPr>
          <w:szCs w:val="26"/>
        </w:rPr>
        <w:t>is at risk for overdraft.  Mojave currently</w:t>
      </w:r>
      <w:r w:rsidR="00E079F4">
        <w:rPr>
          <w:szCs w:val="26"/>
        </w:rPr>
        <w:t xml:space="preserve"> extracts</w:t>
      </w:r>
      <w:r w:rsidRPr="00306A22">
        <w:rPr>
          <w:szCs w:val="26"/>
        </w:rPr>
        <w:t xml:space="preserve"> about 4,000 acre</w:t>
      </w:r>
      <w:r w:rsidR="005E3BA8">
        <w:rPr>
          <w:szCs w:val="26"/>
        </w:rPr>
        <w:noBreakHyphen/>
      </w:r>
      <w:r w:rsidRPr="00306A22">
        <w:rPr>
          <w:szCs w:val="26"/>
        </w:rPr>
        <w:t xml:space="preserve">feet </w:t>
      </w:r>
      <w:r w:rsidR="00160FD6">
        <w:rPr>
          <w:szCs w:val="26"/>
        </w:rPr>
        <w:t>(</w:t>
      </w:r>
      <w:r w:rsidR="001F17EB">
        <w:rPr>
          <w:szCs w:val="26"/>
        </w:rPr>
        <w:t xml:space="preserve">roughly </w:t>
      </w:r>
      <w:r w:rsidR="00160FD6">
        <w:rPr>
          <w:szCs w:val="26"/>
        </w:rPr>
        <w:t xml:space="preserve">1.3 billion gallons) </w:t>
      </w:r>
      <w:r w:rsidRPr="00306A22">
        <w:rPr>
          <w:szCs w:val="26"/>
        </w:rPr>
        <w:t>of groundwater per year, but as its trees mature, it anticipates it will need as much as 7,000 acre</w:t>
      </w:r>
      <w:r w:rsidR="005E3BA8">
        <w:rPr>
          <w:szCs w:val="26"/>
        </w:rPr>
        <w:noBreakHyphen/>
      </w:r>
      <w:r w:rsidRPr="00306A22">
        <w:rPr>
          <w:szCs w:val="26"/>
        </w:rPr>
        <w:t xml:space="preserve">feet </w:t>
      </w:r>
      <w:r w:rsidR="0066284B">
        <w:rPr>
          <w:szCs w:val="26"/>
        </w:rPr>
        <w:t>(</w:t>
      </w:r>
      <w:r w:rsidR="001F17EB">
        <w:rPr>
          <w:szCs w:val="26"/>
        </w:rPr>
        <w:t xml:space="preserve">about </w:t>
      </w:r>
      <w:r w:rsidR="0066284B">
        <w:rPr>
          <w:szCs w:val="26"/>
        </w:rPr>
        <w:t xml:space="preserve">2.3 billion gallons) </w:t>
      </w:r>
      <w:r w:rsidRPr="00306A22">
        <w:rPr>
          <w:szCs w:val="26"/>
        </w:rPr>
        <w:t>per year.</w:t>
      </w:r>
      <w:r>
        <w:rPr>
          <w:rStyle w:val="FootnoteReference"/>
          <w:szCs w:val="26"/>
        </w:rPr>
        <w:footnoteReference w:id="3"/>
      </w:r>
    </w:p>
    <w:p w:rsidR="00DB4CFE" w:rsidP="00805CE7" w14:paraId="0A7B58C7" w14:textId="161CE6F7">
      <w:pPr>
        <w:spacing w:line="480" w:lineRule="atLeast"/>
        <w:ind w:firstLine="1440"/>
        <w:rPr>
          <w:szCs w:val="26"/>
        </w:rPr>
      </w:pPr>
      <w:r w:rsidRPr="00306A22">
        <w:rPr>
          <w:szCs w:val="26"/>
        </w:rPr>
        <w:t xml:space="preserve">Shortly after Mojave planted its pistachio trees, </w:t>
      </w:r>
      <w:r w:rsidR="0027600E">
        <w:rPr>
          <w:szCs w:val="26"/>
        </w:rPr>
        <w:t>the California</w:t>
      </w:r>
      <w:r w:rsidRPr="00306A22">
        <w:rPr>
          <w:szCs w:val="26"/>
        </w:rPr>
        <w:t xml:space="preserve"> Legislature enacted the Sustainable Groundwater Management Act (Wat. Code,</w:t>
      </w:r>
      <w:r>
        <w:rPr>
          <w:rStyle w:val="FootnoteReference"/>
          <w:szCs w:val="26"/>
        </w:rPr>
        <w:footnoteReference w:id="4"/>
      </w:r>
      <w:r w:rsidRPr="00306A22">
        <w:rPr>
          <w:szCs w:val="26"/>
        </w:rPr>
        <w:t xml:space="preserve"> § 10720 et seq.) (SGMA), which requires the creation of groundwater sustainability plans to manage high priority groundwater basins.  Acting </w:t>
      </w:r>
      <w:r w:rsidR="000C67FC">
        <w:rPr>
          <w:szCs w:val="26"/>
        </w:rPr>
        <w:t xml:space="preserve">pursuant to </w:t>
      </w:r>
      <w:r w:rsidRPr="00306A22">
        <w:rPr>
          <w:szCs w:val="26"/>
        </w:rPr>
        <w:t>that legislation, the local groundwater sustainability agency</w:t>
      </w:r>
      <w:r w:rsidR="00F05CEF">
        <w:rPr>
          <w:szCs w:val="26"/>
        </w:rPr>
        <w:t xml:space="preserve">, </w:t>
      </w:r>
      <w:r w:rsidRPr="00306A22" w:rsidR="00F05CEF">
        <w:rPr>
          <w:szCs w:val="26"/>
        </w:rPr>
        <w:t>Indian Wells Valley Groundwater Authority (the Authority)</w:t>
      </w:r>
      <w:r w:rsidR="00F05CEF">
        <w:rPr>
          <w:szCs w:val="26"/>
        </w:rPr>
        <w:t xml:space="preserve">, </w:t>
      </w:r>
      <w:r w:rsidRPr="00306A22">
        <w:rPr>
          <w:szCs w:val="26"/>
        </w:rPr>
        <w:t xml:space="preserve">determined </w:t>
      </w:r>
      <w:r w:rsidR="00D81144">
        <w:rPr>
          <w:szCs w:val="26"/>
        </w:rPr>
        <w:t xml:space="preserve">that, subject to </w:t>
      </w:r>
      <w:r w:rsidR="00857232">
        <w:rPr>
          <w:szCs w:val="26"/>
        </w:rPr>
        <w:t xml:space="preserve">certain </w:t>
      </w:r>
      <w:r w:rsidR="00280F1B">
        <w:rPr>
          <w:szCs w:val="26"/>
        </w:rPr>
        <w:t xml:space="preserve">exceptions discussed below, </w:t>
      </w:r>
      <w:r w:rsidRPr="00306A22">
        <w:rPr>
          <w:szCs w:val="26"/>
        </w:rPr>
        <w:t>all groundwater extractions in the basin</w:t>
      </w:r>
      <w:r w:rsidR="00280F1B">
        <w:rPr>
          <w:szCs w:val="26"/>
        </w:rPr>
        <w:t xml:space="preserve"> where Mojave’s orchard is located</w:t>
      </w:r>
      <w:r w:rsidRPr="00306A22">
        <w:rPr>
          <w:szCs w:val="26"/>
        </w:rPr>
        <w:t xml:space="preserve"> w</w:t>
      </w:r>
      <w:r w:rsidR="0027600E">
        <w:rPr>
          <w:szCs w:val="26"/>
        </w:rPr>
        <w:t>ould</w:t>
      </w:r>
      <w:r w:rsidRPr="00306A22">
        <w:rPr>
          <w:szCs w:val="26"/>
        </w:rPr>
        <w:t xml:space="preserve"> be subject to a basin replenishment fee of $2,130 per acre</w:t>
      </w:r>
      <w:r w:rsidR="005E3BA8">
        <w:rPr>
          <w:szCs w:val="26"/>
        </w:rPr>
        <w:noBreakHyphen/>
      </w:r>
      <w:r w:rsidRPr="00306A22">
        <w:rPr>
          <w:szCs w:val="26"/>
        </w:rPr>
        <w:t>foot of groundwater starting in 2021.</w:t>
      </w:r>
      <w:r>
        <w:rPr>
          <w:rStyle w:val="FootnoteReference"/>
          <w:szCs w:val="26"/>
        </w:rPr>
        <w:footnoteReference w:id="5"/>
      </w:r>
      <w:r w:rsidRPr="00306A22">
        <w:rPr>
          <w:szCs w:val="26"/>
        </w:rPr>
        <w:t xml:space="preserve">  </w:t>
      </w:r>
    </w:p>
    <w:p w:rsidR="00805CE7" w:rsidRPr="00306A22" w:rsidP="00805CE7" w14:paraId="6676CFB7" w14:textId="5CC7BA94">
      <w:pPr>
        <w:spacing w:line="480" w:lineRule="atLeast"/>
        <w:ind w:firstLine="1440"/>
        <w:rPr>
          <w:szCs w:val="26"/>
        </w:rPr>
      </w:pPr>
      <w:r w:rsidRPr="00306A22">
        <w:rPr>
          <w:szCs w:val="26"/>
        </w:rPr>
        <w:t>Mojave refused to pay th</w:t>
      </w:r>
      <w:r w:rsidR="00DE1C4F">
        <w:rPr>
          <w:szCs w:val="26"/>
        </w:rPr>
        <w:t>e replenishment</w:t>
      </w:r>
      <w:r w:rsidRPr="00306A22">
        <w:rPr>
          <w:szCs w:val="26"/>
        </w:rPr>
        <w:t xml:space="preserve"> fee and filed this lawsuit attacking the </w:t>
      </w:r>
      <w:r w:rsidR="00F05CEF">
        <w:rPr>
          <w:szCs w:val="26"/>
        </w:rPr>
        <w:t>Authority</w:t>
      </w:r>
      <w:r w:rsidRPr="00306A22">
        <w:rPr>
          <w:szCs w:val="26"/>
        </w:rPr>
        <w:t>’s groundwater sustainability plan and related implementing actions</w:t>
      </w:r>
      <w:r w:rsidR="00531B11">
        <w:rPr>
          <w:szCs w:val="26"/>
        </w:rPr>
        <w:t xml:space="preserve">, including the </w:t>
      </w:r>
      <w:r w:rsidR="00822F1D">
        <w:rPr>
          <w:szCs w:val="26"/>
        </w:rPr>
        <w:t xml:space="preserve">imposition of the replenishment </w:t>
      </w:r>
      <w:r w:rsidR="00531B11">
        <w:rPr>
          <w:szCs w:val="26"/>
        </w:rPr>
        <w:t>fee</w:t>
      </w:r>
      <w:r w:rsidRPr="00306A22">
        <w:rPr>
          <w:szCs w:val="26"/>
        </w:rPr>
        <w:t>.</w:t>
      </w:r>
      <w:r w:rsidR="00DB4CFE">
        <w:rPr>
          <w:szCs w:val="26"/>
        </w:rPr>
        <w:t xml:space="preserve">  According to Mojave, </w:t>
      </w:r>
      <w:r w:rsidR="006A53B2">
        <w:rPr>
          <w:szCs w:val="26"/>
        </w:rPr>
        <w:t xml:space="preserve">through those implementing actions, the </w:t>
      </w:r>
      <w:r w:rsidR="00F05CEF">
        <w:rPr>
          <w:szCs w:val="26"/>
        </w:rPr>
        <w:t>Authority</w:t>
      </w:r>
      <w:r w:rsidR="006A53B2">
        <w:rPr>
          <w:szCs w:val="26"/>
        </w:rPr>
        <w:t xml:space="preserve"> violated Mojave’s</w:t>
      </w:r>
      <w:r w:rsidRPr="00306A22" w:rsidR="00284E79">
        <w:rPr>
          <w:szCs w:val="26"/>
        </w:rPr>
        <w:t xml:space="preserve"> vested </w:t>
      </w:r>
      <w:r w:rsidR="000D22A3">
        <w:rPr>
          <w:szCs w:val="26"/>
        </w:rPr>
        <w:t xml:space="preserve">common law </w:t>
      </w:r>
      <w:r w:rsidRPr="00306A22" w:rsidR="00284E79">
        <w:rPr>
          <w:szCs w:val="26"/>
        </w:rPr>
        <w:t xml:space="preserve">water right to pump native groundwater from the </w:t>
      </w:r>
      <w:r w:rsidR="00B77DE4">
        <w:rPr>
          <w:szCs w:val="26"/>
        </w:rPr>
        <w:t>b</w:t>
      </w:r>
      <w:r w:rsidRPr="00306A22" w:rsidR="00284E79">
        <w:rPr>
          <w:szCs w:val="26"/>
        </w:rPr>
        <w:t>asin for use on its land</w:t>
      </w:r>
      <w:r w:rsidR="00857232">
        <w:rPr>
          <w:szCs w:val="26"/>
        </w:rPr>
        <w:t xml:space="preserve"> and then i</w:t>
      </w:r>
      <w:r w:rsidR="00406493">
        <w:rPr>
          <w:szCs w:val="26"/>
        </w:rPr>
        <w:t>llegally made that water available to other users</w:t>
      </w:r>
      <w:r w:rsidR="000D22A3">
        <w:rPr>
          <w:szCs w:val="26"/>
        </w:rPr>
        <w:t>.</w:t>
      </w:r>
    </w:p>
    <w:p w:rsidR="00805CE7" w:rsidRPr="00306A22" w:rsidP="00805CE7" w14:paraId="770B8BE6" w14:textId="7DB68E4C">
      <w:pPr>
        <w:spacing w:line="480" w:lineRule="atLeast"/>
        <w:ind w:firstLine="1440"/>
        <w:rPr>
          <w:szCs w:val="26"/>
        </w:rPr>
      </w:pPr>
      <w:r w:rsidRPr="00306A22">
        <w:rPr>
          <w:szCs w:val="26"/>
        </w:rPr>
        <w:t xml:space="preserve">A series of demurrers followed.  In the most recent round, respondent court sustained the </w:t>
      </w:r>
      <w:r w:rsidR="00F05CEF">
        <w:rPr>
          <w:szCs w:val="26"/>
        </w:rPr>
        <w:t>Authority</w:t>
      </w:r>
      <w:r w:rsidRPr="00306A22">
        <w:rPr>
          <w:szCs w:val="26"/>
        </w:rPr>
        <w:t xml:space="preserve">’s demurrer to certain causes of action in Mojave’s third amended complaint, finding the claims at issue are barred by California’s “pay first, litigate later” rule, which, subject to certain exceptions, </w:t>
      </w:r>
      <w:r w:rsidR="00E91423">
        <w:rPr>
          <w:szCs w:val="26"/>
        </w:rPr>
        <w:t>requires a</w:t>
      </w:r>
      <w:r w:rsidRPr="00306A22" w:rsidR="00E91423">
        <w:rPr>
          <w:szCs w:val="26"/>
        </w:rPr>
        <w:t xml:space="preserve"> taxpayer</w:t>
      </w:r>
      <w:r w:rsidR="00E70BCF">
        <w:rPr>
          <w:szCs w:val="26"/>
        </w:rPr>
        <w:t xml:space="preserve"> to</w:t>
      </w:r>
      <w:r w:rsidRPr="00306A22" w:rsidR="00E91423">
        <w:rPr>
          <w:szCs w:val="26"/>
        </w:rPr>
        <w:t xml:space="preserve"> pay a tax before commencing a court action to challenge </w:t>
      </w:r>
      <w:r w:rsidR="00A73972">
        <w:rPr>
          <w:szCs w:val="26"/>
        </w:rPr>
        <w:t>the tax’s</w:t>
      </w:r>
      <w:r w:rsidRPr="00306A22" w:rsidR="00E91423">
        <w:rPr>
          <w:szCs w:val="26"/>
        </w:rPr>
        <w:t xml:space="preserve"> collection</w:t>
      </w:r>
      <w:r w:rsidRPr="00306A22">
        <w:rPr>
          <w:szCs w:val="26"/>
        </w:rPr>
        <w:t xml:space="preserve">.  The court </w:t>
      </w:r>
      <w:r w:rsidR="001643FA">
        <w:rPr>
          <w:szCs w:val="26"/>
        </w:rPr>
        <w:t>also</w:t>
      </w:r>
      <w:r w:rsidRPr="00306A22">
        <w:rPr>
          <w:szCs w:val="26"/>
        </w:rPr>
        <w:t xml:space="preserve"> concluded Mojave </w:t>
      </w:r>
      <w:r w:rsidR="001643FA">
        <w:rPr>
          <w:szCs w:val="26"/>
        </w:rPr>
        <w:t xml:space="preserve">failed to </w:t>
      </w:r>
      <w:r w:rsidRPr="00306A22">
        <w:rPr>
          <w:szCs w:val="26"/>
        </w:rPr>
        <w:t>allege facts sufficient to support its takings causes of action.</w:t>
      </w:r>
    </w:p>
    <w:p w:rsidR="00496EAD" w:rsidP="00E13906" w14:paraId="1330EC04" w14:textId="756D9DCA">
      <w:pPr>
        <w:spacing w:line="480" w:lineRule="atLeast"/>
        <w:ind w:firstLine="1440"/>
        <w:rPr>
          <w:szCs w:val="26"/>
        </w:rPr>
      </w:pPr>
      <w:r w:rsidRPr="00306A22">
        <w:rPr>
          <w:szCs w:val="26"/>
        </w:rPr>
        <w:t>Mojave petition</w:t>
      </w:r>
      <w:r w:rsidR="00A73972">
        <w:rPr>
          <w:szCs w:val="26"/>
        </w:rPr>
        <w:t>ed this court</w:t>
      </w:r>
      <w:r w:rsidRPr="00306A22">
        <w:rPr>
          <w:szCs w:val="26"/>
        </w:rPr>
        <w:t xml:space="preserve"> </w:t>
      </w:r>
      <w:r w:rsidRPr="0085786D">
        <w:rPr>
          <w:szCs w:val="26"/>
        </w:rPr>
        <w:t xml:space="preserve">for a writ of mandate </w:t>
      </w:r>
      <w:r w:rsidRPr="0085786D" w:rsidR="0085786D">
        <w:rPr>
          <w:szCs w:val="26"/>
        </w:rPr>
        <w:t>overruling</w:t>
      </w:r>
      <w:r w:rsidRPr="0085786D">
        <w:rPr>
          <w:szCs w:val="26"/>
        </w:rPr>
        <w:t xml:space="preserve"> respondent </w:t>
      </w:r>
      <w:r w:rsidRPr="00306A22">
        <w:rPr>
          <w:szCs w:val="26"/>
        </w:rPr>
        <w:t xml:space="preserve">court’s order sustaining the demurrer.  </w:t>
      </w:r>
      <w:r w:rsidR="009D7E44">
        <w:rPr>
          <w:szCs w:val="26"/>
        </w:rPr>
        <w:t xml:space="preserve">As </w:t>
      </w:r>
      <w:r w:rsidR="00CA3B3F">
        <w:rPr>
          <w:szCs w:val="26"/>
        </w:rPr>
        <w:t>a</w:t>
      </w:r>
      <w:r>
        <w:rPr>
          <w:szCs w:val="26"/>
        </w:rPr>
        <w:t xml:space="preserve"> matter of first impression</w:t>
      </w:r>
      <w:r w:rsidR="009D7E44">
        <w:rPr>
          <w:szCs w:val="26"/>
        </w:rPr>
        <w:t xml:space="preserve">, we conclude the </w:t>
      </w:r>
      <w:r w:rsidR="0027600E">
        <w:rPr>
          <w:szCs w:val="26"/>
        </w:rPr>
        <w:t>well</w:t>
      </w:r>
      <w:r w:rsidR="0027600E">
        <w:rPr>
          <w:szCs w:val="26"/>
        </w:rPr>
        <w:noBreakHyphen/>
        <w:t xml:space="preserve">established </w:t>
      </w:r>
      <w:r w:rsidR="009D7E44">
        <w:rPr>
          <w:szCs w:val="26"/>
        </w:rPr>
        <w:t xml:space="preserve">“pay first” rule </w:t>
      </w:r>
      <w:r w:rsidRPr="00306A22" w:rsidR="00A12B1F">
        <w:rPr>
          <w:color w:val="000000" w:themeColor="text1"/>
          <w:szCs w:val="26"/>
        </w:rPr>
        <w:t>applies to lawsuits challenging fees imposed by a local groundwater sustainability agency under SGMA</w:t>
      </w:r>
      <w:r w:rsidR="00ED6FEC">
        <w:rPr>
          <w:color w:val="000000" w:themeColor="text1"/>
          <w:szCs w:val="26"/>
        </w:rPr>
        <w:t xml:space="preserve">.  Because </w:t>
      </w:r>
      <w:r w:rsidR="00D165D6">
        <w:rPr>
          <w:color w:val="000000" w:themeColor="text1"/>
          <w:szCs w:val="26"/>
        </w:rPr>
        <w:t xml:space="preserve">any alleged economic </w:t>
      </w:r>
      <w:r w:rsidR="003E15A7">
        <w:rPr>
          <w:color w:val="000000" w:themeColor="text1"/>
          <w:szCs w:val="26"/>
        </w:rPr>
        <w:t>harm</w:t>
      </w:r>
      <w:r w:rsidR="00D165D6">
        <w:rPr>
          <w:color w:val="000000" w:themeColor="text1"/>
          <w:szCs w:val="26"/>
        </w:rPr>
        <w:t xml:space="preserve"> to Mojave stems from the imposition of th</w:t>
      </w:r>
      <w:r w:rsidR="009A3C99">
        <w:rPr>
          <w:color w:val="000000" w:themeColor="text1"/>
          <w:szCs w:val="26"/>
        </w:rPr>
        <w:t>e rep</w:t>
      </w:r>
      <w:r w:rsidR="0027600E">
        <w:rPr>
          <w:color w:val="000000" w:themeColor="text1"/>
          <w:szCs w:val="26"/>
        </w:rPr>
        <w:t>lenishment</w:t>
      </w:r>
      <w:r w:rsidR="009A3C99">
        <w:rPr>
          <w:color w:val="000000" w:themeColor="text1"/>
          <w:szCs w:val="26"/>
        </w:rPr>
        <w:t xml:space="preserve"> fee, </w:t>
      </w:r>
      <w:r w:rsidR="001B5D99">
        <w:rPr>
          <w:color w:val="000000" w:themeColor="text1"/>
          <w:szCs w:val="26"/>
        </w:rPr>
        <w:t xml:space="preserve">we further conclude </w:t>
      </w:r>
      <w:r w:rsidR="009A3C99">
        <w:rPr>
          <w:color w:val="000000" w:themeColor="text1"/>
          <w:szCs w:val="26"/>
        </w:rPr>
        <w:t xml:space="preserve">the “pay first” rule bars the </w:t>
      </w:r>
      <w:r w:rsidR="009D7E44">
        <w:rPr>
          <w:szCs w:val="26"/>
        </w:rPr>
        <w:t>challenged causes of action.</w:t>
      </w:r>
    </w:p>
    <w:p w:rsidR="003E15A7" w:rsidP="000703A9" w14:paraId="6FDDE575" w14:textId="35AF7C4A">
      <w:pPr>
        <w:spacing w:line="480" w:lineRule="atLeast"/>
        <w:ind w:firstLine="1440"/>
        <w:rPr>
          <w:szCs w:val="26"/>
        </w:rPr>
      </w:pPr>
      <w:r>
        <w:rPr>
          <w:szCs w:val="26"/>
        </w:rPr>
        <w:t xml:space="preserve">We </w:t>
      </w:r>
      <w:r w:rsidR="008C38FB">
        <w:rPr>
          <w:szCs w:val="26"/>
        </w:rPr>
        <w:t>recognize the application of the “pay first” rule</w:t>
      </w:r>
      <w:r w:rsidR="00161DE6">
        <w:rPr>
          <w:szCs w:val="26"/>
        </w:rPr>
        <w:t xml:space="preserve"> </w:t>
      </w:r>
      <w:r w:rsidR="005F3B5C">
        <w:rPr>
          <w:szCs w:val="26"/>
        </w:rPr>
        <w:t>may</w:t>
      </w:r>
      <w:r w:rsidR="00161DE6">
        <w:rPr>
          <w:szCs w:val="26"/>
        </w:rPr>
        <w:t xml:space="preserve"> at times seem </w:t>
      </w:r>
      <w:r w:rsidR="00DE5F90">
        <w:rPr>
          <w:szCs w:val="26"/>
        </w:rPr>
        <w:t>D</w:t>
      </w:r>
      <w:r w:rsidR="00161DE6">
        <w:rPr>
          <w:szCs w:val="26"/>
        </w:rPr>
        <w:t xml:space="preserve">raconian, and the </w:t>
      </w:r>
      <w:r w:rsidR="00114A1E">
        <w:rPr>
          <w:szCs w:val="26"/>
        </w:rPr>
        <w:t>positions of both parties</w:t>
      </w:r>
      <w:r w:rsidR="0027600E">
        <w:rPr>
          <w:szCs w:val="26"/>
        </w:rPr>
        <w:t xml:space="preserve"> have </w:t>
      </w:r>
      <w:r w:rsidRPr="006C5082" w:rsidR="0027600E">
        <w:rPr>
          <w:szCs w:val="26"/>
        </w:rPr>
        <w:t>arguable</w:t>
      </w:r>
      <w:r w:rsidR="0027600E">
        <w:rPr>
          <w:szCs w:val="26"/>
        </w:rPr>
        <w:t xml:space="preserve"> merit</w:t>
      </w:r>
      <w:r w:rsidR="00114A1E">
        <w:rPr>
          <w:szCs w:val="26"/>
        </w:rPr>
        <w:t xml:space="preserve">.  </w:t>
      </w:r>
      <w:r w:rsidRPr="00306A22" w:rsidR="00114A1E">
        <w:rPr>
          <w:szCs w:val="26"/>
        </w:rPr>
        <w:t>On the o</w:t>
      </w:r>
      <w:r w:rsidR="00114A1E">
        <w:rPr>
          <w:szCs w:val="26"/>
        </w:rPr>
        <w:t>ne</w:t>
      </w:r>
      <w:r w:rsidRPr="00306A22" w:rsidR="00114A1E">
        <w:rPr>
          <w:szCs w:val="26"/>
        </w:rPr>
        <w:t xml:space="preserve"> hand, we have farmers </w:t>
      </w:r>
      <w:r w:rsidR="00314F76">
        <w:rPr>
          <w:szCs w:val="26"/>
        </w:rPr>
        <w:t xml:space="preserve">who have invested significant funds to </w:t>
      </w:r>
      <w:r w:rsidR="008767F4">
        <w:rPr>
          <w:szCs w:val="26"/>
        </w:rPr>
        <w:t>plant</w:t>
      </w:r>
      <w:r w:rsidR="00314F76">
        <w:rPr>
          <w:szCs w:val="26"/>
        </w:rPr>
        <w:t xml:space="preserve"> their crops</w:t>
      </w:r>
      <w:r w:rsidR="00B87A60">
        <w:rPr>
          <w:szCs w:val="26"/>
        </w:rPr>
        <w:t>;</w:t>
      </w:r>
      <w:r w:rsidRPr="00306A22" w:rsidR="00114A1E">
        <w:rPr>
          <w:szCs w:val="26"/>
        </w:rPr>
        <w:t xml:space="preserve"> who claim to have enjoyed the benefits of free groundwater for decades</w:t>
      </w:r>
      <w:r w:rsidR="000C67FC">
        <w:rPr>
          <w:szCs w:val="26"/>
        </w:rPr>
        <w:t>;</w:t>
      </w:r>
      <w:r w:rsidRPr="00306A22" w:rsidR="00114A1E">
        <w:rPr>
          <w:szCs w:val="26"/>
        </w:rPr>
        <w:t xml:space="preserve"> </w:t>
      </w:r>
      <w:r w:rsidR="00F14A10">
        <w:rPr>
          <w:szCs w:val="26"/>
        </w:rPr>
        <w:t xml:space="preserve">who </w:t>
      </w:r>
      <w:r w:rsidR="005F3B5C">
        <w:rPr>
          <w:szCs w:val="26"/>
        </w:rPr>
        <w:t>may be required</w:t>
      </w:r>
      <w:r w:rsidRPr="00306A22" w:rsidR="00114A1E">
        <w:rPr>
          <w:szCs w:val="26"/>
        </w:rPr>
        <w:t xml:space="preserve"> to pay millions of dollars </w:t>
      </w:r>
      <w:r w:rsidR="000C67FC">
        <w:rPr>
          <w:szCs w:val="26"/>
        </w:rPr>
        <w:t xml:space="preserve">in fees </w:t>
      </w:r>
      <w:r w:rsidRPr="00306A22" w:rsidR="00114A1E">
        <w:rPr>
          <w:szCs w:val="26"/>
        </w:rPr>
        <w:t xml:space="preserve">annually for what </w:t>
      </w:r>
      <w:r w:rsidR="00BB0224">
        <w:rPr>
          <w:szCs w:val="26"/>
        </w:rPr>
        <w:t>had</w:t>
      </w:r>
      <w:r w:rsidR="005F3B5C">
        <w:rPr>
          <w:szCs w:val="26"/>
        </w:rPr>
        <w:t xml:space="preserve"> historically</w:t>
      </w:r>
      <w:r w:rsidR="00BB0224">
        <w:rPr>
          <w:szCs w:val="26"/>
        </w:rPr>
        <w:t xml:space="preserve"> been</w:t>
      </w:r>
      <w:r w:rsidRPr="00306A22" w:rsidR="00114A1E">
        <w:rPr>
          <w:szCs w:val="26"/>
        </w:rPr>
        <w:t xml:space="preserve"> free</w:t>
      </w:r>
      <w:r w:rsidR="000C67FC">
        <w:rPr>
          <w:szCs w:val="26"/>
        </w:rPr>
        <w:t>;</w:t>
      </w:r>
      <w:r w:rsidR="00F14A10">
        <w:rPr>
          <w:szCs w:val="26"/>
        </w:rPr>
        <w:t xml:space="preserve"> and who </w:t>
      </w:r>
      <w:r w:rsidR="00BB0224">
        <w:rPr>
          <w:szCs w:val="26"/>
        </w:rPr>
        <w:t>are legally barred from</w:t>
      </w:r>
      <w:r w:rsidR="00F14A10">
        <w:rPr>
          <w:szCs w:val="26"/>
        </w:rPr>
        <w:t xml:space="preserve"> litigat</w:t>
      </w:r>
      <w:r w:rsidR="00BB0224">
        <w:rPr>
          <w:szCs w:val="26"/>
        </w:rPr>
        <w:t>ing</w:t>
      </w:r>
      <w:r w:rsidR="00F14A10">
        <w:rPr>
          <w:szCs w:val="26"/>
        </w:rPr>
        <w:t xml:space="preserve"> the propriety </w:t>
      </w:r>
      <w:r w:rsidR="000703A9">
        <w:rPr>
          <w:szCs w:val="26"/>
        </w:rPr>
        <w:t>of th</w:t>
      </w:r>
      <w:r w:rsidR="000C67FC">
        <w:rPr>
          <w:szCs w:val="26"/>
        </w:rPr>
        <w:t>ose</w:t>
      </w:r>
      <w:r w:rsidR="000703A9">
        <w:rPr>
          <w:szCs w:val="26"/>
        </w:rPr>
        <w:t xml:space="preserve"> fee</w:t>
      </w:r>
      <w:r w:rsidR="000C67FC">
        <w:rPr>
          <w:szCs w:val="26"/>
        </w:rPr>
        <w:t>s</w:t>
      </w:r>
      <w:r w:rsidR="000703A9">
        <w:rPr>
          <w:szCs w:val="26"/>
        </w:rPr>
        <w:t xml:space="preserve"> due to their failure to pay </w:t>
      </w:r>
      <w:r w:rsidR="00F91127">
        <w:rPr>
          <w:szCs w:val="26"/>
        </w:rPr>
        <w:t>them</w:t>
      </w:r>
      <w:r w:rsidR="00BB0224">
        <w:rPr>
          <w:szCs w:val="26"/>
        </w:rPr>
        <w:t xml:space="preserve"> up front</w:t>
      </w:r>
      <w:r w:rsidRPr="00306A22" w:rsidR="00114A1E">
        <w:rPr>
          <w:szCs w:val="26"/>
        </w:rPr>
        <w:t xml:space="preserve">.  </w:t>
      </w:r>
      <w:r w:rsidR="000703A9">
        <w:rPr>
          <w:szCs w:val="26"/>
        </w:rPr>
        <w:t>On the other</w:t>
      </w:r>
      <w:r w:rsidRPr="00306A22" w:rsidR="00496EAD">
        <w:rPr>
          <w:szCs w:val="26"/>
        </w:rPr>
        <w:t xml:space="preserve"> hand, we have a local water agency that has been </w:t>
      </w:r>
      <w:r w:rsidR="00BB0224">
        <w:rPr>
          <w:szCs w:val="26"/>
        </w:rPr>
        <w:t>assigned</w:t>
      </w:r>
      <w:r w:rsidRPr="00306A22" w:rsidR="00496EAD">
        <w:rPr>
          <w:szCs w:val="26"/>
        </w:rPr>
        <w:t xml:space="preserve"> </w:t>
      </w:r>
      <w:r w:rsidR="000703A9">
        <w:rPr>
          <w:szCs w:val="26"/>
        </w:rPr>
        <w:t xml:space="preserve">the </w:t>
      </w:r>
      <w:r w:rsidR="00DE5F90">
        <w:rPr>
          <w:szCs w:val="26"/>
        </w:rPr>
        <w:t>H</w:t>
      </w:r>
      <w:r w:rsidR="00BB0224">
        <w:rPr>
          <w:szCs w:val="26"/>
        </w:rPr>
        <w:t>erculean</w:t>
      </w:r>
      <w:r w:rsidR="000703A9">
        <w:rPr>
          <w:szCs w:val="26"/>
        </w:rPr>
        <w:t xml:space="preserve"> </w:t>
      </w:r>
      <w:r w:rsidR="00BB0224">
        <w:rPr>
          <w:szCs w:val="26"/>
        </w:rPr>
        <w:t>task</w:t>
      </w:r>
      <w:r w:rsidR="000C67FC">
        <w:rPr>
          <w:szCs w:val="26"/>
        </w:rPr>
        <w:t>s</w:t>
      </w:r>
      <w:r w:rsidR="00DD3343">
        <w:rPr>
          <w:szCs w:val="26"/>
        </w:rPr>
        <w:t xml:space="preserve"> of creating </w:t>
      </w:r>
      <w:r w:rsidRPr="00306A22" w:rsidR="00496EAD">
        <w:rPr>
          <w:szCs w:val="26"/>
        </w:rPr>
        <w:t xml:space="preserve">a groundwater sustainability plan for </w:t>
      </w:r>
      <w:r w:rsidR="005F3B5C">
        <w:rPr>
          <w:szCs w:val="26"/>
        </w:rPr>
        <w:t>what the record suggest</w:t>
      </w:r>
      <w:r w:rsidR="006D2442">
        <w:rPr>
          <w:szCs w:val="26"/>
        </w:rPr>
        <w:t>s</w:t>
      </w:r>
      <w:r w:rsidR="005F3B5C">
        <w:rPr>
          <w:szCs w:val="26"/>
        </w:rPr>
        <w:t xml:space="preserve"> is an</w:t>
      </w:r>
      <w:r w:rsidRPr="00306A22" w:rsidR="00496EAD">
        <w:rPr>
          <w:szCs w:val="26"/>
        </w:rPr>
        <w:t xml:space="preserve"> overdrafted basin</w:t>
      </w:r>
      <w:r w:rsidR="000C67FC">
        <w:rPr>
          <w:szCs w:val="26"/>
        </w:rPr>
        <w:t>;</w:t>
      </w:r>
      <w:r w:rsidR="005F3B5C">
        <w:rPr>
          <w:szCs w:val="26"/>
        </w:rPr>
        <w:t xml:space="preserve"> </w:t>
      </w:r>
      <w:r w:rsidRPr="00630291" w:rsidR="005F3B5C">
        <w:rPr>
          <w:szCs w:val="26"/>
        </w:rPr>
        <w:t>fairly</w:t>
      </w:r>
      <w:r w:rsidRPr="00306A22" w:rsidR="00496EAD">
        <w:rPr>
          <w:szCs w:val="26"/>
        </w:rPr>
        <w:t xml:space="preserve"> </w:t>
      </w:r>
      <w:r w:rsidR="00BB0224">
        <w:rPr>
          <w:szCs w:val="26"/>
        </w:rPr>
        <w:t>allocating</w:t>
      </w:r>
      <w:r w:rsidRPr="00306A22" w:rsidR="00496EAD">
        <w:rPr>
          <w:szCs w:val="26"/>
        </w:rPr>
        <w:t xml:space="preserve"> </w:t>
      </w:r>
      <w:r w:rsidR="00DD3343">
        <w:rPr>
          <w:szCs w:val="26"/>
        </w:rPr>
        <w:t xml:space="preserve">a limited </w:t>
      </w:r>
      <w:r w:rsidR="005F3B5C">
        <w:rPr>
          <w:szCs w:val="26"/>
        </w:rPr>
        <w:t>amount</w:t>
      </w:r>
      <w:r w:rsidRPr="00306A22" w:rsidR="00496EAD">
        <w:rPr>
          <w:szCs w:val="26"/>
        </w:rPr>
        <w:t xml:space="preserve"> of groundwater between a number of competing users</w:t>
      </w:r>
      <w:r w:rsidR="000C67FC">
        <w:rPr>
          <w:szCs w:val="26"/>
        </w:rPr>
        <w:t>;</w:t>
      </w:r>
      <w:r w:rsidRPr="00306A22" w:rsidR="00496EAD">
        <w:rPr>
          <w:szCs w:val="26"/>
        </w:rPr>
        <w:t xml:space="preserve"> and </w:t>
      </w:r>
      <w:r w:rsidR="00BB0224">
        <w:rPr>
          <w:szCs w:val="26"/>
        </w:rPr>
        <w:t xml:space="preserve">calculating </w:t>
      </w:r>
      <w:r w:rsidR="00E22FF9">
        <w:rPr>
          <w:szCs w:val="26"/>
        </w:rPr>
        <w:t>an equitable</w:t>
      </w:r>
      <w:r w:rsidRPr="00306A22" w:rsidR="00496EAD">
        <w:rPr>
          <w:szCs w:val="26"/>
        </w:rPr>
        <w:t xml:space="preserve"> way to </w:t>
      </w:r>
      <w:r w:rsidR="00CD0035">
        <w:rPr>
          <w:szCs w:val="26"/>
        </w:rPr>
        <w:t>fund the importation of water</w:t>
      </w:r>
      <w:r w:rsidR="008B1718">
        <w:rPr>
          <w:szCs w:val="26"/>
        </w:rPr>
        <w:t xml:space="preserve"> </w:t>
      </w:r>
      <w:r w:rsidR="00DD3343">
        <w:rPr>
          <w:szCs w:val="26"/>
        </w:rPr>
        <w:t>from other sources</w:t>
      </w:r>
      <w:r w:rsidRPr="00306A22" w:rsidR="00496EAD">
        <w:rPr>
          <w:szCs w:val="26"/>
        </w:rPr>
        <w:t>.</w:t>
      </w:r>
      <w:r w:rsidR="00DD3343">
        <w:rPr>
          <w:szCs w:val="26"/>
        </w:rPr>
        <w:t xml:space="preserve">  </w:t>
      </w:r>
    </w:p>
    <w:p w:rsidR="00496EAD" w:rsidP="000703A9" w14:paraId="2C09631A" w14:textId="64050960">
      <w:pPr>
        <w:spacing w:line="480" w:lineRule="atLeast"/>
        <w:ind w:firstLine="1440"/>
        <w:rPr>
          <w:szCs w:val="26"/>
        </w:rPr>
      </w:pPr>
      <w:r>
        <w:rPr>
          <w:szCs w:val="26"/>
        </w:rPr>
        <w:t xml:space="preserve">While we </w:t>
      </w:r>
      <w:r w:rsidR="008B1718">
        <w:rPr>
          <w:szCs w:val="26"/>
        </w:rPr>
        <w:t xml:space="preserve">appreciate the arguments made by </w:t>
      </w:r>
      <w:r>
        <w:rPr>
          <w:szCs w:val="26"/>
        </w:rPr>
        <w:t xml:space="preserve">both sides, </w:t>
      </w:r>
      <w:r w:rsidR="00E94CC9">
        <w:rPr>
          <w:szCs w:val="26"/>
        </w:rPr>
        <w:t xml:space="preserve">we conclude on balance that </w:t>
      </w:r>
      <w:r>
        <w:rPr>
          <w:szCs w:val="26"/>
        </w:rPr>
        <w:t>o</w:t>
      </w:r>
      <w:r w:rsidR="00EB21DD">
        <w:rPr>
          <w:szCs w:val="26"/>
        </w:rPr>
        <w:t>ur Constitution</w:t>
      </w:r>
      <w:r w:rsidR="00E94CC9">
        <w:rPr>
          <w:szCs w:val="26"/>
        </w:rPr>
        <w:t>,</w:t>
      </w:r>
      <w:r w:rsidR="00EB21DD">
        <w:rPr>
          <w:szCs w:val="26"/>
        </w:rPr>
        <w:t xml:space="preserve"> </w:t>
      </w:r>
      <w:r>
        <w:rPr>
          <w:szCs w:val="26"/>
        </w:rPr>
        <w:t>SGMA</w:t>
      </w:r>
      <w:r w:rsidR="00E94CC9">
        <w:rPr>
          <w:szCs w:val="26"/>
        </w:rPr>
        <w:t xml:space="preserve">, and </w:t>
      </w:r>
      <w:r w:rsidR="006C5082">
        <w:rPr>
          <w:szCs w:val="26"/>
        </w:rPr>
        <w:t xml:space="preserve">sound </w:t>
      </w:r>
      <w:r w:rsidR="00E94CC9">
        <w:rPr>
          <w:szCs w:val="26"/>
        </w:rPr>
        <w:t xml:space="preserve">public policy </w:t>
      </w:r>
      <w:r>
        <w:rPr>
          <w:szCs w:val="26"/>
        </w:rPr>
        <w:t xml:space="preserve">require </w:t>
      </w:r>
      <w:r w:rsidR="0059514F">
        <w:rPr>
          <w:szCs w:val="26"/>
        </w:rPr>
        <w:t xml:space="preserve">a water user </w:t>
      </w:r>
      <w:r w:rsidR="003E15A7">
        <w:rPr>
          <w:szCs w:val="26"/>
        </w:rPr>
        <w:t>to</w:t>
      </w:r>
      <w:r w:rsidR="0059514F">
        <w:rPr>
          <w:szCs w:val="26"/>
        </w:rPr>
        <w:t xml:space="preserve"> </w:t>
      </w:r>
      <w:r w:rsidR="003E15A7">
        <w:rPr>
          <w:szCs w:val="26"/>
        </w:rPr>
        <w:t>p</w:t>
      </w:r>
      <w:r w:rsidR="0059514F">
        <w:rPr>
          <w:szCs w:val="26"/>
        </w:rPr>
        <w:t xml:space="preserve">ay any </w:t>
      </w:r>
      <w:r w:rsidR="00841C27">
        <w:rPr>
          <w:szCs w:val="26"/>
        </w:rPr>
        <w:t xml:space="preserve">outstanding </w:t>
      </w:r>
      <w:r w:rsidR="0059514F">
        <w:rPr>
          <w:szCs w:val="26"/>
        </w:rPr>
        <w:t xml:space="preserve">fee imposed under SGMA </w:t>
      </w:r>
      <w:r w:rsidRPr="00E22FF9" w:rsidR="0059514F">
        <w:rPr>
          <w:szCs w:val="26"/>
        </w:rPr>
        <w:t xml:space="preserve">before </w:t>
      </w:r>
      <w:r w:rsidRPr="00306A22" w:rsidR="00A12B1F">
        <w:rPr>
          <w:szCs w:val="26"/>
        </w:rPr>
        <w:t xml:space="preserve">commencing a court action to challenge </w:t>
      </w:r>
      <w:r w:rsidR="00A12B1F">
        <w:rPr>
          <w:szCs w:val="26"/>
        </w:rPr>
        <w:t xml:space="preserve">the </w:t>
      </w:r>
      <w:r w:rsidR="00841C27">
        <w:rPr>
          <w:szCs w:val="26"/>
        </w:rPr>
        <w:t xml:space="preserve">fee and obtain a refund.  </w:t>
      </w:r>
      <w:r w:rsidR="00E94CC9">
        <w:rPr>
          <w:szCs w:val="26"/>
        </w:rPr>
        <w:t>We therefore deny the requested writ relief.</w:t>
      </w:r>
    </w:p>
    <w:p w:rsidR="004326FA" w:rsidP="00E03C31" w14:paraId="3BA8F1A9" w14:textId="30437F9C">
      <w:pPr>
        <w:keepNext/>
        <w:tabs>
          <w:tab w:val="left" w:pos="1440"/>
          <w:tab w:val="left" w:pos="2880"/>
          <w:tab w:val="left" w:pos="4320"/>
          <w:tab w:val="left" w:pos="5760"/>
          <w:tab w:val="left" w:pos="7200"/>
          <w:tab w:val="left" w:pos="8640"/>
        </w:tabs>
        <w:spacing w:before="240" w:line="480" w:lineRule="atLeast"/>
        <w:jc w:val="center"/>
      </w:pPr>
      <w:r>
        <w:rPr>
          <w:b/>
        </w:rPr>
        <w:t>FACTS</w:t>
      </w:r>
    </w:p>
    <w:p w:rsidR="00551E1D" w:rsidRPr="00306A22" w:rsidP="008B1718" w14:paraId="5F50D523" w14:textId="07A589A7">
      <w:pPr>
        <w:keepNext/>
        <w:spacing w:line="480" w:lineRule="atLeast"/>
        <w:ind w:firstLine="720"/>
        <w:rPr>
          <w:szCs w:val="26"/>
        </w:rPr>
      </w:pPr>
      <w:r w:rsidRPr="00306A22">
        <w:rPr>
          <w:szCs w:val="26"/>
        </w:rPr>
        <w:t xml:space="preserve">1. </w:t>
      </w:r>
      <w:r w:rsidRPr="00306A22">
        <w:rPr>
          <w:szCs w:val="26"/>
        </w:rPr>
        <w:tab/>
      </w:r>
      <w:r w:rsidRPr="00306A22">
        <w:rPr>
          <w:i/>
          <w:iCs/>
          <w:szCs w:val="26"/>
        </w:rPr>
        <w:t>The Indian Wells Valley Groundwater Basin</w:t>
      </w:r>
    </w:p>
    <w:p w:rsidR="00551E1D" w:rsidRPr="00306A22" w:rsidP="00551E1D" w14:paraId="3B0D9594" w14:textId="0298A68A">
      <w:pPr>
        <w:spacing w:line="480" w:lineRule="atLeast"/>
        <w:ind w:firstLine="1440"/>
        <w:rPr>
          <w:szCs w:val="26"/>
        </w:rPr>
      </w:pPr>
      <w:r w:rsidRPr="00306A22">
        <w:rPr>
          <w:szCs w:val="26"/>
        </w:rPr>
        <w:t>There are hundreds of designated groundwater basins and subbasins throughout California, underlying about 62,000 square miles (42 percent) of the state.  The groundwater in these basins is a major part of California’s water supply, providing close to 40 percent of the state’s supply during wet years and up to 60 percent in dry years.</w:t>
      </w:r>
      <w:r>
        <w:rPr>
          <w:rStyle w:val="FootnoteReference"/>
          <w:szCs w:val="26"/>
        </w:rPr>
        <w:footnoteReference w:id="6"/>
      </w:r>
    </w:p>
    <w:p w:rsidR="00551E1D" w:rsidRPr="00306A22" w:rsidP="00551E1D" w14:paraId="13301DE5" w14:textId="08D1EFD9">
      <w:pPr>
        <w:spacing w:line="480" w:lineRule="atLeast"/>
        <w:ind w:firstLine="1440"/>
        <w:rPr>
          <w:szCs w:val="26"/>
        </w:rPr>
      </w:pPr>
      <w:r w:rsidRPr="00306A22">
        <w:rPr>
          <w:szCs w:val="26"/>
        </w:rPr>
        <w:t xml:space="preserve">According to the Department of Water Resources, </w:t>
      </w:r>
      <w:r w:rsidR="008B1718">
        <w:rPr>
          <w:szCs w:val="26"/>
        </w:rPr>
        <w:t>many</w:t>
      </w:r>
      <w:r w:rsidRPr="00306A22">
        <w:rPr>
          <w:szCs w:val="26"/>
        </w:rPr>
        <w:t xml:space="preserve"> of California’s groundwater basins are critically overdrafted, meaning </w:t>
      </w:r>
      <w:r w:rsidR="008B17A9">
        <w:rPr>
          <w:szCs w:val="26"/>
        </w:rPr>
        <w:t>“</w:t>
      </w:r>
      <w:r w:rsidRPr="00306A22">
        <w:rPr>
          <w:szCs w:val="26"/>
        </w:rPr>
        <w:t xml:space="preserve">the average annual amount of groundwater extraction exceeds the long-term average annual </w:t>
      </w:r>
      <w:r w:rsidR="008B17A9">
        <w:rPr>
          <w:szCs w:val="26"/>
        </w:rPr>
        <w:t>supply</w:t>
      </w:r>
      <w:r w:rsidRPr="00306A22">
        <w:rPr>
          <w:szCs w:val="26"/>
        </w:rPr>
        <w:t xml:space="preserve"> of water</w:t>
      </w:r>
      <w:r w:rsidR="008B17A9">
        <w:rPr>
          <w:szCs w:val="26"/>
        </w:rPr>
        <w:t xml:space="preserve"> to the basin</w:t>
      </w:r>
      <w:r w:rsidRPr="00306A22">
        <w:rPr>
          <w:szCs w:val="26"/>
        </w:rPr>
        <w:t>.  Effects of overdraft can include seawater intrusion, land subsidence, groundwater depletion, and chronic lowering of groundwater levels.</w:t>
      </w:r>
      <w:r w:rsidR="00B77DE4">
        <w:rPr>
          <w:szCs w:val="26"/>
        </w:rPr>
        <w:t>”</w:t>
      </w:r>
      <w:r>
        <w:rPr>
          <w:rStyle w:val="FootnoteReference"/>
          <w:szCs w:val="26"/>
        </w:rPr>
        <w:footnoteReference w:id="7"/>
      </w:r>
    </w:p>
    <w:p w:rsidR="00551E1D" w:rsidRPr="00306A22" w:rsidP="00551E1D" w14:paraId="37F7867A" w14:textId="3B0B48A7">
      <w:pPr>
        <w:spacing w:line="480" w:lineRule="atLeast"/>
        <w:ind w:firstLine="1440"/>
        <w:rPr>
          <w:szCs w:val="26"/>
        </w:rPr>
      </w:pPr>
      <w:r>
        <w:rPr>
          <w:szCs w:val="26"/>
        </w:rPr>
        <w:t xml:space="preserve">The Department of </w:t>
      </w:r>
      <w:r w:rsidR="006D2442">
        <w:rPr>
          <w:szCs w:val="26"/>
        </w:rPr>
        <w:t>W</w:t>
      </w:r>
      <w:r>
        <w:rPr>
          <w:szCs w:val="26"/>
        </w:rPr>
        <w:t xml:space="preserve">ater </w:t>
      </w:r>
      <w:r w:rsidR="006D2442">
        <w:rPr>
          <w:szCs w:val="26"/>
        </w:rPr>
        <w:t>R</w:t>
      </w:r>
      <w:r>
        <w:rPr>
          <w:szCs w:val="26"/>
        </w:rPr>
        <w:t>esources has concluded t</w:t>
      </w:r>
      <w:r w:rsidRPr="00306A22">
        <w:rPr>
          <w:szCs w:val="26"/>
        </w:rPr>
        <w:t xml:space="preserve">he Indian Wells Valley Groundwater Basin (the Basin) is </w:t>
      </w:r>
      <w:r w:rsidR="008B1718">
        <w:rPr>
          <w:szCs w:val="26"/>
        </w:rPr>
        <w:t>an</w:t>
      </w:r>
      <w:r w:rsidRPr="00306A22">
        <w:rPr>
          <w:szCs w:val="26"/>
        </w:rPr>
        <w:t xml:space="preserve"> overdrafted groundwater basin.  </w:t>
      </w:r>
      <w:r w:rsidR="00CD0035">
        <w:rPr>
          <w:szCs w:val="26"/>
        </w:rPr>
        <w:t>L</w:t>
      </w:r>
      <w:r w:rsidRPr="00306A22">
        <w:rPr>
          <w:szCs w:val="26"/>
        </w:rPr>
        <w:t>ocated in the northwestern part of the Mojave Desert to the east of the Sierra Nevada</w:t>
      </w:r>
      <w:r w:rsidR="00A97F29">
        <w:rPr>
          <w:szCs w:val="26"/>
        </w:rPr>
        <w:t xml:space="preserve"> Mountains</w:t>
      </w:r>
      <w:r w:rsidR="00CD0035">
        <w:rPr>
          <w:szCs w:val="26"/>
        </w:rPr>
        <w:t>,</w:t>
      </w:r>
      <w:r w:rsidRPr="00306A22">
        <w:rPr>
          <w:szCs w:val="26"/>
        </w:rPr>
        <w:t xml:space="preserve"> </w:t>
      </w:r>
      <w:r w:rsidR="000C67FC">
        <w:rPr>
          <w:szCs w:val="26"/>
        </w:rPr>
        <w:t>the Basin</w:t>
      </w:r>
      <w:r w:rsidRPr="00306A22">
        <w:rPr>
          <w:szCs w:val="26"/>
        </w:rPr>
        <w:t xml:space="preserve"> extends across roughly 382,000 acres (600 square miles) under portions of Kern County, Inyo County, and San Bernardino County.</w:t>
      </w:r>
      <w:r w:rsidR="00B77DE4">
        <w:rPr>
          <w:szCs w:val="26"/>
        </w:rPr>
        <w:t xml:space="preserve">  </w:t>
      </w:r>
      <w:r w:rsidRPr="00306A22">
        <w:rPr>
          <w:szCs w:val="26"/>
        </w:rPr>
        <w:t xml:space="preserve">The Basin does not have any water importation infrastructure or significant surface water features, so water producers must rely exclusively on groundwater to meet </w:t>
      </w:r>
      <w:r w:rsidR="00652524">
        <w:rPr>
          <w:szCs w:val="26"/>
        </w:rPr>
        <w:t xml:space="preserve">their </w:t>
      </w:r>
      <w:r w:rsidRPr="00306A22">
        <w:rPr>
          <w:szCs w:val="26"/>
        </w:rPr>
        <w:t xml:space="preserve">water demands. </w:t>
      </w:r>
    </w:p>
    <w:p w:rsidR="00551E1D" w:rsidRPr="00306A22" w:rsidP="00551E1D" w14:paraId="2DEEB736" w14:textId="6935C08D">
      <w:pPr>
        <w:spacing w:line="480" w:lineRule="atLeast"/>
        <w:ind w:firstLine="1440"/>
        <w:rPr>
          <w:szCs w:val="26"/>
        </w:rPr>
      </w:pPr>
      <w:r w:rsidRPr="00306A22">
        <w:rPr>
          <w:bCs/>
          <w:szCs w:val="26"/>
        </w:rPr>
        <w:t xml:space="preserve">According to the Department of Water Resources, groundwater levels in the Basin have been steadily declining since 1945.  </w:t>
      </w:r>
      <w:r w:rsidR="00B21704">
        <w:rPr>
          <w:szCs w:val="26"/>
        </w:rPr>
        <w:t>The Authority estimates</w:t>
      </w:r>
      <w:r w:rsidRPr="00306A22">
        <w:rPr>
          <w:szCs w:val="26"/>
        </w:rPr>
        <w:t xml:space="preserve"> the Basin has total annual outflows of 32,640 acre</w:t>
      </w:r>
      <w:r w:rsidR="005E3BA8">
        <w:rPr>
          <w:szCs w:val="26"/>
        </w:rPr>
        <w:noBreakHyphen/>
      </w:r>
      <w:r w:rsidRPr="00306A22">
        <w:rPr>
          <w:szCs w:val="26"/>
        </w:rPr>
        <w:t>feet and total annual inflows of 7,650 acre</w:t>
      </w:r>
      <w:r w:rsidR="005E3BA8">
        <w:rPr>
          <w:szCs w:val="26"/>
        </w:rPr>
        <w:noBreakHyphen/>
      </w:r>
      <w:r w:rsidRPr="00306A22">
        <w:rPr>
          <w:szCs w:val="26"/>
        </w:rPr>
        <w:t>feet, meaning the Basin sustains an average loss of groundwater storage of about 25,000 acre</w:t>
      </w:r>
      <w:r w:rsidR="008B1718">
        <w:rPr>
          <w:szCs w:val="26"/>
        </w:rPr>
        <w:noBreakHyphen/>
      </w:r>
      <w:r w:rsidRPr="00306A22">
        <w:rPr>
          <w:szCs w:val="26"/>
        </w:rPr>
        <w:t>feet per year.</w:t>
      </w:r>
      <w:r w:rsidRPr="00306A22">
        <w:rPr>
          <w:b/>
          <w:bCs/>
          <w:szCs w:val="26"/>
        </w:rPr>
        <w:t xml:space="preserve"> </w:t>
      </w:r>
    </w:p>
    <w:p w:rsidR="00B21704" w:rsidP="00551E1D" w14:paraId="61127DC7" w14:textId="75472101">
      <w:pPr>
        <w:spacing w:line="480" w:lineRule="atLeast"/>
        <w:ind w:firstLine="1440"/>
        <w:rPr>
          <w:b/>
          <w:bCs/>
          <w:szCs w:val="26"/>
        </w:rPr>
      </w:pPr>
      <w:r w:rsidRPr="00306A22">
        <w:rPr>
          <w:szCs w:val="26"/>
        </w:rPr>
        <w:t xml:space="preserve">Nearly 80 percent of the Basin is under federal lands.  These lands are home to the </w:t>
      </w:r>
      <w:r w:rsidR="008B1718">
        <w:rPr>
          <w:szCs w:val="26"/>
        </w:rPr>
        <w:t xml:space="preserve">United States </w:t>
      </w:r>
      <w:r w:rsidRPr="00306A22">
        <w:rPr>
          <w:szCs w:val="26"/>
        </w:rPr>
        <w:t xml:space="preserve">Navy’s </w:t>
      </w:r>
      <w:r w:rsidR="008B1718">
        <w:rPr>
          <w:szCs w:val="26"/>
        </w:rPr>
        <w:t>(</w:t>
      </w:r>
      <w:r w:rsidR="00EF50BA">
        <w:rPr>
          <w:szCs w:val="26"/>
        </w:rPr>
        <w:t xml:space="preserve">the </w:t>
      </w:r>
      <w:r w:rsidR="008B1718">
        <w:rPr>
          <w:szCs w:val="26"/>
        </w:rPr>
        <w:t xml:space="preserve">Navy) </w:t>
      </w:r>
      <w:r w:rsidRPr="00306A22">
        <w:rPr>
          <w:szCs w:val="26"/>
        </w:rPr>
        <w:t>single largest landholding in the world, Naval Air Weapons Station China Lake.</w:t>
      </w:r>
      <w:r w:rsidR="00B77DE4">
        <w:rPr>
          <w:szCs w:val="26"/>
        </w:rPr>
        <w:t xml:space="preserve">  </w:t>
      </w:r>
      <w:r w:rsidRPr="00306A22">
        <w:rPr>
          <w:szCs w:val="26"/>
        </w:rPr>
        <w:t>Although the Navy’s annual groundwater extractions from the Basin have declined since the 1970</w:t>
      </w:r>
      <w:r w:rsidR="00B77DE4">
        <w:rPr>
          <w:szCs w:val="26"/>
        </w:rPr>
        <w:t>’</w:t>
      </w:r>
      <w:r w:rsidRPr="00306A22">
        <w:rPr>
          <w:szCs w:val="26"/>
        </w:rPr>
        <w:t xml:space="preserve">s, the Navy continues to extract Basin groundwater for use at the base. </w:t>
      </w:r>
    </w:p>
    <w:p w:rsidR="00551E1D" w:rsidRPr="00306A22" w:rsidP="00551E1D" w14:paraId="39F751A2" w14:textId="17224EC3">
      <w:pPr>
        <w:spacing w:line="480" w:lineRule="atLeast"/>
        <w:ind w:firstLine="1440"/>
        <w:rPr>
          <w:szCs w:val="26"/>
        </w:rPr>
      </w:pPr>
      <w:r>
        <w:rPr>
          <w:szCs w:val="26"/>
        </w:rPr>
        <w:t xml:space="preserve">The rest of the Basin is </w:t>
      </w:r>
      <w:r w:rsidR="001768C9">
        <w:rPr>
          <w:szCs w:val="26"/>
        </w:rPr>
        <w:t>primar</w:t>
      </w:r>
      <w:r w:rsidR="00F2384D">
        <w:rPr>
          <w:szCs w:val="26"/>
        </w:rPr>
        <w:t xml:space="preserve">ily </w:t>
      </w:r>
      <w:r>
        <w:rPr>
          <w:szCs w:val="26"/>
        </w:rPr>
        <w:t>used for residential and agricultural purposes</w:t>
      </w:r>
      <w:r w:rsidR="00F2384D">
        <w:rPr>
          <w:szCs w:val="26"/>
        </w:rPr>
        <w:t>.  T</w:t>
      </w:r>
      <w:r w:rsidR="00C6358F">
        <w:rPr>
          <w:szCs w:val="26"/>
        </w:rPr>
        <w:t>he farm</w:t>
      </w:r>
      <w:r w:rsidR="00F2384D">
        <w:rPr>
          <w:szCs w:val="26"/>
        </w:rPr>
        <w:t>ing operations there, including Mojave,</w:t>
      </w:r>
      <w:r w:rsidR="00C6358F">
        <w:rPr>
          <w:szCs w:val="26"/>
        </w:rPr>
        <w:t xml:space="preserve"> use</w:t>
      </w:r>
      <w:r w:rsidRPr="00306A22">
        <w:rPr>
          <w:szCs w:val="26"/>
        </w:rPr>
        <w:t xml:space="preserve"> Basin groundwater to irrigate their crops. </w:t>
      </w:r>
    </w:p>
    <w:p w:rsidR="00551E1D" w:rsidRPr="00306A22" w:rsidP="00CA4832" w14:paraId="60038479" w14:textId="4BE367BE">
      <w:pPr>
        <w:keepNext/>
        <w:spacing w:line="480" w:lineRule="atLeast"/>
        <w:ind w:firstLine="720"/>
        <w:rPr>
          <w:szCs w:val="26"/>
        </w:rPr>
      </w:pPr>
      <w:r w:rsidRPr="00306A22">
        <w:rPr>
          <w:szCs w:val="26"/>
        </w:rPr>
        <w:t>2.</w:t>
      </w:r>
      <w:r w:rsidRPr="00306A22">
        <w:rPr>
          <w:szCs w:val="26"/>
        </w:rPr>
        <w:tab/>
      </w:r>
      <w:r w:rsidRPr="00306A22">
        <w:rPr>
          <w:i/>
          <w:iCs/>
          <w:szCs w:val="26"/>
        </w:rPr>
        <w:t>Mojave’s Farming Operations and Water Usage</w:t>
      </w:r>
    </w:p>
    <w:p w:rsidR="00551E1D" w:rsidRPr="00306A22" w:rsidP="00551E1D" w14:paraId="01FE00E2" w14:textId="52892EEB">
      <w:pPr>
        <w:spacing w:line="480" w:lineRule="atLeast"/>
        <w:ind w:firstLine="1440"/>
        <w:rPr>
          <w:szCs w:val="26"/>
        </w:rPr>
      </w:pPr>
      <w:r w:rsidRPr="00306A22">
        <w:rPr>
          <w:szCs w:val="26"/>
        </w:rPr>
        <w:t>Mojave owns or leases about 3,200 acres of land spread across over 80</w:t>
      </w:r>
      <w:r w:rsidR="00B77DE4">
        <w:rPr>
          <w:szCs w:val="26"/>
        </w:rPr>
        <w:t> </w:t>
      </w:r>
      <w:r w:rsidRPr="00306A22">
        <w:rPr>
          <w:szCs w:val="26"/>
        </w:rPr>
        <w:t>parcels in Kern County, all overlying the Basin.</w:t>
      </w:r>
      <w:r w:rsidR="00B77DE4">
        <w:rPr>
          <w:szCs w:val="26"/>
        </w:rPr>
        <w:t xml:space="preserve"> </w:t>
      </w:r>
      <w:r w:rsidRPr="00306A22">
        <w:rPr>
          <w:szCs w:val="26"/>
        </w:rPr>
        <w:t xml:space="preserve"> Mojave currently uses </w:t>
      </w:r>
      <w:r w:rsidR="008B1718">
        <w:rPr>
          <w:szCs w:val="26"/>
        </w:rPr>
        <w:t>much of its</w:t>
      </w:r>
      <w:r w:rsidRPr="00306A22">
        <w:rPr>
          <w:szCs w:val="26"/>
        </w:rPr>
        <w:t xml:space="preserve"> land </w:t>
      </w:r>
      <w:r w:rsidR="008B1718">
        <w:rPr>
          <w:szCs w:val="26"/>
        </w:rPr>
        <w:t>to grow</w:t>
      </w:r>
      <w:r w:rsidRPr="00306A22">
        <w:rPr>
          <w:szCs w:val="26"/>
        </w:rPr>
        <w:t xml:space="preserve"> pistachio </w:t>
      </w:r>
      <w:r w:rsidR="008B1718">
        <w:rPr>
          <w:szCs w:val="26"/>
        </w:rPr>
        <w:t>nuts</w:t>
      </w:r>
      <w:r w:rsidRPr="00306A22">
        <w:rPr>
          <w:szCs w:val="26"/>
        </w:rPr>
        <w:t xml:space="preserve">, but that was not always the case.  </w:t>
      </w:r>
    </w:p>
    <w:p w:rsidR="00551E1D" w:rsidRPr="00306A22" w:rsidP="00551E1D" w14:paraId="0874994C" w14:textId="060BF8D5">
      <w:pPr>
        <w:spacing w:line="480" w:lineRule="atLeast"/>
        <w:ind w:firstLine="1440"/>
        <w:rPr>
          <w:szCs w:val="26"/>
        </w:rPr>
      </w:pPr>
      <w:r w:rsidRPr="00306A22">
        <w:rPr>
          <w:szCs w:val="26"/>
        </w:rPr>
        <w:t>According to Mojave, groundwater extractions on its property began in 1975.  From 1975 to 1988, about 600 acres were used to grow alfalfa, and groundwater usage ranged from about 1,</w:t>
      </w:r>
      <w:r w:rsidR="00B77DE4">
        <w:rPr>
          <w:szCs w:val="26"/>
        </w:rPr>
        <w:t>2</w:t>
      </w:r>
      <w:r w:rsidRPr="00306A22">
        <w:rPr>
          <w:szCs w:val="26"/>
        </w:rPr>
        <w:t>00 to 4,000 acre</w:t>
      </w:r>
      <w:r w:rsidR="005E3BA8">
        <w:rPr>
          <w:szCs w:val="26"/>
        </w:rPr>
        <w:noBreakHyphen/>
      </w:r>
      <w:r w:rsidRPr="00306A22">
        <w:rPr>
          <w:szCs w:val="26"/>
        </w:rPr>
        <w:t>feet per year.</w:t>
      </w:r>
      <w:r w:rsidR="00B77DE4">
        <w:rPr>
          <w:szCs w:val="26"/>
        </w:rPr>
        <w:t xml:space="preserve"> </w:t>
      </w:r>
      <w:r w:rsidRPr="00306A22">
        <w:rPr>
          <w:szCs w:val="26"/>
        </w:rPr>
        <w:t xml:space="preserve"> The property used no groundwater from 1989 to 2003.</w:t>
      </w:r>
      <w:r w:rsidR="00B77DE4">
        <w:rPr>
          <w:szCs w:val="26"/>
        </w:rPr>
        <w:t xml:space="preserve"> </w:t>
      </w:r>
      <w:r w:rsidRPr="00306A22">
        <w:rPr>
          <w:szCs w:val="26"/>
        </w:rPr>
        <w:t xml:space="preserve"> In 2004, alfalfa farming resumed on 160 acres, with water usage averaging about 1,000 acre</w:t>
      </w:r>
      <w:r w:rsidR="005E3BA8">
        <w:rPr>
          <w:szCs w:val="26"/>
        </w:rPr>
        <w:noBreakHyphen/>
      </w:r>
      <w:r w:rsidRPr="00306A22">
        <w:rPr>
          <w:szCs w:val="26"/>
        </w:rPr>
        <w:t>feet per year from 2004 to 2012.</w:t>
      </w:r>
      <w:r w:rsidRPr="00306A22">
        <w:rPr>
          <w:b/>
          <w:bCs/>
          <w:szCs w:val="26"/>
        </w:rPr>
        <w:t xml:space="preserve"> </w:t>
      </w:r>
    </w:p>
    <w:p w:rsidR="00551E1D" w:rsidRPr="00306A22" w:rsidP="00551E1D" w14:paraId="7C29BF1E" w14:textId="15C4CCA5">
      <w:pPr>
        <w:spacing w:line="480" w:lineRule="atLeast"/>
        <w:ind w:firstLine="1440"/>
        <w:rPr>
          <w:szCs w:val="26"/>
        </w:rPr>
      </w:pPr>
      <w:r w:rsidRPr="00306A22">
        <w:rPr>
          <w:szCs w:val="26"/>
        </w:rPr>
        <w:t xml:space="preserve">In 2013, Mojave stopped farming alfalfa and began </w:t>
      </w:r>
      <w:r w:rsidR="004C5D08">
        <w:rPr>
          <w:szCs w:val="26"/>
        </w:rPr>
        <w:t xml:space="preserve">planting </w:t>
      </w:r>
      <w:r w:rsidRPr="00306A22">
        <w:rPr>
          <w:szCs w:val="26"/>
        </w:rPr>
        <w:t xml:space="preserve">pistachio trees. </w:t>
      </w:r>
      <w:r w:rsidR="00B77DE4">
        <w:rPr>
          <w:szCs w:val="26"/>
        </w:rPr>
        <w:t xml:space="preserve"> </w:t>
      </w:r>
      <w:r w:rsidRPr="00306A22">
        <w:rPr>
          <w:szCs w:val="26"/>
        </w:rPr>
        <w:t xml:space="preserve">Mojave </w:t>
      </w:r>
      <w:r w:rsidR="008B1718">
        <w:rPr>
          <w:szCs w:val="26"/>
        </w:rPr>
        <w:t xml:space="preserve">had to </w:t>
      </w:r>
      <w:r w:rsidRPr="00306A22">
        <w:rPr>
          <w:szCs w:val="26"/>
        </w:rPr>
        <w:t xml:space="preserve">replant </w:t>
      </w:r>
      <w:r w:rsidR="008B1718">
        <w:rPr>
          <w:szCs w:val="26"/>
        </w:rPr>
        <w:t>many of its</w:t>
      </w:r>
      <w:r w:rsidRPr="00306A22">
        <w:rPr>
          <w:szCs w:val="26"/>
        </w:rPr>
        <w:t xml:space="preserve"> trees in 2014 and 2015.</w:t>
      </w:r>
      <w:r w:rsidR="00B77DE4">
        <w:rPr>
          <w:szCs w:val="26"/>
        </w:rPr>
        <w:t xml:space="preserve"> </w:t>
      </w:r>
      <w:r w:rsidRPr="00306A22">
        <w:rPr>
          <w:szCs w:val="26"/>
        </w:rPr>
        <w:t xml:space="preserve"> Its initial planting covered about 350 acres</w:t>
      </w:r>
      <w:r w:rsidR="004E107E">
        <w:rPr>
          <w:szCs w:val="26"/>
        </w:rPr>
        <w:t xml:space="preserve">; </w:t>
      </w:r>
      <w:r w:rsidRPr="00306A22">
        <w:rPr>
          <w:szCs w:val="26"/>
        </w:rPr>
        <w:t xml:space="preserve">after the replanting, its pistachio orchards now span about 1,600 acres. </w:t>
      </w:r>
    </w:p>
    <w:p w:rsidR="009B7465" w:rsidRPr="004A6304" w:rsidP="00551E1D" w14:paraId="6F16AB93" w14:textId="172B025E">
      <w:pPr>
        <w:spacing w:line="480" w:lineRule="atLeast"/>
        <w:ind w:firstLine="1440"/>
        <w:rPr>
          <w:b/>
          <w:bCs/>
          <w:szCs w:val="26"/>
        </w:rPr>
      </w:pPr>
      <w:r w:rsidRPr="00306A22">
        <w:rPr>
          <w:szCs w:val="26"/>
        </w:rPr>
        <w:t>Mojave irrigates its pistachio orchards entirely with Basin groundwater, which i</w:t>
      </w:r>
      <w:r w:rsidR="006076AA">
        <w:rPr>
          <w:szCs w:val="26"/>
        </w:rPr>
        <w:t>t</w:t>
      </w:r>
      <w:r w:rsidRPr="00306A22">
        <w:rPr>
          <w:szCs w:val="26"/>
        </w:rPr>
        <w:t xml:space="preserve"> pump</w:t>
      </w:r>
      <w:r w:rsidR="006076AA">
        <w:rPr>
          <w:szCs w:val="26"/>
        </w:rPr>
        <w:t>s</w:t>
      </w:r>
      <w:r w:rsidRPr="00306A22">
        <w:rPr>
          <w:szCs w:val="26"/>
        </w:rPr>
        <w:t xml:space="preserve"> from wells on the parcels; it also uses Basin groundwater for dust mitigation.</w:t>
      </w:r>
      <w:r w:rsidR="00B77DE4">
        <w:rPr>
          <w:szCs w:val="26"/>
        </w:rPr>
        <w:t xml:space="preserve"> </w:t>
      </w:r>
      <w:r w:rsidRPr="00306A22">
        <w:rPr>
          <w:szCs w:val="26"/>
        </w:rPr>
        <w:t xml:space="preserve"> </w:t>
      </w:r>
      <w:r w:rsidR="002B60B2">
        <w:rPr>
          <w:szCs w:val="26"/>
        </w:rPr>
        <w:t xml:space="preserve">According to </w:t>
      </w:r>
      <w:r w:rsidRPr="00306A22" w:rsidR="002B60B2">
        <w:rPr>
          <w:szCs w:val="26"/>
        </w:rPr>
        <w:t>Mojave</w:t>
      </w:r>
      <w:r w:rsidR="002B60B2">
        <w:rPr>
          <w:szCs w:val="26"/>
        </w:rPr>
        <w:t xml:space="preserve">, it has a </w:t>
      </w:r>
      <w:r w:rsidRPr="00306A22" w:rsidR="002B60B2">
        <w:rPr>
          <w:szCs w:val="26"/>
        </w:rPr>
        <w:t>vested overlying water right to pump</w:t>
      </w:r>
      <w:r w:rsidR="004A6304">
        <w:rPr>
          <w:szCs w:val="26"/>
        </w:rPr>
        <w:t xml:space="preserve"> that </w:t>
      </w:r>
      <w:r w:rsidRPr="00306A22" w:rsidR="002B60B2">
        <w:rPr>
          <w:szCs w:val="26"/>
        </w:rPr>
        <w:t>groundwater from the Basin</w:t>
      </w:r>
      <w:r w:rsidR="004A6304">
        <w:rPr>
          <w:szCs w:val="26"/>
        </w:rPr>
        <w:t>.</w:t>
      </w:r>
      <w:r w:rsidR="004A6304">
        <w:rPr>
          <w:b/>
          <w:bCs/>
          <w:szCs w:val="26"/>
        </w:rPr>
        <w:t xml:space="preserve"> </w:t>
      </w:r>
    </w:p>
    <w:p w:rsidR="00551E1D" w:rsidRPr="00306A22" w:rsidP="00551E1D" w14:paraId="6895CFCF" w14:textId="1E518864">
      <w:pPr>
        <w:spacing w:line="480" w:lineRule="atLeast"/>
        <w:ind w:firstLine="1440"/>
        <w:rPr>
          <w:szCs w:val="26"/>
        </w:rPr>
      </w:pPr>
      <w:r w:rsidRPr="00306A22">
        <w:rPr>
          <w:szCs w:val="26"/>
        </w:rPr>
        <w:t>Mojave began using groundwater on its pistachio trees in 2013</w:t>
      </w:r>
      <w:r w:rsidR="008B1718">
        <w:rPr>
          <w:szCs w:val="26"/>
        </w:rPr>
        <w:t>; it</w:t>
      </w:r>
      <w:r w:rsidRPr="00306A22">
        <w:rPr>
          <w:szCs w:val="26"/>
        </w:rPr>
        <w:t xml:space="preserve"> us</w:t>
      </w:r>
      <w:r w:rsidR="008B1718">
        <w:rPr>
          <w:szCs w:val="26"/>
        </w:rPr>
        <w:t>ed</w:t>
      </w:r>
      <w:r w:rsidRPr="00306A22">
        <w:rPr>
          <w:szCs w:val="26"/>
        </w:rPr>
        <w:t xml:space="preserve"> only 325 acre</w:t>
      </w:r>
      <w:r w:rsidR="005E3BA8">
        <w:rPr>
          <w:szCs w:val="26"/>
        </w:rPr>
        <w:noBreakHyphen/>
      </w:r>
      <w:r w:rsidRPr="00306A22">
        <w:rPr>
          <w:szCs w:val="26"/>
        </w:rPr>
        <w:t xml:space="preserve">feet that </w:t>
      </w:r>
      <w:r w:rsidR="008E7B90">
        <w:rPr>
          <w:szCs w:val="26"/>
        </w:rPr>
        <w:t xml:space="preserve">first </w:t>
      </w:r>
      <w:r w:rsidRPr="00306A22">
        <w:rPr>
          <w:szCs w:val="26"/>
        </w:rPr>
        <w:t>year.</w:t>
      </w:r>
      <w:r w:rsidR="00B77DE4">
        <w:rPr>
          <w:szCs w:val="26"/>
        </w:rPr>
        <w:t xml:space="preserve"> </w:t>
      </w:r>
      <w:r w:rsidRPr="00306A22">
        <w:rPr>
          <w:szCs w:val="26"/>
        </w:rPr>
        <w:t xml:space="preserve"> Mojave’s water usage for its pistachio trees increased to 3,700 acre</w:t>
      </w:r>
      <w:r w:rsidR="005E3BA8">
        <w:rPr>
          <w:szCs w:val="26"/>
        </w:rPr>
        <w:noBreakHyphen/>
      </w:r>
      <w:r w:rsidRPr="00306A22">
        <w:rPr>
          <w:szCs w:val="26"/>
        </w:rPr>
        <w:t>feet the following year and ranged from about 3,000 to 4,100 acre</w:t>
      </w:r>
      <w:r w:rsidR="005E3BA8">
        <w:rPr>
          <w:szCs w:val="26"/>
        </w:rPr>
        <w:noBreakHyphen/>
      </w:r>
      <w:r w:rsidRPr="00306A22">
        <w:rPr>
          <w:szCs w:val="26"/>
        </w:rPr>
        <w:t>feet per year from 2014 to 2019.</w:t>
      </w:r>
      <w:r w:rsidR="00B77DE4">
        <w:rPr>
          <w:szCs w:val="26"/>
        </w:rPr>
        <w:t xml:space="preserve"> </w:t>
      </w:r>
      <w:r w:rsidRPr="00306A22">
        <w:rPr>
          <w:szCs w:val="26"/>
        </w:rPr>
        <w:t xml:space="preserve"> For most of that time, there was no government-imposed fee on the extraction of groundwater in the Basin, so Mojave’s irrigation costs were limited to the cost of well repair, maintenance, and electricity. </w:t>
      </w:r>
    </w:p>
    <w:p w:rsidR="00551E1D" w:rsidRPr="00306A22" w:rsidP="00551E1D" w14:paraId="565214BC" w14:textId="3227B714">
      <w:pPr>
        <w:spacing w:line="480" w:lineRule="atLeast"/>
        <w:ind w:firstLine="1440"/>
        <w:rPr>
          <w:szCs w:val="26"/>
        </w:rPr>
      </w:pPr>
      <w:r w:rsidRPr="00306A22">
        <w:rPr>
          <w:szCs w:val="26"/>
        </w:rPr>
        <w:t>Mojave completed its first commercial pistachio harvest in 2020 on about 350 acres.</w:t>
      </w:r>
      <w:r w:rsidR="00B77DE4">
        <w:rPr>
          <w:szCs w:val="26"/>
        </w:rPr>
        <w:t xml:space="preserve"> </w:t>
      </w:r>
      <w:r w:rsidRPr="00306A22">
        <w:rPr>
          <w:szCs w:val="26"/>
        </w:rPr>
        <w:t xml:space="preserve"> According to Mojave,</w:t>
      </w:r>
      <w:r w:rsidR="00CA4A6C">
        <w:rPr>
          <w:szCs w:val="26"/>
        </w:rPr>
        <w:t xml:space="preserve"> its</w:t>
      </w:r>
      <w:r w:rsidRPr="00306A22">
        <w:rPr>
          <w:szCs w:val="26"/>
        </w:rPr>
        <w:t xml:space="preserve"> trees are expected to reach peak production </w:t>
      </w:r>
      <w:r w:rsidR="008B1718">
        <w:rPr>
          <w:szCs w:val="26"/>
        </w:rPr>
        <w:t>around</w:t>
      </w:r>
      <w:r w:rsidRPr="00306A22">
        <w:rPr>
          <w:szCs w:val="26"/>
        </w:rPr>
        <w:t xml:space="preserve"> 2030 and have a commercial life expectancy of at least 75 years. </w:t>
      </w:r>
    </w:p>
    <w:p w:rsidR="00551E1D" w:rsidRPr="00306A22" w:rsidP="00551E1D" w14:paraId="25F256A7" w14:textId="134E9EEE">
      <w:pPr>
        <w:spacing w:line="480" w:lineRule="atLeast"/>
        <w:ind w:firstLine="1440"/>
        <w:rPr>
          <w:szCs w:val="26"/>
        </w:rPr>
      </w:pPr>
      <w:r>
        <w:rPr>
          <w:szCs w:val="26"/>
        </w:rPr>
        <w:t>As pistachio</w:t>
      </w:r>
      <w:r w:rsidRPr="00306A22">
        <w:rPr>
          <w:szCs w:val="26"/>
        </w:rPr>
        <w:t xml:space="preserve"> trees mature, they need more water each year.  Mojave estimates that from 2023 to 2029, its annual usage will increase from about 4,160 acre</w:t>
      </w:r>
      <w:r w:rsidR="005E3BA8">
        <w:rPr>
          <w:szCs w:val="26"/>
        </w:rPr>
        <w:noBreakHyphen/>
      </w:r>
      <w:r w:rsidRPr="00306A22">
        <w:rPr>
          <w:szCs w:val="26"/>
        </w:rPr>
        <w:t>feet per year to about 5,600 acre</w:t>
      </w:r>
      <w:r w:rsidR="005E3BA8">
        <w:rPr>
          <w:szCs w:val="26"/>
        </w:rPr>
        <w:noBreakHyphen/>
      </w:r>
      <w:r w:rsidRPr="00306A22">
        <w:rPr>
          <w:szCs w:val="26"/>
        </w:rPr>
        <w:t>feet per year.  It further anticipates that from 2030 to 2080, it will need “at least” 6,000 acre</w:t>
      </w:r>
      <w:r w:rsidR="005E3BA8">
        <w:rPr>
          <w:szCs w:val="26"/>
        </w:rPr>
        <w:noBreakHyphen/>
      </w:r>
      <w:r w:rsidRPr="00306A22">
        <w:rPr>
          <w:szCs w:val="26"/>
        </w:rPr>
        <w:t>feet per year of water, and it could require as much as 7,000 acre</w:t>
      </w:r>
      <w:r w:rsidR="005E3BA8">
        <w:rPr>
          <w:szCs w:val="26"/>
        </w:rPr>
        <w:noBreakHyphen/>
      </w:r>
      <w:r w:rsidRPr="00306A22">
        <w:rPr>
          <w:szCs w:val="26"/>
        </w:rPr>
        <w:t>feet per year.</w:t>
      </w:r>
      <w:r w:rsidRPr="00306A22">
        <w:rPr>
          <w:b/>
          <w:bCs/>
          <w:szCs w:val="26"/>
        </w:rPr>
        <w:t xml:space="preserve"> </w:t>
      </w:r>
    </w:p>
    <w:p w:rsidR="00551E1D" w:rsidRPr="00306A22" w:rsidP="00CA4832" w14:paraId="5CF2FCCA" w14:textId="4826A5E6">
      <w:pPr>
        <w:keepNext/>
        <w:spacing w:line="480" w:lineRule="atLeast"/>
        <w:ind w:firstLine="720"/>
        <w:rPr>
          <w:szCs w:val="26"/>
        </w:rPr>
      </w:pPr>
      <w:r w:rsidRPr="00306A22">
        <w:rPr>
          <w:szCs w:val="26"/>
        </w:rPr>
        <w:t>3.</w:t>
      </w:r>
      <w:r w:rsidRPr="00306A22">
        <w:rPr>
          <w:szCs w:val="26"/>
        </w:rPr>
        <w:tab/>
      </w:r>
      <w:r w:rsidRPr="00306A22">
        <w:rPr>
          <w:i/>
          <w:iCs/>
          <w:szCs w:val="26"/>
        </w:rPr>
        <w:t>SGMA</w:t>
      </w:r>
    </w:p>
    <w:p w:rsidR="00551E1D" w:rsidRPr="00306A22" w:rsidP="00551E1D" w14:paraId="70D8AD18" w14:textId="5234D512">
      <w:pPr>
        <w:spacing w:line="480" w:lineRule="atLeast"/>
        <w:ind w:firstLine="1440"/>
        <w:rPr>
          <w:szCs w:val="26"/>
        </w:rPr>
      </w:pPr>
      <w:r w:rsidRPr="00306A22">
        <w:rPr>
          <w:szCs w:val="26"/>
        </w:rPr>
        <w:t xml:space="preserve">In September 2014, our Legislature passed SGMA to provide for the sustainable management of California’s groundwater basins.  The Legislature’s stated goals in enacting SGMA include establishing minimum standards for sustainable groundwater management, giving local groundwater authorities the power and support to sustainably manage groundwater, and creating a more efficient and cost-effective groundwater adjudication process that protects water rights, ensures due process, and prevents unnecessary delay.  (§ 10720.1.)  </w:t>
      </w:r>
    </w:p>
    <w:p w:rsidR="004A7BDC" w:rsidP="00467667" w14:paraId="01B55968" w14:textId="464D01BB">
      <w:pPr>
        <w:spacing w:line="480" w:lineRule="atLeast"/>
        <w:ind w:firstLine="1440"/>
        <w:rPr>
          <w:szCs w:val="26"/>
        </w:rPr>
      </w:pPr>
      <w:r w:rsidRPr="00306A22">
        <w:rPr>
          <w:szCs w:val="26"/>
        </w:rPr>
        <w:t>SGMA, which took effect in January 2015, required that all basins designated as high or medium priority be managed under a groundwater sustainability plan by January 31, 2020.  (§ 10720.7, subd. (a)</w:t>
      </w:r>
      <w:r w:rsidR="00945E32">
        <w:rPr>
          <w:szCs w:val="26"/>
        </w:rPr>
        <w:t>(1)</w:t>
      </w:r>
      <w:r w:rsidRPr="00306A22">
        <w:rPr>
          <w:szCs w:val="26"/>
        </w:rPr>
        <w:t>; see §§ 10727-107</w:t>
      </w:r>
      <w:r w:rsidR="00945E32">
        <w:rPr>
          <w:szCs w:val="26"/>
        </w:rPr>
        <w:t>2</w:t>
      </w:r>
      <w:r w:rsidRPr="00306A22">
        <w:rPr>
          <w:szCs w:val="26"/>
        </w:rPr>
        <w:t>8.6.)  It also authorized the creation of groundwater sustainability agencies to</w:t>
      </w:r>
      <w:r w:rsidR="00081F38">
        <w:rPr>
          <w:szCs w:val="26"/>
        </w:rPr>
        <w:t xml:space="preserve"> develop and</w:t>
      </w:r>
      <w:r w:rsidRPr="00306A22">
        <w:rPr>
          <w:szCs w:val="26"/>
        </w:rPr>
        <w:t xml:space="preserve"> create such plans (§§ 10723-10724)</w:t>
      </w:r>
      <w:r w:rsidR="00467667">
        <w:rPr>
          <w:szCs w:val="26"/>
        </w:rPr>
        <w:t xml:space="preserve">, and </w:t>
      </w:r>
      <w:r w:rsidR="00DB2F5A">
        <w:rPr>
          <w:szCs w:val="26"/>
        </w:rPr>
        <w:t xml:space="preserve">granted those agencies a number of powers, including the </w:t>
      </w:r>
      <w:r w:rsidR="004024DB">
        <w:rPr>
          <w:szCs w:val="26"/>
        </w:rPr>
        <w:t>power</w:t>
      </w:r>
      <w:r w:rsidR="00467667">
        <w:rPr>
          <w:szCs w:val="26"/>
        </w:rPr>
        <w:t xml:space="preserve"> </w:t>
      </w:r>
      <w:r w:rsidR="00894C22">
        <w:rPr>
          <w:szCs w:val="26"/>
        </w:rPr>
        <w:t>to</w:t>
      </w:r>
      <w:r w:rsidR="000F30B4">
        <w:rPr>
          <w:szCs w:val="26"/>
        </w:rPr>
        <w:t xml:space="preserve"> </w:t>
      </w:r>
      <w:r w:rsidR="00812F15">
        <w:rPr>
          <w:szCs w:val="26"/>
        </w:rPr>
        <w:t>perform any act necessary to carry out SGMA’s purposes (§ 10725.2</w:t>
      </w:r>
      <w:r w:rsidR="00627D7B">
        <w:rPr>
          <w:szCs w:val="26"/>
        </w:rPr>
        <w:t>, subd. (a))</w:t>
      </w:r>
      <w:r w:rsidR="008B1718">
        <w:rPr>
          <w:szCs w:val="26"/>
        </w:rPr>
        <w:t>;</w:t>
      </w:r>
      <w:r w:rsidR="005B1538">
        <w:rPr>
          <w:szCs w:val="26"/>
        </w:rPr>
        <w:t xml:space="preserve"> </w:t>
      </w:r>
      <w:r w:rsidR="00AB21F0">
        <w:rPr>
          <w:szCs w:val="26"/>
        </w:rPr>
        <w:t xml:space="preserve">to </w:t>
      </w:r>
      <w:r w:rsidR="009B00F4">
        <w:rPr>
          <w:szCs w:val="26"/>
        </w:rPr>
        <w:t>adopt rules and regulations (</w:t>
      </w:r>
      <w:r w:rsidR="009B00F4">
        <w:rPr>
          <w:i/>
          <w:iCs/>
          <w:szCs w:val="26"/>
        </w:rPr>
        <w:t>id.</w:t>
      </w:r>
      <w:r w:rsidR="009B00F4">
        <w:rPr>
          <w:szCs w:val="26"/>
        </w:rPr>
        <w:t>, subd. (b))</w:t>
      </w:r>
      <w:r w:rsidR="00960D69">
        <w:rPr>
          <w:szCs w:val="26"/>
        </w:rPr>
        <w:t>;</w:t>
      </w:r>
      <w:r w:rsidR="009B00F4">
        <w:rPr>
          <w:szCs w:val="26"/>
        </w:rPr>
        <w:t xml:space="preserve"> </w:t>
      </w:r>
      <w:r w:rsidR="00AB21F0">
        <w:rPr>
          <w:szCs w:val="26"/>
        </w:rPr>
        <w:t xml:space="preserve">to </w:t>
      </w:r>
      <w:r w:rsidR="00CC62E6">
        <w:rPr>
          <w:szCs w:val="26"/>
        </w:rPr>
        <w:t>conduct investigations</w:t>
      </w:r>
      <w:r w:rsidR="00785680">
        <w:rPr>
          <w:szCs w:val="26"/>
        </w:rPr>
        <w:t xml:space="preserve"> (§ 10725.4</w:t>
      </w:r>
      <w:r w:rsidR="00945E32">
        <w:rPr>
          <w:szCs w:val="26"/>
        </w:rPr>
        <w:t>, subd. (a)</w:t>
      </w:r>
      <w:r w:rsidR="006416E4">
        <w:rPr>
          <w:szCs w:val="26"/>
        </w:rPr>
        <w:t>)</w:t>
      </w:r>
      <w:r w:rsidR="00960D69">
        <w:rPr>
          <w:szCs w:val="26"/>
        </w:rPr>
        <w:t>;</w:t>
      </w:r>
      <w:r w:rsidR="00894C22">
        <w:rPr>
          <w:szCs w:val="26"/>
        </w:rPr>
        <w:t xml:space="preserve"> </w:t>
      </w:r>
      <w:r w:rsidR="00AB21F0">
        <w:rPr>
          <w:szCs w:val="26"/>
        </w:rPr>
        <w:t xml:space="preserve">to </w:t>
      </w:r>
      <w:r w:rsidR="007359B9">
        <w:rPr>
          <w:szCs w:val="26"/>
        </w:rPr>
        <w:t xml:space="preserve">mandate </w:t>
      </w:r>
      <w:r w:rsidR="004E098B">
        <w:rPr>
          <w:szCs w:val="26"/>
        </w:rPr>
        <w:t>the use of water-measuring devices (§ 10725.8</w:t>
      </w:r>
      <w:r w:rsidR="00F073B5">
        <w:rPr>
          <w:szCs w:val="26"/>
        </w:rPr>
        <w:t>)</w:t>
      </w:r>
      <w:r w:rsidR="00960D69">
        <w:rPr>
          <w:szCs w:val="26"/>
        </w:rPr>
        <w:t>;</w:t>
      </w:r>
      <w:r w:rsidR="00A2346A">
        <w:rPr>
          <w:szCs w:val="26"/>
        </w:rPr>
        <w:t xml:space="preserve"> </w:t>
      </w:r>
      <w:r w:rsidR="00AB21F0">
        <w:rPr>
          <w:szCs w:val="26"/>
        </w:rPr>
        <w:t xml:space="preserve">to </w:t>
      </w:r>
      <w:r w:rsidR="00A2346A">
        <w:rPr>
          <w:szCs w:val="26"/>
        </w:rPr>
        <w:t xml:space="preserve">acquire </w:t>
      </w:r>
      <w:r w:rsidR="009B00F4">
        <w:rPr>
          <w:szCs w:val="26"/>
        </w:rPr>
        <w:t xml:space="preserve">real </w:t>
      </w:r>
      <w:r w:rsidR="00085CAC">
        <w:rPr>
          <w:szCs w:val="26"/>
        </w:rPr>
        <w:t>property, personal property, and</w:t>
      </w:r>
      <w:r w:rsidR="007359B9">
        <w:rPr>
          <w:szCs w:val="26"/>
        </w:rPr>
        <w:t xml:space="preserve"> water rights (§</w:t>
      </w:r>
      <w:r w:rsidR="00960D69">
        <w:rPr>
          <w:szCs w:val="26"/>
        </w:rPr>
        <w:t> </w:t>
      </w:r>
      <w:r w:rsidR="007359B9">
        <w:rPr>
          <w:szCs w:val="26"/>
        </w:rPr>
        <w:t>10726.2</w:t>
      </w:r>
      <w:r w:rsidR="00945E32">
        <w:rPr>
          <w:szCs w:val="26"/>
        </w:rPr>
        <w:t>, subd. (a)</w:t>
      </w:r>
      <w:r w:rsidR="007359B9">
        <w:rPr>
          <w:szCs w:val="26"/>
        </w:rPr>
        <w:t>)</w:t>
      </w:r>
      <w:r w:rsidR="00960D69">
        <w:rPr>
          <w:szCs w:val="26"/>
        </w:rPr>
        <w:t>;</w:t>
      </w:r>
      <w:r w:rsidR="007359B9">
        <w:rPr>
          <w:szCs w:val="26"/>
        </w:rPr>
        <w:t xml:space="preserve"> </w:t>
      </w:r>
      <w:r w:rsidR="00AB21F0">
        <w:rPr>
          <w:szCs w:val="26"/>
        </w:rPr>
        <w:t xml:space="preserve">to </w:t>
      </w:r>
      <w:r w:rsidR="007359B9">
        <w:rPr>
          <w:szCs w:val="26"/>
        </w:rPr>
        <w:t>import water (</w:t>
      </w:r>
      <w:r w:rsidR="007359B9">
        <w:rPr>
          <w:i/>
          <w:iCs/>
          <w:szCs w:val="26"/>
        </w:rPr>
        <w:t>id.</w:t>
      </w:r>
      <w:r w:rsidR="00945E32">
        <w:rPr>
          <w:i/>
          <w:iCs/>
          <w:szCs w:val="26"/>
        </w:rPr>
        <w:t xml:space="preserve">, </w:t>
      </w:r>
      <w:r w:rsidR="00945E32">
        <w:rPr>
          <w:szCs w:val="26"/>
        </w:rPr>
        <w:t>subd. (b)</w:t>
      </w:r>
      <w:r w:rsidR="007359B9">
        <w:rPr>
          <w:szCs w:val="26"/>
        </w:rPr>
        <w:t>)</w:t>
      </w:r>
      <w:r w:rsidR="00960D69">
        <w:rPr>
          <w:szCs w:val="26"/>
        </w:rPr>
        <w:t>;</w:t>
      </w:r>
      <w:r w:rsidR="007359B9">
        <w:rPr>
          <w:szCs w:val="26"/>
        </w:rPr>
        <w:t xml:space="preserve"> and</w:t>
      </w:r>
      <w:r w:rsidR="003C0A1C">
        <w:rPr>
          <w:szCs w:val="26"/>
        </w:rPr>
        <w:t xml:space="preserve"> </w:t>
      </w:r>
      <w:r w:rsidR="00AB21F0">
        <w:rPr>
          <w:szCs w:val="26"/>
        </w:rPr>
        <w:t xml:space="preserve">to </w:t>
      </w:r>
      <w:r w:rsidR="003C0A1C">
        <w:rPr>
          <w:szCs w:val="26"/>
        </w:rPr>
        <w:t>create voluntary fallowing programs for agricultural lands (§ 10726.2, subd. (c))</w:t>
      </w:r>
      <w:r w:rsidR="007359B9">
        <w:rPr>
          <w:szCs w:val="26"/>
        </w:rPr>
        <w:t>, among other powers.</w:t>
      </w:r>
    </w:p>
    <w:p w:rsidR="00551E1D" w:rsidP="00551E1D" w14:paraId="07C368F9" w14:textId="33E252E9">
      <w:pPr>
        <w:spacing w:line="480" w:lineRule="atLeast"/>
        <w:ind w:firstLine="1440"/>
        <w:rPr>
          <w:szCs w:val="26"/>
        </w:rPr>
      </w:pPr>
      <w:r w:rsidRPr="00306A22">
        <w:rPr>
          <w:szCs w:val="26"/>
        </w:rPr>
        <w:t xml:space="preserve">SGMA </w:t>
      </w:r>
      <w:r w:rsidR="004A7BDC">
        <w:rPr>
          <w:szCs w:val="26"/>
        </w:rPr>
        <w:t xml:space="preserve">also </w:t>
      </w:r>
      <w:r w:rsidRPr="00306A22">
        <w:rPr>
          <w:szCs w:val="26"/>
        </w:rPr>
        <w:t>empower</w:t>
      </w:r>
      <w:r w:rsidR="00903876">
        <w:rPr>
          <w:szCs w:val="26"/>
        </w:rPr>
        <w:t>ed</w:t>
      </w:r>
      <w:r w:rsidRPr="00306A22">
        <w:rPr>
          <w:szCs w:val="26"/>
        </w:rPr>
        <w:t xml:space="preserve"> groundwater agencies to impose fees on groundwater extraction to fund the costs of groundwater sustainability program</w:t>
      </w:r>
      <w:r w:rsidR="00D97514">
        <w:rPr>
          <w:szCs w:val="26"/>
        </w:rPr>
        <w:t>s</w:t>
      </w:r>
      <w:r w:rsidR="002A46F8">
        <w:rPr>
          <w:szCs w:val="26"/>
        </w:rPr>
        <w:t>,</w:t>
      </w:r>
      <w:r w:rsidRPr="00306A22">
        <w:rPr>
          <w:szCs w:val="26"/>
        </w:rPr>
        <w:t xml:space="preserve"> groundwater management</w:t>
      </w:r>
      <w:r w:rsidR="00E30D82">
        <w:rPr>
          <w:szCs w:val="26"/>
        </w:rPr>
        <w:t>,</w:t>
      </w:r>
      <w:r w:rsidR="00996413">
        <w:rPr>
          <w:szCs w:val="26"/>
        </w:rPr>
        <w:t xml:space="preserve"> investigations,</w:t>
      </w:r>
      <w:r w:rsidR="00E30D82">
        <w:rPr>
          <w:szCs w:val="26"/>
        </w:rPr>
        <w:t xml:space="preserve"> and enforcement</w:t>
      </w:r>
      <w:r w:rsidRPr="00306A22">
        <w:rPr>
          <w:szCs w:val="26"/>
        </w:rPr>
        <w:t>.  (§§ 10730, subd.</w:t>
      </w:r>
      <w:r w:rsidR="00945E32">
        <w:rPr>
          <w:szCs w:val="26"/>
        </w:rPr>
        <w:t> </w:t>
      </w:r>
      <w:r w:rsidRPr="00306A22">
        <w:rPr>
          <w:szCs w:val="26"/>
        </w:rPr>
        <w:t>(a), 1073</w:t>
      </w:r>
      <w:r w:rsidR="00945E32">
        <w:rPr>
          <w:szCs w:val="26"/>
        </w:rPr>
        <w:t>0</w:t>
      </w:r>
      <w:r w:rsidRPr="00306A22">
        <w:rPr>
          <w:szCs w:val="26"/>
        </w:rPr>
        <w:t>.2</w:t>
      </w:r>
      <w:r w:rsidR="00945E32">
        <w:rPr>
          <w:szCs w:val="26"/>
        </w:rPr>
        <w:t>, subd. </w:t>
      </w:r>
      <w:r w:rsidRPr="00306A22">
        <w:rPr>
          <w:szCs w:val="26"/>
        </w:rPr>
        <w:t>(a).)  If any owner or operator knowingly fails to pay a fee on time, he</w:t>
      </w:r>
      <w:r w:rsidR="0072527E">
        <w:rPr>
          <w:szCs w:val="26"/>
        </w:rPr>
        <w:t xml:space="preserve"> or she</w:t>
      </w:r>
      <w:r w:rsidRPr="00306A22">
        <w:rPr>
          <w:szCs w:val="26"/>
        </w:rPr>
        <w:t xml:space="preserve"> is liable to the agency for </w:t>
      </w:r>
      <w:r w:rsidR="009F291A">
        <w:rPr>
          <w:szCs w:val="26"/>
        </w:rPr>
        <w:t xml:space="preserve">penalties and </w:t>
      </w:r>
      <w:r w:rsidRPr="00306A22">
        <w:rPr>
          <w:szCs w:val="26"/>
        </w:rPr>
        <w:t>interest</w:t>
      </w:r>
      <w:r w:rsidR="00903876">
        <w:rPr>
          <w:szCs w:val="26"/>
        </w:rPr>
        <w:t xml:space="preserve">. </w:t>
      </w:r>
      <w:r w:rsidRPr="00306A22">
        <w:rPr>
          <w:szCs w:val="26"/>
        </w:rPr>
        <w:t xml:space="preserve"> (§ 10730.6, subd. (b)</w:t>
      </w:r>
      <w:r w:rsidR="00903876">
        <w:rPr>
          <w:szCs w:val="26"/>
        </w:rPr>
        <w:t>.</w:t>
      </w:r>
      <w:r w:rsidRPr="00306A22">
        <w:rPr>
          <w:szCs w:val="26"/>
        </w:rPr>
        <w:t xml:space="preserve">) </w:t>
      </w:r>
      <w:r w:rsidR="00903876">
        <w:rPr>
          <w:szCs w:val="26"/>
        </w:rPr>
        <w:t xml:space="preserve"> T</w:t>
      </w:r>
      <w:r w:rsidRPr="00306A22">
        <w:rPr>
          <w:szCs w:val="26"/>
        </w:rPr>
        <w:t>he agency may</w:t>
      </w:r>
      <w:r w:rsidR="00D20762">
        <w:rPr>
          <w:szCs w:val="26"/>
        </w:rPr>
        <w:t xml:space="preserve"> </w:t>
      </w:r>
      <w:r w:rsidRPr="00306A22">
        <w:rPr>
          <w:szCs w:val="26"/>
        </w:rPr>
        <w:t xml:space="preserve">sue </w:t>
      </w:r>
      <w:r w:rsidR="0072527E">
        <w:rPr>
          <w:szCs w:val="26"/>
        </w:rPr>
        <w:t>the owner or operator</w:t>
      </w:r>
      <w:r w:rsidRPr="00306A22">
        <w:rPr>
          <w:szCs w:val="26"/>
        </w:rPr>
        <w:t xml:space="preserve"> to recover any delinquent fees, interest, or penalties (</w:t>
      </w:r>
      <w:r w:rsidRPr="00306A22">
        <w:rPr>
          <w:i/>
          <w:iCs/>
          <w:szCs w:val="26"/>
        </w:rPr>
        <w:t>id.</w:t>
      </w:r>
      <w:r w:rsidRPr="00306A22">
        <w:rPr>
          <w:szCs w:val="26"/>
        </w:rPr>
        <w:t xml:space="preserve">, subd. (c)) and may order him </w:t>
      </w:r>
      <w:r w:rsidR="0072527E">
        <w:rPr>
          <w:szCs w:val="26"/>
        </w:rPr>
        <w:t xml:space="preserve">or her </w:t>
      </w:r>
      <w:r w:rsidRPr="00306A22">
        <w:rPr>
          <w:szCs w:val="26"/>
        </w:rPr>
        <w:t>to cease all groundwater extraction until the delinquent fees are paid (</w:t>
      </w:r>
      <w:r w:rsidRPr="00306A22">
        <w:rPr>
          <w:i/>
          <w:iCs/>
          <w:szCs w:val="26"/>
        </w:rPr>
        <w:t>id.</w:t>
      </w:r>
      <w:r w:rsidRPr="00306A22">
        <w:rPr>
          <w:szCs w:val="26"/>
        </w:rPr>
        <w:t>, subd.</w:t>
      </w:r>
      <w:r w:rsidR="00960D69">
        <w:rPr>
          <w:szCs w:val="26"/>
        </w:rPr>
        <w:t> </w:t>
      </w:r>
      <w:r w:rsidRPr="00306A22">
        <w:rPr>
          <w:szCs w:val="26"/>
        </w:rPr>
        <w:t xml:space="preserve">(e)).  </w:t>
      </w:r>
    </w:p>
    <w:p w:rsidR="008130AD" w:rsidRPr="007D0F27" w:rsidP="00551E1D" w14:paraId="0F6142F6" w14:textId="631B0E90">
      <w:pPr>
        <w:spacing w:line="480" w:lineRule="atLeast"/>
        <w:ind w:firstLine="1440"/>
        <w:rPr>
          <w:color w:val="7030A0"/>
          <w:szCs w:val="26"/>
        </w:rPr>
      </w:pPr>
      <w:r w:rsidRPr="00306A22">
        <w:rPr>
          <w:szCs w:val="26"/>
        </w:rPr>
        <w:t>If a person disagrees with fees</w:t>
      </w:r>
      <w:r>
        <w:rPr>
          <w:szCs w:val="26"/>
        </w:rPr>
        <w:t xml:space="preserve"> imposed by the agency</w:t>
      </w:r>
      <w:r w:rsidRPr="00306A22">
        <w:rPr>
          <w:szCs w:val="26"/>
        </w:rPr>
        <w:t xml:space="preserve">, SGMA provides that he </w:t>
      </w:r>
      <w:r w:rsidR="00D8655B">
        <w:rPr>
          <w:szCs w:val="26"/>
        </w:rPr>
        <w:t xml:space="preserve">or she </w:t>
      </w:r>
      <w:r w:rsidRPr="00306A22">
        <w:rPr>
          <w:szCs w:val="26"/>
        </w:rPr>
        <w:t>“may pay” the fee “under protest and bring an action against the governing body in the superior court to recover any money that the governing body refuses to refund.”  (§</w:t>
      </w:r>
      <w:r w:rsidR="00960D69">
        <w:rPr>
          <w:szCs w:val="26"/>
        </w:rPr>
        <w:t> </w:t>
      </w:r>
      <w:r w:rsidRPr="00306A22">
        <w:rPr>
          <w:szCs w:val="26"/>
        </w:rPr>
        <w:t xml:space="preserve">10726.6, subd. (d) (section 10726.6(d)).)  </w:t>
      </w:r>
      <w:r w:rsidRPr="00285A6C" w:rsidR="00285A6C">
        <w:rPr>
          <w:szCs w:val="26"/>
        </w:rPr>
        <w:t xml:space="preserve">Any judicial action </w:t>
      </w:r>
      <w:r w:rsidR="00285A6C">
        <w:rPr>
          <w:szCs w:val="26"/>
        </w:rPr>
        <w:t xml:space="preserve">attacking an </w:t>
      </w:r>
      <w:r w:rsidRPr="00285A6C" w:rsidR="00285A6C">
        <w:rPr>
          <w:szCs w:val="26"/>
        </w:rPr>
        <w:t xml:space="preserve">ordinance </w:t>
      </w:r>
      <w:r w:rsidR="00471ACC">
        <w:rPr>
          <w:szCs w:val="26"/>
        </w:rPr>
        <w:t xml:space="preserve">that </w:t>
      </w:r>
      <w:r w:rsidRPr="00285A6C" w:rsidR="00285A6C">
        <w:rPr>
          <w:szCs w:val="26"/>
        </w:rPr>
        <w:t>impos</w:t>
      </w:r>
      <w:r w:rsidR="00471ACC">
        <w:rPr>
          <w:szCs w:val="26"/>
        </w:rPr>
        <w:t xml:space="preserve">es or increases a </w:t>
      </w:r>
      <w:r w:rsidRPr="00285A6C" w:rsidR="00285A6C">
        <w:rPr>
          <w:szCs w:val="26"/>
        </w:rPr>
        <w:t xml:space="preserve">fee </w:t>
      </w:r>
      <w:r w:rsidR="00285A6C">
        <w:rPr>
          <w:szCs w:val="26"/>
        </w:rPr>
        <w:t>must</w:t>
      </w:r>
      <w:r w:rsidRPr="00285A6C" w:rsidR="00285A6C">
        <w:rPr>
          <w:szCs w:val="26"/>
        </w:rPr>
        <w:t xml:space="preserve"> be commenced within 180 days </w:t>
      </w:r>
      <w:r w:rsidR="007D0F27">
        <w:rPr>
          <w:szCs w:val="26"/>
        </w:rPr>
        <w:t>of the ordinance’s</w:t>
      </w:r>
      <w:r w:rsidRPr="00285A6C" w:rsidR="00285A6C">
        <w:rPr>
          <w:szCs w:val="26"/>
        </w:rPr>
        <w:t xml:space="preserve"> adoption</w:t>
      </w:r>
      <w:r w:rsidR="007D0F27">
        <w:rPr>
          <w:szCs w:val="26"/>
        </w:rPr>
        <w:t>.  (</w:t>
      </w:r>
      <w:r w:rsidR="007D0F27">
        <w:rPr>
          <w:i/>
          <w:iCs/>
          <w:szCs w:val="26"/>
        </w:rPr>
        <w:t>Id.</w:t>
      </w:r>
      <w:r w:rsidR="007D0F27">
        <w:rPr>
          <w:szCs w:val="26"/>
        </w:rPr>
        <w:t>, subd. (c).)</w:t>
      </w:r>
    </w:p>
    <w:p w:rsidR="00551E1D" w:rsidRPr="00306A22" w:rsidP="00551E1D" w14:paraId="6E9ED0A7" w14:textId="7C71B1F6">
      <w:pPr>
        <w:spacing w:line="480" w:lineRule="atLeast"/>
        <w:ind w:firstLine="1440"/>
        <w:rPr>
          <w:color w:val="7030A0"/>
          <w:szCs w:val="26"/>
        </w:rPr>
      </w:pPr>
      <w:r w:rsidRPr="00306A22">
        <w:rPr>
          <w:szCs w:val="26"/>
        </w:rPr>
        <w:t xml:space="preserve">SGMA specifies that it does not modify rights to use groundwater, and it </w:t>
      </w:r>
      <w:r w:rsidR="00902E94">
        <w:rPr>
          <w:szCs w:val="26"/>
        </w:rPr>
        <w:t xml:space="preserve">expressly </w:t>
      </w:r>
      <w:r w:rsidRPr="00306A22">
        <w:rPr>
          <w:szCs w:val="26"/>
        </w:rPr>
        <w:t>prohibits groundwater sustainability plans from determining water rights.  (§</w:t>
      </w:r>
      <w:r w:rsidR="00945E32">
        <w:rPr>
          <w:szCs w:val="26"/>
        </w:rPr>
        <w:t> </w:t>
      </w:r>
      <w:r w:rsidRPr="00306A22">
        <w:rPr>
          <w:szCs w:val="26"/>
        </w:rPr>
        <w:t xml:space="preserve">10720.5, subd. (a), (b).)  To that end, the Legislature expressed an intent to enhance local groundwater management in a manner “consistent with rights to use or store groundwater and </w:t>
      </w:r>
      <w:bookmarkStart w:id="1" w:name="dabmci_25a9af6729884ca0b84240a68a198bbb"/>
      <w:r w:rsidRPr="00306A22">
        <w:rPr>
          <w:szCs w:val="26"/>
        </w:rPr>
        <w:t>Section 2 of Article X of the California Constitution</w:t>
      </w:r>
      <w:bookmarkEnd w:id="1"/>
      <w:r w:rsidR="00945E32">
        <w:rPr>
          <w:szCs w:val="26"/>
        </w:rPr>
        <w:t>,</w:t>
      </w:r>
      <w:r w:rsidRPr="00306A22">
        <w:rPr>
          <w:szCs w:val="26"/>
        </w:rPr>
        <w:t>” and to “preserve the security of water rights in the state to the greatest extent possible consistent with the sustainable management of groundwater.”  (§ 10720.1, subd. (b).)</w:t>
      </w:r>
    </w:p>
    <w:p w:rsidR="00551E1D" w:rsidP="00551E1D" w14:paraId="5DB77959" w14:textId="54DA5D31">
      <w:pPr>
        <w:spacing w:line="480" w:lineRule="atLeast"/>
        <w:ind w:firstLine="1440"/>
        <w:rPr>
          <w:szCs w:val="26"/>
        </w:rPr>
      </w:pPr>
      <w:r w:rsidRPr="00306A22">
        <w:rPr>
          <w:szCs w:val="26"/>
        </w:rPr>
        <w:t>SGMA allows a claimant to file an adjudication action to determine rights to extract groundwater from a basin, including an action to quiet title regarding those rights, and it requires that any such action be conducted in accordance with Code of Civil Procedure section 830 et seq., which governs groundwater cases.  (§§ 10720.5, subd. (c), 10721, subd. (a), 10737-10738.)  A court may not enter judgment in such cases unless it “finds that the judgment will not substantially impair the ability of a groundwater sustainability agency . . . to achieve sustainable groundwater management.”  (§ 10737.8.)</w:t>
      </w:r>
    </w:p>
    <w:p w:rsidR="00551E1D" w:rsidRPr="00306A22" w:rsidP="00CA4832" w14:paraId="62B72DB6" w14:textId="385FA416">
      <w:pPr>
        <w:keepNext/>
        <w:spacing w:line="480" w:lineRule="atLeast"/>
        <w:ind w:firstLine="720"/>
        <w:rPr>
          <w:szCs w:val="26"/>
        </w:rPr>
      </w:pPr>
      <w:r w:rsidRPr="00306A22">
        <w:rPr>
          <w:szCs w:val="26"/>
        </w:rPr>
        <w:t>4.</w:t>
      </w:r>
      <w:r w:rsidRPr="00306A22">
        <w:rPr>
          <w:szCs w:val="26"/>
        </w:rPr>
        <w:tab/>
      </w:r>
      <w:r w:rsidRPr="00306A22">
        <w:rPr>
          <w:i/>
          <w:iCs/>
          <w:szCs w:val="26"/>
        </w:rPr>
        <w:t>The</w:t>
      </w:r>
      <w:r w:rsidRPr="00306A22">
        <w:rPr>
          <w:szCs w:val="26"/>
        </w:rPr>
        <w:t xml:space="preserve"> </w:t>
      </w:r>
      <w:r w:rsidRPr="00306A22">
        <w:rPr>
          <w:i/>
          <w:iCs/>
          <w:szCs w:val="26"/>
        </w:rPr>
        <w:t>Authority and Its Groundwater Sustainability Plan</w:t>
      </w:r>
    </w:p>
    <w:p w:rsidR="00551E1D" w:rsidRPr="00306A22" w:rsidP="00551E1D" w14:paraId="28618BEA" w14:textId="5ABE8E76">
      <w:pPr>
        <w:spacing w:line="480" w:lineRule="atLeast"/>
        <w:ind w:firstLine="1440"/>
        <w:rPr>
          <w:szCs w:val="26"/>
        </w:rPr>
      </w:pPr>
      <w:r>
        <w:rPr>
          <w:szCs w:val="26"/>
        </w:rPr>
        <w:t>T</w:t>
      </w:r>
      <w:r w:rsidRPr="00306A22">
        <w:rPr>
          <w:szCs w:val="26"/>
        </w:rPr>
        <w:t>he Department of Water Resources designated the Basin as a high-priority basin subject to critical overdraft.</w:t>
      </w:r>
      <w:r w:rsidR="00945E32">
        <w:rPr>
          <w:szCs w:val="26"/>
        </w:rPr>
        <w:t xml:space="preserve"> </w:t>
      </w:r>
      <w:r w:rsidRPr="00306A22">
        <w:rPr>
          <w:szCs w:val="26"/>
        </w:rPr>
        <w:t xml:space="preserve"> The Basin was therefore required under SGMA to adopt a groundwater sustainability plan by 2020.  </w:t>
      </w:r>
    </w:p>
    <w:p w:rsidR="00551E1D" w:rsidRPr="00306A22" w:rsidP="00551E1D" w14:paraId="36EE43B0" w14:textId="2931E85F">
      <w:pPr>
        <w:spacing w:line="480" w:lineRule="atLeast"/>
        <w:ind w:firstLine="1440"/>
        <w:rPr>
          <w:szCs w:val="26"/>
        </w:rPr>
      </w:pPr>
      <w:r w:rsidRPr="00306A22">
        <w:rPr>
          <w:szCs w:val="26"/>
        </w:rPr>
        <w:t xml:space="preserve">In 2016, five local agencies—Kern County, Inyo County, San Bernardino County, the Indian Wells Valley Water District, and the City of Ridgecrest—created </w:t>
      </w:r>
      <w:r w:rsidR="00780D8B">
        <w:rPr>
          <w:szCs w:val="26"/>
        </w:rPr>
        <w:t>the Authority</w:t>
      </w:r>
      <w:r w:rsidRPr="00306A22">
        <w:rPr>
          <w:szCs w:val="26"/>
        </w:rPr>
        <w:t xml:space="preserve"> as a joint powers authority</w:t>
      </w:r>
      <w:r w:rsidRPr="00780D8B" w:rsidR="00780D8B">
        <w:rPr>
          <w:szCs w:val="26"/>
        </w:rPr>
        <w:t xml:space="preserve"> </w:t>
      </w:r>
      <w:r w:rsidRPr="00306A22" w:rsidR="00780D8B">
        <w:rPr>
          <w:szCs w:val="26"/>
        </w:rPr>
        <w:t>to serve as the groundwater sustainability agency for the Basin</w:t>
      </w:r>
      <w:r w:rsidR="009C6404">
        <w:rPr>
          <w:szCs w:val="26"/>
        </w:rPr>
        <w:t>.</w:t>
      </w:r>
      <w:r>
        <w:rPr>
          <w:rStyle w:val="FootnoteReference"/>
          <w:szCs w:val="26"/>
        </w:rPr>
        <w:footnoteReference w:id="8"/>
      </w:r>
      <w:r w:rsidR="00945E32">
        <w:rPr>
          <w:szCs w:val="26"/>
        </w:rPr>
        <w:t xml:space="preserve"> </w:t>
      </w:r>
      <w:r w:rsidRPr="00306A22">
        <w:rPr>
          <w:szCs w:val="26"/>
        </w:rPr>
        <w:t xml:space="preserve"> </w:t>
      </w:r>
      <w:r w:rsidR="003F6889">
        <w:rPr>
          <w:szCs w:val="26"/>
        </w:rPr>
        <w:t>T</w:t>
      </w:r>
      <w:r w:rsidRPr="00306A22">
        <w:rPr>
          <w:szCs w:val="26"/>
        </w:rPr>
        <w:t xml:space="preserve">he Authority spent several years preparing </w:t>
      </w:r>
      <w:r w:rsidRPr="00306A22" w:rsidR="009C6404">
        <w:rPr>
          <w:szCs w:val="26"/>
        </w:rPr>
        <w:t>a groundwater sustainability plan as required by SGMA</w:t>
      </w:r>
      <w:r w:rsidRPr="00306A22">
        <w:rPr>
          <w:szCs w:val="26"/>
        </w:rPr>
        <w:t xml:space="preserve">, seeking input from a </w:t>
      </w:r>
      <w:r w:rsidRPr="00306A22" w:rsidR="00945E32">
        <w:rPr>
          <w:szCs w:val="26"/>
        </w:rPr>
        <w:t>policy advisory committee</w:t>
      </w:r>
      <w:r w:rsidRPr="00306A22">
        <w:rPr>
          <w:szCs w:val="26"/>
        </w:rPr>
        <w:t xml:space="preserve"> and a </w:t>
      </w:r>
      <w:r w:rsidRPr="00306A22" w:rsidR="00945E32">
        <w:rPr>
          <w:szCs w:val="26"/>
        </w:rPr>
        <w:t>technical advisory committee</w:t>
      </w:r>
      <w:r w:rsidRPr="00306A22">
        <w:rPr>
          <w:szCs w:val="26"/>
        </w:rPr>
        <w:t>.</w:t>
      </w:r>
      <w:r w:rsidR="00945E32">
        <w:rPr>
          <w:szCs w:val="26"/>
        </w:rPr>
        <w:t xml:space="preserve">  </w:t>
      </w:r>
      <w:r w:rsidRPr="00306A22">
        <w:rPr>
          <w:szCs w:val="26"/>
        </w:rPr>
        <w:t xml:space="preserve">Mojave participated in this process. </w:t>
      </w:r>
    </w:p>
    <w:p w:rsidR="00F114B9" w:rsidP="00551E1D" w14:paraId="1B061ACF" w14:textId="4DCB3416">
      <w:pPr>
        <w:spacing w:line="480" w:lineRule="atLeast"/>
        <w:ind w:firstLine="1440"/>
        <w:rPr>
          <w:bCs/>
          <w:szCs w:val="26"/>
        </w:rPr>
      </w:pPr>
      <w:r w:rsidRPr="00306A22">
        <w:rPr>
          <w:szCs w:val="26"/>
        </w:rPr>
        <w:t>The Authority adopted its groundwater sustainability plan in January 2020.</w:t>
      </w:r>
      <w:r w:rsidR="00945E32">
        <w:rPr>
          <w:szCs w:val="26"/>
        </w:rPr>
        <w:t xml:space="preserve"> </w:t>
      </w:r>
      <w:r w:rsidRPr="00306A22">
        <w:rPr>
          <w:szCs w:val="26"/>
        </w:rPr>
        <w:t xml:space="preserve"> In </w:t>
      </w:r>
      <w:r w:rsidR="000F2B18">
        <w:rPr>
          <w:szCs w:val="26"/>
        </w:rPr>
        <w:t>its</w:t>
      </w:r>
      <w:r w:rsidRPr="00306A22" w:rsidR="000F2B18">
        <w:rPr>
          <w:szCs w:val="26"/>
        </w:rPr>
        <w:t xml:space="preserve"> </w:t>
      </w:r>
      <w:r w:rsidRPr="00306A22">
        <w:rPr>
          <w:szCs w:val="26"/>
        </w:rPr>
        <w:t>plan, t</w:t>
      </w:r>
      <w:r w:rsidRPr="00306A22">
        <w:rPr>
          <w:bCs/>
          <w:szCs w:val="26"/>
        </w:rPr>
        <w:t>h</w:t>
      </w:r>
      <w:r w:rsidRPr="00306A22">
        <w:rPr>
          <w:szCs w:val="26"/>
        </w:rPr>
        <w:t xml:space="preserve">e Authority determined that the Basin cannot achieve </w:t>
      </w:r>
      <w:r w:rsidR="00F862CC">
        <w:rPr>
          <w:szCs w:val="26"/>
        </w:rPr>
        <w:t xml:space="preserve">groundwater </w:t>
      </w:r>
      <w:r w:rsidRPr="00306A22">
        <w:rPr>
          <w:szCs w:val="26"/>
        </w:rPr>
        <w:t>sustainability through extraction reductions alone</w:t>
      </w:r>
      <w:r w:rsidR="00960D69">
        <w:rPr>
          <w:szCs w:val="26"/>
        </w:rPr>
        <w:t>;</w:t>
      </w:r>
      <w:r w:rsidRPr="00306A22">
        <w:rPr>
          <w:szCs w:val="26"/>
        </w:rPr>
        <w:t xml:space="preserve"> </w:t>
      </w:r>
      <w:r w:rsidR="00960D69">
        <w:rPr>
          <w:szCs w:val="26"/>
        </w:rPr>
        <w:t>rather,</w:t>
      </w:r>
      <w:r w:rsidRPr="00306A22">
        <w:rPr>
          <w:szCs w:val="26"/>
        </w:rPr>
        <w:t xml:space="preserve"> augmentation and overdraft mitigation projects </w:t>
      </w:r>
      <w:r w:rsidR="00F862CC">
        <w:rPr>
          <w:szCs w:val="26"/>
        </w:rPr>
        <w:t>must</w:t>
      </w:r>
      <w:r w:rsidRPr="00306A22">
        <w:rPr>
          <w:szCs w:val="26"/>
        </w:rPr>
        <w:t xml:space="preserve"> be developed</w:t>
      </w:r>
      <w:r w:rsidR="00960D69">
        <w:rPr>
          <w:szCs w:val="26"/>
        </w:rPr>
        <w:t>.</w:t>
      </w:r>
      <w:r w:rsidRPr="00306A22">
        <w:rPr>
          <w:szCs w:val="26"/>
        </w:rPr>
        <w:t xml:space="preserve"> </w:t>
      </w:r>
      <w:r w:rsidR="00960D69">
        <w:rPr>
          <w:szCs w:val="26"/>
        </w:rPr>
        <w:t xml:space="preserve"> T</w:t>
      </w:r>
      <w:r w:rsidRPr="00306A22">
        <w:rPr>
          <w:szCs w:val="26"/>
        </w:rPr>
        <w:t xml:space="preserve">o finance those projects, </w:t>
      </w:r>
      <w:r w:rsidR="00960D69">
        <w:rPr>
          <w:szCs w:val="26"/>
        </w:rPr>
        <w:t>the Authority</w:t>
      </w:r>
      <w:r w:rsidRPr="00306A22">
        <w:rPr>
          <w:szCs w:val="26"/>
        </w:rPr>
        <w:t xml:space="preserve"> </w:t>
      </w:r>
      <w:r w:rsidR="00315541">
        <w:rPr>
          <w:szCs w:val="26"/>
        </w:rPr>
        <w:t xml:space="preserve">determined it </w:t>
      </w:r>
      <w:r w:rsidRPr="00306A22">
        <w:rPr>
          <w:szCs w:val="26"/>
        </w:rPr>
        <w:t xml:space="preserve">would need to charge fees to the entities and individuals who will benefit </w:t>
      </w:r>
      <w:r w:rsidR="00FC1F70">
        <w:rPr>
          <w:szCs w:val="26"/>
        </w:rPr>
        <w:t>from</w:t>
      </w:r>
      <w:r w:rsidRPr="00306A22">
        <w:rPr>
          <w:szCs w:val="26"/>
        </w:rPr>
        <w:t xml:space="preserve"> them. </w:t>
      </w:r>
    </w:p>
    <w:p w:rsidR="00551E1D" w:rsidRPr="00306A22" w:rsidP="00551E1D" w14:paraId="4D02FB26" w14:textId="378A83E6">
      <w:pPr>
        <w:spacing w:line="480" w:lineRule="atLeast"/>
        <w:ind w:firstLine="1440"/>
        <w:rPr>
          <w:szCs w:val="26"/>
        </w:rPr>
      </w:pPr>
      <w:r w:rsidRPr="00306A22">
        <w:rPr>
          <w:szCs w:val="26"/>
        </w:rPr>
        <w:t xml:space="preserve">The Authority then took several steps to implement its groundwater sustainability plan (collectively, the Implementing Actions).  Those Implementing Actions are the crux of this case. </w:t>
      </w:r>
    </w:p>
    <w:p w:rsidR="00551E1D" w:rsidRPr="00306A22" w:rsidP="00960D69" w14:paraId="0669CF54" w14:textId="19EE832F">
      <w:pPr>
        <w:keepNext/>
        <w:spacing w:line="480" w:lineRule="atLeast"/>
        <w:ind w:left="720" w:firstLine="720"/>
        <w:rPr>
          <w:i/>
          <w:iCs/>
          <w:szCs w:val="26"/>
        </w:rPr>
      </w:pPr>
      <w:r w:rsidRPr="00306A22">
        <w:rPr>
          <w:szCs w:val="26"/>
        </w:rPr>
        <w:t>a.</w:t>
      </w:r>
      <w:r w:rsidRPr="00306A22">
        <w:rPr>
          <w:i/>
          <w:iCs/>
          <w:szCs w:val="26"/>
        </w:rPr>
        <w:tab/>
        <w:t>The Sustainable Yield Report</w:t>
      </w:r>
    </w:p>
    <w:p w:rsidR="00551E1D" w:rsidRPr="00306A22" w:rsidP="00551E1D" w14:paraId="244379EC" w14:textId="78DF87FB">
      <w:pPr>
        <w:spacing w:line="480" w:lineRule="atLeast"/>
        <w:ind w:firstLine="1440"/>
        <w:rPr>
          <w:szCs w:val="26"/>
        </w:rPr>
      </w:pPr>
      <w:r>
        <w:rPr>
          <w:szCs w:val="26"/>
        </w:rPr>
        <w:t>First, i</w:t>
      </w:r>
      <w:r w:rsidRPr="00306A22">
        <w:rPr>
          <w:szCs w:val="26"/>
        </w:rPr>
        <w:t>n July 2020, the Authority adopted and approved a report</w:t>
      </w:r>
      <w:r w:rsidR="004019B3">
        <w:rPr>
          <w:szCs w:val="26"/>
        </w:rPr>
        <w:t xml:space="preserve"> </w:t>
      </w:r>
      <w:r w:rsidRPr="00306A22">
        <w:rPr>
          <w:szCs w:val="26"/>
        </w:rPr>
        <w:t xml:space="preserve">on the Basin’s sustainable yield—that is, the maximum </w:t>
      </w:r>
      <w:r w:rsidR="00C521F8">
        <w:rPr>
          <w:szCs w:val="26"/>
        </w:rPr>
        <w:t>amount</w:t>
      </w:r>
      <w:r w:rsidRPr="00306A22" w:rsidR="00C521F8">
        <w:rPr>
          <w:szCs w:val="26"/>
        </w:rPr>
        <w:t xml:space="preserve"> </w:t>
      </w:r>
      <w:r w:rsidRPr="00306A22">
        <w:rPr>
          <w:szCs w:val="26"/>
        </w:rPr>
        <w:t>of water that can be withdrawn annually from a groundwater supply without causing chronic lowering or other undesirable results (see § 10721, subd. (w), (x))</w:t>
      </w:r>
      <w:r w:rsidR="00C521F8">
        <w:rPr>
          <w:szCs w:val="26"/>
        </w:rPr>
        <w:t>.  According to th</w:t>
      </w:r>
      <w:r w:rsidR="00F625A4">
        <w:rPr>
          <w:szCs w:val="26"/>
        </w:rPr>
        <w:t>is do</w:t>
      </w:r>
      <w:r w:rsidR="005C5D27">
        <w:rPr>
          <w:szCs w:val="26"/>
        </w:rPr>
        <w:t>cument (the Sustainable Yield</w:t>
      </w:r>
      <w:r w:rsidR="00C521F8">
        <w:rPr>
          <w:szCs w:val="26"/>
        </w:rPr>
        <w:t xml:space="preserve"> </w:t>
      </w:r>
      <w:r w:rsidR="005C5D27">
        <w:rPr>
          <w:szCs w:val="26"/>
        </w:rPr>
        <w:t>R</w:t>
      </w:r>
      <w:r w:rsidR="00C521F8">
        <w:rPr>
          <w:szCs w:val="26"/>
        </w:rPr>
        <w:t>eport</w:t>
      </w:r>
      <w:r w:rsidR="005C5D27">
        <w:rPr>
          <w:szCs w:val="26"/>
        </w:rPr>
        <w:t>)</w:t>
      </w:r>
      <w:r w:rsidR="00C521F8">
        <w:rPr>
          <w:szCs w:val="26"/>
        </w:rPr>
        <w:t xml:space="preserve">, the Basin’s sustainable yield is </w:t>
      </w:r>
      <w:r w:rsidRPr="00306A22">
        <w:rPr>
          <w:szCs w:val="26"/>
        </w:rPr>
        <w:t>7,650 acre</w:t>
      </w:r>
      <w:r w:rsidR="005E3BA8">
        <w:rPr>
          <w:szCs w:val="26"/>
        </w:rPr>
        <w:noBreakHyphen/>
      </w:r>
      <w:r w:rsidRPr="00306A22">
        <w:rPr>
          <w:szCs w:val="26"/>
        </w:rPr>
        <w:t>feet per year.</w:t>
      </w:r>
      <w:r>
        <w:rPr>
          <w:rStyle w:val="FootnoteReference"/>
          <w:szCs w:val="26"/>
        </w:rPr>
        <w:footnoteReference w:id="9"/>
      </w:r>
      <w:r w:rsidRPr="00306A22">
        <w:rPr>
          <w:szCs w:val="26"/>
        </w:rPr>
        <w:t xml:space="preserve"> </w:t>
      </w:r>
    </w:p>
    <w:p w:rsidR="00551E1D" w:rsidRPr="00306A22" w:rsidP="00551E1D" w14:paraId="4BA9133F" w14:textId="3270A5B1">
      <w:pPr>
        <w:spacing w:line="480" w:lineRule="atLeast"/>
        <w:ind w:firstLine="1440"/>
        <w:rPr>
          <w:szCs w:val="26"/>
        </w:rPr>
      </w:pPr>
      <w:r w:rsidRPr="00306A22">
        <w:rPr>
          <w:szCs w:val="26"/>
        </w:rPr>
        <w:t xml:space="preserve">The </w:t>
      </w:r>
      <w:r w:rsidR="00310959">
        <w:rPr>
          <w:szCs w:val="26"/>
        </w:rPr>
        <w:t>r</w:t>
      </w:r>
      <w:r w:rsidR="00D26BB8">
        <w:rPr>
          <w:szCs w:val="26"/>
        </w:rPr>
        <w:t>eport</w:t>
      </w:r>
      <w:r w:rsidRPr="00306A22">
        <w:rPr>
          <w:szCs w:val="26"/>
        </w:rPr>
        <w:t xml:space="preserve"> explained that the Basin is solely dependent on groundwater; current outflows are about four times the estimated inflows; groundwater levels are dropping by up to 2.5 feet annually; the Basin does not currently have access to imported water; </w:t>
      </w:r>
      <w:r w:rsidR="00F114B9">
        <w:rPr>
          <w:szCs w:val="26"/>
        </w:rPr>
        <w:t xml:space="preserve">and </w:t>
      </w:r>
      <w:r w:rsidRPr="00306A22">
        <w:rPr>
          <w:szCs w:val="26"/>
        </w:rPr>
        <w:t xml:space="preserve">up to 50 miles of infrastructure </w:t>
      </w:r>
      <w:r w:rsidR="00960D69">
        <w:rPr>
          <w:szCs w:val="26"/>
        </w:rPr>
        <w:t>must</w:t>
      </w:r>
      <w:r w:rsidRPr="00306A22">
        <w:rPr>
          <w:szCs w:val="26"/>
        </w:rPr>
        <w:t xml:space="preserve"> be built in order to import water.</w:t>
      </w:r>
    </w:p>
    <w:p w:rsidR="00551E1D" w:rsidRPr="00306A22" w:rsidP="00551E1D" w14:paraId="305440CA" w14:textId="1F0CBDEC">
      <w:pPr>
        <w:spacing w:line="480" w:lineRule="atLeast"/>
        <w:ind w:firstLine="1440"/>
        <w:rPr>
          <w:szCs w:val="26"/>
        </w:rPr>
      </w:pPr>
      <w:r w:rsidRPr="00306A22">
        <w:rPr>
          <w:szCs w:val="26"/>
        </w:rPr>
        <w:t>The report further noted that the majority of groundwater extractions in the Basin are by six large producers, one of which is Mojave.</w:t>
      </w:r>
      <w:r w:rsidR="00945E32">
        <w:rPr>
          <w:szCs w:val="26"/>
        </w:rPr>
        <w:t xml:space="preserve">  </w:t>
      </w:r>
      <w:r w:rsidRPr="00306A22">
        <w:rPr>
          <w:szCs w:val="26"/>
        </w:rPr>
        <w:t>According to the report, Mojave estimates its future extraction demands will be about 7,200 acre</w:t>
      </w:r>
      <w:r w:rsidR="005E3BA8">
        <w:rPr>
          <w:szCs w:val="26"/>
        </w:rPr>
        <w:noBreakHyphen/>
      </w:r>
      <w:r w:rsidRPr="00306A22">
        <w:rPr>
          <w:szCs w:val="26"/>
        </w:rPr>
        <w:t>feet per year, or roughly 94 percent of the Basin’s sustainable yield</w:t>
      </w:r>
      <w:r w:rsidR="00960D69">
        <w:rPr>
          <w:szCs w:val="26"/>
        </w:rPr>
        <w:t xml:space="preserve">. </w:t>
      </w:r>
      <w:r w:rsidRPr="00306A22">
        <w:rPr>
          <w:szCs w:val="26"/>
        </w:rPr>
        <w:t xml:space="preserve"> </w:t>
      </w:r>
      <w:r w:rsidR="00960D69">
        <w:rPr>
          <w:szCs w:val="26"/>
        </w:rPr>
        <w:t>T</w:t>
      </w:r>
      <w:r w:rsidRPr="00306A22">
        <w:rPr>
          <w:szCs w:val="26"/>
        </w:rPr>
        <w:t xml:space="preserve">wo of the other largest producers each reported historical extractions </w:t>
      </w:r>
      <w:r w:rsidRPr="001101EA">
        <w:rPr>
          <w:szCs w:val="26"/>
        </w:rPr>
        <w:t>in excess of</w:t>
      </w:r>
      <w:r w:rsidRPr="00306A22">
        <w:rPr>
          <w:szCs w:val="26"/>
        </w:rPr>
        <w:t xml:space="preserve"> the Basin’s sustainable yield</w:t>
      </w:r>
      <w:r w:rsidR="00960D69">
        <w:rPr>
          <w:szCs w:val="26"/>
        </w:rPr>
        <w:t xml:space="preserve">. </w:t>
      </w:r>
      <w:r w:rsidRPr="00306A22">
        <w:rPr>
          <w:szCs w:val="26"/>
        </w:rPr>
        <w:t xml:space="preserve"> </w:t>
      </w:r>
      <w:r w:rsidR="00960D69">
        <w:rPr>
          <w:szCs w:val="26"/>
        </w:rPr>
        <w:t>C</w:t>
      </w:r>
      <w:r w:rsidRPr="00306A22">
        <w:rPr>
          <w:szCs w:val="26"/>
        </w:rPr>
        <w:t xml:space="preserve">ollectively, those six producers’ extractions totaled nearly 3.5 times the estimated inflow to the Basin.  Thus, concluded the Authority, without changes to the Basin’s overdraft condition, its groundwater infrastructure will not be able to produce the needed water by 2065. </w:t>
      </w:r>
    </w:p>
    <w:p w:rsidR="00551E1D" w:rsidRPr="00306A22" w:rsidP="00551E1D" w14:paraId="2B464440" w14:textId="5651178A">
      <w:pPr>
        <w:spacing w:line="480" w:lineRule="atLeast"/>
        <w:ind w:firstLine="1440"/>
        <w:rPr>
          <w:szCs w:val="26"/>
        </w:rPr>
      </w:pPr>
      <w:r w:rsidRPr="00306A22">
        <w:rPr>
          <w:szCs w:val="26"/>
        </w:rPr>
        <w:t xml:space="preserve">The report </w:t>
      </w:r>
      <w:r w:rsidR="002D77AE">
        <w:rPr>
          <w:szCs w:val="26"/>
        </w:rPr>
        <w:t xml:space="preserve">also discussed </w:t>
      </w:r>
      <w:r w:rsidRPr="00306A22">
        <w:rPr>
          <w:szCs w:val="26"/>
        </w:rPr>
        <w:t xml:space="preserve">the Navy’s </w:t>
      </w:r>
      <w:r w:rsidR="001C7F94">
        <w:rPr>
          <w:szCs w:val="26"/>
        </w:rPr>
        <w:t>f</w:t>
      </w:r>
      <w:r w:rsidRPr="00306A22">
        <w:rPr>
          <w:szCs w:val="26"/>
        </w:rPr>
        <w:t xml:space="preserve">ederal </w:t>
      </w:r>
      <w:r w:rsidR="001C7F94">
        <w:rPr>
          <w:szCs w:val="26"/>
        </w:rPr>
        <w:t>r</w:t>
      </w:r>
      <w:r w:rsidRPr="00306A22">
        <w:rPr>
          <w:szCs w:val="26"/>
        </w:rPr>
        <w:t xml:space="preserve">eserve </w:t>
      </w:r>
      <w:r w:rsidR="001C7F94">
        <w:rPr>
          <w:szCs w:val="26"/>
        </w:rPr>
        <w:t>w</w:t>
      </w:r>
      <w:r w:rsidRPr="00306A22">
        <w:rPr>
          <w:szCs w:val="26"/>
        </w:rPr>
        <w:t xml:space="preserve">ater </w:t>
      </w:r>
      <w:r w:rsidR="001C7F94">
        <w:rPr>
          <w:szCs w:val="26"/>
        </w:rPr>
        <w:t>r</w:t>
      </w:r>
      <w:r w:rsidRPr="00306A22">
        <w:rPr>
          <w:szCs w:val="26"/>
        </w:rPr>
        <w:t>ight interest</w:t>
      </w:r>
      <w:r w:rsidR="00A02D43">
        <w:rPr>
          <w:szCs w:val="26"/>
        </w:rPr>
        <w:t xml:space="preserve">. </w:t>
      </w:r>
      <w:r w:rsidR="00AB6C63">
        <w:rPr>
          <w:szCs w:val="26"/>
        </w:rPr>
        <w:t xml:space="preserve"> Since</w:t>
      </w:r>
      <w:r w:rsidRPr="00306A22">
        <w:rPr>
          <w:szCs w:val="26"/>
        </w:rPr>
        <w:t xml:space="preserve"> the Navy had expressly declined to </w:t>
      </w:r>
      <w:r w:rsidR="00960D69">
        <w:rPr>
          <w:szCs w:val="26"/>
        </w:rPr>
        <w:t>quantify</w:t>
      </w:r>
      <w:r w:rsidRPr="00306A22">
        <w:rPr>
          <w:szCs w:val="26"/>
        </w:rPr>
        <w:t xml:space="preserve"> that interest</w:t>
      </w:r>
      <w:r w:rsidR="00DA5673">
        <w:rPr>
          <w:szCs w:val="26"/>
        </w:rPr>
        <w:t>,</w:t>
      </w:r>
      <w:r>
        <w:rPr>
          <w:rStyle w:val="FootnoteReference"/>
          <w:szCs w:val="26"/>
        </w:rPr>
        <w:footnoteReference w:id="10"/>
      </w:r>
      <w:r w:rsidR="00945E32">
        <w:rPr>
          <w:szCs w:val="26"/>
        </w:rPr>
        <w:t xml:space="preserve"> </w:t>
      </w:r>
      <w:r w:rsidR="00025E77">
        <w:rPr>
          <w:szCs w:val="26"/>
        </w:rPr>
        <w:t>t</w:t>
      </w:r>
      <w:r w:rsidRPr="00306A22">
        <w:rPr>
          <w:szCs w:val="26"/>
        </w:rPr>
        <w:t xml:space="preserve">he Authority estimated the Navy’s </w:t>
      </w:r>
      <w:r w:rsidR="00960D69">
        <w:rPr>
          <w:szCs w:val="26"/>
        </w:rPr>
        <w:t xml:space="preserve">potential </w:t>
      </w:r>
      <w:r w:rsidRPr="00306A22">
        <w:rPr>
          <w:szCs w:val="26"/>
        </w:rPr>
        <w:t xml:space="preserve">interest </w:t>
      </w:r>
      <w:r w:rsidR="00236E41">
        <w:rPr>
          <w:szCs w:val="26"/>
        </w:rPr>
        <w:t xml:space="preserve">by </w:t>
      </w:r>
      <w:r w:rsidRPr="00306A22">
        <w:rPr>
          <w:szCs w:val="26"/>
        </w:rPr>
        <w:t xml:space="preserve">using data the Navy provided on its pumping history and concluded the Navy could make a convincing argument that the Basin’s </w:t>
      </w:r>
      <w:r w:rsidRPr="00960D69">
        <w:rPr>
          <w:szCs w:val="26"/>
        </w:rPr>
        <w:t>entire</w:t>
      </w:r>
      <w:r w:rsidRPr="00306A22">
        <w:rPr>
          <w:szCs w:val="26"/>
        </w:rPr>
        <w:t xml:space="preserve"> sustainable yield was subject to the Navy’s </w:t>
      </w:r>
      <w:r w:rsidR="001C7F94">
        <w:rPr>
          <w:szCs w:val="26"/>
        </w:rPr>
        <w:t>f</w:t>
      </w:r>
      <w:r w:rsidRPr="00306A22">
        <w:rPr>
          <w:szCs w:val="26"/>
        </w:rPr>
        <w:t xml:space="preserve">ederal </w:t>
      </w:r>
      <w:r w:rsidR="001C7F94">
        <w:rPr>
          <w:szCs w:val="26"/>
        </w:rPr>
        <w:t>r</w:t>
      </w:r>
      <w:r w:rsidRPr="00306A22">
        <w:rPr>
          <w:szCs w:val="26"/>
        </w:rPr>
        <w:t xml:space="preserve">eserve </w:t>
      </w:r>
      <w:r w:rsidR="001C7F94">
        <w:rPr>
          <w:szCs w:val="26"/>
        </w:rPr>
        <w:t>w</w:t>
      </w:r>
      <w:r w:rsidRPr="00306A22">
        <w:rPr>
          <w:szCs w:val="26"/>
        </w:rPr>
        <w:t xml:space="preserve">ater </w:t>
      </w:r>
      <w:r w:rsidR="001C7F94">
        <w:rPr>
          <w:szCs w:val="26"/>
        </w:rPr>
        <w:t>r</w:t>
      </w:r>
      <w:r w:rsidRPr="00306A22">
        <w:rPr>
          <w:szCs w:val="26"/>
        </w:rPr>
        <w:t xml:space="preserve">ight interest.  </w:t>
      </w:r>
      <w:r w:rsidR="00C00462">
        <w:rPr>
          <w:szCs w:val="26"/>
        </w:rPr>
        <w:t xml:space="preserve">The Authority also </w:t>
      </w:r>
      <w:r w:rsidRPr="00306A22">
        <w:rPr>
          <w:szCs w:val="26"/>
        </w:rPr>
        <w:t xml:space="preserve">determined it cannot </w:t>
      </w:r>
      <w:r w:rsidR="00340C0F">
        <w:rPr>
          <w:szCs w:val="26"/>
        </w:rPr>
        <w:t xml:space="preserve">regulate the Navy’s groundwater usage or </w:t>
      </w:r>
      <w:r w:rsidRPr="00306A22">
        <w:rPr>
          <w:szCs w:val="26"/>
        </w:rPr>
        <w:t>charge the Navy for any fees for groundwater production.</w:t>
      </w:r>
      <w:r>
        <w:rPr>
          <w:rStyle w:val="FootnoteReference"/>
          <w:szCs w:val="26"/>
        </w:rPr>
        <w:footnoteReference w:id="11"/>
      </w:r>
    </w:p>
    <w:p w:rsidR="00551E1D" w:rsidRPr="00306A22" w:rsidP="00C00462" w14:paraId="59E47CFD" w14:textId="2121F8E4">
      <w:pPr>
        <w:spacing w:line="480" w:lineRule="atLeast"/>
        <w:ind w:firstLine="1440"/>
        <w:rPr>
          <w:szCs w:val="26"/>
        </w:rPr>
      </w:pPr>
      <w:r w:rsidRPr="00306A22">
        <w:rPr>
          <w:szCs w:val="26"/>
        </w:rPr>
        <w:t>The report then concluded that all groundwater extractors in the Basin (</w:t>
      </w:r>
      <w:r w:rsidRPr="00C00462">
        <w:rPr>
          <w:szCs w:val="26"/>
        </w:rPr>
        <w:t>excluding</w:t>
      </w:r>
      <w:r w:rsidRPr="00306A22">
        <w:rPr>
          <w:szCs w:val="26"/>
        </w:rPr>
        <w:t xml:space="preserve"> the federal government and any de minimis extractors</w:t>
      </w:r>
      <w:r w:rsidR="00945E32">
        <w:rPr>
          <w:szCs w:val="26"/>
        </w:rPr>
        <w:t>)</w:t>
      </w:r>
      <w:r>
        <w:rPr>
          <w:rStyle w:val="FootnoteReference"/>
          <w:szCs w:val="26"/>
        </w:rPr>
        <w:footnoteReference w:id="12"/>
      </w:r>
      <w:r w:rsidRPr="00306A22">
        <w:rPr>
          <w:szCs w:val="26"/>
        </w:rPr>
        <w:t xml:space="preserve"> will be beneficially impacted by overdraft mitigation and augmentation projects and therefore should be responsible for the “significant costs” of those projects. </w:t>
      </w:r>
      <w:r w:rsidR="00945E32">
        <w:rPr>
          <w:szCs w:val="26"/>
        </w:rPr>
        <w:t xml:space="preserve"> </w:t>
      </w:r>
      <w:r w:rsidRPr="00306A22">
        <w:rPr>
          <w:bCs/>
          <w:szCs w:val="26"/>
        </w:rPr>
        <w:t xml:space="preserve">The report observed that the cost of </w:t>
      </w:r>
      <w:r w:rsidR="00C00462">
        <w:rPr>
          <w:bCs/>
          <w:szCs w:val="26"/>
        </w:rPr>
        <w:t>those projects</w:t>
      </w:r>
      <w:r w:rsidRPr="00306A22">
        <w:rPr>
          <w:bCs/>
          <w:szCs w:val="26"/>
        </w:rPr>
        <w:t xml:space="preserve"> will mean “the likely cessation of large-scale agricultural uses in the Basin due to the increased cost for surface water,” but the cost “does not prevent such a use.”  It added that “the Central Valley is expected to see very significant reductions in crop lands due to import water supply costs,” and “Kern County alone is expected to see upwards of 185,000 acres of currently farmed land in the Central Valley to be permanently fallowed” (i.e., left unsown). </w:t>
      </w:r>
    </w:p>
    <w:p w:rsidR="00551E1D" w:rsidRPr="00306A22" w:rsidP="00960D69" w14:paraId="2D9BD6B8" w14:textId="205DC564">
      <w:pPr>
        <w:keepNext/>
        <w:spacing w:line="480" w:lineRule="atLeast"/>
        <w:ind w:left="720" w:firstLine="720"/>
        <w:rPr>
          <w:i/>
          <w:iCs/>
          <w:szCs w:val="26"/>
        </w:rPr>
      </w:pPr>
      <w:r w:rsidRPr="00306A22">
        <w:rPr>
          <w:szCs w:val="26"/>
        </w:rPr>
        <w:t>b</w:t>
      </w:r>
      <w:r w:rsidRPr="00306A22">
        <w:rPr>
          <w:i/>
          <w:iCs/>
          <w:szCs w:val="26"/>
        </w:rPr>
        <w:t>.</w:t>
      </w:r>
      <w:r w:rsidRPr="00306A22">
        <w:rPr>
          <w:i/>
          <w:iCs/>
          <w:szCs w:val="26"/>
        </w:rPr>
        <w:tab/>
        <w:t>The Replenishment Fee</w:t>
      </w:r>
      <w:r w:rsidR="002158DA">
        <w:rPr>
          <w:i/>
          <w:iCs/>
          <w:szCs w:val="26"/>
        </w:rPr>
        <w:t xml:space="preserve"> and Exempted Pumping Allotments</w:t>
      </w:r>
    </w:p>
    <w:p w:rsidR="00030C86" w:rsidRPr="00306A22" w:rsidP="00030C86" w14:paraId="7CEEAFF8" w14:textId="16A4BB49">
      <w:pPr>
        <w:spacing w:line="480" w:lineRule="atLeast"/>
        <w:ind w:firstLine="1440"/>
        <w:rPr>
          <w:b/>
          <w:bCs/>
          <w:szCs w:val="26"/>
        </w:rPr>
      </w:pPr>
      <w:r>
        <w:rPr>
          <w:szCs w:val="26"/>
        </w:rPr>
        <w:t>I</w:t>
      </w:r>
      <w:r w:rsidRPr="00306A22" w:rsidR="00551E1D">
        <w:rPr>
          <w:szCs w:val="26"/>
        </w:rPr>
        <w:t xml:space="preserve">n August 2020, the Authority adopted Ordinance No. 03-20, which </w:t>
      </w:r>
      <w:r w:rsidR="002715C7">
        <w:rPr>
          <w:szCs w:val="26"/>
        </w:rPr>
        <w:t>provides</w:t>
      </w:r>
      <w:r w:rsidRPr="00306A22" w:rsidR="00551E1D">
        <w:rPr>
          <w:szCs w:val="26"/>
        </w:rPr>
        <w:t xml:space="preserve"> that all groundwater extractions (except those by federal and de minimis extractors) will be subject to a Basin </w:t>
      </w:r>
      <w:r w:rsidR="00945E32">
        <w:rPr>
          <w:szCs w:val="26"/>
        </w:rPr>
        <w:t>r</w:t>
      </w:r>
      <w:r w:rsidRPr="00306A22" w:rsidR="00551E1D">
        <w:rPr>
          <w:szCs w:val="26"/>
        </w:rPr>
        <w:t xml:space="preserve">eplenishment </w:t>
      </w:r>
      <w:r w:rsidR="00945E32">
        <w:rPr>
          <w:szCs w:val="26"/>
        </w:rPr>
        <w:t>f</w:t>
      </w:r>
      <w:r w:rsidRPr="00306A22" w:rsidR="00551E1D">
        <w:rPr>
          <w:szCs w:val="26"/>
        </w:rPr>
        <w:t>ee of $2,130 per acre</w:t>
      </w:r>
      <w:r w:rsidR="005E3BA8">
        <w:rPr>
          <w:szCs w:val="26"/>
        </w:rPr>
        <w:noBreakHyphen/>
      </w:r>
      <w:r w:rsidRPr="00306A22" w:rsidR="00551E1D">
        <w:rPr>
          <w:szCs w:val="26"/>
        </w:rPr>
        <w:t>foot</w:t>
      </w:r>
      <w:r w:rsidRPr="002E2704" w:rsidR="002E2704">
        <w:rPr>
          <w:szCs w:val="26"/>
        </w:rPr>
        <w:t xml:space="preserve"> </w:t>
      </w:r>
      <w:r w:rsidRPr="00306A22" w:rsidR="002E2704">
        <w:rPr>
          <w:szCs w:val="26"/>
        </w:rPr>
        <w:t>starting in January 2021</w:t>
      </w:r>
      <w:r w:rsidR="006C5082">
        <w:rPr>
          <w:szCs w:val="26"/>
        </w:rPr>
        <w:t>,</w:t>
      </w:r>
      <w:r w:rsidRPr="00306A22" w:rsidR="00551E1D">
        <w:rPr>
          <w:szCs w:val="26"/>
        </w:rPr>
        <w:t xml:space="preserve"> to be paid on a monthly basis (the Replenishment Fee).</w:t>
      </w:r>
      <w:r>
        <w:rPr>
          <w:rStyle w:val="FootnoteReference"/>
          <w:szCs w:val="26"/>
        </w:rPr>
        <w:footnoteReference w:id="13"/>
      </w:r>
      <w:r w:rsidRPr="00306A22" w:rsidR="00551E1D">
        <w:rPr>
          <w:szCs w:val="26"/>
        </w:rPr>
        <w:t xml:space="preserve"> </w:t>
      </w:r>
      <w:r w:rsidR="00945E32">
        <w:rPr>
          <w:szCs w:val="26"/>
        </w:rPr>
        <w:t xml:space="preserve"> </w:t>
      </w:r>
      <w:r w:rsidRPr="00306A22">
        <w:rPr>
          <w:szCs w:val="26"/>
        </w:rPr>
        <w:t xml:space="preserve">According to the Authority, the Replenishment Fee is necessary to fund the </w:t>
      </w:r>
      <w:r>
        <w:rPr>
          <w:szCs w:val="26"/>
        </w:rPr>
        <w:t xml:space="preserve">significant </w:t>
      </w:r>
      <w:r w:rsidRPr="00306A22">
        <w:rPr>
          <w:szCs w:val="26"/>
        </w:rPr>
        <w:t xml:space="preserve">costs of </w:t>
      </w:r>
      <w:r w:rsidR="00361A55">
        <w:rPr>
          <w:szCs w:val="26"/>
        </w:rPr>
        <w:t>bringing in</w:t>
      </w:r>
      <w:r w:rsidRPr="00306A22">
        <w:rPr>
          <w:szCs w:val="26"/>
        </w:rPr>
        <w:t xml:space="preserve"> supplemental water (</w:t>
      </w:r>
      <w:r w:rsidR="00F301B0">
        <w:rPr>
          <w:szCs w:val="26"/>
        </w:rPr>
        <w:t>estimated to</w:t>
      </w:r>
      <w:r w:rsidR="002158DA">
        <w:rPr>
          <w:szCs w:val="26"/>
        </w:rPr>
        <w:t xml:space="preserve"> </w:t>
      </w:r>
      <w:r>
        <w:rPr>
          <w:szCs w:val="26"/>
        </w:rPr>
        <w:t>be</w:t>
      </w:r>
      <w:r w:rsidR="002158DA">
        <w:rPr>
          <w:szCs w:val="26"/>
        </w:rPr>
        <w:t xml:space="preserve"> </w:t>
      </w:r>
      <w:r w:rsidRPr="00306A22">
        <w:rPr>
          <w:szCs w:val="26"/>
        </w:rPr>
        <w:t>at least $52</w:t>
      </w:r>
      <w:r>
        <w:rPr>
          <w:szCs w:val="26"/>
        </w:rPr>
        <w:t> </w:t>
      </w:r>
      <w:r w:rsidRPr="00306A22">
        <w:rPr>
          <w:szCs w:val="26"/>
        </w:rPr>
        <w:t>million)</w:t>
      </w:r>
      <w:r>
        <w:rPr>
          <w:szCs w:val="26"/>
        </w:rPr>
        <w:t>,</w:t>
      </w:r>
      <w:r w:rsidRPr="00306A22">
        <w:rPr>
          <w:szCs w:val="26"/>
        </w:rPr>
        <w:t xml:space="preserve"> and also mitigating damage to </w:t>
      </w:r>
      <w:r w:rsidR="00E66F62">
        <w:rPr>
          <w:szCs w:val="26"/>
        </w:rPr>
        <w:t xml:space="preserve">shallow </w:t>
      </w:r>
      <w:r w:rsidRPr="00306A22">
        <w:rPr>
          <w:szCs w:val="26"/>
        </w:rPr>
        <w:t>wells</w:t>
      </w:r>
      <w:r w:rsidR="00CC7780">
        <w:rPr>
          <w:szCs w:val="26"/>
        </w:rPr>
        <w:t xml:space="preserve"> that may be impacted by dropping water levels</w:t>
      </w:r>
      <w:r w:rsidRPr="00306A22">
        <w:rPr>
          <w:szCs w:val="26"/>
        </w:rPr>
        <w:t>.</w:t>
      </w:r>
      <w:r w:rsidRPr="00306A22">
        <w:rPr>
          <w:b/>
          <w:bCs/>
          <w:szCs w:val="26"/>
        </w:rPr>
        <w:t xml:space="preserve"> </w:t>
      </w:r>
    </w:p>
    <w:p w:rsidR="00551E1D" w:rsidRPr="00306A22" w:rsidP="00551E1D" w14:paraId="7D5FE274" w14:textId="6649818A">
      <w:pPr>
        <w:spacing w:line="480" w:lineRule="atLeast"/>
        <w:ind w:firstLine="1440"/>
        <w:rPr>
          <w:b/>
          <w:bCs/>
          <w:szCs w:val="26"/>
        </w:rPr>
      </w:pPr>
      <w:r w:rsidRPr="00306A22">
        <w:rPr>
          <w:szCs w:val="26"/>
        </w:rPr>
        <w:t>Ordinance No. 03-20</w:t>
      </w:r>
      <w:r>
        <w:rPr>
          <w:szCs w:val="26"/>
        </w:rPr>
        <w:t xml:space="preserve"> </w:t>
      </w:r>
      <w:r w:rsidRPr="00306A22">
        <w:rPr>
          <w:szCs w:val="26"/>
        </w:rPr>
        <w:t xml:space="preserve">also </w:t>
      </w:r>
      <w:r w:rsidR="00FC1F70">
        <w:rPr>
          <w:szCs w:val="26"/>
        </w:rPr>
        <w:t>allocated</w:t>
      </w:r>
      <w:r w:rsidRPr="00306A22">
        <w:rPr>
          <w:szCs w:val="26"/>
        </w:rPr>
        <w:t xml:space="preserve"> the Basin’s 7,650 acre</w:t>
      </w:r>
      <w:r w:rsidR="005E3BA8">
        <w:rPr>
          <w:szCs w:val="26"/>
        </w:rPr>
        <w:noBreakHyphen/>
      </w:r>
      <w:r w:rsidRPr="00306A22">
        <w:rPr>
          <w:szCs w:val="26"/>
        </w:rPr>
        <w:t xml:space="preserve">feet sustainable yield </w:t>
      </w:r>
      <w:r w:rsidR="00FC1F70">
        <w:rPr>
          <w:szCs w:val="26"/>
        </w:rPr>
        <w:t>to several</w:t>
      </w:r>
      <w:r w:rsidRPr="00306A22">
        <w:rPr>
          <w:szCs w:val="26"/>
        </w:rPr>
        <w:t xml:space="preserve"> entities (e.g., Kern County, the City of Ridgecrest, and small water companies providing domestic water services), granting </w:t>
      </w:r>
      <w:r w:rsidR="00FC1F70">
        <w:rPr>
          <w:szCs w:val="26"/>
        </w:rPr>
        <w:t xml:space="preserve">to </w:t>
      </w:r>
      <w:r w:rsidR="00F301B0">
        <w:rPr>
          <w:szCs w:val="26"/>
        </w:rPr>
        <w:t>each an</w:t>
      </w:r>
      <w:r w:rsidRPr="00306A22">
        <w:rPr>
          <w:szCs w:val="26"/>
        </w:rPr>
        <w:t xml:space="preserve"> annual “Exempted Pumping Allotment” </w:t>
      </w:r>
      <w:r w:rsidR="00F301B0">
        <w:rPr>
          <w:szCs w:val="26"/>
        </w:rPr>
        <w:t>that is</w:t>
      </w:r>
      <w:r w:rsidRPr="00306A22">
        <w:rPr>
          <w:szCs w:val="26"/>
        </w:rPr>
        <w:t xml:space="preserve"> not subject to the </w:t>
      </w:r>
      <w:r w:rsidR="004730C4">
        <w:rPr>
          <w:szCs w:val="26"/>
        </w:rPr>
        <w:t>Replenishment F</w:t>
      </w:r>
      <w:r w:rsidRPr="00306A22">
        <w:rPr>
          <w:szCs w:val="26"/>
        </w:rPr>
        <w:t xml:space="preserve">ee.  For example, the City of Ridgecrest received </w:t>
      </w:r>
      <w:r w:rsidR="0073028B">
        <w:rPr>
          <w:szCs w:val="26"/>
        </w:rPr>
        <w:t xml:space="preserve">an allotment of </w:t>
      </w:r>
      <w:r w:rsidRPr="00306A22">
        <w:rPr>
          <w:szCs w:val="26"/>
        </w:rPr>
        <w:t>373</w:t>
      </w:r>
      <w:r w:rsidR="00960D69">
        <w:rPr>
          <w:szCs w:val="26"/>
        </w:rPr>
        <w:t> </w:t>
      </w:r>
      <w:r w:rsidRPr="00306A22">
        <w:rPr>
          <w:szCs w:val="26"/>
        </w:rPr>
        <w:t>acre</w:t>
      </w:r>
      <w:r w:rsidR="005E3BA8">
        <w:rPr>
          <w:szCs w:val="26"/>
        </w:rPr>
        <w:noBreakHyphen/>
      </w:r>
      <w:r w:rsidRPr="00306A22">
        <w:rPr>
          <w:szCs w:val="26"/>
        </w:rPr>
        <w:t>feet per year, meaning that the first 373 acre</w:t>
      </w:r>
      <w:r w:rsidR="005E3BA8">
        <w:rPr>
          <w:szCs w:val="26"/>
        </w:rPr>
        <w:noBreakHyphen/>
      </w:r>
      <w:r w:rsidRPr="00306A22">
        <w:rPr>
          <w:szCs w:val="26"/>
        </w:rPr>
        <w:t xml:space="preserve">feet of groundwater it pumps will not be subject to the Replenishment Fee.  Neither Mojave nor any other agricultural producers received an Exempted Pumping Allotment. </w:t>
      </w:r>
    </w:p>
    <w:p w:rsidR="00551E1D" w:rsidRPr="00306A22" w:rsidP="00960D69" w14:paraId="4D8D67D7" w14:textId="68E21421">
      <w:pPr>
        <w:keepNext/>
        <w:spacing w:line="480" w:lineRule="atLeast"/>
        <w:ind w:left="720" w:firstLine="720"/>
        <w:rPr>
          <w:i/>
          <w:iCs/>
          <w:szCs w:val="26"/>
        </w:rPr>
      </w:pPr>
      <w:r w:rsidRPr="00306A22">
        <w:rPr>
          <w:szCs w:val="26"/>
        </w:rPr>
        <w:t>c</w:t>
      </w:r>
      <w:r w:rsidRPr="00306A22">
        <w:rPr>
          <w:i/>
          <w:iCs/>
          <w:szCs w:val="26"/>
        </w:rPr>
        <w:t>.</w:t>
      </w:r>
      <w:r w:rsidRPr="00306A22">
        <w:rPr>
          <w:i/>
          <w:iCs/>
          <w:szCs w:val="26"/>
        </w:rPr>
        <w:tab/>
        <w:t>The Transient Pool and Fallowing Program</w:t>
      </w:r>
    </w:p>
    <w:p w:rsidR="00551E1D" w:rsidRPr="00306A22" w:rsidP="00551E1D" w14:paraId="44D577ED" w14:textId="504F188D">
      <w:pPr>
        <w:spacing w:line="480" w:lineRule="atLeast"/>
        <w:ind w:firstLine="1440"/>
        <w:rPr>
          <w:szCs w:val="26"/>
        </w:rPr>
      </w:pPr>
      <w:r>
        <w:rPr>
          <w:szCs w:val="26"/>
        </w:rPr>
        <w:t>I</w:t>
      </w:r>
      <w:r w:rsidRPr="00306A22">
        <w:rPr>
          <w:szCs w:val="26"/>
        </w:rPr>
        <w:t xml:space="preserve">n August 2020, the Authority created a </w:t>
      </w:r>
      <w:r w:rsidR="00DF7B12">
        <w:rPr>
          <w:szCs w:val="26"/>
        </w:rPr>
        <w:t>t</w:t>
      </w:r>
      <w:r w:rsidRPr="00306A22">
        <w:rPr>
          <w:szCs w:val="26"/>
        </w:rPr>
        <w:t xml:space="preserve">ransient </w:t>
      </w:r>
      <w:r w:rsidR="00DF7B12">
        <w:rPr>
          <w:szCs w:val="26"/>
        </w:rPr>
        <w:t>p</w:t>
      </w:r>
      <w:r w:rsidRPr="00306A22">
        <w:rPr>
          <w:szCs w:val="26"/>
        </w:rPr>
        <w:t xml:space="preserve">ool and </w:t>
      </w:r>
      <w:r w:rsidR="00DF7B12">
        <w:rPr>
          <w:szCs w:val="26"/>
        </w:rPr>
        <w:t>f</w:t>
      </w:r>
      <w:r w:rsidRPr="00306A22">
        <w:rPr>
          <w:szCs w:val="26"/>
        </w:rPr>
        <w:t xml:space="preserve">allowing </w:t>
      </w:r>
      <w:r w:rsidR="00DF7B12">
        <w:rPr>
          <w:szCs w:val="26"/>
        </w:rPr>
        <w:t>p</w:t>
      </w:r>
      <w:r w:rsidRPr="00306A22">
        <w:rPr>
          <w:szCs w:val="26"/>
        </w:rPr>
        <w:t>rogram to facilitate coordinated production reductions among groundwater users and encourage a shift away from overdraft reliance</w:t>
      </w:r>
      <w:r w:rsidR="00DF7B12">
        <w:rPr>
          <w:szCs w:val="26"/>
        </w:rPr>
        <w:t xml:space="preserve"> (Transient Pool and Fallowing Program)</w:t>
      </w:r>
      <w:r w:rsidRPr="00306A22">
        <w:rPr>
          <w:szCs w:val="26"/>
        </w:rPr>
        <w:t>.</w:t>
      </w:r>
      <w:r w:rsidR="00DF7B12">
        <w:rPr>
          <w:szCs w:val="26"/>
        </w:rPr>
        <w:t xml:space="preserve">  </w:t>
      </w:r>
      <w:r w:rsidRPr="00306A22">
        <w:rPr>
          <w:szCs w:val="26"/>
        </w:rPr>
        <w:t>Under this program, the Authority established a transient pool of 51,000 acre</w:t>
      </w:r>
      <w:r w:rsidR="005E3BA8">
        <w:rPr>
          <w:szCs w:val="26"/>
        </w:rPr>
        <w:noBreakHyphen/>
      </w:r>
      <w:r w:rsidRPr="00306A22">
        <w:rPr>
          <w:szCs w:val="26"/>
        </w:rPr>
        <w:t>feet of groundwater and determined that all qualified agricultural pumpers would receive a transient pool allotment based on their reported agricultural uses.</w:t>
      </w:r>
      <w:r w:rsidR="00DF7B12">
        <w:rPr>
          <w:szCs w:val="26"/>
        </w:rPr>
        <w:t xml:space="preserve"> </w:t>
      </w:r>
      <w:r w:rsidRPr="00306A22">
        <w:rPr>
          <w:szCs w:val="26"/>
        </w:rPr>
        <w:t xml:space="preserve"> Eligible pumpers could then either (1) reject their allotment and continue pumping while paying the Replenishment Fee, (2) accept the</w:t>
      </w:r>
      <w:r w:rsidR="00943028">
        <w:rPr>
          <w:szCs w:val="26"/>
        </w:rPr>
        <w:t>ir</w:t>
      </w:r>
      <w:r w:rsidRPr="00306A22">
        <w:rPr>
          <w:szCs w:val="26"/>
        </w:rPr>
        <w:t xml:space="preserve"> allotment and associated mitigation fee, or (3) accept the allotment and negotiate a sale of it to the Authority.</w:t>
      </w:r>
      <w:r w:rsidR="00DF7B12">
        <w:rPr>
          <w:szCs w:val="26"/>
        </w:rPr>
        <w:t xml:space="preserve"> </w:t>
      </w:r>
      <w:r w:rsidRPr="00306A22">
        <w:rPr>
          <w:szCs w:val="26"/>
        </w:rPr>
        <w:t xml:space="preserve"> Use of the transient pool was voluntary.</w:t>
      </w:r>
    </w:p>
    <w:p w:rsidR="00551E1D" w:rsidRPr="00306A22" w:rsidP="00551E1D" w14:paraId="4C668A40" w14:textId="5DAD9B54">
      <w:pPr>
        <w:spacing w:line="480" w:lineRule="atLeast"/>
        <w:ind w:firstLine="1440"/>
        <w:rPr>
          <w:szCs w:val="26"/>
        </w:rPr>
      </w:pPr>
      <w:r w:rsidRPr="00306A22">
        <w:rPr>
          <w:szCs w:val="26"/>
        </w:rPr>
        <w:t xml:space="preserve">Ten agricultural pumpers, including Mojave, were deemed “‘potentially’ qualified” to participate in the program.  </w:t>
      </w:r>
      <w:r w:rsidR="001101EA">
        <w:rPr>
          <w:szCs w:val="26"/>
        </w:rPr>
        <w:t>T</w:t>
      </w:r>
      <w:r w:rsidRPr="00306A22">
        <w:rPr>
          <w:szCs w:val="26"/>
        </w:rPr>
        <w:t>hree of those pumpers, including Mojave, failed to timely submit a required pumping verification questionnaire, so the Authority determined they were</w:t>
      </w:r>
      <w:r w:rsidR="001101EA">
        <w:rPr>
          <w:szCs w:val="26"/>
        </w:rPr>
        <w:t xml:space="preserve"> not</w:t>
      </w:r>
      <w:r w:rsidRPr="00306A22">
        <w:rPr>
          <w:szCs w:val="26"/>
        </w:rPr>
        <w:t xml:space="preserve"> eligible to participate. </w:t>
      </w:r>
      <w:r w:rsidR="00DF7B12">
        <w:rPr>
          <w:szCs w:val="26"/>
        </w:rPr>
        <w:t xml:space="preserve"> </w:t>
      </w:r>
      <w:r w:rsidRPr="00306A22">
        <w:rPr>
          <w:szCs w:val="26"/>
        </w:rPr>
        <w:t>The 51,000 acre</w:t>
      </w:r>
      <w:r w:rsidR="005E3BA8">
        <w:rPr>
          <w:szCs w:val="26"/>
        </w:rPr>
        <w:noBreakHyphen/>
      </w:r>
      <w:r w:rsidRPr="00306A22">
        <w:rPr>
          <w:szCs w:val="26"/>
        </w:rPr>
        <w:t xml:space="preserve">feet in the transient pool were </w:t>
      </w:r>
      <w:r w:rsidR="00960D69">
        <w:rPr>
          <w:szCs w:val="26"/>
        </w:rPr>
        <w:t xml:space="preserve">thereafter </w:t>
      </w:r>
      <w:r w:rsidRPr="00306A22">
        <w:rPr>
          <w:szCs w:val="26"/>
        </w:rPr>
        <w:t xml:space="preserve">allotted among the seven eligible agricultural pumpers. </w:t>
      </w:r>
    </w:p>
    <w:p w:rsidR="00551E1D" w:rsidRPr="00306A22" w:rsidP="00CA4832" w14:paraId="14D29A36" w14:textId="77777777">
      <w:pPr>
        <w:keepNext/>
        <w:spacing w:line="480" w:lineRule="atLeast"/>
        <w:ind w:firstLine="720"/>
        <w:rPr>
          <w:szCs w:val="26"/>
        </w:rPr>
      </w:pPr>
      <w:r w:rsidRPr="00306A22">
        <w:rPr>
          <w:szCs w:val="26"/>
        </w:rPr>
        <w:t xml:space="preserve">5. </w:t>
      </w:r>
      <w:r w:rsidRPr="00306A22">
        <w:rPr>
          <w:szCs w:val="26"/>
        </w:rPr>
        <w:tab/>
      </w:r>
      <w:r w:rsidRPr="00306A22">
        <w:rPr>
          <w:i/>
          <w:iCs/>
          <w:szCs w:val="26"/>
        </w:rPr>
        <w:t>Mojave’s Failure to Pay the Replenishment Fee</w:t>
      </w:r>
    </w:p>
    <w:p w:rsidR="00551E1D" w:rsidRPr="00306A22" w:rsidP="00551E1D" w14:paraId="6E72BEBD" w14:textId="1CA97EB3">
      <w:pPr>
        <w:spacing w:line="480" w:lineRule="atLeast"/>
        <w:ind w:firstLine="1440"/>
        <w:rPr>
          <w:szCs w:val="26"/>
        </w:rPr>
      </w:pPr>
      <w:r w:rsidRPr="00306A22">
        <w:rPr>
          <w:szCs w:val="26"/>
        </w:rPr>
        <w:t>The collective effect of the Implementing Actions on Mojave is significant:  Mojave</w:t>
      </w:r>
      <w:r w:rsidR="00037F81">
        <w:rPr>
          <w:szCs w:val="26"/>
        </w:rPr>
        <w:t>, which receive</w:t>
      </w:r>
      <w:r w:rsidR="00960D69">
        <w:rPr>
          <w:szCs w:val="26"/>
        </w:rPr>
        <w:t>d</w:t>
      </w:r>
      <w:r w:rsidR="00037F81">
        <w:rPr>
          <w:szCs w:val="26"/>
        </w:rPr>
        <w:t xml:space="preserve"> </w:t>
      </w:r>
      <w:r w:rsidR="00960D69">
        <w:rPr>
          <w:szCs w:val="26"/>
        </w:rPr>
        <w:t xml:space="preserve">neither </w:t>
      </w:r>
      <w:r w:rsidR="00977067">
        <w:rPr>
          <w:szCs w:val="26"/>
        </w:rPr>
        <w:t xml:space="preserve">an allotment </w:t>
      </w:r>
      <w:r w:rsidR="00960D69">
        <w:rPr>
          <w:szCs w:val="26"/>
        </w:rPr>
        <w:t>from</w:t>
      </w:r>
      <w:r w:rsidR="00977067">
        <w:rPr>
          <w:szCs w:val="26"/>
        </w:rPr>
        <w:t xml:space="preserve"> the transient pool </w:t>
      </w:r>
      <w:r w:rsidR="00960D69">
        <w:rPr>
          <w:szCs w:val="26"/>
        </w:rPr>
        <w:t>nor</w:t>
      </w:r>
      <w:r w:rsidR="00285767">
        <w:rPr>
          <w:szCs w:val="26"/>
        </w:rPr>
        <w:t xml:space="preserve"> an Exempted Pumping Allotment,</w:t>
      </w:r>
      <w:r w:rsidRPr="00306A22">
        <w:rPr>
          <w:szCs w:val="26"/>
        </w:rPr>
        <w:t xml:space="preserve"> must pay the Replenishment Fee of $2,130 per acre</w:t>
      </w:r>
      <w:r w:rsidR="005E3BA8">
        <w:rPr>
          <w:szCs w:val="26"/>
        </w:rPr>
        <w:noBreakHyphen/>
      </w:r>
      <w:r w:rsidRPr="00306A22">
        <w:rPr>
          <w:szCs w:val="26"/>
        </w:rPr>
        <w:t xml:space="preserve">foot for </w:t>
      </w:r>
      <w:r w:rsidR="00502949">
        <w:rPr>
          <w:szCs w:val="26"/>
        </w:rPr>
        <w:t>any</w:t>
      </w:r>
      <w:r w:rsidRPr="00306A22">
        <w:rPr>
          <w:szCs w:val="26"/>
        </w:rPr>
        <w:t xml:space="preserve"> groundwater it extracts from the Basin.  Thus, Mojave went from paying no government</w:t>
      </w:r>
      <w:r w:rsidR="00CA4832">
        <w:rPr>
          <w:szCs w:val="26"/>
        </w:rPr>
        <w:noBreakHyphen/>
      </w:r>
      <w:r w:rsidRPr="00306A22">
        <w:rPr>
          <w:szCs w:val="26"/>
        </w:rPr>
        <w:t>imposed fee on the extraction of water as recently as 2017</w:t>
      </w:r>
      <w:r>
        <w:rPr>
          <w:rStyle w:val="FootnoteReference"/>
          <w:szCs w:val="26"/>
        </w:rPr>
        <w:footnoteReference w:id="14"/>
      </w:r>
      <w:r w:rsidRPr="00306A22">
        <w:rPr>
          <w:szCs w:val="26"/>
        </w:rPr>
        <w:t xml:space="preserve"> to owing over $8</w:t>
      </w:r>
      <w:r w:rsidR="00CA4832">
        <w:rPr>
          <w:szCs w:val="26"/>
        </w:rPr>
        <w:t> </w:t>
      </w:r>
      <w:r w:rsidRPr="00306A22">
        <w:rPr>
          <w:szCs w:val="26"/>
        </w:rPr>
        <w:t xml:space="preserve">million </w:t>
      </w:r>
      <w:r w:rsidR="00CA4832">
        <w:rPr>
          <w:szCs w:val="26"/>
        </w:rPr>
        <w:t>annually</w:t>
      </w:r>
      <w:r w:rsidR="00533397">
        <w:rPr>
          <w:szCs w:val="26"/>
        </w:rPr>
        <w:t xml:space="preserve"> in Replenishment Fees</w:t>
      </w:r>
      <w:r w:rsidRPr="00306A22">
        <w:rPr>
          <w:szCs w:val="26"/>
        </w:rPr>
        <w:t xml:space="preserve">. </w:t>
      </w:r>
    </w:p>
    <w:p w:rsidR="00551E1D" w:rsidRPr="00306A22" w:rsidP="00551E1D" w14:paraId="430C508C" w14:textId="1D81035B">
      <w:pPr>
        <w:spacing w:line="480" w:lineRule="atLeast"/>
        <w:ind w:firstLine="1440"/>
        <w:rPr>
          <w:szCs w:val="26"/>
        </w:rPr>
      </w:pPr>
      <w:r w:rsidRPr="00306A22">
        <w:rPr>
          <w:szCs w:val="26"/>
        </w:rPr>
        <w:t xml:space="preserve">Claiming </w:t>
      </w:r>
      <w:r w:rsidR="00CA6C14">
        <w:rPr>
          <w:szCs w:val="26"/>
        </w:rPr>
        <w:t>it lacks the funds to pay</w:t>
      </w:r>
      <w:r w:rsidRPr="00306A22">
        <w:rPr>
          <w:szCs w:val="26"/>
        </w:rPr>
        <w:t xml:space="preserve">, Mojave </w:t>
      </w:r>
      <w:r w:rsidR="00F63863">
        <w:rPr>
          <w:szCs w:val="26"/>
        </w:rPr>
        <w:t xml:space="preserve">has </w:t>
      </w:r>
      <w:r w:rsidRPr="00306A22" w:rsidR="00F63863">
        <w:rPr>
          <w:szCs w:val="26"/>
        </w:rPr>
        <w:t>not paid any portion of the Replenishment Fee</w:t>
      </w:r>
      <w:r w:rsidR="00F63863">
        <w:rPr>
          <w:szCs w:val="26"/>
        </w:rPr>
        <w:t xml:space="preserve"> since </w:t>
      </w:r>
      <w:r w:rsidR="00F126B4">
        <w:rPr>
          <w:szCs w:val="26"/>
        </w:rPr>
        <w:t xml:space="preserve">Ordinance No. 03-20 </w:t>
      </w:r>
      <w:r w:rsidR="00F63863">
        <w:rPr>
          <w:szCs w:val="26"/>
        </w:rPr>
        <w:t>took effect in early 2021, although</w:t>
      </w:r>
      <w:r w:rsidR="00F126B4">
        <w:rPr>
          <w:szCs w:val="26"/>
        </w:rPr>
        <w:t xml:space="preserve"> </w:t>
      </w:r>
      <w:r w:rsidR="00DF4227">
        <w:rPr>
          <w:szCs w:val="26"/>
        </w:rPr>
        <w:t>it</w:t>
      </w:r>
      <w:r w:rsidR="00F63863">
        <w:rPr>
          <w:szCs w:val="26"/>
        </w:rPr>
        <w:t xml:space="preserve"> </w:t>
      </w:r>
      <w:r w:rsidRPr="00306A22">
        <w:rPr>
          <w:szCs w:val="26"/>
        </w:rPr>
        <w:t>continues to extract groundwater to irrigate its trees.</w:t>
      </w:r>
      <w:r w:rsidR="00DF7B12">
        <w:rPr>
          <w:szCs w:val="26"/>
        </w:rPr>
        <w:t xml:space="preserve"> </w:t>
      </w:r>
      <w:r w:rsidRPr="00306A22">
        <w:rPr>
          <w:szCs w:val="26"/>
        </w:rPr>
        <w:t xml:space="preserve"> According to Mojave, if </w:t>
      </w:r>
      <w:r w:rsidR="00F126B4">
        <w:rPr>
          <w:szCs w:val="26"/>
        </w:rPr>
        <w:t xml:space="preserve">Ordinance No. 03-20 </w:t>
      </w:r>
      <w:r w:rsidRPr="00306A22">
        <w:rPr>
          <w:szCs w:val="26"/>
        </w:rPr>
        <w:t xml:space="preserve">is enforced, </w:t>
      </w:r>
      <w:r w:rsidR="00805255">
        <w:rPr>
          <w:szCs w:val="26"/>
        </w:rPr>
        <w:t>it</w:t>
      </w:r>
      <w:r w:rsidRPr="00306A22">
        <w:rPr>
          <w:szCs w:val="26"/>
        </w:rPr>
        <w:t xml:space="preserve"> will render </w:t>
      </w:r>
      <w:r w:rsidR="00C709E3">
        <w:rPr>
          <w:szCs w:val="26"/>
        </w:rPr>
        <w:t>Mojave’</w:t>
      </w:r>
      <w:r w:rsidRPr="00306A22">
        <w:rPr>
          <w:szCs w:val="26"/>
        </w:rPr>
        <w:t xml:space="preserve">s farming operations “economically unviable” because the cost of water will exceed its gross revenues. </w:t>
      </w:r>
    </w:p>
    <w:p w:rsidR="00551E1D" w:rsidRPr="00306A22" w:rsidP="00CA4832" w14:paraId="4A7AD650" w14:textId="3D4D4644">
      <w:pPr>
        <w:keepNext/>
        <w:spacing w:line="480" w:lineRule="atLeast"/>
        <w:ind w:firstLine="720"/>
        <w:rPr>
          <w:szCs w:val="26"/>
        </w:rPr>
      </w:pPr>
      <w:r w:rsidRPr="00306A22">
        <w:rPr>
          <w:szCs w:val="26"/>
        </w:rPr>
        <w:t>6.</w:t>
      </w:r>
      <w:r w:rsidRPr="00306A22">
        <w:rPr>
          <w:szCs w:val="26"/>
        </w:rPr>
        <w:tab/>
      </w:r>
      <w:r w:rsidRPr="00306A22">
        <w:rPr>
          <w:i/>
          <w:iCs/>
          <w:szCs w:val="26"/>
        </w:rPr>
        <w:t xml:space="preserve">Relevant Procedural History </w:t>
      </w:r>
    </w:p>
    <w:p w:rsidR="00D83F05" w:rsidP="00BB1C97" w14:paraId="2B61F0A7" w14:textId="4B81E8C0">
      <w:pPr>
        <w:spacing w:line="480" w:lineRule="atLeast"/>
        <w:ind w:firstLine="1440"/>
        <w:rPr>
          <w:szCs w:val="26"/>
        </w:rPr>
      </w:pPr>
      <w:r w:rsidRPr="00306A22">
        <w:rPr>
          <w:szCs w:val="26"/>
        </w:rPr>
        <w:t xml:space="preserve">In </w:t>
      </w:r>
      <w:r w:rsidR="00C406E1">
        <w:rPr>
          <w:szCs w:val="26"/>
        </w:rPr>
        <w:t xml:space="preserve">September </w:t>
      </w:r>
      <w:r w:rsidRPr="00306A22">
        <w:rPr>
          <w:szCs w:val="26"/>
        </w:rPr>
        <w:t>2020, Mojave filed a verified petition for writ of mandate and complaint against the Authority in Kern County Superior Court, challenging the Authority’s groundwater sustainability plan and related actions.  (Case No. BCV</w:t>
      </w:r>
      <w:r w:rsidR="00DF7B12">
        <w:rPr>
          <w:szCs w:val="26"/>
        </w:rPr>
        <w:noBreakHyphen/>
      </w:r>
      <w:r w:rsidRPr="00306A22">
        <w:rPr>
          <w:szCs w:val="26"/>
        </w:rPr>
        <w:t>20</w:t>
      </w:r>
      <w:r w:rsidR="00DF7B12">
        <w:rPr>
          <w:szCs w:val="26"/>
        </w:rPr>
        <w:noBreakHyphen/>
      </w:r>
      <w:r w:rsidRPr="00306A22">
        <w:rPr>
          <w:szCs w:val="26"/>
        </w:rPr>
        <w:t>102284.)</w:t>
      </w:r>
      <w:r w:rsidR="00DF7B12">
        <w:rPr>
          <w:szCs w:val="26"/>
        </w:rPr>
        <w:t xml:space="preserve"> </w:t>
      </w:r>
      <w:r w:rsidRPr="00306A22">
        <w:rPr>
          <w:szCs w:val="26"/>
        </w:rPr>
        <w:t xml:space="preserve"> In January 2021, Mojave filed its </w:t>
      </w:r>
      <w:r w:rsidR="00DF7B12">
        <w:rPr>
          <w:szCs w:val="26"/>
        </w:rPr>
        <w:t>f</w:t>
      </w:r>
      <w:r w:rsidRPr="00306A22">
        <w:rPr>
          <w:szCs w:val="26"/>
        </w:rPr>
        <w:t xml:space="preserve">irst </w:t>
      </w:r>
      <w:r w:rsidR="00DF7B12">
        <w:rPr>
          <w:szCs w:val="26"/>
        </w:rPr>
        <w:t>a</w:t>
      </w:r>
      <w:r w:rsidRPr="00306A22">
        <w:rPr>
          <w:szCs w:val="26"/>
        </w:rPr>
        <w:t xml:space="preserve">mended </w:t>
      </w:r>
      <w:r w:rsidR="00DF7B12">
        <w:rPr>
          <w:szCs w:val="26"/>
        </w:rPr>
        <w:t>verified p</w:t>
      </w:r>
      <w:r w:rsidRPr="00306A22">
        <w:rPr>
          <w:szCs w:val="26"/>
        </w:rPr>
        <w:t xml:space="preserve">etition </w:t>
      </w:r>
      <w:r w:rsidR="00DF7B12">
        <w:rPr>
          <w:szCs w:val="26"/>
        </w:rPr>
        <w:t xml:space="preserve">for writ of mandamus </w:t>
      </w:r>
      <w:r w:rsidRPr="00306A22">
        <w:rPr>
          <w:szCs w:val="26"/>
        </w:rPr>
        <w:t xml:space="preserve">and </w:t>
      </w:r>
      <w:r w:rsidR="00DF7B12">
        <w:rPr>
          <w:szCs w:val="26"/>
        </w:rPr>
        <w:t>c</w:t>
      </w:r>
      <w:r w:rsidRPr="00306A22">
        <w:rPr>
          <w:szCs w:val="26"/>
        </w:rPr>
        <w:t>omplaint (FAC), challenging the Authority’s groundwater sustainability plan, the Implementing Actions, and certain post</w:t>
      </w:r>
      <w:r w:rsidR="00DF7B12">
        <w:rPr>
          <w:szCs w:val="26"/>
        </w:rPr>
        <w:noBreakHyphen/>
      </w:r>
      <w:r w:rsidRPr="00306A22">
        <w:rPr>
          <w:szCs w:val="26"/>
        </w:rPr>
        <w:t xml:space="preserve">adoption decisions. </w:t>
      </w:r>
    </w:p>
    <w:p w:rsidR="00551E1D" w:rsidRPr="00306A22" w:rsidP="00BB1C97" w14:paraId="657C9187" w14:textId="25CB70AF">
      <w:pPr>
        <w:spacing w:line="480" w:lineRule="atLeast"/>
        <w:ind w:firstLine="1440"/>
        <w:rPr>
          <w:szCs w:val="26"/>
        </w:rPr>
      </w:pPr>
      <w:r w:rsidRPr="00306A22">
        <w:rPr>
          <w:szCs w:val="26"/>
        </w:rPr>
        <w:t>The FAC is 135 pages long and alleges 20 causes of action, including claims for alleged violations of SGMA</w:t>
      </w:r>
      <w:r w:rsidR="0053793D">
        <w:rPr>
          <w:szCs w:val="26"/>
        </w:rPr>
        <w:t xml:space="preserve"> and the California Constitution</w:t>
      </w:r>
      <w:r w:rsidRPr="00306A22">
        <w:rPr>
          <w:szCs w:val="26"/>
        </w:rPr>
        <w:t>, regulatory and physical takings, and due process violations, among others.</w:t>
      </w:r>
      <w:r w:rsidR="00DF7B12">
        <w:rPr>
          <w:szCs w:val="26"/>
        </w:rPr>
        <w:t xml:space="preserve">  </w:t>
      </w:r>
      <w:r w:rsidR="00D8194A">
        <w:rPr>
          <w:szCs w:val="26"/>
        </w:rPr>
        <w:t xml:space="preserve">The crux of </w:t>
      </w:r>
      <w:r w:rsidR="000B3553">
        <w:rPr>
          <w:szCs w:val="26"/>
        </w:rPr>
        <w:t xml:space="preserve">Mojave’s petition </w:t>
      </w:r>
      <w:r w:rsidR="00997567">
        <w:rPr>
          <w:szCs w:val="26"/>
        </w:rPr>
        <w:t>i</w:t>
      </w:r>
      <w:r w:rsidR="000B3553">
        <w:rPr>
          <w:szCs w:val="26"/>
        </w:rPr>
        <w:t xml:space="preserve">s that </w:t>
      </w:r>
      <w:r w:rsidR="003E1AF1">
        <w:rPr>
          <w:szCs w:val="26"/>
        </w:rPr>
        <w:t xml:space="preserve">the Authority’s groundwater sustainability plan illegally </w:t>
      </w:r>
      <w:r w:rsidR="00D05667">
        <w:rPr>
          <w:szCs w:val="26"/>
        </w:rPr>
        <w:t>deprived Mojave of its vested appurtenant overlying water rights to pump groundwater from the Basin</w:t>
      </w:r>
      <w:r w:rsidR="002E39D2">
        <w:rPr>
          <w:szCs w:val="26"/>
        </w:rPr>
        <w:t xml:space="preserve"> by</w:t>
      </w:r>
      <w:r w:rsidR="00CC34AD">
        <w:rPr>
          <w:szCs w:val="26"/>
        </w:rPr>
        <w:t xml:space="preserve"> conditioning Mojave’s continued use of groundwater on the payment of </w:t>
      </w:r>
      <w:r w:rsidR="00BB1C97">
        <w:rPr>
          <w:szCs w:val="26"/>
        </w:rPr>
        <w:t>the Replenishment Fee.</w:t>
      </w:r>
    </w:p>
    <w:p w:rsidR="00551E1D" w:rsidP="00551E1D" w14:paraId="76E7D968" w14:textId="72BD5EF2">
      <w:pPr>
        <w:spacing w:line="480" w:lineRule="atLeast"/>
        <w:ind w:firstLine="1440"/>
        <w:rPr>
          <w:szCs w:val="26"/>
        </w:rPr>
      </w:pPr>
      <w:r w:rsidRPr="00306A22">
        <w:rPr>
          <w:szCs w:val="26"/>
        </w:rPr>
        <w:t>Mojave’s case against the Authority was consolidated with an action filed by Searles Valley Minerals</w:t>
      </w:r>
      <w:r w:rsidR="00CA4832">
        <w:rPr>
          <w:szCs w:val="26"/>
        </w:rPr>
        <w:t xml:space="preserve"> </w:t>
      </w:r>
      <w:r w:rsidR="00DF7B12">
        <w:rPr>
          <w:szCs w:val="26"/>
        </w:rPr>
        <w:t xml:space="preserve">Inc. </w:t>
      </w:r>
      <w:r w:rsidR="00271F5B">
        <w:rPr>
          <w:szCs w:val="26"/>
        </w:rPr>
        <w:t>assert</w:t>
      </w:r>
      <w:r w:rsidR="00F02318">
        <w:rPr>
          <w:szCs w:val="26"/>
        </w:rPr>
        <w:t>ing</w:t>
      </w:r>
      <w:r w:rsidR="00271F5B">
        <w:rPr>
          <w:szCs w:val="26"/>
        </w:rPr>
        <w:t xml:space="preserve"> </w:t>
      </w:r>
      <w:r w:rsidRPr="00306A22">
        <w:rPr>
          <w:szCs w:val="26"/>
        </w:rPr>
        <w:t>similar challenges to the Authority’s groundwater sustainability plan</w:t>
      </w:r>
      <w:r w:rsidR="000F6743">
        <w:rPr>
          <w:szCs w:val="26"/>
        </w:rPr>
        <w:t xml:space="preserve">. </w:t>
      </w:r>
      <w:r w:rsidRPr="00306A22">
        <w:rPr>
          <w:szCs w:val="26"/>
        </w:rPr>
        <w:t xml:space="preserve"> (Case No. BCV</w:t>
      </w:r>
      <w:r w:rsidR="00DF7B12">
        <w:rPr>
          <w:szCs w:val="26"/>
        </w:rPr>
        <w:noBreakHyphen/>
      </w:r>
      <w:r w:rsidRPr="00306A22">
        <w:rPr>
          <w:szCs w:val="26"/>
        </w:rPr>
        <w:t>20</w:t>
      </w:r>
      <w:r w:rsidR="00DF7B12">
        <w:rPr>
          <w:szCs w:val="26"/>
        </w:rPr>
        <w:noBreakHyphen/>
      </w:r>
      <w:r w:rsidRPr="00306A22">
        <w:rPr>
          <w:szCs w:val="26"/>
        </w:rPr>
        <w:t>102285</w:t>
      </w:r>
      <w:r w:rsidR="000F6743">
        <w:rPr>
          <w:szCs w:val="26"/>
        </w:rPr>
        <w:t>.</w:t>
      </w:r>
      <w:r w:rsidRPr="00306A22">
        <w:rPr>
          <w:szCs w:val="26"/>
        </w:rPr>
        <w:t xml:space="preserve">)  The consolidated actions were then transferred by stipulation to </w:t>
      </w:r>
      <w:r w:rsidR="00DF7B12">
        <w:rPr>
          <w:szCs w:val="26"/>
        </w:rPr>
        <w:t>the</w:t>
      </w:r>
      <w:r w:rsidRPr="00306A22">
        <w:rPr>
          <w:szCs w:val="26"/>
        </w:rPr>
        <w:t xml:space="preserve"> Superior Court </w:t>
      </w:r>
      <w:r w:rsidR="00DF7B12">
        <w:rPr>
          <w:szCs w:val="26"/>
        </w:rPr>
        <w:t xml:space="preserve">of </w:t>
      </w:r>
      <w:r w:rsidRPr="00306A22" w:rsidR="00DF7B12">
        <w:rPr>
          <w:szCs w:val="26"/>
        </w:rPr>
        <w:t xml:space="preserve">Orange County </w:t>
      </w:r>
      <w:r w:rsidRPr="00306A22">
        <w:rPr>
          <w:szCs w:val="26"/>
        </w:rPr>
        <w:t>and assigned new case number</w:t>
      </w:r>
      <w:r w:rsidR="00DF7B12">
        <w:rPr>
          <w:szCs w:val="26"/>
        </w:rPr>
        <w:t>s</w:t>
      </w:r>
      <w:r w:rsidR="000F6743">
        <w:rPr>
          <w:szCs w:val="26"/>
        </w:rPr>
        <w:t xml:space="preserve">. </w:t>
      </w:r>
      <w:r w:rsidRPr="00306A22">
        <w:rPr>
          <w:szCs w:val="26"/>
        </w:rPr>
        <w:t xml:space="preserve"> (Case No</w:t>
      </w:r>
      <w:r w:rsidR="00DF7B12">
        <w:rPr>
          <w:szCs w:val="26"/>
        </w:rPr>
        <w:t>s</w:t>
      </w:r>
      <w:r w:rsidRPr="00306A22">
        <w:rPr>
          <w:szCs w:val="26"/>
        </w:rPr>
        <w:t>. 30</w:t>
      </w:r>
      <w:r w:rsidR="00DF7B12">
        <w:rPr>
          <w:szCs w:val="26"/>
        </w:rPr>
        <w:noBreakHyphen/>
      </w:r>
      <w:r w:rsidRPr="00306A22">
        <w:rPr>
          <w:szCs w:val="26"/>
        </w:rPr>
        <w:t>2021</w:t>
      </w:r>
      <w:r w:rsidR="00DF7B12">
        <w:rPr>
          <w:szCs w:val="26"/>
        </w:rPr>
        <w:noBreakHyphen/>
      </w:r>
      <w:r w:rsidRPr="00306A22">
        <w:rPr>
          <w:szCs w:val="26"/>
        </w:rPr>
        <w:t>01187589</w:t>
      </w:r>
      <w:r w:rsidR="00DF7B12">
        <w:rPr>
          <w:szCs w:val="26"/>
        </w:rPr>
        <w:t xml:space="preserve"> and 30</w:t>
      </w:r>
      <w:r w:rsidR="00DF7B12">
        <w:rPr>
          <w:szCs w:val="26"/>
        </w:rPr>
        <w:noBreakHyphen/>
        <w:t>2021</w:t>
      </w:r>
      <w:r w:rsidR="00DF7B12">
        <w:rPr>
          <w:szCs w:val="26"/>
        </w:rPr>
        <w:noBreakHyphen/>
        <w:t>01187275</w:t>
      </w:r>
      <w:r w:rsidR="000F6743">
        <w:rPr>
          <w:szCs w:val="26"/>
        </w:rPr>
        <w:t>.</w:t>
      </w:r>
      <w:r w:rsidRPr="00306A22">
        <w:rPr>
          <w:szCs w:val="26"/>
        </w:rPr>
        <w:t xml:space="preserve">) </w:t>
      </w:r>
    </w:p>
    <w:p w:rsidR="00551E1D" w:rsidRPr="00306A22" w:rsidP="00551E1D" w14:paraId="378C642A" w14:textId="213E6F34">
      <w:pPr>
        <w:spacing w:line="480" w:lineRule="atLeast"/>
        <w:ind w:firstLine="1440"/>
        <w:rPr>
          <w:szCs w:val="26"/>
        </w:rPr>
      </w:pPr>
      <w:r w:rsidRPr="00306A22">
        <w:rPr>
          <w:szCs w:val="26"/>
        </w:rPr>
        <w:t>Mojave filed a</w:t>
      </w:r>
      <w:r w:rsidR="00DF7B12">
        <w:rPr>
          <w:szCs w:val="26"/>
        </w:rPr>
        <w:t xml:space="preserve"> separate</w:t>
      </w:r>
      <w:r w:rsidRPr="00306A22">
        <w:rPr>
          <w:szCs w:val="26"/>
        </w:rPr>
        <w:t xml:space="preserve"> action </w:t>
      </w:r>
      <w:r w:rsidR="00DF7B12">
        <w:rPr>
          <w:szCs w:val="26"/>
        </w:rPr>
        <w:t xml:space="preserve">in the Superior Court of Orange County </w:t>
      </w:r>
      <w:r w:rsidRPr="00306A22">
        <w:rPr>
          <w:szCs w:val="26"/>
        </w:rPr>
        <w:t>against the Indian Wells Valley Water District, seeking to quiet title to its water rights and a physical solution.  (Case No. 30</w:t>
      </w:r>
      <w:r w:rsidR="00DF7B12">
        <w:rPr>
          <w:szCs w:val="26"/>
        </w:rPr>
        <w:noBreakHyphen/>
      </w:r>
      <w:r w:rsidRPr="00306A22">
        <w:rPr>
          <w:szCs w:val="26"/>
        </w:rPr>
        <w:t>2021</w:t>
      </w:r>
      <w:r w:rsidR="00DF7B12">
        <w:rPr>
          <w:szCs w:val="26"/>
        </w:rPr>
        <w:noBreakHyphen/>
      </w:r>
      <w:r w:rsidRPr="00306A22">
        <w:rPr>
          <w:szCs w:val="26"/>
        </w:rPr>
        <w:t>01187275.)  That case has been expanded by cross-complaint into a comprehensive adjudication of water rights in the Basin and has been deemed related to the consolidated cases.</w:t>
      </w:r>
      <w:r w:rsidRPr="00306A22">
        <w:rPr>
          <w:b/>
          <w:bCs/>
          <w:szCs w:val="26"/>
        </w:rPr>
        <w:t xml:space="preserve"> </w:t>
      </w:r>
    </w:p>
    <w:p w:rsidR="00551E1D" w:rsidRPr="00306A22" w:rsidP="00551E1D" w14:paraId="1FEB82FD" w14:textId="056DA92D">
      <w:pPr>
        <w:spacing w:line="480" w:lineRule="atLeast"/>
        <w:ind w:firstLine="1440"/>
        <w:rPr>
          <w:szCs w:val="26"/>
        </w:rPr>
      </w:pPr>
      <w:r w:rsidRPr="00306A22">
        <w:rPr>
          <w:szCs w:val="26"/>
        </w:rPr>
        <w:t xml:space="preserve">In April 2021, Mojave filed an </w:t>
      </w:r>
      <w:r w:rsidR="00DF7B12">
        <w:rPr>
          <w:szCs w:val="26"/>
        </w:rPr>
        <w:t xml:space="preserve">ex parte </w:t>
      </w:r>
      <w:r w:rsidRPr="00306A22">
        <w:rPr>
          <w:szCs w:val="26"/>
        </w:rPr>
        <w:t>application in the present case for a temporary restraining order and an order to show cause why a preliminary injunction should not issue enjoining the Authority from taking any action to implement the Replenishment Fee</w:t>
      </w:r>
      <w:r w:rsidR="00363E47">
        <w:rPr>
          <w:szCs w:val="26"/>
        </w:rPr>
        <w:t xml:space="preserve"> in Ordinance </w:t>
      </w:r>
      <w:r w:rsidR="00A2383C">
        <w:rPr>
          <w:szCs w:val="26"/>
        </w:rPr>
        <w:t xml:space="preserve">No. </w:t>
      </w:r>
      <w:r w:rsidR="00363E47">
        <w:rPr>
          <w:szCs w:val="26"/>
        </w:rPr>
        <w:t>03-20</w:t>
      </w:r>
      <w:r w:rsidRPr="00306A22">
        <w:rPr>
          <w:szCs w:val="26"/>
        </w:rPr>
        <w:t>.</w:t>
      </w:r>
      <w:r w:rsidR="00DF7B12">
        <w:rPr>
          <w:szCs w:val="26"/>
        </w:rPr>
        <w:t xml:space="preserve"> </w:t>
      </w:r>
      <w:r w:rsidRPr="00306A22">
        <w:rPr>
          <w:szCs w:val="26"/>
        </w:rPr>
        <w:t xml:space="preserve"> </w:t>
      </w:r>
      <w:r w:rsidR="0009587E">
        <w:rPr>
          <w:szCs w:val="26"/>
        </w:rPr>
        <w:t>Respondent</w:t>
      </w:r>
      <w:r w:rsidRPr="00306A22">
        <w:rPr>
          <w:szCs w:val="26"/>
        </w:rPr>
        <w:t xml:space="preserve"> court denied Mojave’s application in </w:t>
      </w:r>
      <w:r w:rsidR="00DF7B12">
        <w:rPr>
          <w:szCs w:val="26"/>
        </w:rPr>
        <w:t>May</w:t>
      </w:r>
      <w:r w:rsidRPr="00306A22">
        <w:rPr>
          <w:szCs w:val="26"/>
        </w:rPr>
        <w:t xml:space="preserve"> 2021.  The court reasoned that California’s “pay first, litigate later” rule barred injunctive relief as to the Replenishment Fee because Mojave had not yet paid the fee it seeks to invalidate, and none of the exceptions to the </w:t>
      </w:r>
      <w:r w:rsidR="001D6AF0">
        <w:rPr>
          <w:szCs w:val="26"/>
        </w:rPr>
        <w:t xml:space="preserve">“pay first” </w:t>
      </w:r>
      <w:r w:rsidRPr="00306A22">
        <w:rPr>
          <w:szCs w:val="26"/>
        </w:rPr>
        <w:t xml:space="preserve">rule applied. </w:t>
      </w:r>
    </w:p>
    <w:p w:rsidR="00551E1D" w:rsidRPr="00306A22" w:rsidP="00551E1D" w14:paraId="290CF4AF" w14:textId="3FCDB7DE">
      <w:pPr>
        <w:spacing w:line="480" w:lineRule="atLeast"/>
        <w:ind w:firstLine="1440"/>
        <w:rPr>
          <w:szCs w:val="26"/>
        </w:rPr>
      </w:pPr>
      <w:r w:rsidRPr="00306A22">
        <w:rPr>
          <w:szCs w:val="26"/>
        </w:rPr>
        <w:t>In June 2021, Mojave petitioned this court for a writ of mandate as to th</w:t>
      </w:r>
      <w:r w:rsidR="0009587E">
        <w:rPr>
          <w:szCs w:val="26"/>
        </w:rPr>
        <w:t>e</w:t>
      </w:r>
      <w:r w:rsidRPr="00306A22">
        <w:rPr>
          <w:szCs w:val="26"/>
        </w:rPr>
        <w:t xml:space="preserve"> ruling.</w:t>
      </w:r>
      <w:r w:rsidR="00DF7B12">
        <w:rPr>
          <w:szCs w:val="26"/>
        </w:rPr>
        <w:t xml:space="preserve"> </w:t>
      </w:r>
      <w:r w:rsidRPr="00306A22">
        <w:rPr>
          <w:szCs w:val="26"/>
        </w:rPr>
        <w:t xml:space="preserve"> We denied Mojave’s writ petition without prejudice, finding Mojave </w:t>
      </w:r>
      <w:r w:rsidR="00F74AC2">
        <w:rPr>
          <w:szCs w:val="26"/>
        </w:rPr>
        <w:t>had</w:t>
      </w:r>
      <w:r w:rsidRPr="00306A22">
        <w:rPr>
          <w:szCs w:val="26"/>
        </w:rPr>
        <w:t xml:space="preserve"> not yet experienc</w:t>
      </w:r>
      <w:r w:rsidR="00F74AC2">
        <w:rPr>
          <w:szCs w:val="26"/>
        </w:rPr>
        <w:t>ed</w:t>
      </w:r>
      <w:r w:rsidRPr="00306A22">
        <w:rPr>
          <w:szCs w:val="26"/>
        </w:rPr>
        <w:t xml:space="preserve"> irreparable harm because the Authority had not yet filed a civil action to enjoin Mojave’s extractions.  (No. G060336.) </w:t>
      </w:r>
      <w:r w:rsidR="00DF7B12">
        <w:rPr>
          <w:szCs w:val="26"/>
        </w:rPr>
        <w:t xml:space="preserve"> </w:t>
      </w:r>
      <w:r w:rsidRPr="00306A22">
        <w:rPr>
          <w:szCs w:val="26"/>
        </w:rPr>
        <w:t xml:space="preserve">We </w:t>
      </w:r>
      <w:r w:rsidR="00CA4832">
        <w:rPr>
          <w:szCs w:val="26"/>
        </w:rPr>
        <w:t>noted then</w:t>
      </w:r>
      <w:r w:rsidRPr="00306A22">
        <w:rPr>
          <w:szCs w:val="26"/>
        </w:rPr>
        <w:t xml:space="preserve"> that the petition was denied for “prudential reasons, not as a signal regarding the correctness of the challenged order denying a preliminary injunction or the merits of the underlying dispute.” </w:t>
      </w:r>
    </w:p>
    <w:p w:rsidR="00551E1D" w:rsidRPr="00306A22" w:rsidP="00551E1D" w14:paraId="7113B011" w14:textId="1EDC7AA3">
      <w:pPr>
        <w:spacing w:line="480" w:lineRule="atLeast"/>
        <w:ind w:firstLine="1440"/>
        <w:rPr>
          <w:szCs w:val="26"/>
        </w:rPr>
      </w:pPr>
      <w:r>
        <w:rPr>
          <w:szCs w:val="26"/>
        </w:rPr>
        <w:t>Around the same tim</w:t>
      </w:r>
      <w:r w:rsidRPr="00306A22">
        <w:rPr>
          <w:szCs w:val="26"/>
        </w:rPr>
        <w:t xml:space="preserve">e, the Authority held a public hearing on Mojave’s failure to pay the Replenishment Fee. </w:t>
      </w:r>
      <w:r w:rsidRPr="00306A22">
        <w:rPr>
          <w:b/>
          <w:bCs/>
          <w:szCs w:val="26"/>
        </w:rPr>
        <w:t xml:space="preserve"> </w:t>
      </w:r>
      <w:r w:rsidRPr="00306A22">
        <w:rPr>
          <w:szCs w:val="26"/>
        </w:rPr>
        <w:t xml:space="preserve">After the hearing, the Authority adopted a resolution ordering Mojave to </w:t>
      </w:r>
      <w:r w:rsidR="00762C00">
        <w:rPr>
          <w:szCs w:val="26"/>
        </w:rPr>
        <w:t xml:space="preserve">stop </w:t>
      </w:r>
      <w:r w:rsidR="00FC1F70">
        <w:rPr>
          <w:szCs w:val="26"/>
        </w:rPr>
        <w:t>pumping</w:t>
      </w:r>
      <w:r w:rsidRPr="00306A22">
        <w:rPr>
          <w:szCs w:val="26"/>
        </w:rPr>
        <w:t xml:space="preserve"> Basin groundwater until its fee payments </w:t>
      </w:r>
      <w:r w:rsidR="00CA4832">
        <w:rPr>
          <w:szCs w:val="26"/>
        </w:rPr>
        <w:t>became</w:t>
      </w:r>
      <w:r w:rsidRPr="00306A22">
        <w:rPr>
          <w:szCs w:val="26"/>
        </w:rPr>
        <w:t xml:space="preserve"> current.  The Authority </w:t>
      </w:r>
      <w:r w:rsidR="00CA4832">
        <w:rPr>
          <w:szCs w:val="26"/>
        </w:rPr>
        <w:t>also indicated</w:t>
      </w:r>
      <w:r w:rsidRPr="00306A22">
        <w:rPr>
          <w:szCs w:val="26"/>
        </w:rPr>
        <w:t xml:space="preserve"> that if Mojave continue</w:t>
      </w:r>
      <w:r w:rsidR="00CA4832">
        <w:rPr>
          <w:szCs w:val="26"/>
        </w:rPr>
        <w:t>d</w:t>
      </w:r>
      <w:r w:rsidRPr="00306A22">
        <w:rPr>
          <w:szCs w:val="26"/>
        </w:rPr>
        <w:t xml:space="preserve"> to extract water from the Basin without paying the Replenishment Fee, the Authority would initiate court proceedings to enforce its order. </w:t>
      </w:r>
    </w:p>
    <w:p w:rsidR="00551E1D" w:rsidRPr="00306A22" w:rsidP="00551E1D" w14:paraId="1B567BDB" w14:textId="4CC475E1">
      <w:pPr>
        <w:spacing w:line="480" w:lineRule="atLeast"/>
        <w:ind w:firstLine="1440"/>
        <w:rPr>
          <w:szCs w:val="26"/>
        </w:rPr>
      </w:pPr>
      <w:r w:rsidRPr="00306A22">
        <w:rPr>
          <w:szCs w:val="26"/>
        </w:rPr>
        <w:t xml:space="preserve">Later that month, the Authority filed a demurrer to Mojave’s FAC, attacking some but not all </w:t>
      </w:r>
      <w:r w:rsidR="00DF7B12">
        <w:rPr>
          <w:szCs w:val="26"/>
        </w:rPr>
        <w:t xml:space="preserve">of the </w:t>
      </w:r>
      <w:r w:rsidRPr="00306A22">
        <w:rPr>
          <w:szCs w:val="26"/>
        </w:rPr>
        <w:t xml:space="preserve">causes of action in the FAC.  As to cause of action </w:t>
      </w:r>
      <w:r w:rsidR="00DF7B12">
        <w:rPr>
          <w:szCs w:val="26"/>
        </w:rPr>
        <w:t>N</w:t>
      </w:r>
      <w:r w:rsidRPr="00306A22">
        <w:rPr>
          <w:szCs w:val="26"/>
        </w:rPr>
        <w:t>os.</w:t>
      </w:r>
      <w:r w:rsidR="00DF7B12">
        <w:rPr>
          <w:szCs w:val="26"/>
        </w:rPr>
        <w:t> </w:t>
      </w:r>
      <w:r w:rsidRPr="00306A22">
        <w:rPr>
          <w:szCs w:val="26"/>
        </w:rPr>
        <w:t>6 (challenging the Replenishment Fee), 14 to 16 (regulatory and physical takings), and 17 and 18 (due process), the Authority argued those claims must be dismissed under the “pay first” rule because Mojave has failed to pay the Replenishment Fee</w:t>
      </w:r>
      <w:r w:rsidR="0004090C">
        <w:rPr>
          <w:szCs w:val="26"/>
        </w:rPr>
        <w:t>.</w:t>
      </w:r>
      <w:r>
        <w:rPr>
          <w:rStyle w:val="FootnoteReference"/>
          <w:szCs w:val="26"/>
        </w:rPr>
        <w:footnoteReference w:id="15"/>
      </w:r>
      <w:r w:rsidRPr="00306A22">
        <w:rPr>
          <w:szCs w:val="26"/>
        </w:rPr>
        <w:t xml:space="preserve"> </w:t>
      </w:r>
    </w:p>
    <w:p w:rsidR="00551E1D" w:rsidRPr="00306A22" w:rsidP="00551E1D" w14:paraId="5FDA47D0" w14:textId="6B27EA62">
      <w:pPr>
        <w:spacing w:line="480" w:lineRule="atLeast"/>
        <w:ind w:firstLine="1440"/>
        <w:rPr>
          <w:szCs w:val="26"/>
        </w:rPr>
      </w:pPr>
      <w:r>
        <w:rPr>
          <w:szCs w:val="26"/>
        </w:rPr>
        <w:t>Respondent</w:t>
      </w:r>
      <w:r w:rsidRPr="00306A22">
        <w:rPr>
          <w:szCs w:val="26"/>
        </w:rPr>
        <w:t xml:space="preserve"> court found the “pay first” rule applied, noting that the challenged causes of action, despite their labels, all fundamentally s</w:t>
      </w:r>
      <w:r w:rsidR="00885C8B">
        <w:rPr>
          <w:szCs w:val="26"/>
        </w:rPr>
        <w:t>ought</w:t>
      </w:r>
      <w:r w:rsidRPr="00306A22">
        <w:rPr>
          <w:szCs w:val="26"/>
        </w:rPr>
        <w:t xml:space="preserve"> to challenge and impede the collection of the Replenishment Fee.</w:t>
      </w:r>
      <w:r w:rsidR="00E45602">
        <w:rPr>
          <w:szCs w:val="26"/>
        </w:rPr>
        <w:t xml:space="preserve"> </w:t>
      </w:r>
      <w:r w:rsidRPr="00306A22">
        <w:rPr>
          <w:szCs w:val="26"/>
        </w:rPr>
        <w:t xml:space="preserve"> Accordingly, the court</w:t>
      </w:r>
      <w:r w:rsidRPr="00306A22">
        <w:rPr>
          <w:b/>
          <w:bCs/>
          <w:szCs w:val="26"/>
        </w:rPr>
        <w:t xml:space="preserve"> </w:t>
      </w:r>
      <w:r w:rsidRPr="00306A22">
        <w:rPr>
          <w:szCs w:val="26"/>
        </w:rPr>
        <w:t>sustained the</w:t>
      </w:r>
      <w:r w:rsidR="002763A3">
        <w:rPr>
          <w:szCs w:val="26"/>
        </w:rPr>
        <w:t xml:space="preserve"> Authority’s</w:t>
      </w:r>
      <w:r w:rsidRPr="00306A22">
        <w:rPr>
          <w:szCs w:val="26"/>
        </w:rPr>
        <w:t xml:space="preserve"> demurrer to </w:t>
      </w:r>
      <w:r w:rsidR="00E45602">
        <w:rPr>
          <w:szCs w:val="26"/>
        </w:rPr>
        <w:t xml:space="preserve">the sixth </w:t>
      </w:r>
      <w:r w:rsidRPr="00306A22">
        <w:rPr>
          <w:szCs w:val="26"/>
        </w:rPr>
        <w:t xml:space="preserve">cause of action (challenging the Replenishment Fee) without leave to amend, and it sustained the demurrer to </w:t>
      </w:r>
      <w:r w:rsidR="00E45602">
        <w:rPr>
          <w:szCs w:val="26"/>
        </w:rPr>
        <w:t xml:space="preserve">the fourteenth through eighteenth </w:t>
      </w:r>
      <w:r w:rsidRPr="00306A22">
        <w:rPr>
          <w:szCs w:val="26"/>
        </w:rPr>
        <w:t>cause</w:t>
      </w:r>
      <w:r w:rsidR="00E45602">
        <w:rPr>
          <w:szCs w:val="26"/>
        </w:rPr>
        <w:t>s</w:t>
      </w:r>
      <w:r w:rsidRPr="00306A22">
        <w:rPr>
          <w:szCs w:val="26"/>
        </w:rPr>
        <w:t xml:space="preserve"> of action (takings and due process claims) with leave to amend. </w:t>
      </w:r>
    </w:p>
    <w:p w:rsidR="00551E1D" w:rsidRPr="00306A22" w:rsidP="00551E1D" w14:paraId="5401ECCC" w14:textId="5AB05DE3">
      <w:pPr>
        <w:spacing w:line="480" w:lineRule="atLeast"/>
        <w:ind w:firstLine="1440"/>
        <w:rPr>
          <w:szCs w:val="26"/>
        </w:rPr>
      </w:pPr>
      <w:r>
        <w:rPr>
          <w:szCs w:val="26"/>
        </w:rPr>
        <w:t>W</w:t>
      </w:r>
      <w:r w:rsidRPr="00306A22">
        <w:rPr>
          <w:szCs w:val="26"/>
        </w:rPr>
        <w:t xml:space="preserve">eeks later Mojave filed its </w:t>
      </w:r>
      <w:r w:rsidRPr="00306A22" w:rsidR="00E45602">
        <w:rPr>
          <w:szCs w:val="26"/>
        </w:rPr>
        <w:t>second amended verified petition</w:t>
      </w:r>
      <w:r w:rsidRPr="00306A22">
        <w:rPr>
          <w:szCs w:val="26"/>
        </w:rPr>
        <w:t xml:space="preserve"> </w:t>
      </w:r>
      <w:r w:rsidR="00E45602">
        <w:rPr>
          <w:szCs w:val="26"/>
        </w:rPr>
        <w:t xml:space="preserve">for writ of mandamus </w:t>
      </w:r>
      <w:r w:rsidRPr="00306A22">
        <w:rPr>
          <w:szCs w:val="26"/>
        </w:rPr>
        <w:t xml:space="preserve">and </w:t>
      </w:r>
      <w:r w:rsidR="00E45602">
        <w:rPr>
          <w:szCs w:val="26"/>
        </w:rPr>
        <w:t>c</w:t>
      </w:r>
      <w:r w:rsidRPr="00306A22">
        <w:rPr>
          <w:szCs w:val="26"/>
        </w:rPr>
        <w:t xml:space="preserve">omplaint (SAC), this time asserting 15 causes of action for violations of SGMA, regulatory and physical takings, and due process violations, among other claims.  In light of </w:t>
      </w:r>
      <w:r w:rsidR="001C06A8">
        <w:rPr>
          <w:szCs w:val="26"/>
        </w:rPr>
        <w:t>respondent</w:t>
      </w:r>
      <w:r w:rsidRPr="00306A22">
        <w:rPr>
          <w:szCs w:val="26"/>
        </w:rPr>
        <w:t xml:space="preserve"> court’s demurrer ruling on the “pay first” rule, Mojave deleted the cause of action challenging the Replenishment Fee</w:t>
      </w:r>
      <w:r>
        <w:rPr>
          <w:szCs w:val="26"/>
        </w:rPr>
        <w:t>;</w:t>
      </w:r>
      <w:r w:rsidRPr="00306A22">
        <w:rPr>
          <w:szCs w:val="26"/>
        </w:rPr>
        <w:t xml:space="preserve"> it also removed references to the “Replenishment Fee” from its takings claims.</w:t>
      </w:r>
      <w:r w:rsidR="00E45602">
        <w:rPr>
          <w:szCs w:val="26"/>
        </w:rPr>
        <w:t xml:space="preserve"> </w:t>
      </w:r>
      <w:r w:rsidRPr="00306A22">
        <w:rPr>
          <w:szCs w:val="26"/>
        </w:rPr>
        <w:t xml:space="preserve"> The Authority filed another demurrer. </w:t>
      </w:r>
    </w:p>
    <w:p w:rsidR="00551E1D" w:rsidRPr="00306A22" w:rsidP="00551E1D" w14:paraId="68E64013" w14:textId="00F12B2E">
      <w:pPr>
        <w:spacing w:line="480" w:lineRule="atLeast"/>
        <w:ind w:firstLine="1440"/>
        <w:rPr>
          <w:szCs w:val="26"/>
        </w:rPr>
      </w:pPr>
      <w:r w:rsidRPr="00306A22">
        <w:rPr>
          <w:szCs w:val="26"/>
        </w:rPr>
        <w:t xml:space="preserve">Meanwhile, in January 2022, the Authority filed a complaint against Mojave in </w:t>
      </w:r>
      <w:r w:rsidR="00E45602">
        <w:rPr>
          <w:szCs w:val="26"/>
        </w:rPr>
        <w:t xml:space="preserve">the </w:t>
      </w:r>
      <w:r w:rsidRPr="00306A22">
        <w:rPr>
          <w:szCs w:val="26"/>
        </w:rPr>
        <w:t>Superior Court</w:t>
      </w:r>
      <w:r w:rsidR="00E45602">
        <w:rPr>
          <w:szCs w:val="26"/>
        </w:rPr>
        <w:t xml:space="preserve"> of</w:t>
      </w:r>
      <w:r w:rsidRPr="00E45602" w:rsidR="00E45602">
        <w:rPr>
          <w:szCs w:val="26"/>
        </w:rPr>
        <w:t xml:space="preserve"> </w:t>
      </w:r>
      <w:r w:rsidRPr="00306A22" w:rsidR="00E45602">
        <w:rPr>
          <w:szCs w:val="26"/>
        </w:rPr>
        <w:t>Orange County</w:t>
      </w:r>
      <w:r w:rsidRPr="00306A22">
        <w:rPr>
          <w:szCs w:val="26"/>
        </w:rPr>
        <w:t>, seeking recovery of the delinquent groundwater fees, civil penalties, and preliminary and permanent injunctive relief.  (Case No.</w:t>
      </w:r>
      <w:r w:rsidR="00E45602">
        <w:rPr>
          <w:szCs w:val="26"/>
        </w:rPr>
        <w:t> </w:t>
      </w:r>
      <w:r w:rsidRPr="00306A22">
        <w:rPr>
          <w:szCs w:val="26"/>
        </w:rPr>
        <w:t>30</w:t>
      </w:r>
      <w:r w:rsidR="00E45602">
        <w:rPr>
          <w:szCs w:val="26"/>
        </w:rPr>
        <w:noBreakHyphen/>
      </w:r>
      <w:r w:rsidRPr="00306A22">
        <w:rPr>
          <w:szCs w:val="26"/>
        </w:rPr>
        <w:t>2022</w:t>
      </w:r>
      <w:r w:rsidR="00E45602">
        <w:rPr>
          <w:szCs w:val="26"/>
        </w:rPr>
        <w:noBreakHyphen/>
      </w:r>
      <w:r w:rsidRPr="00306A22">
        <w:rPr>
          <w:szCs w:val="26"/>
        </w:rPr>
        <w:t xml:space="preserve">01239479.) </w:t>
      </w:r>
      <w:r w:rsidR="00E45602">
        <w:rPr>
          <w:szCs w:val="26"/>
        </w:rPr>
        <w:t xml:space="preserve"> </w:t>
      </w:r>
      <w:r w:rsidRPr="00306A22">
        <w:rPr>
          <w:szCs w:val="26"/>
        </w:rPr>
        <w:t xml:space="preserve">That case is related to the present action, and according to the parties, the Authority’s request for injunction is still pending. </w:t>
      </w:r>
    </w:p>
    <w:p w:rsidR="00551E1D" w:rsidRPr="00306A22" w:rsidP="00551E1D" w14:paraId="5FE68275" w14:textId="22215ABD">
      <w:pPr>
        <w:spacing w:line="480" w:lineRule="atLeast"/>
        <w:ind w:firstLine="1440"/>
        <w:rPr>
          <w:szCs w:val="26"/>
        </w:rPr>
      </w:pPr>
      <w:r w:rsidRPr="00306A22">
        <w:rPr>
          <w:szCs w:val="26"/>
        </w:rPr>
        <w:t xml:space="preserve">Before the hearing on the Authority’s demurrer to the SAC in the present action, Mojave sought leave to file a </w:t>
      </w:r>
      <w:r w:rsidRPr="00306A22" w:rsidR="00E45602">
        <w:rPr>
          <w:szCs w:val="26"/>
        </w:rPr>
        <w:t>third amended petition</w:t>
      </w:r>
      <w:r w:rsidRPr="00306A22">
        <w:rPr>
          <w:szCs w:val="26"/>
        </w:rPr>
        <w:t xml:space="preserve"> and </w:t>
      </w:r>
      <w:r w:rsidR="00E45602">
        <w:rPr>
          <w:szCs w:val="26"/>
        </w:rPr>
        <w:t>c</w:t>
      </w:r>
      <w:r w:rsidRPr="00306A22">
        <w:rPr>
          <w:szCs w:val="26"/>
        </w:rPr>
        <w:t>omplaint (TAC).  In its moving papers, Mojave explained that the amendments in the proposed TAC “make[] clear that this lawsuit is not a challenge to the Replenishment Fee but to the predicate unlawful allocation decision that preceded the imposition of the fee and which violates SGMA and constitutes a taking.”</w:t>
      </w:r>
      <w:r w:rsidRPr="00306A22">
        <w:rPr>
          <w:b/>
          <w:bCs/>
          <w:szCs w:val="26"/>
        </w:rPr>
        <w:t xml:space="preserve"> </w:t>
      </w:r>
    </w:p>
    <w:p w:rsidR="00551E1D" w:rsidRPr="00306A22" w:rsidP="00551E1D" w14:paraId="2927BCA4" w14:textId="0F35E76C">
      <w:pPr>
        <w:spacing w:line="480" w:lineRule="atLeast"/>
        <w:ind w:firstLine="1440"/>
        <w:rPr>
          <w:b/>
          <w:bCs/>
          <w:szCs w:val="26"/>
        </w:rPr>
      </w:pPr>
      <w:r>
        <w:rPr>
          <w:szCs w:val="26"/>
        </w:rPr>
        <w:t>Respondent</w:t>
      </w:r>
      <w:r w:rsidRPr="00306A22">
        <w:rPr>
          <w:szCs w:val="26"/>
        </w:rPr>
        <w:t xml:space="preserve"> court took the Authority’s demurrer to the SAC off calendar and largely granted Mojave’s motion for leave to file its TAC.</w:t>
      </w:r>
      <w:r w:rsidR="00E45602">
        <w:rPr>
          <w:szCs w:val="26"/>
        </w:rPr>
        <w:t xml:space="preserve"> </w:t>
      </w:r>
      <w:r w:rsidRPr="00306A22">
        <w:rPr>
          <w:szCs w:val="26"/>
        </w:rPr>
        <w:t xml:space="preserve"> The TAC asserts 15</w:t>
      </w:r>
      <w:r w:rsidR="00E45602">
        <w:rPr>
          <w:szCs w:val="26"/>
        </w:rPr>
        <w:t> </w:t>
      </w:r>
      <w:r w:rsidRPr="00306A22">
        <w:rPr>
          <w:szCs w:val="26"/>
        </w:rPr>
        <w:t>causes of action for violations of SGMA, regulatory and physical takings, and due process violations, among other claims.</w:t>
      </w:r>
      <w:r w:rsidRPr="00306A22">
        <w:rPr>
          <w:b/>
          <w:bCs/>
          <w:szCs w:val="26"/>
        </w:rPr>
        <w:t xml:space="preserve"> </w:t>
      </w:r>
    </w:p>
    <w:p w:rsidR="00551E1D" w:rsidRPr="00306A22" w:rsidP="00551E1D" w14:paraId="747C95E6" w14:textId="09E9D01E">
      <w:pPr>
        <w:spacing w:line="480" w:lineRule="atLeast"/>
        <w:ind w:firstLine="1440"/>
        <w:rPr>
          <w:b/>
          <w:bCs/>
          <w:szCs w:val="26"/>
        </w:rPr>
      </w:pPr>
      <w:r w:rsidRPr="00306A22">
        <w:rPr>
          <w:szCs w:val="26"/>
        </w:rPr>
        <w:t xml:space="preserve">As relevant here, </w:t>
      </w:r>
      <w:r w:rsidR="00E45602">
        <w:rPr>
          <w:szCs w:val="26"/>
        </w:rPr>
        <w:t xml:space="preserve">the fifth </w:t>
      </w:r>
      <w:r w:rsidRPr="00306A22">
        <w:rPr>
          <w:szCs w:val="26"/>
        </w:rPr>
        <w:t>cause of action in the TAC challenges the Exempted Pumping Allotments</w:t>
      </w:r>
      <w:r>
        <w:rPr>
          <w:rStyle w:val="FootnoteReference"/>
          <w:szCs w:val="26"/>
        </w:rPr>
        <w:footnoteReference w:id="16"/>
      </w:r>
      <w:r w:rsidRPr="00306A22">
        <w:rPr>
          <w:szCs w:val="26"/>
        </w:rPr>
        <w:t xml:space="preserve"> in Ordinance No. 03-20, asserting the Authority arbitrarily and capriciously granted groundwater pumping allotments to certain users</w:t>
      </w:r>
      <w:r w:rsidR="008835AC">
        <w:rPr>
          <w:szCs w:val="26"/>
        </w:rPr>
        <w:t>,</w:t>
      </w:r>
      <w:r w:rsidRPr="00306A22">
        <w:rPr>
          <w:szCs w:val="26"/>
        </w:rPr>
        <w:t xml:space="preserve"> but not Mojave</w:t>
      </w:r>
      <w:r w:rsidR="008835AC">
        <w:rPr>
          <w:szCs w:val="26"/>
        </w:rPr>
        <w:t>,</w:t>
      </w:r>
      <w:r w:rsidRPr="00306A22">
        <w:rPr>
          <w:szCs w:val="26"/>
        </w:rPr>
        <w:t xml:space="preserve"> in violation of Mojave’s common law and constitutional rights to water. </w:t>
      </w:r>
      <w:r w:rsidRPr="00306A22">
        <w:rPr>
          <w:b/>
          <w:bCs/>
          <w:szCs w:val="26"/>
        </w:rPr>
        <w:t xml:space="preserve"> </w:t>
      </w:r>
      <w:r w:rsidRPr="00306A22">
        <w:rPr>
          <w:szCs w:val="26"/>
        </w:rPr>
        <w:t xml:space="preserve">According to Mojave, “because [Mojave was] denied any [Exempted] Pumping [Allotments], [Mojave] can no longer rely on [its] prior and paramount overlying right to pump [its] correlative share of the Basin’s native yield, and instead must pay the Replenishment Fee.”  (TAC ¶ 402.)  Mojave therefore seeks a writ of mandate compelling the Authority to prevent the implementation of the Exempted Pumping Allotments and to comply with all applicable laws in adopting accurate and legal allotments. </w:t>
      </w:r>
    </w:p>
    <w:p w:rsidR="00551E1D" w:rsidRPr="00306A22" w:rsidP="00551E1D" w14:paraId="6A8F8CD7" w14:textId="378BF270">
      <w:pPr>
        <w:spacing w:line="480" w:lineRule="atLeast"/>
        <w:ind w:firstLine="1440"/>
        <w:rPr>
          <w:szCs w:val="26"/>
        </w:rPr>
      </w:pPr>
      <w:r>
        <w:rPr>
          <w:szCs w:val="26"/>
        </w:rPr>
        <w:t>C</w:t>
      </w:r>
      <w:r w:rsidRPr="00306A22">
        <w:rPr>
          <w:szCs w:val="26"/>
        </w:rPr>
        <w:t xml:space="preserve">ause of action </w:t>
      </w:r>
      <w:r w:rsidR="009E0504">
        <w:rPr>
          <w:szCs w:val="26"/>
        </w:rPr>
        <w:t>N</w:t>
      </w:r>
      <w:r w:rsidRPr="00306A22">
        <w:rPr>
          <w:szCs w:val="26"/>
        </w:rPr>
        <w:t xml:space="preserve">os. </w:t>
      </w:r>
      <w:bookmarkStart w:id="2" w:name="dabmci_006c248b1b4340549b1707589f78ad58"/>
      <w:r w:rsidRPr="00306A22">
        <w:rPr>
          <w:szCs w:val="26"/>
        </w:rPr>
        <w:t>9 through 11 of the TAC</w:t>
      </w:r>
      <w:bookmarkEnd w:id="2"/>
      <w:r w:rsidRPr="00306A22">
        <w:rPr>
          <w:szCs w:val="26"/>
        </w:rPr>
        <w:t xml:space="preserve"> allege</w:t>
      </w:r>
      <w:r>
        <w:rPr>
          <w:szCs w:val="26"/>
        </w:rPr>
        <w:t xml:space="preserve"> </w:t>
      </w:r>
      <w:r w:rsidRPr="00306A22">
        <w:rPr>
          <w:szCs w:val="26"/>
        </w:rPr>
        <w:t xml:space="preserve">the Authority, through the adoption of its groundwater sustainability plan, the </w:t>
      </w:r>
      <w:r w:rsidR="00D26BB8">
        <w:rPr>
          <w:szCs w:val="26"/>
        </w:rPr>
        <w:t>Sustainable Yield Report</w:t>
      </w:r>
      <w:r w:rsidRPr="00306A22">
        <w:rPr>
          <w:szCs w:val="26"/>
        </w:rPr>
        <w:t xml:space="preserve">, the Transient Pool and Fallowing Program, and the Exempted Pumping Allotments, has deprived Mojave of all economically beneficial use of its water rights and pistachio trees, and this amounts to a physical and regulatory taking of private property without just compensation in violation of the state and federal constitutions and </w:t>
      </w:r>
      <w:bookmarkStart w:id="3" w:name="dabmci_05a3e38bae444ecbb7ab3553ac60866c"/>
      <w:r w:rsidRPr="00306A22">
        <w:rPr>
          <w:szCs w:val="26"/>
        </w:rPr>
        <w:t>section 1983</w:t>
      </w:r>
      <w:r w:rsidR="009E0504">
        <w:rPr>
          <w:szCs w:val="26"/>
        </w:rPr>
        <w:t xml:space="preserve"> of title 42 of the United States Code</w:t>
      </w:r>
      <w:bookmarkEnd w:id="3"/>
      <w:r w:rsidRPr="00306A22">
        <w:rPr>
          <w:szCs w:val="26"/>
        </w:rPr>
        <w:t xml:space="preserve">. </w:t>
      </w:r>
    </w:p>
    <w:p w:rsidR="00551E1D" w:rsidRPr="00306A22" w:rsidP="00551E1D" w14:paraId="201B10B7" w14:textId="5A144A00">
      <w:pPr>
        <w:spacing w:line="480" w:lineRule="atLeast"/>
        <w:ind w:firstLine="1440"/>
        <w:rPr>
          <w:szCs w:val="26"/>
        </w:rPr>
      </w:pPr>
      <w:r w:rsidRPr="00306A22">
        <w:rPr>
          <w:szCs w:val="26"/>
        </w:rPr>
        <w:t xml:space="preserve">The Authority filed yet another demurrer to the TAC, challenging </w:t>
      </w:r>
      <w:r w:rsidR="009E0504">
        <w:rPr>
          <w:szCs w:val="26"/>
        </w:rPr>
        <w:t xml:space="preserve">the fifth </w:t>
      </w:r>
      <w:r w:rsidRPr="00306A22">
        <w:rPr>
          <w:szCs w:val="26"/>
        </w:rPr>
        <w:t xml:space="preserve">cause of action (challenging the Exempted Pumping Allotments) and </w:t>
      </w:r>
      <w:r w:rsidR="009E0504">
        <w:rPr>
          <w:szCs w:val="26"/>
        </w:rPr>
        <w:t>the ninth through eleventh causes of action</w:t>
      </w:r>
      <w:r w:rsidRPr="00306A22">
        <w:rPr>
          <w:szCs w:val="26"/>
        </w:rPr>
        <w:t xml:space="preserve"> (the takings claims).</w:t>
      </w:r>
      <w:r w:rsidR="009E0504">
        <w:rPr>
          <w:szCs w:val="26"/>
        </w:rPr>
        <w:t xml:space="preserve"> </w:t>
      </w:r>
      <w:r w:rsidRPr="00306A22">
        <w:rPr>
          <w:szCs w:val="26"/>
        </w:rPr>
        <w:t xml:space="preserve"> The Authority argued the fifth cause of action </w:t>
      </w:r>
      <w:r w:rsidR="00E742EC">
        <w:rPr>
          <w:szCs w:val="26"/>
        </w:rPr>
        <w:t>i</w:t>
      </w:r>
      <w:r w:rsidRPr="00306A22">
        <w:rPr>
          <w:szCs w:val="26"/>
        </w:rPr>
        <w:t>s “nothing more than a further challenge to the calculation of the Replenishment Fee,” and is thus still barred by the “</w:t>
      </w:r>
      <w:r w:rsidR="001854FC">
        <w:rPr>
          <w:szCs w:val="26"/>
        </w:rPr>
        <w:t>p</w:t>
      </w:r>
      <w:r w:rsidRPr="00306A22" w:rsidR="001854FC">
        <w:rPr>
          <w:szCs w:val="26"/>
        </w:rPr>
        <w:t xml:space="preserve">ay </w:t>
      </w:r>
      <w:r w:rsidR="001854FC">
        <w:rPr>
          <w:szCs w:val="26"/>
        </w:rPr>
        <w:t>f</w:t>
      </w:r>
      <w:r w:rsidRPr="00306A22" w:rsidR="001854FC">
        <w:rPr>
          <w:szCs w:val="26"/>
        </w:rPr>
        <w:t>irst</w:t>
      </w:r>
      <w:r w:rsidRPr="00306A22">
        <w:rPr>
          <w:szCs w:val="26"/>
        </w:rPr>
        <w:t>” rule.</w:t>
      </w:r>
      <w:r w:rsidR="009E0504">
        <w:rPr>
          <w:szCs w:val="26"/>
        </w:rPr>
        <w:t xml:space="preserve"> </w:t>
      </w:r>
      <w:r w:rsidRPr="00306A22">
        <w:rPr>
          <w:szCs w:val="26"/>
        </w:rPr>
        <w:t xml:space="preserve"> As for the takings claims, the Authority argued the challenged actions </w:t>
      </w:r>
      <w:r w:rsidR="00BE03B9">
        <w:rPr>
          <w:szCs w:val="26"/>
        </w:rPr>
        <w:t xml:space="preserve">(which do not include the Replenishment Fee) </w:t>
      </w:r>
      <w:r w:rsidRPr="00306A22">
        <w:rPr>
          <w:szCs w:val="26"/>
        </w:rPr>
        <w:t xml:space="preserve">imposed no economic burdens on Mojave, nor did they preclude the extraction of groundwater. </w:t>
      </w:r>
    </w:p>
    <w:p w:rsidR="00210E53" w:rsidP="00551E1D" w14:paraId="16EEC4CE" w14:textId="26F20243">
      <w:pPr>
        <w:spacing w:line="480" w:lineRule="atLeast"/>
        <w:ind w:firstLine="1440"/>
        <w:rPr>
          <w:b/>
          <w:bCs/>
          <w:szCs w:val="26"/>
        </w:rPr>
      </w:pPr>
      <w:r>
        <w:rPr>
          <w:szCs w:val="26"/>
        </w:rPr>
        <w:t>The trial court</w:t>
      </w:r>
      <w:r w:rsidRPr="00306A22" w:rsidR="00551E1D">
        <w:rPr>
          <w:szCs w:val="26"/>
        </w:rPr>
        <w:t xml:space="preserve"> held a lengthy hearing on the matter in December 2022.</w:t>
      </w:r>
      <w:r w:rsidR="009E0504">
        <w:rPr>
          <w:szCs w:val="26"/>
        </w:rPr>
        <w:t xml:space="preserve">  </w:t>
      </w:r>
      <w:r w:rsidRPr="00306A22" w:rsidR="00551E1D">
        <w:rPr>
          <w:szCs w:val="26"/>
        </w:rPr>
        <w:t xml:space="preserve">After taking the matter under submission, respondent court sustained the Authority’s demurrer </w:t>
      </w:r>
      <w:r w:rsidR="00B87A60">
        <w:rPr>
          <w:szCs w:val="26"/>
        </w:rPr>
        <w:t xml:space="preserve">as </w:t>
      </w:r>
      <w:r w:rsidRPr="00306A22" w:rsidR="00551E1D">
        <w:rPr>
          <w:szCs w:val="26"/>
        </w:rPr>
        <w:t xml:space="preserve">to </w:t>
      </w:r>
      <w:r w:rsidR="009E0504">
        <w:rPr>
          <w:szCs w:val="26"/>
        </w:rPr>
        <w:t xml:space="preserve">the fifth and eleventh </w:t>
      </w:r>
      <w:r w:rsidRPr="00306A22" w:rsidR="00551E1D">
        <w:rPr>
          <w:szCs w:val="26"/>
        </w:rPr>
        <w:t>cause</w:t>
      </w:r>
      <w:r w:rsidR="009E0504">
        <w:rPr>
          <w:szCs w:val="26"/>
        </w:rPr>
        <w:t>s</w:t>
      </w:r>
      <w:r w:rsidRPr="00306A22" w:rsidR="00551E1D">
        <w:rPr>
          <w:szCs w:val="26"/>
        </w:rPr>
        <w:t xml:space="preserve"> of action without leave to amend and as to </w:t>
      </w:r>
      <w:r w:rsidR="009E0504">
        <w:rPr>
          <w:szCs w:val="26"/>
        </w:rPr>
        <w:t xml:space="preserve">the ninth and tenth </w:t>
      </w:r>
      <w:r w:rsidRPr="00306A22" w:rsidR="00551E1D">
        <w:rPr>
          <w:szCs w:val="26"/>
        </w:rPr>
        <w:t>cause</w:t>
      </w:r>
      <w:r w:rsidR="009E0504">
        <w:rPr>
          <w:szCs w:val="26"/>
        </w:rPr>
        <w:t>s</w:t>
      </w:r>
      <w:r w:rsidRPr="00306A22" w:rsidR="00551E1D">
        <w:rPr>
          <w:szCs w:val="26"/>
        </w:rPr>
        <w:t xml:space="preserve"> of action with leave to amend.</w:t>
      </w:r>
      <w:r>
        <w:rPr>
          <w:rStyle w:val="FootnoteReference"/>
          <w:szCs w:val="26"/>
        </w:rPr>
        <w:footnoteReference w:id="17"/>
      </w:r>
      <w:r w:rsidRPr="00306A22" w:rsidR="00551E1D">
        <w:rPr>
          <w:szCs w:val="26"/>
        </w:rPr>
        <w:t xml:space="preserve"> </w:t>
      </w:r>
    </w:p>
    <w:p w:rsidR="00551E1D" w:rsidRPr="00306A22" w:rsidP="00551E1D" w14:paraId="495CF294" w14:textId="420E3B85">
      <w:pPr>
        <w:spacing w:line="480" w:lineRule="atLeast"/>
        <w:ind w:firstLine="1440"/>
        <w:rPr>
          <w:szCs w:val="26"/>
        </w:rPr>
      </w:pPr>
      <w:r w:rsidRPr="00210E53">
        <w:rPr>
          <w:szCs w:val="26"/>
        </w:rPr>
        <w:t>Respondent</w:t>
      </w:r>
      <w:r w:rsidRPr="00306A22">
        <w:rPr>
          <w:szCs w:val="26"/>
        </w:rPr>
        <w:t xml:space="preserve"> court found the fifth cause of action’s challenge to the Exempted Pumping Allotment was “simply a disguised challenge to the Replenishment Fee itself, meaning it’s still barred by the ‘pay first, litigate later’ rule.”</w:t>
      </w:r>
      <w:r w:rsidR="009E0504">
        <w:rPr>
          <w:szCs w:val="26"/>
        </w:rPr>
        <w:t xml:space="preserve"> </w:t>
      </w:r>
      <w:r w:rsidRPr="00306A22">
        <w:rPr>
          <w:szCs w:val="26"/>
        </w:rPr>
        <w:t xml:space="preserve"> As for the regulatory takings claims (</w:t>
      </w:r>
      <w:r w:rsidR="009E0504">
        <w:rPr>
          <w:szCs w:val="26"/>
        </w:rPr>
        <w:t>the ninth and tenth causes of action</w:t>
      </w:r>
      <w:r w:rsidRPr="00306A22">
        <w:rPr>
          <w:szCs w:val="26"/>
        </w:rPr>
        <w:t xml:space="preserve">), the court reasoned the TAC specifically removed </w:t>
      </w:r>
      <w:r w:rsidR="007C1FBF">
        <w:rPr>
          <w:szCs w:val="26"/>
        </w:rPr>
        <w:t xml:space="preserve">any </w:t>
      </w:r>
      <w:r w:rsidRPr="00306A22">
        <w:rPr>
          <w:szCs w:val="26"/>
        </w:rPr>
        <w:t>reference to the Replenishment Fee, and these claims are instead based on the Authority’s groundwater sustainability plan, the Sustainable Yield Report, Exempted Pumping Allotments, and Transient Pool and Fallowing Program, none of which, “</w:t>
      </w:r>
      <w:r w:rsidRPr="00306A22">
        <w:rPr>
          <w:i/>
          <w:iCs/>
          <w:szCs w:val="26"/>
        </w:rPr>
        <w:t>without reference to the Replenishment Fee,</w:t>
      </w:r>
      <w:r w:rsidRPr="00306A22">
        <w:rPr>
          <w:szCs w:val="26"/>
        </w:rPr>
        <w:t xml:space="preserve"> [has] an economic effect on Mojave.”</w:t>
      </w:r>
      <w:r w:rsidR="009E0504">
        <w:rPr>
          <w:szCs w:val="26"/>
        </w:rPr>
        <w:t xml:space="preserve"> </w:t>
      </w:r>
      <w:r w:rsidRPr="00306A22">
        <w:rPr>
          <w:szCs w:val="26"/>
        </w:rPr>
        <w:t xml:space="preserve"> As for the physical takings claim (</w:t>
      </w:r>
      <w:r w:rsidR="009E0504">
        <w:rPr>
          <w:szCs w:val="26"/>
        </w:rPr>
        <w:t>the eleventh cause of action</w:t>
      </w:r>
      <w:r w:rsidRPr="00306A22">
        <w:rPr>
          <w:szCs w:val="26"/>
        </w:rPr>
        <w:t>), the court reasoned Mojave had not alleged it was in fact physically prevented from extracting water, and thus had not stated a claim.</w:t>
      </w:r>
      <w:r w:rsidRPr="00306A22">
        <w:rPr>
          <w:b/>
          <w:bCs/>
          <w:szCs w:val="26"/>
        </w:rPr>
        <w:t xml:space="preserve"> </w:t>
      </w:r>
    </w:p>
    <w:p w:rsidR="00C8571E" w:rsidRPr="00226E3D" w:rsidP="00551E1D" w14:paraId="5B4BC685" w14:textId="19EF9CEB">
      <w:pPr>
        <w:spacing w:line="480" w:lineRule="atLeast"/>
        <w:ind w:firstLine="1440"/>
        <w:rPr>
          <w:szCs w:val="26"/>
        </w:rPr>
      </w:pPr>
      <w:r w:rsidRPr="00306A22">
        <w:rPr>
          <w:szCs w:val="26"/>
        </w:rPr>
        <w:t>Mojave petitioned this court for a writ of mandate</w:t>
      </w:r>
      <w:r w:rsidR="00AA6034">
        <w:rPr>
          <w:szCs w:val="26"/>
        </w:rPr>
        <w:t xml:space="preserve"> in February 2023</w:t>
      </w:r>
      <w:r w:rsidRPr="00306A22">
        <w:rPr>
          <w:szCs w:val="26"/>
        </w:rPr>
        <w:t>, requesting de novo review of respondent court’s ruling on the demurrer</w:t>
      </w:r>
      <w:r w:rsidR="00144D07">
        <w:rPr>
          <w:szCs w:val="26"/>
        </w:rPr>
        <w:t>.</w:t>
      </w:r>
      <w:r w:rsidR="009E0504">
        <w:rPr>
          <w:szCs w:val="26"/>
        </w:rPr>
        <w:t xml:space="preserve">  </w:t>
      </w:r>
      <w:r w:rsidR="00CA4832">
        <w:rPr>
          <w:szCs w:val="26"/>
        </w:rPr>
        <w:t>W</w:t>
      </w:r>
      <w:r w:rsidR="00C47DB1">
        <w:rPr>
          <w:szCs w:val="26"/>
        </w:rPr>
        <w:t xml:space="preserve">e </w:t>
      </w:r>
      <w:r w:rsidR="009C1226">
        <w:rPr>
          <w:szCs w:val="26"/>
        </w:rPr>
        <w:t xml:space="preserve">issued an order to show cause why mandate or other appropriate relief should not </w:t>
      </w:r>
      <w:r w:rsidR="00F2290D">
        <w:rPr>
          <w:szCs w:val="26"/>
        </w:rPr>
        <w:t xml:space="preserve">be </w:t>
      </w:r>
      <w:r w:rsidR="009C1226">
        <w:rPr>
          <w:szCs w:val="26"/>
        </w:rPr>
        <w:t>issue</w:t>
      </w:r>
      <w:r w:rsidR="00F2290D">
        <w:rPr>
          <w:szCs w:val="26"/>
        </w:rPr>
        <w:t>d;</w:t>
      </w:r>
      <w:r w:rsidR="009C1226">
        <w:rPr>
          <w:szCs w:val="26"/>
        </w:rPr>
        <w:t xml:space="preserve"> </w:t>
      </w:r>
      <w:r w:rsidR="00AA6034">
        <w:rPr>
          <w:szCs w:val="26"/>
        </w:rPr>
        <w:t xml:space="preserve">we </w:t>
      </w:r>
      <w:r w:rsidR="00F2290D">
        <w:rPr>
          <w:szCs w:val="26"/>
        </w:rPr>
        <w:t xml:space="preserve">also </w:t>
      </w:r>
      <w:r w:rsidR="00C47DB1">
        <w:rPr>
          <w:szCs w:val="26"/>
        </w:rPr>
        <w:t>invited additional briefing</w:t>
      </w:r>
      <w:r w:rsidR="004C3E0D">
        <w:rPr>
          <w:szCs w:val="26"/>
        </w:rPr>
        <w:t xml:space="preserve"> by the parties</w:t>
      </w:r>
      <w:r w:rsidR="00AA6034">
        <w:rPr>
          <w:szCs w:val="26"/>
        </w:rPr>
        <w:t xml:space="preserve">.  We </w:t>
      </w:r>
      <w:r w:rsidR="00F2290D">
        <w:rPr>
          <w:szCs w:val="26"/>
        </w:rPr>
        <w:t>later</w:t>
      </w:r>
      <w:r w:rsidR="00D7177E">
        <w:rPr>
          <w:szCs w:val="26"/>
        </w:rPr>
        <w:t xml:space="preserve"> </w:t>
      </w:r>
      <w:r w:rsidR="009312CC">
        <w:rPr>
          <w:szCs w:val="26"/>
        </w:rPr>
        <w:t>accepted</w:t>
      </w:r>
      <w:r w:rsidR="004C3E0D">
        <w:rPr>
          <w:szCs w:val="26"/>
        </w:rPr>
        <w:t xml:space="preserve"> brief</w:t>
      </w:r>
      <w:r w:rsidR="00AC0183">
        <w:rPr>
          <w:szCs w:val="26"/>
        </w:rPr>
        <w:t>ing</w:t>
      </w:r>
      <w:r w:rsidR="009312CC">
        <w:rPr>
          <w:szCs w:val="26"/>
        </w:rPr>
        <w:t xml:space="preserve"> by several amici curiae</w:t>
      </w:r>
      <w:r w:rsidR="00374056">
        <w:rPr>
          <w:szCs w:val="26"/>
        </w:rPr>
        <w:t>,</w:t>
      </w:r>
      <w:r w:rsidR="00D7177E">
        <w:rPr>
          <w:szCs w:val="26"/>
        </w:rPr>
        <w:t xml:space="preserve"> entertained oral argument</w:t>
      </w:r>
      <w:r w:rsidR="00374056">
        <w:rPr>
          <w:szCs w:val="26"/>
        </w:rPr>
        <w:t>, and invited supplement</w:t>
      </w:r>
      <w:r w:rsidR="00CA4832">
        <w:rPr>
          <w:szCs w:val="26"/>
        </w:rPr>
        <w:t>al</w:t>
      </w:r>
      <w:r w:rsidR="00374056">
        <w:rPr>
          <w:szCs w:val="26"/>
        </w:rPr>
        <w:t xml:space="preserve"> briefing after oral argument</w:t>
      </w:r>
      <w:r w:rsidR="00D7177E">
        <w:rPr>
          <w:szCs w:val="26"/>
        </w:rPr>
        <w:t xml:space="preserve">. </w:t>
      </w:r>
    </w:p>
    <w:p w:rsidR="00B57254" w:rsidP="00E03C31" w14:paraId="050BCC43" w14:textId="77777777">
      <w:pPr>
        <w:keepNext/>
        <w:tabs>
          <w:tab w:val="left" w:pos="1440"/>
          <w:tab w:val="left" w:pos="2880"/>
          <w:tab w:val="left" w:pos="4320"/>
          <w:tab w:val="left" w:pos="5760"/>
          <w:tab w:val="left" w:pos="7200"/>
          <w:tab w:val="left" w:pos="8640"/>
        </w:tabs>
        <w:spacing w:before="240" w:line="480" w:lineRule="atLeast"/>
        <w:jc w:val="center"/>
      </w:pPr>
      <w:r>
        <w:rPr>
          <w:b/>
        </w:rPr>
        <w:t>DISCUSSION</w:t>
      </w:r>
    </w:p>
    <w:p w:rsidR="00AD1437" w:rsidRPr="00306A22" w:rsidP="00CA4832" w14:paraId="6E595E16" w14:textId="09CF2578">
      <w:pPr>
        <w:keepNext/>
        <w:spacing w:line="480" w:lineRule="atLeast"/>
        <w:rPr>
          <w:i/>
          <w:iCs/>
          <w:szCs w:val="26"/>
        </w:rPr>
      </w:pPr>
      <w:r>
        <w:tab/>
      </w:r>
      <w:r w:rsidRPr="00306A22">
        <w:rPr>
          <w:szCs w:val="26"/>
        </w:rPr>
        <w:t>1.</w:t>
      </w:r>
      <w:r w:rsidRPr="00306A22">
        <w:rPr>
          <w:szCs w:val="26"/>
        </w:rPr>
        <w:tab/>
      </w:r>
      <w:r w:rsidRPr="00306A22">
        <w:rPr>
          <w:i/>
          <w:iCs/>
          <w:szCs w:val="26"/>
        </w:rPr>
        <w:t xml:space="preserve">Writ Review </w:t>
      </w:r>
      <w:r w:rsidR="009E0504">
        <w:rPr>
          <w:i/>
          <w:iCs/>
          <w:szCs w:val="26"/>
        </w:rPr>
        <w:t>i</w:t>
      </w:r>
      <w:r w:rsidRPr="00306A22">
        <w:rPr>
          <w:i/>
          <w:iCs/>
          <w:szCs w:val="26"/>
        </w:rPr>
        <w:t>s Appropriate</w:t>
      </w:r>
    </w:p>
    <w:p w:rsidR="00AD1437" w:rsidRPr="00306A22" w:rsidP="00AD1437" w14:paraId="757B72A4" w14:textId="1FB7804C">
      <w:pPr>
        <w:spacing w:line="480" w:lineRule="atLeast"/>
        <w:ind w:firstLine="1440"/>
        <w:rPr>
          <w:szCs w:val="26"/>
        </w:rPr>
      </w:pPr>
      <w:r w:rsidRPr="00306A22">
        <w:rPr>
          <w:szCs w:val="26"/>
        </w:rPr>
        <w:t>“In order to confine the use of mandamus to its proper office, the Supreme Court, in various cases, has stated general criteria for determining the propriety of an extraordinary writ: (1) the issue tendered in the writ petition is of widespread interest [citation] or presents a significant and novel constitutional issue [citation]; (2) the trial court’s order deprived petitioner of an opportunity to present a substantial portion of his cause of action [citations]; (3) conflicting trial court interpretations of the law require a resolution of the conflict [citation]; (4) the trial court’s order is both clearly erroneous as a matter of law and substantially prejudices petitioner’s case [citation</w:t>
      </w:r>
      <w:r w:rsidR="009E0504">
        <w:rPr>
          <w:szCs w:val="26"/>
        </w:rPr>
        <w:t>s</w:t>
      </w:r>
      <w:r w:rsidRPr="00306A22">
        <w:rPr>
          <w:szCs w:val="26"/>
        </w:rPr>
        <w:t>]; (5) the party seeking the writ lacks an adequate means, such as a direct appeal, by which to attain relief [citation]; and (6) the petitioner will suffer harm or prejudice in a manner that cannot be corrected on appeal [citations].  The extent to which these criteria apply depends on the facts and circumstances of the case.”  (</w:t>
      </w:r>
      <w:bookmarkStart w:id="4" w:name="dabmci_64017f72a108416b8e917974c9d99964"/>
      <w:r w:rsidRPr="00306A22">
        <w:rPr>
          <w:i/>
          <w:iCs/>
          <w:szCs w:val="26"/>
        </w:rPr>
        <w:t>Omaha Indemnity Co. v. Superior Court</w:t>
      </w:r>
      <w:r w:rsidRPr="00306A22">
        <w:rPr>
          <w:szCs w:val="26"/>
        </w:rPr>
        <w:t xml:space="preserve"> (1989) 209 Cal.App.3d 1266, 1273</w:t>
      </w:r>
      <w:r w:rsidR="009E0504">
        <w:rPr>
          <w:szCs w:val="26"/>
        </w:rPr>
        <w:noBreakHyphen/>
      </w:r>
      <w:r w:rsidRPr="00306A22">
        <w:rPr>
          <w:szCs w:val="26"/>
        </w:rPr>
        <w:t>1274</w:t>
      </w:r>
      <w:bookmarkEnd w:id="4"/>
      <w:r w:rsidR="00AD71C0">
        <w:rPr>
          <w:szCs w:val="26"/>
        </w:rPr>
        <w:t>.)</w:t>
      </w:r>
    </w:p>
    <w:p w:rsidR="00AD1437" w:rsidRPr="00306A22" w:rsidP="00AD1437" w14:paraId="7A077B6B" w14:textId="4BF7404D">
      <w:pPr>
        <w:spacing w:line="480" w:lineRule="atLeast"/>
        <w:ind w:firstLine="1440"/>
        <w:rPr>
          <w:szCs w:val="26"/>
        </w:rPr>
      </w:pPr>
      <w:r>
        <w:rPr>
          <w:szCs w:val="26"/>
        </w:rPr>
        <w:t>T</w:t>
      </w:r>
      <w:r w:rsidRPr="00306A22">
        <w:rPr>
          <w:szCs w:val="26"/>
        </w:rPr>
        <w:t xml:space="preserve">he issues </w:t>
      </w:r>
      <w:r w:rsidR="00F74AC2">
        <w:rPr>
          <w:szCs w:val="26"/>
        </w:rPr>
        <w:t>raised</w:t>
      </w:r>
      <w:r w:rsidRPr="00306A22">
        <w:rPr>
          <w:szCs w:val="26"/>
        </w:rPr>
        <w:t xml:space="preserve"> </w:t>
      </w:r>
      <w:r w:rsidR="00223B27">
        <w:rPr>
          <w:szCs w:val="26"/>
        </w:rPr>
        <w:t>in this writ</w:t>
      </w:r>
      <w:r w:rsidR="00F74AC2">
        <w:rPr>
          <w:szCs w:val="26"/>
        </w:rPr>
        <w:t xml:space="preserve"> pr</w:t>
      </w:r>
      <w:r w:rsidR="009E0504">
        <w:rPr>
          <w:szCs w:val="26"/>
        </w:rPr>
        <w:t>o</w:t>
      </w:r>
      <w:r w:rsidR="00F74AC2">
        <w:rPr>
          <w:szCs w:val="26"/>
        </w:rPr>
        <w:t>c</w:t>
      </w:r>
      <w:r w:rsidR="009E0504">
        <w:rPr>
          <w:szCs w:val="26"/>
        </w:rPr>
        <w:t>e</w:t>
      </w:r>
      <w:r w:rsidR="00F74AC2">
        <w:rPr>
          <w:szCs w:val="26"/>
        </w:rPr>
        <w:t>eding</w:t>
      </w:r>
      <w:r w:rsidR="00223B27">
        <w:rPr>
          <w:szCs w:val="26"/>
        </w:rPr>
        <w:t xml:space="preserve"> </w:t>
      </w:r>
      <w:r w:rsidRPr="00306A22">
        <w:rPr>
          <w:szCs w:val="26"/>
        </w:rPr>
        <w:t>are of widespread interest</w:t>
      </w:r>
      <w:r w:rsidR="00F2290D">
        <w:rPr>
          <w:szCs w:val="26"/>
        </w:rPr>
        <w:t xml:space="preserve"> and importance</w:t>
      </w:r>
      <w:r w:rsidRPr="00306A22">
        <w:rPr>
          <w:szCs w:val="26"/>
        </w:rPr>
        <w:t xml:space="preserve">.  Litigation challenging the actions of groundwater sustainability agencies under SGMA </w:t>
      </w:r>
      <w:r w:rsidR="00CA4832">
        <w:rPr>
          <w:szCs w:val="26"/>
        </w:rPr>
        <w:t>may</w:t>
      </w:r>
      <w:r w:rsidRPr="00306A22">
        <w:rPr>
          <w:szCs w:val="26"/>
        </w:rPr>
        <w:t xml:space="preserve"> impact thousands of water users throughout the state for years to come.  Whether the “pay first” rule applies in litigation challenging SGMA fees is a novel question, the answer to which could impact groundwater extractors throughout the state</w:t>
      </w:r>
      <w:r w:rsidR="00F74AC2">
        <w:rPr>
          <w:szCs w:val="26"/>
        </w:rPr>
        <w:t>;</w:t>
      </w:r>
      <w:r w:rsidRPr="00306A22">
        <w:rPr>
          <w:szCs w:val="26"/>
        </w:rPr>
        <w:t xml:space="preserve"> it has yet to be addressed by any appellate decision</w:t>
      </w:r>
      <w:r w:rsidR="00B826D7">
        <w:rPr>
          <w:szCs w:val="26"/>
        </w:rPr>
        <w:t>.  Accordingly, w</w:t>
      </w:r>
      <w:r w:rsidRPr="00306A22">
        <w:rPr>
          <w:szCs w:val="26"/>
        </w:rPr>
        <w:t>rit review</w:t>
      </w:r>
      <w:r w:rsidR="00B826D7">
        <w:rPr>
          <w:szCs w:val="26"/>
        </w:rPr>
        <w:t xml:space="preserve"> is warranted</w:t>
      </w:r>
      <w:r w:rsidRPr="00306A22">
        <w:rPr>
          <w:szCs w:val="26"/>
        </w:rPr>
        <w:t xml:space="preserve">.  (See </w:t>
      </w:r>
      <w:bookmarkStart w:id="5" w:name="dabmci_fa93616b9a6e4e66a5f426eec71c7751"/>
      <w:r w:rsidRPr="00306A22">
        <w:rPr>
          <w:i/>
          <w:iCs/>
          <w:szCs w:val="26"/>
        </w:rPr>
        <w:t>Corbett v. Superior Court</w:t>
      </w:r>
      <w:r w:rsidRPr="00306A22">
        <w:rPr>
          <w:szCs w:val="26"/>
        </w:rPr>
        <w:t xml:space="preserve"> (2002) 101 Cal.App.4th 649, 657</w:t>
      </w:r>
      <w:bookmarkEnd w:id="5"/>
      <w:r w:rsidRPr="00306A22">
        <w:rPr>
          <w:szCs w:val="26"/>
        </w:rPr>
        <w:t xml:space="preserve"> [“a writ of mandate </w:t>
      </w:r>
      <w:r w:rsidRPr="009E0504">
        <w:rPr>
          <w:i/>
          <w:iCs/>
          <w:szCs w:val="26"/>
        </w:rPr>
        <w:t>should</w:t>
      </w:r>
      <w:r w:rsidRPr="00306A22">
        <w:rPr>
          <w:szCs w:val="26"/>
        </w:rPr>
        <w:t xml:space="preserve"> not be denied when ‘the issues presented are of great public importance and must be resolved promptly,’” and the “receipt of numerous amicus curiae briefs underscores the importance of this issue”].)</w:t>
      </w:r>
    </w:p>
    <w:p w:rsidR="00AD1437" w:rsidRPr="00306A22" w:rsidP="00CA4832" w14:paraId="0C16B18F" w14:textId="7B8F7570">
      <w:pPr>
        <w:keepNext/>
        <w:spacing w:line="480" w:lineRule="atLeast"/>
        <w:rPr>
          <w:i/>
          <w:iCs/>
          <w:szCs w:val="26"/>
        </w:rPr>
      </w:pPr>
      <w:r w:rsidRPr="00306A22">
        <w:rPr>
          <w:szCs w:val="26"/>
        </w:rPr>
        <w:tab/>
        <w:t>2.</w:t>
      </w:r>
      <w:r w:rsidRPr="00306A22">
        <w:rPr>
          <w:szCs w:val="26"/>
        </w:rPr>
        <w:tab/>
      </w:r>
      <w:r w:rsidRPr="00306A22">
        <w:rPr>
          <w:i/>
          <w:iCs/>
          <w:szCs w:val="26"/>
        </w:rPr>
        <w:t>Standard of Review</w:t>
      </w:r>
    </w:p>
    <w:p w:rsidR="00AD1437" w:rsidRPr="00306A22" w:rsidP="00AD1437" w14:paraId="5DA66DD3" w14:textId="1C06837B">
      <w:pPr>
        <w:spacing w:line="480" w:lineRule="atLeast"/>
        <w:ind w:firstLine="1440"/>
        <w:rPr>
          <w:szCs w:val="26"/>
        </w:rPr>
      </w:pPr>
      <w:r>
        <w:rPr>
          <w:szCs w:val="26"/>
        </w:rPr>
        <w:t>“</w:t>
      </w:r>
      <w:r w:rsidRPr="00306A22">
        <w:rPr>
          <w:szCs w:val="26"/>
        </w:rPr>
        <w:t xml:space="preserve">When a party seeks writ review of a trial court’s order </w:t>
      </w:r>
      <w:r w:rsidR="0056006F">
        <w:rPr>
          <w:szCs w:val="26"/>
        </w:rPr>
        <w:t>[</w:t>
      </w:r>
      <w:r w:rsidRPr="00306A22">
        <w:rPr>
          <w:szCs w:val="26"/>
        </w:rPr>
        <w:t>on</w:t>
      </w:r>
      <w:r w:rsidR="0056006F">
        <w:rPr>
          <w:szCs w:val="26"/>
        </w:rPr>
        <w:t>]</w:t>
      </w:r>
      <w:r w:rsidRPr="00306A22">
        <w:rPr>
          <w:szCs w:val="26"/>
        </w:rPr>
        <w:t xml:space="preserve"> a demurrer, </w:t>
      </w:r>
      <w:r w:rsidR="0056006F">
        <w:rPr>
          <w:szCs w:val="26"/>
        </w:rPr>
        <w:t>‘[</w:t>
      </w:r>
      <w:r w:rsidRPr="00306A22">
        <w:rPr>
          <w:szCs w:val="26"/>
        </w:rPr>
        <w:t>t</w:t>
      </w:r>
      <w:r w:rsidR="0056006F">
        <w:rPr>
          <w:szCs w:val="26"/>
        </w:rPr>
        <w:t>]</w:t>
      </w:r>
      <w:r w:rsidRPr="00306A22">
        <w:rPr>
          <w:szCs w:val="26"/>
        </w:rPr>
        <w:t xml:space="preserve">he </w:t>
      </w:r>
      <w:r w:rsidR="0056006F">
        <w:rPr>
          <w:szCs w:val="26"/>
        </w:rPr>
        <w:t>“</w:t>
      </w:r>
      <w:r w:rsidRPr="00306A22">
        <w:rPr>
          <w:szCs w:val="26"/>
        </w:rPr>
        <w:t xml:space="preserve">ordinary standards of demurrer review </w:t>
      </w:r>
      <w:r w:rsidR="0056006F">
        <w:rPr>
          <w:szCs w:val="26"/>
        </w:rPr>
        <w:t xml:space="preserve">still </w:t>
      </w:r>
      <w:r w:rsidRPr="00306A22">
        <w:rPr>
          <w:szCs w:val="26"/>
        </w:rPr>
        <w:t>apply</w:t>
      </w:r>
      <w:r w:rsidR="0056006F">
        <w:rPr>
          <w:szCs w:val="26"/>
        </w:rPr>
        <w:t>.”’</w:t>
      </w:r>
      <w:r w:rsidRPr="00306A22">
        <w:rPr>
          <w:szCs w:val="26"/>
        </w:rPr>
        <w:t xml:space="preserve"> </w:t>
      </w:r>
      <w:r w:rsidR="0056006F">
        <w:rPr>
          <w:szCs w:val="26"/>
        </w:rPr>
        <w:t xml:space="preserve"> [Citation.]  W</w:t>
      </w:r>
      <w:r w:rsidRPr="00306A22">
        <w:rPr>
          <w:szCs w:val="26"/>
        </w:rPr>
        <w:t xml:space="preserve">e independently determine whether the complaint states a cause of action.  </w:t>
      </w:r>
      <w:r w:rsidR="0056006F">
        <w:rPr>
          <w:szCs w:val="26"/>
        </w:rPr>
        <w:t xml:space="preserve">[Citation.]  </w:t>
      </w:r>
      <w:r w:rsidRPr="00306A22">
        <w:rPr>
          <w:szCs w:val="26"/>
        </w:rPr>
        <w:t xml:space="preserve">We reasonably interpret the complaint, </w:t>
      </w:r>
      <w:r w:rsidR="0056006F">
        <w:rPr>
          <w:szCs w:val="26"/>
        </w:rPr>
        <w:t>‘</w:t>
      </w:r>
      <w:r w:rsidRPr="00306A22">
        <w:rPr>
          <w:szCs w:val="26"/>
        </w:rPr>
        <w:t>reading it as a whole and its parts in their context</w:t>
      </w:r>
      <w:r w:rsidR="0056006F">
        <w:rPr>
          <w:szCs w:val="26"/>
        </w:rPr>
        <w:t>.’</w:t>
      </w:r>
      <w:r w:rsidRPr="00306A22">
        <w:rPr>
          <w:szCs w:val="26"/>
        </w:rPr>
        <w:t xml:space="preserve"> </w:t>
      </w:r>
      <w:r w:rsidR="0056006F">
        <w:rPr>
          <w:szCs w:val="26"/>
        </w:rPr>
        <w:t xml:space="preserve"> [Citation.]  W</w:t>
      </w:r>
      <w:r w:rsidRPr="00306A22">
        <w:rPr>
          <w:szCs w:val="26"/>
        </w:rPr>
        <w:t xml:space="preserve">e deem true </w:t>
      </w:r>
      <w:r w:rsidR="0056006F">
        <w:rPr>
          <w:szCs w:val="26"/>
        </w:rPr>
        <w:t>‘“</w:t>
      </w:r>
      <w:r w:rsidRPr="00306A22">
        <w:rPr>
          <w:szCs w:val="26"/>
        </w:rPr>
        <w:t>all material facts properly pleaded, but not contentions</w:t>
      </w:r>
      <w:r w:rsidR="0056006F">
        <w:rPr>
          <w:szCs w:val="26"/>
        </w:rPr>
        <w:t>,</w:t>
      </w:r>
      <w:r w:rsidRPr="00306A22">
        <w:rPr>
          <w:szCs w:val="26"/>
        </w:rPr>
        <w:t xml:space="preserve"> deductions or conclusions of fact or law</w:t>
      </w:r>
      <w:r w:rsidR="0056006F">
        <w:rPr>
          <w:szCs w:val="26"/>
        </w:rPr>
        <w:t xml:space="preserve">. </w:t>
      </w:r>
      <w:r w:rsidRPr="00306A22">
        <w:rPr>
          <w:szCs w:val="26"/>
        </w:rPr>
        <w:t xml:space="preserve"> </w:t>
      </w:r>
      <w:r w:rsidR="0056006F">
        <w:rPr>
          <w:szCs w:val="26"/>
        </w:rPr>
        <w:t>[Citation.]  ‘“W</w:t>
      </w:r>
      <w:r w:rsidRPr="00306A22">
        <w:rPr>
          <w:szCs w:val="26"/>
        </w:rPr>
        <w:t xml:space="preserve">e also consider matters </w:t>
      </w:r>
      <w:r w:rsidR="0056006F">
        <w:rPr>
          <w:szCs w:val="26"/>
        </w:rPr>
        <w:t>which</w:t>
      </w:r>
      <w:r w:rsidRPr="00306A22">
        <w:rPr>
          <w:szCs w:val="26"/>
        </w:rPr>
        <w:t xml:space="preserve"> may be judicially noticed.”</w:t>
      </w:r>
      <w:r w:rsidR="0056006F">
        <w:rPr>
          <w:szCs w:val="26"/>
        </w:rPr>
        <w:t>’</w:t>
      </w:r>
      <w:r w:rsidRPr="00306A22">
        <w:rPr>
          <w:szCs w:val="26"/>
        </w:rPr>
        <w:t xml:space="preserve">  </w:t>
      </w:r>
      <w:r w:rsidRPr="00306A22" w:rsidR="0056006F">
        <w:rPr>
          <w:szCs w:val="26"/>
        </w:rPr>
        <w:t>(</w:t>
      </w:r>
      <w:bookmarkStart w:id="6" w:name="dabmci_91c057fade2548dfbc60ba83d9d2599a"/>
      <w:r w:rsidRPr="00306A22" w:rsidR="0056006F">
        <w:rPr>
          <w:i/>
          <w:iCs/>
          <w:szCs w:val="26"/>
        </w:rPr>
        <w:t>Presbyterian Camp &amp; Conference Centers, Inc. v. Superior Court</w:t>
      </w:r>
      <w:r w:rsidRPr="00306A22" w:rsidR="0056006F">
        <w:rPr>
          <w:szCs w:val="26"/>
        </w:rPr>
        <w:t xml:space="preserve"> (2019) 42 Cal.App.5th 148, 153</w:t>
      </w:r>
      <w:r w:rsidR="0056006F">
        <w:rPr>
          <w:szCs w:val="26"/>
        </w:rPr>
        <w:noBreakHyphen/>
      </w:r>
      <w:r w:rsidRPr="00306A22" w:rsidR="0056006F">
        <w:rPr>
          <w:szCs w:val="26"/>
        </w:rPr>
        <w:t>154</w:t>
      </w:r>
      <w:r w:rsidR="0056006F">
        <w:rPr>
          <w:szCs w:val="26"/>
        </w:rPr>
        <w:t xml:space="preserve"> (</w:t>
      </w:r>
      <w:r w:rsidR="0056006F">
        <w:rPr>
          <w:i/>
          <w:iCs/>
          <w:szCs w:val="26"/>
        </w:rPr>
        <w:t>Presbyterian Camp</w:t>
      </w:r>
      <w:r w:rsidR="0056006F">
        <w:rPr>
          <w:szCs w:val="26"/>
        </w:rPr>
        <w:t>)</w:t>
      </w:r>
      <w:bookmarkEnd w:id="6"/>
      <w:r w:rsidRPr="00306A22" w:rsidR="0056006F">
        <w:rPr>
          <w:szCs w:val="26"/>
        </w:rPr>
        <w:t>.)</w:t>
      </w:r>
    </w:p>
    <w:p w:rsidR="00AD1437" w:rsidRPr="00306A22" w:rsidP="00CA4832" w14:paraId="54D01E4E" w14:textId="4C8077DE">
      <w:pPr>
        <w:keepNext/>
        <w:spacing w:line="480" w:lineRule="atLeast"/>
        <w:ind w:firstLine="720"/>
        <w:rPr>
          <w:i/>
          <w:iCs/>
          <w:szCs w:val="26"/>
        </w:rPr>
      </w:pPr>
      <w:r w:rsidRPr="00306A22">
        <w:rPr>
          <w:szCs w:val="26"/>
        </w:rPr>
        <w:t>3.</w:t>
      </w:r>
      <w:r w:rsidRPr="00306A22">
        <w:rPr>
          <w:szCs w:val="26"/>
        </w:rPr>
        <w:tab/>
      </w:r>
      <w:r w:rsidRPr="00306A22">
        <w:rPr>
          <w:i/>
          <w:iCs/>
          <w:szCs w:val="26"/>
        </w:rPr>
        <w:t>The “Pay First” Rule Generally</w:t>
      </w:r>
    </w:p>
    <w:p w:rsidR="00AD1437" w:rsidRPr="00306A22" w:rsidP="00AD1437" w14:paraId="4F276A54" w14:textId="3B020C53">
      <w:pPr>
        <w:spacing w:line="480" w:lineRule="atLeast"/>
        <w:ind w:firstLine="1440"/>
        <w:rPr>
          <w:szCs w:val="26"/>
        </w:rPr>
      </w:pPr>
      <w:r w:rsidRPr="00306A22">
        <w:rPr>
          <w:szCs w:val="26"/>
        </w:rPr>
        <w:t>“A taxpayer ordinarily must pay a tax before commencing a court action to challenge the collection of the tax.  This rule, commonly known as ‘pay first, litigate later,’ is well established and is based on a public policy reflected in the state Constitution, several statutes, and numerous court opinions.”  (</w:t>
      </w:r>
      <w:bookmarkStart w:id="7" w:name="dabmci_e5a4d93ad0bd4dedb088b107dfc0a6ba"/>
      <w:r w:rsidRPr="00306A22">
        <w:rPr>
          <w:i/>
          <w:iCs/>
          <w:szCs w:val="26"/>
        </w:rPr>
        <w:t>County of Los Angeles v. Southern Cal. Edison Co</w:t>
      </w:r>
      <w:r w:rsidRPr="00306A22">
        <w:rPr>
          <w:szCs w:val="26"/>
        </w:rPr>
        <w:t>. (2003) 112 Cal.App.4th 1108, 1116</w:t>
      </w:r>
      <w:r w:rsidR="002E2D8E">
        <w:rPr>
          <w:szCs w:val="26"/>
        </w:rPr>
        <w:t xml:space="preserve"> (</w:t>
      </w:r>
      <w:r w:rsidR="002E1BD5">
        <w:rPr>
          <w:i/>
          <w:iCs/>
          <w:szCs w:val="26"/>
        </w:rPr>
        <w:t>So. Cal. Edison</w:t>
      </w:r>
      <w:r w:rsidR="002E2D8E">
        <w:rPr>
          <w:szCs w:val="26"/>
        </w:rPr>
        <w:t>)</w:t>
      </w:r>
      <w:bookmarkEnd w:id="7"/>
      <w:r w:rsidRPr="00306A22">
        <w:rPr>
          <w:szCs w:val="26"/>
        </w:rPr>
        <w:t>.)</w:t>
      </w:r>
    </w:p>
    <w:p w:rsidR="00437ACA" w:rsidP="00AD1437" w14:paraId="5EF08F2C" w14:textId="77777777">
      <w:pPr>
        <w:spacing w:line="480" w:lineRule="atLeast"/>
        <w:ind w:firstLine="1440"/>
        <w:rPr>
          <w:szCs w:val="26"/>
        </w:rPr>
      </w:pPr>
      <w:r w:rsidRPr="00306A22">
        <w:rPr>
          <w:szCs w:val="26"/>
        </w:rPr>
        <w:t xml:space="preserve">The constitutional source of the </w:t>
      </w:r>
      <w:r w:rsidR="00BA086C">
        <w:rPr>
          <w:szCs w:val="26"/>
        </w:rPr>
        <w:t xml:space="preserve">“pay first” </w:t>
      </w:r>
      <w:r w:rsidRPr="00306A22">
        <w:rPr>
          <w:szCs w:val="26"/>
        </w:rPr>
        <w:t xml:space="preserve">rule is </w:t>
      </w:r>
      <w:bookmarkStart w:id="8" w:name="dabmci_3450ca26cc05473db3903147b82f237e"/>
      <w:r w:rsidR="0056006F">
        <w:rPr>
          <w:szCs w:val="26"/>
        </w:rPr>
        <w:t>a</w:t>
      </w:r>
      <w:r w:rsidRPr="00306A22">
        <w:rPr>
          <w:szCs w:val="26"/>
        </w:rPr>
        <w:t>rticle XIII, section</w:t>
      </w:r>
      <w:r w:rsidR="00CA4832">
        <w:rPr>
          <w:szCs w:val="26"/>
        </w:rPr>
        <w:t> </w:t>
      </w:r>
      <w:r w:rsidRPr="00306A22">
        <w:rPr>
          <w:szCs w:val="26"/>
        </w:rPr>
        <w:t>32 of the California Constitution</w:t>
      </w:r>
      <w:bookmarkEnd w:id="8"/>
      <w:r w:rsidRPr="00306A22">
        <w:rPr>
          <w:szCs w:val="26"/>
        </w:rPr>
        <w:t>:  “No legal or equitable process shall issue in any proceeding in any court against this State or any officer thereof to prevent or enjoin the collection of any tax.  After payment of a tax claimed to be illegal, an action may be maintained to recover the tax paid, with interest, in such manner as may be provided by the Legislature.”  (</w:t>
      </w:r>
      <w:bookmarkStart w:id="9" w:name="dabmci_5a6382fb522e4b77bfa349476b214066"/>
      <w:r w:rsidRPr="00306A22">
        <w:rPr>
          <w:szCs w:val="26"/>
        </w:rPr>
        <w:t>Cal</w:t>
      </w:r>
      <w:r w:rsidR="00AF2A42">
        <w:rPr>
          <w:szCs w:val="26"/>
        </w:rPr>
        <w:t>.</w:t>
      </w:r>
      <w:r w:rsidRPr="00306A22">
        <w:rPr>
          <w:szCs w:val="26"/>
        </w:rPr>
        <w:t xml:space="preserve"> Const. </w:t>
      </w:r>
      <w:r w:rsidR="0056006F">
        <w:rPr>
          <w:szCs w:val="26"/>
        </w:rPr>
        <w:t>a</w:t>
      </w:r>
      <w:r w:rsidRPr="00306A22">
        <w:rPr>
          <w:szCs w:val="26"/>
        </w:rPr>
        <w:t>rt. XIII, § 32</w:t>
      </w:r>
      <w:bookmarkEnd w:id="9"/>
      <w:r w:rsidRPr="00306A22">
        <w:rPr>
          <w:szCs w:val="26"/>
        </w:rPr>
        <w:t xml:space="preserve"> (</w:t>
      </w:r>
      <w:r w:rsidR="0056006F">
        <w:rPr>
          <w:szCs w:val="26"/>
        </w:rPr>
        <w:t xml:space="preserve">hereafter </w:t>
      </w:r>
      <w:bookmarkStart w:id="10" w:name="dabmci_4fca370c488b4219906cc21b02b0463e"/>
      <w:r w:rsidR="0056006F">
        <w:rPr>
          <w:szCs w:val="26"/>
        </w:rPr>
        <w:t xml:space="preserve">article XIII, </w:t>
      </w:r>
      <w:r w:rsidRPr="00306A22">
        <w:rPr>
          <w:szCs w:val="26"/>
        </w:rPr>
        <w:t>section 32</w:t>
      </w:r>
      <w:bookmarkEnd w:id="10"/>
      <w:r w:rsidRPr="00306A22">
        <w:rPr>
          <w:szCs w:val="26"/>
        </w:rPr>
        <w:t>).)</w:t>
      </w:r>
      <w:r>
        <w:rPr>
          <w:rStyle w:val="FootnoteReference"/>
          <w:szCs w:val="26"/>
        </w:rPr>
        <w:footnoteReference w:id="18"/>
      </w:r>
      <w:r w:rsidRPr="00306A22">
        <w:rPr>
          <w:szCs w:val="26"/>
        </w:rPr>
        <w:t xml:space="preserve">  </w:t>
      </w:r>
    </w:p>
    <w:p w:rsidR="00AD1437" w:rsidRPr="00306A22" w:rsidP="00AD1437" w14:paraId="36270A1C" w14:textId="6E26BB69">
      <w:pPr>
        <w:spacing w:line="480" w:lineRule="atLeast"/>
        <w:ind w:firstLine="1440"/>
        <w:rPr>
          <w:szCs w:val="26"/>
        </w:rPr>
      </w:pPr>
      <w:r w:rsidRPr="00306A22">
        <w:rPr>
          <w:szCs w:val="26"/>
        </w:rPr>
        <w:t>“Read together, these two portions of section 32 establish that the sole legal avenue for resolving tax disputes is a postpayment refund action.  A taxpayer may not go into court and obtain adjudication of the validity of a tax which is due but not yet paid.”  (</w:t>
      </w:r>
      <w:bookmarkStart w:id="14" w:name="dabmci_8c9c91b1031d4577b225b1892ef91186"/>
      <w:r w:rsidRPr="00306A22">
        <w:rPr>
          <w:i/>
          <w:iCs/>
          <w:szCs w:val="26"/>
        </w:rPr>
        <w:t>State Bd. of Equalization v. Superior Court</w:t>
      </w:r>
      <w:r w:rsidRPr="00306A22">
        <w:rPr>
          <w:szCs w:val="26"/>
        </w:rPr>
        <w:t xml:space="preserve"> (1985) 39 Cal.3d 633, 638</w:t>
      </w:r>
      <w:r w:rsidR="00B835F0">
        <w:rPr>
          <w:szCs w:val="26"/>
        </w:rPr>
        <w:t xml:space="preserve"> (</w:t>
      </w:r>
      <w:r w:rsidR="00B835F0">
        <w:rPr>
          <w:i/>
          <w:iCs/>
          <w:szCs w:val="26"/>
        </w:rPr>
        <w:t>State Board</w:t>
      </w:r>
      <w:r w:rsidR="00B835F0">
        <w:rPr>
          <w:szCs w:val="26"/>
        </w:rPr>
        <w:t>)</w:t>
      </w:r>
      <w:bookmarkEnd w:id="14"/>
      <w:r w:rsidRPr="00306A22">
        <w:rPr>
          <w:szCs w:val="26"/>
        </w:rPr>
        <w:t>.)</w:t>
      </w:r>
    </w:p>
    <w:p w:rsidR="00AD1437" w:rsidRPr="00306A22" w:rsidP="00AD1437" w14:paraId="12BB95BD" w14:textId="3AFDC7DD">
      <w:pPr>
        <w:spacing w:line="480" w:lineRule="atLeast"/>
        <w:ind w:firstLine="1440"/>
        <w:rPr>
          <w:szCs w:val="26"/>
        </w:rPr>
      </w:pPr>
      <w:r w:rsidRPr="00306A22">
        <w:rPr>
          <w:szCs w:val="26"/>
        </w:rPr>
        <w:t xml:space="preserve">The </w:t>
      </w:r>
      <w:r w:rsidR="00BA086C">
        <w:rPr>
          <w:szCs w:val="26"/>
        </w:rPr>
        <w:t xml:space="preserve">“pay first” </w:t>
      </w:r>
      <w:r w:rsidRPr="00306A22">
        <w:rPr>
          <w:szCs w:val="26"/>
        </w:rPr>
        <w:t xml:space="preserve">rule also appears in numerous statutes.  Some statutes use language similar to </w:t>
      </w:r>
      <w:bookmarkStart w:id="15" w:name="dabmci_f53c752f5fc6483693ec118b6361338f"/>
      <w:r w:rsidR="0056006F">
        <w:rPr>
          <w:szCs w:val="26"/>
        </w:rPr>
        <w:t xml:space="preserve">article XIII, </w:t>
      </w:r>
      <w:r w:rsidRPr="00306A22">
        <w:rPr>
          <w:szCs w:val="26"/>
        </w:rPr>
        <w:t>section 32</w:t>
      </w:r>
      <w:bookmarkEnd w:id="15"/>
      <w:r w:rsidRPr="00306A22">
        <w:rPr>
          <w:szCs w:val="26"/>
        </w:rPr>
        <w:t xml:space="preserve"> and “prohibit an action to prevent or enjoin the collection of specified taxes imposed by state or local government.  (E.g., </w:t>
      </w:r>
      <w:bookmarkStart w:id="16" w:name="dabmci_c4cd84ff70f044d2bcdc602eff344c29"/>
      <w:r w:rsidRPr="00306A22">
        <w:rPr>
          <w:szCs w:val="26"/>
        </w:rPr>
        <w:t>Rev. &amp; Tax. Code, §§</w:t>
      </w:r>
      <w:r w:rsidR="0056006F">
        <w:rPr>
          <w:szCs w:val="26"/>
        </w:rPr>
        <w:t> </w:t>
      </w:r>
      <w:r w:rsidRPr="00306A22">
        <w:rPr>
          <w:szCs w:val="26"/>
        </w:rPr>
        <w:t>4807</w:t>
      </w:r>
      <w:bookmarkEnd w:id="16"/>
      <w:r w:rsidRPr="00306A22">
        <w:rPr>
          <w:szCs w:val="26"/>
        </w:rPr>
        <w:t xml:space="preserve"> [property tax], 6931 [sales and use taxes], 19381 [franchise and income taxes].)  Other statutes provide for an action to recover a refund after payment is made.  (</w:t>
      </w:r>
      <w:bookmarkStart w:id="17" w:name="dabmci_60d0b42366084a76b9440fa924d6a986"/>
      <w:r w:rsidRPr="00306A22">
        <w:rPr>
          <w:i/>
          <w:iCs/>
          <w:szCs w:val="26"/>
        </w:rPr>
        <w:t>Id</w:t>
      </w:r>
      <w:r w:rsidRPr="00306A22">
        <w:rPr>
          <w:szCs w:val="26"/>
        </w:rPr>
        <w:t>., §§</w:t>
      </w:r>
      <w:r w:rsidR="0056006F">
        <w:rPr>
          <w:szCs w:val="26"/>
        </w:rPr>
        <w:t> </w:t>
      </w:r>
      <w:r w:rsidRPr="00306A22">
        <w:rPr>
          <w:szCs w:val="26"/>
        </w:rPr>
        <w:t>5140</w:t>
      </w:r>
      <w:bookmarkEnd w:id="17"/>
      <w:r w:rsidRPr="00306A22">
        <w:rPr>
          <w:szCs w:val="26"/>
        </w:rPr>
        <w:t xml:space="preserve"> [property tax], 6933 [sales and use taxes], 19382 [franchise and income taxes].)”  (</w:t>
      </w:r>
      <w:r w:rsidR="002E1BD5">
        <w:rPr>
          <w:i/>
          <w:iCs/>
          <w:szCs w:val="26"/>
        </w:rPr>
        <w:t xml:space="preserve">So. </w:t>
      </w:r>
      <w:bookmarkStart w:id="18" w:name="dabmci_7b1b8b435dba4ed7b8d23a501b96f10c"/>
      <w:r w:rsidR="002E1BD5">
        <w:rPr>
          <w:i/>
          <w:iCs/>
          <w:szCs w:val="26"/>
        </w:rPr>
        <w:t>Cal. Edison</w:t>
      </w:r>
      <w:r w:rsidR="001C51CD">
        <w:rPr>
          <w:i/>
          <w:iCs/>
          <w:szCs w:val="26"/>
        </w:rPr>
        <w:t>, supra,</w:t>
      </w:r>
      <w:r w:rsidRPr="00306A22">
        <w:rPr>
          <w:szCs w:val="26"/>
        </w:rPr>
        <w:t xml:space="preserve"> 112 Cal.App.4th </w:t>
      </w:r>
      <w:r w:rsidR="001C51CD">
        <w:rPr>
          <w:szCs w:val="26"/>
        </w:rPr>
        <w:t>at pp.</w:t>
      </w:r>
      <w:r w:rsidRPr="00306A22">
        <w:rPr>
          <w:szCs w:val="26"/>
        </w:rPr>
        <w:t xml:space="preserve"> 1116</w:t>
      </w:r>
      <w:r w:rsidR="0056006F">
        <w:rPr>
          <w:szCs w:val="26"/>
        </w:rPr>
        <w:noBreakHyphen/>
      </w:r>
      <w:r w:rsidRPr="00306A22">
        <w:rPr>
          <w:szCs w:val="26"/>
        </w:rPr>
        <w:t>1117</w:t>
      </w:r>
      <w:bookmarkEnd w:id="18"/>
      <w:r w:rsidRPr="00306A22">
        <w:rPr>
          <w:szCs w:val="26"/>
        </w:rPr>
        <w:t xml:space="preserve">.)  As we discuss below, the rule </w:t>
      </w:r>
      <w:r w:rsidR="00F2290D">
        <w:rPr>
          <w:szCs w:val="26"/>
        </w:rPr>
        <w:t xml:space="preserve">is </w:t>
      </w:r>
      <w:r w:rsidRPr="00306A22">
        <w:rPr>
          <w:szCs w:val="26"/>
        </w:rPr>
        <w:t xml:space="preserve">also </w:t>
      </w:r>
      <w:r w:rsidR="00B62EB2">
        <w:rPr>
          <w:szCs w:val="26"/>
        </w:rPr>
        <w:t>codified</w:t>
      </w:r>
      <w:r w:rsidRPr="00306A22" w:rsidR="00B62EB2">
        <w:rPr>
          <w:szCs w:val="26"/>
        </w:rPr>
        <w:t xml:space="preserve"> </w:t>
      </w:r>
      <w:r w:rsidRPr="00306A22">
        <w:rPr>
          <w:szCs w:val="26"/>
        </w:rPr>
        <w:t>in SGMA.  (See § 10726.6(d).)</w:t>
      </w:r>
      <w:r>
        <w:rPr>
          <w:rStyle w:val="FootnoteReference"/>
          <w:color w:val="000000" w:themeColor="text1"/>
          <w:szCs w:val="26"/>
        </w:rPr>
        <w:footnoteReference w:id="19"/>
      </w:r>
    </w:p>
    <w:p w:rsidR="00AD1437" w:rsidRPr="00306A22" w:rsidP="00AD1437" w14:paraId="416C24AA" w14:textId="3D5992DE">
      <w:pPr>
        <w:spacing w:line="480" w:lineRule="atLeast"/>
        <w:ind w:firstLine="1440"/>
        <w:rPr>
          <w:szCs w:val="26"/>
        </w:rPr>
      </w:pPr>
      <w:r w:rsidRPr="00306A22">
        <w:rPr>
          <w:szCs w:val="26"/>
        </w:rPr>
        <w:t>The “pay first” rule advances an important public policy in that it “ensures that essential public services are not disrupted during the pendency of tax challenges.”  (</w:t>
      </w:r>
      <w:bookmarkStart w:id="31" w:name="dabmci_ea695f331bed487b809e656c6e9d270a"/>
      <w:r w:rsidRPr="00306A22">
        <w:rPr>
          <w:i/>
          <w:iCs/>
          <w:szCs w:val="26"/>
        </w:rPr>
        <w:t>Andal v. City of Stockton</w:t>
      </w:r>
      <w:r w:rsidRPr="00306A22">
        <w:rPr>
          <w:szCs w:val="26"/>
        </w:rPr>
        <w:t xml:space="preserve"> (2006) 137 Cal.App.4th 86, 90</w:t>
      </w:r>
      <w:bookmarkEnd w:id="31"/>
      <w:r w:rsidRPr="00306A22">
        <w:rPr>
          <w:szCs w:val="26"/>
        </w:rPr>
        <w:t xml:space="preserve">.)  That is, it </w:t>
      </w:r>
      <w:r w:rsidR="00EC0353">
        <w:rPr>
          <w:szCs w:val="26"/>
        </w:rPr>
        <w:t>‘</w:t>
      </w:r>
      <w:r w:rsidRPr="00306A22">
        <w:rPr>
          <w:szCs w:val="26"/>
        </w:rPr>
        <w:t>“allow</w:t>
      </w:r>
      <w:r w:rsidR="00EC0353">
        <w:rPr>
          <w:szCs w:val="26"/>
        </w:rPr>
        <w:t>[</w:t>
      </w:r>
      <w:r w:rsidRPr="00306A22">
        <w:rPr>
          <w:szCs w:val="26"/>
        </w:rPr>
        <w:t>s</w:t>
      </w:r>
      <w:r w:rsidR="00EC0353">
        <w:rPr>
          <w:szCs w:val="26"/>
        </w:rPr>
        <w:t>]</w:t>
      </w:r>
      <w:r w:rsidRPr="00306A22">
        <w:rPr>
          <w:szCs w:val="26"/>
        </w:rPr>
        <w:t xml:space="preserve"> revenue collection to continue during litigation so that essential public services dependent on the funds are not unnecessarily interrupted.’  [Citation.]  ‘The fear that persistent interference with the collection of public revenues, for whatever reason, will destroy the effectiveness of government has been expressed in many judicial opinions.’”  (</w:t>
      </w:r>
      <w:bookmarkStart w:id="32" w:name="dabmci_c155771332dd4e8d82f4e6fa56fd38fe"/>
      <w:r w:rsidRPr="00306A22">
        <w:rPr>
          <w:i/>
          <w:iCs/>
          <w:szCs w:val="26"/>
        </w:rPr>
        <w:t xml:space="preserve">State </w:t>
      </w:r>
      <w:r w:rsidR="00B835F0">
        <w:rPr>
          <w:i/>
          <w:iCs/>
          <w:szCs w:val="26"/>
        </w:rPr>
        <w:t>Board, supra,</w:t>
      </w:r>
      <w:r w:rsidRPr="00306A22">
        <w:rPr>
          <w:szCs w:val="26"/>
        </w:rPr>
        <w:t xml:space="preserve"> 39</w:t>
      </w:r>
      <w:r w:rsidR="00EC0353">
        <w:rPr>
          <w:szCs w:val="26"/>
        </w:rPr>
        <w:t> </w:t>
      </w:r>
      <w:r w:rsidRPr="00306A22">
        <w:rPr>
          <w:szCs w:val="26"/>
        </w:rPr>
        <w:t xml:space="preserve">Cal.3d </w:t>
      </w:r>
      <w:r w:rsidR="00B835F0">
        <w:rPr>
          <w:szCs w:val="26"/>
        </w:rPr>
        <w:t>at pp.</w:t>
      </w:r>
      <w:r w:rsidRPr="00306A22">
        <w:rPr>
          <w:szCs w:val="26"/>
        </w:rPr>
        <w:t xml:space="preserve"> 638</w:t>
      </w:r>
      <w:r w:rsidR="00EC0353">
        <w:rPr>
          <w:szCs w:val="26"/>
        </w:rPr>
        <w:noBreakHyphen/>
      </w:r>
      <w:r w:rsidRPr="00306A22">
        <w:rPr>
          <w:szCs w:val="26"/>
        </w:rPr>
        <w:t>639</w:t>
      </w:r>
      <w:bookmarkEnd w:id="32"/>
      <w:r w:rsidRPr="00306A22">
        <w:rPr>
          <w:szCs w:val="26"/>
        </w:rPr>
        <w:t>.)</w:t>
      </w:r>
      <w:r w:rsidR="001832E6">
        <w:rPr>
          <w:szCs w:val="26"/>
        </w:rPr>
        <w:t xml:space="preserve">  </w:t>
      </w:r>
      <w:r w:rsidRPr="00533397" w:rsidR="001832E6">
        <w:rPr>
          <w:szCs w:val="26"/>
        </w:rPr>
        <w:t>As the United States Supreme Court recognized over 150</w:t>
      </w:r>
      <w:r w:rsidR="00EC0353">
        <w:rPr>
          <w:szCs w:val="26"/>
        </w:rPr>
        <w:t> </w:t>
      </w:r>
      <w:r w:rsidRPr="00533397" w:rsidR="001832E6">
        <w:rPr>
          <w:szCs w:val="26"/>
        </w:rPr>
        <w:t>years ago, any delay in the collection of taxes “may derange the operations of government, and thereby cause serious detriment to the public.”  (</w:t>
      </w:r>
      <w:bookmarkStart w:id="33" w:name="dabmci_58331667997940b5bea5459eef5889a3"/>
      <w:r w:rsidRPr="00533397" w:rsidR="001832E6">
        <w:rPr>
          <w:i/>
          <w:iCs/>
          <w:szCs w:val="26"/>
        </w:rPr>
        <w:t xml:space="preserve">Dows v. City of Chicago </w:t>
      </w:r>
      <w:r w:rsidRPr="00533397" w:rsidR="001832E6">
        <w:rPr>
          <w:szCs w:val="26"/>
        </w:rPr>
        <w:t>(1870) 78 U.S. 108, 110</w:t>
      </w:r>
      <w:bookmarkEnd w:id="33"/>
      <w:r w:rsidRPr="00533397" w:rsidR="001832E6">
        <w:rPr>
          <w:szCs w:val="26"/>
        </w:rPr>
        <w:t>.)  “The prompt payment of taxes is always important to the public welfare.  It may be vital to the existence of a government.</w:t>
      </w:r>
      <w:r w:rsidR="00BC5ACF">
        <w:rPr>
          <w:szCs w:val="26"/>
        </w:rPr>
        <w:t xml:space="preserve"> </w:t>
      </w:r>
      <w:r w:rsidRPr="00533397" w:rsidR="001832E6">
        <w:rPr>
          <w:szCs w:val="26"/>
        </w:rPr>
        <w:t xml:space="preserve"> The idea that every tax-payer is entitled to the delays of litigation is unreason.”  (</w:t>
      </w:r>
      <w:bookmarkStart w:id="34" w:name="dabmci_6e9ebf42db4b41828b6f6a73a0dbf61f"/>
      <w:r w:rsidRPr="00533397" w:rsidR="001832E6">
        <w:rPr>
          <w:i/>
          <w:iCs/>
          <w:szCs w:val="26"/>
        </w:rPr>
        <w:t>Springer v. U</w:t>
      </w:r>
      <w:r w:rsidR="00EC0353">
        <w:rPr>
          <w:i/>
          <w:iCs/>
          <w:szCs w:val="26"/>
        </w:rPr>
        <w:t>nited States</w:t>
      </w:r>
      <w:r w:rsidRPr="00533397" w:rsidR="001832E6">
        <w:rPr>
          <w:szCs w:val="26"/>
        </w:rPr>
        <w:t xml:space="preserve"> (1880) 102 U.S. 586, 594</w:t>
      </w:r>
      <w:bookmarkEnd w:id="34"/>
      <w:r w:rsidRPr="00533397" w:rsidR="001832E6">
        <w:rPr>
          <w:szCs w:val="26"/>
        </w:rPr>
        <w:t>.)</w:t>
      </w:r>
    </w:p>
    <w:p w:rsidR="00AD1437" w:rsidRPr="00306A22" w:rsidP="00AD1437" w14:paraId="6CC75FA7" w14:textId="17DF6E34">
      <w:pPr>
        <w:spacing w:line="480" w:lineRule="atLeast"/>
        <w:ind w:firstLine="1440"/>
        <w:rPr>
          <w:szCs w:val="26"/>
        </w:rPr>
      </w:pPr>
      <w:bookmarkStart w:id="35" w:name="dabmci_66d8f5c5a8314e70a1b38e23935c6184"/>
      <w:r>
        <w:rPr>
          <w:szCs w:val="26"/>
        </w:rPr>
        <w:t>Article XIII, s</w:t>
      </w:r>
      <w:r w:rsidR="009F5081">
        <w:rPr>
          <w:szCs w:val="26"/>
        </w:rPr>
        <w:t>ection 32</w:t>
      </w:r>
      <w:bookmarkEnd w:id="35"/>
      <w:r w:rsidR="009F5081">
        <w:rPr>
          <w:szCs w:val="26"/>
        </w:rPr>
        <w:t xml:space="preserve">’s “pay first” rule is </w:t>
      </w:r>
      <w:r w:rsidRPr="00306A22">
        <w:rPr>
          <w:szCs w:val="26"/>
        </w:rPr>
        <w:t>“construed broadly to bar not only injunctions but also a variety of prepayment judicial declarations or findings which would impede the prompt collection of a tax.”  (</w:t>
      </w:r>
      <w:bookmarkStart w:id="36" w:name="dabmci_efa72b7ea7154674921c7f16244fa827"/>
      <w:r w:rsidRPr="00306A22">
        <w:rPr>
          <w:i/>
          <w:iCs/>
          <w:szCs w:val="26"/>
        </w:rPr>
        <w:t xml:space="preserve">State </w:t>
      </w:r>
      <w:r w:rsidR="00A04E3B">
        <w:rPr>
          <w:i/>
          <w:iCs/>
          <w:szCs w:val="26"/>
        </w:rPr>
        <w:t>Board, supra,</w:t>
      </w:r>
      <w:r w:rsidRPr="00306A22">
        <w:rPr>
          <w:szCs w:val="26"/>
        </w:rPr>
        <w:t xml:space="preserve"> 39 Cal.3d </w:t>
      </w:r>
      <w:r w:rsidR="00A04E3B">
        <w:rPr>
          <w:szCs w:val="26"/>
        </w:rPr>
        <w:t>at p.</w:t>
      </w:r>
      <w:r w:rsidRPr="00306A22">
        <w:rPr>
          <w:szCs w:val="26"/>
        </w:rPr>
        <w:t xml:space="preserve"> 639</w:t>
      </w:r>
      <w:bookmarkEnd w:id="36"/>
      <w:r w:rsidRPr="00306A22">
        <w:rPr>
          <w:szCs w:val="26"/>
        </w:rPr>
        <w:t>.)  “It is well</w:t>
      </w:r>
      <w:r>
        <w:rPr>
          <w:szCs w:val="26"/>
        </w:rPr>
        <w:t xml:space="preserve"> </w:t>
      </w:r>
      <w:r w:rsidRPr="00306A22">
        <w:rPr>
          <w:szCs w:val="26"/>
        </w:rPr>
        <w:t xml:space="preserve">established that the applicability of </w:t>
      </w:r>
      <w:bookmarkStart w:id="37" w:name="dabmci_b73f1e220eb647dab7dd6703acae1884"/>
      <w:r w:rsidRPr="00306A22">
        <w:rPr>
          <w:szCs w:val="26"/>
        </w:rPr>
        <w:t>section 32</w:t>
      </w:r>
      <w:bookmarkEnd w:id="37"/>
      <w:r w:rsidRPr="00306A22">
        <w:rPr>
          <w:szCs w:val="26"/>
        </w:rPr>
        <w:t xml:space="preserve"> does not turn on whether the action at issue specifically seeks to prevent or enjoin the collection of a tax. . . . </w:t>
      </w:r>
      <w:r>
        <w:rPr>
          <w:szCs w:val="26"/>
        </w:rPr>
        <w:t xml:space="preserve"> [Citation.]  </w:t>
      </w:r>
      <w:r w:rsidRPr="00306A22">
        <w:rPr>
          <w:szCs w:val="26"/>
        </w:rPr>
        <w:t>The relevant issue is whether granting the relief sought would have the effect of impeding the collection of a tax.”  (</w:t>
      </w:r>
      <w:bookmarkStart w:id="38" w:name="dabmci_2447ef5ff99541d99cf66aa2358d5b49"/>
      <w:r w:rsidRPr="00306A22">
        <w:rPr>
          <w:i/>
          <w:iCs/>
          <w:szCs w:val="26"/>
        </w:rPr>
        <w:t>California Logistics, Inc. v. State of California</w:t>
      </w:r>
      <w:r w:rsidRPr="00306A22">
        <w:rPr>
          <w:szCs w:val="26"/>
        </w:rPr>
        <w:t xml:space="preserve"> (2008) 161 Cal.App.4th 242, 247</w:t>
      </w:r>
      <w:r>
        <w:rPr>
          <w:szCs w:val="26"/>
        </w:rPr>
        <w:noBreakHyphen/>
      </w:r>
      <w:r w:rsidRPr="00306A22">
        <w:rPr>
          <w:szCs w:val="26"/>
        </w:rPr>
        <w:t>248</w:t>
      </w:r>
      <w:r w:rsidR="00A04E3B">
        <w:rPr>
          <w:szCs w:val="26"/>
        </w:rPr>
        <w:t xml:space="preserve"> (</w:t>
      </w:r>
      <w:r w:rsidR="00A04E3B">
        <w:rPr>
          <w:i/>
          <w:iCs/>
          <w:szCs w:val="26"/>
        </w:rPr>
        <w:t>California Logistics</w:t>
      </w:r>
      <w:r w:rsidR="00A04E3B">
        <w:rPr>
          <w:szCs w:val="26"/>
        </w:rPr>
        <w:t>)</w:t>
      </w:r>
      <w:bookmarkEnd w:id="38"/>
      <w:r w:rsidRPr="00306A22">
        <w:rPr>
          <w:szCs w:val="26"/>
        </w:rPr>
        <w:t xml:space="preserve">; see </w:t>
      </w:r>
      <w:bookmarkStart w:id="39" w:name="dabmci_787e4ba00062446491d72b82b1540adf"/>
      <w:r w:rsidRPr="00306A22">
        <w:rPr>
          <w:i/>
          <w:iCs/>
          <w:szCs w:val="26"/>
        </w:rPr>
        <w:t>Pacific Gas &amp; Electric Co. v. State Bd. of Equalization</w:t>
      </w:r>
      <w:r w:rsidRPr="00306A22">
        <w:rPr>
          <w:szCs w:val="26"/>
        </w:rPr>
        <w:t xml:space="preserve"> (1980) 27 Cal.3d 277, 280</w:t>
      </w:r>
      <w:r w:rsidR="00B835F0">
        <w:rPr>
          <w:szCs w:val="26"/>
        </w:rPr>
        <w:t xml:space="preserve"> (</w:t>
      </w:r>
      <w:r w:rsidR="00B835F0">
        <w:rPr>
          <w:i/>
          <w:iCs/>
          <w:szCs w:val="26"/>
        </w:rPr>
        <w:t>PG&amp;E</w:t>
      </w:r>
      <w:r w:rsidR="00B835F0">
        <w:rPr>
          <w:szCs w:val="26"/>
        </w:rPr>
        <w:t>)</w:t>
      </w:r>
      <w:bookmarkEnd w:id="39"/>
      <w:r w:rsidRPr="00306A22">
        <w:rPr>
          <w:szCs w:val="26"/>
        </w:rPr>
        <w:t xml:space="preserve"> [“a taxpayer may not circumvent restraints on prepayment tax litigation by seeking only declaratory relief”].)  In other words, “if the ‘net result of the relief prayed for </w:t>
      </w:r>
      <w:r w:rsidR="00D7229F">
        <w:rPr>
          <w:szCs w:val="26"/>
        </w:rPr>
        <w:t>. . .</w:t>
      </w:r>
      <w:r w:rsidRPr="00306A22">
        <w:rPr>
          <w:szCs w:val="26"/>
        </w:rPr>
        <w:t xml:space="preserve"> would be to restrain the collection of the tax allegedly due, the action must be treated as one having that purpose.’”  (</w:t>
      </w:r>
      <w:bookmarkStart w:id="40" w:name="dabmci_fa8b94a41d96460c9c741175b2cff80e"/>
      <w:r w:rsidRPr="00306A22">
        <w:rPr>
          <w:i/>
          <w:iCs/>
          <w:szCs w:val="26"/>
        </w:rPr>
        <w:t>West Hollywood Community Health &amp; Fitness Center v. California Unemployment Ins.</w:t>
      </w:r>
      <w:r w:rsidRPr="00306A22">
        <w:rPr>
          <w:szCs w:val="26"/>
        </w:rPr>
        <w:t xml:space="preserve"> </w:t>
      </w:r>
      <w:r w:rsidRPr="00306A22">
        <w:rPr>
          <w:i/>
          <w:iCs/>
          <w:szCs w:val="26"/>
        </w:rPr>
        <w:t>Appeals Bd.</w:t>
      </w:r>
      <w:r w:rsidRPr="00306A22">
        <w:rPr>
          <w:szCs w:val="26"/>
        </w:rPr>
        <w:t xml:space="preserve"> (2014) 232 Cal.App.4th 12, 22</w:t>
      </w:r>
      <w:bookmarkEnd w:id="40"/>
      <w:r w:rsidRPr="00306A22">
        <w:rPr>
          <w:szCs w:val="26"/>
        </w:rPr>
        <w:t xml:space="preserve">.)  </w:t>
      </w:r>
    </w:p>
    <w:p w:rsidR="00AD1437" w:rsidRPr="00306A22" w:rsidP="00AD1437" w14:paraId="37AD77F7" w14:textId="0F2461D6">
      <w:pPr>
        <w:spacing w:line="480" w:lineRule="atLeast"/>
        <w:ind w:firstLine="1440"/>
        <w:rPr>
          <w:szCs w:val="26"/>
        </w:rPr>
      </w:pPr>
      <w:r w:rsidRPr="00306A22">
        <w:rPr>
          <w:szCs w:val="26"/>
        </w:rPr>
        <w:t xml:space="preserve">The </w:t>
      </w:r>
      <w:r w:rsidR="000B1D10">
        <w:rPr>
          <w:szCs w:val="26"/>
        </w:rPr>
        <w:t xml:space="preserve">“pay first” </w:t>
      </w:r>
      <w:r w:rsidRPr="00306A22">
        <w:rPr>
          <w:szCs w:val="26"/>
        </w:rPr>
        <w:t xml:space="preserve">rule is often invoked at the pleading stage, resulting in an order sustaining a demurrer.  (See, e.g., </w:t>
      </w:r>
      <w:bookmarkStart w:id="41" w:name="dabmci_96153f250183476f9bd7b81c4f594f34"/>
      <w:r w:rsidRPr="00306A22">
        <w:rPr>
          <w:i/>
          <w:iCs/>
          <w:szCs w:val="26"/>
        </w:rPr>
        <w:t xml:space="preserve">California Logistics, </w:t>
      </w:r>
      <w:r w:rsidR="00A04E3B">
        <w:rPr>
          <w:i/>
          <w:iCs/>
          <w:szCs w:val="26"/>
        </w:rPr>
        <w:t>supra,</w:t>
      </w:r>
      <w:r w:rsidRPr="00306A22">
        <w:rPr>
          <w:szCs w:val="26"/>
        </w:rPr>
        <w:t xml:space="preserve"> 161 Cal.App.4th </w:t>
      </w:r>
      <w:r w:rsidR="00A04E3B">
        <w:rPr>
          <w:szCs w:val="26"/>
        </w:rPr>
        <w:t>at p.</w:t>
      </w:r>
      <w:r w:rsidR="006D2442">
        <w:rPr>
          <w:szCs w:val="26"/>
        </w:rPr>
        <w:t> </w:t>
      </w:r>
      <w:r w:rsidRPr="00306A22">
        <w:rPr>
          <w:szCs w:val="26"/>
        </w:rPr>
        <w:t>245</w:t>
      </w:r>
      <w:bookmarkEnd w:id="41"/>
      <w:r w:rsidRPr="00306A22">
        <w:rPr>
          <w:szCs w:val="26"/>
        </w:rPr>
        <w:t xml:space="preserve">; </w:t>
      </w:r>
      <w:bookmarkStart w:id="42" w:name="dabmci_bc06048bed824aa4bbfc3a90b2507131"/>
      <w:r w:rsidRPr="00306A22">
        <w:rPr>
          <w:i/>
          <w:iCs/>
          <w:szCs w:val="26"/>
        </w:rPr>
        <w:t>Flying Dutchman</w:t>
      </w:r>
      <w:r w:rsidR="00EC0353">
        <w:rPr>
          <w:i/>
          <w:iCs/>
          <w:szCs w:val="26"/>
        </w:rPr>
        <w:t>, supra,</w:t>
      </w:r>
      <w:r w:rsidRPr="00306A22">
        <w:rPr>
          <w:szCs w:val="26"/>
        </w:rPr>
        <w:t xml:space="preserve"> 93</w:t>
      </w:r>
      <w:r w:rsidR="006D2442">
        <w:rPr>
          <w:szCs w:val="26"/>
        </w:rPr>
        <w:t> </w:t>
      </w:r>
      <w:r w:rsidRPr="00306A22">
        <w:rPr>
          <w:szCs w:val="26"/>
        </w:rPr>
        <w:t xml:space="preserve">Cal.App.4th </w:t>
      </w:r>
      <w:r w:rsidR="00926B13">
        <w:rPr>
          <w:szCs w:val="26"/>
        </w:rPr>
        <w:t>at p. </w:t>
      </w:r>
      <w:r w:rsidRPr="00306A22">
        <w:rPr>
          <w:szCs w:val="26"/>
        </w:rPr>
        <w:t>1132</w:t>
      </w:r>
      <w:bookmarkEnd w:id="42"/>
      <w:r w:rsidRPr="00306A22">
        <w:rPr>
          <w:szCs w:val="26"/>
        </w:rPr>
        <w:t>.)  Indeed, “the public policy supporting extension of the rule is more compelling when there has been no trial of the ultimate issues but only a ruling on a demurrer to a taxpayer’s complaint or on a dispositive pretrial motion.”  (</w:t>
      </w:r>
      <w:r w:rsidR="002E1BD5">
        <w:rPr>
          <w:i/>
          <w:iCs/>
          <w:szCs w:val="26"/>
        </w:rPr>
        <w:t xml:space="preserve">So. </w:t>
      </w:r>
      <w:bookmarkStart w:id="43" w:name="dabmci_f56e2479cf754ccebeda4fe97620d132"/>
      <w:r w:rsidR="002E1BD5">
        <w:rPr>
          <w:i/>
          <w:iCs/>
          <w:szCs w:val="26"/>
        </w:rPr>
        <w:t>Cal. Edison</w:t>
      </w:r>
      <w:r w:rsidR="001C51CD">
        <w:rPr>
          <w:i/>
          <w:iCs/>
          <w:szCs w:val="26"/>
        </w:rPr>
        <w:t>, supra,</w:t>
      </w:r>
      <w:r w:rsidRPr="00306A22">
        <w:rPr>
          <w:szCs w:val="26"/>
        </w:rPr>
        <w:t xml:space="preserve"> 112 Cal.App.4th </w:t>
      </w:r>
      <w:r w:rsidR="006275A9">
        <w:rPr>
          <w:szCs w:val="26"/>
        </w:rPr>
        <w:t>at pp.</w:t>
      </w:r>
      <w:r w:rsidRPr="00306A22">
        <w:rPr>
          <w:szCs w:val="26"/>
        </w:rPr>
        <w:t xml:space="preserve"> 1119</w:t>
      </w:r>
      <w:r w:rsidR="00926B13">
        <w:rPr>
          <w:szCs w:val="26"/>
        </w:rPr>
        <w:noBreakHyphen/>
      </w:r>
      <w:r w:rsidRPr="00306A22">
        <w:rPr>
          <w:szCs w:val="26"/>
        </w:rPr>
        <w:t>1120</w:t>
      </w:r>
      <w:bookmarkEnd w:id="43"/>
      <w:r w:rsidRPr="00306A22">
        <w:rPr>
          <w:szCs w:val="26"/>
        </w:rPr>
        <w:t>.)</w:t>
      </w:r>
    </w:p>
    <w:p w:rsidR="00AD1437" w:rsidRPr="00306A22" w:rsidP="00AD1437" w14:paraId="14E00098" w14:textId="471CBD83">
      <w:pPr>
        <w:spacing w:line="480" w:lineRule="atLeast"/>
        <w:ind w:firstLine="1440"/>
        <w:rPr>
          <w:szCs w:val="26"/>
        </w:rPr>
      </w:pPr>
      <w:r>
        <w:rPr>
          <w:szCs w:val="26"/>
        </w:rPr>
        <w:t>T</w:t>
      </w:r>
      <w:r w:rsidRPr="00306A22">
        <w:rPr>
          <w:szCs w:val="26"/>
        </w:rPr>
        <w:t>he fact that a petitioner’s lawsuit is based on the alleged illegality of the challenged tax under state law does not excuse compliance with the “pay first” rule.  “It has long been established that suits to enjoin the collection of taxes may not be maintained even though the imposition of the tax may be ‘illegal and void.’”  (</w:t>
      </w:r>
      <w:bookmarkStart w:id="44" w:name="dabmci_df54b197812a492eb866fbfae86924cd"/>
      <w:r w:rsidRPr="00306A22">
        <w:rPr>
          <w:i/>
          <w:iCs/>
          <w:szCs w:val="26"/>
        </w:rPr>
        <w:t>Flying Dutchman</w:t>
      </w:r>
      <w:r w:rsidR="00E81D1D">
        <w:rPr>
          <w:i/>
          <w:iCs/>
          <w:szCs w:val="26"/>
        </w:rPr>
        <w:t xml:space="preserve">, supra, </w:t>
      </w:r>
      <w:r w:rsidRPr="00306A22">
        <w:rPr>
          <w:szCs w:val="26"/>
        </w:rPr>
        <w:t xml:space="preserve">93 Cal.App.4th </w:t>
      </w:r>
      <w:r w:rsidR="00E81D1D">
        <w:rPr>
          <w:szCs w:val="26"/>
        </w:rPr>
        <w:t>at p.</w:t>
      </w:r>
      <w:r w:rsidR="00926B13">
        <w:rPr>
          <w:szCs w:val="26"/>
        </w:rPr>
        <w:t> </w:t>
      </w:r>
      <w:r w:rsidRPr="00306A22">
        <w:rPr>
          <w:szCs w:val="26"/>
        </w:rPr>
        <w:t>1141</w:t>
      </w:r>
      <w:bookmarkEnd w:id="44"/>
      <w:r w:rsidRPr="00306A22">
        <w:rPr>
          <w:szCs w:val="26"/>
        </w:rPr>
        <w:t xml:space="preserve">; see </w:t>
      </w:r>
      <w:bookmarkStart w:id="45" w:name="dabmci_3893c725224a45189a2543aafe333bae"/>
      <w:r w:rsidRPr="00306A22">
        <w:rPr>
          <w:i/>
          <w:iCs/>
          <w:szCs w:val="26"/>
        </w:rPr>
        <w:t>Chiatello</w:t>
      </w:r>
      <w:r w:rsidR="001632CE">
        <w:rPr>
          <w:i/>
          <w:iCs/>
          <w:szCs w:val="26"/>
        </w:rPr>
        <w:t xml:space="preserve">, supra, </w:t>
      </w:r>
      <w:r w:rsidRPr="00306A22">
        <w:rPr>
          <w:szCs w:val="26"/>
        </w:rPr>
        <w:t xml:space="preserve">189 Cal.App.4th </w:t>
      </w:r>
      <w:r w:rsidR="001632CE">
        <w:rPr>
          <w:szCs w:val="26"/>
        </w:rPr>
        <w:t>at pp.</w:t>
      </w:r>
      <w:r w:rsidR="00926B13">
        <w:rPr>
          <w:szCs w:val="26"/>
        </w:rPr>
        <w:t> </w:t>
      </w:r>
      <w:r w:rsidRPr="00306A22">
        <w:rPr>
          <w:szCs w:val="26"/>
        </w:rPr>
        <w:t>492</w:t>
      </w:r>
      <w:r w:rsidR="00926B13">
        <w:rPr>
          <w:szCs w:val="26"/>
        </w:rPr>
        <w:noBreakHyphen/>
      </w:r>
      <w:r w:rsidRPr="00306A22">
        <w:rPr>
          <w:szCs w:val="26"/>
        </w:rPr>
        <w:t>493</w:t>
      </w:r>
      <w:bookmarkEnd w:id="45"/>
      <w:r w:rsidRPr="00306A22">
        <w:rPr>
          <w:szCs w:val="26"/>
        </w:rPr>
        <w:t xml:space="preserve"> [historically, “a tax would be enjoined only in very rare instances where more than a naked claim of illegality was raised</w:t>
      </w:r>
      <w:r w:rsidR="00926B13">
        <w:rPr>
          <w:szCs w:val="26"/>
        </w:rPr>
        <w:t>[</w:t>
      </w:r>
      <w:r w:rsidRPr="00306A22">
        <w:rPr>
          <w:szCs w:val="26"/>
        </w:rPr>
        <w:t>, and</w:t>
      </w:r>
      <w:r w:rsidR="00926B13">
        <w:rPr>
          <w:szCs w:val="26"/>
        </w:rPr>
        <w:t>]</w:t>
      </w:r>
      <w:r w:rsidRPr="00306A22">
        <w:rPr>
          <w:szCs w:val="26"/>
        </w:rPr>
        <w:t xml:space="preserve"> </w:t>
      </w:r>
      <w:r w:rsidR="00926B13">
        <w:rPr>
          <w:szCs w:val="26"/>
        </w:rPr>
        <w:t>‘“[</w:t>
      </w:r>
      <w:r w:rsidRPr="00306A22">
        <w:rPr>
          <w:szCs w:val="26"/>
        </w:rPr>
        <w:t>a</w:t>
      </w:r>
      <w:r w:rsidR="00926B13">
        <w:rPr>
          <w:szCs w:val="26"/>
        </w:rPr>
        <w:t>]</w:t>
      </w:r>
      <w:r w:rsidRPr="00306A22">
        <w:rPr>
          <w:szCs w:val="26"/>
        </w:rPr>
        <w:t xml:space="preserve"> suit in equity will not lie to restrain the collection of a tax on the sole ground that the tax is illegal”</w:t>
      </w:r>
      <w:r w:rsidR="00926B13">
        <w:rPr>
          <w:szCs w:val="26"/>
        </w:rPr>
        <w:t>’”</w:t>
      </w:r>
      <w:r w:rsidRPr="00306A22">
        <w:rPr>
          <w:szCs w:val="26"/>
        </w:rPr>
        <w:t>].)</w:t>
      </w:r>
    </w:p>
    <w:p w:rsidR="00AD1437" w:rsidRPr="00306A22" w:rsidP="00AD1437" w14:paraId="70839418" w14:textId="5BE5DF22">
      <w:pPr>
        <w:spacing w:line="480" w:lineRule="atLeast"/>
        <w:ind w:firstLine="1440"/>
        <w:rPr>
          <w:szCs w:val="26"/>
        </w:rPr>
      </w:pPr>
      <w:r w:rsidRPr="00306A22">
        <w:rPr>
          <w:szCs w:val="26"/>
        </w:rPr>
        <w:t xml:space="preserve">Nor does </w:t>
      </w:r>
      <w:r w:rsidR="00B301F9">
        <w:rPr>
          <w:szCs w:val="26"/>
        </w:rPr>
        <w:t>a</w:t>
      </w:r>
      <w:r w:rsidRPr="00306A22">
        <w:rPr>
          <w:szCs w:val="26"/>
        </w:rPr>
        <w:t xml:space="preserve"> petitioner’s alleged inability to pay the assessment</w:t>
      </w:r>
      <w:r w:rsidR="00B301F9">
        <w:rPr>
          <w:szCs w:val="26"/>
        </w:rPr>
        <w:t xml:space="preserve"> and the</w:t>
      </w:r>
      <w:r w:rsidRPr="00306A22">
        <w:rPr>
          <w:szCs w:val="26"/>
        </w:rPr>
        <w:t xml:space="preserve"> resulting lack of opportunity for judicial review violate </w:t>
      </w:r>
      <w:r w:rsidR="00F2290D">
        <w:rPr>
          <w:szCs w:val="26"/>
        </w:rPr>
        <w:t>the taxpayer’s</w:t>
      </w:r>
      <w:r w:rsidR="001C7F94">
        <w:rPr>
          <w:szCs w:val="26"/>
        </w:rPr>
        <w:t xml:space="preserve"> </w:t>
      </w:r>
      <w:r w:rsidRPr="00306A22">
        <w:rPr>
          <w:szCs w:val="26"/>
        </w:rPr>
        <w:t>right to due process.  (</w:t>
      </w:r>
      <w:bookmarkStart w:id="46" w:name="dabmci_7e1ec66d8e124e6ea7757889a5f74736"/>
      <w:r w:rsidRPr="00306A22">
        <w:rPr>
          <w:i/>
          <w:iCs/>
          <w:szCs w:val="26"/>
        </w:rPr>
        <w:t xml:space="preserve">California Logistics, </w:t>
      </w:r>
      <w:r w:rsidR="00A04E3B">
        <w:rPr>
          <w:i/>
          <w:iCs/>
          <w:szCs w:val="26"/>
        </w:rPr>
        <w:t>supra,</w:t>
      </w:r>
      <w:r w:rsidRPr="00306A22">
        <w:rPr>
          <w:szCs w:val="26"/>
        </w:rPr>
        <w:t xml:space="preserve"> 161 Cal.App.4th </w:t>
      </w:r>
      <w:r w:rsidR="00A04E3B">
        <w:rPr>
          <w:szCs w:val="26"/>
        </w:rPr>
        <w:t>at p.</w:t>
      </w:r>
      <w:r w:rsidRPr="00306A22">
        <w:rPr>
          <w:szCs w:val="26"/>
        </w:rPr>
        <w:t xml:space="preserve"> 251</w:t>
      </w:r>
      <w:bookmarkEnd w:id="46"/>
      <w:r w:rsidRPr="00306A22">
        <w:rPr>
          <w:szCs w:val="26"/>
        </w:rPr>
        <w:t>; see</w:t>
      </w:r>
      <w:r w:rsidRPr="00306A22">
        <w:rPr>
          <w:i/>
          <w:iCs/>
          <w:szCs w:val="26"/>
        </w:rPr>
        <w:t xml:space="preserve"> </w:t>
      </w:r>
      <w:bookmarkStart w:id="47" w:name="dabmci_79ca528e367b484a864ea19718f0bd47"/>
      <w:r w:rsidRPr="00306A22">
        <w:rPr>
          <w:i/>
          <w:iCs/>
          <w:szCs w:val="26"/>
        </w:rPr>
        <w:t>Modern Barber Col</w:t>
      </w:r>
      <w:r w:rsidR="00926B13">
        <w:rPr>
          <w:i/>
          <w:iCs/>
          <w:szCs w:val="26"/>
        </w:rPr>
        <w:t>.</w:t>
      </w:r>
      <w:r w:rsidRPr="00306A22">
        <w:rPr>
          <w:i/>
          <w:iCs/>
          <w:szCs w:val="26"/>
        </w:rPr>
        <w:t xml:space="preserve"> v. Cal</w:t>
      </w:r>
      <w:r w:rsidR="00926B13">
        <w:rPr>
          <w:i/>
          <w:iCs/>
          <w:szCs w:val="26"/>
        </w:rPr>
        <w:t>.</w:t>
      </w:r>
      <w:r w:rsidRPr="00306A22">
        <w:rPr>
          <w:i/>
          <w:iCs/>
          <w:szCs w:val="26"/>
        </w:rPr>
        <w:t xml:space="preserve"> Emp. St</w:t>
      </w:r>
      <w:r w:rsidR="00926B13">
        <w:rPr>
          <w:i/>
          <w:iCs/>
          <w:szCs w:val="26"/>
        </w:rPr>
        <w:t>ab</w:t>
      </w:r>
      <w:r w:rsidRPr="00306A22">
        <w:rPr>
          <w:i/>
          <w:iCs/>
          <w:szCs w:val="26"/>
        </w:rPr>
        <w:t>. Com</w:t>
      </w:r>
      <w:r w:rsidR="00926B13">
        <w:rPr>
          <w:i/>
          <w:iCs/>
          <w:szCs w:val="26"/>
        </w:rPr>
        <w:t>.</w:t>
      </w:r>
      <w:r w:rsidRPr="00306A22">
        <w:rPr>
          <w:szCs w:val="26"/>
        </w:rPr>
        <w:t xml:space="preserve"> (1948) 31 Cal.2d 720, 725–726</w:t>
      </w:r>
      <w:bookmarkEnd w:id="47"/>
      <w:r w:rsidRPr="00306A22">
        <w:rPr>
          <w:szCs w:val="26"/>
        </w:rPr>
        <w:t xml:space="preserve"> [“The due process clause does not guarantee the right to judicial review of tax liability before payment”]; </w:t>
      </w:r>
      <w:bookmarkStart w:id="48" w:name="dabmci_ad2ffbf5ff74497c84b68d042abd11f8"/>
      <w:r w:rsidR="000777B7">
        <w:rPr>
          <w:i/>
          <w:iCs/>
          <w:szCs w:val="26"/>
        </w:rPr>
        <w:t>PG&amp;E, supra,</w:t>
      </w:r>
      <w:r w:rsidRPr="00306A22">
        <w:rPr>
          <w:szCs w:val="26"/>
        </w:rPr>
        <w:t xml:space="preserve"> 27</w:t>
      </w:r>
      <w:r w:rsidR="00926B13">
        <w:rPr>
          <w:szCs w:val="26"/>
        </w:rPr>
        <w:t> </w:t>
      </w:r>
      <w:r w:rsidRPr="00306A22">
        <w:rPr>
          <w:szCs w:val="26"/>
        </w:rPr>
        <w:t xml:space="preserve">Cal.3d </w:t>
      </w:r>
      <w:r w:rsidR="000777B7">
        <w:rPr>
          <w:szCs w:val="26"/>
        </w:rPr>
        <w:t>at p.</w:t>
      </w:r>
      <w:r w:rsidRPr="00306A22">
        <w:rPr>
          <w:szCs w:val="26"/>
        </w:rPr>
        <w:t xml:space="preserve"> 282</w:t>
      </w:r>
      <w:bookmarkEnd w:id="48"/>
      <w:r w:rsidRPr="00306A22">
        <w:rPr>
          <w:szCs w:val="26"/>
        </w:rPr>
        <w:t xml:space="preserve"> [historically, “the most severe financial hardship resulting in bankruptcy was judged not to be an irreparable injury sufficient to permit judicial intervention” in violation of “pay first” rule].)</w:t>
      </w:r>
    </w:p>
    <w:p w:rsidR="00AD1437" w:rsidRPr="00306A22" w:rsidP="00AD1437" w14:paraId="02D54480" w14:textId="5AF186F6">
      <w:pPr>
        <w:spacing w:line="480" w:lineRule="atLeast"/>
        <w:ind w:firstLine="1440"/>
        <w:rPr>
          <w:szCs w:val="26"/>
        </w:rPr>
      </w:pPr>
      <w:r>
        <w:rPr>
          <w:szCs w:val="26"/>
        </w:rPr>
        <w:t>T</w:t>
      </w:r>
      <w:r w:rsidRPr="00306A22">
        <w:rPr>
          <w:szCs w:val="26"/>
        </w:rPr>
        <w:t xml:space="preserve">he “pay first” rule comports with due process requirements so long as there is “‘a procedure which, </w:t>
      </w:r>
      <w:r w:rsidRPr="00306A22">
        <w:rPr>
          <w:i/>
          <w:iCs/>
          <w:szCs w:val="26"/>
        </w:rPr>
        <w:t>at some point</w:t>
      </w:r>
      <w:r w:rsidRPr="00306A22">
        <w:rPr>
          <w:szCs w:val="26"/>
        </w:rPr>
        <w:t>, provides the taxpayer a meaningful opportunity to contest the legality of the exaction.’”  (</w:t>
      </w:r>
      <w:bookmarkStart w:id="49" w:name="dabmci_11dd2ed5629e49d5b77fad61aa0df298"/>
      <w:r w:rsidRPr="00306A22">
        <w:rPr>
          <w:i/>
          <w:iCs/>
          <w:szCs w:val="26"/>
        </w:rPr>
        <w:t>City of Anaheim</w:t>
      </w:r>
      <w:r w:rsidR="00F76FA6">
        <w:rPr>
          <w:i/>
          <w:iCs/>
          <w:szCs w:val="26"/>
        </w:rPr>
        <w:t xml:space="preserve">, supra, </w:t>
      </w:r>
      <w:r w:rsidRPr="00306A22">
        <w:rPr>
          <w:szCs w:val="26"/>
        </w:rPr>
        <w:t>179</w:t>
      </w:r>
      <w:r w:rsidR="007D36D5">
        <w:rPr>
          <w:szCs w:val="26"/>
        </w:rPr>
        <w:t> </w:t>
      </w:r>
      <w:r w:rsidRPr="00306A22">
        <w:rPr>
          <w:szCs w:val="26"/>
        </w:rPr>
        <w:t xml:space="preserve">Cal.App.4th </w:t>
      </w:r>
      <w:r w:rsidR="00F76FA6">
        <w:rPr>
          <w:szCs w:val="26"/>
        </w:rPr>
        <w:t xml:space="preserve">at p. </w:t>
      </w:r>
      <w:r w:rsidRPr="00306A22">
        <w:rPr>
          <w:szCs w:val="26"/>
        </w:rPr>
        <w:t>831</w:t>
      </w:r>
      <w:bookmarkEnd w:id="49"/>
      <w:r w:rsidR="00F76FA6">
        <w:rPr>
          <w:szCs w:val="26"/>
        </w:rPr>
        <w:t xml:space="preserve">, </w:t>
      </w:r>
      <w:r w:rsidRPr="00306A22">
        <w:rPr>
          <w:szCs w:val="26"/>
        </w:rPr>
        <w:t>ital</w:t>
      </w:r>
      <w:r w:rsidR="007D36D5">
        <w:rPr>
          <w:szCs w:val="26"/>
        </w:rPr>
        <w:t>ics</w:t>
      </w:r>
      <w:r w:rsidRPr="00306A22">
        <w:rPr>
          <w:szCs w:val="26"/>
        </w:rPr>
        <w:t xml:space="preserve"> added.)  This “most often takes the form of refund procedure provided for in the applicable statute, and courts have consistently upheld ‘pay first’ requirements in matters involving local taxes where the taxing authority has specifically provided for a refund procedure.”  (</w:t>
      </w:r>
      <w:bookmarkStart w:id="50" w:name="dabmci_1e8bb4805ff8491dbfaf32d69fef651e"/>
      <w:r w:rsidRPr="00306A22">
        <w:rPr>
          <w:i/>
          <w:iCs/>
          <w:szCs w:val="26"/>
        </w:rPr>
        <w:t>Ibid</w:t>
      </w:r>
      <w:r w:rsidRPr="00306A22">
        <w:rPr>
          <w:szCs w:val="26"/>
        </w:rPr>
        <w:t>.</w:t>
      </w:r>
      <w:bookmarkEnd w:id="50"/>
      <w:r w:rsidRPr="00306A22">
        <w:rPr>
          <w:szCs w:val="26"/>
        </w:rPr>
        <w:t xml:space="preserve">; see </w:t>
      </w:r>
      <w:bookmarkStart w:id="51" w:name="dabmci_7966e170e0e24fb392568a9ed2799e83"/>
      <w:r w:rsidRPr="00306A22">
        <w:rPr>
          <w:i/>
          <w:iCs/>
          <w:szCs w:val="26"/>
        </w:rPr>
        <w:t>McKesson v. Div</w:t>
      </w:r>
      <w:r w:rsidR="009B1EC7">
        <w:rPr>
          <w:i/>
          <w:iCs/>
          <w:szCs w:val="26"/>
        </w:rPr>
        <w:t>.</w:t>
      </w:r>
      <w:r w:rsidRPr="00306A22">
        <w:rPr>
          <w:i/>
          <w:iCs/>
          <w:szCs w:val="26"/>
        </w:rPr>
        <w:t xml:space="preserve"> of Alcoholic Beverages</w:t>
      </w:r>
      <w:r w:rsidRPr="00306A22">
        <w:rPr>
          <w:szCs w:val="26"/>
        </w:rPr>
        <w:t xml:space="preserve"> (1990) 496 U.S. 18, 51</w:t>
      </w:r>
      <w:bookmarkEnd w:id="51"/>
      <w:r w:rsidRPr="00306A22">
        <w:rPr>
          <w:szCs w:val="26"/>
        </w:rPr>
        <w:t xml:space="preserve"> [federal due process principles simply require </w:t>
      </w:r>
      <w:r w:rsidR="009B1EC7">
        <w:rPr>
          <w:szCs w:val="26"/>
        </w:rPr>
        <w:t>‘</w:t>
      </w:r>
      <w:r w:rsidRPr="00306A22">
        <w:rPr>
          <w:szCs w:val="26"/>
        </w:rPr>
        <w:t>“a clear and certain remedy,”</w:t>
      </w:r>
      <w:r w:rsidR="009B1EC7">
        <w:rPr>
          <w:szCs w:val="26"/>
        </w:rPr>
        <w:t>’</w:t>
      </w:r>
      <w:r w:rsidRPr="00306A22">
        <w:rPr>
          <w:szCs w:val="26"/>
        </w:rPr>
        <w:t xml:space="preserve"> such as a “refund of the excess taxes paid by the petitioner”]; </w:t>
      </w:r>
      <w:bookmarkStart w:id="52" w:name="dabmci_9ffb451eb5a44e958a7b8bbd11b7c0fc"/>
      <w:r w:rsidRPr="00306A22">
        <w:rPr>
          <w:i/>
          <w:iCs/>
          <w:szCs w:val="26"/>
        </w:rPr>
        <w:t>Reid v. City of San Diego</w:t>
      </w:r>
      <w:r w:rsidRPr="00306A22">
        <w:rPr>
          <w:szCs w:val="26"/>
        </w:rPr>
        <w:t xml:space="preserve"> (2018) 24 Cal.App.5th 343, 358</w:t>
      </w:r>
      <w:r w:rsidR="001E5C67">
        <w:rPr>
          <w:szCs w:val="26"/>
        </w:rPr>
        <w:t xml:space="preserve"> (</w:t>
      </w:r>
      <w:r w:rsidR="001E5C67">
        <w:rPr>
          <w:i/>
          <w:iCs/>
          <w:szCs w:val="26"/>
        </w:rPr>
        <w:t>Reid</w:t>
      </w:r>
      <w:r w:rsidR="001E5C67">
        <w:rPr>
          <w:szCs w:val="26"/>
        </w:rPr>
        <w:t>)</w:t>
      </w:r>
      <w:bookmarkEnd w:id="52"/>
      <w:r w:rsidRPr="00306A22">
        <w:rPr>
          <w:szCs w:val="26"/>
        </w:rPr>
        <w:t xml:space="preserve"> [government must provide either a predeprivation process or postdeprivation relief; either is sufficient so long as the remedy is clear and certain].)</w:t>
      </w:r>
    </w:p>
    <w:p w:rsidR="00AD1437" w:rsidRPr="00306A22" w:rsidP="00AD1437" w14:paraId="4AB185A4" w14:textId="1BBA1C91">
      <w:pPr>
        <w:spacing w:line="480" w:lineRule="atLeast"/>
        <w:ind w:firstLine="1440"/>
        <w:rPr>
          <w:szCs w:val="26"/>
        </w:rPr>
      </w:pPr>
      <w:r>
        <w:rPr>
          <w:szCs w:val="26"/>
        </w:rPr>
        <w:t>T</w:t>
      </w:r>
      <w:r w:rsidRPr="00306A22">
        <w:rPr>
          <w:szCs w:val="26"/>
        </w:rPr>
        <w:t xml:space="preserve">here are several recognized exceptions to the “pay first” rule.  One </w:t>
      </w:r>
      <w:r w:rsidR="00DC352B">
        <w:rPr>
          <w:szCs w:val="26"/>
        </w:rPr>
        <w:t>arises when</w:t>
      </w:r>
      <w:r w:rsidRPr="00306A22">
        <w:rPr>
          <w:szCs w:val="26"/>
        </w:rPr>
        <w:t xml:space="preserve"> the tax ordinance being challenged provides for criminal penalties for failure to pay.  (See </w:t>
      </w:r>
      <w:bookmarkStart w:id="53" w:name="dabmci_6f7fca9d2d8d43928de075d67e1cae46"/>
      <w:r w:rsidRPr="00306A22">
        <w:rPr>
          <w:i/>
          <w:iCs/>
          <w:szCs w:val="26"/>
        </w:rPr>
        <w:t>Flying Dutchman</w:t>
      </w:r>
      <w:r w:rsidR="00E81D1D">
        <w:rPr>
          <w:i/>
          <w:iCs/>
          <w:szCs w:val="26"/>
        </w:rPr>
        <w:t xml:space="preserve">, supra, </w:t>
      </w:r>
      <w:r w:rsidRPr="00306A22">
        <w:rPr>
          <w:szCs w:val="26"/>
        </w:rPr>
        <w:t xml:space="preserve">93 Cal.App.4th </w:t>
      </w:r>
      <w:r w:rsidR="00546439">
        <w:rPr>
          <w:szCs w:val="26"/>
        </w:rPr>
        <w:t>at pp.</w:t>
      </w:r>
      <w:r w:rsidRPr="00306A22">
        <w:rPr>
          <w:szCs w:val="26"/>
        </w:rPr>
        <w:t xml:space="preserve"> 1139-1140 [collecting cases]</w:t>
      </w:r>
      <w:bookmarkEnd w:id="53"/>
      <w:r w:rsidRPr="00306A22">
        <w:rPr>
          <w:szCs w:val="26"/>
        </w:rPr>
        <w:t>.)</w:t>
      </w:r>
    </w:p>
    <w:p w:rsidR="00AD1437" w:rsidRPr="00306A22" w:rsidP="00AD1437" w14:paraId="1760C5B1" w14:textId="642825DD">
      <w:pPr>
        <w:spacing w:line="480" w:lineRule="atLeast"/>
        <w:ind w:firstLine="1440"/>
        <w:rPr>
          <w:szCs w:val="26"/>
        </w:rPr>
      </w:pPr>
      <w:r w:rsidRPr="00306A22">
        <w:rPr>
          <w:szCs w:val="26"/>
        </w:rPr>
        <w:t xml:space="preserve">A second exception </w:t>
      </w:r>
      <w:r w:rsidR="00F2290D">
        <w:rPr>
          <w:szCs w:val="26"/>
        </w:rPr>
        <w:t>applies</w:t>
      </w:r>
      <w:r w:rsidRPr="00306A22">
        <w:rPr>
          <w:szCs w:val="26"/>
        </w:rPr>
        <w:t xml:space="preserve"> if the party seeking to prevent the tax collection has no adequate remedy at law, in which case </w:t>
      </w:r>
      <w:r w:rsidR="00F2290D">
        <w:rPr>
          <w:szCs w:val="26"/>
        </w:rPr>
        <w:t>the taxpayer</w:t>
      </w:r>
      <w:r w:rsidR="00C42935">
        <w:rPr>
          <w:szCs w:val="26"/>
        </w:rPr>
        <w:t xml:space="preserve"> </w:t>
      </w:r>
      <w:r w:rsidRPr="00306A22">
        <w:rPr>
          <w:szCs w:val="26"/>
        </w:rPr>
        <w:t>may be entitled to equitable relief.  (</w:t>
      </w:r>
      <w:bookmarkStart w:id="54" w:name="dabmci_ea4f178632bf4c19af7a16bd9d89d7b5"/>
      <w:r w:rsidRPr="00306A22" w:rsidR="00546439">
        <w:rPr>
          <w:i/>
          <w:iCs/>
          <w:szCs w:val="26"/>
        </w:rPr>
        <w:t>Flying Dutchman</w:t>
      </w:r>
      <w:r w:rsidR="00546439">
        <w:rPr>
          <w:i/>
          <w:iCs/>
          <w:szCs w:val="26"/>
        </w:rPr>
        <w:t>, supra,</w:t>
      </w:r>
      <w:r w:rsidRPr="00306A22">
        <w:rPr>
          <w:szCs w:val="26"/>
        </w:rPr>
        <w:t xml:space="preserve"> 93 Cal.App.4th </w:t>
      </w:r>
      <w:r w:rsidR="00546439">
        <w:rPr>
          <w:szCs w:val="26"/>
        </w:rPr>
        <w:t>at p.</w:t>
      </w:r>
      <w:r w:rsidRPr="00306A22">
        <w:rPr>
          <w:szCs w:val="26"/>
        </w:rPr>
        <w:t xml:space="preserve"> 1138</w:t>
      </w:r>
      <w:bookmarkEnd w:id="54"/>
      <w:r w:rsidRPr="00306A22">
        <w:rPr>
          <w:szCs w:val="26"/>
        </w:rPr>
        <w:t>.)  However,</w:t>
      </w:r>
      <w:r w:rsidR="00044CF7">
        <w:rPr>
          <w:szCs w:val="26"/>
        </w:rPr>
        <w:t xml:space="preserve"> this exception rarely applies because</w:t>
      </w:r>
      <w:r w:rsidRPr="00306A22">
        <w:rPr>
          <w:szCs w:val="26"/>
        </w:rPr>
        <w:t xml:space="preserve"> “[a]ny remedy that allows a taxpayer to challenge a tax already collected, and to press any constitutional claims he or she may have, has been found to constitute ‘“a plain, speedy and efficient remedy”’ barring equitable relief.”  (</w:t>
      </w:r>
      <w:bookmarkStart w:id="55" w:name="dabmci_1816151b99a9496a8e1284a98d6e527e"/>
      <w:r w:rsidRPr="00306A22">
        <w:rPr>
          <w:i/>
          <w:iCs/>
          <w:szCs w:val="26"/>
        </w:rPr>
        <w:t>Ibid.</w:t>
      </w:r>
      <w:bookmarkEnd w:id="55"/>
      <w:r w:rsidRPr="00306A22">
        <w:rPr>
          <w:szCs w:val="26"/>
        </w:rPr>
        <w:t xml:space="preserve">; see </w:t>
      </w:r>
      <w:bookmarkStart w:id="56" w:name="dabmci_007210279ec748b9911fd5be72813c4d"/>
      <w:r w:rsidRPr="00306A22">
        <w:rPr>
          <w:i/>
          <w:iCs/>
          <w:szCs w:val="26"/>
        </w:rPr>
        <w:t>Chiatello</w:t>
      </w:r>
      <w:r w:rsidR="00B06FB3">
        <w:rPr>
          <w:i/>
          <w:iCs/>
          <w:szCs w:val="26"/>
        </w:rPr>
        <w:t>, supra,</w:t>
      </w:r>
      <w:r w:rsidRPr="00306A22">
        <w:rPr>
          <w:szCs w:val="26"/>
        </w:rPr>
        <w:t xml:space="preserve"> 189 Cal.App.4th </w:t>
      </w:r>
      <w:r w:rsidR="00B06FB3">
        <w:rPr>
          <w:szCs w:val="26"/>
        </w:rPr>
        <w:t>at p.</w:t>
      </w:r>
      <w:r w:rsidRPr="00306A22">
        <w:rPr>
          <w:szCs w:val="26"/>
        </w:rPr>
        <w:t xml:space="preserve"> 493</w:t>
      </w:r>
      <w:bookmarkEnd w:id="56"/>
      <w:r w:rsidRPr="00306A22">
        <w:rPr>
          <w:szCs w:val="26"/>
        </w:rPr>
        <w:t xml:space="preserve"> [“if there was an adequate remedy at law—which almost always meant a refund procedure—the collection of a tax would not be halted by</w:t>
      </w:r>
      <w:r w:rsidR="009B1EC7">
        <w:rPr>
          <w:szCs w:val="26"/>
        </w:rPr>
        <w:t xml:space="preserve"> the</w:t>
      </w:r>
      <w:r w:rsidRPr="00306A22">
        <w:rPr>
          <w:szCs w:val="26"/>
        </w:rPr>
        <w:t xml:space="preserve"> courts”]; </w:t>
      </w:r>
      <w:bookmarkStart w:id="57" w:name="dabmci_0422eb1ea2a3430dad6c93e97593d3eb"/>
      <w:r w:rsidRPr="00306A22">
        <w:rPr>
          <w:i/>
          <w:iCs/>
          <w:szCs w:val="26"/>
        </w:rPr>
        <w:t xml:space="preserve">City of </w:t>
      </w:r>
      <w:r w:rsidR="008C42CF">
        <w:rPr>
          <w:i/>
          <w:iCs/>
          <w:szCs w:val="26"/>
        </w:rPr>
        <w:t xml:space="preserve">Anaheim, supra, </w:t>
      </w:r>
      <w:r w:rsidRPr="00306A22">
        <w:rPr>
          <w:szCs w:val="26"/>
        </w:rPr>
        <w:t xml:space="preserve">179 Cal.App.4th </w:t>
      </w:r>
      <w:r w:rsidR="008C42CF">
        <w:rPr>
          <w:szCs w:val="26"/>
        </w:rPr>
        <w:t>at p.</w:t>
      </w:r>
      <w:r w:rsidRPr="00306A22">
        <w:rPr>
          <w:szCs w:val="26"/>
        </w:rPr>
        <w:t xml:space="preserve"> 831</w:t>
      </w:r>
      <w:bookmarkEnd w:id="57"/>
      <w:r w:rsidRPr="00306A22">
        <w:rPr>
          <w:szCs w:val="26"/>
        </w:rPr>
        <w:t xml:space="preserve"> [</w:t>
      </w:r>
      <w:r w:rsidR="00D56196">
        <w:rPr>
          <w:szCs w:val="26"/>
        </w:rPr>
        <w:t xml:space="preserve">noting </w:t>
      </w:r>
      <w:r w:rsidRPr="00306A22">
        <w:rPr>
          <w:szCs w:val="26"/>
        </w:rPr>
        <w:t>“</w:t>
      </w:r>
      <w:r w:rsidR="00D56196">
        <w:rPr>
          <w:szCs w:val="26"/>
        </w:rPr>
        <w:t>[t]</w:t>
      </w:r>
      <w:r w:rsidRPr="00306A22">
        <w:rPr>
          <w:szCs w:val="26"/>
        </w:rPr>
        <w:t>he ‘adequate remedy at law’ most often takes the form of refund procedure provided for in the applicable statute” and collecting cases].)</w:t>
      </w:r>
    </w:p>
    <w:p w:rsidR="00AD1437" w:rsidRPr="00306A22" w:rsidP="00AD1437" w14:paraId="768CCB00" w14:textId="16CCD281">
      <w:pPr>
        <w:spacing w:line="480" w:lineRule="atLeast"/>
        <w:ind w:firstLine="1440"/>
        <w:rPr>
          <w:szCs w:val="26"/>
        </w:rPr>
      </w:pPr>
      <w:r w:rsidRPr="00306A22">
        <w:rPr>
          <w:szCs w:val="26"/>
        </w:rPr>
        <w:t xml:space="preserve">A third exception </w:t>
      </w:r>
      <w:r w:rsidR="00F2290D">
        <w:rPr>
          <w:szCs w:val="26"/>
        </w:rPr>
        <w:t>appears when</w:t>
      </w:r>
      <w:r w:rsidRPr="00306A22">
        <w:rPr>
          <w:szCs w:val="26"/>
        </w:rPr>
        <w:t xml:space="preserve"> the ban on prepayment judicial review violates the federal Constitution.  However, this exception is “limited to those situations in which it is clear that ‘“under no circumstances” can the government prevail,’” </w:t>
      </w:r>
      <w:r w:rsidR="009B1EC7">
        <w:rPr>
          <w:szCs w:val="26"/>
        </w:rPr>
        <w:t>w</w:t>
      </w:r>
      <w:r w:rsidRPr="00306A22">
        <w:rPr>
          <w:szCs w:val="26"/>
        </w:rPr>
        <w:t xml:space="preserve">here </w:t>
      </w:r>
      <w:r w:rsidR="009B1EC7">
        <w:rPr>
          <w:szCs w:val="26"/>
        </w:rPr>
        <w:t>‘“</w:t>
      </w:r>
      <w:r w:rsidRPr="00306A22">
        <w:rPr>
          <w:szCs w:val="26"/>
        </w:rPr>
        <w:t>it is . . . apparent that, under the most liberal view of the law and the facts, the [government] cannot establish its claim,’” or where the government “has no conceivable basis in law or fact for assessing [the] tax.”  (</w:t>
      </w:r>
      <w:bookmarkStart w:id="58" w:name="dabmci_f89217793b1f48debc72d8f16ffb4cdb"/>
      <w:r w:rsidRPr="00306A22">
        <w:rPr>
          <w:i/>
          <w:iCs/>
          <w:szCs w:val="26"/>
        </w:rPr>
        <w:t>Western Oil &amp; Gas Assn. v. State Bd. of Equalization</w:t>
      </w:r>
      <w:r w:rsidRPr="00306A22">
        <w:rPr>
          <w:szCs w:val="26"/>
        </w:rPr>
        <w:t xml:space="preserve"> (1987) 44 Cal.3d 208, 214</w:t>
      </w:r>
      <w:bookmarkEnd w:id="58"/>
      <w:r w:rsidRPr="00306A22">
        <w:rPr>
          <w:szCs w:val="26"/>
        </w:rPr>
        <w:t>; see</w:t>
      </w:r>
      <w:r w:rsidRPr="00306A22">
        <w:rPr>
          <w:i/>
          <w:iCs/>
          <w:szCs w:val="26"/>
        </w:rPr>
        <w:t xml:space="preserve"> </w:t>
      </w:r>
      <w:bookmarkStart w:id="59" w:name="dabmci_edac1257d6494670ba926a2d77713ed2"/>
      <w:r w:rsidRPr="00306A22">
        <w:rPr>
          <w:i/>
          <w:iCs/>
          <w:szCs w:val="26"/>
        </w:rPr>
        <w:t>Calfarm Ins. Co. v. Deukmejian</w:t>
      </w:r>
      <w:r w:rsidRPr="00306A22">
        <w:rPr>
          <w:szCs w:val="26"/>
        </w:rPr>
        <w:t xml:space="preserve"> (1989) 48</w:t>
      </w:r>
      <w:r w:rsidR="002535FF">
        <w:rPr>
          <w:szCs w:val="26"/>
        </w:rPr>
        <w:t> </w:t>
      </w:r>
      <w:r w:rsidRPr="00306A22">
        <w:rPr>
          <w:szCs w:val="26"/>
        </w:rPr>
        <w:t>Cal.3d 805, 839</w:t>
      </w:r>
      <w:r w:rsidR="00203800">
        <w:rPr>
          <w:szCs w:val="26"/>
        </w:rPr>
        <w:t xml:space="preserve"> (</w:t>
      </w:r>
      <w:r w:rsidR="00203800">
        <w:rPr>
          <w:i/>
          <w:iCs/>
          <w:szCs w:val="26"/>
        </w:rPr>
        <w:t>Calfarm</w:t>
      </w:r>
      <w:r w:rsidR="00203800">
        <w:rPr>
          <w:szCs w:val="26"/>
        </w:rPr>
        <w:t>)</w:t>
      </w:r>
      <w:bookmarkEnd w:id="59"/>
      <w:r w:rsidRPr="00306A22">
        <w:rPr>
          <w:szCs w:val="26"/>
        </w:rPr>
        <w:t>.)</w:t>
      </w:r>
    </w:p>
    <w:p w:rsidR="00AD1437" w:rsidRPr="00306A22" w:rsidP="007D36D5" w14:paraId="1254A594" w14:textId="2FDD1FCC">
      <w:pPr>
        <w:keepNext/>
        <w:spacing w:line="480" w:lineRule="atLeast"/>
        <w:ind w:firstLine="720"/>
        <w:rPr>
          <w:szCs w:val="26"/>
        </w:rPr>
      </w:pPr>
      <w:r w:rsidRPr="00306A22">
        <w:rPr>
          <w:szCs w:val="26"/>
        </w:rPr>
        <w:t>4.</w:t>
      </w:r>
      <w:r w:rsidRPr="00306A22">
        <w:rPr>
          <w:szCs w:val="26"/>
        </w:rPr>
        <w:tab/>
      </w:r>
      <w:r w:rsidRPr="00306A22">
        <w:rPr>
          <w:i/>
          <w:iCs/>
          <w:szCs w:val="26"/>
        </w:rPr>
        <w:t>Appl</w:t>
      </w:r>
      <w:r w:rsidR="00CA57D7">
        <w:rPr>
          <w:i/>
          <w:iCs/>
          <w:szCs w:val="26"/>
        </w:rPr>
        <w:t xml:space="preserve">icability </w:t>
      </w:r>
      <w:r w:rsidRPr="00306A22">
        <w:rPr>
          <w:i/>
          <w:iCs/>
          <w:szCs w:val="26"/>
        </w:rPr>
        <w:t>of the “Pay First” Rule in Water Cases</w:t>
      </w:r>
    </w:p>
    <w:p w:rsidR="00AD1437" w:rsidRPr="00306A22" w:rsidP="00AD1437" w14:paraId="5460EBDE" w14:textId="2599EFDF">
      <w:pPr>
        <w:spacing w:line="480" w:lineRule="atLeast"/>
        <w:ind w:firstLine="1440"/>
        <w:rPr>
          <w:szCs w:val="26"/>
        </w:rPr>
      </w:pPr>
      <w:r w:rsidRPr="00306A22">
        <w:rPr>
          <w:szCs w:val="26"/>
        </w:rPr>
        <w:t xml:space="preserve">No court has yet determined whether the “pay first” rule applies in cases challenging fees imposed by a groundwater sustainability agency under SGMA.  However, two cases have recognized that groundwater </w:t>
      </w:r>
      <w:r w:rsidR="007D36D5">
        <w:rPr>
          <w:szCs w:val="26"/>
        </w:rPr>
        <w:t>a</w:t>
      </w:r>
      <w:r w:rsidRPr="00306A22">
        <w:rPr>
          <w:szCs w:val="26"/>
        </w:rPr>
        <w:t xml:space="preserve">ssessments </w:t>
      </w:r>
      <w:r w:rsidR="00EC5024">
        <w:rPr>
          <w:szCs w:val="26"/>
        </w:rPr>
        <w:t xml:space="preserve">imposed in other contexts </w:t>
      </w:r>
      <w:r w:rsidRPr="00306A22">
        <w:rPr>
          <w:szCs w:val="26"/>
        </w:rPr>
        <w:t xml:space="preserve">are subject to the rule.  </w:t>
      </w:r>
    </w:p>
    <w:p w:rsidR="00AD1437" w:rsidRPr="00306A22" w:rsidP="00AD1437" w14:paraId="254579F8" w14:textId="7C709C50">
      <w:pPr>
        <w:spacing w:line="480" w:lineRule="atLeast"/>
        <w:ind w:firstLine="1440"/>
        <w:rPr>
          <w:szCs w:val="26"/>
        </w:rPr>
      </w:pPr>
      <w:r>
        <w:rPr>
          <w:szCs w:val="26"/>
        </w:rPr>
        <w:t>I</w:t>
      </w:r>
      <w:r w:rsidRPr="00306A22">
        <w:rPr>
          <w:szCs w:val="26"/>
        </w:rPr>
        <w:t xml:space="preserve">n </w:t>
      </w:r>
      <w:bookmarkStart w:id="60" w:name="dabmci_5654371387c1463d8fae5c36adb70d70"/>
      <w:r w:rsidRPr="00306A22">
        <w:rPr>
          <w:i/>
          <w:iCs/>
          <w:szCs w:val="26"/>
        </w:rPr>
        <w:t>City of Cerritos</w:t>
      </w:r>
      <w:bookmarkEnd w:id="60"/>
      <w:r w:rsidRPr="00306A22">
        <w:rPr>
          <w:szCs w:val="26"/>
        </w:rPr>
        <w:t>, the court applied the “pay first” rule to a city that had stopped paying a water replenishment assessment to the local water replenishment district after another court made an interim order finding the assessment was invalid under Proposition 218.  (</w:t>
      </w:r>
      <w:bookmarkStart w:id="61" w:name="dabmci_1feaa803c7a248eca2f335bdbe64c176"/>
      <w:r w:rsidR="002332BC">
        <w:rPr>
          <w:i/>
          <w:iCs/>
          <w:szCs w:val="26"/>
        </w:rPr>
        <w:t>City of Cerritos, supra</w:t>
      </w:r>
      <w:r w:rsidR="002332BC">
        <w:rPr>
          <w:szCs w:val="26"/>
        </w:rPr>
        <w:t>, 220 Cal.App.4th</w:t>
      </w:r>
      <w:r w:rsidRPr="00306A22">
        <w:rPr>
          <w:szCs w:val="26"/>
        </w:rPr>
        <w:t xml:space="preserve"> at pp. 1453-1454</w:t>
      </w:r>
      <w:bookmarkEnd w:id="61"/>
      <w:r w:rsidRPr="00306A22">
        <w:rPr>
          <w:szCs w:val="26"/>
        </w:rPr>
        <w:t>.)  The</w:t>
      </w:r>
      <w:r w:rsidRPr="00306A22">
        <w:rPr>
          <w:i/>
          <w:iCs/>
          <w:szCs w:val="26"/>
        </w:rPr>
        <w:t xml:space="preserve"> </w:t>
      </w:r>
      <w:r w:rsidRPr="00306A22">
        <w:rPr>
          <w:szCs w:val="26"/>
        </w:rPr>
        <w:t xml:space="preserve">court concluded </w:t>
      </w:r>
      <w:bookmarkStart w:id="62" w:name="dabmci_9ff7b530adc649808362449e1b663323"/>
      <w:r w:rsidR="002332BC">
        <w:rPr>
          <w:szCs w:val="26"/>
        </w:rPr>
        <w:t xml:space="preserve">article XIII, </w:t>
      </w:r>
      <w:r w:rsidRPr="00306A22">
        <w:rPr>
          <w:szCs w:val="26"/>
        </w:rPr>
        <w:t>section 32</w:t>
      </w:r>
      <w:bookmarkEnd w:id="62"/>
      <w:r w:rsidRPr="00306A22">
        <w:rPr>
          <w:szCs w:val="26"/>
        </w:rPr>
        <w:t xml:space="preserve"> barred the city from using the pending Proposition 218 case to defensively interfere with collection of the assessment, and the city </w:t>
      </w:r>
      <w:r>
        <w:rPr>
          <w:szCs w:val="26"/>
        </w:rPr>
        <w:t>was required to</w:t>
      </w:r>
      <w:r w:rsidRPr="00306A22">
        <w:rPr>
          <w:szCs w:val="26"/>
        </w:rPr>
        <w:t xml:space="preserve"> either pay the assessment or stop producing groundwater until there </w:t>
      </w:r>
      <w:r>
        <w:rPr>
          <w:szCs w:val="26"/>
        </w:rPr>
        <w:t>wa</w:t>
      </w:r>
      <w:r w:rsidRPr="00306A22">
        <w:rPr>
          <w:szCs w:val="26"/>
        </w:rPr>
        <w:t>s a final judgment in the Proposition 218 lawsuit.  (</w:t>
      </w:r>
      <w:bookmarkStart w:id="63" w:name="dabmci_f9d3b137aacc44ce92dc0cdbfd10a2fe"/>
      <w:r w:rsidR="002332BC">
        <w:rPr>
          <w:i/>
          <w:iCs/>
          <w:szCs w:val="26"/>
        </w:rPr>
        <w:t>City of Cerritos,</w:t>
      </w:r>
      <w:r w:rsidRPr="00306A22">
        <w:rPr>
          <w:szCs w:val="26"/>
        </w:rPr>
        <w:t xml:space="preserve"> at pp. 1464</w:t>
      </w:r>
      <w:r w:rsidR="002332BC">
        <w:rPr>
          <w:szCs w:val="26"/>
        </w:rPr>
        <w:noBreakHyphen/>
      </w:r>
      <w:r w:rsidRPr="00306A22">
        <w:rPr>
          <w:szCs w:val="26"/>
        </w:rPr>
        <w:t>1470</w:t>
      </w:r>
      <w:bookmarkEnd w:id="63"/>
      <w:r w:rsidRPr="00306A22">
        <w:rPr>
          <w:szCs w:val="26"/>
        </w:rPr>
        <w:t>.)  Thus</w:t>
      </w:r>
      <w:r w:rsidR="00F2290D">
        <w:rPr>
          <w:szCs w:val="26"/>
        </w:rPr>
        <w:t>,</w:t>
      </w:r>
      <w:r w:rsidRPr="00306A22">
        <w:rPr>
          <w:szCs w:val="26"/>
        </w:rPr>
        <w:t xml:space="preserve"> the district was entitled to a preliminary injunction enjoining the city from producing groundwater during the pendency of the Proposition 218 lawsuit unless and until the city paid the delinquent assessment.  (</w:t>
      </w:r>
      <w:bookmarkStart w:id="64" w:name="dabmci_64d11457d2b049a7a9b6760b9f19de04"/>
      <w:r w:rsidR="002332BC">
        <w:rPr>
          <w:i/>
          <w:iCs/>
          <w:szCs w:val="26"/>
        </w:rPr>
        <w:t>City of Cerritos,</w:t>
      </w:r>
      <w:r w:rsidRPr="00306A22">
        <w:rPr>
          <w:szCs w:val="26"/>
        </w:rPr>
        <w:t xml:space="preserve"> at pp. 1470</w:t>
      </w:r>
      <w:r w:rsidR="002332BC">
        <w:rPr>
          <w:szCs w:val="26"/>
        </w:rPr>
        <w:noBreakHyphen/>
      </w:r>
      <w:r w:rsidRPr="00306A22">
        <w:rPr>
          <w:szCs w:val="26"/>
        </w:rPr>
        <w:t>1471</w:t>
      </w:r>
      <w:bookmarkEnd w:id="64"/>
      <w:r w:rsidRPr="00306A22">
        <w:rPr>
          <w:szCs w:val="26"/>
        </w:rPr>
        <w:t>.)</w:t>
      </w:r>
    </w:p>
    <w:p w:rsidR="00AE573C" w:rsidP="00AD1437" w14:paraId="1D5FD307" w14:textId="77777777">
      <w:pPr>
        <w:spacing w:line="480" w:lineRule="atLeast"/>
        <w:ind w:firstLine="1440"/>
        <w:rPr>
          <w:color w:val="000000" w:themeColor="text1"/>
          <w:szCs w:val="26"/>
        </w:rPr>
      </w:pPr>
      <w:r w:rsidRPr="00306A22">
        <w:rPr>
          <w:szCs w:val="26"/>
        </w:rPr>
        <w:t xml:space="preserve">The “pay first” rule was also applied to water fees in </w:t>
      </w:r>
      <w:bookmarkStart w:id="65" w:name="dabmci_b778afd3054648aaa011a67757928c24"/>
      <w:r w:rsidRPr="00306A22">
        <w:rPr>
          <w:i/>
          <w:iCs/>
          <w:szCs w:val="26"/>
        </w:rPr>
        <w:t>Green Valley Landowners Assn. v. City of Vallejo</w:t>
      </w:r>
      <w:r w:rsidRPr="00306A22">
        <w:rPr>
          <w:szCs w:val="26"/>
        </w:rPr>
        <w:t xml:space="preserve"> (2015) 241 Cal.App.4th 425</w:t>
      </w:r>
      <w:bookmarkEnd w:id="65"/>
      <w:r w:rsidR="00CD509B">
        <w:rPr>
          <w:szCs w:val="26"/>
        </w:rPr>
        <w:t xml:space="preserve">.  That case </w:t>
      </w:r>
      <w:r w:rsidRPr="00306A22">
        <w:rPr>
          <w:szCs w:val="26"/>
        </w:rPr>
        <w:t>involved a class action complaint filed on behalf of water customers to preserve their alleged right to continue receiving water at reasonable rates from a historical water delivery system owned and operated by the city.  (</w:t>
      </w:r>
      <w:bookmarkStart w:id="66" w:name="dabmci_8ed3a26075ca4c2abe04e9de35c2d3cf"/>
      <w:r w:rsidRPr="00306A22">
        <w:rPr>
          <w:i/>
          <w:iCs/>
          <w:szCs w:val="26"/>
        </w:rPr>
        <w:t xml:space="preserve">Id. </w:t>
      </w:r>
      <w:r w:rsidRPr="00306A22">
        <w:rPr>
          <w:szCs w:val="26"/>
        </w:rPr>
        <w:t>at p. 428</w:t>
      </w:r>
      <w:bookmarkEnd w:id="66"/>
      <w:r w:rsidRPr="00306A22">
        <w:rPr>
          <w:szCs w:val="26"/>
        </w:rPr>
        <w:t xml:space="preserve">.)  The trial court sustained the city’s demurrer to causes of action seeking to enjoin the city from continuing a surcharge fee and imposing future rate structures.  The court of appeal affirmed, noting </w:t>
      </w:r>
      <w:r w:rsidRPr="00306A22">
        <w:rPr>
          <w:color w:val="000000" w:themeColor="text1"/>
          <w:szCs w:val="26"/>
        </w:rPr>
        <w:t xml:space="preserve">that the trial court had correctly cited </w:t>
      </w:r>
      <w:r w:rsidRPr="00306A22">
        <w:rPr>
          <w:i/>
          <w:iCs/>
          <w:color w:val="000000" w:themeColor="text1"/>
          <w:szCs w:val="26"/>
        </w:rPr>
        <w:t xml:space="preserve">City of Cerritos </w:t>
      </w:r>
      <w:r w:rsidRPr="00306A22">
        <w:rPr>
          <w:color w:val="000000" w:themeColor="text1"/>
          <w:szCs w:val="26"/>
        </w:rPr>
        <w:t>for the proposition that “water assessments are subject to the ‘“pay first, litigate later”’ rule.”  (</w:t>
      </w:r>
      <w:bookmarkStart w:id="67" w:name="dabmci_1dedc1a6e9ec45a4b0439405eaef3c21"/>
      <w:r w:rsidRPr="00306A22">
        <w:rPr>
          <w:i/>
          <w:iCs/>
          <w:color w:val="000000" w:themeColor="text1"/>
          <w:szCs w:val="26"/>
        </w:rPr>
        <w:t>Id.</w:t>
      </w:r>
      <w:r w:rsidRPr="00306A22">
        <w:rPr>
          <w:color w:val="000000" w:themeColor="text1"/>
          <w:szCs w:val="26"/>
        </w:rPr>
        <w:t xml:space="preserve"> at p. 441</w:t>
      </w:r>
      <w:bookmarkEnd w:id="67"/>
      <w:r w:rsidRPr="00306A22">
        <w:rPr>
          <w:color w:val="000000" w:themeColor="text1"/>
          <w:szCs w:val="26"/>
        </w:rPr>
        <w:t>.)</w:t>
      </w:r>
      <w:r w:rsidR="002332BC">
        <w:rPr>
          <w:color w:val="000000" w:themeColor="text1"/>
          <w:szCs w:val="26"/>
        </w:rPr>
        <w:t xml:space="preserve">  </w:t>
      </w:r>
    </w:p>
    <w:p w:rsidR="004568C0" w:rsidP="00AD1437" w14:paraId="00D4EC43" w14:textId="3880594F">
      <w:pPr>
        <w:spacing w:line="480" w:lineRule="atLeast"/>
        <w:ind w:firstLine="1440"/>
        <w:rPr>
          <w:color w:val="000000" w:themeColor="text1"/>
          <w:szCs w:val="26"/>
        </w:rPr>
      </w:pPr>
      <w:r>
        <w:rPr>
          <w:color w:val="000000" w:themeColor="text1"/>
          <w:szCs w:val="26"/>
        </w:rPr>
        <w:t>N</w:t>
      </w:r>
      <w:r w:rsidRPr="00AE573C" w:rsidR="00F87CAD">
        <w:rPr>
          <w:color w:val="000000" w:themeColor="text1"/>
          <w:szCs w:val="26"/>
        </w:rPr>
        <w:t>either</w:t>
      </w:r>
      <w:r w:rsidR="00F87CAD">
        <w:rPr>
          <w:color w:val="000000" w:themeColor="text1"/>
          <w:szCs w:val="26"/>
        </w:rPr>
        <w:t xml:space="preserve"> </w:t>
      </w:r>
      <w:r w:rsidR="00AE573C">
        <w:rPr>
          <w:color w:val="000000" w:themeColor="text1"/>
          <w:szCs w:val="26"/>
        </w:rPr>
        <w:t>of the</w:t>
      </w:r>
      <w:r>
        <w:rPr>
          <w:color w:val="000000" w:themeColor="text1"/>
          <w:szCs w:val="26"/>
        </w:rPr>
        <w:t>se</w:t>
      </w:r>
      <w:r w:rsidR="00AE573C">
        <w:rPr>
          <w:color w:val="000000" w:themeColor="text1"/>
          <w:szCs w:val="26"/>
        </w:rPr>
        <w:t xml:space="preserve"> cases</w:t>
      </w:r>
      <w:r w:rsidR="00F87CAD">
        <w:rPr>
          <w:i/>
          <w:iCs/>
          <w:color w:val="000000" w:themeColor="text1"/>
          <w:szCs w:val="26"/>
        </w:rPr>
        <w:t xml:space="preserve"> </w:t>
      </w:r>
      <w:r w:rsidR="00F87CAD">
        <w:rPr>
          <w:color w:val="000000" w:themeColor="text1"/>
          <w:szCs w:val="26"/>
        </w:rPr>
        <w:t xml:space="preserve">involved a </w:t>
      </w:r>
      <w:r w:rsidRPr="00306A22" w:rsidR="00F87CAD">
        <w:rPr>
          <w:szCs w:val="26"/>
        </w:rPr>
        <w:t>challeng</w:t>
      </w:r>
      <w:r w:rsidR="00F87CAD">
        <w:rPr>
          <w:szCs w:val="26"/>
        </w:rPr>
        <w:t>e to</w:t>
      </w:r>
      <w:r w:rsidRPr="00306A22" w:rsidR="00F87CAD">
        <w:rPr>
          <w:szCs w:val="26"/>
        </w:rPr>
        <w:t xml:space="preserve"> fees imposed by a groundwater sustainability agency under SGMA</w:t>
      </w:r>
      <w:r w:rsidR="00F87CAD">
        <w:rPr>
          <w:szCs w:val="26"/>
        </w:rPr>
        <w:t xml:space="preserve">. </w:t>
      </w:r>
      <w:r w:rsidRPr="00306A22" w:rsidR="00F87CAD">
        <w:rPr>
          <w:color w:val="000000" w:themeColor="text1"/>
          <w:szCs w:val="26"/>
        </w:rPr>
        <w:t xml:space="preserve"> </w:t>
      </w:r>
      <w:r w:rsidR="002201A8">
        <w:rPr>
          <w:color w:val="000000" w:themeColor="text1"/>
          <w:szCs w:val="26"/>
        </w:rPr>
        <w:t xml:space="preserve">More relevant to our </w:t>
      </w:r>
      <w:r w:rsidR="00F008B4">
        <w:rPr>
          <w:color w:val="000000" w:themeColor="text1"/>
          <w:szCs w:val="26"/>
        </w:rPr>
        <w:t>analysis</w:t>
      </w:r>
      <w:r w:rsidR="00C30A1D">
        <w:rPr>
          <w:color w:val="000000" w:themeColor="text1"/>
          <w:szCs w:val="26"/>
        </w:rPr>
        <w:t>, therefore, is</w:t>
      </w:r>
      <w:r w:rsidR="00F008B4">
        <w:rPr>
          <w:color w:val="000000" w:themeColor="text1"/>
          <w:szCs w:val="26"/>
        </w:rPr>
        <w:t xml:space="preserve"> </w:t>
      </w:r>
      <w:r w:rsidRPr="00306A22" w:rsidR="00AD1437">
        <w:rPr>
          <w:color w:val="000000" w:themeColor="text1"/>
          <w:szCs w:val="26"/>
        </w:rPr>
        <w:t xml:space="preserve">the fact that the Legislature included a “pay first” requirement in SGMA.  </w:t>
      </w:r>
    </w:p>
    <w:p w:rsidR="00AD1437" w:rsidRPr="00306A22" w:rsidP="00AD1437" w14:paraId="395EEC28" w14:textId="2BA1FF89">
      <w:pPr>
        <w:spacing w:line="480" w:lineRule="atLeast"/>
        <w:ind w:firstLine="1440"/>
        <w:rPr>
          <w:color w:val="000000" w:themeColor="text1"/>
          <w:szCs w:val="26"/>
        </w:rPr>
      </w:pPr>
      <w:r w:rsidRPr="00306A22">
        <w:rPr>
          <w:color w:val="000000" w:themeColor="text1"/>
          <w:szCs w:val="26"/>
        </w:rPr>
        <w:t xml:space="preserve">Specifically, section 10726.6(d) provides:  “Any person may pay a fee imposed pursuant to Section 10730, 10730.2, or 10730.4 under protest and bring an action against the governing body in the superior court to recover any money that the governing body refuses to refund.  Payments made and actions brought under this section shall be made and brought in the manner provided for the payment of taxes under protest and actions for refund of that payment in Article 2 (commencing with </w:t>
      </w:r>
      <w:bookmarkStart w:id="68" w:name="dabmci_05bb4c6a91f84f939ff5f6c34fdbcdaa"/>
      <w:r w:rsidRPr="00306A22">
        <w:rPr>
          <w:color w:val="000000" w:themeColor="text1"/>
          <w:szCs w:val="26"/>
        </w:rPr>
        <w:t>Section 5140</w:t>
      </w:r>
      <w:bookmarkEnd w:id="68"/>
      <w:r w:rsidRPr="00306A22">
        <w:rPr>
          <w:color w:val="000000" w:themeColor="text1"/>
          <w:szCs w:val="26"/>
        </w:rPr>
        <w:t>) of Chapter 5 of Part 9 of Division 1 of the Revenue and Taxation Code, as applicable.”</w:t>
      </w:r>
    </w:p>
    <w:p w:rsidR="008015E2" w:rsidP="00AD1437" w14:paraId="27999C59" w14:textId="4C8DEECD">
      <w:pPr>
        <w:spacing w:line="480" w:lineRule="atLeast"/>
        <w:ind w:firstLine="1440"/>
        <w:rPr>
          <w:color w:val="000000" w:themeColor="text1"/>
          <w:szCs w:val="26"/>
        </w:rPr>
      </w:pPr>
      <w:r w:rsidRPr="00306A22">
        <w:rPr>
          <w:color w:val="000000" w:themeColor="text1"/>
          <w:szCs w:val="26"/>
        </w:rPr>
        <w:t xml:space="preserve">California courts have not yet addressed whether this statutory language amounts to a “pay first” requirement.  However, in </w:t>
      </w:r>
      <w:bookmarkStart w:id="69" w:name="dabmci_f2eb5f1a3b6f432088b3c1c9821e2d93"/>
      <w:r w:rsidRPr="00306A22">
        <w:rPr>
          <w:i/>
          <w:iCs/>
          <w:color w:val="000000" w:themeColor="text1"/>
          <w:szCs w:val="26"/>
        </w:rPr>
        <w:t xml:space="preserve">Los Altos Golf &amp; Country Club v. County of Santa Clara </w:t>
      </w:r>
      <w:r w:rsidRPr="00306A22">
        <w:rPr>
          <w:color w:val="000000" w:themeColor="text1"/>
          <w:szCs w:val="26"/>
        </w:rPr>
        <w:t>(2008) 165 Cal.App.4th 198 (</w:t>
      </w:r>
      <w:r w:rsidRPr="00306A22">
        <w:rPr>
          <w:i/>
          <w:iCs/>
          <w:color w:val="000000" w:themeColor="text1"/>
          <w:szCs w:val="26"/>
        </w:rPr>
        <w:t>Los Altos</w:t>
      </w:r>
      <w:r w:rsidRPr="00306A22">
        <w:rPr>
          <w:color w:val="000000" w:themeColor="text1"/>
          <w:szCs w:val="26"/>
        </w:rPr>
        <w:t>)</w:t>
      </w:r>
      <w:bookmarkEnd w:id="69"/>
      <w:r w:rsidRPr="00306A22">
        <w:rPr>
          <w:color w:val="000000" w:themeColor="text1"/>
          <w:szCs w:val="26"/>
        </w:rPr>
        <w:t xml:space="preserve">, the court interpreted a nearly identical statutory provision, Health </w:t>
      </w:r>
      <w:r w:rsidR="002332BC">
        <w:rPr>
          <w:color w:val="000000" w:themeColor="text1"/>
          <w:szCs w:val="26"/>
        </w:rPr>
        <w:t>and</w:t>
      </w:r>
      <w:r w:rsidRPr="00306A22">
        <w:rPr>
          <w:color w:val="000000" w:themeColor="text1"/>
          <w:szCs w:val="26"/>
        </w:rPr>
        <w:t xml:space="preserve"> Safety Code section 5472</w:t>
      </w:r>
      <w:r w:rsidR="002332BC">
        <w:rPr>
          <w:color w:val="000000" w:themeColor="text1"/>
          <w:szCs w:val="26"/>
        </w:rPr>
        <w:t>,</w:t>
      </w:r>
      <w:r>
        <w:rPr>
          <w:rStyle w:val="FootnoteReference"/>
          <w:color w:val="000000" w:themeColor="text1"/>
          <w:szCs w:val="26"/>
        </w:rPr>
        <w:footnoteReference w:id="20"/>
      </w:r>
      <w:r w:rsidRPr="00306A22">
        <w:rPr>
          <w:color w:val="000000" w:themeColor="text1"/>
          <w:szCs w:val="26"/>
        </w:rPr>
        <w:t xml:space="preserve"> and concluded it meant that “payment ‘under protest’ was necessary</w:t>
      </w:r>
      <w:r w:rsidR="003B7CEB">
        <w:rPr>
          <w:color w:val="000000" w:themeColor="text1"/>
          <w:szCs w:val="26"/>
        </w:rPr>
        <w:t xml:space="preserve"> </w:t>
      </w:r>
      <w:r w:rsidRPr="00306A22">
        <w:rPr>
          <w:color w:val="000000" w:themeColor="text1"/>
          <w:szCs w:val="26"/>
        </w:rPr>
        <w:t>before pursuing a claim for refund of fees asserted to be invalid.”  (</w:t>
      </w:r>
      <w:bookmarkStart w:id="70" w:name="dabmci_3e0a598f13fd46738011ef5cc8ea57d8"/>
      <w:r w:rsidRPr="00306A22">
        <w:rPr>
          <w:i/>
          <w:iCs/>
          <w:color w:val="000000" w:themeColor="text1"/>
          <w:szCs w:val="26"/>
        </w:rPr>
        <w:t xml:space="preserve">Los Altos, </w:t>
      </w:r>
      <w:r w:rsidRPr="00306A22">
        <w:rPr>
          <w:color w:val="000000" w:themeColor="text1"/>
          <w:szCs w:val="26"/>
        </w:rPr>
        <w:t>at pp. 201, 206</w:t>
      </w:r>
      <w:bookmarkEnd w:id="70"/>
      <w:r w:rsidRPr="00306A22">
        <w:rPr>
          <w:color w:val="000000" w:themeColor="text1"/>
          <w:szCs w:val="26"/>
        </w:rPr>
        <w:t xml:space="preserve">.)  </w:t>
      </w:r>
      <w:r w:rsidR="00006675">
        <w:rPr>
          <w:color w:val="000000" w:themeColor="text1"/>
          <w:szCs w:val="26"/>
        </w:rPr>
        <w:t>B</w:t>
      </w:r>
      <w:r w:rsidRPr="00306A22">
        <w:rPr>
          <w:color w:val="000000" w:themeColor="text1"/>
          <w:szCs w:val="26"/>
        </w:rPr>
        <w:t>ecause the plaintiffs</w:t>
      </w:r>
      <w:r w:rsidR="00006675">
        <w:rPr>
          <w:color w:val="000000" w:themeColor="text1"/>
          <w:szCs w:val="26"/>
        </w:rPr>
        <w:t xml:space="preserve"> in that case</w:t>
      </w:r>
      <w:r w:rsidRPr="00306A22">
        <w:rPr>
          <w:color w:val="000000" w:themeColor="text1"/>
          <w:szCs w:val="26"/>
        </w:rPr>
        <w:t xml:space="preserve"> had not paid the challenged sewer assessments before filing their lawsuit, their “action was foreclosed by their failure to follow the prescribed procedures”</w:t>
      </w:r>
      <w:r w:rsidR="00F2290D">
        <w:rPr>
          <w:color w:val="000000" w:themeColor="text1"/>
          <w:szCs w:val="26"/>
        </w:rPr>
        <w:t>;</w:t>
      </w:r>
      <w:r w:rsidRPr="00306A22">
        <w:rPr>
          <w:color w:val="000000" w:themeColor="text1"/>
          <w:szCs w:val="26"/>
        </w:rPr>
        <w:t xml:space="preserve"> the lower court therefore “did not err in sustaining [the city’s] demurrer without leave to amend.”  (</w:t>
      </w:r>
      <w:bookmarkStart w:id="71" w:name="dabmci_16bcfbaec394405599585aebf54b5627"/>
      <w:r w:rsidRPr="00306A22">
        <w:rPr>
          <w:i/>
          <w:iCs/>
          <w:color w:val="000000" w:themeColor="text1"/>
          <w:szCs w:val="26"/>
        </w:rPr>
        <w:t>Id.</w:t>
      </w:r>
      <w:r w:rsidRPr="00306A22">
        <w:rPr>
          <w:color w:val="000000" w:themeColor="text1"/>
          <w:szCs w:val="26"/>
        </w:rPr>
        <w:t xml:space="preserve"> at p. 207</w:t>
      </w:r>
      <w:bookmarkEnd w:id="71"/>
      <w:r w:rsidRPr="00306A22">
        <w:rPr>
          <w:color w:val="000000" w:themeColor="text1"/>
          <w:szCs w:val="26"/>
        </w:rPr>
        <w:t xml:space="preserve">.)  </w:t>
      </w:r>
    </w:p>
    <w:p w:rsidR="00AD1437" w:rsidP="002332BC" w14:paraId="09969DAA" w14:textId="477D30A9">
      <w:pPr>
        <w:spacing w:line="480" w:lineRule="atLeast"/>
        <w:ind w:firstLine="1440"/>
        <w:rPr>
          <w:color w:val="000000" w:themeColor="text1"/>
          <w:szCs w:val="26"/>
        </w:rPr>
      </w:pPr>
      <w:r>
        <w:rPr>
          <w:color w:val="000000" w:themeColor="text1"/>
          <w:szCs w:val="26"/>
        </w:rPr>
        <w:t xml:space="preserve">In reaching this conclusion, the </w:t>
      </w:r>
      <w:r>
        <w:rPr>
          <w:i/>
          <w:iCs/>
          <w:color w:val="000000" w:themeColor="text1"/>
          <w:szCs w:val="26"/>
        </w:rPr>
        <w:t xml:space="preserve">Los Altos </w:t>
      </w:r>
      <w:r w:rsidRPr="008015E2">
        <w:rPr>
          <w:color w:val="000000" w:themeColor="text1"/>
          <w:szCs w:val="26"/>
        </w:rPr>
        <w:t>court</w:t>
      </w:r>
      <w:r w:rsidRPr="00306A22">
        <w:rPr>
          <w:color w:val="000000" w:themeColor="text1"/>
          <w:szCs w:val="26"/>
        </w:rPr>
        <w:t xml:space="preserve"> rejected the argument that </w:t>
      </w:r>
      <w:r w:rsidR="002332BC">
        <w:rPr>
          <w:color w:val="000000" w:themeColor="text1"/>
          <w:szCs w:val="26"/>
        </w:rPr>
        <w:t>“</w:t>
      </w:r>
      <w:r w:rsidRPr="00306A22">
        <w:rPr>
          <w:color w:val="000000" w:themeColor="text1"/>
          <w:szCs w:val="26"/>
        </w:rPr>
        <w:t xml:space="preserve">the payment-under-protest language of </w:t>
      </w:r>
      <w:r w:rsidR="002332BC">
        <w:rPr>
          <w:color w:val="000000" w:themeColor="text1"/>
          <w:szCs w:val="26"/>
        </w:rPr>
        <w:t xml:space="preserve">[Health and Safety Code] </w:t>
      </w:r>
      <w:r w:rsidRPr="00306A22">
        <w:rPr>
          <w:color w:val="000000" w:themeColor="text1"/>
          <w:szCs w:val="26"/>
        </w:rPr>
        <w:t>section 5472</w:t>
      </w:r>
      <w:r w:rsidR="002332BC">
        <w:rPr>
          <w:color w:val="000000" w:themeColor="text1"/>
          <w:szCs w:val="26"/>
        </w:rPr>
        <w:t>—‘</w:t>
      </w:r>
      <w:r w:rsidRPr="00306A22">
        <w:rPr>
          <w:color w:val="000000" w:themeColor="text1"/>
          <w:szCs w:val="26"/>
        </w:rPr>
        <w:t xml:space="preserve">any person </w:t>
      </w:r>
      <w:r w:rsidRPr="002332BC">
        <w:rPr>
          <w:i/>
          <w:iCs/>
          <w:color w:val="000000" w:themeColor="text1"/>
          <w:szCs w:val="26"/>
        </w:rPr>
        <w:t>may</w:t>
      </w:r>
      <w:r w:rsidRPr="00306A22">
        <w:rPr>
          <w:color w:val="000000" w:themeColor="text1"/>
          <w:szCs w:val="26"/>
        </w:rPr>
        <w:t xml:space="preserve"> pay . . . under protest</w:t>
      </w:r>
      <w:r w:rsidR="002332BC">
        <w:rPr>
          <w:color w:val="000000" w:themeColor="text1"/>
          <w:szCs w:val="26"/>
        </w:rPr>
        <w:t>’—[</w:t>
      </w:r>
      <w:r w:rsidRPr="00306A22">
        <w:rPr>
          <w:color w:val="000000" w:themeColor="text1"/>
          <w:szCs w:val="26"/>
        </w:rPr>
        <w:t>w</w:t>
      </w:r>
      <w:r w:rsidR="002332BC">
        <w:rPr>
          <w:color w:val="000000" w:themeColor="text1"/>
          <w:szCs w:val="26"/>
        </w:rPr>
        <w:t>]</w:t>
      </w:r>
      <w:r w:rsidRPr="00306A22">
        <w:rPr>
          <w:color w:val="000000" w:themeColor="text1"/>
          <w:szCs w:val="26"/>
        </w:rPr>
        <w:t>as permissive</w:t>
      </w:r>
      <w:r w:rsidR="002332BC">
        <w:rPr>
          <w:color w:val="000000" w:themeColor="text1"/>
          <w:szCs w:val="26"/>
        </w:rPr>
        <w:t>,</w:t>
      </w:r>
      <w:r w:rsidRPr="00306A22">
        <w:rPr>
          <w:color w:val="000000" w:themeColor="text1"/>
          <w:szCs w:val="26"/>
        </w:rPr>
        <w:t xml:space="preserve"> </w:t>
      </w:r>
      <w:r w:rsidR="002332BC">
        <w:rPr>
          <w:color w:val="000000" w:themeColor="text1"/>
          <w:szCs w:val="26"/>
        </w:rPr>
        <w:t>[</w:t>
      </w:r>
      <w:r w:rsidRPr="00306A22">
        <w:rPr>
          <w:color w:val="000000" w:themeColor="text1"/>
          <w:szCs w:val="26"/>
        </w:rPr>
        <w:t>rather than</w:t>
      </w:r>
      <w:r w:rsidR="002332BC">
        <w:rPr>
          <w:color w:val="000000" w:themeColor="text1"/>
          <w:szCs w:val="26"/>
        </w:rPr>
        <w:t>]</w:t>
      </w:r>
      <w:r w:rsidRPr="00306A22">
        <w:rPr>
          <w:color w:val="000000" w:themeColor="text1"/>
          <w:szCs w:val="26"/>
        </w:rPr>
        <w:t xml:space="preserve"> mandatory.</w:t>
      </w:r>
      <w:r w:rsidR="002332BC">
        <w:rPr>
          <w:color w:val="000000" w:themeColor="text1"/>
          <w:szCs w:val="26"/>
        </w:rPr>
        <w:t>”</w:t>
      </w:r>
      <w:r w:rsidRPr="00306A22">
        <w:rPr>
          <w:color w:val="000000" w:themeColor="text1"/>
          <w:szCs w:val="26"/>
        </w:rPr>
        <w:t xml:space="preserve">  (</w:t>
      </w:r>
      <w:bookmarkStart w:id="72" w:name="dabmci_e7746f060f6249ccb4c700e1b2968eab"/>
      <w:r w:rsidRPr="00306A22">
        <w:rPr>
          <w:i/>
          <w:iCs/>
          <w:color w:val="000000" w:themeColor="text1"/>
          <w:szCs w:val="26"/>
        </w:rPr>
        <w:t>Los</w:t>
      </w:r>
      <w:r w:rsidR="002332BC">
        <w:rPr>
          <w:i/>
          <w:iCs/>
          <w:color w:val="000000" w:themeColor="text1"/>
          <w:szCs w:val="26"/>
        </w:rPr>
        <w:t> </w:t>
      </w:r>
      <w:r w:rsidRPr="00306A22">
        <w:rPr>
          <w:i/>
          <w:iCs/>
          <w:color w:val="000000" w:themeColor="text1"/>
          <w:szCs w:val="26"/>
        </w:rPr>
        <w:t xml:space="preserve">Altos, </w:t>
      </w:r>
      <w:r>
        <w:rPr>
          <w:i/>
          <w:iCs/>
          <w:color w:val="000000" w:themeColor="text1"/>
          <w:szCs w:val="26"/>
        </w:rPr>
        <w:t xml:space="preserve">supra, </w:t>
      </w:r>
      <w:r w:rsidRPr="00306A22">
        <w:rPr>
          <w:color w:val="000000" w:themeColor="text1"/>
          <w:szCs w:val="26"/>
        </w:rPr>
        <w:t>165 Cal.App.4th</w:t>
      </w:r>
      <w:r w:rsidRPr="00306A22">
        <w:rPr>
          <w:i/>
          <w:iCs/>
          <w:color w:val="000000" w:themeColor="text1"/>
          <w:szCs w:val="26"/>
        </w:rPr>
        <w:t xml:space="preserve"> </w:t>
      </w:r>
      <w:r w:rsidRPr="00306A22">
        <w:rPr>
          <w:color w:val="000000" w:themeColor="text1"/>
          <w:szCs w:val="26"/>
        </w:rPr>
        <w:t>at</w:t>
      </w:r>
      <w:r>
        <w:rPr>
          <w:color w:val="000000" w:themeColor="text1"/>
          <w:szCs w:val="26"/>
        </w:rPr>
        <w:t xml:space="preserve"> p.</w:t>
      </w:r>
      <w:r w:rsidR="007D36D5">
        <w:rPr>
          <w:color w:val="000000" w:themeColor="text1"/>
          <w:szCs w:val="26"/>
        </w:rPr>
        <w:t> </w:t>
      </w:r>
      <w:r w:rsidRPr="00306A22">
        <w:rPr>
          <w:color w:val="000000" w:themeColor="text1"/>
          <w:szCs w:val="26"/>
        </w:rPr>
        <w:t>206</w:t>
      </w:r>
      <w:bookmarkEnd w:id="72"/>
      <w:r w:rsidRPr="00306A22">
        <w:rPr>
          <w:color w:val="000000" w:themeColor="text1"/>
          <w:szCs w:val="26"/>
        </w:rPr>
        <w:t xml:space="preserve">.)  </w:t>
      </w:r>
      <w:r w:rsidRPr="00306A22">
        <w:rPr>
          <w:szCs w:val="26"/>
        </w:rPr>
        <w:t xml:space="preserve">“It is the challenge itself that is optional, not the method of raising that challenge.  Of course users of sewer services </w:t>
      </w:r>
      <w:r w:rsidRPr="002332BC">
        <w:rPr>
          <w:i/>
          <w:iCs/>
          <w:szCs w:val="26"/>
        </w:rPr>
        <w:t>may</w:t>
      </w:r>
      <w:r w:rsidRPr="00306A22">
        <w:rPr>
          <w:szCs w:val="26"/>
        </w:rPr>
        <w:t xml:space="preserve"> challenge excessive fees if they wish to do so; but the manner in which they assert that challenge is prescribed by the statute.”  (</w:t>
      </w:r>
      <w:bookmarkStart w:id="73" w:name="dabmci_187dafaf8c0b4907a78c5bc7736efcf6"/>
      <w:r w:rsidRPr="00306A22">
        <w:rPr>
          <w:i/>
          <w:iCs/>
          <w:szCs w:val="26"/>
        </w:rPr>
        <w:t>Ibid.</w:t>
      </w:r>
      <w:bookmarkEnd w:id="73"/>
      <w:r w:rsidRPr="00306A22" w:rsidR="002640FB">
        <w:rPr>
          <w:color w:val="000000" w:themeColor="text1"/>
          <w:szCs w:val="26"/>
        </w:rPr>
        <w:t xml:space="preserve">; see </w:t>
      </w:r>
      <w:bookmarkStart w:id="74" w:name="dabmci_3f24bea3e4be4fba9e81b27b6dbb570f"/>
      <w:r w:rsidR="0002330B">
        <w:rPr>
          <w:color w:val="000000" w:themeColor="text1"/>
          <w:szCs w:val="26"/>
        </w:rPr>
        <w:t xml:space="preserve">also </w:t>
      </w:r>
      <w:r w:rsidRPr="00306A22" w:rsidR="002640FB">
        <w:rPr>
          <w:i/>
          <w:iCs/>
          <w:color w:val="000000" w:themeColor="text1"/>
          <w:szCs w:val="26"/>
        </w:rPr>
        <w:t xml:space="preserve">Padilla v. City of San Jose </w:t>
      </w:r>
      <w:r w:rsidRPr="00306A22" w:rsidR="002640FB">
        <w:rPr>
          <w:color w:val="000000" w:themeColor="text1"/>
          <w:szCs w:val="26"/>
        </w:rPr>
        <w:t>(2022) 78</w:t>
      </w:r>
      <w:r w:rsidR="002332BC">
        <w:rPr>
          <w:color w:val="000000" w:themeColor="text1"/>
          <w:szCs w:val="26"/>
        </w:rPr>
        <w:t> </w:t>
      </w:r>
      <w:r w:rsidRPr="00306A22" w:rsidR="002640FB">
        <w:rPr>
          <w:color w:val="000000" w:themeColor="text1"/>
          <w:szCs w:val="26"/>
        </w:rPr>
        <w:t>Cal.App.5th 1073, 1080</w:t>
      </w:r>
      <w:bookmarkEnd w:id="74"/>
      <w:r w:rsidRPr="00306A22" w:rsidR="002640FB">
        <w:rPr>
          <w:color w:val="000000" w:themeColor="text1"/>
          <w:szCs w:val="26"/>
        </w:rPr>
        <w:t xml:space="preserve"> [relying on </w:t>
      </w:r>
      <w:bookmarkStart w:id="75" w:name="dabmci_d7e2de1beb614feb845a96e3d1220f1e"/>
      <w:r w:rsidRPr="00306A22" w:rsidR="002640FB">
        <w:rPr>
          <w:i/>
          <w:iCs/>
          <w:color w:val="000000" w:themeColor="text1"/>
          <w:szCs w:val="26"/>
        </w:rPr>
        <w:t>Los Altos</w:t>
      </w:r>
      <w:bookmarkEnd w:id="75"/>
      <w:r w:rsidRPr="00306A22" w:rsidR="002640FB">
        <w:rPr>
          <w:i/>
          <w:iCs/>
          <w:color w:val="000000" w:themeColor="text1"/>
          <w:szCs w:val="26"/>
        </w:rPr>
        <w:t xml:space="preserve"> </w:t>
      </w:r>
      <w:r w:rsidRPr="00306A22" w:rsidR="002640FB">
        <w:rPr>
          <w:color w:val="000000" w:themeColor="text1"/>
          <w:szCs w:val="26"/>
        </w:rPr>
        <w:t xml:space="preserve">and </w:t>
      </w:r>
      <w:r w:rsidR="002332BC">
        <w:rPr>
          <w:color w:val="000000" w:themeColor="text1"/>
          <w:szCs w:val="26"/>
        </w:rPr>
        <w:t xml:space="preserve">Health &amp; Saf. Code, </w:t>
      </w:r>
      <w:r w:rsidRPr="00306A22" w:rsidR="002640FB">
        <w:rPr>
          <w:color w:val="000000" w:themeColor="text1"/>
          <w:szCs w:val="26"/>
        </w:rPr>
        <w:t>§ 5472 to conclude “plaintiffs were required to pay [the challenged garbage collection fees] under protest before suing for a refund”]</w:t>
      </w:r>
      <w:r w:rsidR="00E857B5">
        <w:rPr>
          <w:color w:val="000000" w:themeColor="text1"/>
          <w:szCs w:val="26"/>
        </w:rPr>
        <w:t>.</w:t>
      </w:r>
      <w:r w:rsidRPr="00306A22">
        <w:rPr>
          <w:szCs w:val="26"/>
        </w:rPr>
        <w:t xml:space="preserve">) </w:t>
      </w:r>
      <w:r w:rsidRPr="00306A22">
        <w:rPr>
          <w:color w:val="000000" w:themeColor="text1"/>
          <w:szCs w:val="26"/>
        </w:rPr>
        <w:t xml:space="preserve"> </w:t>
      </w:r>
    </w:p>
    <w:p w:rsidR="00BF7C48" w:rsidP="008A6A92" w14:paraId="52D1F514" w14:textId="6216EF57">
      <w:pPr>
        <w:spacing w:line="480" w:lineRule="atLeast"/>
        <w:ind w:firstLine="1440"/>
        <w:rPr>
          <w:szCs w:val="26"/>
        </w:rPr>
      </w:pPr>
      <w:r w:rsidRPr="00533397">
        <w:rPr>
          <w:szCs w:val="26"/>
        </w:rPr>
        <w:t xml:space="preserve">We presume the Legislature was aware of </w:t>
      </w:r>
      <w:r w:rsidR="002332BC">
        <w:rPr>
          <w:szCs w:val="26"/>
        </w:rPr>
        <w:t xml:space="preserve">Health and Safety Code </w:t>
      </w:r>
      <w:r w:rsidRPr="00533397">
        <w:rPr>
          <w:szCs w:val="26"/>
        </w:rPr>
        <w:t>section</w:t>
      </w:r>
      <w:r w:rsidR="002332BC">
        <w:rPr>
          <w:szCs w:val="26"/>
        </w:rPr>
        <w:t> </w:t>
      </w:r>
      <w:r w:rsidRPr="00533397">
        <w:rPr>
          <w:szCs w:val="26"/>
        </w:rPr>
        <w:t xml:space="preserve">5472 and the 2008 </w:t>
      </w:r>
      <w:r w:rsidRPr="00533397">
        <w:rPr>
          <w:i/>
          <w:iCs/>
          <w:szCs w:val="26"/>
        </w:rPr>
        <w:t xml:space="preserve">Los </w:t>
      </w:r>
      <w:r w:rsidR="00E020EB">
        <w:rPr>
          <w:i/>
          <w:iCs/>
          <w:szCs w:val="26"/>
        </w:rPr>
        <w:t>Altos</w:t>
      </w:r>
      <w:r w:rsidRPr="00533397">
        <w:rPr>
          <w:i/>
          <w:iCs/>
          <w:szCs w:val="26"/>
        </w:rPr>
        <w:t xml:space="preserve"> </w:t>
      </w:r>
      <w:r w:rsidRPr="00533397">
        <w:rPr>
          <w:szCs w:val="26"/>
        </w:rPr>
        <w:t xml:space="preserve">decision when it enacted </w:t>
      </w:r>
      <w:r w:rsidR="0060621C">
        <w:rPr>
          <w:szCs w:val="26"/>
        </w:rPr>
        <w:t xml:space="preserve">Water Code </w:t>
      </w:r>
      <w:r w:rsidRPr="00533397">
        <w:rPr>
          <w:szCs w:val="26"/>
        </w:rPr>
        <w:t>section</w:t>
      </w:r>
      <w:r w:rsidR="0060621C">
        <w:rPr>
          <w:szCs w:val="26"/>
        </w:rPr>
        <w:t> </w:t>
      </w:r>
      <w:r w:rsidRPr="00533397">
        <w:rPr>
          <w:szCs w:val="26"/>
        </w:rPr>
        <w:t>10726.6(d) in 2014</w:t>
      </w:r>
      <w:r>
        <w:rPr>
          <w:szCs w:val="26"/>
        </w:rPr>
        <w:t xml:space="preserve">.  </w:t>
      </w:r>
      <w:r w:rsidR="002C5555">
        <w:rPr>
          <w:szCs w:val="26"/>
        </w:rPr>
        <w:t>G</w:t>
      </w:r>
      <w:r w:rsidRPr="00533397">
        <w:rPr>
          <w:szCs w:val="26"/>
        </w:rPr>
        <w:t xml:space="preserve">iven </w:t>
      </w:r>
      <w:r>
        <w:rPr>
          <w:szCs w:val="26"/>
        </w:rPr>
        <w:t>the two statutes use nearly identical language</w:t>
      </w:r>
      <w:r w:rsidRPr="00533397">
        <w:rPr>
          <w:szCs w:val="26"/>
        </w:rPr>
        <w:t xml:space="preserve">, we </w:t>
      </w:r>
      <w:r>
        <w:rPr>
          <w:szCs w:val="26"/>
        </w:rPr>
        <w:t xml:space="preserve">further </w:t>
      </w:r>
      <w:r w:rsidRPr="00533397">
        <w:rPr>
          <w:szCs w:val="26"/>
        </w:rPr>
        <w:t xml:space="preserve">presume the Legislature intended that the </w:t>
      </w:r>
      <w:r w:rsidRPr="00533397">
        <w:rPr>
          <w:i/>
          <w:iCs/>
          <w:szCs w:val="26"/>
        </w:rPr>
        <w:t xml:space="preserve">Los </w:t>
      </w:r>
      <w:r w:rsidR="00E020EB">
        <w:rPr>
          <w:i/>
          <w:iCs/>
          <w:szCs w:val="26"/>
        </w:rPr>
        <w:t>Altos</w:t>
      </w:r>
      <w:r w:rsidRPr="00533397">
        <w:rPr>
          <w:szCs w:val="26"/>
        </w:rPr>
        <w:t xml:space="preserve"> </w:t>
      </w:r>
      <w:r w:rsidR="00442213">
        <w:rPr>
          <w:szCs w:val="26"/>
        </w:rPr>
        <w:t xml:space="preserve">court’s </w:t>
      </w:r>
      <w:r w:rsidRPr="00533397">
        <w:rPr>
          <w:szCs w:val="26"/>
        </w:rPr>
        <w:t>interpretation</w:t>
      </w:r>
      <w:r w:rsidR="00442213">
        <w:rPr>
          <w:szCs w:val="26"/>
        </w:rPr>
        <w:t xml:space="preserve"> of section 5472</w:t>
      </w:r>
      <w:r w:rsidRPr="00533397">
        <w:rPr>
          <w:szCs w:val="26"/>
        </w:rPr>
        <w:t xml:space="preserve"> </w:t>
      </w:r>
      <w:r w:rsidR="007D36D5">
        <w:rPr>
          <w:szCs w:val="26"/>
        </w:rPr>
        <w:t xml:space="preserve">should </w:t>
      </w:r>
      <w:r w:rsidRPr="00533397">
        <w:rPr>
          <w:szCs w:val="26"/>
        </w:rPr>
        <w:t>apply to section 10726.6(d).  (See</w:t>
      </w:r>
      <w:r w:rsidRPr="00533397">
        <w:rPr>
          <w:i/>
          <w:iCs/>
          <w:szCs w:val="26"/>
        </w:rPr>
        <w:t xml:space="preserve"> </w:t>
      </w:r>
      <w:bookmarkStart w:id="76" w:name="dabmci_f06e1940b017490f936b7debc499356c"/>
      <w:r w:rsidRPr="00533397">
        <w:rPr>
          <w:i/>
          <w:iCs/>
          <w:szCs w:val="26"/>
        </w:rPr>
        <w:t>Presbyterian Camp, supra,</w:t>
      </w:r>
      <w:r w:rsidRPr="00533397">
        <w:rPr>
          <w:szCs w:val="26"/>
        </w:rPr>
        <w:t xml:space="preserve"> 42</w:t>
      </w:r>
      <w:r w:rsidR="0060621C">
        <w:rPr>
          <w:szCs w:val="26"/>
        </w:rPr>
        <w:t> </w:t>
      </w:r>
      <w:r w:rsidRPr="00533397">
        <w:rPr>
          <w:szCs w:val="26"/>
        </w:rPr>
        <w:t>Cal.App.5th at p. 154</w:t>
      </w:r>
      <w:bookmarkEnd w:id="76"/>
      <w:r w:rsidR="008A6A92">
        <w:rPr>
          <w:szCs w:val="26"/>
        </w:rPr>
        <w:t xml:space="preserve"> </w:t>
      </w:r>
      <w:r w:rsidR="00357D94">
        <w:rPr>
          <w:szCs w:val="26"/>
        </w:rPr>
        <w:t>[w</w:t>
      </w:r>
      <w:r w:rsidRPr="00357D94" w:rsidR="00357D94">
        <w:rPr>
          <w:szCs w:val="26"/>
        </w:rPr>
        <w:t xml:space="preserve">e presume the Legislature was aware of existing </w:t>
      </w:r>
      <w:r w:rsidR="00357D94">
        <w:rPr>
          <w:szCs w:val="26"/>
        </w:rPr>
        <w:t xml:space="preserve">laws </w:t>
      </w:r>
      <w:r w:rsidR="008A6A92">
        <w:rPr>
          <w:szCs w:val="26"/>
        </w:rPr>
        <w:t xml:space="preserve">and their judicial interpretation </w:t>
      </w:r>
      <w:r w:rsidR="00357D94">
        <w:rPr>
          <w:szCs w:val="26"/>
        </w:rPr>
        <w:t xml:space="preserve">when enacting a statute, </w:t>
      </w:r>
      <w:r w:rsidR="008A6A92">
        <w:rPr>
          <w:szCs w:val="26"/>
        </w:rPr>
        <w:t>and that the Legislature</w:t>
      </w:r>
      <w:r w:rsidRPr="00357D94" w:rsidR="00357D94">
        <w:rPr>
          <w:szCs w:val="26"/>
        </w:rPr>
        <w:t xml:space="preserve"> intended the same interpretation apply to laws with substantially similar languag</w:t>
      </w:r>
      <w:r w:rsidR="008A6A92">
        <w:rPr>
          <w:szCs w:val="26"/>
        </w:rPr>
        <w:t>e]</w:t>
      </w:r>
      <w:r w:rsidRPr="00533397">
        <w:rPr>
          <w:szCs w:val="26"/>
        </w:rPr>
        <w:t>.)</w:t>
      </w:r>
      <w:r>
        <w:rPr>
          <w:szCs w:val="26"/>
        </w:rPr>
        <w:t xml:space="preserve">  </w:t>
      </w:r>
    </w:p>
    <w:p w:rsidR="00AD1437" w:rsidRPr="00306A22" w:rsidP="00BB482A" w14:paraId="722B4225" w14:textId="2D4D7AD0">
      <w:pPr>
        <w:spacing w:line="480" w:lineRule="atLeast"/>
        <w:ind w:firstLine="1440"/>
        <w:rPr>
          <w:color w:val="000000" w:themeColor="text1"/>
          <w:szCs w:val="26"/>
        </w:rPr>
      </w:pPr>
      <w:r>
        <w:rPr>
          <w:szCs w:val="26"/>
        </w:rPr>
        <w:t xml:space="preserve">We therefore conclude </w:t>
      </w:r>
      <w:r w:rsidRPr="00306A22">
        <w:rPr>
          <w:color w:val="000000" w:themeColor="text1"/>
          <w:szCs w:val="26"/>
        </w:rPr>
        <w:t>that section 10726.6(d)</w:t>
      </w:r>
      <w:r w:rsidR="00F24E5A">
        <w:rPr>
          <w:color w:val="000000" w:themeColor="text1"/>
          <w:szCs w:val="26"/>
        </w:rPr>
        <w:t xml:space="preserve"> of SGMA</w:t>
      </w:r>
      <w:r w:rsidRPr="00306A22">
        <w:rPr>
          <w:color w:val="000000" w:themeColor="text1"/>
          <w:szCs w:val="26"/>
        </w:rPr>
        <w:t xml:space="preserve"> requires a person who seeks to challenge a groundwater fee imposed under SGMA </w:t>
      </w:r>
      <w:r w:rsidR="00F846D8">
        <w:rPr>
          <w:color w:val="000000" w:themeColor="text1"/>
          <w:szCs w:val="26"/>
        </w:rPr>
        <w:t>to</w:t>
      </w:r>
      <w:r w:rsidRPr="00306A22">
        <w:rPr>
          <w:color w:val="000000" w:themeColor="text1"/>
          <w:szCs w:val="26"/>
        </w:rPr>
        <w:t xml:space="preserve"> first pay the fee before bringing an action for a refund.  And</w:t>
      </w:r>
      <w:r w:rsidR="00B87A60">
        <w:rPr>
          <w:color w:val="000000" w:themeColor="text1"/>
          <w:szCs w:val="26"/>
        </w:rPr>
        <w:t>,</w:t>
      </w:r>
      <w:r w:rsidRPr="00306A22">
        <w:rPr>
          <w:color w:val="000000" w:themeColor="text1"/>
          <w:szCs w:val="26"/>
        </w:rPr>
        <w:t xml:space="preserve"> just as in </w:t>
      </w:r>
      <w:bookmarkStart w:id="77" w:name="dabmci_72071660ed074283937b7e3f41b014e0"/>
      <w:r w:rsidRPr="00306A22">
        <w:rPr>
          <w:i/>
          <w:iCs/>
          <w:color w:val="000000" w:themeColor="text1"/>
          <w:szCs w:val="26"/>
        </w:rPr>
        <w:t>Los Altos</w:t>
      </w:r>
      <w:bookmarkEnd w:id="77"/>
      <w:r w:rsidRPr="00306A22">
        <w:rPr>
          <w:color w:val="000000" w:themeColor="text1"/>
          <w:szCs w:val="26"/>
        </w:rPr>
        <w:t>, we conclude the fact that section 10726.6(d) uses the words “</w:t>
      </w:r>
      <w:r w:rsidRPr="00306A22">
        <w:rPr>
          <w:i/>
          <w:iCs/>
          <w:color w:val="000000" w:themeColor="text1"/>
          <w:szCs w:val="26"/>
        </w:rPr>
        <w:t xml:space="preserve">may pay . . . </w:t>
      </w:r>
      <w:r w:rsidRPr="00306A22">
        <w:rPr>
          <w:color w:val="000000" w:themeColor="text1"/>
          <w:szCs w:val="26"/>
        </w:rPr>
        <w:t xml:space="preserve">under protest” does not make compliance optional. </w:t>
      </w:r>
    </w:p>
    <w:p w:rsidR="00AD1437" w:rsidRPr="00306A22" w:rsidP="007D36D5" w14:paraId="009578E9" w14:textId="24CE7F6B">
      <w:pPr>
        <w:keepNext/>
        <w:spacing w:line="480" w:lineRule="atLeast"/>
        <w:ind w:firstLine="720"/>
        <w:rPr>
          <w:i/>
          <w:iCs/>
          <w:szCs w:val="26"/>
        </w:rPr>
      </w:pPr>
      <w:r>
        <w:rPr>
          <w:szCs w:val="26"/>
        </w:rPr>
        <w:t>5</w:t>
      </w:r>
      <w:r w:rsidRPr="00306A22">
        <w:rPr>
          <w:szCs w:val="26"/>
        </w:rPr>
        <w:t>.</w:t>
      </w:r>
      <w:r w:rsidRPr="00306A22">
        <w:rPr>
          <w:szCs w:val="26"/>
        </w:rPr>
        <w:tab/>
      </w:r>
      <w:r w:rsidRPr="00306A22">
        <w:rPr>
          <w:i/>
          <w:iCs/>
          <w:szCs w:val="26"/>
        </w:rPr>
        <w:t>Application of the “Pay First” Rule Here</w:t>
      </w:r>
    </w:p>
    <w:p w:rsidR="005E3500" w:rsidRPr="001F2129" w:rsidP="005E3500" w14:paraId="1EDB7D21" w14:textId="5C10EFEE">
      <w:pPr>
        <w:spacing w:line="480" w:lineRule="atLeast"/>
        <w:ind w:firstLine="1440"/>
        <w:rPr>
          <w:szCs w:val="26"/>
        </w:rPr>
      </w:pPr>
      <w:r>
        <w:rPr>
          <w:color w:val="000000" w:themeColor="text1"/>
          <w:szCs w:val="26"/>
        </w:rPr>
        <w:t>Having concluded t</w:t>
      </w:r>
      <w:r w:rsidRPr="00306A22" w:rsidR="00AD1437">
        <w:rPr>
          <w:color w:val="000000" w:themeColor="text1"/>
          <w:szCs w:val="26"/>
        </w:rPr>
        <w:t>he “pay first” rule</w:t>
      </w:r>
      <w:r w:rsidR="002003FE">
        <w:rPr>
          <w:color w:val="000000" w:themeColor="text1"/>
          <w:szCs w:val="26"/>
        </w:rPr>
        <w:t xml:space="preserve">, enshrined in the </w:t>
      </w:r>
      <w:bookmarkStart w:id="78" w:name="dabmci_e98405d2f934462887e9b64fa590a765"/>
      <w:r w:rsidR="002003FE">
        <w:rPr>
          <w:color w:val="000000" w:themeColor="text1"/>
          <w:szCs w:val="26"/>
        </w:rPr>
        <w:t xml:space="preserve">California Constitution </w:t>
      </w:r>
      <w:r w:rsidR="00205D9F">
        <w:rPr>
          <w:color w:val="000000" w:themeColor="text1"/>
          <w:szCs w:val="26"/>
        </w:rPr>
        <w:t>(</w:t>
      </w:r>
      <w:r w:rsidR="0060621C">
        <w:rPr>
          <w:color w:val="000000" w:themeColor="text1"/>
          <w:szCs w:val="26"/>
        </w:rPr>
        <w:t xml:space="preserve">art. </w:t>
      </w:r>
      <w:r w:rsidR="00B87A60">
        <w:rPr>
          <w:color w:val="000000" w:themeColor="text1"/>
          <w:szCs w:val="26"/>
        </w:rPr>
        <w:t>X</w:t>
      </w:r>
      <w:r w:rsidR="0060621C">
        <w:rPr>
          <w:color w:val="000000" w:themeColor="text1"/>
          <w:szCs w:val="26"/>
        </w:rPr>
        <w:t xml:space="preserve">III, </w:t>
      </w:r>
      <w:r w:rsidR="00205D9F">
        <w:rPr>
          <w:color w:val="000000" w:themeColor="text1"/>
          <w:szCs w:val="26"/>
        </w:rPr>
        <w:t>§</w:t>
      </w:r>
      <w:r w:rsidR="0060621C">
        <w:rPr>
          <w:color w:val="000000" w:themeColor="text1"/>
          <w:szCs w:val="26"/>
        </w:rPr>
        <w:t> </w:t>
      </w:r>
      <w:r w:rsidR="00205D9F">
        <w:rPr>
          <w:color w:val="000000" w:themeColor="text1"/>
          <w:szCs w:val="26"/>
        </w:rPr>
        <w:t>32</w:t>
      </w:r>
      <w:bookmarkEnd w:id="78"/>
      <w:r w:rsidR="00205D9F">
        <w:rPr>
          <w:color w:val="000000" w:themeColor="text1"/>
          <w:szCs w:val="26"/>
        </w:rPr>
        <w:t xml:space="preserve">) </w:t>
      </w:r>
      <w:r w:rsidR="002003FE">
        <w:rPr>
          <w:color w:val="000000" w:themeColor="text1"/>
          <w:szCs w:val="26"/>
        </w:rPr>
        <w:t xml:space="preserve">and </w:t>
      </w:r>
      <w:r w:rsidR="00205D9F">
        <w:rPr>
          <w:color w:val="000000" w:themeColor="text1"/>
          <w:szCs w:val="26"/>
        </w:rPr>
        <w:t>included by statute in SGMA (§ 10726.6(d)),</w:t>
      </w:r>
      <w:r w:rsidRPr="00306A22" w:rsidR="00AD1437">
        <w:rPr>
          <w:color w:val="000000" w:themeColor="text1"/>
          <w:szCs w:val="26"/>
        </w:rPr>
        <w:t xml:space="preserve"> applies to lawsuits challenging fees imposed by a local groundwater sustainability agency under SGMA</w:t>
      </w:r>
      <w:r>
        <w:rPr>
          <w:color w:val="000000" w:themeColor="text1"/>
          <w:szCs w:val="26"/>
        </w:rPr>
        <w:t xml:space="preserve">, we </w:t>
      </w:r>
      <w:r w:rsidR="00324F7F">
        <w:rPr>
          <w:color w:val="000000" w:themeColor="text1"/>
          <w:szCs w:val="26"/>
        </w:rPr>
        <w:t>must determine</w:t>
      </w:r>
      <w:r>
        <w:rPr>
          <w:color w:val="000000" w:themeColor="text1"/>
          <w:szCs w:val="26"/>
        </w:rPr>
        <w:t xml:space="preserve"> the rule’s application here</w:t>
      </w:r>
      <w:r w:rsidR="001E01D8">
        <w:rPr>
          <w:color w:val="000000" w:themeColor="text1"/>
          <w:szCs w:val="26"/>
        </w:rPr>
        <w:t xml:space="preserve">.  Mojave has not paid any portion of the Replenishment Fee.  Accordingly, </w:t>
      </w:r>
      <w:r w:rsidRPr="00306A22">
        <w:rPr>
          <w:color w:val="000000" w:themeColor="text1"/>
          <w:szCs w:val="26"/>
        </w:rPr>
        <w:t>any cause of action</w:t>
      </w:r>
      <w:r w:rsidR="006D48A2">
        <w:rPr>
          <w:color w:val="000000" w:themeColor="text1"/>
          <w:szCs w:val="26"/>
        </w:rPr>
        <w:t xml:space="preserve"> </w:t>
      </w:r>
      <w:r w:rsidRPr="00306A22">
        <w:rPr>
          <w:color w:val="000000" w:themeColor="text1"/>
          <w:szCs w:val="26"/>
        </w:rPr>
        <w:t>that attacks the propriety of the Replenishment Fee or attempts to impede its prompt collection cannot proceed</w:t>
      </w:r>
      <w:r w:rsidR="00445E16">
        <w:rPr>
          <w:color w:val="000000" w:themeColor="text1"/>
          <w:szCs w:val="26"/>
        </w:rPr>
        <w:t>,</w:t>
      </w:r>
      <w:r w:rsidRPr="00306A22">
        <w:rPr>
          <w:color w:val="000000" w:themeColor="text1"/>
          <w:szCs w:val="26"/>
        </w:rPr>
        <w:t xml:space="preserve"> unless </w:t>
      </w:r>
      <w:r w:rsidR="00445E16">
        <w:rPr>
          <w:color w:val="000000" w:themeColor="text1"/>
          <w:szCs w:val="26"/>
        </w:rPr>
        <w:t>an exception to the “pay first” rule applies</w:t>
      </w:r>
      <w:r w:rsidRPr="00306A22">
        <w:rPr>
          <w:color w:val="000000" w:themeColor="text1"/>
          <w:szCs w:val="26"/>
        </w:rPr>
        <w:t>.</w:t>
      </w:r>
    </w:p>
    <w:p w:rsidR="00ED4EF9" w:rsidP="00AD1437" w14:paraId="3CF82082" w14:textId="253DF02B">
      <w:pPr>
        <w:spacing w:line="480" w:lineRule="atLeast"/>
        <w:ind w:firstLine="1440"/>
        <w:rPr>
          <w:color w:val="000000" w:themeColor="text1"/>
          <w:szCs w:val="26"/>
        </w:rPr>
      </w:pPr>
      <w:r>
        <w:rPr>
          <w:color w:val="000000" w:themeColor="text1"/>
          <w:szCs w:val="26"/>
        </w:rPr>
        <w:t xml:space="preserve">We have considered </w:t>
      </w:r>
      <w:r w:rsidR="00B169F9">
        <w:rPr>
          <w:color w:val="000000" w:themeColor="text1"/>
          <w:szCs w:val="26"/>
        </w:rPr>
        <w:t xml:space="preserve">the </w:t>
      </w:r>
      <w:r w:rsidRPr="00306A22" w:rsidR="00AD1437">
        <w:rPr>
          <w:color w:val="000000" w:themeColor="text1"/>
          <w:szCs w:val="26"/>
        </w:rPr>
        <w:t>recognized exceptions to the “pay first” rule</w:t>
      </w:r>
      <w:r w:rsidR="00B169F9">
        <w:rPr>
          <w:color w:val="000000" w:themeColor="text1"/>
          <w:szCs w:val="26"/>
        </w:rPr>
        <w:t>,</w:t>
      </w:r>
      <w:r w:rsidR="006F7496">
        <w:rPr>
          <w:color w:val="000000" w:themeColor="text1"/>
          <w:szCs w:val="26"/>
        </w:rPr>
        <w:t xml:space="preserve"> set out </w:t>
      </w:r>
      <w:r w:rsidR="00ED40BE">
        <w:rPr>
          <w:color w:val="000000" w:themeColor="text1"/>
          <w:szCs w:val="26"/>
        </w:rPr>
        <w:t>above</w:t>
      </w:r>
      <w:r>
        <w:rPr>
          <w:color w:val="000000" w:themeColor="text1"/>
          <w:szCs w:val="26"/>
        </w:rPr>
        <w:t>,</w:t>
      </w:r>
      <w:r w:rsidR="00ED40BE">
        <w:rPr>
          <w:color w:val="000000" w:themeColor="text1"/>
          <w:szCs w:val="26"/>
        </w:rPr>
        <w:t xml:space="preserve"> </w:t>
      </w:r>
      <w:r>
        <w:rPr>
          <w:color w:val="000000" w:themeColor="text1"/>
          <w:szCs w:val="26"/>
        </w:rPr>
        <w:t xml:space="preserve">and conclude none </w:t>
      </w:r>
      <w:r w:rsidRPr="00306A22" w:rsidR="00AD1437">
        <w:rPr>
          <w:color w:val="000000" w:themeColor="text1"/>
          <w:szCs w:val="26"/>
        </w:rPr>
        <w:t>apply here</w:t>
      </w:r>
      <w:r w:rsidR="008B5A4D">
        <w:rPr>
          <w:color w:val="000000" w:themeColor="text1"/>
          <w:szCs w:val="26"/>
        </w:rPr>
        <w:t xml:space="preserve">.  </w:t>
      </w:r>
      <w:r w:rsidRPr="00306A22" w:rsidR="00AD1437">
        <w:rPr>
          <w:color w:val="000000" w:themeColor="text1"/>
          <w:szCs w:val="26"/>
        </w:rPr>
        <w:t xml:space="preserve">Ordinance </w:t>
      </w:r>
      <w:r w:rsidR="00A2383C">
        <w:rPr>
          <w:color w:val="000000" w:themeColor="text1"/>
          <w:szCs w:val="26"/>
        </w:rPr>
        <w:t xml:space="preserve">No. </w:t>
      </w:r>
      <w:r w:rsidRPr="00306A22" w:rsidR="00AD1437">
        <w:rPr>
          <w:color w:val="000000" w:themeColor="text1"/>
          <w:szCs w:val="26"/>
        </w:rPr>
        <w:t>03-20 does not call for criminal penalties for failure to pay</w:t>
      </w:r>
      <w:r w:rsidR="008A7D63">
        <w:rPr>
          <w:color w:val="000000" w:themeColor="text1"/>
          <w:szCs w:val="26"/>
        </w:rPr>
        <w:t xml:space="preserve"> the Replenishment Fee</w:t>
      </w:r>
      <w:r w:rsidR="0054476C">
        <w:rPr>
          <w:color w:val="000000" w:themeColor="text1"/>
          <w:szCs w:val="26"/>
        </w:rPr>
        <w:t xml:space="preserve">.  </w:t>
      </w:r>
      <w:r w:rsidR="00377A85">
        <w:rPr>
          <w:color w:val="000000" w:themeColor="text1"/>
          <w:szCs w:val="26"/>
        </w:rPr>
        <w:t>There is no due process concern from imposing the “pay first” rule because w</w:t>
      </w:r>
      <w:r w:rsidR="00237FBB">
        <w:rPr>
          <w:color w:val="000000" w:themeColor="text1"/>
          <w:szCs w:val="26"/>
        </w:rPr>
        <w:t>ater extractors</w:t>
      </w:r>
      <w:r w:rsidRPr="00306A22" w:rsidR="00AD1437">
        <w:rPr>
          <w:color w:val="000000" w:themeColor="text1"/>
          <w:szCs w:val="26"/>
        </w:rPr>
        <w:t xml:space="preserve"> have an adequate remedy at law in the form of a postpayment refund procedure</w:t>
      </w:r>
      <w:r w:rsidR="00530D53">
        <w:rPr>
          <w:color w:val="000000" w:themeColor="text1"/>
          <w:szCs w:val="26"/>
        </w:rPr>
        <w:t xml:space="preserve"> (s</w:t>
      </w:r>
      <w:r w:rsidRPr="00306A22" w:rsidR="00AD1437">
        <w:rPr>
          <w:color w:val="000000" w:themeColor="text1"/>
          <w:szCs w:val="26"/>
        </w:rPr>
        <w:t>ee § 10726.6(d)</w:t>
      </w:r>
      <w:r w:rsidR="00530D53">
        <w:rPr>
          <w:color w:val="000000" w:themeColor="text1"/>
          <w:szCs w:val="26"/>
        </w:rPr>
        <w:t>)</w:t>
      </w:r>
      <w:r w:rsidR="0054476C">
        <w:rPr>
          <w:color w:val="000000" w:themeColor="text1"/>
          <w:szCs w:val="26"/>
        </w:rPr>
        <w:t>.  A</w:t>
      </w:r>
      <w:r w:rsidRPr="00306A22" w:rsidR="00AD1437">
        <w:rPr>
          <w:color w:val="000000" w:themeColor="text1"/>
          <w:szCs w:val="26"/>
        </w:rPr>
        <w:t>nd given the Basin’s severe overdraft status, as recognized by the Department of Water Resources,</w:t>
      </w:r>
      <w:r w:rsidR="00950C4A">
        <w:rPr>
          <w:color w:val="000000" w:themeColor="text1"/>
          <w:szCs w:val="26"/>
        </w:rPr>
        <w:t xml:space="preserve"> and the fact that SGMA expressly authorizes </w:t>
      </w:r>
      <w:r w:rsidR="00BF1ED3">
        <w:rPr>
          <w:color w:val="000000" w:themeColor="text1"/>
          <w:szCs w:val="26"/>
        </w:rPr>
        <w:t>agencies to impose fees,</w:t>
      </w:r>
      <w:r w:rsidRPr="00306A22" w:rsidR="00AD1437">
        <w:rPr>
          <w:color w:val="000000" w:themeColor="text1"/>
          <w:szCs w:val="26"/>
        </w:rPr>
        <w:t xml:space="preserve"> we cannot say the A</w:t>
      </w:r>
      <w:r w:rsidR="00237FBB">
        <w:rPr>
          <w:color w:val="000000" w:themeColor="text1"/>
          <w:szCs w:val="26"/>
        </w:rPr>
        <w:t xml:space="preserve">uthority </w:t>
      </w:r>
      <w:r w:rsidRPr="00306A22" w:rsidR="00AD1437">
        <w:rPr>
          <w:color w:val="000000" w:themeColor="text1"/>
          <w:szCs w:val="26"/>
        </w:rPr>
        <w:t xml:space="preserve">had no conceivable basis in law or fact for assessing the Replenishment Fee such that </w:t>
      </w:r>
      <w:r w:rsidRPr="00306A22" w:rsidR="00AD1437">
        <w:rPr>
          <w:szCs w:val="26"/>
        </w:rPr>
        <w:t>the ban on prepayment judicial review would violate the federal Constitution</w:t>
      </w:r>
      <w:r w:rsidRPr="00306A22" w:rsidR="00AD1437">
        <w:rPr>
          <w:color w:val="000000" w:themeColor="text1"/>
          <w:szCs w:val="26"/>
        </w:rPr>
        <w:t>.</w:t>
      </w:r>
      <w:r>
        <w:rPr>
          <w:rStyle w:val="FootnoteReference"/>
          <w:color w:val="000000" w:themeColor="text1"/>
          <w:szCs w:val="26"/>
        </w:rPr>
        <w:footnoteReference w:id="21"/>
      </w:r>
      <w:r w:rsidRPr="00306A22" w:rsidR="00AD1437">
        <w:rPr>
          <w:color w:val="000000" w:themeColor="text1"/>
          <w:szCs w:val="26"/>
        </w:rPr>
        <w:t xml:space="preserve">  </w:t>
      </w:r>
    </w:p>
    <w:p w:rsidR="003F19FA" w:rsidP="00AD1437" w14:paraId="233FAD74" w14:textId="10A72403">
      <w:pPr>
        <w:spacing w:line="480" w:lineRule="atLeast"/>
        <w:ind w:firstLine="1440"/>
        <w:rPr>
          <w:color w:val="000000" w:themeColor="text1"/>
          <w:szCs w:val="26"/>
        </w:rPr>
      </w:pPr>
      <w:r>
        <w:rPr>
          <w:color w:val="000000" w:themeColor="text1"/>
          <w:szCs w:val="26"/>
        </w:rPr>
        <w:t>During</w:t>
      </w:r>
      <w:r w:rsidR="0063705F">
        <w:rPr>
          <w:color w:val="000000" w:themeColor="text1"/>
          <w:szCs w:val="26"/>
        </w:rPr>
        <w:t xml:space="preserve"> oral argument, </w:t>
      </w:r>
      <w:r w:rsidR="00B34E71">
        <w:rPr>
          <w:color w:val="000000" w:themeColor="text1"/>
          <w:szCs w:val="26"/>
        </w:rPr>
        <w:t>Mojave</w:t>
      </w:r>
      <w:r w:rsidR="00775303">
        <w:rPr>
          <w:color w:val="000000" w:themeColor="text1"/>
          <w:szCs w:val="26"/>
        </w:rPr>
        <w:t xml:space="preserve"> invite</w:t>
      </w:r>
      <w:r w:rsidR="0063705F">
        <w:rPr>
          <w:color w:val="000000" w:themeColor="text1"/>
          <w:szCs w:val="26"/>
        </w:rPr>
        <w:t>d</w:t>
      </w:r>
      <w:r w:rsidR="00775303">
        <w:rPr>
          <w:color w:val="000000" w:themeColor="text1"/>
          <w:szCs w:val="26"/>
        </w:rPr>
        <w:t xml:space="preserve"> us </w:t>
      </w:r>
      <w:r w:rsidR="00B34E71">
        <w:rPr>
          <w:color w:val="000000" w:themeColor="text1"/>
          <w:szCs w:val="26"/>
        </w:rPr>
        <w:t xml:space="preserve">to create a new </w:t>
      </w:r>
      <w:r w:rsidR="00AD69CF">
        <w:rPr>
          <w:color w:val="000000" w:themeColor="text1"/>
          <w:szCs w:val="26"/>
        </w:rPr>
        <w:t>exception</w:t>
      </w:r>
      <w:r w:rsidRPr="00477D91" w:rsidR="00477D91">
        <w:rPr>
          <w:color w:val="000000" w:themeColor="text1"/>
          <w:szCs w:val="26"/>
        </w:rPr>
        <w:t xml:space="preserve"> to the </w:t>
      </w:r>
      <w:r w:rsidR="00477D91">
        <w:rPr>
          <w:color w:val="000000" w:themeColor="text1"/>
          <w:szCs w:val="26"/>
        </w:rPr>
        <w:t>“</w:t>
      </w:r>
      <w:r w:rsidRPr="00477D91" w:rsidR="00477D91">
        <w:rPr>
          <w:color w:val="000000" w:themeColor="text1"/>
          <w:szCs w:val="26"/>
        </w:rPr>
        <w:t>pay first</w:t>
      </w:r>
      <w:r w:rsidR="00477D91">
        <w:rPr>
          <w:color w:val="000000" w:themeColor="text1"/>
          <w:szCs w:val="26"/>
        </w:rPr>
        <w:t>”</w:t>
      </w:r>
      <w:r w:rsidRPr="00477D91" w:rsidR="00477D91">
        <w:rPr>
          <w:color w:val="000000" w:themeColor="text1"/>
          <w:szCs w:val="26"/>
        </w:rPr>
        <w:t xml:space="preserve"> rule, such that</w:t>
      </w:r>
      <w:r w:rsidR="00477D91">
        <w:rPr>
          <w:color w:val="000000" w:themeColor="text1"/>
          <w:szCs w:val="26"/>
        </w:rPr>
        <w:t xml:space="preserve"> </w:t>
      </w:r>
      <w:r w:rsidR="00775303">
        <w:rPr>
          <w:color w:val="000000" w:themeColor="text1"/>
          <w:szCs w:val="26"/>
        </w:rPr>
        <w:t>it</w:t>
      </w:r>
      <w:r w:rsidR="00477D91">
        <w:rPr>
          <w:color w:val="000000" w:themeColor="text1"/>
          <w:szCs w:val="26"/>
        </w:rPr>
        <w:t xml:space="preserve"> would not </w:t>
      </w:r>
      <w:r w:rsidRPr="00477D91" w:rsidR="00477D91">
        <w:rPr>
          <w:color w:val="000000" w:themeColor="text1"/>
          <w:szCs w:val="26"/>
        </w:rPr>
        <w:t>apply for public policy reasons when a groundwater agency</w:t>
      </w:r>
      <w:r w:rsidR="00477D91">
        <w:rPr>
          <w:color w:val="000000" w:themeColor="text1"/>
          <w:szCs w:val="26"/>
        </w:rPr>
        <w:t>’s</w:t>
      </w:r>
      <w:r w:rsidR="007D36D5">
        <w:rPr>
          <w:color w:val="000000" w:themeColor="text1"/>
          <w:szCs w:val="26"/>
        </w:rPr>
        <w:t xml:space="preserve"> </w:t>
      </w:r>
      <w:r w:rsidR="00477D91">
        <w:rPr>
          <w:color w:val="000000" w:themeColor="text1"/>
          <w:szCs w:val="26"/>
        </w:rPr>
        <w:t xml:space="preserve">sustainability plan </w:t>
      </w:r>
      <w:r w:rsidR="00D63028">
        <w:rPr>
          <w:color w:val="000000" w:themeColor="text1"/>
          <w:szCs w:val="26"/>
        </w:rPr>
        <w:t>acts</w:t>
      </w:r>
      <w:r w:rsidR="00477D91">
        <w:rPr>
          <w:color w:val="000000" w:themeColor="text1"/>
          <w:szCs w:val="26"/>
        </w:rPr>
        <w:t xml:space="preserve"> inconsistent</w:t>
      </w:r>
      <w:r w:rsidR="00D63028">
        <w:rPr>
          <w:color w:val="000000" w:themeColor="text1"/>
          <w:szCs w:val="26"/>
        </w:rPr>
        <w:t>ly</w:t>
      </w:r>
      <w:r w:rsidR="00477D91">
        <w:rPr>
          <w:color w:val="000000" w:themeColor="text1"/>
          <w:szCs w:val="26"/>
        </w:rPr>
        <w:t xml:space="preserve"> </w:t>
      </w:r>
      <w:r w:rsidRPr="00477D91" w:rsidR="00477D91">
        <w:rPr>
          <w:color w:val="000000" w:themeColor="text1"/>
          <w:szCs w:val="26"/>
        </w:rPr>
        <w:t>with C</w:t>
      </w:r>
      <w:r w:rsidR="00477D91">
        <w:rPr>
          <w:color w:val="000000" w:themeColor="text1"/>
          <w:szCs w:val="26"/>
        </w:rPr>
        <w:t>alifornia</w:t>
      </w:r>
      <w:r w:rsidRPr="00477D91" w:rsidR="00477D91">
        <w:rPr>
          <w:color w:val="000000" w:themeColor="text1"/>
          <w:szCs w:val="26"/>
        </w:rPr>
        <w:t xml:space="preserve"> water law</w:t>
      </w:r>
      <w:r w:rsidR="00D63028">
        <w:rPr>
          <w:color w:val="000000" w:themeColor="text1"/>
          <w:szCs w:val="26"/>
        </w:rPr>
        <w:t>, such as by improperly determining water rights</w:t>
      </w:r>
      <w:r w:rsidRPr="00477D91" w:rsidR="00477D91">
        <w:rPr>
          <w:color w:val="000000" w:themeColor="text1"/>
          <w:szCs w:val="26"/>
        </w:rPr>
        <w:t xml:space="preserve">. </w:t>
      </w:r>
      <w:r w:rsidR="0060621C">
        <w:rPr>
          <w:color w:val="000000" w:themeColor="text1"/>
          <w:szCs w:val="26"/>
        </w:rPr>
        <w:t xml:space="preserve"> </w:t>
      </w:r>
      <w:r w:rsidR="004049B6">
        <w:rPr>
          <w:color w:val="000000" w:themeColor="text1"/>
          <w:szCs w:val="26"/>
        </w:rPr>
        <w:t xml:space="preserve">We decline to do so.  </w:t>
      </w:r>
      <w:r w:rsidR="00782322">
        <w:rPr>
          <w:color w:val="000000" w:themeColor="text1"/>
          <w:szCs w:val="26"/>
        </w:rPr>
        <w:t>T</w:t>
      </w:r>
      <w:r w:rsidRPr="00306A22" w:rsidR="009E6F4B">
        <w:rPr>
          <w:szCs w:val="26"/>
        </w:rPr>
        <w:t>he fact that petitioner’s lawsuit is based on the alleged illegality of the challenged tax does not excuse compliance with the “pay first” rule.  (</w:t>
      </w:r>
      <w:bookmarkStart w:id="82" w:name="dabmci_abd9ed3e57604e62808492d23414eed0"/>
      <w:r w:rsidRPr="00306A22" w:rsidR="009E6F4B">
        <w:rPr>
          <w:i/>
          <w:iCs/>
          <w:szCs w:val="26"/>
        </w:rPr>
        <w:t>Flying Dutchman</w:t>
      </w:r>
      <w:r w:rsidR="009E6F4B">
        <w:rPr>
          <w:i/>
          <w:iCs/>
          <w:szCs w:val="26"/>
        </w:rPr>
        <w:t xml:space="preserve">, supra, </w:t>
      </w:r>
      <w:r w:rsidRPr="00306A22" w:rsidR="009E6F4B">
        <w:rPr>
          <w:szCs w:val="26"/>
        </w:rPr>
        <w:t xml:space="preserve">93 Cal.App.4th </w:t>
      </w:r>
      <w:r w:rsidR="009E6F4B">
        <w:rPr>
          <w:szCs w:val="26"/>
        </w:rPr>
        <w:t>at p.</w:t>
      </w:r>
      <w:r w:rsidR="0060621C">
        <w:rPr>
          <w:szCs w:val="26"/>
        </w:rPr>
        <w:t> </w:t>
      </w:r>
      <w:r w:rsidRPr="00306A22" w:rsidR="009E6F4B">
        <w:rPr>
          <w:szCs w:val="26"/>
        </w:rPr>
        <w:t>1141</w:t>
      </w:r>
      <w:bookmarkEnd w:id="82"/>
      <w:r w:rsidR="009E6F4B">
        <w:rPr>
          <w:szCs w:val="26"/>
        </w:rPr>
        <w:t xml:space="preserve"> [</w:t>
      </w:r>
      <w:r w:rsidR="0060621C">
        <w:rPr>
          <w:szCs w:val="26"/>
        </w:rPr>
        <w:t>“</w:t>
      </w:r>
      <w:r w:rsidRPr="00306A22" w:rsidR="009E6F4B">
        <w:rPr>
          <w:szCs w:val="26"/>
        </w:rPr>
        <w:t>It has long been established that suits to enjoin the collection of taxes may not be maintained even though the imposition of the tax may be ‘illegal and void’”</w:t>
      </w:r>
      <w:r w:rsidR="009E6F4B">
        <w:rPr>
          <w:szCs w:val="26"/>
        </w:rPr>
        <w:t xml:space="preserve">].)  Also, creating such an exception here would </w:t>
      </w:r>
      <w:r w:rsidR="00757C54">
        <w:rPr>
          <w:szCs w:val="26"/>
        </w:rPr>
        <w:t xml:space="preserve">be </w:t>
      </w:r>
      <w:r w:rsidR="007D36D5">
        <w:rPr>
          <w:szCs w:val="26"/>
        </w:rPr>
        <w:t xml:space="preserve">problematic </w:t>
      </w:r>
      <w:r w:rsidR="00E26557">
        <w:rPr>
          <w:szCs w:val="26"/>
        </w:rPr>
        <w:t>because</w:t>
      </w:r>
      <w:r w:rsidR="007D36D5">
        <w:rPr>
          <w:szCs w:val="26"/>
        </w:rPr>
        <w:t xml:space="preserve"> </w:t>
      </w:r>
      <w:r w:rsidR="004049B6">
        <w:rPr>
          <w:szCs w:val="26"/>
        </w:rPr>
        <w:t xml:space="preserve">it </w:t>
      </w:r>
      <w:r w:rsidRPr="00477D91" w:rsidR="00477D91">
        <w:rPr>
          <w:color w:val="000000" w:themeColor="text1"/>
          <w:szCs w:val="26"/>
        </w:rPr>
        <w:t xml:space="preserve">would require a court to adjudicate the validity of </w:t>
      </w:r>
      <w:r w:rsidR="0095322E">
        <w:rPr>
          <w:color w:val="000000" w:themeColor="text1"/>
          <w:szCs w:val="26"/>
        </w:rPr>
        <w:t>a groundwater agency’s sustainability plan</w:t>
      </w:r>
      <w:r w:rsidRPr="00477D91" w:rsidR="0095322E">
        <w:rPr>
          <w:color w:val="000000" w:themeColor="text1"/>
          <w:szCs w:val="26"/>
        </w:rPr>
        <w:t xml:space="preserve"> </w:t>
      </w:r>
      <w:r w:rsidR="0095322E">
        <w:rPr>
          <w:color w:val="000000" w:themeColor="text1"/>
          <w:szCs w:val="26"/>
        </w:rPr>
        <w:t xml:space="preserve">and </w:t>
      </w:r>
      <w:r w:rsidRPr="00477D91" w:rsidR="00477D91">
        <w:rPr>
          <w:color w:val="000000" w:themeColor="text1"/>
          <w:szCs w:val="26"/>
        </w:rPr>
        <w:t>competing water rights claims at the demurrer stage</w:t>
      </w:r>
      <w:r w:rsidR="00EE0904">
        <w:rPr>
          <w:color w:val="000000" w:themeColor="text1"/>
          <w:szCs w:val="26"/>
        </w:rPr>
        <w:t xml:space="preserve">.  </w:t>
      </w:r>
      <w:r w:rsidR="002A37C6">
        <w:rPr>
          <w:color w:val="000000" w:themeColor="text1"/>
          <w:szCs w:val="26"/>
        </w:rPr>
        <w:t>That run</w:t>
      </w:r>
      <w:r>
        <w:rPr>
          <w:color w:val="000000" w:themeColor="text1"/>
          <w:szCs w:val="26"/>
        </w:rPr>
        <w:t>s</w:t>
      </w:r>
      <w:r w:rsidR="002A37C6">
        <w:rPr>
          <w:color w:val="000000" w:themeColor="text1"/>
          <w:szCs w:val="26"/>
        </w:rPr>
        <w:t xml:space="preserve"> contrary to what the Legislature contemplated when it </w:t>
      </w:r>
      <w:r w:rsidR="00580443">
        <w:rPr>
          <w:color w:val="000000" w:themeColor="text1"/>
          <w:szCs w:val="26"/>
        </w:rPr>
        <w:t xml:space="preserve">enacted SGMA—namely, that groundwater sustainability plans would first be put into place, and then any </w:t>
      </w:r>
      <w:r w:rsidR="001714F2">
        <w:rPr>
          <w:color w:val="000000" w:themeColor="text1"/>
          <w:szCs w:val="26"/>
        </w:rPr>
        <w:t xml:space="preserve">dissatisfied persons </w:t>
      </w:r>
      <w:r w:rsidR="00A548D5">
        <w:rPr>
          <w:color w:val="000000" w:themeColor="text1"/>
          <w:szCs w:val="26"/>
        </w:rPr>
        <w:t>could b</w:t>
      </w:r>
      <w:r w:rsidR="001714F2">
        <w:rPr>
          <w:color w:val="000000" w:themeColor="text1"/>
          <w:szCs w:val="26"/>
        </w:rPr>
        <w:t>ring an adjudication action</w:t>
      </w:r>
      <w:r w:rsidR="004049B6">
        <w:rPr>
          <w:color w:val="000000" w:themeColor="text1"/>
          <w:szCs w:val="26"/>
        </w:rPr>
        <w:t xml:space="preserve"> to determine water rights</w:t>
      </w:r>
      <w:r w:rsidR="001714F2">
        <w:rPr>
          <w:color w:val="000000" w:themeColor="text1"/>
          <w:szCs w:val="26"/>
        </w:rPr>
        <w:t xml:space="preserve">.  </w:t>
      </w:r>
      <w:r w:rsidR="00BE2E1A">
        <w:rPr>
          <w:color w:val="000000" w:themeColor="text1"/>
          <w:szCs w:val="26"/>
        </w:rPr>
        <w:t xml:space="preserve">(See §§ 10737-10738.)  </w:t>
      </w:r>
    </w:p>
    <w:p w:rsidR="003F19FA" w:rsidP="003F19FA" w14:paraId="1D1CB55C" w14:textId="0C96CC21">
      <w:pPr>
        <w:spacing w:line="480" w:lineRule="atLeast"/>
        <w:ind w:firstLine="1440"/>
        <w:rPr>
          <w:color w:val="000000" w:themeColor="text1"/>
          <w:szCs w:val="26"/>
        </w:rPr>
      </w:pPr>
      <w:r>
        <w:rPr>
          <w:color w:val="000000" w:themeColor="text1"/>
          <w:szCs w:val="26"/>
        </w:rPr>
        <w:t>C</w:t>
      </w:r>
      <w:r w:rsidR="00B82F78">
        <w:rPr>
          <w:color w:val="000000" w:themeColor="text1"/>
          <w:szCs w:val="26"/>
        </w:rPr>
        <w:t>reating a new exception here</w:t>
      </w:r>
      <w:r w:rsidRPr="00477D91" w:rsidR="00477D91">
        <w:rPr>
          <w:color w:val="000000" w:themeColor="text1"/>
          <w:szCs w:val="26"/>
        </w:rPr>
        <w:t xml:space="preserve"> would also undermine the public polic</w:t>
      </w:r>
      <w:r w:rsidR="00E71F8E">
        <w:rPr>
          <w:color w:val="000000" w:themeColor="text1"/>
          <w:szCs w:val="26"/>
        </w:rPr>
        <w:t>ies</w:t>
      </w:r>
      <w:r w:rsidRPr="00477D91" w:rsidR="00477D91">
        <w:rPr>
          <w:color w:val="000000" w:themeColor="text1"/>
          <w:szCs w:val="26"/>
        </w:rPr>
        <w:t xml:space="preserve"> </w:t>
      </w:r>
      <w:r w:rsidR="00324F7F">
        <w:rPr>
          <w:color w:val="000000" w:themeColor="text1"/>
          <w:szCs w:val="26"/>
        </w:rPr>
        <w:t xml:space="preserve">that </w:t>
      </w:r>
      <w:r w:rsidRPr="00477D91" w:rsidR="00477D91">
        <w:rPr>
          <w:color w:val="000000" w:themeColor="text1"/>
          <w:szCs w:val="26"/>
        </w:rPr>
        <w:t>underl</w:t>
      </w:r>
      <w:r w:rsidR="003911AC">
        <w:rPr>
          <w:color w:val="000000" w:themeColor="text1"/>
          <w:szCs w:val="26"/>
        </w:rPr>
        <w:t>ie</w:t>
      </w:r>
      <w:r w:rsidRPr="00477D91" w:rsidR="00477D91">
        <w:rPr>
          <w:color w:val="000000" w:themeColor="text1"/>
          <w:szCs w:val="26"/>
        </w:rPr>
        <w:t xml:space="preserve"> the </w:t>
      </w:r>
      <w:r w:rsidR="00EE0904">
        <w:rPr>
          <w:color w:val="000000" w:themeColor="text1"/>
          <w:szCs w:val="26"/>
        </w:rPr>
        <w:t>“</w:t>
      </w:r>
      <w:r w:rsidRPr="00477D91" w:rsidR="00477D91">
        <w:rPr>
          <w:color w:val="000000" w:themeColor="text1"/>
          <w:szCs w:val="26"/>
        </w:rPr>
        <w:t>pay first</w:t>
      </w:r>
      <w:r w:rsidR="00EE0904">
        <w:rPr>
          <w:color w:val="000000" w:themeColor="text1"/>
          <w:szCs w:val="26"/>
        </w:rPr>
        <w:t>”</w:t>
      </w:r>
      <w:r w:rsidRPr="00477D91" w:rsidR="00477D91">
        <w:rPr>
          <w:color w:val="000000" w:themeColor="text1"/>
          <w:szCs w:val="26"/>
        </w:rPr>
        <w:t xml:space="preserve"> rule</w:t>
      </w:r>
      <w:r w:rsidR="00F07B94">
        <w:rPr>
          <w:color w:val="000000" w:themeColor="text1"/>
          <w:szCs w:val="26"/>
        </w:rPr>
        <w:t xml:space="preserve">, such as </w:t>
      </w:r>
      <w:r w:rsidR="005E6F06">
        <w:rPr>
          <w:color w:val="000000" w:themeColor="text1"/>
          <w:szCs w:val="26"/>
        </w:rPr>
        <w:t xml:space="preserve">ensuring </w:t>
      </w:r>
      <w:r w:rsidRPr="00477D91" w:rsidR="00477D91">
        <w:rPr>
          <w:color w:val="000000" w:themeColor="text1"/>
          <w:szCs w:val="26"/>
        </w:rPr>
        <w:t>the continued provision of public services funded by taxes</w:t>
      </w:r>
      <w:r w:rsidR="005E6F06">
        <w:rPr>
          <w:color w:val="000000" w:themeColor="text1"/>
          <w:szCs w:val="26"/>
        </w:rPr>
        <w:t>, or in this case,</w:t>
      </w:r>
      <w:r w:rsidR="00F07B94">
        <w:rPr>
          <w:color w:val="000000" w:themeColor="text1"/>
          <w:szCs w:val="26"/>
        </w:rPr>
        <w:t xml:space="preserve"> the</w:t>
      </w:r>
      <w:r w:rsidR="005E6F06">
        <w:rPr>
          <w:color w:val="000000" w:themeColor="text1"/>
          <w:szCs w:val="26"/>
        </w:rPr>
        <w:t xml:space="preserve"> replenishment fees</w:t>
      </w:r>
      <w:r w:rsidRPr="00477D91" w:rsidR="00477D91">
        <w:rPr>
          <w:color w:val="000000" w:themeColor="text1"/>
          <w:szCs w:val="26"/>
        </w:rPr>
        <w:t xml:space="preserve">.  </w:t>
      </w:r>
      <w:r>
        <w:rPr>
          <w:color w:val="000000" w:themeColor="text1"/>
          <w:szCs w:val="26"/>
        </w:rPr>
        <w:t>It bears noting that for nearly three years, Mojave has extracted thousands of acre</w:t>
      </w:r>
      <w:r w:rsidR="005E3BA8">
        <w:rPr>
          <w:color w:val="000000" w:themeColor="text1"/>
          <w:szCs w:val="26"/>
        </w:rPr>
        <w:noBreakHyphen/>
      </w:r>
      <w:r>
        <w:rPr>
          <w:color w:val="000000" w:themeColor="text1"/>
          <w:szCs w:val="26"/>
        </w:rPr>
        <w:t>feet of groundwater without paying the Replenishment Fee</w:t>
      </w:r>
      <w:r w:rsidR="00F45DCA">
        <w:rPr>
          <w:color w:val="000000" w:themeColor="text1"/>
          <w:szCs w:val="26"/>
        </w:rPr>
        <w:t>.</w:t>
      </w:r>
      <w:r>
        <w:rPr>
          <w:color w:val="000000" w:themeColor="text1"/>
          <w:szCs w:val="26"/>
        </w:rPr>
        <w:t xml:space="preserve">  </w:t>
      </w:r>
      <w:r>
        <w:rPr>
          <w:szCs w:val="26"/>
        </w:rPr>
        <w:t>I</w:t>
      </w:r>
      <w:r w:rsidRPr="00306A22">
        <w:rPr>
          <w:szCs w:val="26"/>
        </w:rPr>
        <w:t>f groundwater extractors like Mojave can challeng</w:t>
      </w:r>
      <w:r w:rsidR="00A548D5">
        <w:rPr>
          <w:szCs w:val="26"/>
        </w:rPr>
        <w:t>e</w:t>
      </w:r>
      <w:r w:rsidRPr="00306A22">
        <w:rPr>
          <w:szCs w:val="26"/>
        </w:rPr>
        <w:t xml:space="preserve"> </w:t>
      </w:r>
      <w:r w:rsidR="00A548D5">
        <w:rPr>
          <w:szCs w:val="26"/>
        </w:rPr>
        <w:t xml:space="preserve">a fee </w:t>
      </w:r>
      <w:r w:rsidRPr="00306A22">
        <w:rPr>
          <w:szCs w:val="26"/>
        </w:rPr>
        <w:t>without first paying</w:t>
      </w:r>
      <w:r w:rsidR="00A548D5">
        <w:rPr>
          <w:szCs w:val="26"/>
        </w:rPr>
        <w:t xml:space="preserve"> it</w:t>
      </w:r>
      <w:r w:rsidRPr="00306A22">
        <w:rPr>
          <w:szCs w:val="26"/>
        </w:rPr>
        <w:t xml:space="preserve">, that </w:t>
      </w:r>
      <w:r w:rsidR="00F45DCA">
        <w:rPr>
          <w:szCs w:val="26"/>
        </w:rPr>
        <w:t>c</w:t>
      </w:r>
      <w:r w:rsidRPr="00306A22">
        <w:rPr>
          <w:szCs w:val="26"/>
        </w:rPr>
        <w:t xml:space="preserve">ould </w:t>
      </w:r>
      <w:r w:rsidR="00A548D5">
        <w:rPr>
          <w:szCs w:val="26"/>
        </w:rPr>
        <w:t>defeat</w:t>
      </w:r>
      <w:r w:rsidRPr="00306A22">
        <w:rPr>
          <w:szCs w:val="26"/>
        </w:rPr>
        <w:t xml:space="preserve"> SGMA’s </w:t>
      </w:r>
      <w:r w:rsidR="00A548D5">
        <w:rPr>
          <w:szCs w:val="26"/>
        </w:rPr>
        <w:t>goal</w:t>
      </w:r>
      <w:r w:rsidRPr="00306A22">
        <w:rPr>
          <w:szCs w:val="26"/>
        </w:rPr>
        <w:t xml:space="preserve"> of managing overdrafted groundwater basins. </w:t>
      </w:r>
    </w:p>
    <w:p w:rsidR="008D22C4" w:rsidP="00131F49" w14:paraId="5FAB9399" w14:textId="213BC731">
      <w:pPr>
        <w:spacing w:line="480" w:lineRule="atLeast"/>
        <w:ind w:firstLine="1440"/>
        <w:rPr>
          <w:color w:val="000000" w:themeColor="text1"/>
          <w:szCs w:val="26"/>
        </w:rPr>
      </w:pPr>
      <w:r w:rsidRPr="00306A22">
        <w:rPr>
          <w:color w:val="000000" w:themeColor="text1"/>
          <w:szCs w:val="26"/>
        </w:rPr>
        <w:t xml:space="preserve">Accordingly, </w:t>
      </w:r>
      <w:r w:rsidR="00F3608E">
        <w:rPr>
          <w:color w:val="000000" w:themeColor="text1"/>
          <w:szCs w:val="26"/>
        </w:rPr>
        <w:t xml:space="preserve">we hold that </w:t>
      </w:r>
      <w:r w:rsidRPr="00306A22">
        <w:rPr>
          <w:color w:val="000000" w:themeColor="text1"/>
          <w:szCs w:val="26"/>
        </w:rPr>
        <w:t xml:space="preserve">any cause of action that attacks the propriety of the Replenishment Fee or attempts to impede its prompt collection cannot proceed unless Mojave </w:t>
      </w:r>
      <w:r w:rsidR="00E71F8E">
        <w:rPr>
          <w:color w:val="000000" w:themeColor="text1"/>
          <w:szCs w:val="26"/>
        </w:rPr>
        <w:t xml:space="preserve">first </w:t>
      </w:r>
      <w:r w:rsidRPr="00306A22">
        <w:rPr>
          <w:color w:val="000000" w:themeColor="text1"/>
          <w:szCs w:val="26"/>
        </w:rPr>
        <w:t>pays the outstanding amounts owed.</w:t>
      </w:r>
      <w:r w:rsidR="007A78F3">
        <w:rPr>
          <w:color w:val="000000" w:themeColor="text1"/>
          <w:szCs w:val="26"/>
        </w:rPr>
        <w:t xml:space="preserve">  This is true even if the challenged fee allegedly violates SGMA and California water law</w:t>
      </w:r>
      <w:r w:rsidR="005C3119">
        <w:rPr>
          <w:color w:val="000000" w:themeColor="text1"/>
          <w:szCs w:val="26"/>
        </w:rPr>
        <w:t xml:space="preserve">, and even if Mojave allegedly </w:t>
      </w:r>
      <w:r w:rsidR="00131F49">
        <w:rPr>
          <w:color w:val="000000" w:themeColor="text1"/>
          <w:szCs w:val="26"/>
        </w:rPr>
        <w:t>cannot afford to pay the fee</w:t>
      </w:r>
      <w:r w:rsidR="007A78F3">
        <w:rPr>
          <w:color w:val="000000" w:themeColor="text1"/>
          <w:szCs w:val="26"/>
        </w:rPr>
        <w:t xml:space="preserve">. </w:t>
      </w:r>
      <w:r w:rsidR="003A462E">
        <w:rPr>
          <w:color w:val="000000" w:themeColor="text1"/>
          <w:szCs w:val="26"/>
        </w:rPr>
        <w:t xml:space="preserve"> (</w:t>
      </w:r>
      <w:r w:rsidR="00131F49">
        <w:rPr>
          <w:color w:val="000000" w:themeColor="text1"/>
          <w:szCs w:val="26"/>
        </w:rPr>
        <w:t xml:space="preserve">See </w:t>
      </w:r>
      <w:bookmarkStart w:id="83" w:name="dabmci_7fad230becf04498b27064a916b8e4ca"/>
      <w:r w:rsidR="003A462E">
        <w:rPr>
          <w:i/>
          <w:iCs/>
          <w:color w:val="000000" w:themeColor="text1"/>
          <w:szCs w:val="26"/>
        </w:rPr>
        <w:t xml:space="preserve">California Logistics, supra, </w:t>
      </w:r>
      <w:r w:rsidR="003A462E">
        <w:rPr>
          <w:color w:val="000000" w:themeColor="text1"/>
          <w:szCs w:val="26"/>
        </w:rPr>
        <w:t xml:space="preserve">161 Cal.App.4th at p. </w:t>
      </w:r>
      <w:r w:rsidR="005E315F">
        <w:rPr>
          <w:color w:val="000000" w:themeColor="text1"/>
          <w:szCs w:val="26"/>
        </w:rPr>
        <w:t>251</w:t>
      </w:r>
      <w:bookmarkEnd w:id="83"/>
      <w:r w:rsidR="005E315F">
        <w:rPr>
          <w:color w:val="000000" w:themeColor="text1"/>
          <w:szCs w:val="26"/>
        </w:rPr>
        <w:t xml:space="preserve"> [rejecting </w:t>
      </w:r>
      <w:r w:rsidR="00434904">
        <w:rPr>
          <w:color w:val="000000" w:themeColor="text1"/>
          <w:szCs w:val="26"/>
        </w:rPr>
        <w:t xml:space="preserve">due process challenge to “pay first” rule’s application, even though </w:t>
      </w:r>
      <w:r w:rsidR="004C6118">
        <w:rPr>
          <w:color w:val="000000" w:themeColor="text1"/>
          <w:szCs w:val="26"/>
        </w:rPr>
        <w:t>the plaintiff could not afford to pay proposed $1.2 million assessment]</w:t>
      </w:r>
      <w:r w:rsidR="00073DF3">
        <w:rPr>
          <w:color w:val="000000" w:themeColor="text1"/>
          <w:szCs w:val="26"/>
        </w:rPr>
        <w:t xml:space="preserve">; see also </w:t>
      </w:r>
      <w:bookmarkStart w:id="84" w:name="dabmci_597277db097e4a899e33a5f0d5be51b0"/>
      <w:r w:rsidRPr="007314C6" w:rsidR="007314C6">
        <w:rPr>
          <w:i/>
          <w:iCs/>
          <w:color w:val="000000" w:themeColor="text1"/>
          <w:szCs w:val="26"/>
        </w:rPr>
        <w:t>City of Cerritos</w:t>
      </w:r>
      <w:r w:rsidR="007314C6">
        <w:rPr>
          <w:color w:val="000000" w:themeColor="text1"/>
          <w:szCs w:val="26"/>
        </w:rPr>
        <w:t xml:space="preserve">, </w:t>
      </w:r>
      <w:r w:rsidR="007314C6">
        <w:rPr>
          <w:i/>
          <w:iCs/>
          <w:color w:val="000000" w:themeColor="text1"/>
          <w:szCs w:val="26"/>
        </w:rPr>
        <w:t>supra,</w:t>
      </w:r>
      <w:r w:rsidRPr="007314C6" w:rsidR="007314C6">
        <w:rPr>
          <w:color w:val="000000" w:themeColor="text1"/>
          <w:szCs w:val="26"/>
        </w:rPr>
        <w:t xml:space="preserve"> 220 Cal.App.4th </w:t>
      </w:r>
      <w:r w:rsidR="007314C6">
        <w:rPr>
          <w:color w:val="000000" w:themeColor="text1"/>
          <w:szCs w:val="26"/>
        </w:rPr>
        <w:t>at p.</w:t>
      </w:r>
      <w:r w:rsidRPr="007314C6" w:rsidR="007314C6">
        <w:rPr>
          <w:color w:val="000000" w:themeColor="text1"/>
          <w:szCs w:val="26"/>
        </w:rPr>
        <w:t xml:space="preserve"> 1469</w:t>
      </w:r>
      <w:bookmarkEnd w:id="84"/>
      <w:r w:rsidR="007314C6">
        <w:rPr>
          <w:color w:val="000000" w:themeColor="text1"/>
          <w:szCs w:val="26"/>
        </w:rPr>
        <w:t xml:space="preserve"> [</w:t>
      </w:r>
      <w:r w:rsidR="003C7D58">
        <w:rPr>
          <w:color w:val="000000" w:themeColor="text1"/>
          <w:szCs w:val="26"/>
        </w:rPr>
        <w:t xml:space="preserve">applying “pay first” rule where outstanding water assessments </w:t>
      </w:r>
      <w:r w:rsidR="00B96A0C">
        <w:rPr>
          <w:color w:val="000000" w:themeColor="text1"/>
          <w:szCs w:val="26"/>
        </w:rPr>
        <w:t>totaled $7</w:t>
      </w:r>
      <w:r w:rsidR="0060621C">
        <w:rPr>
          <w:color w:val="000000" w:themeColor="text1"/>
          <w:szCs w:val="26"/>
        </w:rPr>
        <w:t> </w:t>
      </w:r>
      <w:r w:rsidR="00B96A0C">
        <w:rPr>
          <w:color w:val="000000" w:themeColor="text1"/>
          <w:szCs w:val="26"/>
        </w:rPr>
        <w:t>million].)</w:t>
      </w:r>
      <w:r w:rsidR="00CE6775">
        <w:rPr>
          <w:color w:val="000000" w:themeColor="text1"/>
          <w:szCs w:val="26"/>
        </w:rPr>
        <w:t xml:space="preserve">  </w:t>
      </w:r>
    </w:p>
    <w:p w:rsidR="00940DBC" w:rsidRPr="00306A22" w:rsidP="004B5A81" w14:paraId="09882F2D" w14:textId="1E7C87D7">
      <w:pPr>
        <w:spacing w:line="480" w:lineRule="atLeast"/>
        <w:ind w:firstLine="1440"/>
        <w:rPr>
          <w:color w:val="000000" w:themeColor="text1"/>
          <w:szCs w:val="26"/>
        </w:rPr>
      </w:pPr>
      <w:r>
        <w:rPr>
          <w:color w:val="000000" w:themeColor="text1"/>
          <w:szCs w:val="26"/>
        </w:rPr>
        <w:t xml:space="preserve">In reaching this </w:t>
      </w:r>
      <w:r w:rsidR="00FD5709">
        <w:rPr>
          <w:color w:val="000000" w:themeColor="text1"/>
          <w:szCs w:val="26"/>
        </w:rPr>
        <w:t>holding, we are mindful that a</w:t>
      </w:r>
      <w:r w:rsidR="00293007">
        <w:rPr>
          <w:color w:val="000000" w:themeColor="text1"/>
          <w:szCs w:val="26"/>
        </w:rPr>
        <w:t xml:space="preserve"> rigid application of the “pay first” rule </w:t>
      </w:r>
      <w:r w:rsidR="00FD5709">
        <w:rPr>
          <w:color w:val="000000" w:themeColor="text1"/>
          <w:szCs w:val="26"/>
        </w:rPr>
        <w:t>c</w:t>
      </w:r>
      <w:r w:rsidR="00A856AA">
        <w:rPr>
          <w:color w:val="000000" w:themeColor="text1"/>
          <w:szCs w:val="26"/>
        </w:rPr>
        <w:t>ould</w:t>
      </w:r>
      <w:r w:rsidR="00293007">
        <w:rPr>
          <w:color w:val="000000" w:themeColor="text1"/>
          <w:szCs w:val="26"/>
        </w:rPr>
        <w:t xml:space="preserve"> a</w:t>
      </w:r>
      <w:r w:rsidR="002B18A9">
        <w:rPr>
          <w:color w:val="000000" w:themeColor="text1"/>
          <w:szCs w:val="26"/>
        </w:rPr>
        <w:t xml:space="preserve">llow local groundwater sustainability agencies to impose </w:t>
      </w:r>
      <w:r w:rsidR="00A548D5">
        <w:rPr>
          <w:color w:val="000000" w:themeColor="text1"/>
          <w:szCs w:val="26"/>
        </w:rPr>
        <w:t>unreasonable</w:t>
      </w:r>
      <w:r w:rsidR="002B18A9">
        <w:rPr>
          <w:color w:val="000000" w:themeColor="text1"/>
          <w:szCs w:val="26"/>
        </w:rPr>
        <w:t xml:space="preserve"> fees </w:t>
      </w:r>
      <w:r w:rsidR="006B2799">
        <w:rPr>
          <w:color w:val="000000" w:themeColor="text1"/>
          <w:szCs w:val="26"/>
        </w:rPr>
        <w:t xml:space="preserve">that target certain </w:t>
      </w:r>
      <w:r w:rsidR="00AB2BB8">
        <w:rPr>
          <w:color w:val="000000" w:themeColor="text1"/>
          <w:szCs w:val="26"/>
        </w:rPr>
        <w:t>users</w:t>
      </w:r>
      <w:r w:rsidR="00B37973">
        <w:rPr>
          <w:color w:val="000000" w:themeColor="text1"/>
          <w:szCs w:val="26"/>
        </w:rPr>
        <w:t xml:space="preserve">, </w:t>
      </w:r>
      <w:r w:rsidR="00995818">
        <w:rPr>
          <w:color w:val="000000" w:themeColor="text1"/>
          <w:szCs w:val="26"/>
        </w:rPr>
        <w:t>knowing</w:t>
      </w:r>
      <w:r w:rsidR="006941FE">
        <w:rPr>
          <w:color w:val="000000" w:themeColor="text1"/>
          <w:szCs w:val="26"/>
        </w:rPr>
        <w:t xml:space="preserve"> </w:t>
      </w:r>
      <w:r w:rsidR="00AB2BB8">
        <w:rPr>
          <w:color w:val="000000" w:themeColor="text1"/>
          <w:szCs w:val="26"/>
        </w:rPr>
        <w:t>they would be unable to afford to pay the fees under protest</w:t>
      </w:r>
      <w:r w:rsidR="005C51E7">
        <w:rPr>
          <w:color w:val="000000" w:themeColor="text1"/>
          <w:szCs w:val="26"/>
        </w:rPr>
        <w:t xml:space="preserve">, </w:t>
      </w:r>
      <w:r w:rsidR="00A548D5">
        <w:rPr>
          <w:color w:val="000000" w:themeColor="text1"/>
          <w:szCs w:val="26"/>
        </w:rPr>
        <w:t>and</w:t>
      </w:r>
      <w:r w:rsidR="00AB2BB8">
        <w:rPr>
          <w:color w:val="000000" w:themeColor="text1"/>
          <w:szCs w:val="26"/>
        </w:rPr>
        <w:t xml:space="preserve"> that th</w:t>
      </w:r>
      <w:r w:rsidR="00DC07F1">
        <w:rPr>
          <w:color w:val="000000" w:themeColor="text1"/>
          <w:szCs w:val="26"/>
        </w:rPr>
        <w:t>ose users</w:t>
      </w:r>
      <w:r w:rsidR="00AB2BB8">
        <w:rPr>
          <w:color w:val="000000" w:themeColor="text1"/>
          <w:szCs w:val="26"/>
        </w:rPr>
        <w:t xml:space="preserve"> </w:t>
      </w:r>
      <w:r w:rsidR="00A548D5">
        <w:rPr>
          <w:color w:val="000000" w:themeColor="text1"/>
          <w:szCs w:val="26"/>
        </w:rPr>
        <w:t>c</w:t>
      </w:r>
      <w:r w:rsidR="00AB2BB8">
        <w:rPr>
          <w:color w:val="000000" w:themeColor="text1"/>
          <w:szCs w:val="26"/>
        </w:rPr>
        <w:t>ould eventually be</w:t>
      </w:r>
      <w:r w:rsidR="00995818">
        <w:rPr>
          <w:color w:val="000000" w:themeColor="text1"/>
          <w:szCs w:val="26"/>
        </w:rPr>
        <w:t xml:space="preserve"> run out of business.</w:t>
      </w:r>
      <w:r w:rsidR="00AB2BB8">
        <w:rPr>
          <w:color w:val="000000" w:themeColor="text1"/>
          <w:szCs w:val="26"/>
        </w:rPr>
        <w:t xml:space="preserve">  </w:t>
      </w:r>
      <w:r w:rsidR="00DC07F1">
        <w:rPr>
          <w:color w:val="000000" w:themeColor="text1"/>
          <w:szCs w:val="26"/>
        </w:rPr>
        <w:t xml:space="preserve">However, </w:t>
      </w:r>
      <w:r w:rsidR="00B34F03">
        <w:rPr>
          <w:color w:val="000000" w:themeColor="text1"/>
          <w:szCs w:val="26"/>
        </w:rPr>
        <w:t>that is not the case before us today</w:t>
      </w:r>
      <w:r w:rsidR="00F35E57">
        <w:rPr>
          <w:color w:val="000000" w:themeColor="text1"/>
          <w:szCs w:val="26"/>
        </w:rPr>
        <w:t xml:space="preserve">, and we decline to </w:t>
      </w:r>
      <w:r w:rsidR="00A548D5">
        <w:rPr>
          <w:color w:val="000000" w:themeColor="text1"/>
          <w:szCs w:val="26"/>
        </w:rPr>
        <w:t>resolve</w:t>
      </w:r>
      <w:r w:rsidR="00F35E57">
        <w:rPr>
          <w:color w:val="000000" w:themeColor="text1"/>
          <w:szCs w:val="26"/>
        </w:rPr>
        <w:t xml:space="preserve"> the slippery </w:t>
      </w:r>
      <w:r w:rsidR="00A548D5">
        <w:rPr>
          <w:color w:val="000000" w:themeColor="text1"/>
          <w:szCs w:val="26"/>
        </w:rPr>
        <w:t>issue</w:t>
      </w:r>
      <w:r w:rsidR="00F35E57">
        <w:rPr>
          <w:color w:val="000000" w:themeColor="text1"/>
          <w:szCs w:val="26"/>
        </w:rPr>
        <w:t xml:space="preserve"> of determining when, if ever, a </w:t>
      </w:r>
      <w:r w:rsidR="004B5A81">
        <w:rPr>
          <w:color w:val="000000" w:themeColor="text1"/>
          <w:szCs w:val="26"/>
        </w:rPr>
        <w:t xml:space="preserve">fee or tax would be </w:t>
      </w:r>
      <w:r w:rsidRPr="00A548D5" w:rsidR="004B5A81">
        <w:rPr>
          <w:color w:val="000000" w:themeColor="text1"/>
          <w:szCs w:val="26"/>
        </w:rPr>
        <w:t>so</w:t>
      </w:r>
      <w:r w:rsidR="00F22080">
        <w:rPr>
          <w:color w:val="000000" w:themeColor="text1"/>
          <w:szCs w:val="26"/>
        </w:rPr>
        <w:t xml:space="preserve"> extraordinarily</w:t>
      </w:r>
      <w:r w:rsidR="004B5A81">
        <w:rPr>
          <w:color w:val="000000" w:themeColor="text1"/>
          <w:szCs w:val="26"/>
        </w:rPr>
        <w:t xml:space="preserve"> high that the “pay first” rule should not apply</w:t>
      </w:r>
      <w:r w:rsidR="00920CF6">
        <w:rPr>
          <w:color w:val="000000" w:themeColor="text1"/>
          <w:szCs w:val="26"/>
        </w:rPr>
        <w:t>.</w:t>
      </w:r>
      <w:r>
        <w:rPr>
          <w:rStyle w:val="FootnoteReference"/>
          <w:szCs w:val="26"/>
        </w:rPr>
        <w:footnoteReference w:id="22"/>
      </w:r>
    </w:p>
    <w:p w:rsidR="00AD1437" w:rsidRPr="00306A22" w:rsidP="00AD1437" w14:paraId="60823E0F" w14:textId="03D74411">
      <w:pPr>
        <w:spacing w:line="480" w:lineRule="atLeast"/>
        <w:ind w:firstLine="1440"/>
        <w:rPr>
          <w:szCs w:val="26"/>
        </w:rPr>
      </w:pPr>
      <w:r>
        <w:rPr>
          <w:color w:val="000000" w:themeColor="text1"/>
          <w:szCs w:val="26"/>
        </w:rPr>
        <w:t>That</w:t>
      </w:r>
      <w:r w:rsidR="001D7E79">
        <w:rPr>
          <w:color w:val="000000" w:themeColor="text1"/>
          <w:szCs w:val="26"/>
        </w:rPr>
        <w:t xml:space="preserve"> brings us to </w:t>
      </w:r>
      <w:r w:rsidR="00A548D5">
        <w:rPr>
          <w:color w:val="000000" w:themeColor="text1"/>
          <w:szCs w:val="26"/>
        </w:rPr>
        <w:t xml:space="preserve">determining </w:t>
      </w:r>
      <w:r w:rsidR="001D7E79">
        <w:rPr>
          <w:color w:val="000000" w:themeColor="text1"/>
          <w:szCs w:val="26"/>
        </w:rPr>
        <w:t xml:space="preserve">how the “pay first” </w:t>
      </w:r>
      <w:r w:rsidR="00D26BB8">
        <w:rPr>
          <w:color w:val="000000" w:themeColor="text1"/>
          <w:szCs w:val="26"/>
        </w:rPr>
        <w:t xml:space="preserve">rule applies to the TAC.  </w:t>
      </w:r>
      <w:r w:rsidR="00C37C6F">
        <w:rPr>
          <w:color w:val="000000" w:themeColor="text1"/>
          <w:szCs w:val="26"/>
        </w:rPr>
        <w:t xml:space="preserve">As noted, </w:t>
      </w:r>
      <w:r w:rsidR="00662FF8">
        <w:rPr>
          <w:color w:val="000000" w:themeColor="text1"/>
          <w:szCs w:val="26"/>
        </w:rPr>
        <w:t>when ruling on t</w:t>
      </w:r>
      <w:r w:rsidRPr="00306A22" w:rsidR="00662FF8">
        <w:rPr>
          <w:color w:val="000000" w:themeColor="text1"/>
          <w:szCs w:val="26"/>
        </w:rPr>
        <w:t>he Authority’s demurrer to Mojave’s FAC in 2021</w:t>
      </w:r>
      <w:r w:rsidR="00662FF8">
        <w:rPr>
          <w:color w:val="000000" w:themeColor="text1"/>
          <w:szCs w:val="26"/>
        </w:rPr>
        <w:t xml:space="preserve">, </w:t>
      </w:r>
      <w:r w:rsidR="00C37C6F">
        <w:rPr>
          <w:color w:val="000000" w:themeColor="text1"/>
          <w:szCs w:val="26"/>
        </w:rPr>
        <w:t>r</w:t>
      </w:r>
      <w:r w:rsidRPr="00306A22">
        <w:rPr>
          <w:color w:val="000000" w:themeColor="text1"/>
          <w:szCs w:val="26"/>
        </w:rPr>
        <w:t xml:space="preserve">espondent court </w:t>
      </w:r>
      <w:r w:rsidR="00137729">
        <w:rPr>
          <w:color w:val="000000" w:themeColor="text1"/>
          <w:szCs w:val="26"/>
        </w:rPr>
        <w:t xml:space="preserve">relied on the “pay first” rule </w:t>
      </w:r>
      <w:r w:rsidR="00662FF8">
        <w:rPr>
          <w:color w:val="000000" w:themeColor="text1"/>
          <w:szCs w:val="26"/>
        </w:rPr>
        <w:t>to sustain</w:t>
      </w:r>
      <w:r w:rsidRPr="00306A22">
        <w:rPr>
          <w:color w:val="000000" w:themeColor="text1"/>
          <w:szCs w:val="26"/>
        </w:rPr>
        <w:t xml:space="preserve"> the demurrer to </w:t>
      </w:r>
      <w:r w:rsidR="0060621C">
        <w:rPr>
          <w:color w:val="000000" w:themeColor="text1"/>
          <w:szCs w:val="26"/>
        </w:rPr>
        <w:t xml:space="preserve">the sixth </w:t>
      </w:r>
      <w:r w:rsidRPr="00306A22">
        <w:rPr>
          <w:szCs w:val="26"/>
        </w:rPr>
        <w:t>cause of action (challenging the Replenishment Fee) without leave</w:t>
      </w:r>
      <w:r w:rsidR="003D5856">
        <w:rPr>
          <w:szCs w:val="26"/>
        </w:rPr>
        <w:t>,</w:t>
      </w:r>
      <w:r w:rsidRPr="00306A22">
        <w:rPr>
          <w:szCs w:val="26"/>
        </w:rPr>
        <w:t xml:space="preserve"> and </w:t>
      </w:r>
      <w:r w:rsidR="00A548D5">
        <w:rPr>
          <w:szCs w:val="26"/>
        </w:rPr>
        <w:t xml:space="preserve">to </w:t>
      </w:r>
      <w:r w:rsidR="00662FF8">
        <w:rPr>
          <w:szCs w:val="26"/>
        </w:rPr>
        <w:t xml:space="preserve">sustain the demurer to </w:t>
      </w:r>
      <w:r w:rsidR="0060621C">
        <w:rPr>
          <w:szCs w:val="26"/>
        </w:rPr>
        <w:t xml:space="preserve">the fourteenth through eighteenth </w:t>
      </w:r>
      <w:r w:rsidRPr="00306A22">
        <w:rPr>
          <w:szCs w:val="26"/>
        </w:rPr>
        <w:t>cause</w:t>
      </w:r>
      <w:r w:rsidR="0060621C">
        <w:rPr>
          <w:szCs w:val="26"/>
        </w:rPr>
        <w:t>s</w:t>
      </w:r>
      <w:r w:rsidRPr="00306A22">
        <w:rPr>
          <w:szCs w:val="26"/>
        </w:rPr>
        <w:t xml:space="preserve"> of action (takings and due process claims) with leave</w:t>
      </w:r>
      <w:r w:rsidRPr="00306A22">
        <w:rPr>
          <w:color w:val="000000" w:themeColor="text1"/>
          <w:szCs w:val="26"/>
        </w:rPr>
        <w:t>.</w:t>
      </w:r>
      <w:r w:rsidR="0060621C">
        <w:rPr>
          <w:color w:val="000000" w:themeColor="text1"/>
          <w:szCs w:val="26"/>
        </w:rPr>
        <w:t xml:space="preserve"> </w:t>
      </w:r>
      <w:r w:rsidRPr="00306A22">
        <w:rPr>
          <w:color w:val="000000" w:themeColor="text1"/>
          <w:szCs w:val="26"/>
        </w:rPr>
        <w:t xml:space="preserve"> </w:t>
      </w:r>
      <w:r w:rsidRPr="00306A22">
        <w:rPr>
          <w:szCs w:val="26"/>
        </w:rPr>
        <w:t xml:space="preserve">In an attempt to plead itself out of that ruling and minimize any reliance on the unpaid Replenishment Fee, Mojave’s TAC challenges the Exempted Pumping Allotments in the same ordinance, as well as the other Implementing Actions such as the </w:t>
      </w:r>
      <w:r w:rsidR="00D26BB8">
        <w:rPr>
          <w:szCs w:val="26"/>
        </w:rPr>
        <w:t>Sustainable Yield Report</w:t>
      </w:r>
      <w:r w:rsidRPr="00306A22">
        <w:rPr>
          <w:szCs w:val="26"/>
        </w:rPr>
        <w:t xml:space="preserve"> and the Transient Pool and Fallowing Program.  </w:t>
      </w:r>
      <w:r w:rsidR="00A548D5">
        <w:rPr>
          <w:szCs w:val="26"/>
        </w:rPr>
        <w:t>We conclude</w:t>
      </w:r>
      <w:r w:rsidRPr="00306A22">
        <w:rPr>
          <w:szCs w:val="26"/>
        </w:rPr>
        <w:t xml:space="preserve"> this </w:t>
      </w:r>
      <w:r w:rsidR="00670187">
        <w:rPr>
          <w:szCs w:val="26"/>
        </w:rPr>
        <w:t>amounts to</w:t>
      </w:r>
      <w:r w:rsidRPr="00306A22">
        <w:rPr>
          <w:szCs w:val="26"/>
        </w:rPr>
        <w:t xml:space="preserve"> a distinction without a difference.</w:t>
      </w:r>
    </w:p>
    <w:p w:rsidR="00AD1437" w:rsidRPr="00306A22" w:rsidP="00A548D5" w14:paraId="7F93B9E2" w14:textId="33B38E28">
      <w:pPr>
        <w:keepNext/>
        <w:spacing w:line="480" w:lineRule="atLeast"/>
        <w:ind w:firstLine="1440"/>
        <w:rPr>
          <w:szCs w:val="26"/>
        </w:rPr>
      </w:pPr>
      <w:r w:rsidRPr="00306A22">
        <w:rPr>
          <w:szCs w:val="26"/>
        </w:rPr>
        <w:t>a.</w:t>
      </w:r>
      <w:r w:rsidRPr="00306A22">
        <w:rPr>
          <w:szCs w:val="26"/>
        </w:rPr>
        <w:tab/>
      </w:r>
      <w:r w:rsidRPr="00306A22">
        <w:rPr>
          <w:i/>
          <w:iCs/>
          <w:szCs w:val="26"/>
        </w:rPr>
        <w:t>Cause of Action No. 5</w:t>
      </w:r>
    </w:p>
    <w:p w:rsidR="00126C9F" w:rsidP="0050175D" w14:paraId="0B585396" w14:textId="5882C2E0">
      <w:pPr>
        <w:spacing w:line="480" w:lineRule="atLeast"/>
        <w:ind w:firstLine="1440"/>
        <w:rPr>
          <w:szCs w:val="26"/>
        </w:rPr>
      </w:pPr>
      <w:r w:rsidRPr="00306A22">
        <w:rPr>
          <w:szCs w:val="26"/>
        </w:rPr>
        <w:t xml:space="preserve">We first consider Mojave’s fifth cause of action, which challenges the Exempted Pumping Allotments in Ordinance No. 03-20.  </w:t>
      </w:r>
      <w:r w:rsidR="0050175D">
        <w:rPr>
          <w:szCs w:val="26"/>
        </w:rPr>
        <w:t xml:space="preserve">As noted, </w:t>
      </w:r>
      <w:r w:rsidRPr="00306A22" w:rsidR="0050175D">
        <w:rPr>
          <w:szCs w:val="26"/>
        </w:rPr>
        <w:t xml:space="preserve">Ordinance No. 03-20 </w:t>
      </w:r>
      <w:r w:rsidR="0050175D">
        <w:rPr>
          <w:szCs w:val="26"/>
        </w:rPr>
        <w:t>provided</w:t>
      </w:r>
      <w:r w:rsidRPr="00306A22" w:rsidR="0050175D">
        <w:rPr>
          <w:szCs w:val="26"/>
        </w:rPr>
        <w:t xml:space="preserve"> that all groundwater extractions (except those by federal and de minimis extractors) w</w:t>
      </w:r>
      <w:r w:rsidR="0050175D">
        <w:rPr>
          <w:szCs w:val="26"/>
        </w:rPr>
        <w:t>ould</w:t>
      </w:r>
      <w:r w:rsidRPr="00306A22" w:rsidR="0050175D">
        <w:rPr>
          <w:szCs w:val="26"/>
        </w:rPr>
        <w:t xml:space="preserve"> be subject to </w:t>
      </w:r>
      <w:r w:rsidR="0050175D">
        <w:rPr>
          <w:szCs w:val="26"/>
        </w:rPr>
        <w:t>the</w:t>
      </w:r>
      <w:r w:rsidRPr="00306A22" w:rsidR="0050175D">
        <w:rPr>
          <w:szCs w:val="26"/>
        </w:rPr>
        <w:t xml:space="preserve"> Replenishment Fee of $2,130 per acre</w:t>
      </w:r>
      <w:r w:rsidR="005E3BA8">
        <w:rPr>
          <w:szCs w:val="26"/>
        </w:rPr>
        <w:noBreakHyphen/>
      </w:r>
      <w:r w:rsidRPr="00306A22" w:rsidR="0050175D">
        <w:rPr>
          <w:szCs w:val="26"/>
        </w:rPr>
        <w:t>foot</w:t>
      </w:r>
      <w:r w:rsidRPr="002E2704" w:rsidR="0050175D">
        <w:rPr>
          <w:szCs w:val="26"/>
        </w:rPr>
        <w:t xml:space="preserve"> </w:t>
      </w:r>
      <w:r w:rsidRPr="00306A22" w:rsidR="0050175D">
        <w:rPr>
          <w:szCs w:val="26"/>
        </w:rPr>
        <w:t>starting in January 2021.</w:t>
      </w:r>
      <w:r w:rsidR="00D26BB8">
        <w:rPr>
          <w:szCs w:val="26"/>
        </w:rPr>
        <w:t xml:space="preserve"> </w:t>
      </w:r>
      <w:r w:rsidRPr="00306A22" w:rsidR="0050175D">
        <w:rPr>
          <w:b/>
          <w:bCs/>
          <w:szCs w:val="26"/>
        </w:rPr>
        <w:t xml:space="preserve"> </w:t>
      </w:r>
      <w:r w:rsidR="00A2383C">
        <w:rPr>
          <w:szCs w:val="26"/>
        </w:rPr>
        <w:t xml:space="preserve">In the subsequent paragraph, Ordinance No. 03-20 </w:t>
      </w:r>
      <w:r w:rsidR="003C46B8">
        <w:rPr>
          <w:szCs w:val="26"/>
        </w:rPr>
        <w:t>specified</w:t>
      </w:r>
      <w:r w:rsidR="00A548D5">
        <w:rPr>
          <w:szCs w:val="26"/>
        </w:rPr>
        <w:t xml:space="preserve"> how</w:t>
      </w:r>
      <w:r w:rsidRPr="00306A22" w:rsidR="0050175D">
        <w:rPr>
          <w:szCs w:val="26"/>
        </w:rPr>
        <w:t xml:space="preserve"> the Basin’s 7,650 acre</w:t>
      </w:r>
      <w:r w:rsidR="005E3BA8">
        <w:rPr>
          <w:szCs w:val="26"/>
        </w:rPr>
        <w:noBreakHyphen/>
      </w:r>
      <w:r w:rsidRPr="00306A22" w:rsidR="0050175D">
        <w:rPr>
          <w:szCs w:val="26"/>
        </w:rPr>
        <w:t xml:space="preserve">feet sustainable yield </w:t>
      </w:r>
      <w:r w:rsidR="00A548D5">
        <w:rPr>
          <w:szCs w:val="26"/>
        </w:rPr>
        <w:t xml:space="preserve">should be divided </w:t>
      </w:r>
      <w:r w:rsidRPr="00306A22" w:rsidR="0050175D">
        <w:rPr>
          <w:szCs w:val="26"/>
        </w:rPr>
        <w:t xml:space="preserve">among certain municipal entities, granting those entities annual Exempted Pumping Allotments in varying amounts that are not subject to the </w:t>
      </w:r>
      <w:r w:rsidR="004730C4">
        <w:rPr>
          <w:szCs w:val="26"/>
        </w:rPr>
        <w:t>Replenishment F</w:t>
      </w:r>
      <w:r w:rsidRPr="00306A22" w:rsidR="0050175D">
        <w:rPr>
          <w:szCs w:val="26"/>
        </w:rPr>
        <w:t xml:space="preserve">ee. </w:t>
      </w:r>
    </w:p>
    <w:p w:rsidR="00AD1437" w:rsidRPr="00306A22" w:rsidP="00126C9F" w14:paraId="614F1DA4" w14:textId="47AD8915">
      <w:pPr>
        <w:spacing w:line="480" w:lineRule="atLeast"/>
        <w:ind w:firstLine="1440"/>
        <w:rPr>
          <w:b/>
          <w:bCs/>
          <w:szCs w:val="26"/>
        </w:rPr>
      </w:pPr>
      <w:r>
        <w:rPr>
          <w:szCs w:val="26"/>
        </w:rPr>
        <w:t>Mojave did not receive</w:t>
      </w:r>
      <w:r w:rsidRPr="00306A22" w:rsidR="0050175D">
        <w:rPr>
          <w:szCs w:val="26"/>
        </w:rPr>
        <w:t xml:space="preserve"> an Exempted Pumping Allotment</w:t>
      </w:r>
      <w:r>
        <w:rPr>
          <w:szCs w:val="26"/>
        </w:rPr>
        <w:t>, so in its fifth cause of action</w:t>
      </w:r>
      <w:r w:rsidRPr="00306A22">
        <w:rPr>
          <w:szCs w:val="26"/>
        </w:rPr>
        <w:t xml:space="preserve">, </w:t>
      </w:r>
      <w:r w:rsidR="00A1085B">
        <w:rPr>
          <w:szCs w:val="26"/>
        </w:rPr>
        <w:t>it</w:t>
      </w:r>
      <w:r w:rsidRPr="00306A22">
        <w:rPr>
          <w:szCs w:val="26"/>
        </w:rPr>
        <w:t xml:space="preserve"> alleges the Authority arbitrarily and capriciously granted Exempted Pumping Allotment to certain users</w:t>
      </w:r>
      <w:r w:rsidR="00863DD7">
        <w:rPr>
          <w:szCs w:val="26"/>
        </w:rPr>
        <w:t>,</w:t>
      </w:r>
      <w:r w:rsidRPr="00306A22">
        <w:rPr>
          <w:szCs w:val="26"/>
        </w:rPr>
        <w:t xml:space="preserve"> but not Mojave, </w:t>
      </w:r>
      <w:r>
        <w:rPr>
          <w:szCs w:val="26"/>
        </w:rPr>
        <w:t>in violation of</w:t>
      </w:r>
      <w:r w:rsidR="00563651">
        <w:rPr>
          <w:szCs w:val="26"/>
        </w:rPr>
        <w:t xml:space="preserve"> </w:t>
      </w:r>
      <w:r w:rsidRPr="00306A22">
        <w:rPr>
          <w:szCs w:val="26"/>
        </w:rPr>
        <w:t xml:space="preserve">Mojave’s common law and constitutional rights to water. </w:t>
      </w:r>
      <w:r w:rsidRPr="00306A22">
        <w:rPr>
          <w:b/>
          <w:bCs/>
          <w:szCs w:val="26"/>
        </w:rPr>
        <w:t xml:space="preserve"> </w:t>
      </w:r>
      <w:r w:rsidRPr="00306A22">
        <w:rPr>
          <w:szCs w:val="26"/>
        </w:rPr>
        <w:t xml:space="preserve">According to Mojave, “because [Mojave was] denied any [Exempted] Pumping [Allotments], [Mojave] can no longer rely on [its] prior and paramount overlying right to pump [its] correlative share of the Basin’s native yield, and instead must pay the Replenishment Fee.”  (TAC ¶ 402.)  Mojave therefore asked respondent court to </w:t>
      </w:r>
      <w:r w:rsidR="00563651">
        <w:rPr>
          <w:szCs w:val="26"/>
        </w:rPr>
        <w:t>compel</w:t>
      </w:r>
      <w:r w:rsidRPr="00306A22">
        <w:rPr>
          <w:szCs w:val="26"/>
        </w:rPr>
        <w:t xml:space="preserve"> the Authority to prevent the implementation of the Exempted Pumping Allotments and to comply with all applicable laws in adopting accurate and legal allotments. </w:t>
      </w:r>
    </w:p>
    <w:p w:rsidR="00E71F8E" w:rsidP="00AD1437" w14:paraId="47945C03" w14:textId="77777777">
      <w:pPr>
        <w:spacing w:line="480" w:lineRule="atLeast"/>
        <w:ind w:firstLine="1440"/>
        <w:rPr>
          <w:szCs w:val="26"/>
        </w:rPr>
      </w:pPr>
      <w:r w:rsidRPr="00306A22">
        <w:rPr>
          <w:szCs w:val="26"/>
        </w:rPr>
        <w:t>Mojave insist</w:t>
      </w:r>
      <w:r w:rsidR="001D78D5">
        <w:rPr>
          <w:szCs w:val="26"/>
        </w:rPr>
        <w:t>s</w:t>
      </w:r>
      <w:r w:rsidRPr="00306A22">
        <w:rPr>
          <w:szCs w:val="26"/>
        </w:rPr>
        <w:t xml:space="preserve"> it </w:t>
      </w:r>
      <w:r w:rsidR="001D78D5">
        <w:rPr>
          <w:szCs w:val="26"/>
        </w:rPr>
        <w:t>i</w:t>
      </w:r>
      <w:r w:rsidRPr="00306A22">
        <w:rPr>
          <w:szCs w:val="26"/>
        </w:rPr>
        <w:t xml:space="preserve">s not challenging the Replenishment Fee, but rather the Exempted Pumping Allotments, which are not a tax and therefore not subject to the “pay first” rule. </w:t>
      </w:r>
      <w:r>
        <w:rPr>
          <w:szCs w:val="26"/>
        </w:rPr>
        <w:t xml:space="preserve"> </w:t>
      </w:r>
      <w:r w:rsidRPr="00306A22">
        <w:rPr>
          <w:szCs w:val="26"/>
        </w:rPr>
        <w:t>Respondent court was not persuaded</w:t>
      </w:r>
      <w:r w:rsidR="003E2394">
        <w:rPr>
          <w:szCs w:val="26"/>
        </w:rPr>
        <w:t>; neither</w:t>
      </w:r>
      <w:r w:rsidRPr="00306A22">
        <w:rPr>
          <w:szCs w:val="26"/>
        </w:rPr>
        <w:t xml:space="preserve"> are we.  </w:t>
      </w:r>
    </w:p>
    <w:p w:rsidR="00AD1437" w:rsidRPr="00306A22" w:rsidP="00AD1437" w14:paraId="3331173D" w14:textId="1E3A8F33">
      <w:pPr>
        <w:spacing w:line="480" w:lineRule="atLeast"/>
        <w:ind w:firstLine="1440"/>
        <w:rPr>
          <w:szCs w:val="26"/>
        </w:rPr>
      </w:pPr>
      <w:r w:rsidRPr="00306A22">
        <w:rPr>
          <w:szCs w:val="26"/>
        </w:rPr>
        <w:t xml:space="preserve">In sustaining the Authority’s demurrer to this cause of action, respondent court determined </w:t>
      </w:r>
      <w:r w:rsidR="0060621C">
        <w:rPr>
          <w:szCs w:val="26"/>
        </w:rPr>
        <w:t>“</w:t>
      </w:r>
      <w:r w:rsidRPr="00306A22">
        <w:rPr>
          <w:szCs w:val="26"/>
        </w:rPr>
        <w:t>this cause of action is simply a disguised challenge to the Replenishment Fee itself.”</w:t>
      </w:r>
      <w:r w:rsidR="0060621C">
        <w:rPr>
          <w:szCs w:val="26"/>
        </w:rPr>
        <w:t xml:space="preserve"> </w:t>
      </w:r>
      <w:r w:rsidRPr="00306A22">
        <w:rPr>
          <w:szCs w:val="26"/>
        </w:rPr>
        <w:t xml:space="preserve"> “The Court does not see how the [Exempted] Pumping [Allotments] cause Mojave any harm other than requiring it to pay a larger Replenishment Fee than extractors who received allocations.  This means a challenge to the [Exempted] Pumping [Allotments] is effectively a challenge to the Replenishment Fee itself, which is barred by the ‘pay first, litigate later’ rule.” </w:t>
      </w:r>
    </w:p>
    <w:p w:rsidR="00AD1437" w:rsidRPr="00306A22" w:rsidP="00AD1437" w14:paraId="7D553FE5" w14:textId="57A962C0">
      <w:pPr>
        <w:spacing w:line="480" w:lineRule="atLeast"/>
        <w:ind w:firstLine="1440"/>
        <w:rPr>
          <w:szCs w:val="26"/>
        </w:rPr>
      </w:pPr>
      <w:r w:rsidRPr="00306A22">
        <w:rPr>
          <w:szCs w:val="26"/>
        </w:rPr>
        <w:t>We agree.  The Replenishment Fee and the Exempted Pumping Allotment</w:t>
      </w:r>
      <w:r w:rsidR="00B159C6">
        <w:rPr>
          <w:szCs w:val="26"/>
        </w:rPr>
        <w:t xml:space="preserve"> provisions</w:t>
      </w:r>
      <w:r w:rsidRPr="00306A22">
        <w:rPr>
          <w:szCs w:val="26"/>
        </w:rPr>
        <w:t xml:space="preserve"> appear on the same page and in the same section of Ordinance No. 03-20, all under the heading, “Section 3. Basin Replenishment Fee.”</w:t>
      </w:r>
      <w:r w:rsidR="0060621C">
        <w:rPr>
          <w:szCs w:val="26"/>
        </w:rPr>
        <w:t xml:space="preserve"> </w:t>
      </w:r>
      <w:r w:rsidRPr="00306A22">
        <w:rPr>
          <w:szCs w:val="26"/>
        </w:rPr>
        <w:t xml:space="preserve"> </w:t>
      </w:r>
      <w:r w:rsidR="001A1A72">
        <w:rPr>
          <w:szCs w:val="26"/>
        </w:rPr>
        <w:t>T</w:t>
      </w:r>
      <w:r w:rsidRPr="00306A22">
        <w:rPr>
          <w:szCs w:val="26"/>
        </w:rPr>
        <w:t xml:space="preserve">hey </w:t>
      </w:r>
      <w:r w:rsidR="001A1A72">
        <w:rPr>
          <w:szCs w:val="26"/>
        </w:rPr>
        <w:t xml:space="preserve">clearly operate </w:t>
      </w:r>
      <w:r w:rsidRPr="00306A22">
        <w:rPr>
          <w:szCs w:val="26"/>
        </w:rPr>
        <w:t>together:  the greater an entity’s Exempted Pumping</w:t>
      </w:r>
      <w:r w:rsidR="0060621C">
        <w:rPr>
          <w:szCs w:val="26"/>
        </w:rPr>
        <w:t xml:space="preserve"> Allotment</w:t>
      </w:r>
      <w:r w:rsidRPr="00306A22">
        <w:rPr>
          <w:szCs w:val="26"/>
        </w:rPr>
        <w:t>, the lower its Replenishment Fee will be.  Because Mojave did not receive any Exempted Pumping</w:t>
      </w:r>
      <w:r w:rsidR="0060621C">
        <w:rPr>
          <w:szCs w:val="26"/>
        </w:rPr>
        <w:t xml:space="preserve"> Allotment</w:t>
      </w:r>
      <w:r w:rsidRPr="00306A22">
        <w:rPr>
          <w:szCs w:val="26"/>
        </w:rPr>
        <w:t>, it must pay a Replenishment Fee on every acre</w:t>
      </w:r>
      <w:r w:rsidR="00793CF9">
        <w:rPr>
          <w:szCs w:val="26"/>
        </w:rPr>
        <w:noBreakHyphen/>
      </w:r>
      <w:r w:rsidRPr="00306A22">
        <w:rPr>
          <w:szCs w:val="26"/>
        </w:rPr>
        <w:t xml:space="preserve">foot of groundwater it extracts.  </w:t>
      </w:r>
      <w:r w:rsidR="001F6D15">
        <w:rPr>
          <w:szCs w:val="26"/>
        </w:rPr>
        <w:t>I</w:t>
      </w:r>
      <w:r w:rsidRPr="00306A22">
        <w:rPr>
          <w:szCs w:val="26"/>
        </w:rPr>
        <w:t xml:space="preserve">f Mojave were to succeed in a legal challenge to the Exempted Pumping </w:t>
      </w:r>
      <w:r w:rsidR="0060621C">
        <w:rPr>
          <w:szCs w:val="26"/>
        </w:rPr>
        <w:t xml:space="preserve">Allotment </w:t>
      </w:r>
      <w:r w:rsidRPr="00306A22">
        <w:rPr>
          <w:szCs w:val="26"/>
        </w:rPr>
        <w:t xml:space="preserve">and obtain an order that it should receive a certain portion of the annual sustainable yield, the net result would be a lower Replenishment Fee.  </w:t>
      </w:r>
    </w:p>
    <w:p w:rsidR="00AD1437" w:rsidRPr="00306A22" w:rsidP="00AD1437" w14:paraId="4A8131FF" w14:textId="4915617A">
      <w:pPr>
        <w:spacing w:line="480" w:lineRule="atLeast"/>
        <w:ind w:firstLine="1440"/>
        <w:rPr>
          <w:szCs w:val="26"/>
        </w:rPr>
      </w:pPr>
      <w:r w:rsidRPr="00306A22">
        <w:rPr>
          <w:szCs w:val="26"/>
        </w:rPr>
        <w:t>Mojave insists it is challenging the Authority’s illegal determination that Mojave holds “inferior” water rights and should receive no allocation of native groundwater.</w:t>
      </w:r>
      <w:r w:rsidR="0060621C">
        <w:rPr>
          <w:szCs w:val="26"/>
        </w:rPr>
        <w:t xml:space="preserve"> </w:t>
      </w:r>
      <w:r w:rsidRPr="00306A22">
        <w:rPr>
          <w:szCs w:val="26"/>
        </w:rPr>
        <w:t xml:space="preserve"> </w:t>
      </w:r>
      <w:r w:rsidR="001A1A72">
        <w:rPr>
          <w:szCs w:val="26"/>
        </w:rPr>
        <w:t>Again, t</w:t>
      </w:r>
      <w:r w:rsidRPr="00306A22">
        <w:rPr>
          <w:szCs w:val="26"/>
        </w:rPr>
        <w:t>his is not a meaningful distinction.  In our view, challenging the A</w:t>
      </w:r>
      <w:r w:rsidR="004169B1">
        <w:rPr>
          <w:szCs w:val="26"/>
        </w:rPr>
        <w:t>uthority’</w:t>
      </w:r>
      <w:r w:rsidRPr="00306A22">
        <w:rPr>
          <w:szCs w:val="26"/>
        </w:rPr>
        <w:t>s determination that Mojave is not entitled to free groundwater and therefore must pay the Replenishment Fee is ultimately the same thing as challenging the A</w:t>
      </w:r>
      <w:r w:rsidR="004169B1">
        <w:rPr>
          <w:szCs w:val="26"/>
        </w:rPr>
        <w:t>uthority</w:t>
      </w:r>
      <w:r w:rsidRPr="00306A22">
        <w:rPr>
          <w:szCs w:val="26"/>
        </w:rPr>
        <w:t xml:space="preserve">’s determination that Mojave must pay the Replenishment Fee.  </w:t>
      </w:r>
    </w:p>
    <w:p w:rsidR="00AD1437" w:rsidRPr="00306A22" w:rsidP="00AD1437" w14:paraId="5967DC93" w14:textId="76B1D86C">
      <w:pPr>
        <w:spacing w:line="480" w:lineRule="atLeast"/>
        <w:ind w:firstLine="1440"/>
        <w:rPr>
          <w:szCs w:val="26"/>
        </w:rPr>
      </w:pPr>
      <w:r w:rsidRPr="00306A22">
        <w:rPr>
          <w:szCs w:val="26"/>
        </w:rPr>
        <w:t xml:space="preserve">Citing </w:t>
      </w:r>
      <w:bookmarkStart w:id="85" w:name="dabmci_60e3bc589cd94069a35f00cec37aa0c6"/>
      <w:r w:rsidRPr="00306A22">
        <w:rPr>
          <w:i/>
          <w:iCs/>
          <w:szCs w:val="26"/>
        </w:rPr>
        <w:t xml:space="preserve">Calfarm, supra, </w:t>
      </w:r>
      <w:r w:rsidRPr="00306A22">
        <w:rPr>
          <w:szCs w:val="26"/>
        </w:rPr>
        <w:t>48 Cal.3d 805</w:t>
      </w:r>
      <w:bookmarkEnd w:id="85"/>
      <w:r w:rsidRPr="00306A22">
        <w:rPr>
          <w:szCs w:val="26"/>
        </w:rPr>
        <w:t>, Mojave insists the Exempted Pumping Allotment section of the ordinance is severable from the Replenishment Fee provision and therefore subject to judicial review notwithstanding the “pay first” rule.</w:t>
      </w:r>
      <w:r w:rsidR="0060621C">
        <w:rPr>
          <w:szCs w:val="26"/>
        </w:rPr>
        <w:t xml:space="preserve"> </w:t>
      </w:r>
      <w:r w:rsidRPr="00306A22">
        <w:rPr>
          <w:szCs w:val="26"/>
        </w:rPr>
        <w:t xml:space="preserve"> </w:t>
      </w:r>
      <w:r w:rsidR="001A1A72">
        <w:rPr>
          <w:szCs w:val="26"/>
        </w:rPr>
        <w:t>We cannot agree.</w:t>
      </w:r>
      <w:r w:rsidRPr="00306A22">
        <w:rPr>
          <w:szCs w:val="26"/>
        </w:rPr>
        <w:t xml:space="preserve">  To be subject to review, the invalid provision must be, among other things, grammatically severable, in that it “constitutes a distinct and separate provision [that] can be removed as a whole without affecting the wording of any other provision.” </w:t>
      </w:r>
      <w:r w:rsidRPr="00306A22">
        <w:rPr>
          <w:b/>
          <w:bCs/>
          <w:szCs w:val="26"/>
        </w:rPr>
        <w:t xml:space="preserve"> </w:t>
      </w:r>
      <w:r w:rsidRPr="00306A22">
        <w:rPr>
          <w:szCs w:val="26"/>
        </w:rPr>
        <w:t>(</w:t>
      </w:r>
      <w:bookmarkStart w:id="86" w:name="dabmci_c7d2d5cd0102417b9168d0131305b1d2"/>
      <w:r w:rsidRPr="00306A22">
        <w:rPr>
          <w:i/>
          <w:iCs/>
          <w:szCs w:val="26"/>
        </w:rPr>
        <w:t>Id.</w:t>
      </w:r>
      <w:r w:rsidRPr="00306A22">
        <w:rPr>
          <w:szCs w:val="26"/>
        </w:rPr>
        <w:t xml:space="preserve"> at p.</w:t>
      </w:r>
      <w:r w:rsidR="0060621C">
        <w:rPr>
          <w:szCs w:val="26"/>
        </w:rPr>
        <w:t> </w:t>
      </w:r>
      <w:r w:rsidRPr="00306A22">
        <w:rPr>
          <w:szCs w:val="26"/>
        </w:rPr>
        <w:t>822</w:t>
      </w:r>
      <w:bookmarkEnd w:id="86"/>
      <w:r w:rsidRPr="00306A22">
        <w:rPr>
          <w:szCs w:val="26"/>
        </w:rPr>
        <w:t>.)  In this case, the Replenishment Fee and the Exempted Pumping Allotment chart all appear in the same section of Ordinance No. 03-20, all under the heading, “Section 3. Basin Replenishment Fee.”</w:t>
      </w:r>
    </w:p>
    <w:p w:rsidR="00AD1437" w:rsidRPr="00306A22" w:rsidP="00AD1437" w14:paraId="2B9D8CFA" w14:textId="2F12505B">
      <w:pPr>
        <w:spacing w:line="480" w:lineRule="atLeast"/>
        <w:ind w:firstLine="1440"/>
        <w:rPr>
          <w:szCs w:val="26"/>
        </w:rPr>
      </w:pPr>
      <w:r w:rsidRPr="00306A22">
        <w:rPr>
          <w:szCs w:val="26"/>
        </w:rPr>
        <w:t xml:space="preserve">Accordingly, if Mojave desires to challenge the fact that it did not receive an Exempted Pumping Allotment under Ordinance </w:t>
      </w:r>
      <w:r w:rsidR="00A2383C">
        <w:rPr>
          <w:szCs w:val="26"/>
        </w:rPr>
        <w:t xml:space="preserve">No. </w:t>
      </w:r>
      <w:r w:rsidRPr="00306A22">
        <w:rPr>
          <w:szCs w:val="26"/>
        </w:rPr>
        <w:t>03-20</w:t>
      </w:r>
      <w:r w:rsidR="00A3271F">
        <w:rPr>
          <w:szCs w:val="26"/>
        </w:rPr>
        <w:t xml:space="preserve"> in violation of its alleged water rights</w:t>
      </w:r>
      <w:r w:rsidRPr="00306A22">
        <w:rPr>
          <w:szCs w:val="26"/>
        </w:rPr>
        <w:t xml:space="preserve">, it must first pay </w:t>
      </w:r>
      <w:r w:rsidR="004019B3">
        <w:rPr>
          <w:szCs w:val="26"/>
        </w:rPr>
        <w:t>the Replenishment Fee</w:t>
      </w:r>
      <w:r w:rsidRPr="00306A22">
        <w:rPr>
          <w:szCs w:val="26"/>
        </w:rPr>
        <w:t xml:space="preserve"> due under that </w:t>
      </w:r>
      <w:r w:rsidR="00CE401C">
        <w:rPr>
          <w:szCs w:val="26"/>
        </w:rPr>
        <w:t>same</w:t>
      </w:r>
      <w:r w:rsidRPr="00306A22">
        <w:rPr>
          <w:szCs w:val="26"/>
        </w:rPr>
        <w:t xml:space="preserve"> ordinance.  </w:t>
      </w:r>
      <w:r w:rsidRPr="00306A22" w:rsidR="00B3003A">
        <w:rPr>
          <w:szCs w:val="26"/>
        </w:rPr>
        <w:t>Respondent court did not err in sustaining the Authority’s demurrer on the fifth cause of action.</w:t>
      </w:r>
    </w:p>
    <w:p w:rsidR="00AD1437" w:rsidRPr="00306A22" w:rsidP="001A1A72" w14:paraId="56361C8D" w14:textId="6CB7CEAD">
      <w:pPr>
        <w:keepNext/>
        <w:spacing w:line="480" w:lineRule="atLeast"/>
        <w:ind w:firstLine="1440"/>
        <w:rPr>
          <w:szCs w:val="26"/>
        </w:rPr>
      </w:pPr>
      <w:r w:rsidRPr="00306A22">
        <w:rPr>
          <w:szCs w:val="26"/>
        </w:rPr>
        <w:t>b.</w:t>
      </w:r>
      <w:r w:rsidRPr="00306A22">
        <w:rPr>
          <w:szCs w:val="26"/>
        </w:rPr>
        <w:tab/>
      </w:r>
      <w:r w:rsidRPr="00306A22">
        <w:rPr>
          <w:i/>
          <w:iCs/>
          <w:szCs w:val="26"/>
        </w:rPr>
        <w:t>Cause of Action Nos. 9-11</w:t>
      </w:r>
    </w:p>
    <w:p w:rsidR="00AD1437" w:rsidRPr="00306A22" w:rsidP="00AD1437" w14:paraId="74F2285F" w14:textId="0C1F18B6">
      <w:pPr>
        <w:spacing w:line="480" w:lineRule="atLeast"/>
        <w:ind w:firstLine="1440"/>
        <w:rPr>
          <w:szCs w:val="26"/>
        </w:rPr>
      </w:pPr>
      <w:r w:rsidRPr="00306A22">
        <w:rPr>
          <w:szCs w:val="26"/>
        </w:rPr>
        <w:t xml:space="preserve">That leaves Mojave’s takings causes of action.  As noted, </w:t>
      </w:r>
      <w:r w:rsidR="0060621C">
        <w:rPr>
          <w:szCs w:val="26"/>
        </w:rPr>
        <w:t xml:space="preserve">the ninth through eleventh </w:t>
      </w:r>
      <w:r w:rsidRPr="00306A22">
        <w:rPr>
          <w:szCs w:val="26"/>
        </w:rPr>
        <w:t>cause</w:t>
      </w:r>
      <w:r w:rsidR="0060621C">
        <w:rPr>
          <w:szCs w:val="26"/>
        </w:rPr>
        <w:t>s</w:t>
      </w:r>
      <w:r w:rsidRPr="00306A22">
        <w:rPr>
          <w:szCs w:val="26"/>
        </w:rPr>
        <w:t xml:space="preserve"> of action</w:t>
      </w:r>
      <w:r w:rsidR="0060621C">
        <w:rPr>
          <w:szCs w:val="26"/>
        </w:rPr>
        <w:t xml:space="preserve"> </w:t>
      </w:r>
      <w:r w:rsidRPr="00306A22">
        <w:rPr>
          <w:szCs w:val="26"/>
        </w:rPr>
        <w:t xml:space="preserve">of the TAC allege that the Authority, through the adoption of the Exempted Pumping Allotments and other Implementing Actions (excluding the Replenishment Fee), has deprived Mojave of all economically beneficial use of its water rights and pistachio trees, and that this amounts to a physical and regulatory taking of private property without just compensation in violation of the state and federal </w:t>
      </w:r>
      <w:r w:rsidR="0060621C">
        <w:rPr>
          <w:szCs w:val="26"/>
        </w:rPr>
        <w:t>C</w:t>
      </w:r>
      <w:r w:rsidRPr="00306A22">
        <w:rPr>
          <w:szCs w:val="26"/>
        </w:rPr>
        <w:t xml:space="preserve">onstitutions and </w:t>
      </w:r>
      <w:bookmarkStart w:id="87" w:name="dabmci_2878200af5e74adb89cd89bbfb231788"/>
      <w:r w:rsidRPr="00306A22">
        <w:rPr>
          <w:szCs w:val="26"/>
        </w:rPr>
        <w:t>section 1983</w:t>
      </w:r>
      <w:r w:rsidR="0060621C">
        <w:rPr>
          <w:szCs w:val="26"/>
        </w:rPr>
        <w:t xml:space="preserve"> of title 42 of the United States Code</w:t>
      </w:r>
      <w:bookmarkEnd w:id="87"/>
      <w:r w:rsidRPr="00306A22">
        <w:rPr>
          <w:szCs w:val="26"/>
        </w:rPr>
        <w:t>.</w:t>
      </w:r>
      <w:r w:rsidR="0060621C">
        <w:rPr>
          <w:szCs w:val="26"/>
        </w:rPr>
        <w:t xml:space="preserve"> </w:t>
      </w:r>
      <w:r w:rsidRPr="00306A22">
        <w:rPr>
          <w:szCs w:val="26"/>
        </w:rPr>
        <w:t xml:space="preserve"> Mojave claims the Authority has taken its vested overlying water right to pump native groundwater from the Basin for use on its land and made Mojave’s water available for public use by others without just compensation.</w:t>
      </w:r>
      <w:r>
        <w:rPr>
          <w:rStyle w:val="FootnoteReference"/>
          <w:szCs w:val="26"/>
        </w:rPr>
        <w:footnoteReference w:id="23"/>
      </w:r>
      <w:r w:rsidRPr="00306A22">
        <w:rPr>
          <w:szCs w:val="26"/>
        </w:rPr>
        <w:t xml:space="preserve"> </w:t>
      </w:r>
    </w:p>
    <w:p w:rsidR="00AD1437" w:rsidRPr="00306A22" w:rsidP="00AD1437" w14:paraId="0903B043" w14:textId="3BC51521">
      <w:pPr>
        <w:spacing w:line="480" w:lineRule="atLeast"/>
        <w:ind w:firstLine="1440"/>
        <w:rPr>
          <w:szCs w:val="26"/>
        </w:rPr>
      </w:pPr>
      <w:r w:rsidRPr="00306A22">
        <w:rPr>
          <w:szCs w:val="26"/>
        </w:rPr>
        <w:t>Respondent court was not persuaded.  As for the regulatory takings claims (</w:t>
      </w:r>
      <w:r w:rsidR="005E3BA8">
        <w:rPr>
          <w:szCs w:val="26"/>
        </w:rPr>
        <w:t>the ninth and tenth causes of action</w:t>
      </w:r>
      <w:r w:rsidRPr="00306A22">
        <w:rPr>
          <w:szCs w:val="26"/>
        </w:rPr>
        <w:t>), the court reasoned that the TAC specifically removed</w:t>
      </w:r>
      <w:r w:rsidR="00167E26">
        <w:rPr>
          <w:szCs w:val="26"/>
        </w:rPr>
        <w:t xml:space="preserve"> any</w:t>
      </w:r>
      <w:r w:rsidRPr="00306A22">
        <w:rPr>
          <w:szCs w:val="26"/>
        </w:rPr>
        <w:t xml:space="preserve"> reference to the Replenishment Fee, and these claims are instead based on the Authority’s groundwater sustainability plan, the Sustainable Yield Report, Exempted Pumping Allotments, and Transient Pool and Fallowing Program, none of which, “</w:t>
      </w:r>
      <w:r w:rsidRPr="00306A22">
        <w:rPr>
          <w:i/>
          <w:iCs/>
          <w:szCs w:val="26"/>
        </w:rPr>
        <w:t>without reference to the Replenishment Fee,</w:t>
      </w:r>
      <w:r w:rsidRPr="00306A22">
        <w:rPr>
          <w:szCs w:val="26"/>
        </w:rPr>
        <w:t xml:space="preserve"> [has] an economic effect on Mojave.”</w:t>
      </w:r>
      <w:r w:rsidR="005E3BA8">
        <w:rPr>
          <w:szCs w:val="26"/>
        </w:rPr>
        <w:t xml:space="preserve"> </w:t>
      </w:r>
      <w:r w:rsidRPr="00306A22">
        <w:rPr>
          <w:szCs w:val="26"/>
        </w:rPr>
        <w:t xml:space="preserve"> As for the physical takings claim (</w:t>
      </w:r>
      <w:r w:rsidR="005E3BA8">
        <w:rPr>
          <w:szCs w:val="26"/>
        </w:rPr>
        <w:t xml:space="preserve">the eleventh </w:t>
      </w:r>
      <w:r w:rsidRPr="00306A22">
        <w:rPr>
          <w:szCs w:val="26"/>
        </w:rPr>
        <w:t>cause of action), the court reasoned that Mojave had not alleged it was in fact physically prevented from extracting water, and thus had not stated a claim.</w:t>
      </w:r>
    </w:p>
    <w:p w:rsidR="00167E26" w:rsidP="00AD1437" w14:paraId="4C71819B" w14:textId="0AED655A">
      <w:pPr>
        <w:spacing w:line="480" w:lineRule="atLeast"/>
        <w:ind w:firstLine="1440"/>
        <w:rPr>
          <w:szCs w:val="26"/>
        </w:rPr>
      </w:pPr>
      <w:r w:rsidRPr="00306A22">
        <w:rPr>
          <w:szCs w:val="26"/>
        </w:rPr>
        <w:t>We agree</w:t>
      </w:r>
      <w:r w:rsidR="001A1A72">
        <w:rPr>
          <w:szCs w:val="26"/>
        </w:rPr>
        <w:t xml:space="preserve"> with </w:t>
      </w:r>
      <w:r w:rsidR="00207FC4">
        <w:rPr>
          <w:szCs w:val="26"/>
        </w:rPr>
        <w:t>respondent</w:t>
      </w:r>
      <w:r w:rsidR="001A1A72">
        <w:rPr>
          <w:szCs w:val="26"/>
        </w:rPr>
        <w:t xml:space="preserve"> court’s analysis</w:t>
      </w:r>
      <w:r w:rsidRPr="00306A22">
        <w:rPr>
          <w:szCs w:val="26"/>
        </w:rPr>
        <w:t>.  If Mojave had paid the Replenishment Fee in compliance with the “pay first” rule, it could perhaps state a taking</w:t>
      </w:r>
      <w:r w:rsidR="00CD013A">
        <w:rPr>
          <w:szCs w:val="26"/>
        </w:rPr>
        <w:t>s</w:t>
      </w:r>
      <w:r w:rsidRPr="00306A22">
        <w:rPr>
          <w:szCs w:val="26"/>
        </w:rPr>
        <w:t xml:space="preserve"> cause of action on the theory that the Replenishment Fee makes Mojave’s agricultural operations economically unviable because the fees for extracting groundwater are so high.  </w:t>
      </w:r>
      <w:r w:rsidR="00CE401C">
        <w:rPr>
          <w:szCs w:val="26"/>
        </w:rPr>
        <w:t>Perhaps b</w:t>
      </w:r>
      <w:r w:rsidRPr="00306A22">
        <w:rPr>
          <w:szCs w:val="26"/>
        </w:rPr>
        <w:t xml:space="preserve">ecause Mojave has not paid the fee, however, it </w:t>
      </w:r>
      <w:r w:rsidR="00CE401C">
        <w:rPr>
          <w:szCs w:val="26"/>
        </w:rPr>
        <w:t>omitted</w:t>
      </w:r>
      <w:r w:rsidRPr="00306A22">
        <w:rPr>
          <w:szCs w:val="26"/>
        </w:rPr>
        <w:t xml:space="preserve"> any reference to the Replenishment Fee from the TAC’s takings claims, instead relying on the other Implementing Actions.  </w:t>
      </w:r>
    </w:p>
    <w:p w:rsidR="007865B4" w:rsidP="00A211D7" w14:paraId="06FD9A78" w14:textId="040E7209">
      <w:pPr>
        <w:spacing w:line="480" w:lineRule="atLeast"/>
        <w:ind w:firstLine="1440"/>
        <w:rPr>
          <w:b/>
        </w:rPr>
      </w:pPr>
      <w:r>
        <w:rPr>
          <w:szCs w:val="26"/>
        </w:rPr>
        <w:t xml:space="preserve">As </w:t>
      </w:r>
      <w:r w:rsidR="001E28A0">
        <w:rPr>
          <w:szCs w:val="26"/>
        </w:rPr>
        <w:t>respondent</w:t>
      </w:r>
      <w:r>
        <w:rPr>
          <w:szCs w:val="26"/>
        </w:rPr>
        <w:t xml:space="preserve"> court correctly concluded, t</w:t>
      </w:r>
      <w:r w:rsidRPr="00306A22" w:rsidR="00AD1437">
        <w:rPr>
          <w:szCs w:val="26"/>
        </w:rPr>
        <w:t xml:space="preserve">his attempt to escape the previous demurrer ruling </w:t>
      </w:r>
      <w:r w:rsidR="001A1A72">
        <w:rPr>
          <w:szCs w:val="26"/>
        </w:rPr>
        <w:t>fails</w:t>
      </w:r>
      <w:r w:rsidRPr="00306A22" w:rsidR="00AD1437">
        <w:rPr>
          <w:szCs w:val="26"/>
        </w:rPr>
        <w:t xml:space="preserve"> because the only Implementing Action with an economic effect on Mojave is the Replenishment Fee.  Since none of the other Implementing Actions physically prevent Mojave from extracting groundwater or interfere economically with Mojave’s ability to extract groundwater, Mojave’s TAC fails to state a cause of action for a taking.</w:t>
      </w:r>
    </w:p>
    <w:p w:rsidR="003C354A" w:rsidP="00E03C31" w14:paraId="05A9BFB8" w14:textId="0150774E">
      <w:pPr>
        <w:keepNext/>
        <w:tabs>
          <w:tab w:val="left" w:pos="1440"/>
          <w:tab w:val="left" w:pos="2880"/>
          <w:tab w:val="left" w:pos="4320"/>
          <w:tab w:val="left" w:pos="5760"/>
          <w:tab w:val="left" w:pos="7200"/>
          <w:tab w:val="left" w:pos="8640"/>
        </w:tabs>
        <w:spacing w:before="240" w:line="480" w:lineRule="atLeast"/>
        <w:jc w:val="center"/>
        <w:rPr>
          <w:b/>
        </w:rPr>
      </w:pPr>
      <w:r>
        <w:rPr>
          <w:b/>
        </w:rPr>
        <w:t>DISPOSITION</w:t>
      </w:r>
    </w:p>
    <w:p w:rsidR="00C8571E" w:rsidRPr="001136C2" w:rsidP="001136C2" w14:paraId="5C2CBB00" w14:textId="73A6B55D">
      <w:pPr>
        <w:spacing w:line="480" w:lineRule="atLeast"/>
        <w:ind w:firstLine="1440"/>
        <w:rPr>
          <w:szCs w:val="26"/>
        </w:rPr>
      </w:pPr>
      <w:r>
        <w:rPr>
          <w:szCs w:val="26"/>
        </w:rPr>
        <w:t>T</w:t>
      </w:r>
      <w:r w:rsidRPr="00C864DB">
        <w:rPr>
          <w:szCs w:val="26"/>
        </w:rPr>
        <w:t xml:space="preserve">he petition for writ of mandate is denied. The order to show cause is discharged. </w:t>
      </w:r>
      <w:r>
        <w:rPr>
          <w:szCs w:val="26"/>
        </w:rPr>
        <w:t xml:space="preserve"> </w:t>
      </w:r>
      <w:r w:rsidRPr="00C864DB">
        <w:rPr>
          <w:szCs w:val="26"/>
        </w:rPr>
        <w:t>The stay imposed by this court is dissolved upon finality of this opinion.</w:t>
      </w:r>
      <w:r>
        <w:rPr>
          <w:szCs w:val="26"/>
        </w:rPr>
        <w:t xml:space="preserve">  </w:t>
      </w:r>
      <w:r w:rsidRPr="00306A22" w:rsidR="00A00FA2">
        <w:rPr>
          <w:szCs w:val="26"/>
        </w:rPr>
        <w:t>The parties shall each bear their own costs in this proceeding.</w:t>
      </w:r>
    </w:p>
    <w:p w:rsidR="00C8571E" w:rsidP="00C8571E" w14:paraId="3B0EE1F1" w14:textId="77777777">
      <w:pPr>
        <w:keepNext/>
        <w:tabs>
          <w:tab w:val="left" w:pos="5040"/>
        </w:tabs>
      </w:pPr>
    </w:p>
    <w:p w:rsidR="00F977FD" w:rsidP="00F977FD" w14:paraId="342A4338" w14:textId="77777777">
      <w:pPr>
        <w:keepNext/>
        <w:tabs>
          <w:tab w:val="left" w:pos="5040"/>
        </w:tabs>
      </w:pPr>
    </w:p>
    <w:p w:rsidR="00C8571E" w:rsidP="00C8571E" w14:paraId="78448A0D" w14:textId="3E960651">
      <w:pPr>
        <w:keepNext/>
        <w:tabs>
          <w:tab w:val="left" w:pos="5040"/>
        </w:tabs>
      </w:pPr>
    </w:p>
    <w:p w:rsidR="00E80704" w:rsidP="00E80704" w14:paraId="787113B9" w14:textId="0342A286">
      <w:pPr>
        <w:keepNext/>
        <w:tabs>
          <w:tab w:val="left" w:pos="5040"/>
        </w:tabs>
      </w:pPr>
      <w:r>
        <w:tab/>
      </w:r>
    </w:p>
    <w:p w:rsidR="00E80704" w:rsidP="00E80704" w14:paraId="250E9BEA" w14:textId="77777777">
      <w:pPr>
        <w:keepNext/>
        <w:tabs>
          <w:tab w:val="left" w:pos="5040"/>
        </w:tabs>
      </w:pPr>
      <w:r>
        <w:tab/>
        <w:t>GOETHALS, J.</w:t>
      </w:r>
    </w:p>
    <w:p w:rsidR="00E80704" w:rsidP="00E80704" w14:paraId="3C8035A7" w14:textId="77777777">
      <w:pPr>
        <w:keepNext/>
        <w:tabs>
          <w:tab w:val="left" w:pos="5040"/>
        </w:tabs>
      </w:pPr>
    </w:p>
    <w:p w:rsidR="00E80704" w:rsidP="00E80704" w14:paraId="1D9712C0" w14:textId="77777777">
      <w:pPr>
        <w:keepNext/>
        <w:tabs>
          <w:tab w:val="left" w:pos="5040"/>
        </w:tabs>
      </w:pPr>
      <w:r>
        <w:t>WE CONCUR:</w:t>
      </w:r>
    </w:p>
    <w:p w:rsidR="00E80704" w:rsidP="00E80704" w14:paraId="47B70360" w14:textId="77777777">
      <w:pPr>
        <w:keepNext/>
        <w:tabs>
          <w:tab w:val="left" w:pos="5040"/>
        </w:tabs>
      </w:pPr>
    </w:p>
    <w:p w:rsidR="00E80704" w:rsidP="00E80704" w14:paraId="5309597C" w14:textId="77777777">
      <w:pPr>
        <w:keepNext/>
        <w:tabs>
          <w:tab w:val="left" w:pos="5040"/>
        </w:tabs>
      </w:pPr>
    </w:p>
    <w:p w:rsidR="00E80704" w:rsidP="00E80704" w14:paraId="28BABB32" w14:textId="25515DBA">
      <w:pPr>
        <w:keepNext/>
        <w:tabs>
          <w:tab w:val="left" w:pos="5040"/>
        </w:tabs>
      </w:pPr>
    </w:p>
    <w:p w:rsidR="00E80704" w:rsidP="00E80704" w14:paraId="1EAC3C24" w14:textId="21265DE0">
      <w:pPr>
        <w:keepNext/>
        <w:tabs>
          <w:tab w:val="left" w:pos="5040"/>
        </w:tabs>
      </w:pPr>
      <w:r>
        <w:t>MOORE, ACTING P. J.</w:t>
      </w:r>
    </w:p>
    <w:p w:rsidR="00E80704" w:rsidP="00E80704" w14:paraId="508BF5C9" w14:textId="77777777">
      <w:pPr>
        <w:keepNext/>
        <w:tabs>
          <w:tab w:val="left" w:pos="5040"/>
        </w:tabs>
      </w:pPr>
    </w:p>
    <w:p w:rsidR="00E80704" w:rsidP="00E80704" w14:paraId="24610F84" w14:textId="77777777">
      <w:pPr>
        <w:keepNext/>
        <w:tabs>
          <w:tab w:val="left" w:pos="5040"/>
        </w:tabs>
      </w:pPr>
    </w:p>
    <w:p w:rsidR="00E80704" w:rsidP="00E80704" w14:paraId="3A9CF938" w14:textId="018AE2A3">
      <w:pPr>
        <w:keepNext/>
        <w:tabs>
          <w:tab w:val="left" w:pos="5040"/>
        </w:tabs>
      </w:pPr>
    </w:p>
    <w:p w:rsidR="00E80704" w:rsidP="00E80704" w14:paraId="3311B103" w14:textId="12693F02">
      <w:pPr>
        <w:keepNext/>
        <w:tabs>
          <w:tab w:val="left" w:pos="5040"/>
        </w:tabs>
      </w:pPr>
      <w:r>
        <w:t>SANCHEZ, J.</w:t>
      </w:r>
    </w:p>
    <w:sectPr w:rsidSect="00A04F9F">
      <w:footerReference w:type="even" r:id="rId6"/>
      <w:footerReference w:type="defaul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0051" w:rsidP="00E665AB" w14:paraId="1D8590D7"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2739FE">
      <w:rPr>
        <w:rStyle w:val="PageNumber"/>
      </w:rPr>
      <w:fldChar w:fldCharType="separate"/>
    </w:r>
    <w:r>
      <w:rPr>
        <w:rStyle w:val="PageNumber"/>
      </w:rPr>
      <w:fldChar w:fldCharType="end"/>
    </w:r>
  </w:p>
  <w:p w:rsidR="001F0051" w14:paraId="281250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0051" w:rsidP="00E665AB" w14:paraId="63B138B3" w14:textId="6040B3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36</w:t>
    </w:r>
    <w:r>
      <w:rPr>
        <w:rStyle w:val="PageNumber"/>
      </w:rPr>
      <w:fldChar w:fldCharType="end"/>
    </w:r>
  </w:p>
  <w:p w:rsidR="001F0051" w14:paraId="20D917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81337" w:rsidP="00A04F9F" w14:paraId="466D8392" w14:textId="77777777">
      <w:r>
        <w:separator/>
      </w:r>
    </w:p>
  </w:footnote>
  <w:footnote w:type="continuationSeparator" w:id="1">
    <w:p w:rsidR="00E81337" w:rsidP="00A04F9F" w14:paraId="7F40ABBF" w14:textId="77777777">
      <w:r>
        <w:continuationSeparator/>
      </w:r>
    </w:p>
  </w:footnote>
  <w:footnote w:id="2">
    <w:p w:rsidR="00805CE7" w:rsidRPr="00533397" w:rsidP="00533397" w14:paraId="28B81C3B" w14:textId="77777777">
      <w:pPr>
        <w:pStyle w:val="FootnoteText"/>
        <w:keepLines w:val="0"/>
        <w:spacing w:after="240"/>
        <w:ind w:firstLine="720"/>
        <w:rPr>
          <w:szCs w:val="26"/>
        </w:rPr>
      </w:pPr>
      <w:r w:rsidRPr="00533397">
        <w:rPr>
          <w:rStyle w:val="FootnoteReference"/>
          <w:szCs w:val="26"/>
        </w:rPr>
        <w:footnoteRef/>
      </w:r>
      <w:r w:rsidRPr="00533397">
        <w:rPr>
          <w:szCs w:val="26"/>
        </w:rPr>
        <w:t xml:space="preserve"> </w:t>
      </w:r>
      <w:r w:rsidRPr="00533397">
        <w:rPr>
          <w:szCs w:val="26"/>
        </w:rPr>
        <w:tab/>
        <w:t>The petitioners in this case are Mojave Pistachios, LLC and Paul G. Nugent and Mary E. Nugent as Trustees of the Nugent Family Trust dated June 20, 2011.  We refer to them collectively as Mojave.</w:t>
      </w:r>
    </w:p>
  </w:footnote>
  <w:footnote w:id="3">
    <w:p w:rsidR="00805CE7" w:rsidRPr="00533397" w:rsidP="00533397" w14:paraId="3A1FCFF0" w14:textId="318B3AB1">
      <w:pPr>
        <w:widowControl w:val="0"/>
        <w:spacing w:after="240"/>
        <w:ind w:firstLine="720"/>
        <w:rPr>
          <w:szCs w:val="26"/>
        </w:rPr>
      </w:pPr>
      <w:r w:rsidRPr="00533397">
        <w:rPr>
          <w:rStyle w:val="FootnoteReference"/>
          <w:szCs w:val="26"/>
        </w:rPr>
        <w:footnoteRef/>
      </w:r>
      <w:r w:rsidRPr="00533397">
        <w:rPr>
          <w:szCs w:val="26"/>
        </w:rPr>
        <w:t xml:space="preserve"> </w:t>
      </w:r>
      <w:r w:rsidRPr="00533397">
        <w:rPr>
          <w:szCs w:val="26"/>
        </w:rPr>
        <w:tab/>
      </w:r>
      <w:r w:rsidRPr="00533397">
        <w:rPr>
          <w:bCs/>
          <w:szCs w:val="26"/>
        </w:rPr>
        <w:t>Groundwater is measured in acre</w:t>
      </w:r>
      <w:r w:rsidR="00B77DE4">
        <w:rPr>
          <w:bCs/>
          <w:szCs w:val="26"/>
        </w:rPr>
        <w:noBreakHyphen/>
      </w:r>
      <w:r w:rsidRPr="00533397">
        <w:rPr>
          <w:bCs/>
          <w:szCs w:val="26"/>
        </w:rPr>
        <w:t>feet.  A</w:t>
      </w:r>
      <w:r w:rsidRPr="00533397">
        <w:rPr>
          <w:szCs w:val="26"/>
        </w:rPr>
        <w:t xml:space="preserve">n acre-foot equals </w:t>
      </w:r>
      <w:r w:rsidR="0027600E">
        <w:rPr>
          <w:szCs w:val="26"/>
        </w:rPr>
        <w:t>a</w:t>
      </w:r>
      <w:r w:rsidRPr="00533397">
        <w:rPr>
          <w:szCs w:val="26"/>
        </w:rPr>
        <w:t xml:space="preserve"> volume of water </w:t>
      </w:r>
      <w:r w:rsidR="000C67FC">
        <w:rPr>
          <w:szCs w:val="26"/>
        </w:rPr>
        <w:t xml:space="preserve">spread over </w:t>
      </w:r>
      <w:r w:rsidRPr="00533397">
        <w:rPr>
          <w:szCs w:val="26"/>
        </w:rPr>
        <w:t>one acre in area and one foot in depth.  One acre-foot is approximately 326,000 gallons.</w:t>
      </w:r>
      <w:r w:rsidRPr="00533397">
        <w:rPr>
          <w:bCs/>
          <w:szCs w:val="26"/>
        </w:rPr>
        <w:t xml:space="preserve">  </w:t>
      </w:r>
    </w:p>
  </w:footnote>
  <w:footnote w:id="4">
    <w:p w:rsidR="00805CE7" w:rsidRPr="00533397" w:rsidP="00533397" w14:paraId="7178EF1E" w14:textId="77777777">
      <w:pPr>
        <w:pStyle w:val="FootnoteText"/>
        <w:keepLines w:val="0"/>
        <w:spacing w:after="240"/>
        <w:ind w:firstLine="720"/>
        <w:rPr>
          <w:szCs w:val="26"/>
        </w:rPr>
      </w:pPr>
      <w:r w:rsidRPr="00533397">
        <w:rPr>
          <w:rStyle w:val="FootnoteReference"/>
          <w:szCs w:val="26"/>
        </w:rPr>
        <w:footnoteRef/>
      </w:r>
      <w:r w:rsidRPr="00533397">
        <w:rPr>
          <w:szCs w:val="26"/>
        </w:rPr>
        <w:t xml:space="preserve">  </w:t>
      </w:r>
      <w:r w:rsidRPr="00533397">
        <w:rPr>
          <w:szCs w:val="26"/>
        </w:rPr>
        <w:tab/>
        <w:t>All further undesignated statutory references are to this code.</w:t>
      </w:r>
    </w:p>
  </w:footnote>
  <w:footnote w:id="5">
    <w:p w:rsidR="00805CE7" w:rsidRPr="00533397" w:rsidP="00533397" w14:paraId="477A564C" w14:textId="21CCB6EF">
      <w:pPr>
        <w:pStyle w:val="FootnoteText"/>
        <w:keepLines w:val="0"/>
        <w:spacing w:after="240"/>
        <w:ind w:firstLine="720"/>
        <w:rPr>
          <w:szCs w:val="26"/>
        </w:rPr>
      </w:pPr>
      <w:r w:rsidRPr="00533397">
        <w:rPr>
          <w:rStyle w:val="FootnoteReference"/>
          <w:szCs w:val="26"/>
        </w:rPr>
        <w:footnoteRef/>
      </w:r>
      <w:r w:rsidRPr="00533397">
        <w:rPr>
          <w:szCs w:val="26"/>
        </w:rPr>
        <w:t xml:space="preserve">  </w:t>
      </w:r>
      <w:r w:rsidRPr="00533397">
        <w:rPr>
          <w:szCs w:val="26"/>
        </w:rPr>
        <w:tab/>
      </w:r>
      <w:r w:rsidR="00B77DE4">
        <w:rPr>
          <w:szCs w:val="26"/>
        </w:rPr>
        <w:t xml:space="preserve">As Benjamin Franklin once </w:t>
      </w:r>
      <w:r w:rsidR="000C67FC">
        <w:rPr>
          <w:szCs w:val="26"/>
        </w:rPr>
        <w:t xml:space="preserve">famously </w:t>
      </w:r>
      <w:r w:rsidR="00B77DE4">
        <w:rPr>
          <w:szCs w:val="26"/>
        </w:rPr>
        <w:t xml:space="preserve">observed, </w:t>
      </w:r>
      <w:r w:rsidRPr="00533397">
        <w:rPr>
          <w:szCs w:val="26"/>
        </w:rPr>
        <w:t>“When the well’s dry, we know the worth of water.”</w:t>
      </w:r>
    </w:p>
  </w:footnote>
  <w:footnote w:id="6">
    <w:p w:rsidR="00551E1D" w:rsidRPr="00533397" w:rsidP="00533397" w14:paraId="3C220C6B" w14:textId="4E29D678">
      <w:pPr>
        <w:pStyle w:val="FootnoteText"/>
        <w:keepLines w:val="0"/>
        <w:spacing w:after="240"/>
        <w:ind w:firstLine="720"/>
        <w:rPr>
          <w:szCs w:val="26"/>
        </w:rPr>
      </w:pPr>
      <w:r w:rsidRPr="00533397">
        <w:rPr>
          <w:rStyle w:val="FootnoteReference"/>
          <w:szCs w:val="26"/>
        </w:rPr>
        <w:footnoteRef/>
      </w:r>
      <w:r w:rsidRPr="00533397">
        <w:rPr>
          <w:szCs w:val="26"/>
        </w:rPr>
        <w:t xml:space="preserve"> </w:t>
      </w:r>
      <w:r w:rsidRPr="00533397">
        <w:rPr>
          <w:szCs w:val="26"/>
        </w:rPr>
        <w:tab/>
        <w:t xml:space="preserve">See </w:t>
      </w:r>
      <w:r w:rsidRPr="00533397" w:rsidR="0058241A">
        <w:rPr>
          <w:szCs w:val="26"/>
        </w:rPr>
        <w:t>Dept. of Water Resources, California’s Groundwater (Bulletin 118) Update 2020, p. 103</w:t>
      </w:r>
      <w:r w:rsidR="00B87A60">
        <w:rPr>
          <w:szCs w:val="26"/>
        </w:rPr>
        <w:t>,</w:t>
      </w:r>
      <w:r w:rsidRPr="00533397" w:rsidR="0058241A">
        <w:rPr>
          <w:szCs w:val="26"/>
        </w:rPr>
        <w:t xml:space="preserve"> </w:t>
      </w:r>
      <w:r w:rsidRPr="008D1176" w:rsidR="00B87A60">
        <w:rPr>
          <w:szCs w:val="26"/>
        </w:rPr>
        <w:t>https://data.cnra.ca.gov/dataset/3f87088d-a2f9-4a46-a979-1120069db2c6/resource/d2b45d3c-52c0-45ba-b92a-fb3c90c1d4be/download/calgw2020_full_report.pdf</w:t>
      </w:r>
      <w:r w:rsidR="00B77DE4">
        <w:rPr>
          <w:szCs w:val="26"/>
        </w:rPr>
        <w:t xml:space="preserve"> [as of Feb. </w:t>
      </w:r>
      <w:r w:rsidR="003B320B">
        <w:rPr>
          <w:szCs w:val="26"/>
        </w:rPr>
        <w:t>8</w:t>
      </w:r>
      <w:r w:rsidR="00B77DE4">
        <w:rPr>
          <w:szCs w:val="26"/>
        </w:rPr>
        <w:t xml:space="preserve">, 2024], archived at: </w:t>
      </w:r>
      <w:r w:rsidR="003B320B">
        <w:rPr>
          <w:szCs w:val="26"/>
        </w:rPr>
        <w:t xml:space="preserve"> </w:t>
      </w:r>
      <w:r w:rsidR="00DA5673">
        <w:rPr>
          <w:szCs w:val="26"/>
        </w:rPr>
        <w:t>&lt;</w:t>
      </w:r>
      <w:r w:rsidRPr="00ED378D" w:rsidR="00412B91">
        <w:rPr>
          <w:rStyle w:val="Strong"/>
          <w:rFonts w:asciiTheme="minorHAnsi" w:eastAsiaTheme="majorEastAsia" w:hAnsiTheme="minorHAnsi" w:cstheme="minorHAnsi"/>
          <w:b w:val="0"/>
          <w:bCs w:val="0"/>
          <w:szCs w:val="26"/>
          <w:shd w:val="clear" w:color="auto" w:fill="FFFFFF"/>
        </w:rPr>
        <w:t>https://perma.cc/R4HW-BY4N</w:t>
      </w:r>
      <w:r w:rsidR="00DA5673">
        <w:rPr>
          <w:szCs w:val="26"/>
        </w:rPr>
        <w:t>&gt;</w:t>
      </w:r>
      <w:r w:rsidR="0058241A">
        <w:rPr>
          <w:szCs w:val="26"/>
        </w:rPr>
        <w:t xml:space="preserve">, and </w:t>
      </w:r>
      <w:r w:rsidRPr="00533397">
        <w:rPr>
          <w:szCs w:val="26"/>
        </w:rPr>
        <w:t>Dept. of Water Resources, California’s Groundwater Update 2020 Fact Sheet</w:t>
      </w:r>
      <w:r w:rsidR="00B87A60">
        <w:rPr>
          <w:szCs w:val="26"/>
        </w:rPr>
        <w:t xml:space="preserve">, </w:t>
      </w:r>
      <w:r w:rsidRPr="001069D4" w:rsidR="00DA5673">
        <w:rPr>
          <w:szCs w:val="26"/>
        </w:rPr>
        <w:t>https://water.ca.gov/programs/groundwater-management/bulletin-118</w:t>
      </w:r>
      <w:r w:rsidRPr="00412B91" w:rsidR="00412B91">
        <w:rPr>
          <w:szCs w:val="26"/>
        </w:rPr>
        <w:t xml:space="preserve"> </w:t>
      </w:r>
      <w:r w:rsidR="00B77DE4">
        <w:rPr>
          <w:szCs w:val="26"/>
        </w:rPr>
        <w:t>[as of Feb. </w:t>
      </w:r>
      <w:r w:rsidR="00412B91">
        <w:rPr>
          <w:szCs w:val="26"/>
        </w:rPr>
        <w:t>8</w:t>
      </w:r>
      <w:r w:rsidR="00B77DE4">
        <w:rPr>
          <w:szCs w:val="26"/>
        </w:rPr>
        <w:t xml:space="preserve">, 2024], archived at: </w:t>
      </w:r>
      <w:r w:rsidR="00DA5673">
        <w:rPr>
          <w:szCs w:val="26"/>
        </w:rPr>
        <w:t>&lt;</w:t>
      </w:r>
      <w:r w:rsidRPr="00ED378D" w:rsidR="00412B91">
        <w:rPr>
          <w:rStyle w:val="Strong"/>
          <w:rFonts w:asciiTheme="minorHAnsi" w:eastAsiaTheme="majorEastAsia" w:hAnsiTheme="minorHAnsi" w:cstheme="minorHAnsi"/>
          <w:b w:val="0"/>
          <w:bCs w:val="0"/>
          <w:szCs w:val="26"/>
          <w:shd w:val="clear" w:color="auto" w:fill="FFFFFF"/>
        </w:rPr>
        <w:t>https://perma.cc/54QS-UUC3</w:t>
      </w:r>
      <w:r w:rsidR="00DA5673">
        <w:rPr>
          <w:szCs w:val="26"/>
        </w:rPr>
        <w:t>&gt;</w:t>
      </w:r>
      <w:r w:rsidR="00B77DE4">
        <w:rPr>
          <w:szCs w:val="26"/>
        </w:rPr>
        <w:t>.</w:t>
      </w:r>
    </w:p>
  </w:footnote>
  <w:footnote w:id="7">
    <w:p w:rsidR="00551E1D" w:rsidRPr="00533397" w:rsidP="00533397" w14:paraId="01433679" w14:textId="5DA84B0D">
      <w:pPr>
        <w:pStyle w:val="FootnoteText"/>
        <w:keepLines w:val="0"/>
        <w:spacing w:after="240"/>
        <w:ind w:firstLine="720"/>
        <w:rPr>
          <w:szCs w:val="26"/>
        </w:rPr>
      </w:pPr>
      <w:r w:rsidRPr="00533397">
        <w:rPr>
          <w:rStyle w:val="FootnoteReference"/>
          <w:szCs w:val="26"/>
        </w:rPr>
        <w:footnoteRef/>
      </w:r>
      <w:r w:rsidRPr="00533397">
        <w:rPr>
          <w:szCs w:val="26"/>
        </w:rPr>
        <w:t xml:space="preserve"> </w:t>
      </w:r>
      <w:r w:rsidRPr="00533397">
        <w:rPr>
          <w:szCs w:val="26"/>
        </w:rPr>
        <w:tab/>
        <w:t xml:space="preserve">See Dept. of Water Resources, Critically Overdrafted Basins, </w:t>
      </w:r>
      <w:r w:rsidRPr="008D1176" w:rsidR="00B87A60">
        <w:rPr>
          <w:szCs w:val="26"/>
        </w:rPr>
        <w:t>https://water.ca.gov/programs/groundwater-management/bulletin-118/critically</w:t>
      </w:r>
      <w:r w:rsidRPr="008D1176" w:rsidR="00B87A60">
        <w:rPr>
          <w:szCs w:val="26"/>
        </w:rPr>
        <w:noBreakHyphen/>
        <w:t>overdrafted-basins</w:t>
      </w:r>
      <w:r w:rsidR="00B77DE4">
        <w:rPr>
          <w:szCs w:val="26"/>
        </w:rPr>
        <w:t xml:space="preserve"> [as of Feb </w:t>
      </w:r>
      <w:r w:rsidR="008B17A9">
        <w:rPr>
          <w:szCs w:val="26"/>
        </w:rPr>
        <w:t>8</w:t>
      </w:r>
      <w:r w:rsidR="00B77DE4">
        <w:rPr>
          <w:szCs w:val="26"/>
        </w:rPr>
        <w:t>, 2024]</w:t>
      </w:r>
      <w:r w:rsidR="00DA5673">
        <w:rPr>
          <w:szCs w:val="26"/>
        </w:rPr>
        <w:t>,</w:t>
      </w:r>
      <w:r w:rsidRPr="00DA5673" w:rsidR="00DA5673">
        <w:rPr>
          <w:szCs w:val="26"/>
        </w:rPr>
        <w:t xml:space="preserve"> </w:t>
      </w:r>
      <w:r w:rsidR="00DA5673">
        <w:rPr>
          <w:szCs w:val="26"/>
        </w:rPr>
        <w:t xml:space="preserve">archived at: </w:t>
      </w:r>
      <w:r w:rsidR="008B17A9">
        <w:rPr>
          <w:szCs w:val="26"/>
        </w:rPr>
        <w:t xml:space="preserve"> </w:t>
      </w:r>
      <w:r w:rsidR="00DA5673">
        <w:rPr>
          <w:szCs w:val="26"/>
        </w:rPr>
        <w:t>&lt;</w:t>
      </w:r>
      <w:r w:rsidRPr="00ED378D" w:rsidR="008B17A9">
        <w:rPr>
          <w:rStyle w:val="Strong"/>
          <w:rFonts w:asciiTheme="minorHAnsi" w:eastAsiaTheme="majorEastAsia" w:hAnsiTheme="minorHAnsi" w:cstheme="minorHAnsi"/>
          <w:b w:val="0"/>
          <w:bCs w:val="0"/>
          <w:szCs w:val="26"/>
          <w:shd w:val="clear" w:color="auto" w:fill="FFFFFF"/>
        </w:rPr>
        <w:t>https://perma.cc/7GSW-J7XF</w:t>
      </w:r>
      <w:r w:rsidR="00DA5673">
        <w:rPr>
          <w:szCs w:val="26"/>
        </w:rPr>
        <w:t>&gt;.</w:t>
      </w:r>
    </w:p>
  </w:footnote>
  <w:footnote w:id="8">
    <w:p w:rsidR="00551E1D" w:rsidRPr="00533397" w:rsidP="00533397" w14:paraId="6E75A7CC" w14:textId="58A1474F">
      <w:pPr>
        <w:pStyle w:val="FootnoteText"/>
        <w:keepLines w:val="0"/>
        <w:spacing w:after="240"/>
        <w:ind w:firstLine="720"/>
        <w:rPr>
          <w:szCs w:val="26"/>
        </w:rPr>
      </w:pPr>
      <w:r w:rsidRPr="00533397">
        <w:rPr>
          <w:rStyle w:val="FootnoteReference"/>
          <w:szCs w:val="26"/>
        </w:rPr>
        <w:footnoteRef/>
      </w:r>
      <w:r w:rsidRPr="00533397">
        <w:rPr>
          <w:szCs w:val="26"/>
        </w:rPr>
        <w:t xml:space="preserve"> </w:t>
      </w:r>
      <w:r w:rsidRPr="00533397">
        <w:rPr>
          <w:szCs w:val="26"/>
        </w:rPr>
        <w:tab/>
        <w:t xml:space="preserve">The Authority also has two associate members—the Navy and the United States Bureau of Land Management. </w:t>
      </w:r>
    </w:p>
  </w:footnote>
  <w:footnote w:id="9">
    <w:p w:rsidR="00551E1D" w:rsidRPr="00533397" w:rsidP="00533397" w14:paraId="32B33A5A" w14:textId="7BF6D46C">
      <w:pPr>
        <w:pStyle w:val="FootnoteText"/>
        <w:keepLines w:val="0"/>
        <w:spacing w:after="240"/>
        <w:ind w:firstLine="720"/>
        <w:rPr>
          <w:szCs w:val="26"/>
        </w:rPr>
      </w:pPr>
      <w:r w:rsidRPr="00533397">
        <w:rPr>
          <w:rStyle w:val="FootnoteReference"/>
          <w:szCs w:val="26"/>
        </w:rPr>
        <w:footnoteRef/>
      </w:r>
      <w:r w:rsidRPr="00533397">
        <w:rPr>
          <w:szCs w:val="26"/>
        </w:rPr>
        <w:t xml:space="preserve"> </w:t>
      </w:r>
      <w:r w:rsidRPr="00533397">
        <w:rPr>
          <w:szCs w:val="26"/>
        </w:rPr>
        <w:tab/>
      </w:r>
      <w:r w:rsidR="00960D69">
        <w:rPr>
          <w:szCs w:val="26"/>
        </w:rPr>
        <w:t>In its briefing and at oral argument</w:t>
      </w:r>
      <w:r w:rsidR="00F114B9">
        <w:rPr>
          <w:szCs w:val="26"/>
        </w:rPr>
        <w:t>,</w:t>
      </w:r>
      <w:r w:rsidR="00960D69">
        <w:rPr>
          <w:szCs w:val="26"/>
        </w:rPr>
        <w:t xml:space="preserve"> </w:t>
      </w:r>
      <w:r w:rsidRPr="00533397">
        <w:rPr>
          <w:szCs w:val="26"/>
        </w:rPr>
        <w:t xml:space="preserve">Mojave contends this is a gross underestimation </w:t>
      </w:r>
      <w:r w:rsidR="00B61528">
        <w:rPr>
          <w:szCs w:val="26"/>
        </w:rPr>
        <w:t>and lacks</w:t>
      </w:r>
      <w:r w:rsidRPr="00533397">
        <w:rPr>
          <w:szCs w:val="26"/>
        </w:rPr>
        <w:t xml:space="preserve"> factual support. </w:t>
      </w:r>
    </w:p>
  </w:footnote>
  <w:footnote w:id="10">
    <w:p w:rsidR="00025E77" w:rsidP="00DA5673" w14:paraId="2D20965D" w14:textId="5569CC58">
      <w:pPr>
        <w:pStyle w:val="FootnoteText"/>
        <w:keepLines w:val="0"/>
        <w:spacing w:after="240"/>
        <w:ind w:firstLine="720"/>
      </w:pPr>
      <w:r>
        <w:rPr>
          <w:rStyle w:val="FootnoteReference"/>
        </w:rPr>
        <w:footnoteRef/>
      </w:r>
      <w:r>
        <w:t xml:space="preserve"> </w:t>
      </w:r>
      <w:r>
        <w:tab/>
      </w:r>
      <w:r>
        <w:rPr>
          <w:szCs w:val="26"/>
        </w:rPr>
        <w:t xml:space="preserve">The Navy maintains </w:t>
      </w:r>
      <w:r w:rsidRPr="00306A22">
        <w:rPr>
          <w:szCs w:val="26"/>
        </w:rPr>
        <w:t xml:space="preserve">its interest </w:t>
      </w:r>
      <w:r>
        <w:rPr>
          <w:szCs w:val="26"/>
        </w:rPr>
        <w:t>i</w:t>
      </w:r>
      <w:r w:rsidRPr="00306A22">
        <w:rPr>
          <w:szCs w:val="26"/>
        </w:rPr>
        <w:t>s not limited to its current on-base demand of 2,041 acre</w:t>
      </w:r>
      <w:r>
        <w:rPr>
          <w:szCs w:val="26"/>
        </w:rPr>
        <w:noBreakHyphen/>
      </w:r>
      <w:r w:rsidRPr="00306A22">
        <w:rPr>
          <w:szCs w:val="26"/>
        </w:rPr>
        <w:t>feet, and its interest w</w:t>
      </w:r>
      <w:r w:rsidR="00AB6C63">
        <w:rPr>
          <w:szCs w:val="26"/>
        </w:rPr>
        <w:t>ill</w:t>
      </w:r>
      <w:r w:rsidRPr="00306A22">
        <w:rPr>
          <w:szCs w:val="26"/>
        </w:rPr>
        <w:t xml:space="preserve"> likely be established, if ever, through litigation</w:t>
      </w:r>
      <w:r>
        <w:rPr>
          <w:szCs w:val="26"/>
        </w:rPr>
        <w:t>.</w:t>
      </w:r>
    </w:p>
  </w:footnote>
  <w:footnote w:id="11">
    <w:p w:rsidR="00340C0F" w:rsidRPr="00533397" w:rsidP="00533397" w14:paraId="104D94F4" w14:textId="664C239A">
      <w:pPr>
        <w:pStyle w:val="FootnoteText"/>
        <w:keepLines w:val="0"/>
        <w:spacing w:after="240"/>
        <w:ind w:firstLine="720"/>
        <w:rPr>
          <w:szCs w:val="26"/>
        </w:rPr>
      </w:pPr>
      <w:r w:rsidRPr="00533397">
        <w:rPr>
          <w:rStyle w:val="FootnoteReference"/>
          <w:szCs w:val="26"/>
        </w:rPr>
        <w:footnoteRef/>
      </w:r>
      <w:r w:rsidRPr="00533397">
        <w:rPr>
          <w:szCs w:val="26"/>
        </w:rPr>
        <w:t xml:space="preserve"> </w:t>
      </w:r>
      <w:r w:rsidRPr="00533397">
        <w:rPr>
          <w:szCs w:val="26"/>
        </w:rPr>
        <w:tab/>
        <w:t>Under SGMA, the federal government may “voluntarily agree” to participate in a groundwater sustainability plan, but federally reserved water rights to groundwater must be “respected in full.”  (§ 10720.3, subd</w:t>
      </w:r>
      <w:r w:rsidR="00945E32">
        <w:rPr>
          <w:szCs w:val="26"/>
        </w:rPr>
        <w:t>s</w:t>
      </w:r>
      <w:r w:rsidRPr="00533397">
        <w:rPr>
          <w:szCs w:val="26"/>
        </w:rPr>
        <w:t>. (c), (d).)</w:t>
      </w:r>
    </w:p>
  </w:footnote>
  <w:footnote w:id="12">
    <w:p w:rsidR="00551E1D" w:rsidRPr="00533397" w:rsidP="00533397" w14:paraId="43A7D9F1" w14:textId="48775232">
      <w:pPr>
        <w:pStyle w:val="FootnoteText"/>
        <w:keepLines w:val="0"/>
        <w:spacing w:after="240"/>
        <w:ind w:firstLine="720"/>
        <w:rPr>
          <w:szCs w:val="26"/>
        </w:rPr>
      </w:pPr>
      <w:r w:rsidRPr="00533397">
        <w:rPr>
          <w:rStyle w:val="FootnoteReference"/>
          <w:szCs w:val="26"/>
        </w:rPr>
        <w:footnoteRef/>
      </w:r>
      <w:r w:rsidRPr="00533397">
        <w:rPr>
          <w:szCs w:val="26"/>
        </w:rPr>
        <w:t xml:space="preserve"> </w:t>
      </w:r>
      <w:r w:rsidRPr="00533397">
        <w:rPr>
          <w:szCs w:val="26"/>
        </w:rPr>
        <w:tab/>
        <w:t xml:space="preserve">SGMA prohibits charging fees </w:t>
      </w:r>
      <w:r w:rsidR="00822135">
        <w:rPr>
          <w:szCs w:val="26"/>
        </w:rPr>
        <w:t xml:space="preserve">to </w:t>
      </w:r>
      <w:r w:rsidRPr="00533397">
        <w:rPr>
          <w:szCs w:val="26"/>
        </w:rPr>
        <w:t>the federal government (§ 10720.3</w:t>
      </w:r>
      <w:r w:rsidR="00945E32">
        <w:rPr>
          <w:szCs w:val="26"/>
        </w:rPr>
        <w:t>, subds. (a</w:t>
      </w:r>
      <w:r w:rsidR="00945E32">
        <w:rPr>
          <w:szCs w:val="26"/>
        </w:rPr>
        <w:noBreakHyphen/>
        <w:t>c)</w:t>
      </w:r>
      <w:r w:rsidRPr="00533397">
        <w:rPr>
          <w:szCs w:val="26"/>
        </w:rPr>
        <w:t>) or de</w:t>
      </w:r>
      <w:r w:rsidR="00960D69">
        <w:rPr>
          <w:szCs w:val="26"/>
        </w:rPr>
        <w:t> </w:t>
      </w:r>
      <w:r w:rsidRPr="00533397">
        <w:rPr>
          <w:szCs w:val="26"/>
        </w:rPr>
        <w:t xml:space="preserve">minimis pumpers (§ 10730, subd. (a)). </w:t>
      </w:r>
    </w:p>
  </w:footnote>
  <w:footnote w:id="13">
    <w:p w:rsidR="002715C7" w:rsidP="00CA4832" w14:paraId="5DB51BE7" w14:textId="1F44FE18">
      <w:pPr>
        <w:pStyle w:val="FootnoteText"/>
        <w:keepLines w:val="0"/>
        <w:spacing w:after="240"/>
        <w:ind w:firstLine="720"/>
      </w:pPr>
      <w:r>
        <w:rPr>
          <w:rStyle w:val="FootnoteReference"/>
        </w:rPr>
        <w:footnoteRef/>
      </w:r>
      <w:r>
        <w:t xml:space="preserve"> </w:t>
      </w:r>
      <w:r>
        <w:tab/>
      </w:r>
      <w:r w:rsidRPr="00306A22">
        <w:rPr>
          <w:szCs w:val="26"/>
        </w:rPr>
        <w:t xml:space="preserve">By the court’s calculation, this translates to about two-thirds of a cent ($0.0065) per gallon. </w:t>
      </w:r>
    </w:p>
  </w:footnote>
  <w:footnote w:id="14">
    <w:p w:rsidR="00533397" w:rsidRPr="00533397" w:rsidP="00533397" w14:paraId="50A5BD68" w14:textId="0F1105F2">
      <w:pPr>
        <w:spacing w:after="240"/>
        <w:ind w:firstLine="720"/>
        <w:rPr>
          <w:b/>
          <w:bCs/>
          <w:szCs w:val="26"/>
        </w:rPr>
      </w:pPr>
      <w:r w:rsidRPr="00533397">
        <w:rPr>
          <w:rStyle w:val="FootnoteReference"/>
        </w:rPr>
        <w:footnoteRef/>
      </w:r>
      <w:r w:rsidRPr="00533397">
        <w:t xml:space="preserve"> </w:t>
      </w:r>
      <w:r w:rsidRPr="00533397">
        <w:tab/>
      </w:r>
      <w:r w:rsidRPr="00533397">
        <w:rPr>
          <w:szCs w:val="26"/>
        </w:rPr>
        <w:t>In 2018, the Authority passed an ordinance requiring all groundwater extractors to pay $30</w:t>
      </w:r>
      <w:r w:rsidR="00DF7B12">
        <w:rPr>
          <w:szCs w:val="26"/>
        </w:rPr>
        <w:t> </w:t>
      </w:r>
      <w:r w:rsidRPr="00533397">
        <w:rPr>
          <w:szCs w:val="26"/>
        </w:rPr>
        <w:t>per acre</w:t>
      </w:r>
      <w:r w:rsidR="00793CF9">
        <w:rPr>
          <w:szCs w:val="26"/>
        </w:rPr>
        <w:noBreakHyphen/>
      </w:r>
      <w:r w:rsidRPr="00533397">
        <w:rPr>
          <w:szCs w:val="26"/>
        </w:rPr>
        <w:t>foot for all groundwater extracted in the Basin (the Extraction Fee).</w:t>
      </w:r>
      <w:r w:rsidR="00DF7B12">
        <w:rPr>
          <w:szCs w:val="26"/>
        </w:rPr>
        <w:t xml:space="preserve"> </w:t>
      </w:r>
      <w:r w:rsidRPr="00533397">
        <w:rPr>
          <w:szCs w:val="26"/>
        </w:rPr>
        <w:t xml:space="preserve"> The Extraction Fee was later increased to $105</w:t>
      </w:r>
      <w:r w:rsidR="00DF7B12">
        <w:rPr>
          <w:szCs w:val="26"/>
        </w:rPr>
        <w:t> </w:t>
      </w:r>
      <w:r w:rsidRPr="00533397">
        <w:rPr>
          <w:szCs w:val="26"/>
        </w:rPr>
        <w:t>per acre</w:t>
      </w:r>
      <w:r w:rsidR="00793CF9">
        <w:rPr>
          <w:szCs w:val="26"/>
        </w:rPr>
        <w:noBreakHyphen/>
      </w:r>
      <w:r w:rsidRPr="00533397">
        <w:rPr>
          <w:szCs w:val="26"/>
        </w:rPr>
        <w:t xml:space="preserve">foot. </w:t>
      </w:r>
      <w:r w:rsidR="00DF7B12">
        <w:rPr>
          <w:szCs w:val="26"/>
        </w:rPr>
        <w:t xml:space="preserve"> </w:t>
      </w:r>
      <w:r w:rsidRPr="00533397">
        <w:rPr>
          <w:szCs w:val="26"/>
        </w:rPr>
        <w:t>According to</w:t>
      </w:r>
      <w:r w:rsidRPr="00533397">
        <w:rPr>
          <w:b/>
          <w:bCs/>
          <w:szCs w:val="26"/>
        </w:rPr>
        <w:t xml:space="preserve"> </w:t>
      </w:r>
      <w:r w:rsidRPr="00533397">
        <w:rPr>
          <w:szCs w:val="26"/>
        </w:rPr>
        <w:t>Mojave, it has paid the Extraction Fees in full, with total payments exceeding $1</w:t>
      </w:r>
      <w:r w:rsidR="00DF7B12">
        <w:rPr>
          <w:szCs w:val="26"/>
        </w:rPr>
        <w:t> </w:t>
      </w:r>
      <w:r w:rsidRPr="00533397">
        <w:rPr>
          <w:szCs w:val="26"/>
        </w:rPr>
        <w:t>million.</w:t>
      </w:r>
    </w:p>
  </w:footnote>
  <w:footnote w:id="15">
    <w:p w:rsidR="00551E1D" w:rsidRPr="00533397" w:rsidP="00533397" w14:paraId="1960C31A" w14:textId="6FB680BF">
      <w:pPr>
        <w:pStyle w:val="FootnoteText"/>
        <w:keepLines w:val="0"/>
        <w:spacing w:after="240"/>
        <w:ind w:firstLine="720"/>
        <w:rPr>
          <w:szCs w:val="26"/>
        </w:rPr>
      </w:pPr>
      <w:r w:rsidRPr="00533397">
        <w:rPr>
          <w:rStyle w:val="FootnoteReference"/>
          <w:szCs w:val="26"/>
        </w:rPr>
        <w:footnoteRef/>
      </w:r>
      <w:r w:rsidRPr="00533397">
        <w:rPr>
          <w:szCs w:val="26"/>
        </w:rPr>
        <w:t xml:space="preserve"> </w:t>
      </w:r>
      <w:r w:rsidRPr="00533397">
        <w:rPr>
          <w:szCs w:val="26"/>
        </w:rPr>
        <w:tab/>
        <w:t xml:space="preserve">The Authority also challenged </w:t>
      </w:r>
      <w:r w:rsidR="00943760">
        <w:rPr>
          <w:szCs w:val="26"/>
        </w:rPr>
        <w:t xml:space="preserve">the thirteenth </w:t>
      </w:r>
      <w:r w:rsidRPr="00533397">
        <w:rPr>
          <w:szCs w:val="26"/>
        </w:rPr>
        <w:t xml:space="preserve">cause of action on that basis, but Mojave later voluntarily dismissed that cause of action, among others, so we will not discuss </w:t>
      </w:r>
      <w:r w:rsidR="006C5082">
        <w:rPr>
          <w:szCs w:val="26"/>
        </w:rPr>
        <w:t xml:space="preserve">it </w:t>
      </w:r>
      <w:r w:rsidR="00CA4832">
        <w:rPr>
          <w:szCs w:val="26"/>
        </w:rPr>
        <w:t>further</w:t>
      </w:r>
      <w:r w:rsidRPr="00533397">
        <w:rPr>
          <w:szCs w:val="26"/>
        </w:rPr>
        <w:t xml:space="preserve"> here. </w:t>
      </w:r>
    </w:p>
  </w:footnote>
  <w:footnote w:id="16">
    <w:p w:rsidR="00551E1D" w:rsidRPr="00533397" w:rsidP="00533397" w14:paraId="30297A0A" w14:textId="644309DD">
      <w:pPr>
        <w:pStyle w:val="FootnoteText"/>
        <w:keepLines w:val="0"/>
        <w:spacing w:after="240"/>
        <w:ind w:firstLine="720"/>
        <w:rPr>
          <w:szCs w:val="26"/>
        </w:rPr>
      </w:pPr>
      <w:r w:rsidRPr="00533397">
        <w:rPr>
          <w:rStyle w:val="FootnoteReference"/>
          <w:szCs w:val="26"/>
        </w:rPr>
        <w:footnoteRef/>
      </w:r>
      <w:r w:rsidRPr="00533397">
        <w:rPr>
          <w:szCs w:val="26"/>
        </w:rPr>
        <w:t xml:space="preserve"> </w:t>
      </w:r>
      <w:r w:rsidRPr="00533397">
        <w:rPr>
          <w:szCs w:val="26"/>
        </w:rPr>
        <w:tab/>
        <w:t>Mojave’s TAC and briefing refer to these as “Annual Pumping Allocations” rather than use the terminology in Ordinance No. 03-20 (“Exempted Pumping Allotments”).  We employ the terminology from the ordinance to avoid confusion.</w:t>
      </w:r>
    </w:p>
  </w:footnote>
  <w:footnote w:id="17">
    <w:p w:rsidR="00AC0183" w:rsidRPr="00533397" w:rsidP="00AC0183" w14:paraId="391EA62C" w14:textId="2A394EE1">
      <w:pPr>
        <w:pStyle w:val="FootnoteText"/>
        <w:keepLines w:val="0"/>
        <w:spacing w:after="240"/>
        <w:ind w:firstLine="720"/>
        <w:rPr>
          <w:szCs w:val="26"/>
        </w:rPr>
      </w:pPr>
      <w:r w:rsidRPr="00533397">
        <w:rPr>
          <w:rStyle w:val="FootnoteReference"/>
          <w:szCs w:val="26"/>
        </w:rPr>
        <w:footnoteRef/>
      </w:r>
      <w:r w:rsidRPr="00533397">
        <w:rPr>
          <w:szCs w:val="26"/>
        </w:rPr>
        <w:t xml:space="preserve"> </w:t>
      </w:r>
      <w:r w:rsidRPr="00533397">
        <w:rPr>
          <w:szCs w:val="26"/>
        </w:rPr>
        <w:tab/>
      </w:r>
      <w:r>
        <w:rPr>
          <w:szCs w:val="26"/>
        </w:rPr>
        <w:t>Respondent</w:t>
      </w:r>
      <w:r w:rsidRPr="00533397">
        <w:rPr>
          <w:szCs w:val="26"/>
        </w:rPr>
        <w:t xml:space="preserve"> court acknowledged that the Extraction Fee, which Mojave has paid, is a separate basis for the ninth and tenth causes of action and therefore allowed Mojave to file a further amended petition basing these causes of action on the Extraction Fee explicitly.</w:t>
      </w:r>
    </w:p>
  </w:footnote>
  <w:footnote w:id="18">
    <w:p w:rsidR="00AD1437" w:rsidRPr="00533397" w:rsidP="00533397" w14:paraId="5A757F5A" w14:textId="1AA6C014">
      <w:pPr>
        <w:widowControl w:val="0"/>
        <w:spacing w:after="240"/>
        <w:ind w:firstLine="720"/>
        <w:rPr>
          <w:szCs w:val="26"/>
        </w:rPr>
      </w:pPr>
      <w:r w:rsidRPr="00533397">
        <w:rPr>
          <w:rStyle w:val="FootnoteReference"/>
          <w:szCs w:val="26"/>
        </w:rPr>
        <w:footnoteRef/>
      </w:r>
      <w:r w:rsidRPr="00533397">
        <w:rPr>
          <w:szCs w:val="26"/>
        </w:rPr>
        <w:t xml:space="preserve"> </w:t>
      </w:r>
      <w:r w:rsidRPr="00533397">
        <w:rPr>
          <w:szCs w:val="26"/>
        </w:rPr>
        <w:tab/>
        <w:t xml:space="preserve">Although </w:t>
      </w:r>
      <w:bookmarkStart w:id="11" w:name="dabmci_9abdb24ec1bf444a981b39a8ab76182c"/>
      <w:r w:rsidR="0056006F">
        <w:rPr>
          <w:szCs w:val="26"/>
        </w:rPr>
        <w:t xml:space="preserve">article XIII, </w:t>
      </w:r>
      <w:r w:rsidRPr="00533397">
        <w:rPr>
          <w:szCs w:val="26"/>
        </w:rPr>
        <w:t>section 32</w:t>
      </w:r>
      <w:bookmarkEnd w:id="11"/>
      <w:r w:rsidRPr="00533397">
        <w:rPr>
          <w:szCs w:val="26"/>
        </w:rPr>
        <w:t xml:space="preserve"> is often cited in “pay first” jurisprudence, the doctrine existed long before </w:t>
      </w:r>
      <w:bookmarkStart w:id="12" w:name="dabmci_3be3c5fc5d0a419799af902c495a42e5"/>
      <w:r w:rsidRPr="00533397">
        <w:rPr>
          <w:szCs w:val="26"/>
        </w:rPr>
        <w:t>section 32’s</w:t>
      </w:r>
      <w:bookmarkEnd w:id="12"/>
      <w:r w:rsidRPr="00533397">
        <w:rPr>
          <w:szCs w:val="26"/>
        </w:rPr>
        <w:t xml:space="preserve"> predecessor provision was added to the California Constitution in 1910, having received judicial recognition for nearly a century before that.  (See </w:t>
      </w:r>
      <w:bookmarkStart w:id="13" w:name="dabmci_285e9b02b9994bc5848237eb2b6b7ac4"/>
      <w:r w:rsidRPr="00533397">
        <w:rPr>
          <w:i/>
          <w:iCs/>
          <w:szCs w:val="26"/>
        </w:rPr>
        <w:t>Chiatello v. City and County of San Francisco</w:t>
      </w:r>
      <w:r w:rsidRPr="00533397">
        <w:rPr>
          <w:szCs w:val="26"/>
        </w:rPr>
        <w:t xml:space="preserve"> (2010) 189 Cal.App.4th 472, 495</w:t>
      </w:r>
      <w:r w:rsidR="0056006F">
        <w:rPr>
          <w:szCs w:val="26"/>
        </w:rPr>
        <w:noBreakHyphen/>
      </w:r>
      <w:r w:rsidRPr="00533397">
        <w:rPr>
          <w:szCs w:val="26"/>
        </w:rPr>
        <w:t>496</w:t>
      </w:r>
      <w:r w:rsidRPr="00533397" w:rsidR="001632CE">
        <w:rPr>
          <w:szCs w:val="26"/>
        </w:rPr>
        <w:t xml:space="preserve"> (</w:t>
      </w:r>
      <w:r w:rsidRPr="00533397" w:rsidR="001632CE">
        <w:rPr>
          <w:i/>
          <w:iCs/>
          <w:szCs w:val="26"/>
        </w:rPr>
        <w:t>Chiatello</w:t>
      </w:r>
      <w:r w:rsidRPr="00533397" w:rsidR="001632CE">
        <w:rPr>
          <w:szCs w:val="26"/>
        </w:rPr>
        <w:t>)</w:t>
      </w:r>
      <w:bookmarkEnd w:id="13"/>
      <w:r w:rsidRPr="00533397">
        <w:rPr>
          <w:szCs w:val="26"/>
        </w:rPr>
        <w:t xml:space="preserve"> [collecting cases].)</w:t>
      </w:r>
    </w:p>
  </w:footnote>
  <w:footnote w:id="19">
    <w:p w:rsidR="00AD1437" w:rsidRPr="00533397" w:rsidP="00533397" w14:paraId="68A3940F" w14:textId="34FECBB9">
      <w:pPr>
        <w:widowControl w:val="0"/>
        <w:shd w:val="clear" w:color="auto" w:fill="FFFFFF"/>
        <w:spacing w:after="240"/>
        <w:ind w:firstLine="720"/>
        <w:rPr>
          <w:szCs w:val="26"/>
        </w:rPr>
      </w:pPr>
      <w:r w:rsidRPr="00533397">
        <w:rPr>
          <w:rStyle w:val="FootnoteReference"/>
          <w:szCs w:val="26"/>
        </w:rPr>
        <w:footnoteRef/>
      </w:r>
      <w:r w:rsidRPr="00533397">
        <w:rPr>
          <w:szCs w:val="26"/>
        </w:rPr>
        <w:t xml:space="preserve"> </w:t>
      </w:r>
      <w:r w:rsidRPr="00533397">
        <w:rPr>
          <w:szCs w:val="26"/>
        </w:rPr>
        <w:tab/>
        <w:t xml:space="preserve">Mojave correctly notes </w:t>
      </w:r>
      <w:r w:rsidRPr="00533397" w:rsidR="006F1154">
        <w:rPr>
          <w:szCs w:val="26"/>
          <w:bdr w:val="none" w:sz="0" w:space="0" w:color="auto" w:frame="1"/>
        </w:rPr>
        <w:t xml:space="preserve">the first sentence of </w:t>
      </w:r>
      <w:bookmarkStart w:id="19" w:name="dabmci_e65e21da697e4ef0b465a22dbed561f6"/>
      <w:r w:rsidR="0056006F">
        <w:rPr>
          <w:szCs w:val="26"/>
          <w:bdr w:val="none" w:sz="0" w:space="0" w:color="auto" w:frame="1"/>
        </w:rPr>
        <w:t xml:space="preserve">article XIII, </w:t>
      </w:r>
      <w:r w:rsidRPr="00533397" w:rsidR="006F1154">
        <w:rPr>
          <w:szCs w:val="26"/>
          <w:bdr w:val="none" w:sz="0" w:space="0" w:color="auto" w:frame="1"/>
        </w:rPr>
        <w:t>section 32</w:t>
      </w:r>
      <w:bookmarkEnd w:id="19"/>
      <w:r w:rsidRPr="00533397" w:rsidR="006F1154">
        <w:rPr>
          <w:szCs w:val="26"/>
          <w:bdr w:val="none" w:sz="0" w:space="0" w:color="auto" w:frame="1"/>
        </w:rPr>
        <w:t xml:space="preserve"> refers to actions against the “State,” </w:t>
      </w:r>
      <w:r w:rsidRPr="00533397" w:rsidR="001E19E0">
        <w:rPr>
          <w:szCs w:val="26"/>
          <w:bdr w:val="none" w:sz="0" w:space="0" w:color="auto" w:frame="1"/>
        </w:rPr>
        <w:t xml:space="preserve">and </w:t>
      </w:r>
      <w:r w:rsidRPr="00533397">
        <w:rPr>
          <w:szCs w:val="26"/>
        </w:rPr>
        <w:t xml:space="preserve">there is a split of authority as to whether the “pay first” rule embodied in </w:t>
      </w:r>
      <w:bookmarkStart w:id="20" w:name="dabmci_913a0e3e82174818b962b1df004f1b76"/>
      <w:r w:rsidRPr="00533397">
        <w:rPr>
          <w:szCs w:val="26"/>
        </w:rPr>
        <w:t>section 32</w:t>
      </w:r>
      <w:bookmarkEnd w:id="20"/>
      <w:r w:rsidRPr="00533397">
        <w:rPr>
          <w:szCs w:val="26"/>
        </w:rPr>
        <w:t xml:space="preserve"> applies to local taxes in the absence of a “pay first” statute.  </w:t>
      </w:r>
      <w:r w:rsidRPr="00533397" w:rsidR="001E19E0">
        <w:rPr>
          <w:szCs w:val="26"/>
          <w:bdr w:val="none" w:sz="0" w:space="0" w:color="auto" w:frame="1"/>
        </w:rPr>
        <w:t>A</w:t>
      </w:r>
      <w:r w:rsidRPr="00533397">
        <w:rPr>
          <w:szCs w:val="26"/>
          <w:bdr w:val="none" w:sz="0" w:space="0" w:color="auto" w:frame="1"/>
        </w:rPr>
        <w:t xml:space="preserve"> number of courts have applied </w:t>
      </w:r>
      <w:bookmarkStart w:id="21" w:name="dabmci_ea32b779fc794a339be744fc5344c7d6"/>
      <w:r w:rsidR="006D303A">
        <w:rPr>
          <w:szCs w:val="26"/>
          <w:bdr w:val="none" w:sz="0" w:space="0" w:color="auto" w:frame="1"/>
        </w:rPr>
        <w:t>section 32’s</w:t>
      </w:r>
      <w:bookmarkEnd w:id="21"/>
      <w:r w:rsidRPr="00533397">
        <w:rPr>
          <w:szCs w:val="26"/>
          <w:bdr w:val="none" w:sz="0" w:space="0" w:color="auto" w:frame="1"/>
        </w:rPr>
        <w:t xml:space="preserve"> “pay first, litigate later” principle to actions against local governments as a matter of public policy.  (See, e.g., </w:t>
      </w:r>
      <w:bookmarkStart w:id="22" w:name="dabmci_ff41e61067de4c82baae6f7fbf71ffef"/>
      <w:r w:rsidRPr="00533397">
        <w:rPr>
          <w:i/>
          <w:iCs/>
          <w:szCs w:val="26"/>
          <w:bdr w:val="none" w:sz="0" w:space="0" w:color="auto" w:frame="1"/>
        </w:rPr>
        <w:t>Water Replenishment Dist</w:t>
      </w:r>
      <w:r w:rsidR="0056006F">
        <w:rPr>
          <w:i/>
          <w:iCs/>
          <w:szCs w:val="26"/>
          <w:bdr w:val="none" w:sz="0" w:space="0" w:color="auto" w:frame="1"/>
        </w:rPr>
        <w:t>.</w:t>
      </w:r>
      <w:r w:rsidRPr="00533397">
        <w:rPr>
          <w:i/>
          <w:iCs/>
          <w:szCs w:val="26"/>
          <w:bdr w:val="none" w:sz="0" w:space="0" w:color="auto" w:frame="1"/>
        </w:rPr>
        <w:t xml:space="preserve"> of Southern California v. City of Cerritos </w:t>
      </w:r>
      <w:r w:rsidRPr="00533397">
        <w:rPr>
          <w:szCs w:val="26"/>
          <w:bdr w:val="none" w:sz="0" w:space="0" w:color="auto" w:frame="1"/>
        </w:rPr>
        <w:t>(2013) 220 Cal.App.4th 1450, 1466</w:t>
      </w:r>
      <w:r w:rsidR="0056006F">
        <w:rPr>
          <w:szCs w:val="26"/>
          <w:bdr w:val="none" w:sz="0" w:space="0" w:color="auto" w:frame="1"/>
        </w:rPr>
        <w:noBreakHyphen/>
      </w:r>
      <w:r w:rsidRPr="00533397">
        <w:rPr>
          <w:szCs w:val="26"/>
          <w:bdr w:val="none" w:sz="0" w:space="0" w:color="auto" w:frame="1"/>
        </w:rPr>
        <w:t>1468</w:t>
      </w:r>
      <w:r w:rsidR="0056006F">
        <w:rPr>
          <w:szCs w:val="26"/>
          <w:bdr w:val="none" w:sz="0" w:space="0" w:color="auto" w:frame="1"/>
        </w:rPr>
        <w:t xml:space="preserve"> (</w:t>
      </w:r>
      <w:r w:rsidR="0056006F">
        <w:rPr>
          <w:i/>
          <w:iCs/>
          <w:szCs w:val="26"/>
          <w:bdr w:val="none" w:sz="0" w:space="0" w:color="auto" w:frame="1"/>
        </w:rPr>
        <w:t>City of Cerritos</w:t>
      </w:r>
      <w:r w:rsidR="0056006F">
        <w:rPr>
          <w:szCs w:val="26"/>
          <w:bdr w:val="none" w:sz="0" w:space="0" w:color="auto" w:frame="1"/>
        </w:rPr>
        <w:t>)</w:t>
      </w:r>
      <w:bookmarkEnd w:id="22"/>
      <w:r w:rsidRPr="00533397">
        <w:rPr>
          <w:szCs w:val="26"/>
          <w:bdr w:val="none" w:sz="0" w:space="0" w:color="auto" w:frame="1"/>
        </w:rPr>
        <w:t xml:space="preserve">; </w:t>
      </w:r>
      <w:bookmarkStart w:id="23" w:name="dabmci_dd47e4cc254d4d0abd3269a016b1aa96"/>
      <w:r w:rsidRPr="00533397">
        <w:rPr>
          <w:i/>
          <w:iCs/>
          <w:szCs w:val="26"/>
        </w:rPr>
        <w:t>Chodos v. City of Los Angeles</w:t>
      </w:r>
      <w:r w:rsidRPr="00533397">
        <w:rPr>
          <w:szCs w:val="26"/>
        </w:rPr>
        <w:t xml:space="preserve"> (2011) 195 Cal.App.4th 675, 680</w:t>
      </w:r>
      <w:bookmarkEnd w:id="23"/>
      <w:r w:rsidRPr="00533397">
        <w:rPr>
          <w:szCs w:val="26"/>
        </w:rPr>
        <w:t xml:space="preserve">; </w:t>
      </w:r>
      <w:bookmarkStart w:id="24" w:name="dabmci_49aaa261c40d44f5aaf2b892c5ae5bd7"/>
      <w:r w:rsidRPr="00533397">
        <w:rPr>
          <w:i/>
          <w:iCs/>
          <w:szCs w:val="26"/>
          <w:bdr w:val="none" w:sz="0" w:space="0" w:color="auto" w:frame="1"/>
        </w:rPr>
        <w:t>Flying Dutchman</w:t>
      </w:r>
      <w:r w:rsidR="0056006F">
        <w:rPr>
          <w:i/>
          <w:iCs/>
          <w:szCs w:val="26"/>
          <w:bdr w:val="none" w:sz="0" w:space="0" w:color="auto" w:frame="1"/>
        </w:rPr>
        <w:t xml:space="preserve"> Park, Inc. v. City and County of San Francisco</w:t>
      </w:r>
      <w:r w:rsidR="0056006F">
        <w:rPr>
          <w:szCs w:val="26"/>
          <w:bdr w:val="none" w:sz="0" w:space="0" w:color="auto" w:frame="1"/>
        </w:rPr>
        <w:t xml:space="preserve"> (2001)</w:t>
      </w:r>
      <w:r w:rsidRPr="00533397" w:rsidR="00546439">
        <w:rPr>
          <w:i/>
          <w:iCs/>
          <w:szCs w:val="26"/>
          <w:bdr w:val="none" w:sz="0" w:space="0" w:color="auto" w:frame="1"/>
        </w:rPr>
        <w:t xml:space="preserve"> </w:t>
      </w:r>
      <w:r w:rsidRPr="00533397">
        <w:rPr>
          <w:szCs w:val="26"/>
          <w:bdr w:val="none" w:sz="0" w:space="0" w:color="auto" w:frame="1"/>
        </w:rPr>
        <w:t xml:space="preserve">93 Cal.App.4th </w:t>
      </w:r>
      <w:r w:rsidR="0056006F">
        <w:rPr>
          <w:szCs w:val="26"/>
          <w:bdr w:val="none" w:sz="0" w:space="0" w:color="auto" w:frame="1"/>
        </w:rPr>
        <w:t>1129,</w:t>
      </w:r>
      <w:r w:rsidRPr="00533397">
        <w:rPr>
          <w:szCs w:val="26"/>
          <w:bdr w:val="none" w:sz="0" w:space="0" w:color="auto" w:frame="1"/>
        </w:rPr>
        <w:t xml:space="preserve"> 1136</w:t>
      </w:r>
      <w:r w:rsidR="0056006F">
        <w:rPr>
          <w:szCs w:val="26"/>
          <w:bdr w:val="none" w:sz="0" w:space="0" w:color="auto" w:frame="1"/>
        </w:rPr>
        <w:noBreakHyphen/>
      </w:r>
      <w:r w:rsidRPr="00533397">
        <w:rPr>
          <w:szCs w:val="26"/>
          <w:bdr w:val="none" w:sz="0" w:space="0" w:color="auto" w:frame="1"/>
        </w:rPr>
        <w:t>1137</w:t>
      </w:r>
      <w:r w:rsidR="0056006F">
        <w:rPr>
          <w:szCs w:val="26"/>
          <w:bdr w:val="none" w:sz="0" w:space="0" w:color="auto" w:frame="1"/>
        </w:rPr>
        <w:t xml:space="preserve"> (</w:t>
      </w:r>
      <w:r w:rsidR="0056006F">
        <w:rPr>
          <w:i/>
          <w:iCs/>
          <w:szCs w:val="26"/>
          <w:bdr w:val="none" w:sz="0" w:space="0" w:color="auto" w:frame="1"/>
        </w:rPr>
        <w:t>Flying Dutchman</w:t>
      </w:r>
      <w:r w:rsidR="0056006F">
        <w:rPr>
          <w:szCs w:val="26"/>
          <w:bdr w:val="none" w:sz="0" w:space="0" w:color="auto" w:frame="1"/>
        </w:rPr>
        <w:t>)</w:t>
      </w:r>
      <w:bookmarkEnd w:id="24"/>
      <w:r w:rsidRPr="00533397">
        <w:rPr>
          <w:szCs w:val="26"/>
          <w:bdr w:val="none" w:sz="0" w:space="0" w:color="auto" w:frame="1"/>
        </w:rPr>
        <w:t>.)</w:t>
      </w:r>
      <w:r w:rsidR="006D2442">
        <w:rPr>
          <w:szCs w:val="26"/>
          <w:bdr w:val="none" w:sz="0" w:space="0" w:color="auto" w:frame="1"/>
        </w:rPr>
        <w:t xml:space="preserve"> </w:t>
      </w:r>
      <w:r w:rsidR="00BB66FF">
        <w:rPr>
          <w:szCs w:val="26"/>
          <w:bdr w:val="none" w:sz="0" w:space="0" w:color="auto" w:frame="1"/>
        </w:rPr>
        <w:t xml:space="preserve"> </w:t>
      </w:r>
      <w:r w:rsidR="00DC352B">
        <w:rPr>
          <w:szCs w:val="26"/>
          <w:bdr w:val="none" w:sz="0" w:space="0" w:color="auto" w:frame="1"/>
        </w:rPr>
        <w:t>Other c</w:t>
      </w:r>
      <w:r w:rsidRPr="00533397">
        <w:rPr>
          <w:szCs w:val="26"/>
          <w:bdr w:val="none" w:sz="0" w:space="0" w:color="auto" w:frame="1"/>
        </w:rPr>
        <w:t xml:space="preserve">ourts, however, have held </w:t>
      </w:r>
      <w:bookmarkStart w:id="25" w:name="dabmci_90ab76ade31748c3a0938f0dcef01248"/>
      <w:r w:rsidR="0056006F">
        <w:rPr>
          <w:szCs w:val="26"/>
          <w:bdr w:val="none" w:sz="0" w:space="0" w:color="auto" w:frame="1"/>
        </w:rPr>
        <w:t xml:space="preserve">article XIII, </w:t>
      </w:r>
      <w:r w:rsidRPr="00533397">
        <w:rPr>
          <w:szCs w:val="26"/>
          <w:bdr w:val="none" w:sz="0" w:space="0" w:color="auto" w:frame="1"/>
        </w:rPr>
        <w:t>section 32</w:t>
      </w:r>
      <w:bookmarkEnd w:id="25"/>
      <w:r w:rsidRPr="00533397">
        <w:rPr>
          <w:szCs w:val="26"/>
          <w:bdr w:val="none" w:sz="0" w:space="0" w:color="auto" w:frame="1"/>
        </w:rPr>
        <w:t xml:space="preserve"> applies only to</w:t>
      </w:r>
      <w:r w:rsidR="00F700B3">
        <w:rPr>
          <w:szCs w:val="26"/>
          <w:bdr w:val="none" w:sz="0" w:space="0" w:color="auto" w:frame="1"/>
        </w:rPr>
        <w:t xml:space="preserve"> </w:t>
      </w:r>
      <w:r w:rsidRPr="00533397">
        <w:rPr>
          <w:szCs w:val="26"/>
          <w:bdr w:val="none" w:sz="0" w:space="0" w:color="auto" w:frame="1"/>
        </w:rPr>
        <w:t>action</w:t>
      </w:r>
      <w:r w:rsidR="00F700B3">
        <w:rPr>
          <w:szCs w:val="26"/>
          <w:bdr w:val="none" w:sz="0" w:space="0" w:color="auto" w:frame="1"/>
        </w:rPr>
        <w:t>s</w:t>
      </w:r>
      <w:r w:rsidRPr="00533397">
        <w:rPr>
          <w:szCs w:val="26"/>
          <w:bdr w:val="none" w:sz="0" w:space="0" w:color="auto" w:frame="1"/>
        </w:rPr>
        <w:t xml:space="preserve"> against the state, as stated in the provision.  </w:t>
      </w:r>
      <w:r w:rsidRPr="00533397">
        <w:rPr>
          <w:szCs w:val="26"/>
        </w:rPr>
        <w:t xml:space="preserve">(See, e.g., </w:t>
      </w:r>
      <w:bookmarkStart w:id="26" w:name="dabmci_224cab3afa404176a40c6158bbfdc23c"/>
      <w:r w:rsidRPr="00533397">
        <w:rPr>
          <w:i/>
          <w:iCs/>
          <w:szCs w:val="26"/>
        </w:rPr>
        <w:t>City of Anaheim v. Superior Court</w:t>
      </w:r>
      <w:r w:rsidRPr="00533397">
        <w:rPr>
          <w:szCs w:val="26"/>
        </w:rPr>
        <w:t xml:space="preserve"> (2009) 179 Cal.App.4th 825, 830</w:t>
      </w:r>
      <w:r w:rsidRPr="00533397" w:rsidR="00F76FA6">
        <w:rPr>
          <w:szCs w:val="26"/>
        </w:rPr>
        <w:t xml:space="preserve"> (</w:t>
      </w:r>
      <w:r w:rsidRPr="00533397" w:rsidR="00F76FA6">
        <w:rPr>
          <w:i/>
          <w:iCs/>
          <w:szCs w:val="26"/>
        </w:rPr>
        <w:t>City of Anaheim</w:t>
      </w:r>
      <w:r w:rsidRPr="00533397" w:rsidR="00F76FA6">
        <w:rPr>
          <w:szCs w:val="26"/>
        </w:rPr>
        <w:t>)</w:t>
      </w:r>
      <w:bookmarkEnd w:id="26"/>
      <w:r w:rsidRPr="00533397">
        <w:rPr>
          <w:szCs w:val="26"/>
        </w:rPr>
        <w:t xml:space="preserve"> [“</w:t>
      </w:r>
      <w:bookmarkStart w:id="27" w:name="dabmci_58a3991796a446b690b99dd4bd293075"/>
      <w:r w:rsidR="0056006F">
        <w:rPr>
          <w:szCs w:val="26"/>
        </w:rPr>
        <w:t xml:space="preserve">Article XIII, </w:t>
      </w:r>
      <w:r w:rsidRPr="00533397">
        <w:rPr>
          <w:szCs w:val="26"/>
        </w:rPr>
        <w:t>Section 32</w:t>
      </w:r>
      <w:bookmarkEnd w:id="27"/>
      <w:r w:rsidRPr="00533397">
        <w:rPr>
          <w:szCs w:val="26"/>
        </w:rPr>
        <w:t xml:space="preserve"> </w:t>
      </w:r>
      <w:r w:rsidR="0056006F">
        <w:rPr>
          <w:szCs w:val="26"/>
        </w:rPr>
        <w:t>. . . </w:t>
      </w:r>
      <w:r w:rsidRPr="00533397">
        <w:rPr>
          <w:szCs w:val="26"/>
        </w:rPr>
        <w:t xml:space="preserve">does not bar the [plaintiffs’] actions here [against the city] because courts have limited this constitutional provision to actions against the state or an officer of the state”]; </w:t>
      </w:r>
      <w:bookmarkStart w:id="28" w:name="dabmci_7341e1a7411b4b399e1ee1fb31bac96f"/>
      <w:r w:rsidRPr="00533397">
        <w:rPr>
          <w:i/>
          <w:iCs/>
          <w:szCs w:val="26"/>
        </w:rPr>
        <w:t>County of Los Angeles v. Superior Court</w:t>
      </w:r>
      <w:r w:rsidRPr="00533397">
        <w:rPr>
          <w:szCs w:val="26"/>
        </w:rPr>
        <w:t xml:space="preserve"> (2008) 159 Cal.App.4th 353, 363 fn.</w:t>
      </w:r>
      <w:r w:rsidR="00EC0353">
        <w:rPr>
          <w:szCs w:val="26"/>
        </w:rPr>
        <w:t> </w:t>
      </w:r>
      <w:r w:rsidRPr="00533397">
        <w:rPr>
          <w:szCs w:val="26"/>
        </w:rPr>
        <w:t>6</w:t>
      </w:r>
      <w:bookmarkEnd w:id="28"/>
      <w:r w:rsidRPr="00533397">
        <w:rPr>
          <w:szCs w:val="26"/>
        </w:rPr>
        <w:t xml:space="preserve"> [</w:t>
      </w:r>
      <w:r w:rsidR="00EC0353">
        <w:rPr>
          <w:szCs w:val="26"/>
        </w:rPr>
        <w:t>‘</w:t>
      </w:r>
      <w:r w:rsidRPr="00533397">
        <w:rPr>
          <w:szCs w:val="26"/>
        </w:rPr>
        <w:t>“</w:t>
      </w:r>
      <w:bookmarkStart w:id="29" w:name="dabmci_d1cc3adc15804d45ae02ed8d28b7fb43"/>
      <w:r w:rsidRPr="00533397">
        <w:rPr>
          <w:szCs w:val="26"/>
        </w:rPr>
        <w:t>Section 32</w:t>
      </w:r>
      <w:bookmarkEnd w:id="29"/>
      <w:r w:rsidRPr="00533397">
        <w:rPr>
          <w:szCs w:val="26"/>
        </w:rPr>
        <w:t xml:space="preserve"> applies only to actions against the state”</w:t>
      </w:r>
      <w:r w:rsidR="00EC0353">
        <w:rPr>
          <w:szCs w:val="26"/>
        </w:rPr>
        <w:t>’</w:t>
      </w:r>
      <w:r w:rsidRPr="00533397">
        <w:rPr>
          <w:szCs w:val="26"/>
        </w:rPr>
        <w:t xml:space="preserve">].)  We </w:t>
      </w:r>
      <w:r w:rsidR="00A34341">
        <w:rPr>
          <w:szCs w:val="26"/>
        </w:rPr>
        <w:t>agree with the former group that</w:t>
      </w:r>
      <w:r w:rsidR="001740CE">
        <w:rPr>
          <w:szCs w:val="26"/>
        </w:rPr>
        <w:t xml:space="preserve">, </w:t>
      </w:r>
      <w:r w:rsidR="004140DA">
        <w:rPr>
          <w:szCs w:val="26"/>
        </w:rPr>
        <w:t xml:space="preserve">even </w:t>
      </w:r>
      <w:r w:rsidR="001740CE">
        <w:rPr>
          <w:szCs w:val="26"/>
        </w:rPr>
        <w:t xml:space="preserve">in the absence of a statute </w:t>
      </w:r>
      <w:r w:rsidR="0084736A">
        <w:rPr>
          <w:szCs w:val="26"/>
        </w:rPr>
        <w:t>calling for the application of</w:t>
      </w:r>
      <w:r w:rsidR="001740CE">
        <w:rPr>
          <w:szCs w:val="26"/>
        </w:rPr>
        <w:t xml:space="preserve"> the </w:t>
      </w:r>
      <w:r w:rsidR="0084736A">
        <w:rPr>
          <w:szCs w:val="26"/>
        </w:rPr>
        <w:t>“</w:t>
      </w:r>
      <w:r w:rsidR="001740CE">
        <w:rPr>
          <w:szCs w:val="26"/>
        </w:rPr>
        <w:t>pay first</w:t>
      </w:r>
      <w:r w:rsidR="0084736A">
        <w:rPr>
          <w:szCs w:val="26"/>
        </w:rPr>
        <w:t>”</w:t>
      </w:r>
      <w:r w:rsidR="001740CE">
        <w:rPr>
          <w:szCs w:val="26"/>
        </w:rPr>
        <w:t xml:space="preserve"> rule to a given situation,</w:t>
      </w:r>
      <w:r w:rsidR="00A34341">
        <w:rPr>
          <w:szCs w:val="26"/>
        </w:rPr>
        <w:t xml:space="preserve"> </w:t>
      </w:r>
      <w:bookmarkStart w:id="30" w:name="dabmci_e125de9d31c14d249852d532bfe8ea01"/>
      <w:r w:rsidR="00EC0353">
        <w:rPr>
          <w:szCs w:val="26"/>
        </w:rPr>
        <w:t xml:space="preserve">article XIII, </w:t>
      </w:r>
      <w:r w:rsidR="00A34341">
        <w:rPr>
          <w:szCs w:val="26"/>
        </w:rPr>
        <w:t>se</w:t>
      </w:r>
      <w:r w:rsidRPr="00533397">
        <w:rPr>
          <w:szCs w:val="26"/>
        </w:rPr>
        <w:t>ction 32</w:t>
      </w:r>
      <w:bookmarkEnd w:id="30"/>
      <w:r w:rsidRPr="00533397">
        <w:rPr>
          <w:szCs w:val="26"/>
        </w:rPr>
        <w:t xml:space="preserve"> applies </w:t>
      </w:r>
      <w:r w:rsidR="005E1D04">
        <w:rPr>
          <w:szCs w:val="26"/>
        </w:rPr>
        <w:t>to</w:t>
      </w:r>
      <w:r w:rsidRPr="00533397">
        <w:rPr>
          <w:szCs w:val="26"/>
        </w:rPr>
        <w:t xml:space="preserve"> </w:t>
      </w:r>
      <w:r w:rsidR="005E1D04">
        <w:rPr>
          <w:szCs w:val="26"/>
        </w:rPr>
        <w:t>both state and local governments</w:t>
      </w:r>
      <w:r w:rsidR="000A6C61">
        <w:rPr>
          <w:szCs w:val="26"/>
        </w:rPr>
        <w:t xml:space="preserve"> </w:t>
      </w:r>
      <w:r w:rsidRPr="00533397" w:rsidR="00301E86">
        <w:rPr>
          <w:szCs w:val="26"/>
        </w:rPr>
        <w:t>as a matter of pub</w:t>
      </w:r>
      <w:r w:rsidR="000A6C61">
        <w:rPr>
          <w:szCs w:val="26"/>
        </w:rPr>
        <w:t>l</w:t>
      </w:r>
      <w:r w:rsidRPr="00533397" w:rsidR="00301E86">
        <w:rPr>
          <w:szCs w:val="26"/>
        </w:rPr>
        <w:t>ic policy</w:t>
      </w:r>
      <w:r w:rsidR="00A34341">
        <w:rPr>
          <w:szCs w:val="26"/>
        </w:rPr>
        <w:t xml:space="preserve">.  Ultimately, however, </w:t>
      </w:r>
      <w:r w:rsidR="00C05BA6">
        <w:rPr>
          <w:szCs w:val="26"/>
        </w:rPr>
        <w:t>this</w:t>
      </w:r>
      <w:r w:rsidR="00A34341">
        <w:rPr>
          <w:szCs w:val="26"/>
        </w:rPr>
        <w:t xml:space="preserve"> is a moot issue </w:t>
      </w:r>
      <w:r w:rsidRPr="00533397">
        <w:rPr>
          <w:szCs w:val="26"/>
        </w:rPr>
        <w:t xml:space="preserve">because as </w:t>
      </w:r>
      <w:r w:rsidR="000A6C61">
        <w:rPr>
          <w:szCs w:val="26"/>
        </w:rPr>
        <w:t xml:space="preserve">discussed </w:t>
      </w:r>
      <w:r w:rsidRPr="00533397">
        <w:rPr>
          <w:szCs w:val="26"/>
        </w:rPr>
        <w:t>below, the “pay first” rule also appears in the text of SGMA.  (See §</w:t>
      </w:r>
      <w:r w:rsidR="00EC0353">
        <w:rPr>
          <w:szCs w:val="26"/>
        </w:rPr>
        <w:t> </w:t>
      </w:r>
      <w:r w:rsidRPr="00533397">
        <w:rPr>
          <w:szCs w:val="26"/>
        </w:rPr>
        <w:t>10726.6(d).)</w:t>
      </w:r>
    </w:p>
  </w:footnote>
  <w:footnote w:id="20">
    <w:p w:rsidR="00AD1437" w:rsidRPr="00533397" w:rsidP="00533397" w14:paraId="067E8BBD" w14:textId="2B7AE9B6">
      <w:pPr>
        <w:pStyle w:val="FootnoteText"/>
        <w:keepLines w:val="0"/>
        <w:spacing w:after="240"/>
        <w:ind w:firstLine="720"/>
        <w:rPr>
          <w:szCs w:val="26"/>
        </w:rPr>
      </w:pPr>
      <w:r w:rsidRPr="00533397">
        <w:rPr>
          <w:rStyle w:val="FootnoteReference"/>
          <w:szCs w:val="26"/>
        </w:rPr>
        <w:footnoteRef/>
      </w:r>
      <w:r w:rsidRPr="00533397">
        <w:rPr>
          <w:szCs w:val="26"/>
        </w:rPr>
        <w:t xml:space="preserve">  </w:t>
      </w:r>
      <w:r w:rsidRPr="00533397">
        <w:rPr>
          <w:szCs w:val="26"/>
        </w:rPr>
        <w:tab/>
        <w:t xml:space="preserve">Section 10726.6(d) in SGMA tracks </w:t>
      </w:r>
      <w:r w:rsidR="002332BC">
        <w:rPr>
          <w:szCs w:val="26"/>
        </w:rPr>
        <w:t xml:space="preserve">Health and Safety Code </w:t>
      </w:r>
      <w:r w:rsidRPr="00533397">
        <w:rPr>
          <w:szCs w:val="26"/>
        </w:rPr>
        <w:t>section</w:t>
      </w:r>
      <w:r w:rsidR="002332BC">
        <w:rPr>
          <w:szCs w:val="26"/>
        </w:rPr>
        <w:t> </w:t>
      </w:r>
      <w:r w:rsidRPr="00533397">
        <w:rPr>
          <w:szCs w:val="26"/>
        </w:rPr>
        <w:t xml:space="preserve">5472 nearly verbatim.  Section 5472 provides:  “After fees, rates, tolls, rentals or other charges are fixed pursuant to this article, </w:t>
      </w:r>
      <w:r w:rsidRPr="00533397">
        <w:rPr>
          <w:i/>
          <w:iCs/>
          <w:szCs w:val="26"/>
        </w:rPr>
        <w:t>any person may pay</w:t>
      </w:r>
      <w:r w:rsidRPr="00533397">
        <w:rPr>
          <w:szCs w:val="26"/>
        </w:rPr>
        <w:t xml:space="preserve"> such fees, rates, tolls, rentals or other charges </w:t>
      </w:r>
      <w:r w:rsidRPr="00533397">
        <w:rPr>
          <w:i/>
          <w:iCs/>
          <w:szCs w:val="26"/>
        </w:rPr>
        <w:t>under protest and bring an action against the</w:t>
      </w:r>
      <w:r w:rsidRPr="00533397">
        <w:rPr>
          <w:szCs w:val="26"/>
        </w:rPr>
        <w:t xml:space="preserve"> city or city and county </w:t>
      </w:r>
      <w:r w:rsidRPr="00533397">
        <w:rPr>
          <w:i/>
          <w:iCs/>
          <w:szCs w:val="26"/>
        </w:rPr>
        <w:t xml:space="preserve">in the superior court to recover any money </w:t>
      </w:r>
      <w:r w:rsidRPr="00533397">
        <w:rPr>
          <w:szCs w:val="26"/>
        </w:rPr>
        <w:t>which</w:t>
      </w:r>
      <w:r w:rsidRPr="00533397">
        <w:rPr>
          <w:i/>
          <w:iCs/>
          <w:szCs w:val="26"/>
        </w:rPr>
        <w:t xml:space="preserve"> the</w:t>
      </w:r>
      <w:r w:rsidRPr="00533397">
        <w:rPr>
          <w:szCs w:val="26"/>
        </w:rPr>
        <w:t xml:space="preserve"> legislative </w:t>
      </w:r>
      <w:r w:rsidRPr="00533397">
        <w:rPr>
          <w:i/>
          <w:iCs/>
          <w:szCs w:val="26"/>
        </w:rPr>
        <w:t xml:space="preserve">body refuses to refund. Payments made and actions brought under this section, shall be made and brought in the manner provided for payment of taxes under protest and actions for refund </w:t>
      </w:r>
      <w:r w:rsidRPr="002332BC">
        <w:rPr>
          <w:szCs w:val="26"/>
        </w:rPr>
        <w:t>thereof</w:t>
      </w:r>
      <w:r w:rsidRPr="00533397">
        <w:rPr>
          <w:i/>
          <w:iCs/>
          <w:szCs w:val="26"/>
        </w:rPr>
        <w:t xml:space="preserve"> in Article 2, Chapter 5, Part 9, of Division 1 of the Revenue and Taxation Code</w:t>
      </w:r>
      <w:r w:rsidRPr="00533397">
        <w:rPr>
          <w:szCs w:val="26"/>
        </w:rPr>
        <w:t xml:space="preserve">, insofar </w:t>
      </w:r>
      <w:r w:rsidRPr="00533397">
        <w:rPr>
          <w:i/>
          <w:iCs/>
          <w:szCs w:val="26"/>
        </w:rPr>
        <w:t>as</w:t>
      </w:r>
      <w:r w:rsidRPr="00533397">
        <w:rPr>
          <w:szCs w:val="26"/>
        </w:rPr>
        <w:t xml:space="preserve"> those provisions are </w:t>
      </w:r>
      <w:r w:rsidRPr="00533397">
        <w:rPr>
          <w:i/>
          <w:iCs/>
          <w:szCs w:val="26"/>
        </w:rPr>
        <w:t>applicable</w:t>
      </w:r>
      <w:r w:rsidRPr="00533397">
        <w:rPr>
          <w:szCs w:val="26"/>
        </w:rPr>
        <w:t xml:space="preserve">.”  (Italics added.)  We have italicized the portions of </w:t>
      </w:r>
      <w:r w:rsidR="002332BC">
        <w:rPr>
          <w:szCs w:val="26"/>
        </w:rPr>
        <w:t xml:space="preserve">Health and Safety Code </w:t>
      </w:r>
      <w:r w:rsidRPr="00533397">
        <w:rPr>
          <w:szCs w:val="26"/>
        </w:rPr>
        <w:t xml:space="preserve">section 5472 that also appear in </w:t>
      </w:r>
      <w:r w:rsidR="002332BC">
        <w:rPr>
          <w:szCs w:val="26"/>
        </w:rPr>
        <w:t xml:space="preserve">Water Code </w:t>
      </w:r>
      <w:r w:rsidRPr="00533397">
        <w:rPr>
          <w:szCs w:val="26"/>
        </w:rPr>
        <w:t>section</w:t>
      </w:r>
      <w:r w:rsidR="002332BC">
        <w:rPr>
          <w:szCs w:val="26"/>
        </w:rPr>
        <w:t> </w:t>
      </w:r>
      <w:r w:rsidRPr="00533397">
        <w:rPr>
          <w:szCs w:val="26"/>
        </w:rPr>
        <w:t xml:space="preserve">10726.6.  </w:t>
      </w:r>
    </w:p>
  </w:footnote>
  <w:footnote w:id="21">
    <w:p w:rsidR="00AD1437" w:rsidRPr="00533397" w:rsidP="00533397" w14:paraId="3FC38B0E" w14:textId="790CD450">
      <w:pPr>
        <w:pStyle w:val="FootnoteText"/>
        <w:keepLines w:val="0"/>
        <w:spacing w:after="240"/>
        <w:ind w:firstLine="720"/>
        <w:rPr>
          <w:b/>
          <w:bCs/>
          <w:szCs w:val="26"/>
        </w:rPr>
      </w:pPr>
      <w:r w:rsidRPr="00533397">
        <w:rPr>
          <w:rStyle w:val="FootnoteReference"/>
          <w:szCs w:val="26"/>
        </w:rPr>
        <w:footnoteRef/>
      </w:r>
      <w:r w:rsidRPr="00533397">
        <w:rPr>
          <w:szCs w:val="26"/>
        </w:rPr>
        <w:t xml:space="preserve"> </w:t>
      </w:r>
      <w:r w:rsidRPr="00533397">
        <w:rPr>
          <w:szCs w:val="26"/>
        </w:rPr>
        <w:tab/>
        <w:t xml:space="preserve">Asserting that “[o]ther exceptions apply,” and citing </w:t>
      </w:r>
      <w:bookmarkStart w:id="79" w:name="dabmci_f884558dd2074b59bbf4d5a11cccfc13"/>
      <w:r w:rsidRPr="00533397">
        <w:rPr>
          <w:i/>
          <w:iCs/>
          <w:szCs w:val="26"/>
        </w:rPr>
        <w:t>Reid</w:t>
      </w:r>
      <w:r w:rsidRPr="00533397" w:rsidR="001E5C67">
        <w:rPr>
          <w:i/>
          <w:iCs/>
          <w:szCs w:val="26"/>
        </w:rPr>
        <w:t xml:space="preserve">, supra, </w:t>
      </w:r>
      <w:r w:rsidRPr="00533397">
        <w:rPr>
          <w:szCs w:val="26"/>
        </w:rPr>
        <w:t>24</w:t>
      </w:r>
      <w:r w:rsidR="007D36D5">
        <w:rPr>
          <w:szCs w:val="26"/>
        </w:rPr>
        <w:t> </w:t>
      </w:r>
      <w:r w:rsidRPr="00533397">
        <w:rPr>
          <w:szCs w:val="26"/>
        </w:rPr>
        <w:t>Cal.App.5th 343</w:t>
      </w:r>
      <w:bookmarkEnd w:id="79"/>
      <w:r w:rsidRPr="00533397">
        <w:rPr>
          <w:szCs w:val="26"/>
        </w:rPr>
        <w:t xml:space="preserve"> for the proposition that “the ‘pay first, litigate later’ rule does not apply where, as here, the [government] has specifically provided a prepayment remedy” (</w:t>
      </w:r>
      <w:bookmarkStart w:id="80" w:name="dabmci_55f27cef65b542678a4f05f5cf2ea5a3"/>
      <w:r w:rsidRPr="00533397">
        <w:rPr>
          <w:i/>
          <w:iCs/>
          <w:szCs w:val="26"/>
        </w:rPr>
        <w:t xml:space="preserve">id. </w:t>
      </w:r>
      <w:r w:rsidRPr="00533397">
        <w:rPr>
          <w:szCs w:val="26"/>
        </w:rPr>
        <w:t>at p. 357</w:t>
      </w:r>
      <w:bookmarkEnd w:id="80"/>
      <w:r w:rsidRPr="00533397">
        <w:rPr>
          <w:szCs w:val="26"/>
        </w:rPr>
        <w:t xml:space="preserve">), Mojave argues the “pay first” rule does not apply because SGMA includes a prepayment remedy in section 10726.6, subdivision (c), which states:  “Any judicial action or proceeding to attack, review, set aside, void, or annul the ordinance or resolution imposing a new, or increasing an existing, fee imposed pursuant to Section 10730, 10730.2, or 10730.4 shall be commenced within 180 days following the adoption of the ordinance or resolution.” </w:t>
      </w:r>
      <w:r w:rsidRPr="00533397">
        <w:rPr>
          <w:b/>
          <w:bCs/>
          <w:szCs w:val="26"/>
        </w:rPr>
        <w:t xml:space="preserve"> </w:t>
      </w:r>
    </w:p>
    <w:p w:rsidR="00AD1437" w:rsidRPr="00533397" w:rsidP="00324F7F" w14:paraId="4BBA772B" w14:textId="3F380E17">
      <w:pPr>
        <w:pStyle w:val="FootnoteText"/>
        <w:keepLines w:val="0"/>
        <w:spacing w:after="240"/>
        <w:ind w:firstLine="1440"/>
        <w:rPr>
          <w:szCs w:val="26"/>
        </w:rPr>
      </w:pPr>
      <w:r w:rsidRPr="00533397">
        <w:rPr>
          <w:szCs w:val="26"/>
        </w:rPr>
        <w:t xml:space="preserve">We disagree.  Mojave is correct </w:t>
      </w:r>
      <w:r w:rsidR="00F2290D">
        <w:rPr>
          <w:szCs w:val="26"/>
        </w:rPr>
        <w:t xml:space="preserve">when it argues </w:t>
      </w:r>
      <w:r w:rsidRPr="00533397">
        <w:rPr>
          <w:szCs w:val="26"/>
        </w:rPr>
        <w:t>that as long as a government “provides a clear and certain remedy, it may determine to provide predeprivation process instead of postdeprivation relief.”  (</w:t>
      </w:r>
      <w:bookmarkStart w:id="81" w:name="dabmci_56b7d49a719d4691993368a2811a6f7b"/>
      <w:r w:rsidRPr="00533397">
        <w:rPr>
          <w:i/>
          <w:iCs/>
          <w:szCs w:val="26"/>
        </w:rPr>
        <w:t xml:space="preserve">Reid, supra, </w:t>
      </w:r>
      <w:r w:rsidRPr="00533397">
        <w:rPr>
          <w:szCs w:val="26"/>
        </w:rPr>
        <w:t>24 Cal.App.5th at p. 358</w:t>
      </w:r>
      <w:bookmarkEnd w:id="81"/>
      <w:r w:rsidRPr="00533397">
        <w:rPr>
          <w:szCs w:val="26"/>
        </w:rPr>
        <w:t xml:space="preserve">.)  But that is not what the Legislature did here.  </w:t>
      </w:r>
      <w:r w:rsidR="00F2290D">
        <w:rPr>
          <w:szCs w:val="26"/>
        </w:rPr>
        <w:t>S</w:t>
      </w:r>
      <w:r w:rsidRPr="00533397">
        <w:rPr>
          <w:szCs w:val="26"/>
        </w:rPr>
        <w:t>ection 10726.6</w:t>
      </w:r>
      <w:r w:rsidR="0060621C">
        <w:rPr>
          <w:szCs w:val="26"/>
        </w:rPr>
        <w:t>, subdivision </w:t>
      </w:r>
      <w:r w:rsidRPr="00533397">
        <w:rPr>
          <w:szCs w:val="26"/>
        </w:rPr>
        <w:t>(c)</w:t>
      </w:r>
      <w:r w:rsidR="00E71F8E">
        <w:rPr>
          <w:szCs w:val="26"/>
        </w:rPr>
        <w:t>,</w:t>
      </w:r>
      <w:r w:rsidRPr="00533397">
        <w:rPr>
          <w:szCs w:val="26"/>
        </w:rPr>
        <w:t xml:space="preserve"> is not a prepayment remedy; rather, it is the statute of limitations applicable to any action </w:t>
      </w:r>
      <w:r w:rsidR="00221E9F">
        <w:rPr>
          <w:szCs w:val="26"/>
        </w:rPr>
        <w:t>challenging</w:t>
      </w:r>
      <w:r w:rsidRPr="00533397">
        <w:rPr>
          <w:szCs w:val="26"/>
        </w:rPr>
        <w:t xml:space="preserve"> a groundwater fee ordinance, including a fee refund action under section</w:t>
      </w:r>
      <w:r w:rsidR="0060621C">
        <w:rPr>
          <w:szCs w:val="26"/>
        </w:rPr>
        <w:t> </w:t>
      </w:r>
      <w:r w:rsidRPr="00533397">
        <w:rPr>
          <w:szCs w:val="26"/>
        </w:rPr>
        <w:t xml:space="preserve">10726.6(d). </w:t>
      </w:r>
    </w:p>
    <w:p w:rsidR="00AD1437" w:rsidRPr="00533397" w:rsidP="00324F7F" w14:paraId="4B7A99B7" w14:textId="47D5DD3B">
      <w:pPr>
        <w:pStyle w:val="FootnoteText"/>
        <w:keepLines w:val="0"/>
        <w:spacing w:after="240"/>
        <w:ind w:firstLine="1440"/>
        <w:rPr>
          <w:szCs w:val="26"/>
        </w:rPr>
      </w:pPr>
      <w:r w:rsidRPr="00533397">
        <w:rPr>
          <w:szCs w:val="26"/>
        </w:rPr>
        <w:t>Mojave contends this interpretation is “untenable” because Ordinance No.</w:t>
      </w:r>
      <w:r w:rsidR="00324F7F">
        <w:rPr>
          <w:szCs w:val="26"/>
        </w:rPr>
        <w:t> </w:t>
      </w:r>
      <w:r w:rsidRPr="00533397">
        <w:rPr>
          <w:szCs w:val="26"/>
        </w:rPr>
        <w:t xml:space="preserve">03-20 was adopted on August 21, 2020, but the first Replenishment Fee under the ordinance was not due until February 15, 2021 (assuming a user actually extracted groundwater in January 2021); thus, anyone who wanted to challenge the ordinance’s Replenishment Fee would have had to file </w:t>
      </w:r>
      <w:r w:rsidR="002D4202">
        <w:rPr>
          <w:szCs w:val="26"/>
        </w:rPr>
        <w:t>an</w:t>
      </w:r>
      <w:r w:rsidRPr="00533397">
        <w:rPr>
          <w:szCs w:val="26"/>
        </w:rPr>
        <w:t xml:space="preserve"> action just two days </w:t>
      </w:r>
      <w:r w:rsidR="00576B0F">
        <w:rPr>
          <w:szCs w:val="26"/>
        </w:rPr>
        <w:t>after paying the fee</w:t>
      </w:r>
      <w:r w:rsidRPr="00533397">
        <w:rPr>
          <w:szCs w:val="26"/>
        </w:rPr>
        <w:t>, on February 17, 2021 (180 days after the ordinance’s adoption).  Mojave further asserts that farmers who did not pump any groundwater in January would be entirely barred from challenging any aspect of Ordinance No. 03-20, including the Exempted Pumping Allo</w:t>
      </w:r>
      <w:r w:rsidR="0060621C">
        <w:rPr>
          <w:szCs w:val="26"/>
        </w:rPr>
        <w:t>tment</w:t>
      </w:r>
      <w:r w:rsidRPr="00533397">
        <w:rPr>
          <w:szCs w:val="26"/>
        </w:rPr>
        <w:t>s</w:t>
      </w:r>
      <w:r w:rsidR="002C5555">
        <w:rPr>
          <w:szCs w:val="26"/>
        </w:rPr>
        <w:t>, because no fee would be due before February 17, 2021</w:t>
      </w:r>
      <w:r w:rsidRPr="00533397">
        <w:rPr>
          <w:szCs w:val="26"/>
        </w:rPr>
        <w:t xml:space="preserve">. </w:t>
      </w:r>
    </w:p>
    <w:p w:rsidR="00AD1437" w:rsidRPr="002C5555" w:rsidP="00324F7F" w14:paraId="63078B6C" w14:textId="4F7B62CB">
      <w:pPr>
        <w:pStyle w:val="FootnoteText"/>
        <w:keepLines w:val="0"/>
        <w:spacing w:after="240"/>
        <w:ind w:firstLine="1440"/>
        <w:rPr>
          <w:b/>
          <w:bCs/>
          <w:szCs w:val="26"/>
        </w:rPr>
      </w:pPr>
      <w:r w:rsidRPr="00533397">
        <w:rPr>
          <w:szCs w:val="26"/>
        </w:rPr>
        <w:t xml:space="preserve">We </w:t>
      </w:r>
      <w:r w:rsidR="007D36D5">
        <w:rPr>
          <w:szCs w:val="26"/>
        </w:rPr>
        <w:t>are not persuaded</w:t>
      </w:r>
      <w:r w:rsidRPr="00533397">
        <w:rPr>
          <w:szCs w:val="26"/>
        </w:rPr>
        <w:t xml:space="preserve">.  As we </w:t>
      </w:r>
      <w:r w:rsidR="007D36D5">
        <w:rPr>
          <w:szCs w:val="26"/>
        </w:rPr>
        <w:t>read</w:t>
      </w:r>
      <w:r w:rsidRPr="00533397">
        <w:rPr>
          <w:szCs w:val="26"/>
        </w:rPr>
        <w:t xml:space="preserve"> it, section 10726.6</w:t>
      </w:r>
      <w:r w:rsidR="0060621C">
        <w:rPr>
          <w:szCs w:val="26"/>
        </w:rPr>
        <w:t>, subdivision </w:t>
      </w:r>
      <w:r w:rsidRPr="00533397">
        <w:rPr>
          <w:szCs w:val="26"/>
        </w:rPr>
        <w:t>(c)</w:t>
      </w:r>
      <w:r w:rsidR="00B87A60">
        <w:rPr>
          <w:szCs w:val="26"/>
        </w:rPr>
        <w:t>,</w:t>
      </w:r>
      <w:r w:rsidRPr="00533397">
        <w:rPr>
          <w:szCs w:val="26"/>
        </w:rPr>
        <w:t xml:space="preserve"> required any lawsuit attacking </w:t>
      </w:r>
      <w:r w:rsidR="00B01599">
        <w:rPr>
          <w:szCs w:val="26"/>
        </w:rPr>
        <w:t xml:space="preserve">the fee imposed by </w:t>
      </w:r>
      <w:r w:rsidRPr="00533397">
        <w:rPr>
          <w:szCs w:val="26"/>
        </w:rPr>
        <w:t xml:space="preserve">Ordinance No. 03-20 to be filed by February 17, 2021 (180 days after its adoption).  If a party extracted groundwater and owed a Replenishment Fee before filing </w:t>
      </w:r>
      <w:r w:rsidR="002D4202">
        <w:rPr>
          <w:szCs w:val="26"/>
        </w:rPr>
        <w:t>an</w:t>
      </w:r>
      <w:r w:rsidRPr="00533397" w:rsidR="002D4202">
        <w:rPr>
          <w:szCs w:val="26"/>
        </w:rPr>
        <w:t xml:space="preserve"> </w:t>
      </w:r>
      <w:r w:rsidRPr="00533397">
        <w:rPr>
          <w:szCs w:val="26"/>
        </w:rPr>
        <w:t xml:space="preserve">action, </w:t>
      </w:r>
      <w:r w:rsidR="00E71F8E">
        <w:rPr>
          <w:szCs w:val="26"/>
        </w:rPr>
        <w:t>that party</w:t>
      </w:r>
      <w:r w:rsidR="002D4202">
        <w:rPr>
          <w:szCs w:val="26"/>
        </w:rPr>
        <w:t xml:space="preserve"> </w:t>
      </w:r>
      <w:r w:rsidRPr="00533397">
        <w:rPr>
          <w:szCs w:val="26"/>
        </w:rPr>
        <w:t xml:space="preserve">would need to pay the fee in order to file the </w:t>
      </w:r>
      <w:r w:rsidR="00B01599">
        <w:rPr>
          <w:szCs w:val="26"/>
        </w:rPr>
        <w:t>complaint</w:t>
      </w:r>
      <w:r w:rsidRPr="00533397">
        <w:rPr>
          <w:szCs w:val="26"/>
        </w:rPr>
        <w:t xml:space="preserve"> as stated in section 10726.6(d).  Conversely, if the party did not extract groundwater or incur a Replenishment Fee until </w:t>
      </w:r>
      <w:r w:rsidRPr="00533397">
        <w:rPr>
          <w:i/>
          <w:iCs/>
          <w:szCs w:val="26"/>
        </w:rPr>
        <w:t>after</w:t>
      </w:r>
      <w:r w:rsidRPr="00533397">
        <w:rPr>
          <w:szCs w:val="26"/>
        </w:rPr>
        <w:t xml:space="preserve"> the February 17, 2021 filing deadline, </w:t>
      </w:r>
      <w:r w:rsidR="00E71F8E">
        <w:rPr>
          <w:szCs w:val="26"/>
        </w:rPr>
        <w:t>that party</w:t>
      </w:r>
      <w:r w:rsidRPr="00533397">
        <w:rPr>
          <w:szCs w:val="26"/>
        </w:rPr>
        <w:t xml:space="preserve"> would still need to comply with the filing deadline</w:t>
      </w:r>
      <w:r w:rsidR="00BB2600">
        <w:rPr>
          <w:szCs w:val="26"/>
        </w:rPr>
        <w:t>,</w:t>
      </w:r>
      <w:r w:rsidRPr="00533397">
        <w:rPr>
          <w:szCs w:val="26"/>
        </w:rPr>
        <w:t xml:space="preserve"> and then</w:t>
      </w:r>
      <w:r w:rsidR="00BB2600">
        <w:rPr>
          <w:szCs w:val="26"/>
        </w:rPr>
        <w:t xml:space="preserve"> </w:t>
      </w:r>
      <w:r w:rsidRPr="00533397">
        <w:rPr>
          <w:szCs w:val="26"/>
        </w:rPr>
        <w:t xml:space="preserve">would also have to pay the Replenishment Fee, once incurred, in order to continue </w:t>
      </w:r>
      <w:r w:rsidRPr="00533397">
        <w:rPr>
          <w:i/>
          <w:iCs/>
          <w:szCs w:val="26"/>
        </w:rPr>
        <w:t>maintaining</w:t>
      </w:r>
      <w:r w:rsidRPr="00533397">
        <w:rPr>
          <w:szCs w:val="26"/>
        </w:rPr>
        <w:t xml:space="preserve"> </w:t>
      </w:r>
      <w:r w:rsidR="004B2B46">
        <w:rPr>
          <w:szCs w:val="26"/>
        </w:rPr>
        <w:t>the</w:t>
      </w:r>
      <w:r w:rsidRPr="00533397">
        <w:rPr>
          <w:szCs w:val="26"/>
        </w:rPr>
        <w:t xml:space="preserve"> action.</w:t>
      </w:r>
    </w:p>
  </w:footnote>
  <w:footnote w:id="22">
    <w:p w:rsidR="00EC2762" w:rsidRPr="00533397" w:rsidP="00A548D5" w14:paraId="3C54D765" w14:textId="623B6360">
      <w:pPr>
        <w:pStyle w:val="FootnoteText"/>
        <w:keepLines w:val="0"/>
        <w:spacing w:after="240"/>
        <w:ind w:firstLine="720"/>
        <w:rPr>
          <w:b/>
          <w:bCs/>
        </w:rPr>
      </w:pPr>
      <w:r w:rsidRPr="00533397">
        <w:rPr>
          <w:rStyle w:val="FootnoteReference"/>
        </w:rPr>
        <w:footnoteRef/>
      </w:r>
      <w:r w:rsidRPr="00533397">
        <w:t xml:space="preserve"> </w:t>
      </w:r>
      <w:r w:rsidRPr="00533397">
        <w:tab/>
      </w:r>
      <w:r w:rsidRPr="00533397" w:rsidR="00B46376">
        <w:rPr>
          <w:color w:val="000000" w:themeColor="text1"/>
          <w:szCs w:val="26"/>
        </w:rPr>
        <w:t xml:space="preserve">The Replenishment Fee of </w:t>
      </w:r>
      <w:r w:rsidRPr="00533397" w:rsidR="00B46376">
        <w:rPr>
          <w:szCs w:val="26"/>
        </w:rPr>
        <w:t>$2,130 per acre</w:t>
      </w:r>
      <w:r w:rsidR="00793CF9">
        <w:rPr>
          <w:szCs w:val="26"/>
        </w:rPr>
        <w:noBreakHyphen/>
      </w:r>
      <w:r w:rsidRPr="00533397" w:rsidR="00B46376">
        <w:rPr>
          <w:szCs w:val="26"/>
        </w:rPr>
        <w:t>foot</w:t>
      </w:r>
      <w:r w:rsidR="003C54BC">
        <w:rPr>
          <w:szCs w:val="26"/>
        </w:rPr>
        <w:t xml:space="preserve"> </w:t>
      </w:r>
      <w:r w:rsidRPr="00533397" w:rsidR="00B46376">
        <w:rPr>
          <w:color w:val="000000" w:themeColor="text1"/>
          <w:szCs w:val="26"/>
        </w:rPr>
        <w:t xml:space="preserve">is not </w:t>
      </w:r>
      <w:r w:rsidR="00F45DCA">
        <w:rPr>
          <w:color w:val="000000" w:themeColor="text1"/>
          <w:szCs w:val="26"/>
        </w:rPr>
        <w:t>grossly</w:t>
      </w:r>
      <w:r w:rsidRPr="00533397" w:rsidR="00B46376">
        <w:rPr>
          <w:color w:val="000000" w:themeColor="text1"/>
          <w:szCs w:val="26"/>
        </w:rPr>
        <w:t xml:space="preserve"> out of line with the fees charged by other agencies.  </w:t>
      </w:r>
      <w:r w:rsidRPr="00533397">
        <w:t>The Authority presents evidence</w:t>
      </w:r>
      <w:r w:rsidRPr="00533397" w:rsidR="00E14DB5">
        <w:t>, for example,</w:t>
      </w:r>
      <w:r w:rsidRPr="00533397">
        <w:t xml:space="preserve"> that the Antelope Valley</w:t>
      </w:r>
      <w:r w:rsidR="00130E4F">
        <w:t>-</w:t>
      </w:r>
      <w:r w:rsidRPr="00533397">
        <w:t xml:space="preserve">East Kern Water Agency </w:t>
      </w:r>
      <w:r w:rsidRPr="00533397" w:rsidR="00E14DB5">
        <w:t>charges about $1,700 per acre</w:t>
      </w:r>
      <w:r w:rsidR="005E3BA8">
        <w:noBreakHyphen/>
      </w:r>
      <w:r w:rsidRPr="00533397" w:rsidR="00E14DB5">
        <w:t>foot.</w:t>
      </w:r>
    </w:p>
  </w:footnote>
  <w:footnote w:id="23">
    <w:p w:rsidR="000862F3" w:rsidRPr="007A14B8" w:rsidP="007A14B8" w14:paraId="37239492" w14:textId="751E6D7C">
      <w:pPr>
        <w:pStyle w:val="FootnoteText"/>
        <w:keepLines w:val="0"/>
        <w:spacing w:after="240"/>
        <w:ind w:firstLine="720"/>
        <w:rPr>
          <w:b/>
          <w:bCs/>
          <w:szCs w:val="26"/>
        </w:rPr>
      </w:pPr>
      <w:r w:rsidRPr="00533397">
        <w:rPr>
          <w:rStyle w:val="FootnoteReference"/>
          <w:szCs w:val="26"/>
        </w:rPr>
        <w:footnoteRef/>
      </w:r>
      <w:r w:rsidRPr="00533397">
        <w:rPr>
          <w:szCs w:val="26"/>
        </w:rPr>
        <w:t xml:space="preserve"> </w:t>
      </w:r>
      <w:r w:rsidRPr="00533397">
        <w:rPr>
          <w:szCs w:val="26"/>
        </w:rPr>
        <w:tab/>
        <w:t xml:space="preserve">It is unclear to us to what extent Mojave has such a right.  As a different panel of this court </w:t>
      </w:r>
      <w:r w:rsidR="00E71F8E">
        <w:rPr>
          <w:szCs w:val="26"/>
        </w:rPr>
        <w:t>not long ago</w:t>
      </w:r>
      <w:r w:rsidR="003A06B6">
        <w:rPr>
          <w:szCs w:val="26"/>
        </w:rPr>
        <w:t xml:space="preserve"> </w:t>
      </w:r>
      <w:r w:rsidRPr="00533397">
        <w:rPr>
          <w:szCs w:val="26"/>
        </w:rPr>
        <w:t xml:space="preserve">observed, “Groundwater belongs to the state, not any person or entity, but may be extracted by those with the right to do so, including those whose land overlies the groundwater source.  ‘At least since 1928 when the predecessor to </w:t>
      </w:r>
      <w:bookmarkStart w:id="88" w:name="dabmci_3e6546d8f5bc4bc4aee36b500b8e06c8"/>
      <w:r w:rsidRPr="00533397">
        <w:rPr>
          <w:szCs w:val="26"/>
        </w:rPr>
        <w:t>article X section 2 of the California Constitution</w:t>
      </w:r>
      <w:bookmarkEnd w:id="88"/>
      <w:r w:rsidRPr="00533397">
        <w:rPr>
          <w:szCs w:val="26"/>
        </w:rPr>
        <w:t xml:space="preserve"> was adopted, there is no private ownership of groundwater.  [Citation.]  The State of California owns all of the groundwater in California, not as a proprietary owner, but in a manner that empowers it to supervise and regulate water use.  [Citation.]  Water rights holders have the right to “take and use water,” but they do not own the water and cannot waste it.  </w:t>
      </w:r>
      <w:r w:rsidR="00501BA7">
        <w:rPr>
          <w:szCs w:val="26"/>
        </w:rPr>
        <w:t>. . .</w:t>
      </w:r>
      <w:r w:rsidRPr="00533397">
        <w:rPr>
          <w:szCs w:val="26"/>
        </w:rPr>
        <w:t xml:space="preserve">  Under the “correlative rights doctrine,” “as between the owners of land overlying strata of percolating waters, the rights of each to the water are limited, in correlation with those of others, to his ‘reasonable use’ thereof when the water is insufficient to meet the needs of all.”’”  (</w:t>
      </w:r>
      <w:bookmarkStart w:id="89" w:name="dabmci_28061a03a1394495b29d9e94904251ab"/>
      <w:r w:rsidRPr="00533397">
        <w:rPr>
          <w:i/>
          <w:iCs/>
          <w:szCs w:val="26"/>
        </w:rPr>
        <w:t>Center for Biological Diversity v. County of San Bernardino</w:t>
      </w:r>
      <w:r w:rsidRPr="00533397">
        <w:rPr>
          <w:szCs w:val="26"/>
        </w:rPr>
        <w:t xml:space="preserve"> (2016) 247</w:t>
      </w:r>
      <w:r w:rsidR="001A1A72">
        <w:rPr>
          <w:szCs w:val="26"/>
        </w:rPr>
        <w:t> </w:t>
      </w:r>
      <w:r w:rsidRPr="00533397">
        <w:rPr>
          <w:szCs w:val="26"/>
        </w:rPr>
        <w:t>Cal.App.4th 326, 336</w:t>
      </w:r>
      <w:bookmarkEnd w:id="89"/>
      <w:r>
        <w:rPr>
          <w:szCs w:val="26"/>
        </w:rPr>
        <w:t xml:space="preserve">; see </w:t>
      </w:r>
      <w:bookmarkStart w:id="90" w:name="dabmci_4f913715356d42eeb4c625d052ebc3b4"/>
      <w:r w:rsidRPr="00704F02">
        <w:rPr>
          <w:i/>
          <w:iCs/>
        </w:rPr>
        <w:t>Antelope Valley Groundwater Cases</w:t>
      </w:r>
      <w:r>
        <w:t xml:space="preserve"> (2021) 62</w:t>
      </w:r>
      <w:r w:rsidR="005E3BA8">
        <w:t> </w:t>
      </w:r>
      <w:r>
        <w:t>Cal.App.5th 992, 102</w:t>
      </w:r>
      <w:r w:rsidR="005E3BA8">
        <w:t>3, 1</w:t>
      </w:r>
      <w:r>
        <w:t>02</w:t>
      </w:r>
      <w:r w:rsidR="005E3BA8">
        <w:t>2</w:t>
      </w:r>
      <w:bookmarkEnd w:id="90"/>
      <w:r>
        <w:t xml:space="preserve"> [</w:t>
      </w:r>
      <w:r w:rsidR="005E3BA8">
        <w:t>‘“</w:t>
      </w:r>
      <w:r w:rsidR="00C33C85">
        <w:t xml:space="preserve">landowner whose property overlies </w:t>
      </w:r>
      <w:r w:rsidR="005E3BA8">
        <w:t xml:space="preserve">the </w:t>
      </w:r>
      <w:r w:rsidR="00C33C85">
        <w:t>groundwater</w:t>
      </w:r>
      <w:r w:rsidR="005E3BA8">
        <w:t>”’</w:t>
      </w:r>
      <w:r w:rsidR="00C33C85">
        <w:t xml:space="preserve"> has </w:t>
      </w:r>
      <w:r w:rsidR="005E3BA8">
        <w:t>‘</w:t>
      </w:r>
      <w:r w:rsidR="00C33C85">
        <w:t>“</w:t>
      </w:r>
      <w:r w:rsidR="005E3BA8">
        <w:t>[</w:t>
      </w:r>
      <w:r w:rsidR="00C33C85">
        <w:t>f</w:t>
      </w:r>
      <w:r w:rsidR="005E3BA8">
        <w:t>]</w:t>
      </w:r>
      <w:r w:rsidR="00C33C85">
        <w:t>irst priority”</w:t>
      </w:r>
      <w:r w:rsidR="005E3BA8">
        <w:t>’</w:t>
      </w:r>
      <w:r w:rsidR="00C33C85">
        <w:t xml:space="preserve"> to groundwater, </w:t>
      </w:r>
      <w:r w:rsidR="006A4F86">
        <w:t>subject to usufructuary interests of other overlying landow</w:t>
      </w:r>
      <w:r w:rsidR="007A14B8">
        <w:t xml:space="preserve">ner, </w:t>
      </w:r>
      <w:r w:rsidR="009C419E">
        <w:t>but</w:t>
      </w:r>
      <w:r w:rsidR="007A14B8">
        <w:t xml:space="preserve"> “</w:t>
      </w:r>
      <w:r>
        <w:t xml:space="preserve">when the native supply ‘is insufficient, each is limited to his </w:t>
      </w:r>
      <w:r w:rsidRPr="005E3BA8">
        <w:rPr>
          <w:i/>
          <w:iCs/>
        </w:rPr>
        <w:t>proportionate fair share</w:t>
      </w:r>
      <w:r>
        <w:t xml:space="preserve"> of the total amount available based upon his reasonable need’”</w:t>
      </w:r>
      <w:r w:rsidR="007A14B8">
        <w:t>].)</w:t>
      </w:r>
    </w:p>
    <w:p w:rsidR="00AD1437" w:rsidRPr="00533397" w:rsidP="00324F7F" w14:paraId="4CADC4DD" w14:textId="299CCE86">
      <w:pPr>
        <w:pStyle w:val="FootnoteText"/>
        <w:keepLines w:val="0"/>
        <w:spacing w:after="240"/>
        <w:ind w:firstLine="1440"/>
        <w:rPr>
          <w:szCs w:val="26"/>
        </w:rPr>
      </w:pPr>
      <w:r w:rsidRPr="00533397">
        <w:rPr>
          <w:szCs w:val="26"/>
        </w:rPr>
        <w:t xml:space="preserve">In this case, Mojave claims to have a vested water right to pump native groundwater from the Basin for use on its land, but </w:t>
      </w:r>
      <w:r w:rsidR="007C5E7B">
        <w:rPr>
          <w:szCs w:val="26"/>
        </w:rPr>
        <w:t>it</w:t>
      </w:r>
      <w:r w:rsidRPr="00533397">
        <w:rPr>
          <w:szCs w:val="26"/>
        </w:rPr>
        <w:t xml:space="preserve"> has never specified the quantity of its water right or its priority vis-à-vis other extractors</w:t>
      </w:r>
      <w:r w:rsidR="001A1A72">
        <w:rPr>
          <w:szCs w:val="26"/>
        </w:rPr>
        <w:t>, which raises several questions</w:t>
      </w:r>
      <w:r w:rsidRPr="00533397">
        <w:rPr>
          <w:szCs w:val="26"/>
        </w:rPr>
        <w:t>:</w:t>
      </w:r>
    </w:p>
    <w:p w:rsidR="00AD1437" w:rsidRPr="00533397" w:rsidP="00324F7F" w14:paraId="41664334" w14:textId="5D25E16B">
      <w:pPr>
        <w:pStyle w:val="FootnoteText"/>
        <w:keepLines w:val="0"/>
        <w:numPr>
          <w:ilvl w:val="0"/>
          <w:numId w:val="10"/>
        </w:numPr>
        <w:spacing w:after="240"/>
        <w:ind w:left="1800"/>
        <w:rPr>
          <w:szCs w:val="26"/>
        </w:rPr>
      </w:pPr>
      <w:r>
        <w:rPr>
          <w:szCs w:val="26"/>
        </w:rPr>
        <w:t>Assuming</w:t>
      </w:r>
      <w:r w:rsidRPr="00533397">
        <w:rPr>
          <w:szCs w:val="26"/>
        </w:rPr>
        <w:t xml:space="preserve"> the Basin’s sustainable yield is only 7,650 acre</w:t>
      </w:r>
      <w:r w:rsidR="005E3BA8">
        <w:rPr>
          <w:szCs w:val="26"/>
        </w:rPr>
        <w:noBreakHyphen/>
      </w:r>
      <w:r w:rsidRPr="00533397">
        <w:rPr>
          <w:szCs w:val="26"/>
        </w:rPr>
        <w:t>feet</w:t>
      </w:r>
      <w:r w:rsidR="00CE401C">
        <w:rPr>
          <w:szCs w:val="26"/>
        </w:rPr>
        <w:t xml:space="preserve"> per year</w:t>
      </w:r>
      <w:r w:rsidRPr="00533397">
        <w:rPr>
          <w:szCs w:val="26"/>
        </w:rPr>
        <w:t xml:space="preserve">, how can multiple extractors </w:t>
      </w:r>
      <w:r w:rsidR="009D41F8">
        <w:rPr>
          <w:szCs w:val="26"/>
        </w:rPr>
        <w:t>each</w:t>
      </w:r>
      <w:r w:rsidRPr="00533397">
        <w:rPr>
          <w:szCs w:val="26"/>
        </w:rPr>
        <w:t xml:space="preserve"> have a viable common law right to most or all of that water?  </w:t>
      </w:r>
    </w:p>
    <w:p w:rsidR="003F0873" w:rsidRPr="00533397" w:rsidP="00324F7F" w14:paraId="1F41F696" w14:textId="204D4702">
      <w:pPr>
        <w:pStyle w:val="FootnoteText"/>
        <w:keepLines w:val="0"/>
        <w:numPr>
          <w:ilvl w:val="0"/>
          <w:numId w:val="10"/>
        </w:numPr>
        <w:spacing w:after="240"/>
        <w:ind w:left="1800"/>
        <w:rPr>
          <w:szCs w:val="26"/>
        </w:rPr>
      </w:pPr>
      <w:r w:rsidRPr="00533397">
        <w:rPr>
          <w:szCs w:val="26"/>
        </w:rPr>
        <w:t>Is using the Basin’s limited groundwater to irrigate a water</w:t>
      </w:r>
      <w:r w:rsidR="00334E3E">
        <w:rPr>
          <w:szCs w:val="26"/>
        </w:rPr>
        <w:t>-</w:t>
      </w:r>
      <w:r w:rsidRPr="00533397">
        <w:rPr>
          <w:szCs w:val="26"/>
        </w:rPr>
        <w:t xml:space="preserve">intensive crop like pistachios in the middle of the high desert a “reasonable and beneficial” use of water protected under the California Constitution, particularly considering most of those trees were planted less than 10 years ago?  (See </w:t>
      </w:r>
      <w:bookmarkStart w:id="91" w:name="dabmci_5d55376367b749789244c6ab0c5d9559"/>
      <w:r w:rsidRPr="00533397">
        <w:rPr>
          <w:szCs w:val="26"/>
        </w:rPr>
        <w:t>Cal. Const., art. X, § 2</w:t>
      </w:r>
      <w:bookmarkEnd w:id="91"/>
      <w:r w:rsidRPr="00533397">
        <w:rPr>
          <w:szCs w:val="26"/>
        </w:rPr>
        <w:t>.)</w:t>
      </w:r>
    </w:p>
    <w:p w:rsidR="00AD1437" w:rsidP="00324F7F" w14:paraId="0B2CF178" w14:textId="6A63130C">
      <w:pPr>
        <w:pStyle w:val="FootnoteText"/>
        <w:keepLines w:val="0"/>
        <w:numPr>
          <w:ilvl w:val="0"/>
          <w:numId w:val="10"/>
        </w:numPr>
        <w:spacing w:after="240"/>
        <w:ind w:left="1800"/>
        <w:rPr>
          <w:szCs w:val="26"/>
        </w:rPr>
      </w:pPr>
      <w:r w:rsidRPr="00533397">
        <w:rPr>
          <w:szCs w:val="26"/>
        </w:rPr>
        <w:t xml:space="preserve">Does a vested overlying right to groundwater mean a vested overlying right to </w:t>
      </w:r>
      <w:r w:rsidRPr="00533397">
        <w:rPr>
          <w:i/>
          <w:iCs/>
          <w:szCs w:val="26"/>
        </w:rPr>
        <w:t xml:space="preserve">free </w:t>
      </w:r>
      <w:r w:rsidRPr="00533397">
        <w:rPr>
          <w:szCs w:val="26"/>
        </w:rPr>
        <w:t xml:space="preserve">groundwater?  </w:t>
      </w:r>
    </w:p>
    <w:p w:rsidR="009A56B3" w:rsidRPr="00533397" w:rsidP="00324F7F" w14:paraId="5F26ACBA" w14:textId="354D490B">
      <w:pPr>
        <w:pStyle w:val="FootnoteText"/>
        <w:keepLines w:val="0"/>
        <w:numPr>
          <w:ilvl w:val="0"/>
          <w:numId w:val="10"/>
        </w:numPr>
        <w:spacing w:after="240"/>
        <w:ind w:left="1800"/>
        <w:rPr>
          <w:szCs w:val="26"/>
        </w:rPr>
      </w:pPr>
      <w:r>
        <w:rPr>
          <w:szCs w:val="26"/>
        </w:rPr>
        <w:t xml:space="preserve">SGMA states that </w:t>
      </w:r>
      <w:r w:rsidR="00C7057D">
        <w:rPr>
          <w:szCs w:val="26"/>
        </w:rPr>
        <w:t>any</w:t>
      </w:r>
      <w:r w:rsidR="00C11EB8">
        <w:rPr>
          <w:szCs w:val="26"/>
        </w:rPr>
        <w:t xml:space="preserve"> judgment in an adjudication </w:t>
      </w:r>
      <w:r w:rsidRPr="009A56B3">
        <w:rPr>
          <w:szCs w:val="26"/>
        </w:rPr>
        <w:t xml:space="preserve">action for a basin required to have a groundwater sustainability plan </w:t>
      </w:r>
      <w:r w:rsidR="00C7057D">
        <w:rPr>
          <w:szCs w:val="26"/>
        </w:rPr>
        <w:t>must</w:t>
      </w:r>
      <w:r w:rsidRPr="009A56B3">
        <w:rPr>
          <w:szCs w:val="26"/>
        </w:rPr>
        <w:t xml:space="preserve"> not substantially impair the ability of a groundwater sustainability agency to achieve sustainable groundwater management.</w:t>
      </w:r>
      <w:r w:rsidR="00551C9F">
        <w:rPr>
          <w:szCs w:val="26"/>
        </w:rPr>
        <w:t xml:space="preserve">  (§ 10737.8.)</w:t>
      </w:r>
      <w:r w:rsidR="00FC2DFC">
        <w:rPr>
          <w:szCs w:val="26"/>
        </w:rPr>
        <w:t xml:space="preserve">  What impact does that </w:t>
      </w:r>
      <w:r w:rsidR="00E71F8E">
        <w:rPr>
          <w:szCs w:val="26"/>
        </w:rPr>
        <w:t xml:space="preserve">rule </w:t>
      </w:r>
      <w:r w:rsidR="00FC2DFC">
        <w:rPr>
          <w:szCs w:val="26"/>
        </w:rPr>
        <w:t xml:space="preserve">have on common law groundwater rights?  </w:t>
      </w:r>
    </w:p>
    <w:p w:rsidR="00AD1437" w:rsidRPr="004806F2" w:rsidP="00324F7F" w14:paraId="2E02527A" w14:textId="61F62A49">
      <w:pPr>
        <w:pStyle w:val="FootnoteText"/>
        <w:keepLines w:val="0"/>
        <w:spacing w:after="240"/>
        <w:ind w:firstLine="1440"/>
        <w:rPr>
          <w:szCs w:val="26"/>
        </w:rPr>
      </w:pPr>
      <w:r w:rsidRPr="00533397">
        <w:rPr>
          <w:szCs w:val="26"/>
        </w:rPr>
        <w:t>We need not, and expressly d</w:t>
      </w:r>
      <w:r w:rsidR="001A1A72">
        <w:rPr>
          <w:szCs w:val="26"/>
        </w:rPr>
        <w:t>o not,</w:t>
      </w:r>
      <w:r w:rsidRPr="00533397">
        <w:rPr>
          <w:szCs w:val="26"/>
        </w:rPr>
        <w:t xml:space="preserve"> decide these</w:t>
      </w:r>
      <w:r w:rsidR="00C7057D">
        <w:rPr>
          <w:szCs w:val="26"/>
        </w:rPr>
        <w:t xml:space="preserve"> difficult</w:t>
      </w:r>
      <w:r w:rsidRPr="00533397">
        <w:rPr>
          <w:szCs w:val="26"/>
        </w:rPr>
        <w:t xml:space="preserve"> issues today.  Indeed, it would be inappropriate to determine the relative priority of Mojave’s water rights in the vacuum of an appellate writ proceeding without other water extractors present.  We anticipate these issues will instead by addressed in the related adjudication action</w:t>
      </w:r>
      <w:r w:rsidR="00E71F8E">
        <w:rPr>
          <w:szCs w:val="26"/>
        </w:rPr>
        <w:t>;</w:t>
      </w:r>
      <w:r w:rsidRPr="00533397">
        <w:rPr>
          <w:szCs w:val="26"/>
        </w:rPr>
        <w:t xml:space="preserve"> we express no view on the appropriate resolution.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C11DA9"/>
    <w:multiLevelType w:val="hybridMultilevel"/>
    <w:tmpl w:val="6280401A"/>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0549F2"/>
    <w:multiLevelType w:val="hybridMultilevel"/>
    <w:tmpl w:val="3E0E09E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41D97562"/>
    <w:multiLevelType w:val="hybridMultilevel"/>
    <w:tmpl w:val="DBC80B60"/>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97D7C16"/>
    <w:multiLevelType w:val="hybridMultilevel"/>
    <w:tmpl w:val="9426209E"/>
    <w:lvl w:ilvl="0">
      <w:start w:val="4"/>
      <w:numFmt w:val="bullet"/>
      <w:lvlText w:val=""/>
      <w:lvlJc w:val="left"/>
      <w:pPr>
        <w:ind w:left="720" w:hanging="360"/>
      </w:pPr>
      <w:rPr>
        <w:rFonts w:ascii="Symbol" w:hAnsi="Symbol"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09B134C"/>
    <w:multiLevelType w:val="hybridMultilevel"/>
    <w:tmpl w:val="7618F30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5196F93"/>
    <w:multiLevelType w:val="hybridMultilevel"/>
    <w:tmpl w:val="45229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8A54B0C"/>
    <w:multiLevelType w:val="hybridMultilevel"/>
    <w:tmpl w:val="3C00597C"/>
    <w:lvl w:ilvl="0">
      <w:start w:val="9"/>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F00CEE"/>
    <w:multiLevelType w:val="hybridMultilevel"/>
    <w:tmpl w:val="4378CBEA"/>
    <w:lvl w:ilvl="0">
      <w:start w:val="2"/>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4E1544"/>
    <w:multiLevelType w:val="hybridMultilevel"/>
    <w:tmpl w:val="7CDA5D5E"/>
    <w:lvl w:ilvl="0">
      <w:start w:val="4"/>
      <w:numFmt w:val="bullet"/>
      <w:lvlText w:val=""/>
      <w:lvlJc w:val="left"/>
      <w:pPr>
        <w:ind w:left="1800" w:hanging="360"/>
      </w:pPr>
      <w:rPr>
        <w:rFonts w:ascii="Symbol" w:eastAsia="Times New Roman" w:hAnsi="Symbol" w:cs="Times New Roman" w:hint="default"/>
        <w:color w:val="000000" w:themeColor="text1"/>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771702B2"/>
    <w:multiLevelType w:val="multilevel"/>
    <w:tmpl w:val="452AB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8"/>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F9F"/>
    <w:rsid w:val="00006675"/>
    <w:rsid w:val="0002330B"/>
    <w:rsid w:val="00025E77"/>
    <w:rsid w:val="00026FE1"/>
    <w:rsid w:val="00030125"/>
    <w:rsid w:val="00030C86"/>
    <w:rsid w:val="00037F81"/>
    <w:rsid w:val="0004090C"/>
    <w:rsid w:val="00042FA0"/>
    <w:rsid w:val="00044CF7"/>
    <w:rsid w:val="00056167"/>
    <w:rsid w:val="00062894"/>
    <w:rsid w:val="000703A9"/>
    <w:rsid w:val="00073DF3"/>
    <w:rsid w:val="00076185"/>
    <w:rsid w:val="000777B7"/>
    <w:rsid w:val="00081F38"/>
    <w:rsid w:val="0008311A"/>
    <w:rsid w:val="0008463A"/>
    <w:rsid w:val="00085CAC"/>
    <w:rsid w:val="000862F3"/>
    <w:rsid w:val="00086597"/>
    <w:rsid w:val="00092036"/>
    <w:rsid w:val="0009587E"/>
    <w:rsid w:val="000A2957"/>
    <w:rsid w:val="000A643B"/>
    <w:rsid w:val="000A6C61"/>
    <w:rsid w:val="000B1D10"/>
    <w:rsid w:val="000B3553"/>
    <w:rsid w:val="000B585B"/>
    <w:rsid w:val="000C1437"/>
    <w:rsid w:val="000C21A2"/>
    <w:rsid w:val="000C6021"/>
    <w:rsid w:val="000C67FC"/>
    <w:rsid w:val="000D22A3"/>
    <w:rsid w:val="000D621E"/>
    <w:rsid w:val="000E7B54"/>
    <w:rsid w:val="000F2555"/>
    <w:rsid w:val="000F2B18"/>
    <w:rsid w:val="000F30B4"/>
    <w:rsid w:val="000F6743"/>
    <w:rsid w:val="00100984"/>
    <w:rsid w:val="00102169"/>
    <w:rsid w:val="00102980"/>
    <w:rsid w:val="001069D4"/>
    <w:rsid w:val="001101EA"/>
    <w:rsid w:val="001106D6"/>
    <w:rsid w:val="001136C2"/>
    <w:rsid w:val="00114A1E"/>
    <w:rsid w:val="001155B3"/>
    <w:rsid w:val="00117D76"/>
    <w:rsid w:val="0012125D"/>
    <w:rsid w:val="00123416"/>
    <w:rsid w:val="00126C9F"/>
    <w:rsid w:val="00130094"/>
    <w:rsid w:val="00130E4F"/>
    <w:rsid w:val="00131F49"/>
    <w:rsid w:val="00133B44"/>
    <w:rsid w:val="00135DAC"/>
    <w:rsid w:val="00137729"/>
    <w:rsid w:val="00144D07"/>
    <w:rsid w:val="00156B1E"/>
    <w:rsid w:val="00160FD6"/>
    <w:rsid w:val="00161DE6"/>
    <w:rsid w:val="001630E3"/>
    <w:rsid w:val="001632CE"/>
    <w:rsid w:val="001643FA"/>
    <w:rsid w:val="00165FE8"/>
    <w:rsid w:val="00167E26"/>
    <w:rsid w:val="001714F2"/>
    <w:rsid w:val="001740CE"/>
    <w:rsid w:val="00174D62"/>
    <w:rsid w:val="00175C9C"/>
    <w:rsid w:val="001768C9"/>
    <w:rsid w:val="001832E6"/>
    <w:rsid w:val="001854FC"/>
    <w:rsid w:val="00190007"/>
    <w:rsid w:val="00190F65"/>
    <w:rsid w:val="00195534"/>
    <w:rsid w:val="00197239"/>
    <w:rsid w:val="001A1A72"/>
    <w:rsid w:val="001A1DC9"/>
    <w:rsid w:val="001B01A2"/>
    <w:rsid w:val="001B5D99"/>
    <w:rsid w:val="001C06A8"/>
    <w:rsid w:val="001C229D"/>
    <w:rsid w:val="001C2A73"/>
    <w:rsid w:val="001C51CD"/>
    <w:rsid w:val="001C6E60"/>
    <w:rsid w:val="001C7F94"/>
    <w:rsid w:val="001D31FC"/>
    <w:rsid w:val="001D6AF0"/>
    <w:rsid w:val="001D78D5"/>
    <w:rsid w:val="001D7E79"/>
    <w:rsid w:val="001E01D8"/>
    <w:rsid w:val="001E19E0"/>
    <w:rsid w:val="001E28A0"/>
    <w:rsid w:val="001E2F02"/>
    <w:rsid w:val="001E5C67"/>
    <w:rsid w:val="001F0051"/>
    <w:rsid w:val="001F17EB"/>
    <w:rsid w:val="001F2129"/>
    <w:rsid w:val="001F6D15"/>
    <w:rsid w:val="001F7977"/>
    <w:rsid w:val="002003FE"/>
    <w:rsid w:val="00203800"/>
    <w:rsid w:val="00205D9F"/>
    <w:rsid w:val="00207FC4"/>
    <w:rsid w:val="00210E53"/>
    <w:rsid w:val="00212DFA"/>
    <w:rsid w:val="002158DA"/>
    <w:rsid w:val="002201A8"/>
    <w:rsid w:val="00221E9F"/>
    <w:rsid w:val="00223166"/>
    <w:rsid w:val="00223B27"/>
    <w:rsid w:val="00226E3D"/>
    <w:rsid w:val="00227260"/>
    <w:rsid w:val="002332BC"/>
    <w:rsid w:val="00236E41"/>
    <w:rsid w:val="00237FBB"/>
    <w:rsid w:val="0024236F"/>
    <w:rsid w:val="00247ADE"/>
    <w:rsid w:val="002535FF"/>
    <w:rsid w:val="002615F6"/>
    <w:rsid w:val="002640FB"/>
    <w:rsid w:val="00265ECF"/>
    <w:rsid w:val="00266E52"/>
    <w:rsid w:val="002715C7"/>
    <w:rsid w:val="00271F5B"/>
    <w:rsid w:val="002739FE"/>
    <w:rsid w:val="00275456"/>
    <w:rsid w:val="0027600E"/>
    <w:rsid w:val="002763A3"/>
    <w:rsid w:val="0028078D"/>
    <w:rsid w:val="00280F1B"/>
    <w:rsid w:val="00283B49"/>
    <w:rsid w:val="00284E79"/>
    <w:rsid w:val="00285767"/>
    <w:rsid w:val="00285A6C"/>
    <w:rsid w:val="00290743"/>
    <w:rsid w:val="00292C54"/>
    <w:rsid w:val="00293007"/>
    <w:rsid w:val="00293B1F"/>
    <w:rsid w:val="00295029"/>
    <w:rsid w:val="002A37C6"/>
    <w:rsid w:val="002A46F8"/>
    <w:rsid w:val="002B18A9"/>
    <w:rsid w:val="002B3DDF"/>
    <w:rsid w:val="002B5B72"/>
    <w:rsid w:val="002B60B2"/>
    <w:rsid w:val="002C0B9F"/>
    <w:rsid w:val="002C5555"/>
    <w:rsid w:val="002D4202"/>
    <w:rsid w:val="002D77AE"/>
    <w:rsid w:val="002E1BD5"/>
    <w:rsid w:val="002E2704"/>
    <w:rsid w:val="002E2D8E"/>
    <w:rsid w:val="002E39D2"/>
    <w:rsid w:val="002E39FD"/>
    <w:rsid w:val="002E49D1"/>
    <w:rsid w:val="002E7705"/>
    <w:rsid w:val="002E7DBA"/>
    <w:rsid w:val="002F03DA"/>
    <w:rsid w:val="002F4ABE"/>
    <w:rsid w:val="002F4F55"/>
    <w:rsid w:val="002F5CD6"/>
    <w:rsid w:val="00301E86"/>
    <w:rsid w:val="003044A1"/>
    <w:rsid w:val="00306A22"/>
    <w:rsid w:val="00310959"/>
    <w:rsid w:val="00314F76"/>
    <w:rsid w:val="00315541"/>
    <w:rsid w:val="003174BF"/>
    <w:rsid w:val="00323CDB"/>
    <w:rsid w:val="00324F7F"/>
    <w:rsid w:val="003277E4"/>
    <w:rsid w:val="003278CF"/>
    <w:rsid w:val="00334E3E"/>
    <w:rsid w:val="00340C0F"/>
    <w:rsid w:val="00343AC3"/>
    <w:rsid w:val="00344385"/>
    <w:rsid w:val="003511B7"/>
    <w:rsid w:val="00351899"/>
    <w:rsid w:val="00357D94"/>
    <w:rsid w:val="00361A55"/>
    <w:rsid w:val="00362F25"/>
    <w:rsid w:val="00363E47"/>
    <w:rsid w:val="003645DB"/>
    <w:rsid w:val="00365B5C"/>
    <w:rsid w:val="00371479"/>
    <w:rsid w:val="00374056"/>
    <w:rsid w:val="00377A85"/>
    <w:rsid w:val="00380EF9"/>
    <w:rsid w:val="00384A23"/>
    <w:rsid w:val="00386102"/>
    <w:rsid w:val="003911AC"/>
    <w:rsid w:val="003A06B6"/>
    <w:rsid w:val="003A462E"/>
    <w:rsid w:val="003B1D9F"/>
    <w:rsid w:val="003B320B"/>
    <w:rsid w:val="003B7CEB"/>
    <w:rsid w:val="003C0A1C"/>
    <w:rsid w:val="003C354A"/>
    <w:rsid w:val="003C46B8"/>
    <w:rsid w:val="003C54BC"/>
    <w:rsid w:val="003C661D"/>
    <w:rsid w:val="003C7D58"/>
    <w:rsid w:val="003D4FE2"/>
    <w:rsid w:val="003D5856"/>
    <w:rsid w:val="003E15A7"/>
    <w:rsid w:val="003E1AF1"/>
    <w:rsid w:val="003E2394"/>
    <w:rsid w:val="003E4781"/>
    <w:rsid w:val="003F0873"/>
    <w:rsid w:val="003F19FA"/>
    <w:rsid w:val="003F6889"/>
    <w:rsid w:val="003F68BE"/>
    <w:rsid w:val="00400EA7"/>
    <w:rsid w:val="004019B3"/>
    <w:rsid w:val="004024DB"/>
    <w:rsid w:val="00404662"/>
    <w:rsid w:val="004049B6"/>
    <w:rsid w:val="00406493"/>
    <w:rsid w:val="00412B91"/>
    <w:rsid w:val="004140DA"/>
    <w:rsid w:val="00415AED"/>
    <w:rsid w:val="004169B1"/>
    <w:rsid w:val="00426932"/>
    <w:rsid w:val="00431EE5"/>
    <w:rsid w:val="004326FA"/>
    <w:rsid w:val="00434904"/>
    <w:rsid w:val="00436A4F"/>
    <w:rsid w:val="00437ACA"/>
    <w:rsid w:val="00442213"/>
    <w:rsid w:val="0044263B"/>
    <w:rsid w:val="0044434A"/>
    <w:rsid w:val="00445E16"/>
    <w:rsid w:val="004519D5"/>
    <w:rsid w:val="004568C0"/>
    <w:rsid w:val="00462CF4"/>
    <w:rsid w:val="00465F78"/>
    <w:rsid w:val="00467667"/>
    <w:rsid w:val="00471882"/>
    <w:rsid w:val="00471ACC"/>
    <w:rsid w:val="004730C4"/>
    <w:rsid w:val="00474D2E"/>
    <w:rsid w:val="0047643F"/>
    <w:rsid w:val="00477D91"/>
    <w:rsid w:val="004806F2"/>
    <w:rsid w:val="00480748"/>
    <w:rsid w:val="00494115"/>
    <w:rsid w:val="00496EAD"/>
    <w:rsid w:val="004A3BD5"/>
    <w:rsid w:val="004A45E1"/>
    <w:rsid w:val="004A6304"/>
    <w:rsid w:val="004A6E3C"/>
    <w:rsid w:val="004A7BDC"/>
    <w:rsid w:val="004B2934"/>
    <w:rsid w:val="004B2B46"/>
    <w:rsid w:val="004B5A81"/>
    <w:rsid w:val="004B5E7E"/>
    <w:rsid w:val="004C3E0D"/>
    <w:rsid w:val="004C423F"/>
    <w:rsid w:val="004C4406"/>
    <w:rsid w:val="004C462A"/>
    <w:rsid w:val="004C5D08"/>
    <w:rsid w:val="004C6118"/>
    <w:rsid w:val="004C79E8"/>
    <w:rsid w:val="004E098B"/>
    <w:rsid w:val="004E0AE2"/>
    <w:rsid w:val="004E107E"/>
    <w:rsid w:val="004E726B"/>
    <w:rsid w:val="004F0A46"/>
    <w:rsid w:val="00500445"/>
    <w:rsid w:val="0050175D"/>
    <w:rsid w:val="00501BA7"/>
    <w:rsid w:val="00502949"/>
    <w:rsid w:val="00502A7E"/>
    <w:rsid w:val="00513B6F"/>
    <w:rsid w:val="00517D71"/>
    <w:rsid w:val="00524500"/>
    <w:rsid w:val="00530D53"/>
    <w:rsid w:val="00531B11"/>
    <w:rsid w:val="005328E0"/>
    <w:rsid w:val="00533397"/>
    <w:rsid w:val="0053436B"/>
    <w:rsid w:val="00536155"/>
    <w:rsid w:val="0053793D"/>
    <w:rsid w:val="0054476C"/>
    <w:rsid w:val="00546439"/>
    <w:rsid w:val="00551C9F"/>
    <w:rsid w:val="00551E1D"/>
    <w:rsid w:val="0056006F"/>
    <w:rsid w:val="005612A2"/>
    <w:rsid w:val="00563651"/>
    <w:rsid w:val="005678BF"/>
    <w:rsid w:val="00567CBA"/>
    <w:rsid w:val="00576B0F"/>
    <w:rsid w:val="00580443"/>
    <w:rsid w:val="0058241A"/>
    <w:rsid w:val="00583037"/>
    <w:rsid w:val="00583185"/>
    <w:rsid w:val="005868C0"/>
    <w:rsid w:val="00590749"/>
    <w:rsid w:val="0059514F"/>
    <w:rsid w:val="0059566B"/>
    <w:rsid w:val="00596EC0"/>
    <w:rsid w:val="005B1538"/>
    <w:rsid w:val="005B431D"/>
    <w:rsid w:val="005C301B"/>
    <w:rsid w:val="005C3119"/>
    <w:rsid w:val="005C51E7"/>
    <w:rsid w:val="005C5D27"/>
    <w:rsid w:val="005C6B73"/>
    <w:rsid w:val="005D0D75"/>
    <w:rsid w:val="005E1D04"/>
    <w:rsid w:val="005E315F"/>
    <w:rsid w:val="005E3500"/>
    <w:rsid w:val="005E3BA8"/>
    <w:rsid w:val="005E5875"/>
    <w:rsid w:val="005E6F06"/>
    <w:rsid w:val="005F171C"/>
    <w:rsid w:val="005F2CF1"/>
    <w:rsid w:val="005F3B5C"/>
    <w:rsid w:val="00604F8E"/>
    <w:rsid w:val="0060621C"/>
    <w:rsid w:val="006076AA"/>
    <w:rsid w:val="00623922"/>
    <w:rsid w:val="006242BB"/>
    <w:rsid w:val="00626BA0"/>
    <w:rsid w:val="006275A9"/>
    <w:rsid w:val="00627D7B"/>
    <w:rsid w:val="00630291"/>
    <w:rsid w:val="0063705F"/>
    <w:rsid w:val="0063782A"/>
    <w:rsid w:val="00640D9B"/>
    <w:rsid w:val="0064158D"/>
    <w:rsid w:val="006416E4"/>
    <w:rsid w:val="006469FF"/>
    <w:rsid w:val="00650CE6"/>
    <w:rsid w:val="00652524"/>
    <w:rsid w:val="0066284B"/>
    <w:rsid w:val="00662FF8"/>
    <w:rsid w:val="0066323F"/>
    <w:rsid w:val="00664898"/>
    <w:rsid w:val="006651AF"/>
    <w:rsid w:val="0066794C"/>
    <w:rsid w:val="00670187"/>
    <w:rsid w:val="00672EF1"/>
    <w:rsid w:val="00676DD7"/>
    <w:rsid w:val="0067721E"/>
    <w:rsid w:val="00684A33"/>
    <w:rsid w:val="00686E84"/>
    <w:rsid w:val="00694015"/>
    <w:rsid w:val="006941FE"/>
    <w:rsid w:val="006A0613"/>
    <w:rsid w:val="006A15E9"/>
    <w:rsid w:val="006A4F86"/>
    <w:rsid w:val="006A53B2"/>
    <w:rsid w:val="006B00C0"/>
    <w:rsid w:val="006B2799"/>
    <w:rsid w:val="006C2F42"/>
    <w:rsid w:val="006C4787"/>
    <w:rsid w:val="006C5082"/>
    <w:rsid w:val="006C5FC1"/>
    <w:rsid w:val="006D2442"/>
    <w:rsid w:val="006D303A"/>
    <w:rsid w:val="006D48A2"/>
    <w:rsid w:val="006E1486"/>
    <w:rsid w:val="006E2550"/>
    <w:rsid w:val="006F1154"/>
    <w:rsid w:val="006F2387"/>
    <w:rsid w:val="006F7496"/>
    <w:rsid w:val="00704F02"/>
    <w:rsid w:val="007062EB"/>
    <w:rsid w:val="00713C4A"/>
    <w:rsid w:val="00725049"/>
    <w:rsid w:val="0072527E"/>
    <w:rsid w:val="00726E2E"/>
    <w:rsid w:val="0073028B"/>
    <w:rsid w:val="007314C6"/>
    <w:rsid w:val="00732074"/>
    <w:rsid w:val="007359B9"/>
    <w:rsid w:val="007363B5"/>
    <w:rsid w:val="00741636"/>
    <w:rsid w:val="00742FB3"/>
    <w:rsid w:val="007468B2"/>
    <w:rsid w:val="00753298"/>
    <w:rsid w:val="00757C54"/>
    <w:rsid w:val="00762C00"/>
    <w:rsid w:val="00771194"/>
    <w:rsid w:val="00775303"/>
    <w:rsid w:val="00776068"/>
    <w:rsid w:val="00780D8B"/>
    <w:rsid w:val="00782322"/>
    <w:rsid w:val="007831DF"/>
    <w:rsid w:val="00785680"/>
    <w:rsid w:val="007865B4"/>
    <w:rsid w:val="00793CF9"/>
    <w:rsid w:val="007A14B8"/>
    <w:rsid w:val="007A4448"/>
    <w:rsid w:val="007A78F3"/>
    <w:rsid w:val="007B112C"/>
    <w:rsid w:val="007B373D"/>
    <w:rsid w:val="007B6407"/>
    <w:rsid w:val="007C1FBF"/>
    <w:rsid w:val="007C2D9F"/>
    <w:rsid w:val="007C3FC9"/>
    <w:rsid w:val="007C5E7B"/>
    <w:rsid w:val="007D0F27"/>
    <w:rsid w:val="007D3418"/>
    <w:rsid w:val="007D36D5"/>
    <w:rsid w:val="007D633B"/>
    <w:rsid w:val="007F0FAB"/>
    <w:rsid w:val="007F4C00"/>
    <w:rsid w:val="008015E2"/>
    <w:rsid w:val="00805255"/>
    <w:rsid w:val="00805CE7"/>
    <w:rsid w:val="00807CFF"/>
    <w:rsid w:val="00810D9D"/>
    <w:rsid w:val="0081249C"/>
    <w:rsid w:val="00812F15"/>
    <w:rsid w:val="008130AD"/>
    <w:rsid w:val="00814A4A"/>
    <w:rsid w:val="00822135"/>
    <w:rsid w:val="00822F1D"/>
    <w:rsid w:val="00824457"/>
    <w:rsid w:val="00825CC4"/>
    <w:rsid w:val="00830466"/>
    <w:rsid w:val="00833F73"/>
    <w:rsid w:val="008340E9"/>
    <w:rsid w:val="00841C27"/>
    <w:rsid w:val="008451AD"/>
    <w:rsid w:val="00845A8D"/>
    <w:rsid w:val="0084736A"/>
    <w:rsid w:val="00851524"/>
    <w:rsid w:val="00857232"/>
    <w:rsid w:val="0085786D"/>
    <w:rsid w:val="00863DD7"/>
    <w:rsid w:val="00865CE3"/>
    <w:rsid w:val="00872894"/>
    <w:rsid w:val="008767F4"/>
    <w:rsid w:val="008835AC"/>
    <w:rsid w:val="00885C8B"/>
    <w:rsid w:val="00891EF8"/>
    <w:rsid w:val="00893A6C"/>
    <w:rsid w:val="00893CE1"/>
    <w:rsid w:val="00894C22"/>
    <w:rsid w:val="00896030"/>
    <w:rsid w:val="008A1116"/>
    <w:rsid w:val="008A297B"/>
    <w:rsid w:val="008A6A92"/>
    <w:rsid w:val="008A73EB"/>
    <w:rsid w:val="008A7D63"/>
    <w:rsid w:val="008B1718"/>
    <w:rsid w:val="008B17A9"/>
    <w:rsid w:val="008B5A4D"/>
    <w:rsid w:val="008C38FB"/>
    <w:rsid w:val="008C42CF"/>
    <w:rsid w:val="008C45C8"/>
    <w:rsid w:val="008C47FE"/>
    <w:rsid w:val="008D1176"/>
    <w:rsid w:val="008D22C4"/>
    <w:rsid w:val="008E0B04"/>
    <w:rsid w:val="008E19E6"/>
    <w:rsid w:val="008E7B90"/>
    <w:rsid w:val="008F7B76"/>
    <w:rsid w:val="00902E94"/>
    <w:rsid w:val="00903876"/>
    <w:rsid w:val="00903D79"/>
    <w:rsid w:val="009052D8"/>
    <w:rsid w:val="0091122E"/>
    <w:rsid w:val="00920CF6"/>
    <w:rsid w:val="00925463"/>
    <w:rsid w:val="009255B8"/>
    <w:rsid w:val="00926B13"/>
    <w:rsid w:val="009312CC"/>
    <w:rsid w:val="00936818"/>
    <w:rsid w:val="00940724"/>
    <w:rsid w:val="00940DBC"/>
    <w:rsid w:val="00942EAF"/>
    <w:rsid w:val="00943028"/>
    <w:rsid w:val="00943760"/>
    <w:rsid w:val="00945E32"/>
    <w:rsid w:val="00950C4A"/>
    <w:rsid w:val="0095322E"/>
    <w:rsid w:val="00953E86"/>
    <w:rsid w:val="00956247"/>
    <w:rsid w:val="00960D69"/>
    <w:rsid w:val="00962D7E"/>
    <w:rsid w:val="00971973"/>
    <w:rsid w:val="00977067"/>
    <w:rsid w:val="00977F70"/>
    <w:rsid w:val="009918C8"/>
    <w:rsid w:val="00995818"/>
    <w:rsid w:val="00996413"/>
    <w:rsid w:val="00997567"/>
    <w:rsid w:val="009A3C99"/>
    <w:rsid w:val="009A4CF0"/>
    <w:rsid w:val="009A56B3"/>
    <w:rsid w:val="009B00F4"/>
    <w:rsid w:val="009B1EC7"/>
    <w:rsid w:val="009B637E"/>
    <w:rsid w:val="009B7465"/>
    <w:rsid w:val="009C1226"/>
    <w:rsid w:val="009C367A"/>
    <w:rsid w:val="009C419E"/>
    <w:rsid w:val="009C62DE"/>
    <w:rsid w:val="009C6404"/>
    <w:rsid w:val="009D41F8"/>
    <w:rsid w:val="009D7E44"/>
    <w:rsid w:val="009E0504"/>
    <w:rsid w:val="009E3CB9"/>
    <w:rsid w:val="009E6F4B"/>
    <w:rsid w:val="009F00C1"/>
    <w:rsid w:val="009F0C1F"/>
    <w:rsid w:val="009F291A"/>
    <w:rsid w:val="009F5081"/>
    <w:rsid w:val="00A00FA2"/>
    <w:rsid w:val="00A02D43"/>
    <w:rsid w:val="00A04E3B"/>
    <w:rsid w:val="00A04F9F"/>
    <w:rsid w:val="00A055E3"/>
    <w:rsid w:val="00A1085B"/>
    <w:rsid w:val="00A12B1F"/>
    <w:rsid w:val="00A211D7"/>
    <w:rsid w:val="00A2346A"/>
    <w:rsid w:val="00A2383C"/>
    <w:rsid w:val="00A3271F"/>
    <w:rsid w:val="00A34341"/>
    <w:rsid w:val="00A346BE"/>
    <w:rsid w:val="00A425F2"/>
    <w:rsid w:val="00A548D5"/>
    <w:rsid w:val="00A57E33"/>
    <w:rsid w:val="00A60B07"/>
    <w:rsid w:val="00A612D1"/>
    <w:rsid w:val="00A73972"/>
    <w:rsid w:val="00A77906"/>
    <w:rsid w:val="00A856AA"/>
    <w:rsid w:val="00A862DB"/>
    <w:rsid w:val="00A928E8"/>
    <w:rsid w:val="00A930DC"/>
    <w:rsid w:val="00A94698"/>
    <w:rsid w:val="00A95CF4"/>
    <w:rsid w:val="00A95F29"/>
    <w:rsid w:val="00A97B1F"/>
    <w:rsid w:val="00A97F29"/>
    <w:rsid w:val="00AA6034"/>
    <w:rsid w:val="00AB21F0"/>
    <w:rsid w:val="00AB2BB8"/>
    <w:rsid w:val="00AB6C63"/>
    <w:rsid w:val="00AC0183"/>
    <w:rsid w:val="00AC3A0A"/>
    <w:rsid w:val="00AD1437"/>
    <w:rsid w:val="00AD69CF"/>
    <w:rsid w:val="00AD71C0"/>
    <w:rsid w:val="00AE046F"/>
    <w:rsid w:val="00AE573C"/>
    <w:rsid w:val="00AE71F3"/>
    <w:rsid w:val="00AF2A42"/>
    <w:rsid w:val="00AF709B"/>
    <w:rsid w:val="00B01599"/>
    <w:rsid w:val="00B041BF"/>
    <w:rsid w:val="00B06FB3"/>
    <w:rsid w:val="00B159C6"/>
    <w:rsid w:val="00B169ED"/>
    <w:rsid w:val="00B169F9"/>
    <w:rsid w:val="00B2084E"/>
    <w:rsid w:val="00B21704"/>
    <w:rsid w:val="00B22FE8"/>
    <w:rsid w:val="00B2700E"/>
    <w:rsid w:val="00B27FEA"/>
    <w:rsid w:val="00B3003A"/>
    <w:rsid w:val="00B301F9"/>
    <w:rsid w:val="00B34E71"/>
    <w:rsid w:val="00B34F03"/>
    <w:rsid w:val="00B37973"/>
    <w:rsid w:val="00B4221A"/>
    <w:rsid w:val="00B43600"/>
    <w:rsid w:val="00B45579"/>
    <w:rsid w:val="00B46376"/>
    <w:rsid w:val="00B57254"/>
    <w:rsid w:val="00B61528"/>
    <w:rsid w:val="00B629A3"/>
    <w:rsid w:val="00B62EB2"/>
    <w:rsid w:val="00B63620"/>
    <w:rsid w:val="00B72F1F"/>
    <w:rsid w:val="00B77DE4"/>
    <w:rsid w:val="00B826D7"/>
    <w:rsid w:val="00B82F78"/>
    <w:rsid w:val="00B835F0"/>
    <w:rsid w:val="00B87A60"/>
    <w:rsid w:val="00B96A0C"/>
    <w:rsid w:val="00B9704E"/>
    <w:rsid w:val="00BA086C"/>
    <w:rsid w:val="00BA3412"/>
    <w:rsid w:val="00BB0224"/>
    <w:rsid w:val="00BB1C97"/>
    <w:rsid w:val="00BB2600"/>
    <w:rsid w:val="00BB3198"/>
    <w:rsid w:val="00BB482A"/>
    <w:rsid w:val="00BB66FF"/>
    <w:rsid w:val="00BC1617"/>
    <w:rsid w:val="00BC3680"/>
    <w:rsid w:val="00BC4660"/>
    <w:rsid w:val="00BC5ACF"/>
    <w:rsid w:val="00BC725F"/>
    <w:rsid w:val="00BE03B9"/>
    <w:rsid w:val="00BE2E1A"/>
    <w:rsid w:val="00BE44D8"/>
    <w:rsid w:val="00BE5D7D"/>
    <w:rsid w:val="00BF1ED3"/>
    <w:rsid w:val="00BF1FB8"/>
    <w:rsid w:val="00BF203A"/>
    <w:rsid w:val="00BF351A"/>
    <w:rsid w:val="00BF7C48"/>
    <w:rsid w:val="00C00462"/>
    <w:rsid w:val="00C03D94"/>
    <w:rsid w:val="00C04B13"/>
    <w:rsid w:val="00C05BA6"/>
    <w:rsid w:val="00C11EB8"/>
    <w:rsid w:val="00C141EE"/>
    <w:rsid w:val="00C15278"/>
    <w:rsid w:val="00C16875"/>
    <w:rsid w:val="00C2221C"/>
    <w:rsid w:val="00C23B31"/>
    <w:rsid w:val="00C25FBF"/>
    <w:rsid w:val="00C30A1D"/>
    <w:rsid w:val="00C3106F"/>
    <w:rsid w:val="00C33C85"/>
    <w:rsid w:val="00C35135"/>
    <w:rsid w:val="00C37C6F"/>
    <w:rsid w:val="00C406E1"/>
    <w:rsid w:val="00C42935"/>
    <w:rsid w:val="00C4647D"/>
    <w:rsid w:val="00C47DB1"/>
    <w:rsid w:val="00C521F8"/>
    <w:rsid w:val="00C6293C"/>
    <w:rsid w:val="00C6358F"/>
    <w:rsid w:val="00C679DC"/>
    <w:rsid w:val="00C7057D"/>
    <w:rsid w:val="00C709E3"/>
    <w:rsid w:val="00C7292B"/>
    <w:rsid w:val="00C765A2"/>
    <w:rsid w:val="00C770B5"/>
    <w:rsid w:val="00C7799E"/>
    <w:rsid w:val="00C8571E"/>
    <w:rsid w:val="00C864DB"/>
    <w:rsid w:val="00C917F9"/>
    <w:rsid w:val="00C94044"/>
    <w:rsid w:val="00C94E1C"/>
    <w:rsid w:val="00CA3B3F"/>
    <w:rsid w:val="00CA44ED"/>
    <w:rsid w:val="00CA4832"/>
    <w:rsid w:val="00CA4A6C"/>
    <w:rsid w:val="00CA57D7"/>
    <w:rsid w:val="00CA6C14"/>
    <w:rsid w:val="00CB7C2D"/>
    <w:rsid w:val="00CC2864"/>
    <w:rsid w:val="00CC34AD"/>
    <w:rsid w:val="00CC4043"/>
    <w:rsid w:val="00CC62E6"/>
    <w:rsid w:val="00CC7780"/>
    <w:rsid w:val="00CD0035"/>
    <w:rsid w:val="00CD013A"/>
    <w:rsid w:val="00CD509B"/>
    <w:rsid w:val="00CD52C9"/>
    <w:rsid w:val="00CE248D"/>
    <w:rsid w:val="00CE27BD"/>
    <w:rsid w:val="00CE3B29"/>
    <w:rsid w:val="00CE401C"/>
    <w:rsid w:val="00CE6775"/>
    <w:rsid w:val="00CF10E7"/>
    <w:rsid w:val="00CF63E1"/>
    <w:rsid w:val="00D00196"/>
    <w:rsid w:val="00D05667"/>
    <w:rsid w:val="00D0643E"/>
    <w:rsid w:val="00D106B3"/>
    <w:rsid w:val="00D12857"/>
    <w:rsid w:val="00D15FC7"/>
    <w:rsid w:val="00D165D6"/>
    <w:rsid w:val="00D20762"/>
    <w:rsid w:val="00D256A6"/>
    <w:rsid w:val="00D26BB8"/>
    <w:rsid w:val="00D37387"/>
    <w:rsid w:val="00D444A4"/>
    <w:rsid w:val="00D50097"/>
    <w:rsid w:val="00D5581F"/>
    <w:rsid w:val="00D56196"/>
    <w:rsid w:val="00D57F24"/>
    <w:rsid w:val="00D62EFA"/>
    <w:rsid w:val="00D63028"/>
    <w:rsid w:val="00D7177E"/>
    <w:rsid w:val="00D7229F"/>
    <w:rsid w:val="00D771F6"/>
    <w:rsid w:val="00D81144"/>
    <w:rsid w:val="00D8194A"/>
    <w:rsid w:val="00D81DC4"/>
    <w:rsid w:val="00D823B5"/>
    <w:rsid w:val="00D83F05"/>
    <w:rsid w:val="00D8655B"/>
    <w:rsid w:val="00D963A7"/>
    <w:rsid w:val="00D97514"/>
    <w:rsid w:val="00DA3DCE"/>
    <w:rsid w:val="00DA5673"/>
    <w:rsid w:val="00DB2F5A"/>
    <w:rsid w:val="00DB42A4"/>
    <w:rsid w:val="00DB4CFE"/>
    <w:rsid w:val="00DC07F1"/>
    <w:rsid w:val="00DC352B"/>
    <w:rsid w:val="00DC6475"/>
    <w:rsid w:val="00DD304C"/>
    <w:rsid w:val="00DD3343"/>
    <w:rsid w:val="00DD6BB3"/>
    <w:rsid w:val="00DD7854"/>
    <w:rsid w:val="00DE1C4F"/>
    <w:rsid w:val="00DE5F90"/>
    <w:rsid w:val="00DF4227"/>
    <w:rsid w:val="00DF7B12"/>
    <w:rsid w:val="00E020EB"/>
    <w:rsid w:val="00E02497"/>
    <w:rsid w:val="00E03C31"/>
    <w:rsid w:val="00E079F4"/>
    <w:rsid w:val="00E13906"/>
    <w:rsid w:val="00E14DB5"/>
    <w:rsid w:val="00E22FF9"/>
    <w:rsid w:val="00E26557"/>
    <w:rsid w:val="00E30D82"/>
    <w:rsid w:val="00E3401A"/>
    <w:rsid w:val="00E346F8"/>
    <w:rsid w:val="00E42378"/>
    <w:rsid w:val="00E45602"/>
    <w:rsid w:val="00E52CF8"/>
    <w:rsid w:val="00E665AB"/>
    <w:rsid w:val="00E66F62"/>
    <w:rsid w:val="00E707A4"/>
    <w:rsid w:val="00E70BCF"/>
    <w:rsid w:val="00E71F8E"/>
    <w:rsid w:val="00E742EC"/>
    <w:rsid w:val="00E75A73"/>
    <w:rsid w:val="00E803EF"/>
    <w:rsid w:val="00E80704"/>
    <w:rsid w:val="00E81337"/>
    <w:rsid w:val="00E81D1D"/>
    <w:rsid w:val="00E845DD"/>
    <w:rsid w:val="00E84B94"/>
    <w:rsid w:val="00E857B5"/>
    <w:rsid w:val="00E876AD"/>
    <w:rsid w:val="00E91423"/>
    <w:rsid w:val="00E94CC9"/>
    <w:rsid w:val="00E9542F"/>
    <w:rsid w:val="00EA3465"/>
    <w:rsid w:val="00EA6178"/>
    <w:rsid w:val="00EB21DD"/>
    <w:rsid w:val="00EB2AD4"/>
    <w:rsid w:val="00EC0353"/>
    <w:rsid w:val="00EC194B"/>
    <w:rsid w:val="00EC2762"/>
    <w:rsid w:val="00EC5024"/>
    <w:rsid w:val="00EC61E5"/>
    <w:rsid w:val="00ED378D"/>
    <w:rsid w:val="00ED40BE"/>
    <w:rsid w:val="00ED4EF9"/>
    <w:rsid w:val="00ED6FEC"/>
    <w:rsid w:val="00EE0904"/>
    <w:rsid w:val="00EE5CEE"/>
    <w:rsid w:val="00EF0E9E"/>
    <w:rsid w:val="00EF50BA"/>
    <w:rsid w:val="00F008B4"/>
    <w:rsid w:val="00F02318"/>
    <w:rsid w:val="00F0258B"/>
    <w:rsid w:val="00F05CEF"/>
    <w:rsid w:val="00F06DEC"/>
    <w:rsid w:val="00F073B5"/>
    <w:rsid w:val="00F07B94"/>
    <w:rsid w:val="00F114B9"/>
    <w:rsid w:val="00F11AF6"/>
    <w:rsid w:val="00F126B4"/>
    <w:rsid w:val="00F12845"/>
    <w:rsid w:val="00F129F0"/>
    <w:rsid w:val="00F13277"/>
    <w:rsid w:val="00F14A10"/>
    <w:rsid w:val="00F157FE"/>
    <w:rsid w:val="00F22080"/>
    <w:rsid w:val="00F2290D"/>
    <w:rsid w:val="00F2384D"/>
    <w:rsid w:val="00F24E5A"/>
    <w:rsid w:val="00F2552B"/>
    <w:rsid w:val="00F301B0"/>
    <w:rsid w:val="00F35E57"/>
    <w:rsid w:val="00F3608E"/>
    <w:rsid w:val="00F45432"/>
    <w:rsid w:val="00F45DCA"/>
    <w:rsid w:val="00F5672D"/>
    <w:rsid w:val="00F625A4"/>
    <w:rsid w:val="00F63863"/>
    <w:rsid w:val="00F67383"/>
    <w:rsid w:val="00F700B3"/>
    <w:rsid w:val="00F74869"/>
    <w:rsid w:val="00F74AC2"/>
    <w:rsid w:val="00F76FA6"/>
    <w:rsid w:val="00F77C45"/>
    <w:rsid w:val="00F846D8"/>
    <w:rsid w:val="00F862CC"/>
    <w:rsid w:val="00F872AB"/>
    <w:rsid w:val="00F87CAD"/>
    <w:rsid w:val="00F91127"/>
    <w:rsid w:val="00F93415"/>
    <w:rsid w:val="00F977FD"/>
    <w:rsid w:val="00FA40F4"/>
    <w:rsid w:val="00FA7BDD"/>
    <w:rsid w:val="00FB012A"/>
    <w:rsid w:val="00FC1F70"/>
    <w:rsid w:val="00FC2DFC"/>
    <w:rsid w:val="00FD5709"/>
    <w:rsid w:val="00FE4E41"/>
    <w:rsid w:val="00FF384C"/>
    <w:rsid w:val="00FF6F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imes New Roman"/>
        <w:sz w:val="26"/>
        <w:szCs w:val="26"/>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029"/>
    <w:rPr>
      <w:rFonts w:ascii="Times New Roman" w:hAnsi="Times New Roman"/>
      <w:szCs w:val="20"/>
      <w:lang w:bidi="ar-SA"/>
    </w:rPr>
  </w:style>
  <w:style w:type="paragraph" w:styleId="Heading1">
    <w:name w:val="heading 1"/>
    <w:basedOn w:val="Normal"/>
    <w:next w:val="Normal"/>
    <w:link w:val="Heading1Char"/>
    <w:uiPriority w:val="9"/>
    <w:qFormat/>
    <w:rsid w:val="00A055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A055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A055E3"/>
    <w:pPr>
      <w:keepNext/>
      <w:spacing w:before="240" w:after="60"/>
      <w:outlineLvl w:val="2"/>
    </w:pPr>
    <w:rPr>
      <w:rFonts w:asciiTheme="majorHAnsi" w:eastAsiaTheme="majorEastAsia" w:hAnsiTheme="majorHAnsi"/>
      <w:b/>
      <w:bCs/>
      <w:szCs w:val="26"/>
    </w:rPr>
  </w:style>
  <w:style w:type="paragraph" w:styleId="Heading4">
    <w:name w:val="heading 4"/>
    <w:basedOn w:val="Normal"/>
    <w:next w:val="Normal"/>
    <w:link w:val="Heading4Char"/>
    <w:uiPriority w:val="9"/>
    <w:semiHidden/>
    <w:unhideWhenUsed/>
    <w:rsid w:val="00A055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rsid w:val="00A055E3"/>
    <w:pPr>
      <w:spacing w:before="240" w:after="60"/>
      <w:outlineLvl w:val="4"/>
    </w:pPr>
    <w:rPr>
      <w:b/>
      <w:bCs/>
      <w:i/>
      <w:iCs/>
      <w:szCs w:val="26"/>
    </w:rPr>
  </w:style>
  <w:style w:type="paragraph" w:styleId="Heading6">
    <w:name w:val="heading 6"/>
    <w:basedOn w:val="Normal"/>
    <w:next w:val="Normal"/>
    <w:link w:val="Heading6Char"/>
    <w:uiPriority w:val="9"/>
    <w:semiHidden/>
    <w:unhideWhenUsed/>
    <w:qFormat/>
    <w:rsid w:val="00A055E3"/>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A055E3"/>
    <w:pPr>
      <w:spacing w:before="240" w:after="60"/>
      <w:outlineLvl w:val="6"/>
    </w:pPr>
    <w:rPr>
      <w:sz w:val="24"/>
    </w:rPr>
  </w:style>
  <w:style w:type="paragraph" w:styleId="Heading8">
    <w:name w:val="heading 8"/>
    <w:basedOn w:val="Normal"/>
    <w:next w:val="Normal"/>
    <w:link w:val="Heading8Char"/>
    <w:uiPriority w:val="9"/>
    <w:semiHidden/>
    <w:unhideWhenUsed/>
    <w:qFormat/>
    <w:rsid w:val="00A055E3"/>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A055E3"/>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5E3"/>
    <w:rPr>
      <w:rFonts w:asciiTheme="majorHAnsi" w:eastAsiaTheme="majorEastAsia" w:hAnsiTheme="majorHAnsi"/>
      <w:b/>
      <w:bCs/>
      <w:kern w:val="32"/>
      <w:sz w:val="32"/>
      <w:szCs w:val="32"/>
      <w:lang w:bidi="ar-SA"/>
    </w:rPr>
  </w:style>
  <w:style w:type="character" w:customStyle="1" w:styleId="Heading2Char">
    <w:name w:val="Heading 2 Char"/>
    <w:basedOn w:val="DefaultParagraphFont"/>
    <w:link w:val="Heading2"/>
    <w:uiPriority w:val="9"/>
    <w:rsid w:val="00A055E3"/>
    <w:rPr>
      <w:rFonts w:asciiTheme="majorHAnsi" w:eastAsiaTheme="majorEastAsia" w:hAnsiTheme="majorHAnsi"/>
      <w:b/>
      <w:bCs/>
      <w:i/>
      <w:iCs/>
      <w:sz w:val="28"/>
      <w:szCs w:val="28"/>
      <w:lang w:bidi="ar-SA"/>
    </w:rPr>
  </w:style>
  <w:style w:type="character" w:customStyle="1" w:styleId="Heading3Char">
    <w:name w:val="Heading 3 Char"/>
    <w:basedOn w:val="DefaultParagraphFont"/>
    <w:link w:val="Heading3"/>
    <w:uiPriority w:val="9"/>
    <w:rsid w:val="00A055E3"/>
    <w:rPr>
      <w:rFonts w:asciiTheme="majorHAnsi" w:eastAsiaTheme="majorEastAsia" w:hAnsiTheme="majorHAnsi"/>
      <w:b/>
      <w:bCs/>
      <w:lang w:bidi="ar-SA"/>
    </w:rPr>
  </w:style>
  <w:style w:type="character" w:customStyle="1" w:styleId="Heading6Char">
    <w:name w:val="Heading 6 Char"/>
    <w:basedOn w:val="DefaultParagraphFont"/>
    <w:link w:val="Heading6"/>
    <w:uiPriority w:val="9"/>
    <w:semiHidden/>
    <w:rsid w:val="00A055E3"/>
    <w:rPr>
      <w:rFonts w:ascii="Times New Roman" w:eastAsia="Times New Roman" w:hAnsi="Times New Roman"/>
      <w:b/>
      <w:bCs/>
      <w:lang w:bidi="ar-SA"/>
    </w:rPr>
  </w:style>
  <w:style w:type="character" w:customStyle="1" w:styleId="Heading7Char">
    <w:name w:val="Heading 7 Char"/>
    <w:basedOn w:val="DefaultParagraphFont"/>
    <w:link w:val="Heading7"/>
    <w:uiPriority w:val="9"/>
    <w:semiHidden/>
    <w:rsid w:val="00A055E3"/>
    <w:rPr>
      <w:rFonts w:ascii="Times New Roman" w:eastAsia="Times New Roman" w:hAnsi="Times New Roman"/>
      <w:sz w:val="24"/>
      <w:szCs w:val="20"/>
      <w:lang w:bidi="ar-SA"/>
    </w:rPr>
  </w:style>
  <w:style w:type="character" w:customStyle="1" w:styleId="Heading8Char">
    <w:name w:val="Heading 8 Char"/>
    <w:basedOn w:val="DefaultParagraphFont"/>
    <w:link w:val="Heading8"/>
    <w:uiPriority w:val="9"/>
    <w:semiHidden/>
    <w:rsid w:val="00A055E3"/>
    <w:rPr>
      <w:rFonts w:ascii="Times New Roman" w:eastAsia="Times New Roman" w:hAnsi="Times New Roman"/>
      <w:i/>
      <w:iCs/>
      <w:sz w:val="24"/>
      <w:szCs w:val="20"/>
      <w:lang w:bidi="ar-SA"/>
    </w:rPr>
  </w:style>
  <w:style w:type="character" w:customStyle="1" w:styleId="Heading9Char">
    <w:name w:val="Heading 9 Char"/>
    <w:basedOn w:val="DefaultParagraphFont"/>
    <w:link w:val="Heading9"/>
    <w:uiPriority w:val="9"/>
    <w:semiHidden/>
    <w:rsid w:val="00A055E3"/>
    <w:rPr>
      <w:rFonts w:asciiTheme="majorHAnsi" w:eastAsiaTheme="majorEastAsia" w:hAnsiTheme="majorHAnsi"/>
      <w:lang w:bidi="ar-SA"/>
    </w:rPr>
  </w:style>
  <w:style w:type="paragraph" w:styleId="Title">
    <w:name w:val="Title"/>
    <w:basedOn w:val="Normal"/>
    <w:next w:val="Normal"/>
    <w:link w:val="TitleChar"/>
    <w:uiPriority w:val="10"/>
    <w:qFormat/>
    <w:rsid w:val="00A055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055E3"/>
    <w:rPr>
      <w:rFonts w:asciiTheme="majorHAnsi" w:eastAsiaTheme="majorEastAsia" w:hAnsiTheme="majorHAnsi"/>
      <w:b/>
      <w:bCs/>
      <w:kern w:val="28"/>
      <w:sz w:val="32"/>
      <w:szCs w:val="32"/>
      <w:lang w:bidi="ar-SA"/>
    </w:rPr>
  </w:style>
  <w:style w:type="paragraph" w:styleId="Subtitle">
    <w:name w:val="Subtitle"/>
    <w:basedOn w:val="Normal"/>
    <w:next w:val="Normal"/>
    <w:link w:val="SubtitleChar"/>
    <w:uiPriority w:val="11"/>
    <w:qFormat/>
    <w:rsid w:val="00A055E3"/>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A055E3"/>
    <w:rPr>
      <w:rFonts w:asciiTheme="majorHAnsi" w:eastAsiaTheme="majorEastAsia" w:hAnsiTheme="majorHAnsi"/>
      <w:sz w:val="24"/>
      <w:szCs w:val="20"/>
      <w:lang w:bidi="ar-SA"/>
    </w:rPr>
  </w:style>
  <w:style w:type="paragraph" w:styleId="TOCHeading">
    <w:name w:val="TOC Heading"/>
    <w:basedOn w:val="Heading1"/>
    <w:next w:val="Normal"/>
    <w:uiPriority w:val="39"/>
    <w:semiHidden/>
    <w:unhideWhenUsed/>
    <w:qFormat/>
    <w:rsid w:val="00A055E3"/>
    <w:pPr>
      <w:outlineLvl w:val="9"/>
    </w:pPr>
  </w:style>
  <w:style w:type="paragraph" w:styleId="EnvelopeAddress">
    <w:name w:val="envelope address"/>
    <w:basedOn w:val="Normal"/>
    <w:rsid w:val="00A055E3"/>
    <w:pPr>
      <w:framePr w:w="7920" w:h="1980" w:hRule="exact" w:hSpace="180" w:wrap="auto" w:hAnchor="page" w:xAlign="center" w:yAlign="bottom"/>
      <w:ind w:left="2880"/>
    </w:pPr>
  </w:style>
  <w:style w:type="paragraph" w:styleId="EnvelopeReturn">
    <w:name w:val="envelope return"/>
    <w:basedOn w:val="Normal"/>
    <w:rsid w:val="00A055E3"/>
  </w:style>
  <w:style w:type="paragraph" w:styleId="Footer">
    <w:name w:val="footer"/>
    <w:basedOn w:val="Normal"/>
    <w:link w:val="FooterChar"/>
    <w:rsid w:val="00A055E3"/>
    <w:pPr>
      <w:tabs>
        <w:tab w:val="center" w:pos="4320"/>
        <w:tab w:val="right" w:pos="8640"/>
      </w:tabs>
      <w:spacing w:line="520" w:lineRule="exact"/>
    </w:pPr>
  </w:style>
  <w:style w:type="character" w:customStyle="1" w:styleId="FooterChar">
    <w:name w:val="Footer Char"/>
    <w:basedOn w:val="DefaultParagraphFont"/>
    <w:link w:val="Footer"/>
    <w:rsid w:val="00A055E3"/>
    <w:rPr>
      <w:rFonts w:ascii="Times New Roman" w:eastAsia="Times New Roman" w:hAnsi="Times New Roman"/>
      <w:szCs w:val="20"/>
      <w:lang w:bidi="ar-SA"/>
    </w:rPr>
  </w:style>
  <w:style w:type="character" w:styleId="FootnoteReference">
    <w:name w:val="footnote reference"/>
    <w:basedOn w:val="DefaultParagraphFont"/>
    <w:uiPriority w:val="99"/>
    <w:rsid w:val="00295029"/>
    <w:rPr>
      <w:rFonts w:ascii="Times New Roman" w:hAnsi="Times New Roman"/>
      <w:b w:val="0"/>
      <w:color w:val="auto"/>
      <w:position w:val="6"/>
      <w:sz w:val="26"/>
      <w:vertAlign w:val="superscript"/>
    </w:rPr>
  </w:style>
  <w:style w:type="paragraph" w:styleId="FootnoteText">
    <w:name w:val="footnote text"/>
    <w:basedOn w:val="Normal"/>
    <w:link w:val="FootnoteTextChar"/>
    <w:uiPriority w:val="99"/>
    <w:rsid w:val="00A055E3"/>
    <w:pPr>
      <w:keepLines/>
      <w:widowControl w:val="0"/>
    </w:pPr>
  </w:style>
  <w:style w:type="character" w:customStyle="1" w:styleId="FootnoteTextChar">
    <w:name w:val="Footnote Text Char"/>
    <w:basedOn w:val="DefaultParagraphFont"/>
    <w:link w:val="FootnoteText"/>
    <w:uiPriority w:val="99"/>
    <w:rsid w:val="00A055E3"/>
    <w:rPr>
      <w:rFonts w:ascii="Times New Roman" w:eastAsia="Times New Roman" w:hAnsi="Times New Roman"/>
      <w:szCs w:val="20"/>
      <w:lang w:bidi="ar-SA"/>
    </w:rPr>
  </w:style>
  <w:style w:type="paragraph" w:styleId="Header">
    <w:name w:val="header"/>
    <w:basedOn w:val="Normal"/>
    <w:link w:val="HeaderChar"/>
    <w:rsid w:val="00A055E3"/>
    <w:pPr>
      <w:tabs>
        <w:tab w:val="center" w:pos="4320"/>
        <w:tab w:val="right" w:pos="8640"/>
      </w:tabs>
    </w:pPr>
  </w:style>
  <w:style w:type="character" w:customStyle="1" w:styleId="HeaderChar">
    <w:name w:val="Header Char"/>
    <w:basedOn w:val="DefaultParagraphFont"/>
    <w:link w:val="Header"/>
    <w:rsid w:val="00A055E3"/>
    <w:rPr>
      <w:rFonts w:ascii="Times New Roman" w:eastAsia="Times New Roman" w:hAnsi="Times New Roman"/>
      <w:szCs w:val="20"/>
      <w:lang w:bidi="ar-SA"/>
    </w:rPr>
  </w:style>
  <w:style w:type="paragraph" w:customStyle="1" w:styleId="IndentedQuote">
    <w:name w:val="IndentedQuote"/>
    <w:basedOn w:val="Normal"/>
    <w:rsid w:val="00A055E3"/>
    <w:pPr>
      <w:spacing w:line="260" w:lineRule="exact"/>
      <w:ind w:left="1080" w:right="1080"/>
    </w:pPr>
  </w:style>
  <w:style w:type="paragraph" w:styleId="Macro">
    <w:name w:val="macro"/>
    <w:link w:val="MacroTextChar"/>
    <w:semiHidden/>
    <w:rsid w:val="00A055E3"/>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2"/>
      <w:szCs w:val="20"/>
      <w:lang w:bidi="ar-SA"/>
    </w:rPr>
  </w:style>
  <w:style w:type="character" w:customStyle="1" w:styleId="MacroTextChar">
    <w:name w:val="Macro Text Char"/>
    <w:basedOn w:val="DefaultParagraphFont"/>
    <w:link w:val="Macro"/>
    <w:semiHidden/>
    <w:rsid w:val="00A055E3"/>
    <w:rPr>
      <w:rFonts w:ascii="Times New Roman" w:eastAsia="Times New Roman" w:hAnsi="Times New Roman"/>
      <w:sz w:val="22"/>
      <w:szCs w:val="20"/>
      <w:lang w:bidi="ar-SA"/>
    </w:rPr>
  </w:style>
  <w:style w:type="character" w:styleId="PageNumber">
    <w:name w:val="page number"/>
    <w:basedOn w:val="DefaultParagraphFont"/>
    <w:rsid w:val="00A055E3"/>
  </w:style>
  <w:style w:type="character" w:customStyle="1" w:styleId="Heading4Char">
    <w:name w:val="Heading 4 Char"/>
    <w:basedOn w:val="DefaultParagraphFont"/>
    <w:link w:val="Heading4"/>
    <w:uiPriority w:val="9"/>
    <w:semiHidden/>
    <w:rsid w:val="00A055E3"/>
    <w:rPr>
      <w:rFonts w:ascii="Times New Roman" w:eastAsia="Times New Roman" w:hAnsi="Times New Roman"/>
      <w:b/>
      <w:bCs/>
      <w:sz w:val="28"/>
      <w:szCs w:val="28"/>
      <w:lang w:bidi="ar-SA"/>
    </w:rPr>
  </w:style>
  <w:style w:type="character" w:customStyle="1" w:styleId="Heading5Char">
    <w:name w:val="Heading 5 Char"/>
    <w:basedOn w:val="DefaultParagraphFont"/>
    <w:link w:val="Heading5"/>
    <w:uiPriority w:val="9"/>
    <w:semiHidden/>
    <w:rsid w:val="00A055E3"/>
    <w:rPr>
      <w:rFonts w:ascii="Times New Roman" w:eastAsia="Times New Roman" w:hAnsi="Times New Roman"/>
      <w:b/>
      <w:bCs/>
      <w:i/>
      <w:iCs/>
      <w:lang w:bidi="ar-SA"/>
    </w:rPr>
  </w:style>
  <w:style w:type="character" w:styleId="Strong">
    <w:name w:val="Strong"/>
    <w:basedOn w:val="DefaultParagraphFont"/>
    <w:uiPriority w:val="22"/>
    <w:qFormat/>
    <w:rsid w:val="00A055E3"/>
    <w:rPr>
      <w:b/>
      <w:bCs/>
    </w:rPr>
  </w:style>
  <w:style w:type="character" w:styleId="Emphasis">
    <w:name w:val="Emphasis"/>
    <w:basedOn w:val="DefaultParagraphFont"/>
    <w:uiPriority w:val="20"/>
    <w:qFormat/>
    <w:rsid w:val="00A055E3"/>
    <w:rPr>
      <w:rFonts w:asciiTheme="minorHAnsi" w:hAnsiTheme="minorHAnsi"/>
      <w:b/>
      <w:i/>
      <w:iCs/>
    </w:rPr>
  </w:style>
  <w:style w:type="paragraph" w:styleId="NoSpacing">
    <w:name w:val="No Spacing"/>
    <w:basedOn w:val="Normal"/>
    <w:uiPriority w:val="1"/>
    <w:rsid w:val="00A055E3"/>
    <w:rPr>
      <w:szCs w:val="32"/>
    </w:rPr>
  </w:style>
  <w:style w:type="paragraph" w:styleId="ListParagraph">
    <w:name w:val="List Paragraph"/>
    <w:basedOn w:val="Normal"/>
    <w:uiPriority w:val="34"/>
    <w:qFormat/>
    <w:rsid w:val="00A055E3"/>
    <w:pPr>
      <w:ind w:left="720"/>
      <w:contextualSpacing/>
    </w:pPr>
  </w:style>
  <w:style w:type="paragraph" w:styleId="Quote">
    <w:name w:val="Quote"/>
    <w:basedOn w:val="Normal"/>
    <w:next w:val="Normal"/>
    <w:link w:val="QuoteChar"/>
    <w:uiPriority w:val="29"/>
    <w:rsid w:val="00A055E3"/>
    <w:rPr>
      <w:i/>
    </w:rPr>
  </w:style>
  <w:style w:type="character" w:customStyle="1" w:styleId="QuoteChar">
    <w:name w:val="Quote Char"/>
    <w:basedOn w:val="DefaultParagraphFont"/>
    <w:link w:val="Quote"/>
    <w:uiPriority w:val="29"/>
    <w:rsid w:val="00A055E3"/>
    <w:rPr>
      <w:rFonts w:ascii="Times New Roman" w:eastAsia="Times New Roman" w:hAnsi="Times New Roman"/>
      <w:i/>
      <w:szCs w:val="20"/>
      <w:lang w:bidi="ar-SA"/>
    </w:rPr>
  </w:style>
  <w:style w:type="paragraph" w:styleId="IntenseQuote">
    <w:name w:val="Intense Quote"/>
    <w:basedOn w:val="Normal"/>
    <w:next w:val="Normal"/>
    <w:link w:val="IntenseQuoteChar"/>
    <w:uiPriority w:val="30"/>
    <w:rsid w:val="00A055E3"/>
    <w:pPr>
      <w:ind w:left="720" w:right="720"/>
    </w:pPr>
    <w:rPr>
      <w:b/>
      <w:i/>
      <w:szCs w:val="22"/>
    </w:rPr>
  </w:style>
  <w:style w:type="character" w:customStyle="1" w:styleId="IntenseQuoteChar">
    <w:name w:val="Intense Quote Char"/>
    <w:basedOn w:val="DefaultParagraphFont"/>
    <w:link w:val="IntenseQuote"/>
    <w:uiPriority w:val="30"/>
    <w:rsid w:val="00A055E3"/>
    <w:rPr>
      <w:rFonts w:ascii="Times New Roman" w:eastAsia="Times New Roman" w:hAnsi="Times New Roman"/>
      <w:b/>
      <w:i/>
      <w:szCs w:val="22"/>
      <w:lang w:bidi="ar-SA"/>
    </w:rPr>
  </w:style>
  <w:style w:type="character" w:styleId="SubtleEmphasis">
    <w:name w:val="Subtle Emphasis"/>
    <w:uiPriority w:val="19"/>
    <w:rsid w:val="00A055E3"/>
    <w:rPr>
      <w:i/>
      <w:color w:val="5A5A5A" w:themeColor="text1" w:themeTint="A5"/>
    </w:rPr>
  </w:style>
  <w:style w:type="character" w:styleId="IntenseEmphasis">
    <w:name w:val="Intense Emphasis"/>
    <w:basedOn w:val="DefaultParagraphFont"/>
    <w:uiPriority w:val="21"/>
    <w:rsid w:val="00A055E3"/>
    <w:rPr>
      <w:b/>
      <w:i/>
      <w:sz w:val="24"/>
      <w:szCs w:val="24"/>
      <w:u w:val="single"/>
    </w:rPr>
  </w:style>
  <w:style w:type="character" w:styleId="SubtleReference">
    <w:name w:val="Subtle Reference"/>
    <w:basedOn w:val="DefaultParagraphFont"/>
    <w:uiPriority w:val="31"/>
    <w:rsid w:val="00A055E3"/>
    <w:rPr>
      <w:sz w:val="24"/>
      <w:szCs w:val="24"/>
      <w:u w:val="single"/>
    </w:rPr>
  </w:style>
  <w:style w:type="character" w:styleId="IntenseReference">
    <w:name w:val="Intense Reference"/>
    <w:basedOn w:val="DefaultParagraphFont"/>
    <w:uiPriority w:val="32"/>
    <w:rsid w:val="00A055E3"/>
    <w:rPr>
      <w:b/>
      <w:sz w:val="24"/>
      <w:u w:val="single"/>
    </w:rPr>
  </w:style>
  <w:style w:type="character" w:styleId="BookTitle">
    <w:name w:val="Book Title"/>
    <w:basedOn w:val="DefaultParagraphFont"/>
    <w:uiPriority w:val="33"/>
    <w:rsid w:val="00A055E3"/>
    <w:rPr>
      <w:rFonts w:asciiTheme="majorHAnsi" w:eastAsiaTheme="majorEastAsia" w:hAnsiTheme="majorHAnsi"/>
      <w:b/>
      <w:i/>
      <w:sz w:val="24"/>
      <w:szCs w:val="24"/>
    </w:rPr>
  </w:style>
  <w:style w:type="paragraph" w:styleId="BalloonText">
    <w:name w:val="Balloon Text"/>
    <w:basedOn w:val="Normal"/>
    <w:link w:val="BalloonTextChar"/>
    <w:uiPriority w:val="99"/>
    <w:semiHidden/>
    <w:unhideWhenUsed/>
    <w:rsid w:val="002B3D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DDF"/>
    <w:rPr>
      <w:rFonts w:ascii="Segoe UI" w:hAnsi="Segoe UI" w:cs="Segoe UI"/>
      <w:sz w:val="18"/>
      <w:szCs w:val="18"/>
      <w:lang w:bidi="ar-SA"/>
    </w:rPr>
  </w:style>
  <w:style w:type="character" w:styleId="Hyperlink">
    <w:name w:val="Hyperlink"/>
    <w:basedOn w:val="DefaultParagraphFont"/>
    <w:uiPriority w:val="99"/>
    <w:unhideWhenUsed/>
    <w:rsid w:val="00551E1D"/>
    <w:rPr>
      <w:color w:val="0000FF" w:themeColor="hyperlink"/>
      <w:u w:val="single"/>
    </w:rPr>
  </w:style>
  <w:style w:type="character" w:customStyle="1" w:styleId="UnresolvedMention1">
    <w:name w:val="Unresolved Mention1"/>
    <w:basedOn w:val="DefaultParagraphFont"/>
    <w:uiPriority w:val="99"/>
    <w:semiHidden/>
    <w:unhideWhenUsed/>
    <w:rsid w:val="00551E1D"/>
    <w:rPr>
      <w:color w:val="605E5C"/>
      <w:shd w:val="clear" w:color="auto" w:fill="E1DFDD"/>
    </w:rPr>
  </w:style>
  <w:style w:type="character" w:styleId="FollowedHyperlink">
    <w:name w:val="FollowedHyperlink"/>
    <w:basedOn w:val="DefaultParagraphFont"/>
    <w:uiPriority w:val="99"/>
    <w:semiHidden/>
    <w:unhideWhenUsed/>
    <w:rsid w:val="00551E1D"/>
    <w:rPr>
      <w:color w:val="800080" w:themeColor="followedHyperlink"/>
      <w:u w:val="single"/>
    </w:rPr>
  </w:style>
  <w:style w:type="character" w:customStyle="1" w:styleId="costarpage">
    <w:name w:val="co_starpage"/>
    <w:basedOn w:val="DefaultParagraphFont"/>
    <w:rsid w:val="00551E1D"/>
  </w:style>
  <w:style w:type="character" w:customStyle="1" w:styleId="xcontentpasted0">
    <w:name w:val="x_contentpasted0"/>
    <w:basedOn w:val="DefaultParagraphFont"/>
    <w:rsid w:val="00551E1D"/>
  </w:style>
  <w:style w:type="paragraph" w:styleId="Revision">
    <w:name w:val="Revision"/>
    <w:hidden/>
    <w:uiPriority w:val="99"/>
    <w:semiHidden/>
    <w:rsid w:val="00977F70"/>
    <w:rPr>
      <w:rFonts w:ascii="Times New Roman" w:hAnsi="Times New Roman"/>
      <w:szCs w:val="20"/>
      <w:lang w:bidi="ar-SA"/>
    </w:rPr>
  </w:style>
  <w:style w:type="paragraph" w:customStyle="1" w:styleId="xmsonormal">
    <w:name w:val="x_msonormal"/>
    <w:basedOn w:val="Normal"/>
    <w:rsid w:val="00F0258B"/>
    <w:rPr>
      <w:rFonts w:ascii="Calibri" w:hAnsi="Calibri" w:eastAsiaTheme="minorHAnsi" w:cs="Calibri"/>
      <w:sz w:val="22"/>
      <w:szCs w:val="22"/>
    </w:rPr>
  </w:style>
  <w:style w:type="character" w:styleId="CommentReference">
    <w:name w:val="annotation reference"/>
    <w:basedOn w:val="DefaultParagraphFont"/>
    <w:uiPriority w:val="99"/>
    <w:semiHidden/>
    <w:unhideWhenUsed/>
    <w:rsid w:val="00A95F29"/>
    <w:rPr>
      <w:sz w:val="16"/>
      <w:szCs w:val="16"/>
    </w:rPr>
  </w:style>
  <w:style w:type="paragraph" w:styleId="CommentText">
    <w:name w:val="annotation text"/>
    <w:basedOn w:val="Normal"/>
    <w:link w:val="CommentTextChar"/>
    <w:uiPriority w:val="99"/>
    <w:unhideWhenUsed/>
    <w:rsid w:val="00A95F29"/>
    <w:rPr>
      <w:sz w:val="20"/>
    </w:rPr>
  </w:style>
  <w:style w:type="character" w:customStyle="1" w:styleId="CommentTextChar">
    <w:name w:val="Comment Text Char"/>
    <w:basedOn w:val="DefaultParagraphFont"/>
    <w:link w:val="CommentText"/>
    <w:uiPriority w:val="99"/>
    <w:rsid w:val="00A95F29"/>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95F29"/>
    <w:rPr>
      <w:b/>
      <w:bCs/>
    </w:rPr>
  </w:style>
  <w:style w:type="character" w:customStyle="1" w:styleId="CommentSubjectChar">
    <w:name w:val="Comment Subject Char"/>
    <w:basedOn w:val="CommentTextChar"/>
    <w:link w:val="CommentSubject"/>
    <w:uiPriority w:val="99"/>
    <w:semiHidden/>
    <w:rsid w:val="00A95F29"/>
    <w:rPr>
      <w:rFonts w:ascii="Times New Roman" w:hAnsi="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814D7-FC6F-4838-9391-4C333938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9011</Words>
  <Characters>51364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2024-02-08T22:22:39Z</dcterms:created>
  <dcterms:modified xsi:type="dcterms:W3CDTF">2024-02-08T22:22:39Z</dcterms:modified>
</cp:coreProperties>
</file>