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4370E" w:rsidRPr="00E26BC8" w:rsidP="0054370E" w14:paraId="67CE5929" w14:textId="1B9B8FF8">
      <w:pPr>
        <w:spacing w:line="240" w:lineRule="auto"/>
        <w:rPr>
          <w:sz w:val="20"/>
          <w:szCs w:val="20"/>
        </w:rPr>
      </w:pPr>
      <w:r w:rsidRPr="00E26BC8">
        <w:rPr>
          <w:sz w:val="20"/>
          <w:szCs w:val="20"/>
        </w:rPr>
        <w:t>Filed</w:t>
      </w:r>
      <w:r w:rsidRPr="00E26BC8" w:rsidR="00E26BC8">
        <w:rPr>
          <w:sz w:val="20"/>
          <w:szCs w:val="20"/>
        </w:rPr>
        <w:t xml:space="preserve"> </w:t>
      </w:r>
      <w:r w:rsidRPr="00E26BC8">
        <w:rPr>
          <w:sz w:val="20"/>
          <w:szCs w:val="20"/>
        </w:rPr>
        <w:t>9</w:t>
      </w:r>
      <w:r w:rsidRPr="00E26BC8" w:rsidR="00E26BC8">
        <w:rPr>
          <w:sz w:val="20"/>
          <w:szCs w:val="20"/>
        </w:rPr>
        <w:t>/</w:t>
      </w:r>
      <w:r w:rsidRPr="00E26BC8">
        <w:rPr>
          <w:sz w:val="20"/>
          <w:szCs w:val="20"/>
        </w:rPr>
        <w:t>20</w:t>
      </w:r>
      <w:r w:rsidRPr="00E26BC8" w:rsidR="00E26BC8">
        <w:rPr>
          <w:sz w:val="20"/>
          <w:szCs w:val="20"/>
        </w:rPr>
        <w:t>/</w:t>
      </w:r>
      <w:r w:rsidRPr="00E26BC8">
        <w:rPr>
          <w:sz w:val="20"/>
          <w:szCs w:val="20"/>
        </w:rPr>
        <w:t>23</w:t>
      </w:r>
      <w:r w:rsidR="008F7EB4">
        <w:rPr>
          <w:sz w:val="20"/>
          <w:szCs w:val="20"/>
        </w:rPr>
        <w:t>; Certified for Publication 10/16/23 (order attached)</w:t>
      </w:r>
    </w:p>
    <w:p w:rsidR="0054370E" w:rsidP="0054370E" w14:paraId="723F5F6B" w14:textId="77777777">
      <w:pPr>
        <w:spacing w:line="240" w:lineRule="auto"/>
      </w:pPr>
    </w:p>
    <w:p w:rsidR="0054370E" w:rsidP="0054370E" w14:paraId="043C90CC" w14:textId="77777777">
      <w:pPr>
        <w:spacing w:line="240" w:lineRule="auto"/>
      </w:pPr>
    </w:p>
    <w:p w:rsidR="0054370E" w:rsidP="0054370E" w14:paraId="228B9E94" w14:textId="77777777">
      <w:pPr>
        <w:spacing w:line="240" w:lineRule="auto"/>
      </w:pPr>
    </w:p>
    <w:p w:rsidR="0054370E" w:rsidP="0054370E" w14:paraId="614F5DA5" w14:textId="77777777">
      <w:pPr>
        <w:spacing w:line="240" w:lineRule="auto"/>
      </w:pPr>
    </w:p>
    <w:p w:rsidR="000022B7" w:rsidP="0054370E" w14:paraId="10ED9E55" w14:textId="77777777">
      <w:pPr>
        <w:spacing w:line="240" w:lineRule="auto"/>
        <w:jc w:val="center"/>
      </w:pPr>
    </w:p>
    <w:p w:rsidR="000022B7" w:rsidP="0054370E" w14:paraId="5479EF5E" w14:textId="77777777">
      <w:pPr>
        <w:spacing w:line="240" w:lineRule="auto"/>
        <w:jc w:val="center"/>
      </w:pPr>
    </w:p>
    <w:p w:rsidR="000022B7" w:rsidP="0054370E" w14:paraId="1EC4A8A7" w14:textId="77777777">
      <w:pPr>
        <w:spacing w:line="240" w:lineRule="auto"/>
        <w:jc w:val="center"/>
      </w:pPr>
    </w:p>
    <w:p w:rsidR="000022B7" w:rsidP="0054370E" w14:paraId="433D06D1" w14:textId="77777777">
      <w:pPr>
        <w:spacing w:line="240" w:lineRule="auto"/>
        <w:jc w:val="center"/>
      </w:pPr>
    </w:p>
    <w:p w:rsidR="0054370E" w:rsidP="0054370E" w14:paraId="65A9764C" w14:textId="7986CB95">
      <w:pPr>
        <w:spacing w:line="240" w:lineRule="auto"/>
        <w:jc w:val="center"/>
      </w:pPr>
      <w:r>
        <w:t>IN THE COURT OF APPEAL OF THE STATE OF CALIFORNIA</w:t>
      </w:r>
    </w:p>
    <w:p w:rsidR="0054370E" w:rsidP="0054370E" w14:paraId="312C3560" w14:textId="77777777">
      <w:pPr>
        <w:spacing w:line="240" w:lineRule="auto"/>
        <w:jc w:val="center"/>
      </w:pPr>
    </w:p>
    <w:p w:rsidR="0054370E" w:rsidP="0054370E" w14:paraId="08086FB5" w14:textId="77777777">
      <w:pPr>
        <w:spacing w:line="240" w:lineRule="auto"/>
        <w:jc w:val="center"/>
      </w:pPr>
      <w:r>
        <w:t>FOURTH APPELLATE DISTRICT</w:t>
      </w:r>
    </w:p>
    <w:p w:rsidR="0054370E" w:rsidP="0054370E" w14:paraId="46B21F56" w14:textId="77777777">
      <w:pPr>
        <w:spacing w:line="240" w:lineRule="auto"/>
        <w:jc w:val="center"/>
      </w:pPr>
    </w:p>
    <w:p w:rsidR="0054370E" w:rsidP="0054370E" w14:paraId="3A690301" w14:textId="77777777">
      <w:pPr>
        <w:spacing w:line="240" w:lineRule="auto"/>
        <w:jc w:val="center"/>
      </w:pPr>
      <w:r>
        <w:t>DIVISION THREE</w:t>
      </w:r>
    </w:p>
    <w:p w:rsidR="0054370E" w:rsidP="0054370E" w14:paraId="69A51241" w14:textId="77777777">
      <w:pPr>
        <w:spacing w:line="240" w:lineRule="auto"/>
        <w:jc w:val="center"/>
      </w:pPr>
    </w:p>
    <w:p w:rsidR="0054370E" w:rsidP="0054370E" w14:paraId="7CBA4018" w14:textId="77777777">
      <w:pPr>
        <w:spacing w:line="240" w:lineRule="auto"/>
        <w:jc w:val="center"/>
      </w:pPr>
    </w:p>
    <w:tbl>
      <w:tblPr>
        <w:tblW w:w="0" w:type="auto"/>
        <w:tblLayout w:type="fixed"/>
        <w:tblLook w:val="0000"/>
      </w:tblPr>
      <w:tblGrid>
        <w:gridCol w:w="4680"/>
        <w:gridCol w:w="4680"/>
      </w:tblGrid>
      <w:tr w14:paraId="372F42B8" w14:textId="77777777" w:rsidTr="0054370E">
        <w:tblPrEx>
          <w:tblW w:w="0" w:type="auto"/>
          <w:tblLayout w:type="fixed"/>
          <w:tblLook w:val="0000"/>
        </w:tblPrEx>
        <w:tc>
          <w:tcPr>
            <w:tcW w:w="4680" w:type="dxa"/>
            <w:tcBorders>
              <w:bottom w:val="single" w:sz="4" w:space="0" w:color="auto"/>
              <w:right w:val="single" w:sz="4" w:space="0" w:color="auto"/>
            </w:tcBorders>
            <w:shd w:val="clear" w:color="auto" w:fill="auto"/>
          </w:tcPr>
          <w:p w:rsidR="0054370E" w:rsidP="0054370E" w14:paraId="1039DBEC" w14:textId="77777777">
            <w:pPr>
              <w:spacing w:line="240" w:lineRule="auto"/>
            </w:pPr>
            <w:r>
              <w:t>THE PEOPLE,</w:t>
            </w:r>
          </w:p>
          <w:p w:rsidR="0054370E" w:rsidP="0054370E" w14:paraId="16B6A250" w14:textId="77777777">
            <w:pPr>
              <w:spacing w:line="240" w:lineRule="auto"/>
            </w:pPr>
          </w:p>
          <w:p w:rsidR="0054370E" w:rsidP="0054370E" w14:paraId="777D85AA" w14:textId="77777777">
            <w:pPr>
              <w:spacing w:line="240" w:lineRule="auto"/>
            </w:pPr>
            <w:r>
              <w:t xml:space="preserve">      Plaintiff and Respondent,</w:t>
            </w:r>
          </w:p>
          <w:p w:rsidR="0054370E" w:rsidP="0054370E" w14:paraId="257DCA36" w14:textId="77777777">
            <w:pPr>
              <w:spacing w:line="240" w:lineRule="auto"/>
            </w:pPr>
          </w:p>
          <w:p w:rsidR="0054370E" w:rsidP="0054370E" w14:paraId="65C35268" w14:textId="77777777">
            <w:pPr>
              <w:spacing w:line="240" w:lineRule="auto"/>
            </w:pPr>
            <w:r>
              <w:tab/>
              <w:t>v.</w:t>
            </w:r>
          </w:p>
          <w:p w:rsidR="0054370E" w:rsidP="0054370E" w14:paraId="113D42FD" w14:textId="77777777">
            <w:pPr>
              <w:spacing w:line="240" w:lineRule="auto"/>
            </w:pPr>
          </w:p>
          <w:p w:rsidR="0054370E" w:rsidP="0054370E" w14:paraId="763FAA44" w14:textId="77777777">
            <w:pPr>
              <w:spacing w:line="240" w:lineRule="auto"/>
            </w:pPr>
            <w:r>
              <w:t>JOSE LUIS SAAVEDRA,</w:t>
            </w:r>
          </w:p>
          <w:p w:rsidR="0054370E" w:rsidP="0054370E" w14:paraId="0373E20D" w14:textId="77777777">
            <w:pPr>
              <w:spacing w:line="240" w:lineRule="auto"/>
            </w:pPr>
          </w:p>
          <w:p w:rsidR="0054370E" w:rsidP="0054370E" w14:paraId="0FB3BD34" w14:textId="77777777">
            <w:pPr>
              <w:spacing w:line="240" w:lineRule="auto"/>
            </w:pPr>
            <w:r>
              <w:t xml:space="preserve">      Defendant and Appellant.</w:t>
            </w:r>
          </w:p>
          <w:p w:rsidR="0054370E" w:rsidP="0054370E" w14:paraId="7D6E3B5E" w14:textId="77777777">
            <w:pPr>
              <w:spacing w:line="240" w:lineRule="auto"/>
            </w:pPr>
          </w:p>
        </w:tc>
        <w:tc>
          <w:tcPr>
            <w:tcW w:w="4680" w:type="dxa"/>
            <w:tcBorders>
              <w:left w:val="single" w:sz="4" w:space="0" w:color="auto"/>
            </w:tcBorders>
            <w:shd w:val="clear" w:color="auto" w:fill="auto"/>
          </w:tcPr>
          <w:p w:rsidR="0054370E" w:rsidP="0054370E" w14:paraId="08E8904B" w14:textId="77777777">
            <w:pPr>
              <w:spacing w:line="240" w:lineRule="auto"/>
            </w:pPr>
          </w:p>
          <w:p w:rsidR="0054370E" w:rsidP="0054370E" w14:paraId="5CF44C8F" w14:textId="77777777">
            <w:pPr>
              <w:spacing w:line="240" w:lineRule="auto"/>
            </w:pPr>
          </w:p>
          <w:p w:rsidR="0054370E" w:rsidP="0054370E" w14:paraId="2329F673" w14:textId="77777777">
            <w:pPr>
              <w:spacing w:line="240" w:lineRule="auto"/>
            </w:pPr>
            <w:r>
              <w:t xml:space="preserve">         G061556</w:t>
            </w:r>
          </w:p>
          <w:p w:rsidR="0054370E" w:rsidP="0054370E" w14:paraId="1BE04DDB" w14:textId="77777777">
            <w:pPr>
              <w:spacing w:line="240" w:lineRule="auto"/>
            </w:pPr>
          </w:p>
          <w:p w:rsidR="0054370E" w:rsidP="0054370E" w14:paraId="07178741" w14:textId="77777777">
            <w:pPr>
              <w:spacing w:line="240" w:lineRule="auto"/>
            </w:pPr>
            <w:r>
              <w:t xml:space="preserve">         (Super. Ct. No. 02CF1743)</w:t>
            </w:r>
          </w:p>
          <w:p w:rsidR="0054370E" w:rsidP="0054370E" w14:paraId="2CAC8109" w14:textId="77777777">
            <w:pPr>
              <w:spacing w:line="240" w:lineRule="auto"/>
            </w:pPr>
          </w:p>
          <w:p w:rsidR="0054370E" w:rsidP="0054370E" w14:paraId="70DF077D" w14:textId="77777777">
            <w:pPr>
              <w:spacing w:line="240" w:lineRule="auto"/>
            </w:pPr>
            <w:r>
              <w:t xml:space="preserve">         O P I N I O N</w:t>
            </w:r>
          </w:p>
        </w:tc>
      </w:tr>
    </w:tbl>
    <w:p w:rsidR="0054370E" w:rsidP="0054370E" w14:paraId="2B1F4D82" w14:textId="77777777">
      <w:pPr>
        <w:tabs>
          <w:tab w:val="left" w:pos="1440"/>
          <w:tab w:val="clear" w:pos="1483"/>
          <w:tab w:val="left" w:pos="2880"/>
          <w:tab w:val="left" w:pos="4320"/>
          <w:tab w:val="left" w:pos="5760"/>
          <w:tab w:val="left" w:pos="7200"/>
          <w:tab w:val="left" w:pos="8640"/>
        </w:tabs>
      </w:pPr>
    </w:p>
    <w:p w:rsidR="0054370E" w:rsidP="0054370E" w14:paraId="6AED44B2" w14:textId="6558D001">
      <w:pPr>
        <w:tabs>
          <w:tab w:val="left" w:pos="1440"/>
          <w:tab w:val="clear" w:pos="1483"/>
          <w:tab w:val="left" w:pos="2880"/>
          <w:tab w:val="left" w:pos="4320"/>
          <w:tab w:val="left" w:pos="5760"/>
          <w:tab w:val="left" w:pos="7200"/>
          <w:tab w:val="left" w:pos="8640"/>
        </w:tabs>
      </w:pPr>
      <w:r>
        <w:tab/>
        <w:t xml:space="preserve">Appeal from a </w:t>
      </w:r>
      <w:r w:rsidR="00D66760">
        <w:t>post</w:t>
      </w:r>
      <w:r>
        <w:t xml:space="preserve">judgment </w:t>
      </w:r>
      <w:r w:rsidR="00D66760">
        <w:t xml:space="preserve">order </w:t>
      </w:r>
      <w:r>
        <w:t>of the Superior Court of Orange County, Michael J. Cassidy, Judge.  Affirmed.</w:t>
      </w:r>
    </w:p>
    <w:p w:rsidR="0054370E" w:rsidP="0054370E" w14:paraId="2B716404" w14:textId="77777777">
      <w:pPr>
        <w:tabs>
          <w:tab w:val="left" w:pos="1440"/>
          <w:tab w:val="clear" w:pos="1483"/>
          <w:tab w:val="left" w:pos="2880"/>
          <w:tab w:val="left" w:pos="4320"/>
          <w:tab w:val="left" w:pos="5760"/>
          <w:tab w:val="left" w:pos="7200"/>
          <w:tab w:val="left" w:pos="8640"/>
        </w:tabs>
      </w:pPr>
      <w:r>
        <w:tab/>
        <w:t>Stephanie M. Adraktas, under appointment by the Court of Appeal, for Defendant and Appellant.</w:t>
      </w:r>
    </w:p>
    <w:p w:rsidR="0054370E" w:rsidP="0054370E" w14:paraId="3816B0F7" w14:textId="70DA677F">
      <w:pPr>
        <w:tabs>
          <w:tab w:val="left" w:pos="1440"/>
          <w:tab w:val="clear" w:pos="1483"/>
          <w:tab w:val="left" w:pos="2880"/>
          <w:tab w:val="left" w:pos="4320"/>
          <w:tab w:val="left" w:pos="5760"/>
          <w:tab w:val="left" w:pos="7200"/>
          <w:tab w:val="left" w:pos="8640"/>
        </w:tabs>
      </w:pPr>
      <w:r>
        <w:tab/>
        <w:t>Rob Bonta, Attorney General, Charles C. Ragland, Assistant Attorney General, Daniel Rogers and Vincent P. LaPietra, Deputy Attorneys General, for Plaintiff and Respondent.</w:t>
      </w:r>
    </w:p>
    <w:p w:rsidR="0054370E" w:rsidP="0054370E" w14:paraId="7AA22BFE" w14:textId="77777777">
      <w:pPr>
        <w:tabs>
          <w:tab w:val="left" w:pos="1440"/>
          <w:tab w:val="left" w:leader="underscore" w:pos="5040"/>
        </w:tabs>
        <w:spacing w:before="240"/>
        <w:jc w:val="center"/>
      </w:pPr>
      <w:r>
        <w:t>*                *                *</w:t>
      </w:r>
    </w:p>
    <w:p w:rsidR="0054370E" w:rsidP="003C186C" w14:paraId="05C163D5" w14:textId="1D974121">
      <w:pPr>
        <w:tabs>
          <w:tab w:val="left" w:pos="1440"/>
          <w:tab w:val="clear" w:pos="1483"/>
          <w:tab w:val="left" w:pos="2880"/>
          <w:tab w:val="left" w:pos="4320"/>
          <w:tab w:val="left" w:pos="5760"/>
          <w:tab w:val="left" w:pos="7200"/>
          <w:tab w:val="left" w:pos="8640"/>
        </w:tabs>
        <w:spacing w:before="240"/>
        <w:jc w:val="center"/>
      </w:pPr>
      <w:r>
        <w:t>INTRODUCTION</w:t>
      </w:r>
    </w:p>
    <w:p w:rsidR="003C186C" w:rsidP="003D3DAD" w14:paraId="79C6A738" w14:textId="35EA1B59">
      <w:pPr>
        <w:tabs>
          <w:tab w:val="left" w:pos="1440"/>
          <w:tab w:val="clear" w:pos="1483"/>
          <w:tab w:val="left" w:pos="2880"/>
          <w:tab w:val="left" w:pos="4320"/>
          <w:tab w:val="left" w:pos="5760"/>
          <w:tab w:val="left" w:pos="7200"/>
          <w:tab w:val="left" w:pos="8640"/>
        </w:tabs>
        <w:ind w:firstLine="1440"/>
      </w:pPr>
      <w:r w:rsidRPr="003C186C">
        <w:t xml:space="preserve">Defendant </w:t>
      </w:r>
      <w:r>
        <w:t xml:space="preserve">Jose Luis Saavedra </w:t>
      </w:r>
      <w:r w:rsidRPr="003C186C">
        <w:t>appeals from an order denying h</w:t>
      </w:r>
      <w:r>
        <w:t>is</w:t>
      </w:r>
      <w:r w:rsidRPr="003C186C">
        <w:t xml:space="preserve"> petition for resentencing pursuant to Penal Code former section 1170.95 (now Pen. Code, §</w:t>
      </w:r>
      <w:r w:rsidR="00D66760">
        <w:t> </w:t>
      </w:r>
      <w:r w:rsidRPr="003C186C">
        <w:t>1172.6).</w:t>
      </w:r>
      <w:r>
        <w:rPr>
          <w:rStyle w:val="FootnoteReference"/>
          <w:sz w:val="26"/>
          <w:szCs w:val="26"/>
        </w:rPr>
        <w:footnoteReference w:id="2"/>
      </w:r>
      <w:r w:rsidRPr="000F5DC3">
        <w:t xml:space="preserve"> </w:t>
      </w:r>
      <w:r>
        <w:t xml:space="preserve"> He contends </w:t>
      </w:r>
      <w:r w:rsidR="002C5F84">
        <w:t>he</w:t>
      </w:r>
      <w:r w:rsidR="00DA2A57">
        <w:t xml:space="preserve"> made a prima </w:t>
      </w:r>
      <w:r w:rsidR="00D66760">
        <w:t xml:space="preserve">facie </w:t>
      </w:r>
      <w:r w:rsidR="00DA2A57">
        <w:t xml:space="preserve">claim for relief </w:t>
      </w:r>
      <w:r w:rsidR="002C5F84">
        <w:t xml:space="preserve">and, therefore, </w:t>
      </w:r>
      <w:r w:rsidR="00263764">
        <w:t xml:space="preserve">the </w:t>
      </w:r>
      <w:r>
        <w:t xml:space="preserve">trial court erred by </w:t>
      </w:r>
      <w:r w:rsidR="00263764">
        <w:t xml:space="preserve">not issuing an order to show cause and conducting an evidentiary hearing.  </w:t>
      </w:r>
      <w:r w:rsidR="00770E5A">
        <w:t xml:space="preserve">We </w:t>
      </w:r>
      <w:r w:rsidR="002C5F84">
        <w:t xml:space="preserve">affirm because, we </w:t>
      </w:r>
      <w:r w:rsidR="00770E5A">
        <w:t>conclude</w:t>
      </w:r>
      <w:r w:rsidR="002C5F84">
        <w:t>,</w:t>
      </w:r>
      <w:r w:rsidR="00770E5A">
        <w:t xml:space="preserve"> </w:t>
      </w:r>
      <w:r w:rsidR="002C5F84">
        <w:t xml:space="preserve">the factual basis for </w:t>
      </w:r>
      <w:r w:rsidR="00770E5A">
        <w:t>Saavedra</w:t>
      </w:r>
      <w:r w:rsidR="004201AA">
        <w:t>’</w:t>
      </w:r>
      <w:r w:rsidR="00770E5A">
        <w:t>s guilty plea establishes as a matter of law</w:t>
      </w:r>
      <w:r w:rsidR="002C5F84">
        <w:t xml:space="preserve"> that</w:t>
      </w:r>
      <w:r w:rsidR="00770E5A">
        <w:t xml:space="preserve"> Saavedra is ineligible for relief. </w:t>
      </w:r>
    </w:p>
    <w:p w:rsidR="0090723A" w:rsidP="003D3DAD" w14:paraId="7127FC3F" w14:textId="77777777">
      <w:pPr>
        <w:tabs>
          <w:tab w:val="left" w:pos="1440"/>
          <w:tab w:val="clear" w:pos="1483"/>
          <w:tab w:val="left" w:pos="2880"/>
          <w:tab w:val="left" w:pos="4320"/>
          <w:tab w:val="left" w:pos="5760"/>
          <w:tab w:val="left" w:pos="7200"/>
          <w:tab w:val="left" w:pos="8640"/>
        </w:tabs>
        <w:ind w:firstLine="1440"/>
      </w:pPr>
    </w:p>
    <w:p w:rsidR="003C186C" w:rsidP="003C186C" w14:paraId="0C3DDD03" w14:textId="1499EB36">
      <w:pPr>
        <w:tabs>
          <w:tab w:val="left" w:pos="1440"/>
          <w:tab w:val="clear" w:pos="1483"/>
          <w:tab w:val="left" w:pos="2880"/>
          <w:tab w:val="left" w:pos="4320"/>
          <w:tab w:val="left" w:pos="5760"/>
          <w:tab w:val="left" w:pos="7200"/>
          <w:tab w:val="left" w:pos="8640"/>
        </w:tabs>
        <w:jc w:val="center"/>
      </w:pPr>
      <w:r>
        <w:t>FACTS</w:t>
      </w:r>
    </w:p>
    <w:p w:rsidR="0054370E" w:rsidP="003D3DAD" w14:paraId="7AD72257" w14:textId="3229233D">
      <w:pPr>
        <w:tabs>
          <w:tab w:val="left" w:pos="1440"/>
          <w:tab w:val="clear" w:pos="1483"/>
          <w:tab w:val="left" w:pos="2880"/>
          <w:tab w:val="left" w:pos="4320"/>
          <w:tab w:val="left" w:pos="5760"/>
          <w:tab w:val="left" w:pos="7200"/>
          <w:tab w:val="left" w:pos="8640"/>
        </w:tabs>
        <w:ind w:firstLine="1440"/>
      </w:pPr>
      <w:r>
        <w:t xml:space="preserve">In November 2002, Saavedra was charged with three counts of attempted deliberate premeditated murder, four counts of assault with a firearm, and one count of shooting at an occupied vehicle.  An enhancement alleged he personally discharged a firearm causing great bodily injury.  In May 2003, Saavedra entered a </w:t>
      </w:r>
      <w:r w:rsidR="00B82264">
        <w:t>guilty plea</w:t>
      </w:r>
      <w:r>
        <w:t xml:space="preserve">.  Saavedra offered this factual basis for his plea:  </w:t>
      </w:r>
      <w:r w:rsidR="004201AA">
        <w:t>“</w:t>
      </w:r>
      <w:r w:rsidR="001D3E9A">
        <w:t>On June 23, 20</w:t>
      </w:r>
      <w:r w:rsidR="002C5F84">
        <w:t>0</w:t>
      </w:r>
      <w:r w:rsidR="001D3E9A">
        <w:t>2 in Orange County, I willfully, unlawfully an</w:t>
      </w:r>
      <w:r w:rsidR="002C5F84">
        <w:t>d</w:t>
      </w:r>
      <w:r w:rsidR="001D3E9A">
        <w:t xml:space="preserve"> with malice aforethought attempted to murder </w:t>
      </w:r>
      <w:r w:rsidR="00D24B48">
        <w:t>[</w:t>
      </w:r>
      <w:r w:rsidR="004F2835">
        <w:t>three</w:t>
      </w:r>
      <w:r w:rsidR="00D91955">
        <w:t xml:space="preserve">] </w:t>
      </w:r>
      <w:r w:rsidR="001D3E9A">
        <w:t xml:space="preserve">human beings, by personally discharging a firearm at the vehicle </w:t>
      </w:r>
      <w:r w:rsidR="00D91955">
        <w:t>[they]</w:t>
      </w:r>
      <w:r w:rsidR="00D2384C">
        <w:t xml:space="preserve"> were occupying, within the meaning of</w:t>
      </w:r>
      <w:r w:rsidR="00D91955">
        <w:t> . . . </w:t>
      </w:r>
      <w:r w:rsidR="00D2384C">
        <w:t>Section 12022.53</w:t>
      </w:r>
      <w:r w:rsidR="00D91955">
        <w:t>[ subdivision</w:t>
      </w:r>
      <w:r w:rsidR="00D2384C">
        <w:t>(c)</w:t>
      </w:r>
      <w:r w:rsidR="00D91955">
        <w:t>]</w:t>
      </w:r>
      <w:r w:rsidR="00D2384C">
        <w:t>.</w:t>
      </w:r>
      <w:r w:rsidR="004201AA">
        <w:t>”</w:t>
      </w:r>
      <w:r w:rsidR="00D2384C">
        <w:t xml:space="preserve">  </w:t>
      </w:r>
    </w:p>
    <w:p w:rsidR="00DA2A57" w:rsidP="003D3DAD" w14:paraId="0763BBAA" w14:textId="1080599A">
      <w:pPr>
        <w:tabs>
          <w:tab w:val="left" w:pos="1440"/>
          <w:tab w:val="clear" w:pos="1483"/>
          <w:tab w:val="left" w:pos="2880"/>
          <w:tab w:val="left" w:pos="4320"/>
          <w:tab w:val="left" w:pos="5760"/>
          <w:tab w:val="left" w:pos="7200"/>
          <w:tab w:val="left" w:pos="8640"/>
        </w:tabs>
        <w:ind w:firstLine="1440"/>
      </w:pPr>
      <w:r>
        <w:t xml:space="preserve">The trial court sentenced Saavedra to </w:t>
      </w:r>
      <w:r w:rsidR="002C4093">
        <w:t>the upper term of nine years for each of the counts for attempted murder, with the terms to run concurrently, and a consecutive term of 20 years o</w:t>
      </w:r>
      <w:r w:rsidR="00D91955">
        <w:t>n</w:t>
      </w:r>
      <w:r w:rsidR="002C4093">
        <w:t xml:space="preserve"> the personal discharge of </w:t>
      </w:r>
      <w:r w:rsidR="00455291">
        <w:t xml:space="preserve">a </w:t>
      </w:r>
      <w:r w:rsidR="002C4093">
        <w:t>firearm enhancement connected to count</w:t>
      </w:r>
      <w:r w:rsidR="00B82264">
        <w:t> </w:t>
      </w:r>
      <w:r w:rsidR="002C4093">
        <w:t xml:space="preserve">1.  </w:t>
      </w:r>
    </w:p>
    <w:p w:rsidR="00F4574D" w:rsidP="003D3DAD" w14:paraId="0E4FD07F" w14:textId="10129746">
      <w:pPr>
        <w:tabs>
          <w:tab w:val="left" w:pos="1440"/>
          <w:tab w:val="clear" w:pos="1483"/>
          <w:tab w:val="left" w:pos="2880"/>
          <w:tab w:val="left" w:pos="4320"/>
          <w:tab w:val="left" w:pos="5760"/>
          <w:tab w:val="left" w:pos="7200"/>
          <w:tab w:val="left" w:pos="8640"/>
        </w:tabs>
        <w:ind w:firstLine="1440"/>
      </w:pPr>
      <w:r>
        <w:t xml:space="preserve">In early 2022, Saavedra filed his petition for resentencing under section 1172.6.  The court appointed counsel to represent him.  In response to the petition, the </w:t>
      </w:r>
      <w:r>
        <w:t xml:space="preserve">district attorney submitted the plea form, the abstract of judgment, the transcript from the preliminary hearing, and the information.  </w:t>
      </w:r>
    </w:p>
    <w:p w:rsidR="004B3CF9" w:rsidP="003D3DAD" w14:paraId="57AA9C64" w14:textId="2B932741">
      <w:pPr>
        <w:tabs>
          <w:tab w:val="left" w:pos="1440"/>
          <w:tab w:val="clear" w:pos="1483"/>
          <w:tab w:val="left" w:pos="2880"/>
          <w:tab w:val="left" w:pos="4320"/>
          <w:tab w:val="left" w:pos="5760"/>
          <w:tab w:val="left" w:pos="7200"/>
          <w:tab w:val="left" w:pos="8640"/>
        </w:tabs>
        <w:ind w:firstLine="1440"/>
      </w:pPr>
      <w:r>
        <w:t xml:space="preserve">The trial court conducted a hearing to determine whether to issue an order to show cause.  After hearing argument from counsel, the court </w:t>
      </w:r>
      <w:r w:rsidR="00214D2D">
        <w:t xml:space="preserve">denied the petition without issuing an order to show cause.  The court concluded Saavedra failed to make a prima facie showing of eligibility for relief:  </w:t>
      </w:r>
      <w:r w:rsidR="004201AA">
        <w:t>“</w:t>
      </w:r>
      <w:r w:rsidR="00214D2D">
        <w:t xml:space="preserve">The factual basis </w:t>
      </w:r>
      <w:r w:rsidR="00B02238">
        <w:t xml:space="preserve">of </w:t>
      </w:r>
      <w:r w:rsidR="00214D2D">
        <w:t xml:space="preserve">the plea form is very specific.  He is the actual shooter.  And he specifically indicates that he attempted to murder three people and </w:t>
      </w:r>
      <w:r w:rsidR="004201AA">
        <w:t>‘</w:t>
      </w:r>
      <w:r w:rsidR="00214D2D">
        <w:t>by</w:t>
      </w:r>
      <w:r w:rsidR="00B02238">
        <w:t>,</w:t>
      </w:r>
      <w:r w:rsidR="004201AA">
        <w:t>’</w:t>
      </w:r>
      <w:r w:rsidR="00214D2D">
        <w:t xml:space="preserve"> is the key word, by personally discharging a firearm at them.</w:t>
      </w:r>
      <w:r w:rsidR="004201AA">
        <w:t>”</w:t>
      </w:r>
      <w:r w:rsidR="00214D2D">
        <w:t xml:space="preserve">  </w:t>
      </w:r>
    </w:p>
    <w:p w:rsidR="0090723A" w:rsidP="00F4574D" w14:paraId="26B940C3" w14:textId="77777777">
      <w:pPr>
        <w:tabs>
          <w:tab w:val="left" w:pos="1440"/>
          <w:tab w:val="clear" w:pos="1483"/>
          <w:tab w:val="left" w:pos="2880"/>
          <w:tab w:val="left" w:pos="4320"/>
          <w:tab w:val="left" w:pos="5760"/>
          <w:tab w:val="left" w:pos="7200"/>
          <w:tab w:val="left" w:pos="8640"/>
        </w:tabs>
        <w:jc w:val="center"/>
      </w:pPr>
    </w:p>
    <w:p w:rsidR="00F4574D" w:rsidP="00F4574D" w14:paraId="737E0694" w14:textId="2604F1B4">
      <w:pPr>
        <w:tabs>
          <w:tab w:val="left" w:pos="1440"/>
          <w:tab w:val="clear" w:pos="1483"/>
          <w:tab w:val="left" w:pos="2880"/>
          <w:tab w:val="left" w:pos="4320"/>
          <w:tab w:val="left" w:pos="5760"/>
          <w:tab w:val="left" w:pos="7200"/>
          <w:tab w:val="left" w:pos="8640"/>
        </w:tabs>
        <w:jc w:val="center"/>
      </w:pPr>
      <w:r>
        <w:t>DISCUSSION</w:t>
      </w:r>
    </w:p>
    <w:p w:rsidR="00F4574D" w:rsidP="003D3DAD" w14:paraId="05310D41" w14:textId="1FC42B5F">
      <w:pPr>
        <w:tabs>
          <w:tab w:val="left" w:pos="1440"/>
          <w:tab w:val="clear" w:pos="1483"/>
          <w:tab w:val="left" w:pos="2880"/>
          <w:tab w:val="left" w:pos="4320"/>
          <w:tab w:val="left" w:pos="5760"/>
          <w:tab w:val="left" w:pos="7200"/>
          <w:tab w:val="left" w:pos="8640"/>
        </w:tabs>
        <w:ind w:firstLine="1440"/>
      </w:pPr>
      <w:r>
        <w:rPr>
          <w:szCs w:val="26"/>
          <w:shd w:val="clear" w:color="auto" w:fill="FFFFFF"/>
        </w:rPr>
        <w:t xml:space="preserve">The trial court denied </w:t>
      </w:r>
      <w:r w:rsidR="00B02238">
        <w:t>Saavedra</w:t>
      </w:r>
      <w:r w:rsidR="004201AA">
        <w:rPr>
          <w:szCs w:val="26"/>
          <w:shd w:val="clear" w:color="auto" w:fill="FFFFFF"/>
        </w:rPr>
        <w:t>’</w:t>
      </w:r>
      <w:r>
        <w:rPr>
          <w:szCs w:val="26"/>
          <w:shd w:val="clear" w:color="auto" w:fill="FFFFFF"/>
        </w:rPr>
        <w:t xml:space="preserve">s resentencing petition on the ground </w:t>
      </w:r>
      <w:r w:rsidR="00B02238">
        <w:t>Saavedra</w:t>
      </w:r>
      <w:r>
        <w:t xml:space="preserve"> </w:t>
      </w:r>
      <w:r>
        <w:rPr>
          <w:szCs w:val="26"/>
          <w:shd w:val="clear" w:color="auto" w:fill="FFFFFF"/>
        </w:rPr>
        <w:t xml:space="preserve">failed to make a prima facie case for resentencing relief.  </w:t>
      </w:r>
      <w:r w:rsidR="004201AA">
        <w:rPr>
          <w:szCs w:val="26"/>
          <w:shd w:val="clear" w:color="auto" w:fill="FFFFFF"/>
        </w:rPr>
        <w:t>“‘</w:t>
      </w:r>
      <w:r w:rsidRPr="007B160A">
        <w:rPr>
          <w:szCs w:val="26"/>
          <w:shd w:val="clear" w:color="auto" w:fill="FFFFFF"/>
        </w:rPr>
        <w:t xml:space="preserve">A denial at that stage is appropriate only if the record of conviction demonstrates that </w:t>
      </w:r>
      <w:r w:rsidR="004201AA">
        <w:rPr>
          <w:szCs w:val="26"/>
          <w:shd w:val="clear" w:color="auto" w:fill="FFFFFF"/>
        </w:rPr>
        <w:t>“</w:t>
      </w:r>
      <w:r w:rsidRPr="007B160A">
        <w:rPr>
          <w:szCs w:val="26"/>
          <w:shd w:val="clear" w:color="auto" w:fill="FFFFFF"/>
        </w:rPr>
        <w:t>the petitioner is ineligible for relief as a matter of law.</w:t>
      </w:r>
      <w:r w:rsidR="004201AA">
        <w:rPr>
          <w:szCs w:val="26"/>
          <w:shd w:val="clear" w:color="auto" w:fill="FFFFFF"/>
        </w:rPr>
        <w:t>”</w:t>
      </w:r>
      <w:r>
        <w:rPr>
          <w:szCs w:val="26"/>
          <w:shd w:val="clear" w:color="auto" w:fill="FFFFFF"/>
        </w:rPr>
        <w:t xml:space="preserve"> </w:t>
      </w:r>
      <w:r w:rsidRPr="007B160A">
        <w:rPr>
          <w:szCs w:val="26"/>
          <w:shd w:val="clear" w:color="auto" w:fill="FFFFFF"/>
        </w:rPr>
        <w:t xml:space="preserve"> [Citations.] </w:t>
      </w:r>
      <w:r>
        <w:rPr>
          <w:szCs w:val="26"/>
          <w:shd w:val="clear" w:color="auto" w:fill="FFFFFF"/>
        </w:rPr>
        <w:t xml:space="preserve"> </w:t>
      </w:r>
      <w:r w:rsidRPr="007B160A">
        <w:rPr>
          <w:szCs w:val="26"/>
          <w:shd w:val="clear" w:color="auto" w:fill="FFFFFF"/>
        </w:rPr>
        <w:t>This is a purely legal conclusion, which we review de novo.</w:t>
      </w:r>
      <w:r w:rsidR="004201AA">
        <w:rPr>
          <w:szCs w:val="26"/>
          <w:shd w:val="clear" w:color="auto" w:fill="FFFFFF"/>
        </w:rPr>
        <w:t>’”</w:t>
      </w:r>
      <w:r>
        <w:rPr>
          <w:szCs w:val="26"/>
          <w:shd w:val="clear" w:color="auto" w:fill="FFFFFF"/>
        </w:rPr>
        <w:t xml:space="preserve">  (</w:t>
      </w:r>
      <w:r w:rsidRPr="00164096">
        <w:rPr>
          <w:i/>
          <w:iCs/>
        </w:rPr>
        <w:t>People v. Ervin</w:t>
      </w:r>
      <w:r w:rsidR="00A33E10">
        <w:rPr>
          <w:i/>
          <w:iCs/>
        </w:rPr>
        <w:t xml:space="preserve"> </w:t>
      </w:r>
      <w:r w:rsidR="00A33E10">
        <w:t>(202</w:t>
      </w:r>
      <w:r w:rsidR="00B02238">
        <w:t>1</w:t>
      </w:r>
      <w:r w:rsidR="00A33E10">
        <w:t>)</w:t>
      </w:r>
      <w:r>
        <w:t xml:space="preserve"> 72 Cal.App.5th </w:t>
      </w:r>
      <w:r w:rsidR="00A33E10">
        <w:t>90,</w:t>
      </w:r>
      <w:r>
        <w:t xml:space="preserve"> 101.)</w:t>
      </w:r>
    </w:p>
    <w:p w:rsidR="00F4574D" w:rsidP="003D3DAD" w14:paraId="45D628BE" w14:textId="04B71C10">
      <w:pPr>
        <w:tabs>
          <w:tab w:val="left" w:pos="1440"/>
          <w:tab w:val="clear" w:pos="1483"/>
          <w:tab w:val="left" w:pos="2880"/>
          <w:tab w:val="left" w:pos="4320"/>
          <w:tab w:val="left" w:pos="5760"/>
          <w:tab w:val="left" w:pos="7200"/>
          <w:tab w:val="left" w:pos="8640"/>
        </w:tabs>
        <w:ind w:firstLine="1440"/>
      </w:pPr>
      <w:r w:rsidRPr="00263764">
        <w:t xml:space="preserve">Relief under section 1172.6 is restricted to those convicted of murder </w:t>
      </w:r>
      <w:r>
        <w:t xml:space="preserve">or attempted murder </w:t>
      </w:r>
      <w:r w:rsidR="004201AA">
        <w:t>“</w:t>
      </w:r>
      <w:r w:rsidRPr="00263764">
        <w:t>under a theory of felony murder, murder under the natural and probable consequences doctrine or other theory under which malice is imputed to a person based solely on that person</w:t>
      </w:r>
      <w:r w:rsidR="004201AA">
        <w:t>’</w:t>
      </w:r>
      <w:r w:rsidRPr="00263764">
        <w:t>s participation in a crime</w:t>
      </w:r>
      <w:r w:rsidR="00B02238">
        <w:t>.</w:t>
      </w:r>
      <w:r w:rsidR="004201AA">
        <w:t>”</w:t>
      </w:r>
      <w:r>
        <w:t xml:space="preserve">  </w:t>
      </w:r>
      <w:r w:rsidRPr="00263764">
        <w:t>(§</w:t>
      </w:r>
      <w:r>
        <w:t> </w:t>
      </w:r>
      <w:r w:rsidRPr="00263764">
        <w:t xml:space="preserve">1172.6, subd. (a)(1).) </w:t>
      </w:r>
      <w:r>
        <w:t xml:space="preserve"> Thus, </w:t>
      </w:r>
      <w:r w:rsidR="00617699">
        <w:rPr>
          <w:szCs w:val="26"/>
          <w:shd w:val="clear" w:color="auto" w:fill="FFFFFF"/>
        </w:rPr>
        <w:t xml:space="preserve">Saavedra would be </w:t>
      </w:r>
      <w:r>
        <w:rPr>
          <w:szCs w:val="26"/>
          <w:shd w:val="clear" w:color="auto" w:fill="FFFFFF"/>
        </w:rPr>
        <w:t>ineligible for resentencing as a matter of law if the record of conviction conclusively establishes, with no factfinding, weighing of evidence, or credibility determinations, that (1) </w:t>
      </w:r>
      <w:r w:rsidR="00617699">
        <w:rPr>
          <w:szCs w:val="26"/>
          <w:shd w:val="clear" w:color="auto" w:fill="FFFFFF"/>
        </w:rPr>
        <w:t>he</w:t>
      </w:r>
      <w:r>
        <w:rPr>
          <w:szCs w:val="26"/>
          <w:shd w:val="clear" w:color="auto" w:fill="FFFFFF"/>
        </w:rPr>
        <w:t xml:space="preserve"> </w:t>
      </w:r>
      <w:r w:rsidRPr="007B160A">
        <w:t>actual</w:t>
      </w:r>
      <w:r w:rsidR="002C5F84">
        <w:t>ly</w:t>
      </w:r>
      <w:r w:rsidRPr="007B160A">
        <w:t xml:space="preserve"> </w:t>
      </w:r>
      <w:r w:rsidR="00617699">
        <w:t xml:space="preserve">attempted </w:t>
      </w:r>
      <w:r>
        <w:t>to kill the victims</w:t>
      </w:r>
      <w:r w:rsidRPr="007B160A">
        <w:t>,</w:t>
      </w:r>
      <w:r>
        <w:t xml:space="preserve"> or (2) </w:t>
      </w:r>
      <w:r w:rsidR="00617699">
        <w:t xml:space="preserve">he </w:t>
      </w:r>
      <w:r>
        <w:t xml:space="preserve">did not actually attempt to kill the victims </w:t>
      </w:r>
      <w:r w:rsidRPr="003C0A2C">
        <w:rPr>
          <w:szCs w:val="26"/>
        </w:rPr>
        <w:t>but, with the intent to kill, aided, abetted, counseled, commanded, induced, solicited, requested, or assisted the actual</w:t>
      </w:r>
      <w:r w:rsidR="00617699">
        <w:rPr>
          <w:szCs w:val="26"/>
        </w:rPr>
        <w:t xml:space="preserve"> </w:t>
      </w:r>
      <w:r w:rsidRPr="003C0A2C">
        <w:rPr>
          <w:szCs w:val="26"/>
        </w:rPr>
        <w:t xml:space="preserve">killer in the commission of </w:t>
      </w:r>
      <w:r w:rsidR="00617699">
        <w:rPr>
          <w:szCs w:val="26"/>
        </w:rPr>
        <w:t xml:space="preserve">attempted </w:t>
      </w:r>
      <w:r w:rsidRPr="003C0A2C">
        <w:rPr>
          <w:szCs w:val="26"/>
        </w:rPr>
        <w:t>murder</w:t>
      </w:r>
      <w:r>
        <w:rPr>
          <w:szCs w:val="26"/>
        </w:rPr>
        <w:t>, (</w:t>
      </w:r>
      <w:r w:rsidRPr="003C0A2C">
        <w:rPr>
          <w:szCs w:val="26"/>
        </w:rPr>
        <w:t>3)</w:t>
      </w:r>
      <w:r>
        <w:rPr>
          <w:szCs w:val="26"/>
        </w:rPr>
        <w:t> </w:t>
      </w:r>
      <w:r w:rsidRPr="003C0A2C">
        <w:rPr>
          <w:szCs w:val="26"/>
        </w:rPr>
        <w:t>he was a major participant in the underlying felony and acted with reckless indifference to human life</w:t>
      </w:r>
      <w:r>
        <w:rPr>
          <w:szCs w:val="26"/>
        </w:rPr>
        <w:t>, or (4) he acted</w:t>
      </w:r>
      <w:r w:rsidRPr="00253BAC">
        <w:rPr>
          <w:szCs w:val="26"/>
        </w:rPr>
        <w:t xml:space="preserve"> with malice aforethought</w:t>
      </w:r>
      <w:r>
        <w:rPr>
          <w:szCs w:val="26"/>
        </w:rPr>
        <w:t xml:space="preserve"> that was not </w:t>
      </w:r>
      <w:r w:rsidRPr="00253BAC">
        <w:rPr>
          <w:szCs w:val="26"/>
        </w:rPr>
        <w:t xml:space="preserve">imputed based solely </w:t>
      </w:r>
      <w:r>
        <w:rPr>
          <w:szCs w:val="26"/>
        </w:rPr>
        <w:t xml:space="preserve">on </w:t>
      </w:r>
      <w:r w:rsidRPr="00253BAC">
        <w:rPr>
          <w:szCs w:val="26"/>
        </w:rPr>
        <w:t>participation in a crime</w:t>
      </w:r>
      <w:r w:rsidRPr="007B160A">
        <w:t xml:space="preserve">. </w:t>
      </w:r>
      <w:r>
        <w:t xml:space="preserve"> </w:t>
      </w:r>
      <w:r w:rsidRPr="007B160A">
        <w:t>(</w:t>
      </w:r>
      <w:r>
        <w:t>§</w:t>
      </w:r>
      <w:r w:rsidRPr="007B160A">
        <w:t>§</w:t>
      </w:r>
      <w:r>
        <w:t> </w:t>
      </w:r>
      <w:r w:rsidRPr="007B160A">
        <w:t>188, subd. (a)(3), 189</w:t>
      </w:r>
      <w:r w:rsidR="00B82264">
        <w:t xml:space="preserve">, subd. </w:t>
      </w:r>
      <w:r w:rsidR="000D07E3">
        <w:t>(e)</w:t>
      </w:r>
      <w:r>
        <w:t xml:space="preserve">; </w:t>
      </w:r>
      <w:r w:rsidRPr="007B160A">
        <w:t xml:space="preserve">see </w:t>
      </w:r>
      <w:r w:rsidR="00424C1A">
        <w:rPr>
          <w:i/>
          <w:iCs/>
        </w:rPr>
        <w:t xml:space="preserve">People v. </w:t>
      </w:r>
      <w:r>
        <w:rPr>
          <w:i/>
          <w:iCs/>
        </w:rPr>
        <w:t>Lewis</w:t>
      </w:r>
      <w:r w:rsidR="00424C1A">
        <w:rPr>
          <w:i/>
          <w:iCs/>
        </w:rPr>
        <w:t xml:space="preserve"> </w:t>
      </w:r>
      <w:r w:rsidR="00424C1A">
        <w:t>(2021)</w:t>
      </w:r>
      <w:r>
        <w:rPr>
          <w:i/>
          <w:iCs/>
        </w:rPr>
        <w:t xml:space="preserve"> </w:t>
      </w:r>
      <w:r>
        <w:t xml:space="preserve">11 Cal.5th at </w:t>
      </w:r>
      <w:r w:rsidR="00424C1A">
        <w:t xml:space="preserve">952, </w:t>
      </w:r>
      <w:r>
        <w:t>971</w:t>
      </w:r>
      <w:r w:rsidR="00B02238">
        <w:t xml:space="preserve"> (</w:t>
      </w:r>
      <w:r w:rsidRPr="00B02238" w:rsidR="00B02238">
        <w:rPr>
          <w:i/>
          <w:iCs/>
        </w:rPr>
        <w:t>Lewis</w:t>
      </w:r>
      <w:r w:rsidR="00B02238">
        <w:t>)</w:t>
      </w:r>
      <w:r w:rsidR="00424C1A">
        <w:t>.)</w:t>
      </w:r>
      <w:r>
        <w:t xml:space="preserve"> </w:t>
      </w:r>
    </w:p>
    <w:p w:rsidR="00617699" w:rsidP="003D3DAD" w14:paraId="79A3D336" w14:textId="0C018290">
      <w:pPr>
        <w:tabs>
          <w:tab w:val="left" w:pos="1440"/>
          <w:tab w:val="clear" w:pos="1483"/>
          <w:tab w:val="left" w:pos="2880"/>
          <w:tab w:val="left" w:pos="4320"/>
          <w:tab w:val="left" w:pos="5760"/>
          <w:tab w:val="left" w:pos="7200"/>
          <w:tab w:val="left" w:pos="8640"/>
        </w:tabs>
        <w:ind w:firstLine="1440"/>
        <w:rPr>
          <w:szCs w:val="26"/>
        </w:rPr>
      </w:pPr>
      <w:r>
        <w:t xml:space="preserve">Because counsel </w:t>
      </w:r>
      <w:r w:rsidR="00B82264">
        <w:t xml:space="preserve">was </w:t>
      </w:r>
      <w:r>
        <w:t xml:space="preserve">appointed, and the parties were given the opportunity for briefing, the trial </w:t>
      </w:r>
      <w:r w:rsidRPr="00E12720">
        <w:rPr>
          <w:szCs w:val="26"/>
        </w:rPr>
        <w:t>court</w:t>
      </w:r>
      <w:r>
        <w:rPr>
          <w:szCs w:val="26"/>
        </w:rPr>
        <w:t xml:space="preserve"> could</w:t>
      </w:r>
      <w:r w:rsidRPr="00E12720">
        <w:rPr>
          <w:szCs w:val="26"/>
        </w:rPr>
        <w:t xml:space="preserve"> </w:t>
      </w:r>
      <w:r>
        <w:rPr>
          <w:szCs w:val="26"/>
        </w:rPr>
        <w:t>rely on the record of conviction to determine whether Saavedra made a prima facie case for relief under section 117</w:t>
      </w:r>
      <w:r w:rsidR="00B82264">
        <w:rPr>
          <w:szCs w:val="26"/>
        </w:rPr>
        <w:t>2</w:t>
      </w:r>
      <w:r>
        <w:rPr>
          <w:szCs w:val="26"/>
        </w:rPr>
        <w:t>.</w:t>
      </w:r>
      <w:r w:rsidR="00B82264">
        <w:rPr>
          <w:szCs w:val="26"/>
        </w:rPr>
        <w:t>6</w:t>
      </w:r>
      <w:r>
        <w:rPr>
          <w:szCs w:val="26"/>
        </w:rPr>
        <w:t>.  (</w:t>
      </w:r>
      <w:r>
        <w:rPr>
          <w:i/>
          <w:iCs/>
          <w:szCs w:val="26"/>
        </w:rPr>
        <w:t>Lewis, supra</w:t>
      </w:r>
      <w:r>
        <w:rPr>
          <w:szCs w:val="26"/>
        </w:rPr>
        <w:t xml:space="preserve">, 11 Cal.5th at p. 957.)  </w:t>
      </w:r>
      <w:r w:rsidR="004201AA">
        <w:rPr>
          <w:rStyle w:val="ssrfcpassagedeactivated"/>
          <w:szCs w:val="26"/>
          <w:bdr w:val="none" w:sz="0" w:space="0" w:color="auto" w:frame="1"/>
        </w:rPr>
        <w:t>“</w:t>
      </w:r>
      <w:r w:rsidRPr="00A441B7">
        <w:rPr>
          <w:rStyle w:val="ssrfcpassagedeactivated"/>
          <w:szCs w:val="26"/>
          <w:bdr w:val="none" w:sz="0" w:space="0" w:color="auto" w:frame="1"/>
        </w:rPr>
        <w:t>The record of conviction will necessarily inform the trial court</w:t>
      </w:r>
      <w:r w:rsidR="004201AA">
        <w:rPr>
          <w:rStyle w:val="ssrfcpassagedeactivated"/>
          <w:szCs w:val="26"/>
          <w:bdr w:val="none" w:sz="0" w:space="0" w:color="auto" w:frame="1"/>
        </w:rPr>
        <w:t>’</w:t>
      </w:r>
      <w:r w:rsidRPr="00A441B7">
        <w:rPr>
          <w:rStyle w:val="ssrfcpassagedeactivated"/>
          <w:szCs w:val="26"/>
          <w:bdr w:val="none" w:sz="0" w:space="0" w:color="auto" w:frame="1"/>
        </w:rPr>
        <w:t xml:space="preserve">s prima facie inquiry under section </w:t>
      </w:r>
      <w:r w:rsidR="00B82264">
        <w:rPr>
          <w:rStyle w:val="ssrfcpassagedeactivated"/>
          <w:szCs w:val="26"/>
          <w:bdr w:val="none" w:sz="0" w:space="0" w:color="auto" w:frame="1"/>
        </w:rPr>
        <w:t>[</w:t>
      </w:r>
      <w:r w:rsidRPr="00A441B7">
        <w:rPr>
          <w:rStyle w:val="ssrfcpassagedeactivated"/>
          <w:szCs w:val="26"/>
          <w:bdr w:val="none" w:sz="0" w:space="0" w:color="auto" w:frame="1"/>
        </w:rPr>
        <w:t>11</w:t>
      </w:r>
      <w:r w:rsidR="00B82264">
        <w:rPr>
          <w:rStyle w:val="ssrfcpassagedeactivated"/>
          <w:szCs w:val="26"/>
          <w:bdr w:val="none" w:sz="0" w:space="0" w:color="auto" w:frame="1"/>
        </w:rPr>
        <w:t>72.6]</w:t>
      </w:r>
      <w:r w:rsidRPr="00A441B7">
        <w:rPr>
          <w:rStyle w:val="ssrfcpassagedeactivated"/>
          <w:szCs w:val="26"/>
          <w:bdr w:val="none" w:sz="0" w:space="0" w:color="auto" w:frame="1"/>
        </w:rPr>
        <w:t>, allowing the court to distinguish petitions with potential merit from those that are clearly meritless.</w:t>
      </w:r>
      <w:r w:rsidR="004201AA">
        <w:rPr>
          <w:rStyle w:val="ssrfcpassagedeactivated"/>
          <w:szCs w:val="26"/>
          <w:bdr w:val="none" w:sz="0" w:space="0" w:color="auto" w:frame="1"/>
        </w:rPr>
        <w:t>”</w:t>
      </w:r>
      <w:r>
        <w:rPr>
          <w:rStyle w:val="ssrfcpassagedeactivated"/>
          <w:szCs w:val="26"/>
          <w:bdr w:val="none" w:sz="0" w:space="0" w:color="auto" w:frame="1"/>
        </w:rPr>
        <w:t xml:space="preserve"> </w:t>
      </w:r>
      <w:r w:rsidRPr="00A441B7">
        <w:rPr>
          <w:rStyle w:val="ssrfcpassagedeactivated"/>
          <w:szCs w:val="26"/>
          <w:bdr w:val="none" w:sz="0" w:space="0" w:color="auto" w:frame="1"/>
        </w:rPr>
        <w:t xml:space="preserve"> </w:t>
      </w:r>
      <w:r>
        <w:rPr>
          <w:szCs w:val="26"/>
        </w:rPr>
        <w:t>(</w:t>
      </w:r>
      <w:r>
        <w:rPr>
          <w:i/>
          <w:szCs w:val="26"/>
        </w:rPr>
        <w:t xml:space="preserve">Id. </w:t>
      </w:r>
      <w:r>
        <w:rPr>
          <w:iCs/>
          <w:szCs w:val="26"/>
        </w:rPr>
        <w:t>at p. 971</w:t>
      </w:r>
      <w:r>
        <w:rPr>
          <w:szCs w:val="26"/>
        </w:rPr>
        <w:t xml:space="preserve">.)  </w:t>
      </w:r>
    </w:p>
    <w:p w:rsidR="00432055" w:rsidP="003D3DAD" w14:paraId="7976210F" w14:textId="622104FB">
      <w:pPr>
        <w:tabs>
          <w:tab w:val="left" w:pos="1440"/>
          <w:tab w:val="clear" w:pos="1483"/>
          <w:tab w:val="left" w:pos="2880"/>
          <w:tab w:val="left" w:pos="4320"/>
          <w:tab w:val="left" w:pos="5760"/>
          <w:tab w:val="left" w:pos="7200"/>
          <w:tab w:val="left" w:pos="8640"/>
        </w:tabs>
        <w:ind w:firstLine="1440"/>
      </w:pPr>
      <w:r>
        <w:t xml:space="preserve">The plea form conclusively establishes as a matter of law that Saavedra is ineligible for </w:t>
      </w:r>
      <w:r w:rsidR="00C511BC">
        <w:t>re</w:t>
      </w:r>
      <w:r>
        <w:t>sentencing under section 1172.6</w:t>
      </w:r>
      <w:r w:rsidR="00C85ED3">
        <w:t xml:space="preserve">.  As the factual basis for the plea, Saavedra </w:t>
      </w:r>
      <w:r w:rsidR="00424C1A">
        <w:t xml:space="preserve">admitted </w:t>
      </w:r>
      <w:r w:rsidR="00C85ED3">
        <w:t xml:space="preserve">he </w:t>
      </w:r>
      <w:r w:rsidR="00C511BC">
        <w:t>“</w:t>
      </w:r>
      <w:r w:rsidR="00C85ED3">
        <w:t>attempted to murder</w:t>
      </w:r>
      <w:r w:rsidR="00C511BC">
        <w:t>”</w:t>
      </w:r>
      <w:r w:rsidR="00C85ED3">
        <w:t xml:space="preserve"> the three victims </w:t>
      </w:r>
      <w:r w:rsidR="004201AA">
        <w:t>“</w:t>
      </w:r>
      <w:r w:rsidR="00C85ED3">
        <w:t>by personally discharging a firearm at the vehicle</w:t>
      </w:r>
      <w:r w:rsidR="004201AA">
        <w:t>”</w:t>
      </w:r>
      <w:r w:rsidR="00C85ED3">
        <w:t xml:space="preserve"> </w:t>
      </w:r>
      <w:r w:rsidR="00992ACE">
        <w:t>in which the victims were riding.  This factual basis establishes Saavedra was the actual shooter; that is, he actually attempted to murder the victims</w:t>
      </w:r>
      <w:r w:rsidR="002C5F84">
        <w:t xml:space="preserve"> by shooting at their vehicle</w:t>
      </w:r>
      <w:r w:rsidR="00992ACE">
        <w:t>.  As the trial court pointed</w:t>
      </w:r>
      <w:r w:rsidR="008D31A9">
        <w:t xml:space="preserve"> </w:t>
      </w:r>
      <w:r w:rsidR="000D07E3">
        <w:t>out</w:t>
      </w:r>
      <w:r w:rsidR="00992ACE">
        <w:t xml:space="preserve">, </w:t>
      </w:r>
      <w:r w:rsidR="002C5F84">
        <w:t>in the factual basis for the plea</w:t>
      </w:r>
      <w:r w:rsidR="00992ACE">
        <w:t xml:space="preserve"> Saavedra </w:t>
      </w:r>
      <w:r w:rsidR="002C5F84">
        <w:t xml:space="preserve">admitted </w:t>
      </w:r>
      <w:r w:rsidR="00992ACE">
        <w:t xml:space="preserve">he attempted to murder the victims </w:t>
      </w:r>
      <w:r w:rsidR="00992ACE">
        <w:rPr>
          <w:i/>
          <w:iCs/>
        </w:rPr>
        <w:t xml:space="preserve">by means </w:t>
      </w:r>
      <w:r w:rsidR="00992ACE">
        <w:t xml:space="preserve">of discharging a firearm into the car in which they were </w:t>
      </w:r>
      <w:r w:rsidR="000D07E3">
        <w:t>in</w:t>
      </w:r>
      <w:r w:rsidR="00992ACE">
        <w:t xml:space="preserve">.  </w:t>
      </w:r>
    </w:p>
    <w:p w:rsidR="00432055" w:rsidP="003D3DAD" w14:paraId="6E9FF5CB" w14:textId="361E4E2E">
      <w:pPr>
        <w:tabs>
          <w:tab w:val="left" w:pos="1440"/>
          <w:tab w:val="clear" w:pos="1483"/>
          <w:tab w:val="left" w:pos="2880"/>
          <w:tab w:val="left" w:pos="4320"/>
          <w:tab w:val="left" w:pos="5760"/>
          <w:tab w:val="left" w:pos="7200"/>
          <w:tab w:val="left" w:pos="8640"/>
        </w:tabs>
        <w:ind w:firstLine="1440"/>
      </w:pPr>
      <w:r>
        <w:t>T</w:t>
      </w:r>
      <w:r w:rsidR="00992ACE">
        <w:t>he factual basis for the plea cannot reasonably be construed as imposing liability under the felony murder rule because Saavedra was the one who actually attempted to murder the victims</w:t>
      </w:r>
      <w:r w:rsidR="00C511BC">
        <w:t xml:space="preserve"> by discharging a firearm</w:t>
      </w:r>
      <w:r w:rsidR="00992ACE">
        <w:t xml:space="preserve">.  </w:t>
      </w:r>
      <w:r>
        <w:t xml:space="preserve">(§ 189, subd. (e)(1).)  </w:t>
      </w:r>
      <w:r w:rsidR="00992ACE">
        <w:t xml:space="preserve">The factual basis for the plea cannot reasonably be construed as </w:t>
      </w:r>
      <w:r w:rsidR="002C5F84">
        <w:t xml:space="preserve">potentially </w:t>
      </w:r>
      <w:r w:rsidR="00992ACE">
        <w:t xml:space="preserve">imposing liability under the natural and probable consequences doctrine because </w:t>
      </w:r>
      <w:r>
        <w:t xml:space="preserve">it is a theory of vicarious liability, and Saavedra did not act vicariously.  (See </w:t>
      </w:r>
      <w:r w:rsidRPr="00432055">
        <w:rPr>
          <w:i/>
          <w:iCs/>
        </w:rPr>
        <w:t>People v. Rivera</w:t>
      </w:r>
      <w:r>
        <w:t xml:space="preserve"> (2021) 62 Cal.App.5th 217, 231</w:t>
      </w:r>
      <w:r>
        <w:noBreakHyphen/>
        <w:t>232.)</w:t>
      </w:r>
    </w:p>
    <w:p w:rsidR="00432055" w:rsidRPr="0090723A" w:rsidP="003D3DAD" w14:paraId="6191CBDA" w14:textId="3ED88CB1">
      <w:pPr>
        <w:tabs>
          <w:tab w:val="left" w:pos="1440"/>
          <w:tab w:val="clear" w:pos="1483"/>
          <w:tab w:val="left" w:pos="2880"/>
          <w:tab w:val="left" w:pos="4320"/>
          <w:tab w:val="left" w:pos="5760"/>
          <w:tab w:val="left" w:pos="7200"/>
          <w:tab w:val="left" w:pos="8640"/>
        </w:tabs>
        <w:ind w:firstLine="1440"/>
        <w:rPr>
          <w:szCs w:val="26"/>
        </w:rPr>
      </w:pPr>
      <w:r>
        <w:t>Saavedra argues at length that an admission of acting with malice aforethought does render him ineligible for relief because malice can be express or implied.  True.  But it is the statement that Saavedra</w:t>
      </w:r>
      <w:r w:rsidR="00C511BC">
        <w:t>, with malice,</w:t>
      </w:r>
      <w:r>
        <w:t xml:space="preserve"> attempted to murder </w:t>
      </w:r>
      <w:r w:rsidRPr="0090723A">
        <w:rPr>
          <w:szCs w:val="26"/>
        </w:rPr>
        <w:t>the victims by discharging a firearm into their car that renders him ineligible for relief as a matter of law.</w:t>
      </w:r>
    </w:p>
    <w:p w:rsidR="00432055" w:rsidRPr="0090723A" w:rsidP="00B02238" w14:paraId="200BEC0D" w14:textId="6828DCE6">
      <w:pPr>
        <w:tabs>
          <w:tab w:val="left" w:pos="1440"/>
          <w:tab w:val="clear" w:pos="1483"/>
          <w:tab w:val="left" w:pos="2880"/>
          <w:tab w:val="left" w:pos="4320"/>
          <w:tab w:val="left" w:pos="5760"/>
          <w:tab w:val="left" w:pos="7200"/>
          <w:tab w:val="left" w:pos="8640"/>
        </w:tabs>
        <w:spacing w:before="240"/>
        <w:ind w:firstLine="1440"/>
        <w:rPr>
          <w:szCs w:val="26"/>
        </w:rPr>
      </w:pPr>
      <w:r w:rsidRPr="0090723A">
        <w:rPr>
          <w:szCs w:val="26"/>
        </w:rPr>
        <w:t xml:space="preserve">Saavedra </w:t>
      </w:r>
      <w:r w:rsidRPr="0090723A" w:rsidR="005C7F4D">
        <w:rPr>
          <w:szCs w:val="26"/>
        </w:rPr>
        <w:t xml:space="preserve">argues our analysis should be guided by </w:t>
      </w:r>
      <w:r w:rsidRPr="0090723A">
        <w:rPr>
          <w:i/>
          <w:iCs/>
          <w:szCs w:val="26"/>
        </w:rPr>
        <w:t>People v. Rivera, supra</w:t>
      </w:r>
      <w:r w:rsidRPr="0090723A">
        <w:rPr>
          <w:szCs w:val="26"/>
        </w:rPr>
        <w:t xml:space="preserve">, 62 Cal.App.5th </w:t>
      </w:r>
      <w:r w:rsidRPr="0090723A" w:rsidR="00FA08DA">
        <w:rPr>
          <w:szCs w:val="26"/>
        </w:rPr>
        <w:t>217</w:t>
      </w:r>
      <w:r w:rsidRPr="0090723A">
        <w:rPr>
          <w:szCs w:val="26"/>
        </w:rPr>
        <w:t>.  The defen</w:t>
      </w:r>
      <w:r w:rsidRPr="0090723A" w:rsidR="00FA08DA">
        <w:rPr>
          <w:szCs w:val="26"/>
        </w:rPr>
        <w:t xml:space="preserve">dant in </w:t>
      </w:r>
      <w:r w:rsidRPr="0090723A" w:rsidR="00FA08DA">
        <w:rPr>
          <w:i/>
          <w:iCs/>
          <w:szCs w:val="26"/>
        </w:rPr>
        <w:t xml:space="preserve">Rivera </w:t>
      </w:r>
      <w:r w:rsidRPr="0090723A" w:rsidR="00FA08DA">
        <w:rPr>
          <w:szCs w:val="26"/>
        </w:rPr>
        <w:t>pleaded no</w:t>
      </w:r>
      <w:r w:rsidRPr="0090723A" w:rsidR="00B02238">
        <w:rPr>
          <w:szCs w:val="26"/>
        </w:rPr>
        <w:t xml:space="preserve"> contest</w:t>
      </w:r>
      <w:r w:rsidRPr="0090723A" w:rsidR="00424C1A">
        <w:rPr>
          <w:szCs w:val="26"/>
        </w:rPr>
        <w:t xml:space="preserve"> to second degree murder</w:t>
      </w:r>
      <w:r w:rsidRPr="0090723A" w:rsidR="00FA08DA">
        <w:rPr>
          <w:szCs w:val="26"/>
        </w:rPr>
        <w:t xml:space="preserve">.  </w:t>
      </w:r>
      <w:r w:rsidRPr="0090723A" w:rsidR="00B02238">
        <w:rPr>
          <w:szCs w:val="26"/>
        </w:rPr>
        <w:t>(</w:t>
      </w:r>
      <w:r w:rsidRPr="0090723A" w:rsidR="00B02238">
        <w:rPr>
          <w:i/>
          <w:iCs/>
          <w:szCs w:val="26"/>
        </w:rPr>
        <w:t>Id</w:t>
      </w:r>
      <w:r w:rsidRPr="0090723A" w:rsidR="00B02238">
        <w:rPr>
          <w:szCs w:val="26"/>
        </w:rPr>
        <w:t xml:space="preserve">. at p. 223.)  </w:t>
      </w:r>
      <w:r w:rsidRPr="0090723A" w:rsidR="00FA08DA">
        <w:rPr>
          <w:szCs w:val="26"/>
        </w:rPr>
        <w:t>The Court of Appeal conclude</w:t>
      </w:r>
      <w:r w:rsidRPr="0090723A" w:rsidR="005C7F4D">
        <w:rPr>
          <w:szCs w:val="26"/>
        </w:rPr>
        <w:t>d</w:t>
      </w:r>
      <w:r w:rsidRPr="0090723A" w:rsidR="00FA08DA">
        <w:rPr>
          <w:szCs w:val="26"/>
        </w:rPr>
        <w:t xml:space="preserve"> the trial court erred by finding the defendant had not made a prima facie case for relief and reversed an order denying his petition for resentencing.  (</w:t>
      </w:r>
      <w:r w:rsidRPr="0090723A" w:rsidR="00FA08DA">
        <w:rPr>
          <w:i/>
          <w:iCs/>
          <w:szCs w:val="26"/>
        </w:rPr>
        <w:t xml:space="preserve">Id. </w:t>
      </w:r>
      <w:r w:rsidRPr="0090723A" w:rsidR="00FA08DA">
        <w:rPr>
          <w:szCs w:val="26"/>
        </w:rPr>
        <w:t>at pp. 224.)  But in doing so, the Court of Appeal emphasized that the defendant had made no admissions related to the murder other than pleading no contest to the murder count as charged</w:t>
      </w:r>
      <w:r w:rsidRPr="0090723A" w:rsidR="005C7F4D">
        <w:rPr>
          <w:szCs w:val="26"/>
        </w:rPr>
        <w:t xml:space="preserve">.  The court </w:t>
      </w:r>
      <w:r w:rsidRPr="0090723A" w:rsidR="00FA08DA">
        <w:rPr>
          <w:szCs w:val="26"/>
        </w:rPr>
        <w:t>acknowledge</w:t>
      </w:r>
      <w:r w:rsidRPr="0090723A" w:rsidR="005C7F4D">
        <w:rPr>
          <w:szCs w:val="26"/>
        </w:rPr>
        <w:t>d</w:t>
      </w:r>
      <w:r w:rsidRPr="0090723A" w:rsidR="00FA08DA">
        <w:rPr>
          <w:szCs w:val="26"/>
        </w:rPr>
        <w:t xml:space="preserve"> that </w:t>
      </w:r>
      <w:r w:rsidRPr="0090723A" w:rsidR="004201AA">
        <w:rPr>
          <w:szCs w:val="26"/>
        </w:rPr>
        <w:t>“</w:t>
      </w:r>
      <w:r w:rsidRPr="0090723A" w:rsidR="00FA08DA">
        <w:rPr>
          <w:szCs w:val="26"/>
        </w:rPr>
        <w:t xml:space="preserve">[i]n some cases, the record may reveal that a defendant admitted </w:t>
      </w:r>
      <w:r w:rsidRPr="0090723A" w:rsidR="00FA08DA">
        <w:rPr>
          <w:i/>
          <w:iCs/>
          <w:szCs w:val="26"/>
        </w:rPr>
        <w:t xml:space="preserve">more </w:t>
      </w:r>
      <w:r w:rsidRPr="0090723A" w:rsidR="00FA08DA">
        <w:rPr>
          <w:szCs w:val="26"/>
        </w:rPr>
        <w:t>than the elements of the offense charged, and such addition</w:t>
      </w:r>
      <w:r w:rsidRPr="0090723A" w:rsidR="0090723A">
        <w:rPr>
          <w:szCs w:val="26"/>
        </w:rPr>
        <w:t>al</w:t>
      </w:r>
      <w:r w:rsidRPr="0090723A" w:rsidR="00FA08DA">
        <w:rPr>
          <w:szCs w:val="26"/>
        </w:rPr>
        <w:t xml:space="preserve"> admissions may preclude relief under section </w:t>
      </w:r>
      <w:r w:rsidR="000D07E3">
        <w:rPr>
          <w:szCs w:val="26"/>
        </w:rPr>
        <w:t>[1172.6]</w:t>
      </w:r>
      <w:r w:rsidRPr="0090723A" w:rsidR="00FA08DA">
        <w:rPr>
          <w:szCs w:val="26"/>
        </w:rPr>
        <w:t>.</w:t>
      </w:r>
      <w:r w:rsidRPr="0090723A" w:rsidR="004201AA">
        <w:rPr>
          <w:szCs w:val="26"/>
        </w:rPr>
        <w:t>”</w:t>
      </w:r>
      <w:r w:rsidRPr="0090723A" w:rsidR="00FA08DA">
        <w:rPr>
          <w:szCs w:val="26"/>
        </w:rPr>
        <w:t xml:space="preserve">  (</w:t>
      </w:r>
      <w:r w:rsidRPr="0090723A" w:rsidR="00FA08DA">
        <w:rPr>
          <w:i/>
          <w:iCs/>
          <w:szCs w:val="26"/>
        </w:rPr>
        <w:t xml:space="preserve">Id. </w:t>
      </w:r>
      <w:r w:rsidRPr="0090723A" w:rsidR="00FA08DA">
        <w:rPr>
          <w:szCs w:val="26"/>
        </w:rPr>
        <w:t xml:space="preserve">at p. 234.) </w:t>
      </w:r>
      <w:r w:rsidRPr="0090723A" w:rsidR="005C7F4D">
        <w:rPr>
          <w:szCs w:val="26"/>
        </w:rPr>
        <w:t xml:space="preserve"> </w:t>
      </w:r>
      <w:r w:rsidRPr="0090723A" w:rsidR="00C511BC">
        <w:rPr>
          <w:szCs w:val="26"/>
        </w:rPr>
        <w:t>Saavedra admitted more than the elements of the charged offense</w:t>
      </w:r>
      <w:r w:rsidRPr="0090723A" w:rsidR="00424C1A">
        <w:rPr>
          <w:szCs w:val="26"/>
        </w:rPr>
        <w:t>s</w:t>
      </w:r>
      <w:r w:rsidRPr="0090723A" w:rsidR="00C511BC">
        <w:rPr>
          <w:szCs w:val="26"/>
        </w:rPr>
        <w:t>.</w:t>
      </w:r>
      <w:r w:rsidRPr="0090723A">
        <w:rPr>
          <w:szCs w:val="26"/>
        </w:rPr>
        <w:t xml:space="preserve"> </w:t>
      </w:r>
    </w:p>
    <w:p w:rsidR="00DF3A39" w:rsidRPr="0090723A" w:rsidP="003D3DAD" w14:paraId="226538C4" w14:textId="6D3DE652">
      <w:pPr>
        <w:tabs>
          <w:tab w:val="left" w:pos="1440"/>
          <w:tab w:val="clear" w:pos="1483"/>
          <w:tab w:val="left" w:pos="2880"/>
          <w:tab w:val="left" w:pos="4320"/>
          <w:tab w:val="left" w:pos="5760"/>
          <w:tab w:val="left" w:pos="7200"/>
          <w:tab w:val="left" w:pos="8640"/>
        </w:tabs>
        <w:ind w:firstLine="1440"/>
        <w:rPr>
          <w:szCs w:val="26"/>
        </w:rPr>
      </w:pPr>
      <w:bookmarkStart w:id="0" w:name="_Hlk137116748"/>
      <w:r w:rsidRPr="0090723A">
        <w:rPr>
          <w:szCs w:val="26"/>
        </w:rPr>
        <w:t xml:space="preserve">Saavedra relies </w:t>
      </w:r>
      <w:r w:rsidRPr="0090723A" w:rsidR="006F42E7">
        <w:rPr>
          <w:szCs w:val="26"/>
        </w:rPr>
        <w:t>on</w:t>
      </w:r>
      <w:r w:rsidRPr="0090723A" w:rsidR="003B733E">
        <w:rPr>
          <w:szCs w:val="26"/>
        </w:rPr>
        <w:t xml:space="preserve"> </w:t>
      </w:r>
      <w:r w:rsidRPr="0090723A" w:rsidR="003B733E">
        <w:rPr>
          <w:i/>
          <w:iCs/>
          <w:szCs w:val="26"/>
        </w:rPr>
        <w:t xml:space="preserve">People v. Offley </w:t>
      </w:r>
      <w:r w:rsidRPr="0090723A" w:rsidR="003B733E">
        <w:rPr>
          <w:szCs w:val="26"/>
        </w:rPr>
        <w:t>(2020) 48 Cal.App.5th 588</w:t>
      </w:r>
      <w:r w:rsidRPr="0090723A">
        <w:rPr>
          <w:szCs w:val="26"/>
        </w:rPr>
        <w:t xml:space="preserve"> (</w:t>
      </w:r>
      <w:r w:rsidRPr="0090723A">
        <w:rPr>
          <w:i/>
          <w:iCs/>
          <w:szCs w:val="26"/>
        </w:rPr>
        <w:t>Offley</w:t>
      </w:r>
      <w:r w:rsidRPr="0090723A">
        <w:rPr>
          <w:szCs w:val="26"/>
        </w:rPr>
        <w:t>)</w:t>
      </w:r>
      <w:r w:rsidRPr="0090723A" w:rsidR="008C6E47">
        <w:rPr>
          <w:szCs w:val="26"/>
        </w:rPr>
        <w:t xml:space="preserve">.  The defendant in </w:t>
      </w:r>
      <w:r w:rsidRPr="0090723A" w:rsidR="008C6E47">
        <w:rPr>
          <w:i/>
          <w:iCs/>
          <w:szCs w:val="26"/>
        </w:rPr>
        <w:t xml:space="preserve">Offley </w:t>
      </w:r>
      <w:r w:rsidRPr="0090723A" w:rsidR="008C6E47">
        <w:rPr>
          <w:szCs w:val="26"/>
        </w:rPr>
        <w:t>was one of five defendants charged with participating in a gang</w:t>
      </w:r>
      <w:r w:rsidRPr="0090723A" w:rsidR="008C6E47">
        <w:rPr>
          <w:szCs w:val="26"/>
        </w:rPr>
        <w:noBreakHyphen/>
        <w:t>related shooting that left one person dead and another seriously wounded.  (</w:t>
      </w:r>
      <w:r w:rsidRPr="0090723A" w:rsidR="008C6E47">
        <w:rPr>
          <w:i/>
          <w:iCs/>
          <w:szCs w:val="26"/>
        </w:rPr>
        <w:t>Id</w:t>
      </w:r>
      <w:r w:rsidRPr="0090723A" w:rsidR="008C6E47">
        <w:rPr>
          <w:szCs w:val="26"/>
        </w:rPr>
        <w:t>. at p. 592.)  The jury was instructed on the natural and probable consequences theory in cases of conspiracy.  (</w:t>
      </w:r>
      <w:r w:rsidRPr="0090723A" w:rsidR="008C6E47">
        <w:rPr>
          <w:i/>
          <w:iCs/>
          <w:szCs w:val="26"/>
        </w:rPr>
        <w:t>Id</w:t>
      </w:r>
      <w:r w:rsidRPr="0090723A" w:rsidR="008C6E47">
        <w:rPr>
          <w:szCs w:val="26"/>
        </w:rPr>
        <w:t>. at p. 593.)  The jury convicted the defendant of second degree murder and found to be true a</w:t>
      </w:r>
      <w:r w:rsidRPr="0090723A" w:rsidR="0090723A">
        <w:rPr>
          <w:szCs w:val="26"/>
        </w:rPr>
        <w:t xml:space="preserve"> </w:t>
      </w:r>
      <w:r w:rsidRPr="0090723A" w:rsidR="00BE0C51">
        <w:rPr>
          <w:szCs w:val="26"/>
        </w:rPr>
        <w:t>sentencing enhancement</w:t>
      </w:r>
      <w:r w:rsidRPr="0090723A" w:rsidR="008C6E47">
        <w:rPr>
          <w:szCs w:val="26"/>
        </w:rPr>
        <w:t xml:space="preserve"> allegation </w:t>
      </w:r>
      <w:r w:rsidRPr="0090723A" w:rsidR="00BE0C51">
        <w:rPr>
          <w:szCs w:val="26"/>
        </w:rPr>
        <w:t xml:space="preserve">under section 12022.53, subdivision (d) </w:t>
      </w:r>
      <w:r w:rsidRPr="0090723A" w:rsidR="008C6E47">
        <w:rPr>
          <w:szCs w:val="26"/>
        </w:rPr>
        <w:t xml:space="preserve">that he </w:t>
      </w:r>
      <w:r w:rsidRPr="0090723A" w:rsidR="0090723A">
        <w:rPr>
          <w:szCs w:val="26"/>
        </w:rPr>
        <w:t>“</w:t>
      </w:r>
      <w:r w:rsidRPr="0090723A" w:rsidR="008C6E47">
        <w:rPr>
          <w:szCs w:val="26"/>
        </w:rPr>
        <w:t>personally and intentionally discharged a firearm, proximately causing great bodily injury and death to the victim.</w:t>
      </w:r>
      <w:r w:rsidRPr="0090723A" w:rsidR="0090723A">
        <w:rPr>
          <w:szCs w:val="26"/>
        </w:rPr>
        <w:t>”</w:t>
      </w:r>
      <w:r w:rsidRPr="0090723A" w:rsidR="008C6E47">
        <w:rPr>
          <w:szCs w:val="26"/>
        </w:rPr>
        <w:t xml:space="preserve">  (</w:t>
      </w:r>
      <w:r w:rsidR="00FE6F3C">
        <w:rPr>
          <w:i/>
          <w:iCs/>
          <w:szCs w:val="26"/>
        </w:rPr>
        <w:t>Offley</w:t>
      </w:r>
      <w:r w:rsidR="00FE6F3C">
        <w:rPr>
          <w:szCs w:val="26"/>
        </w:rPr>
        <w:t>, at p. 593</w:t>
      </w:r>
      <w:r w:rsidRPr="0090723A" w:rsidR="008C6E47">
        <w:rPr>
          <w:szCs w:val="26"/>
        </w:rPr>
        <w:t xml:space="preserve">.)  </w:t>
      </w:r>
      <w:r w:rsidRPr="0090723A" w:rsidR="00BE0C51">
        <w:rPr>
          <w:szCs w:val="26"/>
        </w:rPr>
        <w:t>The trial court summarily denied the defendant</w:t>
      </w:r>
      <w:r w:rsidRPr="0090723A" w:rsidR="004201AA">
        <w:rPr>
          <w:szCs w:val="26"/>
        </w:rPr>
        <w:t>’</w:t>
      </w:r>
      <w:r w:rsidRPr="0090723A" w:rsidR="00BE0C51">
        <w:rPr>
          <w:szCs w:val="26"/>
        </w:rPr>
        <w:t>s petition for resentencing based on the true finding on the enhancement allegation.  (</w:t>
      </w:r>
      <w:r w:rsidRPr="0090723A" w:rsidR="00BE0C51">
        <w:rPr>
          <w:i/>
          <w:iCs/>
          <w:szCs w:val="26"/>
        </w:rPr>
        <w:t>Id</w:t>
      </w:r>
      <w:r w:rsidRPr="0090723A" w:rsidR="00BE0C51">
        <w:rPr>
          <w:szCs w:val="26"/>
        </w:rPr>
        <w:t>. at p. </w:t>
      </w:r>
      <w:r w:rsidRPr="0090723A" w:rsidR="0090723A">
        <w:rPr>
          <w:szCs w:val="26"/>
        </w:rPr>
        <w:t>594</w:t>
      </w:r>
      <w:r w:rsidRPr="0090723A" w:rsidR="00BE0C51">
        <w:rPr>
          <w:szCs w:val="26"/>
        </w:rPr>
        <w:t xml:space="preserve">.) </w:t>
      </w:r>
      <w:r w:rsidRPr="0090723A" w:rsidR="00182E7F">
        <w:rPr>
          <w:szCs w:val="26"/>
        </w:rPr>
        <w:t xml:space="preserve"> </w:t>
      </w:r>
      <w:r w:rsidRPr="0090723A" w:rsidR="00BE0C51">
        <w:rPr>
          <w:szCs w:val="26"/>
        </w:rPr>
        <w:t xml:space="preserve">The Court of Appeal concluded the trial court erred because a true finding on </w:t>
      </w:r>
      <w:r w:rsidR="00B06A84">
        <w:rPr>
          <w:szCs w:val="26"/>
        </w:rPr>
        <w:t>“</w:t>
      </w:r>
      <w:r w:rsidRPr="0090723A" w:rsidR="00BE0C51">
        <w:rPr>
          <w:szCs w:val="26"/>
        </w:rPr>
        <w:t xml:space="preserve">an enhancement </w:t>
      </w:r>
      <w:r w:rsidRPr="0090723A" w:rsidR="0090723A">
        <w:rPr>
          <w:szCs w:val="26"/>
        </w:rPr>
        <w:t>[</w:t>
      </w:r>
      <w:r w:rsidRPr="0090723A" w:rsidR="00BE0C51">
        <w:rPr>
          <w:szCs w:val="26"/>
        </w:rPr>
        <w:t>allegation</w:t>
      </w:r>
      <w:r w:rsidRPr="0090723A" w:rsidR="0090723A">
        <w:rPr>
          <w:szCs w:val="26"/>
        </w:rPr>
        <w:t>]</w:t>
      </w:r>
      <w:r w:rsidRPr="0090723A" w:rsidR="00BE0C51">
        <w:rPr>
          <w:szCs w:val="26"/>
        </w:rPr>
        <w:t xml:space="preserve"> under section 12022.53, subdivision (d) does not show that a defendant acted with malice aforethought.</w:t>
      </w:r>
      <w:r w:rsidRPr="0090723A" w:rsidR="0090723A">
        <w:rPr>
          <w:szCs w:val="26"/>
        </w:rPr>
        <w:t>”</w:t>
      </w:r>
      <w:r w:rsidRPr="0090723A" w:rsidR="00BE0C51">
        <w:rPr>
          <w:szCs w:val="26"/>
        </w:rPr>
        <w:t xml:space="preserve">  (</w:t>
      </w:r>
      <w:r w:rsidRPr="0090723A" w:rsidR="0090723A">
        <w:rPr>
          <w:i/>
          <w:iCs/>
          <w:szCs w:val="26"/>
        </w:rPr>
        <w:t>Id</w:t>
      </w:r>
      <w:r w:rsidRPr="0090723A" w:rsidR="0090723A">
        <w:rPr>
          <w:szCs w:val="26"/>
        </w:rPr>
        <w:t>.</w:t>
      </w:r>
      <w:r w:rsidR="00E22D77">
        <w:rPr>
          <w:szCs w:val="26"/>
        </w:rPr>
        <w:t xml:space="preserve"> at </w:t>
      </w:r>
      <w:r w:rsidRPr="0090723A" w:rsidR="00BE0C51">
        <w:rPr>
          <w:szCs w:val="26"/>
        </w:rPr>
        <w:t>p</w:t>
      </w:r>
      <w:r w:rsidRPr="0090723A" w:rsidR="006F42E7">
        <w:rPr>
          <w:szCs w:val="26"/>
        </w:rPr>
        <w:t>. 598.)  The only state of mind required for a true finding under a section 12022.53</w:t>
      </w:r>
      <w:r w:rsidRPr="0090723A" w:rsidR="0090723A">
        <w:rPr>
          <w:szCs w:val="26"/>
        </w:rPr>
        <w:t xml:space="preserve">, subdivision </w:t>
      </w:r>
      <w:r w:rsidRPr="0090723A" w:rsidR="006F42E7">
        <w:rPr>
          <w:szCs w:val="26"/>
        </w:rPr>
        <w:t>(d) enhancement is that the defendant intended to discharge a firearm; no additional intent to achieve any particular consequence is required.  (</w:t>
      </w:r>
      <w:r w:rsidR="00FE6F3C">
        <w:rPr>
          <w:i/>
          <w:iCs/>
          <w:szCs w:val="26"/>
        </w:rPr>
        <w:t xml:space="preserve">Offley, </w:t>
      </w:r>
      <w:r w:rsidR="00FE6F3C">
        <w:rPr>
          <w:szCs w:val="26"/>
        </w:rPr>
        <w:t>at p. 598</w:t>
      </w:r>
      <w:r w:rsidRPr="0090723A" w:rsidR="006F42E7">
        <w:rPr>
          <w:szCs w:val="26"/>
        </w:rPr>
        <w:t xml:space="preserve">.)  </w:t>
      </w:r>
    </w:p>
    <w:p w:rsidR="00DF3A39" w:rsidRPr="0090723A" w:rsidP="003D3DAD" w14:paraId="0CB38491" w14:textId="37442B48">
      <w:pPr>
        <w:tabs>
          <w:tab w:val="left" w:pos="1440"/>
          <w:tab w:val="clear" w:pos="1483"/>
          <w:tab w:val="left" w:pos="2880"/>
          <w:tab w:val="left" w:pos="4320"/>
          <w:tab w:val="left" w:pos="5760"/>
          <w:tab w:val="left" w:pos="7200"/>
          <w:tab w:val="left" w:pos="8640"/>
        </w:tabs>
        <w:ind w:firstLine="1440"/>
        <w:rPr>
          <w:szCs w:val="26"/>
        </w:rPr>
      </w:pPr>
      <w:r w:rsidRPr="0090723A">
        <w:rPr>
          <w:szCs w:val="26"/>
        </w:rPr>
        <w:t xml:space="preserve">In </w:t>
      </w:r>
      <w:r w:rsidRPr="0090723A">
        <w:rPr>
          <w:i/>
          <w:iCs/>
          <w:szCs w:val="26"/>
        </w:rPr>
        <w:t xml:space="preserve">Offley, </w:t>
      </w:r>
      <w:r w:rsidRPr="0090723A">
        <w:rPr>
          <w:szCs w:val="26"/>
        </w:rPr>
        <w:t>t</w:t>
      </w:r>
      <w:r w:rsidRPr="0090723A" w:rsidR="006F42E7">
        <w:rPr>
          <w:szCs w:val="26"/>
        </w:rPr>
        <w:t xml:space="preserve">he trial court instructed the jury on the natural and probable consequences doctrine, and the prosecutor argued the jury could convict the defendant on the basis of that instruction.  </w:t>
      </w:r>
      <w:r w:rsidRPr="0090723A">
        <w:rPr>
          <w:szCs w:val="26"/>
        </w:rPr>
        <w:t>(</w:t>
      </w:r>
      <w:r w:rsidRPr="0090723A">
        <w:rPr>
          <w:i/>
          <w:iCs/>
          <w:szCs w:val="26"/>
        </w:rPr>
        <w:t>Offley, supra</w:t>
      </w:r>
      <w:r w:rsidRPr="0090723A">
        <w:rPr>
          <w:szCs w:val="26"/>
        </w:rPr>
        <w:t xml:space="preserve">, </w:t>
      </w:r>
      <w:r w:rsidRPr="0090723A" w:rsidR="00424C1A">
        <w:rPr>
          <w:szCs w:val="26"/>
        </w:rPr>
        <w:t>48 Cal.App</w:t>
      </w:r>
      <w:r w:rsidR="00B06A84">
        <w:rPr>
          <w:szCs w:val="26"/>
        </w:rPr>
        <w:t>.</w:t>
      </w:r>
      <w:r w:rsidRPr="0090723A" w:rsidR="00424C1A">
        <w:rPr>
          <w:szCs w:val="26"/>
        </w:rPr>
        <w:t xml:space="preserve">5th </w:t>
      </w:r>
      <w:r w:rsidRPr="0090723A">
        <w:rPr>
          <w:szCs w:val="26"/>
        </w:rPr>
        <w:t>at p. 599.)  As a consequence, the Court of Appeal could not exclude the possibility the jury believed that the defendant acted without intending to kill the victim or consciously disregarding that risk.  (</w:t>
      </w:r>
      <w:r w:rsidRPr="0090723A">
        <w:rPr>
          <w:i/>
          <w:iCs/>
          <w:szCs w:val="26"/>
        </w:rPr>
        <w:t>Ibid</w:t>
      </w:r>
      <w:r w:rsidRPr="0090723A">
        <w:rPr>
          <w:szCs w:val="26"/>
        </w:rPr>
        <w:t>.)  The court believed the jury might have concluded that the defendant had intended to take part in a conspiracy to commit assault with a firearm, or to fire into an occupied vehicle, with the aim of either injuring or merely frightening the victim and that the victim</w:t>
      </w:r>
      <w:r w:rsidRPr="0090723A" w:rsidR="004201AA">
        <w:rPr>
          <w:szCs w:val="26"/>
        </w:rPr>
        <w:t>’</w:t>
      </w:r>
      <w:r w:rsidRPr="0090723A">
        <w:rPr>
          <w:szCs w:val="26"/>
        </w:rPr>
        <w:t>s death was the natural and probable consequence of the conspiracy.  (</w:t>
      </w:r>
      <w:r w:rsidRPr="0090723A">
        <w:rPr>
          <w:i/>
          <w:iCs/>
          <w:szCs w:val="26"/>
        </w:rPr>
        <w:t>Ibid</w:t>
      </w:r>
      <w:r w:rsidRPr="0090723A">
        <w:rPr>
          <w:szCs w:val="26"/>
        </w:rPr>
        <w:t xml:space="preserve">.)  Under that theory, the jury could have convicted the defendant of murder without finding beyond a reasonable doubt that he had acted with malice aforethought. </w:t>
      </w:r>
      <w:r w:rsidRPr="0090723A" w:rsidR="00182E7F">
        <w:rPr>
          <w:szCs w:val="26"/>
        </w:rPr>
        <w:t xml:space="preserve"> </w:t>
      </w:r>
      <w:r w:rsidRPr="0090723A">
        <w:rPr>
          <w:szCs w:val="26"/>
        </w:rPr>
        <w:t>(</w:t>
      </w:r>
      <w:r w:rsidRPr="0090723A">
        <w:rPr>
          <w:i/>
          <w:iCs/>
          <w:szCs w:val="26"/>
        </w:rPr>
        <w:t>Ibid</w:t>
      </w:r>
      <w:r w:rsidRPr="0090723A">
        <w:rPr>
          <w:szCs w:val="26"/>
        </w:rPr>
        <w:t>.)</w:t>
      </w:r>
    </w:p>
    <w:p w:rsidR="00182E7F" w:rsidRPr="0090723A" w:rsidP="003D3DAD" w14:paraId="5F9D0D95" w14:textId="1B73DD0B">
      <w:pPr>
        <w:tabs>
          <w:tab w:val="left" w:pos="1440"/>
          <w:tab w:val="clear" w:pos="1483"/>
          <w:tab w:val="left" w:pos="2880"/>
          <w:tab w:val="left" w:pos="4320"/>
          <w:tab w:val="left" w:pos="5760"/>
          <w:tab w:val="left" w:pos="7200"/>
          <w:tab w:val="left" w:pos="8640"/>
        </w:tabs>
        <w:ind w:firstLine="1440"/>
        <w:rPr>
          <w:szCs w:val="26"/>
        </w:rPr>
      </w:pPr>
      <w:r w:rsidRPr="0090723A">
        <w:rPr>
          <w:szCs w:val="26"/>
        </w:rPr>
        <w:t xml:space="preserve">Saavedra argues that here, as in </w:t>
      </w:r>
      <w:r w:rsidRPr="0090723A">
        <w:rPr>
          <w:i/>
          <w:iCs/>
          <w:szCs w:val="26"/>
        </w:rPr>
        <w:t>Offley</w:t>
      </w:r>
      <w:r w:rsidRPr="0090723A">
        <w:rPr>
          <w:szCs w:val="26"/>
        </w:rPr>
        <w:t xml:space="preserve">, his admission that he discharged a firearm into an occupied vehicle does not conclusively establish that he did so with actual malice or any particular mental state.  That proposition is true.  But there is </w:t>
      </w:r>
      <w:r w:rsidRPr="0090723A" w:rsidR="0090723A">
        <w:rPr>
          <w:szCs w:val="26"/>
        </w:rPr>
        <w:t xml:space="preserve">a </w:t>
      </w:r>
      <w:r w:rsidRPr="0090723A">
        <w:rPr>
          <w:szCs w:val="26"/>
        </w:rPr>
        <w:t xml:space="preserve">significant additional fact here that was not present in </w:t>
      </w:r>
      <w:r w:rsidRPr="0090723A">
        <w:rPr>
          <w:i/>
          <w:iCs/>
          <w:szCs w:val="26"/>
        </w:rPr>
        <w:t>Offley</w:t>
      </w:r>
      <w:r w:rsidRPr="0090723A">
        <w:rPr>
          <w:szCs w:val="26"/>
        </w:rPr>
        <w:t xml:space="preserve">:  Saavedra admitted that, </w:t>
      </w:r>
      <w:r w:rsidRPr="0090723A">
        <w:rPr>
          <w:i/>
          <w:iCs/>
          <w:szCs w:val="26"/>
        </w:rPr>
        <w:t>with malice aforethought</w:t>
      </w:r>
      <w:r w:rsidRPr="0090723A">
        <w:rPr>
          <w:szCs w:val="26"/>
        </w:rPr>
        <w:t xml:space="preserve">, he discharged a firearm into the vehicle occupied by the victims </w:t>
      </w:r>
      <w:r w:rsidRPr="0090723A">
        <w:rPr>
          <w:i/>
          <w:iCs/>
          <w:szCs w:val="26"/>
        </w:rPr>
        <w:t>in an attempt to murder them</w:t>
      </w:r>
      <w:r w:rsidRPr="0090723A">
        <w:rPr>
          <w:szCs w:val="26"/>
        </w:rPr>
        <w:t>.  Saaved</w:t>
      </w:r>
      <w:r w:rsidRPr="0090723A" w:rsidR="004201AA">
        <w:rPr>
          <w:szCs w:val="26"/>
        </w:rPr>
        <w:t>r</w:t>
      </w:r>
      <w:r w:rsidRPr="0090723A">
        <w:rPr>
          <w:szCs w:val="26"/>
        </w:rPr>
        <w:t>a</w:t>
      </w:r>
      <w:r w:rsidRPr="0090723A" w:rsidR="004201AA">
        <w:rPr>
          <w:szCs w:val="26"/>
        </w:rPr>
        <w:t>’</w:t>
      </w:r>
      <w:r w:rsidRPr="0090723A">
        <w:rPr>
          <w:szCs w:val="26"/>
        </w:rPr>
        <w:t xml:space="preserve">s admission in his guilty plea thus supplied the </w:t>
      </w:r>
      <w:r w:rsidRPr="0090723A" w:rsidR="006F6FB9">
        <w:rPr>
          <w:szCs w:val="26"/>
        </w:rPr>
        <w:t>state of mind and</w:t>
      </w:r>
      <w:r w:rsidRPr="0090723A">
        <w:rPr>
          <w:szCs w:val="26"/>
        </w:rPr>
        <w:t xml:space="preserve"> criminal consequence missing from </w:t>
      </w:r>
      <w:r w:rsidRPr="0090723A" w:rsidR="003A622D">
        <w:rPr>
          <w:szCs w:val="26"/>
        </w:rPr>
        <w:t>a bare true finding on a firearm discharge enhancement.</w:t>
      </w:r>
      <w:r w:rsidRPr="0090723A">
        <w:rPr>
          <w:szCs w:val="26"/>
        </w:rPr>
        <w:t xml:space="preserve"> </w:t>
      </w:r>
      <w:bookmarkEnd w:id="0"/>
    </w:p>
    <w:p w:rsidR="00617699" w:rsidRPr="0090723A" w:rsidP="0090723A" w14:paraId="3257D9EA" w14:textId="1ECD763D">
      <w:pPr>
        <w:keepNext/>
        <w:keepLines/>
        <w:tabs>
          <w:tab w:val="left" w:pos="1440"/>
          <w:tab w:val="clear" w:pos="1483"/>
          <w:tab w:val="left" w:pos="2880"/>
          <w:tab w:val="left" w:pos="4320"/>
          <w:tab w:val="left" w:pos="5760"/>
          <w:tab w:val="left" w:pos="7200"/>
          <w:tab w:val="left" w:pos="8640"/>
        </w:tabs>
        <w:spacing w:before="240"/>
        <w:jc w:val="center"/>
        <w:rPr>
          <w:szCs w:val="26"/>
        </w:rPr>
      </w:pPr>
      <w:r w:rsidRPr="0090723A">
        <w:rPr>
          <w:szCs w:val="26"/>
        </w:rPr>
        <w:t>DISPOSITION</w:t>
      </w:r>
    </w:p>
    <w:p w:rsidR="00957A7A" w:rsidP="0090723A" w14:paraId="253F43C3" w14:textId="56BC8A9A">
      <w:pPr>
        <w:keepNext/>
        <w:keepLines/>
        <w:tabs>
          <w:tab w:val="left" w:pos="1440"/>
          <w:tab w:val="clear" w:pos="1483"/>
          <w:tab w:val="left" w:pos="2880"/>
          <w:tab w:val="left" w:pos="4320"/>
          <w:tab w:val="left" w:pos="5760"/>
          <w:tab w:val="left" w:pos="7200"/>
          <w:tab w:val="left" w:pos="8640"/>
        </w:tabs>
        <w:ind w:firstLine="1440"/>
        <w:jc w:val="both"/>
      </w:pPr>
      <w:r w:rsidRPr="0090723A">
        <w:rPr>
          <w:szCs w:val="26"/>
        </w:rPr>
        <w:t xml:space="preserve">The </w:t>
      </w:r>
      <w:r w:rsidR="007D1AD1">
        <w:rPr>
          <w:szCs w:val="26"/>
        </w:rPr>
        <w:t xml:space="preserve">postjudgment </w:t>
      </w:r>
      <w:r w:rsidRPr="0090723A">
        <w:rPr>
          <w:szCs w:val="26"/>
        </w:rPr>
        <w:t>order denying the petition for resentencing</w:t>
      </w:r>
      <w:r>
        <w:t xml:space="preserve"> is affirmed.</w:t>
      </w:r>
    </w:p>
    <w:p w:rsidR="00957A7A" w:rsidP="0090723A" w14:paraId="27C54F51" w14:textId="715FE746">
      <w:pPr>
        <w:keepNext/>
        <w:keepLines/>
        <w:tabs>
          <w:tab w:val="left" w:pos="1440"/>
          <w:tab w:val="clear" w:pos="1483"/>
          <w:tab w:val="left" w:pos="2880"/>
          <w:tab w:val="left" w:pos="4320"/>
          <w:tab w:val="left" w:pos="5760"/>
          <w:tab w:val="left" w:pos="7200"/>
          <w:tab w:val="left" w:pos="8640"/>
        </w:tabs>
        <w:jc w:val="both"/>
      </w:pPr>
    </w:p>
    <w:p w:rsidR="004201AA" w:rsidP="004201AA" w14:paraId="07384EEF" w14:textId="1638ECE3">
      <w:pPr>
        <w:keepNext/>
        <w:tabs>
          <w:tab w:val="clear" w:pos="1483"/>
          <w:tab w:val="left" w:pos="5040"/>
        </w:tabs>
        <w:spacing w:line="240" w:lineRule="auto"/>
        <w:jc w:val="both"/>
      </w:pPr>
    </w:p>
    <w:p w:rsidR="004201AA" w:rsidP="004201AA" w14:paraId="20E46D93" w14:textId="2B971D1B">
      <w:pPr>
        <w:keepNext/>
        <w:tabs>
          <w:tab w:val="clear" w:pos="1483"/>
          <w:tab w:val="left" w:pos="5040"/>
        </w:tabs>
        <w:spacing w:line="240" w:lineRule="auto"/>
        <w:jc w:val="both"/>
      </w:pPr>
    </w:p>
    <w:p w:rsidR="004201AA" w:rsidP="004201AA" w14:paraId="38842613" w14:textId="58EDC78B">
      <w:pPr>
        <w:keepNext/>
        <w:tabs>
          <w:tab w:val="clear" w:pos="1483"/>
          <w:tab w:val="left" w:pos="5040"/>
        </w:tabs>
        <w:spacing w:line="240" w:lineRule="auto"/>
        <w:jc w:val="both"/>
      </w:pPr>
      <w:r>
        <w:tab/>
        <w:t>SANCHEZ, J.</w:t>
      </w:r>
    </w:p>
    <w:p w:rsidR="004201AA" w:rsidP="004201AA" w14:paraId="350CF4EA" w14:textId="4D1C918B">
      <w:pPr>
        <w:keepNext/>
        <w:tabs>
          <w:tab w:val="clear" w:pos="1483"/>
          <w:tab w:val="left" w:pos="5040"/>
        </w:tabs>
        <w:spacing w:line="240" w:lineRule="auto"/>
        <w:jc w:val="both"/>
      </w:pPr>
    </w:p>
    <w:p w:rsidR="004201AA" w:rsidP="004201AA" w14:paraId="5C0867D9" w14:textId="06EBD524">
      <w:pPr>
        <w:keepNext/>
        <w:tabs>
          <w:tab w:val="clear" w:pos="1483"/>
          <w:tab w:val="left" w:pos="5040"/>
        </w:tabs>
        <w:spacing w:line="240" w:lineRule="auto"/>
        <w:jc w:val="both"/>
      </w:pPr>
      <w:r>
        <w:t>WE CONCUR:</w:t>
      </w:r>
    </w:p>
    <w:p w:rsidR="004201AA" w:rsidP="004201AA" w14:paraId="205C8625" w14:textId="1892F889">
      <w:pPr>
        <w:keepNext/>
        <w:tabs>
          <w:tab w:val="clear" w:pos="1483"/>
          <w:tab w:val="left" w:pos="5040"/>
        </w:tabs>
        <w:spacing w:line="240" w:lineRule="auto"/>
        <w:jc w:val="both"/>
      </w:pPr>
    </w:p>
    <w:p w:rsidR="004201AA" w:rsidP="004201AA" w14:paraId="595550FF" w14:textId="39112D70">
      <w:pPr>
        <w:keepNext/>
        <w:tabs>
          <w:tab w:val="clear" w:pos="1483"/>
          <w:tab w:val="left" w:pos="5040"/>
        </w:tabs>
        <w:spacing w:line="240" w:lineRule="auto"/>
        <w:jc w:val="both"/>
      </w:pPr>
    </w:p>
    <w:p w:rsidR="004201AA" w:rsidP="004201AA" w14:paraId="6309039E" w14:textId="3DA2CBEC">
      <w:pPr>
        <w:keepNext/>
        <w:tabs>
          <w:tab w:val="clear" w:pos="1483"/>
          <w:tab w:val="left" w:pos="5040"/>
        </w:tabs>
        <w:spacing w:line="240" w:lineRule="auto"/>
        <w:jc w:val="both"/>
      </w:pPr>
    </w:p>
    <w:p w:rsidR="004201AA" w:rsidP="004201AA" w14:paraId="52527336" w14:textId="7976D0CD">
      <w:pPr>
        <w:keepNext/>
        <w:tabs>
          <w:tab w:val="clear" w:pos="1483"/>
          <w:tab w:val="left" w:pos="5040"/>
        </w:tabs>
        <w:spacing w:line="240" w:lineRule="auto"/>
        <w:jc w:val="both"/>
      </w:pPr>
      <w:r>
        <w:t>O’LEARY, P. J.</w:t>
      </w:r>
    </w:p>
    <w:p w:rsidR="004201AA" w:rsidP="004201AA" w14:paraId="5541A950" w14:textId="5309438B">
      <w:pPr>
        <w:keepNext/>
        <w:tabs>
          <w:tab w:val="clear" w:pos="1483"/>
          <w:tab w:val="left" w:pos="5040"/>
        </w:tabs>
        <w:spacing w:line="240" w:lineRule="auto"/>
        <w:jc w:val="both"/>
      </w:pPr>
    </w:p>
    <w:p w:rsidR="004201AA" w:rsidP="004201AA" w14:paraId="25711167" w14:textId="7DB55117">
      <w:pPr>
        <w:keepNext/>
        <w:tabs>
          <w:tab w:val="clear" w:pos="1483"/>
          <w:tab w:val="left" w:pos="5040"/>
        </w:tabs>
        <w:spacing w:line="240" w:lineRule="auto"/>
        <w:jc w:val="both"/>
      </w:pPr>
    </w:p>
    <w:p w:rsidR="004201AA" w:rsidP="004201AA" w14:paraId="2FF4D3CC" w14:textId="30F6A83B">
      <w:pPr>
        <w:keepNext/>
        <w:tabs>
          <w:tab w:val="clear" w:pos="1483"/>
          <w:tab w:val="left" w:pos="5040"/>
        </w:tabs>
        <w:spacing w:line="240" w:lineRule="auto"/>
        <w:jc w:val="both"/>
      </w:pPr>
    </w:p>
    <w:p w:rsidR="004201AA" w:rsidP="004201AA" w14:paraId="6239F557" w14:textId="7FF896D1">
      <w:pPr>
        <w:keepNext/>
        <w:tabs>
          <w:tab w:val="clear" w:pos="1483"/>
          <w:tab w:val="left" w:pos="5040"/>
        </w:tabs>
        <w:spacing w:line="240" w:lineRule="auto"/>
        <w:jc w:val="both"/>
      </w:pPr>
      <w:r>
        <w:t>MOORE, J.</w:t>
      </w:r>
    </w:p>
    <w:p w:rsidR="000022B7" w:rsidP="004201AA" w14:paraId="5D8A67DF" w14:textId="77777777">
      <w:pPr>
        <w:keepNext/>
        <w:tabs>
          <w:tab w:val="clear" w:pos="1483"/>
          <w:tab w:val="left" w:pos="5040"/>
        </w:tabs>
        <w:spacing w:line="240" w:lineRule="auto"/>
        <w:jc w:val="both"/>
      </w:pPr>
    </w:p>
    <w:p w:rsidR="000022B7" w:rsidP="004201AA" w14:paraId="591EA1C0" w14:textId="77777777">
      <w:pPr>
        <w:keepNext/>
        <w:tabs>
          <w:tab w:val="clear" w:pos="1483"/>
          <w:tab w:val="left" w:pos="5040"/>
        </w:tabs>
        <w:spacing w:line="240" w:lineRule="auto"/>
        <w:jc w:val="both"/>
        <w:sectPr w:rsidSect="0054370E">
          <w:footerReference w:type="even" r:id="rId5"/>
          <w:footerReference w:type="default" r:id="rId6"/>
          <w:pgSz w:w="12240" w:h="15840" w:code="1"/>
          <w:pgMar w:top="1440" w:right="1440" w:bottom="1440" w:left="1440" w:header="720" w:footer="720" w:gutter="0"/>
          <w:cols w:space="720"/>
          <w:titlePg/>
          <w:docGrid w:linePitch="360"/>
        </w:sectPr>
      </w:pPr>
    </w:p>
    <w:p w:rsidR="000022B7" w:rsidRPr="000022B7" w:rsidP="000022B7" w14:paraId="6DB2D696" w14:textId="77777777">
      <w:pPr>
        <w:tabs>
          <w:tab w:val="clear" w:pos="1483"/>
        </w:tabs>
        <w:spacing w:line="240" w:lineRule="auto"/>
        <w:rPr>
          <w:szCs w:val="20"/>
        </w:rPr>
      </w:pPr>
      <w:r w:rsidRPr="000022B7">
        <w:rPr>
          <w:szCs w:val="20"/>
        </w:rPr>
        <w:t>Filed 10/16/23</w:t>
      </w:r>
    </w:p>
    <w:p w:rsidR="000022B7" w:rsidRPr="000022B7" w:rsidP="000022B7" w14:paraId="00DF309B" w14:textId="77777777">
      <w:pPr>
        <w:tabs>
          <w:tab w:val="clear" w:pos="1483"/>
        </w:tabs>
        <w:spacing w:line="240" w:lineRule="auto"/>
        <w:rPr>
          <w:szCs w:val="20"/>
        </w:rPr>
      </w:pPr>
    </w:p>
    <w:p w:rsidR="000022B7" w:rsidRPr="000022B7" w:rsidP="000022B7" w14:paraId="0D586462" w14:textId="77777777">
      <w:pPr>
        <w:tabs>
          <w:tab w:val="clear" w:pos="1483"/>
        </w:tabs>
        <w:spacing w:line="240" w:lineRule="auto"/>
        <w:jc w:val="center"/>
        <w:rPr>
          <w:szCs w:val="20"/>
        </w:rPr>
      </w:pPr>
      <w:r w:rsidRPr="000022B7">
        <w:rPr>
          <w:b/>
          <w:szCs w:val="20"/>
        </w:rPr>
        <w:t>CERTIFIED FOR PUBLICATION</w:t>
      </w:r>
    </w:p>
    <w:p w:rsidR="000022B7" w:rsidRPr="000022B7" w:rsidP="000022B7" w14:paraId="130FAE51" w14:textId="77777777">
      <w:pPr>
        <w:tabs>
          <w:tab w:val="clear" w:pos="1483"/>
        </w:tabs>
        <w:spacing w:line="240" w:lineRule="auto"/>
        <w:jc w:val="center"/>
        <w:rPr>
          <w:szCs w:val="20"/>
        </w:rPr>
      </w:pPr>
    </w:p>
    <w:p w:rsidR="000022B7" w:rsidRPr="000022B7" w:rsidP="000022B7" w14:paraId="5B9F0692" w14:textId="77777777">
      <w:pPr>
        <w:tabs>
          <w:tab w:val="clear" w:pos="1483"/>
        </w:tabs>
        <w:spacing w:line="240" w:lineRule="auto"/>
        <w:jc w:val="center"/>
        <w:rPr>
          <w:szCs w:val="20"/>
        </w:rPr>
      </w:pPr>
      <w:r w:rsidRPr="000022B7">
        <w:rPr>
          <w:szCs w:val="20"/>
        </w:rPr>
        <w:t>IN THE COURT OF APPEAL OF THE STATE OF CALIFORNIA</w:t>
      </w:r>
    </w:p>
    <w:p w:rsidR="000022B7" w:rsidRPr="000022B7" w:rsidP="000022B7" w14:paraId="7ECBE684" w14:textId="77777777">
      <w:pPr>
        <w:tabs>
          <w:tab w:val="clear" w:pos="1483"/>
        </w:tabs>
        <w:spacing w:line="240" w:lineRule="auto"/>
        <w:jc w:val="center"/>
        <w:rPr>
          <w:szCs w:val="20"/>
        </w:rPr>
      </w:pPr>
    </w:p>
    <w:p w:rsidR="000022B7" w:rsidRPr="000022B7" w:rsidP="000022B7" w14:paraId="6F574572" w14:textId="77777777">
      <w:pPr>
        <w:tabs>
          <w:tab w:val="clear" w:pos="1483"/>
        </w:tabs>
        <w:spacing w:line="240" w:lineRule="auto"/>
        <w:jc w:val="center"/>
        <w:rPr>
          <w:szCs w:val="20"/>
        </w:rPr>
      </w:pPr>
      <w:r w:rsidRPr="000022B7">
        <w:rPr>
          <w:szCs w:val="20"/>
        </w:rPr>
        <w:t>FOURTH APPELLATE DISTRICT</w:t>
      </w:r>
    </w:p>
    <w:p w:rsidR="000022B7" w:rsidRPr="000022B7" w:rsidP="000022B7" w14:paraId="02100B0C" w14:textId="77777777">
      <w:pPr>
        <w:tabs>
          <w:tab w:val="clear" w:pos="1483"/>
        </w:tabs>
        <w:spacing w:line="240" w:lineRule="auto"/>
        <w:jc w:val="center"/>
        <w:rPr>
          <w:szCs w:val="20"/>
        </w:rPr>
      </w:pPr>
    </w:p>
    <w:p w:rsidR="000022B7" w:rsidRPr="000022B7" w:rsidP="000022B7" w14:paraId="3C847CBD" w14:textId="77777777">
      <w:pPr>
        <w:tabs>
          <w:tab w:val="clear" w:pos="1483"/>
        </w:tabs>
        <w:spacing w:line="240" w:lineRule="auto"/>
        <w:jc w:val="center"/>
        <w:rPr>
          <w:szCs w:val="20"/>
        </w:rPr>
      </w:pPr>
      <w:r w:rsidRPr="000022B7">
        <w:rPr>
          <w:szCs w:val="20"/>
        </w:rPr>
        <w:t>DIVISION THREE</w:t>
      </w:r>
    </w:p>
    <w:p w:rsidR="000022B7" w:rsidRPr="000022B7" w:rsidP="000022B7" w14:paraId="41B22D0A" w14:textId="77777777">
      <w:pPr>
        <w:tabs>
          <w:tab w:val="clear" w:pos="1483"/>
        </w:tabs>
        <w:spacing w:line="240" w:lineRule="auto"/>
        <w:jc w:val="center"/>
        <w:rPr>
          <w:szCs w:val="20"/>
        </w:rPr>
      </w:pPr>
    </w:p>
    <w:tbl>
      <w:tblPr>
        <w:tblW w:w="0" w:type="auto"/>
        <w:tblLayout w:type="fixed"/>
        <w:tblLook w:val="0000"/>
      </w:tblPr>
      <w:tblGrid>
        <w:gridCol w:w="4680"/>
        <w:gridCol w:w="4680"/>
      </w:tblGrid>
      <w:tr w14:paraId="31FDB83C" w14:textId="77777777" w:rsidTr="00FD03D3">
        <w:tblPrEx>
          <w:tblW w:w="0" w:type="auto"/>
          <w:tblLayout w:type="fixed"/>
          <w:tblLook w:val="0000"/>
        </w:tblPrEx>
        <w:tc>
          <w:tcPr>
            <w:tcW w:w="4680" w:type="dxa"/>
            <w:tcBorders>
              <w:bottom w:val="single" w:sz="4" w:space="0" w:color="auto"/>
              <w:right w:val="single" w:sz="4" w:space="0" w:color="auto"/>
            </w:tcBorders>
            <w:shd w:val="clear" w:color="auto" w:fill="auto"/>
          </w:tcPr>
          <w:p w:rsidR="000022B7" w:rsidRPr="000022B7" w:rsidP="000022B7" w14:paraId="6B76A2F6" w14:textId="77777777">
            <w:pPr>
              <w:tabs>
                <w:tab w:val="clear" w:pos="1483"/>
              </w:tabs>
              <w:spacing w:line="240" w:lineRule="auto"/>
              <w:rPr>
                <w:szCs w:val="20"/>
              </w:rPr>
            </w:pPr>
            <w:r w:rsidRPr="000022B7">
              <w:rPr>
                <w:szCs w:val="20"/>
              </w:rPr>
              <w:t>THE PEOPLE,</w:t>
            </w:r>
          </w:p>
          <w:p w:rsidR="000022B7" w:rsidRPr="000022B7" w:rsidP="000022B7" w14:paraId="41569866" w14:textId="77777777">
            <w:pPr>
              <w:tabs>
                <w:tab w:val="clear" w:pos="1483"/>
              </w:tabs>
              <w:spacing w:line="240" w:lineRule="auto"/>
              <w:rPr>
                <w:szCs w:val="20"/>
              </w:rPr>
            </w:pPr>
          </w:p>
          <w:p w:rsidR="000022B7" w:rsidRPr="000022B7" w:rsidP="000022B7" w14:paraId="32216396" w14:textId="77777777">
            <w:pPr>
              <w:tabs>
                <w:tab w:val="clear" w:pos="1483"/>
              </w:tabs>
              <w:spacing w:line="240" w:lineRule="auto"/>
              <w:rPr>
                <w:szCs w:val="20"/>
              </w:rPr>
            </w:pPr>
            <w:r w:rsidRPr="000022B7">
              <w:rPr>
                <w:szCs w:val="20"/>
              </w:rPr>
              <w:t xml:space="preserve">      Plaintiff and Respondent,</w:t>
            </w:r>
          </w:p>
          <w:p w:rsidR="000022B7" w:rsidRPr="000022B7" w:rsidP="000022B7" w14:paraId="45F645DD" w14:textId="77777777">
            <w:pPr>
              <w:tabs>
                <w:tab w:val="clear" w:pos="1483"/>
              </w:tabs>
              <w:spacing w:line="240" w:lineRule="auto"/>
              <w:rPr>
                <w:szCs w:val="20"/>
              </w:rPr>
            </w:pPr>
          </w:p>
          <w:p w:rsidR="000022B7" w:rsidRPr="000022B7" w:rsidP="000022B7" w14:paraId="13E2F6FF" w14:textId="77777777">
            <w:pPr>
              <w:tabs>
                <w:tab w:val="clear" w:pos="1483"/>
              </w:tabs>
              <w:spacing w:line="240" w:lineRule="auto"/>
              <w:rPr>
                <w:szCs w:val="20"/>
              </w:rPr>
            </w:pPr>
            <w:r w:rsidRPr="000022B7">
              <w:rPr>
                <w:szCs w:val="20"/>
              </w:rPr>
              <w:tab/>
              <w:t>v.</w:t>
            </w:r>
          </w:p>
          <w:p w:rsidR="000022B7" w:rsidRPr="000022B7" w:rsidP="000022B7" w14:paraId="052A4199" w14:textId="77777777">
            <w:pPr>
              <w:tabs>
                <w:tab w:val="clear" w:pos="1483"/>
              </w:tabs>
              <w:spacing w:line="240" w:lineRule="auto"/>
              <w:rPr>
                <w:szCs w:val="20"/>
              </w:rPr>
            </w:pPr>
          </w:p>
          <w:p w:rsidR="000022B7" w:rsidRPr="000022B7" w:rsidP="000022B7" w14:paraId="41233D75" w14:textId="77777777">
            <w:pPr>
              <w:tabs>
                <w:tab w:val="clear" w:pos="1483"/>
              </w:tabs>
              <w:spacing w:line="240" w:lineRule="auto"/>
              <w:rPr>
                <w:szCs w:val="20"/>
              </w:rPr>
            </w:pPr>
            <w:r w:rsidRPr="000022B7">
              <w:rPr>
                <w:szCs w:val="20"/>
              </w:rPr>
              <w:t>JOSE LUIS SAAVEDRA,</w:t>
            </w:r>
          </w:p>
          <w:p w:rsidR="000022B7" w:rsidRPr="000022B7" w:rsidP="000022B7" w14:paraId="7FF99827" w14:textId="77777777">
            <w:pPr>
              <w:tabs>
                <w:tab w:val="clear" w:pos="1483"/>
              </w:tabs>
              <w:spacing w:line="240" w:lineRule="auto"/>
              <w:rPr>
                <w:szCs w:val="20"/>
              </w:rPr>
            </w:pPr>
          </w:p>
          <w:p w:rsidR="000022B7" w:rsidRPr="000022B7" w:rsidP="000022B7" w14:paraId="254F0A87" w14:textId="77777777">
            <w:pPr>
              <w:tabs>
                <w:tab w:val="clear" w:pos="1483"/>
              </w:tabs>
              <w:spacing w:line="240" w:lineRule="auto"/>
              <w:rPr>
                <w:szCs w:val="20"/>
              </w:rPr>
            </w:pPr>
            <w:r w:rsidRPr="000022B7">
              <w:rPr>
                <w:szCs w:val="20"/>
              </w:rPr>
              <w:t xml:space="preserve">      Defendant and Appellant.</w:t>
            </w:r>
          </w:p>
        </w:tc>
        <w:tc>
          <w:tcPr>
            <w:tcW w:w="4680" w:type="dxa"/>
            <w:tcBorders>
              <w:left w:val="single" w:sz="4" w:space="0" w:color="auto"/>
            </w:tcBorders>
            <w:shd w:val="clear" w:color="auto" w:fill="auto"/>
          </w:tcPr>
          <w:p w:rsidR="000022B7" w:rsidRPr="000022B7" w:rsidP="000022B7" w14:paraId="6453A858" w14:textId="77777777">
            <w:pPr>
              <w:tabs>
                <w:tab w:val="clear" w:pos="1483"/>
              </w:tabs>
              <w:spacing w:line="240" w:lineRule="auto"/>
              <w:rPr>
                <w:szCs w:val="20"/>
              </w:rPr>
            </w:pPr>
          </w:p>
          <w:p w:rsidR="000022B7" w:rsidRPr="000022B7" w:rsidP="000022B7" w14:paraId="786E26DC" w14:textId="77777777">
            <w:pPr>
              <w:tabs>
                <w:tab w:val="clear" w:pos="1483"/>
              </w:tabs>
              <w:spacing w:line="240" w:lineRule="auto"/>
              <w:rPr>
                <w:szCs w:val="20"/>
              </w:rPr>
            </w:pPr>
          </w:p>
          <w:p w:rsidR="000022B7" w:rsidRPr="000022B7" w:rsidP="000022B7" w14:paraId="34D5BF88" w14:textId="77777777">
            <w:pPr>
              <w:tabs>
                <w:tab w:val="clear" w:pos="1483"/>
              </w:tabs>
              <w:spacing w:line="240" w:lineRule="auto"/>
              <w:rPr>
                <w:szCs w:val="20"/>
              </w:rPr>
            </w:pPr>
            <w:r w:rsidRPr="000022B7">
              <w:rPr>
                <w:szCs w:val="20"/>
              </w:rPr>
              <w:t xml:space="preserve">     G061556</w:t>
            </w:r>
          </w:p>
          <w:p w:rsidR="000022B7" w:rsidRPr="000022B7" w:rsidP="000022B7" w14:paraId="072196C2" w14:textId="77777777">
            <w:pPr>
              <w:tabs>
                <w:tab w:val="clear" w:pos="1483"/>
              </w:tabs>
              <w:spacing w:line="240" w:lineRule="auto"/>
              <w:rPr>
                <w:szCs w:val="20"/>
              </w:rPr>
            </w:pPr>
          </w:p>
          <w:p w:rsidR="000022B7" w:rsidRPr="000022B7" w:rsidP="000022B7" w14:paraId="2EA1357E" w14:textId="77777777">
            <w:pPr>
              <w:tabs>
                <w:tab w:val="clear" w:pos="1483"/>
              </w:tabs>
              <w:spacing w:line="240" w:lineRule="auto"/>
              <w:rPr>
                <w:szCs w:val="20"/>
              </w:rPr>
            </w:pPr>
            <w:r w:rsidRPr="000022B7">
              <w:rPr>
                <w:szCs w:val="20"/>
              </w:rPr>
              <w:t xml:space="preserve">     (Super. Ct. No. 02CF1743)</w:t>
            </w:r>
          </w:p>
          <w:p w:rsidR="000022B7" w:rsidRPr="000022B7" w:rsidP="000022B7" w14:paraId="798DF245" w14:textId="77777777">
            <w:pPr>
              <w:tabs>
                <w:tab w:val="clear" w:pos="1483"/>
              </w:tabs>
              <w:spacing w:line="240" w:lineRule="auto"/>
              <w:rPr>
                <w:szCs w:val="20"/>
              </w:rPr>
            </w:pPr>
          </w:p>
          <w:p w:rsidR="000022B7" w:rsidRPr="000022B7" w:rsidP="000022B7" w14:paraId="5594368E" w14:textId="77777777">
            <w:pPr>
              <w:tabs>
                <w:tab w:val="clear" w:pos="1483"/>
              </w:tabs>
              <w:spacing w:line="240" w:lineRule="auto"/>
              <w:rPr>
                <w:szCs w:val="20"/>
              </w:rPr>
            </w:pPr>
            <w:r w:rsidRPr="000022B7">
              <w:rPr>
                <w:szCs w:val="20"/>
              </w:rPr>
              <w:t xml:space="preserve">     O R D E R</w:t>
            </w:r>
          </w:p>
        </w:tc>
      </w:tr>
    </w:tbl>
    <w:p w:rsidR="000022B7" w:rsidRPr="000022B7" w:rsidP="000022B7" w14:paraId="6D9196AF" w14:textId="77777777">
      <w:pPr>
        <w:tabs>
          <w:tab w:val="clear" w:pos="1483"/>
        </w:tabs>
        <w:rPr>
          <w:szCs w:val="20"/>
        </w:rPr>
      </w:pPr>
      <w:r w:rsidRPr="000022B7">
        <w:rPr>
          <w:szCs w:val="20"/>
        </w:rPr>
        <w:tab/>
      </w:r>
    </w:p>
    <w:p w:rsidR="000022B7" w:rsidRPr="000022B7" w:rsidP="000022B7" w14:paraId="054E9CF5" w14:textId="77777777">
      <w:pPr>
        <w:tabs>
          <w:tab w:val="clear" w:pos="1483"/>
        </w:tabs>
        <w:rPr>
          <w:szCs w:val="20"/>
        </w:rPr>
      </w:pPr>
      <w:r w:rsidRPr="000022B7">
        <w:rPr>
          <w:szCs w:val="20"/>
        </w:rPr>
        <w:tab/>
        <w:t xml:space="preserve">The Office of the District Attorney has requested that our opinion, filed on September 20, 2023, be certified for publication.  It appears that our opinion meets the standards set forth in California Rules of Court, rule 8.1105(c).  The request is GRANTED. </w:t>
      </w:r>
    </w:p>
    <w:p w:rsidR="000022B7" w:rsidRPr="000022B7" w:rsidP="000022B7" w14:paraId="33E80D57" w14:textId="77777777">
      <w:pPr>
        <w:tabs>
          <w:tab w:val="clear" w:pos="1483"/>
        </w:tabs>
        <w:rPr>
          <w:szCs w:val="20"/>
        </w:rPr>
      </w:pPr>
      <w:r w:rsidRPr="000022B7">
        <w:rPr>
          <w:szCs w:val="20"/>
        </w:rPr>
        <w:tab/>
        <w:t>The opinion is ordered published in the Official Reports.</w:t>
      </w:r>
    </w:p>
    <w:p w:rsidR="000022B7" w:rsidRPr="000022B7" w:rsidP="000022B7" w14:paraId="0EDD8BCA" w14:textId="77777777">
      <w:pPr>
        <w:keepNext/>
        <w:tabs>
          <w:tab w:val="clear" w:pos="1483"/>
          <w:tab w:val="left" w:pos="5040"/>
        </w:tabs>
        <w:spacing w:line="240" w:lineRule="auto"/>
        <w:rPr>
          <w:szCs w:val="20"/>
        </w:rPr>
      </w:pPr>
    </w:p>
    <w:p w:rsidR="000022B7" w:rsidRPr="000022B7" w:rsidP="000022B7" w14:paraId="64488B43" w14:textId="77777777">
      <w:pPr>
        <w:keepNext/>
        <w:tabs>
          <w:tab w:val="clear" w:pos="1483"/>
          <w:tab w:val="left" w:pos="5040"/>
        </w:tabs>
        <w:spacing w:line="240" w:lineRule="auto"/>
        <w:rPr>
          <w:szCs w:val="20"/>
        </w:rPr>
      </w:pPr>
    </w:p>
    <w:p w:rsidR="000022B7" w:rsidRPr="000022B7" w:rsidP="000022B7" w14:paraId="4E138319" w14:textId="77777777">
      <w:pPr>
        <w:keepNext/>
        <w:tabs>
          <w:tab w:val="clear" w:pos="1483"/>
          <w:tab w:val="left" w:pos="5040"/>
        </w:tabs>
        <w:spacing w:line="240" w:lineRule="auto"/>
        <w:rPr>
          <w:szCs w:val="20"/>
        </w:rPr>
      </w:pPr>
      <w:r w:rsidRPr="000022B7">
        <w:rPr>
          <w:szCs w:val="20"/>
        </w:rPr>
        <w:tab/>
        <w:t>SANCHEZ, J.</w:t>
      </w:r>
    </w:p>
    <w:p w:rsidR="000022B7" w:rsidRPr="000022B7" w:rsidP="000022B7" w14:paraId="5D99364A" w14:textId="77777777">
      <w:pPr>
        <w:keepNext/>
        <w:tabs>
          <w:tab w:val="clear" w:pos="1483"/>
          <w:tab w:val="left" w:pos="5040"/>
        </w:tabs>
        <w:spacing w:line="240" w:lineRule="auto"/>
        <w:rPr>
          <w:szCs w:val="20"/>
        </w:rPr>
      </w:pPr>
    </w:p>
    <w:p w:rsidR="000022B7" w:rsidRPr="000022B7" w:rsidP="000022B7" w14:paraId="59C4976A" w14:textId="77777777">
      <w:pPr>
        <w:keepNext/>
        <w:tabs>
          <w:tab w:val="clear" w:pos="1483"/>
          <w:tab w:val="left" w:pos="5040"/>
        </w:tabs>
        <w:spacing w:line="240" w:lineRule="auto"/>
        <w:rPr>
          <w:szCs w:val="20"/>
        </w:rPr>
      </w:pPr>
      <w:r w:rsidRPr="000022B7">
        <w:rPr>
          <w:szCs w:val="20"/>
        </w:rPr>
        <w:t>WE CONCUR:</w:t>
      </w:r>
    </w:p>
    <w:p w:rsidR="000022B7" w:rsidRPr="000022B7" w:rsidP="000022B7" w14:paraId="65F191E0" w14:textId="77777777">
      <w:pPr>
        <w:keepNext/>
        <w:tabs>
          <w:tab w:val="clear" w:pos="1483"/>
          <w:tab w:val="left" w:pos="5040"/>
        </w:tabs>
        <w:spacing w:line="240" w:lineRule="auto"/>
        <w:rPr>
          <w:szCs w:val="20"/>
        </w:rPr>
      </w:pPr>
    </w:p>
    <w:p w:rsidR="000022B7" w:rsidRPr="000022B7" w:rsidP="000022B7" w14:paraId="7F762C71" w14:textId="77777777">
      <w:pPr>
        <w:keepNext/>
        <w:tabs>
          <w:tab w:val="clear" w:pos="1483"/>
          <w:tab w:val="left" w:pos="5040"/>
        </w:tabs>
        <w:spacing w:line="240" w:lineRule="auto"/>
        <w:rPr>
          <w:szCs w:val="20"/>
        </w:rPr>
      </w:pPr>
    </w:p>
    <w:p w:rsidR="000022B7" w:rsidRPr="000022B7" w:rsidP="000022B7" w14:paraId="7393E4BB" w14:textId="77777777">
      <w:pPr>
        <w:keepNext/>
        <w:tabs>
          <w:tab w:val="clear" w:pos="1483"/>
          <w:tab w:val="left" w:pos="5040"/>
        </w:tabs>
        <w:spacing w:line="240" w:lineRule="auto"/>
        <w:rPr>
          <w:szCs w:val="20"/>
        </w:rPr>
      </w:pPr>
    </w:p>
    <w:p w:rsidR="000022B7" w:rsidRPr="000022B7" w:rsidP="000022B7" w14:paraId="0BBAD98A" w14:textId="77777777">
      <w:pPr>
        <w:keepNext/>
        <w:tabs>
          <w:tab w:val="clear" w:pos="1483"/>
          <w:tab w:val="left" w:pos="5040"/>
        </w:tabs>
        <w:spacing w:line="240" w:lineRule="auto"/>
        <w:rPr>
          <w:szCs w:val="20"/>
        </w:rPr>
      </w:pPr>
      <w:r w:rsidRPr="000022B7">
        <w:rPr>
          <w:szCs w:val="20"/>
        </w:rPr>
        <w:t>O’LEARY, P. J.</w:t>
      </w:r>
    </w:p>
    <w:p w:rsidR="000022B7" w:rsidRPr="000022B7" w:rsidP="000022B7" w14:paraId="1A384380" w14:textId="77777777">
      <w:pPr>
        <w:keepNext/>
        <w:tabs>
          <w:tab w:val="clear" w:pos="1483"/>
          <w:tab w:val="left" w:pos="5040"/>
        </w:tabs>
        <w:spacing w:line="240" w:lineRule="auto"/>
        <w:rPr>
          <w:szCs w:val="20"/>
        </w:rPr>
      </w:pPr>
    </w:p>
    <w:p w:rsidR="000022B7" w:rsidRPr="000022B7" w:rsidP="000022B7" w14:paraId="7B823A19" w14:textId="77777777">
      <w:pPr>
        <w:keepNext/>
        <w:tabs>
          <w:tab w:val="clear" w:pos="1483"/>
          <w:tab w:val="left" w:pos="5040"/>
        </w:tabs>
        <w:spacing w:line="240" w:lineRule="auto"/>
        <w:rPr>
          <w:szCs w:val="20"/>
        </w:rPr>
      </w:pPr>
    </w:p>
    <w:p w:rsidR="000022B7" w:rsidRPr="000022B7" w:rsidP="000022B7" w14:paraId="4DFBBE8D" w14:textId="77777777">
      <w:pPr>
        <w:keepNext/>
        <w:tabs>
          <w:tab w:val="clear" w:pos="1483"/>
          <w:tab w:val="left" w:pos="5040"/>
        </w:tabs>
        <w:spacing w:line="240" w:lineRule="auto"/>
        <w:rPr>
          <w:szCs w:val="20"/>
        </w:rPr>
      </w:pPr>
    </w:p>
    <w:p w:rsidR="000022B7" w:rsidRPr="000022B7" w:rsidP="000022B7" w14:paraId="4DCA0F99" w14:textId="77777777">
      <w:pPr>
        <w:keepNext/>
        <w:tabs>
          <w:tab w:val="clear" w:pos="1483"/>
          <w:tab w:val="left" w:pos="5040"/>
        </w:tabs>
        <w:spacing w:line="240" w:lineRule="auto"/>
        <w:rPr>
          <w:szCs w:val="20"/>
        </w:rPr>
      </w:pPr>
      <w:r w:rsidRPr="000022B7">
        <w:rPr>
          <w:szCs w:val="20"/>
        </w:rPr>
        <w:t>MOORE, J.</w:t>
      </w:r>
    </w:p>
    <w:p w:rsidR="000022B7" w:rsidP="004201AA" w14:paraId="522BCB78" w14:textId="77777777">
      <w:pPr>
        <w:keepNext/>
        <w:tabs>
          <w:tab w:val="clear" w:pos="1483"/>
          <w:tab w:val="left" w:pos="5040"/>
        </w:tabs>
        <w:spacing w:line="240" w:lineRule="auto"/>
        <w:jc w:val="both"/>
      </w:pPr>
    </w:p>
    <w:sectPr w:rsidSect="007929CA">
      <w:footerReference w:type="even" r:id="rId7"/>
      <w:foot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70E" w:rsidP="00545656" w14:paraId="04F17CFA"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0972DD">
      <w:rPr>
        <w:rStyle w:val="PageNumber"/>
      </w:rPr>
      <w:fldChar w:fldCharType="separate"/>
    </w:r>
    <w:r>
      <w:rPr>
        <w:rStyle w:val="PageNumber"/>
      </w:rPr>
      <w:fldChar w:fldCharType="end"/>
    </w:r>
  </w:p>
  <w:p w:rsidR="0054370E" w14:paraId="3F5433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370E" w:rsidP="00545656" w14:paraId="5F3677EF"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4370E" w14:paraId="47A3F4C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22B7" w:rsidP="00F923BC" w14:paraId="5BC53B65"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0972DD">
      <w:rPr>
        <w:rStyle w:val="PageNumber"/>
      </w:rPr>
      <w:fldChar w:fldCharType="separate"/>
    </w:r>
    <w:r>
      <w:rPr>
        <w:rStyle w:val="PageNumber"/>
      </w:rPr>
      <w:fldChar w:fldCharType="end"/>
    </w:r>
  </w:p>
  <w:p w:rsidR="000022B7" w14:paraId="3884713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22B7" w:rsidP="00F923BC" w14:paraId="188FD259"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0022B7" w14:paraId="608564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4370E" w:rsidP="0054370E" w14:paraId="6E39664C" w14:textId="77777777">
      <w:pPr>
        <w:spacing w:line="240" w:lineRule="auto"/>
      </w:pPr>
      <w:r>
        <w:separator/>
      </w:r>
    </w:p>
  </w:footnote>
  <w:footnote w:type="continuationSeparator" w:id="1">
    <w:p w:rsidR="0054370E" w:rsidP="0054370E" w14:paraId="17A3041B" w14:textId="77777777">
      <w:pPr>
        <w:spacing w:line="240" w:lineRule="auto"/>
      </w:pPr>
      <w:r>
        <w:continuationSeparator/>
      </w:r>
    </w:p>
  </w:footnote>
  <w:footnote w:id="2">
    <w:p w:rsidR="003C186C" w:rsidP="003C186C" w14:paraId="7597A9C8" w14:textId="22899B80">
      <w:pPr>
        <w:pStyle w:val="FootnoteText"/>
      </w:pPr>
      <w:r>
        <w:tab/>
      </w:r>
      <w:r w:rsidRPr="00D6111A">
        <w:rPr>
          <w:rStyle w:val="FootnoteReference"/>
          <w:sz w:val="26"/>
          <w:szCs w:val="26"/>
        </w:rPr>
        <w:footnoteRef/>
      </w:r>
      <w:r>
        <w:t xml:space="preserve">  </w:t>
      </w:r>
      <w:r w:rsidRPr="00D6111A">
        <w:t xml:space="preserve">Effective June 30, 2022, Penal Code section 1170.95 was renumbered section 1172.6, with no change in text. </w:t>
      </w:r>
      <w:r>
        <w:t xml:space="preserve"> </w:t>
      </w:r>
      <w:r w:rsidRPr="00D6111A">
        <w:t>(Stats. 2022, ch. 58, §</w:t>
      </w:r>
      <w:r>
        <w:t> </w:t>
      </w:r>
      <w:r w:rsidRPr="00D6111A">
        <w:t>10.)</w:t>
      </w:r>
      <w:r>
        <w:t xml:space="preserve">  We shall use the current Penal Code section number throughout our opinion. </w:t>
      </w:r>
      <w:r w:rsidR="00A33E10">
        <w:t xml:space="preserve"> </w:t>
      </w:r>
      <w:r>
        <w:t xml:space="preserve">All further statutory references are to the Penal Code.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3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0E"/>
    <w:rsid w:val="000022B7"/>
    <w:rsid w:val="000342E3"/>
    <w:rsid w:val="000972DD"/>
    <w:rsid w:val="000D07E3"/>
    <w:rsid w:val="000F5DC3"/>
    <w:rsid w:val="00137233"/>
    <w:rsid w:val="00164096"/>
    <w:rsid w:val="00182E7F"/>
    <w:rsid w:val="00185DF3"/>
    <w:rsid w:val="001C54C7"/>
    <w:rsid w:val="001D3E9A"/>
    <w:rsid w:val="00214D2D"/>
    <w:rsid w:val="00253BAC"/>
    <w:rsid w:val="00263764"/>
    <w:rsid w:val="002C4093"/>
    <w:rsid w:val="002C5F84"/>
    <w:rsid w:val="002F13AE"/>
    <w:rsid w:val="002F4EB5"/>
    <w:rsid w:val="00304059"/>
    <w:rsid w:val="00327C09"/>
    <w:rsid w:val="003350A0"/>
    <w:rsid w:val="003A622D"/>
    <w:rsid w:val="003B10AC"/>
    <w:rsid w:val="003B733E"/>
    <w:rsid w:val="003C0A2C"/>
    <w:rsid w:val="003C186C"/>
    <w:rsid w:val="003D3DAD"/>
    <w:rsid w:val="004201AA"/>
    <w:rsid w:val="00424C1A"/>
    <w:rsid w:val="00432055"/>
    <w:rsid w:val="00455291"/>
    <w:rsid w:val="004B3CF9"/>
    <w:rsid w:val="004F2835"/>
    <w:rsid w:val="0054370E"/>
    <w:rsid w:val="00545656"/>
    <w:rsid w:val="00564A10"/>
    <w:rsid w:val="00573503"/>
    <w:rsid w:val="005A1708"/>
    <w:rsid w:val="005A257D"/>
    <w:rsid w:val="005C62FD"/>
    <w:rsid w:val="005C7F4D"/>
    <w:rsid w:val="00617699"/>
    <w:rsid w:val="006E581F"/>
    <w:rsid w:val="006F42E7"/>
    <w:rsid w:val="006F6FB9"/>
    <w:rsid w:val="00736E57"/>
    <w:rsid w:val="00770E5A"/>
    <w:rsid w:val="00796F1F"/>
    <w:rsid w:val="007B160A"/>
    <w:rsid w:val="007D1AD1"/>
    <w:rsid w:val="008209A9"/>
    <w:rsid w:val="008C6E47"/>
    <w:rsid w:val="008D1DCC"/>
    <w:rsid w:val="008D31A9"/>
    <w:rsid w:val="008F7EB4"/>
    <w:rsid w:val="0090723A"/>
    <w:rsid w:val="00934729"/>
    <w:rsid w:val="009347F5"/>
    <w:rsid w:val="00957A7A"/>
    <w:rsid w:val="00992ACE"/>
    <w:rsid w:val="00996CFE"/>
    <w:rsid w:val="009D5EE5"/>
    <w:rsid w:val="009F52EE"/>
    <w:rsid w:val="00A33E10"/>
    <w:rsid w:val="00A441B7"/>
    <w:rsid w:val="00B02238"/>
    <w:rsid w:val="00B06A84"/>
    <w:rsid w:val="00B45AEB"/>
    <w:rsid w:val="00B82264"/>
    <w:rsid w:val="00B87D8B"/>
    <w:rsid w:val="00BB74F4"/>
    <w:rsid w:val="00BD2622"/>
    <w:rsid w:val="00BE0C51"/>
    <w:rsid w:val="00C31936"/>
    <w:rsid w:val="00C511BC"/>
    <w:rsid w:val="00C84495"/>
    <w:rsid w:val="00C85ED3"/>
    <w:rsid w:val="00D2384C"/>
    <w:rsid w:val="00D24B48"/>
    <w:rsid w:val="00D6111A"/>
    <w:rsid w:val="00D66760"/>
    <w:rsid w:val="00D91955"/>
    <w:rsid w:val="00DA2A57"/>
    <w:rsid w:val="00DF3A39"/>
    <w:rsid w:val="00E12720"/>
    <w:rsid w:val="00E22D77"/>
    <w:rsid w:val="00E26BC8"/>
    <w:rsid w:val="00E31934"/>
    <w:rsid w:val="00EA7086"/>
    <w:rsid w:val="00F4574D"/>
    <w:rsid w:val="00F923BC"/>
    <w:rsid w:val="00FA08DA"/>
    <w:rsid w:val="00FE6F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483"/>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0342E3"/>
    <w:rPr>
      <w:rFonts w:ascii="Times New Roman" w:hAnsi="Times New Roman"/>
      <w:b w:val="0"/>
      <w:i w:val="0"/>
      <w:caps w:val="0"/>
      <w:smallCaps w:val="0"/>
      <w:strike w:val="0"/>
      <w:dstrike w:val="0"/>
      <w:vanish w:val="0"/>
      <w:position w:val="6"/>
      <w:sz w:val="20"/>
      <w:vertAlign w:val="superscript"/>
    </w:rPr>
  </w:style>
  <w:style w:type="paragraph" w:styleId="FootnoteText">
    <w:name w:val="footnote text"/>
    <w:basedOn w:val="Normal"/>
    <w:link w:val="FootnoteTextChar"/>
    <w:rsid w:val="000342E3"/>
    <w:pPr>
      <w:spacing w:line="240" w:lineRule="auto"/>
    </w:pPr>
    <w:rPr>
      <w:szCs w:val="20"/>
    </w:rPr>
  </w:style>
  <w:style w:type="character" w:customStyle="1" w:styleId="FootnoteTextChar">
    <w:name w:val="Footnote Text Char"/>
    <w:basedOn w:val="DefaultParagraphFont"/>
    <w:link w:val="FootnoteText"/>
    <w:rsid w:val="000342E3"/>
    <w:rPr>
      <w:sz w:val="26"/>
    </w:rPr>
  </w:style>
  <w:style w:type="paragraph" w:styleId="Header">
    <w:name w:val="header"/>
    <w:basedOn w:val="Normal"/>
    <w:link w:val="HeaderChar"/>
    <w:rsid w:val="0054370E"/>
    <w:pPr>
      <w:tabs>
        <w:tab w:val="clear" w:pos="1483"/>
        <w:tab w:val="center" w:pos="4680"/>
        <w:tab w:val="right" w:pos="9360"/>
      </w:tabs>
      <w:spacing w:line="240" w:lineRule="auto"/>
    </w:pPr>
  </w:style>
  <w:style w:type="character" w:customStyle="1" w:styleId="HeaderChar">
    <w:name w:val="Header Char"/>
    <w:basedOn w:val="DefaultParagraphFont"/>
    <w:link w:val="Header"/>
    <w:rsid w:val="0054370E"/>
  </w:style>
  <w:style w:type="paragraph" w:styleId="Footer">
    <w:name w:val="footer"/>
    <w:basedOn w:val="Normal"/>
    <w:link w:val="FooterChar"/>
    <w:rsid w:val="0054370E"/>
    <w:pPr>
      <w:tabs>
        <w:tab w:val="clear" w:pos="1483"/>
        <w:tab w:val="center" w:pos="4680"/>
        <w:tab w:val="right" w:pos="9360"/>
      </w:tabs>
      <w:spacing w:line="240" w:lineRule="auto"/>
    </w:pPr>
  </w:style>
  <w:style w:type="character" w:customStyle="1" w:styleId="FooterChar">
    <w:name w:val="Footer Char"/>
    <w:basedOn w:val="DefaultParagraphFont"/>
    <w:link w:val="Footer"/>
    <w:rsid w:val="0054370E"/>
  </w:style>
  <w:style w:type="character" w:styleId="PageNumber">
    <w:name w:val="page number"/>
    <w:basedOn w:val="DefaultParagraphFont"/>
    <w:rsid w:val="0054370E"/>
  </w:style>
  <w:style w:type="character" w:customStyle="1" w:styleId="ssrfcpassagedeactivated">
    <w:name w:val="ss_rfcpassage_deactivated"/>
    <w:basedOn w:val="DefaultParagraphFont"/>
    <w:rsid w:val="003C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2023-10-16T22:51:12Z</dcterms:created>
  <dcterms:modified xsi:type="dcterms:W3CDTF">2023-10-16T22:51:12Z</dcterms:modified>
</cp:coreProperties>
</file>