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185D30" w:rsidRPr="005D4A8C" w:rsidP="00185D30" w14:paraId="4F635FB3" w14:textId="7E6F5D7B">
      <w:pPr>
        <w:rPr>
          <w:sz w:val="20"/>
        </w:rPr>
      </w:pPr>
      <w:r w:rsidRPr="005D4A8C">
        <w:rPr>
          <w:sz w:val="20"/>
        </w:rPr>
        <w:t>Filed 5</w:t>
      </w:r>
      <w:r w:rsidR="005D4A8C">
        <w:rPr>
          <w:sz w:val="20"/>
        </w:rPr>
        <w:t>/</w:t>
      </w:r>
      <w:r w:rsidRPr="005D4A8C">
        <w:rPr>
          <w:sz w:val="20"/>
        </w:rPr>
        <w:t>16</w:t>
      </w:r>
      <w:r w:rsidR="005D4A8C">
        <w:rPr>
          <w:sz w:val="20"/>
        </w:rPr>
        <w:t>/</w:t>
      </w:r>
      <w:r w:rsidRPr="005D4A8C">
        <w:rPr>
          <w:sz w:val="20"/>
        </w:rPr>
        <w:t>23</w:t>
      </w:r>
      <w:r w:rsidR="005B1CCF">
        <w:rPr>
          <w:sz w:val="20"/>
        </w:rPr>
        <w:t>; Certified for Publication 6/5/23 (order attached)</w:t>
      </w:r>
    </w:p>
    <w:p w:rsidR="00232841" w:rsidRPr="00232841" w:rsidP="00185D30" w14:paraId="3293EF4E" w14:textId="7050572E"/>
    <w:p w:rsidR="00232841" w:rsidRPr="00232841" w:rsidP="00185D30" w14:paraId="552D635D" w14:textId="77777777"/>
    <w:p w:rsidR="00185D30" w:rsidP="00185D30" w14:paraId="325B2753" w14:textId="77777777"/>
    <w:p w:rsidR="00185D30" w:rsidP="00185D30" w14:paraId="6E007810" w14:textId="77777777"/>
    <w:p w:rsidR="00185D30" w:rsidP="00185D30" w14:paraId="230AE0A5" w14:textId="77777777"/>
    <w:p w:rsidR="00185D30" w:rsidP="00185D30" w14:paraId="7358E3E5" w14:textId="58079918"/>
    <w:p w:rsidR="00855D3F" w:rsidP="00185D30" w14:paraId="36891A71" w14:textId="77777777"/>
    <w:p w:rsidR="00185D30" w:rsidP="00185D30" w14:paraId="0A8EEC3D" w14:textId="77777777">
      <w:pPr>
        <w:jc w:val="center"/>
      </w:pPr>
    </w:p>
    <w:p w:rsidR="00955138" w:rsidP="00185D30" w14:paraId="13418152" w14:textId="77777777">
      <w:pPr>
        <w:jc w:val="center"/>
      </w:pPr>
    </w:p>
    <w:p w:rsidR="00185D30" w:rsidP="00185D30" w14:paraId="0595BD68" w14:textId="43439896">
      <w:pPr>
        <w:jc w:val="center"/>
      </w:pPr>
      <w:r>
        <w:t>IN THE COURT OF APPEAL OF THE STATE OF CALIFORNIA</w:t>
      </w:r>
    </w:p>
    <w:p w:rsidR="00185D30" w:rsidP="00185D30" w14:paraId="5C8FE4C5" w14:textId="77777777">
      <w:pPr>
        <w:jc w:val="center"/>
      </w:pPr>
    </w:p>
    <w:p w:rsidR="00185D30" w:rsidP="00185D30" w14:paraId="174836EE" w14:textId="77777777">
      <w:pPr>
        <w:jc w:val="center"/>
      </w:pPr>
      <w:r>
        <w:t>FOURTH APPELLATE DISTRICT</w:t>
      </w:r>
    </w:p>
    <w:p w:rsidR="00185D30" w:rsidP="00185D30" w14:paraId="48700860" w14:textId="77777777">
      <w:pPr>
        <w:jc w:val="center"/>
      </w:pPr>
    </w:p>
    <w:p w:rsidR="00185D30" w:rsidP="00185D30" w14:paraId="0CFE2265" w14:textId="77777777">
      <w:pPr>
        <w:jc w:val="center"/>
      </w:pPr>
      <w:r>
        <w:t>DIVISION THREE</w:t>
      </w:r>
    </w:p>
    <w:p w:rsidR="00185D30" w:rsidP="00185D30" w14:paraId="0C7A362A" w14:textId="77777777">
      <w:pPr>
        <w:jc w:val="center"/>
      </w:pPr>
    </w:p>
    <w:p w:rsidR="00185D30" w:rsidP="00185D30" w14:paraId="477CA8F2" w14:textId="77777777">
      <w:pPr>
        <w:jc w:val="center"/>
      </w:pPr>
    </w:p>
    <w:tbl>
      <w:tblPr>
        <w:tblW w:w="0" w:type="auto"/>
        <w:tblLayout w:type="fixed"/>
        <w:tblLook w:val="0000"/>
      </w:tblPr>
      <w:tblGrid>
        <w:gridCol w:w="4680"/>
        <w:gridCol w:w="4680"/>
      </w:tblGrid>
      <w:tr w14:paraId="5C61E21B" w14:textId="77777777" w:rsidTr="00185D30">
        <w:tblPrEx>
          <w:tblW w:w="0" w:type="auto"/>
          <w:tblLayout w:type="fixed"/>
          <w:tblLook w:val="0000"/>
        </w:tblPrEx>
        <w:tc>
          <w:tcPr>
            <w:tcW w:w="4680" w:type="dxa"/>
            <w:tcBorders>
              <w:bottom w:val="single" w:sz="4" w:space="0" w:color="auto"/>
              <w:right w:val="single" w:sz="4" w:space="0" w:color="auto"/>
            </w:tcBorders>
            <w:shd w:val="clear" w:color="auto" w:fill="auto"/>
          </w:tcPr>
          <w:p w:rsidR="00185D30" w:rsidP="00185D30" w14:paraId="146A34E4" w14:textId="77777777">
            <w:r>
              <w:t>ZAAL ARESH,</w:t>
            </w:r>
          </w:p>
          <w:p w:rsidR="00185D30" w:rsidP="00185D30" w14:paraId="497BD4A9" w14:textId="77777777"/>
          <w:p w:rsidR="00185D30" w:rsidP="00185D30" w14:paraId="2E9A3C53" w14:textId="77777777">
            <w:r>
              <w:t xml:space="preserve">      Plaintiff and Appellant,</w:t>
            </w:r>
          </w:p>
          <w:p w:rsidR="00185D30" w:rsidP="00185D30" w14:paraId="6E090953" w14:textId="77777777"/>
          <w:p w:rsidR="00185D30" w:rsidP="00185D30" w14:paraId="6BB7B8CD" w14:textId="77777777">
            <w:r>
              <w:tab/>
              <w:t>v.</w:t>
            </w:r>
          </w:p>
          <w:p w:rsidR="00185D30" w:rsidP="00185D30" w14:paraId="02396FDC" w14:textId="77777777"/>
          <w:p w:rsidR="00185D30" w:rsidP="00185D30" w14:paraId="7085073D" w14:textId="61128BC3">
            <w:r>
              <w:t>MONICA MARIN-MORALES et al.,</w:t>
            </w:r>
          </w:p>
          <w:p w:rsidR="00185D30" w:rsidP="00185D30" w14:paraId="3A739178" w14:textId="77777777"/>
          <w:p w:rsidR="00185D30" w:rsidP="00185D30" w14:paraId="7EA07F22" w14:textId="089BDDFD">
            <w:r>
              <w:t xml:space="preserve">      Defendants</w:t>
            </w:r>
            <w:r w:rsidR="00B7486B">
              <w:t>;</w:t>
            </w:r>
          </w:p>
          <w:p w:rsidR="00B7486B" w:rsidP="00185D30" w14:paraId="5E9FD8E6" w14:textId="3550CCEB"/>
          <w:p w:rsidR="00B7486B" w:rsidP="00185D30" w14:paraId="77D21348" w14:textId="45676CB0">
            <w:r>
              <w:t>DANIEL WILLIAMS,</w:t>
            </w:r>
          </w:p>
          <w:p w:rsidR="00B7486B" w:rsidP="00185D30" w14:paraId="2BC16418" w14:textId="3529C37D"/>
          <w:p w:rsidR="00B7486B" w:rsidP="00185D30" w14:paraId="1E3D52ED" w14:textId="0DD5F4FC">
            <w:r>
              <w:t xml:space="preserve">      Respondent.</w:t>
            </w:r>
          </w:p>
          <w:p w:rsidR="00185D30" w:rsidP="00185D30" w14:paraId="6E3A33AF" w14:textId="77777777"/>
        </w:tc>
        <w:tc>
          <w:tcPr>
            <w:tcW w:w="4680" w:type="dxa"/>
            <w:tcBorders>
              <w:left w:val="single" w:sz="4" w:space="0" w:color="auto"/>
            </w:tcBorders>
            <w:shd w:val="clear" w:color="auto" w:fill="auto"/>
          </w:tcPr>
          <w:p w:rsidR="00185D30" w:rsidP="00185D30" w14:paraId="49DDB5FD" w14:textId="77777777"/>
          <w:p w:rsidR="00185D30" w:rsidP="00185D30" w14:paraId="599B76A9" w14:textId="77777777"/>
          <w:p w:rsidR="00185D30" w:rsidP="00185D30" w14:paraId="3C2423BC" w14:textId="478F90A9">
            <w:r>
              <w:t xml:space="preserve">         G060579</w:t>
            </w:r>
            <w:r w:rsidR="0051614B">
              <w:t>, G060827</w:t>
            </w:r>
          </w:p>
          <w:p w:rsidR="00185D30" w:rsidP="00185D30" w14:paraId="517BC42E" w14:textId="77777777"/>
          <w:p w:rsidR="00185D30" w:rsidP="00185D30" w14:paraId="1421ED3C" w14:textId="77777777">
            <w:r>
              <w:t xml:space="preserve">         (Super. Ct. No. 30-2020-01153341)</w:t>
            </w:r>
          </w:p>
          <w:p w:rsidR="00185D30" w:rsidP="00185D30" w14:paraId="7496C613" w14:textId="77777777"/>
          <w:p w:rsidR="00185D30" w:rsidP="00185D30" w14:paraId="5739B858" w14:textId="248D29A1">
            <w:r>
              <w:t xml:space="preserve">         </w:t>
            </w:r>
            <w:r w:rsidR="00F23D54">
              <w:t>O P I N I O N</w:t>
            </w:r>
          </w:p>
        </w:tc>
      </w:tr>
    </w:tbl>
    <w:p w:rsidR="00185D30" w:rsidP="00185D30" w14:paraId="322C135B" w14:textId="77777777">
      <w:pPr>
        <w:tabs>
          <w:tab w:val="left" w:pos="1440"/>
          <w:tab w:val="left" w:pos="2880"/>
          <w:tab w:val="left" w:pos="4320"/>
          <w:tab w:val="left" w:pos="5760"/>
          <w:tab w:val="left" w:pos="7200"/>
          <w:tab w:val="left" w:pos="8640"/>
        </w:tabs>
        <w:spacing w:line="480" w:lineRule="atLeast"/>
      </w:pPr>
    </w:p>
    <w:p w:rsidR="00185D30" w:rsidP="00185D30" w14:paraId="5FEF52F6" w14:textId="7AC4BFBC">
      <w:pPr>
        <w:tabs>
          <w:tab w:val="left" w:pos="1440"/>
          <w:tab w:val="left" w:pos="2880"/>
          <w:tab w:val="left" w:pos="4320"/>
          <w:tab w:val="left" w:pos="5760"/>
          <w:tab w:val="left" w:pos="7200"/>
          <w:tab w:val="left" w:pos="8640"/>
        </w:tabs>
        <w:spacing w:line="480" w:lineRule="atLeast"/>
      </w:pPr>
      <w:r>
        <w:tab/>
      </w:r>
      <w:bookmarkStart w:id="0" w:name="_Hlk134103360"/>
      <w:r>
        <w:t>Appeal from a</w:t>
      </w:r>
      <w:r w:rsidR="0051614B">
        <w:t xml:space="preserve"> judgment and postjudgment</w:t>
      </w:r>
      <w:r w:rsidR="00F74517">
        <w:t xml:space="preserve"> order</w:t>
      </w:r>
      <w:r>
        <w:t xml:space="preserve"> of the Superior Court of Orange County, James Crandall, Judge.  Reversed </w:t>
      </w:r>
      <w:r w:rsidR="0051614B">
        <w:t xml:space="preserve">in part </w:t>
      </w:r>
      <w:r>
        <w:t>and remanded.</w:t>
      </w:r>
      <w:r w:rsidR="00A449A6">
        <w:t xml:space="preserve">  </w:t>
      </w:r>
      <w:r w:rsidR="0051614B">
        <w:t>Appellant’s request for judicial notice</w:t>
      </w:r>
      <w:r w:rsidR="00855D3F">
        <w:t xml:space="preserve"> d</w:t>
      </w:r>
      <w:r w:rsidR="00A449A6">
        <w:t>enied</w:t>
      </w:r>
      <w:r w:rsidR="00855D3F">
        <w:t>.</w:t>
      </w:r>
    </w:p>
    <w:p w:rsidR="00185D30" w:rsidP="00185D30" w14:paraId="7B4E9D73" w14:textId="026906EC">
      <w:pPr>
        <w:tabs>
          <w:tab w:val="left" w:pos="1440"/>
          <w:tab w:val="left" w:pos="2880"/>
          <w:tab w:val="left" w:pos="4320"/>
          <w:tab w:val="left" w:pos="5760"/>
          <w:tab w:val="left" w:pos="7200"/>
          <w:tab w:val="left" w:pos="8640"/>
        </w:tabs>
        <w:spacing w:line="480" w:lineRule="atLeast"/>
      </w:pPr>
      <w:r>
        <w:tab/>
        <w:t xml:space="preserve">Jonathan Lee Borsuk for </w:t>
      </w:r>
      <w:r w:rsidR="0017211B">
        <w:t xml:space="preserve">Plaintiff and </w:t>
      </w:r>
      <w:r>
        <w:t>Appellant.</w:t>
      </w:r>
    </w:p>
    <w:p w:rsidR="00185D30" w:rsidP="00B7486B" w14:paraId="0CD2F92E" w14:textId="462CFED4">
      <w:pPr>
        <w:keepNext/>
        <w:tabs>
          <w:tab w:val="left" w:pos="1440"/>
          <w:tab w:val="left" w:pos="2880"/>
          <w:tab w:val="left" w:pos="4320"/>
          <w:tab w:val="left" w:pos="5760"/>
          <w:tab w:val="left" w:pos="7200"/>
          <w:tab w:val="left" w:pos="8640"/>
        </w:tabs>
        <w:spacing w:line="480" w:lineRule="atLeast"/>
      </w:pPr>
      <w:r>
        <w:tab/>
        <w:t xml:space="preserve">Daniel J. Williams, in pro. per., for Respondent. </w:t>
      </w:r>
    </w:p>
    <w:bookmarkEnd w:id="0"/>
    <w:p w:rsidR="00836C56" w:rsidP="00F351D3" w14:paraId="78DBD3BA" w14:textId="6884ECF8">
      <w:pPr>
        <w:tabs>
          <w:tab w:val="left" w:pos="1440"/>
          <w:tab w:val="left" w:pos="2880"/>
          <w:tab w:val="left" w:pos="4320"/>
          <w:tab w:val="left" w:pos="5760"/>
          <w:tab w:val="left" w:pos="7200"/>
          <w:tab w:val="left" w:pos="8640"/>
        </w:tabs>
        <w:spacing w:line="480" w:lineRule="atLeast"/>
        <w:jc w:val="center"/>
      </w:pPr>
      <w:r>
        <w:t>*               *               *</w:t>
      </w:r>
    </w:p>
    <w:p w:rsidR="00F351D3" w:rsidP="00F351D3" w14:paraId="4E83DEA7" w14:textId="351CF57D">
      <w:pPr>
        <w:tabs>
          <w:tab w:val="left" w:pos="1440"/>
          <w:tab w:val="left" w:pos="2880"/>
          <w:tab w:val="left" w:pos="4320"/>
          <w:tab w:val="left" w:pos="5760"/>
          <w:tab w:val="left" w:pos="7200"/>
          <w:tab w:val="left" w:pos="8640"/>
        </w:tabs>
        <w:spacing w:line="480" w:lineRule="atLeast"/>
      </w:pPr>
      <w:r>
        <w:tab/>
        <w:t>Zaal Aresh appeals from an order vacating the judgment</w:t>
      </w:r>
      <w:r w:rsidR="00D253CF">
        <w:t xml:space="preserve"> he obtained to </w:t>
      </w:r>
      <w:r w:rsidR="008F74EC">
        <w:t xml:space="preserve">enforce his attorney fee lien and </w:t>
      </w:r>
      <w:r w:rsidR="00A84169">
        <w:t xml:space="preserve">to </w:t>
      </w:r>
      <w:r w:rsidR="008F74EC">
        <w:t xml:space="preserve">collect </w:t>
      </w:r>
      <w:r w:rsidR="00D253CF">
        <w:t>the</w:t>
      </w:r>
      <w:r w:rsidR="00387762">
        <w:t xml:space="preserve"> </w:t>
      </w:r>
      <w:r w:rsidR="00D253CF">
        <w:t xml:space="preserve">fees </w:t>
      </w:r>
      <w:r w:rsidR="00562604">
        <w:t xml:space="preserve">and costs </w:t>
      </w:r>
      <w:r w:rsidR="00D253CF">
        <w:t xml:space="preserve">he </w:t>
      </w:r>
      <w:r w:rsidR="00BC4131">
        <w:t>earned</w:t>
      </w:r>
      <w:r w:rsidR="001678F1">
        <w:t xml:space="preserve"> </w:t>
      </w:r>
      <w:r w:rsidR="00B626DA">
        <w:t xml:space="preserve">in </w:t>
      </w:r>
      <w:r w:rsidR="00182554">
        <w:t xml:space="preserve">two cases </w:t>
      </w:r>
      <w:r w:rsidR="000932FB">
        <w:t xml:space="preserve">from the settlement funds recovered </w:t>
      </w:r>
      <w:r w:rsidR="00387762">
        <w:t xml:space="preserve">in </w:t>
      </w:r>
      <w:r w:rsidR="00182554">
        <w:t>those</w:t>
      </w:r>
      <w:r w:rsidR="00387762">
        <w:t xml:space="preserve"> cases.  His </w:t>
      </w:r>
      <w:r w:rsidR="003B620D">
        <w:t xml:space="preserve">current dispute is </w:t>
      </w:r>
      <w:r w:rsidR="00C54D6B">
        <w:t xml:space="preserve">not with </w:t>
      </w:r>
      <w:r w:rsidR="00182554">
        <w:t>his former</w:t>
      </w:r>
      <w:r w:rsidR="00C54D6B">
        <w:t xml:space="preserve"> clients,</w:t>
      </w:r>
      <w:r>
        <w:rPr>
          <w:rStyle w:val="FootnoteReference"/>
        </w:rPr>
        <w:footnoteReference w:id="3"/>
      </w:r>
      <w:r w:rsidR="00C54D6B">
        <w:t xml:space="preserve"> however</w:t>
      </w:r>
      <w:r w:rsidR="00921DC8">
        <w:t xml:space="preserve">; it is with </w:t>
      </w:r>
      <w:r w:rsidR="00562604">
        <w:t xml:space="preserve">respondent </w:t>
      </w:r>
      <w:r w:rsidR="00921DC8">
        <w:t xml:space="preserve">Daniel J. Williams, the attorney who took over the </w:t>
      </w:r>
      <w:r w:rsidR="00A20B3A">
        <w:t>clients</w:t>
      </w:r>
      <w:r w:rsidR="00AF1640">
        <w:t>’</w:t>
      </w:r>
      <w:r w:rsidR="00A20B3A">
        <w:t xml:space="preserve"> </w:t>
      </w:r>
      <w:r w:rsidR="00921DC8">
        <w:t>representation</w:t>
      </w:r>
      <w:r w:rsidR="004304CC">
        <w:t xml:space="preserve"> after Aresh</w:t>
      </w:r>
      <w:r w:rsidR="00AF1640">
        <w:t>’</w:t>
      </w:r>
      <w:r w:rsidR="004304CC">
        <w:t>s services were terminated</w:t>
      </w:r>
      <w:r w:rsidR="00921DC8">
        <w:t xml:space="preserve">.  Aresh </w:t>
      </w:r>
      <w:r w:rsidR="00E542F5">
        <w:t>had initial</w:t>
      </w:r>
      <w:r w:rsidR="005C6755">
        <w:t>ly</w:t>
      </w:r>
      <w:r w:rsidR="00921DC8">
        <w:t xml:space="preserve"> included Williams as a defendant in his lawsuit, along with all the other potential claimants to the </w:t>
      </w:r>
      <w:r w:rsidR="00036C6B">
        <w:t xml:space="preserve">settlement </w:t>
      </w:r>
      <w:r w:rsidR="00921DC8">
        <w:t>funds recovered in the</w:t>
      </w:r>
      <w:r w:rsidR="006E4EFD">
        <w:t xml:space="preserve"> cases, with the intent that all interested parties could participate in resolving their claims </w:t>
      </w:r>
      <w:r w:rsidR="00056EC2">
        <w:t xml:space="preserve">to those funds </w:t>
      </w:r>
      <w:r w:rsidR="006E4EFD">
        <w:t xml:space="preserve">in a single </w:t>
      </w:r>
      <w:r w:rsidR="00600C33">
        <w:t xml:space="preserve">action.  </w:t>
      </w:r>
      <w:r w:rsidR="00FE7AE6">
        <w:t xml:space="preserve">But </w:t>
      </w:r>
      <w:r w:rsidR="00600C33">
        <w:t>Williams demurr</w:t>
      </w:r>
      <w:r w:rsidR="00FE7AE6">
        <w:t xml:space="preserve">ed, arguing Aresh was required to </w:t>
      </w:r>
      <w:r w:rsidR="00855F52">
        <w:t>establish the validity, value</w:t>
      </w:r>
      <w:r w:rsidR="00855D3F">
        <w:t>,</w:t>
      </w:r>
      <w:r w:rsidR="00855F52">
        <w:t xml:space="preserve"> and enforceability of his </w:t>
      </w:r>
      <w:r w:rsidR="00E674D2">
        <w:t xml:space="preserve">own </w:t>
      </w:r>
      <w:r w:rsidR="004545E9">
        <w:t xml:space="preserve">attorney fee </w:t>
      </w:r>
      <w:r w:rsidR="00855F52">
        <w:t>lien</w:t>
      </w:r>
      <w:r w:rsidR="004545E9">
        <w:t>s</w:t>
      </w:r>
      <w:r w:rsidR="00FE7AE6">
        <w:t xml:space="preserve"> </w:t>
      </w:r>
      <w:r w:rsidR="00855F52">
        <w:t xml:space="preserve">in an action against </w:t>
      </w:r>
      <w:r w:rsidR="00947CF2">
        <w:t xml:space="preserve">just his former clients before he could state any cause of action </w:t>
      </w:r>
      <w:r w:rsidR="00056EC2">
        <w:t>involving</w:t>
      </w:r>
      <w:r w:rsidR="00947CF2">
        <w:t xml:space="preserve"> a </w:t>
      </w:r>
      <w:r w:rsidR="00056EC2">
        <w:t xml:space="preserve">third </w:t>
      </w:r>
      <w:r w:rsidR="00947CF2">
        <w:t>party.</w:t>
      </w:r>
    </w:p>
    <w:p w:rsidR="00FE2300" w:rsidP="00F351D3" w14:paraId="43563ED7" w14:textId="4EFBF809">
      <w:pPr>
        <w:tabs>
          <w:tab w:val="left" w:pos="1440"/>
          <w:tab w:val="left" w:pos="2880"/>
          <w:tab w:val="left" w:pos="4320"/>
          <w:tab w:val="left" w:pos="5760"/>
          <w:tab w:val="left" w:pos="7200"/>
          <w:tab w:val="left" w:pos="8640"/>
        </w:tabs>
        <w:spacing w:line="480" w:lineRule="atLeast"/>
      </w:pPr>
      <w:r>
        <w:tab/>
        <w:t xml:space="preserve">Aresh </w:t>
      </w:r>
      <w:r w:rsidR="0065322B">
        <w:t>then</w:t>
      </w:r>
      <w:r w:rsidR="00F700C9">
        <w:t xml:space="preserve"> dismiss</w:t>
      </w:r>
      <w:r w:rsidR="0065322B">
        <w:t>ed</w:t>
      </w:r>
      <w:r w:rsidR="00C520CA">
        <w:t xml:space="preserve"> Williams and</w:t>
      </w:r>
      <w:r w:rsidR="00F700C9">
        <w:t xml:space="preserve"> the other third</w:t>
      </w:r>
      <w:r w:rsidR="00855D3F">
        <w:t xml:space="preserve"> </w:t>
      </w:r>
      <w:r w:rsidR="00F700C9">
        <w:t xml:space="preserve">parties as defendants in the case and </w:t>
      </w:r>
      <w:r w:rsidR="008D2E69">
        <w:t>litigat</w:t>
      </w:r>
      <w:r w:rsidR="002724B4">
        <w:t>ed</w:t>
      </w:r>
      <w:r w:rsidR="008D2E69">
        <w:t xml:space="preserve"> his </w:t>
      </w:r>
      <w:r w:rsidR="004545E9">
        <w:t xml:space="preserve">fee </w:t>
      </w:r>
      <w:r w:rsidR="008D2E69">
        <w:t>claim</w:t>
      </w:r>
      <w:r w:rsidR="004545E9">
        <w:t>s</w:t>
      </w:r>
      <w:r w:rsidR="008D2E69">
        <w:t xml:space="preserve"> against </w:t>
      </w:r>
      <w:r w:rsidR="00E9617A">
        <w:t>only his former</w:t>
      </w:r>
      <w:r w:rsidR="008D2E69">
        <w:t xml:space="preserve"> clients.  </w:t>
      </w:r>
      <w:r w:rsidR="00226EF0">
        <w:t>Following a trial, t</w:t>
      </w:r>
      <w:r w:rsidR="008D2E69">
        <w:t xml:space="preserve">he court </w:t>
      </w:r>
      <w:r w:rsidR="00F31AF5">
        <w:t>determined</w:t>
      </w:r>
      <w:r w:rsidR="0049037F">
        <w:t xml:space="preserve"> </w:t>
      </w:r>
      <w:r w:rsidR="00201FDA">
        <w:t xml:space="preserve">Aresh </w:t>
      </w:r>
      <w:r w:rsidR="0049037F">
        <w:t xml:space="preserve">was </w:t>
      </w:r>
      <w:r w:rsidR="00FF2C81">
        <w:t xml:space="preserve">entitled to recover </w:t>
      </w:r>
      <w:r w:rsidR="00A57C6C">
        <w:t>his earned</w:t>
      </w:r>
      <w:r w:rsidR="00FF2C81">
        <w:t xml:space="preserve"> </w:t>
      </w:r>
      <w:r w:rsidR="0049037F">
        <w:t xml:space="preserve">fees </w:t>
      </w:r>
      <w:r w:rsidR="00E9617A">
        <w:t xml:space="preserve">and costs </w:t>
      </w:r>
      <w:r w:rsidR="0049037F">
        <w:t xml:space="preserve">from the settlement amounts </w:t>
      </w:r>
      <w:r w:rsidR="00FF2C81">
        <w:t xml:space="preserve">pursuant to </w:t>
      </w:r>
      <w:r w:rsidR="008711CB">
        <w:t>his</w:t>
      </w:r>
      <w:r w:rsidR="00FF2C81">
        <w:t xml:space="preserve"> liens</w:t>
      </w:r>
      <w:r w:rsidR="00201FDA">
        <w:t>.  However, over Aresh</w:t>
      </w:r>
      <w:r w:rsidR="00AF1640">
        <w:t>’</w:t>
      </w:r>
      <w:r w:rsidR="00201FDA">
        <w:t xml:space="preserve">s objection, the court </w:t>
      </w:r>
      <w:r w:rsidR="00D1584E">
        <w:t xml:space="preserve">also </w:t>
      </w:r>
      <w:r w:rsidR="006A42E2">
        <w:t>purported to de</w:t>
      </w:r>
      <w:r w:rsidR="00EC111A">
        <w:t>termine</w:t>
      </w:r>
      <w:r w:rsidR="0069345C">
        <w:t xml:space="preserve"> the</w:t>
      </w:r>
      <w:r w:rsidR="00FD4EA7">
        <w:t xml:space="preserve"> amount of</w:t>
      </w:r>
      <w:r w:rsidR="0069345C">
        <w:t xml:space="preserve"> fees</w:t>
      </w:r>
      <w:r w:rsidR="00E9617A">
        <w:t xml:space="preserve"> and costs</w:t>
      </w:r>
      <w:r w:rsidR="00D1584E">
        <w:t xml:space="preserve"> Williams </w:t>
      </w:r>
      <w:r w:rsidR="00FD4EA7">
        <w:t>was entitled to be paid from the settlement funds</w:t>
      </w:r>
      <w:r w:rsidR="00A26518">
        <w:t xml:space="preserve"> in the </w:t>
      </w:r>
      <w:r w:rsidR="003E31E2">
        <w:t xml:space="preserve">two </w:t>
      </w:r>
      <w:r w:rsidR="00A26518">
        <w:t>cases</w:t>
      </w:r>
      <w:r w:rsidR="00D1584E">
        <w:t>, a</w:t>
      </w:r>
      <w:r w:rsidR="003E31E2">
        <w:t>nd</w:t>
      </w:r>
      <w:r w:rsidR="008D2605">
        <w:t xml:space="preserve"> ordered</w:t>
      </w:r>
      <w:r w:rsidR="0069345C">
        <w:t xml:space="preserve"> </w:t>
      </w:r>
      <w:r w:rsidR="002A1442">
        <w:t>that the remain</w:t>
      </w:r>
      <w:r w:rsidR="00EF13DA">
        <w:t>der</w:t>
      </w:r>
      <w:r w:rsidR="002A1442">
        <w:t xml:space="preserve"> of the</w:t>
      </w:r>
      <w:r w:rsidR="00036C6B">
        <w:t xml:space="preserve"> </w:t>
      </w:r>
      <w:r w:rsidR="00A26518">
        <w:t>two settlement funds</w:t>
      </w:r>
      <w:r w:rsidR="005E53B6">
        <w:t xml:space="preserve"> </w:t>
      </w:r>
      <w:r w:rsidR="003230DB">
        <w:t xml:space="preserve">be dispersed to the clients. </w:t>
      </w:r>
      <w:r w:rsidR="00037459">
        <w:t xml:space="preserve"> The court entered a judgment </w:t>
      </w:r>
      <w:r w:rsidR="000226DF">
        <w:t>incorporat</w:t>
      </w:r>
      <w:r w:rsidR="00ED0F24">
        <w:t>ing</w:t>
      </w:r>
      <w:r w:rsidR="00037459">
        <w:t xml:space="preserve"> all of those issues. </w:t>
      </w:r>
      <w:r w:rsidR="00A26518">
        <w:t xml:space="preserve"> </w:t>
      </w:r>
    </w:p>
    <w:p w:rsidR="00B777B5" w:rsidP="00F351D3" w14:paraId="37F16E12" w14:textId="56FF08AC">
      <w:pPr>
        <w:tabs>
          <w:tab w:val="left" w:pos="1440"/>
          <w:tab w:val="left" w:pos="2880"/>
          <w:tab w:val="left" w:pos="4320"/>
          <w:tab w:val="left" w:pos="5760"/>
          <w:tab w:val="left" w:pos="7200"/>
          <w:tab w:val="left" w:pos="8640"/>
        </w:tabs>
        <w:spacing w:line="480" w:lineRule="atLeast"/>
      </w:pPr>
      <w:r>
        <w:tab/>
        <w:t xml:space="preserve">Aresh filed a notice of appeal as to the judgment.  </w:t>
      </w:r>
      <w:r w:rsidR="008D46B5">
        <w:t>Williams</w:t>
      </w:r>
      <w:r w:rsidR="0080591B">
        <w:t xml:space="preserve"> </w:t>
      </w:r>
      <w:r>
        <w:t xml:space="preserve">thereafter </w:t>
      </w:r>
      <w:r w:rsidR="008D46B5">
        <w:t xml:space="preserve">moved to vacate the judgment, </w:t>
      </w:r>
      <w:r w:rsidR="0080591B">
        <w:t xml:space="preserve">correctly </w:t>
      </w:r>
      <w:r w:rsidR="005E53B6">
        <w:t>arguing</w:t>
      </w:r>
      <w:r w:rsidR="008D46B5">
        <w:t xml:space="preserve"> the court could not </w:t>
      </w:r>
      <w:r w:rsidR="00F80B8A">
        <w:t>adjudicate</w:t>
      </w:r>
      <w:r w:rsidR="008D46B5">
        <w:t xml:space="preserve"> </w:t>
      </w:r>
      <w:r w:rsidR="00E3715D">
        <w:t xml:space="preserve">the </w:t>
      </w:r>
      <w:r w:rsidR="008D07C9">
        <w:t>amount of fees</w:t>
      </w:r>
      <w:r>
        <w:t xml:space="preserve"> and costs</w:t>
      </w:r>
      <w:r w:rsidR="008D07C9">
        <w:t xml:space="preserve"> he was entitled to </w:t>
      </w:r>
      <w:r>
        <w:t xml:space="preserve">receive </w:t>
      </w:r>
      <w:r w:rsidR="00735429">
        <w:t xml:space="preserve">in a case </w:t>
      </w:r>
      <w:r>
        <w:t>in</w:t>
      </w:r>
      <w:r w:rsidR="00C81A64">
        <w:t xml:space="preserve"> which</w:t>
      </w:r>
      <w:r w:rsidR="00735429">
        <w:t xml:space="preserve"> he was not a party. </w:t>
      </w:r>
      <w:r w:rsidR="0080591B">
        <w:t xml:space="preserve"> But Williams did not s</w:t>
      </w:r>
      <w:r w:rsidR="008711CB">
        <w:t xml:space="preserve">top there.  He argued the court </w:t>
      </w:r>
      <w:r w:rsidR="004C01B7">
        <w:t>was required</w:t>
      </w:r>
      <w:r w:rsidR="008711CB">
        <w:t xml:space="preserve"> to vacate th</w:t>
      </w:r>
      <w:r w:rsidR="00200D86">
        <w:t>e entire j</w:t>
      </w:r>
      <w:r w:rsidR="008711CB">
        <w:t>udgmen</w:t>
      </w:r>
      <w:r w:rsidR="00200D86">
        <w:t>t—not just the provisions a</w:t>
      </w:r>
      <w:r w:rsidR="0019365E">
        <w:t>ddressing his fees</w:t>
      </w:r>
      <w:r>
        <w:t xml:space="preserve"> and costs</w:t>
      </w:r>
      <w:r w:rsidR="0019365E">
        <w:t xml:space="preserve">—because </w:t>
      </w:r>
      <w:r w:rsidR="00E11B62">
        <w:t xml:space="preserve">if </w:t>
      </w:r>
      <w:r w:rsidR="00C543AA">
        <w:t>t</w:t>
      </w:r>
      <w:r w:rsidR="00E11B62">
        <w:t xml:space="preserve">he </w:t>
      </w:r>
      <w:r w:rsidR="0019365E">
        <w:t xml:space="preserve">court </w:t>
      </w:r>
      <w:r w:rsidR="008070A3">
        <w:t xml:space="preserve">allowed the </w:t>
      </w:r>
      <w:r w:rsidR="00FA3E17">
        <w:t xml:space="preserve">remaining provisions of the </w:t>
      </w:r>
      <w:r w:rsidR="00E11B62">
        <w:t xml:space="preserve">judgment </w:t>
      </w:r>
      <w:r w:rsidR="00FB43A0">
        <w:t>to stand, it would</w:t>
      </w:r>
      <w:r w:rsidR="00D43941">
        <w:t xml:space="preserve"> </w:t>
      </w:r>
      <w:r w:rsidR="00FA3E17">
        <w:t>d</w:t>
      </w:r>
      <w:r w:rsidR="00D43941">
        <w:t>i</w:t>
      </w:r>
      <w:r w:rsidR="00DC5809">
        <w:t>spos</w:t>
      </w:r>
      <w:r w:rsidR="000818CF">
        <w:t>e</w:t>
      </w:r>
      <w:r w:rsidR="00DC5809">
        <w:t xml:space="preserve"> of all </w:t>
      </w:r>
      <w:r w:rsidR="000818CF">
        <w:t>the</w:t>
      </w:r>
      <w:r w:rsidR="005575BE">
        <w:t xml:space="preserve"> </w:t>
      </w:r>
      <w:r w:rsidR="00DC5809">
        <w:t xml:space="preserve">settlement funds </w:t>
      </w:r>
      <w:r w:rsidR="00EF46DE">
        <w:t>other than those awarded to Williams</w:t>
      </w:r>
      <w:r w:rsidR="00D43941">
        <w:t xml:space="preserve">, </w:t>
      </w:r>
      <w:r w:rsidR="009B74AE">
        <w:t xml:space="preserve">and thus would </w:t>
      </w:r>
      <w:r w:rsidR="000E75FE">
        <w:t xml:space="preserve">implicitly </w:t>
      </w:r>
      <w:r w:rsidR="001C24E5">
        <w:t>preclud</w:t>
      </w:r>
      <w:r w:rsidR="004065BD">
        <w:t>e</w:t>
      </w:r>
      <w:r w:rsidR="001C24E5">
        <w:t xml:space="preserve"> him from </w:t>
      </w:r>
      <w:r w:rsidR="000E75FE">
        <w:t>recover</w:t>
      </w:r>
      <w:r w:rsidR="001C24E5">
        <w:t xml:space="preserve">ing a </w:t>
      </w:r>
      <w:r w:rsidR="000E75FE">
        <w:t>greater share of the settlement funds than had been awarded</w:t>
      </w:r>
      <w:r w:rsidR="00817AA0">
        <w:t xml:space="preserve"> </w:t>
      </w:r>
      <w:r w:rsidR="000E75FE">
        <w:t xml:space="preserve">in his absence. </w:t>
      </w:r>
      <w:r w:rsidR="005575BE">
        <w:t xml:space="preserve"> </w:t>
      </w:r>
      <w:r w:rsidR="00DC6B92">
        <w:t>The trial court agreed and vacated the entire judgment.  We</w:t>
      </w:r>
      <w:r>
        <w:t xml:space="preserve"> </w:t>
      </w:r>
      <w:r w:rsidR="00EC03A2">
        <w:t>disagree</w:t>
      </w:r>
      <w:r w:rsidR="000708B8">
        <w:t xml:space="preserve"> and </w:t>
      </w:r>
      <w:r w:rsidR="00EC03A2">
        <w:t xml:space="preserve">therefore </w:t>
      </w:r>
      <w:r>
        <w:t>reverse</w:t>
      </w:r>
      <w:r w:rsidR="009C4924">
        <w:t xml:space="preserve"> in part</w:t>
      </w:r>
      <w:r>
        <w:t>.</w:t>
      </w:r>
    </w:p>
    <w:p w:rsidR="00682133" w:rsidP="00F351D3" w14:paraId="69D36693" w14:textId="48A8063F">
      <w:pPr>
        <w:tabs>
          <w:tab w:val="left" w:pos="1440"/>
          <w:tab w:val="left" w:pos="2880"/>
          <w:tab w:val="left" w:pos="4320"/>
          <w:tab w:val="left" w:pos="5760"/>
          <w:tab w:val="left" w:pos="7200"/>
          <w:tab w:val="left" w:pos="8640"/>
        </w:tabs>
        <w:spacing w:line="480" w:lineRule="atLeast"/>
      </w:pPr>
      <w:r>
        <w:tab/>
      </w:r>
      <w:r w:rsidR="007B1B8A">
        <w:t>Where t</w:t>
      </w:r>
      <w:r w:rsidR="00EA0B8F">
        <w:t>h</w:t>
      </w:r>
      <w:r w:rsidR="0076654C">
        <w:t xml:space="preserve">e </w:t>
      </w:r>
      <w:r w:rsidR="008A41CE">
        <w:t xml:space="preserve">trial </w:t>
      </w:r>
      <w:r w:rsidR="0076654C">
        <w:t>court err</w:t>
      </w:r>
      <w:r w:rsidR="00876CEE">
        <w:t xml:space="preserve">ed </w:t>
      </w:r>
      <w:r w:rsidR="007B1B8A">
        <w:t xml:space="preserve">was </w:t>
      </w:r>
      <w:r w:rsidR="00876CEE">
        <w:t xml:space="preserve">in </w:t>
      </w:r>
      <w:r w:rsidR="00EC4835">
        <w:t>failing to distinguish between</w:t>
      </w:r>
      <w:r w:rsidR="00FC24E4">
        <w:t xml:space="preserve"> the</w:t>
      </w:r>
      <w:r w:rsidR="00341C05">
        <w:t xml:space="preserve"> provisions </w:t>
      </w:r>
      <w:r w:rsidR="00DF1ED5">
        <w:t xml:space="preserve">of the judgment </w:t>
      </w:r>
      <w:r w:rsidR="00DE67F5">
        <w:t xml:space="preserve">awarding fees </w:t>
      </w:r>
      <w:r w:rsidR="00E9617A">
        <w:t xml:space="preserve">and costs </w:t>
      </w:r>
      <w:r w:rsidR="00DE67F5">
        <w:t>to</w:t>
      </w:r>
      <w:r w:rsidR="00736905">
        <w:t xml:space="preserve"> </w:t>
      </w:r>
      <w:r w:rsidR="007B1B8A">
        <w:t>Aresh</w:t>
      </w:r>
      <w:r w:rsidR="00E9617A">
        <w:t>,</w:t>
      </w:r>
      <w:r w:rsidR="007B1B8A">
        <w:t xml:space="preserve"> and th</w:t>
      </w:r>
      <w:r w:rsidR="00747672">
        <w:t>ose</w:t>
      </w:r>
      <w:r w:rsidR="00736905">
        <w:t xml:space="preserve"> </w:t>
      </w:r>
      <w:r w:rsidR="00DE67F5">
        <w:t>awarding</w:t>
      </w:r>
      <w:r w:rsidR="00B94C1B">
        <w:t xml:space="preserve"> the remaining portion of the settlement funds to</w:t>
      </w:r>
      <w:r w:rsidR="00736905">
        <w:t xml:space="preserve"> </w:t>
      </w:r>
      <w:r w:rsidR="00E9617A">
        <w:t>Aresh’s former c</w:t>
      </w:r>
      <w:r w:rsidR="007B1B8A">
        <w:t>lients</w:t>
      </w:r>
      <w:r w:rsidR="00EC4835">
        <w:t xml:space="preserve">.  </w:t>
      </w:r>
      <w:r>
        <w:t xml:space="preserve">Only the latter cannot be severed from the </w:t>
      </w:r>
      <w:r w:rsidR="0066270C">
        <w:t xml:space="preserve">properly </w:t>
      </w:r>
      <w:r>
        <w:t>vacated provisions adjudicating Williams</w:t>
      </w:r>
      <w:r w:rsidR="00AF1640">
        <w:t>’</w:t>
      </w:r>
      <w:r w:rsidR="00232841">
        <w:t>s</w:t>
      </w:r>
      <w:r>
        <w:t xml:space="preserve"> rights.  </w:t>
      </w:r>
    </w:p>
    <w:p w:rsidR="00273735" w:rsidP="00F351D3" w14:paraId="312B6529" w14:textId="49C04626">
      <w:pPr>
        <w:tabs>
          <w:tab w:val="left" w:pos="1440"/>
          <w:tab w:val="left" w:pos="2880"/>
          <w:tab w:val="left" w:pos="4320"/>
          <w:tab w:val="left" w:pos="5760"/>
          <w:tab w:val="left" w:pos="7200"/>
          <w:tab w:val="left" w:pos="8640"/>
        </w:tabs>
        <w:spacing w:line="480" w:lineRule="atLeast"/>
      </w:pPr>
      <w:r>
        <w:tab/>
      </w:r>
      <w:r w:rsidR="00AF38F0">
        <w:t xml:space="preserve">As Williams himself </w:t>
      </w:r>
      <w:r w:rsidR="00A92066">
        <w:t>initially argued, Aresh</w:t>
      </w:r>
      <w:r w:rsidR="00AF1640">
        <w:t>’</w:t>
      </w:r>
      <w:r w:rsidR="00F516D0">
        <w:t xml:space="preserve">s </w:t>
      </w:r>
      <w:r w:rsidR="00EA66A5">
        <w:t xml:space="preserve">fee claims and </w:t>
      </w:r>
      <w:r w:rsidR="00F516D0">
        <w:t>the validity of his lien</w:t>
      </w:r>
      <w:r w:rsidR="00EA66A5">
        <w:t>s</w:t>
      </w:r>
      <w:r w:rsidR="00F516D0">
        <w:t xml:space="preserve"> against the</w:t>
      </w:r>
      <w:r w:rsidR="0046408E">
        <w:t xml:space="preserve"> settlement funds </w:t>
      </w:r>
      <w:r w:rsidR="00EA66A5">
        <w:t>are</w:t>
      </w:r>
      <w:r w:rsidR="0046408E">
        <w:t xml:space="preserve"> </w:t>
      </w:r>
      <w:r w:rsidR="00B06D23">
        <w:t xml:space="preserve">contractual </w:t>
      </w:r>
      <w:r w:rsidR="0046408E">
        <w:t>matter</w:t>
      </w:r>
      <w:r w:rsidR="00EA66A5">
        <w:t>s</w:t>
      </w:r>
      <w:r w:rsidR="0046408E">
        <w:t xml:space="preserve"> to be determined </w:t>
      </w:r>
      <w:r w:rsidR="00B06D23">
        <w:t xml:space="preserve">between Aresh and the </w:t>
      </w:r>
      <w:r w:rsidR="00E9617A">
        <w:t xml:space="preserve">former </w:t>
      </w:r>
      <w:r w:rsidR="00B06D23">
        <w:t>clients</w:t>
      </w:r>
      <w:r w:rsidR="006E7436">
        <w:t>, who are the parties to his fee agreements and</w:t>
      </w:r>
      <w:r w:rsidR="009863B3">
        <w:t xml:space="preserve">, as a result, </w:t>
      </w:r>
      <w:r w:rsidR="006E7436">
        <w:t>his liens</w:t>
      </w:r>
      <w:r w:rsidR="00B06D23">
        <w:t xml:space="preserve">.  </w:t>
      </w:r>
      <w:r w:rsidR="00C336CA">
        <w:t>W</w:t>
      </w:r>
      <w:r w:rsidR="005D6173">
        <w:t>illiams was not require</w:t>
      </w:r>
      <w:r w:rsidR="00D404DE">
        <w:t>d to be</w:t>
      </w:r>
      <w:r w:rsidR="00C85475">
        <w:t xml:space="preserve">—and </w:t>
      </w:r>
      <w:r w:rsidR="00B41EAB">
        <w:t>objected to becoming</w:t>
      </w:r>
      <w:r w:rsidR="00C85475">
        <w:t xml:space="preserve">—a </w:t>
      </w:r>
      <w:r w:rsidR="00D404DE">
        <w:t xml:space="preserve">party to </w:t>
      </w:r>
      <w:r w:rsidR="004172DD">
        <w:t>litigation</w:t>
      </w:r>
      <w:r w:rsidR="00CB2011">
        <w:t xml:space="preserve"> </w:t>
      </w:r>
      <w:r w:rsidR="004172DD">
        <w:t xml:space="preserve">addressing </w:t>
      </w:r>
      <w:r w:rsidRPr="00636671" w:rsidR="00545F32">
        <w:t>Aresh</w:t>
      </w:r>
      <w:r w:rsidRPr="00636671" w:rsidR="00AF1640">
        <w:t>’</w:t>
      </w:r>
      <w:r w:rsidRPr="00636671" w:rsidR="00545F32">
        <w:t xml:space="preserve">s </w:t>
      </w:r>
      <w:r w:rsidR="00545F32">
        <w:t>fee claim</w:t>
      </w:r>
      <w:r w:rsidR="001F3FCD">
        <w:t>s</w:t>
      </w:r>
      <w:r w:rsidR="00545F32">
        <w:t>.</w:t>
      </w:r>
      <w:r w:rsidR="008C236C">
        <w:t xml:space="preserve"> </w:t>
      </w:r>
      <w:r w:rsidR="00584166">
        <w:t xml:space="preserve"> The</w:t>
      </w:r>
      <w:r w:rsidR="00E570BA">
        <w:t xml:space="preserve"> court had jurisdiction </w:t>
      </w:r>
      <w:r w:rsidR="00584166">
        <w:t>to adjudicate those claims wi</w:t>
      </w:r>
      <w:r w:rsidR="001E278A">
        <w:t xml:space="preserve">thout </w:t>
      </w:r>
      <w:r w:rsidR="006E625A">
        <w:t>Williams</w:t>
      </w:r>
      <w:r w:rsidR="00AF1640">
        <w:t>’</w:t>
      </w:r>
      <w:r w:rsidR="00232841">
        <w:t>s</w:t>
      </w:r>
      <w:r w:rsidR="006E625A">
        <w:t xml:space="preserve"> participation</w:t>
      </w:r>
      <w:r w:rsidR="00636671">
        <w:t>;</w:t>
      </w:r>
      <w:r w:rsidR="001E278A">
        <w:t xml:space="preserve"> </w:t>
      </w:r>
      <w:r w:rsidR="00636671">
        <w:t>that</w:t>
      </w:r>
      <w:r w:rsidR="006E625A">
        <w:t xml:space="preserve"> </w:t>
      </w:r>
      <w:r w:rsidR="00485B40">
        <w:t xml:space="preserve">judgment is </w:t>
      </w:r>
      <w:r w:rsidR="005E5B2E">
        <w:t xml:space="preserve">therefore </w:t>
      </w:r>
      <w:r w:rsidR="00485B40">
        <w:t>valid</w:t>
      </w:r>
      <w:r w:rsidR="008C236C">
        <w:t xml:space="preserve">. </w:t>
      </w:r>
      <w:r w:rsidR="00D245FC">
        <w:t xml:space="preserve"> </w:t>
      </w:r>
      <w:r w:rsidR="005C0A3A">
        <w:t xml:space="preserve">The fact that Williams, </w:t>
      </w:r>
      <w:r w:rsidR="00E9617A">
        <w:t>as</w:t>
      </w:r>
      <w:r w:rsidR="005C0A3A">
        <w:t xml:space="preserve"> subsequent counsel, has </w:t>
      </w:r>
      <w:r w:rsidR="00485B40">
        <w:t>his own</w:t>
      </w:r>
      <w:r w:rsidR="005C0A3A">
        <w:t xml:space="preserve"> fee claim</w:t>
      </w:r>
      <w:r w:rsidR="002533B8">
        <w:t xml:space="preserve"> </w:t>
      </w:r>
      <w:r>
        <w:t>against th</w:t>
      </w:r>
      <w:r w:rsidR="00E9617A">
        <w:t>e</w:t>
      </w:r>
      <w:r>
        <w:t xml:space="preserve"> same clients</w:t>
      </w:r>
      <w:r w:rsidR="00E9617A">
        <w:t>,</w:t>
      </w:r>
      <w:r>
        <w:t xml:space="preserve"> does not </w:t>
      </w:r>
      <w:r w:rsidR="00E029C3">
        <w:t>require reversal of</w:t>
      </w:r>
      <w:r>
        <w:t xml:space="preserve"> </w:t>
      </w:r>
      <w:r w:rsidR="00E9617A">
        <w:t>Aresh’s</w:t>
      </w:r>
      <w:r w:rsidR="006B4E8C">
        <w:t xml:space="preserve"> part of the judgment</w:t>
      </w:r>
      <w:r w:rsidR="00706804">
        <w:t xml:space="preserve">. </w:t>
      </w:r>
    </w:p>
    <w:p w:rsidR="00F40BC9" w:rsidP="00F351D3" w14:paraId="2C83C153" w14:textId="4BB4B3A5">
      <w:pPr>
        <w:tabs>
          <w:tab w:val="left" w:pos="1440"/>
          <w:tab w:val="left" w:pos="2880"/>
          <w:tab w:val="left" w:pos="4320"/>
          <w:tab w:val="left" w:pos="5760"/>
          <w:tab w:val="left" w:pos="7200"/>
          <w:tab w:val="left" w:pos="8640"/>
        </w:tabs>
        <w:spacing w:line="480" w:lineRule="atLeast"/>
      </w:pPr>
      <w:r>
        <w:tab/>
      </w:r>
      <w:r w:rsidR="00D245FC">
        <w:t xml:space="preserve">By contrast, </w:t>
      </w:r>
      <w:r>
        <w:t>the judgment</w:t>
      </w:r>
      <w:r w:rsidR="00AF1640">
        <w:t>’</w:t>
      </w:r>
      <w:r>
        <w:t xml:space="preserve">s provisions ordering </w:t>
      </w:r>
      <w:r w:rsidR="00994AFB">
        <w:t xml:space="preserve">that </w:t>
      </w:r>
      <w:r w:rsidR="00061393">
        <w:t xml:space="preserve">all </w:t>
      </w:r>
      <w:r w:rsidRPr="00C77EE9" w:rsidR="00061393">
        <w:t>remaining</w:t>
      </w:r>
      <w:r w:rsidR="00061393">
        <w:t xml:space="preserve"> funds</w:t>
      </w:r>
      <w:r w:rsidR="00C45B1E">
        <w:t xml:space="preserve"> be </w:t>
      </w:r>
      <w:r w:rsidR="00994AFB">
        <w:t xml:space="preserve">paid to </w:t>
      </w:r>
      <w:r w:rsidR="00061393">
        <w:t xml:space="preserve">the </w:t>
      </w:r>
      <w:r w:rsidR="00E9617A">
        <w:t xml:space="preserve">former </w:t>
      </w:r>
      <w:r w:rsidR="00061393">
        <w:t xml:space="preserve">clients </w:t>
      </w:r>
      <w:r w:rsidR="006B4E8C">
        <w:t xml:space="preserve">implicitly </w:t>
      </w:r>
      <w:r w:rsidR="00467F2E">
        <w:t>adjudicat</w:t>
      </w:r>
      <w:r w:rsidR="00686C22">
        <w:t>e</w:t>
      </w:r>
      <w:r w:rsidR="009965C9">
        <w:t>s</w:t>
      </w:r>
      <w:r w:rsidR="00467F2E">
        <w:t xml:space="preserve"> the </w:t>
      </w:r>
      <w:r w:rsidR="00805B38">
        <w:t xml:space="preserve">lien </w:t>
      </w:r>
      <w:r w:rsidR="00467F2E">
        <w:t>claims of any</w:t>
      </w:r>
      <w:r w:rsidR="00CB35D9">
        <w:t xml:space="preserve"> third</w:t>
      </w:r>
      <w:r w:rsidR="00851283">
        <w:t xml:space="preserve"> parties </w:t>
      </w:r>
      <w:r w:rsidR="00C00596">
        <w:t xml:space="preserve">(such as Williams) </w:t>
      </w:r>
      <w:r w:rsidR="00851283">
        <w:t xml:space="preserve">who </w:t>
      </w:r>
      <w:r w:rsidR="00805B38">
        <w:t xml:space="preserve">also claim a right </w:t>
      </w:r>
      <w:r w:rsidR="00C77EE9">
        <w:t xml:space="preserve">to </w:t>
      </w:r>
      <w:r w:rsidR="00805B38">
        <w:t xml:space="preserve">share in those settlement funds. </w:t>
      </w:r>
      <w:r w:rsidR="001D17B0">
        <w:t xml:space="preserve"> </w:t>
      </w:r>
      <w:r w:rsidR="00C00596">
        <w:t>T</w:t>
      </w:r>
      <w:r w:rsidR="005B58F0">
        <w:t xml:space="preserve">he court lacked jurisdiction </w:t>
      </w:r>
      <w:r w:rsidR="00F91466">
        <w:t xml:space="preserve">to </w:t>
      </w:r>
      <w:r w:rsidR="009D4A2F">
        <w:t>determine</w:t>
      </w:r>
      <w:r w:rsidR="002509D6">
        <w:t xml:space="preserve"> the </w:t>
      </w:r>
      <w:r w:rsidR="00913AD1">
        <w:t>validity and value of</w:t>
      </w:r>
      <w:r w:rsidR="005B58F0">
        <w:t xml:space="preserve"> Williams</w:t>
      </w:r>
      <w:r w:rsidR="00AF1640">
        <w:t>’</w:t>
      </w:r>
      <w:r w:rsidR="00232841">
        <w:t>s</w:t>
      </w:r>
      <w:r w:rsidR="005B58F0">
        <w:t xml:space="preserve"> </w:t>
      </w:r>
      <w:r w:rsidR="00835426">
        <w:t>lien</w:t>
      </w:r>
      <w:r w:rsidR="005B58F0">
        <w:t xml:space="preserve"> claim</w:t>
      </w:r>
      <w:r w:rsidR="00460670">
        <w:t>;</w:t>
      </w:r>
      <w:r w:rsidR="005B58F0">
        <w:t xml:space="preserve"> it also lacked jurisdiction to </w:t>
      </w:r>
      <w:r w:rsidR="00D3739D">
        <w:t>determin</w:t>
      </w:r>
      <w:r w:rsidR="00631728">
        <w:t>e</w:t>
      </w:r>
      <w:r w:rsidR="005B58F0">
        <w:t xml:space="preserve"> </w:t>
      </w:r>
      <w:r w:rsidR="00ED5C9F">
        <w:t xml:space="preserve">the </w:t>
      </w:r>
      <w:r w:rsidR="00C158CC">
        <w:t xml:space="preserve">amount of </w:t>
      </w:r>
      <w:r w:rsidRPr="00460670" w:rsidR="00ED5C9F">
        <w:t>remaining</w:t>
      </w:r>
      <w:r w:rsidR="00ED5C9F">
        <w:t xml:space="preserve"> settlement funds to </w:t>
      </w:r>
      <w:r w:rsidR="00D3739D">
        <w:t xml:space="preserve">be paid to </w:t>
      </w:r>
      <w:r w:rsidR="00ED5C9F">
        <w:t xml:space="preserve">the </w:t>
      </w:r>
      <w:r w:rsidR="00E9617A">
        <w:t xml:space="preserve">former </w:t>
      </w:r>
      <w:r w:rsidR="00ED5C9F">
        <w:t xml:space="preserve">clients. </w:t>
      </w:r>
      <w:r w:rsidR="00737477">
        <w:t xml:space="preserve"> Thus, the</w:t>
      </w:r>
      <w:r w:rsidR="004B3367">
        <w:t xml:space="preserve"> invalidity of the judgment</w:t>
      </w:r>
      <w:r w:rsidR="00737477">
        <w:t xml:space="preserve"> </w:t>
      </w:r>
      <w:r w:rsidR="007F1B85">
        <w:t xml:space="preserve">provisions awarding fees to Williams could not be severed from the </w:t>
      </w:r>
      <w:r w:rsidR="002F3FE6">
        <w:t>pro</w:t>
      </w:r>
      <w:r w:rsidR="00631728">
        <w:t xml:space="preserve">visions </w:t>
      </w:r>
      <w:r w:rsidR="002F3FE6">
        <w:t xml:space="preserve">awarding specific amounts to the </w:t>
      </w:r>
      <w:r w:rsidR="00E9617A">
        <w:t xml:space="preserve">former </w:t>
      </w:r>
      <w:r w:rsidR="002F3FE6">
        <w:t xml:space="preserve">clients. </w:t>
      </w:r>
      <w:r w:rsidR="00953459">
        <w:t xml:space="preserve"> As a result, w</w:t>
      </w:r>
      <w:r w:rsidR="007A6481">
        <w:t xml:space="preserve">e reverse the </w:t>
      </w:r>
      <w:r w:rsidR="000A1512">
        <w:t>order vacating the judgment</w:t>
      </w:r>
      <w:r w:rsidR="007A6481">
        <w:t xml:space="preserve"> and remand </w:t>
      </w:r>
      <w:r w:rsidR="00E9617A">
        <w:t>the case</w:t>
      </w:r>
      <w:r w:rsidR="007A6481">
        <w:t xml:space="preserve"> to the trial court with directions to enter a new</w:t>
      </w:r>
      <w:r w:rsidR="009C3D7C">
        <w:t xml:space="preserve"> order vacating only the provisions purporting to adjudicate </w:t>
      </w:r>
      <w:r w:rsidR="00310D72">
        <w:t xml:space="preserve">(1) </w:t>
      </w:r>
      <w:r w:rsidR="009C3D7C">
        <w:t>Williams</w:t>
      </w:r>
      <w:r w:rsidR="00AF1640">
        <w:t>’</w:t>
      </w:r>
      <w:r w:rsidR="00232841">
        <w:t>s</w:t>
      </w:r>
      <w:r w:rsidR="009C3D7C">
        <w:t xml:space="preserve"> rights </w:t>
      </w:r>
      <w:r w:rsidR="00D92DCF">
        <w:t xml:space="preserve">to the settlement funds </w:t>
      </w:r>
      <w:r w:rsidR="009C3D7C">
        <w:t xml:space="preserve">and </w:t>
      </w:r>
      <w:r w:rsidR="00310D72">
        <w:t xml:space="preserve">(2) </w:t>
      </w:r>
      <w:r w:rsidR="00E9617A">
        <w:t>Aresh’s former</w:t>
      </w:r>
      <w:r w:rsidR="009C3D7C">
        <w:t xml:space="preserve"> </w:t>
      </w:r>
      <w:r w:rsidR="00BD2738">
        <w:t>clients</w:t>
      </w:r>
      <w:r w:rsidR="00AF1640">
        <w:t>’</w:t>
      </w:r>
      <w:r w:rsidR="00BD2738">
        <w:t xml:space="preserve"> </w:t>
      </w:r>
      <w:r w:rsidR="00310D72">
        <w:t>entitlement to</w:t>
      </w:r>
      <w:r w:rsidR="0083565D">
        <w:t xml:space="preserve"> be paid </w:t>
      </w:r>
      <w:r w:rsidR="002F77B1">
        <w:t xml:space="preserve">specific amounts of </w:t>
      </w:r>
      <w:r w:rsidR="00E9617A">
        <w:t xml:space="preserve">the </w:t>
      </w:r>
      <w:r w:rsidR="002F77B1">
        <w:t xml:space="preserve">settlement funds. </w:t>
      </w:r>
      <w:r w:rsidR="0003090B">
        <w:t xml:space="preserve"> The provisions adjudicating </w:t>
      </w:r>
      <w:r w:rsidR="0051673E">
        <w:t>Aresh</w:t>
      </w:r>
      <w:r w:rsidR="00AF1640">
        <w:t>’</w:t>
      </w:r>
      <w:r w:rsidR="0051673E">
        <w:t>s rights</w:t>
      </w:r>
      <w:r w:rsidR="00C45BDB">
        <w:t xml:space="preserve"> to specific portions of the settlement funds</w:t>
      </w:r>
      <w:r w:rsidR="0051673E">
        <w:t xml:space="preserve"> remain intact.</w:t>
      </w:r>
      <w:r>
        <w:rPr>
          <w:rStyle w:val="FootnoteReference"/>
        </w:rPr>
        <w:footnoteReference w:id="4"/>
      </w:r>
    </w:p>
    <w:p w:rsidR="002C7C80" w:rsidRPr="002950B5" w:rsidP="00855D3F" w14:paraId="51040F8C" w14:textId="3E0567E1">
      <w:pPr>
        <w:keepNext/>
        <w:tabs>
          <w:tab w:val="left" w:pos="1440"/>
          <w:tab w:val="left" w:pos="2880"/>
          <w:tab w:val="left" w:pos="4320"/>
          <w:tab w:val="left" w:pos="5760"/>
          <w:tab w:val="left" w:pos="7200"/>
          <w:tab w:val="left" w:pos="8640"/>
        </w:tabs>
        <w:spacing w:before="240" w:line="480" w:lineRule="atLeast"/>
        <w:jc w:val="center"/>
        <w:rPr>
          <w:b/>
          <w:bCs/>
        </w:rPr>
      </w:pPr>
      <w:r>
        <w:rPr>
          <w:b/>
          <w:bCs/>
        </w:rPr>
        <w:t>FACTS</w:t>
      </w:r>
    </w:p>
    <w:p w:rsidR="002F7DE2" w:rsidP="00185D30" w14:paraId="4938CEB3" w14:textId="4C57C9A9">
      <w:pPr>
        <w:tabs>
          <w:tab w:val="left" w:pos="1440"/>
          <w:tab w:val="left" w:pos="2880"/>
          <w:tab w:val="left" w:pos="4320"/>
          <w:tab w:val="left" w:pos="5760"/>
          <w:tab w:val="left" w:pos="7200"/>
          <w:tab w:val="left" w:pos="8640"/>
        </w:tabs>
        <w:spacing w:line="480" w:lineRule="atLeast"/>
      </w:pPr>
      <w:r>
        <w:tab/>
      </w:r>
      <w:r w:rsidR="005A34F1">
        <w:t xml:space="preserve">Aresh </w:t>
      </w:r>
      <w:r w:rsidR="00443215">
        <w:t xml:space="preserve">initiated litigation to obtain recovery of the </w:t>
      </w:r>
      <w:r w:rsidR="00E9617A">
        <w:t xml:space="preserve">attorney </w:t>
      </w:r>
      <w:r w:rsidR="00443215">
        <w:t xml:space="preserve">fees </w:t>
      </w:r>
      <w:r w:rsidR="00F258CE">
        <w:t xml:space="preserve">and costs </w:t>
      </w:r>
      <w:r w:rsidR="00443215">
        <w:t xml:space="preserve">he earned while representing </w:t>
      </w:r>
      <w:r w:rsidR="00CD0709">
        <w:t xml:space="preserve">Marin-Morales in an employment </w:t>
      </w:r>
      <w:r w:rsidR="00D148B8">
        <w:t>case</w:t>
      </w:r>
      <w:r w:rsidR="00F258CE">
        <w:t>.</w:t>
      </w:r>
      <w:r w:rsidR="00CD0709">
        <w:t xml:space="preserve"> </w:t>
      </w:r>
      <w:r w:rsidR="00F258CE">
        <w:t xml:space="preserve"> Aresh also</w:t>
      </w:r>
      <w:r w:rsidR="00CD0709">
        <w:t xml:space="preserve"> represent</w:t>
      </w:r>
      <w:r w:rsidR="00F258CE">
        <w:t>ed</w:t>
      </w:r>
      <w:r w:rsidR="00CD0709">
        <w:t xml:space="preserve"> </w:t>
      </w:r>
      <w:r w:rsidR="001F2FEF">
        <w:t>Marin-Morales</w:t>
      </w:r>
      <w:r w:rsidR="007C407A">
        <w:t xml:space="preserve"> and </w:t>
      </w:r>
      <w:r w:rsidR="00CF2954">
        <w:t xml:space="preserve">four other individual </w:t>
      </w:r>
      <w:r w:rsidR="00B94DE5">
        <w:t>defendants</w:t>
      </w:r>
      <w:r w:rsidR="00D11BA0">
        <w:t xml:space="preserve">, </w:t>
      </w:r>
      <w:r w:rsidR="00B94DE5">
        <w:t xml:space="preserve">Akin Arikan, </w:t>
      </w:r>
      <w:r w:rsidR="00D11BA0">
        <w:t xml:space="preserve">Glafira Cruz Sumano, David Marin Moreno, </w:t>
      </w:r>
      <w:r w:rsidR="00F258CE">
        <w:t xml:space="preserve">and </w:t>
      </w:r>
      <w:r w:rsidR="00D11BA0">
        <w:t>Beatriz Marin Morales</w:t>
      </w:r>
      <w:r w:rsidR="007C407A">
        <w:t xml:space="preserve">, in a personal injury </w:t>
      </w:r>
      <w:r w:rsidR="00E117CF">
        <w:t>case</w:t>
      </w:r>
      <w:r w:rsidR="00F258CE">
        <w:t xml:space="preserve"> (collectively, former clients)</w:t>
      </w:r>
      <w:r w:rsidR="007C407A">
        <w:t xml:space="preserve">. </w:t>
      </w:r>
      <w:r w:rsidR="00EF3B3D">
        <w:t xml:space="preserve"> Aresh alleged that </w:t>
      </w:r>
      <w:r w:rsidR="00CC3A3E">
        <w:t xml:space="preserve">the </w:t>
      </w:r>
      <w:r w:rsidR="00F258CE">
        <w:t xml:space="preserve">former </w:t>
      </w:r>
      <w:r w:rsidR="00CC3A3E">
        <w:t xml:space="preserve">clients had </w:t>
      </w:r>
      <w:r w:rsidR="005A0F6E">
        <w:t xml:space="preserve">granted him </w:t>
      </w:r>
      <w:r w:rsidR="00AE111C">
        <w:t>a</w:t>
      </w:r>
      <w:r w:rsidR="00960C72">
        <w:t xml:space="preserve"> contractual lien against any recover</w:t>
      </w:r>
      <w:r w:rsidR="00054B2B">
        <w:t>y</w:t>
      </w:r>
      <w:r w:rsidR="00960C72">
        <w:t xml:space="preserve"> in </w:t>
      </w:r>
      <w:r w:rsidR="00F969F8">
        <w:t>both</w:t>
      </w:r>
      <w:r w:rsidR="00960C72">
        <w:t xml:space="preserve"> case</w:t>
      </w:r>
      <w:r w:rsidR="00F969F8">
        <w:t>s</w:t>
      </w:r>
      <w:r w:rsidR="00960C72">
        <w:t xml:space="preserve">, </w:t>
      </w:r>
      <w:r w:rsidR="00865E50">
        <w:t xml:space="preserve">to ensure payment of his </w:t>
      </w:r>
      <w:r w:rsidR="00F258CE">
        <w:t xml:space="preserve">attorney </w:t>
      </w:r>
      <w:r w:rsidR="00865E50">
        <w:t>fees</w:t>
      </w:r>
      <w:r w:rsidR="00F258CE">
        <w:t xml:space="preserve"> and costs</w:t>
      </w:r>
      <w:r w:rsidR="00865E50">
        <w:t xml:space="preserve"> out of any </w:t>
      </w:r>
      <w:r w:rsidR="005A0F6E">
        <w:t>such funds</w:t>
      </w:r>
      <w:r w:rsidR="00F969F8">
        <w:t>.  Aresh</w:t>
      </w:r>
      <w:r w:rsidR="00AF1640">
        <w:t>’</w:t>
      </w:r>
      <w:r w:rsidR="00F969F8">
        <w:t xml:space="preserve">s </w:t>
      </w:r>
      <w:r w:rsidR="00EF3B3D">
        <w:t xml:space="preserve">services were terminated </w:t>
      </w:r>
      <w:r w:rsidR="00F969F8">
        <w:t xml:space="preserve">by </w:t>
      </w:r>
      <w:r w:rsidR="00F258CE">
        <w:t>his former</w:t>
      </w:r>
      <w:r w:rsidR="00F969F8">
        <w:t xml:space="preserve"> clients </w:t>
      </w:r>
      <w:r w:rsidR="00C91DF9">
        <w:t xml:space="preserve">in both cases </w:t>
      </w:r>
      <w:r w:rsidR="009D6D2C">
        <w:t xml:space="preserve">after he had done substantial work </w:t>
      </w:r>
      <w:r w:rsidR="00946536">
        <w:t xml:space="preserve">on them, </w:t>
      </w:r>
      <w:r w:rsidR="009D6D2C">
        <w:t xml:space="preserve">and </w:t>
      </w:r>
      <w:r w:rsidR="00D8354B">
        <w:t xml:space="preserve">shortly </w:t>
      </w:r>
      <w:r w:rsidR="00C91DF9">
        <w:t xml:space="preserve">before the </w:t>
      </w:r>
      <w:r w:rsidR="00D8354B">
        <w:t xml:space="preserve">matters were </w:t>
      </w:r>
      <w:r w:rsidR="00F11344">
        <w:t>settle</w:t>
      </w:r>
      <w:r w:rsidR="00D8354B">
        <w:t>d</w:t>
      </w:r>
      <w:r w:rsidR="00F258CE">
        <w:t>.</w:t>
      </w:r>
      <w:r w:rsidR="008B4888">
        <w:t xml:space="preserve"> </w:t>
      </w:r>
      <w:r w:rsidR="00F258CE">
        <w:t xml:space="preserve"> </w:t>
      </w:r>
      <w:r w:rsidR="00A56DA9">
        <w:t>Wi</w:t>
      </w:r>
      <w:r w:rsidR="00D8354B">
        <w:t xml:space="preserve">lliams </w:t>
      </w:r>
      <w:r w:rsidR="00BA1A3F">
        <w:t xml:space="preserve">took </w:t>
      </w:r>
      <w:r w:rsidR="00D8354B">
        <w:t xml:space="preserve">over the </w:t>
      </w:r>
      <w:r w:rsidR="008177B0">
        <w:t>employment case</w:t>
      </w:r>
      <w:r w:rsidR="00F258CE">
        <w:t>,</w:t>
      </w:r>
      <w:r w:rsidR="008177B0">
        <w:t xml:space="preserve"> while </w:t>
      </w:r>
      <w:r w:rsidR="00F258CE">
        <w:t>he</w:t>
      </w:r>
      <w:r w:rsidR="008177B0">
        <w:t xml:space="preserve"> and a third attorney </w:t>
      </w:r>
      <w:r w:rsidR="00D333E4">
        <w:t>took</w:t>
      </w:r>
      <w:r w:rsidR="008177B0">
        <w:t xml:space="preserve"> over the personal injury case. </w:t>
      </w:r>
      <w:r w:rsidR="00D8354B">
        <w:t xml:space="preserve"> </w:t>
      </w:r>
    </w:p>
    <w:p w:rsidR="00AC738A" w:rsidRPr="00CC1B0B" w:rsidP="00185D30" w14:paraId="2A701BCA" w14:textId="5F5CA988">
      <w:pPr>
        <w:tabs>
          <w:tab w:val="left" w:pos="1440"/>
          <w:tab w:val="left" w:pos="2880"/>
          <w:tab w:val="left" w:pos="4320"/>
          <w:tab w:val="left" w:pos="5760"/>
          <w:tab w:val="left" w:pos="7200"/>
          <w:tab w:val="left" w:pos="8640"/>
        </w:tabs>
        <w:spacing w:line="480" w:lineRule="atLeast"/>
      </w:pPr>
      <w:r>
        <w:tab/>
        <w:t xml:space="preserve">Aresh alleged that </w:t>
      </w:r>
      <w:r w:rsidR="008C31A8">
        <w:t xml:space="preserve">after </w:t>
      </w:r>
      <w:r>
        <w:t xml:space="preserve">both cases had been resolved, </w:t>
      </w:r>
      <w:r w:rsidR="0083334A">
        <w:t xml:space="preserve">he filed notice of </w:t>
      </w:r>
      <w:r w:rsidR="0057175F">
        <w:t xml:space="preserve">his </w:t>
      </w:r>
      <w:r w:rsidR="0083334A">
        <w:t>lien</w:t>
      </w:r>
      <w:r w:rsidR="005D1AE9">
        <w:t>s</w:t>
      </w:r>
      <w:r w:rsidR="0083334A">
        <w:t xml:space="preserve">, but </w:t>
      </w:r>
      <w:r w:rsidR="00F258CE">
        <w:t xml:space="preserve">his former </w:t>
      </w:r>
      <w:r w:rsidR="00561E75">
        <w:t xml:space="preserve">clients </w:t>
      </w:r>
      <w:r w:rsidR="0015601F">
        <w:t xml:space="preserve">refused to </w:t>
      </w:r>
      <w:r w:rsidR="00A74E06">
        <w:t>pay him</w:t>
      </w:r>
      <w:r w:rsidR="00CD4119">
        <w:t xml:space="preserve"> any share of </w:t>
      </w:r>
      <w:r w:rsidR="00567743">
        <w:t xml:space="preserve">the </w:t>
      </w:r>
      <w:r w:rsidR="00CC2021">
        <w:t>settlement</w:t>
      </w:r>
      <w:r w:rsidR="00567743">
        <w:t xml:space="preserve"> </w:t>
      </w:r>
      <w:r w:rsidR="007A0F65">
        <w:t xml:space="preserve">funds as his fees. </w:t>
      </w:r>
      <w:r w:rsidR="008A2699">
        <w:t xml:space="preserve"> He alleged </w:t>
      </w:r>
      <w:r w:rsidR="00F258CE">
        <w:t>the former</w:t>
      </w:r>
      <w:r w:rsidR="00F01751">
        <w:t xml:space="preserve"> client</w:t>
      </w:r>
      <w:r w:rsidR="00CC1B0B">
        <w:t>s</w:t>
      </w:r>
      <w:r w:rsidR="00F01751">
        <w:t xml:space="preserve"> and Williams</w:t>
      </w:r>
      <w:r w:rsidR="007A2F16">
        <w:t xml:space="preserve"> claimed he had no valid lien against the </w:t>
      </w:r>
      <w:r w:rsidR="00CC2021">
        <w:t xml:space="preserve">settlement </w:t>
      </w:r>
      <w:r w:rsidR="007A2F16">
        <w:t>fund</w:t>
      </w:r>
      <w:r w:rsidR="00CC2021">
        <w:t>s</w:t>
      </w:r>
      <w:r w:rsidR="00A77E97">
        <w:t xml:space="preserve"> in</w:t>
      </w:r>
      <w:r w:rsidR="007A2F16">
        <w:t xml:space="preserve"> </w:t>
      </w:r>
      <w:r w:rsidR="0075450A">
        <w:t>either</w:t>
      </w:r>
      <w:r w:rsidR="007A2F16">
        <w:t xml:space="preserve"> the employment </w:t>
      </w:r>
      <w:r w:rsidR="00BB106F">
        <w:t>case</w:t>
      </w:r>
      <w:r w:rsidR="0075450A">
        <w:t xml:space="preserve"> or the personal injury case</w:t>
      </w:r>
      <w:r w:rsidR="00D96D5A">
        <w:t xml:space="preserve"> and </w:t>
      </w:r>
      <w:r w:rsidR="00A868C3">
        <w:t xml:space="preserve">also </w:t>
      </w:r>
      <w:r w:rsidR="00D96D5A">
        <w:t xml:space="preserve">that there were conflicting demands </w:t>
      </w:r>
      <w:r w:rsidR="00A77E97">
        <w:t xml:space="preserve">by various </w:t>
      </w:r>
      <w:r w:rsidR="00C24E95">
        <w:t>parties</w:t>
      </w:r>
      <w:r w:rsidR="00A77E97">
        <w:t xml:space="preserve"> a</w:t>
      </w:r>
      <w:r w:rsidR="000855FE">
        <w:t xml:space="preserve">gainst </w:t>
      </w:r>
      <w:r w:rsidR="00D96D5A">
        <w:t xml:space="preserve">both settlements. </w:t>
      </w:r>
      <w:r w:rsidR="0075450A">
        <w:t xml:space="preserve"> </w:t>
      </w:r>
    </w:p>
    <w:p w:rsidR="00A02521" w:rsidP="00A02521" w14:paraId="47328A8A" w14:textId="5A783385">
      <w:pPr>
        <w:tabs>
          <w:tab w:val="left" w:pos="1440"/>
          <w:tab w:val="left" w:pos="2880"/>
          <w:tab w:val="left" w:pos="4320"/>
          <w:tab w:val="left" w:pos="5760"/>
          <w:tab w:val="left" w:pos="7200"/>
          <w:tab w:val="left" w:pos="8640"/>
        </w:tabs>
        <w:spacing w:line="480" w:lineRule="atLeast"/>
      </w:pPr>
      <w:r>
        <w:tab/>
        <w:t>Aresh</w:t>
      </w:r>
      <w:r w:rsidR="00AF1640">
        <w:t>’</w:t>
      </w:r>
      <w:r>
        <w:t>s lawsuit</w:t>
      </w:r>
      <w:r w:rsidR="00A85136">
        <w:t xml:space="preserve"> alleged </w:t>
      </w:r>
      <w:r w:rsidR="00CF44A7">
        <w:t>causes of action for</w:t>
      </w:r>
      <w:r w:rsidR="00567743">
        <w:t xml:space="preserve"> </w:t>
      </w:r>
      <w:r w:rsidR="0000387D">
        <w:t>breach of contract and quantum meruit</w:t>
      </w:r>
      <w:r w:rsidR="00634385">
        <w:t>,</w:t>
      </w:r>
      <w:r w:rsidR="0000387D">
        <w:t xml:space="preserve"> and for </w:t>
      </w:r>
      <w:r w:rsidR="00567743">
        <w:t>interpleader</w:t>
      </w:r>
      <w:r w:rsidR="00BA160C">
        <w:t xml:space="preserve"> </w:t>
      </w:r>
      <w:r w:rsidR="00755F10">
        <w:t>and declaratory relief a</w:t>
      </w:r>
      <w:r w:rsidR="00BA160C">
        <w:t>gainst all defendants</w:t>
      </w:r>
      <w:r w:rsidR="00917ABF">
        <w:t xml:space="preserve">, </w:t>
      </w:r>
      <w:r w:rsidR="00272DAB">
        <w:t xml:space="preserve">including </w:t>
      </w:r>
      <w:r w:rsidR="00E7485E">
        <w:t xml:space="preserve">(1) </w:t>
      </w:r>
      <w:r w:rsidR="00272DAB">
        <w:t xml:space="preserve">the individual </w:t>
      </w:r>
      <w:r w:rsidR="00F258CE">
        <w:t xml:space="preserve">former </w:t>
      </w:r>
      <w:r w:rsidR="00272DAB">
        <w:t xml:space="preserve">clients, </w:t>
      </w:r>
      <w:r w:rsidR="00E7485E">
        <w:t xml:space="preserve">(2) </w:t>
      </w:r>
      <w:r w:rsidR="00272DAB">
        <w:t xml:space="preserve">Williams, </w:t>
      </w:r>
      <w:r w:rsidR="00E7485E">
        <w:t xml:space="preserve">(3) </w:t>
      </w:r>
      <w:r w:rsidR="00DE3F94">
        <w:t>the</w:t>
      </w:r>
      <w:r w:rsidR="00D83D94">
        <w:t xml:space="preserve"> third attorney and law firm who </w:t>
      </w:r>
      <w:r w:rsidR="001D35DB">
        <w:t>s</w:t>
      </w:r>
      <w:r w:rsidR="00D83D94">
        <w:t xml:space="preserve">ucceeded </w:t>
      </w:r>
      <w:r w:rsidR="00AC27B3">
        <w:t xml:space="preserve">Aresh </w:t>
      </w:r>
      <w:r w:rsidR="00E960C2">
        <w:t xml:space="preserve">and Williams </w:t>
      </w:r>
      <w:r w:rsidR="00AC27B3">
        <w:t>as counsel in the personal injury case</w:t>
      </w:r>
      <w:r w:rsidR="00CD4119">
        <w:t>,</w:t>
      </w:r>
      <w:r w:rsidR="001A78C9">
        <w:t xml:space="preserve"> and </w:t>
      </w:r>
      <w:r w:rsidR="00CD4119">
        <w:t>(4)</w:t>
      </w:r>
      <w:r w:rsidR="00232841">
        <w:t> </w:t>
      </w:r>
      <w:r w:rsidR="001A78C9">
        <w:t xml:space="preserve">various </w:t>
      </w:r>
      <w:r w:rsidR="00F02069">
        <w:t>professional</w:t>
      </w:r>
      <w:r w:rsidR="00F12D5E">
        <w:t>s who</w:t>
      </w:r>
      <w:r w:rsidR="00F02069">
        <w:t xml:space="preserve"> </w:t>
      </w:r>
      <w:r w:rsidR="004952F9">
        <w:t>provide</w:t>
      </w:r>
      <w:r w:rsidR="00F12D5E">
        <w:t xml:space="preserve">d service in connection with </w:t>
      </w:r>
      <w:r w:rsidR="00F02069">
        <w:t>each case</w:t>
      </w:r>
      <w:r w:rsidR="004952F9">
        <w:t xml:space="preserve">. </w:t>
      </w:r>
      <w:r w:rsidR="00232841">
        <w:t xml:space="preserve"> </w:t>
      </w:r>
      <w:r w:rsidR="003C2ADB">
        <w:t>The c</w:t>
      </w:r>
      <w:r w:rsidR="00AD7007">
        <w:t xml:space="preserve">laim for declaratory relief </w:t>
      </w:r>
      <w:r w:rsidR="003C2ADB">
        <w:t xml:space="preserve">alleges </w:t>
      </w:r>
      <w:r w:rsidR="009A21C7">
        <w:t xml:space="preserve">that the </w:t>
      </w:r>
      <w:r w:rsidR="00F258CE">
        <w:t xml:space="preserve">former </w:t>
      </w:r>
      <w:r w:rsidR="009A21C7">
        <w:t>clients and</w:t>
      </w:r>
      <w:r w:rsidR="00F12D5E">
        <w:t xml:space="preserve"> Williams</w:t>
      </w:r>
      <w:r w:rsidR="009A21C7">
        <w:t xml:space="preserve"> </w:t>
      </w:r>
      <w:r w:rsidR="00912ECD">
        <w:t xml:space="preserve">(but not the third attorney) </w:t>
      </w:r>
      <w:r w:rsidR="009A21C7">
        <w:t xml:space="preserve">dispute the </w:t>
      </w:r>
      <w:r w:rsidR="00AF1640">
        <w:t>“</w:t>
      </w:r>
      <w:r w:rsidR="009A21C7">
        <w:t>validity, priority, and amount</w:t>
      </w:r>
      <w:r w:rsidR="00AF1640">
        <w:t>”</w:t>
      </w:r>
      <w:r w:rsidR="009A21C7">
        <w:t xml:space="preserve"> of his attorney lien</w:t>
      </w:r>
      <w:r w:rsidR="00474659">
        <w:t xml:space="preserve">s, and seeks a declaration that his lien is </w:t>
      </w:r>
      <w:r w:rsidR="00AF1640">
        <w:t>“</w:t>
      </w:r>
      <w:r w:rsidR="00474659">
        <w:t>valid</w:t>
      </w:r>
      <w:r w:rsidR="00232841">
        <w:t xml:space="preserve"> and</w:t>
      </w:r>
      <w:r w:rsidR="00474659">
        <w:t xml:space="preserve"> perfected, first</w:t>
      </w:r>
      <w:r w:rsidR="00946536">
        <w:noBreakHyphen/>
      </w:r>
      <w:r w:rsidR="00474659">
        <w:t>priority</w:t>
      </w:r>
      <w:r w:rsidR="00232841">
        <w:t xml:space="preserve"> . . .</w:t>
      </w:r>
      <w:r w:rsidR="006E2C5E">
        <w:t xml:space="preserve"> </w:t>
      </w:r>
      <w:r w:rsidR="00232841">
        <w:t>[</w:t>
      </w:r>
      <w:r w:rsidR="006E2C5E">
        <w:t>and</w:t>
      </w:r>
      <w:r w:rsidR="00232841">
        <w:t>]</w:t>
      </w:r>
      <w:r w:rsidR="006E2C5E">
        <w:t xml:space="preserve"> in </w:t>
      </w:r>
      <w:r w:rsidR="00232841">
        <w:t>the</w:t>
      </w:r>
      <w:r w:rsidR="006E2C5E">
        <w:t xml:space="preserve"> amount of the value of the services</w:t>
      </w:r>
      <w:r w:rsidR="00AF1640">
        <w:t>”</w:t>
      </w:r>
      <w:r w:rsidR="006E2C5E">
        <w:t xml:space="preserve"> he rendered. </w:t>
      </w:r>
    </w:p>
    <w:p w:rsidR="00CF623A" w:rsidP="00A02521" w14:paraId="321BBD63" w14:textId="1037F4E5">
      <w:pPr>
        <w:tabs>
          <w:tab w:val="left" w:pos="1440"/>
          <w:tab w:val="left" w:pos="2880"/>
          <w:tab w:val="left" w:pos="4320"/>
          <w:tab w:val="left" w:pos="5760"/>
          <w:tab w:val="left" w:pos="7200"/>
          <w:tab w:val="left" w:pos="8640"/>
        </w:tabs>
        <w:spacing w:line="480" w:lineRule="atLeast"/>
      </w:pPr>
      <w:r>
        <w:tab/>
        <w:t xml:space="preserve">Williams demurred, citing </w:t>
      </w:r>
      <w:bookmarkStart w:id="1" w:name="dabmci_1cce1afd84724d5e87cba9947ac177f3"/>
      <w:r w:rsidR="008B2AD0">
        <w:rPr>
          <w:i/>
          <w:iCs/>
        </w:rPr>
        <w:t>Mo</w:t>
      </w:r>
      <w:r w:rsidR="00014F26">
        <w:rPr>
          <w:i/>
          <w:iCs/>
        </w:rPr>
        <w:t>jt</w:t>
      </w:r>
      <w:r w:rsidR="00CA3F05">
        <w:rPr>
          <w:i/>
          <w:iCs/>
        </w:rPr>
        <w:t>a</w:t>
      </w:r>
      <w:r w:rsidR="00014F26">
        <w:rPr>
          <w:i/>
          <w:iCs/>
        </w:rPr>
        <w:t>hedi v. Vargas</w:t>
      </w:r>
      <w:r w:rsidR="00014F26">
        <w:t xml:space="preserve"> (2014) 228 Cal.App.4th 974</w:t>
      </w:r>
      <w:r w:rsidR="002D1205">
        <w:t xml:space="preserve"> (</w:t>
      </w:r>
      <w:r w:rsidR="002D1205">
        <w:rPr>
          <w:i/>
          <w:iCs/>
        </w:rPr>
        <w:t>Mojtahedi</w:t>
      </w:r>
      <w:r w:rsidR="002D1205">
        <w:t>)</w:t>
      </w:r>
      <w:bookmarkEnd w:id="1"/>
      <w:r>
        <w:t xml:space="preserve">, for the proposition that </w:t>
      </w:r>
      <w:r w:rsidR="00E1217F">
        <w:t xml:space="preserve">a discharged attorney could not sue to enforce his fee lien against a successor attorney </w:t>
      </w:r>
      <w:r w:rsidR="00D423C4">
        <w:t xml:space="preserve">holding </w:t>
      </w:r>
      <w:r w:rsidR="000652F9">
        <w:t xml:space="preserve">settlement funds </w:t>
      </w:r>
      <w:r w:rsidR="00E1217F">
        <w:t xml:space="preserve">unless he first </w:t>
      </w:r>
      <w:r w:rsidR="001C4782">
        <w:t>established the validity and value of the lien in an action against the client.</w:t>
      </w:r>
      <w:r w:rsidR="002611FA">
        <w:t xml:space="preserve">  He argued that the discharged attorney must </w:t>
      </w:r>
      <w:r w:rsidR="00CA0CAE">
        <w:t xml:space="preserve">first </w:t>
      </w:r>
      <w:r w:rsidR="002611FA">
        <w:t xml:space="preserve">bring an action </w:t>
      </w:r>
      <w:r w:rsidR="00AF1640">
        <w:t>“</w:t>
      </w:r>
      <w:r w:rsidRPr="00CA0CAE" w:rsidR="00CA0CAE">
        <w:rPr>
          <w:u w:val="single"/>
        </w:rPr>
        <w:t>only</w:t>
      </w:r>
      <w:r w:rsidR="00CA0CAE">
        <w:t xml:space="preserve"> </w:t>
      </w:r>
      <w:r w:rsidRPr="00CA0CAE" w:rsidR="002611FA">
        <w:t>against</w:t>
      </w:r>
      <w:r w:rsidR="002611FA">
        <w:t xml:space="preserve"> </w:t>
      </w:r>
      <w:r w:rsidR="00EC4B19">
        <w:t xml:space="preserve">the client with </w:t>
      </w:r>
      <w:r w:rsidR="00F04281">
        <w:t>who</w:t>
      </w:r>
      <w:r w:rsidR="00EC4B19">
        <w:t>m the complaining attorney had a contract for attorney services.</w:t>
      </w:r>
      <w:r w:rsidR="00AF1640">
        <w:t>”</w:t>
      </w:r>
      <w:r w:rsidR="00EC4B19">
        <w:t xml:space="preserve"> </w:t>
      </w:r>
      <w:r w:rsidR="0010536A">
        <w:t xml:space="preserve"> He </w:t>
      </w:r>
      <w:r w:rsidR="00F258CE">
        <w:t xml:space="preserve">also </w:t>
      </w:r>
      <w:r w:rsidR="0010536A">
        <w:t xml:space="preserve">argued </w:t>
      </w:r>
      <w:r w:rsidR="00F23F64">
        <w:t xml:space="preserve">Aresh </w:t>
      </w:r>
      <w:r w:rsidR="00AF1640">
        <w:t>“</w:t>
      </w:r>
      <w:r w:rsidR="00F23F64">
        <w:t xml:space="preserve">does not have standing </w:t>
      </w:r>
      <w:r w:rsidR="00AB441C">
        <w:t>for declaratory relief as to subsequent counsel</w:t>
      </w:r>
      <w:r w:rsidR="00127260">
        <w:t xml:space="preserve"> Williams, because Aresh has not established the validity and amount of his purported liens in an independent and separate legal action against his former clients, and such standing will not occur until conclusion (i.e., judgment</w:t>
      </w:r>
      <w:r w:rsidR="00232841">
        <w:t>)</w:t>
      </w:r>
      <w:r w:rsidR="00127260">
        <w:t xml:space="preserve"> of the present legal action against his former clients.</w:t>
      </w:r>
      <w:r w:rsidR="00AF1640">
        <w:t>”</w:t>
      </w:r>
      <w:r w:rsidR="00127260">
        <w:t xml:space="preserve"> </w:t>
      </w:r>
      <w:r w:rsidR="00934BF5">
        <w:t xml:space="preserve"> (Initial capitalization and bold omitted.) </w:t>
      </w:r>
    </w:p>
    <w:p w:rsidR="00A05AA6" w:rsidRPr="00476CB1" w:rsidP="00A02521" w14:paraId="16D5FCD3" w14:textId="215D976B">
      <w:pPr>
        <w:tabs>
          <w:tab w:val="left" w:pos="1440"/>
          <w:tab w:val="left" w:pos="2880"/>
          <w:tab w:val="left" w:pos="4320"/>
          <w:tab w:val="left" w:pos="5760"/>
          <w:tab w:val="left" w:pos="7200"/>
          <w:tab w:val="left" w:pos="8640"/>
        </w:tabs>
        <w:spacing w:line="480" w:lineRule="atLeast"/>
      </w:pPr>
      <w:r>
        <w:tab/>
        <w:t xml:space="preserve">The trial court </w:t>
      </w:r>
      <w:r w:rsidR="007E5B99">
        <w:t xml:space="preserve">tentatively </w:t>
      </w:r>
      <w:r>
        <w:t xml:space="preserve">agreed </w:t>
      </w:r>
      <w:r w:rsidR="00C50A45">
        <w:t>that the demurrer should be sustained</w:t>
      </w:r>
      <w:r w:rsidR="00320FBF">
        <w:t xml:space="preserve"> </w:t>
      </w:r>
      <w:r w:rsidR="007E5B99">
        <w:t xml:space="preserve">and took the matter under submission after </w:t>
      </w:r>
      <w:r w:rsidR="00320FBF">
        <w:t>oral argument.</w:t>
      </w:r>
      <w:r>
        <w:rPr>
          <w:rStyle w:val="FootnoteReference"/>
        </w:rPr>
        <w:footnoteReference w:id="5"/>
      </w:r>
      <w:r w:rsidR="00320FBF">
        <w:t xml:space="preserve"> </w:t>
      </w:r>
      <w:r w:rsidR="00855D3F">
        <w:t xml:space="preserve"> </w:t>
      </w:r>
      <w:r w:rsidR="00FB0112">
        <w:t>The court also ordered b</w:t>
      </w:r>
      <w:r w:rsidR="002B658C">
        <w:t xml:space="preserve">oth Aresh and Williams to detail the amount of fees </w:t>
      </w:r>
      <w:r w:rsidR="008A7949">
        <w:t xml:space="preserve">and costs </w:t>
      </w:r>
      <w:r w:rsidR="006A04CE">
        <w:t>in</w:t>
      </w:r>
      <w:r w:rsidR="00232841">
        <w:t>clud</w:t>
      </w:r>
      <w:r w:rsidR="006A04CE">
        <w:t>ed in</w:t>
      </w:r>
      <w:r w:rsidR="009C7487">
        <w:t xml:space="preserve"> the settlement funds and how </w:t>
      </w:r>
      <w:r w:rsidR="0068767B">
        <w:t>each</w:t>
      </w:r>
      <w:r w:rsidR="009C7487">
        <w:t xml:space="preserve"> expected those fees </w:t>
      </w:r>
      <w:r w:rsidR="008A7949">
        <w:t xml:space="preserve">and costs </w:t>
      </w:r>
      <w:r w:rsidR="009C7487">
        <w:t>to be apportioned</w:t>
      </w:r>
      <w:r>
        <w:t xml:space="preserve">. </w:t>
      </w:r>
      <w:r w:rsidR="00D05013">
        <w:t xml:space="preserve"> </w:t>
      </w:r>
      <w:r w:rsidR="007668B1">
        <w:t xml:space="preserve">The </w:t>
      </w:r>
      <w:r w:rsidR="008A7949">
        <w:t xml:space="preserve">former </w:t>
      </w:r>
      <w:r w:rsidR="007668B1">
        <w:t xml:space="preserve">clients submitted their own proposal </w:t>
      </w:r>
      <w:r w:rsidR="00E642A8">
        <w:t>as wel</w:t>
      </w:r>
      <w:r w:rsidR="00B72637">
        <w:t>l, w</w:t>
      </w:r>
      <w:r w:rsidR="007668B1">
        <w:t xml:space="preserve">hich amounted to a request that </w:t>
      </w:r>
      <w:r w:rsidR="00C206AE">
        <w:t xml:space="preserve">Aresh </w:t>
      </w:r>
      <w:r w:rsidR="007668B1">
        <w:t>and Williams</w:t>
      </w:r>
      <w:r w:rsidR="002E69BE">
        <w:t xml:space="preserve"> </w:t>
      </w:r>
      <w:r w:rsidR="0068767B">
        <w:t>agree on</w:t>
      </w:r>
      <w:r w:rsidR="002E69BE">
        <w:t xml:space="preserve"> how to divide the contingency fee </w:t>
      </w:r>
      <w:r w:rsidR="00270A06">
        <w:t>amounts</w:t>
      </w:r>
      <w:r w:rsidR="002E69BE">
        <w:t xml:space="preserve"> between themselves, with the </w:t>
      </w:r>
      <w:r w:rsidR="003211FD">
        <w:t>remainder of the settlement funds</w:t>
      </w:r>
      <w:r w:rsidR="006F6DF6">
        <w:t xml:space="preserve"> immediately</w:t>
      </w:r>
      <w:r w:rsidR="003211FD">
        <w:t xml:space="preserve"> disbursed to the </w:t>
      </w:r>
      <w:r w:rsidR="008A7949">
        <w:t xml:space="preserve">former </w:t>
      </w:r>
      <w:r w:rsidR="003211FD">
        <w:t xml:space="preserve">clients. </w:t>
      </w:r>
      <w:r>
        <w:t xml:space="preserve"> </w:t>
      </w:r>
    </w:p>
    <w:p w:rsidR="00F178B2" w:rsidP="00A02521" w14:paraId="7B217283" w14:textId="52D6193C">
      <w:pPr>
        <w:tabs>
          <w:tab w:val="left" w:pos="1440"/>
          <w:tab w:val="left" w:pos="2880"/>
          <w:tab w:val="left" w:pos="4320"/>
          <w:tab w:val="left" w:pos="5760"/>
          <w:tab w:val="left" w:pos="7200"/>
          <w:tab w:val="left" w:pos="8640"/>
        </w:tabs>
        <w:spacing w:line="480" w:lineRule="atLeast"/>
      </w:pPr>
      <w:r>
        <w:tab/>
      </w:r>
      <w:r w:rsidR="001C75AB">
        <w:t xml:space="preserve">Six weeks later, </w:t>
      </w:r>
      <w:r w:rsidR="00F8669A">
        <w:t xml:space="preserve">apparently before the </w:t>
      </w:r>
      <w:r w:rsidR="00606B9D">
        <w:t xml:space="preserve">court formally ruled on the demurrer, </w:t>
      </w:r>
      <w:r w:rsidR="003C624D">
        <w:t>Aresh</w:t>
      </w:r>
      <w:r w:rsidR="0010536A">
        <w:t xml:space="preserve"> filed a </w:t>
      </w:r>
      <w:r w:rsidR="002E0166">
        <w:t>request for dismissal,</w:t>
      </w:r>
      <w:r w:rsidR="0010536A">
        <w:t xml:space="preserve"> without prejudice</w:t>
      </w:r>
      <w:r w:rsidR="00833886">
        <w:t>,</w:t>
      </w:r>
      <w:r w:rsidR="0010536A">
        <w:t xml:space="preserve"> as to every </w:t>
      </w:r>
      <w:r w:rsidR="00CD236F">
        <w:t xml:space="preserve">named </w:t>
      </w:r>
      <w:r w:rsidR="0010536A">
        <w:t xml:space="preserve">defendant </w:t>
      </w:r>
      <w:r w:rsidR="008A7949">
        <w:t>except for the former</w:t>
      </w:r>
      <w:r w:rsidR="0010536A">
        <w:t xml:space="preserve"> clients. </w:t>
      </w:r>
      <w:r w:rsidR="00BC119B">
        <w:t xml:space="preserve"> </w:t>
      </w:r>
      <w:r w:rsidR="006E03C2">
        <w:t xml:space="preserve">The matter proceeded to </w:t>
      </w:r>
      <w:r w:rsidR="00BC119B">
        <w:t xml:space="preserve">a </w:t>
      </w:r>
      <w:r w:rsidR="006E03C2">
        <w:t xml:space="preserve">trial between Aresh and </w:t>
      </w:r>
      <w:r w:rsidR="00BC119B">
        <w:t>his</w:t>
      </w:r>
      <w:r w:rsidR="006E03C2">
        <w:t xml:space="preserve"> </w:t>
      </w:r>
      <w:r w:rsidR="00BC119B">
        <w:t xml:space="preserve">former </w:t>
      </w:r>
      <w:r w:rsidR="006E03C2">
        <w:t xml:space="preserve">clients.  </w:t>
      </w:r>
      <w:r w:rsidR="002F3636">
        <w:t>Williams</w:t>
      </w:r>
      <w:r w:rsidR="00BC119B">
        <w:t xml:space="preserve"> declined to participate as a party, but he appeared as</w:t>
      </w:r>
      <w:r w:rsidR="002F3636">
        <w:t xml:space="preserve"> a witness.  </w:t>
      </w:r>
    </w:p>
    <w:p w:rsidR="000F7E5D" w:rsidP="00A02521" w14:paraId="706221D1" w14:textId="735C5B88">
      <w:pPr>
        <w:tabs>
          <w:tab w:val="left" w:pos="1440"/>
          <w:tab w:val="left" w:pos="2880"/>
          <w:tab w:val="left" w:pos="4320"/>
          <w:tab w:val="left" w:pos="5760"/>
          <w:tab w:val="left" w:pos="7200"/>
          <w:tab w:val="left" w:pos="8640"/>
        </w:tabs>
        <w:spacing w:line="480" w:lineRule="atLeast"/>
      </w:pPr>
      <w:r>
        <w:tab/>
      </w:r>
      <w:r w:rsidR="00385456">
        <w:t>At the conclusion of the trial, th</w:t>
      </w:r>
      <w:r>
        <w:t xml:space="preserve">e court </w:t>
      </w:r>
      <w:r w:rsidR="00385456">
        <w:t>announced a tentative decision</w:t>
      </w:r>
      <w:r w:rsidR="00BD6369">
        <w:t xml:space="preserve"> stating that the con</w:t>
      </w:r>
      <w:r w:rsidR="00133DB3">
        <w:t xml:space="preserve">tingency fee in the </w:t>
      </w:r>
      <w:r w:rsidR="00275A89">
        <w:t xml:space="preserve">underlying </w:t>
      </w:r>
      <w:r w:rsidR="00133DB3">
        <w:t xml:space="preserve">employment case was </w:t>
      </w:r>
      <w:r w:rsidR="00B848BF">
        <w:t>$65,000 (</w:t>
      </w:r>
      <w:r w:rsidR="00133DB3">
        <w:t>40</w:t>
      </w:r>
      <w:r w:rsidR="00E16209">
        <w:t> percent</w:t>
      </w:r>
      <w:r w:rsidR="00133DB3">
        <w:t xml:space="preserve"> of the client</w:t>
      </w:r>
      <w:r w:rsidR="00AF1640">
        <w:t>’</w:t>
      </w:r>
      <w:r w:rsidR="00133DB3">
        <w:t>s recovery</w:t>
      </w:r>
      <w:r w:rsidR="00B848BF">
        <w:t>), and</w:t>
      </w:r>
      <w:r w:rsidR="00FB742F">
        <w:t xml:space="preserve"> that</w:t>
      </w:r>
      <w:r w:rsidR="00B848BF">
        <w:t xml:space="preserve"> </w:t>
      </w:r>
      <w:r w:rsidR="00A33377">
        <w:t>65</w:t>
      </w:r>
      <w:r w:rsidR="00E16209">
        <w:t xml:space="preserve"> percent</w:t>
      </w:r>
      <w:r w:rsidR="00A33377">
        <w:t xml:space="preserve"> </w:t>
      </w:r>
      <w:r w:rsidR="00FB742F">
        <w:t xml:space="preserve">of that amount </w:t>
      </w:r>
      <w:r w:rsidR="00A33377">
        <w:t>was to be paid to Aresh</w:t>
      </w:r>
      <w:r w:rsidR="00EC57D4">
        <w:t>, while</w:t>
      </w:r>
      <w:r w:rsidR="00A33377">
        <w:t xml:space="preserve"> 35</w:t>
      </w:r>
      <w:r w:rsidR="00E16209">
        <w:t xml:space="preserve"> percent</w:t>
      </w:r>
      <w:r w:rsidR="00A33377">
        <w:t xml:space="preserve"> was to be paid to Williams</w:t>
      </w:r>
      <w:r w:rsidR="00BC119B">
        <w:t>; costs in the amount of $3,590.33 and $193.65, were payable respectively</w:t>
      </w:r>
      <w:r w:rsidR="00A33377">
        <w:t xml:space="preserve">. </w:t>
      </w:r>
      <w:r w:rsidR="007F7526">
        <w:t xml:space="preserve"> The court </w:t>
      </w:r>
      <w:r w:rsidR="0080761F">
        <w:t>ruled</w:t>
      </w:r>
      <w:r w:rsidR="00DE282D">
        <w:t xml:space="preserve"> the </w:t>
      </w:r>
      <w:r w:rsidR="00AF1640">
        <w:t>“</w:t>
      </w:r>
      <w:r w:rsidR="00DE282D">
        <w:t>remaining $93,716.02</w:t>
      </w:r>
      <w:r w:rsidR="00AF1640">
        <w:t>”</w:t>
      </w:r>
      <w:r w:rsidR="00DE282D">
        <w:t xml:space="preserve"> </w:t>
      </w:r>
      <w:r w:rsidR="008D0209">
        <w:t>of</w:t>
      </w:r>
      <w:r w:rsidR="001816C1">
        <w:t xml:space="preserve"> t</w:t>
      </w:r>
      <w:r w:rsidR="00D7666D">
        <w:t>he settlement funds was to be paid to</w:t>
      </w:r>
      <w:r w:rsidR="00DE282D">
        <w:t xml:space="preserve"> the client. </w:t>
      </w:r>
      <w:r w:rsidR="00133DB3">
        <w:t xml:space="preserve"> </w:t>
      </w:r>
      <w:r w:rsidR="00FE7A78">
        <w:t>For</w:t>
      </w:r>
      <w:r w:rsidR="00446417">
        <w:t xml:space="preserve"> the </w:t>
      </w:r>
      <w:r w:rsidR="00275A89">
        <w:t xml:space="preserve">underlying </w:t>
      </w:r>
      <w:r w:rsidR="00446417">
        <w:t xml:space="preserve">personal injury case, the court tentatively decided that </w:t>
      </w:r>
      <w:r w:rsidR="00A873E2">
        <w:t>the attorney fees were 25</w:t>
      </w:r>
      <w:r w:rsidR="00E16209">
        <w:t xml:space="preserve"> percent</w:t>
      </w:r>
      <w:r w:rsidR="00A873E2">
        <w:t xml:space="preserve"> of one client</w:t>
      </w:r>
      <w:r w:rsidR="00AF1640">
        <w:t>’</w:t>
      </w:r>
      <w:r w:rsidR="00A873E2">
        <w:t>s recovery and 33</w:t>
      </w:r>
      <w:r w:rsidR="009E6FF8">
        <w:t>.33</w:t>
      </w:r>
      <w:r w:rsidR="00BC119B">
        <w:t> percent</w:t>
      </w:r>
      <w:r w:rsidR="009E6FF8">
        <w:t xml:space="preserve"> of the other clients</w:t>
      </w:r>
      <w:r w:rsidR="00AF1640">
        <w:t>’</w:t>
      </w:r>
      <w:r w:rsidR="009E6FF8">
        <w:t xml:space="preserve"> recoveries, and </w:t>
      </w:r>
      <w:r w:rsidR="00382D5F">
        <w:t>Aresh was entitled to</w:t>
      </w:r>
      <w:r w:rsidR="005E46F4">
        <w:t xml:space="preserve"> be paid</w:t>
      </w:r>
      <w:r w:rsidR="00382D5F">
        <w:t xml:space="preserve"> 90</w:t>
      </w:r>
      <w:r w:rsidR="00BC119B">
        <w:t> </w:t>
      </w:r>
      <w:r w:rsidR="00E16209">
        <w:t>percent</w:t>
      </w:r>
      <w:r w:rsidR="00A400D7">
        <w:t xml:space="preserve"> of those amounts, while</w:t>
      </w:r>
      <w:r w:rsidR="009E6FF8">
        <w:t xml:space="preserve"> Williams </w:t>
      </w:r>
      <w:r w:rsidR="00A400D7">
        <w:t>was entitled to be paid</w:t>
      </w:r>
      <w:r w:rsidR="009E6FF8">
        <w:t xml:space="preserve"> 10</w:t>
      </w:r>
      <w:r w:rsidR="00E16209">
        <w:t> percent; costs were waived by the parties</w:t>
      </w:r>
      <w:r w:rsidR="009E6FF8">
        <w:t xml:space="preserve">. </w:t>
      </w:r>
      <w:r w:rsidR="00EC57D4">
        <w:t xml:space="preserve"> </w:t>
      </w:r>
      <w:r w:rsidR="0060087B">
        <w:t>Again, the court stated</w:t>
      </w:r>
      <w:r w:rsidR="000C7A56">
        <w:t>,</w:t>
      </w:r>
      <w:r w:rsidR="0060087B">
        <w:t xml:space="preserve"> </w:t>
      </w:r>
      <w:r w:rsidR="00AF1640">
        <w:t>“</w:t>
      </w:r>
      <w:r w:rsidR="0060087B">
        <w:t>the remaining fun</w:t>
      </w:r>
      <w:r w:rsidR="001816C1">
        <w:t>ds</w:t>
      </w:r>
      <w:r w:rsidR="0060087B">
        <w:t xml:space="preserve"> (minus the contingency fees) are to be paid from the trust account to the </w:t>
      </w:r>
      <w:r w:rsidR="00A22A9A">
        <w:t>[clients]</w:t>
      </w:r>
      <w:r w:rsidR="0060087B">
        <w:t xml:space="preserve"> forthwith.</w:t>
      </w:r>
      <w:r w:rsidR="00AF1640">
        <w:t>”</w:t>
      </w:r>
      <w:r w:rsidR="00855D3F">
        <w:t xml:space="preserve"> </w:t>
      </w:r>
      <w:r w:rsidR="0060087B">
        <w:t xml:space="preserve"> </w:t>
      </w:r>
      <w:r w:rsidR="00EC57D4">
        <w:t xml:space="preserve">The court ordered counsel for the </w:t>
      </w:r>
      <w:r w:rsidR="00BC119B">
        <w:t xml:space="preserve">former </w:t>
      </w:r>
      <w:r w:rsidR="00EC57D4">
        <w:t xml:space="preserve">clients to prepare a proposed judgment. </w:t>
      </w:r>
    </w:p>
    <w:p w:rsidR="00ED59D9" w:rsidP="00185D30" w14:paraId="1BF6CB99" w14:textId="01B5BA5F">
      <w:pPr>
        <w:tabs>
          <w:tab w:val="left" w:pos="1440"/>
          <w:tab w:val="left" w:pos="2880"/>
          <w:tab w:val="left" w:pos="4320"/>
          <w:tab w:val="left" w:pos="5760"/>
          <w:tab w:val="left" w:pos="7200"/>
          <w:tab w:val="left" w:pos="8640"/>
        </w:tabs>
        <w:spacing w:line="480" w:lineRule="atLeast"/>
      </w:pPr>
      <w:r>
        <w:tab/>
        <w:t xml:space="preserve">The proposed judgment prepared by the </w:t>
      </w:r>
      <w:r w:rsidR="00BC119B">
        <w:t xml:space="preserve">former </w:t>
      </w:r>
      <w:r>
        <w:t>clients</w:t>
      </w:r>
      <w:r w:rsidR="00AF1640">
        <w:t>’</w:t>
      </w:r>
      <w:r>
        <w:t xml:space="preserve"> counsel </w:t>
      </w:r>
      <w:r w:rsidR="00EE6AEA">
        <w:t xml:space="preserve">included provisions </w:t>
      </w:r>
      <w:r w:rsidR="00B91B28">
        <w:t>specif</w:t>
      </w:r>
      <w:r w:rsidR="00786916">
        <w:t>ying</w:t>
      </w:r>
      <w:r w:rsidR="00B91B28">
        <w:t xml:space="preserve"> </w:t>
      </w:r>
      <w:r w:rsidR="00447B42">
        <w:t>the fee</w:t>
      </w:r>
      <w:r w:rsidR="00F77834">
        <w:t xml:space="preserve"> </w:t>
      </w:r>
      <w:r w:rsidR="00E16209">
        <w:t xml:space="preserve">and cost </w:t>
      </w:r>
      <w:r w:rsidR="00F77834">
        <w:t>amount</w:t>
      </w:r>
      <w:r w:rsidR="00447B42">
        <w:t xml:space="preserve">s </w:t>
      </w:r>
      <w:r w:rsidR="00FD39A3">
        <w:t xml:space="preserve">to be paid to </w:t>
      </w:r>
      <w:r w:rsidR="00447B42">
        <w:t>each Aresh and Williams</w:t>
      </w:r>
      <w:r w:rsidR="00091B21">
        <w:t xml:space="preserve"> </w:t>
      </w:r>
      <w:r w:rsidR="00447B42">
        <w:t>with</w:t>
      </w:r>
      <w:r w:rsidR="00C11938">
        <w:t xml:space="preserve"> respect to each case, </w:t>
      </w:r>
      <w:r w:rsidR="004502DD">
        <w:t>as well as</w:t>
      </w:r>
      <w:r w:rsidR="0035524A">
        <w:t xml:space="preserve"> provisions </w:t>
      </w:r>
      <w:r w:rsidR="00F65BD9">
        <w:t>identifying</w:t>
      </w:r>
      <w:r w:rsidR="0035524A">
        <w:t xml:space="preserve"> </w:t>
      </w:r>
      <w:r w:rsidR="00CD6B0D">
        <w:t>the</w:t>
      </w:r>
      <w:r w:rsidR="005A0596">
        <w:t xml:space="preserve"> remain</w:t>
      </w:r>
      <w:r w:rsidR="005C38D4">
        <w:t>ing</w:t>
      </w:r>
      <w:r w:rsidR="00CD6B0D">
        <w:t xml:space="preserve"> amount </w:t>
      </w:r>
      <w:r w:rsidR="007A32C6">
        <w:t xml:space="preserve">of settlement funds </w:t>
      </w:r>
      <w:r w:rsidR="00CD6B0D">
        <w:t>that each client was entitled to</w:t>
      </w:r>
      <w:r w:rsidR="00FE0F2B">
        <w:t xml:space="preserve"> be paid</w:t>
      </w:r>
      <w:r w:rsidR="005A0596">
        <w:t>,</w:t>
      </w:r>
      <w:r w:rsidR="00FD39A3">
        <w:t xml:space="preserve"> and</w:t>
      </w:r>
      <w:r w:rsidR="005A0596">
        <w:t xml:space="preserve"> specifying </w:t>
      </w:r>
      <w:r w:rsidR="003C736E">
        <w:t xml:space="preserve">how the check </w:t>
      </w:r>
      <w:r w:rsidR="00B635FC">
        <w:t xml:space="preserve">to each </w:t>
      </w:r>
      <w:r w:rsidR="003C736E">
        <w:t>was to be made out</w:t>
      </w:r>
      <w:r w:rsidR="00973A95">
        <w:t xml:space="preserve">—including </w:t>
      </w:r>
      <w:r w:rsidR="005A0596">
        <w:t xml:space="preserve">that </w:t>
      </w:r>
      <w:r w:rsidR="00AF1640">
        <w:t>“</w:t>
      </w:r>
      <w:r w:rsidR="005A0596">
        <w:t>[n]either Zaal Aresh nor Daniel Williams shall be payees on said payment</w:t>
      </w:r>
      <w:r w:rsidR="00E16209">
        <w:t> . . . .</w:t>
      </w:r>
      <w:r w:rsidR="00AF1640">
        <w:t>”</w:t>
      </w:r>
      <w:r w:rsidR="005A0596">
        <w:t xml:space="preserve"> </w:t>
      </w:r>
    </w:p>
    <w:p w:rsidR="00485ABB" w:rsidP="00185D30" w14:paraId="4984CAE0" w14:textId="56DA62EA">
      <w:pPr>
        <w:tabs>
          <w:tab w:val="left" w:pos="1440"/>
          <w:tab w:val="left" w:pos="2880"/>
          <w:tab w:val="left" w:pos="4320"/>
          <w:tab w:val="left" w:pos="5760"/>
          <w:tab w:val="left" w:pos="7200"/>
          <w:tab w:val="left" w:pos="8640"/>
        </w:tabs>
        <w:spacing w:line="480" w:lineRule="atLeast"/>
      </w:pPr>
      <w:r>
        <w:tab/>
        <w:t xml:space="preserve">Aresh objected to the </w:t>
      </w:r>
      <w:r w:rsidR="002327C7">
        <w:t xml:space="preserve">provisions of the </w:t>
      </w:r>
      <w:r>
        <w:t>proposed judgment</w:t>
      </w:r>
      <w:r w:rsidR="002327C7">
        <w:t xml:space="preserve"> that </w:t>
      </w:r>
      <w:r w:rsidR="00AF1640">
        <w:t>“</w:t>
      </w:r>
      <w:r w:rsidR="002327C7">
        <w:t>affirmatively . . . remit or release fund</w:t>
      </w:r>
      <w:r w:rsidR="00F26C13">
        <w:t>s</w:t>
      </w:r>
      <w:r w:rsidR="002327C7">
        <w:t xml:space="preserve"> to [the </w:t>
      </w:r>
      <w:r w:rsidR="00BC119B">
        <w:t xml:space="preserve">former </w:t>
      </w:r>
      <w:r w:rsidR="002327C7">
        <w:t>clients] and nonparty Daniel Williams</w:t>
      </w:r>
      <w:r w:rsidR="00371BBA">
        <w:t>,</w:t>
      </w:r>
      <w:r w:rsidR="00AF1640">
        <w:t>”</w:t>
      </w:r>
      <w:r w:rsidR="00371BBA">
        <w:t xml:space="preserve"> </w:t>
      </w:r>
      <w:r>
        <w:t xml:space="preserve">pointing out </w:t>
      </w:r>
      <w:r w:rsidR="00D018DA">
        <w:t xml:space="preserve">the court could not award relief </w:t>
      </w:r>
      <w:r w:rsidR="00AF1640">
        <w:t>“</w:t>
      </w:r>
      <w:r w:rsidR="00D018DA">
        <w:t>for or against a person who is not a party to the proceeding</w:t>
      </w:r>
      <w:r w:rsidR="00AF1640">
        <w:t>”</w:t>
      </w:r>
      <w:r w:rsidR="006F43D2">
        <w:t xml:space="preserve"> and a defendant </w:t>
      </w:r>
      <w:r w:rsidR="00AF1640">
        <w:t>“</w:t>
      </w:r>
      <w:r w:rsidR="006F43D2">
        <w:t>cannot obtain relief unless it files a cross</w:t>
      </w:r>
      <w:r w:rsidR="00F26C13">
        <w:noBreakHyphen/>
      </w:r>
      <w:r w:rsidR="006F43D2">
        <w:t>com</w:t>
      </w:r>
      <w:r w:rsidR="00856EF9">
        <w:t>p</w:t>
      </w:r>
      <w:r w:rsidR="006F43D2">
        <w:t>laint against the plaintiff because affirmative relief cannot be claimed in the answer.</w:t>
      </w:r>
      <w:r w:rsidR="00AF1640">
        <w:t>”</w:t>
      </w:r>
      <w:r w:rsidR="006F43D2">
        <w:t xml:space="preserve"> </w:t>
      </w:r>
    </w:p>
    <w:p w:rsidR="004901CB" w:rsidP="00185D30" w14:paraId="4249A928" w14:textId="2BACFFDA">
      <w:pPr>
        <w:tabs>
          <w:tab w:val="left" w:pos="1440"/>
          <w:tab w:val="left" w:pos="2880"/>
          <w:tab w:val="left" w:pos="4320"/>
          <w:tab w:val="left" w:pos="5760"/>
          <w:tab w:val="left" w:pos="7200"/>
          <w:tab w:val="left" w:pos="8640"/>
        </w:tabs>
        <w:spacing w:line="480" w:lineRule="atLeast"/>
      </w:pPr>
      <w:r>
        <w:tab/>
      </w:r>
      <w:r w:rsidR="00F74517">
        <w:t>The court signed the judgment</w:t>
      </w:r>
      <w:r w:rsidR="00FD0C57">
        <w:t>, as proposed,</w:t>
      </w:r>
      <w:r w:rsidR="00F74517">
        <w:t xml:space="preserve"> on June 1, 2021</w:t>
      </w:r>
      <w:r w:rsidR="00E16209">
        <w:t>.</w:t>
      </w:r>
      <w:r w:rsidR="001F3CDA">
        <w:t xml:space="preserve">  Within a month</w:t>
      </w:r>
      <w:r w:rsidR="00B52E18">
        <w:t>,</w:t>
      </w:r>
      <w:r w:rsidR="001F3CDA">
        <w:t xml:space="preserve"> Williams </w:t>
      </w:r>
      <w:r w:rsidR="00B52E18">
        <w:t xml:space="preserve">filed a motion to vacate the judgment, arguing it was void because it purported to adjudicate his fee claim </w:t>
      </w:r>
      <w:r w:rsidR="00ED59D9">
        <w:t xml:space="preserve">in the underlying cases </w:t>
      </w:r>
      <w:r w:rsidR="00B52E18">
        <w:t>when he was not a party.</w:t>
      </w:r>
      <w:r w:rsidR="00E16209">
        <w:t xml:space="preserve"> </w:t>
      </w:r>
      <w:r w:rsidR="00B52E18">
        <w:t xml:space="preserve"> </w:t>
      </w:r>
      <w:r w:rsidR="0099284D">
        <w:t>On October 28, 2021, t</w:t>
      </w:r>
      <w:r>
        <w:t xml:space="preserve">he court </w:t>
      </w:r>
      <w:r w:rsidR="00F26C13">
        <w:t xml:space="preserve">vacated the judgment </w:t>
      </w:r>
      <w:r w:rsidR="0099284D">
        <w:t xml:space="preserve">in its entirety. </w:t>
      </w:r>
      <w:r w:rsidR="00E16209">
        <w:t xml:space="preserve"> </w:t>
      </w:r>
      <w:r w:rsidR="0099284D">
        <w:t xml:space="preserve">The court acknowledged it was without fundamental jurisdiction to adjudicate </w:t>
      </w:r>
      <w:r w:rsidR="00C563E1">
        <w:t>Williams</w:t>
      </w:r>
      <w:r w:rsidR="00AF1640">
        <w:t>’</w:t>
      </w:r>
      <w:r w:rsidR="00354543">
        <w:t>s fee claim</w:t>
      </w:r>
      <w:r w:rsidR="00C563E1">
        <w:t xml:space="preserve">, as he was not a party to the action following </w:t>
      </w:r>
      <w:r w:rsidR="00380ED4">
        <w:t xml:space="preserve">his dismissal.  </w:t>
      </w:r>
      <w:r w:rsidR="00492185">
        <w:t>T</w:t>
      </w:r>
      <w:r w:rsidR="000B44BE">
        <w:t>he court also</w:t>
      </w:r>
      <w:r w:rsidR="00CC6A53">
        <w:t xml:space="preserve"> agreed with Williams</w:t>
      </w:r>
      <w:r w:rsidR="00AF1640">
        <w:t>’</w:t>
      </w:r>
      <w:r w:rsidR="00232841">
        <w:t>s</w:t>
      </w:r>
      <w:r w:rsidR="00CC6A53">
        <w:t xml:space="preserve"> contention that the </w:t>
      </w:r>
      <w:r w:rsidR="00675C48">
        <w:t xml:space="preserve">invalid portion of the judgment </w:t>
      </w:r>
      <w:r w:rsidR="000B44BE">
        <w:t xml:space="preserve">adjudicating his fees </w:t>
      </w:r>
      <w:r w:rsidR="00675C48">
        <w:t xml:space="preserve">could not be severed from the </w:t>
      </w:r>
      <w:r w:rsidR="00CC6A53">
        <w:t xml:space="preserve">remaining provisions because </w:t>
      </w:r>
      <w:r w:rsidR="00B13032">
        <w:t xml:space="preserve">those </w:t>
      </w:r>
      <w:r w:rsidR="00503472">
        <w:t xml:space="preserve">other </w:t>
      </w:r>
      <w:r w:rsidR="00B13032">
        <w:t>provisions</w:t>
      </w:r>
      <w:r w:rsidR="00E91691">
        <w:t xml:space="preserve"> </w:t>
      </w:r>
      <w:r w:rsidR="00503472">
        <w:t xml:space="preserve">had </w:t>
      </w:r>
      <w:r w:rsidR="0029314C">
        <w:t>award</w:t>
      </w:r>
      <w:r w:rsidR="00B13032">
        <w:t>ed</w:t>
      </w:r>
      <w:r w:rsidR="002A3361">
        <w:t xml:space="preserve"> </w:t>
      </w:r>
      <w:r w:rsidR="00503472">
        <w:t xml:space="preserve">the </w:t>
      </w:r>
      <w:r w:rsidR="002A3361">
        <w:t>remain</w:t>
      </w:r>
      <w:r w:rsidR="00503472">
        <w:t>ing</w:t>
      </w:r>
      <w:r w:rsidR="002A3361">
        <w:t xml:space="preserve"> settlement funds to either Aresh or the </w:t>
      </w:r>
      <w:r w:rsidR="00F26C13">
        <w:t xml:space="preserve">former </w:t>
      </w:r>
      <w:r w:rsidR="002A3361">
        <w:t xml:space="preserve">clients, </w:t>
      </w:r>
      <w:r w:rsidR="00B13032">
        <w:t xml:space="preserve">and thus </w:t>
      </w:r>
      <w:r w:rsidR="002A3361">
        <w:t>the</w:t>
      </w:r>
      <w:r w:rsidR="00F7269C">
        <w:t xml:space="preserve"> </w:t>
      </w:r>
      <w:r w:rsidR="00420D7C">
        <w:t xml:space="preserve">continuing validity </w:t>
      </w:r>
      <w:r w:rsidR="00F7269C">
        <w:t xml:space="preserve">of those provisions </w:t>
      </w:r>
      <w:r w:rsidR="00420D7C">
        <w:t>would</w:t>
      </w:r>
      <w:r w:rsidR="002A3361">
        <w:t xml:space="preserve"> </w:t>
      </w:r>
      <w:r w:rsidR="00A82D61">
        <w:t xml:space="preserve">effectively </w:t>
      </w:r>
      <w:r w:rsidR="002A3361">
        <w:t>limit Williams</w:t>
      </w:r>
      <w:r w:rsidR="00AF1640">
        <w:t>’</w:t>
      </w:r>
      <w:r w:rsidR="00232841">
        <w:t>s</w:t>
      </w:r>
      <w:r w:rsidR="002A3361">
        <w:t xml:space="preserve"> </w:t>
      </w:r>
      <w:r w:rsidR="00653B39">
        <w:t xml:space="preserve">own </w:t>
      </w:r>
      <w:r w:rsidR="002A3361">
        <w:t xml:space="preserve">potential </w:t>
      </w:r>
      <w:r w:rsidR="001B5809">
        <w:t xml:space="preserve">share of the settlement funds to </w:t>
      </w:r>
      <w:r w:rsidR="002A3361">
        <w:t xml:space="preserve">the amounts </w:t>
      </w:r>
      <w:r w:rsidR="000A06C2">
        <w:t>that had been improperly adjudicated</w:t>
      </w:r>
      <w:r w:rsidR="00653B39">
        <w:t xml:space="preserve"> in his absence. </w:t>
      </w:r>
    </w:p>
    <w:p w:rsidR="00F26C13" w:rsidRPr="005170B6" w:rsidP="00185D30" w14:paraId="26E02184" w14:textId="075DEA5A">
      <w:pPr>
        <w:tabs>
          <w:tab w:val="left" w:pos="1440"/>
          <w:tab w:val="left" w:pos="2880"/>
          <w:tab w:val="left" w:pos="4320"/>
          <w:tab w:val="left" w:pos="5760"/>
          <w:tab w:val="left" w:pos="7200"/>
          <w:tab w:val="left" w:pos="8640"/>
        </w:tabs>
        <w:spacing w:line="480" w:lineRule="atLeast"/>
      </w:pPr>
      <w:r>
        <w:tab/>
        <w:t>Aresh timely filed an appeal as to the underlying judgment and the postjudgment order to vacate.</w:t>
      </w:r>
    </w:p>
    <w:p w:rsidR="00452DEF" w:rsidP="00855D3F" w14:paraId="081BC1F9" w14:textId="4DB44E8A">
      <w:pPr>
        <w:keepNext/>
        <w:tabs>
          <w:tab w:val="left" w:pos="1440"/>
          <w:tab w:val="left" w:pos="2880"/>
          <w:tab w:val="left" w:pos="4320"/>
          <w:tab w:val="left" w:pos="5760"/>
          <w:tab w:val="left" w:pos="7200"/>
          <w:tab w:val="left" w:pos="8640"/>
        </w:tabs>
        <w:spacing w:before="240" w:line="480" w:lineRule="atLeast"/>
        <w:jc w:val="center"/>
      </w:pPr>
      <w:r>
        <w:rPr>
          <w:b/>
          <w:bCs/>
        </w:rPr>
        <w:t>DISCUSSION</w:t>
      </w:r>
    </w:p>
    <w:p w:rsidR="00F43B02" w:rsidP="0017211B" w14:paraId="1935E817" w14:textId="3FFEDF85">
      <w:pPr>
        <w:keepNext/>
        <w:tabs>
          <w:tab w:val="left" w:pos="720"/>
          <w:tab w:val="left" w:pos="1440"/>
          <w:tab w:val="left" w:pos="2880"/>
          <w:tab w:val="left" w:pos="4320"/>
          <w:tab w:val="left" w:pos="5760"/>
          <w:tab w:val="left" w:pos="7200"/>
          <w:tab w:val="left" w:pos="8640"/>
        </w:tabs>
        <w:spacing w:line="480" w:lineRule="atLeast"/>
      </w:pPr>
      <w:r>
        <w:tab/>
      </w:r>
      <w:r w:rsidR="001C4E5A">
        <w:t>1.</w:t>
      </w:r>
      <w:r w:rsidR="0017211B">
        <w:tab/>
      </w:r>
      <w:r w:rsidR="009B2BA8">
        <w:rPr>
          <w:i/>
          <w:iCs/>
        </w:rPr>
        <w:t>Where the Parties Agree</w:t>
      </w:r>
    </w:p>
    <w:p w:rsidR="001C4E5A" w:rsidP="001C4E5A" w14:paraId="2A37041F" w14:textId="6631769B">
      <w:pPr>
        <w:tabs>
          <w:tab w:val="left" w:pos="1440"/>
          <w:tab w:val="left" w:pos="2880"/>
          <w:tab w:val="left" w:pos="4320"/>
          <w:tab w:val="left" w:pos="5760"/>
          <w:tab w:val="left" w:pos="7200"/>
          <w:tab w:val="left" w:pos="8640"/>
        </w:tabs>
        <w:spacing w:line="480" w:lineRule="atLeast"/>
      </w:pPr>
      <w:r>
        <w:tab/>
      </w:r>
      <w:r w:rsidR="000D5F04">
        <w:t>It is undisputed</w:t>
      </w:r>
      <w:r w:rsidR="00782088">
        <w:t xml:space="preserve"> that the </w:t>
      </w:r>
      <w:r w:rsidR="00EB4CB5">
        <w:t xml:space="preserve">judgment </w:t>
      </w:r>
      <w:r w:rsidR="00782088">
        <w:t xml:space="preserve">provisions </w:t>
      </w:r>
      <w:r w:rsidR="002B371D">
        <w:t>specify</w:t>
      </w:r>
      <w:r w:rsidR="00EB4CB5">
        <w:t>ing</w:t>
      </w:r>
      <w:r w:rsidR="002B371D">
        <w:t xml:space="preserve"> the amounts of fees earned by Williams </w:t>
      </w:r>
      <w:r w:rsidR="00EB4CB5">
        <w:t xml:space="preserve">in the two underlying cases </w:t>
      </w:r>
      <w:r w:rsidR="002B371D">
        <w:t xml:space="preserve">are </w:t>
      </w:r>
      <w:r w:rsidR="007775C1">
        <w:t xml:space="preserve">void.  </w:t>
      </w:r>
      <w:r>
        <w:t xml:space="preserve">As explained by our Supreme Court in </w:t>
      </w:r>
      <w:bookmarkStart w:id="6" w:name="dabmci_ab62cdcb9f1f41548db149cb6a66c343"/>
      <w:r w:rsidRPr="001D67A2">
        <w:rPr>
          <w:i/>
          <w:iCs/>
        </w:rPr>
        <w:t>People v. American Contractors Indemnity Co.</w:t>
      </w:r>
      <w:r w:rsidRPr="0093015B">
        <w:t xml:space="preserve"> (2002) 33 Cal.4th 653, 66</w:t>
      </w:r>
      <w:r>
        <w:t>0</w:t>
      </w:r>
      <w:bookmarkEnd w:id="6"/>
      <w:r w:rsidR="00D04E73">
        <w:t xml:space="preserve">, </w:t>
      </w:r>
      <w:r>
        <w:t>a</w:t>
      </w:r>
      <w:r w:rsidRPr="0093015B">
        <w:t xml:space="preserve"> judgment is voi</w:t>
      </w:r>
      <w:r>
        <w:t>d</w:t>
      </w:r>
      <w:r w:rsidR="006E1ACB">
        <w:t>, as opposed to merely voidable,</w:t>
      </w:r>
      <w:r>
        <w:t xml:space="preserve"> when t</w:t>
      </w:r>
      <w:r w:rsidRPr="0093015B">
        <w:t>he court lacks fundamental jurisdiction over the subject matter or the parties</w:t>
      </w:r>
      <w:r>
        <w:t xml:space="preserve">; i.e., </w:t>
      </w:r>
      <w:r w:rsidR="00CA7D6F">
        <w:t xml:space="preserve">it has </w:t>
      </w:r>
      <w:r w:rsidR="00AF1640">
        <w:t>“‘</w:t>
      </w:r>
      <w:r w:rsidRPr="00C11B48">
        <w:t>an entire absence of power to hear or determine the case, an absence of authority over the subject matter or the parties</w:t>
      </w:r>
      <w:r>
        <w:t>.</w:t>
      </w:r>
      <w:r w:rsidR="00AF1640">
        <w:t>’”</w:t>
      </w:r>
      <w:r>
        <w:t xml:space="preserve">  </w:t>
      </w:r>
      <w:r w:rsidR="003C5C0E">
        <w:t>Here, the court lacked jurisdiction over Williams because he had been dismissed as a party</w:t>
      </w:r>
      <w:r w:rsidR="00CA7D6F">
        <w:t xml:space="preserve"> prior to the trial</w:t>
      </w:r>
      <w:r w:rsidR="003C5C0E">
        <w:t xml:space="preserve">.  </w:t>
      </w:r>
      <w:r w:rsidR="00AF1640">
        <w:t>“</w:t>
      </w:r>
      <w:r w:rsidRPr="00AA2B28" w:rsidR="00AA2B28">
        <w:t xml:space="preserve">When a court lacks jurisdiction in a fundamental sense, an ensuing judgment is void, and </w:t>
      </w:r>
      <w:r w:rsidR="00AF1640">
        <w:t>‘</w:t>
      </w:r>
      <w:r w:rsidRPr="00AA2B28" w:rsidR="00AA2B28">
        <w:t>thus vulnerable to direct or collateral attack at any time.</w:t>
      </w:r>
      <w:r w:rsidR="00AF1640">
        <w:t>’”</w:t>
      </w:r>
      <w:r w:rsidR="00CA7D6F">
        <w:t xml:space="preserve">  (</w:t>
      </w:r>
      <w:bookmarkStart w:id="7" w:name="dabmci_418d43a239f3462289e99fb900b29cf0"/>
      <w:r w:rsidRPr="007415F4" w:rsidR="00CA7D6F">
        <w:rPr>
          <w:i/>
          <w:iCs/>
        </w:rPr>
        <w:t>I</w:t>
      </w:r>
      <w:r w:rsidRPr="007415F4" w:rsidR="007415F4">
        <w:rPr>
          <w:i/>
          <w:iCs/>
        </w:rPr>
        <w:t>bi</w:t>
      </w:r>
      <w:r w:rsidRPr="007415F4" w:rsidR="00CA7D6F">
        <w:rPr>
          <w:i/>
          <w:iCs/>
        </w:rPr>
        <w:t>d</w:t>
      </w:r>
      <w:r w:rsidR="00CA7D6F">
        <w:t>.</w:t>
      </w:r>
      <w:bookmarkEnd w:id="7"/>
      <w:r w:rsidR="007415F4">
        <w:t>)</w:t>
      </w:r>
      <w:r w:rsidR="00CA7D6F">
        <w:t xml:space="preserve"> </w:t>
      </w:r>
    </w:p>
    <w:p w:rsidR="00F84C3E" w:rsidP="001C4E5A" w14:paraId="28E15471" w14:textId="518D35ED">
      <w:pPr>
        <w:tabs>
          <w:tab w:val="left" w:pos="1440"/>
          <w:tab w:val="left" w:pos="2880"/>
          <w:tab w:val="left" w:pos="4320"/>
          <w:tab w:val="left" w:pos="5760"/>
          <w:tab w:val="left" w:pos="7200"/>
          <w:tab w:val="left" w:pos="8640"/>
        </w:tabs>
        <w:spacing w:line="480" w:lineRule="atLeast"/>
      </w:pPr>
      <w:r>
        <w:tab/>
        <w:t xml:space="preserve">The parties also agree that </w:t>
      </w:r>
      <w:r w:rsidR="00A3519B">
        <w:t xml:space="preserve">if the void provisions of the judgment cannot be severed from the otherwise valid remainder, the judgment must be vacated in its entirety.  </w:t>
      </w:r>
      <w:r w:rsidR="00D10908">
        <w:t>(See</w:t>
      </w:r>
      <w:r w:rsidR="00605286">
        <w:t xml:space="preserve"> </w:t>
      </w:r>
      <w:bookmarkStart w:id="8" w:name="dabmci_a3e76737eda4409488ddadbff27584c9"/>
      <w:r w:rsidR="00605286">
        <w:rPr>
          <w:i/>
          <w:iCs/>
        </w:rPr>
        <w:t>Miller v. Superior Court</w:t>
      </w:r>
      <w:r w:rsidR="00605286">
        <w:t xml:space="preserve"> </w:t>
      </w:r>
      <w:r w:rsidR="00EE265F">
        <w:t>(1961) 195 Cal.App.2d 779, 785</w:t>
      </w:r>
      <w:bookmarkEnd w:id="8"/>
      <w:r w:rsidR="00D10908">
        <w:t xml:space="preserve"> </w:t>
      </w:r>
      <w:r w:rsidR="00605286">
        <w:t>[</w:t>
      </w:r>
      <w:r w:rsidR="00AF1640">
        <w:t>“</w:t>
      </w:r>
      <w:r w:rsidRPr="00605286" w:rsidR="00605286">
        <w:t>a judgment or order of court, invalid in part, will not be totally rejected if the invalid part is severable and it does not vitiate the remainder</w:t>
      </w:r>
      <w:r w:rsidR="00AF1640">
        <w:t>”</w:t>
      </w:r>
      <w:r w:rsidR="00605286">
        <w:t>].)</w:t>
      </w:r>
      <w:r w:rsidR="00A3519B">
        <w:t xml:space="preserve"> </w:t>
      </w:r>
    </w:p>
    <w:p w:rsidR="006051CE" w:rsidP="001C4E5A" w14:paraId="2B7E9B1D" w14:textId="132BD91C">
      <w:pPr>
        <w:tabs>
          <w:tab w:val="left" w:pos="1440"/>
          <w:tab w:val="left" w:pos="2880"/>
          <w:tab w:val="left" w:pos="4320"/>
          <w:tab w:val="left" w:pos="5760"/>
          <w:tab w:val="left" w:pos="7200"/>
          <w:tab w:val="left" w:pos="8640"/>
        </w:tabs>
        <w:spacing w:line="480" w:lineRule="atLeast"/>
      </w:pPr>
      <w:r>
        <w:tab/>
      </w:r>
      <w:r w:rsidR="00F26C13">
        <w:t>F</w:t>
      </w:r>
      <w:r>
        <w:t xml:space="preserve">inally, the parties agree that the provisions of the judgment </w:t>
      </w:r>
      <w:r w:rsidR="005072D0">
        <w:t xml:space="preserve">specifying the amounts of settlement funds to be paid to the clients are </w:t>
      </w:r>
      <w:r w:rsidR="007A1D51">
        <w:t xml:space="preserve">not severable from the </w:t>
      </w:r>
      <w:r w:rsidR="006541CE">
        <w:t xml:space="preserve">void provisions </w:t>
      </w:r>
      <w:r w:rsidR="004D60F3">
        <w:t xml:space="preserve">purporting to adjudicate </w:t>
      </w:r>
      <w:r w:rsidR="006541CE">
        <w:t>Williams</w:t>
      </w:r>
      <w:r w:rsidR="00AF1640">
        <w:t>’</w:t>
      </w:r>
      <w:r w:rsidR="00232841">
        <w:t>s</w:t>
      </w:r>
      <w:r w:rsidR="006541CE">
        <w:t xml:space="preserve"> fee claims. </w:t>
      </w:r>
      <w:r w:rsidR="00E16209">
        <w:t xml:space="preserve"> </w:t>
      </w:r>
      <w:r w:rsidR="006541CE">
        <w:t xml:space="preserve">We agree as well.  </w:t>
      </w:r>
      <w:r w:rsidR="00F26C13">
        <w:t>U</w:t>
      </w:r>
      <w:r w:rsidR="004D1AFA">
        <w:t xml:space="preserve">ntil </w:t>
      </w:r>
      <w:r w:rsidR="005D3151">
        <w:t>Williams</w:t>
      </w:r>
      <w:r w:rsidR="004D1AFA">
        <w:t xml:space="preserve"> has had an opportunity to prove the amount</w:t>
      </w:r>
      <w:r w:rsidR="000C7A56">
        <w:t>s</w:t>
      </w:r>
      <w:r w:rsidR="004D1AFA">
        <w:t xml:space="preserve"> he contends he is entitled to</w:t>
      </w:r>
      <w:r w:rsidR="008174F5">
        <w:t xml:space="preserve"> for his </w:t>
      </w:r>
      <w:r w:rsidR="007716BC">
        <w:t>fee</w:t>
      </w:r>
      <w:r w:rsidR="008174F5">
        <w:t>s</w:t>
      </w:r>
      <w:r w:rsidR="000C7A56">
        <w:t>,</w:t>
      </w:r>
      <w:r w:rsidR="009B2F5F">
        <w:t xml:space="preserve"> or the </w:t>
      </w:r>
      <w:r w:rsidR="00F26C13">
        <w:t xml:space="preserve">former </w:t>
      </w:r>
      <w:r w:rsidR="009B2F5F">
        <w:t>clients agree</w:t>
      </w:r>
      <w:r w:rsidR="00665441">
        <w:t xml:space="preserve">, the </w:t>
      </w:r>
      <w:r w:rsidR="009C4D2D">
        <w:t xml:space="preserve">court cannot determine the </w:t>
      </w:r>
      <w:r w:rsidR="00665441">
        <w:t xml:space="preserve">remaining </w:t>
      </w:r>
      <w:r w:rsidR="009C4D2D">
        <w:t xml:space="preserve">amounts </w:t>
      </w:r>
      <w:r w:rsidR="00E44BF6">
        <w:t xml:space="preserve">of the </w:t>
      </w:r>
      <w:r w:rsidR="00665441">
        <w:t>settlement funds</w:t>
      </w:r>
      <w:r w:rsidR="00E44BF6">
        <w:t xml:space="preserve"> </w:t>
      </w:r>
      <w:r w:rsidR="00B41495">
        <w:t xml:space="preserve">to be disbursed to </w:t>
      </w:r>
      <w:r w:rsidR="00E44BF6">
        <w:t xml:space="preserve">the </w:t>
      </w:r>
      <w:r w:rsidR="00F26C13">
        <w:t xml:space="preserve">former </w:t>
      </w:r>
      <w:r w:rsidR="00E44BF6">
        <w:t>clients</w:t>
      </w:r>
      <w:r w:rsidR="00B41495">
        <w:t>.</w:t>
      </w:r>
      <w:r>
        <w:rPr>
          <w:rStyle w:val="FootnoteReference"/>
        </w:rPr>
        <w:footnoteReference w:id="6"/>
      </w:r>
      <w:r w:rsidR="008538CC">
        <w:t xml:space="preserve"> </w:t>
      </w:r>
      <w:r w:rsidR="00FE1D4E">
        <w:t xml:space="preserve"> </w:t>
      </w:r>
    </w:p>
    <w:p w:rsidR="009770F8" w:rsidP="0017211B" w14:paraId="6B290B35" w14:textId="2B77023E">
      <w:pPr>
        <w:keepNext/>
        <w:tabs>
          <w:tab w:val="left" w:pos="720"/>
          <w:tab w:val="left" w:pos="1440"/>
          <w:tab w:val="left" w:pos="2880"/>
          <w:tab w:val="left" w:pos="4320"/>
          <w:tab w:val="left" w:pos="5760"/>
          <w:tab w:val="left" w:pos="7200"/>
          <w:tab w:val="left" w:pos="8640"/>
        </w:tabs>
        <w:spacing w:line="480" w:lineRule="atLeast"/>
      </w:pPr>
      <w:r>
        <w:tab/>
      </w:r>
      <w:r w:rsidR="004859B0">
        <w:t>2.</w:t>
      </w:r>
      <w:r>
        <w:tab/>
      </w:r>
      <w:r w:rsidR="004859B0">
        <w:rPr>
          <w:i/>
          <w:iCs/>
        </w:rPr>
        <w:t>Where the Parties Disagree</w:t>
      </w:r>
    </w:p>
    <w:p w:rsidR="00BD5192" w:rsidP="001C4E5A" w14:paraId="4B006C1B" w14:textId="23D70E05">
      <w:pPr>
        <w:tabs>
          <w:tab w:val="left" w:pos="1440"/>
          <w:tab w:val="left" w:pos="2880"/>
          <w:tab w:val="left" w:pos="4320"/>
          <w:tab w:val="left" w:pos="5760"/>
          <w:tab w:val="left" w:pos="7200"/>
          <w:tab w:val="left" w:pos="8640"/>
        </w:tabs>
        <w:spacing w:line="480" w:lineRule="atLeast"/>
      </w:pPr>
      <w:r>
        <w:tab/>
      </w:r>
      <w:r w:rsidR="00E81C6A">
        <w:t>T</w:t>
      </w:r>
      <w:r>
        <w:t xml:space="preserve">he parties disagree about whether </w:t>
      </w:r>
      <w:r w:rsidR="0004453C">
        <w:t xml:space="preserve">the provisions of the judgment </w:t>
      </w:r>
      <w:r w:rsidR="00E67509">
        <w:t xml:space="preserve">adjudicating the fees </w:t>
      </w:r>
      <w:r w:rsidR="00C63F87">
        <w:t xml:space="preserve">Aresh </w:t>
      </w:r>
      <w:r w:rsidR="00E67509">
        <w:t>is entitled to recover are severable</w:t>
      </w:r>
      <w:r w:rsidR="00FF7584">
        <w:t xml:space="preserve"> from the </w:t>
      </w:r>
      <w:r w:rsidR="00C57E2D">
        <w:t>void provisions</w:t>
      </w:r>
      <w:r w:rsidR="00E67509">
        <w:t xml:space="preserve">.  </w:t>
      </w:r>
      <w:r w:rsidR="00C57E2D">
        <w:t>We conclude t</w:t>
      </w:r>
      <w:r w:rsidR="00A13532">
        <w:t>hey are</w:t>
      </w:r>
      <w:r w:rsidR="00926642">
        <w:t xml:space="preserve">, and thus that the court erred by declaring the </w:t>
      </w:r>
      <w:r w:rsidR="00E81C6A">
        <w:t xml:space="preserve">entire </w:t>
      </w:r>
      <w:r w:rsidR="00926642">
        <w:t>judgment to be void.</w:t>
      </w:r>
    </w:p>
    <w:p w:rsidR="00A13532" w:rsidRPr="00BD5192" w:rsidP="001C4E5A" w14:paraId="0607FBC4" w14:textId="2144AA5C">
      <w:pPr>
        <w:tabs>
          <w:tab w:val="left" w:pos="1440"/>
          <w:tab w:val="left" w:pos="2880"/>
          <w:tab w:val="left" w:pos="4320"/>
          <w:tab w:val="left" w:pos="5760"/>
          <w:tab w:val="left" w:pos="7200"/>
          <w:tab w:val="left" w:pos="8640"/>
        </w:tabs>
        <w:spacing w:line="480" w:lineRule="atLeast"/>
      </w:pPr>
      <w:r>
        <w:tab/>
      </w:r>
      <w:r w:rsidR="00FF2669">
        <w:t>As discussed</w:t>
      </w:r>
      <w:r w:rsidR="00E960C2">
        <w:t>,</w:t>
      </w:r>
      <w:r w:rsidR="00FF2669">
        <w:t xml:space="preserve"> </w:t>
      </w:r>
      <w:bookmarkStart w:id="9" w:name="dabmci_e214eae946f14a8e8565c12b069fb407"/>
      <w:r w:rsidRPr="00FF2669" w:rsidR="00FF2669">
        <w:rPr>
          <w:i/>
          <w:iCs/>
        </w:rPr>
        <w:t>ante</w:t>
      </w:r>
      <w:bookmarkEnd w:id="9"/>
      <w:r w:rsidR="00FF2669">
        <w:t xml:space="preserve"> i</w:t>
      </w:r>
      <w:r w:rsidR="00CB715B">
        <w:t xml:space="preserve">n </w:t>
      </w:r>
      <w:r w:rsidRPr="006D10EE" w:rsidR="009D7C94">
        <w:rPr>
          <w:i/>
          <w:iCs/>
        </w:rPr>
        <w:t>Mojtahedi</w:t>
      </w:r>
      <w:r w:rsidR="009D7C94">
        <w:t xml:space="preserve">, </w:t>
      </w:r>
      <w:r w:rsidR="006E6D21">
        <w:t xml:space="preserve">the </w:t>
      </w:r>
      <w:r w:rsidR="004C2F8C">
        <w:t xml:space="preserve">court </w:t>
      </w:r>
      <w:r w:rsidR="001A2913">
        <w:t>held</w:t>
      </w:r>
      <w:r w:rsidR="00273CFF">
        <w:t xml:space="preserve"> the </w:t>
      </w:r>
      <w:r w:rsidR="00F10FBE">
        <w:t xml:space="preserve">enforcement of an </w:t>
      </w:r>
      <w:r w:rsidR="00273CFF">
        <w:t>attorney</w:t>
      </w:r>
      <w:r w:rsidR="00AF1640">
        <w:t>’</w:t>
      </w:r>
      <w:r w:rsidR="00273CFF">
        <w:t xml:space="preserve">s lien claim is a matter of contract between the attorney and client, and </w:t>
      </w:r>
      <w:r w:rsidR="00CB623E">
        <w:t xml:space="preserve">thus it </w:t>
      </w:r>
      <w:r w:rsidR="00273CFF">
        <w:t>must be resolved as between those contracting parties.</w:t>
      </w:r>
      <w:r w:rsidR="00855D3F">
        <w:t xml:space="preserve"> </w:t>
      </w:r>
      <w:r w:rsidR="00273CFF">
        <w:t xml:space="preserve"> </w:t>
      </w:r>
      <w:r w:rsidR="00E20779">
        <w:t>(</w:t>
      </w:r>
      <w:bookmarkStart w:id="10" w:name="dabmci_ce4df682e1944fcb8d2537a88b3d66a6"/>
      <w:r w:rsidRPr="00667D8B" w:rsidR="006B347C">
        <w:rPr>
          <w:i/>
          <w:iCs/>
        </w:rPr>
        <w:t>Mojtahedi, supra</w:t>
      </w:r>
      <w:r w:rsidR="006B347C">
        <w:t xml:space="preserve">, </w:t>
      </w:r>
      <w:r w:rsidR="00E16209">
        <w:t xml:space="preserve">228 Cal.App.4th </w:t>
      </w:r>
      <w:r w:rsidR="006B347C">
        <w:t>at p.</w:t>
      </w:r>
      <w:r w:rsidR="00E16209">
        <w:t> </w:t>
      </w:r>
      <w:r w:rsidR="00162291">
        <w:t>97</w:t>
      </w:r>
      <w:bookmarkEnd w:id="10"/>
      <w:r w:rsidR="00E16209">
        <w:t>8</w:t>
      </w:r>
      <w:r w:rsidR="0085195A">
        <w:t xml:space="preserve"> [</w:t>
      </w:r>
      <w:r w:rsidR="00AF1640">
        <w:t>“</w:t>
      </w:r>
      <w:r w:rsidRPr="00C26B1B" w:rsidR="00C26B1B">
        <w:t>plaintiff provided the services to the clients, not to defendant</w:t>
      </w:r>
      <w:r w:rsidR="00AF1640">
        <w:t>”</w:t>
      </w:r>
      <w:r w:rsidR="00C26B1B">
        <w:t>]</w:t>
      </w:r>
      <w:r w:rsidR="006B347C">
        <w:t>; s</w:t>
      </w:r>
      <w:r w:rsidR="00E20779">
        <w:t xml:space="preserve">ee </w:t>
      </w:r>
      <w:bookmarkStart w:id="11" w:name="dabmci_31c369b71ecc452c8afd8e3cbce94736"/>
      <w:r w:rsidRPr="00667D8B" w:rsidR="00E20779">
        <w:rPr>
          <w:i/>
          <w:iCs/>
        </w:rPr>
        <w:t>Carroll v. Interstate Brands Corp</w:t>
      </w:r>
      <w:r w:rsidRPr="00E20779" w:rsidR="00E20779">
        <w:t>. (2002) 99 Cal.App.4th 1168, 1172</w:t>
      </w:r>
      <w:bookmarkEnd w:id="11"/>
      <w:r w:rsidRPr="00E20779" w:rsidR="00E20779">
        <w:t xml:space="preserve"> [An attorney</w:t>
      </w:r>
      <w:r w:rsidR="00AF1640">
        <w:t>’</w:t>
      </w:r>
      <w:r w:rsidRPr="00E20779" w:rsidR="00E20779">
        <w:t>s lien is created by a fee contract between an attorney and client with either an express provision granting the lien or language stating the attorney will be paid for services rendered from the judgment itself].)</w:t>
      </w:r>
      <w:r w:rsidR="00667D8B">
        <w:t xml:space="preserve"> </w:t>
      </w:r>
      <w:r w:rsidR="00E20779">
        <w:t xml:space="preserve"> </w:t>
      </w:r>
      <w:r w:rsidR="00C163A4">
        <w:t>Until that was accomplished</w:t>
      </w:r>
      <w:r w:rsidR="00975263">
        <w:t>, the attorney</w:t>
      </w:r>
      <w:r w:rsidR="00E960C2">
        <w:noBreakHyphen/>
      </w:r>
      <w:r w:rsidR="00C85AF4">
        <w:t xml:space="preserve">plaintiff </w:t>
      </w:r>
      <w:r w:rsidR="008B2431">
        <w:t xml:space="preserve">in </w:t>
      </w:r>
      <w:r w:rsidRPr="00E16209" w:rsidR="008B2431">
        <w:rPr>
          <w:i/>
          <w:iCs/>
        </w:rPr>
        <w:t>Mojtahedi</w:t>
      </w:r>
      <w:r w:rsidR="00975263">
        <w:t xml:space="preserve"> could not </w:t>
      </w:r>
      <w:r w:rsidR="008F5DF8">
        <w:t>compel a third party holder of the funds</w:t>
      </w:r>
      <w:r w:rsidR="00D36A98">
        <w:t xml:space="preserve">—who in that case </w:t>
      </w:r>
      <w:r w:rsidR="00383F09">
        <w:t xml:space="preserve">was </w:t>
      </w:r>
      <w:r w:rsidR="00D36A98">
        <w:t>the attorney</w:t>
      </w:r>
      <w:r w:rsidR="008F5DF8">
        <w:t xml:space="preserve"> </w:t>
      </w:r>
      <w:r w:rsidR="00D36A98">
        <w:t xml:space="preserve">who </w:t>
      </w:r>
      <w:r w:rsidR="000F6D53">
        <w:t xml:space="preserve">had </w:t>
      </w:r>
      <w:r w:rsidR="00D36A98">
        <w:t xml:space="preserve">succeeded him in </w:t>
      </w:r>
      <w:r w:rsidR="0085188F">
        <w:t xml:space="preserve">representing the clients—to </w:t>
      </w:r>
      <w:r w:rsidR="0009492B">
        <w:t>satisfy the lien from th</w:t>
      </w:r>
      <w:r w:rsidR="0085188F">
        <w:t>e</w:t>
      </w:r>
      <w:r w:rsidR="0009492B">
        <w:t xml:space="preserve"> funds</w:t>
      </w:r>
      <w:r w:rsidR="0085188F">
        <w:t xml:space="preserve"> recovered on the clients</w:t>
      </w:r>
      <w:r w:rsidR="00AF1640">
        <w:t>’</w:t>
      </w:r>
      <w:r w:rsidR="0085188F">
        <w:t xml:space="preserve"> behalf</w:t>
      </w:r>
      <w:r w:rsidR="0009492B">
        <w:t xml:space="preserve">. </w:t>
      </w:r>
      <w:r w:rsidR="00E16209">
        <w:t xml:space="preserve"> </w:t>
      </w:r>
      <w:r w:rsidR="002C224A">
        <w:t>That rule applies here.</w:t>
      </w:r>
      <w:r w:rsidR="0009492B">
        <w:t xml:space="preserve"> </w:t>
      </w:r>
    </w:p>
    <w:p w:rsidR="00EB626B" w:rsidP="00B83E6F" w14:paraId="53846B3C" w14:textId="3F5176A4">
      <w:pPr>
        <w:tabs>
          <w:tab w:val="left" w:pos="1440"/>
          <w:tab w:val="left" w:pos="2880"/>
          <w:tab w:val="left" w:pos="4320"/>
          <w:tab w:val="left" w:pos="5760"/>
          <w:tab w:val="left" w:pos="7200"/>
          <w:tab w:val="left" w:pos="8640"/>
        </w:tabs>
        <w:spacing w:line="480" w:lineRule="atLeast"/>
      </w:pPr>
      <w:r>
        <w:tab/>
      </w:r>
      <w:r w:rsidR="009C70B6">
        <w:t xml:space="preserve">But </w:t>
      </w:r>
      <w:r w:rsidR="00C878BC">
        <w:t xml:space="preserve">Williams </w:t>
      </w:r>
      <w:r w:rsidR="009C70B6">
        <w:t>further</w:t>
      </w:r>
      <w:r w:rsidR="00C878BC">
        <w:t xml:space="preserve"> </w:t>
      </w:r>
      <w:r w:rsidR="00205F7F">
        <w:t>suggest</w:t>
      </w:r>
      <w:r w:rsidR="00C878BC">
        <w:t>s</w:t>
      </w:r>
      <w:r w:rsidR="00205F7F">
        <w:t xml:space="preserve"> </w:t>
      </w:r>
      <w:r w:rsidR="007161E2">
        <w:t>the</w:t>
      </w:r>
      <w:r w:rsidR="00173F6D">
        <w:t xml:space="preserve"> </w:t>
      </w:r>
      <w:r w:rsidR="00C878BC">
        <w:t xml:space="preserve">judgment </w:t>
      </w:r>
      <w:r w:rsidR="00EC5083">
        <w:t xml:space="preserve">provisions favoring Aresh </w:t>
      </w:r>
      <w:r w:rsidR="00C878BC">
        <w:t xml:space="preserve">must be </w:t>
      </w:r>
      <w:r w:rsidR="00EC5083">
        <w:t xml:space="preserve">vacated because </w:t>
      </w:r>
      <w:r w:rsidR="00F9175D">
        <w:t xml:space="preserve">the </w:t>
      </w:r>
      <w:r w:rsidR="00B83E6F">
        <w:t xml:space="preserve">trial court </w:t>
      </w:r>
      <w:r w:rsidR="00EC5083">
        <w:t>f</w:t>
      </w:r>
      <w:r w:rsidR="00B83E6F">
        <w:t xml:space="preserve">ailed to </w:t>
      </w:r>
      <w:r w:rsidR="00366369">
        <w:t xml:space="preserve">make the findings required by </w:t>
      </w:r>
      <w:r w:rsidR="00D258BE">
        <w:rPr>
          <w:i/>
          <w:iCs/>
        </w:rPr>
        <w:t>Mojtahedi.</w:t>
      </w:r>
      <w:r w:rsidR="00D258BE">
        <w:t xml:space="preserve">  </w:t>
      </w:r>
      <w:r w:rsidR="00EC5083">
        <w:t>For example, h</w:t>
      </w:r>
      <w:r w:rsidR="00D258BE">
        <w:t>e con</w:t>
      </w:r>
      <w:r w:rsidR="004150B7">
        <w:t xml:space="preserve">tends the </w:t>
      </w:r>
      <w:r w:rsidR="00E16209">
        <w:t>“</w:t>
      </w:r>
      <w:r w:rsidR="004150B7">
        <w:t>court</w:t>
      </w:r>
      <w:r w:rsidR="00AF1640">
        <w:t>’</w:t>
      </w:r>
      <w:r w:rsidR="004150B7">
        <w:t>s first required task was to determine whether Aresh has valid liens against each client</w:t>
      </w:r>
      <w:r w:rsidR="00AF1640">
        <w:t>’</w:t>
      </w:r>
      <w:r w:rsidR="004150B7">
        <w:t>s settlement.  The underlying judgment does not contain any language regarding the validity of Aresh</w:t>
      </w:r>
      <w:r w:rsidR="00AF1640">
        <w:t>’</w:t>
      </w:r>
      <w:r w:rsidR="004150B7">
        <w:t>s liens</w:t>
      </w:r>
      <w:r w:rsidR="00BC0F27">
        <w:t>, which means there is no legal basis for any monetary am</w:t>
      </w:r>
      <w:r w:rsidR="00CD356F">
        <w:t>ount</w:t>
      </w:r>
      <w:r w:rsidR="00BC0F27">
        <w:t xml:space="preserve"> awarded to Aresh from the clients</w:t>
      </w:r>
      <w:r w:rsidR="00AF1640">
        <w:t>’</w:t>
      </w:r>
      <w:r w:rsidR="00BC0F27">
        <w:t xml:space="preserve"> settlements.</w:t>
      </w:r>
      <w:r w:rsidR="00AF1640">
        <w:t>”</w:t>
      </w:r>
      <w:r w:rsidR="00286B3E">
        <w:t xml:space="preserve">  He also claims </w:t>
      </w:r>
      <w:r w:rsidR="00D10988">
        <w:t xml:space="preserve">the judgment failed to </w:t>
      </w:r>
      <w:r w:rsidR="00AF1640">
        <w:t>“</w:t>
      </w:r>
      <w:r w:rsidR="00D10988">
        <w:t>determine the quantum meruit value . . . of Aresh</w:t>
      </w:r>
      <w:r w:rsidR="00AF1640">
        <w:t>’</w:t>
      </w:r>
      <w:r w:rsidR="00D10988">
        <w:t>s purported liens.</w:t>
      </w:r>
      <w:r w:rsidR="00AF1640">
        <w:t>”</w:t>
      </w:r>
      <w:r w:rsidR="00D10988">
        <w:t xml:space="preserve"> </w:t>
      </w:r>
    </w:p>
    <w:p w:rsidR="00B9782B" w:rsidP="004D444D" w14:paraId="367A833E" w14:textId="1F19F1AD">
      <w:pPr>
        <w:tabs>
          <w:tab w:val="left" w:pos="1440"/>
          <w:tab w:val="left" w:pos="2880"/>
          <w:tab w:val="left" w:pos="4320"/>
          <w:tab w:val="left" w:pos="5760"/>
          <w:tab w:val="left" w:pos="7200"/>
          <w:tab w:val="left" w:pos="8640"/>
        </w:tabs>
        <w:spacing w:line="480" w:lineRule="atLeast"/>
      </w:pPr>
      <w:r>
        <w:tab/>
      </w:r>
      <w:r w:rsidR="00F9175D">
        <w:t>We are not persuaded</w:t>
      </w:r>
      <w:r>
        <w:t xml:space="preserve"> for two reasons</w:t>
      </w:r>
      <w:r w:rsidR="00F9355A">
        <w:t xml:space="preserve">. </w:t>
      </w:r>
      <w:r w:rsidR="00BC365C">
        <w:t xml:space="preserve"> First, t</w:t>
      </w:r>
      <w:r w:rsidR="00F9355A">
        <w:t xml:space="preserve">here is no requirement that a judgment include </w:t>
      </w:r>
      <w:r w:rsidR="008D2E20">
        <w:t xml:space="preserve">detailed </w:t>
      </w:r>
      <w:r w:rsidR="00F9355A">
        <w:t xml:space="preserve">findings. </w:t>
      </w:r>
      <w:r w:rsidR="008F6F30">
        <w:t xml:space="preserve"> (Code Civ. Proc.</w:t>
      </w:r>
      <w:r w:rsidR="00CD356F">
        <w:t>,</w:t>
      </w:r>
      <w:r w:rsidR="006C331D">
        <w:t xml:space="preserve"> </w:t>
      </w:r>
      <w:r w:rsidRPr="008842FD" w:rsidR="00F341F6">
        <w:t xml:space="preserve">§ </w:t>
      </w:r>
      <w:r w:rsidR="007E3705">
        <w:t>632.</w:t>
      </w:r>
      <w:r w:rsidR="004F6650">
        <w:t xml:space="preserve">) </w:t>
      </w:r>
      <w:r w:rsidR="00445AC7">
        <w:t xml:space="preserve"> </w:t>
      </w:r>
      <w:r w:rsidR="00F26C13">
        <w:t>It is presumed</w:t>
      </w:r>
      <w:r w:rsidR="00445AC7">
        <w:t xml:space="preserve"> the court (or jury) </w:t>
      </w:r>
      <w:r w:rsidR="00F26C13">
        <w:t xml:space="preserve">will make </w:t>
      </w:r>
      <w:r w:rsidR="00BF0D77">
        <w:t>sufficient</w:t>
      </w:r>
      <w:r w:rsidR="00445AC7">
        <w:t xml:space="preserve"> </w:t>
      </w:r>
      <w:r w:rsidR="00363F3E">
        <w:t xml:space="preserve">factual </w:t>
      </w:r>
      <w:r w:rsidR="00445AC7">
        <w:t>findings</w:t>
      </w:r>
      <w:r w:rsidR="00396438">
        <w:t xml:space="preserve"> </w:t>
      </w:r>
      <w:r w:rsidR="00BF0D77">
        <w:t>to support a judgment</w:t>
      </w:r>
      <w:r w:rsidR="00F26C13">
        <w:t>;</w:t>
      </w:r>
      <w:r w:rsidR="00BF0D77">
        <w:t xml:space="preserve"> the burden is on the party challenging the judgment to demonstrate the opposite. </w:t>
      </w:r>
      <w:r w:rsidR="003115CD">
        <w:t xml:space="preserve"> (</w:t>
      </w:r>
      <w:bookmarkStart w:id="12" w:name="dabmci_4299e539e434421ebf975db61c034837"/>
      <w:r w:rsidR="003115CD">
        <w:rPr>
          <w:i/>
          <w:iCs/>
        </w:rPr>
        <w:t>In re Marriage of Arceneaux</w:t>
      </w:r>
      <w:r w:rsidR="003115CD">
        <w:t xml:space="preserve"> (1990) 51 Cal.</w:t>
      </w:r>
      <w:r w:rsidR="00C20A6F">
        <w:t xml:space="preserve">3d. 1130, </w:t>
      </w:r>
      <w:r w:rsidR="00085947">
        <w:t>1133</w:t>
      </w:r>
      <w:bookmarkEnd w:id="12"/>
      <w:r w:rsidR="00372190">
        <w:t xml:space="preserve">.) </w:t>
      </w:r>
      <w:r w:rsidR="00BF0D77">
        <w:t xml:space="preserve"> Williams has not</w:t>
      </w:r>
      <w:r>
        <w:t xml:space="preserve"> done so</w:t>
      </w:r>
      <w:r w:rsidR="00BF0D77">
        <w:t xml:space="preserve">. </w:t>
      </w:r>
      <w:r w:rsidR="00372190">
        <w:t xml:space="preserve"> </w:t>
      </w:r>
    </w:p>
    <w:p w:rsidR="005C0049" w:rsidP="004D444D" w14:paraId="098B43CE" w14:textId="427D39D7">
      <w:pPr>
        <w:tabs>
          <w:tab w:val="left" w:pos="1440"/>
          <w:tab w:val="left" w:pos="2880"/>
          <w:tab w:val="left" w:pos="4320"/>
          <w:tab w:val="left" w:pos="5760"/>
          <w:tab w:val="left" w:pos="7200"/>
          <w:tab w:val="left" w:pos="8640"/>
        </w:tabs>
        <w:spacing w:line="480" w:lineRule="atLeast"/>
      </w:pPr>
      <w:r>
        <w:tab/>
        <w:t>S</w:t>
      </w:r>
      <w:r w:rsidR="00372190">
        <w:t>econd, the provisions of this judgment</w:t>
      </w:r>
      <w:r w:rsidR="002732C6">
        <w:t xml:space="preserve"> necessarily imply the findings</w:t>
      </w:r>
      <w:r w:rsidR="004707AA">
        <w:t xml:space="preserve"> that</w:t>
      </w:r>
      <w:r w:rsidR="002732C6">
        <w:t xml:space="preserve"> Williams claims are </w:t>
      </w:r>
      <w:r w:rsidR="00E13390">
        <w:t>m</w:t>
      </w:r>
      <w:r w:rsidR="002732C6">
        <w:t xml:space="preserve">issing.  By </w:t>
      </w:r>
      <w:r w:rsidR="00B07B31">
        <w:t>ordering Aresh</w:t>
      </w:r>
      <w:r w:rsidR="00AF1640">
        <w:t>’</w:t>
      </w:r>
      <w:r w:rsidR="00D30BE1">
        <w:t xml:space="preserve">s fees </w:t>
      </w:r>
      <w:r w:rsidR="004707AA">
        <w:t xml:space="preserve">to </w:t>
      </w:r>
      <w:r w:rsidR="00D30BE1">
        <w:t xml:space="preserve">be paid from </w:t>
      </w:r>
      <w:r w:rsidR="00B07B31">
        <w:t xml:space="preserve">the settlement funds, </w:t>
      </w:r>
      <w:r w:rsidR="009F6F33">
        <w:t xml:space="preserve">the court </w:t>
      </w:r>
      <w:r w:rsidR="004707AA">
        <w:t>has</w:t>
      </w:r>
      <w:r w:rsidR="009F6F33">
        <w:t xml:space="preserve"> </w:t>
      </w:r>
      <w:r w:rsidR="00D66F93">
        <w:t xml:space="preserve">necessarily </w:t>
      </w:r>
      <w:r w:rsidR="004707AA">
        <w:t>found</w:t>
      </w:r>
      <w:r w:rsidR="00D66F93">
        <w:t xml:space="preserve"> that his liens against those funds are valid</w:t>
      </w:r>
      <w:r w:rsidR="00F90DC8">
        <w:t xml:space="preserve"> and enforceable</w:t>
      </w:r>
      <w:r w:rsidR="00D66F93">
        <w:t xml:space="preserve">.  </w:t>
      </w:r>
      <w:r w:rsidR="00BA7F8A">
        <w:t xml:space="preserve">And by </w:t>
      </w:r>
      <w:r w:rsidR="007C3B57">
        <w:t xml:space="preserve">assigning a particular dollar amount to the fees Aresh is entitled to recover, the court </w:t>
      </w:r>
      <w:r w:rsidR="00A4090A">
        <w:t>ha</w:t>
      </w:r>
      <w:r w:rsidR="007C3B57">
        <w:t>s necessarily determin</w:t>
      </w:r>
      <w:r w:rsidR="00A4090A">
        <w:t>ed</w:t>
      </w:r>
      <w:r w:rsidR="007C3B57">
        <w:t xml:space="preserve"> the fair value of the services he rendered. </w:t>
      </w:r>
      <w:r w:rsidR="003D2033">
        <w:t xml:space="preserve"> </w:t>
      </w:r>
      <w:r w:rsidR="00DD12F2">
        <w:t>Consequently, a</w:t>
      </w:r>
      <w:r w:rsidR="003D2033">
        <w:t xml:space="preserve">s to Aresh, this judgment does what </w:t>
      </w:r>
      <w:r w:rsidR="003D2033">
        <w:rPr>
          <w:i/>
          <w:iCs/>
        </w:rPr>
        <w:t>Moj</w:t>
      </w:r>
      <w:r w:rsidR="002C0156">
        <w:rPr>
          <w:i/>
          <w:iCs/>
        </w:rPr>
        <w:t>tahedi</w:t>
      </w:r>
      <w:r w:rsidR="002C0156">
        <w:t xml:space="preserve"> require</w:t>
      </w:r>
      <w:r w:rsidR="00785928">
        <w:t>s</w:t>
      </w:r>
      <w:r w:rsidR="008B2969">
        <w:t xml:space="preserve">: it determined the </w:t>
      </w:r>
      <w:r w:rsidR="001E7A50">
        <w:t>existence, amount</w:t>
      </w:r>
      <w:r w:rsidR="00CD356F">
        <w:t>,</w:t>
      </w:r>
      <w:r w:rsidR="001E7A50">
        <w:t xml:space="preserve"> and enforceability of </w:t>
      </w:r>
      <w:r w:rsidR="00CD356F">
        <w:t>Aresh’s</w:t>
      </w:r>
      <w:r w:rsidR="001E7A50">
        <w:t xml:space="preserve"> liens</w:t>
      </w:r>
      <w:r w:rsidR="005E770B">
        <w:t xml:space="preserve"> in an action between h</w:t>
      </w:r>
      <w:r w:rsidR="00032EA8">
        <w:t xml:space="preserve">im </w:t>
      </w:r>
      <w:r w:rsidR="005E770B">
        <w:t xml:space="preserve">and his </w:t>
      </w:r>
      <w:r w:rsidR="00946536">
        <w:t xml:space="preserve">former </w:t>
      </w:r>
      <w:r w:rsidR="005E770B">
        <w:t>clients</w:t>
      </w:r>
      <w:r w:rsidR="001E7A50">
        <w:t xml:space="preserve">.  </w:t>
      </w:r>
      <w:r w:rsidR="004D444D">
        <w:t>(</w:t>
      </w:r>
      <w:bookmarkStart w:id="13" w:name="dabmci_fc8ee43654934a12829948d55c40c83f"/>
      <w:r w:rsidR="004D444D">
        <w:rPr>
          <w:i/>
          <w:iCs/>
        </w:rPr>
        <w:t>Mojtahedi, supra</w:t>
      </w:r>
      <w:r w:rsidR="004D444D">
        <w:t xml:space="preserve">, </w:t>
      </w:r>
      <w:r w:rsidR="00CD356F">
        <w:t xml:space="preserve">228 Cal.App.4th </w:t>
      </w:r>
      <w:r w:rsidR="004D444D">
        <w:t>at p. 977</w:t>
      </w:r>
      <w:bookmarkEnd w:id="13"/>
      <w:r w:rsidR="004D444D">
        <w:t>.)</w:t>
      </w:r>
      <w:r w:rsidR="009F6F33">
        <w:t xml:space="preserve"> </w:t>
      </w:r>
    </w:p>
    <w:p w:rsidR="00076B1B" w:rsidP="00F33347" w14:paraId="0DB948E6" w14:textId="29CDCC2A">
      <w:pPr>
        <w:tabs>
          <w:tab w:val="left" w:pos="1440"/>
          <w:tab w:val="left" w:pos="2880"/>
          <w:tab w:val="left" w:pos="4320"/>
          <w:tab w:val="left" w:pos="5760"/>
          <w:tab w:val="left" w:pos="7200"/>
          <w:tab w:val="left" w:pos="8640"/>
        </w:tabs>
        <w:spacing w:line="480" w:lineRule="atLeast"/>
      </w:pPr>
      <w:r>
        <w:tab/>
      </w:r>
      <w:r w:rsidR="00B83E6F">
        <w:t>We</w:t>
      </w:r>
      <w:r w:rsidR="00785928">
        <w:t xml:space="preserve"> </w:t>
      </w:r>
      <w:r w:rsidR="00B83E6F">
        <w:t>reject Williams</w:t>
      </w:r>
      <w:r w:rsidR="00AF1640">
        <w:t>’</w:t>
      </w:r>
      <w:r w:rsidR="00232841">
        <w:t>s</w:t>
      </w:r>
      <w:r w:rsidR="00B83E6F">
        <w:t xml:space="preserve"> contention that the </w:t>
      </w:r>
      <w:r w:rsidR="00173F6D">
        <w:t xml:space="preserve">litigation </w:t>
      </w:r>
      <w:r w:rsidR="00063567">
        <w:t xml:space="preserve">he insisted must take place between Aresh and his </w:t>
      </w:r>
      <w:r w:rsidR="004707AA">
        <w:t xml:space="preserve">former </w:t>
      </w:r>
      <w:r w:rsidR="00063567">
        <w:t>clients</w:t>
      </w:r>
      <w:r w:rsidR="00DE095A">
        <w:t xml:space="preserve"> alone</w:t>
      </w:r>
      <w:r w:rsidR="00FC2CCC">
        <w:t xml:space="preserve">—without involving </w:t>
      </w:r>
      <w:r w:rsidR="008E44A3">
        <w:t>Williams</w:t>
      </w:r>
      <w:r w:rsidR="00FC2CCC">
        <w:t xml:space="preserve">—is just the first step </w:t>
      </w:r>
      <w:r w:rsidR="00433412">
        <w:t xml:space="preserve">in </w:t>
      </w:r>
      <w:r w:rsidR="008E44A3">
        <w:t>determin</w:t>
      </w:r>
      <w:r w:rsidR="00CD356F">
        <w:t>in</w:t>
      </w:r>
      <w:r w:rsidR="008E44A3">
        <w:t>g</w:t>
      </w:r>
      <w:r w:rsidR="00063567">
        <w:t xml:space="preserve"> </w:t>
      </w:r>
      <w:r w:rsidR="0053648C">
        <w:t>the amount Aresh is entitled to be paid on his lien</w:t>
      </w:r>
      <w:r w:rsidR="00DE095A">
        <w:t>s</w:t>
      </w:r>
      <w:r w:rsidR="009E3949">
        <w:t xml:space="preserve">.  </w:t>
      </w:r>
      <w:r w:rsidR="004707AA">
        <w:t>T</w:t>
      </w:r>
      <w:r w:rsidR="00013E62">
        <w:t>here is no second step</w:t>
      </w:r>
      <w:r w:rsidR="00CF19CC">
        <w:t xml:space="preserve"> in which the attorneys </w:t>
      </w:r>
      <w:r w:rsidR="004707AA">
        <w:t xml:space="preserve">are required to </w:t>
      </w:r>
      <w:r w:rsidR="00737B4A">
        <w:t>litigate</w:t>
      </w:r>
      <w:r w:rsidR="00383565">
        <w:t xml:space="preserve"> </w:t>
      </w:r>
      <w:r w:rsidR="00DD46D4">
        <w:t>a</w:t>
      </w:r>
      <w:r w:rsidR="00B90E3B">
        <w:t xml:space="preserve"> division of the </w:t>
      </w:r>
      <w:r w:rsidR="00383565">
        <w:t>contingent fee</w:t>
      </w:r>
      <w:r w:rsidR="00033A5A">
        <w:t>s</w:t>
      </w:r>
      <w:r w:rsidR="00383565">
        <w:t xml:space="preserve"> between themselves.</w:t>
      </w:r>
      <w:r>
        <w:rPr>
          <w:rStyle w:val="FootnoteReference"/>
        </w:rPr>
        <w:footnoteReference w:id="7"/>
      </w:r>
      <w:r w:rsidR="00383565">
        <w:t xml:space="preserve"> </w:t>
      </w:r>
      <w:r w:rsidR="00737B4A">
        <w:t xml:space="preserve"> </w:t>
      </w:r>
      <w:r w:rsidR="00F50AF6">
        <w:t xml:space="preserve">Each attorney has a separate </w:t>
      </w:r>
      <w:r w:rsidR="009E3949">
        <w:t xml:space="preserve">contractual </w:t>
      </w:r>
      <w:r w:rsidR="00F50AF6">
        <w:t>relationship</w:t>
      </w:r>
      <w:r w:rsidR="009E3949">
        <w:t xml:space="preserve"> with the client,</w:t>
      </w:r>
      <w:r w:rsidR="00F50AF6">
        <w:t xml:space="preserve"> and a separate claim for his </w:t>
      </w:r>
      <w:r w:rsidR="004707AA">
        <w:t>o</w:t>
      </w:r>
      <w:r w:rsidR="00F50AF6">
        <w:t>wn fees based upon his work</w:t>
      </w:r>
      <w:r>
        <w:t xml:space="preserve"> and the </w:t>
      </w:r>
      <w:r w:rsidR="00D75F91">
        <w:t xml:space="preserve">terms of the agreement </w:t>
      </w:r>
      <w:r>
        <w:t xml:space="preserve">negotiated.  </w:t>
      </w:r>
      <w:r w:rsidR="00047C13">
        <w:t xml:space="preserve">While </w:t>
      </w:r>
      <w:r w:rsidR="00FE6494">
        <w:t>litigating the two attorney</w:t>
      </w:r>
      <w:r w:rsidR="00AF1640">
        <w:t>’</w:t>
      </w:r>
      <w:r w:rsidR="00FE6494">
        <w:t>s claims together</w:t>
      </w:r>
      <w:r w:rsidR="000115E2">
        <w:t xml:space="preserve"> might </w:t>
      </w:r>
      <w:r w:rsidR="005D34B8">
        <w:t xml:space="preserve">be more efficient, and </w:t>
      </w:r>
      <w:r w:rsidR="00FE6494">
        <w:t xml:space="preserve">would </w:t>
      </w:r>
      <w:r w:rsidR="005D34B8">
        <w:t xml:space="preserve">avoid the possibility of </w:t>
      </w:r>
      <w:r w:rsidR="00FE6494">
        <w:t xml:space="preserve">inconsistent results, </w:t>
      </w:r>
      <w:r w:rsidR="00162E2E">
        <w:t xml:space="preserve">there is no requirement that </w:t>
      </w:r>
      <w:r w:rsidR="000D56A9">
        <w:t xml:space="preserve">they be combined into a single action. </w:t>
      </w:r>
    </w:p>
    <w:p w:rsidR="00032EA8" w:rsidP="00F33347" w14:paraId="740BD5E1" w14:textId="43173FC3">
      <w:pPr>
        <w:tabs>
          <w:tab w:val="left" w:pos="1440"/>
          <w:tab w:val="left" w:pos="2880"/>
          <w:tab w:val="left" w:pos="4320"/>
          <w:tab w:val="left" w:pos="5760"/>
          <w:tab w:val="left" w:pos="7200"/>
          <w:tab w:val="left" w:pos="8640"/>
        </w:tabs>
        <w:spacing w:line="480" w:lineRule="atLeast"/>
      </w:pPr>
      <w:r>
        <w:tab/>
        <w:t xml:space="preserve">Nor does Williams have grounds to complain that </w:t>
      </w:r>
      <w:r w:rsidR="008617C8">
        <w:t>the enforcement of Aresh</w:t>
      </w:r>
      <w:r w:rsidR="00AF1640">
        <w:t>’</w:t>
      </w:r>
      <w:r w:rsidR="008617C8">
        <w:t xml:space="preserve">s liens, before </w:t>
      </w:r>
      <w:r w:rsidR="004707AA">
        <w:t xml:space="preserve">resolution of </w:t>
      </w:r>
      <w:r w:rsidR="008617C8">
        <w:t xml:space="preserve">his own, has somehow prejudiced him.  </w:t>
      </w:r>
      <w:r w:rsidR="007B70EE">
        <w:t>Aresh</w:t>
      </w:r>
      <w:r w:rsidR="00AF1640">
        <w:t>’</w:t>
      </w:r>
      <w:r w:rsidR="007B70EE">
        <w:t>s liens are entitled to priority over Williams</w:t>
      </w:r>
      <w:r w:rsidR="00AF1640">
        <w:t>’</w:t>
      </w:r>
      <w:r w:rsidR="007B70EE">
        <w:t xml:space="preserve">s liens because they were established first. </w:t>
      </w:r>
      <w:r w:rsidR="008842FD">
        <w:t xml:space="preserve"> (</w:t>
      </w:r>
      <w:r w:rsidRPr="008842FD" w:rsidR="008842FD">
        <w:t>Civ.</w:t>
      </w:r>
      <w:r w:rsidR="008842FD">
        <w:t xml:space="preserve"> </w:t>
      </w:r>
      <w:r w:rsidRPr="008842FD" w:rsidR="008842FD">
        <w:t>Code, § 2897</w:t>
      </w:r>
      <w:r w:rsidR="008842FD">
        <w:t xml:space="preserve">  [</w:t>
      </w:r>
      <w:r w:rsidR="00AF1640">
        <w:t>“</w:t>
      </w:r>
      <w:r w:rsidRPr="008842FD" w:rsidR="008842FD">
        <w:t>[o]ther things being equal, different liens upon the same property have priority according to the time of their creation</w:t>
      </w:r>
      <w:r w:rsidR="00CD356F">
        <w:t>”</w:t>
      </w:r>
      <w:r w:rsidR="0044309A">
        <w:t>]</w:t>
      </w:r>
      <w:r w:rsidR="00A0449B">
        <w:t xml:space="preserve">; </w:t>
      </w:r>
      <w:bookmarkStart w:id="14" w:name="dabmci_c2639c0bb8d54f0f8c1f853efa5c19ef"/>
      <w:r w:rsidRPr="0044309A" w:rsidR="00A0449B">
        <w:rPr>
          <w:i/>
          <w:iCs/>
        </w:rPr>
        <w:t>Brown v. Superior Court</w:t>
      </w:r>
      <w:r w:rsidRPr="005B239D" w:rsidR="00A0449B">
        <w:t xml:space="preserve"> (2004)116</w:t>
      </w:r>
      <w:r w:rsidR="00855D3F">
        <w:t> </w:t>
      </w:r>
      <w:r w:rsidRPr="005B239D" w:rsidR="00A0449B">
        <w:t>Cal.App.4th 320,</w:t>
      </w:r>
      <w:r w:rsidR="00A0449B">
        <w:t xml:space="preserve"> </w:t>
      </w:r>
      <w:r w:rsidRPr="005B239D" w:rsidR="00A0449B">
        <w:t>328</w:t>
      </w:r>
      <w:bookmarkEnd w:id="14"/>
      <w:r w:rsidR="00A0449B">
        <w:t>;</w:t>
      </w:r>
      <w:r w:rsidR="00527E73">
        <w:t xml:space="preserve"> </w:t>
      </w:r>
      <w:bookmarkStart w:id="15" w:name="dabmci_fdbc343b57bc400f9927e804d10aa861"/>
      <w:r w:rsidRPr="0044309A" w:rsidR="00527E73">
        <w:rPr>
          <w:i/>
          <w:iCs/>
        </w:rPr>
        <w:t>Pangborn Plumbing Corp. v. Carruthers and Skiffington</w:t>
      </w:r>
      <w:r w:rsidRPr="00527E73" w:rsidR="00527E73">
        <w:t xml:space="preserve"> (2002) 97</w:t>
      </w:r>
      <w:r w:rsidR="00855D3F">
        <w:t> </w:t>
      </w:r>
      <w:r w:rsidRPr="00527E73" w:rsidR="00527E73">
        <w:t>Cal.App.4th 1039, 10</w:t>
      </w:r>
      <w:bookmarkEnd w:id="15"/>
      <w:r w:rsidR="00CD356F">
        <w:t>49</w:t>
      </w:r>
      <w:r w:rsidR="00527E73">
        <w:t xml:space="preserve"> [</w:t>
      </w:r>
      <w:r w:rsidR="00AF1640">
        <w:t>“</w:t>
      </w:r>
      <w:r w:rsidRPr="00A910B4" w:rsidR="00A910B4">
        <w:t>The general rule, all things being equal, is that liens have priority among themselves according to the date of their creation</w:t>
      </w:r>
      <w:r w:rsidR="00CD356F">
        <w:t>”</w:t>
      </w:r>
      <w:r w:rsidR="00A910B4">
        <w:t>].)</w:t>
      </w:r>
    </w:p>
    <w:p w:rsidR="00317E33" w:rsidP="00185D30" w14:paraId="78DF2013" w14:textId="17D5D0D4">
      <w:pPr>
        <w:tabs>
          <w:tab w:val="left" w:pos="1440"/>
          <w:tab w:val="left" w:pos="2880"/>
          <w:tab w:val="left" w:pos="4320"/>
          <w:tab w:val="left" w:pos="5760"/>
          <w:tab w:val="left" w:pos="7200"/>
          <w:tab w:val="left" w:pos="8640"/>
        </w:tabs>
        <w:spacing w:line="480" w:lineRule="atLeast"/>
      </w:pPr>
      <w:r>
        <w:tab/>
      </w:r>
      <w:r w:rsidR="004958D4">
        <w:t xml:space="preserve">Finally, </w:t>
      </w:r>
      <w:r>
        <w:t>Williams</w:t>
      </w:r>
      <w:r w:rsidR="00F22C8B">
        <w:t xml:space="preserve"> argues the court properly </w:t>
      </w:r>
      <w:r w:rsidR="00633A00">
        <w:t>vacate</w:t>
      </w:r>
      <w:r w:rsidR="006A2DE6">
        <w:t>d</w:t>
      </w:r>
      <w:r w:rsidR="00633A00">
        <w:t xml:space="preserve"> the </w:t>
      </w:r>
      <w:r w:rsidR="00251286">
        <w:t xml:space="preserve">portion of the judgment </w:t>
      </w:r>
      <w:r w:rsidR="0039416E">
        <w:t>establishing the value of Aresh</w:t>
      </w:r>
      <w:r w:rsidR="00AF1640">
        <w:t>’</w:t>
      </w:r>
      <w:r w:rsidR="0039416E">
        <w:t>s fees</w:t>
      </w:r>
      <w:r w:rsidR="006A2DE6">
        <w:t xml:space="preserve"> because it </w:t>
      </w:r>
      <w:r w:rsidR="005E6105">
        <w:t xml:space="preserve">had </w:t>
      </w:r>
      <w:r w:rsidR="006A2DE6">
        <w:t xml:space="preserve">erred in analyzing the amount of fees </w:t>
      </w:r>
      <w:r w:rsidR="00887A85">
        <w:t>Aresh was entitled to recover</w:t>
      </w:r>
      <w:r w:rsidR="000D4EE2">
        <w:t>.</w:t>
      </w:r>
      <w:r w:rsidR="00887A85">
        <w:t xml:space="preserve">  </w:t>
      </w:r>
      <w:r w:rsidR="003755BD">
        <w:t xml:space="preserve">Specifically, Williams </w:t>
      </w:r>
      <w:r w:rsidR="006F64F5">
        <w:t>claims</w:t>
      </w:r>
      <w:r w:rsidR="003755BD">
        <w:t xml:space="preserve"> </w:t>
      </w:r>
      <w:r w:rsidR="00AF1640">
        <w:t>“</w:t>
      </w:r>
      <w:r w:rsidR="00793C8F">
        <w:t>the trial court realized the errors</w:t>
      </w:r>
      <w:r w:rsidR="00D10821">
        <w:t xml:space="preserve"> </w:t>
      </w:r>
      <w:r w:rsidR="00793C8F">
        <w:t>and acknowledged that the specific monetary amounts awarded to Aresh could not be severed from</w:t>
      </w:r>
      <w:r w:rsidR="00B34C93">
        <w:t xml:space="preserve"> </w:t>
      </w:r>
      <w:r w:rsidR="00793C8F">
        <w:t>the rest of the judgment, because the trial court specifically based those numbers upon a</w:t>
      </w:r>
      <w:r w:rsidR="00B34C93">
        <w:t xml:space="preserve"> </w:t>
      </w:r>
      <w:r w:rsidR="00793C8F">
        <w:t>proportional split with Williams</w:t>
      </w:r>
      <w:r w:rsidR="00AF1640">
        <w:t>’</w:t>
      </w:r>
      <w:r w:rsidR="00793C8F">
        <w:t xml:space="preserve"> contingency attorney</w:t>
      </w:r>
      <w:r w:rsidR="00AF1640">
        <w:t>’</w:t>
      </w:r>
      <w:r w:rsidR="00793C8F">
        <w:t>s fees, using Williams</w:t>
      </w:r>
      <w:r w:rsidR="00AF1640">
        <w:t>’</w:t>
      </w:r>
      <w:r w:rsidR="00793C8F">
        <w:t xml:space="preserve"> higher contingency</w:t>
      </w:r>
      <w:r w:rsidR="00B34C93">
        <w:t xml:space="preserve"> </w:t>
      </w:r>
      <w:r w:rsidR="00793C8F">
        <w:t>rates, and without any evidence of the work done by attorney Williams.</w:t>
      </w:r>
      <w:r w:rsidR="00AF1640">
        <w:t>”</w:t>
      </w:r>
      <w:r w:rsidR="005A6EA3">
        <w:t xml:space="preserve">  </w:t>
      </w:r>
      <w:r w:rsidR="002F6D65">
        <w:t>We disagree</w:t>
      </w:r>
      <w:r w:rsidR="00CD5D2F">
        <w:t xml:space="preserve">.  </w:t>
      </w:r>
    </w:p>
    <w:p w:rsidR="00F74517" w:rsidP="00185D30" w14:paraId="3BAE6DD5" w14:textId="4F6E0C42">
      <w:pPr>
        <w:tabs>
          <w:tab w:val="left" w:pos="1440"/>
          <w:tab w:val="left" w:pos="2880"/>
          <w:tab w:val="left" w:pos="4320"/>
          <w:tab w:val="left" w:pos="5760"/>
          <w:tab w:val="left" w:pos="7200"/>
          <w:tab w:val="left" w:pos="8640"/>
        </w:tabs>
        <w:spacing w:line="480" w:lineRule="atLeast"/>
      </w:pPr>
      <w:r>
        <w:tab/>
      </w:r>
      <w:r w:rsidR="00CD5D2F">
        <w:t xml:space="preserve">The </w:t>
      </w:r>
      <w:r w:rsidR="00D43843">
        <w:t xml:space="preserve">amount of fees awarded to Aresh may or may not be </w:t>
      </w:r>
      <w:r w:rsidR="00130668">
        <w:t xml:space="preserve">the product of </w:t>
      </w:r>
      <w:r w:rsidR="00A00939">
        <w:t>factual or legal</w:t>
      </w:r>
      <w:r w:rsidR="00953385">
        <w:t xml:space="preserve"> </w:t>
      </w:r>
      <w:r w:rsidR="00130668">
        <w:t>error</w:t>
      </w:r>
      <w:r w:rsidR="00513A8F">
        <w:t>, b</w:t>
      </w:r>
      <w:r w:rsidR="00130668">
        <w:t xml:space="preserve">ut </w:t>
      </w:r>
      <w:r w:rsidR="00953385">
        <w:t xml:space="preserve">as a non-party to the judgment, Williams </w:t>
      </w:r>
      <w:r w:rsidR="00F54956">
        <w:t>lacked standing to move to</w:t>
      </w:r>
      <w:r w:rsidR="00B14F31">
        <w:t xml:space="preserve"> vacate </w:t>
      </w:r>
      <w:r w:rsidR="006A241F">
        <w:t>it</w:t>
      </w:r>
      <w:r w:rsidR="00B14F31">
        <w:t xml:space="preserve"> on that ground.  (Code Civ. Proc.</w:t>
      </w:r>
      <w:r w:rsidR="00CD356F">
        <w:t>,</w:t>
      </w:r>
      <w:r w:rsidR="00B14F31">
        <w:t xml:space="preserve"> </w:t>
      </w:r>
      <w:r w:rsidRPr="008842FD" w:rsidR="00B14F31">
        <w:t xml:space="preserve">§ </w:t>
      </w:r>
      <w:r w:rsidR="00B14F31">
        <w:t>663 [</w:t>
      </w:r>
      <w:r w:rsidR="00A8117A">
        <w:t xml:space="preserve">allowing a court </w:t>
      </w:r>
      <w:r w:rsidR="00AF1640">
        <w:t>“</w:t>
      </w:r>
      <w:r w:rsidR="00A8117A">
        <w:t>upon motion of the party aggrieved</w:t>
      </w:r>
      <w:r w:rsidR="00AF1640">
        <w:t>”</w:t>
      </w:r>
      <w:r w:rsidR="000B68D0">
        <w:t xml:space="preserve"> to set aside a judgment on the ground of </w:t>
      </w:r>
      <w:r w:rsidR="00AF1640">
        <w:t>“</w:t>
      </w:r>
      <w:r w:rsidR="000B68D0">
        <w:t>[i]ncorrect or erro</w:t>
      </w:r>
      <w:r w:rsidR="009F1B6D">
        <w:t>neous legal basis for the decision, not consistent with or not supported by the facts</w:t>
      </w:r>
      <w:r w:rsidR="00AF1640">
        <w:t>”</w:t>
      </w:r>
      <w:r w:rsidR="00E04AFB">
        <w:t xml:space="preserve">].)  </w:t>
      </w:r>
      <w:r w:rsidR="004707AA">
        <w:t>B</w:t>
      </w:r>
      <w:r w:rsidR="00D554EC">
        <w:t xml:space="preserve">ecause </w:t>
      </w:r>
      <w:r w:rsidR="001C3F4C">
        <w:t xml:space="preserve">Williams </w:t>
      </w:r>
      <w:r w:rsidR="00D554EC">
        <w:t xml:space="preserve">is not bound by the judgment, he is not aggrieved by it.  </w:t>
      </w:r>
      <w:r w:rsidR="00653F0E">
        <w:t>I</w:t>
      </w:r>
      <w:r w:rsidR="00D655AD">
        <w:t xml:space="preserve">f </w:t>
      </w:r>
      <w:r w:rsidR="004707AA">
        <w:t xml:space="preserve">Aresh’s former </w:t>
      </w:r>
      <w:r w:rsidR="00D655AD">
        <w:t xml:space="preserve">clients believed the court erred in rendering </w:t>
      </w:r>
      <w:r w:rsidR="004A7450">
        <w:t xml:space="preserve">the judgment in </w:t>
      </w:r>
      <w:r w:rsidR="004707AA">
        <w:t xml:space="preserve">Aresh’s </w:t>
      </w:r>
      <w:r w:rsidR="004A7450">
        <w:t xml:space="preserve">favor, they </w:t>
      </w:r>
      <w:r w:rsidR="003B0E3F">
        <w:t xml:space="preserve">had the right to </w:t>
      </w:r>
      <w:r w:rsidR="004A7450">
        <w:t>file their own motion to vacate or</w:t>
      </w:r>
      <w:r w:rsidR="00F06492">
        <w:t xml:space="preserve"> </w:t>
      </w:r>
      <w:r w:rsidR="004707AA">
        <w:t xml:space="preserve">to </w:t>
      </w:r>
      <w:r w:rsidR="00F06492">
        <w:t xml:space="preserve">appeal the judgment.  </w:t>
      </w:r>
      <w:r w:rsidR="0088642C">
        <w:t>Our record suggests t</w:t>
      </w:r>
      <w:r w:rsidR="00F06492">
        <w:t xml:space="preserve">hey </w:t>
      </w:r>
      <w:r w:rsidR="00515539">
        <w:t>elected to do</w:t>
      </w:r>
      <w:r w:rsidR="00F06492">
        <w:t xml:space="preserve"> neither. </w:t>
      </w:r>
    </w:p>
    <w:p w:rsidR="007F366F" w:rsidP="00185D30" w14:paraId="5DCABA23" w14:textId="0F56AFD7">
      <w:pPr>
        <w:tabs>
          <w:tab w:val="left" w:pos="1440"/>
          <w:tab w:val="left" w:pos="2880"/>
          <w:tab w:val="left" w:pos="4320"/>
          <w:tab w:val="left" w:pos="5760"/>
          <w:tab w:val="left" w:pos="7200"/>
          <w:tab w:val="left" w:pos="8640"/>
        </w:tabs>
        <w:spacing w:line="480" w:lineRule="atLeast"/>
      </w:pPr>
      <w:r>
        <w:tab/>
        <w:t xml:space="preserve">Based on the foregoing, we conclude the trial court erred to the extent it </w:t>
      </w:r>
      <w:r w:rsidR="00DA20DB">
        <w:t xml:space="preserve">vacated the provisions of </w:t>
      </w:r>
      <w:r w:rsidR="00F1502A">
        <w:t>t</w:t>
      </w:r>
      <w:r w:rsidR="00DA20DB">
        <w:t xml:space="preserve">he judgment </w:t>
      </w:r>
      <w:r w:rsidR="00A2785B">
        <w:t>establish</w:t>
      </w:r>
      <w:r w:rsidR="00F1502A">
        <w:t>ing</w:t>
      </w:r>
      <w:r w:rsidR="00A2785B">
        <w:t xml:space="preserve"> Ar</w:t>
      </w:r>
      <w:r w:rsidR="00CD356F">
        <w:t>e</w:t>
      </w:r>
      <w:r w:rsidR="00A2785B">
        <w:t>sh</w:t>
      </w:r>
      <w:r w:rsidR="00AF1640">
        <w:t>’</w:t>
      </w:r>
      <w:r w:rsidR="00A2785B">
        <w:t xml:space="preserve">s entitlement to recover fees from the </w:t>
      </w:r>
      <w:r w:rsidR="004863F1">
        <w:t>settlement funds obtained on</w:t>
      </w:r>
      <w:r w:rsidR="00347431">
        <w:t xml:space="preserve"> behalf of his former clients.</w:t>
      </w:r>
      <w:r w:rsidR="00757F81">
        <w:t xml:space="preserve">  </w:t>
      </w:r>
      <w:r w:rsidR="00F02FEC">
        <w:t xml:space="preserve">Williams </w:t>
      </w:r>
      <w:r w:rsidR="00E77ABE">
        <w:t>remains</w:t>
      </w:r>
      <w:r w:rsidR="00F02FEC">
        <w:t xml:space="preserve"> free to pursue his own lien claims</w:t>
      </w:r>
      <w:r w:rsidR="00F859A8">
        <w:t xml:space="preserve"> in a separate action or negotiation with the clients.</w:t>
      </w:r>
    </w:p>
    <w:p w:rsidR="00F1502A" w:rsidP="00855D3F" w14:paraId="5C5E1B55" w14:textId="2FBE0D6F">
      <w:pPr>
        <w:keepNext/>
        <w:tabs>
          <w:tab w:val="left" w:pos="1440"/>
          <w:tab w:val="left" w:pos="2880"/>
          <w:tab w:val="left" w:pos="4320"/>
          <w:tab w:val="left" w:pos="5760"/>
          <w:tab w:val="left" w:pos="7200"/>
          <w:tab w:val="left" w:pos="8640"/>
        </w:tabs>
        <w:spacing w:before="240" w:line="480" w:lineRule="atLeast"/>
        <w:jc w:val="center"/>
      </w:pPr>
      <w:r>
        <w:rPr>
          <w:b/>
          <w:bCs/>
        </w:rPr>
        <w:t>DISPOSITION</w:t>
      </w:r>
    </w:p>
    <w:p w:rsidR="008854D3" w:rsidP="008854D3" w14:paraId="291629A0" w14:textId="37272251">
      <w:pPr>
        <w:tabs>
          <w:tab w:val="left" w:pos="1440"/>
          <w:tab w:val="left" w:pos="2880"/>
          <w:tab w:val="left" w:pos="4320"/>
          <w:tab w:val="left" w:pos="5760"/>
          <w:tab w:val="left" w:pos="7200"/>
          <w:tab w:val="left" w:pos="8640"/>
        </w:tabs>
        <w:spacing w:line="480" w:lineRule="atLeast"/>
      </w:pPr>
      <w:r>
        <w:tab/>
        <w:t xml:space="preserve">The order vacating the judgment </w:t>
      </w:r>
      <w:r w:rsidR="004707AA">
        <w:t xml:space="preserve">in its entirety </w:t>
      </w:r>
      <w:r>
        <w:t>is reversed</w:t>
      </w:r>
      <w:r w:rsidR="000C7A56">
        <w:t>,</w:t>
      </w:r>
      <w:r w:rsidR="00B86131">
        <w:t xml:space="preserve"> and the case is</w:t>
      </w:r>
      <w:r>
        <w:t xml:space="preserve"> remand</w:t>
      </w:r>
      <w:r w:rsidR="00B86131">
        <w:t>ed</w:t>
      </w:r>
      <w:r>
        <w:t xml:space="preserve"> to the trial court with directions t</w:t>
      </w:r>
      <w:r w:rsidR="004707AA">
        <w:t>hat it</w:t>
      </w:r>
      <w:r>
        <w:t xml:space="preserve"> enter a new order vacating only the provisions purporting to adjudicate (1) Williams</w:t>
      </w:r>
      <w:r w:rsidR="00AF1640">
        <w:t>’</w:t>
      </w:r>
      <w:r w:rsidR="00232841">
        <w:t>s</w:t>
      </w:r>
      <w:r>
        <w:t xml:space="preserve"> rights to the settlement funds and (2)</w:t>
      </w:r>
      <w:r w:rsidR="004707AA">
        <w:t> </w:t>
      </w:r>
      <w:r>
        <w:t xml:space="preserve">the </w:t>
      </w:r>
      <w:r w:rsidR="004707AA">
        <w:t xml:space="preserve">former </w:t>
      </w:r>
      <w:r>
        <w:t>clients</w:t>
      </w:r>
      <w:r w:rsidR="00AF1640">
        <w:t>’</w:t>
      </w:r>
      <w:r>
        <w:t xml:space="preserve"> entitlement to be paid specific amounts of </w:t>
      </w:r>
      <w:r w:rsidR="000C7A56">
        <w:t xml:space="preserve">the </w:t>
      </w:r>
      <w:r>
        <w:t>settlement funds.  The provisions adjudicating Aresh</w:t>
      </w:r>
      <w:r w:rsidR="00AF1640">
        <w:t>’</w:t>
      </w:r>
      <w:r>
        <w:t xml:space="preserve">s rights to specific portions of the settlement funds are </w:t>
      </w:r>
      <w:r w:rsidR="000C7A56">
        <w:t>affirmed</w:t>
      </w:r>
      <w:r>
        <w:t>.</w:t>
      </w:r>
      <w:r w:rsidR="000C7A56">
        <w:t xml:space="preserve">  Appellant shall recover his costs on appeal.</w:t>
      </w:r>
    </w:p>
    <w:p w:rsidR="00AF1640" w:rsidP="00AF1640" w14:paraId="01F4E454" w14:textId="29F48D9B">
      <w:pPr>
        <w:keepNext/>
        <w:tabs>
          <w:tab w:val="left" w:pos="5040"/>
        </w:tabs>
      </w:pPr>
    </w:p>
    <w:p w:rsidR="00855D3F" w:rsidP="00AF1640" w14:paraId="25E9328D" w14:textId="7E450A62">
      <w:pPr>
        <w:keepNext/>
        <w:tabs>
          <w:tab w:val="left" w:pos="5040"/>
        </w:tabs>
      </w:pPr>
    </w:p>
    <w:p w:rsidR="00855D3F" w:rsidP="00AF1640" w14:paraId="39AC5686" w14:textId="77777777">
      <w:pPr>
        <w:keepNext/>
        <w:tabs>
          <w:tab w:val="left" w:pos="5040"/>
        </w:tabs>
      </w:pPr>
    </w:p>
    <w:p w:rsidR="00AF1640" w:rsidP="00AF1640" w14:paraId="22CE2DBD" w14:textId="14FE0347">
      <w:pPr>
        <w:keepNext/>
        <w:tabs>
          <w:tab w:val="left" w:pos="5040"/>
        </w:tabs>
      </w:pPr>
      <w:r>
        <w:tab/>
      </w:r>
    </w:p>
    <w:p w:rsidR="00AF1640" w:rsidP="00AF1640" w14:paraId="6214AB3D" w14:textId="736FFFE0">
      <w:pPr>
        <w:keepNext/>
        <w:tabs>
          <w:tab w:val="left" w:pos="5040"/>
        </w:tabs>
      </w:pPr>
      <w:r>
        <w:tab/>
        <w:t xml:space="preserve">GOETHALS, </w:t>
      </w:r>
      <w:r w:rsidR="008E78CA">
        <w:t>J.</w:t>
      </w:r>
    </w:p>
    <w:p w:rsidR="00AF1640" w:rsidP="00AF1640" w14:paraId="72E6E8F7" w14:textId="1F844D35">
      <w:pPr>
        <w:keepNext/>
        <w:tabs>
          <w:tab w:val="left" w:pos="5040"/>
        </w:tabs>
      </w:pPr>
    </w:p>
    <w:p w:rsidR="00AF1640" w:rsidP="00AF1640" w14:paraId="3192BF4C" w14:textId="5123C2B7">
      <w:pPr>
        <w:keepNext/>
        <w:tabs>
          <w:tab w:val="left" w:pos="5040"/>
        </w:tabs>
      </w:pPr>
      <w:r>
        <w:t>WE CONCUR:</w:t>
      </w:r>
    </w:p>
    <w:p w:rsidR="00AF1640" w:rsidP="00AF1640" w14:paraId="63F1C317" w14:textId="4CD636AD">
      <w:pPr>
        <w:keepNext/>
        <w:tabs>
          <w:tab w:val="left" w:pos="5040"/>
        </w:tabs>
      </w:pPr>
    </w:p>
    <w:p w:rsidR="00AF1640" w:rsidP="00AF1640" w14:paraId="50FC6536" w14:textId="7DC3A4B3">
      <w:pPr>
        <w:keepNext/>
        <w:tabs>
          <w:tab w:val="left" w:pos="5040"/>
        </w:tabs>
      </w:pPr>
    </w:p>
    <w:p w:rsidR="00AF1640" w:rsidP="00AF1640" w14:paraId="5592704C" w14:textId="72E716F7">
      <w:pPr>
        <w:keepNext/>
        <w:tabs>
          <w:tab w:val="left" w:pos="5040"/>
        </w:tabs>
      </w:pPr>
    </w:p>
    <w:p w:rsidR="00AF1640" w:rsidP="00AF1640" w14:paraId="4B624070" w14:textId="387FA023">
      <w:pPr>
        <w:keepNext/>
        <w:tabs>
          <w:tab w:val="left" w:pos="5040"/>
        </w:tabs>
      </w:pPr>
      <w:r>
        <w:t>BEDSWORTH,</w:t>
      </w:r>
      <w:r w:rsidRPr="008E78CA">
        <w:t xml:space="preserve"> </w:t>
      </w:r>
      <w:r>
        <w:t>ACTING P. J.</w:t>
      </w:r>
    </w:p>
    <w:p w:rsidR="00AF1640" w:rsidP="00AF1640" w14:paraId="540D801A" w14:textId="24F844AE">
      <w:pPr>
        <w:keepNext/>
        <w:tabs>
          <w:tab w:val="left" w:pos="5040"/>
        </w:tabs>
      </w:pPr>
    </w:p>
    <w:p w:rsidR="00AF1640" w:rsidP="00AF1640" w14:paraId="636F9BE1" w14:textId="4BBBEA51">
      <w:pPr>
        <w:keepNext/>
        <w:tabs>
          <w:tab w:val="left" w:pos="5040"/>
        </w:tabs>
      </w:pPr>
    </w:p>
    <w:p w:rsidR="00AF1640" w:rsidP="00AF1640" w14:paraId="03190EA1" w14:textId="4F43F35B">
      <w:pPr>
        <w:keepNext/>
        <w:tabs>
          <w:tab w:val="left" w:pos="5040"/>
        </w:tabs>
      </w:pPr>
    </w:p>
    <w:p w:rsidR="00AF1640" w:rsidP="00AF1640" w14:paraId="263FA893" w14:textId="32E42413">
      <w:pPr>
        <w:keepNext/>
        <w:tabs>
          <w:tab w:val="left" w:pos="5040"/>
        </w:tabs>
      </w:pPr>
      <w:r>
        <w:t>MOTOIKE, J.</w:t>
      </w:r>
    </w:p>
    <w:p w:rsidR="00955138" w:rsidP="00AF1640" w14:paraId="62E2AEAF" w14:textId="77777777">
      <w:pPr>
        <w:keepNext/>
        <w:tabs>
          <w:tab w:val="left" w:pos="5040"/>
        </w:tabs>
      </w:pPr>
    </w:p>
    <w:p w:rsidR="00955138" w:rsidP="00AF1640" w14:paraId="467D75D7" w14:textId="77777777">
      <w:pPr>
        <w:keepNext/>
        <w:tabs>
          <w:tab w:val="left" w:pos="5040"/>
        </w:tabs>
        <w:sectPr w:rsidSect="00185D30">
          <w:footerReference w:type="even" r:id="rId6"/>
          <w:footerReference w:type="default" r:id="rId7"/>
          <w:pgSz w:w="12240" w:h="15840"/>
          <w:pgMar w:top="1440" w:right="1440" w:bottom="1440" w:left="1440" w:header="720" w:footer="720" w:gutter="0"/>
          <w:cols w:space="720"/>
          <w:titlePg/>
          <w:docGrid w:linePitch="360"/>
        </w:sectPr>
      </w:pPr>
    </w:p>
    <w:p w:rsidR="00955138" w:rsidRPr="00B96BE5" w:rsidP="00955138" w14:paraId="6E594705" w14:textId="77777777">
      <w:pPr>
        <w:rPr>
          <w:bCs/>
          <w:sz w:val="20"/>
          <w:szCs w:val="16"/>
        </w:rPr>
      </w:pPr>
      <w:r>
        <w:rPr>
          <w:bCs/>
          <w:sz w:val="20"/>
          <w:szCs w:val="16"/>
        </w:rPr>
        <w:t>Filed 6/5/23</w:t>
      </w:r>
    </w:p>
    <w:p w:rsidR="00955138" w:rsidP="00955138" w14:paraId="720672BD" w14:textId="77777777">
      <w:pPr>
        <w:jc w:val="center"/>
        <w:rPr>
          <w:b/>
        </w:rPr>
      </w:pPr>
      <w:r w:rsidRPr="004009B9">
        <w:rPr>
          <w:b/>
        </w:rPr>
        <w:t>CERTIFIED FOR PUBLICATION</w:t>
      </w:r>
    </w:p>
    <w:p w:rsidR="00955138" w:rsidP="00955138" w14:paraId="7C6CBA76" w14:textId="77777777">
      <w:pPr>
        <w:jc w:val="center"/>
        <w:rPr>
          <w:b/>
        </w:rPr>
      </w:pPr>
    </w:p>
    <w:p w:rsidR="00955138" w:rsidP="00955138" w14:paraId="723A402B" w14:textId="77777777">
      <w:pPr>
        <w:jc w:val="center"/>
      </w:pPr>
      <w:r>
        <w:t>IN THE COURT OF APPEAL OF THE STATE OF CALIFORNIA</w:t>
      </w:r>
    </w:p>
    <w:p w:rsidR="00955138" w:rsidP="00955138" w14:paraId="3FBCA2D7" w14:textId="77777777">
      <w:pPr>
        <w:jc w:val="center"/>
      </w:pPr>
    </w:p>
    <w:p w:rsidR="00955138" w:rsidP="00955138" w14:paraId="42BFD744" w14:textId="77777777">
      <w:pPr>
        <w:jc w:val="center"/>
      </w:pPr>
      <w:r>
        <w:t>FOURTH APPELLATE DISTRICT</w:t>
      </w:r>
    </w:p>
    <w:p w:rsidR="00955138" w:rsidP="00955138" w14:paraId="54B21847" w14:textId="77777777">
      <w:pPr>
        <w:jc w:val="center"/>
      </w:pPr>
    </w:p>
    <w:p w:rsidR="00955138" w:rsidP="00955138" w14:paraId="4F5A4E0F" w14:textId="77777777">
      <w:pPr>
        <w:jc w:val="center"/>
      </w:pPr>
      <w:r>
        <w:t>DIVISION THREE</w:t>
      </w:r>
    </w:p>
    <w:p w:rsidR="00955138" w:rsidP="00955138" w14:paraId="56716F5D" w14:textId="77777777">
      <w:pPr>
        <w:jc w:val="center"/>
      </w:pPr>
    </w:p>
    <w:p w:rsidR="00955138" w:rsidP="00955138" w14:paraId="58CA1B6D" w14:textId="77777777">
      <w:pPr>
        <w:jc w:val="center"/>
      </w:pPr>
    </w:p>
    <w:tbl>
      <w:tblPr>
        <w:tblW w:w="0" w:type="auto"/>
        <w:tblLayout w:type="fixed"/>
        <w:tblLook w:val="0000"/>
      </w:tblPr>
      <w:tblGrid>
        <w:gridCol w:w="4680"/>
        <w:gridCol w:w="4680"/>
      </w:tblGrid>
      <w:tr w14:paraId="2A53A886" w14:textId="77777777" w:rsidTr="00F569C5">
        <w:tblPrEx>
          <w:tblW w:w="0" w:type="auto"/>
          <w:tblLayout w:type="fixed"/>
          <w:tblLook w:val="0000"/>
        </w:tblPrEx>
        <w:tc>
          <w:tcPr>
            <w:tcW w:w="4680" w:type="dxa"/>
            <w:tcBorders>
              <w:bottom w:val="single" w:sz="4" w:space="0" w:color="auto"/>
              <w:right w:val="single" w:sz="4" w:space="0" w:color="auto"/>
            </w:tcBorders>
            <w:shd w:val="clear" w:color="auto" w:fill="auto"/>
          </w:tcPr>
          <w:p w:rsidR="00955138" w:rsidP="00F569C5" w14:paraId="5C8AF9DD" w14:textId="77777777">
            <w:r>
              <w:t>ZAAL ARESH,</w:t>
            </w:r>
          </w:p>
          <w:p w:rsidR="00955138" w:rsidP="00F569C5" w14:paraId="5AA0883F" w14:textId="77777777"/>
          <w:p w:rsidR="00955138" w:rsidP="00F569C5" w14:paraId="5B97C77B" w14:textId="77777777">
            <w:r>
              <w:t xml:space="preserve">      Plaintiff and Appellant,</w:t>
            </w:r>
          </w:p>
          <w:p w:rsidR="00955138" w:rsidP="00F569C5" w14:paraId="68CC976B" w14:textId="77777777"/>
          <w:p w:rsidR="00955138" w:rsidP="00F569C5" w14:paraId="0BD9C6A1" w14:textId="77777777">
            <w:r>
              <w:tab/>
              <w:t>v.</w:t>
            </w:r>
          </w:p>
          <w:p w:rsidR="00955138" w:rsidP="00F569C5" w14:paraId="3CA5D166" w14:textId="77777777"/>
          <w:p w:rsidR="00955138" w:rsidP="00F569C5" w14:paraId="405F17C3" w14:textId="77777777">
            <w:r>
              <w:t>MONICA MARIN-MORALES et al.,</w:t>
            </w:r>
          </w:p>
          <w:p w:rsidR="00955138" w:rsidP="00F569C5" w14:paraId="1B1F6849" w14:textId="77777777"/>
          <w:p w:rsidR="00955138" w:rsidP="00F569C5" w14:paraId="1EF08732" w14:textId="77777777">
            <w:r>
              <w:t xml:space="preserve">      Defendants;</w:t>
            </w:r>
          </w:p>
          <w:p w:rsidR="00955138" w:rsidP="00F569C5" w14:paraId="0C7F585E" w14:textId="77777777"/>
          <w:p w:rsidR="00955138" w:rsidP="00F569C5" w14:paraId="0C6DC167" w14:textId="77777777">
            <w:r>
              <w:t>DANIEL WILLIAMS,</w:t>
            </w:r>
          </w:p>
          <w:p w:rsidR="00955138" w:rsidP="00F569C5" w14:paraId="69A1492F" w14:textId="77777777"/>
          <w:p w:rsidR="00955138" w:rsidP="00F569C5" w14:paraId="6B8175D3" w14:textId="77777777">
            <w:r>
              <w:t xml:space="preserve">      Respondent.</w:t>
            </w:r>
          </w:p>
          <w:p w:rsidR="00955138" w:rsidP="00F569C5" w14:paraId="6092131D" w14:textId="77777777"/>
        </w:tc>
        <w:tc>
          <w:tcPr>
            <w:tcW w:w="4680" w:type="dxa"/>
            <w:tcBorders>
              <w:left w:val="single" w:sz="4" w:space="0" w:color="auto"/>
            </w:tcBorders>
            <w:shd w:val="clear" w:color="auto" w:fill="auto"/>
          </w:tcPr>
          <w:p w:rsidR="00955138" w:rsidP="00F569C5" w14:paraId="5EF43C4A" w14:textId="77777777"/>
          <w:p w:rsidR="00955138" w:rsidP="00F569C5" w14:paraId="5AB9CD48" w14:textId="77777777"/>
          <w:p w:rsidR="00955138" w:rsidP="00F569C5" w14:paraId="25051A4D" w14:textId="77777777">
            <w:r>
              <w:t xml:space="preserve">         G060579, G060827</w:t>
            </w:r>
          </w:p>
          <w:p w:rsidR="00955138" w:rsidP="00F569C5" w14:paraId="4FCEB8F7" w14:textId="77777777"/>
          <w:p w:rsidR="00955138" w:rsidP="00F569C5" w14:paraId="489AB006" w14:textId="77777777">
            <w:r>
              <w:t xml:space="preserve">         (Super. Ct. No. 30-2020-01153341)</w:t>
            </w:r>
          </w:p>
          <w:p w:rsidR="00955138" w:rsidP="00F569C5" w14:paraId="715FBD47" w14:textId="77777777"/>
          <w:p w:rsidR="00955138" w:rsidP="00F569C5" w14:paraId="00ED4A9A" w14:textId="77777777">
            <w:r>
              <w:t xml:space="preserve">         O R D E R</w:t>
            </w:r>
          </w:p>
        </w:tc>
      </w:tr>
    </w:tbl>
    <w:p w:rsidR="00955138" w:rsidP="00955138" w14:paraId="6674E775" w14:textId="77777777">
      <w:pPr>
        <w:tabs>
          <w:tab w:val="left" w:pos="1440"/>
        </w:tabs>
        <w:spacing w:before="240" w:line="480" w:lineRule="atLeast"/>
      </w:pPr>
      <w:r>
        <w:tab/>
        <w:t xml:space="preserve">Biren Law Group has requested that our opinion filed on May 16, 2023, be certified for publication.  It appears that our opinion meets the standards set forth in California Rules of Court, rule 8.1105(c).  The request is GRANTED.  </w:t>
      </w:r>
    </w:p>
    <w:p w:rsidR="00955138" w:rsidP="00955138" w14:paraId="2DE0637C" w14:textId="77777777">
      <w:pPr>
        <w:tabs>
          <w:tab w:val="left" w:pos="1440"/>
        </w:tabs>
        <w:spacing w:line="480" w:lineRule="atLeast"/>
      </w:pPr>
      <w:r>
        <w:tab/>
        <w:t xml:space="preserve">The opinion is ordered published in the Official Reports.  </w:t>
      </w:r>
    </w:p>
    <w:p w:rsidR="00955138" w:rsidP="00955138" w14:paraId="14556477" w14:textId="77777777">
      <w:pPr>
        <w:tabs>
          <w:tab w:val="left" w:pos="1440"/>
          <w:tab w:val="left" w:pos="2880"/>
          <w:tab w:val="left" w:pos="4320"/>
          <w:tab w:val="left" w:pos="5760"/>
          <w:tab w:val="left" w:pos="7200"/>
          <w:tab w:val="left" w:pos="8640"/>
        </w:tabs>
        <w:spacing w:line="480" w:lineRule="atLeast"/>
      </w:pPr>
      <w:r>
        <w:tab/>
        <w:t>Respondent’s</w:t>
      </w:r>
      <w:r w:rsidRPr="00894F30">
        <w:t xml:space="preserve"> </w:t>
      </w:r>
      <w:r w:rsidRPr="00AA125B">
        <w:t>pet</w:t>
      </w:r>
      <w:r>
        <w:t>ition for rehearing filed on May 31, 2023, is DENIED.</w:t>
      </w:r>
    </w:p>
    <w:p w:rsidR="00955138" w:rsidP="00955138" w14:paraId="2AFBE998" w14:textId="77777777">
      <w:pPr>
        <w:keepNext/>
        <w:tabs>
          <w:tab w:val="left" w:pos="5040"/>
        </w:tabs>
        <w:spacing w:before="120"/>
      </w:pPr>
    </w:p>
    <w:p w:rsidR="00955138" w:rsidP="00955138" w14:paraId="1D3D472F" w14:textId="77777777">
      <w:pPr>
        <w:keepNext/>
        <w:tabs>
          <w:tab w:val="left" w:pos="5040"/>
        </w:tabs>
      </w:pPr>
      <w:r>
        <w:tab/>
      </w:r>
    </w:p>
    <w:p w:rsidR="00955138" w:rsidP="00955138" w14:paraId="52E09D2E" w14:textId="77777777">
      <w:pPr>
        <w:keepNext/>
        <w:tabs>
          <w:tab w:val="left" w:pos="5040"/>
        </w:tabs>
      </w:pPr>
      <w:r>
        <w:tab/>
        <w:t>GOETHALS, J.</w:t>
      </w:r>
    </w:p>
    <w:p w:rsidR="00955138" w:rsidP="00955138" w14:paraId="0DFAD604" w14:textId="77777777">
      <w:pPr>
        <w:keepNext/>
        <w:tabs>
          <w:tab w:val="left" w:pos="5040"/>
        </w:tabs>
      </w:pPr>
    </w:p>
    <w:p w:rsidR="00955138" w:rsidP="00955138" w14:paraId="6AF104EF" w14:textId="77777777">
      <w:pPr>
        <w:keepNext/>
        <w:tabs>
          <w:tab w:val="left" w:pos="5040"/>
        </w:tabs>
      </w:pPr>
      <w:r>
        <w:t>WE CONCUR:</w:t>
      </w:r>
    </w:p>
    <w:p w:rsidR="00955138" w:rsidP="00955138" w14:paraId="3B57287B" w14:textId="77777777">
      <w:pPr>
        <w:keepNext/>
        <w:tabs>
          <w:tab w:val="left" w:pos="5040"/>
        </w:tabs>
      </w:pPr>
    </w:p>
    <w:p w:rsidR="00955138" w:rsidP="00955138" w14:paraId="19B8C0A4" w14:textId="77777777">
      <w:pPr>
        <w:keepNext/>
        <w:tabs>
          <w:tab w:val="left" w:pos="5040"/>
        </w:tabs>
      </w:pPr>
    </w:p>
    <w:p w:rsidR="00955138" w:rsidP="00955138" w14:paraId="5FC311C4" w14:textId="77777777">
      <w:pPr>
        <w:keepNext/>
        <w:tabs>
          <w:tab w:val="left" w:pos="5040"/>
        </w:tabs>
      </w:pPr>
      <w:r>
        <w:t>BEDSWORTH,</w:t>
      </w:r>
      <w:r w:rsidRPr="008E78CA">
        <w:t xml:space="preserve"> </w:t>
      </w:r>
      <w:r>
        <w:t>ACTING P. J.</w:t>
      </w:r>
    </w:p>
    <w:p w:rsidR="00955138" w:rsidP="00955138" w14:paraId="598D8343" w14:textId="77777777">
      <w:pPr>
        <w:keepNext/>
        <w:tabs>
          <w:tab w:val="left" w:pos="5040"/>
        </w:tabs>
      </w:pPr>
    </w:p>
    <w:p w:rsidR="00955138" w:rsidP="00955138" w14:paraId="24F1933C" w14:textId="77777777">
      <w:pPr>
        <w:keepNext/>
        <w:tabs>
          <w:tab w:val="left" w:pos="5040"/>
        </w:tabs>
      </w:pPr>
    </w:p>
    <w:p w:rsidR="00955138" w:rsidP="00955138" w14:paraId="62AA1BDE" w14:textId="77777777">
      <w:pPr>
        <w:keepNext/>
        <w:tabs>
          <w:tab w:val="left" w:pos="5040"/>
        </w:tabs>
      </w:pPr>
      <w:r>
        <w:t>MOTOIKE, J.</w:t>
      </w:r>
    </w:p>
    <w:p w:rsidR="00955138" w:rsidP="00AF1640" w14:paraId="171267DA" w14:textId="77777777">
      <w:pPr>
        <w:keepNext/>
        <w:tabs>
          <w:tab w:val="left" w:pos="5040"/>
        </w:tabs>
      </w:pPr>
    </w:p>
    <w:sectPr w:rsidSect="00185D30">
      <w:footerReference w:type="even" r:id="rId8"/>
      <w:footerReference w:type="defaul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5D30" w:rsidP="00A7396B" w14:paraId="037AB273" w14:textId="313FDE5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86A1B">
      <w:rPr>
        <w:rStyle w:val="PageNumber"/>
        <w:noProof/>
      </w:rPr>
      <w:t>2</w:t>
    </w:r>
    <w:r>
      <w:rPr>
        <w:rStyle w:val="PageNumber"/>
      </w:rPr>
      <w:fldChar w:fldCharType="end"/>
    </w:r>
  </w:p>
  <w:p w:rsidR="00185D30" w14:paraId="151CA52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5D30" w:rsidP="00A7396B" w14:paraId="20A8A287" w14:textId="7777777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185D30" w14:paraId="006FD21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5D30" w:rsidP="00A7396B" w14:paraId="32FC00E5" w14:textId="7777777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86A1B">
      <w:rPr>
        <w:rStyle w:val="PageNumber"/>
        <w:noProof/>
      </w:rPr>
      <w:t>2</w:t>
    </w:r>
    <w:r>
      <w:rPr>
        <w:rStyle w:val="PageNumber"/>
      </w:rPr>
      <w:fldChar w:fldCharType="end"/>
    </w:r>
  </w:p>
  <w:p w:rsidR="00185D30" w14:paraId="08BB2497"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5D30" w:rsidP="00A7396B" w14:paraId="16DEAB90" w14:textId="7777777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185D30" w14:paraId="7768615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336CA" w:rsidP="00185D30" w14:paraId="333F81DA" w14:textId="77777777">
      <w:r>
        <w:separator/>
      </w:r>
    </w:p>
  </w:footnote>
  <w:footnote w:type="continuationSeparator" w:id="1">
    <w:p w:rsidR="006336CA" w:rsidP="00185D30" w14:paraId="1B4EFADB" w14:textId="77777777">
      <w:r>
        <w:continuationSeparator/>
      </w:r>
    </w:p>
  </w:footnote>
  <w:footnote w:type="continuationNotice" w:id="2">
    <w:p w:rsidR="006336CA" w14:paraId="056A9D98" w14:textId="77777777"/>
  </w:footnote>
  <w:footnote w:id="3">
    <w:p w:rsidR="00562604" w:rsidRPr="00562604" w:rsidP="00562604" w14:paraId="7511AD4C" w14:textId="155E0C7D">
      <w:pPr>
        <w:pStyle w:val="FootnoteText"/>
        <w:ind w:firstLine="720"/>
        <w:rPr>
          <w:sz w:val="26"/>
          <w:szCs w:val="26"/>
        </w:rPr>
      </w:pPr>
      <w:r w:rsidRPr="00562604">
        <w:rPr>
          <w:rStyle w:val="FootnoteReference"/>
          <w:sz w:val="26"/>
          <w:szCs w:val="26"/>
        </w:rPr>
        <w:footnoteRef/>
      </w:r>
      <w:r w:rsidRPr="00562604">
        <w:rPr>
          <w:sz w:val="26"/>
          <w:szCs w:val="26"/>
        </w:rPr>
        <w:t xml:space="preserve"> </w:t>
      </w:r>
      <w:r w:rsidRPr="00562604">
        <w:rPr>
          <w:sz w:val="26"/>
          <w:szCs w:val="26"/>
        </w:rPr>
        <w:tab/>
      </w:r>
      <w:r>
        <w:rPr>
          <w:sz w:val="26"/>
          <w:szCs w:val="26"/>
        </w:rPr>
        <w:t>Defendants Monica Marin</w:t>
      </w:r>
      <w:r>
        <w:rPr>
          <w:sz w:val="26"/>
          <w:szCs w:val="26"/>
        </w:rPr>
        <w:noBreakHyphen/>
        <w:t>Morales, Akin Arikan, Glafira Cruz Sumano, Beatriz Marin</w:t>
      </w:r>
      <w:r>
        <w:rPr>
          <w:sz w:val="26"/>
          <w:szCs w:val="26"/>
        </w:rPr>
        <w:noBreakHyphen/>
        <w:t>Morales, and David Marin Romero (former clients).</w:t>
      </w:r>
    </w:p>
  </w:footnote>
  <w:footnote w:id="4">
    <w:p w:rsidR="00F8501B" w:rsidRPr="00855D3F" w:rsidP="00855D3F" w14:paraId="44E3E670" w14:textId="13171DE2">
      <w:pPr>
        <w:pStyle w:val="FootnoteText"/>
        <w:spacing w:after="240"/>
        <w:rPr>
          <w:sz w:val="26"/>
        </w:rPr>
      </w:pPr>
      <w:r>
        <w:rPr>
          <w:sz w:val="26"/>
        </w:rPr>
        <w:tab/>
      </w:r>
      <w:r w:rsidRPr="00855D3F">
        <w:rPr>
          <w:rStyle w:val="FootnoteReference"/>
          <w:sz w:val="26"/>
        </w:rPr>
        <w:footnoteRef/>
      </w:r>
      <w:r w:rsidRPr="00855D3F">
        <w:rPr>
          <w:sz w:val="26"/>
        </w:rPr>
        <w:t xml:space="preserve"> </w:t>
      </w:r>
      <w:r w:rsidRPr="00855D3F">
        <w:rPr>
          <w:sz w:val="26"/>
        </w:rPr>
        <w:tab/>
        <w:t xml:space="preserve">Aresh has also </w:t>
      </w:r>
      <w:r w:rsidR="00E9617A">
        <w:rPr>
          <w:sz w:val="26"/>
        </w:rPr>
        <w:t>asked us to</w:t>
      </w:r>
      <w:r w:rsidRPr="00855D3F" w:rsidR="00077F46">
        <w:rPr>
          <w:sz w:val="26"/>
        </w:rPr>
        <w:t xml:space="preserve"> take judicial notice of a stipulation </w:t>
      </w:r>
      <w:r w:rsidRPr="00855D3F" w:rsidR="007A6B78">
        <w:rPr>
          <w:sz w:val="26"/>
        </w:rPr>
        <w:t xml:space="preserve">he </w:t>
      </w:r>
      <w:r w:rsidRPr="00855D3F" w:rsidR="00077F46">
        <w:rPr>
          <w:sz w:val="26"/>
        </w:rPr>
        <w:t xml:space="preserve">entered into </w:t>
      </w:r>
      <w:r w:rsidRPr="00855D3F" w:rsidR="007A6B78">
        <w:rPr>
          <w:sz w:val="26"/>
        </w:rPr>
        <w:t>with</w:t>
      </w:r>
      <w:r w:rsidRPr="00855D3F" w:rsidR="00077F46">
        <w:rPr>
          <w:sz w:val="26"/>
        </w:rPr>
        <w:t xml:space="preserve"> his former clients, </w:t>
      </w:r>
      <w:r w:rsidRPr="00855D3F" w:rsidR="00EE3F8F">
        <w:rPr>
          <w:sz w:val="26"/>
        </w:rPr>
        <w:t>reflecting the clients</w:t>
      </w:r>
      <w:r w:rsidRPr="00855D3F" w:rsidR="00AF1640">
        <w:rPr>
          <w:sz w:val="26"/>
        </w:rPr>
        <w:t>’</w:t>
      </w:r>
      <w:r w:rsidRPr="00855D3F" w:rsidR="00EE3F8F">
        <w:rPr>
          <w:sz w:val="26"/>
        </w:rPr>
        <w:t xml:space="preserve"> non-opposition to the </w:t>
      </w:r>
      <w:r w:rsidRPr="00855D3F" w:rsidR="0085666D">
        <w:rPr>
          <w:sz w:val="26"/>
        </w:rPr>
        <w:t xml:space="preserve">provisions of the judgment favoring Aresh.  We deny the request.  </w:t>
      </w:r>
      <w:r w:rsidRPr="00855D3F" w:rsidR="00131C3C">
        <w:rPr>
          <w:sz w:val="26"/>
        </w:rPr>
        <w:t xml:space="preserve"> The stipulation was entered into after the </w:t>
      </w:r>
      <w:r w:rsidRPr="00855D3F" w:rsidR="009E0BBB">
        <w:rPr>
          <w:sz w:val="26"/>
        </w:rPr>
        <w:t xml:space="preserve">court issued the </w:t>
      </w:r>
      <w:r w:rsidRPr="00855D3F" w:rsidR="00993505">
        <w:rPr>
          <w:sz w:val="26"/>
        </w:rPr>
        <w:t>order vacating the judgment</w:t>
      </w:r>
      <w:r w:rsidRPr="00855D3F" w:rsidR="003169EE">
        <w:rPr>
          <w:sz w:val="26"/>
        </w:rPr>
        <w:t xml:space="preserve"> </w:t>
      </w:r>
      <w:r w:rsidRPr="00855D3F" w:rsidR="00321E5D">
        <w:rPr>
          <w:sz w:val="26"/>
        </w:rPr>
        <w:t>which</w:t>
      </w:r>
      <w:r w:rsidRPr="00855D3F" w:rsidR="003169EE">
        <w:rPr>
          <w:sz w:val="26"/>
        </w:rPr>
        <w:t xml:space="preserve"> is</w:t>
      </w:r>
      <w:r w:rsidRPr="00855D3F" w:rsidR="00993505">
        <w:rPr>
          <w:sz w:val="26"/>
        </w:rPr>
        <w:t xml:space="preserve"> at issue in this appeal</w:t>
      </w:r>
      <w:r w:rsidR="00634385">
        <w:rPr>
          <w:sz w:val="26"/>
        </w:rPr>
        <w:t>;</w:t>
      </w:r>
      <w:r w:rsidRPr="00855D3F" w:rsidR="009E0BBB">
        <w:rPr>
          <w:sz w:val="26"/>
        </w:rPr>
        <w:t xml:space="preserve"> the stipulation </w:t>
      </w:r>
      <w:r w:rsidR="005F6305">
        <w:rPr>
          <w:sz w:val="26"/>
        </w:rPr>
        <w:t>is therefore irrelevant to our analysis</w:t>
      </w:r>
      <w:r w:rsidRPr="00855D3F" w:rsidR="00993505">
        <w:rPr>
          <w:sz w:val="26"/>
        </w:rPr>
        <w:t xml:space="preserve">. </w:t>
      </w:r>
      <w:r w:rsidRPr="00855D3F" w:rsidR="00EE3F8F">
        <w:rPr>
          <w:sz w:val="26"/>
        </w:rPr>
        <w:t xml:space="preserve"> </w:t>
      </w:r>
    </w:p>
  </w:footnote>
  <w:footnote w:id="5">
    <w:p w:rsidR="00C66017" w:rsidRPr="00855D3F" w:rsidP="00855D3F" w14:paraId="5B955421" w14:textId="40A85983">
      <w:pPr>
        <w:pStyle w:val="FootnoteText"/>
        <w:spacing w:after="240"/>
        <w:rPr>
          <w:sz w:val="26"/>
        </w:rPr>
      </w:pPr>
      <w:r>
        <w:tab/>
      </w:r>
      <w:r w:rsidRPr="00855D3F">
        <w:rPr>
          <w:rStyle w:val="FootnoteReference"/>
          <w:sz w:val="26"/>
        </w:rPr>
        <w:footnoteRef/>
      </w:r>
      <w:r w:rsidRPr="00855D3F">
        <w:rPr>
          <w:sz w:val="26"/>
        </w:rPr>
        <w:t xml:space="preserve"> </w:t>
      </w:r>
      <w:r w:rsidRPr="00855D3F">
        <w:rPr>
          <w:sz w:val="26"/>
        </w:rPr>
        <w:tab/>
      </w:r>
      <w:r w:rsidR="00F258CE">
        <w:rPr>
          <w:sz w:val="26"/>
        </w:rPr>
        <w:t>W</w:t>
      </w:r>
      <w:r w:rsidRPr="00855D3F" w:rsidR="00F40CD5">
        <w:rPr>
          <w:sz w:val="26"/>
        </w:rPr>
        <w:t xml:space="preserve">e </w:t>
      </w:r>
      <w:r w:rsidR="00BA4952">
        <w:rPr>
          <w:sz w:val="26"/>
        </w:rPr>
        <w:t>believe</w:t>
      </w:r>
      <w:r w:rsidRPr="00855D3F" w:rsidR="002D1205">
        <w:rPr>
          <w:sz w:val="26"/>
        </w:rPr>
        <w:t xml:space="preserve"> </w:t>
      </w:r>
      <w:r w:rsidRPr="00855D3F" w:rsidR="002D1205">
        <w:rPr>
          <w:i/>
          <w:iCs/>
          <w:sz w:val="26"/>
        </w:rPr>
        <w:t>Mojtahedi</w:t>
      </w:r>
      <w:r w:rsidRPr="00855D3F" w:rsidR="002D1205">
        <w:rPr>
          <w:sz w:val="26"/>
        </w:rPr>
        <w:t xml:space="preserve"> is distinguishable from this case. </w:t>
      </w:r>
      <w:r w:rsidRPr="00855D3F" w:rsidR="00B052D8">
        <w:rPr>
          <w:sz w:val="26"/>
        </w:rPr>
        <w:t xml:space="preserve">In </w:t>
      </w:r>
      <w:bookmarkStart w:id="2" w:name="dabmci_eef08f2666d94dffa8b49640c912cda9"/>
      <w:r w:rsidRPr="00855D3F" w:rsidR="00B62EEF">
        <w:rPr>
          <w:i/>
          <w:iCs/>
          <w:sz w:val="26"/>
        </w:rPr>
        <w:t>Mojtahedi</w:t>
      </w:r>
      <w:bookmarkEnd w:id="2"/>
      <w:r w:rsidRPr="00855D3F" w:rsidR="00B052D8">
        <w:rPr>
          <w:sz w:val="26"/>
        </w:rPr>
        <w:t xml:space="preserve">, the initial attorney attempted to </w:t>
      </w:r>
      <w:r w:rsidRPr="00855D3F" w:rsidR="00476306">
        <w:rPr>
          <w:sz w:val="26"/>
        </w:rPr>
        <w:t xml:space="preserve">enforce his fee lien </w:t>
      </w:r>
      <w:r w:rsidRPr="00855D3F" w:rsidR="00507D10">
        <w:rPr>
          <w:sz w:val="26"/>
        </w:rPr>
        <w:t xml:space="preserve">against the subsequent attorney </w:t>
      </w:r>
      <w:r w:rsidRPr="00855D3F" w:rsidR="00476306">
        <w:rPr>
          <w:sz w:val="26"/>
        </w:rPr>
        <w:t xml:space="preserve">without </w:t>
      </w:r>
      <w:r w:rsidRPr="00855D3F" w:rsidR="00507D10">
        <w:rPr>
          <w:sz w:val="26"/>
        </w:rPr>
        <w:t xml:space="preserve">involving the clients. </w:t>
      </w:r>
      <w:r w:rsidR="00522F65">
        <w:rPr>
          <w:sz w:val="26"/>
        </w:rPr>
        <w:t>H</w:t>
      </w:r>
      <w:r w:rsidRPr="00855D3F" w:rsidR="00373A81">
        <w:rPr>
          <w:sz w:val="26"/>
        </w:rPr>
        <w:t xml:space="preserve">e argued it was improper for an attorney to </w:t>
      </w:r>
      <w:r w:rsidRPr="00855D3F" w:rsidR="00F829A3">
        <w:rPr>
          <w:sz w:val="26"/>
        </w:rPr>
        <w:t xml:space="preserve">draw </w:t>
      </w:r>
      <w:r w:rsidRPr="00855D3F" w:rsidR="00741A1C">
        <w:rPr>
          <w:sz w:val="26"/>
        </w:rPr>
        <w:t>t</w:t>
      </w:r>
      <w:r w:rsidRPr="00855D3F" w:rsidR="00F829A3">
        <w:rPr>
          <w:sz w:val="26"/>
        </w:rPr>
        <w:t xml:space="preserve">he clients into </w:t>
      </w:r>
      <w:r w:rsidRPr="00855D3F" w:rsidR="007979C2">
        <w:rPr>
          <w:sz w:val="26"/>
        </w:rPr>
        <w:t xml:space="preserve">what he viewed as </w:t>
      </w:r>
      <w:r w:rsidRPr="00855D3F" w:rsidR="00F829A3">
        <w:rPr>
          <w:sz w:val="26"/>
        </w:rPr>
        <w:t>a dispute</w:t>
      </w:r>
      <w:r w:rsidRPr="00855D3F" w:rsidR="002136BE">
        <w:rPr>
          <w:sz w:val="26"/>
        </w:rPr>
        <w:t xml:space="preserve"> that </w:t>
      </w:r>
      <w:r w:rsidRPr="00855D3F" w:rsidR="00540A2D">
        <w:rPr>
          <w:sz w:val="26"/>
        </w:rPr>
        <w:t>i</w:t>
      </w:r>
      <w:r w:rsidRPr="00855D3F" w:rsidR="002136BE">
        <w:rPr>
          <w:sz w:val="26"/>
        </w:rPr>
        <w:t>s solely</w:t>
      </w:r>
      <w:r w:rsidRPr="00855D3F" w:rsidR="00F829A3">
        <w:rPr>
          <w:sz w:val="26"/>
        </w:rPr>
        <w:t xml:space="preserve"> </w:t>
      </w:r>
      <w:r w:rsidRPr="00855D3F" w:rsidR="007979C2">
        <w:rPr>
          <w:sz w:val="26"/>
        </w:rPr>
        <w:t>between attorneys over the</w:t>
      </w:r>
      <w:r w:rsidRPr="00855D3F" w:rsidR="00DD7E27">
        <w:rPr>
          <w:sz w:val="26"/>
        </w:rPr>
        <w:t>ir</w:t>
      </w:r>
      <w:r w:rsidRPr="00855D3F" w:rsidR="007979C2">
        <w:rPr>
          <w:sz w:val="26"/>
        </w:rPr>
        <w:t xml:space="preserve"> division of a contingent fee.</w:t>
      </w:r>
      <w:r w:rsidRPr="00855D3F" w:rsidR="00CF6808">
        <w:rPr>
          <w:sz w:val="26"/>
        </w:rPr>
        <w:t xml:space="preserve">  (</w:t>
      </w:r>
      <w:bookmarkStart w:id="3" w:name="dabmci_0ad1ce91ff9a48e09d8c8db5ced05248"/>
      <w:r w:rsidRPr="00855D3F" w:rsidR="00CF6808">
        <w:rPr>
          <w:i/>
          <w:iCs/>
          <w:sz w:val="26"/>
        </w:rPr>
        <w:t>Mojtahedi, supra,</w:t>
      </w:r>
      <w:r w:rsidRPr="00855D3F" w:rsidR="00CF6808">
        <w:rPr>
          <w:sz w:val="26"/>
        </w:rPr>
        <w:t xml:space="preserve"> </w:t>
      </w:r>
      <w:r w:rsidR="00232841">
        <w:rPr>
          <w:sz w:val="26"/>
        </w:rPr>
        <w:t xml:space="preserve">228 Cal.App.4th </w:t>
      </w:r>
      <w:r w:rsidRPr="00855D3F" w:rsidR="00CF6808">
        <w:rPr>
          <w:sz w:val="26"/>
        </w:rPr>
        <w:t>at p.</w:t>
      </w:r>
      <w:r w:rsidR="00232841">
        <w:rPr>
          <w:sz w:val="26"/>
        </w:rPr>
        <w:t> </w:t>
      </w:r>
      <w:r w:rsidRPr="00855D3F" w:rsidR="002A673B">
        <w:rPr>
          <w:sz w:val="26"/>
        </w:rPr>
        <w:t>979</w:t>
      </w:r>
      <w:bookmarkEnd w:id="3"/>
      <w:r w:rsidRPr="00855D3F" w:rsidR="002A673B">
        <w:rPr>
          <w:sz w:val="26"/>
        </w:rPr>
        <w:t>.)</w:t>
      </w:r>
      <w:r w:rsidRPr="00855D3F" w:rsidR="007979C2">
        <w:rPr>
          <w:sz w:val="26"/>
        </w:rPr>
        <w:t xml:space="preserve">  </w:t>
      </w:r>
      <w:r w:rsidR="007338ED">
        <w:rPr>
          <w:sz w:val="26"/>
        </w:rPr>
        <w:t>T</w:t>
      </w:r>
      <w:r w:rsidRPr="00855D3F" w:rsidR="001C2BF3">
        <w:rPr>
          <w:sz w:val="26"/>
        </w:rPr>
        <w:t>he</w:t>
      </w:r>
      <w:r w:rsidRPr="00855D3F" w:rsidR="00771129">
        <w:rPr>
          <w:sz w:val="26"/>
        </w:rPr>
        <w:t xml:space="preserve"> appellate</w:t>
      </w:r>
      <w:r w:rsidRPr="00855D3F" w:rsidR="001C2BF3">
        <w:rPr>
          <w:sz w:val="26"/>
        </w:rPr>
        <w:t xml:space="preserve"> court </w:t>
      </w:r>
      <w:r w:rsidR="00C104D3">
        <w:rPr>
          <w:sz w:val="26"/>
        </w:rPr>
        <w:t>disagreed, pointing</w:t>
      </w:r>
      <w:r w:rsidRPr="00855D3F" w:rsidR="001C2BF3">
        <w:rPr>
          <w:sz w:val="26"/>
        </w:rPr>
        <w:t xml:space="preserve"> out the attorney</w:t>
      </w:r>
      <w:r w:rsidRPr="00855D3F" w:rsidR="00AF1640">
        <w:rPr>
          <w:sz w:val="26"/>
        </w:rPr>
        <w:t>’</w:t>
      </w:r>
      <w:r w:rsidRPr="00855D3F" w:rsidR="001C2BF3">
        <w:rPr>
          <w:sz w:val="26"/>
        </w:rPr>
        <w:t>s lien was a matter of contract between the attorney and client</w:t>
      </w:r>
      <w:r w:rsidRPr="00855D3F" w:rsidR="00225F49">
        <w:rPr>
          <w:sz w:val="26"/>
        </w:rPr>
        <w:t>s</w:t>
      </w:r>
      <w:r w:rsidRPr="00855D3F" w:rsidR="001C2BF3">
        <w:rPr>
          <w:sz w:val="26"/>
        </w:rPr>
        <w:t xml:space="preserve"> </w:t>
      </w:r>
      <w:r w:rsidRPr="00855D3F" w:rsidR="004E4B9C">
        <w:rPr>
          <w:sz w:val="26"/>
        </w:rPr>
        <w:t>and the</w:t>
      </w:r>
      <w:r w:rsidRPr="00855D3F" w:rsidR="00044598">
        <w:rPr>
          <w:sz w:val="26"/>
        </w:rPr>
        <w:t xml:space="preserve"> fees w</w:t>
      </w:r>
      <w:r w:rsidRPr="00855D3F" w:rsidR="003666D2">
        <w:rPr>
          <w:sz w:val="26"/>
        </w:rPr>
        <w:t>ould</w:t>
      </w:r>
      <w:r w:rsidRPr="00855D3F" w:rsidR="00044598">
        <w:rPr>
          <w:sz w:val="26"/>
        </w:rPr>
        <w:t xml:space="preserve"> be paid out of </w:t>
      </w:r>
      <w:r w:rsidRPr="00855D3F" w:rsidR="00595DE1">
        <w:rPr>
          <w:sz w:val="26"/>
        </w:rPr>
        <w:t>settlement funds</w:t>
      </w:r>
      <w:r w:rsidRPr="00855D3F" w:rsidR="00044598">
        <w:rPr>
          <w:sz w:val="26"/>
        </w:rPr>
        <w:t xml:space="preserve"> otherwise belonging to the client</w:t>
      </w:r>
      <w:r w:rsidRPr="00855D3F" w:rsidR="00225F49">
        <w:rPr>
          <w:sz w:val="26"/>
        </w:rPr>
        <w:t>s</w:t>
      </w:r>
      <w:r w:rsidRPr="00855D3F" w:rsidR="00044598">
        <w:rPr>
          <w:sz w:val="26"/>
        </w:rPr>
        <w:t xml:space="preserve">.  </w:t>
      </w:r>
      <w:r w:rsidRPr="00855D3F" w:rsidR="00B43769">
        <w:rPr>
          <w:sz w:val="26"/>
        </w:rPr>
        <w:t>Consequently</w:t>
      </w:r>
      <w:r w:rsidRPr="00855D3F" w:rsidR="00044598">
        <w:rPr>
          <w:sz w:val="26"/>
        </w:rPr>
        <w:t xml:space="preserve">, </w:t>
      </w:r>
      <w:r w:rsidRPr="00855D3F" w:rsidR="00705AD6">
        <w:rPr>
          <w:sz w:val="26"/>
        </w:rPr>
        <w:t xml:space="preserve">the attorney must establish </w:t>
      </w:r>
      <w:r w:rsidRPr="00855D3F" w:rsidR="00AF1640">
        <w:rPr>
          <w:sz w:val="26"/>
        </w:rPr>
        <w:t>“</w:t>
      </w:r>
      <w:r w:rsidRPr="00855D3F" w:rsidR="00705AD6">
        <w:rPr>
          <w:sz w:val="26"/>
        </w:rPr>
        <w:t>his entitlement to a particular portion of the settlement proceeds</w:t>
      </w:r>
      <w:r w:rsidRPr="00855D3F" w:rsidR="00AF1640">
        <w:rPr>
          <w:sz w:val="26"/>
        </w:rPr>
        <w:t>”</w:t>
      </w:r>
      <w:r w:rsidRPr="00855D3F" w:rsidR="00705AD6">
        <w:rPr>
          <w:sz w:val="26"/>
        </w:rPr>
        <w:t xml:space="preserve"> as against the client</w:t>
      </w:r>
      <w:r w:rsidRPr="00855D3F" w:rsidR="00DD3B21">
        <w:rPr>
          <w:sz w:val="26"/>
        </w:rPr>
        <w:t xml:space="preserve"> before</w:t>
      </w:r>
      <w:r w:rsidRPr="00855D3F" w:rsidR="00365895">
        <w:rPr>
          <w:sz w:val="26"/>
        </w:rPr>
        <w:t xml:space="preserve"> </w:t>
      </w:r>
      <w:r w:rsidRPr="00855D3F" w:rsidR="00DD3B21">
        <w:rPr>
          <w:sz w:val="26"/>
        </w:rPr>
        <w:t xml:space="preserve">enforcing that </w:t>
      </w:r>
      <w:r w:rsidRPr="00855D3F" w:rsidR="00A1375A">
        <w:rPr>
          <w:sz w:val="26"/>
        </w:rPr>
        <w:t>entitlement</w:t>
      </w:r>
      <w:r w:rsidRPr="00855D3F" w:rsidR="00DD3B21">
        <w:rPr>
          <w:sz w:val="26"/>
        </w:rPr>
        <w:t xml:space="preserve"> a</w:t>
      </w:r>
      <w:r w:rsidRPr="00855D3F" w:rsidR="00721E73">
        <w:rPr>
          <w:sz w:val="26"/>
        </w:rPr>
        <w:t xml:space="preserve">gainst a third party holder of the funds. </w:t>
      </w:r>
      <w:r w:rsidRPr="00855D3F" w:rsidR="002A673B">
        <w:rPr>
          <w:sz w:val="26"/>
        </w:rPr>
        <w:t>(</w:t>
      </w:r>
      <w:bookmarkStart w:id="4" w:name="dabmci_d52ba955a9a64478927ca663a81d839d"/>
      <w:r w:rsidRPr="00855D3F" w:rsidR="002A673B">
        <w:rPr>
          <w:i/>
          <w:iCs/>
          <w:sz w:val="26"/>
        </w:rPr>
        <w:t>Id</w:t>
      </w:r>
      <w:r w:rsidRPr="00855D3F" w:rsidR="002A673B">
        <w:rPr>
          <w:sz w:val="26"/>
        </w:rPr>
        <w:t>. at p.</w:t>
      </w:r>
      <w:r>
        <w:rPr>
          <w:sz w:val="26"/>
        </w:rPr>
        <w:t> </w:t>
      </w:r>
      <w:r w:rsidRPr="00855D3F" w:rsidR="004C253F">
        <w:rPr>
          <w:sz w:val="26"/>
        </w:rPr>
        <w:t>978</w:t>
      </w:r>
      <w:bookmarkEnd w:id="4"/>
      <w:r w:rsidRPr="00855D3F" w:rsidR="004C253F">
        <w:rPr>
          <w:sz w:val="26"/>
        </w:rPr>
        <w:t>.)</w:t>
      </w:r>
      <w:r w:rsidRPr="00855D3F" w:rsidR="00EE4361">
        <w:rPr>
          <w:sz w:val="26"/>
        </w:rPr>
        <w:t xml:space="preserve"> </w:t>
      </w:r>
      <w:r w:rsidRPr="00855D3F" w:rsidR="00D8536A">
        <w:rPr>
          <w:sz w:val="26"/>
        </w:rPr>
        <w:t xml:space="preserve"> </w:t>
      </w:r>
      <w:r w:rsidR="00FC75F7">
        <w:rPr>
          <w:sz w:val="26"/>
        </w:rPr>
        <w:t>In</w:t>
      </w:r>
      <w:r w:rsidRPr="00855D3F" w:rsidR="00DD41C8">
        <w:rPr>
          <w:sz w:val="26"/>
        </w:rPr>
        <w:t xml:space="preserve"> contrast to </w:t>
      </w:r>
      <w:r w:rsidRPr="00855D3F" w:rsidR="00DD41C8">
        <w:rPr>
          <w:i/>
          <w:iCs/>
          <w:sz w:val="26"/>
        </w:rPr>
        <w:t>Mojtahedi</w:t>
      </w:r>
      <w:r w:rsidRPr="00855D3F" w:rsidR="00DD41C8">
        <w:rPr>
          <w:sz w:val="26"/>
        </w:rPr>
        <w:t xml:space="preserve">, </w:t>
      </w:r>
      <w:r w:rsidRPr="00855D3F" w:rsidR="004E03CB">
        <w:rPr>
          <w:sz w:val="26"/>
        </w:rPr>
        <w:t xml:space="preserve">Aresh </w:t>
      </w:r>
      <w:r w:rsidRPr="00855D3F" w:rsidR="0070042F">
        <w:rPr>
          <w:sz w:val="26"/>
        </w:rPr>
        <w:t>did</w:t>
      </w:r>
      <w:r w:rsidRPr="00855D3F" w:rsidR="004E03CB">
        <w:rPr>
          <w:sz w:val="26"/>
        </w:rPr>
        <w:t xml:space="preserve"> includ</w:t>
      </w:r>
      <w:r w:rsidRPr="00855D3F" w:rsidR="00172306">
        <w:rPr>
          <w:sz w:val="26"/>
        </w:rPr>
        <w:t>e</w:t>
      </w:r>
      <w:r w:rsidRPr="00855D3F" w:rsidR="004E03CB">
        <w:rPr>
          <w:sz w:val="26"/>
        </w:rPr>
        <w:t xml:space="preserve"> </w:t>
      </w:r>
      <w:r w:rsidR="00F258CE">
        <w:rPr>
          <w:sz w:val="26"/>
        </w:rPr>
        <w:t xml:space="preserve">his former </w:t>
      </w:r>
      <w:r w:rsidRPr="00855D3F" w:rsidR="004E03CB">
        <w:rPr>
          <w:sz w:val="26"/>
        </w:rPr>
        <w:t>clients in his lawsuit</w:t>
      </w:r>
      <w:r w:rsidRPr="00855D3F" w:rsidR="00172306">
        <w:rPr>
          <w:sz w:val="26"/>
        </w:rPr>
        <w:t>, thus giving them the opportunity</w:t>
      </w:r>
      <w:r w:rsidRPr="00855D3F" w:rsidR="001469AF">
        <w:rPr>
          <w:sz w:val="26"/>
        </w:rPr>
        <w:t xml:space="preserve"> to be heard</w:t>
      </w:r>
      <w:r w:rsidRPr="00855D3F" w:rsidR="00172306">
        <w:rPr>
          <w:sz w:val="26"/>
        </w:rPr>
        <w:t xml:space="preserve"> </w:t>
      </w:r>
      <w:r w:rsidRPr="00855D3F" w:rsidR="008C46AD">
        <w:rPr>
          <w:sz w:val="26"/>
        </w:rPr>
        <w:t xml:space="preserve">that </w:t>
      </w:r>
      <w:r w:rsidRPr="00855D3F" w:rsidR="00B36497">
        <w:rPr>
          <w:sz w:val="26"/>
        </w:rPr>
        <w:t>was</w:t>
      </w:r>
      <w:r w:rsidRPr="00855D3F" w:rsidR="008C46AD">
        <w:rPr>
          <w:sz w:val="26"/>
        </w:rPr>
        <w:t xml:space="preserve"> improperly </w:t>
      </w:r>
      <w:r w:rsidRPr="00855D3F" w:rsidR="0036654F">
        <w:rPr>
          <w:sz w:val="26"/>
        </w:rPr>
        <w:t xml:space="preserve">denied to the clients in </w:t>
      </w:r>
      <w:r w:rsidRPr="00855D3F" w:rsidR="00E65C2B">
        <w:rPr>
          <w:sz w:val="26"/>
        </w:rPr>
        <w:t xml:space="preserve">that case.  </w:t>
      </w:r>
      <w:r w:rsidR="00F768D2">
        <w:rPr>
          <w:sz w:val="26"/>
        </w:rPr>
        <w:t>T</w:t>
      </w:r>
      <w:r w:rsidRPr="00855D3F" w:rsidR="0043429F">
        <w:rPr>
          <w:sz w:val="26"/>
        </w:rPr>
        <w:t>he issue</w:t>
      </w:r>
      <w:r w:rsidRPr="00855D3F" w:rsidR="00FB7CFA">
        <w:rPr>
          <w:sz w:val="26"/>
        </w:rPr>
        <w:t xml:space="preserve"> of simultaneous litigation</w:t>
      </w:r>
      <w:r w:rsidRPr="00855D3F" w:rsidR="0043429F">
        <w:rPr>
          <w:sz w:val="26"/>
        </w:rPr>
        <w:t xml:space="preserve"> was</w:t>
      </w:r>
      <w:r w:rsidRPr="00855D3F" w:rsidR="004E03CB">
        <w:rPr>
          <w:sz w:val="26"/>
        </w:rPr>
        <w:t xml:space="preserve"> </w:t>
      </w:r>
      <w:r w:rsidRPr="00855D3F" w:rsidR="00E65C2B">
        <w:rPr>
          <w:sz w:val="26"/>
        </w:rPr>
        <w:t xml:space="preserve">never raised in </w:t>
      </w:r>
      <w:bookmarkStart w:id="5" w:name="dabmci_8821cb2471c54efb9c6d48290aaaae17"/>
      <w:r w:rsidRPr="00855D3F" w:rsidR="00014222">
        <w:rPr>
          <w:i/>
          <w:iCs/>
          <w:sz w:val="26"/>
        </w:rPr>
        <w:t>Mojtahedi</w:t>
      </w:r>
      <w:bookmarkEnd w:id="5"/>
      <w:r w:rsidR="00F768D2">
        <w:rPr>
          <w:sz w:val="26"/>
        </w:rPr>
        <w:t>.</w:t>
      </w:r>
      <w:r w:rsidR="001D0E5C">
        <w:rPr>
          <w:sz w:val="26"/>
        </w:rPr>
        <w:t xml:space="preserve"> </w:t>
      </w:r>
      <w:r w:rsidRPr="00855D3F" w:rsidR="00E65C2B">
        <w:rPr>
          <w:sz w:val="26"/>
        </w:rPr>
        <w:t xml:space="preserve"> </w:t>
      </w:r>
    </w:p>
  </w:footnote>
  <w:footnote w:id="6">
    <w:p w:rsidR="008538CC" w:rsidRPr="00855D3F" w:rsidP="00855D3F" w14:paraId="20FFCE0F" w14:textId="505D50F4">
      <w:pPr>
        <w:pStyle w:val="FootnoteText"/>
        <w:spacing w:after="240"/>
        <w:rPr>
          <w:sz w:val="26"/>
        </w:rPr>
      </w:pPr>
      <w:r>
        <w:rPr>
          <w:sz w:val="26"/>
        </w:rPr>
        <w:tab/>
      </w:r>
      <w:r w:rsidRPr="00855D3F">
        <w:rPr>
          <w:rStyle w:val="FootnoteReference"/>
          <w:sz w:val="26"/>
        </w:rPr>
        <w:footnoteRef/>
      </w:r>
      <w:r w:rsidRPr="00855D3F">
        <w:rPr>
          <w:sz w:val="26"/>
        </w:rPr>
        <w:tab/>
        <w:t xml:space="preserve">It is unclear whether Williams has </w:t>
      </w:r>
      <w:r w:rsidRPr="00855D3F" w:rsidR="00317DB1">
        <w:rPr>
          <w:sz w:val="26"/>
        </w:rPr>
        <w:t xml:space="preserve">taken any steps to </w:t>
      </w:r>
      <w:r w:rsidRPr="00855D3F" w:rsidR="0078659C">
        <w:rPr>
          <w:sz w:val="26"/>
        </w:rPr>
        <w:t xml:space="preserve">establish </w:t>
      </w:r>
      <w:r w:rsidRPr="00855D3F" w:rsidR="00A43F9E">
        <w:rPr>
          <w:sz w:val="26"/>
        </w:rPr>
        <w:t>t</w:t>
      </w:r>
      <w:r w:rsidRPr="00855D3F" w:rsidR="0078659C">
        <w:rPr>
          <w:sz w:val="26"/>
        </w:rPr>
        <w:t xml:space="preserve">he validity </w:t>
      </w:r>
      <w:r w:rsidRPr="00855D3F" w:rsidR="00610485">
        <w:rPr>
          <w:sz w:val="26"/>
        </w:rPr>
        <w:t>and</w:t>
      </w:r>
      <w:r w:rsidRPr="00855D3F" w:rsidR="0078659C">
        <w:rPr>
          <w:sz w:val="26"/>
        </w:rPr>
        <w:t xml:space="preserve"> value of his own </w:t>
      </w:r>
      <w:r w:rsidRPr="00855D3F" w:rsidR="00E073E4">
        <w:rPr>
          <w:sz w:val="26"/>
        </w:rPr>
        <w:t>contractual attorney f</w:t>
      </w:r>
      <w:r w:rsidRPr="00855D3F" w:rsidR="0078659C">
        <w:rPr>
          <w:sz w:val="26"/>
        </w:rPr>
        <w:t>ee lien</w:t>
      </w:r>
      <w:r w:rsidRPr="00855D3F" w:rsidR="00AA6BCF">
        <w:rPr>
          <w:sz w:val="26"/>
        </w:rPr>
        <w:t>s</w:t>
      </w:r>
      <w:r w:rsidRPr="00855D3F" w:rsidR="0078659C">
        <w:rPr>
          <w:sz w:val="26"/>
        </w:rPr>
        <w:t xml:space="preserve"> against the</w:t>
      </w:r>
      <w:r w:rsidR="00F26C13">
        <w:rPr>
          <w:sz w:val="26"/>
        </w:rPr>
        <w:t xml:space="preserve"> former</w:t>
      </w:r>
      <w:r w:rsidRPr="00855D3F" w:rsidR="0078659C">
        <w:rPr>
          <w:sz w:val="26"/>
        </w:rPr>
        <w:t xml:space="preserve"> clients</w:t>
      </w:r>
      <w:r w:rsidRPr="00855D3F" w:rsidR="00AF1640">
        <w:rPr>
          <w:sz w:val="26"/>
        </w:rPr>
        <w:t>’</w:t>
      </w:r>
      <w:r w:rsidRPr="00855D3F" w:rsidR="00520186">
        <w:rPr>
          <w:sz w:val="26"/>
        </w:rPr>
        <w:t xml:space="preserve"> settlement funds</w:t>
      </w:r>
      <w:r w:rsidRPr="00855D3F" w:rsidR="00F73DD7">
        <w:rPr>
          <w:sz w:val="26"/>
        </w:rPr>
        <w:t>, as he insisted Aresh was obligated to do</w:t>
      </w:r>
      <w:r w:rsidRPr="00855D3F" w:rsidR="0078659C">
        <w:rPr>
          <w:sz w:val="26"/>
        </w:rPr>
        <w:t xml:space="preserve">.  </w:t>
      </w:r>
      <w:r w:rsidRPr="00855D3F" w:rsidR="00825506">
        <w:rPr>
          <w:sz w:val="26"/>
        </w:rPr>
        <w:t xml:space="preserve">If </w:t>
      </w:r>
      <w:r w:rsidRPr="00855D3F" w:rsidR="00D359AF">
        <w:rPr>
          <w:sz w:val="26"/>
        </w:rPr>
        <w:t>one or more</w:t>
      </w:r>
      <w:r w:rsidRPr="00855D3F" w:rsidR="00F73DD7">
        <w:rPr>
          <w:sz w:val="26"/>
        </w:rPr>
        <w:t xml:space="preserve"> of the clients</w:t>
      </w:r>
      <w:r w:rsidRPr="00855D3F" w:rsidR="00825506">
        <w:rPr>
          <w:sz w:val="26"/>
        </w:rPr>
        <w:t xml:space="preserve"> dispute</w:t>
      </w:r>
      <w:r w:rsidRPr="00855D3F" w:rsidR="00610485">
        <w:rPr>
          <w:sz w:val="26"/>
        </w:rPr>
        <w:t xml:space="preserve"> </w:t>
      </w:r>
      <w:r w:rsidRPr="00855D3F" w:rsidR="00A715F1">
        <w:rPr>
          <w:sz w:val="26"/>
        </w:rPr>
        <w:t xml:space="preserve">the validity of </w:t>
      </w:r>
      <w:r w:rsidRPr="00855D3F" w:rsidR="00825506">
        <w:rPr>
          <w:sz w:val="26"/>
        </w:rPr>
        <w:t>Williams</w:t>
      </w:r>
      <w:r w:rsidRPr="00855D3F" w:rsidR="00AF1640">
        <w:rPr>
          <w:sz w:val="26"/>
        </w:rPr>
        <w:t>’</w:t>
      </w:r>
      <w:r w:rsidR="00232841">
        <w:rPr>
          <w:sz w:val="26"/>
        </w:rPr>
        <w:t>s</w:t>
      </w:r>
      <w:r w:rsidR="00F26C13">
        <w:rPr>
          <w:sz w:val="26"/>
        </w:rPr>
        <w:t xml:space="preserve"> </w:t>
      </w:r>
      <w:r w:rsidRPr="00855D3F" w:rsidR="00A715F1">
        <w:rPr>
          <w:sz w:val="26"/>
        </w:rPr>
        <w:t xml:space="preserve">lien, his </w:t>
      </w:r>
      <w:r w:rsidRPr="00855D3F" w:rsidR="00B6799C">
        <w:rPr>
          <w:sz w:val="26"/>
        </w:rPr>
        <w:t>entitlement to fees</w:t>
      </w:r>
      <w:r w:rsidRPr="00855D3F" w:rsidR="00387D44">
        <w:rPr>
          <w:sz w:val="26"/>
        </w:rPr>
        <w:t>,</w:t>
      </w:r>
      <w:r w:rsidRPr="00855D3F" w:rsidR="00A715F1">
        <w:rPr>
          <w:sz w:val="26"/>
        </w:rPr>
        <w:t xml:space="preserve"> or the amount he is entitled to</w:t>
      </w:r>
      <w:r w:rsidRPr="00855D3F" w:rsidR="00387D44">
        <w:rPr>
          <w:sz w:val="26"/>
        </w:rPr>
        <w:t xml:space="preserve">, </w:t>
      </w:r>
      <w:r w:rsidRPr="00855D3F" w:rsidR="00825506">
        <w:rPr>
          <w:sz w:val="26"/>
        </w:rPr>
        <w:t xml:space="preserve">that </w:t>
      </w:r>
      <w:r w:rsidRPr="00855D3F" w:rsidR="00F33E26">
        <w:rPr>
          <w:sz w:val="26"/>
        </w:rPr>
        <w:t xml:space="preserve">dispute </w:t>
      </w:r>
      <w:r w:rsidR="00610912">
        <w:rPr>
          <w:sz w:val="26"/>
        </w:rPr>
        <w:t xml:space="preserve">must </w:t>
      </w:r>
      <w:r w:rsidRPr="00855D3F" w:rsidR="00F33E26">
        <w:rPr>
          <w:sz w:val="26"/>
        </w:rPr>
        <w:t xml:space="preserve">be resolved in an action between </w:t>
      </w:r>
      <w:r w:rsidR="008A1F0F">
        <w:rPr>
          <w:sz w:val="26"/>
        </w:rPr>
        <w:t>Williams</w:t>
      </w:r>
      <w:r w:rsidRPr="00855D3F" w:rsidR="00F33E26">
        <w:rPr>
          <w:sz w:val="26"/>
        </w:rPr>
        <w:t xml:space="preserve"> and the </w:t>
      </w:r>
      <w:r w:rsidR="00F26C13">
        <w:rPr>
          <w:sz w:val="26"/>
        </w:rPr>
        <w:t xml:space="preserve">former </w:t>
      </w:r>
      <w:r w:rsidRPr="00855D3F" w:rsidR="00F33E26">
        <w:rPr>
          <w:sz w:val="26"/>
        </w:rPr>
        <w:t>client</w:t>
      </w:r>
      <w:r w:rsidR="00E16209">
        <w:rPr>
          <w:sz w:val="26"/>
        </w:rPr>
        <w:t>s</w:t>
      </w:r>
      <w:r w:rsidRPr="00855D3F" w:rsidR="00F33E26">
        <w:rPr>
          <w:sz w:val="26"/>
        </w:rPr>
        <w:t xml:space="preserve">. </w:t>
      </w:r>
      <w:r w:rsidRPr="00855D3F" w:rsidR="002C2F77">
        <w:rPr>
          <w:sz w:val="26"/>
        </w:rPr>
        <w:t xml:space="preserve"> </w:t>
      </w:r>
    </w:p>
  </w:footnote>
  <w:footnote w:id="7">
    <w:p w:rsidR="000D56A9" w:rsidRPr="00855D3F" w:rsidP="00855D3F" w14:paraId="6D5AA27B" w14:textId="212C9B78">
      <w:pPr>
        <w:pStyle w:val="FootnoteText"/>
        <w:spacing w:after="240"/>
        <w:rPr>
          <w:sz w:val="26"/>
        </w:rPr>
      </w:pPr>
      <w:r>
        <w:rPr>
          <w:sz w:val="26"/>
        </w:rPr>
        <w:tab/>
      </w:r>
      <w:r w:rsidRPr="00855D3F">
        <w:rPr>
          <w:rStyle w:val="FootnoteReference"/>
          <w:sz w:val="26"/>
        </w:rPr>
        <w:footnoteRef/>
      </w:r>
      <w:r w:rsidRPr="00855D3F" w:rsidR="00C41E38">
        <w:rPr>
          <w:sz w:val="26"/>
        </w:rPr>
        <w:tab/>
        <w:t>Williams</w:t>
      </w:r>
      <w:r w:rsidRPr="00855D3F" w:rsidR="00AF1640">
        <w:rPr>
          <w:sz w:val="26"/>
        </w:rPr>
        <w:t>’</w:t>
      </w:r>
      <w:r w:rsidRPr="00855D3F" w:rsidR="0057438E">
        <w:rPr>
          <w:sz w:val="26"/>
        </w:rPr>
        <w:t>s</w:t>
      </w:r>
      <w:r w:rsidRPr="00855D3F" w:rsidR="008F70D5">
        <w:rPr>
          <w:sz w:val="26"/>
        </w:rPr>
        <w:t xml:space="preserve"> contention that the </w:t>
      </w:r>
      <w:r w:rsidRPr="00855D3F" w:rsidR="00AF1640">
        <w:rPr>
          <w:sz w:val="26"/>
        </w:rPr>
        <w:t>“</w:t>
      </w:r>
      <w:r w:rsidRPr="00855D3F" w:rsidR="00915DC6">
        <w:rPr>
          <w:sz w:val="26"/>
        </w:rPr>
        <w:t>percentage split of attorneys</w:t>
      </w:r>
      <w:r w:rsidRPr="00855D3F" w:rsidR="00AF1640">
        <w:rPr>
          <w:sz w:val="26"/>
        </w:rPr>
        <w:t>’</w:t>
      </w:r>
      <w:r w:rsidRPr="00855D3F" w:rsidR="00915DC6">
        <w:rPr>
          <w:sz w:val="26"/>
        </w:rPr>
        <w:t xml:space="preserve"> fees between a discharged attorney and subsequent attorney is a matter to be determined after the discharged attorney brings a separate action against the former clients to determine the lien</w:t>
      </w:r>
      <w:r w:rsidRPr="00855D3F" w:rsidR="00AF1640">
        <w:rPr>
          <w:sz w:val="26"/>
        </w:rPr>
        <w:t>’</w:t>
      </w:r>
      <w:r w:rsidRPr="00855D3F" w:rsidR="00915DC6">
        <w:rPr>
          <w:sz w:val="26"/>
        </w:rPr>
        <w:t>s validity</w:t>
      </w:r>
      <w:r w:rsidRPr="00855D3F" w:rsidR="0057438E">
        <w:rPr>
          <w:sz w:val="26"/>
        </w:rPr>
        <w:t>,</w:t>
      </w:r>
      <w:r w:rsidRPr="00855D3F" w:rsidR="00915DC6">
        <w:rPr>
          <w:sz w:val="26"/>
        </w:rPr>
        <w:t xml:space="preserve"> value</w:t>
      </w:r>
      <w:r w:rsidRPr="00855D3F" w:rsidR="0057438E">
        <w:rPr>
          <w:sz w:val="26"/>
        </w:rPr>
        <w:t>,</w:t>
      </w:r>
      <w:r w:rsidRPr="00855D3F" w:rsidR="00915DC6">
        <w:rPr>
          <w:sz w:val="26"/>
        </w:rPr>
        <w:t xml:space="preserve"> and enforceability</w:t>
      </w:r>
      <w:r w:rsidRPr="00855D3F" w:rsidR="00AF1640">
        <w:rPr>
          <w:sz w:val="26"/>
        </w:rPr>
        <w:t>”</w:t>
      </w:r>
      <w:r w:rsidRPr="00855D3F" w:rsidR="00915DC6">
        <w:rPr>
          <w:sz w:val="26"/>
        </w:rPr>
        <w:t xml:space="preserve"> </w:t>
      </w:r>
      <w:r w:rsidRPr="00855D3F" w:rsidR="0057438E">
        <w:rPr>
          <w:sz w:val="26"/>
        </w:rPr>
        <w:t xml:space="preserve">appears to be based on a </w:t>
      </w:r>
      <w:r w:rsidR="000D4EE2">
        <w:rPr>
          <w:sz w:val="26"/>
        </w:rPr>
        <w:t>misreading</w:t>
      </w:r>
      <w:r w:rsidRPr="00855D3F" w:rsidR="0057438E">
        <w:rPr>
          <w:sz w:val="26"/>
        </w:rPr>
        <w:t xml:space="preserve"> of </w:t>
      </w:r>
      <w:r w:rsidRPr="00855D3F" w:rsidR="0057438E">
        <w:rPr>
          <w:i/>
          <w:iCs/>
          <w:sz w:val="26"/>
        </w:rPr>
        <w:t>Mo</w:t>
      </w:r>
      <w:r w:rsidR="00CD356F">
        <w:rPr>
          <w:i/>
          <w:iCs/>
          <w:sz w:val="26"/>
        </w:rPr>
        <w:t>jtahedi</w:t>
      </w:r>
      <w:r w:rsidRPr="00855D3F" w:rsidR="0057438E">
        <w:rPr>
          <w:sz w:val="26"/>
        </w:rPr>
        <w:t xml:space="preserve">. </w:t>
      </w:r>
      <w:r w:rsidRPr="00855D3F" w:rsidR="002C20EC">
        <w:rPr>
          <w:sz w:val="26"/>
        </w:rPr>
        <w:t xml:space="preserve"> </w:t>
      </w:r>
      <w:r w:rsidR="004707AA">
        <w:rPr>
          <w:sz w:val="26"/>
        </w:rPr>
        <w:t>That case</w:t>
      </w:r>
      <w:r w:rsidRPr="00855D3F" w:rsidR="00FB4D16">
        <w:rPr>
          <w:sz w:val="26"/>
        </w:rPr>
        <w:t xml:space="preserve"> requires only that the first</w:t>
      </w:r>
      <w:r w:rsidRPr="00855D3F" w:rsidR="00A12D67">
        <w:rPr>
          <w:sz w:val="26"/>
        </w:rPr>
        <w:t xml:space="preserve"> </w:t>
      </w:r>
      <w:r w:rsidRPr="00855D3F" w:rsidR="00FB4D16">
        <w:rPr>
          <w:sz w:val="26"/>
        </w:rPr>
        <w:t xml:space="preserve">attorney establish the </w:t>
      </w:r>
      <w:r w:rsidRPr="00855D3F" w:rsidR="00724BCE">
        <w:rPr>
          <w:sz w:val="26"/>
        </w:rPr>
        <w:t>validity an</w:t>
      </w:r>
      <w:r w:rsidRPr="00855D3F" w:rsidR="00CD28B3">
        <w:rPr>
          <w:sz w:val="26"/>
        </w:rPr>
        <w:t>d the</w:t>
      </w:r>
      <w:r w:rsidRPr="00855D3F" w:rsidR="00724BCE">
        <w:rPr>
          <w:sz w:val="26"/>
        </w:rPr>
        <w:t xml:space="preserve"> amount of the </w:t>
      </w:r>
      <w:r w:rsidRPr="00855D3F" w:rsidR="00A12D67">
        <w:rPr>
          <w:sz w:val="26"/>
        </w:rPr>
        <w:t xml:space="preserve">lien claim as against the clients before he can compel the </w:t>
      </w:r>
      <w:r w:rsidRPr="00855D3F" w:rsidR="007C2FB9">
        <w:rPr>
          <w:sz w:val="26"/>
        </w:rPr>
        <w:t xml:space="preserve">second attorney to pay </w:t>
      </w:r>
      <w:r w:rsidRPr="002F6D65" w:rsidR="00ED2728">
        <w:rPr>
          <w:sz w:val="26"/>
        </w:rPr>
        <w:t>that amount</w:t>
      </w:r>
      <w:r w:rsidRPr="00855D3F" w:rsidR="007C2FB9">
        <w:rPr>
          <w:sz w:val="26"/>
        </w:rPr>
        <w:t xml:space="preserve"> out of the settlement funds.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4B058D1"/>
    <w:multiLevelType w:val="hybridMultilevel"/>
    <w:tmpl w:val="5FE2CC98"/>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D30"/>
    <w:rsid w:val="00002278"/>
    <w:rsid w:val="0000387D"/>
    <w:rsid w:val="00007A23"/>
    <w:rsid w:val="000115E2"/>
    <w:rsid w:val="000134DA"/>
    <w:rsid w:val="00013E62"/>
    <w:rsid w:val="00013EA3"/>
    <w:rsid w:val="00014222"/>
    <w:rsid w:val="00014F26"/>
    <w:rsid w:val="000226DF"/>
    <w:rsid w:val="0003090B"/>
    <w:rsid w:val="00032EA8"/>
    <w:rsid w:val="00033A5A"/>
    <w:rsid w:val="00036C6B"/>
    <w:rsid w:val="00037459"/>
    <w:rsid w:val="000376A5"/>
    <w:rsid w:val="0004452A"/>
    <w:rsid w:val="0004453C"/>
    <w:rsid w:val="00044598"/>
    <w:rsid w:val="00047C13"/>
    <w:rsid w:val="0005020A"/>
    <w:rsid w:val="00054B2B"/>
    <w:rsid w:val="00055103"/>
    <w:rsid w:val="00056EC2"/>
    <w:rsid w:val="0006029F"/>
    <w:rsid w:val="00061393"/>
    <w:rsid w:val="00063567"/>
    <w:rsid w:val="000652F9"/>
    <w:rsid w:val="00065700"/>
    <w:rsid w:val="000708B8"/>
    <w:rsid w:val="00072128"/>
    <w:rsid w:val="00076B1B"/>
    <w:rsid w:val="00077F46"/>
    <w:rsid w:val="000818CF"/>
    <w:rsid w:val="000855FE"/>
    <w:rsid w:val="00085947"/>
    <w:rsid w:val="00087417"/>
    <w:rsid w:val="00091B21"/>
    <w:rsid w:val="000932FB"/>
    <w:rsid w:val="0009492B"/>
    <w:rsid w:val="000A06C2"/>
    <w:rsid w:val="000A1512"/>
    <w:rsid w:val="000B396C"/>
    <w:rsid w:val="000B44BE"/>
    <w:rsid w:val="000B68D0"/>
    <w:rsid w:val="000C385E"/>
    <w:rsid w:val="000C620A"/>
    <w:rsid w:val="000C6B7C"/>
    <w:rsid w:val="000C7A56"/>
    <w:rsid w:val="000D1B91"/>
    <w:rsid w:val="000D4EE2"/>
    <w:rsid w:val="000D56A9"/>
    <w:rsid w:val="000D5F04"/>
    <w:rsid w:val="000E151A"/>
    <w:rsid w:val="000E75FE"/>
    <w:rsid w:val="000F6D53"/>
    <w:rsid w:val="000F7E5D"/>
    <w:rsid w:val="00102043"/>
    <w:rsid w:val="0010536A"/>
    <w:rsid w:val="00114CF5"/>
    <w:rsid w:val="001155DD"/>
    <w:rsid w:val="0012318D"/>
    <w:rsid w:val="00127260"/>
    <w:rsid w:val="00130668"/>
    <w:rsid w:val="00131C3C"/>
    <w:rsid w:val="00133DB3"/>
    <w:rsid w:val="001375E6"/>
    <w:rsid w:val="001414A6"/>
    <w:rsid w:val="001469AF"/>
    <w:rsid w:val="00155045"/>
    <w:rsid w:val="0015601F"/>
    <w:rsid w:val="00162291"/>
    <w:rsid w:val="00162651"/>
    <w:rsid w:val="00162E2E"/>
    <w:rsid w:val="00165A07"/>
    <w:rsid w:val="001678F1"/>
    <w:rsid w:val="0017211B"/>
    <w:rsid w:val="00172306"/>
    <w:rsid w:val="00173F6D"/>
    <w:rsid w:val="00180336"/>
    <w:rsid w:val="001816C1"/>
    <w:rsid w:val="00182554"/>
    <w:rsid w:val="00185D30"/>
    <w:rsid w:val="0019365E"/>
    <w:rsid w:val="001A2913"/>
    <w:rsid w:val="001A3B7C"/>
    <w:rsid w:val="001A5634"/>
    <w:rsid w:val="001A78C9"/>
    <w:rsid w:val="001B0009"/>
    <w:rsid w:val="001B5809"/>
    <w:rsid w:val="001C24E5"/>
    <w:rsid w:val="001C2BF3"/>
    <w:rsid w:val="001C3F4C"/>
    <w:rsid w:val="001C4782"/>
    <w:rsid w:val="001C4E5A"/>
    <w:rsid w:val="001C75AB"/>
    <w:rsid w:val="001D0E5C"/>
    <w:rsid w:val="001D17B0"/>
    <w:rsid w:val="001D35DB"/>
    <w:rsid w:val="001D67A2"/>
    <w:rsid w:val="001E278A"/>
    <w:rsid w:val="001E7A50"/>
    <w:rsid w:val="001F0671"/>
    <w:rsid w:val="001F0FCF"/>
    <w:rsid w:val="001F2FEF"/>
    <w:rsid w:val="001F3CDA"/>
    <w:rsid w:val="001F3FCD"/>
    <w:rsid w:val="001F5DF7"/>
    <w:rsid w:val="001F6180"/>
    <w:rsid w:val="00200967"/>
    <w:rsid w:val="00200D86"/>
    <w:rsid w:val="00201FDA"/>
    <w:rsid w:val="00204097"/>
    <w:rsid w:val="002046D1"/>
    <w:rsid w:val="00205F7F"/>
    <w:rsid w:val="002078DB"/>
    <w:rsid w:val="002116AB"/>
    <w:rsid w:val="002136BE"/>
    <w:rsid w:val="00215A9C"/>
    <w:rsid w:val="00223081"/>
    <w:rsid w:val="00225F49"/>
    <w:rsid w:val="00226EF0"/>
    <w:rsid w:val="002327C7"/>
    <w:rsid w:val="00232841"/>
    <w:rsid w:val="002509D6"/>
    <w:rsid w:val="00251286"/>
    <w:rsid w:val="002533B8"/>
    <w:rsid w:val="002611FA"/>
    <w:rsid w:val="00270A06"/>
    <w:rsid w:val="00270B20"/>
    <w:rsid w:val="002724B4"/>
    <w:rsid w:val="00272DAB"/>
    <w:rsid w:val="002732C6"/>
    <w:rsid w:val="00273735"/>
    <w:rsid w:val="00273CFF"/>
    <w:rsid w:val="00275A89"/>
    <w:rsid w:val="002808CB"/>
    <w:rsid w:val="00286B3E"/>
    <w:rsid w:val="0029314C"/>
    <w:rsid w:val="002950B5"/>
    <w:rsid w:val="002952D2"/>
    <w:rsid w:val="002A1442"/>
    <w:rsid w:val="002A3361"/>
    <w:rsid w:val="002A673B"/>
    <w:rsid w:val="002B2021"/>
    <w:rsid w:val="002B371D"/>
    <w:rsid w:val="002B55AF"/>
    <w:rsid w:val="002B55D1"/>
    <w:rsid w:val="002B658C"/>
    <w:rsid w:val="002C0156"/>
    <w:rsid w:val="002C20EC"/>
    <w:rsid w:val="002C224A"/>
    <w:rsid w:val="002C2F77"/>
    <w:rsid w:val="002C7C80"/>
    <w:rsid w:val="002D02A8"/>
    <w:rsid w:val="002D1205"/>
    <w:rsid w:val="002D1DD1"/>
    <w:rsid w:val="002E0166"/>
    <w:rsid w:val="002E69BE"/>
    <w:rsid w:val="002F3636"/>
    <w:rsid w:val="002F3FE6"/>
    <w:rsid w:val="002F6D65"/>
    <w:rsid w:val="002F77B1"/>
    <w:rsid w:val="002F7BE5"/>
    <w:rsid w:val="002F7DE2"/>
    <w:rsid w:val="00307946"/>
    <w:rsid w:val="00310D72"/>
    <w:rsid w:val="003115CD"/>
    <w:rsid w:val="003169EE"/>
    <w:rsid w:val="00317DB1"/>
    <w:rsid w:val="00317E33"/>
    <w:rsid w:val="00320FBF"/>
    <w:rsid w:val="003211FD"/>
    <w:rsid w:val="00321E5D"/>
    <w:rsid w:val="003230DB"/>
    <w:rsid w:val="0032684E"/>
    <w:rsid w:val="00331BD4"/>
    <w:rsid w:val="00341C05"/>
    <w:rsid w:val="00346C2A"/>
    <w:rsid w:val="00347431"/>
    <w:rsid w:val="00354543"/>
    <w:rsid w:val="00354C7D"/>
    <w:rsid w:val="00354FBD"/>
    <w:rsid w:val="0035524A"/>
    <w:rsid w:val="00356B46"/>
    <w:rsid w:val="00363F3E"/>
    <w:rsid w:val="003643C4"/>
    <w:rsid w:val="00365895"/>
    <w:rsid w:val="00366369"/>
    <w:rsid w:val="0036654F"/>
    <w:rsid w:val="003666D2"/>
    <w:rsid w:val="00367103"/>
    <w:rsid w:val="00370748"/>
    <w:rsid w:val="00371BBA"/>
    <w:rsid w:val="00372190"/>
    <w:rsid w:val="00373A81"/>
    <w:rsid w:val="00374756"/>
    <w:rsid w:val="003755BD"/>
    <w:rsid w:val="00380ED4"/>
    <w:rsid w:val="0038175B"/>
    <w:rsid w:val="003817F6"/>
    <w:rsid w:val="00382D5F"/>
    <w:rsid w:val="00383565"/>
    <w:rsid w:val="00383F09"/>
    <w:rsid w:val="00385456"/>
    <w:rsid w:val="00385EA5"/>
    <w:rsid w:val="00387762"/>
    <w:rsid w:val="00387B37"/>
    <w:rsid w:val="00387D44"/>
    <w:rsid w:val="003908EB"/>
    <w:rsid w:val="0039416E"/>
    <w:rsid w:val="00396438"/>
    <w:rsid w:val="003A25BB"/>
    <w:rsid w:val="003B0E3F"/>
    <w:rsid w:val="003B620D"/>
    <w:rsid w:val="003C2ADB"/>
    <w:rsid w:val="003C4F47"/>
    <w:rsid w:val="003C5C0E"/>
    <w:rsid w:val="003C624D"/>
    <w:rsid w:val="003C736E"/>
    <w:rsid w:val="003D2033"/>
    <w:rsid w:val="003D6B3C"/>
    <w:rsid w:val="003D7E00"/>
    <w:rsid w:val="003E2297"/>
    <w:rsid w:val="003E31E2"/>
    <w:rsid w:val="003E52FF"/>
    <w:rsid w:val="003F72F8"/>
    <w:rsid w:val="004006F3"/>
    <w:rsid w:val="004009B9"/>
    <w:rsid w:val="004065BD"/>
    <w:rsid w:val="004150B7"/>
    <w:rsid w:val="004172DD"/>
    <w:rsid w:val="00420D7C"/>
    <w:rsid w:val="004304CC"/>
    <w:rsid w:val="00433412"/>
    <w:rsid w:val="0043429F"/>
    <w:rsid w:val="0044309A"/>
    <w:rsid w:val="004431D6"/>
    <w:rsid w:val="00443215"/>
    <w:rsid w:val="00445017"/>
    <w:rsid w:val="00445AC7"/>
    <w:rsid w:val="00446417"/>
    <w:rsid w:val="00447B42"/>
    <w:rsid w:val="004502DD"/>
    <w:rsid w:val="00452DEF"/>
    <w:rsid w:val="004545E9"/>
    <w:rsid w:val="00460670"/>
    <w:rsid w:val="0046408E"/>
    <w:rsid w:val="00467F2E"/>
    <w:rsid w:val="004707AA"/>
    <w:rsid w:val="004714AE"/>
    <w:rsid w:val="004733D7"/>
    <w:rsid w:val="004734FD"/>
    <w:rsid w:val="00474659"/>
    <w:rsid w:val="00476306"/>
    <w:rsid w:val="00476CB1"/>
    <w:rsid w:val="00480B88"/>
    <w:rsid w:val="00484EEA"/>
    <w:rsid w:val="004859B0"/>
    <w:rsid w:val="00485ABB"/>
    <w:rsid w:val="00485B40"/>
    <w:rsid w:val="004863F1"/>
    <w:rsid w:val="004901CB"/>
    <w:rsid w:val="0049037F"/>
    <w:rsid w:val="00492185"/>
    <w:rsid w:val="004952F9"/>
    <w:rsid w:val="004958D4"/>
    <w:rsid w:val="004A441E"/>
    <w:rsid w:val="004A7450"/>
    <w:rsid w:val="004B3367"/>
    <w:rsid w:val="004C01B7"/>
    <w:rsid w:val="004C253F"/>
    <w:rsid w:val="004C2F8C"/>
    <w:rsid w:val="004D1AFA"/>
    <w:rsid w:val="004D444D"/>
    <w:rsid w:val="004D60F3"/>
    <w:rsid w:val="004E03CB"/>
    <w:rsid w:val="004E2975"/>
    <w:rsid w:val="004E4B9C"/>
    <w:rsid w:val="004F3114"/>
    <w:rsid w:val="004F6650"/>
    <w:rsid w:val="00503472"/>
    <w:rsid w:val="00505B7B"/>
    <w:rsid w:val="00506F5D"/>
    <w:rsid w:val="005072D0"/>
    <w:rsid w:val="00507D10"/>
    <w:rsid w:val="00513A8F"/>
    <w:rsid w:val="00514245"/>
    <w:rsid w:val="00515539"/>
    <w:rsid w:val="0051614B"/>
    <w:rsid w:val="0051673E"/>
    <w:rsid w:val="005170B6"/>
    <w:rsid w:val="00520186"/>
    <w:rsid w:val="00522F65"/>
    <w:rsid w:val="00527E73"/>
    <w:rsid w:val="0053648C"/>
    <w:rsid w:val="00540A2D"/>
    <w:rsid w:val="00545F32"/>
    <w:rsid w:val="00552C32"/>
    <w:rsid w:val="005575BE"/>
    <w:rsid w:val="0056167D"/>
    <w:rsid w:val="00561E75"/>
    <w:rsid w:val="00562604"/>
    <w:rsid w:val="005633FD"/>
    <w:rsid w:val="00567743"/>
    <w:rsid w:val="0057175F"/>
    <w:rsid w:val="0057438E"/>
    <w:rsid w:val="00576B69"/>
    <w:rsid w:val="005803CD"/>
    <w:rsid w:val="005829DA"/>
    <w:rsid w:val="00584166"/>
    <w:rsid w:val="00586A1B"/>
    <w:rsid w:val="00595DE1"/>
    <w:rsid w:val="005A0596"/>
    <w:rsid w:val="005A0F6E"/>
    <w:rsid w:val="005A34F1"/>
    <w:rsid w:val="005A6EA3"/>
    <w:rsid w:val="005B1CCF"/>
    <w:rsid w:val="005B239D"/>
    <w:rsid w:val="005B58F0"/>
    <w:rsid w:val="005C0049"/>
    <w:rsid w:val="005C0A3A"/>
    <w:rsid w:val="005C38D4"/>
    <w:rsid w:val="005C6755"/>
    <w:rsid w:val="005C76E4"/>
    <w:rsid w:val="005D1AE9"/>
    <w:rsid w:val="005D3151"/>
    <w:rsid w:val="005D34B8"/>
    <w:rsid w:val="005D4A8C"/>
    <w:rsid w:val="005D6173"/>
    <w:rsid w:val="005E0560"/>
    <w:rsid w:val="005E33EE"/>
    <w:rsid w:val="005E46F4"/>
    <w:rsid w:val="005E53B6"/>
    <w:rsid w:val="005E5B2E"/>
    <w:rsid w:val="005E6105"/>
    <w:rsid w:val="005E770B"/>
    <w:rsid w:val="005F6305"/>
    <w:rsid w:val="0060087B"/>
    <w:rsid w:val="00600C33"/>
    <w:rsid w:val="00601152"/>
    <w:rsid w:val="0060183C"/>
    <w:rsid w:val="006051CE"/>
    <w:rsid w:val="00605286"/>
    <w:rsid w:val="00606B9D"/>
    <w:rsid w:val="00606BE2"/>
    <w:rsid w:val="00607F77"/>
    <w:rsid w:val="00610485"/>
    <w:rsid w:val="00610912"/>
    <w:rsid w:val="006114FA"/>
    <w:rsid w:val="00615B88"/>
    <w:rsid w:val="00620562"/>
    <w:rsid w:val="00625016"/>
    <w:rsid w:val="00631728"/>
    <w:rsid w:val="006336CA"/>
    <w:rsid w:val="00633A00"/>
    <w:rsid w:val="00633ECB"/>
    <w:rsid w:val="00634385"/>
    <w:rsid w:val="00636671"/>
    <w:rsid w:val="0065322B"/>
    <w:rsid w:val="00653B39"/>
    <w:rsid w:val="00653F0E"/>
    <w:rsid w:val="006541CE"/>
    <w:rsid w:val="0066270C"/>
    <w:rsid w:val="00665441"/>
    <w:rsid w:val="0066750A"/>
    <w:rsid w:val="00667D8B"/>
    <w:rsid w:val="006730F1"/>
    <w:rsid w:val="00675B4D"/>
    <w:rsid w:val="00675C48"/>
    <w:rsid w:val="0067633B"/>
    <w:rsid w:val="00680313"/>
    <w:rsid w:val="00681B34"/>
    <w:rsid w:val="00682133"/>
    <w:rsid w:val="00683539"/>
    <w:rsid w:val="00686C22"/>
    <w:rsid w:val="0068767B"/>
    <w:rsid w:val="0069345C"/>
    <w:rsid w:val="006A04CE"/>
    <w:rsid w:val="006A241F"/>
    <w:rsid w:val="006A2DE6"/>
    <w:rsid w:val="006A42E2"/>
    <w:rsid w:val="006B0AED"/>
    <w:rsid w:val="006B347C"/>
    <w:rsid w:val="006B4E8C"/>
    <w:rsid w:val="006C331D"/>
    <w:rsid w:val="006D10EE"/>
    <w:rsid w:val="006D3BE0"/>
    <w:rsid w:val="006E03C2"/>
    <w:rsid w:val="006E0B7D"/>
    <w:rsid w:val="006E1ACB"/>
    <w:rsid w:val="006E2C5E"/>
    <w:rsid w:val="006E4EFD"/>
    <w:rsid w:val="006E625A"/>
    <w:rsid w:val="006E6D21"/>
    <w:rsid w:val="006E7436"/>
    <w:rsid w:val="006F43D2"/>
    <w:rsid w:val="006F64F5"/>
    <w:rsid w:val="006F6DF6"/>
    <w:rsid w:val="006F7321"/>
    <w:rsid w:val="0070042F"/>
    <w:rsid w:val="00705AD6"/>
    <w:rsid w:val="00706804"/>
    <w:rsid w:val="007130EA"/>
    <w:rsid w:val="007161E2"/>
    <w:rsid w:val="00720B39"/>
    <w:rsid w:val="00721E73"/>
    <w:rsid w:val="0072243C"/>
    <w:rsid w:val="00724BCE"/>
    <w:rsid w:val="007338ED"/>
    <w:rsid w:val="00735429"/>
    <w:rsid w:val="00736905"/>
    <w:rsid w:val="00737477"/>
    <w:rsid w:val="00737B4A"/>
    <w:rsid w:val="007415F4"/>
    <w:rsid w:val="00741A1C"/>
    <w:rsid w:val="00747672"/>
    <w:rsid w:val="0075450A"/>
    <w:rsid w:val="00755F10"/>
    <w:rsid w:val="00757F81"/>
    <w:rsid w:val="0076654C"/>
    <w:rsid w:val="007668B1"/>
    <w:rsid w:val="00766D26"/>
    <w:rsid w:val="007709F3"/>
    <w:rsid w:val="00771129"/>
    <w:rsid w:val="007716BC"/>
    <w:rsid w:val="007741FD"/>
    <w:rsid w:val="007748FC"/>
    <w:rsid w:val="00775DF7"/>
    <w:rsid w:val="00776646"/>
    <w:rsid w:val="007775C1"/>
    <w:rsid w:val="00782088"/>
    <w:rsid w:val="00785928"/>
    <w:rsid w:val="0078659C"/>
    <w:rsid w:val="00786916"/>
    <w:rsid w:val="00787B7F"/>
    <w:rsid w:val="00793C8F"/>
    <w:rsid w:val="00793D55"/>
    <w:rsid w:val="007979C2"/>
    <w:rsid w:val="007A0F65"/>
    <w:rsid w:val="007A1D51"/>
    <w:rsid w:val="007A2F16"/>
    <w:rsid w:val="007A32C6"/>
    <w:rsid w:val="007A6481"/>
    <w:rsid w:val="007A6B78"/>
    <w:rsid w:val="007B14DD"/>
    <w:rsid w:val="007B1B8A"/>
    <w:rsid w:val="007B70EE"/>
    <w:rsid w:val="007C2995"/>
    <w:rsid w:val="007C2FB9"/>
    <w:rsid w:val="007C3B57"/>
    <w:rsid w:val="007C3F73"/>
    <w:rsid w:val="007C407A"/>
    <w:rsid w:val="007C5046"/>
    <w:rsid w:val="007D2184"/>
    <w:rsid w:val="007D3113"/>
    <w:rsid w:val="007D6419"/>
    <w:rsid w:val="007D7AF2"/>
    <w:rsid w:val="007E0A0C"/>
    <w:rsid w:val="007E0E72"/>
    <w:rsid w:val="007E3705"/>
    <w:rsid w:val="007E47F7"/>
    <w:rsid w:val="007E48CA"/>
    <w:rsid w:val="007E5B99"/>
    <w:rsid w:val="007F1B85"/>
    <w:rsid w:val="007F366F"/>
    <w:rsid w:val="007F7526"/>
    <w:rsid w:val="00802212"/>
    <w:rsid w:val="0080591B"/>
    <w:rsid w:val="00805B38"/>
    <w:rsid w:val="008070A3"/>
    <w:rsid w:val="0080761F"/>
    <w:rsid w:val="00812091"/>
    <w:rsid w:val="008136ED"/>
    <w:rsid w:val="00814A96"/>
    <w:rsid w:val="00815AED"/>
    <w:rsid w:val="008173B1"/>
    <w:rsid w:val="008174F5"/>
    <w:rsid w:val="008177B0"/>
    <w:rsid w:val="00817AA0"/>
    <w:rsid w:val="008202D0"/>
    <w:rsid w:val="008226DA"/>
    <w:rsid w:val="00823570"/>
    <w:rsid w:val="00825506"/>
    <w:rsid w:val="0083334A"/>
    <w:rsid w:val="00833886"/>
    <w:rsid w:val="00835426"/>
    <w:rsid w:val="0083565D"/>
    <w:rsid w:val="00836C56"/>
    <w:rsid w:val="00836FE1"/>
    <w:rsid w:val="00837BAB"/>
    <w:rsid w:val="00851283"/>
    <w:rsid w:val="0085188F"/>
    <w:rsid w:val="0085195A"/>
    <w:rsid w:val="008538CC"/>
    <w:rsid w:val="00855D3F"/>
    <w:rsid w:val="00855F52"/>
    <w:rsid w:val="0085666D"/>
    <w:rsid w:val="00856EF9"/>
    <w:rsid w:val="008617C8"/>
    <w:rsid w:val="00865E50"/>
    <w:rsid w:val="008711CB"/>
    <w:rsid w:val="00876CEE"/>
    <w:rsid w:val="00877CA4"/>
    <w:rsid w:val="008842FD"/>
    <w:rsid w:val="00884DB7"/>
    <w:rsid w:val="008854D3"/>
    <w:rsid w:val="0088642C"/>
    <w:rsid w:val="00887A85"/>
    <w:rsid w:val="00894F30"/>
    <w:rsid w:val="008A125C"/>
    <w:rsid w:val="008A1F0F"/>
    <w:rsid w:val="008A2699"/>
    <w:rsid w:val="008A41CE"/>
    <w:rsid w:val="008A7949"/>
    <w:rsid w:val="008B2431"/>
    <w:rsid w:val="008B2969"/>
    <w:rsid w:val="008B2AD0"/>
    <w:rsid w:val="008B4888"/>
    <w:rsid w:val="008C236C"/>
    <w:rsid w:val="008C31A8"/>
    <w:rsid w:val="008C46AD"/>
    <w:rsid w:val="008C6DFA"/>
    <w:rsid w:val="008D0209"/>
    <w:rsid w:val="008D07C9"/>
    <w:rsid w:val="008D2605"/>
    <w:rsid w:val="008D2E20"/>
    <w:rsid w:val="008D2E69"/>
    <w:rsid w:val="008D44B3"/>
    <w:rsid w:val="008D46B5"/>
    <w:rsid w:val="008D4C02"/>
    <w:rsid w:val="008E0783"/>
    <w:rsid w:val="008E37D6"/>
    <w:rsid w:val="008E44A3"/>
    <w:rsid w:val="008E4989"/>
    <w:rsid w:val="008E78CA"/>
    <w:rsid w:val="008F5DF8"/>
    <w:rsid w:val="008F6F30"/>
    <w:rsid w:val="008F70D5"/>
    <w:rsid w:val="008F74EC"/>
    <w:rsid w:val="00912ECD"/>
    <w:rsid w:val="00913AD1"/>
    <w:rsid w:val="00915212"/>
    <w:rsid w:val="00915DC6"/>
    <w:rsid w:val="00917ABF"/>
    <w:rsid w:val="00920114"/>
    <w:rsid w:val="00921DC8"/>
    <w:rsid w:val="0092424A"/>
    <w:rsid w:val="00926642"/>
    <w:rsid w:val="0093015B"/>
    <w:rsid w:val="00931524"/>
    <w:rsid w:val="009340F9"/>
    <w:rsid w:val="00934BF5"/>
    <w:rsid w:val="00935130"/>
    <w:rsid w:val="00937926"/>
    <w:rsid w:val="009423B3"/>
    <w:rsid w:val="00946536"/>
    <w:rsid w:val="00947CF2"/>
    <w:rsid w:val="00953385"/>
    <w:rsid w:val="00953459"/>
    <w:rsid w:val="00955138"/>
    <w:rsid w:val="00960C72"/>
    <w:rsid w:val="009630DF"/>
    <w:rsid w:val="00971023"/>
    <w:rsid w:val="009712F4"/>
    <w:rsid w:val="009724FA"/>
    <w:rsid w:val="00973A95"/>
    <w:rsid w:val="00974022"/>
    <w:rsid w:val="00975101"/>
    <w:rsid w:val="00975263"/>
    <w:rsid w:val="009770F8"/>
    <w:rsid w:val="00981C88"/>
    <w:rsid w:val="009823EC"/>
    <w:rsid w:val="009863B3"/>
    <w:rsid w:val="0099284D"/>
    <w:rsid w:val="00993505"/>
    <w:rsid w:val="00994AFB"/>
    <w:rsid w:val="0099523A"/>
    <w:rsid w:val="009965C9"/>
    <w:rsid w:val="009A21C7"/>
    <w:rsid w:val="009A4D6F"/>
    <w:rsid w:val="009B2BA8"/>
    <w:rsid w:val="009B2F5F"/>
    <w:rsid w:val="009B3392"/>
    <w:rsid w:val="009B74AE"/>
    <w:rsid w:val="009C3D7C"/>
    <w:rsid w:val="009C4924"/>
    <w:rsid w:val="009C4D2D"/>
    <w:rsid w:val="009C70B6"/>
    <w:rsid w:val="009C7487"/>
    <w:rsid w:val="009D2DC6"/>
    <w:rsid w:val="009D4A2F"/>
    <w:rsid w:val="009D6D2C"/>
    <w:rsid w:val="009D7C94"/>
    <w:rsid w:val="009E0BBB"/>
    <w:rsid w:val="009E3373"/>
    <w:rsid w:val="009E33D7"/>
    <w:rsid w:val="009E3949"/>
    <w:rsid w:val="009E6FF8"/>
    <w:rsid w:val="009F1B6D"/>
    <w:rsid w:val="009F6F33"/>
    <w:rsid w:val="009F7A39"/>
    <w:rsid w:val="00A00939"/>
    <w:rsid w:val="00A02521"/>
    <w:rsid w:val="00A0449B"/>
    <w:rsid w:val="00A05AA6"/>
    <w:rsid w:val="00A12D67"/>
    <w:rsid w:val="00A13532"/>
    <w:rsid w:val="00A1375A"/>
    <w:rsid w:val="00A1481A"/>
    <w:rsid w:val="00A20B3A"/>
    <w:rsid w:val="00A22A9A"/>
    <w:rsid w:val="00A26518"/>
    <w:rsid w:val="00A2785B"/>
    <w:rsid w:val="00A33377"/>
    <w:rsid w:val="00A3519B"/>
    <w:rsid w:val="00A400D7"/>
    <w:rsid w:val="00A4090A"/>
    <w:rsid w:val="00A43DD1"/>
    <w:rsid w:val="00A43F9E"/>
    <w:rsid w:val="00A449A6"/>
    <w:rsid w:val="00A56DA9"/>
    <w:rsid w:val="00A57C6C"/>
    <w:rsid w:val="00A715F1"/>
    <w:rsid w:val="00A7396B"/>
    <w:rsid w:val="00A74E06"/>
    <w:rsid w:val="00A77E97"/>
    <w:rsid w:val="00A802FD"/>
    <w:rsid w:val="00A8117A"/>
    <w:rsid w:val="00A82D61"/>
    <w:rsid w:val="00A84169"/>
    <w:rsid w:val="00A85136"/>
    <w:rsid w:val="00A868C3"/>
    <w:rsid w:val="00A873E2"/>
    <w:rsid w:val="00A910B4"/>
    <w:rsid w:val="00A916F3"/>
    <w:rsid w:val="00A92066"/>
    <w:rsid w:val="00AA125B"/>
    <w:rsid w:val="00AA2B28"/>
    <w:rsid w:val="00AA6BCF"/>
    <w:rsid w:val="00AB441C"/>
    <w:rsid w:val="00AC27B3"/>
    <w:rsid w:val="00AC520B"/>
    <w:rsid w:val="00AC738A"/>
    <w:rsid w:val="00AD7007"/>
    <w:rsid w:val="00AD7A36"/>
    <w:rsid w:val="00AE111C"/>
    <w:rsid w:val="00AE36BC"/>
    <w:rsid w:val="00AE42A9"/>
    <w:rsid w:val="00AF0397"/>
    <w:rsid w:val="00AF1640"/>
    <w:rsid w:val="00AF38F0"/>
    <w:rsid w:val="00B052D8"/>
    <w:rsid w:val="00B059E5"/>
    <w:rsid w:val="00B06D23"/>
    <w:rsid w:val="00B07B31"/>
    <w:rsid w:val="00B13032"/>
    <w:rsid w:val="00B14F31"/>
    <w:rsid w:val="00B25497"/>
    <w:rsid w:val="00B25A09"/>
    <w:rsid w:val="00B32F53"/>
    <w:rsid w:val="00B34C93"/>
    <w:rsid w:val="00B355D0"/>
    <w:rsid w:val="00B36497"/>
    <w:rsid w:val="00B41495"/>
    <w:rsid w:val="00B41EAB"/>
    <w:rsid w:val="00B43769"/>
    <w:rsid w:val="00B52E18"/>
    <w:rsid w:val="00B56DE0"/>
    <w:rsid w:val="00B626DA"/>
    <w:rsid w:val="00B62EEF"/>
    <w:rsid w:val="00B634E5"/>
    <w:rsid w:val="00B635FC"/>
    <w:rsid w:val="00B6799C"/>
    <w:rsid w:val="00B7005E"/>
    <w:rsid w:val="00B7228D"/>
    <w:rsid w:val="00B72637"/>
    <w:rsid w:val="00B73EB9"/>
    <w:rsid w:val="00B7486B"/>
    <w:rsid w:val="00B777B5"/>
    <w:rsid w:val="00B83542"/>
    <w:rsid w:val="00B83E6F"/>
    <w:rsid w:val="00B848BF"/>
    <w:rsid w:val="00B86131"/>
    <w:rsid w:val="00B873C6"/>
    <w:rsid w:val="00B9040D"/>
    <w:rsid w:val="00B90E3B"/>
    <w:rsid w:val="00B91B28"/>
    <w:rsid w:val="00B932FA"/>
    <w:rsid w:val="00B94C1B"/>
    <w:rsid w:val="00B94DE5"/>
    <w:rsid w:val="00B96BE5"/>
    <w:rsid w:val="00B9782B"/>
    <w:rsid w:val="00BA160C"/>
    <w:rsid w:val="00BA1A3F"/>
    <w:rsid w:val="00BA4952"/>
    <w:rsid w:val="00BA5859"/>
    <w:rsid w:val="00BA7F8A"/>
    <w:rsid w:val="00BB106F"/>
    <w:rsid w:val="00BC0F27"/>
    <w:rsid w:val="00BC119B"/>
    <w:rsid w:val="00BC365C"/>
    <w:rsid w:val="00BC4131"/>
    <w:rsid w:val="00BD072D"/>
    <w:rsid w:val="00BD2738"/>
    <w:rsid w:val="00BD5192"/>
    <w:rsid w:val="00BD6369"/>
    <w:rsid w:val="00BD6EAF"/>
    <w:rsid w:val="00BE4F13"/>
    <w:rsid w:val="00BE6432"/>
    <w:rsid w:val="00BF0007"/>
    <w:rsid w:val="00BF0D77"/>
    <w:rsid w:val="00BF3740"/>
    <w:rsid w:val="00C00596"/>
    <w:rsid w:val="00C0742A"/>
    <w:rsid w:val="00C104D3"/>
    <w:rsid w:val="00C11938"/>
    <w:rsid w:val="00C11B48"/>
    <w:rsid w:val="00C12BBD"/>
    <w:rsid w:val="00C158CC"/>
    <w:rsid w:val="00C16192"/>
    <w:rsid w:val="00C163A4"/>
    <w:rsid w:val="00C206AE"/>
    <w:rsid w:val="00C20A6F"/>
    <w:rsid w:val="00C21A80"/>
    <w:rsid w:val="00C24E95"/>
    <w:rsid w:val="00C26B1B"/>
    <w:rsid w:val="00C306D8"/>
    <w:rsid w:val="00C321C4"/>
    <w:rsid w:val="00C32207"/>
    <w:rsid w:val="00C336CA"/>
    <w:rsid w:val="00C356B9"/>
    <w:rsid w:val="00C36754"/>
    <w:rsid w:val="00C41E38"/>
    <w:rsid w:val="00C42516"/>
    <w:rsid w:val="00C45B1E"/>
    <w:rsid w:val="00C45BDB"/>
    <w:rsid w:val="00C460F5"/>
    <w:rsid w:val="00C50A45"/>
    <w:rsid w:val="00C520CA"/>
    <w:rsid w:val="00C543AA"/>
    <w:rsid w:val="00C54D6B"/>
    <w:rsid w:val="00C563E1"/>
    <w:rsid w:val="00C57E2D"/>
    <w:rsid w:val="00C63F87"/>
    <w:rsid w:val="00C66017"/>
    <w:rsid w:val="00C6681A"/>
    <w:rsid w:val="00C72110"/>
    <w:rsid w:val="00C756F9"/>
    <w:rsid w:val="00C77EE9"/>
    <w:rsid w:val="00C81A64"/>
    <w:rsid w:val="00C85475"/>
    <w:rsid w:val="00C85AF4"/>
    <w:rsid w:val="00C878BC"/>
    <w:rsid w:val="00C90092"/>
    <w:rsid w:val="00C91DF9"/>
    <w:rsid w:val="00C93E82"/>
    <w:rsid w:val="00CA0CAE"/>
    <w:rsid w:val="00CA3D4F"/>
    <w:rsid w:val="00CA3F05"/>
    <w:rsid w:val="00CA7D6F"/>
    <w:rsid w:val="00CB2011"/>
    <w:rsid w:val="00CB35D9"/>
    <w:rsid w:val="00CB5D7C"/>
    <w:rsid w:val="00CB623E"/>
    <w:rsid w:val="00CB715B"/>
    <w:rsid w:val="00CC1B0B"/>
    <w:rsid w:val="00CC2021"/>
    <w:rsid w:val="00CC3A3E"/>
    <w:rsid w:val="00CC4F55"/>
    <w:rsid w:val="00CC6A53"/>
    <w:rsid w:val="00CC6BFB"/>
    <w:rsid w:val="00CD0709"/>
    <w:rsid w:val="00CD236F"/>
    <w:rsid w:val="00CD28B3"/>
    <w:rsid w:val="00CD356F"/>
    <w:rsid w:val="00CD4119"/>
    <w:rsid w:val="00CD5D2F"/>
    <w:rsid w:val="00CD6B0D"/>
    <w:rsid w:val="00CD7C34"/>
    <w:rsid w:val="00CF19CC"/>
    <w:rsid w:val="00CF2954"/>
    <w:rsid w:val="00CF44A7"/>
    <w:rsid w:val="00CF623A"/>
    <w:rsid w:val="00CF6808"/>
    <w:rsid w:val="00D018DA"/>
    <w:rsid w:val="00D04E73"/>
    <w:rsid w:val="00D05013"/>
    <w:rsid w:val="00D10821"/>
    <w:rsid w:val="00D10908"/>
    <w:rsid w:val="00D10988"/>
    <w:rsid w:val="00D11BA0"/>
    <w:rsid w:val="00D148B8"/>
    <w:rsid w:val="00D1584E"/>
    <w:rsid w:val="00D245FC"/>
    <w:rsid w:val="00D253CF"/>
    <w:rsid w:val="00D258BE"/>
    <w:rsid w:val="00D27571"/>
    <w:rsid w:val="00D30BE1"/>
    <w:rsid w:val="00D31055"/>
    <w:rsid w:val="00D333E4"/>
    <w:rsid w:val="00D359AF"/>
    <w:rsid w:val="00D36658"/>
    <w:rsid w:val="00D36A98"/>
    <w:rsid w:val="00D3739D"/>
    <w:rsid w:val="00D404DE"/>
    <w:rsid w:val="00D406B7"/>
    <w:rsid w:val="00D423C4"/>
    <w:rsid w:val="00D43843"/>
    <w:rsid w:val="00D43941"/>
    <w:rsid w:val="00D4457E"/>
    <w:rsid w:val="00D457B8"/>
    <w:rsid w:val="00D51C98"/>
    <w:rsid w:val="00D554EC"/>
    <w:rsid w:val="00D55B83"/>
    <w:rsid w:val="00D5658F"/>
    <w:rsid w:val="00D5708C"/>
    <w:rsid w:val="00D655AD"/>
    <w:rsid w:val="00D65DA0"/>
    <w:rsid w:val="00D65EE9"/>
    <w:rsid w:val="00D66F93"/>
    <w:rsid w:val="00D73C65"/>
    <w:rsid w:val="00D75F91"/>
    <w:rsid w:val="00D7666D"/>
    <w:rsid w:val="00D774E9"/>
    <w:rsid w:val="00D82A90"/>
    <w:rsid w:val="00D8354B"/>
    <w:rsid w:val="00D83D94"/>
    <w:rsid w:val="00D849BF"/>
    <w:rsid w:val="00D8536A"/>
    <w:rsid w:val="00D86EB8"/>
    <w:rsid w:val="00D92DCF"/>
    <w:rsid w:val="00D93CA6"/>
    <w:rsid w:val="00D96D5A"/>
    <w:rsid w:val="00DA1356"/>
    <w:rsid w:val="00DA20DB"/>
    <w:rsid w:val="00DB1EC3"/>
    <w:rsid w:val="00DB3245"/>
    <w:rsid w:val="00DB3FDF"/>
    <w:rsid w:val="00DC0D79"/>
    <w:rsid w:val="00DC5809"/>
    <w:rsid w:val="00DC6B92"/>
    <w:rsid w:val="00DD12F2"/>
    <w:rsid w:val="00DD38AC"/>
    <w:rsid w:val="00DD3B21"/>
    <w:rsid w:val="00DD41C8"/>
    <w:rsid w:val="00DD46D4"/>
    <w:rsid w:val="00DD7E27"/>
    <w:rsid w:val="00DE095A"/>
    <w:rsid w:val="00DE282D"/>
    <w:rsid w:val="00DE3F94"/>
    <w:rsid w:val="00DE67F5"/>
    <w:rsid w:val="00DF18F8"/>
    <w:rsid w:val="00DF1ED5"/>
    <w:rsid w:val="00DF45F7"/>
    <w:rsid w:val="00DF4FC1"/>
    <w:rsid w:val="00E029C3"/>
    <w:rsid w:val="00E04AFB"/>
    <w:rsid w:val="00E073E4"/>
    <w:rsid w:val="00E117CF"/>
    <w:rsid w:val="00E11B62"/>
    <w:rsid w:val="00E1217F"/>
    <w:rsid w:val="00E13390"/>
    <w:rsid w:val="00E16209"/>
    <w:rsid w:val="00E20779"/>
    <w:rsid w:val="00E21076"/>
    <w:rsid w:val="00E23B74"/>
    <w:rsid w:val="00E3715D"/>
    <w:rsid w:val="00E44BF6"/>
    <w:rsid w:val="00E542F5"/>
    <w:rsid w:val="00E54F0C"/>
    <w:rsid w:val="00E55EF6"/>
    <w:rsid w:val="00E570BA"/>
    <w:rsid w:val="00E57879"/>
    <w:rsid w:val="00E6003C"/>
    <w:rsid w:val="00E642A8"/>
    <w:rsid w:val="00E65C2B"/>
    <w:rsid w:val="00E674D2"/>
    <w:rsid w:val="00E67509"/>
    <w:rsid w:val="00E74467"/>
    <w:rsid w:val="00E7485E"/>
    <w:rsid w:val="00E751A0"/>
    <w:rsid w:val="00E77ABE"/>
    <w:rsid w:val="00E80901"/>
    <w:rsid w:val="00E81C6A"/>
    <w:rsid w:val="00E82D41"/>
    <w:rsid w:val="00E84788"/>
    <w:rsid w:val="00E91691"/>
    <w:rsid w:val="00E91DE4"/>
    <w:rsid w:val="00E960C2"/>
    <w:rsid w:val="00E9617A"/>
    <w:rsid w:val="00E9797A"/>
    <w:rsid w:val="00EA0B8F"/>
    <w:rsid w:val="00EA111A"/>
    <w:rsid w:val="00EA66A5"/>
    <w:rsid w:val="00EB4CB5"/>
    <w:rsid w:val="00EB626B"/>
    <w:rsid w:val="00EB6539"/>
    <w:rsid w:val="00EC03A2"/>
    <w:rsid w:val="00EC111A"/>
    <w:rsid w:val="00EC4835"/>
    <w:rsid w:val="00EC4B19"/>
    <w:rsid w:val="00EC5083"/>
    <w:rsid w:val="00EC57D4"/>
    <w:rsid w:val="00ED0F24"/>
    <w:rsid w:val="00ED2728"/>
    <w:rsid w:val="00ED3DF0"/>
    <w:rsid w:val="00ED59D9"/>
    <w:rsid w:val="00ED5C9F"/>
    <w:rsid w:val="00EE265F"/>
    <w:rsid w:val="00EE3F8F"/>
    <w:rsid w:val="00EE4361"/>
    <w:rsid w:val="00EE67E1"/>
    <w:rsid w:val="00EE6AEA"/>
    <w:rsid w:val="00EF13DA"/>
    <w:rsid w:val="00EF3B3D"/>
    <w:rsid w:val="00EF46DE"/>
    <w:rsid w:val="00EF46E6"/>
    <w:rsid w:val="00F01617"/>
    <w:rsid w:val="00F01751"/>
    <w:rsid w:val="00F02069"/>
    <w:rsid w:val="00F02FEC"/>
    <w:rsid w:val="00F04281"/>
    <w:rsid w:val="00F06492"/>
    <w:rsid w:val="00F10FBE"/>
    <w:rsid w:val="00F111A8"/>
    <w:rsid w:val="00F11344"/>
    <w:rsid w:val="00F12D5E"/>
    <w:rsid w:val="00F141D8"/>
    <w:rsid w:val="00F1502A"/>
    <w:rsid w:val="00F177BB"/>
    <w:rsid w:val="00F178B2"/>
    <w:rsid w:val="00F22C8B"/>
    <w:rsid w:val="00F23CDA"/>
    <w:rsid w:val="00F23D54"/>
    <w:rsid w:val="00F23F64"/>
    <w:rsid w:val="00F2531E"/>
    <w:rsid w:val="00F258CE"/>
    <w:rsid w:val="00F26C13"/>
    <w:rsid w:val="00F31AF5"/>
    <w:rsid w:val="00F31BE4"/>
    <w:rsid w:val="00F33347"/>
    <w:rsid w:val="00F33E26"/>
    <w:rsid w:val="00F341F6"/>
    <w:rsid w:val="00F351D3"/>
    <w:rsid w:val="00F40BC9"/>
    <w:rsid w:val="00F40CD5"/>
    <w:rsid w:val="00F43B02"/>
    <w:rsid w:val="00F44935"/>
    <w:rsid w:val="00F50656"/>
    <w:rsid w:val="00F50AF6"/>
    <w:rsid w:val="00F516D0"/>
    <w:rsid w:val="00F54956"/>
    <w:rsid w:val="00F569C5"/>
    <w:rsid w:val="00F61329"/>
    <w:rsid w:val="00F64E09"/>
    <w:rsid w:val="00F65BD9"/>
    <w:rsid w:val="00F700C9"/>
    <w:rsid w:val="00F7269C"/>
    <w:rsid w:val="00F73BA6"/>
    <w:rsid w:val="00F73DD7"/>
    <w:rsid w:val="00F74517"/>
    <w:rsid w:val="00F768D2"/>
    <w:rsid w:val="00F769CE"/>
    <w:rsid w:val="00F77834"/>
    <w:rsid w:val="00F80B8A"/>
    <w:rsid w:val="00F82328"/>
    <w:rsid w:val="00F829A3"/>
    <w:rsid w:val="00F84C3E"/>
    <w:rsid w:val="00F8501B"/>
    <w:rsid w:val="00F859A8"/>
    <w:rsid w:val="00F8669A"/>
    <w:rsid w:val="00F90DC8"/>
    <w:rsid w:val="00F91466"/>
    <w:rsid w:val="00F9175D"/>
    <w:rsid w:val="00F9355A"/>
    <w:rsid w:val="00F94E20"/>
    <w:rsid w:val="00F969F8"/>
    <w:rsid w:val="00FA3E17"/>
    <w:rsid w:val="00FB0112"/>
    <w:rsid w:val="00FB15B1"/>
    <w:rsid w:val="00FB43A0"/>
    <w:rsid w:val="00FB457B"/>
    <w:rsid w:val="00FB4D16"/>
    <w:rsid w:val="00FB742F"/>
    <w:rsid w:val="00FB7CFA"/>
    <w:rsid w:val="00FC24E4"/>
    <w:rsid w:val="00FC2CCC"/>
    <w:rsid w:val="00FC722F"/>
    <w:rsid w:val="00FC75F7"/>
    <w:rsid w:val="00FD0C57"/>
    <w:rsid w:val="00FD39A3"/>
    <w:rsid w:val="00FD4EA7"/>
    <w:rsid w:val="00FD72CD"/>
    <w:rsid w:val="00FE0F2B"/>
    <w:rsid w:val="00FE1D4E"/>
    <w:rsid w:val="00FE2300"/>
    <w:rsid w:val="00FE3F17"/>
    <w:rsid w:val="00FE6494"/>
    <w:rsid w:val="00FE7A78"/>
    <w:rsid w:val="00FE7AE6"/>
    <w:rsid w:val="00FF2669"/>
    <w:rsid w:val="00FF2C81"/>
    <w:rsid w:val="00FF2CB9"/>
    <w:rsid w:val="00FF752F"/>
    <w:rsid w:val="00FF75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6"/>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5D30"/>
    <w:pPr>
      <w:tabs>
        <w:tab w:val="center" w:pos="4680"/>
        <w:tab w:val="right" w:pos="9360"/>
      </w:tabs>
    </w:pPr>
  </w:style>
  <w:style w:type="character" w:customStyle="1" w:styleId="HeaderChar">
    <w:name w:val="Header Char"/>
    <w:basedOn w:val="DefaultParagraphFont"/>
    <w:link w:val="Header"/>
    <w:uiPriority w:val="99"/>
    <w:rsid w:val="00185D30"/>
  </w:style>
  <w:style w:type="paragraph" w:styleId="Footer">
    <w:name w:val="footer"/>
    <w:basedOn w:val="Normal"/>
    <w:link w:val="FooterChar"/>
    <w:uiPriority w:val="99"/>
    <w:unhideWhenUsed/>
    <w:rsid w:val="00185D30"/>
    <w:pPr>
      <w:tabs>
        <w:tab w:val="center" w:pos="4680"/>
        <w:tab w:val="right" w:pos="9360"/>
      </w:tabs>
    </w:pPr>
  </w:style>
  <w:style w:type="character" w:customStyle="1" w:styleId="FooterChar">
    <w:name w:val="Footer Char"/>
    <w:basedOn w:val="DefaultParagraphFont"/>
    <w:link w:val="Footer"/>
    <w:uiPriority w:val="99"/>
    <w:rsid w:val="00185D30"/>
  </w:style>
  <w:style w:type="character" w:styleId="PageNumber">
    <w:name w:val="page number"/>
    <w:basedOn w:val="DefaultParagraphFont"/>
    <w:uiPriority w:val="99"/>
    <w:semiHidden/>
    <w:unhideWhenUsed/>
    <w:rsid w:val="00185D30"/>
  </w:style>
  <w:style w:type="paragraph" w:styleId="ListParagraph">
    <w:name w:val="List Paragraph"/>
    <w:basedOn w:val="Normal"/>
    <w:uiPriority w:val="34"/>
    <w:qFormat/>
    <w:rsid w:val="00F351D3"/>
    <w:pPr>
      <w:ind w:left="720"/>
      <w:contextualSpacing/>
    </w:pPr>
  </w:style>
  <w:style w:type="paragraph" w:styleId="FootnoteText">
    <w:name w:val="footnote text"/>
    <w:basedOn w:val="Normal"/>
    <w:link w:val="FootnoteTextChar"/>
    <w:uiPriority w:val="99"/>
    <w:semiHidden/>
    <w:unhideWhenUsed/>
    <w:rsid w:val="00C66017"/>
    <w:rPr>
      <w:sz w:val="20"/>
      <w:szCs w:val="20"/>
    </w:rPr>
  </w:style>
  <w:style w:type="character" w:customStyle="1" w:styleId="FootnoteTextChar">
    <w:name w:val="Footnote Text Char"/>
    <w:basedOn w:val="DefaultParagraphFont"/>
    <w:link w:val="FootnoteText"/>
    <w:uiPriority w:val="99"/>
    <w:semiHidden/>
    <w:rsid w:val="00C66017"/>
    <w:rPr>
      <w:sz w:val="20"/>
      <w:szCs w:val="20"/>
    </w:rPr>
  </w:style>
  <w:style w:type="character" w:styleId="FootnoteReference">
    <w:name w:val="footnote reference"/>
    <w:basedOn w:val="DefaultParagraphFont"/>
    <w:uiPriority w:val="99"/>
    <w:semiHidden/>
    <w:unhideWhenUsed/>
    <w:rsid w:val="00C660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F7193-3AC2-4D13-9BCC-741B78431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3139</Words>
  <Characters>17893</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2023-06-05T21:57:45Z</dcterms:created>
  <dcterms:modified xsi:type="dcterms:W3CDTF">2023-06-05T21:57:45Z</dcterms:modified>
</cp:coreProperties>
</file>