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0362" w14:textId="6505A59A" w:rsidR="003D18DF" w:rsidRPr="00E35EF9" w:rsidRDefault="0095045B" w:rsidP="00E35EF9">
      <w:pPr>
        <w:spacing w:line="240" w:lineRule="auto"/>
        <w:rPr>
          <w:sz w:val="20"/>
        </w:rPr>
      </w:pPr>
      <w:bookmarkStart w:id="0" w:name="_Hlk77057248"/>
      <w:r w:rsidRPr="00E35EF9">
        <w:rPr>
          <w:sz w:val="20"/>
        </w:rPr>
        <w:t>Filed 7/19/23</w:t>
      </w:r>
      <w:r w:rsidR="00AC3FE4">
        <w:rPr>
          <w:sz w:val="20"/>
        </w:rPr>
        <w:t>; Certified for Publication 8/9/23 (order attached)</w:t>
      </w:r>
    </w:p>
    <w:p w14:paraId="3A53BFDA" w14:textId="77777777" w:rsidR="00AC3FE4" w:rsidRDefault="00AC3FE4" w:rsidP="00680016">
      <w:pPr>
        <w:spacing w:line="240" w:lineRule="auto"/>
        <w:jc w:val="center"/>
        <w:rPr>
          <w:b/>
        </w:rPr>
      </w:pPr>
    </w:p>
    <w:p w14:paraId="59EBF78A" w14:textId="77777777" w:rsidR="00AC3FE4" w:rsidRDefault="00AC3FE4" w:rsidP="00680016">
      <w:pPr>
        <w:spacing w:line="240" w:lineRule="auto"/>
        <w:jc w:val="center"/>
        <w:rPr>
          <w:b/>
        </w:rPr>
      </w:pPr>
    </w:p>
    <w:p w14:paraId="0B462266" w14:textId="77777777" w:rsidR="00AC3FE4" w:rsidRDefault="00AC3FE4" w:rsidP="00680016">
      <w:pPr>
        <w:spacing w:line="240" w:lineRule="auto"/>
        <w:jc w:val="center"/>
        <w:rPr>
          <w:b/>
        </w:rPr>
      </w:pPr>
    </w:p>
    <w:p w14:paraId="18A26AD1" w14:textId="77777777" w:rsidR="00AC3FE4" w:rsidRDefault="00AC3FE4" w:rsidP="00680016">
      <w:pPr>
        <w:spacing w:line="240" w:lineRule="auto"/>
        <w:jc w:val="center"/>
        <w:rPr>
          <w:b/>
        </w:rPr>
      </w:pPr>
    </w:p>
    <w:p w14:paraId="753FF750" w14:textId="2823EE88" w:rsidR="00680016" w:rsidRPr="002678C4" w:rsidRDefault="0095045B" w:rsidP="00680016">
      <w:pPr>
        <w:spacing w:line="240" w:lineRule="auto"/>
        <w:jc w:val="center"/>
      </w:pPr>
      <w:r w:rsidRPr="002678C4">
        <w:t xml:space="preserve">COURT OF </w:t>
      </w:r>
      <w:r w:rsidR="00AC3FE4">
        <w:t>APPEAL</w:t>
      </w:r>
      <w:r w:rsidRPr="002678C4">
        <w:t>, FOURTH APPELLATE DISTRICT</w:t>
      </w:r>
    </w:p>
    <w:p w14:paraId="58E47CB2" w14:textId="416440EA" w:rsidR="00680016" w:rsidRPr="002678C4" w:rsidRDefault="00680016" w:rsidP="00680016">
      <w:pPr>
        <w:spacing w:line="240" w:lineRule="auto"/>
        <w:jc w:val="center"/>
      </w:pPr>
    </w:p>
    <w:p w14:paraId="5556F047" w14:textId="2E608087" w:rsidR="00680016" w:rsidRPr="002678C4" w:rsidRDefault="0095045B" w:rsidP="00680016">
      <w:pPr>
        <w:spacing w:line="240" w:lineRule="auto"/>
        <w:jc w:val="center"/>
      </w:pPr>
      <w:r w:rsidRPr="002678C4">
        <w:t>DIVISION ONE</w:t>
      </w:r>
    </w:p>
    <w:p w14:paraId="472F7FC1" w14:textId="0444EF40" w:rsidR="00680016" w:rsidRPr="002678C4" w:rsidRDefault="00680016" w:rsidP="00680016">
      <w:pPr>
        <w:spacing w:line="240" w:lineRule="auto"/>
        <w:jc w:val="center"/>
      </w:pPr>
    </w:p>
    <w:p w14:paraId="639B1F72" w14:textId="47AAB966" w:rsidR="00680016" w:rsidRPr="002678C4" w:rsidRDefault="0095045B" w:rsidP="00680016">
      <w:pPr>
        <w:spacing w:line="240" w:lineRule="auto"/>
        <w:jc w:val="center"/>
      </w:pPr>
      <w:r w:rsidRPr="002678C4">
        <w:t>STATE OF CALIFORNIA</w:t>
      </w:r>
    </w:p>
    <w:p w14:paraId="7B9754E5" w14:textId="77A0C309" w:rsidR="00680016" w:rsidRPr="002678C4" w:rsidRDefault="00680016" w:rsidP="00680016">
      <w:pPr>
        <w:spacing w:line="240" w:lineRule="auto"/>
        <w:jc w:val="center"/>
      </w:pPr>
    </w:p>
    <w:p w14:paraId="6D671532" w14:textId="26A512C8" w:rsidR="00680016" w:rsidRPr="002678C4" w:rsidRDefault="00680016" w:rsidP="00680016">
      <w:pPr>
        <w:spacing w:line="240" w:lineRule="auto"/>
        <w:jc w:val="center"/>
      </w:pPr>
    </w:p>
    <w:p w14:paraId="25CE40A0" w14:textId="7491F5EA" w:rsidR="00680016" w:rsidRPr="002678C4" w:rsidRDefault="00680016" w:rsidP="00680016">
      <w:pPr>
        <w:spacing w:line="240" w:lineRule="auto"/>
        <w:jc w:val="center"/>
      </w:pPr>
    </w:p>
    <w:tbl>
      <w:tblPr>
        <w:tblW w:w="9360" w:type="dxa"/>
        <w:tblLayout w:type="fixed"/>
        <w:tblLook w:val="0000" w:firstRow="0" w:lastRow="0" w:firstColumn="0" w:lastColumn="0" w:noHBand="0" w:noVBand="0"/>
      </w:tblPr>
      <w:tblGrid>
        <w:gridCol w:w="5040"/>
        <w:gridCol w:w="4320"/>
      </w:tblGrid>
      <w:tr w:rsidR="004C4ED7" w14:paraId="2CC284CD" w14:textId="77777777" w:rsidTr="00680016">
        <w:tc>
          <w:tcPr>
            <w:tcW w:w="5040" w:type="dxa"/>
            <w:tcBorders>
              <w:bottom w:val="single" w:sz="4" w:space="0" w:color="auto"/>
              <w:right w:val="single" w:sz="4" w:space="0" w:color="auto"/>
            </w:tcBorders>
            <w:shd w:val="clear" w:color="auto" w:fill="auto"/>
          </w:tcPr>
          <w:p w14:paraId="37348875" w14:textId="456E4315" w:rsidR="00680016" w:rsidRPr="002678C4" w:rsidRDefault="0095045B" w:rsidP="00E7065D">
            <w:pPr>
              <w:spacing w:after="240" w:line="240" w:lineRule="auto"/>
            </w:pPr>
            <w:r w:rsidRPr="002678C4">
              <w:t>MARGARET M</w:t>
            </w:r>
            <w:r w:rsidR="00602E53" w:rsidRPr="002678C4">
              <w:rPr>
                <w:smallCaps/>
              </w:rPr>
              <w:t>c</w:t>
            </w:r>
            <w:r w:rsidR="006A7A04" w:rsidRPr="002678C4">
              <w:rPr>
                <w:smallCaps/>
              </w:rPr>
              <w:t>C</w:t>
            </w:r>
            <w:r w:rsidRPr="002678C4">
              <w:t>ANN,</w:t>
            </w:r>
          </w:p>
          <w:p w14:paraId="592C7E50" w14:textId="65D97F74" w:rsidR="00680016" w:rsidRPr="002678C4" w:rsidRDefault="0095045B" w:rsidP="00E7065D">
            <w:pPr>
              <w:spacing w:after="240" w:line="240" w:lineRule="auto"/>
            </w:pPr>
            <w:r w:rsidRPr="002678C4">
              <w:tab/>
              <w:t xml:space="preserve">Plaintiff and </w:t>
            </w:r>
            <w:r w:rsidR="00E35364">
              <w:t>Respondent</w:t>
            </w:r>
            <w:r w:rsidRPr="002678C4">
              <w:t>,</w:t>
            </w:r>
          </w:p>
          <w:p w14:paraId="50622AB5" w14:textId="77777777" w:rsidR="00680016" w:rsidRPr="002678C4" w:rsidRDefault="0095045B" w:rsidP="00E7065D">
            <w:pPr>
              <w:spacing w:after="240" w:line="240" w:lineRule="auto"/>
            </w:pPr>
            <w:r w:rsidRPr="002678C4">
              <w:tab/>
              <w:t>v.</w:t>
            </w:r>
          </w:p>
          <w:p w14:paraId="6DC43C69" w14:textId="6289BAC5" w:rsidR="00680016" w:rsidRPr="002678C4" w:rsidRDefault="0095045B" w:rsidP="00E7065D">
            <w:pPr>
              <w:spacing w:after="240" w:line="240" w:lineRule="auto"/>
            </w:pPr>
            <w:r w:rsidRPr="002678C4">
              <w:t xml:space="preserve">CITY OF SAN DIEGO </w:t>
            </w:r>
            <w:r w:rsidR="00E7065D" w:rsidRPr="002678C4">
              <w:t>et al.</w:t>
            </w:r>
            <w:r w:rsidRPr="002678C4">
              <w:t>,</w:t>
            </w:r>
          </w:p>
          <w:p w14:paraId="40540B46" w14:textId="54D2E35A" w:rsidR="00680016" w:rsidRPr="002678C4" w:rsidRDefault="0095045B" w:rsidP="00E7065D">
            <w:pPr>
              <w:spacing w:after="240" w:line="240" w:lineRule="auto"/>
            </w:pPr>
            <w:r w:rsidRPr="002678C4">
              <w:tab/>
              <w:t xml:space="preserve">Defendants and </w:t>
            </w:r>
            <w:r w:rsidR="00E35364">
              <w:t>Appellants</w:t>
            </w:r>
            <w:r w:rsidRPr="002678C4">
              <w:t>.</w:t>
            </w:r>
          </w:p>
        </w:tc>
        <w:tc>
          <w:tcPr>
            <w:tcW w:w="4320" w:type="dxa"/>
            <w:tcBorders>
              <w:left w:val="single" w:sz="4" w:space="0" w:color="auto"/>
            </w:tcBorders>
            <w:shd w:val="clear" w:color="auto" w:fill="auto"/>
          </w:tcPr>
          <w:p w14:paraId="6E1E3AC8" w14:textId="653B304F" w:rsidR="00680016" w:rsidRPr="002678C4" w:rsidRDefault="0095045B" w:rsidP="00680016">
            <w:pPr>
              <w:tabs>
                <w:tab w:val="left" w:pos="144"/>
              </w:tabs>
              <w:spacing w:line="240" w:lineRule="auto"/>
            </w:pPr>
            <w:r w:rsidRPr="002678C4">
              <w:tab/>
              <w:t>D0</w:t>
            </w:r>
            <w:r w:rsidR="00E35364">
              <w:t>81185</w:t>
            </w:r>
          </w:p>
          <w:p w14:paraId="64A67F82" w14:textId="77777777" w:rsidR="00680016" w:rsidRPr="002678C4" w:rsidRDefault="00680016" w:rsidP="00680016">
            <w:pPr>
              <w:tabs>
                <w:tab w:val="left" w:pos="144"/>
              </w:tabs>
              <w:spacing w:line="240" w:lineRule="auto"/>
            </w:pPr>
          </w:p>
          <w:p w14:paraId="7B04DB00" w14:textId="77777777" w:rsidR="00680016" w:rsidRPr="002678C4" w:rsidRDefault="00680016" w:rsidP="00680016">
            <w:pPr>
              <w:tabs>
                <w:tab w:val="left" w:pos="144"/>
              </w:tabs>
              <w:spacing w:line="240" w:lineRule="auto"/>
            </w:pPr>
          </w:p>
          <w:p w14:paraId="6EF06830" w14:textId="77777777" w:rsidR="00680016" w:rsidRPr="002678C4" w:rsidRDefault="00680016" w:rsidP="00680016">
            <w:pPr>
              <w:tabs>
                <w:tab w:val="left" w:pos="144"/>
              </w:tabs>
              <w:spacing w:line="240" w:lineRule="auto"/>
            </w:pPr>
          </w:p>
          <w:p w14:paraId="39AED7ED" w14:textId="75D60C21" w:rsidR="00680016" w:rsidRPr="002678C4" w:rsidRDefault="0095045B" w:rsidP="00680016">
            <w:pPr>
              <w:tabs>
                <w:tab w:val="left" w:pos="144"/>
              </w:tabs>
              <w:spacing w:line="240" w:lineRule="auto"/>
            </w:pPr>
            <w:r w:rsidRPr="002678C4">
              <w:tab/>
              <w:t>(Super. Ct. No. 37-2019-</w:t>
            </w:r>
            <w:r w:rsidRPr="002678C4">
              <w:tab/>
              <w:t>00011813</w:t>
            </w:r>
            <w:r w:rsidR="00424936" w:rsidRPr="002678C4">
              <w:t>-CU-TT-CTL</w:t>
            </w:r>
            <w:r w:rsidRPr="002678C4">
              <w:t>)</w:t>
            </w:r>
          </w:p>
          <w:p w14:paraId="73415764" w14:textId="1F848353" w:rsidR="00680016" w:rsidRPr="002678C4" w:rsidRDefault="00680016" w:rsidP="00680016">
            <w:pPr>
              <w:tabs>
                <w:tab w:val="left" w:pos="144"/>
              </w:tabs>
              <w:spacing w:line="240" w:lineRule="auto"/>
            </w:pPr>
          </w:p>
        </w:tc>
      </w:tr>
    </w:tbl>
    <w:p w14:paraId="7078AD88" w14:textId="534BE5DF" w:rsidR="00680016" w:rsidRPr="002678C4" w:rsidRDefault="0095045B" w:rsidP="00E7065D">
      <w:pPr>
        <w:spacing w:before="360"/>
      </w:pPr>
      <w:r w:rsidRPr="002678C4">
        <w:tab/>
        <w:t>APPEAL from a</w:t>
      </w:r>
      <w:r w:rsidR="00E35364">
        <w:t>n order</w:t>
      </w:r>
      <w:r w:rsidRPr="002678C4">
        <w:t xml:space="preserve"> of the Superior Court of San Diego County, Timothy </w:t>
      </w:r>
      <w:r w:rsidR="00424936" w:rsidRPr="002678C4">
        <w:t xml:space="preserve">B. </w:t>
      </w:r>
      <w:r w:rsidRPr="002678C4">
        <w:t xml:space="preserve">Taylor, Judge.  </w:t>
      </w:r>
      <w:r w:rsidR="00E35364">
        <w:t>Reversed</w:t>
      </w:r>
      <w:r w:rsidR="00AB6409">
        <w:t xml:space="preserve"> and remanded</w:t>
      </w:r>
      <w:r w:rsidR="00DF38BE">
        <w:t xml:space="preserve"> with directions</w:t>
      </w:r>
      <w:r w:rsidR="00D25227">
        <w:t>.</w:t>
      </w:r>
    </w:p>
    <w:p w14:paraId="650A7C27" w14:textId="5FF339D7" w:rsidR="00406A19" w:rsidRPr="002678C4" w:rsidRDefault="0095045B" w:rsidP="00406A19">
      <w:r w:rsidRPr="002678C4">
        <w:tab/>
        <w:t xml:space="preserve">Law Office of Todd T. Cardiff, </w:t>
      </w:r>
      <w:r w:rsidR="00FA0565" w:rsidRPr="002678C4">
        <w:t xml:space="preserve">Todd T. Cardiff </w:t>
      </w:r>
      <w:r w:rsidRPr="002678C4">
        <w:t xml:space="preserve">for </w:t>
      </w:r>
      <w:r w:rsidR="00FA0565" w:rsidRPr="002678C4">
        <w:t>Plaintiff</w:t>
      </w:r>
      <w:r w:rsidRPr="002678C4">
        <w:t xml:space="preserve"> and </w:t>
      </w:r>
      <w:r w:rsidR="00E35364">
        <w:t>Respondent</w:t>
      </w:r>
      <w:r w:rsidRPr="002678C4">
        <w:t>.</w:t>
      </w:r>
    </w:p>
    <w:p w14:paraId="308D3CFD" w14:textId="77D378C7" w:rsidR="00FA0565" w:rsidRPr="002678C4" w:rsidRDefault="0095045B" w:rsidP="00FA0565">
      <w:r w:rsidRPr="002678C4">
        <w:tab/>
        <w:t xml:space="preserve">Mara W. Elliot, City Attorney, </w:t>
      </w:r>
      <w:r w:rsidR="00E35364">
        <w:t>M. Travis Phelps</w:t>
      </w:r>
      <w:r w:rsidRPr="002678C4">
        <w:t>, Assistant City</w:t>
      </w:r>
    </w:p>
    <w:p w14:paraId="0978C71A" w14:textId="5ECFEB51" w:rsidR="00406A19" w:rsidRPr="002678C4" w:rsidRDefault="0095045B" w:rsidP="001F7A5C">
      <w:pPr>
        <w:spacing w:after="480"/>
      </w:pPr>
      <w:r w:rsidRPr="002678C4">
        <w:t xml:space="preserve">Attorney, and Jana Mickova Will, Deputy City Attorney for Defendants and </w:t>
      </w:r>
      <w:r w:rsidR="00E35364">
        <w:t>Appellant</w:t>
      </w:r>
      <w:r w:rsidRPr="002678C4">
        <w:t>s.</w:t>
      </w:r>
    </w:p>
    <w:p w14:paraId="6D564FAB" w14:textId="263D7E19" w:rsidR="00680016" w:rsidRPr="002678C4" w:rsidRDefault="0095045B" w:rsidP="00E03A64">
      <w:pPr>
        <w:pStyle w:val="Title"/>
      </w:pPr>
      <w:r w:rsidRPr="002678C4">
        <w:lastRenderedPageBreak/>
        <w:t>INTRODUCTION</w:t>
      </w:r>
    </w:p>
    <w:p w14:paraId="39003764" w14:textId="58D45C90" w:rsidR="00042618" w:rsidRPr="00A7534D" w:rsidRDefault="0095045B" w:rsidP="001072C7">
      <w:pPr>
        <w:keepLines/>
      </w:pPr>
      <w:r w:rsidRPr="002678C4">
        <w:tab/>
      </w:r>
      <w:r w:rsidR="00447015">
        <w:t xml:space="preserve">This is the second appeal </w:t>
      </w:r>
      <w:r w:rsidR="00D87383">
        <w:t>arising from</w:t>
      </w:r>
      <w:r w:rsidR="00447015">
        <w:t xml:space="preserve"> </w:t>
      </w:r>
      <w:r w:rsidR="00E33844" w:rsidRPr="002678C4">
        <w:t>Margaret McCann</w:t>
      </w:r>
      <w:r w:rsidR="00D87383">
        <w:t>’s dispute with the</w:t>
      </w:r>
      <w:r w:rsidR="00B86D2B" w:rsidRPr="002678C4">
        <w:t xml:space="preserve"> City of San Diego (City) </w:t>
      </w:r>
      <w:r w:rsidR="00D87383">
        <w:t>over</w:t>
      </w:r>
      <w:r w:rsidR="001072C7">
        <w:t xml:space="preserve"> the City’s environmental review process of </w:t>
      </w:r>
      <w:r w:rsidR="00D87383">
        <w:t xml:space="preserve">a project </w:t>
      </w:r>
      <w:r w:rsidR="001072C7">
        <w:t xml:space="preserve">to </w:t>
      </w:r>
      <w:r w:rsidR="00E33844" w:rsidRPr="002678C4">
        <w:t>convert overhead utility wires to an underground system</w:t>
      </w:r>
      <w:r w:rsidR="0034403E" w:rsidRPr="002678C4">
        <w:t xml:space="preserve"> in several neighborhoods</w:t>
      </w:r>
      <w:r w:rsidR="00E33844" w:rsidRPr="002678C4">
        <w:t>.</w:t>
      </w:r>
      <w:r w:rsidR="001072C7">
        <w:t xml:space="preserve">  (</w:t>
      </w:r>
      <w:r w:rsidR="00D87383">
        <w:t xml:space="preserve">See </w:t>
      </w:r>
      <w:bookmarkStart w:id="1" w:name="dabmci_f03d04705dd344518c0a9833cec78e1b"/>
      <w:r w:rsidR="001072C7">
        <w:rPr>
          <w:i/>
          <w:iCs/>
        </w:rPr>
        <w:t xml:space="preserve">McCann v. City of San Diego et.al. </w:t>
      </w:r>
      <w:r w:rsidR="001072C7">
        <w:t>(2021) 70 Cal.App.5th 51 (</w:t>
      </w:r>
      <w:r w:rsidR="001072C7">
        <w:rPr>
          <w:i/>
          <w:iCs/>
        </w:rPr>
        <w:t>McCann I</w:t>
      </w:r>
      <w:r w:rsidR="001072C7">
        <w:t>)</w:t>
      </w:r>
      <w:bookmarkEnd w:id="1"/>
      <w:r w:rsidR="001072C7">
        <w:t>.)</w:t>
      </w:r>
      <w:r w:rsidR="00857602" w:rsidRPr="002678C4">
        <w:t xml:space="preserve">  </w:t>
      </w:r>
      <w:r w:rsidR="00A7534D">
        <w:t xml:space="preserve">In </w:t>
      </w:r>
      <w:r w:rsidR="00F75EB4">
        <w:t>the first appeal</w:t>
      </w:r>
      <w:r w:rsidR="00A7534D">
        <w:t xml:space="preserve">, </w:t>
      </w:r>
      <w:r w:rsidR="00E33844" w:rsidRPr="00A7534D">
        <w:t>McCann</w:t>
      </w:r>
      <w:r w:rsidR="001072C7">
        <w:t xml:space="preserve"> alleged</w:t>
      </w:r>
      <w:r w:rsidR="00E33844" w:rsidRPr="002678C4">
        <w:t xml:space="preserve"> the City violated the California Environmental Quality Act (CEQA</w:t>
      </w:r>
      <w:r w:rsidR="001F7A5C" w:rsidRPr="002678C4">
        <w:t>)</w:t>
      </w:r>
      <w:r w:rsidR="00D87383">
        <w:t xml:space="preserve"> </w:t>
      </w:r>
      <w:r w:rsidR="001F7A5C" w:rsidRPr="002678C4">
        <w:t>(</w:t>
      </w:r>
      <w:bookmarkStart w:id="2" w:name="dabmci_393edd9c46da49fcba0395ef0df755d1"/>
      <w:r w:rsidR="00E33844" w:rsidRPr="002678C4">
        <w:t xml:space="preserve">Pub. Resources Code, </w:t>
      </w:r>
      <w:r w:rsidR="008A4B4D" w:rsidRPr="002678C4">
        <w:t>§ </w:t>
      </w:r>
      <w:r w:rsidR="00E33844" w:rsidRPr="002678C4">
        <w:t>21000</w:t>
      </w:r>
      <w:bookmarkEnd w:id="2"/>
      <w:r w:rsidR="00D87383">
        <w:t xml:space="preserve"> et seq</w:t>
      </w:r>
      <w:r w:rsidR="006B5BDF">
        <w:t>.</w:t>
      </w:r>
      <w:r w:rsidR="00D87383">
        <w:t>)</w:t>
      </w:r>
      <w:r>
        <w:rPr>
          <w:rStyle w:val="FootnoteReference"/>
        </w:rPr>
        <w:footnoteReference w:id="1"/>
      </w:r>
      <w:r w:rsidR="00E33844" w:rsidRPr="002678C4">
        <w:t xml:space="preserve"> </w:t>
      </w:r>
      <w:r w:rsidR="00D87383" w:rsidRPr="002678C4">
        <w:t xml:space="preserve">by failing to properly consider the environmental impact of </w:t>
      </w:r>
      <w:r w:rsidR="00D87383">
        <w:t>two undergrounding</w:t>
      </w:r>
      <w:r w:rsidR="00D87383" w:rsidRPr="002678C4">
        <w:t xml:space="preserve"> projects.</w:t>
      </w:r>
      <w:r w:rsidR="00D87383">
        <w:t xml:space="preserve">  (</w:t>
      </w:r>
      <w:bookmarkStart w:id="3" w:name="dabmci_a66f32fefc30436e8ebe4354412722f6"/>
      <w:r w:rsidR="0002459E">
        <w:rPr>
          <w:i/>
          <w:iCs/>
        </w:rPr>
        <w:t xml:space="preserve">McCann I, supra, </w:t>
      </w:r>
      <w:r w:rsidR="0002459E" w:rsidRPr="003949D9">
        <w:t>at p. 51</w:t>
      </w:r>
      <w:bookmarkEnd w:id="3"/>
      <w:r w:rsidR="00D87383">
        <w:t>.)</w:t>
      </w:r>
      <w:r w:rsidR="00D87383" w:rsidRPr="002678C4">
        <w:t xml:space="preserve"> </w:t>
      </w:r>
      <w:r w:rsidR="00D87383">
        <w:t xml:space="preserve">  </w:t>
      </w:r>
      <w:r w:rsidR="009A7C9C">
        <w:t>W</w:t>
      </w:r>
      <w:r>
        <w:t>e concluded the City’s environmental review process was incomplete</w:t>
      </w:r>
      <w:r w:rsidR="009A7C9C">
        <w:t xml:space="preserve"> as to one set of projects that were approved through a mitigated negative declaration (MND Projects), </w:t>
      </w:r>
      <w:r>
        <w:t xml:space="preserve">because </w:t>
      </w:r>
      <w:r w:rsidR="009A7C9C">
        <w:t>the City</w:t>
      </w:r>
      <w:r>
        <w:t xml:space="preserve"> failed to analyze whether the</w:t>
      </w:r>
      <w:r w:rsidR="0061383E">
        <w:t>y</w:t>
      </w:r>
      <w:r>
        <w:t xml:space="preserve"> were consistent with the City’s Climate Action Plan.</w:t>
      </w:r>
      <w:r w:rsidR="00A7534D">
        <w:t xml:space="preserve">  (</w:t>
      </w:r>
      <w:bookmarkStart w:id="4" w:name="dabmci_8dca2ad673f94606891ad4fd910f8554"/>
      <w:r w:rsidR="00A7534D">
        <w:rPr>
          <w:i/>
          <w:iCs/>
        </w:rPr>
        <w:t xml:space="preserve">Id. </w:t>
      </w:r>
      <w:r w:rsidR="00A7534D">
        <w:t>at pp. 91-97</w:t>
      </w:r>
      <w:bookmarkEnd w:id="4"/>
      <w:r w:rsidR="00A7534D">
        <w:t>.)</w:t>
      </w:r>
      <w:r>
        <w:t xml:space="preserve">  We</w:t>
      </w:r>
      <w:r w:rsidR="009A7C9C">
        <w:t xml:space="preserve"> </w:t>
      </w:r>
      <w:r>
        <w:t xml:space="preserve">reversed the judgment as to the </w:t>
      </w:r>
      <w:r w:rsidR="009A7C9C">
        <w:t xml:space="preserve">MND </w:t>
      </w:r>
      <w:r w:rsidR="007B124E">
        <w:t>P</w:t>
      </w:r>
      <w:r w:rsidR="009A7C9C">
        <w:t>rojects</w:t>
      </w:r>
      <w:r>
        <w:t xml:space="preserve"> and directed the</w:t>
      </w:r>
      <w:r w:rsidR="009A7C9C">
        <w:t xml:space="preserve"> trial</w:t>
      </w:r>
      <w:r>
        <w:t xml:space="preserve"> court to </w:t>
      </w:r>
      <w:r w:rsidR="009A7C9C">
        <w:t>i</w:t>
      </w:r>
      <w:r>
        <w:t xml:space="preserve">ssue a peremptory writ of mandate </w:t>
      </w:r>
      <w:r w:rsidR="009A7C9C">
        <w:t>ordering</w:t>
      </w:r>
      <w:r>
        <w:t xml:space="preserve"> the City to set aside</w:t>
      </w:r>
      <w:r w:rsidR="00070C57">
        <w:t xml:space="preserve"> three resolutions</w:t>
      </w:r>
      <w:r w:rsidR="009A7C9C">
        <w:t xml:space="preserve"> that approved the projects.</w:t>
      </w:r>
      <w:r w:rsidR="00070C57">
        <w:t xml:space="preserve"> </w:t>
      </w:r>
      <w:r w:rsidR="00A7534D">
        <w:t xml:space="preserve"> (</w:t>
      </w:r>
      <w:bookmarkStart w:id="5" w:name="dabmci_688bc255c3ad4af69851229057cc5ac9"/>
      <w:r w:rsidR="00A7534D">
        <w:rPr>
          <w:i/>
          <w:iCs/>
        </w:rPr>
        <w:t xml:space="preserve">Id. </w:t>
      </w:r>
      <w:r w:rsidR="00A7534D">
        <w:t>at p. 99</w:t>
      </w:r>
      <w:bookmarkEnd w:id="5"/>
      <w:r w:rsidR="00A7534D">
        <w:t>.)</w:t>
      </w:r>
    </w:p>
    <w:p w14:paraId="0127ACDC" w14:textId="660F26FB" w:rsidR="006E40EA" w:rsidRDefault="0095045B" w:rsidP="00042618">
      <w:pPr>
        <w:keepLines/>
      </w:pPr>
      <w:r>
        <w:lastRenderedPageBreak/>
        <w:tab/>
        <w:t>On remand, the trial cour</w:t>
      </w:r>
      <w:r w:rsidR="00070C57">
        <w:t>t issued a p</w:t>
      </w:r>
      <w:r w:rsidR="005C05A2">
        <w:t>erem</w:t>
      </w:r>
      <w:r w:rsidR="00070C57">
        <w:t>ptory writ o</w:t>
      </w:r>
      <w:r w:rsidR="00F11880">
        <w:t>f mandate</w:t>
      </w:r>
      <w:r w:rsidR="00070C57">
        <w:t xml:space="preserve"> ordering the City to set aside the resolutions</w:t>
      </w:r>
      <w:r w:rsidR="00F11880">
        <w:t xml:space="preserve"> that approved the MND </w:t>
      </w:r>
      <w:r w:rsidR="007B124E">
        <w:t>P</w:t>
      </w:r>
      <w:r w:rsidR="00F11880">
        <w:t>rojects.  The trial court also ordered that it would retain</w:t>
      </w:r>
      <w:r w:rsidR="00070C57">
        <w:t xml:space="preserve"> jurisdiction over the matter until </w:t>
      </w:r>
      <w:r w:rsidR="00AB6409">
        <w:t>it</w:t>
      </w:r>
      <w:r w:rsidR="00070C57">
        <w:t xml:space="preserve"> determined the City complied with the relevant provisions of CEQA.  The City rescinded the project approvals as directed by the trial court and asked the court to discharge the writ.  McCann</w:t>
      </w:r>
      <w:r w:rsidR="00F11880">
        <w:t xml:space="preserve"> objected to the City’s return and</w:t>
      </w:r>
      <w:r w:rsidR="00070C57">
        <w:t xml:space="preserve"> argued that the trial court should not discharge the writ bec</w:t>
      </w:r>
      <w:r w:rsidR="00314F8E">
        <w:t>ause</w:t>
      </w:r>
      <w:r w:rsidR="00070C57">
        <w:t xml:space="preserve"> the City did not perform the relevant environmental </w:t>
      </w:r>
      <w:r w:rsidR="00F11880">
        <w:t xml:space="preserve">analysis </w:t>
      </w:r>
      <w:r w:rsidR="00314F8E">
        <w:t>or</w:t>
      </w:r>
      <w:r w:rsidR="00F11880">
        <w:t xml:space="preserve"> affirmatively</w:t>
      </w:r>
      <w:r w:rsidR="00314F8E">
        <w:t xml:space="preserve"> indicate that it abandoned the project</w:t>
      </w:r>
      <w:r w:rsidR="00F11880">
        <w:t>s</w:t>
      </w:r>
      <w:r w:rsidR="00314F8E">
        <w:t>.  The trial court sustained</w:t>
      </w:r>
      <w:r w:rsidR="00E25831">
        <w:t xml:space="preserve"> </w:t>
      </w:r>
      <w:r w:rsidR="00314F8E">
        <w:t>McCann’s object</w:t>
      </w:r>
      <w:r w:rsidR="007B124E">
        <w:t>ion</w:t>
      </w:r>
      <w:r w:rsidR="00314F8E">
        <w:t xml:space="preserve"> and declined to discharge the writ.</w:t>
      </w:r>
    </w:p>
    <w:p w14:paraId="7B3BF5FA" w14:textId="2A3E2C75" w:rsidR="00B86D2B" w:rsidRPr="002678C4" w:rsidRDefault="0095045B" w:rsidP="00314F8E">
      <w:pPr>
        <w:keepLines/>
      </w:pPr>
      <w:r>
        <w:tab/>
        <w:t xml:space="preserve">The City appeals the trial court’s post-judgment order declining to discharge the writ.  The City argues it </w:t>
      </w:r>
      <w:r w:rsidR="00F11880">
        <w:t>has fully complied</w:t>
      </w:r>
      <w:r>
        <w:t xml:space="preserve"> with the directives of the writ</w:t>
      </w:r>
      <w:r w:rsidR="00F11880">
        <w:t>, as well as</w:t>
      </w:r>
      <w:r>
        <w:t xml:space="preserve"> the remedial provisions of CEQA, and therefore the trial court has exceeded its jurisdiction by failing to discharge the writ.  </w:t>
      </w:r>
      <w:r w:rsidR="00F11880">
        <w:t xml:space="preserve">As we discuss, we conclude the City has fully satisfied the writ and therefore the </w:t>
      </w:r>
      <w:r w:rsidR="00AB6409">
        <w:t xml:space="preserve">writ </w:t>
      </w:r>
      <w:r w:rsidR="0061383E">
        <w:t>must</w:t>
      </w:r>
      <w:r w:rsidR="00AB6409">
        <w:t xml:space="preserve"> be discharged.</w:t>
      </w:r>
    </w:p>
    <w:p w14:paraId="233B429E" w14:textId="644BE021" w:rsidR="00680016" w:rsidRPr="002678C4" w:rsidRDefault="0095045B" w:rsidP="009C0219">
      <w:pPr>
        <w:pStyle w:val="Heading1"/>
      </w:pPr>
      <w:r w:rsidRPr="0057225A">
        <w:t>FACTUAL AND PROCEDURAL BACKGROUND</w:t>
      </w:r>
    </w:p>
    <w:p w14:paraId="337765AA" w14:textId="0605112F" w:rsidR="00680016" w:rsidRPr="00314916" w:rsidRDefault="0095045B" w:rsidP="004A21F6">
      <w:pPr>
        <w:pStyle w:val="Heading2"/>
      </w:pPr>
      <w:r w:rsidRPr="00314916">
        <w:rPr>
          <w:i/>
          <w:iCs/>
        </w:rPr>
        <w:t>McCann</w:t>
      </w:r>
      <w:r w:rsidRPr="00314916">
        <w:t xml:space="preserve"> </w:t>
      </w:r>
      <w:r w:rsidRPr="00314916">
        <w:rPr>
          <w:i/>
          <w:iCs/>
        </w:rPr>
        <w:t>I</w:t>
      </w:r>
    </w:p>
    <w:p w14:paraId="6E0348B9" w14:textId="1D9E110E" w:rsidR="009F1142" w:rsidRPr="00B544CB" w:rsidRDefault="0095045B" w:rsidP="00680016">
      <w:r w:rsidRPr="002678C4">
        <w:tab/>
      </w:r>
      <w:r w:rsidR="00D95AA3">
        <w:t xml:space="preserve">The factual details of this case are fully set forth in our prior opinion in </w:t>
      </w:r>
      <w:bookmarkStart w:id="6" w:name="dabmci_fb7a3819f9074e53ba7f5179d14fa926"/>
      <w:r w:rsidR="00D95AA3">
        <w:rPr>
          <w:i/>
          <w:iCs/>
        </w:rPr>
        <w:t>McCann I</w:t>
      </w:r>
      <w:bookmarkEnd w:id="6"/>
      <w:r w:rsidR="00D95AA3">
        <w:t xml:space="preserve"> and we need not fully recount them here</w:t>
      </w:r>
      <w:r w:rsidR="00AE27D7">
        <w:t>; w</w:t>
      </w:r>
      <w:r w:rsidR="00D95AA3">
        <w:t xml:space="preserve">e limit our discussion of those facts necessary to reach the appropriate disposition in the instant case.  It suffices to say that the dispute in this case is related to the City’s </w:t>
      </w:r>
      <w:r w:rsidR="00B544CB">
        <w:t>“</w:t>
      </w:r>
      <w:r w:rsidR="001723F5" w:rsidRPr="002678C4">
        <w:t xml:space="preserve">decades-long effort to </w:t>
      </w:r>
      <w:r w:rsidR="000303BF" w:rsidRPr="002678C4">
        <w:t xml:space="preserve">convert its overhead utility systems, suspended on </w:t>
      </w:r>
      <w:r w:rsidR="00872283" w:rsidRPr="002678C4">
        <w:t xml:space="preserve">wooden </w:t>
      </w:r>
      <w:r w:rsidR="000303BF" w:rsidRPr="002678C4">
        <w:t>poles, to a</w:t>
      </w:r>
      <w:r w:rsidR="005A20F4" w:rsidRPr="002678C4">
        <w:t>n</w:t>
      </w:r>
      <w:r w:rsidR="000303BF" w:rsidRPr="002678C4">
        <w:t xml:space="preserve"> underground system.</w:t>
      </w:r>
      <w:r w:rsidR="00B544CB">
        <w:t>”  (</w:t>
      </w:r>
      <w:bookmarkStart w:id="7" w:name="dabmci_46f7d8cf64534db8a51ce459bc3ef79d"/>
      <w:r w:rsidR="00B544CB">
        <w:rPr>
          <w:i/>
          <w:iCs/>
        </w:rPr>
        <w:t xml:space="preserve">McCann I, supra, </w:t>
      </w:r>
      <w:r w:rsidR="00D25227">
        <w:t xml:space="preserve">70 Cal.App.5th </w:t>
      </w:r>
      <w:r w:rsidR="00B544CB">
        <w:t>at p. 66</w:t>
      </w:r>
      <w:bookmarkEnd w:id="7"/>
      <w:r w:rsidR="00B544CB">
        <w:t>.)</w:t>
      </w:r>
      <w:r w:rsidR="00911664">
        <w:t xml:space="preserve">  McCann, a resident of a neighborhood within the undergrounding project, challenged</w:t>
      </w:r>
      <w:r w:rsidR="00AE27D7">
        <w:t>,</w:t>
      </w:r>
      <w:r w:rsidR="00911664">
        <w:t xml:space="preserve"> inter alia</w:t>
      </w:r>
      <w:r w:rsidR="00AE27D7">
        <w:t>,</w:t>
      </w:r>
      <w:r w:rsidR="00911664">
        <w:t xml:space="preserve"> the need for the underground system to be supplemented with above-ground transformers house</w:t>
      </w:r>
      <w:r w:rsidR="00AE27D7">
        <w:t>d</w:t>
      </w:r>
      <w:r w:rsidR="00911664">
        <w:t xml:space="preserve"> in three-foot-tall </w:t>
      </w:r>
      <w:r w:rsidR="00911664">
        <w:lastRenderedPageBreak/>
        <w:t>metal boxes in the public right-of-way.</w:t>
      </w:r>
      <w:r w:rsidR="00B544CB">
        <w:t xml:space="preserve">  (</w:t>
      </w:r>
      <w:bookmarkStart w:id="8" w:name="dabmci_6d9ba94da847470591c6d382132cc572"/>
      <w:r w:rsidR="00B544CB">
        <w:rPr>
          <w:i/>
          <w:iCs/>
        </w:rPr>
        <w:t xml:space="preserve">Id. </w:t>
      </w:r>
      <w:r w:rsidR="00B544CB">
        <w:t>at p. 65</w:t>
      </w:r>
      <w:bookmarkEnd w:id="8"/>
      <w:r w:rsidR="00B544CB">
        <w:t>.)</w:t>
      </w:r>
      <w:r w:rsidR="00AE27D7">
        <w:t xml:space="preserve">  On appeal, </w:t>
      </w:r>
      <w:r w:rsidR="00AB6409">
        <w:t>she argued that the City failed to complete the requisite environmental review process delineated in CEQA for</w:t>
      </w:r>
      <w:r w:rsidR="00AE27D7">
        <w:t xml:space="preserve"> two sets of projects within the City’s broader undergrounding plan</w:t>
      </w:r>
      <w:r w:rsidR="00AB6409">
        <w:t>.</w:t>
      </w:r>
      <w:r w:rsidR="00B544CB">
        <w:t xml:space="preserve">  (</w:t>
      </w:r>
      <w:bookmarkStart w:id="9" w:name="dabmci_dc53f94a816945219b73d7a5baf2a173"/>
      <w:r w:rsidR="00B544CB">
        <w:rPr>
          <w:i/>
          <w:iCs/>
        </w:rPr>
        <w:t>Ibid</w:t>
      </w:r>
      <w:r w:rsidR="00B544CB">
        <w:t>.</w:t>
      </w:r>
      <w:bookmarkEnd w:id="9"/>
      <w:r w:rsidR="00B544CB">
        <w:t>)</w:t>
      </w:r>
    </w:p>
    <w:p w14:paraId="7445638F" w14:textId="768DA76F" w:rsidR="00AE27D7" w:rsidRPr="00B544CB" w:rsidRDefault="0095045B" w:rsidP="00680016">
      <w:r>
        <w:tab/>
        <w:t xml:space="preserve">As to the first set of projects, </w:t>
      </w:r>
      <w:r w:rsidR="0049567F">
        <w:t xml:space="preserve">McCann argued the City erred when it </w:t>
      </w:r>
      <w:r>
        <w:t>determin</w:t>
      </w:r>
      <w:r w:rsidR="0049567F">
        <w:t>ed</w:t>
      </w:r>
      <w:r>
        <w:t xml:space="preserve"> the project</w:t>
      </w:r>
      <w:r w:rsidR="0049567F">
        <w:t>s</w:t>
      </w:r>
      <w:r>
        <w:t xml:space="preserve"> were exempt from CEQA.</w:t>
      </w:r>
      <w:r w:rsidR="00B544CB">
        <w:t xml:space="preserve">  (</w:t>
      </w:r>
      <w:bookmarkStart w:id="10" w:name="dabmci_fb394d006235473c834951904e79fcea"/>
      <w:r w:rsidR="00B544CB">
        <w:rPr>
          <w:i/>
          <w:iCs/>
        </w:rPr>
        <w:t>McCann</w:t>
      </w:r>
      <w:r w:rsidR="001835F7">
        <w:rPr>
          <w:i/>
          <w:iCs/>
        </w:rPr>
        <w:t xml:space="preserve"> I</w:t>
      </w:r>
      <w:r w:rsidR="00B544CB">
        <w:rPr>
          <w:i/>
          <w:iCs/>
        </w:rPr>
        <w:t>, supra,</w:t>
      </w:r>
      <w:r w:rsidR="006B5BDF">
        <w:rPr>
          <w:i/>
          <w:iCs/>
        </w:rPr>
        <w:t xml:space="preserve"> </w:t>
      </w:r>
      <w:r w:rsidR="006B5BDF">
        <w:t>70 Cal.App.5th</w:t>
      </w:r>
      <w:r w:rsidR="00B544CB">
        <w:rPr>
          <w:i/>
          <w:iCs/>
        </w:rPr>
        <w:t xml:space="preserve"> </w:t>
      </w:r>
      <w:r w:rsidR="00B544CB">
        <w:t>at pp. 65-66</w:t>
      </w:r>
      <w:bookmarkEnd w:id="10"/>
      <w:r w:rsidR="00B544CB">
        <w:t>.)</w:t>
      </w:r>
      <w:r>
        <w:t xml:space="preserve"> </w:t>
      </w:r>
      <w:r w:rsidR="0049567F">
        <w:t xml:space="preserve"> We concluded McCann’s claims were barred because she failed to exhaust </w:t>
      </w:r>
      <w:r w:rsidR="00AB6409">
        <w:t>her</w:t>
      </w:r>
      <w:r w:rsidR="0049567F">
        <w:t xml:space="preserve"> administrative remedies set forth in the San Diego Municipal Code requir</w:t>
      </w:r>
      <w:r w:rsidR="00314F8E">
        <w:t>ing</w:t>
      </w:r>
      <w:r w:rsidR="0049567F">
        <w:t xml:space="preserve"> her to file an administrative appeal of </w:t>
      </w:r>
      <w:r w:rsidR="0000191D">
        <w:t xml:space="preserve">the </w:t>
      </w:r>
      <w:r w:rsidR="0049567F">
        <w:t xml:space="preserve">exemption determination. </w:t>
      </w:r>
      <w:r w:rsidR="00314F8E">
        <w:t xml:space="preserve"> </w:t>
      </w:r>
      <w:r w:rsidR="00B544CB">
        <w:t>(</w:t>
      </w:r>
      <w:bookmarkStart w:id="11" w:name="dabmci_9cb9a0cc8ae744feab9b1d998f8f62c0"/>
      <w:r w:rsidR="00B544CB">
        <w:rPr>
          <w:i/>
          <w:iCs/>
        </w:rPr>
        <w:t xml:space="preserve">Id. </w:t>
      </w:r>
      <w:r w:rsidR="00B544CB">
        <w:t>at p. 76</w:t>
      </w:r>
      <w:bookmarkEnd w:id="11"/>
      <w:r w:rsidR="00B544CB">
        <w:t>.)</w:t>
      </w:r>
    </w:p>
    <w:p w14:paraId="4075B477" w14:textId="1EB5F74F" w:rsidR="001E1119" w:rsidRPr="003B0847" w:rsidRDefault="0095045B" w:rsidP="00680016">
      <w:r>
        <w:tab/>
      </w:r>
      <w:r w:rsidR="00314F8E">
        <w:t>T</w:t>
      </w:r>
      <w:r>
        <w:t>he second set of projects</w:t>
      </w:r>
      <w:r w:rsidR="00AB6409">
        <w:t xml:space="preserve">—the MND </w:t>
      </w:r>
      <w:r w:rsidR="007B124E">
        <w:t>P</w:t>
      </w:r>
      <w:r w:rsidR="00AB6409">
        <w:t xml:space="preserve">rojects at issue in this case—were </w:t>
      </w:r>
      <w:r w:rsidR="00E47755">
        <w:t xml:space="preserve">approved by the City through the use of a </w:t>
      </w:r>
      <w:r w:rsidR="00AB6409">
        <w:t>m</w:t>
      </w:r>
      <w:r w:rsidR="00E47755">
        <w:t xml:space="preserve">itigated </w:t>
      </w:r>
      <w:r w:rsidR="00AB6409">
        <w:t>n</w:t>
      </w:r>
      <w:r w:rsidR="00E47755">
        <w:t xml:space="preserve">egative </w:t>
      </w:r>
      <w:r w:rsidR="00AB6409">
        <w:t>d</w:t>
      </w:r>
      <w:r w:rsidR="00E47755">
        <w:t>eclaration</w:t>
      </w:r>
      <w:r w:rsidR="00314F8E">
        <w:t>.</w:t>
      </w:r>
      <w:r w:rsidR="00B544CB">
        <w:t xml:space="preserve">  (</w:t>
      </w:r>
      <w:bookmarkStart w:id="12" w:name="dabmci_6195c0ce22424da1962e4b9d1dc6f508"/>
      <w:r w:rsidR="00B544CB">
        <w:rPr>
          <w:i/>
          <w:iCs/>
        </w:rPr>
        <w:t>McCann</w:t>
      </w:r>
      <w:r w:rsidR="001835F7">
        <w:rPr>
          <w:i/>
          <w:iCs/>
        </w:rPr>
        <w:t xml:space="preserve"> I</w:t>
      </w:r>
      <w:r w:rsidR="00B544CB">
        <w:rPr>
          <w:i/>
          <w:iCs/>
        </w:rPr>
        <w:t>, supra,</w:t>
      </w:r>
      <w:r w:rsidR="00D25227">
        <w:rPr>
          <w:i/>
          <w:iCs/>
        </w:rPr>
        <w:t xml:space="preserve"> </w:t>
      </w:r>
      <w:r w:rsidR="00D25227">
        <w:t>70 Cal.App.5th</w:t>
      </w:r>
      <w:r w:rsidR="00B544CB">
        <w:rPr>
          <w:i/>
          <w:iCs/>
        </w:rPr>
        <w:t xml:space="preserve"> </w:t>
      </w:r>
      <w:r w:rsidR="00B544CB">
        <w:t>at p. 71</w:t>
      </w:r>
      <w:bookmarkEnd w:id="12"/>
      <w:r w:rsidR="00B544CB">
        <w:t>.)</w:t>
      </w:r>
      <w:r>
        <w:t xml:space="preserve"> </w:t>
      </w:r>
      <w:r w:rsidR="00314F8E">
        <w:t xml:space="preserve"> </w:t>
      </w:r>
      <w:r>
        <w:t>McCann argued</w:t>
      </w:r>
      <w:r w:rsidR="00314F8E">
        <w:t xml:space="preserve"> that</w:t>
      </w:r>
      <w:r>
        <w:t xml:space="preserve"> the City violated CEQA</w:t>
      </w:r>
      <w:r w:rsidR="00314F8E">
        <w:t xml:space="preserve"> </w:t>
      </w:r>
      <w:r w:rsidR="00AB6409">
        <w:t>by</w:t>
      </w:r>
      <w:r w:rsidR="00F75EB4">
        <w:t xml:space="preserve">: </w:t>
      </w:r>
      <w:r w:rsidR="0002459E">
        <w:t xml:space="preserve"> </w:t>
      </w:r>
      <w:r w:rsidR="00F75EB4">
        <w:t>(1)</w:t>
      </w:r>
      <w:r w:rsidR="00AB6409">
        <w:t xml:space="preserve"> </w:t>
      </w:r>
      <w:r>
        <w:t>impermissibly segmenting the citywide undergrounding project into smaller projects</w:t>
      </w:r>
      <w:r w:rsidR="00F75EB4">
        <w:t>; (2)</w:t>
      </w:r>
      <w:r>
        <w:t xml:space="preserve"> not defining the location of each transformer box before considering the environmental impact of the plan;</w:t>
      </w:r>
      <w:r w:rsidR="00F75EB4">
        <w:t xml:space="preserve"> (3)</w:t>
      </w:r>
      <w:r>
        <w:t xml:space="preserve"> failing to consider the significant impact on aesthetics cause</w:t>
      </w:r>
      <w:r w:rsidR="00D25227">
        <w:t>d</w:t>
      </w:r>
      <w:r>
        <w:t xml:space="preserve"> by the projects; and</w:t>
      </w:r>
      <w:r w:rsidR="00F75EB4">
        <w:t xml:space="preserve"> (4) </w:t>
      </w:r>
      <w:r>
        <w:t xml:space="preserve">determining that the projects would not have a significant environmental impact due to the greenhouse </w:t>
      </w:r>
      <w:r w:rsidR="00D25227">
        <w:t xml:space="preserve">(GHG) </w:t>
      </w:r>
      <w:r>
        <w:t>emissions.</w:t>
      </w:r>
      <w:r w:rsidR="00B544CB">
        <w:t xml:space="preserve">  (</w:t>
      </w:r>
      <w:bookmarkStart w:id="13" w:name="dabmci_655ec5f4726540a5bd591a6527f20846"/>
      <w:r w:rsidR="00B544CB">
        <w:rPr>
          <w:i/>
          <w:iCs/>
        </w:rPr>
        <w:t xml:space="preserve">Id. </w:t>
      </w:r>
      <w:r w:rsidR="00B544CB">
        <w:t>at p. 66</w:t>
      </w:r>
      <w:bookmarkEnd w:id="13"/>
      <w:r w:rsidR="00B544CB">
        <w:t>.)</w:t>
      </w:r>
      <w:r>
        <w:t xml:space="preserve">  We rejected each of McCann’s assertions, </w:t>
      </w:r>
      <w:r w:rsidR="008D7B98">
        <w:t>except for her claim that substantial evidence did not support the City’s finding that the projects would not have a significant environmental impact due to</w:t>
      </w:r>
      <w:r w:rsidR="00D25227">
        <w:t xml:space="preserve"> </w:t>
      </w:r>
      <w:r w:rsidR="00F75EB4">
        <w:t>GHG</w:t>
      </w:r>
      <w:r w:rsidR="008D7B98">
        <w:t xml:space="preserve"> emissions. </w:t>
      </w:r>
      <w:r w:rsidR="00B544CB">
        <w:t xml:space="preserve"> (</w:t>
      </w:r>
      <w:bookmarkStart w:id="14" w:name="dabmci_985bbf2249fe4b20ba9a8a9c8d558798"/>
      <w:r w:rsidR="00B544CB">
        <w:rPr>
          <w:i/>
          <w:iCs/>
        </w:rPr>
        <w:t xml:space="preserve">Id. </w:t>
      </w:r>
      <w:r w:rsidR="00B544CB">
        <w:t>at p</w:t>
      </w:r>
      <w:r w:rsidR="003B0847">
        <w:t>p</w:t>
      </w:r>
      <w:r w:rsidR="00B544CB">
        <w:t>.</w:t>
      </w:r>
      <w:r w:rsidR="003B0847">
        <w:t xml:space="preserve"> 84-</w:t>
      </w:r>
      <w:r w:rsidR="00B544CB">
        <w:t>91</w:t>
      </w:r>
      <w:bookmarkEnd w:id="14"/>
      <w:r w:rsidR="00B544CB">
        <w:t>.)</w:t>
      </w:r>
      <w:r w:rsidR="008D7B98">
        <w:t xml:space="preserve"> </w:t>
      </w:r>
      <w:r w:rsidR="00B544CB">
        <w:t xml:space="preserve"> </w:t>
      </w:r>
      <w:r w:rsidR="00AB6409">
        <w:t>We concluded that because t</w:t>
      </w:r>
      <w:r w:rsidR="008D7B98">
        <w:t xml:space="preserve">he City did not analyze whether the projects were consistent with the </w:t>
      </w:r>
      <w:r w:rsidR="00F75EB4">
        <w:t>GHG</w:t>
      </w:r>
      <w:r w:rsidR="008D7B98">
        <w:t xml:space="preserve"> reduction measures included in the City’s Climate Action Plan</w:t>
      </w:r>
      <w:r w:rsidR="00AB6409">
        <w:t>,</w:t>
      </w:r>
      <w:r w:rsidR="00314F8E">
        <w:t xml:space="preserve"> substantial evidence did not support</w:t>
      </w:r>
      <w:r w:rsidR="008D7B98">
        <w:t xml:space="preserve"> the City’s </w:t>
      </w:r>
      <w:r>
        <w:t>finding</w:t>
      </w:r>
      <w:r w:rsidR="008D7B98">
        <w:t xml:space="preserve"> that</w:t>
      </w:r>
      <w:r>
        <w:t xml:space="preserve"> the</w:t>
      </w:r>
      <w:r w:rsidR="008D7B98">
        <w:t xml:space="preserve"> projects would not have a significant environmental impact</w:t>
      </w:r>
      <w:r w:rsidR="00462D91">
        <w:t>.</w:t>
      </w:r>
      <w:r w:rsidR="003B0847">
        <w:t xml:space="preserve">  (</w:t>
      </w:r>
      <w:bookmarkStart w:id="15" w:name="dabmci_2b1b3e75328c4d9180ea69366a48cfa8"/>
      <w:r w:rsidR="003B0847">
        <w:rPr>
          <w:i/>
          <w:iCs/>
        </w:rPr>
        <w:t xml:space="preserve">Id. </w:t>
      </w:r>
      <w:r w:rsidR="003B0847">
        <w:t>at p. 91</w:t>
      </w:r>
      <w:bookmarkEnd w:id="15"/>
      <w:r w:rsidR="003B0847">
        <w:t>.)</w:t>
      </w:r>
    </w:p>
    <w:p w14:paraId="2239D1FC" w14:textId="557FB7D6" w:rsidR="00E25831" w:rsidRPr="003B0847" w:rsidRDefault="0095045B" w:rsidP="00E25831">
      <w:r>
        <w:lastRenderedPageBreak/>
        <w:tab/>
      </w:r>
      <w:r w:rsidR="00462D91">
        <w:t xml:space="preserve">Accordingly, in </w:t>
      </w:r>
      <w:bookmarkStart w:id="16" w:name="dabmci_949f38b7ff2f4f26ab32e05733b49bae"/>
      <w:r>
        <w:rPr>
          <w:i/>
          <w:iCs/>
        </w:rPr>
        <w:t>McCann I</w:t>
      </w:r>
      <w:bookmarkEnd w:id="16"/>
      <w:r w:rsidR="006B5BDF">
        <w:rPr>
          <w:i/>
          <w:iCs/>
        </w:rPr>
        <w:t>,</w:t>
      </w:r>
      <w:r>
        <w:t xml:space="preserve"> we reversed the trial court’s judgment as to </w:t>
      </w:r>
      <w:r w:rsidR="00462D91">
        <w:t xml:space="preserve">the </w:t>
      </w:r>
      <w:r w:rsidR="00AB6409">
        <w:t>MND</w:t>
      </w:r>
      <w:r w:rsidR="00462D91">
        <w:t xml:space="preserve"> </w:t>
      </w:r>
      <w:r w:rsidR="007B124E">
        <w:t>P</w:t>
      </w:r>
      <w:r w:rsidR="00462D91">
        <w:t>rojects</w:t>
      </w:r>
      <w:r>
        <w:t xml:space="preserve"> and affirmed the judgment in all other respects.  </w:t>
      </w:r>
      <w:r w:rsidR="003B0847">
        <w:t>(</w:t>
      </w:r>
      <w:bookmarkStart w:id="17" w:name="dabmci_b996f2c8fed54261b37fe9f06cb52468"/>
      <w:r w:rsidR="003B0847">
        <w:rPr>
          <w:i/>
          <w:iCs/>
        </w:rPr>
        <w:t>McCann</w:t>
      </w:r>
      <w:r w:rsidR="001835F7">
        <w:rPr>
          <w:i/>
          <w:iCs/>
        </w:rPr>
        <w:t xml:space="preserve"> I</w:t>
      </w:r>
      <w:r w:rsidR="003B0847">
        <w:rPr>
          <w:i/>
          <w:iCs/>
        </w:rPr>
        <w:t>, s</w:t>
      </w:r>
      <w:r w:rsidR="00D25227">
        <w:rPr>
          <w:i/>
          <w:iCs/>
        </w:rPr>
        <w:t xml:space="preserve">upra, </w:t>
      </w:r>
      <w:r w:rsidR="00D25227">
        <w:t xml:space="preserve">70 Cal.App.5th </w:t>
      </w:r>
      <w:r w:rsidR="003B0847">
        <w:t>at pp. 98-99</w:t>
      </w:r>
      <w:bookmarkEnd w:id="17"/>
      <w:r w:rsidR="003B0847">
        <w:t xml:space="preserve">.)  </w:t>
      </w:r>
      <w:r w:rsidR="00AB6409">
        <w:t>O</w:t>
      </w:r>
      <w:r>
        <w:t>ur disposition</w:t>
      </w:r>
      <w:r w:rsidR="00462D91">
        <w:t xml:space="preserve"> directed </w:t>
      </w:r>
      <w:r w:rsidRPr="001E1119">
        <w:t xml:space="preserve">the trial court to </w:t>
      </w:r>
      <w:r w:rsidR="00025289">
        <w:t>“</w:t>
      </w:r>
      <w:r w:rsidRPr="001E1119">
        <w:t xml:space="preserve">enter a new judgment granting the petition as to the second cause of action challenging the </w:t>
      </w:r>
      <w:r w:rsidR="00AB6409">
        <w:t xml:space="preserve">MND </w:t>
      </w:r>
      <w:r w:rsidR="007B124E">
        <w:t>P</w:t>
      </w:r>
      <w:r w:rsidR="00AB6409">
        <w:t>rojects</w:t>
      </w:r>
      <w:r w:rsidRPr="001E1119">
        <w:t xml:space="preserve"> and to issue a peremptory writ of mandate directing the City to set aside its March 5 and March 7, 2019, resolutions adopting the mitigated negative declaration, the mitigation monitoring and reporting program, and establishing the relevant utility undergrounding districts.</w:t>
      </w:r>
      <w:r w:rsidR="00AB6409">
        <w:t>”</w:t>
      </w:r>
      <w:r w:rsidR="003B0847">
        <w:t xml:space="preserve">  (</w:t>
      </w:r>
      <w:bookmarkStart w:id="18" w:name="dabmci_cecf7d0378914c7e851ddab0d086e5cf"/>
      <w:r w:rsidR="003B0847">
        <w:rPr>
          <w:i/>
          <w:iCs/>
        </w:rPr>
        <w:t xml:space="preserve">Id. </w:t>
      </w:r>
      <w:r w:rsidR="003B0847">
        <w:t>at p. 98</w:t>
      </w:r>
      <w:bookmarkEnd w:id="18"/>
      <w:r w:rsidR="003B0847">
        <w:t>.)</w:t>
      </w:r>
    </w:p>
    <w:p w14:paraId="61497640" w14:textId="5BB86765" w:rsidR="00E507D0" w:rsidRPr="002678C4" w:rsidRDefault="0095045B" w:rsidP="004A21F6">
      <w:pPr>
        <w:pStyle w:val="Heading2"/>
      </w:pPr>
      <w:r>
        <w:t>Proceedings on Remand</w:t>
      </w:r>
    </w:p>
    <w:p w14:paraId="439F10AE" w14:textId="0BC85DD0" w:rsidR="00CD695F" w:rsidRDefault="0095045B" w:rsidP="00680016">
      <w:r>
        <w:tab/>
        <w:t>On March 25, 2022, the trial court issued a p</w:t>
      </w:r>
      <w:r w:rsidR="005C05A2">
        <w:t>eremp</w:t>
      </w:r>
      <w:r>
        <w:t>tory writ of mand</w:t>
      </w:r>
      <w:r w:rsidR="00F75EB4">
        <w:t xml:space="preserve">ate </w:t>
      </w:r>
      <w:r>
        <w:t>ordering the City to set aside the March 5</w:t>
      </w:r>
      <w:r w:rsidR="00F75EB4">
        <w:t xml:space="preserve"> </w:t>
      </w:r>
      <w:r>
        <w:t>and March 7, 2019, resolutions.  The trial court further ordered the City to suspend all activity related to the projects that may result in any change to the physical environment until the City reconsidered the rescinded resolutions and brought them into compliance with the requirements of CEQA.  The court explained that the writ did not purport to direct the City to exercise its lawful discretion in any particular way, and that the court would retain jurisdiction over the matter</w:t>
      </w:r>
      <w:r w:rsidR="00462D91">
        <w:t xml:space="preserve"> by way of a return</w:t>
      </w:r>
      <w:r>
        <w:t>, pursuant to section 21168.9, subdivision (b), until the court determined the City complied with CEQA.</w:t>
      </w:r>
    </w:p>
    <w:p w14:paraId="51998E06" w14:textId="1ACC30F1" w:rsidR="004545DE" w:rsidRDefault="0095045B" w:rsidP="00680016">
      <w:r>
        <w:tab/>
        <w:t>On June 15, 2022, the City filed a return to the p</w:t>
      </w:r>
      <w:r w:rsidR="005C05A2">
        <w:t>erem</w:t>
      </w:r>
      <w:r>
        <w:t xml:space="preserve">ptory writ of mandate.  </w:t>
      </w:r>
      <w:r w:rsidR="00246CE2">
        <w:t>Resolution</w:t>
      </w:r>
      <w:r w:rsidR="00BE2EB9">
        <w:t xml:space="preserve"> No. 314160—a resolution passed by the San Diego City Council on June 14, 2022—was included as an exhibit</w:t>
      </w:r>
      <w:r w:rsidR="00973EEE">
        <w:t xml:space="preserve"> </w:t>
      </w:r>
      <w:r w:rsidR="006B5BDF">
        <w:t>to</w:t>
      </w:r>
      <w:r w:rsidR="00973EEE">
        <w:t xml:space="preserve"> the City’s return</w:t>
      </w:r>
      <w:r>
        <w:t xml:space="preserve">.  </w:t>
      </w:r>
      <w:r w:rsidR="00BE2EB9">
        <w:t>Th</w:t>
      </w:r>
      <w:r w:rsidR="00973EEE">
        <w:t>e</w:t>
      </w:r>
      <w:r w:rsidR="00BE2EB9">
        <w:t xml:space="preserve"> r</w:t>
      </w:r>
      <w:r w:rsidR="00246CE2">
        <w:t xml:space="preserve">esolution </w:t>
      </w:r>
      <w:r>
        <w:t>rescinded the March 2019 resolutions</w:t>
      </w:r>
      <w:r w:rsidR="00BE2EB9">
        <w:t xml:space="preserve"> that established and</w:t>
      </w:r>
      <w:r w:rsidR="00F75EB4">
        <w:t xml:space="preserve"> </w:t>
      </w:r>
      <w:r w:rsidR="00BE2EB9">
        <w:t xml:space="preserve">approved </w:t>
      </w:r>
      <w:r w:rsidR="00D25227">
        <w:t xml:space="preserve">the </w:t>
      </w:r>
      <w:r w:rsidR="00973EEE">
        <w:t xml:space="preserve">MND </w:t>
      </w:r>
      <w:r w:rsidR="007B124E">
        <w:t>P</w:t>
      </w:r>
      <w:r w:rsidR="00973EEE">
        <w:t>rojects</w:t>
      </w:r>
      <w:r w:rsidR="00BE2EB9">
        <w:t xml:space="preserve">.  </w:t>
      </w:r>
      <w:r>
        <w:t>Specifically,</w:t>
      </w:r>
      <w:r w:rsidR="00246CE2">
        <w:t xml:space="preserve"> Resolution</w:t>
      </w:r>
      <w:r w:rsidR="00BE2EB9">
        <w:t xml:space="preserve"> No. 314</w:t>
      </w:r>
      <w:r w:rsidR="007B124E">
        <w:t>1</w:t>
      </w:r>
      <w:r w:rsidR="00BE2EB9">
        <w:t>60</w:t>
      </w:r>
      <w:r>
        <w:t xml:space="preserve"> </w:t>
      </w:r>
      <w:r w:rsidR="00BE2EB9">
        <w:t>declared,</w:t>
      </w:r>
      <w:r>
        <w:t xml:space="preserve"> “the Council rescinds the certification of the Mitigated Negative Declaration approved by the Council through [the March</w:t>
      </w:r>
      <w:r w:rsidR="00246CE2">
        <w:t xml:space="preserve"> 5</w:t>
      </w:r>
      <w:r>
        <w:t xml:space="preserve">, 2019, resolution]; rescinds </w:t>
      </w:r>
      <w:r>
        <w:lastRenderedPageBreak/>
        <w:t>establishing UU602 Sampson Street, UU61 Redwood Street, UU616 Hilltop Drive PH II, and UU628 Fairmount Avenue Underground Utility Districts, approved by the Council through [the March 7, 2019</w:t>
      </w:r>
      <w:r w:rsidR="00D25227">
        <w:t>,</w:t>
      </w:r>
      <w:r>
        <w:t xml:space="preserve"> resolution]; and rescinds establishing UU908 Bl</w:t>
      </w:r>
      <w:r w:rsidR="007B124E">
        <w:t>o</w:t>
      </w:r>
      <w:r>
        <w:t>ck 3DD, UU789 Bl</w:t>
      </w:r>
      <w:r w:rsidR="007B124E">
        <w:t>o</w:t>
      </w:r>
      <w:r>
        <w:t>ck 4Y1, UU875 Bl</w:t>
      </w:r>
      <w:r w:rsidR="007B124E">
        <w:t>o</w:t>
      </w:r>
      <w:r>
        <w:t>ck 6H1, and UU668 Bl</w:t>
      </w:r>
      <w:r w:rsidR="007B124E">
        <w:t>o</w:t>
      </w:r>
      <w:r>
        <w:t>ck 8R1 Underground Utility Districts, approved by the Council through [the March 7, 2019</w:t>
      </w:r>
      <w:r w:rsidR="00D25227">
        <w:t>,</w:t>
      </w:r>
      <w:r>
        <w:t xml:space="preserve"> resolution].”</w:t>
      </w:r>
    </w:p>
    <w:p w14:paraId="3275223A" w14:textId="661EC2DB" w:rsidR="00CD695F" w:rsidRDefault="0095045B" w:rsidP="00246CE2">
      <w:pPr>
        <w:ind w:firstLine="720"/>
      </w:pPr>
      <w:r>
        <w:t xml:space="preserve">In their return, the City asked the trial court to discharge the writ and vacate an order to show cause related to contempt proceedings that are not relevant to the issues raised in this appeal.  McCann filed an objection to the City’s return </w:t>
      </w:r>
      <w:r w:rsidR="00874A67">
        <w:t xml:space="preserve">and argued </w:t>
      </w:r>
      <w:r>
        <w:t>that the writ should not be discharged until the City</w:t>
      </w:r>
      <w:r w:rsidR="00874A67">
        <w:t xml:space="preserve"> proved it complied with CEQA by preparing a legally sufficient environmental analysis of the </w:t>
      </w:r>
      <w:r w:rsidR="00F75EB4">
        <w:t>GHG</w:t>
      </w:r>
      <w:r w:rsidR="00E47D55">
        <w:t xml:space="preserve"> </w:t>
      </w:r>
      <w:r w:rsidR="00874A67">
        <w:t>emissions of the</w:t>
      </w:r>
      <w:r w:rsidR="00973EEE">
        <w:t xml:space="preserve"> MND</w:t>
      </w:r>
      <w:r w:rsidR="00874A67">
        <w:t xml:space="preserve"> </w:t>
      </w:r>
      <w:r w:rsidR="007B124E">
        <w:t>P</w:t>
      </w:r>
      <w:r w:rsidR="00874A67">
        <w:t>rojects.  The City filed a response to McCann’s objection and argued that they</w:t>
      </w:r>
      <w:r w:rsidR="00973EEE">
        <w:t xml:space="preserve"> had</w:t>
      </w:r>
      <w:r w:rsidR="00874A67">
        <w:t xml:space="preserve"> fully complied with </w:t>
      </w:r>
      <w:r w:rsidR="00BE2EB9">
        <w:t xml:space="preserve">the terms of </w:t>
      </w:r>
      <w:r w:rsidR="00F327B8">
        <w:t>the writ by rescinding the project approvals</w:t>
      </w:r>
      <w:r w:rsidR="00973EEE">
        <w:t>.</w:t>
      </w:r>
    </w:p>
    <w:p w14:paraId="446119B6" w14:textId="4C820958" w:rsidR="00973EEE" w:rsidRDefault="0095045B" w:rsidP="00246CE2">
      <w:pPr>
        <w:ind w:firstLine="720"/>
      </w:pPr>
      <w:r>
        <w:t>The trial court issued a tentative ruling sustaining McCann’s objection and heard argument from the parties the following day.</w:t>
      </w:r>
      <w:r w:rsidR="00DD45BD">
        <w:t xml:space="preserve">  </w:t>
      </w:r>
      <w:r w:rsidR="00F327B8">
        <w:t>T</w:t>
      </w:r>
      <w:r w:rsidR="00DD45BD">
        <w:t xml:space="preserve">he City argued that </w:t>
      </w:r>
      <w:r w:rsidR="00F327B8">
        <w:t xml:space="preserve">the </w:t>
      </w:r>
      <w:r w:rsidR="00025289">
        <w:t xml:space="preserve">disputed MND </w:t>
      </w:r>
      <w:r w:rsidR="007B124E">
        <w:t>P</w:t>
      </w:r>
      <w:r w:rsidR="00DD45BD">
        <w:t>rojects had been completely rescinded</w:t>
      </w:r>
      <w:r w:rsidR="00F327B8">
        <w:t xml:space="preserve"> </w:t>
      </w:r>
      <w:r w:rsidR="00DD45BD">
        <w:t>and therefore the trial court exceeded its jurisdiction by failing to discharge the writ.</w:t>
      </w:r>
      <w:r w:rsidR="00F327B8">
        <w:t xml:space="preserve">  The City expressly told the court “the projects have been rescinded.  So there is no project and that’s not in dispute.”</w:t>
      </w:r>
    </w:p>
    <w:p w14:paraId="09851AAB" w14:textId="6650AA3C" w:rsidR="00BA0D9E" w:rsidRPr="002678C4" w:rsidRDefault="0095045B" w:rsidP="00AF19DE">
      <w:pPr>
        <w:ind w:firstLine="720"/>
      </w:pPr>
      <w:r>
        <w:t xml:space="preserve">The trial court sustained McCann’s objection and </w:t>
      </w:r>
      <w:r w:rsidR="00F327B8">
        <w:t>confirmed</w:t>
      </w:r>
      <w:r>
        <w:t xml:space="preserve"> its tentative ruling</w:t>
      </w:r>
      <w:r w:rsidR="00F327B8">
        <w:t>.</w:t>
      </w:r>
      <w:r w:rsidR="00973EEE">
        <w:t xml:space="preserve">  </w:t>
      </w:r>
      <w:r>
        <w:t>In</w:t>
      </w:r>
      <w:r w:rsidR="00F327B8">
        <w:t xml:space="preserve"> rendering</w:t>
      </w:r>
      <w:r>
        <w:t xml:space="preserve"> its ruling, the court </w:t>
      </w:r>
      <w:r w:rsidR="00AF19DE">
        <w:t>recognized</w:t>
      </w:r>
      <w:r w:rsidR="00973EEE">
        <w:t xml:space="preserve"> </w:t>
      </w:r>
      <w:r w:rsidR="00F75EB4">
        <w:t xml:space="preserve">that </w:t>
      </w:r>
      <w:r w:rsidR="00973EEE">
        <w:t>case law would seemingly allow</w:t>
      </w:r>
      <w:r w:rsidR="00AF19DE">
        <w:t xml:space="preserve"> McCann </w:t>
      </w:r>
      <w:r w:rsidR="00973EEE">
        <w:t>to</w:t>
      </w:r>
      <w:r w:rsidR="00AF19DE">
        <w:t xml:space="preserve"> simply file a supplemental or new petition to challenge the City’s future compliance with CEQA</w:t>
      </w:r>
      <w:r w:rsidR="00F327B8">
        <w:t xml:space="preserve"> as it relates to the undergrounding projects</w:t>
      </w:r>
      <w:r w:rsidR="00AF19DE">
        <w:t>.  N</w:t>
      </w:r>
      <w:r w:rsidR="00F327B8">
        <w:t>evertheless</w:t>
      </w:r>
      <w:r w:rsidR="00AF19DE">
        <w:t xml:space="preserve">, the trial court concluded, “based on this particular writ and the status of this particular case and the verbiage of this particular return, the court sustains [McCann’s] objection and declines to </w:t>
      </w:r>
      <w:r w:rsidR="00AF19DE">
        <w:lastRenderedPageBreak/>
        <w:t xml:space="preserve">discharge the writ at this time.  The state of affairs will persist until the City files a supplemental return which allows the court to conclude the City has complied with the provisions of CEQA.” </w:t>
      </w:r>
      <w:r w:rsidR="00D25227">
        <w:t xml:space="preserve"> </w:t>
      </w:r>
      <w:r w:rsidR="00AF19DE">
        <w:t xml:space="preserve">The City timely appealed the trial court’s post-judgment order denying </w:t>
      </w:r>
      <w:r w:rsidR="00F11880">
        <w:t>its</w:t>
      </w:r>
      <w:r w:rsidR="00AF19DE">
        <w:t xml:space="preserve"> request to discharge the writ. </w:t>
      </w:r>
      <w:r w:rsidR="001565C6" w:rsidRPr="002678C4">
        <w:tab/>
      </w:r>
      <w:r w:rsidR="00BD629F" w:rsidRPr="002678C4">
        <w:t xml:space="preserve"> </w:t>
      </w:r>
    </w:p>
    <w:p w14:paraId="4822D2F6" w14:textId="36652769" w:rsidR="00663CD5" w:rsidRPr="00663CD5" w:rsidRDefault="0095045B" w:rsidP="00663CD5">
      <w:pPr>
        <w:pStyle w:val="Heading1"/>
      </w:pPr>
      <w:r w:rsidRPr="002678C4">
        <w:t>DISCUSSION</w:t>
      </w:r>
    </w:p>
    <w:p w14:paraId="54999658" w14:textId="6D84AD43" w:rsidR="00663CD5" w:rsidRDefault="0095045B" w:rsidP="00663CD5">
      <w:pPr>
        <w:ind w:firstLine="720"/>
      </w:pPr>
      <w:r>
        <w:t xml:space="preserve">The City argues it complied with the directives of </w:t>
      </w:r>
      <w:r w:rsidR="0061383E">
        <w:t>the</w:t>
      </w:r>
      <w:r w:rsidR="00290921">
        <w:t xml:space="preserve"> trial court’s</w:t>
      </w:r>
      <w:r w:rsidR="0061383E">
        <w:t xml:space="preserve"> p</w:t>
      </w:r>
      <w:r w:rsidR="005C05A2">
        <w:t>erempt</w:t>
      </w:r>
      <w:r w:rsidR="0061383E">
        <w:t>ory writ of mandate, as well as t</w:t>
      </w:r>
      <w:r>
        <w:t xml:space="preserve">he remedial </w:t>
      </w:r>
      <w:r w:rsidR="006B5BDF">
        <w:t>provisions</w:t>
      </w:r>
      <w:r>
        <w:t xml:space="preserve"> set forth in section 21168.9, subdivision (a)(1)</w:t>
      </w:r>
      <w:r w:rsidR="00290921">
        <w:t xml:space="preserve">, by rescinding the MND </w:t>
      </w:r>
      <w:r w:rsidR="007B124E">
        <w:t>P</w:t>
      </w:r>
      <w:r w:rsidR="00290921">
        <w:t>roject</w:t>
      </w:r>
      <w:r w:rsidR="007B124E">
        <w:t>s</w:t>
      </w:r>
      <w:r w:rsidR="00290921">
        <w:t xml:space="preserve"> approvals</w:t>
      </w:r>
      <w:r>
        <w:t>.</w:t>
      </w:r>
      <w:r w:rsidR="00F5359A">
        <w:t xml:space="preserve"> </w:t>
      </w:r>
      <w:r>
        <w:t xml:space="preserve"> Thus, the City contends that the trial court exceeded its jurisdiction by declining to discharge the writ </w:t>
      </w:r>
      <w:r w:rsidR="0061383E">
        <w:t>after</w:t>
      </w:r>
      <w:r>
        <w:t xml:space="preserve"> the writ was fully satisfied.  McCann agrees that the writ may be discharged “[i]f the City no longer intends to move forward with the project” because CEQA does not apply to projects that have been rejected or denied.  However, she contends</w:t>
      </w:r>
      <w:r w:rsidR="0061383E">
        <w:t xml:space="preserve"> </w:t>
      </w:r>
      <w:r>
        <w:t>the evidence demonstrates the City “intends to re-analyze the GHG emissions and re</w:t>
      </w:r>
      <w:r w:rsidR="007B124E">
        <w:t>-</w:t>
      </w:r>
      <w:r>
        <w:t xml:space="preserve">circulate the MND” rather than abandon the disputed projects.  Because the City has provided no evidence that they have conducted the requisite GHG analysis, McCann argues section 21168.9, subdivision (b), “imposes a mandatory duty on the trial court to exercise continuing jurisdiction over the City’s proceedings” until the requirements of CEQA have </w:t>
      </w:r>
      <w:r>
        <w:lastRenderedPageBreak/>
        <w:t>been met.</w:t>
      </w:r>
      <w:r>
        <w:rPr>
          <w:rStyle w:val="FootnoteReference"/>
        </w:rPr>
        <w:footnoteReference w:id="2"/>
      </w:r>
      <w:r>
        <w:t xml:space="preserve">  As we discuss, we conclude the City has fully satisfied the writ</w:t>
      </w:r>
      <w:r w:rsidR="005C05A2">
        <w:t xml:space="preserve"> and therefore the writ must be discharged.</w:t>
      </w:r>
    </w:p>
    <w:p w14:paraId="0E98C117" w14:textId="6D3211EF" w:rsidR="00663CD5" w:rsidRPr="00663CD5" w:rsidRDefault="0095045B" w:rsidP="00663CD5">
      <w:pPr>
        <w:pStyle w:val="Heading2"/>
      </w:pPr>
      <w:r>
        <w:t>General Legal Principles</w:t>
      </w:r>
    </w:p>
    <w:p w14:paraId="49E2E07A" w14:textId="5375333B" w:rsidR="00BD7BB9" w:rsidRPr="001E265D" w:rsidRDefault="0095045B" w:rsidP="006A70E5">
      <w:pPr>
        <w:ind w:firstLine="720"/>
      </w:pPr>
      <w:r w:rsidRPr="002678C4">
        <w:t xml:space="preserve">“CEQA was enacted to advance four related purposes: to (1) inform the government and public about a proposed activity’s potential environmental impacts; (2) identify ways to reduce, or avoid, environmental damage; (3) prevent environmental damage by requiring project changes via alternatives or mitigation measures when feasible; and (4) disclose to the public the rationale for governmental approval of a project that may significantly impact the environment.” </w:t>
      </w:r>
      <w:r>
        <w:t xml:space="preserve"> </w:t>
      </w:r>
      <w:r w:rsidRPr="002678C4">
        <w:t>(</w:t>
      </w:r>
      <w:bookmarkStart w:id="20" w:name="dabmci_3d1720dc708c41cdbbbb9f9478ba8a8c"/>
      <w:r w:rsidRPr="002678C4">
        <w:rPr>
          <w:i/>
          <w:iCs/>
        </w:rPr>
        <w:t>California Building Industry Assn. v. Bay Area Air Quality Management Dist.</w:t>
      </w:r>
      <w:r w:rsidRPr="002678C4">
        <w:t xml:space="preserve"> (2015) 62 Cal.4th 369, 382</w:t>
      </w:r>
      <w:bookmarkEnd w:id="20"/>
      <w:r w:rsidRPr="002678C4">
        <w:t>.)</w:t>
      </w:r>
      <w:r>
        <w:t xml:space="preserve">  </w:t>
      </w:r>
      <w:r w:rsidR="00F0184D">
        <w:t xml:space="preserve">When a </w:t>
      </w:r>
      <w:r w:rsidR="00941EC3">
        <w:t xml:space="preserve">governmental </w:t>
      </w:r>
      <w:r w:rsidR="00F0184D">
        <w:t>agency</w:t>
      </w:r>
      <w:r w:rsidR="00941EC3">
        <w:t>, such as the City,</w:t>
      </w:r>
      <w:r w:rsidR="00F0184D">
        <w:t xml:space="preserve"> has violated CEQA, “</w:t>
      </w:r>
      <w:r w:rsidR="007B124E">
        <w:t>[</w:t>
      </w:r>
      <w:r w:rsidR="00F0184D">
        <w:t>t</w:t>
      </w:r>
      <w:r w:rsidR="007B124E">
        <w:t>]</w:t>
      </w:r>
      <w:r w:rsidR="00F0184D">
        <w:t xml:space="preserve">he mechanism through which the remedy or remedies are implemented [to correct the </w:t>
      </w:r>
      <w:r w:rsidR="00941EC3">
        <w:t xml:space="preserve">CEQA </w:t>
      </w:r>
      <w:r w:rsidR="00F0184D">
        <w:t>violation] is a peremptory writ of mandate.”  (</w:t>
      </w:r>
      <w:bookmarkStart w:id="21" w:name="dabmci_30e314a4315847719a1a4e1b4b98178a"/>
      <w:r w:rsidR="00F0184D" w:rsidRPr="00323535">
        <w:rPr>
          <w:i/>
          <w:iCs/>
        </w:rPr>
        <w:t>POET, LLC v. State Air Resources Bd</w:t>
      </w:r>
      <w:r w:rsidR="00F0184D">
        <w:t>. (2013) 218 Cal.App.4th 681, 756</w:t>
      </w:r>
      <w:bookmarkEnd w:id="21"/>
      <w:r w:rsidR="00F0184D">
        <w:t>.)  Section 21168.9 governs the issuance of such a writ and provides for three types of mandates</w:t>
      </w:r>
      <w:r w:rsidR="001E265D">
        <w:t xml:space="preserve"> that may issue.  (§ 21168.9, subd. (a).)  </w:t>
      </w:r>
      <w:r w:rsidR="00B70219">
        <w:t xml:space="preserve">The governmental agency may be directed </w:t>
      </w:r>
      <w:r w:rsidR="00323535">
        <w:t>“</w:t>
      </w:r>
      <w:r w:rsidR="001E265D">
        <w:t xml:space="preserve">(1) to void, in whole or in part, a determination, finding or decision, (2) to </w:t>
      </w:r>
      <w:r w:rsidR="00B70219">
        <w:t>‘</w:t>
      </w:r>
      <w:r w:rsidR="001E265D">
        <w:t>suspend any or all specific project activity or activities</w:t>
      </w:r>
      <w:r w:rsidR="00B70219">
        <w:t>’</w:t>
      </w:r>
      <w:r w:rsidR="001E265D">
        <w:t xml:space="preserve"> if certain conditions exist, or (3) to take specific action necessary to bring the determination, </w:t>
      </w:r>
      <w:r w:rsidR="001E265D">
        <w:lastRenderedPageBreak/>
        <w:t>finding or decision tainted by the CEQA violation into compliance with CEQA.”  (</w:t>
      </w:r>
      <w:bookmarkStart w:id="22" w:name="dabmci_1984d8fab2924bcc9fb2e46cc439feaa"/>
      <w:r w:rsidR="001E265D" w:rsidRPr="00B70219">
        <w:rPr>
          <w:i/>
          <w:iCs/>
        </w:rPr>
        <w:t>POET, LLC</w:t>
      </w:r>
      <w:r w:rsidR="00B70219" w:rsidRPr="00B70219">
        <w:rPr>
          <w:i/>
          <w:iCs/>
        </w:rPr>
        <w:t>, supra</w:t>
      </w:r>
      <w:r w:rsidR="00B70219">
        <w:t xml:space="preserve">, </w:t>
      </w:r>
      <w:r w:rsidR="001E265D">
        <w:t xml:space="preserve">218 Cal.App.4th </w:t>
      </w:r>
      <w:r w:rsidR="00B70219">
        <w:t xml:space="preserve">at p. </w:t>
      </w:r>
      <w:r w:rsidR="001E265D">
        <w:t>757</w:t>
      </w:r>
      <w:bookmarkEnd w:id="22"/>
      <w:r w:rsidR="001E265D">
        <w:t xml:space="preserve">.)  The </w:t>
      </w:r>
      <w:r w:rsidR="00B70219">
        <w:t>court issuing the writ</w:t>
      </w:r>
      <w:r w:rsidR="001E265D">
        <w:t xml:space="preserve"> has discretion to choose which of the three mandates is appropriate under the circumstances and may impose more than one mandate.  (</w:t>
      </w:r>
      <w:bookmarkStart w:id="23" w:name="dabmci_5c7a944e8c4d41aea106d2a3ab58c3b4"/>
      <w:r w:rsidR="001E265D">
        <w:rPr>
          <w:i/>
          <w:iCs/>
        </w:rPr>
        <w:t>Ibid</w:t>
      </w:r>
      <w:r w:rsidR="001E265D">
        <w:t>.</w:t>
      </w:r>
      <w:bookmarkEnd w:id="23"/>
      <w:r w:rsidR="001E265D">
        <w:t>)</w:t>
      </w:r>
    </w:p>
    <w:p w14:paraId="1CB1AD08" w14:textId="33781A08" w:rsidR="0089072B" w:rsidRDefault="0095045B" w:rsidP="00B70219">
      <w:r>
        <w:tab/>
      </w:r>
      <w:r w:rsidR="00B70219">
        <w:t>Once a p</w:t>
      </w:r>
      <w:r w:rsidR="005C05A2">
        <w:t>erempt</w:t>
      </w:r>
      <w:r w:rsidR="00B70219">
        <w:t>ory writ of mandate has been issued, the court “</w:t>
      </w:r>
      <w:r w:rsidR="0082272D">
        <w:t>should order the agency to file a return by a date certain informing the court of the agency's actions in compliance with the writ.</w:t>
      </w:r>
      <w:r w:rsidR="0002459E">
        <w:t xml:space="preserve"> </w:t>
      </w:r>
      <w:r w:rsidR="0082272D">
        <w:t xml:space="preserve"> [Citation</w:t>
      </w:r>
      <w:r w:rsidR="007B124E">
        <w:t>s</w:t>
      </w:r>
      <w:r w:rsidR="0082272D">
        <w:t xml:space="preserve">.]  [Section] 21168.9, subdivision (b) states, in relevant part, ‘The trial court shall retain jurisdiction over the public agency's proceedings by way of a return to the peremptory writ until the court has determined that the public agency has complied with this division.’ </w:t>
      </w:r>
      <w:r w:rsidR="00B70219">
        <w:t xml:space="preserve"> </w:t>
      </w:r>
      <w:r w:rsidR="0082272D">
        <w:t>This statutory provision for the retention of jurisdiction reflects the rule that a court issuing a peremptory writ of mandate retains jurisdiction to determine the adequacy of the return and ensure full compliance with the writ.”  (</w:t>
      </w:r>
      <w:bookmarkStart w:id="24" w:name="dabmci_f02dd725fafe4d2881df61917dfd3696"/>
      <w:r w:rsidR="0082272D" w:rsidRPr="0082272D">
        <w:rPr>
          <w:i/>
          <w:iCs/>
        </w:rPr>
        <w:t>Ballona Wetlands Land Trust v. City of Los Angeles</w:t>
      </w:r>
      <w:r w:rsidR="0082272D">
        <w:t xml:space="preserve"> (2011) 201 Cal.App.4th 455, 479</w:t>
      </w:r>
      <w:r w:rsidR="00666B5B">
        <w:t xml:space="preserve"> (</w:t>
      </w:r>
      <w:r w:rsidR="00666B5B">
        <w:rPr>
          <w:i/>
          <w:iCs/>
        </w:rPr>
        <w:t>Ballona</w:t>
      </w:r>
      <w:r w:rsidR="00666B5B">
        <w:t>)</w:t>
      </w:r>
      <w:bookmarkEnd w:id="24"/>
      <w:r w:rsidR="0082272D">
        <w:t xml:space="preserve">, citing </w:t>
      </w:r>
      <w:bookmarkStart w:id="25" w:name="dabmci_6efa34241bff493e8f5aa60c5020368f"/>
      <w:r w:rsidR="0082272D" w:rsidRPr="00A650CA">
        <w:rPr>
          <w:i/>
          <w:iCs/>
        </w:rPr>
        <w:t>Carmel–by–the–Sea</w:t>
      </w:r>
      <w:r w:rsidR="00A650CA" w:rsidRPr="00A650CA">
        <w:rPr>
          <w:i/>
          <w:iCs/>
        </w:rPr>
        <w:t xml:space="preserve"> v. Board of Supervisors </w:t>
      </w:r>
      <w:r w:rsidR="00A650CA">
        <w:t>(1982)</w:t>
      </w:r>
      <w:r w:rsidR="0082272D">
        <w:t xml:space="preserve"> 137 Cal.App.3d </w:t>
      </w:r>
      <w:r w:rsidR="00A650CA">
        <w:t>964,</w:t>
      </w:r>
      <w:r w:rsidR="0082272D">
        <w:t xml:space="preserve"> 971</w:t>
      </w:r>
      <w:bookmarkEnd w:id="25"/>
      <w:r w:rsidR="0082272D">
        <w:t>.)</w:t>
      </w:r>
      <w:r w:rsidR="00B70219">
        <w:t xml:space="preserve"> </w:t>
      </w:r>
      <w:r w:rsidR="00BF600C">
        <w:t xml:space="preserve"> </w:t>
      </w:r>
    </w:p>
    <w:p w14:paraId="1DD8C709" w14:textId="6765D617" w:rsidR="00025289" w:rsidRDefault="0095045B" w:rsidP="00B70219">
      <w:r>
        <w:tab/>
      </w:r>
      <w:r w:rsidRPr="00025289">
        <w:t>We independently interpret the terms of the peremptory writ of mandate as a question of law, but</w:t>
      </w:r>
      <w:r>
        <w:t xml:space="preserve"> we</w:t>
      </w:r>
      <w:r w:rsidRPr="00025289">
        <w:t xml:space="preserve"> review the adequacy of the City’s return under an abuse of discretion standard of review because the “attempt to comply with the writ is, for all practical purposes, an attempt to comply with CEQA.” (</w:t>
      </w:r>
      <w:bookmarkStart w:id="26" w:name="dabmci_ed3280b1f2b544f68c9b823c0f130585"/>
      <w:r w:rsidRPr="00025289">
        <w:rPr>
          <w:i/>
          <w:iCs/>
        </w:rPr>
        <w:t>POET, LLC, supra</w:t>
      </w:r>
      <w:r w:rsidRPr="00025289">
        <w:t>, 12 Cal.App.5th at p. 62</w:t>
      </w:r>
      <w:bookmarkEnd w:id="26"/>
      <w:r w:rsidRPr="00025289">
        <w:t>.)  In this context, an abuse of discretion “is established ‘if the agency has not proceeded in a manner required by law or if the determination or decision is not supported by substantial evidence.’ [Citations.]”  (</w:t>
      </w:r>
      <w:bookmarkStart w:id="27" w:name="dabmci_45f02bac19c44059be9eca3ef3660427"/>
      <w:r w:rsidRPr="00025289">
        <w:rPr>
          <w:i/>
          <w:iCs/>
        </w:rPr>
        <w:t>Vineyard Area Citizens for Responsible Growth, Inc. v. City of Rancho Cordova</w:t>
      </w:r>
      <w:r w:rsidRPr="00025289">
        <w:t xml:space="preserve"> (2007) 40 Cal.4th 412, 426</w:t>
      </w:r>
      <w:bookmarkEnd w:id="27"/>
      <w:r w:rsidRPr="00025289">
        <w:t xml:space="preserve">.)  </w:t>
      </w:r>
    </w:p>
    <w:p w14:paraId="0F101322" w14:textId="3CA7B36C" w:rsidR="00663CD5" w:rsidRPr="00663CD5" w:rsidRDefault="0095045B" w:rsidP="00C03C02">
      <w:pPr>
        <w:keepNext/>
        <w:rPr>
          <w:b/>
          <w:bCs/>
        </w:rPr>
      </w:pPr>
      <w:r>
        <w:lastRenderedPageBreak/>
        <w:tab/>
      </w:r>
      <w:r>
        <w:rPr>
          <w:b/>
          <w:bCs/>
        </w:rPr>
        <w:t xml:space="preserve">B. Analysis </w:t>
      </w:r>
    </w:p>
    <w:p w14:paraId="0519361B" w14:textId="15F7C7D2" w:rsidR="008443B5" w:rsidRDefault="0095045B" w:rsidP="00C03C02">
      <w:pPr>
        <w:keepNext/>
        <w:ind w:firstLine="720"/>
      </w:pPr>
      <w:r>
        <w:t>I</w:t>
      </w:r>
      <w:r w:rsidR="00F34876">
        <w:t xml:space="preserve">n </w:t>
      </w:r>
      <w:bookmarkStart w:id="28" w:name="dabmci_76a647cc18124d1399b11abab3dc1bd1"/>
      <w:r w:rsidR="00F34876">
        <w:rPr>
          <w:i/>
          <w:iCs/>
        </w:rPr>
        <w:t>McCann I</w:t>
      </w:r>
      <w:bookmarkEnd w:id="28"/>
      <w:r>
        <w:t>,</w:t>
      </w:r>
      <w:r w:rsidR="00F34876">
        <w:rPr>
          <w:i/>
          <w:iCs/>
        </w:rPr>
        <w:t xml:space="preserve"> </w:t>
      </w:r>
      <w:r w:rsidR="00F34876">
        <w:t xml:space="preserve">we </w:t>
      </w:r>
      <w:r w:rsidR="001E265D">
        <w:t>directed</w:t>
      </w:r>
      <w:r w:rsidR="00F34876">
        <w:t xml:space="preserve"> the trial court to, “</w:t>
      </w:r>
      <w:r w:rsidR="00F34876" w:rsidRPr="00F34876">
        <w:t>issue a peremptory writ of mandate directing the City to set aside its March 5 and March 7, 2019, resolutions adopting the mitigated negative declaration, the mitigation monitoring and reporting program, and establishing the relevant utility undergrounding districts</w:t>
      </w:r>
      <w:r w:rsidR="00F34876">
        <w:t>.”</w:t>
      </w:r>
      <w:r w:rsidR="00A02BC1">
        <w:t xml:space="preserve">  (</w:t>
      </w:r>
      <w:bookmarkStart w:id="29" w:name="dabmci_5e929b0574334eaeb3d8eea2027af8ca"/>
      <w:r w:rsidR="00A02BC1">
        <w:rPr>
          <w:i/>
          <w:iCs/>
        </w:rPr>
        <w:t xml:space="preserve">McCann I, supra, </w:t>
      </w:r>
      <w:r w:rsidR="007E655D">
        <w:t xml:space="preserve">70 Cal.App.5th </w:t>
      </w:r>
      <w:r w:rsidR="00A02BC1">
        <w:t>at p. 98</w:t>
      </w:r>
      <w:bookmarkEnd w:id="29"/>
      <w:r w:rsidR="00A02BC1">
        <w:t>.)</w:t>
      </w:r>
      <w:r w:rsidR="00F34876">
        <w:t xml:space="preserve">  </w:t>
      </w:r>
      <w:r w:rsidR="00290921">
        <w:t>This order was authorized by</w:t>
      </w:r>
      <w:r w:rsidR="00941EC3">
        <w:t xml:space="preserve"> section 21168.9, subdivision (a)(1),</w:t>
      </w:r>
      <w:r w:rsidR="0066360E">
        <w:t xml:space="preserve"> </w:t>
      </w:r>
      <w:r w:rsidR="00290921">
        <w:t xml:space="preserve">which permits the court to order </w:t>
      </w:r>
      <w:r w:rsidR="0066360E">
        <w:t xml:space="preserve">a public agency to void a </w:t>
      </w:r>
      <w:r w:rsidR="00027B6D">
        <w:t>“</w:t>
      </w:r>
      <w:r w:rsidR="0066360E">
        <w:t>determination, finding, or decision</w:t>
      </w:r>
      <w:r w:rsidR="00027B6D">
        <w:t xml:space="preserve">,” in violation of CEQA, in whole or in part.  </w:t>
      </w:r>
      <w:r w:rsidR="002C4664">
        <w:t xml:space="preserve">The trial court complied with our </w:t>
      </w:r>
      <w:r w:rsidR="0066360E">
        <w:t>order</w:t>
      </w:r>
      <w:r w:rsidR="002C4664">
        <w:t xml:space="preserve"> and issued </w:t>
      </w:r>
      <w:r w:rsidR="004E1C7A">
        <w:t>a</w:t>
      </w:r>
      <w:r w:rsidR="002C4664">
        <w:t xml:space="preserve"> p</w:t>
      </w:r>
      <w:r w:rsidR="005C05A2">
        <w:t>erempt</w:t>
      </w:r>
      <w:r w:rsidR="002C4664">
        <w:t xml:space="preserve">ory writ of mandate </w:t>
      </w:r>
      <w:r w:rsidR="0066360E">
        <w:t>directing</w:t>
      </w:r>
      <w:r w:rsidR="002C4664">
        <w:t xml:space="preserve"> the City to</w:t>
      </w:r>
      <w:r w:rsidR="004E1C7A">
        <w:t xml:space="preserve"> “set aside” the resolutions approving the disputed </w:t>
      </w:r>
      <w:r w:rsidR="00941EC3">
        <w:t xml:space="preserve">MND </w:t>
      </w:r>
      <w:r w:rsidR="004E1C7A">
        <w:t xml:space="preserve">undergrounding </w:t>
      </w:r>
      <w:r w:rsidR="007B124E">
        <w:t>P</w:t>
      </w:r>
      <w:r w:rsidR="004E1C7A">
        <w:t xml:space="preserve">rojects.  The </w:t>
      </w:r>
      <w:r w:rsidR="004E1C7A" w:rsidRPr="006B5BDF">
        <w:t>writ did</w:t>
      </w:r>
      <w:r w:rsidR="004E1C7A" w:rsidRPr="00941EC3">
        <w:rPr>
          <w:i/>
          <w:iCs/>
        </w:rPr>
        <w:t xml:space="preserve"> not</w:t>
      </w:r>
      <w:r w:rsidR="004E1C7A">
        <w:t xml:space="preserve"> direct the City to perform any other remedial action</w:t>
      </w:r>
      <w:r>
        <w:t xml:space="preserve"> aside from resci</w:t>
      </w:r>
      <w:r w:rsidR="00CB6732">
        <w:t>nding</w:t>
      </w:r>
      <w:r>
        <w:t xml:space="preserve"> the resolutions approving the MND projects</w:t>
      </w:r>
      <w:r w:rsidR="00CB6732">
        <w:t xml:space="preserve"> and halting any further activity on the projects that may alter the environment</w:t>
      </w:r>
      <w:r w:rsidR="00027B6D">
        <w:t xml:space="preserve">—nor </w:t>
      </w:r>
      <w:r w:rsidR="004E1C7A">
        <w:t xml:space="preserve">did we direct </w:t>
      </w:r>
      <w:r w:rsidR="00290921">
        <w:t xml:space="preserve">the trial court to order </w:t>
      </w:r>
      <w:r>
        <w:t>any further remedial action</w:t>
      </w:r>
      <w:r w:rsidR="004E1C7A">
        <w:t xml:space="preserve"> </w:t>
      </w:r>
      <w:r w:rsidR="00C409CE">
        <w:t>in</w:t>
      </w:r>
      <w:r w:rsidR="004E1C7A">
        <w:t xml:space="preserve"> </w:t>
      </w:r>
      <w:bookmarkStart w:id="30" w:name="dabmci_475bc1557efe4483b34bb8a3dc39ca48"/>
      <w:r w:rsidR="004E1C7A">
        <w:rPr>
          <w:i/>
          <w:iCs/>
        </w:rPr>
        <w:t>McCann I</w:t>
      </w:r>
      <w:bookmarkEnd w:id="30"/>
      <w:r w:rsidR="004E1C7A">
        <w:rPr>
          <w:i/>
          <w:iCs/>
        </w:rPr>
        <w:t xml:space="preserve">. </w:t>
      </w:r>
      <w:r w:rsidR="004E1C7A">
        <w:t xml:space="preserve"> </w:t>
      </w:r>
    </w:p>
    <w:p w14:paraId="31B205C9" w14:textId="5DB98D18" w:rsidR="00CB6732" w:rsidRPr="00775A2C" w:rsidRDefault="0095045B" w:rsidP="000F1605">
      <w:pPr>
        <w:ind w:firstLine="720"/>
      </w:pPr>
      <w:r>
        <w:t>Accordingly, because the City complied with the</w:t>
      </w:r>
      <w:r w:rsidR="005C05A2">
        <w:t xml:space="preserve"> trial court’s</w:t>
      </w:r>
      <w:r>
        <w:t xml:space="preserve"> writ of mandate, </w:t>
      </w:r>
      <w:r w:rsidR="006B5BDF">
        <w:t xml:space="preserve">as </w:t>
      </w:r>
      <w:r w:rsidR="005C05A2">
        <w:t>directed in</w:t>
      </w:r>
      <w:r>
        <w:t xml:space="preserve"> our disposition in </w:t>
      </w:r>
      <w:bookmarkStart w:id="31" w:name="dabmci_a92ca0dbec9040ba97e08ac103fe5b38"/>
      <w:r>
        <w:rPr>
          <w:i/>
          <w:iCs/>
        </w:rPr>
        <w:t>McCann I</w:t>
      </w:r>
      <w:bookmarkEnd w:id="31"/>
      <w:r>
        <w:t xml:space="preserve">, </w:t>
      </w:r>
      <w:r w:rsidRPr="00025289">
        <w:t>we perceive no abuse of discretion by the City</w:t>
      </w:r>
      <w:r>
        <w:t>.</w:t>
      </w:r>
      <w:r>
        <w:rPr>
          <w:i/>
          <w:iCs/>
        </w:rPr>
        <w:t xml:space="preserve">  </w:t>
      </w:r>
      <w:r w:rsidR="00027B6D">
        <w:t xml:space="preserve">The </w:t>
      </w:r>
      <w:r w:rsidR="008443B5">
        <w:t>City’s return</w:t>
      </w:r>
      <w:r w:rsidR="00027B6D">
        <w:t xml:space="preserve"> included</w:t>
      </w:r>
      <w:r w:rsidR="008443B5">
        <w:t xml:space="preserve"> </w:t>
      </w:r>
      <w:r w:rsidR="00941EC3">
        <w:t>Resolution No. 314160</w:t>
      </w:r>
      <w:r w:rsidR="007E655D">
        <w:t xml:space="preserve">, which </w:t>
      </w:r>
      <w:r w:rsidR="002B3FB2">
        <w:t>affirmed</w:t>
      </w:r>
      <w:r w:rsidR="008443B5">
        <w:t xml:space="preserve"> that the San Diego City Council rescinded the resolutions approving the MND </w:t>
      </w:r>
      <w:r w:rsidR="007B124E">
        <w:t>P</w:t>
      </w:r>
      <w:r w:rsidR="008443B5">
        <w:t>roject</w:t>
      </w:r>
      <w:r w:rsidR="000236DE">
        <w:t>s</w:t>
      </w:r>
      <w:r w:rsidR="00E07730">
        <w:t>.</w:t>
      </w:r>
      <w:r w:rsidR="00290921">
        <w:t xml:space="preserve">  </w:t>
      </w:r>
      <w:r w:rsidR="000236DE">
        <w:t>The City’s recission of the resolutions satisfies the w</w:t>
      </w:r>
      <w:r w:rsidR="008443B5">
        <w:t>rit</w:t>
      </w:r>
      <w:r w:rsidR="000236DE">
        <w:t>’s order that the City “set aside” the March 5 and 7</w:t>
      </w:r>
      <w:r w:rsidR="00745F81">
        <w:t>,</w:t>
      </w:r>
      <w:r w:rsidR="000236DE">
        <w:t xml:space="preserve"> 2019</w:t>
      </w:r>
      <w:r w:rsidR="00745F81">
        <w:t>,</w:t>
      </w:r>
      <w:r w:rsidR="000236DE">
        <w:t xml:space="preserve"> resolutions</w:t>
      </w:r>
      <w:r w:rsidR="008443B5">
        <w:t>.</w:t>
      </w:r>
      <w:r w:rsidR="00745F81">
        <w:t xml:space="preserve">  Voiding a project approval</w:t>
      </w:r>
      <w:r w:rsidR="00A62127">
        <w:t xml:space="preserve"> </w:t>
      </w:r>
      <w:r w:rsidR="00745F81">
        <w:t xml:space="preserve">is a remedial mandate authorized by </w:t>
      </w:r>
      <w:r w:rsidR="005C05A2">
        <w:t>s</w:t>
      </w:r>
      <w:r w:rsidR="00745F81">
        <w:t>ection 21168.9, subdivision (a)(</w:t>
      </w:r>
      <w:r w:rsidR="007E655D">
        <w:t>1</w:t>
      </w:r>
      <w:r w:rsidR="00745F81">
        <w:t xml:space="preserve">), and we conclude that the City has adequately complied </w:t>
      </w:r>
      <w:r w:rsidR="00A62127">
        <w:t>with this section</w:t>
      </w:r>
      <w:r w:rsidR="00F778CB">
        <w:t xml:space="preserve"> </w:t>
      </w:r>
      <w:r w:rsidR="00A62127">
        <w:t xml:space="preserve">by rescinding the MND </w:t>
      </w:r>
      <w:r w:rsidR="007B124E">
        <w:t>P</w:t>
      </w:r>
      <w:r w:rsidR="00A62127">
        <w:t>roject</w:t>
      </w:r>
      <w:r w:rsidR="007B124E">
        <w:t>s</w:t>
      </w:r>
      <w:r w:rsidR="00A62127">
        <w:t xml:space="preserve"> approvals.</w:t>
      </w:r>
      <w:r w:rsidR="0002459E">
        <w:t xml:space="preserve"> </w:t>
      </w:r>
      <w:r w:rsidR="00A62127">
        <w:t xml:space="preserve"> </w:t>
      </w:r>
      <w:r w:rsidR="00775A2C">
        <w:t xml:space="preserve">(See </w:t>
      </w:r>
      <w:bookmarkStart w:id="32" w:name="dabmci_7663d473108b4314999539aef3dad05e"/>
      <w:r w:rsidR="00775A2C">
        <w:rPr>
          <w:i/>
          <w:iCs/>
        </w:rPr>
        <w:t xml:space="preserve">Gentry v. City of Murrieta </w:t>
      </w:r>
      <w:r w:rsidR="00775A2C">
        <w:t>(1995) 36 Cal.App.4th 1359, 1423</w:t>
      </w:r>
      <w:bookmarkEnd w:id="32"/>
      <w:r w:rsidR="00775A2C">
        <w:t xml:space="preserve"> [</w:t>
      </w:r>
      <w:r w:rsidR="007E655D">
        <w:t>court</w:t>
      </w:r>
      <w:r w:rsidR="00775A2C">
        <w:t xml:space="preserve"> issue</w:t>
      </w:r>
      <w:r w:rsidR="007E655D">
        <w:t>d a</w:t>
      </w:r>
      <w:r w:rsidR="00775A2C">
        <w:t xml:space="preserve"> peremptory writ of mandate ordering the agency to void a project approval </w:t>
      </w:r>
      <w:r w:rsidR="00775A2C">
        <w:lastRenderedPageBreak/>
        <w:t>under section 21168.9, subdivision (a)</w:t>
      </w:r>
      <w:r w:rsidR="007E655D">
        <w:t>(1)</w:t>
      </w:r>
      <w:r w:rsidR="00775A2C">
        <w:t>, but</w:t>
      </w:r>
      <w:r w:rsidR="00624E6B">
        <w:t xml:space="preserve"> did not require</w:t>
      </w:r>
      <w:r w:rsidR="00775A2C">
        <w:t xml:space="preserve"> further corrective action].)</w:t>
      </w:r>
    </w:p>
    <w:p w14:paraId="6D1AB041" w14:textId="07312E28" w:rsidR="000F1605" w:rsidRDefault="0095045B" w:rsidP="000F1605">
      <w:pPr>
        <w:ind w:firstLine="720"/>
      </w:pPr>
      <w:r>
        <w:t xml:space="preserve">Section 21168.9, subdivision (c), confers equitable powers on the trial court to issue orders to compel compliance with </w:t>
      </w:r>
      <w:r w:rsidR="00624E6B">
        <w:t>a peremptory writ of mandate</w:t>
      </w:r>
      <w:r w:rsidR="00A62127">
        <w:t xml:space="preserve"> </w:t>
      </w:r>
      <w:r>
        <w:t xml:space="preserve">(§ 21168.9, subd. (c); </w:t>
      </w:r>
      <w:bookmarkStart w:id="33" w:name="dabmci_4eb700fff6624f808b9543e9ab205065"/>
      <w:r w:rsidR="007B124E">
        <w:rPr>
          <w:i/>
          <w:iCs/>
        </w:rPr>
        <w:t>POET</w:t>
      </w:r>
      <w:r>
        <w:rPr>
          <w:i/>
          <w:iCs/>
        </w:rPr>
        <w:t xml:space="preserve">, LLC, supra, </w:t>
      </w:r>
      <w:r>
        <w:t>12 Cal.App.5th at pp. 86-87</w:t>
      </w:r>
      <w:bookmarkEnd w:id="33"/>
      <w:r>
        <w:t>)</w:t>
      </w:r>
      <w:r w:rsidR="00A62127">
        <w:t>, but</w:t>
      </w:r>
      <w:r>
        <w:t xml:space="preserve"> o</w:t>
      </w:r>
      <w:r w:rsidR="00CB6732">
        <w:t xml:space="preserve">nce </w:t>
      </w:r>
      <w:r w:rsidR="00624E6B">
        <w:t>an agency</w:t>
      </w:r>
      <w:r>
        <w:t xml:space="preserve"> has</w:t>
      </w:r>
      <w:r w:rsidR="00CB6732">
        <w:t xml:space="preserve"> fully satisfied </w:t>
      </w:r>
      <w:r w:rsidR="008443B5">
        <w:t>the writ</w:t>
      </w:r>
      <w:r w:rsidR="000236DE">
        <w:t xml:space="preserve">, </w:t>
      </w:r>
      <w:r w:rsidR="008443B5">
        <w:t>the trial court no longer has continuing jurisdiction over the matter.</w:t>
      </w:r>
      <w:r w:rsidR="0002459E">
        <w:t xml:space="preserve"> </w:t>
      </w:r>
      <w:r w:rsidR="008443B5">
        <w:t xml:space="preserve"> </w:t>
      </w:r>
      <w:r w:rsidR="000236DE">
        <w:t>(</w:t>
      </w:r>
      <w:r w:rsidR="00B13615">
        <w:t xml:space="preserve">See </w:t>
      </w:r>
      <w:bookmarkStart w:id="34" w:name="dabmci_ded6ce7003324c7495b0a87071625b85"/>
      <w:r w:rsidR="000236DE">
        <w:rPr>
          <w:i/>
          <w:iCs/>
        </w:rPr>
        <w:t xml:space="preserve">County of Inyo </w:t>
      </w:r>
      <w:r w:rsidR="000236DE">
        <w:t>(1977) 71 Cal.App.3d 185, 205</w:t>
      </w:r>
      <w:bookmarkEnd w:id="34"/>
      <w:r w:rsidR="000236DE">
        <w:t xml:space="preserve"> [the court has “continuing jurisdiction to enforce the writ </w:t>
      </w:r>
      <w:r w:rsidR="000236DE">
        <w:rPr>
          <w:i/>
          <w:iCs/>
        </w:rPr>
        <w:t>until it is fully satisfied</w:t>
      </w:r>
      <w:r w:rsidR="000236DE">
        <w:t>”</w:t>
      </w:r>
      <w:r w:rsidR="00E07730">
        <w:t xml:space="preserve"> (</w:t>
      </w:r>
      <w:r w:rsidR="0002459E">
        <w:t>i</w:t>
      </w:r>
      <w:r w:rsidR="00E07730">
        <w:t>talics added)</w:t>
      </w:r>
      <w:r w:rsidR="000236DE">
        <w:t>]</w:t>
      </w:r>
      <w:r>
        <w:t xml:space="preserve">; </w:t>
      </w:r>
      <w:bookmarkStart w:id="35" w:name="dabmci_7863ff1bcc5d42229af82e65a85d9770"/>
      <w:r w:rsidRPr="000F1605">
        <w:rPr>
          <w:i/>
          <w:iCs/>
        </w:rPr>
        <w:t>Ballona</w:t>
      </w:r>
      <w:r w:rsidR="00E07730">
        <w:rPr>
          <w:i/>
          <w:iCs/>
        </w:rPr>
        <w:t>, supra,</w:t>
      </w:r>
      <w:r>
        <w:t xml:space="preserve"> 201 Cal.App.4th </w:t>
      </w:r>
      <w:r w:rsidR="00E07730">
        <w:t xml:space="preserve">at p. </w:t>
      </w:r>
      <w:r>
        <w:t>480</w:t>
      </w:r>
      <w:bookmarkEnd w:id="35"/>
      <w:r>
        <w:t xml:space="preserve"> [“the trial court's retained jurisdiction under…section 21168.9, subdivision (b)</w:t>
      </w:r>
      <w:r w:rsidR="00B13615">
        <w:t>,</w:t>
      </w:r>
      <w:r>
        <w:t xml:space="preserve"> is </w:t>
      </w:r>
      <w:r w:rsidRPr="00B13615">
        <w:rPr>
          <w:i/>
          <w:iCs/>
        </w:rPr>
        <w:t>limited to ensuring compliance with the peremptory writ of mandate</w:t>
      </w:r>
      <w:r w:rsidR="00E07730">
        <w:t xml:space="preserve">” </w:t>
      </w:r>
      <w:r w:rsidR="00B13615">
        <w:t>(</w:t>
      </w:r>
      <w:r w:rsidR="0002459E">
        <w:t>i</w:t>
      </w:r>
      <w:r w:rsidR="00B13615">
        <w:t>talics added)</w:t>
      </w:r>
      <w:r>
        <w:t xml:space="preserve">].) </w:t>
      </w:r>
      <w:r w:rsidR="00314916">
        <w:t xml:space="preserve"> </w:t>
      </w:r>
      <w:r w:rsidR="00775A2C">
        <w:t>B</w:t>
      </w:r>
      <w:r w:rsidR="00A62127">
        <w:t xml:space="preserve">ecause we conclude the City’s recission of the MND </w:t>
      </w:r>
      <w:r w:rsidR="007B124E">
        <w:t>p</w:t>
      </w:r>
      <w:r w:rsidR="00A62127">
        <w:t>roject</w:t>
      </w:r>
      <w:r w:rsidR="007B124E">
        <w:t>s</w:t>
      </w:r>
      <w:r w:rsidR="00A62127">
        <w:t xml:space="preserve"> approvals has satisfied the writ, </w:t>
      </w:r>
      <w:r w:rsidR="00775A2C">
        <w:t xml:space="preserve">we </w:t>
      </w:r>
      <w:r w:rsidR="00624E6B">
        <w:t>also</w:t>
      </w:r>
      <w:r w:rsidR="00775A2C">
        <w:t xml:space="preserve"> conclude </w:t>
      </w:r>
      <w:r w:rsidR="00A62127">
        <w:t>the trial court’s failure to discharge the writ and terminate its jurisdiction constitutes an abuse of discretion.  (</w:t>
      </w:r>
      <w:r w:rsidR="007E655D">
        <w:t xml:space="preserve">See </w:t>
      </w:r>
      <w:bookmarkStart w:id="36" w:name="dabmci_f46cdc081dd246459f84470ae262ea22"/>
      <w:r w:rsidR="00A62127" w:rsidRPr="00FB1154">
        <w:rPr>
          <w:i/>
          <w:iCs/>
        </w:rPr>
        <w:t xml:space="preserve">Golden Gate Land Holdings LLC v. East Bay Regional Park Dist. </w:t>
      </w:r>
      <w:r w:rsidR="00A62127" w:rsidRPr="00FB1154">
        <w:t>(2013) 215 Cal.App.4th 353, 368</w:t>
      </w:r>
      <w:bookmarkEnd w:id="36"/>
      <w:r w:rsidR="00A62127" w:rsidRPr="00FB1154">
        <w:t xml:space="preserve"> </w:t>
      </w:r>
      <w:r w:rsidR="00A62127">
        <w:t>[</w:t>
      </w:r>
      <w:r w:rsidR="00A62127" w:rsidRPr="00FB1154">
        <w:t>“</w:t>
      </w:r>
      <w:r w:rsidR="00A62127">
        <w:t>W</w:t>
      </w:r>
      <w:r w:rsidR="00A62127" w:rsidRPr="00FB1154">
        <w:t>e review the trial court's exercise of its equitable powers</w:t>
      </w:r>
      <w:r w:rsidR="00624E6B">
        <w:t xml:space="preserve"> [in a CEQA case]</w:t>
      </w:r>
      <w:r w:rsidR="00A62127" w:rsidRPr="00FB1154">
        <w:t xml:space="preserve"> for abuse of discretion.”</w:t>
      </w:r>
      <w:r w:rsidR="00A62127">
        <w:t xml:space="preserve">].) </w:t>
      </w:r>
    </w:p>
    <w:p w14:paraId="4EEDB963" w14:textId="2754C42F" w:rsidR="00C409CE" w:rsidRDefault="0095045B" w:rsidP="000F1605">
      <w:pPr>
        <w:ind w:firstLine="720"/>
      </w:pPr>
      <w:r>
        <w:t>Having concluded the City has satisfied the writ</w:t>
      </w:r>
      <w:r w:rsidR="00A62127">
        <w:t>,</w:t>
      </w:r>
      <w:r>
        <w:t xml:space="preserve"> we next address the parties’</w:t>
      </w:r>
      <w:r w:rsidR="00A62127">
        <w:t xml:space="preserve"> </w:t>
      </w:r>
      <w:r>
        <w:t>contentions regarding</w:t>
      </w:r>
      <w:r w:rsidR="00B13615">
        <w:t xml:space="preserve"> the extent of the trial court’s continuing jurisdiction</w:t>
      </w:r>
      <w:r w:rsidR="00B13615" w:rsidRPr="00B13615">
        <w:t xml:space="preserve"> </w:t>
      </w:r>
      <w:r w:rsidR="00B13615">
        <w:t xml:space="preserve">to enforce the City’s </w:t>
      </w:r>
      <w:r w:rsidR="002B3FB2" w:rsidRPr="00BD7290">
        <w:t xml:space="preserve">future </w:t>
      </w:r>
      <w:r w:rsidR="00B13615">
        <w:t xml:space="preserve">compliance with CEQA </w:t>
      </w:r>
      <w:r w:rsidR="002B3FB2">
        <w:t>as it relates to the</w:t>
      </w:r>
      <w:r w:rsidR="00B13615">
        <w:t xml:space="preserve"> rescinded MND </w:t>
      </w:r>
      <w:r w:rsidR="007B124E">
        <w:t>P</w:t>
      </w:r>
      <w:r w:rsidR="00B13615">
        <w:t xml:space="preserve">rojects.  </w:t>
      </w:r>
      <w:r w:rsidR="002F68A6">
        <w:t xml:space="preserve">McCann acknowledges that the MND </w:t>
      </w:r>
      <w:r w:rsidR="007B124E">
        <w:t>P</w:t>
      </w:r>
      <w:r w:rsidR="002F68A6">
        <w:t>roject</w:t>
      </w:r>
      <w:r w:rsidR="007B124E">
        <w:t>s</w:t>
      </w:r>
      <w:r w:rsidR="002F68A6">
        <w:t xml:space="preserve"> approvals have been rescinded, but she argues section 21168.9</w:t>
      </w:r>
      <w:r>
        <w:t>, subdivision (b)</w:t>
      </w:r>
      <w:r w:rsidR="0002459E">
        <w:t>,</w:t>
      </w:r>
      <w:r w:rsidR="002F68A6">
        <w:t xml:space="preserve"> authorizes the trial court to retain “jurisdiction over the City’s proceedings until it finds that the City has complied with CEQA.”  </w:t>
      </w:r>
      <w:r>
        <w:t xml:space="preserve">The City argues </w:t>
      </w:r>
      <w:r w:rsidR="00767AEF">
        <w:t xml:space="preserve">that </w:t>
      </w:r>
      <w:r>
        <w:t xml:space="preserve">section 21168.9, subdivision (b), confers only </w:t>
      </w:r>
      <w:r w:rsidR="00624E6B">
        <w:t xml:space="preserve">limited </w:t>
      </w:r>
      <w:r>
        <w:t xml:space="preserve">continuing jurisdiction on a trial court when “the offending project or CEQA </w:t>
      </w:r>
      <w:r>
        <w:lastRenderedPageBreak/>
        <w:t xml:space="preserve">determination is </w:t>
      </w:r>
      <w:r>
        <w:rPr>
          <w:i/>
          <w:iCs/>
        </w:rPr>
        <w:t xml:space="preserve">severed </w:t>
      </w:r>
      <w:r>
        <w:t>and some non-offending portion of the approval is left in place.”</w:t>
      </w:r>
    </w:p>
    <w:p w14:paraId="4DCC49C9" w14:textId="52280156" w:rsidR="00552826" w:rsidRPr="006A26AC" w:rsidRDefault="0095045B" w:rsidP="00BD7290">
      <w:pPr>
        <w:ind w:firstLine="720"/>
      </w:pPr>
      <w:r>
        <w:t>“ ‘[Q]uestions of interpretation or application of the requirements of CEQA are matters of law’ ” subject to de novo review.  (</w:t>
      </w:r>
      <w:bookmarkStart w:id="37" w:name="dabmci_09f29af9599d4524805bac891b55ebf7"/>
      <w:r w:rsidRPr="006A26AC">
        <w:rPr>
          <w:i/>
          <w:iCs/>
        </w:rPr>
        <w:t>San Lorenzo Valley Community Advocates for Responsible Education v. San Lorenzo Valley Unified School Dist</w:t>
      </w:r>
      <w:r>
        <w:t>. (2006) 139 Cal.App.4th 1356, 1375</w:t>
      </w:r>
      <w:bookmarkEnd w:id="37"/>
      <w:r>
        <w:t xml:space="preserve">.) </w:t>
      </w:r>
      <w:r w:rsidR="00666B5B">
        <w:t xml:space="preserve"> </w:t>
      </w:r>
      <w:r>
        <w:t>However, “[i]f the statutory language is clear and unambiguous, our task [of interpreting the statute] is at an end, for there is no need for judicial construction.</w:t>
      </w:r>
      <w:r w:rsidR="00314916">
        <w:t>”</w:t>
      </w:r>
      <w:r>
        <w:t xml:space="preserve">  (</w:t>
      </w:r>
      <w:bookmarkStart w:id="38" w:name="dabmci_44ecad8bb0ed4c4293e3e7c10a83931e"/>
      <w:r w:rsidRPr="006A26AC">
        <w:rPr>
          <w:i/>
          <w:iCs/>
        </w:rPr>
        <w:t>MacIsaac v. Waste Management Collection &amp; Recycling, Inc.</w:t>
      </w:r>
      <w:r>
        <w:t xml:space="preserve"> (2005) 134 Cal.App.4th 1076, 1083</w:t>
      </w:r>
      <w:bookmarkEnd w:id="38"/>
      <w:r>
        <w:t xml:space="preserve">.)  </w:t>
      </w:r>
      <w:r w:rsidR="00767AEF">
        <w:t>Section 21168.9, subdivision (b),</w:t>
      </w:r>
      <w:r w:rsidR="00C412C5">
        <w:t xml:space="preserve"> </w:t>
      </w:r>
      <w:r>
        <w:t>clearly and unambiguously</w:t>
      </w:r>
      <w:r w:rsidR="00C412C5">
        <w:t xml:space="preserve"> states</w:t>
      </w:r>
      <w:r w:rsidR="00624E6B">
        <w:t xml:space="preserve"> that</w:t>
      </w:r>
      <w:r w:rsidR="00C412C5">
        <w:t xml:space="preserve"> the trial court retains jurisdiction </w:t>
      </w:r>
      <w:r w:rsidR="00767AEF">
        <w:t xml:space="preserve">to enforce </w:t>
      </w:r>
      <w:r w:rsidR="00624E6B">
        <w:t>a peremptory writ of mandate</w:t>
      </w:r>
      <w:r w:rsidR="00767AEF">
        <w:t xml:space="preserve"> </w:t>
      </w:r>
      <w:r w:rsidR="00C412C5">
        <w:t>“</w:t>
      </w:r>
      <w:r w:rsidR="00C412C5" w:rsidRPr="00B13615">
        <w:rPr>
          <w:i/>
          <w:iCs/>
        </w:rPr>
        <w:t>until</w:t>
      </w:r>
      <w:r w:rsidR="00C412C5">
        <w:t xml:space="preserve"> the court has determined that the public agency has </w:t>
      </w:r>
      <w:r w:rsidR="00C412C5" w:rsidRPr="00BE7BBE">
        <w:rPr>
          <w:i/>
          <w:iCs/>
        </w:rPr>
        <w:t>complied with this division</w:t>
      </w:r>
      <w:r w:rsidR="00C412C5">
        <w:t>.”</w:t>
      </w:r>
      <w:r w:rsidR="00D071C7">
        <w:t xml:space="preserve"> </w:t>
      </w:r>
      <w:r w:rsidR="00B13615">
        <w:t xml:space="preserve"> (</w:t>
      </w:r>
      <w:r w:rsidR="00767AEF">
        <w:t>I</w:t>
      </w:r>
      <w:r w:rsidR="00B13615">
        <w:t>talics added).</w:t>
      </w:r>
      <w:r w:rsidR="00D071C7">
        <w:t xml:space="preserve"> </w:t>
      </w:r>
      <w:r w:rsidR="00476780">
        <w:t xml:space="preserve"> </w:t>
      </w:r>
      <w:r>
        <w:t>In this case, t</w:t>
      </w:r>
      <w:r w:rsidR="00D071C7">
        <w:t xml:space="preserve">he relevant </w:t>
      </w:r>
      <w:r w:rsidR="00767AEF">
        <w:t>provisions</w:t>
      </w:r>
      <w:r>
        <w:t xml:space="preserve"> of “this division</w:t>
      </w:r>
      <w:r w:rsidR="00476780">
        <w:t>,</w:t>
      </w:r>
      <w:r>
        <w:t>”</w:t>
      </w:r>
      <w:r w:rsidR="00476780">
        <w:t xml:space="preserve"> </w:t>
      </w:r>
      <w:r w:rsidR="002F68A6">
        <w:t>are</w:t>
      </w:r>
      <w:r w:rsidR="00D071C7">
        <w:t xml:space="preserve"> section 21168.9, subdivisions (a)(1) and (2)</w:t>
      </w:r>
      <w:r w:rsidR="00767AEF">
        <w:t>, which t</w:t>
      </w:r>
      <w:r>
        <w:t>he trial court relied on to order</w:t>
      </w:r>
      <w:r w:rsidR="00D071C7">
        <w:t xml:space="preserve"> the City to rescind its project approvals and</w:t>
      </w:r>
      <w:r>
        <w:t xml:space="preserve"> to</w:t>
      </w:r>
      <w:r w:rsidR="00D071C7">
        <w:t xml:space="preserve"> take no further action that could damage or alter the physical environment. </w:t>
      </w:r>
      <w:r w:rsidR="00767AEF">
        <w:t xml:space="preserve"> </w:t>
      </w:r>
      <w:r w:rsidRPr="00552826">
        <w:t xml:space="preserve">The trial court did not issue </w:t>
      </w:r>
      <w:r>
        <w:t>a</w:t>
      </w:r>
      <w:r w:rsidRPr="00552826">
        <w:t xml:space="preserve"> mandate under section 21168.9, subdivision (a)(3)</w:t>
      </w:r>
      <w:r>
        <w:t xml:space="preserve">, to </w:t>
      </w:r>
      <w:r>
        <w:lastRenderedPageBreak/>
        <w:t>perform</w:t>
      </w:r>
      <w:r w:rsidR="002B3FB2">
        <w:t xml:space="preserve"> any</w:t>
      </w:r>
      <w:r>
        <w:t xml:space="preserve"> specific corrective action, nor did we direct the trial </w:t>
      </w:r>
      <w:r w:rsidR="0002459E">
        <w:t xml:space="preserve">court </w:t>
      </w:r>
      <w:r>
        <w:t xml:space="preserve">to do so in </w:t>
      </w:r>
      <w:r>
        <w:rPr>
          <w:i/>
          <w:iCs/>
        </w:rPr>
        <w:t>McCann I.</w:t>
      </w:r>
      <w:r>
        <w:rPr>
          <w:rStyle w:val="FootnoteReference"/>
        </w:rPr>
        <w:footnoteReference w:id="3"/>
      </w:r>
    </w:p>
    <w:p w14:paraId="2F051D7B" w14:textId="323B1A38" w:rsidR="005C7AF9" w:rsidRDefault="0095045B" w:rsidP="006C6A08">
      <w:pPr>
        <w:ind w:firstLine="720"/>
      </w:pPr>
      <w:r>
        <w:t xml:space="preserve">Case law has repeatedly applied </w:t>
      </w:r>
      <w:r w:rsidR="006A26AC">
        <w:t xml:space="preserve">the language of </w:t>
      </w:r>
      <w:r>
        <w:t xml:space="preserve">section 21168.9, subdivision (b), to confer continuing jurisdiction on the trial court to enforce the writ </w:t>
      </w:r>
      <w:r w:rsidRPr="00767AEF">
        <w:t>until the writ is satisfied</w:t>
      </w:r>
      <w:r w:rsidR="0090194D">
        <w:t>.  (</w:t>
      </w:r>
      <w:r w:rsidR="00767AEF">
        <w:t xml:space="preserve">See </w:t>
      </w:r>
      <w:bookmarkStart w:id="44" w:name="dabmci_d47a39caeebc45759e71a41d6e91068c"/>
      <w:r w:rsidR="0090194D">
        <w:rPr>
          <w:i/>
          <w:iCs/>
        </w:rPr>
        <w:t>Ione Valley Land, Air, &amp;</w:t>
      </w:r>
      <w:r w:rsidR="007B124E">
        <w:rPr>
          <w:i/>
          <w:iCs/>
        </w:rPr>
        <w:t xml:space="preserve"> </w:t>
      </w:r>
      <w:r w:rsidR="0090194D">
        <w:rPr>
          <w:i/>
          <w:iCs/>
        </w:rPr>
        <w:t xml:space="preserve">Water Defense Alliance, LLC v. County of Amador </w:t>
      </w:r>
      <w:r w:rsidR="0090194D">
        <w:t>(2019) 33 Cal.App.5th 165, 170</w:t>
      </w:r>
      <w:bookmarkEnd w:id="44"/>
      <w:r w:rsidR="0090194D">
        <w:t xml:space="preserve"> [“trial court retained jurisdiction over the matter until the city complied with the writ”]</w:t>
      </w:r>
      <w:r>
        <w:t xml:space="preserve">; </w:t>
      </w:r>
      <w:bookmarkStart w:id="45" w:name="dabmci_d4aa996f5a4d478dbf0ae391e2eb5a0a"/>
      <w:r w:rsidRPr="005C7AF9">
        <w:rPr>
          <w:i/>
          <w:iCs/>
        </w:rPr>
        <w:t>Ballona</w:t>
      </w:r>
      <w:r w:rsidR="00E07730">
        <w:rPr>
          <w:i/>
          <w:iCs/>
        </w:rPr>
        <w:t>, supra,</w:t>
      </w:r>
      <w:r>
        <w:t xml:space="preserve"> 201 Cal.App.4th </w:t>
      </w:r>
      <w:r w:rsidR="00A246EC">
        <w:t xml:space="preserve">at p. </w:t>
      </w:r>
      <w:r>
        <w:t>479</w:t>
      </w:r>
      <w:bookmarkEnd w:id="45"/>
      <w:r>
        <w:t xml:space="preserve"> [“the retention of jurisdiction [provided for in section 21168.9, subdivision (b)] reflects the rule that a court issuing a peremptory writ of mandate retains jurisdiction to determine the adequacy of the return and </w:t>
      </w:r>
      <w:r w:rsidRPr="00624E6B">
        <w:t>ensure full compliance with the writ</w:t>
      </w:r>
      <w:r>
        <w:t>”].)</w:t>
      </w:r>
      <w:r w:rsidR="006C6A08">
        <w:t xml:space="preserve"> </w:t>
      </w:r>
      <w:r w:rsidR="002F68A6">
        <w:t xml:space="preserve"> Contrary to McCann’s argument, section 21168.9, subdivision (b), does not suggest that the trial court retains jurisdiction in perpetuity based on the hypothetical possibility that the City moves forward with the same </w:t>
      </w:r>
      <w:r w:rsidR="002F68A6">
        <w:lastRenderedPageBreak/>
        <w:t>projects in the future.</w:t>
      </w:r>
      <w:r>
        <w:rPr>
          <w:rStyle w:val="FootnoteReference"/>
        </w:rPr>
        <w:footnoteReference w:id="4"/>
      </w:r>
      <w:r w:rsidR="002F68A6">
        <w:t xml:space="preserve">  And n</w:t>
      </w:r>
      <w:r w:rsidR="002F68A6" w:rsidRPr="00C409CE">
        <w:t>o provision of section 21168.9, subdivision (b), or any related case law, supports the City’s argument that the trial court only has continuing jurisdiction to enforce remedial provisions within a peremptory writ</w:t>
      </w:r>
      <w:r w:rsidR="001D37A4">
        <w:t xml:space="preserve"> of mandate</w:t>
      </w:r>
      <w:r w:rsidR="002F68A6">
        <w:t xml:space="preserve"> </w:t>
      </w:r>
      <w:r w:rsidR="002F68A6" w:rsidRPr="00C409CE">
        <w:t>for projects that have been “severed</w:t>
      </w:r>
      <w:r w:rsidR="002F68A6">
        <w:t>.</w:t>
      </w:r>
      <w:r w:rsidR="002F68A6" w:rsidRPr="00C409CE">
        <w:t xml:space="preserve">” </w:t>
      </w:r>
      <w:r w:rsidR="002F68A6">
        <w:t xml:space="preserve"> The statute simply confer</w:t>
      </w:r>
      <w:r w:rsidR="001D37A4">
        <w:t>s</w:t>
      </w:r>
      <w:r w:rsidR="002F68A6">
        <w:t xml:space="preserve"> continuing jurisdiction on the trial court to enforce the writ until the </w:t>
      </w:r>
      <w:r w:rsidR="001D37A4">
        <w:t>agency has</w:t>
      </w:r>
      <w:r w:rsidR="002F68A6">
        <w:t xml:space="preserve"> complied with its mandates</w:t>
      </w:r>
      <w:r w:rsidR="001D37A4">
        <w:t xml:space="preserve">—which </w:t>
      </w:r>
      <w:r w:rsidR="002F68A6">
        <w:t>the City did</w:t>
      </w:r>
      <w:r w:rsidR="00624E6B">
        <w:t xml:space="preserve"> here</w:t>
      </w:r>
      <w:r w:rsidR="002F68A6">
        <w:t xml:space="preserve"> </w:t>
      </w:r>
      <w:r w:rsidR="00476780">
        <w:t xml:space="preserve">by rescinding the MND </w:t>
      </w:r>
      <w:r w:rsidR="007B124E">
        <w:t>P</w:t>
      </w:r>
      <w:r w:rsidR="00476780">
        <w:t>roject</w:t>
      </w:r>
      <w:r w:rsidR="007B124E">
        <w:t>s</w:t>
      </w:r>
      <w:r w:rsidR="00476780">
        <w:t xml:space="preserve"> approvals</w:t>
      </w:r>
      <w:r w:rsidR="002F68A6">
        <w:t>.</w:t>
      </w:r>
    </w:p>
    <w:p w14:paraId="29FA6AC8" w14:textId="2D6D6F49" w:rsidR="00C3675A" w:rsidRDefault="0095045B" w:rsidP="00F34876">
      <w:pPr>
        <w:ind w:firstLine="720"/>
      </w:pPr>
      <w:r>
        <w:t xml:space="preserve">However, </w:t>
      </w:r>
      <w:r w:rsidR="004E1C7A">
        <w:t xml:space="preserve">McCann expresses concern </w:t>
      </w:r>
      <w:r w:rsidR="00A91641">
        <w:t xml:space="preserve">that </w:t>
      </w:r>
      <w:r w:rsidR="004E1C7A">
        <w:t xml:space="preserve">the trial court is, in effect, making a finding </w:t>
      </w:r>
      <w:r w:rsidR="003C7739">
        <w:t xml:space="preserve">that </w:t>
      </w:r>
      <w:r w:rsidR="004E1C7A">
        <w:t>the City has complied with CEQA</w:t>
      </w:r>
      <w:r w:rsidR="00A91641">
        <w:t xml:space="preserve"> by discharging the writ.</w:t>
      </w:r>
      <w:r w:rsidR="004E1C7A">
        <w:t xml:space="preserve">  She contends that </w:t>
      </w:r>
      <w:r w:rsidR="003C7739">
        <w:t xml:space="preserve">such a finding precludes future challenges to the adequacy of the City’s environmental review of the </w:t>
      </w:r>
      <w:r w:rsidR="00B35D30">
        <w:t xml:space="preserve">MND </w:t>
      </w:r>
      <w:r w:rsidR="007B124E">
        <w:t>P</w:t>
      </w:r>
      <w:r w:rsidR="00B35D30">
        <w:t>rojects</w:t>
      </w:r>
      <w:r w:rsidR="003C7739">
        <w:t xml:space="preserve"> under the principles of res judicata.</w:t>
      </w:r>
      <w:r w:rsidR="00B35D30">
        <w:t xml:space="preserve">  </w:t>
      </w:r>
      <w:r w:rsidR="00032EE0">
        <w:t xml:space="preserve">McCann </w:t>
      </w:r>
      <w:r>
        <w:t xml:space="preserve">cites to </w:t>
      </w:r>
      <w:bookmarkStart w:id="49" w:name="dabmci_dcefe1b0508049509b04c70ff58b3654"/>
      <w:r>
        <w:rPr>
          <w:i/>
          <w:iCs/>
        </w:rPr>
        <w:t xml:space="preserve">Silverado Modjeska Recreation &amp; Park Dist. </w:t>
      </w:r>
      <w:r w:rsidR="00677EE3">
        <w:rPr>
          <w:i/>
          <w:iCs/>
        </w:rPr>
        <w:t>v</w:t>
      </w:r>
      <w:r>
        <w:rPr>
          <w:i/>
          <w:iCs/>
        </w:rPr>
        <w:t xml:space="preserve">. County of Orange </w:t>
      </w:r>
      <w:r>
        <w:t>(2011) 197 Cal.App.4th 282</w:t>
      </w:r>
      <w:r w:rsidR="001D37A4">
        <w:t xml:space="preserve"> (</w:t>
      </w:r>
      <w:r w:rsidR="001D37A4">
        <w:rPr>
          <w:i/>
          <w:iCs/>
        </w:rPr>
        <w:t>Silverado</w:t>
      </w:r>
      <w:r w:rsidR="001D37A4">
        <w:t>)</w:t>
      </w:r>
      <w:bookmarkEnd w:id="49"/>
      <w:r>
        <w:t xml:space="preserve"> in support of her argument and states that</w:t>
      </w:r>
      <w:r w:rsidR="00032EE0">
        <w:t xml:space="preserve"> “</w:t>
      </w:r>
      <w:r w:rsidR="007B124E">
        <w:t>[</w:t>
      </w:r>
      <w:r w:rsidR="00032EE0">
        <w:t>i</w:t>
      </w:r>
      <w:r w:rsidR="007B124E">
        <w:t>]</w:t>
      </w:r>
      <w:r w:rsidR="00032EE0">
        <w:t>f the court discharges the writ and petitioner does not appeal the discharge of the writ, compliance with CEQA is presume</w:t>
      </w:r>
      <w:r w:rsidR="006C6A08">
        <w:t>d</w:t>
      </w:r>
      <w:r w:rsidR="00032EE0">
        <w:t xml:space="preserve"> and considered res judicata</w:t>
      </w:r>
      <w:r>
        <w:t>.</w:t>
      </w:r>
      <w:r w:rsidR="00032EE0">
        <w:t>”</w:t>
      </w:r>
      <w:r>
        <w:t xml:space="preserve">  She </w:t>
      </w:r>
      <w:r w:rsidR="009C6379">
        <w:t>urges this court to “explain how the doctrine of re</w:t>
      </w:r>
      <w:r w:rsidR="00A91641">
        <w:t>s</w:t>
      </w:r>
      <w:r w:rsidR="009C6379">
        <w:t xml:space="preserve"> judicata would apply to any subsequent litigation challenging the same o</w:t>
      </w:r>
      <w:r w:rsidR="00517998">
        <w:t>r</w:t>
      </w:r>
      <w:r w:rsidR="009C6379">
        <w:t xml:space="preserve"> substantially the same project”</w:t>
      </w:r>
      <w:r>
        <w:t xml:space="preserve"> in our ruling.</w:t>
      </w:r>
    </w:p>
    <w:p w14:paraId="29F803FA" w14:textId="6B687AE2" w:rsidR="009C6379" w:rsidRDefault="0095045B" w:rsidP="00C3675A">
      <w:pPr>
        <w:ind w:firstLine="720"/>
      </w:pPr>
      <w:r>
        <w:t>We decline to conjecture about the ways in which res judicata may or may not affect a future hypothetical project.</w:t>
      </w:r>
      <w:r w:rsidR="00C3675A">
        <w:t xml:space="preserve">  A</w:t>
      </w:r>
      <w:r w:rsidR="000F1605" w:rsidRPr="000F1605">
        <w:t xml:space="preserve">s we explained in </w:t>
      </w:r>
      <w:bookmarkStart w:id="50" w:name="dabmci_03b1d6919a484dd28a028266440cb4c2"/>
      <w:r w:rsidR="000F1605" w:rsidRPr="00A91641">
        <w:rPr>
          <w:i/>
          <w:iCs/>
        </w:rPr>
        <w:t>McCann I</w:t>
      </w:r>
      <w:bookmarkEnd w:id="50"/>
      <w:r w:rsidR="000F1605" w:rsidRPr="000F1605">
        <w:t xml:space="preserve">, the </w:t>
      </w:r>
      <w:r w:rsidR="00C3675A">
        <w:t xml:space="preserve">MND </w:t>
      </w:r>
      <w:r w:rsidR="000F1605" w:rsidRPr="000F1605">
        <w:t xml:space="preserve">undergrounding </w:t>
      </w:r>
      <w:r w:rsidR="007B124E">
        <w:t>P</w:t>
      </w:r>
      <w:r w:rsidR="000F1605" w:rsidRPr="000F1605">
        <w:t xml:space="preserve">rojects will not be in compliance with CEQA </w:t>
      </w:r>
      <w:r w:rsidR="000F1605" w:rsidRPr="000F1605">
        <w:lastRenderedPageBreak/>
        <w:t xml:space="preserve">unless the City performs the “required analysis to determine whether the projects were consistent with the Climate Action Plan.” </w:t>
      </w:r>
      <w:r w:rsidR="00314916">
        <w:t xml:space="preserve"> </w:t>
      </w:r>
      <w:r w:rsidR="00314916" w:rsidRPr="00314916">
        <w:t>(</w:t>
      </w:r>
      <w:bookmarkStart w:id="51" w:name="dabmci_c3d023f34da844aab93edf4d119d7785"/>
      <w:r w:rsidR="00314916" w:rsidRPr="00314916">
        <w:rPr>
          <w:i/>
          <w:iCs/>
        </w:rPr>
        <w:t xml:space="preserve">McCann I, supra, </w:t>
      </w:r>
      <w:r w:rsidR="00314916" w:rsidRPr="00314916">
        <w:t>70 Cal.App.5th at p. 97</w:t>
      </w:r>
      <w:bookmarkEnd w:id="51"/>
      <w:r w:rsidR="00314916">
        <w:t>.)</w:t>
      </w:r>
      <w:r w:rsidR="000F1605" w:rsidRPr="000F1605">
        <w:t xml:space="preserve"> </w:t>
      </w:r>
      <w:r w:rsidR="00314916">
        <w:t xml:space="preserve"> </w:t>
      </w:r>
      <w:r w:rsidR="00C3675A">
        <w:t xml:space="preserve">The City has exercised its discretion not </w:t>
      </w:r>
      <w:r w:rsidR="00FB2329">
        <w:t xml:space="preserve">to </w:t>
      </w:r>
      <w:r w:rsidR="00C3675A">
        <w:t>move forward with the projects</w:t>
      </w:r>
      <w:r w:rsidR="00FB2329">
        <w:t xml:space="preserve"> and perform this analysis</w:t>
      </w:r>
      <w:r w:rsidR="001D37A4">
        <w:t xml:space="preserve"> at this time</w:t>
      </w:r>
      <w:r w:rsidR="001F1096">
        <w:t xml:space="preserve">—rather </w:t>
      </w:r>
      <w:r w:rsidR="00EF5054">
        <w:t>it has</w:t>
      </w:r>
      <w:r w:rsidR="001F1096">
        <w:t xml:space="preserve"> simply</w:t>
      </w:r>
      <w:r w:rsidR="00C3675A">
        <w:t xml:space="preserve"> rescind</w:t>
      </w:r>
      <w:r w:rsidR="00EF5054">
        <w:t>ed</w:t>
      </w:r>
      <w:r w:rsidR="00C3675A">
        <w:t xml:space="preserve"> the project approvals as mandated by the writ.  Whether the City will choose to move forward with the same or substantially same project</w:t>
      </w:r>
      <w:r w:rsidR="001F1096">
        <w:t>s</w:t>
      </w:r>
      <w:r w:rsidR="00C3675A">
        <w:t xml:space="preserve"> in the future is a matter we cannot predict</w:t>
      </w:r>
      <w:r w:rsidR="00A91641">
        <w:t>.  N</w:t>
      </w:r>
      <w:r w:rsidR="00C3675A">
        <w:t>or may we predict</w:t>
      </w:r>
      <w:r w:rsidR="001D37A4">
        <w:t>, based on the facts before</w:t>
      </w:r>
      <w:r w:rsidR="00624E6B">
        <w:t xml:space="preserve"> us</w:t>
      </w:r>
      <w:r w:rsidR="001D37A4">
        <w:t>,</w:t>
      </w:r>
      <w:r w:rsidR="00C3675A">
        <w:t xml:space="preserve"> the application of res judicata </w:t>
      </w:r>
      <w:r w:rsidR="00A91641">
        <w:t>on future claims relating to</w:t>
      </w:r>
      <w:r w:rsidR="00C3675A">
        <w:t xml:space="preserve"> the environmental reviews </w:t>
      </w:r>
      <w:r w:rsidR="00A91641">
        <w:t xml:space="preserve">already performed on the MND </w:t>
      </w:r>
      <w:r w:rsidR="007B124E">
        <w:t>P</w:t>
      </w:r>
      <w:r w:rsidR="00A91641">
        <w:t>rojects</w:t>
      </w:r>
      <w:r w:rsidR="00C3675A">
        <w:t>.</w:t>
      </w:r>
      <w:r w:rsidR="00EF5054">
        <w:t xml:space="preserve">  </w:t>
      </w:r>
    </w:p>
    <w:p w14:paraId="1F92CEFF" w14:textId="2F9AB82B" w:rsidR="00040E8A" w:rsidRPr="001D37A4" w:rsidRDefault="0095045B" w:rsidP="00F34876">
      <w:pPr>
        <w:ind w:firstLine="720"/>
      </w:pPr>
      <w:r>
        <w:t>We note</w:t>
      </w:r>
      <w:r w:rsidR="00A91641">
        <w:t>,</w:t>
      </w:r>
      <w:r>
        <w:t xml:space="preserve"> however</w:t>
      </w:r>
      <w:r w:rsidR="00A91641">
        <w:t xml:space="preserve">, </w:t>
      </w:r>
      <w:r w:rsidR="009C6379">
        <w:t>that</w:t>
      </w:r>
      <w:r w:rsidR="008806BA">
        <w:t xml:space="preserve"> McCann’s reliance on</w:t>
      </w:r>
      <w:r w:rsidR="009C6379">
        <w:t xml:space="preserve"> </w:t>
      </w:r>
      <w:bookmarkStart w:id="52" w:name="dabmci_2553068585874a9189041be4e8abc1d7"/>
      <w:r w:rsidR="00032EE0">
        <w:rPr>
          <w:i/>
          <w:iCs/>
        </w:rPr>
        <w:t>Silverado</w:t>
      </w:r>
      <w:bookmarkEnd w:id="52"/>
      <w:r w:rsidR="00032EE0">
        <w:rPr>
          <w:i/>
          <w:iCs/>
        </w:rPr>
        <w:t xml:space="preserve"> </w:t>
      </w:r>
      <w:r w:rsidR="008806BA">
        <w:t xml:space="preserve">is </w:t>
      </w:r>
      <w:r w:rsidR="00A91641">
        <w:t xml:space="preserve">misplaced insofar as she argues that the case precludes future challenges to the MND </w:t>
      </w:r>
      <w:r w:rsidR="007B124E">
        <w:t>P</w:t>
      </w:r>
      <w:r w:rsidR="00A91641">
        <w:t>rojects entirely</w:t>
      </w:r>
      <w:r w:rsidR="008806BA">
        <w:t xml:space="preserve">.  </w:t>
      </w:r>
      <w:r>
        <w:t xml:space="preserve">In </w:t>
      </w:r>
      <w:bookmarkStart w:id="53" w:name="dabmci_988f2c95d1e7476998d83ec09cfcbf5b"/>
      <w:r w:rsidRPr="00A91641">
        <w:rPr>
          <w:i/>
          <w:iCs/>
        </w:rPr>
        <w:t>Silverado</w:t>
      </w:r>
      <w:bookmarkEnd w:id="53"/>
      <w:r>
        <w:t xml:space="preserve">, the trial court issued a writ ordering the governmental agency to </w:t>
      </w:r>
      <w:r w:rsidRPr="00040E8A">
        <w:t>“</w:t>
      </w:r>
      <w:r w:rsidR="007B124E">
        <w:t xml:space="preserve"> ‘</w:t>
      </w:r>
      <w:r w:rsidRPr="00040E8A">
        <w:t>[o]btain a study of the baseline water conditions and quality in the project area</w:t>
      </w:r>
      <w:r w:rsidR="001D37A4">
        <w:t>,</w:t>
      </w:r>
      <w:r w:rsidR="001C0869">
        <w:t xml:space="preserve">’ </w:t>
      </w:r>
      <w:r w:rsidRPr="00040E8A">
        <w:t>” and to “</w:t>
      </w:r>
      <w:r w:rsidR="001C0869">
        <w:t xml:space="preserve"> ‘</w:t>
      </w:r>
      <w:r w:rsidRPr="00040E8A">
        <w:t>[p]repare and circulate a supplemental EIR disclosing and evaluating the baseline water data collected and tested for, and the baseline water conditions and quality reviewed in, the study....</w:t>
      </w:r>
      <w:r w:rsidR="001C0869">
        <w:t xml:space="preserve">’ </w:t>
      </w:r>
      <w:r w:rsidRPr="00040E8A">
        <w:t>”</w:t>
      </w:r>
      <w:r w:rsidR="001D37A4">
        <w:t xml:space="preserve">  (</w:t>
      </w:r>
      <w:bookmarkStart w:id="54" w:name="dabmci_87560f4966e942f5b050266074bdd45f"/>
      <w:r w:rsidR="001D37A4">
        <w:rPr>
          <w:i/>
          <w:iCs/>
        </w:rPr>
        <w:t xml:space="preserve">Silverado, supra, </w:t>
      </w:r>
      <w:r w:rsidR="001D37A4">
        <w:t>197 Cal.App.4th at p.</w:t>
      </w:r>
      <w:r w:rsidRPr="00040E8A">
        <w:t xml:space="preserve"> </w:t>
      </w:r>
      <w:r w:rsidR="001D37A4">
        <w:t>292</w:t>
      </w:r>
      <w:bookmarkEnd w:id="54"/>
      <w:r w:rsidR="001D37A4">
        <w:t xml:space="preserve">.)  </w:t>
      </w:r>
      <w:r w:rsidRPr="00040E8A">
        <w:t xml:space="preserve">The writ further ordered the </w:t>
      </w:r>
      <w:r w:rsidR="00517998">
        <w:t>agency</w:t>
      </w:r>
      <w:r w:rsidRPr="00040E8A">
        <w:t xml:space="preserve"> to provide public hearings on the actions that it took “</w:t>
      </w:r>
      <w:r w:rsidR="001C0869">
        <w:t xml:space="preserve"> ‘</w:t>
      </w:r>
      <w:r w:rsidRPr="00040E8A">
        <w:t>to comply with this Court's judgment and writ.</w:t>
      </w:r>
      <w:r w:rsidR="001C0869">
        <w:t xml:space="preserve">’ </w:t>
      </w:r>
      <w:r w:rsidRPr="00040E8A">
        <w:t>”</w:t>
      </w:r>
      <w:r>
        <w:t xml:space="preserve"> </w:t>
      </w:r>
      <w:r w:rsidR="001D37A4">
        <w:t xml:space="preserve"> (</w:t>
      </w:r>
      <w:bookmarkStart w:id="55" w:name="dabmci_3c62481fff164633b054a3dada79710f"/>
      <w:r w:rsidR="001D37A4">
        <w:rPr>
          <w:i/>
          <w:iCs/>
        </w:rPr>
        <w:t>Ibid</w:t>
      </w:r>
      <w:r w:rsidR="001D37A4">
        <w:t>.</w:t>
      </w:r>
      <w:bookmarkEnd w:id="55"/>
      <w:r w:rsidR="001D37A4">
        <w:t>)</w:t>
      </w:r>
      <w:r>
        <w:t xml:space="preserve"> </w:t>
      </w:r>
      <w:r w:rsidR="001D37A4">
        <w:t xml:space="preserve"> </w:t>
      </w:r>
      <w:r>
        <w:t>The agency complied with the writ and conducted the relevant studies and public hearings.</w:t>
      </w:r>
      <w:r w:rsidR="001D37A4">
        <w:t xml:space="preserve">  (</w:t>
      </w:r>
      <w:bookmarkStart w:id="56" w:name="dabmci_93a2040fa6844f3e81933c631d179773"/>
      <w:r w:rsidR="001D37A4">
        <w:rPr>
          <w:i/>
          <w:iCs/>
        </w:rPr>
        <w:t xml:space="preserve">Id. </w:t>
      </w:r>
      <w:r w:rsidR="001D37A4">
        <w:t>at p. 295</w:t>
      </w:r>
      <w:bookmarkEnd w:id="56"/>
      <w:r w:rsidR="001D37A4">
        <w:t>.)</w:t>
      </w:r>
      <w:r>
        <w:t xml:space="preserve">  After extensive briefing by the parties on whether the studies complied with the writ and CEQA, the trial court concluded the agency had complied </w:t>
      </w:r>
      <w:r w:rsidR="00576DF2">
        <w:t xml:space="preserve">and discharged </w:t>
      </w:r>
      <w:r>
        <w:t>the writ.</w:t>
      </w:r>
      <w:r w:rsidR="001D37A4">
        <w:t xml:space="preserve">  (</w:t>
      </w:r>
      <w:bookmarkStart w:id="57" w:name="dabmci_a382ebf255564b149e22ea3ddaae3c80"/>
      <w:r w:rsidR="001D37A4">
        <w:rPr>
          <w:i/>
          <w:iCs/>
        </w:rPr>
        <w:t>Ibid</w:t>
      </w:r>
      <w:r w:rsidR="001D37A4">
        <w:t>.</w:t>
      </w:r>
      <w:bookmarkEnd w:id="57"/>
      <w:r w:rsidR="001D37A4">
        <w:t>)</w:t>
      </w:r>
      <w:r>
        <w:t xml:space="preserve">  The petitioner</w:t>
      </w:r>
      <w:r w:rsidR="001D37A4">
        <w:t xml:space="preserve"> in </w:t>
      </w:r>
      <w:bookmarkStart w:id="58" w:name="dabmci_7a9ad080ddc54e27a6b8efe20642021c"/>
      <w:r w:rsidR="001D37A4">
        <w:rPr>
          <w:i/>
          <w:iCs/>
        </w:rPr>
        <w:t>Silverado</w:t>
      </w:r>
      <w:bookmarkEnd w:id="58"/>
      <w:r>
        <w:t xml:space="preserve"> did not appeal the order discharging the writ</w:t>
      </w:r>
      <w:r w:rsidR="00917027">
        <w:t>, but</w:t>
      </w:r>
      <w:r w:rsidR="00A91641">
        <w:t xml:space="preserve"> instead</w:t>
      </w:r>
      <w:r w:rsidR="00917027">
        <w:t xml:space="preserve"> filed a new petition challenging the </w:t>
      </w:r>
      <w:r w:rsidR="00A91641">
        <w:t>supplemental environmental impact report</w:t>
      </w:r>
      <w:r w:rsidR="00917027">
        <w:t>.</w:t>
      </w:r>
      <w:r w:rsidR="001D37A4">
        <w:t xml:space="preserve">  (</w:t>
      </w:r>
      <w:bookmarkStart w:id="59" w:name="dabmci_70132e6caec246c08e6db2a317e83b9b"/>
      <w:r w:rsidR="001D37A4">
        <w:rPr>
          <w:i/>
          <w:iCs/>
        </w:rPr>
        <w:t>Ibid.</w:t>
      </w:r>
      <w:bookmarkEnd w:id="59"/>
      <w:r w:rsidR="001D37A4">
        <w:t>)</w:t>
      </w:r>
      <w:r w:rsidR="00917027">
        <w:t xml:space="preserve">  The </w:t>
      </w:r>
      <w:r w:rsidR="00A91641" w:rsidRPr="001D37A4">
        <w:rPr>
          <w:i/>
          <w:iCs/>
        </w:rPr>
        <w:t>Silverado</w:t>
      </w:r>
      <w:r w:rsidR="00A91641">
        <w:t xml:space="preserve"> court </w:t>
      </w:r>
      <w:r w:rsidR="00917027">
        <w:t>concluded the petition was barred by res judicata b</w:t>
      </w:r>
      <w:r w:rsidR="00A91641">
        <w:t>ecause the</w:t>
      </w:r>
      <w:r w:rsidR="00917027">
        <w:t xml:space="preserve"> </w:t>
      </w:r>
      <w:r w:rsidR="00917027">
        <w:lastRenderedPageBreak/>
        <w:t xml:space="preserve">adequacy of the </w:t>
      </w:r>
      <w:r w:rsidR="00A91641">
        <w:t xml:space="preserve">supplemental environmental impact report </w:t>
      </w:r>
      <w:r w:rsidR="00917027">
        <w:t>had been fully adjudicated on the merits in the prior proceeding.</w:t>
      </w:r>
      <w:r w:rsidR="001D37A4">
        <w:t xml:space="preserve">  (</w:t>
      </w:r>
      <w:bookmarkStart w:id="60" w:name="dabmci_adcbfe08922441e3a57bced38bb1d24f"/>
      <w:r w:rsidR="001D37A4">
        <w:rPr>
          <w:i/>
          <w:iCs/>
        </w:rPr>
        <w:t xml:space="preserve">Id. </w:t>
      </w:r>
      <w:r w:rsidR="001D37A4">
        <w:t>at p. 298</w:t>
      </w:r>
      <w:bookmarkEnd w:id="60"/>
      <w:r w:rsidR="001D37A4">
        <w:t>.)</w:t>
      </w:r>
    </w:p>
    <w:p w14:paraId="6F668021" w14:textId="5A531C75" w:rsidR="00917027" w:rsidRDefault="0095045B" w:rsidP="00F34876">
      <w:pPr>
        <w:ind w:firstLine="720"/>
      </w:pPr>
      <w:r>
        <w:t>Here, unlike</w:t>
      </w:r>
      <w:r w:rsidR="00C0008A">
        <w:t xml:space="preserve"> the water analysis in</w:t>
      </w:r>
      <w:r>
        <w:t xml:space="preserve"> </w:t>
      </w:r>
      <w:bookmarkStart w:id="61" w:name="dabmci_10a2896ba00b41b3847c02e1f8550eb8"/>
      <w:r w:rsidRPr="00A91641">
        <w:rPr>
          <w:i/>
          <w:iCs/>
        </w:rPr>
        <w:t>Silverado</w:t>
      </w:r>
      <w:bookmarkEnd w:id="61"/>
      <w:r>
        <w:t xml:space="preserve">, there has been no </w:t>
      </w:r>
      <w:r w:rsidR="00C0008A">
        <w:t>adjudication of</w:t>
      </w:r>
      <w:r>
        <w:t xml:space="preserve"> the</w:t>
      </w:r>
      <w:r w:rsidR="00C0008A">
        <w:t xml:space="preserve"> adequacy of the City’s GHG emission analysis because, as the City acknowledges, no such analysis has been </w:t>
      </w:r>
      <w:r w:rsidR="00576DF2">
        <w:t>performed</w:t>
      </w:r>
      <w:r w:rsidR="00C0008A">
        <w:t>.</w:t>
      </w:r>
      <w:r w:rsidR="00E52257">
        <w:t xml:space="preserve">  B</w:t>
      </w:r>
      <w:r w:rsidR="00624E6B">
        <w:t xml:space="preserve">ecause </w:t>
      </w:r>
      <w:r w:rsidR="00576DF2">
        <w:t>the GHG emission analysis</w:t>
      </w:r>
      <w:r w:rsidR="00624E6B">
        <w:t xml:space="preserve"> has n</w:t>
      </w:r>
      <w:r w:rsidR="00E52257">
        <w:t>ot been conducted</w:t>
      </w:r>
      <w:r w:rsidR="00576DF2">
        <w:t xml:space="preserve">, </w:t>
      </w:r>
      <w:r w:rsidR="00624E6B">
        <w:t xml:space="preserve">whether </w:t>
      </w:r>
      <w:r w:rsidR="00576DF2">
        <w:t>a full environmental impact repor</w:t>
      </w:r>
      <w:r w:rsidR="00E52257">
        <w:t xml:space="preserve">t </w:t>
      </w:r>
      <w:r w:rsidR="00C338A9">
        <w:t xml:space="preserve">will be </w:t>
      </w:r>
      <w:r w:rsidR="00E52257">
        <w:t>required under CEQA has not been adjudicated on the merits.</w:t>
      </w:r>
      <w:r>
        <w:t xml:space="preserve"> </w:t>
      </w:r>
      <w:r w:rsidR="001D37A4">
        <w:t xml:space="preserve"> (See </w:t>
      </w:r>
      <w:bookmarkStart w:id="62" w:name="dabmci_6530e51015064884a747fd2bea93e8b4"/>
      <w:r w:rsidR="001D37A4">
        <w:rPr>
          <w:i/>
          <w:iCs/>
        </w:rPr>
        <w:t xml:space="preserve">Federation of Hillside &amp; Canyon Assns. v. City of Los Angeles </w:t>
      </w:r>
      <w:r w:rsidR="001D37A4">
        <w:t>(2004) 126 Cal.App.4th 1180, 1202</w:t>
      </w:r>
      <w:bookmarkEnd w:id="62"/>
      <w:r w:rsidR="001D37A4">
        <w:t xml:space="preserve"> [</w:t>
      </w:r>
      <w:r w:rsidR="00C338A9">
        <w:t>r</w:t>
      </w:r>
      <w:r w:rsidR="00711CC0">
        <w:t xml:space="preserve">es judicata applies if “the decision in the prior proceeding is final and on the merits”].)  </w:t>
      </w:r>
      <w:r w:rsidR="00DF38BE">
        <w:t xml:space="preserve">The </w:t>
      </w:r>
      <w:r>
        <w:t>discharge of the writ in this case</w:t>
      </w:r>
      <w:r w:rsidR="00DF38BE">
        <w:t xml:space="preserve"> does not suggest that the City has completed the requisite environmental analysis of the MND </w:t>
      </w:r>
      <w:r w:rsidR="001C0869">
        <w:t>P</w:t>
      </w:r>
      <w:r w:rsidR="00DF38BE">
        <w:t>rojects, but</w:t>
      </w:r>
      <w:r>
        <w:t xml:space="preserve"> merely reflects that the City has complied with mandates of the writ</w:t>
      </w:r>
      <w:r w:rsidR="00DF38BE">
        <w:t xml:space="preserve"> by rescinding the project approvals.</w:t>
      </w:r>
      <w:r>
        <w:t xml:space="preserve"> </w:t>
      </w:r>
    </w:p>
    <w:p w14:paraId="1ECC3EA7" w14:textId="2467F237" w:rsidR="00917027" w:rsidRPr="00917027" w:rsidRDefault="0095045B" w:rsidP="00F34876">
      <w:pPr>
        <w:ind w:firstLine="720"/>
      </w:pPr>
      <w:r>
        <w:t xml:space="preserve">Accordingly, because </w:t>
      </w:r>
      <w:r w:rsidR="00576DF2">
        <w:t>the City fully satisfied the</w:t>
      </w:r>
      <w:r w:rsidR="005C05A2">
        <w:t xml:space="preserve"> peremptory</w:t>
      </w:r>
      <w:r w:rsidR="00576DF2">
        <w:t xml:space="preserve"> writ</w:t>
      </w:r>
      <w:r w:rsidR="005C05A2">
        <w:t xml:space="preserve"> of mandate</w:t>
      </w:r>
      <w:r w:rsidR="00576DF2">
        <w:t xml:space="preserve"> </w:t>
      </w:r>
      <w:r w:rsidR="005C05A2">
        <w:t xml:space="preserve">by rescinding the MND </w:t>
      </w:r>
      <w:r w:rsidR="001C0869">
        <w:t>P</w:t>
      </w:r>
      <w:r w:rsidR="005C05A2">
        <w:t>roject</w:t>
      </w:r>
      <w:r w:rsidR="001C0869">
        <w:t>s</w:t>
      </w:r>
      <w:r w:rsidR="005C05A2">
        <w:t xml:space="preserve"> approvals, the writ must be discharged.</w:t>
      </w:r>
    </w:p>
    <w:p w14:paraId="396864CF" w14:textId="6265E342" w:rsidR="006C7DF5" w:rsidRPr="002678C4" w:rsidRDefault="0095045B" w:rsidP="00E03A64">
      <w:pPr>
        <w:pStyle w:val="Title"/>
      </w:pPr>
      <w:r w:rsidRPr="002678C4">
        <w:t>DISPOSITION</w:t>
      </w:r>
    </w:p>
    <w:p w14:paraId="4BF1F54F" w14:textId="28F6FB20" w:rsidR="00406A19" w:rsidRDefault="0095045B" w:rsidP="00B26797">
      <w:pPr>
        <w:keepNext/>
      </w:pPr>
      <w:r w:rsidRPr="002678C4">
        <w:tab/>
      </w:r>
      <w:r w:rsidR="006C7DF5" w:rsidRPr="002678C4">
        <w:t xml:space="preserve">The </w:t>
      </w:r>
      <w:r w:rsidR="00576DF2">
        <w:t>order sustaining McCann’s objections and denying the City’s request to discharge the writ is reversed.  The trial court is directed to vacate that order and enter a new order discharging the peremptory writ of mandate on the grounds the City</w:t>
      </w:r>
      <w:r w:rsidR="00711CC0">
        <w:t xml:space="preserve"> has</w:t>
      </w:r>
      <w:r w:rsidR="00576DF2">
        <w:t xml:space="preserve"> complied with the writ by</w:t>
      </w:r>
      <w:r w:rsidR="006C7DF5" w:rsidRPr="002678C4">
        <w:t xml:space="preserve"> set</w:t>
      </w:r>
      <w:r w:rsidR="00576DF2">
        <w:t>ting</w:t>
      </w:r>
      <w:r w:rsidR="006C7DF5" w:rsidRPr="002678C4">
        <w:t xml:space="preserve"> aside its </w:t>
      </w:r>
      <w:r w:rsidR="00B815F7" w:rsidRPr="002678C4">
        <w:t>March 5 and March 7, 2019</w:t>
      </w:r>
      <w:r w:rsidR="00214E60" w:rsidRPr="002678C4">
        <w:t>,</w:t>
      </w:r>
      <w:r w:rsidR="006C7DF5" w:rsidRPr="002678C4">
        <w:t xml:space="preserve"> resolution</w:t>
      </w:r>
      <w:r w:rsidR="00B815F7" w:rsidRPr="002678C4">
        <w:t>s</w:t>
      </w:r>
      <w:r w:rsidR="006C7DF5" w:rsidRPr="002678C4">
        <w:t xml:space="preserve"> </w:t>
      </w:r>
      <w:r w:rsidR="00B815F7" w:rsidRPr="002678C4">
        <w:t>adoptin</w:t>
      </w:r>
      <w:r w:rsidR="006C7DF5" w:rsidRPr="002678C4">
        <w:t>g the mitigated negative declaration</w:t>
      </w:r>
      <w:r w:rsidR="00B815F7" w:rsidRPr="002678C4">
        <w:t>, the mitigation monitoring and reporting program,</w:t>
      </w:r>
      <w:r w:rsidR="006C7DF5" w:rsidRPr="002678C4">
        <w:t xml:space="preserve"> and </w:t>
      </w:r>
      <w:bookmarkEnd w:id="0"/>
      <w:r w:rsidR="00B815F7" w:rsidRPr="002678C4">
        <w:t>establishing</w:t>
      </w:r>
      <w:r w:rsidR="006E7796" w:rsidRPr="002678C4">
        <w:t xml:space="preserve"> the</w:t>
      </w:r>
      <w:r w:rsidR="00A60F97" w:rsidRPr="002678C4">
        <w:t xml:space="preserve"> </w:t>
      </w:r>
      <w:r w:rsidR="00A60F97" w:rsidRPr="002678C4">
        <w:lastRenderedPageBreak/>
        <w:t>relevant</w:t>
      </w:r>
      <w:r w:rsidR="006E7796" w:rsidRPr="002678C4">
        <w:t xml:space="preserve"> utility undergrounding districts. </w:t>
      </w:r>
      <w:r w:rsidR="00B26797">
        <w:t xml:space="preserve"> </w:t>
      </w:r>
      <w:r w:rsidR="006C2721" w:rsidRPr="002678C4">
        <w:t>The parties are to bear their own costs on appeal.</w:t>
      </w:r>
    </w:p>
    <w:p w14:paraId="260CB7B2" w14:textId="50EFDC90" w:rsidR="00B26797" w:rsidRDefault="00B26797" w:rsidP="00B26797">
      <w:pPr>
        <w:keepNext/>
        <w:spacing w:line="240" w:lineRule="auto"/>
      </w:pPr>
    </w:p>
    <w:p w14:paraId="1CED634C" w14:textId="5B669728" w:rsidR="00B26797" w:rsidRPr="00226F2D" w:rsidRDefault="0095045B" w:rsidP="00B26797">
      <w:pPr>
        <w:keepNext/>
        <w:spacing w:line="240" w:lineRule="auto"/>
        <w:jc w:val="right"/>
      </w:pPr>
      <w:r w:rsidRPr="00226F2D">
        <w:tab/>
      </w:r>
      <w:r w:rsidRPr="00226F2D">
        <w:tab/>
      </w:r>
      <w:r w:rsidRPr="00226F2D">
        <w:tab/>
      </w:r>
      <w:r w:rsidRPr="00226F2D">
        <w:tab/>
      </w:r>
      <w:r w:rsidRPr="00226F2D">
        <w:tab/>
      </w:r>
    </w:p>
    <w:p w14:paraId="09C1AF1A" w14:textId="218AF1B3" w:rsidR="00B26797" w:rsidRDefault="0095045B" w:rsidP="00B26797">
      <w:pPr>
        <w:keepNext/>
        <w:spacing w:line="240" w:lineRule="auto"/>
        <w:jc w:val="right"/>
      </w:pPr>
      <w:r>
        <w:t>McCONNELL, P. J.</w:t>
      </w:r>
    </w:p>
    <w:p w14:paraId="6A6718E5" w14:textId="1033043A" w:rsidR="00B26797" w:rsidRDefault="00B26797" w:rsidP="00B26797">
      <w:pPr>
        <w:keepNext/>
        <w:tabs>
          <w:tab w:val="right" w:pos="3600"/>
        </w:tabs>
        <w:spacing w:line="240" w:lineRule="auto"/>
      </w:pPr>
    </w:p>
    <w:p w14:paraId="1035E24A" w14:textId="1D30B496" w:rsidR="00B26797" w:rsidRDefault="0095045B" w:rsidP="00B26797">
      <w:pPr>
        <w:keepNext/>
        <w:tabs>
          <w:tab w:val="right" w:pos="3600"/>
        </w:tabs>
        <w:spacing w:line="240" w:lineRule="auto"/>
      </w:pPr>
      <w:r>
        <w:t>WE CONCUR:</w:t>
      </w:r>
    </w:p>
    <w:p w14:paraId="708C90C4" w14:textId="5B9AAAD5" w:rsidR="00B26797" w:rsidRDefault="00B26797" w:rsidP="00B26797">
      <w:pPr>
        <w:keepNext/>
        <w:tabs>
          <w:tab w:val="right" w:pos="3600"/>
        </w:tabs>
        <w:spacing w:line="240" w:lineRule="auto"/>
      </w:pPr>
    </w:p>
    <w:p w14:paraId="5798A27E" w14:textId="159E91F2" w:rsidR="00B26797" w:rsidRDefault="00B26797" w:rsidP="00B26797">
      <w:pPr>
        <w:keepNext/>
        <w:tabs>
          <w:tab w:val="right" w:pos="3600"/>
        </w:tabs>
        <w:spacing w:line="240" w:lineRule="auto"/>
      </w:pPr>
    </w:p>
    <w:p w14:paraId="7F51A00A" w14:textId="7975A97F" w:rsidR="00B26797" w:rsidRDefault="00B26797" w:rsidP="00B26797">
      <w:pPr>
        <w:keepNext/>
        <w:tabs>
          <w:tab w:val="right" w:pos="3600"/>
        </w:tabs>
        <w:spacing w:line="240" w:lineRule="auto"/>
      </w:pPr>
    </w:p>
    <w:p w14:paraId="31F475BB" w14:textId="0931D4D0" w:rsidR="00B26797" w:rsidRPr="00226F2D" w:rsidRDefault="0095045B" w:rsidP="00B26797">
      <w:pPr>
        <w:keepNext/>
        <w:tabs>
          <w:tab w:val="right" w:pos="3600"/>
        </w:tabs>
        <w:spacing w:line="240" w:lineRule="auto"/>
      </w:pPr>
      <w:r w:rsidRPr="00226F2D">
        <w:tab/>
      </w:r>
    </w:p>
    <w:p w14:paraId="57BDD6E6" w14:textId="354AF10C" w:rsidR="00B26797" w:rsidRDefault="0095045B" w:rsidP="00B26797">
      <w:pPr>
        <w:keepNext/>
        <w:tabs>
          <w:tab w:val="right" w:pos="3600"/>
        </w:tabs>
        <w:spacing w:line="240" w:lineRule="auto"/>
      </w:pPr>
      <w:r>
        <w:t>DATO, J.</w:t>
      </w:r>
    </w:p>
    <w:p w14:paraId="6935B9F2" w14:textId="4D2B6616" w:rsidR="00B26797" w:rsidRDefault="00B26797" w:rsidP="00B26797">
      <w:pPr>
        <w:keepNext/>
        <w:tabs>
          <w:tab w:val="right" w:pos="3600"/>
        </w:tabs>
        <w:spacing w:line="240" w:lineRule="auto"/>
      </w:pPr>
    </w:p>
    <w:p w14:paraId="14F8266C" w14:textId="0EE6BB34" w:rsidR="00B26797" w:rsidRDefault="00B26797" w:rsidP="00B26797">
      <w:pPr>
        <w:keepNext/>
        <w:tabs>
          <w:tab w:val="right" w:pos="3600"/>
        </w:tabs>
        <w:spacing w:line="240" w:lineRule="auto"/>
      </w:pPr>
    </w:p>
    <w:p w14:paraId="44A875AF" w14:textId="0DB79278" w:rsidR="00B26797" w:rsidRDefault="00B26797" w:rsidP="00B26797">
      <w:pPr>
        <w:keepNext/>
        <w:tabs>
          <w:tab w:val="right" w:pos="3600"/>
        </w:tabs>
        <w:spacing w:line="240" w:lineRule="auto"/>
      </w:pPr>
    </w:p>
    <w:p w14:paraId="567ABB8B" w14:textId="7C53CC65" w:rsidR="00B26797" w:rsidRPr="00226F2D" w:rsidRDefault="0095045B" w:rsidP="00B26797">
      <w:pPr>
        <w:keepNext/>
        <w:tabs>
          <w:tab w:val="right" w:pos="3600"/>
        </w:tabs>
        <w:spacing w:line="240" w:lineRule="auto"/>
      </w:pPr>
      <w:r w:rsidRPr="00226F2D">
        <w:tab/>
      </w:r>
    </w:p>
    <w:p w14:paraId="58642224" w14:textId="77777777" w:rsidR="00AC3FE4" w:rsidRDefault="0095045B" w:rsidP="00B26797">
      <w:pPr>
        <w:keepNext/>
        <w:tabs>
          <w:tab w:val="right" w:pos="3600"/>
        </w:tabs>
        <w:spacing w:line="240" w:lineRule="auto"/>
        <w:sectPr w:rsidR="00AC3FE4" w:rsidSect="00680016">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r>
        <w:t>CASTILLO, J.</w:t>
      </w:r>
    </w:p>
    <w:p w14:paraId="147E9EC4" w14:textId="77777777" w:rsidR="00AC3FE4" w:rsidRDefault="00AC3FE4" w:rsidP="00AC3FE4">
      <w:pPr>
        <w:spacing w:line="240" w:lineRule="auto"/>
        <w:rPr>
          <w:sz w:val="20"/>
        </w:rPr>
      </w:pPr>
      <w:r w:rsidRPr="00606B3E">
        <w:rPr>
          <w:sz w:val="20"/>
        </w:rPr>
        <w:lastRenderedPageBreak/>
        <w:t>Filed 8/9/23</w:t>
      </w:r>
      <w:r>
        <w:rPr>
          <w:sz w:val="20"/>
        </w:rPr>
        <w:tab/>
      </w:r>
      <w:r>
        <w:rPr>
          <w:sz w:val="20"/>
        </w:rPr>
        <w:tab/>
      </w:r>
      <w:r>
        <w:rPr>
          <w:sz w:val="20"/>
        </w:rPr>
        <w:tab/>
      </w:r>
    </w:p>
    <w:p w14:paraId="589D76F4" w14:textId="77777777" w:rsidR="00AC3FE4" w:rsidRDefault="00AC3FE4" w:rsidP="00AC3FE4">
      <w:pPr>
        <w:spacing w:line="240" w:lineRule="auto"/>
        <w:rPr>
          <w:sz w:val="20"/>
        </w:rPr>
      </w:pPr>
    </w:p>
    <w:p w14:paraId="2BE95FDC" w14:textId="77777777" w:rsidR="00AC3FE4" w:rsidRPr="008575D0" w:rsidRDefault="00AC3FE4" w:rsidP="00AC3FE4">
      <w:pPr>
        <w:spacing w:line="240" w:lineRule="auto"/>
        <w:ind w:left="2160" w:firstLine="720"/>
      </w:pPr>
      <w:r w:rsidRPr="008575D0">
        <w:t>CERTIFIED FOR PUBLICATION</w:t>
      </w:r>
    </w:p>
    <w:p w14:paraId="330F4002" w14:textId="77777777" w:rsidR="00AC3FE4" w:rsidRDefault="00AC3FE4" w:rsidP="00AC3FE4">
      <w:pPr>
        <w:spacing w:line="240" w:lineRule="auto"/>
        <w:jc w:val="center"/>
      </w:pPr>
    </w:p>
    <w:p w14:paraId="6B175255" w14:textId="77777777" w:rsidR="00AC3FE4" w:rsidRDefault="00AC3FE4" w:rsidP="00AC3FE4">
      <w:pPr>
        <w:spacing w:line="240" w:lineRule="auto"/>
        <w:jc w:val="center"/>
      </w:pPr>
      <w:r>
        <w:t>COURT OF APPEAL, FOURTH APPELLATE DISTRICT</w:t>
      </w:r>
    </w:p>
    <w:p w14:paraId="78BE7D43" w14:textId="77777777" w:rsidR="00AC3FE4" w:rsidRDefault="00AC3FE4" w:rsidP="00AC3FE4">
      <w:pPr>
        <w:spacing w:line="240" w:lineRule="auto"/>
        <w:jc w:val="center"/>
      </w:pPr>
    </w:p>
    <w:p w14:paraId="3ED8733E" w14:textId="77777777" w:rsidR="00AC3FE4" w:rsidRDefault="00AC3FE4" w:rsidP="00AC3FE4">
      <w:pPr>
        <w:spacing w:line="240" w:lineRule="auto"/>
        <w:jc w:val="center"/>
      </w:pPr>
      <w:r>
        <w:t>DIVISION ONE</w:t>
      </w:r>
    </w:p>
    <w:p w14:paraId="10C9EDC3" w14:textId="77777777" w:rsidR="00AC3FE4" w:rsidRDefault="00AC3FE4" w:rsidP="00AC3FE4">
      <w:pPr>
        <w:spacing w:line="240" w:lineRule="auto"/>
        <w:jc w:val="center"/>
      </w:pPr>
    </w:p>
    <w:p w14:paraId="2DB31C52" w14:textId="77777777" w:rsidR="00AC3FE4" w:rsidRDefault="00AC3FE4" w:rsidP="00AC3FE4">
      <w:pPr>
        <w:spacing w:line="240" w:lineRule="auto"/>
        <w:jc w:val="center"/>
      </w:pPr>
      <w:r>
        <w:t>STATE OF CALIFORNIA</w:t>
      </w:r>
    </w:p>
    <w:p w14:paraId="4B523E65" w14:textId="77777777" w:rsidR="00AC3FE4" w:rsidRDefault="00AC3FE4" w:rsidP="00AC3FE4">
      <w:pPr>
        <w:spacing w:line="240" w:lineRule="auto"/>
        <w:jc w:val="center"/>
      </w:pPr>
    </w:p>
    <w:p w14:paraId="2D3082E8" w14:textId="77777777" w:rsidR="00AC3FE4" w:rsidRDefault="00AC3FE4" w:rsidP="00AC3FE4">
      <w:pPr>
        <w:spacing w:line="240" w:lineRule="auto"/>
        <w:jc w:val="center"/>
      </w:pPr>
    </w:p>
    <w:p w14:paraId="391ACC6F" w14:textId="77777777" w:rsidR="00AC3FE4" w:rsidRDefault="00AC3FE4" w:rsidP="00AC3FE4">
      <w:pPr>
        <w:spacing w:line="240" w:lineRule="auto"/>
        <w:jc w:val="center"/>
      </w:pPr>
    </w:p>
    <w:tbl>
      <w:tblPr>
        <w:tblW w:w="0" w:type="auto"/>
        <w:tblLayout w:type="fixed"/>
        <w:tblLook w:val="0000" w:firstRow="0" w:lastRow="0" w:firstColumn="0" w:lastColumn="0" w:noHBand="0" w:noVBand="0"/>
      </w:tblPr>
      <w:tblGrid>
        <w:gridCol w:w="4680"/>
        <w:gridCol w:w="4680"/>
      </w:tblGrid>
      <w:tr w:rsidR="00AC3FE4" w14:paraId="5146E642" w14:textId="77777777" w:rsidTr="00CC46E8">
        <w:tc>
          <w:tcPr>
            <w:tcW w:w="4680" w:type="dxa"/>
            <w:tcBorders>
              <w:top w:val="single" w:sz="4" w:space="0" w:color="auto"/>
              <w:bottom w:val="single" w:sz="4" w:space="0" w:color="auto"/>
              <w:right w:val="single" w:sz="4" w:space="0" w:color="auto"/>
            </w:tcBorders>
            <w:shd w:val="clear" w:color="auto" w:fill="auto"/>
          </w:tcPr>
          <w:p w14:paraId="5421831C" w14:textId="77777777" w:rsidR="00AC3FE4" w:rsidRDefault="00AC3FE4" w:rsidP="00CC46E8">
            <w:pPr>
              <w:spacing w:line="240" w:lineRule="auto"/>
            </w:pPr>
          </w:p>
          <w:p w14:paraId="24AF9946" w14:textId="77777777" w:rsidR="00AC3FE4" w:rsidRDefault="00AC3FE4" w:rsidP="00CC46E8">
            <w:pPr>
              <w:spacing w:line="240" w:lineRule="auto"/>
            </w:pPr>
            <w:r>
              <w:t>MARGARET MCCANN,</w:t>
            </w:r>
          </w:p>
          <w:p w14:paraId="7F97CC92" w14:textId="77777777" w:rsidR="00AC3FE4" w:rsidRDefault="00AC3FE4" w:rsidP="00CC46E8">
            <w:pPr>
              <w:spacing w:line="240" w:lineRule="auto"/>
            </w:pPr>
          </w:p>
          <w:p w14:paraId="7D8FFB71" w14:textId="77777777" w:rsidR="00AC3FE4" w:rsidRDefault="00AC3FE4" w:rsidP="00CC46E8">
            <w:pPr>
              <w:spacing w:line="240" w:lineRule="auto"/>
            </w:pPr>
            <w:r>
              <w:tab/>
              <w:t>Plaintiff and Respondent,</w:t>
            </w:r>
          </w:p>
          <w:p w14:paraId="17AE0860" w14:textId="77777777" w:rsidR="00AC3FE4" w:rsidRDefault="00AC3FE4" w:rsidP="00CC46E8">
            <w:pPr>
              <w:spacing w:line="240" w:lineRule="auto"/>
            </w:pPr>
          </w:p>
          <w:p w14:paraId="0A841B20" w14:textId="77777777" w:rsidR="00AC3FE4" w:rsidRDefault="00AC3FE4" w:rsidP="00CC46E8">
            <w:pPr>
              <w:spacing w:line="240" w:lineRule="auto"/>
            </w:pPr>
            <w:r>
              <w:tab/>
              <w:t>v.</w:t>
            </w:r>
          </w:p>
          <w:p w14:paraId="091162B6" w14:textId="77777777" w:rsidR="00AC3FE4" w:rsidRDefault="00AC3FE4" w:rsidP="00CC46E8">
            <w:pPr>
              <w:spacing w:line="240" w:lineRule="auto"/>
            </w:pPr>
          </w:p>
          <w:p w14:paraId="7B04898D" w14:textId="77777777" w:rsidR="00AC3FE4" w:rsidRDefault="00AC3FE4" w:rsidP="00CC46E8">
            <w:pPr>
              <w:spacing w:line="240" w:lineRule="auto"/>
            </w:pPr>
            <w:r>
              <w:t>CITY OF SAN DIEGO et al.,</w:t>
            </w:r>
          </w:p>
          <w:p w14:paraId="781DD138" w14:textId="77777777" w:rsidR="00AC3FE4" w:rsidRDefault="00AC3FE4" w:rsidP="00CC46E8">
            <w:pPr>
              <w:spacing w:line="240" w:lineRule="auto"/>
            </w:pPr>
          </w:p>
          <w:p w14:paraId="2AF039DF" w14:textId="77777777" w:rsidR="00AC3FE4" w:rsidRDefault="00AC3FE4" w:rsidP="00CC46E8">
            <w:pPr>
              <w:spacing w:line="240" w:lineRule="auto"/>
            </w:pPr>
            <w:r>
              <w:tab/>
              <w:t>Defendants and Appellants.</w:t>
            </w:r>
          </w:p>
          <w:p w14:paraId="5CE8E279" w14:textId="77777777" w:rsidR="00AC3FE4" w:rsidRDefault="00AC3FE4" w:rsidP="00CC46E8">
            <w:pPr>
              <w:spacing w:line="240" w:lineRule="auto"/>
            </w:pPr>
          </w:p>
        </w:tc>
        <w:tc>
          <w:tcPr>
            <w:tcW w:w="4680" w:type="dxa"/>
            <w:tcBorders>
              <w:left w:val="single" w:sz="4" w:space="0" w:color="auto"/>
            </w:tcBorders>
            <w:shd w:val="clear" w:color="auto" w:fill="auto"/>
          </w:tcPr>
          <w:p w14:paraId="6D451A37" w14:textId="77777777" w:rsidR="00AC3FE4" w:rsidRDefault="00AC3FE4" w:rsidP="00CC46E8">
            <w:pPr>
              <w:spacing w:line="240" w:lineRule="auto"/>
            </w:pPr>
            <w:r>
              <w:t xml:space="preserve">  D081185</w:t>
            </w:r>
          </w:p>
          <w:p w14:paraId="0F0B9D28" w14:textId="77777777" w:rsidR="00AC3FE4" w:rsidRDefault="00AC3FE4" w:rsidP="00CC46E8">
            <w:pPr>
              <w:spacing w:line="240" w:lineRule="auto"/>
            </w:pPr>
          </w:p>
          <w:p w14:paraId="4B98ADAB" w14:textId="77777777" w:rsidR="00AC3FE4" w:rsidRDefault="00AC3FE4" w:rsidP="00CC46E8">
            <w:pPr>
              <w:spacing w:line="240" w:lineRule="auto"/>
            </w:pPr>
          </w:p>
          <w:p w14:paraId="56583AE8" w14:textId="0D964596" w:rsidR="00AC3FE4" w:rsidRDefault="00AC3FE4" w:rsidP="00CC46E8">
            <w:pPr>
              <w:spacing w:line="240" w:lineRule="auto"/>
            </w:pPr>
            <w:r>
              <w:t xml:space="preserve">  (Super. Ct. No. 37-2019-00011813-CU-TT-CTL)</w:t>
            </w:r>
          </w:p>
          <w:p w14:paraId="11D8AE8D" w14:textId="77777777" w:rsidR="00AC3FE4" w:rsidRDefault="00AC3FE4" w:rsidP="00CC46E8">
            <w:pPr>
              <w:spacing w:line="240" w:lineRule="auto"/>
            </w:pPr>
          </w:p>
          <w:p w14:paraId="40AD09A6" w14:textId="77777777" w:rsidR="00AC3FE4" w:rsidRDefault="00AC3FE4" w:rsidP="00CC46E8">
            <w:pPr>
              <w:spacing w:line="240" w:lineRule="auto"/>
            </w:pPr>
          </w:p>
          <w:p w14:paraId="49580882" w14:textId="77777777" w:rsidR="00AC3FE4" w:rsidRDefault="00AC3FE4" w:rsidP="00CC46E8">
            <w:pPr>
              <w:spacing w:line="240" w:lineRule="auto"/>
            </w:pPr>
            <w:r>
              <w:t xml:space="preserve">  ORDER CERTIFYING OPINION</w:t>
            </w:r>
          </w:p>
          <w:p w14:paraId="514B4FF2" w14:textId="77777777" w:rsidR="00AC3FE4" w:rsidRDefault="00AC3FE4" w:rsidP="00CC46E8">
            <w:pPr>
              <w:spacing w:line="240" w:lineRule="auto"/>
            </w:pPr>
            <w:r>
              <w:t xml:space="preserve">  FOR PUBLICATION</w:t>
            </w:r>
          </w:p>
        </w:tc>
      </w:tr>
    </w:tbl>
    <w:p w14:paraId="27FC48AC" w14:textId="77777777" w:rsidR="00AC3FE4" w:rsidRDefault="00AC3FE4" w:rsidP="00AC3FE4">
      <w:pPr>
        <w:spacing w:line="240" w:lineRule="auto"/>
      </w:pPr>
    </w:p>
    <w:p w14:paraId="147CA808" w14:textId="77777777" w:rsidR="00AC3FE4" w:rsidRDefault="00AC3FE4" w:rsidP="00AC3FE4">
      <w:r>
        <w:t>THE COURT:</w:t>
      </w:r>
    </w:p>
    <w:p w14:paraId="0D470191" w14:textId="77777777" w:rsidR="00AC3FE4" w:rsidRDefault="00AC3FE4" w:rsidP="00AC3FE4">
      <w:r>
        <w:tab/>
        <w:t>The opinion in this case filed July 19, 2023, was not certified for publication.  It appearing the opinion meets the standards for publication specified in California Rules of Court, rule 8.1105(c), the request pursuant to rule 8.1102(a) for publication is GRANTED.</w:t>
      </w:r>
    </w:p>
    <w:p w14:paraId="7813D62A" w14:textId="77777777" w:rsidR="00AC3FE4" w:rsidRDefault="00AC3FE4" w:rsidP="00AC3FE4">
      <w:r>
        <w:tab/>
        <w:t>IT IS HEREBY CERTIFIED that the opinion meets the standards for publication specified in California Rules of Court, rule 8.1105(c); and</w:t>
      </w:r>
    </w:p>
    <w:p w14:paraId="2C0BF5D5" w14:textId="77777777" w:rsidR="00AC3FE4" w:rsidRDefault="00AC3FE4" w:rsidP="00AC3FE4">
      <w:pPr>
        <w:keepNext/>
      </w:pPr>
      <w:r>
        <w:lastRenderedPageBreak/>
        <w:tab/>
        <w:t>ORDERED that the words "Not to Be Published in the Official Reports" appearing on page 1 of said opinion be deleted and the opinion herein be published in the Official Reports.</w:t>
      </w:r>
    </w:p>
    <w:p w14:paraId="61E2A77F" w14:textId="77777777" w:rsidR="00AC3FE4" w:rsidRDefault="00AC3FE4" w:rsidP="00AC3FE4">
      <w:pPr>
        <w:keepNext/>
      </w:pPr>
    </w:p>
    <w:p w14:paraId="4F40990A" w14:textId="77777777" w:rsidR="00AC3FE4" w:rsidRDefault="00AC3FE4" w:rsidP="00AC3FE4">
      <w:pPr>
        <w:keepNext/>
        <w:spacing w:line="240" w:lineRule="auto"/>
      </w:pPr>
    </w:p>
    <w:p w14:paraId="7C3BEFAB" w14:textId="77777777" w:rsidR="00AC3FE4" w:rsidRPr="00CF0679" w:rsidRDefault="00AC3FE4" w:rsidP="00AC3FE4">
      <w:pPr>
        <w:keepNext/>
        <w:spacing w:line="240" w:lineRule="auto"/>
        <w:jc w:val="right"/>
      </w:pPr>
      <w:r w:rsidRPr="00CF0679">
        <w:tab/>
      </w:r>
      <w:r w:rsidRPr="00CF0679">
        <w:tab/>
      </w:r>
      <w:r w:rsidRPr="00CF0679">
        <w:tab/>
      </w:r>
      <w:r w:rsidRPr="00CF0679">
        <w:tab/>
      </w:r>
      <w:r w:rsidRPr="00CF0679">
        <w:tab/>
      </w:r>
    </w:p>
    <w:p w14:paraId="22666790" w14:textId="77777777" w:rsidR="00AC3FE4" w:rsidRDefault="00AC3FE4" w:rsidP="00AC3FE4">
      <w:pPr>
        <w:keepNext/>
        <w:spacing w:line="240" w:lineRule="auto"/>
        <w:jc w:val="right"/>
      </w:pPr>
      <w:r>
        <w:t>McCONNELL, P. J.</w:t>
      </w:r>
    </w:p>
    <w:p w14:paraId="4D9FBD47" w14:textId="77777777" w:rsidR="00AC3FE4" w:rsidRDefault="00AC3FE4" w:rsidP="00AC3FE4">
      <w:pPr>
        <w:keepNext/>
        <w:spacing w:line="240" w:lineRule="auto"/>
      </w:pPr>
    </w:p>
    <w:p w14:paraId="042D2EF4" w14:textId="77777777" w:rsidR="00AC3FE4" w:rsidRDefault="00AC3FE4" w:rsidP="00AC3FE4">
      <w:pPr>
        <w:keepNext/>
        <w:spacing w:line="240" w:lineRule="auto"/>
      </w:pPr>
      <w:r>
        <w:t>Copies to:  All parties</w:t>
      </w:r>
    </w:p>
    <w:p w14:paraId="35D53FA5" w14:textId="0032BB60" w:rsidR="00B26797" w:rsidRDefault="00B26797" w:rsidP="00B26797">
      <w:pPr>
        <w:keepNext/>
        <w:tabs>
          <w:tab w:val="right" w:pos="3600"/>
        </w:tabs>
        <w:spacing w:line="240" w:lineRule="auto"/>
      </w:pPr>
    </w:p>
    <w:p w14:paraId="1E7AE9FE" w14:textId="77777777" w:rsidR="00B26797" w:rsidRPr="00B26797" w:rsidRDefault="00B26797" w:rsidP="003949D9">
      <w:pPr>
        <w:keepNext/>
        <w:tabs>
          <w:tab w:val="right" w:pos="3600"/>
        </w:tabs>
        <w:spacing w:line="240" w:lineRule="auto"/>
      </w:pPr>
    </w:p>
    <w:p w14:paraId="2690A469" w14:textId="00E03B64" w:rsidR="00406A19" w:rsidRPr="00406A19" w:rsidRDefault="00406A19" w:rsidP="00406A19">
      <w:pPr>
        <w:keepNext/>
        <w:tabs>
          <w:tab w:val="right" w:pos="3600"/>
        </w:tabs>
        <w:spacing w:line="240" w:lineRule="auto"/>
      </w:pPr>
    </w:p>
    <w:sectPr w:rsidR="00406A19" w:rsidRPr="00406A19" w:rsidSect="00AC3FE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14C4" w14:textId="77777777" w:rsidR="00991297" w:rsidRDefault="0095045B">
      <w:pPr>
        <w:spacing w:line="240" w:lineRule="auto"/>
      </w:pPr>
      <w:r>
        <w:separator/>
      </w:r>
    </w:p>
  </w:endnote>
  <w:endnote w:type="continuationSeparator" w:id="0">
    <w:p w14:paraId="139E8519" w14:textId="77777777" w:rsidR="00991297" w:rsidRDefault="00950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6672"/>
      <w:docPartObj>
        <w:docPartGallery w:val="Page Numbers (Bottom of Page)"/>
        <w:docPartUnique/>
      </w:docPartObj>
    </w:sdtPr>
    <w:sdtEndPr/>
    <w:sdtContent>
      <w:p w14:paraId="4BDDD117" w14:textId="10112C83" w:rsidR="00AA5D04" w:rsidRDefault="0095045B" w:rsidP="002D370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231C" w14:textId="77777777" w:rsidR="00AA5D04" w:rsidRDefault="00AA5D04" w:rsidP="000328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D2F7" w14:textId="77777777" w:rsidR="000B793A" w:rsidRDefault="0095045B" w:rsidP="0003284A">
      <w:pPr>
        <w:spacing w:line="240" w:lineRule="auto"/>
      </w:pPr>
      <w:r>
        <w:separator/>
      </w:r>
    </w:p>
  </w:footnote>
  <w:footnote w:type="continuationSeparator" w:id="0">
    <w:p w14:paraId="20770508" w14:textId="77777777" w:rsidR="000B793A" w:rsidRDefault="0095045B" w:rsidP="0003284A">
      <w:pPr>
        <w:spacing w:line="240" w:lineRule="auto"/>
      </w:pPr>
      <w:r>
        <w:continuationSeparator/>
      </w:r>
    </w:p>
  </w:footnote>
  <w:footnote w:id="1">
    <w:p w14:paraId="1EB9565F" w14:textId="08D0FC35" w:rsidR="0002459E" w:rsidRDefault="0095045B">
      <w:pPr>
        <w:pStyle w:val="FootnoteText"/>
      </w:pPr>
      <w:r>
        <w:rPr>
          <w:rStyle w:val="FootnoteReference"/>
        </w:rPr>
        <w:footnoteRef/>
      </w:r>
      <w:r>
        <w:t xml:space="preserve"> </w:t>
      </w:r>
      <w:r>
        <w:tab/>
        <w:t>Further unspecified section references are to the Public Resources Code.</w:t>
      </w:r>
    </w:p>
  </w:footnote>
  <w:footnote w:id="2">
    <w:p w14:paraId="318491F6" w14:textId="4177A5A5" w:rsidR="00663CD5" w:rsidRPr="00360892" w:rsidRDefault="0095045B" w:rsidP="00663CD5">
      <w:pPr>
        <w:pStyle w:val="FootnoteText"/>
      </w:pPr>
      <w:r>
        <w:rPr>
          <w:rStyle w:val="FootnoteReference"/>
        </w:rPr>
        <w:footnoteRef/>
      </w:r>
      <w:r>
        <w:t xml:space="preserve"> </w:t>
      </w:r>
      <w:r>
        <w:tab/>
        <w:t>McCann also argues that the City is</w:t>
      </w:r>
      <w:r w:rsidR="00517998">
        <w:t xml:space="preserve"> substantively</w:t>
      </w:r>
      <w:r>
        <w:t xml:space="preserve"> appealing from the “wording of the writ”—an argument the City waived by failing to object in the trial court.  We find no merit to th</w:t>
      </w:r>
      <w:r w:rsidR="005C7AF9">
        <w:t>is</w:t>
      </w:r>
      <w:r>
        <w:t xml:space="preserve"> claim.  </w:t>
      </w:r>
      <w:r w:rsidR="005C7AF9">
        <w:t>The adequacy of the City’s return</w:t>
      </w:r>
      <w:r w:rsidR="00290921">
        <w:t xml:space="preserve"> </w:t>
      </w:r>
      <w:r>
        <w:t xml:space="preserve">necessarily depends on the orders expressed within the writ, and </w:t>
      </w:r>
      <w:r w:rsidR="005C7AF9">
        <w:t>therefore a discussion of</w:t>
      </w:r>
      <w:r w:rsidR="005C05A2">
        <w:t xml:space="preserve"> the</w:t>
      </w:r>
      <w:r w:rsidR="005C7AF9">
        <w:t xml:space="preserve"> language within the writ is necessary to determine whether the writ has been</w:t>
      </w:r>
      <w:r w:rsidR="005C05A2">
        <w:t xml:space="preserve"> fully</w:t>
      </w:r>
      <w:r w:rsidR="005C7AF9">
        <w:t xml:space="preserve"> satisfied. </w:t>
      </w:r>
      <w:r w:rsidR="00360892">
        <w:t xml:space="preserve"> (See </w:t>
      </w:r>
      <w:bookmarkStart w:id="19" w:name="dabmci_772290338884453f81b911454c1c3688"/>
      <w:r w:rsidR="007B124E">
        <w:rPr>
          <w:i/>
          <w:iCs/>
        </w:rPr>
        <w:t>POET</w:t>
      </w:r>
      <w:r w:rsidR="00360892">
        <w:rPr>
          <w:i/>
          <w:iCs/>
        </w:rPr>
        <w:t xml:space="preserve">, LLC v. State Air Resources Bd. </w:t>
      </w:r>
      <w:r w:rsidR="00360892">
        <w:t>(2017) 12 Cal.App.5th 52</w:t>
      </w:r>
      <w:r w:rsidR="000A7145">
        <w:t>, 63</w:t>
      </w:r>
      <w:bookmarkEnd w:id="19"/>
      <w:r w:rsidR="00360892">
        <w:t xml:space="preserve"> [interpreting the meaning of a writ of mandate</w:t>
      </w:r>
      <w:r w:rsidR="000A7145">
        <w:t xml:space="preserve"> de novo to determine if the agency’s actions complied with the terms of the writ].)</w:t>
      </w:r>
    </w:p>
  </w:footnote>
  <w:footnote w:id="3">
    <w:p w14:paraId="77845683" w14:textId="6E3A454F" w:rsidR="00552826" w:rsidRDefault="0095045B" w:rsidP="00552826">
      <w:pPr>
        <w:pStyle w:val="FootnoteText"/>
      </w:pPr>
      <w:r>
        <w:rPr>
          <w:rStyle w:val="FootnoteReference"/>
        </w:rPr>
        <w:footnoteRef/>
      </w:r>
      <w:r>
        <w:t xml:space="preserve"> </w:t>
      </w:r>
      <w:r>
        <w:tab/>
      </w:r>
      <w:r w:rsidRPr="000F1605">
        <w:t>There are circumstances in which the court may order specific corrective action under CEQA, but</w:t>
      </w:r>
      <w:r w:rsidR="00476780">
        <w:t xml:space="preserve"> </w:t>
      </w:r>
      <w:r w:rsidR="00767AEF">
        <w:t xml:space="preserve">in </w:t>
      </w:r>
      <w:bookmarkStart w:id="39" w:name="dabmci_a32d54836c8f4841a9e690d17bc2a26b"/>
      <w:r w:rsidR="00767AEF">
        <w:rPr>
          <w:i/>
          <w:iCs/>
        </w:rPr>
        <w:t>McCann I</w:t>
      </w:r>
      <w:bookmarkEnd w:id="39"/>
      <w:r w:rsidRPr="000F1605">
        <w:t xml:space="preserve"> we did no more than order the rescission of the project approvals.</w:t>
      </w:r>
      <w:r>
        <w:t xml:space="preserve">  (See e.g. </w:t>
      </w:r>
      <w:bookmarkStart w:id="40" w:name="dabmci_106751ab92ad41f5b990c755a632efe7"/>
      <w:r w:rsidR="007B124E">
        <w:rPr>
          <w:i/>
          <w:iCs/>
        </w:rPr>
        <w:t>POET</w:t>
      </w:r>
      <w:r>
        <w:rPr>
          <w:i/>
          <w:iCs/>
        </w:rPr>
        <w:t>, LLC</w:t>
      </w:r>
      <w:r w:rsidR="00624E6B">
        <w:rPr>
          <w:i/>
          <w:iCs/>
        </w:rPr>
        <w:t>,</w:t>
      </w:r>
      <w:r w:rsidR="00314916">
        <w:rPr>
          <w:i/>
          <w:iCs/>
        </w:rPr>
        <w:t xml:space="preserve"> </w:t>
      </w:r>
      <w:r w:rsidR="00624E6B">
        <w:rPr>
          <w:i/>
          <w:iCs/>
        </w:rPr>
        <w:t xml:space="preserve">supra, </w:t>
      </w:r>
      <w:r>
        <w:t xml:space="preserve">218 Cal.App.4th </w:t>
      </w:r>
      <w:r w:rsidR="00624E6B">
        <w:t xml:space="preserve">at pp. </w:t>
      </w:r>
      <w:r>
        <w:t>764-767</w:t>
      </w:r>
      <w:bookmarkEnd w:id="40"/>
      <w:r>
        <w:t xml:space="preserve"> [providing detailed guidance on the steps necessary to comply with CEQA and compelling the agency to take specific actions].)  Although we made clear in our discussion</w:t>
      </w:r>
      <w:r w:rsidR="00767AEF">
        <w:t xml:space="preserve"> in </w:t>
      </w:r>
      <w:bookmarkStart w:id="41" w:name="dabmci_d5e5842f3b074b5992e27024439ab06e"/>
      <w:r w:rsidR="00767AEF">
        <w:rPr>
          <w:i/>
          <w:iCs/>
        </w:rPr>
        <w:t>McCann I</w:t>
      </w:r>
      <w:bookmarkEnd w:id="41"/>
      <w:r>
        <w:t xml:space="preserve"> that </w:t>
      </w:r>
      <w:r w:rsidRPr="000F1605">
        <w:t xml:space="preserve">the </w:t>
      </w:r>
      <w:r w:rsidR="00476780">
        <w:t xml:space="preserve">MND </w:t>
      </w:r>
      <w:r w:rsidR="007B124E">
        <w:t>P</w:t>
      </w:r>
      <w:r w:rsidRPr="000F1605">
        <w:t xml:space="preserve">rojects will not be in compliance with CEQA unless </w:t>
      </w:r>
      <w:r>
        <w:t xml:space="preserve">and until </w:t>
      </w:r>
      <w:r w:rsidRPr="000F1605">
        <w:t xml:space="preserve">the City performs the “required analysis to determine whether the </w:t>
      </w:r>
      <w:r w:rsidR="007B124E">
        <w:t>MND P</w:t>
      </w:r>
      <w:r w:rsidRPr="000F1605">
        <w:t xml:space="preserve">rojects </w:t>
      </w:r>
      <w:r w:rsidR="007B124E">
        <w:t>[</w:t>
      </w:r>
      <w:r w:rsidRPr="000F1605">
        <w:t>were</w:t>
      </w:r>
      <w:r w:rsidR="007B124E">
        <w:t>]</w:t>
      </w:r>
      <w:r w:rsidRPr="000F1605">
        <w:t xml:space="preserve"> consistent with the Climate Action Plan</w:t>
      </w:r>
      <w:r>
        <w:t>,</w:t>
      </w:r>
      <w:r w:rsidRPr="000F1605">
        <w:t>”</w:t>
      </w:r>
      <w:r>
        <w:t xml:space="preserve"> we </w:t>
      </w:r>
      <w:r w:rsidRPr="000F1605">
        <w:t>did not direct the trial court to order such an analysis</w:t>
      </w:r>
      <w:r>
        <w:t>.</w:t>
      </w:r>
      <w:r w:rsidR="003C7B96">
        <w:t xml:space="preserve">  (</w:t>
      </w:r>
      <w:bookmarkStart w:id="42" w:name="dabmci_cb490a191c3b492390e54bebfc0e9d81"/>
      <w:r w:rsidR="003C7B96">
        <w:rPr>
          <w:i/>
          <w:iCs/>
        </w:rPr>
        <w:t xml:space="preserve">McCann I, supra, </w:t>
      </w:r>
      <w:r w:rsidR="003C7B96">
        <w:t>70 Cal.App.5th at p.</w:t>
      </w:r>
      <w:r w:rsidR="00314916">
        <w:t xml:space="preserve"> </w:t>
      </w:r>
      <w:r w:rsidR="003C7B96">
        <w:t>97</w:t>
      </w:r>
      <w:bookmarkEnd w:id="42"/>
      <w:r w:rsidR="003C7B96">
        <w:t>.)</w:t>
      </w:r>
      <w:r>
        <w:t xml:space="preserve">  We declined to make such an order</w:t>
      </w:r>
      <w:r w:rsidRPr="000F1605">
        <w:t xml:space="preserve"> because nothing in the record supported a “fair argument that the MND Projects </w:t>
      </w:r>
      <w:r>
        <w:t>[were]</w:t>
      </w:r>
      <w:r w:rsidRPr="000F1605">
        <w:t xml:space="preserve"> inconsistent with the reduction measures identified by the City in the Climate Action Plan</w:t>
      </w:r>
      <w:r w:rsidR="00767AEF">
        <w:t>,</w:t>
      </w:r>
      <w:r>
        <w:t>” and we t</w:t>
      </w:r>
      <w:r w:rsidRPr="000F1605">
        <w:t>herefore</w:t>
      </w:r>
      <w:r>
        <w:t xml:space="preserve"> </w:t>
      </w:r>
      <w:r w:rsidRPr="000F1605">
        <w:t>left the matter to the City’s discretion to perform the appropriate analysis and determin</w:t>
      </w:r>
      <w:r w:rsidR="006F1BDE">
        <w:t>e</w:t>
      </w:r>
      <w:r w:rsidRPr="000F1605">
        <w:t xml:space="preserve"> whether to proceed by an MND or an environmental impact report.  (</w:t>
      </w:r>
      <w:bookmarkStart w:id="43" w:name="dabmci_c56c085961804dfd920407646d815812"/>
      <w:r w:rsidRPr="003C7B96">
        <w:rPr>
          <w:i/>
          <w:iCs/>
        </w:rPr>
        <w:t>Ibid</w:t>
      </w:r>
      <w:r w:rsidRPr="000F1605">
        <w:t>.</w:t>
      </w:r>
      <w:bookmarkEnd w:id="43"/>
      <w:r>
        <w:t xml:space="preserve">)  Whether the City moves forward with the MND </w:t>
      </w:r>
      <w:r w:rsidR="007B124E">
        <w:t>P</w:t>
      </w:r>
      <w:r>
        <w:t>rojects and performs the requisite analysis for CEQA approval is a matter of its discretion and we may not direct the City to “exercise its discretion in any particular way.”  (§ 21168.9, subd. (c).)</w:t>
      </w:r>
    </w:p>
  </w:footnote>
  <w:footnote w:id="4">
    <w:p w14:paraId="501B8BC5" w14:textId="15E0C815" w:rsidR="003C7B96" w:rsidRPr="003C7B96" w:rsidRDefault="0095045B">
      <w:pPr>
        <w:pStyle w:val="FootnoteText"/>
      </w:pPr>
      <w:r>
        <w:rPr>
          <w:rStyle w:val="FootnoteReference"/>
        </w:rPr>
        <w:footnoteRef/>
      </w:r>
      <w:r>
        <w:t xml:space="preserve"> </w:t>
      </w:r>
      <w:r>
        <w:tab/>
        <w:t xml:space="preserve">McCann cites to </w:t>
      </w:r>
      <w:bookmarkStart w:id="46" w:name="dabmci_cdec93a7ddc54aa29a7a977fd9dea74e"/>
      <w:r w:rsidR="007B124E">
        <w:rPr>
          <w:i/>
          <w:iCs/>
        </w:rPr>
        <w:t xml:space="preserve">County of </w:t>
      </w:r>
      <w:r>
        <w:rPr>
          <w:i/>
          <w:iCs/>
        </w:rPr>
        <w:t xml:space="preserve">Inyo v. City of L.A. </w:t>
      </w:r>
      <w:r>
        <w:t>(1981) 124 Cal.App.3d 1 (</w:t>
      </w:r>
      <w:r>
        <w:rPr>
          <w:i/>
          <w:iCs/>
        </w:rPr>
        <w:t>Inyo</w:t>
      </w:r>
      <w:r>
        <w:t>)</w:t>
      </w:r>
      <w:bookmarkEnd w:id="46"/>
      <w:r>
        <w:t>, for the proposition that the return to the writ process may last for years.  We don’t disagree that th</w:t>
      </w:r>
      <w:r w:rsidR="00677EE3">
        <w:t>is</w:t>
      </w:r>
      <w:r>
        <w:t xml:space="preserve"> timeframe may be leng</w:t>
      </w:r>
      <w:r w:rsidR="00314916">
        <w:t>th</w:t>
      </w:r>
      <w:r>
        <w:t xml:space="preserve">y, but in </w:t>
      </w:r>
      <w:bookmarkStart w:id="47" w:name="dabmci_3d4ed3f2a02c4d41af06b5434b8325ac"/>
      <w:r>
        <w:rPr>
          <w:i/>
          <w:iCs/>
        </w:rPr>
        <w:t>Inyo</w:t>
      </w:r>
      <w:bookmarkEnd w:id="47"/>
      <w:r>
        <w:rPr>
          <w:i/>
          <w:iCs/>
        </w:rPr>
        <w:t xml:space="preserve">, </w:t>
      </w:r>
      <w:r>
        <w:t>the process lasted for years because the court ordered the agency to prepare an environmental impact report that was the subject of continued litigation.  (</w:t>
      </w:r>
      <w:bookmarkStart w:id="48" w:name="dabmci_cde300913f314b2f86d44d18a2256956"/>
      <w:r>
        <w:rPr>
          <w:i/>
          <w:iCs/>
        </w:rPr>
        <w:t>Inyo</w:t>
      </w:r>
      <w:r w:rsidR="0002459E">
        <w:rPr>
          <w:i/>
          <w:iCs/>
        </w:rPr>
        <w:t>, supra,</w:t>
      </w:r>
      <w:r>
        <w:rPr>
          <w:i/>
          <w:iCs/>
        </w:rPr>
        <w:t xml:space="preserve"> </w:t>
      </w:r>
      <w:r>
        <w:t>at p. 3</w:t>
      </w:r>
      <w:bookmarkEnd w:id="48"/>
      <w:r>
        <w:t xml:space="preserve">.)  Here, we did not order the City to prepare such an analysis, but merely directed it to rescind the disputed project approvals.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A6BA" w14:textId="77777777" w:rsidR="00AA5D04" w:rsidRPr="000C640A" w:rsidRDefault="00AA5D04" w:rsidP="004249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DD0"/>
    <w:multiLevelType w:val="hybridMultilevel"/>
    <w:tmpl w:val="C298EBA6"/>
    <w:lvl w:ilvl="0" w:tplc="5886744A">
      <w:start w:val="1"/>
      <w:numFmt w:val="upperLetter"/>
      <w:lvlText w:val="%1."/>
      <w:lvlJc w:val="left"/>
      <w:pPr>
        <w:ind w:left="720" w:hanging="360"/>
      </w:pPr>
      <w:rPr>
        <w:rFonts w:hint="default"/>
      </w:rPr>
    </w:lvl>
    <w:lvl w:ilvl="1" w:tplc="DB282A98" w:tentative="1">
      <w:start w:val="1"/>
      <w:numFmt w:val="lowerLetter"/>
      <w:lvlText w:val="%2."/>
      <w:lvlJc w:val="left"/>
      <w:pPr>
        <w:ind w:left="1440" w:hanging="360"/>
      </w:pPr>
    </w:lvl>
    <w:lvl w:ilvl="2" w:tplc="5DA608BA" w:tentative="1">
      <w:start w:val="1"/>
      <w:numFmt w:val="lowerRoman"/>
      <w:lvlText w:val="%3."/>
      <w:lvlJc w:val="right"/>
      <w:pPr>
        <w:ind w:left="2160" w:hanging="180"/>
      </w:pPr>
    </w:lvl>
    <w:lvl w:ilvl="3" w:tplc="1A047FC4" w:tentative="1">
      <w:start w:val="1"/>
      <w:numFmt w:val="decimal"/>
      <w:lvlText w:val="%4."/>
      <w:lvlJc w:val="left"/>
      <w:pPr>
        <w:ind w:left="2880" w:hanging="360"/>
      </w:pPr>
    </w:lvl>
    <w:lvl w:ilvl="4" w:tplc="090A002E" w:tentative="1">
      <w:start w:val="1"/>
      <w:numFmt w:val="lowerLetter"/>
      <w:lvlText w:val="%5."/>
      <w:lvlJc w:val="left"/>
      <w:pPr>
        <w:ind w:left="3600" w:hanging="360"/>
      </w:pPr>
    </w:lvl>
    <w:lvl w:ilvl="5" w:tplc="455E97B0" w:tentative="1">
      <w:start w:val="1"/>
      <w:numFmt w:val="lowerRoman"/>
      <w:lvlText w:val="%6."/>
      <w:lvlJc w:val="right"/>
      <w:pPr>
        <w:ind w:left="4320" w:hanging="180"/>
      </w:pPr>
    </w:lvl>
    <w:lvl w:ilvl="6" w:tplc="C1B8483C" w:tentative="1">
      <w:start w:val="1"/>
      <w:numFmt w:val="decimal"/>
      <w:lvlText w:val="%7."/>
      <w:lvlJc w:val="left"/>
      <w:pPr>
        <w:ind w:left="5040" w:hanging="360"/>
      </w:pPr>
    </w:lvl>
    <w:lvl w:ilvl="7" w:tplc="72C45D62" w:tentative="1">
      <w:start w:val="1"/>
      <w:numFmt w:val="lowerLetter"/>
      <w:lvlText w:val="%8."/>
      <w:lvlJc w:val="left"/>
      <w:pPr>
        <w:ind w:left="5760" w:hanging="360"/>
      </w:pPr>
    </w:lvl>
    <w:lvl w:ilvl="8" w:tplc="D5B03E04" w:tentative="1">
      <w:start w:val="1"/>
      <w:numFmt w:val="lowerRoman"/>
      <w:lvlText w:val="%9."/>
      <w:lvlJc w:val="right"/>
      <w:pPr>
        <w:ind w:left="6480" w:hanging="180"/>
      </w:pPr>
    </w:lvl>
  </w:abstractNum>
  <w:abstractNum w:abstractNumId="1" w15:restartNumberingAfterBreak="0">
    <w:nsid w:val="272562C3"/>
    <w:multiLevelType w:val="hybridMultilevel"/>
    <w:tmpl w:val="DD1E4CAE"/>
    <w:lvl w:ilvl="0" w:tplc="8A0C77FE">
      <w:start w:val="1"/>
      <w:numFmt w:val="upperLetter"/>
      <w:lvlText w:val="%1&gt;"/>
      <w:lvlJc w:val="left"/>
      <w:pPr>
        <w:ind w:left="720" w:hanging="360"/>
      </w:pPr>
      <w:rPr>
        <w:rFonts w:hint="default"/>
      </w:rPr>
    </w:lvl>
    <w:lvl w:ilvl="1" w:tplc="D362F54A" w:tentative="1">
      <w:start w:val="1"/>
      <w:numFmt w:val="lowerLetter"/>
      <w:lvlText w:val="%2."/>
      <w:lvlJc w:val="left"/>
      <w:pPr>
        <w:ind w:left="1440" w:hanging="360"/>
      </w:pPr>
    </w:lvl>
    <w:lvl w:ilvl="2" w:tplc="DCD8CD44" w:tentative="1">
      <w:start w:val="1"/>
      <w:numFmt w:val="lowerRoman"/>
      <w:lvlText w:val="%3."/>
      <w:lvlJc w:val="right"/>
      <w:pPr>
        <w:ind w:left="2160" w:hanging="180"/>
      </w:pPr>
    </w:lvl>
    <w:lvl w:ilvl="3" w:tplc="50042BB8" w:tentative="1">
      <w:start w:val="1"/>
      <w:numFmt w:val="decimal"/>
      <w:lvlText w:val="%4."/>
      <w:lvlJc w:val="left"/>
      <w:pPr>
        <w:ind w:left="2880" w:hanging="360"/>
      </w:pPr>
    </w:lvl>
    <w:lvl w:ilvl="4" w:tplc="AF306676" w:tentative="1">
      <w:start w:val="1"/>
      <w:numFmt w:val="lowerLetter"/>
      <w:lvlText w:val="%5."/>
      <w:lvlJc w:val="left"/>
      <w:pPr>
        <w:ind w:left="3600" w:hanging="360"/>
      </w:pPr>
    </w:lvl>
    <w:lvl w:ilvl="5" w:tplc="461C0D60" w:tentative="1">
      <w:start w:val="1"/>
      <w:numFmt w:val="lowerRoman"/>
      <w:lvlText w:val="%6."/>
      <w:lvlJc w:val="right"/>
      <w:pPr>
        <w:ind w:left="4320" w:hanging="180"/>
      </w:pPr>
    </w:lvl>
    <w:lvl w:ilvl="6" w:tplc="6B60D5AE" w:tentative="1">
      <w:start w:val="1"/>
      <w:numFmt w:val="decimal"/>
      <w:lvlText w:val="%7."/>
      <w:lvlJc w:val="left"/>
      <w:pPr>
        <w:ind w:left="5040" w:hanging="360"/>
      </w:pPr>
    </w:lvl>
    <w:lvl w:ilvl="7" w:tplc="FA68187E" w:tentative="1">
      <w:start w:val="1"/>
      <w:numFmt w:val="lowerLetter"/>
      <w:lvlText w:val="%8."/>
      <w:lvlJc w:val="left"/>
      <w:pPr>
        <w:ind w:left="5760" w:hanging="360"/>
      </w:pPr>
    </w:lvl>
    <w:lvl w:ilvl="8" w:tplc="F2786D5A" w:tentative="1">
      <w:start w:val="1"/>
      <w:numFmt w:val="lowerRoman"/>
      <w:lvlText w:val="%9."/>
      <w:lvlJc w:val="right"/>
      <w:pPr>
        <w:ind w:left="6480" w:hanging="180"/>
      </w:pPr>
    </w:lvl>
  </w:abstractNum>
  <w:abstractNum w:abstractNumId="2" w15:restartNumberingAfterBreak="0">
    <w:nsid w:val="32A946C7"/>
    <w:multiLevelType w:val="hybridMultilevel"/>
    <w:tmpl w:val="644E7418"/>
    <w:lvl w:ilvl="0" w:tplc="7AE6505C">
      <w:start w:val="1"/>
      <w:numFmt w:val="upperLetter"/>
      <w:lvlText w:val="%1."/>
      <w:lvlJc w:val="left"/>
      <w:pPr>
        <w:ind w:left="720" w:hanging="360"/>
      </w:pPr>
      <w:rPr>
        <w:rFonts w:hint="default"/>
      </w:rPr>
    </w:lvl>
    <w:lvl w:ilvl="1" w:tplc="5B564EC2" w:tentative="1">
      <w:start w:val="1"/>
      <w:numFmt w:val="lowerLetter"/>
      <w:lvlText w:val="%2."/>
      <w:lvlJc w:val="left"/>
      <w:pPr>
        <w:ind w:left="1440" w:hanging="360"/>
      </w:pPr>
    </w:lvl>
    <w:lvl w:ilvl="2" w:tplc="E6B2C8B8" w:tentative="1">
      <w:start w:val="1"/>
      <w:numFmt w:val="lowerRoman"/>
      <w:lvlText w:val="%3."/>
      <w:lvlJc w:val="right"/>
      <w:pPr>
        <w:ind w:left="2160" w:hanging="180"/>
      </w:pPr>
    </w:lvl>
    <w:lvl w:ilvl="3" w:tplc="BB7884F0" w:tentative="1">
      <w:start w:val="1"/>
      <w:numFmt w:val="decimal"/>
      <w:lvlText w:val="%4."/>
      <w:lvlJc w:val="left"/>
      <w:pPr>
        <w:ind w:left="2880" w:hanging="360"/>
      </w:pPr>
    </w:lvl>
    <w:lvl w:ilvl="4" w:tplc="4E707954" w:tentative="1">
      <w:start w:val="1"/>
      <w:numFmt w:val="lowerLetter"/>
      <w:lvlText w:val="%5."/>
      <w:lvlJc w:val="left"/>
      <w:pPr>
        <w:ind w:left="3600" w:hanging="360"/>
      </w:pPr>
    </w:lvl>
    <w:lvl w:ilvl="5" w:tplc="E90AB0B8" w:tentative="1">
      <w:start w:val="1"/>
      <w:numFmt w:val="lowerRoman"/>
      <w:lvlText w:val="%6."/>
      <w:lvlJc w:val="right"/>
      <w:pPr>
        <w:ind w:left="4320" w:hanging="180"/>
      </w:pPr>
    </w:lvl>
    <w:lvl w:ilvl="6" w:tplc="1D26A50E" w:tentative="1">
      <w:start w:val="1"/>
      <w:numFmt w:val="decimal"/>
      <w:lvlText w:val="%7."/>
      <w:lvlJc w:val="left"/>
      <w:pPr>
        <w:ind w:left="5040" w:hanging="360"/>
      </w:pPr>
    </w:lvl>
    <w:lvl w:ilvl="7" w:tplc="A5BCC176" w:tentative="1">
      <w:start w:val="1"/>
      <w:numFmt w:val="lowerLetter"/>
      <w:lvlText w:val="%8."/>
      <w:lvlJc w:val="left"/>
      <w:pPr>
        <w:ind w:left="5760" w:hanging="360"/>
      </w:pPr>
    </w:lvl>
    <w:lvl w:ilvl="8" w:tplc="46FE09C4" w:tentative="1">
      <w:start w:val="1"/>
      <w:numFmt w:val="lowerRoman"/>
      <w:lvlText w:val="%9."/>
      <w:lvlJc w:val="right"/>
      <w:pPr>
        <w:ind w:left="6480" w:hanging="180"/>
      </w:pPr>
    </w:lvl>
  </w:abstractNum>
  <w:abstractNum w:abstractNumId="3" w15:restartNumberingAfterBreak="0">
    <w:nsid w:val="359F61AE"/>
    <w:multiLevelType w:val="hybridMultilevel"/>
    <w:tmpl w:val="57D05E82"/>
    <w:lvl w:ilvl="0" w:tplc="EC1C8742">
      <w:start w:val="1"/>
      <w:numFmt w:val="upperLetter"/>
      <w:lvlText w:val="%1."/>
      <w:lvlJc w:val="left"/>
      <w:pPr>
        <w:ind w:left="720" w:hanging="360"/>
      </w:pPr>
      <w:rPr>
        <w:rFonts w:hint="default"/>
      </w:rPr>
    </w:lvl>
    <w:lvl w:ilvl="1" w:tplc="82322F18" w:tentative="1">
      <w:start w:val="1"/>
      <w:numFmt w:val="lowerLetter"/>
      <w:lvlText w:val="%2."/>
      <w:lvlJc w:val="left"/>
      <w:pPr>
        <w:ind w:left="1440" w:hanging="360"/>
      </w:pPr>
    </w:lvl>
    <w:lvl w:ilvl="2" w:tplc="2FC89BE4" w:tentative="1">
      <w:start w:val="1"/>
      <w:numFmt w:val="lowerRoman"/>
      <w:lvlText w:val="%3."/>
      <w:lvlJc w:val="right"/>
      <w:pPr>
        <w:ind w:left="2160" w:hanging="180"/>
      </w:pPr>
    </w:lvl>
    <w:lvl w:ilvl="3" w:tplc="E01ACFA2" w:tentative="1">
      <w:start w:val="1"/>
      <w:numFmt w:val="decimal"/>
      <w:lvlText w:val="%4."/>
      <w:lvlJc w:val="left"/>
      <w:pPr>
        <w:ind w:left="2880" w:hanging="360"/>
      </w:pPr>
    </w:lvl>
    <w:lvl w:ilvl="4" w:tplc="34FC1F7C" w:tentative="1">
      <w:start w:val="1"/>
      <w:numFmt w:val="lowerLetter"/>
      <w:lvlText w:val="%5."/>
      <w:lvlJc w:val="left"/>
      <w:pPr>
        <w:ind w:left="3600" w:hanging="360"/>
      </w:pPr>
    </w:lvl>
    <w:lvl w:ilvl="5" w:tplc="51EE8722" w:tentative="1">
      <w:start w:val="1"/>
      <w:numFmt w:val="lowerRoman"/>
      <w:lvlText w:val="%6."/>
      <w:lvlJc w:val="right"/>
      <w:pPr>
        <w:ind w:left="4320" w:hanging="180"/>
      </w:pPr>
    </w:lvl>
    <w:lvl w:ilvl="6" w:tplc="BFAA5276" w:tentative="1">
      <w:start w:val="1"/>
      <w:numFmt w:val="decimal"/>
      <w:lvlText w:val="%7."/>
      <w:lvlJc w:val="left"/>
      <w:pPr>
        <w:ind w:left="5040" w:hanging="360"/>
      </w:pPr>
    </w:lvl>
    <w:lvl w:ilvl="7" w:tplc="D43230E6" w:tentative="1">
      <w:start w:val="1"/>
      <w:numFmt w:val="lowerLetter"/>
      <w:lvlText w:val="%8."/>
      <w:lvlJc w:val="left"/>
      <w:pPr>
        <w:ind w:left="5760" w:hanging="360"/>
      </w:pPr>
    </w:lvl>
    <w:lvl w:ilvl="8" w:tplc="599AEF42" w:tentative="1">
      <w:start w:val="1"/>
      <w:numFmt w:val="lowerRoman"/>
      <w:lvlText w:val="%9."/>
      <w:lvlJc w:val="right"/>
      <w:pPr>
        <w:ind w:left="6480" w:hanging="180"/>
      </w:pPr>
    </w:lvl>
  </w:abstractNum>
  <w:abstractNum w:abstractNumId="4" w15:restartNumberingAfterBreak="0">
    <w:nsid w:val="5C89422A"/>
    <w:multiLevelType w:val="multilevel"/>
    <w:tmpl w:val="CCE85A0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77CB6CAC"/>
    <w:multiLevelType w:val="hybridMultilevel"/>
    <w:tmpl w:val="BF280A16"/>
    <w:lvl w:ilvl="0" w:tplc="925097D2">
      <w:start w:val="1"/>
      <w:numFmt w:val="decimal"/>
      <w:lvlText w:val="%1."/>
      <w:lvlJc w:val="left"/>
      <w:pPr>
        <w:ind w:left="720" w:hanging="360"/>
      </w:pPr>
    </w:lvl>
    <w:lvl w:ilvl="1" w:tplc="FF88A46A" w:tentative="1">
      <w:start w:val="1"/>
      <w:numFmt w:val="lowerLetter"/>
      <w:lvlText w:val="%2."/>
      <w:lvlJc w:val="left"/>
      <w:pPr>
        <w:ind w:left="1440" w:hanging="360"/>
      </w:pPr>
    </w:lvl>
    <w:lvl w:ilvl="2" w:tplc="E48C6F68" w:tentative="1">
      <w:start w:val="1"/>
      <w:numFmt w:val="lowerRoman"/>
      <w:lvlText w:val="%3."/>
      <w:lvlJc w:val="right"/>
      <w:pPr>
        <w:ind w:left="2160" w:hanging="180"/>
      </w:pPr>
    </w:lvl>
    <w:lvl w:ilvl="3" w:tplc="4C48EB58" w:tentative="1">
      <w:start w:val="1"/>
      <w:numFmt w:val="decimal"/>
      <w:lvlText w:val="%4."/>
      <w:lvlJc w:val="left"/>
      <w:pPr>
        <w:ind w:left="2880" w:hanging="360"/>
      </w:pPr>
    </w:lvl>
    <w:lvl w:ilvl="4" w:tplc="178A495E" w:tentative="1">
      <w:start w:val="1"/>
      <w:numFmt w:val="lowerLetter"/>
      <w:lvlText w:val="%5."/>
      <w:lvlJc w:val="left"/>
      <w:pPr>
        <w:ind w:left="3600" w:hanging="360"/>
      </w:pPr>
    </w:lvl>
    <w:lvl w:ilvl="5" w:tplc="F9CCA39A" w:tentative="1">
      <w:start w:val="1"/>
      <w:numFmt w:val="lowerRoman"/>
      <w:lvlText w:val="%6."/>
      <w:lvlJc w:val="right"/>
      <w:pPr>
        <w:ind w:left="4320" w:hanging="180"/>
      </w:pPr>
    </w:lvl>
    <w:lvl w:ilvl="6" w:tplc="E2602846" w:tentative="1">
      <w:start w:val="1"/>
      <w:numFmt w:val="decimal"/>
      <w:lvlText w:val="%7."/>
      <w:lvlJc w:val="left"/>
      <w:pPr>
        <w:ind w:left="5040" w:hanging="360"/>
      </w:pPr>
    </w:lvl>
    <w:lvl w:ilvl="7" w:tplc="8A2066FC" w:tentative="1">
      <w:start w:val="1"/>
      <w:numFmt w:val="lowerLetter"/>
      <w:lvlText w:val="%8."/>
      <w:lvlJc w:val="left"/>
      <w:pPr>
        <w:ind w:left="5760" w:hanging="360"/>
      </w:pPr>
    </w:lvl>
    <w:lvl w:ilvl="8" w:tplc="34AC3760" w:tentative="1">
      <w:start w:val="1"/>
      <w:numFmt w:val="lowerRoman"/>
      <w:lvlText w:val="%9."/>
      <w:lvlJc w:val="right"/>
      <w:pPr>
        <w:ind w:left="6480" w:hanging="180"/>
      </w:pPr>
    </w:lvl>
  </w:abstractNum>
  <w:num w:numId="1" w16cid:durableId="626396490">
    <w:abstractNumId w:val="2"/>
  </w:num>
  <w:num w:numId="2" w16cid:durableId="1694844793">
    <w:abstractNumId w:val="3"/>
  </w:num>
  <w:num w:numId="3" w16cid:durableId="1321151965">
    <w:abstractNumId w:val="5"/>
  </w:num>
  <w:num w:numId="4" w16cid:durableId="769856102">
    <w:abstractNumId w:val="0"/>
  </w:num>
  <w:num w:numId="5" w16cid:durableId="908227092">
    <w:abstractNumId w:val="4"/>
  </w:num>
  <w:num w:numId="6" w16cid:durableId="1583223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16"/>
    <w:rsid w:val="000001F4"/>
    <w:rsid w:val="0000191D"/>
    <w:rsid w:val="00002DAE"/>
    <w:rsid w:val="00006C2A"/>
    <w:rsid w:val="000121DD"/>
    <w:rsid w:val="00013A07"/>
    <w:rsid w:val="00015241"/>
    <w:rsid w:val="00016B63"/>
    <w:rsid w:val="00020DC4"/>
    <w:rsid w:val="000236DE"/>
    <w:rsid w:val="000241E6"/>
    <w:rsid w:val="0002459E"/>
    <w:rsid w:val="00025289"/>
    <w:rsid w:val="00027B6D"/>
    <w:rsid w:val="00030007"/>
    <w:rsid w:val="000303BF"/>
    <w:rsid w:val="0003284A"/>
    <w:rsid w:val="00032EE0"/>
    <w:rsid w:val="0003378E"/>
    <w:rsid w:val="00033A0A"/>
    <w:rsid w:val="0003522E"/>
    <w:rsid w:val="0003527D"/>
    <w:rsid w:val="00037639"/>
    <w:rsid w:val="00040E8A"/>
    <w:rsid w:val="00042618"/>
    <w:rsid w:val="00055CDA"/>
    <w:rsid w:val="00056C13"/>
    <w:rsid w:val="000575AE"/>
    <w:rsid w:val="000575DA"/>
    <w:rsid w:val="000603DB"/>
    <w:rsid w:val="00060B6B"/>
    <w:rsid w:val="000610D3"/>
    <w:rsid w:val="00062D0E"/>
    <w:rsid w:val="00064B33"/>
    <w:rsid w:val="00070C57"/>
    <w:rsid w:val="000712BC"/>
    <w:rsid w:val="00075161"/>
    <w:rsid w:val="00075F7F"/>
    <w:rsid w:val="00076CE1"/>
    <w:rsid w:val="00081581"/>
    <w:rsid w:val="0008197B"/>
    <w:rsid w:val="00081E14"/>
    <w:rsid w:val="00084BFE"/>
    <w:rsid w:val="00091C4F"/>
    <w:rsid w:val="00091C86"/>
    <w:rsid w:val="00095E2C"/>
    <w:rsid w:val="000A0ADB"/>
    <w:rsid w:val="000A0D93"/>
    <w:rsid w:val="000A3413"/>
    <w:rsid w:val="000A4E64"/>
    <w:rsid w:val="000A6C18"/>
    <w:rsid w:val="000A7145"/>
    <w:rsid w:val="000B06C8"/>
    <w:rsid w:val="000B129A"/>
    <w:rsid w:val="000B587E"/>
    <w:rsid w:val="000B793A"/>
    <w:rsid w:val="000C3667"/>
    <w:rsid w:val="000C640A"/>
    <w:rsid w:val="000D04C1"/>
    <w:rsid w:val="000D05F7"/>
    <w:rsid w:val="000D1068"/>
    <w:rsid w:val="000D1D8C"/>
    <w:rsid w:val="000D27EE"/>
    <w:rsid w:val="000D3EA2"/>
    <w:rsid w:val="000D6AC8"/>
    <w:rsid w:val="000D7032"/>
    <w:rsid w:val="000D779F"/>
    <w:rsid w:val="000D7C1C"/>
    <w:rsid w:val="000E1F50"/>
    <w:rsid w:val="000E4F11"/>
    <w:rsid w:val="000E63B8"/>
    <w:rsid w:val="000F0A4E"/>
    <w:rsid w:val="000F1605"/>
    <w:rsid w:val="000F5933"/>
    <w:rsid w:val="000F5C22"/>
    <w:rsid w:val="000F7000"/>
    <w:rsid w:val="000F749F"/>
    <w:rsid w:val="00103D0D"/>
    <w:rsid w:val="00106865"/>
    <w:rsid w:val="001072C7"/>
    <w:rsid w:val="001109C8"/>
    <w:rsid w:val="00111C26"/>
    <w:rsid w:val="00112A09"/>
    <w:rsid w:val="001143E7"/>
    <w:rsid w:val="00115577"/>
    <w:rsid w:val="00115598"/>
    <w:rsid w:val="001169B7"/>
    <w:rsid w:val="001224F2"/>
    <w:rsid w:val="00126E3C"/>
    <w:rsid w:val="00127C55"/>
    <w:rsid w:val="00134043"/>
    <w:rsid w:val="001348D4"/>
    <w:rsid w:val="0013586C"/>
    <w:rsid w:val="00135F56"/>
    <w:rsid w:val="00136DB7"/>
    <w:rsid w:val="00141180"/>
    <w:rsid w:val="00141646"/>
    <w:rsid w:val="00142B29"/>
    <w:rsid w:val="00143ADE"/>
    <w:rsid w:val="00143B6C"/>
    <w:rsid w:val="0014480F"/>
    <w:rsid w:val="00145D15"/>
    <w:rsid w:val="00150EB7"/>
    <w:rsid w:val="00155504"/>
    <w:rsid w:val="001565C6"/>
    <w:rsid w:val="001617B5"/>
    <w:rsid w:val="00164983"/>
    <w:rsid w:val="00166013"/>
    <w:rsid w:val="001662DD"/>
    <w:rsid w:val="001707EB"/>
    <w:rsid w:val="001723F5"/>
    <w:rsid w:val="0017385B"/>
    <w:rsid w:val="00173F90"/>
    <w:rsid w:val="00174100"/>
    <w:rsid w:val="00175027"/>
    <w:rsid w:val="001766D9"/>
    <w:rsid w:val="001811C9"/>
    <w:rsid w:val="00182EDB"/>
    <w:rsid w:val="001831E0"/>
    <w:rsid w:val="001835F7"/>
    <w:rsid w:val="00183FD8"/>
    <w:rsid w:val="00184782"/>
    <w:rsid w:val="00185029"/>
    <w:rsid w:val="0018681F"/>
    <w:rsid w:val="001900A3"/>
    <w:rsid w:val="0019030D"/>
    <w:rsid w:val="00190A90"/>
    <w:rsid w:val="001A4EA8"/>
    <w:rsid w:val="001A593E"/>
    <w:rsid w:val="001B0853"/>
    <w:rsid w:val="001B26F4"/>
    <w:rsid w:val="001B2BBA"/>
    <w:rsid w:val="001B3F7C"/>
    <w:rsid w:val="001B4DAB"/>
    <w:rsid w:val="001B78AE"/>
    <w:rsid w:val="001C0869"/>
    <w:rsid w:val="001C380C"/>
    <w:rsid w:val="001C3CB1"/>
    <w:rsid w:val="001C4A11"/>
    <w:rsid w:val="001C54BD"/>
    <w:rsid w:val="001C550D"/>
    <w:rsid w:val="001C563F"/>
    <w:rsid w:val="001D20EC"/>
    <w:rsid w:val="001D37A4"/>
    <w:rsid w:val="001E1119"/>
    <w:rsid w:val="001E265D"/>
    <w:rsid w:val="001F0126"/>
    <w:rsid w:val="001F056E"/>
    <w:rsid w:val="001F1096"/>
    <w:rsid w:val="001F3D17"/>
    <w:rsid w:val="001F7A5C"/>
    <w:rsid w:val="00200C03"/>
    <w:rsid w:val="00200D4D"/>
    <w:rsid w:val="00202711"/>
    <w:rsid w:val="00207CFE"/>
    <w:rsid w:val="00207EAE"/>
    <w:rsid w:val="002126D2"/>
    <w:rsid w:val="00214E60"/>
    <w:rsid w:val="002152EA"/>
    <w:rsid w:val="00215EF3"/>
    <w:rsid w:val="002219C5"/>
    <w:rsid w:val="00222A9A"/>
    <w:rsid w:val="00224EEF"/>
    <w:rsid w:val="00225DE6"/>
    <w:rsid w:val="00226F2D"/>
    <w:rsid w:val="00227994"/>
    <w:rsid w:val="002302D6"/>
    <w:rsid w:val="00231CF5"/>
    <w:rsid w:val="0023249A"/>
    <w:rsid w:val="00240261"/>
    <w:rsid w:val="00242A45"/>
    <w:rsid w:val="00243ED5"/>
    <w:rsid w:val="00245ECC"/>
    <w:rsid w:val="00246343"/>
    <w:rsid w:val="00246CE2"/>
    <w:rsid w:val="00247C4B"/>
    <w:rsid w:val="002500A0"/>
    <w:rsid w:val="00250462"/>
    <w:rsid w:val="002528EF"/>
    <w:rsid w:val="00252F15"/>
    <w:rsid w:val="00253EBB"/>
    <w:rsid w:val="002562D2"/>
    <w:rsid w:val="00257F5D"/>
    <w:rsid w:val="0026152E"/>
    <w:rsid w:val="0026208C"/>
    <w:rsid w:val="002635CB"/>
    <w:rsid w:val="002641E7"/>
    <w:rsid w:val="00264A9A"/>
    <w:rsid w:val="002657C8"/>
    <w:rsid w:val="00265CFE"/>
    <w:rsid w:val="002678C4"/>
    <w:rsid w:val="0027068E"/>
    <w:rsid w:val="002717D0"/>
    <w:rsid w:val="0027410F"/>
    <w:rsid w:val="0027584F"/>
    <w:rsid w:val="00276174"/>
    <w:rsid w:val="00280A54"/>
    <w:rsid w:val="002867D0"/>
    <w:rsid w:val="00286AB3"/>
    <w:rsid w:val="00290921"/>
    <w:rsid w:val="00290A31"/>
    <w:rsid w:val="002914A4"/>
    <w:rsid w:val="00293363"/>
    <w:rsid w:val="002A2C73"/>
    <w:rsid w:val="002A31B7"/>
    <w:rsid w:val="002A4F6A"/>
    <w:rsid w:val="002A773C"/>
    <w:rsid w:val="002B0F64"/>
    <w:rsid w:val="002B35EF"/>
    <w:rsid w:val="002B3FB2"/>
    <w:rsid w:val="002B4E12"/>
    <w:rsid w:val="002B5A71"/>
    <w:rsid w:val="002B6B99"/>
    <w:rsid w:val="002C4664"/>
    <w:rsid w:val="002C62D3"/>
    <w:rsid w:val="002D014B"/>
    <w:rsid w:val="002D0670"/>
    <w:rsid w:val="002D1903"/>
    <w:rsid w:val="002D370B"/>
    <w:rsid w:val="002D4E26"/>
    <w:rsid w:val="002E38BD"/>
    <w:rsid w:val="002E3ECB"/>
    <w:rsid w:val="002E505B"/>
    <w:rsid w:val="002E5A8E"/>
    <w:rsid w:val="002F0DCB"/>
    <w:rsid w:val="002F0E69"/>
    <w:rsid w:val="002F225D"/>
    <w:rsid w:val="002F68A6"/>
    <w:rsid w:val="002F6AA9"/>
    <w:rsid w:val="002F6BA2"/>
    <w:rsid w:val="00301E45"/>
    <w:rsid w:val="00301EFF"/>
    <w:rsid w:val="00302AF6"/>
    <w:rsid w:val="0030374E"/>
    <w:rsid w:val="003079E9"/>
    <w:rsid w:val="003137FF"/>
    <w:rsid w:val="00314916"/>
    <w:rsid w:val="00314F8E"/>
    <w:rsid w:val="003158A0"/>
    <w:rsid w:val="00315ADB"/>
    <w:rsid w:val="00321406"/>
    <w:rsid w:val="00321733"/>
    <w:rsid w:val="00323535"/>
    <w:rsid w:val="00324B47"/>
    <w:rsid w:val="00324B57"/>
    <w:rsid w:val="00335059"/>
    <w:rsid w:val="0034403E"/>
    <w:rsid w:val="0034472F"/>
    <w:rsid w:val="00344A5A"/>
    <w:rsid w:val="00347151"/>
    <w:rsid w:val="0035262E"/>
    <w:rsid w:val="00352720"/>
    <w:rsid w:val="00354077"/>
    <w:rsid w:val="00355848"/>
    <w:rsid w:val="003574C5"/>
    <w:rsid w:val="0035759B"/>
    <w:rsid w:val="00360366"/>
    <w:rsid w:val="00360892"/>
    <w:rsid w:val="003616EA"/>
    <w:rsid w:val="003651AD"/>
    <w:rsid w:val="00365D2F"/>
    <w:rsid w:val="0036605B"/>
    <w:rsid w:val="00367AE5"/>
    <w:rsid w:val="00370DDF"/>
    <w:rsid w:val="00371721"/>
    <w:rsid w:val="0037239A"/>
    <w:rsid w:val="00373035"/>
    <w:rsid w:val="00374DB0"/>
    <w:rsid w:val="00376BB4"/>
    <w:rsid w:val="0037775D"/>
    <w:rsid w:val="00380D1A"/>
    <w:rsid w:val="0038422B"/>
    <w:rsid w:val="0038577F"/>
    <w:rsid w:val="00386A65"/>
    <w:rsid w:val="00391B6D"/>
    <w:rsid w:val="003949D9"/>
    <w:rsid w:val="00395B41"/>
    <w:rsid w:val="00395F18"/>
    <w:rsid w:val="00396774"/>
    <w:rsid w:val="003A0CFA"/>
    <w:rsid w:val="003A1E22"/>
    <w:rsid w:val="003A25D2"/>
    <w:rsid w:val="003A2990"/>
    <w:rsid w:val="003A316E"/>
    <w:rsid w:val="003A70C8"/>
    <w:rsid w:val="003A7460"/>
    <w:rsid w:val="003B0847"/>
    <w:rsid w:val="003B0DD0"/>
    <w:rsid w:val="003B1269"/>
    <w:rsid w:val="003B5F1E"/>
    <w:rsid w:val="003C29CC"/>
    <w:rsid w:val="003C3969"/>
    <w:rsid w:val="003C4DD2"/>
    <w:rsid w:val="003C7242"/>
    <w:rsid w:val="003C7739"/>
    <w:rsid w:val="003C7B96"/>
    <w:rsid w:val="003D0F60"/>
    <w:rsid w:val="003D18DF"/>
    <w:rsid w:val="003D2138"/>
    <w:rsid w:val="003E123E"/>
    <w:rsid w:val="003E20E9"/>
    <w:rsid w:val="003E69D9"/>
    <w:rsid w:val="003E729A"/>
    <w:rsid w:val="003F0FF2"/>
    <w:rsid w:val="00401BD8"/>
    <w:rsid w:val="00406A19"/>
    <w:rsid w:val="00407042"/>
    <w:rsid w:val="00407B70"/>
    <w:rsid w:val="00407F7F"/>
    <w:rsid w:val="0041266B"/>
    <w:rsid w:val="00412FA5"/>
    <w:rsid w:val="00415CD1"/>
    <w:rsid w:val="004216F9"/>
    <w:rsid w:val="00424936"/>
    <w:rsid w:val="00424A70"/>
    <w:rsid w:val="00434BA0"/>
    <w:rsid w:val="00435E7D"/>
    <w:rsid w:val="004371AD"/>
    <w:rsid w:val="004374F1"/>
    <w:rsid w:val="00440D71"/>
    <w:rsid w:val="00441111"/>
    <w:rsid w:val="00441426"/>
    <w:rsid w:val="004433CB"/>
    <w:rsid w:val="00444E08"/>
    <w:rsid w:val="004460B6"/>
    <w:rsid w:val="00447015"/>
    <w:rsid w:val="004475EA"/>
    <w:rsid w:val="004501AE"/>
    <w:rsid w:val="0045237E"/>
    <w:rsid w:val="00452DBF"/>
    <w:rsid w:val="004545DE"/>
    <w:rsid w:val="004569C3"/>
    <w:rsid w:val="00457CD9"/>
    <w:rsid w:val="00457F84"/>
    <w:rsid w:val="004615D6"/>
    <w:rsid w:val="00462D91"/>
    <w:rsid w:val="004635AC"/>
    <w:rsid w:val="00463894"/>
    <w:rsid w:val="00464608"/>
    <w:rsid w:val="00464671"/>
    <w:rsid w:val="004648AE"/>
    <w:rsid w:val="004701F6"/>
    <w:rsid w:val="00470EB8"/>
    <w:rsid w:val="00473683"/>
    <w:rsid w:val="00474236"/>
    <w:rsid w:val="0047660A"/>
    <w:rsid w:val="00476780"/>
    <w:rsid w:val="004767BE"/>
    <w:rsid w:val="0048078D"/>
    <w:rsid w:val="004875AF"/>
    <w:rsid w:val="0049567F"/>
    <w:rsid w:val="004A1D60"/>
    <w:rsid w:val="004A1EC7"/>
    <w:rsid w:val="004A21F6"/>
    <w:rsid w:val="004A2669"/>
    <w:rsid w:val="004A579F"/>
    <w:rsid w:val="004A7F73"/>
    <w:rsid w:val="004B043A"/>
    <w:rsid w:val="004B4C90"/>
    <w:rsid w:val="004C15C4"/>
    <w:rsid w:val="004C1EE8"/>
    <w:rsid w:val="004C281E"/>
    <w:rsid w:val="004C3C0B"/>
    <w:rsid w:val="004C4ED7"/>
    <w:rsid w:val="004C7059"/>
    <w:rsid w:val="004C7AE4"/>
    <w:rsid w:val="004D02B6"/>
    <w:rsid w:val="004D1849"/>
    <w:rsid w:val="004D4F98"/>
    <w:rsid w:val="004D55CC"/>
    <w:rsid w:val="004D7F4B"/>
    <w:rsid w:val="004E122A"/>
    <w:rsid w:val="004E1C7A"/>
    <w:rsid w:val="004E291F"/>
    <w:rsid w:val="004E7CE9"/>
    <w:rsid w:val="004E7DAD"/>
    <w:rsid w:val="004F27A0"/>
    <w:rsid w:val="004F27CC"/>
    <w:rsid w:val="00502844"/>
    <w:rsid w:val="00507407"/>
    <w:rsid w:val="00516211"/>
    <w:rsid w:val="005175FC"/>
    <w:rsid w:val="005177B6"/>
    <w:rsid w:val="00517998"/>
    <w:rsid w:val="00520BFC"/>
    <w:rsid w:val="00521D0C"/>
    <w:rsid w:val="0052378F"/>
    <w:rsid w:val="00523DEF"/>
    <w:rsid w:val="00524A06"/>
    <w:rsid w:val="0053024A"/>
    <w:rsid w:val="00531095"/>
    <w:rsid w:val="00532714"/>
    <w:rsid w:val="00532F30"/>
    <w:rsid w:val="00540ABB"/>
    <w:rsid w:val="005422DD"/>
    <w:rsid w:val="00542FA6"/>
    <w:rsid w:val="005446EF"/>
    <w:rsid w:val="0054718C"/>
    <w:rsid w:val="00550A10"/>
    <w:rsid w:val="00552826"/>
    <w:rsid w:val="00553331"/>
    <w:rsid w:val="00556573"/>
    <w:rsid w:val="00560359"/>
    <w:rsid w:val="0056048C"/>
    <w:rsid w:val="00562CD3"/>
    <w:rsid w:val="00563311"/>
    <w:rsid w:val="005634F8"/>
    <w:rsid w:val="00563DE4"/>
    <w:rsid w:val="00566012"/>
    <w:rsid w:val="00571817"/>
    <w:rsid w:val="0057225A"/>
    <w:rsid w:val="005755CD"/>
    <w:rsid w:val="00575CBF"/>
    <w:rsid w:val="005764A0"/>
    <w:rsid w:val="00576DF2"/>
    <w:rsid w:val="00580C9F"/>
    <w:rsid w:val="00585E26"/>
    <w:rsid w:val="0058603A"/>
    <w:rsid w:val="005872F1"/>
    <w:rsid w:val="0059558A"/>
    <w:rsid w:val="005A20F4"/>
    <w:rsid w:val="005A4A3D"/>
    <w:rsid w:val="005B06AA"/>
    <w:rsid w:val="005B1AD9"/>
    <w:rsid w:val="005B1F13"/>
    <w:rsid w:val="005B2D3B"/>
    <w:rsid w:val="005B35DF"/>
    <w:rsid w:val="005B4F27"/>
    <w:rsid w:val="005C05A2"/>
    <w:rsid w:val="005C246E"/>
    <w:rsid w:val="005C3BF2"/>
    <w:rsid w:val="005C5418"/>
    <w:rsid w:val="005C5C50"/>
    <w:rsid w:val="005C63D2"/>
    <w:rsid w:val="005C7AF9"/>
    <w:rsid w:val="005D097E"/>
    <w:rsid w:val="005D3F06"/>
    <w:rsid w:val="005D5D90"/>
    <w:rsid w:val="005D6520"/>
    <w:rsid w:val="005D79C0"/>
    <w:rsid w:val="005E0133"/>
    <w:rsid w:val="005E34E3"/>
    <w:rsid w:val="005E4883"/>
    <w:rsid w:val="005E6D54"/>
    <w:rsid w:val="005E7D00"/>
    <w:rsid w:val="005F2604"/>
    <w:rsid w:val="005F7CC1"/>
    <w:rsid w:val="00601B97"/>
    <w:rsid w:val="00602E53"/>
    <w:rsid w:val="00604C9A"/>
    <w:rsid w:val="0061170B"/>
    <w:rsid w:val="0061279F"/>
    <w:rsid w:val="00612997"/>
    <w:rsid w:val="006131D6"/>
    <w:rsid w:val="0061383E"/>
    <w:rsid w:val="00616C04"/>
    <w:rsid w:val="0062005E"/>
    <w:rsid w:val="00620441"/>
    <w:rsid w:val="00624E6B"/>
    <w:rsid w:val="00627D44"/>
    <w:rsid w:val="0063133D"/>
    <w:rsid w:val="00631F7A"/>
    <w:rsid w:val="00632F0D"/>
    <w:rsid w:val="006343D1"/>
    <w:rsid w:val="006375AF"/>
    <w:rsid w:val="00641220"/>
    <w:rsid w:val="00642785"/>
    <w:rsid w:val="006468CA"/>
    <w:rsid w:val="00647982"/>
    <w:rsid w:val="00647B5F"/>
    <w:rsid w:val="006500C9"/>
    <w:rsid w:val="0065011D"/>
    <w:rsid w:val="0065244D"/>
    <w:rsid w:val="00662296"/>
    <w:rsid w:val="0066360E"/>
    <w:rsid w:val="00663CD5"/>
    <w:rsid w:val="00664CE9"/>
    <w:rsid w:val="006660D2"/>
    <w:rsid w:val="0066695B"/>
    <w:rsid w:val="00666B5B"/>
    <w:rsid w:val="00667ADC"/>
    <w:rsid w:val="00676E38"/>
    <w:rsid w:val="00677EE3"/>
    <w:rsid w:val="00680016"/>
    <w:rsid w:val="00681441"/>
    <w:rsid w:val="00683C64"/>
    <w:rsid w:val="00684C13"/>
    <w:rsid w:val="0068537E"/>
    <w:rsid w:val="00685837"/>
    <w:rsid w:val="00687FB1"/>
    <w:rsid w:val="0069083A"/>
    <w:rsid w:val="00691275"/>
    <w:rsid w:val="00691EA2"/>
    <w:rsid w:val="00691F5E"/>
    <w:rsid w:val="00691F9F"/>
    <w:rsid w:val="00692145"/>
    <w:rsid w:val="006927A2"/>
    <w:rsid w:val="0069289B"/>
    <w:rsid w:val="00694301"/>
    <w:rsid w:val="006965F1"/>
    <w:rsid w:val="00697E0E"/>
    <w:rsid w:val="006A0473"/>
    <w:rsid w:val="006A24A2"/>
    <w:rsid w:val="006A26AC"/>
    <w:rsid w:val="006A2868"/>
    <w:rsid w:val="006A3253"/>
    <w:rsid w:val="006A4799"/>
    <w:rsid w:val="006A577D"/>
    <w:rsid w:val="006A70E5"/>
    <w:rsid w:val="006A7A04"/>
    <w:rsid w:val="006B4D28"/>
    <w:rsid w:val="006B5BDF"/>
    <w:rsid w:val="006B62C4"/>
    <w:rsid w:val="006B6C94"/>
    <w:rsid w:val="006B7605"/>
    <w:rsid w:val="006C0826"/>
    <w:rsid w:val="006C207A"/>
    <w:rsid w:val="006C2721"/>
    <w:rsid w:val="006C5752"/>
    <w:rsid w:val="006C64E7"/>
    <w:rsid w:val="006C6A08"/>
    <w:rsid w:val="006C7DF5"/>
    <w:rsid w:val="006D0594"/>
    <w:rsid w:val="006D319A"/>
    <w:rsid w:val="006D5746"/>
    <w:rsid w:val="006E115E"/>
    <w:rsid w:val="006E1377"/>
    <w:rsid w:val="006E40EA"/>
    <w:rsid w:val="006E7796"/>
    <w:rsid w:val="006F1BDE"/>
    <w:rsid w:val="006F6B9A"/>
    <w:rsid w:val="00700BE6"/>
    <w:rsid w:val="00700D29"/>
    <w:rsid w:val="00703253"/>
    <w:rsid w:val="00705F75"/>
    <w:rsid w:val="00711332"/>
    <w:rsid w:val="00711A12"/>
    <w:rsid w:val="00711CC0"/>
    <w:rsid w:val="00713496"/>
    <w:rsid w:val="007156DD"/>
    <w:rsid w:val="00715D67"/>
    <w:rsid w:val="00720440"/>
    <w:rsid w:val="00720FCB"/>
    <w:rsid w:val="00723F5D"/>
    <w:rsid w:val="00726D20"/>
    <w:rsid w:val="00733C16"/>
    <w:rsid w:val="00734E9A"/>
    <w:rsid w:val="00740D57"/>
    <w:rsid w:val="0074159F"/>
    <w:rsid w:val="00743FE3"/>
    <w:rsid w:val="007453CB"/>
    <w:rsid w:val="00745C4C"/>
    <w:rsid w:val="00745F81"/>
    <w:rsid w:val="0075056B"/>
    <w:rsid w:val="0075319C"/>
    <w:rsid w:val="00756723"/>
    <w:rsid w:val="00756B9D"/>
    <w:rsid w:val="00760643"/>
    <w:rsid w:val="00764876"/>
    <w:rsid w:val="007651C7"/>
    <w:rsid w:val="00765247"/>
    <w:rsid w:val="00765B55"/>
    <w:rsid w:val="007677F5"/>
    <w:rsid w:val="00767AEF"/>
    <w:rsid w:val="007707D5"/>
    <w:rsid w:val="00770CDE"/>
    <w:rsid w:val="00775A2C"/>
    <w:rsid w:val="00775C2C"/>
    <w:rsid w:val="007765FD"/>
    <w:rsid w:val="00776E8D"/>
    <w:rsid w:val="00782FF8"/>
    <w:rsid w:val="0078317D"/>
    <w:rsid w:val="00793F16"/>
    <w:rsid w:val="007A17EB"/>
    <w:rsid w:val="007A1F6D"/>
    <w:rsid w:val="007A2860"/>
    <w:rsid w:val="007B124E"/>
    <w:rsid w:val="007B1E3C"/>
    <w:rsid w:val="007B24D4"/>
    <w:rsid w:val="007B45E6"/>
    <w:rsid w:val="007B56A5"/>
    <w:rsid w:val="007C0581"/>
    <w:rsid w:val="007C0DC0"/>
    <w:rsid w:val="007C28DF"/>
    <w:rsid w:val="007C29DA"/>
    <w:rsid w:val="007C2C71"/>
    <w:rsid w:val="007C7C09"/>
    <w:rsid w:val="007D0C56"/>
    <w:rsid w:val="007D213E"/>
    <w:rsid w:val="007D400B"/>
    <w:rsid w:val="007D43B3"/>
    <w:rsid w:val="007D4923"/>
    <w:rsid w:val="007D64AC"/>
    <w:rsid w:val="007D77C2"/>
    <w:rsid w:val="007D7E49"/>
    <w:rsid w:val="007E208C"/>
    <w:rsid w:val="007E47A9"/>
    <w:rsid w:val="007E5A89"/>
    <w:rsid w:val="007E655D"/>
    <w:rsid w:val="007E6CCC"/>
    <w:rsid w:val="007E7548"/>
    <w:rsid w:val="007F0D74"/>
    <w:rsid w:val="007F1283"/>
    <w:rsid w:val="007F1A15"/>
    <w:rsid w:val="007F4CE0"/>
    <w:rsid w:val="007F614C"/>
    <w:rsid w:val="007F642E"/>
    <w:rsid w:val="007F6ED4"/>
    <w:rsid w:val="007F7FF3"/>
    <w:rsid w:val="008059B5"/>
    <w:rsid w:val="00805F09"/>
    <w:rsid w:val="008101FF"/>
    <w:rsid w:val="008120F3"/>
    <w:rsid w:val="00813475"/>
    <w:rsid w:val="008148A1"/>
    <w:rsid w:val="00814A76"/>
    <w:rsid w:val="00816BBB"/>
    <w:rsid w:val="0082272D"/>
    <w:rsid w:val="00824D8D"/>
    <w:rsid w:val="00825C58"/>
    <w:rsid w:val="008265A6"/>
    <w:rsid w:val="00826780"/>
    <w:rsid w:val="008312BB"/>
    <w:rsid w:val="00831801"/>
    <w:rsid w:val="00834AB8"/>
    <w:rsid w:val="00836067"/>
    <w:rsid w:val="00836CEE"/>
    <w:rsid w:val="008413FB"/>
    <w:rsid w:val="008414AC"/>
    <w:rsid w:val="008414D7"/>
    <w:rsid w:val="008443B5"/>
    <w:rsid w:val="00845025"/>
    <w:rsid w:val="008454EB"/>
    <w:rsid w:val="008525AF"/>
    <w:rsid w:val="00857602"/>
    <w:rsid w:val="00863EEA"/>
    <w:rsid w:val="00865492"/>
    <w:rsid w:val="00866264"/>
    <w:rsid w:val="0086653D"/>
    <w:rsid w:val="00870C2D"/>
    <w:rsid w:val="00872283"/>
    <w:rsid w:val="0087351A"/>
    <w:rsid w:val="00874A67"/>
    <w:rsid w:val="00875947"/>
    <w:rsid w:val="00875CB8"/>
    <w:rsid w:val="00877067"/>
    <w:rsid w:val="0088054F"/>
    <w:rsid w:val="008806BA"/>
    <w:rsid w:val="00880F89"/>
    <w:rsid w:val="00886E0D"/>
    <w:rsid w:val="0089072B"/>
    <w:rsid w:val="00893D6F"/>
    <w:rsid w:val="008A114C"/>
    <w:rsid w:val="008A4B4D"/>
    <w:rsid w:val="008A6E09"/>
    <w:rsid w:val="008A7889"/>
    <w:rsid w:val="008B3DF8"/>
    <w:rsid w:val="008B47AC"/>
    <w:rsid w:val="008B5E0C"/>
    <w:rsid w:val="008B6C24"/>
    <w:rsid w:val="008B7402"/>
    <w:rsid w:val="008B77DD"/>
    <w:rsid w:val="008C5D7C"/>
    <w:rsid w:val="008C7F1E"/>
    <w:rsid w:val="008D7B98"/>
    <w:rsid w:val="008E2D77"/>
    <w:rsid w:val="008E4FEC"/>
    <w:rsid w:val="008E7FC6"/>
    <w:rsid w:val="008F0B43"/>
    <w:rsid w:val="008F33AA"/>
    <w:rsid w:val="008F6270"/>
    <w:rsid w:val="008F78CC"/>
    <w:rsid w:val="0090194D"/>
    <w:rsid w:val="009027EB"/>
    <w:rsid w:val="00902C0D"/>
    <w:rsid w:val="00905D7D"/>
    <w:rsid w:val="00907D0C"/>
    <w:rsid w:val="00911127"/>
    <w:rsid w:val="00911664"/>
    <w:rsid w:val="00911D64"/>
    <w:rsid w:val="009138F2"/>
    <w:rsid w:val="009155A9"/>
    <w:rsid w:val="00917027"/>
    <w:rsid w:val="009205D1"/>
    <w:rsid w:val="00921699"/>
    <w:rsid w:val="00922088"/>
    <w:rsid w:val="00924167"/>
    <w:rsid w:val="009248A2"/>
    <w:rsid w:val="00935459"/>
    <w:rsid w:val="00936E91"/>
    <w:rsid w:val="00941BEB"/>
    <w:rsid w:val="00941EC3"/>
    <w:rsid w:val="00941FDF"/>
    <w:rsid w:val="00943A81"/>
    <w:rsid w:val="0095045B"/>
    <w:rsid w:val="0095480C"/>
    <w:rsid w:val="00956E28"/>
    <w:rsid w:val="009574BB"/>
    <w:rsid w:val="0096082A"/>
    <w:rsid w:val="00960B28"/>
    <w:rsid w:val="00961DED"/>
    <w:rsid w:val="00962C27"/>
    <w:rsid w:val="0096341F"/>
    <w:rsid w:val="009654AC"/>
    <w:rsid w:val="00973EEE"/>
    <w:rsid w:val="0097521C"/>
    <w:rsid w:val="00975223"/>
    <w:rsid w:val="0097748A"/>
    <w:rsid w:val="0097757A"/>
    <w:rsid w:val="009777DF"/>
    <w:rsid w:val="009846AA"/>
    <w:rsid w:val="009855A0"/>
    <w:rsid w:val="00990E94"/>
    <w:rsid w:val="00991297"/>
    <w:rsid w:val="00992C76"/>
    <w:rsid w:val="00992CD8"/>
    <w:rsid w:val="0099345C"/>
    <w:rsid w:val="00994736"/>
    <w:rsid w:val="00996C60"/>
    <w:rsid w:val="009A1E41"/>
    <w:rsid w:val="009A3D74"/>
    <w:rsid w:val="009A45BA"/>
    <w:rsid w:val="009A7B66"/>
    <w:rsid w:val="009A7C9C"/>
    <w:rsid w:val="009B0D5C"/>
    <w:rsid w:val="009B582A"/>
    <w:rsid w:val="009B5A4C"/>
    <w:rsid w:val="009B64FD"/>
    <w:rsid w:val="009B7C8E"/>
    <w:rsid w:val="009C0219"/>
    <w:rsid w:val="009C1B2C"/>
    <w:rsid w:val="009C243C"/>
    <w:rsid w:val="009C2CA2"/>
    <w:rsid w:val="009C5D38"/>
    <w:rsid w:val="009C6379"/>
    <w:rsid w:val="009D08E6"/>
    <w:rsid w:val="009D7F4F"/>
    <w:rsid w:val="009E1910"/>
    <w:rsid w:val="009E2483"/>
    <w:rsid w:val="009E2808"/>
    <w:rsid w:val="009E5021"/>
    <w:rsid w:val="009E6321"/>
    <w:rsid w:val="009E66BC"/>
    <w:rsid w:val="009E7FC3"/>
    <w:rsid w:val="009F00B7"/>
    <w:rsid w:val="009F0587"/>
    <w:rsid w:val="009F1142"/>
    <w:rsid w:val="009F3097"/>
    <w:rsid w:val="009F32AC"/>
    <w:rsid w:val="009F35DF"/>
    <w:rsid w:val="009F364D"/>
    <w:rsid w:val="009F65B2"/>
    <w:rsid w:val="00A0241A"/>
    <w:rsid w:val="00A02BC1"/>
    <w:rsid w:val="00A057E3"/>
    <w:rsid w:val="00A0794F"/>
    <w:rsid w:val="00A07BA4"/>
    <w:rsid w:val="00A13AE1"/>
    <w:rsid w:val="00A246EC"/>
    <w:rsid w:val="00A26E6C"/>
    <w:rsid w:val="00A31555"/>
    <w:rsid w:val="00A320C6"/>
    <w:rsid w:val="00A32401"/>
    <w:rsid w:val="00A37564"/>
    <w:rsid w:val="00A41F94"/>
    <w:rsid w:val="00A436C7"/>
    <w:rsid w:val="00A4453F"/>
    <w:rsid w:val="00A4475B"/>
    <w:rsid w:val="00A45408"/>
    <w:rsid w:val="00A46522"/>
    <w:rsid w:val="00A469A3"/>
    <w:rsid w:val="00A51B5A"/>
    <w:rsid w:val="00A52404"/>
    <w:rsid w:val="00A532C1"/>
    <w:rsid w:val="00A54165"/>
    <w:rsid w:val="00A54C21"/>
    <w:rsid w:val="00A561BF"/>
    <w:rsid w:val="00A57E55"/>
    <w:rsid w:val="00A60F97"/>
    <w:rsid w:val="00A62127"/>
    <w:rsid w:val="00A650CA"/>
    <w:rsid w:val="00A65231"/>
    <w:rsid w:val="00A71787"/>
    <w:rsid w:val="00A7501F"/>
    <w:rsid w:val="00A7534D"/>
    <w:rsid w:val="00A770FA"/>
    <w:rsid w:val="00A775C2"/>
    <w:rsid w:val="00A81CF9"/>
    <w:rsid w:val="00A828E7"/>
    <w:rsid w:val="00A909BD"/>
    <w:rsid w:val="00A91641"/>
    <w:rsid w:val="00A94563"/>
    <w:rsid w:val="00A9632C"/>
    <w:rsid w:val="00AA0424"/>
    <w:rsid w:val="00AA0693"/>
    <w:rsid w:val="00AA1EB2"/>
    <w:rsid w:val="00AA4E6A"/>
    <w:rsid w:val="00AA50F0"/>
    <w:rsid w:val="00AA5D04"/>
    <w:rsid w:val="00AB027F"/>
    <w:rsid w:val="00AB2189"/>
    <w:rsid w:val="00AB470B"/>
    <w:rsid w:val="00AB6409"/>
    <w:rsid w:val="00AB640B"/>
    <w:rsid w:val="00AC3FE4"/>
    <w:rsid w:val="00AC541A"/>
    <w:rsid w:val="00AC7E22"/>
    <w:rsid w:val="00AD05C9"/>
    <w:rsid w:val="00AD7D07"/>
    <w:rsid w:val="00AE27D7"/>
    <w:rsid w:val="00AE3191"/>
    <w:rsid w:val="00AE7C07"/>
    <w:rsid w:val="00AF19DE"/>
    <w:rsid w:val="00AF1FAF"/>
    <w:rsid w:val="00AF26EB"/>
    <w:rsid w:val="00AF2E0B"/>
    <w:rsid w:val="00AF3C02"/>
    <w:rsid w:val="00AF67EC"/>
    <w:rsid w:val="00B03041"/>
    <w:rsid w:val="00B055B2"/>
    <w:rsid w:val="00B060B2"/>
    <w:rsid w:val="00B06D7A"/>
    <w:rsid w:val="00B1332E"/>
    <w:rsid w:val="00B13615"/>
    <w:rsid w:val="00B20AE3"/>
    <w:rsid w:val="00B21997"/>
    <w:rsid w:val="00B21A0F"/>
    <w:rsid w:val="00B2237D"/>
    <w:rsid w:val="00B226B7"/>
    <w:rsid w:val="00B23AA7"/>
    <w:rsid w:val="00B2496D"/>
    <w:rsid w:val="00B26797"/>
    <w:rsid w:val="00B328EF"/>
    <w:rsid w:val="00B34C3C"/>
    <w:rsid w:val="00B35D30"/>
    <w:rsid w:val="00B41BE7"/>
    <w:rsid w:val="00B42BE7"/>
    <w:rsid w:val="00B431DE"/>
    <w:rsid w:val="00B457EA"/>
    <w:rsid w:val="00B45910"/>
    <w:rsid w:val="00B470C8"/>
    <w:rsid w:val="00B539D5"/>
    <w:rsid w:val="00B5438B"/>
    <w:rsid w:val="00B544CB"/>
    <w:rsid w:val="00B60769"/>
    <w:rsid w:val="00B616B2"/>
    <w:rsid w:val="00B626A7"/>
    <w:rsid w:val="00B645F3"/>
    <w:rsid w:val="00B67A44"/>
    <w:rsid w:val="00B70219"/>
    <w:rsid w:val="00B710F4"/>
    <w:rsid w:val="00B810EC"/>
    <w:rsid w:val="00B815F7"/>
    <w:rsid w:val="00B86264"/>
    <w:rsid w:val="00B86D2B"/>
    <w:rsid w:val="00B9189D"/>
    <w:rsid w:val="00B925C1"/>
    <w:rsid w:val="00B92DB7"/>
    <w:rsid w:val="00B95EBE"/>
    <w:rsid w:val="00B96469"/>
    <w:rsid w:val="00B96958"/>
    <w:rsid w:val="00BA031D"/>
    <w:rsid w:val="00BA08DA"/>
    <w:rsid w:val="00BA0D9E"/>
    <w:rsid w:val="00BA170E"/>
    <w:rsid w:val="00BA1DDE"/>
    <w:rsid w:val="00BA1E21"/>
    <w:rsid w:val="00BA5ABD"/>
    <w:rsid w:val="00BA773A"/>
    <w:rsid w:val="00BA7D4A"/>
    <w:rsid w:val="00BB1DC8"/>
    <w:rsid w:val="00BB5D26"/>
    <w:rsid w:val="00BC1932"/>
    <w:rsid w:val="00BC28BD"/>
    <w:rsid w:val="00BC4BDB"/>
    <w:rsid w:val="00BC6473"/>
    <w:rsid w:val="00BD1150"/>
    <w:rsid w:val="00BD2E66"/>
    <w:rsid w:val="00BD487B"/>
    <w:rsid w:val="00BD551C"/>
    <w:rsid w:val="00BD629F"/>
    <w:rsid w:val="00BD7290"/>
    <w:rsid w:val="00BD72B1"/>
    <w:rsid w:val="00BD745F"/>
    <w:rsid w:val="00BD7832"/>
    <w:rsid w:val="00BD7BB9"/>
    <w:rsid w:val="00BE1B9D"/>
    <w:rsid w:val="00BE2EB9"/>
    <w:rsid w:val="00BE54FB"/>
    <w:rsid w:val="00BE6D67"/>
    <w:rsid w:val="00BE716A"/>
    <w:rsid w:val="00BE7BBE"/>
    <w:rsid w:val="00BE7ED7"/>
    <w:rsid w:val="00BF02C4"/>
    <w:rsid w:val="00BF600C"/>
    <w:rsid w:val="00C0008A"/>
    <w:rsid w:val="00C007CC"/>
    <w:rsid w:val="00C014A7"/>
    <w:rsid w:val="00C01B92"/>
    <w:rsid w:val="00C02363"/>
    <w:rsid w:val="00C03C02"/>
    <w:rsid w:val="00C06B6A"/>
    <w:rsid w:val="00C10E12"/>
    <w:rsid w:val="00C11583"/>
    <w:rsid w:val="00C11601"/>
    <w:rsid w:val="00C1550F"/>
    <w:rsid w:val="00C15FC8"/>
    <w:rsid w:val="00C162F1"/>
    <w:rsid w:val="00C16D4B"/>
    <w:rsid w:val="00C17F1A"/>
    <w:rsid w:val="00C2577F"/>
    <w:rsid w:val="00C27DAB"/>
    <w:rsid w:val="00C338A9"/>
    <w:rsid w:val="00C33E0B"/>
    <w:rsid w:val="00C34349"/>
    <w:rsid w:val="00C34862"/>
    <w:rsid w:val="00C3513D"/>
    <w:rsid w:val="00C3675A"/>
    <w:rsid w:val="00C409CE"/>
    <w:rsid w:val="00C412C5"/>
    <w:rsid w:val="00C45DB1"/>
    <w:rsid w:val="00C47897"/>
    <w:rsid w:val="00C50695"/>
    <w:rsid w:val="00C50A07"/>
    <w:rsid w:val="00C5347E"/>
    <w:rsid w:val="00C53B8F"/>
    <w:rsid w:val="00C55B7B"/>
    <w:rsid w:val="00C66444"/>
    <w:rsid w:val="00C74DEB"/>
    <w:rsid w:val="00C8129F"/>
    <w:rsid w:val="00C82774"/>
    <w:rsid w:val="00C90D57"/>
    <w:rsid w:val="00C910B0"/>
    <w:rsid w:val="00C93A5D"/>
    <w:rsid w:val="00CA0122"/>
    <w:rsid w:val="00CA0558"/>
    <w:rsid w:val="00CA1C9E"/>
    <w:rsid w:val="00CA4A0A"/>
    <w:rsid w:val="00CA54DC"/>
    <w:rsid w:val="00CA6079"/>
    <w:rsid w:val="00CB0DA9"/>
    <w:rsid w:val="00CB2E4E"/>
    <w:rsid w:val="00CB3CC2"/>
    <w:rsid w:val="00CB6732"/>
    <w:rsid w:val="00CC0309"/>
    <w:rsid w:val="00CC0DE5"/>
    <w:rsid w:val="00CC549D"/>
    <w:rsid w:val="00CC5908"/>
    <w:rsid w:val="00CC65B8"/>
    <w:rsid w:val="00CD0DE1"/>
    <w:rsid w:val="00CD0EA5"/>
    <w:rsid w:val="00CD12E2"/>
    <w:rsid w:val="00CD1EDD"/>
    <w:rsid w:val="00CD695F"/>
    <w:rsid w:val="00CE20BB"/>
    <w:rsid w:val="00CE32CD"/>
    <w:rsid w:val="00CE3FD4"/>
    <w:rsid w:val="00CE4F80"/>
    <w:rsid w:val="00CE6116"/>
    <w:rsid w:val="00CE7E88"/>
    <w:rsid w:val="00CE7F3A"/>
    <w:rsid w:val="00CF06CA"/>
    <w:rsid w:val="00CF6D9A"/>
    <w:rsid w:val="00D02BD4"/>
    <w:rsid w:val="00D0458B"/>
    <w:rsid w:val="00D057E5"/>
    <w:rsid w:val="00D06951"/>
    <w:rsid w:val="00D071C7"/>
    <w:rsid w:val="00D10F8C"/>
    <w:rsid w:val="00D15340"/>
    <w:rsid w:val="00D175A1"/>
    <w:rsid w:val="00D20BB3"/>
    <w:rsid w:val="00D2231E"/>
    <w:rsid w:val="00D2303A"/>
    <w:rsid w:val="00D24073"/>
    <w:rsid w:val="00D24258"/>
    <w:rsid w:val="00D25227"/>
    <w:rsid w:val="00D2587F"/>
    <w:rsid w:val="00D264D3"/>
    <w:rsid w:val="00D3140E"/>
    <w:rsid w:val="00D3418F"/>
    <w:rsid w:val="00D413C6"/>
    <w:rsid w:val="00D41BF8"/>
    <w:rsid w:val="00D42383"/>
    <w:rsid w:val="00D42E38"/>
    <w:rsid w:val="00D44443"/>
    <w:rsid w:val="00D505B5"/>
    <w:rsid w:val="00D51E41"/>
    <w:rsid w:val="00D52433"/>
    <w:rsid w:val="00D542A7"/>
    <w:rsid w:val="00D55BF1"/>
    <w:rsid w:val="00D61473"/>
    <w:rsid w:val="00D617BE"/>
    <w:rsid w:val="00D637F1"/>
    <w:rsid w:val="00D679A8"/>
    <w:rsid w:val="00D72394"/>
    <w:rsid w:val="00D736F7"/>
    <w:rsid w:val="00D7523F"/>
    <w:rsid w:val="00D7784F"/>
    <w:rsid w:val="00D821FE"/>
    <w:rsid w:val="00D82366"/>
    <w:rsid w:val="00D87383"/>
    <w:rsid w:val="00D912C1"/>
    <w:rsid w:val="00D923FE"/>
    <w:rsid w:val="00D95AA3"/>
    <w:rsid w:val="00D96BF6"/>
    <w:rsid w:val="00D975EC"/>
    <w:rsid w:val="00DA0681"/>
    <w:rsid w:val="00DA1F3C"/>
    <w:rsid w:val="00DA24AB"/>
    <w:rsid w:val="00DA2635"/>
    <w:rsid w:val="00DA2E82"/>
    <w:rsid w:val="00DA3715"/>
    <w:rsid w:val="00DA3726"/>
    <w:rsid w:val="00DA3DD5"/>
    <w:rsid w:val="00DA6172"/>
    <w:rsid w:val="00DA6BC9"/>
    <w:rsid w:val="00DB286E"/>
    <w:rsid w:val="00DB733D"/>
    <w:rsid w:val="00DB7AF3"/>
    <w:rsid w:val="00DB7DCD"/>
    <w:rsid w:val="00DC031D"/>
    <w:rsid w:val="00DC4B3E"/>
    <w:rsid w:val="00DC656C"/>
    <w:rsid w:val="00DC7EDF"/>
    <w:rsid w:val="00DD0F82"/>
    <w:rsid w:val="00DD3210"/>
    <w:rsid w:val="00DD3DBF"/>
    <w:rsid w:val="00DD45B4"/>
    <w:rsid w:val="00DD45BD"/>
    <w:rsid w:val="00DD746E"/>
    <w:rsid w:val="00DD7E37"/>
    <w:rsid w:val="00DE3E54"/>
    <w:rsid w:val="00DE55C9"/>
    <w:rsid w:val="00DF05ED"/>
    <w:rsid w:val="00DF07DC"/>
    <w:rsid w:val="00DF0CAF"/>
    <w:rsid w:val="00DF30A6"/>
    <w:rsid w:val="00DF35D3"/>
    <w:rsid w:val="00DF38BE"/>
    <w:rsid w:val="00DF39CA"/>
    <w:rsid w:val="00DF4E2E"/>
    <w:rsid w:val="00DF54BB"/>
    <w:rsid w:val="00DF5776"/>
    <w:rsid w:val="00E00149"/>
    <w:rsid w:val="00E0026F"/>
    <w:rsid w:val="00E020DE"/>
    <w:rsid w:val="00E03A64"/>
    <w:rsid w:val="00E07730"/>
    <w:rsid w:val="00E1064E"/>
    <w:rsid w:val="00E13E56"/>
    <w:rsid w:val="00E150CD"/>
    <w:rsid w:val="00E15ED0"/>
    <w:rsid w:val="00E16378"/>
    <w:rsid w:val="00E20899"/>
    <w:rsid w:val="00E221FF"/>
    <w:rsid w:val="00E24736"/>
    <w:rsid w:val="00E247FB"/>
    <w:rsid w:val="00E25831"/>
    <w:rsid w:val="00E25F1C"/>
    <w:rsid w:val="00E306DC"/>
    <w:rsid w:val="00E309DF"/>
    <w:rsid w:val="00E30A69"/>
    <w:rsid w:val="00E30E1C"/>
    <w:rsid w:val="00E33844"/>
    <w:rsid w:val="00E35364"/>
    <w:rsid w:val="00E35EF9"/>
    <w:rsid w:val="00E37E8E"/>
    <w:rsid w:val="00E4116D"/>
    <w:rsid w:val="00E42995"/>
    <w:rsid w:val="00E439AC"/>
    <w:rsid w:val="00E44A89"/>
    <w:rsid w:val="00E45324"/>
    <w:rsid w:val="00E45B10"/>
    <w:rsid w:val="00E47755"/>
    <w:rsid w:val="00E47D55"/>
    <w:rsid w:val="00E47FB0"/>
    <w:rsid w:val="00E507D0"/>
    <w:rsid w:val="00E50994"/>
    <w:rsid w:val="00E50A58"/>
    <w:rsid w:val="00E515BC"/>
    <w:rsid w:val="00E51E17"/>
    <w:rsid w:val="00E52257"/>
    <w:rsid w:val="00E5411E"/>
    <w:rsid w:val="00E5596E"/>
    <w:rsid w:val="00E56ABD"/>
    <w:rsid w:val="00E577E0"/>
    <w:rsid w:val="00E6410B"/>
    <w:rsid w:val="00E66604"/>
    <w:rsid w:val="00E666E0"/>
    <w:rsid w:val="00E7065D"/>
    <w:rsid w:val="00E71BD3"/>
    <w:rsid w:val="00E72D95"/>
    <w:rsid w:val="00E77DA9"/>
    <w:rsid w:val="00E811CA"/>
    <w:rsid w:val="00E81D97"/>
    <w:rsid w:val="00E82006"/>
    <w:rsid w:val="00E85267"/>
    <w:rsid w:val="00E8736A"/>
    <w:rsid w:val="00E879E0"/>
    <w:rsid w:val="00E87D92"/>
    <w:rsid w:val="00E914B9"/>
    <w:rsid w:val="00E9180C"/>
    <w:rsid w:val="00E91D45"/>
    <w:rsid w:val="00E92434"/>
    <w:rsid w:val="00E94271"/>
    <w:rsid w:val="00E94CCE"/>
    <w:rsid w:val="00E97129"/>
    <w:rsid w:val="00EA0C75"/>
    <w:rsid w:val="00EA19E3"/>
    <w:rsid w:val="00EA2255"/>
    <w:rsid w:val="00EA3303"/>
    <w:rsid w:val="00EA4826"/>
    <w:rsid w:val="00EA4D7B"/>
    <w:rsid w:val="00EA594D"/>
    <w:rsid w:val="00EA6408"/>
    <w:rsid w:val="00EA748B"/>
    <w:rsid w:val="00EB2D44"/>
    <w:rsid w:val="00EB33F8"/>
    <w:rsid w:val="00EB4767"/>
    <w:rsid w:val="00EC1B4B"/>
    <w:rsid w:val="00EC1D16"/>
    <w:rsid w:val="00EC4066"/>
    <w:rsid w:val="00ED1F05"/>
    <w:rsid w:val="00ED6D9F"/>
    <w:rsid w:val="00EE0134"/>
    <w:rsid w:val="00EE151D"/>
    <w:rsid w:val="00EE284D"/>
    <w:rsid w:val="00EE2C64"/>
    <w:rsid w:val="00EE4269"/>
    <w:rsid w:val="00EE693B"/>
    <w:rsid w:val="00EF103A"/>
    <w:rsid w:val="00EF5054"/>
    <w:rsid w:val="00EF566F"/>
    <w:rsid w:val="00EF6A5C"/>
    <w:rsid w:val="00EF7E02"/>
    <w:rsid w:val="00F0143C"/>
    <w:rsid w:val="00F0184D"/>
    <w:rsid w:val="00F03B1D"/>
    <w:rsid w:val="00F03E9D"/>
    <w:rsid w:val="00F102CA"/>
    <w:rsid w:val="00F11880"/>
    <w:rsid w:val="00F1207C"/>
    <w:rsid w:val="00F13305"/>
    <w:rsid w:val="00F13AAB"/>
    <w:rsid w:val="00F159FC"/>
    <w:rsid w:val="00F22717"/>
    <w:rsid w:val="00F22E02"/>
    <w:rsid w:val="00F327B8"/>
    <w:rsid w:val="00F34876"/>
    <w:rsid w:val="00F348BC"/>
    <w:rsid w:val="00F41D5B"/>
    <w:rsid w:val="00F4313A"/>
    <w:rsid w:val="00F467AE"/>
    <w:rsid w:val="00F468CB"/>
    <w:rsid w:val="00F50B57"/>
    <w:rsid w:val="00F5359A"/>
    <w:rsid w:val="00F53B35"/>
    <w:rsid w:val="00F553D7"/>
    <w:rsid w:val="00F56781"/>
    <w:rsid w:val="00F57C43"/>
    <w:rsid w:val="00F60291"/>
    <w:rsid w:val="00F60DAE"/>
    <w:rsid w:val="00F614AC"/>
    <w:rsid w:val="00F70474"/>
    <w:rsid w:val="00F718DD"/>
    <w:rsid w:val="00F71B12"/>
    <w:rsid w:val="00F71C36"/>
    <w:rsid w:val="00F74873"/>
    <w:rsid w:val="00F75EB4"/>
    <w:rsid w:val="00F778CB"/>
    <w:rsid w:val="00F808D3"/>
    <w:rsid w:val="00F81AAB"/>
    <w:rsid w:val="00F825A9"/>
    <w:rsid w:val="00F8434C"/>
    <w:rsid w:val="00F91CDF"/>
    <w:rsid w:val="00F95F9C"/>
    <w:rsid w:val="00F96BB4"/>
    <w:rsid w:val="00F96C03"/>
    <w:rsid w:val="00FA0138"/>
    <w:rsid w:val="00FA0565"/>
    <w:rsid w:val="00FA11CD"/>
    <w:rsid w:val="00FA1DE2"/>
    <w:rsid w:val="00FA2047"/>
    <w:rsid w:val="00FA39AA"/>
    <w:rsid w:val="00FA525B"/>
    <w:rsid w:val="00FA6037"/>
    <w:rsid w:val="00FA64E2"/>
    <w:rsid w:val="00FA726B"/>
    <w:rsid w:val="00FA74C5"/>
    <w:rsid w:val="00FB02A9"/>
    <w:rsid w:val="00FB06D4"/>
    <w:rsid w:val="00FB1154"/>
    <w:rsid w:val="00FB2329"/>
    <w:rsid w:val="00FB32B2"/>
    <w:rsid w:val="00FB33D2"/>
    <w:rsid w:val="00FB3A67"/>
    <w:rsid w:val="00FB55F5"/>
    <w:rsid w:val="00FB6442"/>
    <w:rsid w:val="00FC057A"/>
    <w:rsid w:val="00FC7513"/>
    <w:rsid w:val="00FC7784"/>
    <w:rsid w:val="00FD3A50"/>
    <w:rsid w:val="00FD4B9B"/>
    <w:rsid w:val="00FD5EEB"/>
    <w:rsid w:val="00FD696A"/>
    <w:rsid w:val="00FE00B3"/>
    <w:rsid w:val="00FF1141"/>
    <w:rsid w:val="00FF5AB7"/>
    <w:rsid w:val="00FF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3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6"/>
        <w:szCs w:val="26"/>
        <w:lang w:val="en-US" w:eastAsia="en-US" w:bidi="en-US"/>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BD"/>
  </w:style>
  <w:style w:type="paragraph" w:styleId="Heading1">
    <w:name w:val="heading 1"/>
    <w:basedOn w:val="Normal"/>
    <w:next w:val="Normal"/>
    <w:link w:val="Heading1Char"/>
    <w:uiPriority w:val="9"/>
    <w:qFormat/>
    <w:rsid w:val="009C0219"/>
    <w:pPr>
      <w:keepNext/>
      <w:numPr>
        <w:numId w:val="5"/>
      </w:numPr>
      <w:jc w:val="center"/>
      <w:outlineLvl w:val="0"/>
    </w:pPr>
    <w:rPr>
      <w:b/>
      <w:bCs/>
    </w:rPr>
  </w:style>
  <w:style w:type="paragraph" w:styleId="Heading2">
    <w:name w:val="heading 2"/>
    <w:basedOn w:val="Normal"/>
    <w:next w:val="Normal"/>
    <w:link w:val="Heading2Char"/>
    <w:uiPriority w:val="9"/>
    <w:qFormat/>
    <w:rsid w:val="004A21F6"/>
    <w:pPr>
      <w:keepNext/>
      <w:numPr>
        <w:ilvl w:val="1"/>
        <w:numId w:val="5"/>
      </w:numPr>
      <w:spacing w:after="240" w:line="240" w:lineRule="auto"/>
      <w:outlineLvl w:val="1"/>
    </w:pPr>
    <w:rPr>
      <w:b/>
      <w:bCs/>
    </w:rPr>
  </w:style>
  <w:style w:type="paragraph" w:styleId="Heading3">
    <w:name w:val="heading 3"/>
    <w:basedOn w:val="Normal"/>
    <w:next w:val="Normal"/>
    <w:link w:val="Heading3Char"/>
    <w:uiPriority w:val="9"/>
    <w:qFormat/>
    <w:rsid w:val="00825C58"/>
    <w:pPr>
      <w:keepNext/>
      <w:numPr>
        <w:ilvl w:val="2"/>
        <w:numId w:val="5"/>
      </w:numPr>
      <w:spacing w:after="240" w:line="240" w:lineRule="auto"/>
      <w:outlineLvl w:val="2"/>
    </w:pPr>
    <w:rPr>
      <w:b/>
      <w:bCs/>
    </w:rPr>
  </w:style>
  <w:style w:type="paragraph" w:styleId="Heading4">
    <w:name w:val="heading 4"/>
    <w:basedOn w:val="Normal"/>
    <w:next w:val="Normal"/>
    <w:link w:val="Heading4Char"/>
    <w:uiPriority w:val="9"/>
    <w:unhideWhenUsed/>
    <w:rsid w:val="00AF26EB"/>
    <w:pPr>
      <w:keepNext/>
      <w:numPr>
        <w:ilvl w:val="3"/>
        <w:numId w:val="5"/>
      </w:numPr>
      <w:spacing w:after="240" w:line="240" w:lineRule="auto"/>
      <w:outlineLvl w:val="3"/>
    </w:pPr>
    <w:rPr>
      <w:b/>
      <w:bCs/>
    </w:rPr>
  </w:style>
  <w:style w:type="paragraph" w:styleId="Heading5">
    <w:name w:val="heading 5"/>
    <w:basedOn w:val="Normal"/>
    <w:next w:val="Normal"/>
    <w:link w:val="Heading5Char"/>
    <w:uiPriority w:val="9"/>
    <w:semiHidden/>
    <w:unhideWhenUsed/>
    <w:rsid w:val="00663CD5"/>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0138"/>
    <w:pPr>
      <w:numPr>
        <w:ilvl w:val="5"/>
        <w:numId w:val="5"/>
      </w:numPr>
      <w:spacing w:before="240" w:after="60"/>
      <w:outlineLvl w:val="5"/>
    </w:pPr>
    <w:rPr>
      <w:b/>
      <w:bCs/>
    </w:rPr>
  </w:style>
  <w:style w:type="paragraph" w:styleId="Heading7">
    <w:name w:val="heading 7"/>
    <w:basedOn w:val="Normal"/>
    <w:next w:val="Normal"/>
    <w:link w:val="Heading7Char"/>
    <w:uiPriority w:val="9"/>
    <w:semiHidden/>
    <w:unhideWhenUsed/>
    <w:qFormat/>
    <w:rsid w:val="00FA0138"/>
    <w:pPr>
      <w:spacing w:before="240" w:after="60"/>
      <w:outlineLvl w:val="6"/>
    </w:pPr>
    <w:rPr>
      <w:sz w:val="24"/>
    </w:rPr>
  </w:style>
  <w:style w:type="paragraph" w:styleId="Heading8">
    <w:name w:val="heading 8"/>
    <w:basedOn w:val="Normal"/>
    <w:next w:val="Normal"/>
    <w:link w:val="Heading8Char"/>
    <w:uiPriority w:val="9"/>
    <w:semiHidden/>
    <w:unhideWhenUsed/>
    <w:qFormat/>
    <w:rsid w:val="00FA0138"/>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FA013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219"/>
    <w:rPr>
      <w:b/>
      <w:bCs/>
    </w:rPr>
  </w:style>
  <w:style w:type="character" w:customStyle="1" w:styleId="Heading2Char">
    <w:name w:val="Heading 2 Char"/>
    <w:basedOn w:val="DefaultParagraphFont"/>
    <w:link w:val="Heading2"/>
    <w:uiPriority w:val="9"/>
    <w:rsid w:val="004A21F6"/>
    <w:rPr>
      <w:b/>
      <w:bCs/>
    </w:rPr>
  </w:style>
  <w:style w:type="character" w:customStyle="1" w:styleId="Heading3Char">
    <w:name w:val="Heading 3 Char"/>
    <w:basedOn w:val="DefaultParagraphFont"/>
    <w:link w:val="Heading3"/>
    <w:uiPriority w:val="9"/>
    <w:rsid w:val="00825C58"/>
    <w:rPr>
      <w:b/>
      <w:bCs/>
    </w:rPr>
  </w:style>
  <w:style w:type="character" w:customStyle="1" w:styleId="Heading6Char">
    <w:name w:val="Heading 6 Char"/>
    <w:basedOn w:val="DefaultParagraphFont"/>
    <w:link w:val="Heading6"/>
    <w:uiPriority w:val="9"/>
    <w:semiHidden/>
    <w:rsid w:val="00FA0138"/>
    <w:rPr>
      <w:b/>
      <w:bCs/>
    </w:rPr>
  </w:style>
  <w:style w:type="character" w:customStyle="1" w:styleId="Heading7Char">
    <w:name w:val="Heading 7 Char"/>
    <w:basedOn w:val="DefaultParagraphFont"/>
    <w:link w:val="Heading7"/>
    <w:uiPriority w:val="9"/>
    <w:semiHidden/>
    <w:rsid w:val="00FA0138"/>
    <w:rPr>
      <w:sz w:val="24"/>
      <w:szCs w:val="24"/>
    </w:rPr>
  </w:style>
  <w:style w:type="character" w:customStyle="1" w:styleId="Heading8Char">
    <w:name w:val="Heading 8 Char"/>
    <w:basedOn w:val="DefaultParagraphFont"/>
    <w:link w:val="Heading8"/>
    <w:uiPriority w:val="9"/>
    <w:semiHidden/>
    <w:rsid w:val="00FA0138"/>
    <w:rPr>
      <w:i/>
      <w:iCs/>
      <w:sz w:val="24"/>
      <w:szCs w:val="24"/>
    </w:rPr>
  </w:style>
  <w:style w:type="character" w:customStyle="1" w:styleId="Heading9Char">
    <w:name w:val="Heading 9 Char"/>
    <w:basedOn w:val="DefaultParagraphFont"/>
    <w:link w:val="Heading9"/>
    <w:uiPriority w:val="9"/>
    <w:semiHidden/>
    <w:rsid w:val="00FA0138"/>
    <w:rPr>
      <w:rFonts w:asciiTheme="majorHAnsi" w:eastAsiaTheme="majorEastAsia" w:hAnsiTheme="majorHAnsi"/>
    </w:rPr>
  </w:style>
  <w:style w:type="paragraph" w:styleId="Title">
    <w:name w:val="Title"/>
    <w:basedOn w:val="Normal"/>
    <w:next w:val="Normal"/>
    <w:link w:val="TitleChar"/>
    <w:uiPriority w:val="10"/>
    <w:qFormat/>
    <w:rsid w:val="00E03A64"/>
    <w:pPr>
      <w:keepNext/>
      <w:jc w:val="center"/>
    </w:pPr>
    <w:rPr>
      <w:b/>
      <w:bCs/>
    </w:rPr>
  </w:style>
  <w:style w:type="character" w:customStyle="1" w:styleId="TitleChar">
    <w:name w:val="Title Char"/>
    <w:basedOn w:val="DefaultParagraphFont"/>
    <w:link w:val="Title"/>
    <w:uiPriority w:val="10"/>
    <w:rsid w:val="00E03A64"/>
    <w:rPr>
      <w:b/>
      <w:bCs/>
    </w:rPr>
  </w:style>
  <w:style w:type="paragraph" w:styleId="Subtitle">
    <w:name w:val="Subtitle"/>
    <w:basedOn w:val="Normal"/>
    <w:next w:val="Normal"/>
    <w:link w:val="SubtitleChar"/>
    <w:uiPriority w:val="11"/>
    <w:qFormat/>
    <w:rsid w:val="00FA0138"/>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FA013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FA0138"/>
    <w:pPr>
      <w:outlineLvl w:val="9"/>
    </w:pPr>
  </w:style>
  <w:style w:type="paragraph" w:styleId="Header">
    <w:name w:val="header"/>
    <w:basedOn w:val="Normal"/>
    <w:link w:val="HeaderChar"/>
    <w:uiPriority w:val="99"/>
    <w:unhideWhenUsed/>
    <w:rsid w:val="0003284A"/>
    <w:pPr>
      <w:tabs>
        <w:tab w:val="center" w:pos="4680"/>
        <w:tab w:val="right" w:pos="9360"/>
      </w:tabs>
      <w:spacing w:line="240" w:lineRule="auto"/>
    </w:pPr>
  </w:style>
  <w:style w:type="character" w:customStyle="1" w:styleId="HeaderChar">
    <w:name w:val="Header Char"/>
    <w:basedOn w:val="DefaultParagraphFont"/>
    <w:link w:val="Header"/>
    <w:uiPriority w:val="99"/>
    <w:rsid w:val="0003284A"/>
    <w:rPr>
      <w:szCs w:val="24"/>
    </w:rPr>
  </w:style>
  <w:style w:type="paragraph" w:styleId="Footer">
    <w:name w:val="footer"/>
    <w:basedOn w:val="Normal"/>
    <w:link w:val="FooterChar"/>
    <w:uiPriority w:val="99"/>
    <w:unhideWhenUsed/>
    <w:rsid w:val="0003284A"/>
    <w:pPr>
      <w:tabs>
        <w:tab w:val="center" w:pos="4680"/>
        <w:tab w:val="right" w:pos="9360"/>
      </w:tabs>
      <w:spacing w:line="240" w:lineRule="auto"/>
    </w:pPr>
  </w:style>
  <w:style w:type="character" w:customStyle="1" w:styleId="FooterChar">
    <w:name w:val="Footer Char"/>
    <w:basedOn w:val="DefaultParagraphFont"/>
    <w:link w:val="Footer"/>
    <w:uiPriority w:val="99"/>
    <w:rsid w:val="0003284A"/>
    <w:rPr>
      <w:szCs w:val="24"/>
    </w:rPr>
  </w:style>
  <w:style w:type="character" w:styleId="FootnoteReference">
    <w:name w:val="footnote reference"/>
    <w:basedOn w:val="DefaultParagraphFont"/>
    <w:uiPriority w:val="99"/>
    <w:semiHidden/>
    <w:unhideWhenUsed/>
    <w:rsid w:val="009A45BA"/>
    <w:rPr>
      <w:position w:val="6"/>
      <w:vertAlign w:val="baseline"/>
    </w:rPr>
  </w:style>
  <w:style w:type="paragraph" w:styleId="FootnoteText">
    <w:name w:val="footnote text"/>
    <w:basedOn w:val="Normal"/>
    <w:link w:val="FootnoteTextChar"/>
    <w:uiPriority w:val="99"/>
    <w:semiHidden/>
    <w:unhideWhenUsed/>
    <w:rsid w:val="009A45BA"/>
    <w:pPr>
      <w:keepLines/>
      <w:spacing w:line="240" w:lineRule="auto"/>
    </w:pPr>
    <w:rPr>
      <w:szCs w:val="20"/>
    </w:rPr>
  </w:style>
  <w:style w:type="character" w:customStyle="1" w:styleId="FootnoteTextChar">
    <w:name w:val="Footnote Text Char"/>
    <w:basedOn w:val="DefaultParagraphFont"/>
    <w:link w:val="FootnoteText"/>
    <w:uiPriority w:val="99"/>
    <w:semiHidden/>
    <w:rsid w:val="009A45BA"/>
    <w:rPr>
      <w:szCs w:val="20"/>
    </w:rPr>
  </w:style>
  <w:style w:type="paragraph" w:styleId="Revision">
    <w:name w:val="Revision"/>
    <w:hidden/>
    <w:uiPriority w:val="99"/>
    <w:semiHidden/>
    <w:rsid w:val="00C2577F"/>
    <w:pPr>
      <w:spacing w:line="240" w:lineRule="auto"/>
    </w:pPr>
  </w:style>
  <w:style w:type="paragraph" w:styleId="BalloonText">
    <w:name w:val="Balloon Text"/>
    <w:basedOn w:val="Normal"/>
    <w:link w:val="BalloonTextChar"/>
    <w:uiPriority w:val="99"/>
    <w:semiHidden/>
    <w:unhideWhenUsed/>
    <w:rsid w:val="00C257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77F"/>
    <w:rPr>
      <w:rFonts w:ascii="Segoe UI" w:hAnsi="Segoe UI" w:cs="Segoe UI"/>
      <w:sz w:val="18"/>
      <w:szCs w:val="18"/>
    </w:rPr>
  </w:style>
  <w:style w:type="character" w:customStyle="1" w:styleId="Heading4Char">
    <w:name w:val="Heading 4 Char"/>
    <w:basedOn w:val="DefaultParagraphFont"/>
    <w:link w:val="Heading4"/>
    <w:uiPriority w:val="9"/>
    <w:rsid w:val="00AF26EB"/>
    <w:rPr>
      <w:b/>
      <w:bCs/>
    </w:rPr>
  </w:style>
  <w:style w:type="paragraph" w:styleId="ListParagraph">
    <w:name w:val="List Paragraph"/>
    <w:basedOn w:val="Normal"/>
    <w:uiPriority w:val="34"/>
    <w:rsid w:val="00663CD5"/>
    <w:pPr>
      <w:ind w:left="720"/>
      <w:contextualSpacing/>
    </w:pPr>
  </w:style>
  <w:style w:type="character" w:customStyle="1" w:styleId="Heading5Char">
    <w:name w:val="Heading 5 Char"/>
    <w:basedOn w:val="DefaultParagraphFont"/>
    <w:link w:val="Heading5"/>
    <w:uiPriority w:val="9"/>
    <w:semiHidden/>
    <w:rsid w:val="00663CD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EB829-E587-4CF2-8ECB-58CDBAB1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4130</Words>
  <Characters>21838</Characters>
  <Application>Microsoft Office Word</Application>
  <DocSecurity>0</DocSecurity>
  <Lines>447</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2023-08-09T14:33:00Z</dcterms:created>
  <dcterms:modified xsi:type="dcterms:W3CDTF">2023-08-09T14:33:00Z</dcterms:modified>
  <cp:category/>
</cp:coreProperties>
</file>