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4CE1" w14:textId="77777777" w:rsidR="00AC0460" w:rsidRPr="00374B64" w:rsidRDefault="00021E22" w:rsidP="00374B64">
      <w:pPr>
        <w:spacing w:line="240" w:lineRule="auto"/>
        <w:rPr>
          <w:sz w:val="20"/>
        </w:rPr>
      </w:pPr>
      <w:r w:rsidRPr="00374B64">
        <w:rPr>
          <w:sz w:val="20"/>
        </w:rPr>
        <w:t>Filed 2/23/23</w:t>
      </w:r>
    </w:p>
    <w:p w14:paraId="61460976" w14:textId="77777777" w:rsidR="00AC0460" w:rsidRDefault="00021E22" w:rsidP="00AC0460">
      <w:pPr>
        <w:spacing w:line="240" w:lineRule="auto"/>
      </w:pPr>
    </w:p>
    <w:p w14:paraId="56E5D6C5" w14:textId="77777777" w:rsidR="005A4A3D" w:rsidRDefault="00021E22" w:rsidP="00A30675">
      <w:pPr>
        <w:spacing w:line="240" w:lineRule="auto"/>
        <w:jc w:val="center"/>
      </w:pPr>
      <w:r>
        <w:t>CERTIFIED FOR PUBLICATION</w:t>
      </w:r>
    </w:p>
    <w:p w14:paraId="4A6D3AC7" w14:textId="77777777" w:rsidR="00AE3BE0" w:rsidRDefault="00021E22" w:rsidP="00AE3BE0">
      <w:pPr>
        <w:spacing w:line="240" w:lineRule="auto"/>
      </w:pPr>
    </w:p>
    <w:p w14:paraId="5B74BDC2" w14:textId="77777777" w:rsidR="00AE3BE0" w:rsidRDefault="00021E22" w:rsidP="00AE3BE0">
      <w:pPr>
        <w:spacing w:line="240" w:lineRule="auto"/>
      </w:pPr>
    </w:p>
    <w:p w14:paraId="28A090AC" w14:textId="77777777" w:rsidR="00AE3BE0" w:rsidRDefault="00021E22" w:rsidP="00AE3BE0">
      <w:pPr>
        <w:spacing w:line="240" w:lineRule="auto"/>
        <w:jc w:val="center"/>
      </w:pPr>
      <w:r>
        <w:t>COURT OF APPEAL, FOURTH APPELLATE DISTRICT</w:t>
      </w:r>
    </w:p>
    <w:p w14:paraId="32DADE1E" w14:textId="77777777" w:rsidR="00AE3BE0" w:rsidRDefault="00021E22" w:rsidP="00AE3BE0">
      <w:pPr>
        <w:spacing w:line="240" w:lineRule="auto"/>
        <w:jc w:val="center"/>
      </w:pPr>
    </w:p>
    <w:p w14:paraId="1187F141" w14:textId="77777777" w:rsidR="00AE3BE0" w:rsidRDefault="00021E22" w:rsidP="00AE3BE0">
      <w:pPr>
        <w:spacing w:line="240" w:lineRule="auto"/>
        <w:jc w:val="center"/>
      </w:pPr>
      <w:r>
        <w:t>DIVISION ONE</w:t>
      </w:r>
    </w:p>
    <w:p w14:paraId="273F019D" w14:textId="77777777" w:rsidR="00AE3BE0" w:rsidRDefault="00021E22" w:rsidP="00AE3BE0">
      <w:pPr>
        <w:spacing w:line="240" w:lineRule="auto"/>
        <w:jc w:val="center"/>
      </w:pPr>
    </w:p>
    <w:p w14:paraId="372DA3F3" w14:textId="77777777" w:rsidR="00AE3BE0" w:rsidRDefault="00021E22" w:rsidP="00AE3BE0">
      <w:pPr>
        <w:spacing w:line="240" w:lineRule="auto"/>
        <w:jc w:val="center"/>
      </w:pPr>
      <w:r>
        <w:t>STATE OF CALIFORNIA</w:t>
      </w:r>
    </w:p>
    <w:p w14:paraId="6CF778CB" w14:textId="77777777" w:rsidR="00AE3BE0" w:rsidRDefault="00021E22" w:rsidP="00AE3BE0">
      <w:pPr>
        <w:spacing w:line="240" w:lineRule="auto"/>
        <w:jc w:val="center"/>
      </w:pPr>
    </w:p>
    <w:p w14:paraId="6CE1E394" w14:textId="77777777" w:rsidR="00AE3BE0" w:rsidRDefault="00021E22" w:rsidP="00AE3BE0">
      <w:pPr>
        <w:spacing w:line="240" w:lineRule="auto"/>
        <w:jc w:val="center"/>
      </w:pPr>
    </w:p>
    <w:tbl>
      <w:tblPr>
        <w:tblW w:w="9360" w:type="dxa"/>
        <w:tblLayout w:type="fixed"/>
        <w:tblLook w:val="0000" w:firstRow="0" w:lastRow="0" w:firstColumn="0" w:lastColumn="0" w:noHBand="0" w:noVBand="0"/>
      </w:tblPr>
      <w:tblGrid>
        <w:gridCol w:w="5040"/>
        <w:gridCol w:w="4320"/>
      </w:tblGrid>
      <w:tr w:rsidR="00765B00" w14:paraId="3E6F4203" w14:textId="77777777" w:rsidTr="00AE3BE0">
        <w:tc>
          <w:tcPr>
            <w:tcW w:w="5040" w:type="dxa"/>
            <w:tcBorders>
              <w:bottom w:val="single" w:sz="4" w:space="0" w:color="auto"/>
              <w:right w:val="single" w:sz="4" w:space="0" w:color="auto"/>
            </w:tcBorders>
            <w:shd w:val="clear" w:color="auto" w:fill="auto"/>
          </w:tcPr>
          <w:p w14:paraId="30E48AE5" w14:textId="77777777" w:rsidR="00AE3BE0" w:rsidRDefault="00021E22" w:rsidP="00AE3BE0">
            <w:pPr>
              <w:spacing w:line="240" w:lineRule="auto"/>
            </w:pPr>
            <w:r>
              <w:t>COMMITTEE TO RELOCATE MARILYN,</w:t>
            </w:r>
          </w:p>
          <w:p w14:paraId="4AB13CD8" w14:textId="77777777" w:rsidR="00AE3BE0" w:rsidRDefault="00021E22" w:rsidP="00AE3BE0">
            <w:pPr>
              <w:spacing w:line="240" w:lineRule="auto"/>
            </w:pPr>
          </w:p>
          <w:p w14:paraId="0C781984" w14:textId="77777777" w:rsidR="00AE3BE0" w:rsidRDefault="00021E22" w:rsidP="00AE3BE0">
            <w:pPr>
              <w:spacing w:line="240" w:lineRule="auto"/>
            </w:pPr>
            <w:r>
              <w:tab/>
            </w:r>
            <w:r>
              <w:t>Plaintiff</w:t>
            </w:r>
            <w:r>
              <w:t xml:space="preserve"> and Appellant,</w:t>
            </w:r>
          </w:p>
          <w:p w14:paraId="767797C5" w14:textId="77777777" w:rsidR="00AE3BE0" w:rsidRDefault="00021E22" w:rsidP="00AE3BE0">
            <w:pPr>
              <w:spacing w:line="240" w:lineRule="auto"/>
            </w:pPr>
          </w:p>
          <w:p w14:paraId="650650F5" w14:textId="77777777" w:rsidR="00AE3BE0" w:rsidRDefault="00021E22" w:rsidP="00AE3BE0">
            <w:pPr>
              <w:spacing w:line="240" w:lineRule="auto"/>
            </w:pPr>
            <w:r>
              <w:tab/>
              <w:t>v.</w:t>
            </w:r>
          </w:p>
          <w:p w14:paraId="3E5CB287" w14:textId="77777777" w:rsidR="00AE3BE0" w:rsidRDefault="00021E22" w:rsidP="00AE3BE0">
            <w:pPr>
              <w:spacing w:line="240" w:lineRule="auto"/>
            </w:pPr>
          </w:p>
          <w:p w14:paraId="0539B1A0" w14:textId="77777777" w:rsidR="00AE3BE0" w:rsidRDefault="00021E22" w:rsidP="00AE3BE0">
            <w:pPr>
              <w:spacing w:line="240" w:lineRule="auto"/>
            </w:pPr>
            <w:r>
              <w:t>CITY OF PALM SPRINGS,</w:t>
            </w:r>
          </w:p>
          <w:p w14:paraId="115FECAB" w14:textId="77777777" w:rsidR="00AE3BE0" w:rsidRDefault="00021E22" w:rsidP="00AE3BE0">
            <w:pPr>
              <w:spacing w:line="240" w:lineRule="auto"/>
            </w:pPr>
          </w:p>
          <w:p w14:paraId="28070FAC" w14:textId="77777777" w:rsidR="00AE3BE0" w:rsidRDefault="00021E22" w:rsidP="00AE3BE0">
            <w:pPr>
              <w:spacing w:line="240" w:lineRule="auto"/>
            </w:pPr>
            <w:r>
              <w:tab/>
            </w:r>
            <w:r>
              <w:t xml:space="preserve">Defendant and </w:t>
            </w:r>
            <w:r>
              <w:t>Respondent;</w:t>
            </w:r>
          </w:p>
          <w:p w14:paraId="31F11220" w14:textId="77777777" w:rsidR="00AE3BE0" w:rsidRDefault="00021E22" w:rsidP="00AE3BE0">
            <w:pPr>
              <w:spacing w:line="240" w:lineRule="auto"/>
            </w:pPr>
          </w:p>
          <w:p w14:paraId="08512AE6" w14:textId="77777777" w:rsidR="00AE3BE0" w:rsidRDefault="00021E22" w:rsidP="00AE3BE0">
            <w:pPr>
              <w:spacing w:line="240" w:lineRule="auto"/>
            </w:pPr>
            <w:r>
              <w:t xml:space="preserve">PS </w:t>
            </w:r>
            <w:r>
              <w:t>RESORTS,</w:t>
            </w:r>
          </w:p>
          <w:p w14:paraId="2CE761CB" w14:textId="77777777" w:rsidR="00AE3BE0" w:rsidRDefault="00021E22" w:rsidP="00AE3BE0">
            <w:pPr>
              <w:spacing w:line="240" w:lineRule="auto"/>
            </w:pPr>
          </w:p>
          <w:p w14:paraId="439F70FA" w14:textId="77777777" w:rsidR="00AE3BE0" w:rsidRDefault="00021E22" w:rsidP="00AE3BE0">
            <w:pPr>
              <w:spacing w:line="240" w:lineRule="auto"/>
            </w:pPr>
            <w:r>
              <w:tab/>
              <w:t>Real Party in Interest</w:t>
            </w:r>
            <w:r>
              <w:t xml:space="preserve"> and Respondent</w:t>
            </w:r>
            <w:r>
              <w:t>.</w:t>
            </w:r>
          </w:p>
          <w:p w14:paraId="56BE048E" w14:textId="77777777" w:rsidR="00AE3BE0" w:rsidRDefault="00021E22" w:rsidP="00AE3BE0">
            <w:pPr>
              <w:spacing w:line="240" w:lineRule="auto"/>
            </w:pPr>
          </w:p>
        </w:tc>
        <w:tc>
          <w:tcPr>
            <w:tcW w:w="4320" w:type="dxa"/>
            <w:tcBorders>
              <w:left w:val="single" w:sz="4" w:space="0" w:color="auto"/>
            </w:tcBorders>
            <w:shd w:val="clear" w:color="auto" w:fill="auto"/>
          </w:tcPr>
          <w:p w14:paraId="52C19E57" w14:textId="77777777" w:rsidR="00AE3BE0" w:rsidRDefault="00021E22" w:rsidP="00AE3BE0">
            <w:pPr>
              <w:tabs>
                <w:tab w:val="left" w:pos="144"/>
              </w:tabs>
              <w:spacing w:line="240" w:lineRule="auto"/>
            </w:pPr>
            <w:r>
              <w:t xml:space="preserve">  D080907</w:t>
            </w:r>
          </w:p>
          <w:p w14:paraId="68E458E1" w14:textId="77777777" w:rsidR="00AE3BE0" w:rsidRDefault="00021E22" w:rsidP="00AE3BE0">
            <w:pPr>
              <w:tabs>
                <w:tab w:val="left" w:pos="144"/>
              </w:tabs>
              <w:spacing w:line="240" w:lineRule="auto"/>
            </w:pPr>
          </w:p>
          <w:p w14:paraId="1B329173" w14:textId="77777777" w:rsidR="00AE3BE0" w:rsidRDefault="00021E22" w:rsidP="00AE3BE0">
            <w:pPr>
              <w:tabs>
                <w:tab w:val="left" w:pos="144"/>
              </w:tabs>
              <w:spacing w:line="240" w:lineRule="auto"/>
            </w:pPr>
          </w:p>
          <w:p w14:paraId="7E0296DB" w14:textId="77777777" w:rsidR="00AE3BE0" w:rsidRDefault="00021E22" w:rsidP="00AE3BE0">
            <w:pPr>
              <w:tabs>
                <w:tab w:val="left" w:pos="144"/>
              </w:tabs>
              <w:spacing w:line="240" w:lineRule="auto"/>
            </w:pPr>
          </w:p>
          <w:p w14:paraId="44624499" w14:textId="77777777" w:rsidR="00AE3BE0" w:rsidRDefault="00021E22" w:rsidP="00AE3BE0">
            <w:pPr>
              <w:tabs>
                <w:tab w:val="left" w:pos="144"/>
              </w:tabs>
              <w:spacing w:line="240" w:lineRule="auto"/>
            </w:pPr>
            <w:r>
              <w:t xml:space="preserve">  (Super. Ct. No. CVRI2101</w:t>
            </w:r>
            <w:r>
              <w:t>4</w:t>
            </w:r>
            <w:r>
              <w:t>35)</w:t>
            </w:r>
          </w:p>
          <w:p w14:paraId="08EE70EF" w14:textId="77777777" w:rsidR="00AE3BE0" w:rsidRDefault="00021E22" w:rsidP="00AE3BE0">
            <w:pPr>
              <w:tabs>
                <w:tab w:val="left" w:pos="144"/>
              </w:tabs>
              <w:spacing w:line="240" w:lineRule="auto"/>
            </w:pPr>
          </w:p>
        </w:tc>
      </w:tr>
    </w:tbl>
    <w:p w14:paraId="4D4447FA" w14:textId="77777777" w:rsidR="00AE3BE0" w:rsidRDefault="00021E22" w:rsidP="00AE3BE0">
      <w:pPr>
        <w:spacing w:line="240" w:lineRule="auto"/>
      </w:pPr>
    </w:p>
    <w:p w14:paraId="4F8A2852" w14:textId="77777777" w:rsidR="00AE3BE0" w:rsidRDefault="00021E22" w:rsidP="00AE3BE0">
      <w:r>
        <w:tab/>
        <w:t xml:space="preserve">APPEAL from a judgment of the Superior Court of Riverside, Ronald Johnson, Judge.  </w:t>
      </w:r>
      <w:r>
        <w:t>R</w:t>
      </w:r>
      <w:r>
        <w:t xml:space="preserve">eversed </w:t>
      </w:r>
      <w:r>
        <w:t xml:space="preserve">and </w:t>
      </w:r>
      <w:r>
        <w:t>remanded with instructions</w:t>
      </w:r>
      <w:r>
        <w:t>.</w:t>
      </w:r>
    </w:p>
    <w:p w14:paraId="0239BE37" w14:textId="77777777" w:rsidR="00AE3BE0" w:rsidRDefault="00021E22" w:rsidP="00AE3BE0">
      <w:r>
        <w:tab/>
        <w:t>Chatten-Brown, Carstens &amp; Mintee</w:t>
      </w:r>
      <w:r>
        <w:t xml:space="preserve">r, Amy </w:t>
      </w:r>
      <w:r>
        <w:t xml:space="preserve">C. </w:t>
      </w:r>
      <w:r>
        <w:t xml:space="preserve">Minteer, Michelle N. Black, and Sunjana Supekar for </w:t>
      </w:r>
      <w:r>
        <w:t>Plaintiff</w:t>
      </w:r>
      <w:r>
        <w:t xml:space="preserve"> and Appellant.</w:t>
      </w:r>
    </w:p>
    <w:p w14:paraId="7C42F115" w14:textId="77777777" w:rsidR="00AE3BE0" w:rsidRDefault="00021E22" w:rsidP="00AE3BE0">
      <w:r>
        <w:tab/>
      </w:r>
      <w:r>
        <w:t xml:space="preserve">Best Best &amp; Krieger, Richard T. Egger, Amy E. Hoyt, and Avi Rutschman for </w:t>
      </w:r>
      <w:r>
        <w:t xml:space="preserve">Defendant and </w:t>
      </w:r>
      <w:r>
        <w:t>Respondent.</w:t>
      </w:r>
    </w:p>
    <w:p w14:paraId="2F27C02C" w14:textId="77777777" w:rsidR="007354EC" w:rsidRDefault="00021E22" w:rsidP="00AE3BE0">
      <w:r>
        <w:tab/>
        <w:t xml:space="preserve">Blasdel Guinan Lawyers and Diane C. Blasdel for Real Party in </w:t>
      </w:r>
      <w:r>
        <w:t>Interest</w:t>
      </w:r>
      <w:r>
        <w:t xml:space="preserve"> and Respondent</w:t>
      </w:r>
      <w:r>
        <w:t>.</w:t>
      </w:r>
    </w:p>
    <w:p w14:paraId="23042709" w14:textId="77777777" w:rsidR="007354EC" w:rsidRDefault="00021E22" w:rsidP="007354EC">
      <w:pPr>
        <w:pStyle w:val="ListParagraph"/>
        <w:keepNext/>
        <w:keepLines/>
        <w:numPr>
          <w:ilvl w:val="0"/>
          <w:numId w:val="1"/>
        </w:numPr>
        <w:jc w:val="center"/>
      </w:pPr>
    </w:p>
    <w:p w14:paraId="715A4FF2" w14:textId="77777777" w:rsidR="007354EC" w:rsidRPr="007354EC" w:rsidRDefault="00021E22" w:rsidP="007354EC">
      <w:pPr>
        <w:pStyle w:val="Heading1"/>
      </w:pPr>
      <w:r w:rsidRPr="007354EC">
        <w:t>INTRODUCTION</w:t>
      </w:r>
    </w:p>
    <w:p w14:paraId="30B9E24A" w14:textId="77777777" w:rsidR="00444F3F" w:rsidRDefault="00021E22" w:rsidP="00AE3BE0">
      <w:r>
        <w:tab/>
      </w:r>
      <w:r>
        <w:t xml:space="preserve">The City of Palm Springs closed </w:t>
      </w:r>
      <w:r>
        <w:t xml:space="preserve">off </w:t>
      </w:r>
      <w:r>
        <w:t xml:space="preserve">one of its </w:t>
      </w:r>
      <w:r>
        <w:t>downtown street</w:t>
      </w:r>
      <w:r>
        <w:t>s</w:t>
      </w:r>
      <w:r>
        <w:t xml:space="preserve"> to </w:t>
      </w:r>
      <w:r>
        <w:t xml:space="preserve">all </w:t>
      </w:r>
      <w:r>
        <w:t xml:space="preserve">vehicular traffic for </w:t>
      </w:r>
      <w:r>
        <w:t xml:space="preserve">a period of </w:t>
      </w:r>
      <w:r>
        <w:t xml:space="preserve">three years </w:t>
      </w:r>
      <w:r>
        <w:t xml:space="preserve">to </w:t>
      </w:r>
      <w:r>
        <w:t>allow</w:t>
      </w:r>
      <w:r>
        <w:t xml:space="preserve"> a </w:t>
      </w:r>
      <w:r>
        <w:t xml:space="preserve">Palm Springs </w:t>
      </w:r>
      <w:r>
        <w:t xml:space="preserve">tourism organization </w:t>
      </w:r>
      <w:r>
        <w:t xml:space="preserve">to </w:t>
      </w:r>
      <w:r>
        <w:t xml:space="preserve">install </w:t>
      </w:r>
      <w:r>
        <w:t xml:space="preserve">and </w:t>
      </w:r>
      <w:r>
        <w:t>display</w:t>
      </w:r>
      <w:r>
        <w:t xml:space="preserve"> </w:t>
      </w:r>
      <w:r>
        <w:t>a large</w:t>
      </w:r>
      <w:r>
        <w:t xml:space="preserve"> statue of</w:t>
      </w:r>
      <w:r>
        <w:t xml:space="preserve"> </w:t>
      </w:r>
      <w:r>
        <w:t xml:space="preserve">Marilyn Monroe in the middle of the street.  </w:t>
      </w:r>
    </w:p>
    <w:p w14:paraId="662AEF99" w14:textId="77777777" w:rsidR="00444F3F" w:rsidRDefault="00021E22" w:rsidP="00AE3BE0">
      <w:r>
        <w:tab/>
        <w:t>A citizens</w:t>
      </w:r>
      <w:r>
        <w:t>’</w:t>
      </w:r>
      <w:r>
        <w:t xml:space="preserve"> group called the Committee to Relocate Marilyn (</w:t>
      </w:r>
      <w:r>
        <w:t xml:space="preserve">hereafter, </w:t>
      </w:r>
      <w:r>
        <w:t>the Committee) filed a petition for writ of administrative mandate challeng</w:t>
      </w:r>
      <w:r>
        <w:t>ing</w:t>
      </w:r>
      <w:r>
        <w:t xml:space="preserve"> the street closure.  </w:t>
      </w:r>
      <w:r>
        <w:t>It</w:t>
      </w:r>
      <w:r>
        <w:t xml:space="preserve"> alleged the City </w:t>
      </w:r>
      <w:r>
        <w:t>did not have the</w:t>
      </w:r>
      <w:r>
        <w:t xml:space="preserve"> </w:t>
      </w:r>
      <w:r>
        <w:t>s</w:t>
      </w:r>
      <w:r>
        <w:t xml:space="preserve">tatutory </w:t>
      </w:r>
      <w:r>
        <w:t xml:space="preserve">authority to close the street </w:t>
      </w:r>
      <w:r>
        <w:t>under</w:t>
      </w:r>
      <w:r>
        <w:t xml:space="preserve"> Vehicle Code section</w:t>
      </w:r>
      <w:r>
        <w:t> </w:t>
      </w:r>
      <w:r>
        <w:t>21101, subdivision</w:t>
      </w:r>
      <w:r>
        <w:t> </w:t>
      </w:r>
      <w:r>
        <w:t xml:space="preserve">(e), which </w:t>
      </w:r>
      <w:r>
        <w:t>permits</w:t>
      </w:r>
      <w:r>
        <w:t xml:space="preserve"> </w:t>
      </w:r>
      <w:r>
        <w:t>cities</w:t>
      </w:r>
      <w:r>
        <w:t xml:space="preserve"> </w:t>
      </w:r>
      <w:r w:rsidRPr="009E7E09">
        <w:t>to “[t]emporarily</w:t>
      </w:r>
      <w:r w:rsidRPr="00D91F80">
        <w:rPr>
          <w:i/>
          <w:iCs/>
        </w:rPr>
        <w:t xml:space="preserve"> </w:t>
      </w:r>
      <w:r w:rsidRPr="00E309FB">
        <w:t>clos</w:t>
      </w:r>
      <w:r>
        <w:t>[e]</w:t>
      </w:r>
      <w:r w:rsidRPr="00E309FB">
        <w:t xml:space="preserve"> a portion of any street for celebrations, parades, local special events, and other purposes</w:t>
      </w:r>
      <w:r>
        <w:t>” for the safety and protect</w:t>
      </w:r>
      <w:r>
        <w:t xml:space="preserve">ion of persons who use the street during the temporary closure.  </w:t>
      </w:r>
      <w:r>
        <w:t xml:space="preserve">In the </w:t>
      </w:r>
      <w:r>
        <w:t xml:space="preserve">Committee’s </w:t>
      </w:r>
      <w:r>
        <w:t xml:space="preserve">view, the </w:t>
      </w:r>
      <w:r>
        <w:t xml:space="preserve">street closure was </w:t>
      </w:r>
      <w:r>
        <w:t>impermissible</w:t>
      </w:r>
      <w:r>
        <w:t xml:space="preserve"> because it was </w:t>
      </w:r>
      <w:r>
        <w:t xml:space="preserve">long-term—not temporary. </w:t>
      </w:r>
      <w:r>
        <w:t xml:space="preserve"> Additionally</w:t>
      </w:r>
      <w:r>
        <w:t xml:space="preserve">, </w:t>
      </w:r>
      <w:r>
        <w:t xml:space="preserve">the Committee </w:t>
      </w:r>
      <w:r>
        <w:t xml:space="preserve">alleged the City </w:t>
      </w:r>
      <w:r>
        <w:t xml:space="preserve">erroneously </w:t>
      </w:r>
      <w:r>
        <w:t>declared</w:t>
      </w:r>
      <w:r>
        <w:t xml:space="preserve"> </w:t>
      </w:r>
      <w:r>
        <w:t xml:space="preserve">the street closure categorically exempt from environmental review </w:t>
      </w:r>
      <w:r>
        <w:t>under the California Environmental Quality Act (CEQA) (</w:t>
      </w:r>
      <w:bookmarkStart w:id="0" w:name="dabmci_b61e5560f90d4ad5a25490686b341ef0"/>
      <w:r w:rsidRPr="004840C1">
        <w:t>Pub. Resources Code, §§</w:t>
      </w:r>
      <w:r>
        <w:t> </w:t>
      </w:r>
      <w:r w:rsidRPr="004840C1">
        <w:t>21000</w:t>
      </w:r>
      <w:bookmarkEnd w:id="0"/>
      <w:r w:rsidRPr="004840C1">
        <w:t xml:space="preserve"> et seq</w:t>
      </w:r>
      <w:r>
        <w:t xml:space="preserve">.). </w:t>
      </w:r>
    </w:p>
    <w:p w14:paraId="18369BB3" w14:textId="77777777" w:rsidR="00444F3F" w:rsidRPr="00C778D5" w:rsidRDefault="00021E22" w:rsidP="00AE3BE0">
      <w:r>
        <w:tab/>
        <w:t xml:space="preserve">The City demurred to the petition for writ of administrative mandate, arguing </w:t>
      </w:r>
      <w:r>
        <w:t xml:space="preserve">it had the </w:t>
      </w:r>
      <w:r>
        <w:t>auth</w:t>
      </w:r>
      <w:r>
        <w:t>orit</w:t>
      </w:r>
      <w:r>
        <w:t>y</w:t>
      </w:r>
      <w:r>
        <w:t xml:space="preserve"> to close the street </w:t>
      </w:r>
      <w:r>
        <w:t xml:space="preserve">for three years </w:t>
      </w:r>
      <w:r>
        <w:t xml:space="preserve">under </w:t>
      </w:r>
      <w:bookmarkStart w:id="1" w:name="dabmci_5819d94d58e74d9a9f774d12c405c8b1"/>
      <w:r>
        <w:t>Vehicle Code section</w:t>
      </w:r>
      <w:r>
        <w:t> </w:t>
      </w:r>
      <w:r>
        <w:t>21101</w:t>
      </w:r>
      <w:bookmarkEnd w:id="1"/>
      <w:r>
        <w:t xml:space="preserve">, subdivision (e), and </w:t>
      </w:r>
      <w:r>
        <w:t xml:space="preserve">its local </w:t>
      </w:r>
      <w:r>
        <w:t>equivalent</w:t>
      </w:r>
      <w:r>
        <w:t>, Palm Springs Municipal Code section</w:t>
      </w:r>
      <w:r>
        <w:t> </w:t>
      </w:r>
      <w:r>
        <w:t>12.80.010</w:t>
      </w:r>
      <w:r>
        <w:t xml:space="preserve">.  </w:t>
      </w:r>
      <w:r>
        <w:t>The City claimed the street closure was temporary</w:t>
      </w:r>
      <w:r>
        <w:t>, and therefore permissible,</w:t>
      </w:r>
      <w:r>
        <w:t xml:space="preserve"> because </w:t>
      </w:r>
      <w:r>
        <w:t xml:space="preserve">it </w:t>
      </w:r>
      <w:r>
        <w:t>was not permanent</w:t>
      </w:r>
      <w:r>
        <w:t xml:space="preserve">.  </w:t>
      </w:r>
      <w:r>
        <w:t xml:space="preserve">Further, the City </w:t>
      </w:r>
      <w:r>
        <w:t>argued</w:t>
      </w:r>
      <w:r>
        <w:t xml:space="preserve"> the CEQA cause of action was </w:t>
      </w:r>
      <w:r>
        <w:t>untimely</w:t>
      </w:r>
      <w:r>
        <w:t xml:space="preserve"> because </w:t>
      </w:r>
      <w:r>
        <w:t xml:space="preserve">the City </w:t>
      </w:r>
      <w:r>
        <w:t xml:space="preserve">filed a notice of exemption </w:t>
      </w:r>
      <w:r>
        <w:t>stating</w:t>
      </w:r>
      <w:r>
        <w:t xml:space="preserve"> the project </w:t>
      </w:r>
      <w:r>
        <w:t xml:space="preserve">was </w:t>
      </w:r>
      <w:r>
        <w:t>categorically exempt from environmental review</w:t>
      </w:r>
      <w:r>
        <w:t xml:space="preserve">, thus triggering a 35-day statute of limitations for the </w:t>
      </w:r>
      <w:r>
        <w:t xml:space="preserve">filing of any </w:t>
      </w:r>
      <w:r>
        <w:t xml:space="preserve">legal </w:t>
      </w:r>
      <w:r>
        <w:t xml:space="preserve">challenge to the </w:t>
      </w:r>
      <w:r>
        <w:t xml:space="preserve">exemption </w:t>
      </w:r>
      <w:r>
        <w:t>finding</w:t>
      </w:r>
      <w:r>
        <w:t xml:space="preserve"> (</w:t>
      </w:r>
      <w:bookmarkStart w:id="2" w:name="dabmci_79e5d7f4ef7e48558d4dceef5135433b"/>
      <w:r w:rsidRPr="004840C1">
        <w:t xml:space="preserve">Pub. Resources </w:t>
      </w:r>
      <w:r>
        <w:lastRenderedPageBreak/>
        <w:t>Code, § </w:t>
      </w:r>
      <w:r w:rsidRPr="00E4322B">
        <w:t xml:space="preserve">21167, </w:t>
      </w:r>
      <w:r>
        <w:t>subd.</w:t>
      </w:r>
      <w:r>
        <w:t> </w:t>
      </w:r>
      <w:r w:rsidRPr="00E4322B">
        <w:t>(d)</w:t>
      </w:r>
      <w:bookmarkEnd w:id="2"/>
      <w:r>
        <w:t>)</w:t>
      </w:r>
      <w:r>
        <w:t>.  According to the City,</w:t>
      </w:r>
      <w:r>
        <w:t xml:space="preserve"> the Committee did not assert its CEQA claim until after the expiration of the </w:t>
      </w:r>
      <w:r>
        <w:t xml:space="preserve">35-day </w:t>
      </w:r>
      <w:r>
        <w:t>statute of limitations period.  The trial court s</w:t>
      </w:r>
      <w:r>
        <w:t xml:space="preserve">ustained the demurrer without leave to amend and entered a judgment of dismissal in favor of the City. </w:t>
      </w:r>
    </w:p>
    <w:p w14:paraId="01FFD0B6" w14:textId="77777777" w:rsidR="00C32B7B" w:rsidRDefault="00021E22" w:rsidP="00AE3BE0">
      <w:r>
        <w:tab/>
      </w:r>
      <w:r>
        <w:t>Contrary to the trial court, w</w:t>
      </w:r>
      <w:r>
        <w:t>e conclude t</w:t>
      </w:r>
      <w:r>
        <w:t>he Committee pleaded allegations sufficient to</w:t>
      </w:r>
      <w:r>
        <w:t xml:space="preserve"> </w:t>
      </w:r>
      <w:r>
        <w:t>establish</w:t>
      </w:r>
      <w:r>
        <w:t xml:space="preserve"> that the City exceeded its authority under </w:t>
      </w:r>
      <w:bookmarkStart w:id="3" w:name="dabmci_d90f24deb77b4999bdf3da9095f3e1c3"/>
      <w:r>
        <w:t>Vehicle Code section</w:t>
      </w:r>
      <w:r>
        <w:t> </w:t>
      </w:r>
      <w:r>
        <w:t>21101</w:t>
      </w:r>
      <w:bookmarkEnd w:id="3"/>
      <w:r>
        <w:t xml:space="preserve">, subdivision (e), </w:t>
      </w:r>
      <w:r>
        <w:t xml:space="preserve">and Palm Springs Municipal </w:t>
      </w:r>
      <w:r>
        <w:t>Co</w:t>
      </w:r>
      <w:r>
        <w:t>de</w:t>
      </w:r>
      <w:r>
        <w:t xml:space="preserve"> section</w:t>
      </w:r>
      <w:r>
        <w:t> </w:t>
      </w:r>
      <w:r>
        <w:t>12.80.010</w:t>
      </w:r>
      <w:r>
        <w:t xml:space="preserve">.  These enactments allow cities to </w:t>
      </w:r>
      <w:r w:rsidRPr="00D946A4">
        <w:t>temporarily</w:t>
      </w:r>
      <w:r>
        <w:t xml:space="preserve"> close </w:t>
      </w:r>
      <w:r>
        <w:t xml:space="preserve">portions of </w:t>
      </w:r>
      <w:r>
        <w:t xml:space="preserve">streets for </w:t>
      </w:r>
      <w:r w:rsidRPr="00D946A4">
        <w:t>short-term</w:t>
      </w:r>
      <w:r>
        <w:t xml:space="preserve"> </w:t>
      </w:r>
      <w:r>
        <w:t xml:space="preserve">events </w:t>
      </w:r>
      <w:r>
        <w:t>like</w:t>
      </w:r>
      <w:r>
        <w:t xml:space="preserve"> </w:t>
      </w:r>
      <w:r>
        <w:t>holiday</w:t>
      </w:r>
      <w:r>
        <w:t xml:space="preserve"> parade</w:t>
      </w:r>
      <w:r>
        <w:t>s</w:t>
      </w:r>
      <w:r>
        <w:t xml:space="preserve">, </w:t>
      </w:r>
      <w:r>
        <w:t xml:space="preserve">neighborhood </w:t>
      </w:r>
      <w:r>
        <w:t>street fair</w:t>
      </w:r>
      <w:r>
        <w:t>s</w:t>
      </w:r>
      <w:r>
        <w:t xml:space="preserve">, </w:t>
      </w:r>
      <w:r>
        <w:t xml:space="preserve">and </w:t>
      </w:r>
      <w:r>
        <w:t>block part</w:t>
      </w:r>
      <w:r>
        <w:t>ies</w:t>
      </w:r>
      <w:r>
        <w:t>—</w:t>
      </w:r>
      <w:r>
        <w:t xml:space="preserve">proceedings </w:t>
      </w:r>
      <w:r>
        <w:t xml:space="preserve">that </w:t>
      </w:r>
      <w:r>
        <w:t>generally</w:t>
      </w:r>
      <w:r>
        <w:t xml:space="preserve"> </w:t>
      </w:r>
      <w:r>
        <w:t xml:space="preserve">last </w:t>
      </w:r>
      <w:r>
        <w:t xml:space="preserve">for hours, </w:t>
      </w:r>
      <w:r>
        <w:t xml:space="preserve">days, </w:t>
      </w:r>
      <w:r>
        <w:t>or perhaps a</w:t>
      </w:r>
      <w:r>
        <w:t>s long as a</w:t>
      </w:r>
      <w:r>
        <w:t xml:space="preserve"> few </w:t>
      </w:r>
      <w:r>
        <w:t>weeks</w:t>
      </w:r>
      <w:r>
        <w:t xml:space="preserve">.  They do not </w:t>
      </w:r>
      <w:r>
        <w:t xml:space="preserve">vest cities with the </w:t>
      </w:r>
      <w:r>
        <w:t xml:space="preserve">expansive </w:t>
      </w:r>
      <w:r>
        <w:t>power</w:t>
      </w:r>
      <w:r>
        <w:t xml:space="preserve"> to </w:t>
      </w:r>
      <w:r>
        <w:t>close</w:t>
      </w:r>
      <w:r>
        <w:t xml:space="preserve"> </w:t>
      </w:r>
      <w:r>
        <w:t xml:space="preserve">public </w:t>
      </w:r>
      <w:r>
        <w:t>streets</w:t>
      </w:r>
      <w:r>
        <w:t>—</w:t>
      </w:r>
      <w:r>
        <w:t xml:space="preserve">for </w:t>
      </w:r>
      <w:r>
        <w:t>years on end</w:t>
      </w:r>
      <w:r>
        <w:t>—</w:t>
      </w:r>
      <w:r>
        <w:t xml:space="preserve">so statues </w:t>
      </w:r>
      <w:r>
        <w:t>or</w:t>
      </w:r>
      <w:r>
        <w:t xml:space="preserve"> </w:t>
      </w:r>
      <w:r>
        <w:t>other</w:t>
      </w:r>
      <w:r>
        <w:t xml:space="preserve"> </w:t>
      </w:r>
      <w:r>
        <w:t xml:space="preserve">semi-permanent </w:t>
      </w:r>
      <w:r>
        <w:t xml:space="preserve">works of art may be </w:t>
      </w:r>
      <w:r>
        <w:t>erected</w:t>
      </w:r>
      <w:r>
        <w:t xml:space="preserve"> </w:t>
      </w:r>
      <w:r>
        <w:t xml:space="preserve">in </w:t>
      </w:r>
      <w:r>
        <w:t xml:space="preserve">the middle of those </w:t>
      </w:r>
      <w:r>
        <w:t>streets</w:t>
      </w:r>
      <w:r>
        <w:t>.</w:t>
      </w:r>
    </w:p>
    <w:p w14:paraId="4DF68FD0" w14:textId="77777777" w:rsidR="00122C74" w:rsidRPr="00D946A4" w:rsidRDefault="00021E22" w:rsidP="00AE3BE0">
      <w:r>
        <w:tab/>
      </w:r>
      <w:r>
        <w:t>W</w:t>
      </w:r>
      <w:r>
        <w:t xml:space="preserve">e </w:t>
      </w:r>
      <w:r>
        <w:t xml:space="preserve">also </w:t>
      </w:r>
      <w:r>
        <w:t>conclude the Committee pleaded allegations</w:t>
      </w:r>
      <w:r>
        <w:t xml:space="preserve"> sufficient to </w:t>
      </w:r>
      <w:r>
        <w:t>establish</w:t>
      </w:r>
      <w:r>
        <w:t xml:space="preserve"> </w:t>
      </w:r>
      <w:r>
        <w:t xml:space="preserve">the timeliness of </w:t>
      </w:r>
      <w:r>
        <w:t>its CEQA cause of action</w:t>
      </w:r>
      <w:r>
        <w:t xml:space="preserve">.  </w:t>
      </w:r>
      <w:r>
        <w:t>As noted, t</w:t>
      </w:r>
      <w:r>
        <w:t>he City</w:t>
      </w:r>
      <w:r>
        <w:t xml:space="preserve"> filed a notice of exemption declaring the</w:t>
      </w:r>
      <w:r>
        <w:t xml:space="preserve"> project categorically exempt from environmental review.  However, the notice of exemption stated </w:t>
      </w:r>
      <w:r>
        <w:t>the</w:t>
      </w:r>
      <w:r>
        <w:t xml:space="preserve"> </w:t>
      </w:r>
      <w:r>
        <w:t xml:space="preserve">public’s vehicular access to the </w:t>
      </w:r>
      <w:r>
        <w:t>downtown street would be vacated</w:t>
      </w:r>
      <w:r>
        <w:t xml:space="preserve"> as part of the project</w:t>
      </w:r>
      <w:r>
        <w:t xml:space="preserve">.  </w:t>
      </w:r>
      <w:r>
        <w:t>But, after the notice of exemption was filed,</w:t>
      </w:r>
      <w:r>
        <w:t xml:space="preserve"> the City </w:t>
      </w:r>
      <w:r>
        <w:t>abandone</w:t>
      </w:r>
      <w:r>
        <w:t xml:space="preserve">d </w:t>
      </w:r>
      <w:r>
        <w:t xml:space="preserve">its plan to vacate </w:t>
      </w:r>
      <w:r>
        <w:t>vehicular</w:t>
      </w:r>
      <w:r>
        <w:t xml:space="preserve"> access to </w:t>
      </w:r>
      <w:r>
        <w:t>the street and elected to close the street</w:t>
      </w:r>
      <w:r>
        <w:t xml:space="preserve"> instead</w:t>
      </w:r>
      <w:r>
        <w:t xml:space="preserve">.  </w:t>
      </w:r>
      <w:r>
        <w:t xml:space="preserve">Because the City materially changed the project </w:t>
      </w:r>
      <w:r w:rsidRPr="00D4532F">
        <w:t>after</w:t>
      </w:r>
      <w:r>
        <w:t xml:space="preserve"> </w:t>
      </w:r>
      <w:r>
        <w:t xml:space="preserve">it filed </w:t>
      </w:r>
      <w:r>
        <w:t xml:space="preserve">its notice of exemption, </w:t>
      </w:r>
      <w:r>
        <w:t xml:space="preserve">and </w:t>
      </w:r>
      <w:r>
        <w:t xml:space="preserve">it </w:t>
      </w:r>
      <w:r>
        <w:t>did not afford the public an opportunity to consider the revised pr</w:t>
      </w:r>
      <w:r>
        <w:t>oject</w:t>
      </w:r>
      <w:r>
        <w:t xml:space="preserve"> or its environmental effects</w:t>
      </w:r>
      <w:r>
        <w:t xml:space="preserve">, </w:t>
      </w:r>
      <w:r>
        <w:t xml:space="preserve">the notice of exemption did not trigger </w:t>
      </w:r>
      <w:r>
        <w:t>a</w:t>
      </w:r>
      <w:r>
        <w:t xml:space="preserve"> 35-day statute of limitations</w:t>
      </w:r>
      <w:r>
        <w:t>.</w:t>
      </w:r>
      <w:r>
        <w:t xml:space="preserve">  </w:t>
      </w:r>
      <w:r>
        <w:t>Instead</w:t>
      </w:r>
      <w:r>
        <w:t xml:space="preserve">, the </w:t>
      </w:r>
      <w:r>
        <w:t xml:space="preserve">CEQA cause of action was subject to </w:t>
      </w:r>
      <w:r>
        <w:t>a</w:t>
      </w:r>
      <w:r>
        <w:t xml:space="preserve"> </w:t>
      </w:r>
      <w:r>
        <w:t>default statute of limitations</w:t>
      </w:r>
      <w:r>
        <w:t xml:space="preserve"> of 180 days</w:t>
      </w:r>
      <w:r>
        <w:t>, measured from the date the Committee knew or should</w:t>
      </w:r>
      <w:r>
        <w:t xml:space="preserve"> have known about the changed project.  </w:t>
      </w:r>
      <w:r>
        <w:t>Based on our review of</w:t>
      </w:r>
      <w:r>
        <w:t xml:space="preserve"> the operative pleading, t</w:t>
      </w:r>
      <w:r>
        <w:t xml:space="preserve">he </w:t>
      </w:r>
      <w:r>
        <w:lastRenderedPageBreak/>
        <w:t xml:space="preserve">Committee </w:t>
      </w:r>
      <w:r>
        <w:t xml:space="preserve">timely </w:t>
      </w:r>
      <w:r>
        <w:t xml:space="preserve">filed its CEQA cause of action within </w:t>
      </w:r>
      <w:r>
        <w:t>the applicable 180-day statute of limitations period</w:t>
      </w:r>
      <w:r>
        <w:t>.</w:t>
      </w:r>
      <w:r>
        <w:t xml:space="preserve"> </w:t>
      </w:r>
    </w:p>
    <w:p w14:paraId="06F7F32A" w14:textId="77777777" w:rsidR="00113C2C" w:rsidRDefault="00021E22" w:rsidP="00AE3BE0">
      <w:r>
        <w:tab/>
      </w:r>
      <w:r>
        <w:t>In light of these conclusions, w</w:t>
      </w:r>
      <w:r>
        <w:t xml:space="preserve">e reverse the </w:t>
      </w:r>
      <w:r>
        <w:t>judgment of dismissal</w:t>
      </w:r>
      <w:r>
        <w:t xml:space="preserve">, vacate </w:t>
      </w:r>
      <w:r>
        <w:t>the</w:t>
      </w:r>
      <w:r>
        <w:t xml:space="preserve"> demurrer</w:t>
      </w:r>
      <w:r>
        <w:t xml:space="preserve"> </w:t>
      </w:r>
      <w:r>
        <w:t>ruling</w:t>
      </w:r>
      <w:r>
        <w:t xml:space="preserve"> as to the Vehicle Code</w:t>
      </w:r>
      <w:r>
        <w:t xml:space="preserve">, </w:t>
      </w:r>
      <w:r>
        <w:t>Palm Springs Municipal Code</w:t>
      </w:r>
      <w:r>
        <w:t>,</w:t>
      </w:r>
      <w:r>
        <w:t xml:space="preserve"> and CEQA</w:t>
      </w:r>
      <w:r>
        <w:t xml:space="preserve"> causes of action</w:t>
      </w:r>
      <w:r>
        <w:t>,</w:t>
      </w:r>
      <w:r>
        <w:t xml:space="preserve"> </w:t>
      </w:r>
      <w:r>
        <w:t xml:space="preserve">and instruct the trial court to </w:t>
      </w:r>
      <w:r>
        <w:t xml:space="preserve">enter a new order </w:t>
      </w:r>
      <w:r>
        <w:t>overrul</w:t>
      </w:r>
      <w:r>
        <w:t>ing</w:t>
      </w:r>
      <w:r>
        <w:t xml:space="preserve"> the demurrer as to the</w:t>
      </w:r>
      <w:r>
        <w:t>se</w:t>
      </w:r>
      <w:r>
        <w:t xml:space="preserve"> </w:t>
      </w:r>
      <w:r>
        <w:t xml:space="preserve">three </w:t>
      </w:r>
      <w:r>
        <w:t>causes of action.</w:t>
      </w:r>
    </w:p>
    <w:p w14:paraId="71383925" w14:textId="77777777" w:rsidR="007354EC" w:rsidRDefault="00021E22" w:rsidP="007354EC">
      <w:pPr>
        <w:pStyle w:val="ListParagraph"/>
        <w:keepNext/>
        <w:keepLines/>
        <w:numPr>
          <w:ilvl w:val="0"/>
          <w:numId w:val="1"/>
        </w:numPr>
        <w:jc w:val="center"/>
      </w:pPr>
    </w:p>
    <w:p w14:paraId="14F524B3" w14:textId="77777777" w:rsidR="007354EC" w:rsidRDefault="00021E22" w:rsidP="007354EC">
      <w:pPr>
        <w:pStyle w:val="Heading1"/>
      </w:pPr>
      <w:r>
        <w:t>BACKGROUND</w:t>
      </w:r>
    </w:p>
    <w:p w14:paraId="1B8D9C01" w14:textId="77777777" w:rsidR="000D7D80" w:rsidRPr="00924AA7" w:rsidRDefault="00021E22" w:rsidP="0072483C">
      <w:pPr>
        <w:pStyle w:val="Heading2"/>
        <w:keepNext/>
        <w:keepLines/>
      </w:pPr>
      <w:r w:rsidRPr="00924AA7">
        <w:t>Fact</w:t>
      </w:r>
      <w:r w:rsidRPr="00924AA7">
        <w:t>ual Background</w:t>
      </w:r>
    </w:p>
    <w:p w14:paraId="22A695F3" w14:textId="77777777" w:rsidR="007354EC" w:rsidRDefault="00021E22" w:rsidP="00AE3BE0">
      <w:r>
        <w:tab/>
        <w:t>This appeal arises from a judgment entered after the sustaining of a demurrer without leave to amend.  Therefore, the following background section is taken from the allegations of the operative first amended petition for writ of administrat</w:t>
      </w:r>
      <w:r>
        <w:t>ive mandate and other matters properly subject to judicial notice.  (</w:t>
      </w:r>
      <w:bookmarkStart w:id="4" w:name="dabmci_e85a1f1818354c0b8aa45ec4efc9f26f"/>
      <w:r>
        <w:rPr>
          <w:i/>
          <w:iCs/>
        </w:rPr>
        <w:t xml:space="preserve">Dudek v. Dudek </w:t>
      </w:r>
      <w:r>
        <w:t>(2019) 34 Cal.App.5th 154, 160, fn. 4</w:t>
      </w:r>
      <w:bookmarkEnd w:id="4"/>
      <w:r>
        <w:t>.)</w:t>
      </w:r>
    </w:p>
    <w:p w14:paraId="6BD35EF8" w14:textId="77777777" w:rsidR="000469D4" w:rsidRDefault="00021E22" w:rsidP="000469D4">
      <w:r>
        <w:tab/>
        <w:t>Forever Marilyn is a 26</w:t>
      </w:r>
      <w:r>
        <w:noBreakHyphen/>
        <w:t>foot-tall, 34,000-pound</w:t>
      </w:r>
      <w:r>
        <w:t xml:space="preserve"> </w:t>
      </w:r>
      <w:r>
        <w:t>statue of the actress Marilyn Monroe</w:t>
      </w:r>
      <w:r>
        <w:t>, made out of painted aluminum and stainless st</w:t>
      </w:r>
      <w:r>
        <w:t>eel</w:t>
      </w:r>
      <w:r>
        <w:t xml:space="preserve">.  </w:t>
      </w:r>
      <w:r>
        <w:t>It</w:t>
      </w:r>
      <w:r>
        <w:t xml:space="preserve"> portrays Monroe in a</w:t>
      </w:r>
      <w:r>
        <w:t xml:space="preserve"> </w:t>
      </w:r>
      <w:r>
        <w:t xml:space="preserve">famous </w:t>
      </w:r>
      <w:r>
        <w:t>scene from the 1955 film, “The Seven Year Itch</w:t>
      </w:r>
      <w:r>
        <w:t>,</w:t>
      </w:r>
      <w:r>
        <w:t>”</w:t>
      </w:r>
      <w:r>
        <w:t xml:space="preserve"> in which</w:t>
      </w:r>
      <w:r>
        <w:t xml:space="preserve"> </w:t>
      </w:r>
      <w:r>
        <w:t xml:space="preserve">Monroe’s white dress is lifted up by </w:t>
      </w:r>
      <w:r>
        <w:t>a gust of wind from a New York City subway grate</w:t>
      </w:r>
      <w:r>
        <w:t xml:space="preserve">. </w:t>
      </w:r>
      <w:r>
        <w:t xml:space="preserve"> </w:t>
      </w:r>
      <w:r>
        <w:t>A</w:t>
      </w:r>
      <w:r>
        <w:t xml:space="preserve"> photograph of Forever Marilyn</w:t>
      </w:r>
      <w:r>
        <w:t xml:space="preserve"> is set forth as Figure 1 at the end of this </w:t>
      </w:r>
      <w:r>
        <w:t xml:space="preserve">judicial </w:t>
      </w:r>
      <w:r>
        <w:t>opinion</w:t>
      </w:r>
      <w:r>
        <w:t>.</w:t>
      </w:r>
    </w:p>
    <w:p w14:paraId="26EF4C2D" w14:textId="77777777" w:rsidR="00F56F5F" w:rsidRDefault="00021E22" w:rsidP="000469D4">
      <w:r>
        <w:tab/>
      </w:r>
      <w:r>
        <w:t xml:space="preserve">In May 2012, </w:t>
      </w:r>
      <w:r>
        <w:t xml:space="preserve">Forever Marilyn was acquired by </w:t>
      </w:r>
      <w:r>
        <w:t>PS Resorts</w:t>
      </w:r>
      <w:r>
        <w:t xml:space="preserve">, </w:t>
      </w:r>
      <w:r>
        <w:t xml:space="preserve">a nonprofit </w:t>
      </w:r>
      <w:r>
        <w:t>organization</w:t>
      </w:r>
      <w:r>
        <w:t xml:space="preserve"> </w:t>
      </w:r>
      <w:r>
        <w:t>that promotes</w:t>
      </w:r>
      <w:r>
        <w:t xml:space="preserve"> tourism in Palm Springs</w:t>
      </w:r>
      <w:r>
        <w:t>,</w:t>
      </w:r>
      <w:r>
        <w:t xml:space="preserve"> where the actress Monroe was reportedly first discovered</w:t>
      </w:r>
      <w:r>
        <w:t xml:space="preserve"> in 1949.</w:t>
      </w:r>
      <w:r>
        <w:t xml:space="preserve"> </w:t>
      </w:r>
      <w:r>
        <w:t xml:space="preserve"> PS</w:t>
      </w:r>
      <w:r>
        <w:t> </w:t>
      </w:r>
      <w:r>
        <w:t>R</w:t>
      </w:r>
      <w:r>
        <w:t>esorts</w:t>
      </w:r>
      <w:r>
        <w:t xml:space="preserve"> </w:t>
      </w:r>
      <w:r>
        <w:t xml:space="preserve">displayed Forever Marilyn </w:t>
      </w:r>
      <w:r>
        <w:t xml:space="preserve">to the public </w:t>
      </w:r>
      <w:r>
        <w:t xml:space="preserve">on </w:t>
      </w:r>
      <w:r>
        <w:t>a</w:t>
      </w:r>
      <w:r>
        <w:t>n empty</w:t>
      </w:r>
      <w:r>
        <w:t xml:space="preserve"> lot in downtown </w:t>
      </w:r>
      <w:r>
        <w:t xml:space="preserve">Palm Springs </w:t>
      </w:r>
      <w:r>
        <w:t>until May</w:t>
      </w:r>
      <w:r>
        <w:t> </w:t>
      </w:r>
      <w:r>
        <w:t xml:space="preserve">2014.  </w:t>
      </w:r>
      <w:r>
        <w:t>Thereafter</w:t>
      </w:r>
      <w:r>
        <w:t>,</w:t>
      </w:r>
      <w:r>
        <w:t xml:space="preserve"> Forever Marilyn was displayed at </w:t>
      </w:r>
      <w:r>
        <w:t xml:space="preserve">various </w:t>
      </w:r>
      <w:r>
        <w:t xml:space="preserve">other sites in the United States and abroad. </w:t>
      </w:r>
    </w:p>
    <w:p w14:paraId="454A2C65" w14:textId="77777777" w:rsidR="00924AA7" w:rsidRDefault="00021E22" w:rsidP="00AE3BE0">
      <w:r>
        <w:lastRenderedPageBreak/>
        <w:tab/>
      </w:r>
      <w:r>
        <w:t xml:space="preserve">In 2016, the Palm Springs City Council approved </w:t>
      </w:r>
      <w:r>
        <w:t>a p</w:t>
      </w:r>
      <w:r>
        <w:t xml:space="preserve">lan to </w:t>
      </w:r>
      <w:r>
        <w:t>install</w:t>
      </w:r>
      <w:r>
        <w:t xml:space="preserve"> Forever Marilyn in a </w:t>
      </w:r>
      <w:r>
        <w:t>new</w:t>
      </w:r>
      <w:r>
        <w:t xml:space="preserve"> </w:t>
      </w:r>
      <w:r>
        <w:t xml:space="preserve">public </w:t>
      </w:r>
      <w:r>
        <w:t>park in downtown Palm Springs.  The</w:t>
      </w:r>
      <w:r>
        <w:t xml:space="preserve"> park is shaped like a horizontal rectangle and it is </w:t>
      </w:r>
      <w:r>
        <w:t xml:space="preserve">bordered to the west by </w:t>
      </w:r>
      <w:r>
        <w:t>Museum Drive</w:t>
      </w:r>
      <w:r>
        <w:t>,</w:t>
      </w:r>
      <w:r>
        <w:t xml:space="preserve"> to the south by </w:t>
      </w:r>
      <w:r>
        <w:t>Museum Way</w:t>
      </w:r>
      <w:r>
        <w:t>,</w:t>
      </w:r>
      <w:r>
        <w:t xml:space="preserve"> </w:t>
      </w:r>
      <w:r>
        <w:t xml:space="preserve">and to the east by </w:t>
      </w:r>
      <w:r>
        <w:t>Belardo Wa</w:t>
      </w:r>
      <w:r>
        <w:t>y</w:t>
      </w:r>
      <w:r>
        <w:t xml:space="preserve">. </w:t>
      </w:r>
      <w:r>
        <w:t xml:space="preserve"> </w:t>
      </w:r>
      <w:r>
        <w:t xml:space="preserve">The Palm </w:t>
      </w:r>
      <w:r>
        <w:t>Springs Art Museum</w:t>
      </w:r>
      <w:r>
        <w:t xml:space="preserve"> </w:t>
      </w:r>
      <w:r>
        <w:t xml:space="preserve">is </w:t>
      </w:r>
      <w:r>
        <w:t>located</w:t>
      </w:r>
      <w:r>
        <w:t xml:space="preserve"> </w:t>
      </w:r>
      <w:r>
        <w:t xml:space="preserve">on the western side of Museum Drive </w:t>
      </w:r>
      <w:r>
        <w:t xml:space="preserve">at the intersection of Museum Drive and Museum Way. </w:t>
      </w:r>
    </w:p>
    <w:p w14:paraId="4995F48F" w14:textId="77777777" w:rsidR="00EB6854" w:rsidRDefault="00021E22" w:rsidP="00AE3BE0">
      <w:r>
        <w:tab/>
        <w:t xml:space="preserve">In </w:t>
      </w:r>
      <w:r>
        <w:t>October</w:t>
      </w:r>
      <w:r>
        <w:t xml:space="preserve"> 2020, PS Resorts </w:t>
      </w:r>
      <w:r>
        <w:t xml:space="preserve">requested approval from the City Council and other public officials to place </w:t>
      </w:r>
      <w:r>
        <w:t xml:space="preserve">Forever Marilyn </w:t>
      </w:r>
      <w:r>
        <w:t xml:space="preserve">directly </w:t>
      </w:r>
      <w:r>
        <w:t>on Mus</w:t>
      </w:r>
      <w:r>
        <w:t>eum Way</w:t>
      </w:r>
      <w:r>
        <w:t xml:space="preserve"> </w:t>
      </w:r>
      <w:r>
        <w:t>between</w:t>
      </w:r>
      <w:r>
        <w:t xml:space="preserve"> Museum Drive and Belardo Way</w:t>
      </w:r>
      <w:r>
        <w:t xml:space="preserve">, </w:t>
      </w:r>
      <w:r>
        <w:t xml:space="preserve">rather than placing </w:t>
      </w:r>
      <w:r>
        <w:t>it</w:t>
      </w:r>
      <w:r>
        <w:t xml:space="preserve"> in</w:t>
      </w:r>
      <w:r>
        <w:t xml:space="preserve"> the park</w:t>
      </w:r>
      <w:r>
        <w:t>.  PS Resorts</w:t>
      </w:r>
      <w:r>
        <w:t xml:space="preserve">’ proposal </w:t>
      </w:r>
      <w:r>
        <w:t xml:space="preserve">would </w:t>
      </w:r>
      <w:r>
        <w:t xml:space="preserve">transform </w:t>
      </w:r>
      <w:r>
        <w:t xml:space="preserve">Museum Way </w:t>
      </w:r>
      <w:r>
        <w:t>into</w:t>
      </w:r>
      <w:r>
        <w:t xml:space="preserve"> a </w:t>
      </w:r>
      <w:r>
        <w:t>vehicle-</w:t>
      </w:r>
      <w:r>
        <w:t>free, pedestrian-only “art walk”</w:t>
      </w:r>
      <w:r>
        <w:t xml:space="preserve"> leading </w:t>
      </w:r>
      <w:r>
        <w:t xml:space="preserve">from the intersection of Museum Way and Belardo Way </w:t>
      </w:r>
      <w:r>
        <w:t>to the entrance o</w:t>
      </w:r>
      <w:r>
        <w:t xml:space="preserve">f the </w:t>
      </w:r>
      <w:r>
        <w:t xml:space="preserve">Palm Springs </w:t>
      </w:r>
      <w:r>
        <w:t>Art Museum.</w:t>
      </w:r>
      <w:r>
        <w:t xml:space="preserve"> </w:t>
      </w:r>
      <w:r>
        <w:t xml:space="preserve"> PS</w:t>
      </w:r>
      <w:r>
        <w:t> </w:t>
      </w:r>
      <w:r>
        <w:t xml:space="preserve">Resorts </w:t>
      </w:r>
      <w:r>
        <w:t xml:space="preserve">believed Museum Way was </w:t>
      </w:r>
      <w:r>
        <w:t xml:space="preserve">a </w:t>
      </w:r>
      <w:r>
        <w:t>desirable</w:t>
      </w:r>
      <w:r>
        <w:t xml:space="preserve"> </w:t>
      </w:r>
      <w:r>
        <w:t>site</w:t>
      </w:r>
      <w:r>
        <w:t xml:space="preserve"> for Forever Marilyn because </w:t>
      </w:r>
      <w:r>
        <w:t>it</w:t>
      </w:r>
      <w:r>
        <w:t xml:space="preserve"> would provide the statue with a picturesque mountain backdrop and visibility </w:t>
      </w:r>
      <w:r>
        <w:t xml:space="preserve">from a major downtown thoroughfare. </w:t>
      </w:r>
    </w:p>
    <w:p w14:paraId="18D3F1EF" w14:textId="77777777" w:rsidR="009509BC" w:rsidRDefault="00021E22" w:rsidP="00AE3BE0">
      <w:r>
        <w:tab/>
      </w:r>
      <w:r>
        <w:t>City officials</w:t>
      </w:r>
      <w:r>
        <w:t xml:space="preserve"> prepared a </w:t>
      </w:r>
      <w:r>
        <w:t xml:space="preserve">staff report endorsing PS Resorts’ request. </w:t>
      </w:r>
      <w:r>
        <w:t xml:space="preserve"> </w:t>
      </w:r>
      <w:r>
        <w:t xml:space="preserve">The staff report agreed </w:t>
      </w:r>
      <w:r>
        <w:t xml:space="preserve">with PS Resorts </w:t>
      </w:r>
      <w:r>
        <w:t xml:space="preserve">that </w:t>
      </w:r>
      <w:r>
        <w:t>Forever Marilyn would have</w:t>
      </w:r>
      <w:r w:rsidRPr="001064E4">
        <w:t xml:space="preserve"> </w:t>
      </w:r>
      <w:r>
        <w:t>a scenic backdrop and high visibility if it were placed on Museum Way</w:t>
      </w:r>
      <w:r>
        <w:t xml:space="preserve">.  </w:t>
      </w:r>
      <w:r>
        <w:t>F</w:t>
      </w:r>
      <w:r>
        <w:t>urther</w:t>
      </w:r>
      <w:r>
        <w:t>, it</w:t>
      </w:r>
      <w:r>
        <w:t xml:space="preserve"> </w:t>
      </w:r>
      <w:r>
        <w:t>noted</w:t>
      </w:r>
      <w:r>
        <w:t xml:space="preserve"> that</w:t>
      </w:r>
      <w:r>
        <w:t xml:space="preserve"> </w:t>
      </w:r>
      <w:r>
        <w:t>pre-</w:t>
      </w:r>
      <w:r>
        <w:t>installed</w:t>
      </w:r>
      <w:r>
        <w:t xml:space="preserve"> </w:t>
      </w:r>
      <w:r>
        <w:t xml:space="preserve">bollards could be </w:t>
      </w:r>
      <w:r>
        <w:t>deployed on either end of Museum Way to</w:t>
      </w:r>
      <w:r>
        <w:t xml:space="preserve"> restrict </w:t>
      </w:r>
      <w:r>
        <w:t xml:space="preserve">vehicle access </w:t>
      </w:r>
      <w:r>
        <w:t xml:space="preserve">to the street </w:t>
      </w:r>
      <w:r>
        <w:t>and</w:t>
      </w:r>
      <w:r>
        <w:t xml:space="preserve"> ensure the safety of pedestrians </w:t>
      </w:r>
      <w:r>
        <w:t xml:space="preserve">who would </w:t>
      </w:r>
      <w:r>
        <w:t>queu</w:t>
      </w:r>
      <w:r>
        <w:t>e</w:t>
      </w:r>
      <w:r>
        <w:t xml:space="preserve"> up to </w:t>
      </w:r>
      <w:r>
        <w:t>view</w:t>
      </w:r>
      <w:r>
        <w:t xml:space="preserve"> or photograph the statue.  The </w:t>
      </w:r>
      <w:r>
        <w:t xml:space="preserve">staff </w:t>
      </w:r>
      <w:r>
        <w:t xml:space="preserve">report </w:t>
      </w:r>
      <w:r>
        <w:t xml:space="preserve">considered alternative locations for Forever Marilyn, </w:t>
      </w:r>
      <w:r>
        <w:t>including the do</w:t>
      </w:r>
      <w:r>
        <w:t xml:space="preserve">wntown park, </w:t>
      </w:r>
      <w:r>
        <w:t xml:space="preserve">but found them unsatisfactory for </w:t>
      </w:r>
      <w:r>
        <w:t>site-specific</w:t>
      </w:r>
      <w:r>
        <w:t xml:space="preserve"> </w:t>
      </w:r>
      <w:r>
        <w:t xml:space="preserve">reasons. </w:t>
      </w:r>
      <w:r>
        <w:t xml:space="preserve"> </w:t>
      </w:r>
      <w:r>
        <w:t xml:space="preserve">The staff report </w:t>
      </w:r>
      <w:r>
        <w:t>acknowledged</w:t>
      </w:r>
      <w:r>
        <w:t xml:space="preserve"> </w:t>
      </w:r>
      <w:r>
        <w:t xml:space="preserve">the placement </w:t>
      </w:r>
      <w:r>
        <w:t xml:space="preserve">of the statue </w:t>
      </w:r>
      <w:r>
        <w:t xml:space="preserve">on Museum Way </w:t>
      </w:r>
      <w:r>
        <w:t xml:space="preserve">could be considered a project </w:t>
      </w:r>
      <w:r>
        <w:t>for purposes of</w:t>
      </w:r>
      <w:r>
        <w:t xml:space="preserve"> CEQA.  </w:t>
      </w:r>
      <w:r>
        <w:t>However, it</w:t>
      </w:r>
      <w:r>
        <w:t xml:space="preserve"> stated</w:t>
      </w:r>
      <w:r>
        <w:t xml:space="preserve"> </w:t>
      </w:r>
      <w:r>
        <w:t xml:space="preserve">that City staff determined </w:t>
      </w:r>
      <w:r>
        <w:t xml:space="preserve">the placement </w:t>
      </w:r>
      <w:r>
        <w:t>w</w:t>
      </w:r>
      <w:r>
        <w:t xml:space="preserve">as categorically exempt from </w:t>
      </w:r>
      <w:r>
        <w:lastRenderedPageBreak/>
        <w:t>environmental review</w:t>
      </w:r>
      <w:r>
        <w:t xml:space="preserve"> under </w:t>
      </w:r>
      <w:r>
        <w:t xml:space="preserve">CEQA’s </w:t>
      </w:r>
      <w:r>
        <w:t>“</w:t>
      </w:r>
      <w:r>
        <w:t xml:space="preserve">Class 1” exemption for </w:t>
      </w:r>
      <w:r>
        <w:t>existing facilities (</w:t>
      </w:r>
      <w:bookmarkStart w:id="5" w:name="_Hlk123735077"/>
      <w:r>
        <w:t>Guidelines</w:t>
      </w:r>
      <w:r w:rsidRPr="001C29F6">
        <w:t>,</w:t>
      </w:r>
      <w:r>
        <w:rPr>
          <w:rStyle w:val="FootnoteReference"/>
        </w:rPr>
        <w:footnoteReference w:id="1"/>
      </w:r>
      <w:r w:rsidRPr="001C29F6">
        <w:t xml:space="preserve"> §</w:t>
      </w:r>
      <w:r>
        <w:t> </w:t>
      </w:r>
      <w:r w:rsidRPr="001C29F6">
        <w:t>15301</w:t>
      </w:r>
      <w:bookmarkEnd w:id="5"/>
      <w:r>
        <w:t>).</w:t>
      </w:r>
      <w:r>
        <w:t xml:space="preserve"> </w:t>
      </w:r>
    </w:p>
    <w:p w14:paraId="15F52B74" w14:textId="77777777" w:rsidR="00BA7A14" w:rsidRDefault="00021E22" w:rsidP="00AE3BE0">
      <w:r>
        <w:tab/>
        <w:t>M</w:t>
      </w:r>
      <w:r>
        <w:t xml:space="preserve">embers of the public </w:t>
      </w:r>
      <w:r>
        <w:t>submitted</w:t>
      </w:r>
      <w:r>
        <w:t xml:space="preserve"> </w:t>
      </w:r>
      <w:r>
        <w:t xml:space="preserve">dozens of </w:t>
      </w:r>
      <w:r>
        <w:t>written comments</w:t>
      </w:r>
      <w:r>
        <w:t xml:space="preserve"> </w:t>
      </w:r>
      <w:r>
        <w:t>both supporting and opposing</w:t>
      </w:r>
      <w:r>
        <w:t xml:space="preserve"> </w:t>
      </w:r>
      <w:r>
        <w:t xml:space="preserve">the </w:t>
      </w:r>
      <w:r>
        <w:t xml:space="preserve">statue’s </w:t>
      </w:r>
      <w:r>
        <w:t>proposed</w:t>
      </w:r>
      <w:r>
        <w:t xml:space="preserve"> </w:t>
      </w:r>
      <w:r>
        <w:t xml:space="preserve">placement on Museum Way.  </w:t>
      </w:r>
      <w:r>
        <w:t>Several</w:t>
      </w:r>
      <w:r>
        <w:t xml:space="preserve"> </w:t>
      </w:r>
      <w:r>
        <w:t xml:space="preserve">persons </w:t>
      </w:r>
      <w:r>
        <w:t>who opposed the placement on Museum Way</w:t>
      </w:r>
      <w:r>
        <w:t xml:space="preserve"> </w:t>
      </w:r>
      <w:r>
        <w:t xml:space="preserve">specifically </w:t>
      </w:r>
      <w:r>
        <w:t>disagreed with</w:t>
      </w:r>
      <w:r>
        <w:t xml:space="preserve"> the plan to close </w:t>
      </w:r>
      <w:r>
        <w:t xml:space="preserve">the street </w:t>
      </w:r>
      <w:r>
        <w:t>to vehicular traffic</w:t>
      </w:r>
      <w:r>
        <w:t xml:space="preserve">.  </w:t>
      </w:r>
      <w:r>
        <w:t>Some</w:t>
      </w:r>
      <w:r>
        <w:t xml:space="preserve"> members of the public</w:t>
      </w:r>
      <w:r>
        <w:t xml:space="preserve"> p</w:t>
      </w:r>
      <w:r>
        <w:t xml:space="preserve">redicted </w:t>
      </w:r>
      <w:r>
        <w:t>the street closure</w:t>
      </w:r>
      <w:r>
        <w:t xml:space="preserve"> would contribute to greater traffic co</w:t>
      </w:r>
      <w:r>
        <w:t>ngestion in the downtown</w:t>
      </w:r>
      <w:r>
        <w:t xml:space="preserve"> area</w:t>
      </w:r>
      <w:r>
        <w:t xml:space="preserve">. </w:t>
      </w:r>
    </w:p>
    <w:p w14:paraId="7990BB82" w14:textId="77777777" w:rsidR="00452AAF" w:rsidRDefault="00021E22" w:rsidP="00452AAF">
      <w:r>
        <w:tab/>
        <w:t xml:space="preserve">The City Council considered PS Resorts’ </w:t>
      </w:r>
      <w:r>
        <w:t>proposal</w:t>
      </w:r>
      <w:r>
        <w:t xml:space="preserve"> </w:t>
      </w:r>
      <w:r>
        <w:t xml:space="preserve">at a regular meeting </w:t>
      </w:r>
      <w:r>
        <w:t>on November 12, 2020</w:t>
      </w:r>
      <w:r>
        <w:t xml:space="preserve">. </w:t>
      </w:r>
      <w:r>
        <w:t xml:space="preserve"> By consensus</w:t>
      </w:r>
      <w:r>
        <w:t>, the City Council accepted the</w:t>
      </w:r>
      <w:r>
        <w:t xml:space="preserve"> staff report’s</w:t>
      </w:r>
      <w:r>
        <w:t xml:space="preserve"> recommendations.  </w:t>
      </w:r>
      <w:r>
        <w:t>T</w:t>
      </w:r>
      <w:r>
        <w:t>he</w:t>
      </w:r>
      <w:r>
        <w:t xml:space="preserve"> minutes from the </w:t>
      </w:r>
      <w:r>
        <w:t xml:space="preserve">regular </w:t>
      </w:r>
      <w:r>
        <w:t>meeting</w:t>
      </w:r>
      <w:r>
        <w:t xml:space="preserve"> state that</w:t>
      </w:r>
      <w:r>
        <w:t xml:space="preserve"> the C</w:t>
      </w:r>
      <w:r>
        <w:t>ity Council “</w:t>
      </w:r>
      <w:r w:rsidRPr="00112907">
        <w:t>provided direction to the City Manager as follows:</w:t>
      </w:r>
    </w:p>
    <w:p w14:paraId="4076572C" w14:textId="77777777" w:rsidR="00452AAF" w:rsidRDefault="00021E22" w:rsidP="00452AAF">
      <w:pPr>
        <w:spacing w:after="240" w:line="240" w:lineRule="auto"/>
        <w:ind w:left="720" w:hanging="446"/>
      </w:pPr>
      <w:r>
        <w:t>“a.</w:t>
      </w:r>
      <w:r>
        <w:tab/>
      </w:r>
      <w:r w:rsidRPr="00452AAF">
        <w:t>Placement of the Forever Marilyn sculpture created by the artist Seward Johnson within Museum Way between Museum Drive and Belardo Road adjacent to the Downtown Park.</w:t>
      </w:r>
    </w:p>
    <w:p w14:paraId="16FB1106" w14:textId="77777777" w:rsidR="00452AAF" w:rsidRDefault="00021E22" w:rsidP="00452AAF">
      <w:pPr>
        <w:spacing w:after="240" w:line="240" w:lineRule="auto"/>
        <w:ind w:left="720" w:hanging="446"/>
      </w:pPr>
      <w:r>
        <w:t>“b.</w:t>
      </w:r>
      <w:r>
        <w:tab/>
      </w:r>
      <w:r w:rsidRPr="00452AAF">
        <w:t xml:space="preserve">Authorization for the City Manager to execute a three-year License Agreement with PS Resorts in a form approved by the City Attorney authorizing the placement of the Forever Marilyn </w:t>
      </w:r>
      <w:r>
        <w:t xml:space="preserve">sculpture </w:t>
      </w:r>
      <w:r w:rsidRPr="00452AAF">
        <w:t>within Museum Way, with direction to include a termination claus</w:t>
      </w:r>
      <w:r w:rsidRPr="00452AAF">
        <w:t>e with sufficient notice to relocate the sculpture and periodic updates to the City Council regarding impacts to the Palm Springs Art museum and surrounding area.</w:t>
      </w:r>
    </w:p>
    <w:p w14:paraId="38C8C515" w14:textId="77777777" w:rsidR="00452AAF" w:rsidRDefault="00021E22" w:rsidP="00452AAF">
      <w:pPr>
        <w:spacing w:after="240" w:line="240" w:lineRule="auto"/>
        <w:ind w:left="720" w:hanging="446"/>
      </w:pPr>
      <w:r>
        <w:lastRenderedPageBreak/>
        <w:t>“c.</w:t>
      </w:r>
      <w:r>
        <w:tab/>
      </w:r>
      <w:r w:rsidRPr="00957ACC">
        <w:rPr>
          <w:i/>
          <w:iCs/>
        </w:rPr>
        <w:t xml:space="preserve">Authorization for the City Engineer to proceed with the process of vacating the public’s </w:t>
      </w:r>
      <w:r w:rsidRPr="00957ACC">
        <w:rPr>
          <w:i/>
          <w:iCs/>
        </w:rPr>
        <w:t>vehicular access rights</w:t>
      </w:r>
      <w:r w:rsidRPr="00452AAF">
        <w:t xml:space="preserve"> on a portion of Museum Way between Museum Drive and Belardo Road.</w:t>
      </w:r>
      <w:r>
        <w:t xml:space="preserve">” </w:t>
      </w:r>
      <w:r>
        <w:t xml:space="preserve"> (Italics added.)</w:t>
      </w:r>
    </w:p>
    <w:p w14:paraId="093D8F6C" w14:textId="77777777" w:rsidR="00494448" w:rsidRDefault="00021E22" w:rsidP="00AE3BE0">
      <w:r>
        <w:tab/>
      </w:r>
      <w:r>
        <w:t>Soon after</w:t>
      </w:r>
      <w:r>
        <w:t xml:space="preserve"> the City Council meeting</w:t>
      </w:r>
      <w:r>
        <w:t>, t</w:t>
      </w:r>
      <w:r>
        <w:t>he City and PS Resorts executed a three-year license agreement, effective December 2,</w:t>
      </w:r>
      <w:r>
        <w:t xml:space="preserve"> 2020,</w:t>
      </w:r>
      <w:r>
        <w:t xml:space="preserve"> permitt</w:t>
      </w:r>
      <w:r>
        <w:t>ing</w:t>
      </w:r>
      <w:r>
        <w:t xml:space="preserve"> PS Re</w:t>
      </w:r>
      <w:r>
        <w:t xml:space="preserve">sorts to install and </w:t>
      </w:r>
      <w:r>
        <w:t>display</w:t>
      </w:r>
      <w:r>
        <w:t xml:space="preserve"> Forever Marilyn on Museum Way between Museum Drive and Belardo Way.  </w:t>
      </w:r>
      <w:r>
        <w:t>T</w:t>
      </w:r>
      <w:r>
        <w:t xml:space="preserve">he City </w:t>
      </w:r>
      <w:r>
        <w:t xml:space="preserve">has </w:t>
      </w:r>
      <w:r>
        <w:t xml:space="preserve">a contractual </w:t>
      </w:r>
      <w:r>
        <w:t xml:space="preserve">right to terminate the agreement with cause in the event of an uncured breach, as well </w:t>
      </w:r>
      <w:r>
        <w:t xml:space="preserve">as </w:t>
      </w:r>
      <w:r>
        <w:t xml:space="preserve">a contractual </w:t>
      </w:r>
      <w:r>
        <w:t>right to terminate the agre</w:t>
      </w:r>
      <w:r>
        <w:t xml:space="preserve">ement </w:t>
      </w:r>
      <w:r>
        <w:t>for any reason with</w:t>
      </w:r>
      <w:r>
        <w:t xml:space="preserve"> a 365-day notice to PS Resorts</w:t>
      </w:r>
      <w:r>
        <w:t xml:space="preserve">.  </w:t>
      </w:r>
      <w:r>
        <w:t>The agreement</w:t>
      </w:r>
      <w:r>
        <w:t xml:space="preserve"> requires </w:t>
      </w:r>
      <w:r>
        <w:t xml:space="preserve">PS Resorts to remove the statue and restore the licensed </w:t>
      </w:r>
      <w:r>
        <w:t>area</w:t>
      </w:r>
      <w:r>
        <w:t xml:space="preserve"> to its original condition upon the termination or expiration of the agreement. </w:t>
      </w:r>
      <w:r>
        <w:t xml:space="preserve"> </w:t>
      </w:r>
      <w:r>
        <w:t>However</w:t>
      </w:r>
      <w:r>
        <w:t xml:space="preserve">, </w:t>
      </w:r>
      <w:r>
        <w:t xml:space="preserve">it </w:t>
      </w:r>
      <w:r>
        <w:t>states</w:t>
      </w:r>
      <w:r>
        <w:t xml:space="preserve"> </w:t>
      </w:r>
      <w:r>
        <w:t>the license m</w:t>
      </w:r>
      <w:r>
        <w:t>ay be extended</w:t>
      </w:r>
      <w:r>
        <w:t xml:space="preserve"> beyond the </w:t>
      </w:r>
      <w:r>
        <w:t xml:space="preserve">original </w:t>
      </w:r>
      <w:r>
        <w:t>three-year term</w:t>
      </w:r>
      <w:r>
        <w:t xml:space="preserve">. </w:t>
      </w:r>
    </w:p>
    <w:p w14:paraId="19B3DF14" w14:textId="77777777" w:rsidR="0002492A" w:rsidRDefault="00021E22" w:rsidP="00AE3BE0">
      <w:r>
        <w:tab/>
      </w:r>
      <w:r>
        <w:t xml:space="preserve">On December 29, 2020, the City filed </w:t>
      </w:r>
      <w:r>
        <w:t xml:space="preserve">with the county clerk </w:t>
      </w:r>
      <w:r>
        <w:t>a notice of exemption</w:t>
      </w:r>
      <w:r>
        <w:t xml:space="preserve">, </w:t>
      </w:r>
      <w:r>
        <w:t xml:space="preserve">indicating </w:t>
      </w:r>
      <w:r>
        <w:t xml:space="preserve">the project </w:t>
      </w:r>
      <w:r>
        <w:t xml:space="preserve">was </w:t>
      </w:r>
      <w:r>
        <w:t xml:space="preserve">categorically exempt from CEQA under the “existing facilities” exemption.  It identified PS Resorts as the project applicant and listed the project </w:t>
      </w:r>
      <w:r>
        <w:t xml:space="preserve">location </w:t>
      </w:r>
      <w:r>
        <w:t xml:space="preserve">as, “On Museum Way, between Belardo Road and Museum </w:t>
      </w:r>
      <w:r>
        <w:t>Drive</w:t>
      </w:r>
      <w:r>
        <w:t xml:space="preserve">.”  It </w:t>
      </w:r>
      <w:r>
        <w:t>stated,</w:t>
      </w:r>
      <w:r>
        <w:t xml:space="preserve"> “</w:t>
      </w:r>
      <w:r>
        <w:t>[t]</w:t>
      </w:r>
      <w:r>
        <w:t xml:space="preserve">he project consists of </w:t>
      </w:r>
      <w:r>
        <w:t xml:space="preserve">the placement of the ‘Forever Marilyn’ statue, which is a 26-foot tall sculpture, within an existing street, which requires the City to enter into a License Agreement with P.S. Resorts to authorize the placement [sic] the statue </w:t>
      </w:r>
      <w:r w:rsidRPr="008A629B">
        <w:rPr>
          <w:i/>
          <w:iCs/>
        </w:rPr>
        <w:t>and vacate the public’s veh</w:t>
      </w:r>
      <w:r w:rsidRPr="008A629B">
        <w:rPr>
          <w:i/>
          <w:iCs/>
        </w:rPr>
        <w:t>icular access rights on a portion of Museum Way</w:t>
      </w:r>
      <w:r>
        <w:t xml:space="preserve">.” </w:t>
      </w:r>
      <w:r>
        <w:t xml:space="preserve"> </w:t>
      </w:r>
      <w:r>
        <w:t xml:space="preserve">(Italics added.)  </w:t>
      </w:r>
      <w:r>
        <w:t xml:space="preserve">Further, it </w:t>
      </w:r>
      <w:r>
        <w:t>stated</w:t>
      </w:r>
      <w:r>
        <w:t xml:space="preserve"> the project was exempt for the following reasons:</w:t>
      </w:r>
      <w:r>
        <w:t xml:space="preserve"> </w:t>
      </w:r>
      <w:r>
        <w:t xml:space="preserve"> </w:t>
      </w:r>
      <w:r>
        <w:t>“In accordance with Section 15301 of the CEQA Guidelines, on 11/12/2020 the City Council deemed the project exempt as</w:t>
      </w:r>
      <w:r>
        <w:t xml:space="preserve"> a Class 1 project consisting of the operation, repair, maintenance, permitting, leasing, licensing, or minor alteration of existing public structures, involving </w:t>
      </w:r>
      <w:r>
        <w:lastRenderedPageBreak/>
        <w:t>negligible or no expansion of use beyond that existing at the time of the lead agency’s determ</w:t>
      </w:r>
      <w:r>
        <w:t xml:space="preserve">ination.” </w:t>
      </w:r>
    </w:p>
    <w:p w14:paraId="2481C8A0" w14:textId="77777777" w:rsidR="003F6A5B" w:rsidRDefault="00021E22" w:rsidP="00AE3BE0">
      <w:r>
        <w:tab/>
        <w:t xml:space="preserve">On January 27, 2021, the Committee sent a letter to the City Manager requesting clarification on whether the City still intended to </w:t>
      </w:r>
      <w:r>
        <w:t xml:space="preserve">close </w:t>
      </w:r>
      <w:r>
        <w:t xml:space="preserve">vehicular access to Museum Way through a street vacation process.  </w:t>
      </w:r>
      <w:r>
        <w:t>Nearly a month later, o</w:t>
      </w:r>
      <w:r>
        <w:t xml:space="preserve">n February </w:t>
      </w:r>
      <w:r>
        <w:t>24</w:t>
      </w:r>
      <w:r>
        <w:t xml:space="preserve">, </w:t>
      </w:r>
      <w:r>
        <w:t>2</w:t>
      </w:r>
      <w:r>
        <w:t xml:space="preserve">021, </w:t>
      </w:r>
      <w:r>
        <w:t>t</w:t>
      </w:r>
      <w:r>
        <w:t>h</w:t>
      </w:r>
      <w:r>
        <w:t xml:space="preserve">e City Attorney responded with a letter </w:t>
      </w:r>
      <w:r>
        <w:t>stating</w:t>
      </w:r>
      <w:r>
        <w:t xml:space="preserve"> the City planned to temporarily restrict vehicular access to Museum Way</w:t>
      </w:r>
      <w:r>
        <w:t xml:space="preserve">, </w:t>
      </w:r>
      <w:r>
        <w:t>rather than</w:t>
      </w:r>
      <w:r>
        <w:t xml:space="preserve"> vacat</w:t>
      </w:r>
      <w:r>
        <w:t>ing</w:t>
      </w:r>
      <w:r>
        <w:t xml:space="preserve"> </w:t>
      </w:r>
      <w:r>
        <w:t>the street</w:t>
      </w:r>
      <w:r>
        <w:t xml:space="preserve">.  </w:t>
      </w:r>
      <w:r>
        <w:t xml:space="preserve">He stated the City opted not to vacate </w:t>
      </w:r>
      <w:r>
        <w:t>the street</w:t>
      </w:r>
      <w:r>
        <w:t xml:space="preserve"> because it </w:t>
      </w:r>
      <w:r>
        <w:t xml:space="preserve">was unlikely the City could </w:t>
      </w:r>
      <w:r>
        <w:t xml:space="preserve">meet </w:t>
      </w:r>
      <w:r>
        <w:t xml:space="preserve">the statutory requirements </w:t>
      </w:r>
      <w:r>
        <w:t xml:space="preserve">necessary </w:t>
      </w:r>
      <w:r>
        <w:t xml:space="preserve">to do so.  </w:t>
      </w:r>
    </w:p>
    <w:p w14:paraId="21FA6B1B" w14:textId="77777777" w:rsidR="00716A62" w:rsidRDefault="00021E22" w:rsidP="00AE3BE0">
      <w:r>
        <w:tab/>
        <w:t xml:space="preserve">On March 22, </w:t>
      </w:r>
      <w:r>
        <w:t xml:space="preserve">2021, </w:t>
      </w:r>
      <w:r>
        <w:t>the City’s Development Services Director issued a determin</w:t>
      </w:r>
      <w:r>
        <w:t>ation</w:t>
      </w:r>
      <w:r>
        <w:t xml:space="preserve"> </w:t>
      </w:r>
      <w:r>
        <w:t xml:space="preserve">authorizing the temporary closure of Museum Way to vehicular traffic under </w:t>
      </w:r>
      <w:bookmarkStart w:id="10" w:name="dabmci_c6b130b9a02041c090dc33b2cd2395d4"/>
      <w:r>
        <w:t>Vehicle Code section</w:t>
      </w:r>
      <w:r>
        <w:t> </w:t>
      </w:r>
      <w:r>
        <w:t>21101</w:t>
      </w:r>
      <w:bookmarkEnd w:id="10"/>
      <w:r>
        <w:t>, subdivision</w:t>
      </w:r>
      <w:r>
        <w:t> </w:t>
      </w:r>
      <w:r>
        <w:t>(e),</w:t>
      </w:r>
      <w:r>
        <w:t xml:space="preserve"> and</w:t>
      </w:r>
      <w:r>
        <w:t xml:space="preserve"> Palm Springs Municipal Code section</w:t>
      </w:r>
      <w:r>
        <w:t> </w:t>
      </w:r>
      <w:r>
        <w:t xml:space="preserve">12.80.010. </w:t>
      </w:r>
      <w:r>
        <w:t xml:space="preserve"> </w:t>
      </w:r>
      <w:r>
        <w:t>It</w:t>
      </w:r>
      <w:r>
        <w:t xml:space="preserve"> </w:t>
      </w:r>
      <w:r>
        <w:t>approved</w:t>
      </w:r>
      <w:r>
        <w:t xml:space="preserve"> the closure of Museum Way “for no longer than the period for which the placement of Forever Marilyn is authorized pursuant to the temporary license agreement entered into between the City of Palm Springs and PS Resorts.”</w:t>
      </w:r>
      <w:r>
        <w:rPr>
          <w:rStyle w:val="FootnoteReference"/>
        </w:rPr>
        <w:footnoteReference w:id="2"/>
      </w:r>
      <w:r>
        <w:t xml:space="preserve"> </w:t>
      </w:r>
    </w:p>
    <w:p w14:paraId="1EEBC181" w14:textId="77777777" w:rsidR="0022484B" w:rsidRDefault="00021E22" w:rsidP="00D45377">
      <w:pPr>
        <w:pStyle w:val="Heading2"/>
        <w:keepNext/>
        <w:keepLines/>
      </w:pPr>
      <w:r>
        <w:t>Procedural Background</w:t>
      </w:r>
    </w:p>
    <w:p w14:paraId="556B2B68" w14:textId="77777777" w:rsidR="00FA02DD" w:rsidRPr="00716A62" w:rsidRDefault="00021E22" w:rsidP="00AE3BE0">
      <w:r>
        <w:tab/>
      </w:r>
      <w:r w:rsidRPr="00716A62">
        <w:t>On March</w:t>
      </w:r>
      <w:r w:rsidRPr="00716A62">
        <w:t xml:space="preserve"> 19</w:t>
      </w:r>
      <w:r w:rsidRPr="00716A62">
        <w:t>, 2021</w:t>
      </w:r>
      <w:r w:rsidRPr="00716A62">
        <w:t xml:space="preserve"> (three days before </w:t>
      </w:r>
      <w:r w:rsidRPr="00716A62">
        <w:t xml:space="preserve">the </w:t>
      </w:r>
      <w:r>
        <w:t>temporary street closure determination</w:t>
      </w:r>
      <w:r w:rsidRPr="00716A62">
        <w:t>)</w:t>
      </w:r>
      <w:r w:rsidRPr="00716A62">
        <w:t xml:space="preserve">, the </w:t>
      </w:r>
      <w:r>
        <w:t xml:space="preserve">Committee </w:t>
      </w:r>
      <w:r w:rsidRPr="00716A62">
        <w:t xml:space="preserve">filed a petition for writ of </w:t>
      </w:r>
      <w:r>
        <w:t xml:space="preserve">administrative </w:t>
      </w:r>
      <w:r w:rsidRPr="00716A62">
        <w:t xml:space="preserve">mandate </w:t>
      </w:r>
      <w:r>
        <w:t>naming the City as respondent and PS Resorts as real party in interest</w:t>
      </w:r>
      <w:r w:rsidRPr="00716A62">
        <w:t xml:space="preserve">.  </w:t>
      </w:r>
      <w:r>
        <w:t>It</w:t>
      </w:r>
      <w:r w:rsidRPr="00716A62">
        <w:t xml:space="preserve"> </w:t>
      </w:r>
      <w:r>
        <w:t>requested</w:t>
      </w:r>
      <w:r w:rsidRPr="00716A62">
        <w:t xml:space="preserve"> </w:t>
      </w:r>
      <w:r>
        <w:t>a</w:t>
      </w:r>
      <w:r w:rsidRPr="00716A62">
        <w:t xml:space="preserve"> peremptory writ of mandate </w:t>
      </w:r>
      <w:r>
        <w:t>r</w:t>
      </w:r>
      <w:r>
        <w:t>equiring</w:t>
      </w:r>
      <w:r w:rsidRPr="00716A62">
        <w:t xml:space="preserve"> the City to void </w:t>
      </w:r>
      <w:r>
        <w:t>its</w:t>
      </w:r>
      <w:r w:rsidRPr="00716A62">
        <w:t xml:space="preserve"> approval of Museum Way</w:t>
      </w:r>
      <w:r>
        <w:t>’s closure</w:t>
      </w:r>
      <w:r w:rsidRPr="00716A62">
        <w:t xml:space="preserve"> to vehicular </w:t>
      </w:r>
      <w:r>
        <w:t>traffic</w:t>
      </w:r>
      <w:r w:rsidRPr="00716A62">
        <w:t xml:space="preserve"> and </w:t>
      </w:r>
      <w:r>
        <w:t xml:space="preserve">an injunction prohibiting </w:t>
      </w:r>
      <w:r w:rsidRPr="00716A62">
        <w:t xml:space="preserve">the City from taking any </w:t>
      </w:r>
      <w:r>
        <w:t xml:space="preserve">further </w:t>
      </w:r>
      <w:r w:rsidRPr="00716A62">
        <w:t xml:space="preserve">action </w:t>
      </w:r>
      <w:r>
        <w:t>to</w:t>
      </w:r>
      <w:r w:rsidRPr="00716A62">
        <w:t xml:space="preserve"> install </w:t>
      </w:r>
      <w:r>
        <w:lastRenderedPageBreak/>
        <w:t>Forever Marilyn</w:t>
      </w:r>
      <w:r w:rsidRPr="00716A62">
        <w:t xml:space="preserve">.  </w:t>
      </w:r>
      <w:r>
        <w:t>It</w:t>
      </w:r>
      <w:r w:rsidRPr="00716A62">
        <w:t xml:space="preserve"> challenged the installation of Forever Marilyn on several grounds, but</w:t>
      </w:r>
      <w:r w:rsidRPr="00716A62">
        <w:t xml:space="preserve"> it did not assert a CEQA cause of action</w:t>
      </w:r>
      <w:r w:rsidRPr="00716A62">
        <w:t xml:space="preserve">. </w:t>
      </w:r>
    </w:p>
    <w:p w14:paraId="0B6D21CE" w14:textId="77777777" w:rsidR="00927520" w:rsidRPr="004F2012" w:rsidRDefault="00021E22" w:rsidP="00AE3BE0">
      <w:pPr>
        <w:rPr>
          <w:sz w:val="28"/>
          <w:szCs w:val="26"/>
        </w:rPr>
      </w:pPr>
      <w:r>
        <w:tab/>
      </w:r>
      <w:r>
        <w:t>Thereafter</w:t>
      </w:r>
      <w:r>
        <w:t>, the</w:t>
      </w:r>
      <w:r>
        <w:t xml:space="preserve"> </w:t>
      </w:r>
      <w:r>
        <w:t>Committee</w:t>
      </w:r>
      <w:r>
        <w:t xml:space="preserve"> applied</w:t>
      </w:r>
      <w:r>
        <w:t xml:space="preserve"> for a temporary restraining order </w:t>
      </w:r>
      <w:r>
        <w:t>to enjoin</w:t>
      </w:r>
      <w:r>
        <w:t xml:space="preserve"> the City from </w:t>
      </w:r>
      <w:r>
        <w:t>taking any</w:t>
      </w:r>
      <w:r>
        <w:t xml:space="preserve"> additional</w:t>
      </w:r>
      <w:r>
        <w:t xml:space="preserve"> actions to </w:t>
      </w:r>
      <w:r>
        <w:t xml:space="preserve">install Forever Marilyn.  The trial court </w:t>
      </w:r>
      <w:r>
        <w:t xml:space="preserve">initially </w:t>
      </w:r>
      <w:r>
        <w:t xml:space="preserve">issued </w:t>
      </w:r>
      <w:r>
        <w:t>the</w:t>
      </w:r>
      <w:r>
        <w:t xml:space="preserve"> temporary restraining order and ordered the City to show cause why a preliminary injunction should not be issued. </w:t>
      </w:r>
      <w:r>
        <w:t xml:space="preserve"> </w:t>
      </w:r>
      <w:r>
        <w:t>However, a</w:t>
      </w:r>
      <w:r>
        <w:t>fter the submission of further briefing, the court</w:t>
      </w:r>
      <w:r>
        <w:t xml:space="preserve"> </w:t>
      </w:r>
      <w:r>
        <w:t>denied the preliminary injunction and dissolved the temporary restraining order</w:t>
      </w:r>
      <w:r>
        <w:t>, thus allowing the installation of Forever Marilyn to proceed</w:t>
      </w:r>
      <w:r>
        <w:t xml:space="preserve">. </w:t>
      </w:r>
      <w:r>
        <w:t xml:space="preserve"> </w:t>
      </w:r>
      <w:r w:rsidRPr="00716A62">
        <w:t>Museum Way</w:t>
      </w:r>
      <w:r>
        <w:t xml:space="preserve"> was ultimately closed off to vehicular traffic and Forever Marilyn was installed on Museum Way, though it is not apparent from the </w:t>
      </w:r>
      <w:r>
        <w:t xml:space="preserve">appellate </w:t>
      </w:r>
      <w:r>
        <w:t xml:space="preserve">record </w:t>
      </w:r>
      <w:r>
        <w:t xml:space="preserve">exactly </w:t>
      </w:r>
      <w:r>
        <w:t>when these events occurr</w:t>
      </w:r>
      <w:r>
        <w:t xml:space="preserve">ed. </w:t>
      </w:r>
    </w:p>
    <w:p w14:paraId="74B69A53" w14:textId="77777777" w:rsidR="00FD5324" w:rsidRDefault="00021E22" w:rsidP="00AE3BE0">
      <w:r>
        <w:tab/>
        <w:t xml:space="preserve">On </w:t>
      </w:r>
      <w:bookmarkStart w:id="11" w:name="_Hlk121396002"/>
      <w:r>
        <w:t>April 22, 2021</w:t>
      </w:r>
      <w:bookmarkEnd w:id="11"/>
      <w:r>
        <w:t xml:space="preserve">, the </w:t>
      </w:r>
      <w:r>
        <w:t xml:space="preserve">Committee </w:t>
      </w:r>
      <w:r>
        <w:t>filed the operative first amended petition for writ of mandate</w:t>
      </w:r>
      <w:r>
        <w:t xml:space="preserve">. </w:t>
      </w:r>
      <w:r>
        <w:t xml:space="preserve"> The petition alleged </w:t>
      </w:r>
      <w:r>
        <w:t xml:space="preserve">the </w:t>
      </w:r>
      <w:r>
        <w:t xml:space="preserve">three-year </w:t>
      </w:r>
      <w:r>
        <w:t>closure of Museum Way</w:t>
      </w:r>
      <w:r>
        <w:t xml:space="preserve"> violate</w:t>
      </w:r>
      <w:r>
        <w:t>d</w:t>
      </w:r>
      <w:r>
        <w:t xml:space="preserve"> </w:t>
      </w:r>
      <w:bookmarkStart w:id="12" w:name="dabmci_b69c1b64585b4f6dba33ebd5d463e09a"/>
      <w:r>
        <w:t>Vehicle Code section</w:t>
      </w:r>
      <w:r>
        <w:t> </w:t>
      </w:r>
      <w:r>
        <w:t>21101</w:t>
      </w:r>
      <w:bookmarkEnd w:id="12"/>
      <w:r>
        <w:t>, subdivision (e),</w:t>
      </w:r>
      <w:r>
        <w:t xml:space="preserve"> and</w:t>
      </w:r>
      <w:r>
        <w:t xml:space="preserve"> Palm Springs Municipal Code section</w:t>
      </w:r>
      <w:r>
        <w:t> </w:t>
      </w:r>
      <w:r>
        <w:t>12.</w:t>
      </w:r>
      <w:r>
        <w:t xml:space="preserve">80.010, </w:t>
      </w:r>
      <w:r>
        <w:t xml:space="preserve">both of </w:t>
      </w:r>
      <w:r>
        <w:t xml:space="preserve">which permit </w:t>
      </w:r>
      <w:r>
        <w:t>local authorities</w:t>
      </w:r>
      <w:r>
        <w:t xml:space="preserve"> to close portions of streets </w:t>
      </w:r>
      <w:r>
        <w:t xml:space="preserve">temporarily </w:t>
      </w:r>
      <w:r>
        <w:t xml:space="preserve">and </w:t>
      </w:r>
      <w:r>
        <w:t xml:space="preserve">for specified purposes.  It alleged the </w:t>
      </w:r>
      <w:r>
        <w:t>City</w:t>
      </w:r>
      <w:r>
        <w:t xml:space="preserve"> violated</w:t>
      </w:r>
      <w:r>
        <w:t xml:space="preserve"> </w:t>
      </w:r>
      <w:r>
        <w:t xml:space="preserve">CEQA </w:t>
      </w:r>
      <w:r>
        <w:t xml:space="preserve">because </w:t>
      </w:r>
      <w:r>
        <w:t>the installation of</w:t>
      </w:r>
      <w:r w:rsidRPr="007536F5">
        <w:t xml:space="preserve"> </w:t>
      </w:r>
      <w:r>
        <w:t xml:space="preserve">Forever Marilyn and the closure of Museum Way could have </w:t>
      </w:r>
      <w:r>
        <w:t>adverse environme</w:t>
      </w:r>
      <w:r>
        <w:t xml:space="preserve">ntal </w:t>
      </w:r>
      <w:r>
        <w:t xml:space="preserve">impacts on </w:t>
      </w:r>
      <w:r>
        <w:t xml:space="preserve">traffic, </w:t>
      </w:r>
      <w:r>
        <w:t>aesthetics</w:t>
      </w:r>
      <w:r>
        <w:t>,</w:t>
      </w:r>
      <w:r>
        <w:t xml:space="preserve"> and</w:t>
      </w:r>
      <w:r>
        <w:t xml:space="preserve"> historical resources</w:t>
      </w:r>
      <w:r>
        <w:t xml:space="preserve">, yet the City did not conduct </w:t>
      </w:r>
      <w:r>
        <w:t>an</w:t>
      </w:r>
      <w:r>
        <w:t xml:space="preserve"> environmental review</w:t>
      </w:r>
      <w:r>
        <w:t xml:space="preserve"> for the project</w:t>
      </w:r>
      <w:r>
        <w:t>.</w:t>
      </w:r>
      <w:r>
        <w:rPr>
          <w:rStyle w:val="FootnoteReference"/>
        </w:rPr>
        <w:footnoteReference w:id="3"/>
      </w:r>
      <w:r>
        <w:t xml:space="preserve"> </w:t>
      </w:r>
      <w:r>
        <w:t xml:space="preserve"> Further</w:t>
      </w:r>
      <w:r>
        <w:t xml:space="preserve">, </w:t>
      </w:r>
      <w:r>
        <w:t>it</w:t>
      </w:r>
      <w:r>
        <w:t xml:space="preserve"> </w:t>
      </w:r>
      <w:r>
        <w:t xml:space="preserve">alleged </w:t>
      </w:r>
      <w:r>
        <w:t xml:space="preserve">causes of actions for declaratory relief, violations of the Government Code, and </w:t>
      </w:r>
      <w:r>
        <w:t>violations of the street vacation provisions of the Streets and Highway Code</w:t>
      </w:r>
      <w:r>
        <w:t xml:space="preserve">. </w:t>
      </w:r>
    </w:p>
    <w:p w14:paraId="1C4B4EBA" w14:textId="77777777" w:rsidR="00FD5324" w:rsidRDefault="00021E22" w:rsidP="00AE3BE0">
      <w:r>
        <w:lastRenderedPageBreak/>
        <w:tab/>
        <w:t xml:space="preserve">The City demurred to </w:t>
      </w:r>
      <w:r>
        <w:t xml:space="preserve">the Vehicle Code, Palm Springs Municipal Code, </w:t>
      </w:r>
      <w:r>
        <w:t xml:space="preserve">CEQA, and </w:t>
      </w:r>
      <w:r>
        <w:t>Streets and Highway Code</w:t>
      </w:r>
      <w:r>
        <w:t xml:space="preserve"> </w:t>
      </w:r>
      <w:r>
        <w:t>causes of action</w:t>
      </w:r>
      <w:r>
        <w:t>.</w:t>
      </w:r>
      <w:r>
        <w:t xml:space="preserve">  </w:t>
      </w:r>
      <w:r>
        <w:t>The City</w:t>
      </w:r>
      <w:r>
        <w:t xml:space="preserve"> argued the Vehicle Code and Municipal Code ca</w:t>
      </w:r>
      <w:r>
        <w:t xml:space="preserve">uses of action failed to state a claim because </w:t>
      </w:r>
      <w:r>
        <w:t>the closure of</w:t>
      </w:r>
      <w:r>
        <w:t xml:space="preserve"> </w:t>
      </w:r>
      <w:r>
        <w:t xml:space="preserve">Museum Way </w:t>
      </w:r>
      <w:r>
        <w:t xml:space="preserve">was not </w:t>
      </w:r>
      <w:r>
        <w:t xml:space="preserve">permanent </w:t>
      </w:r>
      <w:r>
        <w:t>and</w:t>
      </w:r>
      <w:r>
        <w:t xml:space="preserve"> </w:t>
      </w:r>
      <w:r>
        <w:t xml:space="preserve">the street </w:t>
      </w:r>
      <w:r>
        <w:t xml:space="preserve">was closed </w:t>
      </w:r>
      <w:r>
        <w:t>for a permissible purpose</w:t>
      </w:r>
      <w:r>
        <w:t xml:space="preserve">.  </w:t>
      </w:r>
      <w:r>
        <w:t xml:space="preserve">It </w:t>
      </w:r>
      <w:r>
        <w:t xml:space="preserve">claimed the CEQA cause of action was untimely because </w:t>
      </w:r>
      <w:r>
        <w:t xml:space="preserve">it was not </w:t>
      </w:r>
      <w:r>
        <w:t>asserted</w:t>
      </w:r>
      <w:r>
        <w:t xml:space="preserve"> within 35 days of </w:t>
      </w:r>
      <w:r>
        <w:t>December 29, 202</w:t>
      </w:r>
      <w:r>
        <w:t xml:space="preserve">0, when the </w:t>
      </w:r>
      <w:r>
        <w:t xml:space="preserve">City filed its </w:t>
      </w:r>
      <w:r>
        <w:t>notice of exemption</w:t>
      </w:r>
      <w:r>
        <w:t xml:space="preserve">. </w:t>
      </w:r>
      <w:r>
        <w:t xml:space="preserve"> And it </w:t>
      </w:r>
      <w:r>
        <w:t>contended</w:t>
      </w:r>
      <w:r>
        <w:t xml:space="preserve"> the Streets and Highway Code cause of action failed because street vacation procedures do not apply to temporary street closures</w:t>
      </w:r>
      <w:r>
        <w:t xml:space="preserve"> </w:t>
      </w:r>
      <w:r>
        <w:t>(</w:t>
      </w:r>
      <w:r>
        <w:t>like the closure of Museum Way</w:t>
      </w:r>
      <w:r>
        <w:t>)</w:t>
      </w:r>
      <w:r>
        <w:t xml:space="preserve">. </w:t>
      </w:r>
    </w:p>
    <w:p w14:paraId="1017F0B1" w14:textId="77777777" w:rsidR="00CA1F15" w:rsidRDefault="00021E22" w:rsidP="00AE3BE0">
      <w:r>
        <w:tab/>
      </w:r>
      <w:r>
        <w:t xml:space="preserve">The </w:t>
      </w:r>
      <w:r>
        <w:t xml:space="preserve">Committee </w:t>
      </w:r>
      <w:r>
        <w:t xml:space="preserve">opposed </w:t>
      </w:r>
      <w:r>
        <w:t>the City’s demurrer.  It argued the demurrer to the Vehicle Code</w:t>
      </w:r>
      <w:r>
        <w:t xml:space="preserve"> and </w:t>
      </w:r>
      <w:r>
        <w:t>Palm Springs Municipal Code</w:t>
      </w:r>
      <w:r>
        <w:t xml:space="preserve"> </w:t>
      </w:r>
      <w:r>
        <w:t xml:space="preserve">causes of action should be overruled because </w:t>
      </w:r>
      <w:r>
        <w:t xml:space="preserve">the </w:t>
      </w:r>
      <w:r>
        <w:t>closure</w:t>
      </w:r>
      <w:r>
        <w:t xml:space="preserve"> of Museum Way was </w:t>
      </w:r>
      <w:r>
        <w:t>long-term</w:t>
      </w:r>
      <w:r>
        <w:t>—</w:t>
      </w:r>
      <w:r>
        <w:t>not temporary</w:t>
      </w:r>
      <w:r>
        <w:t>—</w:t>
      </w:r>
      <w:r>
        <w:t>and the</w:t>
      </w:r>
      <w:r>
        <w:t xml:space="preserve"> installation of </w:t>
      </w:r>
      <w:r>
        <w:t>Forever Marilyn</w:t>
      </w:r>
      <w:r>
        <w:t xml:space="preserve"> was inconsistent wit</w:t>
      </w:r>
      <w:r>
        <w:t xml:space="preserve">h the types of </w:t>
      </w:r>
      <w:r>
        <w:t xml:space="preserve">statutorily-enumerated </w:t>
      </w:r>
      <w:r>
        <w:t xml:space="preserve">events warranting a temporary street closure.  </w:t>
      </w:r>
      <w:r>
        <w:t>T</w:t>
      </w:r>
      <w:r>
        <w:t>he</w:t>
      </w:r>
      <w:r>
        <w:t xml:space="preserve"> </w:t>
      </w:r>
      <w:r>
        <w:t xml:space="preserve">Committee </w:t>
      </w:r>
      <w:r>
        <w:t xml:space="preserve">asserted its </w:t>
      </w:r>
      <w:r>
        <w:t xml:space="preserve">CEQA </w:t>
      </w:r>
      <w:r>
        <w:t xml:space="preserve">claim was timely because </w:t>
      </w:r>
      <w:r>
        <w:t xml:space="preserve">the </w:t>
      </w:r>
      <w:r>
        <w:t xml:space="preserve">City changed the </w:t>
      </w:r>
      <w:r>
        <w:t xml:space="preserve">scope of the </w:t>
      </w:r>
      <w:r>
        <w:t xml:space="preserve">project </w:t>
      </w:r>
      <w:r>
        <w:t xml:space="preserve">after </w:t>
      </w:r>
      <w:r>
        <w:t xml:space="preserve">it filed the </w:t>
      </w:r>
      <w:r>
        <w:t>notice of exemption.  According to the Committee, the</w:t>
      </w:r>
      <w:r>
        <w:t xml:space="preserve"> City changed the project </w:t>
      </w:r>
      <w:r>
        <w:t>because</w:t>
      </w:r>
      <w:r>
        <w:t xml:space="preserve"> it</w:t>
      </w:r>
      <w:r>
        <w:t xml:space="preserve"> </w:t>
      </w:r>
      <w:r>
        <w:t xml:space="preserve">ultimately </w:t>
      </w:r>
      <w:r>
        <w:t>authoriz</w:t>
      </w:r>
      <w:r>
        <w:t>ed</w:t>
      </w:r>
      <w:r>
        <w:t xml:space="preserve"> a temporary street closure instead of a street vacation.  Because the project changed, the Committee asserted </w:t>
      </w:r>
      <w:r>
        <w:t>that a</w:t>
      </w:r>
      <w:r>
        <w:t xml:space="preserve"> default 180-day statute of limitations applied</w:t>
      </w:r>
      <w:r>
        <w:t xml:space="preserve"> </w:t>
      </w:r>
      <w:r>
        <w:t>and began running on March 22, 20</w:t>
      </w:r>
      <w:r>
        <w:t xml:space="preserve">21, when the </w:t>
      </w:r>
      <w:r>
        <w:t>City</w:t>
      </w:r>
      <w:r>
        <w:t xml:space="preserve"> </w:t>
      </w:r>
      <w:r>
        <w:t xml:space="preserve">first </w:t>
      </w:r>
      <w:r>
        <w:t>authorized the temporary street closure.</w:t>
      </w:r>
      <w:r w:rsidRPr="00400A1A">
        <w:t xml:space="preserve"> </w:t>
      </w:r>
      <w:r>
        <w:t xml:space="preserve"> The Committee asserted its CEQA cause of action was timely because it was filed within the 180-day period statute of limitations. </w:t>
      </w:r>
      <w:r>
        <w:t xml:space="preserve"> </w:t>
      </w:r>
      <w:r>
        <w:t>As for the Streets and Highway cause of action, the Committ</w:t>
      </w:r>
      <w:r>
        <w:t xml:space="preserve">ee </w:t>
      </w:r>
      <w:r>
        <w:t>repeated its</w:t>
      </w:r>
      <w:r>
        <w:t xml:space="preserve"> </w:t>
      </w:r>
      <w:r>
        <w:t>contention</w:t>
      </w:r>
      <w:r>
        <w:t xml:space="preserve"> that the City </w:t>
      </w:r>
      <w:r>
        <w:t>failed to</w:t>
      </w:r>
      <w:r>
        <w:t xml:space="preserve"> comply with the requirements necessary for street vacation.  </w:t>
      </w:r>
    </w:p>
    <w:p w14:paraId="017975D8" w14:textId="77777777" w:rsidR="00D45377" w:rsidRDefault="00021E22" w:rsidP="00AE3BE0">
      <w:r>
        <w:tab/>
      </w:r>
      <w:r>
        <w:t xml:space="preserve">The trial court sustained the demurrer without leave to amend.  Thereafter, the Committee requested dismissal of its </w:t>
      </w:r>
      <w:r>
        <w:t>still-</w:t>
      </w:r>
      <w:r>
        <w:t xml:space="preserve">pending </w:t>
      </w:r>
      <w:r>
        <w:lastRenderedPageBreak/>
        <w:t>declaratory</w:t>
      </w:r>
      <w:r>
        <w:t xml:space="preserve"> relief and Government Code causes</w:t>
      </w:r>
      <w:r>
        <w:t xml:space="preserve"> of action</w:t>
      </w:r>
      <w:r>
        <w:t>,</w:t>
      </w:r>
      <w:r>
        <w:t xml:space="preserve"> and the </w:t>
      </w:r>
      <w:r>
        <w:t xml:space="preserve">trial </w:t>
      </w:r>
      <w:r>
        <w:t xml:space="preserve">court entered </w:t>
      </w:r>
      <w:r>
        <w:t xml:space="preserve">a </w:t>
      </w:r>
      <w:r>
        <w:t xml:space="preserve">judgment </w:t>
      </w:r>
      <w:r>
        <w:t>of dismissal</w:t>
      </w:r>
      <w:r>
        <w:t xml:space="preserve"> for the City</w:t>
      </w:r>
      <w:r>
        <w:t xml:space="preserve">. </w:t>
      </w:r>
    </w:p>
    <w:p w14:paraId="2BAA9425" w14:textId="77777777" w:rsidR="007354EC" w:rsidRDefault="00021E22" w:rsidP="007354EC">
      <w:pPr>
        <w:pStyle w:val="ListParagraph"/>
        <w:keepNext/>
        <w:keepLines/>
        <w:numPr>
          <w:ilvl w:val="0"/>
          <w:numId w:val="1"/>
        </w:numPr>
        <w:jc w:val="center"/>
      </w:pPr>
    </w:p>
    <w:p w14:paraId="4A021D84" w14:textId="77777777" w:rsidR="007354EC" w:rsidRDefault="00021E22" w:rsidP="007354EC">
      <w:pPr>
        <w:pStyle w:val="Heading1"/>
      </w:pPr>
      <w:r>
        <w:t>DISCUSSION</w:t>
      </w:r>
    </w:p>
    <w:p w14:paraId="4E3340A2" w14:textId="77777777" w:rsidR="007354EC" w:rsidRPr="007354EC" w:rsidRDefault="00021E22" w:rsidP="00AA1A2D">
      <w:pPr>
        <w:pStyle w:val="Heading2"/>
        <w:keepNext/>
        <w:keepLines/>
        <w:numPr>
          <w:ilvl w:val="0"/>
          <w:numId w:val="6"/>
        </w:numPr>
      </w:pPr>
      <w:r>
        <w:t>Standard of Review</w:t>
      </w:r>
    </w:p>
    <w:p w14:paraId="1F4369C2" w14:textId="77777777" w:rsidR="007354EC" w:rsidRDefault="00021E22" w:rsidP="00AE3BE0">
      <w:r>
        <w:tab/>
      </w:r>
      <w:r w:rsidRPr="00134A1C">
        <w:t>“</w:t>
      </w:r>
      <w:r>
        <w:t> ‘</w:t>
      </w:r>
      <w:r w:rsidRPr="00134A1C">
        <w:t xml:space="preserve">In reviewing an order sustaining a demurrer, we examine the operative complaint de novo to </w:t>
      </w:r>
      <w:r w:rsidRPr="00134A1C">
        <w:t>determine whether it alleges facts sufficient to state a cause of action under any legal theory.</w:t>
      </w:r>
      <w:r>
        <w:t>’</w:t>
      </w:r>
      <w:r w:rsidRPr="00134A1C">
        <w:t xml:space="preserve"> </w:t>
      </w:r>
      <w:r>
        <w:t xml:space="preserve"> [Citation.]</w:t>
      </w:r>
      <w:r w:rsidRPr="00134A1C">
        <w:t xml:space="preserve">  ‘</w:t>
      </w:r>
      <w:r>
        <w:t> “</w:t>
      </w:r>
      <w:r w:rsidRPr="00134A1C">
        <w:t>We treat the demurrer as admitting all material facts properly pleaded.</w:t>
      </w:r>
      <w:r>
        <w:t>” ’</w:t>
      </w:r>
      <w:r w:rsidRPr="00134A1C">
        <w:t xml:space="preserve"> </w:t>
      </w:r>
      <w:r>
        <w:t xml:space="preserve"> [Citation.]</w:t>
      </w:r>
      <w:r w:rsidRPr="00134A1C">
        <w:t xml:space="preserve"> </w:t>
      </w:r>
      <w:r>
        <w:t xml:space="preserve"> </w:t>
      </w:r>
      <w:r w:rsidRPr="00134A1C">
        <w:t xml:space="preserve">We </w:t>
      </w:r>
      <w:r>
        <w:t>‘</w:t>
      </w:r>
      <w:r w:rsidRPr="00134A1C">
        <w:t>accept as true not only those facts alleged in t</w:t>
      </w:r>
      <w:r w:rsidRPr="00134A1C">
        <w:t>he complaint but also facts that may be implied or inferred from those expressly alleged.</w:t>
      </w:r>
      <w:r>
        <w:t>’</w:t>
      </w:r>
      <w:r w:rsidRPr="00134A1C">
        <w:t xml:space="preserve"> </w:t>
      </w:r>
      <w:r>
        <w:t xml:space="preserve"> [Citation.]</w:t>
      </w:r>
      <w:r w:rsidRPr="00134A1C">
        <w:t xml:space="preserve"> </w:t>
      </w:r>
      <w:r>
        <w:t xml:space="preserve"> ‘</w:t>
      </w:r>
      <w:r w:rsidRPr="00134A1C">
        <w:t>We do not, however, assume the truth of contentions, deductions, or conclusions of fact or law.</w:t>
      </w:r>
      <w:r>
        <w:t>’ ”  (</w:t>
      </w:r>
      <w:bookmarkStart w:id="13" w:name="dabmci_d0f12f9ecf8b492eb2a3c8509b45dcd7"/>
      <w:r w:rsidRPr="00A23592">
        <w:rPr>
          <w:i/>
          <w:iCs/>
        </w:rPr>
        <w:t>Munoz v. Patel</w:t>
      </w:r>
      <w:r>
        <w:t xml:space="preserve"> (2022) </w:t>
      </w:r>
      <w:r w:rsidRPr="00A23592">
        <w:t>81 Cal.App.5th 761</w:t>
      </w:r>
      <w:r>
        <w:t>, 771</w:t>
      </w:r>
      <w:bookmarkEnd w:id="13"/>
      <w:r>
        <w:t xml:space="preserve"> (</w:t>
      </w:r>
      <w:r w:rsidRPr="00A23592">
        <w:rPr>
          <w:i/>
          <w:iCs/>
        </w:rPr>
        <w:t>Mu</w:t>
      </w:r>
      <w:r w:rsidRPr="00A23592">
        <w:rPr>
          <w:i/>
          <w:iCs/>
        </w:rPr>
        <w:t>noz</w:t>
      </w:r>
      <w:r>
        <w:t>).)  “ </w:t>
      </w:r>
      <w:r w:rsidRPr="00A23592">
        <w:t>‘</w:t>
      </w:r>
      <w:r>
        <w:t> </w:t>
      </w:r>
      <w:r w:rsidRPr="00A23592">
        <w:t>“</w:t>
      </w:r>
      <w:r>
        <w:t> ‘</w:t>
      </w:r>
      <w:r w:rsidRPr="00A23592">
        <w:t>[A] demurrer based on an affirmative defense will be sustained only where the face of the complaint discloses that the action is necessarily barred by the defense.</w:t>
      </w:r>
      <w:r>
        <w:t>’ </w:t>
      </w:r>
      <w:r w:rsidRPr="00A23592">
        <w:t>”</w:t>
      </w:r>
      <w:r>
        <w:t> </w:t>
      </w:r>
      <w:r w:rsidRPr="00A23592">
        <w:t>’</w:t>
      </w:r>
      <w:r>
        <w:t> </w:t>
      </w:r>
      <w:r w:rsidRPr="00A23592">
        <w:t>”</w:t>
      </w:r>
      <w:r>
        <w:t xml:space="preserve">  (</w:t>
      </w:r>
      <w:bookmarkStart w:id="14" w:name="dabmci_9e0eea2a86034f5d9076035f28e3e4c9"/>
      <w:r w:rsidRPr="00A23592">
        <w:rPr>
          <w:i/>
          <w:iCs/>
        </w:rPr>
        <w:t>Silva v. Langford</w:t>
      </w:r>
      <w:r>
        <w:t xml:space="preserve"> (2022) 79 Cal.App.5th 710, 716</w:t>
      </w:r>
      <w:bookmarkEnd w:id="14"/>
      <w:r>
        <w:t>.)</w:t>
      </w:r>
    </w:p>
    <w:p w14:paraId="783D0852" w14:textId="77777777" w:rsidR="00A23592" w:rsidRDefault="00021E22" w:rsidP="00AE3BE0">
      <w:r>
        <w:tab/>
      </w:r>
      <w:r w:rsidRPr="00A23592">
        <w:t>“</w:t>
      </w:r>
      <w:r>
        <w:t> ‘</w:t>
      </w:r>
      <w:r w:rsidRPr="00A23592">
        <w:t>In considerin</w:t>
      </w:r>
      <w:r w:rsidRPr="00A23592">
        <w:t>g a trial court</w:t>
      </w:r>
      <w:r>
        <w:t>’</w:t>
      </w:r>
      <w:r w:rsidRPr="00A23592">
        <w:t>s order sustaining a demurrer without leave to amend, “</w:t>
      </w:r>
      <w:r>
        <w:t> ‘</w:t>
      </w:r>
      <w:r w:rsidRPr="00A23592">
        <w:t>we review the trial court</w:t>
      </w:r>
      <w:r>
        <w:t>’</w:t>
      </w:r>
      <w:r w:rsidRPr="00A23592">
        <w:t>s result for error, and not its legal reasoning.</w:t>
      </w:r>
      <w:r>
        <w:t>’ </w:t>
      </w:r>
      <w:r w:rsidRPr="00A23592">
        <w:t>”</w:t>
      </w:r>
      <w:r>
        <w:t> </w:t>
      </w:r>
      <w:r w:rsidRPr="00A23592">
        <w:t xml:space="preserve">’  </w:t>
      </w:r>
      <w:r>
        <w:t>[Citation.]</w:t>
      </w:r>
      <w:r w:rsidRPr="00A23592">
        <w:t xml:space="preserve"> </w:t>
      </w:r>
      <w:r>
        <w:t xml:space="preserve"> </w:t>
      </w:r>
      <w:r w:rsidRPr="00A23592">
        <w:t>We ‘</w:t>
      </w:r>
      <w:r>
        <w:t> “</w:t>
      </w:r>
      <w:r w:rsidRPr="00A23592">
        <w:t>affirm the judgment if it is correct on any theory.</w:t>
      </w:r>
      <w:r>
        <w:t>” </w:t>
      </w:r>
      <w:r w:rsidRPr="00A23592">
        <w:t xml:space="preserve">’  </w:t>
      </w:r>
      <w:r>
        <w:t>[Citation.]</w:t>
      </w:r>
      <w:r w:rsidRPr="00A23592">
        <w:t xml:space="preserve"> </w:t>
      </w:r>
      <w:r>
        <w:t xml:space="preserve"> ‘</w:t>
      </w:r>
      <w:r w:rsidRPr="00A23592">
        <w:t xml:space="preserve">And when [a </w:t>
      </w:r>
      <w:r w:rsidRPr="00A23592">
        <w:t>demurrer] is sustained without leave to amend, we decide whether there is a reasonable possibility that the defect can be cured by amendment:</w:t>
      </w:r>
      <w:r>
        <w:t xml:space="preserve"> </w:t>
      </w:r>
      <w:r w:rsidRPr="00A23592">
        <w:t xml:space="preserve"> if it can be, the trial court has abused its discretion and we reverse; if not, there has been no abuse of discre</w:t>
      </w:r>
      <w:r w:rsidRPr="00A23592">
        <w:t>tion and we affirm.</w:t>
      </w:r>
      <w:r>
        <w:t>’</w:t>
      </w:r>
      <w:r w:rsidRPr="00A23592">
        <w:t xml:space="preserve"> </w:t>
      </w:r>
      <w:r>
        <w:t xml:space="preserve"> </w:t>
      </w:r>
      <w:r>
        <w:t>[Citation.]</w:t>
      </w:r>
      <w:r w:rsidRPr="00A23592">
        <w:t xml:space="preserve"> </w:t>
      </w:r>
      <w:r>
        <w:t xml:space="preserve"> ‘</w:t>
      </w:r>
      <w:r w:rsidRPr="00A23592">
        <w:t>The burden of proving such reasonable possibility is squarely on the plaintiff.</w:t>
      </w:r>
      <w:r>
        <w:t>’ </w:t>
      </w:r>
      <w:r w:rsidRPr="00A23592">
        <w:t xml:space="preserve">” </w:t>
      </w:r>
      <w:r>
        <w:t xml:space="preserve"> </w:t>
      </w:r>
      <w:r w:rsidRPr="00A23592">
        <w:t>(</w:t>
      </w:r>
      <w:bookmarkStart w:id="15" w:name="dabmci_d9966ee42982423ab4387dd34bb8435f"/>
      <w:r w:rsidRPr="00A23592">
        <w:rPr>
          <w:i/>
          <w:iCs/>
        </w:rPr>
        <w:t>Munoz, supra</w:t>
      </w:r>
      <w:r>
        <w:t xml:space="preserve">, </w:t>
      </w:r>
      <w:r w:rsidRPr="00A23592">
        <w:t>81 Cal.App.5th</w:t>
      </w:r>
      <w:r>
        <w:t xml:space="preserve"> at p.</w:t>
      </w:r>
      <w:r>
        <w:t> </w:t>
      </w:r>
      <w:r>
        <w:t>771</w:t>
      </w:r>
      <w:bookmarkEnd w:id="15"/>
      <w:r>
        <w:t xml:space="preserve">.) </w:t>
      </w:r>
    </w:p>
    <w:p w14:paraId="5875319E" w14:textId="77777777" w:rsidR="007354EC" w:rsidRPr="007354EC" w:rsidRDefault="00021E22" w:rsidP="00F56B33">
      <w:pPr>
        <w:pStyle w:val="Heading2"/>
        <w:keepNext/>
        <w:keepLines/>
        <w:spacing w:before="120" w:after="240" w:line="240" w:lineRule="auto"/>
      </w:pPr>
      <w:r>
        <w:lastRenderedPageBreak/>
        <w:t xml:space="preserve">The </w:t>
      </w:r>
      <w:r>
        <w:t xml:space="preserve">Trial Court Erred in Sustaining the Demurrer to the </w:t>
      </w:r>
      <w:r>
        <w:t>Vehicle Code and the Palm Springs Municipal Code</w:t>
      </w:r>
      <w:r>
        <w:t xml:space="preserve"> </w:t>
      </w:r>
      <w:r>
        <w:t>Causes of Action</w:t>
      </w:r>
    </w:p>
    <w:p w14:paraId="22FD4FBE" w14:textId="77777777" w:rsidR="007354EC" w:rsidRDefault="00021E22" w:rsidP="00AE3BE0">
      <w:r>
        <w:tab/>
      </w:r>
      <w:r>
        <w:t>T</w:t>
      </w:r>
      <w:r>
        <w:t xml:space="preserve">his </w:t>
      </w:r>
      <w:r>
        <w:t>appeal</w:t>
      </w:r>
      <w:r>
        <w:t xml:space="preserve"> </w:t>
      </w:r>
      <w:r>
        <w:t xml:space="preserve">requires us to decide </w:t>
      </w:r>
      <w:r>
        <w:t xml:space="preserve">whether the City acted in excess of its authority </w:t>
      </w:r>
      <w:r>
        <w:t>under the Vehicle Code and the Palm Springs Municipal</w:t>
      </w:r>
      <w:r>
        <w:t xml:space="preserve"> Code </w:t>
      </w:r>
      <w:r>
        <w:t>when</w:t>
      </w:r>
      <w:r>
        <w:t>, as alleged by the Committee,</w:t>
      </w:r>
      <w:r>
        <w:t xml:space="preserve"> </w:t>
      </w:r>
      <w:r>
        <w:t>it</w:t>
      </w:r>
      <w:r>
        <w:t xml:space="preserve"> closed </w:t>
      </w:r>
      <w:r>
        <w:t xml:space="preserve">off </w:t>
      </w:r>
      <w:r>
        <w:t xml:space="preserve">one of its public streets to vehicular </w:t>
      </w:r>
      <w:r>
        <w:t xml:space="preserve">traffic for three years </w:t>
      </w:r>
      <w:r>
        <w:t xml:space="preserve">to allow for the installation and </w:t>
      </w:r>
      <w:r>
        <w:t>exhibition</w:t>
      </w:r>
      <w:r>
        <w:t xml:space="preserve"> of </w:t>
      </w:r>
      <w:r>
        <w:t>Forever Marilyn</w:t>
      </w:r>
      <w:r>
        <w:t xml:space="preserve"> in the street</w:t>
      </w:r>
      <w:r>
        <w:t>.</w:t>
      </w:r>
      <w:r>
        <w:t xml:space="preserve">  Accepting the Committee’s allegations as true for purposes</w:t>
      </w:r>
      <w:r>
        <w:t xml:space="preserve"> of this </w:t>
      </w:r>
      <w:r>
        <w:t>appeal</w:t>
      </w:r>
      <w:r>
        <w:t>, we conclude the City exceeded its</w:t>
      </w:r>
      <w:r>
        <w:t xml:space="preserve"> </w:t>
      </w:r>
      <w:r>
        <w:t>authority.</w:t>
      </w:r>
    </w:p>
    <w:p w14:paraId="6AE90197" w14:textId="77777777" w:rsidR="00C455EF" w:rsidRPr="007122E0" w:rsidRDefault="00021E22" w:rsidP="007122E0">
      <w:pPr>
        <w:pStyle w:val="Heading3"/>
      </w:pPr>
      <w:r w:rsidRPr="007122E0">
        <w:t>Statutory Framework</w:t>
      </w:r>
    </w:p>
    <w:p w14:paraId="07EEE855" w14:textId="77777777" w:rsidR="00EA3DA5" w:rsidRDefault="00021E22" w:rsidP="00AE3BE0">
      <w:r>
        <w:tab/>
      </w:r>
      <w:r>
        <w:t>“ </w:t>
      </w:r>
      <w:r w:rsidRPr="00AD313D">
        <w:t>The streets of a city belong to the people of the state, and every citizen of the state has a right to the use thereof, subject to legislative control ...</w:t>
      </w:r>
      <w:r>
        <w:t xml:space="preserve">. </w:t>
      </w:r>
      <w:r w:rsidRPr="00AD313D">
        <w:t xml:space="preserve"> The right of c</w:t>
      </w:r>
      <w:r w:rsidRPr="00AD313D">
        <w:t>ontrol over street traffic is an exercise of a part of the sovereign power of the state ...</w:t>
      </w:r>
      <w:r>
        <w:t>.</w:t>
      </w:r>
      <w:r>
        <w:t>’ ”  (</w:t>
      </w:r>
      <w:bookmarkStart w:id="16" w:name="dabmci_38c8d8d5106b4ff982a9bfbe2420fd2b"/>
      <w:r w:rsidRPr="00AD313D">
        <w:rPr>
          <w:i/>
          <w:iCs/>
        </w:rPr>
        <w:t>Rumford v. City of Berkeley</w:t>
      </w:r>
      <w:r>
        <w:t xml:space="preserve"> (1982) 31 Cal.3d 545, 549</w:t>
      </w:r>
      <w:bookmarkEnd w:id="16"/>
      <w:r>
        <w:t xml:space="preserve"> (</w:t>
      </w:r>
      <w:r w:rsidRPr="00AD313D">
        <w:rPr>
          <w:i/>
          <w:iCs/>
        </w:rPr>
        <w:t>Rumford</w:t>
      </w:r>
      <w:r>
        <w:t>)</w:t>
      </w:r>
      <w:r w:rsidRPr="00AD313D">
        <w:t>.</w:t>
      </w:r>
      <w:r>
        <w:t>)  “ ‘ “ ‘</w:t>
      </w:r>
      <w:r w:rsidRPr="006653AC">
        <w:t xml:space="preserve">Streets and highways are established and maintained primarily for purposes of </w:t>
      </w:r>
      <w:r w:rsidRPr="006653AC">
        <w:t>travel and transportation by the public, and uses incidental thereto.</w:t>
      </w:r>
      <w:r>
        <w:t>’ ” ’ ”  (</w:t>
      </w:r>
      <w:bookmarkStart w:id="17" w:name="dabmci_3862792105ac43c8901beb5ff363211f"/>
      <w:r>
        <w:rPr>
          <w:i/>
          <w:iCs/>
        </w:rPr>
        <w:t xml:space="preserve">Citizens Against Gated Enclaves v. Whitley Heights Civic Assn. </w:t>
      </w:r>
      <w:r>
        <w:t>(1994) 23 Cal.App.4th 812, 819</w:t>
      </w:r>
      <w:bookmarkEnd w:id="17"/>
      <w:r>
        <w:t>.)  “ </w:t>
      </w:r>
      <w:r>
        <w:t>‘</w:t>
      </w:r>
      <w:r>
        <w:t> “</w:t>
      </w:r>
      <w:r w:rsidRPr="00AD313D">
        <w:t>The use of highways for purposes of travel and transportation is not a mere</w:t>
      </w:r>
      <w:r w:rsidRPr="00AD313D">
        <w:t xml:space="preserve"> privilege, but a common and fundamental right, of which the public and individuals cannot rightfully be deprived ... [All</w:t>
      </w:r>
      <w:r>
        <w:t>]</w:t>
      </w:r>
      <w:r w:rsidRPr="00AD313D">
        <w:t xml:space="preserve"> persons have an equal right to use them for purposes of travel by proper means, and with due regard for the corresponding rights of </w:t>
      </w:r>
      <w:r w:rsidRPr="00AD313D">
        <w:t>others.</w:t>
      </w:r>
      <w:r>
        <w:t>” </w:t>
      </w:r>
      <w:r>
        <w:t>’ </w:t>
      </w:r>
      <w:r w:rsidRPr="00AD313D">
        <w:t xml:space="preserve">” </w:t>
      </w:r>
      <w:r>
        <w:t xml:space="preserve"> </w:t>
      </w:r>
      <w:r w:rsidRPr="00AD313D">
        <w:t>(</w:t>
      </w:r>
      <w:r w:rsidRPr="006653AC">
        <w:rPr>
          <w:i/>
          <w:iCs/>
        </w:rPr>
        <w:t>Rumford</w:t>
      </w:r>
      <w:r>
        <w:t>, at p.</w:t>
      </w:r>
      <w:r>
        <w:t> </w:t>
      </w:r>
      <w:r>
        <w:t>550, italics omitted</w:t>
      </w:r>
      <w:r w:rsidRPr="00AD313D">
        <w:t>.)</w:t>
      </w:r>
    </w:p>
    <w:p w14:paraId="7353BCB3" w14:textId="77777777" w:rsidR="006653AC" w:rsidRPr="00CD1001" w:rsidRDefault="00021E22" w:rsidP="00AE3BE0">
      <w:r>
        <w:tab/>
      </w:r>
      <w:bookmarkStart w:id="18" w:name="dabmci_6db81354b7dc4ebd85820d8bb4024c56"/>
      <w:r>
        <w:t>Vehicle Code section 21</w:t>
      </w:r>
      <w:bookmarkEnd w:id="18"/>
      <w:r>
        <w:t xml:space="preserve"> embodies the state’s preemption over the field of traffic control.  It states, “</w:t>
      </w:r>
      <w:r w:rsidRPr="00AD313D">
        <w:t>Except as otherwise expressly provided, the provisions of this code are applicable and uniform thr</w:t>
      </w:r>
      <w:r w:rsidRPr="00AD313D">
        <w:t>oughout the state and in all counties and municipalities therein, and a local authority shall not enact or enforce any ordinance or resolution on the matters covered by this code</w:t>
      </w:r>
      <w:r>
        <w:t xml:space="preserve"> </w:t>
      </w:r>
      <w:r>
        <w:t>…</w:t>
      </w:r>
      <w:r>
        <w:t xml:space="preserve"> </w:t>
      </w:r>
      <w:r w:rsidRPr="00AD313D">
        <w:t>unless expressly authorized by this code</w:t>
      </w:r>
      <w:r>
        <w:t>.”  (</w:t>
      </w:r>
      <w:bookmarkStart w:id="19" w:name="dabmci_8d86710abfaf440fa9520fa07790d499"/>
      <w:r>
        <w:t>Veh. Code, §</w:t>
      </w:r>
      <w:r>
        <w:t> </w:t>
      </w:r>
      <w:r>
        <w:t>21</w:t>
      </w:r>
      <w:bookmarkEnd w:id="19"/>
      <w:r>
        <w:t xml:space="preserve">, subd. (a).)  </w:t>
      </w:r>
      <w:r>
        <w:lastRenderedPageBreak/>
        <w:t>“</w:t>
      </w:r>
      <w:r w:rsidRPr="006653AC">
        <w:t xml:space="preserve">Thus, unless </w:t>
      </w:r>
      <w:r>
        <w:t>‘</w:t>
      </w:r>
      <w:r w:rsidRPr="006653AC">
        <w:t>expressly provided</w:t>
      </w:r>
      <w:r>
        <w:t>’</w:t>
      </w:r>
      <w:r w:rsidRPr="006653AC">
        <w:t xml:space="preserve"> by the Legislature, a city has no authority over vehicular traffic control.</w:t>
      </w:r>
      <w:r>
        <w:t>”  (</w:t>
      </w:r>
      <w:bookmarkStart w:id="20" w:name="dabmci_aa80bf3709d84dd0894763147cf13b75"/>
      <w:r w:rsidRPr="00AD313D">
        <w:rPr>
          <w:i/>
          <w:iCs/>
        </w:rPr>
        <w:t>Rumford</w:t>
      </w:r>
      <w:r>
        <w:rPr>
          <w:i/>
          <w:iCs/>
        </w:rPr>
        <w:t>, supra</w:t>
      </w:r>
      <w:r>
        <w:t>, 31 Cal.3d at p.</w:t>
      </w:r>
      <w:r>
        <w:t> </w:t>
      </w:r>
      <w:r>
        <w:t>550</w:t>
      </w:r>
      <w:bookmarkEnd w:id="20"/>
      <w:r>
        <w:t xml:space="preserve">; see </w:t>
      </w:r>
      <w:bookmarkStart w:id="21" w:name="dabmci_266f02a53636460782d019d977dd8f9a"/>
      <w:r>
        <w:rPr>
          <w:i/>
          <w:iCs/>
        </w:rPr>
        <w:t xml:space="preserve">Save the Sunset Strip Coalition v. City of West Hollywood </w:t>
      </w:r>
      <w:r>
        <w:t>(2001) 87 Cal.App.4th 1172, 1177–1178</w:t>
      </w:r>
      <w:bookmarkEnd w:id="21"/>
      <w:r>
        <w:t xml:space="preserve"> [“</w:t>
      </w:r>
      <w:r w:rsidRPr="00CD1001">
        <w:t>A c</w:t>
      </w:r>
      <w:r w:rsidRPr="00CD1001">
        <w:t>ity has no authority over vehicular traffic control except as expressly provided by the Legislature.</w:t>
      </w:r>
      <w:r>
        <w:t>”]</w:t>
      </w:r>
      <w:r>
        <w:t>.)</w:t>
      </w:r>
      <w:r>
        <w:t xml:space="preserve">  “</w:t>
      </w:r>
      <w:r w:rsidRPr="00CD1001">
        <w:t>The delegation of power to local authorities to enact traffic regulations applicable within their jurisdictions is strictly construed.</w:t>
      </w:r>
      <w:r>
        <w:t>”  (</w:t>
      </w:r>
      <w:bookmarkStart w:id="22" w:name="dabmci_68d13a43c3194979af2c98c94503d111"/>
      <w:r w:rsidRPr="00CD1001">
        <w:rPr>
          <w:i/>
          <w:iCs/>
        </w:rPr>
        <w:t xml:space="preserve">City of </w:t>
      </w:r>
      <w:r w:rsidRPr="00CD1001">
        <w:rPr>
          <w:i/>
          <w:iCs/>
        </w:rPr>
        <w:t>Poway v. City of San Diego</w:t>
      </w:r>
      <w:r>
        <w:t xml:space="preserve"> (1991) 229 Cal.App.3d 847, 858</w:t>
      </w:r>
      <w:bookmarkEnd w:id="22"/>
      <w:r>
        <w:t xml:space="preserve">; see </w:t>
      </w:r>
      <w:r>
        <w:rPr>
          <w:i/>
          <w:iCs/>
        </w:rPr>
        <w:t>Save the Sunset Strip Coalition</w:t>
      </w:r>
      <w:r>
        <w:t>, at p.</w:t>
      </w:r>
      <w:r>
        <w:t> </w:t>
      </w:r>
      <w:r>
        <w:t>1178</w:t>
      </w:r>
      <w:r>
        <w:t xml:space="preserve"> [“</w:t>
      </w:r>
      <w:r w:rsidRPr="00FB35AA">
        <w:t>Statutory authority to prescribe traffic rules is strictly construed.</w:t>
      </w:r>
      <w:r>
        <w:t>”]</w:t>
      </w:r>
      <w:r>
        <w:t>.)</w:t>
      </w:r>
    </w:p>
    <w:p w14:paraId="6E7B053A" w14:textId="77777777" w:rsidR="00C455EF" w:rsidRDefault="00021E22" w:rsidP="007122E0">
      <w:r>
        <w:tab/>
      </w:r>
      <w:r>
        <w:t xml:space="preserve">The Legislature delegated </w:t>
      </w:r>
      <w:r>
        <w:t>some</w:t>
      </w:r>
      <w:r>
        <w:t xml:space="preserve"> of </w:t>
      </w:r>
      <w:r>
        <w:t>the state’s</w:t>
      </w:r>
      <w:r>
        <w:t xml:space="preserve"> plenary power over </w:t>
      </w:r>
      <w:r>
        <w:t>traffic</w:t>
      </w:r>
      <w:r>
        <w:t xml:space="preserve"> </w:t>
      </w:r>
      <w:r>
        <w:t>control</w:t>
      </w:r>
      <w:r>
        <w:t xml:space="preserve"> to </w:t>
      </w:r>
      <w:r>
        <w:t>local authorities</w:t>
      </w:r>
      <w:r>
        <w:t xml:space="preserve"> in </w:t>
      </w:r>
      <w:r>
        <w:t xml:space="preserve">Chapter 1, </w:t>
      </w:r>
      <w:r>
        <w:t xml:space="preserve">Article 3 of </w:t>
      </w:r>
      <w:r>
        <w:t xml:space="preserve">the Vehicle Code </w:t>
      </w:r>
      <w:r>
        <w:t>(</w:t>
      </w:r>
      <w:bookmarkStart w:id="23" w:name="_Hlk123735144"/>
      <w:r>
        <w:t>sections </w:t>
      </w:r>
      <w:r>
        <w:t>21100–21118</w:t>
      </w:r>
      <w:bookmarkEnd w:id="23"/>
      <w:r>
        <w:t>)</w:t>
      </w:r>
      <w:r>
        <w:t xml:space="preserve">.  </w:t>
      </w:r>
      <w:r>
        <w:t>P</w:t>
      </w:r>
      <w:r>
        <w:t>ertinen</w:t>
      </w:r>
      <w:r>
        <w:t>t</w:t>
      </w:r>
      <w:r>
        <w:t xml:space="preserve"> here, </w:t>
      </w:r>
      <w:bookmarkStart w:id="24" w:name="dabmci_3d5d1f140ea248ce817f5be39e14b523"/>
      <w:r>
        <w:t>Vehicle Code section</w:t>
      </w:r>
      <w:r>
        <w:t> </w:t>
      </w:r>
      <w:r>
        <w:t>21101</w:t>
      </w:r>
      <w:bookmarkEnd w:id="24"/>
      <w:r>
        <w:t xml:space="preserve">, subdivision (e), </w:t>
      </w:r>
      <w:r>
        <w:t>provides</w:t>
      </w:r>
      <w:r>
        <w:t>:  “</w:t>
      </w:r>
      <w:r w:rsidRPr="006C0DD9">
        <w:t>Local authorities, for those highways</w:t>
      </w:r>
      <w:r>
        <w:t xml:space="preserve"> </w:t>
      </w:r>
      <w:r w:rsidRPr="006C0DD9">
        <w:t xml:space="preserve">under their jurisdiction, may adopt rules and </w:t>
      </w:r>
      <w:r w:rsidRPr="006C0DD9">
        <w:t>regulations by ordinance or resolution</w:t>
      </w:r>
      <w:r>
        <w:t xml:space="preserve"> </w:t>
      </w:r>
      <w:r>
        <w:t>…</w:t>
      </w:r>
      <w:r>
        <w:t xml:space="preserve"> </w:t>
      </w:r>
      <w:r w:rsidRPr="006C0DD9">
        <w:t>on the following matters:</w:t>
      </w:r>
      <w:r>
        <w:t xml:space="preserve"> </w:t>
      </w:r>
      <w:r>
        <w:t>[¶] ... </w:t>
      </w:r>
      <w:r>
        <w:t>[¶] (e) </w:t>
      </w:r>
      <w:r w:rsidRPr="006C0DD9">
        <w:t>Temporarily closing a portion of any street for celebrations, parades, local special events, and other purposes when, in the opinion of local authorities having jurisdiction</w:t>
      </w:r>
      <w:r w:rsidRPr="006C0DD9">
        <w:t xml:space="preserve"> or a public officer or employee that the local authority designates by resolution, the closing is necessary for the safety and protection of persons who are to use that portion of the street during the temporary closing</w:t>
      </w:r>
      <w:r>
        <w:t>.”</w:t>
      </w:r>
      <w:r>
        <w:rPr>
          <w:rStyle w:val="FootnoteReference"/>
        </w:rPr>
        <w:footnoteReference w:id="4"/>
      </w:r>
    </w:p>
    <w:p w14:paraId="008478FC" w14:textId="77777777" w:rsidR="00295B7E" w:rsidRDefault="00021E22" w:rsidP="007122E0">
      <w:r>
        <w:tab/>
      </w:r>
      <w:r w:rsidRPr="00295B7E">
        <w:t>Palm Springs Municipal Code se</w:t>
      </w:r>
      <w:r w:rsidRPr="00295B7E">
        <w:t>ction</w:t>
      </w:r>
      <w:r>
        <w:t> </w:t>
      </w:r>
      <w:r w:rsidRPr="00295B7E">
        <w:t xml:space="preserve">12.80.010 largely mirrors this provision of the Vehicle Code.  In relevant part, it states:  “The director of community development for the city of Palm Springs may close a portion of any highway, street or public way for celebrations, </w:t>
      </w:r>
      <w:r w:rsidRPr="00295B7E">
        <w:t xml:space="preserve">parades, local special events, and other purposes when, in the opinion of such director, the closing </w:t>
      </w:r>
      <w:r w:rsidRPr="00295B7E">
        <w:lastRenderedPageBreak/>
        <w:t>is necessary for the safety and protection of persons who are to use that portion of the highway, street or public way during the closing.”  (</w:t>
      </w:r>
      <w:bookmarkStart w:id="27" w:name="_Hlk123735159"/>
      <w:r w:rsidRPr="00295B7E">
        <w:t xml:space="preserve">Palm Springs </w:t>
      </w:r>
      <w:r w:rsidRPr="00295B7E">
        <w:t>Mun. Code, §</w:t>
      </w:r>
      <w:r>
        <w:t> </w:t>
      </w:r>
      <w:r w:rsidRPr="00295B7E">
        <w:t>12.80.010</w:t>
      </w:r>
      <w:r>
        <w:t>, subd. </w:t>
      </w:r>
      <w:r w:rsidRPr="00295B7E">
        <w:t>(a)</w:t>
      </w:r>
      <w:bookmarkEnd w:id="27"/>
      <w:r w:rsidRPr="00295B7E">
        <w:t>.)</w:t>
      </w:r>
      <w:r>
        <w:t xml:space="preserve">  For purposes of this appeal, we</w:t>
      </w:r>
      <w:r>
        <w:t xml:space="preserve"> </w:t>
      </w:r>
      <w:r>
        <w:t>apply the same analysis to both the Vehicle Code and the Palm Springs Municipal Code causes of action</w:t>
      </w:r>
      <w:r>
        <w:t>, as the parties have done when discussing these causes of action in their appellate b</w:t>
      </w:r>
      <w:r>
        <w:t>riefs</w:t>
      </w:r>
      <w:r>
        <w:t>.</w:t>
      </w:r>
    </w:p>
    <w:p w14:paraId="75221936" w14:textId="77777777" w:rsidR="007122E0" w:rsidRDefault="00021E22" w:rsidP="007122E0">
      <w:pPr>
        <w:pStyle w:val="Heading3"/>
      </w:pPr>
      <w:r>
        <w:t xml:space="preserve">Scope of </w:t>
      </w:r>
      <w:bookmarkStart w:id="28" w:name="dabmci_79deb7a6202d4425b8d635c73620f54e"/>
      <w:r>
        <w:t>Vehicle Code section</w:t>
      </w:r>
      <w:r>
        <w:t> </w:t>
      </w:r>
      <w:r>
        <w:t>21101</w:t>
      </w:r>
      <w:bookmarkEnd w:id="28"/>
      <w:r>
        <w:t>, subdivision</w:t>
      </w:r>
      <w:r>
        <w:t> </w:t>
      </w:r>
      <w:r>
        <w:t>(e)</w:t>
      </w:r>
    </w:p>
    <w:p w14:paraId="382E1944" w14:textId="77777777" w:rsidR="003F3083" w:rsidRDefault="00021E22" w:rsidP="00AE3BE0">
      <w:r>
        <w:tab/>
      </w:r>
      <w:r>
        <w:t xml:space="preserve">Against this statutory </w:t>
      </w:r>
      <w:r>
        <w:t>landscape</w:t>
      </w:r>
      <w:r>
        <w:t>, we</w:t>
      </w:r>
      <w:r>
        <w:t xml:space="preserve"> turn to </w:t>
      </w:r>
      <w:r>
        <w:t xml:space="preserve">whether </w:t>
      </w:r>
      <w:bookmarkStart w:id="29" w:name="dabmci_b4357e6f58774c829661e4a8f3ed3336"/>
      <w:r>
        <w:t>Vehicle Code section</w:t>
      </w:r>
      <w:r>
        <w:t> </w:t>
      </w:r>
      <w:r>
        <w:t>21101</w:t>
      </w:r>
      <w:bookmarkEnd w:id="29"/>
      <w:r>
        <w:t xml:space="preserve">, subdivision (e), permitted the City to close Museum Way for three years to allow for the installation and display </w:t>
      </w:r>
      <w:r>
        <w:t xml:space="preserve">of Forever Marilyn.  This requires us to undertake a statutory interpretation analysis.  </w:t>
      </w:r>
    </w:p>
    <w:p w14:paraId="5B8C1341" w14:textId="77777777" w:rsidR="007C07D8" w:rsidRDefault="00021E22" w:rsidP="00AE3BE0">
      <w:r>
        <w:tab/>
      </w:r>
      <w:r w:rsidRPr="003F3083">
        <w:t xml:space="preserve">“ </w:t>
      </w:r>
      <w:r>
        <w:t>‘</w:t>
      </w:r>
      <w:r w:rsidRPr="003F3083">
        <w:t xml:space="preserve">When we interpret a statute, </w:t>
      </w:r>
      <w:r>
        <w:t>“</w:t>
      </w:r>
      <w:r w:rsidRPr="003F3083">
        <w:t>[o]ur fundamental task ... is to determine the Legislature</w:t>
      </w:r>
      <w:r>
        <w:t>’</w:t>
      </w:r>
      <w:r w:rsidRPr="003F3083">
        <w:t>s intent so as to effectuate the law</w:t>
      </w:r>
      <w:r>
        <w:t>’</w:t>
      </w:r>
      <w:r w:rsidRPr="003F3083">
        <w:t xml:space="preserve">s purpose. </w:t>
      </w:r>
      <w:r>
        <w:t xml:space="preserve"> </w:t>
      </w:r>
      <w:r w:rsidRPr="003F3083">
        <w:t>We first examine the sta</w:t>
      </w:r>
      <w:r w:rsidRPr="003F3083">
        <w:t xml:space="preserve">tutory language, giving it a plain and commonsense meaning. </w:t>
      </w:r>
      <w:r>
        <w:t xml:space="preserve"> </w:t>
      </w:r>
      <w:r w:rsidRPr="003F3083">
        <w:t>We do not examine that language in isolation, but in the context of the statutory framework as a whole in order to determine its scope and purpose and to harmonize the various parts of the enactm</w:t>
      </w:r>
      <w:r w:rsidRPr="003F3083">
        <w:t xml:space="preserve">ent. </w:t>
      </w:r>
      <w:r>
        <w:t xml:space="preserve"> </w:t>
      </w:r>
      <w:r w:rsidRPr="003F3083">
        <w:t xml:space="preserve">If the language is clear, courts must generally follow its plain meaning unless a literal interpretation would result in absurd consequences the Legislature did not intend. </w:t>
      </w:r>
      <w:r>
        <w:t xml:space="preserve"> </w:t>
      </w:r>
      <w:r w:rsidRPr="003F3083">
        <w:t>If the statutory language permits more than one reasonable interpretation, c</w:t>
      </w:r>
      <w:r w:rsidRPr="003F3083">
        <w:t>ourts may consider other aids, such as the statute</w:t>
      </w:r>
      <w:r>
        <w:t>’</w:t>
      </w:r>
      <w:r w:rsidRPr="003F3083">
        <w:t>s purpose, legislative history, and public policy.</w:t>
      </w:r>
      <w:r>
        <w:t>”</w:t>
      </w:r>
      <w:r>
        <w:t xml:space="preserve"> </w:t>
      </w:r>
      <w:r w:rsidRPr="003F3083">
        <w:t xml:space="preserve"> [Citation.] </w:t>
      </w:r>
      <w:r>
        <w:t xml:space="preserve"> </w:t>
      </w:r>
      <w:r>
        <w:t>“</w:t>
      </w:r>
      <w:r w:rsidRPr="003F3083">
        <w:t>Furthermore, we consider portions of a statute in the context of the entire statute and the statutory scheme of which it is a part, giving</w:t>
      </w:r>
      <w:r w:rsidRPr="003F3083">
        <w:t xml:space="preserve"> significance to every word, phrase, sentence, and part of an act in pursuance of the legislative purpose.</w:t>
      </w:r>
      <w:r>
        <w:t>” </w:t>
      </w:r>
      <w:r w:rsidRPr="003F3083">
        <w:t>’</w:t>
      </w:r>
      <w:r>
        <w:t> </w:t>
      </w:r>
      <w:r w:rsidRPr="003F3083">
        <w:t xml:space="preserve">” </w:t>
      </w:r>
      <w:r>
        <w:t xml:space="preserve"> (</w:t>
      </w:r>
      <w:bookmarkStart w:id="30" w:name="dabmci_841f4b1b533e477bb36784a95f59ffa1"/>
      <w:r w:rsidRPr="003F3083">
        <w:rPr>
          <w:i/>
          <w:iCs/>
        </w:rPr>
        <w:t>City of San Jose v. Superior Court</w:t>
      </w:r>
      <w:r>
        <w:t xml:space="preserve"> (2017) 2 Cal.5th 608, 616–617</w:t>
      </w:r>
      <w:bookmarkEnd w:id="30"/>
      <w:r>
        <w:t xml:space="preserve">.) </w:t>
      </w:r>
    </w:p>
    <w:p w14:paraId="27CB7E61" w14:textId="77777777" w:rsidR="0094656E" w:rsidRDefault="00021E22" w:rsidP="00AE3BE0">
      <w:r>
        <w:lastRenderedPageBreak/>
        <w:tab/>
      </w:r>
      <w:r>
        <w:t>W</w:t>
      </w:r>
      <w:r>
        <w:t xml:space="preserve">e begin </w:t>
      </w:r>
      <w:r>
        <w:t>by examining</w:t>
      </w:r>
      <w:r>
        <w:t xml:space="preserve"> the language of </w:t>
      </w:r>
      <w:bookmarkStart w:id="31" w:name="dabmci_ff3ae74e64964a2881f3eb4dcf503896"/>
      <w:r w:rsidRPr="004946ED">
        <w:t>Vehicle Code section 21101</w:t>
      </w:r>
      <w:bookmarkEnd w:id="31"/>
      <w:r w:rsidRPr="004946ED">
        <w:t>, subdivi</w:t>
      </w:r>
      <w:r w:rsidRPr="004946ED">
        <w:t>sion</w:t>
      </w:r>
      <w:r>
        <w:t> </w:t>
      </w:r>
      <w:r w:rsidRPr="004946ED">
        <w:t>(e)</w:t>
      </w:r>
      <w:r>
        <w:t xml:space="preserve">.  It allows </w:t>
      </w:r>
      <w:r>
        <w:t>local authorities</w:t>
      </w:r>
      <w:r>
        <w:t xml:space="preserve"> to “[t]emporarily” close portions of streets “</w:t>
      </w:r>
      <w:r w:rsidRPr="004946ED">
        <w:t>for celebrations, parades, local special events, and other purpose</w:t>
      </w:r>
      <w:r>
        <w:t>s,</w:t>
      </w:r>
      <w:r>
        <w:t>”</w:t>
      </w:r>
      <w:r>
        <w:t xml:space="preserve"> where necessary to protect and safeguard persons </w:t>
      </w:r>
      <w:r>
        <w:t xml:space="preserve">who are </w:t>
      </w:r>
      <w:r>
        <w:t xml:space="preserve">using the street during the temporary </w:t>
      </w:r>
      <w:r>
        <w:t xml:space="preserve">street </w:t>
      </w:r>
      <w:r>
        <w:t>closure.</w:t>
      </w:r>
      <w:r w:rsidRPr="004946ED">
        <w:t xml:space="preserve">  (</w:t>
      </w:r>
      <w:bookmarkStart w:id="32" w:name="dabmci_31dfdae278b44d17b2db6db6ec79643c"/>
      <w:r w:rsidRPr="004946ED">
        <w:t>Veh. Code, §</w:t>
      </w:r>
      <w:r>
        <w:t> </w:t>
      </w:r>
      <w:r w:rsidRPr="004946ED">
        <w:t>21101</w:t>
      </w:r>
      <w:bookmarkEnd w:id="32"/>
      <w:r w:rsidRPr="004946ED">
        <w:t>, subd.</w:t>
      </w:r>
      <w:r>
        <w:t> </w:t>
      </w:r>
      <w:r w:rsidRPr="004946ED">
        <w:t>(e).)</w:t>
      </w:r>
      <w:r>
        <w:t xml:space="preserve">  </w:t>
      </w:r>
      <w:r>
        <w:t xml:space="preserve">One of the central disputed issues in this appeal is the meaning of the word, “temporarily.”  </w:t>
      </w:r>
      <w:r>
        <w:t>The Vehicle Code does not define</w:t>
      </w:r>
      <w:r>
        <w:t xml:space="preserve">, </w:t>
      </w:r>
      <w:r>
        <w:t>“temporarily</w:t>
      </w:r>
      <w:r>
        <w:t xml:space="preserve">.”  </w:t>
      </w:r>
      <w:r>
        <w:t xml:space="preserve">Therefore, we must </w:t>
      </w:r>
      <w:r>
        <w:t>depl</w:t>
      </w:r>
      <w:r>
        <w:t>oy</w:t>
      </w:r>
      <w:r>
        <w:t xml:space="preserve"> means </w:t>
      </w:r>
      <w:r>
        <w:t xml:space="preserve">other than a legislative definition </w:t>
      </w:r>
      <w:r>
        <w:t xml:space="preserve">to discern the Legislature’s </w:t>
      </w:r>
      <w:r>
        <w:t>intent</w:t>
      </w:r>
      <w:r>
        <w:t xml:space="preserve"> when it used the </w:t>
      </w:r>
      <w:r>
        <w:t xml:space="preserve">word, </w:t>
      </w:r>
      <w:r>
        <w:t>“</w:t>
      </w:r>
      <w:r>
        <w:t>temporarily,</w:t>
      </w:r>
      <w:r>
        <w:t>”</w:t>
      </w:r>
      <w:r>
        <w:t xml:space="preserve"> in this provision.</w:t>
      </w:r>
    </w:p>
    <w:p w14:paraId="44BC19F1" w14:textId="77777777" w:rsidR="007C07D8" w:rsidRDefault="00021E22" w:rsidP="00AE3BE0">
      <w:r>
        <w:tab/>
      </w:r>
      <w:r>
        <w:t>T</w:t>
      </w:r>
      <w:r>
        <w:t>he City argues “</w:t>
      </w:r>
      <w:r>
        <w:t>temporary</w:t>
      </w:r>
      <w:r>
        <w:t>”</w:t>
      </w:r>
      <w:r>
        <w:t xml:space="preserve"> </w:t>
      </w:r>
      <w:r>
        <w:t xml:space="preserve">means </w:t>
      </w:r>
      <w:r>
        <w:t xml:space="preserve">that </w:t>
      </w:r>
      <w:r>
        <w:t>something lasts for a limited time</w:t>
      </w:r>
      <w:r>
        <w:t>—</w:t>
      </w:r>
      <w:r>
        <w:t>regardless of how</w:t>
      </w:r>
      <w:r>
        <w:t xml:space="preserve"> long th</w:t>
      </w:r>
      <w:r>
        <w:t>at</w:t>
      </w:r>
      <w:r>
        <w:t xml:space="preserve"> time may be</w:t>
      </w:r>
      <w:r>
        <w:t>.</w:t>
      </w:r>
      <w:r>
        <w:t xml:space="preserve"> </w:t>
      </w:r>
      <w:r>
        <w:t xml:space="preserve"> </w:t>
      </w:r>
      <w:r>
        <w:t>I</w:t>
      </w:r>
      <w:r>
        <w:t xml:space="preserve">n other words, the City claims “temporarily” is an antonym of “permanently.”  To support this argument, the City </w:t>
      </w:r>
      <w:r>
        <w:t>cites</w:t>
      </w:r>
      <w:r>
        <w:t xml:space="preserve"> dictionary definitions of the words “temporary” and “temporarily,” which we may</w:t>
      </w:r>
      <w:r>
        <w:t xml:space="preserve"> </w:t>
      </w:r>
      <w:r>
        <w:t xml:space="preserve">properly </w:t>
      </w:r>
      <w:r>
        <w:t xml:space="preserve">consider when </w:t>
      </w:r>
      <w:r>
        <w:t xml:space="preserve">analyzing the meaning of </w:t>
      </w:r>
      <w:r>
        <w:t>the</w:t>
      </w:r>
      <w:r>
        <w:t xml:space="preserve"> statu</w:t>
      </w:r>
      <w:r>
        <w:t>te</w:t>
      </w:r>
      <w:r>
        <w:t>.  (</w:t>
      </w:r>
      <w:bookmarkStart w:id="33" w:name="dabmci_05b82d79fa154dd9919661ef34d0c2ed"/>
      <w:r w:rsidRPr="002C509D">
        <w:rPr>
          <w:i/>
          <w:iCs/>
        </w:rPr>
        <w:t>Dept. of Finance v. Commission on State Mandates</w:t>
      </w:r>
      <w:r>
        <w:t xml:space="preserve"> (2022) </w:t>
      </w:r>
      <w:r>
        <w:t xml:space="preserve">85 </w:t>
      </w:r>
      <w:r>
        <w:t xml:space="preserve">Cal.App.5th </w:t>
      </w:r>
      <w:r>
        <w:t>535, 567</w:t>
      </w:r>
      <w:bookmarkEnd w:id="33"/>
      <w:r>
        <w:t xml:space="preserve"> [</w:t>
      </w:r>
      <w:r>
        <w:t>“</w:t>
      </w:r>
      <w:r w:rsidRPr="002C509D">
        <w:t>We may look to dictionary definitions to determine the usual and ordinary meaning of a statutory term.</w:t>
      </w:r>
      <w:r>
        <w:t>”</w:t>
      </w:r>
      <w:r>
        <w:t>].)</w:t>
      </w:r>
      <w:r>
        <w:t xml:space="preserve">  </w:t>
      </w:r>
      <w:r>
        <w:t xml:space="preserve">One </w:t>
      </w:r>
      <w:r>
        <w:t>especially</w:t>
      </w:r>
      <w:r>
        <w:t xml:space="preserve"> relevant dictionary </w:t>
      </w:r>
      <w:r>
        <w:t xml:space="preserve">definition, which we uncovered </w:t>
      </w:r>
      <w:r>
        <w:t xml:space="preserve">in our own </w:t>
      </w:r>
      <w:r>
        <w:t xml:space="preserve">independent </w:t>
      </w:r>
      <w:r>
        <w:t>research</w:t>
      </w:r>
      <w:r>
        <w:t xml:space="preserve">, defines “temporarily” </w:t>
      </w:r>
      <w:r>
        <w:t>as</w:t>
      </w:r>
      <w:r>
        <w:t>,</w:t>
      </w:r>
      <w:r>
        <w:t xml:space="preserve"> </w:t>
      </w:r>
      <w:r>
        <w:t>“For a time (only); during a limited time.”</w:t>
      </w:r>
      <w:r>
        <w:t xml:space="preserve"> </w:t>
      </w:r>
      <w:r>
        <w:t xml:space="preserve"> (Oxford English Dict. (1933 supp.) p.</w:t>
      </w:r>
      <w:r>
        <w:t> </w:t>
      </w:r>
      <w:r w:rsidRPr="00367E42">
        <w:t>169</w:t>
      </w:r>
      <w:r>
        <w:t>, col. 1</w:t>
      </w:r>
      <w:r>
        <w:t>.</w:t>
      </w:r>
      <w:r>
        <w:t>)</w:t>
      </w:r>
      <w:r>
        <w:rPr>
          <w:rStyle w:val="FootnoteReference"/>
        </w:rPr>
        <w:footnoteReference w:id="5"/>
      </w:r>
      <w:r>
        <w:t xml:space="preserve">  </w:t>
      </w:r>
      <w:r>
        <w:t xml:space="preserve">Applying </w:t>
      </w:r>
      <w:r>
        <w:t>its understanding of “</w:t>
      </w:r>
      <w:r>
        <w:t>temporary</w:t>
      </w:r>
      <w:r>
        <w:t>” to the statute</w:t>
      </w:r>
      <w:r>
        <w:t xml:space="preserve">, </w:t>
      </w:r>
      <w:r>
        <w:t>the City</w:t>
      </w:r>
      <w:r>
        <w:t xml:space="preserve"> argues </w:t>
      </w:r>
      <w:r>
        <w:t xml:space="preserve">it closed Museum Way </w:t>
      </w:r>
      <w:r>
        <w:lastRenderedPageBreak/>
        <w:t>temporarily</w:t>
      </w:r>
      <w:r>
        <w:t xml:space="preserve"> </w:t>
      </w:r>
      <w:r>
        <w:t xml:space="preserve">because the closure was limited to the term of the license agreement, which is three years. </w:t>
      </w:r>
    </w:p>
    <w:p w14:paraId="7F3C100F" w14:textId="77777777" w:rsidR="00367E42" w:rsidRDefault="00021E22" w:rsidP="00AE3BE0">
      <w:r>
        <w:tab/>
        <w:t xml:space="preserve">The Committee </w:t>
      </w:r>
      <w:r>
        <w:t>defines</w:t>
      </w:r>
      <w:r>
        <w:t xml:space="preserve"> the word “temporarily”</w:t>
      </w:r>
      <w:r>
        <w:t xml:space="preserve"> differently.</w:t>
      </w:r>
      <w:r>
        <w:t xml:space="preserve">  </w:t>
      </w:r>
      <w:r>
        <w:t xml:space="preserve">It </w:t>
      </w:r>
      <w:r>
        <w:t>claims</w:t>
      </w:r>
      <w:r>
        <w:t xml:space="preserve"> </w:t>
      </w:r>
      <w:r>
        <w:t>“temporarily”</w:t>
      </w:r>
      <w:r>
        <w:t xml:space="preserve"> refers to something </w:t>
      </w:r>
      <w:r>
        <w:t xml:space="preserve">that lasts </w:t>
      </w:r>
      <w:r>
        <w:t>for a r</w:t>
      </w:r>
      <w:r>
        <w:t xml:space="preserve">elatively short period of time.  </w:t>
      </w:r>
      <w:r>
        <w:t xml:space="preserve">Several dictionary definitions of the word, “temporarily,” bolster </w:t>
      </w:r>
      <w:r>
        <w:t>this</w:t>
      </w:r>
      <w:r>
        <w:t xml:space="preserve"> argument.  </w:t>
      </w:r>
      <w:r>
        <w:t>(</w:t>
      </w:r>
      <w:r>
        <w:t xml:space="preserve">See </w:t>
      </w:r>
      <w:r>
        <w:t>Webster’s 3d New Internat. Dict. (3d ed.</w:t>
      </w:r>
      <w:r>
        <w:t> </w:t>
      </w:r>
      <w:r>
        <w:t>1968)</w:t>
      </w:r>
      <w:r>
        <w:t xml:space="preserve"> </w:t>
      </w:r>
      <w:r>
        <w:t>p.</w:t>
      </w:r>
      <w:r>
        <w:t> </w:t>
      </w:r>
      <w:r>
        <w:t>2353</w:t>
      </w:r>
      <w:r>
        <w:t>,</w:t>
      </w:r>
      <w:r>
        <w:t xml:space="preserve"> col.</w:t>
      </w:r>
      <w:r>
        <w:t> </w:t>
      </w:r>
      <w:r>
        <w:t xml:space="preserve">3 </w:t>
      </w:r>
      <w:r>
        <w:t>[</w:t>
      </w:r>
      <w:r>
        <w:t xml:space="preserve">defining “temporarily” as, “for a brief period: </w:t>
      </w:r>
      <w:r>
        <w:t xml:space="preserve"> </w:t>
      </w:r>
      <w:r>
        <w:t>during a limited time: briefly”</w:t>
      </w:r>
      <w:r>
        <w:t xml:space="preserve">]; </w:t>
      </w:r>
      <w:r>
        <w:t>see also Black’s Law Dict. (4th ed.</w:t>
      </w:r>
      <w:r>
        <w:t> </w:t>
      </w:r>
      <w:r>
        <w:t>1968) p.</w:t>
      </w:r>
      <w:r>
        <w:t> </w:t>
      </w:r>
      <w:r>
        <w:t>1634, col.</w:t>
      </w:r>
      <w:r>
        <w:t> </w:t>
      </w:r>
      <w:r>
        <w:t>1</w:t>
      </w:r>
      <w:r>
        <w:t xml:space="preserve"> [</w:t>
      </w:r>
      <w:r>
        <w:t>“</w:t>
      </w:r>
      <w:r>
        <w:t>temporarily</w:t>
      </w:r>
      <w:r>
        <w:t>”</w:t>
      </w:r>
      <w:r>
        <w:t xml:space="preserve"> means, “Lasting for a time only, existing or continuing for a limited time, </w:t>
      </w:r>
      <w:r w:rsidRPr="00100667">
        <w:rPr>
          <w:i/>
          <w:iCs/>
        </w:rPr>
        <w:t>not of long duration</w:t>
      </w:r>
      <w:r>
        <w:t>, no</w:t>
      </w:r>
      <w:r>
        <w:t>t permanent, transitory, changing</w:t>
      </w:r>
      <w:r w:rsidRPr="00100667">
        <w:rPr>
          <w:i/>
          <w:iCs/>
        </w:rPr>
        <w:t>, but a short time</w:t>
      </w:r>
      <w:r>
        <w:t>.”</w:t>
      </w:r>
      <w:r>
        <w:t>]</w:t>
      </w:r>
      <w:r>
        <w:t>, italics added</w:t>
      </w:r>
      <w:r>
        <w:t xml:space="preserve">.)  In the Committee’s view, the City did not close </w:t>
      </w:r>
      <w:r>
        <w:t xml:space="preserve">Museum Way </w:t>
      </w:r>
      <w:r>
        <w:t>temporarily</w:t>
      </w:r>
      <w:r>
        <w:t xml:space="preserve"> </w:t>
      </w:r>
      <w:r>
        <w:t xml:space="preserve">because, as all parties seemingly agree, three years is </w:t>
      </w:r>
      <w:r>
        <w:t xml:space="preserve">not </w:t>
      </w:r>
      <w:r>
        <w:t xml:space="preserve">a relatively short </w:t>
      </w:r>
      <w:r>
        <w:t xml:space="preserve">period of time for </w:t>
      </w:r>
      <w:r>
        <w:t xml:space="preserve">the </w:t>
      </w:r>
      <w:r>
        <w:t>closure</w:t>
      </w:r>
      <w:r>
        <w:t xml:space="preserve"> of</w:t>
      </w:r>
      <w:r>
        <w:t xml:space="preserve"> a public street</w:t>
      </w:r>
      <w:r>
        <w:t>.</w:t>
      </w:r>
    </w:p>
    <w:p w14:paraId="3E4103AA" w14:textId="77777777" w:rsidR="00876359" w:rsidRPr="00273933" w:rsidRDefault="00021E22" w:rsidP="00AE3BE0">
      <w:r>
        <w:tab/>
      </w:r>
      <w:r>
        <w:t xml:space="preserve">Standing in isolation, the word, “temporarily,” </w:t>
      </w:r>
      <w:r>
        <w:t>is</w:t>
      </w:r>
      <w:r>
        <w:t xml:space="preserve"> </w:t>
      </w:r>
      <w:r>
        <w:t xml:space="preserve">reasonably </w:t>
      </w:r>
      <w:r>
        <w:t>susceptible to both parties’ interpretations.  Indeed, the Supreme Court has opined that, “temporary” (the adjective form of the adverb, “temporarily”), “</w:t>
      </w:r>
      <w:r w:rsidRPr="00273933">
        <w:t>is a word of much ela</w:t>
      </w:r>
      <w:r w:rsidRPr="00273933">
        <w:t xml:space="preserve">sticity and considerable indefiniteness. </w:t>
      </w:r>
      <w:r>
        <w:t xml:space="preserve"> </w:t>
      </w:r>
      <w:r>
        <w:t>[Citation.]</w:t>
      </w:r>
      <w:r>
        <w:t xml:space="preserve"> </w:t>
      </w:r>
      <w:r w:rsidRPr="00273933">
        <w:t xml:space="preserve"> It has no fixed meaning in the sense that it designates any fixed period of time.</w:t>
      </w:r>
      <w:r>
        <w:t>”  (</w:t>
      </w:r>
      <w:bookmarkStart w:id="38" w:name="dabmci_31f8fc3daa0149ce87e25fc1c46495d5"/>
      <w:r>
        <w:rPr>
          <w:i/>
          <w:iCs/>
        </w:rPr>
        <w:t xml:space="preserve">State Farm Mut. Auto. Ins. Co. v. Johnston </w:t>
      </w:r>
      <w:r>
        <w:t>(1973) 9 Cal.3d 270, 273</w:t>
      </w:r>
      <w:bookmarkEnd w:id="38"/>
      <w:r>
        <w:t xml:space="preserve">.)  </w:t>
      </w:r>
      <w:r>
        <w:t xml:space="preserve">We agree.  </w:t>
      </w:r>
      <w:r>
        <w:t xml:space="preserve">Thus, we decline to draw any </w:t>
      </w:r>
      <w:r>
        <w:t>concl</w:t>
      </w:r>
      <w:r>
        <w:t>usions</w:t>
      </w:r>
      <w:r>
        <w:t xml:space="preserve"> about </w:t>
      </w:r>
      <w:r>
        <w:t xml:space="preserve">the </w:t>
      </w:r>
      <w:r>
        <w:t>Legislature</w:t>
      </w:r>
      <w:r>
        <w:t>’s</w:t>
      </w:r>
      <w:r>
        <w:t xml:space="preserve"> intended </w:t>
      </w:r>
      <w:r>
        <w:t xml:space="preserve">meaning </w:t>
      </w:r>
      <w:r>
        <w:t xml:space="preserve">based </w:t>
      </w:r>
      <w:r>
        <w:t>exclusively</w:t>
      </w:r>
      <w:r>
        <w:t xml:space="preserve"> on its use of the word</w:t>
      </w:r>
      <w:r>
        <w:t>,</w:t>
      </w:r>
      <w:r>
        <w:t xml:space="preserve"> “temporarily</w:t>
      </w:r>
      <w:r>
        <w:t>.</w:t>
      </w:r>
      <w:r>
        <w:t xml:space="preserve">” </w:t>
      </w:r>
    </w:p>
    <w:p w14:paraId="5F36601B" w14:textId="77777777" w:rsidR="00C56FAD" w:rsidRDefault="00021E22" w:rsidP="00AE3BE0">
      <w:r>
        <w:tab/>
      </w:r>
      <w:r>
        <w:t xml:space="preserve">However, the statutory language </w:t>
      </w:r>
      <w:r w:rsidRPr="00F9295A">
        <w:rPr>
          <w:i/>
          <w:iCs/>
        </w:rPr>
        <w:t>following</w:t>
      </w:r>
      <w:r>
        <w:t xml:space="preserve"> </w:t>
      </w:r>
      <w:r>
        <w:t xml:space="preserve">the word, </w:t>
      </w:r>
      <w:r>
        <w:t>“temporarily</w:t>
      </w:r>
      <w:r>
        <w:t>,</w:t>
      </w:r>
      <w:r>
        <w:t>”</w:t>
      </w:r>
      <w:r>
        <w:t xml:space="preserve"> in Vehicle Code, section </w:t>
      </w:r>
      <w:r w:rsidRPr="004946ED">
        <w:t>21101, subd</w:t>
      </w:r>
      <w:r>
        <w:t>ivision </w:t>
      </w:r>
      <w:r w:rsidRPr="004946ED">
        <w:t>(e)</w:t>
      </w:r>
      <w:r>
        <w:t>,</w:t>
      </w:r>
      <w:r>
        <w:t xml:space="preserve"> provides us with the context necessary to </w:t>
      </w:r>
      <w:r>
        <w:t>determine</w:t>
      </w:r>
      <w:r>
        <w:t xml:space="preserve"> which party’s </w:t>
      </w:r>
      <w:r>
        <w:t xml:space="preserve">understanding </w:t>
      </w:r>
      <w:r>
        <w:t>is correct.  As noted above,</w:t>
      </w:r>
      <w:r w:rsidRPr="00F9295A">
        <w:t xml:space="preserve"> “</w:t>
      </w:r>
      <w:r>
        <w:t> </w:t>
      </w:r>
      <w:r w:rsidRPr="00F9295A">
        <w:t>‘</w:t>
      </w:r>
      <w:r>
        <w:t> </w:t>
      </w:r>
      <w:r w:rsidRPr="00F9295A">
        <w:t>“</w:t>
      </w:r>
      <w:r>
        <w:t> </w:t>
      </w:r>
      <w:r w:rsidRPr="00F9295A">
        <w:t xml:space="preserve">‘we consider portions of a statute in the context of the entire statute and the statutory scheme of which it is a part, giving significance </w:t>
      </w:r>
      <w:r w:rsidRPr="00F9295A">
        <w:t xml:space="preserve">to every word, phrase, sentence, and part of an act in pursuance of the </w:t>
      </w:r>
      <w:r w:rsidRPr="00F9295A">
        <w:lastRenderedPageBreak/>
        <w:t>legislative purpose.’</w:t>
      </w:r>
      <w:r>
        <w:t> </w:t>
      </w:r>
      <w:r w:rsidRPr="00F9295A">
        <w:t>”</w:t>
      </w:r>
      <w:r>
        <w:t> </w:t>
      </w:r>
      <w:r w:rsidRPr="00F9295A">
        <w:t>’</w:t>
      </w:r>
      <w:r>
        <w:t> </w:t>
      </w:r>
      <w:r w:rsidRPr="00F9295A">
        <w:t>”  (</w:t>
      </w:r>
      <w:bookmarkStart w:id="39" w:name="dabmci_cd5cfa7372b14863af6d07e9c2d072d2"/>
      <w:r w:rsidRPr="00F9295A">
        <w:rPr>
          <w:i/>
          <w:iCs/>
        </w:rPr>
        <w:t>Brenn</w:t>
      </w:r>
      <w:r>
        <w:rPr>
          <w:i/>
          <w:iCs/>
        </w:rPr>
        <w:t>o</w:t>
      </w:r>
      <w:r w:rsidRPr="00F9295A">
        <w:rPr>
          <w:i/>
          <w:iCs/>
        </w:rPr>
        <w:t>n B. v. Superior C</w:t>
      </w:r>
      <w:r>
        <w:rPr>
          <w:i/>
          <w:iCs/>
        </w:rPr>
        <w:t>our</w:t>
      </w:r>
      <w:r w:rsidRPr="00F9295A">
        <w:rPr>
          <w:i/>
          <w:iCs/>
        </w:rPr>
        <w:t>t</w:t>
      </w:r>
      <w:r w:rsidRPr="00F9295A">
        <w:t xml:space="preserve"> (2022) 13 Cal.5th 662, 67</w:t>
      </w:r>
      <w:bookmarkEnd w:id="39"/>
      <w:r>
        <w:t>3</w:t>
      </w:r>
      <w:r w:rsidRPr="00F9295A">
        <w:t xml:space="preserve">; </w:t>
      </w:r>
      <w:r>
        <w:t xml:space="preserve">see </w:t>
      </w:r>
      <w:bookmarkStart w:id="40" w:name="dabmci_a4d17d7a94c04758a77f0c09020cc99a"/>
      <w:r w:rsidRPr="00F9295A">
        <w:rPr>
          <w:i/>
          <w:iCs/>
        </w:rPr>
        <w:t>Kaanaana v. Barrett Bus. Servs., Inc.</w:t>
      </w:r>
      <w:r w:rsidRPr="00F9295A">
        <w:t xml:space="preserve"> (2021) 11 Cal.5th 158, 169</w:t>
      </w:r>
      <w:bookmarkEnd w:id="40"/>
      <w:r w:rsidRPr="00F9295A">
        <w:t xml:space="preserve"> [“words used in a statute ar</w:t>
      </w:r>
      <w:r w:rsidRPr="00F9295A">
        <w:t>e considered in context, not isolation”].)</w:t>
      </w:r>
      <w:r>
        <w:t xml:space="preserve">  </w:t>
      </w:r>
    </w:p>
    <w:p w14:paraId="4411D35C" w14:textId="77777777" w:rsidR="0020034B" w:rsidRDefault="00021E22" w:rsidP="00AE3BE0">
      <w:r>
        <w:tab/>
      </w:r>
      <w:bookmarkStart w:id="41" w:name="dabmci_8bbaf96fe3c042889ff06aff734b2711"/>
      <w:r>
        <w:t>Vehicle Code section</w:t>
      </w:r>
      <w:r>
        <w:t> </w:t>
      </w:r>
      <w:r>
        <w:t>21101</w:t>
      </w:r>
      <w:bookmarkEnd w:id="41"/>
      <w:r>
        <w:t>, subdivision</w:t>
      </w:r>
      <w:r>
        <w:t> </w:t>
      </w:r>
      <w:r>
        <w:t xml:space="preserve">(e), grants local authorities the </w:t>
      </w:r>
      <w:r>
        <w:t>power</w:t>
      </w:r>
      <w:r>
        <w:t xml:space="preserve"> to </w:t>
      </w:r>
      <w:r>
        <w:t>“</w:t>
      </w:r>
      <w:r>
        <w:t>temporarily</w:t>
      </w:r>
      <w:r>
        <w:t>”</w:t>
      </w:r>
      <w:r>
        <w:t xml:space="preserve"> close portions of streets, but only for limited </w:t>
      </w:r>
      <w:r>
        <w:t>reasons</w:t>
      </w:r>
      <w:r>
        <w:t>—for “celebrations, parades, local special events, and oth</w:t>
      </w:r>
      <w:r>
        <w:t xml:space="preserve">er purposes,” where the closure is necessary to safeguard and protect persons using the street.  </w:t>
      </w:r>
      <w:r>
        <w:t>All of the proceedings</w:t>
      </w:r>
      <w:r>
        <w:t xml:space="preserve"> </w:t>
      </w:r>
      <w:r>
        <w:t xml:space="preserve">warranting a temporary street closure </w:t>
      </w:r>
      <w:r>
        <w:t xml:space="preserve">share a common characteristic.  </w:t>
      </w:r>
      <w:r>
        <w:t>In all or nearly all circumstances</w:t>
      </w:r>
      <w:r>
        <w:t>, th</w:t>
      </w:r>
      <w:r>
        <w:t>ey take place over the cours</w:t>
      </w:r>
      <w:r>
        <w:t xml:space="preserve">e of a few hours, days, or perhaps weeks.  In the common and ordinary sense, none of these proceedings are significantly </w:t>
      </w:r>
      <w:r>
        <w:t>protracted</w:t>
      </w:r>
      <w:r>
        <w:t xml:space="preserve"> in duration, and certainly none of them last for </w:t>
      </w:r>
      <w:r>
        <w:t xml:space="preserve">three </w:t>
      </w:r>
      <w:r>
        <w:t xml:space="preserve">or more </w:t>
      </w:r>
      <w:r>
        <w:t>years</w:t>
      </w:r>
      <w:r>
        <w:t xml:space="preserve">.  Given that </w:t>
      </w:r>
      <w:r>
        <w:t>the word</w:t>
      </w:r>
      <w:r>
        <w:t>,</w:t>
      </w:r>
      <w:r>
        <w:t xml:space="preserve"> “temporarily</w:t>
      </w:r>
      <w:r>
        <w:t>,</w:t>
      </w:r>
      <w:r>
        <w:t xml:space="preserve">” precedes a </w:t>
      </w:r>
      <w:r>
        <w:t>list of</w:t>
      </w:r>
      <w:r>
        <w:t xml:space="preserve"> short-term events</w:t>
      </w:r>
      <w:r>
        <w:t xml:space="preserve"> that are </w:t>
      </w:r>
      <w:r>
        <w:t xml:space="preserve">always </w:t>
      </w:r>
      <w:r>
        <w:t>relatively</w:t>
      </w:r>
      <w:r>
        <w:t xml:space="preserve"> brief</w:t>
      </w:r>
      <w:r>
        <w:t xml:space="preserve"> in </w:t>
      </w:r>
      <w:r>
        <w:t>duration</w:t>
      </w:r>
      <w:r>
        <w:t xml:space="preserve">, the </w:t>
      </w:r>
      <w:r>
        <w:t>most</w:t>
      </w:r>
      <w:r>
        <w:t xml:space="preserve"> </w:t>
      </w:r>
      <w:r>
        <w:t>natural</w:t>
      </w:r>
      <w:r>
        <w:t xml:space="preserve"> construction of</w:t>
      </w:r>
      <w:r>
        <w:t xml:space="preserve"> “temporarily” is that it likewise</w:t>
      </w:r>
      <w:r>
        <w:t xml:space="preserve"> indicates the </w:t>
      </w:r>
      <w:r>
        <w:t>street closure</w:t>
      </w:r>
      <w:r>
        <w:t>s</w:t>
      </w:r>
      <w:r>
        <w:t xml:space="preserve"> </w:t>
      </w:r>
      <w:r>
        <w:t xml:space="preserve">must be </w:t>
      </w:r>
      <w:r>
        <w:t>brief in duration.</w:t>
      </w:r>
    </w:p>
    <w:p w14:paraId="7AE64B4E" w14:textId="77777777" w:rsidR="00653862" w:rsidRDefault="00021E22" w:rsidP="00AE3BE0">
      <w:r>
        <w:tab/>
        <w:t xml:space="preserve">The </w:t>
      </w:r>
      <w:r>
        <w:t>City</w:t>
      </w:r>
      <w:r>
        <w:t xml:space="preserve"> </w:t>
      </w:r>
      <w:r>
        <w:t>disagrees</w:t>
      </w:r>
      <w:r>
        <w:t xml:space="preserve">, noting </w:t>
      </w:r>
      <w:r>
        <w:t>that</w:t>
      </w:r>
      <w:r>
        <w:t xml:space="preserve"> the </w:t>
      </w:r>
      <w:r>
        <w:t>statute</w:t>
      </w:r>
      <w:r>
        <w:t xml:space="preserve"> allows local au</w:t>
      </w:r>
      <w:r>
        <w:t xml:space="preserve">thorities to </w:t>
      </w:r>
      <w:r>
        <w:t>temporarily close portions of</w:t>
      </w:r>
      <w:r>
        <w:t xml:space="preserve"> street</w:t>
      </w:r>
      <w:r>
        <w:t xml:space="preserve">s </w:t>
      </w:r>
      <w:r>
        <w:t xml:space="preserve">for “other purposes,” </w:t>
      </w:r>
      <w:r>
        <w:t xml:space="preserve">a catch-all phrase </w:t>
      </w:r>
      <w:r>
        <w:t>the City</w:t>
      </w:r>
      <w:r>
        <w:t xml:space="preserve"> read</w:t>
      </w:r>
      <w:r>
        <w:t>s</w:t>
      </w:r>
      <w:r>
        <w:t xml:space="preserve"> </w:t>
      </w:r>
      <w:r>
        <w:t>expansively</w:t>
      </w:r>
      <w:r>
        <w:t xml:space="preserve"> to encompass </w:t>
      </w:r>
      <w:r>
        <w:t xml:space="preserve">both </w:t>
      </w:r>
      <w:r>
        <w:t>long-</w:t>
      </w:r>
      <w:r>
        <w:t xml:space="preserve"> and short-</w:t>
      </w:r>
      <w:r>
        <w:t>term</w:t>
      </w:r>
      <w:r>
        <w:t xml:space="preserve"> </w:t>
      </w:r>
      <w:r>
        <w:t>events.  We</w:t>
      </w:r>
      <w:r>
        <w:t xml:space="preserve"> reject</w:t>
      </w:r>
      <w:r>
        <w:t xml:space="preserve"> </w:t>
      </w:r>
      <w:r>
        <w:t xml:space="preserve">the City’s </w:t>
      </w:r>
      <w:r>
        <w:t>broad construction</w:t>
      </w:r>
      <w:r>
        <w:t xml:space="preserve"> of the </w:t>
      </w:r>
      <w:r>
        <w:t xml:space="preserve">statutory </w:t>
      </w:r>
      <w:r>
        <w:t xml:space="preserve">phrase, “other purposes.”  </w:t>
      </w:r>
      <w:r w:rsidRPr="00716D0C">
        <w:t>“Unde</w:t>
      </w:r>
      <w:r w:rsidRPr="00716D0C">
        <w:t xml:space="preserve">r the maxim </w:t>
      </w:r>
      <w:r w:rsidRPr="00716D0C">
        <w:rPr>
          <w:i/>
          <w:iCs/>
        </w:rPr>
        <w:t>ejusdem generis</w:t>
      </w:r>
      <w:r w:rsidRPr="00716D0C">
        <w:t xml:space="preserve"> (of the same kind), ‘if a statute contains a list of specified items followed by more general words, the general words are limited to those items that are similar to those specifically listed.’</w:t>
      </w:r>
      <w:r>
        <w:t> </w:t>
      </w:r>
      <w:r w:rsidRPr="00716D0C">
        <w:t>”  (</w:t>
      </w:r>
      <w:bookmarkStart w:id="42" w:name="dabmci_82d956ed546040d386b2bb67dd582569"/>
      <w:r w:rsidRPr="00716D0C">
        <w:rPr>
          <w:i/>
          <w:iCs/>
        </w:rPr>
        <w:t xml:space="preserve">Rincon </w:t>
      </w:r>
      <w:r w:rsidRPr="00716D0C">
        <w:rPr>
          <w:i/>
          <w:iCs/>
        </w:rPr>
        <w:t>Ban</w:t>
      </w:r>
      <w:r>
        <w:rPr>
          <w:i/>
          <w:iCs/>
        </w:rPr>
        <w:t>d</w:t>
      </w:r>
      <w:r w:rsidRPr="00716D0C">
        <w:rPr>
          <w:i/>
          <w:iCs/>
        </w:rPr>
        <w:t xml:space="preserve"> </w:t>
      </w:r>
      <w:r w:rsidRPr="00716D0C">
        <w:rPr>
          <w:i/>
          <w:iCs/>
        </w:rPr>
        <w:t xml:space="preserve">of Luiseño </w:t>
      </w:r>
      <w:r>
        <w:rPr>
          <w:i/>
          <w:iCs/>
        </w:rPr>
        <w:t xml:space="preserve">Mission </w:t>
      </w:r>
      <w:r w:rsidRPr="00716D0C">
        <w:rPr>
          <w:i/>
          <w:iCs/>
        </w:rPr>
        <w:t>Indians</w:t>
      </w:r>
      <w:r>
        <w:rPr>
          <w:i/>
          <w:iCs/>
        </w:rPr>
        <w:t>, etc.</w:t>
      </w:r>
      <w:r w:rsidRPr="00716D0C">
        <w:rPr>
          <w:i/>
          <w:iCs/>
        </w:rPr>
        <w:t xml:space="preserve"> v. Flynt</w:t>
      </w:r>
      <w:r w:rsidRPr="00716D0C">
        <w:t xml:space="preserve"> (2021) 70 Cal.App.5th 1059, 1091</w:t>
      </w:r>
      <w:r>
        <w:t>–</w:t>
      </w:r>
      <w:r w:rsidRPr="00716D0C">
        <w:t>1092</w:t>
      </w:r>
      <w:bookmarkEnd w:id="42"/>
      <w:r>
        <w:t xml:space="preserve">; </w:t>
      </w:r>
      <w:r>
        <w:t xml:space="preserve">see </w:t>
      </w:r>
      <w:bookmarkStart w:id="43" w:name="dabmci_b7b8a008550e46daa636af41ed160ae4"/>
      <w:r>
        <w:rPr>
          <w:i/>
          <w:iCs/>
        </w:rPr>
        <w:t xml:space="preserve">J. Arthur Properties, II, LLC v. City of San Jose </w:t>
      </w:r>
      <w:r>
        <w:t>(2018) 21 Cal.App.5th 480, 486</w:t>
      </w:r>
      <w:bookmarkEnd w:id="43"/>
      <w:r>
        <w:t xml:space="preserve"> [</w:t>
      </w:r>
      <w:r w:rsidRPr="00C41546">
        <w:t>“</w:t>
      </w:r>
      <w:r>
        <w:t> ‘</w:t>
      </w:r>
      <w:r w:rsidRPr="00C41546">
        <w:t>when a particular class of things modifies general words, those general words are cons</w:t>
      </w:r>
      <w:r w:rsidRPr="00C41546">
        <w:t>trued as applying only to things of the same nature or class as those enumerated</w:t>
      </w:r>
      <w:r>
        <w:t>’ </w:t>
      </w:r>
      <w:r>
        <w:t>”]</w:t>
      </w:r>
      <w:r w:rsidRPr="00716D0C">
        <w:t xml:space="preserve">.)  Applying that </w:t>
      </w:r>
      <w:r>
        <w:t>cannon</w:t>
      </w:r>
      <w:r w:rsidRPr="00716D0C">
        <w:t xml:space="preserve"> </w:t>
      </w:r>
      <w:r>
        <w:t xml:space="preserve">of </w:t>
      </w:r>
      <w:r>
        <w:lastRenderedPageBreak/>
        <w:t xml:space="preserve">construction </w:t>
      </w:r>
      <w:r w:rsidRPr="00716D0C">
        <w:t xml:space="preserve">here, </w:t>
      </w:r>
      <w:r>
        <w:t>the general phrase,</w:t>
      </w:r>
      <w:r w:rsidRPr="00716D0C">
        <w:t xml:space="preserve"> “other purposes</w:t>
      </w:r>
      <w:r>
        <w:t>,</w:t>
      </w:r>
      <w:r w:rsidRPr="00716D0C">
        <w:t xml:space="preserve">” </w:t>
      </w:r>
      <w:r>
        <w:t>must be limited</w:t>
      </w:r>
      <w:r w:rsidRPr="00716D0C">
        <w:t xml:space="preserve"> </w:t>
      </w:r>
      <w:r>
        <w:t>by</w:t>
      </w:r>
      <w:r w:rsidRPr="00716D0C">
        <w:t xml:space="preserve"> </w:t>
      </w:r>
      <w:r>
        <w:t>the specific</w:t>
      </w:r>
      <w:r>
        <w:t xml:space="preserve"> list of events</w:t>
      </w:r>
      <w:r w:rsidRPr="00716D0C">
        <w:t xml:space="preserve"> </w:t>
      </w:r>
      <w:r>
        <w:t>preced</w:t>
      </w:r>
      <w:r>
        <w:t>ing</w:t>
      </w:r>
      <w:r>
        <w:t xml:space="preserve"> it</w:t>
      </w:r>
      <w:r w:rsidRPr="00716D0C">
        <w:t>.</w:t>
      </w:r>
      <w:r>
        <w:t xml:space="preserve">  As just discussed, all of</w:t>
      </w:r>
      <w:r>
        <w:t xml:space="preserve"> these proceedings are widel</w:t>
      </w:r>
      <w:r>
        <w:t>y</w:t>
      </w:r>
      <w:r>
        <w:t xml:space="preserve"> </w:t>
      </w:r>
      <w:r>
        <w:t>understood to be short-term in nature.</w:t>
      </w:r>
    </w:p>
    <w:p w14:paraId="6FE3FC33" w14:textId="77777777" w:rsidR="00135329" w:rsidRDefault="00021E22" w:rsidP="00AE3BE0">
      <w:r>
        <w:tab/>
        <w:t xml:space="preserve">The City also argues the Legislature </w:t>
      </w:r>
      <w:r>
        <w:t>sanctioned</w:t>
      </w:r>
      <w:r>
        <w:t xml:space="preserve"> long</w:t>
      </w:r>
      <w:r>
        <w:t>-term</w:t>
      </w:r>
      <w:r>
        <w:t xml:space="preserve"> street closures </w:t>
      </w:r>
      <w:r>
        <w:t xml:space="preserve">because </w:t>
      </w:r>
      <w:r>
        <w:t>it</w:t>
      </w:r>
      <w:r>
        <w:t xml:space="preserve"> did not impose </w:t>
      </w:r>
      <w:r>
        <w:t>concrete</w:t>
      </w:r>
      <w:r>
        <w:t xml:space="preserve"> time limitation</w:t>
      </w:r>
      <w:r>
        <w:t>s</w:t>
      </w:r>
      <w:r>
        <w:t xml:space="preserve"> </w:t>
      </w:r>
      <w:r>
        <w:t>in the statute</w:t>
      </w:r>
      <w:r>
        <w:t xml:space="preserve"> itself</w:t>
      </w:r>
      <w:r>
        <w:t xml:space="preserve">.  </w:t>
      </w:r>
      <w:r>
        <w:t>The City</w:t>
      </w:r>
      <w:r>
        <w:t xml:space="preserve"> claims</w:t>
      </w:r>
      <w:r>
        <w:t xml:space="preserve"> the statute could ha</w:t>
      </w:r>
      <w:r>
        <w:t>ve been written to state</w:t>
      </w:r>
      <w:r>
        <w:t xml:space="preserve">, for example, </w:t>
      </w:r>
      <w:r>
        <w:t>that local authorities may temporarily close portions of streets f</w:t>
      </w:r>
      <w:r>
        <w:t xml:space="preserve">or </w:t>
      </w:r>
      <w:r>
        <w:t>period</w:t>
      </w:r>
      <w:r>
        <w:t>s</w:t>
      </w:r>
      <w:r>
        <w:t xml:space="preserve"> of time not to exceed </w:t>
      </w:r>
      <w:r>
        <w:t>one year</w:t>
      </w:r>
      <w:r>
        <w:t xml:space="preserve"> (or some other amount of time)</w:t>
      </w:r>
      <w:r>
        <w:t>.</w:t>
      </w:r>
      <w:r>
        <w:t xml:space="preserve">  The City’s argument is unconvincing</w:t>
      </w:r>
      <w:r>
        <w:t xml:space="preserve">.  The mere fact the Legislature </w:t>
      </w:r>
      <w:r>
        <w:t>declined to</w:t>
      </w:r>
      <w:r>
        <w:t xml:space="preserve"> impose a </w:t>
      </w:r>
      <w:r>
        <w:t>definite</w:t>
      </w:r>
      <w:r>
        <w:t xml:space="preserve"> time limitation for </w:t>
      </w:r>
      <w:r>
        <w:t>temporary</w:t>
      </w:r>
      <w:r>
        <w:t xml:space="preserve"> street closures does not logically suggest the duration of </w:t>
      </w:r>
      <w:r>
        <w:t xml:space="preserve">a given </w:t>
      </w:r>
      <w:r>
        <w:t xml:space="preserve">street closure </w:t>
      </w:r>
      <w:r>
        <w:t xml:space="preserve">was </w:t>
      </w:r>
      <w:r>
        <w:t>irrelevant</w:t>
      </w:r>
      <w:r>
        <w:t xml:space="preserve"> to the Legislature</w:t>
      </w:r>
      <w:r>
        <w:t xml:space="preserve">.  </w:t>
      </w:r>
      <w:r>
        <w:t>It</w:t>
      </w:r>
      <w:r>
        <w:t xml:space="preserve"> simply indicates the Legislature did not d</w:t>
      </w:r>
      <w:r>
        <w:t xml:space="preserve">esire to </w:t>
      </w:r>
      <w:r>
        <w:t xml:space="preserve">impose </w:t>
      </w:r>
      <w:r>
        <w:t xml:space="preserve">on local authorities </w:t>
      </w:r>
      <w:r>
        <w:t xml:space="preserve">a rigid </w:t>
      </w:r>
      <w:r>
        <w:t xml:space="preserve">and unyielding </w:t>
      </w:r>
      <w:r>
        <w:t>time limitation</w:t>
      </w:r>
      <w:r>
        <w:t xml:space="preserve"> that would apply in </w:t>
      </w:r>
      <w:r>
        <w:t>all</w:t>
      </w:r>
      <w:r>
        <w:t xml:space="preserve"> </w:t>
      </w:r>
      <w:r>
        <w:t>circumstances.</w:t>
      </w:r>
      <w:r>
        <w:t xml:space="preserve">  Instead, it used the word “temporarily” to limit street closures to those lasting for a relatively brief period of time, depending on the un</w:t>
      </w:r>
      <w:r>
        <w:t xml:space="preserve">derlying </w:t>
      </w:r>
      <w:r>
        <w:t>need for, and purpose of, the street closure at issue</w:t>
      </w:r>
      <w:r>
        <w:t>.</w:t>
      </w:r>
    </w:p>
    <w:p w14:paraId="184F1CF4" w14:textId="77777777" w:rsidR="00B04437" w:rsidRDefault="00021E22" w:rsidP="00AE3BE0">
      <w:r>
        <w:tab/>
        <w:t xml:space="preserve">The Committee’s construction of </w:t>
      </w:r>
      <w:bookmarkStart w:id="44" w:name="dabmci_7776f42292a3493d80b3bab535a04325"/>
      <w:r>
        <w:t>Vehicle Code section 21101</w:t>
      </w:r>
      <w:bookmarkEnd w:id="44"/>
      <w:r>
        <w:t>, subdivision</w:t>
      </w:r>
      <w:r>
        <w:t> </w:t>
      </w:r>
      <w:r>
        <w:t xml:space="preserve">(e), which we adopt as our own, is also the only </w:t>
      </w:r>
      <w:r>
        <w:t>one</w:t>
      </w:r>
      <w:r>
        <w:t xml:space="preserve"> that is consistent with the </w:t>
      </w:r>
      <w:r>
        <w:t>law</w:t>
      </w:r>
      <w:r>
        <w:t>’s</w:t>
      </w:r>
      <w:r>
        <w:t xml:space="preserve"> broader statutory scheme.  As we</w:t>
      </w:r>
      <w:r>
        <w:t xml:space="preserve"> have discussed, the state has plenary power over traffic control and any delegation of such authority must be expressly provided.  (</w:t>
      </w:r>
      <w:bookmarkStart w:id="45" w:name="dabmci_b777e00d6f7b47758d888d0d678197c5"/>
      <w:r>
        <w:t>Veh. Code, § 21</w:t>
      </w:r>
      <w:bookmarkEnd w:id="45"/>
      <w:r>
        <w:t xml:space="preserve">; </w:t>
      </w:r>
      <w:bookmarkStart w:id="46" w:name="dabmci_2a9d86bd3c614904976eef6a4c23a43f"/>
      <w:r w:rsidRPr="0001157A">
        <w:rPr>
          <w:i/>
          <w:iCs/>
        </w:rPr>
        <w:t>Rumford, supra</w:t>
      </w:r>
      <w:r>
        <w:t>, 31 Cal.3d at pp.</w:t>
      </w:r>
      <w:r>
        <w:t> </w:t>
      </w:r>
      <w:r>
        <w:t>549–550</w:t>
      </w:r>
      <w:bookmarkEnd w:id="46"/>
      <w:r>
        <w:t xml:space="preserve">.)  </w:t>
      </w:r>
      <w:r>
        <w:t>Therefore</w:t>
      </w:r>
      <w:r>
        <w:t>, “ ‘</w:t>
      </w:r>
      <w:r>
        <w:t> “</w:t>
      </w:r>
      <w:r w:rsidRPr="00B04437">
        <w:t xml:space="preserve">if there is a doubt as to whether or not </w:t>
      </w:r>
      <w:r>
        <w:t>[a tr</w:t>
      </w:r>
      <w:r>
        <w:t>affic]</w:t>
      </w:r>
      <w:r w:rsidRPr="00B04437">
        <w:t xml:space="preserve"> regulation is a municipal affair, that doubt must be resolved in favor of the legislative authority of the state.</w:t>
      </w:r>
      <w:r>
        <w:t>” </w:t>
      </w:r>
      <w:r w:rsidRPr="00B04437">
        <w:t>’</w:t>
      </w:r>
      <w:r>
        <w:t> </w:t>
      </w:r>
      <w:r w:rsidRPr="00B04437">
        <w:t>”</w:t>
      </w:r>
      <w:r>
        <w:t xml:space="preserve">  (</w:t>
      </w:r>
      <w:bookmarkStart w:id="47" w:name="dabmci_a1e3086c810247448b48eb3b9c676e39"/>
      <w:r w:rsidRPr="0001157A">
        <w:rPr>
          <w:i/>
          <w:iCs/>
        </w:rPr>
        <w:t>Zack’s, Inc. v. City of Sausalito</w:t>
      </w:r>
      <w:r>
        <w:t xml:space="preserve"> (2008) 165 Cal.App.4th 1163, 1183</w:t>
      </w:r>
      <w:bookmarkEnd w:id="47"/>
      <w:r>
        <w:t xml:space="preserve">.)  </w:t>
      </w:r>
      <w:r>
        <w:t>The Committee’s interpretation of Vehicle Code section</w:t>
      </w:r>
      <w:r>
        <w:t> </w:t>
      </w:r>
      <w:r>
        <w:t>21</w:t>
      </w:r>
      <w:r>
        <w:t>101, subdivision</w:t>
      </w:r>
      <w:r>
        <w:t> </w:t>
      </w:r>
      <w:r>
        <w:t xml:space="preserve">(e), adheres to these </w:t>
      </w:r>
      <w:r>
        <w:lastRenderedPageBreak/>
        <w:t xml:space="preserve">principles by limiting the power delegated </w:t>
      </w:r>
      <w:r>
        <w:t>from</w:t>
      </w:r>
      <w:r>
        <w:t xml:space="preserve"> the state to local authorities.  The City’s interpretation</w:t>
      </w:r>
      <w:r>
        <w:t xml:space="preserve"> </w:t>
      </w:r>
      <w:r>
        <w:t xml:space="preserve">turns these principles on their head. </w:t>
      </w:r>
    </w:p>
    <w:p w14:paraId="2E1669D3" w14:textId="77777777" w:rsidR="00C41546" w:rsidRDefault="00021E22" w:rsidP="00AE3BE0">
      <w:r>
        <w:tab/>
      </w:r>
      <w:r>
        <w:t xml:space="preserve">Moreover, </w:t>
      </w:r>
      <w:r>
        <w:t xml:space="preserve">we must “avoid a construction that would lead to </w:t>
      </w:r>
      <w:r>
        <w:t>unreasonable, impractical, or arbitrary results.’</w:t>
      </w:r>
      <w:r>
        <w:t> </w:t>
      </w:r>
      <w:r>
        <w:t>”  (</w:t>
      </w:r>
      <w:bookmarkStart w:id="48" w:name="dabmci_879fad0479814ae0b4414da85850178b"/>
      <w:r>
        <w:rPr>
          <w:i/>
          <w:iCs/>
        </w:rPr>
        <w:t>Poole v. Orange County Fire Authority</w:t>
      </w:r>
      <w:r>
        <w:t xml:space="preserve"> (2015) 61 Cal.4th 1378, 1385</w:t>
      </w:r>
      <w:bookmarkEnd w:id="48"/>
      <w:r>
        <w:t>.)  T</w:t>
      </w:r>
      <w:r>
        <w:t xml:space="preserve">he City’s understanding of </w:t>
      </w:r>
      <w:bookmarkStart w:id="49" w:name="dabmci_2199b9d6c97e44ee87f08728b8c3637d"/>
      <w:r>
        <w:t>Vehicle Code section</w:t>
      </w:r>
      <w:r>
        <w:t> </w:t>
      </w:r>
      <w:r>
        <w:t>21101</w:t>
      </w:r>
      <w:bookmarkEnd w:id="49"/>
      <w:r>
        <w:t>, subdivision</w:t>
      </w:r>
      <w:r>
        <w:t> </w:t>
      </w:r>
      <w:r>
        <w:t xml:space="preserve">(e), </w:t>
      </w:r>
      <w:r>
        <w:t>threaten</w:t>
      </w:r>
      <w:r>
        <w:t>s</w:t>
      </w:r>
      <w:r>
        <w:t xml:space="preserve"> to</w:t>
      </w:r>
      <w:r>
        <w:t xml:space="preserve"> </w:t>
      </w:r>
      <w:r>
        <w:t xml:space="preserve">produce </w:t>
      </w:r>
      <w:r>
        <w:t>such a</w:t>
      </w:r>
      <w:r>
        <w:t xml:space="preserve"> </w:t>
      </w:r>
      <w:r>
        <w:t>result</w:t>
      </w:r>
      <w:r>
        <w:t>.</w:t>
      </w:r>
      <w:r>
        <w:t xml:space="preserve">  </w:t>
      </w:r>
      <w:r>
        <w:t>Under the City’s expan</w:t>
      </w:r>
      <w:r>
        <w:t xml:space="preserve">sive reading of the statute, a </w:t>
      </w:r>
      <w:r>
        <w:t>local authority</w:t>
      </w:r>
      <w:r>
        <w:t xml:space="preserve"> </w:t>
      </w:r>
      <w:r>
        <w:t xml:space="preserve">could close a </w:t>
      </w:r>
      <w:r>
        <w:t xml:space="preserve">portion of a </w:t>
      </w:r>
      <w:r>
        <w:t xml:space="preserve">public </w:t>
      </w:r>
      <w:r>
        <w:t xml:space="preserve">street for </w:t>
      </w:r>
      <w:r>
        <w:t>any length of time</w:t>
      </w:r>
      <w:r>
        <w:t xml:space="preserve">, </w:t>
      </w:r>
      <w:r>
        <w:t xml:space="preserve">so long as </w:t>
      </w:r>
      <w:r>
        <w:t xml:space="preserve">the street closure </w:t>
      </w:r>
      <w:r>
        <w:t xml:space="preserve">ends </w:t>
      </w:r>
      <w:r>
        <w:rPr>
          <w:i/>
          <w:iCs/>
        </w:rPr>
        <w:t>at some time</w:t>
      </w:r>
      <w:r>
        <w:rPr>
          <w:i/>
          <w:iCs/>
        </w:rPr>
        <w:t xml:space="preserve"> </w:t>
      </w:r>
      <w:r>
        <w:t>in the future</w:t>
      </w:r>
      <w:r>
        <w:t>.</w:t>
      </w:r>
      <w:r>
        <w:t xml:space="preserve">  And it could do so for virtually any purpose</w:t>
      </w:r>
      <w:r>
        <w:t xml:space="preserve"> (</w:t>
      </w:r>
      <w:r>
        <w:t xml:space="preserve">recall, the </w:t>
      </w:r>
      <w:r>
        <w:t xml:space="preserve">City urges a </w:t>
      </w:r>
      <w:r>
        <w:t>broad</w:t>
      </w:r>
      <w:r>
        <w:t xml:space="preserve"> rea</w:t>
      </w:r>
      <w:r>
        <w:t xml:space="preserve">ding of the statutory phrase, </w:t>
      </w:r>
      <w:r>
        <w:t>“</w:t>
      </w:r>
      <w:r w:rsidRPr="00E309FB">
        <w:t>other purposes</w:t>
      </w:r>
      <w:r>
        <w:t>”</w:t>
      </w:r>
      <w:r>
        <w:t xml:space="preserve">), </w:t>
      </w:r>
      <w:r>
        <w:t>so long as</w:t>
      </w:r>
      <w:r>
        <w:t xml:space="preserve"> the </w:t>
      </w:r>
      <w:r>
        <w:t xml:space="preserve">street </w:t>
      </w:r>
      <w:r>
        <w:t>closure is necessary to protect and safeguard persons who are using th</w:t>
      </w:r>
      <w:r>
        <w:t>e</w:t>
      </w:r>
      <w:r>
        <w:t xml:space="preserve"> street during the </w:t>
      </w:r>
      <w:r>
        <w:t xml:space="preserve">street </w:t>
      </w:r>
      <w:r>
        <w:t>closure.</w:t>
      </w:r>
      <w:r>
        <w:t xml:space="preserve">  W</w:t>
      </w:r>
      <w:r>
        <w:t xml:space="preserve">e do not believe the Legislature intended to delegate such a </w:t>
      </w:r>
      <w:r>
        <w:t>vast</w:t>
      </w:r>
      <w:r>
        <w:t xml:space="preserve"> expansion o</w:t>
      </w:r>
      <w:r>
        <w:t xml:space="preserve">f power to </w:t>
      </w:r>
      <w:r>
        <w:t>local authorities</w:t>
      </w:r>
      <w:r>
        <w:t xml:space="preserve"> when</w:t>
      </w:r>
      <w:r>
        <w:t xml:space="preserve"> it granted them the right to “temporarily” close portions of streets</w:t>
      </w:r>
      <w:r>
        <w:t xml:space="preserve"> </w:t>
      </w:r>
      <w:r w:rsidRPr="006C0DD9">
        <w:t xml:space="preserve">for celebrations, parades, local special events, and </w:t>
      </w:r>
      <w:r>
        <w:t>the like</w:t>
      </w:r>
      <w:r>
        <w:t>.</w:t>
      </w:r>
    </w:p>
    <w:p w14:paraId="2CE68B6F" w14:textId="77777777" w:rsidR="00C33788" w:rsidRDefault="00021E22" w:rsidP="007122E0">
      <w:r>
        <w:tab/>
      </w:r>
      <w:r>
        <w:t>For all these reasons</w:t>
      </w:r>
      <w:r>
        <w:t xml:space="preserve">, we conclude </w:t>
      </w:r>
      <w:r>
        <w:t xml:space="preserve">the most reasonable construction of </w:t>
      </w:r>
      <w:bookmarkStart w:id="50" w:name="dabmci_124ba548a8ba4a7a8a89da5b0fd6b9e6"/>
      <w:r w:rsidRPr="004946ED">
        <w:t>Vehicle Code section 21101</w:t>
      </w:r>
      <w:bookmarkEnd w:id="50"/>
      <w:r w:rsidRPr="004946ED">
        <w:t>, subdivision</w:t>
      </w:r>
      <w:r>
        <w:t> </w:t>
      </w:r>
      <w:r w:rsidRPr="004946ED">
        <w:t>(e)</w:t>
      </w:r>
      <w:r>
        <w:t xml:space="preserve">, </w:t>
      </w:r>
      <w:r>
        <w:t xml:space="preserve">is that it </w:t>
      </w:r>
      <w:r>
        <w:t>permits local authorities to close portions of streets only for a relatively short period of time</w:t>
      </w:r>
      <w:r>
        <w:t>, assuming</w:t>
      </w:r>
      <w:r>
        <w:t xml:space="preserve"> </w:t>
      </w:r>
      <w:r>
        <w:t>there has been a determination that the closure is neces</w:t>
      </w:r>
      <w:r>
        <w:t>sary to safeguard and protect persons using the street during the temporary closing</w:t>
      </w:r>
      <w:r>
        <w:t>.  It does not authorize</w:t>
      </w:r>
      <w:r>
        <w:t xml:space="preserve"> local authorities</w:t>
      </w:r>
      <w:r>
        <w:t xml:space="preserve"> to </w:t>
      </w:r>
      <w:r>
        <w:t>close</w:t>
      </w:r>
      <w:r>
        <w:t xml:space="preserve"> streets </w:t>
      </w:r>
      <w:r>
        <w:t xml:space="preserve">to vehicular traffic for whatever </w:t>
      </w:r>
      <w:r>
        <w:t xml:space="preserve">non-permanent </w:t>
      </w:r>
      <w:r>
        <w:t>duration of time they desire.</w:t>
      </w:r>
      <w:r>
        <w:rPr>
          <w:rStyle w:val="FootnoteReference"/>
        </w:rPr>
        <w:footnoteReference w:id="6"/>
      </w:r>
    </w:p>
    <w:p w14:paraId="237FFB9D" w14:textId="77777777" w:rsidR="007122E0" w:rsidRPr="007122E0" w:rsidRDefault="00021E22" w:rsidP="007122E0">
      <w:pPr>
        <w:pStyle w:val="Heading3"/>
      </w:pPr>
      <w:r w:rsidRPr="007122E0">
        <w:lastRenderedPageBreak/>
        <w:t xml:space="preserve">The </w:t>
      </w:r>
      <w:r>
        <w:t>City Exceeded its Authority u</w:t>
      </w:r>
      <w:r>
        <w:t xml:space="preserve">nder the </w:t>
      </w:r>
      <w:r w:rsidRPr="007122E0">
        <w:t xml:space="preserve">Vehicle Code and </w:t>
      </w:r>
      <w:r>
        <w:t xml:space="preserve">the </w:t>
      </w:r>
      <w:r w:rsidRPr="007122E0">
        <w:t>Palm Springs Municipal Code</w:t>
      </w:r>
    </w:p>
    <w:p w14:paraId="7FE48B26" w14:textId="77777777" w:rsidR="005150F1" w:rsidRDefault="00021E22" w:rsidP="000F4524">
      <w:r>
        <w:tab/>
      </w:r>
      <w:r>
        <w:t>T</w:t>
      </w:r>
      <w:r>
        <w:t>he Committee has alleged fact</w:t>
      </w:r>
      <w:r>
        <w:t xml:space="preserve">s </w:t>
      </w:r>
      <w:r>
        <w:t xml:space="preserve">sufficient to establish that the City exceeded its authority under </w:t>
      </w:r>
      <w:bookmarkStart w:id="57" w:name="dabmci_2ff1cc074dcb4390b52b01def1f7abed"/>
      <w:r w:rsidRPr="004946ED">
        <w:t>Vehicle Code section</w:t>
      </w:r>
      <w:r>
        <w:t> </w:t>
      </w:r>
      <w:r w:rsidRPr="004946ED">
        <w:t>21101</w:t>
      </w:r>
      <w:bookmarkEnd w:id="57"/>
      <w:r w:rsidRPr="004946ED">
        <w:t>, subdivision</w:t>
      </w:r>
      <w:r>
        <w:t> </w:t>
      </w:r>
      <w:r w:rsidRPr="004946ED">
        <w:t>(e</w:t>
      </w:r>
      <w:r>
        <w:t xml:space="preserve">), </w:t>
      </w:r>
      <w:r>
        <w:t>and its Palm Springs Municipal Code</w:t>
      </w:r>
      <w:r>
        <w:t xml:space="preserve"> analogue</w:t>
      </w:r>
      <w:r>
        <w:t xml:space="preserve">.  According to the operative petition for </w:t>
      </w:r>
      <w:r>
        <w:t xml:space="preserve">writ of </w:t>
      </w:r>
      <w:r>
        <w:t xml:space="preserve">administrative mandate, as well as documents subject to judicial notice, the City approved the closure of Museum Way for three years </w:t>
      </w:r>
      <w:r>
        <w:t>for the</w:t>
      </w:r>
      <w:r>
        <w:t xml:space="preserve"> </w:t>
      </w:r>
      <w:r>
        <w:t xml:space="preserve">implementation </w:t>
      </w:r>
      <w:r>
        <w:t xml:space="preserve">and display </w:t>
      </w:r>
      <w:r>
        <w:t xml:space="preserve">of </w:t>
      </w:r>
      <w:r>
        <w:t xml:space="preserve">Forever Marilyn.  </w:t>
      </w:r>
      <w:r>
        <w:t>The three-year c</w:t>
      </w:r>
      <w:r>
        <w:t>losure</w:t>
      </w:r>
      <w:r>
        <w:t xml:space="preserve"> </w:t>
      </w:r>
      <w:r>
        <w:t xml:space="preserve">of Museum Way </w:t>
      </w:r>
      <w:r>
        <w:t>is not a relatively short-term street closure</w:t>
      </w:r>
      <w:r>
        <w:t>.  Indeed</w:t>
      </w:r>
      <w:r>
        <w:t>, the City does not argue otherwise</w:t>
      </w:r>
      <w:r>
        <w:t>.  Because the City authorized a prolonged closure</w:t>
      </w:r>
      <w:r>
        <w:t xml:space="preserve"> of a public street to vehicle traffic</w:t>
      </w:r>
      <w:r>
        <w:t>—</w:t>
      </w:r>
      <w:r>
        <w:t xml:space="preserve">not a temporary </w:t>
      </w:r>
      <w:r>
        <w:t>closure</w:t>
      </w:r>
      <w:r>
        <w:t>—</w:t>
      </w:r>
      <w:r>
        <w:t xml:space="preserve">it </w:t>
      </w:r>
      <w:r>
        <w:lastRenderedPageBreak/>
        <w:t xml:space="preserve">exceeded its </w:t>
      </w:r>
      <w:r>
        <w:t>authority under state and local law.</w:t>
      </w:r>
      <w:r>
        <w:t xml:space="preserve">  </w:t>
      </w:r>
      <w:r>
        <w:t>T</w:t>
      </w:r>
      <w:r>
        <w:t>he</w:t>
      </w:r>
      <w:r>
        <w:t>refore, the</w:t>
      </w:r>
      <w:r>
        <w:t xml:space="preserve"> trial court erred insofar as it sustained the demurrer to the Vehicle Code cause of action (claim 1) and </w:t>
      </w:r>
      <w:r>
        <w:t>the</w:t>
      </w:r>
      <w:r>
        <w:t xml:space="preserve"> Palm Springs Municipal Code cause of action (claim 3).</w:t>
      </w:r>
    </w:p>
    <w:p w14:paraId="7DBB3E31" w14:textId="77777777" w:rsidR="007354EC" w:rsidRPr="007354EC" w:rsidRDefault="00021E22" w:rsidP="00C8626D">
      <w:pPr>
        <w:pStyle w:val="Heading2"/>
        <w:keepNext/>
        <w:keepLines/>
        <w:spacing w:before="120" w:after="240" w:line="240" w:lineRule="auto"/>
      </w:pPr>
      <w:r>
        <w:t xml:space="preserve">The </w:t>
      </w:r>
      <w:r>
        <w:t xml:space="preserve">Trial Court </w:t>
      </w:r>
      <w:r>
        <w:t>Erred in Sustaining</w:t>
      </w:r>
      <w:r>
        <w:t xml:space="preserve"> the</w:t>
      </w:r>
      <w:r>
        <w:t xml:space="preserve"> Demurrer to the CEQA </w:t>
      </w:r>
      <w:r>
        <w:t>Cause of Action</w:t>
      </w:r>
    </w:p>
    <w:p w14:paraId="134DD4B7" w14:textId="77777777" w:rsidR="00531E8E" w:rsidRDefault="00021E22" w:rsidP="00AE3BE0">
      <w:r>
        <w:tab/>
      </w:r>
      <w:r>
        <w:t>T</w:t>
      </w:r>
      <w:r>
        <w:t xml:space="preserve">he </w:t>
      </w:r>
      <w:r>
        <w:t xml:space="preserve">Committee </w:t>
      </w:r>
      <w:r>
        <w:t>alleged</w:t>
      </w:r>
      <w:r>
        <w:t xml:space="preserve"> the City violated CEQA by approving the closure of Museum Way </w:t>
      </w:r>
      <w:r>
        <w:t xml:space="preserve">to vehicular traffic, </w:t>
      </w:r>
      <w:r>
        <w:t>and the installation of Forever Marilyn</w:t>
      </w:r>
      <w:r>
        <w:t>,</w:t>
      </w:r>
      <w:r>
        <w:t xml:space="preserve"> without </w:t>
      </w:r>
      <w:r>
        <w:t>conducting</w:t>
      </w:r>
      <w:r>
        <w:t xml:space="preserve"> </w:t>
      </w:r>
      <w:r>
        <w:t>an</w:t>
      </w:r>
      <w:r>
        <w:t xml:space="preserve"> environmental review</w:t>
      </w:r>
      <w:r>
        <w:t xml:space="preserve"> for the project</w:t>
      </w:r>
      <w:r>
        <w:t>.  According</w:t>
      </w:r>
      <w:r>
        <w:t xml:space="preserve"> to the Committee, the </w:t>
      </w:r>
      <w:r>
        <w:t>project</w:t>
      </w:r>
      <w:r>
        <w:t xml:space="preserve"> warranted </w:t>
      </w:r>
      <w:r>
        <w:t xml:space="preserve">such </w:t>
      </w:r>
      <w:r>
        <w:t xml:space="preserve">review because </w:t>
      </w:r>
      <w:r>
        <w:t>it</w:t>
      </w:r>
      <w:r>
        <w:t xml:space="preserve"> could have </w:t>
      </w:r>
      <w:r>
        <w:t xml:space="preserve">adverse environmental </w:t>
      </w:r>
      <w:r>
        <w:t xml:space="preserve">impacts on traffic, aesthetics, and historical resources.  </w:t>
      </w:r>
      <w:r>
        <w:t>T</w:t>
      </w:r>
      <w:r>
        <w:t xml:space="preserve">he </w:t>
      </w:r>
      <w:r>
        <w:t>Committee</w:t>
      </w:r>
      <w:r>
        <w:t xml:space="preserve"> </w:t>
      </w:r>
      <w:r>
        <w:t>alleged</w:t>
      </w:r>
      <w:r>
        <w:t xml:space="preserve"> the City erred in finding </w:t>
      </w:r>
      <w:r>
        <w:t>the</w:t>
      </w:r>
      <w:r>
        <w:t xml:space="preserve"> project was categorically exempt from environmen</w:t>
      </w:r>
      <w:r>
        <w:t xml:space="preserve">tal review under the existing facilities exemption because </w:t>
      </w:r>
      <w:r>
        <w:t>the project</w:t>
      </w:r>
      <w:r>
        <w:t xml:space="preserve"> </w:t>
      </w:r>
      <w:r>
        <w:t xml:space="preserve">would </w:t>
      </w:r>
      <w:r>
        <w:t>significantly change the use of Museum Way and</w:t>
      </w:r>
      <w:r>
        <w:t xml:space="preserve"> </w:t>
      </w:r>
      <w:r>
        <w:t>it</w:t>
      </w:r>
      <w:r>
        <w:t xml:space="preserve"> would have significant effects on the environment due to unusual circumstances (</w:t>
      </w:r>
      <w:bookmarkStart w:id="58" w:name="_Hlk123735226"/>
      <w:r>
        <w:t>Guidelines, § 15300.2</w:t>
      </w:r>
      <w:bookmarkEnd w:id="58"/>
      <w:r>
        <w:t>, subd.</w:t>
      </w:r>
      <w:r>
        <w:t> </w:t>
      </w:r>
      <w:r>
        <w:t>(c)).</w:t>
      </w:r>
      <w:r>
        <w:t xml:space="preserve"> </w:t>
      </w:r>
    </w:p>
    <w:p w14:paraId="2BE62E26" w14:textId="77777777" w:rsidR="0049095D" w:rsidRDefault="00021E22" w:rsidP="00AE3BE0">
      <w:r>
        <w:tab/>
      </w:r>
      <w:r>
        <w:t>The</w:t>
      </w:r>
      <w:r>
        <w:t xml:space="preserve"> City arg</w:t>
      </w:r>
      <w:r>
        <w:t>ue</w:t>
      </w:r>
      <w:r>
        <w:t>s, as it did in the trial court, that</w:t>
      </w:r>
      <w:r>
        <w:t xml:space="preserve"> the CEQA cause of action is </w:t>
      </w:r>
      <w:r>
        <w:t>time</w:t>
      </w:r>
      <w:r>
        <w:t xml:space="preserve">-barred.  </w:t>
      </w:r>
      <w:r>
        <w:t xml:space="preserve">The City </w:t>
      </w:r>
      <w:r>
        <w:t>claims</w:t>
      </w:r>
      <w:r>
        <w:t xml:space="preserve"> its filing of a notice of exemption triggered a </w:t>
      </w:r>
      <w:r>
        <w:t xml:space="preserve">shortened </w:t>
      </w:r>
      <w:r>
        <w:t xml:space="preserve">35-day statute of limitations </w:t>
      </w:r>
      <w:r>
        <w:t xml:space="preserve">(see </w:t>
      </w:r>
      <w:bookmarkStart w:id="59" w:name="dabmci_7ebc888933144cbbbb24d09f97f11b9a"/>
      <w:r>
        <w:t>Pub. Resources Code, § 21167</w:t>
      </w:r>
      <w:bookmarkEnd w:id="59"/>
      <w:r>
        <w:t>, subd.</w:t>
      </w:r>
      <w:r>
        <w:t> </w:t>
      </w:r>
      <w:r>
        <w:t>(d)</w:t>
      </w:r>
      <w:r>
        <w:t xml:space="preserve">), </w:t>
      </w:r>
      <w:r>
        <w:t xml:space="preserve">and the CEQA cause of action is untimely because it was filed </w:t>
      </w:r>
      <w:r>
        <w:t>after the</w:t>
      </w:r>
      <w:r>
        <w:t xml:space="preserve"> </w:t>
      </w:r>
      <w:r>
        <w:t xml:space="preserve">35-day </w:t>
      </w:r>
      <w:r>
        <w:t xml:space="preserve">statute of limitations </w:t>
      </w:r>
      <w:r>
        <w:t xml:space="preserve">period </w:t>
      </w:r>
      <w:r>
        <w:t xml:space="preserve">expired.  </w:t>
      </w:r>
    </w:p>
    <w:p w14:paraId="38852E17" w14:textId="77777777" w:rsidR="0049095D" w:rsidRDefault="00021E22" w:rsidP="00AE3BE0">
      <w:r>
        <w:tab/>
      </w:r>
      <w:r>
        <w:t>In response to this argument, t</w:t>
      </w:r>
      <w:r>
        <w:t xml:space="preserve">he Committee </w:t>
      </w:r>
      <w:r>
        <w:t xml:space="preserve">contends </w:t>
      </w:r>
      <w:r>
        <w:t xml:space="preserve">the </w:t>
      </w:r>
      <w:r>
        <w:t xml:space="preserve">filing of the </w:t>
      </w:r>
      <w:r>
        <w:t>notice of exemption did not trigger a 35-day statute of limitati</w:t>
      </w:r>
      <w:r>
        <w:t xml:space="preserve">ons because, among other reasons, </w:t>
      </w:r>
      <w:r>
        <w:t xml:space="preserve">the project materially changed </w:t>
      </w:r>
      <w:r w:rsidRPr="00356799">
        <w:rPr>
          <w:i/>
          <w:iCs/>
        </w:rPr>
        <w:t>after</w:t>
      </w:r>
      <w:r>
        <w:t xml:space="preserve"> the City filed </w:t>
      </w:r>
      <w:r>
        <w:t>its</w:t>
      </w:r>
      <w:r>
        <w:t xml:space="preserve"> notice of exemption.  It </w:t>
      </w:r>
      <w:r>
        <w:t xml:space="preserve">asserts </w:t>
      </w:r>
      <w:r>
        <w:t xml:space="preserve">the </w:t>
      </w:r>
      <w:r>
        <w:t xml:space="preserve">project changed </w:t>
      </w:r>
      <w:r>
        <w:t xml:space="preserve">significantly </w:t>
      </w:r>
      <w:r>
        <w:t xml:space="preserve">because the notice of exemption </w:t>
      </w:r>
      <w:r>
        <w:t xml:space="preserve">originally </w:t>
      </w:r>
      <w:r>
        <w:t>contemplated</w:t>
      </w:r>
      <w:r>
        <w:t xml:space="preserve"> a </w:t>
      </w:r>
      <w:r>
        <w:t xml:space="preserve">street vacation </w:t>
      </w:r>
      <w:r>
        <w:t>for</w:t>
      </w:r>
      <w:r>
        <w:t xml:space="preserve"> Museum Way, but the C</w:t>
      </w:r>
      <w:r>
        <w:t xml:space="preserve">ity </w:t>
      </w:r>
      <w:r w:rsidRPr="003C1A1C">
        <w:t>subsequently</w:t>
      </w:r>
      <w:r>
        <w:t xml:space="preserve"> abandoned </w:t>
      </w:r>
      <w:r>
        <w:t>that</w:t>
      </w:r>
      <w:r>
        <w:t xml:space="preserve"> </w:t>
      </w:r>
      <w:r>
        <w:t>plan</w:t>
      </w:r>
      <w:r>
        <w:t xml:space="preserve"> and </w:t>
      </w:r>
      <w:r>
        <w:t xml:space="preserve">instead </w:t>
      </w:r>
      <w:r>
        <w:t xml:space="preserve">closed the street </w:t>
      </w:r>
      <w:r>
        <w:t>pursuant to</w:t>
      </w:r>
      <w:r>
        <w:t xml:space="preserve"> </w:t>
      </w:r>
      <w:bookmarkStart w:id="60" w:name="dabmci_dd99c0c9c9a2402aa1c420a19f18f5e7"/>
      <w:r>
        <w:t>Vehicle Code section</w:t>
      </w:r>
      <w:r>
        <w:t> </w:t>
      </w:r>
      <w:r>
        <w:t>21101</w:t>
      </w:r>
      <w:bookmarkEnd w:id="60"/>
      <w:r>
        <w:t>, subdivision (e)</w:t>
      </w:r>
      <w:r>
        <w:t xml:space="preserve">.  </w:t>
      </w:r>
      <w:r>
        <w:t xml:space="preserve">Due to the </w:t>
      </w:r>
      <w:r>
        <w:lastRenderedPageBreak/>
        <w:t>change</w:t>
      </w:r>
      <w:r>
        <w:t>, the Committee</w:t>
      </w:r>
      <w:r>
        <w:t xml:space="preserve"> </w:t>
      </w:r>
      <w:r>
        <w:t xml:space="preserve">maintains that </w:t>
      </w:r>
      <w:r>
        <w:t>its</w:t>
      </w:r>
      <w:r>
        <w:t xml:space="preserve"> CEQA cause of action was </w:t>
      </w:r>
      <w:r>
        <w:t>subject to a</w:t>
      </w:r>
      <w:r>
        <w:t xml:space="preserve"> </w:t>
      </w:r>
      <w:r>
        <w:t>180-day statute of limitations</w:t>
      </w:r>
      <w:r>
        <w:t xml:space="preserve">, </w:t>
      </w:r>
      <w:r>
        <w:t>which it satisfied</w:t>
      </w:r>
      <w:r>
        <w:t xml:space="preserve">.  </w:t>
      </w:r>
      <w:r>
        <w:t>Accepting the allegations of the operative petition for writ of administrative mandate as true</w:t>
      </w:r>
      <w:r>
        <w:t>, we agree with the Committee.</w:t>
      </w:r>
      <w:r>
        <w:t xml:space="preserve">  </w:t>
      </w:r>
    </w:p>
    <w:p w14:paraId="6845EA5D" w14:textId="77777777" w:rsidR="007122E0" w:rsidRDefault="00021E22" w:rsidP="007122E0">
      <w:pPr>
        <w:pStyle w:val="Heading3"/>
        <w:numPr>
          <w:ilvl w:val="0"/>
          <w:numId w:val="14"/>
        </w:numPr>
        <w:ind w:left="1440"/>
      </w:pPr>
      <w:r>
        <w:t>Statutory Framework</w:t>
      </w:r>
    </w:p>
    <w:p w14:paraId="5D3CF2F6" w14:textId="77777777" w:rsidR="00865209" w:rsidRDefault="00021E22" w:rsidP="00AE3BE0">
      <w:r>
        <w:tab/>
      </w:r>
      <w:r>
        <w:t>“</w:t>
      </w:r>
      <w:r w:rsidRPr="00B84E77">
        <w:t xml:space="preserve">CEQA and its implementing regulations </w:t>
      </w:r>
      <w:r>
        <w:t>‘</w:t>
      </w:r>
      <w:r w:rsidRPr="00B84E77">
        <w:t>embody California</w:t>
      </w:r>
      <w:r>
        <w:t>’</w:t>
      </w:r>
      <w:r w:rsidRPr="00B84E77">
        <w:t>s strong public policy of pro</w:t>
      </w:r>
      <w:r w:rsidRPr="00B84E77">
        <w:t>tecting the environment.</w:t>
      </w:r>
      <w:r>
        <w:t>’</w:t>
      </w:r>
      <w:r w:rsidRPr="00B84E77">
        <w:t xml:space="preserve"> </w:t>
      </w:r>
      <w:r>
        <w:t xml:space="preserve"> </w:t>
      </w:r>
      <w:r>
        <w:t>[Citation.]</w:t>
      </w:r>
      <w:r w:rsidRPr="00B84E77">
        <w:t xml:space="preserve"> </w:t>
      </w:r>
      <w:r>
        <w:t xml:space="preserve"> </w:t>
      </w:r>
      <w:r>
        <w:t>‘</w:t>
      </w:r>
      <w:r>
        <w:t> </w:t>
      </w:r>
      <w:r>
        <w:t>“</w:t>
      </w:r>
      <w:r w:rsidRPr="00B84E77">
        <w:t>The basic purposes of CEQA are to: [¶] (1) Inform governmental decision makers and the public about the potential, significant environmental effects of proposed activities. [¶] (2)</w:t>
      </w:r>
      <w:r>
        <w:t> </w:t>
      </w:r>
      <w:r w:rsidRPr="00B84E77">
        <w:t>Identify ways that environmental</w:t>
      </w:r>
      <w:r w:rsidRPr="00B84E77">
        <w:t xml:space="preserve"> damage can be avoided or significantly reduced. [¶] (3) Prevent significant, avoidable damage to the environment by requiring changes in projects through the use of alternatives or mitigation measures when the governmental agency finds the changes to be f</w:t>
      </w:r>
      <w:r w:rsidRPr="00B84E77">
        <w:t>easible. [¶] [and] (4) Disclose to the public the reasons why a governmental agency approved the project in the manner the agency chose if significant environmental effects are involved.</w:t>
      </w:r>
      <w:r>
        <w:t>” </w:t>
      </w:r>
      <w:r w:rsidRPr="00B84E77">
        <w:t>’</w:t>
      </w:r>
      <w:r>
        <w:t> </w:t>
      </w:r>
      <w:r w:rsidRPr="00B84E77">
        <w:t xml:space="preserve">” </w:t>
      </w:r>
      <w:r>
        <w:t xml:space="preserve"> </w:t>
      </w:r>
      <w:r w:rsidRPr="00B84E77">
        <w:t>(</w:t>
      </w:r>
      <w:bookmarkStart w:id="61" w:name="dabmci_707df25cd76040f88f07ab77cd4e476d"/>
      <w:r w:rsidRPr="00B84E77">
        <w:rPr>
          <w:i/>
          <w:iCs/>
        </w:rPr>
        <w:t>Bottini v. City of San Diego</w:t>
      </w:r>
      <w:r>
        <w:t xml:space="preserve"> (2018) 27 Cal.App.5th 281, 291</w:t>
      </w:r>
      <w:bookmarkEnd w:id="61"/>
      <w:r>
        <w:t xml:space="preserve"> (</w:t>
      </w:r>
      <w:r w:rsidRPr="00B84E77">
        <w:rPr>
          <w:i/>
          <w:iCs/>
        </w:rPr>
        <w:t>B</w:t>
      </w:r>
      <w:r w:rsidRPr="00B84E77">
        <w:rPr>
          <w:i/>
          <w:iCs/>
        </w:rPr>
        <w:t>ottini</w:t>
      </w:r>
      <w:r>
        <w:t>)</w:t>
      </w:r>
      <w:r w:rsidRPr="00B84E77">
        <w:t>.)</w:t>
      </w:r>
    </w:p>
    <w:p w14:paraId="0641A6E8" w14:textId="77777777" w:rsidR="002829BA" w:rsidRDefault="00021E22" w:rsidP="00AE3BE0">
      <w:r>
        <w:tab/>
      </w:r>
      <w:r w:rsidRPr="002829BA">
        <w:t xml:space="preserve">In furtherance of these goals, CEQA establishes a </w:t>
      </w:r>
      <w:r>
        <w:t>multi</w:t>
      </w:r>
      <w:r w:rsidRPr="002829BA">
        <w:t xml:space="preserve">-tier </w:t>
      </w:r>
      <w:r>
        <w:t xml:space="preserve">process of </w:t>
      </w:r>
      <w:r w:rsidRPr="002829BA">
        <w:t xml:space="preserve">environmental review. </w:t>
      </w:r>
      <w:r>
        <w:t xml:space="preserve"> “</w:t>
      </w:r>
      <w:r w:rsidRPr="002829BA">
        <w:t xml:space="preserve">The first step is jurisdictional and requires a public agency to determine whether a proposed activity is a </w:t>
      </w:r>
      <w:r>
        <w:t>‘</w:t>
      </w:r>
      <w:r w:rsidRPr="002829BA">
        <w:t>project.</w:t>
      </w:r>
      <w:r>
        <w:t>’ </w:t>
      </w:r>
      <w:r w:rsidRPr="002829BA">
        <w:t>”</w:t>
      </w:r>
      <w:r>
        <w:t xml:space="preserve">  (</w:t>
      </w:r>
      <w:bookmarkStart w:id="62" w:name="dabmci_0372b3173ef546a38062bdfe5818fede"/>
      <w:r>
        <w:rPr>
          <w:i/>
          <w:iCs/>
        </w:rPr>
        <w:t>Bottini, supra</w:t>
      </w:r>
      <w:r>
        <w:t>, 27 Cal.App</w:t>
      </w:r>
      <w:r>
        <w:t>.5th at p.</w:t>
      </w:r>
      <w:r>
        <w:t> </w:t>
      </w:r>
      <w:r>
        <w:t>291</w:t>
      </w:r>
      <w:bookmarkEnd w:id="62"/>
      <w:r>
        <w:t xml:space="preserve">.)  </w:t>
      </w:r>
      <w:r>
        <w:t xml:space="preserve">Under CEQA, a </w:t>
      </w:r>
      <w:r>
        <w:t>“ ‘</w:t>
      </w:r>
      <w:r>
        <w:t>[p]</w:t>
      </w:r>
      <w:r w:rsidRPr="00323DAE">
        <w:t>roject</w:t>
      </w:r>
      <w:r>
        <w:t>’</w:t>
      </w:r>
      <w:r w:rsidRPr="00323DAE">
        <w:t xml:space="preserve"> means an activity which may cause either a direct physical change in the environment, or a reasonably foreseeable indirect physical change in the environment, and which is any of the following:</w:t>
      </w:r>
      <w:r>
        <w:t xml:space="preserve"> [</w:t>
      </w:r>
      <w:r>
        <w:t>¶</w:t>
      </w:r>
      <w:r>
        <w:t xml:space="preserve">] </w:t>
      </w:r>
      <w:r>
        <w:t xml:space="preserve">(a) An </w:t>
      </w:r>
      <w:r>
        <w:t>activity directly undertaken by any public agency. [¶] (b) An activity undertaken by a person which is supported, in whole or in part, through contracts, grants, subsidies, loans, or other forms of assistance from one or more public agencies. [¶] (c)</w:t>
      </w:r>
      <w:r>
        <w:t> </w:t>
      </w:r>
      <w:r>
        <w:t>An ac</w:t>
      </w:r>
      <w:r>
        <w:t xml:space="preserve">tivity that </w:t>
      </w:r>
      <w:r>
        <w:lastRenderedPageBreak/>
        <w:t>involves the issuance to a person of a lease, permit, license, certificate, or other entitlement for use by one or more public agencies.”  (</w:t>
      </w:r>
      <w:bookmarkStart w:id="63" w:name="dabmci_0eea1101e4324bce962f47049733c291"/>
      <w:r w:rsidRPr="004840C1">
        <w:t xml:space="preserve">Pub. Resources </w:t>
      </w:r>
      <w:r>
        <w:t>Code</w:t>
      </w:r>
      <w:r>
        <w:t>, § 21065</w:t>
      </w:r>
      <w:bookmarkEnd w:id="63"/>
      <w:r>
        <w:t xml:space="preserve">.)  </w:t>
      </w:r>
      <w:r>
        <w:t>“</w:t>
      </w:r>
      <w:r w:rsidRPr="00542482">
        <w:t xml:space="preserve">The term </w:t>
      </w:r>
      <w:r>
        <w:t>‘</w:t>
      </w:r>
      <w:r w:rsidRPr="00542482">
        <w:t>project</w:t>
      </w:r>
      <w:r>
        <w:t>’</w:t>
      </w:r>
      <w:r w:rsidRPr="00542482">
        <w:t xml:space="preserve"> refers to the </w:t>
      </w:r>
      <w:r w:rsidRPr="004B2961">
        <w:t>activity</w:t>
      </w:r>
      <w:r w:rsidRPr="00542482">
        <w:t xml:space="preserve"> which is being approved and w</w:t>
      </w:r>
      <w:r w:rsidRPr="00542482">
        <w:t xml:space="preserve">hich may be subject to several discretionary approvals by governmental agencies. </w:t>
      </w:r>
      <w:r>
        <w:t xml:space="preserve"> </w:t>
      </w:r>
      <w:r w:rsidRPr="00542482">
        <w:t xml:space="preserve">The term </w:t>
      </w:r>
      <w:r>
        <w:t>‘</w:t>
      </w:r>
      <w:r w:rsidRPr="00542482">
        <w:t>project</w:t>
      </w:r>
      <w:r>
        <w:t>’</w:t>
      </w:r>
      <w:r w:rsidRPr="00542482">
        <w:t xml:space="preserve"> does not mean each separate governmental approval.</w:t>
      </w:r>
      <w:r>
        <w:t xml:space="preserve">”  (Guidelines, </w:t>
      </w:r>
      <w:bookmarkStart w:id="64" w:name="_Hlk123735259"/>
      <w:r>
        <w:t>§</w:t>
      </w:r>
      <w:r>
        <w:t> </w:t>
      </w:r>
      <w:r>
        <w:t>15378</w:t>
      </w:r>
      <w:bookmarkEnd w:id="64"/>
      <w:r>
        <w:t>, subd. (c)</w:t>
      </w:r>
      <w:r>
        <w:t>.</w:t>
      </w:r>
      <w:r>
        <w:t>)</w:t>
      </w:r>
    </w:p>
    <w:p w14:paraId="1FACB619" w14:textId="77777777" w:rsidR="00323DAE" w:rsidRDefault="00021E22" w:rsidP="00AE3BE0">
      <w:r>
        <w:tab/>
      </w:r>
      <w:r w:rsidRPr="00323DAE">
        <w:t>At the</w:t>
      </w:r>
      <w:r>
        <w:t xml:space="preserve"> next step</w:t>
      </w:r>
      <w:r w:rsidRPr="00323DAE">
        <w:t xml:space="preserve">, </w:t>
      </w:r>
      <w:r>
        <w:t>“</w:t>
      </w:r>
      <w:r w:rsidRPr="00323DAE">
        <w:t xml:space="preserve">the agency must </w:t>
      </w:r>
      <w:r>
        <w:t>‘</w:t>
      </w:r>
      <w:r w:rsidRPr="00323DAE">
        <w:t>decide whether the project is e</w:t>
      </w:r>
      <w:r w:rsidRPr="00323DAE">
        <w:t>xempt from the CEQA review process under either a statutory exemption [citation] or a categorical exemption set forth in the CEQA Guidelines [citations].</w:t>
      </w:r>
      <w:r>
        <w:t>’ </w:t>
      </w:r>
      <w:r w:rsidRPr="00323DAE">
        <w:t>”</w:t>
      </w:r>
      <w:r>
        <w:t xml:space="preserve">  (</w:t>
      </w:r>
      <w:bookmarkStart w:id="65" w:name="dabmci_40b975a8f2ac494bb6467f476d525eb8"/>
      <w:r>
        <w:rPr>
          <w:i/>
          <w:iCs/>
        </w:rPr>
        <w:t>Bottini, supra</w:t>
      </w:r>
      <w:r>
        <w:t>, 27 Cal.App.5th at p.</w:t>
      </w:r>
      <w:r>
        <w:t> </w:t>
      </w:r>
      <w:r>
        <w:t>292</w:t>
      </w:r>
      <w:bookmarkEnd w:id="65"/>
      <w:r>
        <w:t xml:space="preserve">.)  </w:t>
      </w:r>
      <w:r>
        <w:t>“ ‘</w:t>
      </w:r>
      <w:r w:rsidRPr="00EA6093">
        <w:t>A categorical exemption is based on a finding by t</w:t>
      </w:r>
      <w:r w:rsidRPr="00EA6093">
        <w:t>he Resources Agency that a class or category of projects does not have a significant effect on the environment.</w:t>
      </w:r>
      <w:r>
        <w:t>’ ”  (</w:t>
      </w:r>
      <w:bookmarkStart w:id="66" w:name="dabmci_3945164f41c3450e8370d1997baa018e"/>
      <w:r>
        <w:rPr>
          <w:i/>
          <w:iCs/>
        </w:rPr>
        <w:t xml:space="preserve">McCann v. City of San Diego </w:t>
      </w:r>
      <w:r>
        <w:t>(2021) 70 Cal.App.5th 51, 74</w:t>
      </w:r>
      <w:bookmarkEnd w:id="66"/>
      <w:r>
        <w:t xml:space="preserve">.)  The </w:t>
      </w:r>
      <w:r>
        <w:t xml:space="preserve">categorical exemption </w:t>
      </w:r>
      <w:r>
        <w:t xml:space="preserve">of relevance </w:t>
      </w:r>
      <w:r>
        <w:t>in the present case</w:t>
      </w:r>
      <w:r>
        <w:t xml:space="preserve"> </w:t>
      </w:r>
      <w:r>
        <w:t xml:space="preserve">is the </w:t>
      </w:r>
      <w:r>
        <w:t>Class 1 exemp</w:t>
      </w:r>
      <w:r>
        <w:t>tion for existing facilities, which applies to “</w:t>
      </w:r>
      <w:r w:rsidRPr="00323DAE">
        <w:t>the operation, repair, maintenance, permitting, leasing, licensing, or minor alteration of existing public or private structures, facilities, mechanical equipment, or topographical features, involving negligi</w:t>
      </w:r>
      <w:r w:rsidRPr="00323DAE">
        <w:t>ble or no expansion of existing or former use.</w:t>
      </w:r>
      <w:r>
        <w:t>”  (Guidelines, § </w:t>
      </w:r>
      <w:r w:rsidRPr="001C29F6">
        <w:t>15301</w:t>
      </w:r>
      <w:r>
        <w:t>.)</w:t>
      </w:r>
    </w:p>
    <w:p w14:paraId="3FD2B02E" w14:textId="77777777" w:rsidR="003C1A1C" w:rsidRDefault="00021E22" w:rsidP="00CD1D8E">
      <w:r>
        <w:tab/>
        <w:t>“</w:t>
      </w:r>
      <w:r w:rsidRPr="001002EE">
        <w:t>If a public agency properly finds that a project is exempt from CEQA, no further environmental review is necessary.</w:t>
      </w:r>
      <w:r>
        <w:t>”</w:t>
      </w:r>
      <w:r w:rsidRPr="001002EE">
        <w:t xml:space="preserve"> </w:t>
      </w:r>
      <w:r>
        <w:t xml:space="preserve"> </w:t>
      </w:r>
      <w:r>
        <w:t>(</w:t>
      </w:r>
      <w:bookmarkStart w:id="67" w:name="dabmci_0ceb3da3d87043179d36340248960668"/>
      <w:r w:rsidRPr="00CD1D8E">
        <w:rPr>
          <w:i/>
          <w:iCs/>
        </w:rPr>
        <w:t xml:space="preserve">Muzzy Ranch Co. v. </w:t>
      </w:r>
      <w:r>
        <w:rPr>
          <w:i/>
          <w:iCs/>
        </w:rPr>
        <w:t xml:space="preserve">Solano </w:t>
      </w:r>
      <w:r w:rsidRPr="00CD1D8E">
        <w:rPr>
          <w:i/>
          <w:iCs/>
        </w:rPr>
        <w:t>County Airport Land Use Com.</w:t>
      </w:r>
      <w:r>
        <w:t xml:space="preserve"> (2007) 41 Cal.4th 372, 380</w:t>
      </w:r>
      <w:bookmarkEnd w:id="67"/>
      <w:r>
        <w:t xml:space="preserve">; </w:t>
      </w:r>
      <w:r>
        <w:t xml:space="preserve">see </w:t>
      </w:r>
      <w:bookmarkStart w:id="68" w:name="dabmci_29b02e8ae4854dccb59c9a2be6779b3f"/>
      <w:r>
        <w:rPr>
          <w:i/>
          <w:iCs/>
        </w:rPr>
        <w:t xml:space="preserve">Tomlinson v. County of Alameda </w:t>
      </w:r>
      <w:r>
        <w:t>(2012) 54 Cal.4th 281, 286</w:t>
      </w:r>
      <w:bookmarkEnd w:id="68"/>
      <w:r>
        <w:t xml:space="preserve"> [“</w:t>
      </w:r>
      <w:r w:rsidRPr="00802C01">
        <w:t>A categorically exempt project is not subject to CEQA, and no further environmental review is required.</w:t>
      </w:r>
      <w:r>
        <w:t>”]</w:t>
      </w:r>
      <w:r>
        <w:t>.)</w:t>
      </w:r>
      <w:r>
        <w:t xml:space="preserve">  </w:t>
      </w:r>
      <w:r>
        <w:t>“</w:t>
      </w:r>
      <w:r w:rsidRPr="00802C01">
        <w:t>Environmental review is required under CEQA only if a</w:t>
      </w:r>
      <w:r w:rsidRPr="00802C01">
        <w:t xml:space="preserve"> public agency concludes that a proposed activity is a project and does not qualify for </w:t>
      </w:r>
      <w:r w:rsidRPr="00802C01">
        <w:lastRenderedPageBreak/>
        <w:t>an exemption.</w:t>
      </w:r>
      <w:r>
        <w:t>”</w:t>
      </w:r>
      <w:r>
        <w:t xml:space="preserve">  (</w:t>
      </w:r>
      <w:bookmarkStart w:id="69" w:name="dabmci_b8dbf8793fd44751aa00192f5495d473"/>
      <w:r w:rsidRPr="00802C01">
        <w:rPr>
          <w:i/>
          <w:iCs/>
        </w:rPr>
        <w:t xml:space="preserve">Union of Medical Marijuana Patients, Inc. v. City of San Diego </w:t>
      </w:r>
      <w:r>
        <w:t>(2019) 7 Cal.5th 1171, 1186</w:t>
      </w:r>
      <w:bookmarkEnd w:id="69"/>
      <w:r>
        <w:t>.</w:t>
      </w:r>
      <w:r>
        <w:t>)</w:t>
      </w:r>
    </w:p>
    <w:p w14:paraId="10BD990C" w14:textId="77777777" w:rsidR="001438EE" w:rsidRDefault="00021E22" w:rsidP="00CD1D8E">
      <w:r>
        <w:tab/>
      </w:r>
      <w:r>
        <w:t>If</w:t>
      </w:r>
      <w:r>
        <w:t xml:space="preserve"> a</w:t>
      </w:r>
      <w:r>
        <w:t xml:space="preserve"> </w:t>
      </w:r>
      <w:r w:rsidRPr="001002EE">
        <w:t xml:space="preserve">public </w:t>
      </w:r>
      <w:r>
        <w:t xml:space="preserve">agency </w:t>
      </w:r>
      <w:r>
        <w:t>decides</w:t>
      </w:r>
      <w:r>
        <w:t xml:space="preserve"> a project is </w:t>
      </w:r>
      <w:r>
        <w:t>CEQA-exempt</w:t>
      </w:r>
      <w:r>
        <w:t>, it m</w:t>
      </w:r>
      <w:r>
        <w:t>ay file—but</w:t>
      </w:r>
      <w:r>
        <w:t xml:space="preserve"> </w:t>
      </w:r>
      <w:r>
        <w:t>is not required to file—a notice of exemption</w:t>
      </w:r>
      <w:r>
        <w:t xml:space="preserve">.  Any notice of exemption that is filed must be filed </w:t>
      </w:r>
      <w:r w:rsidRPr="005A73B8">
        <w:t>after</w:t>
      </w:r>
      <w:r>
        <w:t xml:space="preserve"> </w:t>
      </w:r>
      <w:r>
        <w:t xml:space="preserve">the project </w:t>
      </w:r>
      <w:r>
        <w:t xml:space="preserve">approval, and it must include </w:t>
      </w:r>
      <w:r>
        <w:t>a brief description of the project, a finding the project is exempt from CEQA, and a brief state</w:t>
      </w:r>
      <w:r>
        <w:t>ment of reasons to support the exemption finding</w:t>
      </w:r>
      <w:r>
        <w:t>, among other information</w:t>
      </w:r>
      <w:r>
        <w:t>.</w:t>
      </w:r>
      <w:r>
        <w:t xml:space="preserve"> </w:t>
      </w:r>
      <w:r>
        <w:t xml:space="preserve"> </w:t>
      </w:r>
      <w:r>
        <w:t>(</w:t>
      </w:r>
      <w:bookmarkStart w:id="70" w:name="dabmci_121441fb81db43bc91ea99e9d59a6174"/>
      <w:r w:rsidRPr="004840C1">
        <w:t xml:space="preserve">Pub. Resources </w:t>
      </w:r>
      <w:r>
        <w:t xml:space="preserve">Code, </w:t>
      </w:r>
      <w:r w:rsidRPr="001002EE">
        <w:t>§§</w:t>
      </w:r>
      <w:r>
        <w:t> </w:t>
      </w:r>
      <w:r>
        <w:t>21108</w:t>
      </w:r>
      <w:bookmarkEnd w:id="70"/>
      <w:r>
        <w:t>, subd.</w:t>
      </w:r>
      <w:r>
        <w:t> </w:t>
      </w:r>
      <w:r>
        <w:t xml:space="preserve">(b), </w:t>
      </w:r>
      <w:bookmarkStart w:id="71" w:name="_Hlk123735297"/>
      <w:r>
        <w:t>211</w:t>
      </w:r>
      <w:r>
        <w:t>52</w:t>
      </w:r>
      <w:bookmarkEnd w:id="71"/>
      <w:r>
        <w:t>, subd.</w:t>
      </w:r>
      <w:r>
        <w:t> </w:t>
      </w:r>
      <w:r>
        <w:t>(</w:t>
      </w:r>
      <w:r>
        <w:t>b</w:t>
      </w:r>
      <w:r>
        <w:t xml:space="preserve">); Guidelines, </w:t>
      </w:r>
      <w:bookmarkStart w:id="72" w:name="_Hlk123735320"/>
      <w:r>
        <w:t>§ 15062</w:t>
      </w:r>
      <w:bookmarkEnd w:id="72"/>
      <w:r>
        <w:t>, subd.</w:t>
      </w:r>
      <w:r>
        <w:t> </w:t>
      </w:r>
      <w:r>
        <w:t>(a)</w:t>
      </w:r>
      <w:r>
        <w:t>.</w:t>
      </w:r>
      <w:r>
        <w:t xml:space="preserve">)  </w:t>
      </w:r>
      <w:r>
        <w:t>The notice of exemption “</w:t>
      </w:r>
      <w:r w:rsidRPr="001438EE">
        <w:t>shall be available for public inspection</w:t>
      </w:r>
      <w:r>
        <w:t xml:space="preserve">” and, when the </w:t>
      </w:r>
      <w:r>
        <w:t>notice is filed by a local agency (as opposed to a state agency), it “</w:t>
      </w:r>
      <w:r w:rsidRPr="001438EE">
        <w:t>shall be posted within 24 hours of receipt in the office or on the internet website of the county clerk.</w:t>
      </w:r>
      <w:r>
        <w:t>”  (</w:t>
      </w:r>
      <w:bookmarkStart w:id="73" w:name="dabmci_868529ef813b4ee9a0073fcb34b654ae"/>
      <w:r w:rsidRPr="004840C1">
        <w:t xml:space="preserve">Pub. Resources </w:t>
      </w:r>
      <w:r>
        <w:t xml:space="preserve">Code, </w:t>
      </w:r>
      <w:r w:rsidRPr="001002EE">
        <w:t>§§</w:t>
      </w:r>
      <w:r>
        <w:t> </w:t>
      </w:r>
      <w:r>
        <w:t>21108</w:t>
      </w:r>
      <w:bookmarkEnd w:id="73"/>
      <w:r>
        <w:t>, subd. (c), 21152, subd. (c); Guidelines</w:t>
      </w:r>
      <w:r>
        <w:t>,</w:t>
      </w:r>
      <w:r>
        <w:t xml:space="preserve"> § 1506</w:t>
      </w:r>
      <w:r>
        <w:t>2, subd. (c)(1)–(3).)</w:t>
      </w:r>
    </w:p>
    <w:p w14:paraId="54A52E03" w14:textId="77777777" w:rsidR="00CD1D8E" w:rsidRDefault="00021E22" w:rsidP="00CD1D8E">
      <w:r>
        <w:tab/>
      </w:r>
      <w:r>
        <w:t xml:space="preserve">If the </w:t>
      </w:r>
      <w:r w:rsidRPr="001002EE">
        <w:t xml:space="preserve">public </w:t>
      </w:r>
      <w:r>
        <w:t>agency does not file a notice of exemption, or if it files an invalid or premature notice of exemption, a</w:t>
      </w:r>
      <w:r>
        <w:t>ny</w:t>
      </w:r>
      <w:r>
        <w:t xml:space="preserve"> </w:t>
      </w:r>
      <w:r>
        <w:t>legal challenge</w:t>
      </w:r>
      <w:r>
        <w:t xml:space="preserve"> </w:t>
      </w:r>
      <w:r>
        <w:t xml:space="preserve">to </w:t>
      </w:r>
      <w:r>
        <w:t xml:space="preserve">the exemption </w:t>
      </w:r>
      <w:r>
        <w:t>finding</w:t>
      </w:r>
      <w:r>
        <w:t xml:space="preserve"> must be filed within 180 days of project approval or, if there is no f</w:t>
      </w:r>
      <w:r>
        <w:t>ormal project approval, within 180 days f</w:t>
      </w:r>
      <w:r w:rsidRPr="00B80548">
        <w:t>rom the date of commencement of the project.</w:t>
      </w:r>
      <w:r>
        <w:t xml:space="preserve">  (</w:t>
      </w:r>
      <w:bookmarkStart w:id="74" w:name="dabmci_d708e597618c440f9ea1b501909b7eb7"/>
      <w:r w:rsidRPr="004840C1">
        <w:t xml:space="preserve">Pub. Resources </w:t>
      </w:r>
      <w:r>
        <w:t xml:space="preserve">Code, </w:t>
      </w:r>
      <w:r w:rsidRPr="001002EE">
        <w:t>§</w:t>
      </w:r>
      <w:r>
        <w:t> </w:t>
      </w:r>
      <w:r>
        <w:t>21167</w:t>
      </w:r>
      <w:bookmarkEnd w:id="74"/>
      <w:r>
        <w:t>, subd.</w:t>
      </w:r>
      <w:r>
        <w:t> </w:t>
      </w:r>
      <w:r>
        <w:t>(d)</w:t>
      </w:r>
      <w:r>
        <w:t xml:space="preserve">; Guidelines, §§ 15062, subd. (d), </w:t>
      </w:r>
      <w:bookmarkStart w:id="75" w:name="_Hlk123735505"/>
      <w:r>
        <w:t>15112</w:t>
      </w:r>
      <w:bookmarkEnd w:id="75"/>
      <w:r>
        <w:t>, subd.</w:t>
      </w:r>
      <w:r>
        <w:t> </w:t>
      </w:r>
      <w:r>
        <w:t>(c)(</w:t>
      </w:r>
      <w:r>
        <w:t>5</w:t>
      </w:r>
      <w:r>
        <w:t>)</w:t>
      </w:r>
      <w:r>
        <w:t>.)  If a valid notice of exemption is</w:t>
      </w:r>
      <w:r>
        <w:t xml:space="preserve"> </w:t>
      </w:r>
      <w:r>
        <w:t>filed, the filing</w:t>
      </w:r>
      <w:r>
        <w:t xml:space="preserve"> of the notice of ex</w:t>
      </w:r>
      <w:r>
        <w:t>emption</w:t>
      </w:r>
      <w:r>
        <w:t xml:space="preserve"> </w:t>
      </w:r>
      <w:r>
        <w:t xml:space="preserve">triggers the running of a </w:t>
      </w:r>
      <w:r>
        <w:t xml:space="preserve">shortened </w:t>
      </w:r>
      <w:r>
        <w:t>35</w:t>
      </w:r>
      <w:r>
        <w:t xml:space="preserve">-day statute of limitations period </w:t>
      </w:r>
      <w:r>
        <w:t>for the filing of</w:t>
      </w:r>
      <w:r>
        <w:t xml:space="preserve"> any legal challenge to the exemption finding.  (</w:t>
      </w:r>
      <w:bookmarkStart w:id="76" w:name="dabmci_746a22969a9645609fa79051f1a5e783"/>
      <w:r w:rsidRPr="004840C1">
        <w:t xml:space="preserve">Pub. Resources </w:t>
      </w:r>
      <w:r>
        <w:t xml:space="preserve">Code, </w:t>
      </w:r>
      <w:r w:rsidRPr="001002EE">
        <w:t>§</w:t>
      </w:r>
      <w:r>
        <w:t> </w:t>
      </w:r>
      <w:r>
        <w:t>21167</w:t>
      </w:r>
      <w:bookmarkEnd w:id="76"/>
      <w:r>
        <w:t>, subd.</w:t>
      </w:r>
      <w:r>
        <w:t> </w:t>
      </w:r>
      <w:r>
        <w:t>(</w:t>
      </w:r>
      <w:r>
        <w:t>d</w:t>
      </w:r>
      <w:r>
        <w:t>); Guidelines, §§ 15062, subd.</w:t>
      </w:r>
      <w:r>
        <w:t> </w:t>
      </w:r>
      <w:r>
        <w:t>(d), 15112, subd.</w:t>
      </w:r>
      <w:r>
        <w:t> </w:t>
      </w:r>
      <w:r>
        <w:t>(c)(2).)</w:t>
      </w:r>
      <w:r>
        <w:t xml:space="preserve">  “However, i</w:t>
      </w:r>
      <w:r w:rsidRPr="0012050F">
        <w:t xml:space="preserve">f substantial changes are made to the </w:t>
      </w:r>
      <w:r>
        <w:t>‘</w:t>
      </w:r>
      <w:r w:rsidRPr="0012050F">
        <w:t>project</w:t>
      </w:r>
      <w:r>
        <w:t>’</w:t>
      </w:r>
      <w:r w:rsidRPr="0012050F">
        <w:t xml:space="preserve"> </w:t>
      </w:r>
      <w:r w:rsidRPr="0012050F">
        <w:rPr>
          <w:i/>
          <w:iCs/>
        </w:rPr>
        <w:t>after</w:t>
      </w:r>
      <w:r w:rsidRPr="0012050F">
        <w:t xml:space="preserve"> the NOE </w:t>
      </w:r>
      <w:r>
        <w:t xml:space="preserve">[notice of exemption] </w:t>
      </w:r>
      <w:r w:rsidRPr="0012050F">
        <w:t xml:space="preserve">filing or approval by the agency, a </w:t>
      </w:r>
      <w:r>
        <w:t>‘</w:t>
      </w:r>
      <w:r w:rsidRPr="0012050F">
        <w:t>new</w:t>
      </w:r>
      <w:r>
        <w:t>’</w:t>
      </w:r>
      <w:r w:rsidRPr="0012050F">
        <w:t xml:space="preserve"> 180–day period may begin to run from the time a plaintiff knew or should have known the project substantially differe</w:t>
      </w:r>
      <w:r w:rsidRPr="0012050F">
        <w:t xml:space="preserve">d </w:t>
      </w:r>
      <w:r w:rsidRPr="0012050F">
        <w:lastRenderedPageBreak/>
        <w:t xml:space="preserve">from the original </w:t>
      </w:r>
      <w:r>
        <w:t>‘</w:t>
      </w:r>
      <w:r w:rsidRPr="0012050F">
        <w:t>project.</w:t>
      </w:r>
      <w:r>
        <w:t>’ </w:t>
      </w:r>
      <w:r w:rsidRPr="0012050F">
        <w:t>”</w:t>
      </w:r>
      <w:r>
        <w:t xml:space="preserve">  (</w:t>
      </w:r>
      <w:bookmarkStart w:id="77" w:name="dabmci_b5594fec2b104079b3a81671c63bca0c"/>
      <w:r>
        <w:rPr>
          <w:i/>
          <w:iCs/>
        </w:rPr>
        <w:t xml:space="preserve">City of Chula Vista v. County of San Diego </w:t>
      </w:r>
      <w:r>
        <w:t>(1994) 23 Cal.App.4th 1713, 1720</w:t>
      </w:r>
      <w:bookmarkEnd w:id="77"/>
      <w:r>
        <w:t>, italics added.)</w:t>
      </w:r>
    </w:p>
    <w:p w14:paraId="5FE2FBF5" w14:textId="77777777" w:rsidR="00A32195" w:rsidRDefault="00021E22" w:rsidP="00CD1D8E">
      <w:r>
        <w:tab/>
        <w:t>As the Guidelines themselves recognize, “</w:t>
      </w:r>
      <w:r w:rsidRPr="00A32195">
        <w:t>CEQA provides unusually short statutes of limitations on filing court challenges to th</w:t>
      </w:r>
      <w:r w:rsidRPr="00A32195">
        <w:t>e approval of projects under the act.</w:t>
      </w:r>
      <w:r>
        <w:t>”  (Guidelines, § 15112, subd.</w:t>
      </w:r>
      <w:r>
        <w:t> </w:t>
      </w:r>
      <w:r>
        <w:t xml:space="preserve">(a).)  These </w:t>
      </w:r>
      <w:r>
        <w:t xml:space="preserve">CEQA </w:t>
      </w:r>
      <w:r>
        <w:t xml:space="preserve">statutes of limitations, </w:t>
      </w:r>
      <w:r>
        <w:t>like</w:t>
      </w:r>
      <w:r>
        <w:t xml:space="preserve"> statutes of limitations generally, </w:t>
      </w:r>
      <w:r>
        <w:t>serve</w:t>
      </w:r>
      <w:r>
        <w:t xml:space="preserve"> “</w:t>
      </w:r>
      <w:r w:rsidRPr="00A32195">
        <w:t>to prevent stale claims, give stability to transactions, protect settled expectations, promote dil</w:t>
      </w:r>
      <w:r w:rsidRPr="00A32195">
        <w:t>igence, encourage the prompt enforcement of substantive law, and reduce the volume of litigation.</w:t>
      </w:r>
      <w:r>
        <w:t>”  (</w:t>
      </w:r>
      <w:bookmarkStart w:id="78" w:name="dabmci_ffab081cac61424ea9ea1a804d24287f"/>
      <w:r>
        <w:rPr>
          <w:i/>
          <w:iCs/>
        </w:rPr>
        <w:t xml:space="preserve">Stockton Citizens for Sensible Planning v. City of Stockton </w:t>
      </w:r>
      <w:r>
        <w:t>(2010) 48 Cal.4th 481, 499</w:t>
      </w:r>
      <w:bookmarkEnd w:id="78"/>
      <w:r>
        <w:t xml:space="preserve"> (</w:t>
      </w:r>
      <w:r w:rsidRPr="00906DBE">
        <w:rPr>
          <w:i/>
          <w:iCs/>
        </w:rPr>
        <w:t>Stockton Citizens</w:t>
      </w:r>
      <w:r>
        <w:t>).)</w:t>
      </w:r>
    </w:p>
    <w:p w14:paraId="21E8E22A" w14:textId="77777777" w:rsidR="00B80548" w:rsidRPr="0012050F" w:rsidRDefault="00021E22" w:rsidP="00CD1D8E">
      <w:r>
        <w:tab/>
      </w:r>
      <w:r>
        <w:t>Because</w:t>
      </w:r>
      <w:r>
        <w:t xml:space="preserve"> the 35-day statute of limitations per</w:t>
      </w:r>
      <w:r>
        <w:t>iod begins running from the proper filing of a valid notice of exemption, “</w:t>
      </w:r>
      <w:r w:rsidRPr="00906DBE">
        <w:t xml:space="preserve">CEQA establishes and emphasizes </w:t>
      </w:r>
      <w:r w:rsidRPr="00392BA0">
        <w:t>public notification</w:t>
      </w:r>
      <w:r w:rsidRPr="00906DBE">
        <w:t xml:space="preserve"> of an agency</w:t>
      </w:r>
      <w:r>
        <w:t>’</w:t>
      </w:r>
      <w:r w:rsidRPr="00906DBE">
        <w:t>s action or decision as the event triggering the shortest applicable limitations periods for lawsuits alleging nonco</w:t>
      </w:r>
      <w:r w:rsidRPr="00906DBE">
        <w:t>mpliance with the statute.</w:t>
      </w:r>
      <w:r>
        <w:t>”  (</w:t>
      </w:r>
      <w:bookmarkStart w:id="79" w:name="dabmci_0e9943f037fc48efb21428645cef7449"/>
      <w:r w:rsidRPr="00906DBE">
        <w:rPr>
          <w:i/>
          <w:iCs/>
        </w:rPr>
        <w:t>Stockton Citizens</w:t>
      </w:r>
      <w:r>
        <w:rPr>
          <w:i/>
          <w:iCs/>
        </w:rPr>
        <w:t>, supra</w:t>
      </w:r>
      <w:r>
        <w:t>, 48 Cal.4th at p. 501</w:t>
      </w:r>
      <w:bookmarkEnd w:id="79"/>
      <w:r>
        <w:t>, italics omitted</w:t>
      </w:r>
      <w:r>
        <w:t>.)  “</w:t>
      </w:r>
      <w:r w:rsidRPr="00906DBE">
        <w:t xml:space="preserve">The reasons for this approach are clear. </w:t>
      </w:r>
      <w:r>
        <w:t xml:space="preserve"> </w:t>
      </w:r>
      <w:r w:rsidRPr="00906DBE">
        <w:t>Public notification serves the public</w:t>
      </w:r>
      <w:r>
        <w:t>’</w:t>
      </w:r>
      <w:r w:rsidRPr="00906DBE">
        <w:t xml:space="preserve">s right, under CEQA, to be informed of, and to have a voice in, the </w:t>
      </w:r>
      <w:r w:rsidRPr="00906DBE">
        <w:t>process of evaluating the environmental issues surrounding a contemplated action or decision.</w:t>
      </w:r>
      <w:r>
        <w:t>”  (</w:t>
      </w:r>
      <w:bookmarkStart w:id="80" w:name="dabmci_620f0654d8e7450ca00fad64bf2d940e"/>
      <w:r>
        <w:rPr>
          <w:i/>
          <w:iCs/>
        </w:rPr>
        <w:t>Id.</w:t>
      </w:r>
      <w:r>
        <w:t xml:space="preserve"> at p.</w:t>
      </w:r>
      <w:r>
        <w:t> </w:t>
      </w:r>
      <w:r>
        <w:t>502</w:t>
      </w:r>
      <w:bookmarkEnd w:id="80"/>
      <w:r>
        <w:t>.)</w:t>
      </w:r>
    </w:p>
    <w:p w14:paraId="7E3917E8" w14:textId="77777777" w:rsidR="007122E0" w:rsidRDefault="00021E22" w:rsidP="00D57CD3">
      <w:pPr>
        <w:pStyle w:val="Heading3"/>
      </w:pPr>
      <w:r>
        <w:t xml:space="preserve">The CEQA Cause of Action is </w:t>
      </w:r>
      <w:r>
        <w:t>Timely</w:t>
      </w:r>
    </w:p>
    <w:p w14:paraId="6F571764" w14:textId="77777777" w:rsidR="00226AC3" w:rsidRDefault="00021E22" w:rsidP="00AE3BE0">
      <w:r>
        <w:tab/>
      </w:r>
      <w:r>
        <w:t>On November 12, 2020, t</w:t>
      </w:r>
      <w:r>
        <w:t xml:space="preserve">he City Council </w:t>
      </w:r>
      <w:r>
        <w:t>authorized</w:t>
      </w:r>
      <w:r>
        <w:t xml:space="preserve"> </w:t>
      </w:r>
      <w:r>
        <w:t>City official</w:t>
      </w:r>
      <w:r>
        <w:t>s</w:t>
      </w:r>
      <w:r>
        <w:t xml:space="preserve"> to</w:t>
      </w:r>
      <w:r>
        <w:t xml:space="preserve"> execute</w:t>
      </w:r>
      <w:r>
        <w:t xml:space="preserve"> a lease with PS Resorts </w:t>
      </w:r>
      <w:r>
        <w:t>to inst</w:t>
      </w:r>
      <w:r>
        <w:t>all</w:t>
      </w:r>
      <w:r>
        <w:t xml:space="preserve"> Forever Marilyn on Museum Way, and </w:t>
      </w:r>
      <w:r w:rsidRPr="00226AC3">
        <w:t xml:space="preserve">to </w:t>
      </w:r>
      <w:r>
        <w:t>“</w:t>
      </w:r>
      <w:r w:rsidRPr="00226AC3">
        <w:t>proceed with the process of vacating the public’s vehicular access rights</w:t>
      </w:r>
      <w:r>
        <w:t xml:space="preserve"> </w:t>
      </w:r>
      <w:r>
        <w:t xml:space="preserve">….” </w:t>
      </w:r>
      <w:r>
        <w:t xml:space="preserve"> </w:t>
      </w:r>
      <w:r>
        <w:t>On December 29, 2020, t</w:t>
      </w:r>
      <w:r>
        <w:t xml:space="preserve">he City filed </w:t>
      </w:r>
      <w:r>
        <w:t xml:space="preserve">its </w:t>
      </w:r>
      <w:r>
        <w:t>notice of exemption</w:t>
      </w:r>
      <w:r>
        <w:t>, which described</w:t>
      </w:r>
      <w:r>
        <w:t xml:space="preserve"> the project as, “the placement of the ‘Forever Marilyn’ </w:t>
      </w:r>
      <w:r>
        <w:t xml:space="preserve">statue, which is a 26-foot tall sculpture, within an existing street, which requires the City to enter into a License Agreement with P.S. Resorts to </w:t>
      </w:r>
      <w:r>
        <w:lastRenderedPageBreak/>
        <w:t xml:space="preserve">authorize the placement [sic] the statue </w:t>
      </w:r>
      <w:r w:rsidRPr="00226AC3">
        <w:rPr>
          <w:i/>
          <w:iCs/>
        </w:rPr>
        <w:t>and vacate the public’s vehicular access rights on a portion of Mu</w:t>
      </w:r>
      <w:r w:rsidRPr="00226AC3">
        <w:rPr>
          <w:i/>
          <w:iCs/>
        </w:rPr>
        <w:t>seum Way</w:t>
      </w:r>
      <w:r>
        <w:t xml:space="preserve">.”  (Italics added.)  </w:t>
      </w:r>
      <w:r>
        <w:t>But t</w:t>
      </w:r>
      <w:r>
        <w:t>he City elected not to proceed with a vacation</w:t>
      </w:r>
      <w:r>
        <w:t xml:space="preserve"> process</w:t>
      </w:r>
      <w:r>
        <w:t xml:space="preserve">.  Rather, on March 22, 2021, the City’s Development Services Director </w:t>
      </w:r>
      <w:r>
        <w:t>authorized</w:t>
      </w:r>
      <w:r>
        <w:t xml:space="preserve"> the temporary closure of Museum Way</w:t>
      </w:r>
      <w:r>
        <w:t xml:space="preserve"> to vehicular traffic</w:t>
      </w:r>
      <w:r>
        <w:t xml:space="preserve">. </w:t>
      </w:r>
      <w:r>
        <w:t xml:space="preserve"> On April 22, 2021, The Com</w:t>
      </w:r>
      <w:r>
        <w:t xml:space="preserve">mittee filed the operative petition containing the CEQA cause of action. </w:t>
      </w:r>
    </w:p>
    <w:p w14:paraId="7B2937C2" w14:textId="77777777" w:rsidR="001438EE" w:rsidRDefault="00021E22" w:rsidP="00AE3BE0">
      <w:r>
        <w:tab/>
        <w:t xml:space="preserve">The question </w:t>
      </w:r>
      <w:r>
        <w:t>we must decide</w:t>
      </w:r>
      <w:r>
        <w:t xml:space="preserve"> is whether the notice of exemption </w:t>
      </w:r>
      <w:r>
        <w:t xml:space="preserve">triggered </w:t>
      </w:r>
      <w:r>
        <w:t>a</w:t>
      </w:r>
      <w:r>
        <w:t xml:space="preserve"> shortened 35-day statute of limitations, </w:t>
      </w:r>
      <w:r>
        <w:t xml:space="preserve">given that </w:t>
      </w:r>
      <w:r>
        <w:t xml:space="preserve">the City subsequently </w:t>
      </w:r>
      <w:r>
        <w:t>chose</w:t>
      </w:r>
      <w:r>
        <w:t xml:space="preserve"> not to vacate the </w:t>
      </w:r>
      <w:r w:rsidRPr="003864D0">
        <w:t>public’s</w:t>
      </w:r>
      <w:r w:rsidRPr="003864D0">
        <w:t xml:space="preserve"> vehicular access </w:t>
      </w:r>
      <w:r>
        <w:t xml:space="preserve">rights to the </w:t>
      </w:r>
      <w:r>
        <w:t>street</w:t>
      </w:r>
      <w:r>
        <w:t>,</w:t>
      </w:r>
      <w:r>
        <w:t xml:space="preserve"> and instead </w:t>
      </w:r>
      <w:r>
        <w:t>decided</w:t>
      </w:r>
      <w:r>
        <w:t xml:space="preserve"> to close the street </w:t>
      </w:r>
      <w:r>
        <w:t xml:space="preserve">to vehicles on a </w:t>
      </w:r>
      <w:r>
        <w:t>temporar</w:t>
      </w:r>
      <w:r>
        <w:t>y basis</w:t>
      </w:r>
      <w:r>
        <w:t>.</w:t>
      </w:r>
      <w:r>
        <w:t xml:space="preserve">  </w:t>
      </w:r>
      <w:r>
        <w:t xml:space="preserve">Relying on the principles discussed in </w:t>
      </w:r>
      <w:bookmarkStart w:id="81" w:name="dabmci_21446269dd1648b7afe140f300745c2c"/>
      <w:r>
        <w:rPr>
          <w:i/>
          <w:iCs/>
        </w:rPr>
        <w:t xml:space="preserve">Concerned Citizens of Costa Mesa, Inc. v. 32nd District Agricultural Association </w:t>
      </w:r>
      <w:r>
        <w:t>(1986) 42 Cal.3d 929</w:t>
      </w:r>
      <w:bookmarkEnd w:id="81"/>
      <w:r>
        <w:t xml:space="preserve"> (</w:t>
      </w:r>
      <w:r>
        <w:rPr>
          <w:i/>
          <w:iCs/>
        </w:rPr>
        <w:t>Concerned Citizens of Costa Mesa</w:t>
      </w:r>
      <w:r>
        <w:t xml:space="preserve">) and </w:t>
      </w:r>
      <w:bookmarkStart w:id="82" w:name="dabmci_712710184efa4c6d9dac4caf9b4a8e83"/>
      <w:r>
        <w:rPr>
          <w:i/>
          <w:iCs/>
        </w:rPr>
        <w:t xml:space="preserve">Ventura Foothill Neighbors v. County of Ventura </w:t>
      </w:r>
      <w:r>
        <w:t>(2014) 232 Cal.App.4th 429</w:t>
      </w:r>
      <w:bookmarkEnd w:id="82"/>
      <w:r>
        <w:t xml:space="preserve"> (</w:t>
      </w:r>
      <w:r>
        <w:rPr>
          <w:i/>
          <w:iCs/>
        </w:rPr>
        <w:t>Ventura Foothill Neighbors</w:t>
      </w:r>
      <w:r>
        <w:t>), the Commit</w:t>
      </w:r>
      <w:r>
        <w:t>tee argues the change to the project</w:t>
      </w:r>
      <w:r>
        <w:t>—</w:t>
      </w:r>
      <w:r>
        <w:t xml:space="preserve">implemented </w:t>
      </w:r>
      <w:r>
        <w:rPr>
          <w:i/>
          <w:iCs/>
        </w:rPr>
        <w:t xml:space="preserve">after </w:t>
      </w:r>
      <w:r>
        <w:t>the posting of the notice of exemption—</w:t>
      </w:r>
      <w:r>
        <w:t xml:space="preserve">was a </w:t>
      </w:r>
      <w:r>
        <w:t>substantial</w:t>
      </w:r>
      <w:r>
        <w:t xml:space="preserve"> change that </w:t>
      </w:r>
      <w:r>
        <w:t>frustrated CEQA’s goal of informed public participation.  We agree</w:t>
      </w:r>
      <w:r>
        <w:t xml:space="preserve"> with the Committee</w:t>
      </w:r>
      <w:r>
        <w:t>.</w:t>
      </w:r>
    </w:p>
    <w:p w14:paraId="774D04FC" w14:textId="77777777" w:rsidR="00392BA0" w:rsidRDefault="00021E22" w:rsidP="00AE3BE0">
      <w:r>
        <w:tab/>
        <w:t xml:space="preserve">In </w:t>
      </w:r>
      <w:r>
        <w:rPr>
          <w:i/>
          <w:iCs/>
        </w:rPr>
        <w:t>Concerned Citizens of Costa Mesa</w:t>
      </w:r>
      <w:r>
        <w:t xml:space="preserve">, </w:t>
      </w:r>
      <w:r>
        <w:t>a publi</w:t>
      </w:r>
      <w:r>
        <w:t xml:space="preserve">c </w:t>
      </w:r>
      <w:r>
        <w:t>agency</w:t>
      </w:r>
      <w:r>
        <w:t xml:space="preserve"> charged with the construction, maintenance, and operation of the Orange County Fairgrounds prepared an environmental impact report </w:t>
      </w:r>
      <w:r>
        <w:t xml:space="preserve">(EIR) </w:t>
      </w:r>
      <w:r>
        <w:t xml:space="preserve">to improve and upgrade the fairgrounds, including an amphitheater within the </w:t>
      </w:r>
      <w:r>
        <w:t>fairgrounds</w:t>
      </w:r>
      <w:r>
        <w:t>.  (</w:t>
      </w:r>
      <w:bookmarkStart w:id="83" w:name="dabmci_b239ee7b5d204e769acd7fc0cc91bca8"/>
      <w:r>
        <w:rPr>
          <w:i/>
          <w:iCs/>
        </w:rPr>
        <w:t>Concerned Citizens</w:t>
      </w:r>
      <w:r>
        <w:rPr>
          <w:i/>
          <w:iCs/>
        </w:rPr>
        <w:t xml:space="preserve"> of Costa Mesa, supra</w:t>
      </w:r>
      <w:r>
        <w:t>, 42 Cal.3d at p.</w:t>
      </w:r>
      <w:r>
        <w:t> </w:t>
      </w:r>
      <w:r>
        <w:t>933</w:t>
      </w:r>
      <w:bookmarkEnd w:id="83"/>
      <w:r>
        <w:t xml:space="preserve">.)  </w:t>
      </w:r>
      <w:r>
        <w:t xml:space="preserve">The EIR stated the theater would </w:t>
      </w:r>
      <w:r>
        <w:t>have</w:t>
      </w:r>
      <w:r>
        <w:t xml:space="preserve"> 5,000 fixed seats, situated on six acres of land, and its stage would face away from residential areas.  (</w:t>
      </w:r>
      <w:bookmarkStart w:id="84" w:name="dabmci_83a4aae2b0b741c8b209003c21977f38"/>
      <w:r>
        <w:rPr>
          <w:i/>
          <w:iCs/>
        </w:rPr>
        <w:t>Ibid.</w:t>
      </w:r>
      <w:bookmarkEnd w:id="84"/>
      <w:r>
        <w:t xml:space="preserve">)  Thereafter, the </w:t>
      </w:r>
      <w:r>
        <w:t xml:space="preserve">agency </w:t>
      </w:r>
      <w:r>
        <w:t xml:space="preserve">reportedly </w:t>
      </w:r>
      <w:r>
        <w:t>gave</w:t>
      </w:r>
      <w:r>
        <w:t xml:space="preserve"> </w:t>
      </w:r>
      <w:r>
        <w:t xml:space="preserve">authority to </w:t>
      </w:r>
      <w:r>
        <w:t>the am</w:t>
      </w:r>
      <w:r>
        <w:t xml:space="preserve">phitheater builder to make changes to the project, including by increasing the number of fixed seats to </w:t>
      </w:r>
      <w:r>
        <w:t>7</w:t>
      </w:r>
      <w:r>
        <w:t xml:space="preserve">,000, increasing the site </w:t>
      </w:r>
      <w:r>
        <w:t xml:space="preserve">size </w:t>
      </w:r>
      <w:r>
        <w:t xml:space="preserve">to ten acres, and </w:t>
      </w:r>
      <w:r>
        <w:t>facing</w:t>
      </w:r>
      <w:r>
        <w:t xml:space="preserve"> </w:t>
      </w:r>
      <w:r>
        <w:t xml:space="preserve">the </w:t>
      </w:r>
      <w:r>
        <w:t>stage towards residential areas.  (</w:t>
      </w:r>
      <w:bookmarkStart w:id="85" w:name="dabmci_446a6591ebeb4cbe85a3762d927ce7fd"/>
      <w:r>
        <w:rPr>
          <w:i/>
          <w:iCs/>
        </w:rPr>
        <w:t>Id.</w:t>
      </w:r>
      <w:r>
        <w:t xml:space="preserve"> </w:t>
      </w:r>
      <w:r>
        <w:lastRenderedPageBreak/>
        <w:t>at pp. 933–</w:t>
      </w:r>
      <w:bookmarkEnd w:id="85"/>
      <w:r>
        <w:t>934</w:t>
      </w:r>
      <w:r>
        <w:t>.)  After construction</w:t>
      </w:r>
      <w:r>
        <w:t xml:space="preserve"> was completed</w:t>
      </w:r>
      <w:r>
        <w:t xml:space="preserve">, </w:t>
      </w:r>
      <w:r>
        <w:t>a citizens’ group purportedly learned of the changes</w:t>
      </w:r>
      <w:r>
        <w:t>,</w:t>
      </w:r>
      <w:r>
        <w:t xml:space="preserve"> and </w:t>
      </w:r>
      <w:r>
        <w:t xml:space="preserve">then </w:t>
      </w:r>
      <w:r>
        <w:t>filed suit against the agency and the builder for failing to prepare a subsequent or supplemental EIR for the project.  (</w:t>
      </w:r>
      <w:bookmarkStart w:id="86" w:name="dabmci_80f8812a56c9414895bd1b314377645f"/>
      <w:r>
        <w:rPr>
          <w:i/>
          <w:iCs/>
        </w:rPr>
        <w:t>Ibid.</w:t>
      </w:r>
      <w:bookmarkEnd w:id="86"/>
      <w:r>
        <w:t>)</w:t>
      </w:r>
      <w:r>
        <w:t xml:space="preserve">  The defendants demurred to the complaint, arguing it was time-barred because the plaintiffs did not file suit within 180 days after construction began, which was the latest date to file a legal challenge alleging non-compliance with CEQA (</w:t>
      </w:r>
      <w:bookmarkStart w:id="87" w:name="dabmci_f0d36bd19ce740608f5300cb4d1cc75a"/>
      <w:r>
        <w:t xml:space="preserve">see </w:t>
      </w:r>
      <w:r>
        <w:t>Pub. Resour</w:t>
      </w:r>
      <w:r>
        <w:t xml:space="preserve">ces Code, </w:t>
      </w:r>
      <w:r>
        <w:t>§ </w:t>
      </w:r>
      <w:r>
        <w:t>21167</w:t>
      </w:r>
      <w:bookmarkEnd w:id="87"/>
      <w:r>
        <w:t>, subd.</w:t>
      </w:r>
      <w:r>
        <w:t> </w:t>
      </w:r>
      <w:r>
        <w:t>(a)).  (</w:t>
      </w:r>
      <w:r>
        <w:rPr>
          <w:i/>
          <w:iCs/>
        </w:rPr>
        <w:t xml:space="preserve">Concerned Citizens of Costa Mesa, </w:t>
      </w:r>
      <w:r>
        <w:t>at p.</w:t>
      </w:r>
      <w:r>
        <w:t> </w:t>
      </w:r>
      <w:r>
        <w:t>934.)</w:t>
      </w:r>
    </w:p>
    <w:p w14:paraId="60C52CF5" w14:textId="77777777" w:rsidR="00D04A24" w:rsidRDefault="00021E22" w:rsidP="00AE3BE0">
      <w:r>
        <w:tab/>
        <w:t>The statute of limitations, applied literally, would have rendered the action time-barred</w:t>
      </w:r>
      <w:r>
        <w:t>.</w:t>
      </w:r>
      <w:r>
        <w:t xml:space="preserve"> </w:t>
      </w:r>
      <w:r>
        <w:t xml:space="preserve"> However,</w:t>
      </w:r>
      <w:r>
        <w:t xml:space="preserve"> the Supreme Court—accepting the allegations of the complaint as true—determ</w:t>
      </w:r>
      <w:r>
        <w:t xml:space="preserve">ined </w:t>
      </w:r>
      <w:r>
        <w:t>it</w:t>
      </w:r>
      <w:r>
        <w:t xml:space="preserve"> was timely.  (</w:t>
      </w:r>
      <w:bookmarkStart w:id="88" w:name="dabmci_5e355a550f6f42c6af09623d466130d8"/>
      <w:r>
        <w:rPr>
          <w:i/>
          <w:iCs/>
        </w:rPr>
        <w:t>Concerned Citizens of Costa Mesa, supra</w:t>
      </w:r>
      <w:r>
        <w:t>, 42 Cal.3d at pp.</w:t>
      </w:r>
      <w:r>
        <w:t> </w:t>
      </w:r>
      <w:r>
        <w:t>937–940</w:t>
      </w:r>
      <w:bookmarkEnd w:id="88"/>
      <w:r>
        <w:t xml:space="preserve">.)  As the Supreme Court explained, the plaintiffs alleged “they did not know of the changes made in the project </w:t>
      </w:r>
      <w:r>
        <w:t>…</w:t>
      </w:r>
      <w:r>
        <w:t xml:space="preserve"> and could not with reasonable diligence have discovere</w:t>
      </w:r>
      <w:r>
        <w:t xml:space="preserve">d them, within 180 days from the time construction of the theater commenced because the district did not make the changes public </w:t>
      </w:r>
      <w:r>
        <w:t>…</w:t>
      </w:r>
      <w:r>
        <w:t>.”  (</w:t>
      </w:r>
      <w:bookmarkStart w:id="89" w:name="dabmci_432dfaeb4be94944b3e8ed3279f47b87"/>
      <w:r>
        <w:rPr>
          <w:i/>
          <w:iCs/>
        </w:rPr>
        <w:t xml:space="preserve">Concerned Citizens of Costa Mesa, </w:t>
      </w:r>
      <w:r>
        <w:t>at p.</w:t>
      </w:r>
      <w:r>
        <w:t> </w:t>
      </w:r>
      <w:r>
        <w:t>937</w:t>
      </w:r>
      <w:bookmarkEnd w:id="89"/>
      <w:r>
        <w:t xml:space="preserve">.)  The substantial </w:t>
      </w:r>
      <w:r>
        <w:t xml:space="preserve">project </w:t>
      </w:r>
      <w:r>
        <w:t>changes, and the lack of notice about</w:t>
      </w:r>
      <w:r>
        <w:t xml:space="preserve"> those change</w:t>
      </w:r>
      <w:r>
        <w:t>s</w:t>
      </w:r>
      <w:r>
        <w:t>, “deprived plaintiffs and the public of the opportunity to participate in the evaluation of the environmental effect</w:t>
      </w:r>
      <w:r>
        <w:t>s</w:t>
      </w:r>
      <w:r>
        <w:t xml:space="preserve"> of the project as finally approved.”  (</w:t>
      </w:r>
      <w:bookmarkStart w:id="90" w:name="dabmci_3e7e843ef2044bb5a521089cc835e3b7"/>
      <w:r>
        <w:rPr>
          <w:i/>
          <w:iCs/>
        </w:rPr>
        <w:t>Id.</w:t>
      </w:r>
      <w:r>
        <w:t xml:space="preserve"> at p.</w:t>
      </w:r>
      <w:r>
        <w:t> </w:t>
      </w:r>
      <w:r>
        <w:t>938</w:t>
      </w:r>
      <w:bookmarkEnd w:id="90"/>
      <w:r>
        <w:t>.)</w:t>
      </w:r>
      <w:r>
        <w:t xml:space="preserve">  </w:t>
      </w:r>
      <w:r>
        <w:t xml:space="preserve">The Supreme Court cautioned </w:t>
      </w:r>
      <w:r>
        <w:t xml:space="preserve">that </w:t>
      </w:r>
      <w:r>
        <w:t>an</w:t>
      </w:r>
      <w:r>
        <w:t xml:space="preserve"> agency’s failure to comply with CEQA may not</w:t>
      </w:r>
      <w:r>
        <w:t xml:space="preserve"> </w:t>
      </w:r>
      <w:r>
        <w:t xml:space="preserve">simply </w:t>
      </w:r>
      <w:r>
        <w:t>“be challenged at any time without limitation.”  (</w:t>
      </w:r>
      <w:bookmarkStart w:id="91" w:name="dabmci_65b47e6ab6a54730abb9b0916784b1f8"/>
      <w:r>
        <w:rPr>
          <w:i/>
          <w:iCs/>
        </w:rPr>
        <w:t>Id.</w:t>
      </w:r>
      <w:r>
        <w:t xml:space="preserve"> at p.</w:t>
      </w:r>
      <w:r>
        <w:t> </w:t>
      </w:r>
      <w:r>
        <w:t>939</w:t>
      </w:r>
      <w:bookmarkEnd w:id="91"/>
      <w:r>
        <w:t xml:space="preserve">.)  </w:t>
      </w:r>
      <w:r>
        <w:t xml:space="preserve">But </w:t>
      </w:r>
      <w:r>
        <w:t>where an agency prepare</w:t>
      </w:r>
      <w:r>
        <w:t>s</w:t>
      </w:r>
      <w:r>
        <w:t xml:space="preserve"> an EIR, makes substantial changes to the project</w:t>
      </w:r>
      <w:r>
        <w:t>,</w:t>
      </w:r>
      <w:r>
        <w:t xml:space="preserve"> and fails to </w:t>
      </w:r>
      <w:r>
        <w:t>give notice</w:t>
      </w:r>
      <w:r>
        <w:t xml:space="preserve"> </w:t>
      </w:r>
      <w:r>
        <w:t>about</w:t>
      </w:r>
      <w:r>
        <w:t xml:space="preserve"> the changes, “an action challenging the agency’s noncompliance with CEQ</w:t>
      </w:r>
      <w:r>
        <w:t>A may be filed within 180 days of the time the plaintiff knew or reasonably should have known that the project under way differs substantially from the one described in the EIR.”  (</w:t>
      </w:r>
      <w:bookmarkStart w:id="92" w:name="dabmci_8cc431361f7644af8f868c9ac6d2443f"/>
      <w:r>
        <w:rPr>
          <w:i/>
          <w:iCs/>
        </w:rPr>
        <w:t>Ibid.</w:t>
      </w:r>
      <w:bookmarkEnd w:id="92"/>
      <w:r>
        <w:t>)</w:t>
      </w:r>
    </w:p>
    <w:p w14:paraId="075AA520" w14:textId="77777777" w:rsidR="00C655D2" w:rsidRDefault="00021E22" w:rsidP="00AE3BE0">
      <w:r>
        <w:lastRenderedPageBreak/>
        <w:tab/>
      </w:r>
      <w:r>
        <w:t xml:space="preserve">At issue in </w:t>
      </w:r>
      <w:r>
        <w:rPr>
          <w:i/>
          <w:iCs/>
        </w:rPr>
        <w:t>Ventura Foothill Neighbors</w:t>
      </w:r>
      <w:r>
        <w:t xml:space="preserve"> was the Ventura County Board</w:t>
      </w:r>
      <w:r>
        <w:t xml:space="preserve"> of Supervisors’ decision to construct </w:t>
      </w:r>
      <w:r>
        <w:t>a five-story</w:t>
      </w:r>
      <w:r>
        <w:t xml:space="preserve"> ambulatory care clinic.  In 1993, the board prepared and certified an EIR stating the building would have a maximum height of 75 feet.  (</w:t>
      </w:r>
      <w:bookmarkStart w:id="93" w:name="dabmci_55599c1c0d54490e9016e0d1f6581801"/>
      <w:r>
        <w:rPr>
          <w:i/>
          <w:iCs/>
        </w:rPr>
        <w:t xml:space="preserve">Ventura Foothill </w:t>
      </w:r>
      <w:r w:rsidRPr="00382A6D">
        <w:rPr>
          <w:i/>
          <w:iCs/>
        </w:rPr>
        <w:t>Neighbors, supra</w:t>
      </w:r>
      <w:r>
        <w:t>, 232 Cal.App.4th at p</w:t>
      </w:r>
      <w:r>
        <w:t>p</w:t>
      </w:r>
      <w:r>
        <w:t>.</w:t>
      </w:r>
      <w:r>
        <w:t> </w:t>
      </w:r>
      <w:r>
        <w:t>431–432</w:t>
      </w:r>
      <w:bookmarkEnd w:id="93"/>
      <w:r>
        <w:t xml:space="preserve">.)  </w:t>
      </w:r>
      <w:r>
        <w:t>In 2005, a</w:t>
      </w:r>
      <w:r>
        <w:t xml:space="preserve">fter years of delay, the board decided </w:t>
      </w:r>
      <w:r>
        <w:t xml:space="preserve">to relocate the building 200 </w:t>
      </w:r>
      <w:r>
        <w:t>feet</w:t>
      </w:r>
      <w:r>
        <w:t xml:space="preserve"> north an</w:t>
      </w:r>
      <w:r>
        <w:t>d</w:t>
      </w:r>
      <w:r>
        <w:t xml:space="preserve"> 160 feet west, and to increase the building </w:t>
      </w:r>
      <w:r>
        <w:t xml:space="preserve">height </w:t>
      </w:r>
      <w:r>
        <w:t xml:space="preserve">to 90 feet.  </w:t>
      </w:r>
      <w:r>
        <w:t>(</w:t>
      </w:r>
      <w:bookmarkStart w:id="94" w:name="dabmci_798735179cde4d8991b303661a80fdb4"/>
      <w:r>
        <w:rPr>
          <w:i/>
          <w:iCs/>
        </w:rPr>
        <w:t>Ibid</w:t>
      </w:r>
      <w:r>
        <w:t>.</w:t>
      </w:r>
      <w:bookmarkEnd w:id="94"/>
      <w:r>
        <w:t xml:space="preserve">)  </w:t>
      </w:r>
      <w:r>
        <w:t>It</w:t>
      </w:r>
      <w:r>
        <w:t xml:space="preserve"> prepared an addendum to </w:t>
      </w:r>
      <w:r>
        <w:t xml:space="preserve">the </w:t>
      </w:r>
      <w:r>
        <w:t>EIR, which discussed the relocated site, but did not mention the height change.  (</w:t>
      </w:r>
      <w:bookmarkStart w:id="95" w:name="dabmci_9c5f5a09f9844a7197cb199fce25d2ce"/>
      <w:r>
        <w:rPr>
          <w:i/>
          <w:iCs/>
        </w:rPr>
        <w:t>Ibid.</w:t>
      </w:r>
      <w:bookmarkEnd w:id="95"/>
      <w:r>
        <w:t>)  It also filed a no</w:t>
      </w:r>
      <w:r>
        <w:t>tice of determination that discussed the relocation, but not the height change.  (</w:t>
      </w:r>
      <w:bookmarkStart w:id="96" w:name="dabmci_00d2385fe98d487ca2159b09d5436236"/>
      <w:r>
        <w:rPr>
          <w:i/>
          <w:iCs/>
        </w:rPr>
        <w:t>Ibid.</w:t>
      </w:r>
      <w:bookmarkEnd w:id="96"/>
      <w:r>
        <w:t>)  Once construction finally got underway in 2008, a neighbor learned of the height change and, soon after, a citizens’ group filed suit against the board and other publ</w:t>
      </w:r>
      <w:r>
        <w:t>ic entities seeking to set aside the board’s approval of the relocated building.  (</w:t>
      </w:r>
      <w:bookmarkStart w:id="97" w:name="dabmci_37e060cb40ce4c3da09beb2c7e1b215f"/>
      <w:r>
        <w:rPr>
          <w:i/>
          <w:iCs/>
        </w:rPr>
        <w:t>Id.</w:t>
      </w:r>
      <w:r>
        <w:t xml:space="preserve"> at pp.</w:t>
      </w:r>
      <w:r>
        <w:t> </w:t>
      </w:r>
      <w:r>
        <w:t>432–433</w:t>
      </w:r>
      <w:bookmarkEnd w:id="97"/>
      <w:r>
        <w:t xml:space="preserve">.) </w:t>
      </w:r>
      <w:r>
        <w:t xml:space="preserve"> The trial court granted a peremptory writ of mandate.  (</w:t>
      </w:r>
      <w:bookmarkStart w:id="98" w:name="dabmci_bb17d1ce608c4483a59b4507694cb842"/>
      <w:r>
        <w:rPr>
          <w:i/>
          <w:iCs/>
        </w:rPr>
        <w:t>Id.</w:t>
      </w:r>
      <w:r>
        <w:t xml:space="preserve"> at p.</w:t>
      </w:r>
      <w:r>
        <w:t> </w:t>
      </w:r>
      <w:r>
        <w:t>433</w:t>
      </w:r>
      <w:bookmarkEnd w:id="98"/>
      <w:r>
        <w:t>.)</w:t>
      </w:r>
    </w:p>
    <w:p w14:paraId="3B7D623D" w14:textId="77777777" w:rsidR="00C655D2" w:rsidRDefault="00021E22" w:rsidP="00AE3BE0">
      <w:r>
        <w:tab/>
        <w:t>On appeal, the board and its codefendants argued the action was untimely becau</w:t>
      </w:r>
      <w:r>
        <w:t xml:space="preserve">se </w:t>
      </w:r>
      <w:r>
        <w:t xml:space="preserve">the </w:t>
      </w:r>
      <w:r>
        <w:t xml:space="preserve">filing of </w:t>
      </w:r>
      <w:r>
        <w:t xml:space="preserve">the </w:t>
      </w:r>
      <w:r>
        <w:t>notice of determination in 2005 purportedly triggered a 30-day statute of limitations (</w:t>
      </w:r>
      <w:bookmarkStart w:id="99" w:name="dabmci_c6951a088eea4231b891145bafbce9de"/>
      <w:r>
        <w:t>Pub. Resources Code, § 21167</w:t>
      </w:r>
      <w:bookmarkEnd w:id="99"/>
      <w:r>
        <w:t>, subd.</w:t>
      </w:r>
      <w:r>
        <w:t> </w:t>
      </w:r>
      <w:r>
        <w:t xml:space="preserve">(e)), and the citizens’ group did not </w:t>
      </w:r>
      <w:r>
        <w:t>bring suit</w:t>
      </w:r>
      <w:r>
        <w:t xml:space="preserve"> until 2008.  (</w:t>
      </w:r>
      <w:bookmarkStart w:id="100" w:name="dabmci_efa9b03ccee24d49992fe25756066b9e"/>
      <w:r>
        <w:rPr>
          <w:i/>
          <w:iCs/>
        </w:rPr>
        <w:t xml:space="preserve">Ventura Foothill </w:t>
      </w:r>
      <w:r w:rsidRPr="00382A6D">
        <w:rPr>
          <w:i/>
          <w:iCs/>
        </w:rPr>
        <w:t>Neighbors, supra</w:t>
      </w:r>
      <w:r>
        <w:t>, 232 Cal.App.4t</w:t>
      </w:r>
      <w:r>
        <w:t>h at p.</w:t>
      </w:r>
      <w:r>
        <w:t> </w:t>
      </w:r>
      <w:r>
        <w:t>436</w:t>
      </w:r>
      <w:bookmarkEnd w:id="100"/>
      <w:r>
        <w:t xml:space="preserve">.)  Relying on </w:t>
      </w:r>
      <w:r>
        <w:rPr>
          <w:i/>
          <w:iCs/>
        </w:rPr>
        <w:t>Concerned Citizens of Costa Mesa</w:t>
      </w:r>
      <w:r>
        <w:t>, the Court of Appeal rejected th</w:t>
      </w:r>
      <w:r>
        <w:t>is</w:t>
      </w:r>
      <w:r>
        <w:t xml:space="preserve"> </w:t>
      </w:r>
      <w:r>
        <w:t>argument</w:t>
      </w:r>
      <w:r>
        <w:t>.  It reasoned the “30-day statute of limitations [was] i</w:t>
      </w:r>
      <w:r>
        <w:t>n</w:t>
      </w:r>
      <w:r>
        <w:t>applicable because [the] [c]ounty did not provide notice to the public of the increase in the Cl</w:t>
      </w:r>
      <w:r>
        <w:t xml:space="preserve">inic’s height” in the </w:t>
      </w:r>
      <w:r>
        <w:t>notice of determination or the EIR addendum.  (</w:t>
      </w:r>
      <w:bookmarkStart w:id="101" w:name="dabmci_6e8d15b2cfaa44c4bef636f0a5aea18d"/>
      <w:r w:rsidRPr="000F4524">
        <w:rPr>
          <w:i/>
          <w:iCs/>
        </w:rPr>
        <w:t>Ventura</w:t>
      </w:r>
      <w:r>
        <w:t xml:space="preserve"> </w:t>
      </w:r>
      <w:bookmarkEnd w:id="101"/>
      <w:r>
        <w:rPr>
          <w:i/>
          <w:iCs/>
        </w:rPr>
        <w:t xml:space="preserve">Foothill </w:t>
      </w:r>
      <w:r w:rsidRPr="00382A6D">
        <w:rPr>
          <w:i/>
          <w:iCs/>
        </w:rPr>
        <w:t>Neighbors</w:t>
      </w:r>
      <w:r>
        <w:rPr>
          <w:i/>
          <w:iCs/>
        </w:rPr>
        <w:t xml:space="preserve">, </w:t>
      </w:r>
      <w:r w:rsidRPr="000F4524">
        <w:t>at p. 436</w:t>
      </w:r>
      <w:r>
        <w:t>.</w:t>
      </w:r>
      <w:r>
        <w:t xml:space="preserve">)  Given the lack of notice about the changed </w:t>
      </w:r>
      <w:r>
        <w:t xml:space="preserve">building </w:t>
      </w:r>
      <w:r>
        <w:t>height, a 180-day statute of limitations applied</w:t>
      </w:r>
      <w:r>
        <w:t xml:space="preserve"> and began running </w:t>
      </w:r>
      <w:r>
        <w:t xml:space="preserve">from the date the </w:t>
      </w:r>
      <w:r>
        <w:t>group’s members were informed about the height</w:t>
      </w:r>
      <w:r>
        <w:t xml:space="preserve"> change</w:t>
      </w:r>
      <w:r>
        <w:t xml:space="preserve">.  </w:t>
      </w:r>
      <w:r>
        <w:lastRenderedPageBreak/>
        <w:t>(</w:t>
      </w:r>
      <w:bookmarkStart w:id="102" w:name="dabmci_9d9a5473be684fa4a1b1b2ac74c77d62"/>
      <w:r>
        <w:rPr>
          <w:i/>
          <w:iCs/>
        </w:rPr>
        <w:t>Ibid.</w:t>
      </w:r>
      <w:bookmarkEnd w:id="102"/>
      <w:r>
        <w:t>)  Because the citizens’ group filed its action within the 180-day statute of limitations period, the lawsuit was timely.  (</w:t>
      </w:r>
      <w:bookmarkStart w:id="103" w:name="dabmci_4d1583905efb4400a97d2339abbbf3c3"/>
      <w:r>
        <w:rPr>
          <w:i/>
          <w:iCs/>
        </w:rPr>
        <w:t xml:space="preserve">Id. </w:t>
      </w:r>
      <w:r>
        <w:t>at p.</w:t>
      </w:r>
      <w:r>
        <w:t> </w:t>
      </w:r>
      <w:r>
        <w:t>437</w:t>
      </w:r>
      <w:bookmarkEnd w:id="103"/>
      <w:r>
        <w:t>.)</w:t>
      </w:r>
    </w:p>
    <w:p w14:paraId="542E9F0B" w14:textId="77777777" w:rsidR="005A73B8" w:rsidRDefault="00021E22" w:rsidP="00AE3BE0">
      <w:r>
        <w:tab/>
        <w:t xml:space="preserve">The principles discussed in </w:t>
      </w:r>
      <w:r>
        <w:rPr>
          <w:i/>
          <w:iCs/>
        </w:rPr>
        <w:t>Concerned Citizens of Cos</w:t>
      </w:r>
      <w:r>
        <w:rPr>
          <w:i/>
          <w:iCs/>
        </w:rPr>
        <w:t xml:space="preserve">ta Mesa </w:t>
      </w:r>
      <w:r>
        <w:t xml:space="preserve">and </w:t>
      </w:r>
      <w:r>
        <w:rPr>
          <w:i/>
          <w:iCs/>
        </w:rPr>
        <w:t xml:space="preserve">Ventura Foothill </w:t>
      </w:r>
      <w:r w:rsidRPr="00382A6D">
        <w:rPr>
          <w:i/>
          <w:iCs/>
        </w:rPr>
        <w:t>Neighbors</w:t>
      </w:r>
      <w:r>
        <w:t xml:space="preserve"> are controlling here.  </w:t>
      </w:r>
      <w:r>
        <w:t>T</w:t>
      </w:r>
      <w:r>
        <w:t xml:space="preserve">he </w:t>
      </w:r>
      <w:r>
        <w:t xml:space="preserve">City’s </w:t>
      </w:r>
      <w:r>
        <w:t>notice of exemption stated the project would “vacate the public’s vehicular access rights</w:t>
      </w:r>
      <w:r>
        <w:t>”</w:t>
      </w:r>
      <w:r>
        <w:t xml:space="preserve"> on</w:t>
      </w:r>
      <w:r>
        <w:t xml:space="preserve"> </w:t>
      </w:r>
      <w:r>
        <w:t>Museum Way</w:t>
      </w:r>
      <w:r>
        <w:t>.</w:t>
      </w:r>
      <w:r>
        <w:t xml:space="preserve">  </w:t>
      </w:r>
      <w:r w:rsidRPr="00800022">
        <w:t>“</w:t>
      </w:r>
      <w:r>
        <w:t> </w:t>
      </w:r>
      <w:r w:rsidRPr="00800022">
        <w:t>‘</w:t>
      </w:r>
      <w:r>
        <w:t>V</w:t>
      </w:r>
      <w:r w:rsidRPr="00800022">
        <w:t xml:space="preserve">acation’ means the complete or partial </w:t>
      </w:r>
      <w:r w:rsidRPr="00C55570">
        <w:t>abandonment or termination</w:t>
      </w:r>
      <w:r w:rsidRPr="00800022">
        <w:t xml:space="preserve"> of the</w:t>
      </w:r>
      <w:r w:rsidRPr="00800022">
        <w:t xml:space="preserve"> public right to use a street, highway, or public service easement.”  (</w:t>
      </w:r>
      <w:bookmarkStart w:id="104" w:name="dabmci_019a45a6af5a4830a360d647c3dd810f"/>
      <w:r w:rsidRPr="00800022">
        <w:t>Sts. &amp; Hy. Code, §</w:t>
      </w:r>
      <w:r>
        <w:t> </w:t>
      </w:r>
      <w:r w:rsidRPr="00800022">
        <w:t>8309</w:t>
      </w:r>
      <w:bookmarkEnd w:id="104"/>
      <w:r>
        <w:t xml:space="preserve">; </w:t>
      </w:r>
      <w:r>
        <w:t xml:space="preserve">see </w:t>
      </w:r>
      <w:bookmarkStart w:id="105" w:name="dabmci_d95cc31d3b634b7c80bb8391ef2411ba"/>
      <w:r>
        <w:rPr>
          <w:i/>
          <w:iCs/>
        </w:rPr>
        <w:t>id</w:t>
      </w:r>
      <w:bookmarkEnd w:id="105"/>
      <w:r>
        <w:rPr>
          <w:i/>
          <w:iCs/>
        </w:rPr>
        <w:t>.</w:t>
      </w:r>
      <w:r>
        <w:t xml:space="preserve">, </w:t>
      </w:r>
      <w:bookmarkStart w:id="106" w:name="_Hlk123735598"/>
      <w:r w:rsidRPr="00800022">
        <w:t>§</w:t>
      </w:r>
      <w:r>
        <w:t> </w:t>
      </w:r>
      <w:bookmarkEnd w:id="106"/>
      <w:r>
        <w:t xml:space="preserve">8350 </w:t>
      </w:r>
      <w:r>
        <w:t>[</w:t>
      </w:r>
      <w:r>
        <w:t xml:space="preserve">except as otherwise provided, </w:t>
      </w:r>
      <w:r>
        <w:t>“</w:t>
      </w:r>
      <w:r w:rsidRPr="009E04F3">
        <w:t>the vacation of a street, highway, or public service easement extinguishes all public easements therein</w:t>
      </w:r>
      <w:r>
        <w:t>”]</w:t>
      </w:r>
      <w:r w:rsidRPr="00800022">
        <w:t>.)</w:t>
      </w:r>
      <w:r>
        <w:t xml:space="preserve">  When a city vacates a street, “</w:t>
      </w:r>
      <w:r>
        <w:t> </w:t>
      </w:r>
      <w:r>
        <w:t>‘</w:t>
      </w:r>
      <w:r w:rsidRPr="00740DA1">
        <w:t>the beneficial use or title to the land abandoned may, and usually does, revert to private parties.</w:t>
      </w:r>
      <w:r>
        <w:t>’ ”  (</w:t>
      </w:r>
      <w:bookmarkStart w:id="107" w:name="dabmci_b393690c07a041578802238f227ba214"/>
      <w:r>
        <w:rPr>
          <w:i/>
          <w:iCs/>
        </w:rPr>
        <w:t xml:space="preserve">Kinney v. Overton </w:t>
      </w:r>
      <w:r>
        <w:t>(2007) 153 Cal.App.4th 482, 495</w:t>
      </w:r>
      <w:bookmarkEnd w:id="107"/>
      <w:r>
        <w:t>.)</w:t>
      </w:r>
      <w:r>
        <w:t xml:space="preserve">  </w:t>
      </w:r>
      <w:r>
        <w:t>This stands in contrast to a temporary street closure, where th</w:t>
      </w:r>
      <w:r>
        <w:t xml:space="preserve">e public </w:t>
      </w:r>
      <w:r>
        <w:t>regains</w:t>
      </w:r>
      <w:r>
        <w:t xml:space="preserve"> </w:t>
      </w:r>
      <w:r>
        <w:t xml:space="preserve">its </w:t>
      </w:r>
      <w:r>
        <w:t>right to use the street when the</w:t>
      </w:r>
      <w:r>
        <w:t xml:space="preserve"> </w:t>
      </w:r>
      <w:r>
        <w:t xml:space="preserve">closure expires.  Thus, the </w:t>
      </w:r>
      <w:r>
        <w:t>project implemented by the City</w:t>
      </w:r>
      <w:r>
        <w:t>—a temporary street closure—</w:t>
      </w:r>
      <w:r>
        <w:t xml:space="preserve">clearly </w:t>
      </w:r>
      <w:r>
        <w:t>differed from the vacation contemplated by the notice of exemption.</w:t>
      </w:r>
    </w:p>
    <w:p w14:paraId="1B983D85" w14:textId="77777777" w:rsidR="00C55570" w:rsidRDefault="00021E22" w:rsidP="00AE3BE0">
      <w:r>
        <w:tab/>
      </w:r>
      <w:r>
        <w:t xml:space="preserve">The </w:t>
      </w:r>
      <w:r>
        <w:t>City contends it did not significa</w:t>
      </w:r>
      <w:r>
        <w:t xml:space="preserve">ntly change the project </w:t>
      </w:r>
      <w:r>
        <w:t xml:space="preserve">after it filed the notice of exemption </w:t>
      </w:r>
      <w:r>
        <w:t>because the notice of exemption</w:t>
      </w:r>
      <w:r>
        <w:t xml:space="preserve"> </w:t>
      </w:r>
      <w:r>
        <w:t>advised</w:t>
      </w:r>
      <w:r>
        <w:t xml:space="preserve"> the public </w:t>
      </w:r>
      <w:r>
        <w:t xml:space="preserve">vehicular access to </w:t>
      </w:r>
      <w:r>
        <w:t>Museum Way</w:t>
      </w:r>
      <w:r>
        <w:t xml:space="preserve"> would be restricted</w:t>
      </w:r>
      <w:r>
        <w:t xml:space="preserve"> and</w:t>
      </w:r>
      <w:r>
        <w:t>, according to the City,</w:t>
      </w:r>
      <w:r>
        <w:t xml:space="preserve"> one kind of </w:t>
      </w:r>
      <w:r>
        <w:t xml:space="preserve">vehicular </w:t>
      </w:r>
      <w:r>
        <w:t xml:space="preserve">access </w:t>
      </w:r>
      <w:r>
        <w:t>restriction</w:t>
      </w:r>
      <w:r>
        <w:t xml:space="preserve"> is the same as any oth</w:t>
      </w:r>
      <w:r>
        <w:t xml:space="preserve">er </w:t>
      </w:r>
      <w:r>
        <w:t xml:space="preserve">kind of </w:t>
      </w:r>
      <w:r>
        <w:t xml:space="preserve">vehicular </w:t>
      </w:r>
      <w:r>
        <w:t xml:space="preserve">access </w:t>
      </w:r>
      <w:r>
        <w:t>restriction</w:t>
      </w:r>
      <w:r>
        <w:t xml:space="preserve">.  </w:t>
      </w:r>
      <w:r>
        <w:t>T</w:t>
      </w:r>
      <w:r>
        <w:t>his</w:t>
      </w:r>
      <w:r>
        <w:t xml:space="preserve"> </w:t>
      </w:r>
      <w:r>
        <w:t xml:space="preserve">argument </w:t>
      </w:r>
      <w:r>
        <w:t xml:space="preserve">is </w:t>
      </w:r>
      <w:r>
        <w:t>unconvincing</w:t>
      </w:r>
      <w:r>
        <w:t xml:space="preserve">.  The types of vehicular </w:t>
      </w:r>
      <w:r>
        <w:t xml:space="preserve">access </w:t>
      </w:r>
      <w:r>
        <w:t xml:space="preserve">restrictions </w:t>
      </w:r>
      <w:r>
        <w:t>implicated here</w:t>
      </w:r>
      <w:r>
        <w:t xml:space="preserve"> are materially different </w:t>
      </w:r>
      <w:r>
        <w:t xml:space="preserve">from one another </w:t>
      </w:r>
      <w:r>
        <w:t>in duration and</w:t>
      </w:r>
      <w:r>
        <w:t xml:space="preserve"> </w:t>
      </w:r>
      <w:r>
        <w:t xml:space="preserve">surely could </w:t>
      </w:r>
      <w:r>
        <w:t xml:space="preserve">have </w:t>
      </w:r>
      <w:r>
        <w:t>significantly</w:t>
      </w:r>
      <w:r>
        <w:t xml:space="preserve"> different </w:t>
      </w:r>
      <w:r>
        <w:t xml:space="preserve">environmental </w:t>
      </w:r>
      <w:r>
        <w:t xml:space="preserve">impacts. </w:t>
      </w:r>
      <w:r>
        <w:t xml:space="preserve"> A</w:t>
      </w:r>
      <w:r>
        <w:t xml:space="preserve">s noted, </w:t>
      </w:r>
      <w:r>
        <w:t xml:space="preserve">vacation results in the </w:t>
      </w:r>
      <w:r w:rsidRPr="00740DA1">
        <w:t>abandonment or termination</w:t>
      </w:r>
      <w:r>
        <w:t xml:space="preserve"> of the public’s right to use a road</w:t>
      </w:r>
      <w:r>
        <w:t>, which does not result from a temporary street closure</w:t>
      </w:r>
      <w:r>
        <w:t xml:space="preserve">.  </w:t>
      </w:r>
      <w:r>
        <w:t>T</w:t>
      </w:r>
      <w:r>
        <w:t>h</w:t>
      </w:r>
      <w:r>
        <w:t>us, th</w:t>
      </w:r>
      <w:r>
        <w:t xml:space="preserve">e public’s long-term right to use the road, </w:t>
      </w:r>
      <w:r>
        <w:lastRenderedPageBreak/>
        <w:t xml:space="preserve">and the environmental impacts from such use, may differ depending on which mechanism is used to restrict </w:t>
      </w:r>
      <w:r>
        <w:t xml:space="preserve">the public’s </w:t>
      </w:r>
      <w:r>
        <w:t>vehicular access to the road.</w:t>
      </w:r>
    </w:p>
    <w:p w14:paraId="3A7CC699" w14:textId="77777777" w:rsidR="00F2797F" w:rsidRDefault="00021E22" w:rsidP="00AE3BE0">
      <w:r>
        <w:tab/>
        <w:t xml:space="preserve">The City also asserts it </w:t>
      </w:r>
      <w:r>
        <w:t>should be entitled to invoke the 35-da</w:t>
      </w:r>
      <w:r>
        <w:t>y statute of limitations</w:t>
      </w:r>
      <w:r>
        <w:t>—</w:t>
      </w:r>
      <w:r>
        <w:t>even if it did change the project</w:t>
      </w:r>
      <w:r>
        <w:t>—</w:t>
      </w:r>
      <w:r>
        <w:t xml:space="preserve">because the environmental impacts from the revised project likely </w:t>
      </w:r>
      <w:r>
        <w:t xml:space="preserve">will be </w:t>
      </w:r>
      <w:r>
        <w:t xml:space="preserve">less than the environmental impacts </w:t>
      </w:r>
      <w:r>
        <w:t>that would have resulted from</w:t>
      </w:r>
      <w:r>
        <w:t xml:space="preserve"> the </w:t>
      </w:r>
      <w:r>
        <w:t xml:space="preserve">vacation </w:t>
      </w:r>
      <w:r>
        <w:t xml:space="preserve">project </w:t>
      </w:r>
      <w:r>
        <w:t>discussed in the notice of exemption</w:t>
      </w:r>
      <w:r>
        <w:t>.  This argument misses the mark</w:t>
      </w:r>
      <w:r>
        <w:t xml:space="preserve"> as well</w:t>
      </w:r>
      <w:r>
        <w:t xml:space="preserve">.  The reason we </w:t>
      </w:r>
      <w:r>
        <w:t>do not</w:t>
      </w:r>
      <w:r>
        <w:t xml:space="preserve"> enforce a truncated statute of limitations when a public agency materially changes a project, and then fails to notify the public about the change, is that it “effectively deprive[s] the publi</w:t>
      </w:r>
      <w:r>
        <w:t>c of any meaningful assessment of the actual project chosen by the agency.”  (</w:t>
      </w:r>
      <w:bookmarkStart w:id="108" w:name="dabmci_80cf754c8a8e45e7a54b14c386f25167"/>
      <w:r w:rsidRPr="00907F55">
        <w:rPr>
          <w:i/>
          <w:iCs/>
        </w:rPr>
        <w:t>Concerned Citizens</w:t>
      </w:r>
      <w:r>
        <w:rPr>
          <w:i/>
          <w:iCs/>
        </w:rPr>
        <w:t xml:space="preserve"> of Costa Mesa</w:t>
      </w:r>
      <w:r w:rsidRPr="00907F55">
        <w:rPr>
          <w:i/>
          <w:iCs/>
        </w:rPr>
        <w:t>, supra</w:t>
      </w:r>
      <w:r>
        <w:t>, 42 Cal.3d at p.</w:t>
      </w:r>
      <w:r>
        <w:t> </w:t>
      </w:r>
      <w:r>
        <w:t>938</w:t>
      </w:r>
      <w:bookmarkEnd w:id="108"/>
      <w:r>
        <w:t>.)  This, in turn, “</w:t>
      </w:r>
      <w:r w:rsidRPr="00907F55">
        <w:t>compromise</w:t>
      </w:r>
      <w:r>
        <w:t>[s]</w:t>
      </w:r>
      <w:r w:rsidRPr="00907F55">
        <w:t xml:space="preserve"> the goal of public participation in the environmental review process.”</w:t>
      </w:r>
      <w:r>
        <w:t xml:space="preserve">  (</w:t>
      </w:r>
      <w:bookmarkStart w:id="109" w:name="dabmci_0031fac975334517ba22598f9c94403c"/>
      <w:r>
        <w:rPr>
          <w:i/>
          <w:iCs/>
        </w:rPr>
        <w:t>Ibid.</w:t>
      </w:r>
      <w:bookmarkEnd w:id="109"/>
      <w:r>
        <w:t>; Guid</w:t>
      </w:r>
      <w:r>
        <w:t>elines</w:t>
      </w:r>
      <w:r>
        <w:t>,</w:t>
      </w:r>
      <w:r>
        <w:t xml:space="preserve"> </w:t>
      </w:r>
      <w:bookmarkStart w:id="110" w:name="_Hlk123735625"/>
      <w:r>
        <w:t xml:space="preserve">§ 15201 </w:t>
      </w:r>
      <w:bookmarkEnd w:id="110"/>
      <w:r>
        <w:t>[</w:t>
      </w:r>
      <w:r>
        <w:t>“</w:t>
      </w:r>
      <w:r w:rsidRPr="00CB6581">
        <w:t>Public participation is an essential part of the CEQA process.</w:t>
      </w:r>
      <w:r>
        <w:t>”</w:t>
      </w:r>
      <w:r>
        <w:t xml:space="preserve">].) </w:t>
      </w:r>
      <w:r>
        <w:t xml:space="preserve"> </w:t>
      </w:r>
      <w:r>
        <w:t>Irrespective of whether the City believes</w:t>
      </w:r>
      <w:r>
        <w:t xml:space="preserve"> the </w:t>
      </w:r>
      <w:r>
        <w:t xml:space="preserve">project </w:t>
      </w:r>
      <w:r>
        <w:t>it pursued will be</w:t>
      </w:r>
      <w:r>
        <w:t xml:space="preserve"> less impactful to the environment</w:t>
      </w:r>
      <w:r>
        <w:t xml:space="preserve"> than </w:t>
      </w:r>
      <w:r>
        <w:t xml:space="preserve">the one </w:t>
      </w:r>
      <w:r>
        <w:t>described in the notice of exemption</w:t>
      </w:r>
      <w:r>
        <w:t xml:space="preserve">, </w:t>
      </w:r>
      <w:r>
        <w:t>the City</w:t>
      </w:r>
      <w:r>
        <w:t>’s f</w:t>
      </w:r>
      <w:r>
        <w:t xml:space="preserve">ailure to notify the public about the change effectively </w:t>
      </w:r>
      <w:r>
        <w:t xml:space="preserve">deprived </w:t>
      </w:r>
      <w:r>
        <w:t>the public</w:t>
      </w:r>
      <w:r>
        <w:t xml:space="preserve"> of </w:t>
      </w:r>
      <w:r>
        <w:t xml:space="preserve">the </w:t>
      </w:r>
      <w:r>
        <w:t>chance</w:t>
      </w:r>
      <w:r>
        <w:t xml:space="preserve"> to </w:t>
      </w:r>
      <w:r>
        <w:t>evaluate</w:t>
      </w:r>
      <w:r>
        <w:t xml:space="preserve"> the </w:t>
      </w:r>
      <w:r>
        <w:t xml:space="preserve">changed </w:t>
      </w:r>
      <w:r>
        <w:t>project</w:t>
      </w:r>
      <w:r>
        <w:t xml:space="preserve"> for itself</w:t>
      </w:r>
      <w:r>
        <w:t xml:space="preserve"> and to make its own decisions as to whether to challenge th</w:t>
      </w:r>
      <w:r>
        <w:t>e</w:t>
      </w:r>
      <w:r>
        <w:t xml:space="preserve"> project</w:t>
      </w:r>
      <w:r>
        <w:t>.</w:t>
      </w:r>
    </w:p>
    <w:p w14:paraId="5FDBA6A9" w14:textId="77777777" w:rsidR="002A1E31" w:rsidRDefault="00021E22" w:rsidP="00AE3BE0">
      <w:r>
        <w:tab/>
        <w:t xml:space="preserve">Moreover, we can </w:t>
      </w:r>
      <w:r>
        <w:t xml:space="preserve">envision </w:t>
      </w:r>
      <w:r>
        <w:t>scenario</w:t>
      </w:r>
      <w:r>
        <w:t>s</w:t>
      </w:r>
      <w:r>
        <w:t xml:space="preserve"> in which the </w:t>
      </w:r>
      <w:r>
        <w:t xml:space="preserve">project description </w:t>
      </w:r>
      <w:r>
        <w:t xml:space="preserve">in the notice of exemption </w:t>
      </w:r>
      <w:r>
        <w:t>(</w:t>
      </w:r>
      <w:r>
        <w:t xml:space="preserve">street </w:t>
      </w:r>
      <w:r>
        <w:t xml:space="preserve">vacation) </w:t>
      </w:r>
      <w:r>
        <w:t>could have induced members of the public to refrain from filing an expeditious legal challenge to the project</w:t>
      </w:r>
      <w:r>
        <w:t>—oblivious to the fact that vacation was not</w:t>
      </w:r>
      <w:r>
        <w:t xml:space="preserve"> </w:t>
      </w:r>
      <w:r>
        <w:t>the project the City wa</w:t>
      </w:r>
      <w:r>
        <w:t xml:space="preserve">s </w:t>
      </w:r>
      <w:r>
        <w:t xml:space="preserve">actually </w:t>
      </w:r>
      <w:r>
        <w:t>pursuing</w:t>
      </w:r>
      <w:r>
        <w:t>.  A street may only be vacated if the legislative body of a local agency</w:t>
      </w:r>
      <w:r>
        <w:t xml:space="preserve"> finds</w:t>
      </w:r>
      <w:r>
        <w:t xml:space="preserve">, </w:t>
      </w:r>
      <w:r>
        <w:t xml:space="preserve">based on evidence submitted at </w:t>
      </w:r>
      <w:r>
        <w:t>a</w:t>
      </w:r>
      <w:r>
        <w:t xml:space="preserve"> </w:t>
      </w:r>
      <w:r>
        <w:t>hearing</w:t>
      </w:r>
      <w:r>
        <w:t xml:space="preserve">, </w:t>
      </w:r>
      <w:r>
        <w:t xml:space="preserve">that </w:t>
      </w:r>
      <w:r>
        <w:t xml:space="preserve">the street </w:t>
      </w:r>
      <w:r>
        <w:t xml:space="preserve">in question </w:t>
      </w:r>
      <w:r>
        <w:t>“</w:t>
      </w:r>
      <w:r w:rsidRPr="00740DA1">
        <w:t>is unnecessary for present or prospective public use</w:t>
      </w:r>
      <w:r>
        <w:t xml:space="preserve"> ….”  (</w:t>
      </w:r>
      <w:r>
        <w:t xml:space="preserve">Sts. &amp; </w:t>
      </w:r>
      <w:r>
        <w:t xml:space="preserve">Hy. </w:t>
      </w:r>
      <w:r>
        <w:t>Code,</w:t>
      </w:r>
      <w:r>
        <w:t xml:space="preserve"> </w:t>
      </w:r>
      <w:bookmarkStart w:id="111" w:name="_Hlk123735654"/>
      <w:r w:rsidRPr="00800022">
        <w:t>§</w:t>
      </w:r>
      <w:r>
        <w:t> 8324</w:t>
      </w:r>
      <w:bookmarkEnd w:id="111"/>
      <w:r>
        <w:t>, s</w:t>
      </w:r>
      <w:r>
        <w:t>ubd. (b)</w:t>
      </w:r>
      <w:r>
        <w:t xml:space="preserve">.)  </w:t>
      </w:r>
      <w:r>
        <w:t xml:space="preserve">A member of the public might </w:t>
      </w:r>
      <w:r>
        <w:t>sensibly</w:t>
      </w:r>
      <w:r>
        <w:t xml:space="preserve"> decline </w:t>
      </w:r>
      <w:r>
        <w:lastRenderedPageBreak/>
        <w:t xml:space="preserve">to pursue a costly and time-consuming legal challenge if he or she does not think the legislative body </w:t>
      </w:r>
      <w:r>
        <w:t xml:space="preserve">of the local agency </w:t>
      </w:r>
      <w:r>
        <w:t>will be able to make the finding</w:t>
      </w:r>
      <w:r>
        <w:t>s</w:t>
      </w:r>
      <w:r>
        <w:t xml:space="preserve"> necessary to vacate the street.  Indeed, </w:t>
      </w:r>
      <w:r>
        <w:t xml:space="preserve">in this very case, the City </w:t>
      </w:r>
      <w:r>
        <w:t xml:space="preserve">ultimately </w:t>
      </w:r>
      <w:r>
        <w:t xml:space="preserve">declined to pursue vacation because, </w:t>
      </w:r>
      <w:r>
        <w:t>according to</w:t>
      </w:r>
      <w:r>
        <w:t xml:space="preserve"> the City Attorney, the City did not believe it could make </w:t>
      </w:r>
      <w:r>
        <w:t xml:space="preserve">the </w:t>
      </w:r>
      <w:r>
        <w:t>showing</w:t>
      </w:r>
      <w:r>
        <w:t xml:space="preserve"> necessary for vacation</w:t>
      </w:r>
      <w:r>
        <w:t xml:space="preserve">. </w:t>
      </w:r>
    </w:p>
    <w:p w14:paraId="08957B63" w14:textId="77777777" w:rsidR="00412478" w:rsidRDefault="00021E22" w:rsidP="00AE3BE0">
      <w:r>
        <w:tab/>
      </w:r>
      <w:r>
        <w:t>Under these circumstances</w:t>
      </w:r>
      <w:r>
        <w:t>, the</w:t>
      </w:r>
      <w:r>
        <w:t xml:space="preserve"> material </w:t>
      </w:r>
      <w:r>
        <w:t>change to the project</w:t>
      </w:r>
      <w:r>
        <w:t xml:space="preserve">, made by </w:t>
      </w:r>
      <w:r>
        <w:t xml:space="preserve">the City </w:t>
      </w:r>
      <w:r w:rsidRPr="000F4524">
        <w:rPr>
          <w:i/>
          <w:iCs/>
        </w:rPr>
        <w:t>after</w:t>
      </w:r>
      <w:r>
        <w:t xml:space="preserve"> it filed its notice of exemption,</w:t>
      </w:r>
      <w:r>
        <w:t xml:space="preserve"> precluded application of the 35-day statute of limitations </w:t>
      </w:r>
      <w:r>
        <w:t>set forth</w:t>
      </w:r>
      <w:r>
        <w:t xml:space="preserve"> in </w:t>
      </w:r>
      <w:bookmarkStart w:id="112" w:name="dabmci_3db5cbee9bc646d48c092ace4f6978eb"/>
      <w:r>
        <w:t>Public Resources Code section</w:t>
      </w:r>
      <w:r>
        <w:t> </w:t>
      </w:r>
      <w:r w:rsidRPr="00E4322B">
        <w:t>21167</w:t>
      </w:r>
      <w:bookmarkEnd w:id="112"/>
      <w:r w:rsidRPr="00E4322B">
        <w:t xml:space="preserve">, </w:t>
      </w:r>
      <w:r>
        <w:t>subdivision</w:t>
      </w:r>
      <w:r>
        <w:t> </w:t>
      </w:r>
      <w:r w:rsidRPr="00E4322B">
        <w:t>(d)</w:t>
      </w:r>
      <w:r>
        <w:t xml:space="preserve">.  Rather, </w:t>
      </w:r>
      <w:r>
        <w:t xml:space="preserve">the applicable </w:t>
      </w:r>
      <w:r>
        <w:t>statute of limitations</w:t>
      </w:r>
      <w:r>
        <w:t xml:space="preserve"> was 180 days</w:t>
      </w:r>
      <w:r>
        <w:t xml:space="preserve">, measured from the date the Committee knew or reasonably should have known the project substantially differed from the one </w:t>
      </w:r>
      <w:r>
        <w:t>described</w:t>
      </w:r>
      <w:r>
        <w:t xml:space="preserve"> in the notice of exemption.  (</w:t>
      </w:r>
      <w:bookmarkStart w:id="113" w:name="dabmci_891f169baaf74546a9c7ed827324cea2"/>
      <w:r w:rsidRPr="00907F55">
        <w:rPr>
          <w:i/>
          <w:iCs/>
        </w:rPr>
        <w:t>Concerned Citizens</w:t>
      </w:r>
      <w:r>
        <w:rPr>
          <w:i/>
          <w:iCs/>
        </w:rPr>
        <w:t xml:space="preserve"> of Costa Mesa</w:t>
      </w:r>
      <w:r w:rsidRPr="00907F55">
        <w:rPr>
          <w:i/>
          <w:iCs/>
        </w:rPr>
        <w:t>, supra</w:t>
      </w:r>
      <w:r>
        <w:t>, 42 Cal.3d at p.</w:t>
      </w:r>
      <w:r>
        <w:t> </w:t>
      </w:r>
      <w:r>
        <w:t>939</w:t>
      </w:r>
      <w:bookmarkEnd w:id="113"/>
      <w:r>
        <w:t>.)</w:t>
      </w:r>
      <w:r>
        <w:t xml:space="preserve"> </w:t>
      </w:r>
    </w:p>
    <w:p w14:paraId="69AB3E35" w14:textId="77777777" w:rsidR="00412478" w:rsidRPr="00DB44EF" w:rsidRDefault="00021E22" w:rsidP="00AE3BE0">
      <w:r>
        <w:tab/>
      </w:r>
      <w:r>
        <w:t xml:space="preserve">The Committee asserts that </w:t>
      </w:r>
      <w:r>
        <w:t xml:space="preserve">date was </w:t>
      </w:r>
      <w:r>
        <w:t xml:space="preserve">March 22, 2021, when the City’s Development Services Director </w:t>
      </w:r>
      <w:r>
        <w:t>authorized</w:t>
      </w:r>
      <w:r>
        <w:t xml:space="preserve"> the temporary closure of Museum Way.  We believe the correct date is a month earlier, on February 24, 2021.  On that date, the City Attorney sent a letter to the Committee st</w:t>
      </w:r>
      <w:r>
        <w:t xml:space="preserve">ating the City planned to temporarily restrict vehicular access to Museum Way, rather than vacating the street. </w:t>
      </w:r>
      <w:r>
        <w:t xml:space="preserve"> </w:t>
      </w:r>
      <w:r>
        <w:t>Regardless</w:t>
      </w:r>
      <w:r>
        <w:t xml:space="preserve">, the CEQA cause of action </w:t>
      </w:r>
      <w:r>
        <w:t xml:space="preserve">(claim 6) </w:t>
      </w:r>
      <w:r>
        <w:t xml:space="preserve">was timely, as it was filed within 180 days of both </w:t>
      </w:r>
      <w:r>
        <w:t xml:space="preserve">of these </w:t>
      </w:r>
      <w:r>
        <w:t>dates.</w:t>
      </w:r>
      <w:r>
        <w:rPr>
          <w:rStyle w:val="FootnoteReference"/>
        </w:rPr>
        <w:footnoteReference w:id="7"/>
      </w:r>
    </w:p>
    <w:p w14:paraId="697E6EC3" w14:textId="77777777" w:rsidR="003864D0" w:rsidRPr="007354EC" w:rsidRDefault="00021E22" w:rsidP="000E0AF5">
      <w:pPr>
        <w:pStyle w:val="Heading2"/>
        <w:keepNext/>
        <w:spacing w:before="120" w:after="240" w:line="240" w:lineRule="auto"/>
      </w:pPr>
      <w:r>
        <w:lastRenderedPageBreak/>
        <w:t xml:space="preserve">The Trial Court Properly </w:t>
      </w:r>
      <w:r>
        <w:t>S</w:t>
      </w:r>
      <w:r>
        <w:t xml:space="preserve">ustained </w:t>
      </w:r>
      <w:r>
        <w:t xml:space="preserve">the Demurrer to the Streets and Highway Code </w:t>
      </w:r>
      <w:r>
        <w:t>Cause of Action</w:t>
      </w:r>
    </w:p>
    <w:p w14:paraId="326C242E" w14:textId="77777777" w:rsidR="003864D0" w:rsidRDefault="00021E22" w:rsidP="000E0AF5">
      <w:pPr>
        <w:keepNext/>
      </w:pPr>
      <w:r>
        <w:tab/>
      </w:r>
      <w:r>
        <w:t xml:space="preserve">The operative petition for writ of </w:t>
      </w:r>
      <w:r>
        <w:t xml:space="preserve">administrative </w:t>
      </w:r>
      <w:r>
        <w:t xml:space="preserve">mandate alleged the City violated </w:t>
      </w:r>
      <w:r>
        <w:t>various</w:t>
      </w:r>
      <w:r>
        <w:t xml:space="preserve"> provisions of the Streets and Highway Code governing street vacation.  The City demurred</w:t>
      </w:r>
      <w:r>
        <w:t>, arg</w:t>
      </w:r>
      <w:r>
        <w:t>uing the statutory provisions concerning street vacation were applicable because the City did not ultimately seek to vacate the public’s vehicular access rights to Museum Way.</w:t>
      </w:r>
      <w:r>
        <w:rPr>
          <w:i/>
          <w:iCs/>
        </w:rPr>
        <w:t xml:space="preserve"> </w:t>
      </w:r>
      <w:r>
        <w:t xml:space="preserve"> The trial court sustained the demurrer to th</w:t>
      </w:r>
      <w:r>
        <w:t>e</w:t>
      </w:r>
      <w:r>
        <w:t xml:space="preserve"> </w:t>
      </w:r>
      <w:r>
        <w:t xml:space="preserve">Streets and Highway Code </w:t>
      </w:r>
      <w:r>
        <w:t>cause of</w:t>
      </w:r>
      <w:r>
        <w:t xml:space="preserve"> action without leave to amend. </w:t>
      </w:r>
    </w:p>
    <w:p w14:paraId="79B4BD6B" w14:textId="77777777" w:rsidR="0017154B" w:rsidRPr="00392BA0" w:rsidRDefault="00021E22" w:rsidP="000E0AF5">
      <w:r>
        <w:tab/>
        <w:t xml:space="preserve">The Committee does not address its Streets and Highway Code cause of action, or the </w:t>
      </w:r>
      <w:r>
        <w:t xml:space="preserve">demurrer </w:t>
      </w:r>
      <w:r>
        <w:t xml:space="preserve">ruling </w:t>
      </w:r>
      <w:r>
        <w:t>pertaining</w:t>
      </w:r>
      <w:r>
        <w:t xml:space="preserve"> to that cause of action, in its opening brief. </w:t>
      </w:r>
      <w:r>
        <w:t xml:space="preserve"> </w:t>
      </w:r>
      <w:r>
        <w:t xml:space="preserve">We construe the Committee’s failure to </w:t>
      </w:r>
      <w:r>
        <w:t>discuss</w:t>
      </w:r>
      <w:r>
        <w:t xml:space="preserve"> the Streets and Highway Code cause of action as an abandonment of th</w:t>
      </w:r>
      <w:r>
        <w:t>e</w:t>
      </w:r>
      <w:r>
        <w:t xml:space="preserve"> claim</w:t>
      </w:r>
      <w:r>
        <w:t>.</w:t>
      </w:r>
      <w:r>
        <w:t xml:space="preserve"> </w:t>
      </w:r>
      <w:r>
        <w:t xml:space="preserve"> </w:t>
      </w:r>
      <w:r w:rsidRPr="00E14AE3">
        <w:t>(</w:t>
      </w:r>
      <w:r>
        <w:t xml:space="preserve">See </w:t>
      </w:r>
      <w:bookmarkStart w:id="114" w:name="dabmci_9a19ed46ee8848279959962757692cb7"/>
      <w:r w:rsidRPr="00E14AE3">
        <w:rPr>
          <w:i/>
          <w:iCs/>
        </w:rPr>
        <w:t>Alborzi v. Univ. of Southern California</w:t>
      </w:r>
      <w:r w:rsidRPr="00E14AE3">
        <w:t xml:space="preserve"> (2020) 55 Cal.App.5th 155, 184</w:t>
      </w:r>
      <w:bookmarkEnd w:id="114"/>
      <w:r w:rsidRPr="00E14AE3">
        <w:t xml:space="preserve"> [“[W]here a demurrer is sustained without leave to amend, the appellant’s failure to address certain </w:t>
      </w:r>
      <w:r w:rsidRPr="00E14AE3">
        <w:t xml:space="preserve">causes of action in the complaint is deemed an abandonment of those causes of action.”]; </w:t>
      </w:r>
      <w:bookmarkStart w:id="115" w:name="dabmci_f707b6ccb3974761a6482e466dd71419"/>
      <w:r w:rsidRPr="00E14AE3">
        <w:rPr>
          <w:i/>
          <w:iCs/>
        </w:rPr>
        <w:t>Ram v. OneWest Bank, FSB</w:t>
      </w:r>
      <w:r w:rsidRPr="00E14AE3">
        <w:t xml:space="preserve"> (2015) 234 Cal.App.4th 1, 9, fn. 2</w:t>
      </w:r>
      <w:bookmarkEnd w:id="115"/>
      <w:r w:rsidRPr="00E14AE3">
        <w:t xml:space="preserve"> [on appeal from a judgment after an order sustaining a demurrer, unaddressed causes of action </w:t>
      </w:r>
      <w:r>
        <w:t>are</w:t>
      </w:r>
      <w:r w:rsidRPr="00E14AE3">
        <w:t xml:space="preserve"> abandoned</w:t>
      </w:r>
      <w:r w:rsidRPr="00E14AE3">
        <w:t>].)</w:t>
      </w:r>
      <w:r>
        <w:t xml:space="preserve">  Thus, we affirm the demurrer </w:t>
      </w:r>
      <w:r>
        <w:t xml:space="preserve">ruling as </w:t>
      </w:r>
      <w:r>
        <w:t>to the Streets and Highway Code cause of action</w:t>
      </w:r>
      <w:r>
        <w:t xml:space="preserve"> (claim 2)</w:t>
      </w:r>
      <w:r>
        <w:t>.</w:t>
      </w:r>
      <w:r>
        <w:rPr>
          <w:rStyle w:val="FootnoteReference"/>
        </w:rPr>
        <w:footnoteReference w:id="8"/>
      </w:r>
    </w:p>
    <w:p w14:paraId="25D3A15E" w14:textId="77777777" w:rsidR="007354EC" w:rsidRDefault="00021E22" w:rsidP="007354EC">
      <w:pPr>
        <w:pStyle w:val="ListParagraph"/>
        <w:keepNext/>
        <w:keepLines/>
        <w:numPr>
          <w:ilvl w:val="0"/>
          <w:numId w:val="1"/>
        </w:numPr>
        <w:jc w:val="center"/>
      </w:pPr>
    </w:p>
    <w:p w14:paraId="42E2516A" w14:textId="77777777" w:rsidR="007354EC" w:rsidRDefault="00021E22" w:rsidP="007354EC">
      <w:pPr>
        <w:pStyle w:val="Heading1"/>
      </w:pPr>
      <w:r>
        <w:t>DISPOSITION</w:t>
      </w:r>
    </w:p>
    <w:p w14:paraId="7F5A272C" w14:textId="77777777" w:rsidR="00AC0460" w:rsidRDefault="00021E22" w:rsidP="00D30061">
      <w:r>
        <w:tab/>
      </w:r>
      <w:r>
        <w:t xml:space="preserve">The judgment </w:t>
      </w:r>
      <w:r>
        <w:t xml:space="preserve">of dismissal </w:t>
      </w:r>
      <w:r>
        <w:t>is reversed and the matter is remanded to the trial court with instructions</w:t>
      </w:r>
      <w:r>
        <w:t xml:space="preserve">: (1) to </w:t>
      </w:r>
      <w:r>
        <w:t>vacate its order sustaining</w:t>
      </w:r>
      <w:r>
        <w:t xml:space="preserve"> the </w:t>
      </w:r>
      <w:r>
        <w:t xml:space="preserve">entire </w:t>
      </w:r>
      <w:r>
        <w:t xml:space="preserve">demurrer </w:t>
      </w:r>
      <w:r>
        <w:t>without</w:t>
      </w:r>
      <w:r>
        <w:t xml:space="preserve"> leave to amend</w:t>
      </w:r>
      <w:r>
        <w:t>;</w:t>
      </w:r>
      <w:r>
        <w:t xml:space="preserve"> and </w:t>
      </w:r>
      <w:r>
        <w:t xml:space="preserve">(2) </w:t>
      </w:r>
      <w:r>
        <w:t>to enter a new order overruling the demurrer as to the first</w:t>
      </w:r>
      <w:r>
        <w:t xml:space="preserve">, </w:t>
      </w:r>
      <w:r>
        <w:t>third</w:t>
      </w:r>
      <w:r>
        <w:t>, and sixth</w:t>
      </w:r>
      <w:r>
        <w:t xml:space="preserve"> causes of action</w:t>
      </w:r>
      <w:r>
        <w:t>,</w:t>
      </w:r>
      <w:r>
        <w:t xml:space="preserve"> and sustaining the demurrer without leave to amend as to the second cause of action</w:t>
      </w:r>
      <w:r>
        <w:t>.  The Committee to Rel</w:t>
      </w:r>
      <w:r>
        <w:t xml:space="preserve">ocate Marilyn is entitled to its costs on appeal. </w:t>
      </w:r>
    </w:p>
    <w:p w14:paraId="409DB0C1" w14:textId="77777777" w:rsidR="007760A1" w:rsidRDefault="00021E22" w:rsidP="007760A1">
      <w:pPr>
        <w:keepNext/>
        <w:spacing w:line="240" w:lineRule="auto"/>
      </w:pPr>
    </w:p>
    <w:p w14:paraId="7C92B9FF" w14:textId="77777777" w:rsidR="007760A1" w:rsidRDefault="00021E22" w:rsidP="007760A1">
      <w:pPr>
        <w:keepNext/>
        <w:spacing w:line="240" w:lineRule="auto"/>
        <w:jc w:val="right"/>
      </w:pPr>
    </w:p>
    <w:p w14:paraId="23F65C55" w14:textId="77777777" w:rsidR="007760A1" w:rsidRDefault="00021E22" w:rsidP="007760A1">
      <w:pPr>
        <w:keepNext/>
        <w:spacing w:line="240" w:lineRule="auto"/>
        <w:jc w:val="right"/>
      </w:pPr>
      <w:r>
        <w:t>McCONNELL, P. J.</w:t>
      </w:r>
    </w:p>
    <w:p w14:paraId="3D40E38C" w14:textId="77777777" w:rsidR="007760A1" w:rsidRDefault="00021E22" w:rsidP="007760A1">
      <w:pPr>
        <w:keepNext/>
        <w:tabs>
          <w:tab w:val="right" w:pos="3600"/>
        </w:tabs>
        <w:spacing w:line="240" w:lineRule="auto"/>
      </w:pPr>
    </w:p>
    <w:p w14:paraId="7D665450" w14:textId="77777777" w:rsidR="007760A1" w:rsidRDefault="00021E22" w:rsidP="007760A1">
      <w:pPr>
        <w:keepNext/>
        <w:tabs>
          <w:tab w:val="right" w:pos="3600"/>
        </w:tabs>
        <w:spacing w:line="240" w:lineRule="auto"/>
      </w:pPr>
      <w:r>
        <w:t>WE CONCUR:</w:t>
      </w:r>
    </w:p>
    <w:p w14:paraId="59BD74D3" w14:textId="77777777" w:rsidR="007760A1" w:rsidRDefault="00021E22" w:rsidP="007760A1">
      <w:pPr>
        <w:keepNext/>
        <w:tabs>
          <w:tab w:val="right" w:pos="3600"/>
        </w:tabs>
        <w:spacing w:line="240" w:lineRule="auto"/>
      </w:pPr>
    </w:p>
    <w:p w14:paraId="5437B4EB" w14:textId="77777777" w:rsidR="007760A1" w:rsidRDefault="00021E22" w:rsidP="007760A1">
      <w:pPr>
        <w:keepNext/>
        <w:tabs>
          <w:tab w:val="right" w:pos="3600"/>
        </w:tabs>
        <w:spacing w:line="240" w:lineRule="auto"/>
      </w:pPr>
    </w:p>
    <w:p w14:paraId="78247548" w14:textId="77777777" w:rsidR="007760A1" w:rsidRDefault="00021E22" w:rsidP="007760A1">
      <w:pPr>
        <w:keepNext/>
        <w:tabs>
          <w:tab w:val="right" w:pos="3600"/>
        </w:tabs>
        <w:spacing w:line="240" w:lineRule="auto"/>
      </w:pPr>
    </w:p>
    <w:p w14:paraId="29B44A29" w14:textId="77777777" w:rsidR="007760A1" w:rsidRDefault="00021E22" w:rsidP="007760A1">
      <w:pPr>
        <w:keepNext/>
        <w:tabs>
          <w:tab w:val="right" w:pos="3600"/>
        </w:tabs>
        <w:spacing w:line="240" w:lineRule="auto"/>
      </w:pPr>
      <w:r>
        <w:t>HUFFMAN, J.</w:t>
      </w:r>
    </w:p>
    <w:p w14:paraId="048DDC3E" w14:textId="77777777" w:rsidR="007760A1" w:rsidRDefault="00021E22" w:rsidP="007760A1">
      <w:pPr>
        <w:keepNext/>
        <w:tabs>
          <w:tab w:val="right" w:pos="3600"/>
        </w:tabs>
        <w:spacing w:line="240" w:lineRule="auto"/>
      </w:pPr>
    </w:p>
    <w:p w14:paraId="5146E5BA" w14:textId="77777777" w:rsidR="007760A1" w:rsidRDefault="00021E22" w:rsidP="007760A1">
      <w:pPr>
        <w:keepNext/>
        <w:tabs>
          <w:tab w:val="right" w:pos="3600"/>
        </w:tabs>
        <w:spacing w:line="240" w:lineRule="auto"/>
      </w:pPr>
    </w:p>
    <w:p w14:paraId="27E7FB0C" w14:textId="77777777" w:rsidR="007760A1" w:rsidRDefault="00021E22" w:rsidP="007760A1">
      <w:pPr>
        <w:keepNext/>
        <w:tabs>
          <w:tab w:val="right" w:pos="3600"/>
        </w:tabs>
        <w:spacing w:line="240" w:lineRule="auto"/>
      </w:pPr>
    </w:p>
    <w:p w14:paraId="0996B31C" w14:textId="77777777" w:rsidR="007760A1" w:rsidRDefault="00021E22" w:rsidP="007760A1">
      <w:pPr>
        <w:keepNext/>
        <w:tabs>
          <w:tab w:val="right" w:pos="3600"/>
        </w:tabs>
        <w:spacing w:line="240" w:lineRule="auto"/>
      </w:pPr>
      <w:r>
        <w:t>DO, J.</w:t>
      </w:r>
    </w:p>
    <w:p w14:paraId="7561F20A" w14:textId="77777777" w:rsidR="007760A1" w:rsidRPr="007760A1" w:rsidRDefault="00021E22" w:rsidP="00C50095">
      <w:pPr>
        <w:keepNext/>
        <w:tabs>
          <w:tab w:val="right" w:pos="3600"/>
        </w:tabs>
        <w:spacing w:line="240" w:lineRule="auto"/>
      </w:pPr>
    </w:p>
    <w:p w14:paraId="498F64AA" w14:textId="77777777" w:rsidR="002517E6" w:rsidRDefault="00021E22" w:rsidP="00AE3BE0"/>
    <w:p w14:paraId="1D15B17D" w14:textId="77777777" w:rsidR="002517E6" w:rsidRDefault="00021E22" w:rsidP="002517E6">
      <w:pPr>
        <w:keepNext/>
        <w:jc w:val="center"/>
      </w:pPr>
      <w:r>
        <w:rPr>
          <w:noProof/>
        </w:rPr>
        <w:lastRenderedPageBreak/>
        <w:drawing>
          <wp:inline distT="0" distB="0" distL="0" distR="0" wp14:anchorId="54FD645A" wp14:editId="17FFBE51">
            <wp:extent cx="4347418" cy="51853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52758" cy="5191686"/>
                    </a:xfrm>
                    <a:prstGeom prst="rect">
                      <a:avLst/>
                    </a:prstGeom>
                  </pic:spPr>
                </pic:pic>
              </a:graphicData>
            </a:graphic>
          </wp:inline>
        </w:drawing>
      </w:r>
    </w:p>
    <w:p w14:paraId="6446D92E" w14:textId="77777777" w:rsidR="002517E6" w:rsidRPr="00EB6854" w:rsidRDefault="00021E22" w:rsidP="002517E6">
      <w:pPr>
        <w:pStyle w:val="Caption"/>
        <w:jc w:val="center"/>
        <w:rPr>
          <w:i w:val="0"/>
          <w:iCs w:val="0"/>
          <w:color w:val="auto"/>
          <w:sz w:val="26"/>
          <w:szCs w:val="26"/>
        </w:rPr>
      </w:pPr>
      <w:r>
        <w:rPr>
          <w:color w:val="auto"/>
          <w:sz w:val="26"/>
          <w:szCs w:val="26"/>
        </w:rPr>
        <w:t xml:space="preserve">Figure 1:  </w:t>
      </w:r>
      <w:r w:rsidRPr="00EB6854">
        <w:rPr>
          <w:color w:val="auto"/>
          <w:sz w:val="26"/>
          <w:szCs w:val="26"/>
        </w:rPr>
        <w:t>Forever Marilyn</w:t>
      </w:r>
      <w:r>
        <w:rPr>
          <w:color w:val="auto"/>
          <w:sz w:val="26"/>
          <w:szCs w:val="26"/>
        </w:rPr>
        <w:t xml:space="preserve"> </w:t>
      </w:r>
    </w:p>
    <w:p w14:paraId="0D06B293" w14:textId="77777777" w:rsidR="002517E6" w:rsidRDefault="00021E22" w:rsidP="00AE3BE0"/>
    <w:sectPr w:rsidR="002517E6" w:rsidSect="000328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7137" w14:textId="77777777" w:rsidR="00000000" w:rsidRDefault="00021E22">
      <w:pPr>
        <w:spacing w:line="240" w:lineRule="auto"/>
      </w:pPr>
      <w:r>
        <w:separator/>
      </w:r>
    </w:p>
  </w:endnote>
  <w:endnote w:type="continuationSeparator" w:id="0">
    <w:p w14:paraId="437A2F3C" w14:textId="77777777" w:rsidR="00000000" w:rsidRDefault="00021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51BA" w14:textId="77777777" w:rsidR="00316E43" w:rsidRDefault="00021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96672"/>
      <w:docPartObj>
        <w:docPartGallery w:val="Page Numbers (Bottom of Page)"/>
        <w:docPartUnique/>
      </w:docPartObj>
    </w:sdtPr>
    <w:sdtEndPr/>
    <w:sdtContent>
      <w:p w14:paraId="51543260" w14:textId="77777777" w:rsidR="0003284A" w:rsidRDefault="00021E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61D6C56" w14:textId="77777777" w:rsidR="0003284A" w:rsidRDefault="00021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E3D9" w14:textId="77777777" w:rsidR="0003284A" w:rsidRDefault="00021E22" w:rsidP="000328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F94D" w14:textId="77777777" w:rsidR="00FD1E43" w:rsidRDefault="00021E22" w:rsidP="0003284A">
      <w:pPr>
        <w:spacing w:line="240" w:lineRule="auto"/>
      </w:pPr>
      <w:r>
        <w:separator/>
      </w:r>
    </w:p>
  </w:footnote>
  <w:footnote w:type="continuationSeparator" w:id="0">
    <w:p w14:paraId="6D044DCE" w14:textId="77777777" w:rsidR="00FD1E43" w:rsidRDefault="00021E22" w:rsidP="0003284A">
      <w:pPr>
        <w:spacing w:line="240" w:lineRule="auto"/>
      </w:pPr>
      <w:r>
        <w:continuationSeparator/>
      </w:r>
    </w:p>
  </w:footnote>
  <w:footnote w:id="1">
    <w:p w14:paraId="38700CDB" w14:textId="77777777" w:rsidR="00E86E55" w:rsidRPr="00BA7A14" w:rsidRDefault="00021E22" w:rsidP="00BA7A14">
      <w:pPr>
        <w:pStyle w:val="FootnoteText"/>
      </w:pPr>
      <w:r>
        <w:rPr>
          <w:rStyle w:val="FootnoteReference"/>
        </w:rPr>
        <w:footnoteRef/>
      </w:r>
      <w:r>
        <w:t xml:space="preserve"> </w:t>
      </w:r>
      <w:r>
        <w:tab/>
      </w:r>
      <w:r>
        <w:t xml:space="preserve">“ ‘Guidelines’ refers to the administrative regulations implementing CEQA found in </w:t>
      </w:r>
      <w:bookmarkStart w:id="6" w:name="_Hlk123736235"/>
      <w:r>
        <w:t>title 14, section</w:t>
      </w:r>
      <w:r>
        <w:t> </w:t>
      </w:r>
      <w:r>
        <w:t xml:space="preserve">15000 </w:t>
      </w:r>
      <w:bookmarkEnd w:id="6"/>
      <w:r>
        <w:t xml:space="preserve">et seq., of the </w:t>
      </w:r>
      <w:bookmarkStart w:id="7" w:name="_Hlk123736212"/>
      <w:r>
        <w:t>California Code of Regulations</w:t>
      </w:r>
      <w:bookmarkEnd w:id="7"/>
      <w:r>
        <w:t xml:space="preserve">, as authorized by </w:t>
      </w:r>
      <w:bookmarkStart w:id="8" w:name="dabmci_78420b785f544db8bd6ee5361e8112b5"/>
      <w:r>
        <w:t>Public Resources Code section</w:t>
      </w:r>
      <w:r>
        <w:t> </w:t>
      </w:r>
      <w:r>
        <w:t>21083</w:t>
      </w:r>
      <w:bookmarkEnd w:id="8"/>
      <w:r>
        <w:t xml:space="preserve">. </w:t>
      </w:r>
      <w:r>
        <w:t xml:space="preserve"> </w:t>
      </w:r>
      <w:r>
        <w:t xml:space="preserve">The Secretary of the Natural Resources Agency </w:t>
      </w:r>
      <w:r>
        <w:t>is responsible for adopting guidelines and amendments thereto, based on recommendations from the Office of Planning and Research</w:t>
      </w:r>
      <w:r>
        <w:t>.</w:t>
      </w:r>
      <w:r>
        <w:t>”  (</w:t>
      </w:r>
      <w:bookmarkStart w:id="9" w:name="dabmci_fd7bc42510e24cd9846a396ee758e5ab"/>
      <w:r>
        <w:rPr>
          <w:i/>
          <w:iCs/>
        </w:rPr>
        <w:t xml:space="preserve">North Coast Rivers Alliance v. Westlands Water Dist. </w:t>
      </w:r>
      <w:r>
        <w:t>(2014) 227 Cal.App.4th 832, 838, fn. 3</w:t>
      </w:r>
      <w:bookmarkEnd w:id="9"/>
      <w:r>
        <w:t>.)</w:t>
      </w:r>
    </w:p>
  </w:footnote>
  <w:footnote w:id="2">
    <w:p w14:paraId="3DA9EFB9" w14:textId="77777777" w:rsidR="002B5FAE" w:rsidRDefault="00021E22">
      <w:pPr>
        <w:pStyle w:val="FootnoteText"/>
      </w:pPr>
      <w:r>
        <w:rPr>
          <w:rStyle w:val="FootnoteReference"/>
        </w:rPr>
        <w:footnoteRef/>
      </w:r>
      <w:r>
        <w:t xml:space="preserve"> </w:t>
      </w:r>
      <w:r>
        <w:tab/>
      </w:r>
      <w:r w:rsidRPr="002B5FAE">
        <w:t>The Committee filed an adm</w:t>
      </w:r>
      <w:r w:rsidRPr="002B5FAE">
        <w:t>inistrative appeal from the Development Services Director’s determination.  However, the City rejected the appeal</w:t>
      </w:r>
      <w:r>
        <w:t xml:space="preserve">, reasoning </w:t>
      </w:r>
      <w:r>
        <w:t xml:space="preserve">that </w:t>
      </w:r>
      <w:r w:rsidRPr="002B5FAE">
        <w:t xml:space="preserve">CEQA, the Public Resources Code, and the Municipal Code </w:t>
      </w:r>
      <w:r>
        <w:t>did</w:t>
      </w:r>
      <w:r w:rsidRPr="002B5FAE">
        <w:t xml:space="preserve"> not authorize </w:t>
      </w:r>
      <w:r>
        <w:t xml:space="preserve">the </w:t>
      </w:r>
      <w:r w:rsidRPr="002B5FAE">
        <w:t xml:space="preserve">appeal. </w:t>
      </w:r>
    </w:p>
  </w:footnote>
  <w:footnote w:id="3">
    <w:p w14:paraId="3B5E4E98" w14:textId="77777777" w:rsidR="00AD3D3F" w:rsidRDefault="00021E22" w:rsidP="00AD3D3F">
      <w:pPr>
        <w:pStyle w:val="FootnoteText"/>
      </w:pPr>
      <w:r>
        <w:rPr>
          <w:rStyle w:val="FootnoteReference"/>
        </w:rPr>
        <w:footnoteRef/>
      </w:r>
      <w:r>
        <w:t xml:space="preserve"> </w:t>
      </w:r>
      <w:r>
        <w:tab/>
      </w:r>
      <w:r>
        <w:t xml:space="preserve">According to the operative petition for writ of mandate, the Palm Springs Art Museum was listed on the National Register of Historic Places and designated by the City as a Class 1 historic site. </w:t>
      </w:r>
    </w:p>
  </w:footnote>
  <w:footnote w:id="4">
    <w:p w14:paraId="2BF9F483" w14:textId="77777777" w:rsidR="006C0DD9" w:rsidRPr="006C0DD9" w:rsidRDefault="00021E22">
      <w:pPr>
        <w:pStyle w:val="FootnoteText"/>
      </w:pPr>
      <w:r>
        <w:rPr>
          <w:rStyle w:val="FootnoteReference"/>
        </w:rPr>
        <w:footnoteRef/>
      </w:r>
      <w:r>
        <w:t xml:space="preserve"> </w:t>
      </w:r>
      <w:r>
        <w:tab/>
      </w:r>
      <w:r w:rsidRPr="00CE4EF7">
        <w:t>The Vehicle Code uses the terms “street” and “highway” sy</w:t>
      </w:r>
      <w:r w:rsidRPr="00CE4EF7">
        <w:t>nonymously.  (</w:t>
      </w:r>
      <w:bookmarkStart w:id="25" w:name="dabmci_9ff62dc1ce4f4f7b8801700db6a6b09d"/>
      <w:r w:rsidRPr="00CE4EF7">
        <w:t>Veh. Code, §§</w:t>
      </w:r>
      <w:r>
        <w:t> </w:t>
      </w:r>
      <w:r w:rsidRPr="00CE4EF7">
        <w:t>360, 590</w:t>
      </w:r>
      <w:bookmarkEnd w:id="25"/>
      <w:r w:rsidRPr="00CE4EF7">
        <w:t xml:space="preserve">; see </w:t>
      </w:r>
      <w:bookmarkStart w:id="26" w:name="dabmci_69a99c6e26dc4560b0eae6a3c6b507b7"/>
      <w:r w:rsidRPr="00B9273F">
        <w:rPr>
          <w:i/>
          <w:iCs/>
        </w:rPr>
        <w:t>Rumford, supra</w:t>
      </w:r>
      <w:r w:rsidRPr="00CE4EF7">
        <w:t>, 31 Cal.3d at p.</w:t>
      </w:r>
      <w:r>
        <w:t> </w:t>
      </w:r>
      <w:r w:rsidRPr="00CE4EF7">
        <w:t>550, fn.</w:t>
      </w:r>
      <w:r>
        <w:t> </w:t>
      </w:r>
      <w:r w:rsidRPr="00CE4EF7">
        <w:t>5</w:t>
      </w:r>
      <w:bookmarkEnd w:id="26"/>
      <w:r w:rsidRPr="00CE4EF7">
        <w:t>.)</w:t>
      </w:r>
    </w:p>
  </w:footnote>
  <w:footnote w:id="5">
    <w:p w14:paraId="2F261085" w14:textId="77777777" w:rsidR="002C509D" w:rsidRDefault="00021E22">
      <w:pPr>
        <w:pStyle w:val="FootnoteText"/>
      </w:pPr>
      <w:r>
        <w:rPr>
          <w:rStyle w:val="FootnoteReference"/>
        </w:rPr>
        <w:footnoteRef/>
      </w:r>
      <w:r>
        <w:t xml:space="preserve"> </w:t>
      </w:r>
      <w:r>
        <w:tab/>
      </w:r>
      <w:r>
        <w:t xml:space="preserve">The </w:t>
      </w:r>
      <w:r>
        <w:t xml:space="preserve">parties cite </w:t>
      </w:r>
      <w:r>
        <w:t xml:space="preserve">modern dictionary </w:t>
      </w:r>
      <w:r>
        <w:t xml:space="preserve">definitions of </w:t>
      </w:r>
      <w:r>
        <w:t xml:space="preserve">“temporary” and “temporarily.” </w:t>
      </w:r>
      <w:r>
        <w:t xml:space="preserve"> </w:t>
      </w:r>
      <w:r>
        <w:t>Although such definitions may aid in discerning legislative intent, we believe the m</w:t>
      </w:r>
      <w:r>
        <w:t xml:space="preserve">ore helpful </w:t>
      </w:r>
      <w:r>
        <w:t xml:space="preserve">dictionary </w:t>
      </w:r>
      <w:r>
        <w:t>definitions are those in existence at or about the time the legislati</w:t>
      </w:r>
      <w:r>
        <w:t>on in question was enacted</w:t>
      </w:r>
      <w:r>
        <w:t>.  (</w:t>
      </w:r>
      <w:r>
        <w:t xml:space="preserve">See </w:t>
      </w:r>
      <w:bookmarkStart w:id="34" w:name="dabmci_cfca7fa02c92452aa5dc917293f7aa12"/>
      <w:r w:rsidRPr="000E0AF5">
        <w:rPr>
          <w:i/>
          <w:iCs/>
        </w:rPr>
        <w:t>Kouichi</w:t>
      </w:r>
      <w:r>
        <w:t xml:space="preserve"> </w:t>
      </w:r>
      <w:r>
        <w:rPr>
          <w:i/>
          <w:iCs/>
        </w:rPr>
        <w:t xml:space="preserve">Taniguchi v. Kan Pacific Saipan, Ltd. </w:t>
      </w:r>
      <w:r>
        <w:t>(2012) 566 U.S. 560, 566–568</w:t>
      </w:r>
      <w:bookmarkEnd w:id="34"/>
      <w:r>
        <w:t xml:space="preserve">.) </w:t>
      </w:r>
      <w:r>
        <w:t xml:space="preserve"> </w:t>
      </w:r>
      <w:bookmarkStart w:id="35" w:name="dabmci_469f473890a34563b110fd7cdd18e767"/>
      <w:r w:rsidRPr="00654612">
        <w:t xml:space="preserve">Vehicle Code </w:t>
      </w:r>
      <w:bookmarkStart w:id="36" w:name="_Hlk123735697"/>
      <w:r w:rsidRPr="00654612">
        <w:t>section</w:t>
      </w:r>
      <w:r>
        <w:t> </w:t>
      </w:r>
      <w:r w:rsidRPr="00654612">
        <w:t>21101</w:t>
      </w:r>
      <w:bookmarkEnd w:id="35"/>
      <w:bookmarkEnd w:id="36"/>
      <w:r w:rsidRPr="00654612">
        <w:t>, subdivision</w:t>
      </w:r>
      <w:r>
        <w:t> </w:t>
      </w:r>
      <w:r w:rsidRPr="00654612">
        <w:t>(e)</w:t>
      </w:r>
      <w:r>
        <w:t>, was ena</w:t>
      </w:r>
      <w:r>
        <w:t xml:space="preserve">cted in its original form in 1965.  </w:t>
      </w:r>
      <w:bookmarkStart w:id="37" w:name="_Hlk123735711"/>
      <w:r>
        <w:t>(</w:t>
      </w:r>
      <w:r w:rsidRPr="00FD01EE">
        <w:t>Stats</w:t>
      </w:r>
      <w:r>
        <w:t>.</w:t>
      </w:r>
      <w:r>
        <w:t> </w:t>
      </w:r>
      <w:r w:rsidRPr="00FD01EE">
        <w:t>1965</w:t>
      </w:r>
      <w:r>
        <w:t>,</w:t>
      </w:r>
      <w:r w:rsidRPr="00FD01EE">
        <w:t xml:space="preserve"> </w:t>
      </w:r>
      <w:r>
        <w:t>ch.</w:t>
      </w:r>
      <w:r>
        <w:t> </w:t>
      </w:r>
      <w:r w:rsidRPr="00FD01EE">
        <w:t>764</w:t>
      </w:r>
      <w:r>
        <w:t>, § 1</w:t>
      </w:r>
      <w:r>
        <w:t xml:space="preserve">.)  </w:t>
      </w:r>
      <w:bookmarkEnd w:id="37"/>
      <w:r>
        <w:t>Thus</w:t>
      </w:r>
      <w:r>
        <w:t xml:space="preserve">, we discuss the dictionary definitions of “temporarily” that were in effect at or </w:t>
      </w:r>
      <w:r>
        <w:t>shortly after</w:t>
      </w:r>
      <w:r>
        <w:t xml:space="preserve"> 1965.</w:t>
      </w:r>
    </w:p>
  </w:footnote>
  <w:footnote w:id="6">
    <w:p w14:paraId="62548A5E" w14:textId="77777777" w:rsidR="00D56BF8" w:rsidRDefault="00021E22">
      <w:pPr>
        <w:pStyle w:val="FootnoteText"/>
      </w:pPr>
      <w:r>
        <w:rPr>
          <w:rStyle w:val="FootnoteReference"/>
        </w:rPr>
        <w:footnoteRef/>
      </w:r>
      <w:r>
        <w:t xml:space="preserve"> </w:t>
      </w:r>
      <w:r>
        <w:tab/>
      </w:r>
      <w:r>
        <w:t xml:space="preserve">We have reviewed the legislative history of the </w:t>
      </w:r>
      <w:r>
        <w:t xml:space="preserve">1965 </w:t>
      </w:r>
      <w:r>
        <w:t xml:space="preserve">bill that amended </w:t>
      </w:r>
      <w:bookmarkStart w:id="51" w:name="dabmci_59ad09677572459b91985b08b10cc14d"/>
      <w:r>
        <w:t>Vehicle Code section</w:t>
      </w:r>
      <w:r>
        <w:t> </w:t>
      </w:r>
      <w:r>
        <w:t>21101</w:t>
      </w:r>
      <w:bookmarkEnd w:id="51"/>
      <w:r>
        <w:t xml:space="preserve"> to add the provision </w:t>
      </w:r>
      <w:r>
        <w:t>that is now</w:t>
      </w:r>
      <w:r>
        <w:t xml:space="preserve"> subdivision</w:t>
      </w:r>
      <w:r>
        <w:t> </w:t>
      </w:r>
      <w:r>
        <w:t xml:space="preserve">(e).  </w:t>
      </w:r>
      <w:bookmarkStart w:id="52" w:name="_Hlk123735743"/>
      <w:r>
        <w:t>(</w:t>
      </w:r>
      <w:r>
        <w:t>Assem. Bill No.</w:t>
      </w:r>
      <w:r>
        <w:t> </w:t>
      </w:r>
      <w:r>
        <w:t>1401 (</w:t>
      </w:r>
      <w:r w:rsidRPr="00EE7148">
        <w:t>1965 Reg. Sess.</w:t>
      </w:r>
      <w:r>
        <w:t>) § 1</w:t>
      </w:r>
      <w:r>
        <w:t xml:space="preserve">.)  </w:t>
      </w:r>
      <w:bookmarkEnd w:id="52"/>
      <w:r>
        <w:t>It is sparse</w:t>
      </w:r>
      <w:r>
        <w:t xml:space="preserve"> </w:t>
      </w:r>
      <w:r>
        <w:t>and does not clarify the legislative intent beh</w:t>
      </w:r>
      <w:r>
        <w:t xml:space="preserve">ind the statutory </w:t>
      </w:r>
      <w:r>
        <w:t>provision</w:t>
      </w:r>
      <w:r>
        <w:t xml:space="preserve"> at issue.</w:t>
      </w:r>
    </w:p>
    <w:p w14:paraId="604D1FFF" w14:textId="77777777" w:rsidR="00D56BF8" w:rsidRDefault="00021E22">
      <w:pPr>
        <w:pStyle w:val="FootnoteText"/>
      </w:pPr>
      <w:r>
        <w:tab/>
        <w:t xml:space="preserve">Nonetheless, the Committee has requested judicial notice of </w:t>
      </w:r>
      <w:r>
        <w:t>several</w:t>
      </w:r>
      <w:r>
        <w:t xml:space="preserve"> </w:t>
      </w:r>
      <w:r>
        <w:t xml:space="preserve">documents relating to the legislative history of the bill.  We grant the request for the following documents:  (1) different versions of the bill as </w:t>
      </w:r>
      <w:r>
        <w:t xml:space="preserve">it made its way through the Legislature; (2) the </w:t>
      </w:r>
      <w:r w:rsidRPr="00EE7148">
        <w:t xml:space="preserve">procedural history of </w:t>
      </w:r>
      <w:r>
        <w:t xml:space="preserve">the </w:t>
      </w:r>
      <w:r w:rsidRPr="00EE7148">
        <w:t xml:space="preserve">bill from </w:t>
      </w:r>
      <w:r>
        <w:t xml:space="preserve">the </w:t>
      </w:r>
      <w:r w:rsidRPr="00EE7148">
        <w:t xml:space="preserve">Assembly </w:t>
      </w:r>
      <w:r>
        <w:t>F</w:t>
      </w:r>
      <w:r w:rsidRPr="00EE7148">
        <w:t xml:space="preserve">inal </w:t>
      </w:r>
      <w:r>
        <w:t>H</w:t>
      </w:r>
      <w:r w:rsidRPr="00EE7148">
        <w:t>istory</w:t>
      </w:r>
      <w:r>
        <w:t>; (3) </w:t>
      </w:r>
      <w:r>
        <w:t>excerpts from the Legislative Digest</w:t>
      </w:r>
      <w:r>
        <w:t>; (4) </w:t>
      </w:r>
      <w:r>
        <w:t>excerpts from the Senate and Assembly Journals</w:t>
      </w:r>
      <w:r>
        <w:t xml:space="preserve">; </w:t>
      </w:r>
      <w:r>
        <w:t xml:space="preserve">and </w:t>
      </w:r>
      <w:r>
        <w:t>(5) </w:t>
      </w:r>
      <w:r>
        <w:t>the Enrolled Bill Report</w:t>
      </w:r>
      <w:r>
        <w:t>.  (</w:t>
      </w:r>
      <w:bookmarkStart w:id="53" w:name="dabmci_f919332a5f0f487c865db199f134a05b"/>
      <w:r>
        <w:rPr>
          <w:i/>
          <w:iCs/>
        </w:rPr>
        <w:t>Kaufman &amp; Bro</w:t>
      </w:r>
      <w:r>
        <w:rPr>
          <w:i/>
          <w:iCs/>
        </w:rPr>
        <w:t xml:space="preserve">ad Communities, Inc. v. Performance Plastering, Inc. </w:t>
      </w:r>
      <w:r>
        <w:t>(2005) 133 Cal.App.4th 26, 31–35</w:t>
      </w:r>
      <w:bookmarkEnd w:id="53"/>
      <w:r>
        <w:t xml:space="preserve"> (</w:t>
      </w:r>
      <w:r>
        <w:rPr>
          <w:i/>
          <w:iCs/>
        </w:rPr>
        <w:t>Kaufman</w:t>
      </w:r>
      <w:r>
        <w:t>)</w:t>
      </w:r>
      <w:r>
        <w:t>.)  We deny the request for the following documents:</w:t>
      </w:r>
      <w:r>
        <w:t xml:space="preserve"> </w:t>
      </w:r>
      <w:r>
        <w:t xml:space="preserve"> (1) </w:t>
      </w:r>
      <w:r>
        <w:t>a post-enrollment letter from the bill’s author to the Governor</w:t>
      </w:r>
      <w:r>
        <w:t xml:space="preserve">, </w:t>
      </w:r>
      <w:r>
        <w:t>a</w:t>
      </w:r>
      <w:r>
        <w:t>s</w:t>
      </w:r>
      <w:r>
        <w:t xml:space="preserve"> there is no indication the letter w</w:t>
      </w:r>
      <w:r>
        <w:t>as sent to other legislators</w:t>
      </w:r>
      <w:r>
        <w:t>; (2) </w:t>
      </w:r>
      <w:r>
        <w:t>post-enrollment letters from interested parties to the Governor urging him to sign the bill; (3) a biography of the bill’s author; and (4) a newspaper article discussing the signing of the bill</w:t>
      </w:r>
      <w:r>
        <w:t>.  (</w:t>
      </w:r>
      <w:bookmarkStart w:id="54" w:name="dabmci_95511b193d6c4b9aa10f720bd820c4aa"/>
      <w:r>
        <w:rPr>
          <w:i/>
          <w:iCs/>
        </w:rPr>
        <w:t>Id.</w:t>
      </w:r>
      <w:r>
        <w:t xml:space="preserve"> at pp.</w:t>
      </w:r>
      <w:r>
        <w:t> </w:t>
      </w:r>
      <w:r>
        <w:t>37–38</w:t>
      </w:r>
      <w:bookmarkEnd w:id="54"/>
      <w:r>
        <w:t>.)</w:t>
      </w:r>
    </w:p>
    <w:p w14:paraId="09D17067" w14:textId="77777777" w:rsidR="002543E1" w:rsidRDefault="00021E22">
      <w:pPr>
        <w:pStyle w:val="FootnoteText"/>
      </w:pPr>
      <w:r>
        <w:tab/>
      </w:r>
      <w:r>
        <w:t>Additionally, the Committee request</w:t>
      </w:r>
      <w:r>
        <w:t>ed</w:t>
      </w:r>
      <w:r>
        <w:t xml:space="preserve"> judicial notice of documents relating to the legislative history of </w:t>
      </w:r>
      <w:r>
        <w:t>the</w:t>
      </w:r>
      <w:r>
        <w:t xml:space="preserve"> 1998 bill that amended </w:t>
      </w:r>
      <w:bookmarkStart w:id="55" w:name="dabmci_c0747e68bc0c49db9489e2ce6dd3f7cd"/>
      <w:r>
        <w:t>Vehicle Code section</w:t>
      </w:r>
      <w:r>
        <w:t> </w:t>
      </w:r>
      <w:r>
        <w:t>21101</w:t>
      </w:r>
      <w:bookmarkEnd w:id="55"/>
      <w:r>
        <w:t>, subdivision</w:t>
      </w:r>
      <w:r>
        <w:t> </w:t>
      </w:r>
      <w:r>
        <w:t>(e), to ensure a single public officer or employee may determine a temporary street</w:t>
      </w:r>
      <w:r>
        <w:t xml:space="preserve"> closure is necessary (</w:t>
      </w:r>
      <w:r>
        <w:t>Sen. Bill No.</w:t>
      </w:r>
      <w:r>
        <w:t> </w:t>
      </w:r>
      <w:r>
        <w:t>1649 (1997–1998 Reg. Sess.) §</w:t>
      </w:r>
      <w:r>
        <w:t> </w:t>
      </w:r>
      <w:r>
        <w:t>24)</w:t>
      </w:r>
      <w:r>
        <w:t>.</w:t>
      </w:r>
      <w:r>
        <w:t xml:space="preserve">  This legislative history is similarly ambiguous and unhelpful in discerning legislative intent.  Still, we grant the request for the following documents pertaining to this bill:  (1) </w:t>
      </w:r>
      <w:r>
        <w:t>the chaptered bill</w:t>
      </w:r>
      <w:r>
        <w:t>; (2)</w:t>
      </w:r>
      <w:r>
        <w:t> </w:t>
      </w:r>
      <w:r>
        <w:t>a bill report from the Assembly Committee on Local Government</w:t>
      </w:r>
      <w:r>
        <w:t>; (3)</w:t>
      </w:r>
      <w:r>
        <w:t> </w:t>
      </w:r>
      <w:r>
        <w:t>a staff memorandum from the Senate Committee on Land Use; (4)</w:t>
      </w:r>
      <w:r>
        <w:t> </w:t>
      </w:r>
      <w:r>
        <w:t xml:space="preserve">a resolution from the Kern County Board of Supervisors </w:t>
      </w:r>
      <w:r>
        <w:t xml:space="preserve">proposing </w:t>
      </w:r>
      <w:r>
        <w:t>the bill; and (5)</w:t>
      </w:r>
      <w:r>
        <w:t> </w:t>
      </w:r>
      <w:r>
        <w:t>the Enrolled Bill Re</w:t>
      </w:r>
      <w:r>
        <w:t>port</w:t>
      </w:r>
      <w:r>
        <w:t xml:space="preserve">.  </w:t>
      </w:r>
      <w:r>
        <w:t>(</w:t>
      </w:r>
      <w:bookmarkStart w:id="56" w:name="dabmci_1d23e1e4c59d4e67828fd156e5253ffc"/>
      <w:r>
        <w:rPr>
          <w:i/>
          <w:iCs/>
        </w:rPr>
        <w:t xml:space="preserve">Kaufman, </w:t>
      </w:r>
      <w:r w:rsidRPr="00865209">
        <w:rPr>
          <w:i/>
          <w:iCs/>
        </w:rPr>
        <w:t>supra</w:t>
      </w:r>
      <w:r>
        <w:t>, 133 Cal.App.4th at pp.</w:t>
      </w:r>
      <w:r>
        <w:t> </w:t>
      </w:r>
      <w:r>
        <w:t>32–33, 37</w:t>
      </w:r>
      <w:bookmarkEnd w:id="56"/>
      <w:r>
        <w:t xml:space="preserve">.)  </w:t>
      </w:r>
    </w:p>
  </w:footnote>
  <w:footnote w:id="7">
    <w:p w14:paraId="42D1CF13" w14:textId="77777777" w:rsidR="00563F0F" w:rsidRPr="00563F0F" w:rsidRDefault="00021E22">
      <w:pPr>
        <w:pStyle w:val="FootnoteText"/>
      </w:pPr>
      <w:r>
        <w:rPr>
          <w:rStyle w:val="FootnoteReference"/>
        </w:rPr>
        <w:footnoteRef/>
      </w:r>
      <w:r>
        <w:t xml:space="preserve"> </w:t>
      </w:r>
      <w:r>
        <w:tab/>
        <w:t>Because the City changed the project after it filed the notice of exemption, it is unnecessary for us to address the Committee’s alternative timeliness arguments.  Those arguments include clai</w:t>
      </w:r>
      <w:r>
        <w:t>ms</w:t>
      </w:r>
      <w:r>
        <w:t xml:space="preserve"> that</w:t>
      </w:r>
      <w:r>
        <w:t>:  (1) the City Council did not commit the City to a definite course of action, and thus did not approve the project (Guidelines, § 15352, subd. (a)), when it authorized the City Engineer “</w:t>
      </w:r>
      <w:r w:rsidRPr="00563F0F">
        <w:t>to proceed with the process of vacating the public’s vehicul</w:t>
      </w:r>
      <w:r w:rsidRPr="00563F0F">
        <w:t>ar access rights</w:t>
      </w:r>
      <w:r>
        <w:t>” on Museum Way; (2) </w:t>
      </w:r>
      <w:r>
        <w:t>the notice of exemption was facially invalid</w:t>
      </w:r>
      <w:r>
        <w:t>, and thus did not trigger the 35-day statute of limitations,</w:t>
      </w:r>
      <w:r>
        <w:t xml:space="preserve"> because it did not include a sufficiently</w:t>
      </w:r>
      <w:r>
        <w:t>-</w:t>
      </w:r>
      <w:r>
        <w:t>detailed statement of reasons supporting the exemption finding; and (3)</w:t>
      </w:r>
      <w:r>
        <w:t> </w:t>
      </w:r>
      <w:r>
        <w:t xml:space="preserve">the City is collaterally estopped from asserting a statute of limitations defense. </w:t>
      </w:r>
    </w:p>
  </w:footnote>
  <w:footnote w:id="8">
    <w:p w14:paraId="0601D376" w14:textId="77777777" w:rsidR="00445043" w:rsidRPr="00445043" w:rsidRDefault="00021E22" w:rsidP="00445043">
      <w:pPr>
        <w:pStyle w:val="FootnoteText"/>
      </w:pPr>
      <w:r>
        <w:rPr>
          <w:rStyle w:val="FootnoteReference"/>
        </w:rPr>
        <w:footnoteRef/>
      </w:r>
      <w:r>
        <w:t xml:space="preserve"> </w:t>
      </w:r>
      <w:r>
        <w:tab/>
        <w:t>In its reply</w:t>
      </w:r>
      <w:r>
        <w:t xml:space="preserve"> brief</w:t>
      </w:r>
      <w:r>
        <w:t xml:space="preserve">, the Committee argues, with scant analysis and no citation to relevant legal authorities, that it </w:t>
      </w:r>
      <w:r>
        <w:t>adequately a</w:t>
      </w:r>
      <w:r>
        <w:t xml:space="preserve">lleged </w:t>
      </w:r>
      <w:r>
        <w:t xml:space="preserve">that </w:t>
      </w:r>
      <w:r>
        <w:t xml:space="preserve">the City violated the </w:t>
      </w:r>
      <w:r w:rsidRPr="00445043">
        <w:t>Streets and Highway Code</w:t>
      </w:r>
      <w:r>
        <w:t xml:space="preserve">.  </w:t>
      </w:r>
      <w:r>
        <w:t>W</w:t>
      </w:r>
      <w:r>
        <w:t xml:space="preserve">e do not consider arguments raised for the first time in a reply brief.  (See </w:t>
      </w:r>
      <w:bookmarkStart w:id="116" w:name="dabmci_b4c5849833a04d548911b8d5c0f04a38"/>
      <w:r>
        <w:rPr>
          <w:i/>
          <w:iCs/>
        </w:rPr>
        <w:t xml:space="preserve">Crawley v. Alameda County Waste Management Authority </w:t>
      </w:r>
      <w:r>
        <w:t>(2015) 243 Cal.App.4th 396, 403, fn. 4</w:t>
      </w:r>
      <w:bookmarkEnd w:id="116"/>
      <w:r>
        <w:t xml:space="preserve">; </w:t>
      </w:r>
      <w:bookmarkStart w:id="117" w:name="dabmci_d5871388e365483d80b612761979526d"/>
      <w:r>
        <w:rPr>
          <w:i/>
          <w:iCs/>
        </w:rPr>
        <w:t>Ko v. Maxim Healthcare Servs., Inc.</w:t>
      </w:r>
      <w:r>
        <w:rPr>
          <w:i/>
          <w:iCs/>
        </w:rPr>
        <w:t xml:space="preserve"> </w:t>
      </w:r>
      <w:r>
        <w:t>(2020) 58 Cal.App.5th 1144, 1147, fn. 3</w:t>
      </w:r>
      <w:bookmarkEnd w:id="117"/>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8651" w14:textId="77777777" w:rsidR="00316E43" w:rsidRDefault="00021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0057" w14:textId="77777777" w:rsidR="00316E43" w:rsidRDefault="00021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535B" w14:textId="77777777" w:rsidR="00316E43" w:rsidRDefault="00021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432"/>
    <w:multiLevelType w:val="hybridMultilevel"/>
    <w:tmpl w:val="BFB4F1DA"/>
    <w:lvl w:ilvl="0" w:tplc="D4844288">
      <w:start w:val="1"/>
      <w:numFmt w:val="decimal"/>
      <w:pStyle w:val="Heading3"/>
      <w:lvlText w:val="%1."/>
      <w:lvlJc w:val="left"/>
      <w:pPr>
        <w:ind w:left="720" w:hanging="360"/>
      </w:pPr>
      <w:rPr>
        <w:i w:val="0"/>
        <w:iCs w:val="0"/>
      </w:rPr>
    </w:lvl>
    <w:lvl w:ilvl="1" w:tplc="DA7C5024" w:tentative="1">
      <w:start w:val="1"/>
      <w:numFmt w:val="lowerLetter"/>
      <w:lvlText w:val="%2."/>
      <w:lvlJc w:val="left"/>
      <w:pPr>
        <w:ind w:left="1440" w:hanging="360"/>
      </w:pPr>
    </w:lvl>
    <w:lvl w:ilvl="2" w:tplc="D918305C" w:tentative="1">
      <w:start w:val="1"/>
      <w:numFmt w:val="lowerRoman"/>
      <w:lvlText w:val="%3."/>
      <w:lvlJc w:val="right"/>
      <w:pPr>
        <w:ind w:left="2160" w:hanging="180"/>
      </w:pPr>
    </w:lvl>
    <w:lvl w:ilvl="3" w:tplc="AB1E1E44" w:tentative="1">
      <w:start w:val="1"/>
      <w:numFmt w:val="decimal"/>
      <w:lvlText w:val="%4."/>
      <w:lvlJc w:val="left"/>
      <w:pPr>
        <w:ind w:left="2880" w:hanging="360"/>
      </w:pPr>
    </w:lvl>
    <w:lvl w:ilvl="4" w:tplc="76FE48FE" w:tentative="1">
      <w:start w:val="1"/>
      <w:numFmt w:val="lowerLetter"/>
      <w:lvlText w:val="%5."/>
      <w:lvlJc w:val="left"/>
      <w:pPr>
        <w:ind w:left="3600" w:hanging="360"/>
      </w:pPr>
    </w:lvl>
    <w:lvl w:ilvl="5" w:tplc="A1561132" w:tentative="1">
      <w:start w:val="1"/>
      <w:numFmt w:val="lowerRoman"/>
      <w:lvlText w:val="%6."/>
      <w:lvlJc w:val="right"/>
      <w:pPr>
        <w:ind w:left="4320" w:hanging="180"/>
      </w:pPr>
    </w:lvl>
    <w:lvl w:ilvl="6" w:tplc="EF34526A" w:tentative="1">
      <w:start w:val="1"/>
      <w:numFmt w:val="decimal"/>
      <w:lvlText w:val="%7."/>
      <w:lvlJc w:val="left"/>
      <w:pPr>
        <w:ind w:left="5040" w:hanging="360"/>
      </w:pPr>
    </w:lvl>
    <w:lvl w:ilvl="7" w:tplc="FCF0200A" w:tentative="1">
      <w:start w:val="1"/>
      <w:numFmt w:val="lowerLetter"/>
      <w:lvlText w:val="%8."/>
      <w:lvlJc w:val="left"/>
      <w:pPr>
        <w:ind w:left="5760" w:hanging="360"/>
      </w:pPr>
    </w:lvl>
    <w:lvl w:ilvl="8" w:tplc="64DCD700" w:tentative="1">
      <w:start w:val="1"/>
      <w:numFmt w:val="lowerRoman"/>
      <w:lvlText w:val="%9."/>
      <w:lvlJc w:val="right"/>
      <w:pPr>
        <w:ind w:left="6480" w:hanging="180"/>
      </w:pPr>
    </w:lvl>
  </w:abstractNum>
  <w:abstractNum w:abstractNumId="1" w15:restartNumberingAfterBreak="0">
    <w:nsid w:val="14010C24"/>
    <w:multiLevelType w:val="hybridMultilevel"/>
    <w:tmpl w:val="B726D45A"/>
    <w:lvl w:ilvl="0" w:tplc="8EE09836">
      <w:start w:val="1"/>
      <w:numFmt w:val="upperLetter"/>
      <w:lvlText w:val="%1."/>
      <w:lvlJc w:val="left"/>
      <w:pPr>
        <w:ind w:left="720" w:hanging="360"/>
      </w:pPr>
      <w:rPr>
        <w:i w:val="0"/>
        <w:iCs w:val="0"/>
      </w:rPr>
    </w:lvl>
    <w:lvl w:ilvl="1" w:tplc="B798C1D0" w:tentative="1">
      <w:start w:val="1"/>
      <w:numFmt w:val="lowerLetter"/>
      <w:lvlText w:val="%2."/>
      <w:lvlJc w:val="left"/>
      <w:pPr>
        <w:ind w:left="1440" w:hanging="360"/>
      </w:pPr>
    </w:lvl>
    <w:lvl w:ilvl="2" w:tplc="E4BA4046" w:tentative="1">
      <w:start w:val="1"/>
      <w:numFmt w:val="lowerRoman"/>
      <w:lvlText w:val="%3."/>
      <w:lvlJc w:val="right"/>
      <w:pPr>
        <w:ind w:left="2160" w:hanging="180"/>
      </w:pPr>
    </w:lvl>
    <w:lvl w:ilvl="3" w:tplc="4ABEDD50" w:tentative="1">
      <w:start w:val="1"/>
      <w:numFmt w:val="decimal"/>
      <w:lvlText w:val="%4."/>
      <w:lvlJc w:val="left"/>
      <w:pPr>
        <w:ind w:left="2880" w:hanging="360"/>
      </w:pPr>
    </w:lvl>
    <w:lvl w:ilvl="4" w:tplc="D190FD40" w:tentative="1">
      <w:start w:val="1"/>
      <w:numFmt w:val="lowerLetter"/>
      <w:lvlText w:val="%5."/>
      <w:lvlJc w:val="left"/>
      <w:pPr>
        <w:ind w:left="3600" w:hanging="360"/>
      </w:pPr>
    </w:lvl>
    <w:lvl w:ilvl="5" w:tplc="249E07A0" w:tentative="1">
      <w:start w:val="1"/>
      <w:numFmt w:val="lowerRoman"/>
      <w:lvlText w:val="%6."/>
      <w:lvlJc w:val="right"/>
      <w:pPr>
        <w:ind w:left="4320" w:hanging="180"/>
      </w:pPr>
    </w:lvl>
    <w:lvl w:ilvl="6" w:tplc="025CBDFE" w:tentative="1">
      <w:start w:val="1"/>
      <w:numFmt w:val="decimal"/>
      <w:lvlText w:val="%7."/>
      <w:lvlJc w:val="left"/>
      <w:pPr>
        <w:ind w:left="5040" w:hanging="360"/>
      </w:pPr>
    </w:lvl>
    <w:lvl w:ilvl="7" w:tplc="5E9AC3C4" w:tentative="1">
      <w:start w:val="1"/>
      <w:numFmt w:val="lowerLetter"/>
      <w:lvlText w:val="%8."/>
      <w:lvlJc w:val="left"/>
      <w:pPr>
        <w:ind w:left="5760" w:hanging="360"/>
      </w:pPr>
    </w:lvl>
    <w:lvl w:ilvl="8" w:tplc="EB2E091C" w:tentative="1">
      <w:start w:val="1"/>
      <w:numFmt w:val="lowerRoman"/>
      <w:lvlText w:val="%9."/>
      <w:lvlJc w:val="right"/>
      <w:pPr>
        <w:ind w:left="6480" w:hanging="180"/>
      </w:pPr>
    </w:lvl>
  </w:abstractNum>
  <w:abstractNum w:abstractNumId="2" w15:restartNumberingAfterBreak="0">
    <w:nsid w:val="14292B8B"/>
    <w:multiLevelType w:val="hybridMultilevel"/>
    <w:tmpl w:val="29DC2D22"/>
    <w:lvl w:ilvl="0" w:tplc="39F4C856">
      <w:start w:val="1"/>
      <w:numFmt w:val="decimal"/>
      <w:lvlText w:val="%1"/>
      <w:lvlJc w:val="center"/>
      <w:pPr>
        <w:ind w:left="720" w:hanging="360"/>
      </w:pPr>
      <w:rPr>
        <w:rFonts w:hint="default"/>
      </w:rPr>
    </w:lvl>
    <w:lvl w:ilvl="1" w:tplc="0A8CF42C" w:tentative="1">
      <w:start w:val="1"/>
      <w:numFmt w:val="lowerLetter"/>
      <w:lvlText w:val="%2."/>
      <w:lvlJc w:val="left"/>
      <w:pPr>
        <w:ind w:left="1440" w:hanging="360"/>
      </w:pPr>
    </w:lvl>
    <w:lvl w:ilvl="2" w:tplc="E8302C32" w:tentative="1">
      <w:start w:val="1"/>
      <w:numFmt w:val="lowerRoman"/>
      <w:lvlText w:val="%3."/>
      <w:lvlJc w:val="right"/>
      <w:pPr>
        <w:ind w:left="2160" w:hanging="180"/>
      </w:pPr>
    </w:lvl>
    <w:lvl w:ilvl="3" w:tplc="F8324064" w:tentative="1">
      <w:start w:val="1"/>
      <w:numFmt w:val="decimal"/>
      <w:lvlText w:val="%4."/>
      <w:lvlJc w:val="left"/>
      <w:pPr>
        <w:ind w:left="2880" w:hanging="360"/>
      </w:pPr>
    </w:lvl>
    <w:lvl w:ilvl="4" w:tplc="ACDCE1FE" w:tentative="1">
      <w:start w:val="1"/>
      <w:numFmt w:val="lowerLetter"/>
      <w:lvlText w:val="%5."/>
      <w:lvlJc w:val="left"/>
      <w:pPr>
        <w:ind w:left="3600" w:hanging="360"/>
      </w:pPr>
    </w:lvl>
    <w:lvl w:ilvl="5" w:tplc="5A6E9D86" w:tentative="1">
      <w:start w:val="1"/>
      <w:numFmt w:val="lowerRoman"/>
      <w:lvlText w:val="%6."/>
      <w:lvlJc w:val="right"/>
      <w:pPr>
        <w:ind w:left="4320" w:hanging="180"/>
      </w:pPr>
    </w:lvl>
    <w:lvl w:ilvl="6" w:tplc="9182C06A" w:tentative="1">
      <w:start w:val="1"/>
      <w:numFmt w:val="decimal"/>
      <w:lvlText w:val="%7."/>
      <w:lvlJc w:val="left"/>
      <w:pPr>
        <w:ind w:left="5040" w:hanging="360"/>
      </w:pPr>
    </w:lvl>
    <w:lvl w:ilvl="7" w:tplc="5A6EC96A" w:tentative="1">
      <w:start w:val="1"/>
      <w:numFmt w:val="lowerLetter"/>
      <w:lvlText w:val="%8."/>
      <w:lvlJc w:val="left"/>
      <w:pPr>
        <w:ind w:left="5760" w:hanging="360"/>
      </w:pPr>
    </w:lvl>
    <w:lvl w:ilvl="8" w:tplc="97DE913A" w:tentative="1">
      <w:start w:val="1"/>
      <w:numFmt w:val="lowerRoman"/>
      <w:lvlText w:val="%9."/>
      <w:lvlJc w:val="right"/>
      <w:pPr>
        <w:ind w:left="6480" w:hanging="180"/>
      </w:pPr>
    </w:lvl>
  </w:abstractNum>
  <w:abstractNum w:abstractNumId="3" w15:restartNumberingAfterBreak="0">
    <w:nsid w:val="2BF05D5C"/>
    <w:multiLevelType w:val="hybridMultilevel"/>
    <w:tmpl w:val="AD3691BE"/>
    <w:lvl w:ilvl="0" w:tplc="D70C6230">
      <w:start w:val="1"/>
      <w:numFmt w:val="lowerLetter"/>
      <w:lvlText w:val="%1."/>
      <w:lvlJc w:val="left"/>
      <w:pPr>
        <w:ind w:left="720" w:hanging="360"/>
      </w:pPr>
    </w:lvl>
    <w:lvl w:ilvl="1" w:tplc="5E2886AC" w:tentative="1">
      <w:start w:val="1"/>
      <w:numFmt w:val="lowerLetter"/>
      <w:lvlText w:val="%2."/>
      <w:lvlJc w:val="left"/>
      <w:pPr>
        <w:ind w:left="1440" w:hanging="360"/>
      </w:pPr>
    </w:lvl>
    <w:lvl w:ilvl="2" w:tplc="19A41C5C" w:tentative="1">
      <w:start w:val="1"/>
      <w:numFmt w:val="lowerRoman"/>
      <w:lvlText w:val="%3."/>
      <w:lvlJc w:val="right"/>
      <w:pPr>
        <w:ind w:left="2160" w:hanging="180"/>
      </w:pPr>
    </w:lvl>
    <w:lvl w:ilvl="3" w:tplc="4E300856" w:tentative="1">
      <w:start w:val="1"/>
      <w:numFmt w:val="decimal"/>
      <w:lvlText w:val="%4."/>
      <w:lvlJc w:val="left"/>
      <w:pPr>
        <w:ind w:left="2880" w:hanging="360"/>
      </w:pPr>
    </w:lvl>
    <w:lvl w:ilvl="4" w:tplc="3634BB56" w:tentative="1">
      <w:start w:val="1"/>
      <w:numFmt w:val="lowerLetter"/>
      <w:lvlText w:val="%5."/>
      <w:lvlJc w:val="left"/>
      <w:pPr>
        <w:ind w:left="3600" w:hanging="360"/>
      </w:pPr>
    </w:lvl>
    <w:lvl w:ilvl="5" w:tplc="8638A7F8" w:tentative="1">
      <w:start w:val="1"/>
      <w:numFmt w:val="lowerRoman"/>
      <w:lvlText w:val="%6."/>
      <w:lvlJc w:val="right"/>
      <w:pPr>
        <w:ind w:left="4320" w:hanging="180"/>
      </w:pPr>
    </w:lvl>
    <w:lvl w:ilvl="6" w:tplc="4300C5B2" w:tentative="1">
      <w:start w:val="1"/>
      <w:numFmt w:val="decimal"/>
      <w:lvlText w:val="%7."/>
      <w:lvlJc w:val="left"/>
      <w:pPr>
        <w:ind w:left="5040" w:hanging="360"/>
      </w:pPr>
    </w:lvl>
    <w:lvl w:ilvl="7" w:tplc="B1883052" w:tentative="1">
      <w:start w:val="1"/>
      <w:numFmt w:val="lowerLetter"/>
      <w:lvlText w:val="%8."/>
      <w:lvlJc w:val="left"/>
      <w:pPr>
        <w:ind w:left="5760" w:hanging="360"/>
      </w:pPr>
    </w:lvl>
    <w:lvl w:ilvl="8" w:tplc="4B0EE4C0" w:tentative="1">
      <w:start w:val="1"/>
      <w:numFmt w:val="lowerRoman"/>
      <w:lvlText w:val="%9."/>
      <w:lvlJc w:val="right"/>
      <w:pPr>
        <w:ind w:left="6480" w:hanging="180"/>
      </w:pPr>
    </w:lvl>
  </w:abstractNum>
  <w:abstractNum w:abstractNumId="4" w15:restartNumberingAfterBreak="0">
    <w:nsid w:val="37DB0988"/>
    <w:multiLevelType w:val="hybridMultilevel"/>
    <w:tmpl w:val="18AE2D82"/>
    <w:lvl w:ilvl="0" w:tplc="2D128716">
      <w:start w:val="1"/>
      <w:numFmt w:val="decimal"/>
      <w:lvlText w:val="%1"/>
      <w:lvlJc w:val="center"/>
      <w:pPr>
        <w:ind w:left="720" w:hanging="360"/>
      </w:pPr>
      <w:rPr>
        <w:rFonts w:hint="default"/>
      </w:rPr>
    </w:lvl>
    <w:lvl w:ilvl="1" w:tplc="CE9E1AA8" w:tentative="1">
      <w:start w:val="1"/>
      <w:numFmt w:val="lowerLetter"/>
      <w:lvlText w:val="%2."/>
      <w:lvlJc w:val="left"/>
      <w:pPr>
        <w:ind w:left="1440" w:hanging="360"/>
      </w:pPr>
    </w:lvl>
    <w:lvl w:ilvl="2" w:tplc="056E99F8" w:tentative="1">
      <w:start w:val="1"/>
      <w:numFmt w:val="lowerRoman"/>
      <w:lvlText w:val="%3."/>
      <w:lvlJc w:val="right"/>
      <w:pPr>
        <w:ind w:left="2160" w:hanging="180"/>
      </w:pPr>
    </w:lvl>
    <w:lvl w:ilvl="3" w:tplc="37E6CE8E" w:tentative="1">
      <w:start w:val="1"/>
      <w:numFmt w:val="decimal"/>
      <w:lvlText w:val="%4."/>
      <w:lvlJc w:val="left"/>
      <w:pPr>
        <w:ind w:left="2880" w:hanging="360"/>
      </w:pPr>
    </w:lvl>
    <w:lvl w:ilvl="4" w:tplc="9ACE8082" w:tentative="1">
      <w:start w:val="1"/>
      <w:numFmt w:val="lowerLetter"/>
      <w:lvlText w:val="%5."/>
      <w:lvlJc w:val="left"/>
      <w:pPr>
        <w:ind w:left="3600" w:hanging="360"/>
      </w:pPr>
    </w:lvl>
    <w:lvl w:ilvl="5" w:tplc="62A236D6" w:tentative="1">
      <w:start w:val="1"/>
      <w:numFmt w:val="lowerRoman"/>
      <w:lvlText w:val="%6."/>
      <w:lvlJc w:val="right"/>
      <w:pPr>
        <w:ind w:left="4320" w:hanging="180"/>
      </w:pPr>
    </w:lvl>
    <w:lvl w:ilvl="6" w:tplc="03B448BC" w:tentative="1">
      <w:start w:val="1"/>
      <w:numFmt w:val="decimal"/>
      <w:lvlText w:val="%7."/>
      <w:lvlJc w:val="left"/>
      <w:pPr>
        <w:ind w:left="5040" w:hanging="360"/>
      </w:pPr>
    </w:lvl>
    <w:lvl w:ilvl="7" w:tplc="C86698E0" w:tentative="1">
      <w:start w:val="1"/>
      <w:numFmt w:val="lowerLetter"/>
      <w:lvlText w:val="%8."/>
      <w:lvlJc w:val="left"/>
      <w:pPr>
        <w:ind w:left="5760" w:hanging="360"/>
      </w:pPr>
    </w:lvl>
    <w:lvl w:ilvl="8" w:tplc="6A8CE23E" w:tentative="1">
      <w:start w:val="1"/>
      <w:numFmt w:val="lowerRoman"/>
      <w:lvlText w:val="%9."/>
      <w:lvlJc w:val="right"/>
      <w:pPr>
        <w:ind w:left="6480" w:hanging="180"/>
      </w:pPr>
    </w:lvl>
  </w:abstractNum>
  <w:abstractNum w:abstractNumId="5" w15:restartNumberingAfterBreak="0">
    <w:nsid w:val="38E309B4"/>
    <w:multiLevelType w:val="hybridMultilevel"/>
    <w:tmpl w:val="73701F58"/>
    <w:lvl w:ilvl="0" w:tplc="58485B9A">
      <w:start w:val="1"/>
      <w:numFmt w:val="upperRoman"/>
      <w:lvlText w:val="%1"/>
      <w:lvlJc w:val="center"/>
      <w:pPr>
        <w:ind w:left="720" w:hanging="360"/>
      </w:pPr>
      <w:rPr>
        <w:rFonts w:hint="default"/>
      </w:rPr>
    </w:lvl>
    <w:lvl w:ilvl="1" w:tplc="BC0A7EBC" w:tentative="1">
      <w:start w:val="1"/>
      <w:numFmt w:val="lowerLetter"/>
      <w:lvlText w:val="%2."/>
      <w:lvlJc w:val="left"/>
      <w:pPr>
        <w:ind w:left="1440" w:hanging="360"/>
      </w:pPr>
    </w:lvl>
    <w:lvl w:ilvl="2" w:tplc="8F2297E2" w:tentative="1">
      <w:start w:val="1"/>
      <w:numFmt w:val="lowerRoman"/>
      <w:lvlText w:val="%3."/>
      <w:lvlJc w:val="right"/>
      <w:pPr>
        <w:ind w:left="2160" w:hanging="180"/>
      </w:pPr>
    </w:lvl>
    <w:lvl w:ilvl="3" w:tplc="4BA8BCBC" w:tentative="1">
      <w:start w:val="1"/>
      <w:numFmt w:val="decimal"/>
      <w:lvlText w:val="%4."/>
      <w:lvlJc w:val="left"/>
      <w:pPr>
        <w:ind w:left="2880" w:hanging="360"/>
      </w:pPr>
    </w:lvl>
    <w:lvl w:ilvl="4" w:tplc="31A4DB72" w:tentative="1">
      <w:start w:val="1"/>
      <w:numFmt w:val="lowerLetter"/>
      <w:lvlText w:val="%5."/>
      <w:lvlJc w:val="left"/>
      <w:pPr>
        <w:ind w:left="3600" w:hanging="360"/>
      </w:pPr>
    </w:lvl>
    <w:lvl w:ilvl="5" w:tplc="230E4146" w:tentative="1">
      <w:start w:val="1"/>
      <w:numFmt w:val="lowerRoman"/>
      <w:lvlText w:val="%6."/>
      <w:lvlJc w:val="right"/>
      <w:pPr>
        <w:ind w:left="4320" w:hanging="180"/>
      </w:pPr>
    </w:lvl>
    <w:lvl w:ilvl="6" w:tplc="A08499A2" w:tentative="1">
      <w:start w:val="1"/>
      <w:numFmt w:val="decimal"/>
      <w:lvlText w:val="%7."/>
      <w:lvlJc w:val="left"/>
      <w:pPr>
        <w:ind w:left="5040" w:hanging="360"/>
      </w:pPr>
    </w:lvl>
    <w:lvl w:ilvl="7" w:tplc="6F603630" w:tentative="1">
      <w:start w:val="1"/>
      <w:numFmt w:val="lowerLetter"/>
      <w:lvlText w:val="%8."/>
      <w:lvlJc w:val="left"/>
      <w:pPr>
        <w:ind w:left="5760" w:hanging="360"/>
      </w:pPr>
    </w:lvl>
    <w:lvl w:ilvl="8" w:tplc="21A64D04" w:tentative="1">
      <w:start w:val="1"/>
      <w:numFmt w:val="lowerRoman"/>
      <w:lvlText w:val="%9."/>
      <w:lvlJc w:val="right"/>
      <w:pPr>
        <w:ind w:left="6480" w:hanging="180"/>
      </w:pPr>
    </w:lvl>
  </w:abstractNum>
  <w:abstractNum w:abstractNumId="6" w15:restartNumberingAfterBreak="0">
    <w:nsid w:val="3B4867D3"/>
    <w:multiLevelType w:val="hybridMultilevel"/>
    <w:tmpl w:val="CFA68A1A"/>
    <w:lvl w:ilvl="0" w:tplc="B2CCBFDC">
      <w:start w:val="1"/>
      <w:numFmt w:val="decimal"/>
      <w:lvlText w:val="%1"/>
      <w:lvlJc w:val="center"/>
      <w:pPr>
        <w:ind w:left="720" w:hanging="360"/>
      </w:pPr>
      <w:rPr>
        <w:rFonts w:hint="default"/>
      </w:rPr>
    </w:lvl>
    <w:lvl w:ilvl="1" w:tplc="EF3C92FA" w:tentative="1">
      <w:start w:val="1"/>
      <w:numFmt w:val="lowerLetter"/>
      <w:lvlText w:val="%2."/>
      <w:lvlJc w:val="left"/>
      <w:pPr>
        <w:ind w:left="1440" w:hanging="360"/>
      </w:pPr>
    </w:lvl>
    <w:lvl w:ilvl="2" w:tplc="1B5ACF1C" w:tentative="1">
      <w:start w:val="1"/>
      <w:numFmt w:val="lowerRoman"/>
      <w:lvlText w:val="%3."/>
      <w:lvlJc w:val="right"/>
      <w:pPr>
        <w:ind w:left="2160" w:hanging="180"/>
      </w:pPr>
    </w:lvl>
    <w:lvl w:ilvl="3" w:tplc="0ACEDF88" w:tentative="1">
      <w:start w:val="1"/>
      <w:numFmt w:val="decimal"/>
      <w:lvlText w:val="%4."/>
      <w:lvlJc w:val="left"/>
      <w:pPr>
        <w:ind w:left="2880" w:hanging="360"/>
      </w:pPr>
    </w:lvl>
    <w:lvl w:ilvl="4" w:tplc="052E1746" w:tentative="1">
      <w:start w:val="1"/>
      <w:numFmt w:val="lowerLetter"/>
      <w:lvlText w:val="%5."/>
      <w:lvlJc w:val="left"/>
      <w:pPr>
        <w:ind w:left="3600" w:hanging="360"/>
      </w:pPr>
    </w:lvl>
    <w:lvl w:ilvl="5" w:tplc="400A454C" w:tentative="1">
      <w:start w:val="1"/>
      <w:numFmt w:val="lowerRoman"/>
      <w:lvlText w:val="%6."/>
      <w:lvlJc w:val="right"/>
      <w:pPr>
        <w:ind w:left="4320" w:hanging="180"/>
      </w:pPr>
    </w:lvl>
    <w:lvl w:ilvl="6" w:tplc="035C3138" w:tentative="1">
      <w:start w:val="1"/>
      <w:numFmt w:val="decimal"/>
      <w:lvlText w:val="%7."/>
      <w:lvlJc w:val="left"/>
      <w:pPr>
        <w:ind w:left="5040" w:hanging="360"/>
      </w:pPr>
    </w:lvl>
    <w:lvl w:ilvl="7" w:tplc="A7306070" w:tentative="1">
      <w:start w:val="1"/>
      <w:numFmt w:val="lowerLetter"/>
      <w:lvlText w:val="%8."/>
      <w:lvlJc w:val="left"/>
      <w:pPr>
        <w:ind w:left="5760" w:hanging="360"/>
      </w:pPr>
    </w:lvl>
    <w:lvl w:ilvl="8" w:tplc="048A6F60" w:tentative="1">
      <w:start w:val="1"/>
      <w:numFmt w:val="lowerRoman"/>
      <w:lvlText w:val="%9."/>
      <w:lvlJc w:val="right"/>
      <w:pPr>
        <w:ind w:left="6480" w:hanging="180"/>
      </w:pPr>
    </w:lvl>
  </w:abstractNum>
  <w:abstractNum w:abstractNumId="7" w15:restartNumberingAfterBreak="0">
    <w:nsid w:val="576A4DA5"/>
    <w:multiLevelType w:val="hybridMultilevel"/>
    <w:tmpl w:val="7A4A0C54"/>
    <w:lvl w:ilvl="0" w:tplc="DD024180">
      <w:start w:val="1"/>
      <w:numFmt w:val="decimal"/>
      <w:lvlText w:val="%1."/>
      <w:lvlJc w:val="left"/>
      <w:pPr>
        <w:ind w:left="720" w:hanging="360"/>
      </w:pPr>
    </w:lvl>
    <w:lvl w:ilvl="1" w:tplc="5AC6F710" w:tentative="1">
      <w:start w:val="1"/>
      <w:numFmt w:val="lowerLetter"/>
      <w:lvlText w:val="%2."/>
      <w:lvlJc w:val="left"/>
      <w:pPr>
        <w:ind w:left="1440" w:hanging="360"/>
      </w:pPr>
    </w:lvl>
    <w:lvl w:ilvl="2" w:tplc="C05AF152" w:tentative="1">
      <w:start w:val="1"/>
      <w:numFmt w:val="lowerRoman"/>
      <w:lvlText w:val="%3."/>
      <w:lvlJc w:val="right"/>
      <w:pPr>
        <w:ind w:left="2160" w:hanging="180"/>
      </w:pPr>
    </w:lvl>
    <w:lvl w:ilvl="3" w:tplc="5862377E" w:tentative="1">
      <w:start w:val="1"/>
      <w:numFmt w:val="decimal"/>
      <w:lvlText w:val="%4."/>
      <w:lvlJc w:val="left"/>
      <w:pPr>
        <w:ind w:left="2880" w:hanging="360"/>
      </w:pPr>
    </w:lvl>
    <w:lvl w:ilvl="4" w:tplc="46ACBDB2" w:tentative="1">
      <w:start w:val="1"/>
      <w:numFmt w:val="lowerLetter"/>
      <w:lvlText w:val="%5."/>
      <w:lvlJc w:val="left"/>
      <w:pPr>
        <w:ind w:left="3600" w:hanging="360"/>
      </w:pPr>
    </w:lvl>
    <w:lvl w:ilvl="5" w:tplc="005287C4" w:tentative="1">
      <w:start w:val="1"/>
      <w:numFmt w:val="lowerRoman"/>
      <w:lvlText w:val="%6."/>
      <w:lvlJc w:val="right"/>
      <w:pPr>
        <w:ind w:left="4320" w:hanging="180"/>
      </w:pPr>
    </w:lvl>
    <w:lvl w:ilvl="6" w:tplc="FB523612" w:tentative="1">
      <w:start w:val="1"/>
      <w:numFmt w:val="decimal"/>
      <w:lvlText w:val="%7."/>
      <w:lvlJc w:val="left"/>
      <w:pPr>
        <w:ind w:left="5040" w:hanging="360"/>
      </w:pPr>
    </w:lvl>
    <w:lvl w:ilvl="7" w:tplc="A5EA729C" w:tentative="1">
      <w:start w:val="1"/>
      <w:numFmt w:val="lowerLetter"/>
      <w:lvlText w:val="%8."/>
      <w:lvlJc w:val="left"/>
      <w:pPr>
        <w:ind w:left="5760" w:hanging="360"/>
      </w:pPr>
    </w:lvl>
    <w:lvl w:ilvl="8" w:tplc="6B38B9E8" w:tentative="1">
      <w:start w:val="1"/>
      <w:numFmt w:val="lowerRoman"/>
      <w:lvlText w:val="%9."/>
      <w:lvlJc w:val="right"/>
      <w:pPr>
        <w:ind w:left="6480" w:hanging="180"/>
      </w:pPr>
    </w:lvl>
  </w:abstractNum>
  <w:abstractNum w:abstractNumId="8" w15:restartNumberingAfterBreak="0">
    <w:nsid w:val="69BE72A9"/>
    <w:multiLevelType w:val="hybridMultilevel"/>
    <w:tmpl w:val="0946FF52"/>
    <w:lvl w:ilvl="0" w:tplc="9C66A57E">
      <w:start w:val="1"/>
      <w:numFmt w:val="upperLetter"/>
      <w:pStyle w:val="Heading2"/>
      <w:lvlText w:val="%1."/>
      <w:lvlJc w:val="left"/>
      <w:pPr>
        <w:ind w:left="720" w:hanging="360"/>
      </w:pPr>
      <w:rPr>
        <w:i w:val="0"/>
        <w:iCs w:val="0"/>
      </w:rPr>
    </w:lvl>
    <w:lvl w:ilvl="1" w:tplc="64C2E452" w:tentative="1">
      <w:start w:val="1"/>
      <w:numFmt w:val="lowerLetter"/>
      <w:lvlText w:val="%2."/>
      <w:lvlJc w:val="left"/>
      <w:pPr>
        <w:ind w:left="1440" w:hanging="360"/>
      </w:pPr>
    </w:lvl>
    <w:lvl w:ilvl="2" w:tplc="9C3C1354" w:tentative="1">
      <w:start w:val="1"/>
      <w:numFmt w:val="lowerRoman"/>
      <w:lvlText w:val="%3."/>
      <w:lvlJc w:val="right"/>
      <w:pPr>
        <w:ind w:left="2160" w:hanging="180"/>
      </w:pPr>
    </w:lvl>
    <w:lvl w:ilvl="3" w:tplc="F5F458FE" w:tentative="1">
      <w:start w:val="1"/>
      <w:numFmt w:val="decimal"/>
      <w:lvlText w:val="%4."/>
      <w:lvlJc w:val="left"/>
      <w:pPr>
        <w:ind w:left="2880" w:hanging="360"/>
      </w:pPr>
    </w:lvl>
    <w:lvl w:ilvl="4" w:tplc="681EB42A" w:tentative="1">
      <w:start w:val="1"/>
      <w:numFmt w:val="lowerLetter"/>
      <w:lvlText w:val="%5."/>
      <w:lvlJc w:val="left"/>
      <w:pPr>
        <w:ind w:left="3600" w:hanging="360"/>
      </w:pPr>
    </w:lvl>
    <w:lvl w:ilvl="5" w:tplc="62523A68" w:tentative="1">
      <w:start w:val="1"/>
      <w:numFmt w:val="lowerRoman"/>
      <w:lvlText w:val="%6."/>
      <w:lvlJc w:val="right"/>
      <w:pPr>
        <w:ind w:left="4320" w:hanging="180"/>
      </w:pPr>
    </w:lvl>
    <w:lvl w:ilvl="6" w:tplc="0ADC00A0" w:tentative="1">
      <w:start w:val="1"/>
      <w:numFmt w:val="decimal"/>
      <w:lvlText w:val="%7."/>
      <w:lvlJc w:val="left"/>
      <w:pPr>
        <w:ind w:left="5040" w:hanging="360"/>
      </w:pPr>
    </w:lvl>
    <w:lvl w:ilvl="7" w:tplc="67083AA8" w:tentative="1">
      <w:start w:val="1"/>
      <w:numFmt w:val="lowerLetter"/>
      <w:lvlText w:val="%8."/>
      <w:lvlJc w:val="left"/>
      <w:pPr>
        <w:ind w:left="5760" w:hanging="360"/>
      </w:pPr>
    </w:lvl>
    <w:lvl w:ilvl="8" w:tplc="BDBEBC7A" w:tentative="1">
      <w:start w:val="1"/>
      <w:numFmt w:val="lowerRoman"/>
      <w:lvlText w:val="%9."/>
      <w:lvlJc w:val="right"/>
      <w:pPr>
        <w:ind w:left="6480" w:hanging="180"/>
      </w:pPr>
    </w:lvl>
  </w:abstractNum>
  <w:num w:numId="1" w16cid:durableId="1401754912">
    <w:abstractNumId w:val="5"/>
  </w:num>
  <w:num w:numId="2" w16cid:durableId="1886597229">
    <w:abstractNumId w:val="1"/>
  </w:num>
  <w:num w:numId="3" w16cid:durableId="941495209">
    <w:abstractNumId w:val="1"/>
    <w:lvlOverride w:ilvl="0">
      <w:startOverride w:val="1"/>
    </w:lvlOverride>
  </w:num>
  <w:num w:numId="4" w16cid:durableId="503982128">
    <w:abstractNumId w:val="1"/>
    <w:lvlOverride w:ilvl="0">
      <w:startOverride w:val="1"/>
    </w:lvlOverride>
  </w:num>
  <w:num w:numId="5" w16cid:durableId="1033768546">
    <w:abstractNumId w:val="8"/>
  </w:num>
  <w:num w:numId="6" w16cid:durableId="2028674697">
    <w:abstractNumId w:val="8"/>
    <w:lvlOverride w:ilvl="0">
      <w:startOverride w:val="1"/>
    </w:lvlOverride>
  </w:num>
  <w:num w:numId="7" w16cid:durableId="1716587199">
    <w:abstractNumId w:val="2"/>
  </w:num>
  <w:num w:numId="8" w16cid:durableId="423110107">
    <w:abstractNumId w:val="6"/>
  </w:num>
  <w:num w:numId="9" w16cid:durableId="1153910563">
    <w:abstractNumId w:val="4"/>
  </w:num>
  <w:num w:numId="10" w16cid:durableId="1842886404">
    <w:abstractNumId w:val="0"/>
  </w:num>
  <w:num w:numId="11" w16cid:durableId="860751532">
    <w:abstractNumId w:val="7"/>
  </w:num>
  <w:num w:numId="12" w16cid:durableId="1437287580">
    <w:abstractNumId w:val="0"/>
    <w:lvlOverride w:ilvl="0">
      <w:startOverride w:val="1"/>
    </w:lvlOverride>
  </w:num>
  <w:num w:numId="13" w16cid:durableId="789973572">
    <w:abstractNumId w:val="0"/>
    <w:lvlOverride w:ilvl="0">
      <w:startOverride w:val="1"/>
    </w:lvlOverride>
  </w:num>
  <w:num w:numId="14" w16cid:durableId="717970978">
    <w:abstractNumId w:val="0"/>
    <w:lvlOverride w:ilvl="0">
      <w:startOverride w:val="1"/>
    </w:lvlOverride>
  </w:num>
  <w:num w:numId="15" w16cid:durableId="923800679">
    <w:abstractNumId w:val="3"/>
  </w:num>
  <w:num w:numId="16" w16cid:durableId="770979079">
    <w:abstractNumId w:val="8"/>
    <w:lvlOverride w:ilvl="0">
      <w:startOverride w:val="1"/>
    </w:lvlOverride>
  </w:num>
  <w:num w:numId="17" w16cid:durableId="135210228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00"/>
    <w:rsid w:val="00021E22"/>
    <w:rsid w:val="00765B00"/>
    <w:rsid w:val="00C2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w:sz w:val="26"/>
        <w:szCs w:val="24"/>
        <w:lang w:val="en-US" w:eastAsia="en-US" w:bidi="en-US"/>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A45BA"/>
  </w:style>
  <w:style w:type="paragraph" w:styleId="Heading1">
    <w:name w:val="heading 1"/>
    <w:basedOn w:val="Normal"/>
    <w:next w:val="Normal"/>
    <w:link w:val="Heading1Char"/>
    <w:uiPriority w:val="9"/>
    <w:qFormat/>
    <w:rsid w:val="007354EC"/>
    <w:pPr>
      <w:keepNext/>
      <w:keepLines/>
      <w:jc w:val="center"/>
      <w:outlineLvl w:val="0"/>
    </w:pPr>
  </w:style>
  <w:style w:type="paragraph" w:styleId="Heading2">
    <w:name w:val="heading 2"/>
    <w:basedOn w:val="ListParagraph"/>
    <w:next w:val="Normal"/>
    <w:link w:val="Heading2Char"/>
    <w:uiPriority w:val="9"/>
    <w:qFormat/>
    <w:rsid w:val="00924AA7"/>
    <w:pPr>
      <w:numPr>
        <w:numId w:val="5"/>
      </w:numPr>
      <w:outlineLvl w:val="1"/>
    </w:pPr>
    <w:rPr>
      <w:i/>
      <w:iCs/>
    </w:rPr>
  </w:style>
  <w:style w:type="paragraph" w:styleId="Heading3">
    <w:name w:val="heading 3"/>
    <w:basedOn w:val="ListParagraph"/>
    <w:next w:val="Normal"/>
    <w:link w:val="Heading3Char"/>
    <w:uiPriority w:val="9"/>
    <w:qFormat/>
    <w:rsid w:val="007122E0"/>
    <w:pPr>
      <w:keepNext/>
      <w:keepLines/>
      <w:numPr>
        <w:numId w:val="10"/>
      </w:numPr>
      <w:spacing w:after="180" w:line="240" w:lineRule="auto"/>
      <w:ind w:left="1440"/>
      <w:outlineLvl w:val="2"/>
    </w:pPr>
    <w:rPr>
      <w:i/>
      <w:iCs/>
    </w:rPr>
  </w:style>
  <w:style w:type="paragraph" w:styleId="Heading6">
    <w:name w:val="heading 6"/>
    <w:basedOn w:val="Normal"/>
    <w:next w:val="Normal"/>
    <w:link w:val="Heading6Char"/>
    <w:uiPriority w:val="9"/>
    <w:semiHidden/>
    <w:unhideWhenUsed/>
    <w:qFormat/>
    <w:rsid w:val="00FA0138"/>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FA0138"/>
    <w:pPr>
      <w:spacing w:before="240" w:after="60"/>
      <w:outlineLvl w:val="6"/>
    </w:pPr>
    <w:rPr>
      <w:sz w:val="24"/>
    </w:rPr>
  </w:style>
  <w:style w:type="paragraph" w:styleId="Heading8">
    <w:name w:val="heading 8"/>
    <w:basedOn w:val="Normal"/>
    <w:next w:val="Normal"/>
    <w:link w:val="Heading8Char"/>
    <w:uiPriority w:val="9"/>
    <w:semiHidden/>
    <w:unhideWhenUsed/>
    <w:qFormat/>
    <w:rsid w:val="00FA0138"/>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FA0138"/>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4EC"/>
  </w:style>
  <w:style w:type="character" w:customStyle="1" w:styleId="Heading2Char">
    <w:name w:val="Heading 2 Char"/>
    <w:basedOn w:val="DefaultParagraphFont"/>
    <w:link w:val="Heading2"/>
    <w:uiPriority w:val="9"/>
    <w:rsid w:val="00924AA7"/>
    <w:rPr>
      <w:i/>
      <w:iCs/>
    </w:rPr>
  </w:style>
  <w:style w:type="character" w:customStyle="1" w:styleId="Heading3Char">
    <w:name w:val="Heading 3 Char"/>
    <w:basedOn w:val="DefaultParagraphFont"/>
    <w:link w:val="Heading3"/>
    <w:uiPriority w:val="9"/>
    <w:rsid w:val="007122E0"/>
    <w:rPr>
      <w:i/>
      <w:iCs/>
    </w:rPr>
  </w:style>
  <w:style w:type="character" w:customStyle="1" w:styleId="Heading6Char">
    <w:name w:val="Heading 6 Char"/>
    <w:basedOn w:val="DefaultParagraphFont"/>
    <w:link w:val="Heading6"/>
    <w:uiPriority w:val="9"/>
    <w:semiHidden/>
    <w:rsid w:val="00FA0138"/>
    <w:rPr>
      <w:b/>
      <w:bCs/>
    </w:rPr>
  </w:style>
  <w:style w:type="character" w:customStyle="1" w:styleId="Heading7Char">
    <w:name w:val="Heading 7 Char"/>
    <w:basedOn w:val="DefaultParagraphFont"/>
    <w:link w:val="Heading7"/>
    <w:uiPriority w:val="9"/>
    <w:semiHidden/>
    <w:rsid w:val="00FA0138"/>
    <w:rPr>
      <w:sz w:val="24"/>
      <w:szCs w:val="24"/>
    </w:rPr>
  </w:style>
  <w:style w:type="character" w:customStyle="1" w:styleId="Heading8Char">
    <w:name w:val="Heading 8 Char"/>
    <w:basedOn w:val="DefaultParagraphFont"/>
    <w:link w:val="Heading8"/>
    <w:uiPriority w:val="9"/>
    <w:semiHidden/>
    <w:rsid w:val="00FA0138"/>
    <w:rPr>
      <w:i/>
      <w:iCs/>
      <w:sz w:val="24"/>
      <w:szCs w:val="24"/>
    </w:rPr>
  </w:style>
  <w:style w:type="character" w:customStyle="1" w:styleId="Heading9Char">
    <w:name w:val="Heading 9 Char"/>
    <w:basedOn w:val="DefaultParagraphFont"/>
    <w:link w:val="Heading9"/>
    <w:uiPriority w:val="9"/>
    <w:semiHidden/>
    <w:rsid w:val="00FA0138"/>
    <w:rPr>
      <w:rFonts w:asciiTheme="majorHAnsi" w:eastAsiaTheme="majorEastAsia" w:hAnsiTheme="majorHAnsi"/>
    </w:rPr>
  </w:style>
  <w:style w:type="paragraph" w:styleId="Title">
    <w:name w:val="Title"/>
    <w:basedOn w:val="Normal"/>
    <w:next w:val="Normal"/>
    <w:link w:val="TitleChar"/>
    <w:uiPriority w:val="10"/>
    <w:qFormat/>
    <w:rsid w:val="00FA01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A01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A0138"/>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FA013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FA0138"/>
    <w:pPr>
      <w:outlineLvl w:val="9"/>
    </w:pPr>
  </w:style>
  <w:style w:type="paragraph" w:styleId="Header">
    <w:name w:val="header"/>
    <w:basedOn w:val="Normal"/>
    <w:link w:val="HeaderChar"/>
    <w:uiPriority w:val="99"/>
    <w:unhideWhenUsed/>
    <w:rsid w:val="0003284A"/>
    <w:pPr>
      <w:tabs>
        <w:tab w:val="center" w:pos="4680"/>
        <w:tab w:val="right" w:pos="9360"/>
      </w:tabs>
      <w:spacing w:line="240" w:lineRule="auto"/>
    </w:pPr>
  </w:style>
  <w:style w:type="character" w:customStyle="1" w:styleId="HeaderChar">
    <w:name w:val="Header Char"/>
    <w:basedOn w:val="DefaultParagraphFont"/>
    <w:link w:val="Header"/>
    <w:uiPriority w:val="99"/>
    <w:rsid w:val="0003284A"/>
    <w:rPr>
      <w:szCs w:val="24"/>
    </w:rPr>
  </w:style>
  <w:style w:type="paragraph" w:styleId="Footer">
    <w:name w:val="footer"/>
    <w:basedOn w:val="Normal"/>
    <w:link w:val="FooterChar"/>
    <w:uiPriority w:val="99"/>
    <w:unhideWhenUsed/>
    <w:rsid w:val="0003284A"/>
    <w:pPr>
      <w:tabs>
        <w:tab w:val="center" w:pos="4680"/>
        <w:tab w:val="right" w:pos="9360"/>
      </w:tabs>
      <w:spacing w:line="240" w:lineRule="auto"/>
    </w:pPr>
  </w:style>
  <w:style w:type="character" w:customStyle="1" w:styleId="FooterChar">
    <w:name w:val="Footer Char"/>
    <w:basedOn w:val="DefaultParagraphFont"/>
    <w:link w:val="Footer"/>
    <w:uiPriority w:val="99"/>
    <w:rsid w:val="0003284A"/>
    <w:rPr>
      <w:szCs w:val="24"/>
    </w:rPr>
  </w:style>
  <w:style w:type="character" w:styleId="FootnoteReference">
    <w:name w:val="footnote reference"/>
    <w:basedOn w:val="DefaultParagraphFont"/>
    <w:uiPriority w:val="99"/>
    <w:semiHidden/>
    <w:unhideWhenUsed/>
    <w:rsid w:val="009A45BA"/>
    <w:rPr>
      <w:position w:val="6"/>
      <w:vertAlign w:val="baseline"/>
    </w:rPr>
  </w:style>
  <w:style w:type="paragraph" w:styleId="FootnoteText">
    <w:name w:val="footnote text"/>
    <w:basedOn w:val="Normal"/>
    <w:link w:val="FootnoteTextChar"/>
    <w:uiPriority w:val="99"/>
    <w:semiHidden/>
    <w:unhideWhenUsed/>
    <w:rsid w:val="009A45BA"/>
    <w:pPr>
      <w:keepLines/>
      <w:spacing w:line="240" w:lineRule="auto"/>
    </w:pPr>
    <w:rPr>
      <w:szCs w:val="20"/>
    </w:rPr>
  </w:style>
  <w:style w:type="character" w:customStyle="1" w:styleId="FootnoteTextChar">
    <w:name w:val="Footnote Text Char"/>
    <w:basedOn w:val="DefaultParagraphFont"/>
    <w:link w:val="FootnoteText"/>
    <w:uiPriority w:val="99"/>
    <w:semiHidden/>
    <w:rsid w:val="009A45BA"/>
    <w:rPr>
      <w:szCs w:val="20"/>
    </w:rPr>
  </w:style>
  <w:style w:type="paragraph" w:styleId="ListParagraph">
    <w:name w:val="List Paragraph"/>
    <w:basedOn w:val="Normal"/>
    <w:uiPriority w:val="34"/>
    <w:rsid w:val="007354EC"/>
    <w:pPr>
      <w:ind w:left="720"/>
      <w:contextualSpacing/>
    </w:pPr>
  </w:style>
  <w:style w:type="paragraph" w:styleId="Caption">
    <w:name w:val="caption"/>
    <w:basedOn w:val="Normal"/>
    <w:next w:val="Normal"/>
    <w:uiPriority w:val="35"/>
    <w:unhideWhenUsed/>
    <w:rsid w:val="00A31667"/>
    <w:pPr>
      <w:spacing w:after="200" w:line="240" w:lineRule="auto"/>
    </w:pPr>
    <w:rPr>
      <w:i/>
      <w:iCs/>
      <w:color w:val="1F497D" w:themeColor="text2"/>
      <w:sz w:val="18"/>
      <w:szCs w:val="18"/>
    </w:rPr>
  </w:style>
  <w:style w:type="paragraph" w:styleId="Revision">
    <w:name w:val="Revision"/>
    <w:hidden/>
    <w:uiPriority w:val="99"/>
    <w:semiHidden/>
    <w:rsid w:val="00235E6B"/>
    <w:pPr>
      <w:spacing w:line="240" w:lineRule="auto"/>
    </w:pPr>
  </w:style>
  <w:style w:type="character" w:styleId="CommentReference">
    <w:name w:val="annotation reference"/>
    <w:basedOn w:val="DefaultParagraphFont"/>
    <w:uiPriority w:val="99"/>
    <w:semiHidden/>
    <w:unhideWhenUsed/>
    <w:rsid w:val="00262FA6"/>
    <w:rPr>
      <w:sz w:val="16"/>
      <w:szCs w:val="16"/>
    </w:rPr>
  </w:style>
  <w:style w:type="paragraph" w:styleId="CommentText">
    <w:name w:val="annotation text"/>
    <w:basedOn w:val="Normal"/>
    <w:link w:val="CommentTextChar"/>
    <w:uiPriority w:val="99"/>
    <w:semiHidden/>
    <w:unhideWhenUsed/>
    <w:rsid w:val="00262FA6"/>
    <w:pPr>
      <w:spacing w:line="240" w:lineRule="auto"/>
    </w:pPr>
    <w:rPr>
      <w:sz w:val="20"/>
      <w:szCs w:val="20"/>
    </w:rPr>
  </w:style>
  <w:style w:type="character" w:customStyle="1" w:styleId="CommentTextChar">
    <w:name w:val="Comment Text Char"/>
    <w:basedOn w:val="DefaultParagraphFont"/>
    <w:link w:val="CommentText"/>
    <w:uiPriority w:val="99"/>
    <w:semiHidden/>
    <w:rsid w:val="00262FA6"/>
    <w:rPr>
      <w:sz w:val="20"/>
      <w:szCs w:val="20"/>
    </w:rPr>
  </w:style>
  <w:style w:type="paragraph" w:styleId="CommentSubject">
    <w:name w:val="annotation subject"/>
    <w:basedOn w:val="CommentText"/>
    <w:next w:val="CommentText"/>
    <w:link w:val="CommentSubjectChar"/>
    <w:uiPriority w:val="99"/>
    <w:semiHidden/>
    <w:unhideWhenUsed/>
    <w:rsid w:val="00262FA6"/>
    <w:rPr>
      <w:b/>
      <w:bCs/>
    </w:rPr>
  </w:style>
  <w:style w:type="character" w:customStyle="1" w:styleId="CommentSubjectChar">
    <w:name w:val="Comment Subject Char"/>
    <w:basedOn w:val="CommentTextChar"/>
    <w:link w:val="CommentSubject"/>
    <w:uiPriority w:val="99"/>
    <w:semiHidden/>
    <w:rsid w:val="00262F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9046</Words>
  <Characters>47455</Characters>
  <Application>Microsoft Office Word</Application>
  <DocSecurity>0</DocSecurity>
  <Lines>842</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2023-02-23T18:11:00Z</dcterms:created>
  <dcterms:modified xsi:type="dcterms:W3CDTF">2023-02-23T18:11:00Z</dcterms:modified>
  <cp:category/>
</cp:coreProperties>
</file>