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839C8" w14:textId="6AA40EA5" w:rsidR="00A14B19" w:rsidRPr="001B6964" w:rsidRDefault="004A0F72" w:rsidP="004A0F72">
      <w:pPr>
        <w:spacing w:line="240" w:lineRule="auto"/>
        <w:rPr>
          <w:sz w:val="20"/>
        </w:rPr>
      </w:pPr>
      <w:r w:rsidRPr="001B6964">
        <w:rPr>
          <w:sz w:val="20"/>
        </w:rPr>
        <w:t>Filed 2/24/23</w:t>
      </w:r>
    </w:p>
    <w:p w14:paraId="53DD7E15" w14:textId="358BA447" w:rsidR="00253F34" w:rsidRPr="000F51D7" w:rsidRDefault="00A14B19" w:rsidP="0046027A">
      <w:pPr>
        <w:spacing w:after="120" w:line="240" w:lineRule="auto"/>
        <w:jc w:val="center"/>
      </w:pPr>
      <w:r>
        <w:t>CERTIFIED FOR PUBLICATION</w:t>
      </w:r>
    </w:p>
    <w:p w14:paraId="7F7870FC" w14:textId="194B876E" w:rsidR="008E4151" w:rsidRPr="000F51D7" w:rsidRDefault="008E4151" w:rsidP="008E4151">
      <w:pPr>
        <w:spacing w:line="240" w:lineRule="auto"/>
      </w:pPr>
    </w:p>
    <w:p w14:paraId="1747CD6E" w14:textId="13680F79" w:rsidR="008E4151" w:rsidRPr="000F51D7" w:rsidRDefault="008E4151" w:rsidP="008E4151">
      <w:pPr>
        <w:spacing w:line="240" w:lineRule="auto"/>
        <w:jc w:val="center"/>
      </w:pPr>
      <w:r w:rsidRPr="000F51D7">
        <w:t>COURT OF APPEAL, FOURTH APPELLATE DISTRICT</w:t>
      </w:r>
    </w:p>
    <w:p w14:paraId="1C836B5C" w14:textId="10E654A1" w:rsidR="008E4151" w:rsidRPr="000F51D7" w:rsidRDefault="008E4151" w:rsidP="008E4151">
      <w:pPr>
        <w:spacing w:line="240" w:lineRule="auto"/>
        <w:jc w:val="center"/>
      </w:pPr>
    </w:p>
    <w:p w14:paraId="241EAD4B" w14:textId="5AF0F7FB" w:rsidR="008E4151" w:rsidRPr="000F51D7" w:rsidRDefault="008E4151" w:rsidP="008E4151">
      <w:pPr>
        <w:spacing w:line="240" w:lineRule="auto"/>
        <w:jc w:val="center"/>
      </w:pPr>
      <w:r w:rsidRPr="000F51D7">
        <w:t>DIVISION ONE</w:t>
      </w:r>
    </w:p>
    <w:p w14:paraId="205701C3" w14:textId="6FE642E4" w:rsidR="008E4151" w:rsidRPr="000F51D7" w:rsidRDefault="008E4151" w:rsidP="008E4151">
      <w:pPr>
        <w:spacing w:line="240" w:lineRule="auto"/>
        <w:jc w:val="center"/>
      </w:pPr>
    </w:p>
    <w:p w14:paraId="1359C3BA" w14:textId="74622542" w:rsidR="008E4151" w:rsidRPr="000F51D7" w:rsidRDefault="008E4151" w:rsidP="008E4151">
      <w:pPr>
        <w:spacing w:line="240" w:lineRule="auto"/>
        <w:jc w:val="center"/>
      </w:pPr>
      <w:r w:rsidRPr="000F51D7">
        <w:t>STATE OF CALIFORNIA</w:t>
      </w:r>
    </w:p>
    <w:p w14:paraId="743C4BBC" w14:textId="483267C1" w:rsidR="008E4151" w:rsidRPr="000F51D7" w:rsidRDefault="008E4151" w:rsidP="008E4151">
      <w:pPr>
        <w:spacing w:line="240" w:lineRule="auto"/>
        <w:jc w:val="center"/>
      </w:pPr>
    </w:p>
    <w:p w14:paraId="50C325B6" w14:textId="698AA5B6" w:rsidR="008E4151" w:rsidRPr="000F51D7" w:rsidRDefault="008E4151" w:rsidP="008E4151">
      <w:pPr>
        <w:spacing w:line="240" w:lineRule="auto"/>
        <w:jc w:val="center"/>
      </w:pPr>
    </w:p>
    <w:p w14:paraId="070414DB" w14:textId="42A0D1F3" w:rsidR="008E4151" w:rsidRPr="000F51D7" w:rsidRDefault="008E4151" w:rsidP="008E4151">
      <w:pPr>
        <w:spacing w:line="240" w:lineRule="auto"/>
        <w:jc w:val="center"/>
      </w:pPr>
    </w:p>
    <w:tbl>
      <w:tblPr>
        <w:tblW w:w="10170" w:type="dxa"/>
        <w:tblLayout w:type="fixed"/>
        <w:tblLook w:val="0000" w:firstRow="0" w:lastRow="0" w:firstColumn="0" w:lastColumn="0" w:noHBand="0" w:noVBand="0"/>
      </w:tblPr>
      <w:tblGrid>
        <w:gridCol w:w="5040"/>
        <w:gridCol w:w="5130"/>
      </w:tblGrid>
      <w:tr w:rsidR="008E4151" w:rsidRPr="000F51D7" w14:paraId="25304C82" w14:textId="77777777" w:rsidTr="00D25D63">
        <w:tc>
          <w:tcPr>
            <w:tcW w:w="5040" w:type="dxa"/>
            <w:tcBorders>
              <w:bottom w:val="single" w:sz="4" w:space="0" w:color="auto"/>
              <w:right w:val="single" w:sz="4" w:space="0" w:color="auto"/>
            </w:tcBorders>
            <w:shd w:val="clear" w:color="auto" w:fill="auto"/>
          </w:tcPr>
          <w:p w14:paraId="444CE2A5" w14:textId="77777777" w:rsidR="008E4151" w:rsidRPr="000F51D7" w:rsidRDefault="008E4151" w:rsidP="008E4151">
            <w:pPr>
              <w:spacing w:line="240" w:lineRule="auto"/>
            </w:pPr>
            <w:r w:rsidRPr="000F51D7">
              <w:t>BEST REST MOTEL, INC.,</w:t>
            </w:r>
          </w:p>
          <w:p w14:paraId="0C538969" w14:textId="77777777" w:rsidR="008E4151" w:rsidRPr="000F51D7" w:rsidRDefault="008E4151" w:rsidP="008E4151">
            <w:pPr>
              <w:spacing w:line="240" w:lineRule="auto"/>
            </w:pPr>
          </w:p>
          <w:p w14:paraId="3F617F6D" w14:textId="77777777" w:rsidR="006243A5" w:rsidRPr="000F51D7" w:rsidRDefault="008E4151" w:rsidP="008E4151">
            <w:pPr>
              <w:spacing w:line="240" w:lineRule="auto"/>
            </w:pPr>
            <w:r w:rsidRPr="000F51D7">
              <w:tab/>
              <w:t>Plaintiff, Cross-defendant and</w:t>
            </w:r>
          </w:p>
          <w:p w14:paraId="1B151CB7" w14:textId="1A625D01" w:rsidR="008E4151" w:rsidRPr="000F51D7" w:rsidRDefault="008E4151" w:rsidP="008E4151">
            <w:pPr>
              <w:spacing w:line="240" w:lineRule="auto"/>
            </w:pPr>
            <w:r w:rsidRPr="000F51D7">
              <w:t xml:space="preserve"> </w:t>
            </w:r>
            <w:r w:rsidR="006243A5" w:rsidRPr="000F51D7">
              <w:tab/>
            </w:r>
            <w:r w:rsidRPr="000F51D7">
              <w:t>Appellant,</w:t>
            </w:r>
          </w:p>
          <w:p w14:paraId="2AFCA369" w14:textId="77777777" w:rsidR="008E4151" w:rsidRPr="000F51D7" w:rsidRDefault="008E4151" w:rsidP="008E4151">
            <w:pPr>
              <w:spacing w:line="240" w:lineRule="auto"/>
            </w:pPr>
          </w:p>
          <w:p w14:paraId="57E8A7E5" w14:textId="77777777" w:rsidR="008E4151" w:rsidRPr="000F51D7" w:rsidRDefault="008E4151" w:rsidP="008E4151">
            <w:pPr>
              <w:spacing w:line="240" w:lineRule="auto"/>
            </w:pPr>
            <w:r w:rsidRPr="000F51D7">
              <w:tab/>
              <w:t>v.</w:t>
            </w:r>
          </w:p>
          <w:p w14:paraId="5D0A4844" w14:textId="77777777" w:rsidR="008E4151" w:rsidRPr="000F51D7" w:rsidRDefault="008E4151" w:rsidP="008E4151">
            <w:pPr>
              <w:spacing w:line="240" w:lineRule="auto"/>
            </w:pPr>
          </w:p>
          <w:p w14:paraId="0C883EFF" w14:textId="77777777" w:rsidR="008E4151" w:rsidRPr="000F51D7" w:rsidRDefault="008E4151" w:rsidP="008E4151">
            <w:pPr>
              <w:spacing w:line="240" w:lineRule="auto"/>
            </w:pPr>
            <w:r w:rsidRPr="000F51D7">
              <w:t>SEQUOIA INSURANCE COMPANY,</w:t>
            </w:r>
          </w:p>
          <w:p w14:paraId="3B9A683B" w14:textId="77777777" w:rsidR="008E4151" w:rsidRPr="000F51D7" w:rsidRDefault="008E4151" w:rsidP="008E4151">
            <w:pPr>
              <w:spacing w:line="240" w:lineRule="auto"/>
            </w:pPr>
          </w:p>
          <w:p w14:paraId="123C4966" w14:textId="77777777" w:rsidR="006243A5" w:rsidRPr="000F51D7" w:rsidRDefault="008E4151" w:rsidP="008E4151">
            <w:pPr>
              <w:spacing w:line="240" w:lineRule="auto"/>
            </w:pPr>
            <w:r w:rsidRPr="000F51D7">
              <w:tab/>
              <w:t xml:space="preserve">Defendant, Cross-complainant </w:t>
            </w:r>
          </w:p>
          <w:p w14:paraId="403571AA" w14:textId="2DD88461" w:rsidR="008E4151" w:rsidRPr="000F51D7" w:rsidRDefault="006243A5" w:rsidP="008E4151">
            <w:pPr>
              <w:spacing w:line="240" w:lineRule="auto"/>
            </w:pPr>
            <w:r w:rsidRPr="000F51D7">
              <w:tab/>
            </w:r>
            <w:r w:rsidR="008E4151" w:rsidRPr="000F51D7">
              <w:t>and Respondent.</w:t>
            </w:r>
          </w:p>
          <w:p w14:paraId="48DF2AF5" w14:textId="0D95A05B" w:rsidR="008E4151" w:rsidRPr="000F51D7" w:rsidRDefault="008E4151" w:rsidP="008E4151">
            <w:pPr>
              <w:spacing w:line="240" w:lineRule="auto"/>
            </w:pPr>
          </w:p>
        </w:tc>
        <w:tc>
          <w:tcPr>
            <w:tcW w:w="5130" w:type="dxa"/>
            <w:tcBorders>
              <w:left w:val="single" w:sz="4" w:space="0" w:color="auto"/>
            </w:tcBorders>
            <w:shd w:val="clear" w:color="auto" w:fill="auto"/>
          </w:tcPr>
          <w:p w14:paraId="245E3719" w14:textId="77777777" w:rsidR="008E4151" w:rsidRPr="000F51D7" w:rsidRDefault="008E4151" w:rsidP="008E4151">
            <w:pPr>
              <w:tabs>
                <w:tab w:val="left" w:pos="144"/>
              </w:tabs>
              <w:spacing w:line="240" w:lineRule="auto"/>
            </w:pPr>
            <w:r w:rsidRPr="000F51D7">
              <w:t xml:space="preserve">  D079927</w:t>
            </w:r>
          </w:p>
          <w:p w14:paraId="0A0E50EC" w14:textId="77777777" w:rsidR="008E4151" w:rsidRPr="000F51D7" w:rsidRDefault="008E4151" w:rsidP="008E4151">
            <w:pPr>
              <w:tabs>
                <w:tab w:val="left" w:pos="144"/>
              </w:tabs>
              <w:spacing w:line="240" w:lineRule="auto"/>
            </w:pPr>
          </w:p>
          <w:p w14:paraId="446C45A4" w14:textId="77777777" w:rsidR="008E4151" w:rsidRPr="000F51D7" w:rsidRDefault="008E4151" w:rsidP="008E4151">
            <w:pPr>
              <w:tabs>
                <w:tab w:val="left" w:pos="144"/>
              </w:tabs>
              <w:spacing w:line="240" w:lineRule="auto"/>
            </w:pPr>
          </w:p>
          <w:p w14:paraId="2B6EA2AC" w14:textId="77777777" w:rsidR="008E4151" w:rsidRPr="000F51D7" w:rsidRDefault="008E4151" w:rsidP="008E4151">
            <w:pPr>
              <w:tabs>
                <w:tab w:val="left" w:pos="144"/>
              </w:tabs>
              <w:spacing w:line="240" w:lineRule="auto"/>
            </w:pPr>
          </w:p>
          <w:p w14:paraId="4B2D82B2" w14:textId="77777777" w:rsidR="00FE7544" w:rsidRPr="000F51D7" w:rsidRDefault="008E4151" w:rsidP="008E4151">
            <w:pPr>
              <w:tabs>
                <w:tab w:val="left" w:pos="144"/>
              </w:tabs>
              <w:spacing w:line="240" w:lineRule="auto"/>
            </w:pPr>
            <w:r w:rsidRPr="000F51D7">
              <w:t xml:space="preserve"> </w:t>
            </w:r>
          </w:p>
          <w:p w14:paraId="70E359D4" w14:textId="70A6D45A" w:rsidR="00D25D63" w:rsidRPr="000F51D7" w:rsidRDefault="008E4151" w:rsidP="008E4151">
            <w:pPr>
              <w:tabs>
                <w:tab w:val="left" w:pos="144"/>
              </w:tabs>
              <w:spacing w:line="240" w:lineRule="auto"/>
            </w:pPr>
            <w:r w:rsidRPr="000F51D7">
              <w:t xml:space="preserve"> (Super. Ct. No. 37-2020-00015679-</w:t>
            </w:r>
          </w:p>
          <w:p w14:paraId="7FD2E74A" w14:textId="533F6381" w:rsidR="008E4151" w:rsidRPr="000F51D7" w:rsidRDefault="00D25D63" w:rsidP="008E4151">
            <w:pPr>
              <w:tabs>
                <w:tab w:val="left" w:pos="144"/>
              </w:tabs>
              <w:spacing w:line="240" w:lineRule="auto"/>
            </w:pPr>
            <w:r w:rsidRPr="000F51D7">
              <w:t xml:space="preserve"> </w:t>
            </w:r>
            <w:r w:rsidR="008E4151" w:rsidRPr="000F51D7">
              <w:t>CU-IC-CTL)</w:t>
            </w:r>
          </w:p>
          <w:p w14:paraId="347FC834" w14:textId="5498AA87" w:rsidR="008E4151" w:rsidRPr="000F51D7" w:rsidRDefault="008E4151" w:rsidP="008E4151">
            <w:pPr>
              <w:tabs>
                <w:tab w:val="left" w:pos="144"/>
              </w:tabs>
              <w:spacing w:line="240" w:lineRule="auto"/>
            </w:pPr>
          </w:p>
        </w:tc>
      </w:tr>
    </w:tbl>
    <w:p w14:paraId="2EA3408E" w14:textId="58FFF173" w:rsidR="008E4151" w:rsidRPr="000F51D7" w:rsidRDefault="008E4151" w:rsidP="008E4151">
      <w:pPr>
        <w:spacing w:line="240" w:lineRule="auto"/>
      </w:pPr>
    </w:p>
    <w:p w14:paraId="6DDEB472" w14:textId="029CA797" w:rsidR="008E4151" w:rsidRPr="000F51D7" w:rsidRDefault="008E4151" w:rsidP="008E4151">
      <w:r w:rsidRPr="000F51D7">
        <w:tab/>
        <w:t xml:space="preserve">APPEAL from a judgment of the Superior Court of San Diego County, </w:t>
      </w:r>
      <w:r w:rsidR="00297B7A" w:rsidRPr="000F51D7">
        <w:t>Eddie C. Sturgeon</w:t>
      </w:r>
      <w:r w:rsidRPr="000F51D7">
        <w:t>, Judge.  Affirmed.</w:t>
      </w:r>
    </w:p>
    <w:p w14:paraId="4ED604E0" w14:textId="466187C3" w:rsidR="00BD2617" w:rsidRPr="000F51D7" w:rsidRDefault="00FE7544" w:rsidP="008E4151">
      <w:r w:rsidRPr="000F51D7">
        <w:tab/>
        <w:t>LiMandri &amp; Jonna, Charles S. LiMandri, Paul M. Jonna, Milan L. Brandon II for Plaintiff, Cross-defendant and Appellant.</w:t>
      </w:r>
    </w:p>
    <w:p w14:paraId="231D7E02" w14:textId="77777777" w:rsidR="004D4E41" w:rsidRPr="000F51D7" w:rsidRDefault="00FE7544" w:rsidP="004D4E41">
      <w:r w:rsidRPr="000F51D7">
        <w:tab/>
      </w:r>
      <w:r w:rsidR="000B4823" w:rsidRPr="000F51D7">
        <w:t>Nicolaides Fink Thorpe Michaelides Sullivan, Sara M. Thorpe, Timothy P. Kitt, and Kimberly A. Hartman for Defendant, Cross-complainant and Respondent.</w:t>
      </w:r>
    </w:p>
    <w:p w14:paraId="5ED323F1" w14:textId="3BBED5D1" w:rsidR="000B4823" w:rsidRPr="000F51D7" w:rsidRDefault="000B4823" w:rsidP="004D4E41">
      <w:r w:rsidRPr="000F51D7">
        <w:tab/>
      </w:r>
      <w:r w:rsidR="0013386C" w:rsidRPr="000F51D7">
        <w:t>Latham &amp; Watkins, John M. Wilson, Brook B. Roberts, Christine G. Rolph, Steven Lesan, Corey McGehee and Erin Hallagan for Amici Curiae San Manuel Band of Mission Indians and San Manuel Entertainment Authority</w:t>
      </w:r>
      <w:r w:rsidR="00C37729" w:rsidRPr="000F51D7">
        <w:t xml:space="preserve"> on behalf of Plaintiff, Cross-defendant and Appellant</w:t>
      </w:r>
      <w:r w:rsidR="0013386C" w:rsidRPr="000F51D7">
        <w:t>.</w:t>
      </w:r>
    </w:p>
    <w:p w14:paraId="5A867862" w14:textId="5D563DB7" w:rsidR="0013386C" w:rsidRPr="000F51D7" w:rsidRDefault="00D076CB" w:rsidP="0013386C">
      <w:pPr>
        <w:keepNext/>
        <w:keepLines/>
      </w:pPr>
      <w:r w:rsidRPr="000F51D7">
        <w:lastRenderedPageBreak/>
        <w:tab/>
        <w:t>Covington &amp; Burling, Rani Gupta and David B. Goodwin for Amicus Curiae United Policyholders</w:t>
      </w:r>
      <w:r w:rsidR="00C37729" w:rsidRPr="000F51D7">
        <w:t xml:space="preserve"> </w:t>
      </w:r>
      <w:r w:rsidR="00FC5365">
        <w:t xml:space="preserve">for </w:t>
      </w:r>
      <w:r w:rsidR="00C37729" w:rsidRPr="000F51D7">
        <w:t>Defendant, Cross-complainant and Respondent</w:t>
      </w:r>
      <w:r w:rsidRPr="000F51D7">
        <w:t>.</w:t>
      </w:r>
    </w:p>
    <w:p w14:paraId="2F35075B" w14:textId="508A7A1C" w:rsidR="00D076CB" w:rsidRPr="000F51D7" w:rsidRDefault="00D076CB" w:rsidP="0013386C">
      <w:pPr>
        <w:keepNext/>
        <w:keepLines/>
      </w:pPr>
      <w:r w:rsidRPr="000F51D7">
        <w:tab/>
      </w:r>
      <w:r w:rsidR="007F7B65" w:rsidRPr="000F51D7">
        <w:t>Crowell &amp; Moring and Mark D. Plevin for Amicus Curiae American Property Casualty Insurance Association</w:t>
      </w:r>
      <w:r w:rsidR="00C37729" w:rsidRPr="000F51D7">
        <w:t xml:space="preserve"> Policyholders </w:t>
      </w:r>
      <w:r w:rsidR="00FC5365">
        <w:t xml:space="preserve">for </w:t>
      </w:r>
      <w:r w:rsidR="00C37729" w:rsidRPr="000F51D7">
        <w:t>Defendant, Cross-complainant and Respondent</w:t>
      </w:r>
      <w:r w:rsidR="007F7B65" w:rsidRPr="000F51D7">
        <w:t>.</w:t>
      </w:r>
    </w:p>
    <w:p w14:paraId="3D7E0217" w14:textId="77777777" w:rsidR="00BD2617" w:rsidRPr="000F51D7" w:rsidRDefault="00BD2617" w:rsidP="008E4151"/>
    <w:p w14:paraId="7534BDEC" w14:textId="03DB03E3" w:rsidR="00FD4584" w:rsidRPr="000F51D7" w:rsidRDefault="00297B7A" w:rsidP="00FD4584">
      <w:r w:rsidRPr="000F51D7">
        <w:tab/>
        <w:t xml:space="preserve">This </w:t>
      </w:r>
      <w:r w:rsidR="00E11D40" w:rsidRPr="000F51D7">
        <w:t xml:space="preserve">appeal from a summary judgment in favor of Sequoia Insurance Company (Sequoia) </w:t>
      </w:r>
      <w:r w:rsidRPr="000F51D7">
        <w:t xml:space="preserve">is </w:t>
      </w:r>
      <w:r w:rsidR="00E11D40" w:rsidRPr="000F51D7">
        <w:t xml:space="preserve">one of thousands of cases </w:t>
      </w:r>
      <w:r w:rsidR="0070440F" w:rsidRPr="000F51D7">
        <w:t xml:space="preserve">nationwide </w:t>
      </w:r>
      <w:r w:rsidRPr="000F51D7">
        <w:t xml:space="preserve">involving a claim for business interruption </w:t>
      </w:r>
      <w:r w:rsidR="003F6917" w:rsidRPr="000F51D7">
        <w:t>coverage</w:t>
      </w:r>
      <w:r w:rsidRPr="000F51D7">
        <w:t xml:space="preserve"> arising out of the COVID-19 pandemic.</w:t>
      </w:r>
      <w:r w:rsidR="00FD4584" w:rsidRPr="000F51D7">
        <w:t xml:space="preserve">  The outcome </w:t>
      </w:r>
      <w:r w:rsidR="00E11D40" w:rsidRPr="000F51D7">
        <w:t xml:space="preserve">here </w:t>
      </w:r>
      <w:r w:rsidR="00FD4584" w:rsidRPr="000F51D7">
        <w:t xml:space="preserve">turns on </w:t>
      </w:r>
      <w:r w:rsidR="00E11D40" w:rsidRPr="000F51D7">
        <w:t xml:space="preserve">whether there is evidence creating a triable issue that </w:t>
      </w:r>
      <w:r w:rsidR="00CA54E0" w:rsidRPr="000F51D7">
        <w:t>the insured, Best Rest Motel, Inc. (Best Rest)</w:t>
      </w:r>
      <w:r w:rsidR="007F73CB" w:rsidRPr="000F51D7">
        <w:t xml:space="preserve">, </w:t>
      </w:r>
      <w:r w:rsidR="008B021E" w:rsidRPr="000F51D7">
        <w:t xml:space="preserve">sustained </w:t>
      </w:r>
      <w:r w:rsidR="007F73CB" w:rsidRPr="000F51D7">
        <w:t xml:space="preserve">lost business income </w:t>
      </w:r>
      <w:r w:rsidR="008B021E" w:rsidRPr="000F51D7">
        <w:t>“due to the necessary ‘suspension</w:t>
      </w:r>
      <w:r w:rsidR="009E745A" w:rsidRPr="000F51D7">
        <w:t xml:space="preserve">’ </w:t>
      </w:r>
      <w:r w:rsidR="008B021E" w:rsidRPr="000F51D7">
        <w:t>” of its operations “caused by direct physical loss of or damage</w:t>
      </w:r>
      <w:r w:rsidR="00536AE9" w:rsidRPr="000F51D7">
        <w:t>”</w:t>
      </w:r>
      <w:r w:rsidR="008B021E" w:rsidRPr="000F51D7">
        <w:t xml:space="preserve"> to the insured property. </w:t>
      </w:r>
    </w:p>
    <w:p w14:paraId="0909488F" w14:textId="285D628A" w:rsidR="009E745A" w:rsidRPr="000F51D7" w:rsidRDefault="006B70FC" w:rsidP="00FD4584">
      <w:pPr>
        <w:rPr>
          <w:lang w:bidi="en-US"/>
        </w:rPr>
      </w:pPr>
      <w:r w:rsidRPr="000F51D7">
        <w:tab/>
      </w:r>
      <w:r w:rsidR="007F73CB" w:rsidRPr="000F51D7">
        <w:t xml:space="preserve">In </w:t>
      </w:r>
      <w:r w:rsidR="007F73CB" w:rsidRPr="000F51D7">
        <w:rPr>
          <w:i/>
          <w:iCs/>
        </w:rPr>
        <w:t>Inns-by-the-Sea</w:t>
      </w:r>
      <w:r w:rsidR="009405BF" w:rsidRPr="000F51D7">
        <w:rPr>
          <w:i/>
          <w:iCs/>
        </w:rPr>
        <w:t xml:space="preserve"> </w:t>
      </w:r>
      <w:r w:rsidR="009405BF" w:rsidRPr="000F51D7">
        <w:rPr>
          <w:i/>
          <w:iCs/>
          <w:lang w:bidi="en-US"/>
        </w:rPr>
        <w:t>v. California Mut. Ins. Co.</w:t>
      </w:r>
      <w:r w:rsidR="009405BF" w:rsidRPr="000F51D7">
        <w:rPr>
          <w:lang w:bidi="en-US"/>
        </w:rPr>
        <w:t xml:space="preserve"> (2021) 71 Cal.App.5th 688 (</w:t>
      </w:r>
      <w:r w:rsidR="009405BF" w:rsidRPr="000F51D7">
        <w:rPr>
          <w:i/>
          <w:iCs/>
          <w:lang w:bidi="en-US"/>
        </w:rPr>
        <w:t>Inns</w:t>
      </w:r>
      <w:r w:rsidR="009405BF" w:rsidRPr="000F51D7">
        <w:rPr>
          <w:lang w:bidi="en-US"/>
        </w:rPr>
        <w:t xml:space="preserve">), this court </w:t>
      </w:r>
      <w:r w:rsidR="009E745A" w:rsidRPr="000F51D7">
        <w:rPr>
          <w:lang w:bidi="en-US"/>
        </w:rPr>
        <w:t xml:space="preserve">confronted the same </w:t>
      </w:r>
      <w:r w:rsidR="00CC71BF" w:rsidRPr="000F51D7">
        <w:rPr>
          <w:lang w:bidi="en-US"/>
        </w:rPr>
        <w:t>legal</w:t>
      </w:r>
      <w:r w:rsidR="009E745A" w:rsidRPr="000F51D7">
        <w:rPr>
          <w:lang w:bidi="en-US"/>
        </w:rPr>
        <w:t xml:space="preserve"> issue</w:t>
      </w:r>
      <w:r w:rsidR="00CC71BF" w:rsidRPr="000F51D7">
        <w:rPr>
          <w:lang w:bidi="en-US"/>
        </w:rPr>
        <w:t xml:space="preserve"> and </w:t>
      </w:r>
      <w:r w:rsidR="009E745A" w:rsidRPr="000F51D7">
        <w:rPr>
          <w:lang w:bidi="en-US"/>
        </w:rPr>
        <w:t>policy language</w:t>
      </w:r>
      <w:r w:rsidR="00CC71BF" w:rsidRPr="000F51D7">
        <w:rPr>
          <w:lang w:bidi="en-US"/>
        </w:rPr>
        <w:t xml:space="preserve">, </w:t>
      </w:r>
      <w:r w:rsidR="009E745A" w:rsidRPr="000F51D7">
        <w:rPr>
          <w:lang w:bidi="en-US"/>
        </w:rPr>
        <w:t xml:space="preserve">albeit in a different procedural context (a demurrer).  In that case, we held </w:t>
      </w:r>
      <w:r w:rsidR="004B7BB0" w:rsidRPr="000F51D7">
        <w:rPr>
          <w:lang w:bidi="en-US"/>
        </w:rPr>
        <w:t>th</w:t>
      </w:r>
      <w:r w:rsidR="00CC71BF" w:rsidRPr="000F51D7">
        <w:rPr>
          <w:lang w:bidi="en-US"/>
        </w:rPr>
        <w:t xml:space="preserve">ere was no coverage where the complaint alleged </w:t>
      </w:r>
      <w:r w:rsidR="009405BF" w:rsidRPr="000F51D7">
        <w:rPr>
          <w:lang w:bidi="en-US"/>
        </w:rPr>
        <w:t xml:space="preserve">that </w:t>
      </w:r>
      <w:bookmarkStart w:id="0" w:name="dabmq_0"/>
      <w:r w:rsidR="009405BF" w:rsidRPr="000F51D7">
        <w:rPr>
          <w:lang w:bidi="en-US"/>
        </w:rPr>
        <w:t>“COVID-19 strains physically infect and can stay alive on surfaces for extended periods”</w:t>
      </w:r>
      <w:bookmarkEnd w:id="0"/>
      <w:r w:rsidR="009405BF" w:rsidRPr="000F51D7">
        <w:rPr>
          <w:lang w:bidi="en-US"/>
        </w:rPr>
        <w:t xml:space="preserve"> and </w:t>
      </w:r>
      <w:r w:rsidR="0050572B" w:rsidRPr="000F51D7">
        <w:rPr>
          <w:lang w:bidi="en-US"/>
        </w:rPr>
        <w:t>government</w:t>
      </w:r>
      <w:r w:rsidR="009405BF" w:rsidRPr="000F51D7">
        <w:rPr>
          <w:lang w:bidi="en-US"/>
        </w:rPr>
        <w:t xml:space="preserve"> </w:t>
      </w:r>
      <w:r w:rsidR="0050572B" w:rsidRPr="000F51D7">
        <w:rPr>
          <w:lang w:bidi="en-US"/>
        </w:rPr>
        <w:t>shut-down</w:t>
      </w:r>
      <w:r w:rsidR="009405BF" w:rsidRPr="000F51D7">
        <w:rPr>
          <w:lang w:bidi="en-US"/>
        </w:rPr>
        <w:t xml:space="preserve"> orders required the insured to cease operations.  (</w:t>
      </w:r>
      <w:bookmarkStart w:id="1" w:name="dabmci_ab7d2640cbab48fa93d74f99d8ada96f"/>
      <w:r w:rsidR="009405BF" w:rsidRPr="000F51D7">
        <w:rPr>
          <w:i/>
          <w:iCs/>
          <w:lang w:bidi="en-US"/>
        </w:rPr>
        <w:t>Id</w:t>
      </w:r>
      <w:r w:rsidR="009405BF" w:rsidRPr="000F51D7">
        <w:rPr>
          <w:lang w:bidi="en-US"/>
        </w:rPr>
        <w:t>.</w:t>
      </w:r>
      <w:r w:rsidR="007C7A31">
        <w:rPr>
          <w:lang w:bidi="en-US"/>
        </w:rPr>
        <w:t> </w:t>
      </w:r>
      <w:r w:rsidR="009405BF" w:rsidRPr="000F51D7">
        <w:rPr>
          <w:lang w:bidi="en-US"/>
        </w:rPr>
        <w:t>at pp. 692, 693</w:t>
      </w:r>
      <w:r w:rsidR="00266DE2" w:rsidRPr="000F51D7">
        <w:rPr>
          <w:rFonts w:ascii="Times New Roman" w:hAnsi="Times New Roman" w:cs="Times New Roman"/>
          <w:lang w:bidi="en-US"/>
        </w:rPr>
        <w:t>‒</w:t>
      </w:r>
      <w:r w:rsidR="009405BF" w:rsidRPr="000F51D7">
        <w:rPr>
          <w:lang w:bidi="en-US"/>
        </w:rPr>
        <w:t>694</w:t>
      </w:r>
      <w:bookmarkEnd w:id="1"/>
      <w:r w:rsidR="009405BF" w:rsidRPr="000F51D7">
        <w:rPr>
          <w:lang w:bidi="en-US"/>
        </w:rPr>
        <w:t xml:space="preserve">.)  </w:t>
      </w:r>
    </w:p>
    <w:p w14:paraId="16326DF5" w14:textId="66EA34EF" w:rsidR="0050572B" w:rsidRPr="000F51D7" w:rsidRDefault="009E745A" w:rsidP="000D2C08">
      <w:pPr>
        <w:rPr>
          <w:lang w:bidi="en-US"/>
        </w:rPr>
      </w:pPr>
      <w:r w:rsidRPr="000F51D7">
        <w:rPr>
          <w:lang w:bidi="en-US"/>
        </w:rPr>
        <w:tab/>
        <w:t xml:space="preserve">Although </w:t>
      </w:r>
      <w:r w:rsidRPr="000F51D7">
        <w:rPr>
          <w:i/>
          <w:iCs/>
          <w:lang w:bidi="en-US"/>
        </w:rPr>
        <w:t xml:space="preserve">Inns </w:t>
      </w:r>
      <w:r w:rsidRPr="000F51D7">
        <w:rPr>
          <w:lang w:bidi="en-US"/>
        </w:rPr>
        <w:t>might thus seem to undermine if not entirely foreclose Best Rest’s case</w:t>
      </w:r>
      <w:r w:rsidR="00E62578" w:rsidRPr="000F51D7">
        <w:rPr>
          <w:lang w:bidi="en-US"/>
        </w:rPr>
        <w:t xml:space="preserve">, we limited our holding by </w:t>
      </w:r>
      <w:r w:rsidR="00DA26BA" w:rsidRPr="000F51D7">
        <w:rPr>
          <w:lang w:bidi="en-US"/>
        </w:rPr>
        <w:t>positing</w:t>
      </w:r>
      <w:r w:rsidR="00E62578" w:rsidRPr="000F51D7">
        <w:rPr>
          <w:lang w:bidi="en-US"/>
        </w:rPr>
        <w:t xml:space="preserve"> </w:t>
      </w:r>
      <w:r w:rsidRPr="000F51D7">
        <w:rPr>
          <w:lang w:bidi="en-US"/>
        </w:rPr>
        <w:t>in dicta</w:t>
      </w:r>
      <w:r w:rsidR="0050572B" w:rsidRPr="000F51D7">
        <w:rPr>
          <w:lang w:bidi="en-US"/>
        </w:rPr>
        <w:t xml:space="preserve"> a </w:t>
      </w:r>
      <w:r w:rsidR="00E62578" w:rsidRPr="000F51D7">
        <w:rPr>
          <w:lang w:bidi="en-US"/>
        </w:rPr>
        <w:t>“</w:t>
      </w:r>
      <w:r w:rsidR="0050572B" w:rsidRPr="000F51D7">
        <w:rPr>
          <w:lang w:bidi="en-US"/>
        </w:rPr>
        <w:t>hypothetical scenario</w:t>
      </w:r>
      <w:r w:rsidR="00E62578" w:rsidRPr="000F51D7">
        <w:rPr>
          <w:lang w:bidi="en-US"/>
        </w:rPr>
        <w:t>”</w:t>
      </w:r>
      <w:r w:rsidR="0050572B" w:rsidRPr="000F51D7">
        <w:rPr>
          <w:lang w:bidi="en-US"/>
        </w:rPr>
        <w:t xml:space="preserve"> </w:t>
      </w:r>
      <w:r w:rsidR="00E62578" w:rsidRPr="000F51D7">
        <w:rPr>
          <w:lang w:bidi="en-US"/>
        </w:rPr>
        <w:t>where</w:t>
      </w:r>
      <w:r w:rsidR="0050572B" w:rsidRPr="000F51D7">
        <w:rPr>
          <w:lang w:bidi="en-US"/>
        </w:rPr>
        <w:t xml:space="preserve"> </w:t>
      </w:r>
      <w:r w:rsidR="00E62578" w:rsidRPr="000F51D7">
        <w:rPr>
          <w:lang w:bidi="en-US"/>
        </w:rPr>
        <w:t>“</w:t>
      </w:r>
      <w:r w:rsidR="0050572B" w:rsidRPr="000F51D7">
        <w:rPr>
          <w:lang w:bidi="en-US"/>
        </w:rPr>
        <w:t>an invisible airborne agent would cause a policyholder to suspend operations because of direct physical damage to property.”  (</w:t>
      </w:r>
      <w:r w:rsidR="00266DE2" w:rsidRPr="000F51D7">
        <w:rPr>
          <w:i/>
          <w:iCs/>
          <w:lang w:bidi="en-US"/>
        </w:rPr>
        <w:t xml:space="preserve">Inns, supra, </w:t>
      </w:r>
      <w:r w:rsidR="00266DE2" w:rsidRPr="000F51D7">
        <w:rPr>
          <w:lang w:bidi="en-US"/>
        </w:rPr>
        <w:t xml:space="preserve">71 Cal.App.5th </w:t>
      </w:r>
      <w:r w:rsidR="0050572B" w:rsidRPr="000F51D7">
        <w:rPr>
          <w:lang w:bidi="en-US"/>
        </w:rPr>
        <w:t>at p.</w:t>
      </w:r>
      <w:r w:rsidR="00266DE2" w:rsidRPr="000F51D7">
        <w:rPr>
          <w:lang w:bidi="en-US"/>
        </w:rPr>
        <w:t> </w:t>
      </w:r>
      <w:r w:rsidR="0050572B" w:rsidRPr="000F51D7">
        <w:rPr>
          <w:lang w:bidi="en-US"/>
        </w:rPr>
        <w:t xml:space="preserve">704.)  </w:t>
      </w:r>
      <w:r w:rsidR="00DA26BA" w:rsidRPr="000F51D7">
        <w:rPr>
          <w:lang w:bidi="en-US"/>
        </w:rPr>
        <w:t>We thus left open the possibility that</w:t>
      </w:r>
      <w:r w:rsidR="00CC71BF" w:rsidRPr="000F51D7">
        <w:rPr>
          <w:lang w:bidi="en-US"/>
        </w:rPr>
        <w:t xml:space="preserve"> </w:t>
      </w:r>
      <w:r w:rsidR="0050572B" w:rsidRPr="000F51D7">
        <w:rPr>
          <w:lang w:bidi="en-US"/>
        </w:rPr>
        <w:t>if a business “</w:t>
      </w:r>
      <w:r w:rsidR="00303382" w:rsidRPr="000F51D7">
        <w:rPr>
          <w:lang w:bidi="en-US"/>
        </w:rPr>
        <w:t> ‘</w:t>
      </w:r>
      <w:r w:rsidR="0050572B" w:rsidRPr="000F51D7">
        <w:rPr>
          <w:i/>
          <w:iCs/>
          <w:lang w:bidi="en-US"/>
        </w:rPr>
        <w:t>which could have otherwise been operating</w:t>
      </w:r>
      <w:r w:rsidR="00303382" w:rsidRPr="000F51D7">
        <w:rPr>
          <w:i/>
          <w:iCs/>
          <w:lang w:bidi="en-US"/>
        </w:rPr>
        <w:t>’ </w:t>
      </w:r>
      <w:r w:rsidR="0050572B" w:rsidRPr="000F51D7">
        <w:rPr>
          <w:lang w:bidi="en-US"/>
        </w:rPr>
        <w:t xml:space="preserve">” was required to </w:t>
      </w:r>
      <w:r w:rsidR="0050572B" w:rsidRPr="000F51D7">
        <w:rPr>
          <w:lang w:bidi="en-US"/>
        </w:rPr>
        <w:lastRenderedPageBreak/>
        <w:t>“</w:t>
      </w:r>
      <w:r w:rsidR="00B65CAD" w:rsidRPr="000F51D7">
        <w:rPr>
          <w:lang w:bidi="en-US"/>
        </w:rPr>
        <w:t> ‘</w:t>
      </w:r>
      <w:r w:rsidR="0050572B" w:rsidRPr="000F51D7">
        <w:rPr>
          <w:lang w:bidi="en-US"/>
        </w:rPr>
        <w:t>shut down because of the presence of the virus within the facility</w:t>
      </w:r>
      <w:r w:rsidR="006F5811" w:rsidRPr="000F51D7">
        <w:rPr>
          <w:lang w:bidi="en-US"/>
        </w:rPr>
        <w:t>,</w:t>
      </w:r>
      <w:r w:rsidR="00B65CAD" w:rsidRPr="000F51D7">
        <w:rPr>
          <w:lang w:bidi="en-US"/>
        </w:rPr>
        <w:t>’ </w:t>
      </w:r>
      <w:r w:rsidR="0050572B" w:rsidRPr="000F51D7">
        <w:rPr>
          <w:lang w:bidi="en-US"/>
        </w:rPr>
        <w:t>”</w:t>
      </w:r>
      <w:r w:rsidR="006F5811" w:rsidRPr="000F51D7">
        <w:rPr>
          <w:lang w:bidi="en-US"/>
        </w:rPr>
        <w:t xml:space="preserve"> then “</w:t>
      </w:r>
      <w:r w:rsidR="009F7633" w:rsidRPr="000F51D7">
        <w:rPr>
          <w:lang w:bidi="en-US"/>
        </w:rPr>
        <w:t> ‘</w:t>
      </w:r>
      <w:r w:rsidR="006F5811" w:rsidRPr="000F51D7">
        <w:rPr>
          <w:lang w:bidi="en-US"/>
        </w:rPr>
        <w:t>perhaps</w:t>
      </w:r>
      <w:r w:rsidR="009F7633" w:rsidRPr="000F51D7">
        <w:rPr>
          <w:lang w:bidi="en-US"/>
        </w:rPr>
        <w:t>’ </w:t>
      </w:r>
      <w:r w:rsidR="006F5811" w:rsidRPr="000F51D7">
        <w:rPr>
          <w:lang w:bidi="en-US"/>
        </w:rPr>
        <w:t>” the business “</w:t>
      </w:r>
      <w:r w:rsidR="00B65CAD" w:rsidRPr="000F51D7">
        <w:rPr>
          <w:lang w:bidi="en-US"/>
        </w:rPr>
        <w:t> ‘</w:t>
      </w:r>
      <w:r w:rsidR="006F5811" w:rsidRPr="000F51D7">
        <w:rPr>
          <w:lang w:bidi="en-US"/>
        </w:rPr>
        <w:t>could successfully</w:t>
      </w:r>
      <w:r w:rsidR="00B65CAD" w:rsidRPr="000F51D7">
        <w:rPr>
          <w:lang w:bidi="en-US"/>
        </w:rPr>
        <w:t>’ </w:t>
      </w:r>
      <w:r w:rsidR="006F5811" w:rsidRPr="000F51D7">
        <w:rPr>
          <w:lang w:bidi="en-US"/>
        </w:rPr>
        <w:t xml:space="preserve">” </w:t>
      </w:r>
      <w:r w:rsidR="008F3DD9" w:rsidRPr="000F51D7">
        <w:rPr>
          <w:lang w:bidi="en-US"/>
        </w:rPr>
        <w:t>demonstrate “</w:t>
      </w:r>
      <w:r w:rsidR="00B65CAD" w:rsidRPr="000F51D7">
        <w:rPr>
          <w:lang w:bidi="en-US"/>
        </w:rPr>
        <w:t> ‘</w:t>
      </w:r>
      <w:r w:rsidR="008F3DD9" w:rsidRPr="000F51D7">
        <w:rPr>
          <w:lang w:bidi="en-US"/>
        </w:rPr>
        <w:t>that the virus created physical loss or damage in the same way some chemical contaminant might have.</w:t>
      </w:r>
      <w:r w:rsidR="00B65CAD" w:rsidRPr="000F51D7">
        <w:rPr>
          <w:lang w:bidi="en-US"/>
        </w:rPr>
        <w:t>’ </w:t>
      </w:r>
      <w:r w:rsidR="008F3DD9" w:rsidRPr="000F51D7">
        <w:rPr>
          <w:lang w:bidi="en-US"/>
        </w:rPr>
        <w:t>”  (</w:t>
      </w:r>
      <w:r w:rsidR="008F3DD9" w:rsidRPr="000F51D7">
        <w:rPr>
          <w:i/>
          <w:iCs/>
          <w:lang w:bidi="en-US"/>
        </w:rPr>
        <w:t>Id.</w:t>
      </w:r>
      <w:r w:rsidR="008F3DD9" w:rsidRPr="000F51D7">
        <w:rPr>
          <w:lang w:bidi="en-US"/>
        </w:rPr>
        <w:t xml:space="preserve"> at </w:t>
      </w:r>
      <w:r w:rsidR="00B65CAD" w:rsidRPr="000F51D7">
        <w:rPr>
          <w:lang w:bidi="en-US"/>
        </w:rPr>
        <w:t>p</w:t>
      </w:r>
      <w:r w:rsidR="008F3DD9" w:rsidRPr="000F51D7">
        <w:rPr>
          <w:lang w:bidi="en-US"/>
        </w:rPr>
        <w:t xml:space="preserve">p. </w:t>
      </w:r>
      <w:r w:rsidR="00B65CAD" w:rsidRPr="000F51D7">
        <w:rPr>
          <w:lang w:bidi="en-US"/>
        </w:rPr>
        <w:t>704</w:t>
      </w:r>
      <w:r w:rsidR="00B65CAD" w:rsidRPr="000F51D7">
        <w:rPr>
          <w:rFonts w:ascii="Times New Roman" w:hAnsi="Times New Roman" w:cs="Times New Roman"/>
          <w:lang w:bidi="en-US"/>
        </w:rPr>
        <w:t>‒</w:t>
      </w:r>
      <w:r w:rsidR="008F3DD9" w:rsidRPr="000F51D7">
        <w:rPr>
          <w:lang w:bidi="en-US"/>
        </w:rPr>
        <w:t>705</w:t>
      </w:r>
      <w:r w:rsidR="00A91720" w:rsidRPr="000F51D7">
        <w:rPr>
          <w:lang w:bidi="en-US"/>
        </w:rPr>
        <w:t>, italics added</w:t>
      </w:r>
      <w:r w:rsidR="008F3DD9" w:rsidRPr="000F51D7">
        <w:rPr>
          <w:lang w:bidi="en-US"/>
        </w:rPr>
        <w:t>.)</w:t>
      </w:r>
    </w:p>
    <w:p w14:paraId="16F0A05D" w14:textId="0430C25B" w:rsidR="00A91720" w:rsidRPr="000F51D7" w:rsidRDefault="008F3DD9" w:rsidP="00FD4584">
      <w:r w:rsidRPr="000F51D7">
        <w:tab/>
        <w:t xml:space="preserve">Best Rest contends </w:t>
      </w:r>
      <w:r w:rsidR="00487FF9" w:rsidRPr="000F51D7">
        <w:t xml:space="preserve">its case </w:t>
      </w:r>
      <w:r w:rsidR="002E6BD8" w:rsidRPr="000F51D7">
        <w:t>“falls directly within the exception discussed by this [c]ourt in [</w:t>
      </w:r>
      <w:r w:rsidR="002E6BD8" w:rsidRPr="000F51D7">
        <w:rPr>
          <w:i/>
          <w:iCs/>
        </w:rPr>
        <w:t>Inns</w:t>
      </w:r>
      <w:r w:rsidR="002E6BD8" w:rsidRPr="000F51D7">
        <w:t>].”</w:t>
      </w:r>
      <w:r w:rsidRPr="000F51D7">
        <w:t xml:space="preserve"> </w:t>
      </w:r>
      <w:r w:rsidR="0053616E" w:rsidRPr="000F51D7">
        <w:t xml:space="preserve"> </w:t>
      </w:r>
      <w:r w:rsidR="009E745A" w:rsidRPr="000F51D7">
        <w:t>Supported by an infectious disease expert’s declaration, Best Rest</w:t>
      </w:r>
      <w:r w:rsidR="00CF7D86" w:rsidRPr="000F51D7">
        <w:t xml:space="preserve"> </w:t>
      </w:r>
      <w:r w:rsidR="00A91720" w:rsidRPr="000F51D7">
        <w:t xml:space="preserve">maintains </w:t>
      </w:r>
      <w:r w:rsidR="00A63A45" w:rsidRPr="000F51D7">
        <w:t>that virus-infected droplets landed on surfaces in</w:t>
      </w:r>
      <w:r w:rsidR="009E745A" w:rsidRPr="000F51D7">
        <w:t xml:space="preserve"> the hotel,</w:t>
      </w:r>
      <w:r w:rsidR="00A63A45" w:rsidRPr="000F51D7">
        <w:t xml:space="preserve"> and the presence of these droplets—known as fomites</w:t>
      </w:r>
      <w:r w:rsidR="00A91720" w:rsidRPr="000F51D7">
        <w:t>—</w:t>
      </w:r>
      <w:r w:rsidR="004B7BB0" w:rsidRPr="000F51D7">
        <w:t xml:space="preserve">caused physical loss or damage, rendering </w:t>
      </w:r>
      <w:r w:rsidR="0014265D" w:rsidRPr="000F51D7">
        <w:t>the property</w:t>
      </w:r>
      <w:r w:rsidR="009E745A" w:rsidRPr="000F51D7">
        <w:t xml:space="preserve"> incapable </w:t>
      </w:r>
      <w:r w:rsidR="00A63A45" w:rsidRPr="000F51D7">
        <w:t>of</w:t>
      </w:r>
      <w:r w:rsidR="004B2711" w:rsidRPr="000F51D7">
        <w:t xml:space="preserve"> </w:t>
      </w:r>
      <w:r w:rsidR="00CC71BF" w:rsidRPr="000F51D7">
        <w:t xml:space="preserve">safely </w:t>
      </w:r>
      <w:r w:rsidR="004B2711" w:rsidRPr="000F51D7">
        <w:t>providing lodging.</w:t>
      </w:r>
    </w:p>
    <w:p w14:paraId="3680FE17" w14:textId="09B314BD" w:rsidR="008F3DD9" w:rsidRPr="000F51D7" w:rsidRDefault="00A91720" w:rsidP="004B2711">
      <w:r w:rsidRPr="000F51D7">
        <w:tab/>
      </w:r>
      <w:r w:rsidR="009E745A" w:rsidRPr="000F51D7">
        <w:t>As we explain, Best Rest’s argument fails</w:t>
      </w:r>
      <w:r w:rsidR="00CC71BF" w:rsidRPr="000F51D7">
        <w:t xml:space="preserve"> because the record contains</w:t>
      </w:r>
      <w:r w:rsidR="0014265D" w:rsidRPr="000F51D7">
        <w:t xml:space="preserve"> no evidence creating a triable issue that the hotel “</w:t>
      </w:r>
      <w:r w:rsidR="009E745A" w:rsidRPr="000F51D7">
        <w:t>could have otherwise been operating”</w:t>
      </w:r>
      <w:r w:rsidR="0014265D" w:rsidRPr="000F51D7">
        <w:t xml:space="preserve"> but for the presence of COVID-19 on the premises.  Indeed, </w:t>
      </w:r>
      <w:r w:rsidR="00DD3D01" w:rsidRPr="000F51D7">
        <w:t>Best Rest</w:t>
      </w:r>
      <w:r w:rsidR="0014265D" w:rsidRPr="000F51D7">
        <w:t xml:space="preserve">’s </w:t>
      </w:r>
      <w:r w:rsidR="00835758" w:rsidRPr="000F51D7">
        <w:t xml:space="preserve">own evidence established the exact opposite was true.  Its </w:t>
      </w:r>
      <w:r w:rsidR="006B33B4" w:rsidRPr="000F51D7">
        <w:t>vice president</w:t>
      </w:r>
      <w:r w:rsidR="00E61EB8" w:rsidRPr="000F51D7">
        <w:t xml:space="preserve"> and operating</w:t>
      </w:r>
      <w:r w:rsidR="003167A3">
        <w:t xml:space="preserve"> </w:t>
      </w:r>
      <w:r w:rsidR="00533F0C">
        <w:t>partner</w:t>
      </w:r>
      <w:r w:rsidR="006B33B4" w:rsidRPr="000F51D7">
        <w:t>, Evan</w:t>
      </w:r>
      <w:r w:rsidR="004C7C86">
        <w:t>s</w:t>
      </w:r>
      <w:r w:rsidR="006B33B4" w:rsidRPr="000F51D7">
        <w:t xml:space="preserve"> Salem</w:t>
      </w:r>
      <w:r w:rsidR="004C7C86">
        <w:t xml:space="preserve">, </w:t>
      </w:r>
      <w:r w:rsidR="006B33B4" w:rsidRPr="000F51D7">
        <w:t>testified that the phones w</w:t>
      </w:r>
      <w:r w:rsidR="00830181" w:rsidRPr="000F51D7">
        <w:t>ere “ringing off the hook</w:t>
      </w:r>
      <w:r w:rsidR="006A5F27" w:rsidRPr="000F51D7">
        <w:t>[ ]</w:t>
      </w:r>
      <w:r w:rsidR="00830181" w:rsidRPr="000F51D7">
        <w:t>” with cancellations—not because of C</w:t>
      </w:r>
      <w:r w:rsidR="005422FC" w:rsidRPr="000F51D7">
        <w:t>OVID</w:t>
      </w:r>
      <w:r w:rsidR="00830181" w:rsidRPr="000F51D7">
        <w:t xml:space="preserve">-19 </w:t>
      </w:r>
      <w:r w:rsidR="00830181" w:rsidRPr="000F51D7">
        <w:rPr>
          <w:i/>
          <w:iCs/>
        </w:rPr>
        <w:t xml:space="preserve">in </w:t>
      </w:r>
      <w:r w:rsidR="004D7034" w:rsidRPr="000F51D7">
        <w:t>the</w:t>
      </w:r>
      <w:r w:rsidR="00830181" w:rsidRPr="000F51D7">
        <w:t xml:space="preserve"> hotel, but because </w:t>
      </w:r>
      <w:r w:rsidR="00835758" w:rsidRPr="000F51D7">
        <w:t xml:space="preserve">of government shut down orders and travel restrictions </w:t>
      </w:r>
      <w:r w:rsidR="00DA26BA" w:rsidRPr="000F51D7">
        <w:t xml:space="preserve">that </w:t>
      </w:r>
      <w:r w:rsidR="00835758" w:rsidRPr="000F51D7">
        <w:t>shuttered tourism</w:t>
      </w:r>
      <w:r w:rsidR="00533F0C" w:rsidRPr="00533F0C">
        <w:t xml:space="preserve"> </w:t>
      </w:r>
      <w:r w:rsidR="00533F0C">
        <w:t xml:space="preserve"> </w:t>
      </w:r>
      <w:r w:rsidR="00533F0C" w:rsidRPr="00533F0C">
        <w:t xml:space="preserve">The hotel’s general manager, Yasmine Zaya, similarly testified in deposition: </w:t>
      </w:r>
      <w:r w:rsidR="00EE7780" w:rsidRPr="000F51D7">
        <w:t xml:space="preserve"> </w:t>
      </w:r>
    </w:p>
    <w:p w14:paraId="11D23D13" w14:textId="58357C80" w:rsidR="00487FF9" w:rsidRPr="000F51D7" w:rsidRDefault="00487FF9" w:rsidP="00487FF9">
      <w:pPr>
        <w:pStyle w:val="IndentedQuote"/>
      </w:pPr>
      <w:r w:rsidRPr="000F51D7">
        <w:t xml:space="preserve">“Q:  So you had said that there were—there was a reduction in people traveling.  [¶] </w:t>
      </w:r>
      <w:r w:rsidR="00536AE9" w:rsidRPr="000F51D7">
        <w:t xml:space="preserve"> </w:t>
      </w:r>
      <w:r w:rsidRPr="000F51D7">
        <w:t>So other than a reduction in people traveling, was there any reason why you could not rent out the rooms at the motel?</w:t>
      </w:r>
    </w:p>
    <w:p w14:paraId="2496A7FB" w14:textId="42B6FEA8" w:rsidR="00487FF9" w:rsidRPr="000F51D7" w:rsidRDefault="00487FF9" w:rsidP="00D33DB3">
      <w:pPr>
        <w:pStyle w:val="IndentedQuote"/>
        <w:spacing w:line="120" w:lineRule="auto"/>
      </w:pPr>
    </w:p>
    <w:p w14:paraId="01544EE6" w14:textId="65887777" w:rsidR="00487FF9" w:rsidRPr="000F51D7" w:rsidRDefault="00487FF9" w:rsidP="00487FF9">
      <w:pPr>
        <w:pStyle w:val="IndentedQuote"/>
      </w:pPr>
      <w:r w:rsidRPr="000F51D7">
        <w:t xml:space="preserve">“A:  No.” </w:t>
      </w:r>
    </w:p>
    <w:p w14:paraId="491D780B" w14:textId="77777777" w:rsidR="00BC1519" w:rsidRPr="000F51D7" w:rsidRDefault="00BC1519" w:rsidP="00A14B19">
      <w:pPr>
        <w:pStyle w:val="IndentedQuote"/>
        <w:spacing w:line="180" w:lineRule="auto"/>
      </w:pPr>
    </w:p>
    <w:p w14:paraId="1C3C4C3D" w14:textId="6D58E6DA" w:rsidR="00070B61" w:rsidRPr="000F51D7" w:rsidRDefault="00E57841" w:rsidP="00070B61">
      <w:pPr>
        <w:rPr>
          <w:lang w:bidi="en-US"/>
        </w:rPr>
      </w:pPr>
      <w:r w:rsidRPr="000F51D7">
        <w:rPr>
          <w:lang w:bidi="en-US"/>
        </w:rPr>
        <w:t>What we said in</w:t>
      </w:r>
      <w:r w:rsidRPr="000F51D7">
        <w:rPr>
          <w:i/>
          <w:iCs/>
          <w:lang w:bidi="en-US"/>
        </w:rPr>
        <w:t xml:space="preserve"> </w:t>
      </w:r>
      <w:r w:rsidR="007D1DF6">
        <w:rPr>
          <w:i/>
          <w:iCs/>
          <w:lang w:bidi="en-US"/>
        </w:rPr>
        <w:t xml:space="preserve">Inns </w:t>
      </w:r>
      <w:r w:rsidRPr="000F51D7">
        <w:rPr>
          <w:lang w:bidi="en-US"/>
        </w:rPr>
        <w:t xml:space="preserve">is </w:t>
      </w:r>
      <w:r w:rsidR="00835758" w:rsidRPr="000F51D7">
        <w:rPr>
          <w:lang w:bidi="en-US"/>
        </w:rPr>
        <w:t xml:space="preserve">also </w:t>
      </w:r>
      <w:r w:rsidRPr="000F51D7">
        <w:rPr>
          <w:lang w:bidi="en-US"/>
        </w:rPr>
        <w:t>true here—e</w:t>
      </w:r>
      <w:r w:rsidR="004D7034" w:rsidRPr="000F51D7">
        <w:rPr>
          <w:lang w:bidi="en-US"/>
        </w:rPr>
        <w:t>ven if “</w:t>
      </w:r>
      <w:r w:rsidR="006D1E2C" w:rsidRPr="000F51D7">
        <w:rPr>
          <w:lang w:bidi="en-US"/>
        </w:rPr>
        <w:t> ‘</w:t>
      </w:r>
      <w:r w:rsidR="004D7034" w:rsidRPr="000F51D7">
        <w:rPr>
          <w:lang w:bidi="en-US"/>
        </w:rPr>
        <w:t>a cleaning crew Lysol-ed every inch of the [hotel], it could still not</w:t>
      </w:r>
      <w:r w:rsidR="006D1E2C" w:rsidRPr="000F51D7">
        <w:rPr>
          <w:lang w:bidi="en-US"/>
        </w:rPr>
        <w:t>’ </w:t>
      </w:r>
      <w:r w:rsidR="004D7034" w:rsidRPr="000F51D7">
        <w:rPr>
          <w:lang w:bidi="en-US"/>
        </w:rPr>
        <w:t xml:space="preserve">” rent out its rooms.  </w:t>
      </w:r>
      <w:r w:rsidR="00C2652D" w:rsidRPr="000F51D7">
        <w:rPr>
          <w:lang w:bidi="en-US"/>
        </w:rPr>
        <w:t>(</w:t>
      </w:r>
      <w:r w:rsidR="008A4269" w:rsidRPr="000F51D7">
        <w:rPr>
          <w:i/>
          <w:iCs/>
          <w:lang w:bidi="en-US"/>
        </w:rPr>
        <w:t xml:space="preserve">Inns, supra, </w:t>
      </w:r>
      <w:r w:rsidR="008A4269" w:rsidRPr="000F51D7">
        <w:rPr>
          <w:lang w:bidi="en-US"/>
        </w:rPr>
        <w:t>71 Cal.App.5th at p. </w:t>
      </w:r>
      <w:r w:rsidR="00C2652D" w:rsidRPr="000F51D7">
        <w:rPr>
          <w:lang w:bidi="en-US"/>
        </w:rPr>
        <w:t xml:space="preserve">704.)  </w:t>
      </w:r>
      <w:r w:rsidR="00070B61" w:rsidRPr="000F51D7">
        <w:rPr>
          <w:lang w:bidi="en-US"/>
        </w:rPr>
        <w:t xml:space="preserve">Accordingly, we affirm summary judgment in </w:t>
      </w:r>
      <w:r w:rsidR="00070B61" w:rsidRPr="000F51D7">
        <w:rPr>
          <w:lang w:bidi="en-US"/>
        </w:rPr>
        <w:lastRenderedPageBreak/>
        <w:t>Sequoia’s favor</w:t>
      </w:r>
      <w:r w:rsidR="00835758" w:rsidRPr="000F51D7">
        <w:rPr>
          <w:lang w:bidi="en-US"/>
        </w:rPr>
        <w:t xml:space="preserve"> because there is no evidence creating a triable issue that COVID-19 in </w:t>
      </w:r>
      <w:r w:rsidR="006F2A9A" w:rsidRPr="000F51D7">
        <w:rPr>
          <w:lang w:bidi="en-US"/>
        </w:rPr>
        <w:t>the hotel</w:t>
      </w:r>
      <w:r w:rsidR="00835758" w:rsidRPr="000F51D7">
        <w:rPr>
          <w:lang w:bidi="en-US"/>
        </w:rPr>
        <w:t xml:space="preserve"> caused the claimed los</w:t>
      </w:r>
      <w:r w:rsidR="006F2A9A" w:rsidRPr="000F51D7">
        <w:rPr>
          <w:lang w:bidi="en-US"/>
        </w:rPr>
        <w:t>t income</w:t>
      </w:r>
      <w:r w:rsidR="00070B61" w:rsidRPr="000F51D7">
        <w:rPr>
          <w:lang w:bidi="en-US"/>
        </w:rPr>
        <w:t>.</w:t>
      </w:r>
    </w:p>
    <w:p w14:paraId="666CF509" w14:textId="417B8223" w:rsidR="00070B61" w:rsidRPr="00C32E53" w:rsidRDefault="00070B61" w:rsidP="007B73F4">
      <w:pPr>
        <w:pStyle w:val="Heading1"/>
        <w:spacing w:before="120" w:after="120"/>
        <w:jc w:val="center"/>
        <w:rPr>
          <w:rFonts w:ascii="Century Schoolbook" w:hAnsi="Century Schoolbook"/>
          <w:sz w:val="26"/>
          <w:szCs w:val="26"/>
          <w:lang w:bidi="en-US"/>
        </w:rPr>
      </w:pPr>
      <w:r w:rsidRPr="00C32E53">
        <w:rPr>
          <w:rFonts w:ascii="Century Schoolbook" w:hAnsi="Century Schoolbook"/>
          <w:color w:val="auto"/>
          <w:sz w:val="26"/>
          <w:szCs w:val="26"/>
          <w:lang w:bidi="en-US"/>
        </w:rPr>
        <w:t>FACTUAL AND PROCEDURAL BACKGROUND</w:t>
      </w:r>
    </w:p>
    <w:p w14:paraId="416DB073" w14:textId="6C369DD5" w:rsidR="00042F54" w:rsidRPr="000F51D7" w:rsidRDefault="00042F54" w:rsidP="00070B61">
      <w:pPr>
        <w:rPr>
          <w:lang w:bidi="en-US"/>
        </w:rPr>
      </w:pPr>
      <w:r w:rsidRPr="000F51D7">
        <w:rPr>
          <w:lang w:bidi="en-US"/>
        </w:rPr>
        <w:tab/>
        <w:t xml:space="preserve">Best Rest owns and operates a </w:t>
      </w:r>
      <w:r w:rsidR="00042145" w:rsidRPr="000F51D7">
        <w:rPr>
          <w:lang w:bidi="en-US"/>
        </w:rPr>
        <w:t xml:space="preserve">126-room </w:t>
      </w:r>
      <w:r w:rsidRPr="000F51D7">
        <w:rPr>
          <w:lang w:bidi="en-US"/>
        </w:rPr>
        <w:t xml:space="preserve">Holiday Inn Express franchise in San Diego.  </w:t>
      </w:r>
      <w:r w:rsidR="00042145" w:rsidRPr="000F51D7">
        <w:rPr>
          <w:lang w:bidi="en-US"/>
        </w:rPr>
        <w:t xml:space="preserve">Its business </w:t>
      </w:r>
      <w:r w:rsidR="00B04FD8" w:rsidRPr="000F51D7">
        <w:rPr>
          <w:lang w:bidi="en-US"/>
        </w:rPr>
        <w:t xml:space="preserve">comes </w:t>
      </w:r>
      <w:r w:rsidR="000B6E18" w:rsidRPr="000F51D7">
        <w:rPr>
          <w:lang w:bidi="en-US"/>
        </w:rPr>
        <w:t xml:space="preserve">mostly </w:t>
      </w:r>
      <w:r w:rsidR="00B04FD8" w:rsidRPr="000F51D7">
        <w:rPr>
          <w:lang w:bidi="en-US"/>
        </w:rPr>
        <w:t xml:space="preserve">from </w:t>
      </w:r>
      <w:r w:rsidR="00042145" w:rsidRPr="000F51D7">
        <w:rPr>
          <w:lang w:bidi="en-US"/>
        </w:rPr>
        <w:t>tourists who stay at the hotel while visit</w:t>
      </w:r>
      <w:r w:rsidR="00717DBB" w:rsidRPr="000F51D7">
        <w:rPr>
          <w:lang w:bidi="en-US"/>
        </w:rPr>
        <w:t>ing Sea World, the San Diego Zoo, Safari Park, Legoland, and oth</w:t>
      </w:r>
      <w:r w:rsidR="009577AE" w:rsidRPr="000F51D7">
        <w:rPr>
          <w:lang w:bidi="en-US"/>
        </w:rPr>
        <w:t xml:space="preserve">er </w:t>
      </w:r>
      <w:r w:rsidR="00B04FD8" w:rsidRPr="000F51D7">
        <w:rPr>
          <w:lang w:bidi="en-US"/>
        </w:rPr>
        <w:t xml:space="preserve">local </w:t>
      </w:r>
      <w:r w:rsidR="00717DBB" w:rsidRPr="000F51D7">
        <w:rPr>
          <w:lang w:bidi="en-US"/>
        </w:rPr>
        <w:t xml:space="preserve">attractions. </w:t>
      </w:r>
      <w:r w:rsidR="009577AE" w:rsidRPr="000F51D7">
        <w:rPr>
          <w:lang w:bidi="en-US"/>
        </w:rPr>
        <w:t xml:space="preserve"> Families attending graduation ceremonies at the nearby Marine Corps Recruit Depot, as well as cruise ship </w:t>
      </w:r>
      <w:r w:rsidR="00DA26BA" w:rsidRPr="000F51D7">
        <w:rPr>
          <w:lang w:bidi="en-US"/>
        </w:rPr>
        <w:t>passengers</w:t>
      </w:r>
      <w:r w:rsidR="009577AE" w:rsidRPr="000F51D7">
        <w:rPr>
          <w:lang w:bidi="en-US"/>
        </w:rPr>
        <w:t xml:space="preserve"> and people attending </w:t>
      </w:r>
      <w:r w:rsidR="00DA26BA" w:rsidRPr="000F51D7">
        <w:rPr>
          <w:lang w:bidi="en-US"/>
        </w:rPr>
        <w:t xml:space="preserve">events at </w:t>
      </w:r>
      <w:r w:rsidR="009577AE" w:rsidRPr="000F51D7">
        <w:rPr>
          <w:lang w:bidi="en-US"/>
        </w:rPr>
        <w:t>the San Diego Convention Center</w:t>
      </w:r>
      <w:r w:rsidR="00DA26BA" w:rsidRPr="000F51D7">
        <w:rPr>
          <w:lang w:bidi="en-US"/>
        </w:rPr>
        <w:t>,</w:t>
      </w:r>
      <w:r w:rsidR="009577AE" w:rsidRPr="000F51D7">
        <w:rPr>
          <w:lang w:bidi="en-US"/>
        </w:rPr>
        <w:t xml:space="preserve"> also account for a significant number of its guests.  </w:t>
      </w:r>
    </w:p>
    <w:p w14:paraId="7940C614" w14:textId="632D53D3" w:rsidR="00070B61" w:rsidRPr="000F51D7" w:rsidRDefault="00042F54" w:rsidP="00070B61">
      <w:pPr>
        <w:rPr>
          <w:lang w:bidi="en-US"/>
        </w:rPr>
      </w:pPr>
      <w:r w:rsidRPr="000F51D7">
        <w:rPr>
          <w:lang w:bidi="en-US"/>
        </w:rPr>
        <w:tab/>
      </w:r>
      <w:r w:rsidR="00961551" w:rsidRPr="000F51D7">
        <w:rPr>
          <w:lang w:bidi="en-US"/>
        </w:rPr>
        <w:t xml:space="preserve">In 2019, Best Rest purchased a </w:t>
      </w:r>
      <w:r w:rsidR="00BF207F" w:rsidRPr="000F51D7">
        <w:rPr>
          <w:lang w:bidi="en-US"/>
        </w:rPr>
        <w:t xml:space="preserve">commercial multiperil </w:t>
      </w:r>
      <w:r w:rsidR="00961551" w:rsidRPr="000F51D7">
        <w:rPr>
          <w:lang w:bidi="en-US"/>
        </w:rPr>
        <w:t xml:space="preserve">insurance policy (the Policy) from Sequoia.  </w:t>
      </w:r>
      <w:r w:rsidR="000B6E18" w:rsidRPr="000F51D7">
        <w:rPr>
          <w:lang w:bidi="en-US"/>
        </w:rPr>
        <w:t>It</w:t>
      </w:r>
      <w:r w:rsidR="00961551" w:rsidRPr="000F51D7">
        <w:rPr>
          <w:lang w:bidi="en-US"/>
        </w:rPr>
        <w:t xml:space="preserve"> includ</w:t>
      </w:r>
      <w:r w:rsidR="00544431" w:rsidRPr="000F51D7">
        <w:rPr>
          <w:lang w:bidi="en-US"/>
        </w:rPr>
        <w:t xml:space="preserve">ed “Business Income (and Extra Expense) Coverage.”   Sequoia agreed to “pay for the actual loss of Business Income” </w:t>
      </w:r>
      <w:r w:rsidR="00EC0444" w:rsidRPr="000F51D7">
        <w:rPr>
          <w:lang w:bidi="en-US"/>
        </w:rPr>
        <w:t xml:space="preserve">that Best Rest sustained “due to the necessary </w:t>
      </w:r>
      <w:r w:rsidR="00AA5513" w:rsidRPr="000F51D7">
        <w:rPr>
          <w:lang w:bidi="en-US"/>
        </w:rPr>
        <w:t>‘</w:t>
      </w:r>
      <w:r w:rsidR="00EC0444" w:rsidRPr="000F51D7">
        <w:rPr>
          <w:lang w:bidi="en-US"/>
        </w:rPr>
        <w:t>suspension</w:t>
      </w:r>
      <w:r w:rsidR="00AA5513" w:rsidRPr="000F51D7">
        <w:rPr>
          <w:lang w:bidi="en-US"/>
        </w:rPr>
        <w:t>’ </w:t>
      </w:r>
      <w:r w:rsidR="00EC0444" w:rsidRPr="000F51D7">
        <w:rPr>
          <w:lang w:bidi="en-US"/>
        </w:rPr>
        <w:t>” of its operations “caused by direct physical loss of or damage to</w:t>
      </w:r>
      <w:r w:rsidR="00F909C3" w:rsidRPr="000F51D7">
        <w:rPr>
          <w:lang w:bidi="en-US"/>
        </w:rPr>
        <w:t>” the insured property from a covered cause of loss.</w:t>
      </w:r>
      <w:r w:rsidR="00EC0444" w:rsidRPr="000F51D7">
        <w:rPr>
          <w:lang w:bidi="en-US"/>
        </w:rPr>
        <w:t xml:space="preserve">  </w:t>
      </w:r>
      <w:r w:rsidR="000611CA" w:rsidRPr="000F51D7">
        <w:rPr>
          <w:lang w:bidi="en-US"/>
        </w:rPr>
        <w:t>(See</w:t>
      </w:r>
      <w:r w:rsidR="000A752B" w:rsidRPr="000F51D7">
        <w:rPr>
          <w:lang w:bidi="en-US"/>
        </w:rPr>
        <w:t>, e.g.,</w:t>
      </w:r>
      <w:r w:rsidR="000611CA" w:rsidRPr="000F51D7">
        <w:rPr>
          <w:lang w:bidi="en-US"/>
        </w:rPr>
        <w:t xml:space="preserve"> </w:t>
      </w:r>
      <w:r w:rsidR="000611CA" w:rsidRPr="000F51D7">
        <w:rPr>
          <w:i/>
          <w:iCs/>
          <w:lang w:bidi="en-US"/>
        </w:rPr>
        <w:t xml:space="preserve">Shaw Mort. Corp. v. Peerless Ins. Co. </w:t>
      </w:r>
      <w:r w:rsidR="000611CA" w:rsidRPr="000F51D7">
        <w:rPr>
          <w:lang w:bidi="en-US"/>
        </w:rPr>
        <w:t>(S.D.Cal. 2009) 615 F.Supp.2d 1172, 1174</w:t>
      </w:r>
      <w:r w:rsidR="000A752B" w:rsidRPr="000F51D7">
        <w:rPr>
          <w:lang w:bidi="en-US"/>
        </w:rPr>
        <w:t xml:space="preserve"> [coverage for loss of business income during restoration where fire destroyed store]</w:t>
      </w:r>
      <w:r w:rsidR="000611CA" w:rsidRPr="000F51D7">
        <w:rPr>
          <w:lang w:bidi="en-US"/>
        </w:rPr>
        <w:t xml:space="preserve">.) </w:t>
      </w:r>
    </w:p>
    <w:p w14:paraId="19C51D53" w14:textId="0F88AC88" w:rsidR="00EC0444" w:rsidRPr="000F51D7" w:rsidRDefault="00EC0444" w:rsidP="00070B61">
      <w:pPr>
        <w:rPr>
          <w:lang w:bidi="en-US"/>
        </w:rPr>
      </w:pPr>
      <w:r w:rsidRPr="000F51D7">
        <w:rPr>
          <w:lang w:bidi="en-US"/>
        </w:rPr>
        <w:tab/>
        <w:t>The Policy also include</w:t>
      </w:r>
      <w:r w:rsidR="00F909C3" w:rsidRPr="000F51D7">
        <w:rPr>
          <w:lang w:bidi="en-US"/>
        </w:rPr>
        <w:t>d</w:t>
      </w:r>
      <w:r w:rsidRPr="000F51D7">
        <w:rPr>
          <w:lang w:bidi="en-US"/>
        </w:rPr>
        <w:t xml:space="preserve"> a “Coverage Form Extender</w:t>
      </w:r>
      <w:r w:rsidR="00797EED" w:rsidRPr="000F51D7">
        <w:rPr>
          <w:lang w:bidi="en-US"/>
        </w:rPr>
        <w:t>.”  Among other things, it provided that Sequoia would pay for the actual loss of business income that Best Rest sustained due to the necessary suspension of its operations caused by “direct physical loss or damage to ‘dependent property.’</w:t>
      </w:r>
      <w:r w:rsidR="00EC087A">
        <w:rPr>
          <w:lang w:bidi="en-US"/>
        </w:rPr>
        <w:t> </w:t>
      </w:r>
      <w:r w:rsidR="00797EED" w:rsidRPr="000F51D7">
        <w:rPr>
          <w:lang w:bidi="en-US"/>
        </w:rPr>
        <w:t xml:space="preserve">” </w:t>
      </w:r>
      <w:r w:rsidR="00A1234C" w:rsidRPr="000F51D7">
        <w:rPr>
          <w:lang w:bidi="en-US"/>
        </w:rPr>
        <w:t xml:space="preserve"> “Dependent Property” </w:t>
      </w:r>
      <w:r w:rsidR="00B04FD8" w:rsidRPr="000F51D7">
        <w:rPr>
          <w:lang w:bidi="en-US"/>
        </w:rPr>
        <w:t xml:space="preserve">is defined </w:t>
      </w:r>
      <w:r w:rsidR="00A1234C" w:rsidRPr="000F51D7">
        <w:rPr>
          <w:lang w:bidi="en-US"/>
        </w:rPr>
        <w:t xml:space="preserve">to include “property operated by </w:t>
      </w:r>
      <w:r w:rsidR="00A1234C" w:rsidRPr="000F51D7">
        <w:rPr>
          <w:lang w:bidi="en-US"/>
        </w:rPr>
        <w:lastRenderedPageBreak/>
        <w:t xml:space="preserve">others whom you depend on to: </w:t>
      </w:r>
      <w:r w:rsidR="002531C8" w:rsidRPr="000F51D7">
        <w:rPr>
          <w:lang w:bidi="en-US"/>
        </w:rPr>
        <w:t> </w:t>
      </w:r>
      <w:r w:rsidR="00A1234C" w:rsidRPr="000F51D7">
        <w:rPr>
          <w:lang w:bidi="en-US"/>
        </w:rPr>
        <w:t>[¶] . . . [¶] Attract customers to your business . . . .”</w:t>
      </w:r>
      <w:r w:rsidR="006E1871" w:rsidRPr="000F51D7">
        <w:rPr>
          <w:rStyle w:val="FootnoteReference"/>
          <w:lang w:bidi="en-US"/>
        </w:rPr>
        <w:footnoteReference w:id="1"/>
      </w:r>
      <w:r w:rsidR="00A1234C" w:rsidRPr="000F51D7">
        <w:rPr>
          <w:lang w:bidi="en-US"/>
        </w:rPr>
        <w:t xml:space="preserve"> </w:t>
      </w:r>
    </w:p>
    <w:p w14:paraId="053D7E2C" w14:textId="4B86DAE7" w:rsidR="00644CEE" w:rsidRPr="000F51D7" w:rsidRDefault="00644CEE" w:rsidP="00070B61">
      <w:pPr>
        <w:rPr>
          <w:lang w:bidi="en-US"/>
        </w:rPr>
      </w:pPr>
      <w:r w:rsidRPr="000F51D7">
        <w:rPr>
          <w:lang w:bidi="en-US"/>
        </w:rPr>
        <w:tab/>
      </w:r>
      <w:r w:rsidR="00E025C7" w:rsidRPr="000F51D7">
        <w:rPr>
          <w:lang w:bidi="en-US"/>
        </w:rPr>
        <w:t xml:space="preserve">Before March 2020, Best Rest enjoyed an average occupancy rate of about 94 percent.  </w:t>
      </w:r>
      <w:r w:rsidRPr="000F51D7">
        <w:rPr>
          <w:lang w:bidi="en-US"/>
        </w:rPr>
        <w:t>In March 2020</w:t>
      </w:r>
      <w:r w:rsidR="00943EDB" w:rsidRPr="000F51D7">
        <w:rPr>
          <w:lang w:bidi="en-US"/>
        </w:rPr>
        <w:t xml:space="preserve">, </w:t>
      </w:r>
      <w:r w:rsidR="00E025C7" w:rsidRPr="000F51D7">
        <w:rPr>
          <w:lang w:bidi="en-US"/>
        </w:rPr>
        <w:t>however, it “</w:t>
      </w:r>
      <w:r w:rsidR="00943EDB" w:rsidRPr="000F51D7">
        <w:rPr>
          <w:lang w:bidi="en-US"/>
        </w:rPr>
        <w:t xml:space="preserve">experienced a wave of reservation cancellations.” </w:t>
      </w:r>
      <w:r w:rsidR="001738B5" w:rsidRPr="000F51D7">
        <w:rPr>
          <w:lang w:bidi="en-US"/>
        </w:rPr>
        <w:t xml:space="preserve"> Customers </w:t>
      </w:r>
      <w:r w:rsidR="00B04FD8" w:rsidRPr="000F51D7">
        <w:rPr>
          <w:lang w:bidi="en-US"/>
        </w:rPr>
        <w:t xml:space="preserve">explained </w:t>
      </w:r>
      <w:r w:rsidR="001738B5" w:rsidRPr="000F51D7">
        <w:rPr>
          <w:lang w:bidi="en-US"/>
        </w:rPr>
        <w:t xml:space="preserve">“that they were cancelling because of the coronavirus and because major tourist attractions and businesses in the San Diego area were closed, or were in the process of closing.” </w:t>
      </w:r>
      <w:r w:rsidR="0062174F" w:rsidRPr="000F51D7">
        <w:rPr>
          <w:lang w:bidi="en-US"/>
        </w:rPr>
        <w:t xml:space="preserve"> </w:t>
      </w:r>
      <w:r w:rsidR="008732ED" w:rsidRPr="000F51D7">
        <w:rPr>
          <w:lang w:bidi="en-US"/>
        </w:rPr>
        <w:t xml:space="preserve">More </w:t>
      </w:r>
      <w:r w:rsidR="0062174F" w:rsidRPr="000F51D7">
        <w:rPr>
          <w:lang w:bidi="en-US"/>
        </w:rPr>
        <w:t xml:space="preserve">cancellations </w:t>
      </w:r>
      <w:r w:rsidR="008732ED" w:rsidRPr="000F51D7">
        <w:rPr>
          <w:lang w:bidi="en-US"/>
        </w:rPr>
        <w:t xml:space="preserve">occurred because </w:t>
      </w:r>
      <w:r w:rsidR="0062174F" w:rsidRPr="000F51D7">
        <w:rPr>
          <w:lang w:bidi="en-US"/>
        </w:rPr>
        <w:t>the Marine Corps suspend</w:t>
      </w:r>
      <w:r w:rsidR="008732ED" w:rsidRPr="000F51D7">
        <w:rPr>
          <w:lang w:bidi="en-US"/>
        </w:rPr>
        <w:t>ed</w:t>
      </w:r>
      <w:r w:rsidR="0062174F" w:rsidRPr="000F51D7">
        <w:rPr>
          <w:lang w:bidi="en-US"/>
        </w:rPr>
        <w:t xml:space="preserve"> public graduation ceremonies</w:t>
      </w:r>
      <w:r w:rsidR="00B04FD8" w:rsidRPr="000F51D7">
        <w:rPr>
          <w:lang w:bidi="en-US"/>
        </w:rPr>
        <w:t xml:space="preserve">.  </w:t>
      </w:r>
      <w:r w:rsidR="008732ED" w:rsidRPr="000F51D7">
        <w:rPr>
          <w:lang w:bidi="en-US"/>
        </w:rPr>
        <w:t>C</w:t>
      </w:r>
      <w:r w:rsidR="00B04FD8" w:rsidRPr="000F51D7">
        <w:rPr>
          <w:lang w:bidi="en-US"/>
        </w:rPr>
        <w:t xml:space="preserve">onventions were also cancelled.  Salem testified that </w:t>
      </w:r>
      <w:r w:rsidR="008732ED" w:rsidRPr="000F51D7">
        <w:rPr>
          <w:lang w:bidi="en-US"/>
        </w:rPr>
        <w:t>travel</w:t>
      </w:r>
      <w:r w:rsidR="008732ED" w:rsidRPr="000F51D7">
        <w:rPr>
          <w:i/>
          <w:iCs/>
          <w:lang w:bidi="en-US"/>
        </w:rPr>
        <w:t xml:space="preserve"> </w:t>
      </w:r>
      <w:r w:rsidR="008732ED" w:rsidRPr="000F51D7">
        <w:rPr>
          <w:lang w:bidi="en-US"/>
        </w:rPr>
        <w:t xml:space="preserve">reductions </w:t>
      </w:r>
      <w:r w:rsidR="00157E4D" w:rsidRPr="000F51D7">
        <w:rPr>
          <w:lang w:bidi="en-US"/>
        </w:rPr>
        <w:t>had a “</w:t>
      </w:r>
      <w:r w:rsidR="00536AE9" w:rsidRPr="000F51D7">
        <w:rPr>
          <w:lang w:bidi="en-US"/>
        </w:rPr>
        <w:t>[</w:t>
      </w:r>
      <w:r w:rsidR="00157E4D" w:rsidRPr="000F51D7">
        <w:rPr>
          <w:lang w:bidi="en-US"/>
        </w:rPr>
        <w:t>m</w:t>
      </w:r>
      <w:r w:rsidR="00536AE9" w:rsidRPr="000F51D7">
        <w:rPr>
          <w:lang w:bidi="en-US"/>
        </w:rPr>
        <w:t>]</w:t>
      </w:r>
      <w:r w:rsidR="00157E4D" w:rsidRPr="000F51D7">
        <w:rPr>
          <w:lang w:bidi="en-US"/>
        </w:rPr>
        <w:t xml:space="preserve">assive impact” on the </w:t>
      </w:r>
      <w:r w:rsidR="008732ED" w:rsidRPr="000F51D7">
        <w:rPr>
          <w:lang w:bidi="en-US"/>
        </w:rPr>
        <w:t>business.</w:t>
      </w:r>
      <w:r w:rsidR="00157E4D" w:rsidRPr="000F51D7">
        <w:rPr>
          <w:lang w:bidi="en-US"/>
        </w:rPr>
        <w:t xml:space="preserve">  </w:t>
      </w:r>
      <w:r w:rsidR="008732ED" w:rsidRPr="000F51D7">
        <w:rPr>
          <w:lang w:bidi="en-US"/>
        </w:rPr>
        <w:t>In</w:t>
      </w:r>
      <w:r w:rsidR="00EC087A">
        <w:rPr>
          <w:lang w:bidi="en-US"/>
        </w:rPr>
        <w:t> </w:t>
      </w:r>
      <w:r w:rsidR="008732ED" w:rsidRPr="000F51D7">
        <w:rPr>
          <w:lang w:bidi="en-US"/>
        </w:rPr>
        <w:t>a declaration, he added:</w:t>
      </w:r>
    </w:p>
    <w:p w14:paraId="77CCB577" w14:textId="060D9138" w:rsidR="0062174F" w:rsidRPr="000F51D7" w:rsidRDefault="0062174F" w:rsidP="0062174F">
      <w:pPr>
        <w:pStyle w:val="IndentedQuote"/>
        <w:rPr>
          <w:lang w:bidi="en-US"/>
        </w:rPr>
      </w:pPr>
      <w:r w:rsidRPr="000F51D7">
        <w:rPr>
          <w:lang w:bidi="en-US"/>
        </w:rPr>
        <w:t xml:space="preserve">“As a result of the closure of these businesses, and the cancellations of conventions and graduations due to coronavirus, in total, business dropped off at Best Rest by about 90% during the second half of March 2020.” </w:t>
      </w:r>
    </w:p>
    <w:p w14:paraId="2F48882C" w14:textId="0C9CD0E9" w:rsidR="00B04FD8" w:rsidRPr="000F51D7" w:rsidRDefault="00B04FD8" w:rsidP="0062174F">
      <w:pPr>
        <w:pStyle w:val="IndentedQuote"/>
        <w:rPr>
          <w:lang w:bidi="en-US"/>
        </w:rPr>
      </w:pPr>
    </w:p>
    <w:p w14:paraId="012268AE" w14:textId="29956DFD" w:rsidR="00E57841" w:rsidRPr="000F51D7" w:rsidRDefault="00B04FD8" w:rsidP="00B04FD8">
      <w:pPr>
        <w:rPr>
          <w:lang w:bidi="en-US"/>
        </w:rPr>
      </w:pPr>
      <w:r w:rsidRPr="000F51D7">
        <w:rPr>
          <w:lang w:bidi="en-US"/>
        </w:rPr>
        <w:tab/>
      </w:r>
      <w:r w:rsidR="00E57841" w:rsidRPr="000F51D7">
        <w:rPr>
          <w:lang w:bidi="en-US"/>
        </w:rPr>
        <w:t xml:space="preserve">The hotel nevertheless </w:t>
      </w:r>
      <w:r w:rsidRPr="000F51D7">
        <w:rPr>
          <w:lang w:bidi="en-US"/>
        </w:rPr>
        <w:t>continued to operate during the pandemic, albeit at a much reduced</w:t>
      </w:r>
      <w:r w:rsidR="00B933A7" w:rsidRPr="000F51D7">
        <w:rPr>
          <w:lang w:bidi="en-US"/>
        </w:rPr>
        <w:t xml:space="preserve"> </w:t>
      </w:r>
      <w:r w:rsidRPr="000F51D7">
        <w:rPr>
          <w:lang w:bidi="en-US"/>
        </w:rPr>
        <w:t xml:space="preserve">occupancy.  </w:t>
      </w:r>
      <w:r w:rsidR="000B6E18" w:rsidRPr="000F51D7">
        <w:rPr>
          <w:lang w:bidi="en-US"/>
        </w:rPr>
        <w:t>P</w:t>
      </w:r>
      <w:r w:rsidR="00220C82" w:rsidRPr="000F51D7">
        <w:rPr>
          <w:lang w:bidi="en-US"/>
        </w:rPr>
        <w:t>lexiglass barriers</w:t>
      </w:r>
      <w:r w:rsidR="000B6E18" w:rsidRPr="000F51D7">
        <w:rPr>
          <w:lang w:bidi="en-US"/>
        </w:rPr>
        <w:t xml:space="preserve"> and</w:t>
      </w:r>
      <w:r w:rsidR="00220C82" w:rsidRPr="000F51D7">
        <w:rPr>
          <w:lang w:bidi="en-US"/>
        </w:rPr>
        <w:t xml:space="preserve"> sanitation stations</w:t>
      </w:r>
      <w:r w:rsidR="000B6E18" w:rsidRPr="000F51D7">
        <w:rPr>
          <w:lang w:bidi="en-US"/>
        </w:rPr>
        <w:t xml:space="preserve"> were installed.  Management posted signs encouraging </w:t>
      </w:r>
      <w:r w:rsidR="00220C82" w:rsidRPr="000F51D7">
        <w:rPr>
          <w:lang w:bidi="en-US"/>
        </w:rPr>
        <w:t xml:space="preserve">social distancing. </w:t>
      </w:r>
    </w:p>
    <w:p w14:paraId="1E8C3CEA" w14:textId="63936BA4" w:rsidR="00B634B5" w:rsidRPr="000F51D7" w:rsidRDefault="00E57841" w:rsidP="00B04FD8">
      <w:pPr>
        <w:rPr>
          <w:lang w:bidi="en-US"/>
        </w:rPr>
      </w:pPr>
      <w:r w:rsidRPr="000F51D7">
        <w:rPr>
          <w:lang w:bidi="en-US"/>
        </w:rPr>
        <w:tab/>
        <w:t>But d</w:t>
      </w:r>
      <w:r w:rsidR="00B933A7" w:rsidRPr="000F51D7">
        <w:rPr>
          <w:lang w:bidi="en-US"/>
        </w:rPr>
        <w:t>espite these precautions, s</w:t>
      </w:r>
      <w:r w:rsidR="00220C82" w:rsidRPr="000F51D7">
        <w:rPr>
          <w:lang w:bidi="en-US"/>
        </w:rPr>
        <w:t>everal employees and guest</w:t>
      </w:r>
      <w:r w:rsidR="00B933A7" w:rsidRPr="000F51D7">
        <w:rPr>
          <w:lang w:bidi="en-US"/>
        </w:rPr>
        <w:t>s</w:t>
      </w:r>
      <w:r w:rsidR="00220C82" w:rsidRPr="000F51D7">
        <w:rPr>
          <w:lang w:bidi="en-US"/>
        </w:rPr>
        <w:t xml:space="preserve"> </w:t>
      </w:r>
      <w:r w:rsidR="005C5CDE" w:rsidRPr="000F51D7">
        <w:rPr>
          <w:lang w:bidi="en-US"/>
        </w:rPr>
        <w:t xml:space="preserve">became </w:t>
      </w:r>
      <w:r w:rsidR="00220C82" w:rsidRPr="000F51D7">
        <w:rPr>
          <w:lang w:bidi="en-US"/>
        </w:rPr>
        <w:t xml:space="preserve">infected with COVID-19. </w:t>
      </w:r>
      <w:r w:rsidR="00292709" w:rsidRPr="000F51D7">
        <w:rPr>
          <w:lang w:bidi="en-US"/>
        </w:rPr>
        <w:t xml:space="preserve"> </w:t>
      </w:r>
      <w:r w:rsidR="00E62F83" w:rsidRPr="000F51D7">
        <w:rPr>
          <w:lang w:bidi="en-US"/>
        </w:rPr>
        <w:t xml:space="preserve">One guest was </w:t>
      </w:r>
      <w:r w:rsidR="00292709" w:rsidRPr="000F51D7">
        <w:rPr>
          <w:lang w:bidi="en-US"/>
        </w:rPr>
        <w:t xml:space="preserve">taken </w:t>
      </w:r>
      <w:r w:rsidR="005C5CDE" w:rsidRPr="000F51D7">
        <w:rPr>
          <w:lang w:bidi="en-US"/>
        </w:rPr>
        <w:t xml:space="preserve">from the room on a </w:t>
      </w:r>
      <w:r w:rsidR="00292709" w:rsidRPr="000F51D7">
        <w:rPr>
          <w:lang w:bidi="en-US"/>
        </w:rPr>
        <w:t xml:space="preserve">stretcher </w:t>
      </w:r>
      <w:r w:rsidR="00B634B5" w:rsidRPr="000F51D7">
        <w:rPr>
          <w:lang w:bidi="en-US"/>
        </w:rPr>
        <w:t xml:space="preserve">by </w:t>
      </w:r>
      <w:r w:rsidR="00E62F83" w:rsidRPr="000F51D7">
        <w:rPr>
          <w:lang w:bidi="en-US"/>
        </w:rPr>
        <w:t xml:space="preserve">men </w:t>
      </w:r>
      <w:r w:rsidR="005C5CDE" w:rsidRPr="000F51D7">
        <w:rPr>
          <w:lang w:bidi="en-US"/>
        </w:rPr>
        <w:t xml:space="preserve">in hazmat </w:t>
      </w:r>
      <w:r w:rsidR="00E62F83" w:rsidRPr="000F51D7">
        <w:rPr>
          <w:lang w:bidi="en-US"/>
        </w:rPr>
        <w:t xml:space="preserve">suits.  </w:t>
      </w:r>
      <w:r w:rsidR="00292709" w:rsidRPr="000F51D7">
        <w:rPr>
          <w:lang w:bidi="en-US"/>
        </w:rPr>
        <w:t>H</w:t>
      </w:r>
      <w:r w:rsidR="00B634B5" w:rsidRPr="000F51D7">
        <w:rPr>
          <w:lang w:bidi="en-US"/>
        </w:rPr>
        <w:t>otel personnel “</w:t>
      </w:r>
      <w:r w:rsidR="00BB74F3" w:rsidRPr="000F51D7">
        <w:rPr>
          <w:lang w:bidi="en-US"/>
        </w:rPr>
        <w:t xml:space="preserve">intensively sanitized” those areas and </w:t>
      </w:r>
      <w:r w:rsidR="00292709" w:rsidRPr="000F51D7">
        <w:rPr>
          <w:lang w:bidi="en-US"/>
        </w:rPr>
        <w:t xml:space="preserve">could not use them until they were </w:t>
      </w:r>
      <w:r w:rsidR="00BB74F3" w:rsidRPr="000F51D7">
        <w:rPr>
          <w:lang w:bidi="en-US"/>
        </w:rPr>
        <w:t>“safe to enter</w:t>
      </w:r>
      <w:r w:rsidR="00292709" w:rsidRPr="000F51D7">
        <w:rPr>
          <w:lang w:bidi="en-US"/>
        </w:rPr>
        <w:t>.</w:t>
      </w:r>
      <w:r w:rsidR="00BB74F3" w:rsidRPr="000F51D7">
        <w:rPr>
          <w:lang w:bidi="en-US"/>
        </w:rPr>
        <w:t xml:space="preserve">”  </w:t>
      </w:r>
    </w:p>
    <w:p w14:paraId="770734B6" w14:textId="78D1E3FD" w:rsidR="00B04FD8" w:rsidRPr="000F51D7" w:rsidRDefault="00B634B5" w:rsidP="00B04FD8">
      <w:pPr>
        <w:rPr>
          <w:lang w:bidi="en-US"/>
        </w:rPr>
      </w:pPr>
      <w:r w:rsidRPr="000F51D7">
        <w:rPr>
          <w:lang w:bidi="en-US"/>
        </w:rPr>
        <w:lastRenderedPageBreak/>
        <w:tab/>
      </w:r>
      <w:r w:rsidR="00BB74F3" w:rsidRPr="000F51D7">
        <w:rPr>
          <w:lang w:bidi="en-US"/>
        </w:rPr>
        <w:t>Additionally, d</w:t>
      </w:r>
      <w:r w:rsidR="00220C82" w:rsidRPr="000F51D7">
        <w:rPr>
          <w:lang w:bidi="en-US"/>
        </w:rPr>
        <w:t>ue to the suspected presence of COVID-19</w:t>
      </w:r>
      <w:r w:rsidRPr="000F51D7">
        <w:rPr>
          <w:lang w:bidi="en-US"/>
        </w:rPr>
        <w:t xml:space="preserve"> and/or risk of transmission</w:t>
      </w:r>
      <w:r w:rsidR="00220C82" w:rsidRPr="000F51D7">
        <w:rPr>
          <w:lang w:bidi="en-US"/>
        </w:rPr>
        <w:t xml:space="preserve">, </w:t>
      </w:r>
      <w:r w:rsidR="00E62F83" w:rsidRPr="000F51D7">
        <w:rPr>
          <w:lang w:bidi="en-US"/>
        </w:rPr>
        <w:t>the hotel</w:t>
      </w:r>
      <w:r w:rsidR="005C5CDE" w:rsidRPr="000F51D7">
        <w:rPr>
          <w:lang w:bidi="en-US"/>
        </w:rPr>
        <w:t xml:space="preserve"> closed its </w:t>
      </w:r>
      <w:r w:rsidR="00220C82" w:rsidRPr="000F51D7">
        <w:rPr>
          <w:lang w:bidi="en-US"/>
        </w:rPr>
        <w:t>gym and swimming pool</w:t>
      </w:r>
      <w:r w:rsidR="005C5CDE" w:rsidRPr="000F51D7">
        <w:rPr>
          <w:lang w:bidi="en-US"/>
        </w:rPr>
        <w:t>, and changed the breakfast area to take-out only.</w:t>
      </w:r>
      <w:r w:rsidR="00220C82" w:rsidRPr="000F51D7">
        <w:rPr>
          <w:lang w:bidi="en-US"/>
        </w:rPr>
        <w:t xml:space="preserve"> </w:t>
      </w:r>
      <w:r w:rsidR="006D73BA" w:rsidRPr="000F51D7">
        <w:rPr>
          <w:lang w:bidi="en-US"/>
        </w:rPr>
        <w:t xml:space="preserve"> </w:t>
      </w:r>
      <w:r w:rsidR="00EA1762" w:rsidRPr="000F51D7">
        <w:rPr>
          <w:lang w:bidi="en-US"/>
        </w:rPr>
        <w:t xml:space="preserve">Significantly, however, </w:t>
      </w:r>
      <w:r w:rsidR="005C5CDE" w:rsidRPr="000F51D7">
        <w:rPr>
          <w:lang w:bidi="en-US"/>
        </w:rPr>
        <w:t xml:space="preserve">in deposition testimony </w:t>
      </w:r>
      <w:r w:rsidR="00EA1762" w:rsidRPr="000F51D7">
        <w:rPr>
          <w:lang w:bidi="en-US"/>
        </w:rPr>
        <w:t>S</w:t>
      </w:r>
      <w:r w:rsidR="006D73BA" w:rsidRPr="000F51D7">
        <w:rPr>
          <w:lang w:bidi="en-US"/>
        </w:rPr>
        <w:t xml:space="preserve">alem conceded that </w:t>
      </w:r>
      <w:r w:rsidRPr="000F51D7">
        <w:rPr>
          <w:lang w:bidi="en-US"/>
        </w:rPr>
        <w:t>the hotel did not shut down any guest</w:t>
      </w:r>
      <w:r w:rsidR="006D73BA" w:rsidRPr="000F51D7">
        <w:rPr>
          <w:lang w:bidi="en-US"/>
        </w:rPr>
        <w:t xml:space="preserve"> rooms. </w:t>
      </w:r>
    </w:p>
    <w:p w14:paraId="4804BD96" w14:textId="5B1378DE" w:rsidR="00AE151C" w:rsidRPr="000F51D7" w:rsidRDefault="00AE151C" w:rsidP="00B04FD8">
      <w:pPr>
        <w:rPr>
          <w:lang w:bidi="en-US"/>
        </w:rPr>
      </w:pPr>
      <w:r w:rsidRPr="000F51D7">
        <w:rPr>
          <w:lang w:bidi="en-US"/>
        </w:rPr>
        <w:tab/>
        <w:t xml:space="preserve">In March 2020, Best Rest submitted a claim to Sequoia </w:t>
      </w:r>
      <w:r w:rsidR="00EA1762" w:rsidRPr="000F51D7">
        <w:rPr>
          <w:lang w:bidi="en-US"/>
        </w:rPr>
        <w:t>under the business income coverage.</w:t>
      </w:r>
      <w:r w:rsidRPr="000F51D7">
        <w:rPr>
          <w:lang w:bidi="en-US"/>
        </w:rPr>
        <w:t xml:space="preserve"> </w:t>
      </w:r>
      <w:r w:rsidR="009812D9" w:rsidRPr="000F51D7">
        <w:rPr>
          <w:lang w:bidi="en-US"/>
        </w:rPr>
        <w:t xml:space="preserve"> A few weeks later, Sequoia denied coverage on the grounds that “there was no direct physical damage” to the covered property and no “direct physical loss of or da</w:t>
      </w:r>
      <w:r w:rsidR="00EA1762" w:rsidRPr="000F51D7">
        <w:rPr>
          <w:lang w:bidi="en-US"/>
        </w:rPr>
        <w:t>mage</w:t>
      </w:r>
      <w:r w:rsidR="009812D9" w:rsidRPr="000F51D7">
        <w:rPr>
          <w:lang w:bidi="en-US"/>
        </w:rPr>
        <w:t xml:space="preserve"> to property, other than at the described premises, caused by or resulting from any Covered Cause of Loss.” </w:t>
      </w:r>
    </w:p>
    <w:p w14:paraId="0B7BFB48" w14:textId="3315BA28" w:rsidR="00531ED0" w:rsidRPr="000F51D7" w:rsidRDefault="00531ED0" w:rsidP="00B04FD8">
      <w:pPr>
        <w:rPr>
          <w:lang w:bidi="en-US"/>
        </w:rPr>
      </w:pPr>
      <w:r w:rsidRPr="000F51D7">
        <w:rPr>
          <w:lang w:bidi="en-US"/>
        </w:rPr>
        <w:tab/>
        <w:t>In May 2020</w:t>
      </w:r>
      <w:r w:rsidR="00ED57AB" w:rsidRPr="000F51D7">
        <w:rPr>
          <w:lang w:bidi="en-US"/>
        </w:rPr>
        <w:t xml:space="preserve"> (more than a year before</w:t>
      </w:r>
      <w:r w:rsidR="008C4D10" w:rsidRPr="000F51D7">
        <w:rPr>
          <w:lang w:bidi="en-US"/>
        </w:rPr>
        <w:t xml:space="preserve"> our</w:t>
      </w:r>
      <w:r w:rsidR="00ED57AB" w:rsidRPr="000F51D7">
        <w:rPr>
          <w:lang w:bidi="en-US"/>
        </w:rPr>
        <w:t xml:space="preserve"> </w:t>
      </w:r>
      <w:r w:rsidR="00ED57AB" w:rsidRPr="000F51D7">
        <w:rPr>
          <w:i/>
          <w:lang w:bidi="en-US"/>
        </w:rPr>
        <w:t>Inns</w:t>
      </w:r>
      <w:r w:rsidR="008C4D10" w:rsidRPr="000F51D7">
        <w:rPr>
          <w:i/>
          <w:lang w:bidi="en-US"/>
        </w:rPr>
        <w:t xml:space="preserve"> </w:t>
      </w:r>
      <w:r w:rsidR="008C4D10" w:rsidRPr="000F51D7">
        <w:rPr>
          <w:iCs/>
          <w:lang w:bidi="en-US"/>
        </w:rPr>
        <w:t>decision</w:t>
      </w:r>
      <w:r w:rsidR="00ED57AB" w:rsidRPr="000F51D7">
        <w:rPr>
          <w:iCs/>
          <w:lang w:bidi="en-US"/>
        </w:rPr>
        <w:t>)</w:t>
      </w:r>
      <w:r w:rsidRPr="000F51D7">
        <w:rPr>
          <w:lang w:bidi="en-US"/>
        </w:rPr>
        <w:t>, Best Rest sued Sequoia for breach of contract, breach of the implied covenant of good faith and fair dealing, and declaratory relief.  In a section of the complaint entitled “The Loss,”</w:t>
      </w:r>
      <w:r w:rsidR="005D3AD8" w:rsidRPr="000F51D7">
        <w:rPr>
          <w:lang w:bidi="en-US"/>
        </w:rPr>
        <w:t xml:space="preserve"> excerpts of which are quoted below,</w:t>
      </w:r>
      <w:r w:rsidRPr="000F51D7">
        <w:rPr>
          <w:lang w:bidi="en-US"/>
        </w:rPr>
        <w:t xml:space="preserve"> Best Rest alleged</w:t>
      </w:r>
      <w:r w:rsidR="00B634B5" w:rsidRPr="000F51D7">
        <w:rPr>
          <w:lang w:bidi="en-US"/>
        </w:rPr>
        <w:t xml:space="preserve"> that its lost business income was the result of </w:t>
      </w:r>
      <w:r w:rsidR="005D3AD8" w:rsidRPr="000F51D7">
        <w:rPr>
          <w:lang w:bidi="en-US"/>
        </w:rPr>
        <w:t xml:space="preserve">(1) state </w:t>
      </w:r>
      <w:r w:rsidR="00B634B5" w:rsidRPr="000F51D7">
        <w:rPr>
          <w:lang w:bidi="en-US"/>
        </w:rPr>
        <w:t xml:space="preserve">government shut down orders, </w:t>
      </w:r>
      <w:r w:rsidR="005D3AD8" w:rsidRPr="000F51D7">
        <w:rPr>
          <w:lang w:bidi="en-US"/>
        </w:rPr>
        <w:t>(2) federal border closings, and (3) community-wide COVID-19 infections, all combining to cause massive reductions in tourism and travel</w:t>
      </w:r>
      <w:r w:rsidR="00ED57AB" w:rsidRPr="000F51D7">
        <w:rPr>
          <w:lang w:bidi="en-US"/>
        </w:rPr>
        <w:t>.  Key allegations in the complaint include</w:t>
      </w:r>
      <w:r w:rsidR="005C5CDE" w:rsidRPr="000F51D7">
        <w:rPr>
          <w:lang w:bidi="en-US"/>
        </w:rPr>
        <w:t>d</w:t>
      </w:r>
      <w:r w:rsidR="005D3AD8" w:rsidRPr="000F51D7">
        <w:rPr>
          <w:lang w:bidi="en-US"/>
        </w:rPr>
        <w:t>:</w:t>
      </w:r>
    </w:p>
    <w:p w14:paraId="69AE10EB" w14:textId="41463C44" w:rsidR="00752224" w:rsidRPr="000F51D7" w:rsidRDefault="00752224" w:rsidP="00752224">
      <w:pPr>
        <w:pStyle w:val="ListParagraph"/>
        <w:numPr>
          <w:ilvl w:val="0"/>
          <w:numId w:val="1"/>
        </w:numPr>
        <w:spacing w:line="240" w:lineRule="auto"/>
        <w:rPr>
          <w:lang w:bidi="en-US"/>
        </w:rPr>
      </w:pPr>
      <w:r w:rsidRPr="000F51D7">
        <w:rPr>
          <w:lang w:bidi="en-US"/>
        </w:rPr>
        <w:t xml:space="preserve">“Because tourism and non-essential business travel were suspended pursuant to Governor Newsom’s Executive Order, Best Rest suffered a dramatic surge of reservation cancellations and a disastrous evaporation of business income.” </w:t>
      </w:r>
    </w:p>
    <w:p w14:paraId="466F78B8" w14:textId="77777777" w:rsidR="00752224" w:rsidRPr="000F51D7" w:rsidRDefault="00752224" w:rsidP="00330F2E">
      <w:pPr>
        <w:pStyle w:val="ListParagraph"/>
        <w:spacing w:line="120" w:lineRule="auto"/>
        <w:rPr>
          <w:lang w:bidi="en-US"/>
        </w:rPr>
      </w:pPr>
    </w:p>
    <w:p w14:paraId="72DCD601" w14:textId="3E82DA70" w:rsidR="00752224" w:rsidRPr="000F51D7" w:rsidRDefault="00752224" w:rsidP="00752224">
      <w:pPr>
        <w:pStyle w:val="ListParagraph"/>
        <w:numPr>
          <w:ilvl w:val="0"/>
          <w:numId w:val="1"/>
        </w:numPr>
        <w:spacing w:line="240" w:lineRule="auto"/>
        <w:rPr>
          <w:lang w:bidi="en-US"/>
        </w:rPr>
      </w:pPr>
      <w:r w:rsidRPr="000F51D7">
        <w:rPr>
          <w:lang w:bidi="en-US"/>
        </w:rPr>
        <w:t xml:space="preserve">In March 2020, the federal government closed its border with Mexico and Canada to any nonessential travel.  “These closures further exacerbated damage to [Best Rest’s] business.” </w:t>
      </w:r>
    </w:p>
    <w:p w14:paraId="55D3AB3D" w14:textId="77777777" w:rsidR="00752224" w:rsidRPr="000F51D7" w:rsidRDefault="00752224" w:rsidP="00330F2E">
      <w:pPr>
        <w:pStyle w:val="ListParagraph"/>
        <w:spacing w:line="120" w:lineRule="auto"/>
        <w:rPr>
          <w:lang w:bidi="en-US"/>
        </w:rPr>
      </w:pPr>
    </w:p>
    <w:p w14:paraId="39D30B77" w14:textId="3D02DD72" w:rsidR="00157E4D" w:rsidRPr="000F51D7" w:rsidRDefault="00752224" w:rsidP="00587C02">
      <w:pPr>
        <w:pStyle w:val="ListParagraph"/>
        <w:numPr>
          <w:ilvl w:val="0"/>
          <w:numId w:val="1"/>
        </w:numPr>
        <w:spacing w:line="240" w:lineRule="auto"/>
        <w:rPr>
          <w:lang w:bidi="en-US"/>
        </w:rPr>
      </w:pPr>
      <w:r w:rsidRPr="000F51D7">
        <w:t xml:space="preserve">“As a result of the Emergency Order, Executive Order, Local Order, and community infection of COVID-19 in and around Old Town San Diego, the tourist-oriented businesses adjacent to the Insured Property, as well as regional theme parks and other facilities that attract visitors to the area, have been closed.  Large conventions like Comic-Con 2020, university graduations, and other large community gatherings on which Best Rest has historically relied to fill vacancies have been </w:t>
      </w:r>
      <w:r w:rsidRPr="000F51D7">
        <w:lastRenderedPageBreak/>
        <w:t>canceled</w:t>
      </w:r>
      <w:r w:rsidR="005C5CDE" w:rsidRPr="000F51D7">
        <w:t xml:space="preserve">. . . . </w:t>
      </w:r>
      <w:r w:rsidR="00F2716A">
        <w:t xml:space="preserve"> </w:t>
      </w:r>
      <w:r w:rsidR="005C5CDE" w:rsidRPr="000F51D7">
        <w:rPr>
          <w:i/>
          <w:iCs/>
        </w:rPr>
        <w:t>[T]</w:t>
      </w:r>
      <w:r w:rsidRPr="000F51D7">
        <w:rPr>
          <w:i/>
          <w:iCs/>
        </w:rPr>
        <w:t>he combined impacts of these and other actions taken to comply with the Emergency Order, Executive Order, and Local Order, as well as community infection of COVID-19 adjacent to the subject property, have caused a precipitous decline in business income</w:t>
      </w:r>
      <w:r w:rsidRPr="000F51D7">
        <w:t>.”</w:t>
      </w:r>
      <w:r w:rsidR="00773214" w:rsidRPr="000F51D7">
        <w:t xml:space="preserve">  (Italics added.)</w:t>
      </w:r>
      <w:r w:rsidR="00B14A47" w:rsidRPr="000F51D7">
        <w:rPr>
          <w:rStyle w:val="FootnoteReference"/>
        </w:rPr>
        <w:footnoteReference w:id="2"/>
      </w:r>
      <w:r w:rsidRPr="000F51D7">
        <w:t xml:space="preserve"> </w:t>
      </w:r>
    </w:p>
    <w:p w14:paraId="2D42F16B" w14:textId="77777777" w:rsidR="00ED57AB" w:rsidRPr="000F51D7" w:rsidRDefault="00ED57AB" w:rsidP="009625A6">
      <w:pPr>
        <w:pStyle w:val="ListParagraph"/>
        <w:spacing w:line="180" w:lineRule="auto"/>
        <w:rPr>
          <w:lang w:bidi="en-US"/>
        </w:rPr>
      </w:pPr>
    </w:p>
    <w:p w14:paraId="662C623F" w14:textId="62FA3024" w:rsidR="00ED57AB" w:rsidRPr="000F51D7" w:rsidRDefault="00752224" w:rsidP="00752224">
      <w:pPr>
        <w:rPr>
          <w:lang w:bidi="en-US"/>
        </w:rPr>
      </w:pPr>
      <w:r w:rsidRPr="000F51D7">
        <w:rPr>
          <w:lang w:bidi="en-US"/>
        </w:rPr>
        <w:tab/>
        <w:t xml:space="preserve">Sequoia </w:t>
      </w:r>
      <w:r w:rsidR="005B0E63" w:rsidRPr="000F51D7">
        <w:rPr>
          <w:lang w:bidi="en-US"/>
        </w:rPr>
        <w:t xml:space="preserve">moved </w:t>
      </w:r>
      <w:r w:rsidRPr="000F51D7">
        <w:rPr>
          <w:lang w:bidi="en-US"/>
        </w:rPr>
        <w:t>for summary judgment</w:t>
      </w:r>
      <w:r w:rsidR="00ED57AB" w:rsidRPr="000F51D7">
        <w:rPr>
          <w:lang w:bidi="en-US"/>
        </w:rPr>
        <w:t xml:space="preserve"> in April 2021</w:t>
      </w:r>
      <w:r w:rsidRPr="000F51D7">
        <w:rPr>
          <w:lang w:bidi="en-US"/>
        </w:rPr>
        <w:t xml:space="preserve">.  </w:t>
      </w:r>
      <w:r w:rsidR="00ED57AB" w:rsidRPr="000F51D7">
        <w:rPr>
          <w:lang w:bidi="en-US"/>
        </w:rPr>
        <w:t xml:space="preserve">The timing is important because this was </w:t>
      </w:r>
      <w:r w:rsidR="0077029D" w:rsidRPr="000F51D7">
        <w:rPr>
          <w:lang w:bidi="en-US"/>
        </w:rPr>
        <w:t xml:space="preserve">several </w:t>
      </w:r>
      <w:r w:rsidR="00ED57AB" w:rsidRPr="000F51D7">
        <w:rPr>
          <w:lang w:bidi="en-US"/>
        </w:rPr>
        <w:t xml:space="preserve">months </w:t>
      </w:r>
      <w:r w:rsidR="00ED57AB" w:rsidRPr="000F51D7">
        <w:rPr>
          <w:i/>
          <w:iCs/>
          <w:lang w:bidi="en-US"/>
        </w:rPr>
        <w:t>before</w:t>
      </w:r>
      <w:r w:rsidR="00ED57AB" w:rsidRPr="000F51D7">
        <w:rPr>
          <w:lang w:bidi="en-US"/>
        </w:rPr>
        <w:t xml:space="preserve"> our opinion in </w:t>
      </w:r>
      <w:r w:rsidR="00ED57AB" w:rsidRPr="000F51D7">
        <w:rPr>
          <w:i/>
          <w:iCs/>
          <w:lang w:bidi="en-US"/>
        </w:rPr>
        <w:t>Inns</w:t>
      </w:r>
      <w:r w:rsidR="00ED57AB" w:rsidRPr="000F51D7">
        <w:rPr>
          <w:lang w:bidi="en-US"/>
        </w:rPr>
        <w:t xml:space="preserve">.  </w:t>
      </w:r>
      <w:r w:rsidR="009D14A3" w:rsidRPr="000F51D7">
        <w:rPr>
          <w:lang w:bidi="en-US"/>
        </w:rPr>
        <w:t>As a result, although causation is addressed in the motion, it was not the focal point.</w:t>
      </w:r>
      <w:r w:rsidR="0077029D" w:rsidRPr="000F51D7">
        <w:rPr>
          <w:lang w:bidi="en-US"/>
        </w:rPr>
        <w:t xml:space="preserve"> </w:t>
      </w:r>
    </w:p>
    <w:p w14:paraId="37B6776B" w14:textId="04E34FA6" w:rsidR="009D14A3" w:rsidRPr="000F51D7" w:rsidRDefault="00ED57AB" w:rsidP="009D14A3">
      <w:pPr>
        <w:rPr>
          <w:lang w:bidi="en-US"/>
        </w:rPr>
      </w:pPr>
      <w:r w:rsidRPr="000F51D7">
        <w:rPr>
          <w:lang w:bidi="en-US"/>
        </w:rPr>
        <w:tab/>
      </w:r>
      <w:r w:rsidR="0077029D" w:rsidRPr="000F51D7">
        <w:rPr>
          <w:lang w:bidi="en-US"/>
        </w:rPr>
        <w:t>R</w:t>
      </w:r>
      <w:r w:rsidRPr="000F51D7">
        <w:rPr>
          <w:lang w:bidi="en-US"/>
        </w:rPr>
        <w:t xml:space="preserve">elying on </w:t>
      </w:r>
      <w:r w:rsidR="00545E7F" w:rsidRPr="000F51D7">
        <w:rPr>
          <w:i/>
          <w:iCs/>
          <w:lang w:bidi="en-US"/>
        </w:rPr>
        <w:t>MRI Healthcare C</w:t>
      </w:r>
      <w:r w:rsidR="00B16EE2" w:rsidRPr="000F51D7">
        <w:rPr>
          <w:i/>
          <w:iCs/>
          <w:lang w:bidi="en-US"/>
        </w:rPr>
        <w:t>en</w:t>
      </w:r>
      <w:r w:rsidR="00545E7F" w:rsidRPr="000F51D7">
        <w:rPr>
          <w:i/>
          <w:iCs/>
          <w:lang w:bidi="en-US"/>
        </w:rPr>
        <w:t>t</w:t>
      </w:r>
      <w:r w:rsidR="00B16EE2" w:rsidRPr="000F51D7">
        <w:rPr>
          <w:i/>
          <w:iCs/>
          <w:lang w:bidi="en-US"/>
        </w:rPr>
        <w:t>e</w:t>
      </w:r>
      <w:r w:rsidR="00545E7F" w:rsidRPr="000F51D7">
        <w:rPr>
          <w:i/>
          <w:iCs/>
          <w:lang w:bidi="en-US"/>
        </w:rPr>
        <w:t xml:space="preserve">r </w:t>
      </w:r>
      <w:r w:rsidR="009D14A3" w:rsidRPr="000F51D7">
        <w:rPr>
          <w:i/>
          <w:iCs/>
          <w:lang w:bidi="en-US"/>
        </w:rPr>
        <w:t>o</w:t>
      </w:r>
      <w:r w:rsidR="00545E7F" w:rsidRPr="000F51D7">
        <w:rPr>
          <w:i/>
          <w:iCs/>
          <w:lang w:bidi="en-US"/>
        </w:rPr>
        <w:t>f Glendale, Inc. v. State Farm General Ins</w:t>
      </w:r>
      <w:r w:rsidR="00CB466D" w:rsidRPr="000F51D7">
        <w:rPr>
          <w:i/>
          <w:iCs/>
          <w:lang w:bidi="en-US"/>
        </w:rPr>
        <w:t>.</w:t>
      </w:r>
      <w:r w:rsidR="00545E7F" w:rsidRPr="000F51D7">
        <w:rPr>
          <w:i/>
          <w:iCs/>
          <w:lang w:bidi="en-US"/>
        </w:rPr>
        <w:t xml:space="preserve"> Co.</w:t>
      </w:r>
      <w:r w:rsidR="00545E7F" w:rsidRPr="000F51D7">
        <w:rPr>
          <w:lang w:bidi="en-US"/>
        </w:rPr>
        <w:t xml:space="preserve"> (2010) 187 Cal.App.4th 766</w:t>
      </w:r>
      <w:r w:rsidR="0077029D" w:rsidRPr="000F51D7">
        <w:rPr>
          <w:lang w:bidi="en-US"/>
        </w:rPr>
        <w:t xml:space="preserve"> (</w:t>
      </w:r>
      <w:r w:rsidR="0077029D" w:rsidRPr="000F51D7">
        <w:rPr>
          <w:i/>
          <w:iCs/>
          <w:lang w:bidi="en-US"/>
        </w:rPr>
        <w:t>MRI Healthcare</w:t>
      </w:r>
      <w:r w:rsidR="0077029D" w:rsidRPr="000F51D7">
        <w:rPr>
          <w:lang w:bidi="en-US"/>
        </w:rPr>
        <w:t>)</w:t>
      </w:r>
      <w:r w:rsidR="00545E7F" w:rsidRPr="000F51D7">
        <w:rPr>
          <w:lang w:bidi="en-US"/>
        </w:rPr>
        <w:t xml:space="preserve">, Sequoia asserted that “direct physical loss or damage requires a ‘distinct, demonstrable, physical alteration of the property.’ ” </w:t>
      </w:r>
      <w:r w:rsidR="007318C3" w:rsidRPr="000F51D7">
        <w:rPr>
          <w:lang w:bidi="en-US"/>
        </w:rPr>
        <w:t xml:space="preserve"> </w:t>
      </w:r>
      <w:r w:rsidR="009D14A3" w:rsidRPr="000F51D7">
        <w:rPr>
          <w:lang w:bidi="en-US"/>
        </w:rPr>
        <w:t xml:space="preserve">Colorfully stating that </w:t>
      </w:r>
      <w:r w:rsidR="0064008F" w:rsidRPr="000F51D7">
        <w:rPr>
          <w:lang w:bidi="en-US"/>
        </w:rPr>
        <w:t xml:space="preserve">COVID-19 “ ‘harms people, not property,’ ” Sequoia maintained </w:t>
      </w:r>
      <w:r w:rsidR="009D14A3" w:rsidRPr="000F51D7">
        <w:rPr>
          <w:lang w:bidi="en-US"/>
        </w:rPr>
        <w:t>there was no coverage as a matter of law.</w:t>
      </w:r>
      <w:r w:rsidR="0064008F" w:rsidRPr="000F51D7">
        <w:rPr>
          <w:lang w:bidi="en-US"/>
        </w:rPr>
        <w:t xml:space="preserve"> </w:t>
      </w:r>
      <w:r w:rsidR="005B0E63" w:rsidRPr="000F51D7">
        <w:rPr>
          <w:lang w:bidi="en-US"/>
        </w:rPr>
        <w:t xml:space="preserve"> Alternatively, S</w:t>
      </w:r>
      <w:r w:rsidR="0064008F" w:rsidRPr="000F51D7">
        <w:rPr>
          <w:lang w:bidi="en-US"/>
        </w:rPr>
        <w:t xml:space="preserve">equoia </w:t>
      </w:r>
      <w:r w:rsidR="005B0E63" w:rsidRPr="000F51D7">
        <w:rPr>
          <w:lang w:bidi="en-US"/>
        </w:rPr>
        <w:t>maintained</w:t>
      </w:r>
      <w:r w:rsidR="0064008F" w:rsidRPr="000F51D7">
        <w:rPr>
          <w:lang w:bidi="en-US"/>
        </w:rPr>
        <w:t xml:space="preserve"> “there is no nexus between Best Rest’s losses and the alleged presence of COVID-19 at the motel.” </w:t>
      </w:r>
      <w:r w:rsidR="005B0E63" w:rsidRPr="000F51D7">
        <w:rPr>
          <w:lang w:bidi="en-US"/>
        </w:rPr>
        <w:t xml:space="preserve"> </w:t>
      </w:r>
      <w:r w:rsidR="009D14A3" w:rsidRPr="000F51D7">
        <w:rPr>
          <w:lang w:bidi="en-US"/>
        </w:rPr>
        <w:t>It</w:t>
      </w:r>
      <w:r w:rsidR="0064008F" w:rsidRPr="000F51D7">
        <w:rPr>
          <w:lang w:bidi="en-US"/>
        </w:rPr>
        <w:t xml:space="preserve"> </w:t>
      </w:r>
      <w:r w:rsidR="005B0E63" w:rsidRPr="000F51D7">
        <w:rPr>
          <w:lang w:bidi="en-US"/>
        </w:rPr>
        <w:t>asserted</w:t>
      </w:r>
      <w:r w:rsidR="009D14A3" w:rsidRPr="000F51D7">
        <w:rPr>
          <w:lang w:bidi="en-US"/>
        </w:rPr>
        <w:t xml:space="preserve">, “Other than the fact that there are fewer people traveling, there is no reason Best Rest could not rent its motel rooms.” </w:t>
      </w:r>
    </w:p>
    <w:p w14:paraId="20DCC48B" w14:textId="506CD78B" w:rsidR="00D8699E" w:rsidRDefault="006E2E24" w:rsidP="006D73BA">
      <w:pPr>
        <w:rPr>
          <w:lang w:bidi="en-US"/>
        </w:rPr>
      </w:pPr>
      <w:r w:rsidRPr="000F51D7">
        <w:rPr>
          <w:lang w:bidi="en-US"/>
        </w:rPr>
        <w:tab/>
        <w:t xml:space="preserve">Opposing the motion, Best Rest </w:t>
      </w:r>
      <w:r w:rsidR="009D14A3" w:rsidRPr="000F51D7">
        <w:rPr>
          <w:lang w:bidi="en-US"/>
        </w:rPr>
        <w:t>submitted a</w:t>
      </w:r>
      <w:r w:rsidR="0070327C" w:rsidRPr="000F51D7">
        <w:rPr>
          <w:lang w:bidi="en-US"/>
        </w:rPr>
        <w:t xml:space="preserve"> declaration from a </w:t>
      </w:r>
      <w:r w:rsidR="009D14A3" w:rsidRPr="000F51D7">
        <w:rPr>
          <w:lang w:bidi="en-US"/>
        </w:rPr>
        <w:t>board-certified infectious disease specialist, E</w:t>
      </w:r>
      <w:r w:rsidR="0070327C" w:rsidRPr="000F51D7">
        <w:rPr>
          <w:lang w:bidi="en-US"/>
        </w:rPr>
        <w:t>rik Dubberke</w:t>
      </w:r>
      <w:r w:rsidR="009D14A3" w:rsidRPr="000F51D7">
        <w:rPr>
          <w:lang w:bidi="en-US"/>
        </w:rPr>
        <w:t>.</w:t>
      </w:r>
      <w:r w:rsidR="0070327C" w:rsidRPr="000F51D7">
        <w:rPr>
          <w:lang w:bidi="en-US"/>
        </w:rPr>
        <w:t xml:space="preserve"> </w:t>
      </w:r>
      <w:r w:rsidR="00426138" w:rsidRPr="000F51D7">
        <w:rPr>
          <w:lang w:bidi="en-US"/>
        </w:rPr>
        <w:t xml:space="preserve"> </w:t>
      </w:r>
      <w:r w:rsidR="005B0E63" w:rsidRPr="000F51D7">
        <w:rPr>
          <w:lang w:bidi="en-US"/>
        </w:rPr>
        <w:t>He explained that COVID-19</w:t>
      </w:r>
      <w:r w:rsidR="002560C5" w:rsidRPr="000F51D7">
        <w:rPr>
          <w:lang w:bidi="en-US"/>
        </w:rPr>
        <w:t xml:space="preserve"> </w:t>
      </w:r>
      <w:r w:rsidR="00426138" w:rsidRPr="000F51D7">
        <w:rPr>
          <w:lang w:bidi="en-US"/>
        </w:rPr>
        <w:t xml:space="preserve">is transmitted by “respiratory droplets” </w:t>
      </w:r>
      <w:r w:rsidR="002560C5" w:rsidRPr="000F51D7">
        <w:rPr>
          <w:lang w:bidi="en-US"/>
        </w:rPr>
        <w:t xml:space="preserve">that can </w:t>
      </w:r>
      <w:r w:rsidR="00426138" w:rsidRPr="000F51D7">
        <w:rPr>
          <w:lang w:bidi="en-US"/>
        </w:rPr>
        <w:t xml:space="preserve">“remain viable and infectious” </w:t>
      </w:r>
      <w:r w:rsidR="00325B34" w:rsidRPr="000F51D7">
        <w:rPr>
          <w:lang w:bidi="en-US"/>
        </w:rPr>
        <w:t xml:space="preserve">on surfaces </w:t>
      </w:r>
      <w:r w:rsidR="00426138" w:rsidRPr="000F51D7">
        <w:rPr>
          <w:lang w:bidi="en-US"/>
        </w:rPr>
        <w:t xml:space="preserve">for “days.” </w:t>
      </w:r>
      <w:r w:rsidR="00325B34" w:rsidRPr="000F51D7">
        <w:rPr>
          <w:lang w:bidi="en-US"/>
        </w:rPr>
        <w:t xml:space="preserve"> </w:t>
      </w:r>
      <w:r w:rsidR="005B0E63" w:rsidRPr="000F51D7">
        <w:rPr>
          <w:lang w:bidi="en-US"/>
        </w:rPr>
        <w:t>Accordingly, wh</w:t>
      </w:r>
      <w:r w:rsidR="00325B34" w:rsidRPr="000F51D7">
        <w:rPr>
          <w:lang w:bidi="en-US"/>
        </w:rPr>
        <w:t xml:space="preserve">en a person “touches” </w:t>
      </w:r>
      <w:r w:rsidR="00325B34" w:rsidRPr="000F51D7">
        <w:rPr>
          <w:lang w:bidi="en-US"/>
        </w:rPr>
        <w:lastRenderedPageBreak/>
        <w:t>a</w:t>
      </w:r>
      <w:r w:rsidR="002560C5" w:rsidRPr="000F51D7">
        <w:rPr>
          <w:lang w:bidi="en-US"/>
        </w:rPr>
        <w:t>n infected</w:t>
      </w:r>
      <w:r w:rsidR="00325B34" w:rsidRPr="000F51D7">
        <w:rPr>
          <w:lang w:bidi="en-US"/>
        </w:rPr>
        <w:t xml:space="preserve"> surface</w:t>
      </w:r>
      <w:r w:rsidR="002560C5" w:rsidRPr="000F51D7">
        <w:rPr>
          <w:lang w:bidi="en-US"/>
        </w:rPr>
        <w:t>,</w:t>
      </w:r>
      <w:r w:rsidR="00325B34" w:rsidRPr="000F51D7">
        <w:rPr>
          <w:lang w:bidi="en-US"/>
        </w:rPr>
        <w:t xml:space="preserve"> “fomite transmission” can occur.</w:t>
      </w:r>
      <w:r w:rsidR="00325B34" w:rsidRPr="000F51D7">
        <w:rPr>
          <w:rStyle w:val="FootnoteReference"/>
          <w:lang w:bidi="en-US"/>
        </w:rPr>
        <w:footnoteReference w:id="3"/>
      </w:r>
      <w:r w:rsidR="00325B34" w:rsidRPr="000F51D7">
        <w:rPr>
          <w:lang w:bidi="en-US"/>
        </w:rPr>
        <w:t xml:space="preserve"> </w:t>
      </w:r>
      <w:r w:rsidR="002560C5" w:rsidRPr="000F51D7">
        <w:rPr>
          <w:lang w:bidi="en-US"/>
        </w:rPr>
        <w:t xml:space="preserve"> </w:t>
      </w:r>
      <w:r w:rsidR="005B0E63" w:rsidRPr="000F51D7">
        <w:rPr>
          <w:lang w:bidi="en-US"/>
        </w:rPr>
        <w:t xml:space="preserve">Dubberke </w:t>
      </w:r>
      <w:r w:rsidR="009D14A3" w:rsidRPr="000F51D7">
        <w:rPr>
          <w:lang w:bidi="en-US"/>
        </w:rPr>
        <w:t xml:space="preserve">opined </w:t>
      </w:r>
      <w:r w:rsidR="005B0E63" w:rsidRPr="000F51D7">
        <w:rPr>
          <w:lang w:bidi="en-US"/>
        </w:rPr>
        <w:t xml:space="preserve">that COVID-19 causes “direct physical damage to surfaces and air by making them infectious.”  </w:t>
      </w:r>
    </w:p>
    <w:p w14:paraId="04759303" w14:textId="63111197" w:rsidR="002560C5" w:rsidRPr="000F51D7" w:rsidRDefault="001375FF" w:rsidP="006D73BA">
      <w:pPr>
        <w:rPr>
          <w:lang w:bidi="en-US"/>
        </w:rPr>
      </w:pPr>
      <w:r w:rsidRPr="000F51D7">
        <w:rPr>
          <w:lang w:bidi="en-US"/>
        </w:rPr>
        <w:tab/>
      </w:r>
      <w:r w:rsidR="009D14A3" w:rsidRPr="000F51D7">
        <w:rPr>
          <w:lang w:bidi="en-US"/>
        </w:rPr>
        <w:t>Best Rest also emphasized the abs</w:t>
      </w:r>
      <w:r w:rsidRPr="000F51D7">
        <w:rPr>
          <w:lang w:bidi="en-US"/>
        </w:rPr>
        <w:t>ence of a “virus exclusion” in its Sequoia policy</w:t>
      </w:r>
      <w:r w:rsidR="009D14A3" w:rsidRPr="000F51D7">
        <w:rPr>
          <w:lang w:bidi="en-US"/>
        </w:rPr>
        <w:t xml:space="preserve">.  It </w:t>
      </w:r>
      <w:r w:rsidRPr="000F51D7">
        <w:rPr>
          <w:lang w:bidi="en-US"/>
        </w:rPr>
        <w:t>maintained that “ ‘direct physical loss or damage to property’ encompasses ‘loss of use.’ ”</w:t>
      </w:r>
      <w:r w:rsidRPr="000F51D7">
        <w:rPr>
          <w:rStyle w:val="FootnoteReference"/>
          <w:lang w:bidi="en-US"/>
        </w:rPr>
        <w:footnoteReference w:id="4"/>
      </w:r>
      <w:r w:rsidRPr="000F51D7">
        <w:rPr>
          <w:lang w:bidi="en-US"/>
        </w:rPr>
        <w:t xml:space="preserve">  </w:t>
      </w:r>
      <w:r w:rsidR="00981659" w:rsidRPr="000F51D7">
        <w:rPr>
          <w:lang w:bidi="en-US"/>
        </w:rPr>
        <w:t xml:space="preserve">On the issue of causation, </w:t>
      </w:r>
      <w:r w:rsidR="002560C5" w:rsidRPr="000F51D7">
        <w:rPr>
          <w:lang w:bidi="en-US"/>
        </w:rPr>
        <w:t>Best Rest claimed the</w:t>
      </w:r>
      <w:r w:rsidR="00981659" w:rsidRPr="000F51D7">
        <w:rPr>
          <w:lang w:bidi="en-US"/>
        </w:rPr>
        <w:t xml:space="preserve"> evidence created </w:t>
      </w:r>
      <w:r w:rsidR="002560C5" w:rsidRPr="000F51D7">
        <w:rPr>
          <w:lang w:bidi="en-US"/>
        </w:rPr>
        <w:t xml:space="preserve">a triable issue that “the coronavirus itself, as well as orders relating to the presence of the” virus “independently” caused its business losses.  </w:t>
      </w:r>
      <w:r w:rsidR="00981659" w:rsidRPr="000F51D7">
        <w:rPr>
          <w:lang w:bidi="en-US"/>
        </w:rPr>
        <w:t>I</w:t>
      </w:r>
      <w:r w:rsidR="002560C5" w:rsidRPr="000F51D7">
        <w:rPr>
          <w:lang w:bidi="en-US"/>
        </w:rPr>
        <w:t xml:space="preserve">t distinguished </w:t>
      </w:r>
      <w:r w:rsidR="002560C5" w:rsidRPr="000F51D7">
        <w:rPr>
          <w:i/>
          <w:iCs/>
          <w:lang w:bidi="en-US"/>
        </w:rPr>
        <w:t xml:space="preserve">MRI Healthcare </w:t>
      </w:r>
      <w:r w:rsidR="002560C5" w:rsidRPr="000F51D7">
        <w:rPr>
          <w:lang w:bidi="en-US"/>
        </w:rPr>
        <w:t xml:space="preserve">on numerous grounds, including that it involved </w:t>
      </w:r>
      <w:r w:rsidR="00A73CC0" w:rsidRPr="000F51D7">
        <w:rPr>
          <w:lang w:bidi="en-US"/>
        </w:rPr>
        <w:t xml:space="preserve">a mechanical failure in medical equipment, not an “external force” </w:t>
      </w:r>
      <w:r w:rsidR="00050F09" w:rsidRPr="000F51D7">
        <w:rPr>
          <w:lang w:bidi="en-US"/>
        </w:rPr>
        <w:t xml:space="preserve">like a virus. </w:t>
      </w:r>
      <w:r w:rsidRPr="000F51D7">
        <w:rPr>
          <w:lang w:bidi="en-US"/>
        </w:rPr>
        <w:t xml:space="preserve"> In sum, Best Rest asserted that</w:t>
      </w:r>
      <w:r w:rsidR="00994148" w:rsidRPr="000F51D7">
        <w:rPr>
          <w:lang w:bidi="en-US"/>
        </w:rPr>
        <w:t xml:space="preserve"> if Sequoia intended “direct physical loss of or damage to” property to mean structural or tangible alteration, it should have </w:t>
      </w:r>
      <w:r w:rsidR="00981659" w:rsidRPr="000F51D7">
        <w:rPr>
          <w:lang w:bidi="en-US"/>
        </w:rPr>
        <w:t xml:space="preserve">plainly </w:t>
      </w:r>
      <w:r w:rsidR="00994148" w:rsidRPr="000F51D7">
        <w:rPr>
          <w:lang w:bidi="en-US"/>
        </w:rPr>
        <w:t>said so.</w:t>
      </w:r>
      <w:r w:rsidR="009E24C5" w:rsidRPr="000F51D7">
        <w:rPr>
          <w:rStyle w:val="FootnoteReference"/>
          <w:lang w:bidi="en-US"/>
        </w:rPr>
        <w:footnoteReference w:id="5"/>
      </w:r>
      <w:r w:rsidR="00994148" w:rsidRPr="000F51D7">
        <w:rPr>
          <w:lang w:bidi="en-US"/>
        </w:rPr>
        <w:t xml:space="preserve"> </w:t>
      </w:r>
    </w:p>
    <w:p w14:paraId="0A29218B" w14:textId="186FEEA3" w:rsidR="00E73A6D" w:rsidRPr="000F51D7" w:rsidRDefault="00A73CC0" w:rsidP="006D73BA">
      <w:pPr>
        <w:rPr>
          <w:lang w:bidi="en-US"/>
        </w:rPr>
      </w:pPr>
      <w:r w:rsidRPr="000F51D7">
        <w:rPr>
          <w:lang w:bidi="en-US"/>
        </w:rPr>
        <w:tab/>
        <w:t>After conducting a hearing, the superior court granted summary judgment</w:t>
      </w:r>
      <w:r w:rsidR="00994148" w:rsidRPr="000F51D7">
        <w:rPr>
          <w:lang w:bidi="en-US"/>
        </w:rPr>
        <w:t xml:space="preserve"> in Sequoia’s favor</w:t>
      </w:r>
      <w:r w:rsidRPr="000F51D7">
        <w:rPr>
          <w:lang w:bidi="en-US"/>
        </w:rPr>
        <w:t xml:space="preserve">.  </w:t>
      </w:r>
      <w:r w:rsidR="00994148" w:rsidRPr="000F51D7">
        <w:rPr>
          <w:lang w:bidi="en-US"/>
        </w:rPr>
        <w:t xml:space="preserve">Citing </w:t>
      </w:r>
      <w:r w:rsidRPr="000F51D7">
        <w:rPr>
          <w:i/>
          <w:iCs/>
          <w:lang w:bidi="en-US"/>
        </w:rPr>
        <w:t>MRI Healthcare</w:t>
      </w:r>
      <w:r w:rsidRPr="000F51D7">
        <w:rPr>
          <w:lang w:bidi="en-US"/>
        </w:rPr>
        <w:t xml:space="preserve">, the court concluded </w:t>
      </w:r>
      <w:r w:rsidRPr="000F51D7">
        <w:rPr>
          <w:lang w:bidi="en-US"/>
        </w:rPr>
        <w:lastRenderedPageBreak/>
        <w:t xml:space="preserve">that as a matter of law, “there was no direct physical damage or loss of property” that would trigger coverage. </w:t>
      </w:r>
      <w:r w:rsidR="00167305" w:rsidRPr="000F51D7">
        <w:rPr>
          <w:lang w:bidi="en-US"/>
        </w:rPr>
        <w:t xml:space="preserve"> About t</w:t>
      </w:r>
      <w:r w:rsidR="00E73A6D" w:rsidRPr="000F51D7">
        <w:rPr>
          <w:lang w:bidi="en-US"/>
        </w:rPr>
        <w:t xml:space="preserve">wo weeks later, this court issued its opinion in </w:t>
      </w:r>
      <w:r w:rsidR="00E73A6D" w:rsidRPr="000F51D7">
        <w:rPr>
          <w:i/>
          <w:iCs/>
          <w:lang w:bidi="en-US"/>
        </w:rPr>
        <w:t>Inns</w:t>
      </w:r>
      <w:r w:rsidR="00E73A6D" w:rsidRPr="000F51D7">
        <w:rPr>
          <w:lang w:bidi="en-US"/>
        </w:rPr>
        <w:t>.</w:t>
      </w:r>
    </w:p>
    <w:p w14:paraId="4EDE9877" w14:textId="0AB7AC43" w:rsidR="00E71360" w:rsidRPr="000F51D7" w:rsidRDefault="00E71360" w:rsidP="000059C0">
      <w:pPr>
        <w:pStyle w:val="Heading1"/>
        <w:spacing w:before="120" w:after="120"/>
        <w:jc w:val="center"/>
        <w:rPr>
          <w:rFonts w:ascii="Century Schoolbook" w:hAnsi="Century Schoolbook"/>
          <w:sz w:val="26"/>
          <w:szCs w:val="26"/>
          <w:lang w:bidi="en-US"/>
        </w:rPr>
      </w:pPr>
      <w:r w:rsidRPr="000F51D7">
        <w:rPr>
          <w:rFonts w:ascii="Century Schoolbook" w:hAnsi="Century Schoolbook"/>
          <w:color w:val="auto"/>
          <w:sz w:val="26"/>
          <w:szCs w:val="26"/>
          <w:lang w:bidi="en-US"/>
        </w:rPr>
        <w:t>DISCUSSION</w:t>
      </w:r>
    </w:p>
    <w:p w14:paraId="51AF0BC3" w14:textId="366F5224" w:rsidR="00C45CA1" w:rsidRPr="000F51D7" w:rsidRDefault="001D79A4" w:rsidP="001D79A4">
      <w:pPr>
        <w:rPr>
          <w:iCs/>
          <w:lang w:bidi="en-US"/>
        </w:rPr>
      </w:pPr>
      <w:r w:rsidRPr="000F51D7">
        <w:rPr>
          <w:iCs/>
          <w:lang w:bidi="en-US"/>
        </w:rPr>
        <w:tab/>
      </w:r>
      <w:r w:rsidR="00A169C7" w:rsidRPr="000F51D7">
        <w:rPr>
          <w:iCs/>
          <w:lang w:bidi="en-US"/>
        </w:rPr>
        <w:t xml:space="preserve">This case is strikingly similar to </w:t>
      </w:r>
      <w:r w:rsidR="00A169C7" w:rsidRPr="000F51D7">
        <w:rPr>
          <w:i/>
          <w:lang w:bidi="en-US"/>
        </w:rPr>
        <w:t>Inns</w:t>
      </w:r>
      <w:r w:rsidR="00A169C7" w:rsidRPr="000F51D7">
        <w:rPr>
          <w:iCs/>
          <w:lang w:bidi="en-US"/>
        </w:rPr>
        <w:t xml:space="preserve">.  </w:t>
      </w:r>
      <w:r w:rsidR="00290D7A">
        <w:rPr>
          <w:iCs/>
          <w:lang w:bidi="en-US"/>
        </w:rPr>
        <w:t>Both</w:t>
      </w:r>
      <w:r w:rsidR="00C73A9F" w:rsidRPr="000F51D7">
        <w:rPr>
          <w:iCs/>
          <w:lang w:bidi="en-US"/>
        </w:rPr>
        <w:t xml:space="preserve"> involve a </w:t>
      </w:r>
      <w:r w:rsidR="000137A5" w:rsidRPr="000F51D7">
        <w:rPr>
          <w:iCs/>
          <w:lang w:bidi="en-US"/>
        </w:rPr>
        <w:t xml:space="preserve">lodging facility’s claim </w:t>
      </w:r>
      <w:r w:rsidR="00C45CA1" w:rsidRPr="000F51D7">
        <w:rPr>
          <w:iCs/>
          <w:lang w:bidi="en-US"/>
        </w:rPr>
        <w:t xml:space="preserve">for business losses as a result of </w:t>
      </w:r>
      <w:r w:rsidR="000E5AF6">
        <w:rPr>
          <w:iCs/>
          <w:lang w:bidi="en-US"/>
        </w:rPr>
        <w:t xml:space="preserve">the </w:t>
      </w:r>
      <w:r w:rsidR="00C45CA1" w:rsidRPr="000F51D7">
        <w:rPr>
          <w:iCs/>
          <w:lang w:bidi="en-US"/>
        </w:rPr>
        <w:t>COVID-19 pandemic.  (</w:t>
      </w:r>
      <w:bookmarkStart w:id="2" w:name="dabmci_a5473f70c5cf49d8bdd69a3752e13328"/>
      <w:r w:rsidR="00290D7A">
        <w:rPr>
          <w:iCs/>
          <w:lang w:bidi="en-US"/>
        </w:rPr>
        <w:t xml:space="preserve">See </w:t>
      </w:r>
      <w:r w:rsidR="00C45CA1" w:rsidRPr="000F51D7">
        <w:rPr>
          <w:i/>
          <w:iCs/>
          <w:lang w:bidi="en-US"/>
        </w:rPr>
        <w:t>Inns</w:t>
      </w:r>
      <w:r w:rsidR="00C45CA1" w:rsidRPr="000F51D7">
        <w:rPr>
          <w:lang w:bidi="en-US"/>
        </w:rPr>
        <w:t xml:space="preserve">, </w:t>
      </w:r>
      <w:r w:rsidR="00C45CA1" w:rsidRPr="000F51D7">
        <w:rPr>
          <w:i/>
          <w:iCs/>
          <w:lang w:bidi="en-US"/>
        </w:rPr>
        <w:t>supra</w:t>
      </w:r>
      <w:r w:rsidR="00C45CA1" w:rsidRPr="000F51D7">
        <w:rPr>
          <w:lang w:bidi="en-US"/>
        </w:rPr>
        <w:t xml:space="preserve">, 71 Cal.App.5th at </w:t>
      </w:r>
      <w:r w:rsidR="00C45CA1" w:rsidRPr="000F51D7">
        <w:rPr>
          <w:iCs/>
          <w:lang w:bidi="en-US"/>
        </w:rPr>
        <w:t>pp. 692</w:t>
      </w:r>
      <w:r w:rsidR="00815F62" w:rsidRPr="000F51D7">
        <w:rPr>
          <w:rFonts w:ascii="Times New Roman" w:hAnsi="Times New Roman" w:cs="Times New Roman"/>
          <w:iCs/>
          <w:lang w:bidi="en-US"/>
        </w:rPr>
        <w:t>‒</w:t>
      </w:r>
      <w:r w:rsidR="00C45CA1" w:rsidRPr="000F51D7">
        <w:rPr>
          <w:iCs/>
          <w:lang w:bidi="en-US"/>
        </w:rPr>
        <w:t>693</w:t>
      </w:r>
      <w:bookmarkEnd w:id="2"/>
      <w:r w:rsidR="00C45CA1" w:rsidRPr="000F51D7">
        <w:rPr>
          <w:iCs/>
          <w:lang w:bidi="en-US"/>
        </w:rPr>
        <w:t>.)</w:t>
      </w:r>
      <w:r w:rsidR="006D07B6" w:rsidRPr="000F51D7">
        <w:rPr>
          <w:iCs/>
          <w:lang w:bidi="en-US"/>
        </w:rPr>
        <w:t xml:space="preserve">  </w:t>
      </w:r>
      <w:r w:rsidR="00A169C7" w:rsidRPr="000F51D7">
        <w:rPr>
          <w:iCs/>
          <w:lang w:bidi="en-US"/>
        </w:rPr>
        <w:t>In deciding that case, w</w:t>
      </w:r>
      <w:r w:rsidR="006D07B6" w:rsidRPr="000F51D7">
        <w:rPr>
          <w:iCs/>
          <w:lang w:bidi="en-US"/>
        </w:rPr>
        <w:t>e assumed that “</w:t>
      </w:r>
      <w:r w:rsidR="004D7D35" w:rsidRPr="000F51D7">
        <w:rPr>
          <w:iCs/>
          <w:lang w:bidi="en-US"/>
        </w:rPr>
        <w:t> ‘</w:t>
      </w:r>
      <w:r w:rsidR="006D07B6" w:rsidRPr="000F51D7">
        <w:rPr>
          <w:iCs/>
          <w:lang w:bidi="en-US"/>
        </w:rPr>
        <w:t>at some point, a person infected with COVID-19 was known to have been present at one or more of [the insured’s] lodging facilities.</w:t>
      </w:r>
      <w:r w:rsidR="004D7D35" w:rsidRPr="000F51D7">
        <w:rPr>
          <w:iCs/>
          <w:lang w:bidi="en-US"/>
        </w:rPr>
        <w:t>’ </w:t>
      </w:r>
      <w:r w:rsidR="006D07B6" w:rsidRPr="000F51D7">
        <w:rPr>
          <w:iCs/>
          <w:lang w:bidi="en-US"/>
        </w:rPr>
        <w:t>”  (</w:t>
      </w:r>
      <w:r w:rsidR="006D07B6" w:rsidRPr="000F51D7">
        <w:rPr>
          <w:i/>
          <w:lang w:bidi="en-US"/>
        </w:rPr>
        <w:t>Id.</w:t>
      </w:r>
      <w:r w:rsidR="006D07B6" w:rsidRPr="000F51D7">
        <w:rPr>
          <w:iCs/>
          <w:lang w:bidi="en-US"/>
        </w:rPr>
        <w:t xml:space="preserve"> at p.</w:t>
      </w:r>
      <w:r w:rsidR="00D10785">
        <w:rPr>
          <w:iCs/>
          <w:lang w:bidi="en-US"/>
        </w:rPr>
        <w:t> </w:t>
      </w:r>
      <w:r w:rsidR="006D07B6" w:rsidRPr="000F51D7">
        <w:rPr>
          <w:iCs/>
          <w:lang w:bidi="en-US"/>
        </w:rPr>
        <w:t>699.)</w:t>
      </w:r>
      <w:r w:rsidR="00C45CA1" w:rsidRPr="000F51D7">
        <w:rPr>
          <w:iCs/>
          <w:lang w:bidi="en-US"/>
        </w:rPr>
        <w:t xml:space="preserve">  As here, the insurance policy covered </w:t>
      </w:r>
      <w:bookmarkStart w:id="3" w:name="dabmq_20"/>
      <w:r w:rsidR="00EF34C4" w:rsidRPr="000F51D7">
        <w:rPr>
          <w:iCs/>
          <w:lang w:bidi="en-US"/>
        </w:rPr>
        <w:t xml:space="preserve">actual loss of business income “caused by </w:t>
      </w:r>
      <w:r w:rsidR="00C45CA1" w:rsidRPr="000F51D7">
        <w:rPr>
          <w:iCs/>
          <w:lang w:bidi="en-US"/>
        </w:rPr>
        <w:t xml:space="preserve">direct physical loss of or damage to </w:t>
      </w:r>
      <w:r w:rsidR="00F1078E" w:rsidRPr="000F51D7">
        <w:rPr>
          <w:iCs/>
          <w:lang w:bidi="en-US"/>
        </w:rPr>
        <w:t>[</w:t>
      </w:r>
      <w:r w:rsidR="00C45CA1" w:rsidRPr="000F51D7">
        <w:rPr>
          <w:iCs/>
          <w:lang w:bidi="en-US"/>
        </w:rPr>
        <w:t>covered</w:t>
      </w:r>
      <w:r w:rsidR="00F1078E" w:rsidRPr="000F51D7">
        <w:rPr>
          <w:iCs/>
          <w:lang w:bidi="en-US"/>
        </w:rPr>
        <w:t>]</w:t>
      </w:r>
      <w:r w:rsidR="00C45CA1" w:rsidRPr="000F51D7">
        <w:rPr>
          <w:iCs/>
          <w:lang w:bidi="en-US"/>
        </w:rPr>
        <w:t xml:space="preserve"> property at </w:t>
      </w:r>
      <w:r w:rsidR="00D56F3F" w:rsidRPr="000F51D7">
        <w:rPr>
          <w:iCs/>
          <w:lang w:bidi="en-US"/>
        </w:rPr>
        <w:t>[</w:t>
      </w:r>
      <w:r w:rsidR="00C45CA1" w:rsidRPr="000F51D7">
        <w:rPr>
          <w:iCs/>
          <w:lang w:bidi="en-US"/>
        </w:rPr>
        <w:t>the</w:t>
      </w:r>
      <w:r w:rsidR="00D56F3F" w:rsidRPr="000F51D7">
        <w:rPr>
          <w:iCs/>
          <w:lang w:bidi="en-US"/>
        </w:rPr>
        <w:t>]</w:t>
      </w:r>
      <w:r w:rsidR="00C45CA1" w:rsidRPr="000F51D7">
        <w:rPr>
          <w:iCs/>
          <w:lang w:bidi="en-US"/>
        </w:rPr>
        <w:t xml:space="preserve"> premises . . . caused by or result</w:t>
      </w:r>
      <w:r w:rsidR="00D56F3F" w:rsidRPr="000F51D7">
        <w:rPr>
          <w:iCs/>
          <w:lang w:bidi="en-US"/>
        </w:rPr>
        <w:t>[</w:t>
      </w:r>
      <w:r w:rsidR="00C45CA1" w:rsidRPr="000F51D7">
        <w:rPr>
          <w:iCs/>
          <w:lang w:bidi="en-US"/>
        </w:rPr>
        <w:t>ing</w:t>
      </w:r>
      <w:r w:rsidR="00D56F3F" w:rsidRPr="000F51D7">
        <w:rPr>
          <w:iCs/>
          <w:lang w:bidi="en-US"/>
        </w:rPr>
        <w:t>]</w:t>
      </w:r>
      <w:r w:rsidR="00C45CA1" w:rsidRPr="000F51D7">
        <w:rPr>
          <w:iCs/>
          <w:lang w:bidi="en-US"/>
        </w:rPr>
        <w:t xml:space="preserve"> from any </w:t>
      </w:r>
      <w:r w:rsidR="00D56F3F" w:rsidRPr="000F51D7">
        <w:rPr>
          <w:iCs/>
          <w:lang w:bidi="en-US"/>
        </w:rPr>
        <w:t>[</w:t>
      </w:r>
      <w:r w:rsidR="00C45CA1" w:rsidRPr="000F51D7">
        <w:rPr>
          <w:iCs/>
          <w:lang w:bidi="en-US"/>
        </w:rPr>
        <w:t>c</w:t>
      </w:r>
      <w:r w:rsidR="00D56F3F" w:rsidRPr="000F51D7">
        <w:rPr>
          <w:iCs/>
          <w:lang w:bidi="en-US"/>
        </w:rPr>
        <w:t>]</w:t>
      </w:r>
      <w:r w:rsidR="00C45CA1" w:rsidRPr="000F51D7">
        <w:rPr>
          <w:iCs/>
          <w:lang w:bidi="en-US"/>
        </w:rPr>
        <w:t xml:space="preserve">overed </w:t>
      </w:r>
      <w:r w:rsidR="00D56F3F" w:rsidRPr="000F51D7">
        <w:rPr>
          <w:iCs/>
          <w:lang w:bidi="en-US"/>
        </w:rPr>
        <w:t>[</w:t>
      </w:r>
      <w:r w:rsidR="00C45CA1" w:rsidRPr="000F51D7">
        <w:rPr>
          <w:iCs/>
          <w:lang w:bidi="en-US"/>
        </w:rPr>
        <w:t>c</w:t>
      </w:r>
      <w:r w:rsidR="00D56F3F" w:rsidRPr="000F51D7">
        <w:rPr>
          <w:iCs/>
          <w:lang w:bidi="en-US"/>
        </w:rPr>
        <w:t>]</w:t>
      </w:r>
      <w:r w:rsidR="00C45CA1" w:rsidRPr="000F51D7">
        <w:rPr>
          <w:iCs/>
          <w:lang w:bidi="en-US"/>
        </w:rPr>
        <w:t xml:space="preserve">ause of </w:t>
      </w:r>
      <w:r w:rsidR="00D56F3F" w:rsidRPr="000F51D7">
        <w:rPr>
          <w:iCs/>
          <w:lang w:bidi="en-US"/>
        </w:rPr>
        <w:t>[</w:t>
      </w:r>
      <w:r w:rsidR="00C45CA1" w:rsidRPr="000F51D7">
        <w:rPr>
          <w:iCs/>
          <w:lang w:bidi="en-US"/>
        </w:rPr>
        <w:t>l</w:t>
      </w:r>
      <w:r w:rsidR="00D56F3F" w:rsidRPr="000F51D7">
        <w:rPr>
          <w:iCs/>
          <w:lang w:bidi="en-US"/>
        </w:rPr>
        <w:t>]</w:t>
      </w:r>
      <w:r w:rsidR="00C45CA1" w:rsidRPr="000F51D7">
        <w:rPr>
          <w:iCs/>
          <w:lang w:bidi="en-US"/>
        </w:rPr>
        <w:t>oss.”</w:t>
      </w:r>
      <w:bookmarkEnd w:id="3"/>
      <w:r w:rsidR="00C45CA1" w:rsidRPr="000F51D7">
        <w:rPr>
          <w:iCs/>
          <w:lang w:bidi="en-US"/>
        </w:rPr>
        <w:t xml:space="preserve">  (</w:t>
      </w:r>
      <w:bookmarkStart w:id="4" w:name="dabmci_2283331bf9cf4a3ea831add2b209a480"/>
      <w:r w:rsidR="00C45CA1" w:rsidRPr="000F51D7">
        <w:rPr>
          <w:i/>
          <w:iCs/>
          <w:lang w:bidi="en-US"/>
        </w:rPr>
        <w:t>Id.</w:t>
      </w:r>
      <w:r w:rsidR="00D10785">
        <w:rPr>
          <w:iCs/>
          <w:lang w:bidi="en-US"/>
        </w:rPr>
        <w:t> </w:t>
      </w:r>
      <w:r w:rsidR="00C45CA1" w:rsidRPr="000F51D7">
        <w:rPr>
          <w:iCs/>
          <w:lang w:bidi="en-US"/>
        </w:rPr>
        <w:t>at p.</w:t>
      </w:r>
      <w:r w:rsidR="00B41D09" w:rsidRPr="000F51D7">
        <w:rPr>
          <w:iCs/>
          <w:lang w:bidi="en-US"/>
        </w:rPr>
        <w:t> </w:t>
      </w:r>
      <w:r w:rsidR="00C45CA1" w:rsidRPr="000F51D7">
        <w:rPr>
          <w:iCs/>
          <w:lang w:bidi="en-US"/>
        </w:rPr>
        <w:t>694</w:t>
      </w:r>
      <w:bookmarkEnd w:id="4"/>
      <w:r w:rsidR="00DB0F20" w:rsidRPr="000F51D7">
        <w:rPr>
          <w:iCs/>
          <w:lang w:bidi="en-US"/>
        </w:rPr>
        <w:t>, italics omitted</w:t>
      </w:r>
      <w:r w:rsidR="00C45CA1" w:rsidRPr="000F51D7">
        <w:rPr>
          <w:iCs/>
          <w:lang w:bidi="en-US"/>
        </w:rPr>
        <w:t>.)</w:t>
      </w:r>
      <w:r w:rsidR="00115AEE" w:rsidRPr="000F51D7">
        <w:rPr>
          <w:iCs/>
          <w:lang w:bidi="en-US"/>
        </w:rPr>
        <w:t xml:space="preserve">  The policy in </w:t>
      </w:r>
      <w:r w:rsidR="00115AEE" w:rsidRPr="000F51D7">
        <w:rPr>
          <w:i/>
          <w:lang w:bidi="en-US"/>
        </w:rPr>
        <w:t xml:space="preserve">Inns </w:t>
      </w:r>
      <w:r w:rsidR="00115AEE" w:rsidRPr="000F51D7">
        <w:rPr>
          <w:iCs/>
          <w:lang w:bidi="en-US"/>
        </w:rPr>
        <w:t>did not define “</w:t>
      </w:r>
      <w:r w:rsidR="00BC4DF7" w:rsidRPr="000F51D7">
        <w:rPr>
          <w:iCs/>
          <w:lang w:bidi="en-US"/>
        </w:rPr>
        <w:t> ‘</w:t>
      </w:r>
      <w:r w:rsidR="00115AEE" w:rsidRPr="000F51D7">
        <w:rPr>
          <w:iCs/>
          <w:lang w:bidi="en-US"/>
        </w:rPr>
        <w:t>direct,</w:t>
      </w:r>
      <w:r w:rsidR="00BC4DF7" w:rsidRPr="000F51D7">
        <w:rPr>
          <w:iCs/>
          <w:lang w:bidi="en-US"/>
        </w:rPr>
        <w:t>’ </w:t>
      </w:r>
      <w:r w:rsidR="00115AEE" w:rsidRPr="000F51D7">
        <w:rPr>
          <w:iCs/>
          <w:lang w:bidi="en-US"/>
        </w:rPr>
        <w:t>” “</w:t>
      </w:r>
      <w:r w:rsidR="00BC4DF7" w:rsidRPr="000F51D7">
        <w:rPr>
          <w:iCs/>
          <w:lang w:bidi="en-US"/>
        </w:rPr>
        <w:t> ‘</w:t>
      </w:r>
      <w:r w:rsidR="00115AEE" w:rsidRPr="000F51D7">
        <w:rPr>
          <w:iCs/>
          <w:lang w:bidi="en-US"/>
        </w:rPr>
        <w:t>physical,</w:t>
      </w:r>
      <w:r w:rsidR="00BC4DF7" w:rsidRPr="000F51D7">
        <w:rPr>
          <w:iCs/>
          <w:lang w:bidi="en-US"/>
        </w:rPr>
        <w:t>’ </w:t>
      </w:r>
      <w:r w:rsidR="00115AEE" w:rsidRPr="000F51D7">
        <w:rPr>
          <w:iCs/>
          <w:lang w:bidi="en-US"/>
        </w:rPr>
        <w:t>” “</w:t>
      </w:r>
      <w:r w:rsidR="00BC4DF7" w:rsidRPr="000F51D7">
        <w:rPr>
          <w:iCs/>
          <w:lang w:bidi="en-US"/>
        </w:rPr>
        <w:t> ‘</w:t>
      </w:r>
      <w:r w:rsidR="00115AEE" w:rsidRPr="000F51D7">
        <w:rPr>
          <w:iCs/>
          <w:lang w:bidi="en-US"/>
        </w:rPr>
        <w:t>loss,</w:t>
      </w:r>
      <w:r w:rsidR="00BC4DF7" w:rsidRPr="000F51D7">
        <w:rPr>
          <w:iCs/>
          <w:lang w:bidi="en-US"/>
        </w:rPr>
        <w:t>’ </w:t>
      </w:r>
      <w:r w:rsidR="00115AEE" w:rsidRPr="000F51D7">
        <w:rPr>
          <w:iCs/>
          <w:lang w:bidi="en-US"/>
        </w:rPr>
        <w:t>” or “</w:t>
      </w:r>
      <w:r w:rsidR="00BC4DF7" w:rsidRPr="000F51D7">
        <w:rPr>
          <w:iCs/>
          <w:lang w:bidi="en-US"/>
        </w:rPr>
        <w:t> ‘</w:t>
      </w:r>
      <w:r w:rsidR="00115AEE" w:rsidRPr="000F51D7">
        <w:rPr>
          <w:iCs/>
          <w:lang w:bidi="en-US"/>
        </w:rPr>
        <w:t>damage.</w:t>
      </w:r>
      <w:r w:rsidR="00BC4DF7" w:rsidRPr="000F51D7">
        <w:rPr>
          <w:iCs/>
          <w:lang w:bidi="en-US"/>
        </w:rPr>
        <w:t>’ </w:t>
      </w:r>
      <w:r w:rsidR="00115AEE" w:rsidRPr="000F51D7">
        <w:rPr>
          <w:iCs/>
          <w:lang w:bidi="en-US"/>
        </w:rPr>
        <w:t>”  (</w:t>
      </w:r>
      <w:r w:rsidR="00115AEE" w:rsidRPr="000F51D7">
        <w:rPr>
          <w:i/>
          <w:lang w:bidi="en-US"/>
        </w:rPr>
        <w:t>Id.</w:t>
      </w:r>
      <w:r w:rsidR="00115AEE" w:rsidRPr="000F51D7">
        <w:rPr>
          <w:iCs/>
          <w:lang w:bidi="en-US"/>
        </w:rPr>
        <w:t xml:space="preserve"> at p.</w:t>
      </w:r>
      <w:r w:rsidR="00D10785">
        <w:rPr>
          <w:iCs/>
          <w:lang w:bidi="en-US"/>
        </w:rPr>
        <w:t> </w:t>
      </w:r>
      <w:r w:rsidR="00115AEE" w:rsidRPr="000F51D7">
        <w:rPr>
          <w:iCs/>
          <w:lang w:bidi="en-US"/>
        </w:rPr>
        <w:t xml:space="preserve">699, fn. 13.)  Neither does Best Rest’s. </w:t>
      </w:r>
    </w:p>
    <w:p w14:paraId="6D38700E" w14:textId="3D324959" w:rsidR="003F6CCB" w:rsidRPr="000F51D7" w:rsidRDefault="00552950" w:rsidP="004C6EB0">
      <w:pPr>
        <w:rPr>
          <w:iCs/>
          <w:lang w:bidi="en-US"/>
        </w:rPr>
      </w:pPr>
      <w:r w:rsidRPr="000F51D7">
        <w:rPr>
          <w:iCs/>
          <w:lang w:bidi="en-US"/>
        </w:rPr>
        <w:tab/>
        <w:t xml:space="preserve">In </w:t>
      </w:r>
      <w:r w:rsidRPr="000F51D7">
        <w:rPr>
          <w:i/>
          <w:lang w:bidi="en-US"/>
        </w:rPr>
        <w:t>Inns</w:t>
      </w:r>
      <w:r w:rsidRPr="000F51D7">
        <w:rPr>
          <w:iCs/>
          <w:lang w:bidi="en-US"/>
        </w:rPr>
        <w:t>, the insured argued that even though COVID-19 did not physically alter the structure of property, it gave rise to “</w:t>
      </w:r>
      <w:r w:rsidR="0025518D" w:rsidRPr="000F51D7">
        <w:rPr>
          <w:iCs/>
          <w:lang w:bidi="en-US"/>
        </w:rPr>
        <w:t> ‘</w:t>
      </w:r>
      <w:r w:rsidRPr="000F51D7">
        <w:rPr>
          <w:iCs/>
          <w:lang w:bidi="en-US"/>
        </w:rPr>
        <w:t>physical damage</w:t>
      </w:r>
      <w:r w:rsidR="0025518D" w:rsidRPr="000F51D7">
        <w:rPr>
          <w:iCs/>
          <w:lang w:bidi="en-US"/>
        </w:rPr>
        <w:t>’ </w:t>
      </w:r>
      <w:r w:rsidRPr="000F51D7">
        <w:rPr>
          <w:iCs/>
          <w:lang w:bidi="en-US"/>
        </w:rPr>
        <w:t>” by rendering it uninhabitable and unavailable for its intended use.  (</w:t>
      </w:r>
      <w:bookmarkStart w:id="5" w:name="dabmci_37a5ab96da90442aa0f5995c015c6050"/>
      <w:r w:rsidR="00815F62" w:rsidRPr="000F51D7">
        <w:rPr>
          <w:i/>
          <w:iCs/>
          <w:lang w:bidi="en-US"/>
        </w:rPr>
        <w:t>Inns</w:t>
      </w:r>
      <w:r w:rsidR="00815F62" w:rsidRPr="000F51D7">
        <w:rPr>
          <w:lang w:bidi="en-US"/>
        </w:rPr>
        <w:t xml:space="preserve">, </w:t>
      </w:r>
      <w:r w:rsidR="00815F62" w:rsidRPr="000F51D7">
        <w:rPr>
          <w:i/>
          <w:iCs/>
          <w:lang w:bidi="en-US"/>
        </w:rPr>
        <w:t>supra</w:t>
      </w:r>
      <w:r w:rsidR="00815F62" w:rsidRPr="000F51D7">
        <w:rPr>
          <w:lang w:bidi="en-US"/>
        </w:rPr>
        <w:t xml:space="preserve">, 71 Cal.App.5th </w:t>
      </w:r>
      <w:r w:rsidRPr="000F51D7">
        <w:rPr>
          <w:iCs/>
          <w:lang w:bidi="en-US"/>
        </w:rPr>
        <w:t>at p.</w:t>
      </w:r>
      <w:r w:rsidR="00815F62" w:rsidRPr="000F51D7">
        <w:rPr>
          <w:iCs/>
          <w:lang w:bidi="en-US"/>
        </w:rPr>
        <w:t> </w:t>
      </w:r>
      <w:r w:rsidRPr="000F51D7">
        <w:rPr>
          <w:iCs/>
          <w:lang w:bidi="en-US"/>
        </w:rPr>
        <w:t>701</w:t>
      </w:r>
      <w:bookmarkEnd w:id="5"/>
      <w:r w:rsidRPr="000F51D7">
        <w:rPr>
          <w:iCs/>
          <w:lang w:bidi="en-US"/>
        </w:rPr>
        <w:t>.)  We acknowledged there were analogous cases</w:t>
      </w:r>
      <w:r w:rsidR="00413F9D" w:rsidRPr="000F51D7">
        <w:rPr>
          <w:iCs/>
          <w:lang w:bidi="en-US"/>
        </w:rPr>
        <w:t xml:space="preserve"> </w:t>
      </w:r>
      <w:r w:rsidRPr="000F51D7">
        <w:rPr>
          <w:iCs/>
          <w:lang w:bidi="en-US"/>
        </w:rPr>
        <w:t xml:space="preserve">involving noxious </w:t>
      </w:r>
      <w:r w:rsidR="00CC2F34" w:rsidRPr="000F51D7">
        <w:rPr>
          <w:iCs/>
          <w:lang w:bidi="en-US"/>
        </w:rPr>
        <w:t xml:space="preserve">odors, gases, and vapors that </w:t>
      </w:r>
      <w:r w:rsidR="00A169C7" w:rsidRPr="000F51D7">
        <w:rPr>
          <w:iCs/>
          <w:lang w:bidi="en-US"/>
        </w:rPr>
        <w:t>m</w:t>
      </w:r>
      <w:r w:rsidR="00E21655" w:rsidRPr="000F51D7">
        <w:rPr>
          <w:iCs/>
          <w:lang w:bidi="en-US"/>
        </w:rPr>
        <w:t>ight</w:t>
      </w:r>
      <w:r w:rsidRPr="000F51D7">
        <w:rPr>
          <w:iCs/>
          <w:lang w:bidi="en-US"/>
        </w:rPr>
        <w:t xml:space="preserve"> support</w:t>
      </w:r>
      <w:r w:rsidR="00C403B8" w:rsidRPr="000F51D7">
        <w:rPr>
          <w:iCs/>
          <w:lang w:bidi="en-US"/>
        </w:rPr>
        <w:t xml:space="preserve"> </w:t>
      </w:r>
      <w:r w:rsidRPr="000F51D7">
        <w:rPr>
          <w:iCs/>
          <w:lang w:bidi="en-US"/>
        </w:rPr>
        <w:t>that proposition.  (</w:t>
      </w:r>
      <w:bookmarkStart w:id="6" w:name="dabmci_d19d99a979c349a6b4d7daec154ef105"/>
      <w:r w:rsidRPr="000F51D7">
        <w:rPr>
          <w:i/>
          <w:iCs/>
          <w:lang w:bidi="en-US"/>
        </w:rPr>
        <w:t>Id</w:t>
      </w:r>
      <w:r w:rsidRPr="000F51D7">
        <w:rPr>
          <w:iCs/>
          <w:lang w:bidi="en-US"/>
        </w:rPr>
        <w:t>. at pp. 701</w:t>
      </w:r>
      <w:r w:rsidR="00031A46" w:rsidRPr="000F51D7">
        <w:rPr>
          <w:rFonts w:ascii="Times New Roman" w:hAnsi="Times New Roman" w:cs="Times New Roman"/>
          <w:iCs/>
          <w:lang w:bidi="en-US"/>
        </w:rPr>
        <w:t>‒</w:t>
      </w:r>
      <w:r w:rsidRPr="000F51D7">
        <w:rPr>
          <w:iCs/>
          <w:lang w:bidi="en-US"/>
        </w:rPr>
        <w:t>702, 703</w:t>
      </w:r>
      <w:bookmarkEnd w:id="6"/>
      <w:r w:rsidRPr="000F51D7">
        <w:rPr>
          <w:iCs/>
          <w:lang w:bidi="en-US"/>
        </w:rPr>
        <w:t>.)</w:t>
      </w:r>
      <w:r w:rsidRPr="000F51D7">
        <w:rPr>
          <w:rStyle w:val="FootnoteReference"/>
          <w:iCs/>
          <w:lang w:bidi="en-US"/>
        </w:rPr>
        <w:footnoteReference w:id="6"/>
      </w:r>
      <w:r w:rsidR="00C403B8" w:rsidRPr="000F51D7">
        <w:rPr>
          <w:iCs/>
          <w:lang w:bidi="en-US"/>
        </w:rPr>
        <w:t xml:space="preserve">  </w:t>
      </w:r>
    </w:p>
    <w:p w14:paraId="31049249" w14:textId="67AF10EF" w:rsidR="004C6EB0" w:rsidRPr="000F51D7" w:rsidRDefault="003F6CCB" w:rsidP="004C6EB0">
      <w:pPr>
        <w:rPr>
          <w:iCs/>
          <w:lang w:bidi="en-US"/>
        </w:rPr>
      </w:pPr>
      <w:r w:rsidRPr="000F51D7">
        <w:rPr>
          <w:iCs/>
          <w:lang w:bidi="en-US"/>
        </w:rPr>
        <w:lastRenderedPageBreak/>
        <w:tab/>
      </w:r>
      <w:r w:rsidR="004C6EB0" w:rsidRPr="000F51D7">
        <w:rPr>
          <w:iCs/>
          <w:lang w:bidi="en-US"/>
        </w:rPr>
        <w:t xml:space="preserve">Indeed, more than 60 years ago, </w:t>
      </w:r>
      <w:r w:rsidR="007E5A21" w:rsidRPr="000F51D7">
        <w:rPr>
          <w:iCs/>
          <w:lang w:bidi="en-US"/>
        </w:rPr>
        <w:t xml:space="preserve">an insurer </w:t>
      </w:r>
      <w:r w:rsidR="004C6EB0" w:rsidRPr="000F51D7">
        <w:rPr>
          <w:iCs/>
          <w:lang w:bidi="en-US"/>
        </w:rPr>
        <w:t>raised the same argument that Sequoi</w:t>
      </w:r>
      <w:r w:rsidR="00413F9D" w:rsidRPr="000F51D7">
        <w:rPr>
          <w:iCs/>
          <w:lang w:bidi="en-US"/>
        </w:rPr>
        <w:t>a</w:t>
      </w:r>
      <w:r w:rsidR="004C6EB0" w:rsidRPr="000F51D7">
        <w:rPr>
          <w:iCs/>
          <w:lang w:bidi="en-US"/>
        </w:rPr>
        <w:t xml:space="preserve"> advocates in this appeal—that coverage </w:t>
      </w:r>
      <w:r w:rsidR="0064278E" w:rsidRPr="000F51D7">
        <w:rPr>
          <w:iCs/>
          <w:lang w:bidi="en-US"/>
        </w:rPr>
        <w:t xml:space="preserve">is </w:t>
      </w:r>
      <w:r w:rsidR="004C6EB0" w:rsidRPr="000F51D7">
        <w:rPr>
          <w:iCs/>
          <w:lang w:bidi="en-US"/>
        </w:rPr>
        <w:t xml:space="preserve">limited to instances in which tangible injury to the physical structure itself </w:t>
      </w:r>
      <w:r w:rsidR="002764D9" w:rsidRPr="000F51D7">
        <w:rPr>
          <w:iCs/>
          <w:lang w:bidi="en-US"/>
        </w:rPr>
        <w:t>has occurred.</w:t>
      </w:r>
      <w:r w:rsidR="004C6EB0" w:rsidRPr="000F51D7">
        <w:rPr>
          <w:iCs/>
          <w:lang w:bidi="en-US"/>
        </w:rPr>
        <w:t xml:space="preserve">  (See </w:t>
      </w:r>
      <w:r w:rsidR="004C6EB0" w:rsidRPr="000F51D7">
        <w:rPr>
          <w:i/>
          <w:iCs/>
          <w:lang w:bidi="en-US"/>
        </w:rPr>
        <w:t>Hughes v. Potomac Ins. Co.</w:t>
      </w:r>
      <w:r w:rsidR="004C6EB0" w:rsidRPr="000F51D7">
        <w:rPr>
          <w:iCs/>
          <w:lang w:bidi="en-US"/>
        </w:rPr>
        <w:t> (1962) 199 Cal.App.2d 239, 249</w:t>
      </w:r>
      <w:r w:rsidR="002764D9" w:rsidRPr="000F51D7">
        <w:rPr>
          <w:iCs/>
          <w:lang w:bidi="en-US"/>
        </w:rPr>
        <w:t xml:space="preserve"> (</w:t>
      </w:r>
      <w:r w:rsidR="002764D9" w:rsidRPr="000F51D7">
        <w:rPr>
          <w:i/>
          <w:lang w:bidi="en-US"/>
        </w:rPr>
        <w:t>Hughes</w:t>
      </w:r>
      <w:r w:rsidR="002764D9" w:rsidRPr="000F51D7">
        <w:rPr>
          <w:iCs/>
          <w:lang w:bidi="en-US"/>
        </w:rPr>
        <w:t>)</w:t>
      </w:r>
      <w:r w:rsidR="004C6EB0" w:rsidRPr="000F51D7">
        <w:rPr>
          <w:iCs/>
          <w:lang w:bidi="en-US"/>
        </w:rPr>
        <w:t xml:space="preserve">.)  </w:t>
      </w:r>
      <w:r w:rsidR="0078275E" w:rsidRPr="000F51D7">
        <w:rPr>
          <w:i/>
          <w:lang w:bidi="en-US"/>
        </w:rPr>
        <w:t xml:space="preserve">Hughes </w:t>
      </w:r>
      <w:r w:rsidR="004C6EB0" w:rsidRPr="000F51D7">
        <w:rPr>
          <w:iCs/>
          <w:lang w:bidi="en-US"/>
        </w:rPr>
        <w:t>rejected th</w:t>
      </w:r>
      <w:r w:rsidR="00E21655" w:rsidRPr="000F51D7">
        <w:rPr>
          <w:iCs/>
          <w:lang w:bidi="en-US"/>
        </w:rPr>
        <w:t>e</w:t>
      </w:r>
      <w:r w:rsidR="004C6EB0" w:rsidRPr="000F51D7">
        <w:rPr>
          <w:iCs/>
          <w:lang w:bidi="en-US"/>
        </w:rPr>
        <w:t xml:space="preserve"> argument, stating:</w:t>
      </w:r>
    </w:p>
    <w:p w14:paraId="4081141E" w14:textId="644B2409" w:rsidR="004C6EB0" w:rsidRPr="000F51D7" w:rsidRDefault="004C6EB0" w:rsidP="001B6D92">
      <w:pPr>
        <w:pStyle w:val="IndentedQuote"/>
        <w:spacing w:before="120"/>
        <w:rPr>
          <w:lang w:bidi="en-US"/>
        </w:rPr>
      </w:pPr>
      <w:r w:rsidRPr="000F51D7">
        <w:rPr>
          <w:lang w:bidi="en-US"/>
        </w:rPr>
        <w:t>“Common sense requires that a policy should not be</w:t>
      </w:r>
      <w:r w:rsidR="00C71B3E" w:rsidRPr="000F51D7">
        <w:rPr>
          <w:lang w:bidi="en-US"/>
        </w:rPr>
        <w:t xml:space="preserve"> . . . </w:t>
      </w:r>
      <w:r w:rsidRPr="000F51D7">
        <w:rPr>
          <w:lang w:bidi="en-US"/>
        </w:rPr>
        <w:t>interpreted” in such a way that an insured home “might be rendered completely useless to its owners, [yet] [the insurer] would deny that any loss or damage had occurred unless some tangible injury to the physical structure itself could be detected.”  (</w:t>
      </w:r>
      <w:r w:rsidR="00C71B3E" w:rsidRPr="000F51D7">
        <w:rPr>
          <w:i/>
          <w:iCs/>
          <w:lang w:bidi="en-US"/>
        </w:rPr>
        <w:t>Ibid</w:t>
      </w:r>
      <w:r w:rsidRPr="000F51D7">
        <w:rPr>
          <w:lang w:bidi="en-US"/>
        </w:rPr>
        <w:t>.)</w:t>
      </w:r>
      <w:r w:rsidR="00232A00" w:rsidRPr="000F51D7">
        <w:rPr>
          <w:rStyle w:val="FootnoteReference"/>
          <w:lang w:bidi="en-US"/>
        </w:rPr>
        <w:footnoteReference w:id="7"/>
      </w:r>
    </w:p>
    <w:p w14:paraId="74073DA3" w14:textId="77777777" w:rsidR="00413F9D" w:rsidRPr="000F51D7" w:rsidRDefault="00413F9D" w:rsidP="004C6EB0">
      <w:pPr>
        <w:pStyle w:val="IndentedQuote"/>
        <w:rPr>
          <w:lang w:bidi="en-US"/>
        </w:rPr>
      </w:pPr>
    </w:p>
    <w:p w14:paraId="75BD0FBD" w14:textId="73F0977E" w:rsidR="00552950" w:rsidRPr="000F51D7" w:rsidRDefault="00906C72" w:rsidP="00552950">
      <w:pPr>
        <w:rPr>
          <w:iCs/>
          <w:lang w:bidi="en-US"/>
        </w:rPr>
      </w:pPr>
      <w:r w:rsidRPr="000F51D7">
        <w:rPr>
          <w:iCs/>
          <w:lang w:bidi="en-US"/>
        </w:rPr>
        <w:tab/>
        <w:t xml:space="preserve">Nevertheless, </w:t>
      </w:r>
      <w:r w:rsidRPr="000F51D7">
        <w:rPr>
          <w:i/>
          <w:lang w:bidi="en-US"/>
        </w:rPr>
        <w:t xml:space="preserve">Inns </w:t>
      </w:r>
      <w:r w:rsidR="00224B07" w:rsidRPr="000F51D7">
        <w:rPr>
          <w:iCs/>
          <w:lang w:bidi="en-US"/>
        </w:rPr>
        <w:t>determined there was no coverage for direct physical damage b</w:t>
      </w:r>
      <w:r w:rsidR="00C403B8" w:rsidRPr="000F51D7">
        <w:rPr>
          <w:iCs/>
          <w:lang w:bidi="en-US"/>
        </w:rPr>
        <w:t xml:space="preserve">ecause the insured </w:t>
      </w:r>
      <w:r w:rsidR="00224B07" w:rsidRPr="000F51D7">
        <w:rPr>
          <w:iCs/>
          <w:lang w:bidi="en-US"/>
        </w:rPr>
        <w:t>did not allege (and could not</w:t>
      </w:r>
      <w:r w:rsidR="00981645" w:rsidRPr="000F51D7">
        <w:rPr>
          <w:iCs/>
          <w:lang w:bidi="en-US"/>
        </w:rPr>
        <w:t xml:space="preserve"> truthfully</w:t>
      </w:r>
      <w:r w:rsidR="00224B07" w:rsidRPr="000F51D7">
        <w:rPr>
          <w:iCs/>
          <w:lang w:bidi="en-US"/>
        </w:rPr>
        <w:t xml:space="preserve"> amend the complaint to allege) </w:t>
      </w:r>
      <w:r w:rsidR="00C403B8" w:rsidRPr="000F51D7">
        <w:rPr>
          <w:iCs/>
          <w:lang w:bidi="en-US"/>
        </w:rPr>
        <w:t xml:space="preserve">that the presence of COVID-19 on its premises </w:t>
      </w:r>
      <w:r w:rsidR="00C403B8" w:rsidRPr="000F51D7">
        <w:rPr>
          <w:i/>
          <w:iCs/>
          <w:lang w:bidi="en-US"/>
        </w:rPr>
        <w:t xml:space="preserve">caused </w:t>
      </w:r>
      <w:r w:rsidR="00C403B8" w:rsidRPr="000F51D7">
        <w:rPr>
          <w:iCs/>
          <w:lang w:bidi="en-US"/>
        </w:rPr>
        <w:t>the</w:t>
      </w:r>
      <w:r w:rsidRPr="000F51D7">
        <w:rPr>
          <w:iCs/>
          <w:lang w:bidi="en-US"/>
        </w:rPr>
        <w:t xml:space="preserve"> facility to be </w:t>
      </w:r>
      <w:r w:rsidR="00C403B8" w:rsidRPr="000F51D7">
        <w:rPr>
          <w:iCs/>
          <w:lang w:bidi="en-US"/>
        </w:rPr>
        <w:t>uninhabitable.  (</w:t>
      </w:r>
      <w:r w:rsidR="00CF1AEA" w:rsidRPr="000F51D7">
        <w:rPr>
          <w:i/>
          <w:iCs/>
          <w:lang w:bidi="en-US"/>
        </w:rPr>
        <w:t>Inns</w:t>
      </w:r>
      <w:r w:rsidR="00CF1AEA" w:rsidRPr="000F51D7">
        <w:rPr>
          <w:lang w:bidi="en-US"/>
        </w:rPr>
        <w:t xml:space="preserve">, </w:t>
      </w:r>
      <w:r w:rsidR="00CF1AEA" w:rsidRPr="000F51D7">
        <w:rPr>
          <w:i/>
          <w:iCs/>
          <w:lang w:bidi="en-US"/>
        </w:rPr>
        <w:t>supra</w:t>
      </w:r>
      <w:r w:rsidR="00CF1AEA" w:rsidRPr="000F51D7">
        <w:rPr>
          <w:lang w:bidi="en-US"/>
        </w:rPr>
        <w:t xml:space="preserve">, 71 Cal.App.5th at </w:t>
      </w:r>
      <w:r w:rsidR="00C403B8" w:rsidRPr="000F51D7">
        <w:rPr>
          <w:iCs/>
          <w:lang w:bidi="en-US"/>
        </w:rPr>
        <w:t xml:space="preserve">p. 703.)  </w:t>
      </w:r>
      <w:r w:rsidR="00224B07" w:rsidRPr="000F51D7">
        <w:rPr>
          <w:iCs/>
          <w:lang w:bidi="en-US"/>
        </w:rPr>
        <w:t>G</w:t>
      </w:r>
      <w:r w:rsidR="00C403B8" w:rsidRPr="000F51D7">
        <w:rPr>
          <w:iCs/>
          <w:lang w:bidi="en-US"/>
        </w:rPr>
        <w:t xml:space="preserve">overnment closure orders were issued because the virus was present throughout the state—not because of any particular presence on the </w:t>
      </w:r>
      <w:r w:rsidRPr="000F51D7">
        <w:rPr>
          <w:iCs/>
          <w:lang w:bidi="en-US"/>
        </w:rPr>
        <w:t xml:space="preserve">hotel’s </w:t>
      </w:r>
      <w:r w:rsidR="00C403B8" w:rsidRPr="000F51D7">
        <w:rPr>
          <w:iCs/>
          <w:lang w:bidi="en-US"/>
        </w:rPr>
        <w:t>premises.  (</w:t>
      </w:r>
      <w:r w:rsidR="00C403B8" w:rsidRPr="000F51D7">
        <w:rPr>
          <w:i/>
          <w:iCs/>
          <w:lang w:bidi="en-US"/>
        </w:rPr>
        <w:t>Ibid</w:t>
      </w:r>
      <w:r w:rsidR="00C403B8" w:rsidRPr="000F51D7">
        <w:rPr>
          <w:iCs/>
          <w:lang w:bidi="en-US"/>
        </w:rPr>
        <w:t xml:space="preserve">.)  </w:t>
      </w:r>
      <w:r w:rsidR="0078275E" w:rsidRPr="000F51D7">
        <w:rPr>
          <w:iCs/>
          <w:lang w:bidi="en-US"/>
        </w:rPr>
        <w:t>T</w:t>
      </w:r>
      <w:r w:rsidR="00C403B8" w:rsidRPr="000F51D7">
        <w:rPr>
          <w:iCs/>
          <w:lang w:bidi="en-US"/>
        </w:rPr>
        <w:t>he insured</w:t>
      </w:r>
      <w:r w:rsidR="0078275E" w:rsidRPr="000F51D7">
        <w:rPr>
          <w:iCs/>
          <w:lang w:bidi="en-US"/>
        </w:rPr>
        <w:t xml:space="preserve"> in </w:t>
      </w:r>
      <w:r w:rsidR="0078275E" w:rsidRPr="000F51D7">
        <w:rPr>
          <w:i/>
          <w:lang w:bidi="en-US"/>
        </w:rPr>
        <w:t>Inns</w:t>
      </w:r>
      <w:r w:rsidR="00C403B8" w:rsidRPr="000F51D7">
        <w:rPr>
          <w:iCs/>
          <w:lang w:bidi="en-US"/>
        </w:rPr>
        <w:t xml:space="preserve"> alleged it ceased operations “</w:t>
      </w:r>
      <w:r w:rsidR="005724C5" w:rsidRPr="000F51D7">
        <w:rPr>
          <w:iCs/>
          <w:lang w:bidi="en-US"/>
        </w:rPr>
        <w:t> ‘</w:t>
      </w:r>
      <w:r w:rsidR="00C403B8" w:rsidRPr="000F51D7">
        <w:rPr>
          <w:iCs/>
          <w:lang w:bidi="en-US"/>
        </w:rPr>
        <w:t>as a direct and proximate result</w:t>
      </w:r>
      <w:r w:rsidR="005724C5" w:rsidRPr="000F51D7">
        <w:rPr>
          <w:iCs/>
          <w:lang w:bidi="en-US"/>
        </w:rPr>
        <w:t>’ </w:t>
      </w:r>
      <w:r w:rsidR="00C403B8" w:rsidRPr="000F51D7">
        <w:rPr>
          <w:iCs/>
          <w:lang w:bidi="en-US"/>
        </w:rPr>
        <w:t>” of the government shut-down orders; it did not allege the particular presence of virus on its premises proximately caused its closure.  (</w:t>
      </w:r>
      <w:r w:rsidR="00C403B8" w:rsidRPr="000F51D7">
        <w:rPr>
          <w:i/>
          <w:iCs/>
          <w:lang w:bidi="en-US"/>
        </w:rPr>
        <w:t>Ibid</w:t>
      </w:r>
      <w:r w:rsidR="00C403B8" w:rsidRPr="000F51D7">
        <w:rPr>
          <w:iCs/>
          <w:lang w:bidi="en-US"/>
        </w:rPr>
        <w:t xml:space="preserve">.) </w:t>
      </w:r>
      <w:r w:rsidR="00C403B8" w:rsidRPr="000F51D7">
        <w:rPr>
          <w:i/>
          <w:iCs/>
          <w:lang w:bidi="en-US"/>
        </w:rPr>
        <w:t xml:space="preserve"> </w:t>
      </w:r>
      <w:r w:rsidR="00C403B8" w:rsidRPr="000F51D7">
        <w:rPr>
          <w:iCs/>
          <w:lang w:bidi="en-US"/>
        </w:rPr>
        <w:t xml:space="preserve">Thus, there was a </w:t>
      </w:r>
      <w:r w:rsidR="00981645" w:rsidRPr="000F51D7">
        <w:rPr>
          <w:iCs/>
          <w:lang w:bidi="en-US"/>
        </w:rPr>
        <w:t xml:space="preserve">fatal </w:t>
      </w:r>
      <w:r w:rsidR="00C403B8" w:rsidRPr="000F51D7">
        <w:rPr>
          <w:iCs/>
          <w:lang w:bidi="en-US"/>
        </w:rPr>
        <w:t>“</w:t>
      </w:r>
      <w:r w:rsidR="00DB4980" w:rsidRPr="000F51D7">
        <w:rPr>
          <w:iCs/>
          <w:lang w:bidi="en-US"/>
        </w:rPr>
        <w:t>lack</w:t>
      </w:r>
      <w:r w:rsidR="00DB4980">
        <w:rPr>
          <w:iCs/>
          <w:lang w:bidi="en-US"/>
        </w:rPr>
        <w:t> </w:t>
      </w:r>
      <w:r w:rsidR="00C403B8" w:rsidRPr="000F51D7">
        <w:rPr>
          <w:iCs/>
          <w:lang w:bidi="en-US"/>
        </w:rPr>
        <w:t>of causal connection between the alleged physical presence of the virus on [the insured’s] premises and the suspension of [its] operations</w:t>
      </w:r>
      <w:r w:rsidR="00F47CF2">
        <w:rPr>
          <w:iCs/>
          <w:lang w:bidi="en-US"/>
        </w:rPr>
        <w:t> . . . .</w:t>
      </w:r>
      <w:r w:rsidR="00C403B8" w:rsidRPr="000F51D7">
        <w:rPr>
          <w:iCs/>
          <w:lang w:bidi="en-US"/>
        </w:rPr>
        <w:t xml:space="preserve">”  </w:t>
      </w:r>
      <w:r w:rsidR="00C403B8" w:rsidRPr="000F51D7">
        <w:rPr>
          <w:iCs/>
          <w:lang w:bidi="en-US"/>
        </w:rPr>
        <w:lastRenderedPageBreak/>
        <w:t>(</w:t>
      </w:r>
      <w:r w:rsidR="00C403B8" w:rsidRPr="000F51D7">
        <w:rPr>
          <w:i/>
          <w:iCs/>
          <w:lang w:bidi="en-US"/>
        </w:rPr>
        <w:t>Id</w:t>
      </w:r>
      <w:r w:rsidR="00C403B8" w:rsidRPr="000F51D7">
        <w:rPr>
          <w:iCs/>
          <w:lang w:bidi="en-US"/>
        </w:rPr>
        <w:t>.</w:t>
      </w:r>
      <w:r w:rsidR="00443CC9">
        <w:rPr>
          <w:iCs/>
          <w:lang w:bidi="en-US"/>
        </w:rPr>
        <w:t> </w:t>
      </w:r>
      <w:r w:rsidR="00C403B8" w:rsidRPr="000F51D7">
        <w:rPr>
          <w:iCs/>
          <w:lang w:bidi="en-US"/>
        </w:rPr>
        <w:t>at</w:t>
      </w:r>
      <w:r w:rsidR="007C7A31">
        <w:rPr>
          <w:iCs/>
          <w:lang w:bidi="en-US"/>
        </w:rPr>
        <w:t> </w:t>
      </w:r>
      <w:r w:rsidR="00C403B8" w:rsidRPr="000F51D7">
        <w:rPr>
          <w:iCs/>
          <w:lang w:bidi="en-US"/>
        </w:rPr>
        <w:t>p.</w:t>
      </w:r>
      <w:r w:rsidR="00BC1748" w:rsidRPr="000F51D7">
        <w:rPr>
          <w:iCs/>
          <w:lang w:bidi="en-US"/>
        </w:rPr>
        <w:t> </w:t>
      </w:r>
      <w:r w:rsidR="00C403B8" w:rsidRPr="000F51D7">
        <w:rPr>
          <w:iCs/>
          <w:lang w:bidi="en-US"/>
        </w:rPr>
        <w:t xml:space="preserve">704.)  </w:t>
      </w:r>
      <w:r w:rsidR="00981645" w:rsidRPr="000F51D7">
        <w:rPr>
          <w:iCs/>
          <w:lang w:bidi="en-US"/>
        </w:rPr>
        <w:t>T</w:t>
      </w:r>
      <w:r w:rsidR="00C403B8" w:rsidRPr="000F51D7">
        <w:rPr>
          <w:iCs/>
          <w:lang w:bidi="en-US"/>
        </w:rPr>
        <w:t>he insured’s</w:t>
      </w:r>
      <w:r w:rsidR="00224B07" w:rsidRPr="000F51D7">
        <w:rPr>
          <w:iCs/>
          <w:lang w:bidi="en-US"/>
        </w:rPr>
        <w:t xml:space="preserve"> business </w:t>
      </w:r>
      <w:r w:rsidR="00C403B8" w:rsidRPr="000F51D7">
        <w:rPr>
          <w:iCs/>
          <w:lang w:bidi="en-US"/>
        </w:rPr>
        <w:t>“ ‘would have</w:t>
      </w:r>
      <w:r w:rsidR="00224B07" w:rsidRPr="000F51D7">
        <w:rPr>
          <w:iCs/>
          <w:lang w:bidi="en-US"/>
        </w:rPr>
        <w:t> . . . </w:t>
      </w:r>
      <w:r w:rsidR="00C403B8" w:rsidRPr="000F51D7">
        <w:rPr>
          <w:iCs/>
          <w:lang w:bidi="en-US"/>
        </w:rPr>
        <w:t>remained shut regardless of whether the virus was present in its facilities.’</w:t>
      </w:r>
      <w:r w:rsidR="00443CC9">
        <w:rPr>
          <w:iCs/>
          <w:lang w:bidi="en-US"/>
        </w:rPr>
        <w:t> </w:t>
      </w:r>
      <w:r w:rsidR="00C403B8" w:rsidRPr="000F51D7">
        <w:rPr>
          <w:iCs/>
          <w:lang w:bidi="en-US"/>
        </w:rPr>
        <w:t>”  (</w:t>
      </w:r>
      <w:r w:rsidR="00C403B8" w:rsidRPr="000F51D7">
        <w:rPr>
          <w:i/>
          <w:iCs/>
          <w:lang w:bidi="en-US"/>
        </w:rPr>
        <w:t>Id</w:t>
      </w:r>
      <w:r w:rsidR="00C403B8" w:rsidRPr="000F51D7">
        <w:rPr>
          <w:iCs/>
          <w:lang w:bidi="en-US"/>
        </w:rPr>
        <w:t>. at p. 705</w:t>
      </w:r>
      <w:r w:rsidR="00981645" w:rsidRPr="000F51D7">
        <w:rPr>
          <w:iCs/>
          <w:lang w:bidi="en-US"/>
        </w:rPr>
        <w:t>.)</w:t>
      </w:r>
    </w:p>
    <w:p w14:paraId="5D0AE8E2" w14:textId="70274202" w:rsidR="0005495B" w:rsidRPr="000F51D7" w:rsidRDefault="00552950" w:rsidP="001D79A4">
      <w:pPr>
        <w:rPr>
          <w:iCs/>
          <w:lang w:bidi="en-US"/>
        </w:rPr>
      </w:pPr>
      <w:r w:rsidRPr="000F51D7">
        <w:rPr>
          <w:iCs/>
          <w:lang w:bidi="en-US"/>
        </w:rPr>
        <w:tab/>
      </w:r>
      <w:r w:rsidR="00C403B8" w:rsidRPr="000F51D7">
        <w:rPr>
          <w:i/>
          <w:lang w:bidi="en-US"/>
        </w:rPr>
        <w:t>Inns</w:t>
      </w:r>
      <w:r w:rsidR="00C403B8" w:rsidRPr="000F51D7">
        <w:rPr>
          <w:iCs/>
          <w:lang w:bidi="en-US"/>
        </w:rPr>
        <w:t xml:space="preserve"> also </w:t>
      </w:r>
      <w:r w:rsidRPr="000F51D7">
        <w:rPr>
          <w:iCs/>
          <w:lang w:bidi="en-US"/>
        </w:rPr>
        <w:t xml:space="preserve">rejected the insured’s </w:t>
      </w:r>
      <w:r w:rsidR="00F9440D" w:rsidRPr="000F51D7">
        <w:rPr>
          <w:iCs/>
          <w:lang w:bidi="en-US"/>
        </w:rPr>
        <w:t>argument</w:t>
      </w:r>
      <w:r w:rsidRPr="000F51D7">
        <w:rPr>
          <w:iCs/>
          <w:lang w:bidi="en-US"/>
        </w:rPr>
        <w:t xml:space="preserve"> that “</w:t>
      </w:r>
      <w:r w:rsidR="00AD0E37" w:rsidRPr="000F51D7">
        <w:rPr>
          <w:iCs/>
          <w:lang w:bidi="en-US"/>
        </w:rPr>
        <w:t> ‘</w:t>
      </w:r>
      <w:r w:rsidRPr="000F51D7">
        <w:rPr>
          <w:iCs/>
          <w:lang w:bidi="en-US"/>
        </w:rPr>
        <w:t>direct physical loss of</w:t>
      </w:r>
      <w:r w:rsidR="00AD0E37" w:rsidRPr="000F51D7">
        <w:rPr>
          <w:iCs/>
          <w:lang w:bidi="en-US"/>
        </w:rPr>
        <w:t>’ </w:t>
      </w:r>
      <w:r w:rsidRPr="000F51D7">
        <w:rPr>
          <w:iCs/>
          <w:lang w:bidi="en-US"/>
        </w:rPr>
        <w:t>” property</w:t>
      </w:r>
      <w:r w:rsidR="005B4E9F" w:rsidRPr="000F51D7">
        <w:rPr>
          <w:iCs/>
          <w:lang w:bidi="en-US"/>
        </w:rPr>
        <w:t xml:space="preserve"> </w:t>
      </w:r>
      <w:r w:rsidR="00BD6BA7" w:rsidRPr="000F51D7">
        <w:rPr>
          <w:iCs/>
          <w:lang w:bidi="en-US"/>
        </w:rPr>
        <w:t xml:space="preserve">occurs merely because </w:t>
      </w:r>
      <w:r w:rsidRPr="000F51D7">
        <w:rPr>
          <w:iCs/>
          <w:lang w:bidi="en-US"/>
        </w:rPr>
        <w:t>the insured property cannot function as intended.  (</w:t>
      </w:r>
      <w:bookmarkStart w:id="7" w:name="dabmci_172a1b4eb5c64f32b30f3edff8c203ce"/>
      <w:r w:rsidRPr="000F51D7">
        <w:rPr>
          <w:i/>
          <w:iCs/>
          <w:lang w:bidi="en-US"/>
        </w:rPr>
        <w:t>Inns</w:t>
      </w:r>
      <w:r w:rsidRPr="000F51D7">
        <w:rPr>
          <w:iCs/>
          <w:lang w:bidi="en-US"/>
        </w:rPr>
        <w:t xml:space="preserve">, </w:t>
      </w:r>
      <w:r w:rsidRPr="000F51D7">
        <w:rPr>
          <w:i/>
          <w:iCs/>
          <w:lang w:bidi="en-US"/>
        </w:rPr>
        <w:t>supra</w:t>
      </w:r>
      <w:r w:rsidRPr="000F51D7">
        <w:rPr>
          <w:iCs/>
          <w:lang w:bidi="en-US"/>
        </w:rPr>
        <w:t>, 71 Cal.App.5th at p. 705</w:t>
      </w:r>
      <w:bookmarkEnd w:id="7"/>
      <w:r w:rsidRPr="000F51D7">
        <w:rPr>
          <w:iCs/>
          <w:lang w:bidi="en-US"/>
        </w:rPr>
        <w:t>.)  We explained th</w:t>
      </w:r>
      <w:r w:rsidR="00295501" w:rsidRPr="000F51D7">
        <w:rPr>
          <w:iCs/>
          <w:lang w:bidi="en-US"/>
        </w:rPr>
        <w:t>at</w:t>
      </w:r>
      <w:r w:rsidRPr="000F51D7">
        <w:rPr>
          <w:iCs/>
          <w:lang w:bidi="en-US"/>
        </w:rPr>
        <w:t xml:space="preserve"> argument </w:t>
      </w:r>
      <w:bookmarkStart w:id="8" w:name="dabmq_29"/>
      <w:r w:rsidRPr="000F51D7">
        <w:rPr>
          <w:iCs/>
          <w:lang w:bidi="en-US"/>
        </w:rPr>
        <w:t>“collapses coverage for ‘direct physical loss’ into ‘loss of use’ coverage”</w:t>
      </w:r>
      <w:bookmarkEnd w:id="8"/>
      <w:r w:rsidRPr="000F51D7">
        <w:rPr>
          <w:iCs/>
          <w:lang w:bidi="en-US"/>
        </w:rPr>
        <w:t xml:space="preserve"> and was unsupported by the policy language as a whole as well as case law.  (</w:t>
      </w:r>
      <w:bookmarkStart w:id="9" w:name="dabmci_95516e9577c94c65a106e474fcd815e3"/>
      <w:r w:rsidRPr="000F51D7">
        <w:rPr>
          <w:i/>
          <w:iCs/>
          <w:lang w:bidi="en-US"/>
        </w:rPr>
        <w:t>Ibid</w:t>
      </w:r>
      <w:r w:rsidRPr="000F51D7">
        <w:rPr>
          <w:iCs/>
          <w:lang w:bidi="en-US"/>
        </w:rPr>
        <w:t>.</w:t>
      </w:r>
      <w:bookmarkEnd w:id="9"/>
      <w:r w:rsidRPr="000F51D7">
        <w:rPr>
          <w:iCs/>
          <w:lang w:bidi="en-US"/>
        </w:rPr>
        <w:t xml:space="preserve">) </w:t>
      </w:r>
      <w:r w:rsidRPr="000F51D7">
        <w:rPr>
          <w:i/>
          <w:iCs/>
          <w:lang w:bidi="en-US"/>
        </w:rPr>
        <w:t xml:space="preserve"> </w:t>
      </w:r>
      <w:bookmarkStart w:id="10" w:name="dabmq_30"/>
      <w:r w:rsidR="00115AEE" w:rsidRPr="000F51D7">
        <w:rPr>
          <w:lang w:bidi="en-US"/>
        </w:rPr>
        <w:t xml:space="preserve">We followed </w:t>
      </w:r>
      <w:r w:rsidR="00A96BAE" w:rsidRPr="000F51D7">
        <w:rPr>
          <w:lang w:bidi="en-US"/>
        </w:rPr>
        <w:t>Couch’s treatise</w:t>
      </w:r>
      <w:r w:rsidR="00295501" w:rsidRPr="000F51D7">
        <w:rPr>
          <w:rStyle w:val="FootnoteReference"/>
          <w:lang w:bidi="en-US"/>
        </w:rPr>
        <w:footnoteReference w:id="8"/>
      </w:r>
      <w:r w:rsidR="00A96BAE" w:rsidRPr="000F51D7">
        <w:rPr>
          <w:lang w:bidi="en-US"/>
        </w:rPr>
        <w:t xml:space="preserve"> as well as </w:t>
      </w:r>
      <w:r w:rsidRPr="000F51D7">
        <w:rPr>
          <w:iCs/>
          <w:lang w:bidi="en-US"/>
        </w:rPr>
        <w:t>“</w:t>
      </w:r>
      <w:r w:rsidR="00115AEE" w:rsidRPr="000F51D7">
        <w:rPr>
          <w:iCs/>
          <w:lang w:bidi="en-US"/>
        </w:rPr>
        <w:t>n</w:t>
      </w:r>
      <w:r w:rsidRPr="000F51D7">
        <w:rPr>
          <w:iCs/>
          <w:lang w:bidi="en-US"/>
        </w:rPr>
        <w:t xml:space="preserve">umerous courts </w:t>
      </w:r>
      <w:r w:rsidR="00115AEE" w:rsidRPr="000F51D7">
        <w:rPr>
          <w:iCs/>
          <w:lang w:bidi="en-US"/>
        </w:rPr>
        <w:t xml:space="preserve">[that] </w:t>
      </w:r>
      <w:r w:rsidRPr="000F51D7">
        <w:rPr>
          <w:iCs/>
          <w:lang w:bidi="en-US"/>
        </w:rPr>
        <w:t>have observed the words ‘direct’ and ‘physical’ preclude the argument that coverage arises in a situation where the loss incurred by the policyholder stems solely from an inability to use the physical premises to generate income, without any other physical impact to the property.”</w:t>
      </w:r>
      <w:bookmarkEnd w:id="10"/>
      <w:r w:rsidRPr="000F51D7">
        <w:rPr>
          <w:iCs/>
          <w:lang w:bidi="en-US"/>
        </w:rPr>
        <w:t xml:space="preserve">  (</w:t>
      </w:r>
      <w:bookmarkStart w:id="11" w:name="dabmci_1e4fab56a798402f939df3d5eb64d6b0"/>
      <w:r w:rsidR="002542EC" w:rsidRPr="000F51D7">
        <w:rPr>
          <w:i/>
          <w:iCs/>
          <w:lang w:bidi="en-US"/>
        </w:rPr>
        <w:t xml:space="preserve">Inns, </w:t>
      </w:r>
      <w:r w:rsidRPr="000F51D7">
        <w:rPr>
          <w:iCs/>
          <w:lang w:bidi="en-US"/>
        </w:rPr>
        <w:t>at p.</w:t>
      </w:r>
      <w:r w:rsidR="00AC2B9A" w:rsidRPr="000F51D7">
        <w:rPr>
          <w:iCs/>
          <w:lang w:bidi="en-US"/>
        </w:rPr>
        <w:t> </w:t>
      </w:r>
      <w:r w:rsidRPr="000F51D7">
        <w:rPr>
          <w:iCs/>
          <w:lang w:bidi="en-US"/>
        </w:rPr>
        <w:t>706</w:t>
      </w:r>
      <w:bookmarkEnd w:id="11"/>
      <w:r w:rsidRPr="000F51D7">
        <w:rPr>
          <w:iCs/>
          <w:lang w:bidi="en-US"/>
        </w:rPr>
        <w:t>.)</w:t>
      </w:r>
      <w:r w:rsidR="00115AEE" w:rsidRPr="000F51D7">
        <w:rPr>
          <w:iCs/>
          <w:lang w:bidi="en-US"/>
        </w:rPr>
        <w:t xml:space="preserve">  </w:t>
      </w:r>
      <w:r w:rsidR="00115AEE" w:rsidRPr="000F51D7">
        <w:rPr>
          <w:i/>
          <w:lang w:bidi="en-US"/>
        </w:rPr>
        <w:t xml:space="preserve">Inns </w:t>
      </w:r>
      <w:r w:rsidR="00115AEE" w:rsidRPr="000F51D7">
        <w:rPr>
          <w:iCs/>
          <w:lang w:bidi="en-US"/>
        </w:rPr>
        <w:t>explained that “although the dictionary definition of ‘loss’ could encompass the mere loss of use of real property</w:t>
      </w:r>
      <w:r w:rsidR="0005495B" w:rsidRPr="000F51D7">
        <w:rPr>
          <w:iCs/>
          <w:lang w:bidi="en-US"/>
        </w:rPr>
        <w:t>, the surrounding context of the word ‘loss’ in the [p]olicy unambiguously indicates that ‘direct physical loss of’ property cannot reasonably be interpreted to have that meaning.”  (</w:t>
      </w:r>
      <w:r w:rsidR="0005495B" w:rsidRPr="000F51D7">
        <w:rPr>
          <w:i/>
          <w:lang w:bidi="en-US"/>
        </w:rPr>
        <w:t>Id.</w:t>
      </w:r>
      <w:r w:rsidR="005C321A" w:rsidRPr="000F51D7">
        <w:rPr>
          <w:iCs/>
          <w:lang w:bidi="en-US"/>
        </w:rPr>
        <w:t> </w:t>
      </w:r>
      <w:r w:rsidR="0005495B" w:rsidRPr="000F51D7">
        <w:rPr>
          <w:iCs/>
          <w:lang w:bidi="en-US"/>
        </w:rPr>
        <w:t>at p. 705, fn. 18.)</w:t>
      </w:r>
      <w:r w:rsidR="007012BE" w:rsidRPr="000F51D7">
        <w:rPr>
          <w:iCs/>
          <w:lang w:bidi="en-US"/>
        </w:rPr>
        <w:t xml:space="preserve">  Citing Couch, we held that </w:t>
      </w:r>
      <w:r w:rsidR="00901465" w:rsidRPr="000F51D7">
        <w:rPr>
          <w:iCs/>
          <w:lang w:bidi="en-US"/>
        </w:rPr>
        <w:t xml:space="preserve">to trigger coverage for direct physical loss, there must be </w:t>
      </w:r>
      <w:r w:rsidR="007012BE" w:rsidRPr="000F51D7">
        <w:rPr>
          <w:iCs/>
          <w:lang w:bidi="en-US"/>
        </w:rPr>
        <w:t>a “</w:t>
      </w:r>
      <w:r w:rsidR="00567D4F" w:rsidRPr="000F51D7">
        <w:rPr>
          <w:iCs/>
          <w:lang w:bidi="en-US"/>
        </w:rPr>
        <w:t> ‘</w:t>
      </w:r>
      <w:r w:rsidR="007012BE" w:rsidRPr="000F51D7">
        <w:rPr>
          <w:iCs/>
          <w:lang w:bidi="en-US"/>
        </w:rPr>
        <w:t>distinct, demonstrable, physical alteration of the property.</w:t>
      </w:r>
      <w:r w:rsidR="00567D4F" w:rsidRPr="000F51D7">
        <w:rPr>
          <w:iCs/>
          <w:lang w:bidi="en-US"/>
        </w:rPr>
        <w:t>’ </w:t>
      </w:r>
      <w:r w:rsidR="007012BE" w:rsidRPr="000F51D7">
        <w:rPr>
          <w:iCs/>
          <w:lang w:bidi="en-US"/>
        </w:rPr>
        <w:t>”</w:t>
      </w:r>
      <w:r w:rsidR="00C82CF5" w:rsidRPr="000F51D7">
        <w:rPr>
          <w:rStyle w:val="FootnoteReference"/>
          <w:iCs/>
          <w:lang w:bidi="en-US"/>
        </w:rPr>
        <w:footnoteReference w:id="9"/>
      </w:r>
      <w:r w:rsidR="007012BE" w:rsidRPr="000F51D7">
        <w:rPr>
          <w:iCs/>
          <w:lang w:bidi="en-US"/>
        </w:rPr>
        <w:t xml:space="preserve">  (</w:t>
      </w:r>
      <w:r w:rsidR="007012BE" w:rsidRPr="000F51D7">
        <w:rPr>
          <w:i/>
          <w:lang w:bidi="en-US"/>
        </w:rPr>
        <w:t>I</w:t>
      </w:r>
      <w:r w:rsidR="006B5B8E" w:rsidRPr="000F51D7">
        <w:rPr>
          <w:i/>
          <w:lang w:bidi="en-US"/>
        </w:rPr>
        <w:t>nns,</w:t>
      </w:r>
      <w:r w:rsidR="007012BE" w:rsidRPr="000F51D7">
        <w:rPr>
          <w:iCs/>
          <w:lang w:bidi="en-US"/>
        </w:rPr>
        <w:t xml:space="preserve"> at p. 706.)</w:t>
      </w:r>
    </w:p>
    <w:p w14:paraId="5CAC2040" w14:textId="16D2B318" w:rsidR="00952444" w:rsidRPr="000F51D7" w:rsidRDefault="00115AEE" w:rsidP="00952444">
      <w:pPr>
        <w:rPr>
          <w:iCs/>
          <w:lang w:bidi="en-US"/>
        </w:rPr>
      </w:pPr>
      <w:r w:rsidRPr="000F51D7">
        <w:rPr>
          <w:iCs/>
          <w:lang w:bidi="en-US"/>
        </w:rPr>
        <w:lastRenderedPageBreak/>
        <w:tab/>
      </w:r>
      <w:r w:rsidR="00BD6BA7" w:rsidRPr="000F51D7">
        <w:rPr>
          <w:iCs/>
          <w:lang w:bidi="en-US"/>
        </w:rPr>
        <w:t xml:space="preserve">We further </w:t>
      </w:r>
      <w:r w:rsidR="003651B9" w:rsidRPr="000F51D7">
        <w:rPr>
          <w:iCs/>
          <w:lang w:bidi="en-US"/>
        </w:rPr>
        <w:t xml:space="preserve">noted that even </w:t>
      </w:r>
      <w:r w:rsidRPr="000F51D7">
        <w:rPr>
          <w:iCs/>
          <w:lang w:bidi="en-US"/>
        </w:rPr>
        <w:t xml:space="preserve">where other courts have found that </w:t>
      </w:r>
      <w:r w:rsidR="003651B9" w:rsidRPr="000F51D7">
        <w:rPr>
          <w:iCs/>
          <w:lang w:bidi="en-US"/>
        </w:rPr>
        <w:t>“</w:t>
      </w:r>
      <w:r w:rsidR="00A16B6F" w:rsidRPr="000F51D7">
        <w:rPr>
          <w:iCs/>
          <w:lang w:bidi="en-US"/>
        </w:rPr>
        <w:t> </w:t>
      </w:r>
      <w:r w:rsidR="003651B9" w:rsidRPr="000F51D7">
        <w:rPr>
          <w:iCs/>
          <w:lang w:bidi="en-US"/>
        </w:rPr>
        <w:t xml:space="preserve">‘contamination of a structure’ that seriously impairs or destroys its function </w:t>
      </w:r>
      <w:r w:rsidR="00EC6527" w:rsidRPr="000F51D7">
        <w:rPr>
          <w:iCs/>
          <w:lang w:bidi="en-US"/>
        </w:rPr>
        <w:t xml:space="preserve">may </w:t>
      </w:r>
      <w:r w:rsidR="003651B9" w:rsidRPr="000F51D7">
        <w:rPr>
          <w:iCs/>
          <w:lang w:bidi="en-US"/>
        </w:rPr>
        <w:t>qualify as direct physical loss</w:t>
      </w:r>
      <w:r w:rsidR="00EC6527" w:rsidRPr="000F51D7">
        <w:rPr>
          <w:iCs/>
          <w:lang w:bidi="en-US"/>
        </w:rPr>
        <w:t>”</w:t>
      </w:r>
      <w:r w:rsidR="003651B9" w:rsidRPr="000F51D7">
        <w:rPr>
          <w:iCs/>
          <w:lang w:bidi="en-US"/>
        </w:rPr>
        <w:t>—</w:t>
      </w:r>
      <w:r w:rsidR="0078275E" w:rsidRPr="000F51D7">
        <w:rPr>
          <w:iCs/>
          <w:lang w:bidi="en-US"/>
        </w:rPr>
        <w:t>the</w:t>
      </w:r>
      <w:r w:rsidR="007E5A21" w:rsidRPr="000F51D7">
        <w:rPr>
          <w:iCs/>
          <w:lang w:bidi="en-US"/>
        </w:rPr>
        <w:t>y</w:t>
      </w:r>
      <w:r w:rsidR="0078275E" w:rsidRPr="000F51D7">
        <w:rPr>
          <w:iCs/>
          <w:lang w:bidi="en-US"/>
        </w:rPr>
        <w:t xml:space="preserve"> </w:t>
      </w:r>
      <w:r w:rsidR="00224B07" w:rsidRPr="000F51D7">
        <w:rPr>
          <w:iCs/>
          <w:lang w:bidi="en-US"/>
        </w:rPr>
        <w:t xml:space="preserve">decline to find coverage for </w:t>
      </w:r>
      <w:r w:rsidR="0005495B" w:rsidRPr="000F51D7">
        <w:rPr>
          <w:iCs/>
          <w:lang w:bidi="en-US"/>
        </w:rPr>
        <w:t>“</w:t>
      </w:r>
      <w:r w:rsidR="003651B9" w:rsidRPr="000F51D7">
        <w:rPr>
          <w:iCs/>
          <w:lang w:bidi="en-US"/>
        </w:rPr>
        <w:t>short-lived”</w:t>
      </w:r>
      <w:r w:rsidR="0005495B" w:rsidRPr="000F51D7">
        <w:rPr>
          <w:iCs/>
          <w:lang w:bidi="en-US"/>
        </w:rPr>
        <w:t xml:space="preserve"> contamination.</w:t>
      </w:r>
      <w:r w:rsidR="003651B9" w:rsidRPr="000F51D7">
        <w:rPr>
          <w:iCs/>
          <w:lang w:bidi="en-US"/>
        </w:rPr>
        <w:t xml:space="preserve">  (</w:t>
      </w:r>
      <w:r w:rsidR="005C321A" w:rsidRPr="000F51D7">
        <w:rPr>
          <w:i/>
          <w:iCs/>
          <w:lang w:bidi="en-US"/>
        </w:rPr>
        <w:t>Inns</w:t>
      </w:r>
      <w:r w:rsidR="005C321A" w:rsidRPr="000F51D7">
        <w:rPr>
          <w:iCs/>
          <w:lang w:bidi="en-US"/>
        </w:rPr>
        <w:t xml:space="preserve">, </w:t>
      </w:r>
      <w:r w:rsidR="005C321A" w:rsidRPr="000F51D7">
        <w:rPr>
          <w:i/>
          <w:iCs/>
          <w:lang w:bidi="en-US"/>
        </w:rPr>
        <w:t>supra</w:t>
      </w:r>
      <w:r w:rsidR="005C321A" w:rsidRPr="000F51D7">
        <w:rPr>
          <w:iCs/>
          <w:lang w:bidi="en-US"/>
        </w:rPr>
        <w:t xml:space="preserve">, 71 Cal.App.5th at </w:t>
      </w:r>
      <w:r w:rsidR="003651B9" w:rsidRPr="000F51D7">
        <w:rPr>
          <w:iCs/>
          <w:lang w:bidi="en-US"/>
        </w:rPr>
        <w:t>p. 703</w:t>
      </w:r>
      <w:r w:rsidR="00031D7C" w:rsidRPr="000F51D7">
        <w:rPr>
          <w:iCs/>
          <w:lang w:bidi="en-US"/>
        </w:rPr>
        <w:t xml:space="preserve"> and </w:t>
      </w:r>
      <w:r w:rsidR="003651B9" w:rsidRPr="000F51D7">
        <w:rPr>
          <w:iCs/>
          <w:lang w:bidi="en-US"/>
        </w:rPr>
        <w:t xml:space="preserve">fn. 17.)  The paradigm </w:t>
      </w:r>
      <w:r w:rsidR="0078275E" w:rsidRPr="000F51D7">
        <w:rPr>
          <w:iCs/>
          <w:lang w:bidi="en-US"/>
        </w:rPr>
        <w:t xml:space="preserve">example </w:t>
      </w:r>
      <w:r w:rsidR="00665C95" w:rsidRPr="000F51D7">
        <w:rPr>
          <w:iCs/>
          <w:lang w:bidi="en-US"/>
        </w:rPr>
        <w:t xml:space="preserve">may be </w:t>
      </w:r>
      <w:r w:rsidR="003651B9" w:rsidRPr="000F51D7">
        <w:rPr>
          <w:i/>
          <w:lang w:bidi="en-US"/>
        </w:rPr>
        <w:t>Mama Jo’s Inc. v. Sparta Ins. Co.</w:t>
      </w:r>
      <w:r w:rsidR="003651B9" w:rsidRPr="000F51D7">
        <w:rPr>
          <w:iCs/>
          <w:lang w:bidi="en-US"/>
        </w:rPr>
        <w:t xml:space="preserve"> (11th Cir. 2020) 8</w:t>
      </w:r>
      <w:r w:rsidR="00401769" w:rsidRPr="000F51D7">
        <w:rPr>
          <w:iCs/>
          <w:lang w:bidi="en-US"/>
        </w:rPr>
        <w:t>2</w:t>
      </w:r>
      <w:r w:rsidR="003651B9" w:rsidRPr="000F51D7">
        <w:rPr>
          <w:iCs/>
          <w:lang w:bidi="en-US"/>
        </w:rPr>
        <w:t>3 Fed.</w:t>
      </w:r>
      <w:r w:rsidR="0078275E" w:rsidRPr="000F51D7">
        <w:rPr>
          <w:iCs/>
          <w:lang w:bidi="en-US"/>
        </w:rPr>
        <w:t xml:space="preserve"> </w:t>
      </w:r>
      <w:r w:rsidR="003651B9" w:rsidRPr="000F51D7">
        <w:rPr>
          <w:iCs/>
          <w:lang w:bidi="en-US"/>
        </w:rPr>
        <w:t>Appx. 868</w:t>
      </w:r>
      <w:r w:rsidR="0078275E" w:rsidRPr="000F51D7">
        <w:rPr>
          <w:iCs/>
          <w:lang w:bidi="en-US"/>
        </w:rPr>
        <w:t xml:space="preserve">.  There, a </w:t>
      </w:r>
      <w:r w:rsidR="003651B9" w:rsidRPr="000F51D7">
        <w:rPr>
          <w:iCs/>
          <w:lang w:bidi="en-US"/>
        </w:rPr>
        <w:t xml:space="preserve">restaurant sought </w:t>
      </w:r>
      <w:r w:rsidR="0078275E" w:rsidRPr="000F51D7">
        <w:rPr>
          <w:iCs/>
          <w:lang w:bidi="en-US"/>
        </w:rPr>
        <w:t xml:space="preserve">lost income </w:t>
      </w:r>
      <w:r w:rsidR="003651B9" w:rsidRPr="000F51D7">
        <w:rPr>
          <w:iCs/>
          <w:lang w:bidi="en-US"/>
        </w:rPr>
        <w:t xml:space="preserve">coverage </w:t>
      </w:r>
      <w:r w:rsidR="0078275E" w:rsidRPr="000F51D7">
        <w:rPr>
          <w:iCs/>
          <w:lang w:bidi="en-US"/>
        </w:rPr>
        <w:t>w</w:t>
      </w:r>
      <w:r w:rsidR="003651B9" w:rsidRPr="000F51D7">
        <w:rPr>
          <w:iCs/>
          <w:lang w:bidi="en-US"/>
        </w:rPr>
        <w:t xml:space="preserve">hen dust and debris from nearby road construction </w:t>
      </w:r>
      <w:r w:rsidR="00401769" w:rsidRPr="000F51D7">
        <w:rPr>
          <w:iCs/>
          <w:lang w:bidi="en-US"/>
        </w:rPr>
        <w:t>decreased customer traffic.  (</w:t>
      </w:r>
      <w:r w:rsidR="00401769" w:rsidRPr="000F51D7">
        <w:rPr>
          <w:i/>
          <w:lang w:bidi="en-US"/>
        </w:rPr>
        <w:t>Id.</w:t>
      </w:r>
      <w:r w:rsidR="00401769" w:rsidRPr="000F51D7">
        <w:rPr>
          <w:iCs/>
          <w:lang w:bidi="en-US"/>
        </w:rPr>
        <w:t xml:space="preserve"> at p. 871.)</w:t>
      </w:r>
      <w:r w:rsidR="0078275E" w:rsidRPr="000F51D7">
        <w:rPr>
          <w:iCs/>
          <w:lang w:bidi="en-US"/>
        </w:rPr>
        <w:t xml:space="preserve">  </w:t>
      </w:r>
      <w:r w:rsidR="00401769" w:rsidRPr="000F51D7">
        <w:rPr>
          <w:iCs/>
          <w:lang w:bidi="en-US"/>
        </w:rPr>
        <w:t>Rejecting the claim, t</w:t>
      </w:r>
      <w:r w:rsidR="003651B9" w:rsidRPr="000F51D7">
        <w:rPr>
          <w:iCs/>
          <w:lang w:bidi="en-US"/>
        </w:rPr>
        <w:t xml:space="preserve">he </w:t>
      </w:r>
      <w:r w:rsidR="00E363A1" w:rsidRPr="000F51D7">
        <w:rPr>
          <w:iCs/>
          <w:lang w:bidi="en-US"/>
        </w:rPr>
        <w:t>E</w:t>
      </w:r>
      <w:r w:rsidR="003651B9" w:rsidRPr="000F51D7">
        <w:rPr>
          <w:iCs/>
          <w:lang w:bidi="en-US"/>
        </w:rPr>
        <w:t xml:space="preserve">leventh </w:t>
      </w:r>
      <w:r w:rsidR="00E363A1" w:rsidRPr="000F51D7">
        <w:rPr>
          <w:iCs/>
          <w:lang w:bidi="en-US"/>
        </w:rPr>
        <w:t>C</w:t>
      </w:r>
      <w:r w:rsidR="003651B9" w:rsidRPr="000F51D7">
        <w:rPr>
          <w:iCs/>
          <w:lang w:bidi="en-US"/>
        </w:rPr>
        <w:t>ircuit stated, “an item or structure that merely needs to be cleaned has not suffer a ‘loss’ which is both ‘direct’ and ‘physical.’</w:t>
      </w:r>
      <w:r w:rsidR="0091595A">
        <w:rPr>
          <w:iCs/>
          <w:lang w:bidi="en-US"/>
        </w:rPr>
        <w:t> </w:t>
      </w:r>
      <w:r w:rsidR="003651B9" w:rsidRPr="000F51D7">
        <w:rPr>
          <w:iCs/>
          <w:lang w:bidi="en-US"/>
        </w:rPr>
        <w:t>”  (</w:t>
      </w:r>
      <w:r w:rsidR="003651B9" w:rsidRPr="000F51D7">
        <w:rPr>
          <w:i/>
          <w:lang w:bidi="en-US"/>
        </w:rPr>
        <w:t>Id</w:t>
      </w:r>
      <w:r w:rsidR="003651B9" w:rsidRPr="000F51D7">
        <w:rPr>
          <w:iCs/>
          <w:lang w:bidi="en-US"/>
        </w:rPr>
        <w:t>. at p. 879</w:t>
      </w:r>
      <w:r w:rsidR="00383DD3" w:rsidRPr="000F51D7">
        <w:rPr>
          <w:iCs/>
          <w:lang w:bidi="en-US"/>
        </w:rPr>
        <w:t xml:space="preserve">; see also </w:t>
      </w:r>
      <w:r w:rsidR="00383DD3" w:rsidRPr="000F51D7">
        <w:rPr>
          <w:i/>
          <w:iCs/>
          <w:lang w:bidi="en-US"/>
        </w:rPr>
        <w:t>Kim-Chee LLC v. Phila</w:t>
      </w:r>
      <w:r w:rsidR="00F32D1B" w:rsidRPr="000F51D7">
        <w:rPr>
          <w:i/>
          <w:iCs/>
          <w:lang w:bidi="en-US"/>
        </w:rPr>
        <w:t>.</w:t>
      </w:r>
      <w:r w:rsidR="00383DD3" w:rsidRPr="000F51D7">
        <w:rPr>
          <w:i/>
          <w:iCs/>
          <w:lang w:bidi="en-US"/>
        </w:rPr>
        <w:t xml:space="preserve"> Indem</w:t>
      </w:r>
      <w:r w:rsidR="00F32D1B" w:rsidRPr="000F51D7">
        <w:rPr>
          <w:i/>
          <w:iCs/>
          <w:lang w:bidi="en-US"/>
        </w:rPr>
        <w:t>.</w:t>
      </w:r>
      <w:r w:rsidR="00383DD3" w:rsidRPr="000F51D7">
        <w:rPr>
          <w:i/>
          <w:iCs/>
          <w:lang w:bidi="en-US"/>
        </w:rPr>
        <w:t xml:space="preserve"> Ins. Co. </w:t>
      </w:r>
      <w:r w:rsidR="00383DD3" w:rsidRPr="000F51D7">
        <w:rPr>
          <w:lang w:bidi="en-US"/>
        </w:rPr>
        <w:t xml:space="preserve">(W.D.N.Y. </w:t>
      </w:r>
      <w:r w:rsidR="00F32D1B" w:rsidRPr="000F51D7">
        <w:rPr>
          <w:lang w:bidi="en-US"/>
        </w:rPr>
        <w:t>20</w:t>
      </w:r>
      <w:r w:rsidR="00383DD3" w:rsidRPr="000F51D7">
        <w:rPr>
          <w:lang w:bidi="en-US"/>
        </w:rPr>
        <w:t>21) 5</w:t>
      </w:r>
      <w:r w:rsidR="00383DD3" w:rsidRPr="000F51D7">
        <w:rPr>
          <w:iCs/>
          <w:lang w:bidi="en-US"/>
        </w:rPr>
        <w:t>35 F.Supp.3d 152, 160</w:t>
      </w:r>
      <w:r w:rsidR="00365A74" w:rsidRPr="000F51D7">
        <w:rPr>
          <w:rFonts w:ascii="Times New Roman" w:hAnsi="Times New Roman" w:cs="Times New Roman"/>
          <w:iCs/>
          <w:lang w:bidi="en-US"/>
        </w:rPr>
        <w:t>‒</w:t>
      </w:r>
      <w:r w:rsidR="00401769" w:rsidRPr="000F51D7">
        <w:rPr>
          <w:iCs/>
          <w:lang w:bidi="en-US"/>
        </w:rPr>
        <w:t>1</w:t>
      </w:r>
      <w:r w:rsidR="00383DD3" w:rsidRPr="000F51D7">
        <w:rPr>
          <w:iCs/>
          <w:lang w:bidi="en-US"/>
        </w:rPr>
        <w:t xml:space="preserve">61 [collecting </w:t>
      </w:r>
      <w:r w:rsidR="00401769" w:rsidRPr="000F51D7">
        <w:rPr>
          <w:iCs/>
          <w:lang w:bidi="en-US"/>
        </w:rPr>
        <w:t xml:space="preserve">similar </w:t>
      </w:r>
      <w:r w:rsidR="00383DD3" w:rsidRPr="000F51D7">
        <w:rPr>
          <w:iCs/>
          <w:lang w:bidi="en-US"/>
        </w:rPr>
        <w:t>cases].)</w:t>
      </w:r>
      <w:r w:rsidR="007E5A21" w:rsidRPr="000F51D7">
        <w:rPr>
          <w:rStyle w:val="FootnoteReference"/>
          <w:iCs/>
          <w:lang w:bidi="en-US"/>
        </w:rPr>
        <w:footnoteReference w:id="10"/>
      </w:r>
      <w:r w:rsidR="00E70BAF" w:rsidRPr="000F51D7">
        <w:rPr>
          <w:iCs/>
          <w:lang w:bidi="en-US"/>
        </w:rPr>
        <w:t xml:space="preserve">  </w:t>
      </w:r>
    </w:p>
    <w:p w14:paraId="2BA114A7" w14:textId="038D5D92" w:rsidR="00901465" w:rsidRPr="000F51D7" w:rsidRDefault="00901465" w:rsidP="00E70BAF">
      <w:pPr>
        <w:rPr>
          <w:iCs/>
          <w:lang w:bidi="en-US"/>
        </w:rPr>
      </w:pPr>
      <w:r w:rsidRPr="000F51D7">
        <w:rPr>
          <w:iCs/>
          <w:lang w:bidi="en-US"/>
        </w:rPr>
        <w:tab/>
      </w:r>
      <w:r w:rsidR="00401769" w:rsidRPr="000F51D7">
        <w:rPr>
          <w:iCs/>
          <w:lang w:bidi="en-US"/>
        </w:rPr>
        <w:t xml:space="preserve">Nevertheless, </w:t>
      </w:r>
      <w:r w:rsidR="00401769" w:rsidRPr="000F51D7">
        <w:rPr>
          <w:i/>
          <w:lang w:bidi="en-US"/>
        </w:rPr>
        <w:t xml:space="preserve">Inns </w:t>
      </w:r>
      <w:r w:rsidR="00401769" w:rsidRPr="000F51D7">
        <w:rPr>
          <w:iCs/>
          <w:lang w:bidi="en-US"/>
        </w:rPr>
        <w:t>l</w:t>
      </w:r>
      <w:r w:rsidRPr="000F51D7">
        <w:rPr>
          <w:iCs/>
          <w:lang w:bidi="en-US"/>
        </w:rPr>
        <w:t xml:space="preserve">eft one </w:t>
      </w:r>
      <w:r w:rsidR="00B83BA9" w:rsidRPr="000F51D7">
        <w:rPr>
          <w:iCs/>
          <w:lang w:bidi="en-US"/>
        </w:rPr>
        <w:t xml:space="preserve">coverage </w:t>
      </w:r>
      <w:r w:rsidRPr="000F51D7">
        <w:rPr>
          <w:iCs/>
          <w:lang w:bidi="en-US"/>
        </w:rPr>
        <w:t xml:space="preserve">door </w:t>
      </w:r>
      <w:r w:rsidR="00E363A1" w:rsidRPr="000F51D7">
        <w:rPr>
          <w:iCs/>
          <w:lang w:bidi="en-US"/>
        </w:rPr>
        <w:t>slightly ajar</w:t>
      </w:r>
      <w:r w:rsidRPr="000F51D7">
        <w:rPr>
          <w:iCs/>
          <w:lang w:bidi="en-US"/>
        </w:rPr>
        <w:t xml:space="preserve">.  </w:t>
      </w:r>
      <w:r w:rsidR="00401769" w:rsidRPr="000F51D7">
        <w:rPr>
          <w:iCs/>
          <w:lang w:bidi="en-US"/>
        </w:rPr>
        <w:t xml:space="preserve">Looking to the cases involving </w:t>
      </w:r>
      <w:r w:rsidR="0078275E" w:rsidRPr="000F51D7">
        <w:rPr>
          <w:iCs/>
          <w:lang w:bidi="en-US"/>
        </w:rPr>
        <w:t>noxious gas</w:t>
      </w:r>
      <w:r w:rsidR="00401769" w:rsidRPr="000F51D7">
        <w:rPr>
          <w:iCs/>
          <w:lang w:bidi="en-US"/>
        </w:rPr>
        <w:t>es</w:t>
      </w:r>
      <w:r w:rsidR="0078275E" w:rsidRPr="000F51D7">
        <w:rPr>
          <w:iCs/>
          <w:lang w:bidi="en-US"/>
        </w:rPr>
        <w:t xml:space="preserve"> and odor</w:t>
      </w:r>
      <w:r w:rsidR="00401769" w:rsidRPr="000F51D7">
        <w:rPr>
          <w:iCs/>
          <w:lang w:bidi="en-US"/>
        </w:rPr>
        <w:t>s</w:t>
      </w:r>
      <w:r w:rsidR="0078275E" w:rsidRPr="000F51D7">
        <w:rPr>
          <w:iCs/>
          <w:lang w:bidi="en-US"/>
        </w:rPr>
        <w:t xml:space="preserve">, </w:t>
      </w:r>
      <w:r w:rsidRPr="000F51D7">
        <w:rPr>
          <w:iCs/>
          <w:lang w:bidi="en-US"/>
        </w:rPr>
        <w:t xml:space="preserve">we </w:t>
      </w:r>
      <w:r w:rsidR="00E363A1" w:rsidRPr="000F51D7">
        <w:rPr>
          <w:iCs/>
          <w:lang w:bidi="en-US"/>
        </w:rPr>
        <w:t>observed in dicta,</w:t>
      </w:r>
      <w:r w:rsidRPr="000F51D7">
        <w:rPr>
          <w:iCs/>
          <w:lang w:bidi="en-US"/>
        </w:rPr>
        <w:t xml:space="preserve"> “</w:t>
      </w:r>
      <w:r w:rsidR="00E363A1" w:rsidRPr="000F51D7">
        <w:rPr>
          <w:iCs/>
          <w:lang w:bidi="en-US"/>
        </w:rPr>
        <w:t>[I]</w:t>
      </w:r>
      <w:r w:rsidRPr="000F51D7">
        <w:rPr>
          <w:iCs/>
          <w:lang w:bidi="en-US"/>
        </w:rPr>
        <w:t>t could be possible, in a hypothetical scenario, that an invisible airborne agent would cause a policyholder to suspend operations because of direct physical damage to property.”  (</w:t>
      </w:r>
      <w:r w:rsidRPr="000F51D7">
        <w:rPr>
          <w:i/>
          <w:lang w:bidi="en-US"/>
        </w:rPr>
        <w:t>Inns</w:t>
      </w:r>
      <w:r w:rsidRPr="000F51D7">
        <w:rPr>
          <w:iCs/>
          <w:lang w:bidi="en-US"/>
        </w:rPr>
        <w:t xml:space="preserve">, </w:t>
      </w:r>
      <w:r w:rsidRPr="000F51D7">
        <w:rPr>
          <w:i/>
          <w:lang w:bidi="en-US"/>
        </w:rPr>
        <w:t>supra</w:t>
      </w:r>
      <w:r w:rsidRPr="000F51D7">
        <w:rPr>
          <w:iCs/>
          <w:lang w:bidi="en-US"/>
        </w:rPr>
        <w:t xml:space="preserve">, 71 Cal.App.5th </w:t>
      </w:r>
      <w:r w:rsidR="006903E5" w:rsidRPr="000F51D7">
        <w:rPr>
          <w:iCs/>
          <w:lang w:bidi="en-US"/>
        </w:rPr>
        <w:t>at p. 704.)  We posed the example of “</w:t>
      </w:r>
      <w:r w:rsidR="007B0254" w:rsidRPr="000F51D7">
        <w:rPr>
          <w:iCs/>
          <w:lang w:bidi="en-US"/>
        </w:rPr>
        <w:t> ‘</w:t>
      </w:r>
      <w:r w:rsidR="006903E5" w:rsidRPr="000F51D7">
        <w:rPr>
          <w:iCs/>
          <w:lang w:bidi="en-US"/>
        </w:rPr>
        <w:t>a business—which could have otherwise been operating—[but</w:t>
      </w:r>
      <w:r w:rsidR="00BC2489" w:rsidRPr="000F51D7">
        <w:rPr>
          <w:iCs/>
          <w:lang w:bidi="en-US"/>
        </w:rPr>
        <w:t>]</w:t>
      </w:r>
      <w:r w:rsidR="006903E5" w:rsidRPr="000F51D7">
        <w:rPr>
          <w:iCs/>
          <w:lang w:bidi="en-US"/>
        </w:rPr>
        <w:t xml:space="preserve"> had to shut down because of the presence of the virus within the facility.</w:t>
      </w:r>
      <w:r w:rsidR="007B0254" w:rsidRPr="000F51D7">
        <w:rPr>
          <w:iCs/>
          <w:lang w:bidi="en-US"/>
        </w:rPr>
        <w:t>’ </w:t>
      </w:r>
      <w:r w:rsidR="006903E5" w:rsidRPr="000F51D7">
        <w:rPr>
          <w:iCs/>
          <w:lang w:bidi="en-US"/>
        </w:rPr>
        <w:t>”  (</w:t>
      </w:r>
      <w:r w:rsidR="006903E5" w:rsidRPr="000F51D7">
        <w:rPr>
          <w:i/>
          <w:lang w:bidi="en-US"/>
        </w:rPr>
        <w:t>Ibid</w:t>
      </w:r>
      <w:r w:rsidR="006903E5" w:rsidRPr="000F51D7">
        <w:rPr>
          <w:iCs/>
          <w:lang w:bidi="en-US"/>
        </w:rPr>
        <w:t xml:space="preserve">.)  </w:t>
      </w:r>
      <w:r w:rsidR="00BC2489" w:rsidRPr="000F51D7">
        <w:rPr>
          <w:iCs/>
          <w:lang w:bidi="en-US"/>
        </w:rPr>
        <w:t>For instance, “</w:t>
      </w:r>
      <w:r w:rsidR="00EA6752">
        <w:rPr>
          <w:iCs/>
          <w:lang w:bidi="en-US"/>
        </w:rPr>
        <w:t> ‘</w:t>
      </w:r>
      <w:r w:rsidR="006903E5" w:rsidRPr="000F51D7">
        <w:rPr>
          <w:iCs/>
          <w:lang w:bidi="en-US"/>
        </w:rPr>
        <w:t xml:space="preserve">a restaurant might need to close for a week if someone in its </w:t>
      </w:r>
      <w:r w:rsidR="006903E5" w:rsidRPr="000F51D7">
        <w:rPr>
          <w:iCs/>
          <w:lang w:bidi="en-US"/>
        </w:rPr>
        <w:lastRenderedPageBreak/>
        <w:t>kitchen tested positive for COVID-19, requiring the entire facility to be thoroughly sanitized and remain empty for a period.</w:t>
      </w:r>
      <w:r w:rsidR="00EA6752">
        <w:rPr>
          <w:iCs/>
          <w:lang w:bidi="en-US"/>
        </w:rPr>
        <w:t>’ </w:t>
      </w:r>
      <w:r w:rsidR="006903E5" w:rsidRPr="000F51D7">
        <w:rPr>
          <w:iCs/>
          <w:lang w:bidi="en-US"/>
        </w:rPr>
        <w:t>”  (</w:t>
      </w:r>
      <w:r w:rsidR="006903E5" w:rsidRPr="000F51D7">
        <w:rPr>
          <w:i/>
          <w:lang w:bidi="en-US"/>
        </w:rPr>
        <w:t>Id</w:t>
      </w:r>
      <w:r w:rsidR="006903E5" w:rsidRPr="000F51D7">
        <w:rPr>
          <w:iCs/>
          <w:lang w:bidi="en-US"/>
        </w:rPr>
        <w:t>. at pp. 704</w:t>
      </w:r>
      <w:r w:rsidR="004C60E9" w:rsidRPr="000F51D7">
        <w:rPr>
          <w:rFonts w:ascii="Times New Roman" w:hAnsi="Times New Roman" w:cs="Times New Roman"/>
          <w:iCs/>
          <w:lang w:bidi="en-US"/>
        </w:rPr>
        <w:t>‒</w:t>
      </w:r>
      <w:r w:rsidR="006903E5" w:rsidRPr="000F51D7">
        <w:rPr>
          <w:iCs/>
          <w:lang w:bidi="en-US"/>
        </w:rPr>
        <w:t>705.)</w:t>
      </w:r>
    </w:p>
    <w:p w14:paraId="248551E8" w14:textId="4E443CE7" w:rsidR="0070129C" w:rsidRPr="000F51D7" w:rsidRDefault="0070129C" w:rsidP="00E70BAF">
      <w:pPr>
        <w:rPr>
          <w:iCs/>
          <w:lang w:bidi="en-US"/>
        </w:rPr>
      </w:pPr>
      <w:r w:rsidRPr="000F51D7">
        <w:rPr>
          <w:iCs/>
          <w:lang w:bidi="en-US"/>
        </w:rPr>
        <w:tab/>
      </w:r>
      <w:r w:rsidR="00B83BA9" w:rsidRPr="000F51D7">
        <w:rPr>
          <w:iCs/>
          <w:lang w:bidi="en-US"/>
        </w:rPr>
        <w:t xml:space="preserve">Now </w:t>
      </w:r>
      <w:r w:rsidR="00401769" w:rsidRPr="000F51D7">
        <w:rPr>
          <w:iCs/>
          <w:lang w:bidi="en-US"/>
        </w:rPr>
        <w:t>on appeal</w:t>
      </w:r>
      <w:r w:rsidR="00B83BA9" w:rsidRPr="000F51D7">
        <w:rPr>
          <w:iCs/>
          <w:lang w:bidi="en-US"/>
        </w:rPr>
        <w:t xml:space="preserve">, </w:t>
      </w:r>
      <w:r w:rsidRPr="000F51D7">
        <w:rPr>
          <w:iCs/>
          <w:lang w:bidi="en-US"/>
        </w:rPr>
        <w:t xml:space="preserve">Best Rest </w:t>
      </w:r>
      <w:r w:rsidR="00B83BA9" w:rsidRPr="000F51D7">
        <w:rPr>
          <w:iCs/>
          <w:lang w:bidi="en-US"/>
        </w:rPr>
        <w:t>has reconfigured its arguments</w:t>
      </w:r>
      <w:r w:rsidR="00401769" w:rsidRPr="000F51D7">
        <w:rPr>
          <w:iCs/>
          <w:lang w:bidi="en-US"/>
        </w:rPr>
        <w:t xml:space="preserve"> to embrace the </w:t>
      </w:r>
      <w:r w:rsidR="00401769" w:rsidRPr="000F51D7">
        <w:rPr>
          <w:i/>
          <w:lang w:bidi="en-US"/>
        </w:rPr>
        <w:t xml:space="preserve">Inns </w:t>
      </w:r>
      <w:r w:rsidR="00401769" w:rsidRPr="000F51D7">
        <w:rPr>
          <w:iCs/>
          <w:lang w:bidi="en-US"/>
        </w:rPr>
        <w:t xml:space="preserve">dicta.  It contends </w:t>
      </w:r>
      <w:r w:rsidR="00E363A1" w:rsidRPr="000F51D7">
        <w:rPr>
          <w:iCs/>
          <w:lang w:bidi="en-US"/>
        </w:rPr>
        <w:t xml:space="preserve">that </w:t>
      </w:r>
      <w:r w:rsidR="00B83BA9" w:rsidRPr="000F51D7">
        <w:rPr>
          <w:iCs/>
          <w:lang w:bidi="en-US"/>
        </w:rPr>
        <w:t>its case “directly embodies the principles applicable to the hypothetical situation envisioned by this [c]ourt in [</w:t>
      </w:r>
      <w:r w:rsidR="00B83BA9" w:rsidRPr="000F51D7">
        <w:rPr>
          <w:i/>
          <w:lang w:bidi="en-US"/>
        </w:rPr>
        <w:t>Inns</w:t>
      </w:r>
      <w:r w:rsidR="00B83BA9" w:rsidRPr="000F51D7">
        <w:rPr>
          <w:iCs/>
          <w:lang w:bidi="en-US"/>
        </w:rPr>
        <w:t xml:space="preserve">].” </w:t>
      </w:r>
      <w:r w:rsidRPr="000F51D7">
        <w:rPr>
          <w:iCs/>
          <w:lang w:bidi="en-US"/>
        </w:rPr>
        <w:t xml:space="preserve"> </w:t>
      </w:r>
      <w:r w:rsidR="00E81320" w:rsidRPr="000F51D7">
        <w:rPr>
          <w:iCs/>
          <w:lang w:bidi="en-US"/>
        </w:rPr>
        <w:t>It maintains th</w:t>
      </w:r>
      <w:r w:rsidR="0078275E" w:rsidRPr="000F51D7">
        <w:rPr>
          <w:iCs/>
          <w:lang w:bidi="en-US"/>
        </w:rPr>
        <w:t xml:space="preserve">ere is </w:t>
      </w:r>
      <w:r w:rsidR="00E81320" w:rsidRPr="000F51D7">
        <w:rPr>
          <w:iCs/>
          <w:lang w:bidi="en-US"/>
        </w:rPr>
        <w:t xml:space="preserve">a triable issue that “it suffered various COVID-19 contaminations, which necessitated the closure of hotel facilities and the loss of hotel rooms for substantial periods of time.”  </w:t>
      </w:r>
      <w:r w:rsidR="0078275E" w:rsidRPr="000F51D7">
        <w:rPr>
          <w:iCs/>
          <w:lang w:bidi="en-US"/>
        </w:rPr>
        <w:t xml:space="preserve">The hotel </w:t>
      </w:r>
      <w:r w:rsidR="00E81320" w:rsidRPr="000F51D7">
        <w:rPr>
          <w:iCs/>
          <w:lang w:bidi="en-US"/>
        </w:rPr>
        <w:t xml:space="preserve">insists </w:t>
      </w:r>
      <w:r w:rsidR="00401769" w:rsidRPr="000F51D7">
        <w:rPr>
          <w:iCs/>
          <w:lang w:bidi="en-US"/>
        </w:rPr>
        <w:t>it submitted</w:t>
      </w:r>
      <w:r w:rsidR="00E81320" w:rsidRPr="000F51D7">
        <w:rPr>
          <w:iCs/>
          <w:lang w:bidi="en-US"/>
        </w:rPr>
        <w:t xml:space="preserve"> evidence </w:t>
      </w:r>
      <w:r w:rsidR="00401769" w:rsidRPr="000F51D7">
        <w:rPr>
          <w:iCs/>
          <w:lang w:bidi="en-US"/>
        </w:rPr>
        <w:t xml:space="preserve">to </w:t>
      </w:r>
      <w:r w:rsidR="00E81320" w:rsidRPr="000F51D7">
        <w:rPr>
          <w:iCs/>
          <w:lang w:bidi="en-US"/>
        </w:rPr>
        <w:t xml:space="preserve">support a finding that </w:t>
      </w:r>
      <w:r w:rsidR="00D179C7" w:rsidRPr="000F51D7">
        <w:rPr>
          <w:iCs/>
          <w:lang w:bidi="en-US"/>
        </w:rPr>
        <w:t>its vacant rooms were not “</w:t>
      </w:r>
      <w:r w:rsidR="00E81320" w:rsidRPr="000F51D7">
        <w:rPr>
          <w:iCs/>
          <w:lang w:bidi="en-US"/>
        </w:rPr>
        <w:t xml:space="preserve">because of any civil order, or as a precaution” but instead “because COVID-19 was </w:t>
      </w:r>
      <w:r w:rsidR="00E81320" w:rsidRPr="000F51D7">
        <w:rPr>
          <w:i/>
          <w:lang w:bidi="en-US"/>
        </w:rPr>
        <w:t>on the premises</w:t>
      </w:r>
      <w:r w:rsidR="00E81320" w:rsidRPr="000F51D7">
        <w:rPr>
          <w:iCs/>
          <w:lang w:bidi="en-US"/>
        </w:rPr>
        <w:t xml:space="preserve">.” </w:t>
      </w:r>
      <w:r w:rsidR="00D179C7" w:rsidRPr="000F51D7">
        <w:rPr>
          <w:iCs/>
          <w:lang w:bidi="en-US"/>
        </w:rPr>
        <w:t xml:space="preserve"> (</w:t>
      </w:r>
      <w:r w:rsidR="00DA1901" w:rsidRPr="000F51D7">
        <w:rPr>
          <w:iCs/>
          <w:lang w:bidi="en-US"/>
        </w:rPr>
        <w:t>Underscore omitted</w:t>
      </w:r>
      <w:r w:rsidR="00D179C7" w:rsidRPr="000F51D7">
        <w:rPr>
          <w:iCs/>
          <w:lang w:bidi="en-US"/>
        </w:rPr>
        <w:t xml:space="preserve">.) </w:t>
      </w:r>
    </w:p>
    <w:p w14:paraId="691F15CC" w14:textId="03373470" w:rsidR="00F03D55" w:rsidRPr="000F51D7" w:rsidRDefault="00E81320" w:rsidP="00F03D55">
      <w:pPr>
        <w:rPr>
          <w:iCs/>
          <w:lang w:bidi="en-US"/>
        </w:rPr>
      </w:pPr>
      <w:r w:rsidRPr="000F51D7">
        <w:rPr>
          <w:iCs/>
          <w:lang w:bidi="en-US"/>
        </w:rPr>
        <w:tab/>
      </w:r>
      <w:r w:rsidR="00B83BA9" w:rsidRPr="000F51D7">
        <w:rPr>
          <w:iCs/>
          <w:lang w:bidi="en-US"/>
        </w:rPr>
        <w:t xml:space="preserve">Setting aside </w:t>
      </w:r>
      <w:r w:rsidR="00D179C7" w:rsidRPr="000F51D7">
        <w:rPr>
          <w:iCs/>
          <w:lang w:bidi="en-US"/>
        </w:rPr>
        <w:t xml:space="preserve">any ramifications from the shift in legal theory, </w:t>
      </w:r>
      <w:r w:rsidR="0032206F" w:rsidRPr="000F51D7">
        <w:rPr>
          <w:iCs/>
          <w:lang w:bidi="en-US"/>
        </w:rPr>
        <w:t xml:space="preserve">the evidence </w:t>
      </w:r>
      <w:r w:rsidR="00D179C7" w:rsidRPr="000F51D7">
        <w:rPr>
          <w:iCs/>
          <w:lang w:bidi="en-US"/>
        </w:rPr>
        <w:t xml:space="preserve">simply </w:t>
      </w:r>
      <w:r w:rsidR="0032206F" w:rsidRPr="000F51D7">
        <w:rPr>
          <w:iCs/>
          <w:lang w:bidi="en-US"/>
        </w:rPr>
        <w:t>does not support Best Rest’s assertions</w:t>
      </w:r>
      <w:r w:rsidR="0078275E" w:rsidRPr="000F51D7">
        <w:rPr>
          <w:iCs/>
          <w:lang w:bidi="en-US"/>
        </w:rPr>
        <w:t xml:space="preserve">.  </w:t>
      </w:r>
      <w:r w:rsidR="00D179C7" w:rsidRPr="000F51D7">
        <w:rPr>
          <w:iCs/>
          <w:lang w:bidi="en-US"/>
        </w:rPr>
        <w:t>Our</w:t>
      </w:r>
      <w:r w:rsidR="0078275E" w:rsidRPr="000F51D7">
        <w:rPr>
          <w:iCs/>
          <w:lang w:bidi="en-US"/>
        </w:rPr>
        <w:t xml:space="preserve"> analysis </w:t>
      </w:r>
      <w:r w:rsidR="0032206F" w:rsidRPr="000F51D7">
        <w:rPr>
          <w:iCs/>
          <w:lang w:bidi="en-US"/>
        </w:rPr>
        <w:t xml:space="preserve">logically starts with </w:t>
      </w:r>
      <w:r w:rsidR="00F41F23" w:rsidRPr="000F51D7">
        <w:rPr>
          <w:iCs/>
          <w:lang w:bidi="en-US"/>
        </w:rPr>
        <w:t>Governor Newsom</w:t>
      </w:r>
      <w:r w:rsidR="0032206F" w:rsidRPr="000F51D7">
        <w:rPr>
          <w:iCs/>
          <w:lang w:bidi="en-US"/>
        </w:rPr>
        <w:t xml:space="preserve">’s </w:t>
      </w:r>
      <w:r w:rsidR="00F41F23" w:rsidRPr="000F51D7">
        <w:rPr>
          <w:iCs/>
          <w:lang w:bidi="en-US"/>
        </w:rPr>
        <w:t xml:space="preserve">Executive Order </w:t>
      </w:r>
      <w:r w:rsidR="00E26ADA" w:rsidRPr="000F51D7">
        <w:rPr>
          <w:iCs/>
          <w:lang w:bidi="en-US"/>
        </w:rPr>
        <w:t>No. </w:t>
      </w:r>
      <w:r w:rsidR="00F41F23" w:rsidRPr="000F51D7">
        <w:rPr>
          <w:iCs/>
          <w:lang w:bidi="en-US"/>
        </w:rPr>
        <w:t>N-33-20, colloquially referred to as the “stay-at-home order”</w:t>
      </w:r>
      <w:r w:rsidR="0032206F" w:rsidRPr="000F51D7">
        <w:rPr>
          <w:iCs/>
          <w:lang w:bidi="en-US"/>
        </w:rPr>
        <w:t xml:space="preserve"> issued in March 2020.  It </w:t>
      </w:r>
      <w:r w:rsidR="00F41F23" w:rsidRPr="000F51D7">
        <w:rPr>
          <w:iCs/>
          <w:lang w:bidi="en-US"/>
        </w:rPr>
        <w:t xml:space="preserve">directed </w:t>
      </w:r>
      <w:r w:rsidR="0032206F" w:rsidRPr="000F51D7">
        <w:rPr>
          <w:iCs/>
          <w:lang w:bidi="en-US"/>
        </w:rPr>
        <w:t xml:space="preserve">California residents </w:t>
      </w:r>
      <w:r w:rsidR="00F41F23" w:rsidRPr="000F51D7">
        <w:rPr>
          <w:iCs/>
          <w:lang w:bidi="en-US"/>
        </w:rPr>
        <w:t>to “immediately heed” public health directives, includ</w:t>
      </w:r>
      <w:r w:rsidR="00290D7A">
        <w:rPr>
          <w:iCs/>
          <w:lang w:bidi="en-US"/>
        </w:rPr>
        <w:t>ing</w:t>
      </w:r>
      <w:r w:rsidR="00F41F23" w:rsidRPr="000F51D7">
        <w:rPr>
          <w:iCs/>
          <w:lang w:bidi="en-US"/>
        </w:rPr>
        <w:t xml:space="preserve"> </w:t>
      </w:r>
      <w:r w:rsidR="00290D7A">
        <w:rPr>
          <w:iCs/>
          <w:lang w:bidi="en-US"/>
        </w:rPr>
        <w:t xml:space="preserve">instructions </w:t>
      </w:r>
      <w:r w:rsidR="00F41F23" w:rsidRPr="000F51D7">
        <w:rPr>
          <w:iCs/>
          <w:lang w:bidi="en-US"/>
        </w:rPr>
        <w:t xml:space="preserve">that individuals “stay home” except as needed for “critical infrastructure sectors.”  </w:t>
      </w:r>
      <w:r w:rsidR="0078275E" w:rsidRPr="000F51D7">
        <w:rPr>
          <w:iCs/>
          <w:lang w:bidi="en-US"/>
        </w:rPr>
        <w:t xml:space="preserve">Best Rest was not a </w:t>
      </w:r>
      <w:r w:rsidR="00F41F23" w:rsidRPr="000F51D7">
        <w:rPr>
          <w:lang w:bidi="en-US"/>
        </w:rPr>
        <w:t>target</w:t>
      </w:r>
      <w:r w:rsidR="00F41F23" w:rsidRPr="000F51D7">
        <w:rPr>
          <w:iCs/>
          <w:lang w:bidi="en-US"/>
        </w:rPr>
        <w:t xml:space="preserve"> of a specific closure order.  Almost the entire state economy </w:t>
      </w:r>
      <w:r w:rsidR="00952444" w:rsidRPr="000F51D7">
        <w:rPr>
          <w:iCs/>
          <w:lang w:bidi="en-US"/>
        </w:rPr>
        <w:t xml:space="preserve">was ordered to </w:t>
      </w:r>
      <w:r w:rsidR="00F41F23" w:rsidRPr="000F51D7">
        <w:rPr>
          <w:iCs/>
          <w:lang w:bidi="en-US"/>
        </w:rPr>
        <w:t>shut down.</w:t>
      </w:r>
    </w:p>
    <w:p w14:paraId="499EFF9B" w14:textId="626BC18D" w:rsidR="002E6BD8" w:rsidRPr="000F51D7" w:rsidRDefault="001B4D7B" w:rsidP="00AF0834">
      <w:pPr>
        <w:rPr>
          <w:iCs/>
          <w:lang w:bidi="en-US"/>
        </w:rPr>
      </w:pPr>
      <w:r w:rsidRPr="000F51D7">
        <w:rPr>
          <w:iCs/>
          <w:lang w:bidi="en-US"/>
        </w:rPr>
        <w:tab/>
        <w:t xml:space="preserve">Of course, on summary judgment we credit </w:t>
      </w:r>
      <w:r w:rsidR="00F03D55" w:rsidRPr="000F51D7">
        <w:rPr>
          <w:iCs/>
          <w:lang w:bidi="en-US"/>
        </w:rPr>
        <w:t xml:space="preserve">Best Rest’s evidence that </w:t>
      </w:r>
      <w:r w:rsidR="005373CC" w:rsidRPr="000F51D7">
        <w:rPr>
          <w:iCs/>
          <w:lang w:bidi="en-US"/>
        </w:rPr>
        <w:t xml:space="preserve">the virus </w:t>
      </w:r>
      <w:r w:rsidR="00F03D55" w:rsidRPr="000F51D7">
        <w:rPr>
          <w:iCs/>
          <w:lang w:bidi="en-US"/>
        </w:rPr>
        <w:t xml:space="preserve">was </w:t>
      </w:r>
      <w:r w:rsidR="00A179FE" w:rsidRPr="000F51D7">
        <w:rPr>
          <w:iCs/>
          <w:lang w:bidi="en-US"/>
        </w:rPr>
        <w:t>present in or on the insured premises at some point.</w:t>
      </w:r>
      <w:r w:rsidR="0032206F" w:rsidRPr="000F51D7">
        <w:rPr>
          <w:iCs/>
          <w:lang w:bidi="en-US"/>
        </w:rPr>
        <w:t xml:space="preserve"> </w:t>
      </w:r>
      <w:r w:rsidR="00AE7319">
        <w:rPr>
          <w:iCs/>
          <w:lang w:bidi="en-US"/>
        </w:rPr>
        <w:t xml:space="preserve"> </w:t>
      </w:r>
      <w:r w:rsidR="0032206F" w:rsidRPr="000F51D7">
        <w:rPr>
          <w:iCs/>
          <w:lang w:bidi="en-US"/>
        </w:rPr>
        <w:t xml:space="preserve">(See </w:t>
      </w:r>
      <w:r w:rsidR="00A179FE" w:rsidRPr="000F51D7">
        <w:rPr>
          <w:i/>
          <w:lang w:bidi="en-US"/>
        </w:rPr>
        <w:t xml:space="preserve">Fajardo v. Dailey </w:t>
      </w:r>
      <w:r w:rsidR="00A179FE" w:rsidRPr="000F51D7">
        <w:rPr>
          <w:iCs/>
          <w:lang w:bidi="en-US"/>
        </w:rPr>
        <w:t xml:space="preserve">(2022) 85 Cal.App.5th 221, 226.)  </w:t>
      </w:r>
      <w:r w:rsidR="002E6BD8" w:rsidRPr="000F51D7">
        <w:rPr>
          <w:iCs/>
          <w:lang w:bidi="en-US"/>
        </w:rPr>
        <w:t xml:space="preserve">We also accept </w:t>
      </w:r>
      <w:r w:rsidR="00EA72E7" w:rsidRPr="000F51D7">
        <w:rPr>
          <w:iCs/>
          <w:lang w:bidi="en-US"/>
        </w:rPr>
        <w:t xml:space="preserve">as true </w:t>
      </w:r>
      <w:r w:rsidR="002E6BD8" w:rsidRPr="000F51D7">
        <w:rPr>
          <w:iCs/>
          <w:lang w:bidi="en-US"/>
        </w:rPr>
        <w:t xml:space="preserve">Dubberke’s opinion that COVID-19 has physical properties and when virus </w:t>
      </w:r>
      <w:r w:rsidR="00EA72E7" w:rsidRPr="000F51D7">
        <w:rPr>
          <w:iCs/>
          <w:lang w:bidi="en-US"/>
        </w:rPr>
        <w:t xml:space="preserve">particles are </w:t>
      </w:r>
      <w:r w:rsidR="002E6BD8" w:rsidRPr="000F51D7">
        <w:rPr>
          <w:iCs/>
          <w:lang w:bidi="en-US"/>
        </w:rPr>
        <w:t>expelled, object</w:t>
      </w:r>
      <w:r w:rsidR="00EA72E7" w:rsidRPr="000F51D7">
        <w:rPr>
          <w:iCs/>
          <w:lang w:bidi="en-US"/>
        </w:rPr>
        <w:t xml:space="preserve">s </w:t>
      </w:r>
      <w:r w:rsidR="00E363A1" w:rsidRPr="000F51D7">
        <w:rPr>
          <w:iCs/>
          <w:lang w:bidi="en-US"/>
        </w:rPr>
        <w:t>they</w:t>
      </w:r>
      <w:r w:rsidR="00EA72E7" w:rsidRPr="000F51D7">
        <w:rPr>
          <w:iCs/>
          <w:lang w:bidi="en-US"/>
        </w:rPr>
        <w:t xml:space="preserve"> land on and the surrounding </w:t>
      </w:r>
      <w:r w:rsidR="002E6BD8" w:rsidRPr="000F51D7">
        <w:rPr>
          <w:iCs/>
          <w:lang w:bidi="en-US"/>
        </w:rPr>
        <w:t xml:space="preserve">air is rendered </w:t>
      </w:r>
      <w:r w:rsidR="000A2E62">
        <w:rPr>
          <w:iCs/>
          <w:lang w:bidi="en-US"/>
        </w:rPr>
        <w:t xml:space="preserve">temporarily </w:t>
      </w:r>
      <w:r w:rsidR="002E6BD8" w:rsidRPr="000F51D7">
        <w:rPr>
          <w:iCs/>
          <w:lang w:bidi="en-US"/>
        </w:rPr>
        <w:t>unsafe</w:t>
      </w:r>
      <w:r w:rsidR="00EA72E7" w:rsidRPr="000F51D7">
        <w:rPr>
          <w:iCs/>
          <w:lang w:bidi="en-US"/>
        </w:rPr>
        <w:t xml:space="preserve"> for human habitation</w:t>
      </w:r>
      <w:r w:rsidR="002E6BD8" w:rsidRPr="000F51D7">
        <w:rPr>
          <w:iCs/>
          <w:lang w:bidi="en-US"/>
        </w:rPr>
        <w:t xml:space="preserve">. </w:t>
      </w:r>
    </w:p>
    <w:p w14:paraId="548CFBC2" w14:textId="03B78F14" w:rsidR="00EA72E7" w:rsidRPr="000F51D7" w:rsidRDefault="002E6BD8" w:rsidP="00AF0834">
      <w:pPr>
        <w:rPr>
          <w:iCs/>
          <w:lang w:bidi="en-US"/>
        </w:rPr>
      </w:pPr>
      <w:r w:rsidRPr="000F51D7">
        <w:rPr>
          <w:iCs/>
          <w:lang w:bidi="en-US"/>
        </w:rPr>
        <w:tab/>
      </w:r>
      <w:r w:rsidR="0032206F" w:rsidRPr="000F51D7">
        <w:rPr>
          <w:iCs/>
          <w:lang w:bidi="en-US"/>
        </w:rPr>
        <w:t xml:space="preserve">But </w:t>
      </w:r>
      <w:r w:rsidR="00EA72E7" w:rsidRPr="000F51D7">
        <w:rPr>
          <w:iCs/>
          <w:lang w:bidi="en-US"/>
        </w:rPr>
        <w:t xml:space="preserve">the difficulty for Best Rest is that without evidence creating a triable issue on causation, </w:t>
      </w:r>
      <w:r w:rsidRPr="000F51D7">
        <w:rPr>
          <w:iCs/>
          <w:lang w:bidi="en-US"/>
        </w:rPr>
        <w:t>none of that matters.</w:t>
      </w:r>
      <w:r w:rsidR="00EA72E7" w:rsidRPr="000F51D7">
        <w:rPr>
          <w:iCs/>
          <w:lang w:bidi="en-US"/>
        </w:rPr>
        <w:t xml:space="preserve">  </w:t>
      </w:r>
      <w:r w:rsidRPr="000F51D7">
        <w:rPr>
          <w:iCs/>
          <w:lang w:bidi="en-US"/>
        </w:rPr>
        <w:t>T</w:t>
      </w:r>
      <w:r w:rsidR="0032206F" w:rsidRPr="000F51D7">
        <w:rPr>
          <w:iCs/>
          <w:lang w:bidi="en-US"/>
        </w:rPr>
        <w:t xml:space="preserve">he dispositive issue </w:t>
      </w:r>
      <w:r w:rsidR="00A179FE" w:rsidRPr="000F51D7">
        <w:rPr>
          <w:iCs/>
          <w:lang w:bidi="en-US"/>
        </w:rPr>
        <w:t xml:space="preserve">in this </w:t>
      </w:r>
      <w:r w:rsidR="00A179FE" w:rsidRPr="000F51D7">
        <w:rPr>
          <w:iCs/>
          <w:lang w:bidi="en-US"/>
        </w:rPr>
        <w:lastRenderedPageBreak/>
        <w:t xml:space="preserve">case </w:t>
      </w:r>
      <w:r w:rsidR="0032206F" w:rsidRPr="000F51D7">
        <w:rPr>
          <w:iCs/>
          <w:lang w:bidi="en-US"/>
        </w:rPr>
        <w:t xml:space="preserve">is not whether there </w:t>
      </w:r>
      <w:r w:rsidR="00E363A1" w:rsidRPr="000F51D7">
        <w:rPr>
          <w:iCs/>
          <w:lang w:bidi="en-US"/>
        </w:rPr>
        <w:t xml:space="preserve">was </w:t>
      </w:r>
      <w:r w:rsidR="0032206F" w:rsidRPr="000F51D7">
        <w:rPr>
          <w:iCs/>
          <w:lang w:bidi="en-US"/>
        </w:rPr>
        <w:t xml:space="preserve">COVID-19 </w:t>
      </w:r>
      <w:r w:rsidR="00690ADF" w:rsidRPr="000F51D7">
        <w:rPr>
          <w:iCs/>
          <w:lang w:bidi="en-US"/>
        </w:rPr>
        <w:t>in the hotel</w:t>
      </w:r>
      <w:r w:rsidRPr="000F51D7">
        <w:rPr>
          <w:iCs/>
          <w:lang w:bidi="en-US"/>
        </w:rPr>
        <w:t>, or whether fomites are a form of physical damage</w:t>
      </w:r>
      <w:r w:rsidR="00EA72E7" w:rsidRPr="000F51D7">
        <w:rPr>
          <w:iCs/>
          <w:lang w:bidi="en-US"/>
        </w:rPr>
        <w:t xml:space="preserve">, but instead is whether </w:t>
      </w:r>
      <w:r w:rsidRPr="000F51D7">
        <w:rPr>
          <w:iCs/>
          <w:lang w:bidi="en-US"/>
        </w:rPr>
        <w:t>the</w:t>
      </w:r>
      <w:r w:rsidR="00EA72E7" w:rsidRPr="000F51D7">
        <w:rPr>
          <w:iCs/>
          <w:lang w:bidi="en-US"/>
        </w:rPr>
        <w:t xml:space="preserve"> presence of COVID-19 in </w:t>
      </w:r>
      <w:r w:rsidR="009D4369">
        <w:rPr>
          <w:iCs/>
          <w:lang w:bidi="en-US"/>
        </w:rPr>
        <w:t xml:space="preserve">or on </w:t>
      </w:r>
      <w:r w:rsidR="00EA72E7" w:rsidRPr="000F51D7">
        <w:rPr>
          <w:iCs/>
          <w:lang w:bidi="en-US"/>
        </w:rPr>
        <w:t xml:space="preserve">the insured property </w:t>
      </w:r>
      <w:r w:rsidR="0032206F" w:rsidRPr="000F51D7">
        <w:rPr>
          <w:i/>
          <w:lang w:bidi="en-US"/>
        </w:rPr>
        <w:t>caused</w:t>
      </w:r>
      <w:r w:rsidR="0032206F" w:rsidRPr="000F51D7">
        <w:rPr>
          <w:iCs/>
          <w:lang w:bidi="en-US"/>
        </w:rPr>
        <w:t xml:space="preserve"> </w:t>
      </w:r>
      <w:r w:rsidRPr="000F51D7">
        <w:rPr>
          <w:iCs/>
          <w:lang w:bidi="en-US"/>
        </w:rPr>
        <w:t>the hotel’s l</w:t>
      </w:r>
      <w:r w:rsidR="0032206F" w:rsidRPr="000F51D7">
        <w:rPr>
          <w:iCs/>
          <w:lang w:bidi="en-US"/>
        </w:rPr>
        <w:t>oss of income.</w:t>
      </w:r>
      <w:r w:rsidR="001B4D7B" w:rsidRPr="000F51D7">
        <w:rPr>
          <w:iCs/>
          <w:lang w:bidi="en-US"/>
        </w:rPr>
        <w:t xml:space="preserve"> </w:t>
      </w:r>
      <w:r w:rsidR="00A179FE" w:rsidRPr="000F51D7">
        <w:rPr>
          <w:iCs/>
          <w:lang w:bidi="en-US"/>
        </w:rPr>
        <w:t xml:space="preserve"> </w:t>
      </w:r>
    </w:p>
    <w:p w14:paraId="67B63BC9" w14:textId="21C20E60" w:rsidR="00A179FE" w:rsidRPr="000F51D7" w:rsidRDefault="00EA72E7" w:rsidP="00AF0834">
      <w:pPr>
        <w:rPr>
          <w:iCs/>
          <w:lang w:bidi="en-US"/>
        </w:rPr>
      </w:pPr>
      <w:r w:rsidRPr="000F51D7">
        <w:rPr>
          <w:iCs/>
          <w:lang w:bidi="en-US"/>
        </w:rPr>
        <w:tab/>
        <w:t xml:space="preserve">This </w:t>
      </w:r>
      <w:r w:rsidR="00A179FE" w:rsidRPr="000F51D7">
        <w:rPr>
          <w:iCs/>
          <w:lang w:bidi="en-US"/>
        </w:rPr>
        <w:t>nexus is required because the policy covers “</w:t>
      </w:r>
      <w:r w:rsidR="00A179FE" w:rsidRPr="000F51D7">
        <w:rPr>
          <w:i/>
          <w:lang w:bidi="en-US"/>
        </w:rPr>
        <w:t>direct</w:t>
      </w:r>
      <w:r w:rsidR="00A179FE" w:rsidRPr="000F51D7">
        <w:rPr>
          <w:iCs/>
          <w:lang w:bidi="en-US"/>
        </w:rPr>
        <w:t xml:space="preserve"> physical loss of or damage to” certain property.  When used </w:t>
      </w:r>
      <w:r w:rsidRPr="000F51D7">
        <w:rPr>
          <w:iCs/>
          <w:lang w:bidi="en-US"/>
        </w:rPr>
        <w:t>here—</w:t>
      </w:r>
      <w:r w:rsidR="00A179FE" w:rsidRPr="000F51D7">
        <w:rPr>
          <w:iCs/>
          <w:lang w:bidi="en-US"/>
        </w:rPr>
        <w:t xml:space="preserve">as </w:t>
      </w:r>
      <w:r w:rsidRPr="000F51D7">
        <w:rPr>
          <w:iCs/>
          <w:lang w:bidi="en-US"/>
        </w:rPr>
        <w:t>a</w:t>
      </w:r>
      <w:r w:rsidR="00A179FE" w:rsidRPr="000F51D7">
        <w:rPr>
          <w:iCs/>
          <w:lang w:bidi="en-US"/>
        </w:rPr>
        <w:t>n adjective</w:t>
      </w:r>
      <w:r w:rsidRPr="000F51D7">
        <w:rPr>
          <w:iCs/>
          <w:lang w:bidi="en-US"/>
        </w:rPr>
        <w:t>—</w:t>
      </w:r>
      <w:r w:rsidR="00A179FE" w:rsidRPr="000F51D7">
        <w:rPr>
          <w:iCs/>
          <w:lang w:bidi="en-US"/>
        </w:rPr>
        <w:t xml:space="preserve">“direct” </w:t>
      </w:r>
      <w:r w:rsidRPr="000F51D7">
        <w:rPr>
          <w:iCs/>
          <w:lang w:bidi="en-US"/>
        </w:rPr>
        <w:t xml:space="preserve">commonly </w:t>
      </w:r>
      <w:r w:rsidR="00A179FE" w:rsidRPr="000F51D7">
        <w:rPr>
          <w:iCs/>
          <w:lang w:bidi="en-US"/>
        </w:rPr>
        <w:t>means “stemming immediately from a source,” or as “</w:t>
      </w:r>
      <w:r w:rsidR="00B42745" w:rsidRPr="000F51D7">
        <w:rPr>
          <w:iCs/>
          <w:lang w:bidi="en-US"/>
        </w:rPr>
        <w:t>characterized by close logical, causal, or consequential relationship</w:t>
      </w:r>
      <w:r w:rsidR="00A179FE" w:rsidRPr="000F51D7">
        <w:rPr>
          <w:iCs/>
          <w:lang w:bidi="en-US"/>
        </w:rPr>
        <w:t>.”</w:t>
      </w:r>
      <w:r w:rsidR="00B42745" w:rsidRPr="000F51D7">
        <w:rPr>
          <w:rStyle w:val="FootnoteReference"/>
          <w:iCs/>
          <w:lang w:bidi="en-US"/>
        </w:rPr>
        <w:footnoteReference w:id="11"/>
      </w:r>
      <w:r w:rsidR="00A179FE" w:rsidRPr="000F51D7">
        <w:rPr>
          <w:iCs/>
          <w:lang w:bidi="en-US"/>
        </w:rPr>
        <w:t xml:space="preserve">  (See </w:t>
      </w:r>
      <w:r w:rsidR="00A179FE" w:rsidRPr="000F51D7">
        <w:rPr>
          <w:i/>
          <w:iCs/>
          <w:lang w:bidi="en-US"/>
        </w:rPr>
        <w:t>Huntington Ingalls</w:t>
      </w:r>
      <w:r w:rsidR="00A179FE" w:rsidRPr="000F51D7">
        <w:rPr>
          <w:iCs/>
          <w:lang w:bidi="en-US"/>
        </w:rPr>
        <w:t xml:space="preserve"> </w:t>
      </w:r>
      <w:r w:rsidR="00A179FE" w:rsidRPr="000F51D7">
        <w:rPr>
          <w:i/>
          <w:lang w:bidi="en-US"/>
        </w:rPr>
        <w:t>Industries, Inc. v. Ace American Ins</w:t>
      </w:r>
      <w:r w:rsidR="009F303C" w:rsidRPr="000F51D7">
        <w:rPr>
          <w:i/>
          <w:lang w:bidi="en-US"/>
        </w:rPr>
        <w:t>.</w:t>
      </w:r>
      <w:r w:rsidR="00A179FE" w:rsidRPr="000F51D7">
        <w:rPr>
          <w:i/>
          <w:lang w:bidi="en-US"/>
        </w:rPr>
        <w:t xml:space="preserve"> Co.</w:t>
      </w:r>
      <w:r w:rsidR="00A179FE" w:rsidRPr="000F51D7">
        <w:t xml:space="preserve"> </w:t>
      </w:r>
      <w:r w:rsidR="00B42745" w:rsidRPr="000F51D7">
        <w:t>(V</w:t>
      </w:r>
      <w:r w:rsidR="004D09EE" w:rsidRPr="000F51D7">
        <w:t xml:space="preserve">t. Sup.Ct. 2022) 2022 VT 45, </w:t>
      </w:r>
      <w:r w:rsidR="00A179FE" w:rsidRPr="000F51D7">
        <w:rPr>
          <w:iCs/>
          <w:lang w:bidi="en-US"/>
        </w:rPr>
        <w:t>at ¶33</w:t>
      </w:r>
      <w:r w:rsidRPr="000F51D7">
        <w:rPr>
          <w:iCs/>
          <w:lang w:bidi="en-US"/>
        </w:rPr>
        <w:t xml:space="preserve"> [“</w:t>
      </w:r>
      <w:r w:rsidR="00AE7319">
        <w:rPr>
          <w:iCs/>
          <w:lang w:bidi="en-US"/>
        </w:rPr>
        <w:t>[D]</w:t>
      </w:r>
      <w:r w:rsidRPr="000F51D7">
        <w:rPr>
          <w:iCs/>
          <w:lang w:bidi="en-US"/>
        </w:rPr>
        <w:t xml:space="preserve">eprivation of property must be causally linked to a physical event. </w:t>
      </w:r>
      <w:r w:rsidR="00E363A1" w:rsidRPr="000F51D7">
        <w:rPr>
          <w:iCs/>
          <w:lang w:bidi="en-US"/>
        </w:rPr>
        <w:t xml:space="preserve"> </w:t>
      </w:r>
      <w:r w:rsidRPr="000F51D7">
        <w:rPr>
          <w:iCs/>
          <w:lang w:bidi="en-US"/>
        </w:rPr>
        <w:t xml:space="preserve">The plain meaning of </w:t>
      </w:r>
      <w:r w:rsidR="00D14B87" w:rsidRPr="000F51D7">
        <w:rPr>
          <w:iCs/>
          <w:lang w:bidi="en-US"/>
        </w:rPr>
        <w:t>‘</w:t>
      </w:r>
      <w:r w:rsidRPr="000F51D7">
        <w:rPr>
          <w:iCs/>
          <w:lang w:bidi="en-US"/>
        </w:rPr>
        <w:t>direct physical loss</w:t>
      </w:r>
      <w:r w:rsidR="00D14B87" w:rsidRPr="000F51D7">
        <w:rPr>
          <w:iCs/>
          <w:lang w:bidi="en-US"/>
        </w:rPr>
        <w:t>’</w:t>
      </w:r>
      <w:r w:rsidRPr="000F51D7">
        <w:rPr>
          <w:iCs/>
          <w:lang w:bidi="en-US"/>
        </w:rPr>
        <w:t xml:space="preserve"> requires an ‘explicit nexus between the purported loss and the physical condition of the insured property.’ ”].)</w:t>
      </w:r>
      <w:r w:rsidR="00A179FE" w:rsidRPr="000F51D7">
        <w:rPr>
          <w:iCs/>
          <w:lang w:bidi="en-US"/>
        </w:rPr>
        <w:t xml:space="preserve">  </w:t>
      </w:r>
    </w:p>
    <w:p w14:paraId="10B550A0" w14:textId="2691DECE" w:rsidR="00F26A6E" w:rsidRPr="000F51D7" w:rsidRDefault="00A179FE" w:rsidP="00AF0834">
      <w:pPr>
        <w:rPr>
          <w:iCs/>
          <w:lang w:bidi="en-US"/>
        </w:rPr>
      </w:pPr>
      <w:r w:rsidRPr="000F51D7">
        <w:rPr>
          <w:iCs/>
          <w:lang w:bidi="en-US"/>
        </w:rPr>
        <w:tab/>
      </w:r>
      <w:r w:rsidR="00EA1B36" w:rsidRPr="000F51D7">
        <w:rPr>
          <w:iCs/>
          <w:lang w:bidi="en-US"/>
        </w:rPr>
        <w:t>I</w:t>
      </w:r>
      <w:r w:rsidR="00AF0834" w:rsidRPr="000F51D7">
        <w:rPr>
          <w:iCs/>
          <w:lang w:bidi="en-US"/>
        </w:rPr>
        <w:t>n deposition, Salem testified hotel reservations</w:t>
      </w:r>
      <w:r w:rsidR="00690ADF" w:rsidRPr="000F51D7">
        <w:rPr>
          <w:iCs/>
          <w:lang w:bidi="en-US"/>
        </w:rPr>
        <w:t xml:space="preserve"> were cancelled</w:t>
      </w:r>
      <w:r w:rsidR="00AF0834" w:rsidRPr="000F51D7">
        <w:rPr>
          <w:iCs/>
          <w:lang w:bidi="en-US"/>
        </w:rPr>
        <w:t xml:space="preserve"> because </w:t>
      </w:r>
      <w:r w:rsidR="00690ADF" w:rsidRPr="000F51D7">
        <w:rPr>
          <w:iCs/>
          <w:lang w:bidi="en-US"/>
        </w:rPr>
        <w:t xml:space="preserve">would-be guests </w:t>
      </w:r>
      <w:r w:rsidR="00AF0834" w:rsidRPr="000F51D7">
        <w:rPr>
          <w:iCs/>
          <w:lang w:bidi="en-US"/>
        </w:rPr>
        <w:t>“can’t travel” and because San Diego attractions were closed—not because of the virus’s presence in hotel property:</w:t>
      </w:r>
    </w:p>
    <w:p w14:paraId="2982A409" w14:textId="0626FCF4" w:rsidR="00AF0834" w:rsidRPr="000F51D7" w:rsidRDefault="00AF0834" w:rsidP="00AF0834">
      <w:pPr>
        <w:pStyle w:val="IndentedQuote"/>
        <w:rPr>
          <w:lang w:bidi="en-US"/>
        </w:rPr>
      </w:pPr>
      <w:r w:rsidRPr="000F51D7">
        <w:rPr>
          <w:lang w:bidi="en-US"/>
        </w:rPr>
        <w:t xml:space="preserve">“Q:  So you said that in March of 2020, at the time you made this insurance claim, you had already </w:t>
      </w:r>
      <w:r w:rsidR="0032206F" w:rsidRPr="000F51D7">
        <w:rPr>
          <w:lang w:bidi="en-US"/>
        </w:rPr>
        <w:t>s</w:t>
      </w:r>
      <w:r w:rsidRPr="000F51D7">
        <w:rPr>
          <w:lang w:bidi="en-US"/>
        </w:rPr>
        <w:t>een a reduction in tourists</w:t>
      </w:r>
      <w:r w:rsidR="005716D5" w:rsidRPr="000F51D7">
        <w:rPr>
          <w:lang w:bidi="en-US"/>
        </w:rPr>
        <w:t>, is that right?</w:t>
      </w:r>
    </w:p>
    <w:p w14:paraId="20C2CBD9" w14:textId="77777777" w:rsidR="00512473" w:rsidRPr="000F51D7" w:rsidRDefault="00512473" w:rsidP="00512473">
      <w:pPr>
        <w:pStyle w:val="IndentedQuote"/>
        <w:spacing w:line="180" w:lineRule="auto"/>
        <w:rPr>
          <w:lang w:bidi="en-US"/>
        </w:rPr>
      </w:pPr>
    </w:p>
    <w:p w14:paraId="3B78526E" w14:textId="21A1E786" w:rsidR="005716D5" w:rsidRPr="000F51D7" w:rsidRDefault="005716D5" w:rsidP="00AF0834">
      <w:pPr>
        <w:pStyle w:val="IndentedQuote"/>
        <w:rPr>
          <w:lang w:bidi="en-US"/>
        </w:rPr>
      </w:pPr>
      <w:r w:rsidRPr="000F51D7">
        <w:rPr>
          <w:lang w:bidi="en-US"/>
        </w:rPr>
        <w:t>“A:  Definitely, yes.</w:t>
      </w:r>
    </w:p>
    <w:p w14:paraId="5B3BBF5E" w14:textId="1E296220" w:rsidR="005716D5" w:rsidRPr="000F51D7" w:rsidRDefault="005716D5" w:rsidP="00220BAC">
      <w:pPr>
        <w:pStyle w:val="IndentedQuote"/>
        <w:spacing w:line="180" w:lineRule="auto"/>
        <w:rPr>
          <w:lang w:bidi="en-US"/>
        </w:rPr>
      </w:pPr>
    </w:p>
    <w:p w14:paraId="34A62B76" w14:textId="008D6FEE" w:rsidR="005716D5" w:rsidRPr="000F51D7" w:rsidRDefault="005716D5" w:rsidP="00AF0834">
      <w:pPr>
        <w:pStyle w:val="IndentedQuote"/>
        <w:rPr>
          <w:lang w:bidi="en-US"/>
        </w:rPr>
      </w:pPr>
      <w:r w:rsidRPr="000F51D7">
        <w:rPr>
          <w:lang w:bidi="en-US"/>
        </w:rPr>
        <w:t>“Q:  What did you observe in that regard?</w:t>
      </w:r>
    </w:p>
    <w:p w14:paraId="4D0BBE93" w14:textId="569AE152" w:rsidR="005716D5" w:rsidRPr="000F51D7" w:rsidRDefault="005716D5" w:rsidP="00220BAC">
      <w:pPr>
        <w:pStyle w:val="IndentedQuote"/>
        <w:spacing w:line="180" w:lineRule="auto"/>
        <w:rPr>
          <w:lang w:bidi="en-US"/>
        </w:rPr>
      </w:pPr>
    </w:p>
    <w:p w14:paraId="739C0B41" w14:textId="5AED27B8" w:rsidR="005716D5" w:rsidRPr="000F51D7" w:rsidRDefault="005716D5" w:rsidP="00AF0834">
      <w:pPr>
        <w:pStyle w:val="IndentedQuote"/>
        <w:rPr>
          <w:lang w:bidi="en-US"/>
        </w:rPr>
      </w:pPr>
      <w:r w:rsidRPr="000F51D7">
        <w:rPr>
          <w:lang w:bidi="en-US"/>
        </w:rPr>
        <w:t>“A:  Phones are ringing off the hook</w:t>
      </w:r>
      <w:r w:rsidR="009B3C76" w:rsidRPr="000F51D7">
        <w:rPr>
          <w:lang w:bidi="en-US"/>
        </w:rPr>
        <w:t>[ ]</w:t>
      </w:r>
      <w:r w:rsidRPr="000F51D7">
        <w:rPr>
          <w:lang w:bidi="en-US"/>
        </w:rPr>
        <w:t>, people trying to cancel their stay</w:t>
      </w:r>
      <w:r w:rsidR="0080595C" w:rsidRPr="000F51D7">
        <w:rPr>
          <w:lang w:bidi="en-US"/>
        </w:rPr>
        <w:t>[ ]</w:t>
      </w:r>
      <w:r w:rsidRPr="000F51D7">
        <w:rPr>
          <w:lang w:bidi="en-US"/>
        </w:rPr>
        <w:t xml:space="preserve">, because they can’t travel or, you know, all the attractions are around us and other properties, dependent properties are closed.” </w:t>
      </w:r>
      <w:r w:rsidR="00220BAC" w:rsidRPr="000F51D7">
        <w:rPr>
          <w:lang w:bidi="en-US"/>
        </w:rPr>
        <w:t xml:space="preserve"> </w:t>
      </w:r>
      <w:r w:rsidRPr="000F51D7">
        <w:rPr>
          <w:lang w:bidi="en-US"/>
        </w:rPr>
        <w:t>[¶] . . . [¶]</w:t>
      </w:r>
    </w:p>
    <w:p w14:paraId="3C159F99" w14:textId="249873BD" w:rsidR="005716D5" w:rsidRPr="000F51D7" w:rsidRDefault="005716D5" w:rsidP="00220BAC">
      <w:pPr>
        <w:pStyle w:val="IndentedQuote"/>
        <w:spacing w:line="180" w:lineRule="auto"/>
        <w:rPr>
          <w:lang w:bidi="en-US"/>
        </w:rPr>
      </w:pPr>
    </w:p>
    <w:p w14:paraId="079CE20B" w14:textId="587A8F50" w:rsidR="005716D5" w:rsidRPr="000F51D7" w:rsidRDefault="005716D5" w:rsidP="00AF0834">
      <w:pPr>
        <w:pStyle w:val="IndentedQuote"/>
        <w:rPr>
          <w:lang w:bidi="en-US"/>
        </w:rPr>
      </w:pPr>
      <w:r w:rsidRPr="000F51D7">
        <w:rPr>
          <w:lang w:bidi="en-US"/>
        </w:rPr>
        <w:t>“Q:  I see.  So if graduations aren’t happening, then you are not going to have those people staying at the motel</w:t>
      </w:r>
      <w:r w:rsidR="0080595C" w:rsidRPr="000F51D7">
        <w:rPr>
          <w:lang w:bidi="en-US"/>
        </w:rPr>
        <w:t>;</w:t>
      </w:r>
      <w:r w:rsidRPr="000F51D7">
        <w:rPr>
          <w:lang w:bidi="en-US"/>
        </w:rPr>
        <w:t xml:space="preserve"> correct?</w:t>
      </w:r>
    </w:p>
    <w:p w14:paraId="7F829432" w14:textId="4F7C3F4B" w:rsidR="005716D5" w:rsidRPr="000F51D7" w:rsidRDefault="005716D5" w:rsidP="00220BAC">
      <w:pPr>
        <w:pStyle w:val="IndentedQuote"/>
        <w:spacing w:line="180" w:lineRule="auto"/>
        <w:rPr>
          <w:lang w:bidi="en-US"/>
        </w:rPr>
      </w:pPr>
    </w:p>
    <w:p w14:paraId="6C950745" w14:textId="0CD5129F" w:rsidR="005716D5" w:rsidRPr="000F51D7" w:rsidRDefault="005716D5" w:rsidP="00AF0834">
      <w:pPr>
        <w:pStyle w:val="IndentedQuote"/>
        <w:rPr>
          <w:lang w:bidi="en-US"/>
        </w:rPr>
      </w:pPr>
      <w:r w:rsidRPr="000F51D7">
        <w:rPr>
          <w:lang w:bidi="en-US"/>
        </w:rPr>
        <w:lastRenderedPageBreak/>
        <w:t>“A:  Yes.</w:t>
      </w:r>
    </w:p>
    <w:p w14:paraId="65381788" w14:textId="33EB97F8" w:rsidR="005716D5" w:rsidRPr="000F51D7" w:rsidRDefault="005716D5" w:rsidP="00220BAC">
      <w:pPr>
        <w:pStyle w:val="IndentedQuote"/>
        <w:spacing w:line="180" w:lineRule="auto"/>
        <w:rPr>
          <w:lang w:bidi="en-US"/>
        </w:rPr>
      </w:pPr>
    </w:p>
    <w:p w14:paraId="7031DD95" w14:textId="6F2EC0B9" w:rsidR="005716D5" w:rsidRPr="000F51D7" w:rsidRDefault="005716D5" w:rsidP="00AF0834">
      <w:pPr>
        <w:pStyle w:val="IndentedQuote"/>
        <w:rPr>
          <w:lang w:bidi="en-US"/>
        </w:rPr>
      </w:pPr>
      <w:r w:rsidRPr="000F51D7">
        <w:rPr>
          <w:lang w:bidi="en-US"/>
        </w:rPr>
        <w:t>“Q:  And if people aren’t traveling for conventions, you don’t have those people staying at the motel</w:t>
      </w:r>
      <w:r w:rsidR="0080595C" w:rsidRPr="000F51D7">
        <w:rPr>
          <w:lang w:bidi="en-US"/>
        </w:rPr>
        <w:t>;</w:t>
      </w:r>
      <w:r w:rsidRPr="000F51D7">
        <w:rPr>
          <w:lang w:bidi="en-US"/>
        </w:rPr>
        <w:t xml:space="preserve"> right?</w:t>
      </w:r>
    </w:p>
    <w:p w14:paraId="106163F9" w14:textId="0344FCCF" w:rsidR="005716D5" w:rsidRPr="000F51D7" w:rsidRDefault="005716D5" w:rsidP="00220BAC">
      <w:pPr>
        <w:pStyle w:val="IndentedQuote"/>
        <w:spacing w:line="180" w:lineRule="auto"/>
        <w:rPr>
          <w:lang w:bidi="en-US"/>
        </w:rPr>
      </w:pPr>
    </w:p>
    <w:p w14:paraId="08A35144" w14:textId="485F37FB" w:rsidR="005716D5" w:rsidRPr="000F51D7" w:rsidRDefault="005716D5" w:rsidP="00AF0834">
      <w:pPr>
        <w:pStyle w:val="IndentedQuote"/>
        <w:rPr>
          <w:lang w:bidi="en-US"/>
        </w:rPr>
      </w:pPr>
      <w:r w:rsidRPr="000F51D7">
        <w:rPr>
          <w:lang w:bidi="en-US"/>
        </w:rPr>
        <w:t>“A:  Yes.</w:t>
      </w:r>
    </w:p>
    <w:p w14:paraId="07F3843C" w14:textId="2424A26D" w:rsidR="005716D5" w:rsidRPr="000F51D7" w:rsidRDefault="005716D5" w:rsidP="00220BAC">
      <w:pPr>
        <w:pStyle w:val="IndentedQuote"/>
        <w:spacing w:line="180" w:lineRule="auto"/>
        <w:rPr>
          <w:lang w:bidi="en-US"/>
        </w:rPr>
      </w:pPr>
    </w:p>
    <w:p w14:paraId="2C780504" w14:textId="4B138E91" w:rsidR="005716D5" w:rsidRPr="000F51D7" w:rsidRDefault="005716D5" w:rsidP="00AF0834">
      <w:pPr>
        <w:pStyle w:val="IndentedQuote"/>
        <w:rPr>
          <w:lang w:bidi="en-US"/>
        </w:rPr>
      </w:pPr>
      <w:r w:rsidRPr="000F51D7">
        <w:rPr>
          <w:lang w:bidi="en-US"/>
        </w:rPr>
        <w:t>“Q:  And if people aren’t going to the tourist attractions, you are not going to have people staying at the motel</w:t>
      </w:r>
      <w:r w:rsidR="0080595C" w:rsidRPr="000F51D7">
        <w:rPr>
          <w:lang w:bidi="en-US"/>
        </w:rPr>
        <w:t>;</w:t>
      </w:r>
      <w:r w:rsidRPr="000F51D7">
        <w:rPr>
          <w:lang w:bidi="en-US"/>
        </w:rPr>
        <w:t xml:space="preserve"> right?</w:t>
      </w:r>
    </w:p>
    <w:p w14:paraId="0A7B8A5C" w14:textId="4077A125" w:rsidR="005716D5" w:rsidRPr="000F51D7" w:rsidRDefault="005716D5" w:rsidP="00220BAC">
      <w:pPr>
        <w:pStyle w:val="IndentedQuote"/>
        <w:spacing w:line="180" w:lineRule="auto"/>
        <w:rPr>
          <w:lang w:bidi="en-US"/>
        </w:rPr>
      </w:pPr>
    </w:p>
    <w:p w14:paraId="486DEB59" w14:textId="5719B474" w:rsidR="005716D5" w:rsidRPr="000F51D7" w:rsidRDefault="005716D5" w:rsidP="00AF0834">
      <w:pPr>
        <w:pStyle w:val="IndentedQuote"/>
        <w:rPr>
          <w:lang w:bidi="en-US"/>
        </w:rPr>
      </w:pPr>
      <w:r w:rsidRPr="000F51D7">
        <w:rPr>
          <w:lang w:bidi="en-US"/>
        </w:rPr>
        <w:t xml:space="preserve">“A:  Yes.” </w:t>
      </w:r>
    </w:p>
    <w:p w14:paraId="4B045EB9" w14:textId="01B2C62A" w:rsidR="005373CC" w:rsidRPr="000F51D7" w:rsidRDefault="005373CC" w:rsidP="00AF0834">
      <w:pPr>
        <w:pStyle w:val="IndentedQuote"/>
        <w:rPr>
          <w:lang w:bidi="en-US"/>
        </w:rPr>
      </w:pPr>
    </w:p>
    <w:p w14:paraId="4268DC66" w14:textId="6A06B041" w:rsidR="005373CC" w:rsidRPr="000F51D7" w:rsidRDefault="005373CC" w:rsidP="005373CC">
      <w:pPr>
        <w:rPr>
          <w:lang w:bidi="en-US"/>
        </w:rPr>
      </w:pPr>
      <w:r w:rsidRPr="000F51D7">
        <w:rPr>
          <w:lang w:bidi="en-US"/>
        </w:rPr>
        <w:tab/>
      </w:r>
      <w:r w:rsidR="00D14B87" w:rsidRPr="000F51D7">
        <w:rPr>
          <w:lang w:bidi="en-US"/>
        </w:rPr>
        <w:t>He</w:t>
      </w:r>
      <w:r w:rsidRPr="000F51D7">
        <w:rPr>
          <w:lang w:bidi="en-US"/>
        </w:rPr>
        <w:t xml:space="preserve"> </w:t>
      </w:r>
      <w:r w:rsidR="00690ADF" w:rsidRPr="000F51D7">
        <w:rPr>
          <w:lang w:bidi="en-US"/>
        </w:rPr>
        <w:t xml:space="preserve">further </w:t>
      </w:r>
      <w:r w:rsidRPr="000F51D7">
        <w:rPr>
          <w:lang w:bidi="en-US"/>
        </w:rPr>
        <w:t xml:space="preserve">testified </w:t>
      </w:r>
      <w:r w:rsidR="00690ADF" w:rsidRPr="000F51D7">
        <w:rPr>
          <w:lang w:bidi="en-US"/>
        </w:rPr>
        <w:t xml:space="preserve">that </w:t>
      </w:r>
      <w:r w:rsidRPr="000F51D7">
        <w:rPr>
          <w:lang w:bidi="en-US"/>
        </w:rPr>
        <w:t xml:space="preserve">the hotel lost “many reservations on the books for conventions in March, April, May, June, July and August” </w:t>
      </w:r>
      <w:r w:rsidR="00767BD7" w:rsidRPr="000F51D7">
        <w:rPr>
          <w:lang w:bidi="en-US"/>
        </w:rPr>
        <w:t>but they were “</w:t>
      </w:r>
      <w:r w:rsidRPr="000F51D7">
        <w:rPr>
          <w:lang w:bidi="en-US"/>
        </w:rPr>
        <w:t xml:space="preserve">canceled because of coronavirus . . . they could not hold those events.”  </w:t>
      </w:r>
      <w:r w:rsidR="00767BD7" w:rsidRPr="000F51D7">
        <w:rPr>
          <w:lang w:bidi="en-US"/>
        </w:rPr>
        <w:t xml:space="preserve">Best Rest </w:t>
      </w:r>
      <w:r w:rsidRPr="000F51D7">
        <w:rPr>
          <w:lang w:bidi="en-US"/>
        </w:rPr>
        <w:t>also lost “30 to 40 percent” of its occupancy when the Marine Corps suspended public graduation ceremonies.  Salem explained that as a result, the hotel “had to cancel tons of</w:t>
      </w:r>
      <w:r w:rsidRPr="000F51D7">
        <w:rPr>
          <w:i/>
          <w:iCs/>
          <w:lang w:bidi="en-US"/>
        </w:rPr>
        <w:t xml:space="preserve"> </w:t>
      </w:r>
      <w:r w:rsidRPr="000F51D7">
        <w:rPr>
          <w:lang w:bidi="en-US"/>
        </w:rPr>
        <w:t xml:space="preserve">reservations,” creating a “huge” loss. </w:t>
      </w:r>
    </w:p>
    <w:p w14:paraId="68598CD4" w14:textId="3D308F79" w:rsidR="006F2CD2" w:rsidRPr="000F51D7" w:rsidRDefault="002F1237" w:rsidP="005373CC">
      <w:pPr>
        <w:rPr>
          <w:lang w:bidi="en-US"/>
        </w:rPr>
      </w:pPr>
      <w:r w:rsidRPr="000F51D7">
        <w:rPr>
          <w:lang w:bidi="en-US"/>
        </w:rPr>
        <w:tab/>
      </w:r>
      <w:r w:rsidR="006616D3" w:rsidRPr="000F51D7">
        <w:rPr>
          <w:lang w:bidi="en-US"/>
        </w:rPr>
        <w:t xml:space="preserve">Similarly, </w:t>
      </w:r>
      <w:r w:rsidR="000A2E62">
        <w:rPr>
          <w:lang w:bidi="en-US"/>
        </w:rPr>
        <w:t xml:space="preserve">general manager </w:t>
      </w:r>
      <w:r w:rsidRPr="000F51D7">
        <w:rPr>
          <w:lang w:bidi="en-US"/>
        </w:rPr>
        <w:t>Zaya</w:t>
      </w:r>
      <w:r w:rsidR="006616D3" w:rsidRPr="000F51D7">
        <w:rPr>
          <w:lang w:bidi="en-US"/>
        </w:rPr>
        <w:t xml:space="preserve"> testified </w:t>
      </w:r>
      <w:r w:rsidR="00767BD7" w:rsidRPr="000F51D7">
        <w:rPr>
          <w:lang w:bidi="en-US"/>
        </w:rPr>
        <w:t>that a</w:t>
      </w:r>
      <w:r w:rsidR="006616D3" w:rsidRPr="000F51D7">
        <w:rPr>
          <w:lang w:bidi="en-US"/>
        </w:rPr>
        <w:t xml:space="preserve"> “major</w:t>
      </w:r>
      <w:r w:rsidR="006872A4" w:rsidRPr="000F51D7">
        <w:rPr>
          <w:lang w:bidi="en-US"/>
        </w:rPr>
        <w:t>”</w:t>
      </w:r>
      <w:r w:rsidR="006616D3" w:rsidRPr="000F51D7">
        <w:rPr>
          <w:lang w:bidi="en-US"/>
        </w:rPr>
        <w:t xml:space="preserve"> reduction in tourism “</w:t>
      </w:r>
      <w:r w:rsidR="006872A4" w:rsidRPr="000F51D7">
        <w:rPr>
          <w:lang w:bidi="en-US"/>
        </w:rPr>
        <w:t>[</w:t>
      </w:r>
      <w:r w:rsidR="006616D3" w:rsidRPr="000F51D7">
        <w:rPr>
          <w:lang w:bidi="en-US"/>
        </w:rPr>
        <w:t>b</w:t>
      </w:r>
      <w:r w:rsidR="006872A4" w:rsidRPr="000F51D7">
        <w:rPr>
          <w:lang w:bidi="en-US"/>
        </w:rPr>
        <w:t>]</w:t>
      </w:r>
      <w:r w:rsidR="006616D3" w:rsidRPr="000F51D7">
        <w:rPr>
          <w:lang w:bidi="en-US"/>
        </w:rPr>
        <w:t xml:space="preserve">ecause of the pandemic” had “a direct impact on [the hotel’s] business.”  She also explained that one guest had apparently become infected while at the hotel.  </w:t>
      </w:r>
      <w:r w:rsidR="002F58E5" w:rsidRPr="000F51D7">
        <w:rPr>
          <w:lang w:bidi="en-US"/>
        </w:rPr>
        <w:t>Th</w:t>
      </w:r>
      <w:r w:rsidR="00767BD7" w:rsidRPr="000F51D7">
        <w:rPr>
          <w:lang w:bidi="en-US"/>
        </w:rPr>
        <w:t>at</w:t>
      </w:r>
      <w:r w:rsidR="002F58E5" w:rsidRPr="000F51D7">
        <w:rPr>
          <w:lang w:bidi="en-US"/>
        </w:rPr>
        <w:t xml:space="preserve"> room was sanitized and cordoned off for 10 days.  But even then, Best Rest did not lose any guest business</w:t>
      </w:r>
      <w:r w:rsidR="00690ADF" w:rsidRPr="000F51D7">
        <w:rPr>
          <w:lang w:bidi="en-US"/>
        </w:rPr>
        <w:t xml:space="preserve">.  </w:t>
      </w:r>
      <w:r w:rsidR="00767BD7" w:rsidRPr="000F51D7">
        <w:rPr>
          <w:lang w:bidi="en-US"/>
        </w:rPr>
        <w:t xml:space="preserve">A fair reading of </w:t>
      </w:r>
      <w:r w:rsidR="00922F7B" w:rsidRPr="000F51D7">
        <w:rPr>
          <w:lang w:bidi="en-US"/>
        </w:rPr>
        <w:t xml:space="preserve">Zaya’s </w:t>
      </w:r>
      <w:r w:rsidR="00767BD7" w:rsidRPr="000F51D7">
        <w:rPr>
          <w:lang w:bidi="en-US"/>
        </w:rPr>
        <w:t>deposition testimony is that people were not staying at the hotel because “[p]eople are afraid to travel” and “a lot of corporate conventions were cancelled</w:t>
      </w:r>
      <w:r w:rsidR="00FA55B5">
        <w:rPr>
          <w:lang w:bidi="en-US"/>
        </w:rPr>
        <w:t>,</w:t>
      </w:r>
      <w:r w:rsidR="00767BD7" w:rsidRPr="000F51D7">
        <w:rPr>
          <w:lang w:bidi="en-US"/>
        </w:rPr>
        <w:t xml:space="preserve">” not because “of anything specific” to </w:t>
      </w:r>
      <w:r w:rsidR="00E363A1" w:rsidRPr="000F51D7">
        <w:rPr>
          <w:lang w:bidi="en-US"/>
        </w:rPr>
        <w:t>the</w:t>
      </w:r>
      <w:r w:rsidR="00220BAC" w:rsidRPr="000F51D7">
        <w:rPr>
          <w:lang w:bidi="en-US"/>
        </w:rPr>
        <w:t xml:space="preserve"> </w:t>
      </w:r>
      <w:r w:rsidR="00767BD7" w:rsidRPr="000F51D7">
        <w:rPr>
          <w:lang w:bidi="en-US"/>
        </w:rPr>
        <w:t>Best Rest</w:t>
      </w:r>
      <w:r w:rsidR="00E363A1" w:rsidRPr="000F51D7">
        <w:rPr>
          <w:lang w:bidi="en-US"/>
        </w:rPr>
        <w:t xml:space="preserve"> property</w:t>
      </w:r>
      <w:r w:rsidR="00767BD7" w:rsidRPr="000F51D7">
        <w:rPr>
          <w:lang w:bidi="en-US"/>
        </w:rPr>
        <w:t xml:space="preserve">.  </w:t>
      </w:r>
      <w:r w:rsidR="00360BF7" w:rsidRPr="000F51D7">
        <w:rPr>
          <w:lang w:bidi="en-US"/>
        </w:rPr>
        <w:t xml:space="preserve">When </w:t>
      </w:r>
      <w:r w:rsidR="00767BD7" w:rsidRPr="000F51D7">
        <w:rPr>
          <w:lang w:bidi="en-US"/>
        </w:rPr>
        <w:t>some</w:t>
      </w:r>
      <w:r w:rsidR="00360BF7" w:rsidRPr="000F51D7">
        <w:rPr>
          <w:lang w:bidi="en-US"/>
        </w:rPr>
        <w:t xml:space="preserve"> employees contracted COVID-19, the hotel redoubled its sanitizing efforts.  Yet still, it did not close any portion of the hotel as a result of </w:t>
      </w:r>
      <w:r w:rsidR="001174DF" w:rsidRPr="000F51D7">
        <w:rPr>
          <w:lang w:bidi="en-US"/>
        </w:rPr>
        <w:t xml:space="preserve">an employee contracting </w:t>
      </w:r>
      <w:r w:rsidR="00360BF7" w:rsidRPr="000F51D7">
        <w:rPr>
          <w:lang w:bidi="en-US"/>
        </w:rPr>
        <w:t xml:space="preserve">the </w:t>
      </w:r>
      <w:r w:rsidR="001174DF" w:rsidRPr="000F51D7">
        <w:rPr>
          <w:lang w:bidi="en-US"/>
        </w:rPr>
        <w:t>virus.</w:t>
      </w:r>
      <w:r w:rsidR="00360BF7" w:rsidRPr="000F51D7">
        <w:rPr>
          <w:lang w:bidi="en-US"/>
        </w:rPr>
        <w:t xml:space="preserve">  </w:t>
      </w:r>
      <w:r w:rsidR="001174DF" w:rsidRPr="000F51D7">
        <w:rPr>
          <w:lang w:bidi="en-US"/>
        </w:rPr>
        <w:t xml:space="preserve">To the contrary, </w:t>
      </w:r>
      <w:r w:rsidR="002F58E5" w:rsidRPr="000F51D7">
        <w:rPr>
          <w:lang w:bidi="en-US"/>
        </w:rPr>
        <w:t xml:space="preserve">Zaya conceded that “other than a reduction in people traveling,” there was </w:t>
      </w:r>
      <w:r w:rsidR="002F58E5" w:rsidRPr="000F51D7">
        <w:rPr>
          <w:i/>
          <w:iCs/>
          <w:lang w:bidi="en-US"/>
        </w:rPr>
        <w:t>no other reason</w:t>
      </w:r>
      <w:r w:rsidR="002F58E5" w:rsidRPr="000F51D7">
        <w:rPr>
          <w:lang w:bidi="en-US"/>
        </w:rPr>
        <w:t xml:space="preserve"> the hotel could not rent out its rooms:</w:t>
      </w:r>
    </w:p>
    <w:p w14:paraId="03B42785" w14:textId="4D0B103E" w:rsidR="002F58E5" w:rsidRPr="000F51D7" w:rsidRDefault="002F58E5" w:rsidP="00D77876">
      <w:pPr>
        <w:pStyle w:val="IndentedQuote"/>
        <w:rPr>
          <w:lang w:bidi="en-US"/>
        </w:rPr>
      </w:pPr>
      <w:r w:rsidRPr="000F51D7">
        <w:rPr>
          <w:lang w:bidi="en-US"/>
        </w:rPr>
        <w:lastRenderedPageBreak/>
        <w:t>“Q:  So other than a reduction in people traveling, was there any reason why you could not rent out the rooms at the motel?</w:t>
      </w:r>
    </w:p>
    <w:p w14:paraId="3C7AECCC" w14:textId="52DB1285" w:rsidR="002F58E5" w:rsidRPr="000F51D7" w:rsidRDefault="002F58E5" w:rsidP="00D77876">
      <w:pPr>
        <w:pStyle w:val="IndentedQuote"/>
        <w:spacing w:line="180" w:lineRule="auto"/>
        <w:rPr>
          <w:lang w:bidi="en-US"/>
        </w:rPr>
      </w:pPr>
    </w:p>
    <w:p w14:paraId="39624BF0" w14:textId="5A57712C" w:rsidR="002F58E5" w:rsidRPr="000F51D7" w:rsidRDefault="002F58E5" w:rsidP="002F58E5">
      <w:pPr>
        <w:pStyle w:val="IndentedQuote"/>
        <w:rPr>
          <w:lang w:bidi="en-US"/>
        </w:rPr>
      </w:pPr>
      <w:r w:rsidRPr="000F51D7">
        <w:rPr>
          <w:lang w:bidi="en-US"/>
        </w:rPr>
        <w:t>“A:  No.</w:t>
      </w:r>
      <w:r w:rsidR="00BC6AE9" w:rsidRPr="000F51D7">
        <w:rPr>
          <w:lang w:bidi="en-US"/>
        </w:rPr>
        <w:t>”</w:t>
      </w:r>
      <w:r w:rsidRPr="000F51D7">
        <w:rPr>
          <w:rStyle w:val="FootnoteReference"/>
          <w:lang w:bidi="en-US"/>
        </w:rPr>
        <w:footnoteReference w:id="12"/>
      </w:r>
      <w:r w:rsidRPr="000F51D7">
        <w:rPr>
          <w:lang w:bidi="en-US"/>
        </w:rPr>
        <w:t xml:space="preserve"> </w:t>
      </w:r>
    </w:p>
    <w:p w14:paraId="0385346B" w14:textId="2838970F" w:rsidR="001174DF" w:rsidRPr="000F51D7" w:rsidRDefault="001174DF" w:rsidP="00BB3C10">
      <w:pPr>
        <w:pStyle w:val="IndentedQuote"/>
        <w:spacing w:line="180" w:lineRule="auto"/>
        <w:rPr>
          <w:lang w:bidi="en-US"/>
        </w:rPr>
      </w:pPr>
    </w:p>
    <w:p w14:paraId="215827E9" w14:textId="7FA6EDD5" w:rsidR="007D1F1A" w:rsidRPr="000F51D7" w:rsidRDefault="00767BD7" w:rsidP="0020354A">
      <w:pPr>
        <w:rPr>
          <w:lang w:bidi="en-US"/>
        </w:rPr>
      </w:pPr>
      <w:r w:rsidRPr="000F51D7">
        <w:rPr>
          <w:lang w:bidi="en-US"/>
        </w:rPr>
        <w:tab/>
        <w:t xml:space="preserve">Moreover, although Best Rest closed one floor of the hotel, </w:t>
      </w:r>
      <w:r w:rsidR="00690ADF" w:rsidRPr="000F51D7">
        <w:rPr>
          <w:lang w:bidi="en-US"/>
        </w:rPr>
        <w:t>that was</w:t>
      </w:r>
      <w:r w:rsidRPr="000F51D7">
        <w:rPr>
          <w:lang w:bidi="en-US"/>
        </w:rPr>
        <w:t xml:space="preserve"> for the convenience of hotel staff.  </w:t>
      </w:r>
      <w:r w:rsidR="007D1F1A" w:rsidRPr="000F51D7">
        <w:rPr>
          <w:lang w:bidi="en-US"/>
        </w:rPr>
        <w:t xml:space="preserve">As </w:t>
      </w:r>
      <w:r w:rsidR="003E4B9B">
        <w:rPr>
          <w:lang w:bidi="en-US"/>
        </w:rPr>
        <w:t>she</w:t>
      </w:r>
      <w:r w:rsidR="003E4B9B" w:rsidRPr="000F51D7">
        <w:rPr>
          <w:lang w:bidi="en-US"/>
        </w:rPr>
        <w:t xml:space="preserve"> </w:t>
      </w:r>
      <w:r w:rsidR="007D1F1A" w:rsidRPr="000F51D7">
        <w:rPr>
          <w:lang w:bidi="en-US"/>
        </w:rPr>
        <w:t>explained:</w:t>
      </w:r>
    </w:p>
    <w:p w14:paraId="59C6131F" w14:textId="679D9DD7" w:rsidR="007D1F1A" w:rsidRPr="000F51D7" w:rsidRDefault="007D1F1A" w:rsidP="007D1F1A">
      <w:pPr>
        <w:pStyle w:val="IndentedQuote"/>
        <w:rPr>
          <w:lang w:bidi="en-US"/>
        </w:rPr>
      </w:pPr>
      <w:r w:rsidRPr="000F51D7">
        <w:rPr>
          <w:lang w:bidi="en-US"/>
        </w:rPr>
        <w:t xml:space="preserve">“[F]or example, why do I have to vacuum a hallway that has 25 rooms if I rented one room in that building or that floor?  So I put them on one floor instead of scattering into three.” </w:t>
      </w:r>
    </w:p>
    <w:p w14:paraId="2C4969C5" w14:textId="77777777" w:rsidR="007D1F1A" w:rsidRPr="000F51D7" w:rsidRDefault="007D1F1A" w:rsidP="00BB3C10">
      <w:pPr>
        <w:pStyle w:val="IndentedQuote"/>
        <w:spacing w:line="180" w:lineRule="auto"/>
        <w:rPr>
          <w:lang w:bidi="en-US"/>
        </w:rPr>
      </w:pPr>
    </w:p>
    <w:p w14:paraId="3905AE3D" w14:textId="41FF0242" w:rsidR="00690ADF" w:rsidRPr="000F51D7" w:rsidRDefault="003E4B9B" w:rsidP="0020354A">
      <w:pPr>
        <w:rPr>
          <w:lang w:bidi="en-US"/>
        </w:rPr>
      </w:pPr>
      <w:r>
        <w:rPr>
          <w:lang w:bidi="en-US"/>
        </w:rPr>
        <w:t xml:space="preserve">Zaya further </w:t>
      </w:r>
      <w:r w:rsidR="007D1F1A" w:rsidRPr="000F51D7">
        <w:rPr>
          <w:lang w:bidi="en-US"/>
        </w:rPr>
        <w:t>conceded that t</w:t>
      </w:r>
      <w:r w:rsidR="00690ADF" w:rsidRPr="000F51D7">
        <w:rPr>
          <w:lang w:bidi="en-US"/>
        </w:rPr>
        <w:t>he hotel always had rooms available for customers wanting to stay there</w:t>
      </w:r>
      <w:r w:rsidR="007D1F1A" w:rsidRPr="000F51D7">
        <w:rPr>
          <w:lang w:bidi="en-US"/>
        </w:rPr>
        <w:t>:</w:t>
      </w:r>
    </w:p>
    <w:p w14:paraId="1469BAF0" w14:textId="3C7B0D34" w:rsidR="007D1F1A" w:rsidRPr="000F51D7" w:rsidRDefault="007D1F1A" w:rsidP="007D1F1A">
      <w:pPr>
        <w:pStyle w:val="IndentedQuote"/>
        <w:rPr>
          <w:lang w:bidi="en-US"/>
        </w:rPr>
      </w:pPr>
      <w:r w:rsidRPr="000F51D7">
        <w:rPr>
          <w:lang w:bidi="en-US"/>
        </w:rPr>
        <w:t>“Q:  But you always had rooms available to rent if you had customers willing to occupy those rooms?</w:t>
      </w:r>
    </w:p>
    <w:p w14:paraId="57B65AF5" w14:textId="09CC4565" w:rsidR="007D1F1A" w:rsidRPr="000F51D7" w:rsidRDefault="007D1F1A" w:rsidP="00772CC3">
      <w:pPr>
        <w:pStyle w:val="IndentedQuote"/>
        <w:spacing w:line="180" w:lineRule="auto"/>
        <w:rPr>
          <w:lang w:bidi="en-US"/>
        </w:rPr>
      </w:pPr>
    </w:p>
    <w:p w14:paraId="7C8EE5BD" w14:textId="24BD40C9" w:rsidR="007D1F1A" w:rsidRPr="000F51D7" w:rsidRDefault="007D1F1A" w:rsidP="007D1F1A">
      <w:pPr>
        <w:pStyle w:val="IndentedQuote"/>
        <w:rPr>
          <w:lang w:bidi="en-US"/>
        </w:rPr>
      </w:pPr>
      <w:r w:rsidRPr="000F51D7">
        <w:rPr>
          <w:lang w:bidi="en-US"/>
        </w:rPr>
        <w:t xml:space="preserve">“A:  Absolutely.” </w:t>
      </w:r>
    </w:p>
    <w:p w14:paraId="1C7FC6E6" w14:textId="77777777" w:rsidR="007D1F1A" w:rsidRPr="000F51D7" w:rsidRDefault="007D1F1A" w:rsidP="00BB3C10">
      <w:pPr>
        <w:pStyle w:val="IndentedQuote"/>
        <w:spacing w:line="180" w:lineRule="auto"/>
        <w:rPr>
          <w:lang w:bidi="en-US"/>
        </w:rPr>
      </w:pPr>
    </w:p>
    <w:p w14:paraId="2275B864" w14:textId="753DBC16" w:rsidR="002F58E5" w:rsidRPr="000F51D7" w:rsidRDefault="007D1F1A" w:rsidP="0020354A">
      <w:pPr>
        <w:rPr>
          <w:lang w:bidi="en-US"/>
        </w:rPr>
      </w:pPr>
      <w:r w:rsidRPr="000F51D7">
        <w:rPr>
          <w:lang w:bidi="en-US"/>
        </w:rPr>
        <w:tab/>
      </w:r>
      <w:r w:rsidR="0020354A" w:rsidRPr="000F51D7">
        <w:rPr>
          <w:lang w:bidi="en-US"/>
        </w:rPr>
        <w:t xml:space="preserve">As we explained in </w:t>
      </w:r>
      <w:r w:rsidR="0020354A" w:rsidRPr="000F51D7">
        <w:rPr>
          <w:i/>
          <w:iCs/>
          <w:lang w:bidi="en-US"/>
        </w:rPr>
        <w:t>Inns</w:t>
      </w:r>
      <w:r w:rsidR="0020354A" w:rsidRPr="000F51D7">
        <w:rPr>
          <w:lang w:bidi="en-US"/>
        </w:rPr>
        <w:t xml:space="preserve">, even if Best Rest had </w:t>
      </w:r>
      <w:r w:rsidR="00767BD7" w:rsidRPr="000F51D7">
        <w:rPr>
          <w:lang w:bidi="en-US"/>
        </w:rPr>
        <w:t xml:space="preserve">eradicated </w:t>
      </w:r>
      <w:r w:rsidR="0020354A" w:rsidRPr="000F51D7">
        <w:rPr>
          <w:lang w:bidi="en-US"/>
        </w:rPr>
        <w:t xml:space="preserve">all traces of COVID-19 from its premises, it still would have </w:t>
      </w:r>
      <w:r w:rsidR="00767BD7" w:rsidRPr="000F51D7">
        <w:rPr>
          <w:lang w:bidi="en-US"/>
        </w:rPr>
        <w:t xml:space="preserve">suffered the same lost income.  </w:t>
      </w:r>
      <w:r w:rsidR="0020354A" w:rsidRPr="000F51D7">
        <w:rPr>
          <w:lang w:bidi="en-US"/>
        </w:rPr>
        <w:t xml:space="preserve">Because there is no evidence creating a triable issue </w:t>
      </w:r>
      <w:r w:rsidRPr="000F51D7">
        <w:rPr>
          <w:lang w:bidi="en-US"/>
        </w:rPr>
        <w:t xml:space="preserve">that Best Rest’s claimed business loss was caused by the presence of the virus </w:t>
      </w:r>
      <w:r w:rsidR="00072406" w:rsidRPr="000F51D7">
        <w:rPr>
          <w:lang w:bidi="en-US"/>
        </w:rPr>
        <w:t xml:space="preserve">in or on the insured property, </w:t>
      </w:r>
      <w:r w:rsidR="0020354A" w:rsidRPr="000F51D7">
        <w:rPr>
          <w:lang w:bidi="en-US"/>
        </w:rPr>
        <w:t xml:space="preserve">Sequoia </w:t>
      </w:r>
      <w:r w:rsidR="00767BD7" w:rsidRPr="000F51D7">
        <w:rPr>
          <w:lang w:bidi="en-US"/>
        </w:rPr>
        <w:t>was</w:t>
      </w:r>
      <w:r w:rsidR="0020354A" w:rsidRPr="000F51D7">
        <w:rPr>
          <w:lang w:bidi="en-US"/>
        </w:rPr>
        <w:t xml:space="preserve"> entitled to </w:t>
      </w:r>
      <w:r w:rsidR="00072406" w:rsidRPr="000F51D7">
        <w:rPr>
          <w:lang w:bidi="en-US"/>
        </w:rPr>
        <w:t xml:space="preserve">summary </w:t>
      </w:r>
      <w:r w:rsidR="0020354A" w:rsidRPr="000F51D7">
        <w:rPr>
          <w:lang w:bidi="en-US"/>
        </w:rPr>
        <w:t>judgment</w:t>
      </w:r>
      <w:r w:rsidR="00072406" w:rsidRPr="000F51D7">
        <w:rPr>
          <w:lang w:bidi="en-US"/>
        </w:rPr>
        <w:t>.</w:t>
      </w:r>
      <w:r w:rsidR="00072406" w:rsidRPr="000F51D7">
        <w:rPr>
          <w:rStyle w:val="FootnoteReference"/>
          <w:lang w:bidi="en-US"/>
        </w:rPr>
        <w:footnoteReference w:id="13"/>
      </w:r>
    </w:p>
    <w:p w14:paraId="25AB2A41" w14:textId="1F3DD731" w:rsidR="00F8468A" w:rsidRPr="000F51D7" w:rsidRDefault="00D211C1" w:rsidP="0020354A">
      <w:pPr>
        <w:rPr>
          <w:lang w:bidi="en-US"/>
        </w:rPr>
      </w:pPr>
      <w:r w:rsidRPr="000F51D7">
        <w:rPr>
          <w:lang w:bidi="en-US"/>
        </w:rPr>
        <w:lastRenderedPageBreak/>
        <w:tab/>
        <w:t>In urging the opposite result, Best Rest insists it presented evidence that “the presence of the coronavirus compelled [it] to close its breakfast seating area” and it los</w:t>
      </w:r>
      <w:r w:rsidR="00F424DD">
        <w:rPr>
          <w:lang w:bidi="en-US"/>
        </w:rPr>
        <w:t>s</w:t>
      </w:r>
      <w:r w:rsidRPr="000F51D7">
        <w:rPr>
          <w:lang w:bidi="en-US"/>
        </w:rPr>
        <w:t xml:space="preserve"> </w:t>
      </w:r>
      <w:r w:rsidR="00F424DD">
        <w:rPr>
          <w:lang w:bidi="en-US"/>
        </w:rPr>
        <w:t>the</w:t>
      </w:r>
      <w:r w:rsidRPr="000F51D7">
        <w:rPr>
          <w:lang w:bidi="en-US"/>
        </w:rPr>
        <w:t xml:space="preserve"> </w:t>
      </w:r>
      <w:r w:rsidR="00F424DD">
        <w:rPr>
          <w:lang w:bidi="en-US"/>
        </w:rPr>
        <w:t>“</w:t>
      </w:r>
      <w:r w:rsidRPr="000F51D7">
        <w:rPr>
          <w:lang w:bidi="en-US"/>
        </w:rPr>
        <w:t xml:space="preserve">use of hotel rooms . . . for a period of over a week.” </w:t>
      </w:r>
      <w:r w:rsidR="005010DF" w:rsidRPr="000F51D7">
        <w:rPr>
          <w:lang w:bidi="en-US"/>
        </w:rPr>
        <w:t xml:space="preserve"> But to support those assertions, it </w:t>
      </w:r>
      <w:r w:rsidR="00EC0023" w:rsidRPr="000F51D7">
        <w:rPr>
          <w:lang w:bidi="en-US"/>
        </w:rPr>
        <w:t xml:space="preserve">does not cite any deposition testimony.  Rather, </w:t>
      </w:r>
      <w:r w:rsidR="00FB7284" w:rsidRPr="000F51D7">
        <w:rPr>
          <w:lang w:bidi="en-US"/>
        </w:rPr>
        <w:t xml:space="preserve">it relies on </w:t>
      </w:r>
      <w:r w:rsidR="00F8468A" w:rsidRPr="000F51D7">
        <w:rPr>
          <w:lang w:bidi="en-US"/>
        </w:rPr>
        <w:t>lawyer-prepared declarations</w:t>
      </w:r>
      <w:r w:rsidR="00743D03" w:rsidRPr="000F51D7">
        <w:rPr>
          <w:lang w:bidi="en-US"/>
        </w:rPr>
        <w:t xml:space="preserve"> signed </w:t>
      </w:r>
      <w:r w:rsidR="00F8468A" w:rsidRPr="000F51D7">
        <w:rPr>
          <w:lang w:bidi="en-US"/>
        </w:rPr>
        <w:t xml:space="preserve">by Salem and Zaya.  </w:t>
      </w:r>
    </w:p>
    <w:p w14:paraId="1619D0A1" w14:textId="22753916" w:rsidR="0020354A" w:rsidRPr="000F51D7" w:rsidRDefault="00F8468A" w:rsidP="00DB7098">
      <w:pPr>
        <w:rPr>
          <w:lang w:bidi="en-US"/>
        </w:rPr>
      </w:pPr>
      <w:r w:rsidRPr="000F51D7">
        <w:rPr>
          <w:lang w:bidi="en-US"/>
        </w:rPr>
        <w:tab/>
        <w:t>The</w:t>
      </w:r>
      <w:r w:rsidR="00B14A47" w:rsidRPr="000F51D7">
        <w:rPr>
          <w:lang w:bidi="en-US"/>
        </w:rPr>
        <w:t>se</w:t>
      </w:r>
      <w:r w:rsidRPr="000F51D7">
        <w:rPr>
          <w:lang w:bidi="en-US"/>
        </w:rPr>
        <w:t xml:space="preserve"> declarations are very carefully written.  For example, Zaya’s </w:t>
      </w:r>
      <w:r w:rsidR="006C4059" w:rsidRPr="000F51D7">
        <w:rPr>
          <w:lang w:bidi="en-US"/>
        </w:rPr>
        <w:t xml:space="preserve">declaration </w:t>
      </w:r>
      <w:r w:rsidRPr="000F51D7">
        <w:rPr>
          <w:lang w:bidi="en-US"/>
        </w:rPr>
        <w:t xml:space="preserve">states that after a guest was removed from the hotel by ambulance, “we were unable to rent the room to guests and were physically unable to use the room for any purpose.”  We accept this as true. </w:t>
      </w:r>
      <w:r w:rsidR="0066557F" w:rsidRPr="000F51D7">
        <w:rPr>
          <w:lang w:bidi="en-US"/>
        </w:rPr>
        <w:t xml:space="preserve"> But it’s a half-truth.  Left unsaid is that Best Rest could not have suffered any lost income as a result because the hotel had </w:t>
      </w:r>
      <w:r w:rsidR="00B66A80" w:rsidRPr="000F51D7">
        <w:rPr>
          <w:lang w:bidi="en-US"/>
        </w:rPr>
        <w:t xml:space="preserve">plenty of </w:t>
      </w:r>
      <w:r w:rsidR="0066557F" w:rsidRPr="000F51D7">
        <w:rPr>
          <w:lang w:bidi="en-US"/>
        </w:rPr>
        <w:t>other vacant rooms</w:t>
      </w:r>
      <w:r w:rsidR="00B66A80" w:rsidRPr="000F51D7">
        <w:rPr>
          <w:lang w:bidi="en-US"/>
        </w:rPr>
        <w:t xml:space="preserve">.  The problem was not too few rooms, but no </w:t>
      </w:r>
      <w:r w:rsidR="0066557F" w:rsidRPr="000F51D7">
        <w:rPr>
          <w:lang w:bidi="en-US"/>
        </w:rPr>
        <w:t xml:space="preserve">customers.  </w:t>
      </w:r>
      <w:r w:rsidR="00B66A80" w:rsidRPr="000F51D7">
        <w:rPr>
          <w:lang w:bidi="en-US"/>
        </w:rPr>
        <w:t xml:space="preserve">In any event, </w:t>
      </w:r>
      <w:r w:rsidR="00885423">
        <w:rPr>
          <w:lang w:bidi="en-US"/>
        </w:rPr>
        <w:t xml:space="preserve">Zaya’s </w:t>
      </w:r>
      <w:r w:rsidR="0066557F" w:rsidRPr="000F51D7">
        <w:rPr>
          <w:lang w:bidi="en-US"/>
        </w:rPr>
        <w:t>deposition testimony</w:t>
      </w:r>
      <w:r w:rsidR="00B66A80" w:rsidRPr="000F51D7">
        <w:rPr>
          <w:lang w:bidi="en-US"/>
        </w:rPr>
        <w:t>—</w:t>
      </w:r>
      <w:r w:rsidR="0066557F" w:rsidRPr="000F51D7">
        <w:rPr>
          <w:lang w:bidi="en-US"/>
        </w:rPr>
        <w:t>that the hotel “always had rooms available to rent if [</w:t>
      </w:r>
      <w:r w:rsidR="003C39F0" w:rsidRPr="000F51D7">
        <w:rPr>
          <w:lang w:bidi="en-US"/>
        </w:rPr>
        <w:t>it</w:t>
      </w:r>
      <w:r w:rsidR="0066557F" w:rsidRPr="000F51D7">
        <w:rPr>
          <w:lang w:bidi="en-US"/>
        </w:rPr>
        <w:t>] had customers willing to occupy those rooms”</w:t>
      </w:r>
      <w:r w:rsidR="00B66A80" w:rsidRPr="000F51D7">
        <w:rPr>
          <w:lang w:bidi="en-US"/>
        </w:rPr>
        <w:t>—</w:t>
      </w:r>
      <w:r w:rsidR="003C39F0" w:rsidRPr="000F51D7">
        <w:rPr>
          <w:lang w:bidi="en-US"/>
        </w:rPr>
        <w:t xml:space="preserve">contradicts </w:t>
      </w:r>
      <w:r w:rsidR="00B66A80" w:rsidRPr="000F51D7">
        <w:rPr>
          <w:lang w:bidi="en-US"/>
        </w:rPr>
        <w:t xml:space="preserve">the suggestion of lost occupancy income in </w:t>
      </w:r>
      <w:r w:rsidR="00885423">
        <w:rPr>
          <w:lang w:bidi="en-US"/>
        </w:rPr>
        <w:t>her</w:t>
      </w:r>
      <w:r w:rsidR="00885423" w:rsidRPr="000F51D7">
        <w:rPr>
          <w:lang w:bidi="en-US"/>
        </w:rPr>
        <w:t xml:space="preserve"> </w:t>
      </w:r>
      <w:r w:rsidR="00B66A80" w:rsidRPr="000F51D7">
        <w:rPr>
          <w:lang w:bidi="en-US"/>
        </w:rPr>
        <w:t>declaration—and therefore does not create a triable issue of fact.</w:t>
      </w:r>
      <w:r w:rsidR="00877B0A" w:rsidRPr="000F51D7">
        <w:rPr>
          <w:lang w:bidi="en-US"/>
        </w:rPr>
        <w:t xml:space="preserve">  A party cannot</w:t>
      </w:r>
      <w:r w:rsidR="00496DAB" w:rsidRPr="000F51D7">
        <w:rPr>
          <w:lang w:bidi="en-US"/>
        </w:rPr>
        <w:t xml:space="preserve"> create a triable issue of fact by providing </w:t>
      </w:r>
      <w:r w:rsidR="00496DAB" w:rsidRPr="000F51D7">
        <w:rPr>
          <w:lang w:bidi="en-US"/>
        </w:rPr>
        <w:lastRenderedPageBreak/>
        <w:t xml:space="preserve">a declaration that contradicts its prior deposition testimony.  (See </w:t>
      </w:r>
      <w:r w:rsidR="00496DAB" w:rsidRPr="000F51D7">
        <w:rPr>
          <w:i/>
          <w:iCs/>
          <w:lang w:bidi="en-US"/>
        </w:rPr>
        <w:t xml:space="preserve">Shin v. Ahn </w:t>
      </w:r>
      <w:r w:rsidR="00496DAB" w:rsidRPr="000F51D7">
        <w:rPr>
          <w:lang w:bidi="en-US"/>
        </w:rPr>
        <w:t>(2007) 42 Cal.4th 482, 500, fn. 12.)</w:t>
      </w:r>
    </w:p>
    <w:p w14:paraId="6093E6A1" w14:textId="5375021F" w:rsidR="00496DAB" w:rsidRPr="000F51D7" w:rsidRDefault="00B14A47" w:rsidP="00DB7098">
      <w:pPr>
        <w:rPr>
          <w:lang w:bidi="en-US"/>
        </w:rPr>
      </w:pPr>
      <w:r w:rsidRPr="000F51D7">
        <w:rPr>
          <w:lang w:bidi="en-US"/>
        </w:rPr>
        <w:tab/>
      </w:r>
      <w:r w:rsidR="00496DAB" w:rsidRPr="000F51D7">
        <w:rPr>
          <w:lang w:bidi="en-US"/>
        </w:rPr>
        <w:t>Best Rest’s brief is also very carefully written.  The hotel asserts</w:t>
      </w:r>
      <w:r w:rsidR="00C263A6" w:rsidRPr="000F51D7">
        <w:rPr>
          <w:lang w:bidi="en-US"/>
        </w:rPr>
        <w:t xml:space="preserve">, “[T]he only reason that </w:t>
      </w:r>
      <w:r w:rsidR="00496DAB" w:rsidRPr="000F51D7">
        <w:rPr>
          <w:lang w:bidi="en-US"/>
        </w:rPr>
        <w:t xml:space="preserve">[its] </w:t>
      </w:r>
      <w:r w:rsidR="00C263A6" w:rsidRPr="000F51D7">
        <w:rPr>
          <w:lang w:bidi="en-US"/>
        </w:rPr>
        <w:t xml:space="preserve">facilities were shut was because the virus was present.”  </w:t>
      </w:r>
      <w:r w:rsidR="00496DAB" w:rsidRPr="000F51D7">
        <w:rPr>
          <w:lang w:bidi="en-US"/>
        </w:rPr>
        <w:t xml:space="preserve">The hotel cites a portion of Zaya’s declaration stating,  “The pandemic also caused a number of rooms to be placed ‘out of order’ and remain unoccupied for extended periods of time.”  In its brief, the hotel asserts that as a result of the virus’s presence in those rooms, Best Rest was “precluded” from “renting out its rooms after COVID-19 infected individuals stayed in them” and also “prohibited Best Rest from using certain public areas of the hotel.”  </w:t>
      </w:r>
    </w:p>
    <w:p w14:paraId="0D9285DE" w14:textId="240AAAA6" w:rsidR="00B14A47" w:rsidRPr="000F51D7" w:rsidRDefault="00496DAB" w:rsidP="00DB7098">
      <w:pPr>
        <w:rPr>
          <w:lang w:bidi="en-US"/>
        </w:rPr>
      </w:pPr>
      <w:r w:rsidRPr="000F51D7">
        <w:rPr>
          <w:lang w:bidi="en-US"/>
        </w:rPr>
        <w:tab/>
        <w:t>We accept all this as being true</w:t>
      </w:r>
      <w:r w:rsidR="002F53E3" w:rsidRPr="000F51D7">
        <w:rPr>
          <w:lang w:bidi="en-US"/>
        </w:rPr>
        <w:t xml:space="preserve">.  The problem is that it ignores the real issue.  The question is whether there is evidence creating a triable issue that </w:t>
      </w:r>
      <w:r w:rsidR="0023574F" w:rsidRPr="000F51D7">
        <w:rPr>
          <w:lang w:bidi="en-US"/>
        </w:rPr>
        <w:t xml:space="preserve">cordoned off </w:t>
      </w:r>
      <w:r w:rsidR="002F53E3" w:rsidRPr="000F51D7">
        <w:rPr>
          <w:lang w:bidi="en-US"/>
        </w:rPr>
        <w:t xml:space="preserve">guest rooms and closing the gym and other public areas </w:t>
      </w:r>
      <w:r w:rsidR="0023574F" w:rsidRPr="000F51D7">
        <w:rPr>
          <w:i/>
          <w:iCs/>
          <w:lang w:bidi="en-US"/>
        </w:rPr>
        <w:t>caused</w:t>
      </w:r>
      <w:r w:rsidR="0023574F" w:rsidRPr="000F51D7">
        <w:rPr>
          <w:lang w:bidi="en-US"/>
        </w:rPr>
        <w:t xml:space="preserve"> any loss of business income.  </w:t>
      </w:r>
      <w:r w:rsidR="00322F89">
        <w:rPr>
          <w:lang w:bidi="en-US"/>
        </w:rPr>
        <w:t>The</w:t>
      </w:r>
      <w:r w:rsidR="00322F89" w:rsidRPr="000F51D7">
        <w:rPr>
          <w:lang w:bidi="en-US"/>
        </w:rPr>
        <w:t xml:space="preserve"> </w:t>
      </w:r>
      <w:r w:rsidR="0023574F" w:rsidRPr="000F51D7">
        <w:rPr>
          <w:lang w:bidi="en-US"/>
        </w:rPr>
        <w:t>deposition testimony</w:t>
      </w:r>
      <w:r w:rsidR="00B32134" w:rsidRPr="000F51D7">
        <w:rPr>
          <w:lang w:bidi="en-US"/>
        </w:rPr>
        <w:t xml:space="preserve">, </w:t>
      </w:r>
      <w:r w:rsidR="002F53E3" w:rsidRPr="000F51D7">
        <w:rPr>
          <w:lang w:bidi="en-US"/>
        </w:rPr>
        <w:t xml:space="preserve">which we </w:t>
      </w:r>
      <w:r w:rsidR="00B32134" w:rsidRPr="000F51D7">
        <w:rPr>
          <w:lang w:bidi="en-US"/>
        </w:rPr>
        <w:t>quoted above,</w:t>
      </w:r>
      <w:r w:rsidR="0023574F" w:rsidRPr="000F51D7">
        <w:rPr>
          <w:lang w:bidi="en-US"/>
        </w:rPr>
        <w:t xml:space="preserve"> clearly and unequivocally states it did not.  </w:t>
      </w:r>
    </w:p>
    <w:p w14:paraId="01041B8B" w14:textId="4ADF45FD" w:rsidR="002F53E3" w:rsidRPr="000F51D7" w:rsidRDefault="00B32134" w:rsidP="00DB7098">
      <w:pPr>
        <w:rPr>
          <w:lang w:bidi="en-US"/>
        </w:rPr>
      </w:pPr>
      <w:r w:rsidRPr="000F51D7">
        <w:rPr>
          <w:lang w:bidi="en-US"/>
        </w:rPr>
        <w:tab/>
      </w:r>
      <w:r w:rsidR="00632DB0" w:rsidRPr="000F51D7">
        <w:rPr>
          <w:lang w:bidi="en-US"/>
        </w:rPr>
        <w:t xml:space="preserve">Turning to its expert’s declaration, Best Rest also contends the evidence created a triable issue that COVID-19 “altered” its property. </w:t>
      </w:r>
      <w:r w:rsidR="00495AA8" w:rsidRPr="000F51D7">
        <w:rPr>
          <w:lang w:bidi="en-US"/>
        </w:rPr>
        <w:t xml:space="preserve"> </w:t>
      </w:r>
      <w:r w:rsidR="002F53E3" w:rsidRPr="000F51D7">
        <w:rPr>
          <w:lang w:bidi="en-US"/>
        </w:rPr>
        <w:t>It points to the</w:t>
      </w:r>
      <w:r w:rsidR="00495AA8" w:rsidRPr="000F51D7">
        <w:rPr>
          <w:lang w:bidi="en-US"/>
        </w:rPr>
        <w:t xml:space="preserve"> virologist</w:t>
      </w:r>
      <w:r w:rsidR="002F53E3" w:rsidRPr="000F51D7">
        <w:rPr>
          <w:lang w:bidi="en-US"/>
        </w:rPr>
        <w:t>’s opinion t</w:t>
      </w:r>
      <w:r w:rsidR="00495AA8" w:rsidRPr="000F51D7">
        <w:rPr>
          <w:lang w:bidi="en-US"/>
        </w:rPr>
        <w:t>hat COVID-19 infected persons “</w:t>
      </w:r>
      <w:r w:rsidR="00495AA8" w:rsidRPr="000F51D7">
        <w:rPr>
          <w:i/>
          <w:iCs/>
          <w:lang w:bidi="en-US"/>
        </w:rPr>
        <w:t>will cause direct physical damage</w:t>
      </w:r>
      <w:r w:rsidR="00495AA8" w:rsidRPr="000F51D7">
        <w:rPr>
          <w:lang w:bidi="en-US"/>
        </w:rPr>
        <w:t xml:space="preserve"> to surfaces and air” by occupying indoor areas and touching surfaces.  </w:t>
      </w:r>
      <w:r w:rsidR="00464EF9" w:rsidRPr="000F51D7">
        <w:rPr>
          <w:lang w:bidi="en-US"/>
        </w:rPr>
        <w:t>(Italics added.)</w:t>
      </w:r>
    </w:p>
    <w:p w14:paraId="172C78A8" w14:textId="69A15626" w:rsidR="00A07C18" w:rsidRPr="000F51D7" w:rsidRDefault="002F53E3" w:rsidP="00DB7098">
      <w:pPr>
        <w:rPr>
          <w:lang w:bidi="en-US"/>
        </w:rPr>
      </w:pPr>
      <w:r w:rsidRPr="000F51D7">
        <w:rPr>
          <w:lang w:bidi="en-US"/>
        </w:rPr>
        <w:tab/>
        <w:t xml:space="preserve">But this argument suffers from the same problem.  </w:t>
      </w:r>
      <w:r w:rsidR="00495AA8" w:rsidRPr="000F51D7">
        <w:rPr>
          <w:lang w:bidi="en-US"/>
        </w:rPr>
        <w:t>We accept as true, for purposes of reviewing summary judgment, that COVID-19 fomites were in the hotel</w:t>
      </w:r>
      <w:r w:rsidRPr="000F51D7">
        <w:rPr>
          <w:lang w:bidi="en-US"/>
        </w:rPr>
        <w:t>, and for at least some period of time rendered the hotel or parts of it uninhabitable</w:t>
      </w:r>
      <w:r w:rsidR="00495AA8" w:rsidRPr="000F51D7">
        <w:rPr>
          <w:lang w:bidi="en-US"/>
        </w:rPr>
        <w:t xml:space="preserve">.  </w:t>
      </w:r>
      <w:r w:rsidRPr="000F51D7">
        <w:rPr>
          <w:lang w:bidi="en-US"/>
        </w:rPr>
        <w:t>To trigger coverage, the damage or loss must be “direct,” and as explained, t</w:t>
      </w:r>
      <w:r w:rsidR="00495AA8" w:rsidRPr="000F51D7">
        <w:rPr>
          <w:lang w:bidi="en-US"/>
        </w:rPr>
        <w:t>here is no evidence creating a triable issue that fomites</w:t>
      </w:r>
      <w:r w:rsidRPr="000F51D7">
        <w:rPr>
          <w:lang w:bidi="en-US"/>
        </w:rPr>
        <w:t>—</w:t>
      </w:r>
      <w:r w:rsidR="00495AA8" w:rsidRPr="000F51D7">
        <w:rPr>
          <w:lang w:bidi="en-US"/>
        </w:rPr>
        <w:t xml:space="preserve">as </w:t>
      </w:r>
      <w:r w:rsidR="00495AA8" w:rsidRPr="000F51D7">
        <w:rPr>
          <w:lang w:bidi="en-US"/>
        </w:rPr>
        <w:lastRenderedPageBreak/>
        <w:t>distinguished from massive reductions in tourism</w:t>
      </w:r>
      <w:r w:rsidRPr="000F51D7">
        <w:rPr>
          <w:lang w:bidi="en-US"/>
        </w:rPr>
        <w:t>—</w:t>
      </w:r>
      <w:r w:rsidR="00495AA8" w:rsidRPr="000F51D7">
        <w:rPr>
          <w:lang w:bidi="en-US"/>
        </w:rPr>
        <w:t xml:space="preserve">caused </w:t>
      </w:r>
      <w:r w:rsidRPr="000F51D7">
        <w:rPr>
          <w:lang w:bidi="en-US"/>
        </w:rPr>
        <w:t xml:space="preserve">any </w:t>
      </w:r>
      <w:r w:rsidR="00495AA8" w:rsidRPr="000F51D7">
        <w:rPr>
          <w:lang w:bidi="en-US"/>
        </w:rPr>
        <w:t>of Best Rest’s lost income.</w:t>
      </w:r>
      <w:r w:rsidR="000A163C" w:rsidRPr="000F51D7">
        <w:rPr>
          <w:rStyle w:val="FootnoteReference"/>
          <w:lang w:bidi="en-US"/>
        </w:rPr>
        <w:footnoteReference w:id="14"/>
      </w:r>
    </w:p>
    <w:p w14:paraId="2EB1A571" w14:textId="62F088EC" w:rsidR="0016490E" w:rsidRPr="000F51D7" w:rsidRDefault="00A07C18" w:rsidP="00DB7098">
      <w:pPr>
        <w:rPr>
          <w:bCs/>
          <w:lang w:bidi="en-US"/>
        </w:rPr>
      </w:pPr>
      <w:r w:rsidRPr="000F51D7">
        <w:rPr>
          <w:lang w:bidi="en-US"/>
        </w:rPr>
        <w:tab/>
        <w:t xml:space="preserve">For </w:t>
      </w:r>
      <w:r w:rsidR="000A163C" w:rsidRPr="000F51D7">
        <w:rPr>
          <w:lang w:bidi="en-US"/>
        </w:rPr>
        <w:t xml:space="preserve">similar reasons, </w:t>
      </w:r>
      <w:r w:rsidRPr="000F51D7">
        <w:rPr>
          <w:lang w:bidi="en-US"/>
        </w:rPr>
        <w:t xml:space="preserve">we are not persuaded by Best Rest’s reliance on </w:t>
      </w:r>
      <w:r w:rsidRPr="000F51D7">
        <w:rPr>
          <w:bCs/>
          <w:i/>
          <w:iCs/>
          <w:lang w:bidi="en-US"/>
        </w:rPr>
        <w:t>Marina Pacific Hotel &amp; Suites, LLC v. Fireman</w:t>
      </w:r>
      <w:r w:rsidR="004335C7" w:rsidRPr="000F51D7">
        <w:rPr>
          <w:bCs/>
          <w:i/>
          <w:iCs/>
          <w:lang w:bidi="en-US"/>
        </w:rPr>
        <w:t>’</w:t>
      </w:r>
      <w:r w:rsidRPr="000F51D7">
        <w:rPr>
          <w:bCs/>
          <w:i/>
          <w:iCs/>
          <w:lang w:bidi="en-US"/>
        </w:rPr>
        <w:t>s Fund Insurance Co</w:t>
      </w:r>
      <w:r w:rsidRPr="000F51D7">
        <w:rPr>
          <w:bCs/>
          <w:lang w:bidi="en-US"/>
        </w:rPr>
        <w:t>. (2022) 81 Cal.App.5th 96</w:t>
      </w:r>
      <w:r w:rsidR="00322F89">
        <w:rPr>
          <w:bCs/>
          <w:lang w:bidi="en-US"/>
        </w:rPr>
        <w:t xml:space="preserve"> and </w:t>
      </w:r>
      <w:r w:rsidR="00322F89">
        <w:rPr>
          <w:bCs/>
          <w:i/>
          <w:iCs/>
          <w:lang w:bidi="en-US"/>
        </w:rPr>
        <w:t xml:space="preserve">Shusa, Inc. v. Century-National Insurance Company </w:t>
      </w:r>
      <w:r w:rsidR="00322F89">
        <w:rPr>
          <w:bCs/>
          <w:lang w:bidi="en-US"/>
        </w:rPr>
        <w:t>(2022) 87 Cal.App.5th 250.</w:t>
      </w:r>
      <w:r w:rsidRPr="000F51D7">
        <w:rPr>
          <w:bCs/>
          <w:lang w:bidi="en-US"/>
        </w:rPr>
        <w:t xml:space="preserve">  </w:t>
      </w:r>
      <w:r w:rsidR="00322F89">
        <w:rPr>
          <w:bCs/>
          <w:lang w:bidi="en-US"/>
        </w:rPr>
        <w:t>Each of those appeals</w:t>
      </w:r>
      <w:r w:rsidRPr="000F51D7">
        <w:rPr>
          <w:bCs/>
          <w:lang w:bidi="en-US"/>
        </w:rPr>
        <w:t xml:space="preserve"> arose from a judgment of dismissal after a demurrer was sustained</w:t>
      </w:r>
      <w:r w:rsidR="00322F89">
        <w:rPr>
          <w:bCs/>
          <w:lang w:bidi="en-US"/>
        </w:rPr>
        <w:t xml:space="preserve"> without leave to amend</w:t>
      </w:r>
      <w:r w:rsidRPr="000F51D7">
        <w:rPr>
          <w:bCs/>
          <w:lang w:bidi="en-US"/>
        </w:rPr>
        <w:t xml:space="preserve">.  </w:t>
      </w:r>
      <w:r w:rsidR="00E76AD3" w:rsidRPr="000F51D7">
        <w:rPr>
          <w:bCs/>
          <w:lang w:bidi="en-US"/>
        </w:rPr>
        <w:t>T</w:t>
      </w:r>
      <w:r w:rsidR="0042350D" w:rsidRPr="000F51D7">
        <w:rPr>
          <w:bCs/>
          <w:lang w:bidi="en-US"/>
        </w:rPr>
        <w:t xml:space="preserve">he procedural setting is important because under the applicable standard of review, </w:t>
      </w:r>
      <w:r w:rsidR="000A163C" w:rsidRPr="000F51D7">
        <w:rPr>
          <w:bCs/>
          <w:lang w:bidi="en-US"/>
        </w:rPr>
        <w:t xml:space="preserve">both the trial and </w:t>
      </w:r>
      <w:r w:rsidR="0042350D" w:rsidRPr="000F51D7">
        <w:rPr>
          <w:bCs/>
          <w:lang w:bidi="en-US"/>
        </w:rPr>
        <w:t>appellate court</w:t>
      </w:r>
      <w:r w:rsidR="006B7FC4">
        <w:rPr>
          <w:bCs/>
          <w:lang w:bidi="en-US"/>
        </w:rPr>
        <w:t>s</w:t>
      </w:r>
      <w:r w:rsidR="0042350D" w:rsidRPr="000F51D7">
        <w:rPr>
          <w:bCs/>
          <w:lang w:bidi="en-US"/>
        </w:rPr>
        <w:t xml:space="preserve"> were required to accept the well-pleaded allegations as true.  </w:t>
      </w:r>
      <w:r w:rsidR="00322F89">
        <w:rPr>
          <w:bCs/>
          <w:lang w:bidi="en-US"/>
        </w:rPr>
        <w:t xml:space="preserve">In </w:t>
      </w:r>
      <w:r w:rsidR="00322F89">
        <w:rPr>
          <w:bCs/>
          <w:i/>
          <w:iCs/>
          <w:lang w:bidi="en-US"/>
        </w:rPr>
        <w:t>Marina Pacific</w:t>
      </w:r>
      <w:r w:rsidR="00322F89">
        <w:rPr>
          <w:bCs/>
          <w:lang w:bidi="en-US"/>
        </w:rPr>
        <w:t xml:space="preserve">, the plaintiff </w:t>
      </w:r>
      <w:r w:rsidR="0042350D" w:rsidRPr="000F51D7">
        <w:rPr>
          <w:bCs/>
          <w:lang w:bidi="en-US"/>
        </w:rPr>
        <w:t xml:space="preserve"> alleged that </w:t>
      </w:r>
      <w:r w:rsidR="000A163C" w:rsidRPr="000F51D7">
        <w:rPr>
          <w:bCs/>
          <w:lang w:bidi="en-US"/>
        </w:rPr>
        <w:t>COV</w:t>
      </w:r>
      <w:r w:rsidR="00E76AD3" w:rsidRPr="000F51D7">
        <w:rPr>
          <w:bCs/>
          <w:lang w:bidi="en-US"/>
        </w:rPr>
        <w:t xml:space="preserve">ID-19 </w:t>
      </w:r>
      <w:r w:rsidR="0042350D" w:rsidRPr="000F51D7">
        <w:rPr>
          <w:bCs/>
          <w:lang w:bidi="en-US"/>
        </w:rPr>
        <w:t xml:space="preserve">bonded or adhered to objects in the hotel which </w:t>
      </w:r>
      <w:r w:rsidR="00E76AD3" w:rsidRPr="000F51D7">
        <w:rPr>
          <w:bCs/>
          <w:lang w:bidi="en-US"/>
        </w:rPr>
        <w:t xml:space="preserve">“required the closure or suspension of </w:t>
      </w:r>
      <w:r w:rsidR="0042350D" w:rsidRPr="000F51D7">
        <w:rPr>
          <w:bCs/>
          <w:lang w:bidi="en-US"/>
        </w:rPr>
        <w:t xml:space="preserve">[its] </w:t>
      </w:r>
      <w:r w:rsidR="00E76AD3" w:rsidRPr="000F51D7">
        <w:rPr>
          <w:bCs/>
          <w:lang w:bidi="en-US"/>
        </w:rPr>
        <w:t>operations</w:t>
      </w:r>
      <w:r w:rsidR="00AE47F9">
        <w:rPr>
          <w:bCs/>
          <w:lang w:bidi="en-US"/>
        </w:rPr>
        <w:t>.</w:t>
      </w:r>
      <w:r w:rsidR="00E76AD3" w:rsidRPr="000F51D7">
        <w:rPr>
          <w:bCs/>
          <w:lang w:bidi="en-US"/>
        </w:rPr>
        <w:t xml:space="preserve">” </w:t>
      </w:r>
      <w:r w:rsidR="0037366C">
        <w:rPr>
          <w:bCs/>
          <w:lang w:bidi="en-US"/>
        </w:rPr>
        <w:t xml:space="preserve"> </w:t>
      </w:r>
      <w:r w:rsidR="0016490E" w:rsidRPr="000F51D7">
        <w:rPr>
          <w:bCs/>
          <w:lang w:bidi="en-US"/>
        </w:rPr>
        <w:t>(</w:t>
      </w:r>
      <w:r w:rsidR="00AE47F9">
        <w:rPr>
          <w:bCs/>
          <w:i/>
          <w:iCs/>
          <w:lang w:bidi="en-US"/>
        </w:rPr>
        <w:t>I</w:t>
      </w:r>
      <w:r w:rsidR="00AE47F9" w:rsidRPr="00322F89">
        <w:rPr>
          <w:bCs/>
          <w:i/>
          <w:iCs/>
          <w:lang w:bidi="en-US"/>
        </w:rPr>
        <w:t>d</w:t>
      </w:r>
      <w:r w:rsidR="00E76AD3" w:rsidRPr="000F51D7">
        <w:rPr>
          <w:bCs/>
          <w:lang w:bidi="en-US"/>
        </w:rPr>
        <w:t>. at pp. 101</w:t>
      </w:r>
      <w:r w:rsidR="00BF1DC1" w:rsidRPr="000F51D7">
        <w:rPr>
          <w:rFonts w:ascii="Times New Roman" w:hAnsi="Times New Roman" w:cs="Times New Roman"/>
          <w:bCs/>
          <w:lang w:bidi="en-US"/>
        </w:rPr>
        <w:t>‒</w:t>
      </w:r>
      <w:r w:rsidR="00E76AD3" w:rsidRPr="000F51D7">
        <w:rPr>
          <w:bCs/>
          <w:lang w:bidi="en-US"/>
        </w:rPr>
        <w:t>102</w:t>
      </w:r>
      <w:r w:rsidR="00AE47F9">
        <w:rPr>
          <w:bCs/>
          <w:lang w:bidi="en-US"/>
        </w:rPr>
        <w:t>.</w:t>
      </w:r>
      <w:r w:rsidR="005D1314" w:rsidRPr="000F51D7">
        <w:rPr>
          <w:bCs/>
          <w:lang w:bidi="en-US"/>
        </w:rPr>
        <w:t>)</w:t>
      </w:r>
      <w:r w:rsidR="00AE47F9">
        <w:rPr>
          <w:bCs/>
          <w:lang w:bidi="en-US"/>
        </w:rPr>
        <w:t xml:space="preserve">  Similarly, in </w:t>
      </w:r>
      <w:r w:rsidR="00AE47F9">
        <w:rPr>
          <w:bCs/>
          <w:i/>
          <w:iCs/>
          <w:lang w:bidi="en-US"/>
        </w:rPr>
        <w:t>Shusa</w:t>
      </w:r>
      <w:r w:rsidR="00AE47F9">
        <w:rPr>
          <w:bCs/>
          <w:lang w:bidi="en-US"/>
        </w:rPr>
        <w:t>, the plaintiff (restaurant) alleged it suffered physical loss or damage to its dining rooms and other property “ ‘caused by the actual presence of virus droplets in the air and on the surfaces in the vicinity of and in [its] restaurant</w:t>
      </w:r>
      <w:r w:rsidR="00CE29D9">
        <w:rPr>
          <w:bCs/>
          <w:lang w:bidi="en-US"/>
        </w:rPr>
        <w:t>.’ </w:t>
      </w:r>
      <w:r w:rsidR="00AE47F9">
        <w:rPr>
          <w:bCs/>
          <w:lang w:bidi="en-US"/>
        </w:rPr>
        <w:t>”  (</w:t>
      </w:r>
      <w:r w:rsidR="00AE47F9">
        <w:rPr>
          <w:bCs/>
          <w:i/>
          <w:iCs/>
          <w:lang w:bidi="en-US"/>
        </w:rPr>
        <w:t>Shusa</w:t>
      </w:r>
      <w:r w:rsidR="00AE47F9">
        <w:rPr>
          <w:bCs/>
          <w:lang w:bidi="en-US"/>
        </w:rPr>
        <w:t>, at p.</w:t>
      </w:r>
      <w:r w:rsidR="003167A3">
        <w:rPr>
          <w:bCs/>
          <w:lang w:bidi="en-US"/>
        </w:rPr>
        <w:t> </w:t>
      </w:r>
      <w:r w:rsidR="00AE47F9">
        <w:rPr>
          <w:bCs/>
          <w:lang w:bidi="en-US"/>
        </w:rPr>
        <w:t>104.)  Given those allegations, deemed true on demurrer</w:t>
      </w:r>
      <w:r w:rsidR="0016490E" w:rsidRPr="000F51D7">
        <w:rPr>
          <w:bCs/>
          <w:lang w:bidi="en-US"/>
        </w:rPr>
        <w:t xml:space="preserve">, </w:t>
      </w:r>
      <w:r w:rsidR="005D1314" w:rsidRPr="000F51D7">
        <w:rPr>
          <w:bCs/>
          <w:lang w:bidi="en-US"/>
        </w:rPr>
        <w:t>the appellate court</w:t>
      </w:r>
      <w:r w:rsidR="00AE47F9">
        <w:rPr>
          <w:bCs/>
          <w:lang w:bidi="en-US"/>
        </w:rPr>
        <w:t>s</w:t>
      </w:r>
      <w:r w:rsidR="005D1314" w:rsidRPr="000F51D7">
        <w:rPr>
          <w:bCs/>
          <w:lang w:bidi="en-US"/>
        </w:rPr>
        <w:t xml:space="preserve"> found </w:t>
      </w:r>
      <w:r w:rsidR="0016490E" w:rsidRPr="000F51D7">
        <w:rPr>
          <w:bCs/>
          <w:lang w:bidi="en-US"/>
        </w:rPr>
        <w:t xml:space="preserve">the required nexus between the virus and the lost income </w:t>
      </w:r>
      <w:r w:rsidR="00DF336F" w:rsidRPr="000F51D7">
        <w:rPr>
          <w:bCs/>
          <w:lang w:bidi="en-US"/>
        </w:rPr>
        <w:t>adequately alleged</w:t>
      </w:r>
      <w:r w:rsidR="005D1314" w:rsidRPr="000F51D7">
        <w:rPr>
          <w:bCs/>
          <w:lang w:bidi="en-US"/>
        </w:rPr>
        <w:t xml:space="preserve"> for purposes of withstanding a demurrer</w:t>
      </w:r>
      <w:r w:rsidR="0016490E" w:rsidRPr="000F51D7">
        <w:rPr>
          <w:bCs/>
          <w:lang w:bidi="en-US"/>
        </w:rPr>
        <w:t xml:space="preserve">.  </w:t>
      </w:r>
      <w:r w:rsidR="00E76AD3" w:rsidRPr="000F51D7">
        <w:rPr>
          <w:bCs/>
          <w:lang w:bidi="en-US"/>
        </w:rPr>
        <w:t xml:space="preserve">In sharp contrast here, </w:t>
      </w:r>
      <w:r w:rsidR="0016490E" w:rsidRPr="000F51D7">
        <w:rPr>
          <w:bCs/>
          <w:lang w:bidi="en-US"/>
        </w:rPr>
        <w:t xml:space="preserve">Best Rest’s appeal from </w:t>
      </w:r>
      <w:r w:rsidR="00E76AD3" w:rsidRPr="000F51D7">
        <w:rPr>
          <w:bCs/>
          <w:lang w:bidi="en-US"/>
        </w:rPr>
        <w:t>summary judgment</w:t>
      </w:r>
      <w:r w:rsidR="0016490E" w:rsidRPr="000F51D7">
        <w:rPr>
          <w:bCs/>
          <w:lang w:bidi="en-US"/>
        </w:rPr>
        <w:t xml:space="preserve"> requires admissible evidence.  We do not assume the truth of the allegations in the complaint.  </w:t>
      </w:r>
      <w:r w:rsidR="002E6BD8" w:rsidRPr="000F51D7">
        <w:rPr>
          <w:bCs/>
          <w:lang w:bidi="en-US"/>
        </w:rPr>
        <w:t xml:space="preserve">(Code. Civ. Proc., </w:t>
      </w:r>
      <w:r w:rsidR="00EB2082" w:rsidRPr="000F51D7">
        <w:rPr>
          <w:bCs/>
          <w:lang w:bidi="en-US"/>
        </w:rPr>
        <w:t>§</w:t>
      </w:r>
      <w:r w:rsidR="00EB2082">
        <w:rPr>
          <w:bCs/>
          <w:lang w:bidi="en-US"/>
        </w:rPr>
        <w:t> </w:t>
      </w:r>
      <w:r w:rsidR="002E6BD8" w:rsidRPr="000F51D7">
        <w:rPr>
          <w:bCs/>
          <w:lang w:bidi="en-US"/>
        </w:rPr>
        <w:t>437c, subd. (p)(2); </w:t>
      </w:r>
      <w:r w:rsidR="002E6BD8" w:rsidRPr="000F51D7">
        <w:rPr>
          <w:bCs/>
          <w:i/>
          <w:iCs/>
          <w:lang w:bidi="en-US"/>
        </w:rPr>
        <w:t>Aguilar v. Atlantic Richfield Co.</w:t>
      </w:r>
      <w:r w:rsidR="002E6BD8" w:rsidRPr="000F51D7">
        <w:rPr>
          <w:bCs/>
          <w:lang w:bidi="en-US"/>
        </w:rPr>
        <w:t xml:space="preserve"> (2001) 25 Cal.4th 826, 850–851; </w:t>
      </w:r>
      <w:r w:rsidR="002E6BD8" w:rsidRPr="000F51D7">
        <w:rPr>
          <w:bCs/>
          <w:i/>
          <w:iCs/>
          <w:lang w:bidi="en-US"/>
        </w:rPr>
        <w:t>Bushling v. Fremont Medical Center</w:t>
      </w:r>
      <w:r w:rsidR="002E6BD8" w:rsidRPr="000F51D7">
        <w:rPr>
          <w:bCs/>
          <w:lang w:bidi="en-US"/>
        </w:rPr>
        <w:t xml:space="preserve"> (2004) 117 Cal.App.4th 493, 506.)</w:t>
      </w:r>
      <w:r w:rsidR="0016490E" w:rsidRPr="000F51D7">
        <w:rPr>
          <w:bCs/>
          <w:lang w:bidi="en-US"/>
        </w:rPr>
        <w:t xml:space="preserve">  </w:t>
      </w:r>
    </w:p>
    <w:p w14:paraId="3C57E8B3" w14:textId="0D07E8AF" w:rsidR="00CB2D2A" w:rsidRPr="000F51D7" w:rsidRDefault="0016490E" w:rsidP="00163E0F">
      <w:pPr>
        <w:rPr>
          <w:lang w:bidi="en-US"/>
        </w:rPr>
      </w:pPr>
      <w:r w:rsidRPr="000F51D7">
        <w:rPr>
          <w:bCs/>
          <w:lang w:bidi="en-US"/>
        </w:rPr>
        <w:lastRenderedPageBreak/>
        <w:tab/>
      </w:r>
      <w:r w:rsidR="00CB2D2A" w:rsidRPr="000F51D7">
        <w:rPr>
          <w:lang w:bidi="en-US"/>
        </w:rPr>
        <w:t xml:space="preserve">For </w:t>
      </w:r>
      <w:r w:rsidR="00D93CD5" w:rsidRPr="000F51D7">
        <w:rPr>
          <w:lang w:bidi="en-US"/>
        </w:rPr>
        <w:t xml:space="preserve">many of </w:t>
      </w:r>
      <w:r w:rsidR="00CB2D2A" w:rsidRPr="000F51D7">
        <w:rPr>
          <w:lang w:bidi="en-US"/>
        </w:rPr>
        <w:t>these same reasons, we also reject Best Rest’s related argument that it established a triable issue under the “Dependent Properties” provisions in its Sequoia policy.</w:t>
      </w:r>
      <w:r w:rsidR="00B8294E" w:rsidRPr="000F51D7">
        <w:rPr>
          <w:lang w:bidi="en-US"/>
        </w:rPr>
        <w:t xml:space="preserve">  </w:t>
      </w:r>
      <w:r w:rsidR="00B03B42" w:rsidRPr="000F51D7">
        <w:rPr>
          <w:lang w:bidi="en-US"/>
        </w:rPr>
        <w:t>It provides coverage “for the a</w:t>
      </w:r>
      <w:r w:rsidR="00DD3D58" w:rsidRPr="000F51D7">
        <w:rPr>
          <w:lang w:bidi="en-US"/>
        </w:rPr>
        <w:t xml:space="preserve">ctual loss of Business Income” </w:t>
      </w:r>
      <w:r w:rsidR="00B03B42" w:rsidRPr="000F51D7">
        <w:rPr>
          <w:lang w:bidi="en-US"/>
        </w:rPr>
        <w:t>that Best Rest sustained “</w:t>
      </w:r>
      <w:r w:rsidR="00DD3D58" w:rsidRPr="000F51D7">
        <w:rPr>
          <w:lang w:bidi="en-US"/>
        </w:rPr>
        <w:t xml:space="preserve">due to the necessary suspension of </w:t>
      </w:r>
      <w:r w:rsidR="00B03B42" w:rsidRPr="000F51D7">
        <w:rPr>
          <w:lang w:bidi="en-US"/>
        </w:rPr>
        <w:t>[</w:t>
      </w:r>
      <w:r w:rsidR="00DD3D58" w:rsidRPr="000F51D7">
        <w:rPr>
          <w:lang w:bidi="en-US"/>
        </w:rPr>
        <w:t>its</w:t>
      </w:r>
      <w:r w:rsidR="00B03B42" w:rsidRPr="000F51D7">
        <w:rPr>
          <w:lang w:bidi="en-US"/>
        </w:rPr>
        <w:t>]</w:t>
      </w:r>
      <w:r w:rsidR="00DD3D58" w:rsidRPr="000F51D7">
        <w:rPr>
          <w:lang w:bidi="en-US"/>
        </w:rPr>
        <w:t xml:space="preserve"> operations</w:t>
      </w:r>
      <w:r w:rsidR="00B03B42" w:rsidRPr="000F51D7">
        <w:rPr>
          <w:lang w:bidi="en-US"/>
        </w:rPr>
        <w:t>” where the suspension is “caused by direct physical loss of or damage to ‘dependent property.’</w:t>
      </w:r>
      <w:r w:rsidR="00BB3C10">
        <w:rPr>
          <w:lang w:bidi="en-US"/>
        </w:rPr>
        <w:t> </w:t>
      </w:r>
      <w:r w:rsidR="00B03B42" w:rsidRPr="000F51D7">
        <w:rPr>
          <w:lang w:bidi="en-US"/>
        </w:rPr>
        <w:t>”  Best Rest contends that when local tourist attractions such as Sea World and the San Diego Zoo</w:t>
      </w:r>
      <w:r w:rsidRPr="000F51D7">
        <w:rPr>
          <w:lang w:bidi="en-US"/>
        </w:rPr>
        <w:t xml:space="preserve"> (i.e. dependent properties)</w:t>
      </w:r>
      <w:r w:rsidR="00B03B42" w:rsidRPr="000F51D7">
        <w:rPr>
          <w:lang w:bidi="en-US"/>
        </w:rPr>
        <w:t xml:space="preserve"> closed during the pandemic, its hotel business “evaporated.”  But even assuming that tourist attractions such as Sea World and the San Diego Zoo are “dependent properties,” there is no evidence creating a triable issue that those businesses closed due to their own</w:t>
      </w:r>
      <w:r w:rsidR="00BB3C10">
        <w:rPr>
          <w:lang w:bidi="en-US"/>
        </w:rPr>
        <w:t> </w:t>
      </w:r>
      <w:r w:rsidR="00B03B42" w:rsidRPr="000F51D7">
        <w:rPr>
          <w:lang w:bidi="en-US"/>
        </w:rPr>
        <w:t xml:space="preserve">“direct physical loss of or damage”—as distinguished from government shut down orders and </w:t>
      </w:r>
      <w:r w:rsidR="009F2092" w:rsidRPr="000F51D7">
        <w:rPr>
          <w:lang w:bidi="en-US"/>
        </w:rPr>
        <w:t>the lack of sufficient</w:t>
      </w:r>
      <w:r w:rsidRPr="000F51D7">
        <w:rPr>
          <w:lang w:bidi="en-US"/>
        </w:rPr>
        <w:t xml:space="preserve"> tourists.</w:t>
      </w:r>
      <w:r w:rsidR="00DC36C4" w:rsidRPr="000F51D7">
        <w:rPr>
          <w:rStyle w:val="FootnoteReference"/>
          <w:lang w:bidi="en-US"/>
        </w:rPr>
        <w:footnoteReference w:id="15"/>
      </w:r>
    </w:p>
    <w:p w14:paraId="5FE409AE" w14:textId="4096C95F" w:rsidR="0016490E" w:rsidRPr="000F51D7" w:rsidRDefault="0016490E" w:rsidP="006C3185">
      <w:pPr>
        <w:pStyle w:val="Heading1"/>
        <w:spacing w:before="0" w:after="120"/>
        <w:jc w:val="center"/>
        <w:rPr>
          <w:rFonts w:ascii="Century Schoolbook" w:hAnsi="Century Schoolbook"/>
          <w:color w:val="auto"/>
          <w:sz w:val="26"/>
          <w:szCs w:val="26"/>
          <w:lang w:bidi="en-US"/>
        </w:rPr>
      </w:pPr>
      <w:r w:rsidRPr="000F51D7">
        <w:rPr>
          <w:rFonts w:ascii="Century Schoolbook" w:hAnsi="Century Schoolbook"/>
          <w:color w:val="auto"/>
          <w:sz w:val="26"/>
          <w:szCs w:val="26"/>
          <w:lang w:bidi="en-US"/>
        </w:rPr>
        <w:lastRenderedPageBreak/>
        <w:t>DISPOSITION</w:t>
      </w:r>
    </w:p>
    <w:p w14:paraId="55EC35F3" w14:textId="54CC28EF" w:rsidR="0016490E" w:rsidRPr="000F51D7" w:rsidRDefault="0016490E" w:rsidP="00BD0BA7">
      <w:pPr>
        <w:keepNext/>
        <w:keepLines/>
        <w:rPr>
          <w:iCs/>
          <w:lang w:bidi="en-US"/>
        </w:rPr>
      </w:pPr>
      <w:r w:rsidRPr="000F51D7">
        <w:rPr>
          <w:iCs/>
          <w:lang w:bidi="en-US"/>
        </w:rPr>
        <w:tab/>
        <w:t>The judgment is affirmed.  Respondent is entitled to costs on appeal.</w:t>
      </w:r>
    </w:p>
    <w:p w14:paraId="21FD88C7" w14:textId="1674EC59" w:rsidR="00F57950" w:rsidRPr="000F51D7" w:rsidRDefault="00F57950" w:rsidP="00BD0BA7">
      <w:pPr>
        <w:keepNext/>
        <w:keepLines/>
        <w:spacing w:line="240" w:lineRule="auto"/>
        <w:rPr>
          <w:iCs/>
          <w:lang w:bidi="en-US"/>
        </w:rPr>
      </w:pPr>
    </w:p>
    <w:p w14:paraId="14F51FFF" w14:textId="77777777" w:rsidR="005F02CB" w:rsidRDefault="005F02CB" w:rsidP="00BD0BA7">
      <w:pPr>
        <w:keepNext/>
        <w:keepLines/>
        <w:spacing w:line="240" w:lineRule="auto"/>
        <w:jc w:val="right"/>
        <w:rPr>
          <w:iCs/>
          <w:u w:val="single"/>
          <w:lang w:bidi="en-US"/>
        </w:rPr>
      </w:pPr>
    </w:p>
    <w:p w14:paraId="2A21DA72" w14:textId="77777777" w:rsidR="00A14158" w:rsidRDefault="00A14158" w:rsidP="00BD0BA7">
      <w:pPr>
        <w:keepNext/>
        <w:keepLines/>
        <w:spacing w:line="240" w:lineRule="auto"/>
        <w:jc w:val="right"/>
        <w:rPr>
          <w:iCs/>
          <w:lang w:bidi="en-US"/>
        </w:rPr>
      </w:pPr>
    </w:p>
    <w:p w14:paraId="16A4B386" w14:textId="5C90628E" w:rsidR="00F57950" w:rsidRPr="000F51D7" w:rsidRDefault="00F57950" w:rsidP="00BD0BA7">
      <w:pPr>
        <w:keepNext/>
        <w:keepLines/>
        <w:spacing w:line="240" w:lineRule="auto"/>
        <w:jc w:val="right"/>
        <w:rPr>
          <w:iCs/>
          <w:lang w:bidi="en-US"/>
        </w:rPr>
      </w:pPr>
      <w:r w:rsidRPr="000F51D7">
        <w:rPr>
          <w:iCs/>
          <w:lang w:bidi="en-US"/>
        </w:rPr>
        <w:t>DATO, J.</w:t>
      </w:r>
    </w:p>
    <w:p w14:paraId="514A38D5" w14:textId="09B596AB" w:rsidR="00F57950" w:rsidRPr="000F51D7" w:rsidRDefault="00F57950" w:rsidP="00BD0BA7">
      <w:pPr>
        <w:keepNext/>
        <w:keepLines/>
        <w:tabs>
          <w:tab w:val="right" w:pos="3600"/>
        </w:tabs>
        <w:spacing w:line="240" w:lineRule="auto"/>
        <w:rPr>
          <w:iCs/>
          <w:lang w:bidi="en-US"/>
        </w:rPr>
      </w:pPr>
      <w:r w:rsidRPr="000F51D7">
        <w:rPr>
          <w:iCs/>
          <w:lang w:bidi="en-US"/>
        </w:rPr>
        <w:t>WE CONCUR:</w:t>
      </w:r>
    </w:p>
    <w:p w14:paraId="3D172C8B" w14:textId="3D14ACA9" w:rsidR="00F57950" w:rsidRPr="000F51D7" w:rsidRDefault="00F57950" w:rsidP="00BD0BA7">
      <w:pPr>
        <w:keepNext/>
        <w:keepLines/>
        <w:tabs>
          <w:tab w:val="right" w:pos="3600"/>
        </w:tabs>
        <w:spacing w:line="240" w:lineRule="auto"/>
        <w:rPr>
          <w:iCs/>
          <w:lang w:bidi="en-US"/>
        </w:rPr>
      </w:pPr>
    </w:p>
    <w:p w14:paraId="5D3092E7" w14:textId="2B809B02" w:rsidR="00F57950" w:rsidRPr="000F51D7" w:rsidRDefault="00F57950" w:rsidP="00BD0BA7">
      <w:pPr>
        <w:keepNext/>
        <w:keepLines/>
        <w:tabs>
          <w:tab w:val="right" w:pos="3600"/>
        </w:tabs>
        <w:spacing w:line="240" w:lineRule="auto"/>
        <w:rPr>
          <w:iCs/>
          <w:lang w:bidi="en-US"/>
        </w:rPr>
      </w:pPr>
    </w:p>
    <w:p w14:paraId="7144196D" w14:textId="77777777" w:rsidR="00A14158" w:rsidRDefault="00A14158" w:rsidP="00BD0BA7">
      <w:pPr>
        <w:keepNext/>
        <w:keepLines/>
        <w:tabs>
          <w:tab w:val="right" w:pos="3600"/>
        </w:tabs>
        <w:spacing w:line="240" w:lineRule="auto"/>
        <w:rPr>
          <w:iCs/>
          <w:lang w:bidi="en-US"/>
        </w:rPr>
      </w:pPr>
    </w:p>
    <w:p w14:paraId="5B748F2C" w14:textId="6A524593" w:rsidR="00F57950" w:rsidRPr="000F51D7" w:rsidRDefault="00F57950" w:rsidP="00BD0BA7">
      <w:pPr>
        <w:keepNext/>
        <w:keepLines/>
        <w:tabs>
          <w:tab w:val="right" w:pos="3600"/>
        </w:tabs>
        <w:spacing w:line="240" w:lineRule="auto"/>
        <w:rPr>
          <w:iCs/>
          <w:lang w:bidi="en-US"/>
        </w:rPr>
      </w:pPr>
      <w:r w:rsidRPr="000F51D7">
        <w:rPr>
          <w:iCs/>
          <w:lang w:bidi="en-US"/>
        </w:rPr>
        <w:t>HUFFMAN, Acting P. J.</w:t>
      </w:r>
    </w:p>
    <w:p w14:paraId="3FF6D5ED" w14:textId="7B79B784" w:rsidR="00F57950" w:rsidRPr="000F51D7" w:rsidRDefault="00F57950" w:rsidP="00BD0BA7">
      <w:pPr>
        <w:keepNext/>
        <w:keepLines/>
        <w:tabs>
          <w:tab w:val="right" w:pos="3600"/>
        </w:tabs>
        <w:spacing w:line="240" w:lineRule="auto"/>
        <w:rPr>
          <w:iCs/>
          <w:lang w:bidi="en-US"/>
        </w:rPr>
      </w:pPr>
    </w:p>
    <w:p w14:paraId="07823BAB" w14:textId="2A37B436" w:rsidR="00F57950" w:rsidRPr="000F51D7" w:rsidRDefault="00F57950" w:rsidP="00BD0BA7">
      <w:pPr>
        <w:keepNext/>
        <w:keepLines/>
        <w:tabs>
          <w:tab w:val="right" w:pos="3600"/>
        </w:tabs>
        <w:spacing w:line="240" w:lineRule="auto"/>
        <w:rPr>
          <w:iCs/>
          <w:lang w:bidi="en-US"/>
        </w:rPr>
      </w:pPr>
    </w:p>
    <w:p w14:paraId="36095216" w14:textId="1E9EE0FF" w:rsidR="00F57950" w:rsidRPr="000F51D7" w:rsidRDefault="00F57950" w:rsidP="00BD0BA7">
      <w:pPr>
        <w:keepNext/>
        <w:keepLines/>
        <w:tabs>
          <w:tab w:val="right" w:pos="3600"/>
        </w:tabs>
        <w:spacing w:line="240" w:lineRule="auto"/>
        <w:rPr>
          <w:iCs/>
          <w:lang w:bidi="en-US"/>
        </w:rPr>
      </w:pPr>
    </w:p>
    <w:p w14:paraId="4F4E3B88" w14:textId="693C0928" w:rsidR="00F57950" w:rsidRDefault="00F57950" w:rsidP="00BD0BA7">
      <w:pPr>
        <w:keepNext/>
        <w:keepLines/>
        <w:tabs>
          <w:tab w:val="right" w:pos="3600"/>
        </w:tabs>
        <w:spacing w:line="240" w:lineRule="auto"/>
        <w:rPr>
          <w:iCs/>
          <w:lang w:bidi="en-US"/>
        </w:rPr>
      </w:pPr>
      <w:r w:rsidRPr="000F51D7">
        <w:rPr>
          <w:iCs/>
          <w:lang w:bidi="en-US"/>
        </w:rPr>
        <w:t>IRION, J.</w:t>
      </w:r>
    </w:p>
    <w:sectPr w:rsidR="00F57950" w:rsidSect="00DC424F">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5AA92" w14:textId="77777777" w:rsidR="001C086B" w:rsidRDefault="001C086B" w:rsidP="00DC424F">
      <w:pPr>
        <w:spacing w:line="240" w:lineRule="auto"/>
      </w:pPr>
      <w:r>
        <w:separator/>
      </w:r>
    </w:p>
  </w:endnote>
  <w:endnote w:type="continuationSeparator" w:id="0">
    <w:p w14:paraId="434265B5" w14:textId="77777777" w:rsidR="001C086B" w:rsidRDefault="001C086B" w:rsidP="00DC42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16"/>
      <w:docPartObj>
        <w:docPartGallery w:val="Page Numbers (Bottom of Page)"/>
        <w:docPartUnique/>
      </w:docPartObj>
    </w:sdtPr>
    <w:sdtEndPr/>
    <w:sdtContent>
      <w:p w14:paraId="1928D21C" w14:textId="77777777" w:rsidR="00DC424F" w:rsidRDefault="00966EEE">
        <w:pPr>
          <w:pStyle w:val="Footer"/>
          <w:jc w:val="center"/>
        </w:pPr>
        <w:r>
          <w:fldChar w:fldCharType="begin"/>
        </w:r>
        <w:r>
          <w:instrText xml:space="preserve"> PAGE   \* MERGEFORMAT </w:instrText>
        </w:r>
        <w:r>
          <w:fldChar w:fldCharType="separate"/>
        </w:r>
        <w:r w:rsidR="00DC424F">
          <w:rPr>
            <w:noProof/>
          </w:rPr>
          <w:t>1</w:t>
        </w:r>
        <w:r>
          <w:rPr>
            <w:noProof/>
          </w:rPr>
          <w:fldChar w:fldCharType="end"/>
        </w:r>
      </w:p>
    </w:sdtContent>
  </w:sdt>
  <w:p w14:paraId="4E114C6B" w14:textId="77777777" w:rsidR="00DC424F" w:rsidRDefault="00DC4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7EB9E" w14:textId="77777777" w:rsidR="001C086B" w:rsidRDefault="001C086B" w:rsidP="00DC424F">
      <w:pPr>
        <w:spacing w:line="240" w:lineRule="auto"/>
      </w:pPr>
      <w:r>
        <w:separator/>
      </w:r>
    </w:p>
  </w:footnote>
  <w:footnote w:type="continuationSeparator" w:id="0">
    <w:p w14:paraId="4A422787" w14:textId="77777777" w:rsidR="001C086B" w:rsidRDefault="001C086B" w:rsidP="00DC424F">
      <w:pPr>
        <w:spacing w:line="240" w:lineRule="auto"/>
      </w:pPr>
      <w:r>
        <w:continuationSeparator/>
      </w:r>
    </w:p>
  </w:footnote>
  <w:footnote w:id="1">
    <w:p w14:paraId="03CDF199" w14:textId="3B295F3D" w:rsidR="006E1871" w:rsidRPr="000F51D7" w:rsidRDefault="006E1871">
      <w:pPr>
        <w:pStyle w:val="FootnoteText"/>
      </w:pPr>
      <w:r w:rsidRPr="000F51D7">
        <w:rPr>
          <w:rStyle w:val="FootnoteReference"/>
        </w:rPr>
        <w:footnoteRef/>
      </w:r>
      <w:r w:rsidRPr="000F51D7">
        <w:t xml:space="preserve"> </w:t>
      </w:r>
      <w:r w:rsidRPr="000F51D7">
        <w:tab/>
      </w:r>
      <w:r w:rsidR="00FD6C68" w:rsidRPr="000F51D7">
        <w:t xml:space="preserve">For example, a raw material supplier’s factory might be destroyed by fire, compelling the insured to curtail operations for lack of these goods. </w:t>
      </w:r>
      <w:r w:rsidRPr="000F51D7">
        <w:t xml:space="preserve"> (See</w:t>
      </w:r>
      <w:r w:rsidR="0028143E">
        <w:t> </w:t>
      </w:r>
      <w:r w:rsidR="00FD6C68" w:rsidRPr="000F51D7">
        <w:t xml:space="preserve">Tarr, </w:t>
      </w:r>
      <w:r w:rsidR="00FD6C68" w:rsidRPr="000F51D7">
        <w:rPr>
          <w:i/>
          <w:iCs/>
        </w:rPr>
        <w:t>Where Have All the Customers Gone</w:t>
      </w:r>
      <w:r w:rsidR="005905AC" w:rsidRPr="000F51D7">
        <w:rPr>
          <w:i/>
          <w:iCs/>
        </w:rPr>
        <w:t xml:space="preserve">-Business Interruption Coverage for Off-Premises Events </w:t>
      </w:r>
      <w:r w:rsidR="005905AC" w:rsidRPr="000F51D7">
        <w:t>(2001) 30</w:t>
      </w:r>
      <w:r w:rsidR="00FD6C68" w:rsidRPr="000F51D7">
        <w:t xml:space="preserve"> Brief</w:t>
      </w:r>
      <w:r w:rsidR="005905AC" w:rsidRPr="000F51D7">
        <w:t xml:space="preserve"> 21, </w:t>
      </w:r>
      <w:r w:rsidR="00FD6C68" w:rsidRPr="000F51D7">
        <w:t>28.)</w:t>
      </w:r>
    </w:p>
  </w:footnote>
  <w:footnote w:id="2">
    <w:p w14:paraId="5AF822DE" w14:textId="7A95E189" w:rsidR="00B14A47" w:rsidRPr="000F51D7" w:rsidRDefault="00B14A47">
      <w:pPr>
        <w:pStyle w:val="FootnoteText"/>
      </w:pPr>
      <w:r w:rsidRPr="000F51D7">
        <w:rPr>
          <w:rStyle w:val="FootnoteReference"/>
        </w:rPr>
        <w:footnoteRef/>
      </w:r>
      <w:r w:rsidRPr="000F51D7">
        <w:t xml:space="preserve"> </w:t>
      </w:r>
      <w:r w:rsidRPr="000F51D7">
        <w:tab/>
        <w:t xml:space="preserve">In its </w:t>
      </w:r>
      <w:r w:rsidR="00773214" w:rsidRPr="000F51D7">
        <w:t xml:space="preserve">opening </w:t>
      </w:r>
      <w:r w:rsidRPr="000F51D7">
        <w:t xml:space="preserve">brief, Best Rest claims that it “asserted in its complaint . . . that at least </w:t>
      </w:r>
      <w:r w:rsidRPr="000F51D7">
        <w:rPr>
          <w:i/>
          <w:iCs/>
        </w:rPr>
        <w:t xml:space="preserve">part </w:t>
      </w:r>
      <w:r w:rsidRPr="000F51D7">
        <w:t>of its facilities were closed as a result of the COVID-19’s presence on its insured property.”  But the only citation given to support that assertion is not to the complaint, but rather to</w:t>
      </w:r>
      <w:r w:rsidR="004C7C86">
        <w:t xml:space="preserve"> Zaya’s</w:t>
      </w:r>
      <w:r w:rsidRPr="000F51D7">
        <w:t xml:space="preserve"> declaration</w:t>
      </w:r>
      <w:r w:rsidR="005C5CDE" w:rsidRPr="000F51D7">
        <w:t xml:space="preserve"> submitted in opposition to the summary judgment motion</w:t>
      </w:r>
      <w:r w:rsidRPr="000F51D7">
        <w:t>.</w:t>
      </w:r>
    </w:p>
  </w:footnote>
  <w:footnote w:id="3">
    <w:p w14:paraId="505CD7FE" w14:textId="289AB8A8" w:rsidR="00325B34" w:rsidRPr="000F51D7" w:rsidRDefault="00325B34">
      <w:pPr>
        <w:pStyle w:val="FootnoteText"/>
      </w:pPr>
      <w:r w:rsidRPr="000F51D7">
        <w:rPr>
          <w:rStyle w:val="FootnoteReference"/>
        </w:rPr>
        <w:footnoteRef/>
      </w:r>
      <w:r w:rsidRPr="000F51D7">
        <w:t xml:space="preserve"> </w:t>
      </w:r>
      <w:r w:rsidRPr="000F51D7">
        <w:tab/>
        <w:t>A fomite is an object that “may be contaminated with infectious agents (such as bacteria or viruses) and serve in their transmission.”  (Merriam Webster Dictionary &lt;https://www.merriam-webster.com/dictionary/fomite&gt;</w:t>
      </w:r>
      <w:r w:rsidR="00597170" w:rsidRPr="000F51D7">
        <w:t xml:space="preserve"> </w:t>
      </w:r>
      <w:r w:rsidR="00D52F1C" w:rsidRPr="000F51D7">
        <w:t>[</w:t>
      </w:r>
      <w:r w:rsidR="00597170" w:rsidRPr="000F51D7">
        <w:t>as of</w:t>
      </w:r>
      <w:r w:rsidR="00D52F1C" w:rsidRPr="000F51D7">
        <w:t xml:space="preserve"> </w:t>
      </w:r>
      <w:r w:rsidR="00C46A95">
        <w:t>Feb</w:t>
      </w:r>
      <w:r w:rsidR="006A6ED3">
        <w:t>.</w:t>
      </w:r>
      <w:r w:rsidR="00C46A95">
        <w:t xml:space="preserve"> 24, 2023</w:t>
      </w:r>
      <w:r w:rsidR="00597170" w:rsidRPr="000F51D7">
        <w:t>]</w:t>
      </w:r>
      <w:r w:rsidR="00F540B8" w:rsidRPr="000F51D7">
        <w:t xml:space="preserve"> </w:t>
      </w:r>
      <w:r w:rsidR="00D52F1C" w:rsidRPr="000F51D7">
        <w:t xml:space="preserve">archived </w:t>
      </w:r>
      <w:r w:rsidR="00F540B8" w:rsidRPr="000F51D7">
        <w:t>at</w:t>
      </w:r>
      <w:r w:rsidR="00597170" w:rsidRPr="000F51D7">
        <w:t xml:space="preserve"> &lt;https://permacc</w:t>
      </w:r>
      <w:r w:rsidR="00F2716A" w:rsidRPr="000F51D7">
        <w:t>/</w:t>
      </w:r>
      <w:r w:rsidR="006D7F48">
        <w:t>4QAE-2RFQ</w:t>
      </w:r>
      <w:r w:rsidR="00F2716A" w:rsidRPr="000F51D7">
        <w:t>&gt;.)</w:t>
      </w:r>
    </w:p>
    <w:p w14:paraId="65DC7D66" w14:textId="77777777" w:rsidR="001375FF" w:rsidRPr="000F51D7" w:rsidRDefault="001375FF" w:rsidP="00597170">
      <w:pPr>
        <w:pStyle w:val="FootnoteText"/>
        <w:spacing w:line="120" w:lineRule="auto"/>
      </w:pPr>
    </w:p>
  </w:footnote>
  <w:footnote w:id="4">
    <w:p w14:paraId="6B02C38F" w14:textId="2ADC0A61" w:rsidR="001375FF" w:rsidRPr="000F51D7" w:rsidRDefault="001375FF" w:rsidP="000059C0">
      <w:pPr>
        <w:pStyle w:val="FootnoteText"/>
      </w:pPr>
      <w:r w:rsidRPr="000F51D7">
        <w:rPr>
          <w:rStyle w:val="FootnoteReference"/>
        </w:rPr>
        <w:footnoteRef/>
      </w:r>
      <w:r w:rsidRPr="000F51D7">
        <w:t xml:space="preserve"> </w:t>
      </w:r>
      <w:r w:rsidRPr="000F51D7">
        <w:tab/>
        <w:t xml:space="preserve">In </w:t>
      </w:r>
      <w:r w:rsidRPr="000F51D7">
        <w:rPr>
          <w:i/>
          <w:iCs/>
        </w:rPr>
        <w:t>Inns</w:t>
      </w:r>
      <w:r w:rsidRPr="000F51D7">
        <w:t>, we held that “</w:t>
      </w:r>
      <w:r w:rsidR="00F16CE3" w:rsidRPr="000F51D7">
        <w:t> ‘</w:t>
      </w:r>
      <w:r w:rsidRPr="000F51D7">
        <w:t>direct physical loss</w:t>
      </w:r>
      <w:r w:rsidR="00F16CE3" w:rsidRPr="000F51D7">
        <w:t>’ </w:t>
      </w:r>
      <w:r w:rsidRPr="000F51D7">
        <w:t>of property” does not include loss of use.  (</w:t>
      </w:r>
      <w:r w:rsidRPr="000F51D7">
        <w:rPr>
          <w:i/>
          <w:iCs/>
        </w:rPr>
        <w:t>Inns</w:t>
      </w:r>
      <w:r w:rsidRPr="000F51D7">
        <w:t xml:space="preserve">, </w:t>
      </w:r>
      <w:r w:rsidRPr="000F51D7">
        <w:rPr>
          <w:i/>
          <w:iCs/>
        </w:rPr>
        <w:t>supra</w:t>
      </w:r>
      <w:r w:rsidRPr="000F51D7">
        <w:t xml:space="preserve">, 71 Cal.App.5th at p. 705, fn. 18.)  </w:t>
      </w:r>
      <w:r w:rsidR="009D14A3" w:rsidRPr="000F51D7">
        <w:t>But w</w:t>
      </w:r>
      <w:r w:rsidRPr="000F51D7">
        <w:t xml:space="preserve">e left open the possibility that in some </w:t>
      </w:r>
      <w:r w:rsidR="009D14A3" w:rsidRPr="000F51D7">
        <w:t xml:space="preserve">other factual scenarios, </w:t>
      </w:r>
      <w:r w:rsidRPr="000F51D7">
        <w:t>direct physical damage to property could result in a covered loss of use.  (</w:t>
      </w:r>
      <w:r w:rsidRPr="000F51D7">
        <w:rPr>
          <w:i/>
          <w:iCs/>
        </w:rPr>
        <w:t>Id</w:t>
      </w:r>
      <w:r w:rsidRPr="000F51D7">
        <w:t>. at pp. 704</w:t>
      </w:r>
      <w:r w:rsidR="00597170" w:rsidRPr="000F51D7">
        <w:rPr>
          <w:rFonts w:ascii="Times New Roman" w:hAnsi="Times New Roman" w:cs="Times New Roman"/>
        </w:rPr>
        <w:t>‒</w:t>
      </w:r>
      <w:r w:rsidRPr="000F51D7">
        <w:t>705.)</w:t>
      </w:r>
    </w:p>
    <w:p w14:paraId="78F2A075" w14:textId="77777777" w:rsidR="000059C0" w:rsidRPr="000F51D7" w:rsidRDefault="000059C0" w:rsidP="000C6407">
      <w:pPr>
        <w:pStyle w:val="FootnoteText"/>
        <w:spacing w:line="120" w:lineRule="auto"/>
      </w:pPr>
    </w:p>
  </w:footnote>
  <w:footnote w:id="5">
    <w:p w14:paraId="29A71AC2" w14:textId="663EF5FE" w:rsidR="009E24C5" w:rsidRPr="000F51D7" w:rsidRDefault="009E24C5">
      <w:pPr>
        <w:pStyle w:val="FootnoteText"/>
      </w:pPr>
      <w:r w:rsidRPr="000F51D7">
        <w:rPr>
          <w:rStyle w:val="FootnoteReference"/>
        </w:rPr>
        <w:footnoteRef/>
      </w:r>
      <w:r w:rsidRPr="000F51D7">
        <w:t xml:space="preserve"> </w:t>
      </w:r>
      <w:r w:rsidRPr="000F51D7">
        <w:tab/>
        <w:t xml:space="preserve">In the trial court, Best Rest also </w:t>
      </w:r>
      <w:r w:rsidR="009D019F" w:rsidRPr="000F51D7">
        <w:t>claimed</w:t>
      </w:r>
      <w:r w:rsidRPr="000F51D7">
        <w:t xml:space="preserve"> that</w:t>
      </w:r>
      <w:r w:rsidR="009D019F" w:rsidRPr="000F51D7">
        <w:t xml:space="preserve"> its lost income as well as </w:t>
      </w:r>
      <w:r w:rsidRPr="000F51D7">
        <w:t xml:space="preserve">expenses it incurred to avoid or minimize the suspension of business operations were </w:t>
      </w:r>
      <w:r w:rsidR="009D019F" w:rsidRPr="000F51D7">
        <w:t>also covered losses under the Civil Authority provisions in the policy.  The trial court rejected that argument.  As Sequoia points out, Best Rest has not challenged that aspect of the ruling in its opening brief.  Therefore, the point is deemed abandoned.  (</w:t>
      </w:r>
      <w:r w:rsidR="00A52FAF" w:rsidRPr="000F51D7">
        <w:rPr>
          <w:i/>
          <w:iCs/>
        </w:rPr>
        <w:t xml:space="preserve">Behr v. Redmond </w:t>
      </w:r>
      <w:r w:rsidR="00A52FAF" w:rsidRPr="000F51D7">
        <w:t>(2011) 193 Cal.App.4th 517, 538.)</w:t>
      </w:r>
    </w:p>
  </w:footnote>
  <w:footnote w:id="6">
    <w:p w14:paraId="61B11554" w14:textId="0CC4AC96" w:rsidR="00C403B8" w:rsidRPr="000F51D7" w:rsidRDefault="00552950" w:rsidP="00995703">
      <w:pPr>
        <w:pStyle w:val="FootnoteText"/>
        <w:rPr>
          <w:lang w:bidi="en-US"/>
        </w:rPr>
      </w:pPr>
      <w:r w:rsidRPr="000F51D7">
        <w:rPr>
          <w:rStyle w:val="FootnoteReference"/>
        </w:rPr>
        <w:footnoteRef/>
      </w:r>
      <w:r w:rsidRPr="000F51D7">
        <w:t xml:space="preserve">  </w:t>
      </w:r>
      <w:r w:rsidR="00641E39" w:rsidRPr="000F51D7">
        <w:tab/>
      </w:r>
      <w:r w:rsidRPr="000F51D7">
        <w:t xml:space="preserve">For example:  </w:t>
      </w:r>
      <w:r w:rsidR="00305747" w:rsidRPr="000F51D7">
        <w:rPr>
          <w:iCs/>
          <w:lang w:bidi="en-US"/>
        </w:rPr>
        <w:t>Permeating or pervasive u</w:t>
      </w:r>
      <w:r w:rsidRPr="000F51D7">
        <w:rPr>
          <w:iCs/>
          <w:lang w:bidi="en-US"/>
        </w:rPr>
        <w:t>npleasant odors</w:t>
      </w:r>
      <w:r w:rsidR="00A169C7" w:rsidRPr="000F51D7">
        <w:rPr>
          <w:iCs/>
          <w:lang w:bidi="en-US"/>
        </w:rPr>
        <w:t xml:space="preserve"> such as </w:t>
      </w:r>
      <w:r w:rsidRPr="000F51D7">
        <w:rPr>
          <w:iCs/>
          <w:lang w:bidi="en-US"/>
        </w:rPr>
        <w:t>“</w:t>
      </w:r>
      <w:r w:rsidR="00B733AD" w:rsidRPr="000F51D7">
        <w:rPr>
          <w:iCs/>
          <w:lang w:bidi="en-US"/>
        </w:rPr>
        <w:t> ‘</w:t>
      </w:r>
      <w:r w:rsidRPr="000F51D7">
        <w:rPr>
          <w:iCs/>
          <w:lang w:bidi="en-US"/>
        </w:rPr>
        <w:t>locker room</w:t>
      </w:r>
      <w:r w:rsidR="00B733AD" w:rsidRPr="000F51D7">
        <w:rPr>
          <w:iCs/>
          <w:lang w:bidi="en-US"/>
        </w:rPr>
        <w:t>’ </w:t>
      </w:r>
      <w:r w:rsidRPr="000F51D7">
        <w:rPr>
          <w:iCs/>
          <w:lang w:bidi="en-US"/>
        </w:rPr>
        <w:t>”</w:t>
      </w:r>
      <w:r w:rsidR="00305747" w:rsidRPr="000F51D7">
        <w:rPr>
          <w:iCs/>
          <w:lang w:bidi="en-US"/>
        </w:rPr>
        <w:t xml:space="preserve"> </w:t>
      </w:r>
      <w:r w:rsidRPr="000F51D7">
        <w:rPr>
          <w:iCs/>
          <w:lang w:bidi="en-US"/>
        </w:rPr>
        <w:t>smell</w:t>
      </w:r>
      <w:r w:rsidR="00305747" w:rsidRPr="000F51D7">
        <w:rPr>
          <w:iCs/>
          <w:lang w:bidi="en-US"/>
        </w:rPr>
        <w:t xml:space="preserve"> (</w:t>
      </w:r>
      <w:r w:rsidR="00305747" w:rsidRPr="000F51D7">
        <w:rPr>
          <w:i/>
          <w:iCs/>
          <w:lang w:bidi="en-US"/>
        </w:rPr>
        <w:t xml:space="preserve">Essex </w:t>
      </w:r>
      <w:r w:rsidR="00153B95" w:rsidRPr="000F51D7">
        <w:rPr>
          <w:i/>
          <w:iCs/>
          <w:lang w:bidi="en-US"/>
        </w:rPr>
        <w:t xml:space="preserve">Ins. Co. </w:t>
      </w:r>
      <w:r w:rsidR="00305747" w:rsidRPr="000F51D7">
        <w:rPr>
          <w:i/>
          <w:iCs/>
          <w:lang w:bidi="en-US"/>
        </w:rPr>
        <w:t xml:space="preserve">v. BloomSouth Flooring Corp. </w:t>
      </w:r>
      <w:r w:rsidR="00817C12" w:rsidRPr="000F51D7">
        <w:rPr>
          <w:lang w:bidi="en-US"/>
        </w:rPr>
        <w:t>(</w:t>
      </w:r>
      <w:r w:rsidR="00305747" w:rsidRPr="000F51D7">
        <w:rPr>
          <w:lang w:bidi="en-US"/>
        </w:rPr>
        <w:t xml:space="preserve">1st Cir. 2009) </w:t>
      </w:r>
      <w:r w:rsidR="00305747" w:rsidRPr="000F51D7">
        <w:rPr>
          <w:iCs/>
          <w:lang w:bidi="en-US"/>
        </w:rPr>
        <w:t>562 F.3d 399, 406)</w:t>
      </w:r>
      <w:r w:rsidR="000F3C0F">
        <w:rPr>
          <w:iCs/>
          <w:lang w:bidi="en-US"/>
        </w:rPr>
        <w:t>;</w:t>
      </w:r>
      <w:r w:rsidR="00CC2F34" w:rsidRPr="000F51D7">
        <w:rPr>
          <w:iCs/>
          <w:lang w:bidi="en-US"/>
        </w:rPr>
        <w:t xml:space="preserve"> </w:t>
      </w:r>
      <w:r w:rsidRPr="000F51D7">
        <w:rPr>
          <w:iCs/>
          <w:lang w:bidi="en-US"/>
        </w:rPr>
        <w:t>cat urine</w:t>
      </w:r>
      <w:r w:rsidR="000B6868" w:rsidRPr="000F51D7">
        <w:rPr>
          <w:iCs/>
          <w:lang w:bidi="en-US"/>
        </w:rPr>
        <w:t xml:space="preserve"> (</w:t>
      </w:r>
      <w:r w:rsidRPr="000F51D7">
        <w:rPr>
          <w:i/>
          <w:lang w:bidi="en-US"/>
        </w:rPr>
        <w:t>Mellin v. N. Sec. Ins. Co., Inc</w:t>
      </w:r>
      <w:r w:rsidRPr="000F51D7">
        <w:rPr>
          <w:iCs/>
          <w:lang w:bidi="en-US"/>
        </w:rPr>
        <w:t xml:space="preserve">. (N.H. 2015) </w:t>
      </w:r>
      <w:r w:rsidR="00B733AD" w:rsidRPr="000F51D7">
        <w:rPr>
          <w:iCs/>
          <w:lang w:bidi="en-US"/>
        </w:rPr>
        <w:t>115 A.3d 799, 801</w:t>
      </w:r>
      <w:r w:rsidR="000B6868" w:rsidRPr="000F51D7">
        <w:rPr>
          <w:iCs/>
          <w:lang w:bidi="en-US"/>
        </w:rPr>
        <w:t>)</w:t>
      </w:r>
      <w:r w:rsidR="000F3C0F">
        <w:rPr>
          <w:iCs/>
          <w:lang w:bidi="en-US"/>
        </w:rPr>
        <w:t>;</w:t>
      </w:r>
      <w:r w:rsidRPr="000F51D7">
        <w:rPr>
          <w:iCs/>
          <w:lang w:bidi="en-US"/>
        </w:rPr>
        <w:t xml:space="preserve"> </w:t>
      </w:r>
      <w:r w:rsidR="000B6868" w:rsidRPr="000F51D7">
        <w:rPr>
          <w:iCs/>
          <w:lang w:bidi="en-US"/>
        </w:rPr>
        <w:t>toxic gas</w:t>
      </w:r>
      <w:r w:rsidRPr="000F51D7">
        <w:rPr>
          <w:iCs/>
          <w:lang w:bidi="en-US"/>
        </w:rPr>
        <w:t xml:space="preserve"> </w:t>
      </w:r>
      <w:r w:rsidR="000B6868" w:rsidRPr="000F51D7">
        <w:rPr>
          <w:iCs/>
          <w:lang w:bidi="en-US"/>
        </w:rPr>
        <w:t>(</w:t>
      </w:r>
      <w:r w:rsidRPr="000F51D7">
        <w:rPr>
          <w:i/>
          <w:iCs/>
          <w:lang w:bidi="en-US"/>
        </w:rPr>
        <w:t xml:space="preserve">TRAVCO Ins. Co. v. Ward </w:t>
      </w:r>
      <w:r w:rsidRPr="000F51D7">
        <w:rPr>
          <w:iCs/>
          <w:lang w:bidi="en-US"/>
        </w:rPr>
        <w:t>(E.D.Va.</w:t>
      </w:r>
      <w:r w:rsidR="000B6868" w:rsidRPr="000F51D7">
        <w:rPr>
          <w:iCs/>
          <w:lang w:bidi="en-US"/>
        </w:rPr>
        <w:t xml:space="preserve"> </w:t>
      </w:r>
      <w:r w:rsidRPr="000F51D7">
        <w:rPr>
          <w:iCs/>
          <w:lang w:bidi="en-US"/>
        </w:rPr>
        <w:t>2010) 715 F.Supp.2d 699, 708</w:t>
      </w:r>
      <w:r w:rsidR="000B6868" w:rsidRPr="000F51D7">
        <w:rPr>
          <w:iCs/>
          <w:lang w:bidi="en-US"/>
        </w:rPr>
        <w:t xml:space="preserve"> [physical damage to the property is not necessary where the building “has been rendered unusable by physical forces”</w:t>
      </w:r>
      <w:r w:rsidR="00520934" w:rsidRPr="000F51D7">
        <w:rPr>
          <w:iCs/>
          <w:lang w:bidi="en-US"/>
        </w:rPr>
        <w:t>]</w:t>
      </w:r>
      <w:r w:rsidR="00B70369">
        <w:rPr>
          <w:iCs/>
          <w:lang w:bidi="en-US"/>
        </w:rPr>
        <w:t>)</w:t>
      </w:r>
      <w:r w:rsidR="000F3C0F">
        <w:rPr>
          <w:iCs/>
          <w:lang w:bidi="en-US"/>
        </w:rPr>
        <w:t>;</w:t>
      </w:r>
      <w:r w:rsidR="00B70369">
        <w:rPr>
          <w:iCs/>
          <w:lang w:bidi="en-US"/>
        </w:rPr>
        <w:t xml:space="preserve"> </w:t>
      </w:r>
      <w:r w:rsidR="000F3C0F">
        <w:rPr>
          <w:iCs/>
          <w:lang w:bidi="en-US"/>
        </w:rPr>
        <w:t xml:space="preserve">and </w:t>
      </w:r>
      <w:r w:rsidR="00B70369">
        <w:rPr>
          <w:iCs/>
          <w:lang w:bidi="en-US"/>
        </w:rPr>
        <w:t>g</w:t>
      </w:r>
      <w:r w:rsidRPr="000F51D7">
        <w:rPr>
          <w:iCs/>
          <w:lang w:bidi="en-US"/>
        </w:rPr>
        <w:t xml:space="preserve">asoline vapors </w:t>
      </w:r>
      <w:r w:rsidR="00CC2F34" w:rsidRPr="000F51D7">
        <w:rPr>
          <w:iCs/>
          <w:lang w:bidi="en-US"/>
        </w:rPr>
        <w:t>saturating a building, making it uninhabitable (</w:t>
      </w:r>
      <w:r w:rsidRPr="000F51D7">
        <w:rPr>
          <w:i/>
          <w:iCs/>
          <w:lang w:bidi="en-US"/>
        </w:rPr>
        <w:t xml:space="preserve">Western Fire Ins. Co. v. First Presbyterian Church </w:t>
      </w:r>
      <w:r w:rsidRPr="000F51D7">
        <w:rPr>
          <w:lang w:bidi="en-US"/>
        </w:rPr>
        <w:t>(1968)</w:t>
      </w:r>
      <w:r w:rsidRPr="000F51D7">
        <w:rPr>
          <w:iCs/>
          <w:lang w:bidi="en-US"/>
        </w:rPr>
        <w:t xml:space="preserve"> 165 Colo. 34</w:t>
      </w:r>
      <w:r w:rsidR="00CC2F34" w:rsidRPr="000F51D7">
        <w:rPr>
          <w:iCs/>
          <w:lang w:bidi="en-US"/>
        </w:rPr>
        <w:t>, 39</w:t>
      </w:r>
      <w:r w:rsidR="00771B37">
        <w:rPr>
          <w:iCs/>
          <w:lang w:bidi="en-US"/>
        </w:rPr>
        <w:t>)</w:t>
      </w:r>
      <w:r w:rsidR="00CC2F34" w:rsidRPr="000F51D7">
        <w:rPr>
          <w:iCs/>
          <w:lang w:bidi="en-US"/>
        </w:rPr>
        <w:t xml:space="preserve">. </w:t>
      </w:r>
    </w:p>
    <w:p w14:paraId="5EDC491B" w14:textId="77777777" w:rsidR="00C403B8" w:rsidRPr="000F51D7" w:rsidRDefault="00C403B8" w:rsidP="00CF1AEA">
      <w:pPr>
        <w:pStyle w:val="FootnoteText"/>
        <w:spacing w:line="120" w:lineRule="auto"/>
        <w:ind w:left="-86"/>
      </w:pPr>
    </w:p>
  </w:footnote>
  <w:footnote w:id="7">
    <w:p w14:paraId="171E89A1" w14:textId="4E7962AF" w:rsidR="00232A00" w:rsidRPr="000F51D7" w:rsidRDefault="00232A00">
      <w:pPr>
        <w:pStyle w:val="FootnoteText"/>
        <w:rPr>
          <w:iCs/>
        </w:rPr>
      </w:pPr>
      <w:r w:rsidRPr="000F51D7">
        <w:rPr>
          <w:rStyle w:val="FootnoteReference"/>
        </w:rPr>
        <w:footnoteRef/>
      </w:r>
      <w:r w:rsidRPr="000F51D7">
        <w:t xml:space="preserve">  </w:t>
      </w:r>
      <w:r w:rsidR="005854A5" w:rsidRPr="000F51D7">
        <w:tab/>
      </w:r>
      <w:r w:rsidRPr="000F51D7">
        <w:rPr>
          <w:i/>
          <w:iCs/>
        </w:rPr>
        <w:t>Inns</w:t>
      </w:r>
      <w:r w:rsidRPr="000F51D7">
        <w:rPr>
          <w:iCs/>
        </w:rPr>
        <w:t> characterized </w:t>
      </w:r>
      <w:r w:rsidRPr="000F51D7">
        <w:rPr>
          <w:i/>
          <w:iCs/>
        </w:rPr>
        <w:t>Hughes</w:t>
      </w:r>
      <w:r w:rsidRPr="000F51D7">
        <w:rPr>
          <w:iCs/>
        </w:rPr>
        <w:t> as the “central relevant California opinion”</w:t>
      </w:r>
      <w:r w:rsidR="006374ED" w:rsidRPr="000F51D7">
        <w:rPr>
          <w:iCs/>
        </w:rPr>
        <w:t xml:space="preserve"> on this point.</w:t>
      </w:r>
      <w:r w:rsidRPr="000F51D7">
        <w:rPr>
          <w:iCs/>
        </w:rPr>
        <w:t xml:space="preserve">  (</w:t>
      </w:r>
      <w:r w:rsidRPr="000F51D7">
        <w:rPr>
          <w:i/>
          <w:iCs/>
        </w:rPr>
        <w:t>Inns</w:t>
      </w:r>
      <w:r w:rsidRPr="000F51D7">
        <w:rPr>
          <w:iCs/>
        </w:rPr>
        <w:t xml:space="preserve">, </w:t>
      </w:r>
      <w:r w:rsidRPr="000F51D7">
        <w:rPr>
          <w:i/>
        </w:rPr>
        <w:t>supra</w:t>
      </w:r>
      <w:r w:rsidRPr="000F51D7">
        <w:rPr>
          <w:iCs/>
        </w:rPr>
        <w:t>, 71 Cal.App.5th at p. 701.)</w:t>
      </w:r>
      <w:r w:rsidR="006374ED" w:rsidRPr="000F51D7">
        <w:rPr>
          <w:iCs/>
        </w:rPr>
        <w:t xml:space="preserve">  </w:t>
      </w:r>
      <w:r w:rsidR="006374ED" w:rsidRPr="000F51D7">
        <w:rPr>
          <w:i/>
        </w:rPr>
        <w:t xml:space="preserve">Hughes </w:t>
      </w:r>
      <w:r w:rsidR="006374ED" w:rsidRPr="000F51D7">
        <w:rPr>
          <w:iCs/>
        </w:rPr>
        <w:t xml:space="preserve">was disapproved on other grounds in </w:t>
      </w:r>
      <w:r w:rsidR="006374ED" w:rsidRPr="000F51D7">
        <w:rPr>
          <w:i/>
        </w:rPr>
        <w:t xml:space="preserve">Sabella v. Wisler </w:t>
      </w:r>
      <w:r w:rsidR="006374ED" w:rsidRPr="000F51D7">
        <w:rPr>
          <w:iCs/>
        </w:rPr>
        <w:t>(1963) 59 Cal.2d 21, 34.</w:t>
      </w:r>
    </w:p>
  </w:footnote>
  <w:footnote w:id="8">
    <w:p w14:paraId="27D40F6E" w14:textId="06555BFA" w:rsidR="00295501" w:rsidRPr="000F51D7" w:rsidRDefault="00295501">
      <w:pPr>
        <w:pStyle w:val="FootnoteText"/>
      </w:pPr>
      <w:r w:rsidRPr="000F51D7">
        <w:rPr>
          <w:rStyle w:val="FootnoteReference"/>
        </w:rPr>
        <w:footnoteRef/>
      </w:r>
      <w:r w:rsidRPr="000F51D7">
        <w:t xml:space="preserve"> </w:t>
      </w:r>
      <w:r w:rsidRPr="000F51D7">
        <w:tab/>
      </w:r>
      <w:r w:rsidR="00EE4959" w:rsidRPr="000F51D7">
        <w:t xml:space="preserve">10A </w:t>
      </w:r>
      <w:r w:rsidRPr="000F51D7">
        <w:t>Couch on Insurance (3d ed. 2016)</w:t>
      </w:r>
      <w:r w:rsidR="00623DC6" w:rsidRPr="000F51D7">
        <w:t xml:space="preserve"> § 148:46</w:t>
      </w:r>
      <w:r w:rsidR="00F66E6D" w:rsidRPr="000F51D7">
        <w:t xml:space="preserve"> (Couch)</w:t>
      </w:r>
      <w:r w:rsidRPr="000F51D7">
        <w:t>.</w:t>
      </w:r>
    </w:p>
    <w:p w14:paraId="13B64CC8" w14:textId="77777777" w:rsidR="00C32CB8" w:rsidRPr="000F51D7" w:rsidRDefault="00C32CB8" w:rsidP="00C32CB8">
      <w:pPr>
        <w:pStyle w:val="FootnoteText"/>
        <w:spacing w:line="120" w:lineRule="auto"/>
      </w:pPr>
    </w:p>
  </w:footnote>
  <w:footnote w:id="9">
    <w:p w14:paraId="4B80C764" w14:textId="0AFDAA87" w:rsidR="00CE61BF" w:rsidRPr="000F51D7" w:rsidRDefault="00C82CF5" w:rsidP="00443CC9">
      <w:pPr>
        <w:pStyle w:val="FootnoteText"/>
        <w:rPr>
          <w:iCs/>
        </w:rPr>
      </w:pPr>
      <w:r w:rsidRPr="000F51D7">
        <w:rPr>
          <w:rStyle w:val="FootnoteReference"/>
        </w:rPr>
        <w:footnoteRef/>
      </w:r>
      <w:r w:rsidRPr="000F51D7">
        <w:t xml:space="preserve"> </w:t>
      </w:r>
      <w:r w:rsidR="00B45732" w:rsidRPr="000F51D7">
        <w:t xml:space="preserve"> </w:t>
      </w:r>
      <w:r w:rsidR="00295501" w:rsidRPr="000F51D7">
        <w:tab/>
      </w:r>
      <w:r w:rsidR="005A2E6C" w:rsidRPr="000F51D7">
        <w:t xml:space="preserve">An article </w:t>
      </w:r>
      <w:r w:rsidR="00B45732" w:rsidRPr="000F51D7">
        <w:t xml:space="preserve">published after </w:t>
      </w:r>
      <w:r w:rsidR="00B45732" w:rsidRPr="000F51D7">
        <w:rPr>
          <w:i/>
          <w:iCs/>
        </w:rPr>
        <w:t xml:space="preserve">Inns </w:t>
      </w:r>
      <w:r w:rsidR="00B45732" w:rsidRPr="000F51D7">
        <w:t>was submitted for decision has questioned</w:t>
      </w:r>
      <w:r w:rsidR="006D0F53">
        <w:t xml:space="preserve"> </w:t>
      </w:r>
      <w:r w:rsidR="00B45732" w:rsidRPr="000F51D7">
        <w:t xml:space="preserve">the validity of Couch’s </w:t>
      </w:r>
      <w:r w:rsidR="00901465" w:rsidRPr="000F51D7">
        <w:t>summary</w:t>
      </w:r>
      <w:r w:rsidR="00B45732" w:rsidRPr="000F51D7">
        <w:t>.  (</w:t>
      </w:r>
      <w:r w:rsidR="00B45732" w:rsidRPr="000F51D7">
        <w:rPr>
          <w:iCs/>
        </w:rPr>
        <w:t>Lewis, et al.</w:t>
      </w:r>
      <w:r w:rsidR="00F27E09">
        <w:rPr>
          <w:iCs/>
        </w:rPr>
        <w:t>,</w:t>
      </w:r>
      <w:r w:rsidR="00B45732" w:rsidRPr="000F51D7">
        <w:rPr>
          <w:iCs/>
        </w:rPr>
        <w:t xml:space="preserve"> </w:t>
      </w:r>
      <w:r w:rsidR="00901465" w:rsidRPr="000F51D7">
        <w:rPr>
          <w:i/>
        </w:rPr>
        <w:t xml:space="preserve">Couch’s “Physical Alteration” Fallacy: </w:t>
      </w:r>
      <w:r w:rsidR="00C06405" w:rsidRPr="000F51D7">
        <w:rPr>
          <w:i/>
        </w:rPr>
        <w:t xml:space="preserve"> </w:t>
      </w:r>
      <w:r w:rsidR="00901465" w:rsidRPr="000F51D7">
        <w:rPr>
          <w:i/>
        </w:rPr>
        <w:t>Its Origin</w:t>
      </w:r>
      <w:r w:rsidR="00224B07" w:rsidRPr="000F51D7">
        <w:rPr>
          <w:i/>
        </w:rPr>
        <w:t>s</w:t>
      </w:r>
      <w:r w:rsidR="00901465" w:rsidRPr="000F51D7">
        <w:rPr>
          <w:i/>
        </w:rPr>
        <w:t xml:space="preserve"> and </w:t>
      </w:r>
      <w:r w:rsidR="00224B07" w:rsidRPr="000F51D7">
        <w:rPr>
          <w:i/>
        </w:rPr>
        <w:t>Consequences</w:t>
      </w:r>
      <w:r w:rsidR="00224B07" w:rsidRPr="000F51D7">
        <w:rPr>
          <w:iCs/>
        </w:rPr>
        <w:t xml:space="preserve"> </w:t>
      </w:r>
      <w:r w:rsidR="00F27E09" w:rsidRPr="000F51D7">
        <w:rPr>
          <w:iCs/>
        </w:rPr>
        <w:t xml:space="preserve">(2021) </w:t>
      </w:r>
      <w:r w:rsidR="00B45732" w:rsidRPr="000F51D7">
        <w:rPr>
          <w:iCs/>
        </w:rPr>
        <w:t>56 Tort,</w:t>
      </w:r>
      <w:r w:rsidR="000E56A1" w:rsidRPr="000F51D7">
        <w:rPr>
          <w:iCs/>
        </w:rPr>
        <w:t xml:space="preserve"> </w:t>
      </w:r>
      <w:r w:rsidR="00B45732" w:rsidRPr="000F51D7">
        <w:rPr>
          <w:iCs/>
        </w:rPr>
        <w:t>Trial</w:t>
      </w:r>
      <w:r w:rsidR="000E56A1" w:rsidRPr="000F51D7">
        <w:rPr>
          <w:iCs/>
        </w:rPr>
        <w:t xml:space="preserve"> </w:t>
      </w:r>
      <w:r w:rsidR="00B45732" w:rsidRPr="000F51D7">
        <w:rPr>
          <w:iCs/>
        </w:rPr>
        <w:t>&amp;</w:t>
      </w:r>
      <w:r w:rsidR="000E56A1" w:rsidRPr="000F51D7">
        <w:rPr>
          <w:iCs/>
        </w:rPr>
        <w:t xml:space="preserve"> </w:t>
      </w:r>
      <w:r w:rsidR="00B45732" w:rsidRPr="000F51D7">
        <w:rPr>
          <w:iCs/>
        </w:rPr>
        <w:t>Ins. Prac. L.J. 621, 624.)</w:t>
      </w:r>
      <w:r w:rsidR="002041B4" w:rsidRPr="000F51D7">
        <w:rPr>
          <w:iCs/>
        </w:rPr>
        <w:t xml:space="preserve">  </w:t>
      </w:r>
      <w:r w:rsidR="004F3112" w:rsidRPr="000F51D7">
        <w:rPr>
          <w:iCs/>
        </w:rPr>
        <w:t>Based in part on that article, a</w:t>
      </w:r>
      <w:r w:rsidR="002041B4" w:rsidRPr="000F51D7">
        <w:rPr>
          <w:iCs/>
        </w:rPr>
        <w:t xml:space="preserve">micus </w:t>
      </w:r>
      <w:r w:rsidR="00E83D1A">
        <w:rPr>
          <w:iCs/>
        </w:rPr>
        <w:t xml:space="preserve">curiae </w:t>
      </w:r>
      <w:r w:rsidR="002041B4" w:rsidRPr="000F51D7">
        <w:rPr>
          <w:iCs/>
        </w:rPr>
        <w:t>San Manuel Band of Indian</w:t>
      </w:r>
      <w:r w:rsidR="00EB306C" w:rsidRPr="000F51D7">
        <w:rPr>
          <w:iCs/>
        </w:rPr>
        <w:t>s</w:t>
      </w:r>
      <w:r w:rsidR="002041B4" w:rsidRPr="000F51D7">
        <w:rPr>
          <w:iCs/>
        </w:rPr>
        <w:t xml:space="preserve"> asks that we “reject the </w:t>
      </w:r>
      <w:r w:rsidR="002041B4" w:rsidRPr="000F51D7">
        <w:rPr>
          <w:i/>
        </w:rPr>
        <w:t xml:space="preserve">Couch </w:t>
      </w:r>
      <w:r w:rsidR="002041B4" w:rsidRPr="000F51D7">
        <w:rPr>
          <w:iCs/>
        </w:rPr>
        <w:t xml:space="preserve">standard as an incorrect statement of law.”  </w:t>
      </w:r>
      <w:r w:rsidR="00DD2C29" w:rsidRPr="000F51D7">
        <w:rPr>
          <w:iCs/>
        </w:rPr>
        <w:t>It is a fascinating question, but w</w:t>
      </w:r>
      <w:r w:rsidR="002041B4" w:rsidRPr="000F51D7">
        <w:rPr>
          <w:iCs/>
        </w:rPr>
        <w:t xml:space="preserve">e decline to </w:t>
      </w:r>
      <w:r w:rsidR="004F3112" w:rsidRPr="000F51D7">
        <w:rPr>
          <w:iCs/>
        </w:rPr>
        <w:t xml:space="preserve">consider </w:t>
      </w:r>
      <w:r w:rsidR="00DD2C29" w:rsidRPr="000F51D7">
        <w:rPr>
          <w:iCs/>
        </w:rPr>
        <w:t xml:space="preserve">it </w:t>
      </w:r>
      <w:r w:rsidR="004F3112" w:rsidRPr="000F51D7">
        <w:rPr>
          <w:iCs/>
        </w:rPr>
        <w:t>because, as we will explain, Best Rest’s case fails for a different reason—lack of causation.</w:t>
      </w:r>
    </w:p>
  </w:footnote>
  <w:footnote w:id="10">
    <w:p w14:paraId="734EA962" w14:textId="1A50080A" w:rsidR="007E5A21" w:rsidRPr="000F51D7" w:rsidRDefault="007E5A21">
      <w:pPr>
        <w:pStyle w:val="FootnoteText"/>
      </w:pPr>
      <w:r w:rsidRPr="000F51D7">
        <w:rPr>
          <w:rStyle w:val="FootnoteReference"/>
        </w:rPr>
        <w:footnoteRef/>
      </w:r>
      <w:r w:rsidRPr="000F51D7">
        <w:t xml:space="preserve"> </w:t>
      </w:r>
      <w:r w:rsidRPr="000F51D7">
        <w:tab/>
      </w:r>
      <w:r w:rsidRPr="000F51D7">
        <w:rPr>
          <w:iCs/>
          <w:lang w:bidi="en-US"/>
        </w:rPr>
        <w:t xml:space="preserve">Applying this reasoning here, if the virus can be quickly cleaned up with commonly available disinfectants, and there is no evidence that surfaces where fomites once were remain dangerous, it follows there is no physical loss of or damage to property.  (See </w:t>
      </w:r>
      <w:r w:rsidRPr="000F51D7">
        <w:rPr>
          <w:i/>
          <w:lang w:bidi="en-US"/>
        </w:rPr>
        <w:t>Verveine Corp. v. Strathmore Ins. Co.</w:t>
      </w:r>
      <w:r w:rsidRPr="000F51D7">
        <w:rPr>
          <w:iCs/>
          <w:lang w:bidi="en-US"/>
        </w:rPr>
        <w:t xml:space="preserve"> (Mass. 2022) 184 N.E.3d 1266, 1276 [“Evanescent presence of a harmful airborne substance that will quickly dissipate on its own, or surface-level contamination that can be removed by simple cleaning, does not physically alter or affect property”].)</w:t>
      </w:r>
    </w:p>
  </w:footnote>
  <w:footnote w:id="11">
    <w:p w14:paraId="0B133C9F" w14:textId="71A7D5E1" w:rsidR="00B42745" w:rsidRPr="000F51D7" w:rsidRDefault="00B42745">
      <w:pPr>
        <w:pStyle w:val="FootnoteText"/>
      </w:pPr>
      <w:r w:rsidRPr="000F51D7">
        <w:rPr>
          <w:rStyle w:val="FootnoteReference"/>
        </w:rPr>
        <w:footnoteRef/>
      </w:r>
      <w:r w:rsidRPr="000F51D7">
        <w:t xml:space="preserve"> </w:t>
      </w:r>
      <w:r w:rsidRPr="000F51D7">
        <w:tab/>
      </w:r>
      <w:r w:rsidR="00EB652A" w:rsidRPr="000F51D7">
        <w:t>&lt;</w:t>
      </w:r>
      <w:r w:rsidR="00EB652A" w:rsidRPr="000F51D7">
        <w:rPr>
          <w:iCs/>
          <w:lang w:bidi="en-US"/>
        </w:rPr>
        <w:t>H</w:t>
      </w:r>
      <w:r w:rsidRPr="000F51D7">
        <w:rPr>
          <w:iCs/>
          <w:lang w:bidi="en-US"/>
        </w:rPr>
        <w:t>ttps://www.merriam-webster.com/dictionary/direct?src=search-dict-box</w:t>
      </w:r>
      <w:r w:rsidR="00EB652A" w:rsidRPr="000F51D7">
        <w:rPr>
          <w:iCs/>
          <w:lang w:bidi="en-US"/>
        </w:rPr>
        <w:t xml:space="preserve">&gt; [as of </w:t>
      </w:r>
      <w:r w:rsidR="006A6ED3">
        <w:t>Feb. 24, 2023</w:t>
      </w:r>
      <w:r w:rsidR="00EB652A" w:rsidRPr="000F51D7">
        <w:rPr>
          <w:iCs/>
          <w:lang w:bidi="en-US"/>
        </w:rPr>
        <w:t>] archived at &lt;https://permacc//</w:t>
      </w:r>
      <w:r w:rsidR="00CD68F3">
        <w:rPr>
          <w:iCs/>
          <w:lang w:bidi="en-US"/>
        </w:rPr>
        <w:t>9ZEY-NZB7</w:t>
      </w:r>
      <w:r w:rsidR="00EB652A" w:rsidRPr="000F51D7">
        <w:rPr>
          <w:iCs/>
          <w:lang w:bidi="en-US"/>
        </w:rPr>
        <w:t>&gt;.</w:t>
      </w:r>
      <w:r w:rsidRPr="000F51D7">
        <w:rPr>
          <w:iCs/>
          <w:lang w:bidi="en-US"/>
        </w:rPr>
        <w:t xml:space="preserve">  </w:t>
      </w:r>
    </w:p>
  </w:footnote>
  <w:footnote w:id="12">
    <w:p w14:paraId="24703923" w14:textId="77777777" w:rsidR="009E7414" w:rsidRDefault="002F58E5" w:rsidP="00FA55B5">
      <w:pPr>
        <w:pStyle w:val="FootnoteText"/>
      </w:pPr>
      <w:r w:rsidRPr="000F51D7">
        <w:rPr>
          <w:rStyle w:val="FootnoteReference"/>
        </w:rPr>
        <w:footnoteRef/>
      </w:r>
      <w:r w:rsidRPr="000F51D7">
        <w:t xml:space="preserve"> </w:t>
      </w:r>
      <w:r w:rsidRPr="000F51D7">
        <w:tab/>
        <w:t>Salem similarly testified that Best Rest did not shut down any guestrooms in 2020.</w:t>
      </w:r>
    </w:p>
    <w:p w14:paraId="4CE3BD5B" w14:textId="0AFCEF2D" w:rsidR="00BC6AE9" w:rsidRPr="000F51D7" w:rsidRDefault="002F58E5" w:rsidP="009E7414">
      <w:pPr>
        <w:pStyle w:val="FootnoteText"/>
        <w:spacing w:line="120" w:lineRule="auto"/>
      </w:pPr>
      <w:r w:rsidRPr="000F51D7">
        <w:t xml:space="preserve"> </w:t>
      </w:r>
    </w:p>
  </w:footnote>
  <w:footnote w:id="13">
    <w:p w14:paraId="58B0B69C" w14:textId="46CC1B3D" w:rsidR="00402F09" w:rsidRPr="000F51D7" w:rsidRDefault="00072406" w:rsidP="00072406">
      <w:pPr>
        <w:pStyle w:val="FootnoteText"/>
      </w:pPr>
      <w:r w:rsidRPr="000F51D7">
        <w:rPr>
          <w:rStyle w:val="FootnoteReference"/>
        </w:rPr>
        <w:footnoteRef/>
      </w:r>
      <w:r w:rsidRPr="000F51D7">
        <w:t xml:space="preserve"> </w:t>
      </w:r>
      <w:r w:rsidRPr="000F51D7">
        <w:tab/>
      </w:r>
      <w:r w:rsidR="00402F09" w:rsidRPr="000F51D7">
        <w:t xml:space="preserve">Not having the benefit of our opinion in </w:t>
      </w:r>
      <w:r w:rsidR="00402F09" w:rsidRPr="000F51D7">
        <w:rPr>
          <w:i/>
          <w:iCs/>
        </w:rPr>
        <w:t>Inns</w:t>
      </w:r>
      <w:r w:rsidR="00402F09" w:rsidRPr="000F51D7">
        <w:t>, the trial court granted summary judgment on different grounds—finding there was no direct physical loss of or damage to property.  Nevertheless, w</w:t>
      </w:r>
      <w:r w:rsidRPr="000F51D7">
        <w:t>e may affirm an order granting summary judgment if it is correct on any of the grounds asserted in the trial court regardless of the trial court</w:t>
      </w:r>
      <w:r w:rsidR="00F13E8F" w:rsidRPr="000F51D7">
        <w:t>’</w:t>
      </w:r>
      <w:r w:rsidRPr="000F51D7">
        <w:t>s stated reasons.  (</w:t>
      </w:r>
      <w:r w:rsidRPr="000F51D7">
        <w:rPr>
          <w:i/>
          <w:iCs/>
        </w:rPr>
        <w:t>Grebing v. 24 Hour Fitness USA, Inc.</w:t>
      </w:r>
      <w:r w:rsidRPr="000F51D7">
        <w:t> (2015) 234 Cal.App.4th 631, 637</w:t>
      </w:r>
      <w:r w:rsidR="00ED42BE" w:rsidRPr="000F51D7">
        <w:t xml:space="preserve">.)  </w:t>
      </w:r>
    </w:p>
    <w:p w14:paraId="0D62DCF1" w14:textId="7214D82C" w:rsidR="00FB1B84" w:rsidRPr="000F51D7" w:rsidRDefault="00402F09" w:rsidP="00072406">
      <w:pPr>
        <w:pStyle w:val="FootnoteText"/>
      </w:pPr>
      <w:r w:rsidRPr="000F51D7">
        <w:tab/>
        <w:t xml:space="preserve">Our </w:t>
      </w:r>
      <w:r w:rsidR="00FB1B84" w:rsidRPr="000F51D7">
        <w:t xml:space="preserve">disposition </w:t>
      </w:r>
      <w:r w:rsidRPr="000F51D7">
        <w:t xml:space="preserve">makes it </w:t>
      </w:r>
      <w:r w:rsidR="00FB1B84" w:rsidRPr="000F51D7">
        <w:t xml:space="preserve">unnecessary to address Best Rest’s contention that COVID-19 in the hotel constitutes damage to property, or alters property, within the meaning of the policy.  Likewise, it is unnecessary to </w:t>
      </w:r>
      <w:r w:rsidR="00B14A47" w:rsidRPr="000F51D7">
        <w:t xml:space="preserve">address </w:t>
      </w:r>
      <w:r w:rsidRPr="000F51D7">
        <w:t xml:space="preserve">several other issues raised by the parties, including (1) </w:t>
      </w:r>
      <w:r w:rsidR="00B14A47" w:rsidRPr="000F51D7">
        <w:t xml:space="preserve">whether the trial court correctly relied on </w:t>
      </w:r>
      <w:r w:rsidR="00B14A47" w:rsidRPr="000F51D7">
        <w:rPr>
          <w:i/>
          <w:iCs/>
        </w:rPr>
        <w:t>MRI Healthcare</w:t>
      </w:r>
      <w:r w:rsidR="00B14A47" w:rsidRPr="000F51D7">
        <w:t xml:space="preserve"> in determining that no covered loss occurred</w:t>
      </w:r>
      <w:r w:rsidRPr="000F51D7">
        <w:t xml:space="preserve">; (2) </w:t>
      </w:r>
      <w:r w:rsidR="00074011" w:rsidRPr="000F51D7">
        <w:t>the effect (if any) on the lack of a virus exclusion in the hotel’s policy</w:t>
      </w:r>
      <w:r w:rsidR="00787A24">
        <w:t>;</w:t>
      </w:r>
      <w:r w:rsidR="006C460B" w:rsidRPr="000F51D7">
        <w:t xml:space="preserve"> </w:t>
      </w:r>
      <w:r w:rsidR="00362E09">
        <w:t xml:space="preserve">or </w:t>
      </w:r>
      <w:r w:rsidRPr="000F51D7">
        <w:t>(3)</w:t>
      </w:r>
      <w:r w:rsidR="00362E09">
        <w:t xml:space="preserve"> </w:t>
      </w:r>
      <w:r w:rsidR="006C460B" w:rsidRPr="000F51D7">
        <w:t xml:space="preserve">whether coverage is </w:t>
      </w:r>
      <w:r w:rsidRPr="000F51D7">
        <w:t xml:space="preserve">precluded </w:t>
      </w:r>
      <w:r w:rsidR="006C460B" w:rsidRPr="000F51D7">
        <w:t xml:space="preserve">under the policy’s “loss of use” exclusion. </w:t>
      </w:r>
      <w:r w:rsidR="00A04731" w:rsidRPr="000F51D7">
        <w:t xml:space="preserve"> As amicus </w:t>
      </w:r>
      <w:r w:rsidR="00652764" w:rsidRPr="000F51D7">
        <w:t xml:space="preserve">curiae </w:t>
      </w:r>
      <w:r w:rsidR="00A04731" w:rsidRPr="000F51D7">
        <w:t xml:space="preserve">United Policyholders points out, appellate courts generally will not address issues whose resolution is unnecessary to disposition of the appeal. </w:t>
      </w:r>
    </w:p>
    <w:p w14:paraId="4A71B887" w14:textId="3B0346E5" w:rsidR="00072406" w:rsidRPr="000F51D7" w:rsidRDefault="00FA7C33">
      <w:pPr>
        <w:pStyle w:val="FootnoteText"/>
      </w:pPr>
      <w:r w:rsidRPr="000F51D7">
        <w:tab/>
      </w:r>
      <w:r w:rsidR="000B5FD5" w:rsidRPr="000F51D7">
        <w:t>Finally, b</w:t>
      </w:r>
      <w:r w:rsidRPr="000F51D7">
        <w:t>ecause Best Rest’s breach of contract claim fails, so necessarily must its claim for breach of the implied covenant of good faith and fair dealing.  (</w:t>
      </w:r>
      <w:r w:rsidRPr="000F51D7">
        <w:rPr>
          <w:i/>
          <w:iCs/>
        </w:rPr>
        <w:t xml:space="preserve">Waller v. Truck Ins. Exchange, Inc. </w:t>
      </w:r>
      <w:r w:rsidRPr="000F51D7">
        <w:t xml:space="preserve">(1995) 11 Cal.4th 1, 36.)  For this reason, we have not </w:t>
      </w:r>
      <w:r w:rsidR="009F2092" w:rsidRPr="000F51D7">
        <w:t>addressed</w:t>
      </w:r>
      <w:r w:rsidRPr="000F51D7">
        <w:t xml:space="preserve"> the parties’ arguments regarding the handling of the claim.</w:t>
      </w:r>
    </w:p>
  </w:footnote>
  <w:footnote w:id="14">
    <w:p w14:paraId="3A3BC29A" w14:textId="730A057E" w:rsidR="000A163C" w:rsidRPr="000F51D7" w:rsidRDefault="000A163C">
      <w:pPr>
        <w:pStyle w:val="FootnoteText"/>
      </w:pPr>
      <w:r w:rsidRPr="000F51D7">
        <w:rPr>
          <w:rStyle w:val="FootnoteReference"/>
        </w:rPr>
        <w:footnoteRef/>
      </w:r>
      <w:r w:rsidRPr="000F51D7">
        <w:t xml:space="preserve"> </w:t>
      </w:r>
      <w:r w:rsidRPr="000F51D7">
        <w:tab/>
        <w:t xml:space="preserve">Additionally, </w:t>
      </w:r>
      <w:r w:rsidR="002F53E3" w:rsidRPr="000F51D7">
        <w:t xml:space="preserve">the virologist’s </w:t>
      </w:r>
      <w:r w:rsidRPr="000F51D7">
        <w:rPr>
          <w:lang w:bidi="en-US"/>
        </w:rPr>
        <w:t xml:space="preserve">assertion that COVID-19 constitutes “direct physical damage” is </w:t>
      </w:r>
      <w:r w:rsidR="002F53E3" w:rsidRPr="000F51D7">
        <w:rPr>
          <w:lang w:bidi="en-US"/>
        </w:rPr>
        <w:t xml:space="preserve">an </w:t>
      </w:r>
      <w:r w:rsidRPr="000F51D7">
        <w:rPr>
          <w:lang w:bidi="en-US"/>
        </w:rPr>
        <w:t xml:space="preserve">inadmissible legal conclusion.  </w:t>
      </w:r>
      <w:r w:rsidRPr="000F51D7">
        <w:t xml:space="preserve">In the trial court, </w:t>
      </w:r>
      <w:r w:rsidR="00936F8A" w:rsidRPr="000F51D7">
        <w:t xml:space="preserve">Sequoia </w:t>
      </w:r>
      <w:r w:rsidRPr="000F51D7">
        <w:t xml:space="preserve">properly objected on these grounds.  </w:t>
      </w:r>
    </w:p>
  </w:footnote>
  <w:footnote w:id="15">
    <w:p w14:paraId="6E49FC50" w14:textId="037645FD" w:rsidR="000B5FD5" w:rsidRPr="009E24C5" w:rsidRDefault="00DC36C4">
      <w:pPr>
        <w:pStyle w:val="FootnoteText"/>
      </w:pPr>
      <w:r w:rsidRPr="000F51D7">
        <w:rPr>
          <w:rStyle w:val="FootnoteReference"/>
        </w:rPr>
        <w:footnoteRef/>
      </w:r>
      <w:r w:rsidRPr="000F51D7">
        <w:t xml:space="preserve"> </w:t>
      </w:r>
      <w:r w:rsidRPr="000F51D7">
        <w:tab/>
      </w:r>
      <w:r w:rsidR="000B5FD5" w:rsidRPr="000F51D7">
        <w:rPr>
          <w:lang w:bidi="en-US"/>
        </w:rPr>
        <w:t xml:space="preserve">We granted leave to permit the filing of several amicus </w:t>
      </w:r>
      <w:r w:rsidR="00796D87">
        <w:rPr>
          <w:lang w:bidi="en-US"/>
        </w:rPr>
        <w:t xml:space="preserve">curiae </w:t>
      </w:r>
      <w:r w:rsidR="000B5FD5" w:rsidRPr="000F51D7">
        <w:rPr>
          <w:lang w:bidi="en-US"/>
        </w:rPr>
        <w:t>briefs.  Generally, they were quite helpful as they approached the issues from different angles.  But one urged us to affirm because to impose “this type of risk” on insurers would cost the industry hundreds of billions of dollars per month and “distort the insurance mechanism.”  The same brief also went outside the record to inform us that Best Rest was the beneficiary of nearly $700,000 in government relief stemming from the pandemic.  These types or arguments play no role in our decision.  We reiterate the comments of the Supreme Court i</w:t>
      </w:r>
      <w:r w:rsidR="000B5FD5" w:rsidRPr="000F51D7">
        <w:rPr>
          <w:iCs/>
          <w:lang w:bidi="en-US"/>
        </w:rPr>
        <w:t>n </w:t>
      </w:r>
      <w:r w:rsidR="000B5FD5" w:rsidRPr="000F51D7">
        <w:rPr>
          <w:i/>
          <w:iCs/>
          <w:lang w:bidi="en-US"/>
        </w:rPr>
        <w:t>Aerojet-General Corporation v. Transport Indemnity Co.</w:t>
      </w:r>
      <w:r w:rsidR="000B5FD5" w:rsidRPr="000F51D7">
        <w:rPr>
          <w:iCs/>
          <w:lang w:bidi="en-US"/>
        </w:rPr>
        <w:t> (1997) 17 Cal.4th 38, rejecting a similar doomsday argument by the insurance industry:  “</w:t>
      </w:r>
      <w:r w:rsidR="00BD0BA7" w:rsidRPr="000F51D7">
        <w:rPr>
          <w:iCs/>
          <w:lang w:bidi="en-US"/>
        </w:rPr>
        <w:t>[</w:t>
      </w:r>
      <w:r w:rsidR="000B5FD5" w:rsidRPr="000F51D7">
        <w:rPr>
          <w:iCs/>
          <w:lang w:bidi="en-US"/>
        </w:rPr>
        <w:t>T</w:t>
      </w:r>
      <w:r w:rsidR="00BD0BA7" w:rsidRPr="000F51D7">
        <w:rPr>
          <w:iCs/>
          <w:lang w:bidi="en-US"/>
        </w:rPr>
        <w:t>]</w:t>
      </w:r>
      <w:r w:rsidR="000B5FD5" w:rsidRPr="000F51D7">
        <w:rPr>
          <w:iCs/>
          <w:lang w:bidi="en-US"/>
        </w:rPr>
        <w:t>he pertinent policies provide what they provide.  [The policyholder] and the insurers were generally free to contract as they pleased.  They evidently did so.  They thereby established what was ‘fair’ and ‘just’ inter se.  We may not rewrite what they themselves wrote.  We must certainly resist the temptation to do so here simply in order to adjust for chance—for the benefits it has bestowed on one party without merit and for the burdens it has laid on others without desert.”   (</w:t>
      </w:r>
      <w:r w:rsidR="000B5FD5" w:rsidRPr="000F51D7">
        <w:rPr>
          <w:i/>
          <w:iCs/>
          <w:lang w:bidi="en-US"/>
        </w:rPr>
        <w:t>Id.</w:t>
      </w:r>
      <w:r w:rsidR="000B5FD5" w:rsidRPr="000F51D7">
        <w:rPr>
          <w:iCs/>
          <w:lang w:bidi="en-US"/>
        </w:rPr>
        <w:t> at p. 75.)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81B1E"/>
    <w:multiLevelType w:val="hybridMultilevel"/>
    <w:tmpl w:val="42146E40"/>
    <w:lvl w:ilvl="0" w:tplc="91F63636">
      <w:start w:val="1"/>
      <w:numFmt w:val="upperLetter"/>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766CB"/>
    <w:multiLevelType w:val="hybridMultilevel"/>
    <w:tmpl w:val="12989B6E"/>
    <w:lvl w:ilvl="0" w:tplc="71BA8B7E">
      <w:start w:val="1"/>
      <w:numFmt w:val="upperLetter"/>
      <w:lvlText w:val="%1."/>
      <w:lvlJc w:val="righ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394D8D"/>
    <w:multiLevelType w:val="hybridMultilevel"/>
    <w:tmpl w:val="C0F2A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4C19A8"/>
    <w:multiLevelType w:val="hybridMultilevel"/>
    <w:tmpl w:val="CBD42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3408614">
    <w:abstractNumId w:val="2"/>
  </w:num>
  <w:num w:numId="2" w16cid:durableId="1220631055">
    <w:abstractNumId w:val="3"/>
  </w:num>
  <w:num w:numId="3" w16cid:durableId="964774848">
    <w:abstractNumId w:val="1"/>
  </w:num>
  <w:num w:numId="4" w16cid:durableId="2063863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isplayBackgroundShape/>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151"/>
    <w:rsid w:val="000059C0"/>
    <w:rsid w:val="000137A5"/>
    <w:rsid w:val="00016D44"/>
    <w:rsid w:val="000174D7"/>
    <w:rsid w:val="00031A46"/>
    <w:rsid w:val="00031D7C"/>
    <w:rsid w:val="00042145"/>
    <w:rsid w:val="00042F54"/>
    <w:rsid w:val="00050F09"/>
    <w:rsid w:val="0005495B"/>
    <w:rsid w:val="00055B13"/>
    <w:rsid w:val="00056C27"/>
    <w:rsid w:val="000611CA"/>
    <w:rsid w:val="00061FF6"/>
    <w:rsid w:val="00070B61"/>
    <w:rsid w:val="00072406"/>
    <w:rsid w:val="00074011"/>
    <w:rsid w:val="000755A6"/>
    <w:rsid w:val="000758AE"/>
    <w:rsid w:val="0007671C"/>
    <w:rsid w:val="00080134"/>
    <w:rsid w:val="000A163C"/>
    <w:rsid w:val="000A2E62"/>
    <w:rsid w:val="000A32F5"/>
    <w:rsid w:val="000A752B"/>
    <w:rsid w:val="000B318D"/>
    <w:rsid w:val="000B4823"/>
    <w:rsid w:val="000B5FD5"/>
    <w:rsid w:val="000B6868"/>
    <w:rsid w:val="000B6E18"/>
    <w:rsid w:val="000C01DA"/>
    <w:rsid w:val="000C02B1"/>
    <w:rsid w:val="000C6407"/>
    <w:rsid w:val="000D2C08"/>
    <w:rsid w:val="000D4F86"/>
    <w:rsid w:val="000E1CCF"/>
    <w:rsid w:val="000E28DB"/>
    <w:rsid w:val="000E56A1"/>
    <w:rsid w:val="000E5AF6"/>
    <w:rsid w:val="000F3C0F"/>
    <w:rsid w:val="000F51D7"/>
    <w:rsid w:val="00114E37"/>
    <w:rsid w:val="00115AEE"/>
    <w:rsid w:val="001174DF"/>
    <w:rsid w:val="0013013E"/>
    <w:rsid w:val="0013386C"/>
    <w:rsid w:val="001375FF"/>
    <w:rsid w:val="0014265D"/>
    <w:rsid w:val="00153B95"/>
    <w:rsid w:val="00157E4D"/>
    <w:rsid w:val="00163AE4"/>
    <w:rsid w:val="00163E0F"/>
    <w:rsid w:val="0016490E"/>
    <w:rsid w:val="00164AB7"/>
    <w:rsid w:val="00167305"/>
    <w:rsid w:val="00170B6A"/>
    <w:rsid w:val="001738B5"/>
    <w:rsid w:val="001771A8"/>
    <w:rsid w:val="001855FB"/>
    <w:rsid w:val="00195975"/>
    <w:rsid w:val="001B4D7B"/>
    <w:rsid w:val="001B6964"/>
    <w:rsid w:val="001B6D92"/>
    <w:rsid w:val="001C086B"/>
    <w:rsid w:val="001C6418"/>
    <w:rsid w:val="001D38A6"/>
    <w:rsid w:val="001D79A4"/>
    <w:rsid w:val="001E18CE"/>
    <w:rsid w:val="001F5277"/>
    <w:rsid w:val="00200E14"/>
    <w:rsid w:val="0020354A"/>
    <w:rsid w:val="002041B4"/>
    <w:rsid w:val="0020450C"/>
    <w:rsid w:val="0021101C"/>
    <w:rsid w:val="00216634"/>
    <w:rsid w:val="00220BAC"/>
    <w:rsid w:val="00220C82"/>
    <w:rsid w:val="00224B07"/>
    <w:rsid w:val="0023284F"/>
    <w:rsid w:val="00232A00"/>
    <w:rsid w:val="002346A0"/>
    <w:rsid w:val="0023574F"/>
    <w:rsid w:val="002531C8"/>
    <w:rsid w:val="00253F34"/>
    <w:rsid w:val="002542EC"/>
    <w:rsid w:val="0025518D"/>
    <w:rsid w:val="002560C5"/>
    <w:rsid w:val="00266DE2"/>
    <w:rsid w:val="002742FC"/>
    <w:rsid w:val="002748FA"/>
    <w:rsid w:val="002764D9"/>
    <w:rsid w:val="00280017"/>
    <w:rsid w:val="0028143E"/>
    <w:rsid w:val="002818FF"/>
    <w:rsid w:val="00290D7A"/>
    <w:rsid w:val="00292709"/>
    <w:rsid w:val="00295501"/>
    <w:rsid w:val="0029754D"/>
    <w:rsid w:val="00297B7A"/>
    <w:rsid w:val="002A3C46"/>
    <w:rsid w:val="002B6526"/>
    <w:rsid w:val="002B6A35"/>
    <w:rsid w:val="002B6EEE"/>
    <w:rsid w:val="002B7674"/>
    <w:rsid w:val="002C55C9"/>
    <w:rsid w:val="002C660D"/>
    <w:rsid w:val="002D53E8"/>
    <w:rsid w:val="002E6BD8"/>
    <w:rsid w:val="002F1237"/>
    <w:rsid w:val="002F3B33"/>
    <w:rsid w:val="002F53E3"/>
    <w:rsid w:val="002F58E5"/>
    <w:rsid w:val="00302F04"/>
    <w:rsid w:val="00303382"/>
    <w:rsid w:val="00305747"/>
    <w:rsid w:val="003070D2"/>
    <w:rsid w:val="003167A3"/>
    <w:rsid w:val="003170E5"/>
    <w:rsid w:val="0032206F"/>
    <w:rsid w:val="00322206"/>
    <w:rsid w:val="00322F89"/>
    <w:rsid w:val="00325B34"/>
    <w:rsid w:val="003278AB"/>
    <w:rsid w:val="00330F2E"/>
    <w:rsid w:val="003362BF"/>
    <w:rsid w:val="0033659A"/>
    <w:rsid w:val="00343701"/>
    <w:rsid w:val="00346795"/>
    <w:rsid w:val="003565EC"/>
    <w:rsid w:val="00356F83"/>
    <w:rsid w:val="00360BF7"/>
    <w:rsid w:val="00362E09"/>
    <w:rsid w:val="003651B9"/>
    <w:rsid w:val="00365A74"/>
    <w:rsid w:val="0037366C"/>
    <w:rsid w:val="003740FF"/>
    <w:rsid w:val="00381215"/>
    <w:rsid w:val="00383DD3"/>
    <w:rsid w:val="003A3015"/>
    <w:rsid w:val="003A5648"/>
    <w:rsid w:val="003A706B"/>
    <w:rsid w:val="003C39F0"/>
    <w:rsid w:val="003C5384"/>
    <w:rsid w:val="003D06F8"/>
    <w:rsid w:val="003D19A6"/>
    <w:rsid w:val="003E3A65"/>
    <w:rsid w:val="003E4B9B"/>
    <w:rsid w:val="003E60AA"/>
    <w:rsid w:val="003F2B0D"/>
    <w:rsid w:val="003F6917"/>
    <w:rsid w:val="003F6CCB"/>
    <w:rsid w:val="00401769"/>
    <w:rsid w:val="00402F09"/>
    <w:rsid w:val="00403068"/>
    <w:rsid w:val="00411AC3"/>
    <w:rsid w:val="00413F9D"/>
    <w:rsid w:val="0042350D"/>
    <w:rsid w:val="004256AF"/>
    <w:rsid w:val="00426138"/>
    <w:rsid w:val="004335C7"/>
    <w:rsid w:val="00443CC9"/>
    <w:rsid w:val="0046027A"/>
    <w:rsid w:val="00464EF9"/>
    <w:rsid w:val="00467D8F"/>
    <w:rsid w:val="00472014"/>
    <w:rsid w:val="004772C3"/>
    <w:rsid w:val="00487FF9"/>
    <w:rsid w:val="00490D17"/>
    <w:rsid w:val="00495AA8"/>
    <w:rsid w:val="00495AAF"/>
    <w:rsid w:val="00496DAB"/>
    <w:rsid w:val="004A0F72"/>
    <w:rsid w:val="004A5E00"/>
    <w:rsid w:val="004B2711"/>
    <w:rsid w:val="004B7BB0"/>
    <w:rsid w:val="004B7F9C"/>
    <w:rsid w:val="004C60E9"/>
    <w:rsid w:val="004C6EB0"/>
    <w:rsid w:val="004C7C86"/>
    <w:rsid w:val="004D09EE"/>
    <w:rsid w:val="004D0D0D"/>
    <w:rsid w:val="004D48AE"/>
    <w:rsid w:val="004D4E41"/>
    <w:rsid w:val="004D4F4A"/>
    <w:rsid w:val="004D7034"/>
    <w:rsid w:val="004D7D35"/>
    <w:rsid w:val="004E0998"/>
    <w:rsid w:val="004E6272"/>
    <w:rsid w:val="004F3112"/>
    <w:rsid w:val="005010DF"/>
    <w:rsid w:val="00501C1E"/>
    <w:rsid w:val="0050572B"/>
    <w:rsid w:val="00512473"/>
    <w:rsid w:val="00520934"/>
    <w:rsid w:val="005238DD"/>
    <w:rsid w:val="005275F6"/>
    <w:rsid w:val="00531ED0"/>
    <w:rsid w:val="00533F0C"/>
    <w:rsid w:val="0053616E"/>
    <w:rsid w:val="00536AE9"/>
    <w:rsid w:val="005373CC"/>
    <w:rsid w:val="00540000"/>
    <w:rsid w:val="005422FC"/>
    <w:rsid w:val="00543754"/>
    <w:rsid w:val="00544431"/>
    <w:rsid w:val="005446FF"/>
    <w:rsid w:val="00545E7F"/>
    <w:rsid w:val="005466B5"/>
    <w:rsid w:val="00552950"/>
    <w:rsid w:val="00556650"/>
    <w:rsid w:val="00567D4F"/>
    <w:rsid w:val="005716D5"/>
    <w:rsid w:val="005724C5"/>
    <w:rsid w:val="005837CF"/>
    <w:rsid w:val="005854A5"/>
    <w:rsid w:val="00587C02"/>
    <w:rsid w:val="005905AC"/>
    <w:rsid w:val="00597170"/>
    <w:rsid w:val="005A2E6C"/>
    <w:rsid w:val="005A5BD0"/>
    <w:rsid w:val="005B0E63"/>
    <w:rsid w:val="005B42FE"/>
    <w:rsid w:val="005B4E9F"/>
    <w:rsid w:val="005C321A"/>
    <w:rsid w:val="005C5CDE"/>
    <w:rsid w:val="005D1314"/>
    <w:rsid w:val="005D3AD8"/>
    <w:rsid w:val="005E2D19"/>
    <w:rsid w:val="005F02CB"/>
    <w:rsid w:val="005F6690"/>
    <w:rsid w:val="00613679"/>
    <w:rsid w:val="006210F0"/>
    <w:rsid w:val="0062174F"/>
    <w:rsid w:val="00623DC6"/>
    <w:rsid w:val="006243A5"/>
    <w:rsid w:val="00632DB0"/>
    <w:rsid w:val="006374ED"/>
    <w:rsid w:val="0064008F"/>
    <w:rsid w:val="00641E39"/>
    <w:rsid w:val="0064278E"/>
    <w:rsid w:val="00644CEE"/>
    <w:rsid w:val="00646FD5"/>
    <w:rsid w:val="00647C91"/>
    <w:rsid w:val="00652764"/>
    <w:rsid w:val="006616D3"/>
    <w:rsid w:val="0066557F"/>
    <w:rsid w:val="00665C95"/>
    <w:rsid w:val="00677A70"/>
    <w:rsid w:val="0068618D"/>
    <w:rsid w:val="006872A4"/>
    <w:rsid w:val="006903E5"/>
    <w:rsid w:val="00690ADF"/>
    <w:rsid w:val="00695B3B"/>
    <w:rsid w:val="006A19B7"/>
    <w:rsid w:val="006A2FAA"/>
    <w:rsid w:val="006A4A17"/>
    <w:rsid w:val="006A5F27"/>
    <w:rsid w:val="006A6ED3"/>
    <w:rsid w:val="006B33B4"/>
    <w:rsid w:val="006B5B8E"/>
    <w:rsid w:val="006B70FC"/>
    <w:rsid w:val="006B7FC4"/>
    <w:rsid w:val="006C3185"/>
    <w:rsid w:val="006C4059"/>
    <w:rsid w:val="006C460B"/>
    <w:rsid w:val="006C7A73"/>
    <w:rsid w:val="006D07B6"/>
    <w:rsid w:val="006D0F53"/>
    <w:rsid w:val="006D1E2C"/>
    <w:rsid w:val="006D73BA"/>
    <w:rsid w:val="006D7F48"/>
    <w:rsid w:val="006E1871"/>
    <w:rsid w:val="006E2E24"/>
    <w:rsid w:val="006F2A9A"/>
    <w:rsid w:val="006F2CD2"/>
    <w:rsid w:val="006F5811"/>
    <w:rsid w:val="0070129C"/>
    <w:rsid w:val="007012BE"/>
    <w:rsid w:val="0070327C"/>
    <w:rsid w:val="0070440F"/>
    <w:rsid w:val="00704428"/>
    <w:rsid w:val="007119D9"/>
    <w:rsid w:val="00714D30"/>
    <w:rsid w:val="00717DBB"/>
    <w:rsid w:val="007222B1"/>
    <w:rsid w:val="00725F4D"/>
    <w:rsid w:val="007318C3"/>
    <w:rsid w:val="00743D03"/>
    <w:rsid w:val="00752224"/>
    <w:rsid w:val="00762291"/>
    <w:rsid w:val="00766979"/>
    <w:rsid w:val="00767BD7"/>
    <w:rsid w:val="0077029D"/>
    <w:rsid w:val="00771B37"/>
    <w:rsid w:val="0077209E"/>
    <w:rsid w:val="00772CC3"/>
    <w:rsid w:val="00773214"/>
    <w:rsid w:val="0078275E"/>
    <w:rsid w:val="00787A24"/>
    <w:rsid w:val="007931BA"/>
    <w:rsid w:val="00796D87"/>
    <w:rsid w:val="00797591"/>
    <w:rsid w:val="00797EED"/>
    <w:rsid w:val="007B0254"/>
    <w:rsid w:val="007B52A0"/>
    <w:rsid w:val="007B73F4"/>
    <w:rsid w:val="007C7A31"/>
    <w:rsid w:val="007D1DF6"/>
    <w:rsid w:val="007D1F1A"/>
    <w:rsid w:val="007D2452"/>
    <w:rsid w:val="007D3411"/>
    <w:rsid w:val="007E5A21"/>
    <w:rsid w:val="007F6221"/>
    <w:rsid w:val="007F73CB"/>
    <w:rsid w:val="007F7B65"/>
    <w:rsid w:val="00800107"/>
    <w:rsid w:val="0080595C"/>
    <w:rsid w:val="008121AF"/>
    <w:rsid w:val="008131D9"/>
    <w:rsid w:val="00815F62"/>
    <w:rsid w:val="00817C12"/>
    <w:rsid w:val="00830181"/>
    <w:rsid w:val="00831977"/>
    <w:rsid w:val="008354F5"/>
    <w:rsid w:val="00835758"/>
    <w:rsid w:val="00840B51"/>
    <w:rsid w:val="00864F7A"/>
    <w:rsid w:val="008652FD"/>
    <w:rsid w:val="008732ED"/>
    <w:rsid w:val="00877B0A"/>
    <w:rsid w:val="00885423"/>
    <w:rsid w:val="00890672"/>
    <w:rsid w:val="008939C3"/>
    <w:rsid w:val="00895400"/>
    <w:rsid w:val="008A0BF3"/>
    <w:rsid w:val="008A4269"/>
    <w:rsid w:val="008A5910"/>
    <w:rsid w:val="008B021E"/>
    <w:rsid w:val="008B0DA0"/>
    <w:rsid w:val="008C2CFC"/>
    <w:rsid w:val="008C4D10"/>
    <w:rsid w:val="008D1B12"/>
    <w:rsid w:val="008E325D"/>
    <w:rsid w:val="008E4151"/>
    <w:rsid w:val="008F3DD9"/>
    <w:rsid w:val="00901465"/>
    <w:rsid w:val="009032E5"/>
    <w:rsid w:val="00905BA1"/>
    <w:rsid w:val="00906C72"/>
    <w:rsid w:val="0091595A"/>
    <w:rsid w:val="00922F7B"/>
    <w:rsid w:val="00923A4E"/>
    <w:rsid w:val="00933B2F"/>
    <w:rsid w:val="0093651C"/>
    <w:rsid w:val="00936F8A"/>
    <w:rsid w:val="009405BF"/>
    <w:rsid w:val="00943EDB"/>
    <w:rsid w:val="009523F5"/>
    <w:rsid w:val="00952444"/>
    <w:rsid w:val="009544D7"/>
    <w:rsid w:val="009550FA"/>
    <w:rsid w:val="009577AE"/>
    <w:rsid w:val="00961153"/>
    <w:rsid w:val="00961551"/>
    <w:rsid w:val="009625A6"/>
    <w:rsid w:val="00966EEE"/>
    <w:rsid w:val="009807F9"/>
    <w:rsid w:val="009812D9"/>
    <w:rsid w:val="00981645"/>
    <w:rsid w:val="00981659"/>
    <w:rsid w:val="0098337D"/>
    <w:rsid w:val="0098459C"/>
    <w:rsid w:val="009846D7"/>
    <w:rsid w:val="00994148"/>
    <w:rsid w:val="00994FF1"/>
    <w:rsid w:val="00995703"/>
    <w:rsid w:val="009A057E"/>
    <w:rsid w:val="009B3C76"/>
    <w:rsid w:val="009B71FF"/>
    <w:rsid w:val="009D019F"/>
    <w:rsid w:val="009D14A3"/>
    <w:rsid w:val="009D4369"/>
    <w:rsid w:val="009D4C98"/>
    <w:rsid w:val="009E24C5"/>
    <w:rsid w:val="009E32A0"/>
    <w:rsid w:val="009E404D"/>
    <w:rsid w:val="009E49C6"/>
    <w:rsid w:val="009E574A"/>
    <w:rsid w:val="009E7414"/>
    <w:rsid w:val="009E745A"/>
    <w:rsid w:val="009F2092"/>
    <w:rsid w:val="009F303C"/>
    <w:rsid w:val="009F44FE"/>
    <w:rsid w:val="009F7633"/>
    <w:rsid w:val="00A04731"/>
    <w:rsid w:val="00A07C18"/>
    <w:rsid w:val="00A1234C"/>
    <w:rsid w:val="00A14158"/>
    <w:rsid w:val="00A14B19"/>
    <w:rsid w:val="00A169C7"/>
    <w:rsid w:val="00A16B6F"/>
    <w:rsid w:val="00A179FE"/>
    <w:rsid w:val="00A52FAF"/>
    <w:rsid w:val="00A559F6"/>
    <w:rsid w:val="00A63A45"/>
    <w:rsid w:val="00A71954"/>
    <w:rsid w:val="00A73CC0"/>
    <w:rsid w:val="00A75726"/>
    <w:rsid w:val="00A81B9D"/>
    <w:rsid w:val="00A91705"/>
    <w:rsid w:val="00A91720"/>
    <w:rsid w:val="00A942A5"/>
    <w:rsid w:val="00A96BAE"/>
    <w:rsid w:val="00A96D56"/>
    <w:rsid w:val="00AA5513"/>
    <w:rsid w:val="00AC1465"/>
    <w:rsid w:val="00AC2B9A"/>
    <w:rsid w:val="00AD0E37"/>
    <w:rsid w:val="00AE151C"/>
    <w:rsid w:val="00AE159D"/>
    <w:rsid w:val="00AE47F9"/>
    <w:rsid w:val="00AE7319"/>
    <w:rsid w:val="00AF0834"/>
    <w:rsid w:val="00AF19D2"/>
    <w:rsid w:val="00AF3DBE"/>
    <w:rsid w:val="00AF5E0B"/>
    <w:rsid w:val="00B03B42"/>
    <w:rsid w:val="00B04FD8"/>
    <w:rsid w:val="00B14A47"/>
    <w:rsid w:val="00B16EE2"/>
    <w:rsid w:val="00B2791A"/>
    <w:rsid w:val="00B32134"/>
    <w:rsid w:val="00B37B91"/>
    <w:rsid w:val="00B41D09"/>
    <w:rsid w:val="00B42745"/>
    <w:rsid w:val="00B43427"/>
    <w:rsid w:val="00B45732"/>
    <w:rsid w:val="00B634B5"/>
    <w:rsid w:val="00B65CAD"/>
    <w:rsid w:val="00B66A80"/>
    <w:rsid w:val="00B70369"/>
    <w:rsid w:val="00B733AD"/>
    <w:rsid w:val="00B8294E"/>
    <w:rsid w:val="00B83BA9"/>
    <w:rsid w:val="00B85332"/>
    <w:rsid w:val="00B933A7"/>
    <w:rsid w:val="00B966D6"/>
    <w:rsid w:val="00BA7704"/>
    <w:rsid w:val="00BB3C10"/>
    <w:rsid w:val="00BB613D"/>
    <w:rsid w:val="00BB74F3"/>
    <w:rsid w:val="00BC1519"/>
    <w:rsid w:val="00BC1748"/>
    <w:rsid w:val="00BC2489"/>
    <w:rsid w:val="00BC4DF7"/>
    <w:rsid w:val="00BC6AE9"/>
    <w:rsid w:val="00BD0BA7"/>
    <w:rsid w:val="00BD2617"/>
    <w:rsid w:val="00BD2BE7"/>
    <w:rsid w:val="00BD6BA7"/>
    <w:rsid w:val="00BE7239"/>
    <w:rsid w:val="00BF1DC1"/>
    <w:rsid w:val="00BF207F"/>
    <w:rsid w:val="00BF22B8"/>
    <w:rsid w:val="00BF4D52"/>
    <w:rsid w:val="00BF7DD8"/>
    <w:rsid w:val="00C06405"/>
    <w:rsid w:val="00C1080D"/>
    <w:rsid w:val="00C23785"/>
    <w:rsid w:val="00C2428D"/>
    <w:rsid w:val="00C263A6"/>
    <w:rsid w:val="00C2652D"/>
    <w:rsid w:val="00C32CB8"/>
    <w:rsid w:val="00C32E53"/>
    <w:rsid w:val="00C3333A"/>
    <w:rsid w:val="00C3692F"/>
    <w:rsid w:val="00C37729"/>
    <w:rsid w:val="00C37C3B"/>
    <w:rsid w:val="00C4004D"/>
    <w:rsid w:val="00C403B8"/>
    <w:rsid w:val="00C45CA1"/>
    <w:rsid w:val="00C45DB3"/>
    <w:rsid w:val="00C46A95"/>
    <w:rsid w:val="00C61E35"/>
    <w:rsid w:val="00C70FAD"/>
    <w:rsid w:val="00C71B3E"/>
    <w:rsid w:val="00C71C96"/>
    <w:rsid w:val="00C73A9F"/>
    <w:rsid w:val="00C82CF5"/>
    <w:rsid w:val="00C82DE0"/>
    <w:rsid w:val="00C8580C"/>
    <w:rsid w:val="00C870AC"/>
    <w:rsid w:val="00C9735F"/>
    <w:rsid w:val="00CA54E0"/>
    <w:rsid w:val="00CB2D2A"/>
    <w:rsid w:val="00CB466D"/>
    <w:rsid w:val="00CC0A18"/>
    <w:rsid w:val="00CC2F34"/>
    <w:rsid w:val="00CC6CB8"/>
    <w:rsid w:val="00CC71BF"/>
    <w:rsid w:val="00CC7464"/>
    <w:rsid w:val="00CD0E06"/>
    <w:rsid w:val="00CD1A5B"/>
    <w:rsid w:val="00CD4FE7"/>
    <w:rsid w:val="00CD68F3"/>
    <w:rsid w:val="00CE1E85"/>
    <w:rsid w:val="00CE29D9"/>
    <w:rsid w:val="00CE536B"/>
    <w:rsid w:val="00CE61BF"/>
    <w:rsid w:val="00CF1AEA"/>
    <w:rsid w:val="00CF7D86"/>
    <w:rsid w:val="00D02F10"/>
    <w:rsid w:val="00D0422C"/>
    <w:rsid w:val="00D0724C"/>
    <w:rsid w:val="00D076CB"/>
    <w:rsid w:val="00D07E55"/>
    <w:rsid w:val="00D10785"/>
    <w:rsid w:val="00D14B87"/>
    <w:rsid w:val="00D179C7"/>
    <w:rsid w:val="00D211C1"/>
    <w:rsid w:val="00D21A82"/>
    <w:rsid w:val="00D25D63"/>
    <w:rsid w:val="00D31B0E"/>
    <w:rsid w:val="00D33DB3"/>
    <w:rsid w:val="00D52F1C"/>
    <w:rsid w:val="00D56F3F"/>
    <w:rsid w:val="00D707AA"/>
    <w:rsid w:val="00D7313C"/>
    <w:rsid w:val="00D741BC"/>
    <w:rsid w:val="00D77876"/>
    <w:rsid w:val="00D77CF9"/>
    <w:rsid w:val="00D8699E"/>
    <w:rsid w:val="00D93CD5"/>
    <w:rsid w:val="00D9540A"/>
    <w:rsid w:val="00DA1901"/>
    <w:rsid w:val="00DA26BA"/>
    <w:rsid w:val="00DA4CDC"/>
    <w:rsid w:val="00DB0F20"/>
    <w:rsid w:val="00DB4980"/>
    <w:rsid w:val="00DB7098"/>
    <w:rsid w:val="00DC36C4"/>
    <w:rsid w:val="00DC424F"/>
    <w:rsid w:val="00DC4430"/>
    <w:rsid w:val="00DC4782"/>
    <w:rsid w:val="00DD2C29"/>
    <w:rsid w:val="00DD2EA0"/>
    <w:rsid w:val="00DD3D01"/>
    <w:rsid w:val="00DD3D58"/>
    <w:rsid w:val="00DD4B53"/>
    <w:rsid w:val="00DE1556"/>
    <w:rsid w:val="00DE675B"/>
    <w:rsid w:val="00DE7E17"/>
    <w:rsid w:val="00DF336F"/>
    <w:rsid w:val="00E025C7"/>
    <w:rsid w:val="00E11D40"/>
    <w:rsid w:val="00E21655"/>
    <w:rsid w:val="00E22A81"/>
    <w:rsid w:val="00E26ADA"/>
    <w:rsid w:val="00E363A1"/>
    <w:rsid w:val="00E53904"/>
    <w:rsid w:val="00E57841"/>
    <w:rsid w:val="00E61EB8"/>
    <w:rsid w:val="00E62578"/>
    <w:rsid w:val="00E62F83"/>
    <w:rsid w:val="00E70BAF"/>
    <w:rsid w:val="00E71360"/>
    <w:rsid w:val="00E73A6D"/>
    <w:rsid w:val="00E742B7"/>
    <w:rsid w:val="00E75F22"/>
    <w:rsid w:val="00E76AD3"/>
    <w:rsid w:val="00E81320"/>
    <w:rsid w:val="00E83D1A"/>
    <w:rsid w:val="00E87EAA"/>
    <w:rsid w:val="00EA1487"/>
    <w:rsid w:val="00EA1762"/>
    <w:rsid w:val="00EA1B36"/>
    <w:rsid w:val="00EA36BC"/>
    <w:rsid w:val="00EA6752"/>
    <w:rsid w:val="00EA72E7"/>
    <w:rsid w:val="00EB2082"/>
    <w:rsid w:val="00EB306C"/>
    <w:rsid w:val="00EB5769"/>
    <w:rsid w:val="00EB652A"/>
    <w:rsid w:val="00EC0023"/>
    <w:rsid w:val="00EC0444"/>
    <w:rsid w:val="00EC087A"/>
    <w:rsid w:val="00EC4A15"/>
    <w:rsid w:val="00EC6527"/>
    <w:rsid w:val="00ED0A51"/>
    <w:rsid w:val="00ED42BE"/>
    <w:rsid w:val="00ED5396"/>
    <w:rsid w:val="00ED57AB"/>
    <w:rsid w:val="00EE1328"/>
    <w:rsid w:val="00EE2C93"/>
    <w:rsid w:val="00EE4959"/>
    <w:rsid w:val="00EE7780"/>
    <w:rsid w:val="00EF34C4"/>
    <w:rsid w:val="00F03D55"/>
    <w:rsid w:val="00F1078E"/>
    <w:rsid w:val="00F13E8F"/>
    <w:rsid w:val="00F16CE3"/>
    <w:rsid w:val="00F21756"/>
    <w:rsid w:val="00F26A6E"/>
    <w:rsid w:val="00F2716A"/>
    <w:rsid w:val="00F27E09"/>
    <w:rsid w:val="00F31695"/>
    <w:rsid w:val="00F32D1B"/>
    <w:rsid w:val="00F35D0A"/>
    <w:rsid w:val="00F41F23"/>
    <w:rsid w:val="00F424DD"/>
    <w:rsid w:val="00F439A2"/>
    <w:rsid w:val="00F4662D"/>
    <w:rsid w:val="00F47CF2"/>
    <w:rsid w:val="00F531E9"/>
    <w:rsid w:val="00F540B8"/>
    <w:rsid w:val="00F57950"/>
    <w:rsid w:val="00F66E6D"/>
    <w:rsid w:val="00F71B9F"/>
    <w:rsid w:val="00F81877"/>
    <w:rsid w:val="00F8468A"/>
    <w:rsid w:val="00F909C3"/>
    <w:rsid w:val="00F9129D"/>
    <w:rsid w:val="00F93CE7"/>
    <w:rsid w:val="00F9440D"/>
    <w:rsid w:val="00F96160"/>
    <w:rsid w:val="00FA1D43"/>
    <w:rsid w:val="00FA55B5"/>
    <w:rsid w:val="00FA7C33"/>
    <w:rsid w:val="00FB1B84"/>
    <w:rsid w:val="00FB7284"/>
    <w:rsid w:val="00FC2737"/>
    <w:rsid w:val="00FC2C92"/>
    <w:rsid w:val="00FC5365"/>
    <w:rsid w:val="00FD0CD7"/>
    <w:rsid w:val="00FD4584"/>
    <w:rsid w:val="00FD6C68"/>
    <w:rsid w:val="00FE1549"/>
    <w:rsid w:val="00FE7544"/>
    <w:rsid w:val="00FF0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B0C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6"/>
        <w:szCs w:val="26"/>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1C8"/>
  </w:style>
  <w:style w:type="paragraph" w:styleId="Heading1">
    <w:name w:val="heading 1"/>
    <w:basedOn w:val="Normal"/>
    <w:next w:val="Normal"/>
    <w:link w:val="Heading1Char"/>
    <w:uiPriority w:val="9"/>
    <w:qFormat/>
    <w:rsid w:val="000059C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059C0"/>
    <w:pPr>
      <w:keepNext/>
      <w:keepLines/>
      <w:spacing w:before="40"/>
      <w:outlineLvl w:val="1"/>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795"/>
    <w:pPr>
      <w:tabs>
        <w:tab w:val="center" w:pos="4680"/>
        <w:tab w:val="right" w:pos="9360"/>
      </w:tabs>
      <w:spacing w:line="240" w:lineRule="auto"/>
    </w:pPr>
  </w:style>
  <w:style w:type="character" w:customStyle="1" w:styleId="HeaderChar">
    <w:name w:val="Header Char"/>
    <w:basedOn w:val="DefaultParagraphFont"/>
    <w:link w:val="Header"/>
    <w:uiPriority w:val="99"/>
    <w:rsid w:val="00346795"/>
  </w:style>
  <w:style w:type="paragraph" w:styleId="Footer">
    <w:name w:val="footer"/>
    <w:basedOn w:val="Normal"/>
    <w:link w:val="FooterChar"/>
    <w:uiPriority w:val="99"/>
    <w:unhideWhenUsed/>
    <w:rsid w:val="00346795"/>
    <w:pPr>
      <w:tabs>
        <w:tab w:val="center" w:pos="4680"/>
        <w:tab w:val="right" w:pos="9360"/>
      </w:tabs>
      <w:spacing w:line="240" w:lineRule="auto"/>
    </w:pPr>
  </w:style>
  <w:style w:type="character" w:customStyle="1" w:styleId="FooterChar">
    <w:name w:val="Footer Char"/>
    <w:basedOn w:val="DefaultParagraphFont"/>
    <w:link w:val="Footer"/>
    <w:uiPriority w:val="99"/>
    <w:rsid w:val="00346795"/>
  </w:style>
  <w:style w:type="character" w:styleId="FootnoteReference">
    <w:name w:val="footnote reference"/>
    <w:basedOn w:val="DefaultParagraphFont"/>
    <w:uiPriority w:val="99"/>
    <w:semiHidden/>
    <w:unhideWhenUsed/>
    <w:rsid w:val="00C70FAD"/>
    <w:rPr>
      <w:rFonts w:ascii="Century Schoolbook" w:hAnsi="Century Schoolbook"/>
      <w:position w:val="6"/>
      <w:sz w:val="26"/>
      <w:vertAlign w:val="baseline"/>
    </w:rPr>
  </w:style>
  <w:style w:type="paragraph" w:styleId="FootnoteText">
    <w:name w:val="footnote text"/>
    <w:link w:val="FootnoteTextChar"/>
    <w:uiPriority w:val="99"/>
    <w:unhideWhenUsed/>
    <w:rsid w:val="00346795"/>
    <w:pPr>
      <w:spacing w:line="240" w:lineRule="auto"/>
    </w:pPr>
    <w:rPr>
      <w:szCs w:val="20"/>
    </w:rPr>
  </w:style>
  <w:style w:type="character" w:customStyle="1" w:styleId="FootnoteTextChar">
    <w:name w:val="Footnote Text Char"/>
    <w:basedOn w:val="DefaultParagraphFont"/>
    <w:link w:val="FootnoteText"/>
    <w:uiPriority w:val="99"/>
    <w:rsid w:val="00346795"/>
    <w:rPr>
      <w:szCs w:val="20"/>
    </w:rPr>
  </w:style>
  <w:style w:type="paragraph" w:customStyle="1" w:styleId="IndentedQuote">
    <w:name w:val="IndentedQuote"/>
    <w:basedOn w:val="Normal"/>
    <w:link w:val="IndentedQuoteChar"/>
    <w:rsid w:val="00487FF9"/>
    <w:pPr>
      <w:spacing w:line="240" w:lineRule="auto"/>
      <w:ind w:left="1080" w:right="1080"/>
    </w:pPr>
  </w:style>
  <w:style w:type="character" w:customStyle="1" w:styleId="IndentedQuoteChar">
    <w:name w:val="IndentedQuote Char"/>
    <w:basedOn w:val="DefaultParagraphFont"/>
    <w:link w:val="IndentedQuote"/>
    <w:rsid w:val="00487FF9"/>
  </w:style>
  <w:style w:type="paragraph" w:styleId="ListParagraph">
    <w:name w:val="List Paragraph"/>
    <w:basedOn w:val="Normal"/>
    <w:uiPriority w:val="34"/>
    <w:qFormat/>
    <w:rsid w:val="00752224"/>
    <w:pPr>
      <w:ind w:left="720"/>
      <w:contextualSpacing/>
    </w:pPr>
  </w:style>
  <w:style w:type="character" w:styleId="Hyperlink">
    <w:name w:val="Hyperlink"/>
    <w:basedOn w:val="DefaultParagraphFont"/>
    <w:uiPriority w:val="99"/>
    <w:unhideWhenUsed/>
    <w:rsid w:val="00B42745"/>
    <w:rPr>
      <w:color w:val="0000FF" w:themeColor="hyperlink"/>
      <w:u w:val="single"/>
    </w:rPr>
  </w:style>
  <w:style w:type="character" w:styleId="UnresolvedMention">
    <w:name w:val="Unresolved Mention"/>
    <w:basedOn w:val="DefaultParagraphFont"/>
    <w:uiPriority w:val="99"/>
    <w:semiHidden/>
    <w:unhideWhenUsed/>
    <w:rsid w:val="00B42745"/>
    <w:rPr>
      <w:color w:val="605E5C"/>
      <w:shd w:val="clear" w:color="auto" w:fill="E1DFDD"/>
    </w:rPr>
  </w:style>
  <w:style w:type="character" w:styleId="CommentReference">
    <w:name w:val="annotation reference"/>
    <w:basedOn w:val="DefaultParagraphFont"/>
    <w:uiPriority w:val="99"/>
    <w:semiHidden/>
    <w:unhideWhenUsed/>
    <w:rsid w:val="001771A8"/>
    <w:rPr>
      <w:sz w:val="16"/>
      <w:szCs w:val="16"/>
    </w:rPr>
  </w:style>
  <w:style w:type="paragraph" w:styleId="CommentText">
    <w:name w:val="annotation text"/>
    <w:basedOn w:val="Normal"/>
    <w:link w:val="CommentTextChar"/>
    <w:uiPriority w:val="99"/>
    <w:semiHidden/>
    <w:unhideWhenUsed/>
    <w:rsid w:val="001771A8"/>
    <w:pPr>
      <w:spacing w:line="240" w:lineRule="auto"/>
    </w:pPr>
    <w:rPr>
      <w:sz w:val="20"/>
      <w:szCs w:val="20"/>
    </w:rPr>
  </w:style>
  <w:style w:type="character" w:customStyle="1" w:styleId="CommentTextChar">
    <w:name w:val="Comment Text Char"/>
    <w:basedOn w:val="DefaultParagraphFont"/>
    <w:link w:val="CommentText"/>
    <w:uiPriority w:val="99"/>
    <w:semiHidden/>
    <w:rsid w:val="001771A8"/>
    <w:rPr>
      <w:sz w:val="20"/>
      <w:szCs w:val="20"/>
    </w:rPr>
  </w:style>
  <w:style w:type="paragraph" w:styleId="CommentSubject">
    <w:name w:val="annotation subject"/>
    <w:basedOn w:val="CommentText"/>
    <w:next w:val="CommentText"/>
    <w:link w:val="CommentSubjectChar"/>
    <w:uiPriority w:val="99"/>
    <w:semiHidden/>
    <w:unhideWhenUsed/>
    <w:rsid w:val="001771A8"/>
    <w:rPr>
      <w:b/>
      <w:bCs/>
    </w:rPr>
  </w:style>
  <w:style w:type="character" w:customStyle="1" w:styleId="CommentSubjectChar">
    <w:name w:val="Comment Subject Char"/>
    <w:basedOn w:val="CommentTextChar"/>
    <w:link w:val="CommentSubject"/>
    <w:uiPriority w:val="99"/>
    <w:semiHidden/>
    <w:rsid w:val="001771A8"/>
    <w:rPr>
      <w:b/>
      <w:bCs/>
      <w:sz w:val="20"/>
      <w:szCs w:val="20"/>
    </w:rPr>
  </w:style>
  <w:style w:type="table" w:styleId="TableGrid">
    <w:name w:val="Table Grid"/>
    <w:basedOn w:val="TableNormal"/>
    <w:uiPriority w:val="39"/>
    <w:rsid w:val="00BD2617"/>
    <w:pPr>
      <w:spacing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31B0E"/>
    <w:pPr>
      <w:spacing w:line="240" w:lineRule="auto"/>
    </w:pPr>
  </w:style>
  <w:style w:type="character" w:customStyle="1" w:styleId="Heading1Char">
    <w:name w:val="Heading 1 Char"/>
    <w:basedOn w:val="DefaultParagraphFont"/>
    <w:link w:val="Heading1"/>
    <w:uiPriority w:val="9"/>
    <w:rsid w:val="000059C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059C0"/>
    <w:rPr>
      <w:rFonts w:asciiTheme="majorHAnsi" w:eastAsiaTheme="majorEastAsia" w:hAnsiTheme="majorHAnsi" w:cstheme="majorBidi"/>
      <w:color w:val="365F91" w:themeColor="accent1" w:themeShade="BF"/>
    </w:rPr>
  </w:style>
  <w:style w:type="paragraph" w:styleId="Revision">
    <w:name w:val="Revision"/>
    <w:hidden/>
    <w:uiPriority w:val="99"/>
    <w:semiHidden/>
    <w:rsid w:val="00533F0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33135">
      <w:bodyDiv w:val="1"/>
      <w:marLeft w:val="0"/>
      <w:marRight w:val="0"/>
      <w:marTop w:val="0"/>
      <w:marBottom w:val="0"/>
      <w:divBdr>
        <w:top w:val="none" w:sz="0" w:space="0" w:color="auto"/>
        <w:left w:val="none" w:sz="0" w:space="0" w:color="auto"/>
        <w:bottom w:val="none" w:sz="0" w:space="0" w:color="auto"/>
        <w:right w:val="none" w:sz="0" w:space="0" w:color="auto"/>
      </w:divBdr>
      <w:divsChild>
        <w:div w:id="2014405756">
          <w:marLeft w:val="0"/>
          <w:marRight w:val="0"/>
          <w:marTop w:val="0"/>
          <w:marBottom w:val="0"/>
          <w:divBdr>
            <w:top w:val="none" w:sz="0" w:space="0" w:color="auto"/>
            <w:left w:val="none" w:sz="0" w:space="0" w:color="auto"/>
            <w:bottom w:val="none" w:sz="0" w:space="0" w:color="auto"/>
            <w:right w:val="none" w:sz="0" w:space="0" w:color="auto"/>
          </w:divBdr>
        </w:div>
      </w:divsChild>
    </w:div>
    <w:div w:id="205022067">
      <w:bodyDiv w:val="1"/>
      <w:marLeft w:val="0"/>
      <w:marRight w:val="0"/>
      <w:marTop w:val="0"/>
      <w:marBottom w:val="0"/>
      <w:divBdr>
        <w:top w:val="none" w:sz="0" w:space="0" w:color="auto"/>
        <w:left w:val="none" w:sz="0" w:space="0" w:color="auto"/>
        <w:bottom w:val="none" w:sz="0" w:space="0" w:color="auto"/>
        <w:right w:val="none" w:sz="0" w:space="0" w:color="auto"/>
      </w:divBdr>
      <w:divsChild>
        <w:div w:id="2003004921">
          <w:marLeft w:val="0"/>
          <w:marRight w:val="0"/>
          <w:marTop w:val="0"/>
          <w:marBottom w:val="0"/>
          <w:divBdr>
            <w:top w:val="none" w:sz="0" w:space="0" w:color="auto"/>
            <w:left w:val="none" w:sz="0" w:space="0" w:color="auto"/>
            <w:bottom w:val="none" w:sz="0" w:space="0" w:color="auto"/>
            <w:right w:val="none" w:sz="0" w:space="0" w:color="auto"/>
          </w:divBdr>
        </w:div>
      </w:divsChild>
    </w:div>
    <w:div w:id="236326643">
      <w:bodyDiv w:val="1"/>
      <w:marLeft w:val="0"/>
      <w:marRight w:val="0"/>
      <w:marTop w:val="0"/>
      <w:marBottom w:val="0"/>
      <w:divBdr>
        <w:top w:val="none" w:sz="0" w:space="0" w:color="auto"/>
        <w:left w:val="none" w:sz="0" w:space="0" w:color="auto"/>
        <w:bottom w:val="none" w:sz="0" w:space="0" w:color="auto"/>
        <w:right w:val="none" w:sz="0" w:space="0" w:color="auto"/>
      </w:divBdr>
      <w:divsChild>
        <w:div w:id="1446656328">
          <w:marLeft w:val="0"/>
          <w:marRight w:val="0"/>
          <w:marTop w:val="0"/>
          <w:marBottom w:val="0"/>
          <w:divBdr>
            <w:top w:val="none" w:sz="0" w:space="0" w:color="auto"/>
            <w:left w:val="none" w:sz="0" w:space="0" w:color="auto"/>
            <w:bottom w:val="none" w:sz="0" w:space="0" w:color="auto"/>
            <w:right w:val="none" w:sz="0" w:space="0" w:color="auto"/>
          </w:divBdr>
        </w:div>
      </w:divsChild>
    </w:div>
    <w:div w:id="240215970">
      <w:bodyDiv w:val="1"/>
      <w:marLeft w:val="0"/>
      <w:marRight w:val="0"/>
      <w:marTop w:val="0"/>
      <w:marBottom w:val="0"/>
      <w:divBdr>
        <w:top w:val="none" w:sz="0" w:space="0" w:color="auto"/>
        <w:left w:val="none" w:sz="0" w:space="0" w:color="auto"/>
        <w:bottom w:val="none" w:sz="0" w:space="0" w:color="auto"/>
        <w:right w:val="none" w:sz="0" w:space="0" w:color="auto"/>
      </w:divBdr>
      <w:divsChild>
        <w:div w:id="943340410">
          <w:marLeft w:val="0"/>
          <w:marRight w:val="0"/>
          <w:marTop w:val="0"/>
          <w:marBottom w:val="0"/>
          <w:divBdr>
            <w:top w:val="none" w:sz="0" w:space="0" w:color="auto"/>
            <w:left w:val="none" w:sz="0" w:space="0" w:color="auto"/>
            <w:bottom w:val="none" w:sz="0" w:space="0" w:color="auto"/>
            <w:right w:val="none" w:sz="0" w:space="0" w:color="auto"/>
          </w:divBdr>
          <w:divsChild>
            <w:div w:id="1885873900">
              <w:marLeft w:val="0"/>
              <w:marRight w:val="0"/>
              <w:marTop w:val="0"/>
              <w:marBottom w:val="0"/>
              <w:divBdr>
                <w:top w:val="none" w:sz="0" w:space="0" w:color="auto"/>
                <w:left w:val="none" w:sz="0" w:space="0" w:color="auto"/>
                <w:bottom w:val="none" w:sz="0" w:space="0" w:color="auto"/>
                <w:right w:val="none" w:sz="0" w:space="0" w:color="auto"/>
              </w:divBdr>
            </w:div>
          </w:divsChild>
        </w:div>
        <w:div w:id="764308332">
          <w:marLeft w:val="0"/>
          <w:marRight w:val="0"/>
          <w:marTop w:val="0"/>
          <w:marBottom w:val="0"/>
          <w:divBdr>
            <w:top w:val="none" w:sz="0" w:space="0" w:color="auto"/>
            <w:left w:val="none" w:sz="0" w:space="0" w:color="auto"/>
            <w:bottom w:val="none" w:sz="0" w:space="0" w:color="auto"/>
            <w:right w:val="none" w:sz="0" w:space="0" w:color="auto"/>
          </w:divBdr>
          <w:divsChild>
            <w:div w:id="1604991708">
              <w:marLeft w:val="0"/>
              <w:marRight w:val="0"/>
              <w:marTop w:val="0"/>
              <w:marBottom w:val="0"/>
              <w:divBdr>
                <w:top w:val="none" w:sz="0" w:space="0" w:color="auto"/>
                <w:left w:val="none" w:sz="0" w:space="0" w:color="auto"/>
                <w:bottom w:val="none" w:sz="0" w:space="0" w:color="auto"/>
                <w:right w:val="none" w:sz="0" w:space="0" w:color="auto"/>
              </w:divBdr>
            </w:div>
          </w:divsChild>
        </w:div>
        <w:div w:id="661275706">
          <w:marLeft w:val="0"/>
          <w:marRight w:val="0"/>
          <w:marTop w:val="0"/>
          <w:marBottom w:val="0"/>
          <w:divBdr>
            <w:top w:val="none" w:sz="0" w:space="0" w:color="auto"/>
            <w:left w:val="none" w:sz="0" w:space="0" w:color="auto"/>
            <w:bottom w:val="none" w:sz="0" w:space="0" w:color="auto"/>
            <w:right w:val="none" w:sz="0" w:space="0" w:color="auto"/>
          </w:divBdr>
        </w:div>
      </w:divsChild>
    </w:div>
    <w:div w:id="394401491">
      <w:bodyDiv w:val="1"/>
      <w:marLeft w:val="0"/>
      <w:marRight w:val="0"/>
      <w:marTop w:val="0"/>
      <w:marBottom w:val="0"/>
      <w:divBdr>
        <w:top w:val="none" w:sz="0" w:space="0" w:color="auto"/>
        <w:left w:val="none" w:sz="0" w:space="0" w:color="auto"/>
        <w:bottom w:val="none" w:sz="0" w:space="0" w:color="auto"/>
        <w:right w:val="none" w:sz="0" w:space="0" w:color="auto"/>
      </w:divBdr>
      <w:divsChild>
        <w:div w:id="1718816036">
          <w:marLeft w:val="0"/>
          <w:marRight w:val="0"/>
          <w:marTop w:val="0"/>
          <w:marBottom w:val="0"/>
          <w:divBdr>
            <w:top w:val="none" w:sz="0" w:space="0" w:color="auto"/>
            <w:left w:val="none" w:sz="0" w:space="0" w:color="auto"/>
            <w:bottom w:val="none" w:sz="0" w:space="0" w:color="auto"/>
            <w:right w:val="none" w:sz="0" w:space="0" w:color="auto"/>
          </w:divBdr>
        </w:div>
      </w:divsChild>
    </w:div>
    <w:div w:id="449322782">
      <w:bodyDiv w:val="1"/>
      <w:marLeft w:val="0"/>
      <w:marRight w:val="0"/>
      <w:marTop w:val="0"/>
      <w:marBottom w:val="0"/>
      <w:divBdr>
        <w:top w:val="none" w:sz="0" w:space="0" w:color="auto"/>
        <w:left w:val="none" w:sz="0" w:space="0" w:color="auto"/>
        <w:bottom w:val="none" w:sz="0" w:space="0" w:color="auto"/>
        <w:right w:val="none" w:sz="0" w:space="0" w:color="auto"/>
      </w:divBdr>
      <w:divsChild>
        <w:div w:id="603924383">
          <w:marLeft w:val="0"/>
          <w:marRight w:val="0"/>
          <w:marTop w:val="0"/>
          <w:marBottom w:val="0"/>
          <w:divBdr>
            <w:top w:val="none" w:sz="0" w:space="0" w:color="auto"/>
            <w:left w:val="none" w:sz="0" w:space="0" w:color="auto"/>
            <w:bottom w:val="none" w:sz="0" w:space="0" w:color="auto"/>
            <w:right w:val="none" w:sz="0" w:space="0" w:color="auto"/>
          </w:divBdr>
        </w:div>
      </w:divsChild>
    </w:div>
    <w:div w:id="648021740">
      <w:bodyDiv w:val="1"/>
      <w:marLeft w:val="0"/>
      <w:marRight w:val="0"/>
      <w:marTop w:val="0"/>
      <w:marBottom w:val="0"/>
      <w:divBdr>
        <w:top w:val="none" w:sz="0" w:space="0" w:color="auto"/>
        <w:left w:val="none" w:sz="0" w:space="0" w:color="auto"/>
        <w:bottom w:val="none" w:sz="0" w:space="0" w:color="auto"/>
        <w:right w:val="none" w:sz="0" w:space="0" w:color="auto"/>
      </w:divBdr>
      <w:divsChild>
        <w:div w:id="1619490909">
          <w:marLeft w:val="0"/>
          <w:marRight w:val="0"/>
          <w:marTop w:val="0"/>
          <w:marBottom w:val="0"/>
          <w:divBdr>
            <w:top w:val="none" w:sz="0" w:space="0" w:color="auto"/>
            <w:left w:val="none" w:sz="0" w:space="0" w:color="auto"/>
            <w:bottom w:val="none" w:sz="0" w:space="0" w:color="auto"/>
            <w:right w:val="none" w:sz="0" w:space="0" w:color="auto"/>
          </w:divBdr>
        </w:div>
      </w:divsChild>
    </w:div>
    <w:div w:id="916062461">
      <w:bodyDiv w:val="1"/>
      <w:marLeft w:val="0"/>
      <w:marRight w:val="0"/>
      <w:marTop w:val="0"/>
      <w:marBottom w:val="0"/>
      <w:divBdr>
        <w:top w:val="none" w:sz="0" w:space="0" w:color="auto"/>
        <w:left w:val="none" w:sz="0" w:space="0" w:color="auto"/>
        <w:bottom w:val="none" w:sz="0" w:space="0" w:color="auto"/>
        <w:right w:val="none" w:sz="0" w:space="0" w:color="auto"/>
      </w:divBdr>
      <w:divsChild>
        <w:div w:id="1855265697">
          <w:marLeft w:val="0"/>
          <w:marRight w:val="0"/>
          <w:marTop w:val="0"/>
          <w:marBottom w:val="0"/>
          <w:divBdr>
            <w:top w:val="none" w:sz="0" w:space="0" w:color="auto"/>
            <w:left w:val="none" w:sz="0" w:space="0" w:color="auto"/>
            <w:bottom w:val="none" w:sz="0" w:space="0" w:color="auto"/>
            <w:right w:val="none" w:sz="0" w:space="0" w:color="auto"/>
          </w:divBdr>
          <w:divsChild>
            <w:div w:id="2000376333">
              <w:marLeft w:val="0"/>
              <w:marRight w:val="0"/>
              <w:marTop w:val="0"/>
              <w:marBottom w:val="0"/>
              <w:divBdr>
                <w:top w:val="none" w:sz="0" w:space="0" w:color="auto"/>
                <w:left w:val="none" w:sz="0" w:space="0" w:color="auto"/>
                <w:bottom w:val="none" w:sz="0" w:space="0" w:color="auto"/>
                <w:right w:val="none" w:sz="0" w:space="0" w:color="auto"/>
              </w:divBdr>
            </w:div>
          </w:divsChild>
        </w:div>
        <w:div w:id="1687364887">
          <w:marLeft w:val="0"/>
          <w:marRight w:val="0"/>
          <w:marTop w:val="0"/>
          <w:marBottom w:val="0"/>
          <w:divBdr>
            <w:top w:val="none" w:sz="0" w:space="0" w:color="auto"/>
            <w:left w:val="none" w:sz="0" w:space="0" w:color="auto"/>
            <w:bottom w:val="none" w:sz="0" w:space="0" w:color="auto"/>
            <w:right w:val="none" w:sz="0" w:space="0" w:color="auto"/>
          </w:divBdr>
          <w:divsChild>
            <w:div w:id="226035602">
              <w:marLeft w:val="0"/>
              <w:marRight w:val="0"/>
              <w:marTop w:val="0"/>
              <w:marBottom w:val="0"/>
              <w:divBdr>
                <w:top w:val="none" w:sz="0" w:space="0" w:color="auto"/>
                <w:left w:val="none" w:sz="0" w:space="0" w:color="auto"/>
                <w:bottom w:val="none" w:sz="0" w:space="0" w:color="auto"/>
                <w:right w:val="none" w:sz="0" w:space="0" w:color="auto"/>
              </w:divBdr>
            </w:div>
          </w:divsChild>
        </w:div>
        <w:div w:id="1901402962">
          <w:marLeft w:val="0"/>
          <w:marRight w:val="0"/>
          <w:marTop w:val="0"/>
          <w:marBottom w:val="0"/>
          <w:divBdr>
            <w:top w:val="none" w:sz="0" w:space="0" w:color="auto"/>
            <w:left w:val="none" w:sz="0" w:space="0" w:color="auto"/>
            <w:bottom w:val="none" w:sz="0" w:space="0" w:color="auto"/>
            <w:right w:val="none" w:sz="0" w:space="0" w:color="auto"/>
          </w:divBdr>
        </w:div>
      </w:divsChild>
    </w:div>
    <w:div w:id="953437965">
      <w:bodyDiv w:val="1"/>
      <w:marLeft w:val="0"/>
      <w:marRight w:val="0"/>
      <w:marTop w:val="0"/>
      <w:marBottom w:val="0"/>
      <w:divBdr>
        <w:top w:val="none" w:sz="0" w:space="0" w:color="auto"/>
        <w:left w:val="none" w:sz="0" w:space="0" w:color="auto"/>
        <w:bottom w:val="none" w:sz="0" w:space="0" w:color="auto"/>
        <w:right w:val="none" w:sz="0" w:space="0" w:color="auto"/>
      </w:divBdr>
      <w:divsChild>
        <w:div w:id="524636007">
          <w:marLeft w:val="0"/>
          <w:marRight w:val="0"/>
          <w:marTop w:val="0"/>
          <w:marBottom w:val="0"/>
          <w:divBdr>
            <w:top w:val="none" w:sz="0" w:space="0" w:color="auto"/>
            <w:left w:val="none" w:sz="0" w:space="0" w:color="auto"/>
            <w:bottom w:val="none" w:sz="0" w:space="0" w:color="auto"/>
            <w:right w:val="none" w:sz="0" w:space="0" w:color="auto"/>
          </w:divBdr>
        </w:div>
      </w:divsChild>
    </w:div>
    <w:div w:id="1018040753">
      <w:bodyDiv w:val="1"/>
      <w:marLeft w:val="0"/>
      <w:marRight w:val="0"/>
      <w:marTop w:val="0"/>
      <w:marBottom w:val="0"/>
      <w:divBdr>
        <w:top w:val="none" w:sz="0" w:space="0" w:color="auto"/>
        <w:left w:val="none" w:sz="0" w:space="0" w:color="auto"/>
        <w:bottom w:val="none" w:sz="0" w:space="0" w:color="auto"/>
        <w:right w:val="none" w:sz="0" w:space="0" w:color="auto"/>
      </w:divBdr>
      <w:divsChild>
        <w:div w:id="1867021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A3FD5-5F9A-4404-887C-D1422E390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4763</Words>
  <Characters>24800</Characters>
  <Application>Microsoft Office Word</Application>
  <DocSecurity>0</DocSecurity>
  <Lines>509</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29741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2023-02-24T17:57:00Z</cp:lastPrinted>
  <dcterms:created xsi:type="dcterms:W3CDTF">2023-02-24T18:01:00Z</dcterms:created>
  <dcterms:modified xsi:type="dcterms:W3CDTF">2023-02-24T18:01:00Z</dcterms:modified>
  <cp:category/>
</cp:coreProperties>
</file>