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89619" w14:textId="373F4EA3" w:rsidR="00B66EC7" w:rsidRPr="00DC323F" w:rsidRDefault="00DC323F" w:rsidP="00DC323F">
      <w:pPr>
        <w:spacing w:line="240" w:lineRule="auto"/>
        <w:rPr>
          <w:sz w:val="20"/>
        </w:rPr>
      </w:pPr>
      <w:bookmarkStart w:id="0" w:name="_GoBack"/>
      <w:bookmarkEnd w:id="0"/>
      <w:r w:rsidRPr="00DC323F">
        <w:rPr>
          <w:sz w:val="20"/>
        </w:rPr>
        <w:t>Filed 4/17/20</w:t>
      </w:r>
    </w:p>
    <w:p w14:paraId="6A33CAE4" w14:textId="5FFB7919" w:rsidR="00B66EC7" w:rsidRPr="00460261" w:rsidRDefault="00B66EC7" w:rsidP="00B66EC7">
      <w:pPr>
        <w:spacing w:line="240" w:lineRule="auto"/>
        <w:jc w:val="center"/>
      </w:pPr>
      <w:r>
        <w:t>CERTIFIED FOR PUBLICATION</w:t>
      </w:r>
    </w:p>
    <w:p w14:paraId="2B6DFBA3" w14:textId="77777777" w:rsidR="00985DC2" w:rsidRPr="00460261" w:rsidRDefault="00985DC2" w:rsidP="00985DC2">
      <w:pPr>
        <w:spacing w:line="240" w:lineRule="auto"/>
      </w:pPr>
    </w:p>
    <w:p w14:paraId="355B5B88" w14:textId="77777777" w:rsidR="00985DC2" w:rsidRPr="00460261" w:rsidRDefault="00985DC2" w:rsidP="00985DC2">
      <w:pPr>
        <w:spacing w:line="240" w:lineRule="auto"/>
      </w:pPr>
    </w:p>
    <w:p w14:paraId="0CD3368B" w14:textId="77777777" w:rsidR="00985DC2" w:rsidRPr="00460261" w:rsidRDefault="00985DC2" w:rsidP="00985DC2">
      <w:pPr>
        <w:spacing w:line="240" w:lineRule="auto"/>
        <w:jc w:val="center"/>
      </w:pPr>
      <w:r w:rsidRPr="00460261">
        <w:t>COURT OF APPEAL, FOURTH APPELLATE DISTRICT</w:t>
      </w:r>
    </w:p>
    <w:p w14:paraId="1DE02693" w14:textId="77777777" w:rsidR="00985DC2" w:rsidRPr="00460261" w:rsidRDefault="00985DC2" w:rsidP="00985DC2">
      <w:pPr>
        <w:spacing w:line="240" w:lineRule="auto"/>
        <w:jc w:val="center"/>
      </w:pPr>
    </w:p>
    <w:p w14:paraId="3B349218" w14:textId="77777777" w:rsidR="00985DC2" w:rsidRPr="00460261" w:rsidRDefault="00985DC2" w:rsidP="00985DC2">
      <w:pPr>
        <w:spacing w:line="240" w:lineRule="auto"/>
        <w:jc w:val="center"/>
      </w:pPr>
      <w:r w:rsidRPr="00460261">
        <w:t>DIVISION ONE</w:t>
      </w:r>
    </w:p>
    <w:p w14:paraId="6AD58180" w14:textId="77777777" w:rsidR="00985DC2" w:rsidRPr="00460261" w:rsidRDefault="00985DC2" w:rsidP="00985DC2">
      <w:pPr>
        <w:spacing w:line="240" w:lineRule="auto"/>
        <w:jc w:val="center"/>
      </w:pPr>
    </w:p>
    <w:p w14:paraId="1BD60317" w14:textId="77777777" w:rsidR="00985DC2" w:rsidRPr="00460261" w:rsidRDefault="00985DC2" w:rsidP="00985DC2">
      <w:pPr>
        <w:spacing w:line="240" w:lineRule="auto"/>
        <w:jc w:val="center"/>
      </w:pPr>
      <w:r w:rsidRPr="00460261">
        <w:t>STATE OF CALIFORNIA</w:t>
      </w:r>
    </w:p>
    <w:p w14:paraId="7C4138EE" w14:textId="77777777" w:rsidR="00985DC2" w:rsidRPr="00460261" w:rsidRDefault="00985DC2" w:rsidP="00985DC2">
      <w:pPr>
        <w:spacing w:line="240" w:lineRule="auto"/>
        <w:jc w:val="center"/>
      </w:pPr>
    </w:p>
    <w:p w14:paraId="6D320FC6" w14:textId="77777777" w:rsidR="00985DC2" w:rsidRPr="00460261" w:rsidRDefault="00985DC2" w:rsidP="00985DC2">
      <w:pPr>
        <w:spacing w:line="240" w:lineRule="auto"/>
        <w:jc w:val="center"/>
      </w:pPr>
    </w:p>
    <w:p w14:paraId="34940EF3" w14:textId="77777777" w:rsidR="00985DC2" w:rsidRPr="00460261" w:rsidRDefault="00985DC2" w:rsidP="00985DC2">
      <w:pPr>
        <w:spacing w:line="240" w:lineRule="auto"/>
        <w:jc w:val="center"/>
      </w:pPr>
    </w:p>
    <w:tbl>
      <w:tblPr>
        <w:tblW w:w="9360" w:type="dxa"/>
        <w:tblLayout w:type="fixed"/>
        <w:tblLook w:val="0000" w:firstRow="0" w:lastRow="0" w:firstColumn="0" w:lastColumn="0" w:noHBand="0" w:noVBand="0"/>
      </w:tblPr>
      <w:tblGrid>
        <w:gridCol w:w="5040"/>
        <w:gridCol w:w="4320"/>
      </w:tblGrid>
      <w:tr w:rsidR="00985DC2" w:rsidRPr="00460261" w14:paraId="66B0BF3A" w14:textId="77777777" w:rsidTr="00985DC2">
        <w:tc>
          <w:tcPr>
            <w:tcW w:w="5040" w:type="dxa"/>
            <w:tcBorders>
              <w:bottom w:val="single" w:sz="4" w:space="0" w:color="auto"/>
              <w:right w:val="single" w:sz="4" w:space="0" w:color="auto"/>
            </w:tcBorders>
            <w:shd w:val="clear" w:color="auto" w:fill="auto"/>
          </w:tcPr>
          <w:p w14:paraId="2F0E4909" w14:textId="77777777" w:rsidR="00985DC2" w:rsidRPr="00460261" w:rsidRDefault="00985DC2" w:rsidP="00985DC2">
            <w:pPr>
              <w:spacing w:line="240" w:lineRule="auto"/>
            </w:pPr>
            <w:r w:rsidRPr="00460261">
              <w:t>CROSNO CONSTRUCTION, INC.,</w:t>
            </w:r>
          </w:p>
          <w:p w14:paraId="5214A00E" w14:textId="77777777" w:rsidR="00985DC2" w:rsidRPr="00460261" w:rsidRDefault="00985DC2" w:rsidP="00985DC2">
            <w:pPr>
              <w:spacing w:line="240" w:lineRule="auto"/>
            </w:pPr>
          </w:p>
          <w:p w14:paraId="7C4D255B" w14:textId="4420ED80" w:rsidR="00985DC2" w:rsidRPr="00460261" w:rsidRDefault="00985DC2" w:rsidP="00985DC2">
            <w:pPr>
              <w:spacing w:line="240" w:lineRule="auto"/>
            </w:pPr>
            <w:r w:rsidRPr="00460261">
              <w:tab/>
            </w:r>
            <w:r w:rsidR="00B06D9E" w:rsidRPr="00460261">
              <w:t xml:space="preserve">Cross-complainant </w:t>
            </w:r>
            <w:r w:rsidRPr="00460261">
              <w:t>and Respondent,</w:t>
            </w:r>
          </w:p>
          <w:p w14:paraId="369EFFF5" w14:textId="77777777" w:rsidR="00985DC2" w:rsidRPr="00460261" w:rsidRDefault="00985DC2" w:rsidP="00985DC2">
            <w:pPr>
              <w:spacing w:line="240" w:lineRule="auto"/>
            </w:pPr>
          </w:p>
          <w:p w14:paraId="0CCE2310" w14:textId="77777777" w:rsidR="00985DC2" w:rsidRPr="00460261" w:rsidRDefault="00985DC2" w:rsidP="00985DC2">
            <w:pPr>
              <w:spacing w:line="240" w:lineRule="auto"/>
            </w:pPr>
            <w:r w:rsidRPr="00460261">
              <w:tab/>
              <w:t>v.</w:t>
            </w:r>
          </w:p>
          <w:p w14:paraId="5B23D41C" w14:textId="77777777" w:rsidR="00985DC2" w:rsidRPr="00460261" w:rsidRDefault="00985DC2" w:rsidP="00985DC2">
            <w:pPr>
              <w:spacing w:line="240" w:lineRule="auto"/>
            </w:pPr>
          </w:p>
          <w:p w14:paraId="088D11F6" w14:textId="77777777" w:rsidR="00985DC2" w:rsidRPr="00460261" w:rsidRDefault="00985DC2" w:rsidP="00985DC2">
            <w:pPr>
              <w:spacing w:line="240" w:lineRule="auto"/>
            </w:pPr>
            <w:r w:rsidRPr="00460261">
              <w:t>TRAVELERS CASUALTY AND SURETY COMPANY OF AMERICA,</w:t>
            </w:r>
          </w:p>
          <w:p w14:paraId="26F6D167" w14:textId="77777777" w:rsidR="00985DC2" w:rsidRPr="00460261" w:rsidRDefault="00985DC2" w:rsidP="00985DC2">
            <w:pPr>
              <w:spacing w:line="240" w:lineRule="auto"/>
            </w:pPr>
          </w:p>
          <w:p w14:paraId="65CC1762" w14:textId="3E4416A0" w:rsidR="00985DC2" w:rsidRPr="00460261" w:rsidRDefault="00985DC2" w:rsidP="00985DC2">
            <w:pPr>
              <w:spacing w:line="240" w:lineRule="auto"/>
            </w:pPr>
            <w:r w:rsidRPr="00460261">
              <w:tab/>
            </w:r>
            <w:r w:rsidR="00B06D9E" w:rsidRPr="00460261">
              <w:t>Cross-d</w:t>
            </w:r>
            <w:r w:rsidRPr="00460261">
              <w:t>efendant and Appellant.</w:t>
            </w:r>
          </w:p>
          <w:p w14:paraId="61AA08EE" w14:textId="77777777" w:rsidR="00985DC2" w:rsidRPr="00460261" w:rsidRDefault="00985DC2" w:rsidP="00985DC2">
            <w:pPr>
              <w:spacing w:line="240" w:lineRule="auto"/>
            </w:pPr>
          </w:p>
        </w:tc>
        <w:tc>
          <w:tcPr>
            <w:tcW w:w="4320" w:type="dxa"/>
            <w:tcBorders>
              <w:left w:val="single" w:sz="4" w:space="0" w:color="auto"/>
            </w:tcBorders>
            <w:shd w:val="clear" w:color="auto" w:fill="auto"/>
          </w:tcPr>
          <w:p w14:paraId="532575BD" w14:textId="77777777" w:rsidR="00985DC2" w:rsidRPr="00460261" w:rsidRDefault="00985DC2" w:rsidP="00985DC2">
            <w:pPr>
              <w:tabs>
                <w:tab w:val="left" w:pos="144"/>
              </w:tabs>
              <w:spacing w:line="240" w:lineRule="auto"/>
            </w:pPr>
            <w:r w:rsidRPr="00460261">
              <w:t xml:space="preserve">  D075561, D075562</w:t>
            </w:r>
          </w:p>
          <w:p w14:paraId="5F22C759" w14:textId="77777777" w:rsidR="00985DC2" w:rsidRPr="00460261" w:rsidRDefault="00985DC2" w:rsidP="00985DC2">
            <w:pPr>
              <w:tabs>
                <w:tab w:val="left" w:pos="144"/>
              </w:tabs>
              <w:spacing w:line="240" w:lineRule="auto"/>
            </w:pPr>
          </w:p>
          <w:p w14:paraId="54468C8E" w14:textId="77777777" w:rsidR="00985DC2" w:rsidRPr="00460261" w:rsidRDefault="00985DC2" w:rsidP="00985DC2">
            <w:pPr>
              <w:tabs>
                <w:tab w:val="left" w:pos="144"/>
              </w:tabs>
              <w:spacing w:line="240" w:lineRule="auto"/>
            </w:pPr>
          </w:p>
          <w:p w14:paraId="318AFAA7" w14:textId="77777777" w:rsidR="00985DC2" w:rsidRPr="00460261" w:rsidRDefault="00985DC2" w:rsidP="00985DC2">
            <w:pPr>
              <w:tabs>
                <w:tab w:val="left" w:pos="144"/>
              </w:tabs>
              <w:spacing w:line="240" w:lineRule="auto"/>
            </w:pPr>
          </w:p>
          <w:p w14:paraId="3BBEB50E" w14:textId="77777777" w:rsidR="00985DC2" w:rsidRPr="00460261" w:rsidRDefault="00985DC2" w:rsidP="00985DC2">
            <w:pPr>
              <w:tabs>
                <w:tab w:val="left" w:pos="144"/>
              </w:tabs>
              <w:spacing w:line="240" w:lineRule="auto"/>
            </w:pPr>
            <w:r w:rsidRPr="00460261">
              <w:t xml:space="preserve">  (Super. Ct. No. CIVDS1511273)</w:t>
            </w:r>
          </w:p>
          <w:p w14:paraId="1E34B281" w14:textId="77777777" w:rsidR="00985DC2" w:rsidRPr="00460261" w:rsidRDefault="00985DC2" w:rsidP="00985DC2">
            <w:pPr>
              <w:tabs>
                <w:tab w:val="left" w:pos="144"/>
              </w:tabs>
              <w:spacing w:line="240" w:lineRule="auto"/>
            </w:pPr>
          </w:p>
        </w:tc>
      </w:tr>
    </w:tbl>
    <w:p w14:paraId="25A4EF09" w14:textId="77777777" w:rsidR="00985DC2" w:rsidRPr="00460261" w:rsidRDefault="00985DC2" w:rsidP="00985DC2">
      <w:pPr>
        <w:spacing w:line="240" w:lineRule="auto"/>
      </w:pPr>
    </w:p>
    <w:p w14:paraId="4372F360" w14:textId="2EDFE374" w:rsidR="00985DC2" w:rsidRPr="00460261" w:rsidRDefault="00985DC2" w:rsidP="00985DC2">
      <w:r w:rsidRPr="00460261">
        <w:tab/>
        <w:t>APPEAL</w:t>
      </w:r>
      <w:r w:rsidR="00FD78E3" w:rsidRPr="00460261">
        <w:t>S</w:t>
      </w:r>
      <w:r w:rsidRPr="00460261">
        <w:t xml:space="preserve"> from a judgment </w:t>
      </w:r>
      <w:r w:rsidR="00F22D5F" w:rsidRPr="00460261">
        <w:t xml:space="preserve">and </w:t>
      </w:r>
      <w:proofErr w:type="spellStart"/>
      <w:r w:rsidR="00F22D5F" w:rsidRPr="00460261">
        <w:t>postjudgment</w:t>
      </w:r>
      <w:proofErr w:type="spellEnd"/>
      <w:r w:rsidR="00F22D5F" w:rsidRPr="00460261">
        <w:t xml:space="preserve"> order </w:t>
      </w:r>
      <w:r w:rsidRPr="00460261">
        <w:t>of the Superior Court of San Bernardino</w:t>
      </w:r>
      <w:r w:rsidR="00987CD9" w:rsidRPr="00460261">
        <w:t xml:space="preserve"> County</w:t>
      </w:r>
      <w:r w:rsidRPr="00460261">
        <w:t>, Gilbert Ochoa, Judge.  Affirmed.</w:t>
      </w:r>
    </w:p>
    <w:p w14:paraId="2BEF922D" w14:textId="7F83CED0" w:rsidR="00985DC2" w:rsidRPr="00460261" w:rsidRDefault="00985DC2" w:rsidP="00985DC2">
      <w:r w:rsidRPr="00460261">
        <w:tab/>
      </w:r>
      <w:r w:rsidR="00136A53" w:rsidRPr="00460261">
        <w:t xml:space="preserve">SMTD Law, Jonathan J. Dunn, Teresa L. Polk and </w:t>
      </w:r>
      <w:proofErr w:type="spellStart"/>
      <w:r w:rsidR="00136A53" w:rsidRPr="00460261">
        <w:t>Ravpreet</w:t>
      </w:r>
      <w:proofErr w:type="spellEnd"/>
      <w:r w:rsidR="00136A53" w:rsidRPr="00460261">
        <w:t xml:space="preserve"> K. </w:t>
      </w:r>
      <w:proofErr w:type="spellStart"/>
      <w:r w:rsidR="00136A53" w:rsidRPr="00460261">
        <w:t>Bhangoo</w:t>
      </w:r>
      <w:proofErr w:type="spellEnd"/>
      <w:r w:rsidR="00136A53" w:rsidRPr="00460261">
        <w:t xml:space="preserve"> for Defendant and Appellant.</w:t>
      </w:r>
    </w:p>
    <w:p w14:paraId="20C79C32" w14:textId="77777777" w:rsidR="00136A53" w:rsidRPr="00460261" w:rsidRDefault="00136A53" w:rsidP="00985DC2">
      <w:r w:rsidRPr="00460261">
        <w:tab/>
      </w:r>
      <w:proofErr w:type="spellStart"/>
      <w:r w:rsidRPr="00460261">
        <w:t>Barnick</w:t>
      </w:r>
      <w:proofErr w:type="spellEnd"/>
      <w:r w:rsidRPr="00460261">
        <w:t xml:space="preserve"> | Hodges Law Corporation, John F. Hodges and Whitney Northington </w:t>
      </w:r>
      <w:proofErr w:type="spellStart"/>
      <w:r w:rsidRPr="00460261">
        <w:t>Barnick</w:t>
      </w:r>
      <w:proofErr w:type="spellEnd"/>
      <w:r w:rsidRPr="00460261">
        <w:t xml:space="preserve"> for Plaintiff and Respondent.</w:t>
      </w:r>
    </w:p>
    <w:p w14:paraId="24BFE775" w14:textId="6F290EDD" w:rsidR="00136A53" w:rsidRPr="00460261" w:rsidRDefault="00136A53" w:rsidP="00985DC2">
      <w:r w:rsidRPr="00460261">
        <w:tab/>
      </w:r>
      <w:r w:rsidR="009B4FD2" w:rsidRPr="00460261">
        <w:t xml:space="preserve">Rutan &amp; Tucker, Paul </w:t>
      </w:r>
      <w:proofErr w:type="spellStart"/>
      <w:r w:rsidR="009B4FD2" w:rsidRPr="00460261">
        <w:t>Aherne</w:t>
      </w:r>
      <w:proofErr w:type="spellEnd"/>
      <w:r w:rsidR="009B4FD2" w:rsidRPr="00460261">
        <w:t xml:space="preserve"> and Alyssa Roy for Construction Employers</w:t>
      </w:r>
      <w:r w:rsidR="00B66EC7">
        <w:t>'</w:t>
      </w:r>
      <w:r w:rsidR="009B4FD2" w:rsidRPr="00460261">
        <w:t xml:space="preserve"> Association as Amicus Curiae on behalf of Defendant and Appellant.</w:t>
      </w:r>
    </w:p>
    <w:p w14:paraId="711F3D4E" w14:textId="29E53A09" w:rsidR="009B4FD2" w:rsidRPr="00460261" w:rsidRDefault="009B4FD2" w:rsidP="00985DC2">
      <w:r w:rsidRPr="00460261">
        <w:tab/>
        <w:t>Crawford &amp; Bangs and E. Scott Holbrook, Jr. for American Subcontractors Association as Amicus Curiae on behalf of Plaintiff and Respondent.</w:t>
      </w:r>
    </w:p>
    <w:p w14:paraId="567FD651" w14:textId="511B5C27" w:rsidR="00932ADC" w:rsidRPr="00460261" w:rsidRDefault="009B4FD2" w:rsidP="00985DC2">
      <w:r w:rsidRPr="00460261">
        <w:lastRenderedPageBreak/>
        <w:tab/>
        <w:t xml:space="preserve">North Edwards Water District (the District) </w:t>
      </w:r>
      <w:r w:rsidR="003440A6" w:rsidRPr="00460261">
        <w:t>selected</w:t>
      </w:r>
      <w:r w:rsidRPr="00460261">
        <w:t xml:space="preserve"> Clark Bros., Inc. (Clark) as </w:t>
      </w:r>
      <w:r w:rsidR="004C6319" w:rsidRPr="00460261">
        <w:t>its</w:t>
      </w:r>
      <w:r w:rsidRPr="00460261">
        <w:t xml:space="preserve"> </w:t>
      </w:r>
      <w:r w:rsidR="00477016" w:rsidRPr="00460261">
        <w:t>general or direct</w:t>
      </w:r>
      <w:r w:rsidRPr="00460261">
        <w:t xml:space="preserve"> contractor on a public works project to build a</w:t>
      </w:r>
      <w:r w:rsidR="00012140" w:rsidRPr="00460261">
        <w:t>n arsenic removal</w:t>
      </w:r>
      <w:r w:rsidRPr="00460261">
        <w:t xml:space="preserve"> water treatment plant.  Clark </w:t>
      </w:r>
      <w:r w:rsidR="003440A6" w:rsidRPr="00460261">
        <w:t>hired</w:t>
      </w:r>
      <w:r w:rsidRPr="00460261">
        <w:t xml:space="preserve"> </w:t>
      </w:r>
      <w:r w:rsidR="003440A6" w:rsidRPr="00460261">
        <w:t xml:space="preserve">subcontractor </w:t>
      </w:r>
      <w:proofErr w:type="spellStart"/>
      <w:r w:rsidRPr="00460261">
        <w:t>Crosno</w:t>
      </w:r>
      <w:proofErr w:type="spellEnd"/>
      <w:r w:rsidRPr="00460261">
        <w:t xml:space="preserve"> Construction (</w:t>
      </w:r>
      <w:proofErr w:type="spellStart"/>
      <w:r w:rsidRPr="00460261">
        <w:t>Crosno</w:t>
      </w:r>
      <w:proofErr w:type="spellEnd"/>
      <w:r w:rsidRPr="00460261">
        <w:t xml:space="preserve">) to </w:t>
      </w:r>
      <w:r w:rsidR="003440A6" w:rsidRPr="00460261">
        <w:t>build</w:t>
      </w:r>
      <w:r w:rsidRPr="00460261">
        <w:t xml:space="preserve"> and coat two steel reservoir tanks</w:t>
      </w:r>
      <w:r w:rsidR="007F6558" w:rsidRPr="00460261">
        <w:t xml:space="preserve">.  The subcontract contained a </w:t>
      </w:r>
      <w:r w:rsidR="00B66EC7">
        <w:t>"</w:t>
      </w:r>
      <w:r w:rsidR="007A36F3" w:rsidRPr="00460261">
        <w:t>pay-when-paid</w:t>
      </w:r>
      <w:r w:rsidR="00B66EC7">
        <w:t>"</w:t>
      </w:r>
      <w:r w:rsidR="007A36F3" w:rsidRPr="00460261">
        <w:t xml:space="preserve"> </w:t>
      </w:r>
      <w:r w:rsidR="007F6558" w:rsidRPr="00460261">
        <w:t xml:space="preserve">provision </w:t>
      </w:r>
      <w:r w:rsidR="007A36F3" w:rsidRPr="00460261">
        <w:t>that stated</w:t>
      </w:r>
      <w:r w:rsidR="00012140" w:rsidRPr="00460261">
        <w:t xml:space="preserve"> </w:t>
      </w:r>
      <w:r w:rsidR="007F6558" w:rsidRPr="00460261">
        <w:t xml:space="preserve">Clark would pay </w:t>
      </w:r>
      <w:proofErr w:type="spellStart"/>
      <w:r w:rsidR="007F6558" w:rsidRPr="00460261">
        <w:t>Crosno</w:t>
      </w:r>
      <w:proofErr w:type="spellEnd"/>
      <w:r w:rsidR="007F6558" w:rsidRPr="00460261">
        <w:t xml:space="preserve"> within a reasonable time of receiving payments from the District, </w:t>
      </w:r>
      <w:r w:rsidR="007A36F3" w:rsidRPr="00460261">
        <w:t>but</w:t>
      </w:r>
      <w:r w:rsidR="007F6558" w:rsidRPr="00460261">
        <w:t xml:space="preserve"> that </w:t>
      </w:r>
      <w:r w:rsidR="002F6468" w:rsidRPr="00460261">
        <w:t xml:space="preserve">this </w:t>
      </w:r>
      <w:r w:rsidR="007F6558" w:rsidRPr="00460261">
        <w:t xml:space="preserve">reasonable time </w:t>
      </w:r>
      <w:r w:rsidR="00B66EC7">
        <w:t>"</w:t>
      </w:r>
      <w:r w:rsidR="007F6558" w:rsidRPr="00460261">
        <w:t>in no event shall be less than the time Contractor and Subcontractor require to pursue to conclusion their legal remedies against Owner or other responsible party to obtain payment . . . .</w:t>
      </w:r>
      <w:r w:rsidR="00B66EC7">
        <w:t>"</w:t>
      </w:r>
      <w:r w:rsidR="004C6319" w:rsidRPr="00460261">
        <w:t xml:space="preserve"> </w:t>
      </w:r>
      <w:r w:rsidR="002F6468" w:rsidRPr="00460261">
        <w:t xml:space="preserve"> </w:t>
      </w:r>
      <w:r w:rsidR="007F6558" w:rsidRPr="00460261">
        <w:t>A</w:t>
      </w:r>
      <w:r w:rsidR="00C23C3E" w:rsidRPr="00460261">
        <w:t xml:space="preserve">fter </w:t>
      </w:r>
      <w:proofErr w:type="spellStart"/>
      <w:r w:rsidR="00C23C3E" w:rsidRPr="00460261">
        <w:t>Crosno</w:t>
      </w:r>
      <w:proofErr w:type="spellEnd"/>
      <w:r w:rsidR="00C23C3E" w:rsidRPr="00460261">
        <w:t xml:space="preserve"> completed </w:t>
      </w:r>
      <w:r w:rsidR="00AE7D4C" w:rsidRPr="00460261">
        <w:t xml:space="preserve">most </w:t>
      </w:r>
      <w:r w:rsidR="00C23C3E" w:rsidRPr="00460261">
        <w:t>of its work, a</w:t>
      </w:r>
      <w:r w:rsidR="007F6558" w:rsidRPr="00460261">
        <w:t xml:space="preserve"> dispute arose between the District and Clark</w:t>
      </w:r>
      <w:r w:rsidR="00477016" w:rsidRPr="00460261">
        <w:t xml:space="preserve"> halting the project</w:t>
      </w:r>
      <w:r w:rsidR="00012140" w:rsidRPr="00460261">
        <w:t xml:space="preserve">.  </w:t>
      </w:r>
      <w:r w:rsidR="00477016" w:rsidRPr="00460261">
        <w:t xml:space="preserve">As </w:t>
      </w:r>
      <w:r w:rsidR="007F6558" w:rsidRPr="00460261">
        <w:t xml:space="preserve">Clark sued </w:t>
      </w:r>
      <w:r w:rsidR="00012140" w:rsidRPr="00460261">
        <w:t>the District</w:t>
      </w:r>
      <w:r w:rsidR="004C6319" w:rsidRPr="00460261">
        <w:t xml:space="preserve">, </w:t>
      </w:r>
      <w:proofErr w:type="spellStart"/>
      <w:r w:rsidR="007F6558" w:rsidRPr="00460261">
        <w:t>Crosno</w:t>
      </w:r>
      <w:proofErr w:type="spellEnd"/>
      <w:r w:rsidR="007F6558" w:rsidRPr="00460261">
        <w:t xml:space="preserve"> </w:t>
      </w:r>
      <w:r w:rsidR="004C6319" w:rsidRPr="00460261">
        <w:t xml:space="preserve">sought </w:t>
      </w:r>
      <w:r w:rsidR="007F6558" w:rsidRPr="00460261">
        <w:t xml:space="preserve">to recover </w:t>
      </w:r>
      <w:r w:rsidR="00932ADC" w:rsidRPr="00460261">
        <w:t xml:space="preserve">payments owed </w:t>
      </w:r>
      <w:r w:rsidR="007F6558" w:rsidRPr="00460261">
        <w:t>under the public works payment bond that Cla</w:t>
      </w:r>
      <w:r w:rsidR="003440A6" w:rsidRPr="00460261">
        <w:t>rk had obtained for the project</w:t>
      </w:r>
      <w:r w:rsidR="00932ADC" w:rsidRPr="00460261">
        <w:t>.</w:t>
      </w:r>
    </w:p>
    <w:p w14:paraId="014DBA5F" w14:textId="65B95BCE" w:rsidR="007F6558" w:rsidRPr="00460261" w:rsidRDefault="00932ADC" w:rsidP="00932ADC">
      <w:r w:rsidRPr="00460261">
        <w:tab/>
        <w:t xml:space="preserve">This </w:t>
      </w:r>
      <w:r w:rsidR="00477016" w:rsidRPr="00460261">
        <w:t>appeal involves</w:t>
      </w:r>
      <w:r w:rsidRPr="00460261">
        <w:t xml:space="preserve"> </w:t>
      </w:r>
      <w:proofErr w:type="spellStart"/>
      <w:r w:rsidRPr="00460261">
        <w:t>Crosno</w:t>
      </w:r>
      <w:r w:rsidR="00B66EC7">
        <w:t>'</w:t>
      </w:r>
      <w:r w:rsidRPr="00460261">
        <w:t>s</w:t>
      </w:r>
      <w:proofErr w:type="spellEnd"/>
      <w:r w:rsidRPr="00460261">
        <w:t xml:space="preserve"> payment bond claim against </w:t>
      </w:r>
      <w:r w:rsidR="004C6319" w:rsidRPr="00460261">
        <w:t xml:space="preserve">the </w:t>
      </w:r>
      <w:r w:rsidR="007F6558" w:rsidRPr="00460261">
        <w:t>bond surety, Travelers Casualty and Surety C</w:t>
      </w:r>
      <w:r w:rsidR="00012140" w:rsidRPr="00460261">
        <w:t>ompany of America (Travel</w:t>
      </w:r>
      <w:r w:rsidRPr="00460261">
        <w:t xml:space="preserve">ers).  At issue is </w:t>
      </w:r>
      <w:r w:rsidR="00C23C3E" w:rsidRPr="00460261">
        <w:t xml:space="preserve">whether </w:t>
      </w:r>
      <w:r w:rsidR="007F6558" w:rsidRPr="00460261">
        <w:t>the</w:t>
      </w:r>
      <w:r w:rsidR="00C23C3E" w:rsidRPr="00460261">
        <w:t xml:space="preserve"> pay-when-paid provision in </w:t>
      </w:r>
      <w:proofErr w:type="spellStart"/>
      <w:r w:rsidR="00C23C3E" w:rsidRPr="00460261">
        <w:t>Crosno</w:t>
      </w:r>
      <w:r w:rsidR="00B66EC7">
        <w:t>'</w:t>
      </w:r>
      <w:r w:rsidR="00C23C3E" w:rsidRPr="00460261">
        <w:t>s</w:t>
      </w:r>
      <w:proofErr w:type="spellEnd"/>
      <w:r w:rsidR="00C23C3E" w:rsidRPr="00460261">
        <w:t xml:space="preserve"> </w:t>
      </w:r>
      <w:r w:rsidR="007F6558" w:rsidRPr="00460261">
        <w:t>subcontract preclude</w:t>
      </w:r>
      <w:r w:rsidRPr="00460261">
        <w:t>s</w:t>
      </w:r>
      <w:r w:rsidR="007F6558" w:rsidRPr="00460261">
        <w:t xml:space="preserve"> </w:t>
      </w:r>
      <w:proofErr w:type="spellStart"/>
      <w:r w:rsidR="007F6558" w:rsidRPr="00460261">
        <w:t>Crosno</w:t>
      </w:r>
      <w:proofErr w:type="spellEnd"/>
      <w:r w:rsidR="00477016" w:rsidRPr="00460261">
        <w:t xml:space="preserve"> from </w:t>
      </w:r>
      <w:r w:rsidR="003440A6" w:rsidRPr="00460261">
        <w:t>recovering</w:t>
      </w:r>
      <w:r w:rsidR="007F6558" w:rsidRPr="00460261">
        <w:t xml:space="preserve"> under the payment bond </w:t>
      </w:r>
      <w:r w:rsidR="00C23C3E" w:rsidRPr="00460261">
        <w:t xml:space="preserve">while </w:t>
      </w:r>
      <w:r w:rsidR="007F6558" w:rsidRPr="00460261">
        <w:t>Clark</w:t>
      </w:r>
      <w:r w:rsidR="00B66EC7">
        <w:t>'</w:t>
      </w:r>
      <w:r w:rsidR="00C23C3E" w:rsidRPr="00460261">
        <w:t>s lawsuit against the District remain</w:t>
      </w:r>
      <w:r w:rsidRPr="00460261">
        <w:t>s</w:t>
      </w:r>
      <w:r w:rsidR="00C23C3E" w:rsidRPr="00460261">
        <w:t xml:space="preserve"> pending</w:t>
      </w:r>
      <w:r w:rsidR="007F6558" w:rsidRPr="00460261">
        <w:t xml:space="preserve">.  </w:t>
      </w:r>
      <w:r w:rsidR="00C23C3E" w:rsidRPr="00460261">
        <w:t xml:space="preserve">Relying on </w:t>
      </w:r>
      <w:r w:rsidR="005E2D5D" w:rsidRPr="00460261">
        <w:rPr>
          <w:i/>
        </w:rPr>
        <w:t xml:space="preserve">Wm. R. Clarke Corp. v. Safeco Ins. Co. </w:t>
      </w:r>
      <w:r w:rsidR="005E2D5D" w:rsidRPr="00460261">
        <w:t xml:space="preserve">(1997) </w:t>
      </w:r>
      <w:r w:rsidR="00D44A45" w:rsidRPr="00460261">
        <w:t xml:space="preserve">15 </w:t>
      </w:r>
      <w:r w:rsidR="005E2D5D" w:rsidRPr="00460261">
        <w:t>Cal.4th 882 (</w:t>
      </w:r>
      <w:r w:rsidR="005E2D5D" w:rsidRPr="00460261">
        <w:rPr>
          <w:i/>
        </w:rPr>
        <w:t>Wm. R. Clarke</w:t>
      </w:r>
      <w:r w:rsidR="005E2D5D" w:rsidRPr="00460261">
        <w:t>)</w:t>
      </w:r>
      <w:r w:rsidR="00C23C3E" w:rsidRPr="00460261">
        <w:t xml:space="preserve">, the trial court found the pay-when-paid provision </w:t>
      </w:r>
      <w:r w:rsidR="00477016" w:rsidRPr="00460261">
        <w:t xml:space="preserve">here </w:t>
      </w:r>
      <w:r w:rsidR="00C23C3E" w:rsidRPr="00460261">
        <w:t xml:space="preserve">unenforceable because it </w:t>
      </w:r>
      <w:r w:rsidR="00A8674D" w:rsidRPr="00460261">
        <w:t>affect</w:t>
      </w:r>
      <w:r w:rsidRPr="00460261">
        <w:t>s</w:t>
      </w:r>
      <w:r w:rsidR="00A8674D" w:rsidRPr="00460261">
        <w:t xml:space="preserve"> or impair</w:t>
      </w:r>
      <w:r w:rsidRPr="00460261">
        <w:t>s</w:t>
      </w:r>
      <w:r w:rsidR="00A8674D" w:rsidRPr="00460261">
        <w:t xml:space="preserve"> </w:t>
      </w:r>
      <w:proofErr w:type="spellStart"/>
      <w:r w:rsidR="00A8674D" w:rsidRPr="00460261">
        <w:t>Crosno</w:t>
      </w:r>
      <w:r w:rsidR="00B66EC7">
        <w:t>'</w:t>
      </w:r>
      <w:r w:rsidR="00A8674D" w:rsidRPr="00460261">
        <w:t>s</w:t>
      </w:r>
      <w:proofErr w:type="spellEnd"/>
      <w:r w:rsidR="00A8674D" w:rsidRPr="00460261">
        <w:t xml:space="preserve"> payment bond rights in violation of Civil Code section 8122.</w:t>
      </w:r>
      <w:r w:rsidR="00A8674D" w:rsidRPr="00460261">
        <w:rPr>
          <w:rStyle w:val="FootnoteReference"/>
        </w:rPr>
        <w:footnoteReference w:id="1"/>
      </w:r>
      <w:r w:rsidR="0054736A" w:rsidRPr="00460261">
        <w:t xml:space="preserve">  </w:t>
      </w:r>
      <w:r w:rsidR="00477016" w:rsidRPr="00460261">
        <w:t xml:space="preserve">With the facts largely </w:t>
      </w:r>
      <w:r w:rsidR="00A938C8" w:rsidRPr="00460261">
        <w:t>undisputed</w:t>
      </w:r>
      <w:r w:rsidR="0054736A" w:rsidRPr="00460261">
        <w:t xml:space="preserve">, the court </w:t>
      </w:r>
      <w:r w:rsidR="00A938C8" w:rsidRPr="00460261">
        <w:t xml:space="preserve">granted </w:t>
      </w:r>
      <w:proofErr w:type="spellStart"/>
      <w:r w:rsidR="00A938C8" w:rsidRPr="00460261">
        <w:t>Crosno</w:t>
      </w:r>
      <w:r w:rsidR="00B66EC7">
        <w:t>'</w:t>
      </w:r>
      <w:r w:rsidR="00A938C8" w:rsidRPr="00460261">
        <w:t>s</w:t>
      </w:r>
      <w:proofErr w:type="spellEnd"/>
      <w:r w:rsidR="00A938C8" w:rsidRPr="00460261">
        <w:t xml:space="preserve"> motion</w:t>
      </w:r>
      <w:r w:rsidR="00477016" w:rsidRPr="00460261">
        <w:t xml:space="preserve"> for summary judgment</w:t>
      </w:r>
      <w:r w:rsidR="00A938C8" w:rsidRPr="00460261">
        <w:t xml:space="preserve"> and </w:t>
      </w:r>
      <w:r w:rsidR="0054736A" w:rsidRPr="00460261">
        <w:t xml:space="preserve">entered judgment in </w:t>
      </w:r>
      <w:r w:rsidR="00A938C8" w:rsidRPr="00460261">
        <w:t xml:space="preserve">its favor </w:t>
      </w:r>
      <w:r w:rsidR="0054736A" w:rsidRPr="00460261">
        <w:t xml:space="preserve">for </w:t>
      </w:r>
      <w:r w:rsidR="00477016" w:rsidRPr="00460261">
        <w:t xml:space="preserve">principal due </w:t>
      </w:r>
      <w:r w:rsidR="00635A8B" w:rsidRPr="00460261">
        <w:t xml:space="preserve">plus </w:t>
      </w:r>
      <w:r w:rsidR="00477016" w:rsidRPr="00460261">
        <w:t>prejudgment interest</w:t>
      </w:r>
      <w:r w:rsidR="0054736A" w:rsidRPr="00460261">
        <w:t>.</w:t>
      </w:r>
    </w:p>
    <w:p w14:paraId="1DF372EE" w14:textId="3D73BA41" w:rsidR="0054736A" w:rsidRPr="00460261" w:rsidRDefault="0054736A" w:rsidP="00985DC2">
      <w:r w:rsidRPr="00460261">
        <w:lastRenderedPageBreak/>
        <w:tab/>
      </w:r>
      <w:r w:rsidR="00E86573" w:rsidRPr="00460261">
        <w:t xml:space="preserve">Travelers </w:t>
      </w:r>
      <w:r w:rsidR="00FF267D" w:rsidRPr="00460261">
        <w:t>asserts</w:t>
      </w:r>
      <w:r w:rsidR="00E86573" w:rsidRPr="00460261">
        <w:t xml:space="preserve"> the trial court misconstrued </w:t>
      </w:r>
      <w:r w:rsidR="00E86573" w:rsidRPr="00460261">
        <w:rPr>
          <w:i/>
        </w:rPr>
        <w:t xml:space="preserve">Wm. R. Clarke </w:t>
      </w:r>
      <w:r w:rsidR="00E86573" w:rsidRPr="00460261">
        <w:t xml:space="preserve">and erred in failing to enforce the pay-when-paid provision </w:t>
      </w:r>
      <w:r w:rsidR="00477016" w:rsidRPr="00460261">
        <w:t>against the bond claim</w:t>
      </w:r>
      <w:r w:rsidR="00E86573" w:rsidRPr="00460261">
        <w:t xml:space="preserve">.  </w:t>
      </w:r>
      <w:r w:rsidR="00476E99" w:rsidRPr="00460261">
        <w:t xml:space="preserve">After carefully considering the </w:t>
      </w:r>
      <w:r w:rsidR="00635A8B" w:rsidRPr="00460261">
        <w:t>parties</w:t>
      </w:r>
      <w:r w:rsidR="00B66EC7">
        <w:t>'</w:t>
      </w:r>
      <w:r w:rsidR="00635A8B" w:rsidRPr="00460261">
        <w:t xml:space="preserve"> </w:t>
      </w:r>
      <w:r w:rsidR="00476E99" w:rsidRPr="00460261">
        <w:t>arguments</w:t>
      </w:r>
      <w:r w:rsidR="00E86573" w:rsidRPr="00460261">
        <w:t xml:space="preserve">, </w:t>
      </w:r>
      <w:r w:rsidRPr="00460261">
        <w:t xml:space="preserve">we </w:t>
      </w:r>
      <w:r w:rsidR="0053667B" w:rsidRPr="00460261">
        <w:t>agree with the trial court</w:t>
      </w:r>
      <w:r w:rsidR="00B66EC7">
        <w:t>'</w:t>
      </w:r>
      <w:r w:rsidR="00E86573" w:rsidRPr="00460261">
        <w:t xml:space="preserve">s sound </w:t>
      </w:r>
      <w:r w:rsidR="00635A8B" w:rsidRPr="00460261">
        <w:t>analysis</w:t>
      </w:r>
      <w:r w:rsidR="00C003EE" w:rsidRPr="00460261">
        <w:t xml:space="preserve">.  </w:t>
      </w:r>
      <w:r w:rsidR="00476E99" w:rsidRPr="00460261">
        <w:t>Enforcing</w:t>
      </w:r>
      <w:r w:rsidR="00C003EE" w:rsidRPr="00460261">
        <w:t xml:space="preserve"> the pay-when-paid provision </w:t>
      </w:r>
      <w:r w:rsidR="00635A8B" w:rsidRPr="00460261">
        <w:t xml:space="preserve">found </w:t>
      </w:r>
      <w:r w:rsidR="00C003EE" w:rsidRPr="00460261">
        <w:t xml:space="preserve">in </w:t>
      </w:r>
      <w:proofErr w:type="spellStart"/>
      <w:r w:rsidR="00C003EE" w:rsidRPr="00460261">
        <w:t>Crosno</w:t>
      </w:r>
      <w:r w:rsidR="00B66EC7">
        <w:t>'</w:t>
      </w:r>
      <w:r w:rsidR="00C003EE" w:rsidRPr="00460261">
        <w:t>s</w:t>
      </w:r>
      <w:proofErr w:type="spellEnd"/>
      <w:r w:rsidR="00C003EE" w:rsidRPr="00460261">
        <w:t xml:space="preserve"> subcontract </w:t>
      </w:r>
      <w:r w:rsidR="00476E99" w:rsidRPr="00460261">
        <w:t xml:space="preserve">would </w:t>
      </w:r>
      <w:r w:rsidR="00C003EE" w:rsidRPr="00460261">
        <w:t xml:space="preserve">postpone </w:t>
      </w:r>
      <w:proofErr w:type="spellStart"/>
      <w:r w:rsidR="00C003EE" w:rsidRPr="00460261">
        <w:t>Crosno</w:t>
      </w:r>
      <w:r w:rsidR="00B66EC7">
        <w:t>'</w:t>
      </w:r>
      <w:r w:rsidR="00C003EE" w:rsidRPr="00460261">
        <w:t>s</w:t>
      </w:r>
      <w:proofErr w:type="spellEnd"/>
      <w:r w:rsidR="00C003EE" w:rsidRPr="00460261">
        <w:t xml:space="preserve"> right to recover under the payment bond </w:t>
      </w:r>
      <w:r w:rsidR="00162DE1">
        <w:t xml:space="preserve">for an indefinite </w:t>
      </w:r>
      <w:proofErr w:type="gramStart"/>
      <w:r w:rsidR="00162DE1">
        <w:t>time period</w:t>
      </w:r>
      <w:proofErr w:type="gramEnd"/>
      <w:r w:rsidR="00162DE1">
        <w:t xml:space="preserve"> </w:t>
      </w:r>
      <w:r w:rsidR="00C003EE" w:rsidRPr="00460261">
        <w:t>until Clark</w:t>
      </w:r>
      <w:r w:rsidR="00B66EC7">
        <w:t>'</w:t>
      </w:r>
      <w:r w:rsidR="00C003EE" w:rsidRPr="00460261">
        <w:t xml:space="preserve">s litigation against the District concludes.  </w:t>
      </w:r>
      <w:r w:rsidR="00476E99" w:rsidRPr="00460261">
        <w:t xml:space="preserve">Such a result </w:t>
      </w:r>
      <w:r w:rsidR="00C003EE" w:rsidRPr="00460261">
        <w:t xml:space="preserve">would </w:t>
      </w:r>
      <w:r w:rsidR="0005639A">
        <w:t xml:space="preserve">unreasonably </w:t>
      </w:r>
      <w:r w:rsidR="00C003EE" w:rsidRPr="00460261">
        <w:t xml:space="preserve">affect or impair </w:t>
      </w:r>
      <w:proofErr w:type="spellStart"/>
      <w:r w:rsidR="00C003EE" w:rsidRPr="00460261">
        <w:t>Crosno</w:t>
      </w:r>
      <w:r w:rsidR="00B66EC7">
        <w:t>'</w:t>
      </w:r>
      <w:r w:rsidR="00C003EE" w:rsidRPr="00460261">
        <w:t>s</w:t>
      </w:r>
      <w:proofErr w:type="spellEnd"/>
      <w:r w:rsidR="00C003EE" w:rsidRPr="00460261">
        <w:t xml:space="preserve"> statutory payment bond remedy (§ 8122)</w:t>
      </w:r>
      <w:r w:rsidR="00476E99" w:rsidRPr="00460261">
        <w:t xml:space="preserve"> and is unenforceable for the same reasons expressed in </w:t>
      </w:r>
      <w:r w:rsidR="00476E99" w:rsidRPr="00460261">
        <w:rPr>
          <w:i/>
        </w:rPr>
        <w:t>Wm. R. Clarke</w:t>
      </w:r>
      <w:r w:rsidR="00D44A45" w:rsidRPr="00460261">
        <w:t>,</w:t>
      </w:r>
      <w:r w:rsidR="00D44A45" w:rsidRPr="00460261">
        <w:rPr>
          <w:i/>
        </w:rPr>
        <w:t xml:space="preserve"> supra</w:t>
      </w:r>
      <w:r w:rsidR="00D44A45" w:rsidRPr="00460261">
        <w:t>,</w:t>
      </w:r>
      <w:r w:rsidR="00D44A45" w:rsidRPr="00460261">
        <w:rPr>
          <w:i/>
        </w:rPr>
        <w:t xml:space="preserve"> </w:t>
      </w:r>
      <w:r w:rsidR="00D44A45" w:rsidRPr="00460261">
        <w:t xml:space="preserve">15 Cal.4th </w:t>
      </w:r>
      <w:r w:rsidR="00365726" w:rsidRPr="00460261">
        <w:t>882</w:t>
      </w:r>
      <w:r w:rsidR="00C003EE" w:rsidRPr="00460261">
        <w:t xml:space="preserve">.  </w:t>
      </w:r>
      <w:r w:rsidR="00D80A71" w:rsidRPr="00460261">
        <w:t xml:space="preserve">Because </w:t>
      </w:r>
      <w:r w:rsidR="00476E99" w:rsidRPr="00460261">
        <w:t xml:space="preserve">Travelers may not invoke this </w:t>
      </w:r>
      <w:proofErr w:type="gramStart"/>
      <w:r w:rsidR="00476E99" w:rsidRPr="00460261">
        <w:t>particular</w:t>
      </w:r>
      <w:r w:rsidR="00D80A71" w:rsidRPr="00460261">
        <w:t xml:space="preserve"> pay-when-paid</w:t>
      </w:r>
      <w:proofErr w:type="gramEnd"/>
      <w:r w:rsidR="00D80A71" w:rsidRPr="00460261">
        <w:t xml:space="preserve"> provision as a defense </w:t>
      </w:r>
      <w:r w:rsidR="00476E99" w:rsidRPr="00460261">
        <w:t>to payment bond liability</w:t>
      </w:r>
      <w:r w:rsidR="00D80A71" w:rsidRPr="00460261">
        <w:t>, we affirm the judgment.</w:t>
      </w:r>
      <w:r w:rsidR="00E86573" w:rsidRPr="00460261">
        <w:t xml:space="preserve">  Travelers rais</w:t>
      </w:r>
      <w:r w:rsidR="00476E99" w:rsidRPr="00460261">
        <w:t xml:space="preserve">es no separate argument as to the </w:t>
      </w:r>
      <w:proofErr w:type="spellStart"/>
      <w:r w:rsidR="00E86573" w:rsidRPr="00460261">
        <w:t>postju</w:t>
      </w:r>
      <w:r w:rsidR="00476E99" w:rsidRPr="00460261">
        <w:t>dgment</w:t>
      </w:r>
      <w:proofErr w:type="spellEnd"/>
      <w:r w:rsidR="00476E99" w:rsidRPr="00460261">
        <w:t xml:space="preserve"> award of attorney</w:t>
      </w:r>
      <w:r w:rsidR="00B66EC7">
        <w:t>'</w:t>
      </w:r>
      <w:r w:rsidR="00476E99" w:rsidRPr="00460261">
        <w:t xml:space="preserve">s fees; accordingly, </w:t>
      </w:r>
      <w:r w:rsidR="00E86573" w:rsidRPr="00460261">
        <w:t xml:space="preserve">we likewise affirm that </w:t>
      </w:r>
      <w:r w:rsidR="00635A8B" w:rsidRPr="00460261">
        <w:t>order</w:t>
      </w:r>
      <w:r w:rsidR="00E86573" w:rsidRPr="00460261">
        <w:t>.</w:t>
      </w:r>
    </w:p>
    <w:p w14:paraId="1F8CD294" w14:textId="77777777" w:rsidR="00D80A71" w:rsidRPr="00460261" w:rsidRDefault="004A0256" w:rsidP="00452107">
      <w:pPr>
        <w:pStyle w:val="Heading1"/>
      </w:pPr>
      <w:r w:rsidRPr="00460261">
        <w:t>FACTUAL AND PROCEDURAL BACKGROUND</w:t>
      </w:r>
    </w:p>
    <w:p w14:paraId="78774CFE" w14:textId="0854CE8E" w:rsidR="004F2C75" w:rsidRPr="00460261" w:rsidRDefault="00710099" w:rsidP="00985DC2">
      <w:r w:rsidRPr="00460261">
        <w:tab/>
        <w:t xml:space="preserve">The District sought </w:t>
      </w:r>
      <w:r w:rsidR="004D4B57" w:rsidRPr="00460261">
        <w:t xml:space="preserve">lump sum </w:t>
      </w:r>
      <w:r w:rsidRPr="00460261">
        <w:t xml:space="preserve">bids for a public </w:t>
      </w:r>
      <w:r w:rsidR="004D4B57" w:rsidRPr="00460261">
        <w:t>water system improvement project</w:t>
      </w:r>
      <w:r w:rsidR="001E5177">
        <w:t xml:space="preserve"> funded by the State</w:t>
      </w:r>
      <w:r w:rsidR="00067DBA" w:rsidRPr="00460261">
        <w:t xml:space="preserve">.  </w:t>
      </w:r>
      <w:r w:rsidR="004D4B57" w:rsidRPr="00460261">
        <w:t xml:space="preserve">The specifications required </w:t>
      </w:r>
      <w:r w:rsidR="004C7526" w:rsidRPr="00460261">
        <w:t>general</w:t>
      </w:r>
      <w:r w:rsidR="004D4B57" w:rsidRPr="00460261">
        <w:t xml:space="preserve"> contractors submitting bids to secure a payment bond providing coverage if it or any of its subcontract</w:t>
      </w:r>
      <w:r w:rsidR="00635A8B" w:rsidRPr="00460261">
        <w:t>or</w:t>
      </w:r>
      <w:r w:rsidR="004D4B57" w:rsidRPr="00460261">
        <w:t>s failed to make payments due.  Clark obtained a public works payment bond from Travelers to secure the payment of subcontractors and suppliers.  As the surety, Travelers became obliged upon Clark</w:t>
      </w:r>
      <w:r w:rsidR="00B66EC7">
        <w:t>'</w:t>
      </w:r>
      <w:r w:rsidR="004D4B57" w:rsidRPr="00460261">
        <w:t xml:space="preserve">s failure to make payments due. </w:t>
      </w:r>
      <w:r w:rsidR="00477016" w:rsidRPr="00460261">
        <w:t xml:space="preserve"> In addition, the payment bond covered </w:t>
      </w:r>
      <w:r w:rsidR="004D4B57" w:rsidRPr="00460261">
        <w:t>reasonable attorney</w:t>
      </w:r>
      <w:r w:rsidR="00B66EC7">
        <w:t>'</w:t>
      </w:r>
      <w:r w:rsidR="004D4B57" w:rsidRPr="00460261">
        <w:t xml:space="preserve">s fees. </w:t>
      </w:r>
      <w:r w:rsidR="004F2C75" w:rsidRPr="00460261">
        <w:t xml:space="preserve"> </w:t>
      </w:r>
      <w:r w:rsidR="0015240E" w:rsidRPr="00460261">
        <w:t xml:space="preserve">Clark listed </w:t>
      </w:r>
      <w:proofErr w:type="spellStart"/>
      <w:r w:rsidR="0015240E" w:rsidRPr="00460261">
        <w:t>Crosno</w:t>
      </w:r>
      <w:proofErr w:type="spellEnd"/>
      <w:r w:rsidR="0015240E" w:rsidRPr="00460261">
        <w:t xml:space="preserve"> as a subcontractor in its bid. </w:t>
      </w:r>
      <w:r w:rsidR="009B0E9C" w:rsidRPr="00460261">
        <w:t xml:space="preserve"> The District</w:t>
      </w:r>
      <w:r w:rsidR="00067DBA" w:rsidRPr="00460261">
        <w:t xml:space="preserve"> </w:t>
      </w:r>
      <w:r w:rsidR="00E65334" w:rsidRPr="00460261">
        <w:t>selected</w:t>
      </w:r>
      <w:r w:rsidR="00067DBA" w:rsidRPr="00460261">
        <w:t xml:space="preserve"> Clark</w:t>
      </w:r>
      <w:r w:rsidR="00E65334" w:rsidRPr="00460261">
        <w:t xml:space="preserve"> as its direct contractor</w:t>
      </w:r>
      <w:r w:rsidR="00067DBA" w:rsidRPr="00460261">
        <w:t xml:space="preserve"> (§ 8108)</w:t>
      </w:r>
      <w:r w:rsidR="002C3A55" w:rsidRPr="00460261">
        <w:t>.</w:t>
      </w:r>
      <w:r w:rsidR="00067DBA" w:rsidRPr="00460261">
        <w:t xml:space="preserve"> </w:t>
      </w:r>
      <w:r w:rsidR="009B0E9C" w:rsidRPr="00460261">
        <w:t xml:space="preserve"> </w:t>
      </w:r>
    </w:p>
    <w:p w14:paraId="13D1B0F0" w14:textId="02EE8C60" w:rsidR="006E7F69" w:rsidRPr="00460261" w:rsidRDefault="004F2C75" w:rsidP="00985DC2">
      <w:r w:rsidRPr="00460261">
        <w:tab/>
      </w:r>
      <w:r w:rsidR="00E65334" w:rsidRPr="00460261">
        <w:t xml:space="preserve">Thereafter, </w:t>
      </w:r>
      <w:r w:rsidR="00067DBA" w:rsidRPr="00460261">
        <w:t xml:space="preserve">Clark </w:t>
      </w:r>
      <w:r w:rsidR="009B0E9C" w:rsidRPr="00460261">
        <w:t xml:space="preserve">executed </w:t>
      </w:r>
      <w:r w:rsidR="00067DBA" w:rsidRPr="00460261">
        <w:t>a su</w:t>
      </w:r>
      <w:r w:rsidR="00E65334" w:rsidRPr="00460261">
        <w:t xml:space="preserve">bcontract agreement with </w:t>
      </w:r>
      <w:proofErr w:type="spellStart"/>
      <w:r w:rsidR="00E65334" w:rsidRPr="00460261">
        <w:t>Crosno</w:t>
      </w:r>
      <w:proofErr w:type="spellEnd"/>
      <w:r w:rsidR="00E65334" w:rsidRPr="00460261">
        <w:t xml:space="preserve">. </w:t>
      </w:r>
      <w:r w:rsidR="00067DBA" w:rsidRPr="00460261">
        <w:t xml:space="preserve"> </w:t>
      </w:r>
      <w:proofErr w:type="spellStart"/>
      <w:r w:rsidR="00067DBA" w:rsidRPr="00460261">
        <w:t>Crosno</w:t>
      </w:r>
      <w:proofErr w:type="spellEnd"/>
      <w:r w:rsidR="00067DBA" w:rsidRPr="00460261">
        <w:t xml:space="preserve"> agreed to fabricate, erect, and coat two 250,000-gallon welded steel water reservoir tanks</w:t>
      </w:r>
      <w:r w:rsidR="009B0E9C" w:rsidRPr="00460261">
        <w:t xml:space="preserve"> for </w:t>
      </w:r>
      <w:r w:rsidR="00E65334" w:rsidRPr="00460261">
        <w:t xml:space="preserve">the </w:t>
      </w:r>
      <w:r w:rsidR="00E65334" w:rsidRPr="00460261">
        <w:lastRenderedPageBreak/>
        <w:t xml:space="preserve">sum of </w:t>
      </w:r>
      <w:r w:rsidR="009B0E9C" w:rsidRPr="00460261">
        <w:t>$630,000</w:t>
      </w:r>
      <w:r w:rsidR="00067DBA" w:rsidRPr="00460261">
        <w:t xml:space="preserve">. </w:t>
      </w:r>
      <w:r w:rsidR="007367A1" w:rsidRPr="00460261">
        <w:t xml:space="preserve"> </w:t>
      </w:r>
      <w:r w:rsidR="009B0E9C" w:rsidRPr="00460261">
        <w:t xml:space="preserve">Among other </w:t>
      </w:r>
      <w:r w:rsidR="00980C13" w:rsidRPr="00460261">
        <w:t xml:space="preserve">terms, the subcontract </w:t>
      </w:r>
      <w:r w:rsidR="009B0E9C" w:rsidRPr="00460261">
        <w:t>required</w:t>
      </w:r>
      <w:r w:rsidR="00980C13" w:rsidRPr="00460261">
        <w:t xml:space="preserve"> </w:t>
      </w:r>
      <w:proofErr w:type="spellStart"/>
      <w:r w:rsidR="005D31E7" w:rsidRPr="00460261">
        <w:t>Crosno</w:t>
      </w:r>
      <w:proofErr w:type="spellEnd"/>
      <w:r w:rsidR="005D31E7" w:rsidRPr="00460261">
        <w:t xml:space="preserve"> </w:t>
      </w:r>
      <w:r w:rsidR="009B0E9C" w:rsidRPr="00460261">
        <w:t>to</w:t>
      </w:r>
      <w:r w:rsidR="005D31E7" w:rsidRPr="00460261">
        <w:t xml:space="preserve"> be paid </w:t>
      </w:r>
      <w:r w:rsidR="009B0E9C" w:rsidRPr="00460261">
        <w:t xml:space="preserve">for labor and material </w:t>
      </w:r>
      <w:r w:rsidR="005D31E7" w:rsidRPr="00460261">
        <w:t>in monthly progress payments</w:t>
      </w:r>
      <w:r w:rsidR="00BA20C9" w:rsidRPr="00460261">
        <w:t>, subject to a retention,</w:t>
      </w:r>
      <w:r w:rsidR="00E65334" w:rsidRPr="00460261">
        <w:t xml:space="preserve"> upon receipt of </w:t>
      </w:r>
      <w:r w:rsidR="00517A25" w:rsidRPr="00460261">
        <w:t>payment</w:t>
      </w:r>
      <w:r w:rsidR="00BA20C9" w:rsidRPr="00460261">
        <w:t>s</w:t>
      </w:r>
      <w:r w:rsidR="00517A25" w:rsidRPr="00460261">
        <w:t xml:space="preserve"> from the District.</w:t>
      </w:r>
      <w:r w:rsidR="00E65334" w:rsidRPr="00460261">
        <w:rPr>
          <w:rStyle w:val="FootnoteReference"/>
        </w:rPr>
        <w:footnoteReference w:id="2"/>
      </w:r>
      <w:r w:rsidR="005D31E7" w:rsidRPr="00460261">
        <w:t xml:space="preserve">  </w:t>
      </w:r>
      <w:r w:rsidR="00517A25" w:rsidRPr="00460261">
        <w:t xml:space="preserve">Critical to this case, the subcontract further contained the following </w:t>
      </w:r>
      <w:r w:rsidR="006E7F69" w:rsidRPr="00460261">
        <w:t xml:space="preserve">pay-when-paid provision in the event the District </w:t>
      </w:r>
      <w:r w:rsidR="006E7F69" w:rsidRPr="00460261">
        <w:rPr>
          <w:i/>
        </w:rPr>
        <w:t>delayed</w:t>
      </w:r>
      <w:r w:rsidR="006E7F69" w:rsidRPr="00460261">
        <w:t xml:space="preserve"> </w:t>
      </w:r>
      <w:r w:rsidR="00BA20C9" w:rsidRPr="00460261">
        <w:t>making</w:t>
      </w:r>
      <w:r w:rsidR="00980C13" w:rsidRPr="00460261">
        <w:t xml:space="preserve"> </w:t>
      </w:r>
      <w:r w:rsidR="006E7F69" w:rsidRPr="00460261">
        <w:t>payment</w:t>
      </w:r>
      <w:r w:rsidR="00980C13" w:rsidRPr="00460261">
        <w:t>s</w:t>
      </w:r>
      <w:r w:rsidR="006E7F69" w:rsidRPr="00460261">
        <w:t xml:space="preserve"> to Clark:</w:t>
      </w:r>
    </w:p>
    <w:p w14:paraId="6E7D9E68" w14:textId="1614F369" w:rsidR="00CC7F0A" w:rsidRPr="00460261" w:rsidRDefault="00B66EC7" w:rsidP="006E7F69">
      <w:pPr>
        <w:pStyle w:val="IndentedQuote"/>
      </w:pPr>
      <w:r>
        <w:t>"</w:t>
      </w:r>
      <w:r w:rsidR="006E7F69" w:rsidRPr="00460261">
        <w:t xml:space="preserve">If Owner or other responsible party delays in making any payment to Contractor from which payment to Subcontractor is to be made, Contractor and its sureties shall have a reasonable time to make payment to Subcontractor.  </w:t>
      </w:r>
      <w:r>
        <w:t>'</w:t>
      </w:r>
      <w:r w:rsidR="006E7F69" w:rsidRPr="00460261">
        <w:t>Reasonable time</w:t>
      </w:r>
      <w:r>
        <w:t>'</w:t>
      </w:r>
      <w:r w:rsidR="006E7F69" w:rsidRPr="00460261">
        <w:t xml:space="preserve"> shall be determined according to the relevant circumstances, but in no event shall be less than the time Contractor and Subcontractor require to pursue to conclusion their legal remedies against Owner or other responsible party to obtain payment, including (but not limited to) mechanics</w:t>
      </w:r>
      <w:r>
        <w:t>'</w:t>
      </w:r>
      <w:r w:rsidR="006E7F69" w:rsidRPr="00460261">
        <w:t xml:space="preserve"> lien remedies.</w:t>
      </w:r>
      <w:r>
        <w:t>"</w:t>
      </w:r>
      <w:r w:rsidR="006E7F69" w:rsidRPr="00460261">
        <w:t xml:space="preserve">  </w:t>
      </w:r>
    </w:p>
    <w:p w14:paraId="6432F6F6" w14:textId="77777777" w:rsidR="006E7F69" w:rsidRPr="00460261" w:rsidRDefault="006E7F69" w:rsidP="006E7F69">
      <w:pPr>
        <w:pStyle w:val="IndentedQuote"/>
      </w:pPr>
    </w:p>
    <w:p w14:paraId="12392CE3" w14:textId="06EFCF05" w:rsidR="00067DBA" w:rsidRPr="00460261" w:rsidRDefault="005D31E7" w:rsidP="00985DC2">
      <w:r w:rsidRPr="00460261">
        <w:tab/>
      </w:r>
      <w:proofErr w:type="spellStart"/>
      <w:r w:rsidRPr="00460261">
        <w:t>Crosno</w:t>
      </w:r>
      <w:proofErr w:type="spellEnd"/>
      <w:r w:rsidRPr="00460261">
        <w:t xml:space="preserve"> </w:t>
      </w:r>
      <w:r w:rsidR="00375A45" w:rsidRPr="00460261">
        <w:t>began work</w:t>
      </w:r>
      <w:r w:rsidRPr="00460261">
        <w:t xml:space="preserve"> </w:t>
      </w:r>
      <w:r w:rsidR="00CC7F0A" w:rsidRPr="00460261">
        <w:t>in March</w:t>
      </w:r>
      <w:r w:rsidRPr="00460261">
        <w:t xml:space="preserve"> 2014.  On November 6, </w:t>
      </w:r>
      <w:r w:rsidR="009B0E9C" w:rsidRPr="00460261">
        <w:t xml:space="preserve">it was </w:t>
      </w:r>
      <w:r w:rsidR="00BA20C9" w:rsidRPr="00460261">
        <w:t>ordered</w:t>
      </w:r>
      <w:r w:rsidR="009B0E9C" w:rsidRPr="00460261">
        <w:t xml:space="preserve"> to </w:t>
      </w:r>
      <w:r w:rsidR="00635A8B" w:rsidRPr="00460261">
        <w:t xml:space="preserve">halt work </w:t>
      </w:r>
      <w:r w:rsidR="009B0E9C" w:rsidRPr="00460261">
        <w:t xml:space="preserve">because </w:t>
      </w:r>
      <w:r w:rsidR="00BA20C9" w:rsidRPr="00460261">
        <w:t xml:space="preserve">a dispute </w:t>
      </w:r>
      <w:r w:rsidR="00635A8B" w:rsidRPr="00460261">
        <w:t xml:space="preserve">had arisen </w:t>
      </w:r>
      <w:r w:rsidR="00AA3978" w:rsidRPr="00460261">
        <w:t xml:space="preserve">between </w:t>
      </w:r>
      <w:r w:rsidRPr="00460261">
        <w:t xml:space="preserve">Clark and the District.  By that point, </w:t>
      </w:r>
      <w:proofErr w:type="spellStart"/>
      <w:r w:rsidRPr="00460261">
        <w:t>Crosno</w:t>
      </w:r>
      <w:proofErr w:type="spellEnd"/>
      <w:r w:rsidRPr="00460261">
        <w:t xml:space="preserve"> had supplied and fabricated the steel, shop-primed the steel, transported the steel to the site, </w:t>
      </w:r>
      <w:r w:rsidRPr="00460261">
        <w:lastRenderedPageBreak/>
        <w:t xml:space="preserve">erected the two 250,000-gallon tanks, and </w:t>
      </w:r>
      <w:r w:rsidR="00AA3978" w:rsidRPr="00460261">
        <w:t>alm</w:t>
      </w:r>
      <w:r w:rsidRPr="00460261">
        <w:t xml:space="preserve">ost completed </w:t>
      </w:r>
      <w:r w:rsidR="00AA3978" w:rsidRPr="00460261">
        <w:t xml:space="preserve">field </w:t>
      </w:r>
      <w:r w:rsidRPr="00460261">
        <w:t xml:space="preserve">coating work.  Most of the </w:t>
      </w:r>
      <w:r w:rsidR="00D26287" w:rsidRPr="00460261">
        <w:t xml:space="preserve">submitted </w:t>
      </w:r>
      <w:r w:rsidRPr="00460261">
        <w:t xml:space="preserve">invoices remained unpaid, </w:t>
      </w:r>
      <w:r w:rsidR="00CC7F0A" w:rsidRPr="00460261">
        <w:t xml:space="preserve">with a total of $562,435 </w:t>
      </w:r>
      <w:r w:rsidR="002C3A55" w:rsidRPr="00460261">
        <w:t xml:space="preserve">owed to </w:t>
      </w:r>
      <w:proofErr w:type="spellStart"/>
      <w:r w:rsidR="002C3A55" w:rsidRPr="00460261">
        <w:t>Crosno</w:t>
      </w:r>
      <w:proofErr w:type="spellEnd"/>
      <w:r w:rsidR="002C3A55" w:rsidRPr="00460261">
        <w:t xml:space="preserve"> for </w:t>
      </w:r>
      <w:r w:rsidR="009B0E9C" w:rsidRPr="00460261">
        <w:t>the work completed to that point</w:t>
      </w:r>
      <w:r w:rsidR="002C3A55" w:rsidRPr="00460261">
        <w:t>.</w:t>
      </w:r>
      <w:r w:rsidR="00AA3978" w:rsidRPr="00460261">
        <w:t xml:space="preserve"> </w:t>
      </w:r>
    </w:p>
    <w:p w14:paraId="367BBB0F" w14:textId="57B2D1AF" w:rsidR="0083280E" w:rsidRPr="00460261" w:rsidRDefault="00CC7F0A" w:rsidP="00985DC2">
      <w:r w:rsidRPr="00460261">
        <w:tab/>
      </w:r>
      <w:r w:rsidR="002907ED" w:rsidRPr="00460261">
        <w:t xml:space="preserve">The next day (November 7) </w:t>
      </w:r>
      <w:proofErr w:type="spellStart"/>
      <w:r w:rsidR="00BA20C9" w:rsidRPr="00460261">
        <w:t>Crosno</w:t>
      </w:r>
      <w:proofErr w:type="spellEnd"/>
      <w:r w:rsidR="00BA20C9" w:rsidRPr="00460261">
        <w:t xml:space="preserve"> filed a stop payment notice with the District</w:t>
      </w:r>
      <w:r w:rsidR="00AA3978" w:rsidRPr="00460261">
        <w:t>.</w:t>
      </w:r>
      <w:r w:rsidRPr="00460261">
        <w:t xml:space="preserve">  </w:t>
      </w:r>
      <w:r w:rsidR="00E86D7F" w:rsidRPr="00460261">
        <w:t>Two weeks later</w:t>
      </w:r>
      <w:r w:rsidRPr="00460261">
        <w:t xml:space="preserve">, Clark </w:t>
      </w:r>
      <w:r w:rsidR="009B0E9C" w:rsidRPr="00460261">
        <w:t>told</w:t>
      </w:r>
      <w:r w:rsidRPr="00460261">
        <w:t xml:space="preserve"> </w:t>
      </w:r>
      <w:proofErr w:type="spellStart"/>
      <w:r w:rsidRPr="00460261">
        <w:t>Crosno</w:t>
      </w:r>
      <w:proofErr w:type="spellEnd"/>
      <w:r w:rsidRPr="00460261">
        <w:t xml:space="preserve"> the District had terminated its </w:t>
      </w:r>
      <w:r w:rsidR="00AA3978" w:rsidRPr="00460261">
        <w:t>contract</w:t>
      </w:r>
      <w:r w:rsidRPr="00460261">
        <w:t xml:space="preserve">.  </w:t>
      </w:r>
      <w:r w:rsidR="009B0E9C" w:rsidRPr="00460261">
        <w:t xml:space="preserve">This meant that Clark could not pay </w:t>
      </w:r>
      <w:proofErr w:type="spellStart"/>
      <w:r w:rsidR="009B0E9C" w:rsidRPr="00460261">
        <w:t>Crosno</w:t>
      </w:r>
      <w:proofErr w:type="spellEnd"/>
      <w:r w:rsidR="009B0E9C" w:rsidRPr="00460261">
        <w:t xml:space="preserve"> </w:t>
      </w:r>
      <w:r w:rsidR="00BF140F" w:rsidRPr="00460261">
        <w:t xml:space="preserve">the $562,435 owed </w:t>
      </w:r>
      <w:r w:rsidR="009B0E9C" w:rsidRPr="00460261">
        <w:t xml:space="preserve">for </w:t>
      </w:r>
      <w:r w:rsidR="00BF140F" w:rsidRPr="00460261">
        <w:t>completed work</w:t>
      </w:r>
      <w:r w:rsidR="009B0E9C" w:rsidRPr="00460261">
        <w:t xml:space="preserve">.  </w:t>
      </w:r>
    </w:p>
    <w:p w14:paraId="43C409F0" w14:textId="2848CD7D" w:rsidR="007C2C1A" w:rsidRPr="00460261" w:rsidRDefault="0083280E" w:rsidP="00985DC2">
      <w:r w:rsidRPr="00460261">
        <w:tab/>
      </w:r>
      <w:r w:rsidR="009B0E9C" w:rsidRPr="00460261">
        <w:t>On</w:t>
      </w:r>
      <w:r w:rsidR="00CC7F0A" w:rsidRPr="00460261">
        <w:t xml:space="preserve"> December 18, 2014, </w:t>
      </w:r>
      <w:proofErr w:type="spellStart"/>
      <w:r w:rsidR="00CC7F0A" w:rsidRPr="00460261">
        <w:t>Crosno</w:t>
      </w:r>
      <w:proofErr w:type="spellEnd"/>
      <w:r w:rsidR="00CC7F0A" w:rsidRPr="00460261">
        <w:t xml:space="preserve"> gave Travelers a written notice of its claim under the payment bond.  </w:t>
      </w:r>
      <w:r w:rsidR="00635A8B" w:rsidRPr="00460261">
        <w:t>The following month</w:t>
      </w:r>
      <w:r w:rsidR="00E16472" w:rsidRPr="00460261">
        <w:t xml:space="preserve">, Travelers </w:t>
      </w:r>
      <w:r w:rsidR="00BA20C9" w:rsidRPr="00460261">
        <w:t>replied by letter rejecting the</w:t>
      </w:r>
      <w:r w:rsidR="00E16472" w:rsidRPr="00460261">
        <w:t xml:space="preserve"> bond claim as </w:t>
      </w:r>
      <w:r w:rsidR="00E86D7F" w:rsidRPr="00460261">
        <w:t xml:space="preserve">premature.  </w:t>
      </w:r>
      <w:r w:rsidR="00635A8B" w:rsidRPr="00460261">
        <w:t>Invoking</w:t>
      </w:r>
      <w:r w:rsidR="00E86D7F" w:rsidRPr="00460261">
        <w:t xml:space="preserve"> the </w:t>
      </w:r>
      <w:r w:rsidR="00CC7F0A" w:rsidRPr="00460261">
        <w:t xml:space="preserve">pay-when-paid provision in </w:t>
      </w:r>
      <w:proofErr w:type="spellStart"/>
      <w:r w:rsidR="00635A8B" w:rsidRPr="00460261">
        <w:t>Crosno</w:t>
      </w:r>
      <w:r w:rsidR="00B66EC7">
        <w:t>'</w:t>
      </w:r>
      <w:r w:rsidR="00635A8B" w:rsidRPr="00460261">
        <w:t>s</w:t>
      </w:r>
      <w:proofErr w:type="spellEnd"/>
      <w:r w:rsidR="00635A8B" w:rsidRPr="00460261">
        <w:t xml:space="preserve"> </w:t>
      </w:r>
      <w:r w:rsidR="00CC7F0A" w:rsidRPr="00460261">
        <w:t>subcontract</w:t>
      </w:r>
      <w:r w:rsidR="00BA20C9" w:rsidRPr="00460261">
        <w:t>, Travelers asserted that</w:t>
      </w:r>
      <w:r w:rsidR="00E86D7F" w:rsidRPr="00460261">
        <w:t xml:space="preserve"> </w:t>
      </w:r>
      <w:r w:rsidR="00CC7F0A" w:rsidRPr="00460261">
        <w:t>no funds were due until Clark</w:t>
      </w:r>
      <w:r w:rsidR="00B66EC7">
        <w:t>'</w:t>
      </w:r>
      <w:r w:rsidR="00CC7F0A" w:rsidRPr="00460261">
        <w:t xml:space="preserve">s </w:t>
      </w:r>
      <w:r w:rsidR="00742A5F" w:rsidRPr="00460261">
        <w:t xml:space="preserve">then-pending </w:t>
      </w:r>
      <w:r w:rsidR="00F83722" w:rsidRPr="00460261">
        <w:t>lawsuit</w:t>
      </w:r>
      <w:r w:rsidR="00E86D7F" w:rsidRPr="00460261">
        <w:t xml:space="preserve"> against the District concluded.</w:t>
      </w:r>
      <w:r w:rsidR="00A40A21" w:rsidRPr="00460261">
        <w:t xml:space="preserve"> </w:t>
      </w:r>
      <w:r w:rsidR="00635A8B" w:rsidRPr="00460261">
        <w:t>Specifically, Travelers was referring to a lawsuit filed j</w:t>
      </w:r>
      <w:r w:rsidR="00742A5F" w:rsidRPr="00460261">
        <w:t>ust days before</w:t>
      </w:r>
      <w:r w:rsidR="00635A8B" w:rsidRPr="00460261">
        <w:t xml:space="preserve"> in which</w:t>
      </w:r>
      <w:r w:rsidR="00742A5F" w:rsidRPr="00460261">
        <w:t xml:space="preserve"> Clark </w:t>
      </w:r>
      <w:r w:rsidR="003C3519" w:rsidRPr="00460261">
        <w:t xml:space="preserve">had </w:t>
      </w:r>
      <w:r w:rsidR="00742A5F" w:rsidRPr="00460261">
        <w:t xml:space="preserve">sued </w:t>
      </w:r>
      <w:r w:rsidR="00A40A21" w:rsidRPr="00460261">
        <w:t xml:space="preserve">the District for </w:t>
      </w:r>
      <w:r w:rsidR="007C2C1A" w:rsidRPr="00460261">
        <w:t>breach of contract, breach of implied warranty, and declaratory relief.</w:t>
      </w:r>
      <w:r w:rsidR="001C2501" w:rsidRPr="00460261">
        <w:rPr>
          <w:rStyle w:val="FootnoteReference"/>
        </w:rPr>
        <w:footnoteReference w:id="3"/>
      </w:r>
      <w:r w:rsidR="007C2C1A" w:rsidRPr="00460261">
        <w:t xml:space="preserve"> </w:t>
      </w:r>
    </w:p>
    <w:p w14:paraId="52BE0DB5" w14:textId="352246A0" w:rsidR="00A40A21" w:rsidRPr="00460261" w:rsidRDefault="00F83722" w:rsidP="00985DC2">
      <w:r w:rsidRPr="00460261">
        <w:tab/>
      </w:r>
      <w:proofErr w:type="spellStart"/>
      <w:r w:rsidR="002907ED" w:rsidRPr="00460261">
        <w:t>Crosno</w:t>
      </w:r>
      <w:proofErr w:type="spellEnd"/>
      <w:r w:rsidR="002907ED" w:rsidRPr="00460261">
        <w:t xml:space="preserve"> </w:t>
      </w:r>
      <w:r w:rsidR="003C3519" w:rsidRPr="00460261">
        <w:t xml:space="preserve">initially </w:t>
      </w:r>
      <w:r w:rsidR="002907ED" w:rsidRPr="00460261">
        <w:t xml:space="preserve">filed suit </w:t>
      </w:r>
      <w:r w:rsidR="00A40A21" w:rsidRPr="00460261">
        <w:t xml:space="preserve">in Kern County </w:t>
      </w:r>
      <w:r w:rsidR="005942BA" w:rsidRPr="00460261">
        <w:t xml:space="preserve">to recover the $562,435 </w:t>
      </w:r>
      <w:r w:rsidR="00742A5F" w:rsidRPr="00460261">
        <w:t>due</w:t>
      </w:r>
      <w:r w:rsidR="001C2501" w:rsidRPr="00460261">
        <w:t xml:space="preserve"> </w:t>
      </w:r>
      <w:r w:rsidR="00C80A47" w:rsidRPr="00460261">
        <w:t>(No.</w:t>
      </w:r>
      <w:r w:rsidR="0067514E">
        <w:t> </w:t>
      </w:r>
      <w:r w:rsidR="00C80A47" w:rsidRPr="00460261">
        <w:t>S-1500-CV-284661)</w:t>
      </w:r>
      <w:r w:rsidR="005942BA" w:rsidRPr="00460261">
        <w:t xml:space="preserve">.  </w:t>
      </w:r>
      <w:r w:rsidR="00C80A47" w:rsidRPr="00460261">
        <w:t xml:space="preserve">The first two causes of action, alleging </w:t>
      </w:r>
      <w:r w:rsidR="00742A5F" w:rsidRPr="00460261">
        <w:t>breach of contract as to Clark and enforcement of the stop notice as to the District</w:t>
      </w:r>
      <w:r w:rsidR="00C80A47" w:rsidRPr="00460261">
        <w:t xml:space="preserve">, are not relevant to this appeal. </w:t>
      </w:r>
      <w:r w:rsidR="005942BA" w:rsidRPr="00460261">
        <w:t xml:space="preserve"> </w:t>
      </w:r>
      <w:proofErr w:type="spellStart"/>
      <w:r w:rsidR="00C80A47" w:rsidRPr="00460261">
        <w:t>Crosno</w:t>
      </w:r>
      <w:r w:rsidR="00B66EC7">
        <w:t>'</w:t>
      </w:r>
      <w:r w:rsidR="00C80A47" w:rsidRPr="00460261">
        <w:t>s</w:t>
      </w:r>
      <w:proofErr w:type="spellEnd"/>
      <w:r w:rsidR="005942BA" w:rsidRPr="00460261">
        <w:t xml:space="preserve"> third cause of action </w:t>
      </w:r>
      <w:r w:rsidR="00BF140F" w:rsidRPr="00460261">
        <w:t xml:space="preserve">was </w:t>
      </w:r>
      <w:r w:rsidR="005942BA" w:rsidRPr="00460261">
        <w:t xml:space="preserve">against Travelers for recovery on the payment bond. </w:t>
      </w:r>
      <w:r w:rsidR="007B772E" w:rsidRPr="00460261">
        <w:t xml:space="preserve"> </w:t>
      </w:r>
      <w:r w:rsidR="00BF140F" w:rsidRPr="00460261">
        <w:t>Travelers filed an a</w:t>
      </w:r>
      <w:r w:rsidR="00C80A47" w:rsidRPr="00460261">
        <w:t>nswer</w:t>
      </w:r>
      <w:r w:rsidR="00A40A21" w:rsidRPr="00460261">
        <w:t xml:space="preserve">, </w:t>
      </w:r>
      <w:r w:rsidR="00BF140F" w:rsidRPr="00460261">
        <w:t>asserting</w:t>
      </w:r>
      <w:r w:rsidR="00A40A21" w:rsidRPr="00460261">
        <w:t xml:space="preserve"> among its affirmative defenses any defense </w:t>
      </w:r>
      <w:r w:rsidR="00C80A47" w:rsidRPr="00460261">
        <w:t xml:space="preserve">held by </w:t>
      </w:r>
      <w:r w:rsidR="00C80A47" w:rsidRPr="00460261">
        <w:lastRenderedPageBreak/>
        <w:t>bond principal Clark</w:t>
      </w:r>
      <w:r w:rsidR="00A40A21" w:rsidRPr="00460261">
        <w:t xml:space="preserve">.  </w:t>
      </w:r>
      <w:proofErr w:type="spellStart"/>
      <w:r w:rsidR="00A40A21" w:rsidRPr="00460261">
        <w:t>Crosno</w:t>
      </w:r>
      <w:r w:rsidR="00B66EC7">
        <w:t>'</w:t>
      </w:r>
      <w:r w:rsidR="00A40A21" w:rsidRPr="00460261">
        <w:t>s</w:t>
      </w:r>
      <w:proofErr w:type="spellEnd"/>
      <w:r w:rsidR="00A40A21" w:rsidRPr="00460261">
        <w:t xml:space="preserve"> action was </w:t>
      </w:r>
      <w:r w:rsidR="00C80A47" w:rsidRPr="00460261">
        <w:t>later</w:t>
      </w:r>
      <w:r w:rsidR="00A40A21" w:rsidRPr="00460261">
        <w:t xml:space="preserve"> transferred to San Bernardino </w:t>
      </w:r>
      <w:r w:rsidR="00C80A47" w:rsidRPr="00460261">
        <w:t xml:space="preserve">County </w:t>
      </w:r>
      <w:r w:rsidR="00A40A21" w:rsidRPr="00460261">
        <w:t>and consolidated for all purposes with Clark</w:t>
      </w:r>
      <w:r w:rsidR="00B66EC7">
        <w:t>'</w:t>
      </w:r>
      <w:r w:rsidR="00A40A21" w:rsidRPr="00460261">
        <w:t xml:space="preserve">s </w:t>
      </w:r>
      <w:r w:rsidR="001C2501" w:rsidRPr="00460261">
        <w:t xml:space="preserve">pending </w:t>
      </w:r>
      <w:r w:rsidR="00A40A21" w:rsidRPr="00460261">
        <w:t xml:space="preserve">action against the District. </w:t>
      </w:r>
    </w:p>
    <w:p w14:paraId="6020CA91" w14:textId="67FE0C09" w:rsidR="005C7DBA" w:rsidRPr="00460261" w:rsidRDefault="007B772E" w:rsidP="00985DC2">
      <w:r w:rsidRPr="00460261">
        <w:tab/>
      </w:r>
      <w:r w:rsidR="003C3519" w:rsidRPr="00460261">
        <w:t>Roughly a year later</w:t>
      </w:r>
      <w:r w:rsidRPr="00460261">
        <w:t xml:space="preserve"> </w:t>
      </w:r>
      <w:proofErr w:type="spellStart"/>
      <w:r w:rsidR="00CF0D08" w:rsidRPr="00460261">
        <w:t>Crosno</w:t>
      </w:r>
      <w:proofErr w:type="spellEnd"/>
      <w:r w:rsidR="00CF0D08" w:rsidRPr="00460261">
        <w:t xml:space="preserve"> filed a motion for summary judgment </w:t>
      </w:r>
      <w:r w:rsidR="00BF140F" w:rsidRPr="00460261">
        <w:t xml:space="preserve">or </w:t>
      </w:r>
      <w:r w:rsidR="002907ED" w:rsidRPr="00460261">
        <w:t xml:space="preserve">summary </w:t>
      </w:r>
      <w:r w:rsidR="00BF140F" w:rsidRPr="00460261">
        <w:t xml:space="preserve">adjudication as to </w:t>
      </w:r>
      <w:r w:rsidR="00CF0D08" w:rsidRPr="00460261">
        <w:t xml:space="preserve">its payment bond </w:t>
      </w:r>
      <w:r w:rsidR="002907ED" w:rsidRPr="00460261">
        <w:t xml:space="preserve">cause of </w:t>
      </w:r>
      <w:r w:rsidR="00F91B9E" w:rsidRPr="00460261">
        <w:t>action</w:t>
      </w:r>
      <w:r w:rsidR="00C80A47" w:rsidRPr="00460261">
        <w:t xml:space="preserve"> against Travelers</w:t>
      </w:r>
      <w:r w:rsidR="00CF0D08" w:rsidRPr="00460261">
        <w:t xml:space="preserve">.  </w:t>
      </w:r>
      <w:r w:rsidR="003C3519" w:rsidRPr="00460261">
        <w:t>It</w:t>
      </w:r>
      <w:r w:rsidR="005C7DBA" w:rsidRPr="00460261">
        <w:t xml:space="preserve"> argued that the pay-when-paid provision in </w:t>
      </w:r>
      <w:r w:rsidR="003C3519" w:rsidRPr="00460261">
        <w:t>the</w:t>
      </w:r>
      <w:r w:rsidR="005C7DBA" w:rsidRPr="00460261">
        <w:t xml:space="preserve"> subcontract was void and unenforceable because </w:t>
      </w:r>
      <w:proofErr w:type="spellStart"/>
      <w:r w:rsidR="002907ED" w:rsidRPr="00460261">
        <w:t>Crosno</w:t>
      </w:r>
      <w:proofErr w:type="spellEnd"/>
      <w:r w:rsidR="005C7DBA" w:rsidRPr="00460261">
        <w:t xml:space="preserve"> had </w:t>
      </w:r>
      <w:r w:rsidR="003C3519" w:rsidRPr="00460261">
        <w:t>never</w:t>
      </w:r>
      <w:r w:rsidR="005C7DBA" w:rsidRPr="00460261">
        <w:t xml:space="preserve"> executed a waiver and release required under section 8122 to </w:t>
      </w:r>
      <w:r w:rsidR="002907ED" w:rsidRPr="00460261">
        <w:t xml:space="preserve">validly </w:t>
      </w:r>
      <w:r w:rsidR="00B66EC7">
        <w:t>"</w:t>
      </w:r>
      <w:r w:rsidR="005C7DBA" w:rsidRPr="00460261">
        <w:t>waive, affect, or impair</w:t>
      </w:r>
      <w:r w:rsidR="00B66EC7">
        <w:t>"</w:t>
      </w:r>
      <w:r w:rsidR="005C7DBA" w:rsidRPr="00460261">
        <w:t xml:space="preserve"> its payment bond rights. </w:t>
      </w:r>
      <w:r w:rsidR="00BD0F57" w:rsidRPr="00460261">
        <w:t xml:space="preserve"> </w:t>
      </w:r>
      <w:r w:rsidR="000E3E78" w:rsidRPr="00460261">
        <w:t>It</w:t>
      </w:r>
      <w:r w:rsidR="0078404D" w:rsidRPr="00460261">
        <w:t xml:space="preserve"> </w:t>
      </w:r>
      <w:r w:rsidR="002907ED" w:rsidRPr="00460261">
        <w:t xml:space="preserve">further </w:t>
      </w:r>
      <w:r w:rsidR="003C3519" w:rsidRPr="00460261">
        <w:t>asserted</w:t>
      </w:r>
      <w:r w:rsidR="0078404D" w:rsidRPr="00460261">
        <w:t xml:space="preserve"> that Travelers could not rely on the subcontract provision given the independent nature of the payment bond remedy. </w:t>
      </w:r>
    </w:p>
    <w:p w14:paraId="65081981" w14:textId="7FF54848" w:rsidR="007B772E" w:rsidRPr="00460261" w:rsidRDefault="005C7DBA" w:rsidP="00985DC2">
      <w:r w:rsidRPr="00460261">
        <w:tab/>
      </w:r>
      <w:r w:rsidR="00BD0F57" w:rsidRPr="00460261">
        <w:t xml:space="preserve">Opposing the motion, </w:t>
      </w:r>
      <w:r w:rsidR="0078404D" w:rsidRPr="00460261">
        <w:t>Travelers</w:t>
      </w:r>
      <w:r w:rsidR="00CF6AE5" w:rsidRPr="00460261">
        <w:t xml:space="preserve"> did not dispute the essential facts underlying </w:t>
      </w:r>
      <w:proofErr w:type="spellStart"/>
      <w:r w:rsidR="00CF0D08" w:rsidRPr="00460261">
        <w:t>Crosno</w:t>
      </w:r>
      <w:r w:rsidR="00B66EC7">
        <w:t>'</w:t>
      </w:r>
      <w:r w:rsidR="00CF0D08" w:rsidRPr="00460261">
        <w:t>s</w:t>
      </w:r>
      <w:proofErr w:type="spellEnd"/>
      <w:r w:rsidR="00CF0D08" w:rsidRPr="00460261">
        <w:t xml:space="preserve"> </w:t>
      </w:r>
      <w:r w:rsidR="000E3E78" w:rsidRPr="00460261">
        <w:t>right to payment</w:t>
      </w:r>
      <w:r w:rsidR="00CF0D08" w:rsidRPr="00460261">
        <w:t xml:space="preserve">.  </w:t>
      </w:r>
      <w:r w:rsidR="00BF140F" w:rsidRPr="00460261">
        <w:t xml:space="preserve">It instead focused on </w:t>
      </w:r>
      <w:r w:rsidR="00CF6AE5" w:rsidRPr="00460261">
        <w:t xml:space="preserve">the fact </w:t>
      </w:r>
      <w:r w:rsidR="006411A9" w:rsidRPr="00460261">
        <w:t>that litigation in Clark</w:t>
      </w:r>
      <w:r w:rsidR="00B66EC7">
        <w:t>'</w:t>
      </w:r>
      <w:r w:rsidR="006411A9" w:rsidRPr="00460261">
        <w:t xml:space="preserve">s lawsuit against the District remained pending. </w:t>
      </w:r>
      <w:r w:rsidR="0078404D" w:rsidRPr="00460261">
        <w:t xml:space="preserve"> Travelers argued (as it does on appeal) that section 8122 was not implicated because the pay-when-paid </w:t>
      </w:r>
      <w:r w:rsidR="000E3E78" w:rsidRPr="00460261">
        <w:t xml:space="preserve">clause simply set </w:t>
      </w:r>
      <w:r w:rsidR="0078404D" w:rsidRPr="00460261">
        <w:t xml:space="preserve">the time for </w:t>
      </w:r>
      <w:r w:rsidR="000E3E78" w:rsidRPr="00460261">
        <w:t xml:space="preserve">payment </w:t>
      </w:r>
      <w:r w:rsidR="0078404D" w:rsidRPr="00460261">
        <w:t xml:space="preserve">and did not waive </w:t>
      </w:r>
      <w:proofErr w:type="spellStart"/>
      <w:r w:rsidR="0078404D" w:rsidRPr="00460261">
        <w:t>Crosno</w:t>
      </w:r>
      <w:r w:rsidR="00B66EC7">
        <w:t>'</w:t>
      </w:r>
      <w:r w:rsidR="0078404D" w:rsidRPr="00460261">
        <w:t>s</w:t>
      </w:r>
      <w:proofErr w:type="spellEnd"/>
      <w:r w:rsidR="0078404D" w:rsidRPr="00460261">
        <w:t xml:space="preserve"> bond rights.  It further </w:t>
      </w:r>
      <w:r w:rsidR="000E3E78" w:rsidRPr="00460261">
        <w:t xml:space="preserve">relied on suretyship principles to argue </w:t>
      </w:r>
      <w:r w:rsidR="0078404D" w:rsidRPr="00460261">
        <w:t xml:space="preserve">that the subcontract defined its obligation as surety under the payment bond. </w:t>
      </w:r>
    </w:p>
    <w:p w14:paraId="02C75B3C" w14:textId="12E8790C" w:rsidR="0086358B" w:rsidRPr="00460261" w:rsidRDefault="001C244D" w:rsidP="00985DC2">
      <w:r w:rsidRPr="00460261">
        <w:tab/>
      </w:r>
      <w:r w:rsidR="00C80A47" w:rsidRPr="00460261">
        <w:t>The trial court grant</w:t>
      </w:r>
      <w:r w:rsidR="003C3519" w:rsidRPr="00460261">
        <w:t>ed</w:t>
      </w:r>
      <w:r w:rsidRPr="00460261">
        <w:t xml:space="preserve"> </w:t>
      </w:r>
      <w:proofErr w:type="spellStart"/>
      <w:r w:rsidRPr="00460261">
        <w:t>Crosno</w:t>
      </w:r>
      <w:r w:rsidR="00B66EC7">
        <w:t>'</w:t>
      </w:r>
      <w:r w:rsidRPr="00460261">
        <w:t>s</w:t>
      </w:r>
      <w:proofErr w:type="spellEnd"/>
      <w:r w:rsidRPr="00460261">
        <w:t xml:space="preserve"> motion.  In a detailed statement of decision, </w:t>
      </w:r>
      <w:r w:rsidR="00162DE1">
        <w:t>it</w:t>
      </w:r>
      <w:r w:rsidRPr="00460261">
        <w:t xml:space="preserve"> explained that although the payment clause in the subcontract was a </w:t>
      </w:r>
      <w:r w:rsidR="00B66EC7">
        <w:t>"</w:t>
      </w:r>
      <w:r w:rsidRPr="00460261">
        <w:t>pay-when-paid</w:t>
      </w:r>
      <w:r w:rsidR="00B66EC7">
        <w:t>"</w:t>
      </w:r>
      <w:r w:rsidRPr="00460261">
        <w:t xml:space="preserve"> provision, rather than a </w:t>
      </w:r>
      <w:r w:rsidR="00B66EC7">
        <w:t>"</w:t>
      </w:r>
      <w:r w:rsidRPr="00460261">
        <w:t>pay-if-paid</w:t>
      </w:r>
      <w:r w:rsidR="00B66EC7">
        <w:t>"</w:t>
      </w:r>
      <w:r w:rsidRPr="00460261">
        <w:t xml:space="preserve"> provision, the question remained whether applying the provision would impermissibly affect or impair </w:t>
      </w:r>
      <w:proofErr w:type="spellStart"/>
      <w:r w:rsidRPr="00460261">
        <w:t>Crosno</w:t>
      </w:r>
      <w:r w:rsidR="00B66EC7">
        <w:t>'</w:t>
      </w:r>
      <w:r w:rsidRPr="00460261">
        <w:t>s</w:t>
      </w:r>
      <w:proofErr w:type="spellEnd"/>
      <w:r w:rsidRPr="00460261">
        <w:t xml:space="preserve"> statutory payment bond </w:t>
      </w:r>
      <w:r w:rsidRPr="00460261">
        <w:lastRenderedPageBreak/>
        <w:t xml:space="preserve">rights under the </w:t>
      </w:r>
      <w:proofErr w:type="spellStart"/>
      <w:r w:rsidRPr="00460261">
        <w:t>antiwaiver</w:t>
      </w:r>
      <w:proofErr w:type="spellEnd"/>
      <w:r w:rsidRPr="00460261">
        <w:t xml:space="preserve"> </w:t>
      </w:r>
      <w:r w:rsidR="00162DE1">
        <w:t>statute</w:t>
      </w:r>
      <w:r w:rsidRPr="00460261">
        <w:t>, section 8122.</w:t>
      </w:r>
      <w:r w:rsidR="001036DE" w:rsidRPr="00460261">
        <w:rPr>
          <w:rStyle w:val="FootnoteReference"/>
        </w:rPr>
        <w:footnoteReference w:id="4"/>
      </w:r>
      <w:r w:rsidRPr="00460261">
        <w:t xml:space="preserve">  Based on </w:t>
      </w:r>
      <w:r w:rsidRPr="00460261">
        <w:rPr>
          <w:i/>
        </w:rPr>
        <w:t>Wm. R. Clark</w:t>
      </w:r>
      <w:r w:rsidR="00BF140F" w:rsidRPr="00460261">
        <w:rPr>
          <w:i/>
        </w:rPr>
        <w:t>e</w:t>
      </w:r>
      <w:r w:rsidRPr="00460261">
        <w:t xml:space="preserve"> and other authorities, the court found the </w:t>
      </w:r>
      <w:r w:rsidR="00BF140F" w:rsidRPr="00460261">
        <w:t xml:space="preserve">pay-when-paid </w:t>
      </w:r>
      <w:r w:rsidRPr="00460261">
        <w:t xml:space="preserve">provision void because it violated the policies underlying </w:t>
      </w:r>
      <w:r w:rsidR="00145430" w:rsidRPr="00460261">
        <w:t>section 8122</w:t>
      </w:r>
      <w:r w:rsidRPr="00460261">
        <w:t xml:space="preserve">. </w:t>
      </w:r>
      <w:r w:rsidR="000933C0" w:rsidRPr="00460261">
        <w:t xml:space="preserve"> </w:t>
      </w:r>
      <w:r w:rsidR="00A63FCA" w:rsidRPr="00460261">
        <w:t xml:space="preserve">Accordingly, it </w:t>
      </w:r>
      <w:r w:rsidR="00B734F8" w:rsidRPr="00460261">
        <w:t xml:space="preserve">awarded judgment in favor of </w:t>
      </w:r>
      <w:proofErr w:type="spellStart"/>
      <w:r w:rsidR="00B734F8" w:rsidRPr="00460261">
        <w:t>Crosno</w:t>
      </w:r>
      <w:proofErr w:type="spellEnd"/>
      <w:r w:rsidR="00B734F8" w:rsidRPr="00460261">
        <w:t xml:space="preserve"> against Travelers of $562,435</w:t>
      </w:r>
      <w:r w:rsidR="00BF140F" w:rsidRPr="00460261">
        <w:t>, while staying</w:t>
      </w:r>
      <w:r w:rsidR="00B734F8" w:rsidRPr="00460261">
        <w:t xml:space="preserve"> enforcement of its ruling for 60 days to allow settlement. </w:t>
      </w:r>
    </w:p>
    <w:p w14:paraId="3503B975" w14:textId="3CEC977E" w:rsidR="00B734F8" w:rsidRPr="00460261" w:rsidRDefault="00B734F8" w:rsidP="00985DC2">
      <w:r w:rsidRPr="00460261">
        <w:tab/>
      </w:r>
      <w:r w:rsidR="00145430" w:rsidRPr="00460261">
        <w:t>After the ruling</w:t>
      </w:r>
      <w:r w:rsidRPr="00460261">
        <w:t xml:space="preserve">, </w:t>
      </w:r>
      <w:proofErr w:type="spellStart"/>
      <w:r w:rsidRPr="00460261">
        <w:t>Crosno</w:t>
      </w:r>
      <w:proofErr w:type="spellEnd"/>
      <w:r w:rsidRPr="00460261">
        <w:t xml:space="preserve"> filed a motion </w:t>
      </w:r>
      <w:r w:rsidR="00145430" w:rsidRPr="00460261">
        <w:t>for</w:t>
      </w:r>
      <w:r w:rsidRPr="00460261">
        <w:t xml:space="preserve"> prejudgment interest (§ 3287, </w:t>
      </w:r>
      <w:proofErr w:type="spellStart"/>
      <w:r w:rsidRPr="00460261">
        <w:t>subd</w:t>
      </w:r>
      <w:proofErr w:type="spellEnd"/>
      <w:r w:rsidRPr="00460261">
        <w:t xml:space="preserve">. (a)).  </w:t>
      </w:r>
      <w:proofErr w:type="spellStart"/>
      <w:r w:rsidRPr="00460261">
        <w:t>Crosno</w:t>
      </w:r>
      <w:proofErr w:type="spellEnd"/>
      <w:r w:rsidRPr="00460261">
        <w:t xml:space="preserve"> urged the court to assess statutory prejudgment interest from December 18, 2014, the date that it submitted its payment bond claim to Travelers.  </w:t>
      </w:r>
      <w:r w:rsidR="00DB490D" w:rsidRPr="00460261">
        <w:t xml:space="preserve">Accepting </w:t>
      </w:r>
      <w:proofErr w:type="spellStart"/>
      <w:r w:rsidR="00DB490D" w:rsidRPr="00460261">
        <w:t>Crosno</w:t>
      </w:r>
      <w:r w:rsidR="00B66EC7">
        <w:t>'</w:t>
      </w:r>
      <w:r w:rsidR="00DB490D" w:rsidRPr="00460261">
        <w:t>s</w:t>
      </w:r>
      <w:proofErr w:type="spellEnd"/>
      <w:r w:rsidR="00DB490D" w:rsidRPr="00460261">
        <w:t xml:space="preserve"> claim, </w:t>
      </w:r>
      <w:r w:rsidR="00145430" w:rsidRPr="00460261">
        <w:t xml:space="preserve">in </w:t>
      </w:r>
      <w:r w:rsidRPr="00460261">
        <w:t xml:space="preserve">August </w:t>
      </w:r>
      <w:r w:rsidR="00BF140F" w:rsidRPr="00460261">
        <w:t>2017</w:t>
      </w:r>
      <w:r w:rsidRPr="00460261">
        <w:t xml:space="preserve"> the court entered judgment in favor of </w:t>
      </w:r>
      <w:proofErr w:type="spellStart"/>
      <w:r w:rsidRPr="00460261">
        <w:t>Crosno</w:t>
      </w:r>
      <w:proofErr w:type="spellEnd"/>
      <w:r w:rsidRPr="00460261">
        <w:t xml:space="preserve"> against Travelers for $562,435 in principal, together with </w:t>
      </w:r>
      <w:r w:rsidR="00D76F27" w:rsidRPr="00460261">
        <w:t xml:space="preserve">10 </w:t>
      </w:r>
      <w:r w:rsidR="000230D2" w:rsidRPr="00460261">
        <w:t xml:space="preserve">percent prejudgment interest from December 18, 2014. </w:t>
      </w:r>
      <w:r w:rsidR="001111A1" w:rsidRPr="00460261">
        <w:t xml:space="preserve"> Travelers appealed</w:t>
      </w:r>
      <w:r w:rsidR="00A3344A" w:rsidRPr="00460261">
        <w:t xml:space="preserve"> the judgment</w:t>
      </w:r>
      <w:r w:rsidR="001111A1" w:rsidRPr="00460261">
        <w:t xml:space="preserve">. </w:t>
      </w:r>
    </w:p>
    <w:p w14:paraId="6AEE7ADF" w14:textId="23B9266E" w:rsidR="00DB490D" w:rsidRPr="00460261" w:rsidRDefault="00DB490D" w:rsidP="00985DC2">
      <w:r w:rsidRPr="00460261">
        <w:tab/>
        <w:t xml:space="preserve">Meanwhile, Clark, </w:t>
      </w:r>
      <w:proofErr w:type="spellStart"/>
      <w:r w:rsidRPr="00460261">
        <w:t>Crosno</w:t>
      </w:r>
      <w:proofErr w:type="spellEnd"/>
      <w:r w:rsidRPr="00460261">
        <w:t>, and other entities continued settlement negotiations in Clark</w:t>
      </w:r>
      <w:r w:rsidR="00B66EC7">
        <w:t>'</w:t>
      </w:r>
      <w:r w:rsidRPr="00460261">
        <w:t xml:space="preserve">s </w:t>
      </w:r>
      <w:r w:rsidR="00635A8B" w:rsidRPr="00460261">
        <w:t xml:space="preserve">still-pending </w:t>
      </w:r>
      <w:r w:rsidRPr="00460261">
        <w:t xml:space="preserve">action against the District.  </w:t>
      </w:r>
      <w:r w:rsidR="005B0724" w:rsidRPr="00460261">
        <w:t xml:space="preserve">The District interpleaded funds to satisfy the outstanding principal judgment in favor of </w:t>
      </w:r>
      <w:proofErr w:type="spellStart"/>
      <w:r w:rsidR="005B0724" w:rsidRPr="00460261">
        <w:t>Crosno</w:t>
      </w:r>
      <w:proofErr w:type="spellEnd"/>
      <w:r w:rsidR="00635A8B" w:rsidRPr="00460261">
        <w:t xml:space="preserve"> on its bond claim</w:t>
      </w:r>
      <w:r w:rsidR="00513E6F" w:rsidRPr="00460261">
        <w:t xml:space="preserve">.  </w:t>
      </w:r>
      <w:proofErr w:type="spellStart"/>
      <w:r w:rsidR="005B0724" w:rsidRPr="00460261">
        <w:t>Crosno</w:t>
      </w:r>
      <w:proofErr w:type="spellEnd"/>
      <w:r w:rsidR="00EC005E" w:rsidRPr="00460261">
        <w:t xml:space="preserve"> later requested and received an award of $22,500 from Travelers in attorney</w:t>
      </w:r>
      <w:r w:rsidR="00B66EC7">
        <w:t>'</w:t>
      </w:r>
      <w:r w:rsidR="00EC005E" w:rsidRPr="00460261">
        <w:t xml:space="preserve">s fees.  Travelers filed a second </w:t>
      </w:r>
      <w:r w:rsidR="005B0724" w:rsidRPr="00460261">
        <w:t xml:space="preserve">notice of </w:t>
      </w:r>
      <w:r w:rsidR="00EC005E" w:rsidRPr="00460261">
        <w:t>appeal from th</w:t>
      </w:r>
      <w:r w:rsidR="00635A8B" w:rsidRPr="00460261">
        <w:t>at</w:t>
      </w:r>
      <w:r w:rsidR="00EC005E" w:rsidRPr="00460261">
        <w:t xml:space="preserve"> </w:t>
      </w:r>
      <w:proofErr w:type="spellStart"/>
      <w:r w:rsidR="00EC005E" w:rsidRPr="00460261">
        <w:t>postjudgment</w:t>
      </w:r>
      <w:proofErr w:type="spellEnd"/>
      <w:r w:rsidR="00EC005E" w:rsidRPr="00460261">
        <w:t xml:space="preserve"> </w:t>
      </w:r>
      <w:r w:rsidR="00EA11C7">
        <w:t>attorney</w:t>
      </w:r>
      <w:r w:rsidR="00B66EC7">
        <w:t>'</w:t>
      </w:r>
      <w:r w:rsidR="00EA11C7">
        <w:t>s fee award</w:t>
      </w:r>
      <w:r w:rsidR="00EC005E" w:rsidRPr="00460261">
        <w:t xml:space="preserve">.  </w:t>
      </w:r>
      <w:r w:rsidR="00EC005E" w:rsidRPr="00460261" w:rsidDel="008134D9">
        <w:t>The two appeals were consolidated</w:t>
      </w:r>
      <w:r w:rsidR="00556692" w:rsidRPr="00460261" w:rsidDel="008134D9">
        <w:t xml:space="preserve">.  </w:t>
      </w:r>
      <w:r w:rsidR="00556692" w:rsidRPr="00460261">
        <w:t xml:space="preserve">Because the judgment </w:t>
      </w:r>
      <w:r w:rsidR="00BF140F" w:rsidRPr="00460261">
        <w:t>itself has since been</w:t>
      </w:r>
      <w:r w:rsidR="00556692" w:rsidRPr="00460261">
        <w:t xml:space="preserve"> satisfied, </w:t>
      </w:r>
      <w:r w:rsidR="00513E6F" w:rsidRPr="00460261">
        <w:t>Travelers</w:t>
      </w:r>
      <w:r w:rsidR="00B66EC7">
        <w:t>'</w:t>
      </w:r>
      <w:r w:rsidR="003516EB" w:rsidRPr="00460261">
        <w:t>s</w:t>
      </w:r>
      <w:r w:rsidR="00513E6F" w:rsidRPr="00460261">
        <w:t xml:space="preserve"> appeal </w:t>
      </w:r>
      <w:r w:rsidR="009F0F91" w:rsidRPr="00460261">
        <w:t>concerns</w:t>
      </w:r>
      <w:r w:rsidR="00556692" w:rsidRPr="00460261">
        <w:t xml:space="preserve"> its</w:t>
      </w:r>
      <w:r w:rsidR="00BF140F" w:rsidRPr="00460261">
        <w:t xml:space="preserve"> </w:t>
      </w:r>
      <w:r w:rsidR="005B0724" w:rsidRPr="00460261">
        <w:t xml:space="preserve">liability for </w:t>
      </w:r>
      <w:r w:rsidR="00556692" w:rsidRPr="00460261">
        <w:t>prejudgment interest and attorney</w:t>
      </w:r>
      <w:r w:rsidR="00B66EC7">
        <w:t>'</w:t>
      </w:r>
      <w:r w:rsidR="00556692" w:rsidRPr="00460261">
        <w:t>s fees</w:t>
      </w:r>
      <w:r w:rsidR="00635A8B" w:rsidRPr="00460261">
        <w:t xml:space="preserve"> under the payment bond</w:t>
      </w:r>
      <w:r w:rsidR="00556692" w:rsidRPr="00460261">
        <w:t>.</w:t>
      </w:r>
      <w:r w:rsidR="00A35846" w:rsidRPr="00460261">
        <w:t xml:space="preserve"> </w:t>
      </w:r>
    </w:p>
    <w:p w14:paraId="59ECA4C9" w14:textId="77777777" w:rsidR="009415B8" w:rsidRPr="00460261" w:rsidRDefault="009415B8" w:rsidP="0055226B">
      <w:pPr>
        <w:pStyle w:val="Heading1"/>
      </w:pPr>
      <w:r w:rsidRPr="00460261">
        <w:lastRenderedPageBreak/>
        <w:t>DISCUSSION</w:t>
      </w:r>
    </w:p>
    <w:p w14:paraId="667AA2E3" w14:textId="12F52168" w:rsidR="009E5A99" w:rsidRPr="00460261" w:rsidRDefault="002E7F9E" w:rsidP="00985DC2">
      <w:r w:rsidRPr="00460261">
        <w:tab/>
        <w:t>The central question in this appeal is whether a surety may defend a public works payment bond action by invoking a</w:t>
      </w:r>
      <w:r w:rsidR="00902EE3" w:rsidRPr="00460261">
        <w:t>n expansive</w:t>
      </w:r>
      <w:r w:rsidRPr="00460261">
        <w:t xml:space="preserve"> </w:t>
      </w:r>
      <w:r w:rsidR="00B66EC7">
        <w:t>"</w:t>
      </w:r>
      <w:r w:rsidRPr="00460261">
        <w:t>pay-when-paid</w:t>
      </w:r>
      <w:r w:rsidR="00B66EC7">
        <w:t>"</w:t>
      </w:r>
      <w:r w:rsidRPr="00460261">
        <w:t xml:space="preserve"> provision in the construction subcontract</w:t>
      </w:r>
      <w:r w:rsidR="00EA11C7">
        <w:t xml:space="preserve"> that defers payment for an indefinite </w:t>
      </w:r>
      <w:proofErr w:type="gramStart"/>
      <w:r w:rsidR="00EA11C7">
        <w:t>period of time</w:t>
      </w:r>
      <w:proofErr w:type="gramEnd"/>
      <w:r w:rsidRPr="00460261">
        <w:t xml:space="preserve">.  </w:t>
      </w:r>
      <w:r w:rsidR="00902EE3" w:rsidRPr="00460261">
        <w:t xml:space="preserve">Specifically, may a payment bond surety turn to a </w:t>
      </w:r>
      <w:r w:rsidR="00B66EC7">
        <w:t>"</w:t>
      </w:r>
      <w:r w:rsidRPr="00460261">
        <w:t>pay-when-paid</w:t>
      </w:r>
      <w:r w:rsidR="00B66EC7">
        <w:t>"</w:t>
      </w:r>
      <w:r w:rsidRPr="00460261">
        <w:t xml:space="preserve"> provision </w:t>
      </w:r>
      <w:r w:rsidR="00EA11C7">
        <w:t xml:space="preserve">in a subcontract </w:t>
      </w:r>
      <w:r w:rsidR="00902EE3" w:rsidRPr="00460261">
        <w:t xml:space="preserve">to delay its </w:t>
      </w:r>
      <w:r w:rsidR="00EA11C7">
        <w:t xml:space="preserve">bond </w:t>
      </w:r>
      <w:r w:rsidR="00902EE3" w:rsidRPr="00460261">
        <w:t xml:space="preserve">obligation to a subcontractor until some unspecified point at which litigation between the direct contractor and project owner concludes?  </w:t>
      </w:r>
      <w:r w:rsidRPr="00460261">
        <w:t>The trial court rejected that argument</w:t>
      </w:r>
      <w:r w:rsidR="003F4263" w:rsidRPr="00460261">
        <w:t xml:space="preserve"> on summary judgment</w:t>
      </w:r>
      <w:r w:rsidRPr="00460261">
        <w:t xml:space="preserve">, applying the </w:t>
      </w:r>
      <w:r w:rsidR="003F4263" w:rsidRPr="00460261">
        <w:t xml:space="preserve">reasoning in </w:t>
      </w:r>
      <w:r w:rsidR="003F4263" w:rsidRPr="00460261">
        <w:rPr>
          <w:i/>
        </w:rPr>
        <w:t xml:space="preserve">Wm. R. Clarke </w:t>
      </w:r>
      <w:r w:rsidR="003F4263" w:rsidRPr="00460261">
        <w:t xml:space="preserve">to find the </w:t>
      </w:r>
      <w:r w:rsidR="00902EE3" w:rsidRPr="00460261">
        <w:t xml:space="preserve">specific </w:t>
      </w:r>
      <w:r w:rsidR="003F4263" w:rsidRPr="00460261">
        <w:t xml:space="preserve">pay-when-paid provision </w:t>
      </w:r>
      <w:r w:rsidR="00902EE3" w:rsidRPr="00460261">
        <w:t xml:space="preserve">at issue </w:t>
      </w:r>
      <w:r w:rsidR="003F4263" w:rsidRPr="00460261">
        <w:t xml:space="preserve">unenforceable. </w:t>
      </w:r>
      <w:r w:rsidRPr="00460261">
        <w:t xml:space="preserve"> </w:t>
      </w:r>
      <w:r w:rsidR="003F4263" w:rsidRPr="00460261">
        <w:t>Applying de novo review to this question of law on undisputed facts, we agree with the trial court</w:t>
      </w:r>
      <w:r w:rsidR="00B66EC7">
        <w:t>'</w:t>
      </w:r>
      <w:r w:rsidR="009B6915" w:rsidRPr="00460261">
        <w:t>s reasoning</w:t>
      </w:r>
      <w:r w:rsidR="00902EE3" w:rsidRPr="00460261">
        <w:t xml:space="preserve"> and affirm both the judgment and the </w:t>
      </w:r>
      <w:proofErr w:type="spellStart"/>
      <w:r w:rsidR="00902EE3" w:rsidRPr="00460261">
        <w:t>postjudgment</w:t>
      </w:r>
      <w:proofErr w:type="spellEnd"/>
      <w:r w:rsidR="00902EE3" w:rsidRPr="00460261">
        <w:t xml:space="preserve"> order.</w:t>
      </w:r>
    </w:p>
    <w:p w14:paraId="09C7BF93" w14:textId="77777777" w:rsidR="009E5A99" w:rsidRPr="00460261" w:rsidRDefault="009E5A99" w:rsidP="00B9754F">
      <w:pPr>
        <w:pStyle w:val="Heading2"/>
        <w:keepNext/>
      </w:pPr>
      <w:r w:rsidRPr="00460261">
        <w:t>1.</w:t>
      </w:r>
      <w:r w:rsidRPr="00460261">
        <w:tab/>
      </w:r>
      <w:r w:rsidR="00CE317A" w:rsidRPr="00460261">
        <w:rPr>
          <w:i/>
        </w:rPr>
        <w:t>Legal Framework</w:t>
      </w:r>
    </w:p>
    <w:p w14:paraId="4F0D2D76" w14:textId="77777777" w:rsidR="00977AA0" w:rsidRPr="00460261" w:rsidRDefault="00977AA0" w:rsidP="00B6334E">
      <w:pPr>
        <w:pStyle w:val="Heading3"/>
      </w:pPr>
      <w:r w:rsidRPr="00460261">
        <w:rPr>
          <w:i w:val="0"/>
        </w:rPr>
        <w:t>a.</w:t>
      </w:r>
      <w:r w:rsidRPr="00460261">
        <w:tab/>
      </w:r>
      <w:r w:rsidR="004531B5" w:rsidRPr="00460261">
        <w:t xml:space="preserve">Statutory </w:t>
      </w:r>
      <w:r w:rsidR="00B0279F" w:rsidRPr="00460261">
        <w:t xml:space="preserve">Payment </w:t>
      </w:r>
      <w:r w:rsidR="00CE317A" w:rsidRPr="00460261">
        <w:t xml:space="preserve">Remedies </w:t>
      </w:r>
      <w:r w:rsidR="00B0279F" w:rsidRPr="00460261">
        <w:t>for Construction Projects</w:t>
      </w:r>
    </w:p>
    <w:p w14:paraId="4795F783" w14:textId="06939B9D" w:rsidR="00B0279F" w:rsidRPr="00460261" w:rsidRDefault="009E5A99" w:rsidP="00BE63F4">
      <w:r w:rsidRPr="00460261">
        <w:tab/>
        <w:t xml:space="preserve">The right to a mechanics lien derives from </w:t>
      </w:r>
      <w:r w:rsidR="00CC4BB9" w:rsidRPr="00460261">
        <w:t>California</w:t>
      </w:r>
      <w:r w:rsidR="00B66EC7">
        <w:t>'</w:t>
      </w:r>
      <w:r w:rsidR="00CC4BB9" w:rsidRPr="00460261">
        <w:t>s</w:t>
      </w:r>
      <w:r w:rsidRPr="00460261">
        <w:t xml:space="preserve"> constitution.  </w:t>
      </w:r>
      <w:r w:rsidR="00B66EC7">
        <w:t>"</w:t>
      </w:r>
      <w:r w:rsidRPr="00460261">
        <w:t>Mechanics, persons furnishing materials, artisans, and laborers of every class, shall have a lien upon the property upon which they have bestowed labor or furnished material for the value of such labor done and material furnished; and the Legislature shall provide, by law, for the speedy and efficient enforcement of such liens.</w:t>
      </w:r>
      <w:r w:rsidR="00B66EC7">
        <w:t>"</w:t>
      </w:r>
      <w:r w:rsidRPr="00460261">
        <w:t xml:space="preserve">  (Cal. Const., art. XIV, § 3.)  </w:t>
      </w:r>
      <w:r w:rsidR="006463CE" w:rsidRPr="00460261">
        <w:t xml:space="preserve">Thus, </w:t>
      </w:r>
      <w:r w:rsidR="00B66EC7">
        <w:t>"</w:t>
      </w:r>
      <w:r w:rsidR="00FA3526" w:rsidRPr="00460261">
        <w:t>[</w:t>
      </w:r>
      <w:r w:rsidR="006463CE" w:rsidRPr="00460261">
        <w:t>a</w:t>
      </w:r>
      <w:r w:rsidR="00FA3526" w:rsidRPr="00460261">
        <w:t>]</w:t>
      </w:r>
      <w:r w:rsidR="006463CE" w:rsidRPr="00460261">
        <w:t xml:space="preserve"> mechanics lien gives a claimant (e.g., a contractor, supplier, or laborer) a real property security interest in a private work of improvement to secure the right to be paid for work and material.</w:t>
      </w:r>
      <w:r w:rsidR="00B66EC7">
        <w:t>"</w:t>
      </w:r>
      <w:r w:rsidR="006463CE" w:rsidRPr="00460261">
        <w:t xml:space="preserve">  (4 Witkin, Summary of Cal. Law (11th ed. 2017) Security Transactions in</w:t>
      </w:r>
      <w:r w:rsidR="001D76A6" w:rsidRPr="00460261">
        <w:t xml:space="preserve"> Real Property, § 27, p. 820.)  A lien claim is enforced by service, recordation, and </w:t>
      </w:r>
      <w:r w:rsidR="001D76A6" w:rsidRPr="00460261">
        <w:lastRenderedPageBreak/>
        <w:t>foreclosure.  (</w:t>
      </w:r>
      <w:r w:rsidR="001D76A6" w:rsidRPr="00460261">
        <w:rPr>
          <w:i/>
        </w:rPr>
        <w:t>Ibid.</w:t>
      </w:r>
      <w:r w:rsidR="001D76A6" w:rsidRPr="00460261">
        <w:t xml:space="preserve">)  </w:t>
      </w:r>
      <w:r w:rsidRPr="00460261">
        <w:t xml:space="preserve">Because </w:t>
      </w:r>
      <w:r w:rsidR="00AE5A64" w:rsidRPr="00460261">
        <w:t xml:space="preserve">they </w:t>
      </w:r>
      <w:r w:rsidR="00B0279F" w:rsidRPr="00460261">
        <w:t>are constitutionally derived</w:t>
      </w:r>
      <w:r w:rsidRPr="00460261">
        <w:t xml:space="preserve">, </w:t>
      </w:r>
      <w:r w:rsidR="00635A8B" w:rsidRPr="00460261">
        <w:t xml:space="preserve">statutes governing liens and other relief </w:t>
      </w:r>
      <w:r w:rsidR="006463CE" w:rsidRPr="00460261">
        <w:t>are</w:t>
      </w:r>
      <w:r w:rsidRPr="00460261">
        <w:t xml:space="preserve"> remedial </w:t>
      </w:r>
      <w:r w:rsidR="004D7888" w:rsidRPr="00460261">
        <w:t xml:space="preserve">in nature and </w:t>
      </w:r>
      <w:r w:rsidRPr="00460261">
        <w:t>liberally construed.  (</w:t>
      </w:r>
      <w:r w:rsidRPr="00460261">
        <w:rPr>
          <w:i/>
        </w:rPr>
        <w:t>Wm. R. Clarke</w:t>
      </w:r>
      <w:r w:rsidRPr="00460261">
        <w:t>,</w:t>
      </w:r>
      <w:r w:rsidRPr="00460261">
        <w:rPr>
          <w:i/>
        </w:rPr>
        <w:t xml:space="preserve"> supra</w:t>
      </w:r>
      <w:r w:rsidRPr="00460261">
        <w:t>, 15 Cal.4th at p. 889.)</w:t>
      </w:r>
      <w:r w:rsidR="006E7DF5" w:rsidRPr="00460261">
        <w:t xml:space="preserve">  </w:t>
      </w:r>
    </w:p>
    <w:p w14:paraId="5F4528CA" w14:textId="45A78C1E" w:rsidR="00C37B5D" w:rsidRPr="00460261" w:rsidRDefault="00B0279F" w:rsidP="00BE63F4">
      <w:r w:rsidRPr="00460261">
        <w:tab/>
      </w:r>
      <w:r w:rsidR="006E7DF5" w:rsidRPr="00460261">
        <w:t xml:space="preserve">Part 6 of </w:t>
      </w:r>
      <w:r w:rsidR="001A30B0">
        <w:t>d</w:t>
      </w:r>
      <w:r w:rsidR="006E7DF5" w:rsidRPr="00460261">
        <w:t>ivision 4 of the Civil Code (§§ 8000</w:t>
      </w:r>
      <w:r w:rsidR="006E7DF5" w:rsidRPr="00460261">
        <w:rPr>
          <w:rFonts w:cstheme="minorHAnsi"/>
        </w:rPr>
        <w:t>−</w:t>
      </w:r>
      <w:r w:rsidR="006E7DF5" w:rsidRPr="00460261">
        <w:t xml:space="preserve">9566) lays out a </w:t>
      </w:r>
      <w:r w:rsidR="004D7888" w:rsidRPr="00460261">
        <w:t>comprehensive statutory</w:t>
      </w:r>
      <w:r w:rsidR="006E7DF5" w:rsidRPr="00460261">
        <w:t xml:space="preserve"> scheme </w:t>
      </w:r>
      <w:r w:rsidR="004469DC" w:rsidRPr="00460261">
        <w:t>to resolve payment disputes in construction projects</w:t>
      </w:r>
      <w:r w:rsidR="006E7DF5" w:rsidRPr="00460261">
        <w:t>.</w:t>
      </w:r>
      <w:r w:rsidR="00C37B5D" w:rsidRPr="00460261">
        <w:t xml:space="preserve">  </w:t>
      </w:r>
      <w:r w:rsidR="00AE5A64" w:rsidRPr="00460261">
        <w:t>Different</w:t>
      </w:r>
      <w:r w:rsidR="006E7DF5" w:rsidRPr="00460261">
        <w:t xml:space="preserve"> remedies are available </w:t>
      </w:r>
      <w:r w:rsidR="004469DC" w:rsidRPr="00460261">
        <w:t>in</w:t>
      </w:r>
      <w:r w:rsidR="006E7DF5" w:rsidRPr="00460261">
        <w:t xml:space="preserve"> public versus private </w:t>
      </w:r>
      <w:r w:rsidRPr="00460261">
        <w:t>construction projects</w:t>
      </w:r>
      <w:r w:rsidR="006E7DF5" w:rsidRPr="00460261">
        <w:t xml:space="preserve">.  </w:t>
      </w:r>
      <w:r w:rsidR="008F5F15" w:rsidRPr="00460261">
        <w:t xml:space="preserve">(Compare § 8160 et seq. with § 9000 et seq.)  </w:t>
      </w:r>
      <w:r w:rsidR="00984219" w:rsidRPr="00460261">
        <w:t>S</w:t>
      </w:r>
      <w:r w:rsidR="009E5A99" w:rsidRPr="00460261">
        <w:t>overeign immunity principles prevent mechanics liens from being asserted on public works projects.  (</w:t>
      </w:r>
      <w:r w:rsidR="009E5A99" w:rsidRPr="00460261">
        <w:rPr>
          <w:i/>
        </w:rPr>
        <w:t xml:space="preserve">N.V. </w:t>
      </w:r>
      <w:proofErr w:type="spellStart"/>
      <w:r w:rsidR="009E5A99" w:rsidRPr="00460261">
        <w:rPr>
          <w:i/>
        </w:rPr>
        <w:t>Heathorn</w:t>
      </w:r>
      <w:proofErr w:type="spellEnd"/>
      <w:r w:rsidR="009E5A99" w:rsidRPr="00460261">
        <w:t>,</w:t>
      </w:r>
      <w:r w:rsidR="009E5A99" w:rsidRPr="00460261">
        <w:rPr>
          <w:i/>
        </w:rPr>
        <w:t xml:space="preserve"> Inc. v. County of San Mateo</w:t>
      </w:r>
      <w:r w:rsidR="009E5A99" w:rsidRPr="00460261">
        <w:t xml:space="preserve"> (2005) 126 Cal.App.4th 1526, 1535; </w:t>
      </w:r>
      <w:proofErr w:type="spellStart"/>
      <w:r w:rsidR="009E5A99" w:rsidRPr="00460261">
        <w:rPr>
          <w:i/>
          <w:iCs/>
        </w:rPr>
        <w:t>Liton</w:t>
      </w:r>
      <w:proofErr w:type="spellEnd"/>
      <w:r w:rsidR="009E5A99" w:rsidRPr="00460261">
        <w:rPr>
          <w:i/>
          <w:iCs/>
        </w:rPr>
        <w:t xml:space="preserve"> Gen. Engineering Contractor</w:t>
      </w:r>
      <w:r w:rsidR="009E5A99" w:rsidRPr="00460261">
        <w:rPr>
          <w:iCs/>
        </w:rPr>
        <w:t>,</w:t>
      </w:r>
      <w:r w:rsidR="009E5A99" w:rsidRPr="00460261">
        <w:rPr>
          <w:i/>
          <w:iCs/>
        </w:rPr>
        <w:t xml:space="preserve"> Inc. v. United Pacific Insurance</w:t>
      </w:r>
      <w:r w:rsidR="009E5A99" w:rsidRPr="00460261">
        <w:t> (1993) 16 Cal.App.4th 577, 584 (</w:t>
      </w:r>
      <w:proofErr w:type="spellStart"/>
      <w:r w:rsidR="009E5A99" w:rsidRPr="00460261">
        <w:rPr>
          <w:i/>
        </w:rPr>
        <w:t>Liton</w:t>
      </w:r>
      <w:proofErr w:type="spellEnd"/>
      <w:r w:rsidR="009E5A99" w:rsidRPr="00460261">
        <w:t xml:space="preserve">).)  </w:t>
      </w:r>
      <w:r w:rsidR="004D7888" w:rsidRPr="00460261">
        <w:t>Accordingly</w:t>
      </w:r>
      <w:r w:rsidR="00BB17F0" w:rsidRPr="00460261">
        <w:t xml:space="preserve">, the principal statutory remedies for claimants who have furnished labor, services, equipment, or material on a public works project are </w:t>
      </w:r>
      <w:r w:rsidR="009E5A99" w:rsidRPr="00460261">
        <w:t>stop payment notice</w:t>
      </w:r>
      <w:r w:rsidR="00BB17F0" w:rsidRPr="00460261">
        <w:t>s and payment bonds</w:t>
      </w:r>
      <w:r w:rsidR="00BE63F4" w:rsidRPr="00460261">
        <w:t xml:space="preserve">.  (§ 9100, </w:t>
      </w:r>
      <w:proofErr w:type="spellStart"/>
      <w:r w:rsidR="00BE63F4" w:rsidRPr="00460261">
        <w:t>subd</w:t>
      </w:r>
      <w:proofErr w:type="spellEnd"/>
      <w:r w:rsidR="00BE63F4" w:rsidRPr="00460261">
        <w:t xml:space="preserve">. (a)(1).)  </w:t>
      </w:r>
      <w:r w:rsidR="004D7888" w:rsidRPr="00460261">
        <w:t>Nevertheless,</w:t>
      </w:r>
      <w:r w:rsidR="00B81874" w:rsidRPr="00460261">
        <w:t xml:space="preserve"> the statutes dealing with both private and public works </w:t>
      </w:r>
      <w:r w:rsidR="00B66EC7">
        <w:t>"</w:t>
      </w:r>
      <w:r w:rsidR="00B81874" w:rsidRPr="00460261">
        <w:t xml:space="preserve">deal with the same specific </w:t>
      </w:r>
      <w:proofErr w:type="gramStart"/>
      <w:r w:rsidR="00B81874" w:rsidRPr="00460261">
        <w:t>subject, and</w:t>
      </w:r>
      <w:proofErr w:type="gramEnd"/>
      <w:r w:rsidR="00B81874" w:rsidRPr="00460261">
        <w:t xml:space="preserve"> are to be construed together.</w:t>
      </w:r>
      <w:r w:rsidR="00B66EC7">
        <w:t>"</w:t>
      </w:r>
      <w:r w:rsidR="00B81874" w:rsidRPr="00460261">
        <w:t xml:space="preserve">  (</w:t>
      </w:r>
      <w:r w:rsidR="00B81874" w:rsidRPr="00460261">
        <w:rPr>
          <w:i/>
        </w:rPr>
        <w:t xml:space="preserve">Globe Indemnity Co. v. </w:t>
      </w:r>
      <w:proofErr w:type="spellStart"/>
      <w:r w:rsidR="00B81874" w:rsidRPr="00460261">
        <w:rPr>
          <w:i/>
        </w:rPr>
        <w:t>Hanify</w:t>
      </w:r>
      <w:proofErr w:type="spellEnd"/>
      <w:r w:rsidR="00B81874" w:rsidRPr="00460261">
        <w:rPr>
          <w:i/>
        </w:rPr>
        <w:t xml:space="preserve"> </w:t>
      </w:r>
      <w:r w:rsidR="00B81874" w:rsidRPr="00460261">
        <w:t>(1933) 217 Cal. 721, 730</w:t>
      </w:r>
      <w:r w:rsidR="00020699" w:rsidRPr="00460261">
        <w:t xml:space="preserve">, accord </w:t>
      </w:r>
      <w:r w:rsidR="00020699" w:rsidRPr="00460261">
        <w:rPr>
          <w:i/>
        </w:rPr>
        <w:t>Capitol Steel Fabricators</w:t>
      </w:r>
      <w:r w:rsidR="00020699" w:rsidRPr="00460261">
        <w:t>,</w:t>
      </w:r>
      <w:r w:rsidR="00020699" w:rsidRPr="00460261">
        <w:rPr>
          <w:i/>
        </w:rPr>
        <w:t xml:space="preserve"> Inc. v. Mega Const. Co.</w:t>
      </w:r>
      <w:r w:rsidR="00020699" w:rsidRPr="00460261">
        <w:t xml:space="preserve"> (1997) 58 Cal.App.4th 1049, 1061 (</w:t>
      </w:r>
      <w:r w:rsidR="00020699" w:rsidRPr="00460261">
        <w:rPr>
          <w:i/>
        </w:rPr>
        <w:t>Capitol Steel</w:t>
      </w:r>
      <w:r w:rsidR="00020699" w:rsidRPr="00460261">
        <w:t>).)</w:t>
      </w:r>
      <w:r w:rsidR="00AE5A64" w:rsidRPr="00460261">
        <w:t xml:space="preserve">  </w:t>
      </w:r>
    </w:p>
    <w:p w14:paraId="7B3AC32B" w14:textId="4972549E" w:rsidR="00BE63F4" w:rsidRPr="00460261" w:rsidRDefault="00C37B5D" w:rsidP="00BE63F4">
      <w:r w:rsidRPr="00460261">
        <w:tab/>
      </w:r>
      <w:r w:rsidR="00BE63F4" w:rsidRPr="00460261">
        <w:t>A stop payment notice</w:t>
      </w:r>
      <w:r w:rsidR="006463CE" w:rsidRPr="00460261">
        <w:t xml:space="preserve"> notifies a project owner (here, the District) to withhold </w:t>
      </w:r>
      <w:r w:rsidR="00491C9E" w:rsidRPr="00460261">
        <w:t xml:space="preserve">funds due to the direct contractor </w:t>
      </w:r>
      <w:proofErr w:type="gramStart"/>
      <w:r w:rsidR="00491C9E" w:rsidRPr="00460261">
        <w:t>sufficient</w:t>
      </w:r>
      <w:proofErr w:type="gramEnd"/>
      <w:r w:rsidR="00491C9E" w:rsidRPr="00460261">
        <w:t xml:space="preserve"> to satisfy the amount of the stop notice claim, plus reasonable litigation costs</w:t>
      </w:r>
      <w:r w:rsidR="00BE63F4" w:rsidRPr="00460261">
        <w:t xml:space="preserve">.  (§ 9358; see </w:t>
      </w:r>
      <w:r w:rsidR="006E7DF5" w:rsidRPr="00460261">
        <w:t xml:space="preserve">generally, </w:t>
      </w:r>
      <w:r w:rsidR="00BE63F4" w:rsidRPr="00460261">
        <w:t>§§ 9350</w:t>
      </w:r>
      <w:r w:rsidR="00BE63F4" w:rsidRPr="00460261">
        <w:rPr>
          <w:rFonts w:cstheme="minorHAnsi"/>
        </w:rPr>
        <w:t>−</w:t>
      </w:r>
      <w:r w:rsidR="006E7DF5" w:rsidRPr="00460261">
        <w:rPr>
          <w:rFonts w:cstheme="minorHAnsi"/>
        </w:rPr>
        <w:t>9</w:t>
      </w:r>
      <w:r w:rsidR="00BE63F4" w:rsidRPr="00460261">
        <w:t xml:space="preserve">510.)  </w:t>
      </w:r>
      <w:r w:rsidR="006A4687" w:rsidRPr="00460261">
        <w:t xml:space="preserve">A payment bond </w:t>
      </w:r>
      <w:r w:rsidR="00B66EC7">
        <w:t>"</w:t>
      </w:r>
      <w:r w:rsidR="006A4687" w:rsidRPr="00460261">
        <w:t>guarantees payment to claimants on a construction project to the extent they are not otherwise paid.</w:t>
      </w:r>
      <w:r w:rsidR="00B66EC7">
        <w:t>"</w:t>
      </w:r>
      <w:r w:rsidR="006A4687" w:rsidRPr="00460261">
        <w:t xml:space="preserve">  (4 Witkin, Summary of Cal. Law (11th ed. 2017) </w:t>
      </w:r>
      <w:r w:rsidR="006463CE" w:rsidRPr="00460261">
        <w:t xml:space="preserve">Security Transactions </w:t>
      </w:r>
      <w:r w:rsidR="006463CE" w:rsidRPr="00460261">
        <w:lastRenderedPageBreak/>
        <w:t>in Real Property, § 27, p. 820</w:t>
      </w:r>
      <w:r w:rsidR="006126F6" w:rsidRPr="00460261">
        <w:t>; see generally, §§ 9550</w:t>
      </w:r>
      <w:r w:rsidR="006126F6" w:rsidRPr="00460261">
        <w:rPr>
          <w:rFonts w:cstheme="minorHAnsi"/>
        </w:rPr>
        <w:t>−</w:t>
      </w:r>
      <w:r w:rsidR="006126F6" w:rsidRPr="00460261">
        <w:t>9566</w:t>
      </w:r>
      <w:r w:rsidR="006463CE" w:rsidRPr="00460261">
        <w:t>.)  This appeal</w:t>
      </w:r>
      <w:r w:rsidR="00BE63F4" w:rsidRPr="00460261">
        <w:t xml:space="preserve"> turns on </w:t>
      </w:r>
      <w:proofErr w:type="spellStart"/>
      <w:r w:rsidR="00BE63F4" w:rsidRPr="00460261">
        <w:t>Crosno</w:t>
      </w:r>
      <w:r w:rsidR="00B66EC7">
        <w:t>'</w:t>
      </w:r>
      <w:r w:rsidR="00BE63F4" w:rsidRPr="00460261">
        <w:t>s</w:t>
      </w:r>
      <w:proofErr w:type="spellEnd"/>
      <w:r w:rsidR="00C250B7" w:rsidRPr="00460261">
        <w:t xml:space="preserve"> payment bond</w:t>
      </w:r>
      <w:r w:rsidR="00BE63F4" w:rsidRPr="00460261">
        <w:t xml:space="preserve"> </w:t>
      </w:r>
      <w:r w:rsidR="006463CE" w:rsidRPr="00460261">
        <w:t>action</w:t>
      </w:r>
      <w:r w:rsidR="00BE63F4" w:rsidRPr="00460261">
        <w:t xml:space="preserve"> against Travelers</w:t>
      </w:r>
      <w:r w:rsidR="004D7888" w:rsidRPr="00460261">
        <w:t xml:space="preserve">, </w:t>
      </w:r>
      <w:r w:rsidR="00B0279F" w:rsidRPr="00460261">
        <w:t>so</w:t>
      </w:r>
      <w:r w:rsidR="004D7888" w:rsidRPr="00460261">
        <w:t xml:space="preserve"> we focus on those statutes</w:t>
      </w:r>
      <w:r w:rsidR="006463CE" w:rsidRPr="00460261">
        <w:t>.</w:t>
      </w:r>
    </w:p>
    <w:p w14:paraId="185E3725" w14:textId="2BCDC643" w:rsidR="009E5A99" w:rsidRPr="00460261" w:rsidRDefault="009E5A99" w:rsidP="009E5A99">
      <w:r w:rsidRPr="00460261">
        <w:tab/>
      </w:r>
      <w:r w:rsidR="00BE63F4" w:rsidRPr="00460261">
        <w:t xml:space="preserve">As the entity </w:t>
      </w:r>
      <w:r w:rsidR="004D7888" w:rsidRPr="00460261">
        <w:t>that has</w:t>
      </w:r>
      <w:r w:rsidR="00BE63F4" w:rsidRPr="00460261">
        <w:t xml:space="preserve"> a direct contractual relationship with the project owner, Clark is a </w:t>
      </w:r>
      <w:r w:rsidR="00B66EC7">
        <w:t>"</w:t>
      </w:r>
      <w:r w:rsidR="00BE63F4" w:rsidRPr="00460261">
        <w:t>direct contractor</w:t>
      </w:r>
      <w:r w:rsidR="008F5F15" w:rsidRPr="00460261">
        <w:t>.</w:t>
      </w:r>
      <w:r w:rsidR="00B66EC7">
        <w:t>"</w:t>
      </w:r>
      <w:r w:rsidR="00BE63F4" w:rsidRPr="00460261">
        <w:t xml:space="preserve">  (§ </w:t>
      </w:r>
      <w:r w:rsidR="008415B4">
        <w:t>8018</w:t>
      </w:r>
      <w:r w:rsidR="00BE63F4" w:rsidRPr="00460261">
        <w:t xml:space="preserve">.)  </w:t>
      </w:r>
      <w:r w:rsidR="00640DC6" w:rsidRPr="00460261">
        <w:t xml:space="preserve">Every </w:t>
      </w:r>
      <w:r w:rsidR="005B485E" w:rsidRPr="00460261">
        <w:t xml:space="preserve">direct contractor </w:t>
      </w:r>
      <w:r w:rsidRPr="00460261">
        <w:t xml:space="preserve">awarded a public works contract </w:t>
      </w:r>
      <w:proofErr w:type="gramStart"/>
      <w:r w:rsidRPr="00460261">
        <w:t>in excess of</w:t>
      </w:r>
      <w:proofErr w:type="gramEnd"/>
      <w:r w:rsidRPr="00460261">
        <w:t xml:space="preserve"> $25,000 must, before beginning the work, provide a payment bond to the public entity.  (§ 9550, </w:t>
      </w:r>
      <w:proofErr w:type="spellStart"/>
      <w:r w:rsidRPr="00460261">
        <w:t>subd</w:t>
      </w:r>
      <w:proofErr w:type="spellEnd"/>
      <w:r w:rsidRPr="00460261">
        <w:t xml:space="preserve">. (a).)  </w:t>
      </w:r>
      <w:r w:rsidR="00B66EC7">
        <w:t>"</w:t>
      </w:r>
      <w:r w:rsidRPr="00460261">
        <w:t>In addition to protection of the public entity from liability for a defaulting contractor, the purpose of the surety bond is to provide a distinct remedy to public works subcontractors and suppliers of labor or materials to public works projects.</w:t>
      </w:r>
      <w:r w:rsidR="00B66EC7">
        <w:t>"</w:t>
      </w:r>
      <w:r w:rsidRPr="00460261">
        <w:t xml:space="preserve">  (</w:t>
      </w:r>
      <w:proofErr w:type="spellStart"/>
      <w:r w:rsidRPr="00460261">
        <w:rPr>
          <w:i/>
        </w:rPr>
        <w:t>Liton</w:t>
      </w:r>
      <w:proofErr w:type="spellEnd"/>
      <w:r w:rsidRPr="00460261">
        <w:t>,</w:t>
      </w:r>
      <w:r w:rsidRPr="00460261">
        <w:rPr>
          <w:i/>
        </w:rPr>
        <w:t xml:space="preserve"> supra</w:t>
      </w:r>
      <w:r w:rsidRPr="00460261">
        <w:t>,</w:t>
      </w:r>
      <w:r w:rsidRPr="00460261">
        <w:rPr>
          <w:i/>
        </w:rPr>
        <w:t xml:space="preserve"> </w:t>
      </w:r>
      <w:r w:rsidRPr="00460261">
        <w:t xml:space="preserve">16 Cal.App.4th at p. 584.)  If the direct contractor fails to satisfy its payment obligation to the subcontractor or supplier, the surety must do so.  (§ 9554, </w:t>
      </w:r>
      <w:proofErr w:type="spellStart"/>
      <w:r w:rsidRPr="00460261">
        <w:t>subd</w:t>
      </w:r>
      <w:proofErr w:type="spellEnd"/>
      <w:r w:rsidRPr="00460261">
        <w:t>. (b)(1).)</w:t>
      </w:r>
    </w:p>
    <w:p w14:paraId="717636EB" w14:textId="1E6F70D5" w:rsidR="009E5A99" w:rsidRPr="00460261" w:rsidRDefault="009E5A99" w:rsidP="009E5A99">
      <w:r w:rsidRPr="00460261">
        <w:tab/>
      </w:r>
      <w:r w:rsidR="00CB31FE" w:rsidRPr="00460261">
        <w:t xml:space="preserve">The statutory scheme </w:t>
      </w:r>
      <w:r w:rsidR="00635A8B" w:rsidRPr="00460261">
        <w:t xml:space="preserve">carefully </w:t>
      </w:r>
      <w:r w:rsidR="00FF267D" w:rsidRPr="00460261">
        <w:t>protects</w:t>
      </w:r>
      <w:r w:rsidR="006126F6" w:rsidRPr="00460261">
        <w:t xml:space="preserve"> against </w:t>
      </w:r>
      <w:r w:rsidR="00FF267D" w:rsidRPr="00460261">
        <w:t xml:space="preserve">the unfair or imprudent </w:t>
      </w:r>
      <w:r w:rsidR="006126F6" w:rsidRPr="00460261">
        <w:t xml:space="preserve">waiver of </w:t>
      </w:r>
      <w:r w:rsidR="00B0279F" w:rsidRPr="00460261">
        <w:t>remedial rights</w:t>
      </w:r>
      <w:r w:rsidR="0073319B" w:rsidRPr="00460261">
        <w:t>.</w:t>
      </w:r>
      <w:r w:rsidRPr="00460261">
        <w:t xml:space="preserve">  (</w:t>
      </w:r>
      <w:r w:rsidR="00353113" w:rsidRPr="00460261">
        <w:t xml:space="preserve">See </w:t>
      </w:r>
      <w:r w:rsidRPr="00460261">
        <w:t>Cal. Mechanics</w:t>
      </w:r>
      <w:r w:rsidR="00B66EC7">
        <w:t>'</w:t>
      </w:r>
      <w:r w:rsidRPr="00460261">
        <w:t xml:space="preserve"> Liens and Related Construction Remedies (</w:t>
      </w:r>
      <w:proofErr w:type="spellStart"/>
      <w:r w:rsidRPr="00460261">
        <w:t>Cont.Ed.Bar</w:t>
      </w:r>
      <w:proofErr w:type="spellEnd"/>
      <w:r w:rsidRPr="00460261">
        <w:t xml:space="preserve"> </w:t>
      </w:r>
      <w:r w:rsidR="00436C7A" w:rsidRPr="00460261">
        <w:t xml:space="preserve">4th. ed. </w:t>
      </w:r>
      <w:r w:rsidRPr="00460261">
        <w:t xml:space="preserve">2019) § 4.11, p. 4-13.)  </w:t>
      </w:r>
      <w:r w:rsidR="004D7888" w:rsidRPr="00460261">
        <w:t>S</w:t>
      </w:r>
      <w:r w:rsidRPr="00460261">
        <w:t>ection 8122 provides:</w:t>
      </w:r>
    </w:p>
    <w:p w14:paraId="5F25C337" w14:textId="4A225ECB" w:rsidR="009E5A99" w:rsidRPr="00460261" w:rsidRDefault="00B66EC7" w:rsidP="009E5A99">
      <w:pPr>
        <w:pStyle w:val="IndentedQuote"/>
      </w:pPr>
      <w:r>
        <w:t>"</w:t>
      </w:r>
      <w:r w:rsidR="009E5A99" w:rsidRPr="00460261">
        <w:t>An owner, direct contractor, or subcontractor may not, by contract or otherwise, waive, affect, or impair any other claimant</w:t>
      </w:r>
      <w:r>
        <w:t>'</w:t>
      </w:r>
      <w:r w:rsidR="009E5A99" w:rsidRPr="00460261">
        <w:t>s rights under this part, whether with or without notice, and any term of a contract that purports to do so is void and unenforceable unless and until the claimant executes and delivers a waiver and release under this article.</w:t>
      </w:r>
      <w:r>
        <w:t>"</w:t>
      </w:r>
    </w:p>
    <w:p w14:paraId="46BEF9E9" w14:textId="77777777" w:rsidR="009E5A99" w:rsidRPr="00460261" w:rsidRDefault="009E5A99" w:rsidP="009E5A99">
      <w:pPr>
        <w:pStyle w:val="IndentedQuote"/>
      </w:pPr>
    </w:p>
    <w:p w14:paraId="09188D7F" w14:textId="4BB39167" w:rsidR="00635A8B" w:rsidRPr="00460261" w:rsidRDefault="00942DDC" w:rsidP="00947F04">
      <w:r w:rsidRPr="00460261">
        <w:tab/>
      </w:r>
      <w:r w:rsidR="0073319B" w:rsidRPr="00460261">
        <w:t xml:space="preserve">A claimant may waive its statutory </w:t>
      </w:r>
      <w:r w:rsidR="000C17F8" w:rsidRPr="00460261">
        <w:t xml:space="preserve">remedies </w:t>
      </w:r>
      <w:r w:rsidR="00FF267D" w:rsidRPr="00460261">
        <w:t xml:space="preserve">only </w:t>
      </w:r>
      <w:r w:rsidR="000C17F8" w:rsidRPr="00460261">
        <w:t xml:space="preserve">by signing a written waiver and release.  </w:t>
      </w:r>
      <w:r w:rsidR="000A24DB" w:rsidRPr="00460261">
        <w:t>(Cal. Mechanics</w:t>
      </w:r>
      <w:r w:rsidR="00B66EC7">
        <w:t>'</w:t>
      </w:r>
      <w:r w:rsidR="000A24DB" w:rsidRPr="00460261">
        <w:t xml:space="preserve"> Liens and Related Construction Remedies</w:t>
      </w:r>
      <w:r w:rsidR="007A0DE8">
        <w:t xml:space="preserve">, </w:t>
      </w:r>
      <w:r w:rsidR="007A0DE8">
        <w:rPr>
          <w:i/>
        </w:rPr>
        <w:t>supra</w:t>
      </w:r>
      <w:r w:rsidR="007A0DE8">
        <w:t xml:space="preserve">, </w:t>
      </w:r>
      <w:r w:rsidR="000A24DB" w:rsidRPr="00460261">
        <w:t xml:space="preserve">§ 4.11, p. 4-13, </w:t>
      </w:r>
      <w:r w:rsidR="00B54DA5">
        <w:t>discussing</w:t>
      </w:r>
      <w:r w:rsidR="00B54DA5" w:rsidRPr="00460261">
        <w:t xml:space="preserve"> </w:t>
      </w:r>
      <w:r w:rsidR="000A24DB" w:rsidRPr="00460261">
        <w:t xml:space="preserve">Civ. Code, § 8124.)  </w:t>
      </w:r>
      <w:r w:rsidRPr="00460261">
        <w:t>The statut</w:t>
      </w:r>
      <w:r w:rsidR="0073319B" w:rsidRPr="00460261">
        <w:t>es permit</w:t>
      </w:r>
      <w:r w:rsidRPr="00460261">
        <w:t xml:space="preserve"> four types of waivers:  a conditional waiver and release upon progress payment (§ 8132); an unconditional waiver </w:t>
      </w:r>
      <w:r w:rsidRPr="00460261">
        <w:lastRenderedPageBreak/>
        <w:t xml:space="preserve">and release upon progress payment (§ 8134); a conditional waiver and release upon final payment (§ 8136), and an unconditional waiver and release upon final payment (§ 8138).  In other words, </w:t>
      </w:r>
      <w:r w:rsidR="00B66EC7">
        <w:t>"</w:t>
      </w:r>
      <w:r w:rsidRPr="00460261">
        <w:t xml:space="preserve">waiver and release of [payment bond] rights </w:t>
      </w:r>
      <w:proofErr w:type="gramStart"/>
      <w:r w:rsidRPr="00460261">
        <w:t>is</w:t>
      </w:r>
      <w:proofErr w:type="gramEnd"/>
      <w:r w:rsidRPr="00460261">
        <w:t xml:space="preserve"> permitted only in conjunction with payment, or a promise of payment, and a conditional release is effective only if the claimant is actually paid.</w:t>
      </w:r>
      <w:r w:rsidR="00B66EC7">
        <w:t>"</w:t>
      </w:r>
      <w:r w:rsidRPr="00460261">
        <w:t xml:space="preserve">  (</w:t>
      </w:r>
      <w:r w:rsidRPr="00460261">
        <w:rPr>
          <w:i/>
        </w:rPr>
        <w:t>Wm. R. Clarke</w:t>
      </w:r>
      <w:r w:rsidRPr="00460261">
        <w:t>,</w:t>
      </w:r>
      <w:r w:rsidRPr="00460261">
        <w:rPr>
          <w:i/>
        </w:rPr>
        <w:t xml:space="preserve"> supra</w:t>
      </w:r>
      <w:r w:rsidRPr="00460261">
        <w:t>,</w:t>
      </w:r>
      <w:r w:rsidRPr="00460261">
        <w:rPr>
          <w:i/>
        </w:rPr>
        <w:t xml:space="preserve"> </w:t>
      </w:r>
      <w:r w:rsidRPr="00460261">
        <w:t>15 Cal.4th at p. 889</w:t>
      </w:r>
      <w:r w:rsidR="000A24DB" w:rsidRPr="00460261">
        <w:t xml:space="preserve">; see § 8124, </w:t>
      </w:r>
      <w:proofErr w:type="spellStart"/>
      <w:r w:rsidR="000A24DB" w:rsidRPr="00460261">
        <w:t>subd</w:t>
      </w:r>
      <w:proofErr w:type="spellEnd"/>
      <w:r w:rsidR="000A24DB" w:rsidRPr="00460261">
        <w:t>. (b)</w:t>
      </w:r>
      <w:r w:rsidRPr="00460261">
        <w:t>.)</w:t>
      </w:r>
      <w:r w:rsidRPr="00460261">
        <w:rPr>
          <w:rStyle w:val="FootnoteReference"/>
        </w:rPr>
        <w:footnoteReference w:id="5"/>
      </w:r>
    </w:p>
    <w:p w14:paraId="27862CD3" w14:textId="6407F9E9" w:rsidR="001D1AAA" w:rsidRPr="00460261" w:rsidRDefault="00635A8B" w:rsidP="00947F04">
      <w:r w:rsidRPr="00460261">
        <w:tab/>
      </w:r>
      <w:r w:rsidR="00B0279F" w:rsidRPr="00460261">
        <w:t xml:space="preserve">Enforcing these safeguards, </w:t>
      </w:r>
      <w:r w:rsidR="001D1AAA" w:rsidRPr="00460261">
        <w:t>section 8126 provides:</w:t>
      </w:r>
    </w:p>
    <w:p w14:paraId="61725193" w14:textId="2F8E363E" w:rsidR="00942DDC" w:rsidRPr="00460261" w:rsidRDefault="00B66EC7" w:rsidP="004D7888">
      <w:pPr>
        <w:pStyle w:val="IndentedQuote"/>
      </w:pPr>
      <w:r>
        <w:t>"</w:t>
      </w:r>
      <w:r w:rsidR="005A7EB8" w:rsidRPr="00460261">
        <w:t xml:space="preserve">An oral or written statement purporting to waive, release, impair or otherwise adversely affect a lien or claim is void and unenforceable and does not create an estoppel or impairment of the lien or claim unless either of the following conditions is satisfied:  [¶] </w:t>
      </w:r>
      <w:r w:rsidR="00D40F0B" w:rsidRPr="00460261">
        <w:t xml:space="preserve"> </w:t>
      </w:r>
      <w:r w:rsidR="005A7EB8" w:rsidRPr="00460261">
        <w:t>(a)  The statement is pursuant to a waiver and release under this article.</w:t>
      </w:r>
      <w:r w:rsidR="00D40F0B" w:rsidRPr="00460261">
        <w:t xml:space="preserve"> </w:t>
      </w:r>
      <w:r w:rsidR="005A7EB8" w:rsidRPr="00460261">
        <w:t xml:space="preserve"> [¶] </w:t>
      </w:r>
      <w:r w:rsidR="00D40F0B" w:rsidRPr="00460261">
        <w:t xml:space="preserve"> </w:t>
      </w:r>
      <w:r w:rsidR="005A7EB8" w:rsidRPr="00460261">
        <w:t>(b</w:t>
      </w:r>
      <w:r w:rsidR="000240E3" w:rsidRPr="00460261">
        <w:t>) </w:t>
      </w:r>
      <w:r w:rsidR="005A7EB8" w:rsidRPr="00460261">
        <w:t>The claimant has actually received payment in full for the claim.</w:t>
      </w:r>
      <w:r>
        <w:t>"</w:t>
      </w:r>
    </w:p>
    <w:p w14:paraId="79B053B5" w14:textId="77777777" w:rsidR="004D7888" w:rsidRPr="00460261" w:rsidRDefault="004D7888" w:rsidP="004D7888">
      <w:pPr>
        <w:pStyle w:val="IndentedQuote"/>
      </w:pPr>
    </w:p>
    <w:p w14:paraId="7C8848C0" w14:textId="4E69923C" w:rsidR="000B6341" w:rsidRPr="00460261" w:rsidRDefault="000B6341" w:rsidP="00B6334E">
      <w:pPr>
        <w:pStyle w:val="Heading3"/>
      </w:pPr>
      <w:r w:rsidRPr="00460261">
        <w:rPr>
          <w:i w:val="0"/>
        </w:rPr>
        <w:t>b.</w:t>
      </w:r>
      <w:r w:rsidRPr="00460261">
        <w:tab/>
      </w:r>
      <w:r w:rsidR="004531B5" w:rsidRPr="00460261">
        <w:t xml:space="preserve">Defining a </w:t>
      </w:r>
      <w:r w:rsidR="00C55674" w:rsidRPr="00460261">
        <w:t>Surety</w:t>
      </w:r>
      <w:r w:rsidR="00B66EC7">
        <w:t>'</w:t>
      </w:r>
      <w:r w:rsidR="00C55674" w:rsidRPr="00460261">
        <w:t>s Payment</w:t>
      </w:r>
      <w:r w:rsidRPr="00460261">
        <w:t xml:space="preserve"> Bond Obligation</w:t>
      </w:r>
    </w:p>
    <w:p w14:paraId="135BF3A6" w14:textId="4632DCEE" w:rsidR="000169D9" w:rsidRPr="00460261" w:rsidRDefault="000B6341" w:rsidP="000B6341">
      <w:r w:rsidRPr="00460261">
        <w:tab/>
      </w:r>
      <w:r w:rsidR="00124059" w:rsidRPr="00460261">
        <w:t>A surety bond is governed by general rules of contract interpretation</w:t>
      </w:r>
      <w:r w:rsidR="00124059" w:rsidRPr="00460261">
        <w:rPr>
          <w:rFonts w:cstheme="minorHAnsi"/>
        </w:rPr>
        <w:t>—</w:t>
      </w:r>
      <w:r w:rsidR="00D424CB" w:rsidRPr="00460261">
        <w:t>a court</w:t>
      </w:r>
      <w:r w:rsidR="00124059" w:rsidRPr="00460261">
        <w:t xml:space="preserve"> seek</w:t>
      </w:r>
      <w:r w:rsidR="00D424CB" w:rsidRPr="00460261">
        <w:t>s</w:t>
      </w:r>
      <w:r w:rsidR="00124059" w:rsidRPr="00460261">
        <w:t xml:space="preserve"> to discover the parties</w:t>
      </w:r>
      <w:r w:rsidR="00B66EC7">
        <w:t>'</w:t>
      </w:r>
      <w:r w:rsidR="00124059" w:rsidRPr="00460261">
        <w:t xml:space="preserve"> intent by examining </w:t>
      </w:r>
      <w:r w:rsidR="00D424CB" w:rsidRPr="00460261">
        <w:t>bond language</w:t>
      </w:r>
      <w:r w:rsidR="00635A8B" w:rsidRPr="00460261">
        <w:t xml:space="preserve"> in its ordinary sense</w:t>
      </w:r>
      <w:r w:rsidR="00124059" w:rsidRPr="00460261">
        <w:t>.  (</w:t>
      </w:r>
      <w:r w:rsidR="00124059" w:rsidRPr="00460261">
        <w:rPr>
          <w:i/>
        </w:rPr>
        <w:t>Electrical Electronic Control</w:t>
      </w:r>
      <w:r w:rsidR="00124059" w:rsidRPr="00460261">
        <w:t>,</w:t>
      </w:r>
      <w:r w:rsidR="00124059" w:rsidRPr="00460261">
        <w:rPr>
          <w:i/>
        </w:rPr>
        <w:t xml:space="preserve"> Inc. v. Los Angeles Unified School Dist. </w:t>
      </w:r>
      <w:r w:rsidR="00124059" w:rsidRPr="00460261">
        <w:t xml:space="preserve">(2005) 126 Cal.App.4th 601, 612.)  </w:t>
      </w:r>
      <w:r w:rsidRPr="00460261">
        <w:t>As the payment bond surety, Travelers</w:t>
      </w:r>
      <w:r w:rsidR="00B66EC7">
        <w:t>'</w:t>
      </w:r>
      <w:r w:rsidR="003516EB" w:rsidRPr="00460261">
        <w:t>s</w:t>
      </w:r>
      <w:r w:rsidRPr="00460261">
        <w:t xml:space="preserve"> obligation </w:t>
      </w:r>
      <w:r w:rsidR="00B66EC7">
        <w:t>"</w:t>
      </w:r>
      <w:r w:rsidRPr="00460261">
        <w:t>is measured by the terms of the bond and the statutes referenced in the bond.</w:t>
      </w:r>
      <w:r w:rsidR="00B66EC7">
        <w:t>"</w:t>
      </w:r>
      <w:r w:rsidRPr="00460261">
        <w:t xml:space="preserve">  (</w:t>
      </w:r>
      <w:r w:rsidRPr="00460261">
        <w:rPr>
          <w:i/>
        </w:rPr>
        <w:t>Wm. R. Clarke</w:t>
      </w:r>
      <w:r w:rsidRPr="00460261">
        <w:t>,</w:t>
      </w:r>
      <w:r w:rsidRPr="00460261">
        <w:rPr>
          <w:i/>
        </w:rPr>
        <w:t xml:space="preserve"> supra</w:t>
      </w:r>
      <w:r w:rsidRPr="00460261">
        <w:t>,</w:t>
      </w:r>
      <w:r w:rsidRPr="00460261">
        <w:rPr>
          <w:i/>
        </w:rPr>
        <w:t xml:space="preserve"> </w:t>
      </w:r>
      <w:r w:rsidRPr="00460261">
        <w:t xml:space="preserve">15 Cal.4th at p. 893.)  </w:t>
      </w:r>
      <w:r w:rsidR="001C4327" w:rsidRPr="00460261">
        <w:t>Reflecting its remedial nature</w:t>
      </w:r>
      <w:r w:rsidR="00635A8B" w:rsidRPr="00460261">
        <w:t xml:space="preserve">, </w:t>
      </w:r>
      <w:r w:rsidR="000169D9" w:rsidRPr="00460261">
        <w:t xml:space="preserve">a payment bond </w:t>
      </w:r>
      <w:r w:rsidR="00B66EC7">
        <w:t>"</w:t>
      </w:r>
      <w:r w:rsidR="000169D9" w:rsidRPr="00460261">
        <w:t xml:space="preserve">shall be construed </w:t>
      </w:r>
      <w:r w:rsidR="000169D9" w:rsidRPr="00460261">
        <w:lastRenderedPageBreak/>
        <w:t>most strongly against the surety and in favor of all persons for whose benefit the bond is given.</w:t>
      </w:r>
      <w:r w:rsidR="00B66EC7">
        <w:t>"</w:t>
      </w:r>
      <w:r w:rsidR="000169D9" w:rsidRPr="00460261">
        <w:t xml:space="preserve">  </w:t>
      </w:r>
      <w:r w:rsidR="00635A8B" w:rsidRPr="00460261">
        <w:t xml:space="preserve">(§ 8154, </w:t>
      </w:r>
      <w:proofErr w:type="spellStart"/>
      <w:r w:rsidR="00635A8B" w:rsidRPr="00460261">
        <w:t>subd</w:t>
      </w:r>
      <w:proofErr w:type="spellEnd"/>
      <w:r w:rsidR="00635A8B" w:rsidRPr="00460261">
        <w:t xml:space="preserve">. (a).)  </w:t>
      </w:r>
      <w:r w:rsidR="000169D9" w:rsidRPr="00460261">
        <w:t>The sole conditions of recovery are that the person is an authorized claimant who has not been paid</w:t>
      </w:r>
      <w:r w:rsidR="00C54690" w:rsidRPr="00460261">
        <w:t xml:space="preserve"> the claim in full</w:t>
      </w:r>
      <w:r w:rsidR="000169D9" w:rsidRPr="00460261">
        <w:t xml:space="preserve">.  (§ 8154, </w:t>
      </w:r>
      <w:proofErr w:type="spellStart"/>
      <w:r w:rsidR="000169D9" w:rsidRPr="00460261">
        <w:t>subd</w:t>
      </w:r>
      <w:proofErr w:type="spellEnd"/>
      <w:r w:rsidR="000169D9" w:rsidRPr="00460261">
        <w:t>. (c).)</w:t>
      </w:r>
    </w:p>
    <w:p w14:paraId="499EF18F" w14:textId="5C3B2B80" w:rsidR="0073319B" w:rsidRPr="00460261" w:rsidRDefault="000169D9" w:rsidP="000B6341">
      <w:r w:rsidRPr="00460261">
        <w:tab/>
      </w:r>
      <w:r w:rsidR="00C91D43" w:rsidRPr="00460261">
        <w:t>The payment bond at issue here is broad</w:t>
      </w:r>
      <w:r w:rsidR="00937C2B" w:rsidRPr="00460261">
        <w:t>ly worded</w:t>
      </w:r>
      <w:r w:rsidR="00C91D43" w:rsidRPr="00460261">
        <w:t>.  I</w:t>
      </w:r>
      <w:r w:rsidR="00B25035" w:rsidRPr="00460261">
        <w:t>t</w:t>
      </w:r>
      <w:r w:rsidR="00B61E1B" w:rsidRPr="00460261">
        <w:t xml:space="preserve"> obligates</w:t>
      </w:r>
      <w:r w:rsidR="000B6341" w:rsidRPr="00460261">
        <w:t xml:space="preserve"> Travelers to pay amounts due </w:t>
      </w:r>
      <w:r w:rsidR="00C91D43" w:rsidRPr="00460261">
        <w:t xml:space="preserve">up to $6,143,863 with respect </w:t>
      </w:r>
      <w:r w:rsidR="00B66EC7">
        <w:t>"</w:t>
      </w:r>
      <w:r w:rsidR="00C91D43" w:rsidRPr="00460261">
        <w:t>to work or labor under the contract</w:t>
      </w:r>
      <w:r w:rsidR="00B66EC7">
        <w:t>"</w:t>
      </w:r>
      <w:r w:rsidR="00C91D43" w:rsidRPr="00460261">
        <w:t xml:space="preserve"> between Clark and the District </w:t>
      </w:r>
      <w:r w:rsidR="000B6341" w:rsidRPr="00460261">
        <w:t xml:space="preserve">if Clark </w:t>
      </w:r>
      <w:r w:rsidR="00C91D43" w:rsidRPr="00460261">
        <w:t xml:space="preserve">or </w:t>
      </w:r>
      <w:r w:rsidR="000B6341" w:rsidRPr="00460261">
        <w:t xml:space="preserve">its subcontractors failed to pay any </w:t>
      </w:r>
      <w:r w:rsidR="00B61E1B" w:rsidRPr="00460261">
        <w:t>person</w:t>
      </w:r>
      <w:r w:rsidR="000B6341" w:rsidRPr="00460261">
        <w:t xml:space="preserve"> named in </w:t>
      </w:r>
      <w:r w:rsidR="00937C2B" w:rsidRPr="00460261">
        <w:t xml:space="preserve">former section 3181, </w:t>
      </w:r>
      <w:r w:rsidR="00202291" w:rsidRPr="00460261">
        <w:t xml:space="preserve">now </w:t>
      </w:r>
      <w:r w:rsidR="000B6341" w:rsidRPr="00460261">
        <w:t>section 9100</w:t>
      </w:r>
      <w:r w:rsidR="00937C2B" w:rsidRPr="00460261">
        <w:t>.</w:t>
      </w:r>
      <w:r w:rsidR="000B6341" w:rsidRPr="00460261">
        <w:t xml:space="preserve">  That statute in turn lists among those eligible to file a stop payment notice or payment bond claim</w:t>
      </w:r>
      <w:r w:rsidR="000B6341" w:rsidRPr="00460261">
        <w:rPr>
          <w:rFonts w:cstheme="minorHAnsi"/>
        </w:rPr>
        <w:t xml:space="preserve"> </w:t>
      </w:r>
      <w:r w:rsidR="00B66EC7">
        <w:t>"</w:t>
      </w:r>
      <w:r w:rsidR="000B6341" w:rsidRPr="00460261">
        <w:t>[a] person that provides work for a public works contract, if the work is authorized by a direct contractor, subcontractor, architect, project manager, or other person having charge of all or part of the public works contract.</w:t>
      </w:r>
      <w:r w:rsidR="00B66EC7">
        <w:t>"</w:t>
      </w:r>
      <w:r w:rsidR="000B6341" w:rsidRPr="00460261">
        <w:t xml:space="preserve">  (§ 9100, </w:t>
      </w:r>
      <w:proofErr w:type="spellStart"/>
      <w:r w:rsidR="000B6341" w:rsidRPr="00460261">
        <w:t>subd</w:t>
      </w:r>
      <w:proofErr w:type="spellEnd"/>
      <w:r w:rsidR="000B6341" w:rsidRPr="00460261">
        <w:t>. (a)(1).)</w:t>
      </w:r>
      <w:r w:rsidR="00FE736A" w:rsidRPr="00460261">
        <w:t xml:space="preserve">  </w:t>
      </w:r>
      <w:r w:rsidR="00C91D43" w:rsidRPr="00460261">
        <w:t>In other words, b</w:t>
      </w:r>
      <w:r w:rsidR="00B61E1B" w:rsidRPr="00460261">
        <w:t xml:space="preserve">ecause Clark failed to pay </w:t>
      </w:r>
      <w:proofErr w:type="spellStart"/>
      <w:r w:rsidR="00B61E1B" w:rsidRPr="00460261">
        <w:t>Crosno</w:t>
      </w:r>
      <w:proofErr w:type="spellEnd"/>
      <w:r w:rsidR="00B61E1B" w:rsidRPr="00460261">
        <w:t xml:space="preserve"> for subcontracting work it completed on the District</w:t>
      </w:r>
      <w:r w:rsidR="00B66EC7">
        <w:t>'</w:t>
      </w:r>
      <w:r w:rsidR="00B61E1B" w:rsidRPr="00460261">
        <w:t xml:space="preserve">s public works project, </w:t>
      </w:r>
      <w:proofErr w:type="spellStart"/>
      <w:r w:rsidR="0073319B" w:rsidRPr="00460261">
        <w:t>Crosno</w:t>
      </w:r>
      <w:proofErr w:type="spellEnd"/>
      <w:r w:rsidR="0073319B" w:rsidRPr="00460261">
        <w:t xml:space="preserve"> is entitled to make a claim under the </w:t>
      </w:r>
      <w:r w:rsidR="00E8717C" w:rsidRPr="00460261">
        <w:t xml:space="preserve">payment </w:t>
      </w:r>
      <w:r w:rsidR="0073319B" w:rsidRPr="00460261">
        <w:t>bond.</w:t>
      </w:r>
    </w:p>
    <w:p w14:paraId="71A5D503" w14:textId="77777777" w:rsidR="00947F04" w:rsidRPr="00460261" w:rsidRDefault="000B6341" w:rsidP="00B6334E">
      <w:pPr>
        <w:pStyle w:val="Heading3"/>
      </w:pPr>
      <w:r w:rsidRPr="00460261">
        <w:rPr>
          <w:i w:val="0"/>
        </w:rPr>
        <w:t>c</w:t>
      </w:r>
      <w:r w:rsidR="00947F04" w:rsidRPr="00460261">
        <w:rPr>
          <w:i w:val="0"/>
        </w:rPr>
        <w:t>.</w:t>
      </w:r>
      <w:r w:rsidR="00947F04" w:rsidRPr="00460261">
        <w:tab/>
      </w:r>
      <w:r w:rsidR="00B9754F" w:rsidRPr="00460261">
        <w:t>Application of Subcontract Payment Provisions to Bond Recovery</w:t>
      </w:r>
    </w:p>
    <w:p w14:paraId="01E9BAAC" w14:textId="4FBF457A" w:rsidR="00464D4D" w:rsidRPr="00460261" w:rsidRDefault="000F374A" w:rsidP="00464D4D">
      <w:r w:rsidRPr="00460261">
        <w:tab/>
      </w:r>
      <w:r w:rsidRPr="00460261">
        <w:rPr>
          <w:i/>
        </w:rPr>
        <w:t xml:space="preserve">Wm. R. Clarke </w:t>
      </w:r>
      <w:r w:rsidR="00BF6156" w:rsidRPr="00460261">
        <w:t>confronted a then-</w:t>
      </w:r>
      <w:r w:rsidRPr="00460261">
        <w:t xml:space="preserve">emerging trend of general contractors inserting </w:t>
      </w:r>
      <w:r w:rsidR="00B66EC7">
        <w:t>"</w:t>
      </w:r>
      <w:r w:rsidRPr="00460261">
        <w:t>pay</w:t>
      </w:r>
      <w:r w:rsidR="005B6E87" w:rsidRPr="00460261">
        <w:t xml:space="preserve"> </w:t>
      </w:r>
      <w:r w:rsidRPr="00460261">
        <w:t>if</w:t>
      </w:r>
      <w:r w:rsidR="005B6E87" w:rsidRPr="00460261">
        <w:t xml:space="preserve"> </w:t>
      </w:r>
      <w:r w:rsidRPr="00460261">
        <w:t>paid</w:t>
      </w:r>
      <w:r w:rsidR="00B66EC7">
        <w:t>"</w:t>
      </w:r>
      <w:r w:rsidRPr="00460261">
        <w:t xml:space="preserve"> provisions in their subcontract agreements.  (</w:t>
      </w:r>
      <w:r w:rsidRPr="00460261">
        <w:rPr>
          <w:i/>
        </w:rPr>
        <w:t>Wm. R. Clarke</w:t>
      </w:r>
      <w:r w:rsidRPr="00460261">
        <w:t>,</w:t>
      </w:r>
      <w:r w:rsidRPr="00460261">
        <w:rPr>
          <w:i/>
        </w:rPr>
        <w:t xml:space="preserve"> supra</w:t>
      </w:r>
      <w:r w:rsidRPr="00460261">
        <w:t>,</w:t>
      </w:r>
      <w:r w:rsidRPr="00460261">
        <w:rPr>
          <w:i/>
        </w:rPr>
        <w:t xml:space="preserve"> </w:t>
      </w:r>
      <w:r w:rsidR="00C846D8" w:rsidRPr="00460261">
        <w:t>15 Cal.4th at p. 88</w:t>
      </w:r>
      <w:r w:rsidR="00D07914" w:rsidRPr="00460261">
        <w:t>5</w:t>
      </w:r>
      <w:r w:rsidR="00C846D8" w:rsidRPr="00460261">
        <w:t xml:space="preserve">.)  </w:t>
      </w:r>
      <w:r w:rsidR="00B66EC7">
        <w:t>"</w:t>
      </w:r>
      <w:r w:rsidR="00C846D8" w:rsidRPr="00460261">
        <w:t>A pay if paid provision makes payment by the owner to the general contractor a condition precedent to the general contractor</w:t>
      </w:r>
      <w:r w:rsidR="00B66EC7">
        <w:t>'</w:t>
      </w:r>
      <w:r w:rsidR="00C846D8" w:rsidRPr="00460261">
        <w:t xml:space="preserve">s obligation for work the </w:t>
      </w:r>
      <w:r w:rsidR="00C846D8" w:rsidRPr="00460261">
        <w:lastRenderedPageBreak/>
        <w:t>subcontractor has performed.</w:t>
      </w:r>
      <w:r w:rsidR="00B66EC7">
        <w:t>"</w:t>
      </w:r>
      <w:r w:rsidR="00C846D8" w:rsidRPr="00460261">
        <w:t xml:space="preserve">  (</w:t>
      </w:r>
      <w:r w:rsidR="00C846D8" w:rsidRPr="00460261">
        <w:rPr>
          <w:i/>
        </w:rPr>
        <w:t>Ibid.</w:t>
      </w:r>
      <w:r w:rsidR="00C846D8" w:rsidRPr="00460261">
        <w:t>)</w:t>
      </w:r>
      <w:r w:rsidR="000130F8" w:rsidRPr="00460261">
        <w:rPr>
          <w:rStyle w:val="FootnoteReference"/>
        </w:rPr>
        <w:footnoteReference w:id="6"/>
      </w:r>
      <w:r w:rsidR="00C846D8" w:rsidRPr="00460261">
        <w:t xml:space="preserve">  The question before the court </w:t>
      </w:r>
      <w:r w:rsidR="00BF6156" w:rsidRPr="00460261">
        <w:t xml:space="preserve">in </w:t>
      </w:r>
      <w:r w:rsidR="00BF6156" w:rsidRPr="00460261">
        <w:rPr>
          <w:i/>
        </w:rPr>
        <w:t xml:space="preserve">Wm. R. Clarke </w:t>
      </w:r>
      <w:r w:rsidR="00C846D8" w:rsidRPr="00460261">
        <w:t xml:space="preserve">was whether </w:t>
      </w:r>
      <w:r w:rsidR="00BF6156" w:rsidRPr="00460261">
        <w:t>the surety could use such a provision as a defense against a subcontractor</w:t>
      </w:r>
      <w:r w:rsidR="00B66EC7">
        <w:t>'</w:t>
      </w:r>
      <w:r w:rsidR="00BF6156" w:rsidRPr="00460261">
        <w:t>s</w:t>
      </w:r>
      <w:r w:rsidR="00464D4D" w:rsidRPr="00460261">
        <w:t xml:space="preserve"> action under the payment bond.  </w:t>
      </w:r>
      <w:r w:rsidR="00BF6156" w:rsidRPr="00460261">
        <w:t xml:space="preserve">Concluding it could not, the court explained that </w:t>
      </w:r>
      <w:r w:rsidR="00B66EC7">
        <w:t>"</w:t>
      </w:r>
      <w:r w:rsidR="00464D4D" w:rsidRPr="00460261">
        <w:t>pay</w:t>
      </w:r>
      <w:r w:rsidR="00AF2B8F" w:rsidRPr="00460261">
        <w:t xml:space="preserve"> </w:t>
      </w:r>
      <w:r w:rsidR="00464D4D" w:rsidRPr="00460261">
        <w:t>if</w:t>
      </w:r>
      <w:r w:rsidR="00AF2B8F" w:rsidRPr="00460261">
        <w:t xml:space="preserve"> </w:t>
      </w:r>
      <w:r w:rsidR="00464D4D" w:rsidRPr="00460261">
        <w:t>paid</w:t>
      </w:r>
      <w:r w:rsidR="00B66EC7">
        <w:t>"</w:t>
      </w:r>
      <w:r w:rsidR="00464D4D" w:rsidRPr="00460261">
        <w:t xml:space="preserve"> provisions are unenforceable</w:t>
      </w:r>
      <w:r w:rsidR="00464D4D" w:rsidRPr="00460261">
        <w:rPr>
          <w:i/>
        </w:rPr>
        <w:t xml:space="preserve"> </w:t>
      </w:r>
      <w:r w:rsidR="00464D4D" w:rsidRPr="00460261">
        <w:t>as contrary to public policy.  (</w:t>
      </w:r>
      <w:r w:rsidR="00464D4D" w:rsidRPr="00460261">
        <w:rPr>
          <w:i/>
        </w:rPr>
        <w:t>Id.</w:t>
      </w:r>
      <w:r w:rsidR="00464D4D" w:rsidRPr="00460261">
        <w:t xml:space="preserve"> at p. 88</w:t>
      </w:r>
      <w:r w:rsidR="00A73B6B" w:rsidRPr="00460261">
        <w:t>6</w:t>
      </w:r>
      <w:r w:rsidR="00464D4D" w:rsidRPr="00460261">
        <w:t xml:space="preserve">.)  Such provisions </w:t>
      </w:r>
      <w:r w:rsidR="00B9754F" w:rsidRPr="00460261">
        <w:t xml:space="preserve">effectively </w:t>
      </w:r>
      <w:r w:rsidR="00464D4D" w:rsidRPr="00460261">
        <w:t>waive the subcontractor</w:t>
      </w:r>
      <w:r w:rsidR="00B66EC7">
        <w:t>'</w:t>
      </w:r>
      <w:r w:rsidR="00464D4D" w:rsidRPr="00460261">
        <w:t xml:space="preserve">s mechanics lien rights, violating </w:t>
      </w:r>
      <w:r w:rsidR="009D1CFA" w:rsidRPr="00460261">
        <w:t xml:space="preserve">the </w:t>
      </w:r>
      <w:proofErr w:type="spellStart"/>
      <w:r w:rsidR="00464D4D" w:rsidRPr="00460261">
        <w:t>antiwaiver</w:t>
      </w:r>
      <w:proofErr w:type="spellEnd"/>
      <w:r w:rsidR="00464D4D" w:rsidRPr="00460261">
        <w:t xml:space="preserve"> provisions in section 8122.  (</w:t>
      </w:r>
      <w:r w:rsidR="00A73B6B" w:rsidRPr="00460261">
        <w:rPr>
          <w:i/>
        </w:rPr>
        <w:t>Ibid.</w:t>
      </w:r>
      <w:r w:rsidR="00464D4D" w:rsidRPr="00460261">
        <w:t xml:space="preserve">; see </w:t>
      </w:r>
      <w:proofErr w:type="spellStart"/>
      <w:r w:rsidR="00464D4D" w:rsidRPr="00460261">
        <w:t>Croskey</w:t>
      </w:r>
      <w:proofErr w:type="spellEnd"/>
      <w:r w:rsidR="00464D4D" w:rsidRPr="00460261">
        <w:t xml:space="preserve"> et al., Cal</w:t>
      </w:r>
      <w:r w:rsidR="00585D54" w:rsidRPr="00460261">
        <w:t>. </w:t>
      </w:r>
      <w:r w:rsidR="00464D4D" w:rsidRPr="00460261">
        <w:t>Practice Guide:</w:t>
      </w:r>
      <w:r w:rsidR="002C1EAD" w:rsidRPr="00460261">
        <w:t xml:space="preserve"> </w:t>
      </w:r>
      <w:r w:rsidR="00464D4D" w:rsidRPr="00460261">
        <w:t xml:space="preserve"> Insurance Litigation (The Rutter Group 2019) ¶¶ 6:3580 to 6:3581.)</w:t>
      </w:r>
    </w:p>
    <w:p w14:paraId="7EAAFF38" w14:textId="08402F0D" w:rsidR="00464D4D" w:rsidRPr="00460261" w:rsidRDefault="00BF6156" w:rsidP="00464D4D">
      <w:r w:rsidRPr="00460261">
        <w:tab/>
      </w:r>
      <w:r w:rsidR="00B9754F" w:rsidRPr="00460261">
        <w:t xml:space="preserve">Following </w:t>
      </w:r>
      <w:r w:rsidR="00B9754F" w:rsidRPr="00460261">
        <w:rPr>
          <w:i/>
        </w:rPr>
        <w:t>Wm. R. Clarke</w:t>
      </w:r>
      <w:r w:rsidR="00B9754F" w:rsidRPr="00460261">
        <w:t>,</w:t>
      </w:r>
      <w:r w:rsidR="00B9754F" w:rsidRPr="00460261">
        <w:rPr>
          <w:i/>
        </w:rPr>
        <w:t xml:space="preserve"> </w:t>
      </w:r>
      <w:r w:rsidR="00B9754F" w:rsidRPr="00460261">
        <w:t>a</w:t>
      </w:r>
      <w:r w:rsidR="000130F8" w:rsidRPr="00460261">
        <w:t>n</w:t>
      </w:r>
      <w:r w:rsidR="00B9754F" w:rsidRPr="00460261">
        <w:t xml:space="preserve"> appellate court </w:t>
      </w:r>
      <w:r w:rsidR="000130F8" w:rsidRPr="00460261">
        <w:t>applied</w:t>
      </w:r>
      <w:r w:rsidR="00B9754F" w:rsidRPr="00460261">
        <w:t xml:space="preserve"> t</w:t>
      </w:r>
      <w:r w:rsidR="001702E2" w:rsidRPr="00460261">
        <w:t xml:space="preserve">he same principles to preclude enforcement of </w:t>
      </w:r>
      <w:r w:rsidR="000130F8" w:rsidRPr="00460261">
        <w:t xml:space="preserve">a </w:t>
      </w:r>
      <w:r w:rsidR="001702E2" w:rsidRPr="00460261">
        <w:t>pay-if-paid provision</w:t>
      </w:r>
      <w:r w:rsidR="00F0453E" w:rsidRPr="00460261">
        <w:t xml:space="preserve"> </w:t>
      </w:r>
      <w:r w:rsidR="00D469F9" w:rsidRPr="00460261">
        <w:t xml:space="preserve">in </w:t>
      </w:r>
      <w:r w:rsidR="000130F8" w:rsidRPr="00460261">
        <w:t xml:space="preserve">a </w:t>
      </w:r>
      <w:r w:rsidR="00D469F9" w:rsidRPr="00460261">
        <w:t>public works project</w:t>
      </w:r>
      <w:r w:rsidR="001702E2" w:rsidRPr="00460261">
        <w:t>.  (</w:t>
      </w:r>
      <w:r w:rsidR="001702E2" w:rsidRPr="00460261">
        <w:rPr>
          <w:i/>
        </w:rPr>
        <w:t>Capitol Steel</w:t>
      </w:r>
      <w:r w:rsidR="00020699" w:rsidRPr="00460261">
        <w:t>,</w:t>
      </w:r>
      <w:r w:rsidR="00020699" w:rsidRPr="00460261">
        <w:rPr>
          <w:i/>
        </w:rPr>
        <w:t xml:space="preserve"> supra</w:t>
      </w:r>
      <w:r w:rsidR="00020699" w:rsidRPr="00460261">
        <w:t>,</w:t>
      </w:r>
      <w:r w:rsidR="001702E2" w:rsidRPr="00460261">
        <w:t xml:space="preserve"> 58 Cal.App.4th </w:t>
      </w:r>
      <w:r w:rsidR="00020699" w:rsidRPr="00460261">
        <w:t>at p. </w:t>
      </w:r>
      <w:r w:rsidR="001702E2" w:rsidRPr="00460261">
        <w:t>1062.)</w:t>
      </w:r>
      <w:r w:rsidR="00020699" w:rsidRPr="00460261">
        <w:rPr>
          <w:rStyle w:val="FootnoteReference"/>
        </w:rPr>
        <w:footnoteReference w:id="7"/>
      </w:r>
      <w:r w:rsidR="00211C41" w:rsidRPr="00460261">
        <w:t xml:space="preserve">  </w:t>
      </w:r>
      <w:r w:rsidR="000130F8" w:rsidRPr="00460261">
        <w:t xml:space="preserve">As the </w:t>
      </w:r>
      <w:r w:rsidR="000130F8" w:rsidRPr="00460261">
        <w:rPr>
          <w:i/>
        </w:rPr>
        <w:t xml:space="preserve">Capitol Steel </w:t>
      </w:r>
      <w:r w:rsidR="000130F8" w:rsidRPr="00460261">
        <w:t>court concluded</w:t>
      </w:r>
      <w:r w:rsidR="00211C41" w:rsidRPr="00460261">
        <w:t xml:space="preserve">, </w:t>
      </w:r>
      <w:r w:rsidR="00B66EC7">
        <w:t>"</w:t>
      </w:r>
      <w:r w:rsidR="001702E2" w:rsidRPr="00460261">
        <w:t>the general contractor</w:t>
      </w:r>
      <w:r w:rsidR="00B66EC7">
        <w:t>'</w:t>
      </w:r>
      <w:r w:rsidR="001702E2" w:rsidRPr="00460261">
        <w:t>s liability to its subcontractor for work performed on a public works project may not be made contingent on the governmental entity</w:t>
      </w:r>
      <w:r w:rsidR="00B66EC7">
        <w:t>'</w:t>
      </w:r>
      <w:r w:rsidR="001702E2" w:rsidRPr="00460261">
        <w:t>s payment to a general contractor . . . .</w:t>
      </w:r>
      <w:r w:rsidR="00B66EC7">
        <w:t>"</w:t>
      </w:r>
      <w:r w:rsidR="001702E2" w:rsidRPr="00460261">
        <w:t xml:space="preserve">  (</w:t>
      </w:r>
      <w:r w:rsidR="001702E2" w:rsidRPr="00460261">
        <w:rPr>
          <w:i/>
        </w:rPr>
        <w:t>Ibid.</w:t>
      </w:r>
      <w:r w:rsidR="00211C41" w:rsidRPr="00460261">
        <w:t xml:space="preserve">)  </w:t>
      </w:r>
      <w:r w:rsidR="00B66EC7">
        <w:t>"</w:t>
      </w:r>
      <w:r w:rsidR="00211C41" w:rsidRPr="00460261">
        <w:t xml:space="preserve">A contract provision that makes payment by the public entity to the </w:t>
      </w:r>
      <w:r w:rsidR="00211C41" w:rsidRPr="00460261">
        <w:lastRenderedPageBreak/>
        <w:t>contractor a condition precedent to the contractor</w:t>
      </w:r>
      <w:r w:rsidR="00B66EC7">
        <w:t>'</w:t>
      </w:r>
      <w:r w:rsidR="00211C41" w:rsidRPr="00460261">
        <w:t>s obligation to pay a subcontractor for its work</w:t>
      </w:r>
      <w:r w:rsidR="00211C41" w:rsidRPr="00460261">
        <w:rPr>
          <w:rFonts w:cstheme="minorHAnsi"/>
        </w:rPr>
        <w:t>—</w:t>
      </w:r>
      <w:r w:rsidR="00211C41" w:rsidRPr="00460261">
        <w:t xml:space="preserve">that is, a </w:t>
      </w:r>
      <w:r w:rsidR="00B66EC7">
        <w:t>'</w:t>
      </w:r>
      <w:r w:rsidR="00211C41" w:rsidRPr="00460261">
        <w:t>pay if paid</w:t>
      </w:r>
      <w:r w:rsidR="00B66EC7">
        <w:t>'</w:t>
      </w:r>
      <w:r w:rsidR="00211C41" w:rsidRPr="00460261">
        <w:t xml:space="preserve"> clause</w:t>
      </w:r>
      <w:r w:rsidR="00211C41" w:rsidRPr="00460261">
        <w:rPr>
          <w:rFonts w:cstheme="minorHAnsi"/>
        </w:rPr>
        <w:t>—</w:t>
      </w:r>
      <w:r w:rsidR="00211C41" w:rsidRPr="00460261">
        <w:t>is void as against public policy and unenforceable as a matter of law.</w:t>
      </w:r>
      <w:r w:rsidR="00B66EC7">
        <w:t>"</w:t>
      </w:r>
      <w:r w:rsidR="00211C41" w:rsidRPr="00460261">
        <w:t xml:space="preserve">  (Cal. Mechanics</w:t>
      </w:r>
      <w:r w:rsidR="00B66EC7">
        <w:t>'</w:t>
      </w:r>
      <w:r w:rsidR="00211C41" w:rsidRPr="00460261">
        <w:t xml:space="preserve"> Liens and Related Construction Remedies (</w:t>
      </w:r>
      <w:proofErr w:type="spellStart"/>
      <w:r w:rsidR="00211C41" w:rsidRPr="00460261">
        <w:t>Cont.Ed.Bar</w:t>
      </w:r>
      <w:proofErr w:type="spellEnd"/>
      <w:r w:rsidR="00211C41" w:rsidRPr="00460261">
        <w:t xml:space="preserve"> 2019) § 4.149, p. 4-105 [discussing </w:t>
      </w:r>
      <w:r w:rsidR="00211C41" w:rsidRPr="00460261">
        <w:rPr>
          <w:i/>
        </w:rPr>
        <w:t>Capitol Steel</w:t>
      </w:r>
      <w:r w:rsidR="00211C41" w:rsidRPr="00460261">
        <w:t>]</w:t>
      </w:r>
      <w:r w:rsidR="001702E2" w:rsidRPr="00460261">
        <w:t>.)</w:t>
      </w:r>
    </w:p>
    <w:p w14:paraId="010E0408" w14:textId="5550C433" w:rsidR="007B05C2" w:rsidRPr="00460261" w:rsidRDefault="00FF58DB" w:rsidP="007B05C2">
      <w:r w:rsidRPr="00460261">
        <w:tab/>
        <w:t xml:space="preserve">This case considers the effect of a </w:t>
      </w:r>
      <w:r w:rsidR="00B66EC7">
        <w:t>"</w:t>
      </w:r>
      <w:r w:rsidRPr="00460261">
        <w:t>pay-</w:t>
      </w:r>
      <w:r w:rsidRPr="00460261">
        <w:rPr>
          <w:i/>
        </w:rPr>
        <w:t>when</w:t>
      </w:r>
      <w:r w:rsidRPr="00460261">
        <w:t>-paid</w:t>
      </w:r>
      <w:r w:rsidR="00B66EC7">
        <w:t>"</w:t>
      </w:r>
      <w:r w:rsidRPr="00460261">
        <w:t xml:space="preserve"> provision in a construction subcontract.  As distinguished from a pay-if-paid provision, a pay-when-paid provision is not a true condition precedent and </w:t>
      </w:r>
      <w:r w:rsidR="005B7FB5">
        <w:t>instead</w:t>
      </w:r>
      <w:r w:rsidRPr="00460261">
        <w:t xml:space="preserve"> </w:t>
      </w:r>
      <w:r w:rsidR="00B66EC7">
        <w:t>"</w:t>
      </w:r>
      <w:r w:rsidRPr="00460261">
        <w:t xml:space="preserve">merely [fixes] the usual time for payment to the subcontractor, with the implied understanding that the subcontractor in any event has an unconditional right to payment within a </w:t>
      </w:r>
      <w:r w:rsidRPr="00460261">
        <w:rPr>
          <w:i/>
        </w:rPr>
        <w:t>reasonable time</w:t>
      </w:r>
      <w:r w:rsidRPr="00460261">
        <w:t>.</w:t>
      </w:r>
      <w:r w:rsidR="00B66EC7">
        <w:t>"</w:t>
      </w:r>
      <w:r w:rsidRPr="00460261">
        <w:t xml:space="preserve">  (</w:t>
      </w:r>
      <w:r w:rsidRPr="00460261">
        <w:rPr>
          <w:i/>
        </w:rPr>
        <w:t>Wm. R. Clarke</w:t>
      </w:r>
      <w:r w:rsidRPr="00460261">
        <w:t>,</w:t>
      </w:r>
      <w:r w:rsidRPr="00460261">
        <w:rPr>
          <w:i/>
        </w:rPr>
        <w:t xml:space="preserve"> supra</w:t>
      </w:r>
      <w:r w:rsidRPr="00460261">
        <w:t>,</w:t>
      </w:r>
      <w:r w:rsidRPr="00460261">
        <w:rPr>
          <w:i/>
        </w:rPr>
        <w:t xml:space="preserve"> </w:t>
      </w:r>
      <w:r w:rsidR="005C2C29" w:rsidRPr="00460261">
        <w:t>15 </w:t>
      </w:r>
      <w:r w:rsidRPr="00460261">
        <w:t>Cal.4th at p. 885</w:t>
      </w:r>
      <w:r w:rsidR="00B766DA" w:rsidRPr="00460261">
        <w:t>, italics added</w:t>
      </w:r>
      <w:r w:rsidRPr="00460261">
        <w:t xml:space="preserve">.)  As an example of a pay-when-paid provision, </w:t>
      </w:r>
      <w:r w:rsidRPr="00460261">
        <w:rPr>
          <w:i/>
        </w:rPr>
        <w:t xml:space="preserve">Wm. R. Clarke </w:t>
      </w:r>
      <w:r w:rsidR="00B766DA" w:rsidRPr="00460261">
        <w:t>cite</w:t>
      </w:r>
      <w:r w:rsidR="000130F8" w:rsidRPr="00460261">
        <w:t>s</w:t>
      </w:r>
      <w:r w:rsidRPr="00460261">
        <w:t xml:space="preserve"> </w:t>
      </w:r>
      <w:proofErr w:type="spellStart"/>
      <w:r w:rsidRPr="00460261">
        <w:rPr>
          <w:i/>
        </w:rPr>
        <w:t>Yamanishi</w:t>
      </w:r>
      <w:proofErr w:type="spellEnd"/>
      <w:r w:rsidRPr="00460261">
        <w:rPr>
          <w:i/>
        </w:rPr>
        <w:t xml:space="preserve"> v. </w:t>
      </w:r>
      <w:proofErr w:type="spellStart"/>
      <w:r w:rsidRPr="00460261">
        <w:rPr>
          <w:i/>
        </w:rPr>
        <w:t>Bleily</w:t>
      </w:r>
      <w:proofErr w:type="spellEnd"/>
      <w:r w:rsidRPr="00460261">
        <w:rPr>
          <w:i/>
        </w:rPr>
        <w:t xml:space="preserve"> &amp; </w:t>
      </w:r>
      <w:proofErr w:type="spellStart"/>
      <w:r w:rsidRPr="00460261">
        <w:rPr>
          <w:i/>
        </w:rPr>
        <w:t>Collishaw</w:t>
      </w:r>
      <w:proofErr w:type="spellEnd"/>
      <w:r w:rsidRPr="00460261">
        <w:t>,</w:t>
      </w:r>
      <w:r w:rsidRPr="00460261">
        <w:rPr>
          <w:i/>
        </w:rPr>
        <w:t xml:space="preserve"> Inc.</w:t>
      </w:r>
      <w:r w:rsidRPr="00460261">
        <w:t xml:space="preserve"> (1972) 29 Cal.App.3d 457 (</w:t>
      </w:r>
      <w:proofErr w:type="spellStart"/>
      <w:r w:rsidRPr="00460261">
        <w:rPr>
          <w:i/>
        </w:rPr>
        <w:t>Yamanishi</w:t>
      </w:r>
      <w:proofErr w:type="spellEnd"/>
      <w:r w:rsidRPr="00460261">
        <w:t>)</w:t>
      </w:r>
      <w:r w:rsidR="00B766DA" w:rsidRPr="00460261">
        <w:t>, a</w:t>
      </w:r>
      <w:r w:rsidR="00B9754F" w:rsidRPr="00460261">
        <w:t>n older</w:t>
      </w:r>
      <w:r w:rsidR="00B766DA" w:rsidRPr="00460261">
        <w:t xml:space="preserve"> case </w:t>
      </w:r>
      <w:r w:rsidR="000130F8" w:rsidRPr="00460261">
        <w:t xml:space="preserve">with </w:t>
      </w:r>
      <w:r w:rsidR="00B766DA" w:rsidRPr="00460261">
        <w:t xml:space="preserve">parallels to </w:t>
      </w:r>
      <w:r w:rsidR="006D5C40" w:rsidRPr="00460261">
        <w:t>this appeal</w:t>
      </w:r>
      <w:r w:rsidRPr="00460261">
        <w:t>.</w:t>
      </w:r>
    </w:p>
    <w:p w14:paraId="11BD54B1" w14:textId="4650CD80" w:rsidR="00FF58DB" w:rsidRPr="00460261" w:rsidRDefault="00FF58DB" w:rsidP="00FF58DB">
      <w:r w:rsidRPr="00460261">
        <w:tab/>
        <w:t xml:space="preserve">The subcontractor in </w:t>
      </w:r>
      <w:proofErr w:type="spellStart"/>
      <w:r w:rsidRPr="00460261">
        <w:rPr>
          <w:i/>
        </w:rPr>
        <w:t>Yamanishi</w:t>
      </w:r>
      <w:proofErr w:type="spellEnd"/>
      <w:r w:rsidRPr="00460261">
        <w:rPr>
          <w:i/>
        </w:rPr>
        <w:t xml:space="preserve"> </w:t>
      </w:r>
      <w:r w:rsidR="00B9754F" w:rsidRPr="00460261">
        <w:t>helped construct a public park.</w:t>
      </w:r>
      <w:r w:rsidRPr="00460261">
        <w:t xml:space="preserve">  A dispute arose between the city redevelopment agency and the direct contractor.  (</w:t>
      </w:r>
      <w:proofErr w:type="spellStart"/>
      <w:r w:rsidRPr="00460261">
        <w:rPr>
          <w:i/>
        </w:rPr>
        <w:t>Yamanishi</w:t>
      </w:r>
      <w:proofErr w:type="spellEnd"/>
      <w:r w:rsidRPr="00460261">
        <w:t>,</w:t>
      </w:r>
      <w:r w:rsidRPr="00460261">
        <w:rPr>
          <w:i/>
        </w:rPr>
        <w:t xml:space="preserve"> supra</w:t>
      </w:r>
      <w:r w:rsidRPr="00460261">
        <w:t>,</w:t>
      </w:r>
      <w:r w:rsidRPr="00460261">
        <w:rPr>
          <w:i/>
        </w:rPr>
        <w:t xml:space="preserve"> </w:t>
      </w:r>
      <w:r w:rsidRPr="00460261">
        <w:t xml:space="preserve">29 Cal.App.3d at pp. 459, 461.)  When the </w:t>
      </w:r>
      <w:r w:rsidR="003A5C88" w:rsidRPr="00460261">
        <w:t xml:space="preserve">direct </w:t>
      </w:r>
      <w:r w:rsidRPr="00460261">
        <w:t xml:space="preserve">contractor </w:t>
      </w:r>
      <w:r w:rsidR="003A5C88" w:rsidRPr="00460261">
        <w:t xml:space="preserve">later </w:t>
      </w:r>
      <w:r w:rsidRPr="00460261">
        <w:t xml:space="preserve">stopped paying its subcontractor, the subcontractor sued </w:t>
      </w:r>
      <w:r w:rsidR="003A5C88" w:rsidRPr="00460261">
        <w:t>it</w:t>
      </w:r>
      <w:r w:rsidRPr="00460261">
        <w:t xml:space="preserve"> and </w:t>
      </w:r>
      <w:r w:rsidR="006E2B8B" w:rsidRPr="00460261">
        <w:t>the bond surety</w:t>
      </w:r>
      <w:r w:rsidRPr="00460261">
        <w:t xml:space="preserve"> to recover the balance </w:t>
      </w:r>
      <w:r w:rsidR="00B9754F" w:rsidRPr="00460261">
        <w:t xml:space="preserve">due </w:t>
      </w:r>
      <w:r w:rsidRPr="00460261">
        <w:t>and attorney</w:t>
      </w:r>
      <w:r w:rsidR="00B66EC7">
        <w:t>'</w:t>
      </w:r>
      <w:r w:rsidRPr="00460261">
        <w:t>s fees.  (</w:t>
      </w:r>
      <w:r w:rsidRPr="00460261">
        <w:rPr>
          <w:i/>
        </w:rPr>
        <w:t>Id.</w:t>
      </w:r>
      <w:r w:rsidRPr="00460261">
        <w:t xml:space="preserve"> at p. 460.)  </w:t>
      </w:r>
      <w:r w:rsidR="00B9754F" w:rsidRPr="00460261">
        <w:t xml:space="preserve">The contractor and surety defended the claim by pointing to the subcontract, which stated the direct contractor would pay </w:t>
      </w:r>
      <w:r w:rsidR="00E37C1F">
        <w:t xml:space="preserve">the subcontractor </w:t>
      </w:r>
      <w:r w:rsidR="00B66EC7">
        <w:t>"</w:t>
      </w:r>
      <w:r w:rsidRPr="00460261">
        <w:t>upon receipt of each payment received from the Owner.</w:t>
      </w:r>
      <w:r w:rsidR="00B66EC7">
        <w:t>"</w:t>
      </w:r>
      <w:r w:rsidRPr="00460261">
        <w:t xml:space="preserve">  (</w:t>
      </w:r>
      <w:r w:rsidRPr="00460261">
        <w:rPr>
          <w:i/>
        </w:rPr>
        <w:t>Id.</w:t>
      </w:r>
      <w:r w:rsidRPr="00460261">
        <w:t xml:space="preserve"> at p. 461.)  </w:t>
      </w:r>
      <w:r w:rsidR="00B9754F" w:rsidRPr="00460261">
        <w:t xml:space="preserve">Relying on this subcontract language, </w:t>
      </w:r>
      <w:r w:rsidRPr="00460261">
        <w:t xml:space="preserve">the trial court </w:t>
      </w:r>
      <w:r w:rsidR="00B9754F" w:rsidRPr="00460261">
        <w:t xml:space="preserve">ruled that until the </w:t>
      </w:r>
      <w:r w:rsidR="00B66EC7">
        <w:t>"</w:t>
      </w:r>
      <w:r w:rsidRPr="00460261">
        <w:t>condition precedent</w:t>
      </w:r>
      <w:r w:rsidR="00B66EC7">
        <w:t>"</w:t>
      </w:r>
      <w:r w:rsidRPr="00460261">
        <w:t xml:space="preserve"> occurred, </w:t>
      </w:r>
      <w:r w:rsidR="00B9754F" w:rsidRPr="00460261">
        <w:t>no payment obligation accrued</w:t>
      </w:r>
      <w:r w:rsidRPr="00460261">
        <w:t>.  (</w:t>
      </w:r>
      <w:r w:rsidRPr="00460261">
        <w:rPr>
          <w:i/>
        </w:rPr>
        <w:t>Id.</w:t>
      </w:r>
      <w:r w:rsidR="00E83B07" w:rsidRPr="00460261">
        <w:t xml:space="preserve"> at p. 462.</w:t>
      </w:r>
      <w:r w:rsidRPr="00460261">
        <w:t>)</w:t>
      </w:r>
    </w:p>
    <w:p w14:paraId="2766BD1B" w14:textId="06B1F6AB" w:rsidR="00FF58DB" w:rsidRPr="00460261" w:rsidRDefault="00FF58DB" w:rsidP="00FF58DB">
      <w:r w:rsidRPr="00460261">
        <w:lastRenderedPageBreak/>
        <w:tab/>
        <w:t>The appellate court reversed.  As reasonably construed, this provision was not a condition precedent and merely provided the time in which the subcontractor would ordinarily be entitled to progress payment for its work.  (</w:t>
      </w:r>
      <w:proofErr w:type="spellStart"/>
      <w:r w:rsidRPr="00460261">
        <w:rPr>
          <w:i/>
        </w:rPr>
        <w:t>Yamanishi</w:t>
      </w:r>
      <w:proofErr w:type="spellEnd"/>
      <w:r w:rsidRPr="00460261">
        <w:t>,</w:t>
      </w:r>
      <w:r w:rsidRPr="00460261">
        <w:rPr>
          <w:i/>
        </w:rPr>
        <w:t xml:space="preserve"> supra</w:t>
      </w:r>
      <w:r w:rsidRPr="00460261">
        <w:t>,</w:t>
      </w:r>
      <w:r w:rsidRPr="00460261">
        <w:rPr>
          <w:i/>
        </w:rPr>
        <w:t xml:space="preserve"> </w:t>
      </w:r>
      <w:r w:rsidRPr="00460261">
        <w:t>29 Cal.</w:t>
      </w:r>
      <w:r w:rsidR="00320C81" w:rsidRPr="00460261">
        <w:t>App.</w:t>
      </w:r>
      <w:r w:rsidRPr="00460261">
        <w:t>3d</w:t>
      </w:r>
      <w:r w:rsidRPr="00460261">
        <w:rPr>
          <w:i/>
        </w:rPr>
        <w:t xml:space="preserve"> </w:t>
      </w:r>
      <w:r w:rsidRPr="00460261">
        <w:t xml:space="preserve">at pp. 462−463.)  If the contractor was denied payment through no fault of the subcontractor, no specific time for payment was provided in the subcontract, and </w:t>
      </w:r>
      <w:r w:rsidR="00B9754F" w:rsidRPr="00460261">
        <w:t xml:space="preserve">the default rule was that </w:t>
      </w:r>
      <w:r w:rsidRPr="00460261">
        <w:t>payment was due within a reasonable time upon the subcontractor</w:t>
      </w:r>
      <w:r w:rsidR="00B66EC7">
        <w:t>'</w:t>
      </w:r>
      <w:r w:rsidRPr="00460261">
        <w:t>s performance.  (</w:t>
      </w:r>
      <w:r w:rsidRPr="00460261">
        <w:rPr>
          <w:i/>
        </w:rPr>
        <w:t>Ibid.</w:t>
      </w:r>
      <w:r w:rsidRPr="00460261">
        <w:t>)  As the court explained, a contrary interpretation was unreasonable:</w:t>
      </w:r>
    </w:p>
    <w:p w14:paraId="2B7179A2" w14:textId="23A38DC9" w:rsidR="00FF58DB" w:rsidRPr="00460261" w:rsidRDefault="00B66EC7" w:rsidP="00EB68AD">
      <w:pPr>
        <w:pStyle w:val="IndentedQuote"/>
      </w:pPr>
      <w:r>
        <w:t>"</w:t>
      </w:r>
      <w:r w:rsidR="00FF58DB" w:rsidRPr="00460261">
        <w:t>Defendants</w:t>
      </w:r>
      <w:r>
        <w:t>'</w:t>
      </w:r>
      <w:r w:rsidR="00FF58DB" w:rsidRPr="00460261">
        <w:t xml:space="preserve"> interpretation of paragraph (r) would postpone payments earned by a subcontractor, itself without fault, until a dispute between the contractor and the owner is resolved, perhaps months or even years later.  Indeed, it gives no reasonable assurance that such a dispute would ever be resolved.  While the question is unsettled the contractor continues unobligated to the subcontractor.  On the other hand, if the dispute be lost because of the contractor</w:t>
      </w:r>
      <w:r>
        <w:t>'</w:t>
      </w:r>
      <w:r w:rsidR="00FF58DB" w:rsidRPr="00460261">
        <w:t xml:space="preserve">s fault, then surely the contractor must pay his subcontractor creditor from other funds; if won, he must apply all or a substantial part of the money he receives toward his </w:t>
      </w:r>
      <w:proofErr w:type="spellStart"/>
      <w:r w:rsidR="00FF58DB" w:rsidRPr="00460261">
        <w:t>subcontractual</w:t>
      </w:r>
      <w:proofErr w:type="spellEnd"/>
      <w:r w:rsidR="00FF58DB" w:rsidRPr="00460261">
        <w:t xml:space="preserve"> obligations. His interest would seem more likely to benefit from </w:t>
      </w:r>
      <w:r w:rsidR="00FF58DB" w:rsidRPr="00460261">
        <w:rPr>
          <w:i/>
        </w:rPr>
        <w:t xml:space="preserve">avoidance </w:t>
      </w:r>
      <w:r w:rsidR="00FF58DB" w:rsidRPr="00460261">
        <w:t>of any settlement with the owner. It is unlikely that such a result was intended by the contracting parties.</w:t>
      </w:r>
      <w:r>
        <w:t>"</w:t>
      </w:r>
      <w:r w:rsidR="00FF58DB" w:rsidRPr="00460261">
        <w:t xml:space="preserve"> </w:t>
      </w:r>
      <w:r w:rsidR="00C703E2" w:rsidRPr="00460261">
        <w:t xml:space="preserve"> (</w:t>
      </w:r>
      <w:r w:rsidR="00C703E2" w:rsidRPr="00460261">
        <w:rPr>
          <w:i/>
        </w:rPr>
        <w:t>Id.</w:t>
      </w:r>
      <w:r w:rsidR="00C703E2" w:rsidRPr="00460261">
        <w:t xml:space="preserve"> at p. 463.)</w:t>
      </w:r>
    </w:p>
    <w:p w14:paraId="3B53FC41" w14:textId="77777777" w:rsidR="00EB68AD" w:rsidRPr="00460261" w:rsidRDefault="00EB68AD" w:rsidP="00EB68AD">
      <w:pPr>
        <w:pStyle w:val="IndentedQuote"/>
      </w:pPr>
    </w:p>
    <w:p w14:paraId="200114E2" w14:textId="0B23D817" w:rsidR="0012781A" w:rsidRPr="00460261" w:rsidRDefault="00132CA8" w:rsidP="0012781A">
      <w:r w:rsidRPr="00460261">
        <w:tab/>
      </w:r>
      <w:r w:rsidR="000130F8" w:rsidRPr="00460261">
        <w:t xml:space="preserve">In short, these cases lay out the broad framework for evaluating whether subcontract payment provisions </w:t>
      </w:r>
      <w:r w:rsidR="003F49B2" w:rsidRPr="00460261">
        <w:t xml:space="preserve">unreasonably </w:t>
      </w:r>
      <w:r w:rsidR="000130F8" w:rsidRPr="00460261">
        <w:t xml:space="preserve">affect </w:t>
      </w:r>
      <w:r w:rsidR="003F49B2" w:rsidRPr="00460261">
        <w:t xml:space="preserve">or impair </w:t>
      </w:r>
      <w:r w:rsidR="000130F8" w:rsidRPr="00460261">
        <w:t>a claimant</w:t>
      </w:r>
      <w:r w:rsidR="00B66EC7">
        <w:t>'</w:t>
      </w:r>
      <w:r w:rsidR="000130F8" w:rsidRPr="00460261">
        <w:t xml:space="preserve">s payment bond recovery.  </w:t>
      </w:r>
      <w:r w:rsidRPr="00460261">
        <w:t xml:space="preserve">The subcontract between </w:t>
      </w:r>
      <w:proofErr w:type="spellStart"/>
      <w:r w:rsidRPr="00460261">
        <w:t>Crosno</w:t>
      </w:r>
      <w:proofErr w:type="spellEnd"/>
      <w:r w:rsidRPr="00460261">
        <w:t xml:space="preserve"> and Clark includes </w:t>
      </w:r>
      <w:r w:rsidR="00192BDE" w:rsidRPr="00460261">
        <w:t>a slightly different payment timing provision than that found in</w:t>
      </w:r>
      <w:r w:rsidRPr="00460261">
        <w:t xml:space="preserve"> </w:t>
      </w:r>
      <w:r w:rsidRPr="00460261">
        <w:rPr>
          <w:i/>
        </w:rPr>
        <w:t>Wm. R. Clarke</w:t>
      </w:r>
      <w:r w:rsidRPr="00460261">
        <w:t xml:space="preserve">, </w:t>
      </w:r>
      <w:r w:rsidRPr="00460261">
        <w:rPr>
          <w:i/>
        </w:rPr>
        <w:t>Capitol Steel</w:t>
      </w:r>
      <w:r w:rsidRPr="00460261">
        <w:t xml:space="preserve">, and </w:t>
      </w:r>
      <w:proofErr w:type="spellStart"/>
      <w:r w:rsidRPr="00460261">
        <w:rPr>
          <w:i/>
        </w:rPr>
        <w:t>Yamanishi</w:t>
      </w:r>
      <w:proofErr w:type="spellEnd"/>
      <w:r w:rsidRPr="00460261">
        <w:t>.  Nevertheless, a</w:t>
      </w:r>
      <w:r w:rsidR="0012781A" w:rsidRPr="00460261">
        <w:t xml:space="preserve">s we explain below, the trial court properly extended the principles </w:t>
      </w:r>
      <w:r w:rsidR="00E266AD" w:rsidRPr="00460261">
        <w:t xml:space="preserve">set forth </w:t>
      </w:r>
      <w:r w:rsidR="0012781A" w:rsidRPr="00460261">
        <w:t xml:space="preserve">in </w:t>
      </w:r>
      <w:r w:rsidRPr="00460261">
        <w:t xml:space="preserve">those cases </w:t>
      </w:r>
      <w:r w:rsidR="0012781A" w:rsidRPr="00460261">
        <w:t xml:space="preserve">to conclude </w:t>
      </w:r>
      <w:r w:rsidR="00E266AD" w:rsidRPr="00460261">
        <w:t xml:space="preserve">that </w:t>
      </w:r>
      <w:r w:rsidR="0012781A" w:rsidRPr="00460261">
        <w:t xml:space="preserve">Travelers could not </w:t>
      </w:r>
      <w:r w:rsidR="00E266AD" w:rsidRPr="00460261">
        <w:t>rely on the subcontract</w:t>
      </w:r>
      <w:r w:rsidR="00B66EC7">
        <w:t>'</w:t>
      </w:r>
      <w:r w:rsidRPr="00460261">
        <w:t xml:space="preserve">s definition of </w:t>
      </w:r>
      <w:r w:rsidR="00B66EC7">
        <w:t>"</w:t>
      </w:r>
      <w:r w:rsidRPr="00460261">
        <w:t>reasonable time</w:t>
      </w:r>
      <w:r w:rsidR="00B66EC7">
        <w:t>"</w:t>
      </w:r>
      <w:r w:rsidR="00E266AD" w:rsidRPr="00460261">
        <w:t xml:space="preserve"> to argue </w:t>
      </w:r>
      <w:r w:rsidRPr="00460261">
        <w:t xml:space="preserve">that </w:t>
      </w:r>
      <w:r w:rsidR="00E266AD" w:rsidRPr="00460261">
        <w:t>n</w:t>
      </w:r>
      <w:r w:rsidR="0012781A" w:rsidRPr="00460261">
        <w:t xml:space="preserve">o payment </w:t>
      </w:r>
      <w:r w:rsidR="00E266AD" w:rsidRPr="00460261">
        <w:t xml:space="preserve">bond </w:t>
      </w:r>
      <w:r w:rsidR="0012781A" w:rsidRPr="00460261">
        <w:t>obligation accrued until Clark</w:t>
      </w:r>
      <w:r w:rsidR="00B66EC7">
        <w:t>'</w:t>
      </w:r>
      <w:r w:rsidR="0012781A" w:rsidRPr="00460261">
        <w:t>s litigation with the District concluded.</w:t>
      </w:r>
    </w:p>
    <w:p w14:paraId="648AD400" w14:textId="66ED099C" w:rsidR="00FF58DB" w:rsidRPr="00460261" w:rsidRDefault="0074025F" w:rsidP="00B9754F">
      <w:pPr>
        <w:pStyle w:val="Heading2"/>
        <w:keepNext/>
      </w:pPr>
      <w:r w:rsidRPr="00460261">
        <w:lastRenderedPageBreak/>
        <w:t>2.</w:t>
      </w:r>
      <w:r w:rsidRPr="00460261">
        <w:tab/>
      </w:r>
      <w:r w:rsidR="00085D6A" w:rsidRPr="00460261">
        <w:rPr>
          <w:i/>
        </w:rPr>
        <w:t xml:space="preserve">The Trial Court </w:t>
      </w:r>
      <w:r w:rsidR="000130F8" w:rsidRPr="00460261">
        <w:rPr>
          <w:i/>
        </w:rPr>
        <w:t>Properly Rejected</w:t>
      </w:r>
      <w:r w:rsidR="00085D6A" w:rsidRPr="00460261">
        <w:rPr>
          <w:i/>
        </w:rPr>
        <w:t xml:space="preserve"> Travelers</w:t>
      </w:r>
      <w:r w:rsidR="00B66EC7">
        <w:rPr>
          <w:i/>
        </w:rPr>
        <w:t>'</w:t>
      </w:r>
      <w:r w:rsidR="00085D6A" w:rsidRPr="00460261">
        <w:rPr>
          <w:i/>
        </w:rPr>
        <w:t>s Defense.</w:t>
      </w:r>
    </w:p>
    <w:p w14:paraId="3CF40327" w14:textId="39681767" w:rsidR="008F7C5F" w:rsidRPr="00460261" w:rsidRDefault="008F7C5F" w:rsidP="008F7C5F">
      <w:r w:rsidRPr="00460261">
        <w:tab/>
        <w:t xml:space="preserve">As the trial court found, and the parties do not dispute, the payment timing provision in </w:t>
      </w:r>
      <w:proofErr w:type="spellStart"/>
      <w:r w:rsidRPr="00460261">
        <w:t>Crosno</w:t>
      </w:r>
      <w:r w:rsidR="00B66EC7">
        <w:t>'</w:t>
      </w:r>
      <w:r w:rsidRPr="00460261">
        <w:t>s</w:t>
      </w:r>
      <w:proofErr w:type="spellEnd"/>
      <w:r w:rsidRPr="00460261">
        <w:t xml:space="preserve"> subcontract is a pay-</w:t>
      </w:r>
      <w:r w:rsidRPr="00460261">
        <w:rPr>
          <w:i/>
        </w:rPr>
        <w:t>when</w:t>
      </w:r>
      <w:r w:rsidRPr="00460261">
        <w:t xml:space="preserve">-paid provision.  </w:t>
      </w:r>
      <w:r w:rsidR="00A65C2C" w:rsidRPr="00460261">
        <w:t xml:space="preserve">Regardless of whether Clark </w:t>
      </w:r>
      <w:r w:rsidR="00AB1984" w:rsidRPr="00460261">
        <w:t>i</w:t>
      </w:r>
      <w:r w:rsidR="00A65C2C" w:rsidRPr="00460261">
        <w:t>s successful in its litigation with the District, it remain</w:t>
      </w:r>
      <w:r w:rsidR="00AB1984" w:rsidRPr="00460261">
        <w:t>s</w:t>
      </w:r>
      <w:r w:rsidR="00A65C2C" w:rsidRPr="00460261">
        <w:t xml:space="preserve"> obligated to pay. T</w:t>
      </w:r>
      <w:r w:rsidRPr="00460261">
        <w:t xml:space="preserve">he provision </w:t>
      </w:r>
      <w:r w:rsidR="00E61D7F" w:rsidRPr="00460261">
        <w:t xml:space="preserve">merely </w:t>
      </w:r>
      <w:r w:rsidRPr="00460261">
        <w:t>fixe</w:t>
      </w:r>
      <w:r w:rsidR="00AB1984" w:rsidRPr="00460261">
        <w:t>s</w:t>
      </w:r>
      <w:r w:rsidRPr="00460261">
        <w:t xml:space="preserve"> </w:t>
      </w:r>
      <w:r w:rsidR="002A3F66" w:rsidRPr="00460261">
        <w:t>the</w:t>
      </w:r>
      <w:r w:rsidRPr="00460261">
        <w:t xml:space="preserve"> time upon which Clark</w:t>
      </w:r>
      <w:r w:rsidR="00B66EC7">
        <w:t>'</w:t>
      </w:r>
      <w:r w:rsidRPr="00460261">
        <w:t>s payment bec</w:t>
      </w:r>
      <w:r w:rsidR="002A3F66" w:rsidRPr="00460261">
        <w:t>o</w:t>
      </w:r>
      <w:r w:rsidRPr="00460261">
        <w:t>me</w:t>
      </w:r>
      <w:r w:rsidR="002A3F66" w:rsidRPr="00460261">
        <w:t>s</w:t>
      </w:r>
      <w:r w:rsidRPr="00460261">
        <w:t xml:space="preserve"> due.</w:t>
      </w:r>
      <w:r w:rsidR="00A65C2C" w:rsidRPr="00460261">
        <w:t xml:space="preserve">  </w:t>
      </w:r>
      <w:r w:rsidRPr="00460261">
        <w:t xml:space="preserve">This distinguishes the facts from those in </w:t>
      </w:r>
      <w:r w:rsidRPr="00460261">
        <w:rPr>
          <w:i/>
        </w:rPr>
        <w:t>Wm. R. Clarke</w:t>
      </w:r>
      <w:r w:rsidR="000130F8" w:rsidRPr="00460261">
        <w:rPr>
          <w:i/>
        </w:rPr>
        <w:t xml:space="preserve"> </w:t>
      </w:r>
      <w:r w:rsidR="000130F8" w:rsidRPr="00460261">
        <w:t xml:space="preserve">and </w:t>
      </w:r>
      <w:r w:rsidR="000130F8" w:rsidRPr="00460261">
        <w:rPr>
          <w:i/>
        </w:rPr>
        <w:t>Capitol Steel</w:t>
      </w:r>
      <w:r w:rsidRPr="00460261">
        <w:t>, where the subcontract provision set a condition precedent for a subcontractor</w:t>
      </w:r>
      <w:r w:rsidR="00B66EC7">
        <w:t>'</w:t>
      </w:r>
      <w:r w:rsidRPr="00460261">
        <w:t>s right to payment to accrue.</w:t>
      </w:r>
    </w:p>
    <w:p w14:paraId="7829D25F" w14:textId="59DE7FF9" w:rsidR="008F7C5F" w:rsidRPr="00460261" w:rsidRDefault="008F7C5F" w:rsidP="008F7C5F">
      <w:r w:rsidRPr="00460261">
        <w:tab/>
        <w:t xml:space="preserve">Under the subcontract, Clark was required to pay </w:t>
      </w:r>
      <w:proofErr w:type="spellStart"/>
      <w:r w:rsidRPr="00460261">
        <w:t>Crosno</w:t>
      </w:r>
      <w:proofErr w:type="spellEnd"/>
      <w:r w:rsidRPr="00460261">
        <w:t xml:space="preserve"> within 10 days after it received payment from the District.  If the District delayed paying Clark, Clark would have a reasonable time to pay, which </w:t>
      </w:r>
      <w:r w:rsidR="00B66EC7">
        <w:t>"</w:t>
      </w:r>
      <w:r w:rsidRPr="00460261">
        <w:t>in no event</w:t>
      </w:r>
      <w:r w:rsidR="00B66EC7">
        <w:t>"</w:t>
      </w:r>
      <w:r w:rsidRPr="00460261">
        <w:t xml:space="preserve"> would be less than the time required </w:t>
      </w:r>
      <w:r w:rsidR="00B66EC7">
        <w:t>"</w:t>
      </w:r>
      <w:r w:rsidRPr="00460261">
        <w:t>to pursue to conclusion [its] legal remedies against [the District].</w:t>
      </w:r>
      <w:r w:rsidR="00B66EC7">
        <w:t>"</w:t>
      </w:r>
      <w:r w:rsidRPr="00460261">
        <w:t xml:space="preserve">   </w:t>
      </w:r>
      <w:r w:rsidR="00AB1984" w:rsidRPr="00460261">
        <w:t xml:space="preserve">This latter clause distinguishes the facts </w:t>
      </w:r>
      <w:r w:rsidR="002A3F66" w:rsidRPr="00460261">
        <w:t xml:space="preserve">here </w:t>
      </w:r>
      <w:r w:rsidR="00AB1984" w:rsidRPr="00460261">
        <w:t>from</w:t>
      </w:r>
      <w:r w:rsidR="002A3F66" w:rsidRPr="00460261">
        <w:t xml:space="preserve"> </w:t>
      </w:r>
      <w:r w:rsidR="005843C2">
        <w:t>the general contractor</w:t>
      </w:r>
      <w:r w:rsidR="00B66EC7">
        <w:t>'</w:t>
      </w:r>
      <w:r w:rsidR="005843C2">
        <w:t>s argument</w:t>
      </w:r>
      <w:r w:rsidR="002A3F66" w:rsidRPr="00460261">
        <w:t xml:space="preserve"> in</w:t>
      </w:r>
      <w:r w:rsidR="00AB1984" w:rsidRPr="00460261">
        <w:t xml:space="preserve"> </w:t>
      </w:r>
      <w:proofErr w:type="spellStart"/>
      <w:r w:rsidR="00AB1984" w:rsidRPr="00460261">
        <w:rPr>
          <w:i/>
        </w:rPr>
        <w:t>Yamanishi</w:t>
      </w:r>
      <w:proofErr w:type="spellEnd"/>
      <w:r w:rsidR="002A3F66" w:rsidRPr="00460261">
        <w:t>.</w:t>
      </w:r>
      <w:r w:rsidR="00AB1984" w:rsidRPr="00460261">
        <w:t xml:space="preserve">  </w:t>
      </w:r>
      <w:r w:rsidR="002A3F66" w:rsidRPr="00460261">
        <w:t xml:space="preserve">But the effect is the same: </w:t>
      </w:r>
      <w:r w:rsidR="00AB1984" w:rsidRPr="00460261">
        <w:t xml:space="preserve"> </w:t>
      </w:r>
      <w:r w:rsidR="00B66EC7">
        <w:t>"</w:t>
      </w:r>
      <w:r w:rsidRPr="00460261">
        <w:t>reasonable time</w:t>
      </w:r>
      <w:r w:rsidR="00B66EC7">
        <w:t>"</w:t>
      </w:r>
      <w:r w:rsidRPr="00460261">
        <w:t xml:space="preserve"> is defined to include an indefinite timeframe that </w:t>
      </w:r>
      <w:proofErr w:type="spellStart"/>
      <w:r w:rsidRPr="00460261">
        <w:rPr>
          <w:i/>
        </w:rPr>
        <w:t>Yamanishi</w:t>
      </w:r>
      <w:proofErr w:type="spellEnd"/>
      <w:r w:rsidRPr="00460261">
        <w:rPr>
          <w:i/>
        </w:rPr>
        <w:t xml:space="preserve"> </w:t>
      </w:r>
      <w:r w:rsidR="002A3F66" w:rsidRPr="00460261">
        <w:t>held</w:t>
      </w:r>
      <w:r w:rsidR="00AB1984" w:rsidRPr="00460261">
        <w:t xml:space="preserve"> was </w:t>
      </w:r>
      <w:r w:rsidRPr="00460261">
        <w:rPr>
          <w:i/>
        </w:rPr>
        <w:t>un</w:t>
      </w:r>
      <w:r w:rsidRPr="00460261">
        <w:t>reasonable.  (</w:t>
      </w:r>
      <w:proofErr w:type="spellStart"/>
      <w:r w:rsidRPr="00460261">
        <w:rPr>
          <w:i/>
        </w:rPr>
        <w:t>Yamanishi</w:t>
      </w:r>
      <w:proofErr w:type="spellEnd"/>
      <w:r w:rsidRPr="00460261">
        <w:t>,</w:t>
      </w:r>
      <w:r w:rsidRPr="00460261">
        <w:rPr>
          <w:i/>
        </w:rPr>
        <w:t xml:space="preserve"> supra</w:t>
      </w:r>
      <w:r w:rsidRPr="00460261">
        <w:t>,</w:t>
      </w:r>
      <w:r w:rsidRPr="00460261">
        <w:rPr>
          <w:i/>
        </w:rPr>
        <w:t xml:space="preserve"> </w:t>
      </w:r>
      <w:r w:rsidRPr="00460261">
        <w:t>29 Cal.App.3d at p</w:t>
      </w:r>
      <w:r w:rsidR="00052838">
        <w:t>p</w:t>
      </w:r>
      <w:r w:rsidRPr="00460261">
        <w:t>. </w:t>
      </w:r>
      <w:r w:rsidR="004075EB" w:rsidRPr="00460261">
        <w:t>4</w:t>
      </w:r>
      <w:r w:rsidRPr="00460261">
        <w:t>6</w:t>
      </w:r>
      <w:r w:rsidR="0083450C">
        <w:t>2–46</w:t>
      </w:r>
      <w:r w:rsidRPr="00460261">
        <w:t>3.)</w:t>
      </w:r>
    </w:p>
    <w:p w14:paraId="7778733B" w14:textId="0A30E2F0" w:rsidR="00F84390" w:rsidRPr="00460261" w:rsidRDefault="00860E0B" w:rsidP="008F7C5F">
      <w:r w:rsidRPr="00460261">
        <w:tab/>
        <w:t>California courts have yet to decide whether a</w:t>
      </w:r>
      <w:r w:rsidR="00F0337F" w:rsidRPr="00460261">
        <w:t>n expansive</w:t>
      </w:r>
      <w:r w:rsidRPr="00460261">
        <w:t xml:space="preserve"> </w:t>
      </w:r>
      <w:r w:rsidR="00B66EC7">
        <w:t>"</w:t>
      </w:r>
      <w:r w:rsidRPr="00460261">
        <w:t>pay-when-paid</w:t>
      </w:r>
      <w:r w:rsidR="00B66EC7">
        <w:t>"</w:t>
      </w:r>
      <w:r w:rsidRPr="00460261">
        <w:t xml:space="preserve"> </w:t>
      </w:r>
      <w:r w:rsidR="00E61D7F" w:rsidRPr="00460261">
        <w:t xml:space="preserve">subcontract </w:t>
      </w:r>
      <w:r w:rsidRPr="00460261">
        <w:t xml:space="preserve">provision </w:t>
      </w:r>
      <w:proofErr w:type="gramStart"/>
      <w:r w:rsidR="00F0337F" w:rsidRPr="00460261">
        <w:t>similar to</w:t>
      </w:r>
      <w:proofErr w:type="gramEnd"/>
      <w:r w:rsidRPr="00460261">
        <w:t xml:space="preserve"> the one </w:t>
      </w:r>
      <w:r w:rsidR="00E61D7F" w:rsidRPr="00460261">
        <w:t>h</w:t>
      </w:r>
      <w:r w:rsidRPr="00460261">
        <w:t xml:space="preserve">ere can be invoked </w:t>
      </w:r>
      <w:r w:rsidR="00E61D7F" w:rsidRPr="00460261">
        <w:t xml:space="preserve">as a defense </w:t>
      </w:r>
      <w:r w:rsidRPr="00460261">
        <w:t xml:space="preserve">by a surety to a payment bond claim.  </w:t>
      </w:r>
      <w:r w:rsidR="00475EF9" w:rsidRPr="00460261">
        <w:t xml:space="preserve">Extending the reasoning in </w:t>
      </w:r>
      <w:r w:rsidR="00475EF9" w:rsidRPr="00460261">
        <w:rPr>
          <w:i/>
        </w:rPr>
        <w:t>Wm. R. Clarke</w:t>
      </w:r>
      <w:r w:rsidR="00475EF9" w:rsidRPr="00460261">
        <w:t xml:space="preserve">, the trial court concluded that the provision was </w:t>
      </w:r>
      <w:r w:rsidR="00F84390" w:rsidRPr="00460261">
        <w:t xml:space="preserve">void and </w:t>
      </w:r>
      <w:r w:rsidR="00475EF9" w:rsidRPr="00460261">
        <w:t xml:space="preserve">unenforceable because it impaired or affected </w:t>
      </w:r>
      <w:proofErr w:type="spellStart"/>
      <w:r w:rsidR="00475EF9" w:rsidRPr="00460261">
        <w:t>Crosno</w:t>
      </w:r>
      <w:r w:rsidR="00B66EC7">
        <w:t>'</w:t>
      </w:r>
      <w:r w:rsidR="00475EF9" w:rsidRPr="00460261">
        <w:t>s</w:t>
      </w:r>
      <w:proofErr w:type="spellEnd"/>
      <w:r w:rsidR="00475EF9" w:rsidRPr="00460261">
        <w:t xml:space="preserve"> payment bond rights in violation of section 8122</w:t>
      </w:r>
      <w:r w:rsidR="00A65C2C" w:rsidRPr="00460261">
        <w:t>.  Even though the subcontract provision was not a pay-</w:t>
      </w:r>
      <w:r w:rsidR="00A65C2C" w:rsidRPr="00460261">
        <w:rPr>
          <w:i/>
        </w:rPr>
        <w:t>if</w:t>
      </w:r>
      <w:r w:rsidR="00A65C2C" w:rsidRPr="00460261">
        <w:t xml:space="preserve">-paid provision, the </w:t>
      </w:r>
      <w:r w:rsidR="00744262" w:rsidRPr="00460261">
        <w:t xml:space="preserve">court reasoned that the </w:t>
      </w:r>
      <w:r w:rsidR="00A65C2C" w:rsidRPr="00460261">
        <w:t xml:space="preserve">same </w:t>
      </w:r>
      <w:proofErr w:type="spellStart"/>
      <w:r w:rsidR="00F0337F" w:rsidRPr="00460261">
        <w:t>antiwaiver</w:t>
      </w:r>
      <w:proofErr w:type="spellEnd"/>
      <w:r w:rsidR="00F0337F" w:rsidRPr="00460261">
        <w:t xml:space="preserve"> safeguards </w:t>
      </w:r>
      <w:r w:rsidR="00A65C2C" w:rsidRPr="00460261">
        <w:t>applied:</w:t>
      </w:r>
    </w:p>
    <w:p w14:paraId="62E98DDA" w14:textId="6BE96CCE" w:rsidR="00A65C2C" w:rsidRPr="00460261" w:rsidRDefault="00B66EC7" w:rsidP="00A65C2C">
      <w:pPr>
        <w:pStyle w:val="IndentedQuote"/>
      </w:pPr>
      <w:r>
        <w:lastRenderedPageBreak/>
        <w:t>"</w:t>
      </w:r>
      <w:r w:rsidR="00A65C2C" w:rsidRPr="00460261">
        <w:t xml:space="preserve">The issue is whether application of </w:t>
      </w:r>
      <w:r w:rsidR="000D44D2" w:rsidRPr="00460261">
        <w:t>the</w:t>
      </w:r>
      <w:r w:rsidR="00A65C2C" w:rsidRPr="00460261">
        <w:t xml:space="preserve"> subcontract provision unreasonably affects or impairs right sunder the bond contrary to the policy of </w:t>
      </w:r>
      <w:r w:rsidR="00A41F60" w:rsidRPr="00460261">
        <w:t>[Civil Code,]</w:t>
      </w:r>
      <w:r w:rsidR="00A65C2C" w:rsidRPr="00460261">
        <w:t xml:space="preserve"> § 8122.  In other words, whether under the circumstances and consideration of the policy underlying the </w:t>
      </w:r>
      <w:r w:rsidR="00A65C2C" w:rsidRPr="00460261">
        <w:rPr>
          <w:i/>
        </w:rPr>
        <w:t xml:space="preserve">Wm. R. Clarke </w:t>
      </w:r>
      <w:r w:rsidR="00A65C2C" w:rsidRPr="00460261">
        <w:t xml:space="preserve">and </w:t>
      </w:r>
      <w:r w:rsidR="00A65C2C" w:rsidRPr="00460261">
        <w:rPr>
          <w:i/>
        </w:rPr>
        <w:t>Capit</w:t>
      </w:r>
      <w:r w:rsidR="00C37B5D" w:rsidRPr="00460261">
        <w:rPr>
          <w:i/>
        </w:rPr>
        <w:t>o</w:t>
      </w:r>
      <w:r w:rsidR="00A65C2C" w:rsidRPr="00460261">
        <w:rPr>
          <w:i/>
        </w:rPr>
        <w:t xml:space="preserve">l Steel </w:t>
      </w:r>
      <w:r w:rsidR="00A65C2C" w:rsidRPr="00460261">
        <w:t>decisions, the provision is void as applied to the surety</w:t>
      </w:r>
      <w:r>
        <w:t>'</w:t>
      </w:r>
      <w:r w:rsidR="00A65C2C" w:rsidRPr="00460261">
        <w:t>s obligation under the bond.</w:t>
      </w:r>
    </w:p>
    <w:p w14:paraId="34F3C1EE" w14:textId="77777777" w:rsidR="00A65C2C" w:rsidRPr="00460261" w:rsidRDefault="00A65C2C" w:rsidP="00A65C2C">
      <w:pPr>
        <w:pStyle w:val="IndentedQuote"/>
      </w:pPr>
    </w:p>
    <w:p w14:paraId="0663AA38" w14:textId="1D570032" w:rsidR="00A65C2C" w:rsidRPr="00460261" w:rsidRDefault="00B66EC7" w:rsidP="00A65C2C">
      <w:pPr>
        <w:pStyle w:val="IndentedQuote"/>
      </w:pPr>
      <w:r>
        <w:t>"</w:t>
      </w:r>
      <w:r w:rsidR="00A65C2C" w:rsidRPr="00460261">
        <w:t xml:space="preserve">After considering the case law and arguments at [the] hearing, the court finds the provision void as a violation of the underlying public policy of the anti-waiver provision of </w:t>
      </w:r>
      <w:r w:rsidR="00A41F60" w:rsidRPr="00460261">
        <w:t xml:space="preserve">[Civil Code,] </w:t>
      </w:r>
      <w:r w:rsidR="00A65C2C" w:rsidRPr="00460261">
        <w:t xml:space="preserve">§ 8122.  Section 8122 prohibits any provision of a contract that </w:t>
      </w:r>
      <w:r>
        <w:t>'</w:t>
      </w:r>
      <w:r w:rsidR="00A65C2C" w:rsidRPr="00460261">
        <w:t>wa</w:t>
      </w:r>
      <w:r w:rsidR="000D44D2" w:rsidRPr="00460261">
        <w:t>i</w:t>
      </w:r>
      <w:r w:rsidR="00A65C2C" w:rsidRPr="00460261">
        <w:t>ve[s], affect[s], or impair[s] claimants rights,</w:t>
      </w:r>
      <w:r>
        <w:t>'</w:t>
      </w:r>
      <w:r w:rsidR="00A65C2C" w:rsidRPr="00460261">
        <w:t xml:space="preserve"> unless such provision is accompanied by a valid release and waiver.  To be valid, a release and waiver must be accompanied by payment. </w:t>
      </w:r>
      <w:r w:rsidR="005C75A9" w:rsidRPr="00460261">
        <w:t xml:space="preserve"> </w:t>
      </w:r>
      <w:r w:rsidR="00A97E6F" w:rsidRPr="00460261">
        <w:t>(</w:t>
      </w:r>
      <w:r w:rsidR="005C75A9" w:rsidRPr="00460261">
        <w:t>[</w:t>
      </w:r>
      <w:r w:rsidR="00A97E6F" w:rsidRPr="00460261">
        <w:t>Civil Code,] § 8124.)</w:t>
      </w:r>
    </w:p>
    <w:p w14:paraId="3885E941" w14:textId="77777777" w:rsidR="00A65C2C" w:rsidRPr="00460261" w:rsidRDefault="00A65C2C" w:rsidP="00A65C2C">
      <w:pPr>
        <w:pStyle w:val="IndentedQuote"/>
      </w:pPr>
    </w:p>
    <w:p w14:paraId="04524453" w14:textId="24C531DA" w:rsidR="00A65C2C" w:rsidRPr="00460261" w:rsidRDefault="00B66EC7" w:rsidP="00C5636E">
      <w:pPr>
        <w:pStyle w:val="IndentedQuote"/>
      </w:pPr>
      <w:r>
        <w:t>"</w:t>
      </w:r>
      <w:r w:rsidR="00A65C2C" w:rsidRPr="00460261">
        <w:t xml:space="preserve">Here, </w:t>
      </w:r>
      <w:proofErr w:type="spellStart"/>
      <w:r w:rsidR="00A65C2C" w:rsidRPr="00460261">
        <w:t>Crosno</w:t>
      </w:r>
      <w:proofErr w:type="spellEnd"/>
      <w:r w:rsidR="00A65C2C" w:rsidRPr="00460261">
        <w:t xml:space="preserve"> is being required to wait until the conclusion of litigation to proceed under the bond.  There is no dispute that the provision in the subcontract being enforced by the surety is affecting and impairing </w:t>
      </w:r>
      <w:proofErr w:type="spellStart"/>
      <w:r w:rsidR="00A65C2C" w:rsidRPr="00460261">
        <w:t>Crosno</w:t>
      </w:r>
      <w:r>
        <w:t>'</w:t>
      </w:r>
      <w:r w:rsidR="00A65C2C" w:rsidRPr="00460261">
        <w:t>s</w:t>
      </w:r>
      <w:proofErr w:type="spellEnd"/>
      <w:r w:rsidR="00A65C2C" w:rsidRPr="00460261">
        <w:t xml:space="preserve"> right to receive payment under the bond.</w:t>
      </w:r>
      <w:r>
        <w:t>"</w:t>
      </w:r>
      <w:r w:rsidR="00A65C2C" w:rsidRPr="00460261">
        <w:t xml:space="preserve"> </w:t>
      </w:r>
      <w:r w:rsidR="00C5636E" w:rsidRPr="00460261">
        <w:t xml:space="preserve"> </w:t>
      </w:r>
    </w:p>
    <w:p w14:paraId="6313D23B" w14:textId="77777777" w:rsidR="00C5636E" w:rsidRPr="00460261" w:rsidRDefault="00C5636E" w:rsidP="00C5636E">
      <w:pPr>
        <w:pStyle w:val="IndentedQuote"/>
      </w:pPr>
    </w:p>
    <w:p w14:paraId="0A75167A" w14:textId="785D8E53" w:rsidR="00E22A6A" w:rsidRPr="00460261" w:rsidRDefault="00E22A6A" w:rsidP="008F7C5F">
      <w:r w:rsidRPr="00460261">
        <w:t>A</w:t>
      </w:r>
      <w:r w:rsidR="00E37C1F">
        <w:t>s the trial court explained, a</w:t>
      </w:r>
      <w:r w:rsidRPr="00460261">
        <w:t xml:space="preserve">lthough a pay-when-paid provision </w:t>
      </w:r>
      <w:r w:rsidR="002A3F66" w:rsidRPr="00460261">
        <w:t xml:space="preserve">might properly </w:t>
      </w:r>
      <w:r w:rsidRPr="00460261">
        <w:t xml:space="preserve">allow payment to be delayed for a </w:t>
      </w:r>
      <w:r w:rsidRPr="00460261">
        <w:rPr>
          <w:i/>
        </w:rPr>
        <w:t xml:space="preserve">reasonable </w:t>
      </w:r>
      <w:r w:rsidRPr="00460261">
        <w:t xml:space="preserve">period of time after completion of work, enforcing the provision here </w:t>
      </w:r>
      <w:r w:rsidR="00B66EC7">
        <w:t>"</w:t>
      </w:r>
      <w:r w:rsidRPr="00460261">
        <w:t>does not provide for payment within a reasonable time.</w:t>
      </w:r>
      <w:r w:rsidR="00B66EC7">
        <w:t>"</w:t>
      </w:r>
      <w:r w:rsidRPr="00460261">
        <w:t xml:space="preserve"> </w:t>
      </w:r>
      <w:r w:rsidR="007B58D6" w:rsidRPr="00460261">
        <w:rPr>
          <w:iCs/>
        </w:rPr>
        <w:t xml:space="preserve"> </w:t>
      </w:r>
    </w:p>
    <w:p w14:paraId="48EBEF28" w14:textId="407181FD" w:rsidR="00D6712E" w:rsidRPr="00460261" w:rsidRDefault="00A65C2C" w:rsidP="0043302D">
      <w:r w:rsidRPr="00460261">
        <w:tab/>
      </w:r>
      <w:r w:rsidR="00ED4826" w:rsidRPr="00460261">
        <w:t xml:space="preserve">We agree with the </w:t>
      </w:r>
      <w:r w:rsidR="00872CE6" w:rsidRPr="00460261">
        <w:t xml:space="preserve">trial </w:t>
      </w:r>
      <w:r w:rsidR="00ED4826" w:rsidRPr="00460261">
        <w:t>court</w:t>
      </w:r>
      <w:r w:rsidR="00B66EC7">
        <w:t>'</w:t>
      </w:r>
      <w:r w:rsidR="00ED4826" w:rsidRPr="00460261">
        <w:t xml:space="preserve">s </w:t>
      </w:r>
      <w:r w:rsidR="002A3F66" w:rsidRPr="00460261">
        <w:t>thoughtful</w:t>
      </w:r>
      <w:r w:rsidR="00ED4826" w:rsidRPr="00460261">
        <w:t xml:space="preserve"> analysis.</w:t>
      </w:r>
      <w:r w:rsidR="00A42ED0" w:rsidRPr="00460261">
        <w:t xml:space="preserve">  </w:t>
      </w:r>
      <w:r w:rsidR="001D1AAA" w:rsidRPr="00460261">
        <w:t>If Travelers could invoke the subcontract</w:t>
      </w:r>
      <w:r w:rsidR="00B66EC7">
        <w:t>'</w:t>
      </w:r>
      <w:r w:rsidR="001D1AAA" w:rsidRPr="00460261">
        <w:t xml:space="preserve">s pay-when-paid clause to postpone its payment bond obligation until </w:t>
      </w:r>
      <w:r w:rsidR="00E37C1F">
        <w:t xml:space="preserve">some </w:t>
      </w:r>
      <w:r w:rsidR="005843C2">
        <w:t xml:space="preserve">unspecified and </w:t>
      </w:r>
      <w:r w:rsidR="00E37C1F">
        <w:t xml:space="preserve">undefined point </w:t>
      </w:r>
      <w:r w:rsidR="005843C2">
        <w:t>in time when</w:t>
      </w:r>
      <w:r w:rsidR="00E37C1F">
        <w:t xml:space="preserve"> </w:t>
      </w:r>
      <w:r w:rsidR="001D1AAA" w:rsidRPr="00460261">
        <w:t>Clark</w:t>
      </w:r>
      <w:r w:rsidR="00B66EC7">
        <w:t>'</w:t>
      </w:r>
      <w:r w:rsidR="001D1AAA" w:rsidRPr="00460261">
        <w:t xml:space="preserve">s litigation with the district concluded, </w:t>
      </w:r>
      <w:r w:rsidR="00744262" w:rsidRPr="00460261">
        <w:t>that</w:t>
      </w:r>
      <w:r w:rsidR="001D1AAA" w:rsidRPr="00460261">
        <w:t xml:space="preserve"> would </w:t>
      </w:r>
      <w:r w:rsidR="00E61D7F" w:rsidRPr="00460261">
        <w:t xml:space="preserve">unquestionably </w:t>
      </w:r>
      <w:r w:rsidR="002A3F66" w:rsidRPr="00460261">
        <w:t xml:space="preserve">and unreasonably </w:t>
      </w:r>
      <w:r w:rsidR="001D1AAA" w:rsidRPr="00460261">
        <w:t xml:space="preserve">affect or impair </w:t>
      </w:r>
      <w:proofErr w:type="spellStart"/>
      <w:r w:rsidR="001D1AAA" w:rsidRPr="00460261">
        <w:t>Crosno</w:t>
      </w:r>
      <w:r w:rsidR="00B66EC7">
        <w:t>'</w:t>
      </w:r>
      <w:r w:rsidR="001D1AAA" w:rsidRPr="00460261">
        <w:t>s</w:t>
      </w:r>
      <w:proofErr w:type="spellEnd"/>
      <w:r w:rsidR="001D1AAA" w:rsidRPr="00460261">
        <w:t xml:space="preserve"> </w:t>
      </w:r>
      <w:r w:rsidR="00E61D7F" w:rsidRPr="00460261">
        <w:t xml:space="preserve">right to recover under the </w:t>
      </w:r>
      <w:r w:rsidR="00744262" w:rsidRPr="00460261">
        <w:t xml:space="preserve">payment </w:t>
      </w:r>
      <w:r w:rsidR="00E61D7F" w:rsidRPr="00460261">
        <w:t>bond</w:t>
      </w:r>
      <w:r w:rsidR="003C26AA" w:rsidRPr="00460261">
        <w:t xml:space="preserve"> </w:t>
      </w:r>
      <w:r w:rsidR="001D0CCA" w:rsidRPr="00460261">
        <w:t xml:space="preserve">without either an express waiver </w:t>
      </w:r>
      <w:r w:rsidR="00744262" w:rsidRPr="00460261">
        <w:t>or full payment required by</w:t>
      </w:r>
      <w:r w:rsidR="0092687F" w:rsidRPr="00460261">
        <w:t xml:space="preserve"> section</w:t>
      </w:r>
      <w:r w:rsidR="00E61D7F" w:rsidRPr="00460261">
        <w:t>s 8124 and</w:t>
      </w:r>
      <w:r w:rsidR="00744262" w:rsidRPr="00460261">
        <w:t xml:space="preserve"> </w:t>
      </w:r>
      <w:r w:rsidR="0092687F" w:rsidRPr="00460261">
        <w:t>8126</w:t>
      </w:r>
      <w:r w:rsidR="001D1AAA" w:rsidRPr="00460261">
        <w:t xml:space="preserve">.  </w:t>
      </w:r>
      <w:r w:rsidR="00744262" w:rsidRPr="00460261">
        <w:t>Accordingly</w:t>
      </w:r>
      <w:r w:rsidR="001D1AAA" w:rsidRPr="00460261">
        <w:t xml:space="preserve">, the </w:t>
      </w:r>
      <w:r w:rsidR="001D0CCA" w:rsidRPr="00460261">
        <w:t xml:space="preserve">specific </w:t>
      </w:r>
      <w:r w:rsidR="001D1AAA" w:rsidRPr="00460261">
        <w:t>pay-when-paid provision</w:t>
      </w:r>
      <w:r w:rsidR="001D0CCA" w:rsidRPr="00460261">
        <w:t xml:space="preserve"> before us</w:t>
      </w:r>
      <w:r w:rsidR="001D1AAA" w:rsidRPr="00460261">
        <w:t xml:space="preserve"> is </w:t>
      </w:r>
      <w:r w:rsidR="00B66EC7">
        <w:t>"</w:t>
      </w:r>
      <w:r w:rsidR="001D1AAA" w:rsidRPr="00460261">
        <w:t xml:space="preserve">void </w:t>
      </w:r>
      <w:r w:rsidR="00E61D7F" w:rsidRPr="00460261">
        <w:t>and unenforceable</w:t>
      </w:r>
      <w:r w:rsidR="00B66EC7">
        <w:t>"</w:t>
      </w:r>
      <w:r w:rsidR="00B461C1" w:rsidRPr="00460261">
        <w:t xml:space="preserve"> (§§ 8122, 8126) against </w:t>
      </w:r>
      <w:proofErr w:type="spellStart"/>
      <w:r w:rsidR="00B461C1" w:rsidRPr="00460261">
        <w:t>Crosno</w:t>
      </w:r>
      <w:r w:rsidR="00B66EC7">
        <w:t>'</w:t>
      </w:r>
      <w:r w:rsidR="00B461C1" w:rsidRPr="00460261">
        <w:t>s</w:t>
      </w:r>
      <w:proofErr w:type="spellEnd"/>
      <w:r w:rsidR="00B461C1" w:rsidRPr="00460261">
        <w:t xml:space="preserve"> payment bond claim</w:t>
      </w:r>
      <w:r w:rsidR="003C26AA" w:rsidRPr="00460261">
        <w:t xml:space="preserve">.  </w:t>
      </w:r>
      <w:r w:rsidR="00A92EC2">
        <w:t xml:space="preserve">It attempts to define as </w:t>
      </w:r>
      <w:r w:rsidR="00B66EC7">
        <w:t>"</w:t>
      </w:r>
      <w:r w:rsidR="00A92EC2">
        <w:t>reasonable</w:t>
      </w:r>
      <w:r w:rsidR="00B66EC7">
        <w:t>"</w:t>
      </w:r>
      <w:r w:rsidR="00A92EC2">
        <w:t xml:space="preserve"> an </w:t>
      </w:r>
      <w:r w:rsidR="005843C2">
        <w:t>indefinite</w:t>
      </w:r>
      <w:r w:rsidR="00A92EC2">
        <w:t xml:space="preserve"> </w:t>
      </w:r>
      <w:proofErr w:type="gramStart"/>
      <w:r w:rsidR="00A92EC2">
        <w:t>time period</w:t>
      </w:r>
      <w:proofErr w:type="gramEnd"/>
      <w:r w:rsidR="00A92EC2">
        <w:t xml:space="preserve"> already determined to be unreasonable in </w:t>
      </w:r>
      <w:proofErr w:type="spellStart"/>
      <w:r w:rsidR="00A92EC2">
        <w:rPr>
          <w:i/>
        </w:rPr>
        <w:t>Yamanishi</w:t>
      </w:r>
      <w:proofErr w:type="spellEnd"/>
      <w:r w:rsidR="00A92EC2" w:rsidRPr="00B944EF">
        <w:t>,</w:t>
      </w:r>
      <w:r w:rsidR="00A92EC2">
        <w:rPr>
          <w:i/>
        </w:rPr>
        <w:t xml:space="preserve"> supra</w:t>
      </w:r>
      <w:r w:rsidR="00A92EC2" w:rsidRPr="00B944EF">
        <w:t>,</w:t>
      </w:r>
      <w:r w:rsidR="00A92EC2">
        <w:rPr>
          <w:i/>
        </w:rPr>
        <w:t xml:space="preserve"> </w:t>
      </w:r>
      <w:r w:rsidR="00A92EC2">
        <w:t xml:space="preserve">29 Cal.App.3d 457.  </w:t>
      </w:r>
      <w:r w:rsidR="003C26AA" w:rsidRPr="00460261">
        <w:t>A</w:t>
      </w:r>
      <w:r w:rsidR="001D1AAA" w:rsidRPr="00460261">
        <w:t xml:space="preserve">s the Supreme Court </w:t>
      </w:r>
      <w:r w:rsidR="001D1AAA" w:rsidRPr="00460261">
        <w:lastRenderedPageBreak/>
        <w:t>explained</w:t>
      </w:r>
      <w:r w:rsidR="001D0CCA" w:rsidRPr="00460261">
        <w:t xml:space="preserve"> in </w:t>
      </w:r>
      <w:r w:rsidR="001D0CCA" w:rsidRPr="00460261">
        <w:rPr>
          <w:i/>
        </w:rPr>
        <w:t>Wm. R. Clarke</w:t>
      </w:r>
      <w:r w:rsidR="001D1AAA" w:rsidRPr="00460261">
        <w:t xml:space="preserve">, </w:t>
      </w:r>
      <w:r w:rsidR="00B66EC7">
        <w:t>"</w:t>
      </w:r>
      <w:r w:rsidR="001D1AAA" w:rsidRPr="00460261">
        <w:t>[t]he Legislature</w:t>
      </w:r>
      <w:r w:rsidR="00B66EC7">
        <w:t>'</w:t>
      </w:r>
      <w:r w:rsidR="001D1AAA" w:rsidRPr="00460261">
        <w:t xml:space="preserve">s carefully articulated anti-waiver scheme would amount to little if parties to construction contracts could circumvent it by means of pay if paid provisions having effects indistinguishable from waivers prohibited under Civil Code </w:t>
      </w:r>
      <w:r w:rsidR="001D0CCA" w:rsidRPr="00460261">
        <w:t>[fo</w:t>
      </w:r>
      <w:r w:rsidR="001D1AAA" w:rsidRPr="00460261">
        <w:t xml:space="preserve">rmer] section 3262 [, </w:t>
      </w:r>
      <w:r w:rsidR="009B2698" w:rsidRPr="00460261">
        <w:t xml:space="preserve">now </w:t>
      </w:r>
      <w:r w:rsidR="001D1AAA" w:rsidRPr="00460261">
        <w:t>section 8126].</w:t>
      </w:r>
      <w:r w:rsidR="00B66EC7">
        <w:t>"</w:t>
      </w:r>
      <w:r w:rsidR="003C26AA" w:rsidRPr="00460261">
        <w:t xml:space="preserve">  (</w:t>
      </w:r>
      <w:r w:rsidR="003C26AA" w:rsidRPr="00460261">
        <w:rPr>
          <w:i/>
        </w:rPr>
        <w:t>Wm. R. Clarke</w:t>
      </w:r>
      <w:r w:rsidR="003C26AA" w:rsidRPr="00460261">
        <w:t>,</w:t>
      </w:r>
      <w:r w:rsidR="003C26AA" w:rsidRPr="00460261">
        <w:rPr>
          <w:i/>
        </w:rPr>
        <w:t xml:space="preserve"> supra</w:t>
      </w:r>
      <w:r w:rsidR="003C26AA" w:rsidRPr="00460261">
        <w:t>,</w:t>
      </w:r>
      <w:r w:rsidR="003C26AA" w:rsidRPr="00460261">
        <w:rPr>
          <w:i/>
        </w:rPr>
        <w:t xml:space="preserve"> </w:t>
      </w:r>
      <w:r w:rsidR="003C26AA" w:rsidRPr="00460261">
        <w:t>15 Cal.4th at p. 890.)</w:t>
      </w:r>
    </w:p>
    <w:p w14:paraId="1E42AB26" w14:textId="4FCC4A3A" w:rsidR="002657CF" w:rsidRPr="00460261" w:rsidRDefault="00366745" w:rsidP="00855937">
      <w:r w:rsidRPr="00460261">
        <w:tab/>
      </w:r>
      <w:r w:rsidR="001D0CCA" w:rsidRPr="00460261">
        <w:t xml:space="preserve">As the trial court </w:t>
      </w:r>
      <w:r w:rsidR="00A92EC2">
        <w:t>observed</w:t>
      </w:r>
      <w:r w:rsidR="001D0CCA" w:rsidRPr="00460261">
        <w:t>, t</w:t>
      </w:r>
      <w:r w:rsidR="00F93ECC" w:rsidRPr="00460261">
        <w:t>he</w:t>
      </w:r>
      <w:r w:rsidRPr="00460261">
        <w:t xml:space="preserve"> purpose behind the public works payment bond </w:t>
      </w:r>
      <w:r w:rsidR="00F93ECC" w:rsidRPr="00460261">
        <w:t xml:space="preserve">is </w:t>
      </w:r>
      <w:r w:rsidRPr="00460261">
        <w:t xml:space="preserve">to provide subcontractors like </w:t>
      </w:r>
      <w:proofErr w:type="spellStart"/>
      <w:r w:rsidRPr="00460261">
        <w:t>Crosno</w:t>
      </w:r>
      <w:proofErr w:type="spellEnd"/>
      <w:r w:rsidRPr="00460261">
        <w:t xml:space="preserve"> </w:t>
      </w:r>
      <w:r w:rsidR="00B66EC7">
        <w:t>"</w:t>
      </w:r>
      <w:r w:rsidRPr="00460261">
        <w:t> </w:t>
      </w:r>
      <w:r w:rsidR="00B66EC7">
        <w:t>'</w:t>
      </w:r>
      <w:r w:rsidRPr="00460261">
        <w:t>a quick, reliable and sufficient means of payment.</w:t>
      </w:r>
      <w:r w:rsidR="00B66EC7">
        <w:t>'</w:t>
      </w:r>
      <w:r w:rsidRPr="00460261">
        <w:t> </w:t>
      </w:r>
      <w:r w:rsidR="00B66EC7">
        <w:t>"</w:t>
      </w:r>
      <w:r w:rsidRPr="00460261">
        <w:t xml:space="preserve">  (</w:t>
      </w:r>
      <w:r w:rsidRPr="00460261">
        <w:rPr>
          <w:i/>
        </w:rPr>
        <w:t xml:space="preserve">Cooley v. Freeman </w:t>
      </w:r>
      <w:r w:rsidRPr="00460261">
        <w:t>(1928) 204 Cal. 59, 62 (</w:t>
      </w:r>
      <w:r w:rsidRPr="00460261">
        <w:rPr>
          <w:i/>
        </w:rPr>
        <w:t>Cooley</w:t>
      </w:r>
      <w:r w:rsidRPr="00460261">
        <w:t xml:space="preserve">).)  </w:t>
      </w:r>
      <w:r w:rsidR="00BA3840" w:rsidRPr="00460261">
        <w:t xml:space="preserve">The </w:t>
      </w:r>
      <w:r w:rsidR="000130F8" w:rsidRPr="00460261">
        <w:t xml:space="preserve">filing </w:t>
      </w:r>
      <w:r w:rsidR="00BA3840" w:rsidRPr="00460261">
        <w:t xml:space="preserve">deadlines </w:t>
      </w:r>
      <w:r w:rsidR="00A92EC2">
        <w:t xml:space="preserve">for payment bond actions </w:t>
      </w:r>
      <w:r w:rsidR="00BA3840" w:rsidRPr="00460261">
        <w:t>reflect this aim</w:t>
      </w:r>
      <w:r w:rsidR="00B862F3" w:rsidRPr="00460261">
        <w:t xml:space="preserve">.  An action against a surety on the payment bond must be </w:t>
      </w:r>
      <w:r w:rsidR="00B862F3" w:rsidRPr="00460261">
        <w:rPr>
          <w:rFonts w:cstheme="minorHAnsi"/>
        </w:rPr>
        <w:t xml:space="preserve">filed </w:t>
      </w:r>
      <w:r w:rsidR="00DE0634" w:rsidRPr="00460261">
        <w:rPr>
          <w:rFonts w:cstheme="minorHAnsi"/>
        </w:rPr>
        <w:t xml:space="preserve">within six months of when a stop notice may be filed (§ 9558), </w:t>
      </w:r>
      <w:r w:rsidR="008863BF" w:rsidRPr="00460261">
        <w:rPr>
          <w:rFonts w:cstheme="minorHAnsi"/>
        </w:rPr>
        <w:t xml:space="preserve">which in turn </w:t>
      </w:r>
      <w:r w:rsidR="001D0CCA" w:rsidRPr="00460261">
        <w:rPr>
          <w:rFonts w:cstheme="minorHAnsi"/>
        </w:rPr>
        <w:t>may</w:t>
      </w:r>
      <w:r w:rsidR="00DE0634" w:rsidRPr="00460261">
        <w:rPr>
          <w:rFonts w:cstheme="minorHAnsi"/>
        </w:rPr>
        <w:t xml:space="preserve"> be filed </w:t>
      </w:r>
      <w:r w:rsidR="008863BF" w:rsidRPr="00460261">
        <w:rPr>
          <w:rFonts w:cstheme="minorHAnsi"/>
        </w:rPr>
        <w:t>90 days after cessation of work</w:t>
      </w:r>
      <w:r w:rsidR="00BA3840" w:rsidRPr="00460261">
        <w:t xml:space="preserve"> </w:t>
      </w:r>
      <w:r w:rsidRPr="00460261">
        <w:t>(</w:t>
      </w:r>
      <w:r w:rsidR="00DE0634" w:rsidRPr="00460261">
        <w:t>§ 9356</w:t>
      </w:r>
      <w:r w:rsidR="001D0CCA" w:rsidRPr="00460261">
        <w:t xml:space="preserve">, </w:t>
      </w:r>
      <w:proofErr w:type="spellStart"/>
      <w:r w:rsidR="001D0CCA" w:rsidRPr="00460261">
        <w:t>subd</w:t>
      </w:r>
      <w:proofErr w:type="spellEnd"/>
      <w:r w:rsidR="001D0CCA" w:rsidRPr="00460261">
        <w:t>. (b)</w:t>
      </w:r>
      <w:r w:rsidRPr="00460261">
        <w:t>)</w:t>
      </w:r>
      <w:r w:rsidR="00DE0634" w:rsidRPr="00460261">
        <w:t>.</w:t>
      </w:r>
      <w:r w:rsidRPr="00460261">
        <w:t xml:space="preserve">  </w:t>
      </w:r>
      <w:r w:rsidR="00BA3840" w:rsidRPr="00460261">
        <w:t xml:space="preserve">As </w:t>
      </w:r>
      <w:proofErr w:type="spellStart"/>
      <w:r w:rsidRPr="00460261">
        <w:t>Crosno</w:t>
      </w:r>
      <w:proofErr w:type="spellEnd"/>
      <w:r w:rsidRPr="00460261">
        <w:t xml:space="preserve"> </w:t>
      </w:r>
      <w:r w:rsidR="00BA3840" w:rsidRPr="00460261">
        <w:t xml:space="preserve">suggests, </w:t>
      </w:r>
      <w:r w:rsidRPr="00460261">
        <w:t xml:space="preserve">enforcing the pay-when-paid clause </w:t>
      </w:r>
      <w:r w:rsidR="001D0CCA" w:rsidRPr="00460261">
        <w:t>as written</w:t>
      </w:r>
      <w:r w:rsidR="00BA3840" w:rsidRPr="00460261">
        <w:t xml:space="preserve"> </w:t>
      </w:r>
      <w:r w:rsidRPr="00460261">
        <w:t>could effectively nullify the bond whenever the direct contractor</w:t>
      </w:r>
      <w:r w:rsidR="00B66EC7">
        <w:t>'</w:t>
      </w:r>
      <w:r w:rsidRPr="00460261">
        <w:t>s litigation with the owner extended beyond the limitations period.</w:t>
      </w:r>
      <w:r w:rsidR="000130F8" w:rsidRPr="00460261">
        <w:rPr>
          <w:rStyle w:val="FootnoteReference"/>
        </w:rPr>
        <w:footnoteReference w:id="8"/>
      </w:r>
      <w:r w:rsidR="000130F8" w:rsidRPr="00460261">
        <w:rPr>
          <w:rFonts w:ascii="Times New Roman" w:hAnsi="Times New Roman"/>
          <w:position w:val="6"/>
        </w:rPr>
        <w:t xml:space="preserve"> </w:t>
      </w:r>
      <w:r w:rsidRPr="00460261">
        <w:t xml:space="preserve"> </w:t>
      </w:r>
      <w:r w:rsidR="001D0CCA" w:rsidRPr="00460261">
        <w:t xml:space="preserve">Indeed, relying on these same </w:t>
      </w:r>
      <w:r w:rsidR="00775DA8" w:rsidRPr="00460261">
        <w:t>timing requirements</w:t>
      </w:r>
      <w:r w:rsidRPr="00460261">
        <w:t xml:space="preserve">, courts have refused to apply subcontract provisions </w:t>
      </w:r>
      <w:r w:rsidR="001D0CCA" w:rsidRPr="00460261">
        <w:t>in a manner that restricts</w:t>
      </w:r>
      <w:r w:rsidRPr="00460261">
        <w:t xml:space="preserve"> </w:t>
      </w:r>
      <w:r w:rsidR="001D0CCA" w:rsidRPr="00460261">
        <w:t xml:space="preserve">statutory payment </w:t>
      </w:r>
      <w:r w:rsidR="00F93ECC" w:rsidRPr="00460261">
        <w:t xml:space="preserve">bond </w:t>
      </w:r>
      <w:r w:rsidR="00242978" w:rsidRPr="00460261">
        <w:t>recovery</w:t>
      </w:r>
      <w:r w:rsidRPr="00460261">
        <w:t>.  (</w:t>
      </w:r>
      <w:proofErr w:type="spellStart"/>
      <w:r w:rsidRPr="00460261">
        <w:rPr>
          <w:i/>
        </w:rPr>
        <w:t>Pneucrete</w:t>
      </w:r>
      <w:proofErr w:type="spellEnd"/>
      <w:r w:rsidRPr="00460261">
        <w:rPr>
          <w:i/>
        </w:rPr>
        <w:t xml:space="preserve"> Corp. v. U.S. Fid. &amp; Guarantee Co.</w:t>
      </w:r>
      <w:r w:rsidRPr="00460261">
        <w:t xml:space="preserve"> (1935) 7 Cal.App.2d 733, 740 [arbitration clause did not preclude bond claim] (</w:t>
      </w:r>
      <w:proofErr w:type="spellStart"/>
      <w:r w:rsidRPr="00460261">
        <w:rPr>
          <w:i/>
        </w:rPr>
        <w:t>Pneucrete</w:t>
      </w:r>
      <w:proofErr w:type="spellEnd"/>
      <w:r w:rsidRPr="00460261">
        <w:t xml:space="preserve">); </w:t>
      </w:r>
      <w:r w:rsidR="00242978" w:rsidRPr="00460261">
        <w:t xml:space="preserve">see also </w:t>
      </w:r>
      <w:r w:rsidR="00242978" w:rsidRPr="00460261">
        <w:rPr>
          <w:i/>
        </w:rPr>
        <w:t>U</w:t>
      </w:r>
      <w:r w:rsidR="00C04EF9" w:rsidRPr="00460261">
        <w:rPr>
          <w:i/>
        </w:rPr>
        <w:t>nited States</w:t>
      </w:r>
      <w:r w:rsidR="00242978" w:rsidRPr="00460261">
        <w:rPr>
          <w:i/>
        </w:rPr>
        <w:t xml:space="preserve"> ex </w:t>
      </w:r>
      <w:proofErr w:type="spellStart"/>
      <w:r w:rsidR="00242978" w:rsidRPr="00460261">
        <w:rPr>
          <w:i/>
        </w:rPr>
        <w:t>rel</w:t>
      </w:r>
      <w:proofErr w:type="spellEnd"/>
      <w:r w:rsidR="00242978" w:rsidRPr="00460261">
        <w:rPr>
          <w:i/>
        </w:rPr>
        <w:t xml:space="preserve"> Walton Technol.</w:t>
      </w:r>
      <w:r w:rsidR="00242978" w:rsidRPr="00460261">
        <w:t>,</w:t>
      </w:r>
      <w:r w:rsidR="00242978" w:rsidRPr="00460261">
        <w:rPr>
          <w:i/>
        </w:rPr>
        <w:t xml:space="preserve"> Inc. v. </w:t>
      </w:r>
      <w:proofErr w:type="spellStart"/>
      <w:r w:rsidR="00242978" w:rsidRPr="00460261">
        <w:rPr>
          <w:i/>
        </w:rPr>
        <w:t>Weststar</w:t>
      </w:r>
      <w:proofErr w:type="spellEnd"/>
      <w:r w:rsidR="00242978" w:rsidRPr="00460261">
        <w:rPr>
          <w:i/>
        </w:rPr>
        <w:t xml:space="preserve"> Eng</w:t>
      </w:r>
      <w:r w:rsidR="00B66EC7">
        <w:rPr>
          <w:i/>
        </w:rPr>
        <w:t>'</w:t>
      </w:r>
      <w:r w:rsidR="00242978" w:rsidRPr="00460261">
        <w:rPr>
          <w:i/>
        </w:rPr>
        <w:t>g</w:t>
      </w:r>
      <w:r w:rsidR="00E650BE" w:rsidRPr="00460261">
        <w:t xml:space="preserve">, </w:t>
      </w:r>
      <w:r w:rsidR="00E650BE" w:rsidRPr="00460261">
        <w:rPr>
          <w:i/>
        </w:rPr>
        <w:t>Inc.</w:t>
      </w:r>
      <w:r w:rsidR="00242978" w:rsidRPr="00460261">
        <w:rPr>
          <w:i/>
        </w:rPr>
        <w:t xml:space="preserve"> </w:t>
      </w:r>
      <w:r w:rsidR="00242978" w:rsidRPr="00460261">
        <w:t xml:space="preserve">(9th Cir. 2002) 290 F.3d 1199, 1208 </w:t>
      </w:r>
      <w:r w:rsidRPr="00460261">
        <w:t xml:space="preserve">[pay </w:t>
      </w:r>
      <w:r w:rsidR="00B66EC7">
        <w:t>"</w:t>
      </w:r>
      <w:r w:rsidR="00AD7083" w:rsidRPr="00460261">
        <w:t> </w:t>
      </w:r>
      <w:r w:rsidR="00B66EC7">
        <w:t>'</w:t>
      </w:r>
      <w:r w:rsidRPr="00460261">
        <w:t>when and if</w:t>
      </w:r>
      <w:r w:rsidR="00B66EC7">
        <w:t>'</w:t>
      </w:r>
      <w:r w:rsidR="00AD7083" w:rsidRPr="00460261">
        <w:t> </w:t>
      </w:r>
      <w:r w:rsidR="00B66EC7">
        <w:t>"</w:t>
      </w:r>
      <w:r w:rsidRPr="00460261">
        <w:t xml:space="preserve"> paid clause did not preclude </w:t>
      </w:r>
      <w:r w:rsidR="00F93ECC" w:rsidRPr="00460261">
        <w:t>federal</w:t>
      </w:r>
      <w:r w:rsidR="00B80501" w:rsidRPr="00460261">
        <w:t xml:space="preserve"> </w:t>
      </w:r>
      <w:r w:rsidR="00F93ECC" w:rsidRPr="00460261">
        <w:t>claim</w:t>
      </w:r>
      <w:r w:rsidR="00913BB7" w:rsidRPr="00460261">
        <w:t xml:space="preserve"> under parallel Miller Act</w:t>
      </w:r>
      <w:r w:rsidRPr="00460261">
        <w:t>]</w:t>
      </w:r>
      <w:r w:rsidR="00242978" w:rsidRPr="00460261">
        <w:t xml:space="preserve"> (</w:t>
      </w:r>
      <w:r w:rsidR="00242978" w:rsidRPr="00460261">
        <w:rPr>
          <w:i/>
        </w:rPr>
        <w:t>Walton</w:t>
      </w:r>
      <w:r w:rsidR="00242978" w:rsidRPr="00460261">
        <w:t>)</w:t>
      </w:r>
      <w:r w:rsidRPr="00460261">
        <w:t xml:space="preserve">.)  </w:t>
      </w:r>
    </w:p>
    <w:p w14:paraId="7EAC8D91" w14:textId="69747570" w:rsidR="00366745" w:rsidRPr="00460261" w:rsidRDefault="002657CF" w:rsidP="00855937">
      <w:r w:rsidRPr="00460261">
        <w:lastRenderedPageBreak/>
        <w:tab/>
      </w:r>
      <w:r w:rsidR="00366745" w:rsidRPr="00460261">
        <w:t>Travelers</w:t>
      </w:r>
      <w:r w:rsidR="00BA3840" w:rsidRPr="00460261">
        <w:t xml:space="preserve"> responds</w:t>
      </w:r>
      <w:r w:rsidR="00366745" w:rsidRPr="00460261">
        <w:t xml:space="preserve"> that </w:t>
      </w:r>
      <w:r w:rsidR="00FD4E8F" w:rsidRPr="00460261">
        <w:t>statute of limitations concerns</w:t>
      </w:r>
      <w:r w:rsidR="00366745" w:rsidRPr="00460261">
        <w:t xml:space="preserve"> could be resolved by </w:t>
      </w:r>
      <w:r w:rsidR="00BA3840" w:rsidRPr="00460261">
        <w:t xml:space="preserve">filing and immediately </w:t>
      </w:r>
      <w:r w:rsidR="00366745" w:rsidRPr="00460261">
        <w:t>staying the payment bond action</w:t>
      </w:r>
      <w:r w:rsidR="00BA3840" w:rsidRPr="00460261">
        <w:t xml:space="preserve"> pending resolution of Clark</w:t>
      </w:r>
      <w:r w:rsidR="00B66EC7">
        <w:t>'</w:t>
      </w:r>
      <w:r w:rsidR="00BA3840" w:rsidRPr="00460261">
        <w:t xml:space="preserve">s litigation </w:t>
      </w:r>
      <w:r w:rsidR="00366745" w:rsidRPr="00460261">
        <w:t>against the District</w:t>
      </w:r>
      <w:r w:rsidR="00855937" w:rsidRPr="00460261">
        <w:t xml:space="preserve">.  </w:t>
      </w:r>
      <w:r w:rsidR="00CC4BB9" w:rsidRPr="00460261">
        <w:t xml:space="preserve">Amicus curiae </w:t>
      </w:r>
      <w:r w:rsidR="00535FE8" w:rsidRPr="00460261">
        <w:t>Construction Employers</w:t>
      </w:r>
      <w:r w:rsidR="00B66EC7">
        <w:t>'</w:t>
      </w:r>
      <w:r w:rsidR="00535FE8" w:rsidRPr="00460261">
        <w:t xml:space="preserve"> Association</w:t>
      </w:r>
      <w:r w:rsidR="008415B4">
        <w:t xml:space="preserve"> (</w:t>
      </w:r>
      <w:r w:rsidR="008415B4" w:rsidRPr="00460261">
        <w:t>CEA</w:t>
      </w:r>
      <w:r w:rsidR="00535FE8">
        <w:t>)</w:t>
      </w:r>
      <w:r w:rsidR="00535FE8" w:rsidRPr="00460261">
        <w:t xml:space="preserve"> </w:t>
      </w:r>
      <w:r w:rsidR="00CC4BB9" w:rsidRPr="00460261">
        <w:t xml:space="preserve">suggests </w:t>
      </w:r>
      <w:r w:rsidR="00913BB7" w:rsidRPr="00460261">
        <w:t xml:space="preserve">that </w:t>
      </w:r>
      <w:r w:rsidR="00CC4BB9" w:rsidRPr="00460261">
        <w:t>a payment bond action filed after Clark</w:t>
      </w:r>
      <w:r w:rsidR="00B66EC7">
        <w:t>'</w:t>
      </w:r>
      <w:r w:rsidR="00CC4BB9" w:rsidRPr="00460261">
        <w:t xml:space="preserve">s litigation concludes </w:t>
      </w:r>
      <w:r w:rsidR="007B58D6" w:rsidRPr="00460261">
        <w:t>c</w:t>
      </w:r>
      <w:r w:rsidR="00CC4BB9" w:rsidRPr="00460261">
        <w:t xml:space="preserve">ould </w:t>
      </w:r>
      <w:r w:rsidR="00A92EC2">
        <w:t>avail of</w:t>
      </w:r>
      <w:r w:rsidR="00A92EC2" w:rsidRPr="00460261">
        <w:t xml:space="preserve"> </w:t>
      </w:r>
      <w:r w:rsidR="00CC4BB9" w:rsidRPr="00460261">
        <w:t>equitabl</w:t>
      </w:r>
      <w:r w:rsidR="007B58D6" w:rsidRPr="00460261">
        <w:t>e</w:t>
      </w:r>
      <w:r w:rsidR="00CC4BB9" w:rsidRPr="00460261">
        <w:t xml:space="preserve"> toll</w:t>
      </w:r>
      <w:r w:rsidR="007B58D6" w:rsidRPr="00460261">
        <w:t>ing</w:t>
      </w:r>
      <w:r w:rsidR="00CC4BB9" w:rsidRPr="00460261">
        <w:t xml:space="preserve"> to </w:t>
      </w:r>
      <w:r w:rsidR="00913BB7" w:rsidRPr="00460261">
        <w:t>overcome</w:t>
      </w:r>
      <w:r w:rsidR="00CC4BB9" w:rsidRPr="00460261">
        <w:t xml:space="preserve"> </w:t>
      </w:r>
      <w:r w:rsidR="00913BB7" w:rsidRPr="00460261">
        <w:t>a</w:t>
      </w:r>
      <w:r w:rsidR="00CC4BB9" w:rsidRPr="00460261">
        <w:t xml:space="preserve"> limitations bar.  But a</w:t>
      </w:r>
      <w:r w:rsidR="00855937" w:rsidRPr="00460261">
        <w:t xml:space="preserve">s </w:t>
      </w:r>
      <w:r w:rsidR="00AB4839" w:rsidRPr="00460261">
        <w:t>the</w:t>
      </w:r>
      <w:r w:rsidR="00855937" w:rsidRPr="00460261">
        <w:t xml:space="preserve"> American Subcontractors Association points out</w:t>
      </w:r>
      <w:r w:rsidR="00AB4839" w:rsidRPr="00460261">
        <w:t xml:space="preserve"> in its amicus curiae brief</w:t>
      </w:r>
      <w:r w:rsidR="00855937" w:rsidRPr="00460261">
        <w:t xml:space="preserve">, </w:t>
      </w:r>
      <w:r w:rsidR="00CC4BB9" w:rsidRPr="00460261">
        <w:t xml:space="preserve">either </w:t>
      </w:r>
      <w:r w:rsidR="00913BB7" w:rsidRPr="00460261">
        <w:t>procedure</w:t>
      </w:r>
      <w:r w:rsidR="00CC4BB9" w:rsidRPr="00460261">
        <w:t xml:space="preserve"> delays the payment bond action</w:t>
      </w:r>
      <w:r w:rsidR="00913BB7" w:rsidRPr="00460261">
        <w:t xml:space="preserve"> </w:t>
      </w:r>
      <w:r w:rsidR="00E37C1F">
        <w:t>for an indefinite period</w:t>
      </w:r>
      <w:r w:rsidR="00CC4BB9" w:rsidRPr="00460261">
        <w:t xml:space="preserve">, thereby </w:t>
      </w:r>
      <w:r w:rsidR="007B58D6" w:rsidRPr="00460261">
        <w:t xml:space="preserve">unreasonably </w:t>
      </w:r>
      <w:r w:rsidR="00CC4BB9" w:rsidRPr="00460261">
        <w:t>affecting or impairing</w:t>
      </w:r>
      <w:r w:rsidR="00855937" w:rsidRPr="00460261">
        <w:t xml:space="preserve"> </w:t>
      </w:r>
      <w:proofErr w:type="spellStart"/>
      <w:r w:rsidR="00FD4E8F" w:rsidRPr="00460261">
        <w:t>Crosno</w:t>
      </w:r>
      <w:r w:rsidR="00B66EC7">
        <w:t>'</w:t>
      </w:r>
      <w:r w:rsidR="00FD4E8F" w:rsidRPr="00460261">
        <w:t>s</w:t>
      </w:r>
      <w:proofErr w:type="spellEnd"/>
      <w:r w:rsidR="00FD4E8F" w:rsidRPr="00460261">
        <w:t xml:space="preserve"> payment </w:t>
      </w:r>
      <w:r w:rsidR="00855937" w:rsidRPr="00460261">
        <w:t>bond rights</w:t>
      </w:r>
      <w:r w:rsidR="00CC4BB9" w:rsidRPr="00460261">
        <w:t xml:space="preserve"> </w:t>
      </w:r>
      <w:r w:rsidR="00913BB7" w:rsidRPr="00460261">
        <w:t>in violation of</w:t>
      </w:r>
      <w:r w:rsidR="00855937" w:rsidRPr="00460261">
        <w:t xml:space="preserve"> s</w:t>
      </w:r>
      <w:r w:rsidR="00CC4BB9" w:rsidRPr="00460261">
        <w:t xml:space="preserve">ection 8122.  Open-ended delay </w:t>
      </w:r>
      <w:r w:rsidR="00913BB7" w:rsidRPr="00460261">
        <w:t>likewise</w:t>
      </w:r>
      <w:r w:rsidR="00855937" w:rsidRPr="00460261">
        <w:t xml:space="preserve"> </w:t>
      </w:r>
      <w:r w:rsidR="00366745" w:rsidRPr="00460261">
        <w:t>conflict</w:t>
      </w:r>
      <w:r w:rsidR="00913BB7" w:rsidRPr="00460261">
        <w:t>s</w:t>
      </w:r>
      <w:r w:rsidR="00366745" w:rsidRPr="00460261">
        <w:t xml:space="preserve"> with the </w:t>
      </w:r>
      <w:r w:rsidR="00855937" w:rsidRPr="00460261">
        <w:t xml:space="preserve">purpose behind the payment bond </w:t>
      </w:r>
      <w:r w:rsidR="00366745" w:rsidRPr="00460261">
        <w:t xml:space="preserve">of </w:t>
      </w:r>
      <w:r w:rsidR="00F83D39" w:rsidRPr="00460261">
        <w:t>providing</w:t>
      </w:r>
      <w:r w:rsidR="00366745" w:rsidRPr="00460261">
        <w:t xml:space="preserve"> subcontractors </w:t>
      </w:r>
      <w:r w:rsidR="00855937" w:rsidRPr="00460261">
        <w:t xml:space="preserve">like </w:t>
      </w:r>
      <w:proofErr w:type="spellStart"/>
      <w:r w:rsidR="00855937" w:rsidRPr="00460261">
        <w:t>Crosno</w:t>
      </w:r>
      <w:proofErr w:type="spellEnd"/>
      <w:r w:rsidR="00855937" w:rsidRPr="00460261">
        <w:t xml:space="preserve"> </w:t>
      </w:r>
      <w:r w:rsidR="00366745" w:rsidRPr="00460261">
        <w:t xml:space="preserve">an </w:t>
      </w:r>
      <w:r w:rsidR="00BA3840" w:rsidRPr="00460261">
        <w:t>expedient</w:t>
      </w:r>
      <w:r w:rsidR="00366745" w:rsidRPr="00460261">
        <w:t xml:space="preserve"> means of recovery.</w:t>
      </w:r>
      <w:r w:rsidR="00855937" w:rsidRPr="00460261">
        <w:t xml:space="preserve">  (</w:t>
      </w:r>
      <w:r w:rsidR="00855937" w:rsidRPr="00460261">
        <w:rPr>
          <w:i/>
        </w:rPr>
        <w:t>Cooley</w:t>
      </w:r>
      <w:r w:rsidRPr="00460261">
        <w:t>,</w:t>
      </w:r>
      <w:r w:rsidRPr="00460261">
        <w:rPr>
          <w:i/>
        </w:rPr>
        <w:t xml:space="preserve"> supra</w:t>
      </w:r>
      <w:r w:rsidRPr="00460261">
        <w:t>,</w:t>
      </w:r>
      <w:r w:rsidRPr="00460261">
        <w:rPr>
          <w:i/>
        </w:rPr>
        <w:t xml:space="preserve"> </w:t>
      </w:r>
      <w:r w:rsidRPr="00460261">
        <w:t>204 Cal.</w:t>
      </w:r>
      <w:r w:rsidR="00855937" w:rsidRPr="00460261">
        <w:t xml:space="preserve"> at p. 62.)</w:t>
      </w:r>
    </w:p>
    <w:p w14:paraId="3CBFFFCB" w14:textId="737A6F06" w:rsidR="0043302D" w:rsidRPr="00460261" w:rsidRDefault="0043302D" w:rsidP="0043302D">
      <w:r w:rsidRPr="00460261">
        <w:tab/>
      </w:r>
      <w:r w:rsidR="00913BB7" w:rsidRPr="00460261">
        <w:t>Also supporting the trial court</w:t>
      </w:r>
      <w:r w:rsidR="00B66EC7">
        <w:t>'</w:t>
      </w:r>
      <w:r w:rsidR="00913BB7" w:rsidRPr="00460261">
        <w:t>s view</w:t>
      </w:r>
      <w:r w:rsidR="00085D6A" w:rsidRPr="00460261">
        <w:t>,</w:t>
      </w:r>
      <w:r w:rsidR="00913BB7" w:rsidRPr="00460261">
        <w:t xml:space="preserve"> section 8152, subdivision (d) prevents a surety from avoiding liability on a bond based on </w:t>
      </w:r>
      <w:r w:rsidR="00B66EC7">
        <w:t>"</w:t>
      </w:r>
      <w:r w:rsidR="00913BB7" w:rsidRPr="00460261">
        <w:t>[a] condition precedent or subsequent in the bond purporting to limit the right of recovery of a claimant otherwise entitled to recover pursuant to a contract, agreement, or bond.</w:t>
      </w:r>
      <w:r w:rsidR="00B66EC7">
        <w:t>"</w:t>
      </w:r>
      <w:r w:rsidR="00913BB7" w:rsidRPr="00460261">
        <w:t xml:space="preserve">  As the trial court explained,</w:t>
      </w:r>
    </w:p>
    <w:p w14:paraId="2CC4DC00" w14:textId="4F7B40F0" w:rsidR="00913BB7" w:rsidRPr="00460261" w:rsidRDefault="00B66EC7" w:rsidP="00913BB7">
      <w:pPr>
        <w:pStyle w:val="IndentedQuote"/>
      </w:pPr>
      <w:r>
        <w:t>"</w:t>
      </w:r>
      <w:r w:rsidR="0043302D" w:rsidRPr="00460261">
        <w:t xml:space="preserve">If the provision at issue was included in the payment bond, there would be no dispute it would be unenforceable as against the policy underlying payment bonds.  However, this is exactly the result of enforcement of the provision; it results in </w:t>
      </w:r>
      <w:proofErr w:type="spellStart"/>
      <w:r w:rsidR="0043302D" w:rsidRPr="00460261">
        <w:t>Crosno</w:t>
      </w:r>
      <w:proofErr w:type="spellEnd"/>
      <w:r w:rsidR="0043302D" w:rsidRPr="00460261">
        <w:t xml:space="preserve"> having to wait until legal remedies are pursued, albeit by Clark, until [it] can recover on the bond.  </w:t>
      </w:r>
      <w:r w:rsidR="0043302D" w:rsidRPr="00460261">
        <w:rPr>
          <w:i/>
        </w:rPr>
        <w:t>Travelers has effectively imposed an unreasonable limit on the terms of payment on the bond.  It is seeking to do indirectly what it cannot do directly</w:t>
      </w:r>
      <w:r w:rsidR="00913BB7" w:rsidRPr="00460261">
        <w:t>.</w:t>
      </w:r>
      <w:r>
        <w:t>"</w:t>
      </w:r>
      <w:r w:rsidR="00913BB7" w:rsidRPr="00460261">
        <w:t xml:space="preserve"> </w:t>
      </w:r>
    </w:p>
    <w:p w14:paraId="1738A9E5" w14:textId="77777777" w:rsidR="00913BB7" w:rsidRPr="00460261" w:rsidRDefault="00913BB7" w:rsidP="00913BB7">
      <w:pPr>
        <w:pStyle w:val="IndentedQuote"/>
      </w:pPr>
    </w:p>
    <w:p w14:paraId="73DA6B03" w14:textId="190807FC" w:rsidR="0043302D" w:rsidRPr="00460261" w:rsidRDefault="00085D6A" w:rsidP="0043302D">
      <w:r w:rsidRPr="00460261">
        <w:t xml:space="preserve">Pursuant to section 8152, </w:t>
      </w:r>
      <w:r w:rsidR="0043302D" w:rsidRPr="00460261">
        <w:t>Travelers could not insert a condition in the bond limiting a subcontractor</w:t>
      </w:r>
      <w:r w:rsidR="00B66EC7">
        <w:t>'</w:t>
      </w:r>
      <w:r w:rsidR="0043302D" w:rsidRPr="00460261">
        <w:t xml:space="preserve">s </w:t>
      </w:r>
      <w:r w:rsidRPr="00460261">
        <w:t xml:space="preserve">bond </w:t>
      </w:r>
      <w:r w:rsidR="0043302D" w:rsidRPr="00460261">
        <w:t xml:space="preserve">recovery to those claims as to which litigation against the owner had concluded.  It follows that Travelers may not indirectly achieve the same result by </w:t>
      </w:r>
      <w:r w:rsidR="0043302D" w:rsidRPr="00460261">
        <w:lastRenderedPageBreak/>
        <w:t>applying the subcontract</w:t>
      </w:r>
      <w:r w:rsidR="00B66EC7">
        <w:t>'</w:t>
      </w:r>
      <w:r w:rsidR="0043302D" w:rsidRPr="00460261">
        <w:t xml:space="preserve">s definition of </w:t>
      </w:r>
      <w:r w:rsidR="00B66EC7">
        <w:t>"</w:t>
      </w:r>
      <w:r w:rsidR="0043302D" w:rsidRPr="00460261">
        <w:t>reasonable time</w:t>
      </w:r>
      <w:r w:rsidR="00B66EC7">
        <w:t>"</w:t>
      </w:r>
      <w:r w:rsidR="0043302D" w:rsidRPr="00460261">
        <w:t xml:space="preserve"> to avoid its bond obligation while Clark</w:t>
      </w:r>
      <w:r w:rsidR="00B66EC7">
        <w:t>'</w:t>
      </w:r>
      <w:r w:rsidR="0043302D" w:rsidRPr="00460261">
        <w:t>s lawsuit against the District remained pending.</w:t>
      </w:r>
    </w:p>
    <w:p w14:paraId="1D485478" w14:textId="137DBE4F" w:rsidR="0057700F" w:rsidRPr="00460261" w:rsidRDefault="0057700F" w:rsidP="00CC4BB9">
      <w:pPr>
        <w:pStyle w:val="Heading2"/>
      </w:pPr>
      <w:r w:rsidRPr="00460261">
        <w:t>3.</w:t>
      </w:r>
      <w:r w:rsidRPr="00460261">
        <w:tab/>
      </w:r>
      <w:r w:rsidR="00085D6A" w:rsidRPr="00460261">
        <w:rPr>
          <w:i/>
        </w:rPr>
        <w:t>Travelers</w:t>
      </w:r>
      <w:r w:rsidR="00B66EC7">
        <w:rPr>
          <w:i/>
        </w:rPr>
        <w:t>'</w:t>
      </w:r>
      <w:r w:rsidR="00085D6A" w:rsidRPr="00460261">
        <w:rPr>
          <w:i/>
        </w:rPr>
        <w:t xml:space="preserve">s </w:t>
      </w:r>
      <w:r w:rsidR="004531B5" w:rsidRPr="00460261">
        <w:rPr>
          <w:i/>
        </w:rPr>
        <w:t>Counterarguments</w:t>
      </w:r>
      <w:r w:rsidR="00085D6A" w:rsidRPr="00460261">
        <w:rPr>
          <w:i/>
        </w:rPr>
        <w:t xml:space="preserve"> Are Unpersuasive.</w:t>
      </w:r>
    </w:p>
    <w:p w14:paraId="7ADD352A" w14:textId="7E48AB32" w:rsidR="00AB1984" w:rsidRPr="00460261" w:rsidRDefault="00AB1984" w:rsidP="007F52D5">
      <w:r w:rsidRPr="00460261">
        <w:tab/>
        <w:t>Travelers</w:t>
      </w:r>
      <w:r w:rsidR="00CC4BB9" w:rsidRPr="00460261">
        <w:t xml:space="preserve"> and amicus curiae</w:t>
      </w:r>
      <w:r w:rsidRPr="00460261">
        <w:t xml:space="preserve"> </w:t>
      </w:r>
      <w:r w:rsidR="00FB5339" w:rsidRPr="00460261">
        <w:t xml:space="preserve">CEA </w:t>
      </w:r>
      <w:r w:rsidRPr="00460261">
        <w:t xml:space="preserve">raise </w:t>
      </w:r>
      <w:r w:rsidR="0008766F" w:rsidRPr="00460261">
        <w:t>four broad</w:t>
      </w:r>
      <w:r w:rsidRPr="00460261">
        <w:t xml:space="preserve"> counterarguments as to why the pay-when-paid provision in </w:t>
      </w:r>
      <w:proofErr w:type="spellStart"/>
      <w:r w:rsidRPr="00460261">
        <w:t>Crosno</w:t>
      </w:r>
      <w:r w:rsidR="00B66EC7">
        <w:t>'</w:t>
      </w:r>
      <w:r w:rsidRPr="00460261">
        <w:t>s</w:t>
      </w:r>
      <w:proofErr w:type="spellEnd"/>
      <w:r w:rsidRPr="00460261">
        <w:t xml:space="preserve"> subcontract </w:t>
      </w:r>
      <w:r w:rsidR="0008766F" w:rsidRPr="00460261">
        <w:t xml:space="preserve">should </w:t>
      </w:r>
      <w:r w:rsidRPr="00460261">
        <w:t xml:space="preserve">provide a defense to its liability under the payment bond.  As we explain, </w:t>
      </w:r>
      <w:r w:rsidR="00CC4BB9" w:rsidRPr="00460261">
        <w:t xml:space="preserve">none of the arguments </w:t>
      </w:r>
      <w:r w:rsidR="0008766F" w:rsidRPr="00460261">
        <w:t>is persuasive.</w:t>
      </w:r>
    </w:p>
    <w:p w14:paraId="134D8798" w14:textId="77777777" w:rsidR="00C34E83" w:rsidRPr="00460261" w:rsidRDefault="00C34E83" w:rsidP="00B6334E">
      <w:pPr>
        <w:pStyle w:val="Heading3"/>
      </w:pPr>
      <w:r w:rsidRPr="00460261">
        <w:rPr>
          <w:i w:val="0"/>
        </w:rPr>
        <w:t>a</w:t>
      </w:r>
      <w:r w:rsidRPr="00460261">
        <w:t>.</w:t>
      </w:r>
      <w:r w:rsidRPr="00460261">
        <w:tab/>
        <w:t>Permissibility of pay-when-paid clauses</w:t>
      </w:r>
    </w:p>
    <w:p w14:paraId="20578519" w14:textId="502670C8" w:rsidR="003C26AA" w:rsidRPr="00460261" w:rsidRDefault="007F52D5" w:rsidP="007F52D5">
      <w:r w:rsidRPr="00460261">
        <w:tab/>
        <w:t xml:space="preserve">Travelers argues that pay-when-paid clauses, in contrast to pay-if-paid clauses, are enforceable because they merely fix </w:t>
      </w:r>
      <w:r w:rsidR="00B66EC7">
        <w:t>"</w:t>
      </w:r>
      <w:r w:rsidRPr="00460261">
        <w:t>the usual time for payment to the subcontractor, with the implied understanding that the subcontractor in any event has an unconditional right to payment within a reasonable time.</w:t>
      </w:r>
      <w:r w:rsidR="00B66EC7">
        <w:t>"</w:t>
      </w:r>
      <w:r w:rsidRPr="00460261">
        <w:t xml:space="preserve">  (</w:t>
      </w:r>
      <w:r w:rsidRPr="00460261">
        <w:rPr>
          <w:i/>
        </w:rPr>
        <w:t>Wm. R. Clarke</w:t>
      </w:r>
      <w:r w:rsidRPr="00460261">
        <w:t>,</w:t>
      </w:r>
      <w:r w:rsidRPr="00460261">
        <w:rPr>
          <w:i/>
        </w:rPr>
        <w:t xml:space="preserve"> supra</w:t>
      </w:r>
      <w:r w:rsidRPr="00460261">
        <w:t>,</w:t>
      </w:r>
      <w:r w:rsidRPr="00460261">
        <w:rPr>
          <w:i/>
        </w:rPr>
        <w:t xml:space="preserve"> </w:t>
      </w:r>
      <w:r w:rsidRPr="00460261">
        <w:t xml:space="preserve">15 Cal.4th at p. 885.)  True enough.  </w:t>
      </w:r>
      <w:r w:rsidR="00366745" w:rsidRPr="00460261">
        <w:t>W</w:t>
      </w:r>
      <w:r w:rsidR="00744262" w:rsidRPr="00460261">
        <w:t xml:space="preserve">e do not suggest that </w:t>
      </w:r>
      <w:r w:rsidRPr="00460261">
        <w:t>all pay-when-paid provisions are unenforceable</w:t>
      </w:r>
      <w:r w:rsidR="00E22A6A" w:rsidRPr="00460261">
        <w:t xml:space="preserve"> against a payment bond claim</w:t>
      </w:r>
      <w:r w:rsidRPr="00460261">
        <w:rPr>
          <w:rFonts w:cstheme="minorHAnsi"/>
        </w:rPr>
        <w:t>—</w:t>
      </w:r>
      <w:r w:rsidR="00E22A6A" w:rsidRPr="00460261">
        <w:t>just that this one is</w:t>
      </w:r>
      <w:r w:rsidRPr="00460261">
        <w:t xml:space="preserve">.  The provision is in effect an attempt to define as </w:t>
      </w:r>
      <w:r w:rsidR="00B66EC7">
        <w:t>"</w:t>
      </w:r>
      <w:r w:rsidRPr="00460261">
        <w:t>reasonable time</w:t>
      </w:r>
      <w:r w:rsidR="00B66EC7">
        <w:t>"</w:t>
      </w:r>
      <w:r w:rsidRPr="00460261">
        <w:t xml:space="preserve"> </w:t>
      </w:r>
      <w:r w:rsidR="00744262" w:rsidRPr="00460261">
        <w:t xml:space="preserve">as a period previously </w:t>
      </w:r>
      <w:r w:rsidRPr="00460261">
        <w:t xml:space="preserve">construed by courts as </w:t>
      </w:r>
      <w:r w:rsidRPr="00460261">
        <w:rPr>
          <w:i/>
        </w:rPr>
        <w:t>un</w:t>
      </w:r>
      <w:r w:rsidRPr="00460261">
        <w:t>reasonable.  (</w:t>
      </w:r>
      <w:proofErr w:type="spellStart"/>
      <w:r w:rsidRPr="00460261">
        <w:rPr>
          <w:i/>
        </w:rPr>
        <w:t>Yamanishi</w:t>
      </w:r>
      <w:proofErr w:type="spellEnd"/>
      <w:r w:rsidRPr="00460261">
        <w:t>,</w:t>
      </w:r>
      <w:r w:rsidRPr="00460261">
        <w:rPr>
          <w:i/>
        </w:rPr>
        <w:t xml:space="preserve"> supra</w:t>
      </w:r>
      <w:r w:rsidRPr="00460261">
        <w:t>,</w:t>
      </w:r>
      <w:r w:rsidRPr="00460261">
        <w:rPr>
          <w:i/>
        </w:rPr>
        <w:t xml:space="preserve"> </w:t>
      </w:r>
      <w:r w:rsidRPr="00460261">
        <w:t>29 Cal.App.3d at pp. 462−463</w:t>
      </w:r>
      <w:r w:rsidR="00816188" w:rsidRPr="00460261">
        <w:t xml:space="preserve">; see </w:t>
      </w:r>
      <w:r w:rsidR="00816188" w:rsidRPr="00460261">
        <w:rPr>
          <w:i/>
        </w:rPr>
        <w:t>Wm. R. Clarke</w:t>
      </w:r>
      <w:r w:rsidR="00816188" w:rsidRPr="00460261">
        <w:t>,</w:t>
      </w:r>
      <w:r w:rsidR="00816188" w:rsidRPr="00460261">
        <w:rPr>
          <w:i/>
        </w:rPr>
        <w:t xml:space="preserve"> supra</w:t>
      </w:r>
      <w:r w:rsidR="00816188" w:rsidRPr="00460261">
        <w:t>,</w:t>
      </w:r>
      <w:r w:rsidR="00816188" w:rsidRPr="00460261">
        <w:rPr>
          <w:i/>
        </w:rPr>
        <w:t xml:space="preserve"> </w:t>
      </w:r>
      <w:r w:rsidR="00816188" w:rsidRPr="00460261">
        <w:t>15 Cal.4th at p. 885 [</w:t>
      </w:r>
      <w:r w:rsidR="00B85358" w:rsidRPr="00460261">
        <w:t>citing</w:t>
      </w:r>
      <w:r w:rsidR="00816188" w:rsidRPr="00460261">
        <w:t xml:space="preserve"> </w:t>
      </w:r>
      <w:proofErr w:type="spellStart"/>
      <w:r w:rsidR="00816188" w:rsidRPr="00460261">
        <w:rPr>
          <w:i/>
        </w:rPr>
        <w:t>Yamanishi</w:t>
      </w:r>
      <w:proofErr w:type="spellEnd"/>
      <w:r w:rsidR="00816188" w:rsidRPr="00460261">
        <w:t>]</w:t>
      </w:r>
      <w:r w:rsidR="00B85358" w:rsidRPr="00460261">
        <w:t xml:space="preserve">; </w:t>
      </w:r>
      <w:r w:rsidR="00B85358" w:rsidRPr="00460261">
        <w:rPr>
          <w:i/>
        </w:rPr>
        <w:t>Capitol Steel</w:t>
      </w:r>
      <w:r w:rsidR="00B85358" w:rsidRPr="00460261">
        <w:t>,</w:t>
      </w:r>
      <w:r w:rsidR="00B85358" w:rsidRPr="00460261">
        <w:rPr>
          <w:i/>
        </w:rPr>
        <w:t xml:space="preserve"> supra</w:t>
      </w:r>
      <w:r w:rsidR="00B85358" w:rsidRPr="00460261">
        <w:t>,</w:t>
      </w:r>
      <w:r w:rsidR="00B85358" w:rsidRPr="00460261">
        <w:rPr>
          <w:i/>
        </w:rPr>
        <w:t xml:space="preserve"> </w:t>
      </w:r>
      <w:r w:rsidR="00B85358" w:rsidRPr="00460261">
        <w:t>58 Cal.App.4th at p. 1057 [</w:t>
      </w:r>
      <w:r w:rsidR="00B66EC7">
        <w:t>"</w:t>
      </w:r>
      <w:r w:rsidR="00B85358" w:rsidRPr="00460261">
        <w:t>This body of law only permits payment to be delayed for a reasonable time after the completion of the work under the subcontract.</w:t>
      </w:r>
      <w:r w:rsidR="00B66EC7">
        <w:t>"</w:t>
      </w:r>
      <w:r w:rsidR="00B85358" w:rsidRPr="00460261">
        <w:t>]</w:t>
      </w:r>
      <w:r w:rsidRPr="00460261">
        <w:t xml:space="preserve">.)  To permit Travelers to enforce the </w:t>
      </w:r>
      <w:r w:rsidR="003D03DF" w:rsidRPr="00460261">
        <w:t xml:space="preserve">pay-when-paid </w:t>
      </w:r>
      <w:r w:rsidRPr="00460261">
        <w:t xml:space="preserve">clause to postpone payment </w:t>
      </w:r>
      <w:r w:rsidR="00EB5676">
        <w:t xml:space="preserve">for an indefinite timeframe </w:t>
      </w:r>
      <w:r w:rsidRPr="00460261">
        <w:t xml:space="preserve">under the bond would </w:t>
      </w:r>
      <w:r w:rsidR="007B58D6" w:rsidRPr="00460261">
        <w:t>unreasonably</w:t>
      </w:r>
      <w:r w:rsidRPr="00460261">
        <w:t xml:space="preserve"> affect or impair </w:t>
      </w:r>
      <w:proofErr w:type="spellStart"/>
      <w:r w:rsidRPr="00460261">
        <w:t>Crosno</w:t>
      </w:r>
      <w:r w:rsidR="00B66EC7">
        <w:t>'</w:t>
      </w:r>
      <w:r w:rsidRPr="00460261">
        <w:t>s</w:t>
      </w:r>
      <w:proofErr w:type="spellEnd"/>
      <w:r w:rsidRPr="00460261">
        <w:t xml:space="preserve"> remedial rights under the payment bond.</w:t>
      </w:r>
      <w:r w:rsidR="00D82518" w:rsidRPr="00460261">
        <w:t xml:space="preserve">  </w:t>
      </w:r>
      <w:r w:rsidR="0092746D" w:rsidRPr="00460261">
        <w:t>A</w:t>
      </w:r>
      <w:r w:rsidR="00D82518" w:rsidRPr="00460261">
        <w:t xml:space="preserve">lthough Travelers is right that </w:t>
      </w:r>
      <w:proofErr w:type="spellStart"/>
      <w:r w:rsidR="00D82518" w:rsidRPr="00460261">
        <w:t>Crosno</w:t>
      </w:r>
      <w:proofErr w:type="spellEnd"/>
      <w:r w:rsidR="00D82518" w:rsidRPr="00460261">
        <w:t xml:space="preserve"> was eventually repaid its full principal, </w:t>
      </w:r>
      <w:r w:rsidR="00EB5676">
        <w:t>that</w:t>
      </w:r>
      <w:r w:rsidR="00EB5676" w:rsidRPr="00460261">
        <w:t xml:space="preserve"> </w:t>
      </w:r>
      <w:r w:rsidR="00D82518" w:rsidRPr="00460261">
        <w:t xml:space="preserve">happened more than </w:t>
      </w:r>
      <w:r w:rsidR="00D82518" w:rsidRPr="00460261">
        <w:rPr>
          <w:i/>
        </w:rPr>
        <w:t>three years</w:t>
      </w:r>
      <w:r w:rsidR="00D82518" w:rsidRPr="00460261">
        <w:t xml:space="preserve"> after </w:t>
      </w:r>
      <w:proofErr w:type="spellStart"/>
      <w:r w:rsidR="00D82518" w:rsidRPr="00460261">
        <w:t>Crosno</w:t>
      </w:r>
      <w:proofErr w:type="spellEnd"/>
      <w:r w:rsidR="00D82518" w:rsidRPr="00460261">
        <w:t xml:space="preserve"> sought recovery under the payment bond.</w:t>
      </w:r>
      <w:r w:rsidR="0094330A" w:rsidRPr="00460261">
        <w:t xml:space="preserve">  </w:t>
      </w:r>
      <w:proofErr w:type="spellStart"/>
      <w:r w:rsidR="0094330A" w:rsidRPr="00460261">
        <w:lastRenderedPageBreak/>
        <w:t>Crosno</w:t>
      </w:r>
      <w:proofErr w:type="spellEnd"/>
      <w:r w:rsidR="0094330A" w:rsidRPr="00460261">
        <w:t xml:space="preserve"> has yet to recover any prejudgment interest, which remains the subject of this appeal.</w:t>
      </w:r>
      <w:r w:rsidR="0008766F" w:rsidRPr="00460261">
        <w:t xml:space="preserve">  This </w:t>
      </w:r>
      <w:r w:rsidR="00EB5676">
        <w:t xml:space="preserve">protracted delay </w:t>
      </w:r>
      <w:r w:rsidR="0008766F" w:rsidRPr="00460261">
        <w:t xml:space="preserve">conflicts with the </w:t>
      </w:r>
      <w:r w:rsidR="00EB5676">
        <w:t xml:space="preserve">remedial </w:t>
      </w:r>
      <w:r w:rsidR="0008766F" w:rsidRPr="00460261">
        <w:t xml:space="preserve">purpose behind the statutory scheme, which we construe </w:t>
      </w:r>
      <w:r w:rsidR="00B66EC7">
        <w:t>"</w:t>
      </w:r>
      <w:r w:rsidR="0008766F" w:rsidRPr="00460261">
        <w:t>most strongly against the surety and in favor of all persons for whose benefit the bond is given.</w:t>
      </w:r>
      <w:r w:rsidR="00B66EC7">
        <w:t>"</w:t>
      </w:r>
      <w:r w:rsidR="0008766F" w:rsidRPr="00460261">
        <w:t xml:space="preserve">  (§ 8154, </w:t>
      </w:r>
      <w:proofErr w:type="spellStart"/>
      <w:r w:rsidR="0008766F" w:rsidRPr="00460261">
        <w:t>subd</w:t>
      </w:r>
      <w:proofErr w:type="spellEnd"/>
      <w:r w:rsidR="0008766F" w:rsidRPr="00460261">
        <w:t>. (a).)</w:t>
      </w:r>
    </w:p>
    <w:p w14:paraId="5899D05F" w14:textId="55CA3B19" w:rsidR="00D6704B" w:rsidRPr="00460261" w:rsidRDefault="00280534" w:rsidP="007F52D5">
      <w:r w:rsidRPr="00460261">
        <w:tab/>
      </w:r>
      <w:r w:rsidR="00D6704B" w:rsidRPr="00460261">
        <w:t xml:space="preserve">Striving to recast </w:t>
      </w:r>
      <w:r w:rsidR="00D6704B" w:rsidRPr="00460261">
        <w:rPr>
          <w:i/>
        </w:rPr>
        <w:t xml:space="preserve">Wm. R. Clarke </w:t>
      </w:r>
      <w:r w:rsidR="00D6704B" w:rsidRPr="00460261">
        <w:t xml:space="preserve">as </w:t>
      </w:r>
      <w:r w:rsidR="00D6704B" w:rsidRPr="00460261">
        <w:rPr>
          <w:i/>
        </w:rPr>
        <w:t xml:space="preserve">supporting </w:t>
      </w:r>
      <w:r w:rsidR="00D6704B" w:rsidRPr="00460261">
        <w:t xml:space="preserve">its view, Travelers </w:t>
      </w:r>
      <w:r w:rsidR="00FA1477" w:rsidRPr="00460261">
        <w:t>claims</w:t>
      </w:r>
      <w:r w:rsidR="00D6704B" w:rsidRPr="00460261">
        <w:t xml:space="preserve"> the case </w:t>
      </w:r>
      <w:r w:rsidR="00B66EC7">
        <w:t>"</w:t>
      </w:r>
      <w:r w:rsidR="006C6425" w:rsidRPr="00460261">
        <w:t>held</w:t>
      </w:r>
      <w:r w:rsidR="00B66EC7">
        <w:t>"</w:t>
      </w:r>
      <w:r w:rsidR="00D6704B" w:rsidRPr="00460261">
        <w:t xml:space="preserve"> that pay-when-paid clauses in subcontracts </w:t>
      </w:r>
      <w:r w:rsidR="006C6425" w:rsidRPr="00460261">
        <w:t xml:space="preserve">are enforceable </w:t>
      </w:r>
      <w:r w:rsidR="0008766F" w:rsidRPr="00460261">
        <w:t>as not violative of</w:t>
      </w:r>
      <w:r w:rsidR="00D6704B" w:rsidRPr="00460261">
        <w:t xml:space="preserve"> public policy.  </w:t>
      </w:r>
      <w:r w:rsidR="00D6704B" w:rsidRPr="00460261">
        <w:rPr>
          <w:i/>
        </w:rPr>
        <w:t xml:space="preserve">Wm. R. Clarke </w:t>
      </w:r>
      <w:r w:rsidR="00525EBB" w:rsidRPr="00460261">
        <w:t>did not so hold</w:t>
      </w:r>
      <w:r w:rsidR="00D6704B" w:rsidRPr="00460261">
        <w:t>.  It merely distinguished pay-if-paid clauses from pay-when-paid clauses as a general matter, explaining that the former operate as a condition precedent for payment whereas the latter merely set the usual time for payment</w:t>
      </w:r>
      <w:r w:rsidR="0008766F" w:rsidRPr="00460261">
        <w:t xml:space="preserve">, </w:t>
      </w:r>
      <w:r w:rsidR="00B66EC7">
        <w:t>"</w:t>
      </w:r>
      <w:r w:rsidR="0008766F" w:rsidRPr="00460261">
        <w:t xml:space="preserve">with the implied understanding that the subcontractor in any event has an unconditional right to payment </w:t>
      </w:r>
      <w:r w:rsidR="0008766F" w:rsidRPr="00460261">
        <w:rPr>
          <w:i/>
        </w:rPr>
        <w:t>within a reasonable time</w:t>
      </w:r>
      <w:r w:rsidR="0008766F" w:rsidRPr="00460261">
        <w:t>.</w:t>
      </w:r>
      <w:r w:rsidR="00B66EC7">
        <w:t>"</w:t>
      </w:r>
      <w:r w:rsidR="00D6704B" w:rsidRPr="00460261">
        <w:t xml:space="preserve">  (</w:t>
      </w:r>
      <w:r w:rsidR="00D6704B" w:rsidRPr="00460261">
        <w:rPr>
          <w:i/>
        </w:rPr>
        <w:t>Wm. R. Clarke</w:t>
      </w:r>
      <w:r w:rsidR="00D6704B" w:rsidRPr="00460261">
        <w:t>,</w:t>
      </w:r>
      <w:r w:rsidR="00D6704B" w:rsidRPr="00460261">
        <w:rPr>
          <w:i/>
        </w:rPr>
        <w:t xml:space="preserve"> supra</w:t>
      </w:r>
      <w:r w:rsidR="00D6704B" w:rsidRPr="00460261">
        <w:t>,</w:t>
      </w:r>
      <w:r w:rsidR="00D6704B" w:rsidRPr="00460261">
        <w:rPr>
          <w:i/>
        </w:rPr>
        <w:t xml:space="preserve"> </w:t>
      </w:r>
      <w:r w:rsidR="00D6704B" w:rsidRPr="00460261">
        <w:t>15 Cal.4th at p. 885</w:t>
      </w:r>
      <w:r w:rsidR="006A6D2D" w:rsidRPr="00460261">
        <w:t>, italics added</w:t>
      </w:r>
      <w:r w:rsidR="00D6704B" w:rsidRPr="00460261">
        <w:t xml:space="preserve">.)  </w:t>
      </w:r>
      <w:r w:rsidR="0008766F" w:rsidRPr="00460261">
        <w:t>The court then</w:t>
      </w:r>
      <w:r w:rsidR="00D6704B" w:rsidRPr="00460261">
        <w:t xml:space="preserve"> proceeded to explain why the pay-if-paid provision </w:t>
      </w:r>
      <w:r w:rsidR="00525EBB" w:rsidRPr="00460261">
        <w:t xml:space="preserve">at issue </w:t>
      </w:r>
      <w:r w:rsidR="00D6704B" w:rsidRPr="00460261">
        <w:t xml:space="preserve">had the same effect as an impermissible waiver of payment bond rights under current sections 8122, 8124, and 8126.  </w:t>
      </w:r>
      <w:r w:rsidR="005E4EAB" w:rsidRPr="00460261">
        <w:t>As the trial court reasoned</w:t>
      </w:r>
      <w:r w:rsidR="0008766F" w:rsidRPr="00460261">
        <w:t xml:space="preserve"> here</w:t>
      </w:r>
      <w:r w:rsidR="005E4EAB" w:rsidRPr="00460261">
        <w:t xml:space="preserve">, the principles </w:t>
      </w:r>
      <w:r w:rsidR="00525EBB" w:rsidRPr="00460261">
        <w:t>underlying the</w:t>
      </w:r>
      <w:r w:rsidR="005E4EAB" w:rsidRPr="00460261">
        <w:t xml:space="preserve"> </w:t>
      </w:r>
      <w:r w:rsidR="005E4EAB" w:rsidRPr="00460261">
        <w:rPr>
          <w:i/>
        </w:rPr>
        <w:t xml:space="preserve">Wm. R. Clarke </w:t>
      </w:r>
      <w:r w:rsidR="00525EBB" w:rsidRPr="00460261">
        <w:t xml:space="preserve">decision </w:t>
      </w:r>
      <w:r w:rsidR="005E4EAB" w:rsidRPr="00460261">
        <w:t xml:space="preserve">support a conclusion that the </w:t>
      </w:r>
      <w:r w:rsidR="006A6D2D" w:rsidRPr="00460261">
        <w:t xml:space="preserve">particular </w:t>
      </w:r>
      <w:r w:rsidR="005E4EAB" w:rsidRPr="00460261">
        <w:t xml:space="preserve">pay-when-paid clause in </w:t>
      </w:r>
      <w:proofErr w:type="spellStart"/>
      <w:r w:rsidR="005E4EAB" w:rsidRPr="00460261">
        <w:t>Crosno</w:t>
      </w:r>
      <w:r w:rsidR="00B66EC7">
        <w:t>'</w:t>
      </w:r>
      <w:r w:rsidR="005E4EAB" w:rsidRPr="00460261">
        <w:t>s</w:t>
      </w:r>
      <w:proofErr w:type="spellEnd"/>
      <w:r w:rsidR="005E4EAB" w:rsidRPr="00460261">
        <w:t xml:space="preserve"> subcontract is unenforceable</w:t>
      </w:r>
      <w:r w:rsidR="006F06F3">
        <w:t xml:space="preserve"> because it has the effect of delaying payment to the subcontractor for what may be—and in this case was—an unreasonably long period of time</w:t>
      </w:r>
      <w:r w:rsidR="005E4EAB" w:rsidRPr="00460261">
        <w:t>.</w:t>
      </w:r>
    </w:p>
    <w:p w14:paraId="1FDBA082" w14:textId="762C2900" w:rsidR="00344512" w:rsidRPr="00460261" w:rsidRDefault="00344512" w:rsidP="007F52D5">
      <w:r w:rsidRPr="00460261">
        <w:tab/>
        <w:t xml:space="preserve">Travelers and CEA suggest </w:t>
      </w:r>
      <w:r w:rsidR="0071202D" w:rsidRPr="00460261">
        <w:t>that the Legislature</w:t>
      </w:r>
      <w:r w:rsidR="00B66EC7">
        <w:t>'</w:t>
      </w:r>
      <w:r w:rsidR="0071202D" w:rsidRPr="00460261">
        <w:t xml:space="preserve">s enactment of </w:t>
      </w:r>
      <w:r w:rsidRPr="00460261">
        <w:t xml:space="preserve">prompt payment statutes </w:t>
      </w:r>
      <w:r w:rsidR="0071202D" w:rsidRPr="00460261">
        <w:t xml:space="preserve">demonstrate approval of contractual arrangements that require </w:t>
      </w:r>
      <w:r w:rsidRPr="00460261">
        <w:t xml:space="preserve">direct contractors to first pursue payment from project owners.  </w:t>
      </w:r>
      <w:r w:rsidR="006A6D2D" w:rsidRPr="00460261">
        <w:t>But w</w:t>
      </w:r>
      <w:r w:rsidRPr="00460261">
        <w:t xml:space="preserve">e agree with </w:t>
      </w:r>
      <w:proofErr w:type="spellStart"/>
      <w:r w:rsidRPr="00460261">
        <w:t>Crosno</w:t>
      </w:r>
      <w:proofErr w:type="spellEnd"/>
      <w:r w:rsidRPr="00460261">
        <w:t xml:space="preserve"> that this is an </w:t>
      </w:r>
      <w:r w:rsidR="00B66EC7">
        <w:t>"</w:t>
      </w:r>
      <w:r w:rsidRPr="00460261">
        <w:t>apples to oranges argument.</w:t>
      </w:r>
      <w:r w:rsidR="00B66EC7">
        <w:t>"</w:t>
      </w:r>
      <w:r w:rsidRPr="00460261">
        <w:t xml:space="preserve">  Enacted in 1990, the prompt payment statutes sought to </w:t>
      </w:r>
      <w:r w:rsidRPr="00460261">
        <w:lastRenderedPageBreak/>
        <w:t xml:space="preserve">address industrywide problems with payment delays to subcontractors.  They impose comprehensive deadlines for progress and retention payments, enforced by statutory penalties and fee-shifting provisions </w:t>
      </w:r>
      <w:r w:rsidR="00B66EC7">
        <w:t>"</w:t>
      </w:r>
      <w:r w:rsidRPr="00460261">
        <w:t>intended to discourage owners and direct contractors from withholding mon</w:t>
      </w:r>
      <w:r w:rsidR="00167EF1" w:rsidRPr="00460261">
        <w:t>i</w:t>
      </w:r>
      <w:r w:rsidRPr="00460261">
        <w:t>es owed as a way of granting themselves interest-free loans.</w:t>
      </w:r>
      <w:r w:rsidR="00B66EC7">
        <w:t>"</w:t>
      </w:r>
      <w:r w:rsidRPr="00460261">
        <w:t xml:space="preserve">  (</w:t>
      </w:r>
      <w:r w:rsidRPr="00460261">
        <w:rPr>
          <w:i/>
        </w:rPr>
        <w:t>United Riggers</w:t>
      </w:r>
      <w:r w:rsidR="00E65334" w:rsidRPr="00460261">
        <w:t>,</w:t>
      </w:r>
      <w:r w:rsidR="00E65334" w:rsidRPr="00460261">
        <w:rPr>
          <w:i/>
        </w:rPr>
        <w:t xml:space="preserve"> supra</w:t>
      </w:r>
      <w:r w:rsidR="00E65334" w:rsidRPr="00460261">
        <w:t>,</w:t>
      </w:r>
      <w:r w:rsidR="00E65334" w:rsidRPr="00460261">
        <w:rPr>
          <w:i/>
        </w:rPr>
        <w:t xml:space="preserve"> </w:t>
      </w:r>
      <w:r w:rsidR="00E65334" w:rsidRPr="00460261">
        <w:t>4 Cal.5th at p. </w:t>
      </w:r>
      <w:r w:rsidRPr="00460261">
        <w:t xml:space="preserve">1088.)  These statutes simply create a mechanism to facilitate prompt progress and retention payments in the usual course.  They bear no relation to whether the pay-when-paid provision in </w:t>
      </w:r>
      <w:proofErr w:type="spellStart"/>
      <w:r w:rsidRPr="00460261">
        <w:t>Crosno</w:t>
      </w:r>
      <w:r w:rsidR="00B66EC7">
        <w:t>'</w:t>
      </w:r>
      <w:r w:rsidRPr="00460261">
        <w:t>s</w:t>
      </w:r>
      <w:proofErr w:type="spellEnd"/>
      <w:r w:rsidRPr="00460261">
        <w:t xml:space="preserve"> subcontract can forestall accrual of Travelers</w:t>
      </w:r>
      <w:r w:rsidR="00B66EC7">
        <w:t>'</w:t>
      </w:r>
      <w:r w:rsidRPr="00460261">
        <w:t xml:space="preserve">s payment bond obligation </w:t>
      </w:r>
      <w:r w:rsidR="00A92EC2">
        <w:t xml:space="preserve">for an indefinite period </w:t>
      </w:r>
      <w:r w:rsidRPr="00460261">
        <w:t>until Clark</w:t>
      </w:r>
      <w:r w:rsidR="00B66EC7">
        <w:t>'</w:t>
      </w:r>
      <w:r w:rsidRPr="00460261">
        <w:t>s litigation with the District concludes.</w:t>
      </w:r>
    </w:p>
    <w:p w14:paraId="47A96674" w14:textId="77777777" w:rsidR="00C34E83" w:rsidRPr="00460261" w:rsidRDefault="00C34E83" w:rsidP="00B6334E">
      <w:pPr>
        <w:pStyle w:val="Heading3"/>
      </w:pPr>
      <w:r w:rsidRPr="00460261">
        <w:rPr>
          <w:i w:val="0"/>
        </w:rPr>
        <w:t>b</w:t>
      </w:r>
      <w:r w:rsidRPr="00460261">
        <w:t>.</w:t>
      </w:r>
      <w:r w:rsidRPr="00460261">
        <w:tab/>
        <w:t>Scope of section 8122</w:t>
      </w:r>
    </w:p>
    <w:p w14:paraId="48CC5811" w14:textId="7833EA59" w:rsidR="00ED4826" w:rsidRPr="00460261" w:rsidRDefault="00C5636E" w:rsidP="008F7C5F">
      <w:r w:rsidRPr="00460261">
        <w:tab/>
      </w:r>
      <w:r w:rsidR="0071202D" w:rsidRPr="00460261">
        <w:t>Next</w:t>
      </w:r>
      <w:r w:rsidR="00366745" w:rsidRPr="00460261">
        <w:t xml:space="preserve">, </w:t>
      </w:r>
      <w:r w:rsidRPr="00460261">
        <w:t xml:space="preserve">Travelers protests that </w:t>
      </w:r>
      <w:r w:rsidR="007F52D5" w:rsidRPr="00460261">
        <w:t xml:space="preserve">the trial court </w:t>
      </w:r>
      <w:r w:rsidR="00B66EC7">
        <w:t>"</w:t>
      </w:r>
      <w:r w:rsidR="007F52D5" w:rsidRPr="00460261">
        <w:t>twisted the statutory language into something it is not,</w:t>
      </w:r>
      <w:r w:rsidR="00B66EC7">
        <w:t>"</w:t>
      </w:r>
      <w:r w:rsidR="007F52D5" w:rsidRPr="00460261">
        <w:t xml:space="preserve"> by extending section 8122 to a contract provision that merely affects or impairs </w:t>
      </w:r>
      <w:proofErr w:type="spellStart"/>
      <w:r w:rsidR="007F52D5" w:rsidRPr="00460261">
        <w:t>Crosno</w:t>
      </w:r>
      <w:r w:rsidR="00B66EC7">
        <w:t>'</w:t>
      </w:r>
      <w:r w:rsidR="007F52D5" w:rsidRPr="00460261">
        <w:t>s</w:t>
      </w:r>
      <w:proofErr w:type="spellEnd"/>
      <w:r w:rsidR="007F52D5" w:rsidRPr="00460261">
        <w:t xml:space="preserve"> remedial rights.  In its view, </w:t>
      </w:r>
      <w:r w:rsidRPr="00460261">
        <w:t xml:space="preserve">section 8122 reflects </w:t>
      </w:r>
      <w:r w:rsidR="00B66EC7">
        <w:t>"</w:t>
      </w:r>
      <w:r w:rsidRPr="00460261">
        <w:t>the Legislature</w:t>
      </w:r>
      <w:r w:rsidR="00B66EC7">
        <w:t>'</w:t>
      </w:r>
      <w:r w:rsidRPr="00460261">
        <w:t>s concern that owners and direct contractors may use superior bargaining power to extract claim waivers from subcontractors without paying for them.</w:t>
      </w:r>
      <w:r w:rsidR="00B66EC7">
        <w:t>"</w:t>
      </w:r>
      <w:r w:rsidRPr="00460261">
        <w:t xml:space="preserve">  </w:t>
      </w:r>
      <w:r w:rsidR="00ED1381" w:rsidRPr="00460261">
        <w:t xml:space="preserve">According to Travelers, </w:t>
      </w:r>
      <w:r w:rsidR="00B66EC7">
        <w:t>"</w:t>
      </w:r>
      <w:r w:rsidR="00ED1381" w:rsidRPr="00460261">
        <w:t>the Trial Court erred because the subcontract</w:t>
      </w:r>
      <w:r w:rsidR="00B66EC7">
        <w:t>'</w:t>
      </w:r>
      <w:r w:rsidR="00ED1381" w:rsidRPr="00460261">
        <w:t xml:space="preserve">s </w:t>
      </w:r>
      <w:r w:rsidR="00B66EC7">
        <w:t>'</w:t>
      </w:r>
      <w:r w:rsidR="00ED1381" w:rsidRPr="00460261">
        <w:t>pay-when-paid</w:t>
      </w:r>
      <w:r w:rsidR="00B66EC7">
        <w:t>'</w:t>
      </w:r>
      <w:r w:rsidR="00ED1381" w:rsidRPr="00460261">
        <w:t xml:space="preserve"> provision does not in any way waive or release </w:t>
      </w:r>
      <w:proofErr w:type="spellStart"/>
      <w:r w:rsidR="00ED1381" w:rsidRPr="00460261">
        <w:t>Crosno</w:t>
      </w:r>
      <w:r w:rsidR="00B66EC7">
        <w:t>'</w:t>
      </w:r>
      <w:r w:rsidR="00ED1381" w:rsidRPr="00460261">
        <w:t>s</w:t>
      </w:r>
      <w:proofErr w:type="spellEnd"/>
      <w:r w:rsidR="00ED1381" w:rsidRPr="00460261">
        <w:t xml:space="preserve"> right to payment on its claim.</w:t>
      </w:r>
      <w:r w:rsidR="00B66EC7">
        <w:t>"</w:t>
      </w:r>
      <w:r w:rsidR="00ED1381" w:rsidRPr="00460261">
        <w:t xml:space="preserve">  As we explain, Travelers reads section 8122 too narrowly.</w:t>
      </w:r>
    </w:p>
    <w:p w14:paraId="625B5B8A" w14:textId="0D71A6F5" w:rsidR="00302445" w:rsidRPr="00460261" w:rsidRDefault="00302445" w:rsidP="00302445">
      <w:r w:rsidRPr="00460261">
        <w:tab/>
        <w:t xml:space="preserve">Although commonly </w:t>
      </w:r>
      <w:r w:rsidR="00AB6CA9" w:rsidRPr="00460261">
        <w:t>called</w:t>
      </w:r>
      <w:r w:rsidRPr="00460261">
        <w:t xml:space="preserve"> an </w:t>
      </w:r>
      <w:r w:rsidR="00B66EC7">
        <w:t>"</w:t>
      </w:r>
      <w:r w:rsidRPr="00460261">
        <w:t>anti</w:t>
      </w:r>
      <w:r w:rsidR="007B1D9B" w:rsidRPr="00460261">
        <w:t>-</w:t>
      </w:r>
      <w:r w:rsidRPr="00460261">
        <w:t>waiver</w:t>
      </w:r>
      <w:r w:rsidR="00B66EC7">
        <w:t>"</w:t>
      </w:r>
      <w:r w:rsidRPr="00460261">
        <w:t xml:space="preserve"> </w:t>
      </w:r>
      <w:r w:rsidR="00EB5676">
        <w:t>statute</w:t>
      </w:r>
      <w:r w:rsidR="00EB5676" w:rsidRPr="00460261">
        <w:t xml:space="preserve"> </w:t>
      </w:r>
      <w:r w:rsidRPr="00460261">
        <w:t xml:space="preserve">(see </w:t>
      </w:r>
      <w:r w:rsidRPr="00460261">
        <w:rPr>
          <w:i/>
        </w:rPr>
        <w:t>Wm. R. Clarke</w:t>
      </w:r>
      <w:r w:rsidRPr="00460261">
        <w:t>,</w:t>
      </w:r>
      <w:r w:rsidRPr="00460261">
        <w:rPr>
          <w:i/>
        </w:rPr>
        <w:t xml:space="preserve"> supra</w:t>
      </w:r>
      <w:r w:rsidRPr="00460261">
        <w:t>,</w:t>
      </w:r>
      <w:r w:rsidRPr="00460261">
        <w:rPr>
          <w:i/>
        </w:rPr>
        <w:t xml:space="preserve"> </w:t>
      </w:r>
      <w:r w:rsidRPr="00460261">
        <w:t xml:space="preserve">15 Cal.4th at p. 889), </w:t>
      </w:r>
      <w:r w:rsidR="00AB61FC">
        <w:t xml:space="preserve">the text of </w:t>
      </w:r>
      <w:r w:rsidRPr="00460261">
        <w:t>section 8122</w:t>
      </w:r>
      <w:r w:rsidR="0046604F">
        <w:t xml:space="preserve"> </w:t>
      </w:r>
      <w:r w:rsidRPr="00460261">
        <w:t xml:space="preserve">constrains not only actual </w:t>
      </w:r>
      <w:r w:rsidRPr="00460261">
        <w:rPr>
          <w:i/>
        </w:rPr>
        <w:t xml:space="preserve">waiver </w:t>
      </w:r>
      <w:r w:rsidRPr="00460261">
        <w:t>of a claimant</w:t>
      </w:r>
      <w:r w:rsidR="00B66EC7">
        <w:t>'</w:t>
      </w:r>
      <w:r w:rsidRPr="00460261">
        <w:t>s remedial rights, but also action</w:t>
      </w:r>
      <w:r w:rsidR="006A6D2D" w:rsidRPr="00460261">
        <w:t>s</w:t>
      </w:r>
      <w:r w:rsidRPr="00460261">
        <w:t xml:space="preserve"> that </w:t>
      </w:r>
      <w:r w:rsidRPr="00460261">
        <w:rPr>
          <w:i/>
        </w:rPr>
        <w:t>affect</w:t>
      </w:r>
      <w:r w:rsidRPr="00460261">
        <w:t xml:space="preserve"> or </w:t>
      </w:r>
      <w:r w:rsidRPr="00460261">
        <w:rPr>
          <w:i/>
        </w:rPr>
        <w:t>impair</w:t>
      </w:r>
      <w:r w:rsidRPr="00460261">
        <w:t xml:space="preserve"> such rights.  (§ 8122.)  Likewise, section 8126 renders unenforceable not only those </w:t>
      </w:r>
      <w:r w:rsidR="00EB5676">
        <w:t>contract provisions</w:t>
      </w:r>
      <w:r w:rsidR="00EB5676" w:rsidRPr="00460261">
        <w:t xml:space="preserve"> </w:t>
      </w:r>
      <w:r w:rsidRPr="00460261">
        <w:t xml:space="preserve">that </w:t>
      </w:r>
      <w:r w:rsidRPr="00460261">
        <w:lastRenderedPageBreak/>
        <w:t xml:space="preserve">purport to </w:t>
      </w:r>
      <w:r w:rsidRPr="00460261">
        <w:rPr>
          <w:i/>
        </w:rPr>
        <w:t xml:space="preserve">waive </w:t>
      </w:r>
      <w:r w:rsidRPr="00460261">
        <w:t>a claimant</w:t>
      </w:r>
      <w:r w:rsidR="00B66EC7">
        <w:t>'</w:t>
      </w:r>
      <w:r w:rsidRPr="00460261">
        <w:t xml:space="preserve">s rights but also those that </w:t>
      </w:r>
      <w:r w:rsidR="00B66EC7">
        <w:t>"</w:t>
      </w:r>
      <w:r w:rsidRPr="00460261">
        <w:t>impair or otherwise adversely affect</w:t>
      </w:r>
      <w:r w:rsidR="00B66EC7">
        <w:t>"</w:t>
      </w:r>
      <w:r w:rsidRPr="00460261">
        <w:t xml:space="preserve"> such righ</w:t>
      </w:r>
      <w:r w:rsidR="00493CC3" w:rsidRPr="00460261">
        <w:t>ts.  (§ 8126.)</w:t>
      </w:r>
    </w:p>
    <w:p w14:paraId="65D3B564" w14:textId="252AB43A" w:rsidR="00302445" w:rsidRPr="00460261" w:rsidRDefault="00302445" w:rsidP="00302445">
      <w:r w:rsidRPr="00460261">
        <w:tab/>
        <w:t>In this respect, California</w:t>
      </w:r>
      <w:r w:rsidR="00B66EC7">
        <w:t>'</w:t>
      </w:r>
      <w:r w:rsidRPr="00460261">
        <w:t xml:space="preserve">s </w:t>
      </w:r>
      <w:r w:rsidR="000A2BA8" w:rsidRPr="00460261">
        <w:t xml:space="preserve">statutory </w:t>
      </w:r>
      <w:r w:rsidRPr="00460261">
        <w:t xml:space="preserve">scheme offers broader protection than its federal </w:t>
      </w:r>
      <w:r w:rsidR="006F06F3">
        <w:t>analog</w:t>
      </w:r>
      <w:r w:rsidRPr="00460261">
        <w:t>, the Miller Act. (40 U.S.C. §§ 3131</w:t>
      </w:r>
      <w:r w:rsidRPr="00460261">
        <w:rPr>
          <w:rFonts w:cstheme="minorHAnsi"/>
        </w:rPr>
        <w:t>−</w:t>
      </w:r>
      <w:r w:rsidRPr="00460261">
        <w:t xml:space="preserve">3134).  (See </w:t>
      </w:r>
      <w:r w:rsidRPr="00460261">
        <w:rPr>
          <w:i/>
        </w:rPr>
        <w:t>Coast Electric Co. v. Industrial Indemnity Co.</w:t>
      </w:r>
      <w:r w:rsidRPr="00460261">
        <w:t xml:space="preserve"> (1983) 144 Cal.App.3d 879, 883 [Miller Act is </w:t>
      </w:r>
      <w:r w:rsidR="00B66EC7">
        <w:t>"</w:t>
      </w:r>
      <w:r w:rsidRPr="00460261">
        <w:t>similar in content to the California public works statute,</w:t>
      </w:r>
      <w:r w:rsidR="00B66EC7">
        <w:t>"</w:t>
      </w:r>
      <w:r w:rsidRPr="00460261">
        <w:t xml:space="preserve"> which is </w:t>
      </w:r>
      <w:r w:rsidR="00B66EC7">
        <w:t>"</w:t>
      </w:r>
      <w:r w:rsidRPr="00460261">
        <w:t xml:space="preserve">commonly referred to as the </w:t>
      </w:r>
      <w:r w:rsidR="00B66EC7">
        <w:t>'</w:t>
      </w:r>
      <w:r w:rsidRPr="00460261">
        <w:t>Little Miller Act</w:t>
      </w:r>
      <w:r w:rsidR="00B66EC7">
        <w:t>'</w:t>
      </w:r>
      <w:r w:rsidRPr="00460261">
        <w:t> </w:t>
      </w:r>
      <w:r w:rsidR="00B66EC7">
        <w:t>"</w:t>
      </w:r>
      <w:r w:rsidRPr="00460261">
        <w:t xml:space="preserve">].)  </w:t>
      </w:r>
      <w:r w:rsidR="007E6EA9" w:rsidRPr="00460261">
        <w:t xml:space="preserve">Like its California counterpart, </w:t>
      </w:r>
      <w:r w:rsidRPr="00460261">
        <w:t xml:space="preserve">the Miller Act is </w:t>
      </w:r>
      <w:r w:rsidR="00B66EC7">
        <w:t>"</w:t>
      </w:r>
      <w:r w:rsidRPr="00460261">
        <w:t>highly remedial in nature</w:t>
      </w:r>
      <w:r w:rsidR="00B66EC7">
        <w:t>"</w:t>
      </w:r>
      <w:r w:rsidRPr="00460261">
        <w:t xml:space="preserve"> and entitled to liberal construction.  (</w:t>
      </w:r>
      <w:r w:rsidRPr="00460261">
        <w:rPr>
          <w:i/>
        </w:rPr>
        <w:t>U</w:t>
      </w:r>
      <w:r w:rsidR="00154BEF" w:rsidRPr="00460261">
        <w:rPr>
          <w:i/>
        </w:rPr>
        <w:t>nited States</w:t>
      </w:r>
      <w:r w:rsidRPr="00460261">
        <w:rPr>
          <w:i/>
        </w:rPr>
        <w:t xml:space="preserve"> ex rel. Sherman v. Carter </w:t>
      </w:r>
      <w:r w:rsidRPr="00460261">
        <w:t xml:space="preserve">(1957) 353 U.S. 210, 216; </w:t>
      </w:r>
      <w:r w:rsidR="00242978" w:rsidRPr="00460261">
        <w:rPr>
          <w:i/>
        </w:rPr>
        <w:t>Walton</w:t>
      </w:r>
      <w:r w:rsidR="00242978" w:rsidRPr="00460261">
        <w:t>,</w:t>
      </w:r>
      <w:r w:rsidR="00242978" w:rsidRPr="00460261">
        <w:rPr>
          <w:i/>
        </w:rPr>
        <w:t xml:space="preserve"> supra</w:t>
      </w:r>
      <w:r w:rsidR="00242978" w:rsidRPr="00460261">
        <w:t>,</w:t>
      </w:r>
      <w:r w:rsidR="00242978" w:rsidRPr="00460261">
        <w:rPr>
          <w:i/>
        </w:rPr>
        <w:t xml:space="preserve"> </w:t>
      </w:r>
      <w:r w:rsidR="00242978" w:rsidRPr="00460261">
        <w:t>290 F.3d at p. </w:t>
      </w:r>
      <w:r w:rsidRPr="00460261">
        <w:t>1205</w:t>
      </w:r>
      <w:r w:rsidR="00242978" w:rsidRPr="00460261">
        <w:t>.</w:t>
      </w:r>
      <w:r w:rsidRPr="00460261">
        <w:t xml:space="preserve">)  Before a federal construction contract exceeding $100,000 may be awarded, a private contractor must furnish both a performance bond and a payment bond.  (40 U.S.C. § 3131(a)−(b).)  A </w:t>
      </w:r>
      <w:r w:rsidRPr="00460261">
        <w:rPr>
          <w:i/>
        </w:rPr>
        <w:t xml:space="preserve">waiver </w:t>
      </w:r>
      <w:r w:rsidRPr="00460261">
        <w:t xml:space="preserve">of payment bond rights is void unless it is in writing, signed, and executed after completion of work.  (40 U.S.C. § 3133(c).)  To be enforceable, there must be a </w:t>
      </w:r>
      <w:r w:rsidR="00B66EC7">
        <w:t>"</w:t>
      </w:r>
      <w:r w:rsidRPr="00460261">
        <w:t> </w:t>
      </w:r>
      <w:r w:rsidR="00B66EC7">
        <w:t>'</w:t>
      </w:r>
      <w:r w:rsidRPr="00460261">
        <w:t>clear and explicit</w:t>
      </w:r>
      <w:r w:rsidR="00B66EC7">
        <w:t>'</w:t>
      </w:r>
      <w:r w:rsidRPr="00460261">
        <w:t> </w:t>
      </w:r>
      <w:r w:rsidR="00B66EC7">
        <w:t>"</w:t>
      </w:r>
      <w:r w:rsidRPr="00460261">
        <w:t xml:space="preserve"> waiver of a subcontractor</w:t>
      </w:r>
      <w:r w:rsidR="00B66EC7">
        <w:t>'</w:t>
      </w:r>
      <w:r w:rsidRPr="00460261">
        <w:t>s Miller Act rights.  (</w:t>
      </w:r>
      <w:r w:rsidRPr="00460261">
        <w:rPr>
          <w:i/>
        </w:rPr>
        <w:t>Walton</w:t>
      </w:r>
      <w:r w:rsidRPr="00460261">
        <w:t>,</w:t>
      </w:r>
      <w:r w:rsidRPr="00460261">
        <w:rPr>
          <w:i/>
        </w:rPr>
        <w:t xml:space="preserve"> </w:t>
      </w:r>
      <w:r w:rsidRPr="00460261">
        <w:t>at p. 1208.)  In other words, whereas federal law prohibits waiver of bond rights</w:t>
      </w:r>
      <w:r w:rsidR="007E6EA9" w:rsidRPr="00460261">
        <w:t xml:space="preserve"> unless such waiver is clear and explicit</w:t>
      </w:r>
      <w:r w:rsidRPr="00460261">
        <w:rPr>
          <w:rFonts w:cstheme="minorHAnsi"/>
        </w:rPr>
        <w:t xml:space="preserve">, </w:t>
      </w:r>
      <w:r w:rsidRPr="00460261">
        <w:t>California</w:t>
      </w:r>
      <w:r w:rsidR="00B66EC7">
        <w:t>'</w:t>
      </w:r>
      <w:r w:rsidRPr="00460261">
        <w:t xml:space="preserve">s counterpart also prohibits measures that </w:t>
      </w:r>
      <w:r w:rsidRPr="00460261">
        <w:rPr>
          <w:i/>
        </w:rPr>
        <w:t xml:space="preserve">affect </w:t>
      </w:r>
      <w:r w:rsidRPr="00460261">
        <w:t xml:space="preserve">or </w:t>
      </w:r>
      <w:r w:rsidRPr="00460261">
        <w:rPr>
          <w:i/>
        </w:rPr>
        <w:t>impair</w:t>
      </w:r>
      <w:r w:rsidRPr="00460261">
        <w:t xml:space="preserve"> those rights.</w:t>
      </w:r>
    </w:p>
    <w:p w14:paraId="05E2ABA0" w14:textId="1A99697A" w:rsidR="005B5251" w:rsidRPr="00460261" w:rsidRDefault="005B5251" w:rsidP="00302445">
      <w:r w:rsidRPr="00460261">
        <w:tab/>
      </w:r>
      <w:r w:rsidR="006A6D2D" w:rsidRPr="00460261">
        <w:t>And even construing this more limited statutory language, f</w:t>
      </w:r>
      <w:r w:rsidR="006972DF" w:rsidRPr="00460261">
        <w:t xml:space="preserve">ederal courts have reasoned that allowing a surety to avoid liability on a payment bond based on an unsatisfied </w:t>
      </w:r>
      <w:r w:rsidR="00B66EC7">
        <w:t>"</w:t>
      </w:r>
      <w:r w:rsidR="00A846EE">
        <w:t> </w:t>
      </w:r>
      <w:r w:rsidR="00B66EC7">
        <w:t>'</w:t>
      </w:r>
      <w:r w:rsidR="00A846EE">
        <w:t>pay when paid</w:t>
      </w:r>
      <w:r w:rsidR="00B66EC7">
        <w:t>'</w:t>
      </w:r>
      <w:r w:rsidR="00A846EE">
        <w:t> </w:t>
      </w:r>
      <w:r w:rsidR="00B66EC7">
        <w:t>"</w:t>
      </w:r>
      <w:r w:rsidR="006972DF" w:rsidRPr="00460261">
        <w:t xml:space="preserve"> provision in the subcontract would prevent the subcontractor from enforcing its Miller Act rights, thereby amounting to an impermissible implied waiver.  (</w:t>
      </w:r>
      <w:r w:rsidR="00CE768F" w:rsidRPr="00460261">
        <w:rPr>
          <w:i/>
        </w:rPr>
        <w:t>United States</w:t>
      </w:r>
      <w:r w:rsidR="006972DF" w:rsidRPr="00460261">
        <w:rPr>
          <w:i/>
        </w:rPr>
        <w:t xml:space="preserve"> ex </w:t>
      </w:r>
      <w:proofErr w:type="spellStart"/>
      <w:r w:rsidR="006972DF" w:rsidRPr="00460261">
        <w:rPr>
          <w:i/>
        </w:rPr>
        <w:t>rel</w:t>
      </w:r>
      <w:proofErr w:type="spellEnd"/>
      <w:r w:rsidR="006972DF" w:rsidRPr="00460261">
        <w:rPr>
          <w:i/>
        </w:rPr>
        <w:t xml:space="preserve"> McKenney</w:t>
      </w:r>
      <w:r w:rsidR="00B66EC7">
        <w:rPr>
          <w:i/>
        </w:rPr>
        <w:t>'</w:t>
      </w:r>
      <w:r w:rsidR="006972DF" w:rsidRPr="00460261">
        <w:rPr>
          <w:i/>
        </w:rPr>
        <w:t>s</w:t>
      </w:r>
      <w:r w:rsidR="006972DF" w:rsidRPr="00460261">
        <w:t>,</w:t>
      </w:r>
      <w:r w:rsidR="006972DF" w:rsidRPr="00460261">
        <w:rPr>
          <w:i/>
        </w:rPr>
        <w:t xml:space="preserve"> Inc. v. Government </w:t>
      </w:r>
      <w:r w:rsidR="006972DF" w:rsidRPr="00460261">
        <w:rPr>
          <w:i/>
        </w:rPr>
        <w:lastRenderedPageBreak/>
        <w:t>Technical Services</w:t>
      </w:r>
      <w:r w:rsidR="006972DF" w:rsidRPr="00460261">
        <w:t>,</w:t>
      </w:r>
      <w:r w:rsidR="006972DF" w:rsidRPr="00460261">
        <w:rPr>
          <w:i/>
        </w:rPr>
        <w:t xml:space="preserve"> LLC </w:t>
      </w:r>
      <w:r w:rsidR="006972DF" w:rsidRPr="00460261">
        <w:t>(N.D. Ga. 2008) 531 F.Supp.2d 1375, 1380</w:t>
      </w:r>
      <w:r w:rsidR="00A846EE">
        <w:t xml:space="preserve">; see also </w:t>
      </w:r>
      <w:r w:rsidR="00A846EE" w:rsidRPr="00460261">
        <w:rPr>
          <w:i/>
        </w:rPr>
        <w:t>Walton</w:t>
      </w:r>
      <w:r w:rsidR="00A846EE" w:rsidRPr="00460261">
        <w:t>,</w:t>
      </w:r>
      <w:r w:rsidR="00A846EE" w:rsidRPr="00460261">
        <w:rPr>
          <w:i/>
        </w:rPr>
        <w:t xml:space="preserve"> supra</w:t>
      </w:r>
      <w:r w:rsidR="00A846EE" w:rsidRPr="00460261">
        <w:t>,</w:t>
      </w:r>
      <w:r w:rsidR="00A846EE" w:rsidRPr="00460261">
        <w:rPr>
          <w:i/>
        </w:rPr>
        <w:t xml:space="preserve"> </w:t>
      </w:r>
      <w:r w:rsidR="00A846EE" w:rsidRPr="00460261">
        <w:t>290 F.3d at p. 1208</w:t>
      </w:r>
      <w:r w:rsidR="00A846EE">
        <w:t xml:space="preserve"> [construing </w:t>
      </w:r>
      <w:r w:rsidR="00B66EC7">
        <w:t>"</w:t>
      </w:r>
      <w:r w:rsidR="00A846EE">
        <w:t> </w:t>
      </w:r>
      <w:r w:rsidR="00B66EC7">
        <w:t>'</w:t>
      </w:r>
      <w:r w:rsidR="00A846EE">
        <w:t>pay when and if paid</w:t>
      </w:r>
      <w:r w:rsidR="00B66EC7">
        <w:t>'</w:t>
      </w:r>
      <w:r w:rsidR="00A846EE">
        <w:t> </w:t>
      </w:r>
      <w:r w:rsidR="00B66EC7">
        <w:t>"</w:t>
      </w:r>
      <w:r w:rsidR="00A846EE">
        <w:t xml:space="preserve"> clause]</w:t>
      </w:r>
      <w:r w:rsidR="006972DF" w:rsidRPr="00460261">
        <w:t>.)</w:t>
      </w:r>
      <w:r w:rsidR="00C34E83" w:rsidRPr="00460261">
        <w:rPr>
          <w:rStyle w:val="FootnoteReference"/>
        </w:rPr>
        <w:footnoteReference w:id="9"/>
      </w:r>
      <w:r w:rsidR="006972DF" w:rsidRPr="00460261">
        <w:t xml:space="preserve">  It follows that the pay-when-paid provision here, which indefinitely postpones </w:t>
      </w:r>
      <w:proofErr w:type="spellStart"/>
      <w:r w:rsidR="006972DF" w:rsidRPr="00460261">
        <w:t>Crosno</w:t>
      </w:r>
      <w:r w:rsidR="00B66EC7">
        <w:t>'</w:t>
      </w:r>
      <w:r w:rsidR="006972DF" w:rsidRPr="00460261">
        <w:t>s</w:t>
      </w:r>
      <w:proofErr w:type="spellEnd"/>
      <w:r w:rsidR="006972DF" w:rsidRPr="00460261">
        <w:t xml:space="preserve"> right to recover under the payment bond until Clark</w:t>
      </w:r>
      <w:r w:rsidR="00B66EC7">
        <w:t>'</w:t>
      </w:r>
      <w:r w:rsidR="006972DF" w:rsidRPr="00460261">
        <w:t xml:space="preserve">s litigation with the District concludes, </w:t>
      </w:r>
      <w:r w:rsidR="00955A4E" w:rsidRPr="00460261">
        <w:t>is unenforceable under California</w:t>
      </w:r>
      <w:r w:rsidR="00B66EC7">
        <w:t>'</w:t>
      </w:r>
      <w:r w:rsidR="00955A4E" w:rsidRPr="00460261">
        <w:t xml:space="preserve">s broader </w:t>
      </w:r>
      <w:proofErr w:type="spellStart"/>
      <w:r w:rsidR="00955A4E" w:rsidRPr="00460261">
        <w:t>antiwaiver</w:t>
      </w:r>
      <w:proofErr w:type="spellEnd"/>
      <w:r w:rsidR="00955A4E" w:rsidRPr="00460261">
        <w:t xml:space="preserve"> </w:t>
      </w:r>
      <w:r w:rsidR="007F64F6" w:rsidRPr="00460261">
        <w:t>statute</w:t>
      </w:r>
      <w:r w:rsidR="00955A4E" w:rsidRPr="00460261">
        <w:t>.</w:t>
      </w:r>
    </w:p>
    <w:p w14:paraId="63DEDAFC" w14:textId="6976576A" w:rsidR="007E6EA9" w:rsidRPr="00460261" w:rsidRDefault="007E6EA9" w:rsidP="00302445">
      <w:r w:rsidRPr="00460261">
        <w:tab/>
        <w:t>Endeavoring to show that the trial court misconstrued section 8122, Travelers claims that under the court</w:t>
      </w:r>
      <w:r w:rsidR="00B66EC7">
        <w:t>'</w:t>
      </w:r>
      <w:r w:rsidRPr="00460261">
        <w:t xml:space="preserve">s logic, a host of common subcontract provisions would become unenforceable.  </w:t>
      </w:r>
      <w:proofErr w:type="gramStart"/>
      <w:r w:rsidRPr="00460261">
        <w:t>Insofar as</w:t>
      </w:r>
      <w:proofErr w:type="gramEnd"/>
      <w:r w:rsidRPr="00460261">
        <w:t xml:space="preserve"> subcontract provisions delay ultimate payment due, Travelers maintains they would affect or impair </w:t>
      </w:r>
      <w:proofErr w:type="spellStart"/>
      <w:r w:rsidRPr="00460261">
        <w:t>Crosno</w:t>
      </w:r>
      <w:r w:rsidR="00B66EC7">
        <w:t>'</w:t>
      </w:r>
      <w:r w:rsidRPr="00460261">
        <w:t>s</w:t>
      </w:r>
      <w:proofErr w:type="spellEnd"/>
      <w:r w:rsidRPr="00460261">
        <w:t xml:space="preserve"> payment bond rights.  We need not dwell on this </w:t>
      </w:r>
      <w:r w:rsidR="006A6D2D" w:rsidRPr="00460261">
        <w:t>hypothetical</w:t>
      </w:r>
      <w:r w:rsidRPr="00460261">
        <w:t xml:space="preserve"> parade of </w:t>
      </w:r>
      <w:proofErr w:type="spellStart"/>
      <w:r w:rsidRPr="00460261">
        <w:t>horribles</w:t>
      </w:r>
      <w:proofErr w:type="spellEnd"/>
      <w:r w:rsidRPr="00460261">
        <w:t xml:space="preserve">.  The effect of pass-through provisions, prelitigation dispute resolution clauses, notice requirements, retention provisions, and liquidated damage clauses </w:t>
      </w:r>
      <w:r w:rsidR="006A6D2D" w:rsidRPr="00460261">
        <w:t>is</w:t>
      </w:r>
      <w:r w:rsidRPr="00460261">
        <w:t xml:space="preserve"> not before us.  Suffice to say, Travelers misconstrues </w:t>
      </w:r>
      <w:r w:rsidR="006A6D2D" w:rsidRPr="00460261">
        <w:t xml:space="preserve">both </w:t>
      </w:r>
      <w:r w:rsidRPr="00460261">
        <w:t>the trial court</w:t>
      </w:r>
      <w:r w:rsidR="00B66EC7">
        <w:t>'</w:t>
      </w:r>
      <w:r w:rsidRPr="00460261">
        <w:t xml:space="preserve">s ruling </w:t>
      </w:r>
      <w:r w:rsidR="006A6D2D" w:rsidRPr="00460261">
        <w:t>and our decision</w:t>
      </w:r>
      <w:r w:rsidRPr="00460261">
        <w:t xml:space="preserve"> today</w:t>
      </w:r>
      <w:r w:rsidR="006A6D2D" w:rsidRPr="00460261">
        <w:t xml:space="preserve"> that affirms it</w:t>
      </w:r>
      <w:r w:rsidRPr="00460261">
        <w:t xml:space="preserve">.  We do not suggest that </w:t>
      </w:r>
      <w:r w:rsidR="006A6D2D" w:rsidRPr="00460261">
        <w:rPr>
          <w:i/>
        </w:rPr>
        <w:t>every</w:t>
      </w:r>
      <w:r w:rsidRPr="00460261">
        <w:rPr>
          <w:i/>
        </w:rPr>
        <w:t xml:space="preserve"> </w:t>
      </w:r>
      <w:r w:rsidRPr="00460261">
        <w:t xml:space="preserve">pay-when-paid provision is unenforceable as an impairment of payment bond rights under section 8122.  Instead, we conclude that this one is unenforceable because it </w:t>
      </w:r>
      <w:r w:rsidR="006A6D2D" w:rsidRPr="00460261">
        <w:t xml:space="preserve">unreasonably </w:t>
      </w:r>
      <w:r w:rsidRPr="00460261">
        <w:t xml:space="preserve">forestalls accrual of </w:t>
      </w:r>
      <w:proofErr w:type="spellStart"/>
      <w:r w:rsidRPr="00460261">
        <w:t>Crosno</w:t>
      </w:r>
      <w:r w:rsidR="00B66EC7">
        <w:t>'</w:t>
      </w:r>
      <w:r w:rsidRPr="00460261">
        <w:t>s</w:t>
      </w:r>
      <w:proofErr w:type="spellEnd"/>
      <w:r w:rsidRPr="00460261">
        <w:t xml:space="preserve"> payment bond rights </w:t>
      </w:r>
      <w:r w:rsidR="00EB5676">
        <w:t xml:space="preserve">for an indefinite </w:t>
      </w:r>
      <w:proofErr w:type="gramStart"/>
      <w:r w:rsidR="00EB5676">
        <w:t>period of time</w:t>
      </w:r>
      <w:proofErr w:type="gramEnd"/>
      <w:r w:rsidR="00EB5676">
        <w:t xml:space="preserve"> </w:t>
      </w:r>
      <w:r w:rsidRPr="00460261">
        <w:t>while the direct contractor pursues litigation against the owner.</w:t>
      </w:r>
    </w:p>
    <w:p w14:paraId="7783E8C9" w14:textId="77777777" w:rsidR="00C34E83" w:rsidRPr="00460261" w:rsidRDefault="00C34E83" w:rsidP="00B6334E">
      <w:pPr>
        <w:pStyle w:val="Heading3"/>
      </w:pPr>
      <w:r w:rsidRPr="00460261">
        <w:rPr>
          <w:i w:val="0"/>
        </w:rPr>
        <w:lastRenderedPageBreak/>
        <w:t>c</w:t>
      </w:r>
      <w:r w:rsidRPr="00460261">
        <w:t>.</w:t>
      </w:r>
      <w:r w:rsidRPr="00460261">
        <w:tab/>
        <w:t>Preferring Subcontractors Over Direct Contractors</w:t>
      </w:r>
    </w:p>
    <w:p w14:paraId="1A864ECC" w14:textId="5E55220A" w:rsidR="0046078A" w:rsidRPr="00460261" w:rsidRDefault="007A505E" w:rsidP="00985DC2">
      <w:r w:rsidRPr="00460261">
        <w:tab/>
      </w:r>
      <w:r w:rsidR="009A2767" w:rsidRPr="00460261">
        <w:t>Shifting to policy</w:t>
      </w:r>
      <w:r w:rsidR="00E64140" w:rsidRPr="00460261">
        <w:t xml:space="preserve">, </w:t>
      </w:r>
      <w:r w:rsidRPr="00460261">
        <w:t xml:space="preserve">Travelers </w:t>
      </w:r>
      <w:r w:rsidR="009A2767" w:rsidRPr="00460261">
        <w:t>claims</w:t>
      </w:r>
      <w:r w:rsidR="00514FE5" w:rsidRPr="00460261">
        <w:t xml:space="preserve"> </w:t>
      </w:r>
      <w:r w:rsidR="00B66EC7">
        <w:t>"</w:t>
      </w:r>
      <w:r w:rsidR="00514FE5" w:rsidRPr="00460261">
        <w:t>[t]here is no policy reason to prefer a subcontractor claim as deserving faster enforcement than that of the direct contractor.</w:t>
      </w:r>
      <w:r w:rsidR="00B66EC7">
        <w:t>"</w:t>
      </w:r>
      <w:r w:rsidR="00514FE5" w:rsidRPr="00460261">
        <w:t xml:space="preserve">  </w:t>
      </w:r>
      <w:r w:rsidR="0046078A" w:rsidRPr="00460261">
        <w:t>To the contrary, a</w:t>
      </w:r>
      <w:r w:rsidR="00D564BA" w:rsidRPr="00460261">
        <w:t xml:space="preserve">s </w:t>
      </w:r>
      <w:proofErr w:type="spellStart"/>
      <w:r w:rsidR="00D564BA" w:rsidRPr="00460261">
        <w:t>Crosno</w:t>
      </w:r>
      <w:proofErr w:type="spellEnd"/>
      <w:r w:rsidR="00D564BA" w:rsidRPr="00460261">
        <w:t xml:space="preserve"> </w:t>
      </w:r>
      <w:r w:rsidR="00E75CE8" w:rsidRPr="00460261">
        <w:t>observes</w:t>
      </w:r>
      <w:r w:rsidR="00D564BA" w:rsidRPr="00460261">
        <w:t xml:space="preserve">, </w:t>
      </w:r>
      <w:r w:rsidR="00B66EC7">
        <w:t>"</w:t>
      </w:r>
      <w:r w:rsidR="00D564BA" w:rsidRPr="00460261">
        <w:t>a public works subcontractor has rights to a security that a general contractor doesn</w:t>
      </w:r>
      <w:r w:rsidR="00B66EC7">
        <w:t>'</w:t>
      </w:r>
      <w:r w:rsidR="00D564BA" w:rsidRPr="00460261">
        <w:t>t.</w:t>
      </w:r>
      <w:r w:rsidR="00B66EC7">
        <w:t>"</w:t>
      </w:r>
      <w:r w:rsidR="00D564BA" w:rsidRPr="00460261">
        <w:t xml:space="preserve">  </w:t>
      </w:r>
      <w:r w:rsidR="00B66EC7">
        <w:t>"</w:t>
      </w:r>
      <w:r w:rsidR="001C4327" w:rsidRPr="00460261">
        <w:t>The law has created a preferred position for persons who perform labor or supply materials for the improvement of real property.</w:t>
      </w:r>
      <w:r w:rsidR="00B66EC7">
        <w:t>"</w:t>
      </w:r>
      <w:r w:rsidR="001C4327" w:rsidRPr="00460261">
        <w:t xml:space="preserve">  (9 Miller &amp; Starr, Cal. Real Estate (4th ed. 2019) § 32:3, p. 15.)  </w:t>
      </w:r>
      <w:r w:rsidR="00B66EC7">
        <w:t>"</w:t>
      </w:r>
      <w:r w:rsidR="00584F91" w:rsidRPr="00460261">
        <w:t xml:space="preserve">The stop notice provisions </w:t>
      </w:r>
      <w:r w:rsidR="00D71A4C" w:rsidRPr="00460261">
        <w:t>[citation]</w:t>
      </w:r>
      <w:r w:rsidR="00584F91" w:rsidRPr="00460261">
        <w:t> protect materialmen and labor claimants by allowing for intercepting funds due from the public agency to the contractor.</w:t>
      </w:r>
      <w:r w:rsidR="00B66EC7">
        <w:t>"</w:t>
      </w:r>
      <w:r w:rsidR="00584F91" w:rsidRPr="00460261">
        <w:t xml:space="preserve">  (</w:t>
      </w:r>
      <w:r w:rsidR="00F42B1C" w:rsidRPr="00460261">
        <w:rPr>
          <w:i/>
        </w:rPr>
        <w:t>Dep</w:t>
      </w:r>
      <w:r w:rsidR="00A70320" w:rsidRPr="00460261">
        <w:rPr>
          <w:i/>
        </w:rPr>
        <w:t>artment</w:t>
      </w:r>
      <w:r w:rsidR="00584F91" w:rsidRPr="00460261">
        <w:rPr>
          <w:i/>
        </w:rPr>
        <w:t xml:space="preserve"> of Indus</w:t>
      </w:r>
      <w:r w:rsidR="001368DD" w:rsidRPr="00460261">
        <w:rPr>
          <w:i/>
        </w:rPr>
        <w:t>trial</w:t>
      </w:r>
      <w:r w:rsidR="00584F91" w:rsidRPr="00460261">
        <w:rPr>
          <w:i/>
        </w:rPr>
        <w:t xml:space="preserve"> Relations v. Seaboard Surety Co.</w:t>
      </w:r>
      <w:r w:rsidR="00584F91" w:rsidRPr="00460261">
        <w:t xml:space="preserve"> (1996) 50 Cal.App.4th 1501, 1508.)  </w:t>
      </w:r>
      <w:r w:rsidR="0046078A" w:rsidRPr="00460261">
        <w:t xml:space="preserve">Likewise, payment bond statutes are </w:t>
      </w:r>
      <w:r w:rsidR="00B66EC7">
        <w:t>"</w:t>
      </w:r>
      <w:r w:rsidR="0046078A" w:rsidRPr="00460261">
        <w:t>r</w:t>
      </w:r>
      <w:r w:rsidR="002764BE" w:rsidRPr="00460261">
        <w:t>emedia</w:t>
      </w:r>
      <w:r w:rsidR="0046078A" w:rsidRPr="00460261">
        <w:t>l</w:t>
      </w:r>
      <w:r w:rsidR="002764BE" w:rsidRPr="00460261">
        <w:t xml:space="preserve"> in nature</w:t>
      </w:r>
      <w:r w:rsidR="00B66EC7">
        <w:t>"</w:t>
      </w:r>
      <w:r w:rsidR="002764BE" w:rsidRPr="00460261">
        <w:t xml:space="preserve"> </w:t>
      </w:r>
      <w:r w:rsidR="0046078A" w:rsidRPr="00460261">
        <w:t>and</w:t>
      </w:r>
      <w:r w:rsidR="00F32707" w:rsidRPr="00460261">
        <w:t xml:space="preserve"> </w:t>
      </w:r>
      <w:r w:rsidR="0046078A" w:rsidRPr="00460261">
        <w:t xml:space="preserve">are designed </w:t>
      </w:r>
      <w:r w:rsidR="00B66EC7">
        <w:t>"</w:t>
      </w:r>
      <w:r w:rsidR="00F32707" w:rsidRPr="00460261">
        <w:t>to protect the subcontractors from defaulting contractors.</w:t>
      </w:r>
      <w:r w:rsidR="00B66EC7">
        <w:t>"</w:t>
      </w:r>
      <w:r w:rsidR="00F32707" w:rsidRPr="00460261">
        <w:t xml:space="preserve">  (</w:t>
      </w:r>
      <w:r w:rsidR="00584F91" w:rsidRPr="00460261">
        <w:rPr>
          <w:i/>
        </w:rPr>
        <w:t>Capitol Steel</w:t>
      </w:r>
      <w:r w:rsidR="00584F91" w:rsidRPr="00460261">
        <w:t>,</w:t>
      </w:r>
      <w:r w:rsidR="00584F91" w:rsidRPr="00460261">
        <w:rPr>
          <w:i/>
        </w:rPr>
        <w:t xml:space="preserve"> supra</w:t>
      </w:r>
      <w:r w:rsidR="00584F91" w:rsidRPr="00460261">
        <w:t>,</w:t>
      </w:r>
      <w:r w:rsidR="00584F91" w:rsidRPr="00460261">
        <w:rPr>
          <w:i/>
        </w:rPr>
        <w:t xml:space="preserve"> </w:t>
      </w:r>
      <w:r w:rsidR="00584F91" w:rsidRPr="00460261">
        <w:t>58 Cal.App.4th at</w:t>
      </w:r>
      <w:r w:rsidR="00F32707" w:rsidRPr="00460261">
        <w:t xml:space="preserve"> p. 1062.)</w:t>
      </w:r>
      <w:r w:rsidR="00F42E7E" w:rsidRPr="00460261">
        <w:t xml:space="preserve"> </w:t>
      </w:r>
      <w:r w:rsidR="00BA7919" w:rsidRPr="00460261">
        <w:t xml:space="preserve"> </w:t>
      </w:r>
      <w:r w:rsidR="00E42E8B" w:rsidRPr="00460261">
        <w:t>D</w:t>
      </w:r>
      <w:r w:rsidR="00EF4F61" w:rsidRPr="00460261">
        <w:t>irect</w:t>
      </w:r>
      <w:r w:rsidR="00CF721F" w:rsidRPr="00460261">
        <w:t xml:space="preserve"> contractor</w:t>
      </w:r>
      <w:r w:rsidR="00E42E8B" w:rsidRPr="00460261">
        <w:t xml:space="preserve">s like Clark </w:t>
      </w:r>
      <w:r w:rsidR="00D564BA" w:rsidRPr="00460261">
        <w:t>have no right</w:t>
      </w:r>
      <w:r w:rsidR="00CF721F" w:rsidRPr="00460261">
        <w:t xml:space="preserve"> to file a st</w:t>
      </w:r>
      <w:r w:rsidR="00D564BA" w:rsidRPr="00460261">
        <w:t>op notice nor payment bond claim</w:t>
      </w:r>
      <w:r w:rsidR="00CF721F" w:rsidRPr="00460261">
        <w:t xml:space="preserve">.  (§ 9100, </w:t>
      </w:r>
      <w:proofErr w:type="spellStart"/>
      <w:r w:rsidR="00CF721F" w:rsidRPr="00460261">
        <w:t>subd</w:t>
      </w:r>
      <w:proofErr w:type="spellEnd"/>
      <w:r w:rsidR="00CF721F" w:rsidRPr="00460261">
        <w:t xml:space="preserve">. (b).)  </w:t>
      </w:r>
      <w:r w:rsidR="00510B07" w:rsidRPr="00460261">
        <w:t xml:space="preserve">Travelers is </w:t>
      </w:r>
      <w:r w:rsidR="007123E3" w:rsidRPr="00460261">
        <w:t xml:space="preserve">thus </w:t>
      </w:r>
      <w:r w:rsidR="00510B07" w:rsidRPr="00460261">
        <w:t xml:space="preserve">incorrect that Clark and </w:t>
      </w:r>
      <w:proofErr w:type="spellStart"/>
      <w:r w:rsidR="00510B07" w:rsidRPr="00460261">
        <w:t>Crosno</w:t>
      </w:r>
      <w:proofErr w:type="spellEnd"/>
      <w:r w:rsidR="00510B07" w:rsidRPr="00460261">
        <w:t xml:space="preserve"> are </w:t>
      </w:r>
      <w:r w:rsidR="00B66EC7">
        <w:t>"</w:t>
      </w:r>
      <w:r w:rsidR="00510B07" w:rsidRPr="00460261">
        <w:t>equally protected</w:t>
      </w:r>
      <w:r w:rsidR="00B66EC7">
        <w:t>"</w:t>
      </w:r>
      <w:r w:rsidR="00510B07" w:rsidRPr="00460261">
        <w:t xml:space="preserve"> under section 8122.  Section 8122 protects the rights of </w:t>
      </w:r>
      <w:r w:rsidR="00B66EC7">
        <w:t>"</w:t>
      </w:r>
      <w:r w:rsidR="00510B07" w:rsidRPr="00460261">
        <w:t>claimants,</w:t>
      </w:r>
      <w:r w:rsidR="00B66EC7">
        <w:t>"</w:t>
      </w:r>
      <w:r w:rsidR="00510B07" w:rsidRPr="00460261">
        <w:t xml:space="preserve"> and Clark is expressly excluded from that category</w:t>
      </w:r>
      <w:r w:rsidR="00EB5676">
        <w:t xml:space="preserve"> here</w:t>
      </w:r>
      <w:r w:rsidR="00510B07" w:rsidRPr="00460261">
        <w:t xml:space="preserve">.  (§ 9100, </w:t>
      </w:r>
      <w:proofErr w:type="spellStart"/>
      <w:r w:rsidR="00510B07" w:rsidRPr="00460261">
        <w:t>subd</w:t>
      </w:r>
      <w:proofErr w:type="spellEnd"/>
      <w:r w:rsidR="00510B07" w:rsidRPr="00460261">
        <w:t xml:space="preserve">. (b).)  </w:t>
      </w:r>
    </w:p>
    <w:p w14:paraId="2D1545A4" w14:textId="4787F039" w:rsidR="00F17CEF" w:rsidRPr="00460261" w:rsidRDefault="0046078A" w:rsidP="00985DC2">
      <w:r w:rsidRPr="00460261">
        <w:tab/>
      </w:r>
      <w:r w:rsidR="00DB2D0C" w:rsidRPr="00460261">
        <w:t>Although Travelers complains that affirming the trial court</w:t>
      </w:r>
      <w:r w:rsidR="00B66EC7">
        <w:t>'</w:t>
      </w:r>
      <w:r w:rsidR="00DB2D0C" w:rsidRPr="00460261">
        <w:t xml:space="preserve">s ruling will effectively make direct contractors and their sureties </w:t>
      </w:r>
      <w:r w:rsidR="00B66EC7">
        <w:t>"</w:t>
      </w:r>
      <w:r w:rsidR="00DB2D0C" w:rsidRPr="00460261">
        <w:t>financers of public works projects when the owner delays making payment,</w:t>
      </w:r>
      <w:r w:rsidR="00B66EC7">
        <w:t>"</w:t>
      </w:r>
      <w:r w:rsidR="00DB2D0C" w:rsidRPr="00460261">
        <w:t xml:space="preserve"> that is precisely the point.  A payment bond shifts the risk of nonpayment from subcontractors to </w:t>
      </w:r>
      <w:r w:rsidR="00C8753B" w:rsidRPr="00460261">
        <w:t xml:space="preserve">direct contractors </w:t>
      </w:r>
      <w:r w:rsidR="00C8753B" w:rsidRPr="00460261">
        <w:rPr>
          <w:i/>
        </w:rPr>
        <w:t>and</w:t>
      </w:r>
      <w:r w:rsidR="00EC4AC7" w:rsidRPr="00460261">
        <w:rPr>
          <w:i/>
        </w:rPr>
        <w:t xml:space="preserve"> their</w:t>
      </w:r>
      <w:r w:rsidR="00C8753B" w:rsidRPr="00460261">
        <w:rPr>
          <w:i/>
        </w:rPr>
        <w:t xml:space="preserve"> sureties</w:t>
      </w:r>
      <w:r w:rsidR="00DB2D0C" w:rsidRPr="00460261">
        <w:t xml:space="preserve"> </w:t>
      </w:r>
      <w:r w:rsidR="00EC4AC7" w:rsidRPr="00460261">
        <w:t xml:space="preserve">by </w:t>
      </w:r>
      <w:r w:rsidR="00C8753B" w:rsidRPr="00460261">
        <w:t xml:space="preserve">affording public works subcontractors </w:t>
      </w:r>
      <w:r w:rsidR="00DB2D0C" w:rsidRPr="00460261">
        <w:t xml:space="preserve">the equivalent of </w:t>
      </w:r>
      <w:r w:rsidR="00C8753B" w:rsidRPr="00460261">
        <w:t>a</w:t>
      </w:r>
      <w:r w:rsidR="00D97EF0" w:rsidRPr="00460261">
        <w:t xml:space="preserve"> </w:t>
      </w:r>
      <w:r w:rsidR="00DB2D0C" w:rsidRPr="00460261">
        <w:t>mechanics lien remed</w:t>
      </w:r>
      <w:r w:rsidR="00D97EF0" w:rsidRPr="00460261">
        <w:t>y</w:t>
      </w:r>
      <w:r w:rsidR="00DB2D0C" w:rsidRPr="00460261">
        <w:t xml:space="preserve"> available in private </w:t>
      </w:r>
      <w:r w:rsidR="00C8753B" w:rsidRPr="00460261">
        <w:t>works</w:t>
      </w:r>
      <w:r w:rsidR="00DB2D0C" w:rsidRPr="00460261">
        <w:t xml:space="preserve"> projects.  </w:t>
      </w:r>
      <w:r w:rsidR="00C8753B" w:rsidRPr="00460261">
        <w:t>(See</w:t>
      </w:r>
      <w:r w:rsidR="007D5AD2" w:rsidRPr="00460261">
        <w:t xml:space="preserve"> </w:t>
      </w:r>
      <w:r w:rsidR="007D5AD2" w:rsidRPr="00460261">
        <w:rPr>
          <w:i/>
        </w:rPr>
        <w:t>Capitol Steel</w:t>
      </w:r>
      <w:r w:rsidR="007D5AD2" w:rsidRPr="00460261">
        <w:t>,</w:t>
      </w:r>
      <w:r w:rsidR="007D5AD2" w:rsidRPr="00460261">
        <w:rPr>
          <w:i/>
        </w:rPr>
        <w:t xml:space="preserve"> supra</w:t>
      </w:r>
      <w:r w:rsidR="007D5AD2" w:rsidRPr="00460261">
        <w:t>,</w:t>
      </w:r>
      <w:r w:rsidR="007D5AD2" w:rsidRPr="00460261">
        <w:rPr>
          <w:i/>
        </w:rPr>
        <w:t xml:space="preserve"> </w:t>
      </w:r>
      <w:r w:rsidR="008C0B43" w:rsidRPr="00460261">
        <w:t>58</w:t>
      </w:r>
      <w:r w:rsidR="00E43621" w:rsidRPr="00460261">
        <w:t xml:space="preserve"> Cal.App.4th </w:t>
      </w:r>
      <w:r w:rsidR="007D5AD2" w:rsidRPr="00460261">
        <w:t>at p. 1061</w:t>
      </w:r>
      <w:r w:rsidR="005E6B8C" w:rsidRPr="00460261">
        <w:t xml:space="preserve">; </w:t>
      </w:r>
      <w:r w:rsidR="005E6B8C" w:rsidRPr="00460261">
        <w:lastRenderedPageBreak/>
        <w:t>9 Miller &amp; Starr, Cal. Real Estate (4th ed. 2019) § 32:120, p. 380</w:t>
      </w:r>
      <w:r w:rsidR="00C8753B" w:rsidRPr="00460261">
        <w:t>.)</w:t>
      </w:r>
      <w:r w:rsidRPr="00460261">
        <w:t xml:space="preserve"> </w:t>
      </w:r>
      <w:r w:rsidR="009A2767" w:rsidRPr="00460261">
        <w:t xml:space="preserve"> </w:t>
      </w:r>
      <w:r w:rsidR="00615CA2">
        <w:t xml:space="preserve">In so doing, a surety bond both protects the public entity from liability for a defaulting contractor and provides a remedy for subcontractors and material suppliers on public works projects.  </w:t>
      </w:r>
      <w:r w:rsidR="009A2767" w:rsidRPr="00460261">
        <w:t>(</w:t>
      </w:r>
      <w:proofErr w:type="spellStart"/>
      <w:r w:rsidR="009A2767" w:rsidRPr="00460261">
        <w:rPr>
          <w:i/>
        </w:rPr>
        <w:t>Liton</w:t>
      </w:r>
      <w:proofErr w:type="spellEnd"/>
      <w:r w:rsidR="009A2767" w:rsidRPr="00460261">
        <w:t>,</w:t>
      </w:r>
      <w:r w:rsidR="009A2767" w:rsidRPr="00460261">
        <w:rPr>
          <w:i/>
        </w:rPr>
        <w:t xml:space="preserve"> supra</w:t>
      </w:r>
      <w:r w:rsidR="009A2767" w:rsidRPr="00460261">
        <w:t>,</w:t>
      </w:r>
      <w:r w:rsidR="009A2767" w:rsidRPr="00460261">
        <w:rPr>
          <w:i/>
        </w:rPr>
        <w:t xml:space="preserve"> </w:t>
      </w:r>
      <w:r w:rsidR="009A2767" w:rsidRPr="00460261">
        <w:t xml:space="preserve">16 Cal.App.4th at p. 584.)  </w:t>
      </w:r>
    </w:p>
    <w:p w14:paraId="2D89B19E" w14:textId="5C68AE6F" w:rsidR="00765ABB" w:rsidRPr="00460261" w:rsidRDefault="00F17CEF" w:rsidP="00985DC2">
      <w:r w:rsidRPr="00460261">
        <w:tab/>
      </w:r>
      <w:r w:rsidR="0046078A" w:rsidRPr="00460261">
        <w:t>B</w:t>
      </w:r>
      <w:r w:rsidR="00514FE5" w:rsidRPr="00460261">
        <w:t>y carving out expansive remedial legislation to pr</w:t>
      </w:r>
      <w:r w:rsidR="009A2767" w:rsidRPr="00460261">
        <w:t xml:space="preserve">otect subcontractors like </w:t>
      </w:r>
      <w:proofErr w:type="spellStart"/>
      <w:r w:rsidR="009A2767" w:rsidRPr="00460261">
        <w:t>Crosno</w:t>
      </w:r>
      <w:proofErr w:type="spellEnd"/>
      <w:r w:rsidR="00514FE5" w:rsidRPr="00460261">
        <w:t>, the statutory scheme reflects a</w:t>
      </w:r>
      <w:r w:rsidR="00CF212A" w:rsidRPr="00460261">
        <w:t>n express</w:t>
      </w:r>
      <w:r w:rsidR="00514FE5" w:rsidRPr="00460261">
        <w:t xml:space="preserve"> legislative preference to provide </w:t>
      </w:r>
      <w:r w:rsidR="003818BA" w:rsidRPr="00460261">
        <w:t xml:space="preserve">expedient enforcement procedures </w:t>
      </w:r>
      <w:r w:rsidR="00514FE5" w:rsidRPr="00460261">
        <w:t>to subcontractors over direct contractors</w:t>
      </w:r>
      <w:r w:rsidR="00E75CE8" w:rsidRPr="00460261">
        <w:t>, who are required to insure against the risk by means of a payment bond</w:t>
      </w:r>
      <w:r w:rsidR="00514FE5" w:rsidRPr="00460261">
        <w:t>.</w:t>
      </w:r>
      <w:r w:rsidR="00DE0AFB" w:rsidRPr="00460261">
        <w:rPr>
          <w:rStyle w:val="FootnoteReference"/>
        </w:rPr>
        <w:footnoteReference w:id="10"/>
      </w:r>
      <w:r w:rsidR="00E75CE8" w:rsidRPr="00460261">
        <w:t xml:space="preserve">  </w:t>
      </w:r>
      <w:r w:rsidR="00D97EF0" w:rsidRPr="00460261">
        <w:t>M</w:t>
      </w:r>
      <w:r w:rsidR="00584F91" w:rsidRPr="00460261">
        <w:t xml:space="preserve">oreover, </w:t>
      </w:r>
      <w:r w:rsidR="00F42E7E" w:rsidRPr="00460261">
        <w:t>Travelers</w:t>
      </w:r>
      <w:r w:rsidR="00B66EC7">
        <w:t>'</w:t>
      </w:r>
      <w:r w:rsidR="003516EB" w:rsidRPr="00460261">
        <w:t>s</w:t>
      </w:r>
      <w:r w:rsidR="00F42E7E" w:rsidRPr="00460261">
        <w:t xml:space="preserve"> </w:t>
      </w:r>
      <w:r w:rsidR="001364E5" w:rsidRPr="00460261">
        <w:t>c</w:t>
      </w:r>
      <w:r w:rsidR="00F42E7E" w:rsidRPr="00460261">
        <w:t>onstruction would not</w:t>
      </w:r>
      <w:r w:rsidR="001364E5" w:rsidRPr="00460261">
        <w:t>,</w:t>
      </w:r>
      <w:r w:rsidR="00F42E7E" w:rsidRPr="00460261">
        <w:t xml:space="preserve"> </w:t>
      </w:r>
      <w:r w:rsidR="00202935" w:rsidRPr="00460261">
        <w:t xml:space="preserve">as it suggests, </w:t>
      </w:r>
      <w:r w:rsidR="00F42E7E" w:rsidRPr="00460261">
        <w:t xml:space="preserve">place Clark and </w:t>
      </w:r>
      <w:proofErr w:type="spellStart"/>
      <w:r w:rsidR="00F42E7E" w:rsidRPr="00460261">
        <w:t>Crosno</w:t>
      </w:r>
      <w:proofErr w:type="spellEnd"/>
      <w:r w:rsidR="00F42E7E" w:rsidRPr="00460261">
        <w:t xml:space="preserve"> </w:t>
      </w:r>
      <w:r w:rsidR="00B66EC7">
        <w:t>"</w:t>
      </w:r>
      <w:r w:rsidR="00F42E7E" w:rsidRPr="00460261">
        <w:t>on equal footing</w:t>
      </w:r>
      <w:r w:rsidR="00202935" w:rsidRPr="00460261">
        <w:t>.</w:t>
      </w:r>
      <w:r w:rsidR="00B66EC7">
        <w:t>"</w:t>
      </w:r>
      <w:r w:rsidR="00202935" w:rsidRPr="00460261">
        <w:t xml:space="preserve">  Rather, </w:t>
      </w:r>
      <w:r w:rsidR="001364E5" w:rsidRPr="00460261">
        <w:t xml:space="preserve">it would prioritize </w:t>
      </w:r>
      <w:r w:rsidR="00F42E7E" w:rsidRPr="00460261">
        <w:t>Clark</w:t>
      </w:r>
      <w:r w:rsidR="00B66EC7">
        <w:t>'</w:t>
      </w:r>
      <w:r w:rsidR="00F42E7E" w:rsidRPr="00460261">
        <w:t xml:space="preserve">s </w:t>
      </w:r>
      <w:r w:rsidR="00202935" w:rsidRPr="00460261">
        <w:t xml:space="preserve">litigation rights </w:t>
      </w:r>
      <w:r w:rsidR="00F42E7E" w:rsidRPr="00460261">
        <w:t xml:space="preserve">over </w:t>
      </w:r>
      <w:proofErr w:type="spellStart"/>
      <w:r w:rsidR="00F42E7E" w:rsidRPr="00460261">
        <w:t>Crosno</w:t>
      </w:r>
      <w:r w:rsidR="00B66EC7">
        <w:t>'</w:t>
      </w:r>
      <w:r w:rsidR="00F42E7E" w:rsidRPr="00460261">
        <w:t>s</w:t>
      </w:r>
      <w:proofErr w:type="spellEnd"/>
      <w:r w:rsidR="00F42E7E" w:rsidRPr="00460261">
        <w:t xml:space="preserve"> </w:t>
      </w:r>
      <w:r w:rsidR="00420603" w:rsidRPr="00460261">
        <w:t xml:space="preserve">payment bond </w:t>
      </w:r>
      <w:r w:rsidR="00202935" w:rsidRPr="00460261">
        <w:t>rights</w:t>
      </w:r>
      <w:r w:rsidR="001364E5" w:rsidRPr="00460261">
        <w:t xml:space="preserve">, in </w:t>
      </w:r>
      <w:r w:rsidR="001364E5" w:rsidRPr="00460261">
        <w:lastRenderedPageBreak/>
        <w:t xml:space="preserve">conflict </w:t>
      </w:r>
      <w:r w:rsidR="00101E16" w:rsidRPr="00460261">
        <w:t xml:space="preserve">with the </w:t>
      </w:r>
      <w:r w:rsidR="001364E5" w:rsidRPr="00460261">
        <w:t xml:space="preserve">statutory </w:t>
      </w:r>
      <w:r w:rsidR="00BA7919" w:rsidRPr="00460261">
        <w:t>aim</w:t>
      </w:r>
      <w:r w:rsidR="00016A12" w:rsidRPr="00460261">
        <w:t xml:space="preserve"> </w:t>
      </w:r>
      <w:r w:rsidR="00BA7919" w:rsidRPr="00460261">
        <w:t xml:space="preserve">to give </w:t>
      </w:r>
      <w:r w:rsidR="00101E16" w:rsidRPr="00460261">
        <w:t xml:space="preserve">subcontractors </w:t>
      </w:r>
      <w:r w:rsidR="00B66EC7">
        <w:t>"</w:t>
      </w:r>
      <w:r w:rsidR="00101E16" w:rsidRPr="00460261">
        <w:t> </w:t>
      </w:r>
      <w:r w:rsidR="00B66EC7">
        <w:t>'</w:t>
      </w:r>
      <w:r w:rsidR="00101E16" w:rsidRPr="00460261">
        <w:t>a quick, reliable and sufficient means of payment</w:t>
      </w:r>
      <w:r w:rsidR="00B66EC7">
        <w:t>'</w:t>
      </w:r>
      <w:r w:rsidR="00101E16" w:rsidRPr="00460261">
        <w:t> </w:t>
      </w:r>
      <w:r w:rsidR="00B66EC7">
        <w:t>"</w:t>
      </w:r>
      <w:r w:rsidR="00101E16" w:rsidRPr="00460261">
        <w:t xml:space="preserve"> </w:t>
      </w:r>
      <w:r w:rsidR="00BA7919" w:rsidRPr="00460261">
        <w:t xml:space="preserve">under the </w:t>
      </w:r>
      <w:r w:rsidR="00900A78" w:rsidRPr="00460261">
        <w:t>bond.</w:t>
      </w:r>
      <w:r w:rsidR="00101E16" w:rsidRPr="00460261">
        <w:t xml:space="preserve"> </w:t>
      </w:r>
      <w:r w:rsidR="00BA7919" w:rsidRPr="00460261">
        <w:t xml:space="preserve"> </w:t>
      </w:r>
      <w:r w:rsidR="00101E16" w:rsidRPr="00460261">
        <w:t>(</w:t>
      </w:r>
      <w:r w:rsidR="00101E16" w:rsidRPr="00460261">
        <w:rPr>
          <w:i/>
        </w:rPr>
        <w:t>Cooley</w:t>
      </w:r>
      <w:r w:rsidR="00900A78" w:rsidRPr="00460261">
        <w:t>,</w:t>
      </w:r>
      <w:r w:rsidR="00900A78" w:rsidRPr="00460261">
        <w:rPr>
          <w:i/>
        </w:rPr>
        <w:t xml:space="preserve"> supra</w:t>
      </w:r>
      <w:r w:rsidR="00900A78" w:rsidRPr="00460261">
        <w:t>,</w:t>
      </w:r>
      <w:r w:rsidR="00900A78" w:rsidRPr="00460261">
        <w:rPr>
          <w:i/>
        </w:rPr>
        <w:t xml:space="preserve"> </w:t>
      </w:r>
      <w:r w:rsidR="00900A78" w:rsidRPr="00460261">
        <w:t>204 Cal. at p. </w:t>
      </w:r>
      <w:r w:rsidR="00101E16" w:rsidRPr="00460261">
        <w:t>62.)</w:t>
      </w:r>
      <w:r w:rsidR="00E42E8B" w:rsidRPr="00460261">
        <w:rPr>
          <w:rStyle w:val="FootnoteReference"/>
        </w:rPr>
        <w:footnoteReference w:id="11"/>
      </w:r>
    </w:p>
    <w:p w14:paraId="166FB525" w14:textId="77777777" w:rsidR="00C34E83" w:rsidRPr="00460261" w:rsidRDefault="00C34E83" w:rsidP="00B6334E">
      <w:pPr>
        <w:pStyle w:val="Heading3"/>
      </w:pPr>
      <w:r w:rsidRPr="00460261">
        <w:rPr>
          <w:i w:val="0"/>
        </w:rPr>
        <w:t>d</w:t>
      </w:r>
      <w:r w:rsidRPr="00460261">
        <w:t>.</w:t>
      </w:r>
      <w:r w:rsidRPr="00460261">
        <w:tab/>
      </w:r>
      <w:r w:rsidR="00CC4B3E" w:rsidRPr="00460261">
        <w:t>Suretyship principles</w:t>
      </w:r>
    </w:p>
    <w:p w14:paraId="56850F80" w14:textId="6436E212" w:rsidR="00670CC4" w:rsidRPr="00460261" w:rsidRDefault="00765ABB" w:rsidP="00985DC2">
      <w:r w:rsidRPr="00460261">
        <w:tab/>
      </w:r>
      <w:r w:rsidR="00CC4B3E" w:rsidRPr="00460261">
        <w:t>Finally</w:t>
      </w:r>
      <w:r w:rsidR="00B80501" w:rsidRPr="00460261">
        <w:t xml:space="preserve">, </w:t>
      </w:r>
      <w:r w:rsidRPr="00460261">
        <w:t xml:space="preserve">Travelers </w:t>
      </w:r>
      <w:r w:rsidR="00CC4B3E" w:rsidRPr="00460261">
        <w:t>contends</w:t>
      </w:r>
      <w:r w:rsidRPr="00460261">
        <w:t xml:space="preserve"> that a surety</w:t>
      </w:r>
      <w:r w:rsidR="00B66EC7">
        <w:t>'</w:t>
      </w:r>
      <w:r w:rsidRPr="00460261">
        <w:t xml:space="preserve">s obligation on the bond is coextensive with </w:t>
      </w:r>
      <w:r w:rsidR="00AA24E0" w:rsidRPr="00460261">
        <w:t>the bond principal</w:t>
      </w:r>
      <w:r w:rsidR="00B66EC7">
        <w:t>'</w:t>
      </w:r>
      <w:r w:rsidR="00AA24E0" w:rsidRPr="00460261">
        <w:t>s obligation</w:t>
      </w:r>
      <w:r w:rsidR="00F22D5F" w:rsidRPr="00460261">
        <w:t xml:space="preserve">, entitling it to assert the same defenses </w:t>
      </w:r>
      <w:r w:rsidR="00E75CE8" w:rsidRPr="00460261">
        <w:t>that</w:t>
      </w:r>
      <w:r w:rsidR="00F22D5F" w:rsidRPr="00460261">
        <w:t xml:space="preserve"> Clark </w:t>
      </w:r>
      <w:r w:rsidR="00E75CE8" w:rsidRPr="00460261">
        <w:t xml:space="preserve">possesses </w:t>
      </w:r>
      <w:r w:rsidR="00F22D5F" w:rsidRPr="00460261">
        <w:t>as to the underlying obligation</w:t>
      </w:r>
      <w:r w:rsidR="00AA24E0" w:rsidRPr="00460261">
        <w:t xml:space="preserve">.  </w:t>
      </w:r>
      <w:r w:rsidR="00647627" w:rsidRPr="00460261">
        <w:t>CEA</w:t>
      </w:r>
      <w:r w:rsidR="00B766DA" w:rsidRPr="00460261">
        <w:t xml:space="preserve"> makes this same point in its amicus brief.  </w:t>
      </w:r>
      <w:r w:rsidR="00DE26CD" w:rsidRPr="00460261">
        <w:t>(See §§ 2808</w:t>
      </w:r>
      <w:r w:rsidR="00013F1A" w:rsidRPr="00460261">
        <w:t xml:space="preserve"> [surety</w:t>
      </w:r>
      <w:r w:rsidR="00B66EC7">
        <w:t>'</w:t>
      </w:r>
      <w:r w:rsidR="00013F1A" w:rsidRPr="00460261">
        <w:t xml:space="preserve">s liability upon a conditional obligation </w:t>
      </w:r>
      <w:r w:rsidR="00B66EC7">
        <w:t>"</w:t>
      </w:r>
      <w:r w:rsidR="00013F1A" w:rsidRPr="00460261">
        <w:t>is commensurate with that of the principal</w:t>
      </w:r>
      <w:r w:rsidR="00B66EC7">
        <w:t>"</w:t>
      </w:r>
      <w:r w:rsidR="00013F1A" w:rsidRPr="00460261">
        <w:t>]</w:t>
      </w:r>
      <w:r w:rsidR="00DE26CD" w:rsidRPr="00460261">
        <w:t>, 2809</w:t>
      </w:r>
      <w:r w:rsidR="00013F1A" w:rsidRPr="00460261">
        <w:t xml:space="preserve"> [</w:t>
      </w:r>
      <w:r w:rsidR="00B66EC7">
        <w:t>"</w:t>
      </w:r>
      <w:r w:rsidR="00013F1A" w:rsidRPr="00460261">
        <w:t>The obligation of a surety must be neither larger in amount nor in other respects more burdensome than that of the principal</w:t>
      </w:r>
      <w:r w:rsidR="00B66EC7">
        <w:t>"</w:t>
      </w:r>
      <w:r w:rsidR="00013F1A" w:rsidRPr="00460261">
        <w:t>]</w:t>
      </w:r>
      <w:r w:rsidR="00DE26CD" w:rsidRPr="00460261">
        <w:t xml:space="preserve">.)  </w:t>
      </w:r>
      <w:r w:rsidR="00AA24E0" w:rsidRPr="00460261">
        <w:rPr>
          <w:i/>
        </w:rPr>
        <w:t xml:space="preserve">Wm. R. Clarke </w:t>
      </w:r>
      <w:r w:rsidR="00AA24E0" w:rsidRPr="00460261">
        <w:t>addressed a</w:t>
      </w:r>
      <w:r w:rsidR="00670CC4" w:rsidRPr="00460261">
        <w:t>nd rejected a</w:t>
      </w:r>
      <w:r w:rsidR="00AA24E0" w:rsidRPr="00460261">
        <w:t xml:space="preserve"> surety</w:t>
      </w:r>
      <w:r w:rsidR="00B66EC7">
        <w:t>'</w:t>
      </w:r>
      <w:r w:rsidR="00AA24E0" w:rsidRPr="00460261">
        <w:t>s similar argument</w:t>
      </w:r>
      <w:r w:rsidR="00670CC4" w:rsidRPr="00460261">
        <w:t>.</w:t>
      </w:r>
      <w:r w:rsidR="00AA24E0" w:rsidRPr="00460261">
        <w:t xml:space="preserve">  (</w:t>
      </w:r>
      <w:r w:rsidR="00AA24E0" w:rsidRPr="00460261">
        <w:rPr>
          <w:i/>
        </w:rPr>
        <w:t>Wm. R. Clarke</w:t>
      </w:r>
      <w:r w:rsidR="00AA24E0" w:rsidRPr="00460261">
        <w:t>,</w:t>
      </w:r>
      <w:r w:rsidR="00AA24E0" w:rsidRPr="00460261">
        <w:rPr>
          <w:i/>
        </w:rPr>
        <w:t xml:space="preserve"> supra</w:t>
      </w:r>
      <w:r w:rsidR="00AA24E0" w:rsidRPr="00460261">
        <w:t>,</w:t>
      </w:r>
      <w:r w:rsidR="00AA24E0" w:rsidRPr="00460261">
        <w:rPr>
          <w:i/>
        </w:rPr>
        <w:t xml:space="preserve"> </w:t>
      </w:r>
      <w:r w:rsidR="00AA24E0" w:rsidRPr="00460261">
        <w:t>15 Cal.4th at p</w:t>
      </w:r>
      <w:r w:rsidR="00670CC4" w:rsidRPr="00460261">
        <w:t>p</w:t>
      </w:r>
      <w:r w:rsidR="00AA24E0" w:rsidRPr="00460261">
        <w:t>. 893</w:t>
      </w:r>
      <w:r w:rsidR="00670CC4" w:rsidRPr="00460261">
        <w:rPr>
          <w:rFonts w:cstheme="minorHAnsi"/>
        </w:rPr>
        <w:t>−</w:t>
      </w:r>
      <w:r w:rsidR="00670CC4" w:rsidRPr="00460261">
        <w:t>894</w:t>
      </w:r>
      <w:r w:rsidR="00AA24E0" w:rsidRPr="00460261">
        <w:t xml:space="preserve">.)  </w:t>
      </w:r>
      <w:r w:rsidR="00CC4B3E" w:rsidRPr="00460261">
        <w:t>We find its discussion dispositive.</w:t>
      </w:r>
    </w:p>
    <w:p w14:paraId="49B09125" w14:textId="48346479" w:rsidR="00A02D53" w:rsidRPr="00460261" w:rsidRDefault="00670CC4" w:rsidP="00985DC2">
      <w:r w:rsidRPr="00460261">
        <w:tab/>
        <w:t xml:space="preserve">The surety in </w:t>
      </w:r>
      <w:r w:rsidRPr="00460261">
        <w:rPr>
          <w:i/>
        </w:rPr>
        <w:t xml:space="preserve">Wm. R. Clarke </w:t>
      </w:r>
      <w:r w:rsidRPr="00460261">
        <w:t xml:space="preserve">argued that no liability accrued under the payment bond </w:t>
      </w:r>
      <w:r w:rsidR="00013F1A" w:rsidRPr="00460261">
        <w:t xml:space="preserve">until </w:t>
      </w:r>
      <w:r w:rsidRPr="00460261">
        <w:t>the direct contractor was in default of its payment obligation under the subcontract</w:t>
      </w:r>
      <w:r w:rsidR="00013F1A" w:rsidRPr="00460261">
        <w:t>.  The subcontract</w:t>
      </w:r>
      <w:r w:rsidR="00B66EC7">
        <w:t>'</w:t>
      </w:r>
      <w:r w:rsidR="00CC4B3E" w:rsidRPr="00460261">
        <w:t xml:space="preserve">s </w:t>
      </w:r>
      <w:r w:rsidR="00B66EC7">
        <w:t>"</w:t>
      </w:r>
      <w:r w:rsidR="00CC4B3E" w:rsidRPr="00460261">
        <w:t>pay</w:t>
      </w:r>
      <w:r w:rsidR="00DD009D">
        <w:t xml:space="preserve"> </w:t>
      </w:r>
      <w:r w:rsidR="00CC4B3E" w:rsidRPr="00460261">
        <w:t>if</w:t>
      </w:r>
      <w:r w:rsidR="00DD009D">
        <w:t xml:space="preserve"> </w:t>
      </w:r>
      <w:r w:rsidR="00CC4B3E" w:rsidRPr="00460261">
        <w:t>paid</w:t>
      </w:r>
      <w:r w:rsidR="00B66EC7">
        <w:t>"</w:t>
      </w:r>
      <w:r w:rsidR="00CC4B3E" w:rsidRPr="00460261">
        <w:t xml:space="preserve"> provision</w:t>
      </w:r>
      <w:r w:rsidR="00013F1A" w:rsidRPr="00460261">
        <w:t xml:space="preserve"> conditioned payment on the direct contractor receiving payment from the owner</w:t>
      </w:r>
      <w:r w:rsidRPr="00460261">
        <w:t>.  Because no payment had been received, the surety argued, no bond liability accrued.  (</w:t>
      </w:r>
      <w:r w:rsidRPr="00460261">
        <w:rPr>
          <w:i/>
        </w:rPr>
        <w:t>Wm. R. Clarke</w:t>
      </w:r>
      <w:r w:rsidRPr="00460261">
        <w:t>,</w:t>
      </w:r>
      <w:r w:rsidRPr="00460261">
        <w:rPr>
          <w:i/>
        </w:rPr>
        <w:t xml:space="preserve"> supra</w:t>
      </w:r>
      <w:r w:rsidRPr="00460261">
        <w:t>,</w:t>
      </w:r>
      <w:r w:rsidRPr="00460261">
        <w:rPr>
          <w:i/>
        </w:rPr>
        <w:t xml:space="preserve"> </w:t>
      </w:r>
      <w:r w:rsidRPr="00460261">
        <w:t xml:space="preserve">15 Cal.4th at p. 893.)  </w:t>
      </w:r>
      <w:r w:rsidR="00B66EC7">
        <w:t>"</w:t>
      </w:r>
      <w:r w:rsidR="00AA24E0" w:rsidRPr="00460261">
        <w:t>The</w:t>
      </w:r>
      <w:r w:rsidR="005C1FCF" w:rsidRPr="00460261">
        <w:t xml:space="preserve"> fallacy of this reasoning,</w:t>
      </w:r>
      <w:r w:rsidR="00B66EC7">
        <w:t>"</w:t>
      </w:r>
      <w:r w:rsidR="005C1FCF" w:rsidRPr="00460261">
        <w:t xml:space="preserve"> our</w:t>
      </w:r>
      <w:r w:rsidR="00AA24E0" w:rsidRPr="00460261">
        <w:t xml:space="preserve"> </w:t>
      </w:r>
      <w:r w:rsidR="005C1FCF" w:rsidRPr="00460261">
        <w:t>Supreme C</w:t>
      </w:r>
      <w:r w:rsidR="00AA24E0" w:rsidRPr="00460261">
        <w:t xml:space="preserve">ourt explained, was that it </w:t>
      </w:r>
      <w:r w:rsidR="00AA24E0" w:rsidRPr="00460261">
        <w:lastRenderedPageBreak/>
        <w:t>considered only the direct contractor</w:t>
      </w:r>
      <w:r w:rsidR="00B66EC7">
        <w:t>'</w:t>
      </w:r>
      <w:r w:rsidR="00AA24E0" w:rsidRPr="00460261">
        <w:t>s obligation under the subcontracts while ignoring its independent liability under the payment bond.  (</w:t>
      </w:r>
      <w:r w:rsidR="00AA24E0" w:rsidRPr="00460261">
        <w:rPr>
          <w:i/>
        </w:rPr>
        <w:t>Ibid.</w:t>
      </w:r>
      <w:r w:rsidR="00AA24E0" w:rsidRPr="00460261">
        <w:t xml:space="preserve">)  </w:t>
      </w:r>
      <w:r w:rsidR="00CC4B3E" w:rsidRPr="00460261">
        <w:t xml:space="preserve">As an older case explains, </w:t>
      </w:r>
      <w:r w:rsidR="00B66EC7">
        <w:t>"</w:t>
      </w:r>
      <w:r w:rsidR="00CC4B3E" w:rsidRPr="00460261">
        <w:t>[t]</w:t>
      </w:r>
      <w:r w:rsidR="00765ABB" w:rsidRPr="00460261">
        <w:t>he action upon the statutory bond is not in any sense based upon the personal liability of the contractor but is based upon the obligation of the bond, since the bond provides a separate and distinct statutory remedy.  The obligation of the bond, therefore, is enforceable without reference to any contract between the contractor and the [subcontractor or] materialman.</w:t>
      </w:r>
      <w:r w:rsidR="00B66EC7">
        <w:t>"</w:t>
      </w:r>
      <w:r w:rsidR="00765ABB" w:rsidRPr="00460261">
        <w:t xml:space="preserve">  </w:t>
      </w:r>
      <w:r w:rsidR="00CC4B3E" w:rsidRPr="00460261">
        <w:t>(</w:t>
      </w:r>
      <w:proofErr w:type="spellStart"/>
      <w:r w:rsidR="00CC4B3E" w:rsidRPr="00460261">
        <w:rPr>
          <w:i/>
        </w:rPr>
        <w:t>Pneucrete</w:t>
      </w:r>
      <w:proofErr w:type="spellEnd"/>
      <w:r w:rsidR="00CC4B3E" w:rsidRPr="00460261">
        <w:t>,</w:t>
      </w:r>
      <w:r w:rsidR="00CC4B3E" w:rsidRPr="00460261">
        <w:rPr>
          <w:i/>
        </w:rPr>
        <w:t xml:space="preserve"> supra</w:t>
      </w:r>
      <w:r w:rsidR="00CC4B3E" w:rsidRPr="00460261">
        <w:t>,</w:t>
      </w:r>
      <w:r w:rsidR="00CC4B3E" w:rsidRPr="00460261">
        <w:rPr>
          <w:i/>
        </w:rPr>
        <w:t xml:space="preserve"> </w:t>
      </w:r>
      <w:r w:rsidR="00CC4B3E" w:rsidRPr="00460261">
        <w:t>7 Cal.App.2d at p. 73</w:t>
      </w:r>
      <w:r w:rsidR="0033708B" w:rsidRPr="00460261">
        <w:t>8</w:t>
      </w:r>
      <w:r w:rsidR="00CC4B3E" w:rsidRPr="00460261">
        <w:t>.)</w:t>
      </w:r>
    </w:p>
    <w:p w14:paraId="15BD04A5" w14:textId="375D2344" w:rsidR="00D440F0" w:rsidRPr="00460261" w:rsidRDefault="00D440F0" w:rsidP="00985DC2">
      <w:r w:rsidRPr="00460261">
        <w:tab/>
      </w:r>
      <w:r w:rsidRPr="00460261">
        <w:rPr>
          <w:i/>
        </w:rPr>
        <w:t>Los Angeles Stone Co. v. National Sur</w:t>
      </w:r>
      <w:r w:rsidR="00754D37" w:rsidRPr="00460261">
        <w:rPr>
          <w:i/>
        </w:rPr>
        <w:t>ety</w:t>
      </w:r>
      <w:r w:rsidRPr="00460261">
        <w:rPr>
          <w:i/>
        </w:rPr>
        <w:t xml:space="preserve"> Co.</w:t>
      </w:r>
      <w:r w:rsidRPr="00460261">
        <w:t xml:space="preserve"> (1918) 178 Cal. 247</w:t>
      </w:r>
      <w:r w:rsidR="00CC4B3E" w:rsidRPr="00460261">
        <w:t>, a case not cited by the parties, provides additional guidance.  T</w:t>
      </w:r>
      <w:r w:rsidR="001A3C03" w:rsidRPr="00460261">
        <w:t xml:space="preserve">he City of </w:t>
      </w:r>
      <w:r w:rsidR="00A11FA8" w:rsidRPr="00460261">
        <w:t xml:space="preserve">Los Angeles entered a public works contract </w:t>
      </w:r>
      <w:r w:rsidR="00D51192" w:rsidRPr="00460261">
        <w:t xml:space="preserve">to </w:t>
      </w:r>
      <w:r w:rsidR="00A11FA8" w:rsidRPr="00460261">
        <w:t xml:space="preserve">improve a road.  </w:t>
      </w:r>
      <w:r w:rsidR="001A3C03" w:rsidRPr="00460261">
        <w:t>A</w:t>
      </w:r>
      <w:r w:rsidR="00A11FA8" w:rsidRPr="00460261">
        <w:t xml:space="preserve"> </w:t>
      </w:r>
      <w:r w:rsidR="0051792E" w:rsidRPr="00460261">
        <w:t>payment bond identified</w:t>
      </w:r>
      <w:r w:rsidR="001A3C03" w:rsidRPr="00460261">
        <w:t xml:space="preserve"> the prime contract and </w:t>
      </w:r>
      <w:r w:rsidR="0051792E" w:rsidRPr="00460261">
        <w:t xml:space="preserve">required the surety to pay for labor and materials provided </w:t>
      </w:r>
      <w:r w:rsidR="00A11FA8" w:rsidRPr="00460261">
        <w:t xml:space="preserve">if </w:t>
      </w:r>
      <w:r w:rsidR="00D51192" w:rsidRPr="00460261">
        <w:t xml:space="preserve">the direct contractor </w:t>
      </w:r>
      <w:r w:rsidR="00A11FA8" w:rsidRPr="00460261">
        <w:t>failed to pay.</w:t>
      </w:r>
      <w:r w:rsidR="00662D6E" w:rsidRPr="00460261">
        <w:t xml:space="preserve">  (</w:t>
      </w:r>
      <w:r w:rsidR="00662D6E" w:rsidRPr="00460261">
        <w:rPr>
          <w:i/>
        </w:rPr>
        <w:t>Id.</w:t>
      </w:r>
      <w:r w:rsidR="00662D6E" w:rsidRPr="00460261">
        <w:t xml:space="preserve"> at pp. 248</w:t>
      </w:r>
      <w:r w:rsidR="00662D6E" w:rsidRPr="00460261">
        <w:rPr>
          <w:rFonts w:cstheme="minorHAnsi"/>
        </w:rPr>
        <w:t>−</w:t>
      </w:r>
      <w:r w:rsidR="00662D6E" w:rsidRPr="00460261">
        <w:t>249.)  The prime contract required the project to be completed by a specific date.  (</w:t>
      </w:r>
      <w:r w:rsidR="00662D6E" w:rsidRPr="00460261">
        <w:rPr>
          <w:i/>
        </w:rPr>
        <w:t>Id.</w:t>
      </w:r>
      <w:r w:rsidR="00662D6E" w:rsidRPr="00460261">
        <w:t xml:space="preserve"> at p. 249.)  Thus, when </w:t>
      </w:r>
      <w:r w:rsidR="00064EE3" w:rsidRPr="00460261">
        <w:t>a material supplier</w:t>
      </w:r>
      <w:r w:rsidR="00662D6E" w:rsidRPr="00460261">
        <w:t xml:space="preserve"> s</w:t>
      </w:r>
      <w:r w:rsidR="0051792E" w:rsidRPr="00460261">
        <w:t xml:space="preserve">ought to recover on the </w:t>
      </w:r>
      <w:r w:rsidR="00CC4B3E" w:rsidRPr="00460261">
        <w:t xml:space="preserve">payment </w:t>
      </w:r>
      <w:r w:rsidR="00662D6E" w:rsidRPr="00460261">
        <w:t xml:space="preserve">bond, the surety argued it was not liable as to </w:t>
      </w:r>
      <w:r w:rsidR="00064EE3" w:rsidRPr="00460261">
        <w:t>materials supplied</w:t>
      </w:r>
      <w:r w:rsidR="00662D6E" w:rsidRPr="00460261">
        <w:t xml:space="preserve"> </w:t>
      </w:r>
      <w:r w:rsidR="00662D6E" w:rsidRPr="00460261">
        <w:rPr>
          <w:i/>
        </w:rPr>
        <w:t>after</w:t>
      </w:r>
      <w:r w:rsidR="00662D6E" w:rsidRPr="00460261">
        <w:t xml:space="preserve"> the deadline</w:t>
      </w:r>
      <w:r w:rsidR="0051792E" w:rsidRPr="00460261">
        <w:t>.</w:t>
      </w:r>
      <w:r w:rsidR="00662D6E" w:rsidRPr="00460261">
        <w:t xml:space="preserve">  (</w:t>
      </w:r>
      <w:r w:rsidR="00662D6E" w:rsidRPr="00460261">
        <w:rPr>
          <w:i/>
        </w:rPr>
        <w:t>Ibid.</w:t>
      </w:r>
      <w:r w:rsidR="00662D6E" w:rsidRPr="00460261">
        <w:t xml:space="preserve">)  </w:t>
      </w:r>
      <w:r w:rsidR="0076405D" w:rsidRPr="00460261">
        <w:t xml:space="preserve">The Supreme Court rejected that </w:t>
      </w:r>
      <w:r w:rsidR="001A3C03" w:rsidRPr="00460261">
        <w:t>argument,</w:t>
      </w:r>
      <w:r w:rsidR="00BA66AD" w:rsidRPr="00460261">
        <w:t xml:space="preserve"> explaining that the surety</w:t>
      </w:r>
      <w:r w:rsidR="00B66EC7">
        <w:t>'</w:t>
      </w:r>
      <w:r w:rsidR="00BA66AD" w:rsidRPr="00460261">
        <w:t xml:space="preserve">s </w:t>
      </w:r>
      <w:r w:rsidR="001A3C03" w:rsidRPr="00460261">
        <w:t xml:space="preserve">bond </w:t>
      </w:r>
      <w:r w:rsidR="00BA66AD" w:rsidRPr="00460261">
        <w:t>obligation</w:t>
      </w:r>
      <w:r w:rsidR="001A3C03" w:rsidRPr="00460261">
        <w:t xml:space="preserve"> was independent of the contract</w:t>
      </w:r>
      <w:r w:rsidR="00BA66AD" w:rsidRPr="00460261">
        <w:t xml:space="preserve">.  </w:t>
      </w:r>
      <w:r w:rsidR="001A3C03" w:rsidRPr="00460261">
        <w:t>(</w:t>
      </w:r>
      <w:r w:rsidR="001A3C03" w:rsidRPr="00460261">
        <w:rPr>
          <w:i/>
        </w:rPr>
        <w:t>Id.</w:t>
      </w:r>
      <w:r w:rsidR="001A3C03" w:rsidRPr="00460261">
        <w:t xml:space="preserve"> at pp. 250</w:t>
      </w:r>
      <w:r w:rsidR="001A3C03" w:rsidRPr="00460261">
        <w:rPr>
          <w:rFonts w:cstheme="minorHAnsi"/>
        </w:rPr>
        <w:t>−</w:t>
      </w:r>
      <w:r w:rsidR="001A3C03" w:rsidRPr="00460261">
        <w:t xml:space="preserve">251.)  </w:t>
      </w:r>
      <w:r w:rsidR="00B66EC7">
        <w:t>"</w:t>
      </w:r>
      <w:r w:rsidR="00BA66AD" w:rsidRPr="00460261">
        <w:t>The covenant is that in case the [bond] principal fails, not in the performance of his contract with the city but in his obligations, express or implied, to pay for materials furnished in doing the work described in his contract with the city, the surety will pay them.</w:t>
      </w:r>
      <w:r w:rsidR="00B66EC7">
        <w:t>"</w:t>
      </w:r>
      <w:r w:rsidR="00BA66AD" w:rsidRPr="00460261">
        <w:t xml:space="preserve">  (</w:t>
      </w:r>
      <w:r w:rsidR="00BA66AD" w:rsidRPr="00460261">
        <w:rPr>
          <w:i/>
        </w:rPr>
        <w:t>Id.</w:t>
      </w:r>
      <w:r w:rsidR="00BA66AD" w:rsidRPr="00460261">
        <w:t xml:space="preserve"> at p. 250.)</w:t>
      </w:r>
      <w:r w:rsidR="00064EE3" w:rsidRPr="00460261">
        <w:t xml:space="preserve">  </w:t>
      </w:r>
      <w:proofErr w:type="gramStart"/>
      <w:r w:rsidR="001A3C03" w:rsidRPr="00460261">
        <w:t>Insofar as</w:t>
      </w:r>
      <w:proofErr w:type="gramEnd"/>
      <w:r w:rsidR="00064EE3" w:rsidRPr="00460261">
        <w:t xml:space="preserve"> the direct contractor incurred debt for labor and materials furnished in performing work</w:t>
      </w:r>
      <w:r w:rsidR="0051792E" w:rsidRPr="00460261">
        <w:t xml:space="preserve"> for the project</w:t>
      </w:r>
      <w:r w:rsidR="00064EE3" w:rsidRPr="00460261">
        <w:t xml:space="preserve">, the surety was liable </w:t>
      </w:r>
      <w:r w:rsidR="0085272A" w:rsidRPr="00460261">
        <w:t>if it failed</w:t>
      </w:r>
      <w:r w:rsidR="00064EE3" w:rsidRPr="00460261">
        <w:t xml:space="preserve"> to pay.  (</w:t>
      </w:r>
      <w:r w:rsidR="00064EE3" w:rsidRPr="00460261">
        <w:rPr>
          <w:i/>
        </w:rPr>
        <w:t>Ibid.</w:t>
      </w:r>
      <w:r w:rsidR="00064EE3" w:rsidRPr="00460261">
        <w:t>)</w:t>
      </w:r>
    </w:p>
    <w:p w14:paraId="0F67FD5E" w14:textId="5E76FEFB" w:rsidR="00FB4EF1" w:rsidRPr="00460261" w:rsidRDefault="00A02D53" w:rsidP="00985DC2">
      <w:r w:rsidRPr="00460261">
        <w:lastRenderedPageBreak/>
        <w:tab/>
      </w:r>
      <w:r w:rsidR="00B81086" w:rsidRPr="00460261">
        <w:t xml:space="preserve">Here, as in </w:t>
      </w:r>
      <w:r w:rsidR="00B81086" w:rsidRPr="00460261">
        <w:rPr>
          <w:i/>
        </w:rPr>
        <w:t>Wm. R. Clarke</w:t>
      </w:r>
      <w:r w:rsidR="00CC4B3E" w:rsidRPr="00460261">
        <w:t>,</w:t>
      </w:r>
      <w:r w:rsidR="00DF48F0" w:rsidRPr="00460261">
        <w:rPr>
          <w:i/>
        </w:rPr>
        <w:t xml:space="preserve"> </w:t>
      </w:r>
      <w:r w:rsidR="00B81086" w:rsidRPr="00460261">
        <w:t xml:space="preserve">the payment bond </w:t>
      </w:r>
      <w:r w:rsidR="001F6B9D" w:rsidRPr="00460261">
        <w:t>referred to Clark</w:t>
      </w:r>
      <w:r w:rsidR="00B66EC7">
        <w:t>'</w:t>
      </w:r>
      <w:r w:rsidR="001F6B9D" w:rsidRPr="00460261">
        <w:t xml:space="preserve">s </w:t>
      </w:r>
      <w:r w:rsidR="008A3ABC" w:rsidRPr="00460261">
        <w:t xml:space="preserve">prime </w:t>
      </w:r>
      <w:r w:rsidR="001F6B9D" w:rsidRPr="00460261">
        <w:t>contract with the District but did not mention</w:t>
      </w:r>
      <w:r w:rsidR="00B81086" w:rsidRPr="00460261">
        <w:t xml:space="preserve"> the subcontract executed </w:t>
      </w:r>
      <w:r w:rsidR="002973A6" w:rsidRPr="00460261">
        <w:t>a few months</w:t>
      </w:r>
      <w:r w:rsidR="00B81086" w:rsidRPr="00460261">
        <w:t xml:space="preserve"> later between Clark and </w:t>
      </w:r>
      <w:proofErr w:type="spellStart"/>
      <w:r w:rsidR="00B81086" w:rsidRPr="00460261">
        <w:t>Crosno</w:t>
      </w:r>
      <w:proofErr w:type="spellEnd"/>
      <w:r w:rsidR="00B81086" w:rsidRPr="00460261">
        <w:t>.  (</w:t>
      </w:r>
      <w:r w:rsidR="00B81086" w:rsidRPr="00460261">
        <w:rPr>
          <w:i/>
        </w:rPr>
        <w:t>Wm. R. Clarke</w:t>
      </w:r>
      <w:r w:rsidR="00B81086" w:rsidRPr="00460261">
        <w:t>,</w:t>
      </w:r>
      <w:r w:rsidR="00B81086" w:rsidRPr="00460261">
        <w:rPr>
          <w:i/>
        </w:rPr>
        <w:t xml:space="preserve"> supra</w:t>
      </w:r>
      <w:r w:rsidR="00B81086" w:rsidRPr="00460261">
        <w:t>, 15 Cal.4th</w:t>
      </w:r>
      <w:r w:rsidR="00B81086" w:rsidRPr="00460261">
        <w:rPr>
          <w:i/>
        </w:rPr>
        <w:t xml:space="preserve"> </w:t>
      </w:r>
      <w:r w:rsidR="00B81086" w:rsidRPr="00460261">
        <w:t>at pp. 893</w:t>
      </w:r>
      <w:r w:rsidR="00B81086" w:rsidRPr="00460261">
        <w:rPr>
          <w:rFonts w:cstheme="minorHAnsi"/>
        </w:rPr>
        <w:t>−</w:t>
      </w:r>
      <w:r w:rsidR="00B81086" w:rsidRPr="00460261">
        <w:t xml:space="preserve">894.) </w:t>
      </w:r>
      <w:r w:rsidR="002973A6" w:rsidRPr="00460261">
        <w:t xml:space="preserve"> </w:t>
      </w:r>
      <w:r w:rsidR="008A3ABC" w:rsidRPr="00460261">
        <w:t>The bond obligation is broad, imposing liability on Clark and Travelers if Clark failed to pay a</w:t>
      </w:r>
      <w:r w:rsidR="00885696" w:rsidRPr="00460261">
        <w:t>ny</w:t>
      </w:r>
      <w:r w:rsidR="008A3ABC" w:rsidRPr="00460261">
        <w:t xml:space="preserve"> claimant (§ 9100) with respect </w:t>
      </w:r>
      <w:r w:rsidR="00B66EC7">
        <w:t>"</w:t>
      </w:r>
      <w:r w:rsidR="008A3ABC" w:rsidRPr="00460261">
        <w:t>to work or labor performed under the contract.</w:t>
      </w:r>
      <w:r w:rsidR="00B66EC7">
        <w:t>"</w:t>
      </w:r>
      <w:r w:rsidR="008A3ABC" w:rsidRPr="00460261">
        <w:t xml:space="preserve"> </w:t>
      </w:r>
      <w:r w:rsidR="000A47A5" w:rsidRPr="00460261">
        <w:t xml:space="preserve"> </w:t>
      </w:r>
      <w:r w:rsidR="00B81086" w:rsidRPr="00460261">
        <w:t xml:space="preserve">As in </w:t>
      </w:r>
      <w:r w:rsidR="00B81086" w:rsidRPr="00460261">
        <w:rPr>
          <w:i/>
        </w:rPr>
        <w:t>Wm. R. Clarke</w:t>
      </w:r>
      <w:r w:rsidR="00B81086" w:rsidRPr="00460261">
        <w:t>, Traveler</w:t>
      </w:r>
      <w:r w:rsidR="00B66EC7">
        <w:t>'</w:t>
      </w:r>
      <w:r w:rsidR="00B81086" w:rsidRPr="00460261">
        <w:t>s obligation as the bond surety is independent of the pay-when-pa</w:t>
      </w:r>
      <w:r w:rsidR="001A3C03" w:rsidRPr="00460261">
        <w:t>id provision in the subcontract.</w:t>
      </w:r>
      <w:r w:rsidR="00EF5726" w:rsidRPr="00460261">
        <w:t xml:space="preserve">  (</w:t>
      </w:r>
      <w:r w:rsidR="00EF5726" w:rsidRPr="00460261">
        <w:rPr>
          <w:i/>
        </w:rPr>
        <w:t>Wm</w:t>
      </w:r>
      <w:r w:rsidR="00EC660A" w:rsidRPr="00460261">
        <w:rPr>
          <w:i/>
        </w:rPr>
        <w:t>. </w:t>
      </w:r>
      <w:r w:rsidR="00EF5726" w:rsidRPr="00460261">
        <w:rPr>
          <w:i/>
        </w:rPr>
        <w:t>R. Clarke</w:t>
      </w:r>
      <w:r w:rsidR="00EF5726" w:rsidRPr="00460261">
        <w:t>, at pp. 893</w:t>
      </w:r>
      <w:r w:rsidR="00EF5726" w:rsidRPr="00460261">
        <w:rPr>
          <w:rFonts w:cstheme="minorHAnsi"/>
        </w:rPr>
        <w:t>−</w:t>
      </w:r>
      <w:r w:rsidR="00EF5726" w:rsidRPr="00460261">
        <w:t>894.)</w:t>
      </w:r>
    </w:p>
    <w:p w14:paraId="236FC74E" w14:textId="1BCB7D38" w:rsidR="006D0E41" w:rsidRPr="00460261" w:rsidRDefault="00BD547E" w:rsidP="00985DC2">
      <w:r w:rsidRPr="00460261">
        <w:tab/>
        <w:t xml:space="preserve">As </w:t>
      </w:r>
      <w:proofErr w:type="spellStart"/>
      <w:r w:rsidRPr="00460261">
        <w:t>Crosno</w:t>
      </w:r>
      <w:proofErr w:type="spellEnd"/>
      <w:r w:rsidRPr="00460261">
        <w:t xml:space="preserve"> suggests, Travelers advances an argument favored by the three dissenting justices in </w:t>
      </w:r>
      <w:r w:rsidRPr="00460261">
        <w:rPr>
          <w:i/>
        </w:rPr>
        <w:t>Wm. R. Clarke</w:t>
      </w:r>
      <w:r w:rsidRPr="00460261">
        <w:t>.  (</w:t>
      </w:r>
      <w:r w:rsidRPr="00460261">
        <w:rPr>
          <w:i/>
        </w:rPr>
        <w:t>Wm. R. Clarke</w:t>
      </w:r>
      <w:r w:rsidRPr="00460261">
        <w:t>,</w:t>
      </w:r>
      <w:r w:rsidRPr="00460261">
        <w:rPr>
          <w:i/>
        </w:rPr>
        <w:t xml:space="preserve"> supra</w:t>
      </w:r>
      <w:r w:rsidRPr="00460261">
        <w:t>,</w:t>
      </w:r>
      <w:r w:rsidRPr="00460261">
        <w:rPr>
          <w:i/>
        </w:rPr>
        <w:t xml:space="preserve"> </w:t>
      </w:r>
      <w:r w:rsidRPr="00460261">
        <w:t xml:space="preserve">15 Cal.4th at pp. 903−907 </w:t>
      </w:r>
      <w:r w:rsidR="00530058" w:rsidRPr="00460261">
        <w:t xml:space="preserve">(dis. </w:t>
      </w:r>
      <w:proofErr w:type="spellStart"/>
      <w:r w:rsidR="00530058" w:rsidRPr="00460261">
        <w:t>opn</w:t>
      </w:r>
      <w:proofErr w:type="spellEnd"/>
      <w:r w:rsidR="00530058" w:rsidRPr="00460261">
        <w:t xml:space="preserve">. of </w:t>
      </w:r>
      <w:r w:rsidRPr="00460261">
        <w:t>Chin, J.</w:t>
      </w:r>
      <w:r w:rsidR="00530058" w:rsidRPr="00460261">
        <w:t>)</w:t>
      </w:r>
      <w:r w:rsidRPr="00460261">
        <w:t>.)  The</w:t>
      </w:r>
      <w:r w:rsidR="00CC4B3E" w:rsidRPr="00460261">
        <w:t xml:space="preserve">y </w:t>
      </w:r>
      <w:r w:rsidR="001523C8">
        <w:t>maintained</w:t>
      </w:r>
      <w:r w:rsidRPr="00460261">
        <w:t xml:space="preserve"> that the surety was not liable under the</w:t>
      </w:r>
      <w:r w:rsidR="00332C7E" w:rsidRPr="00460261">
        <w:t xml:space="preserve"> payment</w:t>
      </w:r>
      <w:r w:rsidRPr="00460261">
        <w:t xml:space="preserve"> bond unless the direct contractor </w:t>
      </w:r>
      <w:r w:rsidR="00332C7E" w:rsidRPr="00460261">
        <w:t>defaulted under</w:t>
      </w:r>
      <w:r w:rsidRPr="00460261">
        <w:t xml:space="preserve"> the subcontract.  (</w:t>
      </w:r>
      <w:r w:rsidRPr="00460261">
        <w:rPr>
          <w:i/>
        </w:rPr>
        <w:t>Id.</w:t>
      </w:r>
      <w:r w:rsidRPr="00460261">
        <w:t xml:space="preserve"> at p. 903</w:t>
      </w:r>
      <w:r w:rsidR="00530058" w:rsidRPr="00460261">
        <w:t xml:space="preserve"> (dis. </w:t>
      </w:r>
      <w:proofErr w:type="spellStart"/>
      <w:r w:rsidR="00530058" w:rsidRPr="00460261">
        <w:t>opn</w:t>
      </w:r>
      <w:proofErr w:type="spellEnd"/>
      <w:r w:rsidR="00530058" w:rsidRPr="00460261">
        <w:t>. of Chin, J.)</w:t>
      </w:r>
      <w:r w:rsidRPr="00460261">
        <w:t xml:space="preserve">.)  </w:t>
      </w:r>
      <w:r w:rsidR="00CC4B3E" w:rsidRPr="00460261">
        <w:t>B</w:t>
      </w:r>
      <w:r w:rsidR="003E7DE0" w:rsidRPr="00460261">
        <w:t>ecause the owner had not p</w:t>
      </w:r>
      <w:r w:rsidR="00CC4B3E" w:rsidRPr="00460261">
        <w:t>aid the direct contractor, the dissent reasoned</w:t>
      </w:r>
      <w:r w:rsidR="001C4327" w:rsidRPr="00460261">
        <w:t xml:space="preserve"> that</w:t>
      </w:r>
      <w:r w:rsidR="00CC4B3E" w:rsidRPr="00460261">
        <w:t xml:space="preserve"> the direct contractor was not in</w:t>
      </w:r>
      <w:r w:rsidR="003E7DE0" w:rsidRPr="00460261">
        <w:t xml:space="preserve"> default.  (</w:t>
      </w:r>
      <w:r w:rsidR="003E7DE0" w:rsidRPr="00460261">
        <w:rPr>
          <w:i/>
        </w:rPr>
        <w:t>Ibid.</w:t>
      </w:r>
      <w:r w:rsidR="003E7DE0" w:rsidRPr="00460261">
        <w:t>)  In the dissent</w:t>
      </w:r>
      <w:r w:rsidR="00B66EC7">
        <w:t>'</w:t>
      </w:r>
      <w:r w:rsidR="003E7DE0" w:rsidRPr="00460261">
        <w:t>s</w:t>
      </w:r>
      <w:r w:rsidR="006D0E41" w:rsidRPr="00460261">
        <w:t xml:space="preserve"> view, </w:t>
      </w:r>
      <w:r w:rsidR="00B66EC7">
        <w:t>"</w:t>
      </w:r>
      <w:r w:rsidR="006D0E41" w:rsidRPr="00460261">
        <w:t>[t]</w:t>
      </w:r>
      <w:r w:rsidRPr="00460261">
        <w:t>he bond did not create an obligation on the part of the principal (or surety) divorced from any underlying obligation under either the general contract or any of the subcontracts.</w:t>
      </w:r>
      <w:r w:rsidR="00B66EC7">
        <w:t>"</w:t>
      </w:r>
      <w:r w:rsidRPr="00460261">
        <w:t xml:space="preserve">  (</w:t>
      </w:r>
      <w:r w:rsidRPr="00460261">
        <w:rPr>
          <w:i/>
        </w:rPr>
        <w:t>Id.</w:t>
      </w:r>
      <w:r w:rsidRPr="00460261">
        <w:t xml:space="preserve"> at p. 905</w:t>
      </w:r>
      <w:r w:rsidR="00530058" w:rsidRPr="00460261">
        <w:t xml:space="preserve"> (dis. </w:t>
      </w:r>
      <w:proofErr w:type="spellStart"/>
      <w:r w:rsidR="00530058" w:rsidRPr="00460261">
        <w:t>opn</w:t>
      </w:r>
      <w:proofErr w:type="spellEnd"/>
      <w:r w:rsidR="00530058" w:rsidRPr="00460261">
        <w:t>. of Chin, J.)</w:t>
      </w:r>
      <w:r w:rsidRPr="00460261">
        <w:t xml:space="preserve">.)  </w:t>
      </w:r>
      <w:r w:rsidR="00CC4B3E" w:rsidRPr="00460261">
        <w:t>T</w:t>
      </w:r>
      <w:r w:rsidR="006D0E41" w:rsidRPr="00460261">
        <w:t xml:space="preserve">he dissent </w:t>
      </w:r>
      <w:r w:rsidR="00CC4B3E" w:rsidRPr="00460261">
        <w:t>also invoked</w:t>
      </w:r>
      <w:r w:rsidR="00332C7E" w:rsidRPr="00460261">
        <w:t xml:space="preserve"> freedom of contract, stating</w:t>
      </w:r>
      <w:r w:rsidRPr="00460261">
        <w:t xml:space="preserve"> the </w:t>
      </w:r>
      <w:r w:rsidR="00B66EC7">
        <w:t>"</w:t>
      </w:r>
      <w:r w:rsidRPr="00460261">
        <w:t>parties validly could and did agree among themselves that each would assume equally the risk of owner default . . . .</w:t>
      </w:r>
      <w:r w:rsidR="00B66EC7">
        <w:t>"</w:t>
      </w:r>
      <w:r w:rsidRPr="00460261">
        <w:t xml:space="preserve">  (</w:t>
      </w:r>
      <w:r w:rsidRPr="00460261">
        <w:rPr>
          <w:i/>
        </w:rPr>
        <w:t>Id.</w:t>
      </w:r>
      <w:r w:rsidRPr="00460261">
        <w:t xml:space="preserve"> at p. 908</w:t>
      </w:r>
      <w:r w:rsidR="00530058" w:rsidRPr="00460261">
        <w:t xml:space="preserve"> (dis. </w:t>
      </w:r>
      <w:proofErr w:type="spellStart"/>
      <w:r w:rsidR="00530058" w:rsidRPr="00460261">
        <w:t>opn</w:t>
      </w:r>
      <w:proofErr w:type="spellEnd"/>
      <w:r w:rsidR="00530058" w:rsidRPr="00460261">
        <w:t xml:space="preserve">. </w:t>
      </w:r>
      <w:r w:rsidR="00EC660A" w:rsidRPr="00460261">
        <w:t>of </w:t>
      </w:r>
      <w:r w:rsidR="00530058" w:rsidRPr="00460261">
        <w:t>Chin, J.)</w:t>
      </w:r>
      <w:r w:rsidRPr="00460261">
        <w:t xml:space="preserve">.)  </w:t>
      </w:r>
    </w:p>
    <w:p w14:paraId="123DD21B" w14:textId="48890269" w:rsidR="006D0E41" w:rsidRPr="00460261" w:rsidRDefault="006D0E41" w:rsidP="00985DC2">
      <w:r w:rsidRPr="00460261">
        <w:tab/>
      </w:r>
      <w:r w:rsidR="001523C8">
        <w:t>Whatever their merit, the relevant point for our purposes is that</w:t>
      </w:r>
      <w:r w:rsidR="00BD547E" w:rsidRPr="00460261">
        <w:t xml:space="preserve"> the </w:t>
      </w:r>
      <w:r w:rsidR="00BD547E" w:rsidRPr="00460261">
        <w:rPr>
          <w:i/>
        </w:rPr>
        <w:t xml:space="preserve">Wm. R. Clarke </w:t>
      </w:r>
      <w:r w:rsidR="00BD547E" w:rsidRPr="00460261">
        <w:t>majority rejected these arguments, concluding the bond obligation was independent of the subcontract.  (</w:t>
      </w:r>
      <w:r w:rsidR="00332C7E" w:rsidRPr="00460261">
        <w:rPr>
          <w:i/>
        </w:rPr>
        <w:t>Wm. R. Clarke</w:t>
      </w:r>
      <w:r w:rsidR="00332C7E" w:rsidRPr="00460261">
        <w:t>,</w:t>
      </w:r>
      <w:r w:rsidR="00332C7E" w:rsidRPr="00460261">
        <w:rPr>
          <w:i/>
        </w:rPr>
        <w:t xml:space="preserve"> supra</w:t>
      </w:r>
      <w:r w:rsidR="00332C7E" w:rsidRPr="00460261">
        <w:t>,</w:t>
      </w:r>
      <w:r w:rsidR="00332C7E" w:rsidRPr="00460261">
        <w:rPr>
          <w:i/>
        </w:rPr>
        <w:t xml:space="preserve"> </w:t>
      </w:r>
      <w:r w:rsidR="00332C7E" w:rsidRPr="00460261">
        <w:t xml:space="preserve">15 Cal.4th </w:t>
      </w:r>
      <w:r w:rsidR="00BD547E" w:rsidRPr="00460261">
        <w:t>at pp. 893−894</w:t>
      </w:r>
      <w:r w:rsidR="009A139C" w:rsidRPr="00460261">
        <w:t xml:space="preserve">.)  </w:t>
      </w:r>
      <w:r w:rsidRPr="00460261">
        <w:t>As to Travelers</w:t>
      </w:r>
      <w:r w:rsidR="00B66EC7">
        <w:t>'</w:t>
      </w:r>
      <w:r w:rsidRPr="00460261">
        <w:t xml:space="preserve">s </w:t>
      </w:r>
      <w:r w:rsidR="001523C8">
        <w:t>contention</w:t>
      </w:r>
      <w:r w:rsidRPr="00460261">
        <w:t xml:space="preserve"> that </w:t>
      </w:r>
      <w:r w:rsidRPr="00460261">
        <w:rPr>
          <w:i/>
        </w:rPr>
        <w:t xml:space="preserve">Wm. R. Clarke </w:t>
      </w:r>
      <w:r w:rsidR="00B66EC7">
        <w:t>"</w:t>
      </w:r>
      <w:r w:rsidRPr="00460261">
        <w:t xml:space="preserve">expressly recognized that the lien or bond claimant </w:t>
      </w:r>
      <w:r w:rsidRPr="00460261">
        <w:lastRenderedPageBreak/>
        <w:t>must</w:t>
      </w:r>
      <w:r w:rsidRPr="00460261">
        <w:rPr>
          <w:rFonts w:cstheme="minorHAnsi"/>
        </w:rPr>
        <w:t>—</w:t>
      </w:r>
      <w:r w:rsidRPr="00460261">
        <w:t>without reference to the lien or bond</w:t>
      </w:r>
      <w:r w:rsidRPr="00460261">
        <w:rPr>
          <w:rFonts w:cstheme="minorHAnsi"/>
        </w:rPr>
        <w:t>—</w:t>
      </w:r>
      <w:r w:rsidRPr="00460261">
        <w:t>establish a right to payment</w:t>
      </w:r>
      <w:r w:rsidR="00EA61AF" w:rsidRPr="00460261">
        <w:t>,</w:t>
      </w:r>
      <w:r w:rsidR="00B66EC7">
        <w:t>"</w:t>
      </w:r>
      <w:r w:rsidRPr="00460261">
        <w:t xml:space="preserve"> </w:t>
      </w:r>
      <w:r w:rsidR="009A139C" w:rsidRPr="00460261">
        <w:t xml:space="preserve">the majority explained that this simply requires proof of a valid compensation claim, </w:t>
      </w:r>
      <w:r w:rsidR="009A139C" w:rsidRPr="00460261">
        <w:rPr>
          <w:i/>
        </w:rPr>
        <w:t xml:space="preserve">not </w:t>
      </w:r>
      <w:r w:rsidR="00B66EC7">
        <w:t>"</w:t>
      </w:r>
      <w:r w:rsidRPr="00460261">
        <w:t>a separate payment obligation, contractual or otherwise</w:t>
      </w:r>
      <w:r w:rsidR="00B66EC7">
        <w:t>"</w:t>
      </w:r>
      <w:r w:rsidR="009A139C" w:rsidRPr="00460261">
        <w:t xml:space="preserve"> for payment by the bond principal.</w:t>
      </w:r>
      <w:r w:rsidRPr="00460261">
        <w:t xml:space="preserve">  (</w:t>
      </w:r>
      <w:r w:rsidR="00790EDD" w:rsidRPr="00460261">
        <w:rPr>
          <w:i/>
        </w:rPr>
        <w:t>Wm. R. Clarke</w:t>
      </w:r>
      <w:r w:rsidR="00790EDD" w:rsidRPr="002E69FE">
        <w:t>,</w:t>
      </w:r>
      <w:r w:rsidR="009A139C" w:rsidRPr="00460261">
        <w:t xml:space="preserve"> at p. 896</w:t>
      </w:r>
      <w:r w:rsidRPr="00460261">
        <w:t>.)</w:t>
      </w:r>
      <w:r w:rsidR="003E7DE0" w:rsidRPr="00460261">
        <w:t xml:space="preserve">  The majority likewise rejected </w:t>
      </w:r>
      <w:r w:rsidR="009A139C" w:rsidRPr="00460261">
        <w:t xml:space="preserve">a </w:t>
      </w:r>
      <w:r w:rsidR="00B66EC7">
        <w:t>"</w:t>
      </w:r>
      <w:r w:rsidR="003E7DE0" w:rsidRPr="00460261">
        <w:t>freedom of cont</w:t>
      </w:r>
      <w:r w:rsidR="006A1FF8" w:rsidRPr="00460261">
        <w:t>ract</w:t>
      </w:r>
      <w:r w:rsidR="00B66EC7">
        <w:t>"</w:t>
      </w:r>
      <w:r w:rsidR="006A1FF8" w:rsidRPr="00460261">
        <w:t xml:space="preserve"> argument</w:t>
      </w:r>
      <w:r w:rsidR="009A139C" w:rsidRPr="00460261">
        <w:t xml:space="preserve"> as overridden by the Legislature</w:t>
      </w:r>
      <w:r w:rsidR="00B66EC7">
        <w:t>'</w:t>
      </w:r>
      <w:r w:rsidR="009A139C" w:rsidRPr="00460261">
        <w:t>s careful efforts to constrain subcontractors</w:t>
      </w:r>
      <w:r w:rsidR="00B66EC7">
        <w:t>'</w:t>
      </w:r>
      <w:r w:rsidR="009A139C" w:rsidRPr="00460261">
        <w:t xml:space="preserve"> ability to waive remedial rights.</w:t>
      </w:r>
      <w:r w:rsidR="008D279B" w:rsidRPr="00460261">
        <w:t xml:space="preserve">  (</w:t>
      </w:r>
      <w:r w:rsidR="008D279B" w:rsidRPr="00460261">
        <w:rPr>
          <w:i/>
        </w:rPr>
        <w:t>Id.</w:t>
      </w:r>
      <w:r w:rsidR="008D279B" w:rsidRPr="00460261">
        <w:t xml:space="preserve"> at pp. 891</w:t>
      </w:r>
      <w:r w:rsidR="008D279B" w:rsidRPr="00460261">
        <w:rPr>
          <w:rFonts w:cstheme="minorHAnsi"/>
        </w:rPr>
        <w:t>−</w:t>
      </w:r>
      <w:r w:rsidR="008D279B" w:rsidRPr="00460261">
        <w:t>892.)</w:t>
      </w:r>
      <w:r w:rsidR="009A139C" w:rsidRPr="00460261">
        <w:t xml:space="preserve">  The majority</w:t>
      </w:r>
      <w:r w:rsidR="00B66EC7">
        <w:t>'</w:t>
      </w:r>
      <w:r w:rsidR="009A139C" w:rsidRPr="00460261">
        <w:t xml:space="preserve">s reasoning in </w:t>
      </w:r>
      <w:r w:rsidR="009A139C" w:rsidRPr="00460261">
        <w:rPr>
          <w:i/>
        </w:rPr>
        <w:t xml:space="preserve">Wm. R. Clarke </w:t>
      </w:r>
      <w:r w:rsidR="009A139C" w:rsidRPr="00460261">
        <w:t>is dispositive of Travelers</w:t>
      </w:r>
      <w:r w:rsidR="00B66EC7">
        <w:t>'</w:t>
      </w:r>
      <w:r w:rsidR="009A139C" w:rsidRPr="00460261">
        <w:t xml:space="preserve"> suretyship and freedom of contract arguments.</w:t>
      </w:r>
    </w:p>
    <w:p w14:paraId="68B21652" w14:textId="3DE91AED" w:rsidR="00EC2819" w:rsidRPr="00460261" w:rsidRDefault="00B81086" w:rsidP="00985DC2">
      <w:r w:rsidRPr="00460261">
        <w:tab/>
      </w:r>
      <w:r w:rsidR="00EF5726" w:rsidRPr="00460261">
        <w:t>Because a public works payment bond is statutory in nature, s</w:t>
      </w:r>
      <w:r w:rsidR="000A47A5" w:rsidRPr="00460261">
        <w:t xml:space="preserve">pecific statutory protections apply.  </w:t>
      </w:r>
      <w:r w:rsidRPr="00460261">
        <w:t xml:space="preserve">Pursuant to sections 8122 and 8126, the </w:t>
      </w:r>
      <w:proofErr w:type="gramStart"/>
      <w:r w:rsidR="001C4327" w:rsidRPr="00460261">
        <w:t xml:space="preserve">particular </w:t>
      </w:r>
      <w:r w:rsidRPr="00460261">
        <w:t>pay-when-paid</w:t>
      </w:r>
      <w:proofErr w:type="gramEnd"/>
      <w:r w:rsidRPr="00460261">
        <w:t xml:space="preserve"> provision </w:t>
      </w:r>
      <w:r w:rsidR="000A47A5" w:rsidRPr="00460261">
        <w:t xml:space="preserve">in </w:t>
      </w:r>
      <w:proofErr w:type="spellStart"/>
      <w:r w:rsidR="000A47A5" w:rsidRPr="00460261">
        <w:t>Crosno</w:t>
      </w:r>
      <w:r w:rsidR="00B66EC7">
        <w:t>'</w:t>
      </w:r>
      <w:r w:rsidR="000A47A5" w:rsidRPr="00460261">
        <w:t>s</w:t>
      </w:r>
      <w:proofErr w:type="spellEnd"/>
      <w:r w:rsidR="000A47A5" w:rsidRPr="00460261">
        <w:t xml:space="preserve"> subcontract </w:t>
      </w:r>
      <w:r w:rsidRPr="00460261">
        <w:t>is void and unenforceable in an</w:t>
      </w:r>
      <w:r w:rsidR="000A47A5" w:rsidRPr="00460261">
        <w:t>y</w:t>
      </w:r>
      <w:r w:rsidRPr="00460261">
        <w:t xml:space="preserve"> action to recover under the payment bond</w:t>
      </w:r>
      <w:r w:rsidR="000A47A5" w:rsidRPr="00460261">
        <w:t xml:space="preserve">, whether as to </w:t>
      </w:r>
      <w:r w:rsidRPr="00460261">
        <w:t xml:space="preserve">bond principal Clark </w:t>
      </w:r>
      <w:r w:rsidR="000A47A5" w:rsidRPr="00460261">
        <w:t>or</w:t>
      </w:r>
      <w:r w:rsidRPr="00460261">
        <w:t xml:space="preserve"> its co-obligor Travelers.  As </w:t>
      </w:r>
      <w:proofErr w:type="spellStart"/>
      <w:r w:rsidRPr="00460261">
        <w:t>Crosno</w:t>
      </w:r>
      <w:proofErr w:type="spellEnd"/>
      <w:r w:rsidRPr="00460261">
        <w:t xml:space="preserve"> points out, Travelers could still assert other defenses to the bond claim if, for example, </w:t>
      </w:r>
      <w:r w:rsidR="00B66EC7">
        <w:t>"</w:t>
      </w:r>
      <w:proofErr w:type="spellStart"/>
      <w:r w:rsidRPr="00460261">
        <w:t>Crosno</w:t>
      </w:r>
      <w:proofErr w:type="spellEnd"/>
      <w:r w:rsidRPr="00460261">
        <w:t xml:space="preserve"> failed to timely and properly perform its scope of work.</w:t>
      </w:r>
      <w:r w:rsidR="00B66EC7">
        <w:t>"</w:t>
      </w:r>
      <w:r w:rsidRPr="00460261">
        <w:t xml:space="preserve">  </w:t>
      </w:r>
      <w:r w:rsidR="00647627" w:rsidRPr="00460261">
        <w:t xml:space="preserve">Our </w:t>
      </w:r>
      <w:r w:rsidR="001523C8">
        <w:t>interpretation</w:t>
      </w:r>
      <w:r w:rsidR="00647627" w:rsidRPr="00460261">
        <w:t xml:space="preserve"> does not, </w:t>
      </w:r>
      <w:r w:rsidR="001C4327" w:rsidRPr="00460261">
        <w:t>as</w:t>
      </w:r>
      <w:r w:rsidR="00647627" w:rsidRPr="00460261">
        <w:t xml:space="preserve"> CEA </w:t>
      </w:r>
      <w:r w:rsidR="001C4327" w:rsidRPr="00460261">
        <w:t>suggests</w:t>
      </w:r>
      <w:r w:rsidR="00647627" w:rsidRPr="00460261">
        <w:t xml:space="preserve">, </w:t>
      </w:r>
      <w:r w:rsidR="00B66EC7">
        <w:t>"</w:t>
      </w:r>
      <w:r w:rsidR="00647627" w:rsidRPr="00460261">
        <w:t>allow subcontractors whose work is disputed to recover from [a] surety before merit is finally determined by the owner and the general contractor.</w:t>
      </w:r>
      <w:r w:rsidR="00B66EC7">
        <w:t>"</w:t>
      </w:r>
      <w:r w:rsidR="00647627" w:rsidRPr="00460261">
        <w:t xml:space="preserve">  </w:t>
      </w:r>
      <w:r w:rsidR="000A1CA7" w:rsidRPr="00460261">
        <w:t xml:space="preserve">Here, </w:t>
      </w:r>
      <w:proofErr w:type="spellStart"/>
      <w:r w:rsidR="00647627" w:rsidRPr="00460261">
        <w:t>Crosno</w:t>
      </w:r>
      <w:r w:rsidR="00B66EC7">
        <w:t>'</w:t>
      </w:r>
      <w:r w:rsidR="00647627" w:rsidRPr="00460261">
        <w:t>s</w:t>
      </w:r>
      <w:proofErr w:type="spellEnd"/>
      <w:r w:rsidR="00647627" w:rsidRPr="00460261">
        <w:t xml:space="preserve"> right to payment is undisputed.  </w:t>
      </w:r>
      <w:r w:rsidRPr="00460261">
        <w:t xml:space="preserve">We simply </w:t>
      </w:r>
      <w:r w:rsidR="00A33AB0" w:rsidRPr="00460261">
        <w:t>conclude</w:t>
      </w:r>
      <w:r w:rsidRPr="00460261">
        <w:t xml:space="preserve"> t</w:t>
      </w:r>
      <w:r w:rsidR="006B0715" w:rsidRPr="00460261">
        <w:t xml:space="preserve">hat </w:t>
      </w:r>
      <w:r w:rsidR="006B0715" w:rsidRPr="00460261">
        <w:lastRenderedPageBreak/>
        <w:t xml:space="preserve">Travelers </w:t>
      </w:r>
      <w:r w:rsidR="00A33AB0" w:rsidRPr="00460261">
        <w:t>canno</w:t>
      </w:r>
      <w:r w:rsidR="006B0715" w:rsidRPr="00460261">
        <w:t>t convert a broad</w:t>
      </w:r>
      <w:r w:rsidRPr="00460261">
        <w:t xml:space="preserve"> obligation under the payment bond </w:t>
      </w:r>
      <w:r w:rsidR="009A139C" w:rsidRPr="00460261">
        <w:t xml:space="preserve">to an </w:t>
      </w:r>
      <w:r w:rsidR="000A1CA7" w:rsidRPr="00460261">
        <w:t>unreasonably</w:t>
      </w:r>
      <w:r w:rsidR="009A139C" w:rsidRPr="00460261">
        <w:t xml:space="preserve"> narrow</w:t>
      </w:r>
      <w:r w:rsidR="008A27FC" w:rsidRPr="00460261">
        <w:t xml:space="preserve"> </w:t>
      </w:r>
      <w:r w:rsidR="001C3F7A" w:rsidRPr="00460261">
        <w:t>one</w:t>
      </w:r>
      <w:r w:rsidR="008A27FC" w:rsidRPr="00460261">
        <w:t xml:space="preserve"> </w:t>
      </w:r>
      <w:r w:rsidR="00647627" w:rsidRPr="00460261">
        <w:t>via</w:t>
      </w:r>
      <w:r w:rsidRPr="00460261">
        <w:t xml:space="preserve"> the pay-when-paid provision in </w:t>
      </w:r>
      <w:proofErr w:type="spellStart"/>
      <w:r w:rsidR="00647627" w:rsidRPr="00460261">
        <w:t>Crosno</w:t>
      </w:r>
      <w:r w:rsidR="00B66EC7">
        <w:t>'</w:t>
      </w:r>
      <w:r w:rsidR="00647627" w:rsidRPr="00460261">
        <w:t>s</w:t>
      </w:r>
      <w:proofErr w:type="spellEnd"/>
      <w:r w:rsidRPr="00460261">
        <w:t xml:space="preserve"> subcontract.</w:t>
      </w:r>
      <w:r w:rsidR="00D93BC9" w:rsidRPr="00460261">
        <w:rPr>
          <w:rStyle w:val="FootnoteReference"/>
        </w:rPr>
        <w:footnoteReference w:id="12"/>
      </w:r>
      <w:r w:rsidRPr="00460261">
        <w:t xml:space="preserve"> </w:t>
      </w:r>
    </w:p>
    <w:p w14:paraId="130F30B1" w14:textId="18004F91" w:rsidR="00113BDC" w:rsidRPr="00460261" w:rsidRDefault="004F0A97" w:rsidP="00985DC2">
      <w:r w:rsidRPr="00460261">
        <w:tab/>
      </w:r>
      <w:r w:rsidR="00D564BA" w:rsidRPr="00460261">
        <w:t>In sum, as the trial court properly found</w:t>
      </w:r>
      <w:r w:rsidR="001F159C" w:rsidRPr="00460261">
        <w:t xml:space="preserve"> on the facts of this case</w:t>
      </w:r>
      <w:r w:rsidR="00D564BA" w:rsidRPr="00460261">
        <w:t xml:space="preserve">, the </w:t>
      </w:r>
      <w:r w:rsidR="009A139C" w:rsidRPr="00460261">
        <w:t xml:space="preserve">expansive </w:t>
      </w:r>
      <w:r w:rsidR="00D564BA" w:rsidRPr="00460261">
        <w:t xml:space="preserve">pay-when-paid provision in </w:t>
      </w:r>
      <w:proofErr w:type="spellStart"/>
      <w:r w:rsidR="009A139C" w:rsidRPr="00460261">
        <w:t>Crosno</w:t>
      </w:r>
      <w:r w:rsidR="00B66EC7">
        <w:t>'</w:t>
      </w:r>
      <w:r w:rsidR="009A139C" w:rsidRPr="00460261">
        <w:t>s</w:t>
      </w:r>
      <w:proofErr w:type="spellEnd"/>
      <w:r w:rsidR="00D564BA" w:rsidRPr="00460261">
        <w:t xml:space="preserve"> subcontract may not be invoked by Travelers as a defense to </w:t>
      </w:r>
      <w:r w:rsidR="009A139C" w:rsidRPr="00460261">
        <w:t xml:space="preserve">a </w:t>
      </w:r>
      <w:r w:rsidR="00D564BA" w:rsidRPr="00460261">
        <w:t xml:space="preserve">payment bond action given the policies underlying the </w:t>
      </w:r>
      <w:proofErr w:type="spellStart"/>
      <w:r w:rsidR="00D564BA" w:rsidRPr="00460261">
        <w:t>antiwaiver</w:t>
      </w:r>
      <w:proofErr w:type="spellEnd"/>
      <w:r w:rsidR="00D564BA" w:rsidRPr="00460261">
        <w:t xml:space="preserve"> statute, section 8122.  There being no other defense raised, the court did not err in </w:t>
      </w:r>
      <w:r w:rsidR="0006272A" w:rsidRPr="00460261">
        <w:t xml:space="preserve">finding no triable issue of material fact, </w:t>
      </w:r>
      <w:r w:rsidR="00D564BA" w:rsidRPr="00460261">
        <w:t xml:space="preserve">granting </w:t>
      </w:r>
      <w:proofErr w:type="spellStart"/>
      <w:r w:rsidR="00D564BA" w:rsidRPr="00460261">
        <w:t>Crosno</w:t>
      </w:r>
      <w:r w:rsidR="00B66EC7">
        <w:t>'</w:t>
      </w:r>
      <w:r w:rsidR="00D564BA" w:rsidRPr="00460261">
        <w:t>s</w:t>
      </w:r>
      <w:proofErr w:type="spellEnd"/>
      <w:r w:rsidR="00D564BA" w:rsidRPr="00460261">
        <w:t xml:space="preserve"> motion for summary judgment</w:t>
      </w:r>
      <w:r w:rsidR="00744B39" w:rsidRPr="00460261">
        <w:t>,</w:t>
      </w:r>
      <w:r w:rsidR="00D564BA" w:rsidRPr="00460261">
        <w:t xml:space="preserve"> and entering judgment in </w:t>
      </w:r>
      <w:proofErr w:type="spellStart"/>
      <w:r w:rsidR="009A139C" w:rsidRPr="00460261">
        <w:t>Crosno</w:t>
      </w:r>
      <w:r w:rsidR="00B66EC7">
        <w:t>'</w:t>
      </w:r>
      <w:r w:rsidR="009A139C" w:rsidRPr="00460261">
        <w:t>s</w:t>
      </w:r>
      <w:proofErr w:type="spellEnd"/>
      <w:r w:rsidR="00D564BA" w:rsidRPr="00460261">
        <w:t xml:space="preserve"> favor</w:t>
      </w:r>
      <w:r w:rsidR="004B2CD0" w:rsidRPr="00460261">
        <w:t xml:space="preserve"> for the undisputed $562,435 owed</w:t>
      </w:r>
      <w:r w:rsidR="009A139C" w:rsidRPr="00460261">
        <w:t xml:space="preserve"> with prejudgment interest</w:t>
      </w:r>
      <w:r w:rsidR="00D564BA" w:rsidRPr="00460261">
        <w:t xml:space="preserve">.  </w:t>
      </w:r>
      <w:r w:rsidR="004B2CD0" w:rsidRPr="00460261">
        <w:t xml:space="preserve">Because </w:t>
      </w:r>
      <w:r w:rsidR="00D564BA" w:rsidRPr="00460261">
        <w:t xml:space="preserve">Travelers raises no other </w:t>
      </w:r>
      <w:r w:rsidR="004B2CD0" w:rsidRPr="00460261">
        <w:t>basis</w:t>
      </w:r>
      <w:r w:rsidR="00D564BA" w:rsidRPr="00460261">
        <w:t xml:space="preserve"> </w:t>
      </w:r>
      <w:r w:rsidR="004B2CD0" w:rsidRPr="00460261">
        <w:t>to challenge</w:t>
      </w:r>
      <w:r w:rsidR="00D564BA" w:rsidRPr="00460261">
        <w:t xml:space="preserve"> the attorney</w:t>
      </w:r>
      <w:r w:rsidR="00B66EC7">
        <w:t>'</w:t>
      </w:r>
      <w:r w:rsidR="00D564BA" w:rsidRPr="00460261">
        <w:t xml:space="preserve">s fees </w:t>
      </w:r>
      <w:r w:rsidR="006E4530" w:rsidRPr="00460261">
        <w:t>awarded</w:t>
      </w:r>
      <w:r w:rsidR="004B2CD0" w:rsidRPr="00460261">
        <w:t xml:space="preserve">, we </w:t>
      </w:r>
      <w:r w:rsidR="006E4530" w:rsidRPr="00460261">
        <w:t xml:space="preserve">also </w:t>
      </w:r>
      <w:r w:rsidR="004B2CD0" w:rsidRPr="00460261">
        <w:t>upho</w:t>
      </w:r>
      <w:r w:rsidR="009A139C" w:rsidRPr="00460261">
        <w:t xml:space="preserve">ld the </w:t>
      </w:r>
      <w:proofErr w:type="spellStart"/>
      <w:r w:rsidR="009A139C" w:rsidRPr="00460261">
        <w:t>postjudgment</w:t>
      </w:r>
      <w:proofErr w:type="spellEnd"/>
      <w:r w:rsidR="009A139C" w:rsidRPr="00460261">
        <w:t xml:space="preserve"> order.</w:t>
      </w:r>
    </w:p>
    <w:p w14:paraId="48CBB52A" w14:textId="77777777" w:rsidR="00B07E4E" w:rsidRPr="00460261" w:rsidRDefault="00F22D5F" w:rsidP="00096655">
      <w:pPr>
        <w:pStyle w:val="Heading1"/>
      </w:pPr>
      <w:r w:rsidRPr="00460261">
        <w:lastRenderedPageBreak/>
        <w:t>DISPOSITION</w:t>
      </w:r>
    </w:p>
    <w:p w14:paraId="3543293D" w14:textId="77777777" w:rsidR="00B66EC7" w:rsidRDefault="00F22D5F" w:rsidP="00C141A3">
      <w:pPr>
        <w:keepNext/>
      </w:pPr>
      <w:r w:rsidRPr="00460261">
        <w:tab/>
        <w:t xml:space="preserve">The judgment and </w:t>
      </w:r>
      <w:proofErr w:type="spellStart"/>
      <w:r w:rsidRPr="00460261">
        <w:t>postjudgment</w:t>
      </w:r>
      <w:proofErr w:type="spellEnd"/>
      <w:r w:rsidRPr="00460261">
        <w:t xml:space="preserve"> order are affirmed.</w:t>
      </w:r>
      <w:r w:rsidR="00096655" w:rsidRPr="00460261">
        <w:t xml:space="preserve">  </w:t>
      </w:r>
      <w:proofErr w:type="spellStart"/>
      <w:r w:rsidR="00096655" w:rsidRPr="00460261">
        <w:t>Crosno</w:t>
      </w:r>
      <w:proofErr w:type="spellEnd"/>
      <w:r w:rsidR="00096655" w:rsidRPr="00460261">
        <w:t xml:space="preserve"> is entitled to recover </w:t>
      </w:r>
    </w:p>
    <w:p w14:paraId="49F1F54F" w14:textId="4D619FFA" w:rsidR="0055226B" w:rsidRPr="00460261" w:rsidRDefault="00096655" w:rsidP="00C141A3">
      <w:pPr>
        <w:keepNext/>
      </w:pPr>
      <w:r w:rsidRPr="00460261">
        <w:t>its costs on appeal.</w:t>
      </w:r>
    </w:p>
    <w:p w14:paraId="625CA480" w14:textId="77777777" w:rsidR="00C141A3" w:rsidRPr="00460261" w:rsidRDefault="00C141A3" w:rsidP="00C141A3">
      <w:pPr>
        <w:keepNext/>
      </w:pPr>
    </w:p>
    <w:p w14:paraId="33C8DB40" w14:textId="77777777" w:rsidR="0055226B" w:rsidRPr="00460261" w:rsidRDefault="0055226B" w:rsidP="0055226B">
      <w:pPr>
        <w:keepNext/>
        <w:spacing w:line="240" w:lineRule="auto"/>
        <w:jc w:val="right"/>
      </w:pPr>
      <w:r w:rsidRPr="00460261">
        <w:t>DATO, J.</w:t>
      </w:r>
    </w:p>
    <w:p w14:paraId="3B900004" w14:textId="77777777" w:rsidR="0055226B" w:rsidRPr="00460261" w:rsidRDefault="0055226B" w:rsidP="0055226B">
      <w:pPr>
        <w:keepNext/>
        <w:tabs>
          <w:tab w:val="right" w:pos="3600"/>
        </w:tabs>
        <w:spacing w:line="240" w:lineRule="auto"/>
      </w:pPr>
    </w:p>
    <w:p w14:paraId="1E5D6429" w14:textId="77777777" w:rsidR="0055226B" w:rsidRPr="00460261" w:rsidRDefault="0055226B" w:rsidP="0055226B">
      <w:pPr>
        <w:keepNext/>
        <w:tabs>
          <w:tab w:val="right" w:pos="3600"/>
        </w:tabs>
        <w:spacing w:line="240" w:lineRule="auto"/>
      </w:pPr>
      <w:r w:rsidRPr="00460261">
        <w:t>WE CONCUR:</w:t>
      </w:r>
    </w:p>
    <w:p w14:paraId="7FD8300A" w14:textId="77777777" w:rsidR="0055226B" w:rsidRPr="00460261" w:rsidRDefault="0055226B" w:rsidP="0055226B">
      <w:pPr>
        <w:keepNext/>
        <w:tabs>
          <w:tab w:val="right" w:pos="3600"/>
        </w:tabs>
        <w:spacing w:line="240" w:lineRule="auto"/>
      </w:pPr>
    </w:p>
    <w:p w14:paraId="23B7E3D9" w14:textId="77777777" w:rsidR="0055226B" w:rsidRPr="00460261" w:rsidRDefault="0055226B" w:rsidP="0055226B">
      <w:pPr>
        <w:keepNext/>
        <w:tabs>
          <w:tab w:val="right" w:pos="3600"/>
        </w:tabs>
        <w:spacing w:line="240" w:lineRule="auto"/>
      </w:pPr>
    </w:p>
    <w:p w14:paraId="60ACCB2E" w14:textId="77777777" w:rsidR="0055226B" w:rsidRPr="00460261" w:rsidRDefault="0055226B" w:rsidP="0055226B">
      <w:pPr>
        <w:keepNext/>
        <w:tabs>
          <w:tab w:val="right" w:pos="3600"/>
        </w:tabs>
        <w:spacing w:line="240" w:lineRule="auto"/>
      </w:pPr>
    </w:p>
    <w:p w14:paraId="501A643A" w14:textId="5AC40F32" w:rsidR="0055226B" w:rsidRPr="00460261" w:rsidRDefault="0055226B" w:rsidP="0055226B">
      <w:pPr>
        <w:keepNext/>
        <w:tabs>
          <w:tab w:val="right" w:pos="3600"/>
        </w:tabs>
        <w:spacing w:line="240" w:lineRule="auto"/>
      </w:pPr>
      <w:r w:rsidRPr="00460261">
        <w:t>BENKE, Acting P. J.</w:t>
      </w:r>
    </w:p>
    <w:p w14:paraId="1F83EB93" w14:textId="77777777" w:rsidR="0055226B" w:rsidRPr="00460261" w:rsidRDefault="0055226B" w:rsidP="0055226B">
      <w:pPr>
        <w:keepNext/>
        <w:tabs>
          <w:tab w:val="right" w:pos="3600"/>
        </w:tabs>
        <w:spacing w:line="240" w:lineRule="auto"/>
      </w:pPr>
    </w:p>
    <w:p w14:paraId="22F12C76" w14:textId="77777777" w:rsidR="0055226B" w:rsidRPr="00460261" w:rsidRDefault="0055226B" w:rsidP="0055226B">
      <w:pPr>
        <w:keepNext/>
        <w:tabs>
          <w:tab w:val="right" w:pos="3600"/>
        </w:tabs>
        <w:spacing w:line="240" w:lineRule="auto"/>
      </w:pPr>
    </w:p>
    <w:p w14:paraId="19437E57" w14:textId="77777777" w:rsidR="0055226B" w:rsidRPr="00460261" w:rsidRDefault="0055226B" w:rsidP="0055226B">
      <w:pPr>
        <w:keepNext/>
        <w:tabs>
          <w:tab w:val="right" w:pos="3600"/>
        </w:tabs>
        <w:spacing w:line="240" w:lineRule="auto"/>
      </w:pPr>
    </w:p>
    <w:p w14:paraId="737B3747" w14:textId="2E87E860" w:rsidR="0055226B" w:rsidRDefault="0055226B" w:rsidP="0055226B">
      <w:pPr>
        <w:keepNext/>
        <w:tabs>
          <w:tab w:val="right" w:pos="3600"/>
        </w:tabs>
        <w:spacing w:line="240" w:lineRule="auto"/>
      </w:pPr>
      <w:r w:rsidRPr="00460261">
        <w:t>IRION, J.</w:t>
      </w:r>
    </w:p>
    <w:p w14:paraId="590499E6" w14:textId="77777777" w:rsidR="0055226B" w:rsidRPr="0055226B" w:rsidRDefault="0055226B" w:rsidP="0055226B">
      <w:pPr>
        <w:keepNext/>
        <w:tabs>
          <w:tab w:val="right" w:pos="3600"/>
        </w:tabs>
        <w:spacing w:line="240" w:lineRule="auto"/>
      </w:pPr>
    </w:p>
    <w:p w14:paraId="2090F72E" w14:textId="77777777" w:rsidR="00F22D5F" w:rsidRPr="00F22D5F" w:rsidRDefault="00F22D5F" w:rsidP="00F22D5F"/>
    <w:sectPr w:rsidR="00F22D5F" w:rsidRPr="00F22D5F" w:rsidSect="0003284A">
      <w:foot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41A28" w14:textId="77777777" w:rsidR="00FD2F95" w:rsidRDefault="00FD2F95" w:rsidP="0003284A">
      <w:pPr>
        <w:spacing w:line="240" w:lineRule="auto"/>
      </w:pPr>
      <w:r>
        <w:separator/>
      </w:r>
    </w:p>
  </w:endnote>
  <w:endnote w:type="continuationSeparator" w:id="0">
    <w:p w14:paraId="6AE333EB" w14:textId="77777777" w:rsidR="00FD2F95" w:rsidRDefault="00FD2F95" w:rsidP="00032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96672"/>
      <w:docPartObj>
        <w:docPartGallery w:val="Page Numbers (Bottom of Page)"/>
        <w:docPartUnique/>
      </w:docPartObj>
    </w:sdtPr>
    <w:sdtEndPr/>
    <w:sdtContent>
      <w:p w14:paraId="6662EB83" w14:textId="237092CA" w:rsidR="00FD2F95" w:rsidRDefault="00FD2F95">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7BF1E01F" w14:textId="77777777" w:rsidR="00FD2F95" w:rsidRDefault="00FD2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B316" w14:textId="77777777" w:rsidR="00FD2F95" w:rsidRDefault="00FD2F95" w:rsidP="000328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1CAC0" w14:textId="77777777" w:rsidR="00FD2F95" w:rsidRDefault="00FD2F95" w:rsidP="0003284A">
      <w:pPr>
        <w:spacing w:line="240" w:lineRule="auto"/>
      </w:pPr>
      <w:r>
        <w:separator/>
      </w:r>
    </w:p>
  </w:footnote>
  <w:footnote w:type="continuationSeparator" w:id="0">
    <w:p w14:paraId="17B12DFB" w14:textId="77777777" w:rsidR="00FD2F95" w:rsidRDefault="00FD2F95" w:rsidP="0003284A">
      <w:pPr>
        <w:spacing w:line="240" w:lineRule="auto"/>
      </w:pPr>
      <w:r>
        <w:continuationSeparator/>
      </w:r>
    </w:p>
  </w:footnote>
  <w:footnote w:id="1">
    <w:p w14:paraId="22647223" w14:textId="77777777" w:rsidR="00FD2F95" w:rsidRDefault="00FD2F95">
      <w:pPr>
        <w:pStyle w:val="FootnoteText"/>
      </w:pPr>
      <w:r>
        <w:rPr>
          <w:rStyle w:val="FootnoteReference"/>
        </w:rPr>
        <w:footnoteRef/>
      </w:r>
      <w:r>
        <w:t xml:space="preserve"> </w:t>
      </w:r>
      <w:r>
        <w:tab/>
        <w:t>Further statutory references are to the Civil Code unless otherwise indicated.</w:t>
      </w:r>
    </w:p>
  </w:footnote>
  <w:footnote w:id="2">
    <w:p w14:paraId="55A2E666" w14:textId="67AB22CE" w:rsidR="00FD2F95" w:rsidRPr="00E65334" w:rsidRDefault="00FD2F95">
      <w:pPr>
        <w:pStyle w:val="FootnoteText"/>
        <w:rPr>
          <w:i/>
        </w:rPr>
      </w:pPr>
      <w:r>
        <w:rPr>
          <w:rStyle w:val="FootnoteReference"/>
        </w:rPr>
        <w:footnoteRef/>
      </w:r>
      <w:r>
        <w:t xml:space="preserve"> </w:t>
      </w:r>
      <w:r>
        <w:tab/>
        <w:t>"</w:t>
      </w:r>
      <w:r w:rsidRPr="00E65334">
        <w:t xml:space="preserve">Construction contracts often call for payment in installments—known commonly as progress payments—due when a project reaches various stages of completion. </w:t>
      </w:r>
      <w:r>
        <w:t xml:space="preserve"> [Citation.] </w:t>
      </w:r>
      <w:r w:rsidRPr="00E65334">
        <w:t xml:space="preserve"> By arranging for progress payments, participants in a construction-related transaction build in an incentive for contractors to complete work and provide an owner some protection against the risk of nonperformance </w:t>
      </w:r>
      <w:r>
        <w:t>[citation]</w:t>
      </w:r>
      <w:r w:rsidRPr="00E65334">
        <w:t xml:space="preserve">, while permitting contractors to obtain an essential cash flow. </w:t>
      </w:r>
      <w:r>
        <w:t xml:space="preserve"> </w:t>
      </w:r>
      <w:r w:rsidRPr="00E65334">
        <w:t xml:space="preserve">As an additional hedge against nonperformance and incentive for completion, an owner may withhold a small percentage of the money due at each stage—typically </w:t>
      </w:r>
      <w:r>
        <w:t xml:space="preserve">5 </w:t>
      </w:r>
      <w:r w:rsidRPr="00E65334">
        <w:t xml:space="preserve">to 10 percent—until the project is finished. </w:t>
      </w:r>
      <w:r>
        <w:t xml:space="preserve"> [Citations.]</w:t>
      </w:r>
      <w:r w:rsidRPr="00E65334">
        <w:t xml:space="preserve"> </w:t>
      </w:r>
      <w:r>
        <w:t xml:space="preserve"> </w:t>
      </w:r>
      <w:r w:rsidRPr="00E65334">
        <w:t>If the contractor defaults, or subcontractors assert mechanics liens for nonpayment, the owner can use this retention fund to make payment or seek substitute performance.</w:t>
      </w:r>
      <w:r>
        <w:t xml:space="preserve"> </w:t>
      </w:r>
      <w:r w:rsidRPr="00E65334">
        <w:t xml:space="preserve"> </w:t>
      </w:r>
      <w:r>
        <w:t>[Citations.]</w:t>
      </w:r>
      <w:r w:rsidRPr="00E65334">
        <w:t xml:space="preserve"> </w:t>
      </w:r>
      <w:r>
        <w:t xml:space="preserve"> </w:t>
      </w:r>
      <w:r w:rsidRPr="00E65334">
        <w:t>Once work is done to the owner</w:t>
      </w:r>
      <w:r>
        <w:t>'</w:t>
      </w:r>
      <w:r w:rsidRPr="00E65334">
        <w:t>s satisfaction and the period for filing liens has expired, the ow</w:t>
      </w:r>
      <w:r>
        <w:t>ner will release the retention."  (</w:t>
      </w:r>
      <w:r w:rsidRPr="00E65334">
        <w:rPr>
          <w:i/>
        </w:rPr>
        <w:t>United Riggers &amp; Erectors</w:t>
      </w:r>
      <w:r w:rsidRPr="00362B4B">
        <w:t>,</w:t>
      </w:r>
      <w:r w:rsidRPr="00E65334">
        <w:rPr>
          <w:i/>
        </w:rPr>
        <w:t xml:space="preserve"> Inc. v. Coast Iron &amp; Steel Co. </w:t>
      </w:r>
      <w:r w:rsidRPr="00E65334">
        <w:t xml:space="preserve">(2018) 4 Cal.5th 1082, </w:t>
      </w:r>
      <w:r>
        <w:t>1087−</w:t>
      </w:r>
      <w:r w:rsidRPr="00E65334">
        <w:t>1088</w:t>
      </w:r>
      <w:r>
        <w:t>, fn. omitted</w:t>
      </w:r>
      <w:r w:rsidRPr="00E65334">
        <w:t xml:space="preserve"> (</w:t>
      </w:r>
      <w:r w:rsidRPr="00E65334">
        <w:rPr>
          <w:i/>
        </w:rPr>
        <w:t>United Riggers</w:t>
      </w:r>
      <w:r w:rsidRPr="00E65334">
        <w:t>).)</w:t>
      </w:r>
    </w:p>
  </w:footnote>
  <w:footnote w:id="3">
    <w:p w14:paraId="656DAC8C" w14:textId="329CAC0E" w:rsidR="00FD2F95" w:rsidRDefault="00FD2F95" w:rsidP="001C2501">
      <w:pPr>
        <w:pStyle w:val="FootnoteText"/>
      </w:pPr>
      <w:r>
        <w:rPr>
          <w:rStyle w:val="FootnoteReference"/>
        </w:rPr>
        <w:footnoteRef/>
      </w:r>
      <w:r>
        <w:t xml:space="preserve"> </w:t>
      </w:r>
      <w:r>
        <w:tab/>
        <w:t>Originally filed in Kern County in January 2015 (</w:t>
      </w:r>
      <w:r w:rsidRPr="001C2501">
        <w:t>No. S-1500-CV-283924 SPC</w:t>
      </w:r>
      <w:r>
        <w:t xml:space="preserve">), Clark's action against the District was </w:t>
      </w:r>
      <w:r w:rsidRPr="00A40A21">
        <w:t xml:space="preserve">transferred to San Bernardino County and </w:t>
      </w:r>
      <w:r>
        <w:t>assigned</w:t>
      </w:r>
      <w:r w:rsidRPr="00A40A21">
        <w:t xml:space="preserve"> a new case number </w:t>
      </w:r>
      <w:r>
        <w:t xml:space="preserve">(No. </w:t>
      </w:r>
      <w:r w:rsidRPr="00A40A21">
        <w:t>CIVDS1511273</w:t>
      </w:r>
      <w:r>
        <w:t>)</w:t>
      </w:r>
      <w:r w:rsidRPr="00A40A21">
        <w:t xml:space="preserve">. </w:t>
      </w:r>
      <w:r>
        <w:t xml:space="preserve"> In early 2016, Clark amended its complaint to add allegations and causes of action against the State of California, Water Resources Control Board. </w:t>
      </w:r>
    </w:p>
  </w:footnote>
  <w:footnote w:id="4">
    <w:p w14:paraId="3B81715E" w14:textId="61B7A0B8" w:rsidR="00FD2F95" w:rsidRDefault="00FD2F95">
      <w:pPr>
        <w:pStyle w:val="FootnoteText"/>
      </w:pPr>
      <w:r>
        <w:rPr>
          <w:rStyle w:val="FootnoteReference"/>
        </w:rPr>
        <w:footnoteRef/>
      </w:r>
      <w:r>
        <w:t xml:space="preserve"> </w:t>
      </w:r>
      <w:r>
        <w:tab/>
        <w:t>The remedial scheme for payment in public works projects and the trial court's ruling are detailed in the discussion.</w:t>
      </w:r>
    </w:p>
  </w:footnote>
  <w:footnote w:id="5">
    <w:p w14:paraId="6FE6FC4F" w14:textId="7E0D023F" w:rsidR="00FD2F95" w:rsidRDefault="00FD2F95" w:rsidP="00942DDC">
      <w:pPr>
        <w:pStyle w:val="FootnoteText"/>
      </w:pPr>
      <w:r>
        <w:rPr>
          <w:rStyle w:val="FootnoteReference"/>
        </w:rPr>
        <w:footnoteRef/>
      </w:r>
      <w:r>
        <w:t xml:space="preserve"> </w:t>
      </w:r>
      <w:r>
        <w:tab/>
      </w:r>
      <w:r>
        <w:rPr>
          <w:i/>
        </w:rPr>
        <w:t xml:space="preserve">Wm. R. Clarke </w:t>
      </w:r>
      <w:r>
        <w:t xml:space="preserve">relied on the prior statutes governing mechanics liens and related remedies (former § 3082 et seq, now § 8000 et seq.).  Effective January 1, 2012, those provisions have been relocated without substantive change to newly enacted Part 6 of Division 4 of the Civil Code.  (See </w:t>
      </w:r>
      <w:r w:rsidRPr="00E67B8A">
        <w:t>4 Witkin, Summary of Cal. Law (11th ed. 2017) Security Transaction</w:t>
      </w:r>
      <w:r>
        <w:t>s in Real Property, § 27, p. 819.)</w:t>
      </w:r>
    </w:p>
  </w:footnote>
  <w:footnote w:id="6">
    <w:p w14:paraId="7D3E7F1F" w14:textId="4E3089EA" w:rsidR="00FD2F95" w:rsidRDefault="00FD2F95" w:rsidP="000130F8">
      <w:pPr>
        <w:pStyle w:val="FootnoteText"/>
      </w:pPr>
      <w:r>
        <w:rPr>
          <w:rStyle w:val="FootnoteReference"/>
        </w:rPr>
        <w:footnoteRef/>
      </w:r>
      <w:r>
        <w:t xml:space="preserve"> </w:t>
      </w:r>
      <w:r>
        <w:tab/>
        <w:t>"In contract law, a 'condition precedent' is 'either an act of a party that must be performed or an uncertain event that must happen before the contractual right accrues or the contractual duty arises.' "  (</w:t>
      </w:r>
      <w:r>
        <w:rPr>
          <w:i/>
        </w:rPr>
        <w:t>Wm. R. Clarke</w:t>
      </w:r>
      <w:r w:rsidRPr="005C2C29">
        <w:t>,</w:t>
      </w:r>
      <w:r>
        <w:rPr>
          <w:i/>
        </w:rPr>
        <w:t xml:space="preserve"> supra</w:t>
      </w:r>
      <w:r w:rsidRPr="005C2C29">
        <w:t>,</w:t>
      </w:r>
      <w:r>
        <w:rPr>
          <w:i/>
        </w:rPr>
        <w:t xml:space="preserve"> </w:t>
      </w:r>
      <w:r>
        <w:t xml:space="preserve">15 Cal.4th at p. 885, </w:t>
      </w:r>
      <w:r w:rsidRPr="00BD0F5A">
        <w:t>fn. 1</w:t>
      </w:r>
      <w:r>
        <w:t xml:space="preserve">.)  The pay-if-paid provision in the </w:t>
      </w:r>
      <w:r>
        <w:rPr>
          <w:i/>
        </w:rPr>
        <w:t xml:space="preserve">Wm. R. Clarke </w:t>
      </w:r>
      <w:r>
        <w:t xml:space="preserve">subcontracts read:  " 'Receipt of funds by Contractor from Owner is a condition precedent to the Contractor's obligation to pay Subcontractor under this Agreement, regardless of the reason for Owner's nonpayment, whether attributable to the </w:t>
      </w:r>
      <w:r w:rsidRPr="00842E6B">
        <w:t>fault of the Owner, Contractor, Subcontractor or due to any other cause.</w:t>
      </w:r>
      <w:r>
        <w:t>'</w:t>
      </w:r>
      <w:r w:rsidRPr="00842E6B">
        <w:t> </w:t>
      </w:r>
      <w:r>
        <w:t>"</w:t>
      </w:r>
      <w:r w:rsidRPr="00C640DC">
        <w:t xml:space="preserve">  (</w:t>
      </w:r>
      <w:r w:rsidRPr="00C640DC">
        <w:rPr>
          <w:i/>
        </w:rPr>
        <w:t>Id.</w:t>
      </w:r>
      <w:r w:rsidRPr="00C640DC">
        <w:t xml:space="preserve"> at pp. 886−887 &amp; fn. 3</w:t>
      </w:r>
      <w:r w:rsidRPr="00842E6B">
        <w:t>.)  Each of the subcontracts also included an addendum reiterating the pay-if-paid clause and yet purporting to preserve the subcontractors</w:t>
      </w:r>
      <w:r>
        <w:t>'</w:t>
      </w:r>
      <w:r w:rsidRPr="00842E6B">
        <w:t xml:space="preserve"> mechanics lien rights.  (</w:t>
      </w:r>
      <w:r w:rsidRPr="00C640DC">
        <w:rPr>
          <w:i/>
        </w:rPr>
        <w:t>Ibid</w:t>
      </w:r>
      <w:r w:rsidRPr="00842E6B">
        <w:rPr>
          <w:i/>
        </w:rPr>
        <w:t>.</w:t>
      </w:r>
      <w:r w:rsidRPr="00842E6B">
        <w:t>)</w:t>
      </w:r>
    </w:p>
    <w:p w14:paraId="699C5242" w14:textId="77777777" w:rsidR="00FD2F95" w:rsidRPr="00521E13" w:rsidRDefault="00FD2F95" w:rsidP="000130F8">
      <w:pPr>
        <w:pStyle w:val="FootnoteText"/>
      </w:pPr>
    </w:p>
  </w:footnote>
  <w:footnote w:id="7">
    <w:p w14:paraId="0B6A68C0" w14:textId="5D69144A" w:rsidR="00FD2F95" w:rsidRPr="00020699" w:rsidRDefault="00FD2F95">
      <w:pPr>
        <w:pStyle w:val="FootnoteText"/>
      </w:pPr>
      <w:r>
        <w:rPr>
          <w:rStyle w:val="FootnoteReference"/>
        </w:rPr>
        <w:footnoteRef/>
      </w:r>
      <w:r>
        <w:t xml:space="preserve"> </w:t>
      </w:r>
      <w:r>
        <w:tab/>
        <w:t xml:space="preserve">The deferred payment language in </w:t>
      </w:r>
      <w:r>
        <w:rPr>
          <w:i/>
        </w:rPr>
        <w:t xml:space="preserve">Capitol Steel </w:t>
      </w:r>
      <w:r>
        <w:t xml:space="preserve">had the same effect as the "pay if paid" clause in </w:t>
      </w:r>
      <w:r>
        <w:rPr>
          <w:i/>
        </w:rPr>
        <w:t>Wm. R. Clarke</w:t>
      </w:r>
      <w:r>
        <w:t>, "unambiguously defer[ring] payment until there ha[d] been a transfer of moneys from the district to the general contractor."  (</w:t>
      </w:r>
      <w:r>
        <w:rPr>
          <w:i/>
        </w:rPr>
        <w:t>Capitol Steel</w:t>
      </w:r>
      <w:r w:rsidRPr="005C2C29">
        <w:t>,</w:t>
      </w:r>
      <w:r>
        <w:rPr>
          <w:i/>
        </w:rPr>
        <w:t xml:space="preserve"> supra</w:t>
      </w:r>
      <w:r w:rsidRPr="005C2C29">
        <w:t>,</w:t>
      </w:r>
      <w:r>
        <w:rPr>
          <w:i/>
        </w:rPr>
        <w:t xml:space="preserve"> </w:t>
      </w:r>
      <w:r>
        <w:t>58 Cal.App.4th at pp. 1058, 1060, fn. 5.)</w:t>
      </w:r>
    </w:p>
  </w:footnote>
  <w:footnote w:id="8">
    <w:p w14:paraId="1F8A4B94" w14:textId="08344957" w:rsidR="00FD2F95" w:rsidRDefault="00FD2F95">
      <w:pPr>
        <w:pStyle w:val="FootnoteText"/>
      </w:pPr>
      <w:r>
        <w:rPr>
          <w:rStyle w:val="FootnoteReference"/>
        </w:rPr>
        <w:footnoteRef/>
      </w:r>
      <w:r>
        <w:t xml:space="preserve"> </w:t>
      </w:r>
      <w:r>
        <w:tab/>
        <w:t xml:space="preserve">For instance, at the time judgment was entered in </w:t>
      </w:r>
      <w:proofErr w:type="spellStart"/>
      <w:r>
        <w:t>Crosno's</w:t>
      </w:r>
      <w:proofErr w:type="spellEnd"/>
      <w:r>
        <w:t xml:space="preserve"> favor on the payment bond action, litigation between Clark and the District had been pending for two and a half years. </w:t>
      </w:r>
    </w:p>
  </w:footnote>
  <w:footnote w:id="9">
    <w:p w14:paraId="40A7ED46" w14:textId="470DF570" w:rsidR="00FD2F95" w:rsidRDefault="00FD2F95">
      <w:pPr>
        <w:pStyle w:val="FootnoteText"/>
      </w:pPr>
      <w:r>
        <w:rPr>
          <w:rStyle w:val="FootnoteReference"/>
        </w:rPr>
        <w:footnoteRef/>
      </w:r>
      <w:r>
        <w:t xml:space="preserve"> </w:t>
      </w:r>
      <w:r>
        <w:tab/>
        <w:t xml:space="preserve">Travelers's objection that </w:t>
      </w:r>
      <w:r>
        <w:rPr>
          <w:i/>
        </w:rPr>
        <w:t xml:space="preserve">Walton </w:t>
      </w:r>
      <w:r>
        <w:t xml:space="preserve">is a federal case involving the Miller Act is misplaced.  </w:t>
      </w:r>
      <w:r w:rsidRPr="005A0F1D">
        <w:t xml:space="preserve">(See, e.g., </w:t>
      </w:r>
      <w:r w:rsidRPr="005A0F1D">
        <w:rPr>
          <w:i/>
        </w:rPr>
        <w:t>Cal</w:t>
      </w:r>
      <w:r>
        <w:rPr>
          <w:i/>
        </w:rPr>
        <w:t>ifornia</w:t>
      </w:r>
      <w:r w:rsidRPr="005A0F1D">
        <w:rPr>
          <w:i/>
        </w:rPr>
        <w:t xml:space="preserve"> Elec</w:t>
      </w:r>
      <w:r>
        <w:rPr>
          <w:i/>
        </w:rPr>
        <w:t>tric</w:t>
      </w:r>
      <w:r w:rsidRPr="005A0F1D">
        <w:rPr>
          <w:i/>
        </w:rPr>
        <w:t xml:space="preserve"> Supply Co. v. United Pac</w:t>
      </w:r>
      <w:r>
        <w:rPr>
          <w:i/>
        </w:rPr>
        <w:t>ific</w:t>
      </w:r>
      <w:r w:rsidRPr="005A0F1D">
        <w:rPr>
          <w:i/>
        </w:rPr>
        <w:t xml:space="preserve"> Life Ins. Co.</w:t>
      </w:r>
      <w:r w:rsidRPr="005A0F1D">
        <w:t xml:space="preserve"> (1964) 227 Cal.App.2d 138, 144−146 [interpreting public works payment bond statute by reference to cases construing its Miller Act counterpart]</w:t>
      </w:r>
      <w:r>
        <w:t xml:space="preserve">; </w:t>
      </w:r>
      <w:r>
        <w:rPr>
          <w:i/>
        </w:rPr>
        <w:t>Union Asphalt</w:t>
      </w:r>
      <w:r w:rsidRPr="00596636">
        <w:t>,</w:t>
      </w:r>
      <w:r>
        <w:rPr>
          <w:i/>
        </w:rPr>
        <w:t xml:space="preserve"> Inc. v. Planet Ins. Co.</w:t>
      </w:r>
      <w:r>
        <w:t xml:space="preserve"> (1994) 21 Cal.App.4th 1762, 1768−1769 [distinguishing Miller Act as more restrictive than California statutes that extended protection to second-tier claimants].</w:t>
      </w:r>
      <w:r w:rsidRPr="005A0F1D">
        <w:t>)</w:t>
      </w:r>
    </w:p>
  </w:footnote>
  <w:footnote w:id="10">
    <w:p w14:paraId="60948ED6" w14:textId="5856A4C4" w:rsidR="00FD2F95" w:rsidRDefault="00FD2F95" w:rsidP="00B77571">
      <w:pPr>
        <w:pStyle w:val="FootnoteText"/>
      </w:pPr>
      <w:r>
        <w:rPr>
          <w:rStyle w:val="FootnoteReference"/>
        </w:rPr>
        <w:footnoteRef/>
      </w:r>
      <w:r>
        <w:t xml:space="preserve"> </w:t>
      </w:r>
      <w:r>
        <w:tab/>
        <w:t>Our review of the record and available legislative history sheds little light on the Legislature's reasons for codifying this preference.  Although Travelers suggests a general contractor "may be less able to weather the financial storm occasioned by the owner's delays in making payment than its subcontractor may be," a treatise states the opposite.  Unlike the subcontractor, the general contractor controls the entire project and has the direct relationship with the owner, potentially placing it in a better position to resolve payment disputes.  (3 Bruner &amp; O'Connor Construction Law (2020) § 8:49.)  Moreover, because "subcontractors are smaller and more thinly capitalized than general contractors," they may not be "well equipped to incur the credit risk of an insolvent or unwilling owner."  (</w:t>
      </w:r>
      <w:r>
        <w:rPr>
          <w:i/>
        </w:rPr>
        <w:t>Ibid.</w:t>
      </w:r>
      <w:r>
        <w:t xml:space="preserve">)  Ultimately, we draw no conclusion as to who between Clark and </w:t>
      </w:r>
      <w:proofErr w:type="spellStart"/>
      <w:r>
        <w:t>Crosno</w:t>
      </w:r>
      <w:proofErr w:type="spellEnd"/>
      <w:r>
        <w:t xml:space="preserve"> is better able to weather credit risk.  Travelers is correct that our record permits no reasonable inference on this matter.  </w:t>
      </w:r>
    </w:p>
    <w:p w14:paraId="64C91D17" w14:textId="77777777" w:rsidR="00FD2F95" w:rsidRDefault="00FD2F95" w:rsidP="00B77571">
      <w:pPr>
        <w:pStyle w:val="FootnoteText"/>
      </w:pPr>
    </w:p>
  </w:footnote>
  <w:footnote w:id="11">
    <w:p w14:paraId="7853EF7F" w14:textId="43CE9AEF" w:rsidR="00FD2F95" w:rsidRPr="00F42B1C" w:rsidRDefault="00FD2F95">
      <w:pPr>
        <w:pStyle w:val="FootnoteText"/>
      </w:pPr>
      <w:r>
        <w:rPr>
          <w:rStyle w:val="FootnoteReference"/>
        </w:rPr>
        <w:footnoteRef/>
      </w:r>
      <w:r>
        <w:t xml:space="preserve"> </w:t>
      </w:r>
      <w:r>
        <w:tab/>
        <w:t xml:space="preserve">Travelers cites limiting language in </w:t>
      </w:r>
      <w:r>
        <w:rPr>
          <w:i/>
        </w:rPr>
        <w:t xml:space="preserve">Capitol Steel </w:t>
      </w:r>
      <w:r>
        <w:t xml:space="preserve">that </w:t>
      </w:r>
      <w:r>
        <w:rPr>
          <w:i/>
        </w:rPr>
        <w:t xml:space="preserve">Wm. R. Clarke </w:t>
      </w:r>
      <w:r>
        <w:t xml:space="preserve">"applies to a public works project </w:t>
      </w:r>
      <w:r>
        <w:rPr>
          <w:i/>
        </w:rPr>
        <w:t>where there is no pending action against the government entity.</w:t>
      </w:r>
      <w:r>
        <w:t>"  (</w:t>
      </w:r>
      <w:r>
        <w:rPr>
          <w:i/>
        </w:rPr>
        <w:t>Capitol Steel</w:t>
      </w:r>
      <w:r w:rsidRPr="00FE547C">
        <w:t>,</w:t>
      </w:r>
      <w:r>
        <w:rPr>
          <w:i/>
        </w:rPr>
        <w:t xml:space="preserve"> supra</w:t>
      </w:r>
      <w:r w:rsidRPr="00FE547C">
        <w:t>,</w:t>
      </w:r>
      <w:r>
        <w:rPr>
          <w:i/>
        </w:rPr>
        <w:t xml:space="preserve"> </w:t>
      </w:r>
      <w:r>
        <w:t>58 Cal.App.4th at p. 1052, italics added.)  But as the trial court pointed out, "stop notice and payment bond remedies are cumulative."  (</w:t>
      </w:r>
      <w:r>
        <w:rPr>
          <w:i/>
        </w:rPr>
        <w:t>Id.</w:t>
      </w:r>
      <w:r>
        <w:t xml:space="preserve"> at p. 1061.)  That </w:t>
      </w:r>
      <w:r>
        <w:rPr>
          <w:i/>
        </w:rPr>
        <w:t xml:space="preserve">Capitol Steel </w:t>
      </w:r>
      <w:r>
        <w:t>limited its conclusion to the facts before it (</w:t>
      </w:r>
      <w:r>
        <w:rPr>
          <w:i/>
        </w:rPr>
        <w:t>id.</w:t>
      </w:r>
      <w:r>
        <w:t xml:space="preserve"> at p. 1052, fn. 1) does not suggest that </w:t>
      </w:r>
      <w:proofErr w:type="spellStart"/>
      <w:r>
        <w:t>Crosno's</w:t>
      </w:r>
      <w:proofErr w:type="spellEnd"/>
      <w:r>
        <w:t xml:space="preserve"> payment bond remedies may be impaired by Clark's long-pending lawsuit against the District.</w:t>
      </w:r>
    </w:p>
  </w:footnote>
  <w:footnote w:id="12">
    <w:p w14:paraId="4717D74B" w14:textId="2BFF913A" w:rsidR="00FD2F95" w:rsidRDefault="00FD2F95">
      <w:pPr>
        <w:pStyle w:val="FootnoteText"/>
      </w:pPr>
      <w:r>
        <w:rPr>
          <w:rStyle w:val="FootnoteReference"/>
        </w:rPr>
        <w:footnoteRef/>
      </w:r>
      <w:r>
        <w:t xml:space="preserve"> </w:t>
      </w:r>
      <w:r>
        <w:tab/>
      </w:r>
      <w:r w:rsidRPr="00D93BC9">
        <w:rPr>
          <w:i/>
        </w:rPr>
        <w:t xml:space="preserve">Fed. Ins. Co. v. Superior Court </w:t>
      </w:r>
      <w:r w:rsidRPr="00D93BC9">
        <w:t>(1998) 60 Cal.App.4th 1370, cited by Travelers</w:t>
      </w:r>
      <w:r>
        <w:t xml:space="preserve"> is not to the contrary.  It</w:t>
      </w:r>
      <w:r w:rsidRPr="00D93BC9">
        <w:t xml:space="preserve"> merely stands for the proposition that where the bond claim </w:t>
      </w:r>
      <w:r>
        <w:t>"</w:t>
      </w:r>
      <w:r w:rsidRPr="00D93BC9">
        <w:t>necessarily involves the determination of whether [the subcontractor] is entitled to be paid for labor and materials,</w:t>
      </w:r>
      <w:r>
        <w:t>"</w:t>
      </w:r>
      <w:r w:rsidRPr="00D93BC9">
        <w:t xml:space="preserve"> the subcontractor must arbitrate its right to payment before it can pursue a claim against the surety under the payment bond. </w:t>
      </w:r>
      <w:r>
        <w:t xml:space="preserve"> </w:t>
      </w:r>
      <w:r w:rsidRPr="00D93BC9">
        <w:t>(</w:t>
      </w:r>
      <w:r w:rsidRPr="00D93BC9">
        <w:rPr>
          <w:i/>
        </w:rPr>
        <w:t>Id.</w:t>
      </w:r>
      <w:r w:rsidRPr="00D93BC9">
        <w:t xml:space="preserve"> at p. 1373; see also </w:t>
      </w:r>
      <w:r w:rsidRPr="00D93BC9">
        <w:rPr>
          <w:i/>
        </w:rPr>
        <w:t>Walton</w:t>
      </w:r>
      <w:r w:rsidRPr="00777A8D">
        <w:t>,</w:t>
      </w:r>
      <w:r w:rsidRPr="00D93BC9">
        <w:rPr>
          <w:i/>
        </w:rPr>
        <w:t xml:space="preserve"> supra</w:t>
      </w:r>
      <w:r w:rsidRPr="00777A8D">
        <w:t>,</w:t>
      </w:r>
      <w:r w:rsidRPr="00D93BC9">
        <w:rPr>
          <w:i/>
        </w:rPr>
        <w:t xml:space="preserve"> </w:t>
      </w:r>
      <w:r w:rsidRPr="00D93BC9">
        <w:t xml:space="preserve">290 F.3d at p. 1207 [although courts look to the underlying subcontract to determine the </w:t>
      </w:r>
      <w:r w:rsidRPr="00D93BC9">
        <w:rPr>
          <w:i/>
        </w:rPr>
        <w:t>measure</w:t>
      </w:r>
      <w:r w:rsidRPr="00D93BC9">
        <w:t xml:space="preserve"> of sums justly due, they do not enforce terms affecting the timing or right of payment bond recovery].)  </w:t>
      </w:r>
      <w:r>
        <w:t>As we have emphasized,</w:t>
      </w:r>
      <w:r w:rsidRPr="00D93BC9">
        <w:t xml:space="preserve"> </w:t>
      </w:r>
      <w:proofErr w:type="spellStart"/>
      <w:r>
        <w:t>Crosno's</w:t>
      </w:r>
      <w:proofErr w:type="spellEnd"/>
      <w:r>
        <w:t xml:space="preserve"> right to payment is not disputed in this case</w:t>
      </w:r>
      <w:r w:rsidRPr="00D93BC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13F9D"/>
    <w:multiLevelType w:val="multilevel"/>
    <w:tmpl w:val="7B70F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removePersonalInformation/>
  <w:removeDateAndTime/>
  <w:proofState w:spelling="clean" w:grammar="clean"/>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C2"/>
    <w:rsid w:val="00012140"/>
    <w:rsid w:val="000130F8"/>
    <w:rsid w:val="00013F1A"/>
    <w:rsid w:val="000169D9"/>
    <w:rsid w:val="00016A12"/>
    <w:rsid w:val="00016F77"/>
    <w:rsid w:val="00020699"/>
    <w:rsid w:val="000223D4"/>
    <w:rsid w:val="000230D2"/>
    <w:rsid w:val="000240E3"/>
    <w:rsid w:val="00027A23"/>
    <w:rsid w:val="0003284A"/>
    <w:rsid w:val="0003287E"/>
    <w:rsid w:val="00042ABA"/>
    <w:rsid w:val="0004679F"/>
    <w:rsid w:val="0005082D"/>
    <w:rsid w:val="000521A9"/>
    <w:rsid w:val="00052313"/>
    <w:rsid w:val="00052838"/>
    <w:rsid w:val="000542A8"/>
    <w:rsid w:val="00054BCA"/>
    <w:rsid w:val="0005639A"/>
    <w:rsid w:val="000567CB"/>
    <w:rsid w:val="0006272A"/>
    <w:rsid w:val="00064EE3"/>
    <w:rsid w:val="000666B6"/>
    <w:rsid w:val="00067DBA"/>
    <w:rsid w:val="00085115"/>
    <w:rsid w:val="00085D6A"/>
    <w:rsid w:val="0008766F"/>
    <w:rsid w:val="00091C6A"/>
    <w:rsid w:val="000933C0"/>
    <w:rsid w:val="00096655"/>
    <w:rsid w:val="000979A2"/>
    <w:rsid w:val="000A1CA7"/>
    <w:rsid w:val="000A24DB"/>
    <w:rsid w:val="000A2BA8"/>
    <w:rsid w:val="000A47A5"/>
    <w:rsid w:val="000A557A"/>
    <w:rsid w:val="000B3CE2"/>
    <w:rsid w:val="000B48E2"/>
    <w:rsid w:val="000B5A29"/>
    <w:rsid w:val="000B6341"/>
    <w:rsid w:val="000C17F8"/>
    <w:rsid w:val="000C44C4"/>
    <w:rsid w:val="000D44D2"/>
    <w:rsid w:val="000D5743"/>
    <w:rsid w:val="000E1769"/>
    <w:rsid w:val="000E2125"/>
    <w:rsid w:val="000E3E78"/>
    <w:rsid w:val="000F374A"/>
    <w:rsid w:val="000F6C4A"/>
    <w:rsid w:val="00101E16"/>
    <w:rsid w:val="001036DE"/>
    <w:rsid w:val="001111A1"/>
    <w:rsid w:val="00113395"/>
    <w:rsid w:val="00113784"/>
    <w:rsid w:val="00113BDC"/>
    <w:rsid w:val="00124059"/>
    <w:rsid w:val="0012781A"/>
    <w:rsid w:val="00132670"/>
    <w:rsid w:val="00132CA8"/>
    <w:rsid w:val="001364E5"/>
    <w:rsid w:val="001368DD"/>
    <w:rsid w:val="00136A53"/>
    <w:rsid w:val="00143ACC"/>
    <w:rsid w:val="00145430"/>
    <w:rsid w:val="00146B4C"/>
    <w:rsid w:val="00150660"/>
    <w:rsid w:val="001523C8"/>
    <w:rsid w:val="0015240E"/>
    <w:rsid w:val="00154BEF"/>
    <w:rsid w:val="00160089"/>
    <w:rsid w:val="00161ACD"/>
    <w:rsid w:val="00162DE1"/>
    <w:rsid w:val="00166ECE"/>
    <w:rsid w:val="00167EF1"/>
    <w:rsid w:val="001702E2"/>
    <w:rsid w:val="00170C26"/>
    <w:rsid w:val="0017226A"/>
    <w:rsid w:val="00175A21"/>
    <w:rsid w:val="00184B2B"/>
    <w:rsid w:val="00192BDE"/>
    <w:rsid w:val="001A30B0"/>
    <w:rsid w:val="001A3C03"/>
    <w:rsid w:val="001A786B"/>
    <w:rsid w:val="001C244D"/>
    <w:rsid w:val="001C2501"/>
    <w:rsid w:val="001C3F7A"/>
    <w:rsid w:val="001C4327"/>
    <w:rsid w:val="001C510F"/>
    <w:rsid w:val="001C5A15"/>
    <w:rsid w:val="001D0CCA"/>
    <w:rsid w:val="001D0FC0"/>
    <w:rsid w:val="001D1AAA"/>
    <w:rsid w:val="001D5ED8"/>
    <w:rsid w:val="001D76A6"/>
    <w:rsid w:val="001E47EA"/>
    <w:rsid w:val="001E5177"/>
    <w:rsid w:val="001F159C"/>
    <w:rsid w:val="001F60B1"/>
    <w:rsid w:val="001F6B9D"/>
    <w:rsid w:val="00202291"/>
    <w:rsid w:val="00202935"/>
    <w:rsid w:val="00211C41"/>
    <w:rsid w:val="0021214C"/>
    <w:rsid w:val="0021436D"/>
    <w:rsid w:val="00226120"/>
    <w:rsid w:val="00235BCB"/>
    <w:rsid w:val="00237B23"/>
    <w:rsid w:val="00242978"/>
    <w:rsid w:val="002450CC"/>
    <w:rsid w:val="002467E4"/>
    <w:rsid w:val="0024770A"/>
    <w:rsid w:val="00253FD8"/>
    <w:rsid w:val="002657CF"/>
    <w:rsid w:val="00270515"/>
    <w:rsid w:val="002720CB"/>
    <w:rsid w:val="00275A3D"/>
    <w:rsid w:val="002764BE"/>
    <w:rsid w:val="00277228"/>
    <w:rsid w:val="00277823"/>
    <w:rsid w:val="00280534"/>
    <w:rsid w:val="00281095"/>
    <w:rsid w:val="002907ED"/>
    <w:rsid w:val="00295184"/>
    <w:rsid w:val="00297201"/>
    <w:rsid w:val="002973A6"/>
    <w:rsid w:val="002A3539"/>
    <w:rsid w:val="002A3F66"/>
    <w:rsid w:val="002C1EAD"/>
    <w:rsid w:val="002C2EA3"/>
    <w:rsid w:val="002C3A55"/>
    <w:rsid w:val="002E2287"/>
    <w:rsid w:val="002E69FE"/>
    <w:rsid w:val="002E7F9E"/>
    <w:rsid w:val="002F6468"/>
    <w:rsid w:val="00302445"/>
    <w:rsid w:val="00307155"/>
    <w:rsid w:val="00307E02"/>
    <w:rsid w:val="00314B4A"/>
    <w:rsid w:val="00316A8D"/>
    <w:rsid w:val="00320C81"/>
    <w:rsid w:val="003212B1"/>
    <w:rsid w:val="003262A2"/>
    <w:rsid w:val="00332C7E"/>
    <w:rsid w:val="00334F1A"/>
    <w:rsid w:val="0033708B"/>
    <w:rsid w:val="003440A6"/>
    <w:rsid w:val="00344512"/>
    <w:rsid w:val="0034548D"/>
    <w:rsid w:val="00345E53"/>
    <w:rsid w:val="00346E8E"/>
    <w:rsid w:val="00350291"/>
    <w:rsid w:val="003516EB"/>
    <w:rsid w:val="00353113"/>
    <w:rsid w:val="0035457E"/>
    <w:rsid w:val="00362B4B"/>
    <w:rsid w:val="00365726"/>
    <w:rsid w:val="00366745"/>
    <w:rsid w:val="00375A45"/>
    <w:rsid w:val="003818BA"/>
    <w:rsid w:val="00382163"/>
    <w:rsid w:val="00387F9D"/>
    <w:rsid w:val="0039782F"/>
    <w:rsid w:val="003A1136"/>
    <w:rsid w:val="003A5C88"/>
    <w:rsid w:val="003A74E0"/>
    <w:rsid w:val="003B02CC"/>
    <w:rsid w:val="003C1D04"/>
    <w:rsid w:val="003C26AA"/>
    <w:rsid w:val="003C32CF"/>
    <w:rsid w:val="003C3519"/>
    <w:rsid w:val="003D03DF"/>
    <w:rsid w:val="003D1DF5"/>
    <w:rsid w:val="003D61A2"/>
    <w:rsid w:val="003E7DE0"/>
    <w:rsid w:val="003F4263"/>
    <w:rsid w:val="003F49B2"/>
    <w:rsid w:val="003F5A27"/>
    <w:rsid w:val="003F6AC6"/>
    <w:rsid w:val="00403477"/>
    <w:rsid w:val="004075EB"/>
    <w:rsid w:val="00415226"/>
    <w:rsid w:val="00420439"/>
    <w:rsid w:val="00420603"/>
    <w:rsid w:val="00425D23"/>
    <w:rsid w:val="0043302D"/>
    <w:rsid w:val="00434BA0"/>
    <w:rsid w:val="0043694F"/>
    <w:rsid w:val="00436C7A"/>
    <w:rsid w:val="00437AE1"/>
    <w:rsid w:val="004469DC"/>
    <w:rsid w:val="0045078C"/>
    <w:rsid w:val="00451F01"/>
    <w:rsid w:val="00452107"/>
    <w:rsid w:val="004531B5"/>
    <w:rsid w:val="004554DE"/>
    <w:rsid w:val="00460261"/>
    <w:rsid w:val="0046078A"/>
    <w:rsid w:val="004615B9"/>
    <w:rsid w:val="00463092"/>
    <w:rsid w:val="00463328"/>
    <w:rsid w:val="00464D4D"/>
    <w:rsid w:val="0046604F"/>
    <w:rsid w:val="004675C6"/>
    <w:rsid w:val="00467A9E"/>
    <w:rsid w:val="00470E3E"/>
    <w:rsid w:val="0047241E"/>
    <w:rsid w:val="00475EF9"/>
    <w:rsid w:val="00476E99"/>
    <w:rsid w:val="00477016"/>
    <w:rsid w:val="00491361"/>
    <w:rsid w:val="00491C9E"/>
    <w:rsid w:val="00493CC3"/>
    <w:rsid w:val="00496E26"/>
    <w:rsid w:val="004A0256"/>
    <w:rsid w:val="004A1642"/>
    <w:rsid w:val="004A3FFE"/>
    <w:rsid w:val="004B1297"/>
    <w:rsid w:val="004B1FD0"/>
    <w:rsid w:val="004B2BE6"/>
    <w:rsid w:val="004B2CD0"/>
    <w:rsid w:val="004B5F6B"/>
    <w:rsid w:val="004C5E49"/>
    <w:rsid w:val="004C6319"/>
    <w:rsid w:val="004C7526"/>
    <w:rsid w:val="004D0566"/>
    <w:rsid w:val="004D3818"/>
    <w:rsid w:val="004D399D"/>
    <w:rsid w:val="004D4898"/>
    <w:rsid w:val="004D4B57"/>
    <w:rsid w:val="004D7888"/>
    <w:rsid w:val="004E7CC9"/>
    <w:rsid w:val="004F0A97"/>
    <w:rsid w:val="004F2C75"/>
    <w:rsid w:val="004F631E"/>
    <w:rsid w:val="00504A28"/>
    <w:rsid w:val="0050652B"/>
    <w:rsid w:val="00507ECB"/>
    <w:rsid w:val="00510B07"/>
    <w:rsid w:val="00510DA3"/>
    <w:rsid w:val="00513E6F"/>
    <w:rsid w:val="00514FE5"/>
    <w:rsid w:val="0051792E"/>
    <w:rsid w:val="00517A25"/>
    <w:rsid w:val="00521124"/>
    <w:rsid w:val="00521E13"/>
    <w:rsid w:val="00525EBB"/>
    <w:rsid w:val="00530058"/>
    <w:rsid w:val="00535FE8"/>
    <w:rsid w:val="0053667B"/>
    <w:rsid w:val="00541CA9"/>
    <w:rsid w:val="0054736A"/>
    <w:rsid w:val="0055226B"/>
    <w:rsid w:val="00555267"/>
    <w:rsid w:val="00556692"/>
    <w:rsid w:val="00560FB4"/>
    <w:rsid w:val="00565157"/>
    <w:rsid w:val="00574CB5"/>
    <w:rsid w:val="0057700F"/>
    <w:rsid w:val="005843C2"/>
    <w:rsid w:val="00584F91"/>
    <w:rsid w:val="00585D54"/>
    <w:rsid w:val="00592279"/>
    <w:rsid w:val="005942BA"/>
    <w:rsid w:val="00594482"/>
    <w:rsid w:val="0059547C"/>
    <w:rsid w:val="005958A6"/>
    <w:rsid w:val="00596636"/>
    <w:rsid w:val="005A0F1D"/>
    <w:rsid w:val="005A2FCE"/>
    <w:rsid w:val="005A4A3D"/>
    <w:rsid w:val="005A7EB8"/>
    <w:rsid w:val="005B0724"/>
    <w:rsid w:val="005B485E"/>
    <w:rsid w:val="005B512C"/>
    <w:rsid w:val="005B5251"/>
    <w:rsid w:val="005B6E87"/>
    <w:rsid w:val="005B7FB5"/>
    <w:rsid w:val="005C1FCF"/>
    <w:rsid w:val="005C2C29"/>
    <w:rsid w:val="005C2EFA"/>
    <w:rsid w:val="005C7475"/>
    <w:rsid w:val="005C75A9"/>
    <w:rsid w:val="005C7DBA"/>
    <w:rsid w:val="005D31E7"/>
    <w:rsid w:val="005D6C0A"/>
    <w:rsid w:val="005D6D35"/>
    <w:rsid w:val="005E2D5D"/>
    <w:rsid w:val="005E4DEB"/>
    <w:rsid w:val="005E4EAB"/>
    <w:rsid w:val="005E6B8C"/>
    <w:rsid w:val="005F4FEF"/>
    <w:rsid w:val="00601417"/>
    <w:rsid w:val="006030B4"/>
    <w:rsid w:val="006126F6"/>
    <w:rsid w:val="00612F09"/>
    <w:rsid w:val="00615CA2"/>
    <w:rsid w:val="00620941"/>
    <w:rsid w:val="00624980"/>
    <w:rsid w:val="00634675"/>
    <w:rsid w:val="00635A8B"/>
    <w:rsid w:val="00640DC6"/>
    <w:rsid w:val="006411A9"/>
    <w:rsid w:val="00643169"/>
    <w:rsid w:val="006463CE"/>
    <w:rsid w:val="00646B27"/>
    <w:rsid w:val="006471E8"/>
    <w:rsid w:val="00647627"/>
    <w:rsid w:val="00655CE7"/>
    <w:rsid w:val="00662D6E"/>
    <w:rsid w:val="00670432"/>
    <w:rsid w:val="00670CC4"/>
    <w:rsid w:val="0067514E"/>
    <w:rsid w:val="00692C93"/>
    <w:rsid w:val="00692F86"/>
    <w:rsid w:val="00694B71"/>
    <w:rsid w:val="006958E1"/>
    <w:rsid w:val="006972DF"/>
    <w:rsid w:val="006A05C5"/>
    <w:rsid w:val="006A1FF8"/>
    <w:rsid w:val="006A4687"/>
    <w:rsid w:val="006A6D2D"/>
    <w:rsid w:val="006B0715"/>
    <w:rsid w:val="006C1438"/>
    <w:rsid w:val="006C1C09"/>
    <w:rsid w:val="006C3382"/>
    <w:rsid w:val="006C5055"/>
    <w:rsid w:val="006C6425"/>
    <w:rsid w:val="006C691F"/>
    <w:rsid w:val="006D0207"/>
    <w:rsid w:val="006D0E41"/>
    <w:rsid w:val="006D0F53"/>
    <w:rsid w:val="006D25EE"/>
    <w:rsid w:val="006D5C40"/>
    <w:rsid w:val="006E2B8B"/>
    <w:rsid w:val="006E4530"/>
    <w:rsid w:val="006E5FA2"/>
    <w:rsid w:val="006E7DF5"/>
    <w:rsid w:val="006E7F69"/>
    <w:rsid w:val="006F06F3"/>
    <w:rsid w:val="006F2A44"/>
    <w:rsid w:val="006F3D1C"/>
    <w:rsid w:val="006F42FE"/>
    <w:rsid w:val="007005FA"/>
    <w:rsid w:val="00710099"/>
    <w:rsid w:val="0071202D"/>
    <w:rsid w:val="007123E3"/>
    <w:rsid w:val="0072054F"/>
    <w:rsid w:val="007242D3"/>
    <w:rsid w:val="0073319B"/>
    <w:rsid w:val="007367A1"/>
    <w:rsid w:val="00736E8D"/>
    <w:rsid w:val="0074025F"/>
    <w:rsid w:val="007413CB"/>
    <w:rsid w:val="00742A5F"/>
    <w:rsid w:val="00744262"/>
    <w:rsid w:val="00744B39"/>
    <w:rsid w:val="0075099A"/>
    <w:rsid w:val="007523B5"/>
    <w:rsid w:val="00754D37"/>
    <w:rsid w:val="00757923"/>
    <w:rsid w:val="007614CB"/>
    <w:rsid w:val="00762A8D"/>
    <w:rsid w:val="00762ED1"/>
    <w:rsid w:val="0076405D"/>
    <w:rsid w:val="00765ABB"/>
    <w:rsid w:val="00767703"/>
    <w:rsid w:val="00772D51"/>
    <w:rsid w:val="00773F39"/>
    <w:rsid w:val="00775DA8"/>
    <w:rsid w:val="00776CCC"/>
    <w:rsid w:val="00777A8D"/>
    <w:rsid w:val="00781454"/>
    <w:rsid w:val="0078404D"/>
    <w:rsid w:val="00790EDD"/>
    <w:rsid w:val="007A0DE8"/>
    <w:rsid w:val="007A36F3"/>
    <w:rsid w:val="007A505E"/>
    <w:rsid w:val="007B05C2"/>
    <w:rsid w:val="007B1D9B"/>
    <w:rsid w:val="007B58D6"/>
    <w:rsid w:val="007B6978"/>
    <w:rsid w:val="007B772E"/>
    <w:rsid w:val="007C2C1A"/>
    <w:rsid w:val="007C4158"/>
    <w:rsid w:val="007D5AD2"/>
    <w:rsid w:val="007E65AB"/>
    <w:rsid w:val="007E6EA9"/>
    <w:rsid w:val="007E7BB2"/>
    <w:rsid w:val="007F2106"/>
    <w:rsid w:val="007F5200"/>
    <w:rsid w:val="007F52D5"/>
    <w:rsid w:val="007F64F6"/>
    <w:rsid w:val="007F6558"/>
    <w:rsid w:val="008021D2"/>
    <w:rsid w:val="00803A87"/>
    <w:rsid w:val="00810D6B"/>
    <w:rsid w:val="008116C2"/>
    <w:rsid w:val="00812A05"/>
    <w:rsid w:val="008134D9"/>
    <w:rsid w:val="00814D2B"/>
    <w:rsid w:val="0081579B"/>
    <w:rsid w:val="00816188"/>
    <w:rsid w:val="00816CD1"/>
    <w:rsid w:val="00817303"/>
    <w:rsid w:val="008253D9"/>
    <w:rsid w:val="0083280E"/>
    <w:rsid w:val="0083450C"/>
    <w:rsid w:val="00834AB8"/>
    <w:rsid w:val="008415B4"/>
    <w:rsid w:val="00842E6B"/>
    <w:rsid w:val="00847480"/>
    <w:rsid w:val="0085272A"/>
    <w:rsid w:val="00853596"/>
    <w:rsid w:val="00855937"/>
    <w:rsid w:val="00856768"/>
    <w:rsid w:val="00860E0B"/>
    <w:rsid w:val="0086123D"/>
    <w:rsid w:val="0086358B"/>
    <w:rsid w:val="00866AA9"/>
    <w:rsid w:val="008711C2"/>
    <w:rsid w:val="00872CE6"/>
    <w:rsid w:val="00873EBB"/>
    <w:rsid w:val="008777B6"/>
    <w:rsid w:val="0088100A"/>
    <w:rsid w:val="00885696"/>
    <w:rsid w:val="008863BF"/>
    <w:rsid w:val="008919C6"/>
    <w:rsid w:val="008A24F1"/>
    <w:rsid w:val="008A27FC"/>
    <w:rsid w:val="008A3ABC"/>
    <w:rsid w:val="008B7362"/>
    <w:rsid w:val="008C0B43"/>
    <w:rsid w:val="008C4E8D"/>
    <w:rsid w:val="008C6B04"/>
    <w:rsid w:val="008D279B"/>
    <w:rsid w:val="008D4A08"/>
    <w:rsid w:val="008E2F55"/>
    <w:rsid w:val="008F0F68"/>
    <w:rsid w:val="008F5F15"/>
    <w:rsid w:val="008F6773"/>
    <w:rsid w:val="008F716D"/>
    <w:rsid w:val="008F7C5F"/>
    <w:rsid w:val="00900155"/>
    <w:rsid w:val="00900A78"/>
    <w:rsid w:val="00902EE3"/>
    <w:rsid w:val="00904095"/>
    <w:rsid w:val="009061AB"/>
    <w:rsid w:val="009132B7"/>
    <w:rsid w:val="00913BB7"/>
    <w:rsid w:val="00915494"/>
    <w:rsid w:val="00916CC6"/>
    <w:rsid w:val="0092687F"/>
    <w:rsid w:val="0092746D"/>
    <w:rsid w:val="00932ADC"/>
    <w:rsid w:val="00937C2B"/>
    <w:rsid w:val="00940EA9"/>
    <w:rsid w:val="009415B8"/>
    <w:rsid w:val="00942DDC"/>
    <w:rsid w:val="0094330A"/>
    <w:rsid w:val="00947F04"/>
    <w:rsid w:val="00955A4E"/>
    <w:rsid w:val="00955B70"/>
    <w:rsid w:val="00957F08"/>
    <w:rsid w:val="00961E51"/>
    <w:rsid w:val="00964833"/>
    <w:rsid w:val="00964BDC"/>
    <w:rsid w:val="00964C3B"/>
    <w:rsid w:val="00965778"/>
    <w:rsid w:val="00977AA0"/>
    <w:rsid w:val="00980C13"/>
    <w:rsid w:val="009817EC"/>
    <w:rsid w:val="00984219"/>
    <w:rsid w:val="00985DC2"/>
    <w:rsid w:val="0098645D"/>
    <w:rsid w:val="00987CD9"/>
    <w:rsid w:val="009905A2"/>
    <w:rsid w:val="00990E6D"/>
    <w:rsid w:val="00991DFC"/>
    <w:rsid w:val="009A139C"/>
    <w:rsid w:val="009A2767"/>
    <w:rsid w:val="009A45BA"/>
    <w:rsid w:val="009A5703"/>
    <w:rsid w:val="009B0E9C"/>
    <w:rsid w:val="009B1FBA"/>
    <w:rsid w:val="009B2698"/>
    <w:rsid w:val="009B3C6A"/>
    <w:rsid w:val="009B4599"/>
    <w:rsid w:val="009B4FD2"/>
    <w:rsid w:val="009B6915"/>
    <w:rsid w:val="009C0BE9"/>
    <w:rsid w:val="009C3798"/>
    <w:rsid w:val="009C4E88"/>
    <w:rsid w:val="009D076D"/>
    <w:rsid w:val="009D1CFA"/>
    <w:rsid w:val="009D7E94"/>
    <w:rsid w:val="009E5A99"/>
    <w:rsid w:val="009F0F91"/>
    <w:rsid w:val="009F143C"/>
    <w:rsid w:val="00A0106B"/>
    <w:rsid w:val="00A02D53"/>
    <w:rsid w:val="00A06CC6"/>
    <w:rsid w:val="00A11FA8"/>
    <w:rsid w:val="00A12528"/>
    <w:rsid w:val="00A20A20"/>
    <w:rsid w:val="00A25503"/>
    <w:rsid w:val="00A3344A"/>
    <w:rsid w:val="00A33AB0"/>
    <w:rsid w:val="00A35846"/>
    <w:rsid w:val="00A40A21"/>
    <w:rsid w:val="00A41843"/>
    <w:rsid w:val="00A41F60"/>
    <w:rsid w:val="00A42ED0"/>
    <w:rsid w:val="00A5586F"/>
    <w:rsid w:val="00A579F9"/>
    <w:rsid w:val="00A624D4"/>
    <w:rsid w:val="00A6344E"/>
    <w:rsid w:val="00A63FCA"/>
    <w:rsid w:val="00A65C2C"/>
    <w:rsid w:val="00A66A97"/>
    <w:rsid w:val="00A70320"/>
    <w:rsid w:val="00A73B6B"/>
    <w:rsid w:val="00A808A6"/>
    <w:rsid w:val="00A846EE"/>
    <w:rsid w:val="00A8674D"/>
    <w:rsid w:val="00A86D86"/>
    <w:rsid w:val="00A92EC2"/>
    <w:rsid w:val="00A938C8"/>
    <w:rsid w:val="00A95FAE"/>
    <w:rsid w:val="00A97E6F"/>
    <w:rsid w:val="00AA24E0"/>
    <w:rsid w:val="00AA3978"/>
    <w:rsid w:val="00AB14E1"/>
    <w:rsid w:val="00AB1984"/>
    <w:rsid w:val="00AB4839"/>
    <w:rsid w:val="00AB6054"/>
    <w:rsid w:val="00AB61FC"/>
    <w:rsid w:val="00AB6CA9"/>
    <w:rsid w:val="00AB6CFF"/>
    <w:rsid w:val="00AC74C3"/>
    <w:rsid w:val="00AD4ECA"/>
    <w:rsid w:val="00AD7083"/>
    <w:rsid w:val="00AE4BE0"/>
    <w:rsid w:val="00AE5A64"/>
    <w:rsid w:val="00AE7D4C"/>
    <w:rsid w:val="00AF2B8F"/>
    <w:rsid w:val="00AF37D3"/>
    <w:rsid w:val="00AF5DA0"/>
    <w:rsid w:val="00B0279F"/>
    <w:rsid w:val="00B039C8"/>
    <w:rsid w:val="00B04B18"/>
    <w:rsid w:val="00B06D9E"/>
    <w:rsid w:val="00B07E4E"/>
    <w:rsid w:val="00B170D0"/>
    <w:rsid w:val="00B176B2"/>
    <w:rsid w:val="00B2197B"/>
    <w:rsid w:val="00B23CE7"/>
    <w:rsid w:val="00B25035"/>
    <w:rsid w:val="00B40831"/>
    <w:rsid w:val="00B4250E"/>
    <w:rsid w:val="00B461C1"/>
    <w:rsid w:val="00B53210"/>
    <w:rsid w:val="00B54DA5"/>
    <w:rsid w:val="00B55F07"/>
    <w:rsid w:val="00B56153"/>
    <w:rsid w:val="00B61E1B"/>
    <w:rsid w:val="00B6334E"/>
    <w:rsid w:val="00B63FDB"/>
    <w:rsid w:val="00B66EC7"/>
    <w:rsid w:val="00B70105"/>
    <w:rsid w:val="00B734F8"/>
    <w:rsid w:val="00B766DA"/>
    <w:rsid w:val="00B77571"/>
    <w:rsid w:val="00B80501"/>
    <w:rsid w:val="00B81086"/>
    <w:rsid w:val="00B81874"/>
    <w:rsid w:val="00B82299"/>
    <w:rsid w:val="00B85358"/>
    <w:rsid w:val="00B862F3"/>
    <w:rsid w:val="00B87C9E"/>
    <w:rsid w:val="00B944EF"/>
    <w:rsid w:val="00B9754F"/>
    <w:rsid w:val="00BA20C9"/>
    <w:rsid w:val="00BA3840"/>
    <w:rsid w:val="00BA66AD"/>
    <w:rsid w:val="00BA7919"/>
    <w:rsid w:val="00BB17F0"/>
    <w:rsid w:val="00BB2169"/>
    <w:rsid w:val="00BB4D38"/>
    <w:rsid w:val="00BC4E07"/>
    <w:rsid w:val="00BC694C"/>
    <w:rsid w:val="00BD0F57"/>
    <w:rsid w:val="00BD0F5A"/>
    <w:rsid w:val="00BD547E"/>
    <w:rsid w:val="00BE63F4"/>
    <w:rsid w:val="00BF0E4B"/>
    <w:rsid w:val="00BF1394"/>
    <w:rsid w:val="00BF140F"/>
    <w:rsid w:val="00BF1B88"/>
    <w:rsid w:val="00BF6156"/>
    <w:rsid w:val="00C003EE"/>
    <w:rsid w:val="00C02F31"/>
    <w:rsid w:val="00C04EF9"/>
    <w:rsid w:val="00C141A3"/>
    <w:rsid w:val="00C17E15"/>
    <w:rsid w:val="00C23C3E"/>
    <w:rsid w:val="00C250B7"/>
    <w:rsid w:val="00C265EB"/>
    <w:rsid w:val="00C34E83"/>
    <w:rsid w:val="00C37B5D"/>
    <w:rsid w:val="00C506E4"/>
    <w:rsid w:val="00C52570"/>
    <w:rsid w:val="00C54690"/>
    <w:rsid w:val="00C55674"/>
    <w:rsid w:val="00C5636E"/>
    <w:rsid w:val="00C57BED"/>
    <w:rsid w:val="00C629CC"/>
    <w:rsid w:val="00C640DC"/>
    <w:rsid w:val="00C703E2"/>
    <w:rsid w:val="00C74A1B"/>
    <w:rsid w:val="00C80A47"/>
    <w:rsid w:val="00C82122"/>
    <w:rsid w:val="00C83846"/>
    <w:rsid w:val="00C846D8"/>
    <w:rsid w:val="00C8753B"/>
    <w:rsid w:val="00C876D3"/>
    <w:rsid w:val="00C91D43"/>
    <w:rsid w:val="00CA0BFF"/>
    <w:rsid w:val="00CA635F"/>
    <w:rsid w:val="00CA7DB9"/>
    <w:rsid w:val="00CB2049"/>
    <w:rsid w:val="00CB31FE"/>
    <w:rsid w:val="00CB6001"/>
    <w:rsid w:val="00CC4B3E"/>
    <w:rsid w:val="00CC4BB9"/>
    <w:rsid w:val="00CC52C7"/>
    <w:rsid w:val="00CC7119"/>
    <w:rsid w:val="00CC74C9"/>
    <w:rsid w:val="00CC7F0A"/>
    <w:rsid w:val="00CD6CEC"/>
    <w:rsid w:val="00CE133D"/>
    <w:rsid w:val="00CE317A"/>
    <w:rsid w:val="00CE4ADC"/>
    <w:rsid w:val="00CE5E0F"/>
    <w:rsid w:val="00CE6116"/>
    <w:rsid w:val="00CE768F"/>
    <w:rsid w:val="00CE7FC4"/>
    <w:rsid w:val="00CF0D08"/>
    <w:rsid w:val="00CF0F0A"/>
    <w:rsid w:val="00CF212A"/>
    <w:rsid w:val="00CF6AE5"/>
    <w:rsid w:val="00CF721F"/>
    <w:rsid w:val="00D01E38"/>
    <w:rsid w:val="00D0394D"/>
    <w:rsid w:val="00D04EB9"/>
    <w:rsid w:val="00D07914"/>
    <w:rsid w:val="00D11047"/>
    <w:rsid w:val="00D12609"/>
    <w:rsid w:val="00D26287"/>
    <w:rsid w:val="00D30E53"/>
    <w:rsid w:val="00D36C01"/>
    <w:rsid w:val="00D40F0B"/>
    <w:rsid w:val="00D424CB"/>
    <w:rsid w:val="00D440E6"/>
    <w:rsid w:val="00D440F0"/>
    <w:rsid w:val="00D44A45"/>
    <w:rsid w:val="00D469F9"/>
    <w:rsid w:val="00D47693"/>
    <w:rsid w:val="00D51192"/>
    <w:rsid w:val="00D53AFA"/>
    <w:rsid w:val="00D543B3"/>
    <w:rsid w:val="00D55868"/>
    <w:rsid w:val="00D564BA"/>
    <w:rsid w:val="00D62FEC"/>
    <w:rsid w:val="00D6704B"/>
    <w:rsid w:val="00D6712E"/>
    <w:rsid w:val="00D71A4C"/>
    <w:rsid w:val="00D72394"/>
    <w:rsid w:val="00D739D9"/>
    <w:rsid w:val="00D74AFD"/>
    <w:rsid w:val="00D756AD"/>
    <w:rsid w:val="00D76F27"/>
    <w:rsid w:val="00D80A71"/>
    <w:rsid w:val="00D80AAA"/>
    <w:rsid w:val="00D82518"/>
    <w:rsid w:val="00D855D6"/>
    <w:rsid w:val="00D92934"/>
    <w:rsid w:val="00D93713"/>
    <w:rsid w:val="00D93BC9"/>
    <w:rsid w:val="00D97EF0"/>
    <w:rsid w:val="00DA4906"/>
    <w:rsid w:val="00DA5A76"/>
    <w:rsid w:val="00DA6B07"/>
    <w:rsid w:val="00DA79A0"/>
    <w:rsid w:val="00DB057F"/>
    <w:rsid w:val="00DB2121"/>
    <w:rsid w:val="00DB2D0C"/>
    <w:rsid w:val="00DB490D"/>
    <w:rsid w:val="00DC106E"/>
    <w:rsid w:val="00DC323F"/>
    <w:rsid w:val="00DD009D"/>
    <w:rsid w:val="00DD0502"/>
    <w:rsid w:val="00DD19E1"/>
    <w:rsid w:val="00DD2421"/>
    <w:rsid w:val="00DD2C9F"/>
    <w:rsid w:val="00DD71D9"/>
    <w:rsid w:val="00DE0634"/>
    <w:rsid w:val="00DE0AFB"/>
    <w:rsid w:val="00DE26CD"/>
    <w:rsid w:val="00DF3E42"/>
    <w:rsid w:val="00DF41A1"/>
    <w:rsid w:val="00DF48F0"/>
    <w:rsid w:val="00DF5161"/>
    <w:rsid w:val="00DF7585"/>
    <w:rsid w:val="00E03C61"/>
    <w:rsid w:val="00E13863"/>
    <w:rsid w:val="00E16472"/>
    <w:rsid w:val="00E21055"/>
    <w:rsid w:val="00E22A6A"/>
    <w:rsid w:val="00E2630F"/>
    <w:rsid w:val="00E266AD"/>
    <w:rsid w:val="00E37C1F"/>
    <w:rsid w:val="00E4186A"/>
    <w:rsid w:val="00E425F7"/>
    <w:rsid w:val="00E42E8B"/>
    <w:rsid w:val="00E43621"/>
    <w:rsid w:val="00E45009"/>
    <w:rsid w:val="00E46F56"/>
    <w:rsid w:val="00E50ED4"/>
    <w:rsid w:val="00E61D7F"/>
    <w:rsid w:val="00E64140"/>
    <w:rsid w:val="00E650BE"/>
    <w:rsid w:val="00E65334"/>
    <w:rsid w:val="00E67B8A"/>
    <w:rsid w:val="00E7375D"/>
    <w:rsid w:val="00E75CE8"/>
    <w:rsid w:val="00E77928"/>
    <w:rsid w:val="00E83B07"/>
    <w:rsid w:val="00E842C3"/>
    <w:rsid w:val="00E86573"/>
    <w:rsid w:val="00E869A8"/>
    <w:rsid w:val="00E86D7F"/>
    <w:rsid w:val="00E8717C"/>
    <w:rsid w:val="00E901D3"/>
    <w:rsid w:val="00EA0DF5"/>
    <w:rsid w:val="00EA11C7"/>
    <w:rsid w:val="00EA61AF"/>
    <w:rsid w:val="00EB5676"/>
    <w:rsid w:val="00EB68AD"/>
    <w:rsid w:val="00EC005E"/>
    <w:rsid w:val="00EC0D02"/>
    <w:rsid w:val="00EC2819"/>
    <w:rsid w:val="00EC4AC7"/>
    <w:rsid w:val="00EC660A"/>
    <w:rsid w:val="00ED0662"/>
    <w:rsid w:val="00ED1381"/>
    <w:rsid w:val="00ED4826"/>
    <w:rsid w:val="00EE284D"/>
    <w:rsid w:val="00EE6A80"/>
    <w:rsid w:val="00EF0757"/>
    <w:rsid w:val="00EF412E"/>
    <w:rsid w:val="00EF4F61"/>
    <w:rsid w:val="00EF5726"/>
    <w:rsid w:val="00F00E56"/>
    <w:rsid w:val="00F022E7"/>
    <w:rsid w:val="00F0337F"/>
    <w:rsid w:val="00F042B0"/>
    <w:rsid w:val="00F0453E"/>
    <w:rsid w:val="00F05FC3"/>
    <w:rsid w:val="00F07135"/>
    <w:rsid w:val="00F12E6C"/>
    <w:rsid w:val="00F15A09"/>
    <w:rsid w:val="00F17CEF"/>
    <w:rsid w:val="00F17FF5"/>
    <w:rsid w:val="00F21AC8"/>
    <w:rsid w:val="00F21FE7"/>
    <w:rsid w:val="00F22D3E"/>
    <w:rsid w:val="00F22D5F"/>
    <w:rsid w:val="00F2490A"/>
    <w:rsid w:val="00F32707"/>
    <w:rsid w:val="00F42B1C"/>
    <w:rsid w:val="00F42E7E"/>
    <w:rsid w:val="00F43620"/>
    <w:rsid w:val="00F469F0"/>
    <w:rsid w:val="00F51A20"/>
    <w:rsid w:val="00F54061"/>
    <w:rsid w:val="00F56EEF"/>
    <w:rsid w:val="00F73726"/>
    <w:rsid w:val="00F828A3"/>
    <w:rsid w:val="00F83722"/>
    <w:rsid w:val="00F83D39"/>
    <w:rsid w:val="00F84390"/>
    <w:rsid w:val="00F85074"/>
    <w:rsid w:val="00F91B9E"/>
    <w:rsid w:val="00F93ECC"/>
    <w:rsid w:val="00FA0138"/>
    <w:rsid w:val="00FA1477"/>
    <w:rsid w:val="00FA34A7"/>
    <w:rsid w:val="00FA3526"/>
    <w:rsid w:val="00FA35C6"/>
    <w:rsid w:val="00FA538E"/>
    <w:rsid w:val="00FA67C9"/>
    <w:rsid w:val="00FB23D3"/>
    <w:rsid w:val="00FB4EF1"/>
    <w:rsid w:val="00FB5339"/>
    <w:rsid w:val="00FC15B5"/>
    <w:rsid w:val="00FC5174"/>
    <w:rsid w:val="00FC7C17"/>
    <w:rsid w:val="00FD0A73"/>
    <w:rsid w:val="00FD1391"/>
    <w:rsid w:val="00FD2F95"/>
    <w:rsid w:val="00FD4E8F"/>
    <w:rsid w:val="00FD71E1"/>
    <w:rsid w:val="00FD78E3"/>
    <w:rsid w:val="00FE2FD6"/>
    <w:rsid w:val="00FE547C"/>
    <w:rsid w:val="00FE736A"/>
    <w:rsid w:val="00FF0C41"/>
    <w:rsid w:val="00FF267D"/>
    <w:rsid w:val="00FF2AAA"/>
    <w:rsid w:val="00FF58DB"/>
    <w:rsid w:val="00FF70A6"/>
    <w:rsid w:val="00FF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5E2FB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6"/>
        <w:szCs w:val="26"/>
        <w:lang w:val="en-US" w:eastAsia="en-US" w:bidi="en-US"/>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12E"/>
    <w:rPr>
      <w:szCs w:val="24"/>
    </w:rPr>
  </w:style>
  <w:style w:type="paragraph" w:styleId="Heading1">
    <w:name w:val="heading 1"/>
    <w:basedOn w:val="Normal"/>
    <w:next w:val="Normal"/>
    <w:link w:val="Heading1Char"/>
    <w:uiPriority w:val="9"/>
    <w:qFormat/>
    <w:rsid w:val="0055226B"/>
    <w:pPr>
      <w:keepNext/>
      <w:jc w:val="center"/>
      <w:outlineLvl w:val="0"/>
    </w:pPr>
  </w:style>
  <w:style w:type="paragraph" w:styleId="Heading2">
    <w:name w:val="heading 2"/>
    <w:basedOn w:val="Normal"/>
    <w:next w:val="Normal"/>
    <w:link w:val="Heading2Char"/>
    <w:uiPriority w:val="9"/>
    <w:qFormat/>
    <w:rsid w:val="00CC4BB9"/>
    <w:pPr>
      <w:spacing w:after="240" w:line="240" w:lineRule="auto"/>
      <w:ind w:left="720" w:hanging="720"/>
      <w:outlineLvl w:val="1"/>
    </w:pPr>
  </w:style>
  <w:style w:type="paragraph" w:styleId="Heading3">
    <w:name w:val="heading 3"/>
    <w:basedOn w:val="Normal"/>
    <w:next w:val="Normal"/>
    <w:link w:val="Heading3Char"/>
    <w:uiPriority w:val="9"/>
    <w:qFormat/>
    <w:rsid w:val="00B6334E"/>
    <w:pPr>
      <w:keepNext/>
      <w:ind w:left="720"/>
      <w:outlineLvl w:val="2"/>
    </w:pPr>
    <w:rPr>
      <w:i/>
    </w:rPr>
  </w:style>
  <w:style w:type="paragraph" w:styleId="Heading6">
    <w:name w:val="heading 6"/>
    <w:basedOn w:val="Normal"/>
    <w:next w:val="Normal"/>
    <w:link w:val="Heading6Char"/>
    <w:uiPriority w:val="9"/>
    <w:semiHidden/>
    <w:unhideWhenUsed/>
    <w:qFormat/>
    <w:rsid w:val="00EF412E"/>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EF412E"/>
    <w:pPr>
      <w:spacing w:before="240" w:after="60"/>
      <w:outlineLvl w:val="6"/>
    </w:pPr>
    <w:rPr>
      <w:sz w:val="24"/>
    </w:rPr>
  </w:style>
  <w:style w:type="paragraph" w:styleId="Heading8">
    <w:name w:val="heading 8"/>
    <w:basedOn w:val="Normal"/>
    <w:next w:val="Normal"/>
    <w:link w:val="Heading8Char"/>
    <w:uiPriority w:val="9"/>
    <w:semiHidden/>
    <w:unhideWhenUsed/>
    <w:qFormat/>
    <w:rsid w:val="00EF412E"/>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EF412E"/>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26B"/>
    <w:rPr>
      <w:szCs w:val="24"/>
    </w:rPr>
  </w:style>
  <w:style w:type="character" w:customStyle="1" w:styleId="Heading2Char">
    <w:name w:val="Heading 2 Char"/>
    <w:basedOn w:val="DefaultParagraphFont"/>
    <w:link w:val="Heading2"/>
    <w:uiPriority w:val="9"/>
    <w:rsid w:val="00CC4BB9"/>
    <w:rPr>
      <w:szCs w:val="24"/>
    </w:rPr>
  </w:style>
  <w:style w:type="character" w:customStyle="1" w:styleId="Heading3Char">
    <w:name w:val="Heading 3 Char"/>
    <w:basedOn w:val="DefaultParagraphFont"/>
    <w:link w:val="Heading3"/>
    <w:uiPriority w:val="9"/>
    <w:rsid w:val="00B6334E"/>
    <w:rPr>
      <w:i/>
      <w:szCs w:val="24"/>
    </w:rPr>
  </w:style>
  <w:style w:type="character" w:customStyle="1" w:styleId="Heading6Char">
    <w:name w:val="Heading 6 Char"/>
    <w:basedOn w:val="DefaultParagraphFont"/>
    <w:link w:val="Heading6"/>
    <w:uiPriority w:val="9"/>
    <w:semiHidden/>
    <w:rsid w:val="00EF412E"/>
    <w:rPr>
      <w:b/>
      <w:bCs/>
    </w:rPr>
  </w:style>
  <w:style w:type="character" w:customStyle="1" w:styleId="Heading7Char">
    <w:name w:val="Heading 7 Char"/>
    <w:basedOn w:val="DefaultParagraphFont"/>
    <w:link w:val="Heading7"/>
    <w:uiPriority w:val="9"/>
    <w:semiHidden/>
    <w:rsid w:val="00EF412E"/>
    <w:rPr>
      <w:sz w:val="24"/>
      <w:szCs w:val="24"/>
    </w:rPr>
  </w:style>
  <w:style w:type="character" w:customStyle="1" w:styleId="Heading8Char">
    <w:name w:val="Heading 8 Char"/>
    <w:basedOn w:val="DefaultParagraphFont"/>
    <w:link w:val="Heading8"/>
    <w:uiPriority w:val="9"/>
    <w:semiHidden/>
    <w:rsid w:val="00EF412E"/>
    <w:rPr>
      <w:i/>
      <w:iCs/>
      <w:sz w:val="24"/>
      <w:szCs w:val="24"/>
    </w:rPr>
  </w:style>
  <w:style w:type="character" w:customStyle="1" w:styleId="Heading9Char">
    <w:name w:val="Heading 9 Char"/>
    <w:basedOn w:val="DefaultParagraphFont"/>
    <w:link w:val="Heading9"/>
    <w:uiPriority w:val="9"/>
    <w:semiHidden/>
    <w:rsid w:val="00EF412E"/>
    <w:rPr>
      <w:rFonts w:asciiTheme="majorHAnsi" w:eastAsiaTheme="majorEastAsia" w:hAnsiTheme="majorHAnsi"/>
    </w:rPr>
  </w:style>
  <w:style w:type="paragraph" w:styleId="Title">
    <w:name w:val="Title"/>
    <w:basedOn w:val="Normal"/>
    <w:next w:val="Normal"/>
    <w:link w:val="TitleChar"/>
    <w:uiPriority w:val="10"/>
    <w:qFormat/>
    <w:rsid w:val="00EF412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F412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F412E"/>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EF412E"/>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EF412E"/>
    <w:pPr>
      <w:outlineLvl w:val="9"/>
    </w:pPr>
  </w:style>
  <w:style w:type="paragraph" w:styleId="Header">
    <w:name w:val="header"/>
    <w:basedOn w:val="Normal"/>
    <w:link w:val="HeaderChar"/>
    <w:uiPriority w:val="99"/>
    <w:unhideWhenUsed/>
    <w:rsid w:val="00EF412E"/>
    <w:pPr>
      <w:tabs>
        <w:tab w:val="center" w:pos="4680"/>
        <w:tab w:val="right" w:pos="9360"/>
      </w:tabs>
      <w:spacing w:line="240" w:lineRule="auto"/>
    </w:pPr>
  </w:style>
  <w:style w:type="character" w:customStyle="1" w:styleId="HeaderChar">
    <w:name w:val="Header Char"/>
    <w:basedOn w:val="DefaultParagraphFont"/>
    <w:link w:val="Header"/>
    <w:uiPriority w:val="99"/>
    <w:rsid w:val="00EF412E"/>
    <w:rPr>
      <w:szCs w:val="24"/>
    </w:rPr>
  </w:style>
  <w:style w:type="paragraph" w:styleId="Footer">
    <w:name w:val="footer"/>
    <w:basedOn w:val="Normal"/>
    <w:link w:val="FooterChar"/>
    <w:uiPriority w:val="99"/>
    <w:unhideWhenUsed/>
    <w:rsid w:val="00EF412E"/>
    <w:pPr>
      <w:tabs>
        <w:tab w:val="center" w:pos="4680"/>
        <w:tab w:val="right" w:pos="9360"/>
      </w:tabs>
      <w:spacing w:line="240" w:lineRule="auto"/>
    </w:pPr>
  </w:style>
  <w:style w:type="character" w:customStyle="1" w:styleId="FooterChar">
    <w:name w:val="Footer Char"/>
    <w:basedOn w:val="DefaultParagraphFont"/>
    <w:link w:val="Footer"/>
    <w:uiPriority w:val="99"/>
    <w:rsid w:val="00EF412E"/>
    <w:rPr>
      <w:szCs w:val="24"/>
    </w:rPr>
  </w:style>
  <w:style w:type="character" w:styleId="FootnoteReference">
    <w:name w:val="footnote reference"/>
    <w:basedOn w:val="DefaultParagraphFont"/>
    <w:uiPriority w:val="99"/>
    <w:semiHidden/>
    <w:unhideWhenUsed/>
    <w:rsid w:val="00EF412E"/>
    <w:rPr>
      <w:rFonts w:ascii="Times New Roman" w:hAnsi="Times New Roman"/>
      <w:position w:val="6"/>
      <w:sz w:val="26"/>
      <w:vertAlign w:val="baseline"/>
    </w:rPr>
  </w:style>
  <w:style w:type="paragraph" w:styleId="FootnoteText">
    <w:name w:val="footnote text"/>
    <w:link w:val="FootnoteTextChar"/>
    <w:uiPriority w:val="99"/>
    <w:unhideWhenUsed/>
    <w:rsid w:val="00EF412E"/>
    <w:pPr>
      <w:keepLines/>
      <w:spacing w:line="240" w:lineRule="auto"/>
    </w:pPr>
    <w:rPr>
      <w:rFonts w:ascii="Times New Roman" w:hAnsi="Times New Roman"/>
      <w:szCs w:val="20"/>
    </w:rPr>
  </w:style>
  <w:style w:type="character" w:customStyle="1" w:styleId="FootnoteTextChar">
    <w:name w:val="Footnote Text Char"/>
    <w:basedOn w:val="DefaultParagraphFont"/>
    <w:link w:val="FootnoteText"/>
    <w:uiPriority w:val="99"/>
    <w:rsid w:val="00EF412E"/>
    <w:rPr>
      <w:rFonts w:ascii="Times New Roman" w:hAnsi="Times New Roman"/>
      <w:szCs w:val="20"/>
    </w:rPr>
  </w:style>
  <w:style w:type="paragraph" w:customStyle="1" w:styleId="IndentedQuote">
    <w:name w:val="IndentedQuote"/>
    <w:basedOn w:val="Normal"/>
    <w:link w:val="IndentedQuoteChar"/>
    <w:rsid w:val="006E7F69"/>
    <w:pPr>
      <w:spacing w:line="240" w:lineRule="auto"/>
      <w:ind w:left="1080" w:right="1080"/>
    </w:pPr>
  </w:style>
  <w:style w:type="character" w:customStyle="1" w:styleId="IndentedQuoteChar">
    <w:name w:val="IndentedQuote Char"/>
    <w:basedOn w:val="DefaultParagraphFont"/>
    <w:link w:val="IndentedQuote"/>
    <w:rsid w:val="006E7F69"/>
    <w:rPr>
      <w:szCs w:val="24"/>
    </w:rPr>
  </w:style>
  <w:style w:type="character" w:styleId="Hyperlink">
    <w:name w:val="Hyperlink"/>
    <w:basedOn w:val="DefaultParagraphFont"/>
    <w:uiPriority w:val="99"/>
    <w:semiHidden/>
    <w:unhideWhenUsed/>
    <w:rsid w:val="009F143C"/>
    <w:rPr>
      <w:color w:val="0000FF"/>
      <w:u w:val="single"/>
    </w:rPr>
  </w:style>
  <w:style w:type="character" w:styleId="CommentReference">
    <w:name w:val="annotation reference"/>
    <w:basedOn w:val="DefaultParagraphFont"/>
    <w:uiPriority w:val="99"/>
    <w:semiHidden/>
    <w:unhideWhenUsed/>
    <w:rsid w:val="002F6468"/>
    <w:rPr>
      <w:sz w:val="16"/>
      <w:szCs w:val="16"/>
    </w:rPr>
  </w:style>
  <w:style w:type="paragraph" w:styleId="CommentText">
    <w:name w:val="annotation text"/>
    <w:basedOn w:val="Normal"/>
    <w:link w:val="CommentTextChar"/>
    <w:uiPriority w:val="99"/>
    <w:semiHidden/>
    <w:unhideWhenUsed/>
    <w:rsid w:val="002F6468"/>
    <w:pPr>
      <w:spacing w:line="240" w:lineRule="auto"/>
    </w:pPr>
    <w:rPr>
      <w:sz w:val="20"/>
      <w:szCs w:val="20"/>
    </w:rPr>
  </w:style>
  <w:style w:type="character" w:customStyle="1" w:styleId="CommentTextChar">
    <w:name w:val="Comment Text Char"/>
    <w:basedOn w:val="DefaultParagraphFont"/>
    <w:link w:val="CommentText"/>
    <w:uiPriority w:val="99"/>
    <w:semiHidden/>
    <w:rsid w:val="002F6468"/>
    <w:rPr>
      <w:sz w:val="20"/>
      <w:szCs w:val="20"/>
    </w:rPr>
  </w:style>
  <w:style w:type="paragraph" w:styleId="CommentSubject">
    <w:name w:val="annotation subject"/>
    <w:basedOn w:val="CommentText"/>
    <w:next w:val="CommentText"/>
    <w:link w:val="CommentSubjectChar"/>
    <w:uiPriority w:val="99"/>
    <w:semiHidden/>
    <w:unhideWhenUsed/>
    <w:rsid w:val="002F6468"/>
    <w:rPr>
      <w:b/>
      <w:bCs/>
    </w:rPr>
  </w:style>
  <w:style w:type="character" w:customStyle="1" w:styleId="CommentSubjectChar">
    <w:name w:val="Comment Subject Char"/>
    <w:basedOn w:val="CommentTextChar"/>
    <w:link w:val="CommentSubject"/>
    <w:uiPriority w:val="99"/>
    <w:semiHidden/>
    <w:rsid w:val="002F6468"/>
    <w:rPr>
      <w:b/>
      <w:bCs/>
      <w:sz w:val="20"/>
      <w:szCs w:val="20"/>
    </w:rPr>
  </w:style>
  <w:style w:type="paragraph" w:styleId="BalloonText">
    <w:name w:val="Balloon Text"/>
    <w:basedOn w:val="Normal"/>
    <w:link w:val="BalloonTextChar"/>
    <w:uiPriority w:val="99"/>
    <w:semiHidden/>
    <w:unhideWhenUsed/>
    <w:rsid w:val="002F64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68"/>
    <w:rPr>
      <w:rFonts w:ascii="Segoe UI" w:hAnsi="Segoe UI" w:cs="Segoe UI"/>
      <w:sz w:val="18"/>
      <w:szCs w:val="18"/>
    </w:rPr>
  </w:style>
  <w:style w:type="paragraph" w:styleId="Revision">
    <w:name w:val="Revision"/>
    <w:hidden/>
    <w:uiPriority w:val="99"/>
    <w:semiHidden/>
    <w:rsid w:val="00AE7D4C"/>
    <w:pPr>
      <w:spacing w:line="240" w:lineRule="auto"/>
    </w:pPr>
    <w:rPr>
      <w:szCs w:val="24"/>
    </w:rPr>
  </w:style>
  <w:style w:type="table" w:styleId="TableGrid">
    <w:name w:val="Table Grid"/>
    <w:basedOn w:val="TableNormal"/>
    <w:uiPriority w:val="39"/>
    <w:rsid w:val="00334F1A"/>
    <w:pPr>
      <w:spacing w:line="240" w:lineRule="auto"/>
    </w:pPr>
    <w:rPr>
      <w:rFonts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6190">
      <w:bodyDiv w:val="1"/>
      <w:marLeft w:val="0"/>
      <w:marRight w:val="0"/>
      <w:marTop w:val="0"/>
      <w:marBottom w:val="0"/>
      <w:divBdr>
        <w:top w:val="none" w:sz="0" w:space="0" w:color="auto"/>
        <w:left w:val="none" w:sz="0" w:space="0" w:color="auto"/>
        <w:bottom w:val="none" w:sz="0" w:space="0" w:color="auto"/>
        <w:right w:val="none" w:sz="0" w:space="0" w:color="auto"/>
      </w:divBdr>
      <w:divsChild>
        <w:div w:id="599686097">
          <w:marLeft w:val="0"/>
          <w:marRight w:val="0"/>
          <w:marTop w:val="0"/>
          <w:marBottom w:val="0"/>
          <w:divBdr>
            <w:top w:val="none" w:sz="0" w:space="0" w:color="auto"/>
            <w:left w:val="none" w:sz="0" w:space="0" w:color="auto"/>
            <w:bottom w:val="none" w:sz="0" w:space="0" w:color="auto"/>
            <w:right w:val="none" w:sz="0" w:space="0" w:color="auto"/>
          </w:divBdr>
        </w:div>
      </w:divsChild>
    </w:div>
    <w:div w:id="105034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AA1A8-07EB-4B13-AB77-01AC0696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7370</Words>
  <Characters>42013</Characters>
  <Application>Microsoft Office Word</Application>
  <DocSecurity>0</DocSecurity>
  <Lines>350</Lines>
  <Paragraphs>98</Paragraphs>
  <ScaleCrop>false</ScaleCrop>
  <Company/>
  <LinksUpToDate>false</LinksUpToDate>
  <CharactersWithSpaces>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2020-04-17T19:47:00Z</dcterms:created>
  <dcterms:modified xsi:type="dcterms:W3CDTF">2020-04-17T19:47:00Z</dcterms:modified>
</cp:coreProperties>
</file>